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2C1" w:rsidRDefault="009340AB" w:rsidP="00186590">
      <w:pPr>
        <w:pStyle w:val="TOC1"/>
      </w:pPr>
      <w:r>
        <w:rPr>
          <w:noProof/>
        </w:rPr>
        <mc:AlternateContent>
          <mc:Choice Requires="wpg">
            <w:drawing>
              <wp:anchor distT="0" distB="0" distL="114300" distR="114300" simplePos="0" relativeHeight="251652096" behindDoc="0" locked="0" layoutInCell="1" allowOverlap="1" wp14:anchorId="1DCBB136" wp14:editId="2A5A2FD9">
                <wp:simplePos x="0" y="0"/>
                <wp:positionH relativeFrom="column">
                  <wp:posOffset>-728980</wp:posOffset>
                </wp:positionH>
                <wp:positionV relativeFrom="paragraph">
                  <wp:posOffset>-714375</wp:posOffset>
                </wp:positionV>
                <wp:extent cx="7400925" cy="9658350"/>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00925" cy="9658350"/>
                          <a:chOff x="0" y="0"/>
                          <a:chExt cx="7400925" cy="9658350"/>
                        </a:xfrm>
                      </wpg:grpSpPr>
                      <wps:wsp>
                        <wps:cNvPr id="47" name="Rectangle 47"/>
                        <wps:cNvSpPr>
                          <a:spLocks/>
                        </wps:cNvSpPr>
                        <wps:spPr>
                          <a:xfrm>
                            <a:off x="0" y="0"/>
                            <a:ext cx="5353050" cy="9658350"/>
                          </a:xfrm>
                          <a:prstGeom prst="rect">
                            <a:avLst/>
                          </a:prstGeom>
                          <a:solidFill>
                            <a:srgbClr val="448A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3A64" w:rsidRDefault="00063A64"/>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wps:wsp>
                        <wps:cNvPr id="48" name="Rectangle 48"/>
                        <wps:cNvSpPr>
                          <a:spLocks/>
                        </wps:cNvSpPr>
                        <wps:spPr>
                          <a:xfrm>
                            <a:off x="5534025" y="0"/>
                            <a:ext cx="1866900" cy="6477000"/>
                          </a:xfrm>
                          <a:prstGeom prst="rect">
                            <a:avLst/>
                          </a:prstGeom>
                          <a:gradFill>
                            <a:gsLst>
                              <a:gs pos="18000">
                                <a:srgbClr val="448A99"/>
                              </a:gs>
                              <a:gs pos="51000">
                                <a:srgbClr val="8AB0B4"/>
                              </a:gs>
                              <a:gs pos="100000">
                                <a:schemeClr val="bg1"/>
                              </a:gs>
                              <a:gs pos="83000">
                                <a:srgbClr val="AFCACD"/>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3A64" w:rsidRDefault="00063A64"/>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CBB136" id="Group 1" o:spid="_x0000_s1026" style="position:absolute;margin-left:-57.4pt;margin-top:-56.25pt;width:582.75pt;height:760.5pt;z-index:251652096" coordsize="74009,9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">
                <v:rect id="Rectangle 47" o:spid="_x0000_s1027" style="position:absolute;width:53530;height:96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" fillcolor="#448a99" stroked="f" strokeweight="2pt">
                  <v:path arrowok="t"/>
                  <v:textbox inset="21.6pt,1in,21.6pt">
                    <w:txbxContent>
                      <w:p w:rsidR="00063A64" w:rsidRDefault="00063A64"/>
                    </w:txbxContent>
                  </v:textbox>
                </v:rect>
                <v:rect id="Rectangle 48" o:spid="_x0000_s1028" style="position:absolute;left:55340;width:18669;height:64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" fillcolor="#448a99" stroked="f" strokeweight="2pt">
                  <v:fill color2="white [3212]" colors="0 #448a99;11796f #448a99;33423f #8ab0b4;54395f #afcacd" focus="100%" type="gradient">
                    <o:fill v:ext="view" type="gradientUnscaled"/>
                  </v:fill>
                  <v:path arrowok="t"/>
                  <v:textbox inset="14.4pt,,14.4pt">
                    <w:txbxContent>
                      <w:p w:rsidR="00063A64" w:rsidRDefault="00063A64"/>
                    </w:txbxContent>
                  </v:textbox>
                </v:rect>
              </v:group>
            </w:pict>
          </mc:Fallback>
        </mc:AlternateContent>
      </w:r>
    </w:p>
    <w:p w:rsidR="008F72C1" w:rsidRDefault="008F72C1" w:rsidP="00000FEE"/>
    <w:p w:rsidR="008F72C1" w:rsidRDefault="008F72C1" w:rsidP="00000FEE"/>
    <w:p w:rsidR="008F72C1" w:rsidRPr="00C9010F" w:rsidRDefault="00F56A2B" w:rsidP="00000FEE">
      <w:pPr>
        <w:sectPr w:rsidR="008F72C1" w:rsidRPr="00C9010F" w:rsidSect="00E45861">
          <w:headerReference w:type="first" r:id="rId18"/>
          <w:footerReference w:type="first" r:id="rId19"/>
          <w:type w:val="nextColumn"/>
          <w:pgSz w:w="12240" w:h="15840"/>
          <w:pgMar w:top="1440" w:right="1440" w:bottom="1440" w:left="1440" w:header="720" w:footer="720" w:gutter="0"/>
          <w:pgNumType w:fmt="lowerRoman"/>
          <w:cols w:space="720"/>
          <w:docGrid w:linePitch="360"/>
        </w:sectPr>
      </w:pPr>
      <w:r>
        <w:rPr>
          <w:noProof/>
        </w:rPr>
        <mc:AlternateContent>
          <mc:Choice Requires="wps">
            <w:drawing>
              <wp:anchor distT="0" distB="0" distL="114300" distR="114300" simplePos="0" relativeHeight="251654144" behindDoc="0" locked="0" layoutInCell="1" allowOverlap="1" wp14:anchorId="60EA5965" wp14:editId="19744F0F">
                <wp:simplePos x="0" y="0"/>
                <wp:positionH relativeFrom="column">
                  <wp:posOffset>-715010</wp:posOffset>
                </wp:positionH>
                <wp:positionV relativeFrom="paragraph">
                  <wp:posOffset>1114177</wp:posOffset>
                </wp:positionV>
                <wp:extent cx="5342890" cy="1411357"/>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1411357"/>
                        </a:xfrm>
                        <a:prstGeom prst="rect">
                          <a:avLst/>
                        </a:prstGeom>
                        <a:noFill/>
                        <a:ln w="9525">
                          <a:noFill/>
                          <a:miter lim="800000"/>
                          <a:headEnd/>
                          <a:tailEnd/>
                        </a:ln>
                      </wps:spPr>
                      <wps:txbx>
                        <w:txbxContent>
                          <w:p w:rsidR="00063A64" w:rsidRPr="00ED6A0C" w:rsidRDefault="00063A64" w:rsidP="00C34D76">
                            <w:pPr>
                              <w:jc w:val="right"/>
                              <w:rPr>
                                <w:rFonts w:ascii="Century Gothic" w:hAnsi="Century Gothic"/>
                                <w:b/>
                                <w:caps/>
                                <w:color w:val="FFFFFF" w:themeColor="background1"/>
                                <w:sz w:val="52"/>
                                <w:szCs w:val="60"/>
                              </w:rPr>
                            </w:pPr>
                            <w:r w:rsidRPr="00ED6A0C">
                              <w:rPr>
                                <w:rFonts w:ascii="Century Gothic" w:hAnsi="Century Gothic"/>
                                <w:b/>
                                <w:caps/>
                                <w:color w:val="FFFFFF" w:themeColor="background1"/>
                                <w:sz w:val="52"/>
                                <w:szCs w:val="60"/>
                              </w:rPr>
                              <w:t xml:space="preserve">Act 129 Statewide Evaluator </w:t>
                            </w:r>
                          </w:p>
                          <w:p w:rsidR="00063A64" w:rsidRPr="00ED6A0C" w:rsidRDefault="00063A64" w:rsidP="00C34D76">
                            <w:pPr>
                              <w:spacing w:after="240"/>
                              <w:jc w:val="right"/>
                              <w:rPr>
                                <w:rFonts w:ascii="Century Gothic" w:hAnsi="Century Gothic"/>
                                <w:b/>
                                <w:caps/>
                                <w:color w:val="FFFFFF" w:themeColor="background1"/>
                                <w:sz w:val="52"/>
                                <w:szCs w:val="60"/>
                              </w:rPr>
                            </w:pPr>
                            <w:r w:rsidRPr="00ED6A0C">
                              <w:rPr>
                                <w:rFonts w:ascii="Century Gothic" w:hAnsi="Century Gothic"/>
                                <w:b/>
                                <w:caps/>
                                <w:color w:val="FFFFFF" w:themeColor="background1"/>
                                <w:sz w:val="52"/>
                                <w:szCs w:val="60"/>
                              </w:rPr>
                              <w:t>Phase II Final Report</w:t>
                            </w:r>
                          </w:p>
                          <w:p w:rsidR="00063A64" w:rsidRPr="00E12B7E" w:rsidRDefault="00063A64" w:rsidP="00C34D76">
                            <w:pPr>
                              <w:jc w:val="right"/>
                              <w:rPr>
                                <w:rFonts w:ascii="Century Gothic" w:hAnsi="Century Gothic"/>
                                <w:b/>
                                <w:smallCaps/>
                                <w:color w:val="FFFFFF" w:themeColor="background1"/>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EA5965" id="_x0000_t202" coordsize="21600,21600" o:spt="202" path="m,l,21600r21600,l21600,xe">
                <v:stroke joinstyle="miter"/>
                <v:path gradientshapeok="t" o:connecttype="rect"/>
              </v:shapetype>
              <v:shape id="Text Box 2" o:spid="_x0000_s1029" type="#_x0000_t202" style="position:absolute;left:0;text-align:left;margin-left:-56.3pt;margin-top:87.75pt;width:420.7pt;height:11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" filled="f" stroked="f">
                <v:textbox>
                  <w:txbxContent>
                    <w:p w:rsidR="00063A64" w:rsidRPr="00ED6A0C" w:rsidRDefault="00063A64" w:rsidP="00C34D76">
                      <w:pPr>
                        <w:jc w:val="right"/>
                        <w:rPr>
                          <w:rFonts w:ascii="Century Gothic" w:hAnsi="Century Gothic"/>
                          <w:b/>
                          <w:caps/>
                          <w:color w:val="FFFFFF" w:themeColor="background1"/>
                          <w:sz w:val="52"/>
                          <w:szCs w:val="60"/>
                        </w:rPr>
                      </w:pPr>
                      <w:r w:rsidRPr="00ED6A0C">
                        <w:rPr>
                          <w:rFonts w:ascii="Century Gothic" w:hAnsi="Century Gothic"/>
                          <w:b/>
                          <w:caps/>
                          <w:color w:val="FFFFFF" w:themeColor="background1"/>
                          <w:sz w:val="52"/>
                          <w:szCs w:val="60"/>
                        </w:rPr>
                        <w:t xml:space="preserve">Act 129 Statewide Evaluator </w:t>
                      </w:r>
                    </w:p>
                    <w:p w:rsidR="00063A64" w:rsidRPr="00ED6A0C" w:rsidRDefault="00063A64" w:rsidP="00C34D76">
                      <w:pPr>
                        <w:spacing w:after="240"/>
                        <w:jc w:val="right"/>
                        <w:rPr>
                          <w:rFonts w:ascii="Century Gothic" w:hAnsi="Century Gothic"/>
                          <w:b/>
                          <w:caps/>
                          <w:color w:val="FFFFFF" w:themeColor="background1"/>
                          <w:sz w:val="52"/>
                          <w:szCs w:val="60"/>
                        </w:rPr>
                      </w:pPr>
                      <w:r w:rsidRPr="00ED6A0C">
                        <w:rPr>
                          <w:rFonts w:ascii="Century Gothic" w:hAnsi="Century Gothic"/>
                          <w:b/>
                          <w:caps/>
                          <w:color w:val="FFFFFF" w:themeColor="background1"/>
                          <w:sz w:val="52"/>
                          <w:szCs w:val="60"/>
                        </w:rPr>
                        <w:t>Phase II Final Report</w:t>
                      </w:r>
                    </w:p>
                    <w:p w:rsidR="00063A64" w:rsidRPr="00E12B7E" w:rsidRDefault="00063A64" w:rsidP="00C34D76">
                      <w:pPr>
                        <w:jc w:val="right"/>
                        <w:rPr>
                          <w:rFonts w:ascii="Century Gothic" w:hAnsi="Century Gothic"/>
                          <w:b/>
                          <w:smallCaps/>
                          <w:color w:val="FFFFFF" w:themeColor="background1"/>
                          <w:sz w:val="64"/>
                          <w:szCs w:val="64"/>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E09C459" wp14:editId="77BE5243">
                <wp:simplePos x="0" y="0"/>
                <wp:positionH relativeFrom="column">
                  <wp:posOffset>-732790</wp:posOffset>
                </wp:positionH>
                <wp:positionV relativeFrom="paragraph">
                  <wp:posOffset>2925859</wp:posOffset>
                </wp:positionV>
                <wp:extent cx="5353050" cy="25527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552700"/>
                        </a:xfrm>
                        <a:prstGeom prst="rect">
                          <a:avLst/>
                        </a:prstGeom>
                        <a:noFill/>
                        <a:ln w="9525">
                          <a:noFill/>
                          <a:miter lim="800000"/>
                          <a:headEnd/>
                          <a:tailEnd/>
                        </a:ln>
                      </wps:spPr>
                      <wps:txbx>
                        <w:txbxContent>
                          <w:p w:rsidR="00063A64" w:rsidRPr="00F56A2B" w:rsidRDefault="00063A64" w:rsidP="00C34D76">
                            <w:pPr>
                              <w:spacing w:after="120"/>
                              <w:jc w:val="right"/>
                              <w:rPr>
                                <w:rFonts w:ascii="Century Gothic" w:hAnsi="Century Gothic"/>
                                <w:color w:val="FFFFFF" w:themeColor="background1"/>
                                <w:sz w:val="26"/>
                                <w:szCs w:val="26"/>
                              </w:rPr>
                            </w:pPr>
                            <w:r w:rsidRPr="00F56A2B">
                              <w:rPr>
                                <w:rFonts w:ascii="Century Gothic" w:hAnsi="Century Gothic"/>
                                <w:color w:val="FFFFFF" w:themeColor="background1"/>
                                <w:sz w:val="26"/>
                                <w:szCs w:val="26"/>
                              </w:rPr>
                              <w:t xml:space="preserve">Presented to: </w:t>
                            </w:r>
                          </w:p>
                          <w:p w:rsidR="00063A64" w:rsidRPr="00F56A2B" w:rsidRDefault="00063A64" w:rsidP="00C34D76">
                            <w:pPr>
                              <w:spacing w:after="120"/>
                              <w:jc w:val="right"/>
                              <w:rPr>
                                <w:rFonts w:ascii="Century Gothic" w:hAnsi="Century Gothic"/>
                                <w:b/>
                                <w:color w:val="FFFFFF" w:themeColor="background1"/>
                                <w:sz w:val="36"/>
                                <w:szCs w:val="64"/>
                              </w:rPr>
                            </w:pPr>
                            <w:r w:rsidRPr="00F56A2B">
                              <w:rPr>
                                <w:rFonts w:ascii="Century Gothic" w:hAnsi="Century Gothic"/>
                                <w:b/>
                                <w:color w:val="FFFFFF" w:themeColor="background1"/>
                                <w:sz w:val="36"/>
                                <w:szCs w:val="64"/>
                              </w:rPr>
                              <w:t>Pennsylvania Public Utility Commission</w:t>
                            </w:r>
                          </w:p>
                          <w:p w:rsidR="00063A64" w:rsidRDefault="00063A64" w:rsidP="00C34D76">
                            <w:pPr>
                              <w:spacing w:after="120"/>
                              <w:jc w:val="right"/>
                              <w:rPr>
                                <w:rFonts w:ascii="Century Gothic" w:hAnsi="Century Gothic"/>
                                <w:color w:val="FFFFFF" w:themeColor="background1"/>
                                <w:sz w:val="32"/>
                                <w:szCs w:val="64"/>
                              </w:rPr>
                            </w:pPr>
                          </w:p>
                          <w:p w:rsidR="00063A64" w:rsidRPr="00F56A2B" w:rsidRDefault="00063A64" w:rsidP="00C34D76">
                            <w:pPr>
                              <w:spacing w:after="120"/>
                              <w:jc w:val="right"/>
                              <w:rPr>
                                <w:rFonts w:ascii="Century Gothic" w:hAnsi="Century Gothic"/>
                                <w:caps/>
                                <w:color w:val="FFFFFF" w:themeColor="background1"/>
                                <w:sz w:val="32"/>
                                <w:szCs w:val="64"/>
                              </w:rPr>
                            </w:pPr>
                            <w:r>
                              <w:rPr>
                                <w:rFonts w:ascii="Century Gothic" w:hAnsi="Century Gothic"/>
                                <w:color w:val="FFFFFF" w:themeColor="background1"/>
                                <w:sz w:val="28"/>
                                <w:szCs w:val="64"/>
                              </w:rPr>
                              <w:t xml:space="preserve"> </w:t>
                            </w:r>
                            <w:r w:rsidRPr="00F56A2B">
                              <w:rPr>
                                <w:rFonts w:ascii="Century Gothic" w:hAnsi="Century Gothic"/>
                                <w:caps/>
                                <w:color w:val="FFFFFF" w:themeColor="background1"/>
                                <w:sz w:val="32"/>
                                <w:szCs w:val="64"/>
                              </w:rPr>
                              <w:t>Final Report</w:t>
                            </w:r>
                          </w:p>
                          <w:p w:rsidR="00063A64" w:rsidRPr="00682654" w:rsidRDefault="00063A64" w:rsidP="00C34D76">
                            <w:pPr>
                              <w:spacing w:after="120"/>
                              <w:jc w:val="right"/>
                              <w:rPr>
                                <w:rFonts w:ascii="Century Gothic" w:hAnsi="Century Gothic"/>
                                <w:color w:val="FFFFFF" w:themeColor="background1"/>
                                <w:sz w:val="28"/>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9C459" id="_x0000_s1030" type="#_x0000_t202" style="position:absolute;left:0;text-align:left;margin-left:-57.7pt;margin-top:230.4pt;width:421.5pt;height:2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" filled="f" stroked="f">
                <v:textbox>
                  <w:txbxContent>
                    <w:p w:rsidR="00063A64" w:rsidRPr="00F56A2B" w:rsidRDefault="00063A64" w:rsidP="00C34D76">
                      <w:pPr>
                        <w:spacing w:after="120"/>
                        <w:jc w:val="right"/>
                        <w:rPr>
                          <w:rFonts w:ascii="Century Gothic" w:hAnsi="Century Gothic"/>
                          <w:color w:val="FFFFFF" w:themeColor="background1"/>
                          <w:sz w:val="26"/>
                          <w:szCs w:val="26"/>
                        </w:rPr>
                      </w:pPr>
                      <w:r w:rsidRPr="00F56A2B">
                        <w:rPr>
                          <w:rFonts w:ascii="Century Gothic" w:hAnsi="Century Gothic"/>
                          <w:color w:val="FFFFFF" w:themeColor="background1"/>
                          <w:sz w:val="26"/>
                          <w:szCs w:val="26"/>
                        </w:rPr>
                        <w:t xml:space="preserve">Presented to: </w:t>
                      </w:r>
                    </w:p>
                    <w:p w:rsidR="00063A64" w:rsidRPr="00F56A2B" w:rsidRDefault="00063A64" w:rsidP="00C34D76">
                      <w:pPr>
                        <w:spacing w:after="120"/>
                        <w:jc w:val="right"/>
                        <w:rPr>
                          <w:rFonts w:ascii="Century Gothic" w:hAnsi="Century Gothic"/>
                          <w:b/>
                          <w:color w:val="FFFFFF" w:themeColor="background1"/>
                          <w:sz w:val="36"/>
                          <w:szCs w:val="64"/>
                        </w:rPr>
                      </w:pPr>
                      <w:r w:rsidRPr="00F56A2B">
                        <w:rPr>
                          <w:rFonts w:ascii="Century Gothic" w:hAnsi="Century Gothic"/>
                          <w:b/>
                          <w:color w:val="FFFFFF" w:themeColor="background1"/>
                          <w:sz w:val="36"/>
                          <w:szCs w:val="64"/>
                        </w:rPr>
                        <w:t>Pennsylvania Public Utility Commission</w:t>
                      </w:r>
                    </w:p>
                    <w:p w:rsidR="00063A64" w:rsidRDefault="00063A64" w:rsidP="00C34D76">
                      <w:pPr>
                        <w:spacing w:after="120"/>
                        <w:jc w:val="right"/>
                        <w:rPr>
                          <w:rFonts w:ascii="Century Gothic" w:hAnsi="Century Gothic"/>
                          <w:color w:val="FFFFFF" w:themeColor="background1"/>
                          <w:sz w:val="32"/>
                          <w:szCs w:val="64"/>
                        </w:rPr>
                      </w:pPr>
                    </w:p>
                    <w:p w:rsidR="00063A64" w:rsidRPr="00F56A2B" w:rsidRDefault="00063A64" w:rsidP="00C34D76">
                      <w:pPr>
                        <w:spacing w:after="120"/>
                        <w:jc w:val="right"/>
                        <w:rPr>
                          <w:rFonts w:ascii="Century Gothic" w:hAnsi="Century Gothic"/>
                          <w:caps/>
                          <w:color w:val="FFFFFF" w:themeColor="background1"/>
                          <w:sz w:val="32"/>
                          <w:szCs w:val="64"/>
                        </w:rPr>
                      </w:pPr>
                      <w:r>
                        <w:rPr>
                          <w:rFonts w:ascii="Century Gothic" w:hAnsi="Century Gothic"/>
                          <w:color w:val="FFFFFF" w:themeColor="background1"/>
                          <w:sz w:val="28"/>
                          <w:szCs w:val="64"/>
                        </w:rPr>
                        <w:t xml:space="preserve"> </w:t>
                      </w:r>
                      <w:r w:rsidRPr="00F56A2B">
                        <w:rPr>
                          <w:rFonts w:ascii="Century Gothic" w:hAnsi="Century Gothic"/>
                          <w:caps/>
                          <w:color w:val="FFFFFF" w:themeColor="background1"/>
                          <w:sz w:val="32"/>
                          <w:szCs w:val="64"/>
                        </w:rPr>
                        <w:t>Final Report</w:t>
                      </w:r>
                    </w:p>
                    <w:p w:rsidR="00063A64" w:rsidRPr="00682654" w:rsidRDefault="00063A64" w:rsidP="00C34D76">
                      <w:pPr>
                        <w:spacing w:after="120"/>
                        <w:jc w:val="right"/>
                        <w:rPr>
                          <w:rFonts w:ascii="Century Gothic" w:hAnsi="Century Gothic"/>
                          <w:color w:val="FFFFFF" w:themeColor="background1"/>
                          <w:sz w:val="28"/>
                          <w:szCs w:val="64"/>
                        </w:rPr>
                      </w:pPr>
                    </w:p>
                  </w:txbxContent>
                </v:textbox>
              </v:shape>
            </w:pict>
          </mc:Fallback>
        </mc:AlternateContent>
      </w:r>
      <w:r w:rsidR="00964869" w:rsidRPr="00C34D76">
        <w:rPr>
          <w:noProof/>
        </w:rPr>
        <w:drawing>
          <wp:anchor distT="0" distB="0" distL="114300" distR="114300" simplePos="0" relativeHeight="251660288" behindDoc="0" locked="0" layoutInCell="1" allowOverlap="1" wp14:anchorId="5B66BC90" wp14:editId="0F5CD3A1">
            <wp:simplePos x="0" y="0"/>
            <wp:positionH relativeFrom="column">
              <wp:posOffset>4998720</wp:posOffset>
            </wp:positionH>
            <wp:positionV relativeFrom="paragraph">
              <wp:posOffset>6848696</wp:posOffset>
            </wp:positionV>
            <wp:extent cx="1486535" cy="234950"/>
            <wp:effectExtent l="0" t="0" r="0" b="0"/>
            <wp:wrapNone/>
            <wp:docPr id="294" name="Picture 294" descr="C:\Users\kaytie.ruditys\AppData\Local\Microsoft\Windows\Temporary Internet Files\Content.Outlook\ISX68XGE\ria_logomark high.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ytie.ruditys\AppData\Local\Microsoft\Windows\Temporary Internet Files\Content.Outlook\ISX68XGE\ria_logomark high.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6535" cy="234950"/>
                    </a:xfrm>
                    <a:prstGeom prst="rect">
                      <a:avLst/>
                    </a:prstGeom>
                    <a:noFill/>
                    <a:ln>
                      <a:noFill/>
                    </a:ln>
                  </pic:spPr>
                </pic:pic>
              </a:graphicData>
            </a:graphic>
          </wp:anchor>
        </w:drawing>
      </w:r>
      <w:r w:rsidR="00964869" w:rsidRPr="00C34D76">
        <w:rPr>
          <w:noProof/>
        </w:rPr>
        <w:drawing>
          <wp:anchor distT="0" distB="0" distL="114300" distR="114300" simplePos="0" relativeHeight="251662336" behindDoc="0" locked="0" layoutInCell="1" allowOverlap="1" wp14:anchorId="772F8FDE" wp14:editId="76AF2351">
            <wp:simplePos x="0" y="0"/>
            <wp:positionH relativeFrom="column">
              <wp:posOffset>5362575</wp:posOffset>
            </wp:positionH>
            <wp:positionV relativeFrom="paragraph">
              <wp:posOffset>7322682</wp:posOffset>
            </wp:positionV>
            <wp:extent cx="684419" cy="665921"/>
            <wp:effectExtent l="0" t="0" r="1905" b="1270"/>
            <wp:wrapNone/>
            <wp:docPr id="45" name="Picture 34">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35" name="Picture 3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419" cy="665921"/>
                    </a:xfrm>
                    <a:prstGeom prst="rect">
                      <a:avLst/>
                    </a:prstGeom>
                    <a:noFill/>
                  </pic:spPr>
                </pic:pic>
              </a:graphicData>
            </a:graphic>
            <wp14:sizeRelH relativeFrom="margin">
              <wp14:pctWidth>0</wp14:pctWidth>
            </wp14:sizeRelH>
            <wp14:sizeRelV relativeFrom="margin">
              <wp14:pctHeight>0</wp14:pctHeight>
            </wp14:sizeRelV>
          </wp:anchor>
        </w:drawing>
      </w:r>
      <w:r w:rsidR="00964869">
        <w:rPr>
          <w:noProof/>
        </w:rPr>
        <w:drawing>
          <wp:anchor distT="0" distB="0" distL="114300" distR="114300" simplePos="0" relativeHeight="251664384" behindDoc="0" locked="0" layoutInCell="1" allowOverlap="1" wp14:anchorId="37EADB61" wp14:editId="47EEE2F1">
            <wp:simplePos x="0" y="0"/>
            <wp:positionH relativeFrom="column">
              <wp:posOffset>4937760</wp:posOffset>
            </wp:positionH>
            <wp:positionV relativeFrom="paragraph">
              <wp:posOffset>6035040</wp:posOffset>
            </wp:positionV>
            <wp:extent cx="1607820" cy="536575"/>
            <wp:effectExtent l="0" t="0" r="0" b="0"/>
            <wp:wrapTight wrapText="bothSides">
              <wp:wrapPolygon edited="0">
                <wp:start x="512" y="0"/>
                <wp:lineTo x="0" y="1534"/>
                <wp:lineTo x="0" y="12270"/>
                <wp:lineTo x="2559" y="12270"/>
                <wp:lineTo x="2559" y="20705"/>
                <wp:lineTo x="6142" y="20705"/>
                <wp:lineTo x="21242" y="13804"/>
                <wp:lineTo x="21242" y="0"/>
                <wp:lineTo x="3839" y="0"/>
                <wp:lineTo x="512" y="0"/>
              </wp:wrapPolygon>
            </wp:wrapTight>
            <wp:docPr id="298" name="Picture 29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DS-logo_new.png"/>
                    <pic:cNvPicPr/>
                  </pic:nvPicPr>
                  <pic:blipFill>
                    <a:blip r:embed="rId25"/>
                    <a:stretch>
                      <a:fillRect/>
                    </a:stretch>
                  </pic:blipFill>
                  <pic:spPr>
                    <a:xfrm>
                      <a:off x="0" y="0"/>
                      <a:ext cx="1607820" cy="536575"/>
                    </a:xfrm>
                    <a:prstGeom prst="rect">
                      <a:avLst/>
                    </a:prstGeom>
                  </pic:spPr>
                </pic:pic>
              </a:graphicData>
            </a:graphic>
            <wp14:sizeRelH relativeFrom="margin">
              <wp14:pctWidth>0</wp14:pctWidth>
            </wp14:sizeRelH>
            <wp14:sizeRelV relativeFrom="margin">
              <wp14:pctHeight>0</wp14:pctHeight>
            </wp14:sizeRelV>
          </wp:anchor>
        </w:drawing>
      </w:r>
      <w:r w:rsidR="009340AB">
        <w:rPr>
          <w:noProof/>
        </w:rPr>
        <mc:AlternateContent>
          <mc:Choice Requires="wps">
            <w:drawing>
              <wp:anchor distT="0" distB="0" distL="114300" distR="114300" simplePos="0" relativeHeight="251658240" behindDoc="0" locked="0" layoutInCell="1" allowOverlap="1" wp14:anchorId="32851510" wp14:editId="3685D4AA">
                <wp:simplePos x="0" y="0"/>
                <wp:positionH relativeFrom="column">
                  <wp:posOffset>4803775</wp:posOffset>
                </wp:positionH>
                <wp:positionV relativeFrom="paragraph">
                  <wp:posOffset>5252085</wp:posOffset>
                </wp:positionV>
                <wp:extent cx="1875790" cy="4857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485775"/>
                        </a:xfrm>
                        <a:prstGeom prst="rect">
                          <a:avLst/>
                        </a:prstGeom>
                        <a:noFill/>
                        <a:ln w="9525">
                          <a:noFill/>
                          <a:miter lim="800000"/>
                          <a:headEnd/>
                          <a:tailEnd/>
                        </a:ln>
                      </wps:spPr>
                      <wps:txbx>
                        <w:txbxContent>
                          <w:p w:rsidR="00063A64" w:rsidRPr="00677F73" w:rsidRDefault="00063A64" w:rsidP="00C34D76">
                            <w:pPr>
                              <w:spacing w:after="120"/>
                              <w:jc w:val="center"/>
                              <w:rPr>
                                <w:rFonts w:ascii="Century Gothic" w:hAnsi="Century Gothic"/>
                                <w:sz w:val="18"/>
                                <w:szCs w:val="64"/>
                              </w:rPr>
                            </w:pPr>
                            <w:r w:rsidRPr="00677F73">
                              <w:rPr>
                                <w:rFonts w:ascii="Century Gothic" w:hAnsi="Century Gothic"/>
                                <w:sz w:val="18"/>
                                <w:szCs w:val="64"/>
                              </w:rPr>
                              <w:t>Prepared by:</w:t>
                            </w:r>
                          </w:p>
                          <w:p w:rsidR="00063A64" w:rsidRPr="00677F73" w:rsidRDefault="00063A64" w:rsidP="00C34D76">
                            <w:pPr>
                              <w:spacing w:after="120"/>
                              <w:jc w:val="center"/>
                              <w:rPr>
                                <w:rFonts w:ascii="Century Gothic" w:hAnsi="Century Gothic"/>
                                <w:b/>
                                <w:sz w:val="20"/>
                                <w:szCs w:val="64"/>
                              </w:rPr>
                            </w:pPr>
                            <w:r w:rsidRPr="00677F73">
                              <w:rPr>
                                <w:rFonts w:ascii="Century Gothic" w:hAnsi="Century Gothic"/>
                                <w:b/>
                                <w:sz w:val="20"/>
                                <w:szCs w:val="64"/>
                              </w:rPr>
                              <w:t>Statewide Evaluation Team</w:t>
                            </w:r>
                          </w:p>
                          <w:p w:rsidR="00063A64" w:rsidRPr="00677F73" w:rsidRDefault="00063A64" w:rsidP="00C34D76">
                            <w:pPr>
                              <w:spacing w:after="120"/>
                              <w:jc w:val="center"/>
                              <w:rPr>
                                <w:rFonts w:ascii="Century Gothic" w:hAnsi="Century Gothic"/>
                                <w:szCs w:val="64"/>
                              </w:rPr>
                            </w:pPr>
                          </w:p>
                          <w:p w:rsidR="00063A64" w:rsidRPr="00677F73" w:rsidRDefault="00063A64" w:rsidP="00C34D76">
                            <w:pPr>
                              <w:spacing w:after="120"/>
                              <w:jc w:val="center"/>
                              <w:rPr>
                                <w:rFonts w:ascii="Century Gothic" w:hAnsi="Century Gothic"/>
                                <w:b/>
                                <w:sz w:val="20"/>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51510" id="_x0000_s1031" type="#_x0000_t202" style="position:absolute;left:0;text-align:left;margin-left:378.25pt;margin-top:413.55pt;width:147.7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" filled="f" stroked="f">
                <v:textbox>
                  <w:txbxContent>
                    <w:p w:rsidR="00063A64" w:rsidRPr="00677F73" w:rsidRDefault="00063A64" w:rsidP="00C34D76">
                      <w:pPr>
                        <w:spacing w:after="120"/>
                        <w:jc w:val="center"/>
                        <w:rPr>
                          <w:rFonts w:ascii="Century Gothic" w:hAnsi="Century Gothic"/>
                          <w:sz w:val="18"/>
                          <w:szCs w:val="64"/>
                        </w:rPr>
                      </w:pPr>
                      <w:r w:rsidRPr="00677F73">
                        <w:rPr>
                          <w:rFonts w:ascii="Century Gothic" w:hAnsi="Century Gothic"/>
                          <w:sz w:val="18"/>
                          <w:szCs w:val="64"/>
                        </w:rPr>
                        <w:t>Prepared by:</w:t>
                      </w:r>
                    </w:p>
                    <w:p w:rsidR="00063A64" w:rsidRPr="00677F73" w:rsidRDefault="00063A64" w:rsidP="00C34D76">
                      <w:pPr>
                        <w:spacing w:after="120"/>
                        <w:jc w:val="center"/>
                        <w:rPr>
                          <w:rFonts w:ascii="Century Gothic" w:hAnsi="Century Gothic"/>
                          <w:b/>
                          <w:sz w:val="20"/>
                          <w:szCs w:val="64"/>
                        </w:rPr>
                      </w:pPr>
                      <w:r w:rsidRPr="00677F73">
                        <w:rPr>
                          <w:rFonts w:ascii="Century Gothic" w:hAnsi="Century Gothic"/>
                          <w:b/>
                          <w:sz w:val="20"/>
                          <w:szCs w:val="64"/>
                        </w:rPr>
                        <w:t>Statewide Evaluation Team</w:t>
                      </w:r>
                    </w:p>
                    <w:p w:rsidR="00063A64" w:rsidRPr="00677F73" w:rsidRDefault="00063A64" w:rsidP="00C34D76">
                      <w:pPr>
                        <w:spacing w:after="120"/>
                        <w:jc w:val="center"/>
                        <w:rPr>
                          <w:rFonts w:ascii="Century Gothic" w:hAnsi="Century Gothic"/>
                          <w:szCs w:val="64"/>
                        </w:rPr>
                      </w:pPr>
                    </w:p>
                    <w:p w:rsidR="00063A64" w:rsidRPr="00677F73" w:rsidRDefault="00063A64" w:rsidP="00C34D76">
                      <w:pPr>
                        <w:spacing w:after="120"/>
                        <w:jc w:val="center"/>
                        <w:rPr>
                          <w:rFonts w:ascii="Century Gothic" w:hAnsi="Century Gothic"/>
                          <w:b/>
                          <w:sz w:val="20"/>
                          <w:szCs w:val="64"/>
                        </w:rPr>
                      </w:pPr>
                    </w:p>
                  </w:txbxContent>
                </v:textbox>
              </v:shape>
            </w:pict>
          </mc:Fallback>
        </mc:AlternateContent>
      </w:r>
    </w:p>
    <w:p w:rsidR="00F95DF6" w:rsidRPr="00DA2466" w:rsidRDefault="00F95DF6" w:rsidP="00964869">
      <w:pPr>
        <w:pBdr>
          <w:bottom w:val="single" w:sz="8" w:space="1" w:color="448A99"/>
        </w:pBdr>
        <w:spacing w:after="120"/>
        <w:rPr>
          <w:rFonts w:ascii="Century Gothic" w:hAnsi="Century Gothic"/>
          <w:b/>
          <w:caps/>
        </w:rPr>
      </w:pPr>
      <w:r w:rsidRPr="00DA2466">
        <w:rPr>
          <w:rFonts w:ascii="Century Gothic" w:hAnsi="Century Gothic"/>
          <w:b/>
          <w:caps/>
        </w:rPr>
        <w:lastRenderedPageBreak/>
        <w:t>Acknowledgments</w:t>
      </w:r>
    </w:p>
    <w:p w:rsidR="002C0506" w:rsidRPr="002C0506" w:rsidRDefault="002C0506" w:rsidP="002C0506">
      <w:r w:rsidRPr="002C0506">
        <w:t>The Act 129 Phase II Statewide Evaluation (SWE) Team thanks the Energy Association of Pennsylvania, Pennsylvania’s investor-owned electric distribution companies (EDCs), and the EDCs’ Act 129 program staff and evaluation contractors for their feedback and comments on site reports and audit findings incorporated into this SWE Team Phase II</w:t>
      </w:r>
      <w:r w:rsidR="006C1B85">
        <w:t xml:space="preserve"> Final</w:t>
      </w:r>
      <w:r w:rsidRPr="002C0506">
        <w:t xml:space="preserve"> Report, and for their review of the draft of this report. The Phase II SWE Team also thanks </w:t>
      </w:r>
      <w:r w:rsidR="006C1B85">
        <w:t>these entities</w:t>
      </w:r>
      <w:r w:rsidRPr="002C0506">
        <w:t xml:space="preserve"> for their timely provision of data and information for this report, and for their many suggestions for improvements to the SWE Team’s Act 129 auditing and reporting activities. The SWE Team recognizes the many hours that the EDCs’ staff and contractors have devoted to the design and implementation of the EDCs’ Phase II Act 129 energy efficiency and demand reduction programs and to monitoring the progress of these programs.</w:t>
      </w:r>
    </w:p>
    <w:p w:rsidR="002C0506" w:rsidRPr="002C0506" w:rsidRDefault="002C0506" w:rsidP="002C0506"/>
    <w:p w:rsidR="002C0506" w:rsidRPr="002C0506" w:rsidRDefault="002C0506" w:rsidP="002C0506">
      <w:r w:rsidRPr="002C0506">
        <w:t xml:space="preserve">The Phase II SWE Team also thanks the staff of the Pennsylvania Public Utility Commission’s (PUC’s) Bureau of Technical Utility Services (TUS) for their assistance and support in all aspects of the SWE Team’s work since inception, including updating the SWE Evaluation Framework for Phase II of Act 129 and continuing the refinement of developing efficient processes </w:t>
      </w:r>
      <w:r w:rsidR="006C1B85">
        <w:t>for the review and approval of I</w:t>
      </w:r>
      <w:r w:rsidRPr="002C0506">
        <w:t xml:space="preserve">nterim </w:t>
      </w:r>
      <w:r w:rsidR="006C1B85">
        <w:t>M</w:t>
      </w:r>
      <w:r w:rsidRPr="002C0506">
        <w:t xml:space="preserve">easure </w:t>
      </w:r>
      <w:r w:rsidR="006C1B85">
        <w:t>P</w:t>
      </w:r>
      <w:r w:rsidRPr="002C0506">
        <w:t>rotocols for the Pennsylvania Technical Reference Manual</w:t>
      </w:r>
      <w:r w:rsidR="006C1B85">
        <w:t xml:space="preserve"> (TRM)</w:t>
      </w:r>
      <w:r w:rsidRPr="002C0506">
        <w:t>. The SWE Team appreciates the PUC staff’s many constructive comments and recommendations on the draft of this SWE Phase II Final Report to improve its clarity and readability.</w:t>
      </w:r>
    </w:p>
    <w:p w:rsidR="002C0506" w:rsidRPr="002C0506" w:rsidRDefault="002C0506" w:rsidP="002C0506"/>
    <w:p w:rsidR="002C0506" w:rsidRPr="002C0506" w:rsidRDefault="002C0506" w:rsidP="002C0506">
      <w:r w:rsidRPr="002C0506">
        <w:t>This SWE Team Phase II Final Report presents the findings, conclusions, and recommendations of the</w:t>
      </w:r>
      <w:r w:rsidR="00F95DF6" w:rsidRPr="00F95DF6">
        <w:t xml:space="preserve"> </w:t>
      </w:r>
      <w:r w:rsidR="00F95DF6">
        <w:t>Phase II</w:t>
      </w:r>
      <w:r w:rsidRPr="002C0506">
        <w:t xml:space="preserve"> SWE Team only and, as such, is not necessarily agreed to by the EDCs or the Commission. The Commission, while not adopting the findings, conclusions, and recommendations contained in this </w:t>
      </w:r>
      <w:r w:rsidR="006C1B85">
        <w:t>a</w:t>
      </w:r>
      <w:r w:rsidRPr="002C0506">
        <w:t xml:space="preserve">nnual </w:t>
      </w:r>
      <w:r w:rsidR="006C1B85">
        <w:t>r</w:t>
      </w:r>
      <w:r w:rsidRPr="002C0506">
        <w:t xml:space="preserve">eport, may consider and adopt some or all of them in appropriate proceedings, such as future updates to the Pennsylvania </w:t>
      </w:r>
      <w:r w:rsidR="006C1B85">
        <w:t>TRM</w:t>
      </w:r>
      <w:r w:rsidRPr="002C0506">
        <w:t xml:space="preserve">, Total Resource Cost Test Order, and individual EDC </w:t>
      </w:r>
      <w:r w:rsidR="006C1B85">
        <w:t>e</w:t>
      </w:r>
      <w:r w:rsidRPr="002C0506">
        <w:t xml:space="preserve">nergy </w:t>
      </w:r>
      <w:r w:rsidR="006C1B85">
        <w:t>e</w:t>
      </w:r>
      <w:r w:rsidRPr="002C0506">
        <w:t xml:space="preserve">fficiency and </w:t>
      </w:r>
      <w:r w:rsidR="006C1B85">
        <w:t>c</w:t>
      </w:r>
      <w:r w:rsidRPr="002C0506">
        <w:t xml:space="preserve">onservation </w:t>
      </w:r>
      <w:r w:rsidR="006C1B85">
        <w:t>p</w:t>
      </w:r>
      <w:r w:rsidRPr="002C0506">
        <w:t>lan revision proceedings.</w:t>
      </w:r>
    </w:p>
    <w:p w:rsidR="002C0506" w:rsidRPr="002C0506" w:rsidRDefault="002C0506" w:rsidP="002C0506"/>
    <w:p w:rsidR="00964869" w:rsidRDefault="002C0506" w:rsidP="007C68EC">
      <w:pPr>
        <w:sectPr w:rsidR="00964869" w:rsidSect="003965C5">
          <w:headerReference w:type="default" r:id="rId26"/>
          <w:footerReference w:type="default" r:id="rId27"/>
          <w:type w:val="nextColumn"/>
          <w:pgSz w:w="12240" w:h="15840"/>
          <w:pgMar w:top="1440" w:right="1440" w:bottom="810" w:left="1440" w:header="720" w:footer="403" w:gutter="0"/>
          <w:pgNumType w:fmt="lowerRoman" w:start="1"/>
          <w:cols w:space="720"/>
          <w:docGrid w:linePitch="360"/>
        </w:sectPr>
      </w:pPr>
      <w:r w:rsidRPr="002C0506">
        <w:t xml:space="preserve">Last, the SWE Team for Phase II would like to express its gratitude </w:t>
      </w:r>
      <w:r w:rsidR="006C1B85">
        <w:t>for</w:t>
      </w:r>
      <w:r w:rsidRPr="002C0506">
        <w:t xml:space="preserve"> being able to serve the PUC and the citizens of Pennsylvania for the last three years. It has been an excellent experience for our team, and we hope that energy efficiency continues to thrive and serve the customers well in Phase III of Act 129.</w:t>
      </w:r>
    </w:p>
    <w:p w:rsidR="00044107" w:rsidRPr="00472B27" w:rsidRDefault="00DA2466" w:rsidP="0091036A">
      <w:pPr>
        <w:shd w:val="clear" w:color="auto" w:fill="448A99"/>
        <w:jc w:val="right"/>
        <w:rPr>
          <w:rFonts w:ascii="Century Gothic" w:hAnsi="Century Gothic"/>
          <w:smallCaps/>
          <w:color w:val="FFFFFF" w:themeColor="background1"/>
          <w:sz w:val="28"/>
        </w:rPr>
      </w:pPr>
      <w:r>
        <w:rPr>
          <w:rFonts w:ascii="Century Gothic" w:hAnsi="Century Gothic"/>
          <w:smallCaps/>
          <w:color w:val="FFFFFF" w:themeColor="background1"/>
          <w:sz w:val="28"/>
        </w:rPr>
        <w:lastRenderedPageBreak/>
        <w:t xml:space="preserve">Table of </w:t>
      </w:r>
      <w:r w:rsidR="00044107" w:rsidRPr="00472B27">
        <w:rPr>
          <w:rFonts w:ascii="Century Gothic" w:hAnsi="Century Gothic"/>
          <w:smallCaps/>
          <w:color w:val="FFFFFF" w:themeColor="background1"/>
          <w:sz w:val="28"/>
        </w:rPr>
        <w:t>Contents</w:t>
      </w:r>
    </w:p>
    <w:p w:rsidR="008100DD" w:rsidRDefault="001F21DA" w:rsidP="00186590">
      <w:pPr>
        <w:pStyle w:val="TOC1"/>
        <w:rPr>
          <w:rFonts w:eastAsiaTheme="minorEastAsia" w:cstheme="minorBidi"/>
          <w:noProof/>
          <w:sz w:val="22"/>
          <w:szCs w:val="22"/>
        </w:rPr>
      </w:pPr>
      <w:r>
        <w:rPr>
          <w:rFonts w:ascii="Century Gothic" w:hAnsi="Century Gothic"/>
          <w:smallCaps/>
          <w:sz w:val="24"/>
        </w:rPr>
        <w:fldChar w:fldCharType="begin"/>
      </w:r>
      <w:r>
        <w:rPr>
          <w:rFonts w:ascii="Century Gothic" w:hAnsi="Century Gothic"/>
          <w:smallCaps/>
          <w:sz w:val="24"/>
        </w:rPr>
        <w:instrText xml:space="preserve"> TOC \h \z \t "Heading 1,1,Heading 2,2,Heading 3,3" </w:instrText>
      </w:r>
      <w:r>
        <w:rPr>
          <w:rFonts w:ascii="Century Gothic" w:hAnsi="Century Gothic"/>
          <w:smallCaps/>
          <w:sz w:val="24"/>
        </w:rPr>
        <w:fldChar w:fldCharType="separate"/>
      </w:r>
      <w:hyperlink w:anchor="_Toc476913889" w:history="1">
        <w:r w:rsidR="008100DD" w:rsidRPr="005D5290">
          <w:rPr>
            <w:rStyle w:val="Hyperlink"/>
            <w:rFonts w:ascii="Britannic Bold" w:hAnsi="Britannic Bold"/>
            <w:noProof/>
          </w:rPr>
          <w:t>1</w:t>
        </w:r>
        <w:r w:rsidR="008100DD" w:rsidRPr="005D5290">
          <w:rPr>
            <w:rStyle w:val="Hyperlink"/>
            <w:noProof/>
          </w:rPr>
          <w:t xml:space="preserve"> Executive Summary</w:t>
        </w:r>
        <w:r w:rsidR="008100DD">
          <w:rPr>
            <w:noProof/>
            <w:webHidden/>
          </w:rPr>
          <w:tab/>
        </w:r>
        <w:r w:rsidR="008100DD">
          <w:rPr>
            <w:noProof/>
            <w:webHidden/>
          </w:rPr>
          <w:fldChar w:fldCharType="begin"/>
        </w:r>
        <w:r w:rsidR="008100DD">
          <w:rPr>
            <w:noProof/>
            <w:webHidden/>
          </w:rPr>
          <w:instrText xml:space="preserve"> PAGEREF _Toc476913889 \h </w:instrText>
        </w:r>
        <w:r w:rsidR="008100DD">
          <w:rPr>
            <w:noProof/>
            <w:webHidden/>
          </w:rPr>
        </w:r>
        <w:r w:rsidR="008100DD">
          <w:rPr>
            <w:noProof/>
            <w:webHidden/>
          </w:rPr>
          <w:fldChar w:fldCharType="separate"/>
        </w:r>
        <w:r w:rsidR="00A91C81">
          <w:rPr>
            <w:noProof/>
            <w:webHidden/>
          </w:rPr>
          <w:t>1</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890" w:history="1">
        <w:r w:rsidR="008100DD" w:rsidRPr="005D5290">
          <w:rPr>
            <w:rStyle w:val="Hyperlink"/>
            <w:noProof/>
          </w:rPr>
          <w:t>1.1 Act 129 and Summary of PUC Orders</w:t>
        </w:r>
        <w:r w:rsidR="008100DD">
          <w:rPr>
            <w:noProof/>
            <w:webHidden/>
          </w:rPr>
          <w:tab/>
        </w:r>
        <w:r w:rsidR="008100DD">
          <w:rPr>
            <w:noProof/>
            <w:webHidden/>
          </w:rPr>
          <w:fldChar w:fldCharType="begin"/>
        </w:r>
        <w:r w:rsidR="008100DD">
          <w:rPr>
            <w:noProof/>
            <w:webHidden/>
          </w:rPr>
          <w:instrText xml:space="preserve"> PAGEREF _Toc476913890 \h </w:instrText>
        </w:r>
        <w:r w:rsidR="008100DD">
          <w:rPr>
            <w:noProof/>
            <w:webHidden/>
          </w:rPr>
        </w:r>
        <w:r w:rsidR="008100DD">
          <w:rPr>
            <w:noProof/>
            <w:webHidden/>
          </w:rPr>
          <w:fldChar w:fldCharType="separate"/>
        </w:r>
        <w:r w:rsidR="00A91C81">
          <w:rPr>
            <w:noProof/>
            <w:webHidden/>
          </w:rPr>
          <w:t>1</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891" w:history="1">
        <w:r w:rsidR="008100DD" w:rsidRPr="005D5290">
          <w:rPr>
            <w:rStyle w:val="Hyperlink"/>
            <w:noProof/>
          </w:rPr>
          <w:t>1.1.1 Mandated Electricity Consumption Reductions for Phase II</w:t>
        </w:r>
        <w:r w:rsidR="008100DD">
          <w:rPr>
            <w:noProof/>
            <w:webHidden/>
          </w:rPr>
          <w:tab/>
        </w:r>
        <w:r w:rsidR="008100DD">
          <w:rPr>
            <w:noProof/>
            <w:webHidden/>
          </w:rPr>
          <w:fldChar w:fldCharType="begin"/>
        </w:r>
        <w:r w:rsidR="008100DD">
          <w:rPr>
            <w:noProof/>
            <w:webHidden/>
          </w:rPr>
          <w:instrText xml:space="preserve"> PAGEREF _Toc476913891 \h </w:instrText>
        </w:r>
        <w:r w:rsidR="008100DD">
          <w:rPr>
            <w:noProof/>
            <w:webHidden/>
          </w:rPr>
        </w:r>
        <w:r w:rsidR="008100DD">
          <w:rPr>
            <w:noProof/>
            <w:webHidden/>
          </w:rPr>
          <w:fldChar w:fldCharType="separate"/>
        </w:r>
        <w:r w:rsidR="00A91C81">
          <w:rPr>
            <w:noProof/>
            <w:webHidden/>
          </w:rPr>
          <w:t>2</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892" w:history="1">
        <w:r w:rsidR="008100DD" w:rsidRPr="005D5290">
          <w:rPr>
            <w:rStyle w:val="Hyperlink"/>
            <w:noProof/>
          </w:rPr>
          <w:t>1.1.2 Annual Reporting Requirements</w:t>
        </w:r>
        <w:r w:rsidR="008100DD">
          <w:rPr>
            <w:noProof/>
            <w:webHidden/>
          </w:rPr>
          <w:tab/>
        </w:r>
        <w:r w:rsidR="008100DD">
          <w:rPr>
            <w:noProof/>
            <w:webHidden/>
          </w:rPr>
          <w:fldChar w:fldCharType="begin"/>
        </w:r>
        <w:r w:rsidR="008100DD">
          <w:rPr>
            <w:noProof/>
            <w:webHidden/>
          </w:rPr>
          <w:instrText xml:space="preserve"> PAGEREF _Toc476913892 \h </w:instrText>
        </w:r>
        <w:r w:rsidR="008100DD">
          <w:rPr>
            <w:noProof/>
            <w:webHidden/>
          </w:rPr>
        </w:r>
        <w:r w:rsidR="008100DD">
          <w:rPr>
            <w:noProof/>
            <w:webHidden/>
          </w:rPr>
          <w:fldChar w:fldCharType="separate"/>
        </w:r>
        <w:r w:rsidR="00A91C81">
          <w:rPr>
            <w:noProof/>
            <w:webHidden/>
          </w:rPr>
          <w:t>2</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893" w:history="1">
        <w:r w:rsidR="008100DD" w:rsidRPr="005D5290">
          <w:rPr>
            <w:rStyle w:val="Hyperlink"/>
            <w:noProof/>
          </w:rPr>
          <w:t>1.1.3 EDC Cost Recovery for Act 129 EE&amp;C Programs</w:t>
        </w:r>
        <w:r w:rsidR="008100DD">
          <w:rPr>
            <w:noProof/>
            <w:webHidden/>
          </w:rPr>
          <w:tab/>
        </w:r>
        <w:r w:rsidR="008100DD">
          <w:rPr>
            <w:noProof/>
            <w:webHidden/>
          </w:rPr>
          <w:fldChar w:fldCharType="begin"/>
        </w:r>
        <w:r w:rsidR="008100DD">
          <w:rPr>
            <w:noProof/>
            <w:webHidden/>
          </w:rPr>
          <w:instrText xml:space="preserve"> PAGEREF _Toc476913893 \h </w:instrText>
        </w:r>
        <w:r w:rsidR="008100DD">
          <w:rPr>
            <w:noProof/>
            <w:webHidden/>
          </w:rPr>
        </w:r>
        <w:r w:rsidR="008100DD">
          <w:rPr>
            <w:noProof/>
            <w:webHidden/>
          </w:rPr>
          <w:fldChar w:fldCharType="separate"/>
        </w:r>
        <w:r w:rsidR="00A91C81">
          <w:rPr>
            <w:noProof/>
            <w:webHidden/>
          </w:rPr>
          <w:t>3</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894" w:history="1">
        <w:r w:rsidR="008100DD" w:rsidRPr="005D5290">
          <w:rPr>
            <w:rStyle w:val="Hyperlink"/>
            <w:noProof/>
          </w:rPr>
          <w:t>1.1.4 EE&amp;C Program – Phase II Implementation Order</w:t>
        </w:r>
        <w:r w:rsidR="008100DD">
          <w:rPr>
            <w:noProof/>
            <w:webHidden/>
          </w:rPr>
          <w:tab/>
        </w:r>
        <w:r w:rsidR="008100DD">
          <w:rPr>
            <w:noProof/>
            <w:webHidden/>
          </w:rPr>
          <w:fldChar w:fldCharType="begin"/>
        </w:r>
        <w:r w:rsidR="008100DD">
          <w:rPr>
            <w:noProof/>
            <w:webHidden/>
          </w:rPr>
          <w:instrText xml:space="preserve"> PAGEREF _Toc476913894 \h </w:instrText>
        </w:r>
        <w:r w:rsidR="008100DD">
          <w:rPr>
            <w:noProof/>
            <w:webHidden/>
          </w:rPr>
        </w:r>
        <w:r w:rsidR="008100DD">
          <w:rPr>
            <w:noProof/>
            <w:webHidden/>
          </w:rPr>
          <w:fldChar w:fldCharType="separate"/>
        </w:r>
        <w:r w:rsidR="00A91C81">
          <w:rPr>
            <w:noProof/>
            <w:webHidden/>
          </w:rPr>
          <w:t>3</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895" w:history="1">
        <w:r w:rsidR="008100DD" w:rsidRPr="005D5290">
          <w:rPr>
            <w:rStyle w:val="Hyperlink"/>
            <w:noProof/>
          </w:rPr>
          <w:t>1.1.5 Statewide Evaluator</w:t>
        </w:r>
        <w:r w:rsidR="008100DD">
          <w:rPr>
            <w:noProof/>
            <w:webHidden/>
          </w:rPr>
          <w:tab/>
        </w:r>
        <w:r w:rsidR="008100DD">
          <w:rPr>
            <w:noProof/>
            <w:webHidden/>
          </w:rPr>
          <w:fldChar w:fldCharType="begin"/>
        </w:r>
        <w:r w:rsidR="008100DD">
          <w:rPr>
            <w:noProof/>
            <w:webHidden/>
          </w:rPr>
          <w:instrText xml:space="preserve"> PAGEREF _Toc476913895 \h </w:instrText>
        </w:r>
        <w:r w:rsidR="008100DD">
          <w:rPr>
            <w:noProof/>
            <w:webHidden/>
          </w:rPr>
        </w:r>
        <w:r w:rsidR="008100DD">
          <w:rPr>
            <w:noProof/>
            <w:webHidden/>
          </w:rPr>
          <w:fldChar w:fldCharType="separate"/>
        </w:r>
        <w:r w:rsidR="00A91C81">
          <w:rPr>
            <w:noProof/>
            <w:webHidden/>
          </w:rPr>
          <w:t>4</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896" w:history="1">
        <w:r w:rsidR="008100DD" w:rsidRPr="005D5290">
          <w:rPr>
            <w:rStyle w:val="Hyperlink"/>
            <w:noProof/>
          </w:rPr>
          <w:t>1.2 SWE Summary of Activiities</w:t>
        </w:r>
        <w:r w:rsidR="008100DD">
          <w:rPr>
            <w:noProof/>
            <w:webHidden/>
          </w:rPr>
          <w:tab/>
        </w:r>
        <w:r w:rsidR="008100DD">
          <w:rPr>
            <w:noProof/>
            <w:webHidden/>
          </w:rPr>
          <w:fldChar w:fldCharType="begin"/>
        </w:r>
        <w:r w:rsidR="008100DD">
          <w:rPr>
            <w:noProof/>
            <w:webHidden/>
          </w:rPr>
          <w:instrText xml:space="preserve"> PAGEREF _Toc476913896 \h </w:instrText>
        </w:r>
        <w:r w:rsidR="008100DD">
          <w:rPr>
            <w:noProof/>
            <w:webHidden/>
          </w:rPr>
        </w:r>
        <w:r w:rsidR="008100DD">
          <w:rPr>
            <w:noProof/>
            <w:webHidden/>
          </w:rPr>
          <w:fldChar w:fldCharType="separate"/>
        </w:r>
        <w:r w:rsidR="00A91C81">
          <w:rPr>
            <w:noProof/>
            <w:webHidden/>
          </w:rPr>
          <w:t>4</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897" w:history="1">
        <w:r w:rsidR="008100DD" w:rsidRPr="005D5290">
          <w:rPr>
            <w:rStyle w:val="Hyperlink"/>
            <w:noProof/>
          </w:rPr>
          <w:t>1.2.1 Summary of Findings and Recommendations</w:t>
        </w:r>
        <w:r w:rsidR="008100DD">
          <w:rPr>
            <w:noProof/>
            <w:webHidden/>
          </w:rPr>
          <w:tab/>
        </w:r>
        <w:r w:rsidR="008100DD">
          <w:rPr>
            <w:noProof/>
            <w:webHidden/>
          </w:rPr>
          <w:fldChar w:fldCharType="begin"/>
        </w:r>
        <w:r w:rsidR="008100DD">
          <w:rPr>
            <w:noProof/>
            <w:webHidden/>
          </w:rPr>
          <w:instrText xml:space="preserve"> PAGEREF _Toc476913897 \h </w:instrText>
        </w:r>
        <w:r w:rsidR="008100DD">
          <w:rPr>
            <w:noProof/>
            <w:webHidden/>
          </w:rPr>
        </w:r>
        <w:r w:rsidR="008100DD">
          <w:rPr>
            <w:noProof/>
            <w:webHidden/>
          </w:rPr>
          <w:fldChar w:fldCharType="separate"/>
        </w:r>
        <w:r w:rsidR="00A91C81">
          <w:rPr>
            <w:noProof/>
            <w:webHidden/>
          </w:rPr>
          <w:t>5</w:t>
        </w:r>
        <w:r w:rsidR="008100DD">
          <w:rPr>
            <w:noProof/>
            <w:webHidden/>
          </w:rPr>
          <w:fldChar w:fldCharType="end"/>
        </w:r>
      </w:hyperlink>
    </w:p>
    <w:p w:rsidR="008100DD" w:rsidRDefault="002F12C2" w:rsidP="00186590">
      <w:pPr>
        <w:pStyle w:val="TOC1"/>
        <w:rPr>
          <w:rFonts w:eastAsiaTheme="minorEastAsia" w:cstheme="minorBidi"/>
          <w:noProof/>
          <w:sz w:val="22"/>
          <w:szCs w:val="22"/>
        </w:rPr>
      </w:pPr>
      <w:hyperlink w:anchor="_Toc476913898" w:history="1">
        <w:r w:rsidR="008100DD" w:rsidRPr="005D5290">
          <w:rPr>
            <w:rStyle w:val="Hyperlink"/>
            <w:rFonts w:ascii="Britannic Bold" w:hAnsi="Britannic Bold"/>
            <w:noProof/>
          </w:rPr>
          <w:t>2</w:t>
        </w:r>
        <w:r w:rsidR="008100DD" w:rsidRPr="005D5290">
          <w:rPr>
            <w:rStyle w:val="Hyperlink"/>
            <w:noProof/>
          </w:rPr>
          <w:t xml:space="preserve"> Energy Savings – PY7 and Phase II</w:t>
        </w:r>
        <w:r w:rsidR="008100DD">
          <w:rPr>
            <w:noProof/>
            <w:webHidden/>
          </w:rPr>
          <w:tab/>
        </w:r>
        <w:r w:rsidR="008100DD">
          <w:rPr>
            <w:noProof/>
            <w:webHidden/>
          </w:rPr>
          <w:fldChar w:fldCharType="begin"/>
        </w:r>
        <w:r w:rsidR="008100DD">
          <w:rPr>
            <w:noProof/>
            <w:webHidden/>
          </w:rPr>
          <w:instrText xml:space="preserve"> PAGEREF _Toc476913898 \h </w:instrText>
        </w:r>
        <w:r w:rsidR="008100DD">
          <w:rPr>
            <w:noProof/>
            <w:webHidden/>
          </w:rPr>
        </w:r>
        <w:r w:rsidR="008100DD">
          <w:rPr>
            <w:noProof/>
            <w:webHidden/>
          </w:rPr>
          <w:fldChar w:fldCharType="separate"/>
        </w:r>
        <w:r w:rsidR="00A91C81">
          <w:rPr>
            <w:noProof/>
            <w:webHidden/>
          </w:rPr>
          <w:t>12</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899" w:history="1">
        <w:r w:rsidR="008100DD" w:rsidRPr="005D5290">
          <w:rPr>
            <w:rStyle w:val="Hyperlink"/>
            <w:noProof/>
          </w:rPr>
          <w:t>2.1 Review of Phase II Targets Under Act 129</w:t>
        </w:r>
        <w:r w:rsidR="008100DD">
          <w:rPr>
            <w:noProof/>
            <w:webHidden/>
          </w:rPr>
          <w:tab/>
        </w:r>
        <w:r w:rsidR="008100DD">
          <w:rPr>
            <w:noProof/>
            <w:webHidden/>
          </w:rPr>
          <w:fldChar w:fldCharType="begin"/>
        </w:r>
        <w:r w:rsidR="008100DD">
          <w:rPr>
            <w:noProof/>
            <w:webHidden/>
          </w:rPr>
          <w:instrText xml:space="preserve"> PAGEREF _Toc476913899 \h </w:instrText>
        </w:r>
        <w:r w:rsidR="008100DD">
          <w:rPr>
            <w:noProof/>
            <w:webHidden/>
          </w:rPr>
        </w:r>
        <w:r w:rsidR="008100DD">
          <w:rPr>
            <w:noProof/>
            <w:webHidden/>
          </w:rPr>
          <w:fldChar w:fldCharType="separate"/>
        </w:r>
        <w:r w:rsidR="00A91C81">
          <w:rPr>
            <w:noProof/>
            <w:webHidden/>
          </w:rPr>
          <w:t>12</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900" w:history="1">
        <w:r w:rsidR="008100DD" w:rsidRPr="005D5290">
          <w:rPr>
            <w:rStyle w:val="Hyperlink"/>
            <w:noProof/>
          </w:rPr>
          <w:t>2.2 Compliance Summary by EDC</w:t>
        </w:r>
        <w:r w:rsidR="008100DD">
          <w:rPr>
            <w:noProof/>
            <w:webHidden/>
          </w:rPr>
          <w:tab/>
        </w:r>
        <w:r w:rsidR="008100DD">
          <w:rPr>
            <w:noProof/>
            <w:webHidden/>
          </w:rPr>
          <w:fldChar w:fldCharType="begin"/>
        </w:r>
        <w:r w:rsidR="008100DD">
          <w:rPr>
            <w:noProof/>
            <w:webHidden/>
          </w:rPr>
          <w:instrText xml:space="preserve"> PAGEREF _Toc476913900 \h </w:instrText>
        </w:r>
        <w:r w:rsidR="008100DD">
          <w:rPr>
            <w:noProof/>
            <w:webHidden/>
          </w:rPr>
        </w:r>
        <w:r w:rsidR="008100DD">
          <w:rPr>
            <w:noProof/>
            <w:webHidden/>
          </w:rPr>
          <w:fldChar w:fldCharType="separate"/>
        </w:r>
        <w:r w:rsidR="00A91C81">
          <w:rPr>
            <w:noProof/>
            <w:webHidden/>
          </w:rPr>
          <w:t>13</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901" w:history="1">
        <w:r w:rsidR="008100DD" w:rsidRPr="005D5290">
          <w:rPr>
            <w:rStyle w:val="Hyperlink"/>
            <w:noProof/>
          </w:rPr>
          <w:t>2.3 Results for Program Year 7 (2015–2016)</w:t>
        </w:r>
        <w:r w:rsidR="008100DD">
          <w:rPr>
            <w:noProof/>
            <w:webHidden/>
          </w:rPr>
          <w:tab/>
        </w:r>
        <w:r w:rsidR="008100DD">
          <w:rPr>
            <w:noProof/>
            <w:webHidden/>
          </w:rPr>
          <w:fldChar w:fldCharType="begin"/>
        </w:r>
        <w:r w:rsidR="008100DD">
          <w:rPr>
            <w:noProof/>
            <w:webHidden/>
          </w:rPr>
          <w:instrText xml:space="preserve"> PAGEREF _Toc476913901 \h </w:instrText>
        </w:r>
        <w:r w:rsidR="008100DD">
          <w:rPr>
            <w:noProof/>
            <w:webHidden/>
          </w:rPr>
        </w:r>
        <w:r w:rsidR="008100DD">
          <w:rPr>
            <w:noProof/>
            <w:webHidden/>
          </w:rPr>
          <w:fldChar w:fldCharType="separate"/>
        </w:r>
        <w:r w:rsidR="00A91C81">
          <w:rPr>
            <w:noProof/>
            <w:webHidden/>
          </w:rPr>
          <w:t>15</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02" w:history="1">
        <w:r w:rsidR="008100DD" w:rsidRPr="005D5290">
          <w:rPr>
            <w:rStyle w:val="Hyperlink"/>
            <w:noProof/>
          </w:rPr>
          <w:t>2.3.1 Summary of Energy Savings Statewide and by EDC</w:t>
        </w:r>
        <w:r w:rsidR="008100DD">
          <w:rPr>
            <w:noProof/>
            <w:webHidden/>
          </w:rPr>
          <w:tab/>
        </w:r>
        <w:r w:rsidR="008100DD">
          <w:rPr>
            <w:noProof/>
            <w:webHidden/>
          </w:rPr>
          <w:fldChar w:fldCharType="begin"/>
        </w:r>
        <w:r w:rsidR="008100DD">
          <w:rPr>
            <w:noProof/>
            <w:webHidden/>
          </w:rPr>
          <w:instrText xml:space="preserve"> PAGEREF _Toc476913902 \h </w:instrText>
        </w:r>
        <w:r w:rsidR="008100DD">
          <w:rPr>
            <w:noProof/>
            <w:webHidden/>
          </w:rPr>
        </w:r>
        <w:r w:rsidR="008100DD">
          <w:rPr>
            <w:noProof/>
            <w:webHidden/>
          </w:rPr>
          <w:fldChar w:fldCharType="separate"/>
        </w:r>
        <w:r w:rsidR="00A91C81">
          <w:rPr>
            <w:noProof/>
            <w:webHidden/>
          </w:rPr>
          <w:t>15</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03" w:history="1">
        <w:r w:rsidR="008100DD" w:rsidRPr="005D5290">
          <w:rPr>
            <w:rStyle w:val="Hyperlink"/>
            <w:noProof/>
          </w:rPr>
          <w:t>2.3.2 Summary of Energy Savings by Sector</w:t>
        </w:r>
        <w:r w:rsidR="008100DD">
          <w:rPr>
            <w:noProof/>
            <w:webHidden/>
          </w:rPr>
          <w:tab/>
        </w:r>
        <w:r w:rsidR="008100DD">
          <w:rPr>
            <w:noProof/>
            <w:webHidden/>
          </w:rPr>
          <w:fldChar w:fldCharType="begin"/>
        </w:r>
        <w:r w:rsidR="008100DD">
          <w:rPr>
            <w:noProof/>
            <w:webHidden/>
          </w:rPr>
          <w:instrText xml:space="preserve"> PAGEREF _Toc476913903 \h </w:instrText>
        </w:r>
        <w:r w:rsidR="008100DD">
          <w:rPr>
            <w:noProof/>
            <w:webHidden/>
          </w:rPr>
        </w:r>
        <w:r w:rsidR="008100DD">
          <w:rPr>
            <w:noProof/>
            <w:webHidden/>
          </w:rPr>
          <w:fldChar w:fldCharType="separate"/>
        </w:r>
        <w:r w:rsidR="00A91C81">
          <w:rPr>
            <w:noProof/>
            <w:webHidden/>
          </w:rPr>
          <w:t>15</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04" w:history="1">
        <w:r w:rsidR="008100DD" w:rsidRPr="005D5290">
          <w:rPr>
            <w:rStyle w:val="Hyperlink"/>
            <w:noProof/>
          </w:rPr>
          <w:t>2.3.3 Comparison of PY7 Expenditures with Approved EE&amp;C Plan Budget Estimates</w:t>
        </w:r>
        <w:r w:rsidR="008100DD">
          <w:rPr>
            <w:noProof/>
            <w:webHidden/>
          </w:rPr>
          <w:tab/>
        </w:r>
        <w:r w:rsidR="008100DD">
          <w:rPr>
            <w:noProof/>
            <w:webHidden/>
          </w:rPr>
          <w:fldChar w:fldCharType="begin"/>
        </w:r>
        <w:r w:rsidR="008100DD">
          <w:rPr>
            <w:noProof/>
            <w:webHidden/>
          </w:rPr>
          <w:instrText xml:space="preserve"> PAGEREF _Toc476913904 \h </w:instrText>
        </w:r>
        <w:r w:rsidR="008100DD">
          <w:rPr>
            <w:noProof/>
            <w:webHidden/>
          </w:rPr>
        </w:r>
        <w:r w:rsidR="008100DD">
          <w:rPr>
            <w:noProof/>
            <w:webHidden/>
          </w:rPr>
          <w:fldChar w:fldCharType="separate"/>
        </w:r>
        <w:r w:rsidR="00A91C81">
          <w:rPr>
            <w:noProof/>
            <w:webHidden/>
          </w:rPr>
          <w:t>16</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05" w:history="1">
        <w:r w:rsidR="008100DD" w:rsidRPr="005D5290">
          <w:rPr>
            <w:rStyle w:val="Hyperlink"/>
            <w:noProof/>
          </w:rPr>
          <w:t>2.3.4 Comparison of PY7 Per-Participant Costs and Savings for EDC Low-Income Programs</w:t>
        </w:r>
        <w:r w:rsidR="008100DD">
          <w:rPr>
            <w:noProof/>
            <w:webHidden/>
          </w:rPr>
          <w:tab/>
        </w:r>
        <w:r w:rsidR="008100DD">
          <w:rPr>
            <w:noProof/>
            <w:webHidden/>
          </w:rPr>
          <w:fldChar w:fldCharType="begin"/>
        </w:r>
        <w:r w:rsidR="008100DD">
          <w:rPr>
            <w:noProof/>
            <w:webHidden/>
          </w:rPr>
          <w:instrText xml:space="preserve"> PAGEREF _Toc476913905 \h </w:instrText>
        </w:r>
        <w:r w:rsidR="008100DD">
          <w:rPr>
            <w:noProof/>
            <w:webHidden/>
          </w:rPr>
        </w:r>
        <w:r w:rsidR="008100DD">
          <w:rPr>
            <w:noProof/>
            <w:webHidden/>
          </w:rPr>
          <w:fldChar w:fldCharType="separate"/>
        </w:r>
        <w:r w:rsidR="00A91C81">
          <w:rPr>
            <w:noProof/>
            <w:webHidden/>
          </w:rPr>
          <w:t>18</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906" w:history="1">
        <w:r w:rsidR="008100DD" w:rsidRPr="005D5290">
          <w:rPr>
            <w:rStyle w:val="Hyperlink"/>
            <w:noProof/>
          </w:rPr>
          <w:t>2.4 Results for Three-Year ACT 129 Phase II</w:t>
        </w:r>
        <w:r w:rsidR="008100DD">
          <w:rPr>
            <w:noProof/>
            <w:webHidden/>
          </w:rPr>
          <w:tab/>
        </w:r>
        <w:r w:rsidR="008100DD">
          <w:rPr>
            <w:noProof/>
            <w:webHidden/>
          </w:rPr>
          <w:fldChar w:fldCharType="begin"/>
        </w:r>
        <w:r w:rsidR="008100DD">
          <w:rPr>
            <w:noProof/>
            <w:webHidden/>
          </w:rPr>
          <w:instrText xml:space="preserve"> PAGEREF _Toc476913906 \h </w:instrText>
        </w:r>
        <w:r w:rsidR="008100DD">
          <w:rPr>
            <w:noProof/>
            <w:webHidden/>
          </w:rPr>
        </w:r>
        <w:r w:rsidR="008100DD">
          <w:rPr>
            <w:noProof/>
            <w:webHidden/>
          </w:rPr>
          <w:fldChar w:fldCharType="separate"/>
        </w:r>
        <w:r w:rsidR="00A91C81">
          <w:rPr>
            <w:noProof/>
            <w:webHidden/>
          </w:rPr>
          <w:t>29</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07" w:history="1">
        <w:r w:rsidR="008100DD" w:rsidRPr="005D5290">
          <w:rPr>
            <w:rStyle w:val="Hyperlink"/>
            <w:noProof/>
          </w:rPr>
          <w:t>2.4.1 Statewide Summary</w:t>
        </w:r>
        <w:r w:rsidR="008100DD">
          <w:rPr>
            <w:noProof/>
            <w:webHidden/>
          </w:rPr>
          <w:tab/>
        </w:r>
        <w:r w:rsidR="008100DD">
          <w:rPr>
            <w:noProof/>
            <w:webHidden/>
          </w:rPr>
          <w:fldChar w:fldCharType="begin"/>
        </w:r>
        <w:r w:rsidR="008100DD">
          <w:rPr>
            <w:noProof/>
            <w:webHidden/>
          </w:rPr>
          <w:instrText xml:space="preserve"> PAGEREF _Toc476913907 \h </w:instrText>
        </w:r>
        <w:r w:rsidR="008100DD">
          <w:rPr>
            <w:noProof/>
            <w:webHidden/>
          </w:rPr>
        </w:r>
        <w:r w:rsidR="008100DD">
          <w:rPr>
            <w:noProof/>
            <w:webHidden/>
          </w:rPr>
          <w:fldChar w:fldCharType="separate"/>
        </w:r>
        <w:r w:rsidR="00A91C81">
          <w:rPr>
            <w:noProof/>
            <w:webHidden/>
          </w:rPr>
          <w:t>29</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08" w:history="1">
        <w:r w:rsidR="008100DD" w:rsidRPr="005D5290">
          <w:rPr>
            <w:rStyle w:val="Hyperlink"/>
            <w:noProof/>
          </w:rPr>
          <w:t>2.4.2 Duquesne Light</w:t>
        </w:r>
        <w:r w:rsidR="008100DD">
          <w:rPr>
            <w:noProof/>
            <w:webHidden/>
          </w:rPr>
          <w:tab/>
        </w:r>
        <w:r w:rsidR="008100DD">
          <w:rPr>
            <w:noProof/>
            <w:webHidden/>
          </w:rPr>
          <w:fldChar w:fldCharType="begin"/>
        </w:r>
        <w:r w:rsidR="008100DD">
          <w:rPr>
            <w:noProof/>
            <w:webHidden/>
          </w:rPr>
          <w:instrText xml:space="preserve"> PAGEREF _Toc476913908 \h </w:instrText>
        </w:r>
        <w:r w:rsidR="008100DD">
          <w:rPr>
            <w:noProof/>
            <w:webHidden/>
          </w:rPr>
        </w:r>
        <w:r w:rsidR="008100DD">
          <w:rPr>
            <w:noProof/>
            <w:webHidden/>
          </w:rPr>
          <w:fldChar w:fldCharType="separate"/>
        </w:r>
        <w:r w:rsidR="00A91C81">
          <w:rPr>
            <w:noProof/>
            <w:webHidden/>
          </w:rPr>
          <w:t>31</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09" w:history="1">
        <w:r w:rsidR="008100DD" w:rsidRPr="005D5290">
          <w:rPr>
            <w:rStyle w:val="Hyperlink"/>
            <w:noProof/>
          </w:rPr>
          <w:t>2.4.3 Metropolitan Edison Company</w:t>
        </w:r>
        <w:r w:rsidR="008100DD">
          <w:rPr>
            <w:noProof/>
            <w:webHidden/>
          </w:rPr>
          <w:tab/>
        </w:r>
        <w:r w:rsidR="008100DD">
          <w:rPr>
            <w:noProof/>
            <w:webHidden/>
          </w:rPr>
          <w:fldChar w:fldCharType="begin"/>
        </w:r>
        <w:r w:rsidR="008100DD">
          <w:rPr>
            <w:noProof/>
            <w:webHidden/>
          </w:rPr>
          <w:instrText xml:space="preserve"> PAGEREF _Toc476913909 \h </w:instrText>
        </w:r>
        <w:r w:rsidR="008100DD">
          <w:rPr>
            <w:noProof/>
            <w:webHidden/>
          </w:rPr>
        </w:r>
        <w:r w:rsidR="008100DD">
          <w:rPr>
            <w:noProof/>
            <w:webHidden/>
          </w:rPr>
          <w:fldChar w:fldCharType="separate"/>
        </w:r>
        <w:r w:rsidR="00A91C81">
          <w:rPr>
            <w:noProof/>
            <w:webHidden/>
          </w:rPr>
          <w:t>33</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10" w:history="1">
        <w:r w:rsidR="008100DD" w:rsidRPr="005D5290">
          <w:rPr>
            <w:rStyle w:val="Hyperlink"/>
            <w:noProof/>
          </w:rPr>
          <w:t>2.4.4 Pennsylvania Electric Company</w:t>
        </w:r>
        <w:r w:rsidR="008100DD">
          <w:rPr>
            <w:noProof/>
            <w:webHidden/>
          </w:rPr>
          <w:tab/>
        </w:r>
        <w:r w:rsidR="008100DD">
          <w:rPr>
            <w:noProof/>
            <w:webHidden/>
          </w:rPr>
          <w:fldChar w:fldCharType="begin"/>
        </w:r>
        <w:r w:rsidR="008100DD">
          <w:rPr>
            <w:noProof/>
            <w:webHidden/>
          </w:rPr>
          <w:instrText xml:space="preserve"> PAGEREF _Toc476913910 \h </w:instrText>
        </w:r>
        <w:r w:rsidR="008100DD">
          <w:rPr>
            <w:noProof/>
            <w:webHidden/>
          </w:rPr>
        </w:r>
        <w:r w:rsidR="008100DD">
          <w:rPr>
            <w:noProof/>
            <w:webHidden/>
          </w:rPr>
          <w:fldChar w:fldCharType="separate"/>
        </w:r>
        <w:r w:rsidR="00A91C81">
          <w:rPr>
            <w:noProof/>
            <w:webHidden/>
          </w:rPr>
          <w:t>34</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11" w:history="1">
        <w:r w:rsidR="008100DD" w:rsidRPr="005D5290">
          <w:rPr>
            <w:rStyle w:val="Hyperlink"/>
            <w:noProof/>
          </w:rPr>
          <w:t>2.4.5 Pennsylvania Power Company</w:t>
        </w:r>
        <w:r w:rsidR="008100DD">
          <w:rPr>
            <w:noProof/>
            <w:webHidden/>
          </w:rPr>
          <w:tab/>
        </w:r>
        <w:r w:rsidR="008100DD">
          <w:rPr>
            <w:noProof/>
            <w:webHidden/>
          </w:rPr>
          <w:fldChar w:fldCharType="begin"/>
        </w:r>
        <w:r w:rsidR="008100DD">
          <w:rPr>
            <w:noProof/>
            <w:webHidden/>
          </w:rPr>
          <w:instrText xml:space="preserve"> PAGEREF _Toc476913911 \h </w:instrText>
        </w:r>
        <w:r w:rsidR="008100DD">
          <w:rPr>
            <w:noProof/>
            <w:webHidden/>
          </w:rPr>
        </w:r>
        <w:r w:rsidR="008100DD">
          <w:rPr>
            <w:noProof/>
            <w:webHidden/>
          </w:rPr>
          <w:fldChar w:fldCharType="separate"/>
        </w:r>
        <w:r w:rsidR="00A91C81">
          <w:rPr>
            <w:noProof/>
            <w:webHidden/>
          </w:rPr>
          <w:t>35</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12" w:history="1">
        <w:r w:rsidR="008100DD" w:rsidRPr="005D5290">
          <w:rPr>
            <w:rStyle w:val="Hyperlink"/>
            <w:noProof/>
          </w:rPr>
          <w:t>2.4.6 West Penn Power</w:t>
        </w:r>
        <w:r w:rsidR="008100DD">
          <w:rPr>
            <w:noProof/>
            <w:webHidden/>
          </w:rPr>
          <w:tab/>
        </w:r>
        <w:r w:rsidR="008100DD">
          <w:rPr>
            <w:noProof/>
            <w:webHidden/>
          </w:rPr>
          <w:fldChar w:fldCharType="begin"/>
        </w:r>
        <w:r w:rsidR="008100DD">
          <w:rPr>
            <w:noProof/>
            <w:webHidden/>
          </w:rPr>
          <w:instrText xml:space="preserve"> PAGEREF _Toc476913912 \h </w:instrText>
        </w:r>
        <w:r w:rsidR="008100DD">
          <w:rPr>
            <w:noProof/>
            <w:webHidden/>
          </w:rPr>
        </w:r>
        <w:r w:rsidR="008100DD">
          <w:rPr>
            <w:noProof/>
            <w:webHidden/>
          </w:rPr>
          <w:fldChar w:fldCharType="separate"/>
        </w:r>
        <w:r w:rsidR="00A91C81">
          <w:rPr>
            <w:noProof/>
            <w:webHidden/>
          </w:rPr>
          <w:t>37</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13" w:history="1">
        <w:r w:rsidR="008100DD" w:rsidRPr="005D5290">
          <w:rPr>
            <w:rStyle w:val="Hyperlink"/>
            <w:noProof/>
          </w:rPr>
          <w:t>2.4.7 PECO Energy</w:t>
        </w:r>
        <w:r w:rsidR="008100DD">
          <w:rPr>
            <w:noProof/>
            <w:webHidden/>
          </w:rPr>
          <w:tab/>
        </w:r>
        <w:r w:rsidR="008100DD">
          <w:rPr>
            <w:noProof/>
            <w:webHidden/>
          </w:rPr>
          <w:fldChar w:fldCharType="begin"/>
        </w:r>
        <w:r w:rsidR="008100DD">
          <w:rPr>
            <w:noProof/>
            <w:webHidden/>
          </w:rPr>
          <w:instrText xml:space="preserve"> PAGEREF _Toc476913913 \h </w:instrText>
        </w:r>
        <w:r w:rsidR="008100DD">
          <w:rPr>
            <w:noProof/>
            <w:webHidden/>
          </w:rPr>
        </w:r>
        <w:r w:rsidR="008100DD">
          <w:rPr>
            <w:noProof/>
            <w:webHidden/>
          </w:rPr>
          <w:fldChar w:fldCharType="separate"/>
        </w:r>
        <w:r w:rsidR="00A91C81">
          <w:rPr>
            <w:noProof/>
            <w:webHidden/>
          </w:rPr>
          <w:t>38</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14" w:history="1">
        <w:r w:rsidR="008100DD" w:rsidRPr="005D5290">
          <w:rPr>
            <w:rStyle w:val="Hyperlink"/>
            <w:noProof/>
          </w:rPr>
          <w:t>2.4.8 PPL</w:t>
        </w:r>
        <w:r w:rsidR="008100DD">
          <w:rPr>
            <w:noProof/>
            <w:webHidden/>
          </w:rPr>
          <w:tab/>
        </w:r>
        <w:r w:rsidR="008100DD">
          <w:rPr>
            <w:noProof/>
            <w:webHidden/>
          </w:rPr>
          <w:fldChar w:fldCharType="begin"/>
        </w:r>
        <w:r w:rsidR="008100DD">
          <w:rPr>
            <w:noProof/>
            <w:webHidden/>
          </w:rPr>
          <w:instrText xml:space="preserve"> PAGEREF _Toc476913914 \h </w:instrText>
        </w:r>
        <w:r w:rsidR="008100DD">
          <w:rPr>
            <w:noProof/>
            <w:webHidden/>
          </w:rPr>
        </w:r>
        <w:r w:rsidR="008100DD">
          <w:rPr>
            <w:noProof/>
            <w:webHidden/>
          </w:rPr>
          <w:fldChar w:fldCharType="separate"/>
        </w:r>
        <w:r w:rsidR="00A91C81">
          <w:rPr>
            <w:noProof/>
            <w:webHidden/>
          </w:rPr>
          <w:t>40</w:t>
        </w:r>
        <w:r w:rsidR="008100DD">
          <w:rPr>
            <w:noProof/>
            <w:webHidden/>
          </w:rPr>
          <w:fldChar w:fldCharType="end"/>
        </w:r>
      </w:hyperlink>
    </w:p>
    <w:p w:rsidR="008100DD" w:rsidRDefault="002F12C2" w:rsidP="00186590">
      <w:pPr>
        <w:pStyle w:val="TOC1"/>
        <w:rPr>
          <w:rFonts w:eastAsiaTheme="minorEastAsia" w:cstheme="minorBidi"/>
          <w:noProof/>
          <w:sz w:val="22"/>
          <w:szCs w:val="22"/>
        </w:rPr>
      </w:pPr>
      <w:hyperlink w:anchor="_Toc476913915" w:history="1">
        <w:r w:rsidR="008100DD" w:rsidRPr="005D5290">
          <w:rPr>
            <w:rStyle w:val="Hyperlink"/>
            <w:rFonts w:ascii="Britannic Bold" w:hAnsi="Britannic Bold"/>
            <w:noProof/>
          </w:rPr>
          <w:t>3</w:t>
        </w:r>
        <w:r w:rsidR="008100DD" w:rsidRPr="005D5290">
          <w:rPr>
            <w:rStyle w:val="Hyperlink"/>
            <w:noProof/>
          </w:rPr>
          <w:t xml:space="preserve"> Demand Savings from Energy Efficiency – PY7 and Phase II</w:t>
        </w:r>
        <w:r w:rsidR="008100DD">
          <w:rPr>
            <w:noProof/>
            <w:webHidden/>
          </w:rPr>
          <w:tab/>
        </w:r>
        <w:r w:rsidR="008100DD">
          <w:rPr>
            <w:noProof/>
            <w:webHidden/>
          </w:rPr>
          <w:fldChar w:fldCharType="begin"/>
        </w:r>
        <w:r w:rsidR="008100DD">
          <w:rPr>
            <w:noProof/>
            <w:webHidden/>
          </w:rPr>
          <w:instrText xml:space="preserve"> PAGEREF _Toc476913915 \h </w:instrText>
        </w:r>
        <w:r w:rsidR="008100DD">
          <w:rPr>
            <w:noProof/>
            <w:webHidden/>
          </w:rPr>
        </w:r>
        <w:r w:rsidR="008100DD">
          <w:rPr>
            <w:noProof/>
            <w:webHidden/>
          </w:rPr>
          <w:fldChar w:fldCharType="separate"/>
        </w:r>
        <w:r w:rsidR="00A91C81">
          <w:rPr>
            <w:noProof/>
            <w:webHidden/>
          </w:rPr>
          <w:t>42</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916" w:history="1">
        <w:r w:rsidR="008100DD" w:rsidRPr="005D5290">
          <w:rPr>
            <w:rStyle w:val="Hyperlink"/>
            <w:noProof/>
          </w:rPr>
          <w:t>3.1 Results for Three-Year Act 129 Phase II</w:t>
        </w:r>
        <w:r w:rsidR="008100DD">
          <w:rPr>
            <w:noProof/>
            <w:webHidden/>
          </w:rPr>
          <w:tab/>
        </w:r>
        <w:r w:rsidR="008100DD">
          <w:rPr>
            <w:noProof/>
            <w:webHidden/>
          </w:rPr>
          <w:fldChar w:fldCharType="begin"/>
        </w:r>
        <w:r w:rsidR="008100DD">
          <w:rPr>
            <w:noProof/>
            <w:webHidden/>
          </w:rPr>
          <w:instrText xml:space="preserve"> PAGEREF _Toc476913916 \h </w:instrText>
        </w:r>
        <w:r w:rsidR="008100DD">
          <w:rPr>
            <w:noProof/>
            <w:webHidden/>
          </w:rPr>
        </w:r>
        <w:r w:rsidR="008100DD">
          <w:rPr>
            <w:noProof/>
            <w:webHidden/>
          </w:rPr>
          <w:fldChar w:fldCharType="separate"/>
        </w:r>
        <w:r w:rsidR="00A91C81">
          <w:rPr>
            <w:noProof/>
            <w:webHidden/>
          </w:rPr>
          <w:t>42</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17" w:history="1">
        <w:r w:rsidR="008100DD" w:rsidRPr="005D5290">
          <w:rPr>
            <w:rStyle w:val="Hyperlink"/>
            <w:noProof/>
          </w:rPr>
          <w:t>3.1.1 Statewide Summary</w:t>
        </w:r>
        <w:r w:rsidR="008100DD">
          <w:rPr>
            <w:noProof/>
            <w:webHidden/>
          </w:rPr>
          <w:tab/>
        </w:r>
        <w:r w:rsidR="008100DD">
          <w:rPr>
            <w:noProof/>
            <w:webHidden/>
          </w:rPr>
          <w:fldChar w:fldCharType="begin"/>
        </w:r>
        <w:r w:rsidR="008100DD">
          <w:rPr>
            <w:noProof/>
            <w:webHidden/>
          </w:rPr>
          <w:instrText xml:space="preserve"> PAGEREF _Toc476913917 \h </w:instrText>
        </w:r>
        <w:r w:rsidR="008100DD">
          <w:rPr>
            <w:noProof/>
            <w:webHidden/>
          </w:rPr>
        </w:r>
        <w:r w:rsidR="008100DD">
          <w:rPr>
            <w:noProof/>
            <w:webHidden/>
          </w:rPr>
          <w:fldChar w:fldCharType="separate"/>
        </w:r>
        <w:r w:rsidR="00A91C81">
          <w:rPr>
            <w:noProof/>
            <w:webHidden/>
          </w:rPr>
          <w:t>42</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18" w:history="1">
        <w:r w:rsidR="008100DD" w:rsidRPr="005D5290">
          <w:rPr>
            <w:rStyle w:val="Hyperlink"/>
            <w:noProof/>
          </w:rPr>
          <w:t>3.1.2 Duquesne Light</w:t>
        </w:r>
        <w:r w:rsidR="008100DD">
          <w:rPr>
            <w:noProof/>
            <w:webHidden/>
          </w:rPr>
          <w:tab/>
        </w:r>
        <w:r w:rsidR="008100DD">
          <w:rPr>
            <w:noProof/>
            <w:webHidden/>
          </w:rPr>
          <w:fldChar w:fldCharType="begin"/>
        </w:r>
        <w:r w:rsidR="008100DD">
          <w:rPr>
            <w:noProof/>
            <w:webHidden/>
          </w:rPr>
          <w:instrText xml:space="preserve"> PAGEREF _Toc476913918 \h </w:instrText>
        </w:r>
        <w:r w:rsidR="008100DD">
          <w:rPr>
            <w:noProof/>
            <w:webHidden/>
          </w:rPr>
        </w:r>
        <w:r w:rsidR="008100DD">
          <w:rPr>
            <w:noProof/>
            <w:webHidden/>
          </w:rPr>
          <w:fldChar w:fldCharType="separate"/>
        </w:r>
        <w:r w:rsidR="00A91C81">
          <w:rPr>
            <w:noProof/>
            <w:webHidden/>
          </w:rPr>
          <w:t>43</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19" w:history="1">
        <w:r w:rsidR="008100DD" w:rsidRPr="005D5290">
          <w:rPr>
            <w:rStyle w:val="Hyperlink"/>
            <w:noProof/>
          </w:rPr>
          <w:t>3.1.3 Metropolitan Edison Company</w:t>
        </w:r>
        <w:r w:rsidR="008100DD">
          <w:rPr>
            <w:noProof/>
            <w:webHidden/>
          </w:rPr>
          <w:tab/>
        </w:r>
        <w:r w:rsidR="008100DD">
          <w:rPr>
            <w:noProof/>
            <w:webHidden/>
          </w:rPr>
          <w:fldChar w:fldCharType="begin"/>
        </w:r>
        <w:r w:rsidR="008100DD">
          <w:rPr>
            <w:noProof/>
            <w:webHidden/>
          </w:rPr>
          <w:instrText xml:space="preserve"> PAGEREF _Toc476913919 \h </w:instrText>
        </w:r>
        <w:r w:rsidR="008100DD">
          <w:rPr>
            <w:noProof/>
            <w:webHidden/>
          </w:rPr>
        </w:r>
        <w:r w:rsidR="008100DD">
          <w:rPr>
            <w:noProof/>
            <w:webHidden/>
          </w:rPr>
          <w:fldChar w:fldCharType="separate"/>
        </w:r>
        <w:r w:rsidR="00A91C81">
          <w:rPr>
            <w:noProof/>
            <w:webHidden/>
          </w:rPr>
          <w:t>44</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20" w:history="1">
        <w:r w:rsidR="008100DD" w:rsidRPr="005D5290">
          <w:rPr>
            <w:rStyle w:val="Hyperlink"/>
            <w:noProof/>
          </w:rPr>
          <w:t>3.1.4 Pennsylvania Electric Company</w:t>
        </w:r>
        <w:r w:rsidR="008100DD">
          <w:rPr>
            <w:noProof/>
            <w:webHidden/>
          </w:rPr>
          <w:tab/>
        </w:r>
        <w:r w:rsidR="008100DD">
          <w:rPr>
            <w:noProof/>
            <w:webHidden/>
          </w:rPr>
          <w:fldChar w:fldCharType="begin"/>
        </w:r>
        <w:r w:rsidR="008100DD">
          <w:rPr>
            <w:noProof/>
            <w:webHidden/>
          </w:rPr>
          <w:instrText xml:space="preserve"> PAGEREF _Toc476913920 \h </w:instrText>
        </w:r>
        <w:r w:rsidR="008100DD">
          <w:rPr>
            <w:noProof/>
            <w:webHidden/>
          </w:rPr>
        </w:r>
        <w:r w:rsidR="008100DD">
          <w:rPr>
            <w:noProof/>
            <w:webHidden/>
          </w:rPr>
          <w:fldChar w:fldCharType="separate"/>
        </w:r>
        <w:r w:rsidR="00A91C81">
          <w:rPr>
            <w:noProof/>
            <w:webHidden/>
          </w:rPr>
          <w:t>45</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21" w:history="1">
        <w:r w:rsidR="008100DD" w:rsidRPr="005D5290">
          <w:rPr>
            <w:rStyle w:val="Hyperlink"/>
            <w:noProof/>
          </w:rPr>
          <w:t>3.1.5 Pennsylvania Power Company</w:t>
        </w:r>
        <w:r w:rsidR="008100DD">
          <w:rPr>
            <w:noProof/>
            <w:webHidden/>
          </w:rPr>
          <w:tab/>
        </w:r>
        <w:r w:rsidR="008100DD">
          <w:rPr>
            <w:noProof/>
            <w:webHidden/>
          </w:rPr>
          <w:fldChar w:fldCharType="begin"/>
        </w:r>
        <w:r w:rsidR="008100DD">
          <w:rPr>
            <w:noProof/>
            <w:webHidden/>
          </w:rPr>
          <w:instrText xml:space="preserve"> PAGEREF _Toc476913921 \h </w:instrText>
        </w:r>
        <w:r w:rsidR="008100DD">
          <w:rPr>
            <w:noProof/>
            <w:webHidden/>
          </w:rPr>
        </w:r>
        <w:r w:rsidR="008100DD">
          <w:rPr>
            <w:noProof/>
            <w:webHidden/>
          </w:rPr>
          <w:fldChar w:fldCharType="separate"/>
        </w:r>
        <w:r w:rsidR="00A91C81">
          <w:rPr>
            <w:noProof/>
            <w:webHidden/>
          </w:rPr>
          <w:t>46</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22" w:history="1">
        <w:r w:rsidR="008100DD" w:rsidRPr="005D5290">
          <w:rPr>
            <w:rStyle w:val="Hyperlink"/>
            <w:noProof/>
          </w:rPr>
          <w:t>3.1.6 West Penn Power</w:t>
        </w:r>
        <w:r w:rsidR="008100DD">
          <w:rPr>
            <w:noProof/>
            <w:webHidden/>
          </w:rPr>
          <w:tab/>
        </w:r>
        <w:r w:rsidR="008100DD">
          <w:rPr>
            <w:noProof/>
            <w:webHidden/>
          </w:rPr>
          <w:fldChar w:fldCharType="begin"/>
        </w:r>
        <w:r w:rsidR="008100DD">
          <w:rPr>
            <w:noProof/>
            <w:webHidden/>
          </w:rPr>
          <w:instrText xml:space="preserve"> PAGEREF _Toc476913922 \h </w:instrText>
        </w:r>
        <w:r w:rsidR="008100DD">
          <w:rPr>
            <w:noProof/>
            <w:webHidden/>
          </w:rPr>
        </w:r>
        <w:r w:rsidR="008100DD">
          <w:rPr>
            <w:noProof/>
            <w:webHidden/>
          </w:rPr>
          <w:fldChar w:fldCharType="separate"/>
        </w:r>
        <w:r w:rsidR="00A91C81">
          <w:rPr>
            <w:noProof/>
            <w:webHidden/>
          </w:rPr>
          <w:t>47</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23" w:history="1">
        <w:r w:rsidR="008100DD" w:rsidRPr="005D5290">
          <w:rPr>
            <w:rStyle w:val="Hyperlink"/>
            <w:noProof/>
          </w:rPr>
          <w:t>3.1.7 PECO Energy</w:t>
        </w:r>
        <w:r w:rsidR="008100DD">
          <w:rPr>
            <w:noProof/>
            <w:webHidden/>
          </w:rPr>
          <w:tab/>
        </w:r>
        <w:r w:rsidR="008100DD">
          <w:rPr>
            <w:noProof/>
            <w:webHidden/>
          </w:rPr>
          <w:fldChar w:fldCharType="begin"/>
        </w:r>
        <w:r w:rsidR="008100DD">
          <w:rPr>
            <w:noProof/>
            <w:webHidden/>
          </w:rPr>
          <w:instrText xml:space="preserve"> PAGEREF _Toc476913923 \h </w:instrText>
        </w:r>
        <w:r w:rsidR="008100DD">
          <w:rPr>
            <w:noProof/>
            <w:webHidden/>
          </w:rPr>
        </w:r>
        <w:r w:rsidR="008100DD">
          <w:rPr>
            <w:noProof/>
            <w:webHidden/>
          </w:rPr>
          <w:fldChar w:fldCharType="separate"/>
        </w:r>
        <w:r w:rsidR="00A91C81">
          <w:rPr>
            <w:noProof/>
            <w:webHidden/>
          </w:rPr>
          <w:t>48</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24" w:history="1">
        <w:r w:rsidR="008100DD" w:rsidRPr="005D5290">
          <w:rPr>
            <w:rStyle w:val="Hyperlink"/>
            <w:noProof/>
          </w:rPr>
          <w:t>3.1.8 PPL</w:t>
        </w:r>
        <w:r w:rsidR="008100DD">
          <w:rPr>
            <w:noProof/>
            <w:webHidden/>
          </w:rPr>
          <w:tab/>
        </w:r>
        <w:r w:rsidR="008100DD">
          <w:rPr>
            <w:noProof/>
            <w:webHidden/>
          </w:rPr>
          <w:fldChar w:fldCharType="begin"/>
        </w:r>
        <w:r w:rsidR="008100DD">
          <w:rPr>
            <w:noProof/>
            <w:webHidden/>
          </w:rPr>
          <w:instrText xml:space="preserve"> PAGEREF _Toc476913924 \h </w:instrText>
        </w:r>
        <w:r w:rsidR="008100DD">
          <w:rPr>
            <w:noProof/>
            <w:webHidden/>
          </w:rPr>
        </w:r>
        <w:r w:rsidR="008100DD">
          <w:rPr>
            <w:noProof/>
            <w:webHidden/>
          </w:rPr>
          <w:fldChar w:fldCharType="separate"/>
        </w:r>
        <w:r w:rsidR="00A91C81">
          <w:rPr>
            <w:noProof/>
            <w:webHidden/>
          </w:rPr>
          <w:t>49</w:t>
        </w:r>
        <w:r w:rsidR="008100DD">
          <w:rPr>
            <w:noProof/>
            <w:webHidden/>
          </w:rPr>
          <w:fldChar w:fldCharType="end"/>
        </w:r>
      </w:hyperlink>
    </w:p>
    <w:p w:rsidR="008100DD" w:rsidRDefault="002F12C2" w:rsidP="00186590">
      <w:pPr>
        <w:pStyle w:val="TOC1"/>
        <w:rPr>
          <w:rFonts w:eastAsiaTheme="minorEastAsia" w:cstheme="minorBidi"/>
          <w:noProof/>
          <w:sz w:val="22"/>
          <w:szCs w:val="22"/>
        </w:rPr>
      </w:pPr>
      <w:hyperlink w:anchor="_Toc476913925" w:history="1">
        <w:r w:rsidR="008100DD" w:rsidRPr="005D5290">
          <w:rPr>
            <w:rStyle w:val="Hyperlink"/>
            <w:rFonts w:ascii="Britannic Bold" w:hAnsi="Britannic Bold"/>
            <w:noProof/>
          </w:rPr>
          <w:t>4</w:t>
        </w:r>
        <w:r w:rsidR="008100DD" w:rsidRPr="005D5290">
          <w:rPr>
            <w:rStyle w:val="Hyperlink"/>
            <w:noProof/>
          </w:rPr>
          <w:t xml:space="preserve"> Act 129 Benefits and Costs</w:t>
        </w:r>
        <w:r w:rsidR="008100DD">
          <w:rPr>
            <w:noProof/>
            <w:webHidden/>
          </w:rPr>
          <w:tab/>
        </w:r>
        <w:r w:rsidR="008100DD">
          <w:rPr>
            <w:noProof/>
            <w:webHidden/>
          </w:rPr>
          <w:fldChar w:fldCharType="begin"/>
        </w:r>
        <w:r w:rsidR="008100DD">
          <w:rPr>
            <w:noProof/>
            <w:webHidden/>
          </w:rPr>
          <w:instrText xml:space="preserve"> PAGEREF _Toc476913925 \h </w:instrText>
        </w:r>
        <w:r w:rsidR="008100DD">
          <w:rPr>
            <w:noProof/>
            <w:webHidden/>
          </w:rPr>
        </w:r>
        <w:r w:rsidR="008100DD">
          <w:rPr>
            <w:noProof/>
            <w:webHidden/>
          </w:rPr>
          <w:fldChar w:fldCharType="separate"/>
        </w:r>
        <w:r w:rsidR="00A91C81">
          <w:rPr>
            <w:noProof/>
            <w:webHidden/>
          </w:rPr>
          <w:t>51</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926" w:history="1">
        <w:r w:rsidR="008100DD" w:rsidRPr="005D5290">
          <w:rPr>
            <w:rStyle w:val="Hyperlink"/>
            <w:noProof/>
          </w:rPr>
          <w:t>4.1 Phase II TRC Test Results</w:t>
        </w:r>
        <w:r w:rsidR="008100DD">
          <w:rPr>
            <w:noProof/>
            <w:webHidden/>
          </w:rPr>
          <w:tab/>
        </w:r>
        <w:r w:rsidR="008100DD">
          <w:rPr>
            <w:noProof/>
            <w:webHidden/>
          </w:rPr>
          <w:fldChar w:fldCharType="begin"/>
        </w:r>
        <w:r w:rsidR="008100DD">
          <w:rPr>
            <w:noProof/>
            <w:webHidden/>
          </w:rPr>
          <w:instrText xml:space="preserve"> PAGEREF _Toc476913926 \h </w:instrText>
        </w:r>
        <w:r w:rsidR="008100DD">
          <w:rPr>
            <w:noProof/>
            <w:webHidden/>
          </w:rPr>
        </w:r>
        <w:r w:rsidR="008100DD">
          <w:rPr>
            <w:noProof/>
            <w:webHidden/>
          </w:rPr>
          <w:fldChar w:fldCharType="separate"/>
        </w:r>
        <w:r w:rsidR="00A91C81">
          <w:rPr>
            <w:noProof/>
            <w:webHidden/>
          </w:rPr>
          <w:t>51</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27" w:history="1">
        <w:r w:rsidR="008100DD" w:rsidRPr="005D5290">
          <w:rPr>
            <w:rStyle w:val="Hyperlink"/>
            <w:noProof/>
          </w:rPr>
          <w:t>4.1.1 TRC Test Results by Program Year</w:t>
        </w:r>
        <w:r w:rsidR="008100DD">
          <w:rPr>
            <w:noProof/>
            <w:webHidden/>
          </w:rPr>
          <w:tab/>
        </w:r>
        <w:r w:rsidR="008100DD">
          <w:rPr>
            <w:noProof/>
            <w:webHidden/>
          </w:rPr>
          <w:fldChar w:fldCharType="begin"/>
        </w:r>
        <w:r w:rsidR="008100DD">
          <w:rPr>
            <w:noProof/>
            <w:webHidden/>
          </w:rPr>
          <w:instrText xml:space="preserve"> PAGEREF _Toc476913927 \h </w:instrText>
        </w:r>
        <w:r w:rsidR="008100DD">
          <w:rPr>
            <w:noProof/>
            <w:webHidden/>
          </w:rPr>
        </w:r>
        <w:r w:rsidR="008100DD">
          <w:rPr>
            <w:noProof/>
            <w:webHidden/>
          </w:rPr>
          <w:fldChar w:fldCharType="separate"/>
        </w:r>
        <w:r w:rsidR="00A91C81">
          <w:rPr>
            <w:noProof/>
            <w:webHidden/>
          </w:rPr>
          <w:t>51</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28" w:history="1">
        <w:r w:rsidR="008100DD" w:rsidRPr="005D5290">
          <w:rPr>
            <w:rStyle w:val="Hyperlink"/>
            <w:noProof/>
          </w:rPr>
          <w:t>4.1.2 TRC Test Results for Phase II – All Years Combined</w:t>
        </w:r>
        <w:r w:rsidR="008100DD">
          <w:rPr>
            <w:noProof/>
            <w:webHidden/>
          </w:rPr>
          <w:tab/>
        </w:r>
        <w:r w:rsidR="008100DD">
          <w:rPr>
            <w:noProof/>
            <w:webHidden/>
          </w:rPr>
          <w:fldChar w:fldCharType="begin"/>
        </w:r>
        <w:r w:rsidR="008100DD">
          <w:rPr>
            <w:noProof/>
            <w:webHidden/>
          </w:rPr>
          <w:instrText xml:space="preserve"> PAGEREF _Toc476913928 \h </w:instrText>
        </w:r>
        <w:r w:rsidR="008100DD">
          <w:rPr>
            <w:noProof/>
            <w:webHidden/>
          </w:rPr>
        </w:r>
        <w:r w:rsidR="008100DD">
          <w:rPr>
            <w:noProof/>
            <w:webHidden/>
          </w:rPr>
          <w:fldChar w:fldCharType="separate"/>
        </w:r>
        <w:r w:rsidR="00A91C81">
          <w:rPr>
            <w:noProof/>
            <w:webHidden/>
          </w:rPr>
          <w:t>53</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29" w:history="1">
        <w:r w:rsidR="008100DD" w:rsidRPr="005D5290">
          <w:rPr>
            <w:rStyle w:val="Hyperlink"/>
            <w:noProof/>
          </w:rPr>
          <w:t>4.1.3 Phase II TRC Test Results by Sector</w:t>
        </w:r>
        <w:r w:rsidR="008100DD">
          <w:rPr>
            <w:noProof/>
            <w:webHidden/>
          </w:rPr>
          <w:tab/>
        </w:r>
        <w:r w:rsidR="008100DD">
          <w:rPr>
            <w:noProof/>
            <w:webHidden/>
          </w:rPr>
          <w:fldChar w:fldCharType="begin"/>
        </w:r>
        <w:r w:rsidR="008100DD">
          <w:rPr>
            <w:noProof/>
            <w:webHidden/>
          </w:rPr>
          <w:instrText xml:space="preserve"> PAGEREF _Toc476913929 \h </w:instrText>
        </w:r>
        <w:r w:rsidR="008100DD">
          <w:rPr>
            <w:noProof/>
            <w:webHidden/>
          </w:rPr>
        </w:r>
        <w:r w:rsidR="008100DD">
          <w:rPr>
            <w:noProof/>
            <w:webHidden/>
          </w:rPr>
          <w:fldChar w:fldCharType="separate"/>
        </w:r>
        <w:r w:rsidR="00A91C81">
          <w:rPr>
            <w:noProof/>
            <w:webHidden/>
          </w:rPr>
          <w:t>53</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30" w:history="1">
        <w:r w:rsidR="008100DD" w:rsidRPr="005D5290">
          <w:rPr>
            <w:rStyle w:val="Hyperlink"/>
            <w:noProof/>
          </w:rPr>
          <w:t>4.1.4 TRC Test Results by Phase</w:t>
        </w:r>
        <w:r w:rsidR="008100DD">
          <w:rPr>
            <w:noProof/>
            <w:webHidden/>
          </w:rPr>
          <w:tab/>
        </w:r>
        <w:r w:rsidR="008100DD">
          <w:rPr>
            <w:noProof/>
            <w:webHidden/>
          </w:rPr>
          <w:fldChar w:fldCharType="begin"/>
        </w:r>
        <w:r w:rsidR="008100DD">
          <w:rPr>
            <w:noProof/>
            <w:webHidden/>
          </w:rPr>
          <w:instrText xml:space="preserve"> PAGEREF _Toc476913930 \h </w:instrText>
        </w:r>
        <w:r w:rsidR="008100DD">
          <w:rPr>
            <w:noProof/>
            <w:webHidden/>
          </w:rPr>
        </w:r>
        <w:r w:rsidR="008100DD">
          <w:rPr>
            <w:noProof/>
            <w:webHidden/>
          </w:rPr>
          <w:fldChar w:fldCharType="separate"/>
        </w:r>
        <w:r w:rsidR="00A91C81">
          <w:rPr>
            <w:noProof/>
            <w:webHidden/>
          </w:rPr>
          <w:t>54</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931" w:history="1">
        <w:r w:rsidR="008100DD" w:rsidRPr="005D5290">
          <w:rPr>
            <w:rStyle w:val="Hyperlink"/>
            <w:noProof/>
          </w:rPr>
          <w:t>4.2 Phase II TRC Audit Overview</w:t>
        </w:r>
        <w:r w:rsidR="008100DD">
          <w:rPr>
            <w:noProof/>
            <w:webHidden/>
          </w:rPr>
          <w:tab/>
        </w:r>
        <w:r w:rsidR="008100DD">
          <w:rPr>
            <w:noProof/>
            <w:webHidden/>
          </w:rPr>
          <w:fldChar w:fldCharType="begin"/>
        </w:r>
        <w:r w:rsidR="008100DD">
          <w:rPr>
            <w:noProof/>
            <w:webHidden/>
          </w:rPr>
          <w:instrText xml:space="preserve"> PAGEREF _Toc476913931 \h </w:instrText>
        </w:r>
        <w:r w:rsidR="008100DD">
          <w:rPr>
            <w:noProof/>
            <w:webHidden/>
          </w:rPr>
        </w:r>
        <w:r w:rsidR="008100DD">
          <w:rPr>
            <w:noProof/>
            <w:webHidden/>
          </w:rPr>
          <w:fldChar w:fldCharType="separate"/>
        </w:r>
        <w:r w:rsidR="00A91C81">
          <w:rPr>
            <w:noProof/>
            <w:webHidden/>
          </w:rPr>
          <w:t>55</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32" w:history="1">
        <w:r w:rsidR="008100DD" w:rsidRPr="005D5290">
          <w:rPr>
            <w:rStyle w:val="Hyperlink"/>
            <w:noProof/>
          </w:rPr>
          <w:t>4.2.1 Discount Rates and Line Losses</w:t>
        </w:r>
        <w:r w:rsidR="008100DD">
          <w:rPr>
            <w:noProof/>
            <w:webHidden/>
          </w:rPr>
          <w:tab/>
        </w:r>
        <w:r w:rsidR="008100DD">
          <w:rPr>
            <w:noProof/>
            <w:webHidden/>
          </w:rPr>
          <w:fldChar w:fldCharType="begin"/>
        </w:r>
        <w:r w:rsidR="008100DD">
          <w:rPr>
            <w:noProof/>
            <w:webHidden/>
          </w:rPr>
          <w:instrText xml:space="preserve"> PAGEREF _Toc476913932 \h </w:instrText>
        </w:r>
        <w:r w:rsidR="008100DD">
          <w:rPr>
            <w:noProof/>
            <w:webHidden/>
          </w:rPr>
        </w:r>
        <w:r w:rsidR="008100DD">
          <w:rPr>
            <w:noProof/>
            <w:webHidden/>
          </w:rPr>
          <w:fldChar w:fldCharType="separate"/>
        </w:r>
        <w:r w:rsidR="00A91C81">
          <w:rPr>
            <w:noProof/>
            <w:webHidden/>
          </w:rPr>
          <w:t>55</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33" w:history="1">
        <w:r w:rsidR="008100DD" w:rsidRPr="005D5290">
          <w:rPr>
            <w:rStyle w:val="Hyperlink"/>
            <w:noProof/>
          </w:rPr>
          <w:t>4.2.2 Avoided Energy and Capacity Costs</w:t>
        </w:r>
        <w:r w:rsidR="008100DD">
          <w:rPr>
            <w:noProof/>
            <w:webHidden/>
          </w:rPr>
          <w:tab/>
        </w:r>
        <w:r w:rsidR="008100DD">
          <w:rPr>
            <w:noProof/>
            <w:webHidden/>
          </w:rPr>
          <w:fldChar w:fldCharType="begin"/>
        </w:r>
        <w:r w:rsidR="008100DD">
          <w:rPr>
            <w:noProof/>
            <w:webHidden/>
          </w:rPr>
          <w:instrText xml:space="preserve"> PAGEREF _Toc476913933 \h </w:instrText>
        </w:r>
        <w:r w:rsidR="008100DD">
          <w:rPr>
            <w:noProof/>
            <w:webHidden/>
          </w:rPr>
        </w:r>
        <w:r w:rsidR="008100DD">
          <w:rPr>
            <w:noProof/>
            <w:webHidden/>
          </w:rPr>
          <w:fldChar w:fldCharType="separate"/>
        </w:r>
        <w:r w:rsidR="00A91C81">
          <w:rPr>
            <w:noProof/>
            <w:webHidden/>
          </w:rPr>
          <w:t>55</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34" w:history="1">
        <w:r w:rsidR="008100DD" w:rsidRPr="005D5290">
          <w:rPr>
            <w:rStyle w:val="Hyperlink"/>
            <w:noProof/>
          </w:rPr>
          <w:t>4.2.3 Other Input Assumptions</w:t>
        </w:r>
        <w:r w:rsidR="008100DD">
          <w:rPr>
            <w:noProof/>
            <w:webHidden/>
          </w:rPr>
          <w:tab/>
        </w:r>
        <w:r w:rsidR="008100DD">
          <w:rPr>
            <w:noProof/>
            <w:webHidden/>
          </w:rPr>
          <w:fldChar w:fldCharType="begin"/>
        </w:r>
        <w:r w:rsidR="008100DD">
          <w:rPr>
            <w:noProof/>
            <w:webHidden/>
          </w:rPr>
          <w:instrText xml:space="preserve"> PAGEREF _Toc476913934 \h </w:instrText>
        </w:r>
        <w:r w:rsidR="008100DD">
          <w:rPr>
            <w:noProof/>
            <w:webHidden/>
          </w:rPr>
        </w:r>
        <w:r w:rsidR="008100DD">
          <w:rPr>
            <w:noProof/>
            <w:webHidden/>
          </w:rPr>
          <w:fldChar w:fldCharType="separate"/>
        </w:r>
        <w:r w:rsidR="00A91C81">
          <w:rPr>
            <w:noProof/>
            <w:webHidden/>
          </w:rPr>
          <w:t>55</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35" w:history="1">
        <w:r w:rsidR="008100DD" w:rsidRPr="005D5290">
          <w:rPr>
            <w:rStyle w:val="Hyperlink"/>
            <w:noProof/>
          </w:rPr>
          <w:t>4.2.4 Output Review</w:t>
        </w:r>
        <w:r w:rsidR="008100DD">
          <w:rPr>
            <w:noProof/>
            <w:webHidden/>
          </w:rPr>
          <w:tab/>
        </w:r>
        <w:r w:rsidR="008100DD">
          <w:rPr>
            <w:noProof/>
            <w:webHidden/>
          </w:rPr>
          <w:fldChar w:fldCharType="begin"/>
        </w:r>
        <w:r w:rsidR="008100DD">
          <w:rPr>
            <w:noProof/>
            <w:webHidden/>
          </w:rPr>
          <w:instrText xml:space="preserve"> PAGEREF _Toc476913935 \h </w:instrText>
        </w:r>
        <w:r w:rsidR="008100DD">
          <w:rPr>
            <w:noProof/>
            <w:webHidden/>
          </w:rPr>
        </w:r>
        <w:r w:rsidR="008100DD">
          <w:rPr>
            <w:noProof/>
            <w:webHidden/>
          </w:rPr>
          <w:fldChar w:fldCharType="separate"/>
        </w:r>
        <w:r w:rsidR="00A91C81">
          <w:rPr>
            <w:noProof/>
            <w:webHidden/>
          </w:rPr>
          <w:t>56</w:t>
        </w:r>
        <w:r w:rsidR="008100DD">
          <w:rPr>
            <w:noProof/>
            <w:webHidden/>
          </w:rPr>
          <w:fldChar w:fldCharType="end"/>
        </w:r>
      </w:hyperlink>
    </w:p>
    <w:p w:rsidR="008100DD" w:rsidRDefault="002F12C2" w:rsidP="00186590">
      <w:pPr>
        <w:pStyle w:val="TOC1"/>
        <w:rPr>
          <w:rFonts w:eastAsiaTheme="minorEastAsia" w:cstheme="minorBidi"/>
          <w:noProof/>
          <w:sz w:val="22"/>
          <w:szCs w:val="22"/>
        </w:rPr>
      </w:pPr>
      <w:hyperlink w:anchor="_Toc476913936" w:history="1">
        <w:r w:rsidR="008100DD" w:rsidRPr="005D5290">
          <w:rPr>
            <w:rStyle w:val="Hyperlink"/>
            <w:rFonts w:ascii="Britannic Bold" w:hAnsi="Britannic Bold"/>
            <w:noProof/>
          </w:rPr>
          <w:t>5</w:t>
        </w:r>
        <w:r w:rsidR="008100DD" w:rsidRPr="005D5290">
          <w:rPr>
            <w:rStyle w:val="Hyperlink"/>
            <w:noProof/>
          </w:rPr>
          <w:t xml:space="preserve"> SWE Analysis of Phase II Program Delivery</w:t>
        </w:r>
        <w:r w:rsidR="008100DD">
          <w:rPr>
            <w:noProof/>
            <w:webHidden/>
          </w:rPr>
          <w:tab/>
        </w:r>
        <w:r w:rsidR="008100DD">
          <w:rPr>
            <w:noProof/>
            <w:webHidden/>
          </w:rPr>
          <w:fldChar w:fldCharType="begin"/>
        </w:r>
        <w:r w:rsidR="008100DD">
          <w:rPr>
            <w:noProof/>
            <w:webHidden/>
          </w:rPr>
          <w:instrText xml:space="preserve"> PAGEREF _Toc476913936 \h </w:instrText>
        </w:r>
        <w:r w:rsidR="008100DD">
          <w:rPr>
            <w:noProof/>
            <w:webHidden/>
          </w:rPr>
        </w:r>
        <w:r w:rsidR="008100DD">
          <w:rPr>
            <w:noProof/>
            <w:webHidden/>
          </w:rPr>
          <w:fldChar w:fldCharType="separate"/>
        </w:r>
        <w:r w:rsidR="00A91C81">
          <w:rPr>
            <w:noProof/>
            <w:webHidden/>
          </w:rPr>
          <w:t>57</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937" w:history="1">
        <w:r w:rsidR="008100DD" w:rsidRPr="005D5290">
          <w:rPr>
            <w:rStyle w:val="Hyperlink"/>
            <w:noProof/>
          </w:rPr>
          <w:t>5.1 Introduction</w:t>
        </w:r>
        <w:r w:rsidR="008100DD">
          <w:rPr>
            <w:noProof/>
            <w:webHidden/>
          </w:rPr>
          <w:tab/>
        </w:r>
        <w:r w:rsidR="008100DD">
          <w:rPr>
            <w:noProof/>
            <w:webHidden/>
          </w:rPr>
          <w:fldChar w:fldCharType="begin"/>
        </w:r>
        <w:r w:rsidR="008100DD">
          <w:rPr>
            <w:noProof/>
            <w:webHidden/>
          </w:rPr>
          <w:instrText xml:space="preserve"> PAGEREF _Toc476913937 \h </w:instrText>
        </w:r>
        <w:r w:rsidR="008100DD">
          <w:rPr>
            <w:noProof/>
            <w:webHidden/>
          </w:rPr>
        </w:r>
        <w:r w:rsidR="008100DD">
          <w:rPr>
            <w:noProof/>
            <w:webHidden/>
          </w:rPr>
          <w:fldChar w:fldCharType="separate"/>
        </w:r>
        <w:r w:rsidR="00A91C81">
          <w:rPr>
            <w:noProof/>
            <w:webHidden/>
          </w:rPr>
          <w:t>57</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938" w:history="1">
        <w:r w:rsidR="008100DD" w:rsidRPr="005D5290">
          <w:rPr>
            <w:rStyle w:val="Hyperlink"/>
            <w:noProof/>
          </w:rPr>
          <w:t>5.2 Process Evaluation</w:t>
        </w:r>
        <w:r w:rsidR="008100DD">
          <w:rPr>
            <w:noProof/>
            <w:webHidden/>
          </w:rPr>
          <w:tab/>
        </w:r>
        <w:r w:rsidR="008100DD">
          <w:rPr>
            <w:noProof/>
            <w:webHidden/>
          </w:rPr>
          <w:fldChar w:fldCharType="begin"/>
        </w:r>
        <w:r w:rsidR="008100DD">
          <w:rPr>
            <w:noProof/>
            <w:webHidden/>
          </w:rPr>
          <w:instrText xml:space="preserve"> PAGEREF _Toc476913938 \h </w:instrText>
        </w:r>
        <w:r w:rsidR="008100DD">
          <w:rPr>
            <w:noProof/>
            <w:webHidden/>
          </w:rPr>
        </w:r>
        <w:r w:rsidR="008100DD">
          <w:rPr>
            <w:noProof/>
            <w:webHidden/>
          </w:rPr>
          <w:fldChar w:fldCharType="separate"/>
        </w:r>
        <w:r w:rsidR="00A91C81">
          <w:rPr>
            <w:noProof/>
            <w:webHidden/>
          </w:rPr>
          <w:t>57</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39" w:history="1">
        <w:r w:rsidR="008100DD" w:rsidRPr="005D5290">
          <w:rPr>
            <w:rStyle w:val="Hyperlink"/>
            <w:noProof/>
          </w:rPr>
          <w:t>5.2.1 Role of Process Evaluation in Phase II</w:t>
        </w:r>
        <w:r w:rsidR="008100DD">
          <w:rPr>
            <w:noProof/>
            <w:webHidden/>
          </w:rPr>
          <w:tab/>
        </w:r>
        <w:r w:rsidR="008100DD">
          <w:rPr>
            <w:noProof/>
            <w:webHidden/>
          </w:rPr>
          <w:fldChar w:fldCharType="begin"/>
        </w:r>
        <w:r w:rsidR="008100DD">
          <w:rPr>
            <w:noProof/>
            <w:webHidden/>
          </w:rPr>
          <w:instrText xml:space="preserve"> PAGEREF _Toc476913939 \h </w:instrText>
        </w:r>
        <w:r w:rsidR="008100DD">
          <w:rPr>
            <w:noProof/>
            <w:webHidden/>
          </w:rPr>
        </w:r>
        <w:r w:rsidR="008100DD">
          <w:rPr>
            <w:noProof/>
            <w:webHidden/>
          </w:rPr>
          <w:fldChar w:fldCharType="separate"/>
        </w:r>
        <w:r w:rsidR="00A91C81">
          <w:rPr>
            <w:noProof/>
            <w:webHidden/>
          </w:rPr>
          <w:t>57</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40" w:history="1">
        <w:r w:rsidR="008100DD" w:rsidRPr="005D5290">
          <w:rPr>
            <w:rStyle w:val="Hyperlink"/>
            <w:noProof/>
          </w:rPr>
          <w:t>5.2.2 SWE Analysis of Phase II Process Evaluation</w:t>
        </w:r>
        <w:r w:rsidR="008100DD">
          <w:rPr>
            <w:noProof/>
            <w:webHidden/>
          </w:rPr>
          <w:tab/>
        </w:r>
        <w:r w:rsidR="008100DD">
          <w:rPr>
            <w:noProof/>
            <w:webHidden/>
          </w:rPr>
          <w:fldChar w:fldCharType="begin"/>
        </w:r>
        <w:r w:rsidR="008100DD">
          <w:rPr>
            <w:noProof/>
            <w:webHidden/>
          </w:rPr>
          <w:instrText xml:space="preserve"> PAGEREF _Toc476913940 \h </w:instrText>
        </w:r>
        <w:r w:rsidR="008100DD">
          <w:rPr>
            <w:noProof/>
            <w:webHidden/>
          </w:rPr>
        </w:r>
        <w:r w:rsidR="008100DD">
          <w:rPr>
            <w:noProof/>
            <w:webHidden/>
          </w:rPr>
          <w:fldChar w:fldCharType="separate"/>
        </w:r>
        <w:r w:rsidR="00A91C81">
          <w:rPr>
            <w:noProof/>
            <w:webHidden/>
          </w:rPr>
          <w:t>57</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41" w:history="1">
        <w:r w:rsidR="008100DD" w:rsidRPr="005D5290">
          <w:rPr>
            <w:rStyle w:val="Hyperlink"/>
            <w:noProof/>
          </w:rPr>
          <w:t>5.2.3 Results for Program Year 7 (2015–2016)</w:t>
        </w:r>
        <w:r w:rsidR="008100DD">
          <w:rPr>
            <w:noProof/>
            <w:webHidden/>
          </w:rPr>
          <w:tab/>
        </w:r>
        <w:r w:rsidR="008100DD">
          <w:rPr>
            <w:noProof/>
            <w:webHidden/>
          </w:rPr>
          <w:fldChar w:fldCharType="begin"/>
        </w:r>
        <w:r w:rsidR="008100DD">
          <w:rPr>
            <w:noProof/>
            <w:webHidden/>
          </w:rPr>
          <w:instrText xml:space="preserve"> PAGEREF _Toc476913941 \h </w:instrText>
        </w:r>
        <w:r w:rsidR="008100DD">
          <w:rPr>
            <w:noProof/>
            <w:webHidden/>
          </w:rPr>
        </w:r>
        <w:r w:rsidR="008100DD">
          <w:rPr>
            <w:noProof/>
            <w:webHidden/>
          </w:rPr>
          <w:fldChar w:fldCharType="separate"/>
        </w:r>
        <w:r w:rsidR="00A91C81">
          <w:rPr>
            <w:noProof/>
            <w:webHidden/>
          </w:rPr>
          <w:t>60</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42" w:history="1">
        <w:r w:rsidR="008100DD" w:rsidRPr="005D5290">
          <w:rPr>
            <w:rStyle w:val="Hyperlink"/>
            <w:noProof/>
          </w:rPr>
          <w:t>5.2.4 Results for Three-Year Act 129 Phase II</w:t>
        </w:r>
        <w:r w:rsidR="008100DD">
          <w:rPr>
            <w:noProof/>
            <w:webHidden/>
          </w:rPr>
          <w:tab/>
        </w:r>
        <w:r w:rsidR="008100DD">
          <w:rPr>
            <w:noProof/>
            <w:webHidden/>
          </w:rPr>
          <w:fldChar w:fldCharType="begin"/>
        </w:r>
        <w:r w:rsidR="008100DD">
          <w:rPr>
            <w:noProof/>
            <w:webHidden/>
          </w:rPr>
          <w:instrText xml:space="preserve"> PAGEREF _Toc476913942 \h </w:instrText>
        </w:r>
        <w:r w:rsidR="008100DD">
          <w:rPr>
            <w:noProof/>
            <w:webHidden/>
          </w:rPr>
        </w:r>
        <w:r w:rsidR="008100DD">
          <w:rPr>
            <w:noProof/>
            <w:webHidden/>
          </w:rPr>
          <w:fldChar w:fldCharType="separate"/>
        </w:r>
        <w:r w:rsidR="00A91C81">
          <w:rPr>
            <w:noProof/>
            <w:webHidden/>
          </w:rPr>
          <w:t>62</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943" w:history="1">
        <w:r w:rsidR="008100DD" w:rsidRPr="005D5290">
          <w:rPr>
            <w:rStyle w:val="Hyperlink"/>
            <w:noProof/>
          </w:rPr>
          <w:t>5.3 Net-to-Gross Research to Support Program Design</w:t>
        </w:r>
        <w:r w:rsidR="008100DD">
          <w:rPr>
            <w:noProof/>
            <w:webHidden/>
          </w:rPr>
          <w:tab/>
        </w:r>
        <w:r w:rsidR="008100DD">
          <w:rPr>
            <w:noProof/>
            <w:webHidden/>
          </w:rPr>
          <w:fldChar w:fldCharType="begin"/>
        </w:r>
        <w:r w:rsidR="008100DD">
          <w:rPr>
            <w:noProof/>
            <w:webHidden/>
          </w:rPr>
          <w:instrText xml:space="preserve"> PAGEREF _Toc476913943 \h </w:instrText>
        </w:r>
        <w:r w:rsidR="008100DD">
          <w:rPr>
            <w:noProof/>
            <w:webHidden/>
          </w:rPr>
        </w:r>
        <w:r w:rsidR="008100DD">
          <w:rPr>
            <w:noProof/>
            <w:webHidden/>
          </w:rPr>
          <w:fldChar w:fldCharType="separate"/>
        </w:r>
        <w:r w:rsidR="00A91C81">
          <w:rPr>
            <w:noProof/>
            <w:webHidden/>
          </w:rPr>
          <w:t>66</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44" w:history="1">
        <w:r w:rsidR="008100DD" w:rsidRPr="005D5290">
          <w:rPr>
            <w:rStyle w:val="Hyperlink"/>
            <w:noProof/>
          </w:rPr>
          <w:t>5.3.1 Purpose of Net-to-Gross Research</w:t>
        </w:r>
        <w:r w:rsidR="008100DD">
          <w:rPr>
            <w:noProof/>
            <w:webHidden/>
          </w:rPr>
          <w:tab/>
        </w:r>
        <w:r w:rsidR="008100DD">
          <w:rPr>
            <w:noProof/>
            <w:webHidden/>
          </w:rPr>
          <w:fldChar w:fldCharType="begin"/>
        </w:r>
        <w:r w:rsidR="008100DD">
          <w:rPr>
            <w:noProof/>
            <w:webHidden/>
          </w:rPr>
          <w:instrText xml:space="preserve"> PAGEREF _Toc476913944 \h </w:instrText>
        </w:r>
        <w:r w:rsidR="008100DD">
          <w:rPr>
            <w:noProof/>
            <w:webHidden/>
          </w:rPr>
        </w:r>
        <w:r w:rsidR="008100DD">
          <w:rPr>
            <w:noProof/>
            <w:webHidden/>
          </w:rPr>
          <w:fldChar w:fldCharType="separate"/>
        </w:r>
        <w:r w:rsidR="00A91C81">
          <w:rPr>
            <w:noProof/>
            <w:webHidden/>
          </w:rPr>
          <w:t>66</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45" w:history="1">
        <w:r w:rsidR="008100DD" w:rsidRPr="005D5290">
          <w:rPr>
            <w:rStyle w:val="Hyperlink"/>
            <w:noProof/>
          </w:rPr>
          <w:t>5.3.2 SWE Analysis of Phase II Net-to-Gross Reporting</w:t>
        </w:r>
        <w:r w:rsidR="008100DD">
          <w:rPr>
            <w:noProof/>
            <w:webHidden/>
          </w:rPr>
          <w:tab/>
        </w:r>
        <w:r w:rsidR="008100DD">
          <w:rPr>
            <w:noProof/>
            <w:webHidden/>
          </w:rPr>
          <w:fldChar w:fldCharType="begin"/>
        </w:r>
        <w:r w:rsidR="008100DD">
          <w:rPr>
            <w:noProof/>
            <w:webHidden/>
          </w:rPr>
          <w:instrText xml:space="preserve"> PAGEREF _Toc476913945 \h </w:instrText>
        </w:r>
        <w:r w:rsidR="008100DD">
          <w:rPr>
            <w:noProof/>
            <w:webHidden/>
          </w:rPr>
        </w:r>
        <w:r w:rsidR="008100DD">
          <w:rPr>
            <w:noProof/>
            <w:webHidden/>
          </w:rPr>
          <w:fldChar w:fldCharType="separate"/>
        </w:r>
        <w:r w:rsidR="00A91C81">
          <w:rPr>
            <w:noProof/>
            <w:webHidden/>
          </w:rPr>
          <w:t>67</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46" w:history="1">
        <w:r w:rsidR="008100DD" w:rsidRPr="005D5290">
          <w:rPr>
            <w:rStyle w:val="Hyperlink"/>
            <w:noProof/>
          </w:rPr>
          <w:t>5.3.3 Results for Program Year 7 (2015–2016)</w:t>
        </w:r>
        <w:r w:rsidR="008100DD">
          <w:rPr>
            <w:noProof/>
            <w:webHidden/>
          </w:rPr>
          <w:tab/>
        </w:r>
        <w:r w:rsidR="008100DD">
          <w:rPr>
            <w:noProof/>
            <w:webHidden/>
          </w:rPr>
          <w:fldChar w:fldCharType="begin"/>
        </w:r>
        <w:r w:rsidR="008100DD">
          <w:rPr>
            <w:noProof/>
            <w:webHidden/>
          </w:rPr>
          <w:instrText xml:space="preserve"> PAGEREF _Toc476913946 \h </w:instrText>
        </w:r>
        <w:r w:rsidR="008100DD">
          <w:rPr>
            <w:noProof/>
            <w:webHidden/>
          </w:rPr>
        </w:r>
        <w:r w:rsidR="008100DD">
          <w:rPr>
            <w:noProof/>
            <w:webHidden/>
          </w:rPr>
          <w:fldChar w:fldCharType="separate"/>
        </w:r>
        <w:r w:rsidR="00A91C81">
          <w:rPr>
            <w:noProof/>
            <w:webHidden/>
          </w:rPr>
          <w:t>68</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47" w:history="1">
        <w:r w:rsidR="008100DD" w:rsidRPr="005D5290">
          <w:rPr>
            <w:rStyle w:val="Hyperlink"/>
            <w:noProof/>
          </w:rPr>
          <w:t>5.3.4 Results for Three-Year Act 129 Phase II</w:t>
        </w:r>
        <w:r w:rsidR="008100DD">
          <w:rPr>
            <w:noProof/>
            <w:webHidden/>
          </w:rPr>
          <w:tab/>
        </w:r>
        <w:r w:rsidR="008100DD">
          <w:rPr>
            <w:noProof/>
            <w:webHidden/>
          </w:rPr>
          <w:fldChar w:fldCharType="begin"/>
        </w:r>
        <w:r w:rsidR="008100DD">
          <w:rPr>
            <w:noProof/>
            <w:webHidden/>
          </w:rPr>
          <w:instrText xml:space="preserve"> PAGEREF _Toc476913947 \h </w:instrText>
        </w:r>
        <w:r w:rsidR="008100DD">
          <w:rPr>
            <w:noProof/>
            <w:webHidden/>
          </w:rPr>
        </w:r>
        <w:r w:rsidR="008100DD">
          <w:rPr>
            <w:noProof/>
            <w:webHidden/>
          </w:rPr>
          <w:fldChar w:fldCharType="separate"/>
        </w:r>
        <w:r w:rsidR="00A91C81">
          <w:rPr>
            <w:noProof/>
            <w:webHidden/>
          </w:rPr>
          <w:t>73</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948" w:history="1">
        <w:r w:rsidR="008100DD" w:rsidRPr="005D5290">
          <w:rPr>
            <w:rStyle w:val="Hyperlink"/>
            <w:noProof/>
          </w:rPr>
          <w:t>5.4 Best Practices and Lessons Learned</w:t>
        </w:r>
        <w:r w:rsidR="008100DD">
          <w:rPr>
            <w:noProof/>
            <w:webHidden/>
          </w:rPr>
          <w:tab/>
        </w:r>
        <w:r w:rsidR="008100DD">
          <w:rPr>
            <w:noProof/>
            <w:webHidden/>
          </w:rPr>
          <w:fldChar w:fldCharType="begin"/>
        </w:r>
        <w:r w:rsidR="008100DD">
          <w:rPr>
            <w:noProof/>
            <w:webHidden/>
          </w:rPr>
          <w:instrText xml:space="preserve"> PAGEREF _Toc476913948 \h </w:instrText>
        </w:r>
        <w:r w:rsidR="008100DD">
          <w:rPr>
            <w:noProof/>
            <w:webHidden/>
          </w:rPr>
        </w:r>
        <w:r w:rsidR="008100DD">
          <w:rPr>
            <w:noProof/>
            <w:webHidden/>
          </w:rPr>
          <w:fldChar w:fldCharType="separate"/>
        </w:r>
        <w:r w:rsidR="00A91C81">
          <w:rPr>
            <w:noProof/>
            <w:webHidden/>
          </w:rPr>
          <w:t>78</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49" w:history="1">
        <w:r w:rsidR="008100DD" w:rsidRPr="005D5290">
          <w:rPr>
            <w:rStyle w:val="Hyperlink"/>
            <w:noProof/>
          </w:rPr>
          <w:t>5.4.1 Evaluation, Measurement, and Verification Best Practices</w:t>
        </w:r>
        <w:r w:rsidR="008100DD">
          <w:rPr>
            <w:noProof/>
            <w:webHidden/>
          </w:rPr>
          <w:tab/>
        </w:r>
        <w:r w:rsidR="008100DD">
          <w:rPr>
            <w:noProof/>
            <w:webHidden/>
          </w:rPr>
          <w:fldChar w:fldCharType="begin"/>
        </w:r>
        <w:r w:rsidR="008100DD">
          <w:rPr>
            <w:noProof/>
            <w:webHidden/>
          </w:rPr>
          <w:instrText xml:space="preserve"> PAGEREF _Toc476913949 \h </w:instrText>
        </w:r>
        <w:r w:rsidR="008100DD">
          <w:rPr>
            <w:noProof/>
            <w:webHidden/>
          </w:rPr>
        </w:r>
        <w:r w:rsidR="008100DD">
          <w:rPr>
            <w:noProof/>
            <w:webHidden/>
          </w:rPr>
          <w:fldChar w:fldCharType="separate"/>
        </w:r>
        <w:r w:rsidR="00A91C81">
          <w:rPr>
            <w:noProof/>
            <w:webHidden/>
          </w:rPr>
          <w:t>78</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950" w:history="1">
        <w:r w:rsidR="008100DD" w:rsidRPr="005D5290">
          <w:rPr>
            <w:rStyle w:val="Hyperlink"/>
            <w:noProof/>
          </w:rPr>
          <w:t>5.5 Technical Reference Manual</w:t>
        </w:r>
        <w:r w:rsidR="008100DD">
          <w:rPr>
            <w:noProof/>
            <w:webHidden/>
          </w:rPr>
          <w:tab/>
        </w:r>
        <w:r w:rsidR="008100DD">
          <w:rPr>
            <w:noProof/>
            <w:webHidden/>
          </w:rPr>
          <w:fldChar w:fldCharType="begin"/>
        </w:r>
        <w:r w:rsidR="008100DD">
          <w:rPr>
            <w:noProof/>
            <w:webHidden/>
          </w:rPr>
          <w:instrText xml:space="preserve"> PAGEREF _Toc476913950 \h </w:instrText>
        </w:r>
        <w:r w:rsidR="008100DD">
          <w:rPr>
            <w:noProof/>
            <w:webHidden/>
          </w:rPr>
        </w:r>
        <w:r w:rsidR="008100DD">
          <w:rPr>
            <w:noProof/>
            <w:webHidden/>
          </w:rPr>
          <w:fldChar w:fldCharType="separate"/>
        </w:r>
        <w:r w:rsidR="00A91C81">
          <w:rPr>
            <w:noProof/>
            <w:webHidden/>
          </w:rPr>
          <w:t>80</w:t>
        </w:r>
        <w:r w:rsidR="008100DD">
          <w:rPr>
            <w:noProof/>
            <w:webHidden/>
          </w:rPr>
          <w:fldChar w:fldCharType="end"/>
        </w:r>
      </w:hyperlink>
    </w:p>
    <w:p w:rsidR="008100DD" w:rsidRDefault="002F12C2">
      <w:pPr>
        <w:pStyle w:val="TOC2"/>
        <w:rPr>
          <w:rFonts w:eastAsiaTheme="minorEastAsia" w:cstheme="minorBidi"/>
          <w:smallCaps w:val="0"/>
          <w:noProof/>
          <w:sz w:val="22"/>
          <w:szCs w:val="22"/>
        </w:rPr>
      </w:pPr>
      <w:hyperlink w:anchor="_Toc476913951" w:history="1">
        <w:r w:rsidR="008100DD" w:rsidRPr="005D5290">
          <w:rPr>
            <w:rStyle w:val="Hyperlink"/>
            <w:noProof/>
          </w:rPr>
          <w:t>5.6 Recommendations for Program Improvements for Subsequent ACT 129 Phases</w:t>
        </w:r>
        <w:r w:rsidR="008100DD">
          <w:rPr>
            <w:noProof/>
            <w:webHidden/>
          </w:rPr>
          <w:tab/>
        </w:r>
        <w:r w:rsidR="008100DD">
          <w:rPr>
            <w:noProof/>
            <w:webHidden/>
          </w:rPr>
          <w:fldChar w:fldCharType="begin"/>
        </w:r>
        <w:r w:rsidR="008100DD">
          <w:rPr>
            <w:noProof/>
            <w:webHidden/>
          </w:rPr>
          <w:instrText xml:space="preserve"> PAGEREF _Toc476913951 \h </w:instrText>
        </w:r>
        <w:r w:rsidR="008100DD">
          <w:rPr>
            <w:noProof/>
            <w:webHidden/>
          </w:rPr>
        </w:r>
        <w:r w:rsidR="008100DD">
          <w:rPr>
            <w:noProof/>
            <w:webHidden/>
          </w:rPr>
          <w:fldChar w:fldCharType="separate"/>
        </w:r>
        <w:r w:rsidR="00A91C81">
          <w:rPr>
            <w:noProof/>
            <w:webHidden/>
          </w:rPr>
          <w:t>81</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52" w:history="1">
        <w:r w:rsidR="008100DD" w:rsidRPr="005D5290">
          <w:rPr>
            <w:rStyle w:val="Hyperlink"/>
            <w:noProof/>
          </w:rPr>
          <w:t>5.6.1 Emerging Ideas in Program Design and Implementation</w:t>
        </w:r>
        <w:r w:rsidR="008100DD">
          <w:rPr>
            <w:noProof/>
            <w:webHidden/>
          </w:rPr>
          <w:tab/>
        </w:r>
        <w:r w:rsidR="008100DD">
          <w:rPr>
            <w:noProof/>
            <w:webHidden/>
          </w:rPr>
          <w:fldChar w:fldCharType="begin"/>
        </w:r>
        <w:r w:rsidR="008100DD">
          <w:rPr>
            <w:noProof/>
            <w:webHidden/>
          </w:rPr>
          <w:instrText xml:space="preserve"> PAGEREF _Toc476913952 \h </w:instrText>
        </w:r>
        <w:r w:rsidR="008100DD">
          <w:rPr>
            <w:noProof/>
            <w:webHidden/>
          </w:rPr>
        </w:r>
        <w:r w:rsidR="008100DD">
          <w:rPr>
            <w:noProof/>
            <w:webHidden/>
          </w:rPr>
          <w:fldChar w:fldCharType="separate"/>
        </w:r>
        <w:r w:rsidR="00A91C81">
          <w:rPr>
            <w:noProof/>
            <w:webHidden/>
          </w:rPr>
          <w:t>81</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53" w:history="1">
        <w:r w:rsidR="008100DD" w:rsidRPr="005D5290">
          <w:rPr>
            <w:rStyle w:val="Hyperlink"/>
            <w:noProof/>
          </w:rPr>
          <w:t>5.6.2 Process Evaluation Recommendations</w:t>
        </w:r>
        <w:r w:rsidR="008100DD">
          <w:rPr>
            <w:noProof/>
            <w:webHidden/>
          </w:rPr>
          <w:tab/>
        </w:r>
        <w:r w:rsidR="008100DD">
          <w:rPr>
            <w:noProof/>
            <w:webHidden/>
          </w:rPr>
          <w:fldChar w:fldCharType="begin"/>
        </w:r>
        <w:r w:rsidR="008100DD">
          <w:rPr>
            <w:noProof/>
            <w:webHidden/>
          </w:rPr>
          <w:instrText xml:space="preserve"> PAGEREF _Toc476913953 \h </w:instrText>
        </w:r>
        <w:r w:rsidR="008100DD">
          <w:rPr>
            <w:noProof/>
            <w:webHidden/>
          </w:rPr>
        </w:r>
        <w:r w:rsidR="008100DD">
          <w:rPr>
            <w:noProof/>
            <w:webHidden/>
          </w:rPr>
          <w:fldChar w:fldCharType="separate"/>
        </w:r>
        <w:r w:rsidR="00A91C81">
          <w:rPr>
            <w:noProof/>
            <w:webHidden/>
          </w:rPr>
          <w:t>90</w:t>
        </w:r>
        <w:r w:rsidR="008100DD">
          <w:rPr>
            <w:noProof/>
            <w:webHidden/>
          </w:rPr>
          <w:fldChar w:fldCharType="end"/>
        </w:r>
      </w:hyperlink>
    </w:p>
    <w:p w:rsidR="008100DD" w:rsidRDefault="002F12C2" w:rsidP="00186590">
      <w:pPr>
        <w:pStyle w:val="TOC1"/>
        <w:rPr>
          <w:rFonts w:eastAsiaTheme="minorEastAsia" w:cstheme="minorBidi"/>
          <w:noProof/>
          <w:sz w:val="22"/>
          <w:szCs w:val="22"/>
        </w:rPr>
      </w:pPr>
      <w:hyperlink w:anchor="_Toc476913954" w:history="1">
        <w:r w:rsidR="008100DD" w:rsidRPr="005D5290">
          <w:rPr>
            <w:rStyle w:val="Hyperlink"/>
            <w:rFonts w:ascii="Britannic Bold" w:hAnsi="Britannic Bold"/>
            <w:noProof/>
          </w:rPr>
          <w:t>6</w:t>
        </w:r>
        <w:r w:rsidR="008100DD" w:rsidRPr="005D5290">
          <w:rPr>
            <w:rStyle w:val="Hyperlink"/>
            <w:noProof/>
          </w:rPr>
          <w:t xml:space="preserve"> Phase I and Phase II Savings</w:t>
        </w:r>
        <w:r w:rsidR="008100DD">
          <w:rPr>
            <w:noProof/>
            <w:webHidden/>
          </w:rPr>
          <w:tab/>
        </w:r>
        <w:r w:rsidR="008100DD">
          <w:rPr>
            <w:noProof/>
            <w:webHidden/>
          </w:rPr>
          <w:fldChar w:fldCharType="begin"/>
        </w:r>
        <w:r w:rsidR="008100DD">
          <w:rPr>
            <w:noProof/>
            <w:webHidden/>
          </w:rPr>
          <w:instrText xml:space="preserve"> PAGEREF _Toc476913954 \h </w:instrText>
        </w:r>
        <w:r w:rsidR="008100DD">
          <w:rPr>
            <w:noProof/>
            <w:webHidden/>
          </w:rPr>
        </w:r>
        <w:r w:rsidR="008100DD">
          <w:rPr>
            <w:noProof/>
            <w:webHidden/>
          </w:rPr>
          <w:fldChar w:fldCharType="separate"/>
        </w:r>
        <w:r w:rsidR="00A91C81">
          <w:rPr>
            <w:noProof/>
            <w:webHidden/>
          </w:rPr>
          <w:t>93</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55" w:history="1">
        <w:r w:rsidR="008100DD" w:rsidRPr="005D5290">
          <w:rPr>
            <w:rStyle w:val="Hyperlink"/>
            <w:noProof/>
          </w:rPr>
          <w:t>6.1 Cost Per kWh</w:t>
        </w:r>
        <w:r w:rsidR="008100DD">
          <w:rPr>
            <w:noProof/>
            <w:webHidden/>
          </w:rPr>
          <w:tab/>
        </w:r>
        <w:r w:rsidR="008100DD">
          <w:rPr>
            <w:noProof/>
            <w:webHidden/>
          </w:rPr>
          <w:fldChar w:fldCharType="begin"/>
        </w:r>
        <w:r w:rsidR="008100DD">
          <w:rPr>
            <w:noProof/>
            <w:webHidden/>
          </w:rPr>
          <w:instrText xml:space="preserve"> PAGEREF _Toc476913955 \h </w:instrText>
        </w:r>
        <w:r w:rsidR="008100DD">
          <w:rPr>
            <w:noProof/>
            <w:webHidden/>
          </w:rPr>
        </w:r>
        <w:r w:rsidR="008100DD">
          <w:rPr>
            <w:noProof/>
            <w:webHidden/>
          </w:rPr>
          <w:fldChar w:fldCharType="separate"/>
        </w:r>
        <w:r w:rsidR="00A91C81">
          <w:rPr>
            <w:noProof/>
            <w:webHidden/>
          </w:rPr>
          <w:t>93</w:t>
        </w:r>
        <w:r w:rsidR="008100DD">
          <w:rPr>
            <w:noProof/>
            <w:webHidden/>
          </w:rPr>
          <w:fldChar w:fldCharType="end"/>
        </w:r>
      </w:hyperlink>
    </w:p>
    <w:p w:rsidR="008100DD" w:rsidRDefault="002F12C2">
      <w:pPr>
        <w:pStyle w:val="TOC3"/>
        <w:rPr>
          <w:rFonts w:eastAsiaTheme="minorEastAsia" w:cstheme="minorBidi"/>
          <w:i w:val="0"/>
          <w:iCs w:val="0"/>
          <w:noProof/>
          <w:sz w:val="22"/>
          <w:szCs w:val="22"/>
        </w:rPr>
      </w:pPr>
      <w:hyperlink w:anchor="_Toc476913956" w:history="1">
        <w:r w:rsidR="008100DD" w:rsidRPr="005D5290">
          <w:rPr>
            <w:rStyle w:val="Hyperlink"/>
            <w:noProof/>
          </w:rPr>
          <w:t>6.2 Cumulative Annual Phase I and II Combined kWh Savings</w:t>
        </w:r>
        <w:r w:rsidR="008100DD">
          <w:rPr>
            <w:noProof/>
            <w:webHidden/>
          </w:rPr>
          <w:tab/>
        </w:r>
        <w:r w:rsidR="008100DD">
          <w:rPr>
            <w:noProof/>
            <w:webHidden/>
          </w:rPr>
          <w:fldChar w:fldCharType="begin"/>
        </w:r>
        <w:r w:rsidR="008100DD">
          <w:rPr>
            <w:noProof/>
            <w:webHidden/>
          </w:rPr>
          <w:instrText xml:space="preserve"> PAGEREF _Toc476913956 \h </w:instrText>
        </w:r>
        <w:r w:rsidR="008100DD">
          <w:rPr>
            <w:noProof/>
            <w:webHidden/>
          </w:rPr>
        </w:r>
        <w:r w:rsidR="008100DD">
          <w:rPr>
            <w:noProof/>
            <w:webHidden/>
          </w:rPr>
          <w:fldChar w:fldCharType="separate"/>
        </w:r>
        <w:r w:rsidR="00A91C81">
          <w:rPr>
            <w:noProof/>
            <w:webHidden/>
          </w:rPr>
          <w:t>105</w:t>
        </w:r>
        <w:r w:rsidR="008100DD">
          <w:rPr>
            <w:noProof/>
            <w:webHidden/>
          </w:rPr>
          <w:fldChar w:fldCharType="end"/>
        </w:r>
      </w:hyperlink>
    </w:p>
    <w:p w:rsidR="008100DD" w:rsidRDefault="002F12C2" w:rsidP="00186590">
      <w:pPr>
        <w:pStyle w:val="TOC1"/>
        <w:rPr>
          <w:rFonts w:eastAsiaTheme="minorEastAsia" w:cstheme="minorBidi"/>
          <w:noProof/>
          <w:sz w:val="22"/>
          <w:szCs w:val="22"/>
        </w:rPr>
      </w:pPr>
      <w:hyperlink w:anchor="_Toc476913957" w:history="1">
        <w:r w:rsidR="008100DD" w:rsidRPr="005D5290">
          <w:rPr>
            <w:rStyle w:val="Hyperlink"/>
            <w:rFonts w:ascii="Britannic Bold" w:hAnsi="Britannic Bold"/>
            <w:noProof/>
          </w:rPr>
          <w:t>7</w:t>
        </w:r>
        <w:r w:rsidR="008100DD" w:rsidRPr="005D5290">
          <w:rPr>
            <w:rStyle w:val="Hyperlink"/>
            <w:noProof/>
          </w:rPr>
          <w:t xml:space="preserve"> Findings, Conclusions, and Recommendations</w:t>
        </w:r>
        <w:r w:rsidR="008100DD">
          <w:rPr>
            <w:noProof/>
            <w:webHidden/>
          </w:rPr>
          <w:tab/>
        </w:r>
        <w:r w:rsidR="008100DD">
          <w:rPr>
            <w:noProof/>
            <w:webHidden/>
          </w:rPr>
          <w:fldChar w:fldCharType="begin"/>
        </w:r>
        <w:r w:rsidR="008100DD">
          <w:rPr>
            <w:noProof/>
            <w:webHidden/>
          </w:rPr>
          <w:instrText xml:space="preserve"> PAGEREF _Toc476913957 \h </w:instrText>
        </w:r>
        <w:r w:rsidR="008100DD">
          <w:rPr>
            <w:noProof/>
            <w:webHidden/>
          </w:rPr>
        </w:r>
        <w:r w:rsidR="008100DD">
          <w:rPr>
            <w:noProof/>
            <w:webHidden/>
          </w:rPr>
          <w:fldChar w:fldCharType="separate"/>
        </w:r>
        <w:r w:rsidR="00A91C81">
          <w:rPr>
            <w:noProof/>
            <w:webHidden/>
          </w:rPr>
          <w:t>107</w:t>
        </w:r>
        <w:r w:rsidR="008100DD">
          <w:rPr>
            <w:noProof/>
            <w:webHidden/>
          </w:rPr>
          <w:fldChar w:fldCharType="end"/>
        </w:r>
      </w:hyperlink>
    </w:p>
    <w:p w:rsidR="008100DD" w:rsidRDefault="002F12C2" w:rsidP="00186590">
      <w:pPr>
        <w:pStyle w:val="TOC1"/>
        <w:rPr>
          <w:rFonts w:eastAsiaTheme="minorEastAsia" w:cstheme="minorBidi"/>
          <w:noProof/>
          <w:sz w:val="22"/>
          <w:szCs w:val="22"/>
        </w:rPr>
      </w:pPr>
      <w:hyperlink w:anchor="_Toc476913958" w:history="1">
        <w:r w:rsidR="008100DD" w:rsidRPr="005D5290">
          <w:rPr>
            <w:rStyle w:val="Hyperlink"/>
            <w:noProof/>
          </w:rPr>
          <w:t>Appendix A| PY7 Audit Activities and Findings</w:t>
        </w:r>
        <w:r w:rsidR="008100DD">
          <w:rPr>
            <w:noProof/>
            <w:webHidden/>
          </w:rPr>
          <w:tab/>
        </w:r>
        <w:r w:rsidR="008100DD">
          <w:rPr>
            <w:noProof/>
            <w:webHidden/>
          </w:rPr>
          <w:fldChar w:fldCharType="begin"/>
        </w:r>
        <w:r w:rsidR="008100DD">
          <w:rPr>
            <w:noProof/>
            <w:webHidden/>
          </w:rPr>
          <w:instrText xml:space="preserve"> PAGEREF _Toc476913958 \h </w:instrText>
        </w:r>
        <w:r w:rsidR="008100DD">
          <w:rPr>
            <w:noProof/>
            <w:webHidden/>
          </w:rPr>
        </w:r>
        <w:r w:rsidR="008100DD">
          <w:rPr>
            <w:noProof/>
            <w:webHidden/>
          </w:rPr>
          <w:fldChar w:fldCharType="separate"/>
        </w:r>
        <w:r w:rsidR="00A91C81">
          <w:rPr>
            <w:noProof/>
            <w:webHidden/>
          </w:rPr>
          <w:t>113</w:t>
        </w:r>
        <w:r w:rsidR="008100DD">
          <w:rPr>
            <w:noProof/>
            <w:webHidden/>
          </w:rPr>
          <w:fldChar w:fldCharType="end"/>
        </w:r>
      </w:hyperlink>
    </w:p>
    <w:p w:rsidR="008100DD" w:rsidRDefault="002F12C2" w:rsidP="00186590">
      <w:pPr>
        <w:pStyle w:val="TOC1"/>
        <w:rPr>
          <w:rFonts w:eastAsiaTheme="minorEastAsia" w:cstheme="minorBidi"/>
          <w:noProof/>
          <w:sz w:val="22"/>
          <w:szCs w:val="22"/>
        </w:rPr>
      </w:pPr>
      <w:hyperlink w:anchor="_Toc476913959" w:history="1">
        <w:r w:rsidR="008100DD" w:rsidRPr="005D5290">
          <w:rPr>
            <w:rStyle w:val="Hyperlink"/>
            <w:noProof/>
          </w:rPr>
          <w:t>Appendix B| PY7 Process Evaluation Findings by EDC</w:t>
        </w:r>
        <w:r w:rsidR="008100DD">
          <w:rPr>
            <w:noProof/>
            <w:webHidden/>
          </w:rPr>
          <w:tab/>
        </w:r>
        <w:r w:rsidR="008100DD">
          <w:rPr>
            <w:noProof/>
            <w:webHidden/>
          </w:rPr>
          <w:fldChar w:fldCharType="begin"/>
        </w:r>
        <w:r w:rsidR="008100DD">
          <w:rPr>
            <w:noProof/>
            <w:webHidden/>
          </w:rPr>
          <w:instrText xml:space="preserve"> PAGEREF _Toc476913959 \h </w:instrText>
        </w:r>
        <w:r w:rsidR="008100DD">
          <w:rPr>
            <w:noProof/>
            <w:webHidden/>
          </w:rPr>
        </w:r>
        <w:r w:rsidR="008100DD">
          <w:rPr>
            <w:noProof/>
            <w:webHidden/>
          </w:rPr>
          <w:fldChar w:fldCharType="separate"/>
        </w:r>
        <w:r w:rsidR="00A91C81">
          <w:rPr>
            <w:noProof/>
            <w:webHidden/>
          </w:rPr>
          <w:t>327</w:t>
        </w:r>
        <w:r w:rsidR="008100DD">
          <w:rPr>
            <w:noProof/>
            <w:webHidden/>
          </w:rPr>
          <w:fldChar w:fldCharType="end"/>
        </w:r>
      </w:hyperlink>
    </w:p>
    <w:p w:rsidR="008100DD" w:rsidRDefault="002F12C2" w:rsidP="00186590">
      <w:pPr>
        <w:pStyle w:val="TOC1"/>
        <w:rPr>
          <w:rFonts w:eastAsiaTheme="minorEastAsia" w:cstheme="minorBidi"/>
          <w:noProof/>
          <w:sz w:val="22"/>
          <w:szCs w:val="22"/>
        </w:rPr>
      </w:pPr>
      <w:hyperlink w:anchor="_Toc476913960" w:history="1">
        <w:r w:rsidR="008100DD" w:rsidRPr="005D5290">
          <w:rPr>
            <w:rStyle w:val="Hyperlink"/>
            <w:noProof/>
          </w:rPr>
          <w:t>Appendix C| EDC EE&amp;C Program Plan Revisions During Phase II</w:t>
        </w:r>
        <w:r w:rsidR="008100DD">
          <w:rPr>
            <w:noProof/>
            <w:webHidden/>
          </w:rPr>
          <w:tab/>
        </w:r>
        <w:r w:rsidR="008100DD">
          <w:rPr>
            <w:noProof/>
            <w:webHidden/>
          </w:rPr>
          <w:fldChar w:fldCharType="begin"/>
        </w:r>
        <w:r w:rsidR="008100DD">
          <w:rPr>
            <w:noProof/>
            <w:webHidden/>
          </w:rPr>
          <w:instrText xml:space="preserve"> PAGEREF _Toc476913960 \h </w:instrText>
        </w:r>
        <w:r w:rsidR="008100DD">
          <w:rPr>
            <w:noProof/>
            <w:webHidden/>
          </w:rPr>
        </w:r>
        <w:r w:rsidR="008100DD">
          <w:rPr>
            <w:noProof/>
            <w:webHidden/>
          </w:rPr>
          <w:fldChar w:fldCharType="separate"/>
        </w:r>
        <w:r w:rsidR="00A91C81">
          <w:rPr>
            <w:noProof/>
            <w:webHidden/>
          </w:rPr>
          <w:t>384</w:t>
        </w:r>
        <w:r w:rsidR="008100DD">
          <w:rPr>
            <w:noProof/>
            <w:webHidden/>
          </w:rPr>
          <w:fldChar w:fldCharType="end"/>
        </w:r>
      </w:hyperlink>
    </w:p>
    <w:p w:rsidR="008100DD" w:rsidRDefault="002F12C2" w:rsidP="00186590">
      <w:pPr>
        <w:pStyle w:val="TOC1"/>
        <w:rPr>
          <w:rFonts w:eastAsiaTheme="minorEastAsia" w:cstheme="minorBidi"/>
          <w:noProof/>
          <w:sz w:val="22"/>
          <w:szCs w:val="22"/>
        </w:rPr>
      </w:pPr>
      <w:hyperlink w:anchor="_Toc476913961" w:history="1">
        <w:r w:rsidR="008100DD" w:rsidRPr="005D5290">
          <w:rPr>
            <w:rStyle w:val="Hyperlink"/>
            <w:noProof/>
          </w:rPr>
          <w:t>Appendix D| ACEEE Scorecard Format</w:t>
        </w:r>
        <w:r w:rsidR="008100DD">
          <w:rPr>
            <w:noProof/>
            <w:webHidden/>
          </w:rPr>
          <w:tab/>
        </w:r>
        <w:r w:rsidR="008100DD">
          <w:rPr>
            <w:noProof/>
            <w:webHidden/>
          </w:rPr>
          <w:fldChar w:fldCharType="begin"/>
        </w:r>
        <w:r w:rsidR="008100DD">
          <w:rPr>
            <w:noProof/>
            <w:webHidden/>
          </w:rPr>
          <w:instrText xml:space="preserve"> PAGEREF _Toc476913961 \h </w:instrText>
        </w:r>
        <w:r w:rsidR="008100DD">
          <w:rPr>
            <w:noProof/>
            <w:webHidden/>
          </w:rPr>
        </w:r>
        <w:r w:rsidR="008100DD">
          <w:rPr>
            <w:noProof/>
            <w:webHidden/>
          </w:rPr>
          <w:fldChar w:fldCharType="separate"/>
        </w:r>
        <w:r w:rsidR="00A91C81">
          <w:rPr>
            <w:noProof/>
            <w:webHidden/>
          </w:rPr>
          <w:t>386</w:t>
        </w:r>
        <w:r w:rsidR="008100DD">
          <w:rPr>
            <w:noProof/>
            <w:webHidden/>
          </w:rPr>
          <w:fldChar w:fldCharType="end"/>
        </w:r>
      </w:hyperlink>
    </w:p>
    <w:p w:rsidR="008100DD" w:rsidRDefault="002F12C2" w:rsidP="00186590">
      <w:pPr>
        <w:pStyle w:val="TOC1"/>
        <w:rPr>
          <w:rFonts w:eastAsiaTheme="minorEastAsia" w:cstheme="minorBidi"/>
          <w:noProof/>
          <w:sz w:val="22"/>
          <w:szCs w:val="22"/>
        </w:rPr>
      </w:pPr>
      <w:hyperlink w:anchor="_Toc476913962" w:history="1">
        <w:r w:rsidR="008100DD" w:rsidRPr="005D5290">
          <w:rPr>
            <w:rStyle w:val="Hyperlink"/>
            <w:noProof/>
          </w:rPr>
          <w:t>Appendix E| Compendium of SWE Phase II Reports and Memos</w:t>
        </w:r>
        <w:r w:rsidR="008100DD">
          <w:rPr>
            <w:noProof/>
            <w:webHidden/>
          </w:rPr>
          <w:tab/>
        </w:r>
        <w:r w:rsidR="008100DD">
          <w:rPr>
            <w:noProof/>
            <w:webHidden/>
          </w:rPr>
          <w:fldChar w:fldCharType="begin"/>
        </w:r>
        <w:r w:rsidR="008100DD">
          <w:rPr>
            <w:noProof/>
            <w:webHidden/>
          </w:rPr>
          <w:instrText xml:space="preserve"> PAGEREF _Toc476913962 \h </w:instrText>
        </w:r>
        <w:r w:rsidR="008100DD">
          <w:rPr>
            <w:noProof/>
            <w:webHidden/>
          </w:rPr>
        </w:r>
        <w:r w:rsidR="008100DD">
          <w:rPr>
            <w:noProof/>
            <w:webHidden/>
          </w:rPr>
          <w:fldChar w:fldCharType="separate"/>
        </w:r>
        <w:r w:rsidR="00A91C81">
          <w:rPr>
            <w:noProof/>
            <w:webHidden/>
          </w:rPr>
          <w:t>387</w:t>
        </w:r>
        <w:r w:rsidR="008100DD">
          <w:rPr>
            <w:noProof/>
            <w:webHidden/>
          </w:rPr>
          <w:fldChar w:fldCharType="end"/>
        </w:r>
      </w:hyperlink>
    </w:p>
    <w:p w:rsidR="008100DD" w:rsidRDefault="002F12C2" w:rsidP="00186590">
      <w:pPr>
        <w:pStyle w:val="TOC1"/>
        <w:rPr>
          <w:rFonts w:eastAsiaTheme="minorEastAsia" w:cstheme="minorBidi"/>
          <w:noProof/>
          <w:sz w:val="22"/>
          <w:szCs w:val="22"/>
        </w:rPr>
      </w:pPr>
      <w:hyperlink w:anchor="_Toc476913963" w:history="1">
        <w:r w:rsidR="008100DD" w:rsidRPr="005D5290">
          <w:rPr>
            <w:rStyle w:val="Hyperlink"/>
            <w:noProof/>
          </w:rPr>
          <w:t>Appendix F| Glossary of Terms</w:t>
        </w:r>
        <w:r w:rsidR="008100DD">
          <w:rPr>
            <w:noProof/>
            <w:webHidden/>
          </w:rPr>
          <w:tab/>
        </w:r>
        <w:r w:rsidR="008100DD">
          <w:rPr>
            <w:noProof/>
            <w:webHidden/>
          </w:rPr>
          <w:fldChar w:fldCharType="begin"/>
        </w:r>
        <w:r w:rsidR="008100DD">
          <w:rPr>
            <w:noProof/>
            <w:webHidden/>
          </w:rPr>
          <w:instrText xml:space="preserve"> PAGEREF _Toc476913963 \h </w:instrText>
        </w:r>
        <w:r w:rsidR="008100DD">
          <w:rPr>
            <w:noProof/>
            <w:webHidden/>
          </w:rPr>
        </w:r>
        <w:r w:rsidR="008100DD">
          <w:rPr>
            <w:noProof/>
            <w:webHidden/>
          </w:rPr>
          <w:fldChar w:fldCharType="separate"/>
        </w:r>
        <w:r w:rsidR="00A91C81">
          <w:rPr>
            <w:noProof/>
            <w:webHidden/>
          </w:rPr>
          <w:t>390</w:t>
        </w:r>
        <w:r w:rsidR="008100DD">
          <w:rPr>
            <w:noProof/>
            <w:webHidden/>
          </w:rPr>
          <w:fldChar w:fldCharType="end"/>
        </w:r>
      </w:hyperlink>
    </w:p>
    <w:p w:rsidR="008100DD" w:rsidRDefault="002F12C2" w:rsidP="00186590">
      <w:pPr>
        <w:pStyle w:val="TOC1"/>
        <w:rPr>
          <w:rFonts w:eastAsiaTheme="minorEastAsia" w:cstheme="minorBidi"/>
          <w:noProof/>
          <w:sz w:val="22"/>
          <w:szCs w:val="22"/>
        </w:rPr>
      </w:pPr>
      <w:hyperlink w:anchor="_Toc476913964" w:history="1">
        <w:r w:rsidR="008100DD" w:rsidRPr="005D5290">
          <w:rPr>
            <w:rStyle w:val="Hyperlink"/>
            <w:noProof/>
          </w:rPr>
          <w:t>Appendix G| Process and Impact Evaluation Recommendations and Actions – Updates from EDCs</w:t>
        </w:r>
        <w:r w:rsidR="008100DD">
          <w:rPr>
            <w:noProof/>
            <w:webHidden/>
          </w:rPr>
          <w:tab/>
        </w:r>
        <w:r w:rsidR="008100DD">
          <w:rPr>
            <w:noProof/>
            <w:webHidden/>
          </w:rPr>
          <w:fldChar w:fldCharType="begin"/>
        </w:r>
        <w:r w:rsidR="008100DD">
          <w:rPr>
            <w:noProof/>
            <w:webHidden/>
          </w:rPr>
          <w:instrText xml:space="preserve"> PAGEREF _Toc476913964 \h </w:instrText>
        </w:r>
        <w:r w:rsidR="008100DD">
          <w:rPr>
            <w:noProof/>
            <w:webHidden/>
          </w:rPr>
        </w:r>
        <w:r w:rsidR="008100DD">
          <w:rPr>
            <w:noProof/>
            <w:webHidden/>
          </w:rPr>
          <w:fldChar w:fldCharType="separate"/>
        </w:r>
        <w:r w:rsidR="00A91C81">
          <w:rPr>
            <w:noProof/>
            <w:webHidden/>
          </w:rPr>
          <w:t>402</w:t>
        </w:r>
        <w:r w:rsidR="008100DD">
          <w:rPr>
            <w:noProof/>
            <w:webHidden/>
          </w:rPr>
          <w:fldChar w:fldCharType="end"/>
        </w:r>
      </w:hyperlink>
    </w:p>
    <w:p w:rsidR="001338F4" w:rsidRDefault="001F21DA" w:rsidP="001F21DA">
      <w:r>
        <w:rPr>
          <w:rFonts w:ascii="Century Gothic" w:hAnsi="Century Gothic"/>
          <w:caps/>
          <w:smallCaps/>
          <w:sz w:val="24"/>
          <w:szCs w:val="20"/>
        </w:rPr>
        <w:fldChar w:fldCharType="end"/>
      </w:r>
    </w:p>
    <w:p w:rsidR="001338F4" w:rsidRPr="001338F4" w:rsidRDefault="001338F4" w:rsidP="001338F4"/>
    <w:p w:rsidR="001338F4" w:rsidRDefault="001338F4" w:rsidP="001338F4"/>
    <w:p w:rsidR="001338F4" w:rsidRDefault="001338F4" w:rsidP="001338F4">
      <w:pPr>
        <w:tabs>
          <w:tab w:val="left" w:pos="2640"/>
        </w:tabs>
      </w:pPr>
      <w:r>
        <w:tab/>
      </w:r>
    </w:p>
    <w:p w:rsidR="001338F4" w:rsidRDefault="001338F4" w:rsidP="001338F4"/>
    <w:p w:rsidR="008D06FE" w:rsidRPr="001338F4" w:rsidRDefault="008D06FE" w:rsidP="001338F4">
      <w:pPr>
        <w:sectPr w:rsidR="008D06FE" w:rsidRPr="001338F4" w:rsidSect="00964869">
          <w:headerReference w:type="default" r:id="rId28"/>
          <w:footerReference w:type="default" r:id="rId29"/>
          <w:pgSz w:w="12240" w:h="15840"/>
          <w:pgMar w:top="1440" w:right="1440" w:bottom="810" w:left="1440" w:header="720" w:footer="403" w:gutter="0"/>
          <w:pgNumType w:fmt="lowerRoman" w:start="1"/>
          <w:cols w:space="720"/>
          <w:docGrid w:linePitch="360"/>
        </w:sectPr>
      </w:pPr>
    </w:p>
    <w:p w:rsidR="0091036A" w:rsidRPr="00472B27" w:rsidRDefault="0091036A" w:rsidP="00664065">
      <w:pPr>
        <w:shd w:val="clear" w:color="auto" w:fill="448A99"/>
        <w:spacing w:after="120"/>
        <w:jc w:val="right"/>
        <w:rPr>
          <w:rFonts w:ascii="Century Gothic" w:hAnsi="Century Gothic"/>
          <w:smallCaps/>
          <w:color w:val="FFFFFF" w:themeColor="background1"/>
          <w:sz w:val="28"/>
        </w:rPr>
      </w:pPr>
      <w:r w:rsidRPr="00472B27">
        <w:rPr>
          <w:rFonts w:ascii="Century Gothic" w:hAnsi="Century Gothic"/>
          <w:smallCaps/>
          <w:color w:val="FFFFFF" w:themeColor="background1"/>
          <w:sz w:val="28"/>
        </w:rPr>
        <w:lastRenderedPageBreak/>
        <w:t>List of Tables</w:t>
      </w:r>
    </w:p>
    <w:p w:rsidR="008100DD" w:rsidRDefault="00C37358">
      <w:pPr>
        <w:pStyle w:val="TableofFigures"/>
        <w:tabs>
          <w:tab w:val="right" w:leader="dot" w:pos="9350"/>
        </w:tabs>
        <w:rPr>
          <w:rFonts w:asciiTheme="minorHAnsi" w:eastAsiaTheme="minorEastAsia" w:hAnsiTheme="minorHAnsi" w:cstheme="minorBidi"/>
          <w:noProof/>
          <w:sz w:val="22"/>
        </w:rPr>
      </w:pPr>
      <w:r>
        <w:rPr>
          <w:sz w:val="20"/>
        </w:rPr>
        <w:fldChar w:fldCharType="begin"/>
      </w:r>
      <w:r w:rsidR="003272DD">
        <w:rPr>
          <w:sz w:val="20"/>
        </w:rPr>
        <w:instrText xml:space="preserve"> TOC \h \z \c "Table" </w:instrText>
      </w:r>
      <w:r>
        <w:rPr>
          <w:sz w:val="20"/>
        </w:rPr>
        <w:fldChar w:fldCharType="separate"/>
      </w:r>
      <w:hyperlink w:anchor="_Toc476913965" w:history="1">
        <w:r w:rsidR="008100DD" w:rsidRPr="005732CE">
          <w:rPr>
            <w:rStyle w:val="Hyperlink"/>
            <w:rFonts w:eastAsiaTheme="minorHAnsi"/>
            <w:noProof/>
          </w:rPr>
          <w:t>Table 1</w:t>
        </w:r>
        <w:r w:rsidR="008100DD" w:rsidRPr="005732CE">
          <w:rPr>
            <w:rStyle w:val="Hyperlink"/>
            <w:rFonts w:eastAsiaTheme="minorHAnsi"/>
            <w:noProof/>
          </w:rPr>
          <w:noBreakHyphen/>
          <w:t>1: Act 129 Phase II Three-Year Energy Efficiency Reduction Compliance Targets</w:t>
        </w:r>
        <w:r w:rsidR="008100DD">
          <w:rPr>
            <w:noProof/>
            <w:webHidden/>
          </w:rPr>
          <w:tab/>
        </w:r>
        <w:r w:rsidR="008100DD">
          <w:rPr>
            <w:noProof/>
            <w:webHidden/>
          </w:rPr>
          <w:fldChar w:fldCharType="begin"/>
        </w:r>
        <w:r w:rsidR="008100DD">
          <w:rPr>
            <w:noProof/>
            <w:webHidden/>
          </w:rPr>
          <w:instrText xml:space="preserve"> PAGEREF _Toc476913965 \h </w:instrText>
        </w:r>
        <w:r w:rsidR="008100DD">
          <w:rPr>
            <w:noProof/>
            <w:webHidden/>
          </w:rPr>
        </w:r>
        <w:r w:rsidR="008100DD">
          <w:rPr>
            <w:noProof/>
            <w:webHidden/>
          </w:rPr>
          <w:fldChar w:fldCharType="separate"/>
        </w:r>
        <w:r w:rsidR="00A91C81">
          <w:rPr>
            <w:noProof/>
            <w:webHidden/>
          </w:rPr>
          <w:t>2</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66" w:history="1">
        <w:r w:rsidR="008100DD" w:rsidRPr="005732CE">
          <w:rPr>
            <w:rStyle w:val="Hyperlink"/>
            <w:rFonts w:eastAsiaTheme="minorHAnsi"/>
            <w:noProof/>
          </w:rPr>
          <w:t>Table 1</w:t>
        </w:r>
        <w:r w:rsidR="008100DD" w:rsidRPr="005732CE">
          <w:rPr>
            <w:rStyle w:val="Hyperlink"/>
            <w:rFonts w:eastAsiaTheme="minorHAnsi"/>
            <w:noProof/>
          </w:rPr>
          <w:noBreakHyphen/>
          <w:t>2: Phase II EDC Compliance Checklist</w:t>
        </w:r>
        <w:r w:rsidR="008100DD">
          <w:rPr>
            <w:noProof/>
            <w:webHidden/>
          </w:rPr>
          <w:tab/>
        </w:r>
        <w:r w:rsidR="008100DD">
          <w:rPr>
            <w:noProof/>
            <w:webHidden/>
          </w:rPr>
          <w:fldChar w:fldCharType="begin"/>
        </w:r>
        <w:r w:rsidR="008100DD">
          <w:rPr>
            <w:noProof/>
            <w:webHidden/>
          </w:rPr>
          <w:instrText xml:space="preserve"> PAGEREF _Toc476913966 \h </w:instrText>
        </w:r>
        <w:r w:rsidR="008100DD">
          <w:rPr>
            <w:noProof/>
            <w:webHidden/>
          </w:rPr>
        </w:r>
        <w:r w:rsidR="008100DD">
          <w:rPr>
            <w:noProof/>
            <w:webHidden/>
          </w:rPr>
          <w:fldChar w:fldCharType="separate"/>
        </w:r>
        <w:r w:rsidR="00A91C81">
          <w:rPr>
            <w:noProof/>
            <w:webHidden/>
          </w:rPr>
          <w:t>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67" w:history="1">
        <w:r w:rsidR="008100DD" w:rsidRPr="005732CE">
          <w:rPr>
            <w:rStyle w:val="Hyperlink"/>
            <w:rFonts w:eastAsiaTheme="minorHAnsi"/>
            <w:noProof/>
          </w:rPr>
          <w:t>Table 1</w:t>
        </w:r>
        <w:r w:rsidR="008100DD" w:rsidRPr="005732CE">
          <w:rPr>
            <w:rStyle w:val="Hyperlink"/>
            <w:rFonts w:eastAsiaTheme="minorHAnsi"/>
            <w:noProof/>
          </w:rPr>
          <w:noBreakHyphen/>
          <w:t>3: Summary of Progress Toward Achieving Phase II Energy Savings Compliance as of the End of PY7</w:t>
        </w:r>
        <w:r w:rsidR="008100DD">
          <w:rPr>
            <w:noProof/>
            <w:webHidden/>
          </w:rPr>
          <w:tab/>
        </w:r>
        <w:r w:rsidR="008100DD">
          <w:rPr>
            <w:noProof/>
            <w:webHidden/>
          </w:rPr>
          <w:fldChar w:fldCharType="begin"/>
        </w:r>
        <w:r w:rsidR="008100DD">
          <w:rPr>
            <w:noProof/>
            <w:webHidden/>
          </w:rPr>
          <w:instrText xml:space="preserve"> PAGEREF _Toc476913967 \h </w:instrText>
        </w:r>
        <w:r w:rsidR="008100DD">
          <w:rPr>
            <w:noProof/>
            <w:webHidden/>
          </w:rPr>
        </w:r>
        <w:r w:rsidR="008100DD">
          <w:rPr>
            <w:noProof/>
            <w:webHidden/>
          </w:rPr>
          <w:fldChar w:fldCharType="separate"/>
        </w:r>
        <w:r w:rsidR="00A91C81">
          <w:rPr>
            <w:noProof/>
            <w:webHidden/>
          </w:rPr>
          <w:t>11</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68" w:history="1">
        <w:r w:rsidR="008100DD" w:rsidRPr="005732CE">
          <w:rPr>
            <w:rStyle w:val="Hyperlink"/>
            <w:rFonts w:eastAsiaTheme="minorHAnsi"/>
            <w:noProof/>
          </w:rPr>
          <w:t>Table 2</w:t>
        </w:r>
        <w:r w:rsidR="008100DD" w:rsidRPr="005732CE">
          <w:rPr>
            <w:rStyle w:val="Hyperlink"/>
            <w:rFonts w:eastAsiaTheme="minorHAnsi"/>
            <w:noProof/>
          </w:rPr>
          <w:noBreakHyphen/>
          <w:t>1: Act 129 Phase II Three-Year Energy Efficiency Reduction Compliance Targets</w:t>
        </w:r>
        <w:r w:rsidR="008100DD">
          <w:rPr>
            <w:noProof/>
            <w:webHidden/>
          </w:rPr>
          <w:tab/>
        </w:r>
        <w:r w:rsidR="008100DD">
          <w:rPr>
            <w:noProof/>
            <w:webHidden/>
          </w:rPr>
          <w:fldChar w:fldCharType="begin"/>
        </w:r>
        <w:r w:rsidR="008100DD">
          <w:rPr>
            <w:noProof/>
            <w:webHidden/>
          </w:rPr>
          <w:instrText xml:space="preserve"> PAGEREF _Toc476913968 \h </w:instrText>
        </w:r>
        <w:r w:rsidR="008100DD">
          <w:rPr>
            <w:noProof/>
            <w:webHidden/>
          </w:rPr>
        </w:r>
        <w:r w:rsidR="008100DD">
          <w:rPr>
            <w:noProof/>
            <w:webHidden/>
          </w:rPr>
          <w:fldChar w:fldCharType="separate"/>
        </w:r>
        <w:r w:rsidR="00A91C81">
          <w:rPr>
            <w:noProof/>
            <w:webHidden/>
          </w:rPr>
          <w:t>12</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69" w:history="1">
        <w:r w:rsidR="008100DD" w:rsidRPr="005732CE">
          <w:rPr>
            <w:rStyle w:val="Hyperlink"/>
            <w:rFonts w:eastAsiaTheme="minorHAnsi"/>
            <w:noProof/>
          </w:rPr>
          <w:t>Table 2</w:t>
        </w:r>
        <w:r w:rsidR="008100DD" w:rsidRPr="005732CE">
          <w:rPr>
            <w:rStyle w:val="Hyperlink"/>
            <w:rFonts w:eastAsiaTheme="minorHAnsi"/>
            <w:noProof/>
          </w:rPr>
          <w:noBreakHyphen/>
          <w:t>2: Act 129 Phase II Three-Year Low-Income and GNI Energy Efficiency Reduction Targets</w:t>
        </w:r>
        <w:r w:rsidR="008100DD">
          <w:rPr>
            <w:noProof/>
            <w:webHidden/>
          </w:rPr>
          <w:tab/>
        </w:r>
        <w:r w:rsidR="008100DD">
          <w:rPr>
            <w:noProof/>
            <w:webHidden/>
          </w:rPr>
          <w:fldChar w:fldCharType="begin"/>
        </w:r>
        <w:r w:rsidR="008100DD">
          <w:rPr>
            <w:noProof/>
            <w:webHidden/>
          </w:rPr>
          <w:instrText xml:space="preserve"> PAGEREF _Toc476913969 \h </w:instrText>
        </w:r>
        <w:r w:rsidR="008100DD">
          <w:rPr>
            <w:noProof/>
            <w:webHidden/>
          </w:rPr>
        </w:r>
        <w:r w:rsidR="008100DD">
          <w:rPr>
            <w:noProof/>
            <w:webHidden/>
          </w:rPr>
          <w:fldChar w:fldCharType="separate"/>
        </w:r>
        <w:r w:rsidR="00A91C81">
          <w:rPr>
            <w:noProof/>
            <w:webHidden/>
          </w:rPr>
          <w:t>12</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70" w:history="1">
        <w:r w:rsidR="008100DD" w:rsidRPr="005732CE">
          <w:rPr>
            <w:rStyle w:val="Hyperlink"/>
            <w:rFonts w:eastAsiaTheme="minorHAnsi"/>
            <w:noProof/>
          </w:rPr>
          <w:t>Table 2</w:t>
        </w:r>
        <w:r w:rsidR="008100DD" w:rsidRPr="005732CE">
          <w:rPr>
            <w:rStyle w:val="Hyperlink"/>
            <w:rFonts w:eastAsiaTheme="minorHAnsi"/>
            <w:noProof/>
          </w:rPr>
          <w:noBreakHyphen/>
          <w:t>3: Phase II Compliance Summary by EDC</w:t>
        </w:r>
        <w:r w:rsidR="008100DD">
          <w:rPr>
            <w:noProof/>
            <w:webHidden/>
          </w:rPr>
          <w:tab/>
        </w:r>
        <w:r w:rsidR="008100DD">
          <w:rPr>
            <w:noProof/>
            <w:webHidden/>
          </w:rPr>
          <w:fldChar w:fldCharType="begin"/>
        </w:r>
        <w:r w:rsidR="008100DD">
          <w:rPr>
            <w:noProof/>
            <w:webHidden/>
          </w:rPr>
          <w:instrText xml:space="preserve"> PAGEREF _Toc476913970 \h </w:instrText>
        </w:r>
        <w:r w:rsidR="008100DD">
          <w:rPr>
            <w:noProof/>
            <w:webHidden/>
          </w:rPr>
        </w:r>
        <w:r w:rsidR="008100DD">
          <w:rPr>
            <w:noProof/>
            <w:webHidden/>
          </w:rPr>
          <w:fldChar w:fldCharType="separate"/>
        </w:r>
        <w:r w:rsidR="00A91C81">
          <w:rPr>
            <w:noProof/>
            <w:webHidden/>
          </w:rPr>
          <w:t>13</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71" w:history="1">
        <w:r w:rsidR="008100DD" w:rsidRPr="005732CE">
          <w:rPr>
            <w:rStyle w:val="Hyperlink"/>
            <w:rFonts w:eastAsiaTheme="minorHAnsi"/>
            <w:noProof/>
          </w:rPr>
          <w:t>Table 2</w:t>
        </w:r>
        <w:r w:rsidR="008100DD" w:rsidRPr="005732CE">
          <w:rPr>
            <w:rStyle w:val="Hyperlink"/>
            <w:rFonts w:eastAsiaTheme="minorHAnsi"/>
            <w:noProof/>
          </w:rPr>
          <w:noBreakHyphen/>
          <w:t>4: Low-Income Carve-out Goal Performance, Summary by EDC</w:t>
        </w:r>
        <w:r w:rsidR="008100DD">
          <w:rPr>
            <w:noProof/>
            <w:webHidden/>
          </w:rPr>
          <w:tab/>
        </w:r>
        <w:r w:rsidR="008100DD">
          <w:rPr>
            <w:noProof/>
            <w:webHidden/>
          </w:rPr>
          <w:fldChar w:fldCharType="begin"/>
        </w:r>
        <w:r w:rsidR="008100DD">
          <w:rPr>
            <w:noProof/>
            <w:webHidden/>
          </w:rPr>
          <w:instrText xml:space="preserve"> PAGEREF _Toc476913971 \h </w:instrText>
        </w:r>
        <w:r w:rsidR="008100DD">
          <w:rPr>
            <w:noProof/>
            <w:webHidden/>
          </w:rPr>
        </w:r>
        <w:r w:rsidR="008100DD">
          <w:rPr>
            <w:noProof/>
            <w:webHidden/>
          </w:rPr>
          <w:fldChar w:fldCharType="separate"/>
        </w:r>
        <w:r w:rsidR="00A91C81">
          <w:rPr>
            <w:noProof/>
            <w:webHidden/>
          </w:rPr>
          <w:t>14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72" w:history="1">
        <w:r w:rsidR="008100DD" w:rsidRPr="005732CE">
          <w:rPr>
            <w:rStyle w:val="Hyperlink"/>
            <w:rFonts w:eastAsiaTheme="minorHAnsi"/>
            <w:noProof/>
          </w:rPr>
          <w:t>Table 2</w:t>
        </w:r>
        <w:r w:rsidR="008100DD" w:rsidRPr="005732CE">
          <w:rPr>
            <w:rStyle w:val="Hyperlink"/>
            <w:rFonts w:eastAsiaTheme="minorHAnsi"/>
            <w:noProof/>
          </w:rPr>
          <w:noBreakHyphen/>
          <w:t>5: GNI Carve-out Goal Performance, Summary by EDC</w:t>
        </w:r>
        <w:r w:rsidR="008100DD">
          <w:rPr>
            <w:noProof/>
            <w:webHidden/>
          </w:rPr>
          <w:tab/>
        </w:r>
        <w:r w:rsidR="008100DD">
          <w:rPr>
            <w:noProof/>
            <w:webHidden/>
          </w:rPr>
          <w:fldChar w:fldCharType="begin"/>
        </w:r>
        <w:r w:rsidR="008100DD">
          <w:rPr>
            <w:noProof/>
            <w:webHidden/>
          </w:rPr>
          <w:instrText xml:space="preserve"> PAGEREF _Toc476913972 \h </w:instrText>
        </w:r>
        <w:r w:rsidR="008100DD">
          <w:rPr>
            <w:noProof/>
            <w:webHidden/>
          </w:rPr>
        </w:r>
        <w:r w:rsidR="008100DD">
          <w:rPr>
            <w:noProof/>
            <w:webHidden/>
          </w:rPr>
          <w:fldChar w:fldCharType="separate"/>
        </w:r>
        <w:r w:rsidR="00A91C81">
          <w:rPr>
            <w:noProof/>
            <w:webHidden/>
          </w:rPr>
          <w:t>14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73" w:history="1">
        <w:r w:rsidR="008100DD" w:rsidRPr="005732CE">
          <w:rPr>
            <w:rStyle w:val="Hyperlink"/>
            <w:rFonts w:eastAsiaTheme="minorHAnsi"/>
            <w:noProof/>
          </w:rPr>
          <w:t>Table 2</w:t>
        </w:r>
        <w:r w:rsidR="008100DD" w:rsidRPr="005732CE">
          <w:rPr>
            <w:rStyle w:val="Hyperlink"/>
            <w:rFonts w:eastAsiaTheme="minorHAnsi"/>
            <w:noProof/>
          </w:rPr>
          <w:noBreakHyphen/>
          <w:t>6: Summary of PY7 Reported and Verified Energy Savings by EDC</w:t>
        </w:r>
        <w:r w:rsidR="008100DD">
          <w:rPr>
            <w:noProof/>
            <w:webHidden/>
          </w:rPr>
          <w:tab/>
        </w:r>
        <w:r w:rsidR="008100DD">
          <w:rPr>
            <w:noProof/>
            <w:webHidden/>
          </w:rPr>
          <w:fldChar w:fldCharType="begin"/>
        </w:r>
        <w:r w:rsidR="008100DD">
          <w:rPr>
            <w:noProof/>
            <w:webHidden/>
          </w:rPr>
          <w:instrText xml:space="preserve"> PAGEREF _Toc476913973 \h </w:instrText>
        </w:r>
        <w:r w:rsidR="008100DD">
          <w:rPr>
            <w:noProof/>
            <w:webHidden/>
          </w:rPr>
        </w:r>
        <w:r w:rsidR="008100DD">
          <w:rPr>
            <w:noProof/>
            <w:webHidden/>
          </w:rPr>
          <w:fldChar w:fldCharType="separate"/>
        </w:r>
        <w:r w:rsidR="00A91C81">
          <w:rPr>
            <w:noProof/>
            <w:webHidden/>
          </w:rPr>
          <w:t>15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74" w:history="1">
        <w:r w:rsidR="008100DD" w:rsidRPr="005732CE">
          <w:rPr>
            <w:rStyle w:val="Hyperlink"/>
            <w:rFonts w:eastAsiaTheme="minorHAnsi"/>
            <w:noProof/>
          </w:rPr>
          <w:t>Table 2</w:t>
        </w:r>
        <w:r w:rsidR="008100DD" w:rsidRPr="005732CE">
          <w:rPr>
            <w:rStyle w:val="Hyperlink"/>
            <w:rFonts w:eastAsiaTheme="minorHAnsi"/>
            <w:noProof/>
          </w:rPr>
          <w:noBreakHyphen/>
          <w:t>7: PY7 Verified Energy Savings by EDC and Sector</w:t>
        </w:r>
        <w:r w:rsidR="008100DD">
          <w:rPr>
            <w:noProof/>
            <w:webHidden/>
          </w:rPr>
          <w:tab/>
        </w:r>
        <w:r w:rsidR="008100DD">
          <w:rPr>
            <w:noProof/>
            <w:webHidden/>
          </w:rPr>
          <w:fldChar w:fldCharType="begin"/>
        </w:r>
        <w:r w:rsidR="008100DD">
          <w:rPr>
            <w:noProof/>
            <w:webHidden/>
          </w:rPr>
          <w:instrText xml:space="preserve"> PAGEREF _Toc476913974 \h </w:instrText>
        </w:r>
        <w:r w:rsidR="008100DD">
          <w:rPr>
            <w:noProof/>
            <w:webHidden/>
          </w:rPr>
        </w:r>
        <w:r w:rsidR="008100DD">
          <w:rPr>
            <w:noProof/>
            <w:webHidden/>
          </w:rPr>
          <w:fldChar w:fldCharType="separate"/>
        </w:r>
        <w:r w:rsidR="00A91C81">
          <w:rPr>
            <w:noProof/>
            <w:webHidden/>
          </w:rPr>
          <w:t>15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75" w:history="1">
        <w:r w:rsidR="008100DD" w:rsidRPr="005732CE">
          <w:rPr>
            <w:rStyle w:val="Hyperlink"/>
            <w:rFonts w:eastAsiaTheme="minorHAnsi"/>
            <w:noProof/>
          </w:rPr>
          <w:t>Table 2</w:t>
        </w:r>
        <w:r w:rsidR="008100DD" w:rsidRPr="005732CE">
          <w:rPr>
            <w:rStyle w:val="Hyperlink"/>
            <w:rFonts w:eastAsiaTheme="minorHAnsi"/>
            <w:noProof/>
          </w:rPr>
          <w:noBreakHyphen/>
          <w:t>8:  Summary of Statewide Portfolio Finances for PY7</w:t>
        </w:r>
        <w:r w:rsidR="008100DD">
          <w:rPr>
            <w:noProof/>
            <w:webHidden/>
          </w:rPr>
          <w:tab/>
        </w:r>
        <w:r w:rsidR="008100DD">
          <w:rPr>
            <w:noProof/>
            <w:webHidden/>
          </w:rPr>
          <w:fldChar w:fldCharType="begin"/>
        </w:r>
        <w:r w:rsidR="008100DD">
          <w:rPr>
            <w:noProof/>
            <w:webHidden/>
          </w:rPr>
          <w:instrText xml:space="preserve"> PAGEREF _Toc476913975 \h </w:instrText>
        </w:r>
        <w:r w:rsidR="008100DD">
          <w:rPr>
            <w:noProof/>
            <w:webHidden/>
          </w:rPr>
        </w:r>
        <w:r w:rsidR="008100DD">
          <w:rPr>
            <w:noProof/>
            <w:webHidden/>
          </w:rPr>
          <w:fldChar w:fldCharType="separate"/>
        </w:r>
        <w:r w:rsidR="00A91C81">
          <w:rPr>
            <w:noProof/>
            <w:webHidden/>
          </w:rPr>
          <w:t>17</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76" w:history="1">
        <w:r w:rsidR="008100DD" w:rsidRPr="005732CE">
          <w:rPr>
            <w:rStyle w:val="Hyperlink"/>
            <w:rFonts w:eastAsiaTheme="minorHAnsi"/>
            <w:noProof/>
          </w:rPr>
          <w:t>Table 2</w:t>
        </w:r>
        <w:r w:rsidR="008100DD" w:rsidRPr="005732CE">
          <w:rPr>
            <w:rStyle w:val="Hyperlink"/>
            <w:rFonts w:eastAsiaTheme="minorHAnsi"/>
            <w:noProof/>
          </w:rPr>
          <w:noBreakHyphen/>
          <w:t>9: Comparison of EDC PY7 Actual and Planned Expenditures in Each EDC’s EE&amp;C Plan</w:t>
        </w:r>
        <w:r w:rsidR="008100DD">
          <w:rPr>
            <w:noProof/>
            <w:webHidden/>
          </w:rPr>
          <w:tab/>
        </w:r>
        <w:r w:rsidR="008100DD">
          <w:rPr>
            <w:noProof/>
            <w:webHidden/>
          </w:rPr>
          <w:fldChar w:fldCharType="begin"/>
        </w:r>
        <w:r w:rsidR="008100DD">
          <w:rPr>
            <w:noProof/>
            <w:webHidden/>
          </w:rPr>
          <w:instrText xml:space="preserve"> PAGEREF _Toc476913976 \h </w:instrText>
        </w:r>
        <w:r w:rsidR="008100DD">
          <w:rPr>
            <w:noProof/>
            <w:webHidden/>
          </w:rPr>
        </w:r>
        <w:r w:rsidR="008100DD">
          <w:rPr>
            <w:noProof/>
            <w:webHidden/>
          </w:rPr>
          <w:fldChar w:fldCharType="separate"/>
        </w:r>
        <w:r w:rsidR="00A91C81">
          <w:rPr>
            <w:noProof/>
            <w:webHidden/>
          </w:rPr>
          <w:t>18</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77" w:history="1">
        <w:r w:rsidR="008100DD" w:rsidRPr="005732CE">
          <w:rPr>
            <w:rStyle w:val="Hyperlink"/>
            <w:rFonts w:eastAsiaTheme="minorHAnsi"/>
            <w:noProof/>
          </w:rPr>
          <w:t>Table 2</w:t>
        </w:r>
        <w:r w:rsidR="008100DD" w:rsidRPr="005732CE">
          <w:rPr>
            <w:rStyle w:val="Hyperlink"/>
            <w:rFonts w:eastAsiaTheme="minorHAnsi"/>
            <w:noProof/>
          </w:rPr>
          <w:noBreakHyphen/>
          <w:t>10:  Planned Acquisition Costs versus Actual Acquisition Costs in PY7</w:t>
        </w:r>
        <w:r w:rsidR="008100DD">
          <w:rPr>
            <w:noProof/>
            <w:webHidden/>
          </w:rPr>
          <w:tab/>
        </w:r>
        <w:r w:rsidR="008100DD">
          <w:rPr>
            <w:noProof/>
            <w:webHidden/>
          </w:rPr>
          <w:fldChar w:fldCharType="begin"/>
        </w:r>
        <w:r w:rsidR="008100DD">
          <w:rPr>
            <w:noProof/>
            <w:webHidden/>
          </w:rPr>
          <w:instrText xml:space="preserve"> PAGEREF _Toc476913977 \h </w:instrText>
        </w:r>
        <w:r w:rsidR="008100DD">
          <w:rPr>
            <w:noProof/>
            <w:webHidden/>
          </w:rPr>
        </w:r>
        <w:r w:rsidR="008100DD">
          <w:rPr>
            <w:noProof/>
            <w:webHidden/>
          </w:rPr>
          <w:fldChar w:fldCharType="separate"/>
        </w:r>
        <w:r w:rsidR="00A91C81">
          <w:rPr>
            <w:noProof/>
            <w:webHidden/>
          </w:rPr>
          <w:t>18</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78" w:history="1">
        <w:r w:rsidR="008100DD" w:rsidRPr="005732CE">
          <w:rPr>
            <w:rStyle w:val="Hyperlink"/>
            <w:rFonts w:eastAsiaTheme="minorHAnsi"/>
            <w:noProof/>
          </w:rPr>
          <w:t>Table 2</w:t>
        </w:r>
        <w:r w:rsidR="008100DD" w:rsidRPr="005732CE">
          <w:rPr>
            <w:rStyle w:val="Hyperlink"/>
            <w:rFonts w:eastAsiaTheme="minorHAnsi"/>
            <w:noProof/>
          </w:rPr>
          <w:noBreakHyphen/>
          <w:t>11: Low-Income Offerings by Measure</w:t>
        </w:r>
        <w:r w:rsidR="008100DD">
          <w:rPr>
            <w:noProof/>
            <w:webHidden/>
          </w:rPr>
          <w:tab/>
        </w:r>
        <w:r w:rsidR="008100DD">
          <w:rPr>
            <w:noProof/>
            <w:webHidden/>
          </w:rPr>
          <w:fldChar w:fldCharType="begin"/>
        </w:r>
        <w:r w:rsidR="008100DD">
          <w:rPr>
            <w:noProof/>
            <w:webHidden/>
          </w:rPr>
          <w:instrText xml:space="preserve"> PAGEREF _Toc476913978 \h </w:instrText>
        </w:r>
        <w:r w:rsidR="008100DD">
          <w:rPr>
            <w:noProof/>
            <w:webHidden/>
          </w:rPr>
        </w:r>
        <w:r w:rsidR="008100DD">
          <w:rPr>
            <w:noProof/>
            <w:webHidden/>
          </w:rPr>
          <w:fldChar w:fldCharType="separate"/>
        </w:r>
        <w:r w:rsidR="00A91C81">
          <w:rPr>
            <w:noProof/>
            <w:webHidden/>
          </w:rPr>
          <w:t>20</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79" w:history="1">
        <w:r w:rsidR="008100DD" w:rsidRPr="005732CE">
          <w:rPr>
            <w:rStyle w:val="Hyperlink"/>
            <w:rFonts w:eastAsiaTheme="minorHAnsi"/>
            <w:noProof/>
          </w:rPr>
          <w:t>Table 2</w:t>
        </w:r>
        <w:r w:rsidR="008100DD" w:rsidRPr="005732CE">
          <w:rPr>
            <w:rStyle w:val="Hyperlink"/>
            <w:rFonts w:eastAsiaTheme="minorHAnsi"/>
            <w:noProof/>
          </w:rPr>
          <w:noBreakHyphen/>
          <w:t>12: Summary of EDC Aggregated Phase II Impacts</w:t>
        </w:r>
        <w:r w:rsidR="008100DD">
          <w:rPr>
            <w:noProof/>
            <w:webHidden/>
          </w:rPr>
          <w:tab/>
        </w:r>
        <w:r w:rsidR="008100DD">
          <w:rPr>
            <w:noProof/>
            <w:webHidden/>
          </w:rPr>
          <w:fldChar w:fldCharType="begin"/>
        </w:r>
        <w:r w:rsidR="008100DD">
          <w:rPr>
            <w:noProof/>
            <w:webHidden/>
          </w:rPr>
          <w:instrText xml:space="preserve"> PAGEREF _Toc476913979 \h </w:instrText>
        </w:r>
        <w:r w:rsidR="008100DD">
          <w:rPr>
            <w:noProof/>
            <w:webHidden/>
          </w:rPr>
        </w:r>
        <w:r w:rsidR="008100DD">
          <w:rPr>
            <w:noProof/>
            <w:webHidden/>
          </w:rPr>
          <w:fldChar w:fldCharType="separate"/>
        </w:r>
        <w:r w:rsidR="00A91C81">
          <w:rPr>
            <w:noProof/>
            <w:webHidden/>
          </w:rPr>
          <w:t>30</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80" w:history="1">
        <w:r w:rsidR="008100DD" w:rsidRPr="005732CE">
          <w:rPr>
            <w:rStyle w:val="Hyperlink"/>
            <w:rFonts w:eastAsiaTheme="minorHAnsi"/>
            <w:noProof/>
          </w:rPr>
          <w:t>Table 2</w:t>
        </w:r>
        <w:r w:rsidR="008100DD" w:rsidRPr="005732CE">
          <w:rPr>
            <w:rStyle w:val="Hyperlink"/>
            <w:rFonts w:eastAsiaTheme="minorHAnsi"/>
            <w:noProof/>
          </w:rPr>
          <w:noBreakHyphen/>
          <w:t>13: Summary of Statewide Phase II Lifetime Annual Energy Savings</w:t>
        </w:r>
        <w:r w:rsidR="008100DD">
          <w:rPr>
            <w:noProof/>
            <w:webHidden/>
          </w:rPr>
          <w:tab/>
        </w:r>
        <w:r w:rsidR="008100DD">
          <w:rPr>
            <w:noProof/>
            <w:webHidden/>
          </w:rPr>
          <w:fldChar w:fldCharType="begin"/>
        </w:r>
        <w:r w:rsidR="008100DD">
          <w:rPr>
            <w:noProof/>
            <w:webHidden/>
          </w:rPr>
          <w:instrText xml:space="preserve"> PAGEREF _Toc476913980 \h </w:instrText>
        </w:r>
        <w:r w:rsidR="008100DD">
          <w:rPr>
            <w:noProof/>
            <w:webHidden/>
          </w:rPr>
        </w:r>
        <w:r w:rsidR="008100DD">
          <w:rPr>
            <w:noProof/>
            <w:webHidden/>
          </w:rPr>
          <w:fldChar w:fldCharType="separate"/>
        </w:r>
        <w:r w:rsidR="00A91C81">
          <w:rPr>
            <w:noProof/>
            <w:webHidden/>
          </w:rPr>
          <w:t>31</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81" w:history="1">
        <w:r w:rsidR="008100DD" w:rsidRPr="005732CE">
          <w:rPr>
            <w:rStyle w:val="Hyperlink"/>
            <w:rFonts w:eastAsiaTheme="minorHAnsi"/>
            <w:noProof/>
          </w:rPr>
          <w:t>Table 2</w:t>
        </w:r>
        <w:r w:rsidR="008100DD" w:rsidRPr="005732CE">
          <w:rPr>
            <w:rStyle w:val="Hyperlink"/>
            <w:rFonts w:eastAsiaTheme="minorHAnsi"/>
            <w:noProof/>
          </w:rPr>
          <w:noBreakHyphen/>
          <w:t>14: Summary of Statewide Phase II Impacts by EDC</w:t>
        </w:r>
        <w:r w:rsidR="008100DD">
          <w:rPr>
            <w:noProof/>
            <w:webHidden/>
          </w:rPr>
          <w:tab/>
        </w:r>
        <w:r w:rsidR="008100DD">
          <w:rPr>
            <w:noProof/>
            <w:webHidden/>
          </w:rPr>
          <w:fldChar w:fldCharType="begin"/>
        </w:r>
        <w:r w:rsidR="008100DD">
          <w:rPr>
            <w:noProof/>
            <w:webHidden/>
          </w:rPr>
          <w:instrText xml:space="preserve"> PAGEREF _Toc476913981 \h </w:instrText>
        </w:r>
        <w:r w:rsidR="008100DD">
          <w:rPr>
            <w:noProof/>
            <w:webHidden/>
          </w:rPr>
        </w:r>
        <w:r w:rsidR="008100DD">
          <w:rPr>
            <w:noProof/>
            <w:webHidden/>
          </w:rPr>
          <w:fldChar w:fldCharType="separate"/>
        </w:r>
        <w:r w:rsidR="00A91C81">
          <w:rPr>
            <w:noProof/>
            <w:webHidden/>
          </w:rPr>
          <w:t>31</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82" w:history="1">
        <w:r w:rsidR="008100DD" w:rsidRPr="005732CE">
          <w:rPr>
            <w:rStyle w:val="Hyperlink"/>
            <w:rFonts w:eastAsiaTheme="minorHAnsi"/>
            <w:noProof/>
          </w:rPr>
          <w:t>Table 2</w:t>
        </w:r>
        <w:r w:rsidR="008100DD" w:rsidRPr="005732CE">
          <w:rPr>
            <w:rStyle w:val="Hyperlink"/>
            <w:rFonts w:eastAsiaTheme="minorHAnsi"/>
            <w:noProof/>
          </w:rPr>
          <w:noBreakHyphen/>
          <w:t>15:  Summary of Duquesne’s Phase II Savings Impacts</w:t>
        </w:r>
        <w:r w:rsidR="008100DD">
          <w:rPr>
            <w:noProof/>
            <w:webHidden/>
          </w:rPr>
          <w:tab/>
        </w:r>
        <w:r w:rsidR="008100DD">
          <w:rPr>
            <w:noProof/>
            <w:webHidden/>
          </w:rPr>
          <w:fldChar w:fldCharType="begin"/>
        </w:r>
        <w:r w:rsidR="008100DD">
          <w:rPr>
            <w:noProof/>
            <w:webHidden/>
          </w:rPr>
          <w:instrText xml:space="preserve"> PAGEREF _Toc476913982 \h </w:instrText>
        </w:r>
        <w:r w:rsidR="008100DD">
          <w:rPr>
            <w:noProof/>
            <w:webHidden/>
          </w:rPr>
        </w:r>
        <w:r w:rsidR="008100DD">
          <w:rPr>
            <w:noProof/>
            <w:webHidden/>
          </w:rPr>
          <w:fldChar w:fldCharType="separate"/>
        </w:r>
        <w:r w:rsidR="00A91C81">
          <w:rPr>
            <w:noProof/>
            <w:webHidden/>
          </w:rPr>
          <w:t>31</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83" w:history="1">
        <w:r w:rsidR="008100DD" w:rsidRPr="005732CE">
          <w:rPr>
            <w:rStyle w:val="Hyperlink"/>
            <w:rFonts w:eastAsiaTheme="minorHAnsi"/>
            <w:noProof/>
          </w:rPr>
          <w:t>Table 2</w:t>
        </w:r>
        <w:r w:rsidR="008100DD" w:rsidRPr="005732CE">
          <w:rPr>
            <w:rStyle w:val="Hyperlink"/>
            <w:rFonts w:eastAsiaTheme="minorHAnsi"/>
            <w:noProof/>
          </w:rPr>
          <w:noBreakHyphen/>
          <w:t>16:  Summary of Met-Ed’s Phase II Savings Impacts</w:t>
        </w:r>
        <w:r w:rsidR="008100DD">
          <w:rPr>
            <w:noProof/>
            <w:webHidden/>
          </w:rPr>
          <w:tab/>
        </w:r>
        <w:r w:rsidR="008100DD">
          <w:rPr>
            <w:noProof/>
            <w:webHidden/>
          </w:rPr>
          <w:fldChar w:fldCharType="begin"/>
        </w:r>
        <w:r w:rsidR="008100DD">
          <w:rPr>
            <w:noProof/>
            <w:webHidden/>
          </w:rPr>
          <w:instrText xml:space="preserve"> PAGEREF _Toc476913983 \h </w:instrText>
        </w:r>
        <w:r w:rsidR="008100DD">
          <w:rPr>
            <w:noProof/>
            <w:webHidden/>
          </w:rPr>
        </w:r>
        <w:r w:rsidR="008100DD">
          <w:rPr>
            <w:noProof/>
            <w:webHidden/>
          </w:rPr>
          <w:fldChar w:fldCharType="separate"/>
        </w:r>
        <w:r w:rsidR="00A91C81">
          <w:rPr>
            <w:noProof/>
            <w:webHidden/>
          </w:rPr>
          <w:t>33</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84" w:history="1">
        <w:r w:rsidR="008100DD" w:rsidRPr="005732CE">
          <w:rPr>
            <w:rStyle w:val="Hyperlink"/>
            <w:rFonts w:eastAsiaTheme="minorHAnsi"/>
            <w:noProof/>
          </w:rPr>
          <w:t>Table 2</w:t>
        </w:r>
        <w:r w:rsidR="008100DD" w:rsidRPr="005732CE">
          <w:rPr>
            <w:rStyle w:val="Hyperlink"/>
            <w:rFonts w:eastAsiaTheme="minorHAnsi"/>
            <w:noProof/>
          </w:rPr>
          <w:noBreakHyphen/>
          <w:t>17:  Summary of Penelec’s Phase II Savings Impacts</w:t>
        </w:r>
        <w:r w:rsidR="008100DD">
          <w:rPr>
            <w:noProof/>
            <w:webHidden/>
          </w:rPr>
          <w:tab/>
        </w:r>
        <w:r w:rsidR="008100DD">
          <w:rPr>
            <w:noProof/>
            <w:webHidden/>
          </w:rPr>
          <w:fldChar w:fldCharType="begin"/>
        </w:r>
        <w:r w:rsidR="008100DD">
          <w:rPr>
            <w:noProof/>
            <w:webHidden/>
          </w:rPr>
          <w:instrText xml:space="preserve"> PAGEREF _Toc476913984 \h </w:instrText>
        </w:r>
        <w:r w:rsidR="008100DD">
          <w:rPr>
            <w:noProof/>
            <w:webHidden/>
          </w:rPr>
        </w:r>
        <w:r w:rsidR="008100DD">
          <w:rPr>
            <w:noProof/>
            <w:webHidden/>
          </w:rPr>
          <w:fldChar w:fldCharType="separate"/>
        </w:r>
        <w:r w:rsidR="00A91C81">
          <w:rPr>
            <w:noProof/>
            <w:webHidden/>
          </w:rPr>
          <w:t>34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85" w:history="1">
        <w:r w:rsidR="008100DD" w:rsidRPr="005732CE">
          <w:rPr>
            <w:rStyle w:val="Hyperlink"/>
            <w:rFonts w:eastAsiaTheme="minorHAnsi"/>
            <w:noProof/>
          </w:rPr>
          <w:t>Table 2</w:t>
        </w:r>
        <w:r w:rsidR="008100DD" w:rsidRPr="005732CE">
          <w:rPr>
            <w:rStyle w:val="Hyperlink"/>
            <w:rFonts w:eastAsiaTheme="minorHAnsi"/>
            <w:noProof/>
          </w:rPr>
          <w:noBreakHyphen/>
          <w:t>18:  Summary of Penn Power’s Phase II Savings Impacts</w:t>
        </w:r>
        <w:r w:rsidR="008100DD">
          <w:rPr>
            <w:noProof/>
            <w:webHidden/>
          </w:rPr>
          <w:tab/>
        </w:r>
        <w:r w:rsidR="008100DD">
          <w:rPr>
            <w:noProof/>
            <w:webHidden/>
          </w:rPr>
          <w:fldChar w:fldCharType="begin"/>
        </w:r>
        <w:r w:rsidR="008100DD">
          <w:rPr>
            <w:noProof/>
            <w:webHidden/>
          </w:rPr>
          <w:instrText xml:space="preserve"> PAGEREF _Toc476913985 \h </w:instrText>
        </w:r>
        <w:r w:rsidR="008100DD">
          <w:rPr>
            <w:noProof/>
            <w:webHidden/>
          </w:rPr>
        </w:r>
        <w:r w:rsidR="008100DD">
          <w:rPr>
            <w:noProof/>
            <w:webHidden/>
          </w:rPr>
          <w:fldChar w:fldCharType="separate"/>
        </w:r>
        <w:r w:rsidR="00A91C81">
          <w:rPr>
            <w:noProof/>
            <w:webHidden/>
          </w:rPr>
          <w:t>36</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86" w:history="1">
        <w:r w:rsidR="008100DD" w:rsidRPr="005732CE">
          <w:rPr>
            <w:rStyle w:val="Hyperlink"/>
            <w:rFonts w:eastAsiaTheme="minorHAnsi"/>
            <w:noProof/>
          </w:rPr>
          <w:t>Table 2</w:t>
        </w:r>
        <w:r w:rsidR="008100DD" w:rsidRPr="005732CE">
          <w:rPr>
            <w:rStyle w:val="Hyperlink"/>
            <w:rFonts w:eastAsiaTheme="minorHAnsi"/>
            <w:noProof/>
          </w:rPr>
          <w:noBreakHyphen/>
          <w:t>19:  Summary of West Penn’s Phase II Savings Impacts</w:t>
        </w:r>
        <w:r w:rsidR="008100DD">
          <w:rPr>
            <w:noProof/>
            <w:webHidden/>
          </w:rPr>
          <w:tab/>
        </w:r>
        <w:r w:rsidR="008100DD">
          <w:rPr>
            <w:noProof/>
            <w:webHidden/>
          </w:rPr>
          <w:fldChar w:fldCharType="begin"/>
        </w:r>
        <w:r w:rsidR="008100DD">
          <w:rPr>
            <w:noProof/>
            <w:webHidden/>
          </w:rPr>
          <w:instrText xml:space="preserve"> PAGEREF _Toc476913986 \h </w:instrText>
        </w:r>
        <w:r w:rsidR="008100DD">
          <w:rPr>
            <w:noProof/>
            <w:webHidden/>
          </w:rPr>
        </w:r>
        <w:r w:rsidR="008100DD">
          <w:rPr>
            <w:noProof/>
            <w:webHidden/>
          </w:rPr>
          <w:fldChar w:fldCharType="separate"/>
        </w:r>
        <w:r w:rsidR="00A91C81">
          <w:rPr>
            <w:noProof/>
            <w:webHidden/>
          </w:rPr>
          <w:t>37</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87" w:history="1">
        <w:r w:rsidR="008100DD" w:rsidRPr="005732CE">
          <w:rPr>
            <w:rStyle w:val="Hyperlink"/>
            <w:rFonts w:eastAsiaTheme="minorHAnsi"/>
            <w:noProof/>
          </w:rPr>
          <w:t>Table 2</w:t>
        </w:r>
        <w:r w:rsidR="008100DD" w:rsidRPr="005732CE">
          <w:rPr>
            <w:rStyle w:val="Hyperlink"/>
            <w:rFonts w:eastAsiaTheme="minorHAnsi"/>
            <w:noProof/>
          </w:rPr>
          <w:noBreakHyphen/>
          <w:t>20:  Summary of PECO’s Phase II Savings Impacts</w:t>
        </w:r>
        <w:r w:rsidR="008100DD">
          <w:rPr>
            <w:noProof/>
            <w:webHidden/>
          </w:rPr>
          <w:tab/>
        </w:r>
        <w:r w:rsidR="008100DD">
          <w:rPr>
            <w:noProof/>
            <w:webHidden/>
          </w:rPr>
          <w:fldChar w:fldCharType="begin"/>
        </w:r>
        <w:r w:rsidR="008100DD">
          <w:rPr>
            <w:noProof/>
            <w:webHidden/>
          </w:rPr>
          <w:instrText xml:space="preserve"> PAGEREF _Toc476913987 \h </w:instrText>
        </w:r>
        <w:r w:rsidR="008100DD">
          <w:rPr>
            <w:noProof/>
            <w:webHidden/>
          </w:rPr>
        </w:r>
        <w:r w:rsidR="008100DD">
          <w:rPr>
            <w:noProof/>
            <w:webHidden/>
          </w:rPr>
          <w:fldChar w:fldCharType="separate"/>
        </w:r>
        <w:r w:rsidR="00A91C81">
          <w:rPr>
            <w:noProof/>
            <w:webHidden/>
          </w:rPr>
          <w:t>39</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88" w:history="1">
        <w:r w:rsidR="008100DD" w:rsidRPr="005732CE">
          <w:rPr>
            <w:rStyle w:val="Hyperlink"/>
            <w:rFonts w:eastAsiaTheme="minorHAnsi"/>
            <w:noProof/>
          </w:rPr>
          <w:t>Table 2</w:t>
        </w:r>
        <w:r w:rsidR="008100DD" w:rsidRPr="005732CE">
          <w:rPr>
            <w:rStyle w:val="Hyperlink"/>
            <w:rFonts w:eastAsiaTheme="minorHAnsi"/>
            <w:noProof/>
          </w:rPr>
          <w:noBreakHyphen/>
          <w:t>21: Summary of PPL’s Phase II Savings Impacts</w:t>
        </w:r>
        <w:r w:rsidR="008100DD">
          <w:rPr>
            <w:noProof/>
            <w:webHidden/>
          </w:rPr>
          <w:tab/>
        </w:r>
        <w:r w:rsidR="008100DD">
          <w:rPr>
            <w:noProof/>
            <w:webHidden/>
          </w:rPr>
          <w:fldChar w:fldCharType="begin"/>
        </w:r>
        <w:r w:rsidR="008100DD">
          <w:rPr>
            <w:noProof/>
            <w:webHidden/>
          </w:rPr>
          <w:instrText xml:space="preserve"> PAGEREF _Toc476913988 \h </w:instrText>
        </w:r>
        <w:r w:rsidR="008100DD">
          <w:rPr>
            <w:noProof/>
            <w:webHidden/>
          </w:rPr>
        </w:r>
        <w:r w:rsidR="008100DD">
          <w:rPr>
            <w:noProof/>
            <w:webHidden/>
          </w:rPr>
          <w:fldChar w:fldCharType="separate"/>
        </w:r>
        <w:r w:rsidR="00A91C81">
          <w:rPr>
            <w:noProof/>
            <w:webHidden/>
          </w:rPr>
          <w:t>40</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89" w:history="1">
        <w:r w:rsidR="008100DD" w:rsidRPr="005732CE">
          <w:rPr>
            <w:rStyle w:val="Hyperlink"/>
            <w:rFonts w:eastAsiaTheme="minorHAnsi"/>
            <w:noProof/>
          </w:rPr>
          <w:t>Table 3</w:t>
        </w:r>
        <w:r w:rsidR="008100DD" w:rsidRPr="005732CE">
          <w:rPr>
            <w:rStyle w:val="Hyperlink"/>
            <w:rFonts w:eastAsiaTheme="minorHAnsi"/>
            <w:noProof/>
          </w:rPr>
          <w:noBreakHyphen/>
          <w:t>1: Phase II Cumulative Gross Demand Savings</w:t>
        </w:r>
        <w:r w:rsidR="008100DD">
          <w:rPr>
            <w:noProof/>
            <w:webHidden/>
          </w:rPr>
          <w:tab/>
        </w:r>
        <w:r w:rsidR="008100DD">
          <w:rPr>
            <w:noProof/>
            <w:webHidden/>
          </w:rPr>
          <w:fldChar w:fldCharType="begin"/>
        </w:r>
        <w:r w:rsidR="008100DD">
          <w:rPr>
            <w:noProof/>
            <w:webHidden/>
          </w:rPr>
          <w:instrText xml:space="preserve"> PAGEREF _Toc476913989 \h </w:instrText>
        </w:r>
        <w:r w:rsidR="008100DD">
          <w:rPr>
            <w:noProof/>
            <w:webHidden/>
          </w:rPr>
        </w:r>
        <w:r w:rsidR="008100DD">
          <w:rPr>
            <w:noProof/>
            <w:webHidden/>
          </w:rPr>
          <w:fldChar w:fldCharType="separate"/>
        </w:r>
        <w:r w:rsidR="00A91C81">
          <w:rPr>
            <w:noProof/>
            <w:webHidden/>
          </w:rPr>
          <w:t>42</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90" w:history="1">
        <w:r w:rsidR="008100DD" w:rsidRPr="005732CE">
          <w:rPr>
            <w:rStyle w:val="Hyperlink"/>
            <w:rFonts w:eastAsiaTheme="minorHAnsi"/>
            <w:noProof/>
          </w:rPr>
          <w:t>Table 3</w:t>
        </w:r>
        <w:r w:rsidR="008100DD" w:rsidRPr="005732CE">
          <w:rPr>
            <w:rStyle w:val="Hyperlink"/>
            <w:rFonts w:eastAsiaTheme="minorHAnsi"/>
            <w:noProof/>
          </w:rPr>
          <w:noBreakHyphen/>
          <w:t>2: Phase II Cumulative Verified Demand (MW) Savings, by EDC and Sector</w:t>
        </w:r>
        <w:r w:rsidR="008100DD">
          <w:rPr>
            <w:noProof/>
            <w:webHidden/>
          </w:rPr>
          <w:tab/>
        </w:r>
        <w:r w:rsidR="008100DD">
          <w:rPr>
            <w:noProof/>
            <w:webHidden/>
          </w:rPr>
          <w:fldChar w:fldCharType="begin"/>
        </w:r>
        <w:r w:rsidR="008100DD">
          <w:rPr>
            <w:noProof/>
            <w:webHidden/>
          </w:rPr>
          <w:instrText xml:space="preserve"> PAGEREF _Toc476913990 \h </w:instrText>
        </w:r>
        <w:r w:rsidR="008100DD">
          <w:rPr>
            <w:noProof/>
            <w:webHidden/>
          </w:rPr>
        </w:r>
        <w:r w:rsidR="008100DD">
          <w:rPr>
            <w:noProof/>
            <w:webHidden/>
          </w:rPr>
          <w:fldChar w:fldCharType="separate"/>
        </w:r>
        <w:r w:rsidR="00A91C81">
          <w:rPr>
            <w:noProof/>
            <w:webHidden/>
          </w:rPr>
          <w:t>42</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91" w:history="1">
        <w:r w:rsidR="008100DD" w:rsidRPr="005732CE">
          <w:rPr>
            <w:rStyle w:val="Hyperlink"/>
            <w:rFonts w:eastAsiaTheme="minorHAnsi"/>
            <w:noProof/>
          </w:rPr>
          <w:t>Table 3</w:t>
        </w:r>
        <w:r w:rsidR="008100DD" w:rsidRPr="005732CE">
          <w:rPr>
            <w:rStyle w:val="Hyperlink"/>
            <w:rFonts w:eastAsiaTheme="minorHAnsi"/>
            <w:noProof/>
          </w:rPr>
          <w:noBreakHyphen/>
          <w:t>3: Duquesne Phase II Cumulative Demand Savings, by Sector</w:t>
        </w:r>
        <w:r w:rsidR="008100DD">
          <w:rPr>
            <w:noProof/>
            <w:webHidden/>
          </w:rPr>
          <w:tab/>
        </w:r>
        <w:r w:rsidR="008100DD">
          <w:rPr>
            <w:noProof/>
            <w:webHidden/>
          </w:rPr>
          <w:fldChar w:fldCharType="begin"/>
        </w:r>
        <w:r w:rsidR="008100DD">
          <w:rPr>
            <w:noProof/>
            <w:webHidden/>
          </w:rPr>
          <w:instrText xml:space="preserve"> PAGEREF _Toc476913991 \h </w:instrText>
        </w:r>
        <w:r w:rsidR="008100DD">
          <w:rPr>
            <w:noProof/>
            <w:webHidden/>
          </w:rPr>
        </w:r>
        <w:r w:rsidR="008100DD">
          <w:rPr>
            <w:noProof/>
            <w:webHidden/>
          </w:rPr>
          <w:fldChar w:fldCharType="separate"/>
        </w:r>
        <w:r w:rsidR="00A91C81">
          <w:rPr>
            <w:noProof/>
            <w:webHidden/>
          </w:rPr>
          <w:t>43</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92" w:history="1">
        <w:r w:rsidR="008100DD" w:rsidRPr="005732CE">
          <w:rPr>
            <w:rStyle w:val="Hyperlink"/>
            <w:rFonts w:eastAsiaTheme="minorHAnsi"/>
            <w:noProof/>
          </w:rPr>
          <w:t>Table 3</w:t>
        </w:r>
        <w:r w:rsidR="008100DD" w:rsidRPr="005732CE">
          <w:rPr>
            <w:rStyle w:val="Hyperlink"/>
            <w:rFonts w:eastAsiaTheme="minorHAnsi"/>
            <w:noProof/>
          </w:rPr>
          <w:noBreakHyphen/>
          <w:t>4: Met-Ed Phase II Cumulative Demand Savings, by Sector</w:t>
        </w:r>
        <w:r w:rsidR="008100DD">
          <w:rPr>
            <w:noProof/>
            <w:webHidden/>
          </w:rPr>
          <w:tab/>
        </w:r>
        <w:r w:rsidR="008100DD">
          <w:rPr>
            <w:noProof/>
            <w:webHidden/>
          </w:rPr>
          <w:fldChar w:fldCharType="begin"/>
        </w:r>
        <w:r w:rsidR="008100DD">
          <w:rPr>
            <w:noProof/>
            <w:webHidden/>
          </w:rPr>
          <w:instrText xml:space="preserve"> PAGEREF _Toc476913992 \h </w:instrText>
        </w:r>
        <w:r w:rsidR="008100DD">
          <w:rPr>
            <w:noProof/>
            <w:webHidden/>
          </w:rPr>
        </w:r>
        <w:r w:rsidR="008100DD">
          <w:rPr>
            <w:noProof/>
            <w:webHidden/>
          </w:rPr>
          <w:fldChar w:fldCharType="separate"/>
        </w:r>
        <w:r w:rsidR="00A91C81">
          <w:rPr>
            <w:noProof/>
            <w:webHidden/>
          </w:rPr>
          <w:t>44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93" w:history="1">
        <w:r w:rsidR="008100DD" w:rsidRPr="005732CE">
          <w:rPr>
            <w:rStyle w:val="Hyperlink"/>
            <w:rFonts w:eastAsiaTheme="minorHAnsi"/>
            <w:noProof/>
          </w:rPr>
          <w:t>Table 3</w:t>
        </w:r>
        <w:r w:rsidR="008100DD" w:rsidRPr="005732CE">
          <w:rPr>
            <w:rStyle w:val="Hyperlink"/>
            <w:rFonts w:eastAsiaTheme="minorHAnsi"/>
            <w:noProof/>
          </w:rPr>
          <w:noBreakHyphen/>
          <w:t>5: Penelec Phase II Cumulative Demand Savings, by Sector</w:t>
        </w:r>
        <w:r w:rsidR="008100DD">
          <w:rPr>
            <w:noProof/>
            <w:webHidden/>
          </w:rPr>
          <w:tab/>
        </w:r>
        <w:r w:rsidR="008100DD">
          <w:rPr>
            <w:noProof/>
            <w:webHidden/>
          </w:rPr>
          <w:fldChar w:fldCharType="begin"/>
        </w:r>
        <w:r w:rsidR="008100DD">
          <w:rPr>
            <w:noProof/>
            <w:webHidden/>
          </w:rPr>
          <w:instrText xml:space="preserve"> PAGEREF _Toc476913993 \h </w:instrText>
        </w:r>
        <w:r w:rsidR="008100DD">
          <w:rPr>
            <w:noProof/>
            <w:webHidden/>
          </w:rPr>
        </w:r>
        <w:r w:rsidR="008100DD">
          <w:rPr>
            <w:noProof/>
            <w:webHidden/>
          </w:rPr>
          <w:fldChar w:fldCharType="separate"/>
        </w:r>
        <w:r w:rsidR="00A91C81">
          <w:rPr>
            <w:noProof/>
            <w:webHidden/>
          </w:rPr>
          <w:t>45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94" w:history="1">
        <w:r w:rsidR="008100DD" w:rsidRPr="005732CE">
          <w:rPr>
            <w:rStyle w:val="Hyperlink"/>
            <w:rFonts w:eastAsiaTheme="minorHAnsi"/>
            <w:noProof/>
          </w:rPr>
          <w:t>Table 3</w:t>
        </w:r>
        <w:r w:rsidR="008100DD" w:rsidRPr="005732CE">
          <w:rPr>
            <w:rStyle w:val="Hyperlink"/>
            <w:rFonts w:eastAsiaTheme="minorHAnsi"/>
            <w:noProof/>
          </w:rPr>
          <w:noBreakHyphen/>
          <w:t>6: Penn Power Phase II Cumulative Demand Savings, by Sector</w:t>
        </w:r>
        <w:r w:rsidR="008100DD">
          <w:rPr>
            <w:noProof/>
            <w:webHidden/>
          </w:rPr>
          <w:tab/>
        </w:r>
        <w:r w:rsidR="008100DD">
          <w:rPr>
            <w:noProof/>
            <w:webHidden/>
          </w:rPr>
          <w:fldChar w:fldCharType="begin"/>
        </w:r>
        <w:r w:rsidR="008100DD">
          <w:rPr>
            <w:noProof/>
            <w:webHidden/>
          </w:rPr>
          <w:instrText xml:space="preserve"> PAGEREF _Toc476913994 \h </w:instrText>
        </w:r>
        <w:r w:rsidR="008100DD">
          <w:rPr>
            <w:noProof/>
            <w:webHidden/>
          </w:rPr>
        </w:r>
        <w:r w:rsidR="008100DD">
          <w:rPr>
            <w:noProof/>
            <w:webHidden/>
          </w:rPr>
          <w:fldChar w:fldCharType="separate"/>
        </w:r>
        <w:r w:rsidR="00A91C81">
          <w:rPr>
            <w:noProof/>
            <w:webHidden/>
          </w:rPr>
          <w:t>46</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95" w:history="1">
        <w:r w:rsidR="008100DD" w:rsidRPr="005732CE">
          <w:rPr>
            <w:rStyle w:val="Hyperlink"/>
            <w:rFonts w:eastAsiaTheme="minorHAnsi"/>
            <w:noProof/>
          </w:rPr>
          <w:t>Table 3</w:t>
        </w:r>
        <w:r w:rsidR="008100DD" w:rsidRPr="005732CE">
          <w:rPr>
            <w:rStyle w:val="Hyperlink"/>
            <w:rFonts w:eastAsiaTheme="minorHAnsi"/>
            <w:noProof/>
          </w:rPr>
          <w:noBreakHyphen/>
          <w:t>7: West Penn Phase II Cumulative Demand Savings, by Sector</w:t>
        </w:r>
        <w:r w:rsidR="008100DD">
          <w:rPr>
            <w:noProof/>
            <w:webHidden/>
          </w:rPr>
          <w:tab/>
        </w:r>
        <w:r w:rsidR="008100DD">
          <w:rPr>
            <w:noProof/>
            <w:webHidden/>
          </w:rPr>
          <w:fldChar w:fldCharType="begin"/>
        </w:r>
        <w:r w:rsidR="008100DD">
          <w:rPr>
            <w:noProof/>
            <w:webHidden/>
          </w:rPr>
          <w:instrText xml:space="preserve"> PAGEREF _Toc476913995 \h </w:instrText>
        </w:r>
        <w:r w:rsidR="008100DD">
          <w:rPr>
            <w:noProof/>
            <w:webHidden/>
          </w:rPr>
        </w:r>
        <w:r w:rsidR="008100DD">
          <w:rPr>
            <w:noProof/>
            <w:webHidden/>
          </w:rPr>
          <w:fldChar w:fldCharType="separate"/>
        </w:r>
        <w:r w:rsidR="00A91C81">
          <w:rPr>
            <w:noProof/>
            <w:webHidden/>
          </w:rPr>
          <w:t>47</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96" w:history="1">
        <w:r w:rsidR="008100DD" w:rsidRPr="005732CE">
          <w:rPr>
            <w:rStyle w:val="Hyperlink"/>
            <w:rFonts w:eastAsiaTheme="minorHAnsi"/>
            <w:noProof/>
          </w:rPr>
          <w:t>Table 3</w:t>
        </w:r>
        <w:r w:rsidR="008100DD" w:rsidRPr="005732CE">
          <w:rPr>
            <w:rStyle w:val="Hyperlink"/>
            <w:rFonts w:eastAsiaTheme="minorHAnsi"/>
            <w:noProof/>
          </w:rPr>
          <w:noBreakHyphen/>
          <w:t>8: PECO Phase II Cumulative Demand Savings, by Sector</w:t>
        </w:r>
        <w:r w:rsidR="008100DD">
          <w:rPr>
            <w:noProof/>
            <w:webHidden/>
          </w:rPr>
          <w:tab/>
        </w:r>
        <w:r w:rsidR="008100DD">
          <w:rPr>
            <w:noProof/>
            <w:webHidden/>
          </w:rPr>
          <w:fldChar w:fldCharType="begin"/>
        </w:r>
        <w:r w:rsidR="008100DD">
          <w:rPr>
            <w:noProof/>
            <w:webHidden/>
          </w:rPr>
          <w:instrText xml:space="preserve"> PAGEREF _Toc476913996 \h </w:instrText>
        </w:r>
        <w:r w:rsidR="008100DD">
          <w:rPr>
            <w:noProof/>
            <w:webHidden/>
          </w:rPr>
        </w:r>
        <w:r w:rsidR="008100DD">
          <w:rPr>
            <w:noProof/>
            <w:webHidden/>
          </w:rPr>
          <w:fldChar w:fldCharType="separate"/>
        </w:r>
        <w:r w:rsidR="00A91C81">
          <w:rPr>
            <w:noProof/>
            <w:webHidden/>
          </w:rPr>
          <w:t>48</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97" w:history="1">
        <w:r w:rsidR="008100DD" w:rsidRPr="005732CE">
          <w:rPr>
            <w:rStyle w:val="Hyperlink"/>
            <w:rFonts w:eastAsiaTheme="minorHAnsi"/>
            <w:noProof/>
          </w:rPr>
          <w:t>Table 3</w:t>
        </w:r>
        <w:r w:rsidR="008100DD" w:rsidRPr="005732CE">
          <w:rPr>
            <w:rStyle w:val="Hyperlink"/>
            <w:rFonts w:eastAsiaTheme="minorHAnsi"/>
            <w:noProof/>
          </w:rPr>
          <w:noBreakHyphen/>
          <w:t>9: PPL Phase II Cumulative Demand Savings, by Sector</w:t>
        </w:r>
        <w:r w:rsidR="008100DD">
          <w:rPr>
            <w:noProof/>
            <w:webHidden/>
          </w:rPr>
          <w:tab/>
        </w:r>
        <w:r w:rsidR="008100DD">
          <w:rPr>
            <w:noProof/>
            <w:webHidden/>
          </w:rPr>
          <w:fldChar w:fldCharType="begin"/>
        </w:r>
        <w:r w:rsidR="008100DD">
          <w:rPr>
            <w:noProof/>
            <w:webHidden/>
          </w:rPr>
          <w:instrText xml:space="preserve"> PAGEREF _Toc476913997 \h </w:instrText>
        </w:r>
        <w:r w:rsidR="008100DD">
          <w:rPr>
            <w:noProof/>
            <w:webHidden/>
          </w:rPr>
        </w:r>
        <w:r w:rsidR="008100DD">
          <w:rPr>
            <w:noProof/>
            <w:webHidden/>
          </w:rPr>
          <w:fldChar w:fldCharType="separate"/>
        </w:r>
        <w:r w:rsidR="00A91C81">
          <w:rPr>
            <w:noProof/>
            <w:webHidden/>
          </w:rPr>
          <w:t>49</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98" w:history="1">
        <w:r w:rsidR="008100DD" w:rsidRPr="005732CE">
          <w:rPr>
            <w:rStyle w:val="Hyperlink"/>
            <w:rFonts w:eastAsiaTheme="minorHAnsi"/>
            <w:noProof/>
          </w:rPr>
          <w:t>Table 4</w:t>
        </w:r>
        <w:r w:rsidR="008100DD" w:rsidRPr="005732CE">
          <w:rPr>
            <w:rStyle w:val="Hyperlink"/>
            <w:rFonts w:eastAsiaTheme="minorHAnsi"/>
            <w:noProof/>
          </w:rPr>
          <w:noBreakHyphen/>
          <w:t>1: Phase II Verified Gross TRC Benefits, Costs, and Ratios by Program Year and EDC</w:t>
        </w:r>
        <w:r w:rsidR="008100DD">
          <w:rPr>
            <w:noProof/>
            <w:webHidden/>
          </w:rPr>
          <w:tab/>
        </w:r>
        <w:r w:rsidR="008100DD">
          <w:rPr>
            <w:noProof/>
            <w:webHidden/>
          </w:rPr>
          <w:fldChar w:fldCharType="begin"/>
        </w:r>
        <w:r w:rsidR="008100DD">
          <w:rPr>
            <w:noProof/>
            <w:webHidden/>
          </w:rPr>
          <w:instrText xml:space="preserve"> PAGEREF _Toc476913998 \h </w:instrText>
        </w:r>
        <w:r w:rsidR="008100DD">
          <w:rPr>
            <w:noProof/>
            <w:webHidden/>
          </w:rPr>
        </w:r>
        <w:r w:rsidR="008100DD">
          <w:rPr>
            <w:noProof/>
            <w:webHidden/>
          </w:rPr>
          <w:fldChar w:fldCharType="separate"/>
        </w:r>
        <w:r w:rsidR="00A91C81">
          <w:rPr>
            <w:noProof/>
            <w:webHidden/>
          </w:rPr>
          <w:t>52</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3999" w:history="1">
        <w:r w:rsidR="008100DD" w:rsidRPr="005732CE">
          <w:rPr>
            <w:rStyle w:val="Hyperlink"/>
            <w:rFonts w:eastAsiaTheme="minorHAnsi"/>
            <w:noProof/>
          </w:rPr>
          <w:t>Table 4</w:t>
        </w:r>
        <w:r w:rsidR="008100DD" w:rsidRPr="005732CE">
          <w:rPr>
            <w:rStyle w:val="Hyperlink"/>
            <w:rFonts w:eastAsiaTheme="minorHAnsi"/>
            <w:noProof/>
          </w:rPr>
          <w:noBreakHyphen/>
          <w:t>2: Phase II Verified Gross TRC Benefits, Costs, and Ratios by EDC</w:t>
        </w:r>
        <w:r w:rsidR="008100DD">
          <w:rPr>
            <w:noProof/>
            <w:webHidden/>
          </w:rPr>
          <w:tab/>
        </w:r>
        <w:r w:rsidR="008100DD">
          <w:rPr>
            <w:noProof/>
            <w:webHidden/>
          </w:rPr>
          <w:fldChar w:fldCharType="begin"/>
        </w:r>
        <w:r w:rsidR="008100DD">
          <w:rPr>
            <w:noProof/>
            <w:webHidden/>
          </w:rPr>
          <w:instrText xml:space="preserve"> PAGEREF _Toc476913999 \h </w:instrText>
        </w:r>
        <w:r w:rsidR="008100DD">
          <w:rPr>
            <w:noProof/>
            <w:webHidden/>
          </w:rPr>
        </w:r>
        <w:r w:rsidR="008100DD">
          <w:rPr>
            <w:noProof/>
            <w:webHidden/>
          </w:rPr>
          <w:fldChar w:fldCharType="separate"/>
        </w:r>
        <w:r w:rsidR="00A91C81">
          <w:rPr>
            <w:noProof/>
            <w:webHidden/>
          </w:rPr>
          <w:t>53</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00" w:history="1">
        <w:r w:rsidR="008100DD" w:rsidRPr="005732CE">
          <w:rPr>
            <w:rStyle w:val="Hyperlink"/>
            <w:rFonts w:eastAsiaTheme="minorHAnsi"/>
            <w:noProof/>
          </w:rPr>
          <w:t>Table 5</w:t>
        </w:r>
        <w:r w:rsidR="008100DD" w:rsidRPr="005732CE">
          <w:rPr>
            <w:rStyle w:val="Hyperlink"/>
            <w:rFonts w:eastAsiaTheme="minorHAnsi"/>
            <w:noProof/>
          </w:rPr>
          <w:noBreakHyphen/>
          <w:t>1: Summary of Status of Recommendations, by EDC and Program Year</w:t>
        </w:r>
        <w:r w:rsidR="008100DD">
          <w:rPr>
            <w:noProof/>
            <w:webHidden/>
          </w:rPr>
          <w:tab/>
        </w:r>
        <w:r w:rsidR="008100DD">
          <w:rPr>
            <w:noProof/>
            <w:webHidden/>
          </w:rPr>
          <w:fldChar w:fldCharType="begin"/>
        </w:r>
        <w:r w:rsidR="008100DD">
          <w:rPr>
            <w:noProof/>
            <w:webHidden/>
          </w:rPr>
          <w:instrText xml:space="preserve"> PAGEREF _Toc476914000 \h </w:instrText>
        </w:r>
        <w:r w:rsidR="008100DD">
          <w:rPr>
            <w:noProof/>
            <w:webHidden/>
          </w:rPr>
        </w:r>
        <w:r w:rsidR="008100DD">
          <w:rPr>
            <w:noProof/>
            <w:webHidden/>
          </w:rPr>
          <w:fldChar w:fldCharType="separate"/>
        </w:r>
        <w:r w:rsidR="00A91C81">
          <w:rPr>
            <w:noProof/>
            <w:webHidden/>
          </w:rPr>
          <w:t>59</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01" w:history="1">
        <w:r w:rsidR="008100DD" w:rsidRPr="005732CE">
          <w:rPr>
            <w:rStyle w:val="Hyperlink"/>
            <w:rFonts w:eastAsiaTheme="minorHAnsi"/>
            <w:noProof/>
          </w:rPr>
          <w:t>Table 5</w:t>
        </w:r>
        <w:r w:rsidR="008100DD" w:rsidRPr="005732CE">
          <w:rPr>
            <w:rStyle w:val="Hyperlink"/>
            <w:rFonts w:eastAsiaTheme="minorHAnsi"/>
            <w:noProof/>
          </w:rPr>
          <w:noBreakHyphen/>
          <w:t>2: PY7 – Summary of SWE Process Evaluation Findings</w:t>
        </w:r>
        <w:r w:rsidR="008100DD">
          <w:rPr>
            <w:noProof/>
            <w:webHidden/>
          </w:rPr>
          <w:tab/>
        </w:r>
        <w:r w:rsidR="008100DD">
          <w:rPr>
            <w:noProof/>
            <w:webHidden/>
          </w:rPr>
          <w:fldChar w:fldCharType="begin"/>
        </w:r>
        <w:r w:rsidR="008100DD">
          <w:rPr>
            <w:noProof/>
            <w:webHidden/>
          </w:rPr>
          <w:instrText xml:space="preserve"> PAGEREF _Toc476914001 \h </w:instrText>
        </w:r>
        <w:r w:rsidR="008100DD">
          <w:rPr>
            <w:noProof/>
            <w:webHidden/>
          </w:rPr>
        </w:r>
        <w:r w:rsidR="008100DD">
          <w:rPr>
            <w:noProof/>
            <w:webHidden/>
          </w:rPr>
          <w:fldChar w:fldCharType="separate"/>
        </w:r>
        <w:r w:rsidR="00A91C81">
          <w:rPr>
            <w:noProof/>
            <w:webHidden/>
          </w:rPr>
          <w:t>60</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02" w:history="1">
        <w:r w:rsidR="008100DD" w:rsidRPr="005732CE">
          <w:rPr>
            <w:rStyle w:val="Hyperlink"/>
            <w:rFonts w:eastAsiaTheme="minorHAnsi"/>
            <w:noProof/>
          </w:rPr>
          <w:t>Table 5</w:t>
        </w:r>
        <w:r w:rsidR="008100DD" w:rsidRPr="005732CE">
          <w:rPr>
            <w:rStyle w:val="Hyperlink"/>
            <w:rFonts w:eastAsiaTheme="minorHAnsi"/>
            <w:noProof/>
          </w:rPr>
          <w:noBreakHyphen/>
          <w:t>3: PY7 Portfolio Net-to-Gross Ratios by EDC</w:t>
        </w:r>
        <w:r w:rsidR="008100DD">
          <w:rPr>
            <w:noProof/>
            <w:webHidden/>
          </w:rPr>
          <w:tab/>
        </w:r>
        <w:r w:rsidR="008100DD">
          <w:rPr>
            <w:noProof/>
            <w:webHidden/>
          </w:rPr>
          <w:fldChar w:fldCharType="begin"/>
        </w:r>
        <w:r w:rsidR="008100DD">
          <w:rPr>
            <w:noProof/>
            <w:webHidden/>
          </w:rPr>
          <w:instrText xml:space="preserve"> PAGEREF _Toc476914002 \h </w:instrText>
        </w:r>
        <w:r w:rsidR="008100DD">
          <w:rPr>
            <w:noProof/>
            <w:webHidden/>
          </w:rPr>
        </w:r>
        <w:r w:rsidR="008100DD">
          <w:rPr>
            <w:noProof/>
            <w:webHidden/>
          </w:rPr>
          <w:fldChar w:fldCharType="separate"/>
        </w:r>
        <w:r w:rsidR="00A91C81">
          <w:rPr>
            <w:noProof/>
            <w:webHidden/>
          </w:rPr>
          <w:t>68</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03" w:history="1">
        <w:r w:rsidR="008100DD" w:rsidRPr="005732CE">
          <w:rPr>
            <w:rStyle w:val="Hyperlink"/>
            <w:rFonts w:eastAsiaTheme="minorHAnsi"/>
            <w:noProof/>
          </w:rPr>
          <w:t>Table 5</w:t>
        </w:r>
        <w:r w:rsidR="008100DD" w:rsidRPr="005732CE">
          <w:rPr>
            <w:rStyle w:val="Hyperlink"/>
            <w:rFonts w:eastAsiaTheme="minorHAnsi"/>
            <w:noProof/>
          </w:rPr>
          <w:noBreakHyphen/>
          <w:t>4: Summary of SWE Findings on the Application of NTG Methods by EDCs</w:t>
        </w:r>
        <w:r w:rsidR="008100DD">
          <w:rPr>
            <w:noProof/>
            <w:webHidden/>
          </w:rPr>
          <w:tab/>
        </w:r>
        <w:r w:rsidR="008100DD">
          <w:rPr>
            <w:noProof/>
            <w:webHidden/>
          </w:rPr>
          <w:fldChar w:fldCharType="begin"/>
        </w:r>
        <w:r w:rsidR="008100DD">
          <w:rPr>
            <w:noProof/>
            <w:webHidden/>
          </w:rPr>
          <w:instrText xml:space="preserve"> PAGEREF _Toc476914003 \h </w:instrText>
        </w:r>
        <w:r w:rsidR="008100DD">
          <w:rPr>
            <w:noProof/>
            <w:webHidden/>
          </w:rPr>
        </w:r>
        <w:r w:rsidR="008100DD">
          <w:rPr>
            <w:noProof/>
            <w:webHidden/>
          </w:rPr>
          <w:fldChar w:fldCharType="separate"/>
        </w:r>
        <w:r w:rsidR="00A91C81">
          <w:rPr>
            <w:noProof/>
            <w:webHidden/>
          </w:rPr>
          <w:t>69</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04" w:history="1">
        <w:r w:rsidR="008100DD" w:rsidRPr="005732CE">
          <w:rPr>
            <w:rStyle w:val="Hyperlink"/>
            <w:rFonts w:eastAsiaTheme="minorHAnsi"/>
            <w:noProof/>
          </w:rPr>
          <w:t>Table 5</w:t>
        </w:r>
        <w:r w:rsidR="008100DD" w:rsidRPr="005732CE">
          <w:rPr>
            <w:rStyle w:val="Hyperlink"/>
            <w:rFonts w:eastAsiaTheme="minorHAnsi"/>
            <w:noProof/>
          </w:rPr>
          <w:noBreakHyphen/>
          <w:t>5: PY7 Net-to-Gross Ratios by Sector and Program – All EDCs</w:t>
        </w:r>
        <w:r w:rsidR="008100DD">
          <w:rPr>
            <w:noProof/>
            <w:webHidden/>
          </w:rPr>
          <w:tab/>
        </w:r>
        <w:r w:rsidR="008100DD">
          <w:rPr>
            <w:noProof/>
            <w:webHidden/>
          </w:rPr>
          <w:fldChar w:fldCharType="begin"/>
        </w:r>
        <w:r w:rsidR="008100DD">
          <w:rPr>
            <w:noProof/>
            <w:webHidden/>
          </w:rPr>
          <w:instrText xml:space="preserve"> PAGEREF _Toc476914004 \h </w:instrText>
        </w:r>
        <w:r w:rsidR="008100DD">
          <w:rPr>
            <w:noProof/>
            <w:webHidden/>
          </w:rPr>
        </w:r>
        <w:r w:rsidR="008100DD">
          <w:rPr>
            <w:noProof/>
            <w:webHidden/>
          </w:rPr>
          <w:fldChar w:fldCharType="separate"/>
        </w:r>
        <w:r w:rsidR="00A91C81">
          <w:rPr>
            <w:noProof/>
            <w:webHidden/>
          </w:rPr>
          <w:t>69</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05" w:history="1">
        <w:r w:rsidR="008100DD" w:rsidRPr="005732CE">
          <w:rPr>
            <w:rStyle w:val="Hyperlink"/>
            <w:rFonts w:eastAsiaTheme="minorHAnsi"/>
            <w:noProof/>
          </w:rPr>
          <w:t>Table 5</w:t>
        </w:r>
        <w:r w:rsidR="008100DD" w:rsidRPr="005732CE">
          <w:rPr>
            <w:rStyle w:val="Hyperlink"/>
            <w:rFonts w:eastAsiaTheme="minorHAnsi"/>
            <w:noProof/>
          </w:rPr>
          <w:noBreakHyphen/>
          <w:t>6: Duquesne’s Phase II NTGRs by Program Year</w:t>
        </w:r>
        <w:r w:rsidR="008100DD">
          <w:rPr>
            <w:noProof/>
            <w:webHidden/>
          </w:rPr>
          <w:tab/>
        </w:r>
        <w:r w:rsidR="008100DD">
          <w:rPr>
            <w:noProof/>
            <w:webHidden/>
          </w:rPr>
          <w:fldChar w:fldCharType="begin"/>
        </w:r>
        <w:r w:rsidR="008100DD">
          <w:rPr>
            <w:noProof/>
            <w:webHidden/>
          </w:rPr>
          <w:instrText xml:space="preserve"> PAGEREF _Toc476914005 \h </w:instrText>
        </w:r>
        <w:r w:rsidR="008100DD">
          <w:rPr>
            <w:noProof/>
            <w:webHidden/>
          </w:rPr>
        </w:r>
        <w:r w:rsidR="008100DD">
          <w:rPr>
            <w:noProof/>
            <w:webHidden/>
          </w:rPr>
          <w:fldChar w:fldCharType="separate"/>
        </w:r>
        <w:r w:rsidR="00A91C81">
          <w:rPr>
            <w:noProof/>
            <w:webHidden/>
          </w:rPr>
          <w:t>74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06" w:history="1">
        <w:r w:rsidR="008100DD" w:rsidRPr="005732CE">
          <w:rPr>
            <w:rStyle w:val="Hyperlink"/>
            <w:rFonts w:eastAsiaTheme="minorHAnsi"/>
            <w:noProof/>
          </w:rPr>
          <w:t>Table 5</w:t>
        </w:r>
        <w:r w:rsidR="008100DD" w:rsidRPr="005732CE">
          <w:rPr>
            <w:rStyle w:val="Hyperlink"/>
            <w:rFonts w:eastAsiaTheme="minorHAnsi"/>
            <w:noProof/>
          </w:rPr>
          <w:noBreakHyphen/>
          <w:t>7: Met-Ed’s Phase II NTGRs by Program Year</w:t>
        </w:r>
        <w:r w:rsidR="008100DD">
          <w:rPr>
            <w:noProof/>
            <w:webHidden/>
          </w:rPr>
          <w:tab/>
        </w:r>
        <w:r w:rsidR="008100DD">
          <w:rPr>
            <w:noProof/>
            <w:webHidden/>
          </w:rPr>
          <w:fldChar w:fldCharType="begin"/>
        </w:r>
        <w:r w:rsidR="008100DD">
          <w:rPr>
            <w:noProof/>
            <w:webHidden/>
          </w:rPr>
          <w:instrText xml:space="preserve"> PAGEREF _Toc476914006 \h </w:instrText>
        </w:r>
        <w:r w:rsidR="008100DD">
          <w:rPr>
            <w:noProof/>
            <w:webHidden/>
          </w:rPr>
        </w:r>
        <w:r w:rsidR="008100DD">
          <w:rPr>
            <w:noProof/>
            <w:webHidden/>
          </w:rPr>
          <w:fldChar w:fldCharType="separate"/>
        </w:r>
        <w:r w:rsidR="00A91C81">
          <w:rPr>
            <w:noProof/>
            <w:webHidden/>
          </w:rPr>
          <w:t>75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07" w:history="1">
        <w:r w:rsidR="008100DD" w:rsidRPr="005732CE">
          <w:rPr>
            <w:rStyle w:val="Hyperlink"/>
            <w:rFonts w:eastAsiaTheme="minorHAnsi"/>
            <w:noProof/>
          </w:rPr>
          <w:t>Table 5</w:t>
        </w:r>
        <w:r w:rsidR="008100DD" w:rsidRPr="005732CE">
          <w:rPr>
            <w:rStyle w:val="Hyperlink"/>
            <w:rFonts w:eastAsiaTheme="minorHAnsi"/>
            <w:noProof/>
          </w:rPr>
          <w:noBreakHyphen/>
          <w:t>8: Penelec’s Phase II NTGRs by Program Year</w:t>
        </w:r>
        <w:r w:rsidR="008100DD">
          <w:rPr>
            <w:noProof/>
            <w:webHidden/>
          </w:rPr>
          <w:tab/>
        </w:r>
        <w:r w:rsidR="008100DD">
          <w:rPr>
            <w:noProof/>
            <w:webHidden/>
          </w:rPr>
          <w:fldChar w:fldCharType="begin"/>
        </w:r>
        <w:r w:rsidR="008100DD">
          <w:rPr>
            <w:noProof/>
            <w:webHidden/>
          </w:rPr>
          <w:instrText xml:space="preserve"> PAGEREF _Toc476914007 \h </w:instrText>
        </w:r>
        <w:r w:rsidR="008100DD">
          <w:rPr>
            <w:noProof/>
            <w:webHidden/>
          </w:rPr>
        </w:r>
        <w:r w:rsidR="008100DD">
          <w:rPr>
            <w:noProof/>
            <w:webHidden/>
          </w:rPr>
          <w:fldChar w:fldCharType="separate"/>
        </w:r>
        <w:r w:rsidR="00A91C81">
          <w:rPr>
            <w:noProof/>
            <w:webHidden/>
          </w:rPr>
          <w:t>75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08" w:history="1">
        <w:r w:rsidR="008100DD" w:rsidRPr="005732CE">
          <w:rPr>
            <w:rStyle w:val="Hyperlink"/>
            <w:rFonts w:eastAsiaTheme="minorHAnsi"/>
            <w:noProof/>
          </w:rPr>
          <w:t>Table 5</w:t>
        </w:r>
        <w:r w:rsidR="008100DD" w:rsidRPr="005732CE">
          <w:rPr>
            <w:rStyle w:val="Hyperlink"/>
            <w:rFonts w:eastAsiaTheme="minorHAnsi"/>
            <w:noProof/>
          </w:rPr>
          <w:noBreakHyphen/>
          <w:t>9: Penn Power’s Phase II NTGRs by Program Year</w:t>
        </w:r>
        <w:r w:rsidR="008100DD">
          <w:rPr>
            <w:noProof/>
            <w:webHidden/>
          </w:rPr>
          <w:tab/>
        </w:r>
        <w:r w:rsidR="008100DD">
          <w:rPr>
            <w:noProof/>
            <w:webHidden/>
          </w:rPr>
          <w:fldChar w:fldCharType="begin"/>
        </w:r>
        <w:r w:rsidR="008100DD">
          <w:rPr>
            <w:noProof/>
            <w:webHidden/>
          </w:rPr>
          <w:instrText xml:space="preserve"> PAGEREF _Toc476914008 \h </w:instrText>
        </w:r>
        <w:r w:rsidR="008100DD">
          <w:rPr>
            <w:noProof/>
            <w:webHidden/>
          </w:rPr>
        </w:r>
        <w:r w:rsidR="008100DD">
          <w:rPr>
            <w:noProof/>
            <w:webHidden/>
          </w:rPr>
          <w:fldChar w:fldCharType="separate"/>
        </w:r>
        <w:r w:rsidR="00A91C81">
          <w:rPr>
            <w:noProof/>
            <w:webHidden/>
          </w:rPr>
          <w:t>76</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09" w:history="1">
        <w:r w:rsidR="008100DD" w:rsidRPr="005732CE">
          <w:rPr>
            <w:rStyle w:val="Hyperlink"/>
            <w:rFonts w:eastAsiaTheme="minorHAnsi"/>
            <w:noProof/>
          </w:rPr>
          <w:t>Table 5</w:t>
        </w:r>
        <w:r w:rsidR="008100DD" w:rsidRPr="005732CE">
          <w:rPr>
            <w:rStyle w:val="Hyperlink"/>
            <w:rFonts w:eastAsiaTheme="minorHAnsi"/>
            <w:noProof/>
          </w:rPr>
          <w:noBreakHyphen/>
          <w:t>10: West Penn’s Phase II NTGRs by Program Year</w:t>
        </w:r>
        <w:r w:rsidR="008100DD">
          <w:rPr>
            <w:noProof/>
            <w:webHidden/>
          </w:rPr>
          <w:tab/>
        </w:r>
        <w:r w:rsidR="008100DD">
          <w:rPr>
            <w:noProof/>
            <w:webHidden/>
          </w:rPr>
          <w:fldChar w:fldCharType="begin"/>
        </w:r>
        <w:r w:rsidR="008100DD">
          <w:rPr>
            <w:noProof/>
            <w:webHidden/>
          </w:rPr>
          <w:instrText xml:space="preserve"> PAGEREF _Toc476914009 \h </w:instrText>
        </w:r>
        <w:r w:rsidR="008100DD">
          <w:rPr>
            <w:noProof/>
            <w:webHidden/>
          </w:rPr>
        </w:r>
        <w:r w:rsidR="008100DD">
          <w:rPr>
            <w:noProof/>
            <w:webHidden/>
          </w:rPr>
          <w:fldChar w:fldCharType="separate"/>
        </w:r>
        <w:r w:rsidR="00A91C81">
          <w:rPr>
            <w:noProof/>
            <w:webHidden/>
          </w:rPr>
          <w:t>76</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10" w:history="1">
        <w:r w:rsidR="008100DD" w:rsidRPr="005732CE">
          <w:rPr>
            <w:rStyle w:val="Hyperlink"/>
            <w:rFonts w:eastAsiaTheme="minorHAnsi"/>
            <w:noProof/>
          </w:rPr>
          <w:t>Table 5</w:t>
        </w:r>
        <w:r w:rsidR="008100DD" w:rsidRPr="005732CE">
          <w:rPr>
            <w:rStyle w:val="Hyperlink"/>
            <w:rFonts w:eastAsiaTheme="minorHAnsi"/>
            <w:noProof/>
          </w:rPr>
          <w:noBreakHyphen/>
          <w:t>11: PECO’s Phase II NTGRs by Program Year</w:t>
        </w:r>
        <w:r w:rsidR="008100DD">
          <w:rPr>
            <w:noProof/>
            <w:webHidden/>
          </w:rPr>
          <w:tab/>
        </w:r>
        <w:r w:rsidR="008100DD">
          <w:rPr>
            <w:noProof/>
            <w:webHidden/>
          </w:rPr>
          <w:fldChar w:fldCharType="begin"/>
        </w:r>
        <w:r w:rsidR="008100DD">
          <w:rPr>
            <w:noProof/>
            <w:webHidden/>
          </w:rPr>
          <w:instrText xml:space="preserve"> PAGEREF _Toc476914010 \h </w:instrText>
        </w:r>
        <w:r w:rsidR="008100DD">
          <w:rPr>
            <w:noProof/>
            <w:webHidden/>
          </w:rPr>
        </w:r>
        <w:r w:rsidR="008100DD">
          <w:rPr>
            <w:noProof/>
            <w:webHidden/>
          </w:rPr>
          <w:fldChar w:fldCharType="separate"/>
        </w:r>
        <w:r w:rsidR="00A91C81">
          <w:rPr>
            <w:noProof/>
            <w:webHidden/>
          </w:rPr>
          <w:t>77</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11" w:history="1">
        <w:r w:rsidR="008100DD" w:rsidRPr="005732CE">
          <w:rPr>
            <w:rStyle w:val="Hyperlink"/>
            <w:rFonts w:eastAsiaTheme="minorHAnsi"/>
            <w:noProof/>
          </w:rPr>
          <w:t>Table 5</w:t>
        </w:r>
        <w:r w:rsidR="008100DD" w:rsidRPr="005732CE">
          <w:rPr>
            <w:rStyle w:val="Hyperlink"/>
            <w:rFonts w:eastAsiaTheme="minorHAnsi"/>
            <w:noProof/>
          </w:rPr>
          <w:noBreakHyphen/>
          <w:t>12: PPL’s Phase II NTGRs by Program Year</w:t>
        </w:r>
        <w:r w:rsidR="008100DD">
          <w:rPr>
            <w:noProof/>
            <w:webHidden/>
          </w:rPr>
          <w:tab/>
        </w:r>
        <w:r w:rsidR="008100DD">
          <w:rPr>
            <w:noProof/>
            <w:webHidden/>
          </w:rPr>
          <w:fldChar w:fldCharType="begin"/>
        </w:r>
        <w:r w:rsidR="008100DD">
          <w:rPr>
            <w:noProof/>
            <w:webHidden/>
          </w:rPr>
          <w:instrText xml:space="preserve"> PAGEREF _Toc476914011 \h </w:instrText>
        </w:r>
        <w:r w:rsidR="008100DD">
          <w:rPr>
            <w:noProof/>
            <w:webHidden/>
          </w:rPr>
        </w:r>
        <w:r w:rsidR="008100DD">
          <w:rPr>
            <w:noProof/>
            <w:webHidden/>
          </w:rPr>
          <w:fldChar w:fldCharType="separate"/>
        </w:r>
        <w:r w:rsidR="00A91C81">
          <w:rPr>
            <w:noProof/>
            <w:webHidden/>
          </w:rPr>
          <w:t>77</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12" w:history="1">
        <w:r w:rsidR="008100DD" w:rsidRPr="005732CE">
          <w:rPr>
            <w:rStyle w:val="Hyperlink"/>
            <w:rFonts w:eastAsiaTheme="minorHAnsi"/>
            <w:noProof/>
          </w:rPr>
          <w:t>Table 6</w:t>
        </w:r>
        <w:r w:rsidR="008100DD" w:rsidRPr="005732CE">
          <w:rPr>
            <w:rStyle w:val="Hyperlink"/>
            <w:rFonts w:eastAsiaTheme="minorHAnsi"/>
            <w:noProof/>
          </w:rPr>
          <w:noBreakHyphen/>
          <w:t>1: Costs, Annual kWh Savings, and Cost per First-Year kWh Saved by Program Year – All EDCs Combined</w:t>
        </w:r>
        <w:r w:rsidR="008100DD">
          <w:rPr>
            <w:noProof/>
            <w:webHidden/>
          </w:rPr>
          <w:tab/>
        </w:r>
        <w:r w:rsidR="008100DD">
          <w:rPr>
            <w:noProof/>
            <w:webHidden/>
          </w:rPr>
          <w:fldChar w:fldCharType="begin"/>
        </w:r>
        <w:r w:rsidR="008100DD">
          <w:rPr>
            <w:noProof/>
            <w:webHidden/>
          </w:rPr>
          <w:instrText xml:space="preserve"> PAGEREF _Toc476914012 \h </w:instrText>
        </w:r>
        <w:r w:rsidR="008100DD">
          <w:rPr>
            <w:noProof/>
            <w:webHidden/>
          </w:rPr>
        </w:r>
        <w:r w:rsidR="008100DD">
          <w:rPr>
            <w:noProof/>
            <w:webHidden/>
          </w:rPr>
          <w:fldChar w:fldCharType="separate"/>
        </w:r>
        <w:r w:rsidR="00A91C81">
          <w:rPr>
            <w:noProof/>
            <w:webHidden/>
          </w:rPr>
          <w:t>94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13" w:history="1">
        <w:r w:rsidR="008100DD" w:rsidRPr="005732CE">
          <w:rPr>
            <w:rStyle w:val="Hyperlink"/>
            <w:rFonts w:eastAsiaTheme="minorHAnsi"/>
            <w:noProof/>
          </w:rPr>
          <w:t>Table 6</w:t>
        </w:r>
        <w:r w:rsidR="008100DD" w:rsidRPr="005732CE">
          <w:rPr>
            <w:rStyle w:val="Hyperlink"/>
            <w:rFonts w:eastAsiaTheme="minorHAnsi"/>
            <w:noProof/>
          </w:rPr>
          <w:noBreakHyphen/>
          <w:t>2: Total Costs, kWh Savings, and Cost per First-Year kWh Saved by EDC for All Years Combined</w:t>
        </w:r>
        <w:r w:rsidR="008100DD">
          <w:rPr>
            <w:noProof/>
            <w:webHidden/>
          </w:rPr>
          <w:tab/>
        </w:r>
        <w:r w:rsidR="008100DD">
          <w:rPr>
            <w:noProof/>
            <w:webHidden/>
          </w:rPr>
          <w:fldChar w:fldCharType="begin"/>
        </w:r>
        <w:r w:rsidR="008100DD">
          <w:rPr>
            <w:noProof/>
            <w:webHidden/>
          </w:rPr>
          <w:instrText xml:space="preserve"> PAGEREF _Toc476914013 \h </w:instrText>
        </w:r>
        <w:r w:rsidR="008100DD">
          <w:rPr>
            <w:noProof/>
            <w:webHidden/>
          </w:rPr>
        </w:r>
        <w:r w:rsidR="008100DD">
          <w:rPr>
            <w:noProof/>
            <w:webHidden/>
          </w:rPr>
          <w:fldChar w:fldCharType="separate"/>
        </w:r>
        <w:r w:rsidR="00A91C81">
          <w:rPr>
            <w:noProof/>
            <w:webHidden/>
          </w:rPr>
          <w:t>95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14" w:history="1">
        <w:r w:rsidR="008100DD" w:rsidRPr="005732CE">
          <w:rPr>
            <w:rStyle w:val="Hyperlink"/>
            <w:rFonts w:eastAsiaTheme="minorHAnsi"/>
            <w:noProof/>
          </w:rPr>
          <w:t>Table 6</w:t>
        </w:r>
        <w:r w:rsidR="008100DD" w:rsidRPr="005732CE">
          <w:rPr>
            <w:rStyle w:val="Hyperlink"/>
            <w:rFonts w:eastAsiaTheme="minorHAnsi"/>
            <w:noProof/>
          </w:rPr>
          <w:noBreakHyphen/>
          <w:t>3: Duquesne Costs, Annual kWh Savings, and Cost per First-Year kWh Saved by Program Year</w:t>
        </w:r>
        <w:r w:rsidR="008100DD">
          <w:rPr>
            <w:noProof/>
            <w:webHidden/>
          </w:rPr>
          <w:tab/>
        </w:r>
        <w:r w:rsidR="008100DD">
          <w:rPr>
            <w:noProof/>
            <w:webHidden/>
          </w:rPr>
          <w:fldChar w:fldCharType="begin"/>
        </w:r>
        <w:r w:rsidR="008100DD">
          <w:rPr>
            <w:noProof/>
            <w:webHidden/>
          </w:rPr>
          <w:instrText xml:space="preserve"> PAGEREF _Toc476914014 \h </w:instrText>
        </w:r>
        <w:r w:rsidR="008100DD">
          <w:rPr>
            <w:noProof/>
            <w:webHidden/>
          </w:rPr>
        </w:r>
        <w:r w:rsidR="008100DD">
          <w:rPr>
            <w:noProof/>
            <w:webHidden/>
          </w:rPr>
          <w:fldChar w:fldCharType="separate"/>
        </w:r>
        <w:r w:rsidR="00A91C81">
          <w:rPr>
            <w:noProof/>
            <w:webHidden/>
          </w:rPr>
          <w:t>95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15" w:history="1">
        <w:r w:rsidR="008100DD" w:rsidRPr="005732CE">
          <w:rPr>
            <w:rStyle w:val="Hyperlink"/>
            <w:rFonts w:eastAsiaTheme="minorHAnsi"/>
            <w:noProof/>
          </w:rPr>
          <w:t>Table 6</w:t>
        </w:r>
        <w:r w:rsidR="008100DD" w:rsidRPr="005732CE">
          <w:rPr>
            <w:rStyle w:val="Hyperlink"/>
            <w:rFonts w:eastAsiaTheme="minorHAnsi"/>
            <w:noProof/>
          </w:rPr>
          <w:noBreakHyphen/>
          <w:t>4: Met-Ed Costs, Annual kWh Savings, and Cost per First-Year kWh Saved by Program Year</w:t>
        </w:r>
        <w:r w:rsidR="008100DD">
          <w:rPr>
            <w:noProof/>
            <w:webHidden/>
          </w:rPr>
          <w:tab/>
        </w:r>
        <w:r w:rsidR="008100DD">
          <w:rPr>
            <w:noProof/>
            <w:webHidden/>
          </w:rPr>
          <w:fldChar w:fldCharType="begin"/>
        </w:r>
        <w:r w:rsidR="008100DD">
          <w:rPr>
            <w:noProof/>
            <w:webHidden/>
          </w:rPr>
          <w:instrText xml:space="preserve"> PAGEREF _Toc476914015 \h </w:instrText>
        </w:r>
        <w:r w:rsidR="008100DD">
          <w:rPr>
            <w:noProof/>
            <w:webHidden/>
          </w:rPr>
        </w:r>
        <w:r w:rsidR="008100DD">
          <w:rPr>
            <w:noProof/>
            <w:webHidden/>
          </w:rPr>
          <w:fldChar w:fldCharType="separate"/>
        </w:r>
        <w:r w:rsidR="00A91C81">
          <w:rPr>
            <w:noProof/>
            <w:webHidden/>
          </w:rPr>
          <w:t>96</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16" w:history="1">
        <w:r w:rsidR="008100DD" w:rsidRPr="005732CE">
          <w:rPr>
            <w:rStyle w:val="Hyperlink"/>
            <w:rFonts w:eastAsiaTheme="minorHAnsi"/>
            <w:noProof/>
          </w:rPr>
          <w:t>Table 6</w:t>
        </w:r>
        <w:r w:rsidR="008100DD" w:rsidRPr="005732CE">
          <w:rPr>
            <w:rStyle w:val="Hyperlink"/>
            <w:rFonts w:eastAsiaTheme="minorHAnsi"/>
            <w:noProof/>
          </w:rPr>
          <w:noBreakHyphen/>
          <w:t>5: Penelec Costs, Annual kWh Savings, and Cost per First-Year kWh Saved by Program Year</w:t>
        </w:r>
        <w:r w:rsidR="008100DD">
          <w:rPr>
            <w:noProof/>
            <w:webHidden/>
          </w:rPr>
          <w:tab/>
        </w:r>
        <w:r w:rsidR="008100DD">
          <w:rPr>
            <w:noProof/>
            <w:webHidden/>
          </w:rPr>
          <w:fldChar w:fldCharType="begin"/>
        </w:r>
        <w:r w:rsidR="008100DD">
          <w:rPr>
            <w:noProof/>
            <w:webHidden/>
          </w:rPr>
          <w:instrText xml:space="preserve"> PAGEREF _Toc476914016 \h </w:instrText>
        </w:r>
        <w:r w:rsidR="008100DD">
          <w:rPr>
            <w:noProof/>
            <w:webHidden/>
          </w:rPr>
        </w:r>
        <w:r w:rsidR="008100DD">
          <w:rPr>
            <w:noProof/>
            <w:webHidden/>
          </w:rPr>
          <w:fldChar w:fldCharType="separate"/>
        </w:r>
        <w:r w:rsidR="00A91C81">
          <w:rPr>
            <w:noProof/>
            <w:webHidden/>
          </w:rPr>
          <w:t>97</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17" w:history="1">
        <w:r w:rsidR="008100DD" w:rsidRPr="005732CE">
          <w:rPr>
            <w:rStyle w:val="Hyperlink"/>
            <w:rFonts w:eastAsiaTheme="minorHAnsi"/>
            <w:noProof/>
          </w:rPr>
          <w:t>Table 6</w:t>
        </w:r>
        <w:r w:rsidR="008100DD" w:rsidRPr="005732CE">
          <w:rPr>
            <w:rStyle w:val="Hyperlink"/>
            <w:rFonts w:eastAsiaTheme="minorHAnsi"/>
            <w:noProof/>
          </w:rPr>
          <w:noBreakHyphen/>
          <w:t>6: Penn Power Costs, Annual kWh Savings, and Cost per First-Year kWh Saved by Program Year</w:t>
        </w:r>
        <w:r w:rsidR="008100DD">
          <w:rPr>
            <w:noProof/>
            <w:webHidden/>
          </w:rPr>
          <w:tab/>
        </w:r>
        <w:r w:rsidR="008100DD">
          <w:rPr>
            <w:noProof/>
            <w:webHidden/>
          </w:rPr>
          <w:fldChar w:fldCharType="begin"/>
        </w:r>
        <w:r w:rsidR="008100DD">
          <w:rPr>
            <w:noProof/>
            <w:webHidden/>
          </w:rPr>
          <w:instrText xml:space="preserve"> PAGEREF _Toc476914017 \h </w:instrText>
        </w:r>
        <w:r w:rsidR="008100DD">
          <w:rPr>
            <w:noProof/>
            <w:webHidden/>
          </w:rPr>
        </w:r>
        <w:r w:rsidR="008100DD">
          <w:rPr>
            <w:noProof/>
            <w:webHidden/>
          </w:rPr>
          <w:fldChar w:fldCharType="separate"/>
        </w:r>
        <w:r w:rsidR="00A91C81">
          <w:rPr>
            <w:noProof/>
            <w:webHidden/>
          </w:rPr>
          <w:t>98</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18" w:history="1">
        <w:r w:rsidR="008100DD" w:rsidRPr="005732CE">
          <w:rPr>
            <w:rStyle w:val="Hyperlink"/>
            <w:rFonts w:eastAsiaTheme="minorHAnsi"/>
            <w:noProof/>
          </w:rPr>
          <w:t>Table 6</w:t>
        </w:r>
        <w:r w:rsidR="008100DD" w:rsidRPr="005732CE">
          <w:rPr>
            <w:rStyle w:val="Hyperlink"/>
            <w:rFonts w:eastAsiaTheme="minorHAnsi"/>
            <w:noProof/>
          </w:rPr>
          <w:noBreakHyphen/>
          <w:t>7: West Penn Costs, Annual kWh Savings, and Cost per First-Year kWh Saved by Program Year</w:t>
        </w:r>
        <w:r w:rsidR="008100DD">
          <w:rPr>
            <w:noProof/>
            <w:webHidden/>
          </w:rPr>
          <w:tab/>
        </w:r>
        <w:r w:rsidR="008100DD">
          <w:rPr>
            <w:noProof/>
            <w:webHidden/>
          </w:rPr>
          <w:fldChar w:fldCharType="begin"/>
        </w:r>
        <w:r w:rsidR="008100DD">
          <w:rPr>
            <w:noProof/>
            <w:webHidden/>
          </w:rPr>
          <w:instrText xml:space="preserve"> PAGEREF _Toc476914018 \h </w:instrText>
        </w:r>
        <w:r w:rsidR="008100DD">
          <w:rPr>
            <w:noProof/>
            <w:webHidden/>
          </w:rPr>
        </w:r>
        <w:r w:rsidR="008100DD">
          <w:rPr>
            <w:noProof/>
            <w:webHidden/>
          </w:rPr>
          <w:fldChar w:fldCharType="separate"/>
        </w:r>
        <w:r w:rsidR="00A91C81">
          <w:rPr>
            <w:noProof/>
            <w:webHidden/>
          </w:rPr>
          <w:t>99</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19" w:history="1">
        <w:r w:rsidR="008100DD" w:rsidRPr="005732CE">
          <w:rPr>
            <w:rStyle w:val="Hyperlink"/>
            <w:rFonts w:eastAsiaTheme="minorHAnsi"/>
            <w:noProof/>
          </w:rPr>
          <w:t>Table 6</w:t>
        </w:r>
        <w:r w:rsidR="008100DD" w:rsidRPr="005732CE">
          <w:rPr>
            <w:rStyle w:val="Hyperlink"/>
            <w:rFonts w:eastAsiaTheme="minorHAnsi"/>
            <w:noProof/>
          </w:rPr>
          <w:noBreakHyphen/>
          <w:t>8: PECO Costs, Annual kWh Savings, and Cost per First-Year kWh Saved by Program Year</w:t>
        </w:r>
        <w:r w:rsidR="008100DD">
          <w:rPr>
            <w:noProof/>
            <w:webHidden/>
          </w:rPr>
          <w:tab/>
        </w:r>
        <w:r w:rsidR="008100DD">
          <w:rPr>
            <w:noProof/>
            <w:webHidden/>
          </w:rPr>
          <w:fldChar w:fldCharType="begin"/>
        </w:r>
        <w:r w:rsidR="008100DD">
          <w:rPr>
            <w:noProof/>
            <w:webHidden/>
          </w:rPr>
          <w:instrText xml:space="preserve"> PAGEREF _Toc476914019 \h </w:instrText>
        </w:r>
        <w:r w:rsidR="008100DD">
          <w:rPr>
            <w:noProof/>
            <w:webHidden/>
          </w:rPr>
        </w:r>
        <w:r w:rsidR="008100DD">
          <w:rPr>
            <w:noProof/>
            <w:webHidden/>
          </w:rPr>
          <w:fldChar w:fldCharType="separate"/>
        </w:r>
        <w:r w:rsidR="00A91C81">
          <w:rPr>
            <w:noProof/>
            <w:webHidden/>
          </w:rPr>
          <w:t>100</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20" w:history="1">
        <w:r w:rsidR="008100DD" w:rsidRPr="005732CE">
          <w:rPr>
            <w:rStyle w:val="Hyperlink"/>
            <w:rFonts w:eastAsiaTheme="minorHAnsi"/>
            <w:noProof/>
          </w:rPr>
          <w:t>Table 6</w:t>
        </w:r>
        <w:r w:rsidR="008100DD" w:rsidRPr="005732CE">
          <w:rPr>
            <w:rStyle w:val="Hyperlink"/>
            <w:rFonts w:eastAsiaTheme="minorHAnsi"/>
            <w:noProof/>
          </w:rPr>
          <w:noBreakHyphen/>
          <w:t>9: PPL Costs, Annual kWh Savings, and Cost per First-Year kWh Saved by Program Year</w:t>
        </w:r>
        <w:r w:rsidR="008100DD">
          <w:rPr>
            <w:noProof/>
            <w:webHidden/>
          </w:rPr>
          <w:tab/>
        </w:r>
        <w:r w:rsidR="008100DD">
          <w:rPr>
            <w:noProof/>
            <w:webHidden/>
          </w:rPr>
          <w:fldChar w:fldCharType="begin"/>
        </w:r>
        <w:r w:rsidR="008100DD">
          <w:rPr>
            <w:noProof/>
            <w:webHidden/>
          </w:rPr>
          <w:instrText xml:space="preserve"> PAGEREF _Toc476914020 \h </w:instrText>
        </w:r>
        <w:r w:rsidR="008100DD">
          <w:rPr>
            <w:noProof/>
            <w:webHidden/>
          </w:rPr>
        </w:r>
        <w:r w:rsidR="008100DD">
          <w:rPr>
            <w:noProof/>
            <w:webHidden/>
          </w:rPr>
          <w:fldChar w:fldCharType="separate"/>
        </w:r>
        <w:r w:rsidR="00A91C81">
          <w:rPr>
            <w:noProof/>
            <w:webHidden/>
          </w:rPr>
          <w:t>101</w:t>
        </w:r>
        <w:r w:rsidR="008100DD">
          <w:rPr>
            <w:noProof/>
            <w:webHidden/>
          </w:rPr>
          <w:fldChar w:fldCharType="end"/>
        </w:r>
      </w:hyperlink>
    </w:p>
    <w:p w:rsidR="00631B39" w:rsidRPr="003965C5" w:rsidRDefault="00C37358" w:rsidP="003965C5">
      <w:r>
        <w:rPr>
          <w:sz w:val="20"/>
        </w:rPr>
        <w:fldChar w:fldCharType="end"/>
      </w:r>
    </w:p>
    <w:p w:rsidR="0091036A" w:rsidRPr="00472B27" w:rsidRDefault="0091036A" w:rsidP="00664065">
      <w:pPr>
        <w:shd w:val="clear" w:color="auto" w:fill="448A99"/>
        <w:spacing w:after="120"/>
        <w:jc w:val="right"/>
        <w:rPr>
          <w:rFonts w:ascii="Century Gothic" w:hAnsi="Century Gothic"/>
          <w:smallCaps/>
          <w:color w:val="FFFFFF" w:themeColor="background1"/>
          <w:sz w:val="28"/>
        </w:rPr>
      </w:pPr>
      <w:r w:rsidRPr="00472B27">
        <w:rPr>
          <w:rFonts w:ascii="Century Gothic" w:hAnsi="Century Gothic"/>
          <w:smallCaps/>
          <w:color w:val="FFFFFF" w:themeColor="background1"/>
          <w:sz w:val="28"/>
        </w:rPr>
        <w:t>List of Figures</w:t>
      </w:r>
    </w:p>
    <w:p w:rsidR="008100DD" w:rsidRDefault="003965C5">
      <w:pPr>
        <w:pStyle w:val="TableofFigures"/>
        <w:tabs>
          <w:tab w:val="right" w:leader="dot" w:pos="9350"/>
        </w:tabs>
        <w:rPr>
          <w:rFonts w:asciiTheme="minorHAnsi" w:eastAsiaTheme="minorEastAsia" w:hAnsiTheme="minorHAnsi" w:cstheme="minorBidi"/>
          <w:noProof/>
          <w:sz w:val="22"/>
        </w:rPr>
      </w:pPr>
      <w:r>
        <w:rPr>
          <w:sz w:val="20"/>
          <w:szCs w:val="20"/>
        </w:rPr>
        <w:fldChar w:fldCharType="begin"/>
      </w:r>
      <w:r>
        <w:rPr>
          <w:sz w:val="20"/>
          <w:szCs w:val="20"/>
        </w:rPr>
        <w:instrText xml:space="preserve"> TOC \h \z \c "Figure" </w:instrText>
      </w:r>
      <w:r>
        <w:rPr>
          <w:sz w:val="20"/>
          <w:szCs w:val="20"/>
        </w:rPr>
        <w:fldChar w:fldCharType="separate"/>
      </w:r>
      <w:hyperlink w:anchor="_Toc476914021" w:history="1">
        <w:r w:rsidR="008100DD" w:rsidRPr="008141DD">
          <w:rPr>
            <w:rStyle w:val="Hyperlink"/>
            <w:rFonts w:eastAsiaTheme="minorHAnsi"/>
            <w:noProof/>
          </w:rPr>
          <w:t>Figure 1</w:t>
        </w:r>
        <w:r w:rsidR="008100DD" w:rsidRPr="008141DD">
          <w:rPr>
            <w:rStyle w:val="Hyperlink"/>
            <w:rFonts w:eastAsiaTheme="minorHAnsi"/>
            <w:noProof/>
          </w:rPr>
          <w:noBreakHyphen/>
          <w:t>1: Phase II Verified Energy Savings (plus Phase I Carryover) by EDC versus EDC Phase II Savings Targets</w:t>
        </w:r>
        <w:r w:rsidR="008100DD">
          <w:rPr>
            <w:noProof/>
            <w:webHidden/>
          </w:rPr>
          <w:tab/>
        </w:r>
        <w:r w:rsidR="008100DD">
          <w:rPr>
            <w:noProof/>
            <w:webHidden/>
          </w:rPr>
          <w:fldChar w:fldCharType="begin"/>
        </w:r>
        <w:r w:rsidR="008100DD">
          <w:rPr>
            <w:noProof/>
            <w:webHidden/>
          </w:rPr>
          <w:instrText xml:space="preserve"> PAGEREF _Toc476914021 \h </w:instrText>
        </w:r>
        <w:r w:rsidR="008100DD">
          <w:rPr>
            <w:noProof/>
            <w:webHidden/>
          </w:rPr>
        </w:r>
        <w:r w:rsidR="008100DD">
          <w:rPr>
            <w:noProof/>
            <w:webHidden/>
          </w:rPr>
          <w:fldChar w:fldCharType="separate"/>
        </w:r>
        <w:r w:rsidR="00A91C81">
          <w:rPr>
            <w:noProof/>
            <w:webHidden/>
          </w:rPr>
          <w:t>11</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22" w:history="1">
        <w:r w:rsidR="008100DD" w:rsidRPr="008141DD">
          <w:rPr>
            <w:rStyle w:val="Hyperlink"/>
            <w:rFonts w:eastAsiaTheme="minorHAnsi"/>
            <w:noProof/>
          </w:rPr>
          <w:t>Figure 2</w:t>
        </w:r>
        <w:r w:rsidR="008100DD" w:rsidRPr="008141DD">
          <w:rPr>
            <w:rStyle w:val="Hyperlink"/>
            <w:rFonts w:eastAsiaTheme="minorHAnsi"/>
            <w:noProof/>
          </w:rPr>
          <w:noBreakHyphen/>
          <w:t>1: PY7 Verified Energy Savings by EDC and Sector</w:t>
        </w:r>
        <w:r w:rsidR="008100DD">
          <w:rPr>
            <w:noProof/>
            <w:webHidden/>
          </w:rPr>
          <w:tab/>
        </w:r>
        <w:r w:rsidR="008100DD">
          <w:rPr>
            <w:noProof/>
            <w:webHidden/>
          </w:rPr>
          <w:fldChar w:fldCharType="begin"/>
        </w:r>
        <w:r w:rsidR="008100DD">
          <w:rPr>
            <w:noProof/>
            <w:webHidden/>
          </w:rPr>
          <w:instrText xml:space="preserve"> PAGEREF _Toc476914022 \h </w:instrText>
        </w:r>
        <w:r w:rsidR="008100DD">
          <w:rPr>
            <w:noProof/>
            <w:webHidden/>
          </w:rPr>
        </w:r>
        <w:r w:rsidR="008100DD">
          <w:rPr>
            <w:noProof/>
            <w:webHidden/>
          </w:rPr>
          <w:fldChar w:fldCharType="separate"/>
        </w:r>
        <w:r w:rsidR="00A91C81">
          <w:rPr>
            <w:noProof/>
            <w:webHidden/>
          </w:rPr>
          <w:t>16</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23" w:history="1">
        <w:r w:rsidR="008100DD" w:rsidRPr="008141DD">
          <w:rPr>
            <w:rStyle w:val="Hyperlink"/>
            <w:rFonts w:eastAsiaTheme="minorHAnsi"/>
            <w:noProof/>
          </w:rPr>
          <w:t>Figure 2</w:t>
        </w:r>
        <w:r w:rsidR="008100DD" w:rsidRPr="008141DD">
          <w:rPr>
            <w:rStyle w:val="Hyperlink"/>
            <w:rFonts w:eastAsiaTheme="minorHAnsi"/>
            <w:noProof/>
          </w:rPr>
          <w:noBreakHyphen/>
          <w:t>2: PY7 Residential Low-Income Program – Average Utility Cost per Participant Served</w:t>
        </w:r>
        <w:r w:rsidR="008100DD">
          <w:rPr>
            <w:noProof/>
            <w:webHidden/>
          </w:rPr>
          <w:tab/>
        </w:r>
        <w:r w:rsidR="008100DD">
          <w:rPr>
            <w:noProof/>
            <w:webHidden/>
          </w:rPr>
          <w:fldChar w:fldCharType="begin"/>
        </w:r>
        <w:r w:rsidR="008100DD">
          <w:rPr>
            <w:noProof/>
            <w:webHidden/>
          </w:rPr>
          <w:instrText xml:space="preserve"> PAGEREF _Toc476914023 \h </w:instrText>
        </w:r>
        <w:r w:rsidR="008100DD">
          <w:rPr>
            <w:noProof/>
            <w:webHidden/>
          </w:rPr>
        </w:r>
        <w:r w:rsidR="008100DD">
          <w:rPr>
            <w:noProof/>
            <w:webHidden/>
          </w:rPr>
          <w:fldChar w:fldCharType="separate"/>
        </w:r>
        <w:r w:rsidR="00A91C81">
          <w:rPr>
            <w:noProof/>
            <w:webHidden/>
          </w:rPr>
          <w:t>20</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24" w:history="1">
        <w:r w:rsidR="008100DD" w:rsidRPr="008141DD">
          <w:rPr>
            <w:rStyle w:val="Hyperlink"/>
            <w:rFonts w:eastAsiaTheme="minorHAnsi"/>
            <w:noProof/>
          </w:rPr>
          <w:t>Figure 2</w:t>
        </w:r>
        <w:r w:rsidR="008100DD" w:rsidRPr="008141DD">
          <w:rPr>
            <w:rStyle w:val="Hyperlink"/>
            <w:rFonts w:eastAsiaTheme="minorHAnsi"/>
            <w:noProof/>
          </w:rPr>
          <w:noBreakHyphen/>
          <w:t>3: Residential Low-Income Program PY7 Total MWh/yr Savings by EDC</w:t>
        </w:r>
        <w:r w:rsidR="008100DD">
          <w:rPr>
            <w:noProof/>
            <w:webHidden/>
          </w:rPr>
          <w:tab/>
        </w:r>
        <w:r w:rsidR="008100DD">
          <w:rPr>
            <w:noProof/>
            <w:webHidden/>
          </w:rPr>
          <w:fldChar w:fldCharType="begin"/>
        </w:r>
        <w:r w:rsidR="008100DD">
          <w:rPr>
            <w:noProof/>
            <w:webHidden/>
          </w:rPr>
          <w:instrText xml:space="preserve"> PAGEREF _Toc476914024 \h </w:instrText>
        </w:r>
        <w:r w:rsidR="008100DD">
          <w:rPr>
            <w:noProof/>
            <w:webHidden/>
          </w:rPr>
        </w:r>
        <w:r w:rsidR="008100DD">
          <w:rPr>
            <w:noProof/>
            <w:webHidden/>
          </w:rPr>
          <w:fldChar w:fldCharType="separate"/>
        </w:r>
        <w:r w:rsidR="00A91C81">
          <w:rPr>
            <w:noProof/>
            <w:webHidden/>
          </w:rPr>
          <w:t>23</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25" w:history="1">
        <w:r w:rsidR="008100DD" w:rsidRPr="008141DD">
          <w:rPr>
            <w:rStyle w:val="Hyperlink"/>
            <w:rFonts w:eastAsiaTheme="minorHAnsi"/>
            <w:noProof/>
          </w:rPr>
          <w:t>Figure 2</w:t>
        </w:r>
        <w:r w:rsidR="008100DD" w:rsidRPr="008141DD">
          <w:rPr>
            <w:rStyle w:val="Hyperlink"/>
            <w:rFonts w:eastAsiaTheme="minorHAnsi"/>
            <w:noProof/>
          </w:rPr>
          <w:noBreakHyphen/>
          <w:t>4: Residential Low-Income PY7 Total MW Savings by EDC</w:t>
        </w:r>
        <w:r w:rsidR="008100DD">
          <w:rPr>
            <w:noProof/>
            <w:webHidden/>
          </w:rPr>
          <w:tab/>
        </w:r>
        <w:r w:rsidR="008100DD">
          <w:rPr>
            <w:noProof/>
            <w:webHidden/>
          </w:rPr>
          <w:fldChar w:fldCharType="begin"/>
        </w:r>
        <w:r w:rsidR="008100DD">
          <w:rPr>
            <w:noProof/>
            <w:webHidden/>
          </w:rPr>
          <w:instrText xml:space="preserve"> PAGEREF _Toc476914025 \h </w:instrText>
        </w:r>
        <w:r w:rsidR="008100DD">
          <w:rPr>
            <w:noProof/>
            <w:webHidden/>
          </w:rPr>
        </w:r>
        <w:r w:rsidR="008100DD">
          <w:rPr>
            <w:noProof/>
            <w:webHidden/>
          </w:rPr>
          <w:fldChar w:fldCharType="separate"/>
        </w:r>
        <w:r w:rsidR="00A91C81">
          <w:rPr>
            <w:noProof/>
            <w:webHidden/>
          </w:rPr>
          <w:t>23</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26" w:history="1">
        <w:r w:rsidR="008100DD" w:rsidRPr="008141DD">
          <w:rPr>
            <w:rStyle w:val="Hyperlink"/>
            <w:rFonts w:eastAsiaTheme="minorHAnsi"/>
            <w:noProof/>
          </w:rPr>
          <w:t>Figure 2</w:t>
        </w:r>
        <w:r w:rsidR="008100DD" w:rsidRPr="008141DD">
          <w:rPr>
            <w:rStyle w:val="Hyperlink"/>
            <w:rFonts w:eastAsiaTheme="minorHAnsi"/>
            <w:noProof/>
          </w:rPr>
          <w:noBreakHyphen/>
          <w:t>5: Number of PY7 Residential Low-Income Program On-Site Inspections Completed by EDC</w:t>
        </w:r>
        <w:r w:rsidR="008100DD">
          <w:rPr>
            <w:noProof/>
            <w:webHidden/>
          </w:rPr>
          <w:tab/>
        </w:r>
        <w:r w:rsidR="008100DD">
          <w:rPr>
            <w:noProof/>
            <w:webHidden/>
          </w:rPr>
          <w:fldChar w:fldCharType="begin"/>
        </w:r>
        <w:r w:rsidR="008100DD">
          <w:rPr>
            <w:noProof/>
            <w:webHidden/>
          </w:rPr>
          <w:instrText xml:space="preserve"> PAGEREF _Toc476914026 \h </w:instrText>
        </w:r>
        <w:r w:rsidR="008100DD">
          <w:rPr>
            <w:noProof/>
            <w:webHidden/>
          </w:rPr>
        </w:r>
        <w:r w:rsidR="008100DD">
          <w:rPr>
            <w:noProof/>
            <w:webHidden/>
          </w:rPr>
          <w:fldChar w:fldCharType="separate"/>
        </w:r>
        <w:r w:rsidR="00A91C81">
          <w:rPr>
            <w:noProof/>
            <w:webHidden/>
          </w:rPr>
          <w:t>24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27" w:history="1">
        <w:r w:rsidR="008100DD" w:rsidRPr="008141DD">
          <w:rPr>
            <w:rStyle w:val="Hyperlink"/>
            <w:rFonts w:eastAsiaTheme="minorHAnsi"/>
            <w:noProof/>
          </w:rPr>
          <w:t>Figure 2</w:t>
        </w:r>
        <w:r w:rsidR="008100DD" w:rsidRPr="008141DD">
          <w:rPr>
            <w:rStyle w:val="Hyperlink"/>
            <w:rFonts w:eastAsiaTheme="minorHAnsi"/>
            <w:noProof/>
          </w:rPr>
          <w:noBreakHyphen/>
          <w:t>6: Number of PY7 Residential Low-Income Program Telephone Inspections Completed by EDC</w:t>
        </w:r>
        <w:r w:rsidR="008100DD">
          <w:rPr>
            <w:noProof/>
            <w:webHidden/>
          </w:rPr>
          <w:tab/>
        </w:r>
        <w:r w:rsidR="008100DD">
          <w:rPr>
            <w:noProof/>
            <w:webHidden/>
          </w:rPr>
          <w:fldChar w:fldCharType="begin"/>
        </w:r>
        <w:r w:rsidR="008100DD">
          <w:rPr>
            <w:noProof/>
            <w:webHidden/>
          </w:rPr>
          <w:instrText xml:space="preserve"> PAGEREF _Toc476914027 \h </w:instrText>
        </w:r>
        <w:r w:rsidR="008100DD">
          <w:rPr>
            <w:noProof/>
            <w:webHidden/>
          </w:rPr>
        </w:r>
        <w:r w:rsidR="008100DD">
          <w:rPr>
            <w:noProof/>
            <w:webHidden/>
          </w:rPr>
          <w:fldChar w:fldCharType="separate"/>
        </w:r>
        <w:r w:rsidR="00A91C81">
          <w:rPr>
            <w:noProof/>
            <w:webHidden/>
          </w:rPr>
          <w:t>24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28" w:history="1">
        <w:r w:rsidR="008100DD" w:rsidRPr="008141DD">
          <w:rPr>
            <w:rStyle w:val="Hyperlink"/>
            <w:rFonts w:eastAsiaTheme="minorHAnsi"/>
            <w:noProof/>
          </w:rPr>
          <w:t>Figure 2</w:t>
        </w:r>
        <w:r w:rsidR="008100DD" w:rsidRPr="008141DD">
          <w:rPr>
            <w:rStyle w:val="Hyperlink"/>
            <w:rFonts w:eastAsiaTheme="minorHAnsi"/>
            <w:noProof/>
          </w:rPr>
          <w:noBreakHyphen/>
          <w:t>7: Percent Desk Audits versus Database Reviews</w:t>
        </w:r>
        <w:r w:rsidR="008100DD">
          <w:rPr>
            <w:noProof/>
            <w:webHidden/>
          </w:rPr>
          <w:tab/>
        </w:r>
        <w:r w:rsidR="008100DD">
          <w:rPr>
            <w:noProof/>
            <w:webHidden/>
          </w:rPr>
          <w:fldChar w:fldCharType="begin"/>
        </w:r>
        <w:r w:rsidR="008100DD">
          <w:rPr>
            <w:noProof/>
            <w:webHidden/>
          </w:rPr>
          <w:instrText xml:space="preserve"> PAGEREF _Toc476914028 \h </w:instrText>
        </w:r>
        <w:r w:rsidR="008100DD">
          <w:rPr>
            <w:noProof/>
            <w:webHidden/>
          </w:rPr>
        </w:r>
        <w:r w:rsidR="008100DD">
          <w:rPr>
            <w:noProof/>
            <w:webHidden/>
          </w:rPr>
          <w:fldChar w:fldCharType="separate"/>
        </w:r>
        <w:r w:rsidR="00A91C81">
          <w:rPr>
            <w:noProof/>
            <w:webHidden/>
          </w:rPr>
          <w:t>25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29" w:history="1">
        <w:r w:rsidR="008100DD" w:rsidRPr="008141DD">
          <w:rPr>
            <w:rStyle w:val="Hyperlink"/>
            <w:rFonts w:eastAsiaTheme="minorHAnsi"/>
            <w:noProof/>
          </w:rPr>
          <w:t>Figure 2</w:t>
        </w:r>
        <w:r w:rsidR="008100DD" w:rsidRPr="008141DD">
          <w:rPr>
            <w:rStyle w:val="Hyperlink"/>
            <w:rFonts w:eastAsiaTheme="minorHAnsi"/>
            <w:noProof/>
          </w:rPr>
          <w:noBreakHyphen/>
          <w:t>8: Number of PY7 Low-Income Combined On-Site and Telephone Inspections Completed by EDC</w:t>
        </w:r>
        <w:r w:rsidR="008100DD">
          <w:rPr>
            <w:noProof/>
            <w:webHidden/>
          </w:rPr>
          <w:tab/>
        </w:r>
        <w:r w:rsidR="008100DD">
          <w:rPr>
            <w:noProof/>
            <w:webHidden/>
          </w:rPr>
          <w:fldChar w:fldCharType="begin"/>
        </w:r>
        <w:r w:rsidR="008100DD">
          <w:rPr>
            <w:noProof/>
            <w:webHidden/>
          </w:rPr>
          <w:instrText xml:space="preserve"> PAGEREF _Toc476914029 \h </w:instrText>
        </w:r>
        <w:r w:rsidR="008100DD">
          <w:rPr>
            <w:noProof/>
            <w:webHidden/>
          </w:rPr>
        </w:r>
        <w:r w:rsidR="008100DD">
          <w:rPr>
            <w:noProof/>
            <w:webHidden/>
          </w:rPr>
          <w:fldChar w:fldCharType="separate"/>
        </w:r>
        <w:r w:rsidR="00A91C81">
          <w:rPr>
            <w:noProof/>
            <w:webHidden/>
          </w:rPr>
          <w:t>25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30" w:history="1">
        <w:r w:rsidR="008100DD" w:rsidRPr="008141DD">
          <w:rPr>
            <w:rStyle w:val="Hyperlink"/>
            <w:rFonts w:eastAsiaTheme="minorHAnsi"/>
            <w:noProof/>
          </w:rPr>
          <w:t>Figure 2</w:t>
        </w:r>
        <w:r w:rsidR="008100DD" w:rsidRPr="008141DD">
          <w:rPr>
            <w:rStyle w:val="Hyperlink"/>
            <w:rFonts w:eastAsiaTheme="minorHAnsi"/>
            <w:noProof/>
          </w:rPr>
          <w:noBreakHyphen/>
          <w:t>9: PY7 Low-Income Combined On-Site and Telephone Inspections as a Percentage of Participants</w:t>
        </w:r>
        <w:r w:rsidR="008100DD">
          <w:rPr>
            <w:noProof/>
            <w:webHidden/>
          </w:rPr>
          <w:tab/>
        </w:r>
        <w:r w:rsidR="008100DD">
          <w:rPr>
            <w:noProof/>
            <w:webHidden/>
          </w:rPr>
          <w:fldChar w:fldCharType="begin"/>
        </w:r>
        <w:r w:rsidR="008100DD">
          <w:rPr>
            <w:noProof/>
            <w:webHidden/>
          </w:rPr>
          <w:instrText xml:space="preserve"> PAGEREF _Toc476914030 \h </w:instrText>
        </w:r>
        <w:r w:rsidR="008100DD">
          <w:rPr>
            <w:noProof/>
            <w:webHidden/>
          </w:rPr>
        </w:r>
        <w:r w:rsidR="008100DD">
          <w:rPr>
            <w:noProof/>
            <w:webHidden/>
          </w:rPr>
          <w:fldChar w:fldCharType="separate"/>
        </w:r>
        <w:r w:rsidR="00A91C81">
          <w:rPr>
            <w:noProof/>
            <w:webHidden/>
          </w:rPr>
          <w:t>26</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31" w:history="1">
        <w:r w:rsidR="008100DD" w:rsidRPr="008141DD">
          <w:rPr>
            <w:rStyle w:val="Hyperlink"/>
            <w:rFonts w:eastAsiaTheme="minorHAnsi"/>
            <w:noProof/>
          </w:rPr>
          <w:t>Figure 2</w:t>
        </w:r>
        <w:r w:rsidR="008100DD" w:rsidRPr="008141DD">
          <w:rPr>
            <w:rStyle w:val="Hyperlink"/>
            <w:rFonts w:eastAsiaTheme="minorHAnsi"/>
            <w:noProof/>
          </w:rPr>
          <w:noBreakHyphen/>
          <w:t>10: PY7 Residential Low-Income Program TRC Ratios by EDC</w:t>
        </w:r>
        <w:r w:rsidR="008100DD">
          <w:rPr>
            <w:noProof/>
            <w:webHidden/>
          </w:rPr>
          <w:tab/>
        </w:r>
        <w:r w:rsidR="008100DD">
          <w:rPr>
            <w:noProof/>
            <w:webHidden/>
          </w:rPr>
          <w:fldChar w:fldCharType="begin"/>
        </w:r>
        <w:r w:rsidR="008100DD">
          <w:rPr>
            <w:noProof/>
            <w:webHidden/>
          </w:rPr>
          <w:instrText xml:space="preserve"> PAGEREF _Toc476914031 \h </w:instrText>
        </w:r>
        <w:r w:rsidR="008100DD">
          <w:rPr>
            <w:noProof/>
            <w:webHidden/>
          </w:rPr>
        </w:r>
        <w:r w:rsidR="008100DD">
          <w:rPr>
            <w:noProof/>
            <w:webHidden/>
          </w:rPr>
          <w:fldChar w:fldCharType="separate"/>
        </w:r>
        <w:r w:rsidR="00A91C81">
          <w:rPr>
            <w:noProof/>
            <w:webHidden/>
          </w:rPr>
          <w:t>26</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32" w:history="1">
        <w:r w:rsidR="008100DD" w:rsidRPr="008141DD">
          <w:rPr>
            <w:rStyle w:val="Hyperlink"/>
            <w:rFonts w:eastAsiaTheme="minorHAnsi"/>
            <w:noProof/>
          </w:rPr>
          <w:t>Figure 2</w:t>
        </w:r>
        <w:r w:rsidR="008100DD" w:rsidRPr="008141DD">
          <w:rPr>
            <w:rStyle w:val="Hyperlink"/>
            <w:rFonts w:eastAsiaTheme="minorHAnsi"/>
            <w:noProof/>
          </w:rPr>
          <w:noBreakHyphen/>
          <w:t>11: PY7 Residential Low-Income Program EE&amp;C Plan Estimates versus PY7 Actual Expenditures</w:t>
        </w:r>
        <w:r w:rsidR="008100DD">
          <w:rPr>
            <w:noProof/>
            <w:webHidden/>
          </w:rPr>
          <w:tab/>
        </w:r>
        <w:r w:rsidR="008100DD">
          <w:rPr>
            <w:noProof/>
            <w:webHidden/>
          </w:rPr>
          <w:fldChar w:fldCharType="begin"/>
        </w:r>
        <w:r w:rsidR="008100DD">
          <w:rPr>
            <w:noProof/>
            <w:webHidden/>
          </w:rPr>
          <w:instrText xml:space="preserve"> PAGEREF _Toc476914032 \h </w:instrText>
        </w:r>
        <w:r w:rsidR="008100DD">
          <w:rPr>
            <w:noProof/>
            <w:webHidden/>
          </w:rPr>
        </w:r>
        <w:r w:rsidR="008100DD">
          <w:rPr>
            <w:noProof/>
            <w:webHidden/>
          </w:rPr>
          <w:fldChar w:fldCharType="separate"/>
        </w:r>
        <w:r w:rsidR="00A91C81">
          <w:rPr>
            <w:noProof/>
            <w:webHidden/>
          </w:rPr>
          <w:t>27</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33" w:history="1">
        <w:r w:rsidR="008100DD" w:rsidRPr="008141DD">
          <w:rPr>
            <w:rStyle w:val="Hyperlink"/>
            <w:rFonts w:eastAsiaTheme="minorHAnsi"/>
            <w:noProof/>
          </w:rPr>
          <w:t>Figure 2</w:t>
        </w:r>
        <w:r w:rsidR="008100DD" w:rsidRPr="008141DD">
          <w:rPr>
            <w:rStyle w:val="Hyperlink"/>
            <w:rFonts w:eastAsiaTheme="minorHAnsi"/>
            <w:noProof/>
          </w:rPr>
          <w:noBreakHyphen/>
          <w:t>12: PY7 EE&amp;C Plan Low-Income Program EE&amp;C Plan Estimated MWh/yr versus Verified MWh/yr PY7 Savings</w:t>
        </w:r>
        <w:r w:rsidR="008100DD">
          <w:rPr>
            <w:noProof/>
            <w:webHidden/>
          </w:rPr>
          <w:tab/>
        </w:r>
        <w:r w:rsidR="008100DD">
          <w:rPr>
            <w:noProof/>
            <w:webHidden/>
          </w:rPr>
          <w:fldChar w:fldCharType="begin"/>
        </w:r>
        <w:r w:rsidR="008100DD">
          <w:rPr>
            <w:noProof/>
            <w:webHidden/>
          </w:rPr>
          <w:instrText xml:space="preserve"> PAGEREF _Toc476914033 \h </w:instrText>
        </w:r>
        <w:r w:rsidR="008100DD">
          <w:rPr>
            <w:noProof/>
            <w:webHidden/>
          </w:rPr>
        </w:r>
        <w:r w:rsidR="008100DD">
          <w:rPr>
            <w:noProof/>
            <w:webHidden/>
          </w:rPr>
          <w:fldChar w:fldCharType="separate"/>
        </w:r>
        <w:r w:rsidR="00A91C81">
          <w:rPr>
            <w:noProof/>
            <w:webHidden/>
          </w:rPr>
          <w:t>27</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34" w:history="1">
        <w:r w:rsidR="008100DD" w:rsidRPr="008141DD">
          <w:rPr>
            <w:rStyle w:val="Hyperlink"/>
            <w:rFonts w:eastAsiaTheme="minorHAnsi"/>
            <w:noProof/>
          </w:rPr>
          <w:t>Figure 2</w:t>
        </w:r>
        <w:r w:rsidR="008100DD" w:rsidRPr="008141DD">
          <w:rPr>
            <w:rStyle w:val="Hyperlink"/>
            <w:rFonts w:eastAsiaTheme="minorHAnsi"/>
            <w:noProof/>
          </w:rPr>
          <w:noBreakHyphen/>
          <w:t>13: PY7 EE&amp;C Plan Low-Income Program EE&amp;C Plan Estimated MW versus Verified MW PY7 Savings</w:t>
        </w:r>
        <w:r w:rsidR="008100DD">
          <w:rPr>
            <w:noProof/>
            <w:webHidden/>
          </w:rPr>
          <w:tab/>
        </w:r>
        <w:r w:rsidR="008100DD">
          <w:rPr>
            <w:noProof/>
            <w:webHidden/>
          </w:rPr>
          <w:fldChar w:fldCharType="begin"/>
        </w:r>
        <w:r w:rsidR="008100DD">
          <w:rPr>
            <w:noProof/>
            <w:webHidden/>
          </w:rPr>
          <w:instrText xml:space="preserve"> PAGEREF _Toc476914034 \h </w:instrText>
        </w:r>
        <w:r w:rsidR="008100DD">
          <w:rPr>
            <w:noProof/>
            <w:webHidden/>
          </w:rPr>
        </w:r>
        <w:r w:rsidR="008100DD">
          <w:rPr>
            <w:noProof/>
            <w:webHidden/>
          </w:rPr>
          <w:fldChar w:fldCharType="separate"/>
        </w:r>
        <w:r w:rsidR="00A91C81">
          <w:rPr>
            <w:noProof/>
            <w:webHidden/>
          </w:rPr>
          <w:t>28</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35" w:history="1">
        <w:r w:rsidR="008100DD" w:rsidRPr="008141DD">
          <w:rPr>
            <w:rStyle w:val="Hyperlink"/>
            <w:rFonts w:eastAsiaTheme="minorHAnsi"/>
            <w:noProof/>
          </w:rPr>
          <w:t>Figure 2</w:t>
        </w:r>
        <w:r w:rsidR="008100DD" w:rsidRPr="008141DD">
          <w:rPr>
            <w:rStyle w:val="Hyperlink"/>
            <w:rFonts w:eastAsiaTheme="minorHAnsi"/>
            <w:noProof/>
          </w:rPr>
          <w:noBreakHyphen/>
          <w:t>14: PY7 Low-Income Program Energy Savings Realization Rates by EDC</w:t>
        </w:r>
        <w:r w:rsidR="008100DD">
          <w:rPr>
            <w:noProof/>
            <w:webHidden/>
          </w:rPr>
          <w:tab/>
        </w:r>
        <w:r w:rsidR="008100DD">
          <w:rPr>
            <w:noProof/>
            <w:webHidden/>
          </w:rPr>
          <w:fldChar w:fldCharType="begin"/>
        </w:r>
        <w:r w:rsidR="008100DD">
          <w:rPr>
            <w:noProof/>
            <w:webHidden/>
          </w:rPr>
          <w:instrText xml:space="preserve"> PAGEREF _Toc476914035 \h </w:instrText>
        </w:r>
        <w:r w:rsidR="008100DD">
          <w:rPr>
            <w:noProof/>
            <w:webHidden/>
          </w:rPr>
        </w:r>
        <w:r w:rsidR="008100DD">
          <w:rPr>
            <w:noProof/>
            <w:webHidden/>
          </w:rPr>
          <w:fldChar w:fldCharType="separate"/>
        </w:r>
        <w:r w:rsidR="00A91C81">
          <w:rPr>
            <w:noProof/>
            <w:webHidden/>
          </w:rPr>
          <w:t>28</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36" w:history="1">
        <w:r w:rsidR="008100DD" w:rsidRPr="008141DD">
          <w:rPr>
            <w:rStyle w:val="Hyperlink"/>
            <w:rFonts w:eastAsiaTheme="minorHAnsi"/>
            <w:noProof/>
          </w:rPr>
          <w:t>Figure 2</w:t>
        </w:r>
        <w:r w:rsidR="008100DD" w:rsidRPr="008141DD">
          <w:rPr>
            <w:rStyle w:val="Hyperlink"/>
            <w:rFonts w:eastAsiaTheme="minorHAnsi"/>
            <w:noProof/>
          </w:rPr>
          <w:noBreakHyphen/>
          <w:t>15: PY7 Low-Income Program Net-to-Gross Ratios for each EDC</w:t>
        </w:r>
        <w:r w:rsidR="008100DD">
          <w:rPr>
            <w:noProof/>
            <w:webHidden/>
          </w:rPr>
          <w:tab/>
        </w:r>
        <w:r w:rsidR="008100DD">
          <w:rPr>
            <w:noProof/>
            <w:webHidden/>
          </w:rPr>
          <w:fldChar w:fldCharType="begin"/>
        </w:r>
        <w:r w:rsidR="008100DD">
          <w:rPr>
            <w:noProof/>
            <w:webHidden/>
          </w:rPr>
          <w:instrText xml:space="preserve"> PAGEREF _Toc476914036 \h </w:instrText>
        </w:r>
        <w:r w:rsidR="008100DD">
          <w:rPr>
            <w:noProof/>
            <w:webHidden/>
          </w:rPr>
        </w:r>
        <w:r w:rsidR="008100DD">
          <w:rPr>
            <w:noProof/>
            <w:webHidden/>
          </w:rPr>
          <w:fldChar w:fldCharType="separate"/>
        </w:r>
        <w:r w:rsidR="00A91C81">
          <w:rPr>
            <w:noProof/>
            <w:webHidden/>
          </w:rPr>
          <w:t>29</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37" w:history="1">
        <w:r w:rsidR="008100DD" w:rsidRPr="008141DD">
          <w:rPr>
            <w:rStyle w:val="Hyperlink"/>
            <w:rFonts w:eastAsiaTheme="minorHAnsi"/>
            <w:noProof/>
          </w:rPr>
          <w:t>Figure 2</w:t>
        </w:r>
        <w:r w:rsidR="008100DD" w:rsidRPr="008141DD">
          <w:rPr>
            <w:rStyle w:val="Hyperlink"/>
            <w:rFonts w:eastAsiaTheme="minorHAnsi"/>
            <w:noProof/>
          </w:rPr>
          <w:noBreakHyphen/>
          <w:t>16: Phase II Verified Gross Energy Impacts Statewide</w:t>
        </w:r>
        <w:r w:rsidR="008100DD">
          <w:rPr>
            <w:noProof/>
            <w:webHidden/>
          </w:rPr>
          <w:tab/>
        </w:r>
        <w:r w:rsidR="008100DD">
          <w:rPr>
            <w:noProof/>
            <w:webHidden/>
          </w:rPr>
          <w:fldChar w:fldCharType="begin"/>
        </w:r>
        <w:r w:rsidR="008100DD">
          <w:rPr>
            <w:noProof/>
            <w:webHidden/>
          </w:rPr>
          <w:instrText xml:space="preserve"> PAGEREF _Toc476914037 \h </w:instrText>
        </w:r>
        <w:r w:rsidR="008100DD">
          <w:rPr>
            <w:noProof/>
            <w:webHidden/>
          </w:rPr>
        </w:r>
        <w:r w:rsidR="008100DD">
          <w:rPr>
            <w:noProof/>
            <w:webHidden/>
          </w:rPr>
          <w:fldChar w:fldCharType="separate"/>
        </w:r>
        <w:r w:rsidR="00A91C81">
          <w:rPr>
            <w:noProof/>
            <w:webHidden/>
          </w:rPr>
          <w:t>30</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38" w:history="1">
        <w:r w:rsidR="008100DD" w:rsidRPr="008141DD">
          <w:rPr>
            <w:rStyle w:val="Hyperlink"/>
            <w:rFonts w:eastAsiaTheme="minorHAnsi"/>
            <w:noProof/>
          </w:rPr>
          <w:t>Figure 2</w:t>
        </w:r>
        <w:r w:rsidR="008100DD" w:rsidRPr="008141DD">
          <w:rPr>
            <w:rStyle w:val="Hyperlink"/>
            <w:rFonts w:eastAsiaTheme="minorHAnsi"/>
            <w:noProof/>
          </w:rPr>
          <w:noBreakHyphen/>
          <w:t>17: Duquesne Phase II Cumulative Verified Gross Savings by Program Year and Sector</w:t>
        </w:r>
        <w:r w:rsidR="008100DD">
          <w:rPr>
            <w:noProof/>
            <w:webHidden/>
          </w:rPr>
          <w:tab/>
        </w:r>
        <w:r w:rsidR="008100DD">
          <w:rPr>
            <w:noProof/>
            <w:webHidden/>
          </w:rPr>
          <w:fldChar w:fldCharType="begin"/>
        </w:r>
        <w:r w:rsidR="008100DD">
          <w:rPr>
            <w:noProof/>
            <w:webHidden/>
          </w:rPr>
          <w:instrText xml:space="preserve"> PAGEREF _Toc476914038 \h </w:instrText>
        </w:r>
        <w:r w:rsidR="008100DD">
          <w:rPr>
            <w:noProof/>
            <w:webHidden/>
          </w:rPr>
        </w:r>
        <w:r w:rsidR="008100DD">
          <w:rPr>
            <w:noProof/>
            <w:webHidden/>
          </w:rPr>
          <w:fldChar w:fldCharType="separate"/>
        </w:r>
        <w:r w:rsidR="00A91C81">
          <w:rPr>
            <w:noProof/>
            <w:webHidden/>
          </w:rPr>
          <w:t>32</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39" w:history="1">
        <w:r w:rsidR="008100DD" w:rsidRPr="008141DD">
          <w:rPr>
            <w:rStyle w:val="Hyperlink"/>
            <w:rFonts w:eastAsiaTheme="minorHAnsi"/>
            <w:noProof/>
          </w:rPr>
          <w:t>Figure 2</w:t>
        </w:r>
        <w:r w:rsidR="008100DD" w:rsidRPr="008141DD">
          <w:rPr>
            <w:rStyle w:val="Hyperlink"/>
            <w:rFonts w:eastAsiaTheme="minorHAnsi"/>
            <w:noProof/>
          </w:rPr>
          <w:noBreakHyphen/>
          <w:t>18: Met-Ed Phase II Cumulative Verified Gross Savings by Program Year and Sector</w:t>
        </w:r>
        <w:r w:rsidR="008100DD">
          <w:rPr>
            <w:noProof/>
            <w:webHidden/>
          </w:rPr>
          <w:tab/>
        </w:r>
        <w:r w:rsidR="008100DD">
          <w:rPr>
            <w:noProof/>
            <w:webHidden/>
          </w:rPr>
          <w:fldChar w:fldCharType="begin"/>
        </w:r>
        <w:r w:rsidR="008100DD">
          <w:rPr>
            <w:noProof/>
            <w:webHidden/>
          </w:rPr>
          <w:instrText xml:space="preserve"> PAGEREF _Toc476914039 \h </w:instrText>
        </w:r>
        <w:r w:rsidR="008100DD">
          <w:rPr>
            <w:noProof/>
            <w:webHidden/>
          </w:rPr>
        </w:r>
        <w:r w:rsidR="008100DD">
          <w:rPr>
            <w:noProof/>
            <w:webHidden/>
          </w:rPr>
          <w:fldChar w:fldCharType="separate"/>
        </w:r>
        <w:r w:rsidR="00A91C81">
          <w:rPr>
            <w:noProof/>
            <w:webHidden/>
          </w:rPr>
          <w:t>34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40" w:history="1">
        <w:r w:rsidR="008100DD" w:rsidRPr="008141DD">
          <w:rPr>
            <w:rStyle w:val="Hyperlink"/>
            <w:rFonts w:eastAsiaTheme="minorHAnsi"/>
            <w:noProof/>
          </w:rPr>
          <w:t>Figure 2</w:t>
        </w:r>
        <w:r w:rsidR="008100DD" w:rsidRPr="008141DD">
          <w:rPr>
            <w:rStyle w:val="Hyperlink"/>
            <w:rFonts w:eastAsiaTheme="minorHAnsi"/>
            <w:noProof/>
          </w:rPr>
          <w:noBreakHyphen/>
          <w:t>19: Penelec Phase II Cumulative Verified Gross Savings by Program Year and Sector</w:t>
        </w:r>
        <w:r w:rsidR="008100DD">
          <w:rPr>
            <w:noProof/>
            <w:webHidden/>
          </w:rPr>
          <w:tab/>
        </w:r>
        <w:r w:rsidR="008100DD">
          <w:rPr>
            <w:noProof/>
            <w:webHidden/>
          </w:rPr>
          <w:fldChar w:fldCharType="begin"/>
        </w:r>
        <w:r w:rsidR="008100DD">
          <w:rPr>
            <w:noProof/>
            <w:webHidden/>
          </w:rPr>
          <w:instrText xml:space="preserve"> PAGEREF _Toc476914040 \h </w:instrText>
        </w:r>
        <w:r w:rsidR="008100DD">
          <w:rPr>
            <w:noProof/>
            <w:webHidden/>
          </w:rPr>
        </w:r>
        <w:r w:rsidR="008100DD">
          <w:rPr>
            <w:noProof/>
            <w:webHidden/>
          </w:rPr>
          <w:fldChar w:fldCharType="separate"/>
        </w:r>
        <w:r w:rsidR="00A91C81">
          <w:rPr>
            <w:noProof/>
            <w:webHidden/>
          </w:rPr>
          <w:t>35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41" w:history="1">
        <w:r w:rsidR="008100DD" w:rsidRPr="008141DD">
          <w:rPr>
            <w:rStyle w:val="Hyperlink"/>
            <w:rFonts w:eastAsiaTheme="minorHAnsi"/>
            <w:noProof/>
          </w:rPr>
          <w:t>Figure 2</w:t>
        </w:r>
        <w:r w:rsidR="008100DD" w:rsidRPr="008141DD">
          <w:rPr>
            <w:rStyle w:val="Hyperlink"/>
            <w:rFonts w:eastAsiaTheme="minorHAnsi"/>
            <w:noProof/>
          </w:rPr>
          <w:noBreakHyphen/>
          <w:t>20: Penn Power Phase II Cumulative Verified Gross Savings by Program Year and Sector</w:t>
        </w:r>
        <w:r w:rsidR="008100DD">
          <w:rPr>
            <w:noProof/>
            <w:webHidden/>
          </w:rPr>
          <w:tab/>
        </w:r>
        <w:r w:rsidR="008100DD">
          <w:rPr>
            <w:noProof/>
            <w:webHidden/>
          </w:rPr>
          <w:fldChar w:fldCharType="begin"/>
        </w:r>
        <w:r w:rsidR="008100DD">
          <w:rPr>
            <w:noProof/>
            <w:webHidden/>
          </w:rPr>
          <w:instrText xml:space="preserve"> PAGEREF _Toc476914041 \h </w:instrText>
        </w:r>
        <w:r w:rsidR="008100DD">
          <w:rPr>
            <w:noProof/>
            <w:webHidden/>
          </w:rPr>
        </w:r>
        <w:r w:rsidR="008100DD">
          <w:rPr>
            <w:noProof/>
            <w:webHidden/>
          </w:rPr>
          <w:fldChar w:fldCharType="separate"/>
        </w:r>
        <w:r w:rsidR="00A91C81">
          <w:rPr>
            <w:noProof/>
            <w:webHidden/>
          </w:rPr>
          <w:t>37</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42" w:history="1">
        <w:r w:rsidR="008100DD" w:rsidRPr="008141DD">
          <w:rPr>
            <w:rStyle w:val="Hyperlink"/>
            <w:rFonts w:eastAsiaTheme="minorHAnsi"/>
            <w:noProof/>
          </w:rPr>
          <w:t>Figure 2</w:t>
        </w:r>
        <w:r w:rsidR="008100DD" w:rsidRPr="008141DD">
          <w:rPr>
            <w:rStyle w:val="Hyperlink"/>
            <w:rFonts w:eastAsiaTheme="minorHAnsi"/>
            <w:noProof/>
          </w:rPr>
          <w:noBreakHyphen/>
          <w:t>21: West Penn Phase II Cumulative Verified Gross Savings by Program Year and Sector</w:t>
        </w:r>
        <w:r w:rsidR="008100DD">
          <w:rPr>
            <w:noProof/>
            <w:webHidden/>
          </w:rPr>
          <w:tab/>
        </w:r>
        <w:r w:rsidR="008100DD">
          <w:rPr>
            <w:noProof/>
            <w:webHidden/>
          </w:rPr>
          <w:fldChar w:fldCharType="begin"/>
        </w:r>
        <w:r w:rsidR="008100DD">
          <w:rPr>
            <w:noProof/>
            <w:webHidden/>
          </w:rPr>
          <w:instrText xml:space="preserve"> PAGEREF _Toc476914042 \h </w:instrText>
        </w:r>
        <w:r w:rsidR="008100DD">
          <w:rPr>
            <w:noProof/>
            <w:webHidden/>
          </w:rPr>
        </w:r>
        <w:r w:rsidR="008100DD">
          <w:rPr>
            <w:noProof/>
            <w:webHidden/>
          </w:rPr>
          <w:fldChar w:fldCharType="separate"/>
        </w:r>
        <w:r w:rsidR="00A91C81">
          <w:rPr>
            <w:noProof/>
            <w:webHidden/>
          </w:rPr>
          <w:t>38</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43" w:history="1">
        <w:r w:rsidR="008100DD" w:rsidRPr="008141DD">
          <w:rPr>
            <w:rStyle w:val="Hyperlink"/>
            <w:rFonts w:eastAsiaTheme="minorHAnsi"/>
            <w:noProof/>
          </w:rPr>
          <w:t>Figure 2</w:t>
        </w:r>
        <w:r w:rsidR="008100DD" w:rsidRPr="008141DD">
          <w:rPr>
            <w:rStyle w:val="Hyperlink"/>
            <w:rFonts w:eastAsiaTheme="minorHAnsi"/>
            <w:noProof/>
          </w:rPr>
          <w:noBreakHyphen/>
          <w:t>22: PECO Phase II Cumulative Verified Gross Savings by Program Year and Sector</w:t>
        </w:r>
        <w:r w:rsidR="008100DD">
          <w:rPr>
            <w:noProof/>
            <w:webHidden/>
          </w:rPr>
          <w:tab/>
        </w:r>
        <w:r w:rsidR="008100DD">
          <w:rPr>
            <w:noProof/>
            <w:webHidden/>
          </w:rPr>
          <w:fldChar w:fldCharType="begin"/>
        </w:r>
        <w:r w:rsidR="008100DD">
          <w:rPr>
            <w:noProof/>
            <w:webHidden/>
          </w:rPr>
          <w:instrText xml:space="preserve"> PAGEREF _Toc476914043 \h </w:instrText>
        </w:r>
        <w:r w:rsidR="008100DD">
          <w:rPr>
            <w:noProof/>
            <w:webHidden/>
          </w:rPr>
        </w:r>
        <w:r w:rsidR="008100DD">
          <w:rPr>
            <w:noProof/>
            <w:webHidden/>
          </w:rPr>
          <w:fldChar w:fldCharType="separate"/>
        </w:r>
        <w:r w:rsidR="00A91C81">
          <w:rPr>
            <w:noProof/>
            <w:webHidden/>
          </w:rPr>
          <w:t>40</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44" w:history="1">
        <w:r w:rsidR="008100DD" w:rsidRPr="008141DD">
          <w:rPr>
            <w:rStyle w:val="Hyperlink"/>
            <w:rFonts w:eastAsiaTheme="minorHAnsi"/>
            <w:noProof/>
          </w:rPr>
          <w:t>Figure 2</w:t>
        </w:r>
        <w:r w:rsidR="008100DD" w:rsidRPr="008141DD">
          <w:rPr>
            <w:rStyle w:val="Hyperlink"/>
            <w:rFonts w:eastAsiaTheme="minorHAnsi"/>
            <w:noProof/>
          </w:rPr>
          <w:noBreakHyphen/>
          <w:t>23: PPL Phase II Cumulative Verified Gross Savings by Program Year and Sector</w:t>
        </w:r>
        <w:r w:rsidR="008100DD">
          <w:rPr>
            <w:noProof/>
            <w:webHidden/>
          </w:rPr>
          <w:tab/>
        </w:r>
        <w:r w:rsidR="008100DD">
          <w:rPr>
            <w:noProof/>
            <w:webHidden/>
          </w:rPr>
          <w:fldChar w:fldCharType="begin"/>
        </w:r>
        <w:r w:rsidR="008100DD">
          <w:rPr>
            <w:noProof/>
            <w:webHidden/>
          </w:rPr>
          <w:instrText xml:space="preserve"> PAGEREF _Toc476914044 \h </w:instrText>
        </w:r>
        <w:r w:rsidR="008100DD">
          <w:rPr>
            <w:noProof/>
            <w:webHidden/>
          </w:rPr>
        </w:r>
        <w:r w:rsidR="008100DD">
          <w:rPr>
            <w:noProof/>
            <w:webHidden/>
          </w:rPr>
          <w:fldChar w:fldCharType="separate"/>
        </w:r>
        <w:r w:rsidR="00A91C81">
          <w:rPr>
            <w:noProof/>
            <w:webHidden/>
          </w:rPr>
          <w:t>41</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45" w:history="1">
        <w:r w:rsidR="008100DD" w:rsidRPr="008141DD">
          <w:rPr>
            <w:rStyle w:val="Hyperlink"/>
            <w:rFonts w:eastAsiaTheme="minorHAnsi"/>
            <w:noProof/>
          </w:rPr>
          <w:t>Figure 3</w:t>
        </w:r>
        <w:r w:rsidR="008100DD" w:rsidRPr="008141DD">
          <w:rPr>
            <w:rStyle w:val="Hyperlink"/>
            <w:rFonts w:eastAsiaTheme="minorHAnsi"/>
            <w:noProof/>
          </w:rPr>
          <w:noBreakHyphen/>
          <w:t>1:  Phase II Cumulative Verified Gross Demand Savings</w:t>
        </w:r>
        <w:r w:rsidR="008100DD">
          <w:rPr>
            <w:noProof/>
            <w:webHidden/>
          </w:rPr>
          <w:tab/>
        </w:r>
        <w:r w:rsidR="008100DD">
          <w:rPr>
            <w:noProof/>
            <w:webHidden/>
          </w:rPr>
          <w:fldChar w:fldCharType="begin"/>
        </w:r>
        <w:r w:rsidR="008100DD">
          <w:rPr>
            <w:noProof/>
            <w:webHidden/>
          </w:rPr>
          <w:instrText xml:space="preserve"> PAGEREF _Toc476914045 \h </w:instrText>
        </w:r>
        <w:r w:rsidR="008100DD">
          <w:rPr>
            <w:noProof/>
            <w:webHidden/>
          </w:rPr>
        </w:r>
        <w:r w:rsidR="008100DD">
          <w:rPr>
            <w:noProof/>
            <w:webHidden/>
          </w:rPr>
          <w:fldChar w:fldCharType="separate"/>
        </w:r>
        <w:r w:rsidR="00A91C81">
          <w:rPr>
            <w:noProof/>
            <w:webHidden/>
          </w:rPr>
          <w:t>43</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46" w:history="1">
        <w:r w:rsidR="008100DD" w:rsidRPr="008141DD">
          <w:rPr>
            <w:rStyle w:val="Hyperlink"/>
            <w:rFonts w:eastAsiaTheme="minorHAnsi"/>
            <w:noProof/>
          </w:rPr>
          <w:t>Figure 3</w:t>
        </w:r>
        <w:r w:rsidR="008100DD" w:rsidRPr="008141DD">
          <w:rPr>
            <w:rStyle w:val="Hyperlink"/>
            <w:rFonts w:eastAsiaTheme="minorHAnsi"/>
            <w:noProof/>
          </w:rPr>
          <w:noBreakHyphen/>
          <w:t>2:  Duquesne Phase II Cumulative Demand Savings, by Sector</w:t>
        </w:r>
        <w:r w:rsidR="008100DD">
          <w:rPr>
            <w:noProof/>
            <w:webHidden/>
          </w:rPr>
          <w:tab/>
        </w:r>
        <w:r w:rsidR="008100DD">
          <w:rPr>
            <w:noProof/>
            <w:webHidden/>
          </w:rPr>
          <w:fldChar w:fldCharType="begin"/>
        </w:r>
        <w:r w:rsidR="008100DD">
          <w:rPr>
            <w:noProof/>
            <w:webHidden/>
          </w:rPr>
          <w:instrText xml:space="preserve"> PAGEREF _Toc476914046 \h </w:instrText>
        </w:r>
        <w:r w:rsidR="008100DD">
          <w:rPr>
            <w:noProof/>
            <w:webHidden/>
          </w:rPr>
        </w:r>
        <w:r w:rsidR="008100DD">
          <w:rPr>
            <w:noProof/>
            <w:webHidden/>
          </w:rPr>
          <w:fldChar w:fldCharType="separate"/>
        </w:r>
        <w:r w:rsidR="00A91C81">
          <w:rPr>
            <w:noProof/>
            <w:webHidden/>
          </w:rPr>
          <w:t>44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47" w:history="1">
        <w:r w:rsidR="008100DD" w:rsidRPr="008141DD">
          <w:rPr>
            <w:rStyle w:val="Hyperlink"/>
            <w:rFonts w:eastAsiaTheme="minorHAnsi"/>
            <w:noProof/>
          </w:rPr>
          <w:t>Figure 3</w:t>
        </w:r>
        <w:r w:rsidR="008100DD" w:rsidRPr="008141DD">
          <w:rPr>
            <w:rStyle w:val="Hyperlink"/>
            <w:rFonts w:eastAsiaTheme="minorHAnsi"/>
            <w:noProof/>
          </w:rPr>
          <w:noBreakHyphen/>
          <w:t>3: Met-Ed Phase II Cumulative Demand Savings, by Sector</w:t>
        </w:r>
        <w:r w:rsidR="008100DD">
          <w:rPr>
            <w:noProof/>
            <w:webHidden/>
          </w:rPr>
          <w:tab/>
        </w:r>
        <w:r w:rsidR="008100DD">
          <w:rPr>
            <w:noProof/>
            <w:webHidden/>
          </w:rPr>
          <w:fldChar w:fldCharType="begin"/>
        </w:r>
        <w:r w:rsidR="008100DD">
          <w:rPr>
            <w:noProof/>
            <w:webHidden/>
          </w:rPr>
          <w:instrText xml:space="preserve"> PAGEREF _Toc476914047 \h </w:instrText>
        </w:r>
        <w:r w:rsidR="008100DD">
          <w:rPr>
            <w:noProof/>
            <w:webHidden/>
          </w:rPr>
        </w:r>
        <w:r w:rsidR="008100DD">
          <w:rPr>
            <w:noProof/>
            <w:webHidden/>
          </w:rPr>
          <w:fldChar w:fldCharType="separate"/>
        </w:r>
        <w:r w:rsidR="00A91C81">
          <w:rPr>
            <w:noProof/>
            <w:webHidden/>
          </w:rPr>
          <w:t>45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48" w:history="1">
        <w:r w:rsidR="008100DD" w:rsidRPr="008141DD">
          <w:rPr>
            <w:rStyle w:val="Hyperlink"/>
            <w:rFonts w:eastAsiaTheme="minorHAnsi"/>
            <w:noProof/>
          </w:rPr>
          <w:t>Figure 3</w:t>
        </w:r>
        <w:r w:rsidR="008100DD" w:rsidRPr="008141DD">
          <w:rPr>
            <w:rStyle w:val="Hyperlink"/>
            <w:rFonts w:eastAsiaTheme="minorHAnsi"/>
            <w:noProof/>
          </w:rPr>
          <w:noBreakHyphen/>
          <w:t>4: Penelec Phase II Cumulative Demand Savings, by Sector</w:t>
        </w:r>
        <w:r w:rsidR="008100DD">
          <w:rPr>
            <w:noProof/>
            <w:webHidden/>
          </w:rPr>
          <w:tab/>
        </w:r>
        <w:r w:rsidR="008100DD">
          <w:rPr>
            <w:noProof/>
            <w:webHidden/>
          </w:rPr>
          <w:fldChar w:fldCharType="begin"/>
        </w:r>
        <w:r w:rsidR="008100DD">
          <w:rPr>
            <w:noProof/>
            <w:webHidden/>
          </w:rPr>
          <w:instrText xml:space="preserve"> PAGEREF _Toc476914048 \h </w:instrText>
        </w:r>
        <w:r w:rsidR="008100DD">
          <w:rPr>
            <w:noProof/>
            <w:webHidden/>
          </w:rPr>
        </w:r>
        <w:r w:rsidR="008100DD">
          <w:rPr>
            <w:noProof/>
            <w:webHidden/>
          </w:rPr>
          <w:fldChar w:fldCharType="separate"/>
        </w:r>
        <w:r w:rsidR="00A91C81">
          <w:rPr>
            <w:noProof/>
            <w:webHidden/>
          </w:rPr>
          <w:t>46</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49" w:history="1">
        <w:r w:rsidR="008100DD" w:rsidRPr="008141DD">
          <w:rPr>
            <w:rStyle w:val="Hyperlink"/>
            <w:rFonts w:eastAsiaTheme="minorHAnsi"/>
            <w:noProof/>
          </w:rPr>
          <w:t>Figure 3</w:t>
        </w:r>
        <w:r w:rsidR="008100DD" w:rsidRPr="008141DD">
          <w:rPr>
            <w:rStyle w:val="Hyperlink"/>
            <w:rFonts w:eastAsiaTheme="minorHAnsi"/>
            <w:noProof/>
          </w:rPr>
          <w:noBreakHyphen/>
          <w:t>5: Penn Power Phase II Cumulative Demand Savings, by Sector</w:t>
        </w:r>
        <w:r w:rsidR="008100DD">
          <w:rPr>
            <w:noProof/>
            <w:webHidden/>
          </w:rPr>
          <w:tab/>
        </w:r>
        <w:r w:rsidR="008100DD">
          <w:rPr>
            <w:noProof/>
            <w:webHidden/>
          </w:rPr>
          <w:fldChar w:fldCharType="begin"/>
        </w:r>
        <w:r w:rsidR="008100DD">
          <w:rPr>
            <w:noProof/>
            <w:webHidden/>
          </w:rPr>
          <w:instrText xml:space="preserve"> PAGEREF _Toc476914049 \h </w:instrText>
        </w:r>
        <w:r w:rsidR="008100DD">
          <w:rPr>
            <w:noProof/>
            <w:webHidden/>
          </w:rPr>
        </w:r>
        <w:r w:rsidR="008100DD">
          <w:rPr>
            <w:noProof/>
            <w:webHidden/>
          </w:rPr>
          <w:fldChar w:fldCharType="separate"/>
        </w:r>
        <w:r w:rsidR="00A91C81">
          <w:rPr>
            <w:noProof/>
            <w:webHidden/>
          </w:rPr>
          <w:t>47</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50" w:history="1">
        <w:r w:rsidR="008100DD" w:rsidRPr="008141DD">
          <w:rPr>
            <w:rStyle w:val="Hyperlink"/>
            <w:rFonts w:eastAsiaTheme="minorHAnsi"/>
            <w:noProof/>
          </w:rPr>
          <w:t>Figure 3</w:t>
        </w:r>
        <w:r w:rsidR="008100DD" w:rsidRPr="008141DD">
          <w:rPr>
            <w:rStyle w:val="Hyperlink"/>
            <w:rFonts w:eastAsiaTheme="minorHAnsi"/>
            <w:noProof/>
          </w:rPr>
          <w:noBreakHyphen/>
          <w:t>6: West Penn Phase II Cumulative Demand Savings, by Sector</w:t>
        </w:r>
        <w:r w:rsidR="008100DD">
          <w:rPr>
            <w:noProof/>
            <w:webHidden/>
          </w:rPr>
          <w:tab/>
        </w:r>
        <w:r w:rsidR="008100DD">
          <w:rPr>
            <w:noProof/>
            <w:webHidden/>
          </w:rPr>
          <w:fldChar w:fldCharType="begin"/>
        </w:r>
        <w:r w:rsidR="008100DD">
          <w:rPr>
            <w:noProof/>
            <w:webHidden/>
          </w:rPr>
          <w:instrText xml:space="preserve"> PAGEREF _Toc476914050 \h </w:instrText>
        </w:r>
        <w:r w:rsidR="008100DD">
          <w:rPr>
            <w:noProof/>
            <w:webHidden/>
          </w:rPr>
        </w:r>
        <w:r w:rsidR="008100DD">
          <w:rPr>
            <w:noProof/>
            <w:webHidden/>
          </w:rPr>
          <w:fldChar w:fldCharType="separate"/>
        </w:r>
        <w:r w:rsidR="00A91C81">
          <w:rPr>
            <w:noProof/>
            <w:webHidden/>
          </w:rPr>
          <w:t>48</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51" w:history="1">
        <w:r w:rsidR="008100DD" w:rsidRPr="008141DD">
          <w:rPr>
            <w:rStyle w:val="Hyperlink"/>
            <w:rFonts w:eastAsiaTheme="minorHAnsi"/>
            <w:noProof/>
          </w:rPr>
          <w:t>Figure 3</w:t>
        </w:r>
        <w:r w:rsidR="008100DD" w:rsidRPr="008141DD">
          <w:rPr>
            <w:rStyle w:val="Hyperlink"/>
            <w:rFonts w:eastAsiaTheme="minorHAnsi"/>
            <w:noProof/>
          </w:rPr>
          <w:noBreakHyphen/>
          <w:t>7: PECO Phase II Cumulative Demand Savings, by Sector</w:t>
        </w:r>
        <w:r w:rsidR="008100DD">
          <w:rPr>
            <w:noProof/>
            <w:webHidden/>
          </w:rPr>
          <w:tab/>
        </w:r>
        <w:r w:rsidR="008100DD">
          <w:rPr>
            <w:noProof/>
            <w:webHidden/>
          </w:rPr>
          <w:fldChar w:fldCharType="begin"/>
        </w:r>
        <w:r w:rsidR="008100DD">
          <w:rPr>
            <w:noProof/>
            <w:webHidden/>
          </w:rPr>
          <w:instrText xml:space="preserve"> PAGEREF _Toc476914051 \h </w:instrText>
        </w:r>
        <w:r w:rsidR="008100DD">
          <w:rPr>
            <w:noProof/>
            <w:webHidden/>
          </w:rPr>
        </w:r>
        <w:r w:rsidR="008100DD">
          <w:rPr>
            <w:noProof/>
            <w:webHidden/>
          </w:rPr>
          <w:fldChar w:fldCharType="separate"/>
        </w:r>
        <w:r w:rsidR="00A91C81">
          <w:rPr>
            <w:noProof/>
            <w:webHidden/>
          </w:rPr>
          <w:t>49</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52" w:history="1">
        <w:r w:rsidR="008100DD" w:rsidRPr="008141DD">
          <w:rPr>
            <w:rStyle w:val="Hyperlink"/>
            <w:rFonts w:eastAsiaTheme="minorHAnsi"/>
            <w:noProof/>
          </w:rPr>
          <w:t>Figure 3</w:t>
        </w:r>
        <w:r w:rsidR="008100DD" w:rsidRPr="008141DD">
          <w:rPr>
            <w:rStyle w:val="Hyperlink"/>
            <w:rFonts w:eastAsiaTheme="minorHAnsi"/>
            <w:noProof/>
          </w:rPr>
          <w:noBreakHyphen/>
          <w:t>8: PPL Phase II Cumulative Demand Savings, by Sector</w:t>
        </w:r>
        <w:r w:rsidR="008100DD">
          <w:rPr>
            <w:noProof/>
            <w:webHidden/>
          </w:rPr>
          <w:tab/>
        </w:r>
        <w:r w:rsidR="008100DD">
          <w:rPr>
            <w:noProof/>
            <w:webHidden/>
          </w:rPr>
          <w:fldChar w:fldCharType="begin"/>
        </w:r>
        <w:r w:rsidR="008100DD">
          <w:rPr>
            <w:noProof/>
            <w:webHidden/>
          </w:rPr>
          <w:instrText xml:space="preserve"> PAGEREF _Toc476914052 \h </w:instrText>
        </w:r>
        <w:r w:rsidR="008100DD">
          <w:rPr>
            <w:noProof/>
            <w:webHidden/>
          </w:rPr>
        </w:r>
        <w:r w:rsidR="008100DD">
          <w:rPr>
            <w:noProof/>
            <w:webHidden/>
          </w:rPr>
          <w:fldChar w:fldCharType="separate"/>
        </w:r>
        <w:r w:rsidR="00A91C81">
          <w:rPr>
            <w:noProof/>
            <w:webHidden/>
          </w:rPr>
          <w:t>50</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53" w:history="1">
        <w:r w:rsidR="008100DD" w:rsidRPr="008141DD">
          <w:rPr>
            <w:rStyle w:val="Hyperlink"/>
            <w:rFonts w:eastAsiaTheme="minorHAnsi"/>
            <w:noProof/>
          </w:rPr>
          <w:t>Figure 4</w:t>
        </w:r>
        <w:r w:rsidR="008100DD" w:rsidRPr="008141DD">
          <w:rPr>
            <w:rStyle w:val="Hyperlink"/>
            <w:rFonts w:eastAsiaTheme="minorHAnsi"/>
            <w:noProof/>
          </w:rPr>
          <w:noBreakHyphen/>
          <w:t>1: Phase II TRC Ratios by Portfolio Sector</w:t>
        </w:r>
        <w:r w:rsidR="008100DD">
          <w:rPr>
            <w:noProof/>
            <w:webHidden/>
          </w:rPr>
          <w:tab/>
        </w:r>
        <w:r w:rsidR="008100DD">
          <w:rPr>
            <w:noProof/>
            <w:webHidden/>
          </w:rPr>
          <w:fldChar w:fldCharType="begin"/>
        </w:r>
        <w:r w:rsidR="008100DD">
          <w:rPr>
            <w:noProof/>
            <w:webHidden/>
          </w:rPr>
          <w:instrText xml:space="preserve"> PAGEREF _Toc476914053 \h </w:instrText>
        </w:r>
        <w:r w:rsidR="008100DD">
          <w:rPr>
            <w:noProof/>
            <w:webHidden/>
          </w:rPr>
        </w:r>
        <w:r w:rsidR="008100DD">
          <w:rPr>
            <w:noProof/>
            <w:webHidden/>
          </w:rPr>
          <w:fldChar w:fldCharType="separate"/>
        </w:r>
        <w:r w:rsidR="00A91C81">
          <w:rPr>
            <w:noProof/>
            <w:webHidden/>
          </w:rPr>
          <w:t>54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54" w:history="1">
        <w:r w:rsidR="008100DD" w:rsidRPr="008141DD">
          <w:rPr>
            <w:rStyle w:val="Hyperlink"/>
            <w:rFonts w:eastAsiaTheme="minorHAnsi"/>
            <w:noProof/>
          </w:rPr>
          <w:t>Figure 4</w:t>
        </w:r>
        <w:r w:rsidR="008100DD" w:rsidRPr="008141DD">
          <w:rPr>
            <w:rStyle w:val="Hyperlink"/>
            <w:rFonts w:eastAsiaTheme="minorHAnsi"/>
            <w:noProof/>
          </w:rPr>
          <w:noBreakHyphen/>
          <w:t>2: Phase I and II TRC Ratios</w:t>
        </w:r>
        <w:r w:rsidR="008100DD">
          <w:rPr>
            <w:noProof/>
            <w:webHidden/>
          </w:rPr>
          <w:tab/>
        </w:r>
        <w:r w:rsidR="008100DD">
          <w:rPr>
            <w:noProof/>
            <w:webHidden/>
          </w:rPr>
          <w:fldChar w:fldCharType="begin"/>
        </w:r>
        <w:r w:rsidR="008100DD">
          <w:rPr>
            <w:noProof/>
            <w:webHidden/>
          </w:rPr>
          <w:instrText xml:space="preserve"> PAGEREF _Toc476914054 \h </w:instrText>
        </w:r>
        <w:r w:rsidR="008100DD">
          <w:rPr>
            <w:noProof/>
            <w:webHidden/>
          </w:rPr>
        </w:r>
        <w:r w:rsidR="008100DD">
          <w:rPr>
            <w:noProof/>
            <w:webHidden/>
          </w:rPr>
          <w:fldChar w:fldCharType="separate"/>
        </w:r>
        <w:r w:rsidR="00A91C81">
          <w:rPr>
            <w:noProof/>
            <w:webHidden/>
          </w:rPr>
          <w:t>54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55" w:history="1">
        <w:r w:rsidR="008100DD" w:rsidRPr="008141DD">
          <w:rPr>
            <w:rStyle w:val="Hyperlink"/>
            <w:rFonts w:eastAsiaTheme="minorHAnsi"/>
            <w:noProof/>
          </w:rPr>
          <w:t>Figure 5</w:t>
        </w:r>
        <w:r w:rsidR="008100DD" w:rsidRPr="008141DD">
          <w:rPr>
            <w:rStyle w:val="Hyperlink"/>
            <w:rFonts w:eastAsiaTheme="minorHAnsi"/>
            <w:noProof/>
          </w:rPr>
          <w:noBreakHyphen/>
          <w:t>1: Portfolio NTGR for PY6 and PY7, by EDC</w:t>
        </w:r>
        <w:r w:rsidR="008100DD">
          <w:rPr>
            <w:noProof/>
            <w:webHidden/>
          </w:rPr>
          <w:tab/>
        </w:r>
        <w:r w:rsidR="008100DD">
          <w:rPr>
            <w:noProof/>
            <w:webHidden/>
          </w:rPr>
          <w:fldChar w:fldCharType="begin"/>
        </w:r>
        <w:r w:rsidR="008100DD">
          <w:rPr>
            <w:noProof/>
            <w:webHidden/>
          </w:rPr>
          <w:instrText xml:space="preserve"> PAGEREF _Toc476914055 \h </w:instrText>
        </w:r>
        <w:r w:rsidR="008100DD">
          <w:rPr>
            <w:noProof/>
            <w:webHidden/>
          </w:rPr>
        </w:r>
        <w:r w:rsidR="008100DD">
          <w:rPr>
            <w:noProof/>
            <w:webHidden/>
          </w:rPr>
          <w:fldChar w:fldCharType="separate"/>
        </w:r>
        <w:r w:rsidR="00A91C81">
          <w:rPr>
            <w:noProof/>
            <w:webHidden/>
          </w:rPr>
          <w:t>74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56" w:history="1">
        <w:r w:rsidR="008100DD" w:rsidRPr="008141DD">
          <w:rPr>
            <w:rStyle w:val="Hyperlink"/>
            <w:rFonts w:eastAsiaTheme="minorHAnsi"/>
            <w:noProof/>
          </w:rPr>
          <w:t>Figure 6</w:t>
        </w:r>
        <w:r w:rsidR="008100DD" w:rsidRPr="008141DD">
          <w:rPr>
            <w:rStyle w:val="Hyperlink"/>
            <w:rFonts w:eastAsiaTheme="minorHAnsi"/>
            <w:noProof/>
          </w:rPr>
          <w:noBreakHyphen/>
          <w:t>1: Utility Cost per First-Year kWh Saved – Residential Non-Low-Income</w:t>
        </w:r>
        <w:r w:rsidR="008100DD">
          <w:rPr>
            <w:noProof/>
            <w:webHidden/>
          </w:rPr>
          <w:tab/>
        </w:r>
        <w:r w:rsidR="008100DD">
          <w:rPr>
            <w:noProof/>
            <w:webHidden/>
          </w:rPr>
          <w:fldChar w:fldCharType="begin"/>
        </w:r>
        <w:r w:rsidR="008100DD">
          <w:rPr>
            <w:noProof/>
            <w:webHidden/>
          </w:rPr>
          <w:instrText xml:space="preserve"> PAGEREF _Toc476914056 \h </w:instrText>
        </w:r>
        <w:r w:rsidR="008100DD">
          <w:rPr>
            <w:noProof/>
            <w:webHidden/>
          </w:rPr>
        </w:r>
        <w:r w:rsidR="008100DD">
          <w:rPr>
            <w:noProof/>
            <w:webHidden/>
          </w:rPr>
          <w:fldChar w:fldCharType="separate"/>
        </w:r>
        <w:r w:rsidR="00A91C81">
          <w:rPr>
            <w:noProof/>
            <w:webHidden/>
          </w:rPr>
          <w:t>103</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57" w:history="1">
        <w:r w:rsidR="008100DD" w:rsidRPr="008141DD">
          <w:rPr>
            <w:rStyle w:val="Hyperlink"/>
            <w:rFonts w:eastAsiaTheme="minorHAnsi"/>
            <w:noProof/>
          </w:rPr>
          <w:t>Figure 6</w:t>
        </w:r>
        <w:r w:rsidR="008100DD" w:rsidRPr="008141DD">
          <w:rPr>
            <w:rStyle w:val="Hyperlink"/>
            <w:rFonts w:eastAsiaTheme="minorHAnsi"/>
            <w:noProof/>
          </w:rPr>
          <w:noBreakHyphen/>
          <w:t>2: Utility Cost per First-Year kWh Saved – Residential Low-Income</w:t>
        </w:r>
        <w:r w:rsidR="008100DD">
          <w:rPr>
            <w:noProof/>
            <w:webHidden/>
          </w:rPr>
          <w:tab/>
        </w:r>
        <w:r w:rsidR="008100DD">
          <w:rPr>
            <w:noProof/>
            <w:webHidden/>
          </w:rPr>
          <w:fldChar w:fldCharType="begin"/>
        </w:r>
        <w:r w:rsidR="008100DD">
          <w:rPr>
            <w:noProof/>
            <w:webHidden/>
          </w:rPr>
          <w:instrText xml:space="preserve"> PAGEREF _Toc476914057 \h </w:instrText>
        </w:r>
        <w:r w:rsidR="008100DD">
          <w:rPr>
            <w:noProof/>
            <w:webHidden/>
          </w:rPr>
        </w:r>
        <w:r w:rsidR="008100DD">
          <w:rPr>
            <w:noProof/>
            <w:webHidden/>
          </w:rPr>
          <w:fldChar w:fldCharType="separate"/>
        </w:r>
        <w:r w:rsidR="00A91C81">
          <w:rPr>
            <w:noProof/>
            <w:webHidden/>
          </w:rPr>
          <w:t>103</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58" w:history="1">
        <w:r w:rsidR="008100DD" w:rsidRPr="008141DD">
          <w:rPr>
            <w:rStyle w:val="Hyperlink"/>
            <w:rFonts w:eastAsiaTheme="minorHAnsi"/>
            <w:noProof/>
          </w:rPr>
          <w:t>Figure 6</w:t>
        </w:r>
        <w:r w:rsidR="008100DD" w:rsidRPr="008141DD">
          <w:rPr>
            <w:rStyle w:val="Hyperlink"/>
            <w:rFonts w:eastAsiaTheme="minorHAnsi"/>
            <w:noProof/>
          </w:rPr>
          <w:noBreakHyphen/>
          <w:t>3: Utility Cost per First-Year kWh Saved – Residential Total</w:t>
        </w:r>
        <w:r w:rsidR="008100DD">
          <w:rPr>
            <w:noProof/>
            <w:webHidden/>
          </w:rPr>
          <w:tab/>
        </w:r>
        <w:r w:rsidR="008100DD">
          <w:rPr>
            <w:noProof/>
            <w:webHidden/>
          </w:rPr>
          <w:fldChar w:fldCharType="begin"/>
        </w:r>
        <w:r w:rsidR="008100DD">
          <w:rPr>
            <w:noProof/>
            <w:webHidden/>
          </w:rPr>
          <w:instrText xml:space="preserve"> PAGEREF _Toc476914058 \h </w:instrText>
        </w:r>
        <w:r w:rsidR="008100DD">
          <w:rPr>
            <w:noProof/>
            <w:webHidden/>
          </w:rPr>
        </w:r>
        <w:r w:rsidR="008100DD">
          <w:rPr>
            <w:noProof/>
            <w:webHidden/>
          </w:rPr>
          <w:fldChar w:fldCharType="separate"/>
        </w:r>
        <w:r w:rsidR="00A91C81">
          <w:rPr>
            <w:noProof/>
            <w:webHidden/>
          </w:rPr>
          <w:t>104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59" w:history="1">
        <w:r w:rsidR="008100DD" w:rsidRPr="008141DD">
          <w:rPr>
            <w:rStyle w:val="Hyperlink"/>
            <w:rFonts w:eastAsiaTheme="minorHAnsi"/>
            <w:noProof/>
          </w:rPr>
          <w:t>Figure 6</w:t>
        </w:r>
        <w:r w:rsidR="008100DD" w:rsidRPr="008141DD">
          <w:rPr>
            <w:rStyle w:val="Hyperlink"/>
            <w:rFonts w:eastAsiaTheme="minorHAnsi"/>
            <w:noProof/>
          </w:rPr>
          <w:noBreakHyphen/>
          <w:t>4: Utility Cost per First-Year kWh Saved – Non-Residential Total</w:t>
        </w:r>
        <w:r w:rsidR="008100DD">
          <w:rPr>
            <w:noProof/>
            <w:webHidden/>
          </w:rPr>
          <w:tab/>
        </w:r>
        <w:r w:rsidR="008100DD">
          <w:rPr>
            <w:noProof/>
            <w:webHidden/>
          </w:rPr>
          <w:fldChar w:fldCharType="begin"/>
        </w:r>
        <w:r w:rsidR="008100DD">
          <w:rPr>
            <w:noProof/>
            <w:webHidden/>
          </w:rPr>
          <w:instrText xml:space="preserve"> PAGEREF _Toc476914059 \h </w:instrText>
        </w:r>
        <w:r w:rsidR="008100DD">
          <w:rPr>
            <w:noProof/>
            <w:webHidden/>
          </w:rPr>
        </w:r>
        <w:r w:rsidR="008100DD">
          <w:rPr>
            <w:noProof/>
            <w:webHidden/>
          </w:rPr>
          <w:fldChar w:fldCharType="separate"/>
        </w:r>
        <w:r w:rsidR="00A91C81">
          <w:rPr>
            <w:noProof/>
            <w:webHidden/>
          </w:rPr>
          <w:t>104</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60" w:history="1">
        <w:r w:rsidR="008100DD" w:rsidRPr="008141DD">
          <w:rPr>
            <w:rStyle w:val="Hyperlink"/>
            <w:rFonts w:eastAsiaTheme="minorHAnsi"/>
            <w:noProof/>
          </w:rPr>
          <w:t>Figure 6</w:t>
        </w:r>
        <w:r w:rsidR="008100DD" w:rsidRPr="008141DD">
          <w:rPr>
            <w:rStyle w:val="Hyperlink"/>
            <w:rFonts w:eastAsiaTheme="minorHAnsi"/>
            <w:noProof/>
          </w:rPr>
          <w:noBreakHyphen/>
          <w:t>5: Utility Cost per First-Year kWh Saved – Total All Sectors</w:t>
        </w:r>
        <w:r w:rsidR="008100DD">
          <w:rPr>
            <w:noProof/>
            <w:webHidden/>
          </w:rPr>
          <w:tab/>
        </w:r>
        <w:r w:rsidR="008100DD">
          <w:rPr>
            <w:noProof/>
            <w:webHidden/>
          </w:rPr>
          <w:fldChar w:fldCharType="begin"/>
        </w:r>
        <w:r w:rsidR="008100DD">
          <w:rPr>
            <w:noProof/>
            <w:webHidden/>
          </w:rPr>
          <w:instrText xml:space="preserve"> PAGEREF _Toc476914060 \h </w:instrText>
        </w:r>
        <w:r w:rsidR="008100DD">
          <w:rPr>
            <w:noProof/>
            <w:webHidden/>
          </w:rPr>
        </w:r>
        <w:r w:rsidR="008100DD">
          <w:rPr>
            <w:noProof/>
            <w:webHidden/>
          </w:rPr>
          <w:fldChar w:fldCharType="separate"/>
        </w:r>
        <w:r w:rsidR="00A91C81">
          <w:rPr>
            <w:noProof/>
            <w:webHidden/>
          </w:rPr>
          <w:t>105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61" w:history="1">
        <w:r w:rsidR="008100DD" w:rsidRPr="008141DD">
          <w:rPr>
            <w:rStyle w:val="Hyperlink"/>
            <w:rFonts w:eastAsiaTheme="minorHAnsi"/>
            <w:noProof/>
          </w:rPr>
          <w:t>Figure 6</w:t>
        </w:r>
        <w:r w:rsidR="008100DD" w:rsidRPr="008141DD">
          <w:rPr>
            <w:rStyle w:val="Hyperlink"/>
            <w:rFonts w:eastAsiaTheme="minorHAnsi"/>
            <w:noProof/>
          </w:rPr>
          <w:noBreakHyphen/>
          <w:t>6: Utility Cost per First-Year kWh Saved – All EDCs Combined</w:t>
        </w:r>
        <w:r w:rsidR="008100DD">
          <w:rPr>
            <w:noProof/>
            <w:webHidden/>
          </w:rPr>
          <w:tab/>
        </w:r>
        <w:r w:rsidR="008100DD">
          <w:rPr>
            <w:noProof/>
            <w:webHidden/>
          </w:rPr>
          <w:fldChar w:fldCharType="begin"/>
        </w:r>
        <w:r w:rsidR="008100DD">
          <w:rPr>
            <w:noProof/>
            <w:webHidden/>
          </w:rPr>
          <w:instrText xml:space="preserve"> PAGEREF _Toc476914061 \h </w:instrText>
        </w:r>
        <w:r w:rsidR="008100DD">
          <w:rPr>
            <w:noProof/>
            <w:webHidden/>
          </w:rPr>
        </w:r>
        <w:r w:rsidR="008100DD">
          <w:rPr>
            <w:noProof/>
            <w:webHidden/>
          </w:rPr>
          <w:fldChar w:fldCharType="separate"/>
        </w:r>
        <w:r w:rsidR="00A91C81">
          <w:rPr>
            <w:noProof/>
            <w:webHidden/>
          </w:rPr>
          <w:t>105</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62" w:history="1">
        <w:r w:rsidR="008100DD" w:rsidRPr="008141DD">
          <w:rPr>
            <w:rStyle w:val="Hyperlink"/>
            <w:rFonts w:eastAsiaTheme="minorHAnsi"/>
            <w:noProof/>
          </w:rPr>
          <w:t>Figure 6</w:t>
        </w:r>
        <w:r w:rsidR="008100DD" w:rsidRPr="008141DD">
          <w:rPr>
            <w:rStyle w:val="Hyperlink"/>
            <w:rFonts w:eastAsiaTheme="minorHAnsi"/>
            <w:noProof/>
          </w:rPr>
          <w:noBreakHyphen/>
          <w:t>7: Combined Cumulative Annual kWh Savings as Percentage of 2010 Sales</w:t>
        </w:r>
        <w:r w:rsidR="008100DD">
          <w:rPr>
            <w:noProof/>
            <w:webHidden/>
          </w:rPr>
          <w:tab/>
        </w:r>
        <w:r w:rsidR="008100DD">
          <w:rPr>
            <w:noProof/>
            <w:webHidden/>
          </w:rPr>
          <w:fldChar w:fldCharType="begin"/>
        </w:r>
        <w:r w:rsidR="008100DD">
          <w:rPr>
            <w:noProof/>
            <w:webHidden/>
          </w:rPr>
          <w:instrText xml:space="preserve"> PAGEREF _Toc476914062 \h </w:instrText>
        </w:r>
        <w:r w:rsidR="008100DD">
          <w:rPr>
            <w:noProof/>
            <w:webHidden/>
          </w:rPr>
        </w:r>
        <w:r w:rsidR="008100DD">
          <w:rPr>
            <w:noProof/>
            <w:webHidden/>
          </w:rPr>
          <w:fldChar w:fldCharType="separate"/>
        </w:r>
        <w:r w:rsidR="00A91C81">
          <w:rPr>
            <w:noProof/>
            <w:webHidden/>
          </w:rPr>
          <w:t>106</w:t>
        </w:r>
        <w:r w:rsidR="008100DD">
          <w:rPr>
            <w:noProof/>
            <w:webHidden/>
          </w:rPr>
          <w:fldChar w:fldCharType="end"/>
        </w:r>
      </w:hyperlink>
    </w:p>
    <w:p w:rsidR="008100DD" w:rsidRDefault="002F12C2">
      <w:pPr>
        <w:pStyle w:val="TableofFigures"/>
        <w:tabs>
          <w:tab w:val="right" w:leader="dot" w:pos="9350"/>
        </w:tabs>
        <w:rPr>
          <w:rFonts w:asciiTheme="minorHAnsi" w:eastAsiaTheme="minorEastAsia" w:hAnsiTheme="minorHAnsi" w:cstheme="minorBidi"/>
          <w:noProof/>
          <w:sz w:val="22"/>
        </w:rPr>
      </w:pPr>
      <w:hyperlink w:anchor="_Toc476914063" w:history="1">
        <w:r w:rsidR="008100DD" w:rsidRPr="008141DD">
          <w:rPr>
            <w:rStyle w:val="Hyperlink"/>
            <w:rFonts w:eastAsiaTheme="minorHAnsi"/>
            <w:noProof/>
          </w:rPr>
          <w:t>Figure 6</w:t>
        </w:r>
        <w:r w:rsidR="008100DD" w:rsidRPr="008141DD">
          <w:rPr>
            <w:rStyle w:val="Hyperlink"/>
            <w:rFonts w:eastAsiaTheme="minorHAnsi"/>
            <w:noProof/>
          </w:rPr>
          <w:noBreakHyphen/>
          <w:t>8: Cumulative Utility Spending for Phases I and II as Percentage of Phase I and II Budgets</w:t>
        </w:r>
        <w:r w:rsidR="008100DD">
          <w:rPr>
            <w:noProof/>
            <w:webHidden/>
          </w:rPr>
          <w:tab/>
        </w:r>
        <w:r w:rsidR="008100DD">
          <w:rPr>
            <w:noProof/>
            <w:webHidden/>
          </w:rPr>
          <w:fldChar w:fldCharType="begin"/>
        </w:r>
        <w:r w:rsidR="008100DD">
          <w:rPr>
            <w:noProof/>
            <w:webHidden/>
          </w:rPr>
          <w:instrText xml:space="preserve"> PAGEREF _Toc476914063 \h </w:instrText>
        </w:r>
        <w:r w:rsidR="008100DD">
          <w:rPr>
            <w:noProof/>
            <w:webHidden/>
          </w:rPr>
        </w:r>
        <w:r w:rsidR="008100DD">
          <w:rPr>
            <w:noProof/>
            <w:webHidden/>
          </w:rPr>
          <w:fldChar w:fldCharType="separate"/>
        </w:r>
        <w:r w:rsidR="00A91C81">
          <w:rPr>
            <w:noProof/>
            <w:webHidden/>
          </w:rPr>
          <w:t>106</w:t>
        </w:r>
        <w:r w:rsidR="008100DD">
          <w:rPr>
            <w:noProof/>
            <w:webHidden/>
          </w:rPr>
          <w:fldChar w:fldCharType="end"/>
        </w:r>
      </w:hyperlink>
    </w:p>
    <w:p w:rsidR="00D1458A" w:rsidRPr="00344D11" w:rsidRDefault="003965C5" w:rsidP="004F7C61">
      <w:pPr>
        <w:rPr>
          <w:sz w:val="20"/>
          <w:szCs w:val="20"/>
        </w:rPr>
      </w:pPr>
      <w:r>
        <w:rPr>
          <w:rFonts w:ascii="Century Gothic" w:hAnsi="Century Gothic"/>
          <w:sz w:val="20"/>
          <w:szCs w:val="20"/>
        </w:rPr>
        <w:fldChar w:fldCharType="end"/>
      </w:r>
    </w:p>
    <w:p w:rsidR="00070483" w:rsidRPr="004F7C61" w:rsidRDefault="00070483" w:rsidP="004F7C61">
      <w:pPr>
        <w:rPr>
          <w:sz w:val="6"/>
        </w:rPr>
      </w:pPr>
    </w:p>
    <w:p w:rsidR="0091036A" w:rsidRPr="00472B27" w:rsidRDefault="0091036A" w:rsidP="0091036A">
      <w:pPr>
        <w:shd w:val="clear" w:color="auto" w:fill="448A99"/>
        <w:jc w:val="right"/>
        <w:rPr>
          <w:rFonts w:ascii="Century Gothic" w:hAnsi="Century Gothic"/>
          <w:smallCaps/>
          <w:color w:val="FFFFFF" w:themeColor="background1"/>
          <w:sz w:val="28"/>
        </w:rPr>
      </w:pPr>
      <w:r w:rsidRPr="00472B27">
        <w:rPr>
          <w:rFonts w:ascii="Century Gothic" w:hAnsi="Century Gothic"/>
          <w:smallCaps/>
          <w:color w:val="FFFFFF" w:themeColor="background1"/>
          <w:sz w:val="28"/>
        </w:rPr>
        <w:t>List of Appendices Tables</w:t>
      </w:r>
    </w:p>
    <w:p w:rsidR="00D1458A" w:rsidRPr="00070483" w:rsidRDefault="00D1458A" w:rsidP="0091036A">
      <w:pPr>
        <w:rPr>
          <w:sz w:val="14"/>
        </w:rPr>
      </w:pPr>
    </w:p>
    <w:p w:rsidR="00D1458A" w:rsidRPr="0091036A" w:rsidRDefault="00D1458A" w:rsidP="0022599A">
      <w:pPr>
        <w:spacing w:after="60"/>
        <w:rPr>
          <w:rFonts w:ascii="Century Gothic" w:hAnsi="Century Gothic"/>
          <w:b/>
        </w:rPr>
      </w:pPr>
      <w:r w:rsidRPr="0091036A">
        <w:rPr>
          <w:rFonts w:ascii="Century Gothic" w:hAnsi="Century Gothic"/>
          <w:b/>
        </w:rPr>
        <w:t>Appendix A</w:t>
      </w:r>
      <w:r w:rsidR="00B152CE">
        <w:rPr>
          <w:rFonts w:ascii="Century Gothic" w:hAnsi="Century Gothic"/>
          <w:b/>
        </w:rPr>
        <w:t xml:space="preserve"> Tables</w:t>
      </w:r>
    </w:p>
    <w:p w:rsidR="00900100" w:rsidRDefault="00664065">
      <w:pPr>
        <w:pStyle w:val="TableofFigures"/>
        <w:tabs>
          <w:tab w:val="right" w:leader="dot" w:pos="9350"/>
        </w:tabs>
        <w:rPr>
          <w:rFonts w:asciiTheme="minorHAnsi" w:eastAsiaTheme="minorEastAsia" w:hAnsiTheme="minorHAnsi" w:cstheme="minorBidi"/>
          <w:noProof/>
          <w:sz w:val="22"/>
        </w:rPr>
      </w:pPr>
      <w:r w:rsidRPr="003965C5">
        <w:rPr>
          <w:sz w:val="20"/>
          <w:szCs w:val="20"/>
        </w:rPr>
        <w:fldChar w:fldCharType="begin"/>
      </w:r>
      <w:r w:rsidRPr="003965C5">
        <w:rPr>
          <w:sz w:val="20"/>
          <w:szCs w:val="20"/>
        </w:rPr>
        <w:instrText xml:space="preserve"> TOC \h \z \c "Table A-" </w:instrText>
      </w:r>
      <w:r w:rsidRPr="003965C5">
        <w:rPr>
          <w:sz w:val="20"/>
          <w:szCs w:val="20"/>
        </w:rPr>
        <w:fldChar w:fldCharType="separate"/>
      </w:r>
      <w:hyperlink w:anchor="_Toc476842116" w:history="1">
        <w:r w:rsidR="00900100" w:rsidRPr="00BC4B98">
          <w:rPr>
            <w:rStyle w:val="Hyperlink"/>
            <w:rFonts w:eastAsiaTheme="minorHAnsi"/>
            <w:noProof/>
          </w:rPr>
          <w:t>Table A-1: Duquesne EE&amp;C Programs with Reported Gross Savings in PY7</w:t>
        </w:r>
        <w:r w:rsidR="00900100">
          <w:rPr>
            <w:noProof/>
            <w:webHidden/>
          </w:rPr>
          <w:tab/>
        </w:r>
        <w:r w:rsidR="00900100">
          <w:rPr>
            <w:noProof/>
            <w:webHidden/>
          </w:rPr>
          <w:fldChar w:fldCharType="begin"/>
        </w:r>
        <w:r w:rsidR="00900100">
          <w:rPr>
            <w:noProof/>
            <w:webHidden/>
          </w:rPr>
          <w:instrText xml:space="preserve"> PAGEREF _Toc476842116 \h </w:instrText>
        </w:r>
        <w:r w:rsidR="00900100">
          <w:rPr>
            <w:noProof/>
            <w:webHidden/>
          </w:rPr>
        </w:r>
        <w:r w:rsidR="00900100">
          <w:rPr>
            <w:noProof/>
            <w:webHidden/>
          </w:rPr>
          <w:fldChar w:fldCharType="separate"/>
        </w:r>
        <w:r w:rsidR="00865B5D">
          <w:rPr>
            <w:noProof/>
            <w:webHidden/>
          </w:rPr>
          <w:t>113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17" w:history="1">
        <w:r w:rsidR="00900100" w:rsidRPr="00BC4B98">
          <w:rPr>
            <w:rStyle w:val="Hyperlink"/>
            <w:rFonts w:eastAsiaTheme="minorHAnsi"/>
            <w:noProof/>
          </w:rPr>
          <w:t>Table A-2: Summary of Duquesne EE&amp;C Program Impacts on Verified Gross Portfolio Savings</w:t>
        </w:r>
        <w:r w:rsidR="00900100">
          <w:rPr>
            <w:noProof/>
            <w:webHidden/>
          </w:rPr>
          <w:tab/>
        </w:r>
        <w:r w:rsidR="00900100">
          <w:rPr>
            <w:noProof/>
            <w:webHidden/>
          </w:rPr>
          <w:fldChar w:fldCharType="begin"/>
        </w:r>
        <w:r w:rsidR="00900100">
          <w:rPr>
            <w:noProof/>
            <w:webHidden/>
          </w:rPr>
          <w:instrText xml:space="preserve"> PAGEREF _Toc476842117 \h </w:instrText>
        </w:r>
        <w:r w:rsidR="00900100">
          <w:rPr>
            <w:noProof/>
            <w:webHidden/>
          </w:rPr>
        </w:r>
        <w:r w:rsidR="00900100">
          <w:rPr>
            <w:noProof/>
            <w:webHidden/>
          </w:rPr>
          <w:fldChar w:fldCharType="separate"/>
        </w:r>
        <w:r w:rsidR="00865B5D">
          <w:rPr>
            <w:noProof/>
            <w:webHidden/>
          </w:rPr>
          <w:t>114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18" w:history="1">
        <w:r w:rsidR="00900100" w:rsidRPr="00BC4B98">
          <w:rPr>
            <w:rStyle w:val="Hyperlink"/>
            <w:rFonts w:eastAsiaTheme="minorHAnsi"/>
            <w:noProof/>
          </w:rPr>
          <w:t>Table A-3: Summary of Duquesne EE&amp;C Verified Net Savings – by Sector</w:t>
        </w:r>
        <w:r w:rsidR="00900100">
          <w:rPr>
            <w:noProof/>
            <w:webHidden/>
          </w:rPr>
          <w:tab/>
        </w:r>
        <w:r w:rsidR="00900100">
          <w:rPr>
            <w:noProof/>
            <w:webHidden/>
          </w:rPr>
          <w:fldChar w:fldCharType="begin"/>
        </w:r>
        <w:r w:rsidR="00900100">
          <w:rPr>
            <w:noProof/>
            <w:webHidden/>
          </w:rPr>
          <w:instrText xml:space="preserve"> PAGEREF _Toc476842118 \h </w:instrText>
        </w:r>
        <w:r w:rsidR="00900100">
          <w:rPr>
            <w:noProof/>
            <w:webHidden/>
          </w:rPr>
        </w:r>
        <w:r w:rsidR="00900100">
          <w:rPr>
            <w:noProof/>
            <w:webHidden/>
          </w:rPr>
          <w:fldChar w:fldCharType="separate"/>
        </w:r>
        <w:r w:rsidR="00865B5D">
          <w:rPr>
            <w:noProof/>
            <w:webHidden/>
          </w:rPr>
          <w:t>115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19" w:history="1">
        <w:r w:rsidR="00900100" w:rsidRPr="00BC4B98">
          <w:rPr>
            <w:rStyle w:val="Hyperlink"/>
            <w:rFonts w:eastAsiaTheme="minorHAnsi"/>
            <w:noProof/>
          </w:rPr>
          <w:t>Table A-4: Summary of Duquesne’s PY7 TRC Factors and Results</w:t>
        </w:r>
        <w:r w:rsidR="00900100">
          <w:rPr>
            <w:noProof/>
            <w:webHidden/>
          </w:rPr>
          <w:tab/>
        </w:r>
        <w:r w:rsidR="00900100">
          <w:rPr>
            <w:noProof/>
            <w:webHidden/>
          </w:rPr>
          <w:fldChar w:fldCharType="begin"/>
        </w:r>
        <w:r w:rsidR="00900100">
          <w:rPr>
            <w:noProof/>
            <w:webHidden/>
          </w:rPr>
          <w:instrText xml:space="preserve"> PAGEREF _Toc476842119 \h </w:instrText>
        </w:r>
        <w:r w:rsidR="00900100">
          <w:rPr>
            <w:noProof/>
            <w:webHidden/>
          </w:rPr>
        </w:r>
        <w:r w:rsidR="00900100">
          <w:rPr>
            <w:noProof/>
            <w:webHidden/>
          </w:rPr>
          <w:fldChar w:fldCharType="separate"/>
        </w:r>
        <w:r w:rsidR="00865B5D">
          <w:rPr>
            <w:noProof/>
            <w:webHidden/>
          </w:rPr>
          <w:t>115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20" w:history="1">
        <w:r w:rsidR="00900100" w:rsidRPr="00BC4B98">
          <w:rPr>
            <w:rStyle w:val="Hyperlink"/>
            <w:rFonts w:eastAsiaTheme="minorHAnsi"/>
            <w:noProof/>
          </w:rPr>
          <w:t>Table A-5: Duquesne’s Discount Rates and Line Loss Factors</w:t>
        </w:r>
        <w:r w:rsidR="00900100">
          <w:rPr>
            <w:noProof/>
            <w:webHidden/>
          </w:rPr>
          <w:tab/>
        </w:r>
        <w:r w:rsidR="00900100">
          <w:rPr>
            <w:noProof/>
            <w:webHidden/>
          </w:rPr>
          <w:fldChar w:fldCharType="begin"/>
        </w:r>
        <w:r w:rsidR="00900100">
          <w:rPr>
            <w:noProof/>
            <w:webHidden/>
          </w:rPr>
          <w:instrText xml:space="preserve"> PAGEREF _Toc476842120 \h </w:instrText>
        </w:r>
        <w:r w:rsidR="00900100">
          <w:rPr>
            <w:noProof/>
            <w:webHidden/>
          </w:rPr>
        </w:r>
        <w:r w:rsidR="00900100">
          <w:rPr>
            <w:noProof/>
            <w:webHidden/>
          </w:rPr>
          <w:fldChar w:fldCharType="separate"/>
        </w:r>
        <w:r w:rsidR="00865B5D">
          <w:rPr>
            <w:noProof/>
            <w:webHidden/>
          </w:rPr>
          <w:t>117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21" w:history="1">
        <w:r w:rsidR="00900100" w:rsidRPr="00BC4B98">
          <w:rPr>
            <w:rStyle w:val="Hyperlink"/>
            <w:rFonts w:eastAsiaTheme="minorHAnsi"/>
            <w:noProof/>
          </w:rPr>
          <w:t>Table A-6: Key Milestones Reached for Duquesne’s Phase II EM&amp;V Plan</w:t>
        </w:r>
        <w:r w:rsidR="00900100">
          <w:rPr>
            <w:noProof/>
            <w:webHidden/>
          </w:rPr>
          <w:tab/>
        </w:r>
        <w:r w:rsidR="00900100">
          <w:rPr>
            <w:noProof/>
            <w:webHidden/>
          </w:rPr>
          <w:fldChar w:fldCharType="begin"/>
        </w:r>
        <w:r w:rsidR="00900100">
          <w:rPr>
            <w:noProof/>
            <w:webHidden/>
          </w:rPr>
          <w:instrText xml:space="preserve"> PAGEREF _Toc476842121 \h </w:instrText>
        </w:r>
        <w:r w:rsidR="00900100">
          <w:rPr>
            <w:noProof/>
            <w:webHidden/>
          </w:rPr>
        </w:r>
        <w:r w:rsidR="00900100">
          <w:rPr>
            <w:noProof/>
            <w:webHidden/>
          </w:rPr>
          <w:fldChar w:fldCharType="separate"/>
        </w:r>
        <w:r w:rsidR="00865B5D">
          <w:rPr>
            <w:noProof/>
            <w:webHidden/>
          </w:rPr>
          <w:t>119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22" w:history="1">
        <w:r w:rsidR="00900100" w:rsidRPr="00BC4B98">
          <w:rPr>
            <w:rStyle w:val="Hyperlink"/>
            <w:rFonts w:eastAsiaTheme="minorHAnsi"/>
            <w:noProof/>
          </w:rPr>
          <w:t>Table A-7: Duquesne Energy Efficiency Programs – Realization Rates for Energy and Demand Savings in PY7</w:t>
        </w:r>
        <w:r w:rsidR="00900100">
          <w:rPr>
            <w:noProof/>
            <w:webHidden/>
          </w:rPr>
          <w:tab/>
        </w:r>
        <w:r w:rsidR="00900100">
          <w:rPr>
            <w:noProof/>
            <w:webHidden/>
          </w:rPr>
          <w:fldChar w:fldCharType="begin"/>
        </w:r>
        <w:r w:rsidR="00900100">
          <w:rPr>
            <w:noProof/>
            <w:webHidden/>
          </w:rPr>
          <w:instrText xml:space="preserve"> PAGEREF _Toc476842122 \h </w:instrText>
        </w:r>
        <w:r w:rsidR="00900100">
          <w:rPr>
            <w:noProof/>
            <w:webHidden/>
          </w:rPr>
        </w:r>
        <w:r w:rsidR="00900100">
          <w:rPr>
            <w:noProof/>
            <w:webHidden/>
          </w:rPr>
          <w:fldChar w:fldCharType="separate"/>
        </w:r>
        <w:r w:rsidR="00865B5D">
          <w:rPr>
            <w:noProof/>
            <w:webHidden/>
          </w:rPr>
          <w:t>120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23" w:history="1">
        <w:r w:rsidR="00900100" w:rsidRPr="00BC4B98">
          <w:rPr>
            <w:rStyle w:val="Hyperlink"/>
            <w:rFonts w:eastAsiaTheme="minorHAnsi"/>
            <w:noProof/>
          </w:rPr>
          <w:t>Table A-8: Overview of Duquesne Residential Program M&amp;V and Installation Rate</w:t>
        </w:r>
        <w:r w:rsidR="00900100">
          <w:rPr>
            <w:noProof/>
            <w:webHidden/>
          </w:rPr>
          <w:tab/>
        </w:r>
        <w:r w:rsidR="00900100">
          <w:rPr>
            <w:noProof/>
            <w:webHidden/>
          </w:rPr>
          <w:fldChar w:fldCharType="begin"/>
        </w:r>
        <w:r w:rsidR="00900100">
          <w:rPr>
            <w:noProof/>
            <w:webHidden/>
          </w:rPr>
          <w:instrText xml:space="preserve"> PAGEREF _Toc476842123 \h </w:instrText>
        </w:r>
        <w:r w:rsidR="00900100">
          <w:rPr>
            <w:noProof/>
            <w:webHidden/>
          </w:rPr>
        </w:r>
        <w:r w:rsidR="00900100">
          <w:rPr>
            <w:noProof/>
            <w:webHidden/>
          </w:rPr>
          <w:fldChar w:fldCharType="separate"/>
        </w:r>
        <w:r w:rsidR="00865B5D">
          <w:rPr>
            <w:noProof/>
            <w:webHidden/>
          </w:rPr>
          <w:t>122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24" w:history="1">
        <w:r w:rsidR="00900100" w:rsidRPr="00BC4B98">
          <w:rPr>
            <w:rStyle w:val="Hyperlink"/>
            <w:rFonts w:eastAsiaTheme="minorHAnsi"/>
            <w:noProof/>
          </w:rPr>
          <w:t>Table A-9: Summary of Key Findings and Data Sources – Duquesne</w:t>
        </w:r>
        <w:r w:rsidR="00900100">
          <w:rPr>
            <w:noProof/>
            <w:webHidden/>
          </w:rPr>
          <w:tab/>
        </w:r>
        <w:r w:rsidR="00900100">
          <w:rPr>
            <w:noProof/>
            <w:webHidden/>
          </w:rPr>
          <w:fldChar w:fldCharType="begin"/>
        </w:r>
        <w:r w:rsidR="00900100">
          <w:rPr>
            <w:noProof/>
            <w:webHidden/>
          </w:rPr>
          <w:instrText xml:space="preserve"> PAGEREF _Toc476842124 \h </w:instrText>
        </w:r>
        <w:r w:rsidR="00900100">
          <w:rPr>
            <w:noProof/>
            <w:webHidden/>
          </w:rPr>
        </w:r>
        <w:r w:rsidR="00900100">
          <w:rPr>
            <w:noProof/>
            <w:webHidden/>
          </w:rPr>
          <w:fldChar w:fldCharType="separate"/>
        </w:r>
        <w:r w:rsidR="00865B5D">
          <w:rPr>
            <w:noProof/>
            <w:webHidden/>
          </w:rPr>
          <w:t>127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25" w:history="1">
        <w:r w:rsidR="00900100" w:rsidRPr="00BC4B98">
          <w:rPr>
            <w:rStyle w:val="Hyperlink"/>
            <w:rFonts w:eastAsiaTheme="minorHAnsi"/>
            <w:noProof/>
          </w:rPr>
          <w:t>Table A-10: Compliance across Sample Designs for Duquesne’s PY7 Non-Residential Program Groups</w:t>
        </w:r>
        <w:r w:rsidR="00900100">
          <w:rPr>
            <w:noProof/>
            <w:webHidden/>
          </w:rPr>
          <w:tab/>
        </w:r>
        <w:r w:rsidR="00900100">
          <w:rPr>
            <w:noProof/>
            <w:webHidden/>
          </w:rPr>
          <w:fldChar w:fldCharType="begin"/>
        </w:r>
        <w:r w:rsidR="00900100">
          <w:rPr>
            <w:noProof/>
            <w:webHidden/>
          </w:rPr>
          <w:instrText xml:space="preserve"> PAGEREF _Toc476842125 \h </w:instrText>
        </w:r>
        <w:r w:rsidR="00900100">
          <w:rPr>
            <w:noProof/>
            <w:webHidden/>
          </w:rPr>
        </w:r>
        <w:r w:rsidR="00900100">
          <w:rPr>
            <w:noProof/>
            <w:webHidden/>
          </w:rPr>
          <w:fldChar w:fldCharType="separate"/>
        </w:r>
        <w:r w:rsidR="00865B5D">
          <w:rPr>
            <w:noProof/>
            <w:webHidden/>
          </w:rPr>
          <w:t>137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26" w:history="1">
        <w:r w:rsidR="00900100" w:rsidRPr="00BC4B98">
          <w:rPr>
            <w:rStyle w:val="Hyperlink"/>
            <w:rFonts w:eastAsiaTheme="minorHAnsi"/>
            <w:noProof/>
          </w:rPr>
          <w:t>Table A-11: Duquesne PY7 Project File Review Summary</w:t>
        </w:r>
        <w:r w:rsidR="00900100">
          <w:rPr>
            <w:noProof/>
            <w:webHidden/>
          </w:rPr>
          <w:tab/>
        </w:r>
        <w:r w:rsidR="00900100">
          <w:rPr>
            <w:noProof/>
            <w:webHidden/>
          </w:rPr>
          <w:fldChar w:fldCharType="begin"/>
        </w:r>
        <w:r w:rsidR="00900100">
          <w:rPr>
            <w:noProof/>
            <w:webHidden/>
          </w:rPr>
          <w:instrText xml:space="preserve"> PAGEREF _Toc476842126 \h </w:instrText>
        </w:r>
        <w:r w:rsidR="00900100">
          <w:rPr>
            <w:noProof/>
            <w:webHidden/>
          </w:rPr>
        </w:r>
        <w:r w:rsidR="00900100">
          <w:rPr>
            <w:noProof/>
            <w:webHidden/>
          </w:rPr>
          <w:fldChar w:fldCharType="separate"/>
        </w:r>
        <w:r w:rsidR="00865B5D">
          <w:rPr>
            <w:noProof/>
            <w:webHidden/>
          </w:rPr>
          <w:t>139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27" w:history="1">
        <w:r w:rsidR="00900100" w:rsidRPr="00BC4B98">
          <w:rPr>
            <w:rStyle w:val="Hyperlink"/>
            <w:rFonts w:eastAsiaTheme="minorHAnsi"/>
            <w:noProof/>
          </w:rPr>
          <w:t>Table A-12: Duquesne’s PY7 Sampling Strategy – Commercial Program Group</w:t>
        </w:r>
        <w:r w:rsidR="00900100">
          <w:rPr>
            <w:noProof/>
            <w:webHidden/>
          </w:rPr>
          <w:tab/>
        </w:r>
        <w:r w:rsidR="00900100">
          <w:rPr>
            <w:noProof/>
            <w:webHidden/>
          </w:rPr>
          <w:fldChar w:fldCharType="begin"/>
        </w:r>
        <w:r w:rsidR="00900100">
          <w:rPr>
            <w:noProof/>
            <w:webHidden/>
          </w:rPr>
          <w:instrText xml:space="preserve"> PAGEREF _Toc476842127 \h </w:instrText>
        </w:r>
        <w:r w:rsidR="00900100">
          <w:rPr>
            <w:noProof/>
            <w:webHidden/>
          </w:rPr>
        </w:r>
        <w:r w:rsidR="00900100">
          <w:rPr>
            <w:noProof/>
            <w:webHidden/>
          </w:rPr>
          <w:fldChar w:fldCharType="separate"/>
        </w:r>
        <w:r w:rsidR="00865B5D">
          <w:rPr>
            <w:noProof/>
            <w:webHidden/>
          </w:rPr>
          <w:t>141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28" w:history="1">
        <w:r w:rsidR="00900100" w:rsidRPr="00BC4B98">
          <w:rPr>
            <w:rStyle w:val="Hyperlink"/>
            <w:rFonts w:eastAsiaTheme="minorHAnsi"/>
            <w:noProof/>
          </w:rPr>
          <w:t>Table A-13: Observed Coefficients of Variation and Relative Precisions – Duquesne’s Commercial Program Group</w:t>
        </w:r>
        <w:r w:rsidR="00900100">
          <w:rPr>
            <w:noProof/>
            <w:webHidden/>
          </w:rPr>
          <w:tab/>
        </w:r>
        <w:r w:rsidR="00900100">
          <w:rPr>
            <w:noProof/>
            <w:webHidden/>
          </w:rPr>
          <w:fldChar w:fldCharType="begin"/>
        </w:r>
        <w:r w:rsidR="00900100">
          <w:rPr>
            <w:noProof/>
            <w:webHidden/>
          </w:rPr>
          <w:instrText xml:space="preserve"> PAGEREF _Toc476842128 \h </w:instrText>
        </w:r>
        <w:r w:rsidR="00900100">
          <w:rPr>
            <w:noProof/>
            <w:webHidden/>
          </w:rPr>
        </w:r>
        <w:r w:rsidR="00900100">
          <w:rPr>
            <w:noProof/>
            <w:webHidden/>
          </w:rPr>
          <w:fldChar w:fldCharType="separate"/>
        </w:r>
        <w:r w:rsidR="00865B5D">
          <w:rPr>
            <w:noProof/>
            <w:webHidden/>
          </w:rPr>
          <w:t>142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29" w:history="1">
        <w:r w:rsidR="00900100" w:rsidRPr="00BC4B98">
          <w:rPr>
            <w:rStyle w:val="Hyperlink"/>
            <w:rFonts w:eastAsiaTheme="minorHAnsi"/>
            <w:noProof/>
          </w:rPr>
          <w:t>Table A-14: Duquesne’s PY7 Sampling Strategy – Industrial Program Group</w:t>
        </w:r>
        <w:r w:rsidR="00900100">
          <w:rPr>
            <w:noProof/>
            <w:webHidden/>
          </w:rPr>
          <w:tab/>
        </w:r>
        <w:r w:rsidR="00900100">
          <w:rPr>
            <w:noProof/>
            <w:webHidden/>
          </w:rPr>
          <w:fldChar w:fldCharType="begin"/>
        </w:r>
        <w:r w:rsidR="00900100">
          <w:rPr>
            <w:noProof/>
            <w:webHidden/>
          </w:rPr>
          <w:instrText xml:space="preserve"> PAGEREF _Toc476842129 \h </w:instrText>
        </w:r>
        <w:r w:rsidR="00900100">
          <w:rPr>
            <w:noProof/>
            <w:webHidden/>
          </w:rPr>
        </w:r>
        <w:r w:rsidR="00900100">
          <w:rPr>
            <w:noProof/>
            <w:webHidden/>
          </w:rPr>
          <w:fldChar w:fldCharType="separate"/>
        </w:r>
        <w:r w:rsidR="00865B5D">
          <w:rPr>
            <w:noProof/>
            <w:webHidden/>
          </w:rPr>
          <w:t>142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30" w:history="1">
        <w:r w:rsidR="00900100" w:rsidRPr="00BC4B98">
          <w:rPr>
            <w:rStyle w:val="Hyperlink"/>
            <w:rFonts w:eastAsiaTheme="minorHAnsi"/>
            <w:noProof/>
          </w:rPr>
          <w:t>Table A-15: Observed Coefficients of Variation and Relative Precision – Duquesne’s Industrial Program Group</w:t>
        </w:r>
        <w:r w:rsidR="00900100">
          <w:rPr>
            <w:noProof/>
            <w:webHidden/>
          </w:rPr>
          <w:tab/>
        </w:r>
        <w:r w:rsidR="00900100">
          <w:rPr>
            <w:noProof/>
            <w:webHidden/>
          </w:rPr>
          <w:fldChar w:fldCharType="begin"/>
        </w:r>
        <w:r w:rsidR="00900100">
          <w:rPr>
            <w:noProof/>
            <w:webHidden/>
          </w:rPr>
          <w:instrText xml:space="preserve"> PAGEREF _Toc476842130 \h </w:instrText>
        </w:r>
        <w:r w:rsidR="00900100">
          <w:rPr>
            <w:noProof/>
            <w:webHidden/>
          </w:rPr>
        </w:r>
        <w:r w:rsidR="00900100">
          <w:rPr>
            <w:noProof/>
            <w:webHidden/>
          </w:rPr>
          <w:fldChar w:fldCharType="separate"/>
        </w:r>
        <w:r w:rsidR="00865B5D">
          <w:rPr>
            <w:noProof/>
            <w:webHidden/>
          </w:rPr>
          <w:t>143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31" w:history="1">
        <w:r w:rsidR="00900100" w:rsidRPr="00BC4B98">
          <w:rPr>
            <w:rStyle w:val="Hyperlink"/>
            <w:rFonts w:eastAsiaTheme="minorHAnsi"/>
            <w:noProof/>
          </w:rPr>
          <w:t>Table A-16: Duquesne’s PY7 Sampling Strategy – GNI Program Group</w:t>
        </w:r>
        <w:r w:rsidR="00900100">
          <w:rPr>
            <w:noProof/>
            <w:webHidden/>
          </w:rPr>
          <w:tab/>
        </w:r>
        <w:r w:rsidR="00900100">
          <w:rPr>
            <w:noProof/>
            <w:webHidden/>
          </w:rPr>
          <w:fldChar w:fldCharType="begin"/>
        </w:r>
        <w:r w:rsidR="00900100">
          <w:rPr>
            <w:noProof/>
            <w:webHidden/>
          </w:rPr>
          <w:instrText xml:space="preserve"> PAGEREF _Toc476842131 \h </w:instrText>
        </w:r>
        <w:r w:rsidR="00900100">
          <w:rPr>
            <w:noProof/>
            <w:webHidden/>
          </w:rPr>
        </w:r>
        <w:r w:rsidR="00900100">
          <w:rPr>
            <w:noProof/>
            <w:webHidden/>
          </w:rPr>
          <w:fldChar w:fldCharType="separate"/>
        </w:r>
        <w:r w:rsidR="00865B5D">
          <w:rPr>
            <w:noProof/>
            <w:webHidden/>
          </w:rPr>
          <w:t>143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32" w:history="1">
        <w:r w:rsidR="00900100" w:rsidRPr="00BC4B98">
          <w:rPr>
            <w:rStyle w:val="Hyperlink"/>
            <w:rFonts w:eastAsiaTheme="minorHAnsi"/>
            <w:noProof/>
          </w:rPr>
          <w:t>Table A-17: Observed Coefficients of Variation and Relative Precision – Duquesne GNI Program Group</w:t>
        </w:r>
        <w:r w:rsidR="00900100">
          <w:rPr>
            <w:noProof/>
            <w:webHidden/>
          </w:rPr>
          <w:tab/>
        </w:r>
        <w:r w:rsidR="00900100">
          <w:rPr>
            <w:noProof/>
            <w:webHidden/>
          </w:rPr>
          <w:fldChar w:fldCharType="begin"/>
        </w:r>
        <w:r w:rsidR="00900100">
          <w:rPr>
            <w:noProof/>
            <w:webHidden/>
          </w:rPr>
          <w:instrText xml:space="preserve"> PAGEREF _Toc476842132 \h </w:instrText>
        </w:r>
        <w:r w:rsidR="00900100">
          <w:rPr>
            <w:noProof/>
            <w:webHidden/>
          </w:rPr>
        </w:r>
        <w:r w:rsidR="00900100">
          <w:rPr>
            <w:noProof/>
            <w:webHidden/>
          </w:rPr>
          <w:fldChar w:fldCharType="separate"/>
        </w:r>
        <w:r w:rsidR="00865B5D">
          <w:rPr>
            <w:noProof/>
            <w:webHidden/>
          </w:rPr>
          <w:t>143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33" w:history="1">
        <w:r w:rsidR="00900100" w:rsidRPr="00BC4B98">
          <w:rPr>
            <w:rStyle w:val="Hyperlink"/>
            <w:rFonts w:eastAsiaTheme="minorHAnsi"/>
            <w:noProof/>
          </w:rPr>
          <w:t>Table A-18: Duquesne’s PY7 Non-Residential Site Inspection Findings</w:t>
        </w:r>
        <w:r w:rsidR="00900100">
          <w:rPr>
            <w:noProof/>
            <w:webHidden/>
          </w:rPr>
          <w:tab/>
        </w:r>
        <w:r w:rsidR="00900100">
          <w:rPr>
            <w:noProof/>
            <w:webHidden/>
          </w:rPr>
          <w:fldChar w:fldCharType="begin"/>
        </w:r>
        <w:r w:rsidR="00900100">
          <w:rPr>
            <w:noProof/>
            <w:webHidden/>
          </w:rPr>
          <w:instrText xml:space="preserve"> PAGEREF _Toc476842133 \h </w:instrText>
        </w:r>
        <w:r w:rsidR="00900100">
          <w:rPr>
            <w:noProof/>
            <w:webHidden/>
          </w:rPr>
        </w:r>
        <w:r w:rsidR="00900100">
          <w:rPr>
            <w:noProof/>
            <w:webHidden/>
          </w:rPr>
          <w:fldChar w:fldCharType="separate"/>
        </w:r>
        <w:r w:rsidR="00865B5D">
          <w:rPr>
            <w:noProof/>
            <w:webHidden/>
          </w:rPr>
          <w:t>145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34" w:history="1">
        <w:r w:rsidR="00900100" w:rsidRPr="00BC4B98">
          <w:rPr>
            <w:rStyle w:val="Hyperlink"/>
            <w:rFonts w:eastAsiaTheme="minorHAnsi"/>
            <w:noProof/>
          </w:rPr>
          <w:t>Table A-19: Overview of Duquesne Projects Included in SWE Team Verified Savings Review</w:t>
        </w:r>
        <w:r w:rsidR="00900100">
          <w:rPr>
            <w:noProof/>
            <w:webHidden/>
          </w:rPr>
          <w:tab/>
        </w:r>
        <w:r w:rsidR="00900100">
          <w:rPr>
            <w:noProof/>
            <w:webHidden/>
          </w:rPr>
          <w:fldChar w:fldCharType="begin"/>
        </w:r>
        <w:r w:rsidR="00900100">
          <w:rPr>
            <w:noProof/>
            <w:webHidden/>
          </w:rPr>
          <w:instrText xml:space="preserve"> PAGEREF _Toc476842134 \h </w:instrText>
        </w:r>
        <w:r w:rsidR="00900100">
          <w:rPr>
            <w:noProof/>
            <w:webHidden/>
          </w:rPr>
        </w:r>
        <w:r w:rsidR="00900100">
          <w:rPr>
            <w:noProof/>
            <w:webHidden/>
          </w:rPr>
          <w:fldChar w:fldCharType="separate"/>
        </w:r>
        <w:r w:rsidR="00865B5D">
          <w:rPr>
            <w:noProof/>
            <w:webHidden/>
          </w:rPr>
          <w:t>147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35" w:history="1">
        <w:r w:rsidR="00900100" w:rsidRPr="00BC4B98">
          <w:rPr>
            <w:rStyle w:val="Hyperlink"/>
            <w:rFonts w:eastAsiaTheme="minorHAnsi"/>
            <w:noProof/>
          </w:rPr>
          <w:t>Table A-20: Summary of SWE Team Review of Duquesne NTG Evaluations</w:t>
        </w:r>
        <w:r w:rsidR="00900100">
          <w:rPr>
            <w:noProof/>
            <w:webHidden/>
          </w:rPr>
          <w:tab/>
        </w:r>
        <w:r w:rsidR="00900100">
          <w:rPr>
            <w:noProof/>
            <w:webHidden/>
          </w:rPr>
          <w:fldChar w:fldCharType="begin"/>
        </w:r>
        <w:r w:rsidR="00900100">
          <w:rPr>
            <w:noProof/>
            <w:webHidden/>
          </w:rPr>
          <w:instrText xml:space="preserve"> PAGEREF _Toc476842135 \h </w:instrText>
        </w:r>
        <w:r w:rsidR="00900100">
          <w:rPr>
            <w:noProof/>
            <w:webHidden/>
          </w:rPr>
        </w:r>
        <w:r w:rsidR="00900100">
          <w:rPr>
            <w:noProof/>
            <w:webHidden/>
          </w:rPr>
          <w:fldChar w:fldCharType="separate"/>
        </w:r>
        <w:r w:rsidR="00865B5D">
          <w:rPr>
            <w:noProof/>
            <w:webHidden/>
          </w:rPr>
          <w:t>149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36" w:history="1">
        <w:r w:rsidR="00900100" w:rsidRPr="00BC4B98">
          <w:rPr>
            <w:rStyle w:val="Hyperlink"/>
            <w:rFonts w:eastAsiaTheme="minorHAnsi"/>
            <w:noProof/>
          </w:rPr>
          <w:t>Table A-21: Summary of NTG Audit of Duquesne’s Residential Programs</w:t>
        </w:r>
        <w:r w:rsidR="00900100">
          <w:rPr>
            <w:noProof/>
            <w:webHidden/>
          </w:rPr>
          <w:tab/>
        </w:r>
        <w:r w:rsidR="00900100">
          <w:rPr>
            <w:noProof/>
            <w:webHidden/>
          </w:rPr>
          <w:fldChar w:fldCharType="begin"/>
        </w:r>
        <w:r w:rsidR="00900100">
          <w:rPr>
            <w:noProof/>
            <w:webHidden/>
          </w:rPr>
          <w:instrText xml:space="preserve"> PAGEREF _Toc476842136 \h </w:instrText>
        </w:r>
        <w:r w:rsidR="00900100">
          <w:rPr>
            <w:noProof/>
            <w:webHidden/>
          </w:rPr>
        </w:r>
        <w:r w:rsidR="00900100">
          <w:rPr>
            <w:noProof/>
            <w:webHidden/>
          </w:rPr>
          <w:fldChar w:fldCharType="separate"/>
        </w:r>
        <w:r w:rsidR="00865B5D">
          <w:rPr>
            <w:noProof/>
            <w:webHidden/>
          </w:rPr>
          <w:t>150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37" w:history="1">
        <w:r w:rsidR="00900100" w:rsidRPr="00BC4B98">
          <w:rPr>
            <w:rStyle w:val="Hyperlink"/>
            <w:rFonts w:eastAsiaTheme="minorHAnsi"/>
            <w:noProof/>
          </w:rPr>
          <w:t>Table A-22: Summary of NTG Estimates for Duquesne’s Residential Programs</w:t>
        </w:r>
        <w:r w:rsidR="00900100">
          <w:rPr>
            <w:noProof/>
            <w:webHidden/>
          </w:rPr>
          <w:tab/>
        </w:r>
        <w:r w:rsidR="00900100">
          <w:rPr>
            <w:noProof/>
            <w:webHidden/>
          </w:rPr>
          <w:fldChar w:fldCharType="begin"/>
        </w:r>
        <w:r w:rsidR="00900100">
          <w:rPr>
            <w:noProof/>
            <w:webHidden/>
          </w:rPr>
          <w:instrText xml:space="preserve"> PAGEREF _Toc476842137 \h </w:instrText>
        </w:r>
        <w:r w:rsidR="00900100">
          <w:rPr>
            <w:noProof/>
            <w:webHidden/>
          </w:rPr>
        </w:r>
        <w:r w:rsidR="00900100">
          <w:rPr>
            <w:noProof/>
            <w:webHidden/>
          </w:rPr>
          <w:fldChar w:fldCharType="separate"/>
        </w:r>
        <w:r w:rsidR="00865B5D">
          <w:rPr>
            <w:noProof/>
            <w:webHidden/>
          </w:rPr>
          <w:t>151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38" w:history="1">
        <w:r w:rsidR="00900100" w:rsidRPr="00BC4B98">
          <w:rPr>
            <w:rStyle w:val="Hyperlink"/>
            <w:rFonts w:eastAsiaTheme="minorHAnsi"/>
            <w:noProof/>
          </w:rPr>
          <w:t>Table A-23: Summary of NTG Audit of Duquesne’s Low-Income Program</w:t>
        </w:r>
        <w:r w:rsidR="00900100">
          <w:rPr>
            <w:noProof/>
            <w:webHidden/>
          </w:rPr>
          <w:tab/>
        </w:r>
        <w:r w:rsidR="00900100">
          <w:rPr>
            <w:noProof/>
            <w:webHidden/>
          </w:rPr>
          <w:fldChar w:fldCharType="begin"/>
        </w:r>
        <w:r w:rsidR="00900100">
          <w:rPr>
            <w:noProof/>
            <w:webHidden/>
          </w:rPr>
          <w:instrText xml:space="preserve"> PAGEREF _Toc476842138 \h </w:instrText>
        </w:r>
        <w:r w:rsidR="00900100">
          <w:rPr>
            <w:noProof/>
            <w:webHidden/>
          </w:rPr>
        </w:r>
        <w:r w:rsidR="00900100">
          <w:rPr>
            <w:noProof/>
            <w:webHidden/>
          </w:rPr>
          <w:fldChar w:fldCharType="separate"/>
        </w:r>
        <w:r w:rsidR="00865B5D">
          <w:rPr>
            <w:noProof/>
            <w:webHidden/>
          </w:rPr>
          <w:t>152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39" w:history="1">
        <w:r w:rsidR="00900100" w:rsidRPr="00BC4B98">
          <w:rPr>
            <w:rStyle w:val="Hyperlink"/>
            <w:rFonts w:eastAsiaTheme="minorHAnsi"/>
            <w:noProof/>
          </w:rPr>
          <w:t>Table A-24: Summary of NTG Estimates for Duquesne’s Low-Income Program</w:t>
        </w:r>
        <w:r w:rsidR="00900100">
          <w:rPr>
            <w:noProof/>
            <w:webHidden/>
          </w:rPr>
          <w:tab/>
        </w:r>
        <w:r w:rsidR="00900100">
          <w:rPr>
            <w:noProof/>
            <w:webHidden/>
          </w:rPr>
          <w:fldChar w:fldCharType="begin"/>
        </w:r>
        <w:r w:rsidR="00900100">
          <w:rPr>
            <w:noProof/>
            <w:webHidden/>
          </w:rPr>
          <w:instrText xml:space="preserve"> PAGEREF _Toc476842139 \h </w:instrText>
        </w:r>
        <w:r w:rsidR="00900100">
          <w:rPr>
            <w:noProof/>
            <w:webHidden/>
          </w:rPr>
        </w:r>
        <w:r w:rsidR="00900100">
          <w:rPr>
            <w:noProof/>
            <w:webHidden/>
          </w:rPr>
          <w:fldChar w:fldCharType="separate"/>
        </w:r>
        <w:r w:rsidR="00865B5D">
          <w:rPr>
            <w:noProof/>
            <w:webHidden/>
          </w:rPr>
          <w:t>152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40" w:history="1">
        <w:r w:rsidR="00900100" w:rsidRPr="00BC4B98">
          <w:rPr>
            <w:rStyle w:val="Hyperlink"/>
            <w:rFonts w:eastAsiaTheme="minorHAnsi"/>
            <w:noProof/>
          </w:rPr>
          <w:t>Table A-25: Summary of NTG Audit of Duquesne’s Non-Residential Programs</w:t>
        </w:r>
        <w:r w:rsidR="00900100">
          <w:rPr>
            <w:noProof/>
            <w:webHidden/>
          </w:rPr>
          <w:tab/>
        </w:r>
        <w:r w:rsidR="00900100">
          <w:rPr>
            <w:noProof/>
            <w:webHidden/>
          </w:rPr>
          <w:fldChar w:fldCharType="begin"/>
        </w:r>
        <w:r w:rsidR="00900100">
          <w:rPr>
            <w:noProof/>
            <w:webHidden/>
          </w:rPr>
          <w:instrText xml:space="preserve"> PAGEREF _Toc476842140 \h </w:instrText>
        </w:r>
        <w:r w:rsidR="00900100">
          <w:rPr>
            <w:noProof/>
            <w:webHidden/>
          </w:rPr>
        </w:r>
        <w:r w:rsidR="00900100">
          <w:rPr>
            <w:noProof/>
            <w:webHidden/>
          </w:rPr>
          <w:fldChar w:fldCharType="separate"/>
        </w:r>
        <w:r w:rsidR="00865B5D">
          <w:rPr>
            <w:noProof/>
            <w:webHidden/>
          </w:rPr>
          <w:t>152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41" w:history="1">
        <w:r w:rsidR="00900100" w:rsidRPr="00BC4B98">
          <w:rPr>
            <w:rStyle w:val="Hyperlink"/>
            <w:rFonts w:eastAsiaTheme="minorHAnsi"/>
            <w:noProof/>
          </w:rPr>
          <w:t>Table A-26: Summary of NTG Estimates for Duquesne’s Non-Residential Programs</w:t>
        </w:r>
        <w:r w:rsidR="00900100">
          <w:rPr>
            <w:noProof/>
            <w:webHidden/>
          </w:rPr>
          <w:tab/>
        </w:r>
        <w:r w:rsidR="00900100">
          <w:rPr>
            <w:noProof/>
            <w:webHidden/>
          </w:rPr>
          <w:fldChar w:fldCharType="begin"/>
        </w:r>
        <w:r w:rsidR="00900100">
          <w:rPr>
            <w:noProof/>
            <w:webHidden/>
          </w:rPr>
          <w:instrText xml:space="preserve"> PAGEREF _Toc476842141 \h </w:instrText>
        </w:r>
        <w:r w:rsidR="00900100">
          <w:rPr>
            <w:noProof/>
            <w:webHidden/>
          </w:rPr>
        </w:r>
        <w:r w:rsidR="00900100">
          <w:rPr>
            <w:noProof/>
            <w:webHidden/>
          </w:rPr>
          <w:fldChar w:fldCharType="separate"/>
        </w:r>
        <w:r w:rsidR="00865B5D">
          <w:rPr>
            <w:noProof/>
            <w:webHidden/>
          </w:rPr>
          <w:t>153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42" w:history="1">
        <w:r w:rsidR="00900100" w:rsidRPr="00BC4B98">
          <w:rPr>
            <w:rStyle w:val="Hyperlink"/>
            <w:rFonts w:eastAsiaTheme="minorHAnsi"/>
            <w:noProof/>
          </w:rPr>
          <w:t>Table A-27: Met-Ed EE&amp;C Programs with Reported Gross Savings in PY7</w:t>
        </w:r>
        <w:r w:rsidR="00900100">
          <w:rPr>
            <w:noProof/>
            <w:webHidden/>
          </w:rPr>
          <w:tab/>
        </w:r>
        <w:r w:rsidR="00900100">
          <w:rPr>
            <w:noProof/>
            <w:webHidden/>
          </w:rPr>
          <w:fldChar w:fldCharType="begin"/>
        </w:r>
        <w:r w:rsidR="00900100">
          <w:rPr>
            <w:noProof/>
            <w:webHidden/>
          </w:rPr>
          <w:instrText xml:space="preserve"> PAGEREF _Toc476842142 \h </w:instrText>
        </w:r>
        <w:r w:rsidR="00900100">
          <w:rPr>
            <w:noProof/>
            <w:webHidden/>
          </w:rPr>
        </w:r>
        <w:r w:rsidR="00900100">
          <w:rPr>
            <w:noProof/>
            <w:webHidden/>
          </w:rPr>
          <w:fldChar w:fldCharType="separate"/>
        </w:r>
        <w:r w:rsidR="00865B5D">
          <w:rPr>
            <w:noProof/>
            <w:webHidden/>
          </w:rPr>
          <w:t>154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43" w:history="1">
        <w:r w:rsidR="00900100" w:rsidRPr="00BC4B98">
          <w:rPr>
            <w:rStyle w:val="Hyperlink"/>
            <w:rFonts w:eastAsiaTheme="minorHAnsi"/>
            <w:noProof/>
          </w:rPr>
          <w:t>Table A-28: Summary of Met-Ed EE&amp;C Program Impacts on Verified Gross Portfolio Savings</w:t>
        </w:r>
        <w:r w:rsidR="00900100">
          <w:rPr>
            <w:noProof/>
            <w:webHidden/>
          </w:rPr>
          <w:tab/>
        </w:r>
        <w:r w:rsidR="00900100">
          <w:rPr>
            <w:noProof/>
            <w:webHidden/>
          </w:rPr>
          <w:fldChar w:fldCharType="begin"/>
        </w:r>
        <w:r w:rsidR="00900100">
          <w:rPr>
            <w:noProof/>
            <w:webHidden/>
          </w:rPr>
          <w:instrText xml:space="preserve"> PAGEREF _Toc476842143 \h </w:instrText>
        </w:r>
        <w:r w:rsidR="00900100">
          <w:rPr>
            <w:noProof/>
            <w:webHidden/>
          </w:rPr>
        </w:r>
        <w:r w:rsidR="00900100">
          <w:rPr>
            <w:noProof/>
            <w:webHidden/>
          </w:rPr>
          <w:fldChar w:fldCharType="separate"/>
        </w:r>
        <w:r w:rsidR="00865B5D">
          <w:rPr>
            <w:noProof/>
            <w:webHidden/>
          </w:rPr>
          <w:t>154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44" w:history="1">
        <w:r w:rsidR="00900100" w:rsidRPr="00BC4B98">
          <w:rPr>
            <w:rStyle w:val="Hyperlink"/>
            <w:rFonts w:eastAsiaTheme="minorHAnsi"/>
            <w:noProof/>
          </w:rPr>
          <w:t>Table A-29: Summary of Met-Ed EE&amp;C Verified Net Savings – by Sector</w:t>
        </w:r>
        <w:r w:rsidR="00900100">
          <w:rPr>
            <w:noProof/>
            <w:webHidden/>
          </w:rPr>
          <w:tab/>
        </w:r>
        <w:r w:rsidR="00900100">
          <w:rPr>
            <w:noProof/>
            <w:webHidden/>
          </w:rPr>
          <w:fldChar w:fldCharType="begin"/>
        </w:r>
        <w:r w:rsidR="00900100">
          <w:rPr>
            <w:noProof/>
            <w:webHidden/>
          </w:rPr>
          <w:instrText xml:space="preserve"> PAGEREF _Toc476842144 \h </w:instrText>
        </w:r>
        <w:r w:rsidR="00900100">
          <w:rPr>
            <w:noProof/>
            <w:webHidden/>
          </w:rPr>
        </w:r>
        <w:r w:rsidR="00900100">
          <w:rPr>
            <w:noProof/>
            <w:webHidden/>
          </w:rPr>
          <w:fldChar w:fldCharType="separate"/>
        </w:r>
        <w:r w:rsidR="00865B5D">
          <w:rPr>
            <w:noProof/>
            <w:webHidden/>
          </w:rPr>
          <w:t>155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45" w:history="1">
        <w:r w:rsidR="00900100" w:rsidRPr="00BC4B98">
          <w:rPr>
            <w:rStyle w:val="Hyperlink"/>
            <w:rFonts w:eastAsiaTheme="minorHAnsi"/>
            <w:noProof/>
          </w:rPr>
          <w:t>Table A-30: Summary of Met-Ed’s PY7 TRC Factors and Results</w:t>
        </w:r>
        <w:r w:rsidR="00900100">
          <w:rPr>
            <w:noProof/>
            <w:webHidden/>
          </w:rPr>
          <w:tab/>
        </w:r>
        <w:r w:rsidR="00900100">
          <w:rPr>
            <w:noProof/>
            <w:webHidden/>
          </w:rPr>
          <w:fldChar w:fldCharType="begin"/>
        </w:r>
        <w:r w:rsidR="00900100">
          <w:rPr>
            <w:noProof/>
            <w:webHidden/>
          </w:rPr>
          <w:instrText xml:space="preserve"> PAGEREF _Toc476842145 \h </w:instrText>
        </w:r>
        <w:r w:rsidR="00900100">
          <w:rPr>
            <w:noProof/>
            <w:webHidden/>
          </w:rPr>
        </w:r>
        <w:r w:rsidR="00900100">
          <w:rPr>
            <w:noProof/>
            <w:webHidden/>
          </w:rPr>
          <w:fldChar w:fldCharType="separate"/>
        </w:r>
        <w:r w:rsidR="00865B5D">
          <w:rPr>
            <w:noProof/>
            <w:webHidden/>
          </w:rPr>
          <w:t>156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46" w:history="1">
        <w:r w:rsidR="00900100" w:rsidRPr="00BC4B98">
          <w:rPr>
            <w:rStyle w:val="Hyperlink"/>
            <w:rFonts w:eastAsiaTheme="minorHAnsi"/>
            <w:noProof/>
          </w:rPr>
          <w:t>Table A-31: Met-Ed’s PY7 Discount Rates and LLFs</w:t>
        </w:r>
        <w:r w:rsidR="00900100">
          <w:rPr>
            <w:noProof/>
            <w:webHidden/>
          </w:rPr>
          <w:tab/>
        </w:r>
        <w:r w:rsidR="00900100">
          <w:rPr>
            <w:noProof/>
            <w:webHidden/>
          </w:rPr>
          <w:fldChar w:fldCharType="begin"/>
        </w:r>
        <w:r w:rsidR="00900100">
          <w:rPr>
            <w:noProof/>
            <w:webHidden/>
          </w:rPr>
          <w:instrText xml:space="preserve"> PAGEREF _Toc476842146 \h </w:instrText>
        </w:r>
        <w:r w:rsidR="00900100">
          <w:rPr>
            <w:noProof/>
            <w:webHidden/>
          </w:rPr>
        </w:r>
        <w:r w:rsidR="00900100">
          <w:rPr>
            <w:noProof/>
            <w:webHidden/>
          </w:rPr>
          <w:fldChar w:fldCharType="separate"/>
        </w:r>
        <w:r w:rsidR="00865B5D">
          <w:rPr>
            <w:noProof/>
            <w:webHidden/>
          </w:rPr>
          <w:t>157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47" w:history="1">
        <w:r w:rsidR="00900100" w:rsidRPr="00BC4B98">
          <w:rPr>
            <w:rStyle w:val="Hyperlink"/>
            <w:rFonts w:eastAsiaTheme="minorHAnsi"/>
            <w:noProof/>
          </w:rPr>
          <w:t>Table A-32: Key Milestones Reached for Met-Ed’s Phase II EM&amp;V Plan</w:t>
        </w:r>
        <w:r w:rsidR="00900100">
          <w:rPr>
            <w:noProof/>
            <w:webHidden/>
          </w:rPr>
          <w:tab/>
        </w:r>
        <w:r w:rsidR="00900100">
          <w:rPr>
            <w:noProof/>
            <w:webHidden/>
          </w:rPr>
          <w:fldChar w:fldCharType="begin"/>
        </w:r>
        <w:r w:rsidR="00900100">
          <w:rPr>
            <w:noProof/>
            <w:webHidden/>
          </w:rPr>
          <w:instrText xml:space="preserve"> PAGEREF _Toc476842147 \h </w:instrText>
        </w:r>
        <w:r w:rsidR="00900100">
          <w:rPr>
            <w:noProof/>
            <w:webHidden/>
          </w:rPr>
        </w:r>
        <w:r w:rsidR="00900100">
          <w:rPr>
            <w:noProof/>
            <w:webHidden/>
          </w:rPr>
          <w:fldChar w:fldCharType="separate"/>
        </w:r>
        <w:r w:rsidR="00865B5D">
          <w:rPr>
            <w:noProof/>
            <w:webHidden/>
          </w:rPr>
          <w:t>159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48" w:history="1">
        <w:r w:rsidR="00900100" w:rsidRPr="00BC4B98">
          <w:rPr>
            <w:rStyle w:val="Hyperlink"/>
            <w:rFonts w:eastAsiaTheme="minorHAnsi"/>
            <w:noProof/>
          </w:rPr>
          <w:t>Table A-33: Met-Ed Energy Efficiency Programs – Realization Rates for Energy and Demand Savings in PY7</w:t>
        </w:r>
        <w:r w:rsidR="00900100">
          <w:rPr>
            <w:noProof/>
            <w:webHidden/>
          </w:rPr>
          <w:tab/>
        </w:r>
        <w:r w:rsidR="00900100">
          <w:rPr>
            <w:noProof/>
            <w:webHidden/>
          </w:rPr>
          <w:fldChar w:fldCharType="begin"/>
        </w:r>
        <w:r w:rsidR="00900100">
          <w:rPr>
            <w:noProof/>
            <w:webHidden/>
          </w:rPr>
          <w:instrText xml:space="preserve"> PAGEREF _Toc476842148 \h </w:instrText>
        </w:r>
        <w:r w:rsidR="00900100">
          <w:rPr>
            <w:noProof/>
            <w:webHidden/>
          </w:rPr>
        </w:r>
        <w:r w:rsidR="00900100">
          <w:rPr>
            <w:noProof/>
            <w:webHidden/>
          </w:rPr>
          <w:fldChar w:fldCharType="separate"/>
        </w:r>
        <w:r w:rsidR="00865B5D">
          <w:rPr>
            <w:noProof/>
            <w:webHidden/>
          </w:rPr>
          <w:t>160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49" w:history="1">
        <w:r w:rsidR="00900100" w:rsidRPr="00BC4B98">
          <w:rPr>
            <w:rStyle w:val="Hyperlink"/>
            <w:rFonts w:eastAsiaTheme="minorHAnsi"/>
            <w:noProof/>
          </w:rPr>
          <w:t>Table A-34: Summary of Key Findings and Data Sources – FirstEnergy</w:t>
        </w:r>
        <w:r w:rsidR="00900100">
          <w:rPr>
            <w:noProof/>
            <w:webHidden/>
          </w:rPr>
          <w:tab/>
        </w:r>
        <w:r w:rsidR="00900100">
          <w:rPr>
            <w:noProof/>
            <w:webHidden/>
          </w:rPr>
          <w:fldChar w:fldCharType="begin"/>
        </w:r>
        <w:r w:rsidR="00900100">
          <w:rPr>
            <w:noProof/>
            <w:webHidden/>
          </w:rPr>
          <w:instrText xml:space="preserve"> PAGEREF _Toc476842149 \h </w:instrText>
        </w:r>
        <w:r w:rsidR="00900100">
          <w:rPr>
            <w:noProof/>
            <w:webHidden/>
          </w:rPr>
        </w:r>
        <w:r w:rsidR="00900100">
          <w:rPr>
            <w:noProof/>
            <w:webHidden/>
          </w:rPr>
          <w:fldChar w:fldCharType="separate"/>
        </w:r>
        <w:r w:rsidR="00865B5D">
          <w:rPr>
            <w:noProof/>
            <w:webHidden/>
          </w:rPr>
          <w:t>164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50" w:history="1">
        <w:r w:rsidR="00900100" w:rsidRPr="00BC4B98">
          <w:rPr>
            <w:rStyle w:val="Hyperlink"/>
            <w:rFonts w:eastAsiaTheme="minorHAnsi"/>
            <w:noProof/>
          </w:rPr>
          <w:t>Table A-35: Compliance across Sample Designs for Met-Ed’s PY7 Non-Residential Program Groups</w:t>
        </w:r>
        <w:r w:rsidR="00900100">
          <w:rPr>
            <w:noProof/>
            <w:webHidden/>
          </w:rPr>
          <w:tab/>
        </w:r>
        <w:r w:rsidR="00900100">
          <w:rPr>
            <w:noProof/>
            <w:webHidden/>
          </w:rPr>
          <w:fldChar w:fldCharType="begin"/>
        </w:r>
        <w:r w:rsidR="00900100">
          <w:rPr>
            <w:noProof/>
            <w:webHidden/>
          </w:rPr>
          <w:instrText xml:space="preserve"> PAGEREF _Toc476842150 \h </w:instrText>
        </w:r>
        <w:r w:rsidR="00900100">
          <w:rPr>
            <w:noProof/>
            <w:webHidden/>
          </w:rPr>
        </w:r>
        <w:r w:rsidR="00900100">
          <w:rPr>
            <w:noProof/>
            <w:webHidden/>
          </w:rPr>
          <w:fldChar w:fldCharType="separate"/>
        </w:r>
        <w:r w:rsidR="00865B5D">
          <w:rPr>
            <w:noProof/>
            <w:webHidden/>
          </w:rPr>
          <w:t>166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51" w:history="1">
        <w:r w:rsidR="00900100" w:rsidRPr="00BC4B98">
          <w:rPr>
            <w:rStyle w:val="Hyperlink"/>
            <w:rFonts w:eastAsiaTheme="minorHAnsi"/>
            <w:noProof/>
          </w:rPr>
          <w:t>Table A-36: Met-Ed PY7 Project File Review Summary</w:t>
        </w:r>
        <w:r w:rsidR="00900100">
          <w:rPr>
            <w:noProof/>
            <w:webHidden/>
          </w:rPr>
          <w:tab/>
        </w:r>
        <w:r w:rsidR="00900100">
          <w:rPr>
            <w:noProof/>
            <w:webHidden/>
          </w:rPr>
          <w:fldChar w:fldCharType="begin"/>
        </w:r>
        <w:r w:rsidR="00900100">
          <w:rPr>
            <w:noProof/>
            <w:webHidden/>
          </w:rPr>
          <w:instrText xml:space="preserve"> PAGEREF _Toc476842151 \h </w:instrText>
        </w:r>
        <w:r w:rsidR="00900100">
          <w:rPr>
            <w:noProof/>
            <w:webHidden/>
          </w:rPr>
        </w:r>
        <w:r w:rsidR="00900100">
          <w:rPr>
            <w:noProof/>
            <w:webHidden/>
          </w:rPr>
          <w:fldChar w:fldCharType="separate"/>
        </w:r>
        <w:r w:rsidR="00865B5D">
          <w:rPr>
            <w:noProof/>
            <w:webHidden/>
          </w:rPr>
          <w:t>168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52" w:history="1">
        <w:r w:rsidR="00900100" w:rsidRPr="00BC4B98">
          <w:rPr>
            <w:rStyle w:val="Hyperlink"/>
            <w:rFonts w:eastAsiaTheme="minorHAnsi"/>
            <w:noProof/>
          </w:rPr>
          <w:t>Table A-37: Met-Ed PY7 Sampling Strategy and Relative Precision – Small C/I Energy Efficient Equipment Program</w:t>
        </w:r>
        <w:r w:rsidR="00900100">
          <w:rPr>
            <w:noProof/>
            <w:webHidden/>
          </w:rPr>
          <w:tab/>
        </w:r>
        <w:r w:rsidR="00900100">
          <w:rPr>
            <w:noProof/>
            <w:webHidden/>
          </w:rPr>
          <w:fldChar w:fldCharType="begin"/>
        </w:r>
        <w:r w:rsidR="00900100">
          <w:rPr>
            <w:noProof/>
            <w:webHidden/>
          </w:rPr>
          <w:instrText xml:space="preserve"> PAGEREF _Toc476842152 \h </w:instrText>
        </w:r>
        <w:r w:rsidR="00900100">
          <w:rPr>
            <w:noProof/>
            <w:webHidden/>
          </w:rPr>
        </w:r>
        <w:r w:rsidR="00900100">
          <w:rPr>
            <w:noProof/>
            <w:webHidden/>
          </w:rPr>
          <w:fldChar w:fldCharType="separate"/>
        </w:r>
        <w:r w:rsidR="00865B5D">
          <w:rPr>
            <w:noProof/>
            <w:webHidden/>
          </w:rPr>
          <w:t>170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53" w:history="1">
        <w:r w:rsidR="00900100" w:rsidRPr="00BC4B98">
          <w:rPr>
            <w:rStyle w:val="Hyperlink"/>
            <w:rFonts w:eastAsiaTheme="minorHAnsi"/>
            <w:noProof/>
          </w:rPr>
          <w:t>Table A-38: Met-Ed PY7 Sampling Strategy and Relative Precision – Small C/I Energy Efficient Buildings Program</w:t>
        </w:r>
        <w:r w:rsidR="00900100">
          <w:rPr>
            <w:noProof/>
            <w:webHidden/>
          </w:rPr>
          <w:tab/>
        </w:r>
        <w:r w:rsidR="00900100">
          <w:rPr>
            <w:noProof/>
            <w:webHidden/>
          </w:rPr>
          <w:fldChar w:fldCharType="begin"/>
        </w:r>
        <w:r w:rsidR="00900100">
          <w:rPr>
            <w:noProof/>
            <w:webHidden/>
          </w:rPr>
          <w:instrText xml:space="preserve"> PAGEREF _Toc476842153 \h </w:instrText>
        </w:r>
        <w:r w:rsidR="00900100">
          <w:rPr>
            <w:noProof/>
            <w:webHidden/>
          </w:rPr>
        </w:r>
        <w:r w:rsidR="00900100">
          <w:rPr>
            <w:noProof/>
            <w:webHidden/>
          </w:rPr>
          <w:fldChar w:fldCharType="separate"/>
        </w:r>
        <w:r w:rsidR="00865B5D">
          <w:rPr>
            <w:noProof/>
            <w:webHidden/>
          </w:rPr>
          <w:t>171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54" w:history="1">
        <w:r w:rsidR="00900100" w:rsidRPr="00BC4B98">
          <w:rPr>
            <w:rStyle w:val="Hyperlink"/>
            <w:rFonts w:eastAsiaTheme="minorHAnsi"/>
            <w:noProof/>
          </w:rPr>
          <w:t>Table A-39: Met-Ed PY7 Sampling Strategy and Relative Precision – Large C/I Energy Efficient Equipment Program</w:t>
        </w:r>
        <w:r w:rsidR="00900100">
          <w:rPr>
            <w:noProof/>
            <w:webHidden/>
          </w:rPr>
          <w:tab/>
        </w:r>
        <w:r w:rsidR="00900100">
          <w:rPr>
            <w:noProof/>
            <w:webHidden/>
          </w:rPr>
          <w:fldChar w:fldCharType="begin"/>
        </w:r>
        <w:r w:rsidR="00900100">
          <w:rPr>
            <w:noProof/>
            <w:webHidden/>
          </w:rPr>
          <w:instrText xml:space="preserve"> PAGEREF _Toc476842154 \h </w:instrText>
        </w:r>
        <w:r w:rsidR="00900100">
          <w:rPr>
            <w:noProof/>
            <w:webHidden/>
          </w:rPr>
        </w:r>
        <w:r w:rsidR="00900100">
          <w:rPr>
            <w:noProof/>
            <w:webHidden/>
          </w:rPr>
          <w:fldChar w:fldCharType="separate"/>
        </w:r>
        <w:r w:rsidR="00865B5D">
          <w:rPr>
            <w:noProof/>
            <w:webHidden/>
          </w:rPr>
          <w:t>172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55" w:history="1">
        <w:r w:rsidR="00900100" w:rsidRPr="00BC4B98">
          <w:rPr>
            <w:rStyle w:val="Hyperlink"/>
            <w:rFonts w:eastAsiaTheme="minorHAnsi"/>
            <w:noProof/>
          </w:rPr>
          <w:t>Table A-40: Met-Ed PY7 Sampling Strategy and Relative Precision – Large C/I Energy Efficient Buildings Program</w:t>
        </w:r>
        <w:r w:rsidR="00900100">
          <w:rPr>
            <w:noProof/>
            <w:webHidden/>
          </w:rPr>
          <w:tab/>
        </w:r>
        <w:r w:rsidR="00900100">
          <w:rPr>
            <w:noProof/>
            <w:webHidden/>
          </w:rPr>
          <w:fldChar w:fldCharType="begin"/>
        </w:r>
        <w:r w:rsidR="00900100">
          <w:rPr>
            <w:noProof/>
            <w:webHidden/>
          </w:rPr>
          <w:instrText xml:space="preserve"> PAGEREF _Toc476842155 \h </w:instrText>
        </w:r>
        <w:r w:rsidR="00900100">
          <w:rPr>
            <w:noProof/>
            <w:webHidden/>
          </w:rPr>
        </w:r>
        <w:r w:rsidR="00900100">
          <w:rPr>
            <w:noProof/>
            <w:webHidden/>
          </w:rPr>
          <w:fldChar w:fldCharType="separate"/>
        </w:r>
        <w:r w:rsidR="00865B5D">
          <w:rPr>
            <w:noProof/>
            <w:webHidden/>
          </w:rPr>
          <w:t>173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56" w:history="1">
        <w:r w:rsidR="00900100" w:rsidRPr="00BC4B98">
          <w:rPr>
            <w:rStyle w:val="Hyperlink"/>
            <w:rFonts w:eastAsiaTheme="minorHAnsi"/>
            <w:noProof/>
          </w:rPr>
          <w:t>Table A-41: Met-Ed’s PY7 Sampling Strategy and Achieved Precision – Government and Institutional Program</w:t>
        </w:r>
        <w:r w:rsidR="00900100">
          <w:rPr>
            <w:noProof/>
            <w:webHidden/>
          </w:rPr>
          <w:tab/>
        </w:r>
        <w:r w:rsidR="00900100">
          <w:rPr>
            <w:noProof/>
            <w:webHidden/>
          </w:rPr>
          <w:fldChar w:fldCharType="begin"/>
        </w:r>
        <w:r w:rsidR="00900100">
          <w:rPr>
            <w:noProof/>
            <w:webHidden/>
          </w:rPr>
          <w:instrText xml:space="preserve"> PAGEREF _Toc476842156 \h </w:instrText>
        </w:r>
        <w:r w:rsidR="00900100">
          <w:rPr>
            <w:noProof/>
            <w:webHidden/>
          </w:rPr>
        </w:r>
        <w:r w:rsidR="00900100">
          <w:rPr>
            <w:noProof/>
            <w:webHidden/>
          </w:rPr>
          <w:fldChar w:fldCharType="separate"/>
        </w:r>
        <w:r w:rsidR="00865B5D">
          <w:rPr>
            <w:noProof/>
            <w:webHidden/>
          </w:rPr>
          <w:t>174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57" w:history="1">
        <w:r w:rsidR="00900100" w:rsidRPr="00BC4B98">
          <w:rPr>
            <w:rStyle w:val="Hyperlink"/>
            <w:rFonts w:eastAsiaTheme="minorHAnsi"/>
            <w:noProof/>
          </w:rPr>
          <w:t>Table A-42: Met-Ed’s PY7 Non-Residential Site Inspection Findings</w:t>
        </w:r>
        <w:r w:rsidR="00900100">
          <w:rPr>
            <w:noProof/>
            <w:webHidden/>
          </w:rPr>
          <w:tab/>
        </w:r>
        <w:r w:rsidR="00900100">
          <w:rPr>
            <w:noProof/>
            <w:webHidden/>
          </w:rPr>
          <w:fldChar w:fldCharType="begin"/>
        </w:r>
        <w:r w:rsidR="00900100">
          <w:rPr>
            <w:noProof/>
            <w:webHidden/>
          </w:rPr>
          <w:instrText xml:space="preserve"> PAGEREF _Toc476842157 \h </w:instrText>
        </w:r>
        <w:r w:rsidR="00900100">
          <w:rPr>
            <w:noProof/>
            <w:webHidden/>
          </w:rPr>
        </w:r>
        <w:r w:rsidR="00900100">
          <w:rPr>
            <w:noProof/>
            <w:webHidden/>
          </w:rPr>
          <w:fldChar w:fldCharType="separate"/>
        </w:r>
        <w:r w:rsidR="00865B5D">
          <w:rPr>
            <w:noProof/>
            <w:webHidden/>
          </w:rPr>
          <w:t>175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58" w:history="1">
        <w:r w:rsidR="00900100" w:rsidRPr="00BC4B98">
          <w:rPr>
            <w:rStyle w:val="Hyperlink"/>
            <w:rFonts w:eastAsiaTheme="minorHAnsi"/>
            <w:noProof/>
          </w:rPr>
          <w:t>Table A-43: Verified Savings and M&amp;V Methods for SWE Team–Sampled Met-Ed Projects</w:t>
        </w:r>
        <w:r w:rsidR="00900100">
          <w:rPr>
            <w:noProof/>
            <w:webHidden/>
          </w:rPr>
          <w:tab/>
        </w:r>
        <w:r w:rsidR="00900100">
          <w:rPr>
            <w:noProof/>
            <w:webHidden/>
          </w:rPr>
          <w:fldChar w:fldCharType="begin"/>
        </w:r>
        <w:r w:rsidR="00900100">
          <w:rPr>
            <w:noProof/>
            <w:webHidden/>
          </w:rPr>
          <w:instrText xml:space="preserve"> PAGEREF _Toc476842158 \h </w:instrText>
        </w:r>
        <w:r w:rsidR="00900100">
          <w:rPr>
            <w:noProof/>
            <w:webHidden/>
          </w:rPr>
        </w:r>
        <w:r w:rsidR="00900100">
          <w:rPr>
            <w:noProof/>
            <w:webHidden/>
          </w:rPr>
          <w:fldChar w:fldCharType="separate"/>
        </w:r>
        <w:r w:rsidR="00865B5D">
          <w:rPr>
            <w:noProof/>
            <w:webHidden/>
          </w:rPr>
          <w:t>177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59" w:history="1">
        <w:r w:rsidR="00900100" w:rsidRPr="00BC4B98">
          <w:rPr>
            <w:rStyle w:val="Hyperlink"/>
            <w:rFonts w:eastAsiaTheme="minorHAnsi"/>
            <w:noProof/>
          </w:rPr>
          <w:t>Table A-44: Summary of SWE Team Review of FirstEnergy NTG Evaluations</w:t>
        </w:r>
        <w:r w:rsidR="00900100">
          <w:rPr>
            <w:noProof/>
            <w:webHidden/>
          </w:rPr>
          <w:tab/>
        </w:r>
        <w:r w:rsidR="00900100">
          <w:rPr>
            <w:noProof/>
            <w:webHidden/>
          </w:rPr>
          <w:fldChar w:fldCharType="begin"/>
        </w:r>
        <w:r w:rsidR="00900100">
          <w:rPr>
            <w:noProof/>
            <w:webHidden/>
          </w:rPr>
          <w:instrText xml:space="preserve"> PAGEREF _Toc476842159 \h </w:instrText>
        </w:r>
        <w:r w:rsidR="00900100">
          <w:rPr>
            <w:noProof/>
            <w:webHidden/>
          </w:rPr>
        </w:r>
        <w:r w:rsidR="00900100">
          <w:rPr>
            <w:noProof/>
            <w:webHidden/>
          </w:rPr>
          <w:fldChar w:fldCharType="separate"/>
        </w:r>
        <w:r w:rsidR="00865B5D">
          <w:rPr>
            <w:noProof/>
            <w:webHidden/>
          </w:rPr>
          <w:t>178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60" w:history="1">
        <w:r w:rsidR="00900100" w:rsidRPr="00BC4B98">
          <w:rPr>
            <w:rStyle w:val="Hyperlink"/>
            <w:rFonts w:eastAsiaTheme="minorHAnsi"/>
            <w:noProof/>
          </w:rPr>
          <w:t>Table A-45: Summary of NTG Audit of Met-Ed’s Residential Programs</w:t>
        </w:r>
        <w:r w:rsidR="00900100">
          <w:rPr>
            <w:noProof/>
            <w:webHidden/>
          </w:rPr>
          <w:tab/>
        </w:r>
        <w:r w:rsidR="00900100">
          <w:rPr>
            <w:noProof/>
            <w:webHidden/>
          </w:rPr>
          <w:fldChar w:fldCharType="begin"/>
        </w:r>
        <w:r w:rsidR="00900100">
          <w:rPr>
            <w:noProof/>
            <w:webHidden/>
          </w:rPr>
          <w:instrText xml:space="preserve"> PAGEREF _Toc476842160 \h </w:instrText>
        </w:r>
        <w:r w:rsidR="00900100">
          <w:rPr>
            <w:noProof/>
            <w:webHidden/>
          </w:rPr>
        </w:r>
        <w:r w:rsidR="00900100">
          <w:rPr>
            <w:noProof/>
            <w:webHidden/>
          </w:rPr>
          <w:fldChar w:fldCharType="separate"/>
        </w:r>
        <w:r w:rsidR="00865B5D">
          <w:rPr>
            <w:noProof/>
            <w:webHidden/>
          </w:rPr>
          <w:t>180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61" w:history="1">
        <w:r w:rsidR="00900100" w:rsidRPr="00BC4B98">
          <w:rPr>
            <w:rStyle w:val="Hyperlink"/>
            <w:rFonts w:eastAsiaTheme="minorHAnsi"/>
            <w:noProof/>
          </w:rPr>
          <w:t>Table A- 46: Summary of NTG Estimates for Met-Ed’s Residential Programs</w:t>
        </w:r>
        <w:r w:rsidR="00900100">
          <w:rPr>
            <w:noProof/>
            <w:webHidden/>
          </w:rPr>
          <w:tab/>
        </w:r>
        <w:r w:rsidR="00900100">
          <w:rPr>
            <w:noProof/>
            <w:webHidden/>
          </w:rPr>
          <w:fldChar w:fldCharType="begin"/>
        </w:r>
        <w:r w:rsidR="00900100">
          <w:rPr>
            <w:noProof/>
            <w:webHidden/>
          </w:rPr>
          <w:instrText xml:space="preserve"> PAGEREF _Toc476842161 \h </w:instrText>
        </w:r>
        <w:r w:rsidR="00900100">
          <w:rPr>
            <w:noProof/>
            <w:webHidden/>
          </w:rPr>
        </w:r>
        <w:r w:rsidR="00900100">
          <w:rPr>
            <w:noProof/>
            <w:webHidden/>
          </w:rPr>
          <w:fldChar w:fldCharType="separate"/>
        </w:r>
        <w:r w:rsidR="00865B5D">
          <w:rPr>
            <w:noProof/>
            <w:webHidden/>
          </w:rPr>
          <w:t>180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62" w:history="1">
        <w:r w:rsidR="00900100" w:rsidRPr="00BC4B98">
          <w:rPr>
            <w:rStyle w:val="Hyperlink"/>
            <w:rFonts w:eastAsiaTheme="minorHAnsi"/>
            <w:noProof/>
          </w:rPr>
          <w:t>Table A-47: Summary of NTG Audit of Met-Ed’s Low-Income Program</w:t>
        </w:r>
        <w:r w:rsidR="00900100">
          <w:rPr>
            <w:noProof/>
            <w:webHidden/>
          </w:rPr>
          <w:tab/>
        </w:r>
        <w:r w:rsidR="00900100">
          <w:rPr>
            <w:noProof/>
            <w:webHidden/>
          </w:rPr>
          <w:fldChar w:fldCharType="begin"/>
        </w:r>
        <w:r w:rsidR="00900100">
          <w:rPr>
            <w:noProof/>
            <w:webHidden/>
          </w:rPr>
          <w:instrText xml:space="preserve"> PAGEREF _Toc476842162 \h </w:instrText>
        </w:r>
        <w:r w:rsidR="00900100">
          <w:rPr>
            <w:noProof/>
            <w:webHidden/>
          </w:rPr>
        </w:r>
        <w:r w:rsidR="00900100">
          <w:rPr>
            <w:noProof/>
            <w:webHidden/>
          </w:rPr>
          <w:fldChar w:fldCharType="separate"/>
        </w:r>
        <w:r w:rsidR="00865B5D">
          <w:rPr>
            <w:noProof/>
            <w:webHidden/>
          </w:rPr>
          <w:t>181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63" w:history="1">
        <w:r w:rsidR="00900100" w:rsidRPr="00BC4B98">
          <w:rPr>
            <w:rStyle w:val="Hyperlink"/>
            <w:rFonts w:eastAsiaTheme="minorHAnsi"/>
            <w:noProof/>
          </w:rPr>
          <w:t>Table A-48: Summary of NTG Estimates for Met-Ed’s Low-Income Program</w:t>
        </w:r>
        <w:r w:rsidR="00900100">
          <w:rPr>
            <w:noProof/>
            <w:webHidden/>
          </w:rPr>
          <w:tab/>
        </w:r>
        <w:r w:rsidR="00900100">
          <w:rPr>
            <w:noProof/>
            <w:webHidden/>
          </w:rPr>
          <w:fldChar w:fldCharType="begin"/>
        </w:r>
        <w:r w:rsidR="00900100">
          <w:rPr>
            <w:noProof/>
            <w:webHidden/>
          </w:rPr>
          <w:instrText xml:space="preserve"> PAGEREF _Toc476842163 \h </w:instrText>
        </w:r>
        <w:r w:rsidR="00900100">
          <w:rPr>
            <w:noProof/>
            <w:webHidden/>
          </w:rPr>
        </w:r>
        <w:r w:rsidR="00900100">
          <w:rPr>
            <w:noProof/>
            <w:webHidden/>
          </w:rPr>
          <w:fldChar w:fldCharType="separate"/>
        </w:r>
        <w:r w:rsidR="00865B5D">
          <w:rPr>
            <w:noProof/>
            <w:webHidden/>
          </w:rPr>
          <w:t>182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64" w:history="1">
        <w:r w:rsidR="00900100" w:rsidRPr="00BC4B98">
          <w:rPr>
            <w:rStyle w:val="Hyperlink"/>
            <w:rFonts w:eastAsiaTheme="minorHAnsi"/>
            <w:noProof/>
          </w:rPr>
          <w:t>Table A-49: Summary of NTG Audit of Met-Ed’s Non-Residential Programs</w:t>
        </w:r>
        <w:r w:rsidR="00900100">
          <w:rPr>
            <w:noProof/>
            <w:webHidden/>
          </w:rPr>
          <w:tab/>
        </w:r>
        <w:r w:rsidR="00900100">
          <w:rPr>
            <w:noProof/>
            <w:webHidden/>
          </w:rPr>
          <w:fldChar w:fldCharType="begin"/>
        </w:r>
        <w:r w:rsidR="00900100">
          <w:rPr>
            <w:noProof/>
            <w:webHidden/>
          </w:rPr>
          <w:instrText xml:space="preserve"> PAGEREF _Toc476842164 \h </w:instrText>
        </w:r>
        <w:r w:rsidR="00900100">
          <w:rPr>
            <w:noProof/>
            <w:webHidden/>
          </w:rPr>
        </w:r>
        <w:r w:rsidR="00900100">
          <w:rPr>
            <w:noProof/>
            <w:webHidden/>
          </w:rPr>
          <w:fldChar w:fldCharType="separate"/>
        </w:r>
        <w:r w:rsidR="00865B5D">
          <w:rPr>
            <w:noProof/>
            <w:webHidden/>
          </w:rPr>
          <w:t>182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65" w:history="1">
        <w:r w:rsidR="00900100" w:rsidRPr="00BC4B98">
          <w:rPr>
            <w:rStyle w:val="Hyperlink"/>
            <w:rFonts w:eastAsiaTheme="minorHAnsi"/>
            <w:noProof/>
          </w:rPr>
          <w:t>Table A-50: Summary of NTG Estimates for Met-Ed’s Non-Residential Programs</w:t>
        </w:r>
        <w:r w:rsidR="00900100">
          <w:rPr>
            <w:noProof/>
            <w:webHidden/>
          </w:rPr>
          <w:tab/>
        </w:r>
        <w:r w:rsidR="00900100">
          <w:rPr>
            <w:noProof/>
            <w:webHidden/>
          </w:rPr>
          <w:fldChar w:fldCharType="begin"/>
        </w:r>
        <w:r w:rsidR="00900100">
          <w:rPr>
            <w:noProof/>
            <w:webHidden/>
          </w:rPr>
          <w:instrText xml:space="preserve"> PAGEREF _Toc476842165 \h </w:instrText>
        </w:r>
        <w:r w:rsidR="00900100">
          <w:rPr>
            <w:noProof/>
            <w:webHidden/>
          </w:rPr>
        </w:r>
        <w:r w:rsidR="00900100">
          <w:rPr>
            <w:noProof/>
            <w:webHidden/>
          </w:rPr>
          <w:fldChar w:fldCharType="separate"/>
        </w:r>
        <w:r w:rsidR="00865B5D">
          <w:rPr>
            <w:noProof/>
            <w:webHidden/>
          </w:rPr>
          <w:t>183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66" w:history="1">
        <w:r w:rsidR="00900100" w:rsidRPr="00BC4B98">
          <w:rPr>
            <w:rStyle w:val="Hyperlink"/>
            <w:rFonts w:eastAsiaTheme="minorHAnsi"/>
            <w:noProof/>
          </w:rPr>
          <w:t>Table A-51: Penelec EE&amp;C Programs with Reported Gross Savings in PY7</w:t>
        </w:r>
        <w:r w:rsidR="00900100">
          <w:rPr>
            <w:noProof/>
            <w:webHidden/>
          </w:rPr>
          <w:tab/>
        </w:r>
        <w:r w:rsidR="00900100">
          <w:rPr>
            <w:noProof/>
            <w:webHidden/>
          </w:rPr>
          <w:fldChar w:fldCharType="begin"/>
        </w:r>
        <w:r w:rsidR="00900100">
          <w:rPr>
            <w:noProof/>
            <w:webHidden/>
          </w:rPr>
          <w:instrText xml:space="preserve"> PAGEREF _Toc476842166 \h </w:instrText>
        </w:r>
        <w:r w:rsidR="00900100">
          <w:rPr>
            <w:noProof/>
            <w:webHidden/>
          </w:rPr>
        </w:r>
        <w:r w:rsidR="00900100">
          <w:rPr>
            <w:noProof/>
            <w:webHidden/>
          </w:rPr>
          <w:fldChar w:fldCharType="separate"/>
        </w:r>
        <w:r w:rsidR="00865B5D">
          <w:rPr>
            <w:noProof/>
            <w:webHidden/>
          </w:rPr>
          <w:t>184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67" w:history="1">
        <w:r w:rsidR="00900100" w:rsidRPr="00BC4B98">
          <w:rPr>
            <w:rStyle w:val="Hyperlink"/>
            <w:rFonts w:eastAsiaTheme="minorHAnsi"/>
            <w:noProof/>
          </w:rPr>
          <w:t>Table A-52: Summary of Penelec EE&amp;C Program Impacts on Verified Gross Portfolio Savings</w:t>
        </w:r>
        <w:r w:rsidR="00900100">
          <w:rPr>
            <w:noProof/>
            <w:webHidden/>
          </w:rPr>
          <w:tab/>
        </w:r>
        <w:r w:rsidR="00900100">
          <w:rPr>
            <w:noProof/>
            <w:webHidden/>
          </w:rPr>
          <w:fldChar w:fldCharType="begin"/>
        </w:r>
        <w:r w:rsidR="00900100">
          <w:rPr>
            <w:noProof/>
            <w:webHidden/>
          </w:rPr>
          <w:instrText xml:space="preserve"> PAGEREF _Toc476842167 \h </w:instrText>
        </w:r>
        <w:r w:rsidR="00900100">
          <w:rPr>
            <w:noProof/>
            <w:webHidden/>
          </w:rPr>
        </w:r>
        <w:r w:rsidR="00900100">
          <w:rPr>
            <w:noProof/>
            <w:webHidden/>
          </w:rPr>
          <w:fldChar w:fldCharType="separate"/>
        </w:r>
        <w:r w:rsidR="00865B5D">
          <w:rPr>
            <w:noProof/>
            <w:webHidden/>
          </w:rPr>
          <w:t>184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68" w:history="1">
        <w:r w:rsidR="00900100" w:rsidRPr="00BC4B98">
          <w:rPr>
            <w:rStyle w:val="Hyperlink"/>
            <w:rFonts w:eastAsiaTheme="minorHAnsi"/>
            <w:noProof/>
          </w:rPr>
          <w:t>Table A-53: Summary of Penelec EE&amp;C Verified Net Savings – by Sector</w:t>
        </w:r>
        <w:r w:rsidR="00900100">
          <w:rPr>
            <w:noProof/>
            <w:webHidden/>
          </w:rPr>
          <w:tab/>
        </w:r>
        <w:r w:rsidR="00900100">
          <w:rPr>
            <w:noProof/>
            <w:webHidden/>
          </w:rPr>
          <w:fldChar w:fldCharType="begin"/>
        </w:r>
        <w:r w:rsidR="00900100">
          <w:rPr>
            <w:noProof/>
            <w:webHidden/>
          </w:rPr>
          <w:instrText xml:space="preserve"> PAGEREF _Toc476842168 \h </w:instrText>
        </w:r>
        <w:r w:rsidR="00900100">
          <w:rPr>
            <w:noProof/>
            <w:webHidden/>
          </w:rPr>
        </w:r>
        <w:r w:rsidR="00900100">
          <w:rPr>
            <w:noProof/>
            <w:webHidden/>
          </w:rPr>
          <w:fldChar w:fldCharType="separate"/>
        </w:r>
        <w:r w:rsidR="00865B5D">
          <w:rPr>
            <w:noProof/>
            <w:webHidden/>
          </w:rPr>
          <w:t>185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69" w:history="1">
        <w:r w:rsidR="00900100" w:rsidRPr="00BC4B98">
          <w:rPr>
            <w:rStyle w:val="Hyperlink"/>
            <w:rFonts w:eastAsiaTheme="minorHAnsi"/>
            <w:noProof/>
          </w:rPr>
          <w:t>Table A-54: Summary of Penelec’s PY7 TRC Factors and Results</w:t>
        </w:r>
        <w:r w:rsidR="00900100">
          <w:rPr>
            <w:noProof/>
            <w:webHidden/>
          </w:rPr>
          <w:tab/>
        </w:r>
        <w:r w:rsidR="00900100">
          <w:rPr>
            <w:noProof/>
            <w:webHidden/>
          </w:rPr>
          <w:fldChar w:fldCharType="begin"/>
        </w:r>
        <w:r w:rsidR="00900100">
          <w:rPr>
            <w:noProof/>
            <w:webHidden/>
          </w:rPr>
          <w:instrText xml:space="preserve"> PAGEREF _Toc476842169 \h </w:instrText>
        </w:r>
        <w:r w:rsidR="00900100">
          <w:rPr>
            <w:noProof/>
            <w:webHidden/>
          </w:rPr>
        </w:r>
        <w:r w:rsidR="00900100">
          <w:rPr>
            <w:noProof/>
            <w:webHidden/>
          </w:rPr>
          <w:fldChar w:fldCharType="separate"/>
        </w:r>
        <w:r w:rsidR="00865B5D">
          <w:rPr>
            <w:noProof/>
            <w:webHidden/>
          </w:rPr>
          <w:t>185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70" w:history="1">
        <w:r w:rsidR="00900100" w:rsidRPr="00BC4B98">
          <w:rPr>
            <w:rStyle w:val="Hyperlink"/>
            <w:rFonts w:eastAsiaTheme="minorHAnsi"/>
            <w:noProof/>
          </w:rPr>
          <w:t>Table A-55: Penelec’s PY7 Discount Rates and LLFs</w:t>
        </w:r>
        <w:r w:rsidR="00900100">
          <w:rPr>
            <w:noProof/>
            <w:webHidden/>
          </w:rPr>
          <w:tab/>
        </w:r>
        <w:r w:rsidR="00900100">
          <w:rPr>
            <w:noProof/>
            <w:webHidden/>
          </w:rPr>
          <w:fldChar w:fldCharType="begin"/>
        </w:r>
        <w:r w:rsidR="00900100">
          <w:rPr>
            <w:noProof/>
            <w:webHidden/>
          </w:rPr>
          <w:instrText xml:space="preserve"> PAGEREF _Toc476842170 \h </w:instrText>
        </w:r>
        <w:r w:rsidR="00900100">
          <w:rPr>
            <w:noProof/>
            <w:webHidden/>
          </w:rPr>
        </w:r>
        <w:r w:rsidR="00900100">
          <w:rPr>
            <w:noProof/>
            <w:webHidden/>
          </w:rPr>
          <w:fldChar w:fldCharType="separate"/>
        </w:r>
        <w:r w:rsidR="00865B5D">
          <w:rPr>
            <w:noProof/>
            <w:webHidden/>
          </w:rPr>
          <w:t>186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71" w:history="1">
        <w:r w:rsidR="00900100" w:rsidRPr="00BC4B98">
          <w:rPr>
            <w:rStyle w:val="Hyperlink"/>
            <w:rFonts w:eastAsiaTheme="minorHAnsi"/>
            <w:noProof/>
          </w:rPr>
          <w:t>Table A-56: Key Milestones Reached for Penelec’s Phase II EM&amp;V Plan</w:t>
        </w:r>
        <w:r w:rsidR="00900100">
          <w:rPr>
            <w:noProof/>
            <w:webHidden/>
          </w:rPr>
          <w:tab/>
        </w:r>
        <w:r w:rsidR="00900100">
          <w:rPr>
            <w:noProof/>
            <w:webHidden/>
          </w:rPr>
          <w:fldChar w:fldCharType="begin"/>
        </w:r>
        <w:r w:rsidR="00900100">
          <w:rPr>
            <w:noProof/>
            <w:webHidden/>
          </w:rPr>
          <w:instrText xml:space="preserve"> PAGEREF _Toc476842171 \h </w:instrText>
        </w:r>
        <w:r w:rsidR="00900100">
          <w:rPr>
            <w:noProof/>
            <w:webHidden/>
          </w:rPr>
        </w:r>
        <w:r w:rsidR="00900100">
          <w:rPr>
            <w:noProof/>
            <w:webHidden/>
          </w:rPr>
          <w:fldChar w:fldCharType="separate"/>
        </w:r>
        <w:r w:rsidR="00865B5D">
          <w:rPr>
            <w:noProof/>
            <w:webHidden/>
          </w:rPr>
          <w:t>188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72" w:history="1">
        <w:r w:rsidR="00900100" w:rsidRPr="00BC4B98">
          <w:rPr>
            <w:rStyle w:val="Hyperlink"/>
            <w:rFonts w:eastAsiaTheme="minorHAnsi"/>
            <w:noProof/>
          </w:rPr>
          <w:t>Table A-57: Penelec Energy Efficiency Programs – Realization Rates for Energy and Demand Savings in PY7</w:t>
        </w:r>
        <w:r w:rsidR="00900100">
          <w:rPr>
            <w:noProof/>
            <w:webHidden/>
          </w:rPr>
          <w:tab/>
        </w:r>
        <w:r w:rsidR="00900100">
          <w:rPr>
            <w:noProof/>
            <w:webHidden/>
          </w:rPr>
          <w:fldChar w:fldCharType="begin"/>
        </w:r>
        <w:r w:rsidR="00900100">
          <w:rPr>
            <w:noProof/>
            <w:webHidden/>
          </w:rPr>
          <w:instrText xml:space="preserve"> PAGEREF _Toc476842172 \h </w:instrText>
        </w:r>
        <w:r w:rsidR="00900100">
          <w:rPr>
            <w:noProof/>
            <w:webHidden/>
          </w:rPr>
        </w:r>
        <w:r w:rsidR="00900100">
          <w:rPr>
            <w:noProof/>
            <w:webHidden/>
          </w:rPr>
          <w:fldChar w:fldCharType="separate"/>
        </w:r>
        <w:r w:rsidR="00865B5D">
          <w:rPr>
            <w:noProof/>
            <w:webHidden/>
          </w:rPr>
          <w:t>189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73" w:history="1">
        <w:r w:rsidR="00900100" w:rsidRPr="00BC4B98">
          <w:rPr>
            <w:rStyle w:val="Hyperlink"/>
            <w:rFonts w:eastAsiaTheme="minorHAnsi"/>
            <w:noProof/>
          </w:rPr>
          <w:t>Table A-58: Compliance across Sample Designs for Penelec’s PY7 Non-Residential Program Groups</w:t>
        </w:r>
        <w:r w:rsidR="00900100">
          <w:rPr>
            <w:noProof/>
            <w:webHidden/>
          </w:rPr>
          <w:tab/>
        </w:r>
        <w:r w:rsidR="00900100">
          <w:rPr>
            <w:noProof/>
            <w:webHidden/>
          </w:rPr>
          <w:fldChar w:fldCharType="begin"/>
        </w:r>
        <w:r w:rsidR="00900100">
          <w:rPr>
            <w:noProof/>
            <w:webHidden/>
          </w:rPr>
          <w:instrText xml:space="preserve"> PAGEREF _Toc476842173 \h </w:instrText>
        </w:r>
        <w:r w:rsidR="00900100">
          <w:rPr>
            <w:noProof/>
            <w:webHidden/>
          </w:rPr>
        </w:r>
        <w:r w:rsidR="00900100">
          <w:rPr>
            <w:noProof/>
            <w:webHidden/>
          </w:rPr>
          <w:fldChar w:fldCharType="separate"/>
        </w:r>
        <w:r w:rsidR="00865B5D">
          <w:rPr>
            <w:noProof/>
            <w:webHidden/>
          </w:rPr>
          <w:t>194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74" w:history="1">
        <w:r w:rsidR="00900100" w:rsidRPr="00BC4B98">
          <w:rPr>
            <w:rStyle w:val="Hyperlink"/>
            <w:rFonts w:eastAsiaTheme="minorHAnsi"/>
            <w:noProof/>
          </w:rPr>
          <w:t>Table A-59: Penelec Project File Review Summary</w:t>
        </w:r>
        <w:r w:rsidR="00900100">
          <w:rPr>
            <w:noProof/>
            <w:webHidden/>
          </w:rPr>
          <w:tab/>
        </w:r>
        <w:r w:rsidR="00900100">
          <w:rPr>
            <w:noProof/>
            <w:webHidden/>
          </w:rPr>
          <w:fldChar w:fldCharType="begin"/>
        </w:r>
        <w:r w:rsidR="00900100">
          <w:rPr>
            <w:noProof/>
            <w:webHidden/>
          </w:rPr>
          <w:instrText xml:space="preserve"> PAGEREF _Toc476842174 \h </w:instrText>
        </w:r>
        <w:r w:rsidR="00900100">
          <w:rPr>
            <w:noProof/>
            <w:webHidden/>
          </w:rPr>
        </w:r>
        <w:r w:rsidR="00900100">
          <w:rPr>
            <w:noProof/>
            <w:webHidden/>
          </w:rPr>
          <w:fldChar w:fldCharType="separate"/>
        </w:r>
        <w:r w:rsidR="00865B5D">
          <w:rPr>
            <w:noProof/>
            <w:webHidden/>
          </w:rPr>
          <w:t>196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75" w:history="1">
        <w:r w:rsidR="00900100" w:rsidRPr="00BC4B98">
          <w:rPr>
            <w:rStyle w:val="Hyperlink"/>
            <w:rFonts w:eastAsiaTheme="minorHAnsi"/>
            <w:noProof/>
          </w:rPr>
          <w:t>Table A-60: Penelec PY7 Sampling Strategy and Relative Precision – Small C/I Energy Efficient Equipment Program</w:t>
        </w:r>
        <w:r w:rsidR="00900100">
          <w:rPr>
            <w:noProof/>
            <w:webHidden/>
          </w:rPr>
          <w:tab/>
        </w:r>
        <w:r w:rsidR="00900100">
          <w:rPr>
            <w:noProof/>
            <w:webHidden/>
          </w:rPr>
          <w:fldChar w:fldCharType="begin"/>
        </w:r>
        <w:r w:rsidR="00900100">
          <w:rPr>
            <w:noProof/>
            <w:webHidden/>
          </w:rPr>
          <w:instrText xml:space="preserve"> PAGEREF _Toc476842175 \h </w:instrText>
        </w:r>
        <w:r w:rsidR="00900100">
          <w:rPr>
            <w:noProof/>
            <w:webHidden/>
          </w:rPr>
        </w:r>
        <w:r w:rsidR="00900100">
          <w:rPr>
            <w:noProof/>
            <w:webHidden/>
          </w:rPr>
          <w:fldChar w:fldCharType="separate"/>
        </w:r>
        <w:r w:rsidR="00865B5D">
          <w:rPr>
            <w:noProof/>
            <w:webHidden/>
          </w:rPr>
          <w:t>198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76" w:history="1">
        <w:r w:rsidR="00900100" w:rsidRPr="00BC4B98">
          <w:rPr>
            <w:rStyle w:val="Hyperlink"/>
            <w:rFonts w:eastAsiaTheme="minorHAnsi"/>
            <w:noProof/>
          </w:rPr>
          <w:t>Table A-61: Penelec’s PY7 Sampling Strategy and Relative Precision – Small C/I Energy Efficient Buildings Program</w:t>
        </w:r>
        <w:r w:rsidR="00900100">
          <w:rPr>
            <w:noProof/>
            <w:webHidden/>
          </w:rPr>
          <w:tab/>
        </w:r>
        <w:r w:rsidR="00900100">
          <w:rPr>
            <w:noProof/>
            <w:webHidden/>
          </w:rPr>
          <w:fldChar w:fldCharType="begin"/>
        </w:r>
        <w:r w:rsidR="00900100">
          <w:rPr>
            <w:noProof/>
            <w:webHidden/>
          </w:rPr>
          <w:instrText xml:space="preserve"> PAGEREF _Toc476842176 \h </w:instrText>
        </w:r>
        <w:r w:rsidR="00900100">
          <w:rPr>
            <w:noProof/>
            <w:webHidden/>
          </w:rPr>
        </w:r>
        <w:r w:rsidR="00900100">
          <w:rPr>
            <w:noProof/>
            <w:webHidden/>
          </w:rPr>
          <w:fldChar w:fldCharType="separate"/>
        </w:r>
        <w:r w:rsidR="00865B5D">
          <w:rPr>
            <w:noProof/>
            <w:webHidden/>
          </w:rPr>
          <w:t>198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77" w:history="1">
        <w:r w:rsidR="00900100" w:rsidRPr="00BC4B98">
          <w:rPr>
            <w:rStyle w:val="Hyperlink"/>
            <w:rFonts w:eastAsiaTheme="minorHAnsi"/>
            <w:noProof/>
          </w:rPr>
          <w:t>Table A-62: Penelec’s PY7 Sampling Strategy and Relative Precision – Large C/I Energy Efficient Equipment Program</w:t>
        </w:r>
        <w:r w:rsidR="00900100">
          <w:rPr>
            <w:noProof/>
            <w:webHidden/>
          </w:rPr>
          <w:tab/>
        </w:r>
        <w:r w:rsidR="00900100">
          <w:rPr>
            <w:noProof/>
            <w:webHidden/>
          </w:rPr>
          <w:fldChar w:fldCharType="begin"/>
        </w:r>
        <w:r w:rsidR="00900100">
          <w:rPr>
            <w:noProof/>
            <w:webHidden/>
          </w:rPr>
          <w:instrText xml:space="preserve"> PAGEREF _Toc476842177 \h </w:instrText>
        </w:r>
        <w:r w:rsidR="00900100">
          <w:rPr>
            <w:noProof/>
            <w:webHidden/>
          </w:rPr>
        </w:r>
        <w:r w:rsidR="00900100">
          <w:rPr>
            <w:noProof/>
            <w:webHidden/>
          </w:rPr>
          <w:fldChar w:fldCharType="separate"/>
        </w:r>
        <w:r w:rsidR="00865B5D">
          <w:rPr>
            <w:noProof/>
            <w:webHidden/>
          </w:rPr>
          <w:t>199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78" w:history="1">
        <w:r w:rsidR="00900100" w:rsidRPr="00BC4B98">
          <w:rPr>
            <w:rStyle w:val="Hyperlink"/>
            <w:rFonts w:eastAsiaTheme="minorHAnsi"/>
            <w:noProof/>
          </w:rPr>
          <w:t>Table A-63: Penelec’s PY7 Sampling Strategy and Relative Precision – Large C/I Energy Efficient Buildings Program</w:t>
        </w:r>
        <w:r w:rsidR="00900100">
          <w:rPr>
            <w:noProof/>
            <w:webHidden/>
          </w:rPr>
          <w:tab/>
        </w:r>
        <w:r w:rsidR="00900100">
          <w:rPr>
            <w:noProof/>
            <w:webHidden/>
          </w:rPr>
          <w:fldChar w:fldCharType="begin"/>
        </w:r>
        <w:r w:rsidR="00900100">
          <w:rPr>
            <w:noProof/>
            <w:webHidden/>
          </w:rPr>
          <w:instrText xml:space="preserve"> PAGEREF _Toc476842178 \h </w:instrText>
        </w:r>
        <w:r w:rsidR="00900100">
          <w:rPr>
            <w:noProof/>
            <w:webHidden/>
          </w:rPr>
        </w:r>
        <w:r w:rsidR="00900100">
          <w:rPr>
            <w:noProof/>
            <w:webHidden/>
          </w:rPr>
          <w:fldChar w:fldCharType="separate"/>
        </w:r>
        <w:r w:rsidR="00865B5D">
          <w:rPr>
            <w:noProof/>
            <w:webHidden/>
          </w:rPr>
          <w:t>200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79" w:history="1">
        <w:r w:rsidR="00900100" w:rsidRPr="00BC4B98">
          <w:rPr>
            <w:rStyle w:val="Hyperlink"/>
            <w:rFonts w:eastAsiaTheme="minorHAnsi"/>
            <w:noProof/>
          </w:rPr>
          <w:t>Table A-64: Penelec’s PY7 Sampling Strategy and Achieved Precision – Government and Institutional Program</w:t>
        </w:r>
        <w:r w:rsidR="00900100">
          <w:rPr>
            <w:noProof/>
            <w:webHidden/>
          </w:rPr>
          <w:tab/>
        </w:r>
        <w:r w:rsidR="00900100">
          <w:rPr>
            <w:noProof/>
            <w:webHidden/>
          </w:rPr>
          <w:fldChar w:fldCharType="begin"/>
        </w:r>
        <w:r w:rsidR="00900100">
          <w:rPr>
            <w:noProof/>
            <w:webHidden/>
          </w:rPr>
          <w:instrText xml:space="preserve"> PAGEREF _Toc476842179 \h </w:instrText>
        </w:r>
        <w:r w:rsidR="00900100">
          <w:rPr>
            <w:noProof/>
            <w:webHidden/>
          </w:rPr>
        </w:r>
        <w:r w:rsidR="00900100">
          <w:rPr>
            <w:noProof/>
            <w:webHidden/>
          </w:rPr>
          <w:fldChar w:fldCharType="separate"/>
        </w:r>
        <w:r w:rsidR="00865B5D">
          <w:rPr>
            <w:noProof/>
            <w:webHidden/>
          </w:rPr>
          <w:t>201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80" w:history="1">
        <w:r w:rsidR="00900100" w:rsidRPr="00BC4B98">
          <w:rPr>
            <w:rStyle w:val="Hyperlink"/>
            <w:rFonts w:eastAsiaTheme="minorHAnsi"/>
            <w:noProof/>
          </w:rPr>
          <w:t>Table A-65: Penelec’s PY7 Non-Residential Site Inspection Findings</w:t>
        </w:r>
        <w:r w:rsidR="00900100">
          <w:rPr>
            <w:noProof/>
            <w:webHidden/>
          </w:rPr>
          <w:tab/>
        </w:r>
        <w:r w:rsidR="00900100">
          <w:rPr>
            <w:noProof/>
            <w:webHidden/>
          </w:rPr>
          <w:fldChar w:fldCharType="begin"/>
        </w:r>
        <w:r w:rsidR="00900100">
          <w:rPr>
            <w:noProof/>
            <w:webHidden/>
          </w:rPr>
          <w:instrText xml:space="preserve"> PAGEREF _Toc476842180 \h </w:instrText>
        </w:r>
        <w:r w:rsidR="00900100">
          <w:rPr>
            <w:noProof/>
            <w:webHidden/>
          </w:rPr>
        </w:r>
        <w:r w:rsidR="00900100">
          <w:rPr>
            <w:noProof/>
            <w:webHidden/>
          </w:rPr>
          <w:fldChar w:fldCharType="separate"/>
        </w:r>
        <w:r w:rsidR="00865B5D">
          <w:rPr>
            <w:noProof/>
            <w:webHidden/>
          </w:rPr>
          <w:t>201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81" w:history="1">
        <w:r w:rsidR="00900100" w:rsidRPr="00BC4B98">
          <w:rPr>
            <w:rStyle w:val="Hyperlink"/>
            <w:rFonts w:eastAsiaTheme="minorHAnsi"/>
            <w:noProof/>
          </w:rPr>
          <w:t>Table A-66: Verified Savings and M&amp;V Methods for SWE Team–Sampled Penelec Projects</w:t>
        </w:r>
        <w:r w:rsidR="00900100">
          <w:rPr>
            <w:noProof/>
            <w:webHidden/>
          </w:rPr>
          <w:tab/>
        </w:r>
        <w:r w:rsidR="00900100">
          <w:rPr>
            <w:noProof/>
            <w:webHidden/>
          </w:rPr>
          <w:fldChar w:fldCharType="begin"/>
        </w:r>
        <w:r w:rsidR="00900100">
          <w:rPr>
            <w:noProof/>
            <w:webHidden/>
          </w:rPr>
          <w:instrText xml:space="preserve"> PAGEREF _Toc476842181 \h </w:instrText>
        </w:r>
        <w:r w:rsidR="00900100">
          <w:rPr>
            <w:noProof/>
            <w:webHidden/>
          </w:rPr>
        </w:r>
        <w:r w:rsidR="00900100">
          <w:rPr>
            <w:noProof/>
            <w:webHidden/>
          </w:rPr>
          <w:fldChar w:fldCharType="separate"/>
        </w:r>
        <w:r w:rsidR="00865B5D">
          <w:rPr>
            <w:noProof/>
            <w:webHidden/>
          </w:rPr>
          <w:t>202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82" w:history="1">
        <w:r w:rsidR="00900100" w:rsidRPr="00BC4B98">
          <w:rPr>
            <w:rStyle w:val="Hyperlink"/>
            <w:rFonts w:eastAsiaTheme="minorHAnsi"/>
            <w:noProof/>
          </w:rPr>
          <w:t>Table A-67: Summary of NTG Estimates for Penelec’s Programs</w:t>
        </w:r>
        <w:r w:rsidR="00900100">
          <w:rPr>
            <w:noProof/>
            <w:webHidden/>
          </w:rPr>
          <w:tab/>
        </w:r>
        <w:r w:rsidR="00900100">
          <w:rPr>
            <w:noProof/>
            <w:webHidden/>
          </w:rPr>
          <w:fldChar w:fldCharType="begin"/>
        </w:r>
        <w:r w:rsidR="00900100">
          <w:rPr>
            <w:noProof/>
            <w:webHidden/>
          </w:rPr>
          <w:instrText xml:space="preserve"> PAGEREF _Toc476842182 \h </w:instrText>
        </w:r>
        <w:r w:rsidR="00900100">
          <w:rPr>
            <w:noProof/>
            <w:webHidden/>
          </w:rPr>
        </w:r>
        <w:r w:rsidR="00900100">
          <w:rPr>
            <w:noProof/>
            <w:webHidden/>
          </w:rPr>
          <w:fldChar w:fldCharType="separate"/>
        </w:r>
        <w:r w:rsidR="00865B5D">
          <w:rPr>
            <w:noProof/>
            <w:webHidden/>
          </w:rPr>
          <w:t>203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83" w:history="1">
        <w:r w:rsidR="00900100" w:rsidRPr="00BC4B98">
          <w:rPr>
            <w:rStyle w:val="Hyperlink"/>
            <w:rFonts w:eastAsiaTheme="minorHAnsi"/>
            <w:noProof/>
          </w:rPr>
          <w:t>Table A-68: Penn Power EE&amp;C Programs with Reported Gross Savings in PY7</w:t>
        </w:r>
        <w:r w:rsidR="00900100">
          <w:rPr>
            <w:noProof/>
            <w:webHidden/>
          </w:rPr>
          <w:tab/>
        </w:r>
        <w:r w:rsidR="00900100">
          <w:rPr>
            <w:noProof/>
            <w:webHidden/>
          </w:rPr>
          <w:fldChar w:fldCharType="begin"/>
        </w:r>
        <w:r w:rsidR="00900100">
          <w:rPr>
            <w:noProof/>
            <w:webHidden/>
          </w:rPr>
          <w:instrText xml:space="preserve"> PAGEREF _Toc476842183 \h </w:instrText>
        </w:r>
        <w:r w:rsidR="00900100">
          <w:rPr>
            <w:noProof/>
            <w:webHidden/>
          </w:rPr>
        </w:r>
        <w:r w:rsidR="00900100">
          <w:rPr>
            <w:noProof/>
            <w:webHidden/>
          </w:rPr>
          <w:fldChar w:fldCharType="separate"/>
        </w:r>
        <w:r w:rsidR="00865B5D">
          <w:rPr>
            <w:noProof/>
            <w:webHidden/>
          </w:rPr>
          <w:t>204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84" w:history="1">
        <w:r w:rsidR="00900100" w:rsidRPr="00BC4B98">
          <w:rPr>
            <w:rStyle w:val="Hyperlink"/>
            <w:rFonts w:eastAsiaTheme="minorHAnsi"/>
            <w:noProof/>
          </w:rPr>
          <w:t>Table A-69: Summary of Penn Power EE&amp;C Program Impacts on Verified Gross Portfolio Savings</w:t>
        </w:r>
        <w:r w:rsidR="00900100">
          <w:rPr>
            <w:noProof/>
            <w:webHidden/>
          </w:rPr>
          <w:tab/>
        </w:r>
        <w:r w:rsidR="00900100">
          <w:rPr>
            <w:noProof/>
            <w:webHidden/>
          </w:rPr>
          <w:fldChar w:fldCharType="begin"/>
        </w:r>
        <w:r w:rsidR="00900100">
          <w:rPr>
            <w:noProof/>
            <w:webHidden/>
          </w:rPr>
          <w:instrText xml:space="preserve"> PAGEREF _Toc476842184 \h </w:instrText>
        </w:r>
        <w:r w:rsidR="00900100">
          <w:rPr>
            <w:noProof/>
            <w:webHidden/>
          </w:rPr>
        </w:r>
        <w:r w:rsidR="00900100">
          <w:rPr>
            <w:noProof/>
            <w:webHidden/>
          </w:rPr>
          <w:fldChar w:fldCharType="separate"/>
        </w:r>
        <w:r w:rsidR="00865B5D">
          <w:rPr>
            <w:noProof/>
            <w:webHidden/>
          </w:rPr>
          <w:t>204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85" w:history="1">
        <w:r w:rsidR="00900100" w:rsidRPr="00BC4B98">
          <w:rPr>
            <w:rStyle w:val="Hyperlink"/>
            <w:rFonts w:eastAsiaTheme="minorHAnsi"/>
            <w:noProof/>
          </w:rPr>
          <w:t>Table A-70: Summary of Penn Power EE&amp;C Verified Net Savings – by Sector</w:t>
        </w:r>
        <w:r w:rsidR="00900100">
          <w:rPr>
            <w:noProof/>
            <w:webHidden/>
          </w:rPr>
          <w:tab/>
        </w:r>
        <w:r w:rsidR="00900100">
          <w:rPr>
            <w:noProof/>
            <w:webHidden/>
          </w:rPr>
          <w:fldChar w:fldCharType="begin"/>
        </w:r>
        <w:r w:rsidR="00900100">
          <w:rPr>
            <w:noProof/>
            <w:webHidden/>
          </w:rPr>
          <w:instrText xml:space="preserve"> PAGEREF _Toc476842185 \h </w:instrText>
        </w:r>
        <w:r w:rsidR="00900100">
          <w:rPr>
            <w:noProof/>
            <w:webHidden/>
          </w:rPr>
        </w:r>
        <w:r w:rsidR="00900100">
          <w:rPr>
            <w:noProof/>
            <w:webHidden/>
          </w:rPr>
          <w:fldChar w:fldCharType="separate"/>
        </w:r>
        <w:r w:rsidR="00865B5D">
          <w:rPr>
            <w:noProof/>
            <w:webHidden/>
          </w:rPr>
          <w:t>204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86" w:history="1">
        <w:r w:rsidR="00900100" w:rsidRPr="00BC4B98">
          <w:rPr>
            <w:rStyle w:val="Hyperlink"/>
            <w:rFonts w:eastAsiaTheme="minorHAnsi"/>
            <w:noProof/>
          </w:rPr>
          <w:t>Table A-71: Summary of Penn Power’s PY7 TRC Factors and Results</w:t>
        </w:r>
        <w:r w:rsidR="00900100">
          <w:rPr>
            <w:noProof/>
            <w:webHidden/>
          </w:rPr>
          <w:tab/>
        </w:r>
        <w:r w:rsidR="00900100">
          <w:rPr>
            <w:noProof/>
            <w:webHidden/>
          </w:rPr>
          <w:fldChar w:fldCharType="begin"/>
        </w:r>
        <w:r w:rsidR="00900100">
          <w:rPr>
            <w:noProof/>
            <w:webHidden/>
          </w:rPr>
          <w:instrText xml:space="preserve"> PAGEREF _Toc476842186 \h </w:instrText>
        </w:r>
        <w:r w:rsidR="00900100">
          <w:rPr>
            <w:noProof/>
            <w:webHidden/>
          </w:rPr>
        </w:r>
        <w:r w:rsidR="00900100">
          <w:rPr>
            <w:noProof/>
            <w:webHidden/>
          </w:rPr>
          <w:fldChar w:fldCharType="separate"/>
        </w:r>
        <w:r w:rsidR="00865B5D">
          <w:rPr>
            <w:noProof/>
            <w:webHidden/>
          </w:rPr>
          <w:t>205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87" w:history="1">
        <w:r w:rsidR="00900100" w:rsidRPr="00BC4B98">
          <w:rPr>
            <w:rStyle w:val="Hyperlink"/>
            <w:rFonts w:eastAsiaTheme="minorHAnsi"/>
            <w:noProof/>
          </w:rPr>
          <w:t>Table A-72: Penn Power’s PY7 Discount Rates and LLFs</w:t>
        </w:r>
        <w:r w:rsidR="00900100">
          <w:rPr>
            <w:noProof/>
            <w:webHidden/>
          </w:rPr>
          <w:tab/>
        </w:r>
        <w:r w:rsidR="00900100">
          <w:rPr>
            <w:noProof/>
            <w:webHidden/>
          </w:rPr>
          <w:fldChar w:fldCharType="begin"/>
        </w:r>
        <w:r w:rsidR="00900100">
          <w:rPr>
            <w:noProof/>
            <w:webHidden/>
          </w:rPr>
          <w:instrText xml:space="preserve"> PAGEREF _Toc476842187 \h </w:instrText>
        </w:r>
        <w:r w:rsidR="00900100">
          <w:rPr>
            <w:noProof/>
            <w:webHidden/>
          </w:rPr>
        </w:r>
        <w:r w:rsidR="00900100">
          <w:rPr>
            <w:noProof/>
            <w:webHidden/>
          </w:rPr>
          <w:fldChar w:fldCharType="separate"/>
        </w:r>
        <w:r w:rsidR="00865B5D">
          <w:rPr>
            <w:noProof/>
            <w:webHidden/>
          </w:rPr>
          <w:t>206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88" w:history="1">
        <w:r w:rsidR="00900100" w:rsidRPr="00BC4B98">
          <w:rPr>
            <w:rStyle w:val="Hyperlink"/>
            <w:rFonts w:eastAsiaTheme="minorHAnsi"/>
            <w:noProof/>
          </w:rPr>
          <w:t>Table A-73: Key Milestones Reached for Penn Power’s Phase II EM&amp;V Plan</w:t>
        </w:r>
        <w:r w:rsidR="00900100">
          <w:rPr>
            <w:noProof/>
            <w:webHidden/>
          </w:rPr>
          <w:tab/>
        </w:r>
        <w:r w:rsidR="00900100">
          <w:rPr>
            <w:noProof/>
            <w:webHidden/>
          </w:rPr>
          <w:fldChar w:fldCharType="begin"/>
        </w:r>
        <w:r w:rsidR="00900100">
          <w:rPr>
            <w:noProof/>
            <w:webHidden/>
          </w:rPr>
          <w:instrText xml:space="preserve"> PAGEREF _Toc476842188 \h </w:instrText>
        </w:r>
        <w:r w:rsidR="00900100">
          <w:rPr>
            <w:noProof/>
            <w:webHidden/>
          </w:rPr>
        </w:r>
        <w:r w:rsidR="00900100">
          <w:rPr>
            <w:noProof/>
            <w:webHidden/>
          </w:rPr>
          <w:fldChar w:fldCharType="separate"/>
        </w:r>
        <w:r w:rsidR="00865B5D">
          <w:rPr>
            <w:noProof/>
            <w:webHidden/>
          </w:rPr>
          <w:t>208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89" w:history="1">
        <w:r w:rsidR="00900100" w:rsidRPr="00BC4B98">
          <w:rPr>
            <w:rStyle w:val="Hyperlink"/>
            <w:rFonts w:eastAsiaTheme="minorHAnsi"/>
            <w:noProof/>
          </w:rPr>
          <w:t>Table A-74: Penn Power Energy Efficiency Programs – Realization Rates for Energy and Demand Savings in PY7</w:t>
        </w:r>
        <w:r w:rsidR="00900100">
          <w:rPr>
            <w:noProof/>
            <w:webHidden/>
          </w:rPr>
          <w:tab/>
        </w:r>
        <w:r w:rsidR="00900100">
          <w:rPr>
            <w:noProof/>
            <w:webHidden/>
          </w:rPr>
          <w:fldChar w:fldCharType="begin"/>
        </w:r>
        <w:r w:rsidR="00900100">
          <w:rPr>
            <w:noProof/>
            <w:webHidden/>
          </w:rPr>
          <w:instrText xml:space="preserve"> PAGEREF _Toc476842189 \h </w:instrText>
        </w:r>
        <w:r w:rsidR="00900100">
          <w:rPr>
            <w:noProof/>
            <w:webHidden/>
          </w:rPr>
        </w:r>
        <w:r w:rsidR="00900100">
          <w:rPr>
            <w:noProof/>
            <w:webHidden/>
          </w:rPr>
          <w:fldChar w:fldCharType="separate"/>
        </w:r>
        <w:r w:rsidR="00865B5D">
          <w:rPr>
            <w:noProof/>
            <w:webHidden/>
          </w:rPr>
          <w:t>209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90" w:history="1">
        <w:r w:rsidR="00900100" w:rsidRPr="00BC4B98">
          <w:rPr>
            <w:rStyle w:val="Hyperlink"/>
            <w:rFonts w:eastAsiaTheme="minorHAnsi"/>
            <w:noProof/>
          </w:rPr>
          <w:t>Table A-75: Compliance across Sample Designs for Penn Power’s PY7 Non-Residential Program Groups</w:t>
        </w:r>
        <w:r w:rsidR="00900100">
          <w:rPr>
            <w:noProof/>
            <w:webHidden/>
          </w:rPr>
          <w:tab/>
        </w:r>
        <w:r w:rsidR="00900100">
          <w:rPr>
            <w:noProof/>
            <w:webHidden/>
          </w:rPr>
          <w:fldChar w:fldCharType="begin"/>
        </w:r>
        <w:r w:rsidR="00900100">
          <w:rPr>
            <w:noProof/>
            <w:webHidden/>
          </w:rPr>
          <w:instrText xml:space="preserve"> PAGEREF _Toc476842190 \h </w:instrText>
        </w:r>
        <w:r w:rsidR="00900100">
          <w:rPr>
            <w:noProof/>
            <w:webHidden/>
          </w:rPr>
        </w:r>
        <w:r w:rsidR="00900100">
          <w:rPr>
            <w:noProof/>
            <w:webHidden/>
          </w:rPr>
          <w:fldChar w:fldCharType="separate"/>
        </w:r>
        <w:r w:rsidR="00865B5D">
          <w:rPr>
            <w:noProof/>
            <w:webHidden/>
          </w:rPr>
          <w:t>214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91" w:history="1">
        <w:r w:rsidR="00900100" w:rsidRPr="00BC4B98">
          <w:rPr>
            <w:rStyle w:val="Hyperlink"/>
            <w:rFonts w:eastAsiaTheme="minorHAnsi"/>
            <w:noProof/>
          </w:rPr>
          <w:t>Table A-76: Penn Power Project Files Review Summary</w:t>
        </w:r>
        <w:r w:rsidR="00900100">
          <w:rPr>
            <w:noProof/>
            <w:webHidden/>
          </w:rPr>
          <w:tab/>
        </w:r>
        <w:r w:rsidR="00900100">
          <w:rPr>
            <w:noProof/>
            <w:webHidden/>
          </w:rPr>
          <w:fldChar w:fldCharType="begin"/>
        </w:r>
        <w:r w:rsidR="00900100">
          <w:rPr>
            <w:noProof/>
            <w:webHidden/>
          </w:rPr>
          <w:instrText xml:space="preserve"> PAGEREF _Toc476842191 \h </w:instrText>
        </w:r>
        <w:r w:rsidR="00900100">
          <w:rPr>
            <w:noProof/>
            <w:webHidden/>
          </w:rPr>
        </w:r>
        <w:r w:rsidR="00900100">
          <w:rPr>
            <w:noProof/>
            <w:webHidden/>
          </w:rPr>
          <w:fldChar w:fldCharType="separate"/>
        </w:r>
        <w:r w:rsidR="00865B5D">
          <w:rPr>
            <w:noProof/>
            <w:webHidden/>
          </w:rPr>
          <w:t>216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92" w:history="1">
        <w:r w:rsidR="00900100" w:rsidRPr="00BC4B98">
          <w:rPr>
            <w:rStyle w:val="Hyperlink"/>
            <w:rFonts w:eastAsiaTheme="minorHAnsi"/>
            <w:noProof/>
          </w:rPr>
          <w:t>Table A-77: Penn Power’s PY7 Sampling Strategy and Relative Precision – Small C/I Energy Efficient Equipment Program</w:t>
        </w:r>
        <w:r w:rsidR="00900100">
          <w:rPr>
            <w:noProof/>
            <w:webHidden/>
          </w:rPr>
          <w:tab/>
        </w:r>
        <w:r w:rsidR="00900100">
          <w:rPr>
            <w:noProof/>
            <w:webHidden/>
          </w:rPr>
          <w:fldChar w:fldCharType="begin"/>
        </w:r>
        <w:r w:rsidR="00900100">
          <w:rPr>
            <w:noProof/>
            <w:webHidden/>
          </w:rPr>
          <w:instrText xml:space="preserve"> PAGEREF _Toc476842192 \h </w:instrText>
        </w:r>
        <w:r w:rsidR="00900100">
          <w:rPr>
            <w:noProof/>
            <w:webHidden/>
          </w:rPr>
        </w:r>
        <w:r w:rsidR="00900100">
          <w:rPr>
            <w:noProof/>
            <w:webHidden/>
          </w:rPr>
          <w:fldChar w:fldCharType="separate"/>
        </w:r>
        <w:r w:rsidR="00865B5D">
          <w:rPr>
            <w:noProof/>
            <w:webHidden/>
          </w:rPr>
          <w:t>219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93" w:history="1">
        <w:r w:rsidR="00900100" w:rsidRPr="00BC4B98">
          <w:rPr>
            <w:rStyle w:val="Hyperlink"/>
            <w:rFonts w:eastAsiaTheme="minorHAnsi"/>
            <w:noProof/>
          </w:rPr>
          <w:t>Table A-78: Penn Power’s PY7 Sampling Strategy and Relative Precision – Small C/I Energy Efficient Buildings Program</w:t>
        </w:r>
        <w:r w:rsidR="00900100">
          <w:rPr>
            <w:noProof/>
            <w:webHidden/>
          </w:rPr>
          <w:tab/>
        </w:r>
        <w:r w:rsidR="00900100">
          <w:rPr>
            <w:noProof/>
            <w:webHidden/>
          </w:rPr>
          <w:fldChar w:fldCharType="begin"/>
        </w:r>
        <w:r w:rsidR="00900100">
          <w:rPr>
            <w:noProof/>
            <w:webHidden/>
          </w:rPr>
          <w:instrText xml:space="preserve"> PAGEREF _Toc476842193 \h </w:instrText>
        </w:r>
        <w:r w:rsidR="00900100">
          <w:rPr>
            <w:noProof/>
            <w:webHidden/>
          </w:rPr>
        </w:r>
        <w:r w:rsidR="00900100">
          <w:rPr>
            <w:noProof/>
            <w:webHidden/>
          </w:rPr>
          <w:fldChar w:fldCharType="separate"/>
        </w:r>
        <w:r w:rsidR="00865B5D">
          <w:rPr>
            <w:noProof/>
            <w:webHidden/>
          </w:rPr>
          <w:t>220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94" w:history="1">
        <w:r w:rsidR="00900100" w:rsidRPr="00BC4B98">
          <w:rPr>
            <w:rStyle w:val="Hyperlink"/>
            <w:rFonts w:eastAsiaTheme="minorHAnsi"/>
            <w:noProof/>
          </w:rPr>
          <w:t>Table A-79: Penn Power’s PY7 Sampling Strategy and Relative Precision – Large C/I Energy Efficient Equipment Program</w:t>
        </w:r>
        <w:r w:rsidR="00900100">
          <w:rPr>
            <w:noProof/>
            <w:webHidden/>
          </w:rPr>
          <w:tab/>
        </w:r>
        <w:r w:rsidR="00900100">
          <w:rPr>
            <w:noProof/>
            <w:webHidden/>
          </w:rPr>
          <w:fldChar w:fldCharType="begin"/>
        </w:r>
        <w:r w:rsidR="00900100">
          <w:rPr>
            <w:noProof/>
            <w:webHidden/>
          </w:rPr>
          <w:instrText xml:space="preserve"> PAGEREF _Toc476842194 \h </w:instrText>
        </w:r>
        <w:r w:rsidR="00900100">
          <w:rPr>
            <w:noProof/>
            <w:webHidden/>
          </w:rPr>
        </w:r>
        <w:r w:rsidR="00900100">
          <w:rPr>
            <w:noProof/>
            <w:webHidden/>
          </w:rPr>
          <w:fldChar w:fldCharType="separate"/>
        </w:r>
        <w:r w:rsidR="00865B5D">
          <w:rPr>
            <w:noProof/>
            <w:webHidden/>
          </w:rPr>
          <w:t>221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95" w:history="1">
        <w:r w:rsidR="00900100" w:rsidRPr="00BC4B98">
          <w:rPr>
            <w:rStyle w:val="Hyperlink"/>
            <w:rFonts w:eastAsiaTheme="minorHAnsi"/>
            <w:noProof/>
          </w:rPr>
          <w:t>Table A-80: Penn Power PY7 Sampling Strategy and Relative Precision – Large C/I Energy Efficient Buildings Program</w:t>
        </w:r>
        <w:r w:rsidR="00900100">
          <w:rPr>
            <w:noProof/>
            <w:webHidden/>
          </w:rPr>
          <w:tab/>
        </w:r>
        <w:r w:rsidR="00900100">
          <w:rPr>
            <w:noProof/>
            <w:webHidden/>
          </w:rPr>
          <w:fldChar w:fldCharType="begin"/>
        </w:r>
        <w:r w:rsidR="00900100">
          <w:rPr>
            <w:noProof/>
            <w:webHidden/>
          </w:rPr>
          <w:instrText xml:space="preserve"> PAGEREF _Toc476842195 \h </w:instrText>
        </w:r>
        <w:r w:rsidR="00900100">
          <w:rPr>
            <w:noProof/>
            <w:webHidden/>
          </w:rPr>
        </w:r>
        <w:r w:rsidR="00900100">
          <w:rPr>
            <w:noProof/>
            <w:webHidden/>
          </w:rPr>
          <w:fldChar w:fldCharType="separate"/>
        </w:r>
        <w:r w:rsidR="00865B5D">
          <w:rPr>
            <w:noProof/>
            <w:webHidden/>
          </w:rPr>
          <w:t>222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96" w:history="1">
        <w:r w:rsidR="00900100" w:rsidRPr="00BC4B98">
          <w:rPr>
            <w:rStyle w:val="Hyperlink"/>
            <w:rFonts w:eastAsiaTheme="minorHAnsi"/>
            <w:noProof/>
          </w:rPr>
          <w:t>Table A-81: Penn Power’s PY7 Sampling Strategy and Achieved Precision – Government and Institutional Program</w:t>
        </w:r>
        <w:r w:rsidR="00900100">
          <w:rPr>
            <w:noProof/>
            <w:webHidden/>
          </w:rPr>
          <w:tab/>
        </w:r>
        <w:r w:rsidR="00900100">
          <w:rPr>
            <w:noProof/>
            <w:webHidden/>
          </w:rPr>
          <w:fldChar w:fldCharType="begin"/>
        </w:r>
        <w:r w:rsidR="00900100">
          <w:rPr>
            <w:noProof/>
            <w:webHidden/>
          </w:rPr>
          <w:instrText xml:space="preserve"> PAGEREF _Toc476842196 \h </w:instrText>
        </w:r>
        <w:r w:rsidR="00900100">
          <w:rPr>
            <w:noProof/>
            <w:webHidden/>
          </w:rPr>
        </w:r>
        <w:r w:rsidR="00900100">
          <w:rPr>
            <w:noProof/>
            <w:webHidden/>
          </w:rPr>
          <w:fldChar w:fldCharType="separate"/>
        </w:r>
        <w:r w:rsidR="00865B5D">
          <w:rPr>
            <w:noProof/>
            <w:webHidden/>
          </w:rPr>
          <w:t>222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97" w:history="1">
        <w:r w:rsidR="00900100" w:rsidRPr="00BC4B98">
          <w:rPr>
            <w:rStyle w:val="Hyperlink"/>
            <w:rFonts w:eastAsiaTheme="minorHAnsi"/>
            <w:noProof/>
          </w:rPr>
          <w:t>Table A-82: Penn Power’s PY7 Non-Residential Site Inspection Findings</w:t>
        </w:r>
        <w:r w:rsidR="00900100">
          <w:rPr>
            <w:noProof/>
            <w:webHidden/>
          </w:rPr>
          <w:tab/>
        </w:r>
        <w:r w:rsidR="00900100">
          <w:rPr>
            <w:noProof/>
            <w:webHidden/>
          </w:rPr>
          <w:fldChar w:fldCharType="begin"/>
        </w:r>
        <w:r w:rsidR="00900100">
          <w:rPr>
            <w:noProof/>
            <w:webHidden/>
          </w:rPr>
          <w:instrText xml:space="preserve"> PAGEREF _Toc476842197 \h </w:instrText>
        </w:r>
        <w:r w:rsidR="00900100">
          <w:rPr>
            <w:noProof/>
            <w:webHidden/>
          </w:rPr>
        </w:r>
        <w:r w:rsidR="00900100">
          <w:rPr>
            <w:noProof/>
            <w:webHidden/>
          </w:rPr>
          <w:fldChar w:fldCharType="separate"/>
        </w:r>
        <w:r w:rsidR="00865B5D">
          <w:rPr>
            <w:noProof/>
            <w:webHidden/>
          </w:rPr>
          <w:t>223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98" w:history="1">
        <w:r w:rsidR="00900100" w:rsidRPr="00BC4B98">
          <w:rPr>
            <w:rStyle w:val="Hyperlink"/>
            <w:rFonts w:eastAsiaTheme="minorHAnsi"/>
            <w:noProof/>
          </w:rPr>
          <w:t>Table A-83: Verified Savings and M&amp;V Methods for SWE Team–Sampled Penn Power Projects</w:t>
        </w:r>
        <w:r w:rsidR="00900100">
          <w:rPr>
            <w:noProof/>
            <w:webHidden/>
          </w:rPr>
          <w:tab/>
        </w:r>
        <w:r w:rsidR="00900100">
          <w:rPr>
            <w:noProof/>
            <w:webHidden/>
          </w:rPr>
          <w:fldChar w:fldCharType="begin"/>
        </w:r>
        <w:r w:rsidR="00900100">
          <w:rPr>
            <w:noProof/>
            <w:webHidden/>
          </w:rPr>
          <w:instrText xml:space="preserve"> PAGEREF _Toc476842198 \h </w:instrText>
        </w:r>
        <w:r w:rsidR="00900100">
          <w:rPr>
            <w:noProof/>
            <w:webHidden/>
          </w:rPr>
        </w:r>
        <w:r w:rsidR="00900100">
          <w:rPr>
            <w:noProof/>
            <w:webHidden/>
          </w:rPr>
          <w:fldChar w:fldCharType="separate"/>
        </w:r>
        <w:r w:rsidR="00865B5D">
          <w:rPr>
            <w:noProof/>
            <w:webHidden/>
          </w:rPr>
          <w:t>224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199" w:history="1">
        <w:r w:rsidR="00900100" w:rsidRPr="00BC4B98">
          <w:rPr>
            <w:rStyle w:val="Hyperlink"/>
            <w:rFonts w:eastAsiaTheme="minorHAnsi"/>
            <w:noProof/>
          </w:rPr>
          <w:t>Table A-84: Summary of NTG Estimates for Penn Power’s Programs</w:t>
        </w:r>
        <w:r w:rsidR="00900100">
          <w:rPr>
            <w:noProof/>
            <w:webHidden/>
          </w:rPr>
          <w:tab/>
        </w:r>
        <w:r w:rsidR="00900100">
          <w:rPr>
            <w:noProof/>
            <w:webHidden/>
          </w:rPr>
          <w:fldChar w:fldCharType="begin"/>
        </w:r>
        <w:r w:rsidR="00900100">
          <w:rPr>
            <w:noProof/>
            <w:webHidden/>
          </w:rPr>
          <w:instrText xml:space="preserve"> PAGEREF _Toc476842199 \h </w:instrText>
        </w:r>
        <w:r w:rsidR="00900100">
          <w:rPr>
            <w:noProof/>
            <w:webHidden/>
          </w:rPr>
        </w:r>
        <w:r w:rsidR="00900100">
          <w:rPr>
            <w:noProof/>
            <w:webHidden/>
          </w:rPr>
          <w:fldChar w:fldCharType="separate"/>
        </w:r>
        <w:r w:rsidR="00865B5D">
          <w:rPr>
            <w:noProof/>
            <w:webHidden/>
          </w:rPr>
          <w:t>225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00" w:history="1">
        <w:r w:rsidR="00900100" w:rsidRPr="00BC4B98">
          <w:rPr>
            <w:rStyle w:val="Hyperlink"/>
            <w:rFonts w:eastAsiaTheme="minorHAnsi"/>
            <w:noProof/>
          </w:rPr>
          <w:t>Table A-85: West Penn EE&amp;C Programs with Reported Gross Savings in PY7</w:t>
        </w:r>
        <w:r w:rsidR="00900100">
          <w:rPr>
            <w:noProof/>
            <w:webHidden/>
          </w:rPr>
          <w:tab/>
        </w:r>
        <w:r w:rsidR="00900100">
          <w:rPr>
            <w:noProof/>
            <w:webHidden/>
          </w:rPr>
          <w:fldChar w:fldCharType="begin"/>
        </w:r>
        <w:r w:rsidR="00900100">
          <w:rPr>
            <w:noProof/>
            <w:webHidden/>
          </w:rPr>
          <w:instrText xml:space="preserve"> PAGEREF _Toc476842200 \h </w:instrText>
        </w:r>
        <w:r w:rsidR="00900100">
          <w:rPr>
            <w:noProof/>
            <w:webHidden/>
          </w:rPr>
        </w:r>
        <w:r w:rsidR="00900100">
          <w:rPr>
            <w:noProof/>
            <w:webHidden/>
          </w:rPr>
          <w:fldChar w:fldCharType="separate"/>
        </w:r>
        <w:r w:rsidR="00865B5D">
          <w:rPr>
            <w:noProof/>
            <w:webHidden/>
          </w:rPr>
          <w:t>226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01" w:history="1">
        <w:r w:rsidR="00900100" w:rsidRPr="00BC4B98">
          <w:rPr>
            <w:rStyle w:val="Hyperlink"/>
            <w:rFonts w:eastAsiaTheme="minorHAnsi"/>
            <w:noProof/>
          </w:rPr>
          <w:t>Table A-86: Summary of West Penn EE&amp;C Program Impacts on Verified Gross Portfolio Savings</w:t>
        </w:r>
        <w:r w:rsidR="00900100">
          <w:rPr>
            <w:noProof/>
            <w:webHidden/>
          </w:rPr>
          <w:tab/>
        </w:r>
        <w:r w:rsidR="00900100">
          <w:rPr>
            <w:noProof/>
            <w:webHidden/>
          </w:rPr>
          <w:fldChar w:fldCharType="begin"/>
        </w:r>
        <w:r w:rsidR="00900100">
          <w:rPr>
            <w:noProof/>
            <w:webHidden/>
          </w:rPr>
          <w:instrText xml:space="preserve"> PAGEREF _Toc476842201 \h </w:instrText>
        </w:r>
        <w:r w:rsidR="00900100">
          <w:rPr>
            <w:noProof/>
            <w:webHidden/>
          </w:rPr>
        </w:r>
        <w:r w:rsidR="00900100">
          <w:rPr>
            <w:noProof/>
            <w:webHidden/>
          </w:rPr>
          <w:fldChar w:fldCharType="separate"/>
        </w:r>
        <w:r w:rsidR="00865B5D">
          <w:rPr>
            <w:noProof/>
            <w:webHidden/>
          </w:rPr>
          <w:t>226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02" w:history="1">
        <w:r w:rsidR="00900100" w:rsidRPr="00BC4B98">
          <w:rPr>
            <w:rStyle w:val="Hyperlink"/>
            <w:rFonts w:eastAsiaTheme="minorHAnsi"/>
            <w:noProof/>
          </w:rPr>
          <w:t>Table A-87: Summary of West Penn EE&amp;C Verified Net Savings – by Sector</w:t>
        </w:r>
        <w:r w:rsidR="00900100">
          <w:rPr>
            <w:noProof/>
            <w:webHidden/>
          </w:rPr>
          <w:tab/>
        </w:r>
        <w:r w:rsidR="00900100">
          <w:rPr>
            <w:noProof/>
            <w:webHidden/>
          </w:rPr>
          <w:fldChar w:fldCharType="begin"/>
        </w:r>
        <w:r w:rsidR="00900100">
          <w:rPr>
            <w:noProof/>
            <w:webHidden/>
          </w:rPr>
          <w:instrText xml:space="preserve"> PAGEREF _Toc476842202 \h </w:instrText>
        </w:r>
        <w:r w:rsidR="00900100">
          <w:rPr>
            <w:noProof/>
            <w:webHidden/>
          </w:rPr>
        </w:r>
        <w:r w:rsidR="00900100">
          <w:rPr>
            <w:noProof/>
            <w:webHidden/>
          </w:rPr>
          <w:fldChar w:fldCharType="separate"/>
        </w:r>
        <w:r w:rsidR="00865B5D">
          <w:rPr>
            <w:noProof/>
            <w:webHidden/>
          </w:rPr>
          <w:t>227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03" w:history="1">
        <w:r w:rsidR="00900100" w:rsidRPr="00BC4B98">
          <w:rPr>
            <w:rStyle w:val="Hyperlink"/>
            <w:rFonts w:eastAsiaTheme="minorHAnsi"/>
            <w:noProof/>
          </w:rPr>
          <w:t>Table A-88: Summary of West Penn’s PY7 TRC Factors and Results</w:t>
        </w:r>
        <w:r w:rsidR="00900100">
          <w:rPr>
            <w:noProof/>
            <w:webHidden/>
          </w:rPr>
          <w:tab/>
        </w:r>
        <w:r w:rsidR="00900100">
          <w:rPr>
            <w:noProof/>
            <w:webHidden/>
          </w:rPr>
          <w:fldChar w:fldCharType="begin"/>
        </w:r>
        <w:r w:rsidR="00900100">
          <w:rPr>
            <w:noProof/>
            <w:webHidden/>
          </w:rPr>
          <w:instrText xml:space="preserve"> PAGEREF _Toc476842203 \h </w:instrText>
        </w:r>
        <w:r w:rsidR="00900100">
          <w:rPr>
            <w:noProof/>
            <w:webHidden/>
          </w:rPr>
        </w:r>
        <w:r w:rsidR="00900100">
          <w:rPr>
            <w:noProof/>
            <w:webHidden/>
          </w:rPr>
          <w:fldChar w:fldCharType="separate"/>
        </w:r>
        <w:r w:rsidR="00865B5D">
          <w:rPr>
            <w:noProof/>
            <w:webHidden/>
          </w:rPr>
          <w:t>227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04" w:history="1">
        <w:r w:rsidR="00900100" w:rsidRPr="00BC4B98">
          <w:rPr>
            <w:rStyle w:val="Hyperlink"/>
            <w:rFonts w:eastAsiaTheme="minorHAnsi"/>
            <w:noProof/>
          </w:rPr>
          <w:t>Table A-89: West Penn’s PY7 Discount Rates and LLFs</w:t>
        </w:r>
        <w:r w:rsidR="00900100">
          <w:rPr>
            <w:noProof/>
            <w:webHidden/>
          </w:rPr>
          <w:tab/>
        </w:r>
        <w:r w:rsidR="00900100">
          <w:rPr>
            <w:noProof/>
            <w:webHidden/>
          </w:rPr>
          <w:fldChar w:fldCharType="begin"/>
        </w:r>
        <w:r w:rsidR="00900100">
          <w:rPr>
            <w:noProof/>
            <w:webHidden/>
          </w:rPr>
          <w:instrText xml:space="preserve"> PAGEREF _Toc476842204 \h </w:instrText>
        </w:r>
        <w:r w:rsidR="00900100">
          <w:rPr>
            <w:noProof/>
            <w:webHidden/>
          </w:rPr>
        </w:r>
        <w:r w:rsidR="00900100">
          <w:rPr>
            <w:noProof/>
            <w:webHidden/>
          </w:rPr>
          <w:fldChar w:fldCharType="separate"/>
        </w:r>
        <w:r w:rsidR="00865B5D">
          <w:rPr>
            <w:noProof/>
            <w:webHidden/>
          </w:rPr>
          <w:t>228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05" w:history="1">
        <w:r w:rsidR="00900100" w:rsidRPr="00BC4B98">
          <w:rPr>
            <w:rStyle w:val="Hyperlink"/>
            <w:rFonts w:eastAsiaTheme="minorHAnsi"/>
            <w:noProof/>
          </w:rPr>
          <w:t>Table A-90: Key Milestones Reached for West Penn’s Phase II EM&amp;V Plan</w:t>
        </w:r>
        <w:r w:rsidR="00900100">
          <w:rPr>
            <w:noProof/>
            <w:webHidden/>
          </w:rPr>
          <w:tab/>
        </w:r>
        <w:r w:rsidR="00900100">
          <w:rPr>
            <w:noProof/>
            <w:webHidden/>
          </w:rPr>
          <w:fldChar w:fldCharType="begin"/>
        </w:r>
        <w:r w:rsidR="00900100">
          <w:rPr>
            <w:noProof/>
            <w:webHidden/>
          </w:rPr>
          <w:instrText xml:space="preserve"> PAGEREF _Toc476842205 \h </w:instrText>
        </w:r>
        <w:r w:rsidR="00900100">
          <w:rPr>
            <w:noProof/>
            <w:webHidden/>
          </w:rPr>
        </w:r>
        <w:r w:rsidR="00900100">
          <w:rPr>
            <w:noProof/>
            <w:webHidden/>
          </w:rPr>
          <w:fldChar w:fldCharType="separate"/>
        </w:r>
        <w:r w:rsidR="00865B5D">
          <w:rPr>
            <w:noProof/>
            <w:webHidden/>
          </w:rPr>
          <w:t>230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06" w:history="1">
        <w:r w:rsidR="00900100" w:rsidRPr="00BC4B98">
          <w:rPr>
            <w:rStyle w:val="Hyperlink"/>
            <w:rFonts w:eastAsiaTheme="minorHAnsi"/>
            <w:noProof/>
          </w:rPr>
          <w:t>Table A-91: West Penn Energy Efficiency Programs – Realization Rates for Energy and Demand Savings in PY7</w:t>
        </w:r>
        <w:r w:rsidR="00900100">
          <w:rPr>
            <w:noProof/>
            <w:webHidden/>
          </w:rPr>
          <w:tab/>
        </w:r>
        <w:r w:rsidR="00900100">
          <w:rPr>
            <w:noProof/>
            <w:webHidden/>
          </w:rPr>
          <w:fldChar w:fldCharType="begin"/>
        </w:r>
        <w:r w:rsidR="00900100">
          <w:rPr>
            <w:noProof/>
            <w:webHidden/>
          </w:rPr>
          <w:instrText xml:space="preserve"> PAGEREF _Toc476842206 \h </w:instrText>
        </w:r>
        <w:r w:rsidR="00900100">
          <w:rPr>
            <w:noProof/>
            <w:webHidden/>
          </w:rPr>
        </w:r>
        <w:r w:rsidR="00900100">
          <w:rPr>
            <w:noProof/>
            <w:webHidden/>
          </w:rPr>
          <w:fldChar w:fldCharType="separate"/>
        </w:r>
        <w:r w:rsidR="00865B5D">
          <w:rPr>
            <w:noProof/>
            <w:webHidden/>
          </w:rPr>
          <w:t>231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07" w:history="1">
        <w:r w:rsidR="00900100" w:rsidRPr="00BC4B98">
          <w:rPr>
            <w:rStyle w:val="Hyperlink"/>
            <w:rFonts w:eastAsiaTheme="minorHAnsi"/>
            <w:noProof/>
          </w:rPr>
          <w:t>Table A-92: Compliance across Sample Designs for West Penn’s PY7 Non-Residential Program Groups</w:t>
        </w:r>
        <w:r w:rsidR="00900100">
          <w:rPr>
            <w:noProof/>
            <w:webHidden/>
          </w:rPr>
          <w:tab/>
        </w:r>
        <w:r w:rsidR="00900100">
          <w:rPr>
            <w:noProof/>
            <w:webHidden/>
          </w:rPr>
          <w:fldChar w:fldCharType="begin"/>
        </w:r>
        <w:r w:rsidR="00900100">
          <w:rPr>
            <w:noProof/>
            <w:webHidden/>
          </w:rPr>
          <w:instrText xml:space="preserve"> PAGEREF _Toc476842207 \h </w:instrText>
        </w:r>
        <w:r w:rsidR="00900100">
          <w:rPr>
            <w:noProof/>
            <w:webHidden/>
          </w:rPr>
        </w:r>
        <w:r w:rsidR="00900100">
          <w:rPr>
            <w:noProof/>
            <w:webHidden/>
          </w:rPr>
          <w:fldChar w:fldCharType="separate"/>
        </w:r>
        <w:r w:rsidR="00865B5D">
          <w:rPr>
            <w:noProof/>
            <w:webHidden/>
          </w:rPr>
          <w:t>238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08" w:history="1">
        <w:r w:rsidR="00900100" w:rsidRPr="00BC4B98">
          <w:rPr>
            <w:rStyle w:val="Hyperlink"/>
            <w:rFonts w:eastAsiaTheme="minorHAnsi"/>
            <w:noProof/>
          </w:rPr>
          <w:t>Table A-93: West Penn Project File Summary</w:t>
        </w:r>
        <w:r w:rsidR="00900100">
          <w:rPr>
            <w:noProof/>
            <w:webHidden/>
          </w:rPr>
          <w:tab/>
        </w:r>
        <w:r w:rsidR="00900100">
          <w:rPr>
            <w:noProof/>
            <w:webHidden/>
          </w:rPr>
          <w:fldChar w:fldCharType="begin"/>
        </w:r>
        <w:r w:rsidR="00900100">
          <w:rPr>
            <w:noProof/>
            <w:webHidden/>
          </w:rPr>
          <w:instrText xml:space="preserve"> PAGEREF _Toc476842208 \h </w:instrText>
        </w:r>
        <w:r w:rsidR="00900100">
          <w:rPr>
            <w:noProof/>
            <w:webHidden/>
          </w:rPr>
        </w:r>
        <w:r w:rsidR="00900100">
          <w:rPr>
            <w:noProof/>
            <w:webHidden/>
          </w:rPr>
          <w:fldChar w:fldCharType="separate"/>
        </w:r>
        <w:r w:rsidR="00865B5D">
          <w:rPr>
            <w:noProof/>
            <w:webHidden/>
          </w:rPr>
          <w:t>240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09" w:history="1">
        <w:r w:rsidR="00900100" w:rsidRPr="00BC4B98">
          <w:rPr>
            <w:rStyle w:val="Hyperlink"/>
            <w:rFonts w:eastAsiaTheme="minorHAnsi"/>
            <w:noProof/>
          </w:rPr>
          <w:t>Table A-94: West Penn’s PY7 Sampling Strategy and Relative Precision – Small C/I Energy Efficient Equipment Program</w:t>
        </w:r>
        <w:r w:rsidR="00900100">
          <w:rPr>
            <w:noProof/>
            <w:webHidden/>
          </w:rPr>
          <w:tab/>
        </w:r>
        <w:r w:rsidR="00900100">
          <w:rPr>
            <w:noProof/>
            <w:webHidden/>
          </w:rPr>
          <w:fldChar w:fldCharType="begin"/>
        </w:r>
        <w:r w:rsidR="00900100">
          <w:rPr>
            <w:noProof/>
            <w:webHidden/>
          </w:rPr>
          <w:instrText xml:space="preserve"> PAGEREF _Toc476842209 \h </w:instrText>
        </w:r>
        <w:r w:rsidR="00900100">
          <w:rPr>
            <w:noProof/>
            <w:webHidden/>
          </w:rPr>
        </w:r>
        <w:r w:rsidR="00900100">
          <w:rPr>
            <w:noProof/>
            <w:webHidden/>
          </w:rPr>
          <w:fldChar w:fldCharType="separate"/>
        </w:r>
        <w:r w:rsidR="00865B5D">
          <w:rPr>
            <w:noProof/>
            <w:webHidden/>
          </w:rPr>
          <w:t>241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10" w:history="1">
        <w:r w:rsidR="00900100" w:rsidRPr="00BC4B98">
          <w:rPr>
            <w:rStyle w:val="Hyperlink"/>
            <w:rFonts w:eastAsiaTheme="minorHAnsi"/>
            <w:noProof/>
          </w:rPr>
          <w:t>Table A-95: West Penn’s PY7 Sampling Strategy and Relative Precision – Small C/I Energy Efficient Buildings Program</w:t>
        </w:r>
        <w:r w:rsidR="00900100">
          <w:rPr>
            <w:noProof/>
            <w:webHidden/>
          </w:rPr>
          <w:tab/>
        </w:r>
        <w:r w:rsidR="00900100">
          <w:rPr>
            <w:noProof/>
            <w:webHidden/>
          </w:rPr>
          <w:fldChar w:fldCharType="begin"/>
        </w:r>
        <w:r w:rsidR="00900100">
          <w:rPr>
            <w:noProof/>
            <w:webHidden/>
          </w:rPr>
          <w:instrText xml:space="preserve"> PAGEREF _Toc476842210 \h </w:instrText>
        </w:r>
        <w:r w:rsidR="00900100">
          <w:rPr>
            <w:noProof/>
            <w:webHidden/>
          </w:rPr>
        </w:r>
        <w:r w:rsidR="00900100">
          <w:rPr>
            <w:noProof/>
            <w:webHidden/>
          </w:rPr>
          <w:fldChar w:fldCharType="separate"/>
        </w:r>
        <w:r w:rsidR="00865B5D">
          <w:rPr>
            <w:noProof/>
            <w:webHidden/>
          </w:rPr>
          <w:t>242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11" w:history="1">
        <w:r w:rsidR="00900100" w:rsidRPr="00BC4B98">
          <w:rPr>
            <w:rStyle w:val="Hyperlink"/>
            <w:rFonts w:eastAsiaTheme="minorHAnsi"/>
            <w:noProof/>
          </w:rPr>
          <w:t>Table A-96: West Penn’s PY7 Sampling Strategy and Relative Precision – Large C/I Energy Efficient Equipment Program</w:t>
        </w:r>
        <w:r w:rsidR="00900100">
          <w:rPr>
            <w:noProof/>
            <w:webHidden/>
          </w:rPr>
          <w:tab/>
        </w:r>
        <w:r w:rsidR="00900100">
          <w:rPr>
            <w:noProof/>
            <w:webHidden/>
          </w:rPr>
          <w:fldChar w:fldCharType="begin"/>
        </w:r>
        <w:r w:rsidR="00900100">
          <w:rPr>
            <w:noProof/>
            <w:webHidden/>
          </w:rPr>
          <w:instrText xml:space="preserve"> PAGEREF _Toc476842211 \h </w:instrText>
        </w:r>
        <w:r w:rsidR="00900100">
          <w:rPr>
            <w:noProof/>
            <w:webHidden/>
          </w:rPr>
        </w:r>
        <w:r w:rsidR="00900100">
          <w:rPr>
            <w:noProof/>
            <w:webHidden/>
          </w:rPr>
          <w:fldChar w:fldCharType="separate"/>
        </w:r>
        <w:r w:rsidR="00865B5D">
          <w:rPr>
            <w:noProof/>
            <w:webHidden/>
          </w:rPr>
          <w:t>243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12" w:history="1">
        <w:r w:rsidR="00900100" w:rsidRPr="00BC4B98">
          <w:rPr>
            <w:rStyle w:val="Hyperlink"/>
            <w:rFonts w:eastAsiaTheme="minorHAnsi"/>
            <w:noProof/>
          </w:rPr>
          <w:t>Table A-97: West Penn PY7 Sampling Strategy and Relative Precision – Large C/I Energy Efficient Buildings Program</w:t>
        </w:r>
        <w:r w:rsidR="00900100">
          <w:rPr>
            <w:noProof/>
            <w:webHidden/>
          </w:rPr>
          <w:tab/>
        </w:r>
        <w:r w:rsidR="00900100">
          <w:rPr>
            <w:noProof/>
            <w:webHidden/>
          </w:rPr>
          <w:fldChar w:fldCharType="begin"/>
        </w:r>
        <w:r w:rsidR="00900100">
          <w:rPr>
            <w:noProof/>
            <w:webHidden/>
          </w:rPr>
          <w:instrText xml:space="preserve"> PAGEREF _Toc476842212 \h </w:instrText>
        </w:r>
        <w:r w:rsidR="00900100">
          <w:rPr>
            <w:noProof/>
            <w:webHidden/>
          </w:rPr>
        </w:r>
        <w:r w:rsidR="00900100">
          <w:rPr>
            <w:noProof/>
            <w:webHidden/>
          </w:rPr>
          <w:fldChar w:fldCharType="separate"/>
        </w:r>
        <w:r w:rsidR="00865B5D">
          <w:rPr>
            <w:noProof/>
            <w:webHidden/>
          </w:rPr>
          <w:t>244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13" w:history="1">
        <w:r w:rsidR="00900100" w:rsidRPr="00BC4B98">
          <w:rPr>
            <w:rStyle w:val="Hyperlink"/>
            <w:rFonts w:eastAsiaTheme="minorHAnsi"/>
            <w:noProof/>
          </w:rPr>
          <w:t>Table A-98: West Penn’s PY7 Sampling Strategy and Achieved Precision – Government and Institutional Program</w:t>
        </w:r>
        <w:r w:rsidR="00900100">
          <w:rPr>
            <w:noProof/>
            <w:webHidden/>
          </w:rPr>
          <w:tab/>
        </w:r>
        <w:r w:rsidR="00900100">
          <w:rPr>
            <w:noProof/>
            <w:webHidden/>
          </w:rPr>
          <w:fldChar w:fldCharType="begin"/>
        </w:r>
        <w:r w:rsidR="00900100">
          <w:rPr>
            <w:noProof/>
            <w:webHidden/>
          </w:rPr>
          <w:instrText xml:space="preserve"> PAGEREF _Toc476842213 \h </w:instrText>
        </w:r>
        <w:r w:rsidR="00900100">
          <w:rPr>
            <w:noProof/>
            <w:webHidden/>
          </w:rPr>
        </w:r>
        <w:r w:rsidR="00900100">
          <w:rPr>
            <w:noProof/>
            <w:webHidden/>
          </w:rPr>
          <w:fldChar w:fldCharType="separate"/>
        </w:r>
        <w:r w:rsidR="00865B5D">
          <w:rPr>
            <w:noProof/>
            <w:webHidden/>
          </w:rPr>
          <w:t>245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14" w:history="1">
        <w:r w:rsidR="00900100" w:rsidRPr="00BC4B98">
          <w:rPr>
            <w:rStyle w:val="Hyperlink"/>
            <w:rFonts w:eastAsiaTheme="minorHAnsi"/>
            <w:noProof/>
          </w:rPr>
          <w:t>Table A-99</w:t>
        </w:r>
        <w:r w:rsidR="00900100" w:rsidRPr="00BC4B98">
          <w:rPr>
            <w:rStyle w:val="Hyperlink"/>
            <w:rFonts w:eastAsiaTheme="minorHAnsi" w:cs="Calibri"/>
            <w:noProof/>
          </w:rPr>
          <w:t xml:space="preserve"> : West Penn </w:t>
        </w:r>
        <w:r w:rsidR="00900100" w:rsidRPr="00BC4B98">
          <w:rPr>
            <w:rStyle w:val="Hyperlink"/>
            <w:rFonts w:eastAsiaTheme="minorHAnsi"/>
            <w:noProof/>
          </w:rPr>
          <w:t>PY7 Non-Residential Site Inspection Findings</w:t>
        </w:r>
        <w:r w:rsidR="00900100">
          <w:rPr>
            <w:noProof/>
            <w:webHidden/>
          </w:rPr>
          <w:tab/>
        </w:r>
        <w:r w:rsidR="00900100">
          <w:rPr>
            <w:noProof/>
            <w:webHidden/>
          </w:rPr>
          <w:fldChar w:fldCharType="begin"/>
        </w:r>
        <w:r w:rsidR="00900100">
          <w:rPr>
            <w:noProof/>
            <w:webHidden/>
          </w:rPr>
          <w:instrText xml:space="preserve"> PAGEREF _Toc476842214 \h </w:instrText>
        </w:r>
        <w:r w:rsidR="00900100">
          <w:rPr>
            <w:noProof/>
            <w:webHidden/>
          </w:rPr>
        </w:r>
        <w:r w:rsidR="00900100">
          <w:rPr>
            <w:noProof/>
            <w:webHidden/>
          </w:rPr>
          <w:fldChar w:fldCharType="separate"/>
        </w:r>
        <w:r w:rsidR="00865B5D">
          <w:rPr>
            <w:noProof/>
            <w:webHidden/>
          </w:rPr>
          <w:t>245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15" w:history="1">
        <w:r w:rsidR="00900100" w:rsidRPr="00BC4B98">
          <w:rPr>
            <w:rStyle w:val="Hyperlink"/>
            <w:rFonts w:eastAsiaTheme="minorHAnsi"/>
            <w:noProof/>
          </w:rPr>
          <w:t>Table A-100: Verified Savings and M&amp;V Methods for SWE Team–Sampled West Penn Projects</w:t>
        </w:r>
        <w:r w:rsidR="00900100">
          <w:rPr>
            <w:noProof/>
            <w:webHidden/>
          </w:rPr>
          <w:tab/>
        </w:r>
        <w:r w:rsidR="00900100">
          <w:rPr>
            <w:noProof/>
            <w:webHidden/>
          </w:rPr>
          <w:fldChar w:fldCharType="begin"/>
        </w:r>
        <w:r w:rsidR="00900100">
          <w:rPr>
            <w:noProof/>
            <w:webHidden/>
          </w:rPr>
          <w:instrText xml:space="preserve"> PAGEREF _Toc476842215 \h </w:instrText>
        </w:r>
        <w:r w:rsidR="00900100">
          <w:rPr>
            <w:noProof/>
            <w:webHidden/>
          </w:rPr>
        </w:r>
        <w:r w:rsidR="00900100">
          <w:rPr>
            <w:noProof/>
            <w:webHidden/>
          </w:rPr>
          <w:fldChar w:fldCharType="separate"/>
        </w:r>
        <w:r w:rsidR="00865B5D">
          <w:rPr>
            <w:noProof/>
            <w:webHidden/>
          </w:rPr>
          <w:t>247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16" w:history="1">
        <w:r w:rsidR="00900100" w:rsidRPr="00BC4B98">
          <w:rPr>
            <w:rStyle w:val="Hyperlink"/>
            <w:rFonts w:eastAsiaTheme="minorHAnsi"/>
            <w:noProof/>
          </w:rPr>
          <w:t>Table A-101: Summary of NTG Estimates for West Penn’s Programs</w:t>
        </w:r>
        <w:r w:rsidR="00900100">
          <w:rPr>
            <w:noProof/>
            <w:webHidden/>
          </w:rPr>
          <w:tab/>
        </w:r>
        <w:r w:rsidR="00900100">
          <w:rPr>
            <w:noProof/>
            <w:webHidden/>
          </w:rPr>
          <w:fldChar w:fldCharType="begin"/>
        </w:r>
        <w:r w:rsidR="00900100">
          <w:rPr>
            <w:noProof/>
            <w:webHidden/>
          </w:rPr>
          <w:instrText xml:space="preserve"> PAGEREF _Toc476842216 \h </w:instrText>
        </w:r>
        <w:r w:rsidR="00900100">
          <w:rPr>
            <w:noProof/>
            <w:webHidden/>
          </w:rPr>
        </w:r>
        <w:r w:rsidR="00900100">
          <w:rPr>
            <w:noProof/>
            <w:webHidden/>
          </w:rPr>
          <w:fldChar w:fldCharType="separate"/>
        </w:r>
        <w:r w:rsidR="00865B5D">
          <w:rPr>
            <w:noProof/>
            <w:webHidden/>
          </w:rPr>
          <w:t>248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17" w:history="1">
        <w:r w:rsidR="00900100" w:rsidRPr="00BC4B98">
          <w:rPr>
            <w:rStyle w:val="Hyperlink"/>
            <w:rFonts w:eastAsiaTheme="minorHAnsi"/>
            <w:noProof/>
          </w:rPr>
          <w:t>Table A-102: PECO EE&amp;C Programs with Reported Gross Savings in PY7</w:t>
        </w:r>
        <w:r w:rsidR="00900100">
          <w:rPr>
            <w:noProof/>
            <w:webHidden/>
          </w:rPr>
          <w:tab/>
        </w:r>
        <w:r w:rsidR="00900100">
          <w:rPr>
            <w:noProof/>
            <w:webHidden/>
          </w:rPr>
          <w:fldChar w:fldCharType="begin"/>
        </w:r>
        <w:r w:rsidR="00900100">
          <w:rPr>
            <w:noProof/>
            <w:webHidden/>
          </w:rPr>
          <w:instrText xml:space="preserve"> PAGEREF _Toc476842217 \h </w:instrText>
        </w:r>
        <w:r w:rsidR="00900100">
          <w:rPr>
            <w:noProof/>
            <w:webHidden/>
          </w:rPr>
        </w:r>
        <w:r w:rsidR="00900100">
          <w:rPr>
            <w:noProof/>
            <w:webHidden/>
          </w:rPr>
          <w:fldChar w:fldCharType="separate"/>
        </w:r>
        <w:r w:rsidR="00865B5D">
          <w:rPr>
            <w:noProof/>
            <w:webHidden/>
          </w:rPr>
          <w:t>249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18" w:history="1">
        <w:r w:rsidR="00900100" w:rsidRPr="00BC4B98">
          <w:rPr>
            <w:rStyle w:val="Hyperlink"/>
            <w:rFonts w:eastAsiaTheme="minorHAnsi"/>
            <w:noProof/>
          </w:rPr>
          <w:t>Table A-103: Summary of PECO EE&amp;C Program Impacts on Verified Gross Portfolio Savings</w:t>
        </w:r>
        <w:r w:rsidR="00900100">
          <w:rPr>
            <w:noProof/>
            <w:webHidden/>
          </w:rPr>
          <w:tab/>
        </w:r>
        <w:r w:rsidR="00900100">
          <w:rPr>
            <w:noProof/>
            <w:webHidden/>
          </w:rPr>
          <w:fldChar w:fldCharType="begin"/>
        </w:r>
        <w:r w:rsidR="00900100">
          <w:rPr>
            <w:noProof/>
            <w:webHidden/>
          </w:rPr>
          <w:instrText xml:space="preserve"> PAGEREF _Toc476842218 \h </w:instrText>
        </w:r>
        <w:r w:rsidR="00900100">
          <w:rPr>
            <w:noProof/>
            <w:webHidden/>
          </w:rPr>
        </w:r>
        <w:r w:rsidR="00900100">
          <w:rPr>
            <w:noProof/>
            <w:webHidden/>
          </w:rPr>
          <w:fldChar w:fldCharType="separate"/>
        </w:r>
        <w:r w:rsidR="00865B5D">
          <w:rPr>
            <w:noProof/>
            <w:webHidden/>
          </w:rPr>
          <w:t>250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19" w:history="1">
        <w:r w:rsidR="00900100" w:rsidRPr="00BC4B98">
          <w:rPr>
            <w:rStyle w:val="Hyperlink"/>
            <w:rFonts w:eastAsiaTheme="minorHAnsi"/>
            <w:noProof/>
          </w:rPr>
          <w:t>Table A-104: Summary of PECO EE&amp;C Verified Net Savings – by Sector</w:t>
        </w:r>
        <w:r w:rsidR="00900100">
          <w:rPr>
            <w:noProof/>
            <w:webHidden/>
          </w:rPr>
          <w:tab/>
        </w:r>
        <w:r w:rsidR="00900100">
          <w:rPr>
            <w:noProof/>
            <w:webHidden/>
          </w:rPr>
          <w:fldChar w:fldCharType="begin"/>
        </w:r>
        <w:r w:rsidR="00900100">
          <w:rPr>
            <w:noProof/>
            <w:webHidden/>
          </w:rPr>
          <w:instrText xml:space="preserve"> PAGEREF _Toc476842219 \h </w:instrText>
        </w:r>
        <w:r w:rsidR="00900100">
          <w:rPr>
            <w:noProof/>
            <w:webHidden/>
          </w:rPr>
        </w:r>
        <w:r w:rsidR="00900100">
          <w:rPr>
            <w:noProof/>
            <w:webHidden/>
          </w:rPr>
          <w:fldChar w:fldCharType="separate"/>
        </w:r>
        <w:r w:rsidR="00865B5D">
          <w:rPr>
            <w:noProof/>
            <w:webHidden/>
          </w:rPr>
          <w:t>251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20" w:history="1">
        <w:r w:rsidR="00900100" w:rsidRPr="00BC4B98">
          <w:rPr>
            <w:rStyle w:val="Hyperlink"/>
            <w:rFonts w:eastAsiaTheme="minorHAnsi"/>
            <w:noProof/>
          </w:rPr>
          <w:t>Table A-105: Summary of PECO’s PY6 TRC Factors and Results</w:t>
        </w:r>
        <w:r w:rsidR="00900100">
          <w:rPr>
            <w:noProof/>
            <w:webHidden/>
          </w:rPr>
          <w:tab/>
        </w:r>
        <w:r w:rsidR="00900100">
          <w:rPr>
            <w:noProof/>
            <w:webHidden/>
          </w:rPr>
          <w:fldChar w:fldCharType="begin"/>
        </w:r>
        <w:r w:rsidR="00900100">
          <w:rPr>
            <w:noProof/>
            <w:webHidden/>
          </w:rPr>
          <w:instrText xml:space="preserve"> PAGEREF _Toc476842220 \h </w:instrText>
        </w:r>
        <w:r w:rsidR="00900100">
          <w:rPr>
            <w:noProof/>
            <w:webHidden/>
          </w:rPr>
        </w:r>
        <w:r w:rsidR="00900100">
          <w:rPr>
            <w:noProof/>
            <w:webHidden/>
          </w:rPr>
          <w:fldChar w:fldCharType="separate"/>
        </w:r>
        <w:r w:rsidR="00865B5D">
          <w:rPr>
            <w:noProof/>
            <w:webHidden/>
          </w:rPr>
          <w:t>251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21" w:history="1">
        <w:r w:rsidR="00900100" w:rsidRPr="00BC4B98">
          <w:rPr>
            <w:rStyle w:val="Hyperlink"/>
            <w:rFonts w:eastAsiaTheme="minorHAnsi"/>
            <w:noProof/>
          </w:rPr>
          <w:t>Table A-106: PECO’s Discount Rates and LLFs</w:t>
        </w:r>
        <w:r w:rsidR="00900100">
          <w:rPr>
            <w:noProof/>
            <w:webHidden/>
          </w:rPr>
          <w:tab/>
        </w:r>
        <w:r w:rsidR="00900100">
          <w:rPr>
            <w:noProof/>
            <w:webHidden/>
          </w:rPr>
          <w:fldChar w:fldCharType="begin"/>
        </w:r>
        <w:r w:rsidR="00900100">
          <w:rPr>
            <w:noProof/>
            <w:webHidden/>
          </w:rPr>
          <w:instrText xml:space="preserve"> PAGEREF _Toc476842221 \h </w:instrText>
        </w:r>
        <w:r w:rsidR="00900100">
          <w:rPr>
            <w:noProof/>
            <w:webHidden/>
          </w:rPr>
        </w:r>
        <w:r w:rsidR="00900100">
          <w:rPr>
            <w:noProof/>
            <w:webHidden/>
          </w:rPr>
          <w:fldChar w:fldCharType="separate"/>
        </w:r>
        <w:r w:rsidR="00865B5D">
          <w:rPr>
            <w:noProof/>
            <w:webHidden/>
          </w:rPr>
          <w:t>252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22" w:history="1">
        <w:r w:rsidR="00900100" w:rsidRPr="00BC4B98">
          <w:rPr>
            <w:rStyle w:val="Hyperlink"/>
            <w:rFonts w:eastAsiaTheme="minorHAnsi"/>
            <w:noProof/>
          </w:rPr>
          <w:t>Table A-107: Key Milestones Reached for PECO’s Phase II EM&amp;V Plan</w:t>
        </w:r>
        <w:r w:rsidR="00900100">
          <w:rPr>
            <w:noProof/>
            <w:webHidden/>
          </w:rPr>
          <w:tab/>
        </w:r>
        <w:r w:rsidR="00900100">
          <w:rPr>
            <w:noProof/>
            <w:webHidden/>
          </w:rPr>
          <w:fldChar w:fldCharType="begin"/>
        </w:r>
        <w:r w:rsidR="00900100">
          <w:rPr>
            <w:noProof/>
            <w:webHidden/>
          </w:rPr>
          <w:instrText xml:space="preserve"> PAGEREF _Toc476842222 \h </w:instrText>
        </w:r>
        <w:r w:rsidR="00900100">
          <w:rPr>
            <w:noProof/>
            <w:webHidden/>
          </w:rPr>
        </w:r>
        <w:r w:rsidR="00900100">
          <w:rPr>
            <w:noProof/>
            <w:webHidden/>
          </w:rPr>
          <w:fldChar w:fldCharType="separate"/>
        </w:r>
        <w:r w:rsidR="00865B5D">
          <w:rPr>
            <w:noProof/>
            <w:webHidden/>
          </w:rPr>
          <w:t>255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23" w:history="1">
        <w:r w:rsidR="00900100" w:rsidRPr="00BC4B98">
          <w:rPr>
            <w:rStyle w:val="Hyperlink"/>
            <w:rFonts w:eastAsiaTheme="minorHAnsi"/>
            <w:noProof/>
          </w:rPr>
          <w:t>Table A-108: Realization Rates and Relative Precisions for PECO’s Programs in PY7</w:t>
        </w:r>
        <w:r w:rsidR="00900100">
          <w:rPr>
            <w:noProof/>
            <w:webHidden/>
          </w:rPr>
          <w:tab/>
        </w:r>
        <w:r w:rsidR="00900100">
          <w:rPr>
            <w:noProof/>
            <w:webHidden/>
          </w:rPr>
          <w:fldChar w:fldCharType="begin"/>
        </w:r>
        <w:r w:rsidR="00900100">
          <w:rPr>
            <w:noProof/>
            <w:webHidden/>
          </w:rPr>
          <w:instrText xml:space="preserve"> PAGEREF _Toc476842223 \h </w:instrText>
        </w:r>
        <w:r w:rsidR="00900100">
          <w:rPr>
            <w:noProof/>
            <w:webHidden/>
          </w:rPr>
        </w:r>
        <w:r w:rsidR="00900100">
          <w:rPr>
            <w:noProof/>
            <w:webHidden/>
          </w:rPr>
          <w:fldChar w:fldCharType="separate"/>
        </w:r>
        <w:r w:rsidR="00865B5D">
          <w:rPr>
            <w:noProof/>
            <w:webHidden/>
          </w:rPr>
          <w:t>257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24" w:history="1">
        <w:r w:rsidR="00900100" w:rsidRPr="00BC4B98">
          <w:rPr>
            <w:rStyle w:val="Hyperlink"/>
            <w:rFonts w:eastAsiaTheme="minorHAnsi"/>
            <w:noProof/>
          </w:rPr>
          <w:t>Table A-109: Summary of Key Findings and Data Sources – PECO</w:t>
        </w:r>
        <w:r w:rsidR="00900100">
          <w:rPr>
            <w:noProof/>
            <w:webHidden/>
          </w:rPr>
          <w:tab/>
        </w:r>
        <w:r w:rsidR="00900100">
          <w:rPr>
            <w:noProof/>
            <w:webHidden/>
          </w:rPr>
          <w:fldChar w:fldCharType="begin"/>
        </w:r>
        <w:r w:rsidR="00900100">
          <w:rPr>
            <w:noProof/>
            <w:webHidden/>
          </w:rPr>
          <w:instrText xml:space="preserve"> PAGEREF _Toc476842224 \h </w:instrText>
        </w:r>
        <w:r w:rsidR="00900100">
          <w:rPr>
            <w:noProof/>
            <w:webHidden/>
          </w:rPr>
        </w:r>
        <w:r w:rsidR="00900100">
          <w:rPr>
            <w:noProof/>
            <w:webHidden/>
          </w:rPr>
          <w:fldChar w:fldCharType="separate"/>
        </w:r>
        <w:r w:rsidR="00865B5D">
          <w:rPr>
            <w:noProof/>
            <w:webHidden/>
          </w:rPr>
          <w:t>261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25" w:history="1">
        <w:r w:rsidR="00900100" w:rsidRPr="00BC4B98">
          <w:rPr>
            <w:rStyle w:val="Hyperlink"/>
            <w:rFonts w:eastAsiaTheme="minorHAnsi"/>
            <w:noProof/>
          </w:rPr>
          <w:t>Table A-110: Compliance across Sample Designs for PECO’s PY7 Non-Residential Program Groups</w:t>
        </w:r>
        <w:r w:rsidR="00900100">
          <w:rPr>
            <w:noProof/>
            <w:webHidden/>
          </w:rPr>
          <w:tab/>
        </w:r>
        <w:r w:rsidR="00900100">
          <w:rPr>
            <w:noProof/>
            <w:webHidden/>
          </w:rPr>
          <w:fldChar w:fldCharType="begin"/>
        </w:r>
        <w:r w:rsidR="00900100">
          <w:rPr>
            <w:noProof/>
            <w:webHidden/>
          </w:rPr>
          <w:instrText xml:space="preserve"> PAGEREF _Toc476842225 \h </w:instrText>
        </w:r>
        <w:r w:rsidR="00900100">
          <w:rPr>
            <w:noProof/>
            <w:webHidden/>
          </w:rPr>
        </w:r>
        <w:r w:rsidR="00900100">
          <w:rPr>
            <w:noProof/>
            <w:webHidden/>
          </w:rPr>
          <w:fldChar w:fldCharType="separate"/>
        </w:r>
        <w:r w:rsidR="00865B5D">
          <w:rPr>
            <w:noProof/>
            <w:webHidden/>
          </w:rPr>
          <w:t>268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26" w:history="1">
        <w:r w:rsidR="00900100" w:rsidRPr="00BC4B98">
          <w:rPr>
            <w:rStyle w:val="Hyperlink"/>
            <w:rFonts w:eastAsiaTheme="minorHAnsi"/>
            <w:noProof/>
          </w:rPr>
          <w:t>Table A-111: PECO PY7 Project Files Review</w:t>
        </w:r>
        <w:r w:rsidR="00900100">
          <w:rPr>
            <w:noProof/>
            <w:webHidden/>
          </w:rPr>
          <w:tab/>
        </w:r>
        <w:r w:rsidR="00900100">
          <w:rPr>
            <w:noProof/>
            <w:webHidden/>
          </w:rPr>
          <w:fldChar w:fldCharType="begin"/>
        </w:r>
        <w:r w:rsidR="00900100">
          <w:rPr>
            <w:noProof/>
            <w:webHidden/>
          </w:rPr>
          <w:instrText xml:space="preserve"> PAGEREF _Toc476842226 \h </w:instrText>
        </w:r>
        <w:r w:rsidR="00900100">
          <w:rPr>
            <w:noProof/>
            <w:webHidden/>
          </w:rPr>
        </w:r>
        <w:r w:rsidR="00900100">
          <w:rPr>
            <w:noProof/>
            <w:webHidden/>
          </w:rPr>
          <w:fldChar w:fldCharType="separate"/>
        </w:r>
        <w:r w:rsidR="00865B5D">
          <w:rPr>
            <w:noProof/>
            <w:webHidden/>
          </w:rPr>
          <w:t>270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27" w:history="1">
        <w:r w:rsidR="00900100" w:rsidRPr="00BC4B98">
          <w:rPr>
            <w:rStyle w:val="Hyperlink"/>
            <w:rFonts w:eastAsiaTheme="minorHAnsi"/>
            <w:noProof/>
          </w:rPr>
          <w:t>Table A-112: PECO’s PY7 Sample Design Strategy – SEI C/I Program</w:t>
        </w:r>
        <w:r w:rsidR="00900100">
          <w:rPr>
            <w:noProof/>
            <w:webHidden/>
          </w:rPr>
          <w:tab/>
        </w:r>
        <w:r w:rsidR="00900100">
          <w:rPr>
            <w:noProof/>
            <w:webHidden/>
          </w:rPr>
          <w:fldChar w:fldCharType="begin"/>
        </w:r>
        <w:r w:rsidR="00900100">
          <w:rPr>
            <w:noProof/>
            <w:webHidden/>
          </w:rPr>
          <w:instrText xml:space="preserve"> PAGEREF _Toc476842227 \h </w:instrText>
        </w:r>
        <w:r w:rsidR="00900100">
          <w:rPr>
            <w:noProof/>
            <w:webHidden/>
          </w:rPr>
        </w:r>
        <w:r w:rsidR="00900100">
          <w:rPr>
            <w:noProof/>
            <w:webHidden/>
          </w:rPr>
          <w:fldChar w:fldCharType="separate"/>
        </w:r>
        <w:r w:rsidR="00865B5D">
          <w:rPr>
            <w:noProof/>
            <w:webHidden/>
          </w:rPr>
          <w:t>272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28" w:history="1">
        <w:r w:rsidR="00900100" w:rsidRPr="00BC4B98">
          <w:rPr>
            <w:rStyle w:val="Hyperlink"/>
            <w:rFonts w:eastAsiaTheme="minorHAnsi"/>
            <w:noProof/>
          </w:rPr>
          <w:t>Table A-113: Observed Coefficients of Variation and Relative Precisions – PECO’s SEI C/I Program</w:t>
        </w:r>
        <w:r w:rsidR="00900100">
          <w:rPr>
            <w:noProof/>
            <w:webHidden/>
          </w:rPr>
          <w:tab/>
        </w:r>
        <w:r w:rsidR="00900100">
          <w:rPr>
            <w:noProof/>
            <w:webHidden/>
          </w:rPr>
          <w:fldChar w:fldCharType="begin"/>
        </w:r>
        <w:r w:rsidR="00900100">
          <w:rPr>
            <w:noProof/>
            <w:webHidden/>
          </w:rPr>
          <w:instrText xml:space="preserve"> PAGEREF _Toc476842228 \h </w:instrText>
        </w:r>
        <w:r w:rsidR="00900100">
          <w:rPr>
            <w:noProof/>
            <w:webHidden/>
          </w:rPr>
        </w:r>
        <w:r w:rsidR="00900100">
          <w:rPr>
            <w:noProof/>
            <w:webHidden/>
          </w:rPr>
          <w:fldChar w:fldCharType="separate"/>
        </w:r>
        <w:r w:rsidR="00865B5D">
          <w:rPr>
            <w:noProof/>
            <w:webHidden/>
          </w:rPr>
          <w:t>273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29" w:history="1">
        <w:r w:rsidR="00900100" w:rsidRPr="00BC4B98">
          <w:rPr>
            <w:rStyle w:val="Hyperlink"/>
            <w:rFonts w:eastAsiaTheme="minorHAnsi"/>
            <w:noProof/>
          </w:rPr>
          <w:t>Table A-114: PECO’s PY7 Sampling Strategy – SEI GNI Program</w:t>
        </w:r>
        <w:r w:rsidR="00900100">
          <w:rPr>
            <w:noProof/>
            <w:webHidden/>
          </w:rPr>
          <w:tab/>
        </w:r>
        <w:r w:rsidR="00900100">
          <w:rPr>
            <w:noProof/>
            <w:webHidden/>
          </w:rPr>
          <w:fldChar w:fldCharType="begin"/>
        </w:r>
        <w:r w:rsidR="00900100">
          <w:rPr>
            <w:noProof/>
            <w:webHidden/>
          </w:rPr>
          <w:instrText xml:space="preserve"> PAGEREF _Toc476842229 \h </w:instrText>
        </w:r>
        <w:r w:rsidR="00900100">
          <w:rPr>
            <w:noProof/>
            <w:webHidden/>
          </w:rPr>
        </w:r>
        <w:r w:rsidR="00900100">
          <w:rPr>
            <w:noProof/>
            <w:webHidden/>
          </w:rPr>
          <w:fldChar w:fldCharType="separate"/>
        </w:r>
        <w:r w:rsidR="00865B5D">
          <w:rPr>
            <w:noProof/>
            <w:webHidden/>
          </w:rPr>
          <w:t>273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30" w:history="1">
        <w:r w:rsidR="00900100" w:rsidRPr="00BC4B98">
          <w:rPr>
            <w:rStyle w:val="Hyperlink"/>
            <w:rFonts w:eastAsiaTheme="minorHAnsi"/>
            <w:noProof/>
          </w:rPr>
          <w:t>Table A-115: Observed Coefficients of Variation and Relative Precisions – PECO’s SEI GNI Program</w:t>
        </w:r>
        <w:r w:rsidR="00900100">
          <w:rPr>
            <w:noProof/>
            <w:webHidden/>
          </w:rPr>
          <w:tab/>
        </w:r>
        <w:r w:rsidR="00900100">
          <w:rPr>
            <w:noProof/>
            <w:webHidden/>
          </w:rPr>
          <w:fldChar w:fldCharType="begin"/>
        </w:r>
        <w:r w:rsidR="00900100">
          <w:rPr>
            <w:noProof/>
            <w:webHidden/>
          </w:rPr>
          <w:instrText xml:space="preserve"> PAGEREF _Toc476842230 \h </w:instrText>
        </w:r>
        <w:r w:rsidR="00900100">
          <w:rPr>
            <w:noProof/>
            <w:webHidden/>
          </w:rPr>
        </w:r>
        <w:r w:rsidR="00900100">
          <w:rPr>
            <w:noProof/>
            <w:webHidden/>
          </w:rPr>
          <w:fldChar w:fldCharType="separate"/>
        </w:r>
        <w:r w:rsidR="00865B5D">
          <w:rPr>
            <w:noProof/>
            <w:webHidden/>
          </w:rPr>
          <w:t>274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31" w:history="1">
        <w:r w:rsidR="00900100" w:rsidRPr="00BC4B98">
          <w:rPr>
            <w:rStyle w:val="Hyperlink"/>
            <w:rFonts w:eastAsiaTheme="minorHAnsi"/>
            <w:noProof/>
          </w:rPr>
          <w:t>Table A-116: PECO’s PY7 Sampling Strategy – SCI Program</w:t>
        </w:r>
        <w:r w:rsidR="00900100">
          <w:rPr>
            <w:noProof/>
            <w:webHidden/>
          </w:rPr>
          <w:tab/>
        </w:r>
        <w:r w:rsidR="00900100">
          <w:rPr>
            <w:noProof/>
            <w:webHidden/>
          </w:rPr>
          <w:fldChar w:fldCharType="begin"/>
        </w:r>
        <w:r w:rsidR="00900100">
          <w:rPr>
            <w:noProof/>
            <w:webHidden/>
          </w:rPr>
          <w:instrText xml:space="preserve"> PAGEREF _Toc476842231 \h </w:instrText>
        </w:r>
        <w:r w:rsidR="00900100">
          <w:rPr>
            <w:noProof/>
            <w:webHidden/>
          </w:rPr>
        </w:r>
        <w:r w:rsidR="00900100">
          <w:rPr>
            <w:noProof/>
            <w:webHidden/>
          </w:rPr>
          <w:fldChar w:fldCharType="separate"/>
        </w:r>
        <w:r w:rsidR="00865B5D">
          <w:rPr>
            <w:noProof/>
            <w:webHidden/>
          </w:rPr>
          <w:t>274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32" w:history="1">
        <w:r w:rsidR="00900100" w:rsidRPr="00BC4B98">
          <w:rPr>
            <w:rStyle w:val="Hyperlink"/>
            <w:rFonts w:eastAsiaTheme="minorHAnsi"/>
            <w:noProof/>
          </w:rPr>
          <w:t>Table A-117: Observed Coefficients of Variation and Relative Precisions – PECO’s SCI Program</w:t>
        </w:r>
        <w:r w:rsidR="00900100">
          <w:rPr>
            <w:noProof/>
            <w:webHidden/>
          </w:rPr>
          <w:tab/>
        </w:r>
        <w:r w:rsidR="00900100">
          <w:rPr>
            <w:noProof/>
            <w:webHidden/>
          </w:rPr>
          <w:fldChar w:fldCharType="begin"/>
        </w:r>
        <w:r w:rsidR="00900100">
          <w:rPr>
            <w:noProof/>
            <w:webHidden/>
          </w:rPr>
          <w:instrText xml:space="preserve"> PAGEREF _Toc476842232 \h </w:instrText>
        </w:r>
        <w:r w:rsidR="00900100">
          <w:rPr>
            <w:noProof/>
            <w:webHidden/>
          </w:rPr>
        </w:r>
        <w:r w:rsidR="00900100">
          <w:rPr>
            <w:noProof/>
            <w:webHidden/>
          </w:rPr>
          <w:fldChar w:fldCharType="separate"/>
        </w:r>
        <w:r w:rsidR="00865B5D">
          <w:rPr>
            <w:noProof/>
            <w:webHidden/>
          </w:rPr>
          <w:t>275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33" w:history="1">
        <w:r w:rsidR="00900100" w:rsidRPr="00BC4B98">
          <w:rPr>
            <w:rStyle w:val="Hyperlink"/>
            <w:rFonts w:eastAsiaTheme="minorHAnsi"/>
            <w:noProof/>
          </w:rPr>
          <w:t>Table A-118: Observed Coefficients of Variation and Relative Precisions – PECO’s SCI Program (Original Sampling Approach, Results Not Used)</w:t>
        </w:r>
        <w:r w:rsidR="00900100">
          <w:rPr>
            <w:noProof/>
            <w:webHidden/>
          </w:rPr>
          <w:tab/>
        </w:r>
        <w:r w:rsidR="00900100">
          <w:rPr>
            <w:noProof/>
            <w:webHidden/>
          </w:rPr>
          <w:fldChar w:fldCharType="begin"/>
        </w:r>
        <w:r w:rsidR="00900100">
          <w:rPr>
            <w:noProof/>
            <w:webHidden/>
          </w:rPr>
          <w:instrText xml:space="preserve"> PAGEREF _Toc476842233 \h </w:instrText>
        </w:r>
        <w:r w:rsidR="00900100">
          <w:rPr>
            <w:noProof/>
            <w:webHidden/>
          </w:rPr>
        </w:r>
        <w:r w:rsidR="00900100">
          <w:rPr>
            <w:noProof/>
            <w:webHidden/>
          </w:rPr>
          <w:fldChar w:fldCharType="separate"/>
        </w:r>
        <w:r w:rsidR="00865B5D">
          <w:rPr>
            <w:noProof/>
            <w:webHidden/>
          </w:rPr>
          <w:t>275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34" w:history="1">
        <w:r w:rsidR="00900100" w:rsidRPr="00BC4B98">
          <w:rPr>
            <w:rStyle w:val="Hyperlink"/>
            <w:rFonts w:eastAsiaTheme="minorHAnsi"/>
            <w:noProof/>
          </w:rPr>
          <w:t>Table A-119: PECO’s PY7 Sampling Strategy – SBS Program</w:t>
        </w:r>
        <w:r w:rsidR="00900100">
          <w:rPr>
            <w:noProof/>
            <w:webHidden/>
          </w:rPr>
          <w:tab/>
        </w:r>
        <w:r w:rsidR="00900100">
          <w:rPr>
            <w:noProof/>
            <w:webHidden/>
          </w:rPr>
          <w:fldChar w:fldCharType="begin"/>
        </w:r>
        <w:r w:rsidR="00900100">
          <w:rPr>
            <w:noProof/>
            <w:webHidden/>
          </w:rPr>
          <w:instrText xml:space="preserve"> PAGEREF _Toc476842234 \h </w:instrText>
        </w:r>
        <w:r w:rsidR="00900100">
          <w:rPr>
            <w:noProof/>
            <w:webHidden/>
          </w:rPr>
        </w:r>
        <w:r w:rsidR="00900100">
          <w:rPr>
            <w:noProof/>
            <w:webHidden/>
          </w:rPr>
          <w:fldChar w:fldCharType="separate"/>
        </w:r>
        <w:r w:rsidR="00865B5D">
          <w:rPr>
            <w:noProof/>
            <w:webHidden/>
          </w:rPr>
          <w:t>276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35" w:history="1">
        <w:r w:rsidR="00900100" w:rsidRPr="00BC4B98">
          <w:rPr>
            <w:rStyle w:val="Hyperlink"/>
            <w:rFonts w:eastAsiaTheme="minorHAnsi"/>
            <w:noProof/>
          </w:rPr>
          <w:t>Table A-120: Observed Coefficients of Variation and Relative Precisions – PECO SBS Program</w:t>
        </w:r>
        <w:r w:rsidR="00900100">
          <w:rPr>
            <w:noProof/>
            <w:webHidden/>
          </w:rPr>
          <w:tab/>
        </w:r>
        <w:r w:rsidR="00900100">
          <w:rPr>
            <w:noProof/>
            <w:webHidden/>
          </w:rPr>
          <w:fldChar w:fldCharType="begin"/>
        </w:r>
        <w:r w:rsidR="00900100">
          <w:rPr>
            <w:noProof/>
            <w:webHidden/>
          </w:rPr>
          <w:instrText xml:space="preserve"> PAGEREF _Toc476842235 \h </w:instrText>
        </w:r>
        <w:r w:rsidR="00900100">
          <w:rPr>
            <w:noProof/>
            <w:webHidden/>
          </w:rPr>
        </w:r>
        <w:r w:rsidR="00900100">
          <w:rPr>
            <w:noProof/>
            <w:webHidden/>
          </w:rPr>
          <w:fldChar w:fldCharType="separate"/>
        </w:r>
        <w:r w:rsidR="00865B5D">
          <w:rPr>
            <w:noProof/>
            <w:webHidden/>
          </w:rPr>
          <w:t>276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36" w:history="1">
        <w:r w:rsidR="00900100" w:rsidRPr="00BC4B98">
          <w:rPr>
            <w:rStyle w:val="Hyperlink"/>
            <w:rFonts w:eastAsiaTheme="minorHAnsi"/>
            <w:noProof/>
          </w:rPr>
          <w:t>Table A-121: PECO’s PY7 Sampling Strategy - SMF Non-Residential Program</w:t>
        </w:r>
        <w:r w:rsidR="00900100">
          <w:rPr>
            <w:noProof/>
            <w:webHidden/>
          </w:rPr>
          <w:tab/>
        </w:r>
        <w:r w:rsidR="00900100">
          <w:rPr>
            <w:noProof/>
            <w:webHidden/>
          </w:rPr>
          <w:fldChar w:fldCharType="begin"/>
        </w:r>
        <w:r w:rsidR="00900100">
          <w:rPr>
            <w:noProof/>
            <w:webHidden/>
          </w:rPr>
          <w:instrText xml:space="preserve"> PAGEREF _Toc476842236 \h </w:instrText>
        </w:r>
        <w:r w:rsidR="00900100">
          <w:rPr>
            <w:noProof/>
            <w:webHidden/>
          </w:rPr>
        </w:r>
        <w:r w:rsidR="00900100">
          <w:rPr>
            <w:noProof/>
            <w:webHidden/>
          </w:rPr>
          <w:fldChar w:fldCharType="separate"/>
        </w:r>
        <w:r w:rsidR="00865B5D">
          <w:rPr>
            <w:noProof/>
            <w:webHidden/>
          </w:rPr>
          <w:t>276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37" w:history="1">
        <w:r w:rsidR="00900100" w:rsidRPr="00BC4B98">
          <w:rPr>
            <w:rStyle w:val="Hyperlink"/>
            <w:rFonts w:eastAsiaTheme="minorHAnsi"/>
            <w:noProof/>
          </w:rPr>
          <w:t>Table A-122: Observed Coefficients of Variation and Relative Precisions – PECO’s SMF Non-Residential Program</w:t>
        </w:r>
        <w:r w:rsidR="00900100">
          <w:rPr>
            <w:noProof/>
            <w:webHidden/>
          </w:rPr>
          <w:tab/>
        </w:r>
        <w:r w:rsidR="00900100">
          <w:rPr>
            <w:noProof/>
            <w:webHidden/>
          </w:rPr>
          <w:fldChar w:fldCharType="begin"/>
        </w:r>
        <w:r w:rsidR="00900100">
          <w:rPr>
            <w:noProof/>
            <w:webHidden/>
          </w:rPr>
          <w:instrText xml:space="preserve"> PAGEREF _Toc476842237 \h </w:instrText>
        </w:r>
        <w:r w:rsidR="00900100">
          <w:rPr>
            <w:noProof/>
            <w:webHidden/>
          </w:rPr>
        </w:r>
        <w:r w:rsidR="00900100">
          <w:rPr>
            <w:noProof/>
            <w:webHidden/>
          </w:rPr>
          <w:fldChar w:fldCharType="separate"/>
        </w:r>
        <w:r w:rsidR="00865B5D">
          <w:rPr>
            <w:noProof/>
            <w:webHidden/>
          </w:rPr>
          <w:t>277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38" w:history="1">
        <w:r w:rsidR="00900100" w:rsidRPr="00BC4B98">
          <w:rPr>
            <w:rStyle w:val="Hyperlink"/>
            <w:rFonts w:eastAsiaTheme="minorHAnsi"/>
            <w:noProof/>
          </w:rPr>
          <w:t>Table A-123: PECO’s PY7 Sampling Strategy – Smart On-Site Program</w:t>
        </w:r>
        <w:r w:rsidR="00900100">
          <w:rPr>
            <w:noProof/>
            <w:webHidden/>
          </w:rPr>
          <w:tab/>
        </w:r>
        <w:r w:rsidR="00900100">
          <w:rPr>
            <w:noProof/>
            <w:webHidden/>
          </w:rPr>
          <w:fldChar w:fldCharType="begin"/>
        </w:r>
        <w:r w:rsidR="00900100">
          <w:rPr>
            <w:noProof/>
            <w:webHidden/>
          </w:rPr>
          <w:instrText xml:space="preserve"> PAGEREF _Toc476842238 \h </w:instrText>
        </w:r>
        <w:r w:rsidR="00900100">
          <w:rPr>
            <w:noProof/>
            <w:webHidden/>
          </w:rPr>
        </w:r>
        <w:r w:rsidR="00900100">
          <w:rPr>
            <w:noProof/>
            <w:webHidden/>
          </w:rPr>
          <w:fldChar w:fldCharType="separate"/>
        </w:r>
        <w:r w:rsidR="00865B5D">
          <w:rPr>
            <w:noProof/>
            <w:webHidden/>
          </w:rPr>
          <w:t>277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39" w:history="1">
        <w:r w:rsidR="00900100" w:rsidRPr="00BC4B98">
          <w:rPr>
            <w:rStyle w:val="Hyperlink"/>
            <w:rFonts w:eastAsiaTheme="minorHAnsi"/>
            <w:noProof/>
          </w:rPr>
          <w:t>Table A-124: Observed Coefficients of Variation and Relative Precisions – PECO’s SOS Program</w:t>
        </w:r>
        <w:r w:rsidR="00900100">
          <w:rPr>
            <w:noProof/>
            <w:webHidden/>
          </w:rPr>
          <w:tab/>
        </w:r>
        <w:r w:rsidR="00900100">
          <w:rPr>
            <w:noProof/>
            <w:webHidden/>
          </w:rPr>
          <w:fldChar w:fldCharType="begin"/>
        </w:r>
        <w:r w:rsidR="00900100">
          <w:rPr>
            <w:noProof/>
            <w:webHidden/>
          </w:rPr>
          <w:instrText xml:space="preserve"> PAGEREF _Toc476842239 \h </w:instrText>
        </w:r>
        <w:r w:rsidR="00900100">
          <w:rPr>
            <w:noProof/>
            <w:webHidden/>
          </w:rPr>
        </w:r>
        <w:r w:rsidR="00900100">
          <w:rPr>
            <w:noProof/>
            <w:webHidden/>
          </w:rPr>
          <w:fldChar w:fldCharType="separate"/>
        </w:r>
        <w:r w:rsidR="00865B5D">
          <w:rPr>
            <w:noProof/>
            <w:webHidden/>
          </w:rPr>
          <w:t>277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40" w:history="1">
        <w:r w:rsidR="00900100" w:rsidRPr="00BC4B98">
          <w:rPr>
            <w:rStyle w:val="Hyperlink"/>
            <w:rFonts w:eastAsiaTheme="minorHAnsi"/>
            <w:noProof/>
          </w:rPr>
          <w:t>Table A-125: PECO’s PY7 Non-Residential Site Inspection Findings</w:t>
        </w:r>
        <w:r w:rsidR="00900100">
          <w:rPr>
            <w:noProof/>
            <w:webHidden/>
          </w:rPr>
          <w:tab/>
        </w:r>
        <w:r w:rsidR="00900100">
          <w:rPr>
            <w:noProof/>
            <w:webHidden/>
          </w:rPr>
          <w:fldChar w:fldCharType="begin"/>
        </w:r>
        <w:r w:rsidR="00900100">
          <w:rPr>
            <w:noProof/>
            <w:webHidden/>
          </w:rPr>
          <w:instrText xml:space="preserve"> PAGEREF _Toc476842240 \h </w:instrText>
        </w:r>
        <w:r w:rsidR="00900100">
          <w:rPr>
            <w:noProof/>
            <w:webHidden/>
          </w:rPr>
        </w:r>
        <w:r w:rsidR="00900100">
          <w:rPr>
            <w:noProof/>
            <w:webHidden/>
          </w:rPr>
          <w:fldChar w:fldCharType="separate"/>
        </w:r>
        <w:r w:rsidR="00865B5D">
          <w:rPr>
            <w:noProof/>
            <w:webHidden/>
          </w:rPr>
          <w:t>278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41" w:history="1">
        <w:r w:rsidR="00900100" w:rsidRPr="00BC4B98">
          <w:rPr>
            <w:rStyle w:val="Hyperlink"/>
            <w:rFonts w:eastAsiaTheme="minorHAnsi"/>
            <w:noProof/>
          </w:rPr>
          <w:t>Table A-126: Verified Savings and M&amp;V Methods for SWE Team–Sampled PECO Projects</w:t>
        </w:r>
        <w:r w:rsidR="00900100">
          <w:rPr>
            <w:noProof/>
            <w:webHidden/>
          </w:rPr>
          <w:tab/>
        </w:r>
        <w:r w:rsidR="00900100">
          <w:rPr>
            <w:noProof/>
            <w:webHidden/>
          </w:rPr>
          <w:fldChar w:fldCharType="begin"/>
        </w:r>
        <w:r w:rsidR="00900100">
          <w:rPr>
            <w:noProof/>
            <w:webHidden/>
          </w:rPr>
          <w:instrText xml:space="preserve"> PAGEREF _Toc476842241 \h </w:instrText>
        </w:r>
        <w:r w:rsidR="00900100">
          <w:rPr>
            <w:noProof/>
            <w:webHidden/>
          </w:rPr>
        </w:r>
        <w:r w:rsidR="00900100">
          <w:rPr>
            <w:noProof/>
            <w:webHidden/>
          </w:rPr>
          <w:fldChar w:fldCharType="separate"/>
        </w:r>
        <w:r w:rsidR="00865B5D">
          <w:rPr>
            <w:noProof/>
            <w:webHidden/>
          </w:rPr>
          <w:t>279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42" w:history="1">
        <w:r w:rsidR="00900100" w:rsidRPr="00BC4B98">
          <w:rPr>
            <w:rStyle w:val="Hyperlink"/>
            <w:rFonts w:eastAsiaTheme="minorHAnsi"/>
            <w:noProof/>
          </w:rPr>
          <w:t>Table A-127: Summary of SWE Team Review of PECO NTG Evaluations</w:t>
        </w:r>
        <w:r w:rsidR="00900100">
          <w:rPr>
            <w:noProof/>
            <w:webHidden/>
          </w:rPr>
          <w:tab/>
        </w:r>
        <w:r w:rsidR="00900100">
          <w:rPr>
            <w:noProof/>
            <w:webHidden/>
          </w:rPr>
          <w:fldChar w:fldCharType="begin"/>
        </w:r>
        <w:r w:rsidR="00900100">
          <w:rPr>
            <w:noProof/>
            <w:webHidden/>
          </w:rPr>
          <w:instrText xml:space="preserve"> PAGEREF _Toc476842242 \h </w:instrText>
        </w:r>
        <w:r w:rsidR="00900100">
          <w:rPr>
            <w:noProof/>
            <w:webHidden/>
          </w:rPr>
        </w:r>
        <w:r w:rsidR="00900100">
          <w:rPr>
            <w:noProof/>
            <w:webHidden/>
          </w:rPr>
          <w:fldChar w:fldCharType="separate"/>
        </w:r>
        <w:r w:rsidR="00865B5D">
          <w:rPr>
            <w:noProof/>
            <w:webHidden/>
          </w:rPr>
          <w:t>281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43" w:history="1">
        <w:r w:rsidR="00900100" w:rsidRPr="00BC4B98">
          <w:rPr>
            <w:rStyle w:val="Hyperlink"/>
            <w:rFonts w:eastAsiaTheme="minorHAnsi"/>
            <w:noProof/>
          </w:rPr>
          <w:t>Table A-128: Summary of NTG Audit of PECO’s Residential Programs</w:t>
        </w:r>
        <w:r w:rsidR="00900100">
          <w:rPr>
            <w:noProof/>
            <w:webHidden/>
          </w:rPr>
          <w:tab/>
        </w:r>
        <w:r w:rsidR="00900100">
          <w:rPr>
            <w:noProof/>
            <w:webHidden/>
          </w:rPr>
          <w:fldChar w:fldCharType="begin"/>
        </w:r>
        <w:r w:rsidR="00900100">
          <w:rPr>
            <w:noProof/>
            <w:webHidden/>
          </w:rPr>
          <w:instrText xml:space="preserve"> PAGEREF _Toc476842243 \h </w:instrText>
        </w:r>
        <w:r w:rsidR="00900100">
          <w:rPr>
            <w:noProof/>
            <w:webHidden/>
          </w:rPr>
        </w:r>
        <w:r w:rsidR="00900100">
          <w:rPr>
            <w:noProof/>
            <w:webHidden/>
          </w:rPr>
          <w:fldChar w:fldCharType="separate"/>
        </w:r>
        <w:r w:rsidR="00865B5D">
          <w:rPr>
            <w:noProof/>
            <w:webHidden/>
          </w:rPr>
          <w:t>282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44" w:history="1">
        <w:r w:rsidR="00900100" w:rsidRPr="00BC4B98">
          <w:rPr>
            <w:rStyle w:val="Hyperlink"/>
            <w:rFonts w:eastAsiaTheme="minorHAnsi"/>
            <w:noProof/>
          </w:rPr>
          <w:t>Table A-129: Summary of NTG Estimates for PECO’s Residential Programs</w:t>
        </w:r>
        <w:r w:rsidR="00900100">
          <w:rPr>
            <w:noProof/>
            <w:webHidden/>
          </w:rPr>
          <w:tab/>
        </w:r>
        <w:r w:rsidR="00900100">
          <w:rPr>
            <w:noProof/>
            <w:webHidden/>
          </w:rPr>
          <w:fldChar w:fldCharType="begin"/>
        </w:r>
        <w:r w:rsidR="00900100">
          <w:rPr>
            <w:noProof/>
            <w:webHidden/>
          </w:rPr>
          <w:instrText xml:space="preserve"> PAGEREF _Toc476842244 \h </w:instrText>
        </w:r>
        <w:r w:rsidR="00900100">
          <w:rPr>
            <w:noProof/>
            <w:webHidden/>
          </w:rPr>
        </w:r>
        <w:r w:rsidR="00900100">
          <w:rPr>
            <w:noProof/>
            <w:webHidden/>
          </w:rPr>
          <w:fldChar w:fldCharType="separate"/>
        </w:r>
        <w:r w:rsidR="00865B5D">
          <w:rPr>
            <w:noProof/>
            <w:webHidden/>
          </w:rPr>
          <w:t>282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45" w:history="1">
        <w:r w:rsidR="00900100" w:rsidRPr="00BC4B98">
          <w:rPr>
            <w:rStyle w:val="Hyperlink"/>
            <w:rFonts w:eastAsiaTheme="minorHAnsi"/>
            <w:noProof/>
          </w:rPr>
          <w:t>Table A-130: Summary of NTG Audit of PECO’s Low-Income Program</w:t>
        </w:r>
        <w:r w:rsidR="00900100">
          <w:rPr>
            <w:noProof/>
            <w:webHidden/>
          </w:rPr>
          <w:tab/>
        </w:r>
        <w:r w:rsidR="00900100">
          <w:rPr>
            <w:noProof/>
            <w:webHidden/>
          </w:rPr>
          <w:fldChar w:fldCharType="begin"/>
        </w:r>
        <w:r w:rsidR="00900100">
          <w:rPr>
            <w:noProof/>
            <w:webHidden/>
          </w:rPr>
          <w:instrText xml:space="preserve"> PAGEREF _Toc476842245 \h </w:instrText>
        </w:r>
        <w:r w:rsidR="00900100">
          <w:rPr>
            <w:noProof/>
            <w:webHidden/>
          </w:rPr>
        </w:r>
        <w:r w:rsidR="00900100">
          <w:rPr>
            <w:noProof/>
            <w:webHidden/>
          </w:rPr>
          <w:fldChar w:fldCharType="separate"/>
        </w:r>
        <w:r w:rsidR="00865B5D">
          <w:rPr>
            <w:noProof/>
            <w:webHidden/>
          </w:rPr>
          <w:t>283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46" w:history="1">
        <w:r w:rsidR="00900100" w:rsidRPr="00BC4B98">
          <w:rPr>
            <w:rStyle w:val="Hyperlink"/>
            <w:rFonts w:eastAsiaTheme="minorHAnsi"/>
            <w:noProof/>
          </w:rPr>
          <w:t>Table A-131: Summary of NTG Estimates for PECO’s Low-Income Program</w:t>
        </w:r>
        <w:r w:rsidR="00900100">
          <w:rPr>
            <w:noProof/>
            <w:webHidden/>
          </w:rPr>
          <w:tab/>
        </w:r>
        <w:r w:rsidR="00900100">
          <w:rPr>
            <w:noProof/>
            <w:webHidden/>
          </w:rPr>
          <w:fldChar w:fldCharType="begin"/>
        </w:r>
        <w:r w:rsidR="00900100">
          <w:rPr>
            <w:noProof/>
            <w:webHidden/>
          </w:rPr>
          <w:instrText xml:space="preserve"> PAGEREF _Toc476842246 \h </w:instrText>
        </w:r>
        <w:r w:rsidR="00900100">
          <w:rPr>
            <w:noProof/>
            <w:webHidden/>
          </w:rPr>
        </w:r>
        <w:r w:rsidR="00900100">
          <w:rPr>
            <w:noProof/>
            <w:webHidden/>
          </w:rPr>
          <w:fldChar w:fldCharType="separate"/>
        </w:r>
        <w:r w:rsidR="00865B5D">
          <w:rPr>
            <w:noProof/>
            <w:webHidden/>
          </w:rPr>
          <w:t>283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47" w:history="1">
        <w:r w:rsidR="00900100" w:rsidRPr="00BC4B98">
          <w:rPr>
            <w:rStyle w:val="Hyperlink"/>
            <w:rFonts w:eastAsiaTheme="minorHAnsi"/>
            <w:noProof/>
          </w:rPr>
          <w:t>Table A-132: Summary of NTG Audit of PECO’s Non-Residential Programs</w:t>
        </w:r>
        <w:r w:rsidR="00900100">
          <w:rPr>
            <w:noProof/>
            <w:webHidden/>
          </w:rPr>
          <w:tab/>
        </w:r>
        <w:r w:rsidR="00900100">
          <w:rPr>
            <w:noProof/>
            <w:webHidden/>
          </w:rPr>
          <w:fldChar w:fldCharType="begin"/>
        </w:r>
        <w:r w:rsidR="00900100">
          <w:rPr>
            <w:noProof/>
            <w:webHidden/>
          </w:rPr>
          <w:instrText xml:space="preserve"> PAGEREF _Toc476842247 \h </w:instrText>
        </w:r>
        <w:r w:rsidR="00900100">
          <w:rPr>
            <w:noProof/>
            <w:webHidden/>
          </w:rPr>
        </w:r>
        <w:r w:rsidR="00900100">
          <w:rPr>
            <w:noProof/>
            <w:webHidden/>
          </w:rPr>
          <w:fldChar w:fldCharType="separate"/>
        </w:r>
        <w:r w:rsidR="00865B5D">
          <w:rPr>
            <w:noProof/>
            <w:webHidden/>
          </w:rPr>
          <w:t>284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48" w:history="1">
        <w:r w:rsidR="00900100" w:rsidRPr="00BC4B98">
          <w:rPr>
            <w:rStyle w:val="Hyperlink"/>
            <w:rFonts w:eastAsiaTheme="minorHAnsi"/>
            <w:noProof/>
          </w:rPr>
          <w:t>Table A-133: Summary of NTG Estimates for PECO’s Non-Residential Programs</w:t>
        </w:r>
        <w:r w:rsidR="00900100">
          <w:rPr>
            <w:noProof/>
            <w:webHidden/>
          </w:rPr>
          <w:tab/>
        </w:r>
        <w:r w:rsidR="00900100">
          <w:rPr>
            <w:noProof/>
            <w:webHidden/>
          </w:rPr>
          <w:fldChar w:fldCharType="begin"/>
        </w:r>
        <w:r w:rsidR="00900100">
          <w:rPr>
            <w:noProof/>
            <w:webHidden/>
          </w:rPr>
          <w:instrText xml:space="preserve"> PAGEREF _Toc476842248 \h </w:instrText>
        </w:r>
        <w:r w:rsidR="00900100">
          <w:rPr>
            <w:noProof/>
            <w:webHidden/>
          </w:rPr>
        </w:r>
        <w:r w:rsidR="00900100">
          <w:rPr>
            <w:noProof/>
            <w:webHidden/>
          </w:rPr>
          <w:fldChar w:fldCharType="separate"/>
        </w:r>
        <w:r w:rsidR="00865B5D">
          <w:rPr>
            <w:noProof/>
            <w:webHidden/>
          </w:rPr>
          <w:t>284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49" w:history="1">
        <w:r w:rsidR="00900100" w:rsidRPr="00BC4B98">
          <w:rPr>
            <w:rStyle w:val="Hyperlink"/>
            <w:rFonts w:eastAsiaTheme="minorHAnsi"/>
            <w:noProof/>
          </w:rPr>
          <w:t>Table A-134: PPL EE&amp;C Programs with Reported Gross Savings in PY7</w:t>
        </w:r>
        <w:r w:rsidR="00900100">
          <w:rPr>
            <w:noProof/>
            <w:webHidden/>
          </w:rPr>
          <w:tab/>
        </w:r>
        <w:r w:rsidR="00900100">
          <w:rPr>
            <w:noProof/>
            <w:webHidden/>
          </w:rPr>
          <w:fldChar w:fldCharType="begin"/>
        </w:r>
        <w:r w:rsidR="00900100">
          <w:rPr>
            <w:noProof/>
            <w:webHidden/>
          </w:rPr>
          <w:instrText xml:space="preserve"> PAGEREF _Toc476842249 \h </w:instrText>
        </w:r>
        <w:r w:rsidR="00900100">
          <w:rPr>
            <w:noProof/>
            <w:webHidden/>
          </w:rPr>
        </w:r>
        <w:r w:rsidR="00900100">
          <w:rPr>
            <w:noProof/>
            <w:webHidden/>
          </w:rPr>
          <w:fldChar w:fldCharType="separate"/>
        </w:r>
        <w:r w:rsidR="00865B5D">
          <w:rPr>
            <w:noProof/>
            <w:webHidden/>
          </w:rPr>
          <w:t>285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50" w:history="1">
        <w:r w:rsidR="00900100" w:rsidRPr="00BC4B98">
          <w:rPr>
            <w:rStyle w:val="Hyperlink"/>
            <w:rFonts w:eastAsiaTheme="minorHAnsi"/>
            <w:noProof/>
          </w:rPr>
          <w:t>Table A-135: Summary of PPL EE&amp;C Program Impacts on Verified Gross Portfolio Savings</w:t>
        </w:r>
        <w:r w:rsidR="00900100">
          <w:rPr>
            <w:noProof/>
            <w:webHidden/>
          </w:rPr>
          <w:tab/>
        </w:r>
        <w:r w:rsidR="00900100">
          <w:rPr>
            <w:noProof/>
            <w:webHidden/>
          </w:rPr>
          <w:fldChar w:fldCharType="begin"/>
        </w:r>
        <w:r w:rsidR="00900100">
          <w:rPr>
            <w:noProof/>
            <w:webHidden/>
          </w:rPr>
          <w:instrText xml:space="preserve"> PAGEREF _Toc476842250 \h </w:instrText>
        </w:r>
        <w:r w:rsidR="00900100">
          <w:rPr>
            <w:noProof/>
            <w:webHidden/>
          </w:rPr>
        </w:r>
        <w:r w:rsidR="00900100">
          <w:rPr>
            <w:noProof/>
            <w:webHidden/>
          </w:rPr>
          <w:fldChar w:fldCharType="separate"/>
        </w:r>
        <w:r w:rsidR="00865B5D">
          <w:rPr>
            <w:noProof/>
            <w:webHidden/>
          </w:rPr>
          <w:t>286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51" w:history="1">
        <w:r w:rsidR="00900100" w:rsidRPr="00BC4B98">
          <w:rPr>
            <w:rStyle w:val="Hyperlink"/>
            <w:rFonts w:eastAsiaTheme="minorHAnsi"/>
            <w:noProof/>
          </w:rPr>
          <w:t>Table A-136: Summary of PPL EE&amp;C Verified Net Savings – by Sector</w:t>
        </w:r>
        <w:r w:rsidR="00900100">
          <w:rPr>
            <w:noProof/>
            <w:webHidden/>
          </w:rPr>
          <w:tab/>
        </w:r>
        <w:r w:rsidR="00900100">
          <w:rPr>
            <w:noProof/>
            <w:webHidden/>
          </w:rPr>
          <w:fldChar w:fldCharType="begin"/>
        </w:r>
        <w:r w:rsidR="00900100">
          <w:rPr>
            <w:noProof/>
            <w:webHidden/>
          </w:rPr>
          <w:instrText xml:space="preserve"> PAGEREF _Toc476842251 \h </w:instrText>
        </w:r>
        <w:r w:rsidR="00900100">
          <w:rPr>
            <w:noProof/>
            <w:webHidden/>
          </w:rPr>
        </w:r>
        <w:r w:rsidR="00900100">
          <w:rPr>
            <w:noProof/>
            <w:webHidden/>
          </w:rPr>
          <w:fldChar w:fldCharType="separate"/>
        </w:r>
        <w:r w:rsidR="00865B5D">
          <w:rPr>
            <w:noProof/>
            <w:webHidden/>
          </w:rPr>
          <w:t>287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52" w:history="1">
        <w:r w:rsidR="00900100" w:rsidRPr="00BC4B98">
          <w:rPr>
            <w:rStyle w:val="Hyperlink"/>
            <w:rFonts w:eastAsiaTheme="minorHAnsi"/>
            <w:noProof/>
          </w:rPr>
          <w:t>Table A-137: Summary of PPL’s PY7 TRC Factors and Results</w:t>
        </w:r>
        <w:r w:rsidR="00900100">
          <w:rPr>
            <w:noProof/>
            <w:webHidden/>
          </w:rPr>
          <w:tab/>
        </w:r>
        <w:r w:rsidR="00900100">
          <w:rPr>
            <w:noProof/>
            <w:webHidden/>
          </w:rPr>
          <w:fldChar w:fldCharType="begin"/>
        </w:r>
        <w:r w:rsidR="00900100">
          <w:rPr>
            <w:noProof/>
            <w:webHidden/>
          </w:rPr>
          <w:instrText xml:space="preserve"> PAGEREF _Toc476842252 \h </w:instrText>
        </w:r>
        <w:r w:rsidR="00900100">
          <w:rPr>
            <w:noProof/>
            <w:webHidden/>
          </w:rPr>
        </w:r>
        <w:r w:rsidR="00900100">
          <w:rPr>
            <w:noProof/>
            <w:webHidden/>
          </w:rPr>
          <w:fldChar w:fldCharType="separate"/>
        </w:r>
        <w:r w:rsidR="00865B5D">
          <w:rPr>
            <w:noProof/>
            <w:webHidden/>
          </w:rPr>
          <w:t>287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53" w:history="1">
        <w:r w:rsidR="00900100" w:rsidRPr="00BC4B98">
          <w:rPr>
            <w:rStyle w:val="Hyperlink"/>
            <w:rFonts w:eastAsiaTheme="minorHAnsi"/>
            <w:noProof/>
          </w:rPr>
          <w:t>Table A-138: PPL’s PY7 Discount Rates and LLFs</w:t>
        </w:r>
        <w:r w:rsidR="00900100">
          <w:rPr>
            <w:noProof/>
            <w:webHidden/>
          </w:rPr>
          <w:tab/>
        </w:r>
        <w:r w:rsidR="00900100">
          <w:rPr>
            <w:noProof/>
            <w:webHidden/>
          </w:rPr>
          <w:fldChar w:fldCharType="begin"/>
        </w:r>
        <w:r w:rsidR="00900100">
          <w:rPr>
            <w:noProof/>
            <w:webHidden/>
          </w:rPr>
          <w:instrText xml:space="preserve"> PAGEREF _Toc476842253 \h </w:instrText>
        </w:r>
        <w:r w:rsidR="00900100">
          <w:rPr>
            <w:noProof/>
            <w:webHidden/>
          </w:rPr>
        </w:r>
        <w:r w:rsidR="00900100">
          <w:rPr>
            <w:noProof/>
            <w:webHidden/>
          </w:rPr>
          <w:fldChar w:fldCharType="separate"/>
        </w:r>
        <w:r w:rsidR="00865B5D">
          <w:rPr>
            <w:noProof/>
            <w:webHidden/>
          </w:rPr>
          <w:t>289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54" w:history="1">
        <w:r w:rsidR="00900100" w:rsidRPr="00BC4B98">
          <w:rPr>
            <w:rStyle w:val="Hyperlink"/>
            <w:rFonts w:eastAsiaTheme="minorHAnsi"/>
            <w:noProof/>
          </w:rPr>
          <w:t>Table A-139: Key Milestones Reached for PPL’s Phase II EM&amp;V Plan</w:t>
        </w:r>
        <w:r w:rsidR="00900100">
          <w:rPr>
            <w:noProof/>
            <w:webHidden/>
          </w:rPr>
          <w:tab/>
        </w:r>
        <w:r w:rsidR="00900100">
          <w:rPr>
            <w:noProof/>
            <w:webHidden/>
          </w:rPr>
          <w:fldChar w:fldCharType="begin"/>
        </w:r>
        <w:r w:rsidR="00900100">
          <w:rPr>
            <w:noProof/>
            <w:webHidden/>
          </w:rPr>
          <w:instrText xml:space="preserve"> PAGEREF _Toc476842254 \h </w:instrText>
        </w:r>
        <w:r w:rsidR="00900100">
          <w:rPr>
            <w:noProof/>
            <w:webHidden/>
          </w:rPr>
        </w:r>
        <w:r w:rsidR="00900100">
          <w:rPr>
            <w:noProof/>
            <w:webHidden/>
          </w:rPr>
          <w:fldChar w:fldCharType="separate"/>
        </w:r>
        <w:r w:rsidR="00865B5D">
          <w:rPr>
            <w:noProof/>
            <w:webHidden/>
          </w:rPr>
          <w:t>292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55" w:history="1">
        <w:r w:rsidR="00900100" w:rsidRPr="00BC4B98">
          <w:rPr>
            <w:rStyle w:val="Hyperlink"/>
            <w:rFonts w:eastAsiaTheme="minorHAnsi"/>
            <w:noProof/>
          </w:rPr>
          <w:t>Table A-140: Realization Rates and Relative Precisions for PPL’s Programs in PY7</w:t>
        </w:r>
        <w:r w:rsidR="00900100">
          <w:rPr>
            <w:noProof/>
            <w:webHidden/>
          </w:rPr>
          <w:tab/>
        </w:r>
        <w:r w:rsidR="00900100">
          <w:rPr>
            <w:noProof/>
            <w:webHidden/>
          </w:rPr>
          <w:fldChar w:fldCharType="begin"/>
        </w:r>
        <w:r w:rsidR="00900100">
          <w:rPr>
            <w:noProof/>
            <w:webHidden/>
          </w:rPr>
          <w:instrText xml:space="preserve"> PAGEREF _Toc476842255 \h </w:instrText>
        </w:r>
        <w:r w:rsidR="00900100">
          <w:rPr>
            <w:noProof/>
            <w:webHidden/>
          </w:rPr>
        </w:r>
        <w:r w:rsidR="00900100">
          <w:rPr>
            <w:noProof/>
            <w:webHidden/>
          </w:rPr>
          <w:fldChar w:fldCharType="separate"/>
        </w:r>
        <w:r w:rsidR="00865B5D">
          <w:rPr>
            <w:noProof/>
            <w:webHidden/>
          </w:rPr>
          <w:t>294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56" w:history="1">
        <w:r w:rsidR="00900100" w:rsidRPr="00BC4B98">
          <w:rPr>
            <w:rStyle w:val="Hyperlink"/>
            <w:rFonts w:eastAsiaTheme="minorHAnsi"/>
            <w:noProof/>
          </w:rPr>
          <w:t>Table A-141: Summary of Key Findings and Data Sources – PPL</w:t>
        </w:r>
        <w:r w:rsidR="00900100">
          <w:rPr>
            <w:noProof/>
            <w:webHidden/>
          </w:rPr>
          <w:tab/>
        </w:r>
        <w:r w:rsidR="00900100">
          <w:rPr>
            <w:noProof/>
            <w:webHidden/>
          </w:rPr>
          <w:fldChar w:fldCharType="begin"/>
        </w:r>
        <w:r w:rsidR="00900100">
          <w:rPr>
            <w:noProof/>
            <w:webHidden/>
          </w:rPr>
          <w:instrText xml:space="preserve"> PAGEREF _Toc476842256 \h </w:instrText>
        </w:r>
        <w:r w:rsidR="00900100">
          <w:rPr>
            <w:noProof/>
            <w:webHidden/>
          </w:rPr>
        </w:r>
        <w:r w:rsidR="00900100">
          <w:rPr>
            <w:noProof/>
            <w:webHidden/>
          </w:rPr>
          <w:fldChar w:fldCharType="separate"/>
        </w:r>
        <w:r w:rsidR="00865B5D">
          <w:rPr>
            <w:noProof/>
            <w:webHidden/>
          </w:rPr>
          <w:t>297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57" w:history="1">
        <w:r w:rsidR="00900100" w:rsidRPr="00BC4B98">
          <w:rPr>
            <w:rStyle w:val="Hyperlink"/>
            <w:rFonts w:eastAsiaTheme="minorHAnsi"/>
            <w:noProof/>
          </w:rPr>
          <w:t>Table A-142: Compliance across Sample Designs for PPL’s PY7 Non-Residential Programs</w:t>
        </w:r>
        <w:r w:rsidR="00900100">
          <w:rPr>
            <w:noProof/>
            <w:webHidden/>
          </w:rPr>
          <w:tab/>
        </w:r>
        <w:r w:rsidR="00900100">
          <w:rPr>
            <w:noProof/>
            <w:webHidden/>
          </w:rPr>
          <w:fldChar w:fldCharType="begin"/>
        </w:r>
        <w:r w:rsidR="00900100">
          <w:rPr>
            <w:noProof/>
            <w:webHidden/>
          </w:rPr>
          <w:instrText xml:space="preserve"> PAGEREF _Toc476842257 \h </w:instrText>
        </w:r>
        <w:r w:rsidR="00900100">
          <w:rPr>
            <w:noProof/>
            <w:webHidden/>
          </w:rPr>
        </w:r>
        <w:r w:rsidR="00900100">
          <w:rPr>
            <w:noProof/>
            <w:webHidden/>
          </w:rPr>
          <w:fldChar w:fldCharType="separate"/>
        </w:r>
        <w:r w:rsidR="00865B5D">
          <w:rPr>
            <w:noProof/>
            <w:webHidden/>
          </w:rPr>
          <w:t>308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58" w:history="1">
        <w:r w:rsidR="00900100" w:rsidRPr="00BC4B98">
          <w:rPr>
            <w:rStyle w:val="Hyperlink"/>
            <w:rFonts w:eastAsiaTheme="minorHAnsi"/>
            <w:noProof/>
          </w:rPr>
          <w:t>Table A-143: PY7 Project Files Review for PPL</w:t>
        </w:r>
        <w:r w:rsidR="00900100">
          <w:rPr>
            <w:noProof/>
            <w:webHidden/>
          </w:rPr>
          <w:tab/>
        </w:r>
        <w:r w:rsidR="00900100">
          <w:rPr>
            <w:noProof/>
            <w:webHidden/>
          </w:rPr>
          <w:fldChar w:fldCharType="begin"/>
        </w:r>
        <w:r w:rsidR="00900100">
          <w:rPr>
            <w:noProof/>
            <w:webHidden/>
          </w:rPr>
          <w:instrText xml:space="preserve"> PAGEREF _Toc476842258 \h </w:instrText>
        </w:r>
        <w:r w:rsidR="00900100">
          <w:rPr>
            <w:noProof/>
            <w:webHidden/>
          </w:rPr>
        </w:r>
        <w:r w:rsidR="00900100">
          <w:rPr>
            <w:noProof/>
            <w:webHidden/>
          </w:rPr>
          <w:fldChar w:fldCharType="separate"/>
        </w:r>
        <w:r w:rsidR="00865B5D">
          <w:rPr>
            <w:noProof/>
            <w:webHidden/>
          </w:rPr>
          <w:t>310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59" w:history="1">
        <w:r w:rsidR="00900100" w:rsidRPr="00BC4B98">
          <w:rPr>
            <w:rStyle w:val="Hyperlink"/>
            <w:rFonts w:eastAsiaTheme="minorHAnsi"/>
            <w:noProof/>
          </w:rPr>
          <w:t>Table A-144: PPL’s PY7 Sampling Strategy – Custom Incentive Program</w:t>
        </w:r>
        <w:r w:rsidR="00900100">
          <w:rPr>
            <w:noProof/>
            <w:webHidden/>
          </w:rPr>
          <w:tab/>
        </w:r>
        <w:r w:rsidR="00900100">
          <w:rPr>
            <w:noProof/>
            <w:webHidden/>
          </w:rPr>
          <w:fldChar w:fldCharType="begin"/>
        </w:r>
        <w:r w:rsidR="00900100">
          <w:rPr>
            <w:noProof/>
            <w:webHidden/>
          </w:rPr>
          <w:instrText xml:space="preserve"> PAGEREF _Toc476842259 \h </w:instrText>
        </w:r>
        <w:r w:rsidR="00900100">
          <w:rPr>
            <w:noProof/>
            <w:webHidden/>
          </w:rPr>
        </w:r>
        <w:r w:rsidR="00900100">
          <w:rPr>
            <w:noProof/>
            <w:webHidden/>
          </w:rPr>
          <w:fldChar w:fldCharType="separate"/>
        </w:r>
        <w:r w:rsidR="00865B5D">
          <w:rPr>
            <w:noProof/>
            <w:webHidden/>
          </w:rPr>
          <w:t>315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60" w:history="1">
        <w:r w:rsidR="00900100" w:rsidRPr="00BC4B98">
          <w:rPr>
            <w:rStyle w:val="Hyperlink"/>
            <w:rFonts w:eastAsiaTheme="minorHAnsi"/>
            <w:noProof/>
          </w:rPr>
          <w:t>Table A-145: Observed Coefficients of Variation and Relative Precision – Custom Incentive Program</w:t>
        </w:r>
        <w:r w:rsidR="00900100">
          <w:rPr>
            <w:noProof/>
            <w:webHidden/>
          </w:rPr>
          <w:tab/>
        </w:r>
        <w:r w:rsidR="00900100">
          <w:rPr>
            <w:noProof/>
            <w:webHidden/>
          </w:rPr>
          <w:fldChar w:fldCharType="begin"/>
        </w:r>
        <w:r w:rsidR="00900100">
          <w:rPr>
            <w:noProof/>
            <w:webHidden/>
          </w:rPr>
          <w:instrText xml:space="preserve"> PAGEREF _Toc476842260 \h </w:instrText>
        </w:r>
        <w:r w:rsidR="00900100">
          <w:rPr>
            <w:noProof/>
            <w:webHidden/>
          </w:rPr>
        </w:r>
        <w:r w:rsidR="00900100">
          <w:rPr>
            <w:noProof/>
            <w:webHidden/>
          </w:rPr>
          <w:fldChar w:fldCharType="separate"/>
        </w:r>
        <w:r w:rsidR="00865B5D">
          <w:rPr>
            <w:noProof/>
            <w:webHidden/>
          </w:rPr>
          <w:t>316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61" w:history="1">
        <w:r w:rsidR="00900100" w:rsidRPr="00BC4B98">
          <w:rPr>
            <w:rStyle w:val="Hyperlink"/>
            <w:rFonts w:eastAsiaTheme="minorHAnsi"/>
            <w:noProof/>
          </w:rPr>
          <w:t>Table A-146: PPL’s PY7 Sampling Strategy – MMMF Program</w:t>
        </w:r>
        <w:r w:rsidR="00900100">
          <w:rPr>
            <w:noProof/>
            <w:webHidden/>
          </w:rPr>
          <w:tab/>
        </w:r>
        <w:r w:rsidR="00900100">
          <w:rPr>
            <w:noProof/>
            <w:webHidden/>
          </w:rPr>
          <w:fldChar w:fldCharType="begin"/>
        </w:r>
        <w:r w:rsidR="00900100">
          <w:rPr>
            <w:noProof/>
            <w:webHidden/>
          </w:rPr>
          <w:instrText xml:space="preserve"> PAGEREF _Toc476842261 \h </w:instrText>
        </w:r>
        <w:r w:rsidR="00900100">
          <w:rPr>
            <w:noProof/>
            <w:webHidden/>
          </w:rPr>
        </w:r>
        <w:r w:rsidR="00900100">
          <w:rPr>
            <w:noProof/>
            <w:webHidden/>
          </w:rPr>
          <w:fldChar w:fldCharType="separate"/>
        </w:r>
        <w:r w:rsidR="00865B5D">
          <w:rPr>
            <w:noProof/>
            <w:webHidden/>
          </w:rPr>
          <w:t>316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62" w:history="1">
        <w:r w:rsidR="00900100" w:rsidRPr="00BC4B98">
          <w:rPr>
            <w:rStyle w:val="Hyperlink"/>
            <w:rFonts w:eastAsiaTheme="minorHAnsi"/>
            <w:noProof/>
          </w:rPr>
          <w:t>Table A-147: Observed Coefficients of Variation and Relative Precision – PPL’s MMMF Program</w:t>
        </w:r>
        <w:r w:rsidR="00900100">
          <w:rPr>
            <w:noProof/>
            <w:webHidden/>
          </w:rPr>
          <w:tab/>
        </w:r>
        <w:r w:rsidR="00900100">
          <w:rPr>
            <w:noProof/>
            <w:webHidden/>
          </w:rPr>
          <w:fldChar w:fldCharType="begin"/>
        </w:r>
        <w:r w:rsidR="00900100">
          <w:rPr>
            <w:noProof/>
            <w:webHidden/>
          </w:rPr>
          <w:instrText xml:space="preserve"> PAGEREF _Toc476842262 \h </w:instrText>
        </w:r>
        <w:r w:rsidR="00900100">
          <w:rPr>
            <w:noProof/>
            <w:webHidden/>
          </w:rPr>
        </w:r>
        <w:r w:rsidR="00900100">
          <w:rPr>
            <w:noProof/>
            <w:webHidden/>
          </w:rPr>
          <w:fldChar w:fldCharType="separate"/>
        </w:r>
        <w:r w:rsidR="00865B5D">
          <w:rPr>
            <w:noProof/>
            <w:webHidden/>
          </w:rPr>
          <w:t>316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63" w:history="1">
        <w:r w:rsidR="00900100" w:rsidRPr="00BC4B98">
          <w:rPr>
            <w:rStyle w:val="Hyperlink"/>
            <w:rFonts w:eastAsiaTheme="minorHAnsi"/>
            <w:noProof/>
          </w:rPr>
          <w:t>Table A-148: PPL’s PY7 Sampling Strategy – Prescriptive Equipment Program, Non-Lighting</w:t>
        </w:r>
        <w:r w:rsidR="00900100">
          <w:rPr>
            <w:noProof/>
            <w:webHidden/>
          </w:rPr>
          <w:tab/>
        </w:r>
        <w:r w:rsidR="00900100">
          <w:rPr>
            <w:noProof/>
            <w:webHidden/>
          </w:rPr>
          <w:fldChar w:fldCharType="begin"/>
        </w:r>
        <w:r w:rsidR="00900100">
          <w:rPr>
            <w:noProof/>
            <w:webHidden/>
          </w:rPr>
          <w:instrText xml:space="preserve"> PAGEREF _Toc476842263 \h </w:instrText>
        </w:r>
        <w:r w:rsidR="00900100">
          <w:rPr>
            <w:noProof/>
            <w:webHidden/>
          </w:rPr>
        </w:r>
        <w:r w:rsidR="00900100">
          <w:rPr>
            <w:noProof/>
            <w:webHidden/>
          </w:rPr>
          <w:fldChar w:fldCharType="separate"/>
        </w:r>
        <w:r w:rsidR="00865B5D">
          <w:rPr>
            <w:noProof/>
            <w:webHidden/>
          </w:rPr>
          <w:t>317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64" w:history="1">
        <w:r w:rsidR="00900100" w:rsidRPr="00BC4B98">
          <w:rPr>
            <w:rStyle w:val="Hyperlink"/>
            <w:rFonts w:eastAsiaTheme="minorHAnsi"/>
            <w:noProof/>
          </w:rPr>
          <w:t>Table A-149: PPL’s PY7 Sampling Strategy – Prescriptive Equipment Program, Lighting</w:t>
        </w:r>
        <w:r w:rsidR="00900100">
          <w:rPr>
            <w:noProof/>
            <w:webHidden/>
          </w:rPr>
          <w:tab/>
        </w:r>
        <w:r w:rsidR="00900100">
          <w:rPr>
            <w:noProof/>
            <w:webHidden/>
          </w:rPr>
          <w:fldChar w:fldCharType="begin"/>
        </w:r>
        <w:r w:rsidR="00900100">
          <w:rPr>
            <w:noProof/>
            <w:webHidden/>
          </w:rPr>
          <w:instrText xml:space="preserve"> PAGEREF _Toc476842264 \h </w:instrText>
        </w:r>
        <w:r w:rsidR="00900100">
          <w:rPr>
            <w:noProof/>
            <w:webHidden/>
          </w:rPr>
        </w:r>
        <w:r w:rsidR="00900100">
          <w:rPr>
            <w:noProof/>
            <w:webHidden/>
          </w:rPr>
          <w:fldChar w:fldCharType="separate"/>
        </w:r>
        <w:r w:rsidR="00865B5D">
          <w:rPr>
            <w:noProof/>
            <w:webHidden/>
          </w:rPr>
          <w:t>317</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65" w:history="1">
        <w:r w:rsidR="00900100" w:rsidRPr="00BC4B98">
          <w:rPr>
            <w:rStyle w:val="Hyperlink"/>
            <w:rFonts w:eastAsiaTheme="minorHAnsi"/>
            <w:noProof/>
          </w:rPr>
          <w:t>Table A-150: Observed Coefficients of Variation and Relative Precisions – PPL’s Prescriptive Equipment Program</w:t>
        </w:r>
        <w:r w:rsidR="00900100">
          <w:rPr>
            <w:noProof/>
            <w:webHidden/>
          </w:rPr>
          <w:tab/>
        </w:r>
        <w:r w:rsidR="00900100">
          <w:rPr>
            <w:noProof/>
            <w:webHidden/>
          </w:rPr>
          <w:fldChar w:fldCharType="begin"/>
        </w:r>
        <w:r w:rsidR="00900100">
          <w:rPr>
            <w:noProof/>
            <w:webHidden/>
          </w:rPr>
          <w:instrText xml:space="preserve"> PAGEREF _Toc476842265 \h </w:instrText>
        </w:r>
        <w:r w:rsidR="00900100">
          <w:rPr>
            <w:noProof/>
            <w:webHidden/>
          </w:rPr>
        </w:r>
        <w:r w:rsidR="00900100">
          <w:rPr>
            <w:noProof/>
            <w:webHidden/>
          </w:rPr>
          <w:fldChar w:fldCharType="separate"/>
        </w:r>
        <w:r w:rsidR="00865B5D">
          <w:rPr>
            <w:noProof/>
            <w:webHidden/>
          </w:rPr>
          <w:t>318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66" w:history="1">
        <w:r w:rsidR="00900100" w:rsidRPr="00BC4B98">
          <w:rPr>
            <w:rStyle w:val="Hyperlink"/>
            <w:rFonts w:eastAsiaTheme="minorHAnsi"/>
            <w:noProof/>
          </w:rPr>
          <w:t>Table A-151: Observed Coefficients of Variation and Relative Precisions – PPL’s Prescriptive Equipment Program – GNI Sector</w:t>
        </w:r>
        <w:r w:rsidR="00900100">
          <w:rPr>
            <w:noProof/>
            <w:webHidden/>
          </w:rPr>
          <w:tab/>
        </w:r>
        <w:r w:rsidR="00900100">
          <w:rPr>
            <w:noProof/>
            <w:webHidden/>
          </w:rPr>
          <w:fldChar w:fldCharType="begin"/>
        </w:r>
        <w:r w:rsidR="00900100">
          <w:rPr>
            <w:noProof/>
            <w:webHidden/>
          </w:rPr>
          <w:instrText xml:space="preserve"> PAGEREF _Toc476842266 \h </w:instrText>
        </w:r>
        <w:r w:rsidR="00900100">
          <w:rPr>
            <w:noProof/>
            <w:webHidden/>
          </w:rPr>
        </w:r>
        <w:r w:rsidR="00900100">
          <w:rPr>
            <w:noProof/>
            <w:webHidden/>
          </w:rPr>
          <w:fldChar w:fldCharType="separate"/>
        </w:r>
        <w:r w:rsidR="00865B5D">
          <w:rPr>
            <w:noProof/>
            <w:webHidden/>
          </w:rPr>
          <w:t>318</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67" w:history="1">
        <w:r w:rsidR="00900100" w:rsidRPr="00BC4B98">
          <w:rPr>
            <w:rStyle w:val="Hyperlink"/>
            <w:rFonts w:eastAsiaTheme="minorHAnsi"/>
            <w:noProof/>
          </w:rPr>
          <w:t>Table A-152: PPL’s PY7 Sampling Strategy – CEI Program</w:t>
        </w:r>
        <w:r w:rsidR="00900100">
          <w:rPr>
            <w:noProof/>
            <w:webHidden/>
          </w:rPr>
          <w:tab/>
        </w:r>
        <w:r w:rsidR="00900100">
          <w:rPr>
            <w:noProof/>
            <w:webHidden/>
          </w:rPr>
          <w:fldChar w:fldCharType="begin"/>
        </w:r>
        <w:r w:rsidR="00900100">
          <w:rPr>
            <w:noProof/>
            <w:webHidden/>
          </w:rPr>
          <w:instrText xml:space="preserve"> PAGEREF _Toc476842267 \h </w:instrText>
        </w:r>
        <w:r w:rsidR="00900100">
          <w:rPr>
            <w:noProof/>
            <w:webHidden/>
          </w:rPr>
        </w:r>
        <w:r w:rsidR="00900100">
          <w:rPr>
            <w:noProof/>
            <w:webHidden/>
          </w:rPr>
          <w:fldChar w:fldCharType="separate"/>
        </w:r>
        <w:r w:rsidR="00865B5D">
          <w:rPr>
            <w:noProof/>
            <w:webHidden/>
          </w:rPr>
          <w:t>319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68" w:history="1">
        <w:r w:rsidR="00900100" w:rsidRPr="00BC4B98">
          <w:rPr>
            <w:rStyle w:val="Hyperlink"/>
            <w:rFonts w:eastAsiaTheme="minorHAnsi"/>
            <w:noProof/>
          </w:rPr>
          <w:t>Table A-153: Observed Coefficients of Variation and Relative Precision – CEI Program</w:t>
        </w:r>
        <w:r w:rsidR="00900100">
          <w:rPr>
            <w:noProof/>
            <w:webHidden/>
          </w:rPr>
          <w:tab/>
        </w:r>
        <w:r w:rsidR="00900100">
          <w:rPr>
            <w:noProof/>
            <w:webHidden/>
          </w:rPr>
          <w:fldChar w:fldCharType="begin"/>
        </w:r>
        <w:r w:rsidR="00900100">
          <w:rPr>
            <w:noProof/>
            <w:webHidden/>
          </w:rPr>
          <w:instrText xml:space="preserve"> PAGEREF _Toc476842268 \h </w:instrText>
        </w:r>
        <w:r w:rsidR="00900100">
          <w:rPr>
            <w:noProof/>
            <w:webHidden/>
          </w:rPr>
        </w:r>
        <w:r w:rsidR="00900100">
          <w:rPr>
            <w:noProof/>
            <w:webHidden/>
          </w:rPr>
          <w:fldChar w:fldCharType="separate"/>
        </w:r>
        <w:r w:rsidR="00865B5D">
          <w:rPr>
            <w:noProof/>
            <w:webHidden/>
          </w:rPr>
          <w:t>319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69" w:history="1">
        <w:r w:rsidR="00900100" w:rsidRPr="00BC4B98">
          <w:rPr>
            <w:rStyle w:val="Hyperlink"/>
            <w:rFonts w:eastAsiaTheme="minorHAnsi"/>
            <w:noProof/>
          </w:rPr>
          <w:t>Table A-154: PPL’s PY7 Non-Residential Site Inspection Findings</w:t>
        </w:r>
        <w:r w:rsidR="00900100">
          <w:rPr>
            <w:noProof/>
            <w:webHidden/>
          </w:rPr>
          <w:tab/>
        </w:r>
        <w:r w:rsidR="00900100">
          <w:rPr>
            <w:noProof/>
            <w:webHidden/>
          </w:rPr>
          <w:fldChar w:fldCharType="begin"/>
        </w:r>
        <w:r w:rsidR="00900100">
          <w:rPr>
            <w:noProof/>
            <w:webHidden/>
          </w:rPr>
          <w:instrText xml:space="preserve"> PAGEREF _Toc476842269 \h </w:instrText>
        </w:r>
        <w:r w:rsidR="00900100">
          <w:rPr>
            <w:noProof/>
            <w:webHidden/>
          </w:rPr>
        </w:r>
        <w:r w:rsidR="00900100">
          <w:rPr>
            <w:noProof/>
            <w:webHidden/>
          </w:rPr>
          <w:fldChar w:fldCharType="separate"/>
        </w:r>
        <w:r w:rsidR="00865B5D">
          <w:rPr>
            <w:noProof/>
            <w:webHidden/>
          </w:rPr>
          <w:t>319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70" w:history="1">
        <w:r w:rsidR="00900100" w:rsidRPr="00BC4B98">
          <w:rPr>
            <w:rStyle w:val="Hyperlink"/>
            <w:rFonts w:eastAsiaTheme="minorHAnsi"/>
            <w:noProof/>
          </w:rPr>
          <w:t>Table A-155: Summary of SWE Team Review of PPL NTG Evaluations</w:t>
        </w:r>
        <w:r w:rsidR="00900100">
          <w:rPr>
            <w:noProof/>
            <w:webHidden/>
          </w:rPr>
          <w:tab/>
        </w:r>
        <w:r w:rsidR="00900100">
          <w:rPr>
            <w:noProof/>
            <w:webHidden/>
          </w:rPr>
          <w:fldChar w:fldCharType="begin"/>
        </w:r>
        <w:r w:rsidR="00900100">
          <w:rPr>
            <w:noProof/>
            <w:webHidden/>
          </w:rPr>
          <w:instrText xml:space="preserve"> PAGEREF _Toc476842270 \h </w:instrText>
        </w:r>
        <w:r w:rsidR="00900100">
          <w:rPr>
            <w:noProof/>
            <w:webHidden/>
          </w:rPr>
        </w:r>
        <w:r w:rsidR="00900100">
          <w:rPr>
            <w:noProof/>
            <w:webHidden/>
          </w:rPr>
          <w:fldChar w:fldCharType="separate"/>
        </w:r>
        <w:r w:rsidR="00865B5D">
          <w:rPr>
            <w:noProof/>
            <w:webHidden/>
          </w:rPr>
          <w:t>321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71" w:history="1">
        <w:r w:rsidR="00900100" w:rsidRPr="00BC4B98">
          <w:rPr>
            <w:rStyle w:val="Hyperlink"/>
            <w:rFonts w:eastAsiaTheme="minorHAnsi"/>
            <w:noProof/>
          </w:rPr>
          <w:t>Table A-156: Summary of NTG Audit of PPL’s Residential Programs</w:t>
        </w:r>
        <w:r w:rsidR="00900100">
          <w:rPr>
            <w:noProof/>
            <w:webHidden/>
          </w:rPr>
          <w:tab/>
        </w:r>
        <w:r w:rsidR="00900100">
          <w:rPr>
            <w:noProof/>
            <w:webHidden/>
          </w:rPr>
          <w:fldChar w:fldCharType="begin"/>
        </w:r>
        <w:r w:rsidR="00900100">
          <w:rPr>
            <w:noProof/>
            <w:webHidden/>
          </w:rPr>
          <w:instrText xml:space="preserve"> PAGEREF _Toc476842271 \h </w:instrText>
        </w:r>
        <w:r w:rsidR="00900100">
          <w:rPr>
            <w:noProof/>
            <w:webHidden/>
          </w:rPr>
        </w:r>
        <w:r w:rsidR="00900100">
          <w:rPr>
            <w:noProof/>
            <w:webHidden/>
          </w:rPr>
          <w:fldChar w:fldCharType="separate"/>
        </w:r>
        <w:r w:rsidR="00865B5D">
          <w:rPr>
            <w:noProof/>
            <w:webHidden/>
          </w:rPr>
          <w:t>323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72" w:history="1">
        <w:r w:rsidR="00900100" w:rsidRPr="00BC4B98">
          <w:rPr>
            <w:rStyle w:val="Hyperlink"/>
            <w:rFonts w:eastAsiaTheme="minorHAnsi"/>
            <w:noProof/>
          </w:rPr>
          <w:t>Table A-157: Summary of NTG Estimates for PPL’s Residential Programs</w:t>
        </w:r>
        <w:r w:rsidR="00900100">
          <w:rPr>
            <w:noProof/>
            <w:webHidden/>
          </w:rPr>
          <w:tab/>
        </w:r>
        <w:r w:rsidR="00900100">
          <w:rPr>
            <w:noProof/>
            <w:webHidden/>
          </w:rPr>
          <w:fldChar w:fldCharType="begin"/>
        </w:r>
        <w:r w:rsidR="00900100">
          <w:rPr>
            <w:noProof/>
            <w:webHidden/>
          </w:rPr>
          <w:instrText xml:space="preserve"> PAGEREF _Toc476842272 \h </w:instrText>
        </w:r>
        <w:r w:rsidR="00900100">
          <w:rPr>
            <w:noProof/>
            <w:webHidden/>
          </w:rPr>
        </w:r>
        <w:r w:rsidR="00900100">
          <w:rPr>
            <w:noProof/>
            <w:webHidden/>
          </w:rPr>
          <w:fldChar w:fldCharType="separate"/>
        </w:r>
        <w:r w:rsidR="00865B5D">
          <w:rPr>
            <w:noProof/>
            <w:webHidden/>
          </w:rPr>
          <w:t>324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73" w:history="1">
        <w:r w:rsidR="00900100" w:rsidRPr="00BC4B98">
          <w:rPr>
            <w:rStyle w:val="Hyperlink"/>
            <w:rFonts w:eastAsiaTheme="minorHAnsi"/>
            <w:noProof/>
          </w:rPr>
          <w:t>Table A-158: Summary of NTG Audit of PPL’s Non-Residential Programs</w:t>
        </w:r>
        <w:r w:rsidR="00900100">
          <w:rPr>
            <w:noProof/>
            <w:webHidden/>
          </w:rPr>
          <w:tab/>
        </w:r>
        <w:r w:rsidR="00900100">
          <w:rPr>
            <w:noProof/>
            <w:webHidden/>
          </w:rPr>
          <w:fldChar w:fldCharType="begin"/>
        </w:r>
        <w:r w:rsidR="00900100">
          <w:rPr>
            <w:noProof/>
            <w:webHidden/>
          </w:rPr>
          <w:instrText xml:space="preserve"> PAGEREF _Toc476842273 \h </w:instrText>
        </w:r>
        <w:r w:rsidR="00900100">
          <w:rPr>
            <w:noProof/>
            <w:webHidden/>
          </w:rPr>
        </w:r>
        <w:r w:rsidR="00900100">
          <w:rPr>
            <w:noProof/>
            <w:webHidden/>
          </w:rPr>
          <w:fldChar w:fldCharType="separate"/>
        </w:r>
        <w:r w:rsidR="00865B5D">
          <w:rPr>
            <w:noProof/>
            <w:webHidden/>
          </w:rPr>
          <w:t>325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74" w:history="1">
        <w:r w:rsidR="00900100" w:rsidRPr="00BC4B98">
          <w:rPr>
            <w:rStyle w:val="Hyperlink"/>
            <w:rFonts w:eastAsiaTheme="minorHAnsi"/>
            <w:noProof/>
          </w:rPr>
          <w:t>Table A-159: Summary of NTG Estimates for PPL’s Non-Residential Programs</w:t>
        </w:r>
        <w:r w:rsidR="00900100">
          <w:rPr>
            <w:noProof/>
            <w:webHidden/>
          </w:rPr>
          <w:tab/>
        </w:r>
        <w:r w:rsidR="00900100">
          <w:rPr>
            <w:noProof/>
            <w:webHidden/>
          </w:rPr>
          <w:fldChar w:fldCharType="begin"/>
        </w:r>
        <w:r w:rsidR="00900100">
          <w:rPr>
            <w:noProof/>
            <w:webHidden/>
          </w:rPr>
          <w:instrText xml:space="preserve"> PAGEREF _Toc476842274 \h </w:instrText>
        </w:r>
        <w:r w:rsidR="00900100">
          <w:rPr>
            <w:noProof/>
            <w:webHidden/>
          </w:rPr>
        </w:r>
        <w:r w:rsidR="00900100">
          <w:rPr>
            <w:noProof/>
            <w:webHidden/>
          </w:rPr>
          <w:fldChar w:fldCharType="separate"/>
        </w:r>
        <w:r w:rsidR="00865B5D">
          <w:rPr>
            <w:noProof/>
            <w:webHidden/>
          </w:rPr>
          <w:t>325</w:t>
        </w:r>
        <w:r w:rsidR="00900100">
          <w:rPr>
            <w:noProof/>
            <w:webHidden/>
          </w:rPr>
          <w:fldChar w:fldCharType="end"/>
        </w:r>
      </w:hyperlink>
    </w:p>
    <w:p w:rsidR="00344D11" w:rsidRDefault="00664065" w:rsidP="0022599A">
      <w:pPr>
        <w:spacing w:after="60"/>
        <w:rPr>
          <w:rFonts w:ascii="Century Gothic" w:hAnsi="Century Gothic"/>
          <w:sz w:val="20"/>
          <w:szCs w:val="20"/>
        </w:rPr>
      </w:pPr>
      <w:r w:rsidRPr="003965C5">
        <w:rPr>
          <w:rFonts w:ascii="Century Gothic" w:hAnsi="Century Gothic"/>
          <w:sz w:val="20"/>
          <w:szCs w:val="20"/>
        </w:rPr>
        <w:fldChar w:fldCharType="end"/>
      </w:r>
    </w:p>
    <w:p w:rsidR="0011636D" w:rsidRDefault="0011636D" w:rsidP="0022599A">
      <w:pPr>
        <w:spacing w:after="60"/>
        <w:rPr>
          <w:rFonts w:ascii="Century Gothic" w:hAnsi="Century Gothic"/>
          <w:sz w:val="20"/>
          <w:szCs w:val="20"/>
        </w:rPr>
      </w:pPr>
    </w:p>
    <w:p w:rsidR="0011636D" w:rsidRPr="00696BFA" w:rsidRDefault="0011636D" w:rsidP="0022599A">
      <w:pPr>
        <w:spacing w:after="60"/>
        <w:rPr>
          <w:sz w:val="20"/>
        </w:rPr>
      </w:pPr>
    </w:p>
    <w:p w:rsidR="00B606CD" w:rsidRDefault="00B606CD" w:rsidP="0022599A">
      <w:pPr>
        <w:spacing w:after="60"/>
        <w:rPr>
          <w:rFonts w:ascii="Century Gothic" w:hAnsi="Century Gothic"/>
          <w:sz w:val="20"/>
          <w:szCs w:val="20"/>
        </w:rPr>
      </w:pPr>
    </w:p>
    <w:p w:rsidR="00B606CD" w:rsidRDefault="00B606CD" w:rsidP="0022599A">
      <w:pPr>
        <w:spacing w:after="60"/>
        <w:rPr>
          <w:rFonts w:ascii="Century Gothic" w:hAnsi="Century Gothic"/>
          <w:sz w:val="20"/>
          <w:szCs w:val="20"/>
        </w:rPr>
      </w:pPr>
    </w:p>
    <w:p w:rsidR="00B606CD" w:rsidRDefault="00B606CD" w:rsidP="0022599A">
      <w:pPr>
        <w:spacing w:after="60"/>
        <w:rPr>
          <w:rFonts w:ascii="Century Gothic" w:hAnsi="Century Gothic"/>
          <w:sz w:val="20"/>
          <w:szCs w:val="20"/>
        </w:rPr>
      </w:pPr>
    </w:p>
    <w:p w:rsidR="00132209" w:rsidRPr="00472B27" w:rsidRDefault="00132209" w:rsidP="00132209">
      <w:pPr>
        <w:shd w:val="clear" w:color="auto" w:fill="448A99"/>
        <w:jc w:val="right"/>
        <w:rPr>
          <w:rFonts w:ascii="Century Gothic" w:hAnsi="Century Gothic"/>
          <w:smallCaps/>
          <w:color w:val="FFFFFF" w:themeColor="background1"/>
          <w:sz w:val="28"/>
        </w:rPr>
      </w:pPr>
      <w:r w:rsidRPr="00472B27">
        <w:rPr>
          <w:rFonts w:ascii="Century Gothic" w:hAnsi="Century Gothic"/>
          <w:smallCaps/>
          <w:color w:val="FFFFFF" w:themeColor="background1"/>
          <w:sz w:val="28"/>
        </w:rPr>
        <w:lastRenderedPageBreak/>
        <w:t xml:space="preserve">List of Appendices </w:t>
      </w:r>
      <w:r>
        <w:rPr>
          <w:rFonts w:ascii="Century Gothic" w:hAnsi="Century Gothic"/>
          <w:smallCaps/>
          <w:color w:val="FFFFFF" w:themeColor="background1"/>
          <w:sz w:val="28"/>
        </w:rPr>
        <w:t>Figures</w:t>
      </w:r>
    </w:p>
    <w:p w:rsidR="00132209" w:rsidRPr="00070483" w:rsidRDefault="00132209" w:rsidP="00132209">
      <w:pPr>
        <w:rPr>
          <w:sz w:val="14"/>
        </w:rPr>
      </w:pPr>
    </w:p>
    <w:p w:rsidR="00132209" w:rsidRPr="0091036A" w:rsidRDefault="00132209" w:rsidP="00132209">
      <w:pPr>
        <w:spacing w:after="60"/>
        <w:rPr>
          <w:rFonts w:ascii="Century Gothic" w:hAnsi="Century Gothic"/>
          <w:b/>
        </w:rPr>
      </w:pPr>
      <w:r w:rsidRPr="0091036A">
        <w:rPr>
          <w:rFonts w:ascii="Century Gothic" w:hAnsi="Century Gothic"/>
          <w:b/>
        </w:rPr>
        <w:t>Appendix A</w:t>
      </w:r>
      <w:r>
        <w:rPr>
          <w:rFonts w:ascii="Century Gothic" w:hAnsi="Century Gothic"/>
          <w:b/>
        </w:rPr>
        <w:t xml:space="preserve"> Figures</w:t>
      </w:r>
    </w:p>
    <w:p w:rsidR="00900100" w:rsidRDefault="001D0677">
      <w:pPr>
        <w:pStyle w:val="TableofFigures"/>
        <w:tabs>
          <w:tab w:val="right" w:leader="dot" w:pos="9350"/>
        </w:tabs>
        <w:rPr>
          <w:rFonts w:asciiTheme="minorHAnsi" w:eastAsiaTheme="minorEastAsia" w:hAnsiTheme="minorHAnsi" w:cstheme="minorBidi"/>
          <w:noProof/>
          <w:sz w:val="22"/>
        </w:rPr>
      </w:pPr>
      <w:r w:rsidRPr="0011636D">
        <w:fldChar w:fldCharType="begin"/>
      </w:r>
      <w:r w:rsidRPr="0011636D">
        <w:instrText xml:space="preserve"> TOC \h \z \c "Figure A-" </w:instrText>
      </w:r>
      <w:r w:rsidRPr="0011636D">
        <w:fldChar w:fldCharType="separate"/>
      </w:r>
      <w:hyperlink w:anchor="_Toc476842275" w:history="1">
        <w:r w:rsidR="00900100" w:rsidRPr="00E73321">
          <w:rPr>
            <w:rStyle w:val="Hyperlink"/>
            <w:rFonts w:eastAsiaTheme="minorHAnsi"/>
            <w:noProof/>
          </w:rPr>
          <w:t>Figure A-1: Frequency of and Associated Energy Savings by M&amp;V Approach – Commercial and GNI Program Groups</w:t>
        </w:r>
        <w:r w:rsidR="00900100">
          <w:rPr>
            <w:noProof/>
            <w:webHidden/>
          </w:rPr>
          <w:tab/>
        </w:r>
        <w:r w:rsidR="00900100">
          <w:rPr>
            <w:noProof/>
            <w:webHidden/>
          </w:rPr>
          <w:fldChar w:fldCharType="begin"/>
        </w:r>
        <w:r w:rsidR="00900100">
          <w:rPr>
            <w:noProof/>
            <w:webHidden/>
          </w:rPr>
          <w:instrText xml:space="preserve"> PAGEREF _Toc476842275 \h </w:instrText>
        </w:r>
        <w:r w:rsidR="00900100">
          <w:rPr>
            <w:noProof/>
            <w:webHidden/>
          </w:rPr>
        </w:r>
        <w:r w:rsidR="00900100">
          <w:rPr>
            <w:noProof/>
            <w:webHidden/>
          </w:rPr>
          <w:fldChar w:fldCharType="separate"/>
        </w:r>
        <w:r w:rsidR="00E72F67">
          <w:rPr>
            <w:noProof/>
            <w:webHidden/>
          </w:rPr>
          <w:t>126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76" w:history="1">
        <w:r w:rsidR="00900100" w:rsidRPr="00E73321">
          <w:rPr>
            <w:rStyle w:val="Hyperlink"/>
            <w:rFonts w:eastAsiaTheme="minorHAnsi"/>
            <w:noProof/>
          </w:rPr>
          <w:t>Figure A-2: Frequency of and Associated Energy Savings by M&amp;V Approach – Industrial Program Group</w:t>
        </w:r>
        <w:r w:rsidR="00900100">
          <w:rPr>
            <w:noProof/>
            <w:webHidden/>
          </w:rPr>
          <w:tab/>
        </w:r>
        <w:r w:rsidR="00900100">
          <w:rPr>
            <w:noProof/>
            <w:webHidden/>
          </w:rPr>
          <w:fldChar w:fldCharType="begin"/>
        </w:r>
        <w:r w:rsidR="00900100">
          <w:rPr>
            <w:noProof/>
            <w:webHidden/>
          </w:rPr>
          <w:instrText xml:space="preserve"> PAGEREF _Toc476842276 \h </w:instrText>
        </w:r>
        <w:r w:rsidR="00900100">
          <w:rPr>
            <w:noProof/>
            <w:webHidden/>
          </w:rPr>
        </w:r>
        <w:r w:rsidR="00900100">
          <w:rPr>
            <w:noProof/>
            <w:webHidden/>
          </w:rPr>
          <w:fldChar w:fldCharType="separate"/>
        </w:r>
        <w:r w:rsidR="00E72F67">
          <w:rPr>
            <w:noProof/>
            <w:webHidden/>
          </w:rPr>
          <w:t>126</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77" w:history="1">
        <w:r w:rsidR="00900100" w:rsidRPr="00E73321">
          <w:rPr>
            <w:rStyle w:val="Hyperlink"/>
            <w:rFonts w:eastAsiaTheme="minorHAnsi"/>
            <w:noProof/>
          </w:rPr>
          <w:t>Figure A-3: Frequency of and Associated Energy Savings by M&amp;V Approach – Small C/I Equipment Program</w:t>
        </w:r>
        <w:r w:rsidR="00900100">
          <w:rPr>
            <w:noProof/>
            <w:webHidden/>
          </w:rPr>
          <w:tab/>
        </w:r>
        <w:r w:rsidR="00900100">
          <w:rPr>
            <w:noProof/>
            <w:webHidden/>
          </w:rPr>
          <w:fldChar w:fldCharType="begin"/>
        </w:r>
        <w:r w:rsidR="00900100">
          <w:rPr>
            <w:noProof/>
            <w:webHidden/>
          </w:rPr>
          <w:instrText xml:space="preserve"> PAGEREF _Toc476842277 \h </w:instrText>
        </w:r>
        <w:r w:rsidR="00900100">
          <w:rPr>
            <w:noProof/>
            <w:webHidden/>
          </w:rPr>
        </w:r>
        <w:r w:rsidR="00900100">
          <w:rPr>
            <w:noProof/>
            <w:webHidden/>
          </w:rPr>
          <w:fldChar w:fldCharType="separate"/>
        </w:r>
        <w:r w:rsidR="00E72F67">
          <w:rPr>
            <w:noProof/>
            <w:webHidden/>
          </w:rPr>
          <w:t>161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78" w:history="1">
        <w:r w:rsidR="00900100" w:rsidRPr="00E73321">
          <w:rPr>
            <w:rStyle w:val="Hyperlink"/>
            <w:rFonts w:eastAsiaTheme="minorHAnsi"/>
            <w:noProof/>
          </w:rPr>
          <w:t>Figure A-4: Frequency of and Associated Energy Savings by M&amp;V Approach – Small C/I Buildings Program</w:t>
        </w:r>
        <w:r w:rsidR="00900100">
          <w:rPr>
            <w:noProof/>
            <w:webHidden/>
          </w:rPr>
          <w:tab/>
        </w:r>
        <w:r w:rsidR="00900100">
          <w:rPr>
            <w:noProof/>
            <w:webHidden/>
          </w:rPr>
          <w:fldChar w:fldCharType="begin"/>
        </w:r>
        <w:r w:rsidR="00900100">
          <w:rPr>
            <w:noProof/>
            <w:webHidden/>
          </w:rPr>
          <w:instrText xml:space="preserve"> PAGEREF _Toc476842278 \h </w:instrText>
        </w:r>
        <w:r w:rsidR="00900100">
          <w:rPr>
            <w:noProof/>
            <w:webHidden/>
          </w:rPr>
        </w:r>
        <w:r w:rsidR="00900100">
          <w:rPr>
            <w:noProof/>
            <w:webHidden/>
          </w:rPr>
          <w:fldChar w:fldCharType="separate"/>
        </w:r>
        <w:r w:rsidR="00E72F67">
          <w:rPr>
            <w:noProof/>
            <w:webHidden/>
          </w:rPr>
          <w:t>162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79" w:history="1">
        <w:r w:rsidR="00900100" w:rsidRPr="00E73321">
          <w:rPr>
            <w:rStyle w:val="Hyperlink"/>
            <w:rFonts w:eastAsiaTheme="minorHAnsi"/>
            <w:noProof/>
          </w:rPr>
          <w:t>Figure A-5: Frequency of and Associated Energy Savings by M&amp;V Approach – Large C/I Equipment Program</w:t>
        </w:r>
        <w:r w:rsidR="00900100">
          <w:rPr>
            <w:noProof/>
            <w:webHidden/>
          </w:rPr>
          <w:tab/>
        </w:r>
        <w:r w:rsidR="00900100">
          <w:rPr>
            <w:noProof/>
            <w:webHidden/>
          </w:rPr>
          <w:fldChar w:fldCharType="begin"/>
        </w:r>
        <w:r w:rsidR="00900100">
          <w:rPr>
            <w:noProof/>
            <w:webHidden/>
          </w:rPr>
          <w:instrText xml:space="preserve"> PAGEREF _Toc476842279 \h </w:instrText>
        </w:r>
        <w:r w:rsidR="00900100">
          <w:rPr>
            <w:noProof/>
            <w:webHidden/>
          </w:rPr>
        </w:r>
        <w:r w:rsidR="00900100">
          <w:rPr>
            <w:noProof/>
            <w:webHidden/>
          </w:rPr>
          <w:fldChar w:fldCharType="separate"/>
        </w:r>
        <w:r w:rsidR="00E72F67">
          <w:rPr>
            <w:noProof/>
            <w:webHidden/>
          </w:rPr>
          <w:t>162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80" w:history="1">
        <w:r w:rsidR="00900100" w:rsidRPr="00E73321">
          <w:rPr>
            <w:rStyle w:val="Hyperlink"/>
            <w:rFonts w:eastAsiaTheme="minorHAnsi"/>
            <w:noProof/>
          </w:rPr>
          <w:t>Figure A-6 Frequency of and Associated Energy Savings by M&amp;V Approach – Large C/I Buildings Program</w:t>
        </w:r>
        <w:r w:rsidR="00900100">
          <w:rPr>
            <w:noProof/>
            <w:webHidden/>
          </w:rPr>
          <w:tab/>
        </w:r>
        <w:r w:rsidR="00900100">
          <w:rPr>
            <w:noProof/>
            <w:webHidden/>
          </w:rPr>
          <w:fldChar w:fldCharType="begin"/>
        </w:r>
        <w:r w:rsidR="00900100">
          <w:rPr>
            <w:noProof/>
            <w:webHidden/>
          </w:rPr>
          <w:instrText xml:space="preserve"> PAGEREF _Toc476842280 \h </w:instrText>
        </w:r>
        <w:r w:rsidR="00900100">
          <w:rPr>
            <w:noProof/>
            <w:webHidden/>
          </w:rPr>
        </w:r>
        <w:r w:rsidR="00900100">
          <w:rPr>
            <w:noProof/>
            <w:webHidden/>
          </w:rPr>
          <w:fldChar w:fldCharType="separate"/>
        </w:r>
        <w:r w:rsidR="00E72F67">
          <w:rPr>
            <w:noProof/>
            <w:webHidden/>
          </w:rPr>
          <w:t>163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81" w:history="1">
        <w:r w:rsidR="00900100" w:rsidRPr="00E73321">
          <w:rPr>
            <w:rStyle w:val="Hyperlink"/>
            <w:rFonts w:eastAsiaTheme="minorHAnsi"/>
            <w:noProof/>
          </w:rPr>
          <w:t>Figure A-7: Frequency of and Associated Energy Savings by M&amp;V Approach – Government and Institutional Program</w:t>
        </w:r>
        <w:r w:rsidR="00900100">
          <w:rPr>
            <w:noProof/>
            <w:webHidden/>
          </w:rPr>
          <w:tab/>
        </w:r>
        <w:r w:rsidR="00900100">
          <w:rPr>
            <w:noProof/>
            <w:webHidden/>
          </w:rPr>
          <w:fldChar w:fldCharType="begin"/>
        </w:r>
        <w:r w:rsidR="00900100">
          <w:rPr>
            <w:noProof/>
            <w:webHidden/>
          </w:rPr>
          <w:instrText xml:space="preserve"> PAGEREF _Toc476842281 \h </w:instrText>
        </w:r>
        <w:r w:rsidR="00900100">
          <w:rPr>
            <w:noProof/>
            <w:webHidden/>
          </w:rPr>
        </w:r>
        <w:r w:rsidR="00900100">
          <w:rPr>
            <w:noProof/>
            <w:webHidden/>
          </w:rPr>
          <w:fldChar w:fldCharType="separate"/>
        </w:r>
        <w:r w:rsidR="00E72F67">
          <w:rPr>
            <w:noProof/>
            <w:webHidden/>
          </w:rPr>
          <w:t>163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82" w:history="1">
        <w:r w:rsidR="00900100" w:rsidRPr="00E73321">
          <w:rPr>
            <w:rStyle w:val="Hyperlink"/>
            <w:rFonts w:eastAsiaTheme="minorHAnsi"/>
            <w:noProof/>
          </w:rPr>
          <w:t>Figure A-8: Frequency of and Associated Energy Savings by M&amp;V Approach – Small C/I Equipment Program</w:t>
        </w:r>
        <w:r w:rsidR="00900100">
          <w:rPr>
            <w:noProof/>
            <w:webHidden/>
          </w:rPr>
          <w:tab/>
        </w:r>
        <w:r w:rsidR="00900100">
          <w:rPr>
            <w:noProof/>
            <w:webHidden/>
          </w:rPr>
          <w:fldChar w:fldCharType="begin"/>
        </w:r>
        <w:r w:rsidR="00900100">
          <w:rPr>
            <w:noProof/>
            <w:webHidden/>
          </w:rPr>
          <w:instrText xml:space="preserve"> PAGEREF _Toc476842282 \h </w:instrText>
        </w:r>
        <w:r w:rsidR="00900100">
          <w:rPr>
            <w:noProof/>
            <w:webHidden/>
          </w:rPr>
        </w:r>
        <w:r w:rsidR="00900100">
          <w:rPr>
            <w:noProof/>
            <w:webHidden/>
          </w:rPr>
          <w:fldChar w:fldCharType="separate"/>
        </w:r>
        <w:r w:rsidR="00E72F67">
          <w:rPr>
            <w:noProof/>
            <w:webHidden/>
          </w:rPr>
          <w:t>191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83" w:history="1">
        <w:r w:rsidR="00900100" w:rsidRPr="00E73321">
          <w:rPr>
            <w:rStyle w:val="Hyperlink"/>
            <w:rFonts w:eastAsiaTheme="minorHAnsi"/>
            <w:noProof/>
          </w:rPr>
          <w:t>Figure A-9: Frequency of and Associated Energy Savings by M&amp;V Approach – Small C/I Buildings Program</w:t>
        </w:r>
        <w:r w:rsidR="00900100">
          <w:rPr>
            <w:noProof/>
            <w:webHidden/>
          </w:rPr>
          <w:tab/>
        </w:r>
        <w:r w:rsidR="00900100">
          <w:rPr>
            <w:noProof/>
            <w:webHidden/>
          </w:rPr>
          <w:fldChar w:fldCharType="begin"/>
        </w:r>
        <w:r w:rsidR="00900100">
          <w:rPr>
            <w:noProof/>
            <w:webHidden/>
          </w:rPr>
          <w:instrText xml:space="preserve"> PAGEREF _Toc476842283 \h </w:instrText>
        </w:r>
        <w:r w:rsidR="00900100">
          <w:rPr>
            <w:noProof/>
            <w:webHidden/>
          </w:rPr>
        </w:r>
        <w:r w:rsidR="00900100">
          <w:rPr>
            <w:noProof/>
            <w:webHidden/>
          </w:rPr>
          <w:fldChar w:fldCharType="separate"/>
        </w:r>
        <w:r w:rsidR="00E72F67">
          <w:rPr>
            <w:noProof/>
            <w:webHidden/>
          </w:rPr>
          <w:t>191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84" w:history="1">
        <w:r w:rsidR="00900100" w:rsidRPr="00E73321">
          <w:rPr>
            <w:rStyle w:val="Hyperlink"/>
            <w:rFonts w:eastAsiaTheme="minorHAnsi"/>
            <w:noProof/>
          </w:rPr>
          <w:t>Figure A-10: Frequency of and Associated Energy Savings by M&amp;V Approach – Large C/I Equipment Program</w:t>
        </w:r>
        <w:r w:rsidR="00900100">
          <w:rPr>
            <w:noProof/>
            <w:webHidden/>
          </w:rPr>
          <w:tab/>
        </w:r>
        <w:r w:rsidR="00900100">
          <w:rPr>
            <w:noProof/>
            <w:webHidden/>
          </w:rPr>
          <w:fldChar w:fldCharType="begin"/>
        </w:r>
        <w:r w:rsidR="00900100">
          <w:rPr>
            <w:noProof/>
            <w:webHidden/>
          </w:rPr>
          <w:instrText xml:space="preserve"> PAGEREF _Toc476842284 \h </w:instrText>
        </w:r>
        <w:r w:rsidR="00900100">
          <w:rPr>
            <w:noProof/>
            <w:webHidden/>
          </w:rPr>
        </w:r>
        <w:r w:rsidR="00900100">
          <w:rPr>
            <w:noProof/>
            <w:webHidden/>
          </w:rPr>
          <w:fldChar w:fldCharType="separate"/>
        </w:r>
        <w:r w:rsidR="00E72F67">
          <w:rPr>
            <w:noProof/>
            <w:webHidden/>
          </w:rPr>
          <w:t>192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85" w:history="1">
        <w:r w:rsidR="00900100" w:rsidRPr="00E73321">
          <w:rPr>
            <w:rStyle w:val="Hyperlink"/>
            <w:rFonts w:eastAsiaTheme="minorHAnsi"/>
            <w:noProof/>
          </w:rPr>
          <w:t>Figure A-11: Frequency of and Associated Energy Savings by M&amp;V Approach – Government and Institutional Program</w:t>
        </w:r>
        <w:r w:rsidR="00900100">
          <w:rPr>
            <w:noProof/>
            <w:webHidden/>
          </w:rPr>
          <w:tab/>
        </w:r>
        <w:r w:rsidR="00900100">
          <w:rPr>
            <w:noProof/>
            <w:webHidden/>
          </w:rPr>
          <w:fldChar w:fldCharType="begin"/>
        </w:r>
        <w:r w:rsidR="00900100">
          <w:rPr>
            <w:noProof/>
            <w:webHidden/>
          </w:rPr>
          <w:instrText xml:space="preserve"> PAGEREF _Toc476842285 \h </w:instrText>
        </w:r>
        <w:r w:rsidR="00900100">
          <w:rPr>
            <w:noProof/>
            <w:webHidden/>
          </w:rPr>
        </w:r>
        <w:r w:rsidR="00900100">
          <w:rPr>
            <w:noProof/>
            <w:webHidden/>
          </w:rPr>
          <w:fldChar w:fldCharType="separate"/>
        </w:r>
        <w:r w:rsidR="00E72F67">
          <w:rPr>
            <w:noProof/>
            <w:webHidden/>
          </w:rPr>
          <w:t>192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86" w:history="1">
        <w:r w:rsidR="00900100" w:rsidRPr="00E73321">
          <w:rPr>
            <w:rStyle w:val="Hyperlink"/>
            <w:rFonts w:eastAsiaTheme="minorHAnsi"/>
            <w:noProof/>
          </w:rPr>
          <w:t>Figure A-12: Frequency of and Associated Energy Savings by M&amp;V Approach – Small C/I Equipment Program</w:t>
        </w:r>
        <w:r w:rsidR="00900100">
          <w:rPr>
            <w:noProof/>
            <w:webHidden/>
          </w:rPr>
          <w:tab/>
        </w:r>
        <w:r w:rsidR="00900100">
          <w:rPr>
            <w:noProof/>
            <w:webHidden/>
          </w:rPr>
          <w:fldChar w:fldCharType="begin"/>
        </w:r>
        <w:r w:rsidR="00900100">
          <w:rPr>
            <w:noProof/>
            <w:webHidden/>
          </w:rPr>
          <w:instrText xml:space="preserve"> PAGEREF _Toc476842286 \h </w:instrText>
        </w:r>
        <w:r w:rsidR="00900100">
          <w:rPr>
            <w:noProof/>
            <w:webHidden/>
          </w:rPr>
        </w:r>
        <w:r w:rsidR="00900100">
          <w:rPr>
            <w:noProof/>
            <w:webHidden/>
          </w:rPr>
          <w:fldChar w:fldCharType="separate"/>
        </w:r>
        <w:r w:rsidR="00E72F67">
          <w:rPr>
            <w:noProof/>
            <w:webHidden/>
          </w:rPr>
          <w:t>210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87" w:history="1">
        <w:r w:rsidR="00900100" w:rsidRPr="00E73321">
          <w:rPr>
            <w:rStyle w:val="Hyperlink"/>
            <w:rFonts w:eastAsiaTheme="minorHAnsi"/>
            <w:noProof/>
          </w:rPr>
          <w:t>Figure A-13: Frequency of and Associated Energy Savings by M&amp;V Approach – Small C/I Buildings Program</w:t>
        </w:r>
        <w:r w:rsidR="00900100">
          <w:rPr>
            <w:noProof/>
            <w:webHidden/>
          </w:rPr>
          <w:tab/>
        </w:r>
        <w:r w:rsidR="00900100">
          <w:rPr>
            <w:noProof/>
            <w:webHidden/>
          </w:rPr>
          <w:fldChar w:fldCharType="begin"/>
        </w:r>
        <w:r w:rsidR="00900100">
          <w:rPr>
            <w:noProof/>
            <w:webHidden/>
          </w:rPr>
          <w:instrText xml:space="preserve"> PAGEREF _Toc476842287 \h </w:instrText>
        </w:r>
        <w:r w:rsidR="00900100">
          <w:rPr>
            <w:noProof/>
            <w:webHidden/>
          </w:rPr>
        </w:r>
        <w:r w:rsidR="00900100">
          <w:rPr>
            <w:noProof/>
            <w:webHidden/>
          </w:rPr>
          <w:fldChar w:fldCharType="separate"/>
        </w:r>
        <w:r w:rsidR="00E72F67">
          <w:rPr>
            <w:noProof/>
            <w:webHidden/>
          </w:rPr>
          <w:t>211</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88" w:history="1">
        <w:r w:rsidR="00900100" w:rsidRPr="00E73321">
          <w:rPr>
            <w:rStyle w:val="Hyperlink"/>
            <w:rFonts w:eastAsiaTheme="minorHAnsi"/>
            <w:noProof/>
          </w:rPr>
          <w:t>Figure A-14: Frequency of and Associated Energy Savings by M&amp;V Approach – Large C/I Equipment Program</w:t>
        </w:r>
        <w:r w:rsidR="00900100">
          <w:rPr>
            <w:noProof/>
            <w:webHidden/>
          </w:rPr>
          <w:tab/>
        </w:r>
        <w:r w:rsidR="00900100">
          <w:rPr>
            <w:noProof/>
            <w:webHidden/>
          </w:rPr>
          <w:fldChar w:fldCharType="begin"/>
        </w:r>
        <w:r w:rsidR="00900100">
          <w:rPr>
            <w:noProof/>
            <w:webHidden/>
          </w:rPr>
          <w:instrText xml:space="preserve"> PAGEREF _Toc476842288 \h </w:instrText>
        </w:r>
        <w:r w:rsidR="00900100">
          <w:rPr>
            <w:noProof/>
            <w:webHidden/>
          </w:rPr>
        </w:r>
        <w:r w:rsidR="00900100">
          <w:rPr>
            <w:noProof/>
            <w:webHidden/>
          </w:rPr>
          <w:fldChar w:fldCharType="separate"/>
        </w:r>
        <w:r w:rsidR="00E72F67">
          <w:rPr>
            <w:noProof/>
            <w:webHidden/>
          </w:rPr>
          <w:t>212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89" w:history="1">
        <w:r w:rsidR="00900100" w:rsidRPr="00E73321">
          <w:rPr>
            <w:rStyle w:val="Hyperlink"/>
            <w:rFonts w:eastAsiaTheme="minorHAnsi"/>
            <w:noProof/>
          </w:rPr>
          <w:t>Figure A-15: Frequency of and Associated Energy Savings by M&amp;V Approach – Government and Institutional Program</w:t>
        </w:r>
        <w:r w:rsidR="00900100">
          <w:rPr>
            <w:noProof/>
            <w:webHidden/>
          </w:rPr>
          <w:tab/>
        </w:r>
        <w:r w:rsidR="00900100">
          <w:rPr>
            <w:noProof/>
            <w:webHidden/>
          </w:rPr>
          <w:fldChar w:fldCharType="begin"/>
        </w:r>
        <w:r w:rsidR="00900100">
          <w:rPr>
            <w:noProof/>
            <w:webHidden/>
          </w:rPr>
          <w:instrText xml:space="preserve"> PAGEREF _Toc476842289 \h </w:instrText>
        </w:r>
        <w:r w:rsidR="00900100">
          <w:rPr>
            <w:noProof/>
            <w:webHidden/>
          </w:rPr>
        </w:r>
        <w:r w:rsidR="00900100">
          <w:rPr>
            <w:noProof/>
            <w:webHidden/>
          </w:rPr>
          <w:fldChar w:fldCharType="separate"/>
        </w:r>
        <w:r w:rsidR="00E72F67">
          <w:rPr>
            <w:noProof/>
            <w:webHidden/>
          </w:rPr>
          <w:t>212</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90" w:history="1">
        <w:r w:rsidR="00900100" w:rsidRPr="00E73321">
          <w:rPr>
            <w:rStyle w:val="Hyperlink"/>
            <w:rFonts w:eastAsiaTheme="minorHAnsi"/>
            <w:noProof/>
          </w:rPr>
          <w:t>Figure A-16: Frequency of and Associated Energy Savings by M&amp;V Approach – Small C/I Equipment Program</w:t>
        </w:r>
        <w:r w:rsidR="00900100">
          <w:rPr>
            <w:noProof/>
            <w:webHidden/>
          </w:rPr>
          <w:tab/>
        </w:r>
        <w:r w:rsidR="00900100">
          <w:rPr>
            <w:noProof/>
            <w:webHidden/>
          </w:rPr>
          <w:fldChar w:fldCharType="begin"/>
        </w:r>
        <w:r w:rsidR="00900100">
          <w:rPr>
            <w:noProof/>
            <w:webHidden/>
          </w:rPr>
          <w:instrText xml:space="preserve"> PAGEREF _Toc476842290 \h </w:instrText>
        </w:r>
        <w:r w:rsidR="00900100">
          <w:rPr>
            <w:noProof/>
            <w:webHidden/>
          </w:rPr>
        </w:r>
        <w:r w:rsidR="00900100">
          <w:rPr>
            <w:noProof/>
            <w:webHidden/>
          </w:rPr>
          <w:fldChar w:fldCharType="separate"/>
        </w:r>
        <w:r w:rsidR="00E72F67">
          <w:rPr>
            <w:noProof/>
            <w:webHidden/>
          </w:rPr>
          <w:t>233</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91" w:history="1">
        <w:r w:rsidR="00900100" w:rsidRPr="00E73321">
          <w:rPr>
            <w:rStyle w:val="Hyperlink"/>
            <w:rFonts w:eastAsiaTheme="minorHAnsi"/>
            <w:noProof/>
          </w:rPr>
          <w:t>Figure A-17: Frequency of and Associated Energy Savings by M&amp;V Approach – Small C/I Buildings Program</w:t>
        </w:r>
        <w:r w:rsidR="00900100">
          <w:rPr>
            <w:noProof/>
            <w:webHidden/>
          </w:rPr>
          <w:tab/>
        </w:r>
        <w:r w:rsidR="00900100">
          <w:rPr>
            <w:noProof/>
            <w:webHidden/>
          </w:rPr>
          <w:fldChar w:fldCharType="begin"/>
        </w:r>
        <w:r w:rsidR="00900100">
          <w:rPr>
            <w:noProof/>
            <w:webHidden/>
          </w:rPr>
          <w:instrText xml:space="preserve"> PAGEREF _Toc476842291 \h </w:instrText>
        </w:r>
        <w:r w:rsidR="00900100">
          <w:rPr>
            <w:noProof/>
            <w:webHidden/>
          </w:rPr>
        </w:r>
        <w:r w:rsidR="00900100">
          <w:rPr>
            <w:noProof/>
            <w:webHidden/>
          </w:rPr>
          <w:fldChar w:fldCharType="separate"/>
        </w:r>
        <w:r w:rsidR="00E72F67">
          <w:rPr>
            <w:noProof/>
            <w:webHidden/>
          </w:rPr>
          <w:t>234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92" w:history="1">
        <w:r w:rsidR="00900100" w:rsidRPr="00E73321">
          <w:rPr>
            <w:rStyle w:val="Hyperlink"/>
            <w:rFonts w:eastAsiaTheme="minorHAnsi"/>
            <w:noProof/>
          </w:rPr>
          <w:t>Figure A-18: Frequency of and Associated Energy Savings by M&amp;V Approach – Large C/I Equipment Program</w:t>
        </w:r>
        <w:r w:rsidR="00900100">
          <w:rPr>
            <w:noProof/>
            <w:webHidden/>
          </w:rPr>
          <w:tab/>
        </w:r>
        <w:r w:rsidR="00900100">
          <w:rPr>
            <w:noProof/>
            <w:webHidden/>
          </w:rPr>
          <w:fldChar w:fldCharType="begin"/>
        </w:r>
        <w:r w:rsidR="00900100">
          <w:rPr>
            <w:noProof/>
            <w:webHidden/>
          </w:rPr>
          <w:instrText xml:space="preserve"> PAGEREF _Toc476842292 \h </w:instrText>
        </w:r>
        <w:r w:rsidR="00900100">
          <w:rPr>
            <w:noProof/>
            <w:webHidden/>
          </w:rPr>
        </w:r>
        <w:r w:rsidR="00900100">
          <w:rPr>
            <w:noProof/>
            <w:webHidden/>
          </w:rPr>
          <w:fldChar w:fldCharType="separate"/>
        </w:r>
        <w:r w:rsidR="00E72F67">
          <w:rPr>
            <w:noProof/>
            <w:webHidden/>
          </w:rPr>
          <w:t>234</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93" w:history="1">
        <w:r w:rsidR="00900100" w:rsidRPr="00E73321">
          <w:rPr>
            <w:rStyle w:val="Hyperlink"/>
            <w:rFonts w:eastAsiaTheme="minorHAnsi"/>
            <w:noProof/>
          </w:rPr>
          <w:t>Figure A-19: Frequency of and Associated Energy Savings by M&amp;V Approach – Large C/I Buildings Program</w:t>
        </w:r>
        <w:r w:rsidR="00900100">
          <w:rPr>
            <w:noProof/>
            <w:webHidden/>
          </w:rPr>
          <w:tab/>
        </w:r>
        <w:r w:rsidR="00900100">
          <w:rPr>
            <w:noProof/>
            <w:webHidden/>
          </w:rPr>
          <w:fldChar w:fldCharType="begin"/>
        </w:r>
        <w:r w:rsidR="00900100">
          <w:rPr>
            <w:noProof/>
            <w:webHidden/>
          </w:rPr>
          <w:instrText xml:space="preserve"> PAGEREF _Toc476842293 \h </w:instrText>
        </w:r>
        <w:r w:rsidR="00900100">
          <w:rPr>
            <w:noProof/>
            <w:webHidden/>
          </w:rPr>
        </w:r>
        <w:r w:rsidR="00900100">
          <w:rPr>
            <w:noProof/>
            <w:webHidden/>
          </w:rPr>
          <w:fldChar w:fldCharType="separate"/>
        </w:r>
        <w:r w:rsidR="00E72F67">
          <w:rPr>
            <w:noProof/>
            <w:webHidden/>
          </w:rPr>
          <w:t>235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94" w:history="1">
        <w:r w:rsidR="00900100" w:rsidRPr="00E73321">
          <w:rPr>
            <w:rStyle w:val="Hyperlink"/>
            <w:rFonts w:eastAsiaTheme="minorHAnsi"/>
            <w:noProof/>
          </w:rPr>
          <w:t>Figure A-20: Frequency of and Associated Energy Savings by M&amp;V Approach – Government and Institutional Program</w:t>
        </w:r>
        <w:r w:rsidR="00900100">
          <w:rPr>
            <w:noProof/>
            <w:webHidden/>
          </w:rPr>
          <w:tab/>
        </w:r>
        <w:r w:rsidR="00900100">
          <w:rPr>
            <w:noProof/>
            <w:webHidden/>
          </w:rPr>
          <w:fldChar w:fldCharType="begin"/>
        </w:r>
        <w:r w:rsidR="00900100">
          <w:rPr>
            <w:noProof/>
            <w:webHidden/>
          </w:rPr>
          <w:instrText xml:space="preserve"> PAGEREF _Toc476842294 \h </w:instrText>
        </w:r>
        <w:r w:rsidR="00900100">
          <w:rPr>
            <w:noProof/>
            <w:webHidden/>
          </w:rPr>
        </w:r>
        <w:r w:rsidR="00900100">
          <w:rPr>
            <w:noProof/>
            <w:webHidden/>
          </w:rPr>
          <w:fldChar w:fldCharType="separate"/>
        </w:r>
        <w:r w:rsidR="00E72F67">
          <w:rPr>
            <w:noProof/>
            <w:webHidden/>
          </w:rPr>
          <w:t>235</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95" w:history="1">
        <w:r w:rsidR="00900100" w:rsidRPr="00E73321">
          <w:rPr>
            <w:rStyle w:val="Hyperlink"/>
            <w:rFonts w:eastAsiaTheme="minorHAnsi"/>
            <w:noProof/>
          </w:rPr>
          <w:t>Figure A-21: Frequency of and Associated Energy Savings by M&amp;V Approach – SEI Program</w:t>
        </w:r>
        <w:r w:rsidR="00900100">
          <w:rPr>
            <w:noProof/>
            <w:webHidden/>
          </w:rPr>
          <w:tab/>
        </w:r>
        <w:r w:rsidR="00900100">
          <w:rPr>
            <w:noProof/>
            <w:webHidden/>
          </w:rPr>
          <w:fldChar w:fldCharType="begin"/>
        </w:r>
        <w:r w:rsidR="00900100">
          <w:rPr>
            <w:noProof/>
            <w:webHidden/>
          </w:rPr>
          <w:instrText xml:space="preserve"> PAGEREF _Toc476842295 \h </w:instrText>
        </w:r>
        <w:r w:rsidR="00900100">
          <w:rPr>
            <w:noProof/>
            <w:webHidden/>
          </w:rPr>
        </w:r>
        <w:r w:rsidR="00900100">
          <w:rPr>
            <w:noProof/>
            <w:webHidden/>
          </w:rPr>
          <w:fldChar w:fldCharType="separate"/>
        </w:r>
        <w:r w:rsidR="00E72F67">
          <w:rPr>
            <w:noProof/>
            <w:webHidden/>
          </w:rPr>
          <w:t>259</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96" w:history="1">
        <w:r w:rsidR="00900100" w:rsidRPr="00E73321">
          <w:rPr>
            <w:rStyle w:val="Hyperlink"/>
            <w:rFonts w:eastAsiaTheme="minorHAnsi"/>
            <w:noProof/>
          </w:rPr>
          <w:t>Figure A-22: Frequency of and Associated Energy Savings by M&amp;V Approach – SCI Program</w:t>
        </w:r>
        <w:r w:rsidR="00900100">
          <w:rPr>
            <w:noProof/>
            <w:webHidden/>
          </w:rPr>
          <w:tab/>
        </w:r>
        <w:r w:rsidR="00900100">
          <w:rPr>
            <w:noProof/>
            <w:webHidden/>
          </w:rPr>
          <w:fldChar w:fldCharType="begin"/>
        </w:r>
        <w:r w:rsidR="00900100">
          <w:rPr>
            <w:noProof/>
            <w:webHidden/>
          </w:rPr>
          <w:instrText xml:space="preserve"> PAGEREF _Toc476842296 \h </w:instrText>
        </w:r>
        <w:r w:rsidR="00900100">
          <w:rPr>
            <w:noProof/>
            <w:webHidden/>
          </w:rPr>
        </w:r>
        <w:r w:rsidR="00900100">
          <w:rPr>
            <w:noProof/>
            <w:webHidden/>
          </w:rPr>
          <w:fldChar w:fldCharType="separate"/>
        </w:r>
        <w:r w:rsidR="00E72F67">
          <w:rPr>
            <w:noProof/>
            <w:webHidden/>
          </w:rPr>
          <w:t>260</w:t>
        </w:r>
        <w:r w:rsidR="00900100">
          <w:rPr>
            <w:noProof/>
            <w:webHidden/>
          </w:rPr>
          <w:fldChar w:fldCharType="end"/>
        </w:r>
      </w:hyperlink>
    </w:p>
    <w:p w:rsidR="00900100" w:rsidRDefault="002F12C2">
      <w:pPr>
        <w:pStyle w:val="TableofFigures"/>
        <w:tabs>
          <w:tab w:val="right" w:leader="dot" w:pos="9350"/>
        </w:tabs>
        <w:rPr>
          <w:rFonts w:asciiTheme="minorHAnsi" w:eastAsiaTheme="minorEastAsia" w:hAnsiTheme="minorHAnsi" w:cstheme="minorBidi"/>
          <w:noProof/>
          <w:sz w:val="22"/>
        </w:rPr>
      </w:pPr>
      <w:hyperlink w:anchor="_Toc476842297" w:history="1">
        <w:r w:rsidR="00900100" w:rsidRPr="00E73321">
          <w:rPr>
            <w:rStyle w:val="Hyperlink"/>
            <w:rFonts w:eastAsiaTheme="minorHAnsi"/>
            <w:noProof/>
          </w:rPr>
          <w:t>Figure A-23: Frequency of and Associated Energy Savings by M&amp;V Approach – Custom Program</w:t>
        </w:r>
        <w:r w:rsidR="00900100">
          <w:rPr>
            <w:noProof/>
            <w:webHidden/>
          </w:rPr>
          <w:tab/>
        </w:r>
        <w:r w:rsidR="00900100">
          <w:rPr>
            <w:noProof/>
            <w:webHidden/>
          </w:rPr>
          <w:fldChar w:fldCharType="begin"/>
        </w:r>
        <w:r w:rsidR="00900100">
          <w:rPr>
            <w:noProof/>
            <w:webHidden/>
          </w:rPr>
          <w:instrText xml:space="preserve"> PAGEREF _Toc476842297 \h </w:instrText>
        </w:r>
        <w:r w:rsidR="00900100">
          <w:rPr>
            <w:noProof/>
            <w:webHidden/>
          </w:rPr>
        </w:r>
        <w:r w:rsidR="00900100">
          <w:rPr>
            <w:noProof/>
            <w:webHidden/>
          </w:rPr>
          <w:fldChar w:fldCharType="separate"/>
        </w:r>
        <w:r w:rsidR="00E72F67">
          <w:rPr>
            <w:noProof/>
            <w:webHidden/>
          </w:rPr>
          <w:t>296</w:t>
        </w:r>
        <w:r w:rsidR="00900100">
          <w:rPr>
            <w:noProof/>
            <w:webHidden/>
          </w:rPr>
          <w:fldChar w:fldCharType="end"/>
        </w:r>
      </w:hyperlink>
    </w:p>
    <w:p w:rsidR="00344D11" w:rsidRDefault="001D0677" w:rsidP="0022599A">
      <w:pPr>
        <w:spacing w:after="60"/>
      </w:pPr>
      <w:r w:rsidRPr="0011636D">
        <w:fldChar w:fldCharType="end"/>
      </w:r>
    </w:p>
    <w:p w:rsidR="0078040B" w:rsidRPr="00D1458A" w:rsidRDefault="00D1458A" w:rsidP="00D1458A">
      <w:pPr>
        <w:spacing w:after="120"/>
        <w:jc w:val="left"/>
        <w:rPr>
          <w:rFonts w:ascii="Century Gothic" w:hAnsi="Century Gothic"/>
          <w:b/>
        </w:rPr>
      </w:pPr>
      <w:r w:rsidRPr="00D1458A">
        <w:rPr>
          <w:rFonts w:ascii="Century Gothic" w:hAnsi="Century Gothic"/>
          <w:b/>
          <w:sz w:val="20"/>
        </w:rPr>
        <w:br w:type="page"/>
      </w:r>
    </w:p>
    <w:p w:rsidR="0078040B" w:rsidRPr="00472B27" w:rsidRDefault="0078040B" w:rsidP="0091036A">
      <w:pPr>
        <w:shd w:val="clear" w:color="auto" w:fill="448A99"/>
        <w:jc w:val="right"/>
        <w:rPr>
          <w:rFonts w:ascii="Century Gothic" w:hAnsi="Century Gothic"/>
          <w:smallCaps/>
          <w:sz w:val="20"/>
        </w:rPr>
      </w:pPr>
      <w:r w:rsidRPr="00472B27">
        <w:rPr>
          <w:rFonts w:ascii="Century Gothic" w:hAnsi="Century Gothic"/>
          <w:smallCaps/>
          <w:color w:val="FFFFFF" w:themeColor="background1"/>
          <w:sz w:val="28"/>
          <w:shd w:val="clear" w:color="auto" w:fill="448A99"/>
        </w:rPr>
        <w:lastRenderedPageBreak/>
        <w:t>Acronyms</w:t>
      </w:r>
    </w:p>
    <w:tbl>
      <w:tblPr>
        <w:tblW w:w="9360" w:type="dxa"/>
        <w:tblInd w:w="-90" w:type="dxa"/>
        <w:tblLook w:val="04A0" w:firstRow="1" w:lastRow="0" w:firstColumn="1" w:lastColumn="0" w:noHBand="0" w:noVBand="1"/>
      </w:tblPr>
      <w:tblGrid>
        <w:gridCol w:w="4572"/>
        <w:gridCol w:w="4788"/>
      </w:tblGrid>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Default="00D66F7A" w:rsidP="00FA2F0A">
            <w:pPr>
              <w:jc w:val="left"/>
              <w:rPr>
                <w:b/>
                <w:bCs/>
                <w:color w:val="000000"/>
                <w:sz w:val="20"/>
                <w:szCs w:val="20"/>
              </w:rPr>
            </w:pPr>
            <w:r>
              <w:rPr>
                <w:b/>
                <w:bCs/>
                <w:color w:val="000000"/>
                <w:sz w:val="20"/>
                <w:szCs w:val="20"/>
              </w:rPr>
              <w:t xml:space="preserve">AHU: </w:t>
            </w:r>
            <w:r w:rsidRPr="00744EEF">
              <w:rPr>
                <w:bCs/>
                <w:color w:val="000000"/>
                <w:sz w:val="20"/>
                <w:szCs w:val="20"/>
              </w:rPr>
              <w:t>Air handler unit</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MWh</w:t>
            </w:r>
            <w:r w:rsidRPr="00F020D6">
              <w:rPr>
                <w:color w:val="000000"/>
                <w:sz w:val="20"/>
                <w:szCs w:val="20"/>
              </w:rPr>
              <w:t>: Megawatt-hour</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Default="00D66F7A" w:rsidP="00FA2F0A">
            <w:pPr>
              <w:jc w:val="left"/>
              <w:rPr>
                <w:b/>
                <w:bCs/>
                <w:color w:val="000000"/>
                <w:sz w:val="20"/>
                <w:szCs w:val="20"/>
              </w:rPr>
            </w:pPr>
            <w:r>
              <w:rPr>
                <w:b/>
                <w:bCs/>
                <w:color w:val="000000"/>
                <w:sz w:val="20"/>
                <w:szCs w:val="20"/>
              </w:rPr>
              <w:t xml:space="preserve">ARP: </w:t>
            </w:r>
            <w:r>
              <w:rPr>
                <w:bCs/>
                <w:color w:val="000000"/>
                <w:sz w:val="20"/>
                <w:szCs w:val="20"/>
              </w:rPr>
              <w:t>Appliance Recycling Program</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NP</w:t>
            </w:r>
            <w:r w:rsidRPr="00F020D6">
              <w:rPr>
                <w:color w:val="000000"/>
                <w:sz w:val="20"/>
                <w:szCs w:val="20"/>
              </w:rPr>
              <w:t>: Non-Profit</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Default="00D66F7A" w:rsidP="00FA2F0A">
            <w:pPr>
              <w:jc w:val="left"/>
              <w:rPr>
                <w:b/>
                <w:bCs/>
                <w:color w:val="000000"/>
                <w:sz w:val="20"/>
                <w:szCs w:val="20"/>
              </w:rPr>
            </w:pPr>
            <w:r>
              <w:rPr>
                <w:b/>
                <w:bCs/>
                <w:color w:val="000000"/>
                <w:sz w:val="20"/>
                <w:szCs w:val="20"/>
              </w:rPr>
              <w:t>ASHP</w:t>
            </w:r>
            <w:r>
              <w:rPr>
                <w:bCs/>
                <w:color w:val="000000"/>
                <w:sz w:val="20"/>
                <w:szCs w:val="20"/>
              </w:rPr>
              <w:t>: Air-source heat pump</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NPV</w:t>
            </w:r>
            <w:r w:rsidRPr="00F020D6">
              <w:rPr>
                <w:color w:val="000000"/>
                <w:sz w:val="20"/>
                <w:szCs w:val="20"/>
              </w:rPr>
              <w:t>: Net Present Value</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9E4C60" w:rsidRDefault="00D66F7A" w:rsidP="00FA2F0A">
            <w:pPr>
              <w:jc w:val="left"/>
              <w:rPr>
                <w:bCs/>
                <w:color w:val="000000"/>
                <w:sz w:val="20"/>
                <w:szCs w:val="20"/>
              </w:rPr>
            </w:pPr>
            <w:r>
              <w:rPr>
                <w:b/>
                <w:bCs/>
                <w:color w:val="000000"/>
                <w:sz w:val="20"/>
                <w:szCs w:val="20"/>
              </w:rPr>
              <w:t>CF</w:t>
            </w:r>
            <w:r>
              <w:rPr>
                <w:bCs/>
                <w:color w:val="000000"/>
                <w:sz w:val="20"/>
                <w:szCs w:val="20"/>
              </w:rPr>
              <w:t>: Coincidence Factor</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NTG</w:t>
            </w:r>
            <w:r w:rsidRPr="00F020D6">
              <w:rPr>
                <w:color w:val="000000"/>
                <w:sz w:val="20"/>
                <w:szCs w:val="20"/>
              </w:rPr>
              <w:t>: Net-to-Gross</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38526A" w:rsidRDefault="00D66F7A" w:rsidP="00FA2F0A">
            <w:pPr>
              <w:jc w:val="left"/>
              <w:rPr>
                <w:bCs/>
                <w:color w:val="000000"/>
                <w:sz w:val="20"/>
                <w:szCs w:val="20"/>
              </w:rPr>
            </w:pPr>
            <w:r w:rsidRPr="00F020D6">
              <w:rPr>
                <w:b/>
                <w:bCs/>
                <w:color w:val="000000"/>
                <w:sz w:val="20"/>
                <w:szCs w:val="20"/>
              </w:rPr>
              <w:t>C/I</w:t>
            </w:r>
            <w:r w:rsidRPr="00F020D6">
              <w:rPr>
                <w:color w:val="000000"/>
                <w:sz w:val="20"/>
                <w:szCs w:val="20"/>
              </w:rPr>
              <w:t>: Commercial and Industrial</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NTGR:</w:t>
            </w:r>
            <w:r w:rsidRPr="00F020D6">
              <w:rPr>
                <w:color w:val="000000"/>
                <w:sz w:val="20"/>
                <w:szCs w:val="20"/>
              </w:rPr>
              <w:t xml:space="preserve"> Net-to-Gross Ratio</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38526A" w:rsidRDefault="00D66F7A" w:rsidP="00FA2F0A">
            <w:pPr>
              <w:jc w:val="left"/>
              <w:rPr>
                <w:bCs/>
                <w:color w:val="000000"/>
                <w:sz w:val="20"/>
                <w:szCs w:val="20"/>
              </w:rPr>
            </w:pPr>
            <w:r w:rsidRPr="002C6298">
              <w:rPr>
                <w:b/>
                <w:bCs/>
                <w:color w:val="000000"/>
                <w:sz w:val="20"/>
                <w:szCs w:val="20"/>
              </w:rPr>
              <w:t>CL:</w:t>
            </w:r>
            <w:r w:rsidRPr="002C6298">
              <w:rPr>
                <w:bCs/>
                <w:color w:val="000000"/>
                <w:sz w:val="20"/>
                <w:szCs w:val="20"/>
              </w:rPr>
              <w:t xml:space="preserve"> Confidence Level</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Pr>
                <w:b/>
                <w:bCs/>
                <w:color w:val="000000"/>
                <w:sz w:val="20"/>
                <w:szCs w:val="20"/>
              </w:rPr>
              <w:t>PAPP</w:t>
            </w:r>
            <w:r w:rsidRPr="00F020D6">
              <w:rPr>
                <w:color w:val="000000"/>
                <w:sz w:val="20"/>
                <w:szCs w:val="20"/>
              </w:rPr>
              <w:t xml:space="preserve">: </w:t>
            </w:r>
            <w:r>
              <w:rPr>
                <w:color w:val="000000"/>
                <w:sz w:val="20"/>
                <w:szCs w:val="20"/>
              </w:rPr>
              <w:t>Public Agency Partnership Program</w:t>
            </w: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D66F7A" w:rsidRPr="00F020D6" w:rsidRDefault="00D66F7A" w:rsidP="00FA2F0A">
            <w:pPr>
              <w:jc w:val="left"/>
              <w:rPr>
                <w:b/>
                <w:bCs/>
                <w:strike/>
                <w:color w:val="000000"/>
                <w:sz w:val="20"/>
                <w:szCs w:val="20"/>
              </w:rPr>
            </w:pPr>
            <w:r w:rsidRPr="00F020D6">
              <w:rPr>
                <w:b/>
                <w:bCs/>
                <w:color w:val="000000"/>
                <w:sz w:val="20"/>
                <w:szCs w:val="20"/>
              </w:rPr>
              <w:t>Cv</w:t>
            </w:r>
            <w:r w:rsidRPr="00F020D6">
              <w:rPr>
                <w:color w:val="000000"/>
                <w:sz w:val="20"/>
                <w:szCs w:val="20"/>
              </w:rPr>
              <w:t>: Coefficient of Variation</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PA</w:t>
            </w:r>
            <w:r w:rsidRPr="00F020D6">
              <w:rPr>
                <w:color w:val="000000"/>
                <w:sz w:val="20"/>
                <w:szCs w:val="20"/>
              </w:rPr>
              <w:t xml:space="preserve"> </w:t>
            </w:r>
            <w:r w:rsidRPr="00F020D6">
              <w:rPr>
                <w:b/>
                <w:bCs/>
                <w:color w:val="000000"/>
                <w:sz w:val="20"/>
                <w:szCs w:val="20"/>
              </w:rPr>
              <w:t>PUC or PUC</w:t>
            </w:r>
            <w:r w:rsidRPr="00F020D6">
              <w:rPr>
                <w:color w:val="000000"/>
                <w:sz w:val="20"/>
                <w:szCs w:val="20"/>
              </w:rPr>
              <w:t>: Pennsylvania Public Utility Commission</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9E4C60" w:rsidRDefault="00D66F7A" w:rsidP="00FA2F0A">
            <w:pPr>
              <w:jc w:val="left"/>
              <w:rPr>
                <w:bCs/>
                <w:color w:val="000000"/>
                <w:sz w:val="20"/>
                <w:szCs w:val="20"/>
              </w:rPr>
            </w:pPr>
            <w:r w:rsidRPr="00F020D6">
              <w:rPr>
                <w:b/>
                <w:bCs/>
                <w:color w:val="000000"/>
                <w:sz w:val="20"/>
                <w:szCs w:val="20"/>
              </w:rPr>
              <w:t>Commission</w:t>
            </w:r>
            <w:r w:rsidRPr="00F020D6">
              <w:rPr>
                <w:color w:val="000000"/>
                <w:sz w:val="20"/>
                <w:szCs w:val="20"/>
              </w:rPr>
              <w:t>: Pennsylvania Public Utility Commission</w:t>
            </w:r>
          </w:p>
        </w:tc>
        <w:tc>
          <w:tcPr>
            <w:tcW w:w="4788" w:type="dxa"/>
            <w:tcBorders>
              <w:top w:val="nil"/>
              <w:left w:val="nil"/>
              <w:bottom w:val="nil"/>
              <w:right w:val="nil"/>
            </w:tcBorders>
            <w:shd w:val="clear" w:color="000000" w:fill="FFFFFF"/>
            <w:vAlign w:val="center"/>
          </w:tcPr>
          <w:p w:rsidR="00D66F7A" w:rsidRDefault="00D66F7A" w:rsidP="00FA2F0A">
            <w:pPr>
              <w:jc w:val="left"/>
              <w:rPr>
                <w:b/>
                <w:bCs/>
                <w:color w:val="000000"/>
                <w:sz w:val="20"/>
                <w:szCs w:val="20"/>
              </w:rPr>
            </w:pPr>
            <w:r w:rsidRPr="00F020D6">
              <w:rPr>
                <w:b/>
                <w:bCs/>
                <w:color w:val="000000"/>
                <w:sz w:val="20"/>
                <w:szCs w:val="20"/>
              </w:rPr>
              <w:t>PEG</w:t>
            </w:r>
            <w:r w:rsidRPr="00F020D6">
              <w:rPr>
                <w:color w:val="000000"/>
                <w:sz w:val="20"/>
                <w:szCs w:val="20"/>
              </w:rPr>
              <w:t>: Program Evaluation Group</w:t>
            </w: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D66F7A" w:rsidRPr="00F020D6" w:rsidRDefault="00D66F7A" w:rsidP="00FA2F0A">
            <w:pPr>
              <w:jc w:val="left"/>
              <w:rPr>
                <w:b/>
                <w:bCs/>
                <w:color w:val="000000"/>
                <w:sz w:val="20"/>
                <w:szCs w:val="20"/>
              </w:rPr>
            </w:pPr>
            <w:r w:rsidRPr="00F020D6">
              <w:rPr>
                <w:b/>
                <w:bCs/>
                <w:color w:val="000000"/>
                <w:sz w:val="20"/>
                <w:szCs w:val="20"/>
              </w:rPr>
              <w:t>CO</w:t>
            </w:r>
            <w:r w:rsidRPr="00F020D6">
              <w:rPr>
                <w:bCs/>
                <w:color w:val="000000"/>
                <w:sz w:val="20"/>
                <w:szCs w:val="20"/>
              </w:rPr>
              <w:t xml:space="preserve">: Carryover </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Phase II</w:t>
            </w:r>
            <w:r w:rsidRPr="00F020D6">
              <w:rPr>
                <w:color w:val="000000"/>
                <w:sz w:val="20"/>
                <w:szCs w:val="20"/>
              </w:rPr>
              <w:t>: Cumulative Program/Portfolio Phase II Inception to Date Reported Gross Savings</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CSP</w:t>
            </w:r>
            <w:r w:rsidRPr="00F020D6">
              <w:rPr>
                <w:bCs/>
                <w:color w:val="000000"/>
                <w:sz w:val="20"/>
                <w:szCs w:val="20"/>
              </w:rPr>
              <w:t>: Conservation Service Provider</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PMRS</w:t>
            </w:r>
            <w:r w:rsidRPr="00F020D6">
              <w:rPr>
                <w:color w:val="000000"/>
                <w:sz w:val="20"/>
                <w:szCs w:val="20"/>
              </w:rPr>
              <w:t>: Program Management and Reporting System</w:t>
            </w: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D66F7A" w:rsidRPr="00F020D6" w:rsidRDefault="00D66F7A" w:rsidP="00FA2F0A">
            <w:pPr>
              <w:jc w:val="left"/>
              <w:rPr>
                <w:b/>
                <w:bCs/>
                <w:strike/>
                <w:color w:val="000000"/>
                <w:sz w:val="20"/>
                <w:szCs w:val="20"/>
              </w:rPr>
            </w:pPr>
            <w:r w:rsidRPr="00F020D6">
              <w:rPr>
                <w:b/>
                <w:bCs/>
                <w:color w:val="000000"/>
                <w:sz w:val="20"/>
                <w:szCs w:val="20"/>
              </w:rPr>
              <w:t>CS</w:t>
            </w:r>
            <w:r>
              <w:rPr>
                <w:b/>
                <w:bCs/>
                <w:color w:val="000000"/>
                <w:sz w:val="20"/>
                <w:szCs w:val="20"/>
              </w:rPr>
              <w:t>U</w:t>
            </w:r>
            <w:r w:rsidRPr="00F020D6">
              <w:rPr>
                <w:b/>
                <w:bCs/>
                <w:color w:val="000000"/>
                <w:sz w:val="20"/>
                <w:szCs w:val="20"/>
              </w:rPr>
              <w:t>P</w:t>
            </w:r>
            <w:r w:rsidRPr="00F020D6">
              <w:rPr>
                <w:bCs/>
                <w:color w:val="000000"/>
                <w:sz w:val="20"/>
                <w:szCs w:val="20"/>
              </w:rPr>
              <w:t xml:space="preserve">: </w:t>
            </w:r>
            <w:r>
              <w:rPr>
                <w:bCs/>
                <w:color w:val="000000"/>
                <w:sz w:val="20"/>
                <w:szCs w:val="20"/>
              </w:rPr>
              <w:t xml:space="preserve">Commercial Sector Umbrella Program </w:t>
            </w:r>
          </w:p>
        </w:tc>
        <w:tc>
          <w:tcPr>
            <w:tcW w:w="4788" w:type="dxa"/>
            <w:tcBorders>
              <w:top w:val="nil"/>
              <w:left w:val="nil"/>
              <w:bottom w:val="nil"/>
              <w:right w:val="nil"/>
            </w:tcBorders>
            <w:shd w:val="clear" w:color="000000" w:fill="FFFFFF"/>
            <w:vAlign w:val="center"/>
          </w:tcPr>
          <w:p w:rsidR="00D66F7A" w:rsidRDefault="00D66F7A" w:rsidP="00FA2F0A">
            <w:pPr>
              <w:jc w:val="left"/>
              <w:rPr>
                <w:color w:val="000000"/>
                <w:sz w:val="20"/>
                <w:szCs w:val="20"/>
              </w:rPr>
            </w:pPr>
            <w:r w:rsidRPr="00F020D6">
              <w:rPr>
                <w:b/>
                <w:bCs/>
                <w:color w:val="000000"/>
                <w:sz w:val="20"/>
                <w:szCs w:val="20"/>
              </w:rPr>
              <w:t>PY</w:t>
            </w:r>
            <w:r w:rsidRPr="00F020D6">
              <w:rPr>
                <w:color w:val="000000"/>
                <w:sz w:val="20"/>
                <w:szCs w:val="20"/>
              </w:rPr>
              <w:t>: Program Year</w:t>
            </w:r>
          </w:p>
          <w:p w:rsidR="00D66F7A" w:rsidRPr="00F020D6" w:rsidRDefault="00D66F7A" w:rsidP="00FA2F0A">
            <w:pPr>
              <w:jc w:val="left"/>
              <w:rPr>
                <w:b/>
                <w:bCs/>
                <w:color w:val="000000"/>
                <w:sz w:val="20"/>
                <w:szCs w:val="20"/>
              </w:rPr>
            </w:pP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F020D6" w:rsidRDefault="00D66F7A" w:rsidP="00FA2F0A">
            <w:pPr>
              <w:jc w:val="left"/>
              <w:rPr>
                <w:bCs/>
                <w:color w:val="000000"/>
                <w:sz w:val="20"/>
                <w:szCs w:val="20"/>
              </w:rPr>
            </w:pPr>
            <w:r w:rsidRPr="00F020D6">
              <w:rPr>
                <w:b/>
                <w:bCs/>
                <w:color w:val="000000"/>
                <w:sz w:val="20"/>
                <w:szCs w:val="20"/>
              </w:rPr>
              <w:t xml:space="preserve">DEER: </w:t>
            </w:r>
            <w:r w:rsidRPr="00F020D6">
              <w:rPr>
                <w:color w:val="000000"/>
                <w:sz w:val="20"/>
                <w:szCs w:val="20"/>
              </w:rPr>
              <w:t>Database for Energy Efficient Resources</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PY5</w:t>
            </w:r>
            <w:r w:rsidRPr="00F020D6">
              <w:rPr>
                <w:color w:val="000000"/>
                <w:sz w:val="20"/>
                <w:szCs w:val="20"/>
              </w:rPr>
              <w:t>: Program Year</w:t>
            </w:r>
            <w:r w:rsidR="00FB0EFE">
              <w:rPr>
                <w:color w:val="000000"/>
                <w:sz w:val="20"/>
                <w:szCs w:val="20"/>
              </w:rPr>
              <w:t xml:space="preserve"> </w:t>
            </w:r>
            <w:r w:rsidR="00EE5E51">
              <w:rPr>
                <w:color w:val="000000"/>
                <w:sz w:val="20"/>
                <w:szCs w:val="20"/>
              </w:rPr>
              <w:t>5</w:t>
            </w:r>
            <w:r w:rsidRPr="00F020D6">
              <w:rPr>
                <w:color w:val="000000"/>
                <w:sz w:val="20"/>
                <w:szCs w:val="20"/>
              </w:rPr>
              <w:t xml:space="preserve">, from June 1, 2013 to May 31, 2014 </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DR</w:t>
            </w:r>
            <w:r w:rsidRPr="00F020D6">
              <w:rPr>
                <w:color w:val="000000"/>
                <w:sz w:val="20"/>
                <w:szCs w:val="20"/>
              </w:rPr>
              <w:t>: Demand Response</w:t>
            </w:r>
          </w:p>
        </w:tc>
        <w:tc>
          <w:tcPr>
            <w:tcW w:w="4788" w:type="dxa"/>
            <w:tcBorders>
              <w:top w:val="nil"/>
              <w:left w:val="nil"/>
              <w:bottom w:val="nil"/>
              <w:right w:val="nil"/>
            </w:tcBorders>
            <w:shd w:val="clear" w:color="000000" w:fill="FFFFFF"/>
            <w:vAlign w:val="center"/>
          </w:tcPr>
          <w:p w:rsidR="00EE5E51" w:rsidRDefault="00EE5E51" w:rsidP="00FA2F0A">
            <w:pPr>
              <w:jc w:val="left"/>
              <w:rPr>
                <w:b/>
                <w:bCs/>
                <w:color w:val="000000"/>
                <w:sz w:val="20"/>
                <w:szCs w:val="20"/>
              </w:rPr>
            </w:pPr>
          </w:p>
          <w:p w:rsidR="00D66F7A" w:rsidRDefault="00D66F7A" w:rsidP="00FA2F0A">
            <w:pPr>
              <w:jc w:val="left"/>
              <w:rPr>
                <w:color w:val="000000"/>
                <w:sz w:val="20"/>
                <w:szCs w:val="20"/>
              </w:rPr>
            </w:pPr>
            <w:r w:rsidRPr="00F020D6">
              <w:rPr>
                <w:b/>
                <w:bCs/>
                <w:color w:val="000000"/>
                <w:sz w:val="20"/>
                <w:szCs w:val="20"/>
              </w:rPr>
              <w:t>PY6</w:t>
            </w:r>
            <w:r w:rsidRPr="00F020D6">
              <w:rPr>
                <w:color w:val="000000"/>
                <w:sz w:val="20"/>
                <w:szCs w:val="20"/>
              </w:rPr>
              <w:t xml:space="preserve">: Program Year </w:t>
            </w:r>
            <w:r w:rsidR="00EE5E51">
              <w:rPr>
                <w:color w:val="000000"/>
                <w:sz w:val="20"/>
                <w:szCs w:val="20"/>
              </w:rPr>
              <w:t>6</w:t>
            </w:r>
            <w:r w:rsidRPr="00F020D6">
              <w:rPr>
                <w:color w:val="000000"/>
                <w:sz w:val="20"/>
                <w:szCs w:val="20"/>
              </w:rPr>
              <w:t>, from June 1, 2014 to May 31, 2015</w:t>
            </w:r>
          </w:p>
          <w:p w:rsidR="00EE5E51" w:rsidRDefault="00EE5E51" w:rsidP="00FA2F0A">
            <w:pPr>
              <w:jc w:val="left"/>
              <w:rPr>
                <w:color w:val="000000"/>
                <w:sz w:val="20"/>
                <w:szCs w:val="20"/>
              </w:rPr>
            </w:pPr>
          </w:p>
          <w:p w:rsidR="00D66F7A" w:rsidRPr="00F020D6" w:rsidRDefault="00EE5E51" w:rsidP="00FA2F0A">
            <w:pPr>
              <w:jc w:val="left"/>
              <w:rPr>
                <w:b/>
                <w:bCs/>
                <w:color w:val="000000"/>
                <w:sz w:val="20"/>
                <w:szCs w:val="20"/>
              </w:rPr>
            </w:pPr>
            <w:r w:rsidRPr="00FB0EFE">
              <w:rPr>
                <w:b/>
                <w:color w:val="000000"/>
                <w:sz w:val="20"/>
                <w:szCs w:val="20"/>
              </w:rPr>
              <w:t>PY7</w:t>
            </w:r>
            <w:r>
              <w:rPr>
                <w:color w:val="000000"/>
                <w:sz w:val="20"/>
                <w:szCs w:val="20"/>
              </w:rPr>
              <w:t>: Program Year 7, from June 1, 2015 to May 31, 2016</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DSM</w:t>
            </w:r>
            <w:r w:rsidRPr="00F020D6">
              <w:rPr>
                <w:color w:val="000000"/>
                <w:sz w:val="20"/>
                <w:szCs w:val="20"/>
              </w:rPr>
              <w:t>: Demand Side Management</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PYTD</w:t>
            </w:r>
            <w:r w:rsidRPr="00F020D6">
              <w:rPr>
                <w:color w:val="000000"/>
                <w:sz w:val="20"/>
                <w:szCs w:val="20"/>
              </w:rPr>
              <w:t>: Program Year to Date</w:t>
            </w: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D66F7A" w:rsidRPr="00F020D6" w:rsidRDefault="00D66F7A" w:rsidP="00FA2F0A">
            <w:pPr>
              <w:jc w:val="left"/>
              <w:rPr>
                <w:b/>
                <w:bCs/>
                <w:strike/>
                <w:color w:val="000000"/>
                <w:sz w:val="20"/>
                <w:szCs w:val="20"/>
              </w:rPr>
            </w:pPr>
            <w:r>
              <w:rPr>
                <w:b/>
                <w:bCs/>
                <w:color w:val="000000"/>
                <w:sz w:val="20"/>
                <w:szCs w:val="20"/>
              </w:rPr>
              <w:t xml:space="preserve">ECM: </w:t>
            </w:r>
            <w:r>
              <w:rPr>
                <w:color w:val="000000"/>
                <w:sz w:val="20"/>
                <w:szCs w:val="20"/>
              </w:rPr>
              <w:t>Electronically Commutated M</w:t>
            </w:r>
            <w:r w:rsidRPr="00990A77">
              <w:rPr>
                <w:color w:val="000000"/>
                <w:sz w:val="20"/>
                <w:szCs w:val="20"/>
              </w:rPr>
              <w:t>otors</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PYX QX</w:t>
            </w:r>
            <w:r w:rsidRPr="00F020D6">
              <w:rPr>
                <w:color w:val="000000"/>
                <w:sz w:val="20"/>
                <w:szCs w:val="20"/>
              </w:rPr>
              <w:t>: Program Year X, Quarter X</w:t>
            </w: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D66F7A" w:rsidRPr="00F020D6" w:rsidRDefault="00D66F7A" w:rsidP="00FA2F0A">
            <w:pPr>
              <w:jc w:val="left"/>
              <w:rPr>
                <w:b/>
                <w:color w:val="000000"/>
                <w:sz w:val="20"/>
                <w:szCs w:val="20"/>
              </w:rPr>
            </w:pPr>
            <w:r w:rsidRPr="00F020D6">
              <w:rPr>
                <w:b/>
                <w:bCs/>
                <w:color w:val="000000"/>
                <w:sz w:val="20"/>
                <w:szCs w:val="20"/>
              </w:rPr>
              <w:t>EDC</w:t>
            </w:r>
            <w:r w:rsidRPr="00F020D6">
              <w:rPr>
                <w:color w:val="000000"/>
                <w:sz w:val="20"/>
                <w:szCs w:val="20"/>
              </w:rPr>
              <w:t>: Electric Distribution Company</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Pr>
                <w:b/>
                <w:bCs/>
                <w:color w:val="000000"/>
                <w:sz w:val="20"/>
                <w:szCs w:val="20"/>
              </w:rPr>
              <w:t>RARP</w:t>
            </w:r>
            <w:r w:rsidRPr="00F020D6">
              <w:rPr>
                <w:color w:val="000000"/>
                <w:sz w:val="20"/>
                <w:szCs w:val="20"/>
              </w:rPr>
              <w:t xml:space="preserve">: </w:t>
            </w:r>
            <w:r>
              <w:rPr>
                <w:color w:val="000000"/>
                <w:sz w:val="20"/>
                <w:szCs w:val="20"/>
              </w:rPr>
              <w:t>Residential Appliance Recycling Program</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Default="00D66F7A" w:rsidP="00FA2F0A">
            <w:pPr>
              <w:jc w:val="left"/>
              <w:rPr>
                <w:b/>
                <w:bCs/>
                <w:color w:val="000000"/>
                <w:sz w:val="20"/>
                <w:szCs w:val="20"/>
              </w:rPr>
            </w:pPr>
            <w:r w:rsidRPr="00F020D6">
              <w:rPr>
                <w:b/>
                <w:bCs/>
                <w:color w:val="000000"/>
                <w:sz w:val="20"/>
                <w:szCs w:val="20"/>
              </w:rPr>
              <w:t>EE</w:t>
            </w:r>
            <w:r w:rsidRPr="00F020D6">
              <w:rPr>
                <w:color w:val="000000"/>
                <w:sz w:val="20"/>
                <w:szCs w:val="20"/>
              </w:rPr>
              <w:t>: Energy Efficiency</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R</w:t>
            </w:r>
            <w:r>
              <w:rPr>
                <w:b/>
                <w:bCs/>
                <w:color w:val="000000"/>
                <w:sz w:val="20"/>
                <w:szCs w:val="20"/>
              </w:rPr>
              <w:t>EEP</w:t>
            </w:r>
            <w:r w:rsidRPr="00F020D6">
              <w:rPr>
                <w:color w:val="000000"/>
                <w:sz w:val="20"/>
                <w:szCs w:val="20"/>
              </w:rPr>
              <w:t xml:space="preserve">: </w:t>
            </w:r>
            <w:r>
              <w:rPr>
                <w:color w:val="000000"/>
                <w:sz w:val="20"/>
                <w:szCs w:val="20"/>
              </w:rPr>
              <w:t>Residential Energy Efficiency Program</w:t>
            </w: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D66F7A" w:rsidRPr="00F020D6" w:rsidRDefault="00D66F7A" w:rsidP="00FA2F0A">
            <w:pPr>
              <w:jc w:val="left"/>
              <w:rPr>
                <w:b/>
                <w:strike/>
                <w:color w:val="000000"/>
                <w:sz w:val="20"/>
                <w:szCs w:val="20"/>
              </w:rPr>
            </w:pPr>
            <w:r w:rsidRPr="00F020D6">
              <w:rPr>
                <w:b/>
                <w:bCs/>
                <w:color w:val="000000"/>
                <w:sz w:val="20"/>
                <w:szCs w:val="20"/>
              </w:rPr>
              <w:t>EE&amp;C</w:t>
            </w:r>
            <w:r w:rsidRPr="00F020D6">
              <w:rPr>
                <w:color w:val="000000"/>
                <w:sz w:val="20"/>
                <w:szCs w:val="20"/>
              </w:rPr>
              <w:t>: Energy Efficiency and Conservation</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Pr>
                <w:b/>
                <w:bCs/>
                <w:color w:val="000000"/>
                <w:sz w:val="20"/>
                <w:szCs w:val="20"/>
              </w:rPr>
              <w:t xml:space="preserve">RG: </w:t>
            </w:r>
            <w:r>
              <w:rPr>
                <w:bCs/>
                <w:color w:val="000000"/>
                <w:sz w:val="20"/>
                <w:szCs w:val="20"/>
              </w:rPr>
              <w:t>Reported Gross Impact Savings</w:t>
            </w: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D66F7A" w:rsidRPr="00F020D6" w:rsidRDefault="00D66F7A" w:rsidP="00FA2F0A">
            <w:pPr>
              <w:jc w:val="left"/>
              <w:rPr>
                <w:b/>
                <w:color w:val="000000"/>
                <w:sz w:val="20"/>
                <w:szCs w:val="20"/>
              </w:rPr>
            </w:pPr>
            <w:r w:rsidRPr="00F020D6">
              <w:rPr>
                <w:b/>
                <w:bCs/>
                <w:color w:val="000000"/>
                <w:sz w:val="20"/>
                <w:szCs w:val="20"/>
              </w:rPr>
              <w:t>EER</w:t>
            </w:r>
            <w:r w:rsidRPr="00F020D6">
              <w:rPr>
                <w:color w:val="000000"/>
                <w:sz w:val="20"/>
                <w:szCs w:val="20"/>
              </w:rPr>
              <w:t>: Energy Efficient Ratio</w:t>
            </w:r>
            <w:r>
              <w:rPr>
                <w:color w:val="000000"/>
                <w:sz w:val="20"/>
                <w:szCs w:val="20"/>
              </w:rPr>
              <w:t xml:space="preserve"> </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color w:val="000000"/>
                <w:sz w:val="20"/>
                <w:szCs w:val="20"/>
              </w:rPr>
            </w:pPr>
            <w:r w:rsidRPr="00F020D6">
              <w:rPr>
                <w:b/>
                <w:bCs/>
                <w:color w:val="000000"/>
                <w:sz w:val="20"/>
                <w:szCs w:val="20"/>
              </w:rPr>
              <w:t>R</w:t>
            </w:r>
            <w:r>
              <w:rPr>
                <w:b/>
                <w:bCs/>
                <w:color w:val="000000"/>
                <w:sz w:val="20"/>
                <w:szCs w:val="20"/>
              </w:rPr>
              <w:t>HC</w:t>
            </w:r>
            <w:r w:rsidRPr="00F020D6">
              <w:rPr>
                <w:color w:val="000000"/>
                <w:sz w:val="20"/>
                <w:szCs w:val="20"/>
              </w:rPr>
              <w:t xml:space="preserve">: </w:t>
            </w:r>
            <w:r>
              <w:rPr>
                <w:color w:val="000000"/>
                <w:sz w:val="20"/>
                <w:szCs w:val="20"/>
              </w:rPr>
              <w:t>Residential Home Comfort Program</w:t>
            </w: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D66F7A" w:rsidRPr="00F020D6" w:rsidRDefault="00D66F7A" w:rsidP="00FA2F0A">
            <w:pPr>
              <w:jc w:val="left"/>
              <w:rPr>
                <w:b/>
                <w:bCs/>
                <w:color w:val="000000"/>
                <w:sz w:val="20"/>
                <w:szCs w:val="20"/>
              </w:rPr>
            </w:pPr>
            <w:r w:rsidRPr="00F020D6">
              <w:rPr>
                <w:b/>
                <w:bCs/>
                <w:color w:val="000000"/>
                <w:sz w:val="20"/>
                <w:szCs w:val="20"/>
              </w:rPr>
              <w:t>EISA</w:t>
            </w:r>
            <w:r w:rsidRPr="00F020D6">
              <w:rPr>
                <w:color w:val="000000"/>
                <w:sz w:val="20"/>
                <w:szCs w:val="20"/>
              </w:rPr>
              <w:t>: Energy Independence and Security Act</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color w:val="000000"/>
                <w:sz w:val="20"/>
                <w:szCs w:val="20"/>
              </w:rPr>
            </w:pPr>
            <w:r w:rsidRPr="00F020D6">
              <w:rPr>
                <w:b/>
                <w:bCs/>
                <w:color w:val="000000"/>
                <w:sz w:val="20"/>
                <w:szCs w:val="20"/>
              </w:rPr>
              <w:t>RR</w:t>
            </w:r>
            <w:r w:rsidRPr="00F020D6">
              <w:rPr>
                <w:color w:val="000000"/>
                <w:sz w:val="20"/>
                <w:szCs w:val="20"/>
              </w:rPr>
              <w:t>: Realization Rate</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Pr>
                <w:b/>
                <w:bCs/>
                <w:color w:val="000000"/>
                <w:sz w:val="20"/>
                <w:szCs w:val="20"/>
              </w:rPr>
              <w:t>EFLH</w:t>
            </w:r>
            <w:r w:rsidRPr="00F020D6">
              <w:rPr>
                <w:color w:val="000000"/>
                <w:sz w:val="20"/>
                <w:szCs w:val="20"/>
              </w:rPr>
              <w:t xml:space="preserve">: </w:t>
            </w:r>
            <w:r>
              <w:rPr>
                <w:color w:val="000000"/>
                <w:sz w:val="20"/>
                <w:szCs w:val="20"/>
              </w:rPr>
              <w:t>Equivalent Full Load Hours</w:t>
            </w:r>
          </w:p>
        </w:tc>
        <w:tc>
          <w:tcPr>
            <w:tcW w:w="4788" w:type="dxa"/>
            <w:tcBorders>
              <w:top w:val="nil"/>
              <w:left w:val="nil"/>
              <w:bottom w:val="nil"/>
              <w:right w:val="nil"/>
            </w:tcBorders>
            <w:shd w:val="clear" w:color="000000" w:fill="FFFFFF"/>
            <w:vAlign w:val="center"/>
          </w:tcPr>
          <w:p w:rsidR="00D66F7A" w:rsidRDefault="00D66F7A" w:rsidP="00FA2F0A">
            <w:pPr>
              <w:jc w:val="left"/>
              <w:rPr>
                <w:b/>
                <w:bCs/>
                <w:color w:val="000000"/>
                <w:sz w:val="20"/>
                <w:szCs w:val="20"/>
              </w:rPr>
            </w:pPr>
            <w:r w:rsidRPr="00F020D6">
              <w:rPr>
                <w:b/>
                <w:bCs/>
                <w:color w:val="000000"/>
                <w:sz w:val="20"/>
                <w:szCs w:val="20"/>
              </w:rPr>
              <w:t>RR</w:t>
            </w:r>
            <w:r>
              <w:rPr>
                <w:b/>
                <w:bCs/>
                <w:color w:val="000000"/>
                <w:sz w:val="20"/>
                <w:szCs w:val="20"/>
              </w:rPr>
              <w:t>P</w:t>
            </w:r>
            <w:r w:rsidRPr="00F020D6">
              <w:rPr>
                <w:color w:val="000000"/>
                <w:sz w:val="20"/>
                <w:szCs w:val="20"/>
              </w:rPr>
              <w:t xml:space="preserve">: </w:t>
            </w:r>
            <w:r>
              <w:rPr>
                <w:color w:val="000000"/>
                <w:sz w:val="20"/>
                <w:szCs w:val="20"/>
              </w:rPr>
              <w:t>Residential Retail Program</w:t>
            </w: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D66F7A" w:rsidRPr="00F020D6" w:rsidRDefault="00D66F7A" w:rsidP="00FA2F0A">
            <w:pPr>
              <w:rPr>
                <w:b/>
                <w:strike/>
                <w:color w:val="000000"/>
                <w:sz w:val="20"/>
                <w:szCs w:val="20"/>
              </w:rPr>
            </w:pPr>
            <w:r w:rsidRPr="00F020D6">
              <w:rPr>
                <w:b/>
                <w:bCs/>
                <w:color w:val="000000"/>
                <w:sz w:val="20"/>
                <w:szCs w:val="20"/>
              </w:rPr>
              <w:lastRenderedPageBreak/>
              <w:t>EM&amp;V</w:t>
            </w:r>
            <w:r w:rsidRPr="00F020D6">
              <w:rPr>
                <w:color w:val="000000"/>
                <w:sz w:val="20"/>
                <w:szCs w:val="20"/>
              </w:rPr>
              <w:t>: Evaluation, Measurement</w:t>
            </w:r>
            <w:r>
              <w:rPr>
                <w:color w:val="000000"/>
                <w:sz w:val="20"/>
                <w:szCs w:val="20"/>
              </w:rPr>
              <w:t>,</w:t>
            </w:r>
            <w:r w:rsidRPr="00F020D6">
              <w:rPr>
                <w:color w:val="000000"/>
                <w:sz w:val="20"/>
                <w:szCs w:val="20"/>
              </w:rPr>
              <w:t xml:space="preserve"> and Verification</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SA</w:t>
            </w:r>
            <w:r>
              <w:rPr>
                <w:b/>
                <w:bCs/>
                <w:color w:val="000000"/>
                <w:sz w:val="20"/>
                <w:szCs w:val="20"/>
              </w:rPr>
              <w:t>CS</w:t>
            </w:r>
            <w:r w:rsidRPr="00F020D6">
              <w:rPr>
                <w:b/>
                <w:bCs/>
                <w:color w:val="000000"/>
                <w:sz w:val="20"/>
                <w:szCs w:val="20"/>
              </w:rPr>
              <w:t xml:space="preserve">: </w:t>
            </w:r>
            <w:r>
              <w:rPr>
                <w:color w:val="000000"/>
                <w:sz w:val="20"/>
                <w:szCs w:val="20"/>
              </w:rPr>
              <w:t xml:space="preserve">Smart A/C Saver Program </w:t>
            </w: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D66F7A" w:rsidRPr="00F020D6" w:rsidRDefault="00D66F7A" w:rsidP="00FA2F0A">
            <w:pPr>
              <w:rPr>
                <w:b/>
                <w:color w:val="000000"/>
                <w:sz w:val="20"/>
                <w:szCs w:val="20"/>
              </w:rPr>
            </w:pPr>
            <w:r w:rsidRPr="00F020D6">
              <w:rPr>
                <w:b/>
                <w:bCs/>
                <w:color w:val="000000"/>
                <w:sz w:val="20"/>
                <w:szCs w:val="20"/>
              </w:rPr>
              <w:t>EMS:</w:t>
            </w:r>
            <w:r w:rsidRPr="00F020D6">
              <w:rPr>
                <w:color w:val="000000"/>
                <w:sz w:val="20"/>
                <w:szCs w:val="20"/>
              </w:rPr>
              <w:t xml:space="preserve"> Energy Management System</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S</w:t>
            </w:r>
            <w:r>
              <w:rPr>
                <w:b/>
                <w:bCs/>
                <w:color w:val="000000"/>
                <w:sz w:val="20"/>
                <w:szCs w:val="20"/>
              </w:rPr>
              <w:t>AP/SAR</w:t>
            </w:r>
            <w:r w:rsidRPr="00F020D6">
              <w:rPr>
                <w:color w:val="000000"/>
                <w:sz w:val="20"/>
                <w:szCs w:val="20"/>
              </w:rPr>
              <w:t xml:space="preserve">: </w:t>
            </w:r>
            <w:r>
              <w:rPr>
                <w:color w:val="000000"/>
                <w:sz w:val="20"/>
                <w:szCs w:val="20"/>
              </w:rPr>
              <w:t xml:space="preserve">Smart Appliance Recycling Program </w:t>
            </w: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D66F7A" w:rsidRPr="00F020D6" w:rsidRDefault="00D66F7A" w:rsidP="00FA2F0A">
            <w:pPr>
              <w:rPr>
                <w:b/>
                <w:bCs/>
                <w:color w:val="000000"/>
                <w:sz w:val="20"/>
                <w:szCs w:val="20"/>
              </w:rPr>
            </w:pPr>
            <w:r w:rsidRPr="00F020D6">
              <w:rPr>
                <w:b/>
                <w:bCs/>
                <w:color w:val="000000"/>
                <w:sz w:val="20"/>
                <w:szCs w:val="20"/>
              </w:rPr>
              <w:t>EUL</w:t>
            </w:r>
            <w:r w:rsidRPr="00F020D6">
              <w:rPr>
                <w:color w:val="000000"/>
                <w:sz w:val="20"/>
                <w:szCs w:val="20"/>
              </w:rPr>
              <w:t>: Effective Useful Life</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Pr>
                <w:b/>
                <w:bCs/>
                <w:color w:val="000000"/>
                <w:sz w:val="20"/>
                <w:szCs w:val="20"/>
              </w:rPr>
              <w:t xml:space="preserve">SBR: </w:t>
            </w:r>
            <w:r>
              <w:rPr>
                <w:bCs/>
                <w:color w:val="000000"/>
                <w:sz w:val="20"/>
                <w:szCs w:val="20"/>
              </w:rPr>
              <w:t>Smart Builder Rebates Program</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Default="00D66F7A" w:rsidP="00FA2F0A">
            <w:pPr>
              <w:rPr>
                <w:b/>
                <w:bCs/>
                <w:color w:val="000000"/>
                <w:sz w:val="20"/>
                <w:szCs w:val="20"/>
              </w:rPr>
            </w:pPr>
            <w:r w:rsidRPr="00F020D6">
              <w:rPr>
                <w:b/>
                <w:bCs/>
                <w:color w:val="000000"/>
                <w:sz w:val="20"/>
                <w:szCs w:val="20"/>
              </w:rPr>
              <w:t>GN</w:t>
            </w:r>
            <w:r>
              <w:rPr>
                <w:b/>
                <w:bCs/>
                <w:color w:val="000000"/>
                <w:sz w:val="20"/>
                <w:szCs w:val="20"/>
              </w:rPr>
              <w:t>I</w:t>
            </w:r>
            <w:r w:rsidRPr="00F020D6">
              <w:rPr>
                <w:color w:val="000000"/>
                <w:sz w:val="20"/>
                <w:szCs w:val="20"/>
              </w:rPr>
              <w:t>: Government, Non-Profit, Institutional</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S</w:t>
            </w:r>
            <w:r>
              <w:rPr>
                <w:b/>
                <w:bCs/>
                <w:color w:val="000000"/>
                <w:sz w:val="20"/>
                <w:szCs w:val="20"/>
              </w:rPr>
              <w:t>BS</w:t>
            </w:r>
            <w:r w:rsidRPr="00F020D6">
              <w:rPr>
                <w:b/>
                <w:bCs/>
                <w:color w:val="000000"/>
                <w:sz w:val="20"/>
                <w:szCs w:val="20"/>
              </w:rPr>
              <w:t xml:space="preserve">: </w:t>
            </w:r>
            <w:r>
              <w:rPr>
                <w:color w:val="000000"/>
                <w:sz w:val="20"/>
                <w:szCs w:val="20"/>
              </w:rPr>
              <w:t xml:space="preserve">Smart Business Solutions Program </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Default="00D66F7A" w:rsidP="00FA2F0A">
            <w:pPr>
              <w:rPr>
                <w:b/>
                <w:bCs/>
                <w:color w:val="000000"/>
                <w:sz w:val="20"/>
                <w:szCs w:val="20"/>
              </w:rPr>
            </w:pPr>
            <w:r>
              <w:rPr>
                <w:b/>
                <w:bCs/>
                <w:color w:val="000000"/>
                <w:sz w:val="20"/>
                <w:szCs w:val="20"/>
              </w:rPr>
              <w:t>HEEP</w:t>
            </w:r>
            <w:r w:rsidRPr="00F020D6">
              <w:rPr>
                <w:color w:val="000000"/>
                <w:sz w:val="20"/>
                <w:szCs w:val="20"/>
              </w:rPr>
              <w:t xml:space="preserve">: </w:t>
            </w:r>
            <w:r>
              <w:rPr>
                <w:color w:val="000000"/>
                <w:sz w:val="20"/>
                <w:szCs w:val="20"/>
              </w:rPr>
              <w:t>Healthcare Energy Efficiency Program</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Pr>
                <w:b/>
                <w:bCs/>
                <w:color w:val="000000"/>
                <w:sz w:val="20"/>
                <w:szCs w:val="20"/>
              </w:rPr>
              <w:t xml:space="preserve">SCI: </w:t>
            </w:r>
            <w:r w:rsidRPr="00593B86">
              <w:rPr>
                <w:color w:val="000000"/>
                <w:sz w:val="20"/>
                <w:szCs w:val="20"/>
              </w:rPr>
              <w:t>Smart Construction Incentives</w:t>
            </w:r>
            <w:r>
              <w:rPr>
                <w:color w:val="000000"/>
                <w:sz w:val="20"/>
                <w:szCs w:val="20"/>
              </w:rPr>
              <w:t xml:space="preserve"> Program</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F020D6" w:rsidRDefault="00D66F7A" w:rsidP="00FA2F0A">
            <w:pPr>
              <w:rPr>
                <w:b/>
                <w:bCs/>
                <w:color w:val="000000"/>
                <w:sz w:val="20"/>
                <w:szCs w:val="20"/>
              </w:rPr>
            </w:pPr>
            <w:r w:rsidRPr="00AB36BE">
              <w:rPr>
                <w:b/>
                <w:bCs/>
                <w:color w:val="000000"/>
                <w:sz w:val="20"/>
                <w:szCs w:val="20"/>
              </w:rPr>
              <w:t>HID:</w:t>
            </w:r>
            <w:r>
              <w:rPr>
                <w:b/>
                <w:bCs/>
                <w:color w:val="000000"/>
                <w:sz w:val="20"/>
                <w:szCs w:val="20"/>
              </w:rPr>
              <w:t xml:space="preserve"> </w:t>
            </w:r>
            <w:r w:rsidRPr="00AB36BE">
              <w:rPr>
                <w:color w:val="000000"/>
                <w:sz w:val="20"/>
                <w:szCs w:val="20"/>
              </w:rPr>
              <w:t>High-Intensity Discharge Lights</w:t>
            </w:r>
          </w:p>
        </w:tc>
        <w:tc>
          <w:tcPr>
            <w:tcW w:w="4788" w:type="dxa"/>
            <w:tcBorders>
              <w:top w:val="nil"/>
              <w:left w:val="nil"/>
              <w:bottom w:val="nil"/>
              <w:right w:val="nil"/>
            </w:tcBorders>
            <w:shd w:val="clear" w:color="000000" w:fill="FFFFFF"/>
            <w:vAlign w:val="center"/>
          </w:tcPr>
          <w:p w:rsidR="00D66F7A" w:rsidRPr="009E4C60" w:rsidRDefault="00D66F7A" w:rsidP="00FA2F0A">
            <w:pPr>
              <w:jc w:val="left"/>
              <w:rPr>
                <w:bCs/>
                <w:color w:val="000000"/>
                <w:sz w:val="20"/>
                <w:szCs w:val="20"/>
              </w:rPr>
            </w:pPr>
            <w:r>
              <w:rPr>
                <w:b/>
                <w:bCs/>
                <w:color w:val="000000"/>
                <w:sz w:val="20"/>
                <w:szCs w:val="20"/>
              </w:rPr>
              <w:t xml:space="preserve">SEER: </w:t>
            </w:r>
            <w:r>
              <w:rPr>
                <w:color w:val="000000"/>
                <w:sz w:val="20"/>
                <w:szCs w:val="20"/>
              </w:rPr>
              <w:t>Seasonal Energy Efficiency Ratio</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F020D6" w:rsidRDefault="00D66F7A" w:rsidP="00FA2F0A">
            <w:pPr>
              <w:rPr>
                <w:b/>
                <w:bCs/>
                <w:color w:val="000000"/>
                <w:sz w:val="20"/>
                <w:szCs w:val="20"/>
              </w:rPr>
            </w:pPr>
            <w:r w:rsidRPr="00F020D6">
              <w:rPr>
                <w:b/>
                <w:bCs/>
                <w:color w:val="000000"/>
                <w:sz w:val="20"/>
                <w:szCs w:val="20"/>
              </w:rPr>
              <w:t>HOU</w:t>
            </w:r>
            <w:r w:rsidRPr="00F020D6">
              <w:rPr>
                <w:color w:val="000000"/>
                <w:sz w:val="20"/>
                <w:szCs w:val="20"/>
              </w:rPr>
              <w:t>: Hours of Use</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Pr>
                <w:b/>
                <w:bCs/>
                <w:color w:val="000000"/>
                <w:sz w:val="20"/>
                <w:szCs w:val="20"/>
              </w:rPr>
              <w:t xml:space="preserve">SEI: </w:t>
            </w:r>
            <w:r>
              <w:rPr>
                <w:color w:val="000000"/>
                <w:sz w:val="20"/>
                <w:szCs w:val="20"/>
              </w:rPr>
              <w:t>Smart Equipment Incentives Program</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F020D6" w:rsidRDefault="00D66F7A" w:rsidP="00FA2F0A">
            <w:pPr>
              <w:rPr>
                <w:b/>
                <w:bCs/>
                <w:color w:val="000000"/>
                <w:sz w:val="20"/>
                <w:szCs w:val="20"/>
              </w:rPr>
            </w:pPr>
            <w:r>
              <w:rPr>
                <w:b/>
                <w:bCs/>
                <w:color w:val="000000"/>
                <w:sz w:val="20"/>
                <w:szCs w:val="20"/>
              </w:rPr>
              <w:t xml:space="preserve">HPWH: </w:t>
            </w:r>
            <w:r>
              <w:rPr>
                <w:bCs/>
                <w:color w:val="000000"/>
                <w:sz w:val="20"/>
                <w:szCs w:val="20"/>
              </w:rPr>
              <w:t>Heat Pump Water Heater</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SEM</w:t>
            </w:r>
            <w:r w:rsidRPr="00F020D6">
              <w:rPr>
                <w:color w:val="000000"/>
                <w:sz w:val="20"/>
                <w:szCs w:val="20"/>
              </w:rPr>
              <w:t>: Simple Engineering Model</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F020D6" w:rsidRDefault="00D66F7A" w:rsidP="00FA2F0A">
            <w:pPr>
              <w:rPr>
                <w:b/>
                <w:bCs/>
                <w:color w:val="000000"/>
                <w:sz w:val="20"/>
                <w:szCs w:val="20"/>
              </w:rPr>
            </w:pPr>
            <w:r w:rsidRPr="00F020D6">
              <w:rPr>
                <w:b/>
                <w:bCs/>
                <w:color w:val="000000"/>
                <w:sz w:val="20"/>
                <w:szCs w:val="20"/>
              </w:rPr>
              <w:t>HSPF</w:t>
            </w:r>
            <w:r w:rsidRPr="00F020D6">
              <w:rPr>
                <w:color w:val="000000"/>
                <w:sz w:val="20"/>
                <w:szCs w:val="20"/>
              </w:rPr>
              <w:t>: Heating Seasonal Performance Factor</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sidRPr="00F020D6">
              <w:rPr>
                <w:b/>
                <w:bCs/>
                <w:color w:val="000000"/>
                <w:sz w:val="20"/>
                <w:szCs w:val="20"/>
              </w:rPr>
              <w:t>SE</w:t>
            </w:r>
            <w:r>
              <w:rPr>
                <w:b/>
                <w:bCs/>
                <w:color w:val="000000"/>
                <w:sz w:val="20"/>
                <w:szCs w:val="20"/>
              </w:rPr>
              <w:t>P</w:t>
            </w:r>
            <w:r w:rsidRPr="00F020D6">
              <w:rPr>
                <w:color w:val="000000"/>
                <w:sz w:val="20"/>
                <w:szCs w:val="20"/>
              </w:rPr>
              <w:t xml:space="preserve">: </w:t>
            </w:r>
            <w:r>
              <w:rPr>
                <w:color w:val="000000"/>
                <w:sz w:val="20"/>
                <w:szCs w:val="20"/>
              </w:rPr>
              <w:t xml:space="preserve">School Energy Pledge Program </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9E4C60" w:rsidRDefault="00D66F7A" w:rsidP="00FA2F0A">
            <w:pPr>
              <w:rPr>
                <w:color w:val="000000"/>
                <w:sz w:val="20"/>
                <w:szCs w:val="20"/>
              </w:rPr>
            </w:pPr>
            <w:r w:rsidRPr="00F020D6">
              <w:rPr>
                <w:b/>
                <w:bCs/>
                <w:color w:val="000000"/>
                <w:sz w:val="20"/>
                <w:szCs w:val="20"/>
              </w:rPr>
              <w:t>HVAC</w:t>
            </w:r>
            <w:r w:rsidRPr="00F020D6">
              <w:rPr>
                <w:color w:val="000000"/>
                <w:sz w:val="20"/>
                <w:szCs w:val="20"/>
              </w:rPr>
              <w:t>: Heating, Ventilation, and Air Conditioning</w:t>
            </w:r>
          </w:p>
        </w:tc>
        <w:tc>
          <w:tcPr>
            <w:tcW w:w="4788" w:type="dxa"/>
            <w:tcBorders>
              <w:top w:val="nil"/>
              <w:left w:val="nil"/>
              <w:bottom w:val="nil"/>
              <w:right w:val="nil"/>
            </w:tcBorders>
            <w:shd w:val="clear" w:color="000000" w:fill="FFFFFF"/>
            <w:vAlign w:val="center"/>
          </w:tcPr>
          <w:p w:rsidR="00D66F7A" w:rsidRDefault="00D66F7A" w:rsidP="00FA2F0A">
            <w:pPr>
              <w:jc w:val="left"/>
              <w:rPr>
                <w:b/>
                <w:bCs/>
                <w:color w:val="000000"/>
                <w:sz w:val="20"/>
                <w:szCs w:val="20"/>
              </w:rPr>
            </w:pPr>
            <w:r>
              <w:rPr>
                <w:b/>
                <w:bCs/>
                <w:color w:val="000000"/>
                <w:sz w:val="20"/>
                <w:szCs w:val="20"/>
              </w:rPr>
              <w:t xml:space="preserve">SES: </w:t>
            </w:r>
            <w:r>
              <w:rPr>
                <w:bCs/>
                <w:color w:val="000000"/>
                <w:sz w:val="20"/>
                <w:szCs w:val="20"/>
              </w:rPr>
              <w:t>Smart Energy Saver Program</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9E4C60" w:rsidRDefault="00D66F7A" w:rsidP="00FA2F0A">
            <w:pPr>
              <w:rPr>
                <w:bCs/>
                <w:color w:val="000000"/>
                <w:sz w:val="20"/>
                <w:szCs w:val="20"/>
              </w:rPr>
            </w:pPr>
            <w:r w:rsidRPr="00F020D6">
              <w:rPr>
                <w:b/>
                <w:bCs/>
                <w:color w:val="000000"/>
                <w:sz w:val="20"/>
                <w:szCs w:val="20"/>
              </w:rPr>
              <w:t>IMP</w:t>
            </w:r>
            <w:r w:rsidRPr="00F020D6">
              <w:rPr>
                <w:color w:val="000000"/>
                <w:sz w:val="20"/>
                <w:szCs w:val="20"/>
              </w:rPr>
              <w:t>: Interim Measure Protocol</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bCs/>
                <w:color w:val="000000"/>
                <w:sz w:val="20"/>
                <w:szCs w:val="20"/>
              </w:rPr>
            </w:pPr>
            <w:r>
              <w:rPr>
                <w:b/>
                <w:bCs/>
                <w:color w:val="000000"/>
                <w:sz w:val="20"/>
                <w:szCs w:val="20"/>
              </w:rPr>
              <w:t>SHC</w:t>
            </w:r>
            <w:r w:rsidRPr="00F020D6">
              <w:rPr>
                <w:color w:val="000000"/>
                <w:sz w:val="20"/>
                <w:szCs w:val="20"/>
              </w:rPr>
              <w:t xml:space="preserve">: </w:t>
            </w:r>
            <w:r>
              <w:rPr>
                <w:color w:val="000000"/>
                <w:sz w:val="20"/>
                <w:szCs w:val="20"/>
              </w:rPr>
              <w:t>Smart House Call Program</w:t>
            </w: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D66F7A" w:rsidRPr="00F020D6" w:rsidRDefault="00D66F7A" w:rsidP="00FA2F0A">
            <w:pPr>
              <w:rPr>
                <w:b/>
                <w:bCs/>
                <w:color w:val="000000"/>
                <w:sz w:val="20"/>
                <w:szCs w:val="20"/>
              </w:rPr>
            </w:pPr>
            <w:r w:rsidRPr="00F020D6">
              <w:rPr>
                <w:b/>
                <w:bCs/>
                <w:color w:val="000000"/>
                <w:sz w:val="20"/>
                <w:szCs w:val="20"/>
              </w:rPr>
              <w:t>IPMVP</w:t>
            </w:r>
            <w:r w:rsidRPr="00F020D6">
              <w:rPr>
                <w:color w:val="000000"/>
                <w:sz w:val="20"/>
                <w:szCs w:val="20"/>
              </w:rPr>
              <w:t>: International Performance Measurement and Verification Protocol</w:t>
            </w:r>
            <w:r w:rsidRPr="00F020D6">
              <w:rPr>
                <w:b/>
                <w:bCs/>
                <w:color w:val="000000"/>
                <w:sz w:val="20"/>
                <w:szCs w:val="20"/>
              </w:rPr>
              <w:t xml:space="preserve"> </w:t>
            </w:r>
          </w:p>
        </w:tc>
        <w:tc>
          <w:tcPr>
            <w:tcW w:w="4788" w:type="dxa"/>
            <w:tcBorders>
              <w:top w:val="nil"/>
              <w:left w:val="nil"/>
              <w:bottom w:val="nil"/>
              <w:right w:val="nil"/>
            </w:tcBorders>
            <w:shd w:val="clear" w:color="000000" w:fill="FFFFFF"/>
            <w:vAlign w:val="center"/>
          </w:tcPr>
          <w:p w:rsidR="00D66F7A" w:rsidRPr="00F020D6" w:rsidRDefault="00D66F7A" w:rsidP="00FA2F0A">
            <w:pPr>
              <w:jc w:val="left"/>
              <w:rPr>
                <w:b/>
                <w:color w:val="000000"/>
                <w:sz w:val="20"/>
                <w:szCs w:val="20"/>
              </w:rPr>
            </w:pPr>
            <w:r>
              <w:rPr>
                <w:b/>
                <w:bCs/>
                <w:color w:val="000000"/>
                <w:sz w:val="20"/>
                <w:szCs w:val="20"/>
              </w:rPr>
              <w:t>SHR</w:t>
            </w:r>
            <w:r w:rsidRPr="00F020D6">
              <w:rPr>
                <w:color w:val="000000"/>
                <w:sz w:val="20"/>
                <w:szCs w:val="20"/>
              </w:rPr>
              <w:t xml:space="preserve">: </w:t>
            </w:r>
            <w:r>
              <w:rPr>
                <w:color w:val="000000"/>
                <w:sz w:val="20"/>
                <w:szCs w:val="20"/>
              </w:rPr>
              <w:t xml:space="preserve">Smart Home Rebates Program </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F020D6" w:rsidRDefault="00D66F7A" w:rsidP="00FA2F0A">
            <w:pPr>
              <w:rPr>
                <w:b/>
                <w:bCs/>
                <w:color w:val="000000"/>
                <w:sz w:val="20"/>
                <w:szCs w:val="20"/>
              </w:rPr>
            </w:pPr>
            <w:r w:rsidRPr="00F020D6">
              <w:rPr>
                <w:b/>
                <w:bCs/>
                <w:color w:val="000000"/>
                <w:sz w:val="20"/>
                <w:szCs w:val="20"/>
              </w:rPr>
              <w:t>IQ</w:t>
            </w:r>
            <w:r w:rsidRPr="00F020D6">
              <w:rPr>
                <w:color w:val="000000"/>
                <w:sz w:val="20"/>
                <w:szCs w:val="20"/>
              </w:rPr>
              <w:t>: Incremental Quarterly</w:t>
            </w:r>
          </w:p>
        </w:tc>
        <w:tc>
          <w:tcPr>
            <w:tcW w:w="4788" w:type="dxa"/>
            <w:tcBorders>
              <w:top w:val="nil"/>
              <w:left w:val="nil"/>
              <w:bottom w:val="nil"/>
              <w:right w:val="nil"/>
            </w:tcBorders>
            <w:shd w:val="clear" w:color="000000" w:fill="FFFFFF"/>
            <w:vAlign w:val="center"/>
          </w:tcPr>
          <w:p w:rsidR="00D66F7A" w:rsidRPr="009E4C60" w:rsidRDefault="00D66F7A" w:rsidP="00FA2F0A">
            <w:pPr>
              <w:jc w:val="left"/>
              <w:rPr>
                <w:bCs/>
                <w:color w:val="000000"/>
                <w:sz w:val="20"/>
                <w:szCs w:val="20"/>
              </w:rPr>
            </w:pPr>
            <w:r>
              <w:rPr>
                <w:b/>
                <w:bCs/>
                <w:color w:val="000000"/>
                <w:sz w:val="20"/>
                <w:szCs w:val="20"/>
              </w:rPr>
              <w:t xml:space="preserve">SMFS: </w:t>
            </w:r>
            <w:r>
              <w:rPr>
                <w:bCs/>
                <w:color w:val="000000"/>
                <w:sz w:val="20"/>
                <w:szCs w:val="20"/>
              </w:rPr>
              <w:t>Smart Multi-Family Solutions Program</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D66F7A" w:rsidRPr="00F020D6" w:rsidRDefault="00D66F7A" w:rsidP="00FA2F0A">
            <w:pPr>
              <w:rPr>
                <w:b/>
                <w:bCs/>
                <w:color w:val="000000"/>
                <w:sz w:val="20"/>
                <w:szCs w:val="20"/>
              </w:rPr>
            </w:pPr>
            <w:r>
              <w:rPr>
                <w:b/>
                <w:bCs/>
                <w:color w:val="000000"/>
                <w:sz w:val="20"/>
                <w:szCs w:val="20"/>
              </w:rPr>
              <w:t xml:space="preserve">ISD: </w:t>
            </w:r>
            <w:r>
              <w:rPr>
                <w:color w:val="000000"/>
                <w:sz w:val="20"/>
                <w:szCs w:val="20"/>
              </w:rPr>
              <w:t>In-service D</w:t>
            </w:r>
            <w:r w:rsidRPr="00454602">
              <w:rPr>
                <w:color w:val="000000"/>
                <w:sz w:val="20"/>
                <w:szCs w:val="20"/>
              </w:rPr>
              <w:t>ate</w:t>
            </w:r>
          </w:p>
        </w:tc>
        <w:tc>
          <w:tcPr>
            <w:tcW w:w="4788" w:type="dxa"/>
            <w:tcBorders>
              <w:top w:val="nil"/>
              <w:left w:val="nil"/>
              <w:bottom w:val="nil"/>
              <w:right w:val="nil"/>
            </w:tcBorders>
            <w:shd w:val="clear" w:color="000000" w:fill="FFFFFF"/>
            <w:vAlign w:val="center"/>
          </w:tcPr>
          <w:p w:rsidR="00D66F7A" w:rsidRDefault="00D66F7A" w:rsidP="00FA2F0A">
            <w:pPr>
              <w:jc w:val="left"/>
              <w:rPr>
                <w:b/>
                <w:bCs/>
                <w:color w:val="000000"/>
                <w:sz w:val="20"/>
                <w:szCs w:val="20"/>
              </w:rPr>
            </w:pPr>
            <w:r>
              <w:rPr>
                <w:b/>
                <w:bCs/>
                <w:color w:val="000000"/>
                <w:sz w:val="20"/>
                <w:szCs w:val="20"/>
              </w:rPr>
              <w:t>SOS</w:t>
            </w:r>
            <w:r w:rsidRPr="00F020D6">
              <w:rPr>
                <w:color w:val="000000"/>
                <w:sz w:val="20"/>
                <w:szCs w:val="20"/>
              </w:rPr>
              <w:t xml:space="preserve">: </w:t>
            </w:r>
            <w:r>
              <w:rPr>
                <w:color w:val="000000"/>
                <w:sz w:val="20"/>
                <w:szCs w:val="20"/>
              </w:rPr>
              <w:t xml:space="preserve">Smart On-Site Program </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9C147E" w:rsidRPr="00F020D6" w:rsidRDefault="009C147E" w:rsidP="00FA2F0A">
            <w:pPr>
              <w:rPr>
                <w:b/>
                <w:bCs/>
                <w:color w:val="000000"/>
                <w:sz w:val="20"/>
                <w:szCs w:val="20"/>
              </w:rPr>
            </w:pPr>
            <w:r>
              <w:rPr>
                <w:b/>
                <w:bCs/>
                <w:color w:val="000000"/>
                <w:sz w:val="20"/>
                <w:szCs w:val="20"/>
              </w:rPr>
              <w:t xml:space="preserve">ISR: </w:t>
            </w:r>
            <w:r w:rsidRPr="00454602">
              <w:rPr>
                <w:bCs/>
                <w:color w:val="000000"/>
                <w:sz w:val="20"/>
                <w:szCs w:val="20"/>
              </w:rPr>
              <w:t>In-service Rate</w:t>
            </w:r>
          </w:p>
        </w:tc>
        <w:tc>
          <w:tcPr>
            <w:tcW w:w="4788" w:type="dxa"/>
            <w:tcBorders>
              <w:top w:val="nil"/>
              <w:left w:val="nil"/>
              <w:bottom w:val="nil"/>
              <w:right w:val="nil"/>
            </w:tcBorders>
            <w:shd w:val="clear" w:color="000000" w:fill="FFFFFF"/>
            <w:vAlign w:val="center"/>
          </w:tcPr>
          <w:p w:rsidR="009C147E" w:rsidRPr="00F020D6" w:rsidRDefault="009C147E" w:rsidP="00FA2F0A">
            <w:pPr>
              <w:jc w:val="left"/>
              <w:rPr>
                <w:b/>
                <w:bCs/>
                <w:color w:val="000000"/>
                <w:sz w:val="20"/>
                <w:szCs w:val="20"/>
              </w:rPr>
            </w:pPr>
            <w:r w:rsidRPr="00F020D6">
              <w:rPr>
                <w:b/>
                <w:bCs/>
                <w:color w:val="000000"/>
                <w:sz w:val="20"/>
                <w:szCs w:val="20"/>
              </w:rPr>
              <w:t>SSMVP</w:t>
            </w:r>
            <w:r w:rsidRPr="00F020D6">
              <w:rPr>
                <w:color w:val="000000"/>
                <w:sz w:val="20"/>
                <w:szCs w:val="20"/>
              </w:rPr>
              <w:t>: Site Specific M&amp;V Plan</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9C147E" w:rsidRPr="00F020D6" w:rsidRDefault="009C147E" w:rsidP="00FA2F0A">
            <w:pPr>
              <w:rPr>
                <w:b/>
                <w:bCs/>
                <w:color w:val="000000"/>
                <w:sz w:val="20"/>
                <w:szCs w:val="20"/>
              </w:rPr>
            </w:pPr>
            <w:r w:rsidRPr="00F020D6">
              <w:rPr>
                <w:b/>
                <w:bCs/>
                <w:color w:val="000000"/>
                <w:sz w:val="20"/>
                <w:szCs w:val="20"/>
              </w:rPr>
              <w:t>I</w:t>
            </w:r>
            <w:r>
              <w:rPr>
                <w:b/>
                <w:bCs/>
                <w:color w:val="000000"/>
                <w:sz w:val="20"/>
                <w:szCs w:val="20"/>
              </w:rPr>
              <w:t>SUP</w:t>
            </w:r>
            <w:r w:rsidRPr="00F020D6">
              <w:rPr>
                <w:color w:val="000000"/>
                <w:sz w:val="20"/>
                <w:szCs w:val="20"/>
              </w:rPr>
              <w:t xml:space="preserve">: </w:t>
            </w:r>
            <w:r>
              <w:rPr>
                <w:color w:val="000000"/>
                <w:sz w:val="20"/>
                <w:szCs w:val="20"/>
              </w:rPr>
              <w:t>Industrial Sector Umbrella Energy Efficiency Program</w:t>
            </w:r>
          </w:p>
        </w:tc>
        <w:tc>
          <w:tcPr>
            <w:tcW w:w="4788" w:type="dxa"/>
            <w:tcBorders>
              <w:top w:val="nil"/>
              <w:left w:val="nil"/>
              <w:bottom w:val="nil"/>
              <w:right w:val="nil"/>
            </w:tcBorders>
            <w:shd w:val="clear" w:color="000000" w:fill="FFFFFF"/>
            <w:vAlign w:val="center"/>
          </w:tcPr>
          <w:p w:rsidR="009C147E" w:rsidRPr="009E4C60" w:rsidRDefault="009C147E" w:rsidP="00FA2F0A">
            <w:pPr>
              <w:jc w:val="left"/>
              <w:rPr>
                <w:bCs/>
                <w:color w:val="000000"/>
                <w:sz w:val="20"/>
                <w:szCs w:val="20"/>
              </w:rPr>
            </w:pPr>
            <w:r>
              <w:rPr>
                <w:b/>
                <w:bCs/>
                <w:color w:val="000000"/>
                <w:sz w:val="20"/>
                <w:szCs w:val="20"/>
              </w:rPr>
              <w:t xml:space="preserve">SVG: </w:t>
            </w:r>
            <w:r w:rsidRPr="00852807">
              <w:rPr>
                <w:bCs/>
                <w:color w:val="000000"/>
                <w:sz w:val="20"/>
                <w:szCs w:val="20"/>
              </w:rPr>
              <w:t>Savings Factor</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9C147E" w:rsidRPr="009E4C60" w:rsidRDefault="009C147E" w:rsidP="00FA2F0A">
            <w:pPr>
              <w:rPr>
                <w:color w:val="000000" w:themeColor="text1"/>
              </w:rPr>
            </w:pPr>
            <w:r>
              <w:rPr>
                <w:b/>
                <w:bCs/>
                <w:color w:val="000000"/>
                <w:sz w:val="20"/>
                <w:szCs w:val="20"/>
              </w:rPr>
              <w:t xml:space="preserve">KPI: </w:t>
            </w:r>
            <w:r>
              <w:rPr>
                <w:bCs/>
                <w:color w:val="000000"/>
                <w:sz w:val="20"/>
                <w:szCs w:val="20"/>
              </w:rPr>
              <w:t>Key Performance Indicator</w:t>
            </w:r>
          </w:p>
        </w:tc>
        <w:tc>
          <w:tcPr>
            <w:tcW w:w="4788" w:type="dxa"/>
            <w:tcBorders>
              <w:top w:val="nil"/>
              <w:left w:val="nil"/>
              <w:bottom w:val="nil"/>
              <w:right w:val="nil"/>
            </w:tcBorders>
            <w:shd w:val="clear" w:color="000000" w:fill="FFFFFF"/>
            <w:vAlign w:val="center"/>
          </w:tcPr>
          <w:p w:rsidR="009C147E" w:rsidRDefault="009C147E" w:rsidP="00FA2F0A">
            <w:pPr>
              <w:jc w:val="left"/>
              <w:rPr>
                <w:b/>
                <w:bCs/>
                <w:color w:val="000000"/>
                <w:sz w:val="20"/>
                <w:szCs w:val="20"/>
              </w:rPr>
            </w:pPr>
            <w:r w:rsidRPr="00F020D6">
              <w:rPr>
                <w:b/>
                <w:bCs/>
                <w:color w:val="000000"/>
                <w:sz w:val="20"/>
                <w:szCs w:val="20"/>
              </w:rPr>
              <w:t>SWE</w:t>
            </w:r>
            <w:r w:rsidRPr="00F020D6">
              <w:rPr>
                <w:color w:val="000000"/>
                <w:sz w:val="20"/>
                <w:szCs w:val="20"/>
              </w:rPr>
              <w:t>: Statewide Evaluator</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9C147E" w:rsidRDefault="009C147E" w:rsidP="00FA2F0A">
            <w:pPr>
              <w:rPr>
                <w:b/>
                <w:bCs/>
                <w:color w:val="000000"/>
                <w:sz w:val="20"/>
                <w:szCs w:val="20"/>
              </w:rPr>
            </w:pPr>
            <w:r w:rsidRPr="00F020D6">
              <w:rPr>
                <w:b/>
                <w:bCs/>
                <w:color w:val="000000"/>
                <w:sz w:val="20"/>
                <w:szCs w:val="20"/>
              </w:rPr>
              <w:t>kW</w:t>
            </w:r>
            <w:r w:rsidRPr="00F020D6">
              <w:rPr>
                <w:color w:val="000000"/>
                <w:sz w:val="20"/>
                <w:szCs w:val="20"/>
              </w:rPr>
              <w:t>: Kilowatt</w:t>
            </w:r>
          </w:p>
        </w:tc>
        <w:tc>
          <w:tcPr>
            <w:tcW w:w="4788" w:type="dxa"/>
            <w:tcBorders>
              <w:top w:val="nil"/>
              <w:left w:val="nil"/>
              <w:bottom w:val="nil"/>
              <w:right w:val="nil"/>
            </w:tcBorders>
            <w:shd w:val="clear" w:color="000000" w:fill="FFFFFF"/>
            <w:vAlign w:val="center"/>
          </w:tcPr>
          <w:p w:rsidR="009C147E" w:rsidRDefault="009C147E" w:rsidP="00FA2F0A">
            <w:pPr>
              <w:jc w:val="left"/>
              <w:rPr>
                <w:b/>
                <w:bCs/>
                <w:color w:val="000000"/>
                <w:sz w:val="20"/>
                <w:szCs w:val="20"/>
              </w:rPr>
            </w:pPr>
            <w:r w:rsidRPr="00F020D6">
              <w:rPr>
                <w:b/>
                <w:bCs/>
                <w:color w:val="000000"/>
                <w:sz w:val="20"/>
                <w:szCs w:val="20"/>
              </w:rPr>
              <w:t>SWE Team</w:t>
            </w:r>
            <w:r w:rsidRPr="00F020D6">
              <w:rPr>
                <w:color w:val="000000"/>
                <w:sz w:val="20"/>
                <w:szCs w:val="20"/>
              </w:rPr>
              <w:t>: Statewide Evaluator Team</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9C147E" w:rsidRPr="00F020D6" w:rsidRDefault="009C147E" w:rsidP="00FA2F0A">
            <w:pPr>
              <w:rPr>
                <w:b/>
                <w:bCs/>
                <w:color w:val="000000"/>
                <w:sz w:val="20"/>
                <w:szCs w:val="20"/>
              </w:rPr>
            </w:pPr>
            <w:r w:rsidRPr="00F020D6">
              <w:rPr>
                <w:b/>
                <w:bCs/>
                <w:color w:val="000000"/>
                <w:sz w:val="20"/>
                <w:szCs w:val="20"/>
              </w:rPr>
              <w:t>kWh</w:t>
            </w:r>
            <w:r w:rsidRPr="00F020D6">
              <w:rPr>
                <w:color w:val="000000"/>
                <w:sz w:val="20"/>
                <w:szCs w:val="20"/>
              </w:rPr>
              <w:t>: Kilowatt-hour</w:t>
            </w:r>
            <w:r w:rsidRPr="00F020D6">
              <w:rPr>
                <w:b/>
                <w:bCs/>
                <w:color w:val="000000"/>
                <w:sz w:val="20"/>
                <w:szCs w:val="20"/>
              </w:rPr>
              <w:t xml:space="preserve"> </w:t>
            </w:r>
          </w:p>
        </w:tc>
        <w:tc>
          <w:tcPr>
            <w:tcW w:w="4788" w:type="dxa"/>
            <w:tcBorders>
              <w:top w:val="nil"/>
              <w:left w:val="nil"/>
              <w:bottom w:val="nil"/>
              <w:right w:val="nil"/>
            </w:tcBorders>
            <w:shd w:val="clear" w:color="000000" w:fill="FFFFFF"/>
            <w:vAlign w:val="center"/>
          </w:tcPr>
          <w:p w:rsidR="009C147E" w:rsidRDefault="009C147E" w:rsidP="00FA2F0A">
            <w:pPr>
              <w:jc w:val="left"/>
              <w:rPr>
                <w:b/>
                <w:bCs/>
                <w:color w:val="000000"/>
                <w:sz w:val="20"/>
                <w:szCs w:val="20"/>
              </w:rPr>
            </w:pPr>
            <w:r w:rsidRPr="00F020D6">
              <w:rPr>
                <w:b/>
                <w:bCs/>
                <w:color w:val="000000"/>
                <w:sz w:val="20"/>
                <w:szCs w:val="20"/>
              </w:rPr>
              <w:t>TOU</w:t>
            </w:r>
            <w:r w:rsidRPr="00F020D6">
              <w:rPr>
                <w:color w:val="000000"/>
                <w:sz w:val="20"/>
                <w:szCs w:val="20"/>
              </w:rPr>
              <w:t>: Time of Use</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9C147E" w:rsidRPr="009E4C60" w:rsidRDefault="009C147E" w:rsidP="00FA2F0A">
            <w:pPr>
              <w:rPr>
                <w:bCs/>
                <w:color w:val="000000"/>
                <w:sz w:val="20"/>
                <w:szCs w:val="20"/>
              </w:rPr>
            </w:pPr>
            <w:r w:rsidRPr="00F020D6">
              <w:rPr>
                <w:b/>
                <w:bCs/>
                <w:color w:val="000000"/>
                <w:sz w:val="20"/>
                <w:szCs w:val="20"/>
              </w:rPr>
              <w:t>LED</w:t>
            </w:r>
            <w:r w:rsidRPr="00F020D6">
              <w:rPr>
                <w:bCs/>
                <w:color w:val="000000"/>
                <w:sz w:val="20"/>
                <w:szCs w:val="20"/>
              </w:rPr>
              <w:t>: Light-Emitting Diode</w:t>
            </w:r>
          </w:p>
        </w:tc>
        <w:tc>
          <w:tcPr>
            <w:tcW w:w="4788" w:type="dxa"/>
            <w:tcBorders>
              <w:top w:val="nil"/>
              <w:left w:val="nil"/>
              <w:bottom w:val="nil"/>
              <w:right w:val="nil"/>
            </w:tcBorders>
            <w:shd w:val="clear" w:color="000000" w:fill="FFFFFF"/>
            <w:vAlign w:val="center"/>
          </w:tcPr>
          <w:p w:rsidR="009C147E" w:rsidRDefault="009C147E" w:rsidP="00FA2F0A">
            <w:pPr>
              <w:jc w:val="left"/>
              <w:rPr>
                <w:b/>
                <w:bCs/>
                <w:color w:val="000000"/>
                <w:sz w:val="20"/>
                <w:szCs w:val="20"/>
              </w:rPr>
            </w:pPr>
            <w:r w:rsidRPr="00F020D6">
              <w:rPr>
                <w:b/>
                <w:bCs/>
                <w:color w:val="000000"/>
                <w:sz w:val="20"/>
                <w:szCs w:val="20"/>
              </w:rPr>
              <w:t>TRC</w:t>
            </w:r>
            <w:r w:rsidRPr="00F020D6">
              <w:rPr>
                <w:color w:val="000000"/>
                <w:sz w:val="20"/>
                <w:szCs w:val="20"/>
              </w:rPr>
              <w:t>:  Total Resource Cost Test</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9C147E" w:rsidRPr="00F020D6" w:rsidRDefault="009C147E" w:rsidP="00FA2F0A">
            <w:pPr>
              <w:rPr>
                <w:b/>
                <w:bCs/>
                <w:color w:val="000000"/>
                <w:sz w:val="20"/>
                <w:szCs w:val="20"/>
              </w:rPr>
            </w:pPr>
            <w:r>
              <w:rPr>
                <w:b/>
                <w:bCs/>
                <w:color w:val="000000"/>
                <w:sz w:val="20"/>
                <w:szCs w:val="20"/>
              </w:rPr>
              <w:t>LIEEP</w:t>
            </w:r>
            <w:r w:rsidRPr="00F020D6">
              <w:rPr>
                <w:bCs/>
                <w:color w:val="000000"/>
                <w:sz w:val="20"/>
                <w:szCs w:val="20"/>
              </w:rPr>
              <w:t xml:space="preserve">: </w:t>
            </w:r>
            <w:r>
              <w:rPr>
                <w:bCs/>
                <w:color w:val="000000"/>
                <w:sz w:val="20"/>
                <w:szCs w:val="20"/>
              </w:rPr>
              <w:t>Low-Income Energy Efficiency Program</w:t>
            </w:r>
          </w:p>
        </w:tc>
        <w:tc>
          <w:tcPr>
            <w:tcW w:w="4788" w:type="dxa"/>
            <w:tcBorders>
              <w:top w:val="nil"/>
              <w:left w:val="nil"/>
              <w:bottom w:val="nil"/>
              <w:right w:val="nil"/>
            </w:tcBorders>
            <w:shd w:val="clear" w:color="000000" w:fill="FFFFFF"/>
            <w:vAlign w:val="center"/>
          </w:tcPr>
          <w:p w:rsidR="009C147E" w:rsidRDefault="009C147E" w:rsidP="00FA2F0A">
            <w:pPr>
              <w:jc w:val="left"/>
              <w:rPr>
                <w:b/>
                <w:bCs/>
                <w:color w:val="000000"/>
                <w:sz w:val="20"/>
                <w:szCs w:val="20"/>
              </w:rPr>
            </w:pPr>
            <w:r w:rsidRPr="00F020D6">
              <w:rPr>
                <w:b/>
                <w:bCs/>
                <w:color w:val="000000"/>
                <w:sz w:val="20"/>
                <w:szCs w:val="20"/>
              </w:rPr>
              <w:t>TRM</w:t>
            </w:r>
            <w:r w:rsidRPr="00F020D6">
              <w:rPr>
                <w:color w:val="000000"/>
                <w:sz w:val="20"/>
                <w:szCs w:val="20"/>
              </w:rPr>
              <w:t>: Technical Reference Manual</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9C147E" w:rsidRPr="00F020D6" w:rsidRDefault="009C147E" w:rsidP="00FA2F0A">
            <w:pPr>
              <w:rPr>
                <w:b/>
                <w:bCs/>
                <w:color w:val="000000"/>
                <w:sz w:val="20"/>
                <w:szCs w:val="20"/>
              </w:rPr>
            </w:pPr>
            <w:r>
              <w:rPr>
                <w:b/>
                <w:bCs/>
                <w:color w:val="000000"/>
                <w:sz w:val="20"/>
                <w:szCs w:val="20"/>
              </w:rPr>
              <w:t xml:space="preserve">LILU: </w:t>
            </w:r>
            <w:r w:rsidRPr="00164CC1">
              <w:rPr>
                <w:bCs/>
                <w:color w:val="000000"/>
                <w:sz w:val="20"/>
                <w:szCs w:val="20"/>
              </w:rPr>
              <w:t>Low Income Low Use Program</w:t>
            </w:r>
          </w:p>
        </w:tc>
        <w:tc>
          <w:tcPr>
            <w:tcW w:w="4788" w:type="dxa"/>
            <w:tcBorders>
              <w:top w:val="nil"/>
              <w:left w:val="nil"/>
              <w:bottom w:val="nil"/>
              <w:right w:val="nil"/>
            </w:tcBorders>
            <w:shd w:val="clear" w:color="000000" w:fill="FFFFFF"/>
            <w:vAlign w:val="center"/>
          </w:tcPr>
          <w:p w:rsidR="009C147E" w:rsidRDefault="009C147E" w:rsidP="00FA2F0A">
            <w:pPr>
              <w:jc w:val="left"/>
              <w:rPr>
                <w:b/>
                <w:bCs/>
                <w:color w:val="000000"/>
                <w:sz w:val="20"/>
                <w:szCs w:val="20"/>
              </w:rPr>
            </w:pPr>
            <w:r w:rsidRPr="00F020D6">
              <w:rPr>
                <w:b/>
                <w:bCs/>
                <w:color w:val="000000"/>
                <w:sz w:val="20"/>
                <w:szCs w:val="20"/>
              </w:rPr>
              <w:t>TUS</w:t>
            </w:r>
            <w:r w:rsidRPr="00F020D6">
              <w:rPr>
                <w:color w:val="000000"/>
                <w:sz w:val="20"/>
                <w:szCs w:val="20"/>
              </w:rPr>
              <w:t>: Bureau of Technical Utility Services</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9C147E" w:rsidRPr="00F020D6" w:rsidRDefault="009C147E" w:rsidP="00FA2F0A">
            <w:pPr>
              <w:rPr>
                <w:b/>
                <w:bCs/>
                <w:color w:val="000000"/>
                <w:sz w:val="20"/>
                <w:szCs w:val="20"/>
              </w:rPr>
            </w:pPr>
            <w:r>
              <w:rPr>
                <w:b/>
                <w:bCs/>
                <w:color w:val="000000"/>
                <w:sz w:val="20"/>
                <w:szCs w:val="20"/>
              </w:rPr>
              <w:t>LIWRAP</w:t>
            </w:r>
            <w:r w:rsidRPr="00F020D6">
              <w:rPr>
                <w:bCs/>
                <w:color w:val="000000"/>
                <w:sz w:val="20"/>
                <w:szCs w:val="20"/>
              </w:rPr>
              <w:t xml:space="preserve">: </w:t>
            </w:r>
            <w:r>
              <w:rPr>
                <w:bCs/>
                <w:color w:val="000000"/>
                <w:sz w:val="20"/>
                <w:szCs w:val="20"/>
              </w:rPr>
              <w:t>Low-Income Winter Relief Assistance Program</w:t>
            </w:r>
          </w:p>
        </w:tc>
        <w:tc>
          <w:tcPr>
            <w:tcW w:w="4788" w:type="dxa"/>
            <w:tcBorders>
              <w:top w:val="nil"/>
              <w:left w:val="nil"/>
              <w:bottom w:val="nil"/>
              <w:right w:val="nil"/>
            </w:tcBorders>
            <w:shd w:val="clear" w:color="000000" w:fill="FFFFFF"/>
            <w:vAlign w:val="center"/>
          </w:tcPr>
          <w:p w:rsidR="009C147E" w:rsidRPr="00F020D6" w:rsidRDefault="009C147E" w:rsidP="00FA2F0A">
            <w:pPr>
              <w:jc w:val="left"/>
              <w:rPr>
                <w:b/>
                <w:bCs/>
                <w:color w:val="000000"/>
                <w:sz w:val="20"/>
                <w:szCs w:val="20"/>
              </w:rPr>
            </w:pPr>
            <w:r>
              <w:rPr>
                <w:b/>
                <w:bCs/>
                <w:color w:val="000000"/>
                <w:sz w:val="20"/>
                <w:szCs w:val="20"/>
              </w:rPr>
              <w:t xml:space="preserve">UEC: </w:t>
            </w:r>
            <w:r w:rsidRPr="00744EEF">
              <w:rPr>
                <w:bCs/>
                <w:color w:val="000000"/>
                <w:sz w:val="20"/>
                <w:szCs w:val="20"/>
              </w:rPr>
              <w:t>Unit energy consumption</w:t>
            </w: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9C147E" w:rsidRPr="00F020D6" w:rsidRDefault="009C147E" w:rsidP="00FA2F0A">
            <w:pPr>
              <w:rPr>
                <w:b/>
                <w:bCs/>
                <w:color w:val="000000"/>
                <w:sz w:val="20"/>
                <w:szCs w:val="20"/>
              </w:rPr>
            </w:pPr>
            <w:r>
              <w:rPr>
                <w:b/>
                <w:bCs/>
                <w:color w:val="000000"/>
                <w:sz w:val="20"/>
                <w:szCs w:val="20"/>
              </w:rPr>
              <w:t>LLF</w:t>
            </w:r>
            <w:r w:rsidRPr="00F020D6">
              <w:rPr>
                <w:bCs/>
                <w:color w:val="000000"/>
                <w:sz w:val="20"/>
                <w:szCs w:val="20"/>
              </w:rPr>
              <w:t xml:space="preserve">: </w:t>
            </w:r>
            <w:r>
              <w:rPr>
                <w:bCs/>
                <w:color w:val="000000"/>
                <w:sz w:val="20"/>
                <w:szCs w:val="20"/>
              </w:rPr>
              <w:t>Line Loss Factor</w:t>
            </w:r>
          </w:p>
        </w:tc>
        <w:tc>
          <w:tcPr>
            <w:tcW w:w="4788" w:type="dxa"/>
            <w:tcBorders>
              <w:top w:val="nil"/>
              <w:left w:val="nil"/>
              <w:bottom w:val="nil"/>
              <w:right w:val="nil"/>
            </w:tcBorders>
            <w:shd w:val="clear" w:color="000000" w:fill="FFFFFF"/>
            <w:vAlign w:val="center"/>
          </w:tcPr>
          <w:p w:rsidR="009C147E" w:rsidRDefault="009C147E" w:rsidP="00FA2F0A">
            <w:pPr>
              <w:jc w:val="left"/>
              <w:rPr>
                <w:color w:val="000000"/>
                <w:sz w:val="20"/>
                <w:szCs w:val="20"/>
              </w:rPr>
            </w:pPr>
            <w:r w:rsidRPr="00F020D6">
              <w:rPr>
                <w:b/>
                <w:bCs/>
                <w:color w:val="000000"/>
                <w:sz w:val="20"/>
                <w:szCs w:val="20"/>
              </w:rPr>
              <w:t>VFD</w:t>
            </w:r>
            <w:r w:rsidRPr="00F020D6">
              <w:rPr>
                <w:color w:val="000000"/>
                <w:sz w:val="20"/>
                <w:szCs w:val="20"/>
              </w:rPr>
              <w:t>: Variable Frequency Drive</w:t>
            </w:r>
          </w:p>
          <w:p w:rsidR="009C147E" w:rsidRPr="00F020D6" w:rsidRDefault="009C147E" w:rsidP="00FA2F0A">
            <w:pPr>
              <w:jc w:val="left"/>
              <w:rPr>
                <w:color w:val="000000"/>
                <w:sz w:val="20"/>
                <w:szCs w:val="20"/>
              </w:rPr>
            </w:pP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9C147E" w:rsidRDefault="009C147E" w:rsidP="00FA2F0A">
            <w:pPr>
              <w:rPr>
                <w:b/>
                <w:bCs/>
                <w:color w:val="000000"/>
                <w:sz w:val="20"/>
                <w:szCs w:val="20"/>
              </w:rPr>
            </w:pPr>
            <w:r>
              <w:rPr>
                <w:b/>
                <w:bCs/>
                <w:color w:val="000000"/>
                <w:sz w:val="20"/>
                <w:szCs w:val="20"/>
              </w:rPr>
              <w:lastRenderedPageBreak/>
              <w:t xml:space="preserve">LPD: </w:t>
            </w:r>
            <w:r w:rsidRPr="00F32B3C">
              <w:rPr>
                <w:bCs/>
                <w:color w:val="000000"/>
                <w:sz w:val="20"/>
                <w:szCs w:val="20"/>
              </w:rPr>
              <w:t>Lighting Power Density</w:t>
            </w:r>
          </w:p>
        </w:tc>
        <w:tc>
          <w:tcPr>
            <w:tcW w:w="4788" w:type="dxa"/>
            <w:tcBorders>
              <w:top w:val="nil"/>
              <w:left w:val="nil"/>
              <w:bottom w:val="nil"/>
              <w:right w:val="nil"/>
            </w:tcBorders>
            <w:shd w:val="clear" w:color="000000" w:fill="FFFFFF"/>
            <w:vAlign w:val="center"/>
          </w:tcPr>
          <w:p w:rsidR="009C147E" w:rsidRPr="00F020D6" w:rsidRDefault="009C147E" w:rsidP="00FA2F0A">
            <w:pPr>
              <w:jc w:val="left"/>
              <w:rPr>
                <w:b/>
                <w:bCs/>
                <w:color w:val="000000"/>
                <w:sz w:val="20"/>
                <w:szCs w:val="20"/>
              </w:rPr>
            </w:pPr>
            <w:r>
              <w:rPr>
                <w:b/>
                <w:color w:val="000000"/>
                <w:sz w:val="20"/>
                <w:szCs w:val="20"/>
              </w:rPr>
              <w:t xml:space="preserve">VG: </w:t>
            </w:r>
            <w:r w:rsidRPr="00BA77B8">
              <w:rPr>
                <w:color w:val="000000"/>
                <w:sz w:val="20"/>
                <w:szCs w:val="20"/>
              </w:rPr>
              <w:t xml:space="preserve">Verified Gross </w:t>
            </w:r>
            <w:r>
              <w:rPr>
                <w:color w:val="000000"/>
                <w:sz w:val="20"/>
                <w:szCs w:val="20"/>
              </w:rPr>
              <w:t xml:space="preserve">Impact </w:t>
            </w:r>
            <w:r w:rsidRPr="00BA77B8">
              <w:rPr>
                <w:color w:val="000000"/>
                <w:sz w:val="20"/>
                <w:szCs w:val="20"/>
              </w:rPr>
              <w:t>Savings</w:t>
            </w: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9C147E" w:rsidRPr="00F020D6" w:rsidRDefault="009C147E" w:rsidP="00FA2F0A">
            <w:pPr>
              <w:rPr>
                <w:b/>
                <w:bCs/>
                <w:color w:val="000000"/>
                <w:sz w:val="20"/>
                <w:szCs w:val="20"/>
              </w:rPr>
            </w:pPr>
            <w:r>
              <w:rPr>
                <w:b/>
                <w:bCs/>
                <w:color w:val="000000"/>
                <w:sz w:val="20"/>
                <w:szCs w:val="20"/>
              </w:rPr>
              <w:t>MMMF</w:t>
            </w:r>
            <w:r w:rsidRPr="00F020D6">
              <w:rPr>
                <w:color w:val="000000"/>
                <w:sz w:val="20"/>
                <w:szCs w:val="20"/>
              </w:rPr>
              <w:t xml:space="preserve">: </w:t>
            </w:r>
            <w:r>
              <w:rPr>
                <w:color w:val="000000"/>
                <w:sz w:val="20"/>
                <w:szCs w:val="20"/>
              </w:rPr>
              <w:t>Mastered Metered Multi-Family Program</w:t>
            </w:r>
          </w:p>
        </w:tc>
        <w:tc>
          <w:tcPr>
            <w:tcW w:w="4788" w:type="dxa"/>
            <w:tcBorders>
              <w:top w:val="nil"/>
              <w:left w:val="nil"/>
              <w:bottom w:val="nil"/>
              <w:right w:val="nil"/>
            </w:tcBorders>
            <w:shd w:val="clear" w:color="000000" w:fill="FFFFFF"/>
            <w:vAlign w:val="center"/>
          </w:tcPr>
          <w:p w:rsidR="009C147E" w:rsidRPr="00F020D6" w:rsidRDefault="009C147E" w:rsidP="00FA2F0A">
            <w:pPr>
              <w:jc w:val="left"/>
              <w:rPr>
                <w:b/>
                <w:bCs/>
                <w:color w:val="000000"/>
                <w:sz w:val="20"/>
                <w:szCs w:val="20"/>
              </w:rPr>
            </w:pPr>
          </w:p>
        </w:tc>
      </w:tr>
      <w:tr w:rsidR="00E7173E" w:rsidRPr="00F020D6" w:rsidTr="00FA2F0A">
        <w:trPr>
          <w:trHeight w:val="537"/>
        </w:trPr>
        <w:tc>
          <w:tcPr>
            <w:tcW w:w="4572" w:type="dxa"/>
            <w:tcBorders>
              <w:top w:val="nil"/>
              <w:left w:val="nil"/>
              <w:bottom w:val="nil"/>
              <w:right w:val="nil"/>
            </w:tcBorders>
            <w:shd w:val="clear" w:color="000000" w:fill="FFFFFF"/>
            <w:vAlign w:val="center"/>
            <w:hideMark/>
          </w:tcPr>
          <w:p w:rsidR="009C147E" w:rsidRPr="00F020D6" w:rsidRDefault="009C147E" w:rsidP="00FA2F0A">
            <w:pPr>
              <w:rPr>
                <w:b/>
                <w:bCs/>
                <w:color w:val="000000"/>
                <w:sz w:val="20"/>
                <w:szCs w:val="20"/>
              </w:rPr>
            </w:pPr>
            <w:r w:rsidRPr="00F020D6">
              <w:rPr>
                <w:b/>
                <w:bCs/>
                <w:color w:val="000000"/>
                <w:sz w:val="20"/>
                <w:szCs w:val="20"/>
              </w:rPr>
              <w:t>M&amp;V</w:t>
            </w:r>
            <w:r w:rsidRPr="00F020D6">
              <w:rPr>
                <w:color w:val="000000"/>
                <w:sz w:val="20"/>
                <w:szCs w:val="20"/>
              </w:rPr>
              <w:t>: Measurement and Verification</w:t>
            </w:r>
          </w:p>
        </w:tc>
        <w:tc>
          <w:tcPr>
            <w:tcW w:w="4788" w:type="dxa"/>
            <w:tcBorders>
              <w:top w:val="nil"/>
              <w:left w:val="nil"/>
              <w:bottom w:val="nil"/>
              <w:right w:val="nil"/>
            </w:tcBorders>
            <w:shd w:val="clear" w:color="000000" w:fill="FFFFFF"/>
            <w:vAlign w:val="center"/>
          </w:tcPr>
          <w:p w:rsidR="009C147E" w:rsidRPr="00F020D6" w:rsidRDefault="009C147E" w:rsidP="00FA2F0A">
            <w:pPr>
              <w:jc w:val="left"/>
              <w:rPr>
                <w:color w:val="000000"/>
                <w:sz w:val="20"/>
                <w:szCs w:val="20"/>
              </w:rPr>
            </w:pPr>
          </w:p>
        </w:tc>
      </w:tr>
      <w:tr w:rsidR="00E7173E" w:rsidRPr="00F020D6" w:rsidTr="00FA2F0A">
        <w:trPr>
          <w:trHeight w:val="537"/>
        </w:trPr>
        <w:tc>
          <w:tcPr>
            <w:tcW w:w="4572" w:type="dxa"/>
            <w:tcBorders>
              <w:top w:val="nil"/>
              <w:left w:val="nil"/>
              <w:bottom w:val="nil"/>
              <w:right w:val="nil"/>
            </w:tcBorders>
            <w:shd w:val="clear" w:color="000000" w:fill="FFFFFF"/>
            <w:vAlign w:val="center"/>
          </w:tcPr>
          <w:p w:rsidR="009C147E" w:rsidRPr="009E4C60" w:rsidRDefault="009C147E" w:rsidP="00FA2F0A">
            <w:pPr>
              <w:rPr>
                <w:bCs/>
                <w:color w:val="000000"/>
                <w:sz w:val="20"/>
                <w:szCs w:val="20"/>
              </w:rPr>
            </w:pPr>
            <w:r w:rsidRPr="00F020D6">
              <w:rPr>
                <w:b/>
                <w:bCs/>
                <w:color w:val="000000"/>
                <w:sz w:val="20"/>
                <w:szCs w:val="20"/>
              </w:rPr>
              <w:t>MW</w:t>
            </w:r>
            <w:r w:rsidRPr="00F020D6">
              <w:rPr>
                <w:color w:val="000000"/>
                <w:sz w:val="20"/>
                <w:szCs w:val="20"/>
              </w:rPr>
              <w:t>: Megawatt</w:t>
            </w:r>
          </w:p>
        </w:tc>
        <w:tc>
          <w:tcPr>
            <w:tcW w:w="4788" w:type="dxa"/>
            <w:tcBorders>
              <w:top w:val="nil"/>
              <w:left w:val="nil"/>
              <w:bottom w:val="nil"/>
              <w:right w:val="nil"/>
            </w:tcBorders>
            <w:shd w:val="clear" w:color="000000" w:fill="FFFFFF"/>
            <w:vAlign w:val="center"/>
          </w:tcPr>
          <w:p w:rsidR="009C147E" w:rsidRDefault="009C147E" w:rsidP="00FA2F0A">
            <w:pPr>
              <w:jc w:val="left"/>
              <w:rPr>
                <w:b/>
                <w:bCs/>
                <w:color w:val="000000"/>
                <w:sz w:val="20"/>
                <w:szCs w:val="20"/>
              </w:rPr>
            </w:pPr>
          </w:p>
        </w:tc>
      </w:tr>
    </w:tbl>
    <w:p w:rsidR="00250705" w:rsidRPr="008C2176" w:rsidRDefault="00250705" w:rsidP="00000FEE">
      <w:pPr>
        <w:sectPr w:rsidR="00250705" w:rsidRPr="008C2176" w:rsidSect="00A174C1">
          <w:headerReference w:type="first" r:id="rId30"/>
          <w:footerReference w:type="first" r:id="rId31"/>
          <w:type w:val="nextColumn"/>
          <w:pgSz w:w="12240" w:h="15840"/>
          <w:pgMar w:top="1440" w:right="1440" w:bottom="1440" w:left="1440" w:header="720" w:footer="288" w:gutter="0"/>
          <w:pgNumType w:fmt="lowerRoman"/>
          <w:cols w:space="720"/>
          <w:titlePg/>
          <w:docGrid w:linePitch="360"/>
        </w:sectPr>
      </w:pPr>
    </w:p>
    <w:p w:rsidR="00FC20D5" w:rsidRPr="008C2176" w:rsidRDefault="00FC20D5" w:rsidP="00000FEE">
      <w:pPr>
        <w:rPr>
          <w:i/>
        </w:rPr>
      </w:pPr>
      <w:r w:rsidRPr="008C2176">
        <w:rPr>
          <w:i/>
        </w:rPr>
        <w:lastRenderedPageBreak/>
        <w:t xml:space="preserve">Please see Appendix </w:t>
      </w:r>
      <w:r w:rsidR="006C1B85">
        <w:rPr>
          <w:i/>
        </w:rPr>
        <w:t>F</w:t>
      </w:r>
      <w:r w:rsidRPr="008C2176">
        <w:rPr>
          <w:i/>
        </w:rPr>
        <w:t xml:space="preserve"> for </w:t>
      </w:r>
      <w:r w:rsidR="0020530E">
        <w:rPr>
          <w:i/>
        </w:rPr>
        <w:t>G</w:t>
      </w:r>
      <w:r w:rsidRPr="008C2176">
        <w:rPr>
          <w:i/>
        </w:rPr>
        <w:t xml:space="preserve">lossary of </w:t>
      </w:r>
      <w:r w:rsidR="0020530E">
        <w:rPr>
          <w:i/>
        </w:rPr>
        <w:t>T</w:t>
      </w:r>
      <w:r w:rsidRPr="008C2176">
        <w:rPr>
          <w:i/>
        </w:rPr>
        <w:t>erms.</w:t>
      </w:r>
    </w:p>
    <w:p w:rsidR="00DB2C48" w:rsidRPr="00DB2C48" w:rsidRDefault="00DB2C48" w:rsidP="00000FEE">
      <w:pPr>
        <w:sectPr w:rsidR="00DB2C48" w:rsidRPr="00DB2C48" w:rsidSect="00A174C1">
          <w:type w:val="nextColumn"/>
          <w:pgSz w:w="12240" w:h="15840"/>
          <w:pgMar w:top="1440" w:right="1440" w:bottom="1440" w:left="1440" w:header="720" w:footer="288" w:gutter="0"/>
          <w:pgNumType w:fmt="lowerRoman"/>
          <w:cols w:space="720"/>
          <w:docGrid w:linePitch="360"/>
        </w:sectPr>
      </w:pPr>
    </w:p>
    <w:p w:rsidR="008515C7" w:rsidRPr="00DA1ADA" w:rsidRDefault="00472B27" w:rsidP="00DA1ADA">
      <w:pPr>
        <w:pStyle w:val="Heading1"/>
      </w:pPr>
      <w:bookmarkStart w:id="0" w:name="_Ref472258019"/>
      <w:bookmarkStart w:id="1" w:name="_Toc472472076"/>
      <w:bookmarkStart w:id="2" w:name="_Toc476913889"/>
      <w:r w:rsidRPr="00DA1ADA">
        <w:lastRenderedPageBreak/>
        <w:t>Executive Summary</w:t>
      </w:r>
      <w:bookmarkEnd w:id="0"/>
      <w:bookmarkEnd w:id="1"/>
      <w:bookmarkEnd w:id="2"/>
    </w:p>
    <w:p w:rsidR="00AD0F92" w:rsidRDefault="00AD0F92" w:rsidP="00AD0F92">
      <w:r w:rsidRPr="00AD0F92">
        <w:t>The Phase II Statewide Evaluator (SWE) Team is providing this final report for Phase II of Pennsylvania’s Act 129 energy efficiency programs. This report assesses whether the Pennsylvania electric distribution companies (EDCs) subject to Act 129 met their Phase II electric energy and demand savings targets and verifies Phase II portfolio and program Total Resource Cost (TRC) test calculations. This report also provides the detailed findings and recommendations of the Phase II SWE.</w:t>
      </w:r>
    </w:p>
    <w:p w:rsidR="00AD0F92" w:rsidRPr="00AD0F92" w:rsidRDefault="00AD0F92" w:rsidP="00AD0F92"/>
    <w:p w:rsidR="008515C7" w:rsidRDefault="008515C7" w:rsidP="00472B27">
      <w:pPr>
        <w:pStyle w:val="Heading2"/>
      </w:pPr>
      <w:bookmarkStart w:id="3" w:name="_Toc472472077"/>
      <w:bookmarkStart w:id="4" w:name="_Toc476913890"/>
      <w:r w:rsidRPr="008515C7">
        <w:t>A</w:t>
      </w:r>
      <w:r w:rsidR="00114CA8">
        <w:t>ct 129 and Summary of PUC Orders</w:t>
      </w:r>
      <w:bookmarkEnd w:id="3"/>
      <w:bookmarkEnd w:id="4"/>
    </w:p>
    <w:p w:rsidR="007908C2" w:rsidRPr="00D446B4" w:rsidRDefault="007908C2" w:rsidP="007908C2">
      <w:r w:rsidRPr="00D446B4">
        <w:t xml:space="preserve">The Pennsylvania Public Utility Commission (PA PUC, PUC, or Commission) was charged by the Pennsylvania General Assembly pursuant to Act 129 of 2008 (Act 129) to establish an </w:t>
      </w:r>
      <w:r>
        <w:t>e</w:t>
      </w:r>
      <w:r w:rsidRPr="00D446B4">
        <w:t xml:space="preserve">nergy </w:t>
      </w:r>
      <w:r>
        <w:t>e</w:t>
      </w:r>
      <w:r w:rsidRPr="00D446B4">
        <w:t xml:space="preserve">fficiency and </w:t>
      </w:r>
      <w:r>
        <w:t>c</w:t>
      </w:r>
      <w:r w:rsidRPr="00D446B4">
        <w:t xml:space="preserve">onservation (EE&amp;C) </w:t>
      </w:r>
      <w:r>
        <w:t>p</w:t>
      </w:r>
      <w:r w:rsidRPr="00D446B4">
        <w:t>rogram. The seven EDCs subject to Act 129</w:t>
      </w:r>
      <w:r w:rsidRPr="00D446B4">
        <w:rPr>
          <w:vertAlign w:val="superscript"/>
        </w:rPr>
        <w:footnoteReference w:id="2"/>
      </w:r>
      <w:r w:rsidRPr="00D446B4">
        <w:t xml:space="preserve"> are</w:t>
      </w:r>
      <w:r>
        <w:t xml:space="preserve"> </w:t>
      </w:r>
      <w:r w:rsidRPr="00D446B4">
        <w:t>Duquesne Light Company (Duquesne); the FirstEnergy companies Metropolitan Edison Company (Met-Ed), Pennsylvania Electric Company (Penelec), Pennsylvania Power Company (Penn Power)</w:t>
      </w:r>
      <w:r>
        <w:t>,</w:t>
      </w:r>
      <w:r w:rsidRPr="00D446B4">
        <w:t xml:space="preserve"> and West Penn Power (West Penn); PECO Energy Company (PECO)</w:t>
      </w:r>
      <w:r>
        <w:t>;</w:t>
      </w:r>
      <w:r w:rsidRPr="00D446B4">
        <w:t xml:space="preserve"> and </w:t>
      </w:r>
      <w:r w:rsidR="00702765">
        <w:t>PPL Electric Utilities</w:t>
      </w:r>
      <w:r w:rsidRPr="00D446B4">
        <w:t xml:space="preserve"> (PPL). Stated below is the section of Act 129 that discusses the requirement for the Commission to conduct ongoing monitoring and verification of data collection, quality assurance, and results of each EDC’s plan and program.</w:t>
      </w:r>
    </w:p>
    <w:p w:rsidR="007908C2" w:rsidRPr="008A5E9E" w:rsidRDefault="007908C2" w:rsidP="007908C2">
      <w:pPr>
        <w:rPr>
          <w:highlight w:val="lightGray"/>
        </w:rPr>
      </w:pPr>
    </w:p>
    <w:p w:rsidR="007908C2" w:rsidRPr="0061634C" w:rsidRDefault="007908C2" w:rsidP="007908C2">
      <w:pPr>
        <w:spacing w:after="120"/>
        <w:ind w:left="720" w:right="720"/>
        <w:rPr>
          <w:i/>
        </w:rPr>
      </w:pPr>
      <w:r w:rsidRPr="00D446B4">
        <w:t>66 Pa. C.S. §§ 2806.1: “</w:t>
      </w:r>
      <w:r w:rsidRPr="0061634C">
        <w:rPr>
          <w:i/>
        </w:rPr>
        <w:t>The Commission shall, by January 15, 2009, adopt an energy efficiency and conservation program to require electric distribution companies to adopt and implement cost-effective energy efficiency and conservation plans to reduce energy demand and consumption within the service territory of each electric distribution company in this Commonwealth. The program shall include:</w:t>
      </w:r>
    </w:p>
    <w:p w:rsidR="007908C2" w:rsidRPr="00D446B4" w:rsidRDefault="007908C2" w:rsidP="007908C2">
      <w:pPr>
        <w:ind w:left="1440" w:right="720"/>
      </w:pPr>
      <w:r w:rsidRPr="0061634C">
        <w:rPr>
          <w:i/>
        </w:rPr>
        <w:t xml:space="preserve">(2) </w:t>
      </w:r>
      <w:r>
        <w:rPr>
          <w:i/>
        </w:rPr>
        <w:t>“</w:t>
      </w:r>
      <w:r w:rsidRPr="0061634C">
        <w:rPr>
          <w:i/>
        </w:rPr>
        <w:t>an evaluation process, including a process to monitor and verify data collection, quality assurance and results of each plan and the program.”</w:t>
      </w:r>
    </w:p>
    <w:p w:rsidR="007908C2" w:rsidRPr="008A5E9E" w:rsidRDefault="007908C2" w:rsidP="007908C2">
      <w:pPr>
        <w:ind w:left="720" w:right="720"/>
        <w:rPr>
          <w:highlight w:val="lightGray"/>
        </w:rPr>
      </w:pPr>
    </w:p>
    <w:p w:rsidR="007908C2" w:rsidRDefault="007908C2" w:rsidP="007908C2">
      <w:r w:rsidRPr="00D446B4">
        <w:t>In order to fulfill this obligation for the Phase II Act 129 programs, the Commission entered an Implementation Order</w:t>
      </w:r>
      <w:r>
        <w:t xml:space="preserve"> on August 3, 2012</w:t>
      </w:r>
      <w:r w:rsidRPr="00D446B4">
        <w:t xml:space="preserve"> at Docket No</w:t>
      </w:r>
      <w:r w:rsidR="0023755D">
        <w:t>s</w:t>
      </w:r>
      <w:r w:rsidRPr="00D446B4">
        <w:t>. M-2008-2069887</w:t>
      </w:r>
      <w:r w:rsidR="0023755D">
        <w:t xml:space="preserve"> and M-2012-228941</w:t>
      </w:r>
      <w:r w:rsidR="00F32E29">
        <w:t>1</w:t>
      </w:r>
      <w:r w:rsidRPr="00D446B4">
        <w:t>. As part of the Implementation Order and Act 129, the Commission sought a SWE for Phase II to evaluate the EDCs’ EE&amp;C programs. The SWE Team, led by GDS Associates, Inc. (GDS) in partnership with Nexant</w:t>
      </w:r>
      <w:r>
        <w:t>,</w:t>
      </w:r>
      <w:r>
        <w:rPr>
          <w:rStyle w:val="FootnoteReference"/>
        </w:rPr>
        <w:footnoteReference w:id="3"/>
      </w:r>
      <w:r w:rsidRPr="00D446B4">
        <w:t xml:space="preserve"> Research Into Action, and Apex Analytics, was retained to fulfill requirements of the Phase II Implementation Order of Act 129. The </w:t>
      </w:r>
      <w:r>
        <w:t xml:space="preserve">Phase II </w:t>
      </w:r>
      <w:r w:rsidRPr="00D446B4">
        <w:t>SWE Team was contracted to monitor and verify EDC</w:t>
      </w:r>
      <w:r>
        <w:t>-reported program MWh and MW savings, benefit/cost</w:t>
      </w:r>
      <w:r w:rsidR="00B83235">
        <w:t xml:space="preserve"> (B/C)</w:t>
      </w:r>
      <w:r>
        <w:t xml:space="preserve"> calculations, </w:t>
      </w:r>
      <w:r w:rsidRPr="00D446B4">
        <w:t>data collection</w:t>
      </w:r>
      <w:r>
        <w:t xml:space="preserve"> and</w:t>
      </w:r>
      <w:r w:rsidRPr="00D446B4">
        <w:t xml:space="preserve"> quality assurance processes, and </w:t>
      </w:r>
      <w:r>
        <w:t xml:space="preserve">other </w:t>
      </w:r>
      <w:r w:rsidRPr="00D446B4">
        <w:t>performance measures. The SWE Team has other contractual obligations, including reviewing and updating information and savings values found in the Pennsylvania Technical Reference Manual (TRM)</w:t>
      </w:r>
      <w:r>
        <w:t xml:space="preserve">, </w:t>
      </w:r>
      <w:r w:rsidRPr="00D446B4">
        <w:t>developing recommendations for possible revisions and additions</w:t>
      </w:r>
      <w:r>
        <w:t xml:space="preserve"> to the TRM, and developing best practices recommendations for program improvements and modifications</w:t>
      </w:r>
      <w:r w:rsidRPr="00D446B4">
        <w:t>.</w:t>
      </w:r>
      <w:r>
        <w:rPr>
          <w:rStyle w:val="FootnoteReference"/>
        </w:rPr>
        <w:footnoteReference w:id="4"/>
      </w:r>
    </w:p>
    <w:p w:rsidR="0019631B" w:rsidRDefault="0019631B" w:rsidP="007908C2">
      <w:bookmarkStart w:id="5" w:name="_Toc472472078"/>
    </w:p>
    <w:p w:rsidR="00034173" w:rsidRDefault="00034173" w:rsidP="007908C2"/>
    <w:p w:rsidR="00034173" w:rsidRDefault="00034173" w:rsidP="007908C2"/>
    <w:p w:rsidR="00034173" w:rsidRDefault="00034173" w:rsidP="007908C2"/>
    <w:p w:rsidR="00034173" w:rsidRDefault="00034173" w:rsidP="007908C2"/>
    <w:p w:rsidR="007908C2" w:rsidRDefault="007908C2" w:rsidP="007908C2">
      <w:pPr>
        <w:pStyle w:val="Heading3"/>
      </w:pPr>
      <w:bookmarkStart w:id="6" w:name="_Toc476913891"/>
      <w:r>
        <w:lastRenderedPageBreak/>
        <w:t>Mandated Electricity Consumption Reductions for Phase II</w:t>
      </w:r>
      <w:bookmarkEnd w:id="5"/>
      <w:bookmarkEnd w:id="6"/>
    </w:p>
    <w:p w:rsidR="00291207" w:rsidRDefault="00DA1ADA" w:rsidP="00291207">
      <w:r>
        <w:fldChar w:fldCharType="begin"/>
      </w:r>
      <w:r>
        <w:instrText xml:space="preserve"> REF _Ref476038697 \h </w:instrText>
      </w:r>
      <w:r>
        <w:fldChar w:fldCharType="separate"/>
      </w:r>
      <w:r w:rsidR="003965C5" w:rsidRPr="004619EB">
        <w:t xml:space="preserve">Table </w:t>
      </w:r>
      <w:r w:rsidR="003965C5">
        <w:rPr>
          <w:noProof/>
        </w:rPr>
        <w:t>1</w:t>
      </w:r>
      <w:r w:rsidR="003965C5">
        <w:noBreakHyphen/>
      </w:r>
      <w:r w:rsidR="003965C5">
        <w:rPr>
          <w:noProof/>
        </w:rPr>
        <w:t>1</w:t>
      </w:r>
      <w:r>
        <w:fldChar w:fldCharType="end"/>
      </w:r>
      <w:r>
        <w:t xml:space="preserve"> </w:t>
      </w:r>
      <w:r w:rsidR="007908C2">
        <w:t>shows, by EDC, the</w:t>
      </w:r>
      <w:r w:rsidR="007908C2" w:rsidRPr="00320BCA">
        <w:t xml:space="preserve"> electricity consumption reduction targets </w:t>
      </w:r>
      <w:r w:rsidR="007908C2">
        <w:t>that the</w:t>
      </w:r>
      <w:r w:rsidR="007908C2" w:rsidRPr="00320BCA">
        <w:t xml:space="preserve"> Commission adopted for Phase II of Act 129 in its </w:t>
      </w:r>
      <w:r w:rsidR="005B6C85">
        <w:t xml:space="preserve">August 2, 2012 </w:t>
      </w:r>
      <w:r w:rsidR="007908C2" w:rsidRPr="00320BCA">
        <w:t xml:space="preserve">Phase II Implementation Order, as well as </w:t>
      </w:r>
      <w:r w:rsidR="007908C2">
        <w:t>the EDCs’</w:t>
      </w:r>
      <w:r w:rsidR="007908C2" w:rsidRPr="00320BCA">
        <w:t xml:space="preserve"> three-year cumulative </w:t>
      </w:r>
      <w:r w:rsidR="007908C2">
        <w:t xml:space="preserve">annual </w:t>
      </w:r>
      <w:r w:rsidR="007908C2" w:rsidRPr="00320BCA">
        <w:t>MWh figures.</w:t>
      </w:r>
      <w:r w:rsidR="007908C2">
        <w:t xml:space="preserve"> There were no peak demand reduction targets for Phase II.</w:t>
      </w:r>
      <w:bookmarkStart w:id="7" w:name="_Ref472256993"/>
      <w:bookmarkStart w:id="8" w:name="_Toc472472153"/>
      <w:r w:rsidR="00291207">
        <w:t xml:space="preserve"> </w:t>
      </w:r>
    </w:p>
    <w:p w:rsidR="00291207" w:rsidRDefault="00291207" w:rsidP="00291207"/>
    <w:p w:rsidR="00323D47" w:rsidRPr="00320BCA" w:rsidRDefault="004619EB" w:rsidP="00DA1ADA">
      <w:pPr>
        <w:pStyle w:val="Caption"/>
      </w:pPr>
      <w:bookmarkStart w:id="9" w:name="_Ref476038697"/>
      <w:bookmarkStart w:id="10" w:name="_Toc476913965"/>
      <w:r w:rsidRPr="004619EB">
        <w:t xml:space="preserve">Table </w:t>
      </w:r>
      <w:fldSimple w:instr=" STYLEREF 1 \s ">
        <w:r w:rsidR="00C301D0">
          <w:rPr>
            <w:noProof/>
          </w:rPr>
          <w:t>1</w:t>
        </w:r>
      </w:fldSimple>
      <w:r w:rsidR="00E6042C">
        <w:noBreakHyphen/>
      </w:r>
      <w:fldSimple w:instr=" SEQ Table \* ARABIC \s 1 ">
        <w:r w:rsidR="00C301D0">
          <w:rPr>
            <w:noProof/>
          </w:rPr>
          <w:t>1</w:t>
        </w:r>
      </w:fldSimple>
      <w:bookmarkEnd w:id="7"/>
      <w:bookmarkEnd w:id="9"/>
      <w:r w:rsidRPr="004619EB">
        <w:t xml:space="preserve">: </w:t>
      </w:r>
      <w:r w:rsidR="007908C2" w:rsidRPr="004619EB">
        <w:t xml:space="preserve">Act 129 Phase II Three-Year Energy Efficiency Reduction Compliance </w:t>
      </w:r>
      <w:bookmarkEnd w:id="8"/>
      <w:r w:rsidR="008E7430" w:rsidRPr="004619EB">
        <w:t>Targets</w:t>
      </w:r>
      <w:r w:rsidR="008E7430">
        <w:rPr>
          <w:rStyle w:val="FootnoteReference"/>
        </w:rPr>
        <w:footnoteReference w:id="5"/>
      </w:r>
      <w:bookmarkEnd w:id="10"/>
    </w:p>
    <w:tbl>
      <w:tblPr>
        <w:tblW w:w="5000" w:type="pct"/>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788"/>
        <w:gridCol w:w="2336"/>
        <w:gridCol w:w="1833"/>
        <w:gridCol w:w="3383"/>
      </w:tblGrid>
      <w:tr w:rsidR="00A874AC" w:rsidRPr="006433A9" w:rsidTr="00A174C1">
        <w:trPr>
          <w:cantSplit/>
          <w:trHeight w:val="141"/>
          <w:tblHeader/>
        </w:trPr>
        <w:tc>
          <w:tcPr>
            <w:tcW w:w="1790" w:type="dxa"/>
            <w:tcBorders>
              <w:top w:val="single" w:sz="8" w:space="0" w:color="448A99"/>
              <w:left w:val="single" w:sz="8" w:space="0" w:color="448A99"/>
              <w:bottom w:val="single" w:sz="8" w:space="0" w:color="448A99"/>
              <w:right w:val="nil"/>
            </w:tcBorders>
            <w:shd w:val="clear" w:color="000000" w:fill="448A99"/>
            <w:vAlign w:val="bottom"/>
          </w:tcPr>
          <w:p w:rsidR="00323D47" w:rsidRPr="006433A9" w:rsidRDefault="00323D47" w:rsidP="0088218F">
            <w:pPr>
              <w:rPr>
                <w:b/>
                <w:color w:val="FFFFFF"/>
                <w:sz w:val="20"/>
                <w:szCs w:val="20"/>
              </w:rPr>
            </w:pPr>
            <w:r>
              <w:rPr>
                <w:b/>
                <w:bCs/>
                <w:color w:val="FFFFFF"/>
                <w:sz w:val="20"/>
                <w:szCs w:val="20"/>
              </w:rPr>
              <w:t>EDC</w:t>
            </w:r>
          </w:p>
        </w:tc>
        <w:tc>
          <w:tcPr>
            <w:tcW w:w="2338" w:type="dxa"/>
            <w:tcBorders>
              <w:top w:val="single" w:sz="8" w:space="0" w:color="448A99"/>
              <w:left w:val="single" w:sz="8" w:space="0" w:color="448A99"/>
              <w:bottom w:val="single" w:sz="8" w:space="0" w:color="448A99"/>
              <w:right w:val="single" w:sz="8" w:space="0" w:color="448A99"/>
            </w:tcBorders>
            <w:shd w:val="clear" w:color="000000" w:fill="448A99"/>
            <w:vAlign w:val="bottom"/>
          </w:tcPr>
          <w:p w:rsidR="00323D47" w:rsidRPr="006433A9" w:rsidRDefault="00323D47" w:rsidP="0088218F">
            <w:pPr>
              <w:jc w:val="center"/>
              <w:rPr>
                <w:b/>
                <w:color w:val="FFFFFF"/>
                <w:sz w:val="20"/>
                <w:szCs w:val="20"/>
              </w:rPr>
            </w:pPr>
            <w:r>
              <w:rPr>
                <w:b/>
                <w:bCs/>
                <w:color w:val="FFFFFF"/>
                <w:sz w:val="20"/>
                <w:szCs w:val="20"/>
              </w:rPr>
              <w:t>Three-Year Program Acquisition Cost (</w:t>
            </w:r>
            <w:r w:rsidR="00967822">
              <w:rPr>
                <w:b/>
                <w:bCs/>
                <w:color w:val="FFFFFF"/>
                <w:sz w:val="20"/>
                <w:szCs w:val="20"/>
              </w:rPr>
              <w:t xml:space="preserve"> EDC </w:t>
            </w:r>
            <w:r>
              <w:rPr>
                <w:b/>
                <w:bCs/>
                <w:color w:val="FFFFFF"/>
                <w:sz w:val="20"/>
                <w:szCs w:val="20"/>
              </w:rPr>
              <w:t>$/First-Year MWh Saved)</w:t>
            </w:r>
          </w:p>
        </w:tc>
        <w:tc>
          <w:tcPr>
            <w:tcW w:w="1834" w:type="dxa"/>
            <w:tcBorders>
              <w:top w:val="single" w:sz="8" w:space="0" w:color="448A99"/>
              <w:left w:val="nil"/>
              <w:bottom w:val="single" w:sz="8" w:space="0" w:color="448A99"/>
              <w:right w:val="single" w:sz="8" w:space="0" w:color="448A99"/>
            </w:tcBorders>
            <w:shd w:val="clear" w:color="000000" w:fill="448A99"/>
            <w:vAlign w:val="bottom"/>
          </w:tcPr>
          <w:p w:rsidR="00323D47" w:rsidRPr="006433A9" w:rsidRDefault="00323D47" w:rsidP="0088218F">
            <w:pPr>
              <w:jc w:val="center"/>
              <w:rPr>
                <w:b/>
                <w:color w:val="FFFFFF"/>
                <w:sz w:val="20"/>
                <w:szCs w:val="20"/>
              </w:rPr>
            </w:pPr>
            <w:r>
              <w:rPr>
                <w:b/>
                <w:bCs/>
                <w:color w:val="FFFFFF"/>
                <w:sz w:val="20"/>
                <w:szCs w:val="20"/>
              </w:rPr>
              <w:t>Three-Year % of 2009/2010</w:t>
            </w:r>
            <w:r>
              <w:rPr>
                <w:b/>
                <w:bCs/>
                <w:color w:val="FFFFFF"/>
                <w:sz w:val="20"/>
                <w:szCs w:val="20"/>
              </w:rPr>
              <w:br/>
              <w:t>Forecast Reductions</w:t>
            </w:r>
          </w:p>
        </w:tc>
        <w:tc>
          <w:tcPr>
            <w:tcW w:w="3388" w:type="dxa"/>
            <w:tcBorders>
              <w:top w:val="single" w:sz="8" w:space="0" w:color="448A99"/>
              <w:left w:val="nil"/>
              <w:bottom w:val="single" w:sz="8" w:space="0" w:color="448A99"/>
              <w:right w:val="single" w:sz="8" w:space="0" w:color="448A99"/>
            </w:tcBorders>
            <w:shd w:val="clear" w:color="000000" w:fill="448A99"/>
            <w:vAlign w:val="bottom"/>
          </w:tcPr>
          <w:p w:rsidR="00323D47" w:rsidRPr="006433A9" w:rsidRDefault="00323D47" w:rsidP="0088218F">
            <w:pPr>
              <w:jc w:val="center"/>
              <w:rPr>
                <w:b/>
                <w:color w:val="FFFFFF"/>
                <w:sz w:val="20"/>
                <w:szCs w:val="20"/>
              </w:rPr>
            </w:pPr>
            <w:r>
              <w:rPr>
                <w:b/>
                <w:bCs/>
                <w:color w:val="FFFFFF"/>
                <w:sz w:val="20"/>
                <w:szCs w:val="20"/>
              </w:rPr>
              <w:t>Three-Year MWh Cumulative Annual Value of 2009/2010 Forecast Reductions</w:t>
            </w:r>
          </w:p>
        </w:tc>
      </w:tr>
      <w:tr w:rsidR="00A874AC" w:rsidRPr="006433A9" w:rsidTr="00A174C1">
        <w:trPr>
          <w:trHeight w:val="141"/>
        </w:trPr>
        <w:tc>
          <w:tcPr>
            <w:tcW w:w="1790" w:type="dxa"/>
            <w:tcBorders>
              <w:top w:val="nil"/>
              <w:left w:val="single" w:sz="8" w:space="0" w:color="448A99"/>
              <w:bottom w:val="single" w:sz="8" w:space="0" w:color="448A99"/>
              <w:right w:val="nil"/>
            </w:tcBorders>
            <w:shd w:val="clear" w:color="000000" w:fill="D2EAF1"/>
            <w:vAlign w:val="center"/>
          </w:tcPr>
          <w:p w:rsidR="00323D47" w:rsidRPr="00664065" w:rsidRDefault="00323D47" w:rsidP="00323D47">
            <w:pPr>
              <w:jc w:val="left"/>
              <w:rPr>
                <w:sz w:val="20"/>
              </w:rPr>
            </w:pPr>
            <w:r w:rsidRPr="00664065">
              <w:rPr>
                <w:bCs/>
                <w:color w:val="000000"/>
                <w:sz w:val="20"/>
                <w:szCs w:val="20"/>
              </w:rPr>
              <w:t>Duquesne</w:t>
            </w:r>
          </w:p>
        </w:tc>
        <w:tc>
          <w:tcPr>
            <w:tcW w:w="2338" w:type="dxa"/>
            <w:tcBorders>
              <w:top w:val="nil"/>
              <w:left w:val="single" w:sz="8" w:space="0" w:color="448A99"/>
              <w:bottom w:val="single" w:sz="8" w:space="0" w:color="448A99"/>
              <w:right w:val="single" w:sz="8" w:space="0" w:color="448A99"/>
            </w:tcBorders>
            <w:shd w:val="clear" w:color="000000" w:fill="D2EAF1"/>
            <w:vAlign w:val="center"/>
          </w:tcPr>
          <w:p w:rsidR="00323D47" w:rsidRPr="006433A9" w:rsidRDefault="00323D47" w:rsidP="00114CA8">
            <w:pPr>
              <w:autoSpaceDE w:val="0"/>
              <w:autoSpaceDN w:val="0"/>
              <w:adjustRightInd w:val="0"/>
              <w:contextualSpacing/>
              <w:jc w:val="center"/>
              <w:rPr>
                <w:rFonts w:cs="Calibri"/>
                <w:sz w:val="20"/>
                <w:szCs w:val="20"/>
              </w:rPr>
            </w:pPr>
            <w:r>
              <w:rPr>
                <w:color w:val="000000"/>
                <w:sz w:val="20"/>
                <w:szCs w:val="20"/>
              </w:rPr>
              <w:t>$211.90</w:t>
            </w:r>
          </w:p>
        </w:tc>
        <w:tc>
          <w:tcPr>
            <w:tcW w:w="1834" w:type="dxa"/>
            <w:tcBorders>
              <w:top w:val="nil"/>
              <w:left w:val="nil"/>
              <w:bottom w:val="single" w:sz="8" w:space="0" w:color="448A99"/>
              <w:right w:val="single" w:sz="8" w:space="0" w:color="448A99"/>
            </w:tcBorders>
            <w:shd w:val="clear" w:color="000000" w:fill="D2EAF1"/>
            <w:vAlign w:val="center"/>
          </w:tcPr>
          <w:p w:rsidR="00323D47" w:rsidRPr="006433A9" w:rsidRDefault="00323D47" w:rsidP="00114CA8">
            <w:pPr>
              <w:autoSpaceDE w:val="0"/>
              <w:autoSpaceDN w:val="0"/>
              <w:adjustRightInd w:val="0"/>
              <w:contextualSpacing/>
              <w:jc w:val="center"/>
              <w:rPr>
                <w:rFonts w:cs="Calibri"/>
                <w:sz w:val="20"/>
                <w:szCs w:val="20"/>
              </w:rPr>
            </w:pPr>
            <w:r>
              <w:rPr>
                <w:color w:val="000000"/>
                <w:sz w:val="20"/>
                <w:szCs w:val="20"/>
              </w:rPr>
              <w:t>2.0%</w:t>
            </w:r>
          </w:p>
        </w:tc>
        <w:tc>
          <w:tcPr>
            <w:tcW w:w="3388" w:type="dxa"/>
            <w:tcBorders>
              <w:top w:val="nil"/>
              <w:left w:val="nil"/>
              <w:bottom w:val="single" w:sz="8" w:space="0" w:color="448A99"/>
              <w:right w:val="single" w:sz="8" w:space="0" w:color="448A99"/>
            </w:tcBorders>
            <w:shd w:val="clear" w:color="000000" w:fill="D2EAF1"/>
            <w:vAlign w:val="center"/>
          </w:tcPr>
          <w:p w:rsidR="00323D47" w:rsidRPr="006433A9" w:rsidRDefault="00323D47" w:rsidP="00114CA8">
            <w:pPr>
              <w:autoSpaceDE w:val="0"/>
              <w:autoSpaceDN w:val="0"/>
              <w:adjustRightInd w:val="0"/>
              <w:contextualSpacing/>
              <w:jc w:val="center"/>
              <w:rPr>
                <w:rFonts w:cs="Calibri"/>
                <w:sz w:val="20"/>
                <w:szCs w:val="20"/>
              </w:rPr>
            </w:pPr>
            <w:r>
              <w:rPr>
                <w:color w:val="000000"/>
                <w:sz w:val="20"/>
                <w:szCs w:val="20"/>
              </w:rPr>
              <w:t>276,722</w:t>
            </w:r>
          </w:p>
        </w:tc>
      </w:tr>
      <w:tr w:rsidR="00A874AC" w:rsidRPr="006433A9" w:rsidTr="00A174C1">
        <w:trPr>
          <w:trHeight w:val="141"/>
        </w:trPr>
        <w:tc>
          <w:tcPr>
            <w:tcW w:w="1790" w:type="dxa"/>
            <w:tcBorders>
              <w:top w:val="nil"/>
              <w:left w:val="single" w:sz="8" w:space="0" w:color="448A99"/>
              <w:bottom w:val="single" w:sz="8" w:space="0" w:color="448A99"/>
              <w:right w:val="nil"/>
            </w:tcBorders>
            <w:shd w:val="clear" w:color="000000" w:fill="FFFFFF"/>
            <w:vAlign w:val="center"/>
          </w:tcPr>
          <w:p w:rsidR="00AF1BD2" w:rsidRPr="00664065" w:rsidRDefault="00B83235" w:rsidP="00AF1BD2">
            <w:pPr>
              <w:jc w:val="left"/>
              <w:rPr>
                <w:sz w:val="20"/>
              </w:rPr>
            </w:pPr>
            <w:r w:rsidRPr="00664065">
              <w:rPr>
                <w:bCs/>
                <w:color w:val="000000"/>
                <w:sz w:val="20"/>
                <w:szCs w:val="20"/>
              </w:rPr>
              <w:t>FE: Met-Ed</w:t>
            </w:r>
          </w:p>
        </w:tc>
        <w:tc>
          <w:tcPr>
            <w:tcW w:w="2338" w:type="dxa"/>
            <w:tcBorders>
              <w:top w:val="nil"/>
              <w:left w:val="single" w:sz="8" w:space="0" w:color="448A99"/>
              <w:bottom w:val="single" w:sz="8" w:space="0" w:color="448A99"/>
              <w:right w:val="single" w:sz="8" w:space="0" w:color="448A99"/>
            </w:tcBorders>
            <w:shd w:val="clear" w:color="000000" w:fill="FFFFFF"/>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$220.87</w:t>
            </w:r>
          </w:p>
        </w:tc>
        <w:tc>
          <w:tcPr>
            <w:tcW w:w="1834" w:type="dxa"/>
            <w:tcBorders>
              <w:top w:val="nil"/>
              <w:left w:val="nil"/>
              <w:bottom w:val="single" w:sz="8" w:space="0" w:color="448A99"/>
              <w:right w:val="single" w:sz="8" w:space="0" w:color="448A99"/>
            </w:tcBorders>
            <w:shd w:val="clear" w:color="000000" w:fill="FFFFFF"/>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2.3%</w:t>
            </w:r>
          </w:p>
        </w:tc>
        <w:tc>
          <w:tcPr>
            <w:tcW w:w="3388" w:type="dxa"/>
            <w:tcBorders>
              <w:top w:val="nil"/>
              <w:left w:val="nil"/>
              <w:bottom w:val="single" w:sz="8" w:space="0" w:color="448A99"/>
              <w:right w:val="single" w:sz="8" w:space="0" w:color="448A99"/>
            </w:tcBorders>
            <w:shd w:val="clear" w:color="000000" w:fill="FFFFFF"/>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337,753</w:t>
            </w:r>
          </w:p>
        </w:tc>
      </w:tr>
      <w:tr w:rsidR="00A874AC" w:rsidRPr="006433A9" w:rsidTr="00A174C1">
        <w:trPr>
          <w:trHeight w:val="141"/>
        </w:trPr>
        <w:tc>
          <w:tcPr>
            <w:tcW w:w="1790" w:type="dxa"/>
            <w:tcBorders>
              <w:top w:val="nil"/>
              <w:left w:val="single" w:sz="8" w:space="0" w:color="448A99"/>
              <w:bottom w:val="single" w:sz="8" w:space="0" w:color="448A99"/>
              <w:right w:val="nil"/>
            </w:tcBorders>
            <w:shd w:val="clear" w:color="000000" w:fill="D2EAF1"/>
            <w:vAlign w:val="center"/>
          </w:tcPr>
          <w:p w:rsidR="00AF1BD2" w:rsidRPr="00664065" w:rsidRDefault="00AF1BD2" w:rsidP="00AF1BD2">
            <w:pPr>
              <w:jc w:val="left"/>
              <w:rPr>
                <w:sz w:val="20"/>
              </w:rPr>
            </w:pPr>
            <w:r w:rsidRPr="00664065">
              <w:rPr>
                <w:bCs/>
                <w:color w:val="000000"/>
                <w:sz w:val="20"/>
                <w:szCs w:val="20"/>
              </w:rPr>
              <w:t>FE: Penelec</w:t>
            </w:r>
          </w:p>
        </w:tc>
        <w:tc>
          <w:tcPr>
            <w:tcW w:w="2338" w:type="dxa"/>
            <w:tcBorders>
              <w:top w:val="nil"/>
              <w:left w:val="single" w:sz="8" w:space="0" w:color="448A99"/>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$216.19</w:t>
            </w:r>
          </w:p>
        </w:tc>
        <w:tc>
          <w:tcPr>
            <w:tcW w:w="1834" w:type="dxa"/>
            <w:tcBorders>
              <w:top w:val="nil"/>
              <w:left w:val="nil"/>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2.2%</w:t>
            </w:r>
          </w:p>
        </w:tc>
        <w:tc>
          <w:tcPr>
            <w:tcW w:w="3388" w:type="dxa"/>
            <w:tcBorders>
              <w:top w:val="nil"/>
              <w:left w:val="nil"/>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318,813</w:t>
            </w:r>
          </w:p>
        </w:tc>
      </w:tr>
      <w:tr w:rsidR="00A874AC" w:rsidRPr="006433A9" w:rsidTr="00A174C1">
        <w:trPr>
          <w:trHeight w:val="141"/>
        </w:trPr>
        <w:tc>
          <w:tcPr>
            <w:tcW w:w="1790" w:type="dxa"/>
            <w:tcBorders>
              <w:top w:val="nil"/>
              <w:left w:val="single" w:sz="8" w:space="0" w:color="448A99"/>
              <w:bottom w:val="single" w:sz="8" w:space="0" w:color="448A99"/>
              <w:right w:val="nil"/>
            </w:tcBorders>
            <w:shd w:val="clear" w:color="000000" w:fill="FFFFFF"/>
            <w:vAlign w:val="center"/>
          </w:tcPr>
          <w:p w:rsidR="00AF1BD2" w:rsidRPr="00664065" w:rsidRDefault="00AF1BD2" w:rsidP="00AF1BD2">
            <w:pPr>
              <w:jc w:val="left"/>
              <w:rPr>
                <w:sz w:val="20"/>
              </w:rPr>
            </w:pPr>
            <w:r w:rsidRPr="00664065">
              <w:rPr>
                <w:bCs/>
                <w:color w:val="000000"/>
                <w:sz w:val="20"/>
                <w:szCs w:val="20"/>
              </w:rPr>
              <w:t>FE: Penn Power</w:t>
            </w:r>
          </w:p>
        </w:tc>
        <w:tc>
          <w:tcPr>
            <w:tcW w:w="2338" w:type="dxa"/>
            <w:tcBorders>
              <w:top w:val="nil"/>
              <w:left w:val="single" w:sz="8" w:space="0" w:color="448A99"/>
              <w:bottom w:val="single" w:sz="8" w:space="0" w:color="448A99"/>
              <w:right w:val="single" w:sz="8" w:space="0" w:color="448A99"/>
            </w:tcBorders>
            <w:shd w:val="clear" w:color="000000" w:fill="FFFFFF"/>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$209.20</w:t>
            </w:r>
          </w:p>
        </w:tc>
        <w:tc>
          <w:tcPr>
            <w:tcW w:w="1834" w:type="dxa"/>
            <w:tcBorders>
              <w:top w:val="nil"/>
              <w:left w:val="nil"/>
              <w:bottom w:val="single" w:sz="8" w:space="0" w:color="448A99"/>
              <w:right w:val="single" w:sz="8" w:space="0" w:color="448A99"/>
            </w:tcBorders>
            <w:shd w:val="clear" w:color="000000" w:fill="FFFFFF"/>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2.0%</w:t>
            </w:r>
          </w:p>
        </w:tc>
        <w:tc>
          <w:tcPr>
            <w:tcW w:w="3388" w:type="dxa"/>
            <w:tcBorders>
              <w:top w:val="nil"/>
              <w:left w:val="nil"/>
              <w:bottom w:val="single" w:sz="8" w:space="0" w:color="448A99"/>
              <w:right w:val="single" w:sz="8" w:space="0" w:color="448A99"/>
            </w:tcBorders>
            <w:shd w:val="clear" w:color="000000" w:fill="FFFFFF"/>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95,502</w:t>
            </w:r>
          </w:p>
        </w:tc>
      </w:tr>
      <w:tr w:rsidR="00A874AC" w:rsidRPr="006433A9" w:rsidTr="00A174C1">
        <w:trPr>
          <w:trHeight w:val="141"/>
        </w:trPr>
        <w:tc>
          <w:tcPr>
            <w:tcW w:w="1790" w:type="dxa"/>
            <w:tcBorders>
              <w:top w:val="nil"/>
              <w:left w:val="single" w:sz="8" w:space="0" w:color="448A99"/>
              <w:bottom w:val="single" w:sz="8" w:space="0" w:color="448A99"/>
              <w:right w:val="nil"/>
            </w:tcBorders>
            <w:shd w:val="clear" w:color="000000" w:fill="D2EAF1"/>
            <w:vAlign w:val="center"/>
          </w:tcPr>
          <w:p w:rsidR="00AF1BD2" w:rsidRPr="00664065" w:rsidRDefault="00AF1BD2" w:rsidP="00AF1BD2">
            <w:pPr>
              <w:jc w:val="left"/>
              <w:rPr>
                <w:sz w:val="20"/>
              </w:rPr>
            </w:pPr>
            <w:r w:rsidRPr="00664065">
              <w:rPr>
                <w:bCs/>
                <w:color w:val="000000"/>
                <w:sz w:val="20"/>
                <w:szCs w:val="20"/>
              </w:rPr>
              <w:t>FE: West Penn</w:t>
            </w:r>
          </w:p>
        </w:tc>
        <w:tc>
          <w:tcPr>
            <w:tcW w:w="2338" w:type="dxa"/>
            <w:tcBorders>
              <w:top w:val="nil"/>
              <w:left w:val="single" w:sz="8" w:space="0" w:color="448A99"/>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$209.42</w:t>
            </w:r>
          </w:p>
        </w:tc>
        <w:tc>
          <w:tcPr>
            <w:tcW w:w="1834" w:type="dxa"/>
            <w:tcBorders>
              <w:top w:val="nil"/>
              <w:left w:val="nil"/>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1.6%</w:t>
            </w:r>
          </w:p>
        </w:tc>
        <w:tc>
          <w:tcPr>
            <w:tcW w:w="3388" w:type="dxa"/>
            <w:tcBorders>
              <w:top w:val="nil"/>
              <w:left w:val="nil"/>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337,533</w:t>
            </w:r>
          </w:p>
        </w:tc>
      </w:tr>
      <w:tr w:rsidR="00A874AC" w:rsidRPr="006433A9" w:rsidTr="00A174C1">
        <w:trPr>
          <w:trHeight w:val="141"/>
        </w:trPr>
        <w:tc>
          <w:tcPr>
            <w:tcW w:w="1790" w:type="dxa"/>
            <w:tcBorders>
              <w:top w:val="nil"/>
              <w:left w:val="single" w:sz="8" w:space="0" w:color="448A99"/>
              <w:bottom w:val="single" w:sz="8" w:space="0" w:color="448A99"/>
              <w:right w:val="nil"/>
            </w:tcBorders>
            <w:shd w:val="clear" w:color="000000" w:fill="FFFFFF"/>
            <w:vAlign w:val="center"/>
          </w:tcPr>
          <w:p w:rsidR="00323D47" w:rsidRPr="00664065" w:rsidRDefault="00323D47" w:rsidP="00323D47">
            <w:pPr>
              <w:jc w:val="left"/>
              <w:rPr>
                <w:sz w:val="20"/>
              </w:rPr>
            </w:pPr>
            <w:r w:rsidRPr="00664065">
              <w:rPr>
                <w:bCs/>
                <w:color w:val="000000"/>
                <w:sz w:val="20"/>
                <w:szCs w:val="20"/>
              </w:rPr>
              <w:t>PPL</w:t>
            </w:r>
          </w:p>
        </w:tc>
        <w:tc>
          <w:tcPr>
            <w:tcW w:w="2338" w:type="dxa"/>
            <w:tcBorders>
              <w:top w:val="nil"/>
              <w:left w:val="single" w:sz="8" w:space="0" w:color="448A99"/>
              <w:bottom w:val="single" w:sz="8" w:space="0" w:color="448A99"/>
              <w:right w:val="single" w:sz="8" w:space="0" w:color="448A99"/>
            </w:tcBorders>
            <w:shd w:val="clear" w:color="000000" w:fill="FFFFFF"/>
            <w:vAlign w:val="center"/>
          </w:tcPr>
          <w:p w:rsidR="00323D47" w:rsidRPr="006433A9" w:rsidRDefault="00323D47" w:rsidP="00114CA8">
            <w:pPr>
              <w:autoSpaceDE w:val="0"/>
              <w:autoSpaceDN w:val="0"/>
              <w:adjustRightInd w:val="0"/>
              <w:contextualSpacing/>
              <w:jc w:val="center"/>
              <w:rPr>
                <w:rFonts w:cs="Calibri"/>
                <w:sz w:val="20"/>
                <w:szCs w:val="20"/>
              </w:rPr>
            </w:pPr>
            <w:r>
              <w:rPr>
                <w:color w:val="000000"/>
                <w:sz w:val="20"/>
                <w:szCs w:val="20"/>
              </w:rPr>
              <w:t>$224.71</w:t>
            </w:r>
          </w:p>
        </w:tc>
        <w:tc>
          <w:tcPr>
            <w:tcW w:w="1834" w:type="dxa"/>
            <w:tcBorders>
              <w:top w:val="nil"/>
              <w:left w:val="nil"/>
              <w:bottom w:val="single" w:sz="8" w:space="0" w:color="448A99"/>
              <w:right w:val="single" w:sz="8" w:space="0" w:color="448A99"/>
            </w:tcBorders>
            <w:shd w:val="clear" w:color="000000" w:fill="FFFFFF"/>
            <w:vAlign w:val="center"/>
          </w:tcPr>
          <w:p w:rsidR="00323D47" w:rsidRPr="006433A9" w:rsidRDefault="00323D47" w:rsidP="00114CA8">
            <w:pPr>
              <w:autoSpaceDE w:val="0"/>
              <w:autoSpaceDN w:val="0"/>
              <w:adjustRightInd w:val="0"/>
              <w:contextualSpacing/>
              <w:jc w:val="center"/>
              <w:rPr>
                <w:rFonts w:cs="Calibri"/>
                <w:sz w:val="20"/>
                <w:szCs w:val="20"/>
              </w:rPr>
            </w:pPr>
            <w:r>
              <w:rPr>
                <w:color w:val="000000"/>
                <w:sz w:val="20"/>
                <w:szCs w:val="20"/>
              </w:rPr>
              <w:t>2.1%</w:t>
            </w:r>
          </w:p>
        </w:tc>
        <w:tc>
          <w:tcPr>
            <w:tcW w:w="3388" w:type="dxa"/>
            <w:tcBorders>
              <w:top w:val="nil"/>
              <w:left w:val="nil"/>
              <w:bottom w:val="single" w:sz="8" w:space="0" w:color="448A99"/>
              <w:right w:val="single" w:sz="8" w:space="0" w:color="448A99"/>
            </w:tcBorders>
            <w:shd w:val="clear" w:color="000000" w:fill="FFFFFF"/>
            <w:vAlign w:val="center"/>
          </w:tcPr>
          <w:p w:rsidR="00323D47" w:rsidRPr="006433A9" w:rsidRDefault="00323D47" w:rsidP="00114CA8">
            <w:pPr>
              <w:autoSpaceDE w:val="0"/>
              <w:autoSpaceDN w:val="0"/>
              <w:adjustRightInd w:val="0"/>
              <w:contextualSpacing/>
              <w:jc w:val="center"/>
              <w:rPr>
                <w:rFonts w:cs="Calibri"/>
                <w:sz w:val="20"/>
                <w:szCs w:val="20"/>
              </w:rPr>
            </w:pPr>
            <w:r>
              <w:rPr>
                <w:color w:val="000000"/>
                <w:sz w:val="20"/>
                <w:szCs w:val="20"/>
              </w:rPr>
              <w:t>821,072</w:t>
            </w:r>
          </w:p>
        </w:tc>
      </w:tr>
      <w:tr w:rsidR="00A874AC" w:rsidRPr="006433A9" w:rsidTr="00A174C1">
        <w:trPr>
          <w:trHeight w:val="141"/>
        </w:trPr>
        <w:tc>
          <w:tcPr>
            <w:tcW w:w="1790" w:type="dxa"/>
            <w:tcBorders>
              <w:top w:val="nil"/>
              <w:left w:val="single" w:sz="8" w:space="0" w:color="448A99"/>
              <w:bottom w:val="single" w:sz="8" w:space="0" w:color="448A99"/>
              <w:right w:val="nil"/>
            </w:tcBorders>
            <w:shd w:val="clear" w:color="000000" w:fill="D2EAF1"/>
            <w:vAlign w:val="center"/>
          </w:tcPr>
          <w:p w:rsidR="00323D47" w:rsidRPr="00664065" w:rsidRDefault="00323D47" w:rsidP="00323D47">
            <w:pPr>
              <w:jc w:val="left"/>
              <w:rPr>
                <w:sz w:val="20"/>
              </w:rPr>
            </w:pPr>
            <w:r w:rsidRPr="00664065">
              <w:rPr>
                <w:bCs/>
                <w:color w:val="000000"/>
                <w:sz w:val="20"/>
                <w:szCs w:val="20"/>
              </w:rPr>
              <w:t>PECO</w:t>
            </w:r>
          </w:p>
        </w:tc>
        <w:tc>
          <w:tcPr>
            <w:tcW w:w="2338" w:type="dxa"/>
            <w:tcBorders>
              <w:top w:val="nil"/>
              <w:left w:val="single" w:sz="8" w:space="0" w:color="448A99"/>
              <w:bottom w:val="single" w:sz="8" w:space="0" w:color="448A99"/>
              <w:right w:val="single" w:sz="8" w:space="0" w:color="448A99"/>
            </w:tcBorders>
            <w:shd w:val="clear" w:color="000000" w:fill="D2EAF1"/>
            <w:vAlign w:val="center"/>
          </w:tcPr>
          <w:p w:rsidR="00323D47" w:rsidRPr="006433A9" w:rsidRDefault="00323D47" w:rsidP="00114CA8">
            <w:pPr>
              <w:autoSpaceDE w:val="0"/>
              <w:autoSpaceDN w:val="0"/>
              <w:adjustRightInd w:val="0"/>
              <w:contextualSpacing/>
              <w:jc w:val="center"/>
              <w:rPr>
                <w:rFonts w:cs="Calibri"/>
                <w:sz w:val="20"/>
                <w:szCs w:val="20"/>
              </w:rPr>
            </w:pPr>
            <w:r>
              <w:rPr>
                <w:color w:val="000000"/>
                <w:sz w:val="20"/>
                <w:szCs w:val="20"/>
              </w:rPr>
              <w:t>$227.55</w:t>
            </w:r>
          </w:p>
        </w:tc>
        <w:tc>
          <w:tcPr>
            <w:tcW w:w="1834" w:type="dxa"/>
            <w:tcBorders>
              <w:top w:val="nil"/>
              <w:left w:val="nil"/>
              <w:bottom w:val="single" w:sz="8" w:space="0" w:color="448A99"/>
              <w:right w:val="single" w:sz="8" w:space="0" w:color="448A99"/>
            </w:tcBorders>
            <w:shd w:val="clear" w:color="000000" w:fill="D2EAF1"/>
            <w:vAlign w:val="center"/>
          </w:tcPr>
          <w:p w:rsidR="00323D47" w:rsidRPr="006433A9" w:rsidRDefault="00323D47" w:rsidP="00114CA8">
            <w:pPr>
              <w:autoSpaceDE w:val="0"/>
              <w:autoSpaceDN w:val="0"/>
              <w:adjustRightInd w:val="0"/>
              <w:contextualSpacing/>
              <w:jc w:val="center"/>
              <w:rPr>
                <w:rFonts w:cs="Calibri"/>
                <w:sz w:val="20"/>
                <w:szCs w:val="20"/>
              </w:rPr>
            </w:pPr>
            <w:r>
              <w:rPr>
                <w:color w:val="000000"/>
                <w:sz w:val="20"/>
                <w:szCs w:val="20"/>
              </w:rPr>
              <w:t>2.9%</w:t>
            </w:r>
          </w:p>
        </w:tc>
        <w:tc>
          <w:tcPr>
            <w:tcW w:w="3388" w:type="dxa"/>
            <w:tcBorders>
              <w:top w:val="nil"/>
              <w:left w:val="nil"/>
              <w:bottom w:val="single" w:sz="8" w:space="0" w:color="448A99"/>
              <w:right w:val="single" w:sz="8" w:space="0" w:color="448A99"/>
            </w:tcBorders>
            <w:shd w:val="clear" w:color="000000" w:fill="D2EAF1"/>
            <w:vAlign w:val="center"/>
          </w:tcPr>
          <w:p w:rsidR="00323D47" w:rsidRPr="006433A9" w:rsidRDefault="00323D47" w:rsidP="00114CA8">
            <w:pPr>
              <w:autoSpaceDE w:val="0"/>
              <w:autoSpaceDN w:val="0"/>
              <w:adjustRightInd w:val="0"/>
              <w:contextualSpacing/>
              <w:jc w:val="center"/>
              <w:rPr>
                <w:rFonts w:cs="Calibri"/>
                <w:sz w:val="20"/>
                <w:szCs w:val="20"/>
              </w:rPr>
            </w:pPr>
            <w:r>
              <w:rPr>
                <w:color w:val="000000"/>
                <w:sz w:val="20"/>
                <w:szCs w:val="20"/>
              </w:rPr>
              <w:t>1,125,851</w:t>
            </w:r>
          </w:p>
        </w:tc>
      </w:tr>
    </w:tbl>
    <w:p w:rsidR="007908C2" w:rsidRPr="0088218F" w:rsidRDefault="007908C2" w:rsidP="0088218F"/>
    <w:p w:rsidR="007908C2" w:rsidRPr="00D0490C" w:rsidRDefault="007908C2" w:rsidP="007908C2">
      <w:pPr>
        <w:pStyle w:val="Heading3"/>
      </w:pPr>
      <w:bookmarkStart w:id="11" w:name="_Toc472472079"/>
      <w:bookmarkStart w:id="12" w:name="_Toc476913892"/>
      <w:r w:rsidRPr="00D0490C">
        <w:t>Annual Reporting Requirements</w:t>
      </w:r>
      <w:bookmarkEnd w:id="11"/>
      <w:bookmarkEnd w:id="12"/>
    </w:p>
    <w:p w:rsidR="007908C2" w:rsidRDefault="007908C2" w:rsidP="007908C2">
      <w:pPr>
        <w:pStyle w:val="bullettext"/>
        <w:spacing w:after="0"/>
      </w:pPr>
      <w:r w:rsidRPr="00D446B4">
        <w:t xml:space="preserve">This report is the </w:t>
      </w:r>
      <w:r>
        <w:t>seventh</w:t>
      </w:r>
      <w:r w:rsidRPr="00D446B4">
        <w:t xml:space="preserve"> annual report from the SWE Team to the Commission. </w:t>
      </w:r>
      <w:r w:rsidR="008E7430" w:rsidRPr="00D446B4">
        <w:t xml:space="preserve">This report provides detailed information on the findings of the SWE Team’s Program Year </w:t>
      </w:r>
      <w:r w:rsidR="008E7430">
        <w:t>Seven</w:t>
      </w:r>
      <w:r w:rsidR="008E7430" w:rsidRPr="00D446B4">
        <w:t xml:space="preserve"> (PY</w:t>
      </w:r>
      <w:r w:rsidR="008E7430">
        <w:t>7</w:t>
      </w:r>
      <w:r w:rsidR="008E7430" w:rsidRPr="00D446B4">
        <w:t>) audit activities of the Act 129 EE&amp;C programs implemented by seven EDCs in Pennsylvania</w:t>
      </w:r>
      <w:r w:rsidR="008E7430">
        <w:t xml:space="preserve"> and reports the status of EDC compliance with the Phase II MWh savings targets</w:t>
      </w:r>
      <w:r w:rsidR="008E7430" w:rsidRPr="00D446B4">
        <w:t xml:space="preserve">. </w:t>
      </w:r>
      <w:r w:rsidRPr="00D446B4">
        <w:t>PY</w:t>
      </w:r>
      <w:r>
        <w:t>7</w:t>
      </w:r>
      <w:r w:rsidRPr="00D446B4">
        <w:t xml:space="preserve"> started </w:t>
      </w:r>
      <w:r>
        <w:t xml:space="preserve">on </w:t>
      </w:r>
      <w:r w:rsidRPr="00D446B4">
        <w:t>June 1, 201</w:t>
      </w:r>
      <w:r>
        <w:t>5</w:t>
      </w:r>
      <w:r w:rsidRPr="00D446B4">
        <w:t xml:space="preserve"> and ended </w:t>
      </w:r>
      <w:r>
        <w:t xml:space="preserve">on </w:t>
      </w:r>
      <w:r w:rsidRPr="00D446B4">
        <w:t>May 31, 201</w:t>
      </w:r>
      <w:r>
        <w:t>6. PY7 is the third year of the three-year period covered by Phase II</w:t>
      </w:r>
      <w:r w:rsidRPr="00D446B4">
        <w:t>.</w:t>
      </w:r>
      <w:r w:rsidR="007329BF">
        <w:rPr>
          <w:rStyle w:val="FootnoteReference"/>
        </w:rPr>
        <w:footnoteReference w:id="6"/>
      </w:r>
      <w:r>
        <w:t xml:space="preserve"> This report also provides information on the Act 129 Phase I </w:t>
      </w:r>
      <w:r w:rsidR="00B83235">
        <w:t>and</w:t>
      </w:r>
      <w:r>
        <w:t xml:space="preserve"> II EDC expenditures, MW</w:t>
      </w:r>
      <w:r w:rsidR="00B83235">
        <w:t>h</w:t>
      </w:r>
      <w:r>
        <w:t xml:space="preserve"> and MW savings, and the acquisition costs </w:t>
      </w:r>
      <w:r w:rsidR="00B83235">
        <w:t xml:space="preserve">per first-year kWh </w:t>
      </w:r>
      <w:r>
        <w:t>saved by program year and EDC.</w:t>
      </w:r>
    </w:p>
    <w:p w:rsidR="007908C2" w:rsidRDefault="007908C2" w:rsidP="007908C2">
      <w:pPr>
        <w:pStyle w:val="bullettext"/>
        <w:spacing w:after="0"/>
      </w:pPr>
      <w:r w:rsidRPr="00D446B4">
        <w:t xml:space="preserve"> </w:t>
      </w:r>
    </w:p>
    <w:p w:rsidR="007908C2" w:rsidRPr="00D446B4" w:rsidRDefault="007908C2" w:rsidP="007908C2">
      <w:pPr>
        <w:pStyle w:val="bullettext"/>
      </w:pPr>
      <w:r w:rsidRPr="00D446B4">
        <w:t xml:space="preserve">The </w:t>
      </w:r>
      <w:r>
        <w:t>SWE contract specifies</w:t>
      </w:r>
      <w:r>
        <w:rPr>
          <w:rStyle w:val="FootnoteReference"/>
        </w:rPr>
        <w:footnoteReference w:id="7"/>
      </w:r>
      <w:r>
        <w:t xml:space="preserve"> that the SWE final annual report for Phase II be completed by February 28, 2017 and must include, but is not limited to, the following:</w:t>
      </w:r>
    </w:p>
    <w:p w:rsidR="007908C2" w:rsidRPr="00F6769E" w:rsidRDefault="007908C2" w:rsidP="00E646C9">
      <w:pPr>
        <w:pStyle w:val="ListParagraph"/>
        <w:numPr>
          <w:ilvl w:val="0"/>
          <w:numId w:val="51"/>
        </w:numPr>
        <w:spacing w:after="120"/>
        <w:ind w:left="360"/>
        <w:contextualSpacing w:val="0"/>
      </w:pPr>
      <w:r w:rsidRPr="00F6769E">
        <w:t>An analysis and reporting of program impacts (demand and energy savings) and cost-effectiveness</w:t>
      </w:r>
    </w:p>
    <w:p w:rsidR="007908C2" w:rsidRPr="00F6769E" w:rsidRDefault="007908C2" w:rsidP="00E646C9">
      <w:pPr>
        <w:pStyle w:val="ListParagraph"/>
        <w:numPr>
          <w:ilvl w:val="0"/>
          <w:numId w:val="51"/>
        </w:numPr>
        <w:spacing w:after="120"/>
        <w:ind w:left="360"/>
        <w:contextualSpacing w:val="0"/>
      </w:pPr>
      <w:r w:rsidRPr="00F6769E">
        <w:t>An analysis and assessment of each EDC’s plan and actual program expenditures</w:t>
      </w:r>
    </w:p>
    <w:p w:rsidR="007908C2" w:rsidRPr="00F6769E" w:rsidRDefault="007908C2" w:rsidP="00E646C9">
      <w:pPr>
        <w:pStyle w:val="ListParagraph"/>
        <w:numPr>
          <w:ilvl w:val="0"/>
          <w:numId w:val="51"/>
        </w:numPr>
        <w:spacing w:after="120"/>
        <w:ind w:left="360"/>
        <w:contextualSpacing w:val="0"/>
      </w:pPr>
      <w:r w:rsidRPr="00F6769E">
        <w:t>An analysis of each EDC’s compliance with Pennsylvania TRM protocols for measurement and verification (M&amp;V) of energy and demand savings attributable to its plan, in accordance with the Commission-adopted TRM and custom measure protocols</w:t>
      </w:r>
    </w:p>
    <w:p w:rsidR="007908C2" w:rsidRPr="00F6769E" w:rsidRDefault="007908C2" w:rsidP="00E646C9">
      <w:pPr>
        <w:pStyle w:val="ListParagraph"/>
        <w:numPr>
          <w:ilvl w:val="0"/>
          <w:numId w:val="51"/>
        </w:numPr>
        <w:spacing w:after="120"/>
        <w:ind w:left="360"/>
        <w:contextualSpacing w:val="0"/>
      </w:pPr>
      <w:r w:rsidRPr="00F6769E">
        <w:t>An analysis of the cost-effectiveness of each EDC’s expenditures in accordance with the latest Commission-adopted TRC Test Order</w:t>
      </w:r>
    </w:p>
    <w:p w:rsidR="007908C2" w:rsidRPr="00F6769E" w:rsidRDefault="007908C2" w:rsidP="00E646C9">
      <w:pPr>
        <w:pStyle w:val="ListParagraph"/>
        <w:numPr>
          <w:ilvl w:val="0"/>
          <w:numId w:val="51"/>
        </w:numPr>
        <w:spacing w:after="120"/>
        <w:ind w:left="360"/>
        <w:contextualSpacing w:val="0"/>
      </w:pPr>
      <w:r w:rsidRPr="00F6769E">
        <w:t>An analysis of TRM information and savings values, with suggestions for possible revisions and additions</w:t>
      </w:r>
    </w:p>
    <w:p w:rsidR="007908C2" w:rsidRPr="00F6769E" w:rsidRDefault="007908C2" w:rsidP="00E646C9">
      <w:pPr>
        <w:pStyle w:val="ListParagraph"/>
        <w:numPr>
          <w:ilvl w:val="0"/>
          <w:numId w:val="51"/>
        </w:numPr>
        <w:spacing w:after="120"/>
        <w:ind w:left="360"/>
        <w:contextualSpacing w:val="0"/>
      </w:pPr>
      <w:r w:rsidRPr="00F6769E">
        <w:lastRenderedPageBreak/>
        <w:t>A review of the</w:t>
      </w:r>
      <w:r w:rsidR="003E12A1" w:rsidRPr="00F6769E">
        <w:t xml:space="preserve"> Commission’s </w:t>
      </w:r>
      <w:r w:rsidRPr="00F6769E">
        <w:t xml:space="preserve">TRC </w:t>
      </w:r>
      <w:r w:rsidR="003E12A1" w:rsidRPr="00F6769E">
        <w:t>T</w:t>
      </w:r>
      <w:r w:rsidRPr="00F6769E">
        <w:t xml:space="preserve">est </w:t>
      </w:r>
      <w:r w:rsidR="003E12A1" w:rsidRPr="00F6769E">
        <w:t>Order</w:t>
      </w:r>
      <w:r w:rsidRPr="00F6769E">
        <w:t>, with suggestions for possible revisions and additions</w:t>
      </w:r>
      <w:r w:rsidR="003E12A1" w:rsidRPr="00F6769E">
        <w:t xml:space="preserve"> to the TRC test</w:t>
      </w:r>
    </w:p>
    <w:p w:rsidR="007908C2" w:rsidRPr="00F6769E" w:rsidRDefault="007908C2" w:rsidP="00E646C9">
      <w:pPr>
        <w:pStyle w:val="ListParagraph"/>
        <w:numPr>
          <w:ilvl w:val="0"/>
          <w:numId w:val="51"/>
        </w:numPr>
        <w:spacing w:after="120"/>
        <w:ind w:left="360"/>
        <w:contextualSpacing w:val="0"/>
      </w:pPr>
      <w:r w:rsidRPr="00F6769E">
        <w:t>A review of any proposed revisions and updates to EDC plans</w:t>
      </w:r>
    </w:p>
    <w:p w:rsidR="007908C2" w:rsidRPr="00F6769E" w:rsidRDefault="007908C2" w:rsidP="00E646C9">
      <w:pPr>
        <w:pStyle w:val="ListParagraph"/>
        <w:numPr>
          <w:ilvl w:val="0"/>
          <w:numId w:val="51"/>
        </w:numPr>
        <w:ind w:left="360"/>
      </w:pPr>
      <w:r w:rsidRPr="00F6769E">
        <w:t>Recommendations for program, EE&amp;C plan, and evaluation plan improvements</w:t>
      </w:r>
    </w:p>
    <w:p w:rsidR="00F6769E" w:rsidRPr="000123A3" w:rsidRDefault="00F6769E" w:rsidP="000123A3">
      <w:bookmarkStart w:id="13" w:name="_Toc472472080"/>
    </w:p>
    <w:p w:rsidR="007908C2" w:rsidRDefault="007908C2" w:rsidP="007908C2">
      <w:pPr>
        <w:pStyle w:val="Heading3"/>
      </w:pPr>
      <w:bookmarkStart w:id="14" w:name="_Toc476913893"/>
      <w:r>
        <w:t>EDC Cost Recovery for Act 129 EE&amp;C Programs</w:t>
      </w:r>
      <w:bookmarkEnd w:id="13"/>
      <w:bookmarkEnd w:id="14"/>
    </w:p>
    <w:p w:rsidR="007908C2" w:rsidRDefault="007908C2" w:rsidP="007908C2">
      <w:r>
        <w:t>Pennsylvania</w:t>
      </w:r>
      <w:r w:rsidRPr="00A257CB">
        <w:t xml:space="preserve"> Act</w:t>
      </w:r>
      <w:r>
        <w:t xml:space="preserve"> 129</w:t>
      </w:r>
      <w:r w:rsidRPr="00A257CB">
        <w:t xml:space="preserve"> allows </w:t>
      </w:r>
      <w:r>
        <w:t>each</w:t>
      </w:r>
      <w:r w:rsidRPr="00A257CB">
        <w:t xml:space="preserve"> EDC to recover, on a full and current basis from customers, through a reconcilable adjustment clause under 66 Pa. C.S. §1307, all reasonable and prudent costs incurred in the provision or management of its </w:t>
      </w:r>
      <w:r>
        <w:t xml:space="preserve">EE&amp;C </w:t>
      </w:r>
      <w:r w:rsidRPr="00A257CB">
        <w:t>plan. The Act also requires that each EDC's plan include a proposed cost</w:t>
      </w:r>
      <w:r>
        <w:t>-</w:t>
      </w:r>
      <w:r w:rsidRPr="00A257CB">
        <w:t xml:space="preserve">recovery tariff mechanism, in accordance with 66 Pa. C.S. §1307 (relating to sliding scale of rates; adjustments), to fund all measures and to ensure a full and current recovery of prudent and reasonable costs, including administrative costs, as approved by the Commission. </w:t>
      </w:r>
    </w:p>
    <w:p w:rsidR="007908C2" w:rsidRDefault="007908C2" w:rsidP="007908C2"/>
    <w:p w:rsidR="007908C2" w:rsidRDefault="007908C2" w:rsidP="007908C2">
      <w:pPr>
        <w:pStyle w:val="Heading3"/>
      </w:pPr>
      <w:bookmarkStart w:id="15" w:name="_Toc472472081"/>
      <w:bookmarkStart w:id="16" w:name="_Toc476913894"/>
      <w:r>
        <w:t>EE&amp;C Program – Phase II Implementation Order</w:t>
      </w:r>
      <w:bookmarkEnd w:id="15"/>
      <w:bookmarkEnd w:id="16"/>
    </w:p>
    <w:p w:rsidR="007908C2" w:rsidRDefault="007908C2" w:rsidP="000F5A29">
      <w:pPr>
        <w:pStyle w:val="p3"/>
        <w:widowControl/>
        <w:tabs>
          <w:tab w:val="clear" w:pos="204"/>
          <w:tab w:val="left" w:pos="720"/>
        </w:tabs>
        <w:spacing w:after="120"/>
        <w:jc w:val="both"/>
        <w:rPr>
          <w:rFonts w:asciiTheme="minorHAnsi" w:hAnsiTheme="minorHAnsi"/>
          <w:sz w:val="22"/>
          <w:szCs w:val="22"/>
        </w:rPr>
      </w:pPr>
      <w:r w:rsidRPr="00FF5EE7">
        <w:rPr>
          <w:rFonts w:asciiTheme="minorHAnsi" w:hAnsiTheme="minorHAnsi"/>
          <w:sz w:val="22"/>
          <w:szCs w:val="22"/>
        </w:rPr>
        <w:t xml:space="preserve">The Commission’s Phase II Implementation Order </w:t>
      </w:r>
      <w:r>
        <w:rPr>
          <w:rFonts w:asciiTheme="minorHAnsi" w:hAnsiTheme="minorHAnsi"/>
          <w:sz w:val="22"/>
          <w:szCs w:val="22"/>
        </w:rPr>
        <w:t xml:space="preserve">established the </w:t>
      </w:r>
      <w:r w:rsidRPr="00FF5EE7">
        <w:rPr>
          <w:rFonts w:asciiTheme="minorHAnsi" w:hAnsiTheme="minorHAnsi"/>
          <w:sz w:val="22"/>
          <w:szCs w:val="22"/>
        </w:rPr>
        <w:t xml:space="preserve">additional incremental reductions in </w:t>
      </w:r>
      <w:r>
        <w:rPr>
          <w:rFonts w:asciiTheme="minorHAnsi" w:hAnsiTheme="minorHAnsi"/>
          <w:sz w:val="22"/>
          <w:szCs w:val="22"/>
        </w:rPr>
        <w:t xml:space="preserve">electricity </w:t>
      </w:r>
      <w:r w:rsidRPr="00FF5EE7">
        <w:rPr>
          <w:rFonts w:asciiTheme="minorHAnsi" w:hAnsiTheme="minorHAnsi"/>
          <w:sz w:val="22"/>
          <w:szCs w:val="22"/>
        </w:rPr>
        <w:t>consumption</w:t>
      </w:r>
      <w:r>
        <w:rPr>
          <w:rFonts w:asciiTheme="minorHAnsi" w:hAnsiTheme="minorHAnsi"/>
          <w:sz w:val="22"/>
          <w:szCs w:val="22"/>
        </w:rPr>
        <w:t xml:space="preserve"> to be achieved by the end of Phase II by each of the seven EDCs subject to Act 129,</w:t>
      </w:r>
      <w:r w:rsidRPr="00FF5EE7">
        <w:rPr>
          <w:rFonts w:asciiTheme="minorHAnsi" w:hAnsiTheme="minorHAnsi"/>
          <w:sz w:val="22"/>
          <w:szCs w:val="22"/>
        </w:rPr>
        <w:t xml:space="preserve"> establish</w:t>
      </w:r>
      <w:r>
        <w:rPr>
          <w:rFonts w:asciiTheme="minorHAnsi" w:hAnsiTheme="minorHAnsi"/>
          <w:sz w:val="22"/>
          <w:szCs w:val="22"/>
        </w:rPr>
        <w:t>ed</w:t>
      </w:r>
      <w:r w:rsidRPr="00FF5EE7">
        <w:rPr>
          <w:rFonts w:asciiTheme="minorHAnsi" w:hAnsiTheme="minorHAnsi"/>
          <w:sz w:val="22"/>
          <w:szCs w:val="22"/>
        </w:rPr>
        <w:t xml:space="preserve"> the standards </w:t>
      </w:r>
      <w:r>
        <w:rPr>
          <w:rFonts w:asciiTheme="minorHAnsi" w:hAnsiTheme="minorHAnsi"/>
          <w:sz w:val="22"/>
          <w:szCs w:val="22"/>
        </w:rPr>
        <w:t xml:space="preserve">that </w:t>
      </w:r>
      <w:r w:rsidRPr="00FF5EE7">
        <w:rPr>
          <w:rFonts w:asciiTheme="minorHAnsi" w:hAnsiTheme="minorHAnsi"/>
          <w:sz w:val="22"/>
          <w:szCs w:val="22"/>
        </w:rPr>
        <w:t>each</w:t>
      </w:r>
      <w:r>
        <w:rPr>
          <w:rFonts w:asciiTheme="minorHAnsi" w:hAnsiTheme="minorHAnsi"/>
          <w:sz w:val="22"/>
          <w:szCs w:val="22"/>
        </w:rPr>
        <w:t xml:space="preserve"> EDC’s EE&amp;C plan for Phase II</w:t>
      </w:r>
      <w:r w:rsidRPr="00FF5EE7">
        <w:rPr>
          <w:rFonts w:asciiTheme="minorHAnsi" w:hAnsiTheme="minorHAnsi"/>
          <w:sz w:val="22"/>
          <w:szCs w:val="22"/>
        </w:rPr>
        <w:t xml:space="preserve"> must meet</w:t>
      </w:r>
      <w:r>
        <w:rPr>
          <w:rFonts w:asciiTheme="minorHAnsi" w:hAnsiTheme="minorHAnsi"/>
          <w:sz w:val="22"/>
          <w:szCs w:val="22"/>
        </w:rPr>
        <w:t>,</w:t>
      </w:r>
      <w:r w:rsidRPr="00FF5EE7">
        <w:rPr>
          <w:rFonts w:asciiTheme="minorHAnsi" w:hAnsiTheme="minorHAnsi"/>
          <w:sz w:val="22"/>
          <w:szCs w:val="22"/>
        </w:rPr>
        <w:t xml:space="preserve"> and provide</w:t>
      </w:r>
      <w:r>
        <w:rPr>
          <w:rFonts w:asciiTheme="minorHAnsi" w:hAnsiTheme="minorHAnsi"/>
          <w:sz w:val="22"/>
          <w:szCs w:val="22"/>
        </w:rPr>
        <w:t>d</w:t>
      </w:r>
      <w:r w:rsidRPr="00FF5EE7">
        <w:rPr>
          <w:rFonts w:asciiTheme="minorHAnsi" w:hAnsiTheme="minorHAnsi"/>
          <w:sz w:val="22"/>
          <w:szCs w:val="22"/>
        </w:rPr>
        <w:t xml:space="preserve"> guidance on the procedures to be followed for </w:t>
      </w:r>
      <w:r>
        <w:rPr>
          <w:rFonts w:asciiTheme="minorHAnsi" w:hAnsiTheme="minorHAnsi"/>
          <w:sz w:val="22"/>
          <w:szCs w:val="22"/>
        </w:rPr>
        <w:t xml:space="preserve">the </w:t>
      </w:r>
      <w:r w:rsidRPr="00FF5EE7">
        <w:rPr>
          <w:rFonts w:asciiTheme="minorHAnsi" w:hAnsiTheme="minorHAnsi"/>
          <w:sz w:val="22"/>
          <w:szCs w:val="22"/>
        </w:rPr>
        <w:t>submittal, review</w:t>
      </w:r>
      <w:r>
        <w:rPr>
          <w:rFonts w:asciiTheme="minorHAnsi" w:hAnsiTheme="minorHAnsi"/>
          <w:sz w:val="22"/>
          <w:szCs w:val="22"/>
        </w:rPr>
        <w:t>,</w:t>
      </w:r>
      <w:r w:rsidRPr="00FF5EE7">
        <w:rPr>
          <w:rFonts w:asciiTheme="minorHAnsi" w:hAnsiTheme="minorHAnsi"/>
          <w:sz w:val="22"/>
          <w:szCs w:val="22"/>
        </w:rPr>
        <w:t xml:space="preserve"> and approval of all aspects of EE&amp;C plans for Phase II of the </w:t>
      </w:r>
      <w:r>
        <w:rPr>
          <w:rFonts w:asciiTheme="minorHAnsi" w:hAnsiTheme="minorHAnsi"/>
          <w:sz w:val="22"/>
          <w:szCs w:val="22"/>
        </w:rPr>
        <w:t xml:space="preserve">Act 129 </w:t>
      </w:r>
      <w:r w:rsidRPr="00FF5EE7">
        <w:rPr>
          <w:rFonts w:asciiTheme="minorHAnsi" w:hAnsiTheme="minorHAnsi"/>
          <w:sz w:val="22"/>
          <w:szCs w:val="22"/>
        </w:rPr>
        <w:t>program</w:t>
      </w:r>
      <w:r>
        <w:rPr>
          <w:rFonts w:asciiTheme="minorHAnsi" w:hAnsiTheme="minorHAnsi"/>
          <w:sz w:val="22"/>
          <w:szCs w:val="22"/>
        </w:rPr>
        <w:t>s</w:t>
      </w:r>
      <w:r w:rsidRPr="00FF5EE7">
        <w:rPr>
          <w:rFonts w:asciiTheme="minorHAnsi" w:hAnsiTheme="minorHAnsi"/>
          <w:sz w:val="22"/>
          <w:szCs w:val="22"/>
        </w:rPr>
        <w:t>.</w:t>
      </w:r>
      <w:r>
        <w:rPr>
          <w:rFonts w:asciiTheme="minorHAnsi" w:hAnsiTheme="minorHAnsi"/>
          <w:sz w:val="22"/>
          <w:szCs w:val="22"/>
        </w:rPr>
        <w:t xml:space="preserve"> Listed below are the ke</w:t>
      </w:r>
      <w:r w:rsidR="00837B85">
        <w:rPr>
          <w:rFonts w:asciiTheme="minorHAnsi" w:hAnsiTheme="minorHAnsi"/>
          <w:sz w:val="22"/>
          <w:szCs w:val="22"/>
        </w:rPr>
        <w:t>y elements of the August 3, 2012</w:t>
      </w:r>
      <w:r>
        <w:rPr>
          <w:rFonts w:asciiTheme="minorHAnsi" w:hAnsiTheme="minorHAnsi"/>
          <w:sz w:val="22"/>
          <w:szCs w:val="22"/>
        </w:rPr>
        <w:t xml:space="preserve"> Phase II Implementation Order:</w:t>
      </w:r>
    </w:p>
    <w:p w:rsidR="007908C2" w:rsidRDefault="007908C2" w:rsidP="00E646C9">
      <w:pPr>
        <w:pStyle w:val="ListParagraph"/>
        <w:numPr>
          <w:ilvl w:val="0"/>
          <w:numId w:val="45"/>
        </w:numPr>
        <w:ind w:left="360"/>
      </w:pPr>
      <w:r>
        <w:t>Established</w:t>
      </w:r>
      <w:r w:rsidRPr="00FF5EE7">
        <w:t xml:space="preserve"> the Phase II </w:t>
      </w:r>
      <w:r>
        <w:t>EE&amp;C</w:t>
      </w:r>
      <w:r w:rsidRPr="00FF5EE7">
        <w:t xml:space="preserve"> program as outlined in this Implementation Order.</w:t>
      </w:r>
    </w:p>
    <w:p w:rsidR="007908C2" w:rsidRDefault="007908C2" w:rsidP="00E646C9">
      <w:pPr>
        <w:pStyle w:val="ListParagraph"/>
        <w:numPr>
          <w:ilvl w:val="0"/>
          <w:numId w:val="45"/>
        </w:numPr>
        <w:ind w:left="360"/>
      </w:pPr>
      <w:r>
        <w:t>Tentatively adopted</w:t>
      </w:r>
      <w:r w:rsidRPr="00FF5EE7">
        <w:t xml:space="preserve"> the </w:t>
      </w:r>
      <w:r>
        <w:t>EDC</w:t>
      </w:r>
      <w:r w:rsidR="001B7999">
        <w:t>-</w:t>
      </w:r>
      <w:r w:rsidRPr="00FF5EE7">
        <w:t>specific consumption reduction targets set forth in Table 1 in Section A.2.c.1. of this Implementation Order. These co</w:t>
      </w:r>
      <w:r>
        <w:t>nsumption reduction targets were to</w:t>
      </w:r>
      <w:r w:rsidRPr="00FF5EE7">
        <w:t xml:space="preserve"> become final for any covered </w:t>
      </w:r>
      <w:r>
        <w:t>EDC</w:t>
      </w:r>
      <w:r w:rsidRPr="00FF5EE7">
        <w:t xml:space="preserve"> that </w:t>
      </w:r>
      <w:r w:rsidR="00371E06">
        <w:t>did</w:t>
      </w:r>
      <w:r w:rsidRPr="00FF5EE7">
        <w:t xml:space="preserve"> not petition the Commission for an evidentiary hearing by August 20, </w:t>
      </w:r>
      <w:r w:rsidR="001B7999" w:rsidRPr="00FF5EE7">
        <w:t>2012</w:t>
      </w:r>
      <w:r w:rsidRPr="00FF5EE7">
        <w:t>.</w:t>
      </w:r>
    </w:p>
    <w:p w:rsidR="007908C2" w:rsidRPr="00FF5EE7" w:rsidRDefault="007908C2" w:rsidP="00E646C9">
      <w:pPr>
        <w:pStyle w:val="ListParagraph"/>
        <w:numPr>
          <w:ilvl w:val="0"/>
          <w:numId w:val="45"/>
        </w:numPr>
        <w:ind w:left="360"/>
      </w:pPr>
      <w:r>
        <w:t>Stated that</w:t>
      </w:r>
      <w:r w:rsidRPr="00FF5EE7">
        <w:t xml:space="preserve"> if an </w:t>
      </w:r>
      <w:r>
        <w:t>EDC filed</w:t>
      </w:r>
      <w:r w:rsidRPr="00FF5EE7">
        <w:t xml:space="preserve"> a petition for an evidentiary hearing</w:t>
      </w:r>
      <w:r>
        <w:t>,</w:t>
      </w:r>
      <w:r w:rsidRPr="00FF5EE7">
        <w:t xml:space="preserve"> the matter </w:t>
      </w:r>
      <w:r w:rsidR="00371E06">
        <w:t xml:space="preserve">would </w:t>
      </w:r>
      <w:r w:rsidRPr="00FF5EE7">
        <w:t>be referred to the Office of Administrative Law Judge for hearings</w:t>
      </w:r>
      <w:r>
        <w:t>,</w:t>
      </w:r>
      <w:r w:rsidRPr="00FF5EE7">
        <w:t xml:space="preserve"> with the record being certified to the Commission by November 2</w:t>
      </w:r>
      <w:r w:rsidR="001B7999" w:rsidRPr="00FF5EE7">
        <w:t>, 2012</w:t>
      </w:r>
      <w:r w:rsidRPr="00FF5EE7">
        <w:t xml:space="preserve">. Any party seeking to intervene in any such proceeding </w:t>
      </w:r>
      <w:r>
        <w:t>was ordered to</w:t>
      </w:r>
      <w:r w:rsidRPr="00FF5EE7">
        <w:t xml:space="preserve"> file a Petition for Intervention with</w:t>
      </w:r>
      <w:r>
        <w:t>in</w:t>
      </w:r>
      <w:r w:rsidRPr="00FF5EE7">
        <w:t xml:space="preserve"> 10 days of an </w:t>
      </w:r>
      <w:r>
        <w:t>EDC</w:t>
      </w:r>
      <w:r w:rsidRPr="00FF5EE7">
        <w:t xml:space="preserve"> filing a petition for an evidentiary hearing. </w:t>
      </w:r>
    </w:p>
    <w:p w:rsidR="007908C2" w:rsidRPr="00FF5EE7" w:rsidRDefault="007908C2" w:rsidP="00E646C9">
      <w:pPr>
        <w:pStyle w:val="ListParagraph"/>
        <w:numPr>
          <w:ilvl w:val="0"/>
          <w:numId w:val="45"/>
        </w:numPr>
        <w:ind w:left="360"/>
      </w:pPr>
      <w:r>
        <w:t>Ordered that Pennsylvania EDCs</w:t>
      </w:r>
      <w:r w:rsidRPr="00FF5EE7">
        <w:t xml:space="preserve"> with at least 100,000 customers </w:t>
      </w:r>
      <w:r>
        <w:t xml:space="preserve">must </w:t>
      </w:r>
      <w:r w:rsidRPr="00FF5EE7">
        <w:t xml:space="preserve">adhere to the schedule for submission and filing requirements for </w:t>
      </w:r>
      <w:r>
        <w:t>Phase II EE&amp;C</w:t>
      </w:r>
      <w:r w:rsidRPr="00FF5EE7">
        <w:t xml:space="preserve"> plans identified in this Implementation Order.</w:t>
      </w:r>
    </w:p>
    <w:p w:rsidR="007908C2" w:rsidRPr="00FF5EE7" w:rsidRDefault="007908C2" w:rsidP="00E646C9">
      <w:pPr>
        <w:pStyle w:val="ListParagraph"/>
        <w:numPr>
          <w:ilvl w:val="0"/>
          <w:numId w:val="45"/>
        </w:numPr>
        <w:ind w:left="360"/>
      </w:pPr>
      <w:r>
        <w:t>Ordered t</w:t>
      </w:r>
      <w:r w:rsidRPr="00FF5EE7">
        <w:t xml:space="preserve">hat the Commission staff shall have delegated authority to review and approve </w:t>
      </w:r>
      <w:r>
        <w:t>EDC-</w:t>
      </w:r>
      <w:r w:rsidRPr="00FF5EE7">
        <w:t xml:space="preserve">proposed conservation service provider </w:t>
      </w:r>
      <w:r>
        <w:t xml:space="preserve">(CSP) </w:t>
      </w:r>
      <w:r w:rsidRPr="00FF5EE7">
        <w:t>bidding processes, as set forth in Section H of this Implementation Order. Such staff determination shall be the final determination of the Commission unless appealed to the full Commission within 20 days, per 52 Pa. Code §5.44.</w:t>
      </w:r>
    </w:p>
    <w:p w:rsidR="007908C2" w:rsidRPr="00FF5EE7" w:rsidRDefault="007908C2" w:rsidP="00E646C9">
      <w:pPr>
        <w:pStyle w:val="ListParagraph"/>
        <w:numPr>
          <w:ilvl w:val="0"/>
          <w:numId w:val="45"/>
        </w:numPr>
        <w:ind w:left="360"/>
      </w:pPr>
      <w:r>
        <w:t>Ordered t</w:t>
      </w:r>
      <w:r w:rsidRPr="00FF5EE7">
        <w:t xml:space="preserve">hat the Commission staff shall have delegated authority to review and approve contracts between </w:t>
      </w:r>
      <w:r>
        <w:t>EDCs</w:t>
      </w:r>
      <w:r w:rsidRPr="00FF5EE7">
        <w:t xml:space="preserve"> and </w:t>
      </w:r>
      <w:r>
        <w:t>CSPs</w:t>
      </w:r>
      <w:r w:rsidRPr="00FF5EE7">
        <w:t>, as set forth in Section H of this Implementation Order. Such staff determinations shall be the final determination of the Commission unless appealed to the full Commission within 20 days, per 52 Pa. Code §5.44.</w:t>
      </w:r>
    </w:p>
    <w:p w:rsidR="007908C2" w:rsidRPr="00FF5EE7" w:rsidRDefault="007908C2" w:rsidP="00E646C9">
      <w:pPr>
        <w:pStyle w:val="ListParagraph"/>
        <w:numPr>
          <w:ilvl w:val="0"/>
          <w:numId w:val="45"/>
        </w:numPr>
        <w:ind w:left="360"/>
      </w:pPr>
      <w:r>
        <w:t>Ordered t</w:t>
      </w:r>
      <w:r w:rsidRPr="00FF5EE7">
        <w:t xml:space="preserve">hat the Commission staff shall have delegated authority to review and approve minor </w:t>
      </w:r>
      <w:r>
        <w:t>EE&amp;C</w:t>
      </w:r>
      <w:r w:rsidRPr="00FF5EE7">
        <w:t xml:space="preserve"> plan changes in accordance with the procedures set forth in Section G of this Implementation Order and this Commission’s </w:t>
      </w:r>
      <w:r w:rsidR="001B7999" w:rsidRPr="00FF5EE7">
        <w:t xml:space="preserve">June 10, 2011 </w:t>
      </w:r>
      <w:r w:rsidRPr="00FF5EE7">
        <w:t>Final Order</w:t>
      </w:r>
      <w:r w:rsidR="00EB6C59">
        <w:t xml:space="preserve"> in</w:t>
      </w:r>
      <w:r w:rsidRPr="00FF5EE7">
        <w:t xml:space="preserve"> Docket Number M-2008-2069887.</w:t>
      </w:r>
    </w:p>
    <w:p w:rsidR="007908C2" w:rsidRPr="00FF5EE7" w:rsidRDefault="007908C2" w:rsidP="00E646C9">
      <w:pPr>
        <w:pStyle w:val="ListParagraph"/>
        <w:numPr>
          <w:ilvl w:val="0"/>
          <w:numId w:val="45"/>
        </w:numPr>
        <w:ind w:left="360"/>
      </w:pPr>
      <w:r>
        <w:t>Ordered t</w:t>
      </w:r>
      <w:r w:rsidRPr="00FF5EE7">
        <w:t xml:space="preserve">hat the Commission’s Bureau of Consumer Services and Bureau of Technical Utility Services </w:t>
      </w:r>
      <w:r>
        <w:t xml:space="preserve">(TUS) </w:t>
      </w:r>
      <w:r w:rsidRPr="00FF5EE7">
        <w:t xml:space="preserve">initiate a working group to investigate best practices from other states and identify working models for on-bill financing and on-bill repayment that address the concerns of all interested stakeholders.  </w:t>
      </w:r>
    </w:p>
    <w:p w:rsidR="007908C2" w:rsidRPr="00FF5EE7" w:rsidRDefault="007908C2" w:rsidP="00E646C9">
      <w:pPr>
        <w:pStyle w:val="ListParagraph"/>
        <w:numPr>
          <w:ilvl w:val="0"/>
          <w:numId w:val="45"/>
        </w:numPr>
        <w:ind w:left="360"/>
      </w:pPr>
      <w:r>
        <w:lastRenderedPageBreak/>
        <w:t>Ordered t</w:t>
      </w:r>
      <w:r w:rsidRPr="00FF5EE7">
        <w:t xml:space="preserve">hat the staff of the Commission’s </w:t>
      </w:r>
      <w:r>
        <w:t>TUS</w:t>
      </w:r>
      <w:r w:rsidRPr="00FF5EE7">
        <w:t xml:space="preserve"> coordinate with the </w:t>
      </w:r>
      <w:r>
        <w:t>EDCs</w:t>
      </w:r>
      <w:r w:rsidRPr="00FF5EE7">
        <w:t xml:space="preserve"> to add a line item to their quarterly and annual reports that notes energy savings over-compliance from Phase I.</w:t>
      </w:r>
    </w:p>
    <w:p w:rsidR="007908C2" w:rsidRPr="00FF5EE7" w:rsidRDefault="007908C2" w:rsidP="00E646C9">
      <w:pPr>
        <w:pStyle w:val="ListParagraph"/>
        <w:numPr>
          <w:ilvl w:val="0"/>
          <w:numId w:val="45"/>
        </w:numPr>
        <w:ind w:left="360"/>
      </w:pPr>
      <w:r>
        <w:t>Ordered t</w:t>
      </w:r>
      <w:r w:rsidRPr="00FF5EE7">
        <w:t>hat any directive, requirement, disposition</w:t>
      </w:r>
      <w:r>
        <w:t>,</w:t>
      </w:r>
      <w:r w:rsidRPr="00FF5EE7">
        <w:t xml:space="preserve"> or the like contained in the body of this Opinion and Order that is not the subject of an individual Ordering Paragraph, shall have the full force and effect as if fully contained in this part.</w:t>
      </w:r>
    </w:p>
    <w:p w:rsidR="007908C2" w:rsidRPr="00FF5EE7" w:rsidRDefault="007908C2" w:rsidP="007908C2">
      <w:pPr>
        <w:pStyle w:val="p3"/>
        <w:widowControl/>
        <w:tabs>
          <w:tab w:val="clear" w:pos="204"/>
          <w:tab w:val="left" w:pos="720"/>
        </w:tabs>
        <w:jc w:val="both"/>
        <w:rPr>
          <w:rFonts w:asciiTheme="minorHAnsi" w:hAnsiTheme="minorHAnsi"/>
          <w:sz w:val="22"/>
          <w:szCs w:val="22"/>
        </w:rPr>
      </w:pPr>
    </w:p>
    <w:p w:rsidR="007908C2" w:rsidRDefault="007908C2" w:rsidP="007908C2">
      <w:pPr>
        <w:pStyle w:val="Heading3"/>
      </w:pPr>
      <w:bookmarkStart w:id="17" w:name="_Toc472472082"/>
      <w:bookmarkStart w:id="18" w:name="_Toc476913895"/>
      <w:r>
        <w:t>Statewide Evaluator</w:t>
      </w:r>
      <w:bookmarkEnd w:id="17"/>
      <w:bookmarkEnd w:id="18"/>
    </w:p>
    <w:p w:rsidR="007908C2" w:rsidRDefault="007908C2" w:rsidP="007908C2">
      <w:r>
        <w:t>The Commission’s contract for the SWE for Phase II provides the scope of work for the Phase II SWE. The scope of work for the Phase II SWE is summarized on page 25 of this contract and states the following:</w:t>
      </w:r>
    </w:p>
    <w:p w:rsidR="007908C2" w:rsidRDefault="007908C2" w:rsidP="007908C2"/>
    <w:p w:rsidR="007908C2" w:rsidRDefault="007908C2" w:rsidP="007908C2">
      <w:pPr>
        <w:ind w:left="720" w:right="720"/>
      </w:pPr>
      <w:r>
        <w:t>“The Commission is issuing this RFP to retain the services of a statewide contractor for Phase II EE&amp;C Plans who will monitor and verify EDC data collection, quality assurance processes and performance of EDC’s EE&amp;C programs. This contractor will also evaluate each EDC plan results on an annual basis and the entire EE&amp;C program as a whole. This evaluation will include an evaluation of plan impacts (energy savings) and cost effectiveness, report results and provide recommendations for plan and program improvements. The Statewide contractor will produce an accurate assessment of the future potential for energy savings through market potential assessments.”</w:t>
      </w:r>
    </w:p>
    <w:p w:rsidR="007908C2" w:rsidRDefault="007908C2" w:rsidP="007908C2"/>
    <w:p w:rsidR="007908C2" w:rsidRDefault="007908C2" w:rsidP="007908C2">
      <w:r>
        <w:t xml:space="preserve">Further details pertaining to the entire scope of work and deliverables for the Phase II SWE can be located on the Commission’s website, at </w:t>
      </w:r>
      <w:hyperlink r:id="rId32" w:history="1">
        <w:r w:rsidRPr="0070359C">
          <w:rPr>
            <w:rStyle w:val="Hyperlink"/>
          </w:rPr>
          <w:t>www.puc.pa.gov/Electric/pdf/Act129/SWE_RFP_2012.pdf</w:t>
        </w:r>
      </w:hyperlink>
      <w:r>
        <w:t>.</w:t>
      </w:r>
    </w:p>
    <w:p w:rsidR="00AC1A6C" w:rsidRPr="00AC1A6C" w:rsidRDefault="00AC1A6C" w:rsidP="00AC1A6C"/>
    <w:p w:rsidR="008515C7" w:rsidRPr="008515C7" w:rsidRDefault="008515C7" w:rsidP="00472B27">
      <w:pPr>
        <w:pStyle w:val="Heading2"/>
      </w:pPr>
      <w:bookmarkStart w:id="19" w:name="_Toc472472083"/>
      <w:bookmarkStart w:id="20" w:name="_Toc476913896"/>
      <w:r w:rsidRPr="008515C7">
        <w:t>SWE S</w:t>
      </w:r>
      <w:r w:rsidR="00957B51">
        <w:t>ummary of Activiities</w:t>
      </w:r>
      <w:bookmarkEnd w:id="19"/>
      <w:bookmarkEnd w:id="20"/>
    </w:p>
    <w:p w:rsidR="00F73191" w:rsidRPr="008A5E9E" w:rsidRDefault="00F73191" w:rsidP="00F73191">
      <w:pPr>
        <w:pStyle w:val="bullettext"/>
        <w:rPr>
          <w:highlight w:val="lightGray"/>
        </w:rPr>
      </w:pPr>
      <w:r w:rsidRPr="009E1D22">
        <w:t>The evaluation activities</w:t>
      </w:r>
      <w:r>
        <w:t xml:space="preserve"> of the Phase II SWE Team</w:t>
      </w:r>
      <w:r w:rsidRPr="009E1D22">
        <w:t xml:space="preserve"> address the following topics, which are discussed in</w:t>
      </w:r>
      <w:r>
        <w:t xml:space="preserve"> detail in</w:t>
      </w:r>
      <w:r w:rsidRPr="009E1D22">
        <w:t xml:space="preserve"> this </w:t>
      </w:r>
      <w:r w:rsidR="001B7999">
        <w:t>Phase II final</w:t>
      </w:r>
      <w:r w:rsidRPr="009E1D22">
        <w:t xml:space="preserve"> </w:t>
      </w:r>
      <w:r>
        <w:t>r</w:t>
      </w:r>
      <w:r w:rsidRPr="009E1D22">
        <w:t>eport:</w:t>
      </w:r>
    </w:p>
    <w:p w:rsidR="00F73191" w:rsidRPr="00F6769E" w:rsidRDefault="00F73191" w:rsidP="00E646C9">
      <w:pPr>
        <w:pStyle w:val="ListParagraph"/>
        <w:numPr>
          <w:ilvl w:val="0"/>
          <w:numId w:val="52"/>
        </w:numPr>
        <w:spacing w:after="120"/>
        <w:ind w:left="360"/>
        <w:contextualSpacing w:val="0"/>
      </w:pPr>
      <w:r w:rsidRPr="00F6769E">
        <w:t xml:space="preserve">Assessment of whether EDCs met the Act 129 Phase II three-year energy efficiency reduction compliance targets </w:t>
      </w:r>
    </w:p>
    <w:p w:rsidR="00F73191" w:rsidRPr="00F6769E" w:rsidRDefault="00F73191" w:rsidP="00E646C9">
      <w:pPr>
        <w:pStyle w:val="ListParagraph"/>
        <w:numPr>
          <w:ilvl w:val="0"/>
          <w:numId w:val="52"/>
        </w:numPr>
        <w:spacing w:after="120"/>
        <w:ind w:left="360"/>
        <w:contextualSpacing w:val="0"/>
      </w:pPr>
      <w:r w:rsidRPr="00F6769E">
        <w:t>Determination of the accuracy of reported MWh and MW savings of Phase II EE&amp;C programs</w:t>
      </w:r>
    </w:p>
    <w:p w:rsidR="00F73191" w:rsidRPr="00F6769E" w:rsidRDefault="00F73191" w:rsidP="00E646C9">
      <w:pPr>
        <w:pStyle w:val="ListParagraph"/>
        <w:numPr>
          <w:ilvl w:val="0"/>
          <w:numId w:val="52"/>
        </w:numPr>
        <w:spacing w:after="120"/>
        <w:ind w:left="360"/>
        <w:contextualSpacing w:val="0"/>
      </w:pPr>
      <w:r w:rsidRPr="00F6769E">
        <w:t>Discussion of the SWE Team’s methodology and approach to developing its findings and recommendations relative to processes, review of reported MWh and MW savings values, and review of reported TRC ratio values</w:t>
      </w:r>
    </w:p>
    <w:p w:rsidR="00F73191" w:rsidRPr="00F6769E" w:rsidRDefault="00F73191" w:rsidP="00E646C9">
      <w:pPr>
        <w:pStyle w:val="ListParagraph"/>
        <w:numPr>
          <w:ilvl w:val="0"/>
          <w:numId w:val="52"/>
        </w:numPr>
        <w:spacing w:after="120"/>
        <w:ind w:left="360"/>
        <w:contextualSpacing w:val="0"/>
      </w:pPr>
      <w:r w:rsidRPr="00F6769E">
        <w:t>Key qualitative findings and recommendations related to programs and M&amp;V processes based on observations, on-site inspections of energy efficiency project installation sites, and data review and analysis</w:t>
      </w:r>
    </w:p>
    <w:p w:rsidR="00F73191" w:rsidRPr="00F6769E" w:rsidRDefault="00F73191" w:rsidP="00E646C9">
      <w:pPr>
        <w:pStyle w:val="ListParagraph"/>
        <w:numPr>
          <w:ilvl w:val="0"/>
          <w:numId w:val="52"/>
        </w:numPr>
        <w:spacing w:after="120"/>
        <w:ind w:left="360"/>
        <w:contextualSpacing w:val="0"/>
      </w:pPr>
      <w:r w:rsidRPr="00F6769E">
        <w:t>Findings and recommendations related to evaluation, measurement, and verification (EM&amp;V) processes and practices by program and EDC</w:t>
      </w:r>
    </w:p>
    <w:p w:rsidR="00F73191" w:rsidRPr="00F6769E" w:rsidRDefault="00F73191" w:rsidP="00E646C9">
      <w:pPr>
        <w:pStyle w:val="ListParagraph"/>
        <w:numPr>
          <w:ilvl w:val="0"/>
          <w:numId w:val="52"/>
        </w:numPr>
        <w:spacing w:after="120"/>
        <w:ind w:left="360"/>
        <w:contextualSpacing w:val="0"/>
      </w:pPr>
      <w:r w:rsidRPr="00F6769E">
        <w:t>Findings and recommendations relating to each EDC’s program and portfolio cost-effectiveness calculations</w:t>
      </w:r>
    </w:p>
    <w:p w:rsidR="00F73191" w:rsidRPr="00F6769E" w:rsidRDefault="00F73191" w:rsidP="00E646C9">
      <w:pPr>
        <w:pStyle w:val="ListParagraph"/>
        <w:numPr>
          <w:ilvl w:val="0"/>
          <w:numId w:val="52"/>
        </w:numPr>
        <w:spacing w:after="120"/>
        <w:ind w:left="360"/>
        <w:contextualSpacing w:val="0"/>
      </w:pPr>
      <w:r w:rsidRPr="00F6769E">
        <w:t>Quantitative findings and recommendations by program and by EDC</w:t>
      </w:r>
    </w:p>
    <w:p w:rsidR="00F73191" w:rsidRPr="009E1D22" w:rsidRDefault="00F73191" w:rsidP="00E646C9">
      <w:pPr>
        <w:numPr>
          <w:ilvl w:val="0"/>
          <w:numId w:val="53"/>
        </w:numPr>
        <w:ind w:left="360"/>
        <w:rPr>
          <w:rFonts w:cs="Arial"/>
          <w:szCs w:val="20"/>
        </w:rPr>
      </w:pPr>
      <w:r>
        <w:rPr>
          <w:rFonts w:cs="Arial"/>
          <w:szCs w:val="20"/>
        </w:rPr>
        <w:t>S</w:t>
      </w:r>
      <w:r w:rsidRPr="009E1D22">
        <w:rPr>
          <w:rFonts w:cs="Arial"/>
          <w:szCs w:val="20"/>
        </w:rPr>
        <w:t>ummary of findings and recommendations</w:t>
      </w:r>
    </w:p>
    <w:p w:rsidR="00F73191" w:rsidRDefault="00F73191" w:rsidP="00F73191"/>
    <w:p w:rsidR="00DA1ADA" w:rsidRDefault="00DA1ADA" w:rsidP="00F73191"/>
    <w:p w:rsidR="00DA1ADA" w:rsidRDefault="00DA1ADA" w:rsidP="00F73191"/>
    <w:p w:rsidR="00F73191" w:rsidRDefault="00F73191" w:rsidP="00F73191">
      <w:pPr>
        <w:pStyle w:val="Heading3"/>
      </w:pPr>
      <w:bookmarkStart w:id="21" w:name="_Toc445205679"/>
      <w:bookmarkStart w:id="22" w:name="_Toc472472084"/>
      <w:bookmarkStart w:id="23" w:name="_Toc476913897"/>
      <w:r>
        <w:lastRenderedPageBreak/>
        <w:t xml:space="preserve">Summary of Findings and </w:t>
      </w:r>
      <w:bookmarkEnd w:id="21"/>
      <w:r>
        <w:t>Recommendations</w:t>
      </w:r>
      <w:bookmarkEnd w:id="22"/>
      <w:bookmarkEnd w:id="23"/>
    </w:p>
    <w:p w:rsidR="00F73191" w:rsidRPr="00743C18" w:rsidRDefault="00F73191" w:rsidP="00F73191">
      <w:pPr>
        <w:pStyle w:val="bullettext"/>
      </w:pPr>
      <w:r w:rsidRPr="003D41F4">
        <w:t xml:space="preserve">Based on </w:t>
      </w:r>
      <w:r w:rsidRPr="00743C18">
        <w:t>the SWE Team audit activities conducted</w:t>
      </w:r>
      <w:r w:rsidR="00EB6C59" w:rsidRPr="00743C18">
        <w:t xml:space="preserve"> from PY5</w:t>
      </w:r>
      <w:r w:rsidRPr="00743C18">
        <w:t xml:space="preserve"> </w:t>
      </w:r>
      <w:r w:rsidR="00EB6C59" w:rsidRPr="00743C18">
        <w:t>to</w:t>
      </w:r>
      <w:r w:rsidRPr="00743C18">
        <w:t xml:space="preserve"> PY7, the SWE Team makes the following key findings and recommendations to the Commission relating to the Phase II Act 129 energy efficiency and demand response programs. Additional recommendations focused on EDC-specific activities are found in </w:t>
      </w:r>
      <w:r w:rsidR="001B7999" w:rsidRPr="00743C18">
        <w:t>Appendix A</w:t>
      </w:r>
      <w:r w:rsidRPr="00743C18">
        <w:t xml:space="preserve"> of this </w:t>
      </w:r>
      <w:r w:rsidR="001B7999" w:rsidRPr="00743C18">
        <w:t>report</w:t>
      </w:r>
      <w:r w:rsidRPr="00743C18">
        <w:t>.</w:t>
      </w:r>
    </w:p>
    <w:p w:rsidR="00F73191" w:rsidRPr="00743C18" w:rsidRDefault="00F73191" w:rsidP="00D405A7">
      <w:pPr>
        <w:numPr>
          <w:ilvl w:val="0"/>
          <w:numId w:val="23"/>
        </w:numPr>
        <w:spacing w:after="120"/>
        <w:ind w:left="360"/>
        <w:rPr>
          <w:szCs w:val="20"/>
        </w:rPr>
      </w:pPr>
      <w:r w:rsidRPr="00743C18">
        <w:rPr>
          <w:szCs w:val="20"/>
        </w:rPr>
        <w:t>All of the EDCs met their</w:t>
      </w:r>
      <w:r w:rsidRPr="00743C18">
        <w:rPr>
          <w:rFonts w:asciiTheme="minorHAnsi" w:hAnsiTheme="minorHAnsi"/>
          <w:bCs/>
        </w:rPr>
        <w:t xml:space="preserve"> Act 129 Phase II three-year energy efficiency </w:t>
      </w:r>
      <w:r w:rsidR="005B7773" w:rsidRPr="00743C18">
        <w:rPr>
          <w:rFonts w:asciiTheme="minorHAnsi" w:hAnsiTheme="minorHAnsi"/>
          <w:bCs/>
        </w:rPr>
        <w:t xml:space="preserve">overall </w:t>
      </w:r>
      <w:r w:rsidR="00E91F14" w:rsidRPr="00743C18">
        <w:rPr>
          <w:rFonts w:asciiTheme="minorHAnsi" w:hAnsiTheme="minorHAnsi"/>
          <w:bCs/>
        </w:rPr>
        <w:t xml:space="preserve">energy </w:t>
      </w:r>
      <w:r w:rsidRPr="00743C18">
        <w:rPr>
          <w:rFonts w:asciiTheme="minorHAnsi" w:hAnsiTheme="minorHAnsi"/>
          <w:bCs/>
        </w:rPr>
        <w:t xml:space="preserve">reduction compliance target, </w:t>
      </w:r>
      <w:r w:rsidR="005B7773" w:rsidRPr="00743C18">
        <w:rPr>
          <w:rFonts w:asciiTheme="minorHAnsi" w:hAnsiTheme="minorHAnsi"/>
          <w:bCs/>
        </w:rPr>
        <w:t xml:space="preserve">their low-income </w:t>
      </w:r>
      <w:r w:rsidR="00E91F14" w:rsidRPr="00743C18">
        <w:rPr>
          <w:rFonts w:asciiTheme="minorHAnsi" w:hAnsiTheme="minorHAnsi"/>
          <w:bCs/>
        </w:rPr>
        <w:t xml:space="preserve">energy </w:t>
      </w:r>
      <w:r w:rsidR="005B7773" w:rsidRPr="00743C18">
        <w:rPr>
          <w:rFonts w:asciiTheme="minorHAnsi" w:hAnsiTheme="minorHAnsi"/>
          <w:bCs/>
        </w:rPr>
        <w:t>reduction compliance target, their government/non-profit/</w:t>
      </w:r>
      <w:r w:rsidR="00371E06">
        <w:rPr>
          <w:rFonts w:asciiTheme="minorHAnsi" w:hAnsiTheme="minorHAnsi"/>
          <w:bCs/>
        </w:rPr>
        <w:t>institutional (GNI)</w:t>
      </w:r>
      <w:r w:rsidR="005B7773" w:rsidRPr="00743C18">
        <w:rPr>
          <w:rFonts w:asciiTheme="minorHAnsi" w:hAnsiTheme="minorHAnsi"/>
          <w:bCs/>
        </w:rPr>
        <w:t xml:space="preserve"> </w:t>
      </w:r>
      <w:r w:rsidR="00E91F14" w:rsidRPr="00743C18">
        <w:rPr>
          <w:rFonts w:asciiTheme="minorHAnsi" w:hAnsiTheme="minorHAnsi"/>
          <w:bCs/>
        </w:rPr>
        <w:t xml:space="preserve">energy </w:t>
      </w:r>
      <w:r w:rsidR="005B7773" w:rsidRPr="00743C18">
        <w:rPr>
          <w:rFonts w:asciiTheme="minorHAnsi" w:hAnsiTheme="minorHAnsi"/>
          <w:bCs/>
        </w:rPr>
        <w:t xml:space="preserve">reduction compliance target, </w:t>
      </w:r>
      <w:r w:rsidR="007562A7" w:rsidRPr="00743C18">
        <w:rPr>
          <w:rFonts w:asciiTheme="minorHAnsi" w:hAnsiTheme="minorHAnsi"/>
          <w:bCs/>
        </w:rPr>
        <w:t>the</w:t>
      </w:r>
      <w:r w:rsidRPr="00743C18">
        <w:rPr>
          <w:rFonts w:asciiTheme="minorHAnsi" w:hAnsiTheme="minorHAnsi"/>
          <w:bCs/>
        </w:rPr>
        <w:t xml:space="preserve"> percentage of measures offered to low-income program participants</w:t>
      </w:r>
      <w:r w:rsidR="00E91F14" w:rsidRPr="00743C18">
        <w:rPr>
          <w:rFonts w:asciiTheme="minorHAnsi" w:hAnsiTheme="minorHAnsi"/>
          <w:bCs/>
        </w:rPr>
        <w:t xml:space="preserve"> target</w:t>
      </w:r>
      <w:r w:rsidR="00371E06">
        <w:rPr>
          <w:rFonts w:asciiTheme="minorHAnsi" w:hAnsiTheme="minorHAnsi"/>
          <w:bCs/>
        </w:rPr>
        <w:t>,</w:t>
      </w:r>
      <w:r w:rsidRPr="00743C18">
        <w:rPr>
          <w:rFonts w:asciiTheme="minorHAnsi" w:hAnsiTheme="minorHAnsi"/>
          <w:bCs/>
        </w:rPr>
        <w:t xml:space="preserve"> and </w:t>
      </w:r>
      <w:r w:rsidR="005B7773" w:rsidRPr="00743C18">
        <w:rPr>
          <w:rFonts w:asciiTheme="minorHAnsi" w:hAnsiTheme="minorHAnsi"/>
          <w:bCs/>
        </w:rPr>
        <w:t xml:space="preserve">portfolio cost-effectiveness </w:t>
      </w:r>
      <w:r w:rsidR="00E91F14" w:rsidRPr="00743C18">
        <w:rPr>
          <w:rFonts w:asciiTheme="minorHAnsi" w:hAnsiTheme="minorHAnsi"/>
          <w:bCs/>
        </w:rPr>
        <w:t xml:space="preserve">(TRC) </w:t>
      </w:r>
      <w:r w:rsidRPr="00743C18">
        <w:rPr>
          <w:rFonts w:asciiTheme="minorHAnsi" w:hAnsiTheme="minorHAnsi"/>
          <w:bCs/>
        </w:rPr>
        <w:t xml:space="preserve">requirements. </w:t>
      </w:r>
      <w:r w:rsidR="00A70171" w:rsidRPr="00743C18">
        <w:rPr>
          <w:rFonts w:asciiTheme="minorHAnsi" w:hAnsiTheme="minorHAnsi"/>
          <w:bCs/>
        </w:rPr>
        <w:fldChar w:fldCharType="begin"/>
      </w:r>
      <w:r w:rsidR="00A70171" w:rsidRPr="00743C18">
        <w:rPr>
          <w:rFonts w:asciiTheme="minorHAnsi" w:hAnsiTheme="minorHAnsi"/>
          <w:bCs/>
        </w:rPr>
        <w:instrText xml:space="preserve"> REF _Ref472410486 \h </w:instrText>
      </w:r>
      <w:r w:rsidR="00743C18" w:rsidRPr="00743C18">
        <w:rPr>
          <w:rFonts w:asciiTheme="minorHAnsi" w:hAnsiTheme="minorHAnsi"/>
          <w:bCs/>
        </w:rPr>
        <w:instrText xml:space="preserve"> \* MERGEFORMAT </w:instrText>
      </w:r>
      <w:r w:rsidR="00A70171" w:rsidRPr="00743C18">
        <w:rPr>
          <w:rFonts w:asciiTheme="minorHAnsi" w:hAnsiTheme="minorHAnsi"/>
          <w:bCs/>
        </w:rPr>
      </w:r>
      <w:r w:rsidR="00A70171" w:rsidRPr="00743C18">
        <w:rPr>
          <w:rFonts w:asciiTheme="minorHAnsi" w:hAnsiTheme="minorHAnsi"/>
          <w:bCs/>
        </w:rPr>
        <w:fldChar w:fldCharType="separate"/>
      </w:r>
      <w:r w:rsidR="00DA1ADA" w:rsidRPr="00743C18">
        <w:t xml:space="preserve">Table </w:t>
      </w:r>
      <w:r w:rsidR="00DA1ADA">
        <w:rPr>
          <w:noProof/>
        </w:rPr>
        <w:t>1</w:t>
      </w:r>
      <w:r w:rsidR="00DA1ADA">
        <w:rPr>
          <w:noProof/>
        </w:rPr>
        <w:noBreakHyphen/>
        <w:t>2</w:t>
      </w:r>
      <w:r w:rsidR="00A70171" w:rsidRPr="00743C18">
        <w:rPr>
          <w:rFonts w:asciiTheme="minorHAnsi" w:hAnsiTheme="minorHAnsi"/>
          <w:bCs/>
        </w:rPr>
        <w:fldChar w:fldCharType="end"/>
      </w:r>
      <w:r w:rsidRPr="00743C18">
        <w:rPr>
          <w:rFonts w:asciiTheme="minorHAnsi" w:hAnsiTheme="minorHAnsi"/>
          <w:bCs/>
        </w:rPr>
        <w:t xml:space="preserve"> shows the Phase II compliance report by EDC.</w:t>
      </w:r>
    </w:p>
    <w:p w:rsidR="00A70171" w:rsidRPr="00743C18" w:rsidRDefault="00A70171" w:rsidP="00A70171">
      <w:pPr>
        <w:pStyle w:val="Caption"/>
        <w:keepNext/>
      </w:pPr>
      <w:bookmarkStart w:id="24" w:name="_Ref472410486"/>
      <w:bookmarkStart w:id="25" w:name="_Toc472472154"/>
      <w:bookmarkStart w:id="26" w:name="_Toc476913966"/>
      <w:r w:rsidRPr="00743C18">
        <w:t xml:space="preserve">Table </w:t>
      </w:r>
      <w:fldSimple w:instr=" STYLEREF 1 \s ">
        <w:r w:rsidR="00C301D0">
          <w:rPr>
            <w:noProof/>
          </w:rPr>
          <w:t>1</w:t>
        </w:r>
      </w:fldSimple>
      <w:r w:rsidR="00E6042C">
        <w:noBreakHyphen/>
      </w:r>
      <w:fldSimple w:instr=" SEQ Table \* ARABIC \s 1 ">
        <w:r w:rsidR="00C301D0">
          <w:rPr>
            <w:noProof/>
          </w:rPr>
          <w:t>2</w:t>
        </w:r>
      </w:fldSimple>
      <w:bookmarkEnd w:id="24"/>
      <w:r w:rsidRPr="00743C18">
        <w:t>: Phase II EDC Compliance Checklist</w:t>
      </w:r>
      <w:bookmarkEnd w:id="25"/>
      <w:bookmarkEnd w:id="26"/>
    </w:p>
    <w:tbl>
      <w:tblPr>
        <w:tblW w:w="9355" w:type="dxa"/>
        <w:tblLayout w:type="fixed"/>
        <w:tblLook w:val="04A0" w:firstRow="1" w:lastRow="0" w:firstColumn="1" w:lastColumn="0" w:noHBand="0" w:noVBand="1"/>
      </w:tblPr>
      <w:tblGrid>
        <w:gridCol w:w="1525"/>
        <w:gridCol w:w="1566"/>
        <w:gridCol w:w="1566"/>
        <w:gridCol w:w="1566"/>
        <w:gridCol w:w="1566"/>
        <w:gridCol w:w="1566"/>
      </w:tblGrid>
      <w:tr w:rsidR="00A874AC" w:rsidRPr="00743C18" w:rsidTr="00F6769E">
        <w:trPr>
          <w:trHeight w:val="1097"/>
        </w:trPr>
        <w:tc>
          <w:tcPr>
            <w:tcW w:w="1525" w:type="dxa"/>
            <w:tcBorders>
              <w:top w:val="single" w:sz="4" w:space="0" w:color="448A99"/>
              <w:left w:val="single" w:sz="4" w:space="0" w:color="448A99"/>
              <w:bottom w:val="single" w:sz="4" w:space="0" w:color="448A99"/>
              <w:right w:val="single" w:sz="4" w:space="0" w:color="448A99"/>
            </w:tcBorders>
            <w:shd w:val="clear" w:color="000000" w:fill="448A99"/>
            <w:noWrap/>
            <w:vAlign w:val="bottom"/>
            <w:hideMark/>
          </w:tcPr>
          <w:p w:rsidR="003E12A1" w:rsidRPr="00743C18" w:rsidRDefault="003E12A1" w:rsidP="000123A3">
            <w:pPr>
              <w:rPr>
                <w:b/>
                <w:bCs/>
                <w:color w:val="FFFFFF"/>
                <w:sz w:val="20"/>
                <w:szCs w:val="20"/>
              </w:rPr>
            </w:pPr>
            <w:r w:rsidRPr="00743C18">
              <w:rPr>
                <w:b/>
                <w:bCs/>
                <w:color w:val="FFFFFF"/>
                <w:sz w:val="20"/>
                <w:szCs w:val="20"/>
              </w:rPr>
              <w:t>EDC</w:t>
            </w:r>
          </w:p>
        </w:tc>
        <w:tc>
          <w:tcPr>
            <w:tcW w:w="1566" w:type="dxa"/>
            <w:tcBorders>
              <w:top w:val="single" w:sz="4" w:space="0" w:color="448A99"/>
              <w:left w:val="single" w:sz="8" w:space="0" w:color="448A99"/>
              <w:bottom w:val="single" w:sz="4" w:space="0" w:color="448A99"/>
              <w:right w:val="single" w:sz="8" w:space="0" w:color="448A99"/>
            </w:tcBorders>
            <w:shd w:val="clear" w:color="000000" w:fill="448A99"/>
            <w:vAlign w:val="bottom"/>
            <w:hideMark/>
          </w:tcPr>
          <w:p w:rsidR="003E12A1" w:rsidRPr="00743C18" w:rsidRDefault="003E12A1" w:rsidP="000123A3">
            <w:pPr>
              <w:jc w:val="center"/>
              <w:rPr>
                <w:b/>
                <w:bCs/>
                <w:color w:val="FFFFFF"/>
                <w:sz w:val="20"/>
                <w:szCs w:val="20"/>
              </w:rPr>
            </w:pPr>
            <w:r w:rsidRPr="00743C18">
              <w:rPr>
                <w:b/>
                <w:bCs/>
                <w:color w:val="FFFFFF"/>
                <w:sz w:val="20"/>
                <w:szCs w:val="20"/>
              </w:rPr>
              <w:t>Three-Year Overall Energy Reduction Target</w:t>
            </w:r>
          </w:p>
        </w:tc>
        <w:tc>
          <w:tcPr>
            <w:tcW w:w="1566" w:type="dxa"/>
            <w:tcBorders>
              <w:top w:val="single" w:sz="4" w:space="0" w:color="448A99"/>
              <w:left w:val="nil"/>
              <w:bottom w:val="single" w:sz="4" w:space="0" w:color="448A99"/>
              <w:right w:val="single" w:sz="8" w:space="0" w:color="448A99"/>
            </w:tcBorders>
            <w:shd w:val="clear" w:color="000000" w:fill="448A99"/>
            <w:vAlign w:val="bottom"/>
            <w:hideMark/>
          </w:tcPr>
          <w:p w:rsidR="003E12A1" w:rsidRPr="00743C18" w:rsidRDefault="003E12A1" w:rsidP="000123A3">
            <w:pPr>
              <w:jc w:val="center"/>
              <w:rPr>
                <w:b/>
                <w:bCs/>
                <w:color w:val="FFFFFF"/>
                <w:sz w:val="20"/>
                <w:szCs w:val="20"/>
              </w:rPr>
            </w:pPr>
            <w:r w:rsidRPr="00743C18">
              <w:rPr>
                <w:b/>
                <w:bCs/>
                <w:color w:val="FFFFFF"/>
                <w:sz w:val="20"/>
                <w:szCs w:val="20"/>
              </w:rPr>
              <w:t>Met Required Proportion of Measures Offered to Low-Income Customers</w:t>
            </w:r>
          </w:p>
        </w:tc>
        <w:tc>
          <w:tcPr>
            <w:tcW w:w="1566" w:type="dxa"/>
            <w:tcBorders>
              <w:top w:val="single" w:sz="4" w:space="0" w:color="448A99"/>
              <w:left w:val="nil"/>
              <w:bottom w:val="single" w:sz="4" w:space="0" w:color="448A99"/>
              <w:right w:val="nil"/>
            </w:tcBorders>
            <w:shd w:val="clear" w:color="000000" w:fill="448A99"/>
            <w:vAlign w:val="bottom"/>
          </w:tcPr>
          <w:p w:rsidR="003E12A1" w:rsidRPr="00743C18" w:rsidRDefault="003E12A1" w:rsidP="000123A3">
            <w:pPr>
              <w:jc w:val="center"/>
              <w:rPr>
                <w:b/>
                <w:bCs/>
                <w:color w:val="FFFFFF"/>
                <w:sz w:val="20"/>
                <w:szCs w:val="20"/>
              </w:rPr>
            </w:pPr>
            <w:r w:rsidRPr="00743C18">
              <w:rPr>
                <w:b/>
                <w:bCs/>
                <w:color w:val="FFFFFF"/>
                <w:sz w:val="20"/>
                <w:szCs w:val="20"/>
              </w:rPr>
              <w:t>Energy Savings Achieved from Low-Income Sector</w:t>
            </w:r>
          </w:p>
        </w:tc>
        <w:tc>
          <w:tcPr>
            <w:tcW w:w="1566" w:type="dxa"/>
            <w:tcBorders>
              <w:top w:val="single" w:sz="4" w:space="0" w:color="448A99"/>
              <w:left w:val="nil"/>
              <w:bottom w:val="single" w:sz="4" w:space="0" w:color="448A99"/>
              <w:right w:val="single" w:sz="8" w:space="0" w:color="448A99"/>
            </w:tcBorders>
            <w:shd w:val="clear" w:color="000000" w:fill="448A99"/>
            <w:vAlign w:val="bottom"/>
            <w:hideMark/>
          </w:tcPr>
          <w:p w:rsidR="003E12A1" w:rsidRPr="00743C18" w:rsidRDefault="003E12A1" w:rsidP="000123A3">
            <w:pPr>
              <w:jc w:val="center"/>
              <w:rPr>
                <w:b/>
                <w:bCs/>
                <w:color w:val="FFFFFF"/>
                <w:sz w:val="20"/>
                <w:szCs w:val="20"/>
              </w:rPr>
            </w:pPr>
            <w:r w:rsidRPr="00743C18">
              <w:rPr>
                <w:b/>
                <w:bCs/>
                <w:color w:val="FFFFFF"/>
                <w:sz w:val="20"/>
                <w:szCs w:val="20"/>
              </w:rPr>
              <w:t>Energy Savings Achieved from GNI Sector</w:t>
            </w:r>
          </w:p>
        </w:tc>
        <w:tc>
          <w:tcPr>
            <w:tcW w:w="1566" w:type="dxa"/>
            <w:tcBorders>
              <w:top w:val="single" w:sz="4" w:space="0" w:color="448A99"/>
              <w:left w:val="nil"/>
              <w:bottom w:val="single" w:sz="4" w:space="0" w:color="448A99"/>
              <w:right w:val="single" w:sz="4" w:space="0" w:color="448A99"/>
            </w:tcBorders>
            <w:shd w:val="clear" w:color="000000" w:fill="448A99"/>
            <w:vAlign w:val="bottom"/>
            <w:hideMark/>
          </w:tcPr>
          <w:p w:rsidR="003E12A1" w:rsidRPr="00743C18" w:rsidRDefault="003E12A1" w:rsidP="000123A3">
            <w:pPr>
              <w:jc w:val="center"/>
              <w:rPr>
                <w:b/>
                <w:bCs/>
                <w:color w:val="FFFFFF"/>
                <w:sz w:val="20"/>
                <w:szCs w:val="20"/>
              </w:rPr>
            </w:pPr>
            <w:r w:rsidRPr="00743C18">
              <w:rPr>
                <w:b/>
                <w:bCs/>
                <w:color w:val="FFFFFF"/>
                <w:sz w:val="20"/>
                <w:szCs w:val="20"/>
              </w:rPr>
              <w:t>Total Resource Cost Test &gt; 1</w:t>
            </w:r>
          </w:p>
        </w:tc>
      </w:tr>
      <w:tr w:rsidR="00A874AC" w:rsidRPr="00743C18" w:rsidTr="00F6769E">
        <w:trPr>
          <w:trHeight w:val="300"/>
        </w:trPr>
        <w:tc>
          <w:tcPr>
            <w:tcW w:w="1525" w:type="dxa"/>
            <w:tcBorders>
              <w:top w:val="nil"/>
              <w:left w:val="single" w:sz="4" w:space="0" w:color="448A99"/>
              <w:bottom w:val="single" w:sz="4" w:space="0" w:color="448A99"/>
              <w:right w:val="single" w:sz="4" w:space="0" w:color="448A99"/>
            </w:tcBorders>
            <w:shd w:val="clear" w:color="000000" w:fill="D2EAF1"/>
            <w:noWrap/>
            <w:vAlign w:val="center"/>
            <w:hideMark/>
          </w:tcPr>
          <w:p w:rsidR="003E12A1" w:rsidRPr="00743C18" w:rsidRDefault="003E12A1" w:rsidP="003E12A1">
            <w:pPr>
              <w:rPr>
                <w:b/>
                <w:bCs/>
                <w:color w:val="000000"/>
                <w:sz w:val="20"/>
                <w:szCs w:val="20"/>
              </w:rPr>
            </w:pPr>
            <w:r w:rsidRPr="00743C18">
              <w:rPr>
                <w:b/>
                <w:bCs/>
                <w:color w:val="000000"/>
                <w:sz w:val="20"/>
                <w:szCs w:val="20"/>
              </w:rPr>
              <w:t>Duquesne</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nil"/>
              <w:bottom w:val="single" w:sz="4" w:space="0" w:color="448A99"/>
              <w:right w:val="single" w:sz="4" w:space="0" w:color="448A99"/>
            </w:tcBorders>
            <w:shd w:val="clear" w:color="000000" w:fill="D2EAF1"/>
            <w:vAlign w:val="center"/>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single" w:sz="4" w:space="0" w:color="448A99"/>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r>
      <w:tr w:rsidR="00A874AC" w:rsidRPr="00743C18" w:rsidTr="00F6769E">
        <w:trPr>
          <w:trHeight w:val="300"/>
        </w:trPr>
        <w:tc>
          <w:tcPr>
            <w:tcW w:w="1525" w:type="dxa"/>
            <w:tcBorders>
              <w:top w:val="nil"/>
              <w:left w:val="single" w:sz="4" w:space="0" w:color="448A99"/>
              <w:bottom w:val="single" w:sz="4" w:space="0" w:color="448A99"/>
              <w:right w:val="single" w:sz="4" w:space="0" w:color="448A99"/>
            </w:tcBorders>
            <w:shd w:val="clear" w:color="auto" w:fill="auto"/>
            <w:noWrap/>
            <w:vAlign w:val="center"/>
            <w:hideMark/>
          </w:tcPr>
          <w:p w:rsidR="003E12A1" w:rsidRPr="00743C18" w:rsidRDefault="003E12A1" w:rsidP="003E12A1">
            <w:pPr>
              <w:rPr>
                <w:b/>
                <w:bCs/>
                <w:color w:val="000000"/>
                <w:sz w:val="20"/>
                <w:szCs w:val="20"/>
              </w:rPr>
            </w:pPr>
            <w:r w:rsidRPr="00743C18">
              <w:rPr>
                <w:b/>
                <w:bCs/>
                <w:color w:val="000000"/>
                <w:sz w:val="20"/>
                <w:szCs w:val="20"/>
              </w:rPr>
              <w:t>FE: Met-Ed</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nil"/>
              <w:bottom w:val="single" w:sz="4" w:space="0" w:color="448A99"/>
              <w:right w:val="single" w:sz="4" w:space="0" w:color="448A99"/>
            </w:tcBorders>
            <w:vAlign w:val="center"/>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r>
      <w:tr w:rsidR="00A874AC" w:rsidRPr="00743C18" w:rsidTr="00F6769E">
        <w:trPr>
          <w:trHeight w:val="300"/>
        </w:trPr>
        <w:tc>
          <w:tcPr>
            <w:tcW w:w="1525" w:type="dxa"/>
            <w:tcBorders>
              <w:top w:val="nil"/>
              <w:left w:val="single" w:sz="4" w:space="0" w:color="448A99"/>
              <w:bottom w:val="single" w:sz="4" w:space="0" w:color="448A99"/>
              <w:right w:val="single" w:sz="4" w:space="0" w:color="448A99"/>
            </w:tcBorders>
            <w:shd w:val="clear" w:color="000000" w:fill="D2EAF1"/>
            <w:noWrap/>
            <w:vAlign w:val="center"/>
            <w:hideMark/>
          </w:tcPr>
          <w:p w:rsidR="003E12A1" w:rsidRPr="00743C18" w:rsidRDefault="003E12A1" w:rsidP="003E12A1">
            <w:pPr>
              <w:rPr>
                <w:b/>
                <w:bCs/>
                <w:color w:val="000000"/>
                <w:sz w:val="20"/>
                <w:szCs w:val="20"/>
              </w:rPr>
            </w:pPr>
            <w:r w:rsidRPr="00743C18">
              <w:rPr>
                <w:b/>
                <w:bCs/>
                <w:color w:val="000000"/>
                <w:sz w:val="20"/>
                <w:szCs w:val="20"/>
              </w:rPr>
              <w:t>FE: Penelec</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nil"/>
              <w:bottom w:val="single" w:sz="4" w:space="0" w:color="448A99"/>
              <w:right w:val="single" w:sz="4" w:space="0" w:color="448A99"/>
            </w:tcBorders>
            <w:shd w:val="clear" w:color="000000" w:fill="D2EAF1"/>
            <w:vAlign w:val="center"/>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single" w:sz="4" w:space="0" w:color="448A99"/>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r>
      <w:tr w:rsidR="00A874AC" w:rsidRPr="00743C18" w:rsidTr="00F6769E">
        <w:trPr>
          <w:trHeight w:val="300"/>
        </w:trPr>
        <w:tc>
          <w:tcPr>
            <w:tcW w:w="1525" w:type="dxa"/>
            <w:tcBorders>
              <w:top w:val="nil"/>
              <w:left w:val="single" w:sz="4" w:space="0" w:color="448A99"/>
              <w:bottom w:val="single" w:sz="4" w:space="0" w:color="448A99"/>
              <w:right w:val="single" w:sz="4" w:space="0" w:color="448A99"/>
            </w:tcBorders>
            <w:shd w:val="clear" w:color="auto" w:fill="auto"/>
            <w:noWrap/>
            <w:vAlign w:val="center"/>
            <w:hideMark/>
          </w:tcPr>
          <w:p w:rsidR="003E12A1" w:rsidRPr="00743C18" w:rsidRDefault="003E12A1" w:rsidP="003E12A1">
            <w:pPr>
              <w:rPr>
                <w:b/>
                <w:bCs/>
                <w:color w:val="000000"/>
                <w:sz w:val="20"/>
                <w:szCs w:val="20"/>
              </w:rPr>
            </w:pPr>
            <w:r w:rsidRPr="00743C18">
              <w:rPr>
                <w:b/>
                <w:bCs/>
                <w:color w:val="000000"/>
                <w:sz w:val="20"/>
                <w:szCs w:val="20"/>
              </w:rPr>
              <w:t>FE: Penn Power</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nil"/>
              <w:bottom w:val="single" w:sz="4" w:space="0" w:color="448A99"/>
              <w:right w:val="single" w:sz="4" w:space="0" w:color="448A99"/>
            </w:tcBorders>
            <w:vAlign w:val="center"/>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r>
      <w:tr w:rsidR="00A874AC" w:rsidRPr="00743C18" w:rsidTr="00F6769E">
        <w:trPr>
          <w:trHeight w:val="300"/>
        </w:trPr>
        <w:tc>
          <w:tcPr>
            <w:tcW w:w="1525" w:type="dxa"/>
            <w:tcBorders>
              <w:top w:val="nil"/>
              <w:left w:val="single" w:sz="4" w:space="0" w:color="448A99"/>
              <w:bottom w:val="single" w:sz="4" w:space="0" w:color="448A99"/>
              <w:right w:val="single" w:sz="4" w:space="0" w:color="448A99"/>
            </w:tcBorders>
            <w:shd w:val="clear" w:color="000000" w:fill="D2EAF1"/>
            <w:noWrap/>
            <w:vAlign w:val="center"/>
            <w:hideMark/>
          </w:tcPr>
          <w:p w:rsidR="003E12A1" w:rsidRPr="00743C18" w:rsidRDefault="003E12A1" w:rsidP="003E12A1">
            <w:pPr>
              <w:rPr>
                <w:b/>
                <w:bCs/>
                <w:color w:val="000000"/>
                <w:sz w:val="20"/>
                <w:szCs w:val="20"/>
              </w:rPr>
            </w:pPr>
            <w:r w:rsidRPr="00743C18">
              <w:rPr>
                <w:b/>
                <w:bCs/>
                <w:color w:val="000000"/>
                <w:sz w:val="20"/>
                <w:szCs w:val="20"/>
              </w:rPr>
              <w:t>FE: West Penn</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nil"/>
              <w:bottom w:val="single" w:sz="4" w:space="0" w:color="448A99"/>
              <w:right w:val="single" w:sz="4" w:space="0" w:color="448A99"/>
            </w:tcBorders>
            <w:shd w:val="clear" w:color="000000" w:fill="D2EAF1"/>
            <w:vAlign w:val="center"/>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single" w:sz="4" w:space="0" w:color="448A99"/>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r>
      <w:tr w:rsidR="00A874AC" w:rsidRPr="00743C18" w:rsidTr="00F6769E">
        <w:trPr>
          <w:trHeight w:val="300"/>
        </w:trPr>
        <w:tc>
          <w:tcPr>
            <w:tcW w:w="1525" w:type="dxa"/>
            <w:tcBorders>
              <w:top w:val="nil"/>
              <w:left w:val="single" w:sz="4" w:space="0" w:color="448A99"/>
              <w:bottom w:val="single" w:sz="4" w:space="0" w:color="448A99"/>
              <w:right w:val="single" w:sz="4" w:space="0" w:color="448A99"/>
            </w:tcBorders>
            <w:shd w:val="clear" w:color="auto" w:fill="auto"/>
            <w:noWrap/>
            <w:vAlign w:val="center"/>
            <w:hideMark/>
          </w:tcPr>
          <w:p w:rsidR="003E12A1" w:rsidRPr="00743C18" w:rsidRDefault="003E12A1" w:rsidP="003E12A1">
            <w:pPr>
              <w:rPr>
                <w:b/>
                <w:bCs/>
                <w:color w:val="000000"/>
                <w:sz w:val="20"/>
                <w:szCs w:val="20"/>
              </w:rPr>
            </w:pPr>
            <w:r w:rsidRPr="00743C18">
              <w:rPr>
                <w:b/>
                <w:bCs/>
                <w:color w:val="000000"/>
                <w:sz w:val="20"/>
                <w:szCs w:val="20"/>
              </w:rPr>
              <w:t>PECO</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nil"/>
              <w:bottom w:val="single" w:sz="4" w:space="0" w:color="448A99"/>
              <w:right w:val="single" w:sz="4" w:space="0" w:color="448A99"/>
            </w:tcBorders>
            <w:vAlign w:val="center"/>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single" w:sz="4" w:space="0" w:color="448A99"/>
              <w:bottom w:val="single" w:sz="4" w:space="0" w:color="448A99"/>
              <w:right w:val="single" w:sz="4" w:space="0" w:color="448A99"/>
            </w:tcBorders>
            <w:shd w:val="clear" w:color="auto" w:fill="auto"/>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auto" w:fill="auto"/>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r>
      <w:tr w:rsidR="00A874AC" w:rsidRPr="00743C18" w:rsidTr="00F6769E">
        <w:trPr>
          <w:trHeight w:val="300"/>
        </w:trPr>
        <w:tc>
          <w:tcPr>
            <w:tcW w:w="1525" w:type="dxa"/>
            <w:tcBorders>
              <w:top w:val="nil"/>
              <w:left w:val="single" w:sz="4" w:space="0" w:color="448A99"/>
              <w:bottom w:val="single" w:sz="4" w:space="0" w:color="448A99"/>
              <w:right w:val="single" w:sz="4" w:space="0" w:color="448A99"/>
            </w:tcBorders>
            <w:shd w:val="clear" w:color="000000" w:fill="D2EAF1"/>
            <w:noWrap/>
            <w:vAlign w:val="center"/>
            <w:hideMark/>
          </w:tcPr>
          <w:p w:rsidR="003E12A1" w:rsidRPr="00743C18" w:rsidRDefault="003E12A1" w:rsidP="003E12A1">
            <w:pPr>
              <w:rPr>
                <w:b/>
                <w:bCs/>
                <w:color w:val="000000"/>
                <w:sz w:val="20"/>
                <w:szCs w:val="20"/>
              </w:rPr>
            </w:pPr>
            <w:r w:rsidRPr="00743C18">
              <w:rPr>
                <w:b/>
                <w:bCs/>
                <w:color w:val="000000"/>
                <w:sz w:val="20"/>
                <w:szCs w:val="20"/>
              </w:rPr>
              <w:t>PPL</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nil"/>
              <w:bottom w:val="single" w:sz="4" w:space="0" w:color="448A99"/>
              <w:right w:val="single" w:sz="4" w:space="0" w:color="448A99"/>
            </w:tcBorders>
            <w:shd w:val="clear" w:color="000000" w:fill="D2EAF1"/>
            <w:vAlign w:val="center"/>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single" w:sz="4" w:space="0" w:color="448A99"/>
              <w:left w:val="single" w:sz="4" w:space="0" w:color="448A99"/>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c>
          <w:tcPr>
            <w:tcW w:w="1566" w:type="dxa"/>
            <w:tcBorders>
              <w:top w:val="nil"/>
              <w:left w:val="nil"/>
              <w:bottom w:val="single" w:sz="4" w:space="0" w:color="448A99"/>
              <w:right w:val="single" w:sz="4" w:space="0" w:color="448A99"/>
            </w:tcBorders>
            <w:shd w:val="clear" w:color="000000" w:fill="D2EAF1"/>
            <w:noWrap/>
            <w:vAlign w:val="center"/>
            <w:hideMark/>
          </w:tcPr>
          <w:p w:rsidR="003E12A1" w:rsidRPr="00743C18" w:rsidRDefault="003E12A1" w:rsidP="003E12A1">
            <w:pPr>
              <w:jc w:val="center"/>
              <w:rPr>
                <w:rFonts w:ascii="Wingdings" w:hAnsi="Wingdings"/>
                <w:b/>
                <w:bCs/>
                <w:color w:val="000000"/>
                <w:sz w:val="20"/>
                <w:szCs w:val="20"/>
              </w:rPr>
            </w:pPr>
            <w:r w:rsidRPr="00743C18">
              <w:rPr>
                <w:rFonts w:ascii="Wingdings" w:hAnsi="Wingdings"/>
                <w:b/>
                <w:bCs/>
                <w:color w:val="000000"/>
                <w:sz w:val="20"/>
                <w:szCs w:val="20"/>
              </w:rPr>
              <w:t></w:t>
            </w:r>
          </w:p>
        </w:tc>
      </w:tr>
    </w:tbl>
    <w:p w:rsidR="00F73191" w:rsidRPr="00F6769E" w:rsidRDefault="00F73191" w:rsidP="00F6769E"/>
    <w:p w:rsidR="00F73191" w:rsidRPr="00F95DF6" w:rsidRDefault="00F73191" w:rsidP="00D405A7">
      <w:pPr>
        <w:numPr>
          <w:ilvl w:val="0"/>
          <w:numId w:val="23"/>
        </w:numPr>
        <w:spacing w:after="120"/>
        <w:ind w:left="360"/>
        <w:rPr>
          <w:szCs w:val="20"/>
        </w:rPr>
      </w:pPr>
      <w:r w:rsidRPr="00743C18">
        <w:rPr>
          <w:szCs w:val="20"/>
        </w:rPr>
        <w:t>The SWE Team reviewed EDC reported and evaluated savings and generally affirm</w:t>
      </w:r>
      <w:r w:rsidR="001B7999" w:rsidRPr="00743C18">
        <w:rPr>
          <w:szCs w:val="20"/>
        </w:rPr>
        <w:t>s</w:t>
      </w:r>
      <w:r w:rsidRPr="00743C18">
        <w:rPr>
          <w:szCs w:val="20"/>
        </w:rPr>
        <w:t xml:space="preserve"> their validity. The SWE Team does, however, note </w:t>
      </w:r>
      <w:r w:rsidR="009A5F8F" w:rsidRPr="00743C18">
        <w:rPr>
          <w:szCs w:val="20"/>
        </w:rPr>
        <w:t>a few</w:t>
      </w:r>
      <w:r w:rsidRPr="00743C18">
        <w:rPr>
          <w:szCs w:val="20"/>
        </w:rPr>
        <w:t xml:space="preserve"> small errors in the calculations of reported MWh and MW savings</w:t>
      </w:r>
      <w:r w:rsidR="009A5F8F" w:rsidRPr="00743C18">
        <w:rPr>
          <w:szCs w:val="20"/>
        </w:rPr>
        <w:t xml:space="preserve"> for some of the EDCs</w:t>
      </w:r>
      <w:r w:rsidRPr="00743C18">
        <w:rPr>
          <w:szCs w:val="20"/>
        </w:rPr>
        <w:t xml:space="preserve">. For example, </w:t>
      </w:r>
      <w:r w:rsidRPr="00743C18">
        <w:t>some EDCs did not use the applicable Pennsylvania TRM values or algorithms when reporting gross verified savings for some energy efficiency measures.</w:t>
      </w:r>
      <w:r w:rsidRPr="00743C18">
        <w:rPr>
          <w:szCs w:val="20"/>
        </w:rPr>
        <w:t xml:space="preserve"> </w:t>
      </w:r>
      <w:r w:rsidRPr="00743C18">
        <w:t xml:space="preserve">This report identifies where such errors have been made and makes recommendations on how they should be corrected. </w:t>
      </w:r>
      <w:r w:rsidR="00A43D08" w:rsidRPr="00743C18">
        <w:rPr>
          <w:szCs w:val="20"/>
        </w:rPr>
        <w:t>The SWE Team recommends that any errors in reported PY5, PY6</w:t>
      </w:r>
      <w:r w:rsidR="00371E06">
        <w:rPr>
          <w:szCs w:val="20"/>
        </w:rPr>
        <w:t>,</w:t>
      </w:r>
      <w:r w:rsidR="00A43D08" w:rsidRPr="00743C18">
        <w:rPr>
          <w:szCs w:val="20"/>
        </w:rPr>
        <w:t xml:space="preserve"> or PY7 verified incremental or cumulative annual MWh or MW savings or reported </w:t>
      </w:r>
      <w:r w:rsidR="00371E06">
        <w:rPr>
          <w:szCs w:val="20"/>
        </w:rPr>
        <w:t>B/C</w:t>
      </w:r>
      <w:r w:rsidR="00A43D08" w:rsidRPr="00743C18">
        <w:rPr>
          <w:szCs w:val="20"/>
        </w:rPr>
        <w:t xml:space="preserve"> calculations for an </w:t>
      </w:r>
      <w:r w:rsidR="00A43D08" w:rsidRPr="00743C18">
        <w:t>EDC be corrected and that a revised EDC final Phase II annual report be filed with the Commission by May 31, 2017</w:t>
      </w:r>
      <w:r w:rsidRPr="00743C18">
        <w:t>.</w:t>
      </w:r>
      <w:r w:rsidRPr="00743C18">
        <w:rPr>
          <w:rStyle w:val="FootnoteReference"/>
        </w:rPr>
        <w:footnoteReference w:id="8"/>
      </w:r>
    </w:p>
    <w:p w:rsidR="00F95DF6" w:rsidRPr="008A6AC5" w:rsidRDefault="00F95DF6" w:rsidP="00D405A7">
      <w:pPr>
        <w:numPr>
          <w:ilvl w:val="0"/>
          <w:numId w:val="23"/>
        </w:numPr>
        <w:spacing w:after="120"/>
        <w:ind w:left="360"/>
        <w:rPr>
          <w:szCs w:val="20"/>
        </w:rPr>
      </w:pPr>
      <w:r w:rsidRPr="008A6AC5">
        <w:t>For Phase II, the combined NPV lifetime net benefits (benefits – costs) of the EDC energy efficiency portfolios exceeded $900 million.</w:t>
      </w:r>
    </w:p>
    <w:p w:rsidR="00630163" w:rsidRPr="00743C18" w:rsidRDefault="009A5F8F" w:rsidP="00D405A7">
      <w:pPr>
        <w:numPr>
          <w:ilvl w:val="0"/>
          <w:numId w:val="23"/>
        </w:numPr>
        <w:spacing w:after="120"/>
        <w:ind w:left="360"/>
      </w:pPr>
      <w:r w:rsidRPr="00743C18">
        <w:t>In the PY6 audit activities, t</w:t>
      </w:r>
      <w:r w:rsidR="00F73191" w:rsidRPr="00743C18">
        <w:t>he</w:t>
      </w:r>
      <w:r w:rsidRPr="00743C18">
        <w:t xml:space="preserve"> Phase II</w:t>
      </w:r>
      <w:r w:rsidR="00F73191" w:rsidRPr="00743C18">
        <w:t xml:space="preserve"> SWE Team found instances where EDCs chose not to use values or algorithms in the applicable</w:t>
      </w:r>
      <w:r w:rsidRPr="00743C18">
        <w:t xml:space="preserve"> Phase II</w:t>
      </w:r>
      <w:r w:rsidR="00F73191" w:rsidRPr="00743C18">
        <w:t xml:space="preserve"> Pennsylvania TRM. T</w:t>
      </w:r>
      <w:r w:rsidR="00F73191" w:rsidRPr="00743C18">
        <w:rPr>
          <w:iCs/>
        </w:rPr>
        <w:t xml:space="preserve">he 2013 SWE Evaluation Framework states </w:t>
      </w:r>
      <w:r w:rsidR="00371E06">
        <w:rPr>
          <w:iCs/>
        </w:rPr>
        <w:t xml:space="preserve">that </w:t>
      </w:r>
      <w:r w:rsidR="00F73191" w:rsidRPr="00743C18">
        <w:rPr>
          <w:iCs/>
        </w:rPr>
        <w:t>if an EDC does not wish to use the values or protocols in the applicable TRM, it may use a custom method to calculate and report ex ante savings and/or ask its evaluation contractor to use a custom method to verify ex post savings, as long as the EDC</w:t>
      </w:r>
      <w:r w:rsidR="00630163" w:rsidRPr="00743C18">
        <w:rPr>
          <w:iCs/>
        </w:rPr>
        <w:t>:</w:t>
      </w:r>
      <w:r w:rsidR="00F73191" w:rsidRPr="00743C18">
        <w:rPr>
          <w:iCs/>
        </w:rPr>
        <w:t xml:space="preserve"> </w:t>
      </w:r>
    </w:p>
    <w:p w:rsidR="00630163" w:rsidRPr="00743C18" w:rsidRDefault="00034173" w:rsidP="00664065">
      <w:pPr>
        <w:numPr>
          <w:ilvl w:val="1"/>
          <w:numId w:val="23"/>
        </w:numPr>
        <w:spacing w:after="120"/>
        <w:ind w:left="720"/>
      </w:pPr>
      <w:r>
        <w:rPr>
          <w:iCs/>
        </w:rPr>
        <w:lastRenderedPageBreak/>
        <w:t>A</w:t>
      </w:r>
      <w:r w:rsidR="00F73191" w:rsidRPr="00743C18">
        <w:rPr>
          <w:iCs/>
        </w:rPr>
        <w:t>lso calculates the savings using TRM protocols</w:t>
      </w:r>
      <w:r w:rsidR="00630163" w:rsidRPr="00743C18">
        <w:rPr>
          <w:iCs/>
        </w:rPr>
        <w:t>;</w:t>
      </w:r>
      <w:r w:rsidR="00F73191" w:rsidRPr="00743C18">
        <w:rPr>
          <w:iCs/>
        </w:rPr>
        <w:t xml:space="preserve"> and </w:t>
      </w:r>
    </w:p>
    <w:p w:rsidR="00630163" w:rsidRPr="00743C18" w:rsidRDefault="00034173" w:rsidP="00664065">
      <w:pPr>
        <w:numPr>
          <w:ilvl w:val="1"/>
          <w:numId w:val="23"/>
        </w:numPr>
        <w:spacing w:after="120"/>
        <w:ind w:left="720"/>
      </w:pPr>
      <w:r>
        <w:rPr>
          <w:iCs/>
        </w:rPr>
        <w:t>I</w:t>
      </w:r>
      <w:r w:rsidR="00F73191" w:rsidRPr="00743C18">
        <w:rPr>
          <w:iCs/>
        </w:rPr>
        <w:t xml:space="preserve">ncludes both sets of results in the quarterly and/or annual EDC reports. </w:t>
      </w:r>
    </w:p>
    <w:p w:rsidR="00F73191" w:rsidRPr="00743C18" w:rsidRDefault="00F73191" w:rsidP="00630163">
      <w:pPr>
        <w:tabs>
          <w:tab w:val="left" w:pos="360"/>
        </w:tabs>
        <w:spacing w:after="120"/>
        <w:ind w:left="360"/>
      </w:pPr>
      <w:r w:rsidRPr="00743C18">
        <w:rPr>
          <w:iCs/>
        </w:rPr>
        <w:t xml:space="preserve">The EDCs must justify the deviation from the TRM ex ante and ex post protocols in the quarterly and/or annual reports in which they report the deviations. EDCs should be aware that use of a custom method as an alternative to the approved TRM protocol increases the risk that the Commission may challenge their </w:t>
      </w:r>
      <w:r w:rsidR="003B215A" w:rsidRPr="00743C18">
        <w:rPr>
          <w:iCs/>
        </w:rPr>
        <w:t xml:space="preserve">verified </w:t>
      </w:r>
      <w:r w:rsidRPr="00743C18">
        <w:rPr>
          <w:iCs/>
        </w:rPr>
        <w:t>savings.</w:t>
      </w:r>
      <w:r w:rsidR="007E20E8" w:rsidRPr="00743C18">
        <w:rPr>
          <w:iCs/>
        </w:rPr>
        <w:t xml:space="preserve"> In the EDC PY7 </w:t>
      </w:r>
      <w:r w:rsidR="00630163" w:rsidRPr="00743C18">
        <w:rPr>
          <w:iCs/>
        </w:rPr>
        <w:t>a</w:t>
      </w:r>
      <w:r w:rsidR="007E20E8" w:rsidRPr="00743C18">
        <w:rPr>
          <w:iCs/>
        </w:rPr>
        <w:t xml:space="preserve">nnual </w:t>
      </w:r>
      <w:r w:rsidR="00630163" w:rsidRPr="00743C18">
        <w:rPr>
          <w:iCs/>
        </w:rPr>
        <w:t>r</w:t>
      </w:r>
      <w:r w:rsidR="007E20E8" w:rsidRPr="00743C18">
        <w:rPr>
          <w:iCs/>
        </w:rPr>
        <w:t>eports, the SWE did not find any instances where EDC kWh and kW savings calculations deviated from the PY7 TRM.</w:t>
      </w:r>
      <w:r w:rsidRPr="00743C18">
        <w:rPr>
          <w:iCs/>
        </w:rPr>
        <w:t xml:space="preserve"> </w:t>
      </w:r>
    </w:p>
    <w:p w:rsidR="00F73191" w:rsidRPr="006142E6" w:rsidRDefault="006142E6" w:rsidP="00D405A7">
      <w:pPr>
        <w:numPr>
          <w:ilvl w:val="0"/>
          <w:numId w:val="23"/>
        </w:numPr>
        <w:spacing w:after="120"/>
        <w:ind w:left="360"/>
      </w:pPr>
      <w:r w:rsidRPr="006142E6">
        <w:t>The SWE Team’s initial review of EDC PY7 Annual Reports to the PUC found minor calculation inconsistencies in some EDC TRC models. The Phase II SWE coordinated with the EDCs to verify and make proper adjustments to the PY7 and Phase II TRC models. This SWE Phase II Final Report includes these TRC ratio adjustments. None of the adjustments resulted in TRC ratios that were plus or minus 1% of EDC reported numbers. As noted above, the Phase II SWE Team only recommends that an EDC file a revised report with the Pennsylvania PUC if there are errors in reported total EDC program costs, EDC portfolio gross or net MWh savings, or any other key items (such as TRC B/C ratios) greater than plus or minus 1% of reported numbers in any program year of Phase II.</w:t>
      </w:r>
      <w:r w:rsidR="007E20E8" w:rsidRPr="006142E6">
        <w:t xml:space="preserve"> </w:t>
      </w:r>
    </w:p>
    <w:p w:rsidR="00A43D08" w:rsidRPr="00743C18" w:rsidRDefault="00A43D08" w:rsidP="00D405A7">
      <w:pPr>
        <w:numPr>
          <w:ilvl w:val="0"/>
          <w:numId w:val="23"/>
        </w:numPr>
        <w:spacing w:after="120"/>
        <w:ind w:left="360"/>
        <w:rPr>
          <w:szCs w:val="20"/>
        </w:rPr>
      </w:pPr>
      <w:r w:rsidRPr="00743C18">
        <w:t>In the SWE’s PY6 report, the SWE</w:t>
      </w:r>
      <w:r w:rsidRPr="00743C18">
        <w:rPr>
          <w:bCs/>
          <w:lang w:val="x-none"/>
        </w:rPr>
        <w:t xml:space="preserve"> recommended that net-to-gross (NTG) research be conducted for all market segments</w:t>
      </w:r>
      <w:r w:rsidR="00D72084">
        <w:rPr>
          <w:rStyle w:val="FootnoteReference"/>
          <w:bCs/>
          <w:lang w:val="x-none"/>
        </w:rPr>
        <w:footnoteReference w:id="9"/>
      </w:r>
      <w:r w:rsidRPr="00743C18">
        <w:rPr>
          <w:bCs/>
          <w:lang w:val="x-none"/>
        </w:rPr>
        <w:t xml:space="preserve"> where an EDC offers Act 129 programs, including the residential low-income sector</w:t>
      </w:r>
      <w:r w:rsidRPr="00743C18">
        <w:rPr>
          <w:bCs/>
        </w:rPr>
        <w:t>.</w:t>
      </w:r>
      <w:r w:rsidRPr="00743C18">
        <w:rPr>
          <w:bCs/>
          <w:vertAlign w:val="superscript"/>
        </w:rPr>
        <w:footnoteReference w:id="10"/>
      </w:r>
      <w:r w:rsidRPr="00743C18">
        <w:rPr>
          <w:bCs/>
        </w:rPr>
        <w:t xml:space="preserve"> During PY7, six of the seven EDCs followed this recommendation. The</w:t>
      </w:r>
      <w:r w:rsidR="00247A6E">
        <w:rPr>
          <w:bCs/>
        </w:rPr>
        <w:t>se six</w:t>
      </w:r>
      <w:r w:rsidRPr="00743C18">
        <w:rPr>
          <w:bCs/>
        </w:rPr>
        <w:t xml:space="preserve"> EDCs determined that the NTG ratios (NTGRs) for their low-income programs ranged from 81% to 90%. </w:t>
      </w:r>
      <w:r w:rsidR="00371E06" w:rsidRPr="00371E06">
        <w:rPr>
          <w:bCs/>
        </w:rPr>
        <w:t xml:space="preserve">This research </w:t>
      </w:r>
      <w:r w:rsidR="00F95DF6">
        <w:rPr>
          <w:bCs/>
        </w:rPr>
        <w:t xml:space="preserve">conclusively </w:t>
      </w:r>
      <w:r w:rsidR="00371E06" w:rsidRPr="00371E06">
        <w:rPr>
          <w:bCs/>
        </w:rPr>
        <w:t>shows that the NTGR for low-income programs is not 100%. Going forward, the Phase II SWE Team recommends that NTG market research for residential low-income programs be conducted at least once in every Act 129 Phase. The Phase II SWE Team also recommends that the Commission consider setting the default NTGR for Phase III for residential low-income programs in the range of 81% to 90% given the results determined from the Phase II NTGR research</w:t>
      </w:r>
      <w:r w:rsidRPr="00743C18">
        <w:rPr>
          <w:bCs/>
        </w:rPr>
        <w:t>.</w:t>
      </w:r>
    </w:p>
    <w:p w:rsidR="00F73191" w:rsidRPr="00743C18" w:rsidRDefault="00A43D08" w:rsidP="00D405A7">
      <w:pPr>
        <w:numPr>
          <w:ilvl w:val="0"/>
          <w:numId w:val="23"/>
        </w:numPr>
        <w:spacing w:after="120"/>
        <w:ind w:left="360"/>
        <w:rPr>
          <w:szCs w:val="20"/>
        </w:rPr>
      </w:pPr>
      <w:r w:rsidRPr="00743C18">
        <w:rPr>
          <w:szCs w:val="20"/>
        </w:rPr>
        <w:t>The SWE Team finds that all seven Pennsylvania EDCs subject to the Phase II electricity savings requirements of Act 129 have met the Phase II kWh savings targets listed in the Phase II Implementation Order for Act 129. On a statewide basis, the EDCs achieved 133% of the Phase II MWh/yr savings goal for all of Phase II, based on the numbers verified by the EDCs’ evaluation contractors.</w:t>
      </w:r>
      <w:r w:rsidR="00F73191" w:rsidRPr="00743C18">
        <w:rPr>
          <w:szCs w:val="20"/>
        </w:rPr>
        <w:t xml:space="preserve"> </w:t>
      </w:r>
    </w:p>
    <w:p w:rsidR="00F73191" w:rsidRPr="00743C18" w:rsidRDefault="00F73191" w:rsidP="00D405A7">
      <w:pPr>
        <w:numPr>
          <w:ilvl w:val="0"/>
          <w:numId w:val="23"/>
        </w:numPr>
        <w:spacing w:after="120"/>
        <w:ind w:left="360"/>
        <w:rPr>
          <w:szCs w:val="20"/>
        </w:rPr>
      </w:pPr>
      <w:r w:rsidRPr="00743C18">
        <w:rPr>
          <w:szCs w:val="20"/>
        </w:rPr>
        <w:t xml:space="preserve">The overall TRC test </w:t>
      </w:r>
      <w:r w:rsidR="00371E06">
        <w:t>B/C ratio</w:t>
      </w:r>
      <w:r w:rsidRPr="00743C18">
        <w:rPr>
          <w:szCs w:val="20"/>
        </w:rPr>
        <w:t xml:space="preserve">, as reported by the EDCs and consolidated across each EDC for PY7, </w:t>
      </w:r>
      <w:r w:rsidR="00D02A6B" w:rsidRPr="00743C18">
        <w:rPr>
          <w:szCs w:val="20"/>
        </w:rPr>
        <w:t>is 1.8.</w:t>
      </w:r>
      <w:r w:rsidRPr="00743C18">
        <w:rPr>
          <w:szCs w:val="20"/>
        </w:rPr>
        <w:t xml:space="preserve"> The net present value (NPV) savings to Pennsylvania ratepayers reported by the EDCs for </w:t>
      </w:r>
      <w:r w:rsidR="00D02A6B" w:rsidRPr="00743C18">
        <w:rPr>
          <w:szCs w:val="20"/>
        </w:rPr>
        <w:t xml:space="preserve">PY7 is </w:t>
      </w:r>
      <w:r w:rsidR="00D02A6B" w:rsidRPr="00743C18">
        <w:rPr>
          <w:bCs/>
          <w:szCs w:val="20"/>
        </w:rPr>
        <w:t>$443 million (</w:t>
      </w:r>
      <w:r w:rsidR="00F05DE6">
        <w:rPr>
          <w:bCs/>
          <w:szCs w:val="20"/>
        </w:rPr>
        <w:t>~</w:t>
      </w:r>
      <w:r w:rsidR="00D02A6B" w:rsidRPr="00743C18">
        <w:rPr>
          <w:bCs/>
          <w:szCs w:val="20"/>
        </w:rPr>
        <w:t xml:space="preserve">$1 billion in benefits </w:t>
      </w:r>
      <w:r w:rsidR="00F05DE6">
        <w:rPr>
          <w:bCs/>
          <w:szCs w:val="20"/>
        </w:rPr>
        <w:t>minus</w:t>
      </w:r>
      <w:r w:rsidR="00D02A6B" w:rsidRPr="00743C18">
        <w:rPr>
          <w:bCs/>
          <w:szCs w:val="20"/>
        </w:rPr>
        <w:t xml:space="preserve"> </w:t>
      </w:r>
      <w:r w:rsidR="00F05DE6">
        <w:rPr>
          <w:bCs/>
          <w:szCs w:val="20"/>
        </w:rPr>
        <w:t>~</w:t>
      </w:r>
      <w:r w:rsidR="00D02A6B" w:rsidRPr="00743C18">
        <w:rPr>
          <w:bCs/>
          <w:szCs w:val="20"/>
        </w:rPr>
        <w:t>$56</w:t>
      </w:r>
      <w:r w:rsidR="00F05DE6">
        <w:rPr>
          <w:bCs/>
          <w:szCs w:val="20"/>
        </w:rPr>
        <w:t>0</w:t>
      </w:r>
      <w:r w:rsidR="00D02A6B" w:rsidRPr="00743C18">
        <w:rPr>
          <w:bCs/>
          <w:szCs w:val="20"/>
        </w:rPr>
        <w:t xml:space="preserve"> million in costs)</w:t>
      </w:r>
      <w:r w:rsidR="00D02A6B" w:rsidRPr="00743C18">
        <w:rPr>
          <w:szCs w:val="20"/>
        </w:rPr>
        <w:t xml:space="preserve">. </w:t>
      </w:r>
      <w:r w:rsidR="00371E06">
        <w:rPr>
          <w:szCs w:val="20"/>
        </w:rPr>
        <w:t>In those instances,</w:t>
      </w:r>
      <w:r w:rsidRPr="00743C18">
        <w:rPr>
          <w:szCs w:val="20"/>
        </w:rPr>
        <w:t xml:space="preserve"> where calculation errors caused the NPV savings for an EDC’s PY7 program portfolio to change by 1% or more, the SWE Team recommends that the EDC cost-effectiveness calculations be corrected and a revised EDC PY7 report be filed with the Commission by May 31, 2017.  </w:t>
      </w:r>
    </w:p>
    <w:p w:rsidR="00F73191" w:rsidRPr="00743C18" w:rsidRDefault="00A43D08" w:rsidP="00D405A7">
      <w:pPr>
        <w:numPr>
          <w:ilvl w:val="0"/>
          <w:numId w:val="23"/>
        </w:numPr>
        <w:tabs>
          <w:tab w:val="left" w:pos="360"/>
        </w:tabs>
        <w:spacing w:after="120"/>
        <w:ind w:left="360"/>
      </w:pPr>
      <w:r w:rsidRPr="00743C18">
        <w:rPr>
          <w:szCs w:val="20"/>
        </w:rPr>
        <w:t xml:space="preserve">Based on the SWE Team audit activities conducted from PY5 to PY7, there still is evidence of high free-ridership for several EDC programs. For purposes of this report, the Phase II SWE defines high free-ridership as a rate above 50%. In the residential sector, free-ridership was highest for appliance and </w:t>
      </w:r>
      <w:r w:rsidR="00371E06">
        <w:lastRenderedPageBreak/>
        <w:t>h</w:t>
      </w:r>
      <w:r w:rsidR="00371E06" w:rsidRPr="001539AB">
        <w:t>eating, ventilating, and air</w:t>
      </w:r>
      <w:r w:rsidR="00371E06">
        <w:t>-</w:t>
      </w:r>
      <w:r w:rsidR="00371E06" w:rsidRPr="001539AB">
        <w:t>conditioning</w:t>
      </w:r>
      <w:r w:rsidR="00371E06" w:rsidRPr="00743C18">
        <w:rPr>
          <w:szCs w:val="20"/>
        </w:rPr>
        <w:t xml:space="preserve"> </w:t>
      </w:r>
      <w:r w:rsidR="00371E06">
        <w:rPr>
          <w:szCs w:val="20"/>
        </w:rPr>
        <w:t>(</w:t>
      </w:r>
      <w:r w:rsidR="00371E06" w:rsidRPr="00743C18">
        <w:rPr>
          <w:szCs w:val="20"/>
        </w:rPr>
        <w:t>HVAC</w:t>
      </w:r>
      <w:r w:rsidR="00371E06">
        <w:rPr>
          <w:szCs w:val="20"/>
        </w:rPr>
        <w:t>)</w:t>
      </w:r>
      <w:r w:rsidR="00371E06" w:rsidRPr="00743C18">
        <w:rPr>
          <w:szCs w:val="20"/>
        </w:rPr>
        <w:t xml:space="preserve"> </w:t>
      </w:r>
      <w:r w:rsidRPr="00743C18">
        <w:rPr>
          <w:szCs w:val="20"/>
        </w:rPr>
        <w:t>rebate and upstream lighting programs; it varied from moderate to high for appliance recycling; it was lowest for home performance and kit distribution programs. In the non-residential sector, free-ridership was highest in programs targeting small businesses, custom projects, and the GNI sector. When high free-ridership exists, the SWE Team recommends that EDCs should reexamine program design elements to determine whether free-ridership can be reduced in the future. All EDCs should continue to consider actions to reduce free-ridership in Phase III. In the non-residential sector, if any EDCs still allow customers to submit rebate applications after equipment purchase (and do not specify an eligibility time period), they should consider implementing a 90-day rebate eligibility clause for such purchases.</w:t>
      </w:r>
      <w:r w:rsidRPr="00743C18">
        <w:rPr>
          <w:szCs w:val="20"/>
          <w:vertAlign w:val="superscript"/>
        </w:rPr>
        <w:footnoteReference w:id="11"/>
      </w:r>
    </w:p>
    <w:p w:rsidR="00F73191" w:rsidRPr="00743C18" w:rsidRDefault="00F73191" w:rsidP="00D405A7">
      <w:pPr>
        <w:pStyle w:val="CommentText"/>
        <w:numPr>
          <w:ilvl w:val="0"/>
          <w:numId w:val="23"/>
        </w:numPr>
        <w:tabs>
          <w:tab w:val="left" w:pos="360"/>
        </w:tabs>
        <w:spacing w:after="120"/>
        <w:ind w:left="360"/>
        <w:rPr>
          <w:sz w:val="22"/>
          <w:szCs w:val="22"/>
        </w:rPr>
      </w:pPr>
      <w:r w:rsidRPr="00743C18">
        <w:rPr>
          <w:sz w:val="22"/>
          <w:szCs w:val="22"/>
        </w:rPr>
        <w:t>The EDC process evaluations identified that retailers and contractors are an important source of program information.</w:t>
      </w:r>
      <w:r w:rsidR="002A0B26" w:rsidRPr="00743C18">
        <w:rPr>
          <w:rStyle w:val="FootnoteReference"/>
          <w:sz w:val="22"/>
          <w:szCs w:val="22"/>
        </w:rPr>
        <w:footnoteReference w:id="12"/>
      </w:r>
      <w:r w:rsidRPr="00743C18">
        <w:rPr>
          <w:sz w:val="22"/>
          <w:szCs w:val="22"/>
        </w:rPr>
        <w:t xml:space="preserve"> </w:t>
      </w:r>
      <w:r w:rsidRPr="00743C18">
        <w:rPr>
          <w:sz w:val="22"/>
        </w:rPr>
        <w:t>One EDC process evaluation found that contractors prefer direct, personal program contact, and another evaluation found a decrease in sales staffs’ enthusiasm for selling energy efficient appliances. These findings point to the need for programs to engage with retailers and contractors directly and personally to encourage sales, which may help increase program participation</w:t>
      </w:r>
      <w:r w:rsidRPr="00743C18">
        <w:rPr>
          <w:sz w:val="22"/>
          <w:szCs w:val="22"/>
        </w:rPr>
        <w:t>.</w:t>
      </w:r>
    </w:p>
    <w:p w:rsidR="00F73191" w:rsidRPr="00743C18" w:rsidRDefault="007E20E8" w:rsidP="00D405A7">
      <w:pPr>
        <w:numPr>
          <w:ilvl w:val="0"/>
          <w:numId w:val="23"/>
        </w:numPr>
        <w:tabs>
          <w:tab w:val="left" w:pos="360"/>
        </w:tabs>
        <w:spacing w:after="120"/>
        <w:ind w:left="360"/>
      </w:pPr>
      <w:r w:rsidRPr="00743C18">
        <w:t>EDC p</w:t>
      </w:r>
      <w:r w:rsidR="00F73191" w:rsidRPr="00743C18">
        <w:t>rocess evaluations of home audit programs continued to show opportunities for greater conversion of audit participants to program participants. The SWE Team recommends that EDCs conduct research to track over time the percentage of home energy audits that result in purchases and installations of energy efficiency measures. Then the SWE can develop a comparison of these percentages across EDC audit programs. Having such comparative information across EDCs will help the SWE develop findings, best practices, and recommendations on program strategies that lead to the highest conversion rates from audit participants to program participants.</w:t>
      </w:r>
    </w:p>
    <w:p w:rsidR="00AE505B" w:rsidRPr="00743C18" w:rsidRDefault="00F73191" w:rsidP="00D405A7">
      <w:pPr>
        <w:numPr>
          <w:ilvl w:val="0"/>
          <w:numId w:val="23"/>
        </w:numPr>
        <w:spacing w:after="120"/>
        <w:ind w:left="360"/>
      </w:pPr>
      <w:r w:rsidRPr="00743C18">
        <w:t>During Phase III, EDC database tracking systems should continue to adjust as necessary to capture sufficient measure detail so that the applicable TRM algorithms can be used to verify reported savings values and assumptions. The SWE Team found some instances in which the PY7 EDC tracking systems lacked the ability to capture these details. The SWE Team’s specific recommendations for each EDC’s data</w:t>
      </w:r>
      <w:r w:rsidR="00D02A6B" w:rsidRPr="00743C18">
        <w:t>-</w:t>
      </w:r>
      <w:r w:rsidRPr="00743C18">
        <w:t>tracking and reporting system are provided in</w:t>
      </w:r>
      <w:r w:rsidR="005253C9" w:rsidRPr="00743C18">
        <w:t xml:space="preserve"> Appendix A</w:t>
      </w:r>
      <w:r w:rsidRPr="00743C18">
        <w:t xml:space="preserve"> of this report.</w:t>
      </w:r>
    </w:p>
    <w:p w:rsidR="00F73191" w:rsidRPr="00743C18" w:rsidRDefault="002A0B26" w:rsidP="00D405A7">
      <w:pPr>
        <w:numPr>
          <w:ilvl w:val="0"/>
          <w:numId w:val="23"/>
        </w:numPr>
        <w:spacing w:after="120"/>
        <w:ind w:left="360"/>
      </w:pPr>
      <w:r w:rsidRPr="00743C18">
        <w:t>During Phase II the percentage of part</w:t>
      </w:r>
      <w:r w:rsidR="00371E06">
        <w:t>icipants in EDC residential low-</w:t>
      </w:r>
      <w:r w:rsidRPr="00743C18">
        <w:t>income programs receiving either a telephone or on-site inspection varied significantly among EDCs. Going forward, the Phase II SWE Team recommends that the TUS staff and Phase III SWE consider establishing clearer guidelines for the number of telephone and on-site inspections that need to be performed for residential low-income programs. The design of these guidelines will need to take into account differences in EDC low</w:t>
      </w:r>
      <w:r w:rsidR="00371E06">
        <w:t>-</w:t>
      </w:r>
      <w:r w:rsidRPr="00743C18">
        <w:t>income programs. These guidelines should establish minimum requirements for the number and types of telephone and/or on-site inspections that need to be performed for low-income programs</w:t>
      </w:r>
      <w:r w:rsidR="00AE505B" w:rsidRPr="00743C18">
        <w:t>.</w:t>
      </w:r>
    </w:p>
    <w:p w:rsidR="00F73191" w:rsidRPr="00743C18" w:rsidRDefault="00F73191" w:rsidP="00D405A7">
      <w:pPr>
        <w:numPr>
          <w:ilvl w:val="0"/>
          <w:numId w:val="23"/>
        </w:numPr>
        <w:spacing w:after="120"/>
        <w:ind w:left="360"/>
      </w:pPr>
      <w:r w:rsidRPr="00743C18">
        <w:lastRenderedPageBreak/>
        <w:t xml:space="preserve">The SWE Team found that 9% of the verified savings in the non-residential sector in PY7 came from residential upstream lighting programs. This is a significant reduction from the 21% reported in PY5, as all EDCs except for the FirstEnergy companies reported substantial drops in the cross-sector savings associated with these upstream bulb programs. For Duquesne for PY7, the amount verified in this category was actually 0%. For PECO and PPL, the percentages verified were </w:t>
      </w:r>
      <w:r w:rsidR="00E83316" w:rsidRPr="00743C18">
        <w:t>14</w:t>
      </w:r>
      <w:r w:rsidRPr="00743C18">
        <w:t xml:space="preserve">% and </w:t>
      </w:r>
      <w:r w:rsidR="00E83316" w:rsidRPr="00743C18">
        <w:t>1</w:t>
      </w:r>
      <w:r w:rsidR="00F00493" w:rsidRPr="00743C18">
        <w:t>2</w:t>
      </w:r>
      <w:r w:rsidRPr="00743C18">
        <w:t>%, respectively</w:t>
      </w:r>
      <w:r w:rsidR="005B0234" w:rsidRPr="00743C18">
        <w:t>,</w:t>
      </w:r>
      <w:r w:rsidR="00D02A6B" w:rsidRPr="00743C18">
        <w:t xml:space="preserve"> </w:t>
      </w:r>
      <w:r w:rsidR="005B0234" w:rsidRPr="00743C18">
        <w:t>with those for the FirstEnergy companies ranging from 0.5% for Penn Power to</w:t>
      </w:r>
      <w:r w:rsidR="00371E06">
        <w:t xml:space="preserve"> 4.7% for Penelec and West Penn</w:t>
      </w:r>
      <w:r w:rsidR="005B0234" w:rsidRPr="00743C18">
        <w:t>. The SWE Team recommends continued cross-sector sales analysis, as the findings show there are important shifts in the MWh and MW savings being reported in this category</w:t>
      </w:r>
      <w:r w:rsidRPr="00743C18">
        <w:t>.</w:t>
      </w:r>
    </w:p>
    <w:p w:rsidR="00AE505B" w:rsidRPr="00743C18" w:rsidRDefault="00AE505B" w:rsidP="00D405A7">
      <w:pPr>
        <w:numPr>
          <w:ilvl w:val="0"/>
          <w:numId w:val="23"/>
        </w:numPr>
        <w:spacing w:after="120"/>
        <w:ind w:left="360"/>
      </w:pPr>
      <w:r w:rsidRPr="00743C18">
        <w:t xml:space="preserve">For all four EDCs under the FirstEnergy umbrella in Pennsylvania, the SWE found that kWh and kW savings calculations for PY7 for commercial and industrial </w:t>
      </w:r>
      <w:r w:rsidR="00D02A6B" w:rsidRPr="00743C18">
        <w:t>(C/I)</w:t>
      </w:r>
      <w:r w:rsidRPr="00743C18">
        <w:t xml:space="preserve"> </w:t>
      </w:r>
      <w:r w:rsidR="00371E06" w:rsidRPr="00743C18">
        <w:t xml:space="preserve">lighting </w:t>
      </w:r>
      <w:r w:rsidRPr="00743C18">
        <w:t>projects were performed using a modified version of the 2015 Pennsylvania TRM Appendix C calculator. Use of the modified calculator makes it much more difficult for the SWE Team to review and verify the kWh and kW savings calculations for these types of energy efficiency projects. The Phase II SWE recommends that go</w:t>
      </w:r>
      <w:r w:rsidR="006A0436" w:rsidRPr="00743C18">
        <w:t>i</w:t>
      </w:r>
      <w:r w:rsidRPr="00743C18">
        <w:t>ng forward the original Appendix C calculator be used.</w:t>
      </w:r>
    </w:p>
    <w:p w:rsidR="00F73191" w:rsidRPr="00743C18" w:rsidRDefault="00F73191" w:rsidP="00D405A7">
      <w:pPr>
        <w:numPr>
          <w:ilvl w:val="0"/>
          <w:numId w:val="23"/>
        </w:numPr>
        <w:spacing w:after="120"/>
        <w:ind w:left="360"/>
      </w:pPr>
      <w:r w:rsidRPr="00743C18">
        <w:t xml:space="preserve">SWE audit activities revealed that the EDCs that conducted process evaluations generally </w:t>
      </w:r>
      <w:r w:rsidR="00371E06">
        <w:t xml:space="preserve">did so </w:t>
      </w:r>
      <w:r w:rsidRPr="00743C18">
        <w:t>consistent with the Phase II Act 129 Evaluation Framework but in some cases could have provided greater detail about methods and findings to support their conclusions.</w:t>
      </w:r>
      <w:r w:rsidRPr="00743C18">
        <w:rPr>
          <w:iCs/>
        </w:rPr>
        <w:t xml:space="preserve"> The SWE Team makes the following recommendations for improving process evaluations in the future: </w:t>
      </w:r>
    </w:p>
    <w:p w:rsidR="00F73191" w:rsidRPr="00743C18" w:rsidRDefault="00F73191" w:rsidP="00664065">
      <w:pPr>
        <w:numPr>
          <w:ilvl w:val="1"/>
          <w:numId w:val="23"/>
        </w:numPr>
        <w:spacing w:after="120"/>
        <w:ind w:left="720"/>
      </w:pPr>
      <w:r w:rsidRPr="00743C18">
        <w:t>EDC process evaluation reports should identify analysis methods, including level of analysis, and types of statistical tests performed.</w:t>
      </w:r>
    </w:p>
    <w:p w:rsidR="00F73191" w:rsidRPr="00743C18" w:rsidRDefault="00F73191" w:rsidP="00664065">
      <w:pPr>
        <w:numPr>
          <w:ilvl w:val="1"/>
          <w:numId w:val="23"/>
        </w:numPr>
        <w:spacing w:after="120"/>
        <w:ind w:left="720"/>
      </w:pPr>
      <w:r w:rsidRPr="00743C18">
        <w:t>When reporting re</w:t>
      </w:r>
      <w:r w:rsidR="00100477" w:rsidRPr="00743C18">
        <w:t>sponse differences among</w:t>
      </w:r>
      <w:r w:rsidRPr="00743C18">
        <w:t xml:space="preserve"> subgroups, indicate whether the differences were statistically significant, and by what test.</w:t>
      </w:r>
    </w:p>
    <w:p w:rsidR="00F73191" w:rsidRPr="00743C18" w:rsidRDefault="00F73191" w:rsidP="00664065">
      <w:pPr>
        <w:numPr>
          <w:ilvl w:val="1"/>
          <w:numId w:val="23"/>
        </w:numPr>
        <w:spacing w:after="120"/>
        <w:ind w:left="720"/>
      </w:pPr>
      <w:r w:rsidRPr="00743C18">
        <w:t>Provide additional insights, when possible, into causes for programs struggling to meet participation and kWh</w:t>
      </w:r>
      <w:r w:rsidR="007B1E78" w:rsidRPr="00743C18">
        <w:t>/yr</w:t>
      </w:r>
      <w:r w:rsidRPr="00743C18">
        <w:t xml:space="preserve"> and kW savings targets.</w:t>
      </w:r>
    </w:p>
    <w:p w:rsidR="00F73191" w:rsidRPr="00743C18" w:rsidRDefault="00F73191" w:rsidP="00664065">
      <w:pPr>
        <w:numPr>
          <w:ilvl w:val="1"/>
          <w:numId w:val="23"/>
        </w:numPr>
        <w:spacing w:after="120"/>
        <w:ind w:left="720"/>
      </w:pPr>
      <w:r w:rsidRPr="00743C18">
        <w:t>Where possible, connect process evaluation recommendations to general conclusions based on multiple findings rather than to single findings.</w:t>
      </w:r>
    </w:p>
    <w:p w:rsidR="00F73191" w:rsidRPr="00743C18" w:rsidRDefault="00F73191" w:rsidP="00664065">
      <w:pPr>
        <w:numPr>
          <w:ilvl w:val="1"/>
          <w:numId w:val="23"/>
        </w:numPr>
        <w:spacing w:after="120"/>
        <w:ind w:left="720"/>
      </w:pPr>
      <w:r w:rsidRPr="00743C18">
        <w:t>Restrict the number of recommended actions identified in each process evaluation recommendation.</w:t>
      </w:r>
    </w:p>
    <w:p w:rsidR="00F73191" w:rsidRPr="00743C18" w:rsidRDefault="00F73191" w:rsidP="00D405A7">
      <w:pPr>
        <w:numPr>
          <w:ilvl w:val="0"/>
          <w:numId w:val="23"/>
        </w:numPr>
        <w:spacing w:after="120"/>
        <w:ind w:left="360"/>
      </w:pPr>
      <w:r w:rsidRPr="00743C18">
        <w:t xml:space="preserve">The SWE process evaluation audit activities for the PY7 programs found that the evaluation contractors made 175 Phase II process evaluation recommendations to the EDCs. Of this total, the EDCs’ annual reports indicated that 103 (59%) were implemented (or accepted for planned implementation) by the EDCs, 53 (30%) were still being considered for implementation, and 19 (11%) were rejected by the EDCs. The 59% acceptance rate is considerably higher than that from PY5 (32%) and PY6 (36%). </w:t>
      </w:r>
      <w:r w:rsidR="00100477" w:rsidRPr="00743C18">
        <w:t>T</w:t>
      </w:r>
      <w:r w:rsidRPr="00743C18">
        <w:t xml:space="preserve">he 11% rejection rate also was higher than that from PY5 and PY6 (2% and 3%, respectively). In the PY6 SWE annual report, the SWE Team noted the high percentage of recommendations still under consideration, attributing it to the short interval between the dates that the evaluation contractors submitted their recommendations to the EDCs and the deadline for submitting the EDC annual reports. The SWE recommended that the EDCs establish priorities for the process evaluation recommendations so that the most important recommendations are resolved quickly. Additional information </w:t>
      </w:r>
      <w:r w:rsidR="00220780" w:rsidRPr="00743C18">
        <w:t>obtained for this Phase II SWE F</w:t>
      </w:r>
      <w:r w:rsidRPr="00743C18">
        <w:t xml:space="preserve">inal </w:t>
      </w:r>
      <w:r w:rsidR="00220780" w:rsidRPr="00743C18">
        <w:t>R</w:t>
      </w:r>
      <w:r w:rsidRPr="00743C18">
        <w:t xml:space="preserve">eport sheds more light on this issue. The SWE Team observed that in every program year of Phase II, the annual report for one EDC showed that no recommendations were yet accepted. </w:t>
      </w:r>
      <w:r w:rsidR="003C2064">
        <w:t>Concerns</w:t>
      </w:r>
      <w:r w:rsidRPr="00743C18">
        <w:t xml:space="preserve"> about committing resources during a major information technology (IT) implementation that occurred throughout Phase II reportedly prevented the EDC from identifying recommendations as accepted or implemented in time for the </w:t>
      </w:r>
      <w:r w:rsidRPr="00743C18">
        <w:lastRenderedPageBreak/>
        <w:t xml:space="preserve">annual report. This only partly explains the high overall percentage of recommendations that remained under consideration at the time of the annual reports, however. While that EDC had the highest percentage of Phase II recommendations under consideration, it also had the fewest recommendations to consider. Dropping that EDC out of the analysis had a minimal effect on the overall percentage of recommendations still under consideration. The purpose of having EDCs indicate the status of recommendations in their annual reports is to show whether the evaluation </w:t>
      </w:r>
      <w:r w:rsidRPr="00743C18">
        <w:rPr>
          <w:color w:val="000000"/>
        </w:rPr>
        <w:t xml:space="preserve">contractors </w:t>
      </w:r>
      <w:r w:rsidRPr="00743C18">
        <w:t>have provided clear and actionable recommendations and whether the EDCs have given them due consideration. Therefore, the SWE Team recommends that instead of identifying each recommendation as implemented, under consideration, or rejected, the EDCs identify them as implemented, hig</w:t>
      </w:r>
      <w:r w:rsidR="00220780" w:rsidRPr="00743C18">
        <w:t xml:space="preserve">h priority for implementation, </w:t>
      </w:r>
      <w:r w:rsidRPr="00743C18">
        <w:t>medium priority for implementation, low priority for implementation, or rejected.</w:t>
      </w:r>
    </w:p>
    <w:p w:rsidR="00F73191" w:rsidRPr="00743C18" w:rsidRDefault="00F73191" w:rsidP="00D405A7">
      <w:pPr>
        <w:numPr>
          <w:ilvl w:val="0"/>
          <w:numId w:val="23"/>
        </w:numPr>
        <w:spacing w:after="120"/>
        <w:ind w:left="360"/>
      </w:pPr>
      <w:r w:rsidRPr="00743C18">
        <w:t>For PY7, the SWE identified instances where EDCs did not use the correct in-service rate (ISR) from the applicable Pennsylvania TRM for residential lighting measures. All EDCs must use the ISR for residential lighting measures provided in the TRM applicable for PY7, unless the EDC has conducted research in its service area to document the actual ISR achieved during PY7.</w:t>
      </w:r>
    </w:p>
    <w:p w:rsidR="00F73191" w:rsidRPr="00743C18" w:rsidRDefault="00F73191" w:rsidP="00D405A7">
      <w:pPr>
        <w:numPr>
          <w:ilvl w:val="0"/>
          <w:numId w:val="23"/>
        </w:numPr>
        <w:spacing w:after="120"/>
        <w:ind w:left="360"/>
        <w:rPr>
          <w:u w:val="single"/>
        </w:rPr>
      </w:pPr>
      <w:r w:rsidRPr="00743C18">
        <w:t xml:space="preserve">The SWE Team completed 61 ride-along site inspection reports (RASIRs) of randomly selected PY7 C/I energy efficiency measure installations. Through these rigorous ride-along site inspections, the SWE Team found that the EDC site inspection evaluation process has improved from PY6 and that installed projects were far more likely to match the application in terms of equipment type and quantity across all EDCs. Also of note for PY7 is the difficulty that some EDC evaluation teams had in securing the first choice for a project on-site inspection; in many cases they had to use project participants from the list of alternate sites. </w:t>
      </w:r>
    </w:p>
    <w:p w:rsidR="00EA49E4" w:rsidRPr="00743C18" w:rsidRDefault="00F73191" w:rsidP="00D405A7">
      <w:pPr>
        <w:numPr>
          <w:ilvl w:val="0"/>
          <w:numId w:val="23"/>
        </w:numPr>
        <w:spacing w:after="120"/>
        <w:ind w:left="360"/>
        <w:rPr>
          <w:szCs w:val="20"/>
        </w:rPr>
      </w:pPr>
      <w:r w:rsidRPr="00743C18">
        <w:rPr>
          <w:szCs w:val="20"/>
        </w:rPr>
        <w:t>The EDC PY5</w:t>
      </w:r>
      <w:r w:rsidR="00AE505B" w:rsidRPr="00743C18">
        <w:rPr>
          <w:szCs w:val="20"/>
        </w:rPr>
        <w:t>,</w:t>
      </w:r>
      <w:r w:rsidRPr="00743C18">
        <w:rPr>
          <w:szCs w:val="20"/>
        </w:rPr>
        <w:t xml:space="preserve"> PY6</w:t>
      </w:r>
      <w:r w:rsidR="00220780" w:rsidRPr="00743C18">
        <w:rPr>
          <w:szCs w:val="20"/>
        </w:rPr>
        <w:t>,</w:t>
      </w:r>
      <w:r w:rsidR="00AE505B" w:rsidRPr="00743C18">
        <w:rPr>
          <w:szCs w:val="20"/>
        </w:rPr>
        <w:t xml:space="preserve"> and PY7</w:t>
      </w:r>
      <w:r w:rsidRPr="00743C18">
        <w:rPr>
          <w:szCs w:val="20"/>
        </w:rPr>
        <w:t xml:space="preserve"> annual reports to the PUC show different participation rates across EDCs for similar types of programs. The SWE</w:t>
      </w:r>
      <w:r w:rsidR="00AE505B" w:rsidRPr="00743C18">
        <w:rPr>
          <w:szCs w:val="20"/>
        </w:rPr>
        <w:t xml:space="preserve"> recommends that the TUS staff</w:t>
      </w:r>
      <w:r w:rsidRPr="00743C18">
        <w:rPr>
          <w:szCs w:val="20"/>
        </w:rPr>
        <w:t xml:space="preserve"> </w:t>
      </w:r>
      <w:r w:rsidR="00CF6FDA" w:rsidRPr="00743C18">
        <w:rPr>
          <w:szCs w:val="20"/>
        </w:rPr>
        <w:t>and the Phase III SWE conduct a study to examine this issue more thoroughly in order to understand the factors causing these different levels of participation, including whether the EDCs are calculating and reporting participation rates on the same basis. The results of this analysis can be used for two purposes</w:t>
      </w:r>
      <w:r w:rsidRPr="00743C18">
        <w:rPr>
          <w:szCs w:val="20"/>
        </w:rPr>
        <w:t xml:space="preserve">: </w:t>
      </w:r>
    </w:p>
    <w:p w:rsidR="00EA49E4" w:rsidRPr="00743C18" w:rsidRDefault="00034173" w:rsidP="006142E6">
      <w:pPr>
        <w:numPr>
          <w:ilvl w:val="1"/>
          <w:numId w:val="23"/>
        </w:numPr>
        <w:ind w:left="720"/>
        <w:contextualSpacing/>
        <w:rPr>
          <w:szCs w:val="20"/>
        </w:rPr>
      </w:pPr>
      <w:r>
        <w:rPr>
          <w:szCs w:val="20"/>
        </w:rPr>
        <w:t>T</w:t>
      </w:r>
      <w:r w:rsidR="00F73191" w:rsidRPr="00743C18">
        <w:rPr>
          <w:szCs w:val="20"/>
        </w:rPr>
        <w:t>o clarify how program participation levels and participation rates should be calculated and reported to the PUC</w:t>
      </w:r>
      <w:r w:rsidR="00EA49E4" w:rsidRPr="00743C18">
        <w:rPr>
          <w:szCs w:val="20"/>
        </w:rPr>
        <w:t>;</w:t>
      </w:r>
      <w:r w:rsidR="00F73191" w:rsidRPr="00743C18">
        <w:rPr>
          <w:szCs w:val="20"/>
        </w:rPr>
        <w:t xml:space="preserve"> and </w:t>
      </w:r>
    </w:p>
    <w:p w:rsidR="00F73191" w:rsidRPr="00743C18" w:rsidRDefault="00034173" w:rsidP="00DA1ADA">
      <w:pPr>
        <w:numPr>
          <w:ilvl w:val="1"/>
          <w:numId w:val="23"/>
        </w:numPr>
        <w:spacing w:after="120"/>
        <w:ind w:left="720"/>
        <w:rPr>
          <w:szCs w:val="20"/>
        </w:rPr>
      </w:pPr>
      <w:r>
        <w:rPr>
          <w:szCs w:val="20"/>
        </w:rPr>
        <w:t>T</w:t>
      </w:r>
      <w:r w:rsidR="00F73191" w:rsidRPr="00743C18">
        <w:rPr>
          <w:szCs w:val="20"/>
        </w:rPr>
        <w:t xml:space="preserve">o </w:t>
      </w:r>
      <w:r w:rsidR="00AE505B" w:rsidRPr="00743C18">
        <w:rPr>
          <w:szCs w:val="20"/>
        </w:rPr>
        <w:t>identify</w:t>
      </w:r>
      <w:r w:rsidR="00F73191" w:rsidRPr="00743C18">
        <w:rPr>
          <w:szCs w:val="20"/>
        </w:rPr>
        <w:t xml:space="preserve"> whether any EDC should consider modifying the design attributes (marketing strategy, delivery channels, incentive levels, education and outreach efforts, etc.) of a program in order to improve program efficiency and effectiveness. Such modifications or enhancements to these aspects of program design are very important when trying </w:t>
      </w:r>
      <w:r w:rsidR="00AE505B" w:rsidRPr="00743C18">
        <w:rPr>
          <w:szCs w:val="20"/>
        </w:rPr>
        <w:t>to improve participation rates.</w:t>
      </w:r>
    </w:p>
    <w:p w:rsidR="00F73191" w:rsidRPr="00DA1ADA" w:rsidRDefault="00F73191" w:rsidP="00D405A7">
      <w:pPr>
        <w:numPr>
          <w:ilvl w:val="0"/>
          <w:numId w:val="23"/>
        </w:numPr>
        <w:spacing w:after="120"/>
        <w:ind w:left="360"/>
      </w:pPr>
      <w:r w:rsidRPr="00DA1ADA">
        <w:t>Evaluations of home energy audit programs may show opportunities for greater conversion from audits to incented projects, with some evaluations identifying specific market barriers. Conversion of an energy audit participant to a program participant may not occur within the same program year. Going forward, the SWE recommends that EDC evaluation contractors should investigate whether customers who had energy audits in a given program are more likely than customers who did not receive an audit to carry out incented projects in later program years. Currently such data or information are not available for the EDC home energy audit programs. EDCs also should investigate ways to overcome identified barriers and in general increase follow-up outreach to audit participants to encourage conversion.</w:t>
      </w:r>
    </w:p>
    <w:p w:rsidR="00F73191" w:rsidRPr="00743C18" w:rsidRDefault="00F73191" w:rsidP="00D405A7">
      <w:pPr>
        <w:pStyle w:val="ListParagraph"/>
        <w:numPr>
          <w:ilvl w:val="0"/>
          <w:numId w:val="23"/>
        </w:numPr>
        <w:spacing w:after="120"/>
        <w:ind w:left="360"/>
        <w:contextualSpacing w:val="0"/>
      </w:pPr>
      <w:r w:rsidRPr="00743C18">
        <w:t>The process evaluation of PPL’s residential lighting program</w:t>
      </w:r>
      <w:r w:rsidR="00CF6FDA" w:rsidRPr="00743C18">
        <w:t xml:space="preserve"> (</w:t>
      </w:r>
      <w:r w:rsidR="00371E06">
        <w:t>which</w:t>
      </w:r>
      <w:r w:rsidR="000826FB" w:rsidRPr="00743C18">
        <w:t xml:space="preserve"> offered only discounted</w:t>
      </w:r>
      <w:r w:rsidR="00371E06">
        <w:t xml:space="preserve"> light-emitting diodes [</w:t>
      </w:r>
      <w:r w:rsidR="000826FB" w:rsidRPr="00743C18">
        <w:t>LEDs</w:t>
      </w:r>
      <w:r w:rsidR="00371E06">
        <w:t>]</w:t>
      </w:r>
      <w:r w:rsidR="000826FB" w:rsidRPr="00743C18">
        <w:t xml:space="preserve"> throughout Phase II</w:t>
      </w:r>
      <w:r w:rsidR="00CF6FDA" w:rsidRPr="00743C18">
        <w:t xml:space="preserve">) </w:t>
      </w:r>
      <w:r w:rsidRPr="00743C18">
        <w:t>found that</w:t>
      </w:r>
      <w:r w:rsidR="00B4325A" w:rsidRPr="00743C18">
        <w:t xml:space="preserve"> compact fluorescent light (</w:t>
      </w:r>
      <w:r w:rsidRPr="00743C18">
        <w:t>CFL</w:t>
      </w:r>
      <w:r w:rsidR="00B4325A" w:rsidRPr="00743C18">
        <w:t>) bulbs</w:t>
      </w:r>
      <w:r w:rsidRPr="00743C18">
        <w:t xml:space="preserve"> disposal behavior remains relatively unchanged from prior years, with over half of customers disposing of CFLs </w:t>
      </w:r>
      <w:r w:rsidRPr="00743C18">
        <w:lastRenderedPageBreak/>
        <w:t>in the trash, in spite of</w:t>
      </w:r>
      <w:r w:rsidR="00B4325A" w:rsidRPr="00743C18">
        <w:t xml:space="preserve"> there being</w:t>
      </w:r>
      <w:r w:rsidRPr="00743C18">
        <w:t xml:space="preserve"> more recycling bins in diverse locations.</w:t>
      </w:r>
      <w:r w:rsidR="00101D57" w:rsidRPr="00743C18">
        <w:t xml:space="preserve"> T</w:t>
      </w:r>
      <w:r w:rsidRPr="00743C18">
        <w:t>he SWE recommends that</w:t>
      </w:r>
      <w:r w:rsidR="00101D57" w:rsidRPr="00743C18">
        <w:t xml:space="preserve"> if this is not already addressed by the EDCs, that</w:t>
      </w:r>
      <w:r w:rsidRPr="00743C18">
        <w:t xml:space="preserve"> the EDCs work together during </w:t>
      </w:r>
      <w:r w:rsidR="00AE505B" w:rsidRPr="00743C18">
        <w:t>Phase III</w:t>
      </w:r>
      <w:r w:rsidRPr="00743C18">
        <w:t xml:space="preserve"> to modify the education and outreach portion of residential lighting programs, in order to increase significantly the percentage of customers who dispose of CFLs in recycling bins.</w:t>
      </w:r>
    </w:p>
    <w:p w:rsidR="00F73191" w:rsidRPr="00743C18" w:rsidRDefault="00C2362E" w:rsidP="00D405A7">
      <w:pPr>
        <w:pStyle w:val="ListParagraph"/>
        <w:numPr>
          <w:ilvl w:val="0"/>
          <w:numId w:val="23"/>
        </w:numPr>
        <w:spacing w:after="120"/>
        <w:ind w:left="360"/>
        <w:contextualSpacing w:val="0"/>
      </w:pPr>
      <w:r w:rsidRPr="00743C18">
        <w:t>The SWE Team found a few instances where EDCs did not use measure lives listed in the TRM in their calculations of the TRC test. The SWE recommends that the TRM be used as the primary source for measure life values when they are available and listed in the Pennsylvania TRM. In addition, the SWE recommends that errors in the use of measure lives be corrected in each EDC’s final report for Phase II, if these corrections will cause the overall EDC portfolio TRC ratio for PY7 to change by more tha</w:t>
      </w:r>
      <w:r w:rsidR="00371E06">
        <w:t>n plus or minus 1%</w:t>
      </w:r>
      <w:r w:rsidR="00F73191" w:rsidRPr="00743C18">
        <w:t>.</w:t>
      </w:r>
    </w:p>
    <w:p w:rsidR="00F73191" w:rsidRPr="00743C18" w:rsidRDefault="00F67288" w:rsidP="00D405A7">
      <w:pPr>
        <w:pStyle w:val="ListParagraph"/>
        <w:numPr>
          <w:ilvl w:val="0"/>
          <w:numId w:val="23"/>
        </w:numPr>
        <w:spacing w:after="120"/>
        <w:ind w:left="360"/>
        <w:contextualSpacing w:val="0"/>
      </w:pPr>
      <w:r w:rsidRPr="00743C18">
        <w:t>The SWE Team recommends that EDCs provide additional documentation of the methodology and data used to calculate cross-sector residential lighting and low-income sales. In order to provide more foundation for the calculations of cross-sector sales estimates, the SWE recommends that each EDC should report the sample sizes used for the evaluation research, the distribution of intercept stores (name of store, size of store, etc.), distribution of weekend versus weekday intercept surveys, and time of year the intercept surveys were administered. This information would allow the SWE Team to understand whether there may have been any changes over time in the methodology used by EDCs to estimate cross-sector sales. Changing the methodology over time can affect the research results. The SWE wants to ensure that changes in estimates of such cross-sector sales of lighting products are driven entirely by changes to program design rather than changes in research methods and sampling techniques. Given the upstream residential lighting programs’ significant contribution to each EDC’s portfolio savings, the SWE Team recommends that the EDC evaluation contractors include additional details regarding the research methods in future annual reports as well as a discussion related to differences in parameter estimates. The Phase II SWE also recommends that the Phase III SWE consider developing guidelines or protocols for research methods to be used for determining cross</w:t>
      </w:r>
      <w:r w:rsidR="00371E06">
        <w:t>-</w:t>
      </w:r>
      <w:r w:rsidRPr="00743C18">
        <w:t>sector sales</w:t>
      </w:r>
      <w:r w:rsidR="00F73191" w:rsidRPr="00743C18">
        <w:t xml:space="preserve">. </w:t>
      </w:r>
    </w:p>
    <w:p w:rsidR="00F73191" w:rsidRPr="00743C18" w:rsidRDefault="00F73191" w:rsidP="00D405A7">
      <w:pPr>
        <w:pStyle w:val="bullettext"/>
        <w:numPr>
          <w:ilvl w:val="0"/>
          <w:numId w:val="23"/>
        </w:numPr>
        <w:ind w:left="360"/>
      </w:pPr>
      <w:r w:rsidRPr="00743C18">
        <w:t>The SWE recommends that thorough auditing of program applications for C/I measures be continued by EDCs, to ensure clarity of the project files for the subsequent SWE review.</w:t>
      </w:r>
    </w:p>
    <w:p w:rsidR="00F73191" w:rsidRPr="00743C18" w:rsidRDefault="00F73191" w:rsidP="00D405A7">
      <w:pPr>
        <w:pStyle w:val="ListParagraph"/>
        <w:numPr>
          <w:ilvl w:val="0"/>
          <w:numId w:val="23"/>
        </w:numPr>
        <w:ind w:left="360"/>
        <w:contextualSpacing w:val="0"/>
      </w:pPr>
      <w:r w:rsidRPr="00743C18">
        <w:t xml:space="preserve">The SWE Team found that all EDCs either used the approved common NTG research methods or used them with acceptable modifications. Some EDCs also used other acceptable methods where the SWE Team did not establish a common method. The SWE Team continues to recommend that, where applicable, the EDC </w:t>
      </w:r>
      <w:r w:rsidRPr="00743C18">
        <w:rPr>
          <w:color w:val="000000"/>
        </w:rPr>
        <w:t>evaluation contractor</w:t>
      </w:r>
      <w:r w:rsidR="00101D57" w:rsidRPr="00743C18">
        <w:rPr>
          <w:color w:val="000000"/>
        </w:rPr>
        <w:t>’s</w:t>
      </w:r>
      <w:r w:rsidRPr="00743C18">
        <w:rPr>
          <w:color w:val="000000"/>
        </w:rPr>
        <w:t xml:space="preserve"> </w:t>
      </w:r>
      <w:r w:rsidRPr="00743C18">
        <w:t>report explicitly state how a given survey instrument differs from the common NTG method approved by the SWE and TUS, and why the EDC survey instrument, if different than the common method, would not produce a systematically different result from the result that would be achieved if the common method were used.</w:t>
      </w:r>
    </w:p>
    <w:p w:rsidR="00F73191" w:rsidRDefault="00F73191" w:rsidP="00F73191">
      <w:pPr>
        <w:pStyle w:val="ListParagraph"/>
        <w:ind w:left="360"/>
      </w:pPr>
    </w:p>
    <w:p w:rsidR="00F73191" w:rsidRDefault="00F73191" w:rsidP="00F73191">
      <w:bookmarkStart w:id="27" w:name="_Toc426989585"/>
      <w:r w:rsidRPr="00E83083">
        <w:t>As of May 31, 201</w:t>
      </w:r>
      <w:r>
        <w:t>6</w:t>
      </w:r>
      <w:r w:rsidRPr="00E83083">
        <w:t xml:space="preserve"> (the end of PY</w:t>
      </w:r>
      <w:r>
        <w:t>7</w:t>
      </w:r>
      <w:r w:rsidRPr="00E83083">
        <w:t xml:space="preserve">), the seven EDCs collectively saved </w:t>
      </w:r>
      <w:r w:rsidR="00B2504C">
        <w:t>4,400,578</w:t>
      </w:r>
      <w:r w:rsidRPr="006872F3">
        <w:t xml:space="preserve"> MWh</w:t>
      </w:r>
      <w:r>
        <w:t>/yr (i.e., on a cumulative annual basis)</w:t>
      </w:r>
      <w:r w:rsidRPr="006872F3">
        <w:t xml:space="preserve"> and </w:t>
      </w:r>
      <w:r w:rsidR="00DD1BDA">
        <w:t>524</w:t>
      </w:r>
      <w:r w:rsidRPr="006872F3">
        <w:t xml:space="preserve"> MW</w:t>
      </w:r>
      <w:r w:rsidRPr="008C19A3">
        <w:t xml:space="preserve"> during Phase II.</w:t>
      </w:r>
      <w:r w:rsidRPr="008C19A3">
        <w:rPr>
          <w:vertAlign w:val="superscript"/>
        </w:rPr>
        <w:footnoteReference w:id="13"/>
      </w:r>
      <w:r w:rsidRPr="00F26C5E">
        <w:t xml:space="preserve"> </w:t>
      </w:r>
      <w:r>
        <w:t xml:space="preserve">Table 1-3 </w:t>
      </w:r>
      <w:r w:rsidRPr="00F26C5E">
        <w:t>provides</w:t>
      </w:r>
      <w:r w:rsidRPr="00E83083">
        <w:t xml:space="preserve"> a status </w:t>
      </w:r>
      <w:r>
        <w:t>report</w:t>
      </w:r>
      <w:r w:rsidRPr="00E83083">
        <w:t xml:space="preserve"> on each EDC’s </w:t>
      </w:r>
      <w:r w:rsidRPr="00984719">
        <w:t>progress toward reaching its Phase II savings targets as of the end of PY</w:t>
      </w:r>
      <w:r>
        <w:t>7</w:t>
      </w:r>
      <w:r w:rsidRPr="00984719">
        <w:t xml:space="preserve">. These savings are attributable </w:t>
      </w:r>
      <w:r w:rsidRPr="00984719">
        <w:lastRenderedPageBreak/>
        <w:t xml:space="preserve">to </w:t>
      </w:r>
      <w:r w:rsidR="00DD1BDA">
        <w:t>more than 80</w:t>
      </w:r>
      <w:r w:rsidRPr="00984719">
        <w:t xml:space="preserve"> EE&amp;C programs</w:t>
      </w:r>
      <w:r w:rsidRPr="00E83083">
        <w:t xml:space="preserve"> implemented by the seven EDCs. </w:t>
      </w:r>
      <w:r>
        <w:t xml:space="preserve">All of the EDCs met their overall energy savings targets for Phase II. </w:t>
      </w:r>
      <w:r w:rsidR="00A70171">
        <w:fldChar w:fldCharType="begin"/>
      </w:r>
      <w:r w:rsidR="00A70171">
        <w:instrText xml:space="preserve"> REF _Ref472410514 \h </w:instrText>
      </w:r>
      <w:r w:rsidR="00A70171">
        <w:fldChar w:fldCharType="separate"/>
      </w:r>
      <w:r w:rsidR="00C301D0">
        <w:t xml:space="preserve">Table </w:t>
      </w:r>
      <w:r w:rsidR="00C301D0">
        <w:rPr>
          <w:noProof/>
        </w:rPr>
        <w:t>1</w:t>
      </w:r>
      <w:r w:rsidR="00C301D0">
        <w:noBreakHyphen/>
      </w:r>
      <w:r w:rsidR="00C301D0">
        <w:rPr>
          <w:noProof/>
        </w:rPr>
        <w:t>3</w:t>
      </w:r>
      <w:r w:rsidR="00A70171">
        <w:fldChar w:fldCharType="end"/>
      </w:r>
      <w:r>
        <w:t xml:space="preserve"> </w:t>
      </w:r>
      <w:r w:rsidRPr="00F26C5E">
        <w:t>also provides the EDCs</w:t>
      </w:r>
      <w:r>
        <w:t>’</w:t>
      </w:r>
      <w:r w:rsidRPr="00F26C5E">
        <w:t xml:space="preserve"> progress toward their Phase II low-income and GNI carve</w:t>
      </w:r>
      <w:r>
        <w:t>-</w:t>
      </w:r>
      <w:r w:rsidRPr="00F26C5E">
        <w:t>out goals</w:t>
      </w:r>
      <w:r w:rsidRPr="0086037B">
        <w:t>.</w:t>
      </w:r>
      <w:r w:rsidRPr="008C19A3">
        <w:t xml:space="preserve"> </w:t>
      </w:r>
      <w:r>
        <w:t xml:space="preserve">All of the EDCs achieved their low-income and GNI carve-out goals for Phase II. </w:t>
      </w:r>
    </w:p>
    <w:p w:rsidR="00F73191" w:rsidRDefault="00F73191" w:rsidP="00F73191"/>
    <w:p w:rsidR="00F73191" w:rsidRDefault="00A70171" w:rsidP="00A70171">
      <w:pPr>
        <w:pStyle w:val="Caption"/>
        <w:keepNext/>
      </w:pPr>
      <w:bookmarkStart w:id="28" w:name="_Ref472410514"/>
      <w:bookmarkStart w:id="29" w:name="_Ref433291815"/>
      <w:bookmarkStart w:id="30" w:name="_Toc274920617"/>
      <w:bookmarkStart w:id="31" w:name="_Toc286412323"/>
      <w:bookmarkStart w:id="32" w:name="_Toc330455723"/>
      <w:bookmarkStart w:id="33" w:name="_Toc346293917"/>
      <w:bookmarkStart w:id="34" w:name="_Toc350170275"/>
      <w:bookmarkStart w:id="35" w:name="_Toc409224975"/>
      <w:bookmarkStart w:id="36" w:name="_Toc409443527"/>
      <w:bookmarkStart w:id="37" w:name="_Toc445206146"/>
      <w:bookmarkStart w:id="38" w:name="_Toc472472155"/>
      <w:bookmarkStart w:id="39" w:name="_Toc476913967"/>
      <w:r>
        <w:t xml:space="preserve">Table </w:t>
      </w:r>
      <w:fldSimple w:instr=" STYLEREF 1 \s ">
        <w:r w:rsidR="00C301D0">
          <w:rPr>
            <w:noProof/>
          </w:rPr>
          <w:t>1</w:t>
        </w:r>
      </w:fldSimple>
      <w:r w:rsidR="00E6042C">
        <w:noBreakHyphen/>
      </w:r>
      <w:fldSimple w:instr=" SEQ Table \* ARABIC \s 1 ">
        <w:r w:rsidR="00C301D0">
          <w:rPr>
            <w:noProof/>
          </w:rPr>
          <w:t>3</w:t>
        </w:r>
      </w:fldSimple>
      <w:bookmarkEnd w:id="28"/>
      <w:r>
        <w:t>:</w:t>
      </w:r>
      <w:bookmarkEnd w:id="29"/>
      <w:r w:rsidR="00F73191" w:rsidRPr="00A07887">
        <w:t xml:space="preserve"> Summary of Progress </w:t>
      </w:r>
      <w:r w:rsidR="003C2064">
        <w:t>Toward</w:t>
      </w:r>
      <w:r w:rsidR="00F73191" w:rsidRPr="00A07887">
        <w:t xml:space="preserve"> Achieving Phase II Energy Savings Compliance as of the End of PY</w:t>
      </w:r>
      <w:bookmarkEnd w:id="30"/>
      <w:bookmarkEnd w:id="31"/>
      <w:bookmarkEnd w:id="32"/>
      <w:bookmarkEnd w:id="33"/>
      <w:bookmarkEnd w:id="34"/>
      <w:bookmarkEnd w:id="35"/>
      <w:bookmarkEnd w:id="36"/>
      <w:bookmarkEnd w:id="37"/>
      <w:r w:rsidR="00F73191">
        <w:t>7</w:t>
      </w:r>
      <w:bookmarkStart w:id="40" w:name="_Ref409110596"/>
      <w:bookmarkStart w:id="41" w:name="_Ref433291790"/>
      <w:bookmarkStart w:id="42" w:name="_Toc346294012"/>
      <w:bookmarkStart w:id="43" w:name="_Toc350154849"/>
      <w:bookmarkStart w:id="44" w:name="_Ref409110581"/>
      <w:bookmarkStart w:id="45" w:name="_Toc409224943"/>
      <w:bookmarkStart w:id="46" w:name="_Toc409443622"/>
      <w:bookmarkEnd w:id="38"/>
      <w:bookmarkEnd w:id="39"/>
    </w:p>
    <w:tbl>
      <w:tblPr>
        <w:tblW w:w="9440" w:type="dxa"/>
        <w:tblLook w:val="04A0" w:firstRow="1" w:lastRow="0" w:firstColumn="1" w:lastColumn="0" w:noHBand="0" w:noVBand="1"/>
      </w:tblPr>
      <w:tblGrid>
        <w:gridCol w:w="1528"/>
        <w:gridCol w:w="1359"/>
        <w:gridCol w:w="1053"/>
        <w:gridCol w:w="1071"/>
        <w:gridCol w:w="1120"/>
        <w:gridCol w:w="951"/>
        <w:gridCol w:w="936"/>
        <w:gridCol w:w="711"/>
        <w:gridCol w:w="711"/>
      </w:tblGrid>
      <w:tr w:rsidR="00A874AC" w:rsidRPr="0087376F" w:rsidTr="008936E7">
        <w:trPr>
          <w:trHeight w:val="525"/>
          <w:tblHeader/>
        </w:trPr>
        <w:tc>
          <w:tcPr>
            <w:tcW w:w="1528" w:type="dxa"/>
            <w:tcBorders>
              <w:top w:val="single" w:sz="8" w:space="0" w:color="448A99"/>
              <w:left w:val="single" w:sz="8" w:space="0" w:color="448A99"/>
              <w:bottom w:val="single" w:sz="8" w:space="0" w:color="448A99"/>
              <w:right w:val="nil"/>
            </w:tcBorders>
            <w:shd w:val="clear" w:color="000000" w:fill="448A99"/>
            <w:vAlign w:val="bottom"/>
            <w:hideMark/>
          </w:tcPr>
          <w:p w:rsidR="0087376F" w:rsidRPr="0087376F" w:rsidRDefault="0087376F" w:rsidP="006142E6">
            <w:pPr>
              <w:jc w:val="left"/>
              <w:rPr>
                <w:b/>
                <w:bCs/>
                <w:color w:val="FFFFFF"/>
                <w:sz w:val="20"/>
                <w:szCs w:val="20"/>
              </w:rPr>
            </w:pPr>
            <w:r w:rsidRPr="0087376F">
              <w:rPr>
                <w:b/>
                <w:bCs/>
                <w:color w:val="FFFFFF"/>
                <w:sz w:val="20"/>
                <w:szCs w:val="20"/>
              </w:rPr>
              <w:t>% of Target Achieved</w:t>
            </w:r>
          </w:p>
        </w:tc>
        <w:tc>
          <w:tcPr>
            <w:tcW w:w="1359"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87376F" w:rsidRPr="0087376F" w:rsidRDefault="0087376F" w:rsidP="006142E6">
            <w:pPr>
              <w:jc w:val="center"/>
              <w:rPr>
                <w:b/>
                <w:bCs/>
                <w:color w:val="FFFFFF"/>
                <w:sz w:val="20"/>
                <w:szCs w:val="20"/>
              </w:rPr>
            </w:pPr>
            <w:r w:rsidRPr="0087376F">
              <w:rPr>
                <w:b/>
                <w:bCs/>
                <w:color w:val="FFFFFF"/>
                <w:sz w:val="20"/>
                <w:szCs w:val="20"/>
              </w:rPr>
              <w:t>Statewide</w:t>
            </w:r>
          </w:p>
        </w:tc>
        <w:tc>
          <w:tcPr>
            <w:tcW w:w="1053"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87376F" w:rsidRDefault="0087376F" w:rsidP="006142E6">
            <w:pPr>
              <w:jc w:val="center"/>
              <w:rPr>
                <w:b/>
                <w:bCs/>
                <w:color w:val="FFFFFF"/>
                <w:sz w:val="20"/>
                <w:szCs w:val="20"/>
              </w:rPr>
            </w:pPr>
            <w:r w:rsidRPr="0087376F">
              <w:rPr>
                <w:b/>
                <w:bCs/>
                <w:color w:val="FFFFFF"/>
                <w:sz w:val="20"/>
                <w:szCs w:val="20"/>
              </w:rPr>
              <w:t>Duquesne</w:t>
            </w:r>
          </w:p>
        </w:tc>
        <w:tc>
          <w:tcPr>
            <w:tcW w:w="1071"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87376F" w:rsidRDefault="0087376F" w:rsidP="006142E6">
            <w:pPr>
              <w:jc w:val="center"/>
              <w:rPr>
                <w:b/>
                <w:bCs/>
                <w:color w:val="FFFFFF"/>
                <w:sz w:val="20"/>
                <w:szCs w:val="20"/>
              </w:rPr>
            </w:pPr>
            <w:r w:rsidRPr="0087376F">
              <w:rPr>
                <w:b/>
                <w:bCs/>
                <w:color w:val="FFFFFF"/>
                <w:sz w:val="20"/>
                <w:szCs w:val="20"/>
              </w:rPr>
              <w:t>FE: Met-Ed</w:t>
            </w:r>
          </w:p>
        </w:tc>
        <w:tc>
          <w:tcPr>
            <w:tcW w:w="1120"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87376F" w:rsidRDefault="0087376F" w:rsidP="006142E6">
            <w:pPr>
              <w:jc w:val="center"/>
              <w:rPr>
                <w:b/>
                <w:bCs/>
                <w:color w:val="FFFFFF"/>
                <w:sz w:val="20"/>
                <w:szCs w:val="20"/>
              </w:rPr>
            </w:pPr>
            <w:r w:rsidRPr="0087376F">
              <w:rPr>
                <w:b/>
                <w:bCs/>
                <w:color w:val="FFFFFF"/>
                <w:sz w:val="20"/>
                <w:szCs w:val="20"/>
              </w:rPr>
              <w:t>FE: Penelec</w:t>
            </w:r>
          </w:p>
        </w:tc>
        <w:tc>
          <w:tcPr>
            <w:tcW w:w="951"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87376F" w:rsidRDefault="0087376F" w:rsidP="006142E6">
            <w:pPr>
              <w:jc w:val="center"/>
              <w:rPr>
                <w:b/>
                <w:bCs/>
                <w:color w:val="FFFFFF"/>
                <w:sz w:val="20"/>
                <w:szCs w:val="20"/>
              </w:rPr>
            </w:pPr>
            <w:r w:rsidRPr="0087376F">
              <w:rPr>
                <w:b/>
                <w:bCs/>
                <w:color w:val="FFFFFF"/>
                <w:sz w:val="20"/>
                <w:szCs w:val="20"/>
              </w:rPr>
              <w:t>FE: Penn Power</w:t>
            </w:r>
          </w:p>
        </w:tc>
        <w:tc>
          <w:tcPr>
            <w:tcW w:w="936"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87376F" w:rsidRDefault="0087376F" w:rsidP="006142E6">
            <w:pPr>
              <w:jc w:val="center"/>
              <w:rPr>
                <w:b/>
                <w:bCs/>
                <w:color w:val="FFFFFF"/>
                <w:sz w:val="20"/>
                <w:szCs w:val="20"/>
              </w:rPr>
            </w:pPr>
            <w:r w:rsidRPr="0087376F">
              <w:rPr>
                <w:b/>
                <w:bCs/>
                <w:color w:val="FFFFFF"/>
                <w:sz w:val="20"/>
                <w:szCs w:val="20"/>
              </w:rPr>
              <w:t>FE: West Penn</w:t>
            </w:r>
          </w:p>
        </w:tc>
        <w:tc>
          <w:tcPr>
            <w:tcW w:w="711"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87376F" w:rsidRDefault="0087376F" w:rsidP="006142E6">
            <w:pPr>
              <w:jc w:val="center"/>
              <w:rPr>
                <w:b/>
                <w:bCs/>
                <w:color w:val="FFFFFF"/>
                <w:sz w:val="20"/>
                <w:szCs w:val="20"/>
              </w:rPr>
            </w:pPr>
            <w:r w:rsidRPr="0087376F">
              <w:rPr>
                <w:b/>
                <w:bCs/>
                <w:color w:val="FFFFFF"/>
                <w:sz w:val="20"/>
                <w:szCs w:val="20"/>
              </w:rPr>
              <w:t>PECO</w:t>
            </w:r>
          </w:p>
        </w:tc>
        <w:tc>
          <w:tcPr>
            <w:tcW w:w="711" w:type="dxa"/>
            <w:tcBorders>
              <w:top w:val="single" w:sz="8" w:space="0" w:color="448A99"/>
              <w:left w:val="nil"/>
              <w:bottom w:val="single" w:sz="8" w:space="0" w:color="448A99"/>
              <w:right w:val="single" w:sz="8" w:space="0" w:color="448A99"/>
            </w:tcBorders>
            <w:shd w:val="clear" w:color="000000" w:fill="448A99"/>
            <w:vAlign w:val="bottom"/>
            <w:hideMark/>
          </w:tcPr>
          <w:p w:rsidR="0087376F" w:rsidRPr="0087376F" w:rsidRDefault="0087376F" w:rsidP="006142E6">
            <w:pPr>
              <w:jc w:val="center"/>
              <w:rPr>
                <w:b/>
                <w:bCs/>
                <w:color w:val="FFFFFF"/>
                <w:sz w:val="20"/>
                <w:szCs w:val="20"/>
              </w:rPr>
            </w:pPr>
            <w:r w:rsidRPr="0087376F">
              <w:rPr>
                <w:b/>
                <w:bCs/>
                <w:color w:val="FFFFFF"/>
                <w:sz w:val="20"/>
                <w:szCs w:val="20"/>
              </w:rPr>
              <w:t>PPL</w:t>
            </w:r>
          </w:p>
        </w:tc>
      </w:tr>
      <w:tr w:rsidR="00A874AC" w:rsidRPr="0087376F" w:rsidTr="008936E7">
        <w:trPr>
          <w:trHeight w:val="525"/>
        </w:trPr>
        <w:tc>
          <w:tcPr>
            <w:tcW w:w="1528" w:type="dxa"/>
            <w:tcBorders>
              <w:top w:val="nil"/>
              <w:left w:val="single" w:sz="8" w:space="0" w:color="448A99"/>
              <w:bottom w:val="single" w:sz="8" w:space="0" w:color="448A99"/>
              <w:right w:val="nil"/>
            </w:tcBorders>
            <w:shd w:val="clear" w:color="000000" w:fill="D2EAF1"/>
            <w:vAlign w:val="center"/>
            <w:hideMark/>
          </w:tcPr>
          <w:p w:rsidR="0087376F" w:rsidRPr="0087376F" w:rsidRDefault="0087376F" w:rsidP="006142E6">
            <w:pPr>
              <w:jc w:val="left"/>
              <w:rPr>
                <w:color w:val="000000"/>
                <w:sz w:val="20"/>
                <w:szCs w:val="20"/>
              </w:rPr>
            </w:pPr>
            <w:r w:rsidRPr="0087376F">
              <w:rPr>
                <w:color w:val="000000"/>
                <w:sz w:val="20"/>
                <w:szCs w:val="20"/>
              </w:rPr>
              <w:t>% of Phase II Energy Savings Target</w:t>
            </w:r>
          </w:p>
        </w:tc>
        <w:tc>
          <w:tcPr>
            <w:tcW w:w="1359" w:type="dxa"/>
            <w:tcBorders>
              <w:top w:val="nil"/>
              <w:left w:val="single" w:sz="8" w:space="0" w:color="448A99"/>
              <w:bottom w:val="single" w:sz="8" w:space="0" w:color="448A99"/>
              <w:right w:val="single" w:sz="8" w:space="0" w:color="448A99"/>
            </w:tcBorders>
            <w:shd w:val="clear" w:color="000000" w:fill="D2EAF1"/>
            <w:vAlign w:val="center"/>
            <w:hideMark/>
          </w:tcPr>
          <w:p w:rsidR="0087376F" w:rsidRPr="0087376F" w:rsidRDefault="0087376F" w:rsidP="0087376F">
            <w:pPr>
              <w:jc w:val="center"/>
              <w:rPr>
                <w:b/>
                <w:bCs/>
                <w:color w:val="000000"/>
                <w:sz w:val="20"/>
                <w:szCs w:val="20"/>
              </w:rPr>
            </w:pPr>
            <w:r w:rsidRPr="0087376F">
              <w:rPr>
                <w:b/>
                <w:bCs/>
                <w:color w:val="000000"/>
                <w:sz w:val="20"/>
                <w:szCs w:val="20"/>
              </w:rPr>
              <w:t>133%</w:t>
            </w:r>
          </w:p>
        </w:tc>
        <w:tc>
          <w:tcPr>
            <w:tcW w:w="1053" w:type="dxa"/>
            <w:tcBorders>
              <w:top w:val="nil"/>
              <w:left w:val="nil"/>
              <w:bottom w:val="single" w:sz="8" w:space="0" w:color="448A99"/>
              <w:right w:val="single" w:sz="8" w:space="0" w:color="448A99"/>
            </w:tcBorders>
            <w:shd w:val="clear" w:color="000000" w:fill="D2EAF1"/>
            <w:vAlign w:val="center"/>
            <w:hideMark/>
          </w:tcPr>
          <w:p w:rsidR="0087376F" w:rsidRPr="0087376F" w:rsidRDefault="0087376F" w:rsidP="0087376F">
            <w:pPr>
              <w:jc w:val="center"/>
              <w:rPr>
                <w:color w:val="000000"/>
                <w:sz w:val="20"/>
                <w:szCs w:val="20"/>
              </w:rPr>
            </w:pPr>
            <w:r w:rsidRPr="0087376F">
              <w:rPr>
                <w:color w:val="000000"/>
                <w:sz w:val="20"/>
                <w:szCs w:val="20"/>
              </w:rPr>
              <w:t>185%</w:t>
            </w:r>
          </w:p>
        </w:tc>
        <w:tc>
          <w:tcPr>
            <w:tcW w:w="1071" w:type="dxa"/>
            <w:tcBorders>
              <w:top w:val="nil"/>
              <w:left w:val="nil"/>
              <w:bottom w:val="single" w:sz="8" w:space="0" w:color="448A99"/>
              <w:right w:val="single" w:sz="8" w:space="0" w:color="448A99"/>
            </w:tcBorders>
            <w:shd w:val="clear" w:color="000000" w:fill="D2EAF1"/>
            <w:vAlign w:val="center"/>
            <w:hideMark/>
          </w:tcPr>
          <w:p w:rsidR="0087376F" w:rsidRPr="0087376F" w:rsidRDefault="0087376F" w:rsidP="0087376F">
            <w:pPr>
              <w:jc w:val="center"/>
              <w:rPr>
                <w:color w:val="000000"/>
                <w:sz w:val="20"/>
                <w:szCs w:val="20"/>
              </w:rPr>
            </w:pPr>
            <w:r w:rsidRPr="0087376F">
              <w:rPr>
                <w:color w:val="000000"/>
                <w:sz w:val="20"/>
                <w:szCs w:val="20"/>
              </w:rPr>
              <w:t>123%</w:t>
            </w:r>
          </w:p>
        </w:tc>
        <w:tc>
          <w:tcPr>
            <w:tcW w:w="1120" w:type="dxa"/>
            <w:tcBorders>
              <w:top w:val="nil"/>
              <w:left w:val="nil"/>
              <w:bottom w:val="single" w:sz="8" w:space="0" w:color="448A99"/>
              <w:right w:val="single" w:sz="8" w:space="0" w:color="448A99"/>
            </w:tcBorders>
            <w:shd w:val="clear" w:color="000000" w:fill="D2EAF1"/>
            <w:vAlign w:val="center"/>
            <w:hideMark/>
          </w:tcPr>
          <w:p w:rsidR="0087376F" w:rsidRPr="0087376F" w:rsidRDefault="0087376F" w:rsidP="0087376F">
            <w:pPr>
              <w:jc w:val="center"/>
              <w:rPr>
                <w:color w:val="000000"/>
                <w:sz w:val="20"/>
                <w:szCs w:val="20"/>
              </w:rPr>
            </w:pPr>
            <w:r w:rsidRPr="0087376F">
              <w:rPr>
                <w:color w:val="000000"/>
                <w:sz w:val="20"/>
                <w:szCs w:val="20"/>
              </w:rPr>
              <w:t>124%</w:t>
            </w:r>
          </w:p>
        </w:tc>
        <w:tc>
          <w:tcPr>
            <w:tcW w:w="951" w:type="dxa"/>
            <w:tcBorders>
              <w:top w:val="nil"/>
              <w:left w:val="nil"/>
              <w:bottom w:val="single" w:sz="8" w:space="0" w:color="448A99"/>
              <w:right w:val="single" w:sz="8" w:space="0" w:color="448A99"/>
            </w:tcBorders>
            <w:shd w:val="clear" w:color="000000" w:fill="D2EAF1"/>
            <w:vAlign w:val="center"/>
            <w:hideMark/>
          </w:tcPr>
          <w:p w:rsidR="0087376F" w:rsidRPr="0087376F" w:rsidRDefault="0087376F" w:rsidP="0087376F">
            <w:pPr>
              <w:jc w:val="center"/>
              <w:rPr>
                <w:color w:val="000000"/>
                <w:sz w:val="20"/>
                <w:szCs w:val="20"/>
              </w:rPr>
            </w:pPr>
            <w:r w:rsidRPr="0087376F">
              <w:rPr>
                <w:color w:val="000000"/>
                <w:sz w:val="20"/>
                <w:szCs w:val="20"/>
              </w:rPr>
              <w:t>138%</w:t>
            </w:r>
          </w:p>
        </w:tc>
        <w:tc>
          <w:tcPr>
            <w:tcW w:w="936" w:type="dxa"/>
            <w:tcBorders>
              <w:top w:val="nil"/>
              <w:left w:val="nil"/>
              <w:bottom w:val="single" w:sz="8" w:space="0" w:color="448A99"/>
              <w:right w:val="single" w:sz="8" w:space="0" w:color="448A99"/>
            </w:tcBorders>
            <w:shd w:val="clear" w:color="000000" w:fill="D2EAF1"/>
            <w:vAlign w:val="center"/>
            <w:hideMark/>
          </w:tcPr>
          <w:p w:rsidR="0087376F" w:rsidRPr="0087376F" w:rsidRDefault="0087376F" w:rsidP="0087376F">
            <w:pPr>
              <w:jc w:val="center"/>
              <w:rPr>
                <w:color w:val="000000"/>
                <w:sz w:val="20"/>
                <w:szCs w:val="20"/>
              </w:rPr>
            </w:pPr>
            <w:r w:rsidRPr="0087376F">
              <w:rPr>
                <w:color w:val="000000"/>
                <w:sz w:val="20"/>
                <w:szCs w:val="20"/>
              </w:rPr>
              <w:t>124%</w:t>
            </w:r>
          </w:p>
        </w:tc>
        <w:tc>
          <w:tcPr>
            <w:tcW w:w="711" w:type="dxa"/>
            <w:tcBorders>
              <w:top w:val="nil"/>
              <w:left w:val="nil"/>
              <w:bottom w:val="single" w:sz="8" w:space="0" w:color="448A99"/>
              <w:right w:val="single" w:sz="8" w:space="0" w:color="448A99"/>
            </w:tcBorders>
            <w:shd w:val="clear" w:color="000000" w:fill="D2EAF1"/>
            <w:vAlign w:val="center"/>
            <w:hideMark/>
          </w:tcPr>
          <w:p w:rsidR="0087376F" w:rsidRPr="0087376F" w:rsidRDefault="00C34EAA" w:rsidP="002A085A">
            <w:pPr>
              <w:jc w:val="center"/>
              <w:rPr>
                <w:color w:val="000000"/>
                <w:sz w:val="20"/>
                <w:szCs w:val="20"/>
              </w:rPr>
            </w:pPr>
            <w:r>
              <w:rPr>
                <w:color w:val="000000"/>
                <w:sz w:val="20"/>
                <w:szCs w:val="20"/>
              </w:rPr>
              <w:t>118</w:t>
            </w:r>
            <w:r w:rsidR="0087376F" w:rsidRPr="0087376F">
              <w:rPr>
                <w:color w:val="000000"/>
                <w:sz w:val="20"/>
                <w:szCs w:val="20"/>
              </w:rPr>
              <w:t>%</w:t>
            </w:r>
          </w:p>
        </w:tc>
        <w:tc>
          <w:tcPr>
            <w:tcW w:w="711" w:type="dxa"/>
            <w:tcBorders>
              <w:top w:val="nil"/>
              <w:left w:val="nil"/>
              <w:bottom w:val="single" w:sz="8" w:space="0" w:color="448A99"/>
              <w:right w:val="single" w:sz="8" w:space="0" w:color="448A99"/>
            </w:tcBorders>
            <w:shd w:val="clear" w:color="000000" w:fill="D2EAF1"/>
            <w:vAlign w:val="center"/>
            <w:hideMark/>
          </w:tcPr>
          <w:p w:rsidR="0087376F" w:rsidRPr="0087376F" w:rsidRDefault="007B1E78" w:rsidP="0087376F">
            <w:pPr>
              <w:jc w:val="center"/>
              <w:rPr>
                <w:color w:val="000000"/>
                <w:sz w:val="20"/>
                <w:szCs w:val="20"/>
              </w:rPr>
            </w:pPr>
            <w:r>
              <w:rPr>
                <w:color w:val="000000"/>
                <w:sz w:val="20"/>
                <w:szCs w:val="20"/>
              </w:rPr>
              <w:t>146</w:t>
            </w:r>
            <w:r w:rsidR="0087376F" w:rsidRPr="0087376F">
              <w:rPr>
                <w:color w:val="000000"/>
                <w:sz w:val="20"/>
                <w:szCs w:val="20"/>
              </w:rPr>
              <w:t>%</w:t>
            </w:r>
          </w:p>
        </w:tc>
      </w:tr>
      <w:tr w:rsidR="00A874AC" w:rsidRPr="0087376F" w:rsidTr="008936E7">
        <w:trPr>
          <w:trHeight w:val="525"/>
        </w:trPr>
        <w:tc>
          <w:tcPr>
            <w:tcW w:w="1528" w:type="dxa"/>
            <w:tcBorders>
              <w:top w:val="nil"/>
              <w:left w:val="single" w:sz="8" w:space="0" w:color="448A99"/>
              <w:bottom w:val="single" w:sz="8" w:space="0" w:color="448A99"/>
              <w:right w:val="nil"/>
            </w:tcBorders>
            <w:shd w:val="clear" w:color="000000" w:fill="FFFFFF"/>
            <w:vAlign w:val="center"/>
            <w:hideMark/>
          </w:tcPr>
          <w:p w:rsidR="0087376F" w:rsidRPr="0087376F" w:rsidRDefault="0087376F" w:rsidP="006142E6">
            <w:pPr>
              <w:jc w:val="left"/>
              <w:rPr>
                <w:color w:val="000000"/>
                <w:sz w:val="20"/>
                <w:szCs w:val="20"/>
              </w:rPr>
            </w:pPr>
            <w:r w:rsidRPr="0087376F">
              <w:rPr>
                <w:color w:val="000000"/>
                <w:sz w:val="20"/>
                <w:szCs w:val="20"/>
              </w:rPr>
              <w:t>% of Phase II Low-Income Carve</w:t>
            </w:r>
            <w:r w:rsidR="005F7C4A">
              <w:rPr>
                <w:color w:val="000000"/>
                <w:sz w:val="20"/>
                <w:szCs w:val="20"/>
              </w:rPr>
              <w:t>-</w:t>
            </w:r>
            <w:r w:rsidRPr="0087376F">
              <w:rPr>
                <w:color w:val="000000"/>
                <w:sz w:val="20"/>
                <w:szCs w:val="20"/>
              </w:rPr>
              <w:t>Out Goal</w:t>
            </w:r>
          </w:p>
        </w:tc>
        <w:tc>
          <w:tcPr>
            <w:tcW w:w="1359" w:type="dxa"/>
            <w:tcBorders>
              <w:top w:val="nil"/>
              <w:left w:val="single" w:sz="8" w:space="0" w:color="448A99"/>
              <w:bottom w:val="single" w:sz="8" w:space="0" w:color="448A99"/>
              <w:right w:val="single" w:sz="8" w:space="0" w:color="448A99"/>
            </w:tcBorders>
            <w:shd w:val="clear" w:color="000000" w:fill="FFFFFF"/>
            <w:vAlign w:val="center"/>
            <w:hideMark/>
          </w:tcPr>
          <w:p w:rsidR="0087376F" w:rsidRPr="0087376F" w:rsidRDefault="00E0150C" w:rsidP="0087376F">
            <w:pPr>
              <w:jc w:val="center"/>
              <w:rPr>
                <w:b/>
                <w:bCs/>
                <w:color w:val="000000"/>
                <w:sz w:val="20"/>
                <w:szCs w:val="20"/>
              </w:rPr>
            </w:pPr>
            <w:r>
              <w:rPr>
                <w:b/>
                <w:bCs/>
                <w:color w:val="000000"/>
                <w:sz w:val="20"/>
                <w:szCs w:val="20"/>
              </w:rPr>
              <w:t>218</w:t>
            </w:r>
            <w:r w:rsidR="0087376F" w:rsidRPr="0087376F">
              <w:rPr>
                <w:b/>
                <w:bCs/>
                <w:color w:val="000000"/>
                <w:sz w:val="20"/>
                <w:szCs w:val="20"/>
              </w:rPr>
              <w:t>%</w:t>
            </w:r>
          </w:p>
        </w:tc>
        <w:tc>
          <w:tcPr>
            <w:tcW w:w="1053" w:type="dxa"/>
            <w:tcBorders>
              <w:top w:val="nil"/>
              <w:left w:val="nil"/>
              <w:bottom w:val="single" w:sz="8" w:space="0" w:color="448A99"/>
              <w:right w:val="single" w:sz="8" w:space="0" w:color="448A99"/>
            </w:tcBorders>
            <w:shd w:val="clear" w:color="000000" w:fill="FFFFFF"/>
            <w:vAlign w:val="center"/>
            <w:hideMark/>
          </w:tcPr>
          <w:p w:rsidR="0087376F" w:rsidRPr="0087376F" w:rsidRDefault="00E0150C" w:rsidP="0087376F">
            <w:pPr>
              <w:jc w:val="center"/>
              <w:rPr>
                <w:color w:val="000000"/>
                <w:sz w:val="20"/>
                <w:szCs w:val="20"/>
              </w:rPr>
            </w:pPr>
            <w:r>
              <w:rPr>
                <w:color w:val="000000"/>
                <w:sz w:val="20"/>
                <w:szCs w:val="20"/>
              </w:rPr>
              <w:t>186</w:t>
            </w:r>
            <w:r w:rsidR="0087376F" w:rsidRPr="0087376F">
              <w:rPr>
                <w:color w:val="000000"/>
                <w:sz w:val="20"/>
                <w:szCs w:val="20"/>
              </w:rPr>
              <w:t>%</w:t>
            </w:r>
          </w:p>
        </w:tc>
        <w:tc>
          <w:tcPr>
            <w:tcW w:w="1071" w:type="dxa"/>
            <w:tcBorders>
              <w:top w:val="nil"/>
              <w:left w:val="nil"/>
              <w:bottom w:val="single" w:sz="8" w:space="0" w:color="448A99"/>
              <w:right w:val="single" w:sz="8" w:space="0" w:color="448A99"/>
            </w:tcBorders>
            <w:shd w:val="clear" w:color="000000" w:fill="FFFFFF"/>
            <w:vAlign w:val="center"/>
            <w:hideMark/>
          </w:tcPr>
          <w:p w:rsidR="0087376F" w:rsidRPr="0087376F" w:rsidRDefault="0087376F" w:rsidP="0087376F">
            <w:pPr>
              <w:jc w:val="center"/>
              <w:rPr>
                <w:color w:val="000000"/>
                <w:sz w:val="20"/>
                <w:szCs w:val="20"/>
              </w:rPr>
            </w:pPr>
            <w:r w:rsidRPr="0087376F">
              <w:rPr>
                <w:color w:val="000000"/>
                <w:sz w:val="20"/>
                <w:szCs w:val="20"/>
              </w:rPr>
              <w:t>302%</w:t>
            </w:r>
          </w:p>
        </w:tc>
        <w:tc>
          <w:tcPr>
            <w:tcW w:w="1120" w:type="dxa"/>
            <w:tcBorders>
              <w:top w:val="nil"/>
              <w:left w:val="nil"/>
              <w:bottom w:val="single" w:sz="8" w:space="0" w:color="448A99"/>
              <w:right w:val="single" w:sz="8" w:space="0" w:color="448A99"/>
            </w:tcBorders>
            <w:shd w:val="clear" w:color="000000" w:fill="FFFFFF"/>
            <w:vAlign w:val="center"/>
            <w:hideMark/>
          </w:tcPr>
          <w:p w:rsidR="0087376F" w:rsidRPr="0087376F" w:rsidRDefault="0087376F" w:rsidP="0087376F">
            <w:pPr>
              <w:jc w:val="center"/>
              <w:rPr>
                <w:color w:val="000000"/>
                <w:sz w:val="20"/>
                <w:szCs w:val="20"/>
              </w:rPr>
            </w:pPr>
            <w:r w:rsidRPr="0087376F">
              <w:rPr>
                <w:color w:val="000000"/>
                <w:sz w:val="20"/>
                <w:szCs w:val="20"/>
              </w:rPr>
              <w:t>385%</w:t>
            </w:r>
          </w:p>
        </w:tc>
        <w:tc>
          <w:tcPr>
            <w:tcW w:w="951" w:type="dxa"/>
            <w:tcBorders>
              <w:top w:val="nil"/>
              <w:left w:val="nil"/>
              <w:bottom w:val="single" w:sz="8" w:space="0" w:color="448A99"/>
              <w:right w:val="single" w:sz="8" w:space="0" w:color="448A99"/>
            </w:tcBorders>
            <w:shd w:val="clear" w:color="000000" w:fill="FFFFFF"/>
            <w:vAlign w:val="center"/>
            <w:hideMark/>
          </w:tcPr>
          <w:p w:rsidR="0087376F" w:rsidRPr="0087376F" w:rsidRDefault="0087376F" w:rsidP="0087376F">
            <w:pPr>
              <w:jc w:val="center"/>
              <w:rPr>
                <w:color w:val="000000"/>
                <w:sz w:val="20"/>
                <w:szCs w:val="20"/>
              </w:rPr>
            </w:pPr>
            <w:r w:rsidRPr="0087376F">
              <w:rPr>
                <w:color w:val="000000"/>
                <w:sz w:val="20"/>
                <w:szCs w:val="20"/>
              </w:rPr>
              <w:t>296%</w:t>
            </w:r>
          </w:p>
        </w:tc>
        <w:tc>
          <w:tcPr>
            <w:tcW w:w="936" w:type="dxa"/>
            <w:tcBorders>
              <w:top w:val="nil"/>
              <w:left w:val="nil"/>
              <w:bottom w:val="single" w:sz="8" w:space="0" w:color="448A99"/>
              <w:right w:val="single" w:sz="8" w:space="0" w:color="448A99"/>
            </w:tcBorders>
            <w:shd w:val="clear" w:color="000000" w:fill="FFFFFF"/>
            <w:vAlign w:val="center"/>
            <w:hideMark/>
          </w:tcPr>
          <w:p w:rsidR="0087376F" w:rsidRPr="0087376F" w:rsidRDefault="0087376F" w:rsidP="0087376F">
            <w:pPr>
              <w:jc w:val="center"/>
              <w:rPr>
                <w:color w:val="000000"/>
                <w:sz w:val="20"/>
                <w:szCs w:val="20"/>
              </w:rPr>
            </w:pPr>
            <w:r w:rsidRPr="0087376F">
              <w:rPr>
                <w:color w:val="000000"/>
                <w:sz w:val="20"/>
                <w:szCs w:val="20"/>
              </w:rPr>
              <w:t>247%</w:t>
            </w:r>
          </w:p>
        </w:tc>
        <w:tc>
          <w:tcPr>
            <w:tcW w:w="711" w:type="dxa"/>
            <w:tcBorders>
              <w:top w:val="nil"/>
              <w:left w:val="nil"/>
              <w:bottom w:val="single" w:sz="8" w:space="0" w:color="448A99"/>
              <w:right w:val="single" w:sz="8" w:space="0" w:color="448A99"/>
            </w:tcBorders>
            <w:shd w:val="clear" w:color="000000" w:fill="FFFFFF"/>
            <w:vAlign w:val="center"/>
            <w:hideMark/>
          </w:tcPr>
          <w:p w:rsidR="0087376F" w:rsidRPr="0087376F" w:rsidRDefault="0087376F" w:rsidP="0087376F">
            <w:pPr>
              <w:jc w:val="center"/>
              <w:rPr>
                <w:color w:val="000000"/>
                <w:sz w:val="20"/>
                <w:szCs w:val="20"/>
              </w:rPr>
            </w:pPr>
            <w:r w:rsidRPr="0087376F">
              <w:rPr>
                <w:color w:val="000000"/>
                <w:sz w:val="20"/>
                <w:szCs w:val="20"/>
              </w:rPr>
              <w:t>181%</w:t>
            </w:r>
          </w:p>
        </w:tc>
        <w:tc>
          <w:tcPr>
            <w:tcW w:w="711" w:type="dxa"/>
            <w:tcBorders>
              <w:top w:val="nil"/>
              <w:left w:val="nil"/>
              <w:bottom w:val="single" w:sz="8" w:space="0" w:color="448A99"/>
              <w:right w:val="single" w:sz="8" w:space="0" w:color="448A99"/>
            </w:tcBorders>
            <w:shd w:val="clear" w:color="000000" w:fill="FFFFFF"/>
            <w:vAlign w:val="center"/>
            <w:hideMark/>
          </w:tcPr>
          <w:p w:rsidR="0087376F" w:rsidRPr="0087376F" w:rsidRDefault="003C2064" w:rsidP="0087376F">
            <w:pPr>
              <w:jc w:val="center"/>
              <w:rPr>
                <w:color w:val="000000"/>
                <w:sz w:val="20"/>
                <w:szCs w:val="20"/>
              </w:rPr>
            </w:pPr>
            <w:r>
              <w:rPr>
                <w:color w:val="000000"/>
                <w:sz w:val="20"/>
                <w:szCs w:val="20"/>
              </w:rPr>
              <w:t>159</w:t>
            </w:r>
            <w:r w:rsidR="0087376F" w:rsidRPr="0087376F">
              <w:rPr>
                <w:color w:val="000000"/>
                <w:sz w:val="20"/>
                <w:szCs w:val="20"/>
              </w:rPr>
              <w:t>%</w:t>
            </w:r>
          </w:p>
        </w:tc>
      </w:tr>
      <w:tr w:rsidR="008936E7" w:rsidRPr="0087376F" w:rsidTr="008936E7">
        <w:trPr>
          <w:trHeight w:val="525"/>
        </w:trPr>
        <w:tc>
          <w:tcPr>
            <w:tcW w:w="1528" w:type="dxa"/>
            <w:tcBorders>
              <w:top w:val="nil"/>
              <w:left w:val="single" w:sz="8" w:space="0" w:color="448A99"/>
              <w:right w:val="nil"/>
            </w:tcBorders>
            <w:shd w:val="clear" w:color="000000" w:fill="D2EAF1"/>
            <w:vAlign w:val="center"/>
            <w:hideMark/>
          </w:tcPr>
          <w:p w:rsidR="0087376F" w:rsidRPr="0087376F" w:rsidRDefault="0087376F" w:rsidP="006142E6">
            <w:pPr>
              <w:jc w:val="left"/>
              <w:rPr>
                <w:color w:val="000000"/>
                <w:sz w:val="20"/>
                <w:szCs w:val="20"/>
              </w:rPr>
            </w:pPr>
            <w:r w:rsidRPr="0087376F">
              <w:rPr>
                <w:color w:val="000000"/>
                <w:sz w:val="20"/>
                <w:szCs w:val="20"/>
              </w:rPr>
              <w:t>% of Phase II GNI Carve</w:t>
            </w:r>
            <w:r w:rsidR="005F7C4A">
              <w:rPr>
                <w:color w:val="000000"/>
                <w:sz w:val="20"/>
                <w:szCs w:val="20"/>
              </w:rPr>
              <w:t>-</w:t>
            </w:r>
            <w:r w:rsidRPr="0087376F">
              <w:rPr>
                <w:color w:val="000000"/>
                <w:sz w:val="20"/>
                <w:szCs w:val="20"/>
              </w:rPr>
              <w:t>Out Goal</w:t>
            </w:r>
          </w:p>
        </w:tc>
        <w:tc>
          <w:tcPr>
            <w:tcW w:w="1359" w:type="dxa"/>
            <w:tcBorders>
              <w:top w:val="nil"/>
              <w:left w:val="single" w:sz="8" w:space="0" w:color="448A99"/>
              <w:right w:val="single" w:sz="8" w:space="0" w:color="448A99"/>
            </w:tcBorders>
            <w:shd w:val="clear" w:color="000000" w:fill="D2EAF1"/>
            <w:vAlign w:val="center"/>
            <w:hideMark/>
          </w:tcPr>
          <w:p w:rsidR="0087376F" w:rsidRPr="0087376F" w:rsidRDefault="0087376F" w:rsidP="0087376F">
            <w:pPr>
              <w:jc w:val="center"/>
              <w:rPr>
                <w:b/>
                <w:bCs/>
                <w:color w:val="000000"/>
                <w:sz w:val="20"/>
                <w:szCs w:val="20"/>
              </w:rPr>
            </w:pPr>
            <w:r w:rsidRPr="0087376F">
              <w:rPr>
                <w:b/>
                <w:bCs/>
                <w:color w:val="000000"/>
                <w:sz w:val="20"/>
                <w:szCs w:val="20"/>
              </w:rPr>
              <w:t>216%</w:t>
            </w:r>
          </w:p>
        </w:tc>
        <w:tc>
          <w:tcPr>
            <w:tcW w:w="1053" w:type="dxa"/>
            <w:tcBorders>
              <w:top w:val="nil"/>
              <w:left w:val="nil"/>
              <w:right w:val="single" w:sz="8" w:space="0" w:color="448A99"/>
            </w:tcBorders>
            <w:shd w:val="clear" w:color="000000" w:fill="D2EAF1"/>
            <w:vAlign w:val="center"/>
            <w:hideMark/>
          </w:tcPr>
          <w:p w:rsidR="0087376F" w:rsidRPr="0087376F" w:rsidRDefault="0087376F" w:rsidP="0087376F">
            <w:pPr>
              <w:jc w:val="center"/>
              <w:rPr>
                <w:color w:val="000000"/>
                <w:sz w:val="20"/>
                <w:szCs w:val="20"/>
              </w:rPr>
            </w:pPr>
            <w:r w:rsidRPr="0087376F">
              <w:rPr>
                <w:color w:val="000000"/>
                <w:sz w:val="20"/>
                <w:szCs w:val="20"/>
              </w:rPr>
              <w:t>108%</w:t>
            </w:r>
          </w:p>
        </w:tc>
        <w:tc>
          <w:tcPr>
            <w:tcW w:w="1071" w:type="dxa"/>
            <w:tcBorders>
              <w:top w:val="nil"/>
              <w:left w:val="nil"/>
              <w:right w:val="single" w:sz="8" w:space="0" w:color="448A99"/>
            </w:tcBorders>
            <w:shd w:val="clear" w:color="000000" w:fill="D2EAF1"/>
            <w:vAlign w:val="center"/>
            <w:hideMark/>
          </w:tcPr>
          <w:p w:rsidR="0087376F" w:rsidRPr="0087376F" w:rsidRDefault="0087376F" w:rsidP="0087376F">
            <w:pPr>
              <w:jc w:val="center"/>
              <w:rPr>
                <w:color w:val="000000"/>
                <w:sz w:val="20"/>
                <w:szCs w:val="20"/>
              </w:rPr>
            </w:pPr>
            <w:r w:rsidRPr="0087376F">
              <w:rPr>
                <w:color w:val="000000"/>
                <w:sz w:val="20"/>
                <w:szCs w:val="20"/>
              </w:rPr>
              <w:t>119%</w:t>
            </w:r>
          </w:p>
        </w:tc>
        <w:tc>
          <w:tcPr>
            <w:tcW w:w="1120" w:type="dxa"/>
            <w:tcBorders>
              <w:top w:val="nil"/>
              <w:left w:val="nil"/>
              <w:right w:val="single" w:sz="8" w:space="0" w:color="448A99"/>
            </w:tcBorders>
            <w:shd w:val="clear" w:color="000000" w:fill="D2EAF1"/>
            <w:vAlign w:val="center"/>
            <w:hideMark/>
          </w:tcPr>
          <w:p w:rsidR="0087376F" w:rsidRPr="0087376F" w:rsidRDefault="0087376F" w:rsidP="0087376F">
            <w:pPr>
              <w:jc w:val="center"/>
              <w:rPr>
                <w:color w:val="000000"/>
                <w:sz w:val="20"/>
                <w:szCs w:val="20"/>
              </w:rPr>
            </w:pPr>
            <w:r w:rsidRPr="0087376F">
              <w:rPr>
                <w:color w:val="000000"/>
                <w:sz w:val="20"/>
                <w:szCs w:val="20"/>
              </w:rPr>
              <w:t>134%</w:t>
            </w:r>
          </w:p>
        </w:tc>
        <w:tc>
          <w:tcPr>
            <w:tcW w:w="951" w:type="dxa"/>
            <w:tcBorders>
              <w:top w:val="nil"/>
              <w:left w:val="nil"/>
              <w:right w:val="single" w:sz="8" w:space="0" w:color="448A99"/>
            </w:tcBorders>
            <w:shd w:val="clear" w:color="000000" w:fill="D2EAF1"/>
            <w:vAlign w:val="center"/>
            <w:hideMark/>
          </w:tcPr>
          <w:p w:rsidR="0087376F" w:rsidRPr="0087376F" w:rsidRDefault="0087376F" w:rsidP="0087376F">
            <w:pPr>
              <w:jc w:val="center"/>
              <w:rPr>
                <w:color w:val="000000"/>
                <w:sz w:val="20"/>
                <w:szCs w:val="20"/>
              </w:rPr>
            </w:pPr>
            <w:r w:rsidRPr="0087376F">
              <w:rPr>
                <w:color w:val="000000"/>
                <w:sz w:val="20"/>
                <w:szCs w:val="20"/>
              </w:rPr>
              <w:t>179%</w:t>
            </w:r>
          </w:p>
        </w:tc>
        <w:tc>
          <w:tcPr>
            <w:tcW w:w="936" w:type="dxa"/>
            <w:tcBorders>
              <w:top w:val="nil"/>
              <w:left w:val="nil"/>
              <w:right w:val="single" w:sz="8" w:space="0" w:color="448A99"/>
            </w:tcBorders>
            <w:shd w:val="clear" w:color="000000" w:fill="D2EAF1"/>
            <w:vAlign w:val="center"/>
            <w:hideMark/>
          </w:tcPr>
          <w:p w:rsidR="0087376F" w:rsidRPr="0087376F" w:rsidRDefault="0087376F" w:rsidP="0087376F">
            <w:pPr>
              <w:jc w:val="center"/>
              <w:rPr>
                <w:color w:val="000000"/>
                <w:sz w:val="20"/>
                <w:szCs w:val="20"/>
              </w:rPr>
            </w:pPr>
            <w:r w:rsidRPr="0087376F">
              <w:rPr>
                <w:color w:val="000000"/>
                <w:sz w:val="20"/>
                <w:szCs w:val="20"/>
              </w:rPr>
              <w:t>277%</w:t>
            </w:r>
          </w:p>
        </w:tc>
        <w:tc>
          <w:tcPr>
            <w:tcW w:w="711" w:type="dxa"/>
            <w:tcBorders>
              <w:top w:val="nil"/>
              <w:left w:val="nil"/>
              <w:right w:val="single" w:sz="8" w:space="0" w:color="448A99"/>
            </w:tcBorders>
            <w:shd w:val="clear" w:color="000000" w:fill="D2EAF1"/>
            <w:vAlign w:val="center"/>
            <w:hideMark/>
          </w:tcPr>
          <w:p w:rsidR="0087376F" w:rsidRPr="0087376F" w:rsidRDefault="0087376F" w:rsidP="0087376F">
            <w:pPr>
              <w:jc w:val="center"/>
              <w:rPr>
                <w:color w:val="000000"/>
                <w:sz w:val="20"/>
                <w:szCs w:val="20"/>
              </w:rPr>
            </w:pPr>
            <w:r w:rsidRPr="0087376F">
              <w:rPr>
                <w:color w:val="000000"/>
                <w:sz w:val="20"/>
                <w:szCs w:val="20"/>
              </w:rPr>
              <w:t>272%</w:t>
            </w:r>
          </w:p>
        </w:tc>
        <w:tc>
          <w:tcPr>
            <w:tcW w:w="711" w:type="dxa"/>
            <w:tcBorders>
              <w:top w:val="nil"/>
              <w:left w:val="nil"/>
              <w:right w:val="single" w:sz="8" w:space="0" w:color="448A99"/>
            </w:tcBorders>
            <w:shd w:val="clear" w:color="000000" w:fill="D2EAF1"/>
            <w:vAlign w:val="center"/>
            <w:hideMark/>
          </w:tcPr>
          <w:p w:rsidR="0087376F" w:rsidRPr="0087376F" w:rsidRDefault="0087376F" w:rsidP="0087376F">
            <w:pPr>
              <w:jc w:val="center"/>
              <w:rPr>
                <w:color w:val="000000"/>
                <w:sz w:val="20"/>
                <w:szCs w:val="20"/>
              </w:rPr>
            </w:pPr>
            <w:r w:rsidRPr="0087376F">
              <w:rPr>
                <w:color w:val="000000"/>
                <w:sz w:val="20"/>
                <w:szCs w:val="20"/>
              </w:rPr>
              <w:t>226%</w:t>
            </w:r>
          </w:p>
        </w:tc>
      </w:tr>
      <w:tr w:rsidR="008936E7" w:rsidRPr="0087376F" w:rsidTr="00EF7C2E">
        <w:trPr>
          <w:trHeight w:val="108"/>
        </w:trPr>
        <w:tc>
          <w:tcPr>
            <w:tcW w:w="9440" w:type="dxa"/>
            <w:gridSpan w:val="9"/>
            <w:tcBorders>
              <w:top w:val="nil"/>
              <w:left w:val="single" w:sz="8" w:space="0" w:color="448A99"/>
              <w:bottom w:val="single" w:sz="8" w:space="0" w:color="448A99"/>
              <w:right w:val="single" w:sz="8" w:space="0" w:color="448A99"/>
            </w:tcBorders>
            <w:shd w:val="clear" w:color="000000" w:fill="448A99"/>
            <w:vAlign w:val="center"/>
          </w:tcPr>
          <w:p w:rsidR="008936E7" w:rsidRPr="008936E7" w:rsidRDefault="008936E7" w:rsidP="008936E7">
            <w:pPr>
              <w:jc w:val="left"/>
              <w:rPr>
                <w:color w:val="FFFFFF" w:themeColor="background1"/>
                <w:sz w:val="18"/>
                <w:szCs w:val="18"/>
              </w:rPr>
            </w:pPr>
            <w:r w:rsidRPr="008936E7">
              <w:rPr>
                <w:color w:val="FFFFFF" w:themeColor="background1"/>
                <w:sz w:val="18"/>
                <w:szCs w:val="18"/>
              </w:rPr>
              <w:t>[a] Statewide percentages based on sum of each EDCs savings, targets and goals</w:t>
            </w:r>
          </w:p>
        </w:tc>
      </w:tr>
    </w:tbl>
    <w:p w:rsidR="00F73191" w:rsidRPr="006042F7" w:rsidRDefault="00F73191" w:rsidP="00F73191"/>
    <w:p w:rsidR="00F73191" w:rsidRDefault="00DA1ADA" w:rsidP="00F73191">
      <w:r>
        <w:rPr>
          <w:highlight w:val="yellow"/>
        </w:rPr>
        <w:fldChar w:fldCharType="begin"/>
      </w:r>
      <w:r>
        <w:instrText xml:space="preserve"> REF _Ref476038823 \h </w:instrText>
      </w:r>
      <w:r>
        <w:rPr>
          <w:highlight w:val="yellow"/>
        </w:rPr>
      </w:r>
      <w:r>
        <w:rPr>
          <w:highlight w:val="yellow"/>
        </w:rPr>
        <w:fldChar w:fldCharType="separate"/>
      </w:r>
      <w:r>
        <w:t xml:space="preserve">Figure </w:t>
      </w:r>
      <w:r>
        <w:rPr>
          <w:noProof/>
        </w:rPr>
        <w:t>1</w:t>
      </w:r>
      <w:r>
        <w:noBreakHyphen/>
      </w:r>
      <w:r>
        <w:rPr>
          <w:noProof/>
        </w:rPr>
        <w:t>1</w:t>
      </w:r>
      <w:r>
        <w:rPr>
          <w:highlight w:val="yellow"/>
        </w:rPr>
        <w:fldChar w:fldCharType="end"/>
      </w:r>
      <w:r>
        <w:t xml:space="preserve"> </w:t>
      </w:r>
      <w:r w:rsidR="00F73191">
        <w:t>compares</w:t>
      </w:r>
      <w:r w:rsidR="00F73191" w:rsidRPr="0086037B">
        <w:t xml:space="preserve"> </w:t>
      </w:r>
      <w:r w:rsidR="00F73191">
        <w:t>Phase II cumulative</w:t>
      </w:r>
      <w:r w:rsidR="00F73191" w:rsidRPr="0086037B">
        <w:t xml:space="preserve"> annual </w:t>
      </w:r>
      <w:r w:rsidR="005F7C4A" w:rsidRPr="0086037B">
        <w:t>savings</w:t>
      </w:r>
      <w:r w:rsidR="005F7C4A">
        <w:t xml:space="preserve">—consisting of </w:t>
      </w:r>
      <w:r w:rsidR="005F7C4A" w:rsidRPr="0086037B">
        <w:t>Phase II savings achieved during PY5</w:t>
      </w:r>
      <w:r w:rsidR="005F7C4A">
        <w:t xml:space="preserve">, </w:t>
      </w:r>
      <w:r w:rsidR="005F7C4A" w:rsidRPr="0086037B">
        <w:t>PY6</w:t>
      </w:r>
      <w:r w:rsidR="005F7C4A">
        <w:t>, and PY7</w:t>
      </w:r>
      <w:r w:rsidR="005F7C4A" w:rsidRPr="0086037B">
        <w:t xml:space="preserve"> plus carryover savings from Phase I</w:t>
      </w:r>
      <w:r w:rsidR="005F7C4A">
        <w:t>—and</w:t>
      </w:r>
      <w:r w:rsidR="005F7C4A" w:rsidRPr="0086037B">
        <w:t xml:space="preserve"> the cumulative annual savings target to be achieved by the end of PY7</w:t>
      </w:r>
      <w:r w:rsidR="00F73191" w:rsidRPr="0086037B">
        <w:t>.</w:t>
      </w:r>
    </w:p>
    <w:p w:rsidR="00592FD5" w:rsidRPr="000123A3" w:rsidRDefault="00592FD5" w:rsidP="000123A3"/>
    <w:p w:rsidR="00F73191" w:rsidRPr="00DA26B9" w:rsidRDefault="00DA1ADA" w:rsidP="00DA1ADA">
      <w:pPr>
        <w:pStyle w:val="Caption"/>
      </w:pPr>
      <w:bookmarkStart w:id="47" w:name="_Ref476038823"/>
      <w:bookmarkStart w:id="48" w:name="_Toc444269811"/>
      <w:bookmarkStart w:id="49" w:name="_Toc472472208"/>
      <w:bookmarkStart w:id="50" w:name="_Toc476914021"/>
      <w:bookmarkEnd w:id="40"/>
      <w:bookmarkEnd w:id="41"/>
      <w:r>
        <w:t xml:space="preserve">Figure </w:t>
      </w:r>
      <w:fldSimple w:instr=" STYLEREF 1 \s ">
        <w:r w:rsidR="00C301D0">
          <w:rPr>
            <w:noProof/>
          </w:rPr>
          <w:t>1</w:t>
        </w:r>
      </w:fldSimple>
      <w:r>
        <w:noBreakHyphen/>
      </w:r>
      <w:fldSimple w:instr=" SEQ Figure \* ARABIC \s 1 ">
        <w:r w:rsidR="00C301D0">
          <w:rPr>
            <w:noProof/>
          </w:rPr>
          <w:t>1</w:t>
        </w:r>
      </w:fldSimple>
      <w:bookmarkEnd w:id="47"/>
      <w:r>
        <w:t xml:space="preserve">: </w:t>
      </w:r>
      <w:r w:rsidR="00F73191" w:rsidRPr="0086037B">
        <w:t>Phase II Verified Energy Savings (plus Phase I Carryover) by EDC</w:t>
      </w:r>
      <w:bookmarkEnd w:id="42"/>
      <w:bookmarkEnd w:id="43"/>
      <w:bookmarkEnd w:id="44"/>
      <w:r w:rsidR="00F73191" w:rsidRPr="0086037B">
        <w:t xml:space="preserve"> v</w:t>
      </w:r>
      <w:r w:rsidR="00F73191">
        <w:t>ersus</w:t>
      </w:r>
      <w:r w:rsidR="00F73191" w:rsidRPr="0086037B">
        <w:t xml:space="preserve"> EDC Phase II Savings </w:t>
      </w:r>
      <w:r w:rsidR="00F73191" w:rsidRPr="00DA26B9">
        <w:t>Targets</w:t>
      </w:r>
      <w:bookmarkEnd w:id="45"/>
      <w:bookmarkEnd w:id="46"/>
      <w:bookmarkEnd w:id="48"/>
      <w:bookmarkEnd w:id="49"/>
      <w:bookmarkEnd w:id="50"/>
    </w:p>
    <w:p w:rsidR="00F73191" w:rsidRDefault="00772273" w:rsidP="00F73191">
      <w:r>
        <w:rPr>
          <w:noProof/>
        </w:rPr>
        <w:drawing>
          <wp:inline distT="0" distB="0" distL="0" distR="0" wp14:anchorId="24CF31FE" wp14:editId="3BBD9E63">
            <wp:extent cx="5655365" cy="3840339"/>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2832" cy="3845410"/>
                    </a:xfrm>
                    <a:prstGeom prst="rect">
                      <a:avLst/>
                    </a:prstGeom>
                    <a:noFill/>
                  </pic:spPr>
                </pic:pic>
              </a:graphicData>
            </a:graphic>
          </wp:inline>
        </w:drawing>
      </w:r>
    </w:p>
    <w:p w:rsidR="00371E06" w:rsidRPr="000123A3" w:rsidRDefault="00371E06" w:rsidP="000123A3">
      <w:bookmarkStart w:id="51" w:name="_Toc472472085"/>
      <w:bookmarkEnd w:id="27"/>
    </w:p>
    <w:p w:rsidR="00AC2B6F" w:rsidRPr="00530F17" w:rsidRDefault="00204453" w:rsidP="00472B27">
      <w:pPr>
        <w:pStyle w:val="Heading1"/>
      </w:pPr>
      <w:bookmarkStart w:id="52" w:name="_Ref472258030"/>
      <w:bookmarkStart w:id="53" w:name="_Toc472472086"/>
      <w:bookmarkStart w:id="54" w:name="_Toc476913898"/>
      <w:bookmarkStart w:id="55" w:name="_Toc409224783"/>
      <w:bookmarkStart w:id="56" w:name="_Toc409443368"/>
      <w:bookmarkStart w:id="57" w:name="_Toc405557128"/>
      <w:bookmarkEnd w:id="51"/>
      <w:r>
        <w:lastRenderedPageBreak/>
        <w:t xml:space="preserve">Energy Savings – </w:t>
      </w:r>
      <w:r w:rsidR="00AC2B6F">
        <w:t xml:space="preserve">PY7 </w:t>
      </w:r>
      <w:r>
        <w:t>and</w:t>
      </w:r>
      <w:r w:rsidR="00AC2B6F">
        <w:t xml:space="preserve"> Phase II</w:t>
      </w:r>
      <w:bookmarkEnd w:id="52"/>
      <w:bookmarkEnd w:id="53"/>
      <w:bookmarkEnd w:id="54"/>
    </w:p>
    <w:p w:rsidR="00204453" w:rsidRDefault="00204453" w:rsidP="00204453">
      <w:r>
        <w:t xml:space="preserve">This section of the report </w:t>
      </w:r>
      <w:r w:rsidRPr="00204453">
        <w:t>discusses the mandated consumption reduction goals under Act 129, and the EDCs’ compliance with the goals in Phase I</w:t>
      </w:r>
      <w:r>
        <w:t>I</w:t>
      </w:r>
      <w:r w:rsidRPr="00204453">
        <w:t>. This section also presents the results of consumption reductions realized in PY</w:t>
      </w:r>
      <w:r>
        <w:t>7.</w:t>
      </w:r>
    </w:p>
    <w:p w:rsidR="00204453" w:rsidRPr="00204453" w:rsidRDefault="00204453" w:rsidP="00204453"/>
    <w:p w:rsidR="00AC2B6F" w:rsidRPr="00472B27" w:rsidRDefault="00EE52CE" w:rsidP="00472B27">
      <w:pPr>
        <w:pStyle w:val="Heading2"/>
      </w:pPr>
      <w:bookmarkStart w:id="58" w:name="_Toc472472087"/>
      <w:bookmarkStart w:id="59" w:name="_Toc476913899"/>
      <w:r>
        <w:t>Review of Phase II</w:t>
      </w:r>
      <w:r w:rsidR="00AC2B6F" w:rsidRPr="00472B27">
        <w:t xml:space="preserve"> Targets</w:t>
      </w:r>
      <w:r>
        <w:t xml:space="preserve"> Under Act 129</w:t>
      </w:r>
      <w:bookmarkEnd w:id="58"/>
      <w:bookmarkEnd w:id="59"/>
    </w:p>
    <w:p w:rsidR="00FB4D74" w:rsidRDefault="00EE52CE" w:rsidP="00FB4D74">
      <w:r>
        <w:t>The Commission established</w:t>
      </w:r>
      <w:r w:rsidR="00F95DF6">
        <w:t xml:space="preserve"> the</w:t>
      </w:r>
      <w:r>
        <w:t xml:space="preserve"> EE&amp;C </w:t>
      </w:r>
      <w:r w:rsidR="00C6646A">
        <w:t>p</w:t>
      </w:r>
      <w:r>
        <w:t xml:space="preserve">rogram as directed by the Pennsylvania General Assembly. The EE&amp;C </w:t>
      </w:r>
      <w:r w:rsidR="00C6646A">
        <w:t>p</w:t>
      </w:r>
      <w:r>
        <w:t>rogram requires each electric distribution company (EDC) that serves at least 100,000 customers to implement a plan to reduce energy and demand consumption within its service territory.</w:t>
      </w:r>
      <w:r>
        <w:rPr>
          <w:rStyle w:val="FootnoteReference"/>
        </w:rPr>
        <w:footnoteReference w:id="14"/>
      </w:r>
      <w:r w:rsidR="008C2D5E">
        <w:t xml:space="preserve"> </w:t>
      </w:r>
      <w:r w:rsidR="0041595F" w:rsidRPr="0041595F">
        <w:t xml:space="preserve">Based on findings from the Phase I Market Potential Study dated May 10, 2012, the PUC determined that the benefits of a Phase II Act 129 program would exceed its costs, and therefore adopted additional required incremental reductions in consumption for another EE&amp;C </w:t>
      </w:r>
      <w:r w:rsidR="00C6646A">
        <w:t>p</w:t>
      </w:r>
      <w:r w:rsidR="0041595F" w:rsidRPr="0041595F">
        <w:t>rogram term.</w:t>
      </w:r>
    </w:p>
    <w:p w:rsidR="00EE52CE" w:rsidRDefault="00EE52CE" w:rsidP="00FB4D74"/>
    <w:p w:rsidR="003E659C" w:rsidRDefault="00C6646A" w:rsidP="00FB4D74">
      <w:r>
        <w:fldChar w:fldCharType="begin"/>
      </w:r>
      <w:r>
        <w:instrText xml:space="preserve"> REF _Ref472256997 \h </w:instrText>
      </w:r>
      <w:r>
        <w:fldChar w:fldCharType="separate"/>
      </w:r>
      <w:r w:rsidR="00592FD5">
        <w:t xml:space="preserve">Table </w:t>
      </w:r>
      <w:r w:rsidR="00592FD5">
        <w:rPr>
          <w:noProof/>
        </w:rPr>
        <w:t>2</w:t>
      </w:r>
      <w:r w:rsidR="00592FD5">
        <w:noBreakHyphen/>
      </w:r>
      <w:r w:rsidR="00592FD5">
        <w:rPr>
          <w:noProof/>
        </w:rPr>
        <w:t>1</w:t>
      </w:r>
      <w:r>
        <w:fldChar w:fldCharType="end"/>
      </w:r>
      <w:r>
        <w:t xml:space="preserve"> </w:t>
      </w:r>
      <w:r w:rsidR="00F95DF6">
        <w:t xml:space="preserve">presents </w:t>
      </w:r>
      <w:r w:rsidR="003E659C">
        <w:t>the Phase II energy efficiency compliance targets for each EDC.</w:t>
      </w:r>
      <w:r>
        <w:t xml:space="preserve"> </w:t>
      </w:r>
      <w:r>
        <w:fldChar w:fldCharType="begin"/>
      </w:r>
      <w:r>
        <w:instrText xml:space="preserve"> REF _Ref473276025 \h </w:instrText>
      </w:r>
      <w:r>
        <w:fldChar w:fldCharType="separate"/>
      </w:r>
      <w:r w:rsidR="00592FD5">
        <w:t xml:space="preserve">Table </w:t>
      </w:r>
      <w:r w:rsidR="00592FD5">
        <w:rPr>
          <w:noProof/>
        </w:rPr>
        <w:t>2</w:t>
      </w:r>
      <w:r w:rsidR="00592FD5">
        <w:noBreakHyphen/>
      </w:r>
      <w:r w:rsidR="00592FD5">
        <w:rPr>
          <w:noProof/>
        </w:rPr>
        <w:t>2</w:t>
      </w:r>
      <w:r>
        <w:fldChar w:fldCharType="end"/>
      </w:r>
      <w:r>
        <w:t xml:space="preserve"> p</w:t>
      </w:r>
      <w:r w:rsidR="003E659C">
        <w:t>rovides the low-income and GNI</w:t>
      </w:r>
      <w:r>
        <w:t xml:space="preserve"> energy efficiency reduction</w:t>
      </w:r>
      <w:r w:rsidR="003E659C">
        <w:t xml:space="preserve"> targets </w:t>
      </w:r>
      <w:r w:rsidR="00183DFA">
        <w:t>by</w:t>
      </w:r>
      <w:r w:rsidR="003E659C">
        <w:t xml:space="preserve"> each EDC</w:t>
      </w:r>
      <w:r w:rsidR="00183DFA">
        <w:t xml:space="preserve"> for Phase II</w:t>
      </w:r>
      <w:r w:rsidR="003E659C">
        <w:t>.</w:t>
      </w:r>
    </w:p>
    <w:p w:rsidR="00114CA8" w:rsidRDefault="00114CA8" w:rsidP="00FB4D74"/>
    <w:p w:rsidR="00114CA8" w:rsidRDefault="00114CA8" w:rsidP="00114CA8">
      <w:pPr>
        <w:pStyle w:val="Caption"/>
        <w:keepNext/>
      </w:pPr>
      <w:bookmarkStart w:id="60" w:name="_Ref472256997"/>
      <w:bookmarkStart w:id="61" w:name="_Toc472472156"/>
      <w:bookmarkStart w:id="62" w:name="_Toc476913968"/>
      <w:r>
        <w:t xml:space="preserve">Table </w:t>
      </w:r>
      <w:fldSimple w:instr=" STYLEREF 1 \s ">
        <w:r w:rsidR="00592FD5">
          <w:rPr>
            <w:noProof/>
          </w:rPr>
          <w:t>2</w:t>
        </w:r>
      </w:fldSimple>
      <w:r w:rsidR="00E6042C">
        <w:noBreakHyphen/>
      </w:r>
      <w:fldSimple w:instr=" SEQ Table \* ARABIC \s 1 ">
        <w:r w:rsidR="00592FD5">
          <w:rPr>
            <w:noProof/>
          </w:rPr>
          <w:t>1</w:t>
        </w:r>
      </w:fldSimple>
      <w:bookmarkEnd w:id="60"/>
      <w:r>
        <w:t xml:space="preserve">: </w:t>
      </w:r>
      <w:r w:rsidRPr="00320BCA">
        <w:t>Act 129 Phase II Three-Year Energy Efficiency Reduction Compliance Targets</w:t>
      </w:r>
      <w:bookmarkEnd w:id="61"/>
      <w:bookmarkEnd w:id="62"/>
    </w:p>
    <w:tbl>
      <w:tblPr>
        <w:tblW w:w="5000" w:type="pct"/>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512"/>
        <w:gridCol w:w="2609"/>
        <w:gridCol w:w="2609"/>
        <w:gridCol w:w="2610"/>
      </w:tblGrid>
      <w:tr w:rsidR="00A874AC" w:rsidRPr="006433A9" w:rsidTr="000123A3">
        <w:trPr>
          <w:cantSplit/>
          <w:trHeight w:val="141"/>
          <w:tblHeader/>
        </w:trPr>
        <w:tc>
          <w:tcPr>
            <w:tcW w:w="1512" w:type="dxa"/>
            <w:tcBorders>
              <w:top w:val="single" w:sz="8" w:space="0" w:color="448A99"/>
              <w:left w:val="single" w:sz="8" w:space="0" w:color="448A99"/>
              <w:bottom w:val="single" w:sz="8" w:space="0" w:color="448A99"/>
              <w:right w:val="nil"/>
            </w:tcBorders>
            <w:shd w:val="clear" w:color="000000" w:fill="448A99"/>
            <w:vAlign w:val="bottom"/>
          </w:tcPr>
          <w:p w:rsidR="00114CA8" w:rsidRPr="006433A9" w:rsidRDefault="00114CA8" w:rsidP="000123A3">
            <w:pPr>
              <w:rPr>
                <w:b/>
                <w:color w:val="FFFFFF"/>
                <w:sz w:val="20"/>
                <w:szCs w:val="20"/>
              </w:rPr>
            </w:pPr>
            <w:r>
              <w:rPr>
                <w:b/>
                <w:bCs/>
                <w:color w:val="FFFFFF"/>
                <w:sz w:val="20"/>
                <w:szCs w:val="20"/>
              </w:rPr>
              <w:t>EDC</w:t>
            </w:r>
          </w:p>
        </w:tc>
        <w:tc>
          <w:tcPr>
            <w:tcW w:w="2609" w:type="dxa"/>
            <w:tcBorders>
              <w:top w:val="single" w:sz="8" w:space="0" w:color="448A99"/>
              <w:left w:val="single" w:sz="8" w:space="0" w:color="448A99"/>
              <w:bottom w:val="single" w:sz="8" w:space="0" w:color="448A99"/>
              <w:right w:val="single" w:sz="8" w:space="0" w:color="448A99"/>
            </w:tcBorders>
            <w:shd w:val="clear" w:color="000000" w:fill="448A99"/>
            <w:vAlign w:val="bottom"/>
          </w:tcPr>
          <w:p w:rsidR="00114CA8" w:rsidRPr="006433A9" w:rsidRDefault="00114CA8" w:rsidP="000123A3">
            <w:pPr>
              <w:jc w:val="center"/>
              <w:rPr>
                <w:b/>
                <w:color w:val="FFFFFF"/>
                <w:sz w:val="20"/>
                <w:szCs w:val="20"/>
              </w:rPr>
            </w:pPr>
            <w:r>
              <w:rPr>
                <w:b/>
                <w:bCs/>
                <w:color w:val="FFFFFF"/>
                <w:sz w:val="20"/>
                <w:szCs w:val="20"/>
              </w:rPr>
              <w:t>Three-Year Program Acquisition Cost ($/First-Year MWh Saved)</w:t>
            </w:r>
          </w:p>
        </w:tc>
        <w:tc>
          <w:tcPr>
            <w:tcW w:w="2609" w:type="dxa"/>
            <w:tcBorders>
              <w:top w:val="single" w:sz="8" w:space="0" w:color="448A99"/>
              <w:left w:val="nil"/>
              <w:bottom w:val="single" w:sz="8" w:space="0" w:color="448A99"/>
              <w:right w:val="single" w:sz="8" w:space="0" w:color="448A99"/>
            </w:tcBorders>
            <w:shd w:val="clear" w:color="000000" w:fill="448A99"/>
            <w:vAlign w:val="bottom"/>
          </w:tcPr>
          <w:p w:rsidR="00114CA8" w:rsidRPr="006433A9" w:rsidRDefault="00114CA8" w:rsidP="000123A3">
            <w:pPr>
              <w:jc w:val="center"/>
              <w:rPr>
                <w:b/>
                <w:color w:val="FFFFFF"/>
                <w:sz w:val="20"/>
                <w:szCs w:val="20"/>
              </w:rPr>
            </w:pPr>
            <w:r>
              <w:rPr>
                <w:b/>
                <w:bCs/>
                <w:color w:val="FFFFFF"/>
                <w:sz w:val="20"/>
                <w:szCs w:val="20"/>
              </w:rPr>
              <w:t>Three-Year % of 2009/2010</w:t>
            </w:r>
            <w:r>
              <w:rPr>
                <w:b/>
                <w:bCs/>
                <w:color w:val="FFFFFF"/>
                <w:sz w:val="20"/>
                <w:szCs w:val="20"/>
              </w:rPr>
              <w:br/>
              <w:t>Forecast Reductions</w:t>
            </w:r>
          </w:p>
        </w:tc>
        <w:tc>
          <w:tcPr>
            <w:tcW w:w="2610" w:type="dxa"/>
            <w:tcBorders>
              <w:top w:val="single" w:sz="8" w:space="0" w:color="448A99"/>
              <w:left w:val="nil"/>
              <w:bottom w:val="single" w:sz="8" w:space="0" w:color="448A99"/>
              <w:right w:val="single" w:sz="8" w:space="0" w:color="448A99"/>
            </w:tcBorders>
            <w:shd w:val="clear" w:color="000000" w:fill="448A99"/>
            <w:vAlign w:val="bottom"/>
          </w:tcPr>
          <w:p w:rsidR="00114CA8" w:rsidRPr="006433A9" w:rsidRDefault="00114CA8" w:rsidP="000123A3">
            <w:pPr>
              <w:jc w:val="center"/>
              <w:rPr>
                <w:b/>
                <w:color w:val="FFFFFF"/>
                <w:sz w:val="20"/>
                <w:szCs w:val="20"/>
              </w:rPr>
            </w:pPr>
            <w:r>
              <w:rPr>
                <w:b/>
                <w:bCs/>
                <w:color w:val="FFFFFF"/>
                <w:sz w:val="20"/>
                <w:szCs w:val="20"/>
              </w:rPr>
              <w:t>Three-Year MWh</w:t>
            </w:r>
            <w:r w:rsidR="00B21493">
              <w:rPr>
                <w:b/>
                <w:bCs/>
                <w:color w:val="FFFFFF"/>
                <w:sz w:val="20"/>
                <w:szCs w:val="20"/>
              </w:rPr>
              <w:t>/yr</w:t>
            </w:r>
            <w:r>
              <w:rPr>
                <w:b/>
                <w:bCs/>
                <w:color w:val="FFFFFF"/>
                <w:sz w:val="20"/>
                <w:szCs w:val="20"/>
              </w:rPr>
              <w:t xml:space="preserve"> Cumulative Annual Value of 2009/2010 Forecast Reductions</w:t>
            </w:r>
          </w:p>
        </w:tc>
      </w:tr>
      <w:tr w:rsidR="00A874AC" w:rsidRPr="006433A9" w:rsidTr="000123A3">
        <w:trPr>
          <w:trHeight w:val="141"/>
        </w:trPr>
        <w:tc>
          <w:tcPr>
            <w:tcW w:w="1512" w:type="dxa"/>
            <w:tcBorders>
              <w:top w:val="nil"/>
              <w:left w:val="single" w:sz="8" w:space="0" w:color="448A99"/>
              <w:bottom w:val="single" w:sz="8" w:space="0" w:color="448A99"/>
              <w:right w:val="nil"/>
            </w:tcBorders>
            <w:shd w:val="clear" w:color="000000" w:fill="D2EAF1"/>
            <w:vAlign w:val="center"/>
          </w:tcPr>
          <w:p w:rsidR="00114CA8" w:rsidRPr="007B7BD7" w:rsidRDefault="00114CA8" w:rsidP="00375285">
            <w:pPr>
              <w:jc w:val="left"/>
              <w:rPr>
                <w:sz w:val="20"/>
              </w:rPr>
            </w:pPr>
            <w:r w:rsidRPr="007B7BD7">
              <w:rPr>
                <w:bCs/>
                <w:color w:val="000000"/>
                <w:sz w:val="20"/>
                <w:szCs w:val="20"/>
              </w:rPr>
              <w:t>Duquesne</w:t>
            </w:r>
          </w:p>
        </w:tc>
        <w:tc>
          <w:tcPr>
            <w:tcW w:w="2609" w:type="dxa"/>
            <w:tcBorders>
              <w:top w:val="nil"/>
              <w:left w:val="single" w:sz="8" w:space="0" w:color="448A99"/>
              <w:bottom w:val="single" w:sz="8" w:space="0" w:color="448A99"/>
              <w:right w:val="single" w:sz="8" w:space="0" w:color="448A99"/>
            </w:tcBorders>
            <w:shd w:val="clear" w:color="000000" w:fill="D2EAF1"/>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$211.90</w:t>
            </w:r>
          </w:p>
        </w:tc>
        <w:tc>
          <w:tcPr>
            <w:tcW w:w="2609" w:type="dxa"/>
            <w:tcBorders>
              <w:top w:val="nil"/>
              <w:left w:val="nil"/>
              <w:bottom w:val="single" w:sz="8" w:space="0" w:color="448A99"/>
              <w:right w:val="single" w:sz="8" w:space="0" w:color="448A99"/>
            </w:tcBorders>
            <w:shd w:val="clear" w:color="000000" w:fill="D2EAF1"/>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2.0%</w:t>
            </w:r>
          </w:p>
        </w:tc>
        <w:tc>
          <w:tcPr>
            <w:tcW w:w="2610" w:type="dxa"/>
            <w:tcBorders>
              <w:top w:val="nil"/>
              <w:left w:val="nil"/>
              <w:bottom w:val="single" w:sz="8" w:space="0" w:color="448A99"/>
              <w:right w:val="single" w:sz="8" w:space="0" w:color="448A99"/>
            </w:tcBorders>
            <w:shd w:val="clear" w:color="000000" w:fill="D2EAF1"/>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276,722</w:t>
            </w:r>
          </w:p>
        </w:tc>
      </w:tr>
      <w:tr w:rsidR="00A874AC" w:rsidRPr="006433A9" w:rsidTr="000123A3">
        <w:trPr>
          <w:trHeight w:val="141"/>
        </w:trPr>
        <w:tc>
          <w:tcPr>
            <w:tcW w:w="1512" w:type="dxa"/>
            <w:tcBorders>
              <w:top w:val="nil"/>
              <w:left w:val="single" w:sz="8" w:space="0" w:color="448A99"/>
              <w:bottom w:val="single" w:sz="8" w:space="0" w:color="448A99"/>
              <w:right w:val="nil"/>
            </w:tcBorders>
            <w:shd w:val="clear" w:color="000000" w:fill="FFFFFF"/>
            <w:vAlign w:val="center"/>
          </w:tcPr>
          <w:p w:rsidR="00114CA8" w:rsidRPr="007B7BD7" w:rsidRDefault="00AF1BD2" w:rsidP="00375285">
            <w:pPr>
              <w:jc w:val="left"/>
              <w:rPr>
                <w:sz w:val="20"/>
              </w:rPr>
            </w:pPr>
            <w:r w:rsidRPr="007B7BD7">
              <w:rPr>
                <w:bCs/>
                <w:color w:val="000000"/>
                <w:sz w:val="20"/>
                <w:szCs w:val="20"/>
              </w:rPr>
              <w:t xml:space="preserve">FE: </w:t>
            </w:r>
            <w:r w:rsidR="00114CA8" w:rsidRPr="007B7BD7">
              <w:rPr>
                <w:bCs/>
                <w:color w:val="000000"/>
                <w:sz w:val="20"/>
                <w:szCs w:val="20"/>
              </w:rPr>
              <w:t>Met-Ed</w:t>
            </w:r>
          </w:p>
        </w:tc>
        <w:tc>
          <w:tcPr>
            <w:tcW w:w="2609" w:type="dxa"/>
            <w:tcBorders>
              <w:top w:val="nil"/>
              <w:left w:val="single" w:sz="8" w:space="0" w:color="448A99"/>
              <w:bottom w:val="single" w:sz="8" w:space="0" w:color="448A99"/>
              <w:right w:val="single" w:sz="8" w:space="0" w:color="448A99"/>
            </w:tcBorders>
            <w:shd w:val="clear" w:color="000000" w:fill="FFFFFF"/>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$220.87</w:t>
            </w:r>
          </w:p>
        </w:tc>
        <w:tc>
          <w:tcPr>
            <w:tcW w:w="2609" w:type="dxa"/>
            <w:tcBorders>
              <w:top w:val="nil"/>
              <w:left w:val="nil"/>
              <w:bottom w:val="single" w:sz="8" w:space="0" w:color="448A99"/>
              <w:right w:val="single" w:sz="8" w:space="0" w:color="448A99"/>
            </w:tcBorders>
            <w:shd w:val="clear" w:color="000000" w:fill="FFFFFF"/>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2.3%</w:t>
            </w:r>
          </w:p>
        </w:tc>
        <w:tc>
          <w:tcPr>
            <w:tcW w:w="2610" w:type="dxa"/>
            <w:tcBorders>
              <w:top w:val="nil"/>
              <w:left w:val="nil"/>
              <w:bottom w:val="single" w:sz="8" w:space="0" w:color="448A99"/>
              <w:right w:val="single" w:sz="8" w:space="0" w:color="448A99"/>
            </w:tcBorders>
            <w:shd w:val="clear" w:color="000000" w:fill="FFFFFF"/>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337,753</w:t>
            </w:r>
          </w:p>
        </w:tc>
      </w:tr>
      <w:tr w:rsidR="00A874AC" w:rsidRPr="006433A9" w:rsidTr="000123A3">
        <w:trPr>
          <w:trHeight w:val="141"/>
        </w:trPr>
        <w:tc>
          <w:tcPr>
            <w:tcW w:w="1512" w:type="dxa"/>
            <w:tcBorders>
              <w:top w:val="nil"/>
              <w:left w:val="single" w:sz="8" w:space="0" w:color="448A99"/>
              <w:bottom w:val="single" w:sz="8" w:space="0" w:color="448A99"/>
              <w:right w:val="nil"/>
            </w:tcBorders>
            <w:shd w:val="clear" w:color="000000" w:fill="D2EAF1"/>
            <w:vAlign w:val="center"/>
          </w:tcPr>
          <w:p w:rsidR="00114CA8" w:rsidRPr="007B7BD7" w:rsidRDefault="00AF1BD2" w:rsidP="00375285">
            <w:pPr>
              <w:jc w:val="left"/>
              <w:rPr>
                <w:sz w:val="20"/>
              </w:rPr>
            </w:pPr>
            <w:r w:rsidRPr="007B7BD7">
              <w:rPr>
                <w:bCs/>
                <w:color w:val="000000"/>
                <w:sz w:val="20"/>
                <w:szCs w:val="20"/>
              </w:rPr>
              <w:t xml:space="preserve">FE: </w:t>
            </w:r>
            <w:r w:rsidR="00114CA8" w:rsidRPr="007B7BD7">
              <w:rPr>
                <w:bCs/>
                <w:color w:val="000000"/>
                <w:sz w:val="20"/>
                <w:szCs w:val="20"/>
              </w:rPr>
              <w:t>Penelec</w:t>
            </w:r>
          </w:p>
        </w:tc>
        <w:tc>
          <w:tcPr>
            <w:tcW w:w="2609" w:type="dxa"/>
            <w:tcBorders>
              <w:top w:val="nil"/>
              <w:left w:val="single" w:sz="8" w:space="0" w:color="448A99"/>
              <w:bottom w:val="single" w:sz="8" w:space="0" w:color="448A99"/>
              <w:right w:val="single" w:sz="8" w:space="0" w:color="448A99"/>
            </w:tcBorders>
            <w:shd w:val="clear" w:color="000000" w:fill="D2EAF1"/>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$216.19</w:t>
            </w:r>
          </w:p>
        </w:tc>
        <w:tc>
          <w:tcPr>
            <w:tcW w:w="2609" w:type="dxa"/>
            <w:tcBorders>
              <w:top w:val="nil"/>
              <w:left w:val="nil"/>
              <w:bottom w:val="single" w:sz="8" w:space="0" w:color="448A99"/>
              <w:right w:val="single" w:sz="8" w:space="0" w:color="448A99"/>
            </w:tcBorders>
            <w:shd w:val="clear" w:color="000000" w:fill="D2EAF1"/>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2.2%</w:t>
            </w:r>
          </w:p>
        </w:tc>
        <w:tc>
          <w:tcPr>
            <w:tcW w:w="2610" w:type="dxa"/>
            <w:tcBorders>
              <w:top w:val="nil"/>
              <w:left w:val="nil"/>
              <w:bottom w:val="single" w:sz="8" w:space="0" w:color="448A99"/>
              <w:right w:val="single" w:sz="8" w:space="0" w:color="448A99"/>
            </w:tcBorders>
            <w:shd w:val="clear" w:color="000000" w:fill="D2EAF1"/>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318,813</w:t>
            </w:r>
          </w:p>
        </w:tc>
      </w:tr>
      <w:tr w:rsidR="00A874AC" w:rsidRPr="006433A9" w:rsidTr="000123A3">
        <w:trPr>
          <w:trHeight w:val="141"/>
        </w:trPr>
        <w:tc>
          <w:tcPr>
            <w:tcW w:w="1512" w:type="dxa"/>
            <w:tcBorders>
              <w:top w:val="nil"/>
              <w:left w:val="single" w:sz="8" w:space="0" w:color="448A99"/>
              <w:bottom w:val="single" w:sz="8" w:space="0" w:color="448A99"/>
              <w:right w:val="nil"/>
            </w:tcBorders>
            <w:shd w:val="clear" w:color="000000" w:fill="FFFFFF"/>
            <w:vAlign w:val="center"/>
          </w:tcPr>
          <w:p w:rsidR="00114CA8" w:rsidRPr="007B7BD7" w:rsidRDefault="00AF1BD2" w:rsidP="00375285">
            <w:pPr>
              <w:jc w:val="left"/>
              <w:rPr>
                <w:sz w:val="20"/>
              </w:rPr>
            </w:pPr>
            <w:r w:rsidRPr="007B7BD7">
              <w:rPr>
                <w:bCs/>
                <w:color w:val="000000"/>
                <w:sz w:val="20"/>
                <w:szCs w:val="20"/>
              </w:rPr>
              <w:t xml:space="preserve">FE: </w:t>
            </w:r>
            <w:r w:rsidR="00114CA8" w:rsidRPr="007B7BD7">
              <w:rPr>
                <w:bCs/>
                <w:color w:val="000000"/>
                <w:sz w:val="20"/>
                <w:szCs w:val="20"/>
              </w:rPr>
              <w:t>Penn Power</w:t>
            </w:r>
          </w:p>
        </w:tc>
        <w:tc>
          <w:tcPr>
            <w:tcW w:w="2609" w:type="dxa"/>
            <w:tcBorders>
              <w:top w:val="nil"/>
              <w:left w:val="single" w:sz="8" w:space="0" w:color="448A99"/>
              <w:bottom w:val="single" w:sz="8" w:space="0" w:color="448A99"/>
              <w:right w:val="single" w:sz="8" w:space="0" w:color="448A99"/>
            </w:tcBorders>
            <w:shd w:val="clear" w:color="000000" w:fill="FFFFFF"/>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$209.20</w:t>
            </w:r>
          </w:p>
        </w:tc>
        <w:tc>
          <w:tcPr>
            <w:tcW w:w="2609" w:type="dxa"/>
            <w:tcBorders>
              <w:top w:val="nil"/>
              <w:left w:val="nil"/>
              <w:bottom w:val="single" w:sz="8" w:space="0" w:color="448A99"/>
              <w:right w:val="single" w:sz="8" w:space="0" w:color="448A99"/>
            </w:tcBorders>
            <w:shd w:val="clear" w:color="000000" w:fill="FFFFFF"/>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2.0%</w:t>
            </w:r>
          </w:p>
        </w:tc>
        <w:tc>
          <w:tcPr>
            <w:tcW w:w="2610" w:type="dxa"/>
            <w:tcBorders>
              <w:top w:val="nil"/>
              <w:left w:val="nil"/>
              <w:bottom w:val="single" w:sz="8" w:space="0" w:color="448A99"/>
              <w:right w:val="single" w:sz="8" w:space="0" w:color="448A99"/>
            </w:tcBorders>
            <w:shd w:val="clear" w:color="000000" w:fill="FFFFFF"/>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95,502</w:t>
            </w:r>
          </w:p>
        </w:tc>
      </w:tr>
      <w:tr w:rsidR="00A874AC" w:rsidRPr="006433A9" w:rsidTr="000123A3">
        <w:trPr>
          <w:trHeight w:val="141"/>
        </w:trPr>
        <w:tc>
          <w:tcPr>
            <w:tcW w:w="1512" w:type="dxa"/>
            <w:tcBorders>
              <w:top w:val="nil"/>
              <w:left w:val="single" w:sz="8" w:space="0" w:color="448A99"/>
              <w:bottom w:val="single" w:sz="8" w:space="0" w:color="448A99"/>
              <w:right w:val="nil"/>
            </w:tcBorders>
            <w:shd w:val="clear" w:color="000000" w:fill="D2EAF1"/>
            <w:vAlign w:val="center"/>
          </w:tcPr>
          <w:p w:rsidR="00114CA8" w:rsidRPr="007B7BD7" w:rsidRDefault="00AF1BD2" w:rsidP="00375285">
            <w:pPr>
              <w:jc w:val="left"/>
              <w:rPr>
                <w:sz w:val="20"/>
              </w:rPr>
            </w:pPr>
            <w:r w:rsidRPr="007B7BD7">
              <w:rPr>
                <w:bCs/>
                <w:color w:val="000000"/>
                <w:sz w:val="20"/>
                <w:szCs w:val="20"/>
              </w:rPr>
              <w:t xml:space="preserve">FE: </w:t>
            </w:r>
            <w:r w:rsidR="00114CA8" w:rsidRPr="007B7BD7">
              <w:rPr>
                <w:bCs/>
                <w:color w:val="000000"/>
                <w:sz w:val="20"/>
                <w:szCs w:val="20"/>
              </w:rPr>
              <w:t>West Penn</w:t>
            </w:r>
          </w:p>
        </w:tc>
        <w:tc>
          <w:tcPr>
            <w:tcW w:w="2609" w:type="dxa"/>
            <w:tcBorders>
              <w:top w:val="nil"/>
              <w:left w:val="single" w:sz="8" w:space="0" w:color="448A99"/>
              <w:bottom w:val="single" w:sz="8" w:space="0" w:color="448A99"/>
              <w:right w:val="single" w:sz="8" w:space="0" w:color="448A99"/>
            </w:tcBorders>
            <w:shd w:val="clear" w:color="000000" w:fill="D2EAF1"/>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$209.42</w:t>
            </w:r>
          </w:p>
        </w:tc>
        <w:tc>
          <w:tcPr>
            <w:tcW w:w="2609" w:type="dxa"/>
            <w:tcBorders>
              <w:top w:val="nil"/>
              <w:left w:val="nil"/>
              <w:bottom w:val="single" w:sz="8" w:space="0" w:color="448A99"/>
              <w:right w:val="single" w:sz="8" w:space="0" w:color="448A99"/>
            </w:tcBorders>
            <w:shd w:val="clear" w:color="000000" w:fill="D2EAF1"/>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1.6%</w:t>
            </w:r>
          </w:p>
        </w:tc>
        <w:tc>
          <w:tcPr>
            <w:tcW w:w="2610" w:type="dxa"/>
            <w:tcBorders>
              <w:top w:val="nil"/>
              <w:left w:val="nil"/>
              <w:bottom w:val="single" w:sz="8" w:space="0" w:color="448A99"/>
              <w:right w:val="single" w:sz="8" w:space="0" w:color="448A99"/>
            </w:tcBorders>
            <w:shd w:val="clear" w:color="000000" w:fill="D2EAF1"/>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337,533</w:t>
            </w:r>
          </w:p>
        </w:tc>
      </w:tr>
      <w:tr w:rsidR="00A874AC" w:rsidRPr="006433A9" w:rsidTr="000123A3">
        <w:trPr>
          <w:trHeight w:val="141"/>
        </w:trPr>
        <w:tc>
          <w:tcPr>
            <w:tcW w:w="1512" w:type="dxa"/>
            <w:tcBorders>
              <w:top w:val="nil"/>
              <w:left w:val="single" w:sz="8" w:space="0" w:color="448A99"/>
              <w:bottom w:val="single" w:sz="8" w:space="0" w:color="448A99"/>
              <w:right w:val="nil"/>
            </w:tcBorders>
            <w:shd w:val="clear" w:color="000000" w:fill="FFFFFF"/>
            <w:vAlign w:val="center"/>
          </w:tcPr>
          <w:p w:rsidR="00114CA8" w:rsidRPr="007B7BD7" w:rsidRDefault="00114CA8" w:rsidP="00375285">
            <w:pPr>
              <w:jc w:val="left"/>
              <w:rPr>
                <w:sz w:val="20"/>
              </w:rPr>
            </w:pPr>
            <w:r w:rsidRPr="007B7BD7">
              <w:rPr>
                <w:bCs/>
                <w:color w:val="000000"/>
                <w:sz w:val="20"/>
                <w:szCs w:val="20"/>
              </w:rPr>
              <w:t>PPL</w:t>
            </w:r>
          </w:p>
        </w:tc>
        <w:tc>
          <w:tcPr>
            <w:tcW w:w="2609" w:type="dxa"/>
            <w:tcBorders>
              <w:top w:val="nil"/>
              <w:left w:val="single" w:sz="8" w:space="0" w:color="448A99"/>
              <w:bottom w:val="single" w:sz="8" w:space="0" w:color="448A99"/>
              <w:right w:val="single" w:sz="8" w:space="0" w:color="448A99"/>
            </w:tcBorders>
            <w:shd w:val="clear" w:color="000000" w:fill="FFFFFF"/>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$224.71</w:t>
            </w:r>
          </w:p>
        </w:tc>
        <w:tc>
          <w:tcPr>
            <w:tcW w:w="2609" w:type="dxa"/>
            <w:tcBorders>
              <w:top w:val="nil"/>
              <w:left w:val="nil"/>
              <w:bottom w:val="single" w:sz="8" w:space="0" w:color="448A99"/>
              <w:right w:val="single" w:sz="8" w:space="0" w:color="448A99"/>
            </w:tcBorders>
            <w:shd w:val="clear" w:color="000000" w:fill="FFFFFF"/>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2.1%</w:t>
            </w:r>
          </w:p>
        </w:tc>
        <w:tc>
          <w:tcPr>
            <w:tcW w:w="2610" w:type="dxa"/>
            <w:tcBorders>
              <w:top w:val="nil"/>
              <w:left w:val="nil"/>
              <w:bottom w:val="single" w:sz="8" w:space="0" w:color="448A99"/>
              <w:right w:val="single" w:sz="8" w:space="0" w:color="448A99"/>
            </w:tcBorders>
            <w:shd w:val="clear" w:color="000000" w:fill="FFFFFF"/>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821,072</w:t>
            </w:r>
          </w:p>
        </w:tc>
      </w:tr>
      <w:tr w:rsidR="00A874AC" w:rsidRPr="006433A9" w:rsidTr="000123A3">
        <w:trPr>
          <w:trHeight w:val="141"/>
        </w:trPr>
        <w:tc>
          <w:tcPr>
            <w:tcW w:w="1512" w:type="dxa"/>
            <w:tcBorders>
              <w:top w:val="nil"/>
              <w:left w:val="single" w:sz="8" w:space="0" w:color="448A99"/>
              <w:bottom w:val="single" w:sz="8" w:space="0" w:color="448A99"/>
              <w:right w:val="nil"/>
            </w:tcBorders>
            <w:shd w:val="clear" w:color="000000" w:fill="D2EAF1"/>
            <w:vAlign w:val="center"/>
          </w:tcPr>
          <w:p w:rsidR="00114CA8" w:rsidRPr="007B7BD7" w:rsidRDefault="00114CA8" w:rsidP="00375285">
            <w:pPr>
              <w:jc w:val="left"/>
              <w:rPr>
                <w:sz w:val="20"/>
              </w:rPr>
            </w:pPr>
            <w:r w:rsidRPr="007B7BD7">
              <w:rPr>
                <w:bCs/>
                <w:color w:val="000000"/>
                <w:sz w:val="20"/>
                <w:szCs w:val="20"/>
              </w:rPr>
              <w:t>PECO</w:t>
            </w:r>
          </w:p>
        </w:tc>
        <w:tc>
          <w:tcPr>
            <w:tcW w:w="2609" w:type="dxa"/>
            <w:tcBorders>
              <w:top w:val="nil"/>
              <w:left w:val="single" w:sz="8" w:space="0" w:color="448A99"/>
              <w:bottom w:val="single" w:sz="8" w:space="0" w:color="448A99"/>
              <w:right w:val="single" w:sz="8" w:space="0" w:color="448A99"/>
            </w:tcBorders>
            <w:shd w:val="clear" w:color="000000" w:fill="D2EAF1"/>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$227.55</w:t>
            </w:r>
          </w:p>
        </w:tc>
        <w:tc>
          <w:tcPr>
            <w:tcW w:w="2609" w:type="dxa"/>
            <w:tcBorders>
              <w:top w:val="nil"/>
              <w:left w:val="nil"/>
              <w:bottom w:val="single" w:sz="8" w:space="0" w:color="448A99"/>
              <w:right w:val="single" w:sz="8" w:space="0" w:color="448A99"/>
            </w:tcBorders>
            <w:shd w:val="clear" w:color="000000" w:fill="D2EAF1"/>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2.9%</w:t>
            </w:r>
          </w:p>
        </w:tc>
        <w:tc>
          <w:tcPr>
            <w:tcW w:w="2610" w:type="dxa"/>
            <w:tcBorders>
              <w:top w:val="nil"/>
              <w:left w:val="nil"/>
              <w:bottom w:val="single" w:sz="8" w:space="0" w:color="448A99"/>
              <w:right w:val="single" w:sz="8" w:space="0" w:color="448A99"/>
            </w:tcBorders>
            <w:shd w:val="clear" w:color="000000" w:fill="D2EAF1"/>
            <w:vAlign w:val="center"/>
          </w:tcPr>
          <w:p w:rsidR="00114CA8" w:rsidRPr="006433A9" w:rsidRDefault="00114CA8" w:rsidP="00375285">
            <w:pPr>
              <w:autoSpaceDE w:val="0"/>
              <w:autoSpaceDN w:val="0"/>
              <w:adjustRightInd w:val="0"/>
              <w:contextualSpacing/>
              <w:jc w:val="center"/>
              <w:rPr>
                <w:rFonts w:cs="Calibri"/>
                <w:sz w:val="20"/>
                <w:szCs w:val="20"/>
              </w:rPr>
            </w:pPr>
            <w:r>
              <w:rPr>
                <w:color w:val="000000"/>
                <w:sz w:val="20"/>
                <w:szCs w:val="20"/>
              </w:rPr>
              <w:t>1,125,851</w:t>
            </w:r>
          </w:p>
        </w:tc>
      </w:tr>
    </w:tbl>
    <w:p w:rsidR="00114CA8" w:rsidRDefault="00114CA8" w:rsidP="00FB4D74"/>
    <w:p w:rsidR="00AF1BD2" w:rsidRDefault="00AF1BD2" w:rsidP="00AF1BD2">
      <w:pPr>
        <w:pStyle w:val="Caption"/>
        <w:keepNext/>
      </w:pPr>
      <w:bookmarkStart w:id="63" w:name="_Ref473276025"/>
      <w:bookmarkStart w:id="64" w:name="_Toc472472157"/>
      <w:bookmarkStart w:id="65" w:name="_Toc476913969"/>
      <w:r>
        <w:t xml:space="preserve">Table </w:t>
      </w:r>
      <w:fldSimple w:instr=" STYLEREF 1 \s ">
        <w:r w:rsidR="00C301D0">
          <w:rPr>
            <w:noProof/>
          </w:rPr>
          <w:t>2</w:t>
        </w:r>
      </w:fldSimple>
      <w:r w:rsidR="00E6042C">
        <w:noBreakHyphen/>
      </w:r>
      <w:fldSimple w:instr=" SEQ Table \* ARABIC \s 1 ">
        <w:r w:rsidR="00C301D0">
          <w:rPr>
            <w:noProof/>
          </w:rPr>
          <w:t>2</w:t>
        </w:r>
      </w:fldSimple>
      <w:bookmarkEnd w:id="63"/>
      <w:r>
        <w:t xml:space="preserve">: </w:t>
      </w:r>
      <w:r w:rsidRPr="00320BCA">
        <w:t xml:space="preserve">Act 129 Phase II Three-Year </w:t>
      </w:r>
      <w:r>
        <w:t>Low-Income and GNI</w:t>
      </w:r>
      <w:r w:rsidR="00C6646A">
        <w:t xml:space="preserve"> Energy Efficiency Reduction</w:t>
      </w:r>
      <w:r>
        <w:t xml:space="preserve"> Targets</w:t>
      </w:r>
      <w:bookmarkEnd w:id="64"/>
      <w:bookmarkEnd w:id="65"/>
    </w:p>
    <w:tbl>
      <w:tblPr>
        <w:tblW w:w="5000" w:type="pct"/>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3113"/>
        <w:gridCol w:w="3113"/>
        <w:gridCol w:w="3114"/>
      </w:tblGrid>
      <w:tr w:rsidR="00A874AC" w:rsidRPr="006433A9" w:rsidTr="000123A3">
        <w:trPr>
          <w:cantSplit/>
          <w:trHeight w:val="141"/>
          <w:tblHeader/>
        </w:trPr>
        <w:tc>
          <w:tcPr>
            <w:tcW w:w="3113" w:type="dxa"/>
            <w:tcBorders>
              <w:top w:val="single" w:sz="8" w:space="0" w:color="448A99"/>
              <w:left w:val="single" w:sz="8" w:space="0" w:color="448A99"/>
              <w:bottom w:val="single" w:sz="8" w:space="0" w:color="448A99"/>
              <w:right w:val="single" w:sz="8" w:space="0" w:color="448A99"/>
            </w:tcBorders>
            <w:shd w:val="clear" w:color="000000" w:fill="448A99"/>
            <w:vAlign w:val="center"/>
          </w:tcPr>
          <w:p w:rsidR="00AF1BD2" w:rsidRPr="006433A9" w:rsidRDefault="00AF1BD2" w:rsidP="00AF1BD2">
            <w:pPr>
              <w:jc w:val="left"/>
              <w:rPr>
                <w:b/>
                <w:color w:val="FFFFFF"/>
                <w:sz w:val="20"/>
                <w:szCs w:val="20"/>
              </w:rPr>
            </w:pPr>
            <w:r>
              <w:rPr>
                <w:b/>
                <w:bCs/>
                <w:color w:val="FFFFFF"/>
                <w:sz w:val="20"/>
                <w:szCs w:val="20"/>
              </w:rPr>
              <w:t>EDC</w:t>
            </w:r>
          </w:p>
        </w:tc>
        <w:tc>
          <w:tcPr>
            <w:tcW w:w="3113" w:type="dxa"/>
            <w:tcBorders>
              <w:top w:val="single" w:sz="8" w:space="0" w:color="448A99"/>
              <w:left w:val="nil"/>
              <w:bottom w:val="single" w:sz="8" w:space="0" w:color="448A99"/>
              <w:right w:val="single" w:sz="8" w:space="0" w:color="448A99"/>
            </w:tcBorders>
            <w:shd w:val="clear" w:color="000000" w:fill="448A99"/>
            <w:vAlign w:val="center"/>
          </w:tcPr>
          <w:p w:rsidR="00AF1BD2" w:rsidRPr="006433A9" w:rsidRDefault="00AF1BD2" w:rsidP="002A643D">
            <w:pPr>
              <w:jc w:val="center"/>
              <w:rPr>
                <w:b/>
                <w:color w:val="FFFFFF"/>
                <w:sz w:val="20"/>
                <w:szCs w:val="20"/>
              </w:rPr>
            </w:pPr>
            <w:r>
              <w:rPr>
                <w:b/>
                <w:bCs/>
                <w:color w:val="FFFFFF"/>
                <w:sz w:val="20"/>
                <w:szCs w:val="20"/>
              </w:rPr>
              <w:t> Low</w:t>
            </w:r>
            <w:r w:rsidR="002A643D">
              <w:rPr>
                <w:b/>
                <w:bCs/>
                <w:color w:val="FFFFFF"/>
                <w:sz w:val="20"/>
                <w:szCs w:val="20"/>
              </w:rPr>
              <w:t>-</w:t>
            </w:r>
            <w:r>
              <w:rPr>
                <w:b/>
                <w:bCs/>
                <w:color w:val="FFFFFF"/>
                <w:sz w:val="20"/>
                <w:szCs w:val="20"/>
              </w:rPr>
              <w:t>Income</w:t>
            </w:r>
            <w:r w:rsidR="002A643D">
              <w:rPr>
                <w:b/>
                <w:bCs/>
                <w:color w:val="FFFFFF"/>
                <w:sz w:val="20"/>
                <w:szCs w:val="20"/>
              </w:rPr>
              <w:t xml:space="preserve"> Target (MWh/yr)</w:t>
            </w:r>
          </w:p>
        </w:tc>
        <w:tc>
          <w:tcPr>
            <w:tcW w:w="3114" w:type="dxa"/>
            <w:tcBorders>
              <w:top w:val="single" w:sz="8" w:space="0" w:color="448A99"/>
              <w:left w:val="nil"/>
              <w:bottom w:val="single" w:sz="8" w:space="0" w:color="448A99"/>
              <w:right w:val="single" w:sz="8" w:space="0" w:color="448A99"/>
            </w:tcBorders>
            <w:shd w:val="clear" w:color="000000" w:fill="448A99"/>
            <w:vAlign w:val="center"/>
          </w:tcPr>
          <w:p w:rsidR="00AF1BD2" w:rsidRPr="006433A9" w:rsidRDefault="00AF1BD2" w:rsidP="00AF1BD2">
            <w:pPr>
              <w:jc w:val="center"/>
              <w:rPr>
                <w:b/>
                <w:color w:val="FFFFFF"/>
                <w:sz w:val="20"/>
                <w:szCs w:val="20"/>
              </w:rPr>
            </w:pPr>
            <w:r>
              <w:rPr>
                <w:b/>
                <w:bCs/>
                <w:color w:val="FFFFFF"/>
                <w:sz w:val="20"/>
                <w:szCs w:val="20"/>
              </w:rPr>
              <w:t> GNI</w:t>
            </w:r>
            <w:r w:rsidR="002A643D">
              <w:rPr>
                <w:b/>
                <w:bCs/>
                <w:color w:val="FFFFFF"/>
                <w:sz w:val="20"/>
                <w:szCs w:val="20"/>
              </w:rPr>
              <w:t xml:space="preserve"> Target (MWh/yr)</w:t>
            </w:r>
          </w:p>
        </w:tc>
      </w:tr>
      <w:tr w:rsidR="00A874AC" w:rsidRPr="006433A9" w:rsidTr="000123A3">
        <w:trPr>
          <w:trHeight w:val="141"/>
        </w:trPr>
        <w:tc>
          <w:tcPr>
            <w:tcW w:w="3113" w:type="dxa"/>
            <w:tcBorders>
              <w:top w:val="nil"/>
              <w:left w:val="single" w:sz="8" w:space="0" w:color="448A99"/>
              <w:bottom w:val="single" w:sz="8" w:space="0" w:color="448A99"/>
              <w:right w:val="single" w:sz="8" w:space="0" w:color="448A99"/>
            </w:tcBorders>
            <w:shd w:val="clear" w:color="000000" w:fill="D2EAF1"/>
            <w:vAlign w:val="center"/>
          </w:tcPr>
          <w:p w:rsidR="00AF1BD2" w:rsidRPr="007B7BD7" w:rsidRDefault="00AF1BD2" w:rsidP="00AF1BD2">
            <w:pPr>
              <w:jc w:val="left"/>
              <w:rPr>
                <w:sz w:val="20"/>
              </w:rPr>
            </w:pPr>
            <w:r w:rsidRPr="007B7BD7">
              <w:rPr>
                <w:bCs/>
                <w:color w:val="000000"/>
                <w:sz w:val="20"/>
                <w:szCs w:val="20"/>
              </w:rPr>
              <w:t>Duquesne</w:t>
            </w:r>
          </w:p>
        </w:tc>
        <w:tc>
          <w:tcPr>
            <w:tcW w:w="3113" w:type="dxa"/>
            <w:tcBorders>
              <w:top w:val="nil"/>
              <w:left w:val="nil"/>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12,452</w:t>
            </w:r>
          </w:p>
        </w:tc>
        <w:tc>
          <w:tcPr>
            <w:tcW w:w="3114" w:type="dxa"/>
            <w:tcBorders>
              <w:top w:val="nil"/>
              <w:left w:val="nil"/>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27,672</w:t>
            </w:r>
          </w:p>
        </w:tc>
      </w:tr>
      <w:tr w:rsidR="00A874AC" w:rsidRPr="006433A9" w:rsidTr="000123A3">
        <w:trPr>
          <w:trHeight w:val="141"/>
        </w:trPr>
        <w:tc>
          <w:tcPr>
            <w:tcW w:w="3113" w:type="dxa"/>
            <w:tcBorders>
              <w:top w:val="nil"/>
              <w:left w:val="single" w:sz="8" w:space="0" w:color="448A99"/>
              <w:bottom w:val="single" w:sz="8" w:space="0" w:color="448A99"/>
              <w:right w:val="single" w:sz="8" w:space="0" w:color="448A99"/>
            </w:tcBorders>
            <w:shd w:val="clear" w:color="000000" w:fill="FFFFFF"/>
            <w:vAlign w:val="center"/>
          </w:tcPr>
          <w:p w:rsidR="00AF1BD2" w:rsidRPr="007B7BD7" w:rsidRDefault="00AF1BD2" w:rsidP="00AF1BD2">
            <w:pPr>
              <w:jc w:val="left"/>
              <w:rPr>
                <w:sz w:val="20"/>
              </w:rPr>
            </w:pPr>
            <w:r w:rsidRPr="007B7BD7">
              <w:rPr>
                <w:bCs/>
                <w:color w:val="000000"/>
                <w:sz w:val="20"/>
                <w:szCs w:val="20"/>
              </w:rPr>
              <w:t>FE: Met-Ed</w:t>
            </w:r>
          </w:p>
        </w:tc>
        <w:tc>
          <w:tcPr>
            <w:tcW w:w="3113" w:type="dxa"/>
            <w:tcBorders>
              <w:top w:val="nil"/>
              <w:left w:val="nil"/>
              <w:bottom w:val="single" w:sz="8" w:space="0" w:color="448A99"/>
              <w:right w:val="single" w:sz="8" w:space="0" w:color="448A99"/>
            </w:tcBorders>
            <w:shd w:val="clear" w:color="auto" w:fill="auto"/>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15,199</w:t>
            </w:r>
          </w:p>
        </w:tc>
        <w:tc>
          <w:tcPr>
            <w:tcW w:w="3114" w:type="dxa"/>
            <w:tcBorders>
              <w:top w:val="nil"/>
              <w:left w:val="nil"/>
              <w:bottom w:val="single" w:sz="8" w:space="0" w:color="448A99"/>
              <w:right w:val="single" w:sz="8" w:space="0" w:color="448A99"/>
            </w:tcBorders>
            <w:shd w:val="clear" w:color="auto" w:fill="auto"/>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33,775</w:t>
            </w:r>
          </w:p>
        </w:tc>
      </w:tr>
      <w:tr w:rsidR="00A874AC" w:rsidRPr="006433A9" w:rsidTr="000123A3">
        <w:trPr>
          <w:trHeight w:val="141"/>
        </w:trPr>
        <w:tc>
          <w:tcPr>
            <w:tcW w:w="3113" w:type="dxa"/>
            <w:tcBorders>
              <w:top w:val="nil"/>
              <w:left w:val="single" w:sz="8" w:space="0" w:color="448A99"/>
              <w:bottom w:val="single" w:sz="8" w:space="0" w:color="448A99"/>
              <w:right w:val="single" w:sz="8" w:space="0" w:color="448A99"/>
            </w:tcBorders>
            <w:shd w:val="clear" w:color="000000" w:fill="D2EAF1"/>
            <w:vAlign w:val="center"/>
          </w:tcPr>
          <w:p w:rsidR="00AF1BD2" w:rsidRPr="007B7BD7" w:rsidRDefault="00AF1BD2" w:rsidP="00AF1BD2">
            <w:pPr>
              <w:jc w:val="left"/>
              <w:rPr>
                <w:sz w:val="20"/>
              </w:rPr>
            </w:pPr>
            <w:r w:rsidRPr="007B7BD7">
              <w:rPr>
                <w:bCs/>
                <w:color w:val="000000"/>
                <w:sz w:val="20"/>
                <w:szCs w:val="20"/>
              </w:rPr>
              <w:t>FE: Penelec</w:t>
            </w:r>
          </w:p>
        </w:tc>
        <w:tc>
          <w:tcPr>
            <w:tcW w:w="3113" w:type="dxa"/>
            <w:tcBorders>
              <w:top w:val="nil"/>
              <w:left w:val="nil"/>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14,347</w:t>
            </w:r>
          </w:p>
        </w:tc>
        <w:tc>
          <w:tcPr>
            <w:tcW w:w="3114" w:type="dxa"/>
            <w:tcBorders>
              <w:top w:val="nil"/>
              <w:left w:val="nil"/>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31,881</w:t>
            </w:r>
          </w:p>
        </w:tc>
      </w:tr>
      <w:tr w:rsidR="00A874AC" w:rsidRPr="006433A9" w:rsidTr="000123A3">
        <w:trPr>
          <w:trHeight w:val="141"/>
        </w:trPr>
        <w:tc>
          <w:tcPr>
            <w:tcW w:w="3113" w:type="dxa"/>
            <w:tcBorders>
              <w:top w:val="nil"/>
              <w:left w:val="single" w:sz="8" w:space="0" w:color="448A99"/>
              <w:bottom w:val="single" w:sz="8" w:space="0" w:color="448A99"/>
              <w:right w:val="single" w:sz="8" w:space="0" w:color="448A99"/>
            </w:tcBorders>
            <w:shd w:val="clear" w:color="000000" w:fill="FFFFFF"/>
            <w:vAlign w:val="center"/>
          </w:tcPr>
          <w:p w:rsidR="00AF1BD2" w:rsidRPr="007B7BD7" w:rsidRDefault="00AF1BD2" w:rsidP="00AF1BD2">
            <w:pPr>
              <w:jc w:val="left"/>
              <w:rPr>
                <w:sz w:val="20"/>
              </w:rPr>
            </w:pPr>
            <w:r w:rsidRPr="007B7BD7">
              <w:rPr>
                <w:bCs/>
                <w:color w:val="000000"/>
                <w:sz w:val="20"/>
                <w:szCs w:val="20"/>
              </w:rPr>
              <w:t>FE: Penn Power</w:t>
            </w:r>
          </w:p>
        </w:tc>
        <w:tc>
          <w:tcPr>
            <w:tcW w:w="3113" w:type="dxa"/>
            <w:tcBorders>
              <w:top w:val="nil"/>
              <w:left w:val="nil"/>
              <w:bottom w:val="single" w:sz="8" w:space="0" w:color="448A99"/>
              <w:right w:val="single" w:sz="8" w:space="0" w:color="448A99"/>
            </w:tcBorders>
            <w:shd w:val="clear" w:color="auto" w:fill="auto"/>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4,298</w:t>
            </w:r>
          </w:p>
        </w:tc>
        <w:tc>
          <w:tcPr>
            <w:tcW w:w="3114" w:type="dxa"/>
            <w:tcBorders>
              <w:top w:val="nil"/>
              <w:left w:val="nil"/>
              <w:bottom w:val="single" w:sz="8" w:space="0" w:color="448A99"/>
              <w:right w:val="single" w:sz="8" w:space="0" w:color="448A99"/>
            </w:tcBorders>
            <w:shd w:val="clear" w:color="auto" w:fill="auto"/>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9,550</w:t>
            </w:r>
          </w:p>
        </w:tc>
      </w:tr>
      <w:tr w:rsidR="00A874AC" w:rsidRPr="006433A9" w:rsidTr="000123A3">
        <w:trPr>
          <w:trHeight w:val="141"/>
        </w:trPr>
        <w:tc>
          <w:tcPr>
            <w:tcW w:w="3113" w:type="dxa"/>
            <w:tcBorders>
              <w:top w:val="nil"/>
              <w:left w:val="single" w:sz="8" w:space="0" w:color="448A99"/>
              <w:bottom w:val="single" w:sz="8" w:space="0" w:color="448A99"/>
              <w:right w:val="single" w:sz="8" w:space="0" w:color="448A99"/>
            </w:tcBorders>
            <w:shd w:val="clear" w:color="000000" w:fill="D2EAF1"/>
            <w:vAlign w:val="center"/>
          </w:tcPr>
          <w:p w:rsidR="00AF1BD2" w:rsidRPr="007B7BD7" w:rsidRDefault="00AF1BD2" w:rsidP="00AF1BD2">
            <w:pPr>
              <w:jc w:val="left"/>
              <w:rPr>
                <w:sz w:val="20"/>
              </w:rPr>
            </w:pPr>
            <w:r w:rsidRPr="007B7BD7">
              <w:rPr>
                <w:bCs/>
                <w:color w:val="000000"/>
                <w:sz w:val="20"/>
                <w:szCs w:val="20"/>
              </w:rPr>
              <w:t>FE: West Penn</w:t>
            </w:r>
          </w:p>
        </w:tc>
        <w:tc>
          <w:tcPr>
            <w:tcW w:w="3113" w:type="dxa"/>
            <w:tcBorders>
              <w:top w:val="nil"/>
              <w:left w:val="nil"/>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15,189</w:t>
            </w:r>
          </w:p>
        </w:tc>
        <w:tc>
          <w:tcPr>
            <w:tcW w:w="3114" w:type="dxa"/>
            <w:tcBorders>
              <w:top w:val="nil"/>
              <w:left w:val="nil"/>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33,753</w:t>
            </w:r>
          </w:p>
        </w:tc>
      </w:tr>
      <w:tr w:rsidR="005E6D04" w:rsidRPr="006433A9" w:rsidTr="00696BFA">
        <w:trPr>
          <w:trHeight w:val="141"/>
        </w:trPr>
        <w:tc>
          <w:tcPr>
            <w:tcW w:w="3113" w:type="dxa"/>
            <w:tcBorders>
              <w:top w:val="nil"/>
              <w:left w:val="single" w:sz="8" w:space="0" w:color="448A99"/>
              <w:bottom w:val="single" w:sz="8" w:space="0" w:color="448A99"/>
              <w:right w:val="single" w:sz="8" w:space="0" w:color="448A99"/>
            </w:tcBorders>
            <w:shd w:val="clear" w:color="auto" w:fill="auto"/>
            <w:vAlign w:val="center"/>
          </w:tcPr>
          <w:p w:rsidR="00AF1BD2" w:rsidRPr="007B7BD7" w:rsidRDefault="00AF1BD2" w:rsidP="00AF1BD2">
            <w:pPr>
              <w:jc w:val="left"/>
              <w:rPr>
                <w:sz w:val="20"/>
              </w:rPr>
            </w:pPr>
            <w:r w:rsidRPr="007B7BD7">
              <w:rPr>
                <w:bCs/>
                <w:color w:val="000000"/>
                <w:sz w:val="20"/>
                <w:szCs w:val="20"/>
              </w:rPr>
              <w:t>PECO</w:t>
            </w:r>
          </w:p>
        </w:tc>
        <w:tc>
          <w:tcPr>
            <w:tcW w:w="3113" w:type="dxa"/>
            <w:tcBorders>
              <w:top w:val="nil"/>
              <w:left w:val="nil"/>
              <w:bottom w:val="single" w:sz="8" w:space="0" w:color="448A99"/>
              <w:right w:val="single" w:sz="8" w:space="0" w:color="448A99"/>
            </w:tcBorders>
            <w:shd w:val="clear" w:color="auto" w:fill="auto"/>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50,663</w:t>
            </w:r>
          </w:p>
        </w:tc>
        <w:tc>
          <w:tcPr>
            <w:tcW w:w="3114" w:type="dxa"/>
            <w:tcBorders>
              <w:top w:val="nil"/>
              <w:left w:val="nil"/>
              <w:bottom w:val="single" w:sz="8" w:space="0" w:color="448A99"/>
              <w:right w:val="single" w:sz="8" w:space="0" w:color="448A99"/>
            </w:tcBorders>
            <w:shd w:val="clear" w:color="auto" w:fill="auto"/>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112,585</w:t>
            </w:r>
          </w:p>
        </w:tc>
      </w:tr>
      <w:tr w:rsidR="00A874AC" w:rsidRPr="006433A9" w:rsidTr="000123A3">
        <w:trPr>
          <w:trHeight w:val="141"/>
        </w:trPr>
        <w:tc>
          <w:tcPr>
            <w:tcW w:w="3113" w:type="dxa"/>
            <w:tcBorders>
              <w:top w:val="nil"/>
              <w:left w:val="single" w:sz="8" w:space="0" w:color="448A99"/>
              <w:bottom w:val="single" w:sz="8" w:space="0" w:color="448A99"/>
              <w:right w:val="single" w:sz="8" w:space="0" w:color="448A99"/>
            </w:tcBorders>
            <w:shd w:val="clear" w:color="000000" w:fill="D2EAF1"/>
            <w:vAlign w:val="center"/>
          </w:tcPr>
          <w:p w:rsidR="00AF1BD2" w:rsidRPr="007B7BD7" w:rsidRDefault="00AF1BD2" w:rsidP="00AF1BD2">
            <w:pPr>
              <w:jc w:val="left"/>
              <w:rPr>
                <w:sz w:val="20"/>
              </w:rPr>
            </w:pPr>
            <w:r w:rsidRPr="007B7BD7">
              <w:rPr>
                <w:bCs/>
                <w:color w:val="000000"/>
                <w:sz w:val="20"/>
                <w:szCs w:val="20"/>
              </w:rPr>
              <w:t>PPL</w:t>
            </w:r>
          </w:p>
        </w:tc>
        <w:tc>
          <w:tcPr>
            <w:tcW w:w="3113" w:type="dxa"/>
            <w:tcBorders>
              <w:top w:val="nil"/>
              <w:left w:val="nil"/>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36,948</w:t>
            </w:r>
          </w:p>
        </w:tc>
        <w:tc>
          <w:tcPr>
            <w:tcW w:w="3114" w:type="dxa"/>
            <w:tcBorders>
              <w:top w:val="nil"/>
              <w:left w:val="nil"/>
              <w:bottom w:val="single" w:sz="8" w:space="0" w:color="448A99"/>
              <w:right w:val="single" w:sz="8" w:space="0" w:color="448A99"/>
            </w:tcBorders>
            <w:shd w:val="clear" w:color="000000" w:fill="D2EAF1"/>
            <w:vAlign w:val="center"/>
          </w:tcPr>
          <w:p w:rsidR="00AF1BD2" w:rsidRPr="006433A9" w:rsidRDefault="00AF1BD2" w:rsidP="00AF1BD2">
            <w:pPr>
              <w:autoSpaceDE w:val="0"/>
              <w:autoSpaceDN w:val="0"/>
              <w:adjustRightInd w:val="0"/>
              <w:contextualSpacing/>
              <w:jc w:val="center"/>
              <w:rPr>
                <w:rFonts w:cs="Calibri"/>
                <w:sz w:val="20"/>
                <w:szCs w:val="20"/>
              </w:rPr>
            </w:pPr>
            <w:r>
              <w:rPr>
                <w:color w:val="000000"/>
                <w:sz w:val="20"/>
                <w:szCs w:val="20"/>
              </w:rPr>
              <w:t>82,107</w:t>
            </w:r>
          </w:p>
        </w:tc>
      </w:tr>
    </w:tbl>
    <w:p w:rsidR="00AF1BD2" w:rsidRDefault="00AF1BD2" w:rsidP="00FB4D74"/>
    <w:p w:rsidR="003E659C" w:rsidRDefault="00551E59" w:rsidP="00FB4D74">
      <w:r>
        <w:t>The remainder of the chapter discusses EDC compl</w:t>
      </w:r>
      <w:r w:rsidR="00661FA0">
        <w:t>iance</w:t>
      </w:r>
      <w:r>
        <w:t xml:space="preserve"> with these targets and carve-out goals, and provides statewide and EDC-specific results.</w:t>
      </w:r>
    </w:p>
    <w:p w:rsidR="00710D2E" w:rsidRDefault="00710D2E" w:rsidP="00FB4D74"/>
    <w:p w:rsidR="000123A3" w:rsidRDefault="000123A3" w:rsidP="00FB4D74"/>
    <w:p w:rsidR="00523EDC" w:rsidRDefault="00523EDC" w:rsidP="00472B27">
      <w:pPr>
        <w:pStyle w:val="Heading2"/>
      </w:pPr>
      <w:bookmarkStart w:id="66" w:name="_Toc472472088"/>
      <w:bookmarkStart w:id="67" w:name="_Toc476913900"/>
      <w:r>
        <w:lastRenderedPageBreak/>
        <w:t>Compliance Summary by EDC</w:t>
      </w:r>
      <w:bookmarkEnd w:id="66"/>
      <w:bookmarkEnd w:id="67"/>
    </w:p>
    <w:p w:rsidR="00DC50FD" w:rsidRDefault="00C82F49" w:rsidP="00FB4D74">
      <w:r>
        <w:t xml:space="preserve">All seven EDC’s met their compliance targets. </w:t>
      </w:r>
      <w:r>
        <w:fldChar w:fldCharType="begin"/>
      </w:r>
      <w:r>
        <w:instrText xml:space="preserve"> REF _Ref472265115 \h </w:instrText>
      </w:r>
      <w:r>
        <w:fldChar w:fldCharType="separate"/>
      </w:r>
      <w:r w:rsidR="00592FD5">
        <w:t xml:space="preserve">Table </w:t>
      </w:r>
      <w:r w:rsidR="00592FD5">
        <w:rPr>
          <w:noProof/>
        </w:rPr>
        <w:t>2</w:t>
      </w:r>
      <w:r w:rsidR="00592FD5">
        <w:noBreakHyphen/>
      </w:r>
      <w:r w:rsidR="00592FD5">
        <w:rPr>
          <w:noProof/>
        </w:rPr>
        <w:t>3</w:t>
      </w:r>
      <w:r>
        <w:fldChar w:fldCharType="end"/>
      </w:r>
      <w:r>
        <w:t xml:space="preserve"> below shows the Phase II verified energy savings and these achievements as a percentage of the Phase II targets. The Phase II </w:t>
      </w:r>
      <w:r w:rsidR="002724D0">
        <w:t xml:space="preserve">verified </w:t>
      </w:r>
      <w:r>
        <w:t xml:space="preserve">energy savings include carryover savings from Phase I. </w:t>
      </w:r>
      <w:r w:rsidR="002724D0">
        <w:t>The Phase III carryover savings in the final column equal the PY5-PY7 verified energy savings minus the Phase II energy savings targets.</w:t>
      </w:r>
    </w:p>
    <w:p w:rsidR="00C82F49" w:rsidRDefault="00C82F49" w:rsidP="00FB4D74"/>
    <w:p w:rsidR="00C82F49" w:rsidRDefault="00C82F49" w:rsidP="00C82F49">
      <w:pPr>
        <w:pStyle w:val="Caption"/>
        <w:keepNext/>
      </w:pPr>
      <w:bookmarkStart w:id="68" w:name="_Ref472265115"/>
      <w:bookmarkStart w:id="69" w:name="_Toc472472158"/>
      <w:bookmarkStart w:id="70" w:name="_Toc476913970"/>
      <w:r>
        <w:t xml:space="preserve">Table </w:t>
      </w:r>
      <w:fldSimple w:instr=" STYLEREF 1 \s ">
        <w:r w:rsidR="00592FD5">
          <w:rPr>
            <w:noProof/>
          </w:rPr>
          <w:t>2</w:t>
        </w:r>
      </w:fldSimple>
      <w:r w:rsidR="00E6042C">
        <w:noBreakHyphen/>
      </w:r>
      <w:fldSimple w:instr=" SEQ Table \* ARABIC \s 1 ">
        <w:r w:rsidR="00592FD5">
          <w:rPr>
            <w:noProof/>
          </w:rPr>
          <w:t>3</w:t>
        </w:r>
      </w:fldSimple>
      <w:bookmarkEnd w:id="68"/>
      <w:r>
        <w:t>: Phase II Compliance Summary by EDC</w:t>
      </w:r>
      <w:bookmarkEnd w:id="69"/>
      <w:bookmarkEnd w:id="70"/>
    </w:p>
    <w:tbl>
      <w:tblPr>
        <w:tblW w:w="9360" w:type="dxa"/>
        <w:tblInd w:w="-10" w:type="dxa"/>
        <w:tblLook w:val="04A0" w:firstRow="1" w:lastRow="0" w:firstColumn="1" w:lastColumn="0" w:noHBand="0" w:noVBand="1"/>
      </w:tblPr>
      <w:tblGrid>
        <w:gridCol w:w="1520"/>
        <w:gridCol w:w="1240"/>
        <w:gridCol w:w="1180"/>
        <w:gridCol w:w="1420"/>
        <w:gridCol w:w="1220"/>
        <w:gridCol w:w="1080"/>
        <w:gridCol w:w="1700"/>
      </w:tblGrid>
      <w:tr w:rsidR="00A874AC" w:rsidRPr="00037FD6" w:rsidTr="00034173">
        <w:trPr>
          <w:trHeight w:val="1035"/>
        </w:trPr>
        <w:tc>
          <w:tcPr>
            <w:tcW w:w="1520" w:type="dxa"/>
            <w:tcBorders>
              <w:top w:val="single" w:sz="8" w:space="0" w:color="448A99"/>
              <w:left w:val="single" w:sz="8" w:space="0" w:color="448A99"/>
              <w:bottom w:val="single" w:sz="8" w:space="0" w:color="448A99"/>
              <w:right w:val="nil"/>
            </w:tcBorders>
            <w:shd w:val="clear" w:color="000000" w:fill="448A99"/>
            <w:noWrap/>
            <w:vAlign w:val="bottom"/>
            <w:hideMark/>
          </w:tcPr>
          <w:p w:rsidR="00037FD6" w:rsidRPr="00037FD6" w:rsidRDefault="00037FD6" w:rsidP="000123A3">
            <w:pPr>
              <w:rPr>
                <w:b/>
                <w:bCs/>
                <w:color w:val="FFFFFF"/>
                <w:sz w:val="20"/>
                <w:szCs w:val="20"/>
              </w:rPr>
            </w:pPr>
            <w:r w:rsidRPr="00037FD6">
              <w:rPr>
                <w:b/>
                <w:bCs/>
                <w:color w:val="FFFFFF"/>
                <w:sz w:val="20"/>
                <w:szCs w:val="20"/>
              </w:rPr>
              <w:t>EDC</w:t>
            </w:r>
          </w:p>
        </w:tc>
        <w:tc>
          <w:tcPr>
            <w:tcW w:w="1240" w:type="dxa"/>
            <w:tcBorders>
              <w:top w:val="single" w:sz="8" w:space="0" w:color="448A99"/>
              <w:left w:val="nil"/>
              <w:bottom w:val="single" w:sz="8" w:space="0" w:color="448A99"/>
              <w:right w:val="single" w:sz="8" w:space="0" w:color="448A99"/>
            </w:tcBorders>
            <w:shd w:val="clear" w:color="000000" w:fill="448A99"/>
            <w:vAlign w:val="bottom"/>
            <w:hideMark/>
          </w:tcPr>
          <w:p w:rsidR="00037FD6" w:rsidRPr="00037FD6" w:rsidRDefault="00037FD6" w:rsidP="000123A3">
            <w:pPr>
              <w:jc w:val="center"/>
              <w:rPr>
                <w:b/>
                <w:bCs/>
                <w:color w:val="FFFFFF"/>
                <w:sz w:val="20"/>
                <w:szCs w:val="20"/>
              </w:rPr>
            </w:pPr>
            <w:r w:rsidRPr="00037FD6">
              <w:rPr>
                <w:b/>
                <w:bCs/>
                <w:color w:val="FFFFFF"/>
                <w:sz w:val="20"/>
                <w:szCs w:val="20"/>
              </w:rPr>
              <w:t>Phase I Carryover MWh/yr Savings</w:t>
            </w:r>
          </w:p>
        </w:tc>
        <w:tc>
          <w:tcPr>
            <w:tcW w:w="1180" w:type="dxa"/>
            <w:tcBorders>
              <w:top w:val="single" w:sz="8" w:space="0" w:color="448A99"/>
              <w:left w:val="nil"/>
              <w:bottom w:val="single" w:sz="8" w:space="0" w:color="448A99"/>
              <w:right w:val="single" w:sz="8" w:space="0" w:color="448A99"/>
            </w:tcBorders>
            <w:shd w:val="clear" w:color="000000" w:fill="448A99"/>
            <w:vAlign w:val="bottom"/>
            <w:hideMark/>
          </w:tcPr>
          <w:p w:rsidR="00037FD6" w:rsidRPr="00037FD6" w:rsidRDefault="001936AA" w:rsidP="000123A3">
            <w:pPr>
              <w:jc w:val="center"/>
              <w:rPr>
                <w:b/>
                <w:bCs/>
                <w:color w:val="FFFFFF"/>
                <w:sz w:val="20"/>
                <w:szCs w:val="20"/>
              </w:rPr>
            </w:pPr>
            <w:r>
              <w:rPr>
                <w:b/>
                <w:bCs/>
                <w:color w:val="FFFFFF"/>
                <w:sz w:val="20"/>
                <w:szCs w:val="20"/>
              </w:rPr>
              <w:t>Phase II</w:t>
            </w:r>
            <w:r w:rsidR="00037FD6" w:rsidRPr="00037FD6">
              <w:rPr>
                <w:b/>
                <w:bCs/>
                <w:color w:val="FFFFFF"/>
                <w:sz w:val="20"/>
                <w:szCs w:val="20"/>
              </w:rPr>
              <w:t xml:space="preserve"> Verified MWh/yr Savings</w:t>
            </w:r>
          </w:p>
        </w:tc>
        <w:tc>
          <w:tcPr>
            <w:tcW w:w="1420" w:type="dxa"/>
            <w:tcBorders>
              <w:top w:val="single" w:sz="8" w:space="0" w:color="448A99"/>
              <w:left w:val="nil"/>
              <w:bottom w:val="single" w:sz="8" w:space="0" w:color="448A99"/>
              <w:right w:val="single" w:sz="8" w:space="0" w:color="448A99"/>
            </w:tcBorders>
            <w:shd w:val="clear" w:color="000000" w:fill="448A99"/>
            <w:vAlign w:val="bottom"/>
            <w:hideMark/>
          </w:tcPr>
          <w:p w:rsidR="00037FD6" w:rsidRPr="00037FD6" w:rsidRDefault="00037FD6" w:rsidP="000123A3">
            <w:pPr>
              <w:jc w:val="center"/>
              <w:rPr>
                <w:b/>
                <w:bCs/>
                <w:color w:val="FFFFFF"/>
                <w:sz w:val="20"/>
                <w:szCs w:val="20"/>
              </w:rPr>
            </w:pPr>
            <w:r w:rsidRPr="00037FD6">
              <w:rPr>
                <w:b/>
                <w:bCs/>
                <w:color w:val="FFFFFF"/>
                <w:sz w:val="20"/>
                <w:szCs w:val="20"/>
              </w:rPr>
              <w:t>Phase II Verified MWh/yr Savings (including CO)</w:t>
            </w:r>
          </w:p>
        </w:tc>
        <w:tc>
          <w:tcPr>
            <w:tcW w:w="1220" w:type="dxa"/>
            <w:tcBorders>
              <w:top w:val="single" w:sz="8" w:space="0" w:color="448A99"/>
              <w:left w:val="nil"/>
              <w:bottom w:val="single" w:sz="8" w:space="0" w:color="448A99"/>
              <w:right w:val="single" w:sz="8" w:space="0" w:color="448A99"/>
            </w:tcBorders>
            <w:shd w:val="clear" w:color="000000" w:fill="448A99"/>
            <w:vAlign w:val="bottom"/>
            <w:hideMark/>
          </w:tcPr>
          <w:p w:rsidR="00037FD6" w:rsidRPr="00037FD6" w:rsidRDefault="00037FD6" w:rsidP="000123A3">
            <w:pPr>
              <w:jc w:val="center"/>
              <w:rPr>
                <w:b/>
                <w:bCs/>
                <w:color w:val="FFFFFF"/>
                <w:sz w:val="20"/>
                <w:szCs w:val="20"/>
              </w:rPr>
            </w:pPr>
            <w:r w:rsidRPr="00037FD6">
              <w:rPr>
                <w:b/>
                <w:bCs/>
                <w:color w:val="FFFFFF"/>
                <w:sz w:val="20"/>
                <w:szCs w:val="20"/>
              </w:rPr>
              <w:t>Phase II Energy Savings Targets</w:t>
            </w:r>
          </w:p>
        </w:tc>
        <w:tc>
          <w:tcPr>
            <w:tcW w:w="1080" w:type="dxa"/>
            <w:tcBorders>
              <w:top w:val="single" w:sz="8" w:space="0" w:color="448A99"/>
              <w:left w:val="nil"/>
              <w:bottom w:val="single" w:sz="8" w:space="0" w:color="448A99"/>
              <w:right w:val="single" w:sz="8" w:space="0" w:color="448A99"/>
            </w:tcBorders>
            <w:shd w:val="clear" w:color="000000" w:fill="448A99"/>
            <w:vAlign w:val="bottom"/>
            <w:hideMark/>
          </w:tcPr>
          <w:p w:rsidR="00037FD6" w:rsidRPr="00037FD6" w:rsidRDefault="00037FD6" w:rsidP="005156C3">
            <w:pPr>
              <w:jc w:val="center"/>
              <w:rPr>
                <w:b/>
                <w:bCs/>
                <w:color w:val="FFFFFF"/>
                <w:sz w:val="20"/>
                <w:szCs w:val="20"/>
              </w:rPr>
            </w:pPr>
            <w:r w:rsidRPr="00037FD6">
              <w:rPr>
                <w:b/>
                <w:bCs/>
                <w:color w:val="FFFFFF"/>
                <w:sz w:val="20"/>
                <w:szCs w:val="20"/>
              </w:rPr>
              <w:t xml:space="preserve">Savings Achieved % </w:t>
            </w:r>
            <w:r w:rsidR="005156C3">
              <w:rPr>
                <w:b/>
                <w:bCs/>
                <w:color w:val="FFFFFF"/>
                <w:sz w:val="20"/>
                <w:szCs w:val="20"/>
              </w:rPr>
              <w:t>of</w:t>
            </w:r>
            <w:r w:rsidRPr="00037FD6">
              <w:rPr>
                <w:b/>
                <w:bCs/>
                <w:color w:val="FFFFFF"/>
                <w:sz w:val="20"/>
                <w:szCs w:val="20"/>
              </w:rPr>
              <w:t xml:space="preserve"> Target</w:t>
            </w:r>
          </w:p>
        </w:tc>
        <w:tc>
          <w:tcPr>
            <w:tcW w:w="1700" w:type="dxa"/>
            <w:tcBorders>
              <w:top w:val="single" w:sz="8" w:space="0" w:color="448A99"/>
              <w:left w:val="nil"/>
              <w:bottom w:val="single" w:sz="8" w:space="0" w:color="448A99"/>
              <w:right w:val="single" w:sz="8" w:space="0" w:color="448A99"/>
            </w:tcBorders>
            <w:shd w:val="clear" w:color="000000" w:fill="448A99"/>
            <w:vAlign w:val="bottom"/>
            <w:hideMark/>
          </w:tcPr>
          <w:p w:rsidR="00037FD6" w:rsidRPr="00037FD6" w:rsidRDefault="00037FD6" w:rsidP="000123A3">
            <w:pPr>
              <w:jc w:val="center"/>
              <w:rPr>
                <w:b/>
                <w:bCs/>
                <w:color w:val="FFFFFF"/>
                <w:sz w:val="20"/>
                <w:szCs w:val="20"/>
              </w:rPr>
            </w:pPr>
            <w:r w:rsidRPr="00037FD6">
              <w:rPr>
                <w:b/>
                <w:bCs/>
                <w:color w:val="FFFFFF"/>
                <w:sz w:val="20"/>
                <w:szCs w:val="20"/>
              </w:rPr>
              <w:t>Phase III Carryover MWh/yr Savings</w:t>
            </w:r>
          </w:p>
        </w:tc>
      </w:tr>
      <w:tr w:rsidR="00A874AC" w:rsidRPr="00037FD6" w:rsidTr="00034173">
        <w:trPr>
          <w:trHeight w:val="315"/>
        </w:trPr>
        <w:tc>
          <w:tcPr>
            <w:tcW w:w="1520" w:type="dxa"/>
            <w:tcBorders>
              <w:top w:val="nil"/>
              <w:left w:val="single" w:sz="8" w:space="0" w:color="448A99"/>
              <w:bottom w:val="single" w:sz="8" w:space="0" w:color="448A99"/>
              <w:right w:val="single" w:sz="8" w:space="0" w:color="448A99"/>
            </w:tcBorders>
            <w:shd w:val="clear" w:color="000000" w:fill="D2EAF1"/>
            <w:noWrap/>
            <w:vAlign w:val="center"/>
            <w:hideMark/>
          </w:tcPr>
          <w:p w:rsidR="00037FD6" w:rsidRPr="007B7BD7" w:rsidRDefault="00037FD6" w:rsidP="00037FD6">
            <w:pPr>
              <w:jc w:val="left"/>
              <w:rPr>
                <w:bCs/>
                <w:color w:val="000000"/>
                <w:sz w:val="20"/>
                <w:szCs w:val="20"/>
              </w:rPr>
            </w:pPr>
            <w:r w:rsidRPr="007B7BD7">
              <w:rPr>
                <w:bCs/>
                <w:color w:val="000000"/>
                <w:sz w:val="20"/>
                <w:szCs w:val="20"/>
              </w:rPr>
              <w:t>Duquesne</w:t>
            </w:r>
          </w:p>
        </w:tc>
        <w:tc>
          <w:tcPr>
            <w:tcW w:w="124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133,717</w:t>
            </w:r>
          </w:p>
        </w:tc>
        <w:tc>
          <w:tcPr>
            <w:tcW w:w="118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377,248</w:t>
            </w:r>
          </w:p>
        </w:tc>
        <w:tc>
          <w:tcPr>
            <w:tcW w:w="142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510,965</w:t>
            </w:r>
          </w:p>
        </w:tc>
        <w:tc>
          <w:tcPr>
            <w:tcW w:w="122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276,722</w:t>
            </w:r>
          </w:p>
        </w:tc>
        <w:tc>
          <w:tcPr>
            <w:tcW w:w="108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185%</w:t>
            </w:r>
          </w:p>
        </w:tc>
        <w:tc>
          <w:tcPr>
            <w:tcW w:w="170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100,526</w:t>
            </w:r>
          </w:p>
        </w:tc>
      </w:tr>
      <w:tr w:rsidR="00A874AC" w:rsidRPr="00037FD6" w:rsidTr="00034173">
        <w:trPr>
          <w:trHeight w:val="315"/>
        </w:trPr>
        <w:tc>
          <w:tcPr>
            <w:tcW w:w="1520" w:type="dxa"/>
            <w:tcBorders>
              <w:top w:val="nil"/>
              <w:left w:val="single" w:sz="8" w:space="0" w:color="448A99"/>
              <w:bottom w:val="single" w:sz="8" w:space="0" w:color="448A99"/>
              <w:right w:val="single" w:sz="8" w:space="0" w:color="448A99"/>
            </w:tcBorders>
            <w:shd w:val="clear" w:color="000000" w:fill="FFFFFF"/>
            <w:noWrap/>
            <w:vAlign w:val="center"/>
            <w:hideMark/>
          </w:tcPr>
          <w:p w:rsidR="00037FD6" w:rsidRPr="007B7BD7" w:rsidRDefault="00037FD6" w:rsidP="00037FD6">
            <w:pPr>
              <w:jc w:val="left"/>
              <w:rPr>
                <w:bCs/>
                <w:color w:val="000000"/>
                <w:sz w:val="20"/>
                <w:szCs w:val="20"/>
              </w:rPr>
            </w:pPr>
            <w:r w:rsidRPr="007B7BD7">
              <w:rPr>
                <w:bCs/>
                <w:color w:val="000000"/>
                <w:sz w:val="20"/>
                <w:szCs w:val="20"/>
              </w:rPr>
              <w:t>FE: Met-Ed</w:t>
            </w:r>
          </w:p>
        </w:tc>
        <w:tc>
          <w:tcPr>
            <w:tcW w:w="124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47,187</w:t>
            </w:r>
          </w:p>
        </w:tc>
        <w:tc>
          <w:tcPr>
            <w:tcW w:w="118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368,235</w:t>
            </w:r>
          </w:p>
        </w:tc>
        <w:tc>
          <w:tcPr>
            <w:tcW w:w="142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415,422</w:t>
            </w:r>
          </w:p>
        </w:tc>
        <w:tc>
          <w:tcPr>
            <w:tcW w:w="122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337,753</w:t>
            </w:r>
          </w:p>
        </w:tc>
        <w:tc>
          <w:tcPr>
            <w:tcW w:w="108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123%</w:t>
            </w:r>
          </w:p>
        </w:tc>
        <w:tc>
          <w:tcPr>
            <w:tcW w:w="170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30,482</w:t>
            </w:r>
          </w:p>
        </w:tc>
      </w:tr>
      <w:tr w:rsidR="00A874AC" w:rsidRPr="00037FD6" w:rsidTr="00034173">
        <w:trPr>
          <w:trHeight w:val="315"/>
        </w:trPr>
        <w:tc>
          <w:tcPr>
            <w:tcW w:w="1520" w:type="dxa"/>
            <w:tcBorders>
              <w:top w:val="nil"/>
              <w:left w:val="single" w:sz="8" w:space="0" w:color="448A99"/>
              <w:bottom w:val="single" w:sz="8" w:space="0" w:color="448A99"/>
              <w:right w:val="single" w:sz="8" w:space="0" w:color="448A99"/>
            </w:tcBorders>
            <w:shd w:val="clear" w:color="000000" w:fill="D2EAF1"/>
            <w:noWrap/>
            <w:vAlign w:val="center"/>
            <w:hideMark/>
          </w:tcPr>
          <w:p w:rsidR="00037FD6" w:rsidRPr="007B7BD7" w:rsidRDefault="00037FD6" w:rsidP="00037FD6">
            <w:pPr>
              <w:jc w:val="left"/>
              <w:rPr>
                <w:bCs/>
                <w:color w:val="000000"/>
                <w:sz w:val="20"/>
                <w:szCs w:val="20"/>
              </w:rPr>
            </w:pPr>
            <w:r w:rsidRPr="007B7BD7">
              <w:rPr>
                <w:bCs/>
                <w:color w:val="000000"/>
                <w:sz w:val="20"/>
                <w:szCs w:val="20"/>
              </w:rPr>
              <w:t>FE: Penelec</w:t>
            </w:r>
          </w:p>
        </w:tc>
        <w:tc>
          <w:tcPr>
            <w:tcW w:w="124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26,805</w:t>
            </w:r>
          </w:p>
        </w:tc>
        <w:tc>
          <w:tcPr>
            <w:tcW w:w="118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368,508</w:t>
            </w:r>
          </w:p>
        </w:tc>
        <w:tc>
          <w:tcPr>
            <w:tcW w:w="142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395,313</w:t>
            </w:r>
          </w:p>
        </w:tc>
        <w:tc>
          <w:tcPr>
            <w:tcW w:w="122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318,813</w:t>
            </w:r>
          </w:p>
        </w:tc>
        <w:tc>
          <w:tcPr>
            <w:tcW w:w="108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124%</w:t>
            </w:r>
          </w:p>
        </w:tc>
        <w:tc>
          <w:tcPr>
            <w:tcW w:w="170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49,695</w:t>
            </w:r>
          </w:p>
        </w:tc>
      </w:tr>
      <w:tr w:rsidR="00A874AC" w:rsidRPr="00037FD6" w:rsidTr="00034173">
        <w:trPr>
          <w:trHeight w:val="315"/>
        </w:trPr>
        <w:tc>
          <w:tcPr>
            <w:tcW w:w="1520" w:type="dxa"/>
            <w:tcBorders>
              <w:top w:val="nil"/>
              <w:left w:val="single" w:sz="8" w:space="0" w:color="448A99"/>
              <w:bottom w:val="single" w:sz="8" w:space="0" w:color="448A99"/>
              <w:right w:val="single" w:sz="8" w:space="0" w:color="448A99"/>
            </w:tcBorders>
            <w:shd w:val="clear" w:color="000000" w:fill="FFFFFF"/>
            <w:noWrap/>
            <w:vAlign w:val="center"/>
            <w:hideMark/>
          </w:tcPr>
          <w:p w:rsidR="00037FD6" w:rsidRPr="007B7BD7" w:rsidRDefault="00037FD6" w:rsidP="00037FD6">
            <w:pPr>
              <w:jc w:val="left"/>
              <w:rPr>
                <w:bCs/>
                <w:color w:val="000000"/>
                <w:sz w:val="20"/>
                <w:szCs w:val="20"/>
              </w:rPr>
            </w:pPr>
            <w:r w:rsidRPr="007B7BD7">
              <w:rPr>
                <w:bCs/>
                <w:color w:val="000000"/>
                <w:sz w:val="20"/>
                <w:szCs w:val="20"/>
              </w:rPr>
              <w:t>FE: Penn Power</w:t>
            </w:r>
          </w:p>
        </w:tc>
        <w:tc>
          <w:tcPr>
            <w:tcW w:w="124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22,580</w:t>
            </w:r>
          </w:p>
        </w:tc>
        <w:tc>
          <w:tcPr>
            <w:tcW w:w="118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109,368</w:t>
            </w:r>
          </w:p>
        </w:tc>
        <w:tc>
          <w:tcPr>
            <w:tcW w:w="142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131,948</w:t>
            </w:r>
          </w:p>
        </w:tc>
        <w:tc>
          <w:tcPr>
            <w:tcW w:w="122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95,502</w:t>
            </w:r>
          </w:p>
        </w:tc>
        <w:tc>
          <w:tcPr>
            <w:tcW w:w="108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138%</w:t>
            </w:r>
          </w:p>
        </w:tc>
        <w:tc>
          <w:tcPr>
            <w:tcW w:w="170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13,866</w:t>
            </w:r>
          </w:p>
        </w:tc>
      </w:tr>
      <w:tr w:rsidR="00A874AC" w:rsidRPr="00037FD6" w:rsidTr="00034173">
        <w:trPr>
          <w:trHeight w:val="315"/>
        </w:trPr>
        <w:tc>
          <w:tcPr>
            <w:tcW w:w="1520" w:type="dxa"/>
            <w:tcBorders>
              <w:top w:val="nil"/>
              <w:left w:val="single" w:sz="8" w:space="0" w:color="448A99"/>
              <w:bottom w:val="single" w:sz="8" w:space="0" w:color="448A99"/>
              <w:right w:val="single" w:sz="8" w:space="0" w:color="448A99"/>
            </w:tcBorders>
            <w:shd w:val="clear" w:color="000000" w:fill="D2EAF1"/>
            <w:noWrap/>
            <w:vAlign w:val="center"/>
            <w:hideMark/>
          </w:tcPr>
          <w:p w:rsidR="00037FD6" w:rsidRPr="007B7BD7" w:rsidRDefault="00037FD6" w:rsidP="00037FD6">
            <w:pPr>
              <w:jc w:val="left"/>
              <w:rPr>
                <w:bCs/>
                <w:color w:val="000000"/>
                <w:sz w:val="20"/>
                <w:szCs w:val="20"/>
              </w:rPr>
            </w:pPr>
            <w:r w:rsidRPr="007B7BD7">
              <w:rPr>
                <w:bCs/>
                <w:color w:val="000000"/>
                <w:sz w:val="20"/>
                <w:szCs w:val="20"/>
              </w:rPr>
              <w:t>FE: West Penn</w:t>
            </w:r>
          </w:p>
        </w:tc>
        <w:tc>
          <w:tcPr>
            <w:tcW w:w="124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59,929</w:t>
            </w:r>
          </w:p>
        </w:tc>
        <w:tc>
          <w:tcPr>
            <w:tcW w:w="118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358,073</w:t>
            </w:r>
          </w:p>
        </w:tc>
        <w:tc>
          <w:tcPr>
            <w:tcW w:w="142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418,002</w:t>
            </w:r>
          </w:p>
        </w:tc>
        <w:tc>
          <w:tcPr>
            <w:tcW w:w="122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337,533</w:t>
            </w:r>
          </w:p>
        </w:tc>
        <w:tc>
          <w:tcPr>
            <w:tcW w:w="108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124%</w:t>
            </w:r>
          </w:p>
        </w:tc>
        <w:tc>
          <w:tcPr>
            <w:tcW w:w="170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20,540</w:t>
            </w:r>
          </w:p>
        </w:tc>
      </w:tr>
      <w:tr w:rsidR="00A874AC" w:rsidRPr="00037FD6" w:rsidTr="00034173">
        <w:trPr>
          <w:trHeight w:val="315"/>
        </w:trPr>
        <w:tc>
          <w:tcPr>
            <w:tcW w:w="1520" w:type="dxa"/>
            <w:tcBorders>
              <w:top w:val="nil"/>
              <w:left w:val="single" w:sz="8" w:space="0" w:color="448A99"/>
              <w:bottom w:val="single" w:sz="8" w:space="0" w:color="448A99"/>
              <w:right w:val="single" w:sz="8" w:space="0" w:color="448A99"/>
            </w:tcBorders>
            <w:shd w:val="clear" w:color="000000" w:fill="FFFFFF"/>
            <w:noWrap/>
            <w:vAlign w:val="center"/>
            <w:hideMark/>
          </w:tcPr>
          <w:p w:rsidR="00037FD6" w:rsidRPr="007B7BD7" w:rsidRDefault="00037FD6" w:rsidP="00037FD6">
            <w:pPr>
              <w:jc w:val="left"/>
              <w:rPr>
                <w:bCs/>
                <w:color w:val="000000"/>
                <w:sz w:val="20"/>
                <w:szCs w:val="20"/>
              </w:rPr>
            </w:pPr>
            <w:r w:rsidRPr="007B7BD7">
              <w:rPr>
                <w:bCs/>
                <w:color w:val="000000"/>
                <w:sz w:val="20"/>
                <w:szCs w:val="20"/>
              </w:rPr>
              <w:t>PECO</w:t>
            </w:r>
          </w:p>
        </w:tc>
        <w:tc>
          <w:tcPr>
            <w:tcW w:w="124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242,793</w:t>
            </w:r>
          </w:p>
        </w:tc>
        <w:tc>
          <w:tcPr>
            <w:tcW w:w="118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1,090,505</w:t>
            </w:r>
          </w:p>
        </w:tc>
        <w:tc>
          <w:tcPr>
            <w:tcW w:w="142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1,333,298</w:t>
            </w:r>
          </w:p>
        </w:tc>
        <w:tc>
          <w:tcPr>
            <w:tcW w:w="122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1,125,851</w:t>
            </w:r>
          </w:p>
        </w:tc>
        <w:tc>
          <w:tcPr>
            <w:tcW w:w="108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118%</w:t>
            </w:r>
          </w:p>
        </w:tc>
        <w:tc>
          <w:tcPr>
            <w:tcW w:w="1700" w:type="dxa"/>
            <w:tcBorders>
              <w:top w:val="nil"/>
              <w:left w:val="nil"/>
              <w:bottom w:val="single" w:sz="8" w:space="0" w:color="448A99"/>
              <w:right w:val="single" w:sz="8" w:space="0" w:color="448A99"/>
            </w:tcBorders>
            <w:shd w:val="clear" w:color="000000" w:fill="FFFFFF"/>
            <w:vAlign w:val="center"/>
            <w:hideMark/>
          </w:tcPr>
          <w:p w:rsidR="00037FD6" w:rsidRPr="00037FD6" w:rsidRDefault="00037FD6" w:rsidP="00037FD6">
            <w:pPr>
              <w:jc w:val="center"/>
              <w:rPr>
                <w:color w:val="000000"/>
                <w:sz w:val="20"/>
                <w:szCs w:val="20"/>
              </w:rPr>
            </w:pPr>
            <w:r w:rsidRPr="00037FD6">
              <w:rPr>
                <w:color w:val="000000"/>
                <w:sz w:val="20"/>
                <w:szCs w:val="20"/>
              </w:rPr>
              <w:t>0</w:t>
            </w:r>
          </w:p>
        </w:tc>
      </w:tr>
      <w:tr w:rsidR="00A874AC" w:rsidRPr="00037FD6" w:rsidTr="00034173">
        <w:trPr>
          <w:trHeight w:val="315"/>
        </w:trPr>
        <w:tc>
          <w:tcPr>
            <w:tcW w:w="1520" w:type="dxa"/>
            <w:tcBorders>
              <w:top w:val="nil"/>
              <w:left w:val="single" w:sz="8" w:space="0" w:color="448A99"/>
              <w:bottom w:val="single" w:sz="8" w:space="0" w:color="448A99"/>
              <w:right w:val="single" w:sz="8" w:space="0" w:color="448A99"/>
            </w:tcBorders>
            <w:shd w:val="clear" w:color="000000" w:fill="D2EAF1"/>
            <w:noWrap/>
            <w:vAlign w:val="center"/>
            <w:hideMark/>
          </w:tcPr>
          <w:p w:rsidR="00037FD6" w:rsidRPr="007B7BD7" w:rsidRDefault="00037FD6" w:rsidP="00037FD6">
            <w:pPr>
              <w:jc w:val="left"/>
              <w:rPr>
                <w:bCs/>
                <w:color w:val="000000"/>
                <w:sz w:val="20"/>
                <w:szCs w:val="20"/>
              </w:rPr>
            </w:pPr>
            <w:r w:rsidRPr="007B7BD7">
              <w:rPr>
                <w:bCs/>
                <w:color w:val="000000"/>
                <w:sz w:val="20"/>
                <w:szCs w:val="20"/>
              </w:rPr>
              <w:t>PPL</w:t>
            </w:r>
          </w:p>
        </w:tc>
        <w:tc>
          <w:tcPr>
            <w:tcW w:w="124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495,636</w:t>
            </w:r>
          </w:p>
        </w:tc>
        <w:tc>
          <w:tcPr>
            <w:tcW w:w="1180" w:type="dxa"/>
            <w:tcBorders>
              <w:top w:val="nil"/>
              <w:left w:val="nil"/>
              <w:bottom w:val="single" w:sz="8" w:space="0" w:color="448A99"/>
              <w:right w:val="single" w:sz="8" w:space="0" w:color="448A99"/>
            </w:tcBorders>
            <w:shd w:val="clear" w:color="000000" w:fill="D2EAF1"/>
            <w:vAlign w:val="center"/>
            <w:hideMark/>
          </w:tcPr>
          <w:p w:rsidR="00037FD6" w:rsidRPr="00037FD6" w:rsidRDefault="00EF7C2E" w:rsidP="00037FD6">
            <w:pPr>
              <w:jc w:val="center"/>
              <w:rPr>
                <w:color w:val="000000"/>
                <w:sz w:val="20"/>
                <w:szCs w:val="20"/>
              </w:rPr>
            </w:pPr>
            <w:r>
              <w:rPr>
                <w:color w:val="000000"/>
                <w:sz w:val="20"/>
                <w:szCs w:val="20"/>
              </w:rPr>
              <w:t>698,736</w:t>
            </w:r>
          </w:p>
        </w:tc>
        <w:tc>
          <w:tcPr>
            <w:tcW w:w="142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1,19</w:t>
            </w:r>
            <w:r w:rsidR="006456CB">
              <w:rPr>
                <w:color w:val="000000"/>
                <w:sz w:val="20"/>
                <w:szCs w:val="20"/>
              </w:rPr>
              <w:t>4,372</w:t>
            </w:r>
          </w:p>
        </w:tc>
        <w:tc>
          <w:tcPr>
            <w:tcW w:w="122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821,072</w:t>
            </w:r>
          </w:p>
        </w:tc>
        <w:tc>
          <w:tcPr>
            <w:tcW w:w="108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146%</w:t>
            </w:r>
          </w:p>
        </w:tc>
        <w:tc>
          <w:tcPr>
            <w:tcW w:w="1700" w:type="dxa"/>
            <w:tcBorders>
              <w:top w:val="nil"/>
              <w:left w:val="nil"/>
              <w:bottom w:val="single" w:sz="8" w:space="0" w:color="448A99"/>
              <w:right w:val="single" w:sz="8" w:space="0" w:color="448A99"/>
            </w:tcBorders>
            <w:shd w:val="clear" w:color="000000" w:fill="D2EAF1"/>
            <w:vAlign w:val="center"/>
            <w:hideMark/>
          </w:tcPr>
          <w:p w:rsidR="00037FD6" w:rsidRPr="00037FD6" w:rsidRDefault="00037FD6" w:rsidP="00037FD6">
            <w:pPr>
              <w:jc w:val="center"/>
              <w:rPr>
                <w:color w:val="000000"/>
                <w:sz w:val="20"/>
                <w:szCs w:val="20"/>
              </w:rPr>
            </w:pPr>
            <w:r w:rsidRPr="00037FD6">
              <w:rPr>
                <w:color w:val="000000"/>
                <w:sz w:val="20"/>
                <w:szCs w:val="20"/>
              </w:rPr>
              <w:t>0</w:t>
            </w:r>
          </w:p>
        </w:tc>
      </w:tr>
    </w:tbl>
    <w:p w:rsidR="00037FD6" w:rsidRDefault="00037FD6" w:rsidP="00FB4D74"/>
    <w:p w:rsidR="004F7F18" w:rsidRDefault="00DC50FD" w:rsidP="00DC50FD">
      <w:r>
        <w:t>All EDCs</w:t>
      </w:r>
      <w:r w:rsidR="00063A64">
        <w:t xml:space="preserve"> </w:t>
      </w:r>
      <w:r>
        <w:t xml:space="preserve">achieved their respective GNI and low-income carve-out goals. </w:t>
      </w:r>
      <w:r>
        <w:fldChar w:fldCharType="begin"/>
      </w:r>
      <w:r>
        <w:instrText xml:space="preserve"> REF _Ref472265187 \h </w:instrText>
      </w:r>
      <w:r>
        <w:fldChar w:fldCharType="separate"/>
      </w:r>
      <w:r w:rsidR="00C301D0">
        <w:t xml:space="preserve">Table </w:t>
      </w:r>
      <w:r w:rsidR="00C301D0">
        <w:rPr>
          <w:noProof/>
        </w:rPr>
        <w:t>2</w:t>
      </w:r>
      <w:r w:rsidR="00C301D0">
        <w:noBreakHyphen/>
      </w:r>
      <w:r w:rsidR="00C301D0">
        <w:rPr>
          <w:noProof/>
        </w:rPr>
        <w:t>4</w:t>
      </w:r>
      <w:r>
        <w:fldChar w:fldCharType="end"/>
      </w:r>
      <w:r>
        <w:t xml:space="preserve"> shows EDC achievements compared </w:t>
      </w:r>
      <w:r w:rsidR="00FE0981">
        <w:t>with</w:t>
      </w:r>
      <w:r>
        <w:t xml:space="preserve"> low-income carve-out goals.</w:t>
      </w:r>
      <w:r w:rsidR="00485726">
        <w:t xml:space="preserve"> The</w:t>
      </w:r>
      <w:r w:rsidR="004F7F18">
        <w:t xml:space="preserve"> SWE’s</w:t>
      </w:r>
      <w:r w:rsidR="00485726">
        <w:t xml:space="preserve"> low-income carve-out carryover </w:t>
      </w:r>
      <w:r w:rsidR="00485726" w:rsidRPr="00C82313">
        <w:t>calculat</w:t>
      </w:r>
      <w:r w:rsidR="004F7F18">
        <w:t>ion is</w:t>
      </w:r>
      <w:r w:rsidR="00485726" w:rsidRPr="00C82313">
        <w:t xml:space="preserve"> </w:t>
      </w:r>
      <w:r w:rsidR="00C82313" w:rsidRPr="00C82313">
        <w:t xml:space="preserve">based upon the ratio of low-income specific program savings </w:t>
      </w:r>
      <w:r w:rsidR="004F7F18">
        <w:t>(including savings from both low-income specific and non-low-income specific programs) multiplied by the total amount of low-income savings in excess of the Phase II low-income savings targets that were paid for with Phase II funds.</w:t>
      </w:r>
      <w:r w:rsidR="00C82313">
        <w:t xml:space="preserve"> Therefore, </w:t>
      </w:r>
      <w:r w:rsidR="004F7F18">
        <w:t xml:space="preserve">it was possible for </w:t>
      </w:r>
      <w:r w:rsidR="00C82313">
        <w:t xml:space="preserve">each EDC </w:t>
      </w:r>
      <w:r w:rsidR="004F7F18">
        <w:t xml:space="preserve">to </w:t>
      </w:r>
      <w:r w:rsidR="00C82313">
        <w:t>accumulate Phase III carryover savings towards the low-income carve out</w:t>
      </w:r>
      <w:r w:rsidR="004F7F18">
        <w:t>,</w:t>
      </w:r>
      <w:r w:rsidR="00C82313">
        <w:t xml:space="preserve"> even though PECO and PPL do not carryover any savings towards the portfolio level targets.</w:t>
      </w:r>
      <w:r>
        <w:t xml:space="preserve"> </w:t>
      </w:r>
    </w:p>
    <w:p w:rsidR="004F7F18" w:rsidRDefault="004F7F18" w:rsidP="00DC50FD"/>
    <w:p w:rsidR="004F7F18" w:rsidRDefault="00F32E29" w:rsidP="00DC50FD">
      <w:r>
        <w:t xml:space="preserve">The savings presented in Table 2-4 were calculated by the SWE using the </w:t>
      </w:r>
      <w:r w:rsidR="004F7F18">
        <w:t xml:space="preserve">calculation method described above and do not match the carryover savings </w:t>
      </w:r>
      <w:r>
        <w:t xml:space="preserve">listed in </w:t>
      </w:r>
      <w:r w:rsidR="004F7F18">
        <w:t>the</w:t>
      </w:r>
      <w:r>
        <w:t xml:space="preserve"> PY7 Annual Report</w:t>
      </w:r>
      <w:r w:rsidR="004F7F18">
        <w:t>s for DLC, PECO, and PPL</w:t>
      </w:r>
      <w:r>
        <w:t>.</w:t>
      </w:r>
      <w:r w:rsidR="004F7F18">
        <w:t xml:space="preserve"> For DLC and PPL, the EDC’s used the prescribed calculation method</w:t>
      </w:r>
      <w:r w:rsidR="005B251C">
        <w:t>ology,</w:t>
      </w:r>
      <w:r w:rsidR="004F7F18">
        <w:t xml:space="preserve"> but relied on a slightly different value for the verified gross low-income savings, resulting in minor differences between the EDC-reported values an</w:t>
      </w:r>
      <w:r w:rsidR="005B251C">
        <w:t xml:space="preserve">d those calculated by the SWE. Additionally, </w:t>
      </w:r>
      <w:r w:rsidR="004F7F18">
        <w:t>PECO’s calculation method for low-income carryover only allowed for savings from low-income specific programs that exceeded the Phase II low-income target to be counted towards Phase III carryover. Using a consistent calculation methodology across all EDC’s, the SWE calculated significantly greater Phase III low-income carryover savings for PECO.</w:t>
      </w:r>
      <w:r>
        <w:t xml:space="preserve"> </w:t>
      </w:r>
    </w:p>
    <w:p w:rsidR="004F7F18" w:rsidRDefault="004F7F18" w:rsidP="00DC50FD"/>
    <w:p w:rsidR="00DC50FD" w:rsidRDefault="00DC50FD" w:rsidP="00DC50FD">
      <w:r>
        <w:fldChar w:fldCharType="begin"/>
      </w:r>
      <w:r>
        <w:instrText xml:space="preserve"> REF _Ref472265196 \h </w:instrText>
      </w:r>
      <w:r>
        <w:fldChar w:fldCharType="separate"/>
      </w:r>
      <w:r w:rsidR="00C301D0">
        <w:t xml:space="preserve">Table </w:t>
      </w:r>
      <w:r w:rsidR="00C301D0">
        <w:rPr>
          <w:noProof/>
        </w:rPr>
        <w:t>2</w:t>
      </w:r>
      <w:r w:rsidR="00C301D0">
        <w:noBreakHyphen/>
      </w:r>
      <w:r w:rsidR="00C301D0">
        <w:rPr>
          <w:noProof/>
        </w:rPr>
        <w:t>5</w:t>
      </w:r>
      <w:r>
        <w:fldChar w:fldCharType="end"/>
      </w:r>
      <w:r>
        <w:t xml:space="preserve"> shows</w:t>
      </w:r>
      <w:r w:rsidR="00FE0981">
        <w:t xml:space="preserve"> the EDC achievements compared with</w:t>
      </w:r>
      <w:r>
        <w:t xml:space="preserve"> GNI carve-out goals.</w:t>
      </w:r>
      <w:r w:rsidRPr="00DC50FD">
        <w:t xml:space="preserve"> </w:t>
      </w:r>
      <w:r>
        <w:t>The Phase II energy savings include carryover savings from Phase I.</w:t>
      </w:r>
      <w:r w:rsidR="00C82313">
        <w:t xml:space="preserve"> </w:t>
      </w:r>
      <w:r w:rsidR="00ED3395">
        <w:t xml:space="preserve">While each EDC met their Phase II GNI carve out goals, only four EDCs exceeded their Phase II target as a direct result of Phase II program spending and have GNI carryover savings into Phase III. </w:t>
      </w:r>
      <w:r w:rsidR="00C82313">
        <w:t xml:space="preserve">Similar to the low-income carve out, </w:t>
      </w:r>
      <w:r w:rsidR="00ED3395">
        <w:t>PECO and PPL</w:t>
      </w:r>
      <w:r w:rsidR="00C82313">
        <w:t xml:space="preserve"> accumulated Phase III carryover savings towards the GNI carve out</w:t>
      </w:r>
      <w:r w:rsidR="00ED3395">
        <w:t>, but do not carry over savings that contribute to their portfolio level targets.</w:t>
      </w:r>
      <w:r w:rsidR="00C82313">
        <w:t xml:space="preserve"> </w:t>
      </w:r>
    </w:p>
    <w:p w:rsidR="00C82F49" w:rsidRDefault="00C82F49" w:rsidP="00FB4D74"/>
    <w:p w:rsidR="00C82F49" w:rsidRDefault="00C82F49" w:rsidP="00C82F49">
      <w:pPr>
        <w:pStyle w:val="Caption"/>
        <w:keepNext/>
      </w:pPr>
      <w:bookmarkStart w:id="71" w:name="_Ref472265187"/>
      <w:bookmarkStart w:id="72" w:name="_Toc472472159"/>
      <w:bookmarkStart w:id="73" w:name="_Toc476913971"/>
      <w:r>
        <w:lastRenderedPageBreak/>
        <w:t xml:space="preserve">Table </w:t>
      </w:r>
      <w:fldSimple w:instr=" STYLEREF 1 \s ">
        <w:r w:rsidR="00C301D0">
          <w:rPr>
            <w:noProof/>
          </w:rPr>
          <w:t>2</w:t>
        </w:r>
      </w:fldSimple>
      <w:r w:rsidR="00E6042C">
        <w:noBreakHyphen/>
      </w:r>
      <w:fldSimple w:instr=" SEQ Table \* ARABIC \s 1 ">
        <w:r w:rsidR="00C301D0">
          <w:rPr>
            <w:noProof/>
          </w:rPr>
          <w:t>4</w:t>
        </w:r>
      </w:fldSimple>
      <w:bookmarkEnd w:id="71"/>
      <w:r>
        <w:t>: Low-Income Carve-out Goal Performance, Summary by EDC</w:t>
      </w:r>
      <w:bookmarkEnd w:id="72"/>
      <w:bookmarkEnd w:id="73"/>
    </w:p>
    <w:tbl>
      <w:tblPr>
        <w:tblW w:w="4944" w:type="pct"/>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538"/>
        <w:gridCol w:w="1922"/>
        <w:gridCol w:w="1922"/>
        <w:gridCol w:w="1925"/>
        <w:gridCol w:w="1928"/>
      </w:tblGrid>
      <w:tr w:rsidR="002A4A24" w:rsidRPr="006433A9" w:rsidTr="00592FD5">
        <w:trPr>
          <w:cantSplit/>
          <w:trHeight w:val="141"/>
          <w:tblHeader/>
        </w:trPr>
        <w:tc>
          <w:tcPr>
            <w:tcW w:w="1564" w:type="dxa"/>
            <w:tcBorders>
              <w:top w:val="single" w:sz="8" w:space="0" w:color="448A99"/>
              <w:left w:val="single" w:sz="8" w:space="0" w:color="448A99"/>
              <w:bottom w:val="single" w:sz="8" w:space="0" w:color="448A99"/>
              <w:right w:val="nil"/>
            </w:tcBorders>
            <w:shd w:val="clear" w:color="000000" w:fill="448A99"/>
            <w:vAlign w:val="bottom"/>
          </w:tcPr>
          <w:p w:rsidR="002A4A24" w:rsidRPr="006433A9" w:rsidRDefault="002A4A24" w:rsidP="00DA1ADA">
            <w:pPr>
              <w:jc w:val="left"/>
              <w:rPr>
                <w:b/>
                <w:color w:val="FFFFFF"/>
                <w:sz w:val="20"/>
                <w:szCs w:val="20"/>
              </w:rPr>
            </w:pPr>
            <w:r>
              <w:rPr>
                <w:b/>
                <w:bCs/>
                <w:color w:val="FFFFFF"/>
                <w:sz w:val="20"/>
                <w:szCs w:val="20"/>
              </w:rPr>
              <w:t>EDC</w:t>
            </w:r>
          </w:p>
        </w:tc>
        <w:tc>
          <w:tcPr>
            <w:tcW w:w="1976" w:type="dxa"/>
            <w:tcBorders>
              <w:top w:val="single" w:sz="8" w:space="0" w:color="448A99"/>
              <w:left w:val="single" w:sz="8" w:space="0" w:color="448A99"/>
              <w:bottom w:val="single" w:sz="8" w:space="0" w:color="448A99"/>
              <w:right w:val="single" w:sz="8" w:space="0" w:color="448A99"/>
            </w:tcBorders>
            <w:shd w:val="clear" w:color="000000" w:fill="448A99"/>
            <w:vAlign w:val="bottom"/>
          </w:tcPr>
          <w:p w:rsidR="002A4A24" w:rsidRPr="006433A9" w:rsidRDefault="002A4A24" w:rsidP="00DA1ADA">
            <w:pPr>
              <w:jc w:val="center"/>
              <w:rPr>
                <w:b/>
                <w:color w:val="FFFFFF"/>
                <w:sz w:val="20"/>
                <w:szCs w:val="20"/>
              </w:rPr>
            </w:pPr>
            <w:r>
              <w:rPr>
                <w:b/>
                <w:bCs/>
                <w:color w:val="FFFFFF"/>
                <w:sz w:val="20"/>
                <w:szCs w:val="20"/>
              </w:rPr>
              <w:t>Phase II Low-Income MWh/yr Carve-Out Goal</w:t>
            </w:r>
          </w:p>
        </w:tc>
        <w:tc>
          <w:tcPr>
            <w:tcW w:w="1976" w:type="dxa"/>
            <w:tcBorders>
              <w:top w:val="single" w:sz="8" w:space="0" w:color="448A99"/>
              <w:left w:val="nil"/>
              <w:bottom w:val="single" w:sz="8" w:space="0" w:color="448A99"/>
              <w:right w:val="single" w:sz="8" w:space="0" w:color="448A99"/>
            </w:tcBorders>
            <w:shd w:val="clear" w:color="000000" w:fill="448A99"/>
            <w:vAlign w:val="bottom"/>
          </w:tcPr>
          <w:p w:rsidR="002A4A24" w:rsidRDefault="002A4A24" w:rsidP="00DA1ADA">
            <w:pPr>
              <w:jc w:val="center"/>
              <w:rPr>
                <w:b/>
                <w:bCs/>
                <w:color w:val="FFFFFF"/>
                <w:sz w:val="20"/>
                <w:szCs w:val="20"/>
              </w:rPr>
            </w:pPr>
            <w:r>
              <w:rPr>
                <w:b/>
                <w:bCs/>
                <w:color w:val="FFFFFF"/>
                <w:sz w:val="20"/>
                <w:szCs w:val="20"/>
              </w:rPr>
              <w:t>PY5-PY7 Verified MWh/yr Savings</w:t>
            </w:r>
          </w:p>
        </w:tc>
        <w:tc>
          <w:tcPr>
            <w:tcW w:w="1976" w:type="dxa"/>
            <w:tcBorders>
              <w:top w:val="single" w:sz="8" w:space="0" w:color="448A99"/>
              <w:left w:val="nil"/>
              <w:bottom w:val="single" w:sz="8" w:space="0" w:color="448A99"/>
              <w:right w:val="single" w:sz="8" w:space="0" w:color="448A99"/>
            </w:tcBorders>
            <w:shd w:val="clear" w:color="000000" w:fill="448A99"/>
            <w:vAlign w:val="bottom"/>
          </w:tcPr>
          <w:p w:rsidR="002A4A24" w:rsidRPr="006433A9" w:rsidRDefault="002A4A24" w:rsidP="00DA1ADA">
            <w:pPr>
              <w:jc w:val="center"/>
              <w:rPr>
                <w:b/>
                <w:color w:val="FFFFFF"/>
                <w:sz w:val="20"/>
                <w:szCs w:val="20"/>
              </w:rPr>
            </w:pPr>
            <w:r>
              <w:rPr>
                <w:b/>
                <w:bCs/>
                <w:color w:val="FFFFFF"/>
                <w:sz w:val="20"/>
                <w:szCs w:val="20"/>
              </w:rPr>
              <w:t>Savings Achieved % of Targets</w:t>
            </w:r>
          </w:p>
        </w:tc>
        <w:tc>
          <w:tcPr>
            <w:tcW w:w="1977" w:type="dxa"/>
            <w:tcBorders>
              <w:top w:val="single" w:sz="8" w:space="0" w:color="448A99"/>
              <w:left w:val="nil"/>
              <w:bottom w:val="single" w:sz="8" w:space="0" w:color="448A99"/>
              <w:right w:val="single" w:sz="8" w:space="0" w:color="448A99"/>
            </w:tcBorders>
            <w:shd w:val="clear" w:color="000000" w:fill="448A99"/>
            <w:vAlign w:val="bottom"/>
          </w:tcPr>
          <w:p w:rsidR="002A4A24" w:rsidRDefault="002A4A24" w:rsidP="00DA1ADA">
            <w:pPr>
              <w:jc w:val="center"/>
              <w:rPr>
                <w:b/>
                <w:bCs/>
                <w:color w:val="FFFFFF"/>
                <w:sz w:val="20"/>
                <w:szCs w:val="20"/>
              </w:rPr>
            </w:pPr>
            <w:r>
              <w:rPr>
                <w:b/>
                <w:bCs/>
                <w:color w:val="FFFFFF"/>
                <w:sz w:val="20"/>
                <w:szCs w:val="20"/>
              </w:rPr>
              <w:t>Phase III Carryover MWh/yr Savings</w:t>
            </w:r>
          </w:p>
        </w:tc>
      </w:tr>
      <w:tr w:rsidR="002A4A24" w:rsidRPr="006433A9" w:rsidTr="00592FD5">
        <w:trPr>
          <w:trHeight w:val="141"/>
        </w:trPr>
        <w:tc>
          <w:tcPr>
            <w:tcW w:w="1564" w:type="dxa"/>
            <w:tcBorders>
              <w:top w:val="nil"/>
              <w:left w:val="single" w:sz="8" w:space="0" w:color="448A99"/>
              <w:bottom w:val="single" w:sz="8" w:space="0" w:color="448A99"/>
              <w:right w:val="nil"/>
            </w:tcBorders>
            <w:shd w:val="clear" w:color="000000" w:fill="D2EAF1"/>
            <w:vAlign w:val="center"/>
          </w:tcPr>
          <w:p w:rsidR="002A4A24" w:rsidRPr="007B7BD7" w:rsidRDefault="002A4A24" w:rsidP="003077EB">
            <w:pPr>
              <w:jc w:val="left"/>
              <w:rPr>
                <w:sz w:val="20"/>
              </w:rPr>
            </w:pPr>
            <w:r w:rsidRPr="007B7BD7">
              <w:rPr>
                <w:bCs/>
                <w:color w:val="000000"/>
                <w:sz w:val="20"/>
                <w:szCs w:val="20"/>
              </w:rPr>
              <w:t>Duquesne</w:t>
            </w:r>
          </w:p>
        </w:tc>
        <w:tc>
          <w:tcPr>
            <w:tcW w:w="1976" w:type="dxa"/>
            <w:tcBorders>
              <w:top w:val="nil"/>
              <w:left w:val="single" w:sz="8" w:space="0" w:color="448A99"/>
              <w:bottom w:val="single" w:sz="8" w:space="0" w:color="448A99"/>
              <w:right w:val="single" w:sz="8" w:space="0" w:color="448A99"/>
            </w:tcBorders>
            <w:shd w:val="clear" w:color="000000" w:fill="D2EAF1"/>
            <w:vAlign w:val="center"/>
          </w:tcPr>
          <w:p w:rsidR="002A4A24" w:rsidRPr="006433A9" w:rsidRDefault="002A4A24" w:rsidP="003077EB">
            <w:pPr>
              <w:autoSpaceDE w:val="0"/>
              <w:autoSpaceDN w:val="0"/>
              <w:adjustRightInd w:val="0"/>
              <w:contextualSpacing/>
              <w:jc w:val="center"/>
              <w:rPr>
                <w:rFonts w:cs="Calibri"/>
                <w:sz w:val="20"/>
                <w:szCs w:val="20"/>
              </w:rPr>
            </w:pPr>
            <w:r>
              <w:rPr>
                <w:color w:val="000000"/>
                <w:sz w:val="20"/>
                <w:szCs w:val="20"/>
              </w:rPr>
              <w:t>12,452</w:t>
            </w:r>
          </w:p>
        </w:tc>
        <w:tc>
          <w:tcPr>
            <w:tcW w:w="1976" w:type="dxa"/>
            <w:tcBorders>
              <w:top w:val="single" w:sz="8" w:space="0" w:color="448A99"/>
              <w:left w:val="nil"/>
              <w:bottom w:val="single" w:sz="8" w:space="0" w:color="448A99"/>
              <w:right w:val="single" w:sz="8" w:space="0" w:color="448A99"/>
            </w:tcBorders>
            <w:shd w:val="clear" w:color="000000" w:fill="D2EAF1"/>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23,173</w:t>
            </w:r>
          </w:p>
        </w:tc>
        <w:tc>
          <w:tcPr>
            <w:tcW w:w="1976" w:type="dxa"/>
            <w:tcBorders>
              <w:top w:val="nil"/>
              <w:left w:val="nil"/>
              <w:bottom w:val="single" w:sz="8" w:space="0" w:color="448A99"/>
              <w:right w:val="single" w:sz="8" w:space="0" w:color="448A99"/>
            </w:tcBorders>
            <w:shd w:val="clear" w:color="000000" w:fill="D2EAF1"/>
            <w:vAlign w:val="center"/>
          </w:tcPr>
          <w:p w:rsidR="002A4A24" w:rsidRPr="006433A9" w:rsidRDefault="002A4A24" w:rsidP="003077EB">
            <w:pPr>
              <w:autoSpaceDE w:val="0"/>
              <w:autoSpaceDN w:val="0"/>
              <w:adjustRightInd w:val="0"/>
              <w:contextualSpacing/>
              <w:jc w:val="center"/>
              <w:rPr>
                <w:rFonts w:cs="Calibri"/>
                <w:sz w:val="20"/>
                <w:szCs w:val="20"/>
              </w:rPr>
            </w:pPr>
            <w:r>
              <w:rPr>
                <w:color w:val="000000"/>
                <w:sz w:val="20"/>
                <w:szCs w:val="20"/>
              </w:rPr>
              <w:t>186%</w:t>
            </w:r>
          </w:p>
        </w:tc>
        <w:tc>
          <w:tcPr>
            <w:tcW w:w="1977" w:type="dxa"/>
            <w:tcBorders>
              <w:top w:val="nil"/>
              <w:left w:val="single" w:sz="8" w:space="0" w:color="448A99"/>
              <w:bottom w:val="single" w:sz="8" w:space="0" w:color="448A99"/>
              <w:right w:val="single" w:sz="8" w:space="0" w:color="448A99"/>
            </w:tcBorders>
            <w:shd w:val="clear" w:color="000000" w:fill="D2EAF1"/>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2,542</w:t>
            </w:r>
          </w:p>
        </w:tc>
      </w:tr>
      <w:tr w:rsidR="002A4A24" w:rsidRPr="006433A9" w:rsidTr="00592FD5">
        <w:trPr>
          <w:trHeight w:val="141"/>
        </w:trPr>
        <w:tc>
          <w:tcPr>
            <w:tcW w:w="1564" w:type="dxa"/>
            <w:tcBorders>
              <w:top w:val="nil"/>
              <w:left w:val="single" w:sz="8" w:space="0" w:color="448A99"/>
              <w:bottom w:val="single" w:sz="8" w:space="0" w:color="448A99"/>
              <w:right w:val="nil"/>
            </w:tcBorders>
            <w:shd w:val="clear" w:color="000000" w:fill="FFFFFF"/>
            <w:vAlign w:val="center"/>
          </w:tcPr>
          <w:p w:rsidR="002A4A24" w:rsidRPr="007B7BD7" w:rsidRDefault="002A4A24" w:rsidP="003077EB">
            <w:pPr>
              <w:jc w:val="left"/>
              <w:rPr>
                <w:sz w:val="20"/>
              </w:rPr>
            </w:pPr>
            <w:r w:rsidRPr="007B7BD7">
              <w:rPr>
                <w:bCs/>
                <w:color w:val="000000"/>
                <w:sz w:val="20"/>
                <w:szCs w:val="20"/>
              </w:rPr>
              <w:t>FE: Met-Ed</w:t>
            </w:r>
          </w:p>
        </w:tc>
        <w:tc>
          <w:tcPr>
            <w:tcW w:w="1976" w:type="dxa"/>
            <w:tcBorders>
              <w:top w:val="nil"/>
              <w:left w:val="single" w:sz="8" w:space="0" w:color="448A99"/>
              <w:bottom w:val="single" w:sz="8" w:space="0" w:color="448A99"/>
              <w:right w:val="single" w:sz="8" w:space="0" w:color="448A99"/>
            </w:tcBorders>
            <w:shd w:val="clear" w:color="auto" w:fill="auto"/>
            <w:vAlign w:val="center"/>
          </w:tcPr>
          <w:p w:rsidR="002A4A24" w:rsidRPr="006433A9" w:rsidRDefault="002A4A24" w:rsidP="003077EB">
            <w:pPr>
              <w:autoSpaceDE w:val="0"/>
              <w:autoSpaceDN w:val="0"/>
              <w:adjustRightInd w:val="0"/>
              <w:contextualSpacing/>
              <w:jc w:val="center"/>
              <w:rPr>
                <w:rFonts w:cs="Calibri"/>
                <w:sz w:val="20"/>
                <w:szCs w:val="20"/>
              </w:rPr>
            </w:pPr>
            <w:r>
              <w:rPr>
                <w:color w:val="000000"/>
                <w:sz w:val="20"/>
                <w:szCs w:val="20"/>
              </w:rPr>
              <w:t>15,199</w:t>
            </w:r>
          </w:p>
        </w:tc>
        <w:tc>
          <w:tcPr>
            <w:tcW w:w="1976" w:type="dxa"/>
            <w:tcBorders>
              <w:top w:val="nil"/>
              <w:left w:val="nil"/>
              <w:bottom w:val="single" w:sz="8" w:space="0" w:color="448A99"/>
              <w:right w:val="single" w:sz="8" w:space="0" w:color="448A99"/>
            </w:tcBorders>
            <w:shd w:val="clear" w:color="000000" w:fill="FFFFFF"/>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45,839</w:t>
            </w:r>
          </w:p>
        </w:tc>
        <w:tc>
          <w:tcPr>
            <w:tcW w:w="1976" w:type="dxa"/>
            <w:tcBorders>
              <w:top w:val="nil"/>
              <w:left w:val="nil"/>
              <w:bottom w:val="single" w:sz="8" w:space="0" w:color="448A99"/>
              <w:right w:val="single" w:sz="8" w:space="0" w:color="448A99"/>
            </w:tcBorders>
            <w:shd w:val="clear" w:color="000000" w:fill="FFFFFF"/>
            <w:vAlign w:val="center"/>
          </w:tcPr>
          <w:p w:rsidR="002A4A24" w:rsidRPr="006433A9" w:rsidRDefault="002A4A24" w:rsidP="003077EB">
            <w:pPr>
              <w:autoSpaceDE w:val="0"/>
              <w:autoSpaceDN w:val="0"/>
              <w:adjustRightInd w:val="0"/>
              <w:contextualSpacing/>
              <w:jc w:val="center"/>
              <w:rPr>
                <w:rFonts w:cs="Calibri"/>
                <w:sz w:val="20"/>
                <w:szCs w:val="20"/>
              </w:rPr>
            </w:pPr>
            <w:r>
              <w:rPr>
                <w:color w:val="000000"/>
                <w:sz w:val="20"/>
                <w:szCs w:val="20"/>
              </w:rPr>
              <w:t>302%</w:t>
            </w:r>
          </w:p>
        </w:tc>
        <w:tc>
          <w:tcPr>
            <w:tcW w:w="1977" w:type="dxa"/>
            <w:tcBorders>
              <w:top w:val="nil"/>
              <w:left w:val="single" w:sz="8" w:space="0" w:color="448A99"/>
              <w:bottom w:val="single" w:sz="8" w:space="0" w:color="448A99"/>
              <w:right w:val="single" w:sz="8" w:space="0" w:color="448A99"/>
            </w:tcBorders>
            <w:shd w:val="clear" w:color="000000" w:fill="FFFFFF"/>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5,025</w:t>
            </w:r>
          </w:p>
        </w:tc>
      </w:tr>
      <w:tr w:rsidR="002A4A24" w:rsidRPr="006433A9" w:rsidTr="00592FD5">
        <w:trPr>
          <w:trHeight w:val="141"/>
        </w:trPr>
        <w:tc>
          <w:tcPr>
            <w:tcW w:w="1564" w:type="dxa"/>
            <w:tcBorders>
              <w:top w:val="nil"/>
              <w:left w:val="single" w:sz="8" w:space="0" w:color="448A99"/>
              <w:bottom w:val="single" w:sz="8" w:space="0" w:color="448A99"/>
              <w:right w:val="nil"/>
            </w:tcBorders>
            <w:shd w:val="clear" w:color="000000" w:fill="D2EAF1"/>
            <w:vAlign w:val="center"/>
          </w:tcPr>
          <w:p w:rsidR="002A4A24" w:rsidRPr="007B7BD7" w:rsidRDefault="002A4A24" w:rsidP="003077EB">
            <w:pPr>
              <w:jc w:val="left"/>
              <w:rPr>
                <w:sz w:val="20"/>
              </w:rPr>
            </w:pPr>
            <w:r w:rsidRPr="007B7BD7">
              <w:rPr>
                <w:bCs/>
                <w:color w:val="000000"/>
                <w:sz w:val="20"/>
                <w:szCs w:val="20"/>
              </w:rPr>
              <w:t>FE: Penelec</w:t>
            </w:r>
          </w:p>
        </w:tc>
        <w:tc>
          <w:tcPr>
            <w:tcW w:w="1976" w:type="dxa"/>
            <w:tcBorders>
              <w:top w:val="nil"/>
              <w:left w:val="single" w:sz="8" w:space="0" w:color="448A99"/>
              <w:bottom w:val="single" w:sz="8" w:space="0" w:color="448A99"/>
              <w:right w:val="single" w:sz="8" w:space="0" w:color="448A99"/>
            </w:tcBorders>
            <w:shd w:val="clear" w:color="000000" w:fill="D2EAF1"/>
            <w:vAlign w:val="center"/>
          </w:tcPr>
          <w:p w:rsidR="002A4A24" w:rsidRPr="006433A9" w:rsidRDefault="002A4A24" w:rsidP="003077EB">
            <w:pPr>
              <w:autoSpaceDE w:val="0"/>
              <w:autoSpaceDN w:val="0"/>
              <w:adjustRightInd w:val="0"/>
              <w:contextualSpacing/>
              <w:jc w:val="center"/>
              <w:rPr>
                <w:rFonts w:cs="Calibri"/>
                <w:sz w:val="20"/>
                <w:szCs w:val="20"/>
              </w:rPr>
            </w:pPr>
            <w:r>
              <w:rPr>
                <w:color w:val="000000"/>
                <w:sz w:val="20"/>
                <w:szCs w:val="20"/>
              </w:rPr>
              <w:t>14,347</w:t>
            </w:r>
          </w:p>
        </w:tc>
        <w:tc>
          <w:tcPr>
            <w:tcW w:w="1976" w:type="dxa"/>
            <w:tcBorders>
              <w:top w:val="nil"/>
              <w:left w:val="nil"/>
              <w:bottom w:val="single" w:sz="8" w:space="0" w:color="448A99"/>
              <w:right w:val="single" w:sz="8" w:space="0" w:color="448A99"/>
            </w:tcBorders>
            <w:shd w:val="clear" w:color="000000" w:fill="D2EAF1"/>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55,255</w:t>
            </w:r>
          </w:p>
        </w:tc>
        <w:tc>
          <w:tcPr>
            <w:tcW w:w="1976" w:type="dxa"/>
            <w:tcBorders>
              <w:top w:val="nil"/>
              <w:left w:val="nil"/>
              <w:bottom w:val="single" w:sz="8" w:space="0" w:color="448A99"/>
              <w:right w:val="single" w:sz="8" w:space="0" w:color="448A99"/>
            </w:tcBorders>
            <w:shd w:val="clear" w:color="000000" w:fill="D2EAF1"/>
            <w:vAlign w:val="center"/>
          </w:tcPr>
          <w:p w:rsidR="002A4A24" w:rsidRPr="006433A9" w:rsidRDefault="002A4A24" w:rsidP="003077EB">
            <w:pPr>
              <w:autoSpaceDE w:val="0"/>
              <w:autoSpaceDN w:val="0"/>
              <w:adjustRightInd w:val="0"/>
              <w:contextualSpacing/>
              <w:jc w:val="center"/>
              <w:rPr>
                <w:rFonts w:cs="Calibri"/>
                <w:sz w:val="20"/>
                <w:szCs w:val="20"/>
              </w:rPr>
            </w:pPr>
            <w:r>
              <w:rPr>
                <w:color w:val="000000"/>
                <w:sz w:val="20"/>
                <w:szCs w:val="20"/>
              </w:rPr>
              <w:t>385%</w:t>
            </w:r>
          </w:p>
        </w:tc>
        <w:tc>
          <w:tcPr>
            <w:tcW w:w="1977" w:type="dxa"/>
            <w:tcBorders>
              <w:top w:val="nil"/>
              <w:left w:val="single" w:sz="8" w:space="0" w:color="448A99"/>
              <w:bottom w:val="single" w:sz="8" w:space="0" w:color="448A99"/>
              <w:right w:val="single" w:sz="8" w:space="0" w:color="448A99"/>
            </w:tcBorders>
            <w:shd w:val="clear" w:color="000000" w:fill="D2EAF1"/>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7,872</w:t>
            </w:r>
          </w:p>
        </w:tc>
      </w:tr>
      <w:tr w:rsidR="002A4A24" w:rsidRPr="006433A9" w:rsidTr="00592FD5">
        <w:trPr>
          <w:trHeight w:val="141"/>
        </w:trPr>
        <w:tc>
          <w:tcPr>
            <w:tcW w:w="1564" w:type="dxa"/>
            <w:tcBorders>
              <w:top w:val="nil"/>
              <w:left w:val="single" w:sz="8" w:space="0" w:color="448A99"/>
              <w:bottom w:val="single" w:sz="8" w:space="0" w:color="448A99"/>
              <w:right w:val="nil"/>
            </w:tcBorders>
            <w:shd w:val="clear" w:color="000000" w:fill="FFFFFF"/>
            <w:vAlign w:val="center"/>
          </w:tcPr>
          <w:p w:rsidR="002A4A24" w:rsidRPr="007B7BD7" w:rsidRDefault="002A4A24" w:rsidP="003077EB">
            <w:pPr>
              <w:jc w:val="left"/>
              <w:rPr>
                <w:sz w:val="20"/>
              </w:rPr>
            </w:pPr>
            <w:r w:rsidRPr="007B7BD7">
              <w:rPr>
                <w:bCs/>
                <w:color w:val="000000"/>
                <w:sz w:val="20"/>
                <w:szCs w:val="20"/>
              </w:rPr>
              <w:t>FE: Penn Power</w:t>
            </w:r>
          </w:p>
        </w:tc>
        <w:tc>
          <w:tcPr>
            <w:tcW w:w="1976" w:type="dxa"/>
            <w:tcBorders>
              <w:top w:val="nil"/>
              <w:left w:val="single" w:sz="8" w:space="0" w:color="448A99"/>
              <w:bottom w:val="single" w:sz="8" w:space="0" w:color="448A99"/>
              <w:right w:val="single" w:sz="8" w:space="0" w:color="448A99"/>
            </w:tcBorders>
            <w:shd w:val="clear" w:color="auto" w:fill="auto"/>
            <w:vAlign w:val="center"/>
          </w:tcPr>
          <w:p w:rsidR="002A4A24" w:rsidRPr="006433A9" w:rsidRDefault="002A4A24" w:rsidP="003077EB">
            <w:pPr>
              <w:autoSpaceDE w:val="0"/>
              <w:autoSpaceDN w:val="0"/>
              <w:adjustRightInd w:val="0"/>
              <w:contextualSpacing/>
              <w:jc w:val="center"/>
              <w:rPr>
                <w:rFonts w:cs="Calibri"/>
                <w:sz w:val="20"/>
                <w:szCs w:val="20"/>
              </w:rPr>
            </w:pPr>
            <w:r>
              <w:rPr>
                <w:color w:val="000000"/>
                <w:sz w:val="20"/>
                <w:szCs w:val="20"/>
              </w:rPr>
              <w:t>4,298</w:t>
            </w:r>
          </w:p>
        </w:tc>
        <w:tc>
          <w:tcPr>
            <w:tcW w:w="1976" w:type="dxa"/>
            <w:tcBorders>
              <w:top w:val="nil"/>
              <w:left w:val="nil"/>
              <w:bottom w:val="single" w:sz="8" w:space="0" w:color="448A99"/>
              <w:right w:val="single" w:sz="8" w:space="0" w:color="448A99"/>
            </w:tcBorders>
            <w:shd w:val="clear" w:color="000000" w:fill="FFFFFF"/>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12,713</w:t>
            </w:r>
          </w:p>
        </w:tc>
        <w:tc>
          <w:tcPr>
            <w:tcW w:w="1976" w:type="dxa"/>
            <w:tcBorders>
              <w:top w:val="nil"/>
              <w:left w:val="nil"/>
              <w:bottom w:val="single" w:sz="8" w:space="0" w:color="448A99"/>
              <w:right w:val="single" w:sz="8" w:space="0" w:color="448A99"/>
            </w:tcBorders>
            <w:shd w:val="clear" w:color="000000" w:fill="FFFFFF"/>
            <w:vAlign w:val="center"/>
          </w:tcPr>
          <w:p w:rsidR="002A4A24" w:rsidRPr="006433A9" w:rsidRDefault="002A4A24" w:rsidP="003077EB">
            <w:pPr>
              <w:autoSpaceDE w:val="0"/>
              <w:autoSpaceDN w:val="0"/>
              <w:adjustRightInd w:val="0"/>
              <w:contextualSpacing/>
              <w:jc w:val="center"/>
              <w:rPr>
                <w:rFonts w:cs="Calibri"/>
                <w:sz w:val="20"/>
                <w:szCs w:val="20"/>
              </w:rPr>
            </w:pPr>
            <w:r>
              <w:rPr>
                <w:color w:val="000000"/>
                <w:sz w:val="20"/>
                <w:szCs w:val="20"/>
              </w:rPr>
              <w:t>296%</w:t>
            </w:r>
          </w:p>
        </w:tc>
        <w:tc>
          <w:tcPr>
            <w:tcW w:w="1977" w:type="dxa"/>
            <w:tcBorders>
              <w:top w:val="nil"/>
              <w:left w:val="single" w:sz="8" w:space="0" w:color="448A99"/>
              <w:bottom w:val="single" w:sz="8" w:space="0" w:color="448A99"/>
              <w:right w:val="single" w:sz="8" w:space="0" w:color="448A99"/>
            </w:tcBorders>
            <w:shd w:val="clear" w:color="000000" w:fill="FFFFFF"/>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1,805</w:t>
            </w:r>
          </w:p>
        </w:tc>
      </w:tr>
      <w:tr w:rsidR="002A4A24" w:rsidRPr="006433A9" w:rsidTr="00592FD5">
        <w:trPr>
          <w:trHeight w:val="141"/>
        </w:trPr>
        <w:tc>
          <w:tcPr>
            <w:tcW w:w="1564" w:type="dxa"/>
            <w:tcBorders>
              <w:top w:val="nil"/>
              <w:left w:val="single" w:sz="8" w:space="0" w:color="448A99"/>
              <w:bottom w:val="single" w:sz="8" w:space="0" w:color="448A99"/>
              <w:right w:val="nil"/>
            </w:tcBorders>
            <w:shd w:val="clear" w:color="000000" w:fill="D2EAF1"/>
            <w:vAlign w:val="center"/>
          </w:tcPr>
          <w:p w:rsidR="002A4A24" w:rsidRPr="007B7BD7" w:rsidRDefault="002A4A24" w:rsidP="003077EB">
            <w:pPr>
              <w:jc w:val="left"/>
              <w:rPr>
                <w:sz w:val="20"/>
              </w:rPr>
            </w:pPr>
            <w:r w:rsidRPr="007B7BD7">
              <w:rPr>
                <w:bCs/>
                <w:color w:val="000000"/>
                <w:sz w:val="20"/>
                <w:szCs w:val="20"/>
              </w:rPr>
              <w:t>FE: West Penn</w:t>
            </w:r>
          </w:p>
        </w:tc>
        <w:tc>
          <w:tcPr>
            <w:tcW w:w="1976" w:type="dxa"/>
            <w:tcBorders>
              <w:top w:val="nil"/>
              <w:left w:val="single" w:sz="8" w:space="0" w:color="448A99"/>
              <w:bottom w:val="single" w:sz="8" w:space="0" w:color="448A99"/>
              <w:right w:val="single" w:sz="8" w:space="0" w:color="448A99"/>
            </w:tcBorders>
            <w:shd w:val="clear" w:color="000000" w:fill="D2EAF1"/>
            <w:vAlign w:val="center"/>
          </w:tcPr>
          <w:p w:rsidR="002A4A24" w:rsidRPr="006433A9" w:rsidRDefault="002A4A24" w:rsidP="003077EB">
            <w:pPr>
              <w:autoSpaceDE w:val="0"/>
              <w:autoSpaceDN w:val="0"/>
              <w:adjustRightInd w:val="0"/>
              <w:contextualSpacing/>
              <w:jc w:val="center"/>
              <w:rPr>
                <w:rFonts w:cs="Calibri"/>
                <w:sz w:val="20"/>
                <w:szCs w:val="20"/>
              </w:rPr>
            </w:pPr>
            <w:r>
              <w:rPr>
                <w:color w:val="000000"/>
                <w:sz w:val="20"/>
                <w:szCs w:val="20"/>
              </w:rPr>
              <w:t>15,189</w:t>
            </w:r>
          </w:p>
        </w:tc>
        <w:tc>
          <w:tcPr>
            <w:tcW w:w="1976" w:type="dxa"/>
            <w:tcBorders>
              <w:top w:val="nil"/>
              <w:left w:val="nil"/>
              <w:bottom w:val="single" w:sz="8" w:space="0" w:color="448A99"/>
              <w:right w:val="single" w:sz="8" w:space="0" w:color="448A99"/>
            </w:tcBorders>
            <w:shd w:val="clear" w:color="000000" w:fill="D2EAF1"/>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37,513</w:t>
            </w:r>
          </w:p>
        </w:tc>
        <w:tc>
          <w:tcPr>
            <w:tcW w:w="1976" w:type="dxa"/>
            <w:tcBorders>
              <w:top w:val="nil"/>
              <w:left w:val="nil"/>
              <w:bottom w:val="single" w:sz="8" w:space="0" w:color="448A99"/>
              <w:right w:val="single" w:sz="8" w:space="0" w:color="448A99"/>
            </w:tcBorders>
            <w:shd w:val="clear" w:color="000000" w:fill="D2EAF1"/>
            <w:vAlign w:val="center"/>
          </w:tcPr>
          <w:p w:rsidR="002A4A24" w:rsidRPr="006433A9" w:rsidRDefault="002A4A24" w:rsidP="003077EB">
            <w:pPr>
              <w:autoSpaceDE w:val="0"/>
              <w:autoSpaceDN w:val="0"/>
              <w:adjustRightInd w:val="0"/>
              <w:contextualSpacing/>
              <w:jc w:val="center"/>
              <w:rPr>
                <w:rFonts w:cs="Calibri"/>
                <w:sz w:val="20"/>
                <w:szCs w:val="20"/>
              </w:rPr>
            </w:pPr>
            <w:r>
              <w:rPr>
                <w:color w:val="000000"/>
                <w:sz w:val="20"/>
                <w:szCs w:val="20"/>
              </w:rPr>
              <w:t>247%</w:t>
            </w:r>
          </w:p>
        </w:tc>
        <w:tc>
          <w:tcPr>
            <w:tcW w:w="1977" w:type="dxa"/>
            <w:tcBorders>
              <w:top w:val="nil"/>
              <w:left w:val="single" w:sz="8" w:space="0" w:color="448A99"/>
              <w:bottom w:val="single" w:sz="8" w:space="0" w:color="448A99"/>
              <w:right w:val="single" w:sz="8" w:space="0" w:color="448A99"/>
            </w:tcBorders>
            <w:shd w:val="clear" w:color="000000" w:fill="D2EAF1"/>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3,354</w:t>
            </w:r>
          </w:p>
        </w:tc>
      </w:tr>
      <w:tr w:rsidR="002A4A24" w:rsidRPr="006433A9" w:rsidTr="00592FD5">
        <w:trPr>
          <w:trHeight w:val="141"/>
        </w:trPr>
        <w:tc>
          <w:tcPr>
            <w:tcW w:w="1564" w:type="dxa"/>
            <w:tcBorders>
              <w:top w:val="single" w:sz="4" w:space="0" w:color="448A99"/>
              <w:left w:val="single" w:sz="8" w:space="0" w:color="448A99"/>
              <w:bottom w:val="single" w:sz="8" w:space="0" w:color="448A99"/>
              <w:right w:val="single" w:sz="4" w:space="0" w:color="448A99"/>
            </w:tcBorders>
            <w:shd w:val="clear" w:color="auto" w:fill="auto"/>
            <w:vAlign w:val="center"/>
          </w:tcPr>
          <w:p w:rsidR="002A4A24" w:rsidRPr="007B7BD7" w:rsidRDefault="002A4A24" w:rsidP="003077EB">
            <w:pPr>
              <w:jc w:val="left"/>
              <w:rPr>
                <w:bCs/>
                <w:color w:val="000000"/>
                <w:sz w:val="20"/>
                <w:szCs w:val="20"/>
              </w:rPr>
            </w:pPr>
            <w:r w:rsidRPr="007B7BD7">
              <w:rPr>
                <w:bCs/>
                <w:color w:val="000000"/>
                <w:sz w:val="20"/>
                <w:szCs w:val="20"/>
              </w:rPr>
              <w:t>PECO</w:t>
            </w:r>
          </w:p>
        </w:tc>
        <w:tc>
          <w:tcPr>
            <w:tcW w:w="1976" w:type="dxa"/>
            <w:tcBorders>
              <w:top w:val="single" w:sz="4" w:space="0" w:color="448A99"/>
              <w:left w:val="single" w:sz="4" w:space="0" w:color="448A99"/>
              <w:bottom w:val="single" w:sz="8" w:space="0" w:color="448A99"/>
              <w:right w:val="single" w:sz="8" w:space="0" w:color="448A99"/>
            </w:tcBorders>
            <w:shd w:val="clear" w:color="auto" w:fill="auto"/>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50,663</w:t>
            </w:r>
          </w:p>
        </w:tc>
        <w:tc>
          <w:tcPr>
            <w:tcW w:w="1976" w:type="dxa"/>
            <w:tcBorders>
              <w:top w:val="nil"/>
              <w:left w:val="nil"/>
              <w:bottom w:val="single" w:sz="8" w:space="0" w:color="448A99"/>
              <w:right w:val="single" w:sz="8" w:space="0" w:color="448A99"/>
            </w:tcBorders>
            <w:shd w:val="clear" w:color="000000" w:fill="FFFFFF"/>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91,673</w:t>
            </w:r>
          </w:p>
        </w:tc>
        <w:tc>
          <w:tcPr>
            <w:tcW w:w="1976" w:type="dxa"/>
            <w:tcBorders>
              <w:top w:val="nil"/>
              <w:left w:val="nil"/>
              <w:bottom w:val="single" w:sz="8" w:space="0" w:color="448A99"/>
              <w:right w:val="single" w:sz="8" w:space="0" w:color="448A99"/>
            </w:tcBorders>
            <w:shd w:val="clear" w:color="auto" w:fill="auto"/>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181%</w:t>
            </w:r>
          </w:p>
        </w:tc>
        <w:tc>
          <w:tcPr>
            <w:tcW w:w="1977" w:type="dxa"/>
            <w:tcBorders>
              <w:top w:val="nil"/>
              <w:left w:val="single" w:sz="8" w:space="0" w:color="448A99"/>
              <w:bottom w:val="single" w:sz="8" w:space="0" w:color="448A99"/>
              <w:right w:val="single" w:sz="8" w:space="0" w:color="448A99"/>
            </w:tcBorders>
            <w:shd w:val="clear" w:color="000000" w:fill="FFFFFF"/>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24,332</w:t>
            </w:r>
          </w:p>
        </w:tc>
      </w:tr>
      <w:tr w:rsidR="002A4A24" w:rsidRPr="006433A9" w:rsidTr="00592FD5">
        <w:trPr>
          <w:trHeight w:val="70"/>
        </w:trPr>
        <w:tc>
          <w:tcPr>
            <w:tcW w:w="1564" w:type="dxa"/>
            <w:tcBorders>
              <w:top w:val="single" w:sz="8" w:space="0" w:color="448A99"/>
              <w:left w:val="single" w:sz="8" w:space="0" w:color="448A99"/>
              <w:bottom w:val="single" w:sz="4" w:space="0" w:color="448A99"/>
              <w:right w:val="single" w:sz="4" w:space="0" w:color="448A99"/>
            </w:tcBorders>
            <w:shd w:val="clear" w:color="auto" w:fill="D2EAF1"/>
            <w:vAlign w:val="center"/>
          </w:tcPr>
          <w:p w:rsidR="002A4A24" w:rsidRPr="007B7BD7" w:rsidRDefault="002A4A24" w:rsidP="003077EB">
            <w:pPr>
              <w:jc w:val="left"/>
              <w:rPr>
                <w:sz w:val="20"/>
              </w:rPr>
            </w:pPr>
            <w:r w:rsidRPr="007B7BD7">
              <w:rPr>
                <w:bCs/>
                <w:color w:val="000000"/>
                <w:sz w:val="20"/>
                <w:szCs w:val="20"/>
              </w:rPr>
              <w:t>PPL</w:t>
            </w:r>
          </w:p>
        </w:tc>
        <w:tc>
          <w:tcPr>
            <w:tcW w:w="1976" w:type="dxa"/>
            <w:tcBorders>
              <w:top w:val="single" w:sz="8" w:space="0" w:color="448A99"/>
              <w:left w:val="single" w:sz="4" w:space="0" w:color="448A99"/>
              <w:bottom w:val="single" w:sz="4" w:space="0" w:color="448A99"/>
              <w:right w:val="single" w:sz="8" w:space="0" w:color="448A99"/>
            </w:tcBorders>
            <w:shd w:val="clear" w:color="auto" w:fill="D2EAF1"/>
            <w:vAlign w:val="center"/>
          </w:tcPr>
          <w:p w:rsidR="002A4A24" w:rsidRPr="006433A9" w:rsidRDefault="002A4A24" w:rsidP="003077EB">
            <w:pPr>
              <w:autoSpaceDE w:val="0"/>
              <w:autoSpaceDN w:val="0"/>
              <w:adjustRightInd w:val="0"/>
              <w:contextualSpacing/>
              <w:jc w:val="center"/>
              <w:rPr>
                <w:rFonts w:cs="Calibri"/>
                <w:sz w:val="20"/>
                <w:szCs w:val="20"/>
              </w:rPr>
            </w:pPr>
            <w:r>
              <w:rPr>
                <w:color w:val="000000"/>
                <w:sz w:val="20"/>
                <w:szCs w:val="20"/>
              </w:rPr>
              <w:t>36,948</w:t>
            </w:r>
          </w:p>
        </w:tc>
        <w:tc>
          <w:tcPr>
            <w:tcW w:w="1976" w:type="dxa"/>
            <w:tcBorders>
              <w:top w:val="nil"/>
              <w:left w:val="nil"/>
              <w:bottom w:val="single" w:sz="8" w:space="0" w:color="448A99"/>
              <w:right w:val="single" w:sz="8" w:space="0" w:color="448A99"/>
            </w:tcBorders>
            <w:shd w:val="clear" w:color="000000" w:fill="D2EAF1"/>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58,703</w:t>
            </w:r>
          </w:p>
        </w:tc>
        <w:tc>
          <w:tcPr>
            <w:tcW w:w="1976" w:type="dxa"/>
            <w:tcBorders>
              <w:top w:val="single" w:sz="8" w:space="0" w:color="448A99"/>
              <w:left w:val="nil"/>
              <w:bottom w:val="single" w:sz="8" w:space="0" w:color="448A99"/>
              <w:right w:val="single" w:sz="8" w:space="0" w:color="448A99"/>
            </w:tcBorders>
            <w:shd w:val="clear" w:color="auto" w:fill="D2EAF1"/>
            <w:vAlign w:val="center"/>
          </w:tcPr>
          <w:p w:rsidR="002A4A24" w:rsidRPr="006433A9" w:rsidRDefault="002A4A24" w:rsidP="003077EB">
            <w:pPr>
              <w:autoSpaceDE w:val="0"/>
              <w:autoSpaceDN w:val="0"/>
              <w:adjustRightInd w:val="0"/>
              <w:contextualSpacing/>
              <w:jc w:val="center"/>
              <w:rPr>
                <w:rFonts w:cs="Calibri"/>
                <w:sz w:val="20"/>
                <w:szCs w:val="20"/>
              </w:rPr>
            </w:pPr>
            <w:r>
              <w:rPr>
                <w:color w:val="000000"/>
                <w:sz w:val="20"/>
                <w:szCs w:val="20"/>
              </w:rPr>
              <w:t>159%</w:t>
            </w:r>
          </w:p>
        </w:tc>
        <w:tc>
          <w:tcPr>
            <w:tcW w:w="1977" w:type="dxa"/>
            <w:tcBorders>
              <w:top w:val="nil"/>
              <w:left w:val="single" w:sz="8" w:space="0" w:color="448A99"/>
              <w:bottom w:val="single" w:sz="8" w:space="0" w:color="448A99"/>
              <w:right w:val="single" w:sz="8" w:space="0" w:color="448A99"/>
            </w:tcBorders>
            <w:shd w:val="clear" w:color="000000" w:fill="D2EAF1"/>
            <w:vAlign w:val="center"/>
          </w:tcPr>
          <w:p w:rsidR="002A4A24" w:rsidRDefault="002A4A24" w:rsidP="003077EB">
            <w:pPr>
              <w:autoSpaceDE w:val="0"/>
              <w:autoSpaceDN w:val="0"/>
              <w:adjustRightInd w:val="0"/>
              <w:contextualSpacing/>
              <w:jc w:val="center"/>
              <w:rPr>
                <w:color w:val="000000"/>
                <w:sz w:val="20"/>
                <w:szCs w:val="20"/>
              </w:rPr>
            </w:pPr>
            <w:r>
              <w:rPr>
                <w:color w:val="000000"/>
                <w:sz w:val="20"/>
                <w:szCs w:val="20"/>
              </w:rPr>
              <w:t>10,520</w:t>
            </w:r>
          </w:p>
        </w:tc>
      </w:tr>
    </w:tbl>
    <w:p w:rsidR="00C82F49" w:rsidRDefault="00C82F49" w:rsidP="00FB4D74"/>
    <w:p w:rsidR="00C82F49" w:rsidRDefault="00C82F49" w:rsidP="00C82F49">
      <w:pPr>
        <w:pStyle w:val="Caption"/>
        <w:keepNext/>
      </w:pPr>
      <w:bookmarkStart w:id="74" w:name="_Ref472265196"/>
      <w:bookmarkStart w:id="75" w:name="_Toc472472160"/>
      <w:bookmarkStart w:id="76" w:name="_Toc476913972"/>
      <w:r>
        <w:t xml:space="preserve">Table </w:t>
      </w:r>
      <w:fldSimple w:instr=" STYLEREF 1 \s ">
        <w:r w:rsidR="00C301D0">
          <w:rPr>
            <w:noProof/>
          </w:rPr>
          <w:t>2</w:t>
        </w:r>
      </w:fldSimple>
      <w:r w:rsidR="00E6042C">
        <w:noBreakHyphen/>
      </w:r>
      <w:fldSimple w:instr=" SEQ Table \* ARABIC \s 1 ">
        <w:r w:rsidR="00C301D0">
          <w:rPr>
            <w:noProof/>
          </w:rPr>
          <w:t>5</w:t>
        </w:r>
      </w:fldSimple>
      <w:bookmarkEnd w:id="74"/>
      <w:r>
        <w:t>: GNI Carve-out Goal Performance, Summary by EDC</w:t>
      </w:r>
      <w:bookmarkEnd w:id="75"/>
      <w:bookmarkEnd w:id="76"/>
    </w:p>
    <w:tbl>
      <w:tblPr>
        <w:tblW w:w="5000" w:type="pct"/>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541"/>
        <w:gridCol w:w="1459"/>
        <w:gridCol w:w="1148"/>
        <w:gridCol w:w="1148"/>
        <w:gridCol w:w="1459"/>
        <w:gridCol w:w="1526"/>
        <w:gridCol w:w="1059"/>
      </w:tblGrid>
      <w:tr w:rsidR="00C82313" w:rsidRPr="006433A9" w:rsidTr="000850C5">
        <w:trPr>
          <w:trHeight w:val="141"/>
          <w:tblHeader/>
        </w:trPr>
        <w:tc>
          <w:tcPr>
            <w:tcW w:w="1541" w:type="dxa"/>
            <w:tcBorders>
              <w:top w:val="single" w:sz="8" w:space="0" w:color="448A99"/>
              <w:left w:val="single" w:sz="8" w:space="0" w:color="448A99"/>
              <w:bottom w:val="single" w:sz="8" w:space="0" w:color="448A99"/>
              <w:right w:val="nil"/>
            </w:tcBorders>
            <w:shd w:val="clear" w:color="000000" w:fill="448A99"/>
            <w:vAlign w:val="bottom"/>
          </w:tcPr>
          <w:p w:rsidR="00C82313" w:rsidRPr="006433A9" w:rsidRDefault="00C82313" w:rsidP="00C82313">
            <w:pPr>
              <w:rPr>
                <w:b/>
                <w:color w:val="FFFFFF"/>
                <w:sz w:val="20"/>
                <w:szCs w:val="20"/>
              </w:rPr>
            </w:pPr>
            <w:r>
              <w:rPr>
                <w:b/>
                <w:bCs/>
                <w:color w:val="FFFFFF"/>
                <w:sz w:val="20"/>
                <w:szCs w:val="20"/>
              </w:rPr>
              <w:t>EDC</w:t>
            </w:r>
          </w:p>
        </w:tc>
        <w:tc>
          <w:tcPr>
            <w:tcW w:w="1459" w:type="dxa"/>
            <w:tcBorders>
              <w:top w:val="single" w:sz="8" w:space="0" w:color="448A99"/>
              <w:left w:val="single" w:sz="8" w:space="0" w:color="448A99"/>
              <w:bottom w:val="single" w:sz="8" w:space="0" w:color="448A99"/>
              <w:right w:val="single" w:sz="8" w:space="0" w:color="448A99"/>
            </w:tcBorders>
            <w:shd w:val="clear" w:color="000000" w:fill="448A99"/>
            <w:vAlign w:val="bottom"/>
          </w:tcPr>
          <w:p w:rsidR="00C82313" w:rsidRPr="006433A9" w:rsidRDefault="00C82313" w:rsidP="00C82313">
            <w:pPr>
              <w:jc w:val="center"/>
              <w:rPr>
                <w:b/>
                <w:color w:val="FFFFFF"/>
                <w:sz w:val="20"/>
                <w:szCs w:val="20"/>
              </w:rPr>
            </w:pPr>
            <w:r>
              <w:rPr>
                <w:b/>
                <w:bCs/>
                <w:color w:val="FFFFFF"/>
                <w:sz w:val="20"/>
                <w:szCs w:val="20"/>
              </w:rPr>
              <w:t>Phase II GNI MWh/yr Carve-Out Goal</w:t>
            </w:r>
          </w:p>
        </w:tc>
        <w:tc>
          <w:tcPr>
            <w:tcW w:w="1148" w:type="dxa"/>
            <w:tcBorders>
              <w:top w:val="single" w:sz="8" w:space="0" w:color="448A99"/>
              <w:left w:val="nil"/>
              <w:bottom w:val="single" w:sz="8" w:space="0" w:color="448A99"/>
              <w:right w:val="single" w:sz="8" w:space="0" w:color="448A99"/>
            </w:tcBorders>
            <w:shd w:val="clear" w:color="000000" w:fill="448A99"/>
            <w:vAlign w:val="center"/>
          </w:tcPr>
          <w:p w:rsidR="00C82313" w:rsidRDefault="00C82313" w:rsidP="00C82313">
            <w:pPr>
              <w:jc w:val="center"/>
              <w:rPr>
                <w:b/>
                <w:bCs/>
                <w:color w:val="FFFFFF"/>
                <w:sz w:val="20"/>
                <w:szCs w:val="20"/>
              </w:rPr>
            </w:pPr>
            <w:r>
              <w:rPr>
                <w:b/>
                <w:bCs/>
                <w:color w:val="FFFFFF"/>
                <w:sz w:val="20"/>
                <w:szCs w:val="20"/>
              </w:rPr>
              <w:t>Carryover from Phase I (MWh/yr)</w:t>
            </w:r>
          </w:p>
        </w:tc>
        <w:tc>
          <w:tcPr>
            <w:tcW w:w="1148" w:type="dxa"/>
            <w:tcBorders>
              <w:top w:val="single" w:sz="8" w:space="0" w:color="448A99"/>
              <w:left w:val="nil"/>
              <w:bottom w:val="single" w:sz="8" w:space="0" w:color="448A99"/>
              <w:right w:val="single" w:sz="8" w:space="0" w:color="448A99"/>
            </w:tcBorders>
            <w:shd w:val="clear" w:color="000000" w:fill="448A99"/>
            <w:vAlign w:val="center"/>
          </w:tcPr>
          <w:p w:rsidR="00C82313" w:rsidRDefault="00C82313" w:rsidP="00C82313">
            <w:pPr>
              <w:jc w:val="center"/>
              <w:rPr>
                <w:b/>
                <w:bCs/>
                <w:color w:val="FFFFFF"/>
                <w:sz w:val="20"/>
                <w:szCs w:val="20"/>
              </w:rPr>
            </w:pPr>
            <w:r>
              <w:rPr>
                <w:b/>
                <w:bCs/>
                <w:color w:val="FFFFFF"/>
                <w:sz w:val="20"/>
                <w:szCs w:val="20"/>
              </w:rPr>
              <w:t>PY5-PY7 Verified MWh/yr Savings</w:t>
            </w:r>
          </w:p>
        </w:tc>
        <w:tc>
          <w:tcPr>
            <w:tcW w:w="1459" w:type="dxa"/>
            <w:tcBorders>
              <w:top w:val="single" w:sz="8" w:space="0" w:color="448A99"/>
              <w:left w:val="nil"/>
              <w:bottom w:val="single" w:sz="8" w:space="0" w:color="448A99"/>
              <w:right w:val="single" w:sz="8" w:space="0" w:color="448A99"/>
            </w:tcBorders>
            <w:shd w:val="clear" w:color="000000" w:fill="448A99"/>
            <w:vAlign w:val="bottom"/>
          </w:tcPr>
          <w:p w:rsidR="00C82313" w:rsidRPr="006433A9" w:rsidRDefault="00C82313" w:rsidP="00C82313">
            <w:pPr>
              <w:jc w:val="center"/>
              <w:rPr>
                <w:b/>
                <w:color w:val="FFFFFF"/>
                <w:sz w:val="20"/>
                <w:szCs w:val="20"/>
              </w:rPr>
            </w:pPr>
            <w:r>
              <w:rPr>
                <w:b/>
                <w:bCs/>
                <w:color w:val="FFFFFF"/>
                <w:sz w:val="20"/>
                <w:szCs w:val="20"/>
              </w:rPr>
              <w:t>Phase II Verified MWh/yr GNI Savings</w:t>
            </w:r>
          </w:p>
        </w:tc>
        <w:tc>
          <w:tcPr>
            <w:tcW w:w="1526" w:type="dxa"/>
            <w:tcBorders>
              <w:top w:val="single" w:sz="8" w:space="0" w:color="448A99"/>
              <w:left w:val="nil"/>
              <w:bottom w:val="single" w:sz="8" w:space="0" w:color="448A99"/>
              <w:right w:val="single" w:sz="8" w:space="0" w:color="448A99"/>
            </w:tcBorders>
            <w:shd w:val="clear" w:color="000000" w:fill="448A99"/>
            <w:vAlign w:val="bottom"/>
          </w:tcPr>
          <w:p w:rsidR="00C82313" w:rsidRPr="006433A9" w:rsidRDefault="00C82313" w:rsidP="00C82313">
            <w:pPr>
              <w:jc w:val="center"/>
              <w:rPr>
                <w:b/>
                <w:color w:val="FFFFFF"/>
                <w:sz w:val="20"/>
                <w:szCs w:val="20"/>
              </w:rPr>
            </w:pPr>
            <w:r>
              <w:rPr>
                <w:b/>
                <w:bCs/>
                <w:color w:val="FFFFFF"/>
                <w:sz w:val="20"/>
                <w:szCs w:val="20"/>
              </w:rPr>
              <w:t>Savings Achieved % of Target</w:t>
            </w:r>
            <w:r w:rsidR="00976CB1">
              <w:rPr>
                <w:b/>
                <w:bCs/>
                <w:color w:val="FFFFFF"/>
                <w:sz w:val="20"/>
                <w:szCs w:val="20"/>
              </w:rPr>
              <w:t>s</w:t>
            </w:r>
          </w:p>
        </w:tc>
        <w:tc>
          <w:tcPr>
            <w:tcW w:w="1059" w:type="dxa"/>
            <w:tcBorders>
              <w:top w:val="single" w:sz="8" w:space="0" w:color="448A99"/>
              <w:left w:val="nil"/>
              <w:bottom w:val="single" w:sz="8" w:space="0" w:color="448A99"/>
              <w:right w:val="single" w:sz="8" w:space="0" w:color="448A99"/>
            </w:tcBorders>
            <w:shd w:val="clear" w:color="000000" w:fill="448A99"/>
            <w:vAlign w:val="center"/>
          </w:tcPr>
          <w:p w:rsidR="00C82313" w:rsidRDefault="00C82313" w:rsidP="00C82313">
            <w:pPr>
              <w:jc w:val="center"/>
              <w:rPr>
                <w:b/>
                <w:bCs/>
                <w:color w:val="FFFFFF"/>
                <w:sz w:val="20"/>
                <w:szCs w:val="20"/>
              </w:rPr>
            </w:pPr>
            <w:r>
              <w:rPr>
                <w:b/>
                <w:bCs/>
                <w:color w:val="FFFFFF"/>
                <w:sz w:val="20"/>
                <w:szCs w:val="20"/>
              </w:rPr>
              <w:t>Phase III Carryover MWh/yr Savings</w:t>
            </w:r>
          </w:p>
        </w:tc>
      </w:tr>
      <w:tr w:rsidR="00C82313" w:rsidRPr="006433A9" w:rsidTr="000850C5">
        <w:trPr>
          <w:trHeight w:val="141"/>
        </w:trPr>
        <w:tc>
          <w:tcPr>
            <w:tcW w:w="1541" w:type="dxa"/>
            <w:tcBorders>
              <w:top w:val="nil"/>
              <w:left w:val="single" w:sz="8" w:space="0" w:color="448A99"/>
              <w:bottom w:val="single" w:sz="8" w:space="0" w:color="448A99"/>
              <w:right w:val="nil"/>
            </w:tcBorders>
            <w:shd w:val="clear" w:color="000000" w:fill="D2EAF1"/>
            <w:vAlign w:val="center"/>
          </w:tcPr>
          <w:p w:rsidR="00C82313" w:rsidRPr="007B7BD7" w:rsidRDefault="00C82313" w:rsidP="00C82313">
            <w:pPr>
              <w:jc w:val="left"/>
              <w:rPr>
                <w:sz w:val="20"/>
              </w:rPr>
            </w:pPr>
            <w:r w:rsidRPr="007B7BD7">
              <w:rPr>
                <w:bCs/>
                <w:color w:val="000000"/>
                <w:sz w:val="20"/>
                <w:szCs w:val="20"/>
              </w:rPr>
              <w:t>Duquesne</w:t>
            </w:r>
          </w:p>
        </w:tc>
        <w:tc>
          <w:tcPr>
            <w:tcW w:w="1459" w:type="dxa"/>
            <w:tcBorders>
              <w:top w:val="nil"/>
              <w:left w:val="single" w:sz="8" w:space="0" w:color="448A99"/>
              <w:bottom w:val="single" w:sz="8" w:space="0" w:color="448A99"/>
              <w:right w:val="single" w:sz="8" w:space="0" w:color="448A99"/>
            </w:tcBorders>
            <w:shd w:val="clear" w:color="000000" w:fill="D2EAF1"/>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27,672</w:t>
            </w:r>
          </w:p>
        </w:tc>
        <w:tc>
          <w:tcPr>
            <w:tcW w:w="1148" w:type="dxa"/>
            <w:tcBorders>
              <w:top w:val="nil"/>
              <w:left w:val="single" w:sz="8" w:space="0" w:color="448A99"/>
              <w:bottom w:val="single" w:sz="8" w:space="0" w:color="448A99"/>
              <w:right w:val="single" w:sz="8" w:space="0" w:color="448A99"/>
            </w:tcBorders>
            <w:shd w:val="clear" w:color="000000" w:fill="D2EAF1"/>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7,722</w:t>
            </w:r>
          </w:p>
        </w:tc>
        <w:tc>
          <w:tcPr>
            <w:tcW w:w="1148" w:type="dxa"/>
            <w:tcBorders>
              <w:top w:val="nil"/>
              <w:left w:val="nil"/>
              <w:bottom w:val="single" w:sz="8" w:space="0" w:color="448A99"/>
              <w:right w:val="single" w:sz="8" w:space="0" w:color="448A99"/>
            </w:tcBorders>
            <w:shd w:val="clear" w:color="000000" w:fill="D2EAF1"/>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22,135</w:t>
            </w:r>
          </w:p>
        </w:tc>
        <w:tc>
          <w:tcPr>
            <w:tcW w:w="1459" w:type="dxa"/>
            <w:tcBorders>
              <w:top w:val="nil"/>
              <w:left w:val="nil"/>
              <w:bottom w:val="single" w:sz="8" w:space="0" w:color="448A99"/>
              <w:right w:val="single" w:sz="8" w:space="0" w:color="448A99"/>
            </w:tcBorders>
            <w:shd w:val="clear" w:color="000000" w:fill="D2EAF1"/>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29,857</w:t>
            </w:r>
          </w:p>
        </w:tc>
        <w:tc>
          <w:tcPr>
            <w:tcW w:w="1526" w:type="dxa"/>
            <w:tcBorders>
              <w:top w:val="nil"/>
              <w:left w:val="nil"/>
              <w:bottom w:val="single" w:sz="8" w:space="0" w:color="448A99"/>
              <w:right w:val="single" w:sz="8" w:space="0" w:color="448A99"/>
            </w:tcBorders>
            <w:shd w:val="clear" w:color="000000" w:fill="D2EAF1"/>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108%</w:t>
            </w:r>
          </w:p>
        </w:tc>
        <w:tc>
          <w:tcPr>
            <w:tcW w:w="1059" w:type="dxa"/>
            <w:tcBorders>
              <w:top w:val="nil"/>
              <w:left w:val="single" w:sz="8" w:space="0" w:color="448A99"/>
              <w:bottom w:val="single" w:sz="8" w:space="0" w:color="448A99"/>
              <w:right w:val="single" w:sz="8" w:space="0" w:color="448A99"/>
            </w:tcBorders>
            <w:shd w:val="clear" w:color="000000" w:fill="D2EAF1"/>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0</w:t>
            </w:r>
          </w:p>
        </w:tc>
      </w:tr>
      <w:tr w:rsidR="00C82313" w:rsidRPr="006433A9" w:rsidTr="000850C5">
        <w:trPr>
          <w:trHeight w:val="141"/>
        </w:trPr>
        <w:tc>
          <w:tcPr>
            <w:tcW w:w="1541" w:type="dxa"/>
            <w:tcBorders>
              <w:top w:val="nil"/>
              <w:left w:val="single" w:sz="8" w:space="0" w:color="448A99"/>
              <w:bottom w:val="single" w:sz="8" w:space="0" w:color="448A99"/>
              <w:right w:val="nil"/>
            </w:tcBorders>
            <w:shd w:val="clear" w:color="000000" w:fill="FFFFFF"/>
            <w:vAlign w:val="center"/>
          </w:tcPr>
          <w:p w:rsidR="00C82313" w:rsidRPr="007B7BD7" w:rsidRDefault="00C82313" w:rsidP="00C82313">
            <w:pPr>
              <w:jc w:val="left"/>
              <w:rPr>
                <w:sz w:val="20"/>
              </w:rPr>
            </w:pPr>
            <w:r w:rsidRPr="007B7BD7">
              <w:rPr>
                <w:bCs/>
                <w:color w:val="000000"/>
                <w:sz w:val="20"/>
                <w:szCs w:val="20"/>
              </w:rPr>
              <w:t>FE: Met-Ed</w:t>
            </w:r>
          </w:p>
        </w:tc>
        <w:tc>
          <w:tcPr>
            <w:tcW w:w="1459" w:type="dxa"/>
            <w:tcBorders>
              <w:top w:val="nil"/>
              <w:left w:val="single" w:sz="8" w:space="0" w:color="448A99"/>
              <w:bottom w:val="single" w:sz="8" w:space="0" w:color="448A99"/>
              <w:right w:val="single" w:sz="8" w:space="0" w:color="448A99"/>
            </w:tcBorders>
            <w:shd w:val="clear" w:color="auto" w:fill="auto"/>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33,775</w:t>
            </w:r>
          </w:p>
        </w:tc>
        <w:tc>
          <w:tcPr>
            <w:tcW w:w="1148" w:type="dxa"/>
            <w:tcBorders>
              <w:top w:val="nil"/>
              <w:left w:val="single" w:sz="8" w:space="0" w:color="448A99"/>
              <w:bottom w:val="single" w:sz="8" w:space="0" w:color="448A99"/>
              <w:right w:val="single" w:sz="8" w:space="0" w:color="448A99"/>
            </w:tcBorders>
            <w:shd w:val="clear" w:color="000000" w:fill="FFFFFF"/>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6,430</w:t>
            </w:r>
          </w:p>
        </w:tc>
        <w:tc>
          <w:tcPr>
            <w:tcW w:w="1148" w:type="dxa"/>
            <w:tcBorders>
              <w:top w:val="nil"/>
              <w:left w:val="nil"/>
              <w:bottom w:val="single" w:sz="8" w:space="0" w:color="448A99"/>
              <w:right w:val="single" w:sz="8" w:space="0" w:color="448A99"/>
            </w:tcBorders>
            <w:shd w:val="clear" w:color="000000" w:fill="FFFFFF"/>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33,657</w:t>
            </w:r>
          </w:p>
        </w:tc>
        <w:tc>
          <w:tcPr>
            <w:tcW w:w="1459" w:type="dxa"/>
            <w:tcBorders>
              <w:top w:val="nil"/>
              <w:left w:val="nil"/>
              <w:bottom w:val="single" w:sz="8" w:space="0" w:color="448A99"/>
              <w:right w:val="single" w:sz="8" w:space="0" w:color="448A99"/>
            </w:tcBorders>
            <w:shd w:val="clear" w:color="000000" w:fill="FFFFFF"/>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40,087</w:t>
            </w:r>
          </w:p>
        </w:tc>
        <w:tc>
          <w:tcPr>
            <w:tcW w:w="1526" w:type="dxa"/>
            <w:tcBorders>
              <w:top w:val="nil"/>
              <w:left w:val="nil"/>
              <w:bottom w:val="single" w:sz="8" w:space="0" w:color="448A99"/>
              <w:right w:val="single" w:sz="8" w:space="0" w:color="448A99"/>
            </w:tcBorders>
            <w:shd w:val="clear" w:color="000000" w:fill="FFFFFF"/>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119%</w:t>
            </w:r>
          </w:p>
        </w:tc>
        <w:tc>
          <w:tcPr>
            <w:tcW w:w="1059" w:type="dxa"/>
            <w:tcBorders>
              <w:top w:val="nil"/>
              <w:left w:val="single" w:sz="8" w:space="0" w:color="448A99"/>
              <w:bottom w:val="single" w:sz="8" w:space="0" w:color="448A99"/>
              <w:right w:val="single" w:sz="8" w:space="0" w:color="448A99"/>
            </w:tcBorders>
            <w:shd w:val="clear" w:color="000000" w:fill="FFFFFF"/>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0</w:t>
            </w:r>
          </w:p>
        </w:tc>
      </w:tr>
      <w:tr w:rsidR="00C82313" w:rsidRPr="006433A9" w:rsidTr="000850C5">
        <w:trPr>
          <w:trHeight w:val="141"/>
        </w:trPr>
        <w:tc>
          <w:tcPr>
            <w:tcW w:w="1541" w:type="dxa"/>
            <w:tcBorders>
              <w:top w:val="nil"/>
              <w:left w:val="single" w:sz="8" w:space="0" w:color="448A99"/>
              <w:bottom w:val="single" w:sz="8" w:space="0" w:color="448A99"/>
              <w:right w:val="nil"/>
            </w:tcBorders>
            <w:shd w:val="clear" w:color="000000" w:fill="D2EAF1"/>
            <w:vAlign w:val="center"/>
          </w:tcPr>
          <w:p w:rsidR="00C82313" w:rsidRPr="007B7BD7" w:rsidRDefault="00C82313" w:rsidP="00C82313">
            <w:pPr>
              <w:jc w:val="left"/>
              <w:rPr>
                <w:sz w:val="20"/>
              </w:rPr>
            </w:pPr>
            <w:r w:rsidRPr="007B7BD7">
              <w:rPr>
                <w:bCs/>
                <w:color w:val="000000"/>
                <w:sz w:val="20"/>
                <w:szCs w:val="20"/>
              </w:rPr>
              <w:t>FE: Penelec</w:t>
            </w:r>
          </w:p>
        </w:tc>
        <w:tc>
          <w:tcPr>
            <w:tcW w:w="1459" w:type="dxa"/>
            <w:tcBorders>
              <w:top w:val="nil"/>
              <w:left w:val="single" w:sz="8" w:space="0" w:color="448A99"/>
              <w:bottom w:val="single" w:sz="8" w:space="0" w:color="448A99"/>
              <w:right w:val="single" w:sz="8" w:space="0" w:color="448A99"/>
            </w:tcBorders>
            <w:shd w:val="clear" w:color="000000" w:fill="D2EAF1"/>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31,881</w:t>
            </w:r>
          </w:p>
        </w:tc>
        <w:tc>
          <w:tcPr>
            <w:tcW w:w="1148" w:type="dxa"/>
            <w:tcBorders>
              <w:top w:val="nil"/>
              <w:left w:val="single" w:sz="8" w:space="0" w:color="448A99"/>
              <w:bottom w:val="single" w:sz="8" w:space="0" w:color="448A99"/>
              <w:right w:val="single" w:sz="8" w:space="0" w:color="448A99"/>
            </w:tcBorders>
            <w:shd w:val="clear" w:color="000000" w:fill="D2EAF1"/>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10,721</w:t>
            </w:r>
          </w:p>
        </w:tc>
        <w:tc>
          <w:tcPr>
            <w:tcW w:w="1148" w:type="dxa"/>
            <w:tcBorders>
              <w:top w:val="nil"/>
              <w:left w:val="nil"/>
              <w:bottom w:val="single" w:sz="8" w:space="0" w:color="448A99"/>
              <w:right w:val="single" w:sz="8" w:space="0" w:color="448A99"/>
            </w:tcBorders>
            <w:shd w:val="clear" w:color="000000" w:fill="D2EAF1"/>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31,964</w:t>
            </w:r>
          </w:p>
        </w:tc>
        <w:tc>
          <w:tcPr>
            <w:tcW w:w="1459" w:type="dxa"/>
            <w:tcBorders>
              <w:top w:val="nil"/>
              <w:left w:val="nil"/>
              <w:bottom w:val="single" w:sz="8" w:space="0" w:color="448A99"/>
              <w:right w:val="single" w:sz="8" w:space="0" w:color="448A99"/>
            </w:tcBorders>
            <w:shd w:val="clear" w:color="000000" w:fill="D2EAF1"/>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42,685</w:t>
            </w:r>
          </w:p>
        </w:tc>
        <w:tc>
          <w:tcPr>
            <w:tcW w:w="1526" w:type="dxa"/>
            <w:tcBorders>
              <w:top w:val="nil"/>
              <w:left w:val="nil"/>
              <w:bottom w:val="single" w:sz="8" w:space="0" w:color="448A99"/>
              <w:right w:val="single" w:sz="8" w:space="0" w:color="448A99"/>
            </w:tcBorders>
            <w:shd w:val="clear" w:color="000000" w:fill="D2EAF1"/>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134%</w:t>
            </w:r>
          </w:p>
        </w:tc>
        <w:tc>
          <w:tcPr>
            <w:tcW w:w="1059" w:type="dxa"/>
            <w:tcBorders>
              <w:top w:val="nil"/>
              <w:left w:val="single" w:sz="8" w:space="0" w:color="448A99"/>
              <w:bottom w:val="single" w:sz="8" w:space="0" w:color="448A99"/>
              <w:right w:val="single" w:sz="8" w:space="0" w:color="448A99"/>
            </w:tcBorders>
            <w:shd w:val="clear" w:color="000000" w:fill="D2EAF1"/>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83</w:t>
            </w:r>
          </w:p>
        </w:tc>
      </w:tr>
      <w:tr w:rsidR="00C82313" w:rsidRPr="006433A9" w:rsidTr="000850C5">
        <w:trPr>
          <w:trHeight w:val="141"/>
        </w:trPr>
        <w:tc>
          <w:tcPr>
            <w:tcW w:w="1541" w:type="dxa"/>
            <w:tcBorders>
              <w:top w:val="nil"/>
              <w:left w:val="single" w:sz="8" w:space="0" w:color="448A99"/>
              <w:bottom w:val="single" w:sz="8" w:space="0" w:color="448A99"/>
              <w:right w:val="nil"/>
            </w:tcBorders>
            <w:shd w:val="clear" w:color="000000" w:fill="FFFFFF"/>
            <w:vAlign w:val="center"/>
          </w:tcPr>
          <w:p w:rsidR="00C82313" w:rsidRPr="007B7BD7" w:rsidRDefault="00C82313" w:rsidP="00C82313">
            <w:pPr>
              <w:jc w:val="left"/>
              <w:rPr>
                <w:sz w:val="20"/>
              </w:rPr>
            </w:pPr>
            <w:r w:rsidRPr="007B7BD7">
              <w:rPr>
                <w:bCs/>
                <w:color w:val="000000"/>
                <w:sz w:val="20"/>
                <w:szCs w:val="20"/>
              </w:rPr>
              <w:t>FE: Penn Power</w:t>
            </w:r>
          </w:p>
        </w:tc>
        <w:tc>
          <w:tcPr>
            <w:tcW w:w="1459" w:type="dxa"/>
            <w:tcBorders>
              <w:top w:val="nil"/>
              <w:left w:val="single" w:sz="8" w:space="0" w:color="448A99"/>
              <w:bottom w:val="single" w:sz="8" w:space="0" w:color="448A99"/>
              <w:right w:val="single" w:sz="8" w:space="0" w:color="448A99"/>
            </w:tcBorders>
            <w:shd w:val="clear" w:color="auto" w:fill="auto"/>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9,550</w:t>
            </w:r>
          </w:p>
        </w:tc>
        <w:tc>
          <w:tcPr>
            <w:tcW w:w="1148" w:type="dxa"/>
            <w:tcBorders>
              <w:top w:val="nil"/>
              <w:left w:val="single" w:sz="8" w:space="0" w:color="448A99"/>
              <w:bottom w:val="single" w:sz="8" w:space="0" w:color="448A99"/>
              <w:right w:val="single" w:sz="8" w:space="0" w:color="448A99"/>
            </w:tcBorders>
            <w:shd w:val="clear" w:color="000000" w:fill="FFFFFF"/>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258</w:t>
            </w:r>
          </w:p>
        </w:tc>
        <w:tc>
          <w:tcPr>
            <w:tcW w:w="1148" w:type="dxa"/>
            <w:tcBorders>
              <w:top w:val="nil"/>
              <w:left w:val="nil"/>
              <w:bottom w:val="single" w:sz="8" w:space="0" w:color="448A99"/>
              <w:right w:val="single" w:sz="8" w:space="0" w:color="448A99"/>
            </w:tcBorders>
            <w:shd w:val="clear" w:color="000000" w:fill="FFFFFF"/>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16,866</w:t>
            </w:r>
          </w:p>
        </w:tc>
        <w:tc>
          <w:tcPr>
            <w:tcW w:w="1459" w:type="dxa"/>
            <w:tcBorders>
              <w:top w:val="nil"/>
              <w:left w:val="nil"/>
              <w:bottom w:val="single" w:sz="8" w:space="0" w:color="448A99"/>
              <w:right w:val="single" w:sz="8" w:space="0" w:color="448A99"/>
            </w:tcBorders>
            <w:shd w:val="clear" w:color="000000" w:fill="FFFFFF"/>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17,124</w:t>
            </w:r>
          </w:p>
        </w:tc>
        <w:tc>
          <w:tcPr>
            <w:tcW w:w="1526" w:type="dxa"/>
            <w:tcBorders>
              <w:top w:val="nil"/>
              <w:left w:val="nil"/>
              <w:bottom w:val="single" w:sz="8" w:space="0" w:color="448A99"/>
              <w:right w:val="single" w:sz="8" w:space="0" w:color="448A99"/>
            </w:tcBorders>
            <w:shd w:val="clear" w:color="000000" w:fill="FFFFFF"/>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179%</w:t>
            </w:r>
          </w:p>
        </w:tc>
        <w:tc>
          <w:tcPr>
            <w:tcW w:w="1059" w:type="dxa"/>
            <w:tcBorders>
              <w:top w:val="nil"/>
              <w:left w:val="single" w:sz="8" w:space="0" w:color="448A99"/>
              <w:bottom w:val="single" w:sz="8" w:space="0" w:color="448A99"/>
              <w:right w:val="single" w:sz="8" w:space="0" w:color="448A99"/>
            </w:tcBorders>
            <w:shd w:val="clear" w:color="000000" w:fill="FFFFFF"/>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7,316</w:t>
            </w:r>
          </w:p>
        </w:tc>
      </w:tr>
      <w:tr w:rsidR="00C82313" w:rsidRPr="006433A9" w:rsidTr="000850C5">
        <w:trPr>
          <w:trHeight w:val="141"/>
        </w:trPr>
        <w:tc>
          <w:tcPr>
            <w:tcW w:w="1541" w:type="dxa"/>
            <w:tcBorders>
              <w:top w:val="nil"/>
              <w:left w:val="single" w:sz="8" w:space="0" w:color="448A99"/>
              <w:bottom w:val="single" w:sz="8" w:space="0" w:color="448A99"/>
              <w:right w:val="nil"/>
            </w:tcBorders>
            <w:shd w:val="clear" w:color="000000" w:fill="D2EAF1"/>
            <w:vAlign w:val="center"/>
          </w:tcPr>
          <w:p w:rsidR="00C82313" w:rsidRPr="007B7BD7" w:rsidRDefault="00C82313" w:rsidP="00C82313">
            <w:pPr>
              <w:jc w:val="left"/>
              <w:rPr>
                <w:sz w:val="20"/>
              </w:rPr>
            </w:pPr>
            <w:r w:rsidRPr="007B7BD7">
              <w:rPr>
                <w:bCs/>
                <w:color w:val="000000"/>
                <w:sz w:val="20"/>
                <w:szCs w:val="20"/>
              </w:rPr>
              <w:t>FE: West Penn</w:t>
            </w:r>
          </w:p>
        </w:tc>
        <w:tc>
          <w:tcPr>
            <w:tcW w:w="1459" w:type="dxa"/>
            <w:tcBorders>
              <w:top w:val="nil"/>
              <w:left w:val="single" w:sz="8" w:space="0" w:color="448A99"/>
              <w:bottom w:val="single" w:sz="8" w:space="0" w:color="448A99"/>
              <w:right w:val="single" w:sz="8" w:space="0" w:color="448A99"/>
            </w:tcBorders>
            <w:shd w:val="clear" w:color="000000" w:fill="D2EAF1"/>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33,753</w:t>
            </w:r>
          </w:p>
        </w:tc>
        <w:tc>
          <w:tcPr>
            <w:tcW w:w="1148" w:type="dxa"/>
            <w:tcBorders>
              <w:top w:val="nil"/>
              <w:left w:val="single" w:sz="8" w:space="0" w:color="448A99"/>
              <w:bottom w:val="single" w:sz="8" w:space="0" w:color="448A99"/>
              <w:right w:val="single" w:sz="8" w:space="0" w:color="448A99"/>
            </w:tcBorders>
            <w:shd w:val="clear" w:color="000000" w:fill="D2EAF1"/>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59,929</w:t>
            </w:r>
          </w:p>
        </w:tc>
        <w:tc>
          <w:tcPr>
            <w:tcW w:w="1148" w:type="dxa"/>
            <w:tcBorders>
              <w:top w:val="nil"/>
              <w:left w:val="nil"/>
              <w:bottom w:val="single" w:sz="8" w:space="0" w:color="448A99"/>
              <w:right w:val="single" w:sz="8" w:space="0" w:color="448A99"/>
            </w:tcBorders>
            <w:shd w:val="clear" w:color="000000" w:fill="D2EAF1"/>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33,726</w:t>
            </w:r>
          </w:p>
        </w:tc>
        <w:tc>
          <w:tcPr>
            <w:tcW w:w="1459" w:type="dxa"/>
            <w:tcBorders>
              <w:top w:val="nil"/>
              <w:left w:val="nil"/>
              <w:bottom w:val="single" w:sz="8" w:space="0" w:color="448A99"/>
              <w:right w:val="single" w:sz="8" w:space="0" w:color="448A99"/>
            </w:tcBorders>
            <w:shd w:val="clear" w:color="000000" w:fill="D2EAF1"/>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93,655</w:t>
            </w:r>
          </w:p>
        </w:tc>
        <w:tc>
          <w:tcPr>
            <w:tcW w:w="1526" w:type="dxa"/>
            <w:tcBorders>
              <w:top w:val="nil"/>
              <w:left w:val="nil"/>
              <w:bottom w:val="single" w:sz="8" w:space="0" w:color="448A99"/>
              <w:right w:val="single" w:sz="8" w:space="0" w:color="448A99"/>
            </w:tcBorders>
            <w:shd w:val="clear" w:color="000000" w:fill="D2EAF1"/>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277%</w:t>
            </w:r>
          </w:p>
        </w:tc>
        <w:tc>
          <w:tcPr>
            <w:tcW w:w="1059" w:type="dxa"/>
            <w:tcBorders>
              <w:top w:val="nil"/>
              <w:left w:val="single" w:sz="8" w:space="0" w:color="448A99"/>
              <w:bottom w:val="single" w:sz="8" w:space="0" w:color="448A99"/>
              <w:right w:val="single" w:sz="8" w:space="0" w:color="448A99"/>
            </w:tcBorders>
            <w:shd w:val="clear" w:color="000000" w:fill="D2EAF1"/>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0</w:t>
            </w:r>
          </w:p>
        </w:tc>
      </w:tr>
      <w:tr w:rsidR="00C82313" w:rsidRPr="006433A9" w:rsidTr="000850C5">
        <w:trPr>
          <w:trHeight w:val="141"/>
        </w:trPr>
        <w:tc>
          <w:tcPr>
            <w:tcW w:w="1541" w:type="dxa"/>
            <w:tcBorders>
              <w:top w:val="single" w:sz="8" w:space="0" w:color="448A99"/>
              <w:left w:val="single" w:sz="8" w:space="0" w:color="448A99"/>
              <w:bottom w:val="single" w:sz="4" w:space="0" w:color="448A99"/>
              <w:right w:val="single" w:sz="4" w:space="0" w:color="448A99"/>
            </w:tcBorders>
            <w:shd w:val="clear" w:color="000000" w:fill="FFFFFF"/>
            <w:vAlign w:val="center"/>
          </w:tcPr>
          <w:p w:rsidR="00C82313" w:rsidRPr="007B7BD7" w:rsidRDefault="00415125" w:rsidP="00C82313">
            <w:pPr>
              <w:jc w:val="left"/>
              <w:rPr>
                <w:sz w:val="20"/>
              </w:rPr>
            </w:pPr>
            <w:r>
              <w:rPr>
                <w:bCs/>
                <w:color w:val="000000"/>
                <w:sz w:val="20"/>
                <w:szCs w:val="20"/>
              </w:rPr>
              <w:t>PECO</w:t>
            </w:r>
          </w:p>
        </w:tc>
        <w:tc>
          <w:tcPr>
            <w:tcW w:w="1459" w:type="dxa"/>
            <w:tcBorders>
              <w:top w:val="nil"/>
              <w:left w:val="nil"/>
              <w:bottom w:val="single" w:sz="8" w:space="0" w:color="448A99"/>
              <w:right w:val="single" w:sz="8" w:space="0" w:color="448A99"/>
            </w:tcBorders>
            <w:shd w:val="clear" w:color="auto" w:fill="auto"/>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112,585</w:t>
            </w:r>
          </w:p>
        </w:tc>
        <w:tc>
          <w:tcPr>
            <w:tcW w:w="1148" w:type="dxa"/>
            <w:tcBorders>
              <w:top w:val="nil"/>
              <w:left w:val="single" w:sz="8" w:space="0" w:color="448A99"/>
              <w:bottom w:val="single" w:sz="8" w:space="0" w:color="448A99"/>
              <w:right w:val="single" w:sz="8" w:space="0" w:color="448A99"/>
            </w:tcBorders>
            <w:shd w:val="clear" w:color="000000" w:fill="FFFFFF"/>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77,961</w:t>
            </w:r>
          </w:p>
        </w:tc>
        <w:tc>
          <w:tcPr>
            <w:tcW w:w="1148" w:type="dxa"/>
            <w:tcBorders>
              <w:top w:val="nil"/>
              <w:left w:val="nil"/>
              <w:bottom w:val="single" w:sz="8" w:space="0" w:color="448A99"/>
              <w:right w:val="single" w:sz="8" w:space="0" w:color="448A99"/>
            </w:tcBorders>
            <w:shd w:val="clear" w:color="000000" w:fill="FFFFFF"/>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227,985</w:t>
            </w:r>
          </w:p>
        </w:tc>
        <w:tc>
          <w:tcPr>
            <w:tcW w:w="1459" w:type="dxa"/>
            <w:tcBorders>
              <w:top w:val="nil"/>
              <w:left w:val="nil"/>
              <w:bottom w:val="single" w:sz="8" w:space="0" w:color="448A99"/>
              <w:right w:val="single" w:sz="8" w:space="0" w:color="448A99"/>
            </w:tcBorders>
            <w:shd w:val="clear" w:color="000000" w:fill="FFFFFF"/>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305,946</w:t>
            </w:r>
          </w:p>
        </w:tc>
        <w:tc>
          <w:tcPr>
            <w:tcW w:w="1526" w:type="dxa"/>
            <w:tcBorders>
              <w:top w:val="nil"/>
              <w:left w:val="nil"/>
              <w:bottom w:val="single" w:sz="8" w:space="0" w:color="448A99"/>
              <w:right w:val="single" w:sz="8" w:space="0" w:color="448A99"/>
            </w:tcBorders>
            <w:shd w:val="clear" w:color="000000" w:fill="FFFFFF"/>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272%</w:t>
            </w:r>
          </w:p>
        </w:tc>
        <w:tc>
          <w:tcPr>
            <w:tcW w:w="1059" w:type="dxa"/>
            <w:tcBorders>
              <w:top w:val="nil"/>
              <w:left w:val="single" w:sz="8" w:space="0" w:color="448A99"/>
              <w:bottom w:val="single" w:sz="8" w:space="0" w:color="448A99"/>
              <w:right w:val="single" w:sz="8" w:space="0" w:color="448A99"/>
            </w:tcBorders>
            <w:shd w:val="clear" w:color="000000" w:fill="FFFFFF"/>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115,400</w:t>
            </w:r>
          </w:p>
        </w:tc>
      </w:tr>
      <w:tr w:rsidR="00C82313" w:rsidRPr="006433A9" w:rsidTr="000850C5">
        <w:trPr>
          <w:trHeight w:val="141"/>
        </w:trPr>
        <w:tc>
          <w:tcPr>
            <w:tcW w:w="1541" w:type="dxa"/>
            <w:tcBorders>
              <w:top w:val="single" w:sz="4" w:space="0" w:color="448A99"/>
              <w:left w:val="single" w:sz="8" w:space="0" w:color="448A99"/>
              <w:bottom w:val="single" w:sz="8" w:space="0" w:color="448A99"/>
              <w:right w:val="single" w:sz="4" w:space="0" w:color="448A99"/>
            </w:tcBorders>
            <w:shd w:val="clear" w:color="000000" w:fill="D2EAF1"/>
            <w:vAlign w:val="center"/>
          </w:tcPr>
          <w:p w:rsidR="00C82313" w:rsidRPr="007B7BD7" w:rsidRDefault="00415125" w:rsidP="00C82313">
            <w:pPr>
              <w:jc w:val="left"/>
              <w:rPr>
                <w:sz w:val="20"/>
              </w:rPr>
            </w:pPr>
            <w:r>
              <w:rPr>
                <w:bCs/>
                <w:color w:val="000000"/>
                <w:sz w:val="20"/>
                <w:szCs w:val="20"/>
              </w:rPr>
              <w:t>PPL</w:t>
            </w:r>
          </w:p>
        </w:tc>
        <w:tc>
          <w:tcPr>
            <w:tcW w:w="1459" w:type="dxa"/>
            <w:tcBorders>
              <w:top w:val="nil"/>
              <w:left w:val="nil"/>
              <w:bottom w:val="single" w:sz="8" w:space="0" w:color="448A99"/>
              <w:right w:val="single" w:sz="8" w:space="0" w:color="448A99"/>
            </w:tcBorders>
            <w:shd w:val="clear" w:color="000000" w:fill="D2EAF1"/>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82,107</w:t>
            </w:r>
          </w:p>
        </w:tc>
        <w:tc>
          <w:tcPr>
            <w:tcW w:w="1148" w:type="dxa"/>
            <w:tcBorders>
              <w:top w:val="nil"/>
              <w:left w:val="single" w:sz="8" w:space="0" w:color="448A99"/>
              <w:bottom w:val="single" w:sz="8" w:space="0" w:color="448A99"/>
              <w:right w:val="single" w:sz="8" w:space="0" w:color="448A99"/>
            </w:tcBorders>
            <w:shd w:val="clear" w:color="000000" w:fill="D2EAF1"/>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92,143</w:t>
            </w:r>
          </w:p>
        </w:tc>
        <w:tc>
          <w:tcPr>
            <w:tcW w:w="1148" w:type="dxa"/>
            <w:tcBorders>
              <w:top w:val="nil"/>
              <w:left w:val="nil"/>
              <w:bottom w:val="single" w:sz="8" w:space="0" w:color="448A99"/>
              <w:right w:val="single" w:sz="8" w:space="0" w:color="448A99"/>
            </w:tcBorders>
            <w:shd w:val="clear" w:color="000000" w:fill="D2EAF1"/>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93,248</w:t>
            </w:r>
          </w:p>
        </w:tc>
        <w:tc>
          <w:tcPr>
            <w:tcW w:w="1459" w:type="dxa"/>
            <w:tcBorders>
              <w:top w:val="nil"/>
              <w:left w:val="nil"/>
              <w:bottom w:val="single" w:sz="8" w:space="0" w:color="448A99"/>
              <w:right w:val="single" w:sz="8" w:space="0" w:color="448A99"/>
            </w:tcBorders>
            <w:shd w:val="clear" w:color="000000" w:fill="D2EAF1"/>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185,391</w:t>
            </w:r>
          </w:p>
        </w:tc>
        <w:tc>
          <w:tcPr>
            <w:tcW w:w="1526" w:type="dxa"/>
            <w:tcBorders>
              <w:top w:val="nil"/>
              <w:left w:val="nil"/>
              <w:bottom w:val="single" w:sz="8" w:space="0" w:color="448A99"/>
              <w:right w:val="single" w:sz="8" w:space="0" w:color="448A99"/>
            </w:tcBorders>
            <w:shd w:val="clear" w:color="000000" w:fill="D2EAF1"/>
            <w:vAlign w:val="center"/>
          </w:tcPr>
          <w:p w:rsidR="00C82313" w:rsidRPr="006433A9" w:rsidRDefault="00C82313" w:rsidP="00C82313">
            <w:pPr>
              <w:autoSpaceDE w:val="0"/>
              <w:autoSpaceDN w:val="0"/>
              <w:adjustRightInd w:val="0"/>
              <w:contextualSpacing/>
              <w:jc w:val="center"/>
              <w:rPr>
                <w:rFonts w:cs="Calibri"/>
                <w:sz w:val="20"/>
                <w:szCs w:val="20"/>
              </w:rPr>
            </w:pPr>
            <w:r>
              <w:rPr>
                <w:color w:val="000000"/>
                <w:sz w:val="20"/>
                <w:szCs w:val="20"/>
              </w:rPr>
              <w:t>226%</w:t>
            </w:r>
          </w:p>
        </w:tc>
        <w:tc>
          <w:tcPr>
            <w:tcW w:w="1059" w:type="dxa"/>
            <w:tcBorders>
              <w:top w:val="nil"/>
              <w:left w:val="single" w:sz="8" w:space="0" w:color="448A99"/>
              <w:bottom w:val="single" w:sz="8" w:space="0" w:color="448A99"/>
              <w:right w:val="single" w:sz="8" w:space="0" w:color="448A99"/>
            </w:tcBorders>
            <w:shd w:val="clear" w:color="000000" w:fill="D2EAF1"/>
            <w:vAlign w:val="center"/>
          </w:tcPr>
          <w:p w:rsidR="00C82313" w:rsidRDefault="00C82313" w:rsidP="00C82313">
            <w:pPr>
              <w:autoSpaceDE w:val="0"/>
              <w:autoSpaceDN w:val="0"/>
              <w:adjustRightInd w:val="0"/>
              <w:contextualSpacing/>
              <w:jc w:val="center"/>
              <w:rPr>
                <w:color w:val="000000"/>
                <w:sz w:val="20"/>
                <w:szCs w:val="20"/>
              </w:rPr>
            </w:pPr>
            <w:r>
              <w:rPr>
                <w:color w:val="000000"/>
                <w:sz w:val="20"/>
                <w:szCs w:val="20"/>
              </w:rPr>
              <w:t>11,141</w:t>
            </w:r>
          </w:p>
        </w:tc>
      </w:tr>
    </w:tbl>
    <w:p w:rsidR="00C82F49" w:rsidRDefault="00C82F49" w:rsidP="00FB4D74"/>
    <w:p w:rsidR="008A7824" w:rsidRPr="00F07E93" w:rsidRDefault="008A7824" w:rsidP="008A7824">
      <w:r>
        <w:fldChar w:fldCharType="begin"/>
      </w:r>
      <w:r>
        <w:instrText xml:space="preserve"> REF _Ref433292200 \h </w:instrText>
      </w:r>
      <w:r>
        <w:fldChar w:fldCharType="separate"/>
      </w:r>
      <w:r w:rsidRPr="00A84877">
        <w:t xml:space="preserve">Table </w:t>
      </w:r>
      <w:r>
        <w:rPr>
          <w:noProof/>
        </w:rPr>
        <w:t>2</w:t>
      </w:r>
      <w:r>
        <w:noBreakHyphen/>
      </w:r>
      <w:r>
        <w:rPr>
          <w:noProof/>
        </w:rPr>
        <w:t>6</w:t>
      </w:r>
      <w:r>
        <w:fldChar w:fldCharType="end"/>
      </w:r>
      <w:r w:rsidRPr="00F07E93">
        <w:t xml:space="preserve"> shows each EDC’s minimum percentage of </w:t>
      </w:r>
      <w:r>
        <w:t xml:space="preserve">low-income </w:t>
      </w:r>
      <w:r w:rsidRPr="00F07E93">
        <w:t xml:space="preserve">measures </w:t>
      </w:r>
      <w:r>
        <w:t>requirement</w:t>
      </w:r>
      <w:r w:rsidRPr="00F07E93">
        <w:t xml:space="preserve"> and the percentage of </w:t>
      </w:r>
      <w:r>
        <w:t xml:space="preserve">low-income </w:t>
      </w:r>
      <w:r w:rsidRPr="00F07E93">
        <w:t xml:space="preserve">measures offered in </w:t>
      </w:r>
      <w:r w:rsidR="002F12C2">
        <w:t>PY5-</w:t>
      </w:r>
      <w:bookmarkStart w:id="77" w:name="_GoBack"/>
      <w:bookmarkEnd w:id="77"/>
      <w:r w:rsidRPr="00F07E93">
        <w:t>PY</w:t>
      </w:r>
      <w:r>
        <w:t>7</w:t>
      </w:r>
      <w:r w:rsidRPr="00F07E93">
        <w:t>. Every EDC complied with the Act 129 low‐income requirements</w:t>
      </w:r>
      <w:r>
        <w:t xml:space="preserve"> all three years of Phase II</w:t>
      </w:r>
      <w:r w:rsidRPr="00F07E93">
        <w:t>.</w:t>
      </w:r>
    </w:p>
    <w:p w:rsidR="008A7824" w:rsidRDefault="008A7824" w:rsidP="00FB4D74"/>
    <w:p w:rsidR="008A7824" w:rsidRPr="00362FC4" w:rsidRDefault="008A7824" w:rsidP="008A7824">
      <w:pPr>
        <w:pStyle w:val="Caption"/>
      </w:pPr>
      <w:bookmarkStart w:id="78" w:name="_Ref433292200"/>
      <w:bookmarkStart w:id="79" w:name="_Toc409224981"/>
      <w:bookmarkStart w:id="80" w:name="_Toc409443533"/>
      <w:bookmarkStart w:id="81" w:name="_Toc445206155"/>
      <w:r w:rsidRPr="00A84877">
        <w:t xml:space="preserve">Table </w:t>
      </w:r>
      <w:fldSimple w:instr=" STYLEREF 1 \s ">
        <w:r>
          <w:rPr>
            <w:noProof/>
          </w:rPr>
          <w:t>2</w:t>
        </w:r>
      </w:fldSimple>
      <w:r>
        <w:noBreakHyphen/>
      </w:r>
      <w:fldSimple w:instr=" SEQ Table \* ARABIC \s 1 ">
        <w:r>
          <w:rPr>
            <w:noProof/>
          </w:rPr>
          <w:t>6</w:t>
        </w:r>
      </w:fldSimple>
      <w:bookmarkEnd w:id="78"/>
      <w:r w:rsidRPr="00A84877">
        <w:t>: EDC Achievement of Act 129 Low</w:t>
      </w:r>
      <w:r w:rsidRPr="00A84877">
        <w:rPr>
          <w:rFonts w:ascii="Cambria Math" w:hAnsi="Cambria Math" w:cs="Cambria Math"/>
        </w:rPr>
        <w:t>‐</w:t>
      </w:r>
      <w:r w:rsidRPr="00A84877">
        <w:t>Income Requirements</w:t>
      </w:r>
      <w:bookmarkEnd w:id="79"/>
      <w:bookmarkEnd w:id="80"/>
      <w:r>
        <w:t xml:space="preserve"> in PY</w:t>
      </w:r>
      <w:bookmarkEnd w:id="81"/>
      <w:r>
        <w:t>7</w:t>
      </w:r>
    </w:p>
    <w:tbl>
      <w:tblPr>
        <w:tblW w:w="9362"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44"/>
        <w:gridCol w:w="1929"/>
        <w:gridCol w:w="1930"/>
        <w:gridCol w:w="1929"/>
        <w:gridCol w:w="1930"/>
      </w:tblGrid>
      <w:tr w:rsidR="008A7824" w:rsidRPr="00BA3253" w:rsidTr="008A7824">
        <w:trPr>
          <w:trHeight w:val="619"/>
          <w:tblHeader/>
        </w:trPr>
        <w:tc>
          <w:tcPr>
            <w:tcW w:w="1644" w:type="dxa"/>
            <w:shd w:val="clear" w:color="000000" w:fill="448A99"/>
            <w:noWrap/>
            <w:vAlign w:val="bottom"/>
            <w:hideMark/>
          </w:tcPr>
          <w:p w:rsidR="008A7824" w:rsidRPr="00BA3253" w:rsidRDefault="008A7824" w:rsidP="008332AA">
            <w:pPr>
              <w:jc w:val="left"/>
              <w:rPr>
                <w:b/>
                <w:bCs/>
                <w:color w:val="FFFFFF"/>
                <w:sz w:val="20"/>
                <w:szCs w:val="20"/>
              </w:rPr>
            </w:pPr>
            <w:r w:rsidRPr="00BA3253">
              <w:rPr>
                <w:b/>
                <w:bCs/>
                <w:color w:val="FFFFFF"/>
                <w:sz w:val="20"/>
                <w:szCs w:val="20"/>
              </w:rPr>
              <w:t>EDC</w:t>
            </w:r>
          </w:p>
        </w:tc>
        <w:tc>
          <w:tcPr>
            <w:tcW w:w="1929" w:type="dxa"/>
            <w:shd w:val="clear" w:color="000000" w:fill="448A99"/>
            <w:vAlign w:val="bottom"/>
            <w:hideMark/>
          </w:tcPr>
          <w:p w:rsidR="008A7824" w:rsidRPr="00BA3253" w:rsidRDefault="008A7824" w:rsidP="008332AA">
            <w:pPr>
              <w:jc w:val="center"/>
              <w:rPr>
                <w:b/>
                <w:bCs/>
                <w:color w:val="FFFFFF"/>
                <w:sz w:val="20"/>
                <w:szCs w:val="20"/>
              </w:rPr>
            </w:pPr>
            <w:r>
              <w:rPr>
                <w:b/>
                <w:bCs/>
                <w:color w:val="FFFFFF"/>
                <w:sz w:val="20"/>
                <w:szCs w:val="20"/>
              </w:rPr>
              <w:t>%</w:t>
            </w:r>
            <w:r w:rsidRPr="00BA3253">
              <w:rPr>
                <w:b/>
                <w:bCs/>
                <w:color w:val="FFFFFF"/>
                <w:sz w:val="20"/>
                <w:szCs w:val="20"/>
              </w:rPr>
              <w:t xml:space="preserve"> Low‐Income Measures</w:t>
            </w:r>
          </w:p>
          <w:p w:rsidR="008A7824" w:rsidRPr="00BA3253" w:rsidRDefault="008A7824" w:rsidP="008332AA">
            <w:pPr>
              <w:jc w:val="center"/>
              <w:rPr>
                <w:b/>
                <w:bCs/>
                <w:color w:val="FFFFFF"/>
                <w:sz w:val="20"/>
                <w:szCs w:val="20"/>
              </w:rPr>
            </w:pPr>
            <w:r w:rsidRPr="00BA3253">
              <w:rPr>
                <w:b/>
                <w:bCs/>
                <w:color w:val="FFFFFF"/>
                <w:sz w:val="20"/>
                <w:szCs w:val="20"/>
              </w:rPr>
              <w:t>Requirement</w:t>
            </w:r>
          </w:p>
        </w:tc>
        <w:tc>
          <w:tcPr>
            <w:tcW w:w="1930" w:type="dxa"/>
            <w:shd w:val="clear" w:color="000000" w:fill="448A99"/>
          </w:tcPr>
          <w:p w:rsidR="008A7824" w:rsidRPr="00BA3253" w:rsidRDefault="008A7824" w:rsidP="008332AA">
            <w:pPr>
              <w:jc w:val="center"/>
              <w:rPr>
                <w:b/>
                <w:bCs/>
                <w:color w:val="FFFFFF"/>
                <w:sz w:val="20"/>
                <w:szCs w:val="20"/>
              </w:rPr>
            </w:pPr>
            <w:r>
              <w:rPr>
                <w:b/>
                <w:bCs/>
                <w:color w:val="FFFFFF"/>
                <w:sz w:val="20"/>
                <w:szCs w:val="20"/>
              </w:rPr>
              <w:t xml:space="preserve">% </w:t>
            </w:r>
            <w:r w:rsidRPr="00BA3253">
              <w:rPr>
                <w:b/>
                <w:bCs/>
                <w:color w:val="FFFFFF"/>
                <w:sz w:val="20"/>
                <w:szCs w:val="20"/>
              </w:rPr>
              <w:t>Low‐Income Measures</w:t>
            </w:r>
          </w:p>
          <w:p w:rsidR="008A7824" w:rsidRDefault="008A7824" w:rsidP="008332AA">
            <w:pPr>
              <w:jc w:val="center"/>
              <w:rPr>
                <w:b/>
                <w:bCs/>
                <w:color w:val="FFFFFF"/>
                <w:sz w:val="20"/>
                <w:szCs w:val="20"/>
              </w:rPr>
            </w:pPr>
            <w:r w:rsidRPr="00BA3253">
              <w:rPr>
                <w:b/>
                <w:bCs/>
                <w:color w:val="FFFFFF"/>
                <w:sz w:val="20"/>
                <w:szCs w:val="20"/>
              </w:rPr>
              <w:t xml:space="preserve">Offered in </w:t>
            </w:r>
            <w:r>
              <w:rPr>
                <w:b/>
                <w:bCs/>
                <w:color w:val="FFFFFF"/>
                <w:sz w:val="20"/>
                <w:szCs w:val="20"/>
              </w:rPr>
              <w:t>PY5</w:t>
            </w:r>
          </w:p>
        </w:tc>
        <w:tc>
          <w:tcPr>
            <w:tcW w:w="1929" w:type="dxa"/>
            <w:shd w:val="clear" w:color="000000" w:fill="448A99"/>
          </w:tcPr>
          <w:p w:rsidR="008A7824" w:rsidRPr="00BA3253" w:rsidRDefault="008A7824" w:rsidP="008332AA">
            <w:pPr>
              <w:jc w:val="center"/>
              <w:rPr>
                <w:b/>
                <w:bCs/>
                <w:color w:val="FFFFFF"/>
                <w:sz w:val="20"/>
                <w:szCs w:val="20"/>
              </w:rPr>
            </w:pPr>
            <w:r>
              <w:rPr>
                <w:b/>
                <w:bCs/>
                <w:color w:val="FFFFFF"/>
                <w:sz w:val="20"/>
                <w:szCs w:val="20"/>
              </w:rPr>
              <w:t xml:space="preserve">% </w:t>
            </w:r>
            <w:r w:rsidRPr="00BA3253">
              <w:rPr>
                <w:b/>
                <w:bCs/>
                <w:color w:val="FFFFFF"/>
                <w:sz w:val="20"/>
                <w:szCs w:val="20"/>
              </w:rPr>
              <w:t>Low‐Income Measures</w:t>
            </w:r>
          </w:p>
          <w:p w:rsidR="008A7824" w:rsidRDefault="008A7824" w:rsidP="008332AA">
            <w:pPr>
              <w:jc w:val="center"/>
              <w:rPr>
                <w:b/>
                <w:bCs/>
                <w:color w:val="FFFFFF"/>
                <w:sz w:val="20"/>
                <w:szCs w:val="20"/>
              </w:rPr>
            </w:pPr>
            <w:r w:rsidRPr="00BA3253">
              <w:rPr>
                <w:b/>
                <w:bCs/>
                <w:color w:val="FFFFFF"/>
                <w:sz w:val="20"/>
                <w:szCs w:val="20"/>
              </w:rPr>
              <w:t xml:space="preserve">Offered in </w:t>
            </w:r>
            <w:r>
              <w:rPr>
                <w:b/>
                <w:bCs/>
                <w:color w:val="FFFFFF"/>
                <w:sz w:val="20"/>
                <w:szCs w:val="20"/>
              </w:rPr>
              <w:t>PY6</w:t>
            </w:r>
          </w:p>
        </w:tc>
        <w:tc>
          <w:tcPr>
            <w:tcW w:w="1930" w:type="dxa"/>
            <w:shd w:val="clear" w:color="000000" w:fill="448A99"/>
            <w:vAlign w:val="bottom"/>
            <w:hideMark/>
          </w:tcPr>
          <w:p w:rsidR="008A7824" w:rsidRPr="00BA3253" w:rsidRDefault="008A7824" w:rsidP="008332AA">
            <w:pPr>
              <w:jc w:val="center"/>
              <w:rPr>
                <w:b/>
                <w:bCs/>
                <w:color w:val="FFFFFF"/>
                <w:sz w:val="20"/>
                <w:szCs w:val="20"/>
              </w:rPr>
            </w:pPr>
            <w:r>
              <w:rPr>
                <w:b/>
                <w:bCs/>
                <w:color w:val="FFFFFF"/>
                <w:sz w:val="20"/>
                <w:szCs w:val="20"/>
              </w:rPr>
              <w:t xml:space="preserve">% </w:t>
            </w:r>
            <w:r w:rsidRPr="00BA3253">
              <w:rPr>
                <w:b/>
                <w:bCs/>
                <w:color w:val="FFFFFF"/>
                <w:sz w:val="20"/>
                <w:szCs w:val="20"/>
              </w:rPr>
              <w:t>Low‐Income Measures</w:t>
            </w:r>
          </w:p>
          <w:p w:rsidR="008A7824" w:rsidRPr="00BA3253" w:rsidRDefault="008A7824" w:rsidP="008332AA">
            <w:pPr>
              <w:jc w:val="center"/>
              <w:rPr>
                <w:b/>
                <w:bCs/>
                <w:color w:val="FFFFFF"/>
                <w:sz w:val="20"/>
                <w:szCs w:val="20"/>
              </w:rPr>
            </w:pPr>
            <w:r w:rsidRPr="00BA3253">
              <w:rPr>
                <w:b/>
                <w:bCs/>
                <w:color w:val="FFFFFF"/>
                <w:sz w:val="20"/>
                <w:szCs w:val="20"/>
              </w:rPr>
              <w:t xml:space="preserve">Offered in </w:t>
            </w:r>
            <w:r>
              <w:rPr>
                <w:b/>
                <w:bCs/>
                <w:color w:val="FFFFFF"/>
                <w:sz w:val="20"/>
                <w:szCs w:val="20"/>
              </w:rPr>
              <w:t>PY7</w:t>
            </w:r>
          </w:p>
        </w:tc>
      </w:tr>
      <w:tr w:rsidR="008A7824" w:rsidRPr="00BA3253" w:rsidTr="008A7824">
        <w:trPr>
          <w:trHeight w:val="327"/>
        </w:trPr>
        <w:tc>
          <w:tcPr>
            <w:tcW w:w="1644" w:type="dxa"/>
            <w:shd w:val="clear" w:color="000000" w:fill="D2EAF1"/>
            <w:vAlign w:val="center"/>
          </w:tcPr>
          <w:p w:rsidR="008A7824" w:rsidRPr="00BA3253" w:rsidRDefault="008A7824" w:rsidP="008332AA">
            <w:pPr>
              <w:jc w:val="left"/>
              <w:rPr>
                <w:color w:val="000000"/>
                <w:sz w:val="20"/>
                <w:szCs w:val="20"/>
              </w:rPr>
            </w:pPr>
            <w:r w:rsidRPr="00BA3253">
              <w:rPr>
                <w:color w:val="000000"/>
                <w:sz w:val="20"/>
                <w:szCs w:val="20"/>
              </w:rPr>
              <w:t>Duquesne</w:t>
            </w:r>
          </w:p>
        </w:tc>
        <w:tc>
          <w:tcPr>
            <w:tcW w:w="1929" w:type="dxa"/>
            <w:shd w:val="clear" w:color="000000" w:fill="D2EAF1"/>
            <w:noWrap/>
            <w:vAlign w:val="center"/>
          </w:tcPr>
          <w:p w:rsidR="008A7824" w:rsidRPr="00F07E93" w:rsidRDefault="008A7824" w:rsidP="008332AA">
            <w:pPr>
              <w:jc w:val="center"/>
              <w:rPr>
                <w:color w:val="000000"/>
                <w:sz w:val="20"/>
                <w:szCs w:val="20"/>
                <w:highlight w:val="yellow"/>
              </w:rPr>
            </w:pPr>
            <w:r w:rsidRPr="005D06BC">
              <w:rPr>
                <w:color w:val="000000"/>
                <w:sz w:val="20"/>
                <w:szCs w:val="20"/>
              </w:rPr>
              <w:t>8.4</w:t>
            </w:r>
            <w:r>
              <w:rPr>
                <w:color w:val="000000"/>
                <w:sz w:val="20"/>
                <w:szCs w:val="20"/>
              </w:rPr>
              <w:t>02</w:t>
            </w:r>
            <w:r w:rsidRPr="005D06BC">
              <w:rPr>
                <w:color w:val="000000"/>
                <w:sz w:val="20"/>
                <w:szCs w:val="20"/>
              </w:rPr>
              <w:t>%</w:t>
            </w:r>
          </w:p>
        </w:tc>
        <w:tc>
          <w:tcPr>
            <w:tcW w:w="1930" w:type="dxa"/>
            <w:shd w:val="clear" w:color="000000" w:fill="D2EAF1"/>
            <w:vAlign w:val="center"/>
          </w:tcPr>
          <w:p w:rsidR="008A7824" w:rsidRPr="005D06BC" w:rsidRDefault="008A7824" w:rsidP="008332AA">
            <w:pPr>
              <w:jc w:val="center"/>
              <w:rPr>
                <w:color w:val="000000"/>
                <w:sz w:val="20"/>
                <w:szCs w:val="20"/>
              </w:rPr>
            </w:pPr>
            <w:r w:rsidRPr="00BA3253">
              <w:rPr>
                <w:color w:val="000000"/>
                <w:sz w:val="20"/>
                <w:szCs w:val="20"/>
              </w:rPr>
              <w:t>1</w:t>
            </w:r>
            <w:r>
              <w:rPr>
                <w:color w:val="000000"/>
                <w:sz w:val="20"/>
                <w:szCs w:val="20"/>
              </w:rPr>
              <w:t>3</w:t>
            </w:r>
            <w:r w:rsidRPr="00BA3253">
              <w:rPr>
                <w:color w:val="000000"/>
                <w:sz w:val="20"/>
                <w:szCs w:val="20"/>
              </w:rPr>
              <w:t>%</w:t>
            </w:r>
          </w:p>
        </w:tc>
        <w:tc>
          <w:tcPr>
            <w:tcW w:w="1929" w:type="dxa"/>
            <w:shd w:val="clear" w:color="000000" w:fill="D2EAF1"/>
            <w:vAlign w:val="center"/>
          </w:tcPr>
          <w:p w:rsidR="008A7824" w:rsidRPr="005D06BC" w:rsidRDefault="008A7824" w:rsidP="008332AA">
            <w:pPr>
              <w:jc w:val="center"/>
              <w:rPr>
                <w:color w:val="000000"/>
                <w:sz w:val="20"/>
                <w:szCs w:val="20"/>
              </w:rPr>
            </w:pPr>
            <w:r>
              <w:rPr>
                <w:color w:val="000000"/>
                <w:sz w:val="20"/>
                <w:szCs w:val="20"/>
              </w:rPr>
              <w:t>15</w:t>
            </w:r>
            <w:r w:rsidRPr="005D06BC">
              <w:rPr>
                <w:color w:val="000000"/>
                <w:sz w:val="20"/>
                <w:szCs w:val="20"/>
              </w:rPr>
              <w:t>%</w:t>
            </w:r>
          </w:p>
        </w:tc>
        <w:tc>
          <w:tcPr>
            <w:tcW w:w="1930" w:type="dxa"/>
            <w:shd w:val="clear" w:color="000000" w:fill="D2EAF1"/>
            <w:noWrap/>
            <w:vAlign w:val="center"/>
          </w:tcPr>
          <w:p w:rsidR="008A7824" w:rsidRPr="00BA3253" w:rsidRDefault="008A7824" w:rsidP="008332AA">
            <w:pPr>
              <w:jc w:val="center"/>
              <w:rPr>
                <w:color w:val="000000"/>
                <w:sz w:val="20"/>
                <w:szCs w:val="20"/>
              </w:rPr>
            </w:pPr>
            <w:r>
              <w:rPr>
                <w:color w:val="000000"/>
                <w:sz w:val="20"/>
                <w:szCs w:val="20"/>
              </w:rPr>
              <w:t>14</w:t>
            </w:r>
            <w:r w:rsidRPr="005D06BC">
              <w:rPr>
                <w:color w:val="000000"/>
                <w:sz w:val="20"/>
                <w:szCs w:val="20"/>
              </w:rPr>
              <w:t>%</w:t>
            </w:r>
          </w:p>
        </w:tc>
      </w:tr>
      <w:tr w:rsidR="008A7824" w:rsidRPr="00BA3253" w:rsidTr="008A7824">
        <w:trPr>
          <w:trHeight w:val="342"/>
        </w:trPr>
        <w:tc>
          <w:tcPr>
            <w:tcW w:w="1644" w:type="dxa"/>
            <w:shd w:val="clear" w:color="auto" w:fill="auto"/>
            <w:vAlign w:val="bottom"/>
          </w:tcPr>
          <w:p w:rsidR="008A7824" w:rsidRPr="00B44AFF" w:rsidRDefault="008A7824" w:rsidP="008332AA">
            <w:pPr>
              <w:jc w:val="left"/>
              <w:rPr>
                <w:bCs/>
                <w:color w:val="000000"/>
                <w:sz w:val="20"/>
                <w:szCs w:val="20"/>
                <w:lang w:eastAsia="zh-CN"/>
              </w:rPr>
            </w:pPr>
            <w:r>
              <w:rPr>
                <w:bCs/>
                <w:color w:val="000000"/>
                <w:sz w:val="20"/>
                <w:szCs w:val="20"/>
                <w:lang w:eastAsia="zh-CN"/>
              </w:rPr>
              <w:t xml:space="preserve">FE: </w:t>
            </w:r>
            <w:r w:rsidRPr="00B44AFF">
              <w:rPr>
                <w:bCs/>
                <w:color w:val="000000"/>
                <w:sz w:val="20"/>
                <w:szCs w:val="20"/>
                <w:lang w:eastAsia="zh-CN"/>
              </w:rPr>
              <w:t>Met-Ed</w:t>
            </w:r>
          </w:p>
        </w:tc>
        <w:tc>
          <w:tcPr>
            <w:tcW w:w="1929" w:type="dxa"/>
            <w:shd w:val="clear" w:color="auto" w:fill="auto"/>
            <w:noWrap/>
            <w:vAlign w:val="center"/>
          </w:tcPr>
          <w:p w:rsidR="008A7824" w:rsidRPr="00F07E93" w:rsidRDefault="008A7824" w:rsidP="008332AA">
            <w:pPr>
              <w:jc w:val="center"/>
              <w:rPr>
                <w:color w:val="000000"/>
                <w:sz w:val="20"/>
                <w:szCs w:val="20"/>
                <w:highlight w:val="yellow"/>
              </w:rPr>
            </w:pPr>
            <w:r w:rsidRPr="005D06BC">
              <w:rPr>
                <w:color w:val="000000"/>
                <w:sz w:val="20"/>
                <w:szCs w:val="20"/>
              </w:rPr>
              <w:t>8.</w:t>
            </w:r>
            <w:r>
              <w:rPr>
                <w:color w:val="000000"/>
                <w:sz w:val="20"/>
                <w:szCs w:val="20"/>
              </w:rPr>
              <w:t>787</w:t>
            </w:r>
            <w:r w:rsidRPr="005D06BC">
              <w:rPr>
                <w:color w:val="000000"/>
                <w:sz w:val="20"/>
                <w:szCs w:val="20"/>
              </w:rPr>
              <w:t>%</w:t>
            </w:r>
          </w:p>
        </w:tc>
        <w:tc>
          <w:tcPr>
            <w:tcW w:w="1930" w:type="dxa"/>
            <w:vAlign w:val="center"/>
          </w:tcPr>
          <w:p w:rsidR="008A7824" w:rsidRPr="005D06BC" w:rsidRDefault="008A7824" w:rsidP="008332AA">
            <w:pPr>
              <w:jc w:val="center"/>
              <w:rPr>
                <w:color w:val="000000"/>
                <w:sz w:val="20"/>
                <w:szCs w:val="20"/>
              </w:rPr>
            </w:pPr>
            <w:r w:rsidRPr="00BA3253">
              <w:rPr>
                <w:color w:val="000000"/>
                <w:sz w:val="20"/>
                <w:szCs w:val="20"/>
              </w:rPr>
              <w:t>15%</w:t>
            </w:r>
          </w:p>
        </w:tc>
        <w:tc>
          <w:tcPr>
            <w:tcW w:w="1929" w:type="dxa"/>
            <w:vAlign w:val="center"/>
          </w:tcPr>
          <w:p w:rsidR="008A7824" w:rsidRPr="005D06BC" w:rsidRDefault="008A7824" w:rsidP="008332AA">
            <w:pPr>
              <w:jc w:val="center"/>
              <w:rPr>
                <w:color w:val="000000"/>
                <w:sz w:val="20"/>
                <w:szCs w:val="20"/>
              </w:rPr>
            </w:pPr>
            <w:r w:rsidRPr="005D06BC">
              <w:rPr>
                <w:color w:val="000000"/>
                <w:sz w:val="20"/>
                <w:szCs w:val="20"/>
              </w:rPr>
              <w:t>15%</w:t>
            </w:r>
          </w:p>
        </w:tc>
        <w:tc>
          <w:tcPr>
            <w:tcW w:w="1930" w:type="dxa"/>
            <w:shd w:val="clear" w:color="auto" w:fill="auto"/>
            <w:noWrap/>
            <w:vAlign w:val="center"/>
          </w:tcPr>
          <w:p w:rsidR="008A7824" w:rsidRPr="005D06BC" w:rsidRDefault="008A7824" w:rsidP="008332AA">
            <w:pPr>
              <w:jc w:val="center"/>
              <w:rPr>
                <w:color w:val="000000"/>
                <w:sz w:val="20"/>
                <w:szCs w:val="20"/>
              </w:rPr>
            </w:pPr>
            <w:r w:rsidRPr="005D06BC">
              <w:rPr>
                <w:color w:val="000000"/>
                <w:sz w:val="20"/>
                <w:szCs w:val="20"/>
              </w:rPr>
              <w:t>15%</w:t>
            </w:r>
          </w:p>
        </w:tc>
      </w:tr>
      <w:tr w:rsidR="008A7824" w:rsidRPr="00BA3253" w:rsidTr="008A7824">
        <w:trPr>
          <w:trHeight w:val="342"/>
        </w:trPr>
        <w:tc>
          <w:tcPr>
            <w:tcW w:w="1644" w:type="dxa"/>
            <w:shd w:val="clear" w:color="000000" w:fill="D2EAF1"/>
            <w:vAlign w:val="bottom"/>
          </w:tcPr>
          <w:p w:rsidR="008A7824" w:rsidRPr="00B44AFF" w:rsidRDefault="008A7824" w:rsidP="008332AA">
            <w:pPr>
              <w:jc w:val="left"/>
              <w:rPr>
                <w:bCs/>
                <w:color w:val="000000"/>
                <w:sz w:val="20"/>
                <w:szCs w:val="20"/>
                <w:lang w:eastAsia="zh-CN"/>
              </w:rPr>
            </w:pPr>
            <w:r>
              <w:rPr>
                <w:bCs/>
                <w:color w:val="000000"/>
                <w:sz w:val="20"/>
                <w:szCs w:val="20"/>
                <w:lang w:eastAsia="zh-CN"/>
              </w:rPr>
              <w:t xml:space="preserve">FE: </w:t>
            </w:r>
            <w:r w:rsidRPr="00B44AFF">
              <w:rPr>
                <w:bCs/>
                <w:color w:val="000000"/>
                <w:sz w:val="20"/>
                <w:szCs w:val="20"/>
                <w:lang w:eastAsia="zh-CN"/>
              </w:rPr>
              <w:t>Penelec</w:t>
            </w:r>
          </w:p>
        </w:tc>
        <w:tc>
          <w:tcPr>
            <w:tcW w:w="1929" w:type="dxa"/>
            <w:shd w:val="clear" w:color="000000" w:fill="D2EAF1"/>
            <w:noWrap/>
            <w:vAlign w:val="center"/>
          </w:tcPr>
          <w:p w:rsidR="008A7824" w:rsidRPr="00F07E93" w:rsidRDefault="008A7824" w:rsidP="008332AA">
            <w:pPr>
              <w:jc w:val="center"/>
              <w:rPr>
                <w:color w:val="000000"/>
                <w:sz w:val="20"/>
                <w:szCs w:val="20"/>
                <w:highlight w:val="yellow"/>
              </w:rPr>
            </w:pPr>
            <w:r w:rsidRPr="005D06BC">
              <w:rPr>
                <w:color w:val="000000"/>
                <w:sz w:val="20"/>
                <w:szCs w:val="20"/>
              </w:rPr>
              <w:t>10.2</w:t>
            </w:r>
            <w:r>
              <w:rPr>
                <w:color w:val="000000"/>
                <w:sz w:val="20"/>
                <w:szCs w:val="20"/>
              </w:rPr>
              <w:t>31</w:t>
            </w:r>
            <w:r w:rsidRPr="005D06BC">
              <w:rPr>
                <w:color w:val="000000"/>
                <w:sz w:val="20"/>
                <w:szCs w:val="20"/>
              </w:rPr>
              <w:t>%</w:t>
            </w:r>
          </w:p>
        </w:tc>
        <w:tc>
          <w:tcPr>
            <w:tcW w:w="1930" w:type="dxa"/>
            <w:shd w:val="clear" w:color="000000" w:fill="D2EAF1"/>
            <w:vAlign w:val="center"/>
          </w:tcPr>
          <w:p w:rsidR="008A7824" w:rsidRPr="005D06BC" w:rsidRDefault="008A7824" w:rsidP="008332AA">
            <w:pPr>
              <w:jc w:val="center"/>
              <w:rPr>
                <w:color w:val="000000"/>
                <w:sz w:val="20"/>
                <w:szCs w:val="20"/>
              </w:rPr>
            </w:pPr>
            <w:r w:rsidRPr="00BA3253">
              <w:rPr>
                <w:color w:val="000000"/>
                <w:sz w:val="20"/>
                <w:szCs w:val="20"/>
              </w:rPr>
              <w:t>15%</w:t>
            </w:r>
          </w:p>
        </w:tc>
        <w:tc>
          <w:tcPr>
            <w:tcW w:w="1929" w:type="dxa"/>
            <w:shd w:val="clear" w:color="000000" w:fill="D2EAF1"/>
            <w:vAlign w:val="center"/>
          </w:tcPr>
          <w:p w:rsidR="008A7824" w:rsidRPr="005D06BC" w:rsidRDefault="008A7824" w:rsidP="008332AA">
            <w:pPr>
              <w:jc w:val="center"/>
              <w:rPr>
                <w:color w:val="000000"/>
                <w:sz w:val="20"/>
                <w:szCs w:val="20"/>
              </w:rPr>
            </w:pPr>
            <w:r w:rsidRPr="005D06BC">
              <w:rPr>
                <w:color w:val="000000"/>
                <w:sz w:val="20"/>
                <w:szCs w:val="20"/>
              </w:rPr>
              <w:t>15%</w:t>
            </w:r>
          </w:p>
        </w:tc>
        <w:tc>
          <w:tcPr>
            <w:tcW w:w="1930" w:type="dxa"/>
            <w:shd w:val="clear" w:color="000000" w:fill="D2EAF1"/>
            <w:noWrap/>
            <w:vAlign w:val="center"/>
          </w:tcPr>
          <w:p w:rsidR="008A7824" w:rsidRPr="005D06BC" w:rsidRDefault="008A7824" w:rsidP="008332AA">
            <w:pPr>
              <w:jc w:val="center"/>
              <w:rPr>
                <w:color w:val="000000"/>
                <w:sz w:val="20"/>
                <w:szCs w:val="20"/>
              </w:rPr>
            </w:pPr>
            <w:r w:rsidRPr="005D06BC">
              <w:rPr>
                <w:color w:val="000000"/>
                <w:sz w:val="20"/>
                <w:szCs w:val="20"/>
              </w:rPr>
              <w:t>15%</w:t>
            </w:r>
          </w:p>
        </w:tc>
      </w:tr>
      <w:tr w:rsidR="008A7824" w:rsidRPr="00BA3253" w:rsidTr="008A7824">
        <w:trPr>
          <w:trHeight w:val="342"/>
        </w:trPr>
        <w:tc>
          <w:tcPr>
            <w:tcW w:w="1644" w:type="dxa"/>
            <w:shd w:val="clear" w:color="auto" w:fill="auto"/>
            <w:vAlign w:val="bottom"/>
          </w:tcPr>
          <w:p w:rsidR="008A7824" w:rsidRPr="00B44AFF" w:rsidRDefault="008A7824" w:rsidP="008332AA">
            <w:pPr>
              <w:jc w:val="left"/>
              <w:rPr>
                <w:bCs/>
                <w:color w:val="000000"/>
                <w:sz w:val="20"/>
                <w:szCs w:val="20"/>
                <w:lang w:eastAsia="zh-CN"/>
              </w:rPr>
            </w:pPr>
            <w:r>
              <w:rPr>
                <w:bCs/>
                <w:color w:val="000000"/>
                <w:sz w:val="20"/>
                <w:szCs w:val="20"/>
                <w:lang w:eastAsia="zh-CN"/>
              </w:rPr>
              <w:t xml:space="preserve">FE: </w:t>
            </w:r>
            <w:r w:rsidRPr="00B44AFF">
              <w:rPr>
                <w:bCs/>
                <w:color w:val="000000"/>
                <w:sz w:val="20"/>
                <w:szCs w:val="20"/>
                <w:lang w:eastAsia="zh-CN"/>
              </w:rPr>
              <w:t>Penn Power</w:t>
            </w:r>
          </w:p>
        </w:tc>
        <w:tc>
          <w:tcPr>
            <w:tcW w:w="1929" w:type="dxa"/>
            <w:shd w:val="clear" w:color="auto" w:fill="auto"/>
            <w:noWrap/>
            <w:vAlign w:val="center"/>
          </w:tcPr>
          <w:p w:rsidR="008A7824" w:rsidRPr="00F07E93" w:rsidRDefault="008A7824" w:rsidP="008332AA">
            <w:pPr>
              <w:jc w:val="center"/>
              <w:rPr>
                <w:color w:val="000000"/>
                <w:sz w:val="20"/>
                <w:szCs w:val="20"/>
                <w:highlight w:val="yellow"/>
              </w:rPr>
            </w:pPr>
            <w:r w:rsidRPr="005D06BC">
              <w:rPr>
                <w:color w:val="000000"/>
                <w:sz w:val="20"/>
                <w:szCs w:val="20"/>
              </w:rPr>
              <w:t>10.6</w:t>
            </w:r>
            <w:r>
              <w:rPr>
                <w:color w:val="000000"/>
                <w:sz w:val="20"/>
                <w:szCs w:val="20"/>
              </w:rPr>
              <w:t>39</w:t>
            </w:r>
            <w:r w:rsidRPr="005D06BC">
              <w:rPr>
                <w:color w:val="000000"/>
                <w:sz w:val="20"/>
                <w:szCs w:val="20"/>
              </w:rPr>
              <w:t>%</w:t>
            </w:r>
          </w:p>
        </w:tc>
        <w:tc>
          <w:tcPr>
            <w:tcW w:w="1930" w:type="dxa"/>
            <w:vAlign w:val="center"/>
          </w:tcPr>
          <w:p w:rsidR="008A7824" w:rsidRPr="005D06BC" w:rsidRDefault="008A7824" w:rsidP="008332AA">
            <w:pPr>
              <w:jc w:val="center"/>
              <w:rPr>
                <w:color w:val="000000"/>
                <w:sz w:val="20"/>
                <w:szCs w:val="20"/>
              </w:rPr>
            </w:pPr>
            <w:r w:rsidRPr="00BA3253">
              <w:rPr>
                <w:color w:val="000000"/>
                <w:sz w:val="20"/>
                <w:szCs w:val="20"/>
              </w:rPr>
              <w:t>15%</w:t>
            </w:r>
          </w:p>
        </w:tc>
        <w:tc>
          <w:tcPr>
            <w:tcW w:w="1929" w:type="dxa"/>
            <w:vAlign w:val="center"/>
          </w:tcPr>
          <w:p w:rsidR="008A7824" w:rsidRPr="005D06BC" w:rsidRDefault="008A7824" w:rsidP="008332AA">
            <w:pPr>
              <w:jc w:val="center"/>
              <w:rPr>
                <w:color w:val="000000"/>
                <w:sz w:val="20"/>
                <w:szCs w:val="20"/>
              </w:rPr>
            </w:pPr>
            <w:r w:rsidRPr="005D06BC">
              <w:rPr>
                <w:color w:val="000000"/>
                <w:sz w:val="20"/>
                <w:szCs w:val="20"/>
              </w:rPr>
              <w:t>15%</w:t>
            </w:r>
          </w:p>
        </w:tc>
        <w:tc>
          <w:tcPr>
            <w:tcW w:w="1930" w:type="dxa"/>
            <w:shd w:val="clear" w:color="auto" w:fill="auto"/>
            <w:noWrap/>
            <w:vAlign w:val="center"/>
          </w:tcPr>
          <w:p w:rsidR="008A7824" w:rsidRPr="005D06BC" w:rsidRDefault="008A7824" w:rsidP="008332AA">
            <w:pPr>
              <w:jc w:val="center"/>
              <w:rPr>
                <w:color w:val="000000"/>
                <w:sz w:val="20"/>
                <w:szCs w:val="20"/>
              </w:rPr>
            </w:pPr>
            <w:r w:rsidRPr="005D06BC">
              <w:rPr>
                <w:color w:val="000000"/>
                <w:sz w:val="20"/>
                <w:szCs w:val="20"/>
              </w:rPr>
              <w:t>15%</w:t>
            </w:r>
          </w:p>
        </w:tc>
      </w:tr>
      <w:tr w:rsidR="008A7824" w:rsidRPr="00BA3253" w:rsidTr="008A7824">
        <w:trPr>
          <w:trHeight w:val="342"/>
        </w:trPr>
        <w:tc>
          <w:tcPr>
            <w:tcW w:w="1644" w:type="dxa"/>
            <w:shd w:val="clear" w:color="000000" w:fill="D2EAF1"/>
            <w:vAlign w:val="bottom"/>
          </w:tcPr>
          <w:p w:rsidR="008A7824" w:rsidRPr="00B44AFF" w:rsidRDefault="008A7824" w:rsidP="008332AA">
            <w:pPr>
              <w:jc w:val="left"/>
              <w:rPr>
                <w:bCs/>
                <w:color w:val="000000"/>
                <w:sz w:val="20"/>
                <w:szCs w:val="20"/>
                <w:lang w:eastAsia="zh-CN"/>
              </w:rPr>
            </w:pPr>
            <w:r>
              <w:rPr>
                <w:bCs/>
                <w:color w:val="000000"/>
                <w:sz w:val="20"/>
                <w:szCs w:val="20"/>
                <w:lang w:eastAsia="zh-CN"/>
              </w:rPr>
              <w:t xml:space="preserve">FE: </w:t>
            </w:r>
            <w:r w:rsidRPr="00B44AFF">
              <w:rPr>
                <w:bCs/>
                <w:color w:val="000000"/>
                <w:sz w:val="20"/>
                <w:szCs w:val="20"/>
                <w:lang w:eastAsia="zh-CN"/>
              </w:rPr>
              <w:t xml:space="preserve">West Penn </w:t>
            </w:r>
          </w:p>
        </w:tc>
        <w:tc>
          <w:tcPr>
            <w:tcW w:w="1929" w:type="dxa"/>
            <w:shd w:val="clear" w:color="000000" w:fill="D2EAF1"/>
            <w:noWrap/>
            <w:vAlign w:val="center"/>
          </w:tcPr>
          <w:p w:rsidR="008A7824" w:rsidRPr="00F07E93" w:rsidRDefault="008A7824" w:rsidP="008332AA">
            <w:pPr>
              <w:jc w:val="center"/>
              <w:rPr>
                <w:color w:val="000000"/>
                <w:sz w:val="20"/>
                <w:szCs w:val="20"/>
                <w:highlight w:val="yellow"/>
              </w:rPr>
            </w:pPr>
            <w:r w:rsidRPr="005D06BC">
              <w:rPr>
                <w:color w:val="000000"/>
                <w:sz w:val="20"/>
                <w:szCs w:val="20"/>
              </w:rPr>
              <w:t>8.</w:t>
            </w:r>
            <w:r>
              <w:rPr>
                <w:color w:val="000000"/>
                <w:sz w:val="20"/>
                <w:szCs w:val="20"/>
              </w:rPr>
              <w:t>794</w:t>
            </w:r>
            <w:r w:rsidRPr="005D06BC">
              <w:rPr>
                <w:color w:val="000000"/>
                <w:sz w:val="20"/>
                <w:szCs w:val="20"/>
              </w:rPr>
              <w:t>%</w:t>
            </w:r>
          </w:p>
        </w:tc>
        <w:tc>
          <w:tcPr>
            <w:tcW w:w="1930" w:type="dxa"/>
            <w:shd w:val="clear" w:color="000000" w:fill="D2EAF1"/>
            <w:vAlign w:val="center"/>
          </w:tcPr>
          <w:p w:rsidR="008A7824" w:rsidRPr="005D06BC" w:rsidRDefault="008A7824" w:rsidP="008332AA">
            <w:pPr>
              <w:jc w:val="center"/>
              <w:rPr>
                <w:color w:val="000000"/>
                <w:sz w:val="20"/>
                <w:szCs w:val="20"/>
              </w:rPr>
            </w:pPr>
            <w:r w:rsidRPr="00BA3253">
              <w:rPr>
                <w:color w:val="000000"/>
                <w:sz w:val="20"/>
                <w:szCs w:val="20"/>
              </w:rPr>
              <w:t>15%</w:t>
            </w:r>
          </w:p>
        </w:tc>
        <w:tc>
          <w:tcPr>
            <w:tcW w:w="1929" w:type="dxa"/>
            <w:shd w:val="clear" w:color="000000" w:fill="D2EAF1"/>
            <w:vAlign w:val="center"/>
          </w:tcPr>
          <w:p w:rsidR="008A7824" w:rsidRPr="005D06BC" w:rsidRDefault="008A7824" w:rsidP="008332AA">
            <w:pPr>
              <w:jc w:val="center"/>
              <w:rPr>
                <w:color w:val="000000"/>
                <w:sz w:val="20"/>
                <w:szCs w:val="20"/>
              </w:rPr>
            </w:pPr>
            <w:r w:rsidRPr="005D06BC">
              <w:rPr>
                <w:color w:val="000000"/>
                <w:sz w:val="20"/>
                <w:szCs w:val="20"/>
              </w:rPr>
              <w:t>15%</w:t>
            </w:r>
          </w:p>
        </w:tc>
        <w:tc>
          <w:tcPr>
            <w:tcW w:w="1930" w:type="dxa"/>
            <w:shd w:val="clear" w:color="000000" w:fill="D2EAF1"/>
            <w:noWrap/>
            <w:vAlign w:val="center"/>
          </w:tcPr>
          <w:p w:rsidR="008A7824" w:rsidRPr="005D06BC" w:rsidRDefault="008A7824" w:rsidP="008332AA">
            <w:pPr>
              <w:jc w:val="center"/>
              <w:rPr>
                <w:color w:val="000000"/>
                <w:sz w:val="20"/>
                <w:szCs w:val="20"/>
              </w:rPr>
            </w:pPr>
            <w:r w:rsidRPr="005D06BC">
              <w:rPr>
                <w:color w:val="000000"/>
                <w:sz w:val="20"/>
                <w:szCs w:val="20"/>
              </w:rPr>
              <w:t>15%</w:t>
            </w:r>
          </w:p>
        </w:tc>
      </w:tr>
      <w:tr w:rsidR="008A7824" w:rsidRPr="00BA3253" w:rsidTr="008A7824">
        <w:trPr>
          <w:trHeight w:val="342"/>
        </w:trPr>
        <w:tc>
          <w:tcPr>
            <w:tcW w:w="1644" w:type="dxa"/>
            <w:shd w:val="clear" w:color="auto" w:fill="auto"/>
            <w:vAlign w:val="center"/>
          </w:tcPr>
          <w:p w:rsidR="008A7824" w:rsidRPr="00BA3253" w:rsidRDefault="008A7824" w:rsidP="008332AA">
            <w:pPr>
              <w:jc w:val="left"/>
              <w:rPr>
                <w:color w:val="000000"/>
                <w:sz w:val="20"/>
                <w:szCs w:val="20"/>
              </w:rPr>
            </w:pPr>
            <w:r w:rsidRPr="00BA3253">
              <w:rPr>
                <w:color w:val="000000"/>
                <w:sz w:val="20"/>
                <w:szCs w:val="20"/>
              </w:rPr>
              <w:t>PECO</w:t>
            </w:r>
          </w:p>
        </w:tc>
        <w:tc>
          <w:tcPr>
            <w:tcW w:w="1929" w:type="dxa"/>
            <w:shd w:val="clear" w:color="auto" w:fill="auto"/>
            <w:noWrap/>
            <w:vAlign w:val="center"/>
          </w:tcPr>
          <w:p w:rsidR="008A7824" w:rsidRPr="00F07E93" w:rsidRDefault="008A7824" w:rsidP="008332AA">
            <w:pPr>
              <w:jc w:val="center"/>
              <w:rPr>
                <w:color w:val="000000"/>
                <w:sz w:val="20"/>
                <w:szCs w:val="20"/>
                <w:highlight w:val="yellow"/>
              </w:rPr>
            </w:pPr>
            <w:r w:rsidRPr="005D06BC">
              <w:rPr>
                <w:color w:val="000000"/>
                <w:sz w:val="20"/>
                <w:szCs w:val="20"/>
              </w:rPr>
              <w:t>8.</w:t>
            </w:r>
            <w:r>
              <w:rPr>
                <w:color w:val="000000"/>
                <w:sz w:val="20"/>
                <w:szCs w:val="20"/>
              </w:rPr>
              <w:t>799</w:t>
            </w:r>
            <w:r w:rsidRPr="005D06BC">
              <w:rPr>
                <w:color w:val="000000"/>
                <w:sz w:val="20"/>
                <w:szCs w:val="20"/>
              </w:rPr>
              <w:t>%</w:t>
            </w:r>
          </w:p>
        </w:tc>
        <w:tc>
          <w:tcPr>
            <w:tcW w:w="1930" w:type="dxa"/>
            <w:vAlign w:val="center"/>
          </w:tcPr>
          <w:p w:rsidR="008A7824" w:rsidRDefault="008A7824" w:rsidP="008332AA">
            <w:pPr>
              <w:jc w:val="center"/>
              <w:rPr>
                <w:color w:val="000000"/>
                <w:sz w:val="20"/>
                <w:szCs w:val="20"/>
              </w:rPr>
            </w:pPr>
            <w:r w:rsidRPr="00BA3253">
              <w:rPr>
                <w:color w:val="000000"/>
                <w:sz w:val="20"/>
                <w:szCs w:val="20"/>
              </w:rPr>
              <w:t>16%</w:t>
            </w:r>
          </w:p>
        </w:tc>
        <w:tc>
          <w:tcPr>
            <w:tcW w:w="1929" w:type="dxa"/>
            <w:vAlign w:val="center"/>
          </w:tcPr>
          <w:p w:rsidR="008A7824" w:rsidRDefault="008A7824" w:rsidP="008332AA">
            <w:pPr>
              <w:jc w:val="center"/>
              <w:rPr>
                <w:color w:val="000000"/>
                <w:sz w:val="20"/>
                <w:szCs w:val="20"/>
              </w:rPr>
            </w:pPr>
            <w:r>
              <w:rPr>
                <w:color w:val="000000"/>
                <w:sz w:val="20"/>
                <w:szCs w:val="20"/>
              </w:rPr>
              <w:t>16</w:t>
            </w:r>
            <w:r w:rsidRPr="005D06BC">
              <w:rPr>
                <w:color w:val="000000"/>
                <w:sz w:val="20"/>
                <w:szCs w:val="20"/>
              </w:rPr>
              <w:t>%</w:t>
            </w:r>
          </w:p>
        </w:tc>
        <w:tc>
          <w:tcPr>
            <w:tcW w:w="1930" w:type="dxa"/>
            <w:shd w:val="clear" w:color="auto" w:fill="auto"/>
            <w:noWrap/>
            <w:vAlign w:val="center"/>
          </w:tcPr>
          <w:p w:rsidR="008A7824" w:rsidRPr="00F07E93" w:rsidRDefault="008A7824" w:rsidP="008332AA">
            <w:pPr>
              <w:jc w:val="center"/>
              <w:rPr>
                <w:color w:val="000000"/>
                <w:sz w:val="20"/>
                <w:szCs w:val="20"/>
                <w:highlight w:val="yellow"/>
              </w:rPr>
            </w:pPr>
            <w:r>
              <w:rPr>
                <w:color w:val="000000"/>
                <w:sz w:val="20"/>
                <w:szCs w:val="20"/>
              </w:rPr>
              <w:t>17</w:t>
            </w:r>
            <w:r w:rsidRPr="005D06BC">
              <w:rPr>
                <w:color w:val="000000"/>
                <w:sz w:val="20"/>
                <w:szCs w:val="20"/>
              </w:rPr>
              <w:t>%</w:t>
            </w:r>
          </w:p>
        </w:tc>
      </w:tr>
      <w:tr w:rsidR="008A7824" w:rsidRPr="00BA3253" w:rsidTr="008A7824">
        <w:trPr>
          <w:trHeight w:val="342"/>
        </w:trPr>
        <w:tc>
          <w:tcPr>
            <w:tcW w:w="1644" w:type="dxa"/>
            <w:shd w:val="clear" w:color="000000" w:fill="D2EAF1"/>
            <w:vAlign w:val="center"/>
          </w:tcPr>
          <w:p w:rsidR="008A7824" w:rsidRPr="00BA3253" w:rsidRDefault="008A7824" w:rsidP="008332AA">
            <w:pPr>
              <w:jc w:val="left"/>
              <w:rPr>
                <w:color w:val="000000"/>
                <w:sz w:val="20"/>
                <w:szCs w:val="20"/>
              </w:rPr>
            </w:pPr>
            <w:r w:rsidRPr="00BA3253">
              <w:rPr>
                <w:color w:val="000000"/>
                <w:sz w:val="20"/>
                <w:szCs w:val="20"/>
              </w:rPr>
              <w:lastRenderedPageBreak/>
              <w:t>PPL</w:t>
            </w:r>
          </w:p>
        </w:tc>
        <w:tc>
          <w:tcPr>
            <w:tcW w:w="1929" w:type="dxa"/>
            <w:shd w:val="clear" w:color="000000" w:fill="D2EAF1"/>
            <w:noWrap/>
            <w:vAlign w:val="center"/>
          </w:tcPr>
          <w:p w:rsidR="008A7824" w:rsidRPr="00F07E93" w:rsidRDefault="008A7824" w:rsidP="008332AA">
            <w:pPr>
              <w:jc w:val="center"/>
              <w:rPr>
                <w:color w:val="000000"/>
                <w:sz w:val="20"/>
                <w:szCs w:val="20"/>
                <w:highlight w:val="yellow"/>
              </w:rPr>
            </w:pPr>
            <w:r>
              <w:rPr>
                <w:color w:val="000000"/>
                <w:sz w:val="20"/>
                <w:szCs w:val="20"/>
              </w:rPr>
              <w:t>9.950</w:t>
            </w:r>
            <w:r w:rsidRPr="005D06BC">
              <w:rPr>
                <w:color w:val="000000"/>
                <w:sz w:val="20"/>
                <w:szCs w:val="20"/>
              </w:rPr>
              <w:t>%</w:t>
            </w:r>
          </w:p>
        </w:tc>
        <w:tc>
          <w:tcPr>
            <w:tcW w:w="1930" w:type="dxa"/>
            <w:shd w:val="clear" w:color="000000" w:fill="D2EAF1"/>
            <w:vAlign w:val="center"/>
          </w:tcPr>
          <w:p w:rsidR="008A7824" w:rsidRDefault="008A7824" w:rsidP="008332AA">
            <w:pPr>
              <w:jc w:val="center"/>
              <w:rPr>
                <w:color w:val="000000"/>
                <w:sz w:val="20"/>
                <w:szCs w:val="20"/>
              </w:rPr>
            </w:pPr>
            <w:r>
              <w:rPr>
                <w:color w:val="000000"/>
                <w:sz w:val="20"/>
                <w:szCs w:val="20"/>
              </w:rPr>
              <w:t>30</w:t>
            </w:r>
            <w:r w:rsidRPr="00BA3253">
              <w:rPr>
                <w:color w:val="000000"/>
                <w:sz w:val="20"/>
                <w:szCs w:val="20"/>
              </w:rPr>
              <w:t>%</w:t>
            </w:r>
            <w:r>
              <w:rPr>
                <w:rStyle w:val="FootnoteReference"/>
                <w:rFonts w:eastAsiaTheme="minorHAnsi"/>
                <w:color w:val="000000"/>
                <w:sz w:val="20"/>
                <w:szCs w:val="20"/>
              </w:rPr>
              <w:footnoteReference w:id="15"/>
            </w:r>
          </w:p>
        </w:tc>
        <w:tc>
          <w:tcPr>
            <w:tcW w:w="1929" w:type="dxa"/>
            <w:shd w:val="clear" w:color="000000" w:fill="D2EAF1"/>
            <w:vAlign w:val="center"/>
          </w:tcPr>
          <w:p w:rsidR="008A7824" w:rsidRDefault="008A7824" w:rsidP="008332AA">
            <w:pPr>
              <w:jc w:val="center"/>
              <w:rPr>
                <w:color w:val="000000"/>
                <w:sz w:val="20"/>
                <w:szCs w:val="20"/>
              </w:rPr>
            </w:pPr>
            <w:r>
              <w:rPr>
                <w:color w:val="000000"/>
                <w:sz w:val="20"/>
                <w:szCs w:val="20"/>
              </w:rPr>
              <w:t>45</w:t>
            </w:r>
            <w:r w:rsidRPr="005D06BC">
              <w:rPr>
                <w:color w:val="000000"/>
                <w:sz w:val="20"/>
                <w:szCs w:val="20"/>
              </w:rPr>
              <w:t>%</w:t>
            </w:r>
            <w:r>
              <w:rPr>
                <w:rStyle w:val="FootnoteReference"/>
                <w:rFonts w:eastAsiaTheme="minorHAnsi"/>
                <w:color w:val="000000"/>
                <w:sz w:val="20"/>
                <w:szCs w:val="20"/>
              </w:rPr>
              <w:footnoteReference w:id="16"/>
            </w:r>
          </w:p>
        </w:tc>
        <w:tc>
          <w:tcPr>
            <w:tcW w:w="1930" w:type="dxa"/>
            <w:shd w:val="clear" w:color="000000" w:fill="D2EAF1"/>
            <w:noWrap/>
            <w:vAlign w:val="center"/>
          </w:tcPr>
          <w:p w:rsidR="008A7824" w:rsidRPr="00F07E93" w:rsidRDefault="008A7824" w:rsidP="008332AA">
            <w:pPr>
              <w:jc w:val="center"/>
              <w:rPr>
                <w:color w:val="000000"/>
                <w:sz w:val="20"/>
                <w:szCs w:val="20"/>
                <w:highlight w:val="yellow"/>
              </w:rPr>
            </w:pPr>
            <w:r>
              <w:rPr>
                <w:color w:val="000000"/>
                <w:sz w:val="20"/>
                <w:szCs w:val="20"/>
              </w:rPr>
              <w:t>46</w:t>
            </w:r>
            <w:r w:rsidRPr="005D06BC">
              <w:rPr>
                <w:color w:val="000000"/>
                <w:sz w:val="20"/>
                <w:szCs w:val="20"/>
              </w:rPr>
              <w:t>%</w:t>
            </w:r>
          </w:p>
        </w:tc>
      </w:tr>
    </w:tbl>
    <w:p w:rsidR="008A7824" w:rsidRDefault="008A7824" w:rsidP="00FB4D74"/>
    <w:p w:rsidR="00523EDC" w:rsidRDefault="00523EDC" w:rsidP="00472B27">
      <w:pPr>
        <w:pStyle w:val="Heading2"/>
      </w:pPr>
      <w:bookmarkStart w:id="82" w:name="_Toc472472089"/>
      <w:bookmarkStart w:id="83" w:name="_Toc476913901"/>
      <w:r w:rsidRPr="00523EDC">
        <w:t>Res</w:t>
      </w:r>
      <w:r>
        <w:t>ults f</w:t>
      </w:r>
      <w:r w:rsidRPr="00523EDC">
        <w:t>or Program Year 7 (2015</w:t>
      </w:r>
      <w:r w:rsidR="00FE0981">
        <w:t>–</w:t>
      </w:r>
      <w:r w:rsidRPr="00523EDC">
        <w:t>2016)</w:t>
      </w:r>
      <w:bookmarkEnd w:id="82"/>
      <w:bookmarkEnd w:id="83"/>
    </w:p>
    <w:p w:rsidR="00567F31" w:rsidRDefault="00567F31" w:rsidP="00567F31">
      <w:r w:rsidRPr="00567F31">
        <w:t>This section summarizes the energy savings reported by the EDCs for PY</w:t>
      </w:r>
      <w:r>
        <w:t>7</w:t>
      </w:r>
      <w:r w:rsidRPr="00567F31">
        <w:t>.</w:t>
      </w:r>
      <w:r>
        <w:t xml:space="preserve"> Savings are provided by EDC and by sector. A detailed review of low-income program performance is also provided.</w:t>
      </w:r>
    </w:p>
    <w:p w:rsidR="00567F31" w:rsidRPr="00567F31" w:rsidRDefault="00567F31" w:rsidP="00567F31"/>
    <w:p w:rsidR="00AC2B6F" w:rsidRDefault="00523EDC" w:rsidP="00AC2B6F">
      <w:pPr>
        <w:pStyle w:val="Heading3"/>
      </w:pPr>
      <w:bookmarkStart w:id="84" w:name="_Toc472472090"/>
      <w:bookmarkStart w:id="85" w:name="_Toc476913902"/>
      <w:r>
        <w:t>Summary o</w:t>
      </w:r>
      <w:r w:rsidRPr="00523EDC">
        <w:t xml:space="preserve">f </w:t>
      </w:r>
      <w:r>
        <w:t>Energy Savings Statewide and by EDC</w:t>
      </w:r>
      <w:bookmarkEnd w:id="84"/>
      <w:bookmarkEnd w:id="85"/>
    </w:p>
    <w:p w:rsidR="00E85C2D" w:rsidRDefault="00034417" w:rsidP="00E85C2D">
      <w:r>
        <w:fldChar w:fldCharType="begin"/>
      </w:r>
      <w:r>
        <w:instrText xml:space="preserve"> REF _Ref472270932 \h </w:instrText>
      </w:r>
      <w:r>
        <w:fldChar w:fldCharType="separate"/>
      </w:r>
      <w:r w:rsidR="008A7824">
        <w:t xml:space="preserve">Table </w:t>
      </w:r>
      <w:r w:rsidR="008A7824">
        <w:rPr>
          <w:noProof/>
        </w:rPr>
        <w:t>2</w:t>
      </w:r>
      <w:r w:rsidR="008A7824">
        <w:noBreakHyphen/>
      </w:r>
      <w:r w:rsidR="008A7824">
        <w:rPr>
          <w:noProof/>
        </w:rPr>
        <w:t>7</w:t>
      </w:r>
      <w:r>
        <w:fldChar w:fldCharType="end"/>
      </w:r>
      <w:r>
        <w:t xml:space="preserve"> </w:t>
      </w:r>
      <w:r w:rsidR="00E85C2D" w:rsidRPr="00E85C2D">
        <w:t>summarizes the</w:t>
      </w:r>
      <w:r>
        <w:t xml:space="preserve"> reported and</w:t>
      </w:r>
      <w:r w:rsidR="00E85C2D" w:rsidRPr="00E85C2D">
        <w:t xml:space="preserve"> </w:t>
      </w:r>
      <w:r>
        <w:t>verified energy savings in PY7 for each EDC.</w:t>
      </w:r>
    </w:p>
    <w:p w:rsidR="00E85C2D" w:rsidRDefault="00E85C2D" w:rsidP="00E85C2D"/>
    <w:p w:rsidR="00E85C2D" w:rsidRDefault="00E85C2D" w:rsidP="00E85C2D">
      <w:pPr>
        <w:pStyle w:val="Caption"/>
      </w:pPr>
      <w:bookmarkStart w:id="86" w:name="_Ref472270932"/>
      <w:bookmarkStart w:id="87" w:name="_Toc472472161"/>
      <w:bookmarkStart w:id="88" w:name="_Toc476913973"/>
      <w:r>
        <w:t xml:space="preserve">Table </w:t>
      </w:r>
      <w:fldSimple w:instr=" STYLEREF 1 \s ">
        <w:r w:rsidR="008A7824">
          <w:rPr>
            <w:noProof/>
          </w:rPr>
          <w:t>2</w:t>
        </w:r>
      </w:fldSimple>
      <w:r w:rsidR="00E6042C">
        <w:noBreakHyphen/>
      </w:r>
      <w:fldSimple w:instr=" SEQ Table \* ARABIC \s 1 ">
        <w:r w:rsidR="008A7824">
          <w:rPr>
            <w:noProof/>
          </w:rPr>
          <w:t>7</w:t>
        </w:r>
      </w:fldSimple>
      <w:bookmarkEnd w:id="86"/>
      <w:r w:rsidR="007B7BD7">
        <w:t xml:space="preserve">: </w:t>
      </w:r>
      <w:r>
        <w:t>Summary of PY7</w:t>
      </w:r>
      <w:r w:rsidR="00FE0981">
        <w:t xml:space="preserve"> Reported and</w:t>
      </w:r>
      <w:r>
        <w:t xml:space="preserve"> Verified Energy Savings by EDC</w:t>
      </w:r>
      <w:bookmarkEnd w:id="87"/>
      <w:bookmarkEnd w:id="88"/>
    </w:p>
    <w:tbl>
      <w:tblPr>
        <w:tblW w:w="9350" w:type="dxa"/>
        <w:tblLook w:val="04A0" w:firstRow="1" w:lastRow="0" w:firstColumn="1" w:lastColumn="0" w:noHBand="0" w:noVBand="1"/>
      </w:tblPr>
      <w:tblGrid>
        <w:gridCol w:w="2337"/>
        <w:gridCol w:w="2338"/>
        <w:gridCol w:w="2337"/>
        <w:gridCol w:w="2338"/>
      </w:tblGrid>
      <w:tr w:rsidR="00A874AC" w:rsidRPr="00A6625F" w:rsidTr="000123A3">
        <w:trPr>
          <w:trHeight w:val="421"/>
        </w:trPr>
        <w:tc>
          <w:tcPr>
            <w:tcW w:w="2337" w:type="dxa"/>
            <w:tcBorders>
              <w:top w:val="single" w:sz="8" w:space="0" w:color="448A99"/>
              <w:left w:val="single" w:sz="8" w:space="0" w:color="448A99"/>
              <w:bottom w:val="single" w:sz="8" w:space="0" w:color="448A99"/>
              <w:right w:val="nil"/>
            </w:tcBorders>
            <w:shd w:val="clear" w:color="000000" w:fill="448A99"/>
            <w:vAlign w:val="bottom"/>
            <w:hideMark/>
          </w:tcPr>
          <w:p w:rsidR="00A6625F" w:rsidRPr="00A6625F" w:rsidRDefault="00A6625F" w:rsidP="000123A3">
            <w:pPr>
              <w:rPr>
                <w:b/>
                <w:bCs/>
                <w:color w:val="FFFFFF"/>
                <w:sz w:val="20"/>
                <w:szCs w:val="20"/>
              </w:rPr>
            </w:pPr>
            <w:r w:rsidRPr="00A6625F">
              <w:rPr>
                <w:b/>
                <w:bCs/>
                <w:color w:val="FFFFFF"/>
                <w:sz w:val="20"/>
                <w:szCs w:val="20"/>
              </w:rPr>
              <w:t>EDC</w:t>
            </w:r>
          </w:p>
        </w:tc>
        <w:tc>
          <w:tcPr>
            <w:tcW w:w="2338"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A6625F" w:rsidRPr="00A6625F" w:rsidRDefault="00A6625F" w:rsidP="000123A3">
            <w:pPr>
              <w:jc w:val="center"/>
              <w:rPr>
                <w:b/>
                <w:bCs/>
                <w:color w:val="FFFFFF"/>
                <w:sz w:val="20"/>
                <w:szCs w:val="20"/>
              </w:rPr>
            </w:pPr>
            <w:r w:rsidRPr="00A6625F">
              <w:rPr>
                <w:b/>
                <w:bCs/>
                <w:color w:val="FFFFFF"/>
                <w:sz w:val="20"/>
                <w:szCs w:val="20"/>
              </w:rPr>
              <w:t>PY7 Reported Energy Savings (MWh/yr)</w:t>
            </w:r>
          </w:p>
        </w:tc>
        <w:tc>
          <w:tcPr>
            <w:tcW w:w="2337" w:type="dxa"/>
            <w:tcBorders>
              <w:top w:val="single" w:sz="8" w:space="0" w:color="448A99"/>
              <w:left w:val="nil"/>
              <w:bottom w:val="single" w:sz="8" w:space="0" w:color="448A99"/>
              <w:right w:val="single" w:sz="8" w:space="0" w:color="448A99"/>
            </w:tcBorders>
            <w:shd w:val="clear" w:color="000000" w:fill="448A99"/>
            <w:vAlign w:val="bottom"/>
            <w:hideMark/>
          </w:tcPr>
          <w:p w:rsidR="00A6625F" w:rsidRPr="00A6625F" w:rsidRDefault="00A6625F" w:rsidP="000123A3">
            <w:pPr>
              <w:jc w:val="center"/>
              <w:rPr>
                <w:b/>
                <w:bCs/>
                <w:color w:val="FFFFFF"/>
                <w:sz w:val="20"/>
                <w:szCs w:val="20"/>
              </w:rPr>
            </w:pPr>
            <w:r w:rsidRPr="00A6625F">
              <w:rPr>
                <w:b/>
                <w:bCs/>
                <w:color w:val="FFFFFF"/>
                <w:sz w:val="20"/>
                <w:szCs w:val="20"/>
              </w:rPr>
              <w:t>PY7 Verified Energy Savings (MWh/yr)</w:t>
            </w:r>
          </w:p>
        </w:tc>
        <w:tc>
          <w:tcPr>
            <w:tcW w:w="2338" w:type="dxa"/>
            <w:tcBorders>
              <w:top w:val="single" w:sz="8" w:space="0" w:color="448A99"/>
              <w:left w:val="nil"/>
              <w:bottom w:val="single" w:sz="8" w:space="0" w:color="448A99"/>
              <w:right w:val="single" w:sz="8" w:space="0" w:color="448A99"/>
            </w:tcBorders>
            <w:shd w:val="clear" w:color="000000" w:fill="448A99"/>
            <w:vAlign w:val="bottom"/>
            <w:hideMark/>
          </w:tcPr>
          <w:p w:rsidR="00A6625F" w:rsidRPr="00A6625F" w:rsidRDefault="00A6625F" w:rsidP="000123A3">
            <w:pPr>
              <w:jc w:val="center"/>
              <w:rPr>
                <w:b/>
                <w:bCs/>
                <w:color w:val="FFFFFF"/>
                <w:sz w:val="20"/>
                <w:szCs w:val="20"/>
              </w:rPr>
            </w:pPr>
            <w:r w:rsidRPr="00A6625F">
              <w:rPr>
                <w:b/>
                <w:bCs/>
                <w:color w:val="FFFFFF"/>
                <w:sz w:val="20"/>
                <w:szCs w:val="20"/>
              </w:rPr>
              <w:t>Realization Rate</w:t>
            </w:r>
          </w:p>
        </w:tc>
      </w:tr>
      <w:tr w:rsidR="00A874AC" w:rsidRPr="00A6625F" w:rsidTr="000123A3">
        <w:trPr>
          <w:trHeight w:val="315"/>
        </w:trPr>
        <w:tc>
          <w:tcPr>
            <w:tcW w:w="2337" w:type="dxa"/>
            <w:tcBorders>
              <w:top w:val="nil"/>
              <w:left w:val="single" w:sz="8" w:space="0" w:color="448A99"/>
              <w:bottom w:val="single" w:sz="8" w:space="0" w:color="448A99"/>
              <w:right w:val="nil"/>
            </w:tcBorders>
            <w:shd w:val="clear" w:color="000000" w:fill="D2EAF1"/>
            <w:vAlign w:val="center"/>
            <w:hideMark/>
          </w:tcPr>
          <w:p w:rsidR="00A6625F" w:rsidRPr="00A6625F" w:rsidRDefault="00A6625F" w:rsidP="00A6625F">
            <w:pPr>
              <w:jc w:val="left"/>
              <w:rPr>
                <w:color w:val="000000"/>
                <w:sz w:val="20"/>
                <w:szCs w:val="20"/>
              </w:rPr>
            </w:pPr>
            <w:r w:rsidRPr="00A6625F">
              <w:rPr>
                <w:color w:val="000000"/>
                <w:sz w:val="20"/>
                <w:szCs w:val="20"/>
              </w:rPr>
              <w:t>Duquesne</w:t>
            </w:r>
          </w:p>
        </w:tc>
        <w:tc>
          <w:tcPr>
            <w:tcW w:w="2338"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144,200</w:t>
            </w:r>
          </w:p>
        </w:tc>
        <w:tc>
          <w:tcPr>
            <w:tcW w:w="2337"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142,187</w:t>
            </w:r>
          </w:p>
        </w:tc>
        <w:tc>
          <w:tcPr>
            <w:tcW w:w="2338"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99%</w:t>
            </w:r>
          </w:p>
        </w:tc>
      </w:tr>
      <w:tr w:rsidR="00A874AC" w:rsidRPr="00A6625F" w:rsidTr="000123A3">
        <w:trPr>
          <w:trHeight w:val="315"/>
        </w:trPr>
        <w:tc>
          <w:tcPr>
            <w:tcW w:w="2337" w:type="dxa"/>
            <w:tcBorders>
              <w:top w:val="nil"/>
              <w:left w:val="single" w:sz="8" w:space="0" w:color="448A99"/>
              <w:bottom w:val="single" w:sz="8" w:space="0" w:color="448A99"/>
              <w:right w:val="nil"/>
            </w:tcBorders>
            <w:shd w:val="clear" w:color="000000" w:fill="FFFFFF"/>
            <w:vAlign w:val="center"/>
            <w:hideMark/>
          </w:tcPr>
          <w:p w:rsidR="00A6625F" w:rsidRPr="00A6625F" w:rsidRDefault="00A6625F" w:rsidP="00A6625F">
            <w:pPr>
              <w:jc w:val="left"/>
              <w:rPr>
                <w:color w:val="000000"/>
                <w:sz w:val="20"/>
                <w:szCs w:val="20"/>
              </w:rPr>
            </w:pPr>
            <w:r w:rsidRPr="00A6625F">
              <w:rPr>
                <w:color w:val="000000"/>
                <w:sz w:val="20"/>
                <w:szCs w:val="20"/>
              </w:rPr>
              <w:t>FE: Met-Ed</w:t>
            </w:r>
          </w:p>
        </w:tc>
        <w:tc>
          <w:tcPr>
            <w:tcW w:w="2338"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170,583</w:t>
            </w:r>
          </w:p>
        </w:tc>
        <w:tc>
          <w:tcPr>
            <w:tcW w:w="2337"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171,420</w:t>
            </w:r>
          </w:p>
        </w:tc>
        <w:tc>
          <w:tcPr>
            <w:tcW w:w="2338"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100%</w:t>
            </w:r>
          </w:p>
        </w:tc>
      </w:tr>
      <w:tr w:rsidR="00A874AC" w:rsidRPr="00A6625F" w:rsidTr="000123A3">
        <w:trPr>
          <w:trHeight w:val="315"/>
        </w:trPr>
        <w:tc>
          <w:tcPr>
            <w:tcW w:w="2337" w:type="dxa"/>
            <w:tcBorders>
              <w:top w:val="nil"/>
              <w:left w:val="single" w:sz="8" w:space="0" w:color="448A99"/>
              <w:bottom w:val="single" w:sz="8" w:space="0" w:color="448A99"/>
              <w:right w:val="nil"/>
            </w:tcBorders>
            <w:shd w:val="clear" w:color="000000" w:fill="D2EAF1"/>
            <w:vAlign w:val="center"/>
            <w:hideMark/>
          </w:tcPr>
          <w:p w:rsidR="00A6625F" w:rsidRPr="00A6625F" w:rsidRDefault="00A6625F" w:rsidP="00A6625F">
            <w:pPr>
              <w:jc w:val="left"/>
              <w:rPr>
                <w:color w:val="000000"/>
                <w:sz w:val="20"/>
                <w:szCs w:val="20"/>
              </w:rPr>
            </w:pPr>
            <w:r w:rsidRPr="00A6625F">
              <w:rPr>
                <w:color w:val="000000"/>
                <w:sz w:val="20"/>
                <w:szCs w:val="20"/>
              </w:rPr>
              <w:t>FE: Penelec</w:t>
            </w:r>
          </w:p>
        </w:tc>
        <w:tc>
          <w:tcPr>
            <w:tcW w:w="2338"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160,046</w:t>
            </w:r>
          </w:p>
        </w:tc>
        <w:tc>
          <w:tcPr>
            <w:tcW w:w="2337"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164,398</w:t>
            </w:r>
          </w:p>
        </w:tc>
        <w:tc>
          <w:tcPr>
            <w:tcW w:w="2338"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103%</w:t>
            </w:r>
          </w:p>
        </w:tc>
      </w:tr>
      <w:tr w:rsidR="00A874AC" w:rsidRPr="00A6625F" w:rsidTr="000123A3">
        <w:trPr>
          <w:trHeight w:val="315"/>
        </w:trPr>
        <w:tc>
          <w:tcPr>
            <w:tcW w:w="2337" w:type="dxa"/>
            <w:tcBorders>
              <w:top w:val="nil"/>
              <w:left w:val="single" w:sz="8" w:space="0" w:color="448A99"/>
              <w:bottom w:val="single" w:sz="8" w:space="0" w:color="448A99"/>
              <w:right w:val="nil"/>
            </w:tcBorders>
            <w:shd w:val="clear" w:color="000000" w:fill="FFFFFF"/>
            <w:vAlign w:val="center"/>
            <w:hideMark/>
          </w:tcPr>
          <w:p w:rsidR="00A6625F" w:rsidRPr="00A6625F" w:rsidRDefault="00A6625F" w:rsidP="00A6625F">
            <w:pPr>
              <w:jc w:val="left"/>
              <w:rPr>
                <w:color w:val="000000"/>
                <w:sz w:val="20"/>
                <w:szCs w:val="20"/>
              </w:rPr>
            </w:pPr>
            <w:r w:rsidRPr="00A6625F">
              <w:rPr>
                <w:color w:val="000000"/>
                <w:sz w:val="20"/>
                <w:szCs w:val="20"/>
              </w:rPr>
              <w:t>FE: Penn Power</w:t>
            </w:r>
          </w:p>
        </w:tc>
        <w:tc>
          <w:tcPr>
            <w:tcW w:w="2338"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28,653</w:t>
            </w:r>
          </w:p>
        </w:tc>
        <w:tc>
          <w:tcPr>
            <w:tcW w:w="2337"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27,280</w:t>
            </w:r>
          </w:p>
        </w:tc>
        <w:tc>
          <w:tcPr>
            <w:tcW w:w="2338"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95%</w:t>
            </w:r>
          </w:p>
        </w:tc>
      </w:tr>
      <w:tr w:rsidR="00A874AC" w:rsidRPr="00A6625F" w:rsidTr="000123A3">
        <w:trPr>
          <w:trHeight w:val="315"/>
        </w:trPr>
        <w:tc>
          <w:tcPr>
            <w:tcW w:w="2337" w:type="dxa"/>
            <w:tcBorders>
              <w:top w:val="nil"/>
              <w:left w:val="single" w:sz="8" w:space="0" w:color="448A99"/>
              <w:bottom w:val="single" w:sz="8" w:space="0" w:color="448A99"/>
              <w:right w:val="nil"/>
            </w:tcBorders>
            <w:shd w:val="clear" w:color="000000" w:fill="D2EAF1"/>
            <w:vAlign w:val="center"/>
            <w:hideMark/>
          </w:tcPr>
          <w:p w:rsidR="00A6625F" w:rsidRPr="00A6625F" w:rsidRDefault="00A6625F" w:rsidP="00A6625F">
            <w:pPr>
              <w:jc w:val="left"/>
              <w:rPr>
                <w:color w:val="000000"/>
                <w:sz w:val="20"/>
                <w:szCs w:val="20"/>
              </w:rPr>
            </w:pPr>
            <w:r w:rsidRPr="00A6625F">
              <w:rPr>
                <w:color w:val="000000"/>
                <w:sz w:val="20"/>
                <w:szCs w:val="20"/>
              </w:rPr>
              <w:t>FE: West Penn</w:t>
            </w:r>
          </w:p>
        </w:tc>
        <w:tc>
          <w:tcPr>
            <w:tcW w:w="2338"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161,266</w:t>
            </w:r>
          </w:p>
        </w:tc>
        <w:tc>
          <w:tcPr>
            <w:tcW w:w="2337"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158,760</w:t>
            </w:r>
          </w:p>
        </w:tc>
        <w:tc>
          <w:tcPr>
            <w:tcW w:w="2338"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98%</w:t>
            </w:r>
          </w:p>
        </w:tc>
      </w:tr>
      <w:tr w:rsidR="00A874AC" w:rsidRPr="00A6625F" w:rsidTr="000123A3">
        <w:trPr>
          <w:trHeight w:val="315"/>
        </w:trPr>
        <w:tc>
          <w:tcPr>
            <w:tcW w:w="2337" w:type="dxa"/>
            <w:tcBorders>
              <w:top w:val="nil"/>
              <w:left w:val="single" w:sz="8" w:space="0" w:color="448A99"/>
              <w:bottom w:val="single" w:sz="8" w:space="0" w:color="448A99"/>
              <w:right w:val="nil"/>
            </w:tcBorders>
            <w:shd w:val="clear" w:color="000000" w:fill="FFFFFF"/>
            <w:vAlign w:val="center"/>
            <w:hideMark/>
          </w:tcPr>
          <w:p w:rsidR="00A6625F" w:rsidRPr="00A6625F" w:rsidRDefault="00A6625F" w:rsidP="00A6625F">
            <w:pPr>
              <w:jc w:val="left"/>
              <w:rPr>
                <w:color w:val="000000"/>
                <w:sz w:val="20"/>
                <w:szCs w:val="20"/>
              </w:rPr>
            </w:pPr>
            <w:r w:rsidRPr="00A6625F">
              <w:rPr>
                <w:color w:val="000000"/>
                <w:sz w:val="20"/>
                <w:szCs w:val="20"/>
              </w:rPr>
              <w:t>PECO</w:t>
            </w:r>
          </w:p>
        </w:tc>
        <w:tc>
          <w:tcPr>
            <w:tcW w:w="2338"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507,165</w:t>
            </w:r>
          </w:p>
        </w:tc>
        <w:tc>
          <w:tcPr>
            <w:tcW w:w="2337"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528,301</w:t>
            </w:r>
          </w:p>
        </w:tc>
        <w:tc>
          <w:tcPr>
            <w:tcW w:w="2338"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104%</w:t>
            </w:r>
          </w:p>
        </w:tc>
      </w:tr>
      <w:tr w:rsidR="00A874AC" w:rsidRPr="00A6625F" w:rsidTr="000123A3">
        <w:trPr>
          <w:trHeight w:val="315"/>
        </w:trPr>
        <w:tc>
          <w:tcPr>
            <w:tcW w:w="2337" w:type="dxa"/>
            <w:tcBorders>
              <w:top w:val="nil"/>
              <w:left w:val="single" w:sz="8" w:space="0" w:color="448A99"/>
              <w:bottom w:val="single" w:sz="8" w:space="0" w:color="448A99"/>
              <w:right w:val="nil"/>
            </w:tcBorders>
            <w:shd w:val="clear" w:color="000000" w:fill="D2EAF1"/>
            <w:vAlign w:val="center"/>
            <w:hideMark/>
          </w:tcPr>
          <w:p w:rsidR="00A6625F" w:rsidRPr="00A6625F" w:rsidRDefault="00A6625F" w:rsidP="00A6625F">
            <w:pPr>
              <w:jc w:val="left"/>
              <w:rPr>
                <w:color w:val="000000"/>
                <w:sz w:val="20"/>
                <w:szCs w:val="20"/>
              </w:rPr>
            </w:pPr>
            <w:r w:rsidRPr="00A6625F">
              <w:rPr>
                <w:color w:val="000000"/>
                <w:sz w:val="20"/>
                <w:szCs w:val="20"/>
              </w:rPr>
              <w:t>PPL</w:t>
            </w:r>
          </w:p>
        </w:tc>
        <w:tc>
          <w:tcPr>
            <w:tcW w:w="2338"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321,234</w:t>
            </w:r>
          </w:p>
        </w:tc>
        <w:tc>
          <w:tcPr>
            <w:tcW w:w="2337" w:type="dxa"/>
            <w:tcBorders>
              <w:top w:val="nil"/>
              <w:left w:val="nil"/>
              <w:bottom w:val="single" w:sz="8" w:space="0" w:color="448A99"/>
              <w:right w:val="single" w:sz="8" w:space="0" w:color="448A99"/>
            </w:tcBorders>
            <w:shd w:val="clear" w:color="000000" w:fill="D2EAF1"/>
            <w:vAlign w:val="center"/>
            <w:hideMark/>
          </w:tcPr>
          <w:p w:rsidR="00A6625F" w:rsidRPr="00A6625F" w:rsidRDefault="004110E6" w:rsidP="00A6625F">
            <w:pPr>
              <w:jc w:val="center"/>
              <w:rPr>
                <w:color w:val="000000"/>
                <w:sz w:val="20"/>
                <w:szCs w:val="20"/>
              </w:rPr>
            </w:pPr>
            <w:r>
              <w:rPr>
                <w:color w:val="000000"/>
                <w:sz w:val="20"/>
                <w:szCs w:val="20"/>
              </w:rPr>
              <w:t>313,976</w:t>
            </w:r>
          </w:p>
        </w:tc>
        <w:tc>
          <w:tcPr>
            <w:tcW w:w="2338" w:type="dxa"/>
            <w:tcBorders>
              <w:top w:val="nil"/>
              <w:left w:val="nil"/>
              <w:bottom w:val="single" w:sz="8" w:space="0" w:color="448A99"/>
              <w:right w:val="single" w:sz="8" w:space="0" w:color="448A99"/>
            </w:tcBorders>
            <w:shd w:val="clear" w:color="000000" w:fill="D2EAF1"/>
            <w:vAlign w:val="center"/>
            <w:hideMark/>
          </w:tcPr>
          <w:p w:rsidR="00A6625F" w:rsidRPr="00A6625F" w:rsidRDefault="004110E6" w:rsidP="00141882">
            <w:pPr>
              <w:jc w:val="center"/>
              <w:rPr>
                <w:color w:val="000000"/>
                <w:sz w:val="20"/>
                <w:szCs w:val="20"/>
              </w:rPr>
            </w:pPr>
            <w:r>
              <w:rPr>
                <w:color w:val="000000"/>
                <w:sz w:val="20"/>
                <w:szCs w:val="20"/>
              </w:rPr>
              <w:t>98</w:t>
            </w:r>
            <w:r w:rsidR="00A6625F" w:rsidRPr="00A6625F">
              <w:rPr>
                <w:color w:val="000000"/>
                <w:sz w:val="20"/>
                <w:szCs w:val="20"/>
              </w:rPr>
              <w:t>%</w:t>
            </w:r>
          </w:p>
        </w:tc>
      </w:tr>
      <w:tr w:rsidR="00A874AC" w:rsidRPr="00A6625F" w:rsidTr="000123A3">
        <w:trPr>
          <w:trHeight w:val="315"/>
        </w:trPr>
        <w:tc>
          <w:tcPr>
            <w:tcW w:w="2337" w:type="dxa"/>
            <w:tcBorders>
              <w:top w:val="nil"/>
              <w:left w:val="single" w:sz="8" w:space="0" w:color="448A99"/>
              <w:bottom w:val="single" w:sz="8" w:space="0" w:color="448A99"/>
              <w:right w:val="nil"/>
            </w:tcBorders>
            <w:shd w:val="clear" w:color="000000" w:fill="FFFFFF"/>
            <w:vAlign w:val="center"/>
            <w:hideMark/>
          </w:tcPr>
          <w:p w:rsidR="00A6625F" w:rsidRPr="00FE0981" w:rsidRDefault="00A6625F" w:rsidP="00A6625F">
            <w:pPr>
              <w:jc w:val="left"/>
              <w:rPr>
                <w:b/>
                <w:color w:val="000000"/>
                <w:sz w:val="20"/>
                <w:szCs w:val="20"/>
              </w:rPr>
            </w:pPr>
            <w:r w:rsidRPr="00FE0981">
              <w:rPr>
                <w:b/>
                <w:color w:val="000000"/>
                <w:sz w:val="20"/>
                <w:szCs w:val="20"/>
              </w:rPr>
              <w:t>Statewide</w:t>
            </w:r>
          </w:p>
        </w:tc>
        <w:tc>
          <w:tcPr>
            <w:tcW w:w="2338"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A6625F" w:rsidRDefault="00A6625F" w:rsidP="00A6625F">
            <w:pPr>
              <w:jc w:val="center"/>
              <w:rPr>
                <w:b/>
                <w:bCs/>
                <w:color w:val="000000"/>
                <w:sz w:val="20"/>
                <w:szCs w:val="20"/>
              </w:rPr>
            </w:pPr>
            <w:r w:rsidRPr="00A6625F">
              <w:rPr>
                <w:b/>
                <w:bCs/>
                <w:color w:val="000000"/>
                <w:sz w:val="20"/>
                <w:szCs w:val="20"/>
              </w:rPr>
              <w:t>1,493,147</w:t>
            </w:r>
          </w:p>
        </w:tc>
        <w:tc>
          <w:tcPr>
            <w:tcW w:w="2337"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b/>
                <w:bCs/>
                <w:color w:val="000000"/>
                <w:sz w:val="20"/>
                <w:szCs w:val="20"/>
              </w:rPr>
            </w:pPr>
            <w:r w:rsidRPr="00A6625F">
              <w:rPr>
                <w:b/>
                <w:bCs/>
                <w:color w:val="000000"/>
                <w:sz w:val="20"/>
                <w:szCs w:val="20"/>
              </w:rPr>
              <w:t>1,509,707</w:t>
            </w:r>
          </w:p>
        </w:tc>
        <w:tc>
          <w:tcPr>
            <w:tcW w:w="2338"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b/>
                <w:bCs/>
                <w:color w:val="000000"/>
                <w:sz w:val="20"/>
                <w:szCs w:val="20"/>
              </w:rPr>
            </w:pPr>
            <w:r w:rsidRPr="00A6625F">
              <w:rPr>
                <w:b/>
                <w:bCs/>
                <w:color w:val="000000"/>
                <w:sz w:val="20"/>
                <w:szCs w:val="20"/>
              </w:rPr>
              <w:t>101%</w:t>
            </w:r>
          </w:p>
        </w:tc>
      </w:tr>
    </w:tbl>
    <w:p w:rsidR="00E85C2D" w:rsidRDefault="00E85C2D" w:rsidP="00E85C2D"/>
    <w:p w:rsidR="00E85C2D" w:rsidRDefault="00A6625F" w:rsidP="00E85C2D">
      <w:r>
        <w:t xml:space="preserve">Statewide, the verified gross savings were greater than the reported gross savings, which yields a realization rate across all EDCs of 101%. Realization rates were strong for all EDCs, </w:t>
      </w:r>
      <w:r w:rsidR="00FE0981">
        <w:t>being</w:t>
      </w:r>
      <w:r>
        <w:t xml:space="preserve"> 95%</w:t>
      </w:r>
      <w:r w:rsidR="00FE0981">
        <w:t xml:space="preserve"> or higher</w:t>
      </w:r>
      <w:r>
        <w:t>.</w:t>
      </w:r>
    </w:p>
    <w:p w:rsidR="00E85C2D" w:rsidRPr="00E85C2D" w:rsidRDefault="00E85C2D" w:rsidP="00E85C2D"/>
    <w:p w:rsidR="00AC2B6F" w:rsidRPr="006058D6" w:rsidRDefault="00783CA5" w:rsidP="00AC2B6F">
      <w:pPr>
        <w:pStyle w:val="Heading3"/>
        <w:rPr>
          <w:b w:val="0"/>
        </w:rPr>
      </w:pPr>
      <w:bookmarkStart w:id="89" w:name="_Toc472472091"/>
      <w:bookmarkStart w:id="90" w:name="_Toc476913903"/>
      <w:r w:rsidRPr="00783CA5">
        <w:rPr>
          <w:rStyle w:val="Heading3Char"/>
          <w:b/>
        </w:rPr>
        <w:t>Summary of Energy Savings</w:t>
      </w:r>
      <w:r>
        <w:rPr>
          <w:rStyle w:val="Heading3Char"/>
          <w:b/>
        </w:rPr>
        <w:t xml:space="preserve"> by Sector</w:t>
      </w:r>
      <w:bookmarkEnd w:id="89"/>
      <w:bookmarkEnd w:id="90"/>
      <w:r w:rsidR="00AC2B6F" w:rsidRPr="00783CA5">
        <w:rPr>
          <w:b w:val="0"/>
        </w:rPr>
        <w:t xml:space="preserve"> </w:t>
      </w:r>
    </w:p>
    <w:p w:rsidR="00AC2B6F" w:rsidRDefault="00034173" w:rsidP="00AC2B6F">
      <w:r>
        <w:fldChar w:fldCharType="begin"/>
      </w:r>
      <w:r>
        <w:instrText xml:space="preserve"> REF _Ref477964930 \h </w:instrText>
      </w:r>
      <w:r>
        <w:fldChar w:fldCharType="separate"/>
      </w:r>
      <w:r>
        <w:t xml:space="preserve">Table </w:t>
      </w:r>
      <w:r>
        <w:rPr>
          <w:noProof/>
        </w:rPr>
        <w:t>2</w:t>
      </w:r>
      <w:r>
        <w:noBreakHyphen/>
      </w:r>
      <w:r>
        <w:rPr>
          <w:noProof/>
        </w:rPr>
        <w:t>8</w:t>
      </w:r>
      <w:r>
        <w:fldChar w:fldCharType="end"/>
      </w:r>
      <w:r>
        <w:t xml:space="preserve"> </w:t>
      </w:r>
      <w:r w:rsidR="000705FA">
        <w:t xml:space="preserve">shows </w:t>
      </w:r>
      <w:r w:rsidR="004E7615">
        <w:t>the</w:t>
      </w:r>
      <w:r w:rsidR="000705FA">
        <w:t xml:space="preserve"> seven</w:t>
      </w:r>
      <w:r w:rsidR="004E7615">
        <w:t xml:space="preserve"> EDC</w:t>
      </w:r>
      <w:r w:rsidR="000705FA">
        <w:t>s’</w:t>
      </w:r>
      <w:r w:rsidR="004E7615">
        <w:t xml:space="preserve"> </w:t>
      </w:r>
      <w:r w:rsidR="000705FA">
        <w:t xml:space="preserve">PY7 energy </w:t>
      </w:r>
      <w:r w:rsidR="004E7615">
        <w:t xml:space="preserve">savings </w:t>
      </w:r>
      <w:r w:rsidR="000705FA">
        <w:t>by</w:t>
      </w:r>
      <w:r w:rsidR="004E7615">
        <w:t xml:space="preserve"> sector</w:t>
      </w:r>
      <w:r w:rsidR="000705FA">
        <w:t xml:space="preserve">: </w:t>
      </w:r>
      <w:r w:rsidR="00A6625F">
        <w:t>residential, low-income, C</w:t>
      </w:r>
      <w:r w:rsidR="0097650B">
        <w:t>/I,</w:t>
      </w:r>
      <w:r w:rsidR="00A6625F">
        <w:t xml:space="preserve"> and GNI</w:t>
      </w:r>
      <w:r w:rsidR="004E7615">
        <w:t>.</w:t>
      </w:r>
    </w:p>
    <w:p w:rsidR="000F5A29" w:rsidRDefault="000F5A29" w:rsidP="004E7615">
      <w:pPr>
        <w:pStyle w:val="Caption"/>
      </w:pPr>
      <w:bookmarkStart w:id="91" w:name="_Ref472270976"/>
      <w:bookmarkStart w:id="92" w:name="_Toc472472162"/>
    </w:p>
    <w:p w:rsidR="004E7615" w:rsidRDefault="004E7615" w:rsidP="004E7615">
      <w:pPr>
        <w:pStyle w:val="Caption"/>
      </w:pPr>
      <w:bookmarkStart w:id="93" w:name="_Ref477964930"/>
      <w:bookmarkStart w:id="94" w:name="_Toc476913974"/>
      <w:r>
        <w:t xml:space="preserve">Table </w:t>
      </w:r>
      <w:fldSimple w:instr=" STYLEREF 1 \s ">
        <w:r w:rsidR="008A7824">
          <w:rPr>
            <w:noProof/>
          </w:rPr>
          <w:t>2</w:t>
        </w:r>
      </w:fldSimple>
      <w:r w:rsidR="00E6042C">
        <w:noBreakHyphen/>
      </w:r>
      <w:fldSimple w:instr=" SEQ Table \* ARABIC \s 1 ">
        <w:r w:rsidR="008A7824">
          <w:rPr>
            <w:noProof/>
          </w:rPr>
          <w:t>8</w:t>
        </w:r>
      </w:fldSimple>
      <w:bookmarkEnd w:id="91"/>
      <w:bookmarkEnd w:id="93"/>
      <w:r>
        <w:t>: PY7 Verified Energy Savings by EDC and Sector</w:t>
      </w:r>
      <w:bookmarkEnd w:id="92"/>
      <w:bookmarkEnd w:id="94"/>
    </w:p>
    <w:tbl>
      <w:tblPr>
        <w:tblW w:w="9350" w:type="dxa"/>
        <w:tblLook w:val="04A0" w:firstRow="1" w:lastRow="0" w:firstColumn="1" w:lastColumn="0" w:noHBand="0" w:noVBand="1"/>
      </w:tblPr>
      <w:tblGrid>
        <w:gridCol w:w="2400"/>
        <w:gridCol w:w="1660"/>
        <w:gridCol w:w="1660"/>
        <w:gridCol w:w="1660"/>
        <w:gridCol w:w="1970"/>
      </w:tblGrid>
      <w:tr w:rsidR="00A874AC" w:rsidRPr="00A6625F" w:rsidTr="00865B5D">
        <w:trPr>
          <w:trHeight w:val="780"/>
          <w:tblHeader/>
        </w:trPr>
        <w:tc>
          <w:tcPr>
            <w:tcW w:w="2400" w:type="dxa"/>
            <w:tcBorders>
              <w:top w:val="single" w:sz="8" w:space="0" w:color="448A99"/>
              <w:left w:val="single" w:sz="8" w:space="0" w:color="448A99"/>
              <w:bottom w:val="single" w:sz="8" w:space="0" w:color="448A99"/>
              <w:right w:val="nil"/>
            </w:tcBorders>
            <w:shd w:val="clear" w:color="000000" w:fill="448A99"/>
            <w:vAlign w:val="bottom"/>
            <w:hideMark/>
          </w:tcPr>
          <w:p w:rsidR="00A6625F" w:rsidRPr="00A6625F" w:rsidRDefault="00A6625F" w:rsidP="000123A3">
            <w:pPr>
              <w:rPr>
                <w:b/>
                <w:bCs/>
                <w:color w:val="FFFFFF"/>
                <w:sz w:val="20"/>
                <w:szCs w:val="20"/>
              </w:rPr>
            </w:pPr>
            <w:r w:rsidRPr="00A6625F">
              <w:rPr>
                <w:b/>
                <w:bCs/>
                <w:color w:val="FFFFFF"/>
                <w:sz w:val="20"/>
                <w:szCs w:val="20"/>
              </w:rPr>
              <w:t>EDC</w:t>
            </w:r>
          </w:p>
        </w:tc>
        <w:tc>
          <w:tcPr>
            <w:tcW w:w="166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A6625F" w:rsidRPr="00A6625F" w:rsidRDefault="00A6625F" w:rsidP="000123A3">
            <w:pPr>
              <w:jc w:val="center"/>
              <w:rPr>
                <w:b/>
                <w:bCs/>
                <w:color w:val="FFFFFF"/>
                <w:sz w:val="20"/>
                <w:szCs w:val="20"/>
              </w:rPr>
            </w:pPr>
            <w:r w:rsidRPr="00A6625F">
              <w:rPr>
                <w:b/>
                <w:bCs/>
                <w:color w:val="FFFFFF"/>
                <w:sz w:val="20"/>
                <w:szCs w:val="20"/>
              </w:rPr>
              <w:t>PY7 Residential Energy Savings (MWh/yr)</w:t>
            </w:r>
          </w:p>
        </w:tc>
        <w:tc>
          <w:tcPr>
            <w:tcW w:w="1660" w:type="dxa"/>
            <w:tcBorders>
              <w:top w:val="single" w:sz="8" w:space="0" w:color="448A99"/>
              <w:left w:val="nil"/>
              <w:bottom w:val="single" w:sz="8" w:space="0" w:color="448A99"/>
              <w:right w:val="single" w:sz="8" w:space="0" w:color="448A99"/>
            </w:tcBorders>
            <w:shd w:val="clear" w:color="000000" w:fill="448A99"/>
            <w:vAlign w:val="bottom"/>
            <w:hideMark/>
          </w:tcPr>
          <w:p w:rsidR="00A6625F" w:rsidRPr="00A6625F" w:rsidRDefault="00A6625F" w:rsidP="000123A3">
            <w:pPr>
              <w:jc w:val="center"/>
              <w:rPr>
                <w:b/>
                <w:bCs/>
                <w:color w:val="FFFFFF"/>
                <w:sz w:val="20"/>
                <w:szCs w:val="20"/>
              </w:rPr>
            </w:pPr>
            <w:r w:rsidRPr="00A6625F">
              <w:rPr>
                <w:b/>
                <w:bCs/>
                <w:color w:val="FFFFFF"/>
                <w:sz w:val="20"/>
                <w:szCs w:val="20"/>
              </w:rPr>
              <w:t>PY7 Low-Income Energy Savings (MWh/yr)</w:t>
            </w:r>
          </w:p>
        </w:tc>
        <w:tc>
          <w:tcPr>
            <w:tcW w:w="1660" w:type="dxa"/>
            <w:tcBorders>
              <w:top w:val="single" w:sz="8" w:space="0" w:color="448A99"/>
              <w:left w:val="nil"/>
              <w:bottom w:val="single" w:sz="8" w:space="0" w:color="448A99"/>
              <w:right w:val="single" w:sz="8" w:space="0" w:color="448A99"/>
            </w:tcBorders>
            <w:shd w:val="clear" w:color="000000" w:fill="448A99"/>
            <w:vAlign w:val="bottom"/>
            <w:hideMark/>
          </w:tcPr>
          <w:p w:rsidR="00A6625F" w:rsidRPr="00A6625F" w:rsidRDefault="00A6625F" w:rsidP="000123A3">
            <w:pPr>
              <w:jc w:val="center"/>
              <w:rPr>
                <w:b/>
                <w:bCs/>
                <w:color w:val="FFFFFF"/>
                <w:sz w:val="20"/>
                <w:szCs w:val="20"/>
              </w:rPr>
            </w:pPr>
            <w:r w:rsidRPr="00A6625F">
              <w:rPr>
                <w:b/>
                <w:bCs/>
                <w:color w:val="FFFFFF"/>
                <w:sz w:val="20"/>
                <w:szCs w:val="20"/>
              </w:rPr>
              <w:t xml:space="preserve">PY7 </w:t>
            </w:r>
            <w:r w:rsidR="004C02F0">
              <w:rPr>
                <w:b/>
                <w:bCs/>
                <w:color w:val="FFFFFF"/>
                <w:sz w:val="20"/>
                <w:szCs w:val="20"/>
              </w:rPr>
              <w:t>C</w:t>
            </w:r>
            <w:r w:rsidR="0097650B">
              <w:rPr>
                <w:b/>
                <w:bCs/>
                <w:color w:val="FFFFFF"/>
                <w:sz w:val="20"/>
                <w:szCs w:val="20"/>
              </w:rPr>
              <w:t>/I</w:t>
            </w:r>
            <w:r w:rsidR="004C02F0">
              <w:rPr>
                <w:b/>
                <w:bCs/>
                <w:color w:val="FFFFFF"/>
                <w:sz w:val="20"/>
                <w:szCs w:val="20"/>
              </w:rPr>
              <w:t xml:space="preserve"> </w:t>
            </w:r>
            <w:r w:rsidRPr="00A6625F">
              <w:rPr>
                <w:b/>
                <w:bCs/>
                <w:color w:val="FFFFFF"/>
                <w:sz w:val="20"/>
                <w:szCs w:val="20"/>
              </w:rPr>
              <w:t>Energy Savings (MWh/yr)</w:t>
            </w:r>
          </w:p>
        </w:tc>
        <w:tc>
          <w:tcPr>
            <w:tcW w:w="1970" w:type="dxa"/>
            <w:tcBorders>
              <w:top w:val="single" w:sz="8" w:space="0" w:color="448A99"/>
              <w:left w:val="nil"/>
              <w:bottom w:val="single" w:sz="8" w:space="0" w:color="448A99"/>
              <w:right w:val="single" w:sz="8" w:space="0" w:color="448A99"/>
            </w:tcBorders>
            <w:shd w:val="clear" w:color="000000" w:fill="448A99"/>
            <w:vAlign w:val="bottom"/>
            <w:hideMark/>
          </w:tcPr>
          <w:p w:rsidR="00A6625F" w:rsidRPr="00A6625F" w:rsidRDefault="00A6625F" w:rsidP="000123A3">
            <w:pPr>
              <w:jc w:val="center"/>
              <w:rPr>
                <w:b/>
                <w:bCs/>
                <w:color w:val="FFFFFF"/>
                <w:sz w:val="20"/>
                <w:szCs w:val="20"/>
              </w:rPr>
            </w:pPr>
            <w:r w:rsidRPr="00A6625F">
              <w:rPr>
                <w:b/>
                <w:bCs/>
                <w:color w:val="FFFFFF"/>
                <w:sz w:val="20"/>
                <w:szCs w:val="20"/>
              </w:rPr>
              <w:t>PY7 GNI Energy Savings (MWh/yr)</w:t>
            </w:r>
          </w:p>
        </w:tc>
      </w:tr>
      <w:tr w:rsidR="00A874AC" w:rsidRPr="00A6625F" w:rsidTr="000123A3">
        <w:trPr>
          <w:trHeight w:val="315"/>
        </w:trPr>
        <w:tc>
          <w:tcPr>
            <w:tcW w:w="2400" w:type="dxa"/>
            <w:tcBorders>
              <w:top w:val="nil"/>
              <w:left w:val="single" w:sz="8" w:space="0" w:color="448A99"/>
              <w:bottom w:val="single" w:sz="8" w:space="0" w:color="448A99"/>
              <w:right w:val="nil"/>
            </w:tcBorders>
            <w:shd w:val="clear" w:color="000000" w:fill="D2EAF1"/>
            <w:vAlign w:val="center"/>
            <w:hideMark/>
          </w:tcPr>
          <w:p w:rsidR="00A6625F" w:rsidRPr="00A6625F" w:rsidRDefault="00A6625F" w:rsidP="00A6625F">
            <w:pPr>
              <w:jc w:val="left"/>
              <w:rPr>
                <w:color w:val="000000"/>
                <w:sz w:val="20"/>
                <w:szCs w:val="20"/>
              </w:rPr>
            </w:pPr>
            <w:r w:rsidRPr="00A6625F">
              <w:rPr>
                <w:color w:val="000000"/>
                <w:sz w:val="20"/>
                <w:szCs w:val="20"/>
              </w:rPr>
              <w:t>Duquesne</w:t>
            </w:r>
          </w:p>
        </w:tc>
        <w:tc>
          <w:tcPr>
            <w:tcW w:w="1660"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62,571</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6,070</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64,368</w:t>
            </w:r>
          </w:p>
        </w:tc>
        <w:tc>
          <w:tcPr>
            <w:tcW w:w="1970"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9,178</w:t>
            </w:r>
          </w:p>
        </w:tc>
      </w:tr>
      <w:tr w:rsidR="00A874AC" w:rsidRPr="00A6625F" w:rsidTr="000123A3">
        <w:trPr>
          <w:trHeight w:val="315"/>
        </w:trPr>
        <w:tc>
          <w:tcPr>
            <w:tcW w:w="2400" w:type="dxa"/>
            <w:tcBorders>
              <w:top w:val="nil"/>
              <w:left w:val="single" w:sz="8" w:space="0" w:color="448A99"/>
              <w:bottom w:val="single" w:sz="8" w:space="0" w:color="448A99"/>
              <w:right w:val="nil"/>
            </w:tcBorders>
            <w:shd w:val="clear" w:color="000000" w:fill="FFFFFF"/>
            <w:vAlign w:val="center"/>
            <w:hideMark/>
          </w:tcPr>
          <w:p w:rsidR="00A6625F" w:rsidRPr="00A6625F" w:rsidRDefault="00A6625F" w:rsidP="00A6625F">
            <w:pPr>
              <w:jc w:val="left"/>
              <w:rPr>
                <w:color w:val="000000"/>
                <w:sz w:val="20"/>
                <w:szCs w:val="20"/>
              </w:rPr>
            </w:pPr>
            <w:r w:rsidRPr="00A6625F">
              <w:rPr>
                <w:color w:val="000000"/>
                <w:sz w:val="20"/>
                <w:szCs w:val="20"/>
              </w:rPr>
              <w:t>FE: Met-Ed</w:t>
            </w:r>
          </w:p>
        </w:tc>
        <w:tc>
          <w:tcPr>
            <w:tcW w:w="1660"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81,240</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14,391</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52,941</w:t>
            </w:r>
          </w:p>
        </w:tc>
        <w:tc>
          <w:tcPr>
            <w:tcW w:w="1970"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22,848</w:t>
            </w:r>
          </w:p>
        </w:tc>
      </w:tr>
      <w:tr w:rsidR="00A874AC" w:rsidRPr="00A6625F" w:rsidTr="000123A3">
        <w:trPr>
          <w:trHeight w:val="315"/>
        </w:trPr>
        <w:tc>
          <w:tcPr>
            <w:tcW w:w="2400" w:type="dxa"/>
            <w:tcBorders>
              <w:top w:val="nil"/>
              <w:left w:val="single" w:sz="8" w:space="0" w:color="448A99"/>
              <w:bottom w:val="single" w:sz="8" w:space="0" w:color="448A99"/>
              <w:right w:val="nil"/>
            </w:tcBorders>
            <w:shd w:val="clear" w:color="000000" w:fill="D2EAF1"/>
            <w:vAlign w:val="center"/>
            <w:hideMark/>
          </w:tcPr>
          <w:p w:rsidR="00A6625F" w:rsidRPr="00A6625F" w:rsidRDefault="00A6625F" w:rsidP="00A6625F">
            <w:pPr>
              <w:jc w:val="left"/>
              <w:rPr>
                <w:color w:val="000000"/>
                <w:sz w:val="20"/>
                <w:szCs w:val="20"/>
              </w:rPr>
            </w:pPr>
            <w:r w:rsidRPr="00A6625F">
              <w:rPr>
                <w:color w:val="000000"/>
                <w:sz w:val="20"/>
                <w:szCs w:val="20"/>
              </w:rPr>
              <w:lastRenderedPageBreak/>
              <w:t>FE: Penelec</w:t>
            </w:r>
          </w:p>
        </w:tc>
        <w:tc>
          <w:tcPr>
            <w:tcW w:w="1660"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69,285</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18,368</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62,923</w:t>
            </w:r>
          </w:p>
        </w:tc>
        <w:tc>
          <w:tcPr>
            <w:tcW w:w="1970"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13,821</w:t>
            </w:r>
          </w:p>
        </w:tc>
      </w:tr>
      <w:tr w:rsidR="00A874AC" w:rsidRPr="00A6625F" w:rsidTr="000123A3">
        <w:trPr>
          <w:trHeight w:val="315"/>
        </w:trPr>
        <w:tc>
          <w:tcPr>
            <w:tcW w:w="2400" w:type="dxa"/>
            <w:tcBorders>
              <w:top w:val="nil"/>
              <w:left w:val="single" w:sz="8" w:space="0" w:color="448A99"/>
              <w:bottom w:val="single" w:sz="8" w:space="0" w:color="448A99"/>
              <w:right w:val="nil"/>
            </w:tcBorders>
            <w:shd w:val="clear" w:color="000000" w:fill="FFFFFF"/>
            <w:vAlign w:val="center"/>
            <w:hideMark/>
          </w:tcPr>
          <w:p w:rsidR="00A6625F" w:rsidRPr="00A6625F" w:rsidRDefault="00A6625F" w:rsidP="00A6625F">
            <w:pPr>
              <w:jc w:val="left"/>
              <w:rPr>
                <w:color w:val="000000"/>
                <w:sz w:val="20"/>
                <w:szCs w:val="20"/>
              </w:rPr>
            </w:pPr>
            <w:r w:rsidRPr="00A6625F">
              <w:rPr>
                <w:color w:val="000000"/>
                <w:sz w:val="20"/>
                <w:szCs w:val="20"/>
              </w:rPr>
              <w:t>FE: Penn Power</w:t>
            </w:r>
          </w:p>
        </w:tc>
        <w:tc>
          <w:tcPr>
            <w:tcW w:w="1660"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11,773</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1,180</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7,045</w:t>
            </w:r>
          </w:p>
        </w:tc>
        <w:tc>
          <w:tcPr>
            <w:tcW w:w="1970"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7,283</w:t>
            </w:r>
          </w:p>
        </w:tc>
      </w:tr>
      <w:tr w:rsidR="00A874AC" w:rsidRPr="00A6625F" w:rsidTr="000123A3">
        <w:trPr>
          <w:trHeight w:val="315"/>
        </w:trPr>
        <w:tc>
          <w:tcPr>
            <w:tcW w:w="2400" w:type="dxa"/>
            <w:tcBorders>
              <w:top w:val="nil"/>
              <w:left w:val="single" w:sz="8" w:space="0" w:color="448A99"/>
              <w:bottom w:val="single" w:sz="8" w:space="0" w:color="448A99"/>
              <w:right w:val="nil"/>
            </w:tcBorders>
            <w:shd w:val="clear" w:color="000000" w:fill="D2EAF1"/>
            <w:vAlign w:val="center"/>
            <w:hideMark/>
          </w:tcPr>
          <w:p w:rsidR="00A6625F" w:rsidRPr="00A6625F" w:rsidRDefault="00A6625F" w:rsidP="00A6625F">
            <w:pPr>
              <w:jc w:val="left"/>
              <w:rPr>
                <w:color w:val="000000"/>
                <w:sz w:val="20"/>
                <w:szCs w:val="20"/>
              </w:rPr>
            </w:pPr>
            <w:r w:rsidRPr="00A6625F">
              <w:rPr>
                <w:color w:val="000000"/>
                <w:sz w:val="20"/>
                <w:szCs w:val="20"/>
              </w:rPr>
              <w:t>FE: West Penn</w:t>
            </w:r>
          </w:p>
        </w:tc>
        <w:tc>
          <w:tcPr>
            <w:tcW w:w="1660"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72,338</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11,346</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61,391</w:t>
            </w:r>
          </w:p>
        </w:tc>
        <w:tc>
          <w:tcPr>
            <w:tcW w:w="1970"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13,685</w:t>
            </w:r>
          </w:p>
        </w:tc>
      </w:tr>
      <w:tr w:rsidR="00A874AC" w:rsidRPr="00A6625F" w:rsidTr="000123A3">
        <w:trPr>
          <w:trHeight w:val="315"/>
        </w:trPr>
        <w:tc>
          <w:tcPr>
            <w:tcW w:w="2400" w:type="dxa"/>
            <w:tcBorders>
              <w:top w:val="nil"/>
              <w:left w:val="single" w:sz="8" w:space="0" w:color="448A99"/>
              <w:bottom w:val="single" w:sz="8" w:space="0" w:color="448A99"/>
              <w:right w:val="nil"/>
            </w:tcBorders>
            <w:shd w:val="clear" w:color="000000" w:fill="FFFFFF"/>
            <w:vAlign w:val="center"/>
            <w:hideMark/>
          </w:tcPr>
          <w:p w:rsidR="00A6625F" w:rsidRPr="00A6625F" w:rsidRDefault="00A6625F" w:rsidP="00A6625F">
            <w:pPr>
              <w:jc w:val="left"/>
              <w:rPr>
                <w:color w:val="000000"/>
                <w:sz w:val="20"/>
                <w:szCs w:val="20"/>
              </w:rPr>
            </w:pPr>
            <w:r w:rsidRPr="00A6625F">
              <w:rPr>
                <w:color w:val="000000"/>
                <w:sz w:val="20"/>
                <w:szCs w:val="20"/>
              </w:rPr>
              <w:t>PECO</w:t>
            </w:r>
          </w:p>
        </w:tc>
        <w:tc>
          <w:tcPr>
            <w:tcW w:w="1660"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213,367</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37,329</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152,203</w:t>
            </w:r>
          </w:p>
        </w:tc>
        <w:tc>
          <w:tcPr>
            <w:tcW w:w="1970"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color w:val="000000"/>
                <w:sz w:val="20"/>
                <w:szCs w:val="20"/>
              </w:rPr>
            </w:pPr>
            <w:r w:rsidRPr="00A6625F">
              <w:rPr>
                <w:color w:val="000000"/>
                <w:sz w:val="20"/>
                <w:szCs w:val="20"/>
              </w:rPr>
              <w:t>125,402</w:t>
            </w:r>
          </w:p>
        </w:tc>
      </w:tr>
      <w:tr w:rsidR="00A874AC" w:rsidRPr="00A6625F" w:rsidTr="000123A3">
        <w:trPr>
          <w:trHeight w:val="315"/>
        </w:trPr>
        <w:tc>
          <w:tcPr>
            <w:tcW w:w="2400" w:type="dxa"/>
            <w:tcBorders>
              <w:top w:val="nil"/>
              <w:left w:val="single" w:sz="8" w:space="0" w:color="448A99"/>
              <w:bottom w:val="single" w:sz="8" w:space="0" w:color="448A99"/>
              <w:right w:val="nil"/>
            </w:tcBorders>
            <w:shd w:val="clear" w:color="000000" w:fill="D2EAF1"/>
            <w:vAlign w:val="center"/>
            <w:hideMark/>
          </w:tcPr>
          <w:p w:rsidR="00A6625F" w:rsidRPr="00A6625F" w:rsidRDefault="00A6625F" w:rsidP="00A6625F">
            <w:pPr>
              <w:jc w:val="left"/>
              <w:rPr>
                <w:color w:val="000000"/>
                <w:sz w:val="20"/>
                <w:szCs w:val="20"/>
              </w:rPr>
            </w:pPr>
            <w:r w:rsidRPr="00A6625F">
              <w:rPr>
                <w:color w:val="000000"/>
                <w:sz w:val="20"/>
                <w:szCs w:val="20"/>
              </w:rPr>
              <w:t>PPL</w:t>
            </w:r>
          </w:p>
        </w:tc>
        <w:tc>
          <w:tcPr>
            <w:tcW w:w="1660" w:type="dxa"/>
            <w:tcBorders>
              <w:top w:val="nil"/>
              <w:left w:val="single" w:sz="8" w:space="0" w:color="448A99"/>
              <w:bottom w:val="single" w:sz="8" w:space="0" w:color="448A99"/>
              <w:right w:val="single" w:sz="8" w:space="0" w:color="448A99"/>
            </w:tcBorders>
            <w:shd w:val="clear" w:color="000000" w:fill="D2EAF1"/>
            <w:vAlign w:val="center"/>
            <w:hideMark/>
          </w:tcPr>
          <w:p w:rsidR="00A6625F" w:rsidRPr="00A6625F" w:rsidRDefault="00A11182" w:rsidP="00A6625F">
            <w:pPr>
              <w:jc w:val="center"/>
              <w:rPr>
                <w:color w:val="000000"/>
                <w:sz w:val="20"/>
                <w:szCs w:val="20"/>
              </w:rPr>
            </w:pPr>
            <w:r>
              <w:rPr>
                <w:color w:val="000000"/>
                <w:sz w:val="20"/>
                <w:szCs w:val="20"/>
              </w:rPr>
              <w:t>106,633</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A6625F" w:rsidRDefault="00A11182" w:rsidP="00A6625F">
            <w:pPr>
              <w:jc w:val="center"/>
              <w:rPr>
                <w:color w:val="000000"/>
                <w:sz w:val="20"/>
                <w:szCs w:val="20"/>
              </w:rPr>
            </w:pPr>
            <w:r>
              <w:rPr>
                <w:color w:val="000000"/>
                <w:sz w:val="20"/>
                <w:szCs w:val="20"/>
              </w:rPr>
              <w:t>18,400</w:t>
            </w:r>
          </w:p>
        </w:tc>
        <w:tc>
          <w:tcPr>
            <w:tcW w:w="1660"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141,900</w:t>
            </w:r>
          </w:p>
        </w:tc>
        <w:tc>
          <w:tcPr>
            <w:tcW w:w="1970" w:type="dxa"/>
            <w:tcBorders>
              <w:top w:val="nil"/>
              <w:left w:val="nil"/>
              <w:bottom w:val="single" w:sz="8" w:space="0" w:color="448A99"/>
              <w:right w:val="single" w:sz="8" w:space="0" w:color="448A99"/>
            </w:tcBorders>
            <w:shd w:val="clear" w:color="000000" w:fill="D2EAF1"/>
            <w:vAlign w:val="center"/>
            <w:hideMark/>
          </w:tcPr>
          <w:p w:rsidR="00A6625F" w:rsidRPr="00A6625F" w:rsidRDefault="00A6625F" w:rsidP="00A6625F">
            <w:pPr>
              <w:jc w:val="center"/>
              <w:rPr>
                <w:color w:val="000000"/>
                <w:sz w:val="20"/>
                <w:szCs w:val="20"/>
              </w:rPr>
            </w:pPr>
            <w:r w:rsidRPr="00A6625F">
              <w:rPr>
                <w:color w:val="000000"/>
                <w:sz w:val="20"/>
                <w:szCs w:val="20"/>
              </w:rPr>
              <w:t>47,044</w:t>
            </w:r>
          </w:p>
        </w:tc>
      </w:tr>
      <w:tr w:rsidR="00A874AC" w:rsidRPr="00A6625F" w:rsidTr="000123A3">
        <w:trPr>
          <w:trHeight w:val="315"/>
        </w:trPr>
        <w:tc>
          <w:tcPr>
            <w:tcW w:w="2400" w:type="dxa"/>
            <w:tcBorders>
              <w:top w:val="nil"/>
              <w:left w:val="single" w:sz="8" w:space="0" w:color="448A99"/>
              <w:bottom w:val="single" w:sz="8" w:space="0" w:color="448A99"/>
              <w:right w:val="nil"/>
            </w:tcBorders>
            <w:shd w:val="clear" w:color="000000" w:fill="FFFFFF"/>
            <w:vAlign w:val="center"/>
            <w:hideMark/>
          </w:tcPr>
          <w:p w:rsidR="00A6625F" w:rsidRPr="000705FA" w:rsidRDefault="00A6625F" w:rsidP="00A6625F">
            <w:pPr>
              <w:jc w:val="left"/>
              <w:rPr>
                <w:b/>
                <w:color w:val="000000"/>
                <w:sz w:val="20"/>
                <w:szCs w:val="20"/>
              </w:rPr>
            </w:pPr>
            <w:r w:rsidRPr="000705FA">
              <w:rPr>
                <w:b/>
                <w:color w:val="000000"/>
                <w:sz w:val="20"/>
                <w:szCs w:val="20"/>
              </w:rPr>
              <w:t>Statewide</w:t>
            </w:r>
          </w:p>
        </w:tc>
        <w:tc>
          <w:tcPr>
            <w:tcW w:w="1660" w:type="dxa"/>
            <w:tcBorders>
              <w:top w:val="nil"/>
              <w:left w:val="single" w:sz="8" w:space="0" w:color="448A99"/>
              <w:bottom w:val="single" w:sz="8" w:space="0" w:color="448A99"/>
              <w:right w:val="single" w:sz="8" w:space="0" w:color="448A99"/>
            </w:tcBorders>
            <w:shd w:val="clear" w:color="000000" w:fill="FFFFFF"/>
            <w:vAlign w:val="center"/>
            <w:hideMark/>
          </w:tcPr>
          <w:p w:rsidR="00A6625F" w:rsidRPr="00A6625F" w:rsidRDefault="00E0150C" w:rsidP="00A6625F">
            <w:pPr>
              <w:jc w:val="center"/>
              <w:rPr>
                <w:b/>
                <w:bCs/>
                <w:color w:val="000000"/>
                <w:sz w:val="20"/>
                <w:szCs w:val="20"/>
              </w:rPr>
            </w:pPr>
            <w:r>
              <w:rPr>
                <w:b/>
                <w:bCs/>
                <w:color w:val="000000"/>
                <w:sz w:val="20"/>
                <w:szCs w:val="20"/>
              </w:rPr>
              <w:t>617,207</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A6625F" w:rsidRDefault="00E0150C" w:rsidP="00A6625F">
            <w:pPr>
              <w:jc w:val="center"/>
              <w:rPr>
                <w:b/>
                <w:bCs/>
                <w:color w:val="000000"/>
                <w:sz w:val="20"/>
                <w:szCs w:val="20"/>
              </w:rPr>
            </w:pPr>
            <w:r>
              <w:rPr>
                <w:b/>
                <w:bCs/>
                <w:color w:val="000000"/>
                <w:sz w:val="20"/>
                <w:szCs w:val="20"/>
              </w:rPr>
              <w:t>107,084</w:t>
            </w:r>
          </w:p>
        </w:tc>
        <w:tc>
          <w:tcPr>
            <w:tcW w:w="1660"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b/>
                <w:bCs/>
                <w:color w:val="000000"/>
                <w:sz w:val="20"/>
                <w:szCs w:val="20"/>
              </w:rPr>
            </w:pPr>
            <w:r w:rsidRPr="00A6625F">
              <w:rPr>
                <w:b/>
                <w:bCs/>
                <w:color w:val="000000"/>
                <w:sz w:val="20"/>
                <w:szCs w:val="20"/>
              </w:rPr>
              <w:t>542,771</w:t>
            </w:r>
          </w:p>
        </w:tc>
        <w:tc>
          <w:tcPr>
            <w:tcW w:w="1970" w:type="dxa"/>
            <w:tcBorders>
              <w:top w:val="nil"/>
              <w:left w:val="nil"/>
              <w:bottom w:val="single" w:sz="8" w:space="0" w:color="448A99"/>
              <w:right w:val="single" w:sz="8" w:space="0" w:color="448A99"/>
            </w:tcBorders>
            <w:shd w:val="clear" w:color="000000" w:fill="FFFFFF"/>
            <w:vAlign w:val="center"/>
            <w:hideMark/>
          </w:tcPr>
          <w:p w:rsidR="00A6625F" w:rsidRPr="00A6625F" w:rsidRDefault="00A6625F" w:rsidP="00A6625F">
            <w:pPr>
              <w:jc w:val="center"/>
              <w:rPr>
                <w:b/>
                <w:bCs/>
                <w:color w:val="000000"/>
                <w:sz w:val="20"/>
                <w:szCs w:val="20"/>
              </w:rPr>
            </w:pPr>
            <w:r w:rsidRPr="00A6625F">
              <w:rPr>
                <w:b/>
                <w:bCs/>
                <w:color w:val="000000"/>
                <w:sz w:val="20"/>
                <w:szCs w:val="20"/>
              </w:rPr>
              <w:t>239,261</w:t>
            </w:r>
          </w:p>
        </w:tc>
      </w:tr>
    </w:tbl>
    <w:p w:rsidR="004E7615" w:rsidRDefault="004E7615" w:rsidP="00AC2B6F"/>
    <w:p w:rsidR="004C02F0" w:rsidRDefault="00273805" w:rsidP="00AC2B6F">
      <w:r>
        <w:fldChar w:fldCharType="begin"/>
      </w:r>
      <w:r>
        <w:instrText xml:space="preserve"> REF _Ref472410107 \h </w:instrText>
      </w:r>
      <w:r>
        <w:fldChar w:fldCharType="separate"/>
      </w:r>
      <w:r w:rsidR="00DD797D">
        <w:t xml:space="preserve">Figure </w:t>
      </w:r>
      <w:r w:rsidR="00DD797D">
        <w:rPr>
          <w:noProof/>
        </w:rPr>
        <w:t>2</w:t>
      </w:r>
      <w:r w:rsidR="00DD797D">
        <w:noBreakHyphen/>
      </w:r>
      <w:r w:rsidR="00DD797D">
        <w:rPr>
          <w:noProof/>
        </w:rPr>
        <w:t>1</w:t>
      </w:r>
      <w:r>
        <w:fldChar w:fldCharType="end"/>
      </w:r>
      <w:r w:rsidR="00CF6B47">
        <w:t xml:space="preserve"> provides</w:t>
      </w:r>
      <w:r w:rsidR="00566EB9">
        <w:t xml:space="preserve"> </w:t>
      </w:r>
      <w:r w:rsidR="00566EB9" w:rsidRPr="00566EB9">
        <w:t>a graphical representation of the above data</w:t>
      </w:r>
      <w:r w:rsidR="00566EB9">
        <w:t>.</w:t>
      </w:r>
    </w:p>
    <w:p w:rsidR="000F5A29" w:rsidRDefault="000F5A29" w:rsidP="00AC2B6F"/>
    <w:p w:rsidR="00566EB9" w:rsidRDefault="00273805" w:rsidP="00566EB9">
      <w:pPr>
        <w:pStyle w:val="Caption"/>
      </w:pPr>
      <w:bookmarkStart w:id="95" w:name="_Ref472410107"/>
      <w:bookmarkStart w:id="96" w:name="_Toc472472209"/>
      <w:bookmarkStart w:id="97" w:name="_Toc476914022"/>
      <w:r>
        <w:t xml:space="preserve">Figure </w:t>
      </w:r>
      <w:fldSimple w:instr=" STYLEREF 1 \s ">
        <w:r w:rsidR="00C301D0">
          <w:rPr>
            <w:noProof/>
          </w:rPr>
          <w:t>2</w:t>
        </w:r>
      </w:fldSimple>
      <w:r w:rsidR="00DA1ADA">
        <w:noBreakHyphen/>
      </w:r>
      <w:fldSimple w:instr=" SEQ Figure \* ARABIC \s 1 ">
        <w:r w:rsidR="00C301D0">
          <w:rPr>
            <w:noProof/>
          </w:rPr>
          <w:t>1</w:t>
        </w:r>
      </w:fldSimple>
      <w:bookmarkEnd w:id="95"/>
      <w:r>
        <w:t xml:space="preserve">: </w:t>
      </w:r>
      <w:r w:rsidR="00566EB9">
        <w:t>PY7 Verified Energy Savings by</w:t>
      </w:r>
      <w:r w:rsidR="000705FA">
        <w:t xml:space="preserve"> EDC</w:t>
      </w:r>
      <w:r w:rsidR="00566EB9">
        <w:t xml:space="preserve"> and </w:t>
      </w:r>
      <w:bookmarkEnd w:id="96"/>
      <w:r w:rsidR="000705FA">
        <w:t>Sector</w:t>
      </w:r>
      <w:bookmarkEnd w:id="97"/>
    </w:p>
    <w:p w:rsidR="00566EB9" w:rsidRDefault="008A610D" w:rsidP="00AC2B6F">
      <w:r>
        <w:rPr>
          <w:noProof/>
        </w:rPr>
        <w:drawing>
          <wp:inline distT="0" distB="0" distL="0" distR="0" wp14:anchorId="74720FE2" wp14:editId="56D83BB9">
            <wp:extent cx="5755005" cy="3637722"/>
            <wp:effectExtent l="0" t="0" r="0"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a:extLst>
                        <a:ext uri="{28A0092B-C50C-407E-A947-70E740481C1C}">
                          <a14:useLocalDpi xmlns:a14="http://schemas.microsoft.com/office/drawing/2010/main" val="0"/>
                        </a:ext>
                      </a:extLst>
                    </a:blip>
                    <a:srcRect b="5295"/>
                    <a:stretch/>
                  </pic:blipFill>
                  <pic:spPr bwMode="auto">
                    <a:xfrm>
                      <a:off x="0" y="0"/>
                      <a:ext cx="5755005" cy="3637722"/>
                    </a:xfrm>
                    <a:prstGeom prst="rect">
                      <a:avLst/>
                    </a:prstGeom>
                    <a:noFill/>
                    <a:ln>
                      <a:noFill/>
                    </a:ln>
                    <a:extLst>
                      <a:ext uri="{53640926-AAD7-44D8-BBD7-CCE9431645EC}">
                        <a14:shadowObscured xmlns:a14="http://schemas.microsoft.com/office/drawing/2010/main"/>
                      </a:ext>
                    </a:extLst>
                  </pic:spPr>
                </pic:pic>
              </a:graphicData>
            </a:graphic>
          </wp:inline>
        </w:drawing>
      </w:r>
    </w:p>
    <w:p w:rsidR="007B7BD7" w:rsidRDefault="007B7BD7" w:rsidP="00AC2B6F"/>
    <w:p w:rsidR="004E7615" w:rsidRDefault="00A6625F" w:rsidP="00AC2B6F">
      <w:r>
        <w:t>The residential sector accounted for the highest proportion of savings</w:t>
      </w:r>
      <w:r w:rsidR="0097650B">
        <w:t xml:space="preserve"> across the four sectors</w:t>
      </w:r>
      <w:r w:rsidR="00F95DF6">
        <w:t xml:space="preserve"> during PY7</w:t>
      </w:r>
      <w:r w:rsidR="0097650B">
        <w:t>. The C/</w:t>
      </w:r>
      <w:r>
        <w:t>I sector accounted for the highest savings for two EDCs.</w:t>
      </w:r>
      <w:r w:rsidR="00710D08">
        <w:t xml:space="preserve"> The low-income </w:t>
      </w:r>
      <w:r w:rsidR="0097650B">
        <w:t xml:space="preserve">sector </w:t>
      </w:r>
      <w:r w:rsidR="00710D08">
        <w:t>accounted for 7% of total savings</w:t>
      </w:r>
      <w:r w:rsidR="0097650B">
        <w:t xml:space="preserve"> and the </w:t>
      </w:r>
      <w:r w:rsidR="00710D08">
        <w:t xml:space="preserve">GNI sector for 16% </w:t>
      </w:r>
      <w:r w:rsidR="00A400D2">
        <w:t xml:space="preserve">of </w:t>
      </w:r>
      <w:r w:rsidR="0097650B">
        <w:t xml:space="preserve">total </w:t>
      </w:r>
      <w:r w:rsidR="00710D08">
        <w:t>savings</w:t>
      </w:r>
      <w:r w:rsidR="00F95DF6">
        <w:t xml:space="preserve"> during PY7</w:t>
      </w:r>
      <w:r w:rsidR="00710D08">
        <w:t>.</w:t>
      </w:r>
    </w:p>
    <w:p w:rsidR="001B73FC" w:rsidRDefault="001B73FC" w:rsidP="00AC2B6F"/>
    <w:p w:rsidR="001B73FC" w:rsidRPr="000532C8" w:rsidRDefault="000532C8" w:rsidP="000532C8">
      <w:pPr>
        <w:pStyle w:val="Heading3"/>
        <w:rPr>
          <w:rStyle w:val="Heading3Char"/>
          <w:b/>
        </w:rPr>
      </w:pPr>
      <w:bookmarkStart w:id="98" w:name="_Toc472472092"/>
      <w:bookmarkStart w:id="99" w:name="_Toc476913904"/>
      <w:r w:rsidRPr="000532C8">
        <w:rPr>
          <w:rStyle w:val="Heading3Char"/>
          <w:b/>
        </w:rPr>
        <w:t>C</w:t>
      </w:r>
      <w:r>
        <w:rPr>
          <w:rStyle w:val="Heading3Char"/>
          <w:b/>
        </w:rPr>
        <w:t>omparison of PY</w:t>
      </w:r>
      <w:r w:rsidR="0036462C">
        <w:rPr>
          <w:rStyle w:val="Heading3Char"/>
          <w:b/>
        </w:rPr>
        <w:t>7</w:t>
      </w:r>
      <w:r>
        <w:rPr>
          <w:rStyle w:val="Heading3Char"/>
          <w:b/>
        </w:rPr>
        <w:t xml:space="preserve"> Expenditures </w:t>
      </w:r>
      <w:r w:rsidR="0097650B">
        <w:rPr>
          <w:rStyle w:val="Heading3Char"/>
          <w:b/>
        </w:rPr>
        <w:t>with</w:t>
      </w:r>
      <w:r>
        <w:rPr>
          <w:rStyle w:val="Heading3Char"/>
          <w:b/>
        </w:rPr>
        <w:t xml:space="preserve"> Approved EE&amp;C Plan Budget Estimates</w:t>
      </w:r>
      <w:bookmarkEnd w:id="98"/>
      <w:bookmarkEnd w:id="99"/>
    </w:p>
    <w:p w:rsidR="00015341" w:rsidRDefault="00015341" w:rsidP="00015341">
      <w:r w:rsidRPr="00015341">
        <w:t xml:space="preserve">The EDCs provided information </w:t>
      </w:r>
      <w:r w:rsidR="00B164DC">
        <w:t>about</w:t>
      </w:r>
      <w:r w:rsidRPr="00015341">
        <w:t xml:space="preserve"> their spending on a portfolio and by-program basis. </w:t>
      </w:r>
      <w:r w:rsidR="000532C8">
        <w:fldChar w:fldCharType="begin"/>
      </w:r>
      <w:r w:rsidR="000532C8">
        <w:instrText xml:space="preserve"> REF _Ref472408703 \h </w:instrText>
      </w:r>
      <w:r w:rsidR="000532C8">
        <w:fldChar w:fldCharType="separate"/>
      </w:r>
      <w:r w:rsidR="008A7824">
        <w:t xml:space="preserve">Table </w:t>
      </w:r>
      <w:r w:rsidR="008A7824">
        <w:rPr>
          <w:noProof/>
        </w:rPr>
        <w:t>2</w:t>
      </w:r>
      <w:r w:rsidR="008A7824">
        <w:noBreakHyphen/>
      </w:r>
      <w:r w:rsidR="008A7824">
        <w:rPr>
          <w:noProof/>
        </w:rPr>
        <w:t>9</w:t>
      </w:r>
      <w:r w:rsidR="000532C8">
        <w:fldChar w:fldCharType="end"/>
      </w:r>
      <w:r w:rsidRPr="00015341">
        <w:t xml:space="preserve"> summarizes the EDCs’ spending on incentives and program overhead costs in PY7. The table also shows that the EDCs’ portfolios collectively generated </w:t>
      </w:r>
      <w:r w:rsidR="000532C8">
        <w:t xml:space="preserve">more than </w:t>
      </w:r>
      <w:r w:rsidRPr="00015341">
        <w:t>$</w:t>
      </w:r>
      <w:r w:rsidR="000532C8">
        <w:t>1</w:t>
      </w:r>
      <w:r w:rsidRPr="00015341">
        <w:t xml:space="preserve"> </w:t>
      </w:r>
      <w:r w:rsidR="000532C8">
        <w:t>b</w:t>
      </w:r>
      <w:r w:rsidRPr="00015341">
        <w:t>illion in NPV benefits in PY7. This compares with total TRC costs of approximately $</w:t>
      </w:r>
      <w:r w:rsidR="000532C8">
        <w:t>56</w:t>
      </w:r>
      <w:r w:rsidR="00B164DC">
        <w:t>5</w:t>
      </w:r>
      <w:r w:rsidRPr="00015341">
        <w:t xml:space="preserve"> million. The total EDC incentives were about $</w:t>
      </w:r>
      <w:r w:rsidR="000532C8">
        <w:t>1</w:t>
      </w:r>
      <w:r w:rsidR="00B164DC">
        <w:t>07</w:t>
      </w:r>
      <w:r w:rsidRPr="00015341">
        <w:t xml:space="preserve"> million, and net participant costs accounted for nearly $</w:t>
      </w:r>
      <w:r w:rsidR="000532C8">
        <w:t>3</w:t>
      </w:r>
      <w:r w:rsidR="00B164DC">
        <w:t>37</w:t>
      </w:r>
      <w:r w:rsidRPr="00015341">
        <w:t xml:space="preserve"> million. The total EDC program overhead costs were nearly </w:t>
      </w:r>
      <w:r w:rsidRPr="00015341">
        <w:lastRenderedPageBreak/>
        <w:t>$</w:t>
      </w:r>
      <w:r w:rsidR="000532C8">
        <w:t>12</w:t>
      </w:r>
      <w:r w:rsidR="00B164DC">
        <w:t>1</w:t>
      </w:r>
      <w:r w:rsidRPr="00015341">
        <w:t xml:space="preserve"> million. The total TRC B/C ratio of all EDC programs </w:t>
      </w:r>
      <w:r w:rsidR="00B164DC" w:rsidRPr="00015341">
        <w:t xml:space="preserve">was </w:t>
      </w:r>
      <w:r w:rsidR="00F95DF6">
        <w:t>1.7</w:t>
      </w:r>
      <w:r w:rsidR="00B164DC" w:rsidRPr="00015341">
        <w:t>,</w:t>
      </w:r>
      <w:r w:rsidRPr="00015341">
        <w:t xml:space="preserve"> which means that as a group, the EDCs continued to operate their programs in a cost-effective manner in PY7</w:t>
      </w:r>
      <w:r>
        <w:t>.</w:t>
      </w:r>
    </w:p>
    <w:p w:rsidR="000532C8" w:rsidRDefault="000532C8" w:rsidP="00015341"/>
    <w:p w:rsidR="00015341" w:rsidRDefault="000532C8" w:rsidP="000532C8">
      <w:pPr>
        <w:pStyle w:val="Caption"/>
      </w:pPr>
      <w:bookmarkStart w:id="100" w:name="_Ref472408703"/>
      <w:bookmarkStart w:id="101" w:name="_Toc472472163"/>
      <w:bookmarkStart w:id="102" w:name="_Toc476913975"/>
      <w:r>
        <w:t xml:space="preserve">Table </w:t>
      </w:r>
      <w:fldSimple w:instr=" STYLEREF 1 \s ">
        <w:r w:rsidR="008A7824">
          <w:rPr>
            <w:noProof/>
          </w:rPr>
          <w:t>2</w:t>
        </w:r>
      </w:fldSimple>
      <w:r w:rsidR="00E6042C">
        <w:noBreakHyphen/>
      </w:r>
      <w:fldSimple w:instr=" SEQ Table \* ARABIC \s 1 ">
        <w:r w:rsidR="008A7824">
          <w:rPr>
            <w:noProof/>
          </w:rPr>
          <w:t>9</w:t>
        </w:r>
      </w:fldSimple>
      <w:bookmarkEnd w:id="100"/>
      <w:r>
        <w:t xml:space="preserve">:  </w:t>
      </w:r>
      <w:r w:rsidRPr="006A7FE8">
        <w:t xml:space="preserve">Summary of </w:t>
      </w:r>
      <w:r>
        <w:t>Statewide Portfolio Finances for PY7</w:t>
      </w:r>
      <w:bookmarkEnd w:id="101"/>
      <w:bookmarkEnd w:id="102"/>
    </w:p>
    <w:tbl>
      <w:tblPr>
        <w:tblW w:w="9360" w:type="dxa"/>
        <w:tblInd w:w="108" w:type="dxa"/>
        <w:tblLook w:val="04A0" w:firstRow="1" w:lastRow="0" w:firstColumn="1" w:lastColumn="0" w:noHBand="0" w:noVBand="1"/>
      </w:tblPr>
      <w:tblGrid>
        <w:gridCol w:w="5440"/>
        <w:gridCol w:w="3920"/>
      </w:tblGrid>
      <w:tr w:rsidR="00E7173E" w:rsidTr="00592FD5">
        <w:trPr>
          <w:trHeight w:val="315"/>
          <w:tblHeader/>
        </w:trPr>
        <w:tc>
          <w:tcPr>
            <w:tcW w:w="5440" w:type="dxa"/>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015341" w:rsidRDefault="00015341" w:rsidP="0023582E">
            <w:pPr>
              <w:rPr>
                <w:b/>
                <w:bCs/>
                <w:color w:val="FFFFFF"/>
                <w:sz w:val="20"/>
                <w:szCs w:val="20"/>
              </w:rPr>
            </w:pPr>
            <w:r>
              <w:rPr>
                <w:b/>
                <w:bCs/>
                <w:color w:val="FFFFFF"/>
                <w:sz w:val="20"/>
                <w:szCs w:val="20"/>
              </w:rPr>
              <w:t> Element</w:t>
            </w:r>
          </w:p>
        </w:tc>
        <w:tc>
          <w:tcPr>
            <w:tcW w:w="3920" w:type="dxa"/>
            <w:tcBorders>
              <w:top w:val="single" w:sz="8" w:space="0" w:color="448A99"/>
              <w:left w:val="nil"/>
              <w:bottom w:val="single" w:sz="8" w:space="0" w:color="448A99"/>
              <w:right w:val="single" w:sz="8" w:space="0" w:color="448A99"/>
            </w:tcBorders>
            <w:shd w:val="clear" w:color="000000" w:fill="448A99"/>
            <w:vAlign w:val="center"/>
            <w:hideMark/>
          </w:tcPr>
          <w:p w:rsidR="00015341" w:rsidRDefault="00015341" w:rsidP="0023582E">
            <w:pPr>
              <w:jc w:val="center"/>
              <w:rPr>
                <w:b/>
                <w:bCs/>
                <w:color w:val="FFFFFF"/>
                <w:sz w:val="20"/>
                <w:szCs w:val="20"/>
              </w:rPr>
            </w:pPr>
            <w:r>
              <w:rPr>
                <w:b/>
                <w:bCs/>
                <w:color w:val="FFFFFF"/>
                <w:sz w:val="20"/>
                <w:szCs w:val="20"/>
              </w:rPr>
              <w:t>PY7 ($000)</w:t>
            </w:r>
          </w:p>
        </w:tc>
      </w:tr>
      <w:tr w:rsidR="00E7173E" w:rsidTr="00592FD5">
        <w:trPr>
          <w:trHeight w:val="317"/>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Default="00015341" w:rsidP="0023582E">
            <w:pPr>
              <w:rPr>
                <w:b/>
                <w:bCs/>
                <w:color w:val="000000"/>
                <w:sz w:val="20"/>
                <w:szCs w:val="20"/>
              </w:rPr>
            </w:pPr>
            <w:r>
              <w:rPr>
                <w:b/>
                <w:bCs/>
                <w:color w:val="000000"/>
                <w:sz w:val="20"/>
                <w:szCs w:val="20"/>
              </w:rPr>
              <w:t>Incremental Measure Costs</w:t>
            </w:r>
          </w:p>
        </w:tc>
        <w:tc>
          <w:tcPr>
            <w:tcW w:w="3920" w:type="dxa"/>
            <w:tcBorders>
              <w:top w:val="nil"/>
              <w:left w:val="nil"/>
              <w:bottom w:val="single" w:sz="8" w:space="0" w:color="448A99"/>
              <w:right w:val="single" w:sz="8" w:space="0" w:color="448A99"/>
            </w:tcBorders>
            <w:shd w:val="clear" w:color="auto" w:fill="auto"/>
            <w:vAlign w:val="center"/>
            <w:hideMark/>
          </w:tcPr>
          <w:p w:rsidR="00015341" w:rsidRDefault="00015341" w:rsidP="0023582E">
            <w:pPr>
              <w:jc w:val="center"/>
              <w:rPr>
                <w:color w:val="000000"/>
                <w:sz w:val="20"/>
                <w:szCs w:val="20"/>
              </w:rPr>
            </w:pPr>
            <w:r>
              <w:rPr>
                <w:color w:val="000000"/>
                <w:sz w:val="20"/>
                <w:szCs w:val="20"/>
              </w:rPr>
              <w:t>$444,312</w:t>
            </w:r>
          </w:p>
        </w:tc>
      </w:tr>
      <w:tr w:rsidR="00E7173E" w:rsidTr="00592FD5">
        <w:trPr>
          <w:trHeight w:val="317"/>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Default="00015341" w:rsidP="0023582E">
            <w:pPr>
              <w:rPr>
                <w:color w:val="000000"/>
                <w:sz w:val="20"/>
                <w:szCs w:val="20"/>
              </w:rPr>
            </w:pPr>
            <w:r>
              <w:rPr>
                <w:color w:val="000000"/>
                <w:sz w:val="20"/>
                <w:szCs w:val="20"/>
              </w:rPr>
              <w:t>EDC Incentives to Participants</w:t>
            </w:r>
          </w:p>
        </w:tc>
        <w:tc>
          <w:tcPr>
            <w:tcW w:w="3920" w:type="dxa"/>
            <w:tcBorders>
              <w:top w:val="nil"/>
              <w:left w:val="nil"/>
              <w:bottom w:val="single" w:sz="8" w:space="0" w:color="448A99"/>
              <w:right w:val="single" w:sz="8" w:space="0" w:color="448A99"/>
            </w:tcBorders>
            <w:shd w:val="clear" w:color="000000" w:fill="D2EAF1"/>
            <w:vAlign w:val="center"/>
            <w:hideMark/>
          </w:tcPr>
          <w:p w:rsidR="00015341" w:rsidRDefault="00015341" w:rsidP="0023582E">
            <w:pPr>
              <w:jc w:val="center"/>
              <w:rPr>
                <w:color w:val="000000"/>
                <w:sz w:val="20"/>
                <w:szCs w:val="20"/>
              </w:rPr>
            </w:pPr>
            <w:r>
              <w:rPr>
                <w:color w:val="000000"/>
                <w:sz w:val="20"/>
                <w:szCs w:val="20"/>
              </w:rPr>
              <w:t>$107,071</w:t>
            </w:r>
          </w:p>
        </w:tc>
      </w:tr>
      <w:tr w:rsidR="00E7173E" w:rsidTr="00592FD5">
        <w:trPr>
          <w:trHeight w:val="317"/>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Default="00015341" w:rsidP="0023582E">
            <w:pPr>
              <w:rPr>
                <w:color w:val="000000"/>
                <w:sz w:val="20"/>
                <w:szCs w:val="20"/>
              </w:rPr>
            </w:pPr>
            <w:r>
              <w:rPr>
                <w:color w:val="000000"/>
                <w:sz w:val="20"/>
                <w:szCs w:val="20"/>
              </w:rPr>
              <w:t>EDC Incentives to Trade Allies</w:t>
            </w:r>
          </w:p>
        </w:tc>
        <w:tc>
          <w:tcPr>
            <w:tcW w:w="3920" w:type="dxa"/>
            <w:tcBorders>
              <w:top w:val="nil"/>
              <w:left w:val="nil"/>
              <w:bottom w:val="single" w:sz="8" w:space="0" w:color="448A99"/>
              <w:right w:val="single" w:sz="8" w:space="0" w:color="448A99"/>
            </w:tcBorders>
            <w:shd w:val="clear" w:color="auto" w:fill="auto"/>
            <w:vAlign w:val="center"/>
            <w:hideMark/>
          </w:tcPr>
          <w:p w:rsidR="00015341" w:rsidRDefault="00015341" w:rsidP="0023582E">
            <w:pPr>
              <w:jc w:val="center"/>
              <w:rPr>
                <w:color w:val="000000"/>
                <w:sz w:val="20"/>
                <w:szCs w:val="20"/>
              </w:rPr>
            </w:pPr>
            <w:r>
              <w:rPr>
                <w:color w:val="000000"/>
                <w:sz w:val="20"/>
                <w:szCs w:val="20"/>
              </w:rPr>
              <w:t>$348</w:t>
            </w:r>
          </w:p>
        </w:tc>
      </w:tr>
      <w:tr w:rsidR="00E7173E" w:rsidTr="00592FD5">
        <w:trPr>
          <w:trHeight w:val="317"/>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Default="00015341" w:rsidP="003E702C">
            <w:pPr>
              <w:rPr>
                <w:color w:val="000000"/>
                <w:sz w:val="20"/>
                <w:szCs w:val="20"/>
              </w:rPr>
            </w:pPr>
            <w:r>
              <w:rPr>
                <w:color w:val="000000"/>
                <w:sz w:val="20"/>
                <w:szCs w:val="20"/>
              </w:rPr>
              <w:t xml:space="preserve">Participant Costs (net of incentives/rebates paid by </w:t>
            </w:r>
            <w:r w:rsidR="000623A4">
              <w:rPr>
                <w:color w:val="000000"/>
                <w:sz w:val="20"/>
                <w:szCs w:val="20"/>
              </w:rPr>
              <w:t>utilities)</w:t>
            </w:r>
            <w:r w:rsidR="000623A4">
              <w:rPr>
                <w:color w:val="000000"/>
                <w:sz w:val="20"/>
                <w:szCs w:val="20"/>
                <w:vertAlign w:val="superscript"/>
              </w:rPr>
              <w:t xml:space="preserve"> [</w:t>
            </w:r>
            <w:r w:rsidR="003E702C">
              <w:rPr>
                <w:color w:val="000000"/>
                <w:sz w:val="20"/>
                <w:szCs w:val="20"/>
                <w:vertAlign w:val="superscript"/>
              </w:rPr>
              <w:t>a</w:t>
            </w:r>
            <w:r>
              <w:rPr>
                <w:color w:val="000000"/>
                <w:sz w:val="20"/>
                <w:szCs w:val="20"/>
                <w:vertAlign w:val="superscript"/>
              </w:rPr>
              <w:t>]</w:t>
            </w:r>
          </w:p>
        </w:tc>
        <w:tc>
          <w:tcPr>
            <w:tcW w:w="3920" w:type="dxa"/>
            <w:tcBorders>
              <w:top w:val="nil"/>
              <w:left w:val="nil"/>
              <w:bottom w:val="single" w:sz="8" w:space="0" w:color="448A99"/>
              <w:right w:val="single" w:sz="8" w:space="0" w:color="448A99"/>
            </w:tcBorders>
            <w:shd w:val="clear" w:color="000000" w:fill="D2EAF1"/>
            <w:vAlign w:val="center"/>
            <w:hideMark/>
          </w:tcPr>
          <w:p w:rsidR="00015341" w:rsidRDefault="00015341" w:rsidP="0023582E">
            <w:pPr>
              <w:jc w:val="center"/>
              <w:rPr>
                <w:color w:val="000000"/>
                <w:sz w:val="20"/>
                <w:szCs w:val="20"/>
              </w:rPr>
            </w:pPr>
            <w:r>
              <w:rPr>
                <w:color w:val="000000"/>
                <w:sz w:val="20"/>
                <w:szCs w:val="20"/>
              </w:rPr>
              <w:t>$336,893</w:t>
            </w:r>
          </w:p>
        </w:tc>
      </w:tr>
      <w:tr w:rsidR="00E7173E" w:rsidTr="00592FD5">
        <w:trPr>
          <w:trHeight w:val="20"/>
        </w:trPr>
        <w:tc>
          <w:tcPr>
            <w:tcW w:w="5440" w:type="dxa"/>
            <w:tcBorders>
              <w:top w:val="nil"/>
              <w:left w:val="single" w:sz="8" w:space="0" w:color="448A99"/>
              <w:bottom w:val="single" w:sz="8" w:space="0" w:color="448A99"/>
              <w:right w:val="nil"/>
            </w:tcBorders>
            <w:shd w:val="clear" w:color="000000" w:fill="9C9393"/>
            <w:vAlign w:val="center"/>
            <w:hideMark/>
          </w:tcPr>
          <w:p w:rsidR="00015341" w:rsidRDefault="00015341" w:rsidP="0023582E">
            <w:pPr>
              <w:rPr>
                <w:color w:val="000000"/>
                <w:sz w:val="10"/>
                <w:szCs w:val="10"/>
              </w:rPr>
            </w:pPr>
            <w:r>
              <w:rPr>
                <w:color w:val="000000"/>
                <w:sz w:val="10"/>
                <w:szCs w:val="10"/>
              </w:rPr>
              <w:t> </w:t>
            </w:r>
          </w:p>
        </w:tc>
        <w:tc>
          <w:tcPr>
            <w:tcW w:w="3920" w:type="dxa"/>
            <w:tcBorders>
              <w:top w:val="nil"/>
              <w:left w:val="nil"/>
              <w:bottom w:val="single" w:sz="8" w:space="0" w:color="448A99"/>
              <w:right w:val="single" w:sz="8" w:space="0" w:color="448A99"/>
            </w:tcBorders>
            <w:shd w:val="clear" w:color="000000" w:fill="9C9393"/>
            <w:vAlign w:val="center"/>
            <w:hideMark/>
          </w:tcPr>
          <w:p w:rsidR="00015341" w:rsidRDefault="00015341" w:rsidP="0023582E">
            <w:pPr>
              <w:rPr>
                <w:color w:val="000000"/>
                <w:sz w:val="10"/>
                <w:szCs w:val="10"/>
              </w:rPr>
            </w:pPr>
            <w:r>
              <w:rPr>
                <w:color w:val="000000"/>
                <w:sz w:val="10"/>
                <w:szCs w:val="10"/>
              </w:rPr>
              <w:t> </w:t>
            </w:r>
          </w:p>
        </w:tc>
      </w:tr>
      <w:tr w:rsidR="00E7173E" w:rsidTr="00592FD5">
        <w:trPr>
          <w:trHeight w:val="315"/>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Default="00015341" w:rsidP="0023582E">
            <w:pPr>
              <w:rPr>
                <w:b/>
                <w:bCs/>
                <w:color w:val="000000"/>
                <w:sz w:val="20"/>
                <w:szCs w:val="20"/>
              </w:rPr>
            </w:pPr>
            <w:r>
              <w:rPr>
                <w:b/>
                <w:bCs/>
                <w:color w:val="000000"/>
                <w:sz w:val="20"/>
                <w:szCs w:val="20"/>
              </w:rPr>
              <w:t>Program Overhead Costs</w:t>
            </w:r>
          </w:p>
        </w:tc>
        <w:tc>
          <w:tcPr>
            <w:tcW w:w="3920" w:type="dxa"/>
            <w:tcBorders>
              <w:top w:val="nil"/>
              <w:left w:val="nil"/>
              <w:bottom w:val="single" w:sz="8" w:space="0" w:color="448A99"/>
              <w:right w:val="single" w:sz="8" w:space="0" w:color="448A99"/>
            </w:tcBorders>
            <w:shd w:val="clear" w:color="auto" w:fill="auto"/>
            <w:vAlign w:val="center"/>
            <w:hideMark/>
          </w:tcPr>
          <w:p w:rsidR="00015341" w:rsidRDefault="00015341" w:rsidP="0023582E">
            <w:pPr>
              <w:jc w:val="center"/>
              <w:rPr>
                <w:color w:val="000000"/>
                <w:sz w:val="20"/>
                <w:szCs w:val="20"/>
              </w:rPr>
            </w:pPr>
            <w:r>
              <w:rPr>
                <w:color w:val="000000"/>
                <w:sz w:val="20"/>
                <w:szCs w:val="20"/>
              </w:rPr>
              <w:t>$121,035</w:t>
            </w:r>
          </w:p>
        </w:tc>
      </w:tr>
      <w:tr w:rsidR="00E7173E" w:rsidTr="00592FD5">
        <w:trPr>
          <w:trHeight w:val="315"/>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Default="00015341" w:rsidP="00B164DC">
            <w:pPr>
              <w:rPr>
                <w:color w:val="000000"/>
                <w:sz w:val="20"/>
                <w:szCs w:val="20"/>
              </w:rPr>
            </w:pPr>
            <w:r>
              <w:rPr>
                <w:color w:val="000000"/>
                <w:sz w:val="20"/>
                <w:szCs w:val="20"/>
              </w:rPr>
              <w:t xml:space="preserve">Design </w:t>
            </w:r>
            <w:r w:rsidR="00B164DC">
              <w:rPr>
                <w:color w:val="000000"/>
                <w:sz w:val="20"/>
                <w:szCs w:val="20"/>
              </w:rPr>
              <w:t>and</w:t>
            </w:r>
            <w:r>
              <w:rPr>
                <w:color w:val="000000"/>
                <w:sz w:val="20"/>
                <w:szCs w:val="20"/>
              </w:rPr>
              <w:t xml:space="preserve"> Development</w:t>
            </w:r>
          </w:p>
        </w:tc>
        <w:tc>
          <w:tcPr>
            <w:tcW w:w="3920" w:type="dxa"/>
            <w:tcBorders>
              <w:top w:val="nil"/>
              <w:left w:val="nil"/>
              <w:bottom w:val="single" w:sz="8" w:space="0" w:color="448A99"/>
              <w:right w:val="single" w:sz="8" w:space="0" w:color="448A99"/>
            </w:tcBorders>
            <w:shd w:val="clear" w:color="000000" w:fill="D2EAF1"/>
            <w:vAlign w:val="center"/>
            <w:hideMark/>
          </w:tcPr>
          <w:p w:rsidR="00015341" w:rsidRDefault="00015341" w:rsidP="0023582E">
            <w:pPr>
              <w:jc w:val="center"/>
              <w:rPr>
                <w:color w:val="000000"/>
                <w:sz w:val="20"/>
                <w:szCs w:val="20"/>
              </w:rPr>
            </w:pPr>
            <w:r>
              <w:rPr>
                <w:color w:val="000000"/>
                <w:sz w:val="20"/>
                <w:szCs w:val="20"/>
              </w:rPr>
              <w:t>$469</w:t>
            </w:r>
          </w:p>
        </w:tc>
      </w:tr>
      <w:tr w:rsidR="00E7173E" w:rsidTr="00592FD5">
        <w:trPr>
          <w:trHeight w:val="315"/>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Default="00015341" w:rsidP="003E702C">
            <w:pPr>
              <w:rPr>
                <w:color w:val="000000"/>
                <w:sz w:val="20"/>
                <w:szCs w:val="20"/>
              </w:rPr>
            </w:pPr>
            <w:r>
              <w:rPr>
                <w:color w:val="000000"/>
                <w:sz w:val="20"/>
                <w:szCs w:val="20"/>
              </w:rPr>
              <w:t>Administration, Management</w:t>
            </w:r>
            <w:r w:rsidR="00B164DC">
              <w:rPr>
                <w:color w:val="000000"/>
                <w:sz w:val="20"/>
                <w:szCs w:val="20"/>
              </w:rPr>
              <w:t>,</w:t>
            </w:r>
            <w:r>
              <w:rPr>
                <w:color w:val="000000"/>
                <w:sz w:val="20"/>
                <w:szCs w:val="20"/>
              </w:rPr>
              <w:t xml:space="preserve"> and Technical </w:t>
            </w:r>
            <w:r w:rsidR="000623A4">
              <w:rPr>
                <w:color w:val="000000"/>
                <w:sz w:val="20"/>
                <w:szCs w:val="20"/>
              </w:rPr>
              <w:t>Assistance</w:t>
            </w:r>
            <w:r w:rsidR="000623A4">
              <w:rPr>
                <w:color w:val="000000"/>
                <w:sz w:val="20"/>
                <w:szCs w:val="20"/>
                <w:vertAlign w:val="superscript"/>
              </w:rPr>
              <w:t xml:space="preserve"> [</w:t>
            </w:r>
            <w:r w:rsidR="003E702C">
              <w:rPr>
                <w:color w:val="000000"/>
                <w:sz w:val="20"/>
                <w:szCs w:val="20"/>
                <w:vertAlign w:val="superscript"/>
              </w:rPr>
              <w:t>b</w:t>
            </w:r>
            <w:r>
              <w:rPr>
                <w:color w:val="000000"/>
                <w:sz w:val="20"/>
                <w:szCs w:val="20"/>
                <w:vertAlign w:val="superscript"/>
              </w:rPr>
              <w:t>]</w:t>
            </w:r>
          </w:p>
        </w:tc>
        <w:tc>
          <w:tcPr>
            <w:tcW w:w="3920" w:type="dxa"/>
            <w:tcBorders>
              <w:top w:val="nil"/>
              <w:left w:val="nil"/>
              <w:bottom w:val="single" w:sz="8" w:space="0" w:color="448A99"/>
              <w:right w:val="single" w:sz="8" w:space="0" w:color="448A99"/>
            </w:tcBorders>
            <w:shd w:val="clear" w:color="auto" w:fill="auto"/>
            <w:vAlign w:val="center"/>
            <w:hideMark/>
          </w:tcPr>
          <w:p w:rsidR="00015341" w:rsidRDefault="00015341" w:rsidP="0023582E">
            <w:pPr>
              <w:jc w:val="center"/>
              <w:rPr>
                <w:color w:val="000000"/>
                <w:sz w:val="20"/>
                <w:szCs w:val="20"/>
              </w:rPr>
            </w:pPr>
            <w:r>
              <w:rPr>
                <w:color w:val="000000"/>
                <w:sz w:val="20"/>
                <w:szCs w:val="20"/>
              </w:rPr>
              <w:t>$88,593</w:t>
            </w:r>
          </w:p>
        </w:tc>
      </w:tr>
      <w:tr w:rsidR="00E7173E" w:rsidTr="00592FD5">
        <w:trPr>
          <w:trHeight w:val="315"/>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Default="000623A4" w:rsidP="003E702C">
            <w:pPr>
              <w:rPr>
                <w:color w:val="000000"/>
                <w:sz w:val="20"/>
                <w:szCs w:val="20"/>
              </w:rPr>
            </w:pPr>
            <w:r>
              <w:rPr>
                <w:color w:val="000000"/>
                <w:sz w:val="20"/>
                <w:szCs w:val="20"/>
              </w:rPr>
              <w:t>Marketing</w:t>
            </w:r>
            <w:r>
              <w:rPr>
                <w:color w:val="000000"/>
                <w:sz w:val="20"/>
                <w:szCs w:val="20"/>
                <w:vertAlign w:val="superscript"/>
              </w:rPr>
              <w:t xml:space="preserve"> [</w:t>
            </w:r>
            <w:r w:rsidR="003E702C">
              <w:rPr>
                <w:color w:val="000000"/>
                <w:sz w:val="20"/>
                <w:szCs w:val="20"/>
                <w:vertAlign w:val="superscript"/>
              </w:rPr>
              <w:t>c</w:t>
            </w:r>
            <w:r w:rsidR="00015341">
              <w:rPr>
                <w:color w:val="000000"/>
                <w:sz w:val="20"/>
                <w:szCs w:val="20"/>
                <w:vertAlign w:val="superscript"/>
              </w:rPr>
              <w:t>]</w:t>
            </w:r>
          </w:p>
        </w:tc>
        <w:tc>
          <w:tcPr>
            <w:tcW w:w="3920" w:type="dxa"/>
            <w:tcBorders>
              <w:top w:val="nil"/>
              <w:left w:val="nil"/>
              <w:bottom w:val="single" w:sz="8" w:space="0" w:color="448A99"/>
              <w:right w:val="single" w:sz="8" w:space="0" w:color="448A99"/>
            </w:tcBorders>
            <w:shd w:val="clear" w:color="000000" w:fill="D2EAF1"/>
            <w:vAlign w:val="center"/>
            <w:hideMark/>
          </w:tcPr>
          <w:p w:rsidR="00015341" w:rsidRDefault="00015341" w:rsidP="0023582E">
            <w:pPr>
              <w:jc w:val="center"/>
              <w:rPr>
                <w:color w:val="000000"/>
                <w:sz w:val="20"/>
                <w:szCs w:val="20"/>
              </w:rPr>
            </w:pPr>
            <w:r>
              <w:rPr>
                <w:color w:val="000000"/>
                <w:sz w:val="20"/>
                <w:szCs w:val="20"/>
              </w:rPr>
              <w:t>$16,744</w:t>
            </w:r>
          </w:p>
        </w:tc>
      </w:tr>
      <w:tr w:rsidR="00E7173E" w:rsidTr="00592FD5">
        <w:trPr>
          <w:trHeight w:val="315"/>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Default="00015341" w:rsidP="0023582E">
            <w:pPr>
              <w:rPr>
                <w:color w:val="000000"/>
                <w:sz w:val="20"/>
                <w:szCs w:val="20"/>
              </w:rPr>
            </w:pPr>
            <w:r>
              <w:rPr>
                <w:color w:val="000000"/>
                <w:sz w:val="20"/>
                <w:szCs w:val="20"/>
              </w:rPr>
              <w:t>EDC Evaluation Costs</w:t>
            </w:r>
          </w:p>
        </w:tc>
        <w:tc>
          <w:tcPr>
            <w:tcW w:w="3920" w:type="dxa"/>
            <w:tcBorders>
              <w:top w:val="nil"/>
              <w:left w:val="nil"/>
              <w:bottom w:val="single" w:sz="8" w:space="0" w:color="448A99"/>
              <w:right w:val="single" w:sz="8" w:space="0" w:color="448A99"/>
            </w:tcBorders>
            <w:shd w:val="clear" w:color="auto" w:fill="auto"/>
            <w:vAlign w:val="center"/>
            <w:hideMark/>
          </w:tcPr>
          <w:p w:rsidR="00015341" w:rsidRDefault="00015341" w:rsidP="0023582E">
            <w:pPr>
              <w:jc w:val="center"/>
              <w:rPr>
                <w:color w:val="000000"/>
                <w:sz w:val="20"/>
                <w:szCs w:val="20"/>
              </w:rPr>
            </w:pPr>
            <w:r>
              <w:rPr>
                <w:color w:val="000000"/>
                <w:sz w:val="20"/>
                <w:szCs w:val="20"/>
              </w:rPr>
              <w:t>$14,554</w:t>
            </w:r>
          </w:p>
        </w:tc>
      </w:tr>
      <w:tr w:rsidR="00E7173E" w:rsidTr="00592FD5">
        <w:trPr>
          <w:trHeight w:val="315"/>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Default="00015341" w:rsidP="0023582E">
            <w:pPr>
              <w:rPr>
                <w:color w:val="000000"/>
                <w:sz w:val="20"/>
                <w:szCs w:val="20"/>
              </w:rPr>
            </w:pPr>
            <w:r>
              <w:rPr>
                <w:color w:val="000000"/>
                <w:sz w:val="20"/>
                <w:szCs w:val="20"/>
              </w:rPr>
              <w:t xml:space="preserve">SWE Audit Costs </w:t>
            </w:r>
          </w:p>
        </w:tc>
        <w:tc>
          <w:tcPr>
            <w:tcW w:w="3920" w:type="dxa"/>
            <w:tcBorders>
              <w:top w:val="nil"/>
              <w:left w:val="nil"/>
              <w:bottom w:val="single" w:sz="8" w:space="0" w:color="448A99"/>
              <w:right w:val="single" w:sz="8" w:space="0" w:color="448A99"/>
            </w:tcBorders>
            <w:shd w:val="clear" w:color="000000" w:fill="D2EAF1"/>
            <w:vAlign w:val="center"/>
            <w:hideMark/>
          </w:tcPr>
          <w:p w:rsidR="00015341" w:rsidRDefault="00015341" w:rsidP="0023582E">
            <w:pPr>
              <w:jc w:val="center"/>
              <w:rPr>
                <w:color w:val="000000"/>
                <w:sz w:val="20"/>
                <w:szCs w:val="20"/>
              </w:rPr>
            </w:pPr>
            <w:r>
              <w:rPr>
                <w:color w:val="000000"/>
                <w:sz w:val="20"/>
                <w:szCs w:val="20"/>
              </w:rPr>
              <w:t>$675</w:t>
            </w:r>
          </w:p>
        </w:tc>
      </w:tr>
      <w:tr w:rsidR="00E7173E" w:rsidTr="00592FD5">
        <w:trPr>
          <w:trHeight w:val="20"/>
        </w:trPr>
        <w:tc>
          <w:tcPr>
            <w:tcW w:w="5440" w:type="dxa"/>
            <w:tcBorders>
              <w:top w:val="nil"/>
              <w:left w:val="single" w:sz="8" w:space="0" w:color="448A99"/>
              <w:bottom w:val="single" w:sz="8" w:space="0" w:color="448A99"/>
              <w:right w:val="nil"/>
            </w:tcBorders>
            <w:shd w:val="clear" w:color="000000" w:fill="9C9393"/>
            <w:vAlign w:val="center"/>
            <w:hideMark/>
          </w:tcPr>
          <w:p w:rsidR="00015341" w:rsidRDefault="00015341" w:rsidP="0023582E">
            <w:pPr>
              <w:rPr>
                <w:b/>
                <w:bCs/>
                <w:color w:val="000000"/>
                <w:sz w:val="10"/>
                <w:szCs w:val="10"/>
              </w:rPr>
            </w:pPr>
            <w:r>
              <w:rPr>
                <w:b/>
                <w:bCs/>
                <w:color w:val="000000"/>
                <w:sz w:val="10"/>
                <w:szCs w:val="10"/>
              </w:rPr>
              <w:t> </w:t>
            </w:r>
          </w:p>
        </w:tc>
        <w:tc>
          <w:tcPr>
            <w:tcW w:w="3920" w:type="dxa"/>
            <w:tcBorders>
              <w:top w:val="nil"/>
              <w:left w:val="nil"/>
              <w:bottom w:val="single" w:sz="8" w:space="0" w:color="448A99"/>
              <w:right w:val="single" w:sz="8" w:space="0" w:color="448A99"/>
            </w:tcBorders>
            <w:shd w:val="clear" w:color="000000" w:fill="9C9393"/>
            <w:vAlign w:val="center"/>
            <w:hideMark/>
          </w:tcPr>
          <w:p w:rsidR="00015341" w:rsidRDefault="00015341" w:rsidP="0023582E">
            <w:pPr>
              <w:rPr>
                <w:color w:val="000000"/>
                <w:sz w:val="10"/>
                <w:szCs w:val="10"/>
              </w:rPr>
            </w:pPr>
            <w:r>
              <w:rPr>
                <w:color w:val="000000"/>
                <w:sz w:val="10"/>
                <w:szCs w:val="10"/>
              </w:rPr>
              <w:t> </w:t>
            </w:r>
          </w:p>
        </w:tc>
      </w:tr>
      <w:tr w:rsidR="00E7173E" w:rsidTr="00592FD5">
        <w:trPr>
          <w:trHeight w:val="315"/>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Default="00015341" w:rsidP="003E702C">
            <w:pPr>
              <w:rPr>
                <w:b/>
                <w:bCs/>
                <w:color w:val="000000"/>
                <w:sz w:val="20"/>
                <w:szCs w:val="20"/>
              </w:rPr>
            </w:pPr>
            <w:r>
              <w:rPr>
                <w:b/>
                <w:bCs/>
                <w:color w:val="000000"/>
                <w:sz w:val="20"/>
                <w:szCs w:val="20"/>
              </w:rPr>
              <w:t xml:space="preserve">Total TRC </w:t>
            </w:r>
            <w:r w:rsidR="000623A4">
              <w:rPr>
                <w:b/>
                <w:bCs/>
                <w:color w:val="000000"/>
                <w:sz w:val="20"/>
                <w:szCs w:val="20"/>
              </w:rPr>
              <w:t>Costs</w:t>
            </w:r>
            <w:r w:rsidR="000623A4">
              <w:rPr>
                <w:b/>
                <w:bCs/>
                <w:color w:val="000000"/>
                <w:sz w:val="20"/>
                <w:szCs w:val="20"/>
                <w:vertAlign w:val="superscript"/>
              </w:rPr>
              <w:t xml:space="preserve"> [</w:t>
            </w:r>
            <w:r w:rsidR="003E702C">
              <w:rPr>
                <w:b/>
                <w:bCs/>
                <w:color w:val="000000"/>
                <w:sz w:val="20"/>
                <w:szCs w:val="20"/>
                <w:vertAlign w:val="superscript"/>
              </w:rPr>
              <w:t>d</w:t>
            </w:r>
            <w:r>
              <w:rPr>
                <w:b/>
                <w:bCs/>
                <w:color w:val="000000"/>
                <w:sz w:val="20"/>
                <w:szCs w:val="20"/>
                <w:vertAlign w:val="superscript"/>
              </w:rPr>
              <w:t>]</w:t>
            </w:r>
          </w:p>
        </w:tc>
        <w:tc>
          <w:tcPr>
            <w:tcW w:w="3920" w:type="dxa"/>
            <w:tcBorders>
              <w:top w:val="nil"/>
              <w:left w:val="nil"/>
              <w:bottom w:val="single" w:sz="8" w:space="0" w:color="448A99"/>
              <w:right w:val="single" w:sz="8" w:space="0" w:color="448A99"/>
            </w:tcBorders>
            <w:shd w:val="clear" w:color="auto" w:fill="auto"/>
            <w:vAlign w:val="center"/>
            <w:hideMark/>
          </w:tcPr>
          <w:p w:rsidR="00015341" w:rsidRDefault="00015341" w:rsidP="0023582E">
            <w:pPr>
              <w:jc w:val="center"/>
              <w:rPr>
                <w:color w:val="000000"/>
                <w:sz w:val="20"/>
                <w:szCs w:val="20"/>
              </w:rPr>
            </w:pPr>
            <w:r>
              <w:rPr>
                <w:color w:val="000000"/>
                <w:sz w:val="20"/>
                <w:szCs w:val="20"/>
              </w:rPr>
              <w:t>$</w:t>
            </w:r>
            <w:r w:rsidR="00C0310F" w:rsidRPr="00C0310F">
              <w:rPr>
                <w:color w:val="000000"/>
                <w:sz w:val="20"/>
                <w:szCs w:val="20"/>
              </w:rPr>
              <w:t>583,298</w:t>
            </w:r>
          </w:p>
        </w:tc>
      </w:tr>
      <w:tr w:rsidR="00E7173E" w:rsidTr="00592FD5">
        <w:trPr>
          <w:trHeight w:val="144"/>
        </w:trPr>
        <w:tc>
          <w:tcPr>
            <w:tcW w:w="5440" w:type="dxa"/>
            <w:tcBorders>
              <w:top w:val="nil"/>
              <w:left w:val="single" w:sz="8" w:space="0" w:color="448A99"/>
              <w:bottom w:val="single" w:sz="8" w:space="0" w:color="448A99"/>
              <w:right w:val="nil"/>
            </w:tcBorders>
            <w:shd w:val="clear" w:color="000000" w:fill="9C9393"/>
            <w:vAlign w:val="center"/>
            <w:hideMark/>
          </w:tcPr>
          <w:p w:rsidR="00015341" w:rsidRDefault="00015341" w:rsidP="0023582E">
            <w:pPr>
              <w:rPr>
                <w:b/>
                <w:bCs/>
                <w:color w:val="000000"/>
                <w:sz w:val="10"/>
                <w:szCs w:val="10"/>
              </w:rPr>
            </w:pPr>
            <w:r>
              <w:rPr>
                <w:b/>
                <w:bCs/>
                <w:color w:val="000000"/>
                <w:sz w:val="10"/>
                <w:szCs w:val="10"/>
              </w:rPr>
              <w:t> </w:t>
            </w:r>
          </w:p>
        </w:tc>
        <w:tc>
          <w:tcPr>
            <w:tcW w:w="3920" w:type="dxa"/>
            <w:tcBorders>
              <w:top w:val="nil"/>
              <w:left w:val="nil"/>
              <w:bottom w:val="single" w:sz="8" w:space="0" w:color="448A99"/>
              <w:right w:val="single" w:sz="8" w:space="0" w:color="448A99"/>
            </w:tcBorders>
            <w:shd w:val="clear" w:color="000000" w:fill="9C9393"/>
            <w:vAlign w:val="center"/>
            <w:hideMark/>
          </w:tcPr>
          <w:p w:rsidR="00015341" w:rsidRDefault="00015341" w:rsidP="0023582E">
            <w:pPr>
              <w:rPr>
                <w:color w:val="000000"/>
                <w:sz w:val="10"/>
                <w:szCs w:val="10"/>
              </w:rPr>
            </w:pPr>
            <w:r>
              <w:rPr>
                <w:color w:val="000000"/>
                <w:sz w:val="10"/>
                <w:szCs w:val="10"/>
              </w:rPr>
              <w:t> </w:t>
            </w:r>
          </w:p>
        </w:tc>
      </w:tr>
      <w:tr w:rsidR="00E7173E" w:rsidTr="00592FD5">
        <w:trPr>
          <w:trHeight w:val="315"/>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Default="00015341" w:rsidP="0023582E">
            <w:pPr>
              <w:rPr>
                <w:color w:val="000000"/>
                <w:sz w:val="20"/>
                <w:szCs w:val="20"/>
              </w:rPr>
            </w:pPr>
            <w:r>
              <w:rPr>
                <w:color w:val="000000"/>
                <w:sz w:val="20"/>
                <w:szCs w:val="20"/>
              </w:rPr>
              <w:t>Total NPV Lifetime Energy Benefits</w:t>
            </w:r>
          </w:p>
        </w:tc>
        <w:tc>
          <w:tcPr>
            <w:tcW w:w="3920" w:type="dxa"/>
            <w:tcBorders>
              <w:top w:val="nil"/>
              <w:left w:val="nil"/>
              <w:bottom w:val="single" w:sz="8" w:space="0" w:color="448A99"/>
              <w:right w:val="single" w:sz="8" w:space="0" w:color="448A99"/>
            </w:tcBorders>
            <w:shd w:val="clear" w:color="000000" w:fill="D2EAF1"/>
            <w:vAlign w:val="center"/>
            <w:hideMark/>
          </w:tcPr>
          <w:p w:rsidR="00015341" w:rsidRDefault="00015341" w:rsidP="0023582E">
            <w:pPr>
              <w:jc w:val="center"/>
              <w:rPr>
                <w:color w:val="000000"/>
                <w:sz w:val="20"/>
                <w:szCs w:val="20"/>
              </w:rPr>
            </w:pPr>
            <w:r>
              <w:rPr>
                <w:color w:val="000000"/>
                <w:sz w:val="20"/>
                <w:szCs w:val="20"/>
              </w:rPr>
              <w:t>$884,641</w:t>
            </w:r>
          </w:p>
        </w:tc>
      </w:tr>
      <w:tr w:rsidR="00E7173E" w:rsidTr="00592FD5">
        <w:trPr>
          <w:trHeight w:val="315"/>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Default="00015341" w:rsidP="0023582E">
            <w:pPr>
              <w:rPr>
                <w:color w:val="000000"/>
                <w:sz w:val="20"/>
                <w:szCs w:val="20"/>
              </w:rPr>
            </w:pPr>
            <w:r>
              <w:rPr>
                <w:color w:val="000000"/>
                <w:sz w:val="20"/>
                <w:szCs w:val="20"/>
              </w:rPr>
              <w:t>Total NPV Lifetime Capacity Benefits</w:t>
            </w:r>
          </w:p>
        </w:tc>
        <w:tc>
          <w:tcPr>
            <w:tcW w:w="3920" w:type="dxa"/>
            <w:tcBorders>
              <w:top w:val="nil"/>
              <w:left w:val="nil"/>
              <w:bottom w:val="single" w:sz="8" w:space="0" w:color="448A99"/>
              <w:right w:val="single" w:sz="8" w:space="0" w:color="448A99"/>
            </w:tcBorders>
            <w:shd w:val="clear" w:color="auto" w:fill="auto"/>
            <w:vAlign w:val="center"/>
            <w:hideMark/>
          </w:tcPr>
          <w:p w:rsidR="00015341" w:rsidRDefault="00015341" w:rsidP="0023582E">
            <w:pPr>
              <w:jc w:val="center"/>
              <w:rPr>
                <w:color w:val="000000"/>
                <w:sz w:val="20"/>
                <w:szCs w:val="20"/>
              </w:rPr>
            </w:pPr>
            <w:r>
              <w:rPr>
                <w:color w:val="000000"/>
                <w:sz w:val="20"/>
                <w:szCs w:val="20"/>
              </w:rPr>
              <w:t>$93,027</w:t>
            </w:r>
          </w:p>
        </w:tc>
      </w:tr>
      <w:tr w:rsidR="00E7173E" w:rsidTr="00592FD5">
        <w:trPr>
          <w:trHeight w:val="315"/>
        </w:trPr>
        <w:tc>
          <w:tcPr>
            <w:tcW w:w="5440" w:type="dxa"/>
            <w:tcBorders>
              <w:top w:val="nil"/>
              <w:left w:val="single" w:sz="8" w:space="0" w:color="448A99"/>
              <w:bottom w:val="single" w:sz="8" w:space="0" w:color="448A99"/>
              <w:right w:val="single" w:sz="8" w:space="0" w:color="448A99"/>
            </w:tcBorders>
            <w:shd w:val="clear" w:color="000000" w:fill="D2EAF1"/>
            <w:vAlign w:val="center"/>
            <w:hideMark/>
          </w:tcPr>
          <w:p w:rsidR="00015341" w:rsidRDefault="00015341" w:rsidP="003E702C">
            <w:pPr>
              <w:rPr>
                <w:b/>
                <w:bCs/>
                <w:color w:val="000000"/>
                <w:sz w:val="20"/>
                <w:szCs w:val="20"/>
              </w:rPr>
            </w:pPr>
            <w:r>
              <w:rPr>
                <w:b/>
                <w:bCs/>
                <w:color w:val="000000"/>
                <w:sz w:val="20"/>
                <w:szCs w:val="20"/>
              </w:rPr>
              <w:t xml:space="preserve">Total NPV </w:t>
            </w:r>
            <w:r w:rsidR="000623A4">
              <w:rPr>
                <w:b/>
                <w:bCs/>
                <w:color w:val="000000"/>
                <w:sz w:val="20"/>
                <w:szCs w:val="20"/>
              </w:rPr>
              <w:t>Benefits</w:t>
            </w:r>
            <w:r w:rsidR="000623A4">
              <w:rPr>
                <w:b/>
                <w:bCs/>
                <w:color w:val="000000"/>
                <w:sz w:val="20"/>
                <w:szCs w:val="20"/>
                <w:vertAlign w:val="superscript"/>
              </w:rPr>
              <w:t xml:space="preserve"> [</w:t>
            </w:r>
            <w:r w:rsidR="003E702C">
              <w:rPr>
                <w:b/>
                <w:bCs/>
                <w:color w:val="000000"/>
                <w:sz w:val="20"/>
                <w:szCs w:val="20"/>
                <w:vertAlign w:val="superscript"/>
              </w:rPr>
              <w:t>e</w:t>
            </w:r>
            <w:r>
              <w:rPr>
                <w:b/>
                <w:bCs/>
                <w:color w:val="000000"/>
                <w:sz w:val="20"/>
                <w:szCs w:val="20"/>
                <w:vertAlign w:val="superscript"/>
              </w:rPr>
              <w:t>]</w:t>
            </w:r>
          </w:p>
        </w:tc>
        <w:tc>
          <w:tcPr>
            <w:tcW w:w="3920" w:type="dxa"/>
            <w:tcBorders>
              <w:top w:val="nil"/>
              <w:left w:val="nil"/>
              <w:bottom w:val="single" w:sz="8" w:space="0" w:color="448A99"/>
              <w:right w:val="single" w:sz="8" w:space="0" w:color="448A99"/>
            </w:tcBorders>
            <w:shd w:val="clear" w:color="000000" w:fill="D2EAF1"/>
            <w:vAlign w:val="center"/>
            <w:hideMark/>
          </w:tcPr>
          <w:p w:rsidR="00015341" w:rsidRDefault="00015341" w:rsidP="0023582E">
            <w:pPr>
              <w:jc w:val="center"/>
              <w:rPr>
                <w:color w:val="000000"/>
                <w:sz w:val="20"/>
                <w:szCs w:val="20"/>
              </w:rPr>
            </w:pPr>
            <w:r>
              <w:rPr>
                <w:color w:val="000000"/>
                <w:sz w:val="20"/>
                <w:szCs w:val="20"/>
              </w:rPr>
              <w:t>$1,009,106</w:t>
            </w:r>
          </w:p>
        </w:tc>
      </w:tr>
      <w:tr w:rsidR="00E7173E" w:rsidTr="00592FD5">
        <w:trPr>
          <w:trHeight w:val="144"/>
        </w:trPr>
        <w:tc>
          <w:tcPr>
            <w:tcW w:w="5440" w:type="dxa"/>
            <w:tcBorders>
              <w:top w:val="nil"/>
              <w:left w:val="single" w:sz="8" w:space="0" w:color="448A99"/>
              <w:bottom w:val="single" w:sz="8" w:space="0" w:color="448A99"/>
              <w:right w:val="nil"/>
            </w:tcBorders>
            <w:shd w:val="clear" w:color="000000" w:fill="9C9393"/>
            <w:vAlign w:val="center"/>
            <w:hideMark/>
          </w:tcPr>
          <w:p w:rsidR="00015341" w:rsidRDefault="00015341" w:rsidP="0023582E">
            <w:pPr>
              <w:rPr>
                <w:b/>
                <w:bCs/>
                <w:color w:val="000000"/>
                <w:sz w:val="10"/>
                <w:szCs w:val="10"/>
              </w:rPr>
            </w:pPr>
            <w:r>
              <w:rPr>
                <w:b/>
                <w:bCs/>
                <w:color w:val="000000"/>
                <w:sz w:val="10"/>
                <w:szCs w:val="10"/>
              </w:rPr>
              <w:t> </w:t>
            </w:r>
          </w:p>
        </w:tc>
        <w:tc>
          <w:tcPr>
            <w:tcW w:w="3920" w:type="dxa"/>
            <w:tcBorders>
              <w:top w:val="nil"/>
              <w:left w:val="nil"/>
              <w:bottom w:val="single" w:sz="8" w:space="0" w:color="448A99"/>
              <w:right w:val="single" w:sz="8" w:space="0" w:color="448A99"/>
            </w:tcBorders>
            <w:shd w:val="clear" w:color="000000" w:fill="9C9393"/>
            <w:vAlign w:val="center"/>
            <w:hideMark/>
          </w:tcPr>
          <w:p w:rsidR="00015341" w:rsidRDefault="00015341" w:rsidP="0023582E">
            <w:pPr>
              <w:rPr>
                <w:color w:val="000000"/>
                <w:sz w:val="10"/>
                <w:szCs w:val="10"/>
              </w:rPr>
            </w:pPr>
            <w:r>
              <w:rPr>
                <w:color w:val="000000"/>
                <w:sz w:val="10"/>
                <w:szCs w:val="10"/>
              </w:rPr>
              <w:t> </w:t>
            </w:r>
          </w:p>
        </w:tc>
      </w:tr>
      <w:tr w:rsidR="00E7173E" w:rsidTr="00592FD5">
        <w:trPr>
          <w:trHeight w:val="315"/>
        </w:trPr>
        <w:tc>
          <w:tcPr>
            <w:tcW w:w="5440" w:type="dxa"/>
            <w:tcBorders>
              <w:top w:val="nil"/>
              <w:left w:val="single" w:sz="8" w:space="0" w:color="448A99"/>
              <w:bottom w:val="single" w:sz="8" w:space="0" w:color="448A99"/>
              <w:right w:val="single" w:sz="8" w:space="0" w:color="448A99"/>
            </w:tcBorders>
            <w:shd w:val="clear" w:color="auto" w:fill="auto"/>
            <w:vAlign w:val="center"/>
            <w:hideMark/>
          </w:tcPr>
          <w:p w:rsidR="00015341" w:rsidRDefault="00015341" w:rsidP="003E702C">
            <w:pPr>
              <w:rPr>
                <w:b/>
                <w:bCs/>
                <w:color w:val="000000"/>
                <w:sz w:val="20"/>
                <w:szCs w:val="20"/>
              </w:rPr>
            </w:pPr>
            <w:r>
              <w:rPr>
                <w:b/>
                <w:bCs/>
                <w:color w:val="000000"/>
                <w:sz w:val="20"/>
                <w:szCs w:val="20"/>
              </w:rPr>
              <w:t xml:space="preserve">TRC </w:t>
            </w:r>
            <w:r w:rsidR="00B164DC">
              <w:rPr>
                <w:b/>
                <w:bCs/>
                <w:color w:val="000000"/>
                <w:sz w:val="20"/>
                <w:szCs w:val="20"/>
              </w:rPr>
              <w:t>B/C</w:t>
            </w:r>
            <w:r>
              <w:rPr>
                <w:b/>
                <w:bCs/>
                <w:color w:val="000000"/>
                <w:sz w:val="20"/>
                <w:szCs w:val="20"/>
              </w:rPr>
              <w:t xml:space="preserve"> </w:t>
            </w:r>
            <w:r w:rsidR="000623A4">
              <w:rPr>
                <w:b/>
                <w:bCs/>
                <w:color w:val="000000"/>
                <w:sz w:val="20"/>
                <w:szCs w:val="20"/>
              </w:rPr>
              <w:t>Ratio</w:t>
            </w:r>
            <w:r w:rsidR="000623A4">
              <w:rPr>
                <w:b/>
                <w:bCs/>
                <w:color w:val="000000"/>
                <w:sz w:val="20"/>
                <w:szCs w:val="20"/>
                <w:vertAlign w:val="superscript"/>
              </w:rPr>
              <w:t xml:space="preserve"> [</w:t>
            </w:r>
            <w:r w:rsidR="003E702C">
              <w:rPr>
                <w:b/>
                <w:bCs/>
                <w:color w:val="000000"/>
                <w:sz w:val="20"/>
                <w:szCs w:val="20"/>
                <w:vertAlign w:val="superscript"/>
              </w:rPr>
              <w:t>f</w:t>
            </w:r>
            <w:r>
              <w:rPr>
                <w:b/>
                <w:bCs/>
                <w:color w:val="000000"/>
                <w:sz w:val="20"/>
                <w:szCs w:val="20"/>
                <w:vertAlign w:val="superscript"/>
              </w:rPr>
              <w:t>]</w:t>
            </w:r>
          </w:p>
        </w:tc>
        <w:tc>
          <w:tcPr>
            <w:tcW w:w="3920" w:type="dxa"/>
            <w:tcBorders>
              <w:top w:val="nil"/>
              <w:left w:val="nil"/>
              <w:bottom w:val="single" w:sz="8" w:space="0" w:color="448A99"/>
              <w:right w:val="single" w:sz="8" w:space="0" w:color="448A99"/>
            </w:tcBorders>
            <w:shd w:val="clear" w:color="auto" w:fill="auto"/>
            <w:vAlign w:val="center"/>
            <w:hideMark/>
          </w:tcPr>
          <w:p w:rsidR="00015341" w:rsidRDefault="00BD283A" w:rsidP="00BD283A">
            <w:pPr>
              <w:jc w:val="center"/>
              <w:rPr>
                <w:color w:val="000000"/>
                <w:sz w:val="20"/>
                <w:szCs w:val="20"/>
              </w:rPr>
            </w:pPr>
            <w:r>
              <w:rPr>
                <w:color w:val="000000"/>
                <w:sz w:val="20"/>
                <w:szCs w:val="20"/>
              </w:rPr>
              <w:t>1.73</w:t>
            </w:r>
          </w:p>
        </w:tc>
      </w:tr>
      <w:tr w:rsidR="00015341" w:rsidTr="00592FD5">
        <w:trPr>
          <w:trHeight w:val="2977"/>
        </w:trPr>
        <w:tc>
          <w:tcPr>
            <w:tcW w:w="9360" w:type="dxa"/>
            <w:gridSpan w:val="2"/>
            <w:tcBorders>
              <w:top w:val="single" w:sz="8" w:space="0" w:color="448A99"/>
              <w:left w:val="nil"/>
              <w:bottom w:val="nil"/>
              <w:right w:val="nil"/>
            </w:tcBorders>
            <w:shd w:val="clear" w:color="000000" w:fill="448A99"/>
            <w:vAlign w:val="center"/>
            <w:hideMark/>
          </w:tcPr>
          <w:p w:rsidR="00015341" w:rsidRPr="007B7BD7" w:rsidRDefault="00015341" w:rsidP="003E702C">
            <w:pPr>
              <w:jc w:val="left"/>
              <w:rPr>
                <w:bCs/>
                <w:color w:val="FFFFFF"/>
                <w:sz w:val="18"/>
                <w:szCs w:val="18"/>
              </w:rPr>
            </w:pPr>
            <w:r w:rsidRPr="007B7BD7">
              <w:rPr>
                <w:bCs/>
                <w:color w:val="FFFFFF"/>
                <w:sz w:val="18"/>
                <w:szCs w:val="18"/>
              </w:rPr>
              <w:t>NOTES:</w:t>
            </w:r>
            <w:r w:rsidRPr="007B7BD7">
              <w:rPr>
                <w:bCs/>
                <w:color w:val="FFFFFF"/>
                <w:sz w:val="18"/>
                <w:szCs w:val="18"/>
              </w:rPr>
              <w:br/>
              <w:t>[</w:t>
            </w:r>
            <w:r w:rsidR="003E702C">
              <w:rPr>
                <w:bCs/>
                <w:color w:val="FFFFFF"/>
                <w:sz w:val="18"/>
                <w:szCs w:val="18"/>
              </w:rPr>
              <w:t>a</w:t>
            </w:r>
            <w:r w:rsidRPr="007B7BD7">
              <w:rPr>
                <w:bCs/>
                <w:color w:val="FFFFFF"/>
                <w:sz w:val="18"/>
                <w:szCs w:val="18"/>
              </w:rPr>
              <w:t>] Per the 2013 Total Resource Cost Test Order – Net participant costs; in PA, the costs of the end-use customer.</w:t>
            </w:r>
            <w:r w:rsidRPr="007B7BD7">
              <w:rPr>
                <w:bCs/>
                <w:color w:val="FFFFFF"/>
                <w:sz w:val="18"/>
                <w:szCs w:val="18"/>
              </w:rPr>
              <w:br/>
              <w:t>[</w:t>
            </w:r>
            <w:r w:rsidR="003E702C">
              <w:rPr>
                <w:bCs/>
                <w:color w:val="FFFFFF"/>
                <w:sz w:val="18"/>
                <w:szCs w:val="18"/>
              </w:rPr>
              <w:t>b</w:t>
            </w:r>
            <w:r w:rsidRPr="007B7BD7">
              <w:rPr>
                <w:bCs/>
                <w:color w:val="FFFFFF"/>
                <w:sz w:val="18"/>
                <w:szCs w:val="18"/>
              </w:rPr>
              <w:t>] Includes the administrative CSP (rebate processing), tracking system, general administration and clerical costs, EDC program management, CSP program management, general management oversight major accounts</w:t>
            </w:r>
            <w:r w:rsidR="00B164DC" w:rsidRPr="007B7BD7">
              <w:rPr>
                <w:bCs/>
                <w:color w:val="FFFFFF"/>
                <w:sz w:val="18"/>
                <w:szCs w:val="18"/>
              </w:rPr>
              <w:t>,</w:t>
            </w:r>
            <w:r w:rsidRPr="007B7BD7">
              <w:rPr>
                <w:bCs/>
                <w:color w:val="FFFFFF"/>
                <w:sz w:val="18"/>
                <w:szCs w:val="18"/>
              </w:rPr>
              <w:t xml:space="preserve"> and technical assistance.</w:t>
            </w:r>
            <w:r w:rsidRPr="007B7BD7">
              <w:rPr>
                <w:bCs/>
                <w:color w:val="FFFFFF"/>
                <w:sz w:val="18"/>
                <w:szCs w:val="18"/>
              </w:rPr>
              <w:br/>
              <w:t>[</w:t>
            </w:r>
            <w:r w:rsidR="003E702C">
              <w:rPr>
                <w:bCs/>
                <w:color w:val="FFFFFF"/>
                <w:sz w:val="18"/>
                <w:szCs w:val="18"/>
              </w:rPr>
              <w:t>c</w:t>
            </w:r>
            <w:r w:rsidRPr="007B7BD7">
              <w:rPr>
                <w:bCs/>
                <w:color w:val="FFFFFF"/>
                <w:sz w:val="18"/>
                <w:szCs w:val="18"/>
              </w:rPr>
              <w:t>] Includes the marketing CSP and marketing costs by program CSPs.</w:t>
            </w:r>
            <w:r w:rsidRPr="007B7BD7">
              <w:rPr>
                <w:bCs/>
                <w:color w:val="FFFFFF"/>
                <w:sz w:val="18"/>
                <w:szCs w:val="18"/>
              </w:rPr>
              <w:br/>
              <w:t>[</w:t>
            </w:r>
            <w:r w:rsidR="003E702C">
              <w:rPr>
                <w:bCs/>
                <w:color w:val="FFFFFF"/>
                <w:sz w:val="18"/>
                <w:szCs w:val="18"/>
              </w:rPr>
              <w:t>d</w:t>
            </w:r>
            <w:r w:rsidRPr="007B7BD7">
              <w:rPr>
                <w:bCs/>
                <w:color w:val="FFFFFF"/>
                <w:sz w:val="18"/>
                <w:szCs w:val="18"/>
              </w:rPr>
              <w:t>] Total TRC Costs = Incremental Measure Costs + Program Overhead Costs</w:t>
            </w:r>
            <w:r w:rsidR="00C0310F" w:rsidRPr="007B7BD7">
              <w:rPr>
                <w:bCs/>
                <w:color w:val="FFFFFF"/>
                <w:sz w:val="18"/>
                <w:szCs w:val="18"/>
              </w:rPr>
              <w:t>, plus increase in cost of natural gas</w:t>
            </w:r>
            <w:r w:rsidR="00BD283A" w:rsidRPr="007B7BD7">
              <w:rPr>
                <w:bCs/>
                <w:color w:val="FFFFFF"/>
                <w:sz w:val="18"/>
                <w:szCs w:val="18"/>
              </w:rPr>
              <w:t xml:space="preserve"> (not individually shown)</w:t>
            </w:r>
            <w:r w:rsidRPr="007B7BD7">
              <w:rPr>
                <w:bCs/>
                <w:color w:val="FFFFFF"/>
                <w:sz w:val="18"/>
                <w:szCs w:val="18"/>
              </w:rPr>
              <w:br/>
              <w:t>[</w:t>
            </w:r>
            <w:r w:rsidR="003E702C">
              <w:rPr>
                <w:bCs/>
                <w:color w:val="FFFFFF"/>
                <w:sz w:val="18"/>
                <w:szCs w:val="18"/>
              </w:rPr>
              <w:t>e</w:t>
            </w:r>
            <w:r w:rsidRPr="007B7BD7">
              <w:rPr>
                <w:bCs/>
                <w:color w:val="FFFFFF"/>
                <w:sz w:val="18"/>
                <w:szCs w:val="18"/>
              </w:rPr>
              <w:t>] Total TRC Benefits equals the sum of Total Lifetime Energy Benefits and Total Lifetime Capacity Benefits, plus</w:t>
            </w:r>
            <w:r w:rsidR="00B164DC" w:rsidRPr="007B7BD7">
              <w:rPr>
                <w:bCs/>
                <w:color w:val="FFFFFF"/>
                <w:sz w:val="18"/>
                <w:szCs w:val="18"/>
              </w:rPr>
              <w:t xml:space="preserve"> operations and maintenance (</w:t>
            </w:r>
            <w:r w:rsidRPr="007B7BD7">
              <w:rPr>
                <w:bCs/>
                <w:color w:val="FFFFFF"/>
                <w:sz w:val="18"/>
                <w:szCs w:val="18"/>
              </w:rPr>
              <w:t>O&amp;M</w:t>
            </w:r>
            <w:r w:rsidR="00B164DC" w:rsidRPr="007B7BD7">
              <w:rPr>
                <w:bCs/>
                <w:color w:val="FFFFFF"/>
                <w:sz w:val="18"/>
                <w:szCs w:val="18"/>
              </w:rPr>
              <w:t>)</w:t>
            </w:r>
            <w:r w:rsidRPr="007B7BD7">
              <w:rPr>
                <w:bCs/>
                <w:color w:val="FFFFFF"/>
                <w:sz w:val="18"/>
                <w:szCs w:val="18"/>
              </w:rPr>
              <w:t xml:space="preserve"> savings from avoided bulb purchases (not shown in table). Based upon verified gross kWh and kW savings. Benefits include: avoided supply costs, including the reduction in costs of electric energy, generation, transmission, and distribution capacity, and natural gas valued at marginal cost for periods when there is a load reduction. NOTE: Savings carried over from Phase I are not to be included as a part of Total TRC Benefits for Phase II.</w:t>
            </w:r>
            <w:r w:rsidRPr="007B7BD7">
              <w:rPr>
                <w:bCs/>
                <w:color w:val="FFFFFF"/>
                <w:sz w:val="18"/>
                <w:szCs w:val="18"/>
              </w:rPr>
              <w:br/>
              <w:t>[</w:t>
            </w:r>
            <w:r w:rsidR="003E702C">
              <w:rPr>
                <w:bCs/>
                <w:color w:val="FFFFFF"/>
                <w:sz w:val="18"/>
                <w:szCs w:val="18"/>
              </w:rPr>
              <w:t>f</w:t>
            </w:r>
            <w:r w:rsidRPr="007B7BD7">
              <w:rPr>
                <w:bCs/>
                <w:color w:val="FFFFFF"/>
                <w:sz w:val="18"/>
                <w:szCs w:val="18"/>
              </w:rPr>
              <w:t xml:space="preserve">] TRC Ratio equals Total NPV TRC Benefits divided by Total NPV TRC Costs. </w:t>
            </w:r>
          </w:p>
        </w:tc>
      </w:tr>
    </w:tbl>
    <w:p w:rsidR="00015341" w:rsidRPr="00015341" w:rsidRDefault="00015341" w:rsidP="00015341"/>
    <w:p w:rsidR="00EE60CD" w:rsidRDefault="007C6751" w:rsidP="00AC2B6F">
      <w:r>
        <w:fldChar w:fldCharType="begin"/>
      </w:r>
      <w:r>
        <w:instrText xml:space="preserve"> REF _Ref472409024 \h </w:instrText>
      </w:r>
      <w:r>
        <w:fldChar w:fldCharType="separate"/>
      </w:r>
      <w:r w:rsidR="008A7824">
        <w:t xml:space="preserve">Table </w:t>
      </w:r>
      <w:r w:rsidR="008A7824">
        <w:rPr>
          <w:noProof/>
        </w:rPr>
        <w:t>2</w:t>
      </w:r>
      <w:r w:rsidR="008A7824">
        <w:noBreakHyphen/>
      </w:r>
      <w:r w:rsidR="008A7824">
        <w:rPr>
          <w:noProof/>
        </w:rPr>
        <w:t>10</w:t>
      </w:r>
      <w:r>
        <w:fldChar w:fldCharType="end"/>
      </w:r>
      <w:r>
        <w:t xml:space="preserve"> </w:t>
      </w:r>
      <w:r w:rsidR="00EE60CD" w:rsidRPr="00EE60CD">
        <w:t xml:space="preserve">compares </w:t>
      </w:r>
      <w:r w:rsidR="00B164DC">
        <w:t>each EDC’s actual</w:t>
      </w:r>
      <w:r w:rsidR="00EE60CD" w:rsidRPr="00EE60CD">
        <w:t xml:space="preserve"> PY</w:t>
      </w:r>
      <w:r w:rsidR="00A57CA5">
        <w:t xml:space="preserve">7 </w:t>
      </w:r>
      <w:r w:rsidR="00EE60CD" w:rsidRPr="00EE60CD">
        <w:t xml:space="preserve">energy efficiency program expenditures </w:t>
      </w:r>
      <w:r w:rsidR="00B164DC">
        <w:t>with</w:t>
      </w:r>
      <w:r w:rsidR="00EE60CD" w:rsidRPr="00EE60CD">
        <w:t xml:space="preserve"> the </w:t>
      </w:r>
      <w:r w:rsidR="003F1B58">
        <w:t>estimated expenditures</w:t>
      </w:r>
      <w:r w:rsidR="00EE60CD" w:rsidRPr="00EE60CD">
        <w:t xml:space="preserve"> in </w:t>
      </w:r>
      <w:r w:rsidR="003149B8">
        <w:t>the</w:t>
      </w:r>
      <w:r w:rsidR="00EE60CD" w:rsidRPr="00EE60CD">
        <w:t xml:space="preserve"> EDC’s Phase II EE&amp;C </w:t>
      </w:r>
      <w:r w:rsidR="003149B8">
        <w:t>p</w:t>
      </w:r>
      <w:r w:rsidR="00EE60CD" w:rsidRPr="00EE60CD">
        <w:t>lan. The PY</w:t>
      </w:r>
      <w:r>
        <w:t>7</w:t>
      </w:r>
      <w:r w:rsidR="00EE60CD" w:rsidRPr="00EE60CD">
        <w:t xml:space="preserve"> overall energy efficiency program budget for all seven EDCs was $2</w:t>
      </w:r>
      <w:r>
        <w:t>54</w:t>
      </w:r>
      <w:r w:rsidR="00EE60CD" w:rsidRPr="00EE60CD">
        <w:t xml:space="preserve"> million, whereas actual spending was $2</w:t>
      </w:r>
      <w:r>
        <w:t>25</w:t>
      </w:r>
      <w:r w:rsidR="00EE60CD" w:rsidRPr="00EE60CD">
        <w:t xml:space="preserve"> million. Thus, actual spending in PY</w:t>
      </w:r>
      <w:r>
        <w:t>7 on a statewide basis was 11</w:t>
      </w:r>
      <w:r w:rsidR="00EE60CD" w:rsidRPr="00EE60CD">
        <w:t>% lower than the approved budget. Actual spending in PY</w:t>
      </w:r>
      <w:r>
        <w:t>7</w:t>
      </w:r>
      <w:r w:rsidR="00EE60CD" w:rsidRPr="00EE60CD">
        <w:t xml:space="preserve"> was lower than the EE&amp;C </w:t>
      </w:r>
      <w:r w:rsidR="003149B8">
        <w:t>p</w:t>
      </w:r>
      <w:r w:rsidR="00EE60CD" w:rsidRPr="00EE60CD">
        <w:t>lan PY</w:t>
      </w:r>
      <w:r w:rsidR="00A57CA5">
        <w:t>7</w:t>
      </w:r>
      <w:r w:rsidR="00EE60CD" w:rsidRPr="00EE60CD">
        <w:t xml:space="preserve"> budget for five EDCs. Only </w:t>
      </w:r>
      <w:r w:rsidR="006530F1">
        <w:t xml:space="preserve">PECO, by the slimmest of margins, </w:t>
      </w:r>
      <w:r w:rsidR="00EE60CD" w:rsidRPr="00EE60CD">
        <w:t>exceeded</w:t>
      </w:r>
      <w:r w:rsidR="006530F1">
        <w:t xml:space="preserve"> planned </w:t>
      </w:r>
      <w:r w:rsidR="00936A61">
        <w:t xml:space="preserve">expenditures </w:t>
      </w:r>
      <w:r w:rsidR="00EE60CD" w:rsidRPr="00EE60CD">
        <w:t>for PY</w:t>
      </w:r>
      <w:r w:rsidR="00CC7752">
        <w:t>7</w:t>
      </w:r>
      <w:r w:rsidR="00EE60CD" w:rsidRPr="00EE60CD">
        <w:t>.</w:t>
      </w:r>
    </w:p>
    <w:p w:rsidR="00EE60CD" w:rsidRDefault="00EE60CD" w:rsidP="00AC2B6F"/>
    <w:p w:rsidR="0039002E" w:rsidRDefault="0039002E" w:rsidP="00AC2B6F"/>
    <w:p w:rsidR="0039002E" w:rsidRDefault="0039002E" w:rsidP="00AC2B6F"/>
    <w:p w:rsidR="00EE60CD" w:rsidRDefault="00EE60CD" w:rsidP="00EE60CD">
      <w:pPr>
        <w:pStyle w:val="Caption"/>
      </w:pPr>
      <w:bookmarkStart w:id="103" w:name="_Ref472409024"/>
      <w:bookmarkStart w:id="104" w:name="_Toc472472164"/>
      <w:bookmarkStart w:id="105" w:name="_Toc476913976"/>
      <w:r>
        <w:lastRenderedPageBreak/>
        <w:t xml:space="preserve">Table </w:t>
      </w:r>
      <w:fldSimple w:instr=" STYLEREF 1 \s ">
        <w:r w:rsidR="008A7824">
          <w:rPr>
            <w:noProof/>
          </w:rPr>
          <w:t>2</w:t>
        </w:r>
      </w:fldSimple>
      <w:r w:rsidR="00E6042C">
        <w:noBreakHyphen/>
      </w:r>
      <w:fldSimple w:instr=" SEQ Table \* ARABIC \s 1 ">
        <w:r w:rsidR="008A7824">
          <w:rPr>
            <w:noProof/>
          </w:rPr>
          <w:t>10</w:t>
        </w:r>
      </w:fldSimple>
      <w:bookmarkEnd w:id="103"/>
      <w:r w:rsidR="007C6751">
        <w:t xml:space="preserve">: </w:t>
      </w:r>
      <w:r w:rsidRPr="00EE60CD">
        <w:t>Comparison of EDC PY</w:t>
      </w:r>
      <w:r>
        <w:t>7</w:t>
      </w:r>
      <w:r w:rsidRPr="00EE60CD">
        <w:t xml:space="preserve"> </w:t>
      </w:r>
      <w:r w:rsidR="004077E0">
        <w:t>Actual and Planned</w:t>
      </w:r>
      <w:r w:rsidRPr="00EE60CD">
        <w:t xml:space="preserve"> Expenditures</w:t>
      </w:r>
      <w:r w:rsidR="004077E0">
        <w:t xml:space="preserve"> </w:t>
      </w:r>
      <w:r w:rsidRPr="00EE60CD">
        <w:t>in Each EDC’s EE&amp;C Plan</w:t>
      </w:r>
      <w:bookmarkEnd w:id="104"/>
      <w:bookmarkEnd w:id="105"/>
    </w:p>
    <w:tbl>
      <w:tblPr>
        <w:tblW w:w="9350" w:type="dxa"/>
        <w:tblInd w:w="108" w:type="dxa"/>
        <w:tblLook w:val="04A0" w:firstRow="1" w:lastRow="0" w:firstColumn="1" w:lastColumn="0" w:noHBand="0" w:noVBand="1"/>
      </w:tblPr>
      <w:tblGrid>
        <w:gridCol w:w="1870"/>
        <w:gridCol w:w="1870"/>
        <w:gridCol w:w="1870"/>
        <w:gridCol w:w="1870"/>
        <w:gridCol w:w="1870"/>
      </w:tblGrid>
      <w:tr w:rsidR="00A874AC" w:rsidRPr="007C6751" w:rsidTr="00592FD5">
        <w:trPr>
          <w:cantSplit/>
          <w:trHeight w:val="538"/>
          <w:tblHeader/>
        </w:trPr>
        <w:tc>
          <w:tcPr>
            <w:tcW w:w="187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7C6751" w:rsidRPr="007C6751" w:rsidRDefault="007C6751" w:rsidP="00A67631">
            <w:pPr>
              <w:rPr>
                <w:b/>
                <w:bCs/>
                <w:color w:val="FFFFFF"/>
                <w:sz w:val="20"/>
                <w:szCs w:val="20"/>
              </w:rPr>
            </w:pPr>
            <w:r w:rsidRPr="007C6751">
              <w:rPr>
                <w:b/>
                <w:bCs/>
                <w:color w:val="FFFFFF"/>
                <w:sz w:val="20"/>
                <w:szCs w:val="20"/>
              </w:rPr>
              <w:t>EDC</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7C6751" w:rsidRDefault="007C6751" w:rsidP="00A67631">
            <w:pPr>
              <w:jc w:val="center"/>
              <w:rPr>
                <w:b/>
                <w:bCs/>
                <w:color w:val="FFFFFF"/>
                <w:sz w:val="20"/>
                <w:szCs w:val="20"/>
              </w:rPr>
            </w:pPr>
            <w:r w:rsidRPr="007C6751">
              <w:rPr>
                <w:b/>
                <w:bCs/>
                <w:color w:val="FFFFFF"/>
                <w:sz w:val="20"/>
                <w:szCs w:val="20"/>
              </w:rPr>
              <w:t>PY7</w:t>
            </w:r>
            <w:r w:rsidR="003F066B">
              <w:rPr>
                <w:b/>
                <w:bCs/>
                <w:color w:val="FFFFFF"/>
                <w:sz w:val="20"/>
                <w:szCs w:val="20"/>
              </w:rPr>
              <w:t xml:space="preserve"> Actual</w:t>
            </w:r>
            <w:r w:rsidRPr="007C6751">
              <w:rPr>
                <w:b/>
                <w:bCs/>
                <w:color w:val="FFFFFF"/>
                <w:sz w:val="20"/>
                <w:szCs w:val="20"/>
              </w:rPr>
              <w:t xml:space="preserve"> Expenditures ($)</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7C6751" w:rsidRDefault="003F066B" w:rsidP="00A67631">
            <w:pPr>
              <w:jc w:val="center"/>
              <w:rPr>
                <w:b/>
                <w:bCs/>
                <w:color w:val="FFFFFF"/>
                <w:sz w:val="20"/>
                <w:szCs w:val="20"/>
              </w:rPr>
            </w:pPr>
            <w:r>
              <w:rPr>
                <w:b/>
                <w:bCs/>
                <w:color w:val="FFFFFF"/>
                <w:sz w:val="20"/>
                <w:szCs w:val="20"/>
              </w:rPr>
              <w:t>PY7 Budget</w:t>
            </w:r>
            <w:r w:rsidR="00E022D1">
              <w:rPr>
                <w:b/>
                <w:bCs/>
                <w:color w:val="FFFFFF"/>
                <w:sz w:val="20"/>
                <w:szCs w:val="20"/>
              </w:rPr>
              <w:t xml:space="preserve"> </w:t>
            </w:r>
            <w:r w:rsidR="00C64186">
              <w:rPr>
                <w:b/>
                <w:bCs/>
                <w:color w:val="FFFFFF"/>
                <w:sz w:val="20"/>
                <w:szCs w:val="20"/>
              </w:rPr>
              <w:t>Estimate</w:t>
            </w:r>
            <w:r w:rsidR="007C6751" w:rsidRPr="007C6751">
              <w:rPr>
                <w:b/>
                <w:bCs/>
                <w:color w:val="FFFFFF"/>
                <w:sz w:val="20"/>
                <w:szCs w:val="20"/>
              </w:rPr>
              <w:t xml:space="preserve"> </w:t>
            </w:r>
            <w:r>
              <w:rPr>
                <w:b/>
                <w:bCs/>
                <w:color w:val="FFFFFF"/>
                <w:sz w:val="20"/>
                <w:szCs w:val="20"/>
              </w:rPr>
              <w:t>(</w:t>
            </w:r>
            <w:r w:rsidR="007C6751" w:rsidRPr="007C6751">
              <w:rPr>
                <w:b/>
                <w:bCs/>
                <w:color w:val="FFFFFF"/>
                <w:sz w:val="20"/>
                <w:szCs w:val="20"/>
              </w:rPr>
              <w:t>$)</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7C6751" w:rsidRDefault="007C6751" w:rsidP="00A67631">
            <w:pPr>
              <w:jc w:val="center"/>
              <w:rPr>
                <w:b/>
                <w:bCs/>
                <w:color w:val="FFFFFF"/>
                <w:sz w:val="20"/>
                <w:szCs w:val="20"/>
              </w:rPr>
            </w:pPr>
            <w:r w:rsidRPr="007C6751">
              <w:rPr>
                <w:b/>
                <w:bCs/>
                <w:color w:val="FFFFFF"/>
                <w:sz w:val="20"/>
                <w:szCs w:val="20"/>
              </w:rPr>
              <w:t xml:space="preserve">Difference between Actual and </w:t>
            </w:r>
            <w:r w:rsidR="00C64186">
              <w:rPr>
                <w:b/>
                <w:bCs/>
                <w:color w:val="FFFFFF"/>
                <w:sz w:val="20"/>
                <w:szCs w:val="20"/>
              </w:rPr>
              <w:t>EE&amp;C Plan</w:t>
            </w:r>
            <w:r w:rsidR="00C64186" w:rsidRPr="007C6751">
              <w:rPr>
                <w:b/>
                <w:bCs/>
                <w:color w:val="FFFFFF"/>
                <w:sz w:val="20"/>
                <w:szCs w:val="20"/>
              </w:rPr>
              <w:t xml:space="preserve"> </w:t>
            </w:r>
            <w:r w:rsidRPr="007C6751">
              <w:rPr>
                <w:b/>
                <w:bCs/>
                <w:color w:val="FFFFFF"/>
                <w:sz w:val="20"/>
                <w:szCs w:val="20"/>
              </w:rPr>
              <w:t>($)</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7C6751" w:rsidRDefault="007C6751" w:rsidP="00A67631">
            <w:pPr>
              <w:jc w:val="center"/>
              <w:rPr>
                <w:b/>
                <w:bCs/>
                <w:color w:val="FFFFFF"/>
                <w:sz w:val="20"/>
                <w:szCs w:val="20"/>
              </w:rPr>
            </w:pPr>
            <w:r w:rsidRPr="007C6751">
              <w:rPr>
                <w:b/>
                <w:bCs/>
                <w:color w:val="FFFFFF"/>
                <w:sz w:val="20"/>
                <w:szCs w:val="20"/>
              </w:rPr>
              <w:t xml:space="preserve">Percent </w:t>
            </w:r>
            <w:r w:rsidR="00E0150C">
              <w:rPr>
                <w:b/>
                <w:bCs/>
                <w:color w:val="FFFFFF"/>
                <w:sz w:val="20"/>
                <w:szCs w:val="20"/>
              </w:rPr>
              <w:t>Change</w:t>
            </w:r>
            <w:r w:rsidRPr="007C6751">
              <w:rPr>
                <w:b/>
                <w:bCs/>
                <w:color w:val="FFFFFF"/>
                <w:sz w:val="20"/>
                <w:szCs w:val="20"/>
              </w:rPr>
              <w:t xml:space="preserve"> from </w:t>
            </w:r>
            <w:r w:rsidR="00C64186">
              <w:rPr>
                <w:b/>
                <w:bCs/>
                <w:color w:val="FFFFFF"/>
                <w:sz w:val="20"/>
                <w:szCs w:val="20"/>
              </w:rPr>
              <w:t>Plan</w:t>
            </w:r>
          </w:p>
        </w:tc>
      </w:tr>
      <w:tr w:rsidR="006530F1"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6530F1" w:rsidRPr="007C6751" w:rsidRDefault="006530F1" w:rsidP="006530F1">
            <w:pPr>
              <w:jc w:val="left"/>
              <w:rPr>
                <w:color w:val="000000"/>
                <w:sz w:val="20"/>
                <w:szCs w:val="20"/>
              </w:rPr>
            </w:pPr>
            <w:r w:rsidRPr="007C6751">
              <w:rPr>
                <w:color w:val="000000"/>
                <w:sz w:val="20"/>
                <w:szCs w:val="20"/>
              </w:rPr>
              <w:t>Duquesne</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7C6751" w:rsidRDefault="006530F1" w:rsidP="006530F1">
            <w:pPr>
              <w:jc w:val="center"/>
              <w:rPr>
                <w:color w:val="000000"/>
                <w:sz w:val="20"/>
                <w:szCs w:val="20"/>
              </w:rPr>
            </w:pPr>
            <w:r>
              <w:rPr>
                <w:color w:val="000000"/>
                <w:sz w:val="20"/>
                <w:szCs w:val="20"/>
              </w:rPr>
              <w:t>$16,033,000</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7C6751" w:rsidRDefault="006530F1" w:rsidP="006530F1">
            <w:pPr>
              <w:jc w:val="center"/>
              <w:rPr>
                <w:color w:val="000000"/>
                <w:sz w:val="20"/>
                <w:szCs w:val="20"/>
              </w:rPr>
            </w:pPr>
            <w:r>
              <w:rPr>
                <w:sz w:val="20"/>
                <w:szCs w:val="20"/>
              </w:rPr>
              <w:t>$19,497,797</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7C6751" w:rsidRDefault="006530F1" w:rsidP="006530F1">
            <w:pPr>
              <w:jc w:val="center"/>
              <w:rPr>
                <w:sz w:val="20"/>
                <w:szCs w:val="20"/>
              </w:rPr>
            </w:pPr>
            <w:r>
              <w:rPr>
                <w:sz w:val="20"/>
                <w:szCs w:val="20"/>
              </w:rPr>
              <w:t>-$3,464,797</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2A4A24" w:rsidRDefault="002A4A24" w:rsidP="006530F1">
            <w:pPr>
              <w:jc w:val="center"/>
              <w:rPr>
                <w:color w:val="FF0000"/>
                <w:sz w:val="20"/>
                <w:szCs w:val="20"/>
              </w:rPr>
            </w:pPr>
            <w:r w:rsidRPr="002A4A24">
              <w:rPr>
                <w:color w:val="FF0000"/>
                <w:sz w:val="20"/>
                <w:szCs w:val="20"/>
              </w:rPr>
              <w:t>-</w:t>
            </w:r>
            <w:r w:rsidR="00391059" w:rsidRPr="002A4A24">
              <w:rPr>
                <w:color w:val="FF0000"/>
                <w:sz w:val="20"/>
                <w:szCs w:val="20"/>
              </w:rPr>
              <w:t>17.8%</w:t>
            </w:r>
          </w:p>
        </w:tc>
      </w:tr>
      <w:tr w:rsidR="00A874AC"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6530F1" w:rsidRPr="007C6751" w:rsidRDefault="006530F1" w:rsidP="006530F1">
            <w:pPr>
              <w:jc w:val="left"/>
              <w:rPr>
                <w:color w:val="000000"/>
                <w:sz w:val="20"/>
                <w:szCs w:val="20"/>
              </w:rPr>
            </w:pPr>
            <w:r w:rsidRPr="007C6751">
              <w:rPr>
                <w:color w:val="000000"/>
                <w:sz w:val="20"/>
                <w:szCs w:val="20"/>
              </w:rPr>
              <w:t>FE:  Met-Ed</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6530F1" w:rsidP="006530F1">
            <w:pPr>
              <w:jc w:val="center"/>
              <w:rPr>
                <w:color w:val="000000"/>
                <w:sz w:val="20"/>
                <w:szCs w:val="20"/>
              </w:rPr>
            </w:pPr>
            <w:r>
              <w:rPr>
                <w:color w:val="000000"/>
                <w:sz w:val="20"/>
                <w:szCs w:val="20"/>
              </w:rPr>
              <w:t>$18,906,855</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6530F1" w:rsidP="006530F1">
            <w:pPr>
              <w:jc w:val="center"/>
              <w:rPr>
                <w:color w:val="000000"/>
                <w:sz w:val="20"/>
                <w:szCs w:val="20"/>
              </w:rPr>
            </w:pPr>
            <w:r>
              <w:rPr>
                <w:sz w:val="20"/>
                <w:szCs w:val="20"/>
              </w:rPr>
              <w:t>$25,519,550</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6530F1" w:rsidP="006530F1">
            <w:pPr>
              <w:jc w:val="center"/>
              <w:rPr>
                <w:sz w:val="20"/>
                <w:szCs w:val="20"/>
              </w:rPr>
            </w:pPr>
            <w:r>
              <w:rPr>
                <w:sz w:val="20"/>
                <w:szCs w:val="20"/>
              </w:rPr>
              <w:t>-$6,612,695</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2A4A24" w:rsidRDefault="002A4A24" w:rsidP="006530F1">
            <w:pPr>
              <w:jc w:val="center"/>
              <w:rPr>
                <w:color w:val="FF0000"/>
                <w:sz w:val="20"/>
                <w:szCs w:val="20"/>
              </w:rPr>
            </w:pPr>
            <w:r w:rsidRPr="002A4A24">
              <w:rPr>
                <w:color w:val="FF0000"/>
                <w:sz w:val="20"/>
                <w:szCs w:val="20"/>
              </w:rPr>
              <w:t>-</w:t>
            </w:r>
            <w:r w:rsidR="00391059" w:rsidRPr="002A4A24">
              <w:rPr>
                <w:color w:val="FF0000"/>
                <w:sz w:val="20"/>
                <w:szCs w:val="20"/>
              </w:rPr>
              <w:t>25.9%</w:t>
            </w:r>
          </w:p>
        </w:tc>
      </w:tr>
      <w:tr w:rsidR="006530F1"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6530F1" w:rsidRPr="007C6751" w:rsidRDefault="006530F1" w:rsidP="006530F1">
            <w:pPr>
              <w:jc w:val="left"/>
              <w:rPr>
                <w:color w:val="000000"/>
                <w:sz w:val="20"/>
                <w:szCs w:val="20"/>
              </w:rPr>
            </w:pPr>
            <w:r w:rsidRPr="007C6751">
              <w:rPr>
                <w:color w:val="000000"/>
                <w:sz w:val="20"/>
                <w:szCs w:val="20"/>
              </w:rPr>
              <w:t>FE:  Penelec</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7C6751" w:rsidRDefault="006530F1" w:rsidP="006530F1">
            <w:pPr>
              <w:jc w:val="center"/>
              <w:rPr>
                <w:color w:val="000000"/>
                <w:sz w:val="20"/>
                <w:szCs w:val="20"/>
              </w:rPr>
            </w:pPr>
            <w:r>
              <w:rPr>
                <w:color w:val="000000"/>
                <w:sz w:val="20"/>
                <w:szCs w:val="20"/>
              </w:rPr>
              <w:t>$16,422,862</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7C6751" w:rsidRDefault="006530F1" w:rsidP="006530F1">
            <w:pPr>
              <w:jc w:val="center"/>
              <w:rPr>
                <w:color w:val="000000"/>
                <w:sz w:val="20"/>
                <w:szCs w:val="20"/>
              </w:rPr>
            </w:pPr>
            <w:r>
              <w:rPr>
                <w:sz w:val="20"/>
                <w:szCs w:val="20"/>
              </w:rPr>
              <w:t>$24,096,572</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7C6751" w:rsidRDefault="006530F1" w:rsidP="006530F1">
            <w:pPr>
              <w:jc w:val="center"/>
              <w:rPr>
                <w:sz w:val="20"/>
                <w:szCs w:val="20"/>
              </w:rPr>
            </w:pPr>
            <w:r>
              <w:rPr>
                <w:sz w:val="20"/>
                <w:szCs w:val="20"/>
              </w:rPr>
              <w:t>-$7,673,710</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2A4A24" w:rsidRDefault="002A4A24" w:rsidP="006530F1">
            <w:pPr>
              <w:jc w:val="center"/>
              <w:rPr>
                <w:color w:val="FF0000"/>
                <w:sz w:val="20"/>
                <w:szCs w:val="20"/>
              </w:rPr>
            </w:pPr>
            <w:r w:rsidRPr="002A4A24">
              <w:rPr>
                <w:color w:val="FF0000"/>
                <w:sz w:val="20"/>
                <w:szCs w:val="20"/>
              </w:rPr>
              <w:t>-</w:t>
            </w:r>
            <w:r w:rsidR="00391059" w:rsidRPr="002A4A24">
              <w:rPr>
                <w:color w:val="FF0000"/>
                <w:sz w:val="20"/>
                <w:szCs w:val="20"/>
              </w:rPr>
              <w:t>31.8%</w:t>
            </w:r>
          </w:p>
        </w:tc>
      </w:tr>
      <w:tr w:rsidR="00A874AC"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6530F1" w:rsidRPr="007C6751" w:rsidRDefault="006530F1" w:rsidP="006530F1">
            <w:pPr>
              <w:jc w:val="left"/>
              <w:rPr>
                <w:color w:val="000000"/>
                <w:sz w:val="20"/>
                <w:szCs w:val="20"/>
              </w:rPr>
            </w:pPr>
            <w:r w:rsidRPr="007C6751">
              <w:rPr>
                <w:color w:val="000000"/>
                <w:sz w:val="20"/>
                <w:szCs w:val="20"/>
              </w:rPr>
              <w:t>FE:  Penn Power</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6530F1" w:rsidP="006530F1">
            <w:pPr>
              <w:jc w:val="center"/>
              <w:rPr>
                <w:color w:val="000000"/>
                <w:sz w:val="20"/>
                <w:szCs w:val="20"/>
              </w:rPr>
            </w:pPr>
            <w:r>
              <w:rPr>
                <w:color w:val="000000"/>
                <w:sz w:val="20"/>
                <w:szCs w:val="20"/>
              </w:rPr>
              <w:t>$3,901,655</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6530F1" w:rsidP="006530F1">
            <w:pPr>
              <w:jc w:val="center"/>
              <w:rPr>
                <w:color w:val="000000"/>
                <w:sz w:val="20"/>
                <w:szCs w:val="20"/>
              </w:rPr>
            </w:pPr>
            <w:r>
              <w:rPr>
                <w:sz w:val="20"/>
                <w:szCs w:val="20"/>
              </w:rPr>
              <w:t>$6,821,749</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6530F1" w:rsidP="006530F1">
            <w:pPr>
              <w:jc w:val="center"/>
              <w:rPr>
                <w:sz w:val="20"/>
                <w:szCs w:val="20"/>
              </w:rPr>
            </w:pPr>
            <w:r>
              <w:rPr>
                <w:sz w:val="20"/>
                <w:szCs w:val="20"/>
              </w:rPr>
              <w:t>-$2,920,094</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2A4A24" w:rsidRDefault="002A4A24" w:rsidP="006530F1">
            <w:pPr>
              <w:jc w:val="center"/>
              <w:rPr>
                <w:color w:val="FF0000"/>
                <w:sz w:val="20"/>
                <w:szCs w:val="20"/>
              </w:rPr>
            </w:pPr>
            <w:r w:rsidRPr="002A4A24">
              <w:rPr>
                <w:color w:val="FF0000"/>
                <w:sz w:val="20"/>
                <w:szCs w:val="20"/>
              </w:rPr>
              <w:t>-</w:t>
            </w:r>
            <w:r w:rsidR="00391059" w:rsidRPr="002A4A24">
              <w:rPr>
                <w:color w:val="FF0000"/>
                <w:sz w:val="20"/>
                <w:szCs w:val="20"/>
              </w:rPr>
              <w:t>42.8%</w:t>
            </w:r>
          </w:p>
        </w:tc>
      </w:tr>
      <w:tr w:rsidR="006530F1"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6530F1" w:rsidRPr="007C6751" w:rsidRDefault="006530F1" w:rsidP="006530F1">
            <w:pPr>
              <w:jc w:val="left"/>
              <w:rPr>
                <w:color w:val="000000"/>
                <w:sz w:val="20"/>
                <w:szCs w:val="20"/>
              </w:rPr>
            </w:pPr>
            <w:r w:rsidRPr="007C6751">
              <w:rPr>
                <w:color w:val="000000"/>
                <w:sz w:val="20"/>
                <w:szCs w:val="20"/>
              </w:rPr>
              <w:t>FE:  West Penn</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7C6751" w:rsidRDefault="006530F1" w:rsidP="006530F1">
            <w:pPr>
              <w:jc w:val="center"/>
              <w:rPr>
                <w:color w:val="000000"/>
                <w:sz w:val="20"/>
                <w:szCs w:val="20"/>
              </w:rPr>
            </w:pPr>
            <w:r>
              <w:rPr>
                <w:color w:val="000000"/>
                <w:sz w:val="20"/>
                <w:szCs w:val="20"/>
              </w:rPr>
              <w:t>$17,054,581</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7C6751" w:rsidRDefault="006530F1" w:rsidP="006530F1">
            <w:pPr>
              <w:jc w:val="center"/>
              <w:rPr>
                <w:color w:val="000000"/>
                <w:sz w:val="20"/>
                <w:szCs w:val="20"/>
              </w:rPr>
            </w:pPr>
            <w:r>
              <w:rPr>
                <w:sz w:val="20"/>
                <w:szCs w:val="20"/>
              </w:rPr>
              <w:t>$24,207,741</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7C6751" w:rsidRDefault="006530F1" w:rsidP="006530F1">
            <w:pPr>
              <w:jc w:val="center"/>
              <w:rPr>
                <w:sz w:val="20"/>
                <w:szCs w:val="20"/>
              </w:rPr>
            </w:pPr>
            <w:r>
              <w:rPr>
                <w:sz w:val="20"/>
                <w:szCs w:val="20"/>
              </w:rPr>
              <w:t>-$7,153,160</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2A4A24" w:rsidRDefault="002A4A24" w:rsidP="006530F1">
            <w:pPr>
              <w:jc w:val="center"/>
              <w:rPr>
                <w:color w:val="FF0000"/>
                <w:sz w:val="20"/>
                <w:szCs w:val="20"/>
              </w:rPr>
            </w:pPr>
            <w:r w:rsidRPr="002A4A24">
              <w:rPr>
                <w:color w:val="FF0000"/>
                <w:sz w:val="20"/>
                <w:szCs w:val="20"/>
              </w:rPr>
              <w:t>-</w:t>
            </w:r>
            <w:r w:rsidR="00391059" w:rsidRPr="002A4A24">
              <w:rPr>
                <w:color w:val="FF0000"/>
                <w:sz w:val="20"/>
                <w:szCs w:val="20"/>
              </w:rPr>
              <w:t>29.5%</w:t>
            </w:r>
          </w:p>
        </w:tc>
      </w:tr>
      <w:tr w:rsidR="00A874AC"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6530F1" w:rsidRPr="007C6751" w:rsidRDefault="006530F1" w:rsidP="006530F1">
            <w:pPr>
              <w:jc w:val="left"/>
              <w:rPr>
                <w:color w:val="000000"/>
                <w:sz w:val="20"/>
                <w:szCs w:val="20"/>
              </w:rPr>
            </w:pPr>
            <w:r w:rsidRPr="007C6751">
              <w:rPr>
                <w:color w:val="000000"/>
                <w:sz w:val="20"/>
                <w:szCs w:val="20"/>
              </w:rPr>
              <w:t>PECO</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6530F1" w:rsidP="006530F1">
            <w:pPr>
              <w:jc w:val="center"/>
              <w:rPr>
                <w:color w:val="000000"/>
                <w:sz w:val="20"/>
                <w:szCs w:val="20"/>
              </w:rPr>
            </w:pPr>
            <w:r>
              <w:rPr>
                <w:color w:val="000000"/>
                <w:sz w:val="20"/>
                <w:szCs w:val="20"/>
              </w:rPr>
              <w:t>$91,147,823</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6530F1" w:rsidP="006530F1">
            <w:pPr>
              <w:jc w:val="center"/>
              <w:rPr>
                <w:color w:val="000000"/>
                <w:sz w:val="20"/>
                <w:szCs w:val="20"/>
              </w:rPr>
            </w:pPr>
            <w:r>
              <w:rPr>
                <w:sz w:val="20"/>
                <w:szCs w:val="20"/>
              </w:rPr>
              <w:t>$91,081,490</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6530F1" w:rsidP="006530F1">
            <w:pPr>
              <w:jc w:val="center"/>
              <w:rPr>
                <w:sz w:val="20"/>
                <w:szCs w:val="20"/>
              </w:rPr>
            </w:pPr>
            <w:r>
              <w:rPr>
                <w:sz w:val="20"/>
                <w:szCs w:val="20"/>
              </w:rPr>
              <w:t>$66,333</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6530F1" w:rsidP="006530F1">
            <w:pPr>
              <w:jc w:val="center"/>
              <w:rPr>
                <w:color w:val="FF0000"/>
                <w:sz w:val="20"/>
                <w:szCs w:val="20"/>
              </w:rPr>
            </w:pPr>
            <w:r>
              <w:rPr>
                <w:sz w:val="20"/>
                <w:szCs w:val="20"/>
              </w:rPr>
              <w:t>0.1%</w:t>
            </w:r>
            <w:r w:rsidR="00391059">
              <w:rPr>
                <w:sz w:val="20"/>
                <w:szCs w:val="20"/>
              </w:rPr>
              <w:t xml:space="preserve"> </w:t>
            </w:r>
          </w:p>
        </w:tc>
      </w:tr>
      <w:tr w:rsidR="006530F1"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6530F1" w:rsidRPr="007C6751" w:rsidRDefault="006530F1" w:rsidP="006530F1">
            <w:pPr>
              <w:jc w:val="left"/>
              <w:rPr>
                <w:color w:val="000000"/>
                <w:sz w:val="20"/>
                <w:szCs w:val="20"/>
              </w:rPr>
            </w:pPr>
            <w:r w:rsidRPr="007C6751">
              <w:rPr>
                <w:color w:val="000000"/>
                <w:sz w:val="20"/>
                <w:szCs w:val="20"/>
              </w:rPr>
              <w:t>PPL</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7C6751" w:rsidRDefault="006530F1" w:rsidP="006530F1">
            <w:pPr>
              <w:jc w:val="center"/>
              <w:rPr>
                <w:color w:val="000000"/>
                <w:sz w:val="20"/>
                <w:szCs w:val="20"/>
              </w:rPr>
            </w:pPr>
            <w:r>
              <w:rPr>
                <w:color w:val="000000"/>
                <w:sz w:val="20"/>
                <w:szCs w:val="20"/>
              </w:rPr>
              <w:t>$64,716,000</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7C6751" w:rsidRDefault="006530F1" w:rsidP="006530F1">
            <w:pPr>
              <w:jc w:val="center"/>
              <w:rPr>
                <w:color w:val="000000"/>
                <w:sz w:val="20"/>
                <w:szCs w:val="20"/>
              </w:rPr>
            </w:pPr>
            <w:r>
              <w:rPr>
                <w:sz w:val="20"/>
                <w:szCs w:val="20"/>
              </w:rPr>
              <w:t>$75,824,000</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7C6751" w:rsidRDefault="006530F1" w:rsidP="006530F1">
            <w:pPr>
              <w:jc w:val="center"/>
              <w:rPr>
                <w:sz w:val="20"/>
                <w:szCs w:val="20"/>
              </w:rPr>
            </w:pPr>
            <w:r>
              <w:rPr>
                <w:sz w:val="20"/>
                <w:szCs w:val="20"/>
              </w:rPr>
              <w:t>-$11,108,000</w:t>
            </w:r>
          </w:p>
        </w:tc>
        <w:tc>
          <w:tcPr>
            <w:tcW w:w="1870" w:type="dxa"/>
            <w:tcBorders>
              <w:top w:val="nil"/>
              <w:left w:val="nil"/>
              <w:bottom w:val="single" w:sz="8" w:space="0" w:color="448A99"/>
              <w:right w:val="single" w:sz="8" w:space="0" w:color="448A99"/>
            </w:tcBorders>
            <w:shd w:val="clear" w:color="auto" w:fill="auto"/>
            <w:vAlign w:val="center"/>
            <w:hideMark/>
          </w:tcPr>
          <w:p w:rsidR="006530F1" w:rsidRPr="007C6751" w:rsidRDefault="002A4A24" w:rsidP="006530F1">
            <w:pPr>
              <w:jc w:val="center"/>
              <w:rPr>
                <w:sz w:val="20"/>
                <w:szCs w:val="20"/>
              </w:rPr>
            </w:pPr>
            <w:r w:rsidRPr="002A4A24">
              <w:rPr>
                <w:color w:val="FF0000"/>
                <w:sz w:val="20"/>
                <w:szCs w:val="20"/>
              </w:rPr>
              <w:t>-</w:t>
            </w:r>
            <w:r w:rsidR="00391059" w:rsidRPr="002A4A24">
              <w:rPr>
                <w:color w:val="FF0000"/>
                <w:sz w:val="20"/>
                <w:szCs w:val="20"/>
              </w:rPr>
              <w:t>14.6%</w:t>
            </w:r>
          </w:p>
        </w:tc>
      </w:tr>
      <w:tr w:rsidR="00A874AC"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6530F1" w:rsidRPr="007C6751" w:rsidRDefault="006530F1" w:rsidP="006530F1">
            <w:pPr>
              <w:jc w:val="left"/>
              <w:rPr>
                <w:b/>
                <w:bCs/>
                <w:color w:val="000000"/>
                <w:sz w:val="20"/>
                <w:szCs w:val="20"/>
              </w:rPr>
            </w:pPr>
            <w:r w:rsidRPr="007C6751">
              <w:rPr>
                <w:b/>
                <w:bCs/>
                <w:color w:val="000000"/>
                <w:sz w:val="20"/>
                <w:szCs w:val="20"/>
              </w:rPr>
              <w:t>Total</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6530F1" w:rsidP="006530F1">
            <w:pPr>
              <w:jc w:val="center"/>
              <w:rPr>
                <w:b/>
                <w:bCs/>
                <w:color w:val="000000"/>
                <w:sz w:val="20"/>
                <w:szCs w:val="20"/>
              </w:rPr>
            </w:pPr>
            <w:r>
              <w:rPr>
                <w:b/>
                <w:bCs/>
                <w:color w:val="000000"/>
                <w:sz w:val="20"/>
                <w:szCs w:val="20"/>
              </w:rPr>
              <w:t>$228,182,776</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6530F1" w:rsidP="006530F1">
            <w:pPr>
              <w:jc w:val="center"/>
              <w:rPr>
                <w:b/>
                <w:bCs/>
                <w:color w:val="000000"/>
                <w:sz w:val="20"/>
                <w:szCs w:val="20"/>
              </w:rPr>
            </w:pPr>
            <w:r>
              <w:rPr>
                <w:b/>
                <w:bCs/>
                <w:sz w:val="20"/>
                <w:szCs w:val="20"/>
              </w:rPr>
              <w:t>$267,048,899</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6530F1" w:rsidP="006530F1">
            <w:pPr>
              <w:jc w:val="center"/>
              <w:rPr>
                <w:b/>
                <w:bCs/>
                <w:color w:val="000000"/>
                <w:sz w:val="20"/>
                <w:szCs w:val="20"/>
              </w:rPr>
            </w:pPr>
            <w:r>
              <w:rPr>
                <w:b/>
                <w:bCs/>
                <w:color w:val="000000"/>
                <w:sz w:val="20"/>
                <w:szCs w:val="20"/>
              </w:rPr>
              <w:t>-$38,866,123</w:t>
            </w:r>
          </w:p>
        </w:tc>
        <w:tc>
          <w:tcPr>
            <w:tcW w:w="1870" w:type="dxa"/>
            <w:tcBorders>
              <w:top w:val="nil"/>
              <w:left w:val="nil"/>
              <w:bottom w:val="single" w:sz="8" w:space="0" w:color="448A99"/>
              <w:right w:val="single" w:sz="8" w:space="0" w:color="448A99"/>
            </w:tcBorders>
            <w:shd w:val="clear" w:color="000000" w:fill="D2EAF1"/>
            <w:vAlign w:val="center"/>
            <w:hideMark/>
          </w:tcPr>
          <w:p w:rsidR="006530F1" w:rsidRPr="007C6751" w:rsidRDefault="002A4A24" w:rsidP="006530F1">
            <w:pPr>
              <w:jc w:val="center"/>
              <w:rPr>
                <w:b/>
                <w:bCs/>
                <w:color w:val="FF0000"/>
                <w:sz w:val="20"/>
                <w:szCs w:val="20"/>
              </w:rPr>
            </w:pPr>
            <w:r w:rsidRPr="002A4A24">
              <w:rPr>
                <w:b/>
                <w:bCs/>
                <w:color w:val="FF0000"/>
                <w:sz w:val="20"/>
                <w:szCs w:val="20"/>
              </w:rPr>
              <w:t>-</w:t>
            </w:r>
            <w:r w:rsidR="00391059" w:rsidRPr="002A4A24">
              <w:rPr>
                <w:b/>
                <w:bCs/>
                <w:color w:val="FF0000"/>
                <w:sz w:val="20"/>
                <w:szCs w:val="20"/>
              </w:rPr>
              <w:t>14.6%</w:t>
            </w:r>
          </w:p>
        </w:tc>
      </w:tr>
    </w:tbl>
    <w:p w:rsidR="00EE60CD" w:rsidRDefault="00EE60CD" w:rsidP="00AC2B6F"/>
    <w:p w:rsidR="00EE60CD" w:rsidRDefault="007C6751" w:rsidP="00AC2B6F">
      <w:r>
        <w:fldChar w:fldCharType="begin"/>
      </w:r>
      <w:r>
        <w:instrText xml:space="preserve"> REF _Ref472409047 \h </w:instrText>
      </w:r>
      <w:r>
        <w:fldChar w:fldCharType="separate"/>
      </w:r>
      <w:r w:rsidR="008A7824">
        <w:t xml:space="preserve">Table </w:t>
      </w:r>
      <w:r w:rsidR="008A7824">
        <w:rPr>
          <w:noProof/>
        </w:rPr>
        <w:t>2</w:t>
      </w:r>
      <w:r w:rsidR="008A7824">
        <w:noBreakHyphen/>
      </w:r>
      <w:r w:rsidR="008A7824">
        <w:rPr>
          <w:noProof/>
        </w:rPr>
        <w:t>11</w:t>
      </w:r>
      <w:r>
        <w:fldChar w:fldCharType="end"/>
      </w:r>
      <w:r w:rsidR="005E0D89">
        <w:t xml:space="preserve"> </w:t>
      </w:r>
      <w:r w:rsidR="00EE60CD" w:rsidRPr="00EE60CD">
        <w:t xml:space="preserve">compares the </w:t>
      </w:r>
      <w:r w:rsidR="005E23F3" w:rsidRPr="00EE60CD">
        <w:t>PY</w:t>
      </w:r>
      <w:r w:rsidR="005E23F3">
        <w:t>7</w:t>
      </w:r>
      <w:r w:rsidR="00A57CA5">
        <w:t xml:space="preserve"> </w:t>
      </w:r>
      <w:r w:rsidR="004E0516">
        <w:t>planned</w:t>
      </w:r>
      <w:r w:rsidR="004E0516" w:rsidRPr="00EE60CD">
        <w:t xml:space="preserve"> </w:t>
      </w:r>
      <w:r w:rsidR="00EE60CD" w:rsidRPr="00EE60CD">
        <w:t>acquisition cost and actual acquisition cost (per first</w:t>
      </w:r>
      <w:r w:rsidR="004E0516">
        <w:t>-</w:t>
      </w:r>
      <w:r w:rsidR="00EE60CD" w:rsidRPr="00EE60CD">
        <w:t>year kWh saved) for each EDC and for all EDCs combined</w:t>
      </w:r>
      <w:r w:rsidR="00EE60CD">
        <w:t>.</w:t>
      </w:r>
    </w:p>
    <w:p w:rsidR="00EE60CD" w:rsidRDefault="00EE60CD" w:rsidP="00AC2B6F"/>
    <w:p w:rsidR="00EE60CD" w:rsidRDefault="00EE60CD" w:rsidP="00EE60CD">
      <w:pPr>
        <w:pStyle w:val="Caption"/>
      </w:pPr>
      <w:bookmarkStart w:id="106" w:name="_Ref472409047"/>
      <w:bookmarkStart w:id="107" w:name="_Toc472472165"/>
      <w:bookmarkStart w:id="108" w:name="_Toc476913977"/>
      <w:r>
        <w:t xml:space="preserve">Table </w:t>
      </w:r>
      <w:fldSimple w:instr=" STYLEREF 1 \s ">
        <w:r w:rsidR="008A7824">
          <w:rPr>
            <w:noProof/>
          </w:rPr>
          <w:t>2</w:t>
        </w:r>
      </w:fldSimple>
      <w:r w:rsidR="00E6042C">
        <w:noBreakHyphen/>
      </w:r>
      <w:fldSimple w:instr=" SEQ Table \* ARABIC \s 1 ">
        <w:r w:rsidR="008A7824">
          <w:rPr>
            <w:noProof/>
          </w:rPr>
          <w:t>11</w:t>
        </w:r>
      </w:fldSimple>
      <w:bookmarkEnd w:id="106"/>
      <w:r>
        <w:t xml:space="preserve">:  </w:t>
      </w:r>
      <w:r w:rsidR="0024114B">
        <w:t>Planned</w:t>
      </w:r>
      <w:r w:rsidRPr="00EE60CD">
        <w:t xml:space="preserve"> Acquisition Costs versus</w:t>
      </w:r>
      <w:r w:rsidR="007C6751">
        <w:t xml:space="preserve"> Actual Acquisition Costs in PY7</w:t>
      </w:r>
      <w:bookmarkEnd w:id="107"/>
      <w:bookmarkEnd w:id="108"/>
    </w:p>
    <w:tbl>
      <w:tblPr>
        <w:tblW w:w="9350" w:type="dxa"/>
        <w:tblInd w:w="108" w:type="dxa"/>
        <w:tblLook w:val="04A0" w:firstRow="1" w:lastRow="0" w:firstColumn="1" w:lastColumn="0" w:noHBand="0" w:noVBand="1"/>
      </w:tblPr>
      <w:tblGrid>
        <w:gridCol w:w="1870"/>
        <w:gridCol w:w="1870"/>
        <w:gridCol w:w="1870"/>
        <w:gridCol w:w="1870"/>
        <w:gridCol w:w="1870"/>
      </w:tblGrid>
      <w:tr w:rsidR="00A874AC" w:rsidRPr="007C6751" w:rsidTr="00592FD5">
        <w:trPr>
          <w:trHeight w:val="745"/>
        </w:trPr>
        <w:tc>
          <w:tcPr>
            <w:tcW w:w="187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7C6751" w:rsidRPr="007C6751" w:rsidRDefault="007C6751" w:rsidP="00A67631">
            <w:pPr>
              <w:rPr>
                <w:b/>
                <w:bCs/>
                <w:color w:val="FFFFFF"/>
                <w:sz w:val="20"/>
                <w:szCs w:val="20"/>
              </w:rPr>
            </w:pPr>
            <w:r w:rsidRPr="007C6751">
              <w:rPr>
                <w:b/>
                <w:bCs/>
                <w:color w:val="FFFFFF"/>
                <w:sz w:val="20"/>
                <w:szCs w:val="20"/>
              </w:rPr>
              <w:t>EDC</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7C6751" w:rsidRDefault="007C6751" w:rsidP="00A67631">
            <w:pPr>
              <w:jc w:val="center"/>
              <w:rPr>
                <w:b/>
                <w:bCs/>
                <w:color w:val="FFFFFF"/>
                <w:sz w:val="20"/>
                <w:szCs w:val="20"/>
              </w:rPr>
            </w:pPr>
            <w:r w:rsidRPr="007C6751">
              <w:rPr>
                <w:b/>
                <w:bCs/>
                <w:color w:val="FFFFFF"/>
                <w:sz w:val="20"/>
                <w:szCs w:val="20"/>
              </w:rPr>
              <w:t>PY7 Verified MWh</w:t>
            </w:r>
            <w:r w:rsidR="000F4785">
              <w:rPr>
                <w:b/>
                <w:bCs/>
                <w:color w:val="FFFFFF"/>
                <w:sz w:val="20"/>
                <w:szCs w:val="20"/>
              </w:rPr>
              <w:t>/yr</w:t>
            </w:r>
            <w:r w:rsidRPr="007C6751">
              <w:rPr>
                <w:b/>
                <w:bCs/>
                <w:color w:val="FFFFFF"/>
                <w:sz w:val="20"/>
                <w:szCs w:val="20"/>
              </w:rPr>
              <w:t xml:space="preserve"> Savings (not including CO)</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7C6751" w:rsidRDefault="007C6751" w:rsidP="00A67631">
            <w:pPr>
              <w:jc w:val="center"/>
              <w:rPr>
                <w:b/>
                <w:bCs/>
                <w:color w:val="FFFFFF"/>
                <w:sz w:val="20"/>
                <w:szCs w:val="20"/>
              </w:rPr>
            </w:pPr>
            <w:r w:rsidRPr="007C6751">
              <w:rPr>
                <w:b/>
                <w:bCs/>
                <w:color w:val="FFFFFF"/>
                <w:sz w:val="20"/>
                <w:szCs w:val="20"/>
              </w:rPr>
              <w:t>Forecasted PY</w:t>
            </w:r>
            <w:r w:rsidR="005E23F3">
              <w:rPr>
                <w:b/>
                <w:bCs/>
                <w:color w:val="FFFFFF"/>
                <w:sz w:val="20"/>
                <w:szCs w:val="20"/>
              </w:rPr>
              <w:t>7</w:t>
            </w:r>
            <w:r w:rsidRPr="007C6751">
              <w:rPr>
                <w:b/>
                <w:bCs/>
                <w:color w:val="FFFFFF"/>
                <w:sz w:val="20"/>
                <w:szCs w:val="20"/>
              </w:rPr>
              <w:t xml:space="preserve"> Acquisition Cost per First</w:t>
            </w:r>
            <w:r w:rsidR="004E0516">
              <w:rPr>
                <w:b/>
                <w:bCs/>
                <w:color w:val="FFFFFF"/>
                <w:sz w:val="20"/>
                <w:szCs w:val="20"/>
              </w:rPr>
              <w:t>-</w:t>
            </w:r>
            <w:r w:rsidRPr="007C6751">
              <w:rPr>
                <w:b/>
                <w:bCs/>
                <w:color w:val="FFFFFF"/>
                <w:sz w:val="20"/>
                <w:szCs w:val="20"/>
              </w:rPr>
              <w:t>Year kWh Saved</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7C6751" w:rsidRDefault="007C6751" w:rsidP="00A67631">
            <w:pPr>
              <w:jc w:val="center"/>
              <w:rPr>
                <w:b/>
                <w:bCs/>
                <w:color w:val="FFFFFF"/>
                <w:sz w:val="20"/>
                <w:szCs w:val="20"/>
              </w:rPr>
            </w:pPr>
            <w:r w:rsidRPr="007C6751">
              <w:rPr>
                <w:b/>
                <w:bCs/>
                <w:color w:val="FFFFFF"/>
                <w:sz w:val="20"/>
                <w:szCs w:val="20"/>
              </w:rPr>
              <w:t>Actual PY</w:t>
            </w:r>
            <w:r w:rsidR="005E23F3">
              <w:rPr>
                <w:b/>
                <w:bCs/>
                <w:color w:val="FFFFFF"/>
                <w:sz w:val="20"/>
                <w:szCs w:val="20"/>
              </w:rPr>
              <w:t>7</w:t>
            </w:r>
            <w:r w:rsidRPr="007C6751">
              <w:rPr>
                <w:b/>
                <w:bCs/>
                <w:color w:val="FFFFFF"/>
                <w:sz w:val="20"/>
                <w:szCs w:val="20"/>
              </w:rPr>
              <w:t xml:space="preserve"> Acquisition Cost per First</w:t>
            </w:r>
            <w:r w:rsidR="004E0516">
              <w:rPr>
                <w:b/>
                <w:bCs/>
                <w:color w:val="FFFFFF"/>
                <w:sz w:val="20"/>
                <w:szCs w:val="20"/>
              </w:rPr>
              <w:t>-</w:t>
            </w:r>
            <w:r w:rsidRPr="007C6751">
              <w:rPr>
                <w:b/>
                <w:bCs/>
                <w:color w:val="FFFFFF"/>
                <w:sz w:val="20"/>
                <w:szCs w:val="20"/>
              </w:rPr>
              <w:t>Year kWh Saved</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C6751" w:rsidRPr="007C6751" w:rsidRDefault="0024114B" w:rsidP="00A67631">
            <w:pPr>
              <w:jc w:val="center"/>
              <w:rPr>
                <w:b/>
                <w:bCs/>
                <w:color w:val="FFFFFF"/>
                <w:sz w:val="20"/>
                <w:szCs w:val="20"/>
              </w:rPr>
            </w:pPr>
            <w:r w:rsidRPr="0024114B">
              <w:rPr>
                <w:b/>
                <w:bCs/>
                <w:color w:val="FFFFFF"/>
                <w:sz w:val="20"/>
                <w:szCs w:val="20"/>
              </w:rPr>
              <w:t xml:space="preserve">Percent </w:t>
            </w:r>
            <w:r w:rsidR="002A4A24">
              <w:rPr>
                <w:b/>
                <w:bCs/>
                <w:color w:val="FFFFFF"/>
                <w:sz w:val="20"/>
                <w:szCs w:val="20"/>
              </w:rPr>
              <w:t>Change from Planned Acquisition Costs</w:t>
            </w:r>
          </w:p>
        </w:tc>
      </w:tr>
      <w:tr w:rsidR="002A4A24"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2A4A24" w:rsidRPr="007C6751" w:rsidRDefault="002A4A24" w:rsidP="002A4A24">
            <w:pPr>
              <w:jc w:val="left"/>
              <w:rPr>
                <w:color w:val="000000"/>
                <w:sz w:val="20"/>
                <w:szCs w:val="20"/>
              </w:rPr>
            </w:pPr>
            <w:r w:rsidRPr="007C6751">
              <w:rPr>
                <w:color w:val="000000"/>
                <w:sz w:val="20"/>
                <w:szCs w:val="20"/>
              </w:rPr>
              <w:t>Duquesne</w:t>
            </w:r>
          </w:p>
        </w:tc>
        <w:tc>
          <w:tcPr>
            <w:tcW w:w="1870" w:type="dxa"/>
            <w:tcBorders>
              <w:top w:val="nil"/>
              <w:left w:val="nil"/>
              <w:bottom w:val="single" w:sz="8" w:space="0" w:color="448A99"/>
              <w:right w:val="single" w:sz="8" w:space="0" w:color="448A99"/>
            </w:tcBorders>
            <w:shd w:val="clear" w:color="auto" w:fill="auto"/>
            <w:vAlign w:val="center"/>
            <w:hideMark/>
          </w:tcPr>
          <w:p w:rsidR="002A4A24" w:rsidRPr="007C6751" w:rsidRDefault="002A4A24" w:rsidP="002A4A24">
            <w:pPr>
              <w:jc w:val="center"/>
              <w:rPr>
                <w:color w:val="000000"/>
                <w:sz w:val="20"/>
                <w:szCs w:val="20"/>
              </w:rPr>
            </w:pPr>
            <w:r>
              <w:rPr>
                <w:color w:val="000000"/>
                <w:sz w:val="20"/>
                <w:szCs w:val="20"/>
              </w:rPr>
              <w:t>142,187</w:t>
            </w:r>
          </w:p>
        </w:tc>
        <w:tc>
          <w:tcPr>
            <w:tcW w:w="1870" w:type="dxa"/>
            <w:tcBorders>
              <w:top w:val="nil"/>
              <w:left w:val="nil"/>
              <w:bottom w:val="single" w:sz="8" w:space="0" w:color="448A99"/>
              <w:right w:val="single" w:sz="8" w:space="0" w:color="448A99"/>
            </w:tcBorders>
            <w:shd w:val="clear" w:color="auto" w:fill="auto"/>
            <w:vAlign w:val="center"/>
            <w:hideMark/>
          </w:tcPr>
          <w:p w:rsidR="002A4A24" w:rsidRPr="007C6751" w:rsidRDefault="002A4A24" w:rsidP="002A4A24">
            <w:pPr>
              <w:jc w:val="center"/>
              <w:rPr>
                <w:color w:val="000000"/>
                <w:sz w:val="20"/>
                <w:szCs w:val="20"/>
              </w:rPr>
            </w:pPr>
            <w:r>
              <w:rPr>
                <w:color w:val="000000"/>
                <w:sz w:val="20"/>
                <w:szCs w:val="20"/>
              </w:rPr>
              <w:t>$0.137</w:t>
            </w:r>
          </w:p>
        </w:tc>
        <w:tc>
          <w:tcPr>
            <w:tcW w:w="1870" w:type="dxa"/>
            <w:tcBorders>
              <w:top w:val="nil"/>
              <w:left w:val="nil"/>
              <w:bottom w:val="single" w:sz="8" w:space="0" w:color="448A99"/>
              <w:right w:val="single" w:sz="8" w:space="0" w:color="448A99"/>
            </w:tcBorders>
            <w:shd w:val="clear" w:color="auto" w:fill="auto"/>
            <w:vAlign w:val="center"/>
            <w:hideMark/>
          </w:tcPr>
          <w:p w:rsidR="002A4A24" w:rsidRPr="007C6751" w:rsidRDefault="002A4A24" w:rsidP="002A4A24">
            <w:pPr>
              <w:jc w:val="center"/>
              <w:rPr>
                <w:color w:val="000000"/>
                <w:sz w:val="20"/>
                <w:szCs w:val="20"/>
              </w:rPr>
            </w:pPr>
            <w:r>
              <w:rPr>
                <w:color w:val="000000"/>
                <w:sz w:val="20"/>
                <w:szCs w:val="20"/>
              </w:rPr>
              <w:t>$0.113</w:t>
            </w:r>
          </w:p>
        </w:tc>
        <w:tc>
          <w:tcPr>
            <w:tcW w:w="1870" w:type="dxa"/>
            <w:tcBorders>
              <w:top w:val="nil"/>
              <w:left w:val="nil"/>
              <w:bottom w:val="single" w:sz="8" w:space="0" w:color="448A99"/>
              <w:right w:val="single" w:sz="8" w:space="0" w:color="448A99"/>
            </w:tcBorders>
            <w:shd w:val="clear" w:color="auto" w:fill="auto"/>
            <w:vAlign w:val="center"/>
          </w:tcPr>
          <w:p w:rsidR="002A4A24" w:rsidRPr="007C6751" w:rsidRDefault="002A4A24" w:rsidP="002A4A24">
            <w:pPr>
              <w:jc w:val="center"/>
              <w:rPr>
                <w:sz w:val="20"/>
                <w:szCs w:val="20"/>
              </w:rPr>
            </w:pPr>
            <w:r w:rsidRPr="002A4A24">
              <w:rPr>
                <w:color w:val="FF0000"/>
                <w:sz w:val="20"/>
                <w:szCs w:val="20"/>
              </w:rPr>
              <w:t>-17.8%</w:t>
            </w:r>
          </w:p>
        </w:tc>
      </w:tr>
      <w:tr w:rsidR="002A4A24"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2A4A24" w:rsidRPr="007C6751" w:rsidRDefault="002A4A24" w:rsidP="002A4A24">
            <w:pPr>
              <w:jc w:val="left"/>
              <w:rPr>
                <w:color w:val="000000"/>
                <w:sz w:val="20"/>
                <w:szCs w:val="20"/>
              </w:rPr>
            </w:pPr>
            <w:r w:rsidRPr="007C6751">
              <w:rPr>
                <w:color w:val="000000"/>
                <w:sz w:val="20"/>
                <w:szCs w:val="20"/>
              </w:rPr>
              <w:t>FE:  Met-Ed</w:t>
            </w:r>
          </w:p>
        </w:tc>
        <w:tc>
          <w:tcPr>
            <w:tcW w:w="1870" w:type="dxa"/>
            <w:tcBorders>
              <w:top w:val="nil"/>
              <w:left w:val="nil"/>
              <w:bottom w:val="single" w:sz="8" w:space="0" w:color="448A99"/>
              <w:right w:val="single" w:sz="8" w:space="0" w:color="448A99"/>
            </w:tcBorders>
            <w:shd w:val="clear" w:color="000000" w:fill="D2EAF1"/>
            <w:vAlign w:val="center"/>
            <w:hideMark/>
          </w:tcPr>
          <w:p w:rsidR="002A4A24" w:rsidRPr="007C6751" w:rsidRDefault="002A4A24" w:rsidP="002A4A24">
            <w:pPr>
              <w:jc w:val="center"/>
              <w:rPr>
                <w:color w:val="000000"/>
                <w:sz w:val="20"/>
                <w:szCs w:val="20"/>
              </w:rPr>
            </w:pPr>
            <w:r>
              <w:rPr>
                <w:color w:val="000000"/>
                <w:sz w:val="20"/>
                <w:szCs w:val="20"/>
              </w:rPr>
              <w:t>171,420</w:t>
            </w:r>
          </w:p>
        </w:tc>
        <w:tc>
          <w:tcPr>
            <w:tcW w:w="1870" w:type="dxa"/>
            <w:tcBorders>
              <w:top w:val="nil"/>
              <w:left w:val="nil"/>
              <w:bottom w:val="single" w:sz="8" w:space="0" w:color="448A99"/>
              <w:right w:val="single" w:sz="8" w:space="0" w:color="448A99"/>
            </w:tcBorders>
            <w:shd w:val="clear" w:color="000000" w:fill="D2EAF1"/>
            <w:vAlign w:val="center"/>
            <w:hideMark/>
          </w:tcPr>
          <w:p w:rsidR="002A4A24" w:rsidRPr="007C6751" w:rsidRDefault="002A4A24" w:rsidP="002A4A24">
            <w:pPr>
              <w:jc w:val="center"/>
              <w:rPr>
                <w:color w:val="000000"/>
                <w:sz w:val="20"/>
                <w:szCs w:val="20"/>
              </w:rPr>
            </w:pPr>
            <w:r>
              <w:rPr>
                <w:color w:val="000000"/>
                <w:sz w:val="20"/>
                <w:szCs w:val="20"/>
              </w:rPr>
              <w:t>$0.149</w:t>
            </w:r>
          </w:p>
        </w:tc>
        <w:tc>
          <w:tcPr>
            <w:tcW w:w="1870" w:type="dxa"/>
            <w:tcBorders>
              <w:top w:val="nil"/>
              <w:left w:val="nil"/>
              <w:bottom w:val="single" w:sz="8" w:space="0" w:color="448A99"/>
              <w:right w:val="single" w:sz="8" w:space="0" w:color="448A99"/>
            </w:tcBorders>
            <w:shd w:val="clear" w:color="000000" w:fill="D2EAF1"/>
            <w:vAlign w:val="center"/>
            <w:hideMark/>
          </w:tcPr>
          <w:p w:rsidR="002A4A24" w:rsidRPr="007C6751" w:rsidRDefault="002A4A24" w:rsidP="002A4A24">
            <w:pPr>
              <w:jc w:val="center"/>
              <w:rPr>
                <w:color w:val="000000"/>
                <w:sz w:val="20"/>
                <w:szCs w:val="20"/>
              </w:rPr>
            </w:pPr>
            <w:r>
              <w:rPr>
                <w:color w:val="000000"/>
                <w:sz w:val="20"/>
                <w:szCs w:val="20"/>
              </w:rPr>
              <w:t>$0.110</w:t>
            </w:r>
          </w:p>
        </w:tc>
        <w:tc>
          <w:tcPr>
            <w:tcW w:w="1870" w:type="dxa"/>
            <w:tcBorders>
              <w:top w:val="nil"/>
              <w:left w:val="nil"/>
              <w:bottom w:val="single" w:sz="8" w:space="0" w:color="448A99"/>
              <w:right w:val="single" w:sz="8" w:space="0" w:color="448A99"/>
            </w:tcBorders>
            <w:shd w:val="clear" w:color="000000" w:fill="D2EAF1"/>
            <w:vAlign w:val="center"/>
          </w:tcPr>
          <w:p w:rsidR="002A4A24" w:rsidRPr="007C6751" w:rsidRDefault="002A4A24" w:rsidP="002A4A24">
            <w:pPr>
              <w:jc w:val="center"/>
              <w:rPr>
                <w:color w:val="FF0000"/>
                <w:sz w:val="20"/>
                <w:szCs w:val="20"/>
              </w:rPr>
            </w:pPr>
            <w:r w:rsidRPr="002A4A24">
              <w:rPr>
                <w:color w:val="FF0000"/>
                <w:sz w:val="20"/>
                <w:szCs w:val="20"/>
              </w:rPr>
              <w:t>-25.9%</w:t>
            </w:r>
          </w:p>
        </w:tc>
      </w:tr>
      <w:tr w:rsidR="002A4A24"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2A4A24" w:rsidRPr="007C6751" w:rsidRDefault="002A4A24" w:rsidP="002A4A24">
            <w:pPr>
              <w:jc w:val="left"/>
              <w:rPr>
                <w:color w:val="000000"/>
                <w:sz w:val="20"/>
                <w:szCs w:val="20"/>
              </w:rPr>
            </w:pPr>
            <w:r w:rsidRPr="007C6751">
              <w:rPr>
                <w:color w:val="000000"/>
                <w:sz w:val="20"/>
                <w:szCs w:val="20"/>
              </w:rPr>
              <w:t>FE:  Penelec</w:t>
            </w:r>
          </w:p>
        </w:tc>
        <w:tc>
          <w:tcPr>
            <w:tcW w:w="1870" w:type="dxa"/>
            <w:tcBorders>
              <w:top w:val="nil"/>
              <w:left w:val="nil"/>
              <w:bottom w:val="single" w:sz="8" w:space="0" w:color="448A99"/>
              <w:right w:val="single" w:sz="8" w:space="0" w:color="448A99"/>
            </w:tcBorders>
            <w:shd w:val="clear" w:color="auto" w:fill="auto"/>
            <w:vAlign w:val="center"/>
            <w:hideMark/>
          </w:tcPr>
          <w:p w:rsidR="002A4A24" w:rsidRPr="007C6751" w:rsidRDefault="002A4A24" w:rsidP="002A4A24">
            <w:pPr>
              <w:jc w:val="center"/>
              <w:rPr>
                <w:color w:val="000000"/>
                <w:sz w:val="20"/>
                <w:szCs w:val="20"/>
              </w:rPr>
            </w:pPr>
            <w:r>
              <w:rPr>
                <w:color w:val="000000"/>
                <w:sz w:val="20"/>
                <w:szCs w:val="20"/>
              </w:rPr>
              <w:t>164,398</w:t>
            </w:r>
          </w:p>
        </w:tc>
        <w:tc>
          <w:tcPr>
            <w:tcW w:w="1870" w:type="dxa"/>
            <w:tcBorders>
              <w:top w:val="nil"/>
              <w:left w:val="nil"/>
              <w:bottom w:val="single" w:sz="8" w:space="0" w:color="448A99"/>
              <w:right w:val="single" w:sz="8" w:space="0" w:color="448A99"/>
            </w:tcBorders>
            <w:shd w:val="clear" w:color="auto" w:fill="auto"/>
            <w:vAlign w:val="center"/>
            <w:hideMark/>
          </w:tcPr>
          <w:p w:rsidR="002A4A24" w:rsidRPr="007C6751" w:rsidRDefault="002A4A24" w:rsidP="002A4A24">
            <w:pPr>
              <w:jc w:val="center"/>
              <w:rPr>
                <w:color w:val="000000"/>
                <w:sz w:val="20"/>
                <w:szCs w:val="20"/>
              </w:rPr>
            </w:pPr>
            <w:r>
              <w:rPr>
                <w:color w:val="000000"/>
                <w:sz w:val="20"/>
                <w:szCs w:val="20"/>
              </w:rPr>
              <w:t>$0.147</w:t>
            </w:r>
          </w:p>
        </w:tc>
        <w:tc>
          <w:tcPr>
            <w:tcW w:w="1870" w:type="dxa"/>
            <w:tcBorders>
              <w:top w:val="nil"/>
              <w:left w:val="nil"/>
              <w:bottom w:val="single" w:sz="8" w:space="0" w:color="448A99"/>
              <w:right w:val="single" w:sz="8" w:space="0" w:color="448A99"/>
            </w:tcBorders>
            <w:shd w:val="clear" w:color="auto" w:fill="auto"/>
            <w:vAlign w:val="center"/>
            <w:hideMark/>
          </w:tcPr>
          <w:p w:rsidR="002A4A24" w:rsidRPr="007C6751" w:rsidRDefault="002A4A24" w:rsidP="002A4A24">
            <w:pPr>
              <w:jc w:val="center"/>
              <w:rPr>
                <w:color w:val="000000"/>
                <w:sz w:val="20"/>
                <w:szCs w:val="20"/>
              </w:rPr>
            </w:pPr>
            <w:r>
              <w:rPr>
                <w:color w:val="000000"/>
                <w:sz w:val="20"/>
                <w:szCs w:val="20"/>
              </w:rPr>
              <w:t>$0.100</w:t>
            </w:r>
          </w:p>
        </w:tc>
        <w:tc>
          <w:tcPr>
            <w:tcW w:w="1870" w:type="dxa"/>
            <w:tcBorders>
              <w:top w:val="nil"/>
              <w:left w:val="nil"/>
              <w:bottom w:val="single" w:sz="8" w:space="0" w:color="448A99"/>
              <w:right w:val="single" w:sz="8" w:space="0" w:color="448A99"/>
            </w:tcBorders>
            <w:shd w:val="clear" w:color="auto" w:fill="auto"/>
            <w:vAlign w:val="center"/>
          </w:tcPr>
          <w:p w:rsidR="002A4A24" w:rsidRPr="007C6751" w:rsidRDefault="002A4A24" w:rsidP="002A4A24">
            <w:pPr>
              <w:jc w:val="center"/>
              <w:rPr>
                <w:color w:val="FF0000"/>
                <w:sz w:val="20"/>
                <w:szCs w:val="20"/>
              </w:rPr>
            </w:pPr>
            <w:r w:rsidRPr="002A4A24">
              <w:rPr>
                <w:color w:val="FF0000"/>
                <w:sz w:val="20"/>
                <w:szCs w:val="20"/>
              </w:rPr>
              <w:t>-31.8%</w:t>
            </w:r>
          </w:p>
        </w:tc>
      </w:tr>
      <w:tr w:rsidR="002A4A24"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2A4A24" w:rsidRPr="007C6751" w:rsidRDefault="002A4A24" w:rsidP="002A4A24">
            <w:pPr>
              <w:jc w:val="left"/>
              <w:rPr>
                <w:color w:val="000000"/>
                <w:sz w:val="20"/>
                <w:szCs w:val="20"/>
              </w:rPr>
            </w:pPr>
            <w:r w:rsidRPr="007C6751">
              <w:rPr>
                <w:color w:val="000000"/>
                <w:sz w:val="20"/>
                <w:szCs w:val="20"/>
              </w:rPr>
              <w:t>FE:  Penn Power</w:t>
            </w:r>
          </w:p>
        </w:tc>
        <w:tc>
          <w:tcPr>
            <w:tcW w:w="1870" w:type="dxa"/>
            <w:tcBorders>
              <w:top w:val="nil"/>
              <w:left w:val="nil"/>
              <w:bottom w:val="single" w:sz="8" w:space="0" w:color="448A99"/>
              <w:right w:val="single" w:sz="8" w:space="0" w:color="448A99"/>
            </w:tcBorders>
            <w:shd w:val="clear" w:color="000000" w:fill="D2EAF1"/>
            <w:vAlign w:val="center"/>
            <w:hideMark/>
          </w:tcPr>
          <w:p w:rsidR="002A4A24" w:rsidRPr="007C6751" w:rsidRDefault="002A4A24" w:rsidP="002A4A24">
            <w:pPr>
              <w:jc w:val="center"/>
              <w:rPr>
                <w:color w:val="000000"/>
                <w:sz w:val="20"/>
                <w:szCs w:val="20"/>
              </w:rPr>
            </w:pPr>
            <w:r>
              <w:rPr>
                <w:color w:val="000000"/>
                <w:sz w:val="20"/>
                <w:szCs w:val="20"/>
              </w:rPr>
              <w:t>27,280</w:t>
            </w:r>
          </w:p>
        </w:tc>
        <w:tc>
          <w:tcPr>
            <w:tcW w:w="1870" w:type="dxa"/>
            <w:tcBorders>
              <w:top w:val="nil"/>
              <w:left w:val="nil"/>
              <w:bottom w:val="single" w:sz="8" w:space="0" w:color="448A99"/>
              <w:right w:val="single" w:sz="8" w:space="0" w:color="448A99"/>
            </w:tcBorders>
            <w:shd w:val="clear" w:color="000000" w:fill="D2EAF1"/>
            <w:vAlign w:val="center"/>
            <w:hideMark/>
          </w:tcPr>
          <w:p w:rsidR="002A4A24" w:rsidRPr="007C6751" w:rsidRDefault="002A4A24" w:rsidP="002A4A24">
            <w:pPr>
              <w:jc w:val="center"/>
              <w:rPr>
                <w:color w:val="000000"/>
                <w:sz w:val="20"/>
                <w:szCs w:val="20"/>
              </w:rPr>
            </w:pPr>
            <w:r>
              <w:rPr>
                <w:color w:val="000000"/>
                <w:sz w:val="20"/>
                <w:szCs w:val="20"/>
              </w:rPr>
              <w:t>$0.250</w:t>
            </w:r>
          </w:p>
        </w:tc>
        <w:tc>
          <w:tcPr>
            <w:tcW w:w="1870" w:type="dxa"/>
            <w:tcBorders>
              <w:top w:val="nil"/>
              <w:left w:val="nil"/>
              <w:bottom w:val="single" w:sz="8" w:space="0" w:color="448A99"/>
              <w:right w:val="single" w:sz="8" w:space="0" w:color="448A99"/>
            </w:tcBorders>
            <w:shd w:val="clear" w:color="000000" w:fill="D2EAF1"/>
            <w:vAlign w:val="center"/>
            <w:hideMark/>
          </w:tcPr>
          <w:p w:rsidR="002A4A24" w:rsidRPr="007C6751" w:rsidRDefault="002A4A24" w:rsidP="002A4A24">
            <w:pPr>
              <w:jc w:val="center"/>
              <w:rPr>
                <w:color w:val="000000"/>
                <w:sz w:val="20"/>
                <w:szCs w:val="20"/>
              </w:rPr>
            </w:pPr>
            <w:r>
              <w:rPr>
                <w:color w:val="000000"/>
                <w:sz w:val="20"/>
                <w:szCs w:val="20"/>
              </w:rPr>
              <w:t>$0.143</w:t>
            </w:r>
          </w:p>
        </w:tc>
        <w:tc>
          <w:tcPr>
            <w:tcW w:w="1870" w:type="dxa"/>
            <w:tcBorders>
              <w:top w:val="nil"/>
              <w:left w:val="nil"/>
              <w:bottom w:val="single" w:sz="8" w:space="0" w:color="448A99"/>
              <w:right w:val="single" w:sz="8" w:space="0" w:color="448A99"/>
            </w:tcBorders>
            <w:shd w:val="clear" w:color="000000" w:fill="D2EAF1"/>
            <w:vAlign w:val="center"/>
          </w:tcPr>
          <w:p w:rsidR="002A4A24" w:rsidRPr="007C6751" w:rsidRDefault="002A4A24" w:rsidP="002A4A24">
            <w:pPr>
              <w:jc w:val="center"/>
              <w:rPr>
                <w:color w:val="FF0000"/>
                <w:sz w:val="20"/>
                <w:szCs w:val="20"/>
              </w:rPr>
            </w:pPr>
            <w:r w:rsidRPr="002A4A24">
              <w:rPr>
                <w:color w:val="FF0000"/>
                <w:sz w:val="20"/>
                <w:szCs w:val="20"/>
              </w:rPr>
              <w:t>-42.8%</w:t>
            </w:r>
          </w:p>
        </w:tc>
      </w:tr>
      <w:tr w:rsidR="002A4A24"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2A4A24" w:rsidRPr="007C6751" w:rsidRDefault="002A4A24" w:rsidP="002A4A24">
            <w:pPr>
              <w:jc w:val="left"/>
              <w:rPr>
                <w:color w:val="000000"/>
                <w:sz w:val="20"/>
                <w:szCs w:val="20"/>
              </w:rPr>
            </w:pPr>
            <w:r w:rsidRPr="007C6751">
              <w:rPr>
                <w:color w:val="000000"/>
                <w:sz w:val="20"/>
                <w:szCs w:val="20"/>
              </w:rPr>
              <w:t>FE:  West Penn</w:t>
            </w:r>
          </w:p>
        </w:tc>
        <w:tc>
          <w:tcPr>
            <w:tcW w:w="1870" w:type="dxa"/>
            <w:tcBorders>
              <w:top w:val="nil"/>
              <w:left w:val="nil"/>
              <w:bottom w:val="single" w:sz="8" w:space="0" w:color="448A99"/>
              <w:right w:val="single" w:sz="8" w:space="0" w:color="448A99"/>
            </w:tcBorders>
            <w:shd w:val="clear" w:color="auto" w:fill="auto"/>
            <w:vAlign w:val="center"/>
            <w:hideMark/>
          </w:tcPr>
          <w:p w:rsidR="002A4A24" w:rsidRPr="007C6751" w:rsidRDefault="002A4A24" w:rsidP="002A4A24">
            <w:pPr>
              <w:jc w:val="center"/>
              <w:rPr>
                <w:color w:val="000000"/>
                <w:sz w:val="20"/>
                <w:szCs w:val="20"/>
              </w:rPr>
            </w:pPr>
            <w:r>
              <w:rPr>
                <w:color w:val="000000"/>
                <w:sz w:val="20"/>
                <w:szCs w:val="20"/>
              </w:rPr>
              <w:t>158,760</w:t>
            </w:r>
          </w:p>
        </w:tc>
        <w:tc>
          <w:tcPr>
            <w:tcW w:w="1870" w:type="dxa"/>
            <w:tcBorders>
              <w:top w:val="nil"/>
              <w:left w:val="nil"/>
              <w:bottom w:val="single" w:sz="8" w:space="0" w:color="448A99"/>
              <w:right w:val="single" w:sz="8" w:space="0" w:color="448A99"/>
            </w:tcBorders>
            <w:shd w:val="clear" w:color="auto" w:fill="auto"/>
            <w:vAlign w:val="center"/>
            <w:hideMark/>
          </w:tcPr>
          <w:p w:rsidR="002A4A24" w:rsidRPr="007C6751" w:rsidRDefault="002A4A24" w:rsidP="002A4A24">
            <w:pPr>
              <w:jc w:val="center"/>
              <w:rPr>
                <w:color w:val="000000"/>
                <w:sz w:val="20"/>
                <w:szCs w:val="20"/>
              </w:rPr>
            </w:pPr>
            <w:r>
              <w:rPr>
                <w:color w:val="000000"/>
                <w:sz w:val="20"/>
                <w:szCs w:val="20"/>
              </w:rPr>
              <w:t>$0.152</w:t>
            </w:r>
          </w:p>
        </w:tc>
        <w:tc>
          <w:tcPr>
            <w:tcW w:w="1870" w:type="dxa"/>
            <w:tcBorders>
              <w:top w:val="nil"/>
              <w:left w:val="nil"/>
              <w:bottom w:val="single" w:sz="8" w:space="0" w:color="448A99"/>
              <w:right w:val="single" w:sz="8" w:space="0" w:color="448A99"/>
            </w:tcBorders>
            <w:shd w:val="clear" w:color="auto" w:fill="auto"/>
            <w:vAlign w:val="center"/>
            <w:hideMark/>
          </w:tcPr>
          <w:p w:rsidR="002A4A24" w:rsidRPr="007C6751" w:rsidRDefault="002A4A24" w:rsidP="002A4A24">
            <w:pPr>
              <w:jc w:val="center"/>
              <w:rPr>
                <w:color w:val="000000"/>
                <w:sz w:val="20"/>
                <w:szCs w:val="20"/>
              </w:rPr>
            </w:pPr>
            <w:r>
              <w:rPr>
                <w:color w:val="000000"/>
                <w:sz w:val="20"/>
                <w:szCs w:val="20"/>
              </w:rPr>
              <w:t>$0.107</w:t>
            </w:r>
          </w:p>
        </w:tc>
        <w:tc>
          <w:tcPr>
            <w:tcW w:w="1870" w:type="dxa"/>
            <w:tcBorders>
              <w:top w:val="nil"/>
              <w:left w:val="nil"/>
              <w:bottom w:val="single" w:sz="8" w:space="0" w:color="448A99"/>
              <w:right w:val="single" w:sz="8" w:space="0" w:color="448A99"/>
            </w:tcBorders>
            <w:shd w:val="clear" w:color="auto" w:fill="auto"/>
            <w:vAlign w:val="center"/>
          </w:tcPr>
          <w:p w:rsidR="002A4A24" w:rsidRPr="007C6751" w:rsidRDefault="002A4A24" w:rsidP="002A4A24">
            <w:pPr>
              <w:jc w:val="center"/>
              <w:rPr>
                <w:color w:val="FF0000"/>
                <w:sz w:val="20"/>
                <w:szCs w:val="20"/>
              </w:rPr>
            </w:pPr>
            <w:r w:rsidRPr="002A4A24">
              <w:rPr>
                <w:color w:val="FF0000"/>
                <w:sz w:val="20"/>
                <w:szCs w:val="20"/>
              </w:rPr>
              <w:t>-29.5%</w:t>
            </w:r>
          </w:p>
        </w:tc>
      </w:tr>
      <w:tr w:rsidR="002A4A24"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2A4A24" w:rsidRPr="007C6751" w:rsidRDefault="002A4A24" w:rsidP="002A4A24">
            <w:pPr>
              <w:jc w:val="left"/>
              <w:rPr>
                <w:color w:val="000000"/>
                <w:sz w:val="20"/>
                <w:szCs w:val="20"/>
              </w:rPr>
            </w:pPr>
            <w:r w:rsidRPr="007C6751">
              <w:rPr>
                <w:color w:val="000000"/>
                <w:sz w:val="20"/>
                <w:szCs w:val="20"/>
              </w:rPr>
              <w:t>PECO</w:t>
            </w:r>
          </w:p>
        </w:tc>
        <w:tc>
          <w:tcPr>
            <w:tcW w:w="1870" w:type="dxa"/>
            <w:tcBorders>
              <w:top w:val="nil"/>
              <w:left w:val="nil"/>
              <w:bottom w:val="single" w:sz="8" w:space="0" w:color="448A99"/>
              <w:right w:val="single" w:sz="8" w:space="0" w:color="448A99"/>
            </w:tcBorders>
            <w:shd w:val="clear" w:color="000000" w:fill="D2EAF1"/>
            <w:vAlign w:val="center"/>
            <w:hideMark/>
          </w:tcPr>
          <w:p w:rsidR="002A4A24" w:rsidRPr="007C6751" w:rsidRDefault="002A4A24" w:rsidP="002A4A24">
            <w:pPr>
              <w:jc w:val="center"/>
              <w:rPr>
                <w:color w:val="000000"/>
                <w:sz w:val="20"/>
                <w:szCs w:val="20"/>
              </w:rPr>
            </w:pPr>
            <w:r>
              <w:rPr>
                <w:color w:val="000000"/>
                <w:sz w:val="20"/>
                <w:szCs w:val="20"/>
              </w:rPr>
              <w:t>528,301</w:t>
            </w:r>
          </w:p>
        </w:tc>
        <w:tc>
          <w:tcPr>
            <w:tcW w:w="1870" w:type="dxa"/>
            <w:tcBorders>
              <w:top w:val="nil"/>
              <w:left w:val="nil"/>
              <w:bottom w:val="single" w:sz="8" w:space="0" w:color="448A99"/>
              <w:right w:val="single" w:sz="8" w:space="0" w:color="448A99"/>
            </w:tcBorders>
            <w:shd w:val="clear" w:color="000000" w:fill="D2EAF1"/>
            <w:vAlign w:val="center"/>
            <w:hideMark/>
          </w:tcPr>
          <w:p w:rsidR="002A4A24" w:rsidRPr="007C6751" w:rsidRDefault="002A4A24" w:rsidP="002A4A24">
            <w:pPr>
              <w:jc w:val="center"/>
              <w:rPr>
                <w:color w:val="000000"/>
                <w:sz w:val="20"/>
                <w:szCs w:val="20"/>
              </w:rPr>
            </w:pPr>
            <w:r>
              <w:rPr>
                <w:color w:val="000000"/>
                <w:sz w:val="20"/>
                <w:szCs w:val="20"/>
              </w:rPr>
              <w:t>$0.172</w:t>
            </w:r>
          </w:p>
        </w:tc>
        <w:tc>
          <w:tcPr>
            <w:tcW w:w="1870" w:type="dxa"/>
            <w:tcBorders>
              <w:top w:val="nil"/>
              <w:left w:val="nil"/>
              <w:bottom w:val="single" w:sz="8" w:space="0" w:color="448A99"/>
              <w:right w:val="single" w:sz="8" w:space="0" w:color="448A99"/>
            </w:tcBorders>
            <w:shd w:val="clear" w:color="000000" w:fill="D2EAF1"/>
            <w:vAlign w:val="center"/>
            <w:hideMark/>
          </w:tcPr>
          <w:p w:rsidR="002A4A24" w:rsidRPr="007C6751" w:rsidRDefault="002A4A24" w:rsidP="002A4A24">
            <w:pPr>
              <w:jc w:val="center"/>
              <w:rPr>
                <w:color w:val="000000"/>
                <w:sz w:val="20"/>
                <w:szCs w:val="20"/>
              </w:rPr>
            </w:pPr>
            <w:r>
              <w:rPr>
                <w:color w:val="000000"/>
                <w:sz w:val="20"/>
                <w:szCs w:val="20"/>
              </w:rPr>
              <w:t>$0.173</w:t>
            </w:r>
          </w:p>
        </w:tc>
        <w:tc>
          <w:tcPr>
            <w:tcW w:w="1870" w:type="dxa"/>
            <w:tcBorders>
              <w:top w:val="nil"/>
              <w:left w:val="nil"/>
              <w:bottom w:val="single" w:sz="8" w:space="0" w:color="448A99"/>
              <w:right w:val="single" w:sz="8" w:space="0" w:color="448A99"/>
            </w:tcBorders>
            <w:shd w:val="clear" w:color="000000" w:fill="D2EAF1"/>
            <w:vAlign w:val="center"/>
          </w:tcPr>
          <w:p w:rsidR="002A4A24" w:rsidRPr="007C6751" w:rsidRDefault="002A4A24" w:rsidP="002A4A24">
            <w:pPr>
              <w:jc w:val="center"/>
              <w:rPr>
                <w:color w:val="FF0000"/>
                <w:sz w:val="20"/>
                <w:szCs w:val="20"/>
              </w:rPr>
            </w:pPr>
            <w:r>
              <w:rPr>
                <w:sz w:val="20"/>
                <w:szCs w:val="20"/>
              </w:rPr>
              <w:t xml:space="preserve">0.1% </w:t>
            </w:r>
          </w:p>
        </w:tc>
      </w:tr>
      <w:tr w:rsidR="002A4A24"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2A4A24" w:rsidRPr="007C6751" w:rsidRDefault="002A4A24" w:rsidP="002A4A24">
            <w:pPr>
              <w:jc w:val="left"/>
              <w:rPr>
                <w:color w:val="000000"/>
                <w:sz w:val="20"/>
                <w:szCs w:val="20"/>
              </w:rPr>
            </w:pPr>
            <w:r w:rsidRPr="007C6751">
              <w:rPr>
                <w:color w:val="000000"/>
                <w:sz w:val="20"/>
                <w:szCs w:val="20"/>
              </w:rPr>
              <w:t>PPL</w:t>
            </w:r>
          </w:p>
        </w:tc>
        <w:tc>
          <w:tcPr>
            <w:tcW w:w="1870" w:type="dxa"/>
            <w:tcBorders>
              <w:top w:val="nil"/>
              <w:left w:val="nil"/>
              <w:bottom w:val="single" w:sz="8" w:space="0" w:color="448A99"/>
              <w:right w:val="single" w:sz="8" w:space="0" w:color="448A99"/>
            </w:tcBorders>
            <w:shd w:val="clear" w:color="auto" w:fill="auto"/>
            <w:vAlign w:val="center"/>
            <w:hideMark/>
          </w:tcPr>
          <w:p w:rsidR="002A4A24" w:rsidRPr="007C6751" w:rsidRDefault="002A4A24" w:rsidP="002A4A24">
            <w:pPr>
              <w:jc w:val="center"/>
              <w:rPr>
                <w:color w:val="000000"/>
                <w:sz w:val="20"/>
                <w:szCs w:val="20"/>
              </w:rPr>
            </w:pPr>
            <w:r>
              <w:rPr>
                <w:color w:val="000000"/>
                <w:sz w:val="20"/>
                <w:szCs w:val="20"/>
              </w:rPr>
              <w:t>313,976</w:t>
            </w:r>
          </w:p>
        </w:tc>
        <w:tc>
          <w:tcPr>
            <w:tcW w:w="1870" w:type="dxa"/>
            <w:tcBorders>
              <w:top w:val="nil"/>
              <w:left w:val="nil"/>
              <w:bottom w:val="single" w:sz="8" w:space="0" w:color="448A99"/>
              <w:right w:val="single" w:sz="8" w:space="0" w:color="448A99"/>
            </w:tcBorders>
            <w:shd w:val="clear" w:color="auto" w:fill="auto"/>
            <w:vAlign w:val="center"/>
            <w:hideMark/>
          </w:tcPr>
          <w:p w:rsidR="002A4A24" w:rsidRPr="007C6751" w:rsidRDefault="002A4A24" w:rsidP="002A4A24">
            <w:pPr>
              <w:jc w:val="center"/>
              <w:rPr>
                <w:color w:val="000000"/>
                <w:sz w:val="20"/>
                <w:szCs w:val="20"/>
              </w:rPr>
            </w:pPr>
            <w:r>
              <w:rPr>
                <w:color w:val="000000"/>
                <w:sz w:val="20"/>
                <w:szCs w:val="20"/>
              </w:rPr>
              <w:t>$0.241</w:t>
            </w:r>
          </w:p>
        </w:tc>
        <w:tc>
          <w:tcPr>
            <w:tcW w:w="1870" w:type="dxa"/>
            <w:tcBorders>
              <w:top w:val="nil"/>
              <w:left w:val="nil"/>
              <w:bottom w:val="single" w:sz="8" w:space="0" w:color="448A99"/>
              <w:right w:val="single" w:sz="8" w:space="0" w:color="448A99"/>
            </w:tcBorders>
            <w:shd w:val="clear" w:color="auto" w:fill="auto"/>
            <w:vAlign w:val="center"/>
            <w:hideMark/>
          </w:tcPr>
          <w:p w:rsidR="002A4A24" w:rsidRPr="007C6751" w:rsidRDefault="002A4A24" w:rsidP="002A4A24">
            <w:pPr>
              <w:jc w:val="center"/>
              <w:rPr>
                <w:color w:val="000000"/>
                <w:sz w:val="20"/>
                <w:szCs w:val="20"/>
              </w:rPr>
            </w:pPr>
            <w:r>
              <w:rPr>
                <w:color w:val="000000"/>
                <w:sz w:val="20"/>
                <w:szCs w:val="20"/>
              </w:rPr>
              <w:t>$0.206</w:t>
            </w:r>
          </w:p>
        </w:tc>
        <w:tc>
          <w:tcPr>
            <w:tcW w:w="1870" w:type="dxa"/>
            <w:tcBorders>
              <w:top w:val="nil"/>
              <w:left w:val="nil"/>
              <w:bottom w:val="single" w:sz="8" w:space="0" w:color="448A99"/>
              <w:right w:val="single" w:sz="8" w:space="0" w:color="448A99"/>
            </w:tcBorders>
            <w:shd w:val="clear" w:color="auto" w:fill="auto"/>
            <w:vAlign w:val="center"/>
          </w:tcPr>
          <w:p w:rsidR="002A4A24" w:rsidRPr="007C6751" w:rsidRDefault="002A4A24" w:rsidP="002A4A24">
            <w:pPr>
              <w:jc w:val="center"/>
              <w:rPr>
                <w:sz w:val="20"/>
                <w:szCs w:val="20"/>
              </w:rPr>
            </w:pPr>
            <w:r w:rsidRPr="002A4A24">
              <w:rPr>
                <w:color w:val="FF0000"/>
                <w:sz w:val="20"/>
                <w:szCs w:val="20"/>
              </w:rPr>
              <w:t>-14.6%</w:t>
            </w:r>
          </w:p>
        </w:tc>
      </w:tr>
      <w:tr w:rsidR="002A4A24" w:rsidRPr="007C6751" w:rsidTr="00592FD5">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2A4A24" w:rsidRPr="007C6751" w:rsidRDefault="002A4A24" w:rsidP="002A4A24">
            <w:pPr>
              <w:jc w:val="left"/>
              <w:rPr>
                <w:b/>
                <w:bCs/>
                <w:color w:val="000000"/>
                <w:sz w:val="20"/>
                <w:szCs w:val="20"/>
              </w:rPr>
            </w:pPr>
            <w:r w:rsidRPr="007C6751">
              <w:rPr>
                <w:b/>
                <w:bCs/>
                <w:color w:val="000000"/>
                <w:sz w:val="20"/>
                <w:szCs w:val="20"/>
              </w:rPr>
              <w:t>Total</w:t>
            </w:r>
          </w:p>
        </w:tc>
        <w:tc>
          <w:tcPr>
            <w:tcW w:w="1870" w:type="dxa"/>
            <w:tcBorders>
              <w:top w:val="nil"/>
              <w:left w:val="nil"/>
              <w:bottom w:val="single" w:sz="8" w:space="0" w:color="448A99"/>
              <w:right w:val="single" w:sz="8" w:space="0" w:color="448A99"/>
            </w:tcBorders>
            <w:shd w:val="clear" w:color="000000" w:fill="D2EAF1"/>
            <w:vAlign w:val="center"/>
            <w:hideMark/>
          </w:tcPr>
          <w:p w:rsidR="002A4A24" w:rsidRPr="007C6751" w:rsidRDefault="002A4A24" w:rsidP="002A4A24">
            <w:pPr>
              <w:jc w:val="center"/>
              <w:rPr>
                <w:b/>
                <w:bCs/>
                <w:color w:val="000000"/>
                <w:sz w:val="20"/>
                <w:szCs w:val="20"/>
              </w:rPr>
            </w:pPr>
            <w:r>
              <w:rPr>
                <w:b/>
                <w:bCs/>
                <w:color w:val="000000"/>
                <w:sz w:val="20"/>
                <w:szCs w:val="20"/>
              </w:rPr>
              <w:t>1,506,322</w:t>
            </w:r>
          </w:p>
        </w:tc>
        <w:tc>
          <w:tcPr>
            <w:tcW w:w="1870" w:type="dxa"/>
            <w:tcBorders>
              <w:top w:val="nil"/>
              <w:left w:val="nil"/>
              <w:bottom w:val="single" w:sz="8" w:space="0" w:color="448A99"/>
              <w:right w:val="single" w:sz="8" w:space="0" w:color="448A99"/>
            </w:tcBorders>
            <w:shd w:val="clear" w:color="000000" w:fill="D2EAF1"/>
            <w:vAlign w:val="center"/>
            <w:hideMark/>
          </w:tcPr>
          <w:p w:rsidR="002A4A24" w:rsidRPr="007C6751" w:rsidRDefault="002A4A24" w:rsidP="002A4A24">
            <w:pPr>
              <w:jc w:val="center"/>
              <w:rPr>
                <w:b/>
                <w:bCs/>
                <w:color w:val="000000"/>
                <w:sz w:val="20"/>
                <w:szCs w:val="20"/>
              </w:rPr>
            </w:pPr>
            <w:r>
              <w:rPr>
                <w:b/>
                <w:bCs/>
                <w:color w:val="000000"/>
                <w:sz w:val="20"/>
                <w:szCs w:val="20"/>
              </w:rPr>
              <w:t>$0.177</w:t>
            </w:r>
          </w:p>
        </w:tc>
        <w:tc>
          <w:tcPr>
            <w:tcW w:w="1870" w:type="dxa"/>
            <w:tcBorders>
              <w:top w:val="nil"/>
              <w:left w:val="nil"/>
              <w:bottom w:val="single" w:sz="8" w:space="0" w:color="448A99"/>
              <w:right w:val="single" w:sz="8" w:space="0" w:color="448A99"/>
            </w:tcBorders>
            <w:shd w:val="clear" w:color="000000" w:fill="D2EAF1"/>
            <w:vAlign w:val="center"/>
            <w:hideMark/>
          </w:tcPr>
          <w:p w:rsidR="002A4A24" w:rsidRPr="007C6751" w:rsidRDefault="002A4A24" w:rsidP="002A4A24">
            <w:pPr>
              <w:jc w:val="center"/>
              <w:rPr>
                <w:b/>
                <w:bCs/>
                <w:color w:val="000000"/>
                <w:sz w:val="20"/>
                <w:szCs w:val="20"/>
              </w:rPr>
            </w:pPr>
            <w:r>
              <w:rPr>
                <w:b/>
                <w:bCs/>
                <w:color w:val="000000"/>
                <w:sz w:val="20"/>
                <w:szCs w:val="20"/>
              </w:rPr>
              <w:t>$0.151</w:t>
            </w:r>
          </w:p>
        </w:tc>
        <w:tc>
          <w:tcPr>
            <w:tcW w:w="1870" w:type="dxa"/>
            <w:tcBorders>
              <w:top w:val="nil"/>
              <w:left w:val="nil"/>
              <w:bottom w:val="single" w:sz="8" w:space="0" w:color="448A99"/>
              <w:right w:val="single" w:sz="8" w:space="0" w:color="448A99"/>
            </w:tcBorders>
            <w:shd w:val="clear" w:color="000000" w:fill="D2EAF1"/>
            <w:vAlign w:val="center"/>
          </w:tcPr>
          <w:p w:rsidR="002A4A24" w:rsidRPr="007C6751" w:rsidRDefault="002A4A24" w:rsidP="002A4A24">
            <w:pPr>
              <w:jc w:val="center"/>
              <w:rPr>
                <w:b/>
                <w:bCs/>
                <w:color w:val="FF0000"/>
                <w:sz w:val="20"/>
                <w:szCs w:val="20"/>
              </w:rPr>
            </w:pPr>
            <w:r w:rsidRPr="002A4A24">
              <w:rPr>
                <w:b/>
                <w:bCs/>
                <w:color w:val="FF0000"/>
                <w:sz w:val="20"/>
                <w:szCs w:val="20"/>
              </w:rPr>
              <w:t>-14.6%</w:t>
            </w:r>
          </w:p>
        </w:tc>
      </w:tr>
    </w:tbl>
    <w:p w:rsidR="00EE60CD" w:rsidRDefault="00EE60CD" w:rsidP="00AC2B6F"/>
    <w:p w:rsidR="00EE60CD" w:rsidRDefault="00EE60CD" w:rsidP="00AC2B6F">
      <w:r>
        <w:t>Overall, the seven EDCs saved 1,</w:t>
      </w:r>
      <w:r w:rsidR="005E0D89">
        <w:t>50</w:t>
      </w:r>
      <w:r w:rsidR="00485628">
        <w:t>6</w:t>
      </w:r>
      <w:r>
        <w:t>,</w:t>
      </w:r>
      <w:r w:rsidR="00485628">
        <w:t>322</w:t>
      </w:r>
      <w:r w:rsidR="005E0D89">
        <w:t xml:space="preserve"> MWh/yr during PY7</w:t>
      </w:r>
      <w:r>
        <w:t xml:space="preserve"> and spent a total of $</w:t>
      </w:r>
      <w:r w:rsidR="005E0D89">
        <w:t>22</w:t>
      </w:r>
      <w:r w:rsidR="00485628">
        <w:t>8</w:t>
      </w:r>
      <w:r w:rsidR="005E0D89">
        <w:t>,</w:t>
      </w:r>
      <w:r w:rsidR="00485628">
        <w:t>182</w:t>
      </w:r>
      <w:r w:rsidR="005E0D89">
        <w:t>,</w:t>
      </w:r>
      <w:r w:rsidR="00485628">
        <w:t>776</w:t>
      </w:r>
      <w:r>
        <w:t>. This yield</w:t>
      </w:r>
      <w:r w:rsidR="00A26DC5">
        <w:t>s an acquisition cost per first-</w:t>
      </w:r>
      <w:r>
        <w:t>year kWh saved of $0.1</w:t>
      </w:r>
      <w:r w:rsidR="00485628">
        <w:t>51</w:t>
      </w:r>
      <w:r>
        <w:t xml:space="preserve"> per kWh, </w:t>
      </w:r>
      <w:r w:rsidR="00A26DC5">
        <w:t xml:space="preserve">which is </w:t>
      </w:r>
      <w:r w:rsidR="00485628">
        <w:t>15.7</w:t>
      </w:r>
      <w:r>
        <w:t xml:space="preserve">% less than the </w:t>
      </w:r>
      <w:r w:rsidR="00485628">
        <w:t>planned</w:t>
      </w:r>
      <w:r>
        <w:t xml:space="preserve"> acquisition cost for PY</w:t>
      </w:r>
      <w:r w:rsidR="005E0D89">
        <w:t>7</w:t>
      </w:r>
      <w:r>
        <w:t xml:space="preserve"> of $0.</w:t>
      </w:r>
      <w:r w:rsidR="005E0D89">
        <w:t>1</w:t>
      </w:r>
      <w:r w:rsidR="00485628">
        <w:t>77</w:t>
      </w:r>
      <w:r>
        <w:t xml:space="preserve"> per first</w:t>
      </w:r>
      <w:r w:rsidR="00A26DC5">
        <w:t>-</w:t>
      </w:r>
      <w:r>
        <w:t>year kWh saved.</w:t>
      </w:r>
    </w:p>
    <w:p w:rsidR="00186590" w:rsidRDefault="00186590" w:rsidP="00AC2B6F"/>
    <w:p w:rsidR="00F00D40" w:rsidRPr="004F1B4F" w:rsidRDefault="00F00D40" w:rsidP="004F1B4F">
      <w:pPr>
        <w:pStyle w:val="Heading3"/>
        <w:rPr>
          <w:rStyle w:val="Heading3Char"/>
          <w:b/>
        </w:rPr>
      </w:pPr>
      <w:bookmarkStart w:id="109" w:name="_Toc472472093"/>
      <w:bookmarkStart w:id="110" w:name="_Toc476913905"/>
      <w:r w:rsidRPr="004F1B4F">
        <w:rPr>
          <w:rStyle w:val="Heading3Char"/>
          <w:b/>
        </w:rPr>
        <w:t xml:space="preserve">Comparison of </w:t>
      </w:r>
      <w:r w:rsidR="004F1B4F" w:rsidRPr="004F1B4F">
        <w:rPr>
          <w:rStyle w:val="Heading3Char"/>
          <w:b/>
        </w:rPr>
        <w:t>PY7 Per-Participant Costs and Savings for EDC Low-Income Programs</w:t>
      </w:r>
      <w:bookmarkEnd w:id="109"/>
      <w:bookmarkEnd w:id="110"/>
    </w:p>
    <w:p w:rsidR="004F1B4F" w:rsidRDefault="004F1B4F" w:rsidP="004F1B4F">
      <w:r>
        <w:t>This section provides an overview of the methods used by the Phase II SWE Team to audit the reported kWh</w:t>
      </w:r>
      <w:r w:rsidR="00487D6E">
        <w:t>/yr</w:t>
      </w:r>
      <w:r>
        <w:t xml:space="preserve"> and kW savings of the EDCs’ PY7 residential low-income programs. It also provides a comparison across EDCs of the PY7 costs and electricity savings for these programs. While the seven Pennsylvania EDCs subject to Act 129 did not have identical low-income program offerings in PY7, it is useful to compare costs and savings across the seven EDCs, in order to understand trends as well as differences among the programs.</w:t>
      </w:r>
      <w:r w:rsidR="00B060D3">
        <w:rPr>
          <w:rStyle w:val="FootnoteReference"/>
        </w:rPr>
        <w:footnoteReference w:id="17"/>
      </w:r>
      <w:r w:rsidR="00882BC4">
        <w:t xml:space="preserve"> </w:t>
      </w:r>
    </w:p>
    <w:p w:rsidR="004F1B4F" w:rsidRDefault="004F1B4F" w:rsidP="004F1B4F"/>
    <w:p w:rsidR="004F1B4F" w:rsidRDefault="004F1B4F" w:rsidP="004F1B4F">
      <w:pPr>
        <w:spacing w:after="120"/>
      </w:pPr>
      <w:r w:rsidRPr="00841438">
        <w:t xml:space="preserve">The SWE Team </w:t>
      </w:r>
      <w:r>
        <w:t>used various approaches to audit</w:t>
      </w:r>
      <w:r w:rsidRPr="00841438">
        <w:t xml:space="preserve"> the methods </w:t>
      </w:r>
      <w:r>
        <w:t>used by EDC evaluation contractor</w:t>
      </w:r>
      <w:r w:rsidRPr="00841438">
        <w:t xml:space="preserve">s </w:t>
      </w:r>
      <w:r>
        <w:t>to determine low-income program kWh and kW savings for PY7. The SWE Team’s audit approaches included the following:</w:t>
      </w:r>
    </w:p>
    <w:p w:rsidR="004F1B4F" w:rsidRDefault="004F1B4F" w:rsidP="00D405A7">
      <w:pPr>
        <w:pStyle w:val="ListParagraph"/>
        <w:numPr>
          <w:ilvl w:val="0"/>
          <w:numId w:val="27"/>
        </w:numPr>
        <w:ind w:left="360"/>
      </w:pPr>
      <w:r>
        <w:t>Reviewing savings calculations to ensure that the Pennsylvania 2015 TRM algorithms were applied correctly by each EDC</w:t>
      </w:r>
    </w:p>
    <w:p w:rsidR="004F1B4F" w:rsidRDefault="004F1B4F" w:rsidP="00D405A7">
      <w:pPr>
        <w:pStyle w:val="ListParagraph"/>
        <w:numPr>
          <w:ilvl w:val="0"/>
          <w:numId w:val="27"/>
        </w:numPr>
        <w:ind w:left="360"/>
      </w:pPr>
      <w:r>
        <w:t>Reviewing statistical billing analyses, where undertaken, to ensure that multivariate analyses had acceptable goodness-of-fit statistics and were conducted according to the applicable U.S.</w:t>
      </w:r>
      <w:r w:rsidR="00656253">
        <w:t xml:space="preserve"> Department of Energy</w:t>
      </w:r>
      <w:r>
        <w:t xml:space="preserve"> </w:t>
      </w:r>
      <w:r w:rsidR="00656253">
        <w:t>(</w:t>
      </w:r>
      <w:r>
        <w:t>DOE</w:t>
      </w:r>
      <w:r w:rsidR="00656253">
        <w:t>) Uniform Methods Project</w:t>
      </w:r>
      <w:r>
        <w:t xml:space="preserve"> </w:t>
      </w:r>
      <w:r w:rsidR="00656253">
        <w:t>(</w:t>
      </w:r>
      <w:r>
        <w:t>UMP</w:t>
      </w:r>
      <w:r w:rsidR="00656253">
        <w:t>)</w:t>
      </w:r>
      <w:r>
        <w:t xml:space="preserve"> protocol</w:t>
      </w:r>
    </w:p>
    <w:p w:rsidR="004F1B4F" w:rsidRDefault="004F1B4F" w:rsidP="00D405A7">
      <w:pPr>
        <w:pStyle w:val="ListParagraph"/>
        <w:numPr>
          <w:ilvl w:val="0"/>
          <w:numId w:val="27"/>
        </w:numPr>
        <w:ind w:left="360"/>
      </w:pPr>
      <w:r>
        <w:t>C</w:t>
      </w:r>
      <w:r w:rsidRPr="00841438">
        <w:t>onfirm</w:t>
      </w:r>
      <w:r>
        <w:t>ing</w:t>
      </w:r>
      <w:r w:rsidRPr="00841438">
        <w:t xml:space="preserve"> that all verified per-measure </w:t>
      </w:r>
      <w:r>
        <w:t>annual kWh</w:t>
      </w:r>
      <w:r w:rsidR="009D429C">
        <w:t>/yr</w:t>
      </w:r>
      <w:r>
        <w:t xml:space="preserve"> and kW </w:t>
      </w:r>
      <w:r w:rsidRPr="00841438">
        <w:t>savings</w:t>
      </w:r>
      <w:r>
        <w:t xml:space="preserve"> and</w:t>
      </w:r>
      <w:r w:rsidRPr="00841438">
        <w:t xml:space="preserve"> participant counts</w:t>
      </w:r>
      <w:r>
        <w:t xml:space="preserve"> were consistent with the 2015</w:t>
      </w:r>
      <w:r w:rsidRPr="00841438">
        <w:t xml:space="preserve"> TRM</w:t>
      </w:r>
    </w:p>
    <w:p w:rsidR="004F1B4F" w:rsidRDefault="004F1B4F" w:rsidP="00D405A7">
      <w:pPr>
        <w:pStyle w:val="ListParagraph"/>
        <w:numPr>
          <w:ilvl w:val="0"/>
          <w:numId w:val="27"/>
        </w:numPr>
        <w:ind w:left="360"/>
      </w:pPr>
      <w:r>
        <w:t>Confirming all calculations of total low-income-program kWh</w:t>
      </w:r>
      <w:r w:rsidR="009D429C">
        <w:t>/yr</w:t>
      </w:r>
      <w:r>
        <w:t xml:space="preserve"> and kW savings for programs that relied on 2015 TRM data for calculating and reporting savings</w:t>
      </w:r>
    </w:p>
    <w:p w:rsidR="004F1B4F" w:rsidRDefault="004F1B4F" w:rsidP="00D405A7">
      <w:pPr>
        <w:pStyle w:val="ListParagraph"/>
        <w:numPr>
          <w:ilvl w:val="0"/>
          <w:numId w:val="27"/>
        </w:numPr>
        <w:ind w:left="360"/>
      </w:pPr>
      <w:r>
        <w:t xml:space="preserve">Confirming the correct use of </w:t>
      </w:r>
      <w:r w:rsidR="00656253">
        <w:t>ISRs</w:t>
      </w:r>
      <w:r>
        <w:t xml:space="preserve"> from the 2015 TRM </w:t>
      </w:r>
    </w:p>
    <w:p w:rsidR="004F1B4F" w:rsidRDefault="004F1B4F" w:rsidP="004F1B4F"/>
    <w:p w:rsidR="004F1B4F" w:rsidRDefault="004F1B4F" w:rsidP="004F1B4F">
      <w:r>
        <w:t>In addition, if EDCs reported “off-TRM” savings, the Phase II SWE Team audited those alternative savings calculations as well.</w:t>
      </w:r>
    </w:p>
    <w:p w:rsidR="004F1B4F" w:rsidRDefault="004F1B4F" w:rsidP="004F1B4F"/>
    <w:p w:rsidR="004F1B4F" w:rsidRDefault="004F1B4F" w:rsidP="004F1B4F">
      <w:r>
        <w:t>For each EDC low-income program,</w:t>
      </w:r>
      <w:r w:rsidRPr="00E84FE1">
        <w:t xml:space="preserve"> the SWE Team verified the</w:t>
      </w:r>
      <w:r>
        <w:t xml:space="preserve"> kWh and kW savings for all measure types, at the measure level, by comparing EDC supporting calculations to kWh and kW savings for low-income measures listed in the 2015 TRM. For each measure type, the SWE Team verified 10 individual projects. Where EDCs performed statistical billing analyses, t</w:t>
      </w:r>
      <w:r w:rsidRPr="00CB36C3">
        <w:t xml:space="preserve">he SWE Team reviewed the </w:t>
      </w:r>
      <w:r>
        <w:t xml:space="preserve">statistical </w:t>
      </w:r>
      <w:r w:rsidRPr="00CB36C3">
        <w:t xml:space="preserve">billing analysis </w:t>
      </w:r>
      <w:r>
        <w:t>regression goodness-of-fit statistics,</w:t>
      </w:r>
      <w:r w:rsidRPr="00CB36C3">
        <w:t xml:space="preserve"> equations, </w:t>
      </w:r>
      <w:r>
        <w:t xml:space="preserve">and regression output to </w:t>
      </w:r>
      <w:r w:rsidRPr="00CB36C3">
        <w:t xml:space="preserve">confirm that the </w:t>
      </w:r>
      <w:r>
        <w:t xml:space="preserve">statistical </w:t>
      </w:r>
      <w:r w:rsidRPr="00CB36C3">
        <w:t xml:space="preserve">approach </w:t>
      </w:r>
      <w:r>
        <w:t>was</w:t>
      </w:r>
      <w:r w:rsidRPr="00CB36C3">
        <w:t xml:space="preserve"> sound</w:t>
      </w:r>
      <w:r>
        <w:t xml:space="preserve"> and the billing analysis followed the U.S. DOE UMP protocol for such statistical analyses</w:t>
      </w:r>
      <w:r w:rsidRPr="00CB36C3">
        <w:t>.</w:t>
      </w:r>
      <w:r>
        <w:t xml:space="preserve"> When individual energy efficiency measures (e.g., CFLs, faucet aerators, low-flow showerheads) were bundled into a single offering and the EDC used a deemed savings approach to calculate savings, the SWE Team verified the savings for each individual energy efficiency measure by comparing the EDC’s supporting calculations and data to the per-measure data in the 2015 TRM.</w:t>
      </w:r>
    </w:p>
    <w:p w:rsidR="004F1B4F" w:rsidRDefault="004F1B4F" w:rsidP="004F1B4F"/>
    <w:p w:rsidR="004F1B4F" w:rsidRDefault="004F1B4F" w:rsidP="004F1B4F">
      <w:r>
        <w:t>Based on the audit work completed, the SWE Team concludes that each EDC’s evaluation contractor followed the appropriate protocols to calculate kWh</w:t>
      </w:r>
      <w:r w:rsidR="00487D6E">
        <w:t>/yr</w:t>
      </w:r>
      <w:r>
        <w:t xml:space="preserve"> and kW savings for each residential low-income program. Overall the EDCs’ evaluation contractors followed the approved </w:t>
      </w:r>
      <w:r w:rsidR="00656253">
        <w:t>e</w:t>
      </w:r>
      <w:r>
        <w:t xml:space="preserve">valuation </w:t>
      </w:r>
      <w:r w:rsidR="00656253">
        <w:t>f</w:t>
      </w:r>
      <w:r>
        <w:t xml:space="preserve">ramework to calculate and report electricity savings for PY7 residential low-income programs. The SWE Team also notes that the EDC </w:t>
      </w:r>
      <w:r>
        <w:rPr>
          <w:color w:val="000000"/>
        </w:rPr>
        <w:t>evaluation contractors</w:t>
      </w:r>
      <w:r w:rsidRPr="00D85274">
        <w:rPr>
          <w:color w:val="000000"/>
        </w:rPr>
        <w:t xml:space="preserve"> </w:t>
      </w:r>
      <w:r>
        <w:t xml:space="preserve">used the Pennsylvania 2015 TRM to verify savings for projects that were undertaken in PY7, and correctly used the 2014 TRM for those few projects started at the end of PY6 that spilled into PY7.    </w:t>
      </w:r>
    </w:p>
    <w:p w:rsidR="004F1B4F" w:rsidRDefault="004F1B4F" w:rsidP="004F1B4F"/>
    <w:p w:rsidR="004F1B4F" w:rsidRDefault="004F1B4F" w:rsidP="004F1B4F">
      <w:r>
        <w:t>The SWE Team concludes that</w:t>
      </w:r>
      <w:r w:rsidRPr="00E84FE1">
        <w:t xml:space="preserve"> no adjustments or changes </w:t>
      </w:r>
      <w:r>
        <w:t>need to</w:t>
      </w:r>
      <w:r w:rsidRPr="00E84FE1">
        <w:t xml:space="preserve"> be made to the verified gross savings estimates reported by the evaluation contractor</w:t>
      </w:r>
      <w:r>
        <w:t>s regarding PY7 EDC-reported savings for residential low-income programs</w:t>
      </w:r>
      <w:r w:rsidRPr="00E84FE1">
        <w:t>.</w:t>
      </w:r>
    </w:p>
    <w:p w:rsidR="004F1B4F" w:rsidRDefault="004F1B4F" w:rsidP="004F1B4F"/>
    <w:p w:rsidR="004F1B4F" w:rsidRDefault="00273805" w:rsidP="004F1B4F">
      <w:r>
        <w:rPr>
          <w:highlight w:val="yellow"/>
        </w:rPr>
        <w:fldChar w:fldCharType="begin"/>
      </w:r>
      <w:r>
        <w:instrText xml:space="preserve"> REF _Ref472410132 \h </w:instrText>
      </w:r>
      <w:r>
        <w:rPr>
          <w:highlight w:val="yellow"/>
        </w:rPr>
      </w:r>
      <w:r>
        <w:rPr>
          <w:highlight w:val="yellow"/>
        </w:rPr>
        <w:fldChar w:fldCharType="separate"/>
      </w:r>
      <w:r w:rsidR="008A7824" w:rsidRPr="003900A2">
        <w:t xml:space="preserve">Figure </w:t>
      </w:r>
      <w:r w:rsidR="008A7824">
        <w:rPr>
          <w:noProof/>
        </w:rPr>
        <w:t>2</w:t>
      </w:r>
      <w:r w:rsidR="008A7824">
        <w:noBreakHyphen/>
      </w:r>
      <w:r w:rsidR="008A7824">
        <w:rPr>
          <w:noProof/>
        </w:rPr>
        <w:t>2</w:t>
      </w:r>
      <w:r>
        <w:rPr>
          <w:highlight w:val="yellow"/>
        </w:rPr>
        <w:fldChar w:fldCharType="end"/>
      </w:r>
      <w:r w:rsidR="004F1B4F">
        <w:t xml:space="preserve"> illustrates the PY7 average cost per low-income program participant served for each EDC’s low-income program. Each EDC offers different bundles of energy efficiency measures in its programs and has varying numbers of eligible low-income participants. For example, in PY7 PECO provided services to 222,711 participants </w:t>
      </w:r>
      <w:r w:rsidR="004F1B4F" w:rsidRPr="00B75B77">
        <w:t>th</w:t>
      </w:r>
      <w:r w:rsidR="004F1B4F">
        <w:t>rough four distinct low-income components, one of which consists primarily of CFL savings, which contributed 76% of the program</w:t>
      </w:r>
      <w:r w:rsidR="00656253">
        <w:t>’</w:t>
      </w:r>
      <w:r w:rsidR="004F1B4F">
        <w:t xml:space="preserve">s total savings. By comparison, Penn Power provided </w:t>
      </w:r>
      <w:r w:rsidR="004F1B4F">
        <w:lastRenderedPageBreak/>
        <w:t>services in PY7 to only 981 participants through a direct-install program that realizes savings primarily from</w:t>
      </w:r>
      <w:r w:rsidR="00F95DF6">
        <w:t xml:space="preserve"> high efficiency</w:t>
      </w:r>
      <w:r w:rsidR="008E07C3">
        <w:t xml:space="preserve"> refrigerators,</w:t>
      </w:r>
      <w:r w:rsidR="004F1B4F">
        <w:t xml:space="preserve"> CFLs</w:t>
      </w:r>
      <w:r w:rsidR="008E07C3">
        <w:t xml:space="preserve"> and freezers</w:t>
      </w:r>
      <w:r w:rsidR="004F1B4F">
        <w:t>.</w:t>
      </w:r>
    </w:p>
    <w:p w:rsidR="0039002E" w:rsidRDefault="0039002E" w:rsidP="004F1B4F"/>
    <w:p w:rsidR="004F1B4F" w:rsidRPr="003900A2" w:rsidRDefault="00273805" w:rsidP="003900A2">
      <w:pPr>
        <w:pStyle w:val="Caption"/>
      </w:pPr>
      <w:bookmarkStart w:id="111" w:name="_Ref472410132"/>
      <w:bookmarkStart w:id="112" w:name="_Toc472472210"/>
      <w:bookmarkStart w:id="113" w:name="_Toc476914023"/>
      <w:r w:rsidRPr="003900A2">
        <w:t xml:space="preserve">Figure </w:t>
      </w:r>
      <w:fldSimple w:instr=" STYLEREF 1 \s ">
        <w:r w:rsidR="008A7824">
          <w:rPr>
            <w:noProof/>
          </w:rPr>
          <w:t>2</w:t>
        </w:r>
      </w:fldSimple>
      <w:r w:rsidR="00DA1ADA">
        <w:noBreakHyphen/>
      </w:r>
      <w:fldSimple w:instr=" SEQ Figure \* ARABIC \s 1 ">
        <w:r w:rsidR="008A7824">
          <w:rPr>
            <w:noProof/>
          </w:rPr>
          <w:t>2</w:t>
        </w:r>
      </w:fldSimple>
      <w:bookmarkEnd w:id="111"/>
      <w:r w:rsidR="004F1B4F" w:rsidRPr="003900A2">
        <w:t>: PY7 Residential Low-Income Program – Average Utility Cost per Participant Served</w:t>
      </w:r>
      <w:bookmarkEnd w:id="112"/>
      <w:r w:rsidR="00A174C1">
        <w:rPr>
          <w:rStyle w:val="FootnoteReference"/>
        </w:rPr>
        <w:footnoteReference w:id="18"/>
      </w:r>
      <w:bookmarkEnd w:id="113"/>
    </w:p>
    <w:p w:rsidR="004F1B4F" w:rsidRDefault="00C60D2D" w:rsidP="004F1B4F">
      <w:pPr>
        <w:spacing w:after="120"/>
        <w:jc w:val="center"/>
      </w:pPr>
      <w:r>
        <w:rPr>
          <w:noProof/>
        </w:rPr>
        <w:drawing>
          <wp:inline distT="0" distB="0" distL="0" distR="0" wp14:anchorId="40781454" wp14:editId="59B0B879">
            <wp:extent cx="5697965" cy="2886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1852" cy="2888044"/>
                    </a:xfrm>
                    <a:prstGeom prst="rect">
                      <a:avLst/>
                    </a:prstGeom>
                    <a:noFill/>
                  </pic:spPr>
                </pic:pic>
              </a:graphicData>
            </a:graphic>
          </wp:inline>
        </w:drawing>
      </w:r>
      <w:r w:rsidR="004F1B4F">
        <w:rPr>
          <w:noProof/>
        </w:rPr>
        <w:t xml:space="preserve"> </w:t>
      </w:r>
    </w:p>
    <w:p w:rsidR="00E6042C" w:rsidRDefault="00E6042C" w:rsidP="00E6042C">
      <w:r>
        <w:rPr>
          <w:highlight w:val="yellow"/>
        </w:rPr>
        <w:fldChar w:fldCharType="begin"/>
      </w:r>
      <w:r>
        <w:instrText xml:space="preserve"> REF _Ref476057359 \h </w:instrText>
      </w:r>
      <w:r w:rsidR="00265558">
        <w:rPr>
          <w:highlight w:val="yellow"/>
        </w:rPr>
        <w:instrText xml:space="preserve"> \* MERGEFORMAT </w:instrText>
      </w:r>
      <w:r>
        <w:rPr>
          <w:highlight w:val="yellow"/>
        </w:rPr>
      </w:r>
      <w:r>
        <w:rPr>
          <w:highlight w:val="yellow"/>
        </w:rPr>
        <w:fldChar w:fldCharType="separate"/>
      </w:r>
      <w:r w:rsidR="008A7824">
        <w:t xml:space="preserve">Table </w:t>
      </w:r>
      <w:r w:rsidR="008A7824">
        <w:rPr>
          <w:noProof/>
        </w:rPr>
        <w:t>2</w:t>
      </w:r>
      <w:r w:rsidR="008A7824">
        <w:rPr>
          <w:noProof/>
        </w:rPr>
        <w:noBreakHyphen/>
        <w:t>12</w:t>
      </w:r>
      <w:r>
        <w:rPr>
          <w:highlight w:val="yellow"/>
        </w:rPr>
        <w:fldChar w:fldCharType="end"/>
      </w:r>
      <w:r>
        <w:t xml:space="preserve"> lists the individual measures and services that the EDC’s provide to the </w:t>
      </w:r>
      <w:r w:rsidR="00265558">
        <w:t>low-income</w:t>
      </w:r>
      <w:r>
        <w:t xml:space="preserve"> community. It is important to note that each EDC provides some combination of walkthrough/comprehensive audits and energy education to low income participants. These types of services help to connect low-income participants with the community and offer them a way to use less of their limited income on energy and more on their basic needs. Each EDC provides numerous energy efficient measures and services to low-income participants with varying delivery methods including giveaways, rebates, </w:t>
      </w:r>
      <w:r w:rsidRPr="00902927">
        <w:t xml:space="preserve">direct install, up-stream lighting, behavioral programs, and public agencies and non-profits </w:t>
      </w:r>
      <w:r>
        <w:t xml:space="preserve">offering Low-Income Usage Reduction Programs (LIURP). </w:t>
      </w:r>
      <w:r w:rsidRPr="00A67631">
        <w:t>FirstEnergy</w:t>
      </w:r>
      <w:r>
        <w:t xml:space="preserve"> </w:t>
      </w:r>
      <w:r w:rsidRPr="00A67631">
        <w:t xml:space="preserve">offered more high cost direct-install measures than Duquesne, </w:t>
      </w:r>
      <w:r w:rsidR="00EC6F41">
        <w:t xml:space="preserve">PECO and PPL, which is a clear and present factor in </w:t>
      </w:r>
      <w:r w:rsidRPr="00A67631">
        <w:t xml:space="preserve">the average utility cost per participant </w:t>
      </w:r>
      <w:r>
        <w:t xml:space="preserve">for the FirstEnergy EDCs </w:t>
      </w:r>
      <w:r w:rsidR="00EC6F41">
        <w:t>being</w:t>
      </w:r>
      <w:r w:rsidRPr="00A67631">
        <w:t xml:space="preserve"> higher </w:t>
      </w:r>
      <w:r>
        <w:t xml:space="preserve">than other EDCs, </w:t>
      </w:r>
      <w:r w:rsidRPr="00A67631">
        <w:t xml:space="preserve">as shown in </w:t>
      </w:r>
      <w:r>
        <w:rPr>
          <w:highlight w:val="yellow"/>
        </w:rPr>
        <w:fldChar w:fldCharType="begin"/>
      </w:r>
      <w:r>
        <w:instrText xml:space="preserve"> REF _Ref472410132 \h </w:instrText>
      </w:r>
      <w:r>
        <w:rPr>
          <w:highlight w:val="yellow"/>
        </w:rPr>
      </w:r>
      <w:r>
        <w:rPr>
          <w:highlight w:val="yellow"/>
        </w:rPr>
        <w:fldChar w:fldCharType="separate"/>
      </w:r>
      <w:r w:rsidR="008A7824" w:rsidRPr="003900A2">
        <w:t xml:space="preserve">Figure </w:t>
      </w:r>
      <w:r w:rsidR="008A7824">
        <w:rPr>
          <w:noProof/>
        </w:rPr>
        <w:t>2</w:t>
      </w:r>
      <w:r w:rsidR="008A7824">
        <w:noBreakHyphen/>
      </w:r>
      <w:r w:rsidR="008A7824">
        <w:rPr>
          <w:noProof/>
        </w:rPr>
        <w:t>2</w:t>
      </w:r>
      <w:r>
        <w:rPr>
          <w:highlight w:val="yellow"/>
        </w:rPr>
        <w:fldChar w:fldCharType="end"/>
      </w:r>
      <w:r>
        <w:t>.</w:t>
      </w:r>
    </w:p>
    <w:p w:rsidR="00E6042C" w:rsidRDefault="00E6042C" w:rsidP="00E6042C"/>
    <w:p w:rsidR="00E6042C" w:rsidRDefault="00E6042C" w:rsidP="00E6042C">
      <w:r>
        <w:t>Duquesne and PPL provide many additional measures not offered by the other utilities and unlike the other EDCs, Duquesne offers and tracks low income participation in all of its residential programs (LI Rebates, LI kits, LI SEP). This greatly increases the number of measures that are offered through their REEP, RARP, WHEAP, SEP, and HER Residential Programs to the low-income community. FirstEnergy offers direct install, LILU kits, and giveaways, while PPL offers their LI WRAP, Behavioral &amp; Educational, and E-Power Wise programs. PECO’s LEEP program uses a varied approach to reach different target markets of the low-income community.</w:t>
      </w:r>
    </w:p>
    <w:p w:rsidR="00186590" w:rsidRDefault="00186590" w:rsidP="00E6042C"/>
    <w:p w:rsidR="00E6042C" w:rsidRPr="00415875" w:rsidRDefault="00E6042C" w:rsidP="00E6042C">
      <w:pPr>
        <w:pStyle w:val="Caption"/>
        <w:keepNext/>
        <w:rPr>
          <w:b w:val="0"/>
          <w:i/>
        </w:rPr>
      </w:pPr>
      <w:bookmarkStart w:id="114" w:name="_Ref476057359"/>
      <w:bookmarkStart w:id="115" w:name="_Toc476913978"/>
      <w:r>
        <w:t xml:space="preserve">Table </w:t>
      </w:r>
      <w:fldSimple w:instr=" STYLEREF 1 \s ">
        <w:r w:rsidR="008A7824">
          <w:rPr>
            <w:noProof/>
          </w:rPr>
          <w:t>2</w:t>
        </w:r>
      </w:fldSimple>
      <w:r>
        <w:noBreakHyphen/>
      </w:r>
      <w:fldSimple w:instr=" SEQ Table \* ARABIC \s 1 ">
        <w:r w:rsidR="008A7824">
          <w:rPr>
            <w:noProof/>
          </w:rPr>
          <w:t>12</w:t>
        </w:r>
      </w:fldSimple>
      <w:bookmarkEnd w:id="114"/>
      <w:r w:rsidRPr="00415875">
        <w:t>: Low-Income Offerings by Measure</w:t>
      </w:r>
      <w:bookmarkEnd w:id="115"/>
    </w:p>
    <w:tbl>
      <w:tblPr>
        <w:tblW w:w="4887" w:type="pct"/>
        <w:tblInd w:w="108" w:type="dxa"/>
        <w:tblLayout w:type="fixed"/>
        <w:tblLook w:val="04A0" w:firstRow="1" w:lastRow="0" w:firstColumn="1" w:lastColumn="0" w:noHBand="0" w:noVBand="1"/>
      </w:tblPr>
      <w:tblGrid>
        <w:gridCol w:w="2604"/>
        <w:gridCol w:w="980"/>
        <w:gridCol w:w="964"/>
        <w:gridCol w:w="964"/>
        <w:gridCol w:w="964"/>
        <w:gridCol w:w="964"/>
        <w:gridCol w:w="964"/>
        <w:gridCol w:w="725"/>
      </w:tblGrid>
      <w:tr w:rsidR="00E6042C" w:rsidRPr="00E6042C" w:rsidTr="00592FD5">
        <w:trPr>
          <w:trHeight w:val="214"/>
          <w:tblHeader/>
        </w:trPr>
        <w:tc>
          <w:tcPr>
            <w:tcW w:w="1426" w:type="pct"/>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E6042C" w:rsidRPr="00E6042C" w:rsidRDefault="00E6042C" w:rsidP="00E6042C">
            <w:pPr>
              <w:rPr>
                <w:rFonts w:asciiTheme="minorHAnsi" w:hAnsiTheme="minorHAnsi" w:cstheme="minorHAnsi"/>
                <w:b/>
                <w:bCs/>
                <w:color w:val="FFFFFF"/>
                <w:sz w:val="18"/>
                <w:szCs w:val="18"/>
              </w:rPr>
            </w:pPr>
            <w:r w:rsidRPr="00E6042C">
              <w:rPr>
                <w:rFonts w:asciiTheme="minorHAnsi" w:hAnsiTheme="minorHAnsi" w:cstheme="minorHAnsi"/>
                <w:b/>
                <w:bCs/>
                <w:color w:val="FFFFFF"/>
                <w:sz w:val="18"/>
                <w:szCs w:val="18"/>
              </w:rPr>
              <w:t>Measure</w:t>
            </w:r>
          </w:p>
        </w:tc>
        <w:tc>
          <w:tcPr>
            <w:tcW w:w="537" w:type="pct"/>
            <w:tcBorders>
              <w:top w:val="single" w:sz="8" w:space="0" w:color="448A99"/>
              <w:left w:val="nil"/>
              <w:bottom w:val="single" w:sz="8" w:space="0" w:color="448A99"/>
              <w:right w:val="single" w:sz="8" w:space="0" w:color="448A99"/>
            </w:tcBorders>
            <w:shd w:val="clear" w:color="000000" w:fill="448A99"/>
            <w:vAlign w:val="bottom"/>
            <w:hideMark/>
          </w:tcPr>
          <w:p w:rsidR="00E6042C" w:rsidRPr="00E6042C" w:rsidRDefault="00E6042C" w:rsidP="00E6042C">
            <w:pPr>
              <w:jc w:val="center"/>
              <w:rPr>
                <w:rFonts w:asciiTheme="minorHAnsi" w:hAnsiTheme="minorHAnsi" w:cstheme="minorHAnsi"/>
                <w:b/>
                <w:bCs/>
                <w:color w:val="FFFFFF"/>
                <w:sz w:val="18"/>
                <w:szCs w:val="18"/>
              </w:rPr>
            </w:pPr>
            <w:r w:rsidRPr="00E6042C">
              <w:rPr>
                <w:rFonts w:asciiTheme="minorHAnsi" w:hAnsiTheme="minorHAnsi" w:cstheme="minorHAnsi"/>
                <w:b/>
                <w:bCs/>
                <w:color w:val="FFFFFF"/>
                <w:sz w:val="18"/>
                <w:szCs w:val="18"/>
              </w:rPr>
              <w:t>Duquesne</w:t>
            </w:r>
          </w:p>
        </w:tc>
        <w:tc>
          <w:tcPr>
            <w:tcW w:w="528" w:type="pct"/>
            <w:tcBorders>
              <w:top w:val="single" w:sz="8" w:space="0" w:color="448A99"/>
              <w:left w:val="nil"/>
              <w:bottom w:val="single" w:sz="8" w:space="0" w:color="448A99"/>
              <w:right w:val="single" w:sz="8" w:space="0" w:color="448A99"/>
            </w:tcBorders>
            <w:shd w:val="clear" w:color="000000" w:fill="448A99"/>
            <w:vAlign w:val="bottom"/>
          </w:tcPr>
          <w:p w:rsidR="00E6042C" w:rsidRDefault="00E6042C" w:rsidP="00E6042C">
            <w:pPr>
              <w:jc w:val="center"/>
              <w:rPr>
                <w:rFonts w:asciiTheme="minorHAnsi" w:hAnsiTheme="minorHAnsi" w:cstheme="minorHAnsi"/>
                <w:b/>
                <w:bCs/>
                <w:color w:val="FFFFFF"/>
                <w:sz w:val="18"/>
                <w:szCs w:val="18"/>
              </w:rPr>
            </w:pPr>
            <w:r w:rsidRPr="00E6042C">
              <w:rPr>
                <w:rFonts w:asciiTheme="minorHAnsi" w:hAnsiTheme="minorHAnsi" w:cstheme="minorHAnsi"/>
                <w:b/>
                <w:bCs/>
                <w:color w:val="FFFFFF"/>
                <w:sz w:val="18"/>
                <w:szCs w:val="18"/>
              </w:rPr>
              <w:t xml:space="preserve">FE: </w:t>
            </w:r>
          </w:p>
          <w:p w:rsidR="00E6042C" w:rsidRPr="00E6042C" w:rsidRDefault="00E6042C" w:rsidP="00E6042C">
            <w:pPr>
              <w:jc w:val="center"/>
              <w:rPr>
                <w:rFonts w:asciiTheme="minorHAnsi" w:hAnsiTheme="minorHAnsi" w:cstheme="minorHAnsi"/>
                <w:b/>
                <w:bCs/>
                <w:color w:val="FFFFFF"/>
                <w:sz w:val="18"/>
                <w:szCs w:val="18"/>
              </w:rPr>
            </w:pPr>
            <w:r w:rsidRPr="00E6042C">
              <w:rPr>
                <w:rFonts w:asciiTheme="minorHAnsi" w:hAnsiTheme="minorHAnsi" w:cstheme="minorHAnsi"/>
                <w:b/>
                <w:bCs/>
                <w:color w:val="FFFFFF"/>
                <w:sz w:val="18"/>
                <w:szCs w:val="18"/>
              </w:rPr>
              <w:t>Met-Ed</w:t>
            </w:r>
          </w:p>
        </w:tc>
        <w:tc>
          <w:tcPr>
            <w:tcW w:w="528" w:type="pct"/>
            <w:tcBorders>
              <w:top w:val="single" w:sz="8" w:space="0" w:color="448A99"/>
              <w:left w:val="nil"/>
              <w:bottom w:val="single" w:sz="8" w:space="0" w:color="448A99"/>
              <w:right w:val="single" w:sz="8" w:space="0" w:color="448A99"/>
            </w:tcBorders>
            <w:shd w:val="clear" w:color="000000" w:fill="448A99"/>
            <w:vAlign w:val="bottom"/>
          </w:tcPr>
          <w:p w:rsidR="00E6042C" w:rsidRPr="00E6042C" w:rsidRDefault="00E6042C" w:rsidP="00E6042C">
            <w:pPr>
              <w:jc w:val="center"/>
              <w:rPr>
                <w:rFonts w:asciiTheme="minorHAnsi" w:hAnsiTheme="minorHAnsi" w:cstheme="minorHAnsi"/>
                <w:b/>
                <w:bCs/>
                <w:color w:val="FFFFFF"/>
                <w:sz w:val="18"/>
                <w:szCs w:val="18"/>
              </w:rPr>
            </w:pPr>
            <w:r w:rsidRPr="00E6042C">
              <w:rPr>
                <w:rFonts w:asciiTheme="minorHAnsi" w:hAnsiTheme="minorHAnsi" w:cstheme="minorHAnsi"/>
                <w:b/>
                <w:bCs/>
                <w:color w:val="FFFFFF"/>
                <w:sz w:val="18"/>
                <w:szCs w:val="18"/>
              </w:rPr>
              <w:t>FE: Penelec</w:t>
            </w:r>
          </w:p>
        </w:tc>
        <w:tc>
          <w:tcPr>
            <w:tcW w:w="528" w:type="pct"/>
            <w:tcBorders>
              <w:top w:val="single" w:sz="8" w:space="0" w:color="448A99"/>
              <w:left w:val="nil"/>
              <w:bottom w:val="single" w:sz="8" w:space="0" w:color="448A99"/>
              <w:right w:val="single" w:sz="8" w:space="0" w:color="448A99"/>
            </w:tcBorders>
            <w:shd w:val="clear" w:color="000000" w:fill="448A99"/>
            <w:vAlign w:val="bottom"/>
          </w:tcPr>
          <w:p w:rsidR="00E6042C" w:rsidRPr="00E6042C" w:rsidRDefault="00E6042C" w:rsidP="00E6042C">
            <w:pPr>
              <w:jc w:val="center"/>
              <w:rPr>
                <w:rFonts w:asciiTheme="minorHAnsi" w:hAnsiTheme="minorHAnsi" w:cstheme="minorHAnsi"/>
                <w:b/>
                <w:bCs/>
                <w:color w:val="FFFFFF"/>
                <w:sz w:val="18"/>
                <w:szCs w:val="18"/>
              </w:rPr>
            </w:pPr>
            <w:r w:rsidRPr="00E6042C">
              <w:rPr>
                <w:rFonts w:asciiTheme="minorHAnsi" w:hAnsiTheme="minorHAnsi" w:cstheme="minorHAnsi"/>
                <w:b/>
                <w:bCs/>
                <w:color w:val="FFFFFF"/>
                <w:sz w:val="18"/>
                <w:szCs w:val="18"/>
              </w:rPr>
              <w:t>FE: Penn Power</w:t>
            </w:r>
          </w:p>
        </w:tc>
        <w:tc>
          <w:tcPr>
            <w:tcW w:w="528" w:type="pct"/>
            <w:tcBorders>
              <w:top w:val="single" w:sz="8" w:space="0" w:color="448A99"/>
              <w:left w:val="nil"/>
              <w:bottom w:val="single" w:sz="8" w:space="0" w:color="448A99"/>
              <w:right w:val="single" w:sz="8" w:space="0" w:color="448A99"/>
            </w:tcBorders>
            <w:shd w:val="clear" w:color="000000" w:fill="448A99"/>
            <w:vAlign w:val="bottom"/>
          </w:tcPr>
          <w:p w:rsidR="00E6042C" w:rsidRPr="00E6042C" w:rsidRDefault="00E6042C" w:rsidP="00E6042C">
            <w:pPr>
              <w:jc w:val="center"/>
              <w:rPr>
                <w:rFonts w:asciiTheme="minorHAnsi" w:hAnsiTheme="minorHAnsi" w:cstheme="minorHAnsi"/>
                <w:b/>
                <w:bCs/>
                <w:color w:val="FFFFFF"/>
                <w:sz w:val="18"/>
                <w:szCs w:val="18"/>
              </w:rPr>
            </w:pPr>
            <w:r w:rsidRPr="00E6042C">
              <w:rPr>
                <w:rFonts w:asciiTheme="minorHAnsi" w:hAnsiTheme="minorHAnsi" w:cstheme="minorHAnsi"/>
                <w:b/>
                <w:bCs/>
                <w:color w:val="FFFFFF"/>
                <w:sz w:val="18"/>
                <w:szCs w:val="18"/>
              </w:rPr>
              <w:t>FE: West Penn</w:t>
            </w:r>
          </w:p>
        </w:tc>
        <w:tc>
          <w:tcPr>
            <w:tcW w:w="528" w:type="pct"/>
            <w:tcBorders>
              <w:top w:val="single" w:sz="8" w:space="0" w:color="448A99"/>
              <w:left w:val="nil"/>
              <w:bottom w:val="single" w:sz="8" w:space="0" w:color="448A99"/>
              <w:right w:val="single" w:sz="8" w:space="0" w:color="448A99"/>
            </w:tcBorders>
            <w:shd w:val="clear" w:color="000000" w:fill="448A99"/>
            <w:vAlign w:val="bottom"/>
          </w:tcPr>
          <w:p w:rsidR="00E6042C" w:rsidRPr="00E6042C" w:rsidRDefault="00E6042C" w:rsidP="00E6042C">
            <w:pPr>
              <w:jc w:val="center"/>
              <w:rPr>
                <w:rFonts w:asciiTheme="minorHAnsi" w:hAnsiTheme="minorHAnsi" w:cstheme="minorHAnsi"/>
                <w:b/>
                <w:bCs/>
                <w:color w:val="FFFFFF"/>
                <w:sz w:val="18"/>
                <w:szCs w:val="18"/>
              </w:rPr>
            </w:pPr>
            <w:r w:rsidRPr="00E6042C">
              <w:rPr>
                <w:rFonts w:asciiTheme="minorHAnsi" w:hAnsiTheme="minorHAnsi" w:cstheme="minorHAnsi"/>
                <w:b/>
                <w:bCs/>
                <w:color w:val="FFFFFF"/>
                <w:sz w:val="18"/>
                <w:szCs w:val="18"/>
              </w:rPr>
              <w:t>PECO</w:t>
            </w:r>
          </w:p>
        </w:tc>
        <w:tc>
          <w:tcPr>
            <w:tcW w:w="395" w:type="pct"/>
            <w:tcBorders>
              <w:top w:val="single" w:sz="8" w:space="0" w:color="448A99"/>
              <w:left w:val="nil"/>
              <w:bottom w:val="single" w:sz="8" w:space="0" w:color="448A99"/>
              <w:right w:val="single" w:sz="8" w:space="0" w:color="448A99"/>
            </w:tcBorders>
            <w:shd w:val="clear" w:color="000000" w:fill="448A99"/>
            <w:vAlign w:val="bottom"/>
          </w:tcPr>
          <w:p w:rsidR="00E6042C" w:rsidRPr="00E6042C" w:rsidRDefault="00E6042C" w:rsidP="00E6042C">
            <w:pPr>
              <w:jc w:val="center"/>
              <w:rPr>
                <w:rFonts w:asciiTheme="minorHAnsi" w:hAnsiTheme="minorHAnsi" w:cstheme="minorHAnsi"/>
                <w:b/>
                <w:bCs/>
                <w:color w:val="FFFFFF"/>
                <w:sz w:val="18"/>
                <w:szCs w:val="18"/>
              </w:rPr>
            </w:pPr>
            <w:r w:rsidRPr="00E6042C">
              <w:rPr>
                <w:rFonts w:asciiTheme="minorHAnsi" w:hAnsiTheme="minorHAnsi" w:cstheme="minorHAnsi"/>
                <w:b/>
                <w:bCs/>
                <w:color w:val="FFFFFF"/>
                <w:sz w:val="18"/>
                <w:szCs w:val="18"/>
              </w:rPr>
              <w:t>PPL</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CFL Bulbs</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lastRenderedPageBreak/>
              <w:t>Smart Strips</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LED Nightlights</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CFL/LED bulbs</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ENERGY STAR® Refrigerator</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ENERGY STAR® Freezer</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ENERGY STAR® Clothes Washer</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Clothes Dryer with Moisture Sensor</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ENERGY STAR® Dehumidifier</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ENERGY STAR® Dishwasher</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Programmable Thermostat</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Heat Pump</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 xml:space="preserve">Central </w:t>
            </w:r>
            <w:r>
              <w:rPr>
                <w:rFonts w:asciiTheme="minorHAnsi" w:hAnsiTheme="minorHAnsi" w:cstheme="minorHAnsi"/>
                <w:sz w:val="18"/>
                <w:szCs w:val="18"/>
              </w:rPr>
              <w:t>AC</w:t>
            </w:r>
            <w:r w:rsidRPr="00E6042C">
              <w:rPr>
                <w:rFonts w:asciiTheme="minorHAnsi" w:hAnsiTheme="minorHAnsi" w:cstheme="minorHAnsi"/>
                <w:sz w:val="18"/>
                <w:szCs w:val="18"/>
              </w:rPr>
              <w:t xml:space="preserve"> or Heat Pump</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 xml:space="preserve">ENERGY STAR® Room </w:t>
            </w:r>
            <w:r>
              <w:rPr>
                <w:rFonts w:asciiTheme="minorHAnsi" w:hAnsiTheme="minorHAnsi" w:cstheme="minorHAnsi"/>
                <w:sz w:val="18"/>
                <w:szCs w:val="18"/>
              </w:rPr>
              <w:t>AC</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High Efficiency Fan Heating</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ENERGY STAR® Television</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Changing or cleaning of heating and Colling Filters</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Dryer Venting (Electric Dryer)</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Smart Strips</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Refrigerators -Recycling</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Freezers Recycling</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CFLs - DR</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LED-DR</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 xml:space="preserve">LED </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Electroluminescent Night Lights</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Kitchen and Bathroom sink faucet Aerators</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Low flow Showerheads</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Kitchen and Bathroom Sink Faucet Aerators - Kits</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Low flow Showerheads - Kits</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Smart Strips</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Smart Plugs</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Water Heater Pipe Wrap</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Furnace Whistle</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Heat Pump Water Heaters</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Energy-efficient resistance water heaters</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Programmable thermostats</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lastRenderedPageBreak/>
              <w:t>Walkthrough/Comprehensive Audits</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Attic Insulation</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Air Sealing/Infiltration</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Blower Door Testing</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Floor Wall Insulation</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Wall Insulation</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HVAC Repair and Replacement</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Duct insulation and repair</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Window repair and replacement</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ASHP Duct Sealing</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ASHP Maintenance</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Energy Education</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Behavioral Program</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Lighting Upstream Program</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Refrigerators - LILU Kits</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Smart Strips - LILU Kits</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CFLs - LIURP</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LED Nightlights - LIURP</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Faucet Aerators -LIURP</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Energy Saving Showerheads -LIURP</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317"/>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sz w:val="18"/>
                <w:szCs w:val="18"/>
              </w:rPr>
            </w:pPr>
            <w:r w:rsidRPr="00E6042C">
              <w:rPr>
                <w:rFonts w:asciiTheme="minorHAnsi" w:hAnsiTheme="minorHAnsi" w:cstheme="minorHAnsi"/>
                <w:sz w:val="18"/>
                <w:szCs w:val="18"/>
              </w:rPr>
              <w:t>Adapters for Faucet Aerators - LIURP</w:t>
            </w:r>
          </w:p>
        </w:tc>
        <w:tc>
          <w:tcPr>
            <w:tcW w:w="537" w:type="pct"/>
            <w:tcBorders>
              <w:top w:val="nil"/>
              <w:left w:val="nil"/>
              <w:bottom w:val="single" w:sz="8" w:space="0" w:color="448A99"/>
              <w:right w:val="single" w:sz="8" w:space="0" w:color="448A99"/>
            </w:tcBorders>
            <w:shd w:val="clear" w:color="auto" w:fill="auto"/>
          </w:tcPr>
          <w:p w:rsidR="00E6042C" w:rsidRPr="00E6042C" w:rsidRDefault="00E6042C" w:rsidP="00E6042C">
            <w:pPr>
              <w:jc w:val="center"/>
              <w:rPr>
                <w:rFonts w:asciiTheme="minorHAnsi" w:hAnsiTheme="minorHAnsi" w:cstheme="minorHAnsi"/>
                <w:sz w:val="18"/>
                <w:szCs w:val="18"/>
              </w:rPr>
            </w:pP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r w:rsidRPr="00E6042C">
              <w:rPr>
                <w:rFonts w:asciiTheme="minorHAnsi" w:hAnsiTheme="minorHAnsi" w:cstheme="minorHAnsi"/>
                <w:sz w:val="18"/>
                <w:szCs w:val="18"/>
              </w:rPr>
              <w:t>X</w:t>
            </w:r>
          </w:p>
        </w:tc>
        <w:tc>
          <w:tcPr>
            <w:tcW w:w="528"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c>
          <w:tcPr>
            <w:tcW w:w="395" w:type="pct"/>
            <w:tcBorders>
              <w:top w:val="nil"/>
              <w:left w:val="nil"/>
              <w:bottom w:val="single" w:sz="8" w:space="0" w:color="448A99"/>
              <w:right w:val="single" w:sz="8" w:space="0" w:color="448A99"/>
            </w:tcBorders>
          </w:tcPr>
          <w:p w:rsidR="00E6042C" w:rsidRPr="00E6042C" w:rsidRDefault="00E6042C" w:rsidP="00E6042C">
            <w:pPr>
              <w:jc w:val="center"/>
              <w:rPr>
                <w:rFonts w:asciiTheme="minorHAnsi" w:hAnsiTheme="minorHAnsi" w:cstheme="minorHAnsi"/>
                <w:sz w:val="18"/>
                <w:szCs w:val="18"/>
              </w:rPr>
            </w:pPr>
          </w:p>
        </w:tc>
      </w:tr>
      <w:tr w:rsidR="00E6042C" w:rsidRPr="00E6042C" w:rsidTr="00592FD5">
        <w:trPr>
          <w:trHeight w:val="20"/>
        </w:trPr>
        <w:tc>
          <w:tcPr>
            <w:tcW w:w="5000" w:type="pct"/>
            <w:gridSpan w:val="8"/>
            <w:tcBorders>
              <w:top w:val="nil"/>
              <w:left w:val="single" w:sz="8" w:space="0" w:color="448A99"/>
              <w:bottom w:val="single" w:sz="8" w:space="0" w:color="448A99"/>
              <w:right w:val="single" w:sz="8" w:space="0" w:color="448A99"/>
            </w:tcBorders>
            <w:shd w:val="clear" w:color="auto" w:fill="9C9393"/>
          </w:tcPr>
          <w:p w:rsidR="00E6042C" w:rsidRPr="00E6042C" w:rsidRDefault="00E6042C" w:rsidP="00E6042C">
            <w:pPr>
              <w:jc w:val="center"/>
              <w:rPr>
                <w:rFonts w:asciiTheme="minorHAnsi" w:hAnsiTheme="minorHAnsi" w:cstheme="minorHAnsi"/>
                <w:sz w:val="10"/>
                <w:szCs w:val="18"/>
              </w:rPr>
            </w:pPr>
          </w:p>
        </w:tc>
      </w:tr>
      <w:tr w:rsidR="00E6042C" w:rsidRPr="00E6042C" w:rsidTr="00592FD5">
        <w:trPr>
          <w:trHeight w:val="439"/>
        </w:trPr>
        <w:tc>
          <w:tcPr>
            <w:tcW w:w="1426" w:type="pct"/>
            <w:tcBorders>
              <w:top w:val="nil"/>
              <w:left w:val="single" w:sz="8" w:space="0" w:color="448A99"/>
              <w:bottom w:val="single" w:sz="8" w:space="0" w:color="448A99"/>
              <w:right w:val="single" w:sz="8" w:space="0" w:color="448A99"/>
            </w:tcBorders>
            <w:shd w:val="clear" w:color="auto" w:fill="auto"/>
          </w:tcPr>
          <w:p w:rsidR="00E6042C" w:rsidRPr="00E6042C" w:rsidRDefault="00E6042C" w:rsidP="00E6042C">
            <w:pPr>
              <w:jc w:val="left"/>
              <w:rPr>
                <w:rFonts w:asciiTheme="minorHAnsi" w:hAnsiTheme="minorHAnsi" w:cstheme="minorHAnsi"/>
                <w:b/>
                <w:sz w:val="18"/>
                <w:szCs w:val="18"/>
              </w:rPr>
            </w:pPr>
            <w:r w:rsidRPr="00E6042C">
              <w:rPr>
                <w:rFonts w:asciiTheme="minorHAnsi" w:hAnsiTheme="minorHAnsi" w:cstheme="minorHAnsi"/>
                <w:b/>
                <w:sz w:val="18"/>
                <w:szCs w:val="18"/>
              </w:rPr>
              <w:t>Direct Install</w:t>
            </w:r>
          </w:p>
        </w:tc>
        <w:tc>
          <w:tcPr>
            <w:tcW w:w="537" w:type="pct"/>
            <w:tcBorders>
              <w:top w:val="nil"/>
              <w:left w:val="nil"/>
              <w:bottom w:val="single" w:sz="8" w:space="0" w:color="448A99"/>
              <w:right w:val="single" w:sz="8" w:space="0" w:color="448A99"/>
            </w:tcBorders>
            <w:shd w:val="clear" w:color="auto" w:fill="auto"/>
          </w:tcPr>
          <w:p w:rsidR="00E6042C" w:rsidRPr="00E6042C" w:rsidRDefault="00253CE4" w:rsidP="00E6042C">
            <w:pPr>
              <w:jc w:val="center"/>
              <w:rPr>
                <w:rFonts w:asciiTheme="minorHAnsi" w:hAnsiTheme="minorHAnsi" w:cstheme="minorHAnsi"/>
                <w:b/>
                <w:sz w:val="18"/>
                <w:szCs w:val="18"/>
              </w:rPr>
            </w:pPr>
            <w:r>
              <w:rPr>
                <w:rFonts w:asciiTheme="minorHAnsi" w:hAnsiTheme="minorHAnsi" w:cstheme="minorHAnsi"/>
                <w:b/>
                <w:sz w:val="18"/>
                <w:szCs w:val="18"/>
              </w:rPr>
              <w:t>Y</w:t>
            </w:r>
          </w:p>
        </w:tc>
        <w:tc>
          <w:tcPr>
            <w:tcW w:w="528" w:type="pct"/>
            <w:tcBorders>
              <w:top w:val="nil"/>
              <w:left w:val="nil"/>
              <w:bottom w:val="single" w:sz="8" w:space="0" w:color="448A99"/>
              <w:right w:val="single" w:sz="8" w:space="0" w:color="448A99"/>
            </w:tcBorders>
          </w:tcPr>
          <w:p w:rsidR="00E6042C" w:rsidRPr="00E6042C" w:rsidRDefault="00253CE4" w:rsidP="00E6042C">
            <w:pPr>
              <w:jc w:val="center"/>
              <w:rPr>
                <w:rFonts w:asciiTheme="minorHAnsi" w:hAnsiTheme="minorHAnsi" w:cstheme="minorHAnsi"/>
                <w:b/>
                <w:sz w:val="18"/>
                <w:szCs w:val="18"/>
              </w:rPr>
            </w:pPr>
            <w:r>
              <w:rPr>
                <w:rFonts w:asciiTheme="minorHAnsi" w:hAnsiTheme="minorHAnsi" w:cstheme="minorHAnsi"/>
                <w:b/>
                <w:sz w:val="18"/>
                <w:szCs w:val="18"/>
              </w:rPr>
              <w:t>Y</w:t>
            </w:r>
          </w:p>
        </w:tc>
        <w:tc>
          <w:tcPr>
            <w:tcW w:w="528" w:type="pct"/>
            <w:tcBorders>
              <w:top w:val="nil"/>
              <w:left w:val="nil"/>
              <w:bottom w:val="single" w:sz="8" w:space="0" w:color="448A99"/>
              <w:right w:val="single" w:sz="8" w:space="0" w:color="448A99"/>
            </w:tcBorders>
          </w:tcPr>
          <w:p w:rsidR="00E6042C" w:rsidRPr="00E6042C" w:rsidRDefault="00253CE4" w:rsidP="00E6042C">
            <w:pPr>
              <w:jc w:val="center"/>
              <w:rPr>
                <w:rFonts w:asciiTheme="minorHAnsi" w:hAnsiTheme="minorHAnsi" w:cstheme="minorHAnsi"/>
                <w:b/>
                <w:sz w:val="18"/>
                <w:szCs w:val="18"/>
              </w:rPr>
            </w:pPr>
            <w:r>
              <w:rPr>
                <w:rFonts w:asciiTheme="minorHAnsi" w:hAnsiTheme="minorHAnsi" w:cstheme="minorHAnsi"/>
                <w:b/>
                <w:sz w:val="18"/>
                <w:szCs w:val="18"/>
              </w:rPr>
              <w:t>Y</w:t>
            </w:r>
          </w:p>
        </w:tc>
        <w:tc>
          <w:tcPr>
            <w:tcW w:w="528" w:type="pct"/>
            <w:tcBorders>
              <w:top w:val="nil"/>
              <w:left w:val="nil"/>
              <w:bottom w:val="single" w:sz="8" w:space="0" w:color="448A99"/>
              <w:right w:val="single" w:sz="8" w:space="0" w:color="448A99"/>
            </w:tcBorders>
          </w:tcPr>
          <w:p w:rsidR="00E6042C" w:rsidRPr="00E6042C" w:rsidRDefault="00253CE4" w:rsidP="00E6042C">
            <w:pPr>
              <w:jc w:val="center"/>
              <w:rPr>
                <w:rFonts w:asciiTheme="minorHAnsi" w:hAnsiTheme="minorHAnsi" w:cstheme="minorHAnsi"/>
                <w:b/>
                <w:sz w:val="18"/>
                <w:szCs w:val="18"/>
              </w:rPr>
            </w:pPr>
            <w:r>
              <w:rPr>
                <w:rFonts w:asciiTheme="minorHAnsi" w:hAnsiTheme="minorHAnsi" w:cstheme="minorHAnsi"/>
                <w:b/>
                <w:sz w:val="18"/>
                <w:szCs w:val="18"/>
              </w:rPr>
              <w:t>Y</w:t>
            </w:r>
          </w:p>
        </w:tc>
        <w:tc>
          <w:tcPr>
            <w:tcW w:w="528" w:type="pct"/>
            <w:tcBorders>
              <w:top w:val="nil"/>
              <w:left w:val="nil"/>
              <w:bottom w:val="single" w:sz="8" w:space="0" w:color="448A99"/>
              <w:right w:val="single" w:sz="8" w:space="0" w:color="448A99"/>
            </w:tcBorders>
          </w:tcPr>
          <w:p w:rsidR="00E6042C" w:rsidRPr="00E6042C" w:rsidRDefault="00253CE4" w:rsidP="00E6042C">
            <w:pPr>
              <w:jc w:val="center"/>
              <w:rPr>
                <w:rFonts w:asciiTheme="minorHAnsi" w:hAnsiTheme="minorHAnsi" w:cstheme="minorHAnsi"/>
                <w:b/>
                <w:sz w:val="18"/>
                <w:szCs w:val="18"/>
              </w:rPr>
            </w:pPr>
            <w:r>
              <w:rPr>
                <w:rFonts w:asciiTheme="minorHAnsi" w:hAnsiTheme="minorHAnsi" w:cstheme="minorHAnsi"/>
                <w:b/>
                <w:sz w:val="18"/>
                <w:szCs w:val="18"/>
              </w:rPr>
              <w:t>Y</w:t>
            </w:r>
          </w:p>
        </w:tc>
        <w:tc>
          <w:tcPr>
            <w:tcW w:w="528" w:type="pct"/>
            <w:tcBorders>
              <w:top w:val="nil"/>
              <w:left w:val="nil"/>
              <w:bottom w:val="single" w:sz="8" w:space="0" w:color="448A99"/>
              <w:right w:val="single" w:sz="8" w:space="0" w:color="448A99"/>
            </w:tcBorders>
          </w:tcPr>
          <w:p w:rsidR="00E6042C" w:rsidRPr="00E6042C" w:rsidRDefault="00253CE4" w:rsidP="00E6042C">
            <w:pPr>
              <w:jc w:val="center"/>
              <w:rPr>
                <w:rFonts w:asciiTheme="minorHAnsi" w:hAnsiTheme="minorHAnsi" w:cstheme="minorHAnsi"/>
                <w:b/>
                <w:sz w:val="18"/>
                <w:szCs w:val="18"/>
              </w:rPr>
            </w:pPr>
            <w:r>
              <w:rPr>
                <w:rFonts w:asciiTheme="minorHAnsi" w:hAnsiTheme="minorHAnsi" w:cstheme="minorHAnsi"/>
                <w:b/>
                <w:sz w:val="18"/>
                <w:szCs w:val="18"/>
              </w:rPr>
              <w:t>Y</w:t>
            </w:r>
          </w:p>
        </w:tc>
        <w:tc>
          <w:tcPr>
            <w:tcW w:w="395" w:type="pct"/>
            <w:tcBorders>
              <w:top w:val="nil"/>
              <w:left w:val="nil"/>
              <w:bottom w:val="single" w:sz="8" w:space="0" w:color="448A99"/>
              <w:right w:val="single" w:sz="8" w:space="0" w:color="448A99"/>
            </w:tcBorders>
          </w:tcPr>
          <w:p w:rsidR="00E6042C" w:rsidRPr="00E6042C" w:rsidRDefault="00253CE4" w:rsidP="00E6042C">
            <w:pPr>
              <w:jc w:val="center"/>
              <w:rPr>
                <w:rFonts w:asciiTheme="minorHAnsi" w:hAnsiTheme="minorHAnsi" w:cstheme="minorHAnsi"/>
                <w:b/>
                <w:sz w:val="18"/>
                <w:szCs w:val="18"/>
              </w:rPr>
            </w:pPr>
            <w:r>
              <w:rPr>
                <w:rFonts w:asciiTheme="minorHAnsi" w:hAnsiTheme="minorHAnsi" w:cstheme="minorHAnsi"/>
                <w:b/>
                <w:sz w:val="18"/>
                <w:szCs w:val="18"/>
              </w:rPr>
              <w:t>Y</w:t>
            </w:r>
          </w:p>
        </w:tc>
      </w:tr>
      <w:tr w:rsidR="00E6042C" w:rsidRPr="00E6042C" w:rsidTr="00592FD5">
        <w:trPr>
          <w:trHeight w:val="439"/>
        </w:trPr>
        <w:tc>
          <w:tcPr>
            <w:tcW w:w="1426" w:type="pct"/>
            <w:tcBorders>
              <w:top w:val="nil"/>
              <w:left w:val="single" w:sz="8" w:space="0" w:color="448A99"/>
              <w:bottom w:val="single" w:sz="8" w:space="0" w:color="448A99"/>
              <w:right w:val="single" w:sz="8" w:space="0" w:color="448A99"/>
            </w:tcBorders>
            <w:shd w:val="clear" w:color="000000" w:fill="D2EAF1"/>
          </w:tcPr>
          <w:p w:rsidR="00E6042C" w:rsidRPr="00E6042C" w:rsidRDefault="00E6042C" w:rsidP="00E6042C">
            <w:pPr>
              <w:jc w:val="left"/>
              <w:rPr>
                <w:rFonts w:asciiTheme="minorHAnsi" w:hAnsiTheme="minorHAnsi" w:cstheme="minorHAnsi"/>
                <w:b/>
                <w:sz w:val="18"/>
                <w:szCs w:val="18"/>
              </w:rPr>
            </w:pPr>
            <w:r w:rsidRPr="00E6042C">
              <w:rPr>
                <w:rFonts w:asciiTheme="minorHAnsi" w:hAnsiTheme="minorHAnsi" w:cstheme="minorHAnsi"/>
                <w:b/>
                <w:sz w:val="18"/>
                <w:szCs w:val="18"/>
              </w:rPr>
              <w:t>Number of Measures Offered by EDC LI Program</w:t>
            </w:r>
          </w:p>
        </w:tc>
        <w:tc>
          <w:tcPr>
            <w:tcW w:w="537"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b/>
                <w:sz w:val="18"/>
                <w:szCs w:val="18"/>
              </w:rPr>
            </w:pPr>
            <w:r w:rsidRPr="00E6042C">
              <w:rPr>
                <w:rFonts w:asciiTheme="minorHAnsi" w:hAnsiTheme="minorHAnsi" w:cstheme="minorHAnsi"/>
                <w:b/>
                <w:sz w:val="18"/>
                <w:szCs w:val="18"/>
              </w:rPr>
              <w:t>31</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b/>
                <w:sz w:val="18"/>
                <w:szCs w:val="18"/>
              </w:rPr>
            </w:pPr>
            <w:r w:rsidRPr="00E6042C">
              <w:rPr>
                <w:rFonts w:asciiTheme="minorHAnsi" w:hAnsiTheme="minorHAnsi" w:cstheme="minorHAnsi"/>
                <w:b/>
                <w:sz w:val="18"/>
                <w:szCs w:val="18"/>
              </w:rPr>
              <w:t>21</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b/>
                <w:sz w:val="18"/>
                <w:szCs w:val="18"/>
              </w:rPr>
            </w:pPr>
            <w:r w:rsidRPr="00E6042C">
              <w:rPr>
                <w:rFonts w:asciiTheme="minorHAnsi" w:hAnsiTheme="minorHAnsi" w:cstheme="minorHAnsi"/>
                <w:b/>
                <w:sz w:val="18"/>
                <w:szCs w:val="18"/>
              </w:rPr>
              <w:t>21</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b/>
                <w:sz w:val="18"/>
                <w:szCs w:val="18"/>
              </w:rPr>
            </w:pPr>
            <w:r w:rsidRPr="00E6042C">
              <w:rPr>
                <w:rFonts w:asciiTheme="minorHAnsi" w:hAnsiTheme="minorHAnsi" w:cstheme="minorHAnsi"/>
                <w:b/>
                <w:sz w:val="18"/>
                <w:szCs w:val="18"/>
              </w:rPr>
              <w:t>21</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b/>
                <w:sz w:val="18"/>
                <w:szCs w:val="18"/>
              </w:rPr>
            </w:pPr>
            <w:r w:rsidRPr="00E6042C">
              <w:rPr>
                <w:rFonts w:asciiTheme="minorHAnsi" w:hAnsiTheme="minorHAnsi" w:cstheme="minorHAnsi"/>
                <w:b/>
                <w:sz w:val="18"/>
                <w:szCs w:val="18"/>
              </w:rPr>
              <w:t>21</w:t>
            </w:r>
          </w:p>
        </w:tc>
        <w:tc>
          <w:tcPr>
            <w:tcW w:w="528"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b/>
                <w:sz w:val="18"/>
                <w:szCs w:val="18"/>
              </w:rPr>
            </w:pPr>
            <w:r w:rsidRPr="00E6042C">
              <w:rPr>
                <w:rFonts w:asciiTheme="minorHAnsi" w:hAnsiTheme="minorHAnsi" w:cstheme="minorHAnsi"/>
                <w:b/>
                <w:sz w:val="18"/>
                <w:szCs w:val="18"/>
              </w:rPr>
              <w:t>15</w:t>
            </w:r>
          </w:p>
        </w:tc>
        <w:tc>
          <w:tcPr>
            <w:tcW w:w="395" w:type="pct"/>
            <w:tcBorders>
              <w:top w:val="nil"/>
              <w:left w:val="nil"/>
              <w:bottom w:val="single" w:sz="8" w:space="0" w:color="448A99"/>
              <w:right w:val="single" w:sz="8" w:space="0" w:color="448A99"/>
            </w:tcBorders>
            <w:shd w:val="clear" w:color="000000" w:fill="D2EAF1"/>
          </w:tcPr>
          <w:p w:rsidR="00E6042C" w:rsidRPr="00E6042C" w:rsidRDefault="00E6042C" w:rsidP="00E6042C">
            <w:pPr>
              <w:jc w:val="center"/>
              <w:rPr>
                <w:rFonts w:asciiTheme="minorHAnsi" w:hAnsiTheme="minorHAnsi" w:cstheme="minorHAnsi"/>
                <w:b/>
                <w:sz w:val="18"/>
                <w:szCs w:val="18"/>
              </w:rPr>
            </w:pPr>
            <w:r w:rsidRPr="00E6042C">
              <w:rPr>
                <w:rFonts w:asciiTheme="minorHAnsi" w:hAnsiTheme="minorHAnsi" w:cstheme="minorHAnsi"/>
                <w:b/>
                <w:sz w:val="18"/>
                <w:szCs w:val="18"/>
              </w:rPr>
              <w:t>29</w:t>
            </w:r>
          </w:p>
        </w:tc>
      </w:tr>
    </w:tbl>
    <w:p w:rsidR="00C60D2D" w:rsidRPr="00A67631" w:rsidRDefault="00C60D2D" w:rsidP="00A67631"/>
    <w:p w:rsidR="00DF2DB6" w:rsidRDefault="00DF2DB6" w:rsidP="00A67631">
      <w:r w:rsidRPr="00A67631">
        <w:t>The Pennsylvania EDCs define a</w:t>
      </w:r>
      <w:r w:rsidR="00A21E52">
        <w:t xml:space="preserve"> low-income program</w:t>
      </w:r>
      <w:r w:rsidRPr="00A67631">
        <w:t xml:space="preserve"> participant as a unique premise number, unique home, or unique customer job ID that may have multiple measures installed. Duquesne defines a</w:t>
      </w:r>
      <w:r w:rsidR="00A21E52">
        <w:t xml:space="preserve"> low income program</w:t>
      </w:r>
      <w:r w:rsidRPr="00A67631">
        <w:t xml:space="preserve"> participant as a customer participating in the program within an individual program quarter (Q1, Q2, Q3, or Q4), represented by a unique participant account number within Duquesne’s tracking system. For Duquesne programs, </w:t>
      </w:r>
      <w:r w:rsidR="00A21E52">
        <w:t xml:space="preserve">low income participants </w:t>
      </w:r>
      <w:r w:rsidRPr="00A67631">
        <w:t>participating more than once within a quarter are counted once; customers participating more than once but in different quarters are counted more than once (once in each quarter).</w:t>
      </w:r>
    </w:p>
    <w:p w:rsidR="00A67631" w:rsidRPr="00A67631" w:rsidRDefault="00A67631" w:rsidP="00A67631"/>
    <w:p w:rsidR="004F1B4F" w:rsidRDefault="007B7BD7" w:rsidP="00A67631">
      <w:r>
        <w:fldChar w:fldCharType="begin"/>
      </w:r>
      <w:r>
        <w:instrText xml:space="preserve"> REF _Ref472430669 \h </w:instrText>
      </w:r>
      <w:r>
        <w:fldChar w:fldCharType="separate"/>
      </w:r>
      <w:r w:rsidR="00E6042C" w:rsidRPr="003900A2">
        <w:t xml:space="preserve">Figure </w:t>
      </w:r>
      <w:r w:rsidR="00E6042C">
        <w:rPr>
          <w:noProof/>
        </w:rPr>
        <w:t>2</w:t>
      </w:r>
      <w:r w:rsidR="00E6042C">
        <w:noBreakHyphen/>
      </w:r>
      <w:r w:rsidR="00E6042C">
        <w:rPr>
          <w:noProof/>
        </w:rPr>
        <w:t>3</w:t>
      </w:r>
      <w:r>
        <w:fldChar w:fldCharType="end"/>
      </w:r>
      <w:r>
        <w:t xml:space="preserve"> and </w:t>
      </w:r>
      <w:r>
        <w:fldChar w:fldCharType="begin"/>
      </w:r>
      <w:r>
        <w:instrText xml:space="preserve"> REF _Ref473707472 \h </w:instrText>
      </w:r>
      <w:r>
        <w:fldChar w:fldCharType="separate"/>
      </w:r>
      <w:r w:rsidR="00E6042C" w:rsidRPr="003900A2">
        <w:t xml:space="preserve">Figure </w:t>
      </w:r>
      <w:r w:rsidR="00E6042C">
        <w:rPr>
          <w:noProof/>
        </w:rPr>
        <w:t>2</w:t>
      </w:r>
      <w:r w:rsidR="00E6042C">
        <w:noBreakHyphen/>
      </w:r>
      <w:r w:rsidR="00E6042C">
        <w:rPr>
          <w:noProof/>
        </w:rPr>
        <w:t>4</w:t>
      </w:r>
      <w:r>
        <w:fldChar w:fldCharType="end"/>
      </w:r>
      <w:r>
        <w:t xml:space="preserve"> </w:t>
      </w:r>
      <w:r w:rsidR="004F1B4F" w:rsidRPr="00A67631">
        <w:t>compare the low-income program total MWh</w:t>
      </w:r>
      <w:r w:rsidR="003F5DF4" w:rsidRPr="00A67631">
        <w:t>/yr</w:t>
      </w:r>
      <w:r w:rsidR="004F1B4F" w:rsidRPr="00A67631">
        <w:t xml:space="preserve"> and MW savings (for all participants) for PY7 for each EDC. The total PY7 MWh</w:t>
      </w:r>
      <w:r w:rsidR="003F5DF4" w:rsidRPr="00A67631">
        <w:t>/yr</w:t>
      </w:r>
      <w:r w:rsidR="004F1B4F" w:rsidRPr="00A67631">
        <w:t xml:space="preserve"> and MW savings vary significantly among EDCs. This is not surprising, given that each EDC has a different number of eligible low-income participants and a varying array of energy efficiency measure offerings.</w:t>
      </w:r>
    </w:p>
    <w:p w:rsidR="007B7BD7" w:rsidRDefault="007B7BD7" w:rsidP="00A67631"/>
    <w:p w:rsidR="004F1B4F" w:rsidRPr="003900A2" w:rsidRDefault="0036462C" w:rsidP="003900A2">
      <w:pPr>
        <w:pStyle w:val="Caption"/>
      </w:pPr>
      <w:bookmarkStart w:id="116" w:name="_Ref472430669"/>
      <w:bookmarkStart w:id="117" w:name="_Toc472472211"/>
      <w:bookmarkStart w:id="118" w:name="_Toc476914024"/>
      <w:r w:rsidRPr="003900A2">
        <w:lastRenderedPageBreak/>
        <w:t xml:space="preserve">Figure </w:t>
      </w:r>
      <w:fldSimple w:instr=" STYLEREF 1 \s ">
        <w:r w:rsidR="00C301D0">
          <w:rPr>
            <w:noProof/>
          </w:rPr>
          <w:t>2</w:t>
        </w:r>
      </w:fldSimple>
      <w:r w:rsidR="00DA1ADA">
        <w:noBreakHyphen/>
      </w:r>
      <w:fldSimple w:instr=" SEQ Figure \* ARABIC \s 1 ">
        <w:r w:rsidR="00C301D0">
          <w:rPr>
            <w:noProof/>
          </w:rPr>
          <w:t>3</w:t>
        </w:r>
      </w:fldSimple>
      <w:bookmarkEnd w:id="116"/>
      <w:r w:rsidRPr="003900A2">
        <w:t>:</w:t>
      </w:r>
      <w:r w:rsidR="004F1B4F" w:rsidRPr="003900A2">
        <w:t xml:space="preserve"> Residential Low-Income Program PY7 Total MWh</w:t>
      </w:r>
      <w:r w:rsidR="003F5DF4">
        <w:t>/yr</w:t>
      </w:r>
      <w:r w:rsidR="004F1B4F" w:rsidRPr="003900A2">
        <w:t xml:space="preserve"> Savings by EDC</w:t>
      </w:r>
      <w:bookmarkEnd w:id="117"/>
      <w:bookmarkEnd w:id="118"/>
      <w:r w:rsidR="004F1B4F" w:rsidRPr="003900A2">
        <w:t xml:space="preserve"> </w:t>
      </w:r>
    </w:p>
    <w:p w:rsidR="004F1B4F" w:rsidRDefault="00D900B5" w:rsidP="004F1B4F">
      <w:pPr>
        <w:spacing w:after="120"/>
        <w:jc w:val="center"/>
      </w:pPr>
      <w:r>
        <w:rPr>
          <w:noProof/>
        </w:rPr>
        <w:drawing>
          <wp:inline distT="0" distB="0" distL="0" distR="0" wp14:anchorId="6BA1F19D" wp14:editId="3EBF174F">
            <wp:extent cx="5788550" cy="3026222"/>
            <wp:effectExtent l="0" t="0" r="3175" b="317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2787" cy="3028437"/>
                    </a:xfrm>
                    <a:prstGeom prst="rect">
                      <a:avLst/>
                    </a:prstGeom>
                    <a:noFill/>
                  </pic:spPr>
                </pic:pic>
              </a:graphicData>
            </a:graphic>
          </wp:inline>
        </w:drawing>
      </w:r>
    </w:p>
    <w:p w:rsidR="00A67631" w:rsidRPr="00A67631" w:rsidRDefault="00A67631" w:rsidP="00A67631">
      <w:bookmarkStart w:id="119" w:name="_Ref472430681"/>
      <w:bookmarkStart w:id="120" w:name="_Toc472472212"/>
    </w:p>
    <w:p w:rsidR="004F1B4F" w:rsidRPr="003900A2" w:rsidRDefault="0036462C" w:rsidP="003900A2">
      <w:pPr>
        <w:pStyle w:val="Caption"/>
      </w:pPr>
      <w:bookmarkStart w:id="121" w:name="_Ref473707472"/>
      <w:bookmarkStart w:id="122" w:name="_Toc476914025"/>
      <w:r w:rsidRPr="003900A2">
        <w:t xml:space="preserve">Figure </w:t>
      </w:r>
      <w:fldSimple w:instr=" STYLEREF 1 \s ">
        <w:r w:rsidR="00C301D0">
          <w:rPr>
            <w:noProof/>
          </w:rPr>
          <w:t>2</w:t>
        </w:r>
      </w:fldSimple>
      <w:r w:rsidR="00DA1ADA">
        <w:noBreakHyphen/>
      </w:r>
      <w:fldSimple w:instr=" SEQ Figure \* ARABIC \s 1 ">
        <w:r w:rsidR="00C301D0">
          <w:rPr>
            <w:noProof/>
          </w:rPr>
          <w:t>4</w:t>
        </w:r>
      </w:fldSimple>
      <w:bookmarkEnd w:id="119"/>
      <w:bookmarkEnd w:id="121"/>
      <w:r w:rsidRPr="003900A2">
        <w:t>:</w:t>
      </w:r>
      <w:r w:rsidR="004F1B4F" w:rsidRPr="003900A2">
        <w:t xml:space="preserve"> Residential Low-Income PY7 Total MW Savings by EDC</w:t>
      </w:r>
      <w:bookmarkEnd w:id="120"/>
      <w:bookmarkEnd w:id="122"/>
    </w:p>
    <w:p w:rsidR="004F1B4F" w:rsidRDefault="0071791F" w:rsidP="004F1B4F">
      <w:pPr>
        <w:spacing w:after="120"/>
      </w:pPr>
      <w:r>
        <w:rPr>
          <w:noProof/>
        </w:rPr>
        <w:drawing>
          <wp:inline distT="0" distB="0" distL="0" distR="0" wp14:anchorId="43EE1488" wp14:editId="1F966F4A">
            <wp:extent cx="5755639" cy="262393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5360" cy="2646597"/>
                    </a:xfrm>
                    <a:prstGeom prst="rect">
                      <a:avLst/>
                    </a:prstGeom>
                    <a:noFill/>
                  </pic:spPr>
                </pic:pic>
              </a:graphicData>
            </a:graphic>
          </wp:inline>
        </w:drawing>
      </w:r>
    </w:p>
    <w:p w:rsidR="004F1B4F" w:rsidRDefault="007B7BD7" w:rsidP="004F1B4F">
      <w:r>
        <w:fldChar w:fldCharType="begin"/>
      </w:r>
      <w:r>
        <w:instrText xml:space="preserve"> REF _Ref472430700 \h </w:instrText>
      </w:r>
      <w:r>
        <w:fldChar w:fldCharType="separate"/>
      </w:r>
      <w:r w:rsidR="000F5A29" w:rsidRPr="0071791F">
        <w:t xml:space="preserve">Figure </w:t>
      </w:r>
      <w:r w:rsidR="000F5A29">
        <w:rPr>
          <w:noProof/>
        </w:rPr>
        <w:t>2</w:t>
      </w:r>
      <w:r w:rsidR="000F5A29">
        <w:noBreakHyphen/>
      </w:r>
      <w:r w:rsidR="000F5A29">
        <w:rPr>
          <w:noProof/>
        </w:rPr>
        <w:t>5</w:t>
      </w:r>
      <w:r>
        <w:fldChar w:fldCharType="end"/>
      </w:r>
      <w:r>
        <w:t xml:space="preserve">, </w:t>
      </w:r>
      <w:r>
        <w:fldChar w:fldCharType="begin"/>
      </w:r>
      <w:r>
        <w:instrText xml:space="preserve"> REF _Ref472430707 \h </w:instrText>
      </w:r>
      <w:r>
        <w:fldChar w:fldCharType="separate"/>
      </w:r>
      <w:r w:rsidR="000F5A29" w:rsidRPr="0071791F">
        <w:t xml:space="preserve">Figure </w:t>
      </w:r>
      <w:r w:rsidR="000F5A29">
        <w:rPr>
          <w:noProof/>
        </w:rPr>
        <w:t>2</w:t>
      </w:r>
      <w:r w:rsidR="000F5A29">
        <w:noBreakHyphen/>
      </w:r>
      <w:r w:rsidR="000F5A29">
        <w:rPr>
          <w:noProof/>
        </w:rPr>
        <w:t>6</w:t>
      </w:r>
      <w:r>
        <w:fldChar w:fldCharType="end"/>
      </w:r>
      <w:r>
        <w:t xml:space="preserve">, and </w:t>
      </w:r>
      <w:r>
        <w:fldChar w:fldCharType="begin"/>
      </w:r>
      <w:r>
        <w:instrText xml:space="preserve"> REF _Ref473707555 \h </w:instrText>
      </w:r>
      <w:r>
        <w:fldChar w:fldCharType="separate"/>
      </w:r>
      <w:r w:rsidR="000F5A29" w:rsidRPr="0071791F">
        <w:t xml:space="preserve">Figure </w:t>
      </w:r>
      <w:r w:rsidR="000F5A29">
        <w:rPr>
          <w:noProof/>
        </w:rPr>
        <w:t>2</w:t>
      </w:r>
      <w:r w:rsidR="000F5A29">
        <w:noBreakHyphen/>
      </w:r>
      <w:r w:rsidR="000F5A29">
        <w:rPr>
          <w:noProof/>
        </w:rPr>
        <w:t>7</w:t>
      </w:r>
      <w:r>
        <w:fldChar w:fldCharType="end"/>
      </w:r>
      <w:r>
        <w:t xml:space="preserve"> </w:t>
      </w:r>
      <w:r w:rsidR="004F1B4F">
        <w:t xml:space="preserve">provide data on the number of on-site inspections, telephone inspections, and desk audits and database reviews, respectively, completed by the EDCs and their </w:t>
      </w:r>
      <w:r w:rsidR="004F1B4F">
        <w:rPr>
          <w:color w:val="000000"/>
        </w:rPr>
        <w:t>evaluation contractors</w:t>
      </w:r>
      <w:r w:rsidR="004F1B4F" w:rsidRPr="00D85274">
        <w:rPr>
          <w:color w:val="000000"/>
        </w:rPr>
        <w:t xml:space="preserve"> </w:t>
      </w:r>
      <w:r w:rsidR="004F1B4F">
        <w:t xml:space="preserve">to verify installations and program savings for low-income programs. Duquesne </w:t>
      </w:r>
      <w:r w:rsidR="00236CCA">
        <w:t xml:space="preserve">and </w:t>
      </w:r>
      <w:r w:rsidR="004F1B4F">
        <w:t>PECO</w:t>
      </w:r>
      <w:r w:rsidR="004F1B4F" w:rsidRPr="001D1F47">
        <w:t xml:space="preserve"> </w:t>
      </w:r>
      <w:r w:rsidR="004F1B4F">
        <w:t>relied extensively on</w:t>
      </w:r>
      <w:r w:rsidR="004F1B4F" w:rsidRPr="001D1F47">
        <w:t xml:space="preserve"> a TRM-based engineering review of the program</w:t>
      </w:r>
      <w:r w:rsidR="004F1B4F">
        <w:t>-</w:t>
      </w:r>
      <w:r w:rsidR="004F1B4F" w:rsidRPr="001D1F47">
        <w:t>tracking database,</w:t>
      </w:r>
      <w:r w:rsidR="004F1B4F">
        <w:t xml:space="preserve"> which </w:t>
      </w:r>
      <w:r w:rsidR="00236CCA">
        <w:t>they</w:t>
      </w:r>
      <w:r w:rsidR="004F1B4F" w:rsidRPr="001D1F47">
        <w:t xml:space="preserve"> </w:t>
      </w:r>
      <w:r w:rsidR="004F1B4F">
        <w:t>enhanced</w:t>
      </w:r>
      <w:r w:rsidR="004F1B4F" w:rsidRPr="001D1F47">
        <w:t xml:space="preserve"> with telephone </w:t>
      </w:r>
      <w:r w:rsidR="004F1B4F">
        <w:t xml:space="preserve">inspections. The four FirstEnergy EDCs and PPL used a combination of on-site inspections and desk audits. On-site inspections are the most accurate method to verify equipment installations and program savings because the auditor can view first-hand whether equipment is properly installed and operating. However, an on-site inspection is more expensive than a desk audit or a telephone interview. When deciding on the best technique to use for verifying savings from low-income programs, </w:t>
      </w:r>
      <w:r w:rsidR="004F1B4F">
        <w:lastRenderedPageBreak/>
        <w:t xml:space="preserve">one needs to consider the value of information and the relative proportion of total portfolio savings provided by low-income programs versus other programs. </w:t>
      </w:r>
    </w:p>
    <w:p w:rsidR="004F1B4F" w:rsidRDefault="004F1B4F" w:rsidP="004F1B4F"/>
    <w:p w:rsidR="004F1B4F" w:rsidRPr="0071791F" w:rsidRDefault="0036462C" w:rsidP="003900A2">
      <w:pPr>
        <w:pStyle w:val="Caption"/>
      </w:pPr>
      <w:bookmarkStart w:id="123" w:name="_Ref472430700"/>
      <w:bookmarkStart w:id="124" w:name="_Toc472472213"/>
      <w:bookmarkStart w:id="125" w:name="_Toc476914026"/>
      <w:r w:rsidRPr="0071791F">
        <w:t xml:space="preserve">Figure </w:t>
      </w:r>
      <w:fldSimple w:instr=" STYLEREF 1 \s ">
        <w:r w:rsidR="00C301D0">
          <w:rPr>
            <w:noProof/>
          </w:rPr>
          <w:t>2</w:t>
        </w:r>
      </w:fldSimple>
      <w:r w:rsidR="00DA1ADA">
        <w:noBreakHyphen/>
      </w:r>
      <w:fldSimple w:instr=" SEQ Figure \* ARABIC \s 1 ">
        <w:r w:rsidR="00C301D0">
          <w:rPr>
            <w:noProof/>
          </w:rPr>
          <w:t>5</w:t>
        </w:r>
      </w:fldSimple>
      <w:bookmarkEnd w:id="123"/>
      <w:r w:rsidRPr="0071791F">
        <w:t>:</w:t>
      </w:r>
      <w:r w:rsidR="004F1B4F" w:rsidRPr="0071791F">
        <w:t xml:space="preserve"> Number of PY7 Residential Low-Income Program On-Site Inspections Completed by EDC</w:t>
      </w:r>
      <w:bookmarkEnd w:id="124"/>
      <w:bookmarkEnd w:id="125"/>
    </w:p>
    <w:p w:rsidR="004F1B4F" w:rsidRDefault="0071791F" w:rsidP="004F1B4F">
      <w:pPr>
        <w:rPr>
          <w:rFonts w:ascii="Century Gothic" w:hAnsi="Century Gothic"/>
          <w:b/>
          <w:sz w:val="18"/>
          <w:szCs w:val="18"/>
        </w:rPr>
      </w:pPr>
      <w:r w:rsidRPr="0071791F">
        <w:rPr>
          <w:rFonts w:ascii="Century Gothic" w:hAnsi="Century Gothic"/>
          <w:b/>
          <w:noProof/>
          <w:sz w:val="18"/>
          <w:szCs w:val="18"/>
        </w:rPr>
        <w:drawing>
          <wp:inline distT="0" distB="0" distL="0" distR="0" wp14:anchorId="6938211A" wp14:editId="295ADDA1">
            <wp:extent cx="5796501" cy="2585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9186" cy="2608495"/>
                    </a:xfrm>
                    <a:prstGeom prst="rect">
                      <a:avLst/>
                    </a:prstGeom>
                    <a:noFill/>
                  </pic:spPr>
                </pic:pic>
              </a:graphicData>
            </a:graphic>
          </wp:inline>
        </w:drawing>
      </w:r>
    </w:p>
    <w:p w:rsidR="0071791F" w:rsidRPr="0071791F" w:rsidRDefault="0071791F" w:rsidP="004F1B4F">
      <w:pPr>
        <w:rPr>
          <w:rFonts w:ascii="Century Gothic" w:hAnsi="Century Gothic"/>
          <w:b/>
          <w:sz w:val="18"/>
          <w:szCs w:val="18"/>
        </w:rPr>
      </w:pPr>
    </w:p>
    <w:p w:rsidR="0071791F" w:rsidRPr="0071791F" w:rsidRDefault="0071791F" w:rsidP="004F1B4F">
      <w:pPr>
        <w:rPr>
          <w:rFonts w:ascii="Century Gothic" w:hAnsi="Century Gothic"/>
          <w:b/>
          <w:sz w:val="18"/>
          <w:szCs w:val="18"/>
        </w:rPr>
      </w:pPr>
    </w:p>
    <w:p w:rsidR="004F1B4F" w:rsidRPr="0071791F" w:rsidRDefault="0036462C" w:rsidP="003900A2">
      <w:pPr>
        <w:pStyle w:val="Caption"/>
      </w:pPr>
      <w:bookmarkStart w:id="126" w:name="_Ref472430707"/>
      <w:bookmarkStart w:id="127" w:name="_Toc472472214"/>
      <w:bookmarkStart w:id="128" w:name="_Toc476914027"/>
      <w:r w:rsidRPr="0071791F">
        <w:t xml:space="preserve">Figure </w:t>
      </w:r>
      <w:fldSimple w:instr=" STYLEREF 1 \s ">
        <w:r w:rsidR="00C301D0">
          <w:rPr>
            <w:noProof/>
          </w:rPr>
          <w:t>2</w:t>
        </w:r>
      </w:fldSimple>
      <w:r w:rsidR="00DA1ADA">
        <w:noBreakHyphen/>
      </w:r>
      <w:fldSimple w:instr=" SEQ Figure \* ARABIC \s 1 ">
        <w:r w:rsidR="00C301D0">
          <w:rPr>
            <w:noProof/>
          </w:rPr>
          <w:t>6</w:t>
        </w:r>
      </w:fldSimple>
      <w:bookmarkEnd w:id="126"/>
      <w:r w:rsidRPr="0071791F">
        <w:t>:</w:t>
      </w:r>
      <w:r w:rsidR="004F1B4F" w:rsidRPr="0071791F">
        <w:t xml:space="preserve"> Number of PY7 Residential Low-Income Program Telephone Inspections Completed by EDC</w:t>
      </w:r>
      <w:bookmarkEnd w:id="127"/>
      <w:bookmarkEnd w:id="128"/>
    </w:p>
    <w:p w:rsidR="004F1B4F" w:rsidRPr="0071791F" w:rsidRDefault="0071791F" w:rsidP="004F1B4F">
      <w:pPr>
        <w:spacing w:after="120"/>
        <w:jc w:val="center"/>
      </w:pPr>
      <w:r>
        <w:rPr>
          <w:noProof/>
        </w:rPr>
        <w:drawing>
          <wp:inline distT="0" distB="0" distL="0" distR="0" wp14:anchorId="1DF534A5" wp14:editId="62F15889">
            <wp:extent cx="5557962" cy="2605012"/>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4811" cy="2608222"/>
                    </a:xfrm>
                    <a:prstGeom prst="rect">
                      <a:avLst/>
                    </a:prstGeom>
                    <a:noFill/>
                  </pic:spPr>
                </pic:pic>
              </a:graphicData>
            </a:graphic>
          </wp:inline>
        </w:drawing>
      </w:r>
    </w:p>
    <w:p w:rsidR="004F1B4F" w:rsidRDefault="004F1B4F" w:rsidP="004F1B4F"/>
    <w:p w:rsidR="008A7824" w:rsidRDefault="008A7824" w:rsidP="004F1B4F"/>
    <w:p w:rsidR="008A7824" w:rsidRDefault="008A7824" w:rsidP="004F1B4F"/>
    <w:p w:rsidR="008A7824" w:rsidRDefault="008A7824" w:rsidP="004F1B4F"/>
    <w:p w:rsidR="008A7824" w:rsidRDefault="008A7824" w:rsidP="004F1B4F"/>
    <w:p w:rsidR="008A7824" w:rsidRDefault="008A7824" w:rsidP="004F1B4F"/>
    <w:p w:rsidR="008A7824" w:rsidRDefault="008A7824" w:rsidP="004F1B4F"/>
    <w:p w:rsidR="008A7824" w:rsidRDefault="008A7824" w:rsidP="004F1B4F"/>
    <w:p w:rsidR="008A7824" w:rsidRDefault="008A7824" w:rsidP="004F1B4F"/>
    <w:p w:rsidR="008A7824" w:rsidRDefault="008A7824" w:rsidP="004F1B4F"/>
    <w:p w:rsidR="004F1B4F" w:rsidRPr="003E0ABF" w:rsidRDefault="0036462C" w:rsidP="0036462C">
      <w:pPr>
        <w:pStyle w:val="Caption"/>
        <w:rPr>
          <w:b w:val="0"/>
          <w:noProof/>
        </w:rPr>
      </w:pPr>
      <w:bookmarkStart w:id="129" w:name="_Ref472430721"/>
      <w:bookmarkStart w:id="130" w:name="_Ref473205676"/>
      <w:bookmarkStart w:id="131" w:name="_Ref473707555"/>
      <w:bookmarkStart w:id="132" w:name="_Toc472472215"/>
      <w:bookmarkStart w:id="133" w:name="_Toc476914028"/>
      <w:r w:rsidRPr="0071791F">
        <w:lastRenderedPageBreak/>
        <w:t xml:space="preserve">Figure </w:t>
      </w:r>
      <w:fldSimple w:instr=" STYLEREF 1 \s ">
        <w:r w:rsidR="00C301D0">
          <w:rPr>
            <w:noProof/>
          </w:rPr>
          <w:t>2</w:t>
        </w:r>
      </w:fldSimple>
      <w:r w:rsidR="00DA1ADA">
        <w:noBreakHyphen/>
      </w:r>
      <w:fldSimple w:instr=" SEQ Figure \* ARABIC \s 1 ">
        <w:r w:rsidR="00C301D0">
          <w:rPr>
            <w:noProof/>
          </w:rPr>
          <w:t>7</w:t>
        </w:r>
      </w:fldSimple>
      <w:bookmarkEnd w:id="129"/>
      <w:bookmarkEnd w:id="130"/>
      <w:bookmarkEnd w:id="131"/>
      <w:r w:rsidRPr="0071791F">
        <w:t xml:space="preserve">: </w:t>
      </w:r>
      <w:bookmarkEnd w:id="132"/>
      <w:r w:rsidR="00D9014E">
        <w:t>Percent Desk Audits versus Database Reviews</w:t>
      </w:r>
      <w:bookmarkEnd w:id="133"/>
    </w:p>
    <w:p w:rsidR="002E578A" w:rsidRDefault="000850C5" w:rsidP="0036462C">
      <w:pPr>
        <w:pStyle w:val="Caption"/>
        <w:rPr>
          <w:rFonts w:asciiTheme="minorHAnsi" w:hAnsiTheme="minorHAnsi"/>
        </w:rPr>
      </w:pPr>
      <w:r>
        <w:rPr>
          <w:rFonts w:asciiTheme="minorHAnsi" w:hAnsiTheme="minorHAnsi"/>
          <w:noProof/>
        </w:rPr>
        <w:drawing>
          <wp:inline distT="0" distB="0" distL="0" distR="0" wp14:anchorId="5FDE5B41" wp14:editId="705FC47F">
            <wp:extent cx="5913755"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3755" cy="2743200"/>
                    </a:xfrm>
                    <a:prstGeom prst="rect">
                      <a:avLst/>
                    </a:prstGeom>
                    <a:noFill/>
                  </pic:spPr>
                </pic:pic>
              </a:graphicData>
            </a:graphic>
          </wp:inline>
        </w:drawing>
      </w:r>
    </w:p>
    <w:p w:rsidR="004F1B4F" w:rsidRPr="002E578A" w:rsidRDefault="003900A2" w:rsidP="002E578A">
      <w:r w:rsidRPr="002E578A">
        <w:fldChar w:fldCharType="begin"/>
      </w:r>
      <w:r w:rsidRPr="002E578A">
        <w:instrText xml:space="preserve"> REF _Ref472430745 \h  \* MERGEFORMAT </w:instrText>
      </w:r>
      <w:r w:rsidRPr="002E578A">
        <w:fldChar w:fldCharType="separate"/>
      </w:r>
      <w:r w:rsidR="00A874AC" w:rsidRPr="002E578A">
        <w:t>Figure 2</w:t>
      </w:r>
      <w:r w:rsidR="00A874AC" w:rsidRPr="002E578A">
        <w:noBreakHyphen/>
        <w:t>8</w:t>
      </w:r>
      <w:r w:rsidRPr="002E578A">
        <w:fldChar w:fldCharType="end"/>
      </w:r>
      <w:r w:rsidR="004F1B4F" w:rsidRPr="002E578A">
        <w:t xml:space="preserve"> </w:t>
      </w:r>
      <w:r w:rsidR="00177FD1" w:rsidRPr="002E578A">
        <w:t xml:space="preserve">shows </w:t>
      </w:r>
      <w:r w:rsidR="004F1B4F" w:rsidRPr="002E578A">
        <w:t>the</w:t>
      </w:r>
      <w:r w:rsidR="00177FD1" w:rsidRPr="002E578A">
        <w:t xml:space="preserve"> combined</w:t>
      </w:r>
      <w:r w:rsidR="004F1B4F" w:rsidRPr="002E578A">
        <w:t xml:space="preserve"> number of on-site and telephone inspections that were completed by</w:t>
      </w:r>
      <w:r w:rsidR="00177FD1" w:rsidRPr="002E578A">
        <w:t xml:space="preserve"> each</w:t>
      </w:r>
      <w:r w:rsidR="004F1B4F" w:rsidRPr="002E578A">
        <w:t xml:space="preserve"> EDC</w:t>
      </w:r>
      <w:r w:rsidR="00177FD1" w:rsidRPr="002E578A">
        <w:t xml:space="preserve">, and </w:t>
      </w:r>
      <w:r w:rsidR="00177FD1" w:rsidRPr="002E578A">
        <w:rPr>
          <w:b/>
          <w:bCs/>
          <w:sz w:val="18"/>
          <w:szCs w:val="18"/>
        </w:rPr>
        <w:fldChar w:fldCharType="begin"/>
      </w:r>
      <w:r w:rsidR="00177FD1" w:rsidRPr="002E578A">
        <w:instrText xml:space="preserve"> REF _Ref473205761 \h </w:instrText>
      </w:r>
      <w:r w:rsidR="002E578A">
        <w:instrText xml:space="preserve"> \* MERGEFORMAT </w:instrText>
      </w:r>
      <w:r w:rsidR="00177FD1" w:rsidRPr="002E578A">
        <w:rPr>
          <w:b/>
          <w:bCs/>
          <w:sz w:val="18"/>
          <w:szCs w:val="18"/>
        </w:rPr>
      </w:r>
      <w:r w:rsidR="00177FD1" w:rsidRPr="002E578A">
        <w:rPr>
          <w:b/>
          <w:bCs/>
          <w:sz w:val="18"/>
          <w:szCs w:val="18"/>
        </w:rPr>
        <w:fldChar w:fldCharType="separate"/>
      </w:r>
      <w:r w:rsidR="00A874AC" w:rsidRPr="002E578A">
        <w:t xml:space="preserve">Figure </w:t>
      </w:r>
      <w:r w:rsidR="00A874AC" w:rsidRPr="002E578A">
        <w:rPr>
          <w:noProof/>
        </w:rPr>
        <w:t>2</w:t>
      </w:r>
      <w:r w:rsidR="00A874AC" w:rsidRPr="002E578A">
        <w:noBreakHyphen/>
      </w:r>
      <w:r w:rsidR="00A874AC" w:rsidRPr="002E578A">
        <w:rPr>
          <w:noProof/>
        </w:rPr>
        <w:t>9</w:t>
      </w:r>
      <w:r w:rsidR="00177FD1" w:rsidRPr="002E578A">
        <w:fldChar w:fldCharType="end"/>
      </w:r>
      <w:r w:rsidR="00177FD1" w:rsidRPr="00AE52DC">
        <w:t xml:space="preserve"> </w:t>
      </w:r>
      <w:r w:rsidR="00177FD1">
        <w:t xml:space="preserve">shows </w:t>
      </w:r>
      <w:r w:rsidR="00FE4EF2">
        <w:t>each EDC’s total low income program on-site and telephone inspections</w:t>
      </w:r>
      <w:r w:rsidR="00177FD1">
        <w:t xml:space="preserve"> as </w:t>
      </w:r>
      <w:r w:rsidR="004F1B4F">
        <w:t>a percentage of the</w:t>
      </w:r>
      <w:r w:rsidR="004F1B4F" w:rsidRPr="00AE52DC">
        <w:t xml:space="preserve"> number of </w:t>
      </w:r>
      <w:r w:rsidR="00FE4EF2">
        <w:t xml:space="preserve">low income program </w:t>
      </w:r>
      <w:r w:rsidR="004F1B4F" w:rsidRPr="00AE52DC">
        <w:t xml:space="preserve">participants. </w:t>
      </w:r>
      <w:r w:rsidR="004F1B4F">
        <w:t>T</w:t>
      </w:r>
      <w:r w:rsidR="004F1B4F" w:rsidRPr="00AE52DC">
        <w:t>he percent</w:t>
      </w:r>
      <w:r w:rsidR="004F1B4F">
        <w:t>age</w:t>
      </w:r>
      <w:r w:rsidR="004F1B4F" w:rsidRPr="00AE52DC">
        <w:t xml:space="preserve"> of participants receiving either a telephone or on-site inspection varie</w:t>
      </w:r>
      <w:r w:rsidR="004F1B4F">
        <w:t>d</w:t>
      </w:r>
      <w:r w:rsidR="004F1B4F" w:rsidRPr="00AE52DC">
        <w:t xml:space="preserve"> significantly </w:t>
      </w:r>
      <w:r w:rsidR="004F1B4F">
        <w:t>among</w:t>
      </w:r>
      <w:r w:rsidR="004F1B4F" w:rsidRPr="00AE52DC">
        <w:t xml:space="preserve"> EDC</w:t>
      </w:r>
      <w:r w:rsidR="004F1B4F">
        <w:t>s</w:t>
      </w:r>
      <w:r w:rsidR="004F1B4F" w:rsidRPr="00AE52DC">
        <w:t xml:space="preserve">. Going forward, the Phase II SWE Team recommends that the TUS staff consider establishing clearer guidelines for the number of telephone and on-site inspections that </w:t>
      </w:r>
      <w:r w:rsidR="0021712C">
        <w:t>should</w:t>
      </w:r>
      <w:r w:rsidR="004F1B4F" w:rsidRPr="00AE52DC">
        <w:t xml:space="preserve"> be performed for residential </w:t>
      </w:r>
      <w:r w:rsidR="004F1B4F">
        <w:t xml:space="preserve">low-income </w:t>
      </w:r>
      <w:r w:rsidR="004F1B4F" w:rsidRPr="00AE52DC">
        <w:t xml:space="preserve">programs.  </w:t>
      </w:r>
      <w:r w:rsidR="00DF2DB6">
        <w:t>Though as stated earlier in this report, wh</w:t>
      </w:r>
      <w:r w:rsidR="00DF2DB6" w:rsidRPr="0061022A">
        <w:t>en deciding on the best technique to use for verifying savings from low-income programs, one needs to consider the value of information and the relative proportion of total portfolio savings provided by low-income programs versus other programs</w:t>
      </w:r>
      <w:r w:rsidR="00DF2DB6">
        <w:t>.</w:t>
      </w:r>
    </w:p>
    <w:p w:rsidR="002E578A" w:rsidRPr="00AE52DC" w:rsidRDefault="002E578A" w:rsidP="004F1B4F"/>
    <w:p w:rsidR="004F1B4F" w:rsidRPr="003900A2" w:rsidRDefault="0036462C" w:rsidP="003900A2">
      <w:pPr>
        <w:pStyle w:val="Caption"/>
      </w:pPr>
      <w:bookmarkStart w:id="134" w:name="_Ref472430745"/>
      <w:bookmarkStart w:id="135" w:name="_Toc472472216"/>
      <w:bookmarkStart w:id="136" w:name="_Toc476914029"/>
      <w:r w:rsidRPr="003900A2">
        <w:t xml:space="preserve">Figure </w:t>
      </w:r>
      <w:fldSimple w:instr=" STYLEREF 1 \s ">
        <w:r w:rsidR="00C301D0">
          <w:rPr>
            <w:noProof/>
          </w:rPr>
          <w:t>2</w:t>
        </w:r>
      </w:fldSimple>
      <w:r w:rsidR="00DA1ADA">
        <w:noBreakHyphen/>
      </w:r>
      <w:fldSimple w:instr=" SEQ Figure \* ARABIC \s 1 ">
        <w:r w:rsidR="00C301D0">
          <w:rPr>
            <w:noProof/>
          </w:rPr>
          <w:t>8</w:t>
        </w:r>
      </w:fldSimple>
      <w:bookmarkEnd w:id="134"/>
      <w:r w:rsidRPr="003900A2">
        <w:t>:</w:t>
      </w:r>
      <w:r w:rsidR="004F1B4F" w:rsidRPr="003900A2">
        <w:t xml:space="preserve"> Number of PY7 Low-Income Combined On-Site and Telephone Inspections Completed by EDC</w:t>
      </w:r>
      <w:bookmarkEnd w:id="135"/>
      <w:bookmarkEnd w:id="136"/>
    </w:p>
    <w:p w:rsidR="004F1B4F" w:rsidRDefault="00373829" w:rsidP="004F1B4F">
      <w:pPr>
        <w:spacing w:after="120"/>
        <w:jc w:val="center"/>
      </w:pPr>
      <w:r>
        <w:rPr>
          <w:noProof/>
        </w:rPr>
        <w:drawing>
          <wp:inline distT="0" distB="0" distL="0" distR="0" wp14:anchorId="25022DF4" wp14:editId="5FA9C02E">
            <wp:extent cx="5797550"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7550" cy="2743200"/>
                    </a:xfrm>
                    <a:prstGeom prst="rect">
                      <a:avLst/>
                    </a:prstGeom>
                    <a:noFill/>
                  </pic:spPr>
                </pic:pic>
              </a:graphicData>
            </a:graphic>
          </wp:inline>
        </w:drawing>
      </w:r>
    </w:p>
    <w:p w:rsidR="00B30A2F" w:rsidRDefault="00B30A2F" w:rsidP="0036462C">
      <w:pPr>
        <w:pStyle w:val="Caption"/>
      </w:pPr>
      <w:bookmarkStart w:id="137" w:name="_Ref472430750"/>
      <w:bookmarkStart w:id="138" w:name="_Ref473205761"/>
      <w:bookmarkStart w:id="139" w:name="_Toc472472217"/>
    </w:p>
    <w:p w:rsidR="00B30A2F" w:rsidRDefault="00B30A2F" w:rsidP="0036462C">
      <w:pPr>
        <w:pStyle w:val="Caption"/>
      </w:pPr>
    </w:p>
    <w:p w:rsidR="004F1B4F" w:rsidRPr="003A6AF7" w:rsidRDefault="0036462C" w:rsidP="0036462C">
      <w:pPr>
        <w:pStyle w:val="Caption"/>
        <w:rPr>
          <w:b w:val="0"/>
        </w:rPr>
      </w:pPr>
      <w:bookmarkStart w:id="140" w:name="_Toc476914030"/>
      <w:r w:rsidRPr="003900A2">
        <w:lastRenderedPageBreak/>
        <w:t xml:space="preserve">Figure </w:t>
      </w:r>
      <w:fldSimple w:instr=" STYLEREF 1 \s ">
        <w:r w:rsidR="00C301D0">
          <w:rPr>
            <w:noProof/>
          </w:rPr>
          <w:t>2</w:t>
        </w:r>
      </w:fldSimple>
      <w:r w:rsidR="00DA1ADA">
        <w:noBreakHyphen/>
      </w:r>
      <w:fldSimple w:instr=" SEQ Figure \* ARABIC \s 1 ">
        <w:r w:rsidR="00C301D0">
          <w:rPr>
            <w:noProof/>
          </w:rPr>
          <w:t>9</w:t>
        </w:r>
      </w:fldSimple>
      <w:bookmarkEnd w:id="137"/>
      <w:bookmarkEnd w:id="138"/>
      <w:r w:rsidRPr="003900A2">
        <w:t>:</w:t>
      </w:r>
      <w:r w:rsidR="004F1B4F" w:rsidRPr="003900A2">
        <w:t xml:space="preserve"> PY7 Low-Income Combined On-Site and Telephone Inspections as a Percentage of Participant</w:t>
      </w:r>
      <w:r w:rsidR="004F1B4F" w:rsidRPr="003A6AF7">
        <w:t>s</w:t>
      </w:r>
      <w:bookmarkEnd w:id="139"/>
      <w:bookmarkEnd w:id="140"/>
    </w:p>
    <w:p w:rsidR="004F1B4F" w:rsidRDefault="00373829" w:rsidP="004F1B4F">
      <w:pPr>
        <w:spacing w:after="120"/>
        <w:jc w:val="center"/>
      </w:pPr>
      <w:r>
        <w:rPr>
          <w:noProof/>
        </w:rPr>
        <w:drawing>
          <wp:inline distT="0" distB="0" distL="0" distR="0" wp14:anchorId="0E3E9D0D" wp14:editId="131BA443">
            <wp:extent cx="5565913" cy="2627841"/>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7665" cy="2628668"/>
                    </a:xfrm>
                    <a:prstGeom prst="rect">
                      <a:avLst/>
                    </a:prstGeom>
                    <a:noFill/>
                  </pic:spPr>
                </pic:pic>
              </a:graphicData>
            </a:graphic>
          </wp:inline>
        </w:drawing>
      </w:r>
    </w:p>
    <w:p w:rsidR="00B0359A" w:rsidRDefault="00B0359A" w:rsidP="004F1B4F">
      <w:pPr>
        <w:rPr>
          <w:highlight w:val="yellow"/>
        </w:rPr>
      </w:pPr>
    </w:p>
    <w:p w:rsidR="004F1B4F" w:rsidRDefault="003900A2" w:rsidP="004F1B4F">
      <w:r>
        <w:rPr>
          <w:highlight w:val="yellow"/>
        </w:rPr>
        <w:fldChar w:fldCharType="begin"/>
      </w:r>
      <w:r>
        <w:instrText xml:space="preserve"> REF _Ref472430766 \h </w:instrText>
      </w:r>
      <w:r>
        <w:rPr>
          <w:highlight w:val="yellow"/>
        </w:rPr>
      </w:r>
      <w:r>
        <w:rPr>
          <w:highlight w:val="yellow"/>
        </w:rPr>
        <w:fldChar w:fldCharType="separate"/>
      </w:r>
      <w:r w:rsidR="00A874AC" w:rsidRPr="003900A2">
        <w:t xml:space="preserve">Figure </w:t>
      </w:r>
      <w:r w:rsidR="00A874AC">
        <w:rPr>
          <w:noProof/>
        </w:rPr>
        <w:t>2</w:t>
      </w:r>
      <w:r w:rsidR="00A874AC">
        <w:noBreakHyphen/>
      </w:r>
      <w:r w:rsidR="00A874AC">
        <w:rPr>
          <w:noProof/>
        </w:rPr>
        <w:t>10</w:t>
      </w:r>
      <w:r>
        <w:rPr>
          <w:highlight w:val="yellow"/>
        </w:rPr>
        <w:fldChar w:fldCharType="end"/>
      </w:r>
      <w:r w:rsidR="004F1B4F" w:rsidRPr="00AE52DC">
        <w:t xml:space="preserve"> </w:t>
      </w:r>
      <w:r w:rsidR="00177FD1">
        <w:t xml:space="preserve">shows </w:t>
      </w:r>
      <w:r w:rsidR="004F1B4F" w:rsidRPr="00AE52DC">
        <w:t xml:space="preserve">the </w:t>
      </w:r>
      <w:r w:rsidR="004F1B4F">
        <w:t>low-income p</w:t>
      </w:r>
      <w:r w:rsidR="004F1B4F" w:rsidRPr="00AE52DC">
        <w:t>rograms</w:t>
      </w:r>
      <w:r w:rsidR="004F1B4F">
        <w:t>’</w:t>
      </w:r>
      <w:r w:rsidR="004F1B4F" w:rsidRPr="00AE52DC">
        <w:t xml:space="preserve"> TRC </w:t>
      </w:r>
      <w:r w:rsidR="004F1B4F">
        <w:t>ratios</w:t>
      </w:r>
      <w:r w:rsidR="004F1B4F" w:rsidRPr="00AE52DC">
        <w:t xml:space="preserve"> by EDC for PY7. </w:t>
      </w:r>
      <w:r w:rsidR="004F1B4F">
        <w:t xml:space="preserve">The ratios </w:t>
      </w:r>
      <w:r w:rsidR="004F1B4F" w:rsidRPr="00AE52DC">
        <w:t xml:space="preserve">vary significantly, ranging from a low of </w:t>
      </w:r>
      <w:r w:rsidR="004F1B4F">
        <w:t>0</w:t>
      </w:r>
      <w:r w:rsidR="004F1B4F" w:rsidRPr="00AE52DC">
        <w:t xml:space="preserve">.25 for West Penn to a high of 2.8 for Duquesne. A major reason for the differences is that the measures and services offered vary significantly </w:t>
      </w:r>
      <w:r w:rsidR="004F1B4F">
        <w:t>among</w:t>
      </w:r>
      <w:r w:rsidR="004F1B4F" w:rsidRPr="00AE52DC">
        <w:t xml:space="preserve"> EDC</w:t>
      </w:r>
      <w:r w:rsidR="004F1B4F">
        <w:t>s</w:t>
      </w:r>
      <w:r w:rsidR="004F1B4F" w:rsidRPr="00AE52DC">
        <w:t>.</w:t>
      </w:r>
    </w:p>
    <w:p w:rsidR="004F1B4F" w:rsidRDefault="004F1B4F" w:rsidP="004F1B4F"/>
    <w:p w:rsidR="004F1B4F" w:rsidRPr="003900A2" w:rsidRDefault="0036462C" w:rsidP="00910A97">
      <w:pPr>
        <w:pStyle w:val="Caption"/>
      </w:pPr>
      <w:bookmarkStart w:id="141" w:name="_Ref472430766"/>
      <w:bookmarkStart w:id="142" w:name="_Toc472472218"/>
      <w:bookmarkStart w:id="143" w:name="_Toc476914031"/>
      <w:r w:rsidRPr="003900A2">
        <w:t xml:space="preserve">Figure </w:t>
      </w:r>
      <w:fldSimple w:instr=" STYLEREF 1 \s ">
        <w:r w:rsidR="00C301D0">
          <w:rPr>
            <w:noProof/>
          </w:rPr>
          <w:t>2</w:t>
        </w:r>
      </w:fldSimple>
      <w:r w:rsidR="00DA1ADA">
        <w:noBreakHyphen/>
      </w:r>
      <w:fldSimple w:instr=" SEQ Figure \* ARABIC \s 1 ">
        <w:r w:rsidR="00C301D0">
          <w:rPr>
            <w:noProof/>
          </w:rPr>
          <w:t>10</w:t>
        </w:r>
      </w:fldSimple>
      <w:bookmarkEnd w:id="141"/>
      <w:r w:rsidRPr="003900A2">
        <w:t>:</w:t>
      </w:r>
      <w:r w:rsidR="004F1B4F" w:rsidRPr="003900A2">
        <w:t xml:space="preserve"> PY7 Residential Low-Income Program TRC Ratios by EDC</w:t>
      </w:r>
      <w:bookmarkEnd w:id="142"/>
      <w:bookmarkEnd w:id="143"/>
    </w:p>
    <w:p w:rsidR="004F1B4F" w:rsidRDefault="00DF2DB6" w:rsidP="004F1B4F">
      <w:pPr>
        <w:spacing w:after="120"/>
        <w:rPr>
          <w:highlight w:val="yellow"/>
        </w:rPr>
      </w:pPr>
      <w:r>
        <w:rPr>
          <w:noProof/>
          <w:highlight w:val="yellow"/>
        </w:rPr>
        <w:drawing>
          <wp:inline distT="0" distB="0" distL="0" distR="0" wp14:anchorId="26795C15" wp14:editId="18CE5EE2">
            <wp:extent cx="6059805"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9805" cy="2743200"/>
                    </a:xfrm>
                    <a:prstGeom prst="rect">
                      <a:avLst/>
                    </a:prstGeom>
                    <a:noFill/>
                  </pic:spPr>
                </pic:pic>
              </a:graphicData>
            </a:graphic>
          </wp:inline>
        </w:drawing>
      </w:r>
    </w:p>
    <w:p w:rsidR="00E6042C" w:rsidRDefault="00E6042C" w:rsidP="004F1B4F"/>
    <w:p w:rsidR="004F1B4F" w:rsidRDefault="007B7BD7" w:rsidP="004F1B4F">
      <w:r>
        <w:fldChar w:fldCharType="begin"/>
      </w:r>
      <w:r>
        <w:instrText xml:space="preserve"> REF _Ref473707592 \h </w:instrText>
      </w:r>
      <w:r>
        <w:fldChar w:fldCharType="separate"/>
      </w:r>
      <w:r w:rsidR="000F5A29" w:rsidRPr="003900A2">
        <w:t xml:space="preserve">Figure </w:t>
      </w:r>
      <w:r w:rsidR="000F5A29">
        <w:rPr>
          <w:noProof/>
        </w:rPr>
        <w:t>2</w:t>
      </w:r>
      <w:r w:rsidR="000F5A29">
        <w:noBreakHyphen/>
      </w:r>
      <w:r w:rsidR="000F5A29">
        <w:rPr>
          <w:noProof/>
        </w:rPr>
        <w:t>11</w:t>
      </w:r>
      <w:r>
        <w:fldChar w:fldCharType="end"/>
      </w:r>
      <w:r>
        <w:t xml:space="preserve"> </w:t>
      </w:r>
      <w:r w:rsidR="004F1B4F" w:rsidRPr="00AE52DC">
        <w:t>compares the seven EDCs</w:t>
      </w:r>
      <w:r w:rsidR="004F1B4F">
        <w:t>’</w:t>
      </w:r>
      <w:r w:rsidR="004F1B4F" w:rsidRPr="00AE52DC">
        <w:t xml:space="preserve"> PY7 </w:t>
      </w:r>
      <w:r w:rsidR="00BF021A">
        <w:t xml:space="preserve">estimated </w:t>
      </w:r>
      <w:r w:rsidR="00BD5107">
        <w:t xml:space="preserve">expenditures in the EE&amp;C </w:t>
      </w:r>
      <w:r w:rsidR="003F5DF4">
        <w:t>Plan</w:t>
      </w:r>
      <w:r w:rsidR="00BD5107">
        <w:t xml:space="preserve">s </w:t>
      </w:r>
      <w:r w:rsidR="004F1B4F" w:rsidRPr="00AE52DC">
        <w:t xml:space="preserve">for </w:t>
      </w:r>
      <w:r w:rsidR="004F1B4F">
        <w:t xml:space="preserve">low-income </w:t>
      </w:r>
      <w:r w:rsidR="004F1B4F" w:rsidRPr="00AE52DC">
        <w:t xml:space="preserve">programs </w:t>
      </w:r>
      <w:r w:rsidR="004F1B4F">
        <w:t>with</w:t>
      </w:r>
      <w:r w:rsidR="004F1B4F" w:rsidRPr="00AE52DC">
        <w:t xml:space="preserve"> the actual expenditures </w:t>
      </w:r>
      <w:r w:rsidR="004F1B4F">
        <w:t xml:space="preserve">the programs </w:t>
      </w:r>
      <w:r w:rsidR="00935AEB">
        <w:t>incurred in PY7.</w:t>
      </w:r>
    </w:p>
    <w:p w:rsidR="00B0359A" w:rsidRDefault="00B0359A" w:rsidP="003900A2">
      <w:pPr>
        <w:pStyle w:val="Caption"/>
      </w:pPr>
      <w:bookmarkStart w:id="144" w:name="_Ref472430774"/>
      <w:bookmarkStart w:id="145" w:name="_Toc472472219"/>
    </w:p>
    <w:p w:rsidR="000F5A29" w:rsidRDefault="000F5A29" w:rsidP="000F5A29"/>
    <w:p w:rsidR="000F5A29" w:rsidRDefault="000F5A29" w:rsidP="000F5A29"/>
    <w:p w:rsidR="000F5A29" w:rsidRPr="000F5A29" w:rsidRDefault="000F5A29" w:rsidP="000F5A29"/>
    <w:p w:rsidR="00B0359A" w:rsidRDefault="00B0359A" w:rsidP="003900A2">
      <w:pPr>
        <w:pStyle w:val="Caption"/>
      </w:pPr>
    </w:p>
    <w:p w:rsidR="004F1B4F" w:rsidRPr="003900A2" w:rsidRDefault="0036462C" w:rsidP="003900A2">
      <w:pPr>
        <w:pStyle w:val="Caption"/>
      </w:pPr>
      <w:bookmarkStart w:id="146" w:name="_Ref473707592"/>
      <w:bookmarkStart w:id="147" w:name="_Toc476914032"/>
      <w:r w:rsidRPr="003900A2">
        <w:lastRenderedPageBreak/>
        <w:t xml:space="preserve">Figure </w:t>
      </w:r>
      <w:fldSimple w:instr=" STYLEREF 1 \s ">
        <w:r w:rsidR="00C301D0">
          <w:rPr>
            <w:noProof/>
          </w:rPr>
          <w:t>2</w:t>
        </w:r>
      </w:fldSimple>
      <w:r w:rsidR="00DA1ADA">
        <w:noBreakHyphen/>
      </w:r>
      <w:fldSimple w:instr=" SEQ Figure \* ARABIC \s 1 ">
        <w:r w:rsidR="00C301D0">
          <w:rPr>
            <w:noProof/>
          </w:rPr>
          <w:t>11</w:t>
        </w:r>
      </w:fldSimple>
      <w:bookmarkEnd w:id="144"/>
      <w:bookmarkEnd w:id="146"/>
      <w:r w:rsidRPr="003900A2">
        <w:t>:</w:t>
      </w:r>
      <w:r w:rsidR="004F1B4F" w:rsidRPr="003900A2">
        <w:t xml:space="preserve"> PY7 Residential Low-Income Program </w:t>
      </w:r>
      <w:r w:rsidR="00937B49">
        <w:t xml:space="preserve">EE&amp;C Plan </w:t>
      </w:r>
      <w:r w:rsidR="00BF021A">
        <w:t>E</w:t>
      </w:r>
      <w:r w:rsidR="00937B49">
        <w:t>stimate</w:t>
      </w:r>
      <w:r w:rsidR="00BD5107">
        <w:t xml:space="preserve">s </w:t>
      </w:r>
      <w:r w:rsidR="004F1B4F" w:rsidRPr="003900A2">
        <w:t>versus PY7 Actual Expenditures</w:t>
      </w:r>
      <w:bookmarkEnd w:id="145"/>
      <w:bookmarkEnd w:id="147"/>
    </w:p>
    <w:p w:rsidR="004F1B4F" w:rsidRDefault="00373829" w:rsidP="004F1B4F">
      <w:pPr>
        <w:spacing w:after="120"/>
        <w:jc w:val="center"/>
      </w:pPr>
      <w:r>
        <w:rPr>
          <w:noProof/>
        </w:rPr>
        <w:drawing>
          <wp:inline distT="0" distB="0" distL="0" distR="0" wp14:anchorId="401AC1FE" wp14:editId="727EF540">
            <wp:extent cx="5629275" cy="27336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4">
                      <a:extLst>
                        <a:ext uri="{28A0092B-C50C-407E-A947-70E740481C1C}">
                          <a14:useLocalDpi xmlns:a14="http://schemas.microsoft.com/office/drawing/2010/main" val="0"/>
                        </a:ext>
                      </a:extLst>
                    </a:blip>
                    <a:srcRect b="3796"/>
                    <a:stretch/>
                  </pic:blipFill>
                  <pic:spPr bwMode="auto">
                    <a:xfrm>
                      <a:off x="0" y="0"/>
                      <a:ext cx="5640406" cy="2739080"/>
                    </a:xfrm>
                    <a:prstGeom prst="rect">
                      <a:avLst/>
                    </a:prstGeom>
                    <a:noFill/>
                    <a:ln>
                      <a:noFill/>
                    </a:ln>
                    <a:extLst>
                      <a:ext uri="{53640926-AAD7-44D8-BBD7-CCE9431645EC}">
                        <a14:shadowObscured xmlns:a14="http://schemas.microsoft.com/office/drawing/2010/main"/>
                      </a:ext>
                    </a:extLst>
                  </pic:spPr>
                </pic:pic>
              </a:graphicData>
            </a:graphic>
          </wp:inline>
        </w:drawing>
      </w:r>
    </w:p>
    <w:p w:rsidR="007B7BD7" w:rsidRDefault="007B7BD7" w:rsidP="004F1B4F"/>
    <w:p w:rsidR="004F1B4F" w:rsidRDefault="00E711F9" w:rsidP="004F1B4F">
      <w:r>
        <w:t>During PY7, a</w:t>
      </w:r>
      <w:r w:rsidR="00935AEB" w:rsidRPr="00AE52DC">
        <w:t xml:space="preserve">ll of the EDCs spent less than they had budgeted for their </w:t>
      </w:r>
      <w:r w:rsidR="00935AEB">
        <w:t xml:space="preserve">low-income </w:t>
      </w:r>
      <w:r w:rsidR="00935AEB" w:rsidRPr="00AE52DC">
        <w:t xml:space="preserve">programs. </w:t>
      </w:r>
      <w:r w:rsidR="00935AEB">
        <w:t>A</w:t>
      </w:r>
      <w:r w:rsidR="00935AEB" w:rsidRPr="00AE52DC">
        <w:t>ctual expenditures</w:t>
      </w:r>
      <w:r w:rsidR="00935AEB">
        <w:t xml:space="preserve"> for </w:t>
      </w:r>
      <w:r w:rsidR="00935AEB" w:rsidRPr="00AE52DC">
        <w:t>PPL and PECO were slightly below their budget amounts</w:t>
      </w:r>
      <w:r w:rsidR="00935AEB">
        <w:t>,</w:t>
      </w:r>
      <w:r w:rsidR="00935AEB" w:rsidRPr="00AE52DC">
        <w:t xml:space="preserve"> but </w:t>
      </w:r>
      <w:r w:rsidR="00DF2DB6">
        <w:t>PPL met</w:t>
      </w:r>
      <w:r w:rsidR="00935AEB" w:rsidRPr="00AE52DC">
        <w:t xml:space="preserve"> their MWh savings goal</w:t>
      </w:r>
      <w:r w:rsidR="00DF2DB6">
        <w:t xml:space="preserve"> for PY7 and PECO </w:t>
      </w:r>
      <w:r>
        <w:t>achieved 95% of the forecast MWh savings for their program.</w:t>
      </w:r>
      <w:r w:rsidR="00935AEB" w:rsidRPr="00AE52DC">
        <w:t xml:space="preserve"> West Penn Power </w:t>
      </w:r>
      <w:r w:rsidR="00935AEB">
        <w:t>came</w:t>
      </w:r>
      <w:r w:rsidR="00935AEB" w:rsidRPr="00AE52DC">
        <w:t xml:space="preserve"> close to expending its entire </w:t>
      </w:r>
      <w:r w:rsidR="00935AEB">
        <w:t xml:space="preserve">low-income </w:t>
      </w:r>
      <w:r w:rsidR="00935AEB" w:rsidRPr="00AE52DC">
        <w:t>program budget</w:t>
      </w:r>
      <w:r w:rsidR="00935AEB">
        <w:t>,</w:t>
      </w:r>
      <w:r w:rsidR="00935AEB" w:rsidRPr="00AE52DC">
        <w:t xml:space="preserve"> but as illustrated in </w:t>
      </w:r>
      <w:r w:rsidR="00935AEB">
        <w:rPr>
          <w:highlight w:val="yellow"/>
        </w:rPr>
        <w:fldChar w:fldCharType="begin"/>
      </w:r>
      <w:r w:rsidR="00935AEB">
        <w:instrText xml:space="preserve"> REF _Ref472430782 \h </w:instrText>
      </w:r>
      <w:r w:rsidR="00935AEB">
        <w:rPr>
          <w:highlight w:val="yellow"/>
        </w:rPr>
      </w:r>
      <w:r w:rsidR="00935AEB">
        <w:rPr>
          <w:highlight w:val="yellow"/>
        </w:rPr>
        <w:fldChar w:fldCharType="separate"/>
      </w:r>
      <w:r w:rsidR="000F5A29" w:rsidRPr="003900A2">
        <w:t xml:space="preserve">Figure </w:t>
      </w:r>
      <w:r w:rsidR="000F5A29">
        <w:rPr>
          <w:noProof/>
        </w:rPr>
        <w:t>2</w:t>
      </w:r>
      <w:r w:rsidR="000F5A29">
        <w:noBreakHyphen/>
      </w:r>
      <w:r w:rsidR="000F5A29">
        <w:rPr>
          <w:noProof/>
        </w:rPr>
        <w:t>12</w:t>
      </w:r>
      <w:r w:rsidR="00935AEB">
        <w:rPr>
          <w:highlight w:val="yellow"/>
        </w:rPr>
        <w:fldChar w:fldCharType="end"/>
      </w:r>
      <w:r w:rsidR="00935AEB" w:rsidRPr="00AE52DC">
        <w:t xml:space="preserve">, </w:t>
      </w:r>
      <w:r w:rsidR="00935AEB">
        <w:t>verified</w:t>
      </w:r>
      <w:r w:rsidR="00935AEB" w:rsidRPr="00AE52DC">
        <w:t xml:space="preserve"> PY7 MWh savings </w:t>
      </w:r>
      <w:r w:rsidR="00935AEB">
        <w:t xml:space="preserve">were below Plan savings </w:t>
      </w:r>
      <w:r w:rsidR="00935AEB" w:rsidRPr="00AE52DC">
        <w:t>by 23%.</w:t>
      </w:r>
      <w:r w:rsidR="00935AEB">
        <w:t xml:space="preserve"> </w:t>
      </w:r>
      <w:r w:rsidR="003900A2">
        <w:rPr>
          <w:highlight w:val="yellow"/>
        </w:rPr>
        <w:fldChar w:fldCharType="begin"/>
      </w:r>
      <w:r w:rsidR="003900A2">
        <w:instrText xml:space="preserve"> REF _Ref472430782 \h </w:instrText>
      </w:r>
      <w:r w:rsidR="003900A2">
        <w:rPr>
          <w:highlight w:val="yellow"/>
        </w:rPr>
      </w:r>
      <w:r w:rsidR="003900A2">
        <w:rPr>
          <w:highlight w:val="yellow"/>
        </w:rPr>
        <w:fldChar w:fldCharType="separate"/>
      </w:r>
      <w:r w:rsidR="000F5A29" w:rsidRPr="003900A2">
        <w:t xml:space="preserve">Figure </w:t>
      </w:r>
      <w:r w:rsidR="000F5A29">
        <w:rPr>
          <w:noProof/>
        </w:rPr>
        <w:t>2</w:t>
      </w:r>
      <w:r w:rsidR="000F5A29">
        <w:noBreakHyphen/>
      </w:r>
      <w:r w:rsidR="000F5A29">
        <w:rPr>
          <w:noProof/>
        </w:rPr>
        <w:t>12</w:t>
      </w:r>
      <w:r w:rsidR="003900A2">
        <w:rPr>
          <w:highlight w:val="yellow"/>
        </w:rPr>
        <w:fldChar w:fldCharType="end"/>
      </w:r>
      <w:r w:rsidR="004F1B4F" w:rsidRPr="00AE52DC">
        <w:t xml:space="preserve"> </w:t>
      </w:r>
      <w:r w:rsidR="0071651D" w:rsidRPr="00AE52DC">
        <w:t xml:space="preserve">compares PY7 EE&amp;C </w:t>
      </w:r>
      <w:r w:rsidR="0071651D">
        <w:t>Plan estimates of</w:t>
      </w:r>
      <w:r w:rsidR="0071651D" w:rsidRPr="00AE52DC">
        <w:t xml:space="preserve"> </w:t>
      </w:r>
      <w:r w:rsidR="0071651D">
        <w:t>l</w:t>
      </w:r>
      <w:r w:rsidR="0071651D" w:rsidRPr="00AE52DC">
        <w:t>ow</w:t>
      </w:r>
      <w:r w:rsidR="0071651D">
        <w:t>-i</w:t>
      </w:r>
      <w:r w:rsidR="0071651D" w:rsidRPr="00AE52DC">
        <w:t>ncome MWh</w:t>
      </w:r>
      <w:r w:rsidR="0071651D">
        <w:t>/yr</w:t>
      </w:r>
      <w:r w:rsidR="0071651D" w:rsidRPr="00AE52DC">
        <w:t xml:space="preserve"> </w:t>
      </w:r>
      <w:r w:rsidR="0071651D">
        <w:t xml:space="preserve">planned </w:t>
      </w:r>
      <w:r w:rsidR="0071651D" w:rsidRPr="00AE52DC">
        <w:t xml:space="preserve">savings by EDC to PY7 </w:t>
      </w:r>
      <w:r w:rsidR="0071651D">
        <w:t>v</w:t>
      </w:r>
      <w:r w:rsidR="0071651D" w:rsidRPr="00AE52DC">
        <w:t>erified MWh</w:t>
      </w:r>
      <w:r w:rsidR="0071651D">
        <w:t>/yr</w:t>
      </w:r>
      <w:r w:rsidR="0071651D" w:rsidRPr="00AE52DC">
        <w:t xml:space="preserve"> savings. The data in this chart indicate</w:t>
      </w:r>
      <w:r w:rsidR="0071651D">
        <w:t xml:space="preserve"> that</w:t>
      </w:r>
      <w:r w:rsidR="0071651D" w:rsidRPr="00AE52DC">
        <w:t xml:space="preserve"> only P</w:t>
      </w:r>
      <w:r w:rsidR="0071651D">
        <w:t>PL</w:t>
      </w:r>
      <w:r w:rsidR="0071651D" w:rsidRPr="00AE52DC">
        <w:t xml:space="preserve"> exceeded its PY7 </w:t>
      </w:r>
      <w:r w:rsidR="0071651D">
        <w:t xml:space="preserve">planned </w:t>
      </w:r>
      <w:r w:rsidR="0071651D" w:rsidRPr="00AE52DC">
        <w:t xml:space="preserve">MWh </w:t>
      </w:r>
      <w:r w:rsidR="0071651D">
        <w:t>savings.</w:t>
      </w:r>
      <w:r w:rsidR="0071651D" w:rsidRPr="00AE52DC">
        <w:t xml:space="preserve"> </w:t>
      </w:r>
      <w:r w:rsidR="0071651D">
        <w:t>T</w:t>
      </w:r>
      <w:r w:rsidR="0071651D" w:rsidRPr="00AE52DC">
        <w:t xml:space="preserve">he remaining six EDCs missed their PY7 </w:t>
      </w:r>
      <w:r w:rsidR="0071651D">
        <w:t xml:space="preserve">planned savings </w:t>
      </w:r>
      <w:r w:rsidR="0071651D" w:rsidRPr="00AE52DC">
        <w:t>by 5</w:t>
      </w:r>
      <w:r w:rsidR="0071651D">
        <w:t>%</w:t>
      </w:r>
      <w:r w:rsidR="0071651D" w:rsidRPr="00AE52DC">
        <w:t xml:space="preserve"> to 53%</w:t>
      </w:r>
      <w:r w:rsidR="0071651D">
        <w:t>, though PPL, PECO and Duquesne all achieved their Phase II compliance goals</w:t>
      </w:r>
      <w:r w:rsidR="0071651D" w:rsidRPr="00AE52DC">
        <w:t>.</w:t>
      </w:r>
      <w:r w:rsidR="0071651D">
        <w:t xml:space="preserve"> Note that these are PY7 savings for the dedicated low-income programs, and not cumulative savings for </w:t>
      </w:r>
      <w:r>
        <w:t xml:space="preserve">all of </w:t>
      </w:r>
      <w:r w:rsidR="0071651D">
        <w:t xml:space="preserve">the </w:t>
      </w:r>
      <w:r>
        <w:t>P</w:t>
      </w:r>
      <w:r w:rsidR="0071651D">
        <w:t>hase</w:t>
      </w:r>
      <w:r>
        <w:t xml:space="preserve"> II</w:t>
      </w:r>
      <w:r w:rsidR="0071651D">
        <w:t>.</w:t>
      </w:r>
    </w:p>
    <w:p w:rsidR="004F1B4F" w:rsidRPr="00AE52DC" w:rsidRDefault="004F1B4F" w:rsidP="004F1B4F"/>
    <w:p w:rsidR="004F1B4F" w:rsidRPr="003900A2" w:rsidRDefault="0036462C" w:rsidP="003900A2">
      <w:pPr>
        <w:pStyle w:val="Caption"/>
        <w:rPr>
          <w:rFonts w:eastAsiaTheme="minorEastAsia"/>
        </w:rPr>
      </w:pPr>
      <w:bookmarkStart w:id="148" w:name="_Ref472430782"/>
      <w:bookmarkStart w:id="149" w:name="_Toc472472220"/>
      <w:bookmarkStart w:id="150" w:name="_Toc476914033"/>
      <w:r w:rsidRPr="003900A2">
        <w:t xml:space="preserve">Figure </w:t>
      </w:r>
      <w:fldSimple w:instr=" STYLEREF 1 \s ">
        <w:r w:rsidR="00C301D0">
          <w:rPr>
            <w:noProof/>
          </w:rPr>
          <w:t>2</w:t>
        </w:r>
      </w:fldSimple>
      <w:r w:rsidR="00DA1ADA">
        <w:noBreakHyphen/>
      </w:r>
      <w:fldSimple w:instr=" SEQ Figure \* ARABIC \s 1 ">
        <w:r w:rsidR="00C301D0">
          <w:rPr>
            <w:noProof/>
          </w:rPr>
          <w:t>12</w:t>
        </w:r>
      </w:fldSimple>
      <w:bookmarkEnd w:id="148"/>
      <w:r w:rsidRPr="003900A2">
        <w:t>:</w:t>
      </w:r>
      <w:r w:rsidR="004F1B4F" w:rsidRPr="003900A2">
        <w:t xml:space="preserve"> </w:t>
      </w:r>
      <w:r w:rsidR="004F1B4F" w:rsidRPr="003900A2">
        <w:rPr>
          <w:rFonts w:eastAsiaTheme="minorEastAsia"/>
        </w:rPr>
        <w:t xml:space="preserve">PY7 EE&amp;C Plan Low-Income Program </w:t>
      </w:r>
      <w:r w:rsidR="00937B49">
        <w:rPr>
          <w:rFonts w:eastAsiaTheme="minorEastAsia"/>
        </w:rPr>
        <w:t xml:space="preserve">EE&amp;C Plan Estimated </w:t>
      </w:r>
      <w:r w:rsidR="004F1B4F" w:rsidRPr="003900A2">
        <w:rPr>
          <w:rFonts w:eastAsiaTheme="minorEastAsia"/>
        </w:rPr>
        <w:t>MWh</w:t>
      </w:r>
      <w:r w:rsidR="00937B49">
        <w:rPr>
          <w:rFonts w:eastAsiaTheme="minorEastAsia"/>
        </w:rPr>
        <w:t>/yr</w:t>
      </w:r>
      <w:r w:rsidR="004F1B4F" w:rsidRPr="003900A2">
        <w:rPr>
          <w:rFonts w:eastAsiaTheme="minorEastAsia"/>
        </w:rPr>
        <w:t xml:space="preserve"> versus Verified MWh</w:t>
      </w:r>
      <w:r w:rsidR="00937B49">
        <w:rPr>
          <w:rFonts w:eastAsiaTheme="minorEastAsia"/>
        </w:rPr>
        <w:t>/yr</w:t>
      </w:r>
      <w:r w:rsidR="004F1B4F" w:rsidRPr="003900A2">
        <w:rPr>
          <w:rFonts w:eastAsiaTheme="minorEastAsia"/>
        </w:rPr>
        <w:t xml:space="preserve"> PY7 Savings</w:t>
      </w:r>
      <w:bookmarkEnd w:id="149"/>
      <w:bookmarkEnd w:id="150"/>
    </w:p>
    <w:p w:rsidR="004F1B4F" w:rsidRDefault="00BC1802" w:rsidP="004F1B4F">
      <w:pPr>
        <w:pStyle w:val="NormalWeb"/>
        <w:spacing w:before="0" w:beforeAutospacing="0" w:after="120" w:afterAutospacing="0"/>
        <w:jc w:val="center"/>
        <w:rPr>
          <w:highlight w:val="yellow"/>
        </w:rPr>
      </w:pPr>
      <w:r w:rsidRPr="0071651D">
        <w:rPr>
          <w:noProof/>
        </w:rPr>
        <w:drawing>
          <wp:inline distT="0" distB="0" distL="0" distR="0" wp14:anchorId="1FFE72E2" wp14:editId="7F89FDAC">
            <wp:extent cx="5883335" cy="2671638"/>
            <wp:effectExtent l="0" t="0" r="317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0061" cy="2674692"/>
                    </a:xfrm>
                    <a:prstGeom prst="rect">
                      <a:avLst/>
                    </a:prstGeom>
                    <a:noFill/>
                  </pic:spPr>
                </pic:pic>
              </a:graphicData>
            </a:graphic>
          </wp:inline>
        </w:drawing>
      </w:r>
    </w:p>
    <w:p w:rsidR="00B0359A" w:rsidRDefault="00B0359A" w:rsidP="00B0359A">
      <w:r>
        <w:lastRenderedPageBreak/>
        <w:fldChar w:fldCharType="begin"/>
      </w:r>
      <w:r>
        <w:instrText xml:space="preserve"> REF _Ref472430805 \h </w:instrText>
      </w:r>
      <w:r>
        <w:fldChar w:fldCharType="separate"/>
      </w:r>
      <w:r w:rsidR="00A874AC" w:rsidRPr="003900A2">
        <w:t xml:space="preserve">Figure </w:t>
      </w:r>
      <w:r w:rsidR="00A874AC">
        <w:rPr>
          <w:noProof/>
        </w:rPr>
        <w:t>2</w:t>
      </w:r>
      <w:r w:rsidR="00A874AC">
        <w:noBreakHyphen/>
      </w:r>
      <w:r w:rsidR="00A874AC">
        <w:rPr>
          <w:noProof/>
        </w:rPr>
        <w:t>13</w:t>
      </w:r>
      <w:r>
        <w:fldChar w:fldCharType="end"/>
      </w:r>
      <w:r>
        <w:t xml:space="preserve"> </w:t>
      </w:r>
      <w:r w:rsidR="004F1B4F" w:rsidRPr="00B0359A">
        <w:t>compares</w:t>
      </w:r>
      <w:r w:rsidR="00935AEB" w:rsidRPr="00B0359A">
        <w:t xml:space="preserve"> the EDCs’</w:t>
      </w:r>
      <w:r w:rsidR="004F1B4F" w:rsidRPr="00B0359A">
        <w:t xml:space="preserve"> PY7 EE&amp;C </w:t>
      </w:r>
      <w:r w:rsidR="00935AEB" w:rsidRPr="00B0359A">
        <w:t>p</w:t>
      </w:r>
      <w:r w:rsidR="004F1B4F" w:rsidRPr="00B0359A">
        <w:t xml:space="preserve">lan MW </w:t>
      </w:r>
      <w:r w:rsidR="00EC2DD2" w:rsidRPr="00B0359A">
        <w:t xml:space="preserve">planned savings </w:t>
      </w:r>
      <w:r w:rsidR="004F1B4F" w:rsidRPr="00B0359A">
        <w:t>to verified MW savings after realization rates were applied.</w:t>
      </w:r>
      <w:r w:rsidR="0071651D" w:rsidRPr="00B0359A">
        <w:t xml:space="preserve"> It should be noted there are no compliance requirements for MW savings.</w:t>
      </w:r>
      <w:r w:rsidR="004F1B4F" w:rsidRPr="00B0359A">
        <w:t xml:space="preserve"> The data in this figure follow the same pattern as the data in </w:t>
      </w:r>
      <w:r w:rsidR="00514B37" w:rsidRPr="00B0359A">
        <w:rPr>
          <w:highlight w:val="yellow"/>
        </w:rPr>
        <w:fldChar w:fldCharType="begin"/>
      </w:r>
      <w:r w:rsidR="00514B37" w:rsidRPr="00B0359A">
        <w:instrText xml:space="preserve"> REF _Ref472430782 \h </w:instrText>
      </w:r>
      <w:r w:rsidR="00514B37" w:rsidRPr="00B0359A">
        <w:rPr>
          <w:highlight w:val="yellow"/>
        </w:rPr>
      </w:r>
      <w:r w:rsidR="00514B37" w:rsidRPr="00B0359A">
        <w:rPr>
          <w:highlight w:val="yellow"/>
        </w:rPr>
        <w:fldChar w:fldCharType="separate"/>
      </w:r>
      <w:r w:rsidR="00A874AC" w:rsidRPr="003900A2">
        <w:t xml:space="preserve">Figure </w:t>
      </w:r>
      <w:r w:rsidR="00A874AC">
        <w:rPr>
          <w:noProof/>
        </w:rPr>
        <w:t>2</w:t>
      </w:r>
      <w:r w:rsidR="00A874AC">
        <w:noBreakHyphen/>
      </w:r>
      <w:r w:rsidR="00A874AC">
        <w:rPr>
          <w:noProof/>
        </w:rPr>
        <w:t>12</w:t>
      </w:r>
      <w:r w:rsidR="00514B37" w:rsidRPr="00B0359A">
        <w:rPr>
          <w:highlight w:val="yellow"/>
        </w:rPr>
        <w:fldChar w:fldCharType="end"/>
      </w:r>
      <w:r w:rsidR="004F1B4F" w:rsidRPr="00B0359A">
        <w:t>.</w:t>
      </w:r>
    </w:p>
    <w:p w:rsidR="004F1B4F" w:rsidRPr="00B0359A" w:rsidRDefault="004F1B4F" w:rsidP="00B0359A">
      <w:r w:rsidRPr="00B0359A">
        <w:t xml:space="preserve"> </w:t>
      </w:r>
    </w:p>
    <w:p w:rsidR="004F1B4F" w:rsidRPr="003900A2" w:rsidRDefault="003900A2" w:rsidP="003900A2">
      <w:pPr>
        <w:pStyle w:val="Caption"/>
        <w:rPr>
          <w:rFonts w:eastAsiaTheme="minorEastAsia"/>
        </w:rPr>
      </w:pPr>
      <w:bookmarkStart w:id="151" w:name="_Ref472430805"/>
      <w:bookmarkStart w:id="152" w:name="_Toc472472221"/>
      <w:bookmarkStart w:id="153" w:name="_Toc476914034"/>
      <w:r w:rsidRPr="003900A2">
        <w:t xml:space="preserve">Figure </w:t>
      </w:r>
      <w:fldSimple w:instr=" STYLEREF 1 \s ">
        <w:r w:rsidR="00C301D0">
          <w:rPr>
            <w:noProof/>
          </w:rPr>
          <w:t>2</w:t>
        </w:r>
      </w:fldSimple>
      <w:r w:rsidR="00DA1ADA">
        <w:noBreakHyphen/>
      </w:r>
      <w:fldSimple w:instr=" SEQ Figure \* ARABIC \s 1 ">
        <w:r w:rsidR="00C301D0">
          <w:rPr>
            <w:noProof/>
          </w:rPr>
          <w:t>13</w:t>
        </w:r>
      </w:fldSimple>
      <w:bookmarkEnd w:id="151"/>
      <w:r w:rsidRPr="003900A2">
        <w:t>:</w:t>
      </w:r>
      <w:r w:rsidR="004F1B4F" w:rsidRPr="003900A2">
        <w:t xml:space="preserve"> </w:t>
      </w:r>
      <w:r w:rsidR="004F1B4F" w:rsidRPr="003900A2">
        <w:rPr>
          <w:rFonts w:eastAsiaTheme="minorEastAsia"/>
        </w:rPr>
        <w:t xml:space="preserve">PY7 EE&amp;C Plan Low-Income Program </w:t>
      </w:r>
      <w:r w:rsidR="006408E4">
        <w:rPr>
          <w:rFonts w:eastAsiaTheme="minorEastAsia"/>
        </w:rPr>
        <w:t xml:space="preserve">EE&amp;C Plan Estimated </w:t>
      </w:r>
      <w:r w:rsidR="004F1B4F" w:rsidRPr="003900A2">
        <w:rPr>
          <w:rFonts w:eastAsiaTheme="minorEastAsia"/>
        </w:rPr>
        <w:t>MW versus Verified MW PY7 Savings</w:t>
      </w:r>
      <w:bookmarkEnd w:id="152"/>
      <w:bookmarkEnd w:id="153"/>
    </w:p>
    <w:p w:rsidR="004F1B4F" w:rsidRDefault="00BC1802" w:rsidP="004F1B4F">
      <w:pPr>
        <w:spacing w:after="120"/>
        <w:jc w:val="center"/>
      </w:pPr>
      <w:r>
        <w:rPr>
          <w:noProof/>
        </w:rPr>
        <w:drawing>
          <wp:inline distT="0" distB="0" distL="0" distR="0" wp14:anchorId="6BD5AAD0" wp14:editId="7F06ED29">
            <wp:extent cx="5891917" cy="2623389"/>
            <wp:effectExtent l="0" t="0" r="0"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0573" cy="2627243"/>
                    </a:xfrm>
                    <a:prstGeom prst="rect">
                      <a:avLst/>
                    </a:prstGeom>
                    <a:noFill/>
                  </pic:spPr>
                </pic:pic>
              </a:graphicData>
            </a:graphic>
          </wp:inline>
        </w:drawing>
      </w:r>
    </w:p>
    <w:p w:rsidR="004F1B4F" w:rsidRPr="00B0359A" w:rsidRDefault="004F1B4F" w:rsidP="00B0359A">
      <w:r>
        <w:rPr>
          <w:highlight w:val="yellow"/>
        </w:rPr>
        <w:br/>
      </w:r>
      <w:r w:rsidR="003900A2" w:rsidRPr="00B0359A">
        <w:rPr>
          <w:highlight w:val="yellow"/>
        </w:rPr>
        <w:fldChar w:fldCharType="begin"/>
      </w:r>
      <w:r w:rsidR="003900A2" w:rsidRPr="00B0359A">
        <w:instrText xml:space="preserve"> REF _Ref472430814 \h </w:instrText>
      </w:r>
      <w:r w:rsidR="003900A2" w:rsidRPr="00B0359A">
        <w:rPr>
          <w:highlight w:val="yellow"/>
        </w:rPr>
      </w:r>
      <w:r w:rsidR="003900A2" w:rsidRPr="00B0359A">
        <w:rPr>
          <w:highlight w:val="yellow"/>
        </w:rPr>
        <w:fldChar w:fldCharType="separate"/>
      </w:r>
      <w:r w:rsidR="00A874AC" w:rsidRPr="003900A2">
        <w:t xml:space="preserve">Figure </w:t>
      </w:r>
      <w:r w:rsidR="00A874AC">
        <w:rPr>
          <w:noProof/>
        </w:rPr>
        <w:t>2</w:t>
      </w:r>
      <w:r w:rsidR="00A874AC">
        <w:noBreakHyphen/>
      </w:r>
      <w:r w:rsidR="00A874AC">
        <w:rPr>
          <w:noProof/>
        </w:rPr>
        <w:t>14</w:t>
      </w:r>
      <w:r w:rsidR="003900A2" w:rsidRPr="00B0359A">
        <w:rPr>
          <w:highlight w:val="yellow"/>
        </w:rPr>
        <w:fldChar w:fldCharType="end"/>
      </w:r>
      <w:r w:rsidRPr="00B0359A">
        <w:t xml:space="preserve"> shows the PY7 low-income program realization rates</w:t>
      </w:r>
      <w:r w:rsidR="00E1723F">
        <w:rPr>
          <w:rStyle w:val="FootnoteReference"/>
        </w:rPr>
        <w:footnoteReference w:id="19"/>
      </w:r>
      <w:r w:rsidRPr="00B0359A">
        <w:t xml:space="preserve"> by EDC. The realization rates are very similar, which is typical for programs that rely heavily on direct-install programs.</w:t>
      </w:r>
    </w:p>
    <w:p w:rsidR="004F1B4F" w:rsidRPr="00FC0586" w:rsidRDefault="004F1B4F" w:rsidP="004F1B4F"/>
    <w:p w:rsidR="004F1B4F" w:rsidRPr="003900A2" w:rsidRDefault="003900A2" w:rsidP="003900A2">
      <w:pPr>
        <w:pStyle w:val="Caption"/>
      </w:pPr>
      <w:bookmarkStart w:id="154" w:name="_Ref472430814"/>
      <w:bookmarkStart w:id="155" w:name="_Toc472472222"/>
      <w:bookmarkStart w:id="156" w:name="_Toc476914035"/>
      <w:r w:rsidRPr="003900A2">
        <w:t xml:space="preserve">Figure </w:t>
      </w:r>
      <w:fldSimple w:instr=" STYLEREF 1 \s ">
        <w:r w:rsidR="00C301D0">
          <w:rPr>
            <w:noProof/>
          </w:rPr>
          <w:t>2</w:t>
        </w:r>
      </w:fldSimple>
      <w:r w:rsidR="00DA1ADA">
        <w:noBreakHyphen/>
      </w:r>
      <w:fldSimple w:instr=" SEQ Figure \* ARABIC \s 1 ">
        <w:r w:rsidR="00C301D0">
          <w:rPr>
            <w:noProof/>
          </w:rPr>
          <w:t>14</w:t>
        </w:r>
      </w:fldSimple>
      <w:bookmarkEnd w:id="154"/>
      <w:r w:rsidRPr="003900A2">
        <w:t>:</w:t>
      </w:r>
      <w:r w:rsidR="004F1B4F" w:rsidRPr="003900A2">
        <w:t xml:space="preserve"> PY7</w:t>
      </w:r>
      <w:r w:rsidR="00FF51AC">
        <w:t xml:space="preserve"> Low-Income Program</w:t>
      </w:r>
      <w:r w:rsidR="004F1B4F" w:rsidRPr="003900A2">
        <w:t xml:space="preserve"> </w:t>
      </w:r>
      <w:r w:rsidR="00FF51AC">
        <w:t>Energy Savings</w:t>
      </w:r>
      <w:r w:rsidR="004F1B4F" w:rsidRPr="003900A2">
        <w:t xml:space="preserve"> Realization Rates by EDC</w:t>
      </w:r>
      <w:bookmarkEnd w:id="155"/>
      <w:bookmarkEnd w:id="156"/>
    </w:p>
    <w:p w:rsidR="004F1B4F" w:rsidRDefault="0071651D" w:rsidP="004F1B4F">
      <w:pPr>
        <w:spacing w:after="120"/>
        <w:jc w:val="center"/>
      </w:pPr>
      <w:r>
        <w:rPr>
          <w:noProof/>
        </w:rPr>
        <w:drawing>
          <wp:inline distT="0" distB="0" distL="0" distR="0" wp14:anchorId="47C54AFC" wp14:editId="76DA8095">
            <wp:extent cx="6066155"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66155" cy="2743200"/>
                    </a:xfrm>
                    <a:prstGeom prst="rect">
                      <a:avLst/>
                    </a:prstGeom>
                    <a:noFill/>
                  </pic:spPr>
                </pic:pic>
              </a:graphicData>
            </a:graphic>
          </wp:inline>
        </w:drawing>
      </w:r>
    </w:p>
    <w:p w:rsidR="00EE60CD" w:rsidRDefault="00EE60CD" w:rsidP="00AC2B6F"/>
    <w:p w:rsidR="00460A31" w:rsidRDefault="00460A31" w:rsidP="00AC2B6F">
      <w:r>
        <w:lastRenderedPageBreak/>
        <w:t xml:space="preserve">During PY7, </w:t>
      </w:r>
      <w:r w:rsidR="00866DA5">
        <w:t>all</w:t>
      </w:r>
      <w:r>
        <w:t xml:space="preserve"> EDCs</w:t>
      </w:r>
      <w:r w:rsidR="00F95DF6">
        <w:t>,</w:t>
      </w:r>
      <w:r>
        <w:t xml:space="preserve"> </w:t>
      </w:r>
      <w:r w:rsidR="00866DA5">
        <w:t>except for PPL</w:t>
      </w:r>
      <w:r w:rsidR="00F95DF6">
        <w:t>,</w:t>
      </w:r>
      <w:r w:rsidR="00866DA5">
        <w:t xml:space="preserve"> </w:t>
      </w:r>
      <w:r>
        <w:t>conducted NTG resea</w:t>
      </w:r>
      <w:r w:rsidR="00866DA5">
        <w:t xml:space="preserve">rch for </w:t>
      </w:r>
      <w:r w:rsidR="00F95DF6">
        <w:t xml:space="preserve">their </w:t>
      </w:r>
      <w:r w:rsidR="00866DA5">
        <w:t xml:space="preserve">low-income programs, as required in the </w:t>
      </w:r>
      <w:r w:rsidR="00F95DF6">
        <w:t xml:space="preserve">SWE </w:t>
      </w:r>
      <w:r w:rsidR="00866DA5">
        <w:t>Phase II Evaluation Framework.</w:t>
      </w:r>
      <w:r>
        <w:t xml:space="preserve"> </w:t>
      </w:r>
      <w:r>
        <w:fldChar w:fldCharType="begin"/>
      </w:r>
      <w:r>
        <w:instrText xml:space="preserve"> REF _Ref473704307 \h </w:instrText>
      </w:r>
      <w:r>
        <w:fldChar w:fldCharType="separate"/>
      </w:r>
      <w:r w:rsidR="00A874AC" w:rsidRPr="003900A2">
        <w:t xml:space="preserve">Figure </w:t>
      </w:r>
      <w:r w:rsidR="00A874AC">
        <w:rPr>
          <w:noProof/>
        </w:rPr>
        <w:t>2</w:t>
      </w:r>
      <w:r w:rsidR="00A874AC">
        <w:noBreakHyphen/>
      </w:r>
      <w:r w:rsidR="00A874AC">
        <w:rPr>
          <w:noProof/>
        </w:rPr>
        <w:t>15</w:t>
      </w:r>
      <w:r>
        <w:fldChar w:fldCharType="end"/>
      </w:r>
      <w:r>
        <w:t xml:space="preserve"> provides a graph of these NTGRs for </w:t>
      </w:r>
      <w:r w:rsidR="00F95DF6">
        <w:t xml:space="preserve">the </w:t>
      </w:r>
      <w:r>
        <w:t>EDCs low-income program</w:t>
      </w:r>
      <w:r w:rsidR="00F95DF6">
        <w:t>s</w:t>
      </w:r>
      <w:r>
        <w:t xml:space="preserve">. The NTGRs </w:t>
      </w:r>
      <w:r w:rsidR="00866DA5">
        <w:t xml:space="preserve">that are based on evaluation research conducted by the EDCs for PY7 </w:t>
      </w:r>
      <w:r>
        <w:t xml:space="preserve">ranged from 81% to </w:t>
      </w:r>
      <w:r w:rsidR="00866DA5">
        <w:t>90</w:t>
      </w:r>
      <w:r>
        <w:t>%.</w:t>
      </w:r>
      <w:r w:rsidR="00866DA5">
        <w:t xml:space="preserve"> This new EDC research shows</w:t>
      </w:r>
      <w:r w:rsidR="00F95DF6">
        <w:t xml:space="preserve"> conclusively</w:t>
      </w:r>
      <w:r w:rsidR="00866DA5">
        <w:t xml:space="preserve"> that the NTGR for low-income programs is not 100%. Going forward, the Phase II SWE Team recommends that NTG market research for residential low-income programs be conducted at least once in every Act 129 Phase. The Phase II SWE Team also recommends that the Commission consider setting the default NTGR for Phase III for residential low-income programs in the range of 81% to 90% given the results determined from the Phase II NTGR research.</w:t>
      </w:r>
    </w:p>
    <w:p w:rsidR="00802016" w:rsidRDefault="00802016" w:rsidP="00AC2B6F"/>
    <w:p w:rsidR="00460A31" w:rsidRPr="003900A2" w:rsidRDefault="00460A31" w:rsidP="00460A31">
      <w:pPr>
        <w:pStyle w:val="Caption"/>
      </w:pPr>
      <w:bookmarkStart w:id="157" w:name="_Ref473704307"/>
      <w:bookmarkStart w:id="158" w:name="_Toc476914036"/>
      <w:r w:rsidRPr="003900A2">
        <w:t xml:space="preserve">Figure </w:t>
      </w:r>
      <w:fldSimple w:instr=" STYLEREF 1 \s ">
        <w:r w:rsidR="00C301D0">
          <w:rPr>
            <w:noProof/>
          </w:rPr>
          <w:t>2</w:t>
        </w:r>
      </w:fldSimple>
      <w:r w:rsidR="00DA1ADA">
        <w:noBreakHyphen/>
      </w:r>
      <w:fldSimple w:instr=" SEQ Figure \* ARABIC \s 1 ">
        <w:r w:rsidR="00C301D0">
          <w:rPr>
            <w:noProof/>
          </w:rPr>
          <w:t>15</w:t>
        </w:r>
      </w:fldSimple>
      <w:bookmarkEnd w:id="157"/>
      <w:r w:rsidRPr="003900A2">
        <w:t>: PY7</w:t>
      </w:r>
      <w:r>
        <w:t xml:space="preserve"> Low-Income Program</w:t>
      </w:r>
      <w:r w:rsidRPr="003900A2">
        <w:t xml:space="preserve"> </w:t>
      </w:r>
      <w:r w:rsidR="000850C5">
        <w:t>Net-to-Gross Ratio</w:t>
      </w:r>
      <w:r w:rsidR="000E68BE">
        <w:t>s</w:t>
      </w:r>
      <w:r w:rsidR="000850C5">
        <w:t xml:space="preserve"> for each</w:t>
      </w:r>
      <w:r w:rsidRPr="003900A2">
        <w:t xml:space="preserve"> EDC</w:t>
      </w:r>
      <w:bookmarkEnd w:id="158"/>
    </w:p>
    <w:p w:rsidR="00460A31" w:rsidRDefault="00460A31" w:rsidP="00AC2B6F">
      <w:r>
        <w:rPr>
          <w:noProof/>
        </w:rPr>
        <w:drawing>
          <wp:inline distT="0" distB="0" distL="0" distR="0" wp14:anchorId="3783C891" wp14:editId="55B24701">
            <wp:extent cx="5901690" cy="27432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1690" cy="2743200"/>
                    </a:xfrm>
                    <a:prstGeom prst="rect">
                      <a:avLst/>
                    </a:prstGeom>
                    <a:noFill/>
                  </pic:spPr>
                </pic:pic>
              </a:graphicData>
            </a:graphic>
          </wp:inline>
        </w:drawing>
      </w:r>
    </w:p>
    <w:p w:rsidR="00460A31" w:rsidRDefault="00460A31" w:rsidP="00AC2B6F"/>
    <w:p w:rsidR="00AC2B6F" w:rsidRDefault="006058D6" w:rsidP="00472B27">
      <w:pPr>
        <w:pStyle w:val="Heading2"/>
      </w:pPr>
      <w:bookmarkStart w:id="159" w:name="_Toc472472094"/>
      <w:bookmarkStart w:id="160" w:name="_Toc476913906"/>
      <w:r>
        <w:t>Results for Three-Year ACT 129 Phase II</w:t>
      </w:r>
      <w:bookmarkEnd w:id="159"/>
      <w:bookmarkEnd w:id="160"/>
    </w:p>
    <w:p w:rsidR="0043410E" w:rsidRDefault="0043410E" w:rsidP="0043410E">
      <w:r>
        <w:t xml:space="preserve">This section presents the energy savings achievements by the EDCs for Phase II of Act 129. </w:t>
      </w:r>
      <w:r w:rsidR="00FF51AC">
        <w:t>It begins with a</w:t>
      </w:r>
      <w:r>
        <w:t xml:space="preserve"> statewide summary </w:t>
      </w:r>
      <w:r w:rsidR="00FF51AC">
        <w:t xml:space="preserve">and is </w:t>
      </w:r>
      <w:r>
        <w:t>followed by results for each EDC.</w:t>
      </w:r>
    </w:p>
    <w:p w:rsidR="003D58FF" w:rsidRDefault="003D58FF" w:rsidP="0043410E"/>
    <w:p w:rsidR="00AC2B6F" w:rsidRDefault="006058D6" w:rsidP="006058D6">
      <w:pPr>
        <w:pStyle w:val="Heading3"/>
      </w:pPr>
      <w:bookmarkStart w:id="161" w:name="_Toc472472095"/>
      <w:bookmarkStart w:id="162" w:name="_Toc476913907"/>
      <w:r>
        <w:t>Statewide Summary</w:t>
      </w:r>
      <w:bookmarkEnd w:id="161"/>
      <w:bookmarkEnd w:id="162"/>
    </w:p>
    <w:p w:rsidR="0043410E" w:rsidRDefault="00664065" w:rsidP="0043410E">
      <w:r>
        <w:fldChar w:fldCharType="begin"/>
      </w:r>
      <w:r>
        <w:instrText xml:space="preserve"> REF _Ref473729226 \h </w:instrText>
      </w:r>
      <w:r>
        <w:fldChar w:fldCharType="separate"/>
      </w:r>
      <w:r w:rsidR="008A7824">
        <w:t xml:space="preserve">Table </w:t>
      </w:r>
      <w:r w:rsidR="008A7824">
        <w:rPr>
          <w:noProof/>
        </w:rPr>
        <w:t>2</w:t>
      </w:r>
      <w:r w:rsidR="008A7824">
        <w:noBreakHyphen/>
      </w:r>
      <w:r w:rsidR="008A7824">
        <w:rPr>
          <w:noProof/>
        </w:rPr>
        <w:t>13</w:t>
      </w:r>
      <w:r>
        <w:fldChar w:fldCharType="end"/>
      </w:r>
      <w:r>
        <w:t xml:space="preserve"> </w:t>
      </w:r>
      <w:r w:rsidR="006A7FE8" w:rsidRPr="006A7FE8">
        <w:t>presents the seven EDCs’ aggregated Phase II reported gross MWh/yr and MW impacts and Phase II verified gross MWh/yr and MW impacts.</w:t>
      </w:r>
      <w:r w:rsidR="00F95DF6">
        <w:t xml:space="preserve"> Statewide,</w:t>
      </w:r>
      <w:r w:rsidR="006A7FE8" w:rsidRPr="006A7FE8">
        <w:t xml:space="preserve"> </w:t>
      </w:r>
      <w:r w:rsidR="00F95DF6">
        <w:t>t</w:t>
      </w:r>
      <w:r w:rsidR="006A7FE8" w:rsidRPr="006A7FE8">
        <w:t xml:space="preserve">he cumulative annual verified gross energy savings </w:t>
      </w:r>
      <w:r w:rsidR="006A7FE8" w:rsidRPr="00A7594B">
        <w:t>exceed</w:t>
      </w:r>
      <w:r w:rsidR="00AE0EE2">
        <w:t>ed</w:t>
      </w:r>
      <w:r w:rsidR="006A7FE8" w:rsidRPr="00A7594B">
        <w:t xml:space="preserve"> </w:t>
      </w:r>
      <w:r w:rsidR="00AE0EE2">
        <w:t>3</w:t>
      </w:r>
      <w:r w:rsidR="006A7FE8" w:rsidRPr="00A7594B">
        <w:t xml:space="preserve"> million MWh</w:t>
      </w:r>
      <w:r w:rsidR="00AE0EE2">
        <w:t>/yr</w:t>
      </w:r>
      <w:r w:rsidR="006A7FE8" w:rsidRPr="006A7FE8">
        <w:t xml:space="preserve"> and </w:t>
      </w:r>
      <w:r w:rsidR="00A7594B">
        <w:t>500</w:t>
      </w:r>
      <w:r w:rsidR="006A7FE8" w:rsidRPr="006A7FE8">
        <w:t xml:space="preserve"> MW per year. These savings have resulted in nearly </w:t>
      </w:r>
      <w:r w:rsidR="006A7FE8" w:rsidRPr="00A7594B">
        <w:t>$</w:t>
      </w:r>
      <w:r w:rsidR="00A7594B" w:rsidRPr="00A7594B">
        <w:t>2</w:t>
      </w:r>
      <w:r w:rsidR="006A7FE8" w:rsidRPr="00A7594B">
        <w:t>.2 billion</w:t>
      </w:r>
      <w:r w:rsidR="006A7FE8" w:rsidRPr="006A7FE8">
        <w:t xml:space="preserve"> in benefits to Pennsylvania customers, with a B/C ratio of more </w:t>
      </w:r>
      <w:r w:rsidR="006A7FE8" w:rsidRPr="00A7594B">
        <w:t>than 1.</w:t>
      </w:r>
      <w:r w:rsidR="00A7594B" w:rsidRPr="00A7594B">
        <w:t>7</w:t>
      </w:r>
      <w:r w:rsidR="006A7FE8" w:rsidRPr="006A7FE8">
        <w:t>. The table also includes estimates of the cumulative annual reduction of CO</w:t>
      </w:r>
      <w:r w:rsidR="006A7FE8" w:rsidRPr="006A7FE8">
        <w:rPr>
          <w:vertAlign w:val="subscript"/>
        </w:rPr>
        <w:t>2</w:t>
      </w:r>
      <w:r w:rsidR="006A7FE8" w:rsidRPr="006A7FE8">
        <w:t xml:space="preserve"> emissions based on Phase II reported and verified energy savings</w:t>
      </w:r>
      <w:r w:rsidR="006A7FE8">
        <w:t>.</w:t>
      </w:r>
    </w:p>
    <w:p w:rsidR="006A7FE8" w:rsidRDefault="006A7FE8" w:rsidP="0043410E"/>
    <w:p w:rsidR="000F5A29" w:rsidRDefault="000F5A29" w:rsidP="0043410E"/>
    <w:p w:rsidR="000F5A29" w:rsidRDefault="000F5A29" w:rsidP="0043410E"/>
    <w:p w:rsidR="000F5A29" w:rsidRDefault="000F5A29" w:rsidP="0043410E"/>
    <w:p w:rsidR="000F5A29" w:rsidRDefault="000F5A29" w:rsidP="0043410E"/>
    <w:p w:rsidR="000F5A29" w:rsidRDefault="000F5A29" w:rsidP="0043410E"/>
    <w:p w:rsidR="000F5A29" w:rsidRDefault="000F5A29" w:rsidP="0043410E"/>
    <w:p w:rsidR="000F5A29" w:rsidRDefault="000F5A29" w:rsidP="0043410E"/>
    <w:p w:rsidR="006A7FE8" w:rsidRDefault="006A7FE8" w:rsidP="006A7FE8">
      <w:pPr>
        <w:pStyle w:val="Caption"/>
      </w:pPr>
      <w:bookmarkStart w:id="163" w:name="_Ref472400564"/>
      <w:bookmarkStart w:id="164" w:name="_Ref473729226"/>
      <w:bookmarkStart w:id="165" w:name="_Toc472472166"/>
      <w:bookmarkStart w:id="166" w:name="_Toc476913979"/>
      <w:r>
        <w:lastRenderedPageBreak/>
        <w:t xml:space="preserve">Table </w:t>
      </w:r>
      <w:fldSimple w:instr=" STYLEREF 1 \s ">
        <w:r w:rsidR="008A7824">
          <w:rPr>
            <w:noProof/>
          </w:rPr>
          <w:t>2</w:t>
        </w:r>
      </w:fldSimple>
      <w:r w:rsidR="00E6042C">
        <w:noBreakHyphen/>
      </w:r>
      <w:fldSimple w:instr=" SEQ Table \* ARABIC \s 1 ">
        <w:r w:rsidR="008A7824">
          <w:rPr>
            <w:noProof/>
          </w:rPr>
          <w:t>13</w:t>
        </w:r>
      </w:fldSimple>
      <w:bookmarkEnd w:id="163"/>
      <w:bookmarkEnd w:id="164"/>
      <w:r>
        <w:t xml:space="preserve">: </w:t>
      </w:r>
      <w:r w:rsidRPr="006A7FE8">
        <w:t>Summary of EDC Agg</w:t>
      </w:r>
      <w:r>
        <w:t>regated Phase II Impacts</w:t>
      </w:r>
      <w:bookmarkEnd w:id="165"/>
      <w:bookmarkEnd w:id="166"/>
    </w:p>
    <w:tbl>
      <w:tblPr>
        <w:tblW w:w="9350" w:type="dxa"/>
        <w:tblLook w:val="04A0" w:firstRow="1" w:lastRow="0" w:firstColumn="1" w:lastColumn="0" w:noHBand="0" w:noVBand="1"/>
      </w:tblPr>
      <w:tblGrid>
        <w:gridCol w:w="3800"/>
        <w:gridCol w:w="2760"/>
        <w:gridCol w:w="2790"/>
      </w:tblGrid>
      <w:tr w:rsidR="00E7173E" w:rsidRPr="00A7594B" w:rsidTr="005B6196">
        <w:trPr>
          <w:trHeight w:val="430"/>
        </w:trPr>
        <w:tc>
          <w:tcPr>
            <w:tcW w:w="380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A7594B" w:rsidRPr="00A7594B" w:rsidRDefault="00A7594B" w:rsidP="00B0359A">
            <w:pPr>
              <w:rPr>
                <w:b/>
                <w:bCs/>
                <w:color w:val="FFFFFF"/>
                <w:sz w:val="20"/>
                <w:szCs w:val="20"/>
              </w:rPr>
            </w:pPr>
            <w:r w:rsidRPr="00A7594B">
              <w:rPr>
                <w:b/>
                <w:bCs/>
                <w:color w:val="FFFFFF"/>
                <w:sz w:val="20"/>
                <w:szCs w:val="20"/>
              </w:rPr>
              <w:t>Impact</w:t>
            </w:r>
          </w:p>
        </w:tc>
        <w:tc>
          <w:tcPr>
            <w:tcW w:w="2760" w:type="dxa"/>
            <w:tcBorders>
              <w:top w:val="single" w:sz="8" w:space="0" w:color="448A99"/>
              <w:left w:val="nil"/>
              <w:bottom w:val="single" w:sz="8" w:space="0" w:color="448A99"/>
              <w:right w:val="single" w:sz="8" w:space="0" w:color="448A99"/>
            </w:tcBorders>
            <w:shd w:val="clear" w:color="000000" w:fill="448A99"/>
            <w:vAlign w:val="bottom"/>
            <w:hideMark/>
          </w:tcPr>
          <w:p w:rsidR="00A7594B" w:rsidRPr="00A7594B" w:rsidRDefault="00A7594B" w:rsidP="00B0359A">
            <w:pPr>
              <w:jc w:val="center"/>
              <w:rPr>
                <w:b/>
                <w:bCs/>
                <w:color w:val="FFFFFF"/>
                <w:sz w:val="20"/>
                <w:szCs w:val="20"/>
              </w:rPr>
            </w:pPr>
            <w:r w:rsidRPr="00A7594B">
              <w:rPr>
                <w:b/>
                <w:bCs/>
                <w:color w:val="FFFFFF"/>
                <w:sz w:val="20"/>
                <w:szCs w:val="20"/>
              </w:rPr>
              <w:t>Phase II R</w:t>
            </w:r>
            <w:r w:rsidR="00AE0EE2">
              <w:rPr>
                <w:b/>
                <w:bCs/>
                <w:color w:val="FFFFFF"/>
                <w:sz w:val="20"/>
                <w:szCs w:val="20"/>
              </w:rPr>
              <w:t>eported Gross</w:t>
            </w:r>
            <w:r w:rsidRPr="00A7594B">
              <w:rPr>
                <w:b/>
                <w:bCs/>
                <w:color w:val="FFFFFF"/>
                <w:sz w:val="20"/>
                <w:szCs w:val="20"/>
              </w:rPr>
              <w:t xml:space="preserve"> Savings </w:t>
            </w:r>
            <w:r w:rsidRPr="00A7594B">
              <w:rPr>
                <w:b/>
                <w:bCs/>
                <w:color w:val="FFFFFF"/>
                <w:sz w:val="20"/>
                <w:szCs w:val="20"/>
                <w:vertAlign w:val="superscript"/>
              </w:rPr>
              <w:t>[f]</w:t>
            </w:r>
          </w:p>
        </w:tc>
        <w:tc>
          <w:tcPr>
            <w:tcW w:w="2790" w:type="dxa"/>
            <w:tcBorders>
              <w:top w:val="single" w:sz="8" w:space="0" w:color="448A99"/>
              <w:left w:val="nil"/>
              <w:bottom w:val="single" w:sz="8" w:space="0" w:color="448A99"/>
              <w:right w:val="single" w:sz="8" w:space="0" w:color="448A99"/>
            </w:tcBorders>
            <w:shd w:val="clear" w:color="000000" w:fill="448A99"/>
            <w:vAlign w:val="bottom"/>
            <w:hideMark/>
          </w:tcPr>
          <w:p w:rsidR="00A7594B" w:rsidRPr="00A7594B" w:rsidRDefault="00A7594B" w:rsidP="00B0359A">
            <w:pPr>
              <w:jc w:val="center"/>
              <w:rPr>
                <w:b/>
                <w:bCs/>
                <w:color w:val="FFFFFF"/>
                <w:sz w:val="20"/>
                <w:szCs w:val="20"/>
              </w:rPr>
            </w:pPr>
            <w:r w:rsidRPr="00A7594B">
              <w:rPr>
                <w:b/>
                <w:bCs/>
                <w:color w:val="FFFFFF"/>
                <w:sz w:val="20"/>
                <w:szCs w:val="20"/>
              </w:rPr>
              <w:t>Phase II V</w:t>
            </w:r>
            <w:r w:rsidR="00AE0EE2">
              <w:rPr>
                <w:b/>
                <w:bCs/>
                <w:color w:val="FFFFFF"/>
                <w:sz w:val="20"/>
                <w:szCs w:val="20"/>
              </w:rPr>
              <w:t xml:space="preserve">erified </w:t>
            </w:r>
            <w:r w:rsidRPr="00A7594B">
              <w:rPr>
                <w:b/>
                <w:bCs/>
                <w:color w:val="FFFFFF"/>
                <w:sz w:val="20"/>
                <w:szCs w:val="20"/>
              </w:rPr>
              <w:t>G</w:t>
            </w:r>
            <w:r w:rsidR="00AE0EE2">
              <w:rPr>
                <w:b/>
                <w:bCs/>
                <w:color w:val="FFFFFF"/>
                <w:sz w:val="20"/>
                <w:szCs w:val="20"/>
              </w:rPr>
              <w:t>ross</w:t>
            </w:r>
            <w:r w:rsidRPr="00A7594B">
              <w:rPr>
                <w:b/>
                <w:bCs/>
                <w:color w:val="FFFFFF"/>
                <w:sz w:val="20"/>
                <w:szCs w:val="20"/>
              </w:rPr>
              <w:t xml:space="preserve"> Savings </w:t>
            </w:r>
            <w:r w:rsidRPr="00A7594B">
              <w:rPr>
                <w:b/>
                <w:bCs/>
                <w:color w:val="FFFFFF"/>
                <w:sz w:val="20"/>
                <w:szCs w:val="20"/>
                <w:vertAlign w:val="superscript"/>
              </w:rPr>
              <w:t>[h]</w:t>
            </w:r>
          </w:p>
        </w:tc>
      </w:tr>
      <w:tr w:rsidR="00E7173E" w:rsidRPr="00A7594B" w:rsidTr="005B6196">
        <w:trPr>
          <w:trHeight w:val="315"/>
        </w:trPr>
        <w:tc>
          <w:tcPr>
            <w:tcW w:w="3800" w:type="dxa"/>
            <w:tcBorders>
              <w:top w:val="nil"/>
              <w:left w:val="single" w:sz="8" w:space="0" w:color="448A99"/>
              <w:bottom w:val="single" w:sz="8" w:space="0" w:color="448A99"/>
              <w:right w:val="single" w:sz="8" w:space="0" w:color="448A99"/>
            </w:tcBorders>
            <w:shd w:val="clear" w:color="000000" w:fill="D2EAF1"/>
            <w:vAlign w:val="center"/>
            <w:hideMark/>
          </w:tcPr>
          <w:p w:rsidR="00A7594B" w:rsidRPr="00A7594B" w:rsidRDefault="00A7594B" w:rsidP="00A7594B">
            <w:pPr>
              <w:jc w:val="left"/>
              <w:rPr>
                <w:color w:val="000000"/>
                <w:sz w:val="20"/>
                <w:szCs w:val="20"/>
              </w:rPr>
            </w:pPr>
            <w:r w:rsidRPr="00A7594B">
              <w:rPr>
                <w:color w:val="000000"/>
                <w:sz w:val="20"/>
                <w:szCs w:val="20"/>
              </w:rPr>
              <w:t>Total Energy Savings (MWh/yr)</w:t>
            </w:r>
          </w:p>
        </w:tc>
        <w:tc>
          <w:tcPr>
            <w:tcW w:w="2760" w:type="dxa"/>
            <w:tcBorders>
              <w:top w:val="nil"/>
              <w:left w:val="nil"/>
              <w:bottom w:val="single" w:sz="8" w:space="0" w:color="448A99"/>
              <w:right w:val="single" w:sz="8" w:space="0" w:color="448A99"/>
            </w:tcBorders>
            <w:shd w:val="clear" w:color="000000" w:fill="D2EAF1"/>
            <w:vAlign w:val="center"/>
            <w:hideMark/>
          </w:tcPr>
          <w:p w:rsidR="00A7594B" w:rsidRPr="00A7594B" w:rsidRDefault="00A7594B" w:rsidP="00A7594B">
            <w:pPr>
              <w:jc w:val="center"/>
              <w:rPr>
                <w:sz w:val="20"/>
                <w:szCs w:val="20"/>
              </w:rPr>
            </w:pPr>
            <w:r w:rsidRPr="00A7594B">
              <w:rPr>
                <w:sz w:val="20"/>
                <w:szCs w:val="20"/>
              </w:rPr>
              <w:t>3,305,997</w:t>
            </w:r>
          </w:p>
        </w:tc>
        <w:tc>
          <w:tcPr>
            <w:tcW w:w="2790" w:type="dxa"/>
            <w:tcBorders>
              <w:top w:val="nil"/>
              <w:left w:val="nil"/>
              <w:bottom w:val="single" w:sz="8" w:space="0" w:color="448A99"/>
              <w:right w:val="single" w:sz="8" w:space="0" w:color="448A99"/>
            </w:tcBorders>
            <w:shd w:val="clear" w:color="000000" w:fill="D2EAF1"/>
            <w:vAlign w:val="center"/>
            <w:hideMark/>
          </w:tcPr>
          <w:p w:rsidR="00A7594B" w:rsidRPr="00A7594B" w:rsidRDefault="00A7594B" w:rsidP="00EB7E3B">
            <w:pPr>
              <w:jc w:val="center"/>
              <w:rPr>
                <w:sz w:val="20"/>
                <w:szCs w:val="20"/>
              </w:rPr>
            </w:pPr>
            <w:r w:rsidRPr="00A7594B">
              <w:rPr>
                <w:sz w:val="20"/>
                <w:szCs w:val="20"/>
              </w:rPr>
              <w:t>3,37</w:t>
            </w:r>
            <w:r w:rsidR="00EB7E3B">
              <w:rPr>
                <w:sz w:val="20"/>
                <w:szCs w:val="20"/>
              </w:rPr>
              <w:t>0</w:t>
            </w:r>
            <w:r w:rsidRPr="00A7594B">
              <w:rPr>
                <w:sz w:val="20"/>
                <w:szCs w:val="20"/>
              </w:rPr>
              <w:t>,</w:t>
            </w:r>
            <w:r w:rsidR="00EB7E3B">
              <w:rPr>
                <w:sz w:val="20"/>
                <w:szCs w:val="20"/>
              </w:rPr>
              <w:t>673</w:t>
            </w:r>
          </w:p>
        </w:tc>
      </w:tr>
      <w:tr w:rsidR="00E7173E" w:rsidRPr="00A7594B" w:rsidTr="005B6196">
        <w:trPr>
          <w:trHeight w:val="315"/>
        </w:trPr>
        <w:tc>
          <w:tcPr>
            <w:tcW w:w="3800" w:type="dxa"/>
            <w:tcBorders>
              <w:top w:val="nil"/>
              <w:left w:val="single" w:sz="8" w:space="0" w:color="448A99"/>
              <w:bottom w:val="single" w:sz="8" w:space="0" w:color="448A99"/>
              <w:right w:val="single" w:sz="8" w:space="0" w:color="448A99"/>
            </w:tcBorders>
            <w:shd w:val="clear" w:color="auto" w:fill="auto"/>
            <w:vAlign w:val="center"/>
            <w:hideMark/>
          </w:tcPr>
          <w:p w:rsidR="00A7594B" w:rsidRPr="00A7594B" w:rsidRDefault="00A7594B" w:rsidP="00A7594B">
            <w:pPr>
              <w:jc w:val="left"/>
              <w:rPr>
                <w:color w:val="000000"/>
                <w:sz w:val="20"/>
                <w:szCs w:val="20"/>
              </w:rPr>
            </w:pPr>
            <w:r w:rsidRPr="00A7594B">
              <w:rPr>
                <w:color w:val="000000"/>
                <w:sz w:val="20"/>
                <w:szCs w:val="20"/>
              </w:rPr>
              <w:t>Total Demand Reduction (MW)</w:t>
            </w:r>
          </w:p>
        </w:tc>
        <w:tc>
          <w:tcPr>
            <w:tcW w:w="2760" w:type="dxa"/>
            <w:tcBorders>
              <w:top w:val="nil"/>
              <w:left w:val="nil"/>
              <w:bottom w:val="single" w:sz="8" w:space="0" w:color="448A99"/>
              <w:right w:val="single" w:sz="8" w:space="0" w:color="448A99"/>
            </w:tcBorders>
            <w:shd w:val="clear" w:color="auto" w:fill="auto"/>
            <w:vAlign w:val="center"/>
            <w:hideMark/>
          </w:tcPr>
          <w:p w:rsidR="00A7594B" w:rsidRPr="00A7594B" w:rsidRDefault="00A7594B" w:rsidP="00A7594B">
            <w:pPr>
              <w:jc w:val="center"/>
              <w:rPr>
                <w:sz w:val="20"/>
                <w:szCs w:val="20"/>
              </w:rPr>
            </w:pPr>
            <w:r w:rsidRPr="00A7594B">
              <w:rPr>
                <w:sz w:val="20"/>
                <w:szCs w:val="20"/>
              </w:rPr>
              <w:t>538</w:t>
            </w:r>
          </w:p>
        </w:tc>
        <w:tc>
          <w:tcPr>
            <w:tcW w:w="2790" w:type="dxa"/>
            <w:tcBorders>
              <w:top w:val="nil"/>
              <w:left w:val="nil"/>
              <w:bottom w:val="single" w:sz="8" w:space="0" w:color="448A99"/>
              <w:right w:val="single" w:sz="8" w:space="0" w:color="448A99"/>
            </w:tcBorders>
            <w:shd w:val="clear" w:color="auto" w:fill="auto"/>
            <w:vAlign w:val="center"/>
            <w:hideMark/>
          </w:tcPr>
          <w:p w:rsidR="00A7594B" w:rsidRPr="00A7594B" w:rsidRDefault="00A7594B" w:rsidP="00B30A2F">
            <w:pPr>
              <w:jc w:val="center"/>
              <w:rPr>
                <w:sz w:val="20"/>
                <w:szCs w:val="20"/>
              </w:rPr>
            </w:pPr>
            <w:r w:rsidRPr="00A7594B">
              <w:rPr>
                <w:sz w:val="20"/>
                <w:szCs w:val="20"/>
              </w:rPr>
              <w:t>524</w:t>
            </w:r>
          </w:p>
        </w:tc>
      </w:tr>
      <w:tr w:rsidR="00E7173E" w:rsidRPr="00A7594B" w:rsidTr="005B6196">
        <w:trPr>
          <w:trHeight w:val="315"/>
        </w:trPr>
        <w:tc>
          <w:tcPr>
            <w:tcW w:w="3800" w:type="dxa"/>
            <w:tcBorders>
              <w:top w:val="nil"/>
              <w:left w:val="single" w:sz="8" w:space="0" w:color="448A99"/>
              <w:bottom w:val="single" w:sz="8" w:space="0" w:color="448A99"/>
              <w:right w:val="single" w:sz="8" w:space="0" w:color="448A99"/>
            </w:tcBorders>
            <w:shd w:val="clear" w:color="000000" w:fill="D2EAF1"/>
            <w:vAlign w:val="center"/>
            <w:hideMark/>
          </w:tcPr>
          <w:p w:rsidR="00A7594B" w:rsidRPr="00A7594B" w:rsidRDefault="00A7594B" w:rsidP="00A7594B">
            <w:pPr>
              <w:jc w:val="left"/>
              <w:rPr>
                <w:color w:val="000000"/>
                <w:sz w:val="20"/>
                <w:szCs w:val="20"/>
              </w:rPr>
            </w:pPr>
            <w:r w:rsidRPr="00A7594B">
              <w:rPr>
                <w:color w:val="000000"/>
                <w:sz w:val="20"/>
                <w:szCs w:val="20"/>
              </w:rPr>
              <w:t xml:space="preserve">TRC Benefits ($1,000) </w:t>
            </w:r>
            <w:r w:rsidRPr="00A7594B">
              <w:rPr>
                <w:color w:val="000000"/>
                <w:sz w:val="20"/>
                <w:szCs w:val="20"/>
                <w:vertAlign w:val="superscript"/>
              </w:rPr>
              <w:t>[a]</w:t>
            </w:r>
          </w:p>
        </w:tc>
        <w:tc>
          <w:tcPr>
            <w:tcW w:w="2760" w:type="dxa"/>
            <w:tcBorders>
              <w:top w:val="nil"/>
              <w:left w:val="nil"/>
              <w:bottom w:val="single" w:sz="8" w:space="0" w:color="448A99"/>
              <w:right w:val="single" w:sz="8" w:space="0" w:color="448A99"/>
            </w:tcBorders>
            <w:shd w:val="clear" w:color="000000" w:fill="D2EAF1"/>
            <w:vAlign w:val="center"/>
            <w:hideMark/>
          </w:tcPr>
          <w:p w:rsidR="00A7594B" w:rsidRPr="00A7594B" w:rsidRDefault="00A7594B" w:rsidP="00A7594B">
            <w:pPr>
              <w:jc w:val="center"/>
              <w:rPr>
                <w:sz w:val="20"/>
                <w:szCs w:val="20"/>
              </w:rPr>
            </w:pPr>
            <w:r w:rsidRPr="00A7594B">
              <w:rPr>
                <w:sz w:val="20"/>
                <w:szCs w:val="20"/>
              </w:rPr>
              <w:t xml:space="preserve">N/A </w:t>
            </w:r>
            <w:r w:rsidRPr="00A7594B">
              <w:rPr>
                <w:sz w:val="20"/>
                <w:szCs w:val="20"/>
                <w:vertAlign w:val="superscript"/>
              </w:rPr>
              <w:t>[g]</w:t>
            </w:r>
          </w:p>
        </w:tc>
        <w:tc>
          <w:tcPr>
            <w:tcW w:w="2790" w:type="dxa"/>
            <w:tcBorders>
              <w:top w:val="nil"/>
              <w:left w:val="nil"/>
              <w:bottom w:val="single" w:sz="8" w:space="0" w:color="448A99"/>
              <w:right w:val="single" w:sz="8" w:space="0" w:color="448A99"/>
            </w:tcBorders>
            <w:shd w:val="clear" w:color="000000" w:fill="D2EAF1"/>
            <w:vAlign w:val="center"/>
            <w:hideMark/>
          </w:tcPr>
          <w:p w:rsidR="00A7594B" w:rsidRPr="00A7594B" w:rsidRDefault="00A7594B" w:rsidP="00A7594B">
            <w:pPr>
              <w:jc w:val="center"/>
              <w:rPr>
                <w:sz w:val="20"/>
                <w:szCs w:val="20"/>
              </w:rPr>
            </w:pPr>
            <w:r w:rsidRPr="00A7594B">
              <w:rPr>
                <w:sz w:val="20"/>
                <w:szCs w:val="20"/>
              </w:rPr>
              <w:t>$2,197,271</w:t>
            </w:r>
          </w:p>
        </w:tc>
      </w:tr>
      <w:tr w:rsidR="00E7173E" w:rsidRPr="00A7594B" w:rsidTr="005B6196">
        <w:trPr>
          <w:trHeight w:val="315"/>
        </w:trPr>
        <w:tc>
          <w:tcPr>
            <w:tcW w:w="3800" w:type="dxa"/>
            <w:tcBorders>
              <w:top w:val="nil"/>
              <w:left w:val="single" w:sz="8" w:space="0" w:color="448A99"/>
              <w:bottom w:val="single" w:sz="8" w:space="0" w:color="448A99"/>
              <w:right w:val="single" w:sz="8" w:space="0" w:color="448A99"/>
            </w:tcBorders>
            <w:shd w:val="clear" w:color="auto" w:fill="auto"/>
            <w:vAlign w:val="center"/>
            <w:hideMark/>
          </w:tcPr>
          <w:p w:rsidR="00A7594B" w:rsidRPr="00A7594B" w:rsidRDefault="00A7594B" w:rsidP="00A7594B">
            <w:pPr>
              <w:jc w:val="left"/>
              <w:rPr>
                <w:color w:val="000000"/>
                <w:sz w:val="20"/>
                <w:szCs w:val="20"/>
              </w:rPr>
            </w:pPr>
            <w:r w:rsidRPr="00A7594B">
              <w:rPr>
                <w:color w:val="000000"/>
                <w:sz w:val="20"/>
                <w:szCs w:val="20"/>
              </w:rPr>
              <w:t xml:space="preserve">TRC Costs ($1,000) </w:t>
            </w:r>
            <w:r w:rsidRPr="00A7594B">
              <w:rPr>
                <w:color w:val="000000"/>
                <w:sz w:val="20"/>
                <w:szCs w:val="20"/>
                <w:vertAlign w:val="superscript"/>
              </w:rPr>
              <w:t>[b]</w:t>
            </w:r>
          </w:p>
        </w:tc>
        <w:tc>
          <w:tcPr>
            <w:tcW w:w="2760" w:type="dxa"/>
            <w:tcBorders>
              <w:top w:val="nil"/>
              <w:left w:val="nil"/>
              <w:bottom w:val="single" w:sz="8" w:space="0" w:color="448A99"/>
              <w:right w:val="single" w:sz="8" w:space="0" w:color="448A99"/>
            </w:tcBorders>
            <w:shd w:val="clear" w:color="auto" w:fill="auto"/>
            <w:vAlign w:val="center"/>
            <w:hideMark/>
          </w:tcPr>
          <w:p w:rsidR="00A7594B" w:rsidRPr="00A7594B" w:rsidRDefault="00A7594B" w:rsidP="00A7594B">
            <w:pPr>
              <w:jc w:val="center"/>
              <w:rPr>
                <w:sz w:val="20"/>
                <w:szCs w:val="20"/>
              </w:rPr>
            </w:pPr>
            <w:r w:rsidRPr="00A7594B">
              <w:rPr>
                <w:sz w:val="20"/>
                <w:szCs w:val="20"/>
              </w:rPr>
              <w:t xml:space="preserve">N/A </w:t>
            </w:r>
            <w:r w:rsidRPr="00A7594B">
              <w:rPr>
                <w:sz w:val="20"/>
                <w:szCs w:val="20"/>
                <w:vertAlign w:val="superscript"/>
              </w:rPr>
              <w:t>[g]</w:t>
            </w:r>
          </w:p>
        </w:tc>
        <w:tc>
          <w:tcPr>
            <w:tcW w:w="2790" w:type="dxa"/>
            <w:tcBorders>
              <w:top w:val="nil"/>
              <w:left w:val="nil"/>
              <w:bottom w:val="single" w:sz="8" w:space="0" w:color="448A99"/>
              <w:right w:val="single" w:sz="8" w:space="0" w:color="448A99"/>
            </w:tcBorders>
            <w:shd w:val="clear" w:color="auto" w:fill="auto"/>
            <w:vAlign w:val="center"/>
            <w:hideMark/>
          </w:tcPr>
          <w:p w:rsidR="00A7594B" w:rsidRPr="00A7594B" w:rsidRDefault="00A7594B" w:rsidP="00A7594B">
            <w:pPr>
              <w:jc w:val="center"/>
              <w:rPr>
                <w:sz w:val="20"/>
                <w:szCs w:val="20"/>
              </w:rPr>
            </w:pPr>
            <w:r w:rsidRPr="00A7594B">
              <w:rPr>
                <w:sz w:val="20"/>
                <w:szCs w:val="20"/>
              </w:rPr>
              <w:t>$1,286,220</w:t>
            </w:r>
          </w:p>
        </w:tc>
      </w:tr>
      <w:tr w:rsidR="00E7173E" w:rsidRPr="00A7594B" w:rsidTr="005B6196">
        <w:trPr>
          <w:trHeight w:val="315"/>
        </w:trPr>
        <w:tc>
          <w:tcPr>
            <w:tcW w:w="3800" w:type="dxa"/>
            <w:tcBorders>
              <w:top w:val="nil"/>
              <w:left w:val="single" w:sz="8" w:space="0" w:color="448A99"/>
              <w:bottom w:val="single" w:sz="8" w:space="0" w:color="448A99"/>
              <w:right w:val="single" w:sz="8" w:space="0" w:color="448A99"/>
            </w:tcBorders>
            <w:shd w:val="clear" w:color="000000" w:fill="D2EAF1"/>
            <w:vAlign w:val="center"/>
            <w:hideMark/>
          </w:tcPr>
          <w:p w:rsidR="00A7594B" w:rsidRPr="00A7594B" w:rsidRDefault="00A7594B" w:rsidP="00AE0EE2">
            <w:pPr>
              <w:jc w:val="left"/>
              <w:rPr>
                <w:color w:val="000000"/>
                <w:sz w:val="20"/>
                <w:szCs w:val="20"/>
              </w:rPr>
            </w:pPr>
            <w:r w:rsidRPr="00A7594B">
              <w:rPr>
                <w:color w:val="000000"/>
                <w:sz w:val="20"/>
                <w:szCs w:val="20"/>
              </w:rPr>
              <w:t xml:space="preserve">TRC </w:t>
            </w:r>
            <w:r w:rsidR="00AE0EE2">
              <w:rPr>
                <w:color w:val="000000"/>
                <w:sz w:val="20"/>
                <w:szCs w:val="20"/>
              </w:rPr>
              <w:t>B/C</w:t>
            </w:r>
            <w:r w:rsidRPr="00A7594B">
              <w:rPr>
                <w:color w:val="000000"/>
                <w:sz w:val="20"/>
                <w:szCs w:val="20"/>
              </w:rPr>
              <w:t xml:space="preserve"> Ratio </w:t>
            </w:r>
            <w:r w:rsidRPr="00A7594B">
              <w:rPr>
                <w:color w:val="000000"/>
                <w:sz w:val="20"/>
                <w:szCs w:val="20"/>
                <w:vertAlign w:val="superscript"/>
              </w:rPr>
              <w:t>[c]</w:t>
            </w:r>
          </w:p>
        </w:tc>
        <w:tc>
          <w:tcPr>
            <w:tcW w:w="2760" w:type="dxa"/>
            <w:tcBorders>
              <w:top w:val="nil"/>
              <w:left w:val="nil"/>
              <w:bottom w:val="single" w:sz="8" w:space="0" w:color="448A99"/>
              <w:right w:val="single" w:sz="8" w:space="0" w:color="448A99"/>
            </w:tcBorders>
            <w:shd w:val="clear" w:color="000000" w:fill="D2EAF1"/>
            <w:vAlign w:val="center"/>
            <w:hideMark/>
          </w:tcPr>
          <w:p w:rsidR="00A7594B" w:rsidRPr="00A7594B" w:rsidRDefault="00A7594B" w:rsidP="00A7594B">
            <w:pPr>
              <w:jc w:val="center"/>
              <w:rPr>
                <w:sz w:val="20"/>
                <w:szCs w:val="20"/>
              </w:rPr>
            </w:pPr>
            <w:r w:rsidRPr="00A7594B">
              <w:rPr>
                <w:sz w:val="20"/>
                <w:szCs w:val="20"/>
              </w:rPr>
              <w:t xml:space="preserve">N/A </w:t>
            </w:r>
            <w:r w:rsidRPr="00A7594B">
              <w:rPr>
                <w:sz w:val="20"/>
                <w:szCs w:val="20"/>
                <w:vertAlign w:val="superscript"/>
              </w:rPr>
              <w:t>[g]</w:t>
            </w:r>
          </w:p>
        </w:tc>
        <w:tc>
          <w:tcPr>
            <w:tcW w:w="2790" w:type="dxa"/>
            <w:tcBorders>
              <w:top w:val="nil"/>
              <w:left w:val="nil"/>
              <w:bottom w:val="single" w:sz="8" w:space="0" w:color="448A99"/>
              <w:right w:val="single" w:sz="8" w:space="0" w:color="448A99"/>
            </w:tcBorders>
            <w:shd w:val="clear" w:color="000000" w:fill="D2EAF1"/>
            <w:vAlign w:val="center"/>
            <w:hideMark/>
          </w:tcPr>
          <w:p w:rsidR="00A7594B" w:rsidRPr="00A7594B" w:rsidRDefault="00A7594B" w:rsidP="00A7594B">
            <w:pPr>
              <w:jc w:val="center"/>
              <w:rPr>
                <w:sz w:val="20"/>
                <w:szCs w:val="20"/>
              </w:rPr>
            </w:pPr>
            <w:r w:rsidRPr="00A7594B">
              <w:rPr>
                <w:sz w:val="20"/>
                <w:szCs w:val="20"/>
              </w:rPr>
              <w:t>1.71</w:t>
            </w:r>
          </w:p>
        </w:tc>
      </w:tr>
      <w:tr w:rsidR="00E7173E" w:rsidRPr="00A7594B" w:rsidTr="005B6196">
        <w:trPr>
          <w:trHeight w:val="330"/>
        </w:trPr>
        <w:tc>
          <w:tcPr>
            <w:tcW w:w="3800" w:type="dxa"/>
            <w:tcBorders>
              <w:top w:val="nil"/>
              <w:left w:val="single" w:sz="8" w:space="0" w:color="448A99"/>
              <w:bottom w:val="single" w:sz="8" w:space="0" w:color="448A99"/>
              <w:right w:val="single" w:sz="8" w:space="0" w:color="448A99"/>
            </w:tcBorders>
            <w:shd w:val="clear" w:color="auto" w:fill="auto"/>
            <w:vAlign w:val="center"/>
            <w:hideMark/>
          </w:tcPr>
          <w:p w:rsidR="00A7594B" w:rsidRPr="00A7594B" w:rsidRDefault="00A7594B" w:rsidP="00A7594B">
            <w:pPr>
              <w:jc w:val="left"/>
              <w:rPr>
                <w:color w:val="000000"/>
                <w:sz w:val="20"/>
                <w:szCs w:val="20"/>
              </w:rPr>
            </w:pPr>
            <w:r w:rsidRPr="00A7594B">
              <w:rPr>
                <w:color w:val="000000"/>
                <w:sz w:val="20"/>
                <w:szCs w:val="20"/>
              </w:rPr>
              <w:t>CO</w:t>
            </w:r>
            <w:r w:rsidRPr="00A7594B">
              <w:rPr>
                <w:color w:val="000000"/>
                <w:sz w:val="20"/>
                <w:szCs w:val="20"/>
                <w:vertAlign w:val="subscript"/>
              </w:rPr>
              <w:t>2</w:t>
            </w:r>
            <w:r w:rsidRPr="00A7594B">
              <w:rPr>
                <w:color w:val="000000"/>
                <w:sz w:val="20"/>
                <w:szCs w:val="20"/>
              </w:rPr>
              <w:t xml:space="preserve"> Emissions Reduction (Tons) </w:t>
            </w:r>
            <w:r w:rsidRPr="00A7594B">
              <w:rPr>
                <w:color w:val="000000"/>
                <w:sz w:val="20"/>
                <w:szCs w:val="20"/>
                <w:vertAlign w:val="superscript"/>
              </w:rPr>
              <w:t>[d][e]</w:t>
            </w:r>
          </w:p>
        </w:tc>
        <w:tc>
          <w:tcPr>
            <w:tcW w:w="2760" w:type="dxa"/>
            <w:tcBorders>
              <w:top w:val="nil"/>
              <w:left w:val="nil"/>
              <w:bottom w:val="single" w:sz="8" w:space="0" w:color="448A99"/>
              <w:right w:val="single" w:sz="8" w:space="0" w:color="448A99"/>
            </w:tcBorders>
            <w:shd w:val="clear" w:color="auto" w:fill="auto"/>
            <w:vAlign w:val="center"/>
            <w:hideMark/>
          </w:tcPr>
          <w:p w:rsidR="00A7594B" w:rsidRPr="00A7594B" w:rsidRDefault="00A7594B" w:rsidP="00A7594B">
            <w:pPr>
              <w:jc w:val="center"/>
              <w:rPr>
                <w:sz w:val="20"/>
                <w:szCs w:val="20"/>
              </w:rPr>
            </w:pPr>
            <w:r w:rsidRPr="00A7594B">
              <w:rPr>
                <w:sz w:val="20"/>
                <w:szCs w:val="20"/>
              </w:rPr>
              <w:t>2,547,271</w:t>
            </w:r>
          </w:p>
        </w:tc>
        <w:tc>
          <w:tcPr>
            <w:tcW w:w="2790" w:type="dxa"/>
            <w:tcBorders>
              <w:top w:val="nil"/>
              <w:left w:val="nil"/>
              <w:bottom w:val="single" w:sz="8" w:space="0" w:color="448A99"/>
              <w:right w:val="single" w:sz="8" w:space="0" w:color="448A99"/>
            </w:tcBorders>
            <w:shd w:val="clear" w:color="auto" w:fill="auto"/>
            <w:vAlign w:val="center"/>
            <w:hideMark/>
          </w:tcPr>
          <w:p w:rsidR="00A7594B" w:rsidRPr="00A7594B" w:rsidRDefault="00EB7E3B" w:rsidP="00EB7E3B">
            <w:pPr>
              <w:jc w:val="center"/>
              <w:rPr>
                <w:sz w:val="20"/>
                <w:szCs w:val="20"/>
              </w:rPr>
            </w:pPr>
            <w:r>
              <w:rPr>
                <w:sz w:val="20"/>
                <w:szCs w:val="20"/>
              </w:rPr>
              <w:t>2,597,104</w:t>
            </w:r>
          </w:p>
        </w:tc>
      </w:tr>
      <w:tr w:rsidR="00A7594B" w:rsidRPr="00664065" w:rsidTr="005B6196">
        <w:trPr>
          <w:trHeight w:val="3040"/>
        </w:trPr>
        <w:tc>
          <w:tcPr>
            <w:tcW w:w="9350" w:type="dxa"/>
            <w:gridSpan w:val="3"/>
            <w:tcBorders>
              <w:top w:val="single" w:sz="8" w:space="0" w:color="448A99"/>
              <w:left w:val="single" w:sz="8" w:space="0" w:color="448A99"/>
              <w:bottom w:val="single" w:sz="8" w:space="0" w:color="448A99"/>
              <w:right w:val="nil"/>
            </w:tcBorders>
            <w:shd w:val="clear" w:color="000000" w:fill="448A99"/>
            <w:vAlign w:val="center"/>
            <w:hideMark/>
          </w:tcPr>
          <w:p w:rsidR="00A7594B" w:rsidRPr="00664065" w:rsidRDefault="00A7594B" w:rsidP="00515DCC">
            <w:pPr>
              <w:jc w:val="left"/>
              <w:rPr>
                <w:color w:val="FFFFFF"/>
                <w:sz w:val="18"/>
                <w:szCs w:val="20"/>
              </w:rPr>
            </w:pPr>
            <w:r w:rsidRPr="00664065">
              <w:rPr>
                <w:color w:val="FFFFFF"/>
                <w:sz w:val="18"/>
                <w:szCs w:val="20"/>
              </w:rPr>
              <w:t xml:space="preserve">NOTES: </w:t>
            </w:r>
            <w:r w:rsidRPr="00664065">
              <w:rPr>
                <w:color w:val="FFFFFF"/>
                <w:sz w:val="18"/>
                <w:szCs w:val="20"/>
              </w:rPr>
              <w:br/>
              <w:t>[a] Avoided supply costs, including the reduction in costs of electric energy, generation, transmission, and distribution capacity. Subject to TRC Order.</w:t>
            </w:r>
            <w:r w:rsidRPr="00664065">
              <w:rPr>
                <w:color w:val="FFFFFF"/>
                <w:sz w:val="18"/>
                <w:szCs w:val="20"/>
              </w:rPr>
              <w:br/>
              <w:t>[b] Costs paid by the program administrator and participants plus the increase in supply costs for any period when load is increased.  Subject to TRC Order.</w:t>
            </w:r>
            <w:r w:rsidRPr="00664065">
              <w:rPr>
                <w:color w:val="FFFFFF"/>
                <w:sz w:val="18"/>
                <w:szCs w:val="20"/>
              </w:rPr>
              <w:br/>
              <w:t>[c] Subject to the Commission’s August 31, 2012 TRC Order.</w:t>
            </w:r>
            <w:r w:rsidRPr="00664065">
              <w:rPr>
                <w:color w:val="FFFFFF"/>
                <w:sz w:val="18"/>
                <w:szCs w:val="20"/>
              </w:rPr>
              <w:br/>
              <w:t>[d] CO</w:t>
            </w:r>
            <w:r w:rsidRPr="00664065">
              <w:rPr>
                <w:color w:val="FFFFFF"/>
                <w:sz w:val="18"/>
                <w:szCs w:val="20"/>
                <w:vertAlign w:val="subscript"/>
              </w:rPr>
              <w:t>2</w:t>
            </w:r>
            <w:r w:rsidRPr="00664065">
              <w:rPr>
                <w:color w:val="FFFFFF"/>
                <w:sz w:val="18"/>
                <w:szCs w:val="20"/>
              </w:rPr>
              <w:t xml:space="preserve"> conversion based on 1,541 lbs CO</w:t>
            </w:r>
            <w:r w:rsidRPr="00664065">
              <w:rPr>
                <w:color w:val="FFFFFF"/>
                <w:sz w:val="18"/>
                <w:szCs w:val="20"/>
                <w:vertAlign w:val="subscript"/>
              </w:rPr>
              <w:t>2</w:t>
            </w:r>
            <w:r w:rsidRPr="00664065">
              <w:rPr>
                <w:color w:val="FFFFFF"/>
                <w:sz w:val="18"/>
                <w:szCs w:val="20"/>
              </w:rPr>
              <w:t xml:space="preserve"> per MWh according to the latest available (2015) PJM Emission Report of marginal off-peak annual CO</w:t>
            </w:r>
            <w:r w:rsidRPr="00664065">
              <w:rPr>
                <w:color w:val="FFFFFF"/>
                <w:sz w:val="18"/>
                <w:szCs w:val="20"/>
                <w:vertAlign w:val="subscript"/>
              </w:rPr>
              <w:t>2</w:t>
            </w:r>
            <w:r w:rsidRPr="00664065">
              <w:rPr>
                <w:color w:val="FFFFFF"/>
                <w:sz w:val="18"/>
                <w:szCs w:val="20"/>
              </w:rPr>
              <w:t xml:space="preserve"> emission rate.</w:t>
            </w:r>
            <w:r w:rsidRPr="00664065">
              <w:rPr>
                <w:color w:val="FFFFFF"/>
                <w:sz w:val="18"/>
                <w:szCs w:val="20"/>
              </w:rPr>
              <w:br/>
              <w:t>[e] CO</w:t>
            </w:r>
            <w:r w:rsidRPr="00664065">
              <w:rPr>
                <w:color w:val="FFFFFF"/>
                <w:sz w:val="18"/>
                <w:szCs w:val="20"/>
                <w:vertAlign w:val="subscript"/>
              </w:rPr>
              <w:t>2</w:t>
            </w:r>
            <w:r w:rsidRPr="00664065">
              <w:rPr>
                <w:color w:val="FFFFFF"/>
                <w:sz w:val="18"/>
                <w:szCs w:val="20"/>
              </w:rPr>
              <w:t xml:space="preserve"> emissions are reported due to </w:t>
            </w:r>
            <w:r w:rsidR="0096372C" w:rsidRPr="00664065">
              <w:rPr>
                <w:color w:val="FFFFFF"/>
                <w:sz w:val="18"/>
                <w:szCs w:val="20"/>
              </w:rPr>
              <w:t>s</w:t>
            </w:r>
            <w:r w:rsidRPr="00664065">
              <w:rPr>
                <w:color w:val="FFFFFF"/>
                <w:sz w:val="18"/>
                <w:szCs w:val="20"/>
              </w:rPr>
              <w:t>takeholder interest in this information and to recognize that reporting this information is recommended by the National Action Plan for Energy Efficiency.</w:t>
            </w:r>
            <w:r w:rsidRPr="00664065">
              <w:rPr>
                <w:color w:val="FFFFFF"/>
                <w:sz w:val="18"/>
                <w:szCs w:val="20"/>
              </w:rPr>
              <w:br/>
              <w:t>[f] Phase II Reported Gross Impact is the cumulative program/portfolio Phase II Inception</w:t>
            </w:r>
            <w:r w:rsidR="0096372C" w:rsidRPr="00664065">
              <w:rPr>
                <w:color w:val="FFFFFF"/>
                <w:sz w:val="18"/>
                <w:szCs w:val="20"/>
              </w:rPr>
              <w:t>-</w:t>
            </w:r>
            <w:r w:rsidRPr="00664065">
              <w:rPr>
                <w:color w:val="FFFFFF"/>
                <w:sz w:val="18"/>
                <w:szCs w:val="20"/>
              </w:rPr>
              <w:t>to</w:t>
            </w:r>
            <w:r w:rsidR="0096372C" w:rsidRPr="00664065">
              <w:rPr>
                <w:color w:val="FFFFFF"/>
                <w:sz w:val="18"/>
                <w:szCs w:val="20"/>
              </w:rPr>
              <w:t>-</w:t>
            </w:r>
            <w:r w:rsidRPr="00664065">
              <w:rPr>
                <w:color w:val="FFFFFF"/>
                <w:sz w:val="18"/>
                <w:szCs w:val="20"/>
              </w:rPr>
              <w:t>Date</w:t>
            </w:r>
            <w:r w:rsidR="0096372C" w:rsidRPr="00664065">
              <w:rPr>
                <w:color w:val="FFFFFF"/>
                <w:sz w:val="18"/>
                <w:szCs w:val="20"/>
              </w:rPr>
              <w:t>-</w:t>
            </w:r>
            <w:r w:rsidRPr="00664065">
              <w:rPr>
                <w:color w:val="FFFFFF"/>
                <w:sz w:val="18"/>
                <w:szCs w:val="20"/>
              </w:rPr>
              <w:t>Reported Gross Savings.</w:t>
            </w:r>
            <w:r w:rsidRPr="00664065">
              <w:rPr>
                <w:color w:val="FFFFFF"/>
                <w:sz w:val="18"/>
                <w:szCs w:val="20"/>
              </w:rPr>
              <w:br/>
              <w:t>[g] TRC Benefits and Costs are calculated only for verified savings, which reflect actual program results.</w:t>
            </w:r>
            <w:r w:rsidRPr="00664065">
              <w:rPr>
                <w:color w:val="FFFFFF"/>
                <w:sz w:val="18"/>
                <w:szCs w:val="20"/>
              </w:rPr>
              <w:br/>
              <w:t>[h] Phase II Verified Impact is the cumulative program/portfolio Phase II Inception</w:t>
            </w:r>
            <w:r w:rsidR="001649DE" w:rsidRPr="00664065">
              <w:rPr>
                <w:color w:val="FFFFFF"/>
                <w:sz w:val="18"/>
                <w:szCs w:val="20"/>
              </w:rPr>
              <w:t>-</w:t>
            </w:r>
            <w:r w:rsidRPr="00664065">
              <w:rPr>
                <w:color w:val="FFFFFF"/>
                <w:sz w:val="18"/>
                <w:szCs w:val="20"/>
              </w:rPr>
              <w:t>to</w:t>
            </w:r>
            <w:r w:rsidR="001649DE" w:rsidRPr="00664065">
              <w:rPr>
                <w:color w:val="FFFFFF"/>
                <w:sz w:val="18"/>
                <w:szCs w:val="20"/>
              </w:rPr>
              <w:t>-</w:t>
            </w:r>
            <w:r w:rsidRPr="00664065">
              <w:rPr>
                <w:color w:val="FFFFFF"/>
                <w:sz w:val="18"/>
                <w:szCs w:val="20"/>
              </w:rPr>
              <w:t>Date</w:t>
            </w:r>
            <w:r w:rsidR="001649DE" w:rsidRPr="00664065">
              <w:rPr>
                <w:color w:val="FFFFFF"/>
                <w:sz w:val="18"/>
                <w:szCs w:val="20"/>
              </w:rPr>
              <w:t xml:space="preserve"> </w:t>
            </w:r>
            <w:r w:rsidRPr="00664065">
              <w:rPr>
                <w:color w:val="FFFFFF"/>
                <w:sz w:val="18"/>
                <w:szCs w:val="20"/>
              </w:rPr>
              <w:t>Verified Gross Savings.</w:t>
            </w:r>
          </w:p>
        </w:tc>
      </w:tr>
    </w:tbl>
    <w:p w:rsidR="006A7FE8" w:rsidRDefault="006A7FE8" w:rsidP="0043410E"/>
    <w:p w:rsidR="00622397" w:rsidRDefault="00B10031" w:rsidP="0043410E">
      <w:r>
        <w:fldChar w:fldCharType="begin"/>
      </w:r>
      <w:r>
        <w:instrText xml:space="preserve"> REF _Ref472402035 \h </w:instrText>
      </w:r>
      <w:r>
        <w:fldChar w:fldCharType="separate"/>
      </w:r>
      <w:r w:rsidR="00CA7437">
        <w:t xml:space="preserve">Figure </w:t>
      </w:r>
      <w:r w:rsidR="00CA7437">
        <w:rPr>
          <w:noProof/>
        </w:rPr>
        <w:t>2</w:t>
      </w:r>
      <w:r w:rsidR="00CA7437">
        <w:noBreakHyphen/>
      </w:r>
      <w:r w:rsidR="00CA7437">
        <w:rPr>
          <w:noProof/>
        </w:rPr>
        <w:t>16</w:t>
      </w:r>
      <w:r>
        <w:fldChar w:fldCharType="end"/>
      </w:r>
      <w:r>
        <w:t xml:space="preserve"> shows the Phase II verified gross savings Phase I carryover</w:t>
      </w:r>
      <w:r w:rsidR="00515DCC">
        <w:t xml:space="preserve"> (CO)</w:t>
      </w:r>
      <w:r>
        <w:t xml:space="preserve"> savings compared with the aggregated EDC compliance targets. The EDCs collectively achieved enough savings during Phase II to meet the combined target, with the Phase I </w:t>
      </w:r>
      <w:r w:rsidR="00FF0629">
        <w:t xml:space="preserve">carryover </w:t>
      </w:r>
      <w:r>
        <w:t>providing a surplus of savings.</w:t>
      </w:r>
    </w:p>
    <w:p w:rsidR="00910A97" w:rsidRDefault="00910A97" w:rsidP="0043410E"/>
    <w:p w:rsidR="00B10031" w:rsidRDefault="00B10031" w:rsidP="00B10031">
      <w:pPr>
        <w:pStyle w:val="Caption"/>
      </w:pPr>
      <w:bookmarkStart w:id="167" w:name="_Ref472402035"/>
      <w:bookmarkStart w:id="168" w:name="_Toc472472223"/>
      <w:bookmarkStart w:id="169" w:name="_Toc476914037"/>
      <w:r>
        <w:t xml:space="preserve">Figure </w:t>
      </w:r>
      <w:fldSimple w:instr=" STYLEREF 1 \s ">
        <w:r w:rsidR="00C301D0">
          <w:rPr>
            <w:noProof/>
          </w:rPr>
          <w:t>2</w:t>
        </w:r>
      </w:fldSimple>
      <w:r w:rsidR="00DA1ADA">
        <w:noBreakHyphen/>
      </w:r>
      <w:fldSimple w:instr=" SEQ Figure \* ARABIC \s 1 ">
        <w:r w:rsidR="00C301D0">
          <w:rPr>
            <w:noProof/>
          </w:rPr>
          <w:t>16</w:t>
        </w:r>
      </w:fldSimple>
      <w:bookmarkEnd w:id="167"/>
      <w:r>
        <w:t>: Phase II Verified Gross Energy Impacts Statewide</w:t>
      </w:r>
      <w:bookmarkEnd w:id="168"/>
      <w:bookmarkEnd w:id="169"/>
    </w:p>
    <w:p w:rsidR="006A7FE8" w:rsidRDefault="00B10031" w:rsidP="004D17D8">
      <w:pPr>
        <w:jc w:val="center"/>
      </w:pPr>
      <w:r>
        <w:rPr>
          <w:noProof/>
        </w:rPr>
        <w:drawing>
          <wp:inline distT="0" distB="0" distL="0" distR="0" wp14:anchorId="335AD385" wp14:editId="3E716D35">
            <wp:extent cx="5387009" cy="2905022"/>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b="9472"/>
                    <a:stretch/>
                  </pic:blipFill>
                  <pic:spPr bwMode="auto">
                    <a:xfrm>
                      <a:off x="0" y="0"/>
                      <a:ext cx="5387009" cy="2905022"/>
                    </a:xfrm>
                    <a:prstGeom prst="rect">
                      <a:avLst/>
                    </a:prstGeom>
                    <a:noFill/>
                    <a:ln>
                      <a:noFill/>
                    </a:ln>
                    <a:extLst>
                      <a:ext uri="{53640926-AAD7-44D8-BBD7-CCE9431645EC}">
                        <a14:shadowObscured xmlns:a14="http://schemas.microsoft.com/office/drawing/2010/main"/>
                      </a:ext>
                    </a:extLst>
                  </pic:spPr>
                </pic:pic>
              </a:graphicData>
            </a:graphic>
          </wp:inline>
        </w:drawing>
      </w:r>
    </w:p>
    <w:p w:rsidR="006710CA" w:rsidRDefault="007C6101" w:rsidP="007C6101">
      <w:r>
        <w:lastRenderedPageBreak/>
        <w:fldChar w:fldCharType="begin"/>
      </w:r>
      <w:r>
        <w:instrText xml:space="preserve"> REF _Ref472402500 \h </w:instrText>
      </w:r>
      <w:r>
        <w:fldChar w:fldCharType="separate"/>
      </w:r>
      <w:r w:rsidR="008A7824">
        <w:t xml:space="preserve">Table </w:t>
      </w:r>
      <w:r w:rsidR="008A7824">
        <w:rPr>
          <w:noProof/>
        </w:rPr>
        <w:t>2</w:t>
      </w:r>
      <w:r w:rsidR="008A7824">
        <w:noBreakHyphen/>
      </w:r>
      <w:r w:rsidR="008A7824">
        <w:rPr>
          <w:noProof/>
        </w:rPr>
        <w:t>14</w:t>
      </w:r>
      <w:r>
        <w:fldChar w:fldCharType="end"/>
      </w:r>
      <w:r w:rsidR="006710CA">
        <w:t xml:space="preserve"> </w:t>
      </w:r>
      <w:r w:rsidR="00515DCC">
        <w:t>shows the</w:t>
      </w:r>
      <w:r w:rsidR="006710CA">
        <w:t xml:space="preserve"> Phase II gross and net lifetime energy savings. These impacts account for the measure life of the portfolio of measures offered by the EDCs. The gross lifetime savings are </w:t>
      </w:r>
      <w:r w:rsidR="006A44F5">
        <w:t>35</w:t>
      </w:r>
      <w:r w:rsidR="006710CA">
        <w:t xml:space="preserve"> million MWh. After accounting for </w:t>
      </w:r>
      <w:r w:rsidR="00515DCC">
        <w:t>NTG</w:t>
      </w:r>
      <w:r w:rsidR="006710CA">
        <w:t xml:space="preserve"> impacts, the net lifetime savings </w:t>
      </w:r>
      <w:r w:rsidR="006710CA" w:rsidRPr="006A44F5">
        <w:t>are 2</w:t>
      </w:r>
      <w:r w:rsidR="006A44F5" w:rsidRPr="006A44F5">
        <w:t>4</w:t>
      </w:r>
      <w:r w:rsidR="006710CA">
        <w:t xml:space="preserve"> million MWh in Phase II.</w:t>
      </w:r>
    </w:p>
    <w:p w:rsidR="007C6101" w:rsidRDefault="007C6101" w:rsidP="007C6101"/>
    <w:p w:rsidR="001D747B" w:rsidRDefault="001D747B" w:rsidP="001D747B">
      <w:pPr>
        <w:pStyle w:val="Caption"/>
      </w:pPr>
      <w:bookmarkStart w:id="170" w:name="_Ref472402500"/>
      <w:bookmarkStart w:id="171" w:name="_Toc472472167"/>
      <w:bookmarkStart w:id="172" w:name="_Toc476913980"/>
      <w:r>
        <w:t xml:space="preserve">Table </w:t>
      </w:r>
      <w:fldSimple w:instr=" STYLEREF 1 \s ">
        <w:r w:rsidR="008A7824">
          <w:rPr>
            <w:noProof/>
          </w:rPr>
          <w:t>2</w:t>
        </w:r>
      </w:fldSimple>
      <w:r w:rsidR="00E6042C">
        <w:noBreakHyphen/>
      </w:r>
      <w:fldSimple w:instr=" SEQ Table \* ARABIC \s 1 ">
        <w:r w:rsidR="008A7824">
          <w:rPr>
            <w:noProof/>
          </w:rPr>
          <w:t>14</w:t>
        </w:r>
      </w:fldSimple>
      <w:bookmarkEnd w:id="170"/>
      <w:r>
        <w:t xml:space="preserve">: Summary of Statewide Phase II Lifetime Annual </w:t>
      </w:r>
      <w:r w:rsidR="00515DCC">
        <w:t xml:space="preserve">Energy </w:t>
      </w:r>
      <w:r>
        <w:t>Savings</w:t>
      </w:r>
      <w:bookmarkEnd w:id="171"/>
      <w:bookmarkEnd w:id="172"/>
    </w:p>
    <w:tbl>
      <w:tblPr>
        <w:tblW w:w="9355" w:type="dxa"/>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5485"/>
        <w:gridCol w:w="3870"/>
      </w:tblGrid>
      <w:tr w:rsidR="00E7173E" w:rsidRPr="007C6101" w:rsidTr="00592FD5">
        <w:trPr>
          <w:trHeight w:val="251"/>
          <w:tblHeader/>
        </w:trPr>
        <w:tc>
          <w:tcPr>
            <w:tcW w:w="5485" w:type="dxa"/>
            <w:shd w:val="clear" w:color="000000" w:fill="448A99"/>
            <w:noWrap/>
            <w:vAlign w:val="bottom"/>
            <w:hideMark/>
          </w:tcPr>
          <w:p w:rsidR="007C6101" w:rsidRPr="007C6101" w:rsidRDefault="007C6101" w:rsidP="007C6101">
            <w:pPr>
              <w:jc w:val="left"/>
              <w:rPr>
                <w:b/>
                <w:bCs/>
                <w:color w:val="FFFFFF"/>
                <w:sz w:val="20"/>
                <w:szCs w:val="20"/>
              </w:rPr>
            </w:pPr>
            <w:r w:rsidRPr="007C6101">
              <w:rPr>
                <w:b/>
                <w:bCs/>
                <w:color w:val="FFFFFF"/>
                <w:sz w:val="20"/>
                <w:szCs w:val="20"/>
              </w:rPr>
              <w:t>Element</w:t>
            </w:r>
          </w:p>
        </w:tc>
        <w:tc>
          <w:tcPr>
            <w:tcW w:w="3870" w:type="dxa"/>
            <w:shd w:val="clear" w:color="000000" w:fill="448A99"/>
            <w:vAlign w:val="bottom"/>
            <w:hideMark/>
          </w:tcPr>
          <w:p w:rsidR="007C6101" w:rsidRPr="007C6101" w:rsidRDefault="007C6101" w:rsidP="007C6101">
            <w:pPr>
              <w:jc w:val="center"/>
              <w:rPr>
                <w:b/>
                <w:bCs/>
                <w:color w:val="FFFFFF"/>
                <w:sz w:val="20"/>
                <w:szCs w:val="20"/>
              </w:rPr>
            </w:pPr>
            <w:r w:rsidRPr="007C6101">
              <w:rPr>
                <w:b/>
                <w:bCs/>
                <w:color w:val="FFFFFF"/>
                <w:sz w:val="20"/>
                <w:szCs w:val="20"/>
              </w:rPr>
              <w:t>Statewide Total</w:t>
            </w:r>
          </w:p>
        </w:tc>
      </w:tr>
      <w:tr w:rsidR="00E7173E" w:rsidRPr="007C6101" w:rsidTr="00592FD5">
        <w:trPr>
          <w:trHeight w:val="432"/>
        </w:trPr>
        <w:tc>
          <w:tcPr>
            <w:tcW w:w="5485" w:type="dxa"/>
            <w:tcBorders>
              <w:top w:val="nil"/>
              <w:left w:val="single" w:sz="8" w:space="0" w:color="448A99"/>
              <w:bottom w:val="single" w:sz="8" w:space="0" w:color="448A99"/>
              <w:right w:val="single" w:sz="8" w:space="0" w:color="448A99"/>
            </w:tcBorders>
            <w:shd w:val="clear" w:color="auto" w:fill="auto"/>
            <w:vAlign w:val="center"/>
          </w:tcPr>
          <w:p w:rsidR="007C6101" w:rsidRPr="007C6101" w:rsidRDefault="007C6101" w:rsidP="007C6101">
            <w:pPr>
              <w:jc w:val="left"/>
              <w:rPr>
                <w:color w:val="000000"/>
                <w:sz w:val="20"/>
                <w:szCs w:val="20"/>
              </w:rPr>
            </w:pPr>
            <w:r w:rsidRPr="007C6101">
              <w:rPr>
                <w:color w:val="000000"/>
                <w:sz w:val="20"/>
                <w:szCs w:val="20"/>
              </w:rPr>
              <w:t>Phase II Gross Lifetime Savings (MWh)</w:t>
            </w:r>
          </w:p>
        </w:tc>
        <w:tc>
          <w:tcPr>
            <w:tcW w:w="3870" w:type="dxa"/>
            <w:tcBorders>
              <w:top w:val="nil"/>
              <w:left w:val="nil"/>
              <w:bottom w:val="single" w:sz="8" w:space="0" w:color="448A99"/>
              <w:right w:val="single" w:sz="8" w:space="0" w:color="448A99"/>
            </w:tcBorders>
            <w:shd w:val="clear" w:color="auto" w:fill="auto"/>
            <w:noWrap/>
            <w:vAlign w:val="center"/>
          </w:tcPr>
          <w:p w:rsidR="007C6101" w:rsidRPr="007C6101" w:rsidRDefault="006A44F5" w:rsidP="007C6101">
            <w:pPr>
              <w:jc w:val="center"/>
              <w:rPr>
                <w:color w:val="000000"/>
                <w:sz w:val="20"/>
                <w:szCs w:val="20"/>
              </w:rPr>
            </w:pPr>
            <w:r>
              <w:rPr>
                <w:color w:val="000000"/>
                <w:sz w:val="20"/>
                <w:szCs w:val="20"/>
              </w:rPr>
              <w:t>35,023,525</w:t>
            </w:r>
          </w:p>
        </w:tc>
      </w:tr>
      <w:tr w:rsidR="00A874AC" w:rsidRPr="007C6101" w:rsidTr="00592FD5">
        <w:trPr>
          <w:trHeight w:val="432"/>
        </w:trPr>
        <w:tc>
          <w:tcPr>
            <w:tcW w:w="5485" w:type="dxa"/>
            <w:tcBorders>
              <w:top w:val="nil"/>
              <w:left w:val="single" w:sz="8" w:space="0" w:color="448A99"/>
              <w:bottom w:val="single" w:sz="8" w:space="0" w:color="448A99"/>
              <w:right w:val="single" w:sz="8" w:space="0" w:color="448A99"/>
            </w:tcBorders>
            <w:shd w:val="clear" w:color="auto" w:fill="D2EAF1"/>
            <w:vAlign w:val="center"/>
          </w:tcPr>
          <w:p w:rsidR="007C6101" w:rsidRPr="007C6101" w:rsidRDefault="007C6101" w:rsidP="007C6101">
            <w:pPr>
              <w:jc w:val="left"/>
              <w:rPr>
                <w:bCs/>
                <w:color w:val="000000"/>
                <w:sz w:val="20"/>
                <w:szCs w:val="20"/>
                <w:lang w:eastAsia="zh-CN"/>
              </w:rPr>
            </w:pPr>
            <w:r w:rsidRPr="007C6101">
              <w:rPr>
                <w:color w:val="000000"/>
                <w:sz w:val="20"/>
                <w:szCs w:val="20"/>
              </w:rPr>
              <w:t>Phase II Net Lifetime Savings (MWh)</w:t>
            </w:r>
          </w:p>
        </w:tc>
        <w:tc>
          <w:tcPr>
            <w:tcW w:w="3870" w:type="dxa"/>
            <w:tcBorders>
              <w:top w:val="nil"/>
              <w:left w:val="nil"/>
              <w:bottom w:val="single" w:sz="8" w:space="0" w:color="448A99"/>
              <w:right w:val="single" w:sz="8" w:space="0" w:color="448A99"/>
            </w:tcBorders>
            <w:shd w:val="clear" w:color="auto" w:fill="D2EAF1"/>
            <w:noWrap/>
            <w:vAlign w:val="center"/>
          </w:tcPr>
          <w:p w:rsidR="007C6101" w:rsidRPr="007C6101" w:rsidRDefault="006A44F5" w:rsidP="007C6101">
            <w:pPr>
              <w:jc w:val="center"/>
              <w:rPr>
                <w:color w:val="000000"/>
                <w:sz w:val="20"/>
                <w:szCs w:val="20"/>
              </w:rPr>
            </w:pPr>
            <w:r>
              <w:rPr>
                <w:color w:val="000000"/>
                <w:sz w:val="20"/>
                <w:szCs w:val="20"/>
              </w:rPr>
              <w:t>24,270,063</w:t>
            </w:r>
          </w:p>
        </w:tc>
      </w:tr>
    </w:tbl>
    <w:p w:rsidR="001D747B" w:rsidRDefault="001D747B" w:rsidP="001D747B"/>
    <w:p w:rsidR="00515DCC" w:rsidRDefault="00515DCC" w:rsidP="001D747B">
      <w:r>
        <w:fldChar w:fldCharType="begin"/>
      </w:r>
      <w:r>
        <w:instrText xml:space="preserve"> REF _Ref473290150 \h </w:instrText>
      </w:r>
      <w:r>
        <w:fldChar w:fldCharType="separate"/>
      </w:r>
      <w:r w:rsidR="008A7824">
        <w:t xml:space="preserve">Table </w:t>
      </w:r>
      <w:r w:rsidR="008A7824">
        <w:rPr>
          <w:noProof/>
        </w:rPr>
        <w:t>2</w:t>
      </w:r>
      <w:r w:rsidR="008A7824">
        <w:noBreakHyphen/>
      </w:r>
      <w:r w:rsidR="008A7824">
        <w:rPr>
          <w:noProof/>
        </w:rPr>
        <w:t>15</w:t>
      </w:r>
      <w:r>
        <w:fldChar w:fldCharType="end"/>
      </w:r>
      <w:r>
        <w:t xml:space="preserve"> provides the Phase II reported and verified gross energy savings, as well as annual and lifetime net energy savings.</w:t>
      </w:r>
    </w:p>
    <w:p w:rsidR="004D17D8" w:rsidRDefault="004D17D8" w:rsidP="001D747B"/>
    <w:p w:rsidR="00B6697E" w:rsidRDefault="00B6697E" w:rsidP="00B6697E">
      <w:pPr>
        <w:pStyle w:val="Caption"/>
      </w:pPr>
      <w:bookmarkStart w:id="173" w:name="_Ref473290150"/>
      <w:bookmarkStart w:id="174" w:name="_Toc472472168"/>
      <w:bookmarkStart w:id="175" w:name="_Toc476913981"/>
      <w:r>
        <w:t xml:space="preserve">Table </w:t>
      </w:r>
      <w:fldSimple w:instr=" STYLEREF 1 \s ">
        <w:r w:rsidR="008A7824">
          <w:rPr>
            <w:noProof/>
          </w:rPr>
          <w:t>2</w:t>
        </w:r>
      </w:fldSimple>
      <w:r w:rsidR="00E6042C">
        <w:noBreakHyphen/>
      </w:r>
      <w:fldSimple w:instr=" SEQ Table \* ARABIC \s 1 ">
        <w:r w:rsidR="008A7824">
          <w:rPr>
            <w:noProof/>
          </w:rPr>
          <w:t>15</w:t>
        </w:r>
      </w:fldSimple>
      <w:bookmarkEnd w:id="173"/>
      <w:r>
        <w:t>: Summary of Statewide Phase II Impacts by EDC</w:t>
      </w:r>
      <w:bookmarkEnd w:id="174"/>
      <w:bookmarkEnd w:id="175"/>
    </w:p>
    <w:tbl>
      <w:tblPr>
        <w:tblW w:w="9355" w:type="dxa"/>
        <w:tblInd w:w="108" w:type="dxa"/>
        <w:tblLook w:val="04A0" w:firstRow="1" w:lastRow="0" w:firstColumn="1" w:lastColumn="0" w:noHBand="0" w:noVBand="1"/>
      </w:tblPr>
      <w:tblGrid>
        <w:gridCol w:w="1871"/>
        <w:gridCol w:w="1871"/>
        <w:gridCol w:w="1871"/>
        <w:gridCol w:w="1871"/>
        <w:gridCol w:w="1871"/>
      </w:tblGrid>
      <w:tr w:rsidR="00A874AC" w:rsidRPr="00E75B4D" w:rsidTr="00592FD5">
        <w:trPr>
          <w:trHeight w:val="780"/>
          <w:tblHeader/>
        </w:trPr>
        <w:tc>
          <w:tcPr>
            <w:tcW w:w="1871" w:type="dxa"/>
            <w:tcBorders>
              <w:top w:val="single" w:sz="4" w:space="0" w:color="448A99"/>
              <w:left w:val="single" w:sz="4" w:space="0" w:color="448A99"/>
              <w:bottom w:val="single" w:sz="4" w:space="0" w:color="448A99"/>
              <w:right w:val="single" w:sz="8" w:space="0" w:color="448A99"/>
            </w:tcBorders>
            <w:shd w:val="clear" w:color="000000" w:fill="448A99"/>
            <w:vAlign w:val="bottom"/>
            <w:hideMark/>
          </w:tcPr>
          <w:p w:rsidR="00E75B4D" w:rsidRPr="00E75B4D" w:rsidRDefault="00E75B4D" w:rsidP="00B0359A">
            <w:pPr>
              <w:rPr>
                <w:b/>
                <w:bCs/>
                <w:color w:val="FFFFFF"/>
                <w:sz w:val="20"/>
                <w:szCs w:val="20"/>
              </w:rPr>
            </w:pPr>
            <w:r w:rsidRPr="00E75B4D">
              <w:rPr>
                <w:b/>
                <w:bCs/>
                <w:color w:val="FFFFFF"/>
                <w:sz w:val="20"/>
                <w:szCs w:val="20"/>
              </w:rPr>
              <w:t>EDC</w:t>
            </w:r>
          </w:p>
        </w:tc>
        <w:tc>
          <w:tcPr>
            <w:tcW w:w="1871" w:type="dxa"/>
            <w:tcBorders>
              <w:top w:val="single" w:sz="4" w:space="0" w:color="448A99"/>
              <w:left w:val="nil"/>
              <w:bottom w:val="single" w:sz="4" w:space="0" w:color="448A99"/>
              <w:right w:val="single" w:sz="8" w:space="0" w:color="448A99"/>
            </w:tcBorders>
            <w:shd w:val="clear" w:color="000000" w:fill="448A99"/>
            <w:vAlign w:val="bottom"/>
            <w:hideMark/>
          </w:tcPr>
          <w:p w:rsidR="00E75B4D" w:rsidRPr="00E75B4D" w:rsidRDefault="00E75B4D" w:rsidP="00B0359A">
            <w:pPr>
              <w:jc w:val="center"/>
              <w:rPr>
                <w:b/>
                <w:bCs/>
                <w:color w:val="FFFFFF"/>
                <w:sz w:val="20"/>
                <w:szCs w:val="20"/>
              </w:rPr>
            </w:pPr>
            <w:r w:rsidRPr="00E75B4D">
              <w:rPr>
                <w:b/>
                <w:bCs/>
                <w:color w:val="FFFFFF"/>
                <w:sz w:val="20"/>
                <w:szCs w:val="20"/>
              </w:rPr>
              <w:t>Phase II Reported Gross Savings (MWh/yr)</w:t>
            </w:r>
          </w:p>
        </w:tc>
        <w:tc>
          <w:tcPr>
            <w:tcW w:w="1871" w:type="dxa"/>
            <w:tcBorders>
              <w:top w:val="single" w:sz="4" w:space="0" w:color="448A99"/>
              <w:left w:val="nil"/>
              <w:bottom w:val="single" w:sz="4" w:space="0" w:color="448A99"/>
              <w:right w:val="single" w:sz="8" w:space="0" w:color="448A99"/>
            </w:tcBorders>
            <w:shd w:val="clear" w:color="000000" w:fill="448A99"/>
            <w:vAlign w:val="bottom"/>
            <w:hideMark/>
          </w:tcPr>
          <w:p w:rsidR="00E75B4D" w:rsidRPr="00E75B4D" w:rsidRDefault="00E75B4D" w:rsidP="00B0359A">
            <w:pPr>
              <w:jc w:val="center"/>
              <w:rPr>
                <w:b/>
                <w:bCs/>
                <w:color w:val="FFFFFF"/>
                <w:sz w:val="20"/>
                <w:szCs w:val="20"/>
              </w:rPr>
            </w:pPr>
            <w:r w:rsidRPr="00E75B4D">
              <w:rPr>
                <w:b/>
                <w:bCs/>
                <w:color w:val="FFFFFF"/>
                <w:sz w:val="20"/>
                <w:szCs w:val="20"/>
              </w:rPr>
              <w:t>Phase II Verified Gross Savings (MWh/yr)</w:t>
            </w:r>
          </w:p>
        </w:tc>
        <w:tc>
          <w:tcPr>
            <w:tcW w:w="1871" w:type="dxa"/>
            <w:tcBorders>
              <w:top w:val="single" w:sz="4" w:space="0" w:color="448A99"/>
              <w:left w:val="nil"/>
              <w:bottom w:val="single" w:sz="4" w:space="0" w:color="448A99"/>
              <w:right w:val="single" w:sz="8" w:space="0" w:color="448A99"/>
            </w:tcBorders>
            <w:shd w:val="clear" w:color="000000" w:fill="448A99"/>
            <w:vAlign w:val="bottom"/>
            <w:hideMark/>
          </w:tcPr>
          <w:p w:rsidR="00E75B4D" w:rsidRPr="00E75B4D" w:rsidRDefault="00E75B4D" w:rsidP="00B0359A">
            <w:pPr>
              <w:jc w:val="center"/>
              <w:rPr>
                <w:b/>
                <w:bCs/>
                <w:color w:val="FFFFFF"/>
                <w:sz w:val="20"/>
                <w:szCs w:val="20"/>
              </w:rPr>
            </w:pPr>
            <w:r w:rsidRPr="00E75B4D">
              <w:rPr>
                <w:b/>
                <w:bCs/>
                <w:color w:val="FFFFFF"/>
                <w:sz w:val="20"/>
                <w:szCs w:val="20"/>
              </w:rPr>
              <w:t>Phase II Net (MWh/yr)</w:t>
            </w:r>
          </w:p>
        </w:tc>
        <w:tc>
          <w:tcPr>
            <w:tcW w:w="1871" w:type="dxa"/>
            <w:tcBorders>
              <w:top w:val="single" w:sz="4" w:space="0" w:color="448A99"/>
              <w:left w:val="nil"/>
              <w:bottom w:val="single" w:sz="4" w:space="0" w:color="448A99"/>
              <w:right w:val="single" w:sz="4" w:space="0" w:color="448A99"/>
            </w:tcBorders>
            <w:shd w:val="clear" w:color="000000" w:fill="448A99"/>
            <w:vAlign w:val="bottom"/>
            <w:hideMark/>
          </w:tcPr>
          <w:p w:rsidR="00E75B4D" w:rsidRPr="00E75B4D" w:rsidRDefault="00E75B4D" w:rsidP="00A42877">
            <w:pPr>
              <w:jc w:val="center"/>
              <w:rPr>
                <w:b/>
                <w:bCs/>
                <w:color w:val="FFFFFF"/>
                <w:sz w:val="20"/>
                <w:szCs w:val="20"/>
              </w:rPr>
            </w:pPr>
            <w:r w:rsidRPr="00E75B4D">
              <w:rPr>
                <w:b/>
                <w:bCs/>
                <w:color w:val="FFFFFF"/>
                <w:sz w:val="20"/>
                <w:szCs w:val="20"/>
              </w:rPr>
              <w:t>Phase II Net Lifetime Savings (MWh)</w:t>
            </w:r>
          </w:p>
        </w:tc>
      </w:tr>
      <w:tr w:rsidR="00A874AC" w:rsidRPr="00E75B4D" w:rsidTr="00592FD5">
        <w:trPr>
          <w:trHeight w:val="315"/>
        </w:trPr>
        <w:tc>
          <w:tcPr>
            <w:tcW w:w="1871" w:type="dxa"/>
            <w:tcBorders>
              <w:top w:val="single" w:sz="4" w:space="0" w:color="448A99"/>
              <w:left w:val="single" w:sz="8" w:space="0" w:color="448A99"/>
              <w:bottom w:val="single" w:sz="8" w:space="0" w:color="448A99"/>
              <w:right w:val="single" w:sz="8" w:space="0" w:color="448A99"/>
            </w:tcBorders>
            <w:shd w:val="clear" w:color="000000" w:fill="D2EAF1"/>
            <w:vAlign w:val="center"/>
            <w:hideMark/>
          </w:tcPr>
          <w:p w:rsidR="00E75B4D" w:rsidRPr="00E75B4D" w:rsidRDefault="00E75B4D" w:rsidP="00E75B4D">
            <w:pPr>
              <w:jc w:val="left"/>
              <w:rPr>
                <w:color w:val="000000"/>
                <w:sz w:val="20"/>
                <w:szCs w:val="20"/>
              </w:rPr>
            </w:pPr>
            <w:r w:rsidRPr="00E75B4D">
              <w:rPr>
                <w:color w:val="000000"/>
                <w:sz w:val="20"/>
                <w:szCs w:val="20"/>
              </w:rPr>
              <w:t>Duquesne</w:t>
            </w:r>
          </w:p>
        </w:tc>
        <w:tc>
          <w:tcPr>
            <w:tcW w:w="1871" w:type="dxa"/>
            <w:tcBorders>
              <w:top w:val="single" w:sz="4" w:space="0" w:color="448A99"/>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384,229</w:t>
            </w:r>
          </w:p>
        </w:tc>
        <w:tc>
          <w:tcPr>
            <w:tcW w:w="1871" w:type="dxa"/>
            <w:tcBorders>
              <w:top w:val="single" w:sz="4" w:space="0" w:color="448A99"/>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377,248</w:t>
            </w:r>
          </w:p>
        </w:tc>
        <w:tc>
          <w:tcPr>
            <w:tcW w:w="1871" w:type="dxa"/>
            <w:tcBorders>
              <w:top w:val="single" w:sz="4" w:space="0" w:color="448A99"/>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248,319</w:t>
            </w:r>
          </w:p>
        </w:tc>
        <w:tc>
          <w:tcPr>
            <w:tcW w:w="1871" w:type="dxa"/>
            <w:tcBorders>
              <w:top w:val="single" w:sz="4" w:space="0" w:color="448A99"/>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2,846,439</w:t>
            </w:r>
          </w:p>
        </w:tc>
      </w:tr>
      <w:tr w:rsidR="00E7173E" w:rsidRPr="00E75B4D" w:rsidTr="00592FD5">
        <w:trPr>
          <w:trHeight w:val="315"/>
        </w:trPr>
        <w:tc>
          <w:tcPr>
            <w:tcW w:w="1871" w:type="dxa"/>
            <w:tcBorders>
              <w:top w:val="nil"/>
              <w:left w:val="single" w:sz="8" w:space="0" w:color="448A99"/>
              <w:bottom w:val="single" w:sz="8" w:space="0" w:color="448A99"/>
              <w:right w:val="single" w:sz="8" w:space="0" w:color="448A99"/>
            </w:tcBorders>
            <w:shd w:val="clear" w:color="auto" w:fill="auto"/>
            <w:vAlign w:val="center"/>
            <w:hideMark/>
          </w:tcPr>
          <w:p w:rsidR="00E75B4D" w:rsidRPr="00E75B4D" w:rsidRDefault="00E75B4D" w:rsidP="00E75B4D">
            <w:pPr>
              <w:jc w:val="left"/>
              <w:rPr>
                <w:color w:val="000000"/>
                <w:sz w:val="20"/>
                <w:szCs w:val="20"/>
              </w:rPr>
            </w:pPr>
            <w:r w:rsidRPr="00E75B4D">
              <w:rPr>
                <w:color w:val="000000"/>
                <w:sz w:val="20"/>
                <w:szCs w:val="20"/>
              </w:rPr>
              <w:t>Met-Ed</w:t>
            </w:r>
          </w:p>
        </w:tc>
        <w:tc>
          <w:tcPr>
            <w:tcW w:w="1871" w:type="dxa"/>
            <w:tcBorders>
              <w:top w:val="nil"/>
              <w:left w:val="nil"/>
              <w:bottom w:val="single" w:sz="8" w:space="0" w:color="448A99"/>
              <w:right w:val="single" w:sz="8" w:space="0" w:color="448A99"/>
            </w:tcBorders>
            <w:shd w:val="clear" w:color="auto" w:fill="auto"/>
            <w:vAlign w:val="center"/>
            <w:hideMark/>
          </w:tcPr>
          <w:p w:rsidR="00E75B4D" w:rsidRPr="00E75B4D" w:rsidRDefault="00E75B4D" w:rsidP="00E75B4D">
            <w:pPr>
              <w:jc w:val="center"/>
              <w:rPr>
                <w:color w:val="000000"/>
                <w:sz w:val="20"/>
                <w:szCs w:val="20"/>
              </w:rPr>
            </w:pPr>
            <w:r w:rsidRPr="00E75B4D">
              <w:rPr>
                <w:color w:val="000000"/>
                <w:sz w:val="20"/>
                <w:szCs w:val="20"/>
              </w:rPr>
              <w:t>368,430</w:t>
            </w:r>
          </w:p>
        </w:tc>
        <w:tc>
          <w:tcPr>
            <w:tcW w:w="1871" w:type="dxa"/>
            <w:tcBorders>
              <w:top w:val="nil"/>
              <w:left w:val="nil"/>
              <w:bottom w:val="single" w:sz="8" w:space="0" w:color="448A99"/>
              <w:right w:val="single" w:sz="8" w:space="0" w:color="448A99"/>
            </w:tcBorders>
            <w:shd w:val="clear" w:color="auto" w:fill="auto"/>
            <w:vAlign w:val="center"/>
            <w:hideMark/>
          </w:tcPr>
          <w:p w:rsidR="00E75B4D" w:rsidRPr="00E75B4D" w:rsidRDefault="00E75B4D" w:rsidP="00E75B4D">
            <w:pPr>
              <w:jc w:val="center"/>
              <w:rPr>
                <w:color w:val="000000"/>
                <w:sz w:val="20"/>
                <w:szCs w:val="20"/>
              </w:rPr>
            </w:pPr>
            <w:r w:rsidRPr="00E75B4D">
              <w:rPr>
                <w:color w:val="000000"/>
                <w:sz w:val="20"/>
                <w:szCs w:val="20"/>
              </w:rPr>
              <w:t>368,235</w:t>
            </w:r>
          </w:p>
        </w:tc>
        <w:tc>
          <w:tcPr>
            <w:tcW w:w="1871" w:type="dxa"/>
            <w:tcBorders>
              <w:top w:val="nil"/>
              <w:left w:val="nil"/>
              <w:bottom w:val="single" w:sz="8" w:space="0" w:color="448A99"/>
              <w:right w:val="single" w:sz="8" w:space="0" w:color="448A99"/>
            </w:tcBorders>
            <w:shd w:val="clear" w:color="auto" w:fill="auto"/>
            <w:vAlign w:val="center"/>
            <w:hideMark/>
          </w:tcPr>
          <w:p w:rsidR="00E75B4D" w:rsidRPr="00E75B4D" w:rsidRDefault="00E75B4D" w:rsidP="00E75B4D">
            <w:pPr>
              <w:jc w:val="center"/>
              <w:rPr>
                <w:color w:val="000000"/>
                <w:sz w:val="20"/>
                <w:szCs w:val="20"/>
              </w:rPr>
            </w:pPr>
            <w:r w:rsidRPr="00E75B4D">
              <w:rPr>
                <w:color w:val="000000"/>
                <w:sz w:val="20"/>
                <w:szCs w:val="20"/>
              </w:rPr>
              <w:t>255,322</w:t>
            </w:r>
          </w:p>
        </w:tc>
        <w:tc>
          <w:tcPr>
            <w:tcW w:w="1871" w:type="dxa"/>
            <w:tcBorders>
              <w:top w:val="nil"/>
              <w:left w:val="nil"/>
              <w:bottom w:val="single" w:sz="8" w:space="0" w:color="448A99"/>
              <w:right w:val="single" w:sz="8" w:space="0" w:color="448A99"/>
            </w:tcBorders>
            <w:shd w:val="clear" w:color="auto" w:fill="auto"/>
            <w:vAlign w:val="center"/>
            <w:hideMark/>
          </w:tcPr>
          <w:p w:rsidR="00E75B4D" w:rsidRPr="00E75B4D" w:rsidRDefault="00E75B4D" w:rsidP="00E75B4D">
            <w:pPr>
              <w:jc w:val="center"/>
              <w:rPr>
                <w:color w:val="000000"/>
                <w:sz w:val="20"/>
                <w:szCs w:val="20"/>
              </w:rPr>
            </w:pPr>
            <w:r w:rsidRPr="00E75B4D">
              <w:rPr>
                <w:color w:val="000000"/>
                <w:sz w:val="20"/>
                <w:szCs w:val="20"/>
              </w:rPr>
              <w:t>2,257,400</w:t>
            </w:r>
          </w:p>
        </w:tc>
      </w:tr>
      <w:tr w:rsidR="00A874AC" w:rsidRPr="00E75B4D" w:rsidTr="00592FD5">
        <w:trPr>
          <w:trHeight w:val="315"/>
        </w:trPr>
        <w:tc>
          <w:tcPr>
            <w:tcW w:w="1871" w:type="dxa"/>
            <w:tcBorders>
              <w:top w:val="nil"/>
              <w:left w:val="single" w:sz="8" w:space="0" w:color="448A99"/>
              <w:bottom w:val="single" w:sz="8" w:space="0" w:color="448A99"/>
              <w:right w:val="single" w:sz="8" w:space="0" w:color="448A99"/>
            </w:tcBorders>
            <w:shd w:val="clear" w:color="000000" w:fill="D2EAF1"/>
            <w:vAlign w:val="center"/>
            <w:hideMark/>
          </w:tcPr>
          <w:p w:rsidR="00E75B4D" w:rsidRPr="00E75B4D" w:rsidRDefault="00E75B4D" w:rsidP="00E75B4D">
            <w:pPr>
              <w:jc w:val="left"/>
              <w:rPr>
                <w:color w:val="000000"/>
                <w:sz w:val="20"/>
                <w:szCs w:val="20"/>
              </w:rPr>
            </w:pPr>
            <w:r w:rsidRPr="00E75B4D">
              <w:rPr>
                <w:color w:val="000000"/>
                <w:sz w:val="20"/>
                <w:szCs w:val="20"/>
              </w:rPr>
              <w:t>Penelec</w:t>
            </w:r>
          </w:p>
        </w:tc>
        <w:tc>
          <w:tcPr>
            <w:tcW w:w="1871" w:type="dxa"/>
            <w:tcBorders>
              <w:top w:val="nil"/>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369,044</w:t>
            </w:r>
          </w:p>
        </w:tc>
        <w:tc>
          <w:tcPr>
            <w:tcW w:w="1871" w:type="dxa"/>
            <w:tcBorders>
              <w:top w:val="nil"/>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368,508</w:t>
            </w:r>
          </w:p>
        </w:tc>
        <w:tc>
          <w:tcPr>
            <w:tcW w:w="1871" w:type="dxa"/>
            <w:tcBorders>
              <w:top w:val="nil"/>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265,869</w:t>
            </w:r>
          </w:p>
        </w:tc>
        <w:tc>
          <w:tcPr>
            <w:tcW w:w="1871" w:type="dxa"/>
            <w:tcBorders>
              <w:top w:val="nil"/>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2,490,361</w:t>
            </w:r>
          </w:p>
        </w:tc>
      </w:tr>
      <w:tr w:rsidR="00E7173E" w:rsidRPr="00E75B4D" w:rsidTr="00592FD5">
        <w:trPr>
          <w:trHeight w:val="315"/>
        </w:trPr>
        <w:tc>
          <w:tcPr>
            <w:tcW w:w="1871" w:type="dxa"/>
            <w:tcBorders>
              <w:top w:val="nil"/>
              <w:left w:val="single" w:sz="8" w:space="0" w:color="448A99"/>
              <w:bottom w:val="single" w:sz="8" w:space="0" w:color="448A99"/>
              <w:right w:val="single" w:sz="8" w:space="0" w:color="448A99"/>
            </w:tcBorders>
            <w:shd w:val="clear" w:color="auto" w:fill="auto"/>
            <w:vAlign w:val="center"/>
            <w:hideMark/>
          </w:tcPr>
          <w:p w:rsidR="00E75B4D" w:rsidRPr="00E75B4D" w:rsidRDefault="00E75B4D" w:rsidP="00E75B4D">
            <w:pPr>
              <w:jc w:val="left"/>
              <w:rPr>
                <w:color w:val="000000"/>
                <w:sz w:val="20"/>
                <w:szCs w:val="20"/>
              </w:rPr>
            </w:pPr>
            <w:r w:rsidRPr="00E75B4D">
              <w:rPr>
                <w:color w:val="000000"/>
                <w:sz w:val="20"/>
                <w:szCs w:val="20"/>
              </w:rPr>
              <w:t>Penn Power</w:t>
            </w:r>
          </w:p>
        </w:tc>
        <w:tc>
          <w:tcPr>
            <w:tcW w:w="1871" w:type="dxa"/>
            <w:tcBorders>
              <w:top w:val="nil"/>
              <w:left w:val="nil"/>
              <w:bottom w:val="single" w:sz="8" w:space="0" w:color="448A99"/>
              <w:right w:val="single" w:sz="8" w:space="0" w:color="448A99"/>
            </w:tcBorders>
            <w:shd w:val="clear" w:color="auto" w:fill="auto"/>
            <w:vAlign w:val="center"/>
            <w:hideMark/>
          </w:tcPr>
          <w:p w:rsidR="00E75B4D" w:rsidRPr="00E75B4D" w:rsidRDefault="00E75B4D" w:rsidP="00E75B4D">
            <w:pPr>
              <w:jc w:val="center"/>
              <w:rPr>
                <w:color w:val="000000"/>
                <w:sz w:val="20"/>
                <w:szCs w:val="20"/>
              </w:rPr>
            </w:pPr>
            <w:r w:rsidRPr="00E75B4D">
              <w:rPr>
                <w:color w:val="000000"/>
                <w:sz w:val="20"/>
                <w:szCs w:val="20"/>
              </w:rPr>
              <w:t>104,933</w:t>
            </w:r>
          </w:p>
        </w:tc>
        <w:tc>
          <w:tcPr>
            <w:tcW w:w="1871" w:type="dxa"/>
            <w:tcBorders>
              <w:top w:val="nil"/>
              <w:left w:val="nil"/>
              <w:bottom w:val="single" w:sz="8" w:space="0" w:color="448A99"/>
              <w:right w:val="single" w:sz="8" w:space="0" w:color="448A99"/>
            </w:tcBorders>
            <w:shd w:val="clear" w:color="auto" w:fill="auto"/>
            <w:vAlign w:val="center"/>
            <w:hideMark/>
          </w:tcPr>
          <w:p w:rsidR="00E75B4D" w:rsidRPr="00E75B4D" w:rsidRDefault="00E75B4D" w:rsidP="00E75B4D">
            <w:pPr>
              <w:jc w:val="center"/>
              <w:rPr>
                <w:color w:val="000000"/>
                <w:sz w:val="20"/>
                <w:szCs w:val="20"/>
              </w:rPr>
            </w:pPr>
            <w:r w:rsidRPr="00E75B4D">
              <w:rPr>
                <w:color w:val="000000"/>
                <w:sz w:val="20"/>
                <w:szCs w:val="20"/>
              </w:rPr>
              <w:t>109,368</w:t>
            </w:r>
          </w:p>
        </w:tc>
        <w:tc>
          <w:tcPr>
            <w:tcW w:w="1871" w:type="dxa"/>
            <w:tcBorders>
              <w:top w:val="nil"/>
              <w:left w:val="nil"/>
              <w:bottom w:val="single" w:sz="8" w:space="0" w:color="448A99"/>
              <w:right w:val="single" w:sz="8" w:space="0" w:color="448A99"/>
            </w:tcBorders>
            <w:shd w:val="clear" w:color="auto" w:fill="auto"/>
            <w:vAlign w:val="center"/>
            <w:hideMark/>
          </w:tcPr>
          <w:p w:rsidR="00E75B4D" w:rsidRPr="00E75B4D" w:rsidRDefault="00E75B4D" w:rsidP="00E75B4D">
            <w:pPr>
              <w:jc w:val="center"/>
              <w:rPr>
                <w:color w:val="000000"/>
                <w:sz w:val="20"/>
                <w:szCs w:val="20"/>
              </w:rPr>
            </w:pPr>
            <w:r w:rsidRPr="00E75B4D">
              <w:rPr>
                <w:color w:val="000000"/>
                <w:sz w:val="20"/>
                <w:szCs w:val="20"/>
              </w:rPr>
              <w:t>72,774</w:t>
            </w:r>
          </w:p>
        </w:tc>
        <w:tc>
          <w:tcPr>
            <w:tcW w:w="1871" w:type="dxa"/>
            <w:tcBorders>
              <w:top w:val="nil"/>
              <w:left w:val="nil"/>
              <w:bottom w:val="single" w:sz="8" w:space="0" w:color="448A99"/>
              <w:right w:val="single" w:sz="8" w:space="0" w:color="448A99"/>
            </w:tcBorders>
            <w:shd w:val="clear" w:color="auto" w:fill="auto"/>
            <w:vAlign w:val="center"/>
            <w:hideMark/>
          </w:tcPr>
          <w:p w:rsidR="00E75B4D" w:rsidRPr="00E75B4D" w:rsidRDefault="00E75B4D" w:rsidP="00E75B4D">
            <w:pPr>
              <w:jc w:val="center"/>
              <w:rPr>
                <w:color w:val="000000"/>
                <w:sz w:val="20"/>
                <w:szCs w:val="20"/>
              </w:rPr>
            </w:pPr>
            <w:r w:rsidRPr="00E75B4D">
              <w:rPr>
                <w:color w:val="000000"/>
                <w:sz w:val="20"/>
                <w:szCs w:val="20"/>
              </w:rPr>
              <w:t>695,946</w:t>
            </w:r>
          </w:p>
        </w:tc>
      </w:tr>
      <w:tr w:rsidR="00A874AC" w:rsidRPr="00E75B4D" w:rsidTr="00592FD5">
        <w:trPr>
          <w:trHeight w:val="315"/>
        </w:trPr>
        <w:tc>
          <w:tcPr>
            <w:tcW w:w="1871" w:type="dxa"/>
            <w:tcBorders>
              <w:top w:val="nil"/>
              <w:left w:val="single" w:sz="8" w:space="0" w:color="448A99"/>
              <w:bottom w:val="single" w:sz="8" w:space="0" w:color="448A99"/>
              <w:right w:val="single" w:sz="8" w:space="0" w:color="448A99"/>
            </w:tcBorders>
            <w:shd w:val="clear" w:color="000000" w:fill="D2EAF1"/>
            <w:vAlign w:val="center"/>
            <w:hideMark/>
          </w:tcPr>
          <w:p w:rsidR="00E75B4D" w:rsidRPr="00E75B4D" w:rsidRDefault="00E75B4D" w:rsidP="005956C0">
            <w:pPr>
              <w:jc w:val="left"/>
              <w:rPr>
                <w:color w:val="000000"/>
                <w:sz w:val="20"/>
                <w:szCs w:val="20"/>
              </w:rPr>
            </w:pPr>
            <w:r w:rsidRPr="00E75B4D">
              <w:rPr>
                <w:color w:val="000000"/>
                <w:sz w:val="20"/>
                <w:szCs w:val="20"/>
              </w:rPr>
              <w:t xml:space="preserve">West Penn </w:t>
            </w:r>
          </w:p>
        </w:tc>
        <w:tc>
          <w:tcPr>
            <w:tcW w:w="1871" w:type="dxa"/>
            <w:tcBorders>
              <w:top w:val="nil"/>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357,544</w:t>
            </w:r>
          </w:p>
        </w:tc>
        <w:tc>
          <w:tcPr>
            <w:tcW w:w="1871" w:type="dxa"/>
            <w:tcBorders>
              <w:top w:val="nil"/>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358,073</w:t>
            </w:r>
          </w:p>
        </w:tc>
        <w:tc>
          <w:tcPr>
            <w:tcW w:w="1871" w:type="dxa"/>
            <w:tcBorders>
              <w:top w:val="nil"/>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254,263</w:t>
            </w:r>
          </w:p>
        </w:tc>
        <w:tc>
          <w:tcPr>
            <w:tcW w:w="1871" w:type="dxa"/>
            <w:tcBorders>
              <w:top w:val="nil"/>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2,432,033</w:t>
            </w:r>
          </w:p>
        </w:tc>
      </w:tr>
      <w:tr w:rsidR="00E7173E" w:rsidRPr="00E75B4D" w:rsidTr="00592FD5">
        <w:trPr>
          <w:trHeight w:val="315"/>
        </w:trPr>
        <w:tc>
          <w:tcPr>
            <w:tcW w:w="1871" w:type="dxa"/>
            <w:tcBorders>
              <w:top w:val="nil"/>
              <w:left w:val="single" w:sz="8" w:space="0" w:color="448A99"/>
              <w:bottom w:val="single" w:sz="8" w:space="0" w:color="448A99"/>
              <w:right w:val="single" w:sz="8" w:space="0" w:color="448A99"/>
            </w:tcBorders>
            <w:shd w:val="clear" w:color="auto" w:fill="auto"/>
            <w:vAlign w:val="center"/>
            <w:hideMark/>
          </w:tcPr>
          <w:p w:rsidR="00E75B4D" w:rsidRPr="00E75B4D" w:rsidRDefault="00E75B4D" w:rsidP="00E75B4D">
            <w:pPr>
              <w:jc w:val="left"/>
              <w:rPr>
                <w:color w:val="000000"/>
                <w:sz w:val="20"/>
                <w:szCs w:val="20"/>
              </w:rPr>
            </w:pPr>
            <w:r w:rsidRPr="00E75B4D">
              <w:rPr>
                <w:color w:val="000000"/>
                <w:sz w:val="20"/>
                <w:szCs w:val="20"/>
              </w:rPr>
              <w:t>PECO</w:t>
            </w:r>
          </w:p>
        </w:tc>
        <w:tc>
          <w:tcPr>
            <w:tcW w:w="1871" w:type="dxa"/>
            <w:tcBorders>
              <w:top w:val="nil"/>
              <w:left w:val="nil"/>
              <w:bottom w:val="single" w:sz="8" w:space="0" w:color="448A99"/>
              <w:right w:val="single" w:sz="8" w:space="0" w:color="448A99"/>
            </w:tcBorders>
            <w:shd w:val="clear" w:color="auto" w:fill="auto"/>
            <w:vAlign w:val="center"/>
            <w:hideMark/>
          </w:tcPr>
          <w:p w:rsidR="00E75B4D" w:rsidRPr="00E75B4D" w:rsidRDefault="00E75B4D" w:rsidP="00E75B4D">
            <w:pPr>
              <w:jc w:val="center"/>
              <w:rPr>
                <w:color w:val="000000"/>
                <w:sz w:val="20"/>
                <w:szCs w:val="20"/>
              </w:rPr>
            </w:pPr>
            <w:r w:rsidRPr="00E75B4D">
              <w:rPr>
                <w:color w:val="000000"/>
                <w:sz w:val="20"/>
                <w:szCs w:val="20"/>
              </w:rPr>
              <w:t>1,001,723</w:t>
            </w:r>
          </w:p>
        </w:tc>
        <w:tc>
          <w:tcPr>
            <w:tcW w:w="1871" w:type="dxa"/>
            <w:tcBorders>
              <w:top w:val="nil"/>
              <w:left w:val="nil"/>
              <w:bottom w:val="single" w:sz="8" w:space="0" w:color="448A99"/>
              <w:right w:val="single" w:sz="8" w:space="0" w:color="448A99"/>
            </w:tcBorders>
            <w:shd w:val="clear" w:color="auto" w:fill="auto"/>
            <w:vAlign w:val="center"/>
            <w:hideMark/>
          </w:tcPr>
          <w:p w:rsidR="00E75B4D" w:rsidRPr="00E75B4D" w:rsidRDefault="00E75B4D" w:rsidP="00E75B4D">
            <w:pPr>
              <w:jc w:val="center"/>
              <w:rPr>
                <w:color w:val="000000"/>
                <w:sz w:val="20"/>
                <w:szCs w:val="20"/>
              </w:rPr>
            </w:pPr>
            <w:r w:rsidRPr="00E75B4D">
              <w:rPr>
                <w:color w:val="000000"/>
                <w:sz w:val="20"/>
                <w:szCs w:val="20"/>
              </w:rPr>
              <w:t>1,090,505</w:t>
            </w:r>
          </w:p>
        </w:tc>
        <w:tc>
          <w:tcPr>
            <w:tcW w:w="1871" w:type="dxa"/>
            <w:tcBorders>
              <w:top w:val="nil"/>
              <w:left w:val="nil"/>
              <w:bottom w:val="single" w:sz="8" w:space="0" w:color="448A99"/>
              <w:right w:val="single" w:sz="8" w:space="0" w:color="448A99"/>
            </w:tcBorders>
            <w:shd w:val="clear" w:color="auto" w:fill="auto"/>
            <w:vAlign w:val="center"/>
            <w:hideMark/>
          </w:tcPr>
          <w:p w:rsidR="00E75B4D" w:rsidRPr="00E75B4D" w:rsidRDefault="00E75B4D" w:rsidP="00E75B4D">
            <w:pPr>
              <w:jc w:val="center"/>
              <w:rPr>
                <w:color w:val="000000"/>
                <w:sz w:val="20"/>
                <w:szCs w:val="20"/>
              </w:rPr>
            </w:pPr>
            <w:r w:rsidRPr="00E75B4D">
              <w:rPr>
                <w:color w:val="000000"/>
                <w:sz w:val="20"/>
                <w:szCs w:val="20"/>
              </w:rPr>
              <w:t>743,747</w:t>
            </w:r>
          </w:p>
        </w:tc>
        <w:tc>
          <w:tcPr>
            <w:tcW w:w="1871" w:type="dxa"/>
            <w:tcBorders>
              <w:top w:val="nil"/>
              <w:left w:val="nil"/>
              <w:bottom w:val="single" w:sz="8" w:space="0" w:color="448A99"/>
              <w:right w:val="single" w:sz="8" w:space="0" w:color="448A99"/>
            </w:tcBorders>
            <w:shd w:val="clear" w:color="auto" w:fill="auto"/>
            <w:vAlign w:val="center"/>
            <w:hideMark/>
          </w:tcPr>
          <w:p w:rsidR="00E75B4D" w:rsidRPr="00E75B4D" w:rsidRDefault="00E75B4D" w:rsidP="00E75B4D">
            <w:pPr>
              <w:jc w:val="center"/>
              <w:rPr>
                <w:color w:val="000000"/>
                <w:sz w:val="20"/>
                <w:szCs w:val="20"/>
              </w:rPr>
            </w:pPr>
            <w:r w:rsidRPr="00E75B4D">
              <w:rPr>
                <w:color w:val="000000"/>
                <w:sz w:val="20"/>
                <w:szCs w:val="20"/>
              </w:rPr>
              <w:t>7,475,429</w:t>
            </w:r>
          </w:p>
        </w:tc>
      </w:tr>
      <w:tr w:rsidR="00A874AC" w:rsidRPr="00E75B4D" w:rsidTr="00592FD5">
        <w:trPr>
          <w:trHeight w:val="315"/>
        </w:trPr>
        <w:tc>
          <w:tcPr>
            <w:tcW w:w="1871" w:type="dxa"/>
            <w:tcBorders>
              <w:top w:val="nil"/>
              <w:left w:val="single" w:sz="8" w:space="0" w:color="448A99"/>
              <w:bottom w:val="single" w:sz="8" w:space="0" w:color="448A99"/>
              <w:right w:val="single" w:sz="8" w:space="0" w:color="448A99"/>
            </w:tcBorders>
            <w:shd w:val="clear" w:color="000000" w:fill="D2EAF1"/>
            <w:vAlign w:val="center"/>
            <w:hideMark/>
          </w:tcPr>
          <w:p w:rsidR="00E75B4D" w:rsidRPr="00E75B4D" w:rsidRDefault="00E75B4D" w:rsidP="00E75B4D">
            <w:pPr>
              <w:jc w:val="left"/>
              <w:rPr>
                <w:color w:val="000000"/>
                <w:sz w:val="20"/>
                <w:szCs w:val="20"/>
              </w:rPr>
            </w:pPr>
            <w:r w:rsidRPr="00E75B4D">
              <w:rPr>
                <w:color w:val="000000"/>
                <w:sz w:val="20"/>
                <w:szCs w:val="20"/>
              </w:rPr>
              <w:t>PPL</w:t>
            </w:r>
          </w:p>
        </w:tc>
        <w:tc>
          <w:tcPr>
            <w:tcW w:w="1871" w:type="dxa"/>
            <w:tcBorders>
              <w:top w:val="nil"/>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720,094</w:t>
            </w:r>
          </w:p>
        </w:tc>
        <w:tc>
          <w:tcPr>
            <w:tcW w:w="1871" w:type="dxa"/>
            <w:tcBorders>
              <w:top w:val="nil"/>
              <w:left w:val="nil"/>
              <w:bottom w:val="single" w:sz="8" w:space="0" w:color="448A99"/>
              <w:right w:val="single" w:sz="8" w:space="0" w:color="448A99"/>
            </w:tcBorders>
            <w:shd w:val="clear" w:color="000000" w:fill="D2EAF1"/>
            <w:vAlign w:val="center"/>
            <w:hideMark/>
          </w:tcPr>
          <w:p w:rsidR="00E75B4D" w:rsidRPr="00E75B4D" w:rsidRDefault="0075526B" w:rsidP="00E75B4D">
            <w:pPr>
              <w:jc w:val="center"/>
              <w:rPr>
                <w:color w:val="000000"/>
                <w:sz w:val="20"/>
                <w:szCs w:val="20"/>
              </w:rPr>
            </w:pPr>
            <w:r>
              <w:rPr>
                <w:color w:val="000000"/>
                <w:sz w:val="20"/>
                <w:szCs w:val="20"/>
              </w:rPr>
              <w:t>698,736</w:t>
            </w:r>
          </w:p>
        </w:tc>
        <w:tc>
          <w:tcPr>
            <w:tcW w:w="1871" w:type="dxa"/>
            <w:tcBorders>
              <w:top w:val="nil"/>
              <w:left w:val="nil"/>
              <w:bottom w:val="single" w:sz="8" w:space="0" w:color="448A99"/>
              <w:right w:val="single" w:sz="8" w:space="0" w:color="448A99"/>
            </w:tcBorders>
            <w:shd w:val="clear" w:color="000000" w:fill="D2EAF1"/>
            <w:vAlign w:val="center"/>
            <w:hideMark/>
          </w:tcPr>
          <w:p w:rsidR="00E75B4D" w:rsidRPr="00E75B4D" w:rsidRDefault="00845C4B" w:rsidP="00E75B4D">
            <w:pPr>
              <w:jc w:val="center"/>
              <w:rPr>
                <w:color w:val="000000"/>
                <w:sz w:val="20"/>
                <w:szCs w:val="20"/>
              </w:rPr>
            </w:pPr>
            <w:r>
              <w:rPr>
                <w:color w:val="000000"/>
                <w:sz w:val="20"/>
                <w:szCs w:val="20"/>
              </w:rPr>
              <w:t>538,248</w:t>
            </w:r>
          </w:p>
        </w:tc>
        <w:tc>
          <w:tcPr>
            <w:tcW w:w="1871" w:type="dxa"/>
            <w:tcBorders>
              <w:top w:val="nil"/>
              <w:left w:val="nil"/>
              <w:bottom w:val="single" w:sz="8" w:space="0" w:color="448A99"/>
              <w:right w:val="single" w:sz="8" w:space="0" w:color="448A99"/>
            </w:tcBorders>
            <w:shd w:val="clear" w:color="000000" w:fill="D2EAF1"/>
            <w:vAlign w:val="center"/>
            <w:hideMark/>
          </w:tcPr>
          <w:p w:rsidR="00E75B4D" w:rsidRPr="00E75B4D" w:rsidRDefault="00E75B4D" w:rsidP="00E75B4D">
            <w:pPr>
              <w:jc w:val="center"/>
              <w:rPr>
                <w:color w:val="000000"/>
                <w:sz w:val="20"/>
                <w:szCs w:val="20"/>
              </w:rPr>
            </w:pPr>
            <w:r w:rsidRPr="00E75B4D">
              <w:rPr>
                <w:color w:val="000000"/>
                <w:sz w:val="20"/>
                <w:szCs w:val="20"/>
              </w:rPr>
              <w:t>6,072,455</w:t>
            </w:r>
          </w:p>
        </w:tc>
      </w:tr>
      <w:tr w:rsidR="00845C4B" w:rsidRPr="00E75B4D" w:rsidTr="00592FD5">
        <w:trPr>
          <w:trHeight w:val="315"/>
        </w:trPr>
        <w:tc>
          <w:tcPr>
            <w:tcW w:w="1871" w:type="dxa"/>
            <w:tcBorders>
              <w:top w:val="nil"/>
              <w:left w:val="single" w:sz="8" w:space="0" w:color="448A99"/>
              <w:bottom w:val="single" w:sz="8" w:space="0" w:color="448A99"/>
              <w:right w:val="single" w:sz="8" w:space="0" w:color="448A99"/>
            </w:tcBorders>
            <w:shd w:val="clear" w:color="auto" w:fill="auto"/>
            <w:vAlign w:val="center"/>
            <w:hideMark/>
          </w:tcPr>
          <w:p w:rsidR="00845C4B" w:rsidRPr="00E75B4D" w:rsidRDefault="00845C4B" w:rsidP="00845C4B">
            <w:pPr>
              <w:jc w:val="left"/>
              <w:rPr>
                <w:b/>
                <w:bCs/>
                <w:color w:val="000000"/>
                <w:sz w:val="20"/>
                <w:szCs w:val="20"/>
              </w:rPr>
            </w:pPr>
            <w:r w:rsidRPr="00E75B4D">
              <w:rPr>
                <w:b/>
                <w:bCs/>
                <w:color w:val="000000"/>
                <w:sz w:val="20"/>
                <w:szCs w:val="20"/>
              </w:rPr>
              <w:t>Total</w:t>
            </w:r>
          </w:p>
        </w:tc>
        <w:tc>
          <w:tcPr>
            <w:tcW w:w="1871" w:type="dxa"/>
            <w:tcBorders>
              <w:top w:val="nil"/>
              <w:left w:val="nil"/>
              <w:bottom w:val="single" w:sz="8" w:space="0" w:color="448A99"/>
              <w:right w:val="single" w:sz="8" w:space="0" w:color="448A99"/>
            </w:tcBorders>
            <w:shd w:val="clear" w:color="auto" w:fill="auto"/>
            <w:vAlign w:val="center"/>
            <w:hideMark/>
          </w:tcPr>
          <w:p w:rsidR="00845C4B" w:rsidRPr="00E75B4D" w:rsidRDefault="00845C4B" w:rsidP="00845C4B">
            <w:pPr>
              <w:jc w:val="center"/>
              <w:rPr>
                <w:b/>
                <w:bCs/>
                <w:color w:val="000000"/>
                <w:sz w:val="20"/>
                <w:szCs w:val="20"/>
              </w:rPr>
            </w:pPr>
            <w:r>
              <w:rPr>
                <w:b/>
                <w:bCs/>
                <w:color w:val="000000"/>
                <w:sz w:val="20"/>
                <w:szCs w:val="20"/>
              </w:rPr>
              <w:t>3,305,997</w:t>
            </w:r>
          </w:p>
        </w:tc>
        <w:tc>
          <w:tcPr>
            <w:tcW w:w="1871" w:type="dxa"/>
            <w:tcBorders>
              <w:top w:val="nil"/>
              <w:left w:val="nil"/>
              <w:bottom w:val="single" w:sz="8" w:space="0" w:color="448A99"/>
              <w:right w:val="single" w:sz="8" w:space="0" w:color="448A99"/>
            </w:tcBorders>
            <w:shd w:val="clear" w:color="auto" w:fill="auto"/>
            <w:vAlign w:val="center"/>
            <w:hideMark/>
          </w:tcPr>
          <w:p w:rsidR="00845C4B" w:rsidRPr="00E75B4D" w:rsidRDefault="00845C4B" w:rsidP="00845C4B">
            <w:pPr>
              <w:jc w:val="center"/>
              <w:rPr>
                <w:b/>
                <w:bCs/>
                <w:color w:val="000000"/>
                <w:sz w:val="20"/>
                <w:szCs w:val="20"/>
              </w:rPr>
            </w:pPr>
            <w:r>
              <w:rPr>
                <w:b/>
                <w:bCs/>
                <w:color w:val="000000"/>
                <w:sz w:val="20"/>
                <w:szCs w:val="20"/>
              </w:rPr>
              <w:t>3,370,673</w:t>
            </w:r>
          </w:p>
        </w:tc>
        <w:tc>
          <w:tcPr>
            <w:tcW w:w="1871" w:type="dxa"/>
            <w:tcBorders>
              <w:top w:val="nil"/>
              <w:left w:val="nil"/>
              <w:bottom w:val="single" w:sz="8" w:space="0" w:color="448A99"/>
              <w:right w:val="single" w:sz="8" w:space="0" w:color="448A99"/>
            </w:tcBorders>
            <w:shd w:val="clear" w:color="auto" w:fill="auto"/>
            <w:vAlign w:val="center"/>
            <w:hideMark/>
          </w:tcPr>
          <w:p w:rsidR="00845C4B" w:rsidRPr="00E75B4D" w:rsidRDefault="00845C4B" w:rsidP="00845C4B">
            <w:pPr>
              <w:jc w:val="center"/>
              <w:rPr>
                <w:b/>
                <w:bCs/>
                <w:color w:val="000000"/>
                <w:sz w:val="20"/>
                <w:szCs w:val="20"/>
              </w:rPr>
            </w:pPr>
            <w:r>
              <w:rPr>
                <w:b/>
                <w:bCs/>
                <w:color w:val="000000"/>
                <w:sz w:val="20"/>
                <w:szCs w:val="20"/>
              </w:rPr>
              <w:t>2,378,542</w:t>
            </w:r>
          </w:p>
        </w:tc>
        <w:tc>
          <w:tcPr>
            <w:tcW w:w="1871" w:type="dxa"/>
            <w:tcBorders>
              <w:top w:val="nil"/>
              <w:left w:val="nil"/>
              <w:bottom w:val="single" w:sz="8" w:space="0" w:color="448A99"/>
              <w:right w:val="single" w:sz="8" w:space="0" w:color="448A99"/>
            </w:tcBorders>
            <w:shd w:val="clear" w:color="auto" w:fill="auto"/>
            <w:vAlign w:val="center"/>
            <w:hideMark/>
          </w:tcPr>
          <w:p w:rsidR="00845C4B" w:rsidRPr="00E75B4D" w:rsidRDefault="00845C4B" w:rsidP="00845C4B">
            <w:pPr>
              <w:jc w:val="center"/>
              <w:rPr>
                <w:b/>
                <w:bCs/>
                <w:color w:val="000000"/>
                <w:sz w:val="20"/>
                <w:szCs w:val="20"/>
              </w:rPr>
            </w:pPr>
            <w:r>
              <w:rPr>
                <w:b/>
                <w:bCs/>
                <w:color w:val="000000"/>
                <w:sz w:val="20"/>
                <w:szCs w:val="20"/>
              </w:rPr>
              <w:t>24,270,063</w:t>
            </w:r>
          </w:p>
        </w:tc>
      </w:tr>
    </w:tbl>
    <w:p w:rsidR="00BF215F" w:rsidRPr="001D747B" w:rsidRDefault="00BF215F" w:rsidP="001D747B">
      <w:bookmarkStart w:id="176" w:name="_Toc472472096"/>
    </w:p>
    <w:p w:rsidR="006058D6" w:rsidRDefault="006058D6" w:rsidP="006058D6">
      <w:pPr>
        <w:pStyle w:val="Heading3"/>
      </w:pPr>
      <w:bookmarkStart w:id="177" w:name="_Toc476913908"/>
      <w:r>
        <w:t>Duquesne</w:t>
      </w:r>
      <w:r w:rsidR="00DD6B4C">
        <w:t xml:space="preserve"> Light</w:t>
      </w:r>
      <w:bookmarkEnd w:id="176"/>
      <w:bookmarkEnd w:id="177"/>
    </w:p>
    <w:p w:rsidR="0043410E" w:rsidRDefault="001E4D27" w:rsidP="0043410E">
      <w:r>
        <w:fldChar w:fldCharType="begin"/>
      </w:r>
      <w:r>
        <w:instrText xml:space="preserve"> REF _Ref472267314 \h </w:instrText>
      </w:r>
      <w:r>
        <w:fldChar w:fldCharType="separate"/>
      </w:r>
      <w:r w:rsidR="008A7824">
        <w:t xml:space="preserve">Table </w:t>
      </w:r>
      <w:r w:rsidR="008A7824">
        <w:rPr>
          <w:noProof/>
        </w:rPr>
        <w:t>2</w:t>
      </w:r>
      <w:r w:rsidR="008A7824">
        <w:noBreakHyphen/>
      </w:r>
      <w:r w:rsidR="008A7824">
        <w:rPr>
          <w:noProof/>
        </w:rPr>
        <w:t>16</w:t>
      </w:r>
      <w:r>
        <w:fldChar w:fldCharType="end"/>
      </w:r>
      <w:r>
        <w:t xml:space="preserve"> </w:t>
      </w:r>
      <w:r w:rsidRPr="001E4D27">
        <w:t xml:space="preserve">provides an overview of Duquesne’s cumulative reported gross (RG) and verified gross (VG) savings impacts, and carryover (CO) savings since the inception </w:t>
      </w:r>
      <w:r w:rsidR="00C03CB0">
        <w:t xml:space="preserve">of its EE&amp;C programs </w:t>
      </w:r>
      <w:r w:rsidRPr="001E4D27">
        <w:t xml:space="preserve">through the end of </w:t>
      </w:r>
      <w:r>
        <w:t>Phase II.</w:t>
      </w:r>
    </w:p>
    <w:p w:rsidR="001E4D27" w:rsidRDefault="001E4D27" w:rsidP="0043410E"/>
    <w:p w:rsidR="0043410E" w:rsidRDefault="0043410E" w:rsidP="0043410E">
      <w:pPr>
        <w:pStyle w:val="Caption"/>
      </w:pPr>
      <w:bookmarkStart w:id="178" w:name="_Ref472267314"/>
      <w:bookmarkStart w:id="179" w:name="_Toc472472169"/>
      <w:bookmarkStart w:id="180" w:name="_Toc476913982"/>
      <w:r>
        <w:t xml:space="preserve">Table </w:t>
      </w:r>
      <w:fldSimple w:instr=" STYLEREF 1 \s ">
        <w:r w:rsidR="008A7824">
          <w:rPr>
            <w:noProof/>
          </w:rPr>
          <w:t>2</w:t>
        </w:r>
      </w:fldSimple>
      <w:r w:rsidR="00E6042C">
        <w:noBreakHyphen/>
      </w:r>
      <w:fldSimple w:instr=" SEQ Table \* ARABIC \s 1 ">
        <w:r w:rsidR="008A7824">
          <w:rPr>
            <w:noProof/>
          </w:rPr>
          <w:t>16</w:t>
        </w:r>
      </w:fldSimple>
      <w:bookmarkEnd w:id="178"/>
      <w:r>
        <w:t>:  Summary of Duquesne’s Phase II Savings Impacts</w:t>
      </w:r>
      <w:bookmarkEnd w:id="179"/>
      <w:bookmarkEnd w:id="180"/>
    </w:p>
    <w:tbl>
      <w:tblPr>
        <w:tblW w:w="9360" w:type="dxa"/>
        <w:tblInd w:w="108" w:type="dxa"/>
        <w:tblLook w:val="04A0" w:firstRow="1" w:lastRow="0" w:firstColumn="1" w:lastColumn="0" w:noHBand="0" w:noVBand="1"/>
      </w:tblPr>
      <w:tblGrid>
        <w:gridCol w:w="2150"/>
        <w:gridCol w:w="1120"/>
        <w:gridCol w:w="1160"/>
        <w:gridCol w:w="960"/>
        <w:gridCol w:w="1180"/>
        <w:gridCol w:w="1380"/>
        <w:gridCol w:w="1410"/>
      </w:tblGrid>
      <w:tr w:rsidR="00A874AC" w:rsidRPr="00895552" w:rsidTr="00592FD5">
        <w:trPr>
          <w:trHeight w:val="825"/>
          <w:tblHeader/>
        </w:trPr>
        <w:tc>
          <w:tcPr>
            <w:tcW w:w="215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895552" w:rsidRPr="00895552" w:rsidRDefault="00895552" w:rsidP="00B0359A">
            <w:pPr>
              <w:rPr>
                <w:b/>
                <w:bCs/>
                <w:color w:val="FFFFFF"/>
                <w:sz w:val="20"/>
                <w:szCs w:val="20"/>
              </w:rPr>
            </w:pPr>
            <w:r w:rsidRPr="00895552">
              <w:rPr>
                <w:b/>
                <w:bCs/>
                <w:color w:val="FFFFFF"/>
                <w:sz w:val="20"/>
                <w:szCs w:val="20"/>
              </w:rPr>
              <w:t>Impact</w:t>
            </w:r>
          </w:p>
        </w:tc>
        <w:tc>
          <w:tcPr>
            <w:tcW w:w="1120" w:type="dxa"/>
            <w:tcBorders>
              <w:top w:val="single" w:sz="8" w:space="0" w:color="448A99"/>
              <w:left w:val="nil"/>
              <w:bottom w:val="single" w:sz="8" w:space="0" w:color="448A99"/>
              <w:right w:val="single" w:sz="8" w:space="0" w:color="448A99"/>
            </w:tcBorders>
            <w:shd w:val="clear" w:color="000000" w:fill="448A99"/>
            <w:vAlign w:val="bottom"/>
            <w:hideMark/>
          </w:tcPr>
          <w:p w:rsidR="00895552" w:rsidRPr="00895552" w:rsidRDefault="00895552" w:rsidP="00B0359A">
            <w:pPr>
              <w:jc w:val="center"/>
              <w:rPr>
                <w:b/>
                <w:bCs/>
                <w:color w:val="FFFFFF"/>
                <w:sz w:val="20"/>
                <w:szCs w:val="20"/>
              </w:rPr>
            </w:pPr>
            <w:r w:rsidRPr="00895552">
              <w:rPr>
                <w:b/>
                <w:bCs/>
                <w:color w:val="FFFFFF"/>
                <w:sz w:val="20"/>
                <w:szCs w:val="20"/>
              </w:rPr>
              <w:t xml:space="preserve">Phase II RG Savings </w:t>
            </w:r>
            <w:r w:rsidRPr="00895552">
              <w:rPr>
                <w:b/>
                <w:bCs/>
                <w:color w:val="FFFFFF"/>
                <w:sz w:val="20"/>
                <w:szCs w:val="20"/>
                <w:vertAlign w:val="superscript"/>
              </w:rPr>
              <w:t>[f]</w:t>
            </w:r>
          </w:p>
        </w:tc>
        <w:tc>
          <w:tcPr>
            <w:tcW w:w="1160" w:type="dxa"/>
            <w:tcBorders>
              <w:top w:val="single" w:sz="8" w:space="0" w:color="448A99"/>
              <w:left w:val="nil"/>
              <w:bottom w:val="single" w:sz="8" w:space="0" w:color="448A99"/>
              <w:right w:val="single" w:sz="8" w:space="0" w:color="448A99"/>
            </w:tcBorders>
            <w:shd w:val="clear" w:color="000000" w:fill="448A99"/>
            <w:vAlign w:val="bottom"/>
            <w:hideMark/>
          </w:tcPr>
          <w:p w:rsidR="00895552" w:rsidRPr="00895552" w:rsidRDefault="00895552" w:rsidP="00B0359A">
            <w:pPr>
              <w:jc w:val="center"/>
              <w:rPr>
                <w:b/>
                <w:bCs/>
                <w:color w:val="FFFFFF"/>
                <w:sz w:val="20"/>
                <w:szCs w:val="20"/>
              </w:rPr>
            </w:pPr>
            <w:r w:rsidRPr="00895552">
              <w:rPr>
                <w:b/>
                <w:bCs/>
                <w:color w:val="FFFFFF"/>
                <w:sz w:val="20"/>
                <w:szCs w:val="20"/>
              </w:rPr>
              <w:t xml:space="preserve">Phase II VG Savings </w:t>
            </w:r>
            <w:r w:rsidRPr="00895552">
              <w:rPr>
                <w:b/>
                <w:bCs/>
                <w:color w:val="FFFFFF"/>
                <w:sz w:val="20"/>
                <w:szCs w:val="20"/>
                <w:vertAlign w:val="superscript"/>
              </w:rPr>
              <w:t>[h]</w:t>
            </w:r>
          </w:p>
        </w:tc>
        <w:tc>
          <w:tcPr>
            <w:tcW w:w="960" w:type="dxa"/>
            <w:tcBorders>
              <w:top w:val="single" w:sz="8" w:space="0" w:color="448A99"/>
              <w:left w:val="nil"/>
              <w:bottom w:val="single" w:sz="8" w:space="0" w:color="448A99"/>
              <w:right w:val="single" w:sz="8" w:space="0" w:color="448A99"/>
            </w:tcBorders>
            <w:shd w:val="clear" w:color="000000" w:fill="448A99"/>
            <w:vAlign w:val="bottom"/>
            <w:hideMark/>
          </w:tcPr>
          <w:p w:rsidR="00895552" w:rsidRPr="00895552" w:rsidRDefault="00895552" w:rsidP="00B0359A">
            <w:pPr>
              <w:jc w:val="center"/>
              <w:rPr>
                <w:b/>
                <w:bCs/>
                <w:color w:val="FFFFFF"/>
                <w:sz w:val="20"/>
                <w:szCs w:val="20"/>
              </w:rPr>
            </w:pPr>
            <w:r w:rsidRPr="00895552">
              <w:rPr>
                <w:b/>
                <w:bCs/>
                <w:color w:val="FFFFFF"/>
                <w:sz w:val="20"/>
                <w:szCs w:val="20"/>
              </w:rPr>
              <w:t>Phase I CO Savings</w:t>
            </w:r>
          </w:p>
        </w:tc>
        <w:tc>
          <w:tcPr>
            <w:tcW w:w="1180" w:type="dxa"/>
            <w:tcBorders>
              <w:top w:val="single" w:sz="8" w:space="0" w:color="448A99"/>
              <w:left w:val="nil"/>
              <w:bottom w:val="single" w:sz="8" w:space="0" w:color="448A99"/>
              <w:right w:val="single" w:sz="8" w:space="0" w:color="448A99"/>
            </w:tcBorders>
            <w:shd w:val="clear" w:color="000000" w:fill="448A99"/>
            <w:vAlign w:val="bottom"/>
            <w:hideMark/>
          </w:tcPr>
          <w:p w:rsidR="00895552" w:rsidRPr="00895552" w:rsidRDefault="00895552" w:rsidP="00B0359A">
            <w:pPr>
              <w:jc w:val="center"/>
              <w:rPr>
                <w:b/>
                <w:bCs/>
                <w:color w:val="FFFFFF"/>
                <w:sz w:val="20"/>
                <w:szCs w:val="20"/>
              </w:rPr>
            </w:pPr>
            <w:r w:rsidRPr="00895552">
              <w:rPr>
                <w:b/>
                <w:bCs/>
                <w:color w:val="FFFFFF"/>
                <w:sz w:val="20"/>
                <w:szCs w:val="20"/>
              </w:rPr>
              <w:t>Phase II VG + Phase I CO Savings</w:t>
            </w:r>
          </w:p>
        </w:tc>
        <w:tc>
          <w:tcPr>
            <w:tcW w:w="1380" w:type="dxa"/>
            <w:tcBorders>
              <w:top w:val="single" w:sz="8" w:space="0" w:color="448A99"/>
              <w:left w:val="nil"/>
              <w:bottom w:val="single" w:sz="8" w:space="0" w:color="448A99"/>
              <w:right w:val="single" w:sz="8" w:space="0" w:color="448A99"/>
            </w:tcBorders>
            <w:shd w:val="clear" w:color="000000" w:fill="448A99"/>
            <w:vAlign w:val="bottom"/>
            <w:hideMark/>
          </w:tcPr>
          <w:p w:rsidR="00895552" w:rsidRPr="00895552" w:rsidRDefault="00895552" w:rsidP="00B0359A">
            <w:pPr>
              <w:jc w:val="center"/>
              <w:rPr>
                <w:b/>
                <w:bCs/>
                <w:color w:val="FFFFFF"/>
                <w:sz w:val="20"/>
                <w:szCs w:val="20"/>
              </w:rPr>
            </w:pPr>
            <w:r w:rsidRPr="00895552">
              <w:rPr>
                <w:b/>
                <w:bCs/>
                <w:color w:val="FFFFFF"/>
                <w:sz w:val="20"/>
                <w:szCs w:val="20"/>
              </w:rPr>
              <w:t>May 31, 2016 Compliance Target (MWh)</w:t>
            </w:r>
          </w:p>
        </w:tc>
        <w:tc>
          <w:tcPr>
            <w:tcW w:w="1410" w:type="dxa"/>
            <w:tcBorders>
              <w:top w:val="single" w:sz="8" w:space="0" w:color="448A99"/>
              <w:left w:val="nil"/>
              <w:bottom w:val="single" w:sz="8" w:space="0" w:color="448A99"/>
              <w:right w:val="single" w:sz="8" w:space="0" w:color="448A99"/>
            </w:tcBorders>
            <w:shd w:val="clear" w:color="000000" w:fill="448A99"/>
            <w:vAlign w:val="bottom"/>
            <w:hideMark/>
          </w:tcPr>
          <w:p w:rsidR="00895552" w:rsidRPr="00895552" w:rsidRDefault="00895552" w:rsidP="00B0359A">
            <w:pPr>
              <w:jc w:val="center"/>
              <w:rPr>
                <w:b/>
                <w:bCs/>
                <w:color w:val="FFFFFF"/>
                <w:sz w:val="20"/>
                <w:szCs w:val="20"/>
              </w:rPr>
            </w:pPr>
            <w:r w:rsidRPr="00895552">
              <w:rPr>
                <w:b/>
                <w:bCs/>
                <w:color w:val="FFFFFF"/>
                <w:sz w:val="20"/>
                <w:szCs w:val="20"/>
              </w:rPr>
              <w:t xml:space="preserve">Savings Achieved as % of 2016 Targets </w:t>
            </w:r>
            <w:r w:rsidRPr="00895552">
              <w:rPr>
                <w:b/>
                <w:bCs/>
                <w:color w:val="FFFFFF"/>
                <w:sz w:val="20"/>
                <w:szCs w:val="20"/>
                <w:vertAlign w:val="superscript"/>
              </w:rPr>
              <w:t>[i]</w:t>
            </w:r>
          </w:p>
        </w:tc>
      </w:tr>
      <w:tr w:rsidR="00A874AC" w:rsidRPr="00895552" w:rsidTr="00592FD5">
        <w:trPr>
          <w:trHeight w:val="488"/>
        </w:trPr>
        <w:tc>
          <w:tcPr>
            <w:tcW w:w="2150" w:type="dxa"/>
            <w:tcBorders>
              <w:top w:val="nil"/>
              <w:left w:val="single" w:sz="8" w:space="0" w:color="448A99"/>
              <w:bottom w:val="single" w:sz="8" w:space="0" w:color="448A99"/>
              <w:right w:val="single" w:sz="8" w:space="0" w:color="448A99"/>
            </w:tcBorders>
            <w:shd w:val="clear" w:color="000000" w:fill="D2EAF1"/>
            <w:vAlign w:val="center"/>
            <w:hideMark/>
          </w:tcPr>
          <w:p w:rsidR="00895552" w:rsidRPr="00895552" w:rsidRDefault="00895552" w:rsidP="00895552">
            <w:pPr>
              <w:jc w:val="left"/>
              <w:rPr>
                <w:color w:val="000000"/>
                <w:sz w:val="20"/>
                <w:szCs w:val="20"/>
              </w:rPr>
            </w:pPr>
            <w:r w:rsidRPr="00895552">
              <w:rPr>
                <w:color w:val="000000"/>
                <w:sz w:val="20"/>
                <w:szCs w:val="20"/>
              </w:rPr>
              <w:t>Total Energy Savings (MWh/yr)</w:t>
            </w:r>
          </w:p>
        </w:tc>
        <w:tc>
          <w:tcPr>
            <w:tcW w:w="112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384,229</w:t>
            </w:r>
          </w:p>
        </w:tc>
        <w:tc>
          <w:tcPr>
            <w:tcW w:w="116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377,248</w:t>
            </w:r>
          </w:p>
        </w:tc>
        <w:tc>
          <w:tcPr>
            <w:tcW w:w="96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133,717</w:t>
            </w:r>
          </w:p>
        </w:tc>
        <w:tc>
          <w:tcPr>
            <w:tcW w:w="118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510,965</w:t>
            </w:r>
          </w:p>
        </w:tc>
        <w:tc>
          <w:tcPr>
            <w:tcW w:w="138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276,722</w:t>
            </w:r>
          </w:p>
        </w:tc>
        <w:tc>
          <w:tcPr>
            <w:tcW w:w="141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185%</w:t>
            </w:r>
          </w:p>
        </w:tc>
      </w:tr>
      <w:tr w:rsidR="00E7173E" w:rsidRPr="00895552" w:rsidTr="00592FD5">
        <w:trPr>
          <w:trHeight w:val="488"/>
        </w:trPr>
        <w:tc>
          <w:tcPr>
            <w:tcW w:w="2150" w:type="dxa"/>
            <w:tcBorders>
              <w:top w:val="nil"/>
              <w:left w:val="single" w:sz="8" w:space="0" w:color="448A99"/>
              <w:bottom w:val="single" w:sz="8" w:space="0" w:color="448A99"/>
              <w:right w:val="single" w:sz="8" w:space="0" w:color="448A99"/>
            </w:tcBorders>
            <w:shd w:val="clear" w:color="auto" w:fill="auto"/>
            <w:vAlign w:val="center"/>
            <w:hideMark/>
          </w:tcPr>
          <w:p w:rsidR="00895552" w:rsidRPr="00895552" w:rsidRDefault="00895552" w:rsidP="00895552">
            <w:pPr>
              <w:jc w:val="left"/>
              <w:rPr>
                <w:color w:val="000000"/>
                <w:sz w:val="20"/>
                <w:szCs w:val="20"/>
              </w:rPr>
            </w:pPr>
            <w:r w:rsidRPr="00895552">
              <w:rPr>
                <w:color w:val="000000"/>
                <w:sz w:val="20"/>
                <w:szCs w:val="20"/>
              </w:rPr>
              <w:t>Total Demand Reduction (MW)</w:t>
            </w:r>
          </w:p>
        </w:tc>
        <w:tc>
          <w:tcPr>
            <w:tcW w:w="112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43.813</w:t>
            </w:r>
          </w:p>
        </w:tc>
        <w:tc>
          <w:tcPr>
            <w:tcW w:w="116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45.620</w:t>
            </w:r>
          </w:p>
        </w:tc>
        <w:tc>
          <w:tcPr>
            <w:tcW w:w="96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N/A</w:t>
            </w:r>
          </w:p>
        </w:tc>
        <w:tc>
          <w:tcPr>
            <w:tcW w:w="118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45.620</w:t>
            </w:r>
          </w:p>
        </w:tc>
        <w:tc>
          <w:tcPr>
            <w:tcW w:w="138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N/A</w:t>
            </w:r>
          </w:p>
        </w:tc>
        <w:tc>
          <w:tcPr>
            <w:tcW w:w="141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N/A</w:t>
            </w:r>
          </w:p>
        </w:tc>
      </w:tr>
      <w:tr w:rsidR="00A874AC" w:rsidRPr="00895552" w:rsidTr="00592FD5">
        <w:trPr>
          <w:trHeight w:val="488"/>
        </w:trPr>
        <w:tc>
          <w:tcPr>
            <w:tcW w:w="2150" w:type="dxa"/>
            <w:tcBorders>
              <w:top w:val="nil"/>
              <w:left w:val="single" w:sz="8" w:space="0" w:color="448A99"/>
              <w:bottom w:val="single" w:sz="8" w:space="0" w:color="448A99"/>
              <w:right w:val="single" w:sz="8" w:space="0" w:color="448A99"/>
            </w:tcBorders>
            <w:shd w:val="clear" w:color="000000" w:fill="D2EAF1"/>
            <w:vAlign w:val="center"/>
            <w:hideMark/>
          </w:tcPr>
          <w:p w:rsidR="00895552" w:rsidRPr="00895552" w:rsidRDefault="00895552" w:rsidP="00895552">
            <w:pPr>
              <w:jc w:val="left"/>
              <w:rPr>
                <w:color w:val="000000"/>
                <w:sz w:val="20"/>
                <w:szCs w:val="20"/>
              </w:rPr>
            </w:pPr>
            <w:r w:rsidRPr="00895552">
              <w:rPr>
                <w:color w:val="000000"/>
                <w:sz w:val="20"/>
                <w:szCs w:val="20"/>
              </w:rPr>
              <w:t xml:space="preserve">TRC Benefits ($1,000) </w:t>
            </w:r>
            <w:r w:rsidRPr="00895552">
              <w:rPr>
                <w:color w:val="000000"/>
                <w:sz w:val="20"/>
                <w:szCs w:val="20"/>
                <w:vertAlign w:val="superscript"/>
              </w:rPr>
              <w:t>[a]</w:t>
            </w:r>
          </w:p>
        </w:tc>
        <w:tc>
          <w:tcPr>
            <w:tcW w:w="112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 xml:space="preserve">N/A </w:t>
            </w:r>
            <w:r w:rsidRPr="00895552">
              <w:rPr>
                <w:sz w:val="20"/>
                <w:szCs w:val="20"/>
                <w:vertAlign w:val="superscript"/>
              </w:rPr>
              <w:t>[g]</w:t>
            </w:r>
          </w:p>
        </w:tc>
        <w:tc>
          <w:tcPr>
            <w:tcW w:w="116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$206,693</w:t>
            </w:r>
          </w:p>
        </w:tc>
        <w:tc>
          <w:tcPr>
            <w:tcW w:w="96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N/A</w:t>
            </w:r>
          </w:p>
        </w:tc>
        <w:tc>
          <w:tcPr>
            <w:tcW w:w="118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$206,693</w:t>
            </w:r>
          </w:p>
        </w:tc>
        <w:tc>
          <w:tcPr>
            <w:tcW w:w="138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N/A</w:t>
            </w:r>
          </w:p>
        </w:tc>
        <w:tc>
          <w:tcPr>
            <w:tcW w:w="141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N/A</w:t>
            </w:r>
          </w:p>
        </w:tc>
      </w:tr>
      <w:tr w:rsidR="00E7173E" w:rsidRPr="00895552" w:rsidTr="00592FD5">
        <w:trPr>
          <w:trHeight w:val="488"/>
        </w:trPr>
        <w:tc>
          <w:tcPr>
            <w:tcW w:w="2150" w:type="dxa"/>
            <w:tcBorders>
              <w:top w:val="nil"/>
              <w:left w:val="single" w:sz="8" w:space="0" w:color="448A99"/>
              <w:bottom w:val="single" w:sz="8" w:space="0" w:color="448A99"/>
              <w:right w:val="single" w:sz="8" w:space="0" w:color="448A99"/>
            </w:tcBorders>
            <w:shd w:val="clear" w:color="auto" w:fill="auto"/>
            <w:vAlign w:val="center"/>
            <w:hideMark/>
          </w:tcPr>
          <w:p w:rsidR="00895552" w:rsidRPr="00895552" w:rsidRDefault="00895552" w:rsidP="00895552">
            <w:pPr>
              <w:jc w:val="left"/>
              <w:rPr>
                <w:color w:val="000000"/>
                <w:sz w:val="20"/>
                <w:szCs w:val="20"/>
              </w:rPr>
            </w:pPr>
            <w:r w:rsidRPr="00895552">
              <w:rPr>
                <w:color w:val="000000"/>
                <w:sz w:val="20"/>
                <w:szCs w:val="20"/>
              </w:rPr>
              <w:t xml:space="preserve">TRC Costs ($1,000) </w:t>
            </w:r>
            <w:r w:rsidRPr="00895552">
              <w:rPr>
                <w:color w:val="000000"/>
                <w:sz w:val="20"/>
                <w:szCs w:val="20"/>
                <w:vertAlign w:val="superscript"/>
              </w:rPr>
              <w:t>[b]</w:t>
            </w:r>
          </w:p>
        </w:tc>
        <w:tc>
          <w:tcPr>
            <w:tcW w:w="112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 xml:space="preserve">N/A </w:t>
            </w:r>
            <w:r w:rsidRPr="00895552">
              <w:rPr>
                <w:sz w:val="20"/>
                <w:szCs w:val="20"/>
                <w:vertAlign w:val="superscript"/>
              </w:rPr>
              <w:t>[g]</w:t>
            </w:r>
          </w:p>
        </w:tc>
        <w:tc>
          <w:tcPr>
            <w:tcW w:w="116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$101,477</w:t>
            </w:r>
          </w:p>
        </w:tc>
        <w:tc>
          <w:tcPr>
            <w:tcW w:w="96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N/A</w:t>
            </w:r>
          </w:p>
        </w:tc>
        <w:tc>
          <w:tcPr>
            <w:tcW w:w="118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$101,477</w:t>
            </w:r>
          </w:p>
        </w:tc>
        <w:tc>
          <w:tcPr>
            <w:tcW w:w="138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N/A</w:t>
            </w:r>
          </w:p>
        </w:tc>
        <w:tc>
          <w:tcPr>
            <w:tcW w:w="141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N/A</w:t>
            </w:r>
          </w:p>
        </w:tc>
      </w:tr>
      <w:tr w:rsidR="00A874AC" w:rsidRPr="00895552" w:rsidTr="00592FD5">
        <w:trPr>
          <w:trHeight w:val="488"/>
        </w:trPr>
        <w:tc>
          <w:tcPr>
            <w:tcW w:w="2150" w:type="dxa"/>
            <w:tcBorders>
              <w:top w:val="nil"/>
              <w:left w:val="single" w:sz="8" w:space="0" w:color="448A99"/>
              <w:bottom w:val="single" w:sz="8" w:space="0" w:color="448A99"/>
              <w:right w:val="single" w:sz="8" w:space="0" w:color="448A99"/>
            </w:tcBorders>
            <w:shd w:val="clear" w:color="000000" w:fill="D2EAF1"/>
            <w:vAlign w:val="center"/>
            <w:hideMark/>
          </w:tcPr>
          <w:p w:rsidR="00895552" w:rsidRPr="00895552" w:rsidRDefault="00895552" w:rsidP="003273A5">
            <w:pPr>
              <w:jc w:val="left"/>
              <w:rPr>
                <w:color w:val="000000"/>
                <w:sz w:val="20"/>
                <w:szCs w:val="20"/>
              </w:rPr>
            </w:pPr>
            <w:r w:rsidRPr="00895552">
              <w:rPr>
                <w:color w:val="000000"/>
                <w:sz w:val="20"/>
                <w:szCs w:val="20"/>
              </w:rPr>
              <w:lastRenderedPageBreak/>
              <w:t xml:space="preserve">TRC </w:t>
            </w:r>
            <w:r w:rsidR="003273A5">
              <w:rPr>
                <w:color w:val="000000"/>
                <w:sz w:val="20"/>
                <w:szCs w:val="20"/>
              </w:rPr>
              <w:t>B/C</w:t>
            </w:r>
            <w:r w:rsidRPr="00895552">
              <w:rPr>
                <w:color w:val="000000"/>
                <w:sz w:val="20"/>
                <w:szCs w:val="20"/>
              </w:rPr>
              <w:t xml:space="preserve"> Ratio </w:t>
            </w:r>
            <w:r w:rsidRPr="00895552">
              <w:rPr>
                <w:color w:val="000000"/>
                <w:sz w:val="20"/>
                <w:szCs w:val="20"/>
                <w:vertAlign w:val="superscript"/>
              </w:rPr>
              <w:t>[c]</w:t>
            </w:r>
          </w:p>
        </w:tc>
        <w:tc>
          <w:tcPr>
            <w:tcW w:w="112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 xml:space="preserve">N/A </w:t>
            </w:r>
            <w:r w:rsidRPr="00895552">
              <w:rPr>
                <w:sz w:val="20"/>
                <w:szCs w:val="20"/>
                <w:vertAlign w:val="superscript"/>
              </w:rPr>
              <w:t>[g]</w:t>
            </w:r>
          </w:p>
        </w:tc>
        <w:tc>
          <w:tcPr>
            <w:tcW w:w="116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2.04</w:t>
            </w:r>
          </w:p>
        </w:tc>
        <w:tc>
          <w:tcPr>
            <w:tcW w:w="96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N/A</w:t>
            </w:r>
          </w:p>
        </w:tc>
        <w:tc>
          <w:tcPr>
            <w:tcW w:w="118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2.04</w:t>
            </w:r>
          </w:p>
        </w:tc>
        <w:tc>
          <w:tcPr>
            <w:tcW w:w="138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N/A</w:t>
            </w:r>
          </w:p>
        </w:tc>
        <w:tc>
          <w:tcPr>
            <w:tcW w:w="1410" w:type="dxa"/>
            <w:tcBorders>
              <w:top w:val="nil"/>
              <w:left w:val="nil"/>
              <w:bottom w:val="single" w:sz="8" w:space="0" w:color="448A99"/>
              <w:right w:val="single" w:sz="8" w:space="0" w:color="448A99"/>
            </w:tcBorders>
            <w:shd w:val="clear" w:color="000000" w:fill="D2EAF1"/>
            <w:vAlign w:val="center"/>
            <w:hideMark/>
          </w:tcPr>
          <w:p w:rsidR="00895552" w:rsidRPr="00895552" w:rsidRDefault="00895552" w:rsidP="00895552">
            <w:pPr>
              <w:jc w:val="center"/>
              <w:rPr>
                <w:sz w:val="20"/>
                <w:szCs w:val="20"/>
              </w:rPr>
            </w:pPr>
            <w:r w:rsidRPr="00895552">
              <w:rPr>
                <w:sz w:val="20"/>
                <w:szCs w:val="20"/>
              </w:rPr>
              <w:t>N/A</w:t>
            </w:r>
          </w:p>
        </w:tc>
      </w:tr>
      <w:tr w:rsidR="00E7173E" w:rsidRPr="00895552" w:rsidTr="00592FD5">
        <w:trPr>
          <w:trHeight w:val="489"/>
        </w:trPr>
        <w:tc>
          <w:tcPr>
            <w:tcW w:w="2150" w:type="dxa"/>
            <w:tcBorders>
              <w:top w:val="nil"/>
              <w:left w:val="single" w:sz="8" w:space="0" w:color="448A99"/>
              <w:bottom w:val="single" w:sz="8" w:space="0" w:color="448A99"/>
              <w:right w:val="single" w:sz="8" w:space="0" w:color="448A99"/>
            </w:tcBorders>
            <w:shd w:val="clear" w:color="auto" w:fill="auto"/>
            <w:vAlign w:val="center"/>
            <w:hideMark/>
          </w:tcPr>
          <w:p w:rsidR="00895552" w:rsidRPr="00895552" w:rsidRDefault="00895552" w:rsidP="00895552">
            <w:pPr>
              <w:jc w:val="left"/>
              <w:rPr>
                <w:color w:val="000000"/>
                <w:sz w:val="20"/>
                <w:szCs w:val="20"/>
              </w:rPr>
            </w:pPr>
            <w:r w:rsidRPr="00895552">
              <w:rPr>
                <w:color w:val="000000"/>
                <w:sz w:val="20"/>
                <w:szCs w:val="20"/>
              </w:rPr>
              <w:t>CO</w:t>
            </w:r>
            <w:r w:rsidRPr="00895552">
              <w:rPr>
                <w:color w:val="000000"/>
                <w:sz w:val="20"/>
                <w:szCs w:val="20"/>
                <w:vertAlign w:val="subscript"/>
              </w:rPr>
              <w:t>2</w:t>
            </w:r>
            <w:r w:rsidRPr="00895552">
              <w:rPr>
                <w:color w:val="000000"/>
                <w:sz w:val="20"/>
                <w:szCs w:val="20"/>
              </w:rPr>
              <w:t xml:space="preserve"> Emissions Reduction (Tons) </w:t>
            </w:r>
            <w:r w:rsidRPr="00895552">
              <w:rPr>
                <w:color w:val="000000"/>
                <w:sz w:val="20"/>
                <w:szCs w:val="20"/>
                <w:vertAlign w:val="superscript"/>
              </w:rPr>
              <w:t>[d][e]</w:t>
            </w:r>
          </w:p>
        </w:tc>
        <w:tc>
          <w:tcPr>
            <w:tcW w:w="112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296,048</w:t>
            </w:r>
          </w:p>
        </w:tc>
        <w:tc>
          <w:tcPr>
            <w:tcW w:w="116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290,670</w:t>
            </w:r>
          </w:p>
        </w:tc>
        <w:tc>
          <w:tcPr>
            <w:tcW w:w="96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103,029</w:t>
            </w:r>
          </w:p>
        </w:tc>
        <w:tc>
          <w:tcPr>
            <w:tcW w:w="118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393,699</w:t>
            </w:r>
          </w:p>
        </w:tc>
        <w:tc>
          <w:tcPr>
            <w:tcW w:w="138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N/A</w:t>
            </w:r>
          </w:p>
        </w:tc>
        <w:tc>
          <w:tcPr>
            <w:tcW w:w="1410" w:type="dxa"/>
            <w:tcBorders>
              <w:top w:val="nil"/>
              <w:left w:val="nil"/>
              <w:bottom w:val="single" w:sz="8" w:space="0" w:color="448A99"/>
              <w:right w:val="single" w:sz="8" w:space="0" w:color="448A99"/>
            </w:tcBorders>
            <w:shd w:val="clear" w:color="auto" w:fill="auto"/>
            <w:vAlign w:val="center"/>
            <w:hideMark/>
          </w:tcPr>
          <w:p w:rsidR="00895552" w:rsidRPr="00895552" w:rsidRDefault="00895552" w:rsidP="00895552">
            <w:pPr>
              <w:jc w:val="center"/>
              <w:rPr>
                <w:sz w:val="20"/>
                <w:szCs w:val="20"/>
              </w:rPr>
            </w:pPr>
            <w:r w:rsidRPr="00895552">
              <w:rPr>
                <w:sz w:val="20"/>
                <w:szCs w:val="20"/>
              </w:rPr>
              <w:t>N/A</w:t>
            </w:r>
          </w:p>
        </w:tc>
      </w:tr>
      <w:tr w:rsidR="00895552" w:rsidRPr="00664065" w:rsidTr="00592FD5">
        <w:trPr>
          <w:trHeight w:val="3184"/>
        </w:trPr>
        <w:tc>
          <w:tcPr>
            <w:tcW w:w="9360" w:type="dxa"/>
            <w:gridSpan w:val="7"/>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895552" w:rsidRPr="00664065" w:rsidRDefault="00895552" w:rsidP="00895552">
            <w:pPr>
              <w:jc w:val="left"/>
              <w:rPr>
                <w:color w:val="FFFFFF"/>
                <w:sz w:val="18"/>
                <w:szCs w:val="20"/>
              </w:rPr>
            </w:pPr>
            <w:r w:rsidRPr="00664065">
              <w:rPr>
                <w:color w:val="FFFFFF"/>
                <w:sz w:val="18"/>
                <w:szCs w:val="20"/>
              </w:rPr>
              <w:t xml:space="preserve">NOTES: </w:t>
            </w:r>
            <w:r w:rsidRPr="00664065">
              <w:rPr>
                <w:color w:val="FFFFFF"/>
                <w:sz w:val="18"/>
                <w:szCs w:val="20"/>
              </w:rPr>
              <w:br/>
              <w:t>[a] Avoided supply costs, including the reduction in costs of electric energy, generation, transmission, and distribution capacity. Subject to TRC Order.</w:t>
            </w:r>
            <w:r w:rsidRPr="00664065">
              <w:rPr>
                <w:color w:val="FFFFFF"/>
                <w:sz w:val="18"/>
                <w:szCs w:val="20"/>
              </w:rPr>
              <w:br/>
              <w:t>[b] Costs paid by the program administrator and participants plus the increase in supply costs for any period when load is increased.  Subject to TRC Order.</w:t>
            </w:r>
            <w:r w:rsidRPr="00664065">
              <w:rPr>
                <w:color w:val="FFFFFF"/>
                <w:sz w:val="18"/>
                <w:szCs w:val="20"/>
              </w:rPr>
              <w:br/>
              <w:t>[c] Subject to the Commission’s August 31, 2012 TRC Order.</w:t>
            </w:r>
            <w:r w:rsidRPr="00664065">
              <w:rPr>
                <w:color w:val="FFFFFF"/>
                <w:sz w:val="18"/>
                <w:szCs w:val="20"/>
              </w:rPr>
              <w:br/>
              <w:t>[d] CO</w:t>
            </w:r>
            <w:r w:rsidRPr="00664065">
              <w:rPr>
                <w:color w:val="FFFFFF"/>
                <w:sz w:val="18"/>
                <w:szCs w:val="20"/>
                <w:vertAlign w:val="subscript"/>
              </w:rPr>
              <w:t>2</w:t>
            </w:r>
            <w:r w:rsidRPr="00664065">
              <w:rPr>
                <w:color w:val="FFFFFF"/>
                <w:sz w:val="18"/>
                <w:szCs w:val="20"/>
              </w:rPr>
              <w:t xml:space="preserve"> conversion based on 1,541 lbs CO</w:t>
            </w:r>
            <w:r w:rsidRPr="00664065">
              <w:rPr>
                <w:color w:val="FFFFFF"/>
                <w:sz w:val="18"/>
                <w:szCs w:val="20"/>
                <w:vertAlign w:val="subscript"/>
              </w:rPr>
              <w:t>2</w:t>
            </w:r>
            <w:r w:rsidRPr="00664065">
              <w:rPr>
                <w:color w:val="FFFFFF"/>
                <w:sz w:val="18"/>
                <w:szCs w:val="20"/>
              </w:rPr>
              <w:t xml:space="preserve"> per MWh according to the latest available (2015) PJM Emission Report of marginal off-peak annual CO</w:t>
            </w:r>
            <w:r w:rsidRPr="00664065">
              <w:rPr>
                <w:color w:val="FFFFFF"/>
                <w:sz w:val="18"/>
                <w:szCs w:val="20"/>
                <w:vertAlign w:val="subscript"/>
              </w:rPr>
              <w:t>2</w:t>
            </w:r>
            <w:r w:rsidRPr="00664065">
              <w:rPr>
                <w:color w:val="FFFFFF"/>
                <w:sz w:val="18"/>
                <w:szCs w:val="20"/>
              </w:rPr>
              <w:t xml:space="preserve"> emission rate.</w:t>
            </w:r>
            <w:r w:rsidRPr="00664065">
              <w:rPr>
                <w:color w:val="FFFFFF"/>
                <w:sz w:val="18"/>
                <w:szCs w:val="20"/>
              </w:rPr>
              <w:br/>
              <w:t>[e] CO</w:t>
            </w:r>
            <w:r w:rsidRPr="00664065">
              <w:rPr>
                <w:color w:val="FFFFFF"/>
                <w:sz w:val="18"/>
                <w:szCs w:val="20"/>
                <w:vertAlign w:val="subscript"/>
              </w:rPr>
              <w:t>2</w:t>
            </w:r>
            <w:r w:rsidRPr="00664065">
              <w:rPr>
                <w:color w:val="FFFFFF"/>
                <w:sz w:val="18"/>
                <w:szCs w:val="20"/>
              </w:rPr>
              <w:t xml:space="preserve"> emissions are reported due to Stakeholder interest in this information and to recognize that reporting this information is recommended by the National Action Plan for Energy Efficiency.</w:t>
            </w:r>
            <w:r w:rsidRPr="00664065">
              <w:rPr>
                <w:color w:val="FFFFFF"/>
                <w:sz w:val="18"/>
                <w:szCs w:val="20"/>
              </w:rPr>
              <w:br/>
              <w:t>[f] Phase II Reported Gross Impact is the cumulative program/portfolio Phase II Inception to Date Reported Gross Savings.</w:t>
            </w:r>
            <w:r w:rsidRPr="00664065">
              <w:rPr>
                <w:color w:val="FFFFFF"/>
                <w:sz w:val="18"/>
                <w:szCs w:val="20"/>
              </w:rPr>
              <w:br/>
              <w:t>[g] TRC Benefits and Costs are calculated only for verified savings, which reflect actual program results.</w:t>
            </w:r>
            <w:r w:rsidRPr="00664065">
              <w:rPr>
                <w:color w:val="FFFFFF"/>
                <w:sz w:val="18"/>
                <w:szCs w:val="20"/>
              </w:rPr>
              <w:br/>
              <w:t>[h] Phase II Verified Impact is the cumulative program/portfolio Phase II Inception to Date Verified Gross Savings.</w:t>
            </w:r>
            <w:r w:rsidRPr="00664065">
              <w:rPr>
                <w:color w:val="FFFFFF"/>
                <w:sz w:val="18"/>
                <w:szCs w:val="20"/>
              </w:rPr>
              <w:br/>
              <w:t>[i] Savings achieved based on Phase II Inception-to-Date Verified Gross Savings.</w:t>
            </w:r>
          </w:p>
        </w:tc>
      </w:tr>
    </w:tbl>
    <w:p w:rsidR="0043410E" w:rsidRDefault="0043410E" w:rsidP="0043410E"/>
    <w:p w:rsidR="00DD2811" w:rsidRDefault="00DD2811" w:rsidP="0043410E">
      <w:r w:rsidRPr="001928C8">
        <w:t>Duquesne achieved 1</w:t>
      </w:r>
      <w:r w:rsidR="001928C8" w:rsidRPr="001928C8">
        <w:t>85</w:t>
      </w:r>
      <w:r w:rsidRPr="001928C8">
        <w:t>% of its Act 129 Phase II energy savings target through the end of PY7. The TRC B/C ratio (or TRC ratio) of Duquesne’s programs</w:t>
      </w:r>
      <w:r>
        <w:t xml:space="preserve"> </w:t>
      </w:r>
      <w:r w:rsidRPr="001928C8">
        <w:t xml:space="preserve">was </w:t>
      </w:r>
      <w:r w:rsidR="001928C8" w:rsidRPr="001928C8">
        <w:t>2.04</w:t>
      </w:r>
      <w:r w:rsidRPr="001928C8">
        <w:t>, which</w:t>
      </w:r>
      <w:r>
        <w:t xml:space="preserve"> indicates that its portfolio of EE&amp;C programs is cost-effective on an aggregated basis.</w:t>
      </w:r>
    </w:p>
    <w:p w:rsidR="00DD2811" w:rsidRDefault="00DD2811" w:rsidP="0043410E"/>
    <w:p w:rsidR="000F5A29" w:rsidRDefault="000F5A29" w:rsidP="000F5A29">
      <w:r>
        <w:fldChar w:fldCharType="begin"/>
      </w:r>
      <w:r>
        <w:instrText xml:space="preserve"> REF _Ref476043206 \h </w:instrText>
      </w:r>
      <w:r>
        <w:fldChar w:fldCharType="separate"/>
      </w:r>
      <w:r w:rsidR="00CA7437">
        <w:t xml:space="preserve">Figure </w:t>
      </w:r>
      <w:r w:rsidR="00CA7437">
        <w:rPr>
          <w:noProof/>
        </w:rPr>
        <w:t>2</w:t>
      </w:r>
      <w:r w:rsidR="00CA7437">
        <w:noBreakHyphen/>
      </w:r>
      <w:r w:rsidR="00CA7437">
        <w:rPr>
          <w:noProof/>
        </w:rPr>
        <w:t>17</w:t>
      </w:r>
      <w:r>
        <w:fldChar w:fldCharType="end"/>
      </w:r>
      <w:r>
        <w:t xml:space="preserve"> </w:t>
      </w:r>
      <w:r w:rsidR="00DD2811" w:rsidRPr="000F5A29">
        <w:t>shows the verified gross savings after each program year during Phase II. The data in this figure do not include carryover savings from Phase</w:t>
      </w:r>
      <w:r w:rsidR="002E319D" w:rsidRPr="000F5A29">
        <w:t xml:space="preserve"> I</w:t>
      </w:r>
      <w:r w:rsidR="00DD2811" w:rsidRPr="000F5A29">
        <w:t>. The C</w:t>
      </w:r>
      <w:r w:rsidR="0097650B" w:rsidRPr="000F5A29">
        <w:t>/</w:t>
      </w:r>
      <w:r w:rsidR="00DD2811" w:rsidRPr="000F5A29">
        <w:t>I sector accounted for the highest savings for Duquesne during Phase II.</w:t>
      </w:r>
      <w:bookmarkStart w:id="181" w:name="_Ref472409643"/>
      <w:bookmarkStart w:id="182" w:name="_Toc472472224"/>
    </w:p>
    <w:p w:rsidR="000F5A29" w:rsidRPr="000F5A29" w:rsidRDefault="000F5A29" w:rsidP="000F5A29"/>
    <w:p w:rsidR="001928C8" w:rsidRDefault="004F1B4F" w:rsidP="001928C8">
      <w:pPr>
        <w:pStyle w:val="Caption"/>
      </w:pPr>
      <w:bookmarkStart w:id="183" w:name="_Ref476043206"/>
      <w:bookmarkStart w:id="184" w:name="_Toc476914038"/>
      <w:r>
        <w:t xml:space="preserve">Figure </w:t>
      </w:r>
      <w:fldSimple w:instr=" STYLEREF 1 \s ">
        <w:r w:rsidR="00C301D0">
          <w:rPr>
            <w:noProof/>
          </w:rPr>
          <w:t>2</w:t>
        </w:r>
      </w:fldSimple>
      <w:r w:rsidR="00DA1ADA">
        <w:noBreakHyphen/>
      </w:r>
      <w:fldSimple w:instr=" SEQ Figure \* ARABIC \s 1 ">
        <w:r w:rsidR="00C301D0">
          <w:rPr>
            <w:noProof/>
          </w:rPr>
          <w:t>17</w:t>
        </w:r>
      </w:fldSimple>
      <w:bookmarkEnd w:id="181"/>
      <w:bookmarkEnd w:id="183"/>
      <w:r>
        <w:t xml:space="preserve">: </w:t>
      </w:r>
      <w:r w:rsidR="001928C8" w:rsidRPr="001928C8">
        <w:t>Duquesne Phase</w:t>
      </w:r>
      <w:r w:rsidR="001928C8">
        <w:t xml:space="preserve"> I</w:t>
      </w:r>
      <w:r w:rsidR="001928C8" w:rsidRPr="001928C8">
        <w:t xml:space="preserve">I </w:t>
      </w:r>
      <w:r w:rsidR="00105F3B">
        <w:t xml:space="preserve">Cumulative </w:t>
      </w:r>
      <w:r w:rsidR="001928C8">
        <w:t>V</w:t>
      </w:r>
      <w:r w:rsidR="001928C8" w:rsidRPr="001928C8">
        <w:t>erified</w:t>
      </w:r>
      <w:r w:rsidR="0097650B">
        <w:t xml:space="preserve"> Gross</w:t>
      </w:r>
      <w:r w:rsidR="001928C8" w:rsidRPr="001928C8">
        <w:t xml:space="preserve"> Savings by Program Year and Sector</w:t>
      </w:r>
      <w:bookmarkEnd w:id="182"/>
      <w:bookmarkEnd w:id="184"/>
    </w:p>
    <w:p w:rsidR="001928C8" w:rsidRDefault="00105F3B" w:rsidP="00D06AEA">
      <w:pPr>
        <w:jc w:val="center"/>
      </w:pPr>
      <w:r>
        <w:rPr>
          <w:noProof/>
        </w:rPr>
        <w:drawing>
          <wp:inline distT="0" distB="0" distL="0" distR="0" wp14:anchorId="20776691" wp14:editId="1FA69A20">
            <wp:extent cx="5237995" cy="2812774"/>
            <wp:effectExtent l="0" t="0" r="1270" b="698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9612" cy="2845862"/>
                    </a:xfrm>
                    <a:prstGeom prst="rect">
                      <a:avLst/>
                    </a:prstGeom>
                    <a:noFill/>
                  </pic:spPr>
                </pic:pic>
              </a:graphicData>
            </a:graphic>
          </wp:inline>
        </w:drawing>
      </w:r>
    </w:p>
    <w:p w:rsidR="00F3562D" w:rsidRPr="00F3562D" w:rsidRDefault="00F3562D" w:rsidP="00F3562D">
      <w:bookmarkStart w:id="185" w:name="_Toc472472097"/>
    </w:p>
    <w:p w:rsidR="006058D6" w:rsidRDefault="006058D6" w:rsidP="006058D6">
      <w:pPr>
        <w:pStyle w:val="Heading3"/>
      </w:pPr>
      <w:bookmarkStart w:id="186" w:name="_Toc476913909"/>
      <w:r>
        <w:lastRenderedPageBreak/>
        <w:t>Met</w:t>
      </w:r>
      <w:r w:rsidR="00DD6B4C">
        <w:t>ropolitan Edison Company</w:t>
      </w:r>
      <w:bookmarkEnd w:id="185"/>
      <w:bookmarkEnd w:id="186"/>
    </w:p>
    <w:p w:rsidR="001E4D27" w:rsidRDefault="001E4D27" w:rsidP="001E4D27">
      <w:r>
        <w:fldChar w:fldCharType="begin"/>
      </w:r>
      <w:r>
        <w:instrText xml:space="preserve"> REF _Ref472267350 \h </w:instrText>
      </w:r>
      <w:r>
        <w:fldChar w:fldCharType="separate"/>
      </w:r>
      <w:r w:rsidR="008A7824">
        <w:t xml:space="preserve">Table </w:t>
      </w:r>
      <w:r w:rsidR="008A7824">
        <w:rPr>
          <w:noProof/>
        </w:rPr>
        <w:t>2</w:t>
      </w:r>
      <w:r w:rsidR="008A7824">
        <w:noBreakHyphen/>
      </w:r>
      <w:r w:rsidR="008A7824">
        <w:rPr>
          <w:noProof/>
        </w:rPr>
        <w:t>17</w:t>
      </w:r>
      <w:r>
        <w:fldChar w:fldCharType="end"/>
      </w:r>
      <w:r>
        <w:t xml:space="preserve"> </w:t>
      </w:r>
      <w:r w:rsidRPr="001E4D27">
        <w:t xml:space="preserve">provides an overview of </w:t>
      </w:r>
      <w:r>
        <w:t xml:space="preserve">Met-Ed’s cumulative </w:t>
      </w:r>
      <w:r w:rsidR="00A90285">
        <w:t xml:space="preserve">reported gross (RG) </w:t>
      </w:r>
      <w:r w:rsidR="00A90285" w:rsidRPr="001E4D27">
        <w:t xml:space="preserve">and verified gross </w:t>
      </w:r>
      <w:r w:rsidR="00A90285">
        <w:t xml:space="preserve">(VG) savings impacts, and carryover (CO) </w:t>
      </w:r>
      <w:r w:rsidR="00A90285" w:rsidRPr="001E4D27">
        <w:t xml:space="preserve">savings since the </w:t>
      </w:r>
      <w:r w:rsidR="00A90285">
        <w:t xml:space="preserve">inception of its </w:t>
      </w:r>
      <w:r w:rsidR="00A90285" w:rsidRPr="001E4D27">
        <w:t xml:space="preserve">EE&amp;C programs through </w:t>
      </w:r>
      <w:r w:rsidRPr="001E4D27">
        <w:t xml:space="preserve">the end of </w:t>
      </w:r>
      <w:r>
        <w:t>Phase II.</w:t>
      </w:r>
    </w:p>
    <w:p w:rsidR="0043410E" w:rsidRDefault="0043410E" w:rsidP="0043410E"/>
    <w:p w:rsidR="0043410E" w:rsidRDefault="0043410E" w:rsidP="0043410E">
      <w:pPr>
        <w:pStyle w:val="Caption"/>
      </w:pPr>
      <w:bookmarkStart w:id="187" w:name="_Ref472267350"/>
      <w:bookmarkStart w:id="188" w:name="_Toc472472170"/>
      <w:bookmarkStart w:id="189" w:name="_Toc476913983"/>
      <w:r>
        <w:t xml:space="preserve">Table </w:t>
      </w:r>
      <w:fldSimple w:instr=" STYLEREF 1 \s ">
        <w:r w:rsidR="008A7824">
          <w:rPr>
            <w:noProof/>
          </w:rPr>
          <w:t>2</w:t>
        </w:r>
      </w:fldSimple>
      <w:r w:rsidR="00E6042C">
        <w:noBreakHyphen/>
      </w:r>
      <w:fldSimple w:instr=" SEQ Table \* ARABIC \s 1 ">
        <w:r w:rsidR="008A7824">
          <w:rPr>
            <w:noProof/>
          </w:rPr>
          <w:t>17</w:t>
        </w:r>
      </w:fldSimple>
      <w:bookmarkEnd w:id="187"/>
      <w:r>
        <w:t>:  Summary of Met-Ed’s Phase II Savings Impacts</w:t>
      </w:r>
      <w:bookmarkEnd w:id="188"/>
      <w:bookmarkEnd w:id="189"/>
    </w:p>
    <w:tbl>
      <w:tblPr>
        <w:tblW w:w="9362" w:type="dxa"/>
        <w:tblInd w:w="108" w:type="dxa"/>
        <w:tblLook w:val="04A0" w:firstRow="1" w:lastRow="0" w:firstColumn="1" w:lastColumn="0" w:noHBand="0" w:noVBand="1"/>
      </w:tblPr>
      <w:tblGrid>
        <w:gridCol w:w="2060"/>
        <w:gridCol w:w="1120"/>
        <w:gridCol w:w="1160"/>
        <w:gridCol w:w="960"/>
        <w:gridCol w:w="1180"/>
        <w:gridCol w:w="1380"/>
        <w:gridCol w:w="1502"/>
      </w:tblGrid>
      <w:tr w:rsidR="00A874AC" w:rsidRPr="00A806A3" w:rsidTr="00592FD5">
        <w:trPr>
          <w:trHeight w:val="825"/>
        </w:trPr>
        <w:tc>
          <w:tcPr>
            <w:tcW w:w="206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A806A3" w:rsidRPr="00A806A3" w:rsidRDefault="00A806A3" w:rsidP="00B0359A">
            <w:pPr>
              <w:rPr>
                <w:b/>
                <w:bCs/>
                <w:color w:val="FFFFFF"/>
                <w:sz w:val="20"/>
                <w:szCs w:val="20"/>
              </w:rPr>
            </w:pPr>
            <w:r w:rsidRPr="00A806A3">
              <w:rPr>
                <w:b/>
                <w:bCs/>
                <w:color w:val="FFFFFF"/>
                <w:sz w:val="20"/>
                <w:szCs w:val="20"/>
              </w:rPr>
              <w:t>Impact</w:t>
            </w:r>
          </w:p>
        </w:tc>
        <w:tc>
          <w:tcPr>
            <w:tcW w:w="1120" w:type="dxa"/>
            <w:tcBorders>
              <w:top w:val="single" w:sz="8" w:space="0" w:color="448A99"/>
              <w:left w:val="nil"/>
              <w:bottom w:val="single" w:sz="8" w:space="0" w:color="448A99"/>
              <w:right w:val="single" w:sz="8" w:space="0" w:color="448A99"/>
            </w:tcBorders>
            <w:shd w:val="clear" w:color="000000" w:fill="448A99"/>
            <w:vAlign w:val="bottom"/>
            <w:hideMark/>
          </w:tcPr>
          <w:p w:rsidR="00A806A3" w:rsidRPr="00A806A3" w:rsidRDefault="00A806A3" w:rsidP="00B0359A">
            <w:pPr>
              <w:jc w:val="center"/>
              <w:rPr>
                <w:b/>
                <w:bCs/>
                <w:color w:val="FFFFFF"/>
                <w:sz w:val="20"/>
                <w:szCs w:val="20"/>
              </w:rPr>
            </w:pPr>
            <w:r w:rsidRPr="00A806A3">
              <w:rPr>
                <w:b/>
                <w:bCs/>
                <w:color w:val="FFFFFF"/>
                <w:sz w:val="20"/>
                <w:szCs w:val="20"/>
              </w:rPr>
              <w:t xml:space="preserve">Phase II RG Savings </w:t>
            </w:r>
            <w:r w:rsidRPr="00A806A3">
              <w:rPr>
                <w:b/>
                <w:bCs/>
                <w:color w:val="FFFFFF"/>
                <w:sz w:val="20"/>
                <w:szCs w:val="20"/>
                <w:vertAlign w:val="superscript"/>
              </w:rPr>
              <w:t>[f]</w:t>
            </w:r>
          </w:p>
        </w:tc>
        <w:tc>
          <w:tcPr>
            <w:tcW w:w="1160" w:type="dxa"/>
            <w:tcBorders>
              <w:top w:val="single" w:sz="8" w:space="0" w:color="448A99"/>
              <w:left w:val="nil"/>
              <w:bottom w:val="single" w:sz="8" w:space="0" w:color="448A99"/>
              <w:right w:val="single" w:sz="8" w:space="0" w:color="448A99"/>
            </w:tcBorders>
            <w:shd w:val="clear" w:color="000000" w:fill="448A99"/>
            <w:vAlign w:val="bottom"/>
            <w:hideMark/>
          </w:tcPr>
          <w:p w:rsidR="00A806A3" w:rsidRPr="00A806A3" w:rsidRDefault="00A806A3" w:rsidP="00B0359A">
            <w:pPr>
              <w:jc w:val="center"/>
              <w:rPr>
                <w:b/>
                <w:bCs/>
                <w:color w:val="FFFFFF"/>
                <w:sz w:val="20"/>
                <w:szCs w:val="20"/>
              </w:rPr>
            </w:pPr>
            <w:r w:rsidRPr="00A806A3">
              <w:rPr>
                <w:b/>
                <w:bCs/>
                <w:color w:val="FFFFFF"/>
                <w:sz w:val="20"/>
                <w:szCs w:val="20"/>
              </w:rPr>
              <w:t xml:space="preserve">Phase II VG Savings </w:t>
            </w:r>
            <w:r w:rsidRPr="00A806A3">
              <w:rPr>
                <w:b/>
                <w:bCs/>
                <w:color w:val="FFFFFF"/>
                <w:sz w:val="20"/>
                <w:szCs w:val="20"/>
                <w:vertAlign w:val="superscript"/>
              </w:rPr>
              <w:t>[h]</w:t>
            </w:r>
          </w:p>
        </w:tc>
        <w:tc>
          <w:tcPr>
            <w:tcW w:w="960" w:type="dxa"/>
            <w:tcBorders>
              <w:top w:val="single" w:sz="8" w:space="0" w:color="448A99"/>
              <w:left w:val="nil"/>
              <w:bottom w:val="single" w:sz="8" w:space="0" w:color="448A99"/>
              <w:right w:val="single" w:sz="8" w:space="0" w:color="448A99"/>
            </w:tcBorders>
            <w:shd w:val="clear" w:color="000000" w:fill="448A99"/>
            <w:vAlign w:val="bottom"/>
            <w:hideMark/>
          </w:tcPr>
          <w:p w:rsidR="00A806A3" w:rsidRPr="00A806A3" w:rsidRDefault="00A806A3" w:rsidP="00B0359A">
            <w:pPr>
              <w:jc w:val="center"/>
              <w:rPr>
                <w:b/>
                <w:bCs/>
                <w:color w:val="FFFFFF"/>
                <w:sz w:val="20"/>
                <w:szCs w:val="20"/>
              </w:rPr>
            </w:pPr>
            <w:r w:rsidRPr="00A806A3">
              <w:rPr>
                <w:b/>
                <w:bCs/>
                <w:color w:val="FFFFFF"/>
                <w:sz w:val="20"/>
                <w:szCs w:val="20"/>
              </w:rPr>
              <w:t>Phase I CO Savings</w:t>
            </w:r>
          </w:p>
        </w:tc>
        <w:tc>
          <w:tcPr>
            <w:tcW w:w="1180" w:type="dxa"/>
            <w:tcBorders>
              <w:top w:val="single" w:sz="8" w:space="0" w:color="448A99"/>
              <w:left w:val="nil"/>
              <w:bottom w:val="single" w:sz="8" w:space="0" w:color="448A99"/>
              <w:right w:val="single" w:sz="8" w:space="0" w:color="448A99"/>
            </w:tcBorders>
            <w:shd w:val="clear" w:color="000000" w:fill="448A99"/>
            <w:vAlign w:val="bottom"/>
            <w:hideMark/>
          </w:tcPr>
          <w:p w:rsidR="00A806A3" w:rsidRPr="00A806A3" w:rsidRDefault="00A806A3" w:rsidP="00B0359A">
            <w:pPr>
              <w:jc w:val="center"/>
              <w:rPr>
                <w:b/>
                <w:bCs/>
                <w:color w:val="FFFFFF"/>
                <w:sz w:val="20"/>
                <w:szCs w:val="20"/>
              </w:rPr>
            </w:pPr>
            <w:r w:rsidRPr="00A806A3">
              <w:rPr>
                <w:b/>
                <w:bCs/>
                <w:color w:val="FFFFFF"/>
                <w:sz w:val="20"/>
                <w:szCs w:val="20"/>
              </w:rPr>
              <w:t>Phase II VG + Phase I CO Savings</w:t>
            </w:r>
          </w:p>
        </w:tc>
        <w:tc>
          <w:tcPr>
            <w:tcW w:w="1380" w:type="dxa"/>
            <w:tcBorders>
              <w:top w:val="single" w:sz="8" w:space="0" w:color="448A99"/>
              <w:left w:val="nil"/>
              <w:bottom w:val="single" w:sz="8" w:space="0" w:color="448A99"/>
              <w:right w:val="single" w:sz="8" w:space="0" w:color="448A99"/>
            </w:tcBorders>
            <w:shd w:val="clear" w:color="000000" w:fill="448A99"/>
            <w:vAlign w:val="bottom"/>
            <w:hideMark/>
          </w:tcPr>
          <w:p w:rsidR="00A806A3" w:rsidRPr="00A806A3" w:rsidRDefault="00A806A3" w:rsidP="00B0359A">
            <w:pPr>
              <w:jc w:val="center"/>
              <w:rPr>
                <w:b/>
                <w:bCs/>
                <w:color w:val="FFFFFF"/>
                <w:sz w:val="20"/>
                <w:szCs w:val="20"/>
              </w:rPr>
            </w:pPr>
            <w:r w:rsidRPr="00A806A3">
              <w:rPr>
                <w:b/>
                <w:bCs/>
                <w:color w:val="FFFFFF"/>
                <w:sz w:val="20"/>
                <w:szCs w:val="20"/>
              </w:rPr>
              <w:t>May 31, 2016 Compliance Target (MWh)</w:t>
            </w:r>
          </w:p>
        </w:tc>
        <w:tc>
          <w:tcPr>
            <w:tcW w:w="1502" w:type="dxa"/>
            <w:tcBorders>
              <w:top w:val="single" w:sz="8" w:space="0" w:color="448A99"/>
              <w:left w:val="nil"/>
              <w:bottom w:val="single" w:sz="8" w:space="0" w:color="448A99"/>
              <w:right w:val="single" w:sz="8" w:space="0" w:color="448A99"/>
            </w:tcBorders>
            <w:shd w:val="clear" w:color="000000" w:fill="448A99"/>
            <w:vAlign w:val="bottom"/>
            <w:hideMark/>
          </w:tcPr>
          <w:p w:rsidR="00A806A3" w:rsidRPr="00A806A3" w:rsidRDefault="00A806A3" w:rsidP="00B0359A">
            <w:pPr>
              <w:jc w:val="center"/>
              <w:rPr>
                <w:b/>
                <w:bCs/>
                <w:color w:val="FFFFFF"/>
                <w:sz w:val="20"/>
                <w:szCs w:val="20"/>
              </w:rPr>
            </w:pPr>
            <w:r w:rsidRPr="00A806A3">
              <w:rPr>
                <w:b/>
                <w:bCs/>
                <w:color w:val="FFFFFF"/>
                <w:sz w:val="20"/>
                <w:szCs w:val="20"/>
              </w:rPr>
              <w:t xml:space="preserve">Savings Achieved as % of 2016 Targets </w:t>
            </w:r>
            <w:r w:rsidRPr="00A806A3">
              <w:rPr>
                <w:b/>
                <w:bCs/>
                <w:color w:val="FFFFFF"/>
                <w:sz w:val="20"/>
                <w:szCs w:val="20"/>
                <w:vertAlign w:val="superscript"/>
              </w:rPr>
              <w:t>[i]</w:t>
            </w:r>
          </w:p>
        </w:tc>
      </w:tr>
      <w:tr w:rsidR="00A874AC" w:rsidRPr="00A806A3" w:rsidTr="00592FD5">
        <w:trPr>
          <w:trHeight w:val="488"/>
        </w:trPr>
        <w:tc>
          <w:tcPr>
            <w:tcW w:w="2060" w:type="dxa"/>
            <w:tcBorders>
              <w:top w:val="nil"/>
              <w:left w:val="single" w:sz="8" w:space="0" w:color="448A99"/>
              <w:bottom w:val="single" w:sz="8" w:space="0" w:color="448A99"/>
              <w:right w:val="single" w:sz="8" w:space="0" w:color="448A99"/>
            </w:tcBorders>
            <w:shd w:val="clear" w:color="000000" w:fill="D2EAF1"/>
            <w:vAlign w:val="center"/>
            <w:hideMark/>
          </w:tcPr>
          <w:p w:rsidR="00A806A3" w:rsidRPr="00A806A3" w:rsidRDefault="00A806A3" w:rsidP="00A806A3">
            <w:pPr>
              <w:jc w:val="left"/>
              <w:rPr>
                <w:color w:val="000000"/>
                <w:sz w:val="20"/>
                <w:szCs w:val="20"/>
              </w:rPr>
            </w:pPr>
            <w:r w:rsidRPr="00A806A3">
              <w:rPr>
                <w:color w:val="000000"/>
                <w:sz w:val="20"/>
                <w:szCs w:val="20"/>
              </w:rPr>
              <w:t>Total Energy Savings (MWh/yr)</w:t>
            </w:r>
          </w:p>
        </w:tc>
        <w:tc>
          <w:tcPr>
            <w:tcW w:w="112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368,430</w:t>
            </w:r>
          </w:p>
        </w:tc>
        <w:tc>
          <w:tcPr>
            <w:tcW w:w="116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368,235</w:t>
            </w:r>
          </w:p>
        </w:tc>
        <w:tc>
          <w:tcPr>
            <w:tcW w:w="96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47,187</w:t>
            </w:r>
          </w:p>
        </w:tc>
        <w:tc>
          <w:tcPr>
            <w:tcW w:w="118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415,422</w:t>
            </w:r>
          </w:p>
        </w:tc>
        <w:tc>
          <w:tcPr>
            <w:tcW w:w="138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337,753</w:t>
            </w:r>
          </w:p>
        </w:tc>
        <w:tc>
          <w:tcPr>
            <w:tcW w:w="1502"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123%</w:t>
            </w:r>
          </w:p>
        </w:tc>
      </w:tr>
      <w:tr w:rsidR="00E7173E" w:rsidRPr="00A806A3" w:rsidTr="00592FD5">
        <w:trPr>
          <w:trHeight w:val="488"/>
        </w:trPr>
        <w:tc>
          <w:tcPr>
            <w:tcW w:w="2060" w:type="dxa"/>
            <w:tcBorders>
              <w:top w:val="nil"/>
              <w:left w:val="single" w:sz="8" w:space="0" w:color="448A99"/>
              <w:bottom w:val="single" w:sz="8" w:space="0" w:color="448A99"/>
              <w:right w:val="single" w:sz="8" w:space="0" w:color="448A99"/>
            </w:tcBorders>
            <w:shd w:val="clear" w:color="auto" w:fill="auto"/>
            <w:vAlign w:val="center"/>
            <w:hideMark/>
          </w:tcPr>
          <w:p w:rsidR="00A806A3" w:rsidRPr="00A806A3" w:rsidRDefault="00A806A3" w:rsidP="00A806A3">
            <w:pPr>
              <w:jc w:val="left"/>
              <w:rPr>
                <w:color w:val="000000"/>
                <w:sz w:val="20"/>
                <w:szCs w:val="20"/>
              </w:rPr>
            </w:pPr>
            <w:r w:rsidRPr="00A806A3">
              <w:rPr>
                <w:color w:val="000000"/>
                <w:sz w:val="20"/>
                <w:szCs w:val="20"/>
              </w:rPr>
              <w:t>Total Demand Reduction (MW)</w:t>
            </w:r>
          </w:p>
        </w:tc>
        <w:tc>
          <w:tcPr>
            <w:tcW w:w="112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44.24</w:t>
            </w:r>
          </w:p>
        </w:tc>
        <w:tc>
          <w:tcPr>
            <w:tcW w:w="116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45.660</w:t>
            </w:r>
          </w:p>
        </w:tc>
        <w:tc>
          <w:tcPr>
            <w:tcW w:w="96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N/A</w:t>
            </w:r>
          </w:p>
        </w:tc>
        <w:tc>
          <w:tcPr>
            <w:tcW w:w="118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45.660</w:t>
            </w:r>
          </w:p>
        </w:tc>
        <w:tc>
          <w:tcPr>
            <w:tcW w:w="138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N/A</w:t>
            </w:r>
          </w:p>
        </w:tc>
        <w:tc>
          <w:tcPr>
            <w:tcW w:w="1502"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N/A</w:t>
            </w:r>
          </w:p>
        </w:tc>
      </w:tr>
      <w:tr w:rsidR="00A874AC" w:rsidRPr="00A806A3" w:rsidTr="00592FD5">
        <w:trPr>
          <w:trHeight w:val="488"/>
        </w:trPr>
        <w:tc>
          <w:tcPr>
            <w:tcW w:w="2060" w:type="dxa"/>
            <w:tcBorders>
              <w:top w:val="nil"/>
              <w:left w:val="single" w:sz="8" w:space="0" w:color="448A99"/>
              <w:bottom w:val="single" w:sz="8" w:space="0" w:color="448A99"/>
              <w:right w:val="single" w:sz="8" w:space="0" w:color="448A99"/>
            </w:tcBorders>
            <w:shd w:val="clear" w:color="000000" w:fill="D2EAF1"/>
            <w:vAlign w:val="center"/>
            <w:hideMark/>
          </w:tcPr>
          <w:p w:rsidR="00A806A3" w:rsidRPr="00A806A3" w:rsidRDefault="00A806A3" w:rsidP="00A806A3">
            <w:pPr>
              <w:jc w:val="left"/>
              <w:rPr>
                <w:color w:val="000000"/>
                <w:sz w:val="20"/>
                <w:szCs w:val="20"/>
              </w:rPr>
            </w:pPr>
            <w:r w:rsidRPr="00A806A3">
              <w:rPr>
                <w:color w:val="000000"/>
                <w:sz w:val="20"/>
                <w:szCs w:val="20"/>
              </w:rPr>
              <w:t xml:space="preserve">TRC Benefits ($1,000) </w:t>
            </w:r>
            <w:r w:rsidRPr="00A806A3">
              <w:rPr>
                <w:color w:val="000000"/>
                <w:sz w:val="20"/>
                <w:szCs w:val="20"/>
                <w:vertAlign w:val="superscript"/>
              </w:rPr>
              <w:t>[a]</w:t>
            </w:r>
          </w:p>
        </w:tc>
        <w:tc>
          <w:tcPr>
            <w:tcW w:w="112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 xml:space="preserve">N/A </w:t>
            </w:r>
            <w:r w:rsidRPr="00A806A3">
              <w:rPr>
                <w:sz w:val="20"/>
                <w:szCs w:val="20"/>
                <w:vertAlign w:val="superscript"/>
              </w:rPr>
              <w:t>[g]</w:t>
            </w:r>
          </w:p>
        </w:tc>
        <w:tc>
          <w:tcPr>
            <w:tcW w:w="116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$178,598</w:t>
            </w:r>
          </w:p>
        </w:tc>
        <w:tc>
          <w:tcPr>
            <w:tcW w:w="96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N/A</w:t>
            </w:r>
          </w:p>
        </w:tc>
        <w:tc>
          <w:tcPr>
            <w:tcW w:w="118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$178,598</w:t>
            </w:r>
          </w:p>
        </w:tc>
        <w:tc>
          <w:tcPr>
            <w:tcW w:w="138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N/A</w:t>
            </w:r>
          </w:p>
        </w:tc>
        <w:tc>
          <w:tcPr>
            <w:tcW w:w="1502"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N/A</w:t>
            </w:r>
          </w:p>
        </w:tc>
      </w:tr>
      <w:tr w:rsidR="00E7173E" w:rsidRPr="00A806A3" w:rsidTr="00592FD5">
        <w:trPr>
          <w:trHeight w:val="488"/>
        </w:trPr>
        <w:tc>
          <w:tcPr>
            <w:tcW w:w="2060" w:type="dxa"/>
            <w:tcBorders>
              <w:top w:val="nil"/>
              <w:left w:val="single" w:sz="8" w:space="0" w:color="448A99"/>
              <w:bottom w:val="single" w:sz="8" w:space="0" w:color="448A99"/>
              <w:right w:val="single" w:sz="8" w:space="0" w:color="448A99"/>
            </w:tcBorders>
            <w:shd w:val="clear" w:color="auto" w:fill="auto"/>
            <w:vAlign w:val="center"/>
            <w:hideMark/>
          </w:tcPr>
          <w:p w:rsidR="00A806A3" w:rsidRPr="00A806A3" w:rsidRDefault="00A806A3" w:rsidP="00A806A3">
            <w:pPr>
              <w:jc w:val="left"/>
              <w:rPr>
                <w:color w:val="000000"/>
                <w:sz w:val="20"/>
                <w:szCs w:val="20"/>
              </w:rPr>
            </w:pPr>
            <w:r w:rsidRPr="00A806A3">
              <w:rPr>
                <w:color w:val="000000"/>
                <w:sz w:val="20"/>
                <w:szCs w:val="20"/>
              </w:rPr>
              <w:t xml:space="preserve">TRC Costs ($1,000) </w:t>
            </w:r>
            <w:r w:rsidRPr="00A806A3">
              <w:rPr>
                <w:color w:val="000000"/>
                <w:sz w:val="20"/>
                <w:szCs w:val="20"/>
                <w:vertAlign w:val="superscript"/>
              </w:rPr>
              <w:t>[b]</w:t>
            </w:r>
          </w:p>
        </w:tc>
        <w:tc>
          <w:tcPr>
            <w:tcW w:w="112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 xml:space="preserve">N/A </w:t>
            </w:r>
            <w:r w:rsidRPr="00A806A3">
              <w:rPr>
                <w:sz w:val="20"/>
                <w:szCs w:val="20"/>
                <w:vertAlign w:val="superscript"/>
              </w:rPr>
              <w:t>[g]</w:t>
            </w:r>
          </w:p>
        </w:tc>
        <w:tc>
          <w:tcPr>
            <w:tcW w:w="116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$115,527</w:t>
            </w:r>
          </w:p>
        </w:tc>
        <w:tc>
          <w:tcPr>
            <w:tcW w:w="96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N/A</w:t>
            </w:r>
          </w:p>
        </w:tc>
        <w:tc>
          <w:tcPr>
            <w:tcW w:w="118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$115,527</w:t>
            </w:r>
          </w:p>
        </w:tc>
        <w:tc>
          <w:tcPr>
            <w:tcW w:w="138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N/A</w:t>
            </w:r>
          </w:p>
        </w:tc>
        <w:tc>
          <w:tcPr>
            <w:tcW w:w="1502"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N/A</w:t>
            </w:r>
          </w:p>
        </w:tc>
      </w:tr>
      <w:tr w:rsidR="00A874AC" w:rsidRPr="00A806A3" w:rsidTr="00592FD5">
        <w:trPr>
          <w:trHeight w:val="488"/>
        </w:trPr>
        <w:tc>
          <w:tcPr>
            <w:tcW w:w="2060" w:type="dxa"/>
            <w:tcBorders>
              <w:top w:val="nil"/>
              <w:left w:val="single" w:sz="8" w:space="0" w:color="448A99"/>
              <w:bottom w:val="single" w:sz="8" w:space="0" w:color="448A99"/>
              <w:right w:val="single" w:sz="8" w:space="0" w:color="448A99"/>
            </w:tcBorders>
            <w:shd w:val="clear" w:color="000000" w:fill="D2EAF1"/>
            <w:vAlign w:val="center"/>
            <w:hideMark/>
          </w:tcPr>
          <w:p w:rsidR="00A806A3" w:rsidRPr="00A806A3" w:rsidRDefault="00A806A3" w:rsidP="00A90285">
            <w:pPr>
              <w:jc w:val="left"/>
              <w:rPr>
                <w:color w:val="000000"/>
                <w:sz w:val="20"/>
                <w:szCs w:val="20"/>
              </w:rPr>
            </w:pPr>
            <w:r w:rsidRPr="00A806A3">
              <w:rPr>
                <w:color w:val="000000"/>
                <w:sz w:val="20"/>
                <w:szCs w:val="20"/>
              </w:rPr>
              <w:t xml:space="preserve">TRC </w:t>
            </w:r>
            <w:r w:rsidR="00A90285">
              <w:rPr>
                <w:color w:val="000000"/>
                <w:sz w:val="20"/>
                <w:szCs w:val="20"/>
              </w:rPr>
              <w:t>B/C</w:t>
            </w:r>
            <w:r w:rsidRPr="00A806A3">
              <w:rPr>
                <w:color w:val="000000"/>
                <w:sz w:val="20"/>
                <w:szCs w:val="20"/>
              </w:rPr>
              <w:t xml:space="preserve"> Ratio </w:t>
            </w:r>
            <w:r w:rsidRPr="00A806A3">
              <w:rPr>
                <w:color w:val="000000"/>
                <w:sz w:val="20"/>
                <w:szCs w:val="20"/>
                <w:vertAlign w:val="superscript"/>
              </w:rPr>
              <w:t>[c]</w:t>
            </w:r>
          </w:p>
        </w:tc>
        <w:tc>
          <w:tcPr>
            <w:tcW w:w="112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 xml:space="preserve">N/A </w:t>
            </w:r>
            <w:r w:rsidRPr="00A806A3">
              <w:rPr>
                <w:sz w:val="20"/>
                <w:szCs w:val="20"/>
                <w:vertAlign w:val="superscript"/>
              </w:rPr>
              <w:t>[g]</w:t>
            </w:r>
          </w:p>
        </w:tc>
        <w:tc>
          <w:tcPr>
            <w:tcW w:w="116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1.55</w:t>
            </w:r>
          </w:p>
        </w:tc>
        <w:tc>
          <w:tcPr>
            <w:tcW w:w="96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N/A</w:t>
            </w:r>
          </w:p>
        </w:tc>
        <w:tc>
          <w:tcPr>
            <w:tcW w:w="118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1.55</w:t>
            </w:r>
          </w:p>
        </w:tc>
        <w:tc>
          <w:tcPr>
            <w:tcW w:w="1380"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N/A</w:t>
            </w:r>
          </w:p>
        </w:tc>
        <w:tc>
          <w:tcPr>
            <w:tcW w:w="1502" w:type="dxa"/>
            <w:tcBorders>
              <w:top w:val="nil"/>
              <w:left w:val="nil"/>
              <w:bottom w:val="single" w:sz="8" w:space="0" w:color="448A99"/>
              <w:right w:val="single" w:sz="8" w:space="0" w:color="448A99"/>
            </w:tcBorders>
            <w:shd w:val="clear" w:color="000000" w:fill="D2EAF1"/>
            <w:vAlign w:val="center"/>
            <w:hideMark/>
          </w:tcPr>
          <w:p w:rsidR="00A806A3" w:rsidRPr="00A806A3" w:rsidRDefault="00A806A3" w:rsidP="00A806A3">
            <w:pPr>
              <w:jc w:val="center"/>
              <w:rPr>
                <w:sz w:val="20"/>
                <w:szCs w:val="20"/>
              </w:rPr>
            </w:pPr>
            <w:r w:rsidRPr="00A806A3">
              <w:rPr>
                <w:sz w:val="20"/>
                <w:szCs w:val="20"/>
              </w:rPr>
              <w:t>N/A</w:t>
            </w:r>
          </w:p>
        </w:tc>
      </w:tr>
      <w:tr w:rsidR="00E7173E" w:rsidRPr="00A806A3" w:rsidTr="00592FD5">
        <w:trPr>
          <w:trHeight w:val="489"/>
        </w:trPr>
        <w:tc>
          <w:tcPr>
            <w:tcW w:w="2060" w:type="dxa"/>
            <w:tcBorders>
              <w:top w:val="nil"/>
              <w:left w:val="single" w:sz="8" w:space="0" w:color="448A99"/>
              <w:bottom w:val="single" w:sz="8" w:space="0" w:color="448A99"/>
              <w:right w:val="single" w:sz="8" w:space="0" w:color="448A99"/>
            </w:tcBorders>
            <w:shd w:val="clear" w:color="auto" w:fill="auto"/>
            <w:vAlign w:val="center"/>
            <w:hideMark/>
          </w:tcPr>
          <w:p w:rsidR="00A806A3" w:rsidRPr="00A806A3" w:rsidRDefault="00A806A3" w:rsidP="00A806A3">
            <w:pPr>
              <w:jc w:val="left"/>
              <w:rPr>
                <w:color w:val="000000"/>
                <w:sz w:val="20"/>
                <w:szCs w:val="20"/>
              </w:rPr>
            </w:pPr>
            <w:r w:rsidRPr="00A806A3">
              <w:rPr>
                <w:color w:val="000000"/>
                <w:sz w:val="20"/>
                <w:szCs w:val="20"/>
              </w:rPr>
              <w:t>CO</w:t>
            </w:r>
            <w:r w:rsidRPr="00A806A3">
              <w:rPr>
                <w:color w:val="000000"/>
                <w:sz w:val="20"/>
                <w:szCs w:val="20"/>
                <w:vertAlign w:val="subscript"/>
              </w:rPr>
              <w:t>2</w:t>
            </w:r>
            <w:r w:rsidRPr="00A806A3">
              <w:rPr>
                <w:color w:val="000000"/>
                <w:sz w:val="20"/>
                <w:szCs w:val="20"/>
              </w:rPr>
              <w:t xml:space="preserve"> Emissions Reduction (Tons) </w:t>
            </w:r>
            <w:r w:rsidRPr="00A806A3">
              <w:rPr>
                <w:color w:val="000000"/>
                <w:sz w:val="20"/>
                <w:szCs w:val="20"/>
                <w:vertAlign w:val="superscript"/>
              </w:rPr>
              <w:t>[d][e]</w:t>
            </w:r>
          </w:p>
        </w:tc>
        <w:tc>
          <w:tcPr>
            <w:tcW w:w="112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283,875</w:t>
            </w:r>
          </w:p>
        </w:tc>
        <w:tc>
          <w:tcPr>
            <w:tcW w:w="116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283,725</w:t>
            </w:r>
          </w:p>
        </w:tc>
        <w:tc>
          <w:tcPr>
            <w:tcW w:w="96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36,358</w:t>
            </w:r>
          </w:p>
        </w:tc>
        <w:tc>
          <w:tcPr>
            <w:tcW w:w="118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320,083</w:t>
            </w:r>
          </w:p>
        </w:tc>
        <w:tc>
          <w:tcPr>
            <w:tcW w:w="1380"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N/A</w:t>
            </w:r>
          </w:p>
        </w:tc>
        <w:tc>
          <w:tcPr>
            <w:tcW w:w="1502" w:type="dxa"/>
            <w:tcBorders>
              <w:top w:val="nil"/>
              <w:left w:val="nil"/>
              <w:bottom w:val="single" w:sz="8" w:space="0" w:color="448A99"/>
              <w:right w:val="single" w:sz="8" w:space="0" w:color="448A99"/>
            </w:tcBorders>
            <w:shd w:val="clear" w:color="auto" w:fill="auto"/>
            <w:vAlign w:val="center"/>
            <w:hideMark/>
          </w:tcPr>
          <w:p w:rsidR="00A806A3" w:rsidRPr="00A806A3" w:rsidRDefault="00A806A3" w:rsidP="00A806A3">
            <w:pPr>
              <w:jc w:val="center"/>
              <w:rPr>
                <w:sz w:val="20"/>
                <w:szCs w:val="20"/>
              </w:rPr>
            </w:pPr>
            <w:r w:rsidRPr="00A806A3">
              <w:rPr>
                <w:sz w:val="20"/>
                <w:szCs w:val="20"/>
              </w:rPr>
              <w:t>N/A</w:t>
            </w:r>
          </w:p>
        </w:tc>
      </w:tr>
      <w:tr w:rsidR="00A806A3" w:rsidRPr="00664065" w:rsidTr="00592FD5">
        <w:trPr>
          <w:trHeight w:val="3220"/>
        </w:trPr>
        <w:tc>
          <w:tcPr>
            <w:tcW w:w="9362" w:type="dxa"/>
            <w:gridSpan w:val="7"/>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A806A3" w:rsidRPr="00664065" w:rsidRDefault="00A806A3" w:rsidP="00A806A3">
            <w:pPr>
              <w:jc w:val="left"/>
              <w:rPr>
                <w:color w:val="FFFFFF"/>
                <w:sz w:val="18"/>
                <w:szCs w:val="20"/>
              </w:rPr>
            </w:pPr>
            <w:r w:rsidRPr="00664065">
              <w:rPr>
                <w:color w:val="FFFFFF"/>
                <w:sz w:val="18"/>
                <w:szCs w:val="20"/>
              </w:rPr>
              <w:t xml:space="preserve">NOTES: </w:t>
            </w:r>
            <w:r w:rsidRPr="00664065">
              <w:rPr>
                <w:color w:val="FFFFFF"/>
                <w:sz w:val="18"/>
                <w:szCs w:val="20"/>
              </w:rPr>
              <w:br/>
              <w:t>[a] Avoided supply costs, including the reduction in costs of electric energy, generation, transmission, and distribution capacity. Subject to TRC Order.</w:t>
            </w:r>
            <w:r w:rsidRPr="00664065">
              <w:rPr>
                <w:color w:val="FFFFFF"/>
                <w:sz w:val="18"/>
                <w:szCs w:val="20"/>
              </w:rPr>
              <w:br/>
              <w:t>[b] Costs paid by the program administrator and participants plus the increase in supply costs for any period when load is increased.  Subject to TRC Order.</w:t>
            </w:r>
            <w:r w:rsidRPr="00664065">
              <w:rPr>
                <w:color w:val="FFFFFF"/>
                <w:sz w:val="18"/>
                <w:szCs w:val="20"/>
              </w:rPr>
              <w:br/>
              <w:t>[c] Subject to the Commission’s August 31, 2012 TRC Order.</w:t>
            </w:r>
            <w:r w:rsidRPr="00664065">
              <w:rPr>
                <w:color w:val="FFFFFF"/>
                <w:sz w:val="18"/>
                <w:szCs w:val="20"/>
              </w:rPr>
              <w:br/>
              <w:t>[d] CO</w:t>
            </w:r>
            <w:r w:rsidRPr="00664065">
              <w:rPr>
                <w:color w:val="FFFFFF"/>
                <w:sz w:val="18"/>
                <w:szCs w:val="20"/>
                <w:vertAlign w:val="subscript"/>
              </w:rPr>
              <w:t>2</w:t>
            </w:r>
            <w:r w:rsidRPr="00664065">
              <w:rPr>
                <w:color w:val="FFFFFF"/>
                <w:sz w:val="18"/>
                <w:szCs w:val="20"/>
              </w:rPr>
              <w:t xml:space="preserve"> conversion based on 1,541 lbs CO</w:t>
            </w:r>
            <w:r w:rsidRPr="00664065">
              <w:rPr>
                <w:color w:val="FFFFFF"/>
                <w:sz w:val="18"/>
                <w:szCs w:val="20"/>
                <w:vertAlign w:val="subscript"/>
              </w:rPr>
              <w:t>2</w:t>
            </w:r>
            <w:r w:rsidRPr="00664065">
              <w:rPr>
                <w:color w:val="FFFFFF"/>
                <w:sz w:val="18"/>
                <w:szCs w:val="20"/>
              </w:rPr>
              <w:t xml:space="preserve"> per MWh according to the latest available (2015) PJM Emission Report of marginal off-peak annual CO</w:t>
            </w:r>
            <w:r w:rsidRPr="00664065">
              <w:rPr>
                <w:color w:val="FFFFFF"/>
                <w:sz w:val="18"/>
                <w:szCs w:val="20"/>
                <w:vertAlign w:val="subscript"/>
              </w:rPr>
              <w:t>2</w:t>
            </w:r>
            <w:r w:rsidRPr="00664065">
              <w:rPr>
                <w:color w:val="FFFFFF"/>
                <w:sz w:val="18"/>
                <w:szCs w:val="20"/>
              </w:rPr>
              <w:t xml:space="preserve"> emission rate.</w:t>
            </w:r>
            <w:r w:rsidRPr="00664065">
              <w:rPr>
                <w:color w:val="FFFFFF"/>
                <w:sz w:val="18"/>
                <w:szCs w:val="20"/>
              </w:rPr>
              <w:br/>
              <w:t>[e] CO</w:t>
            </w:r>
            <w:r w:rsidRPr="00664065">
              <w:rPr>
                <w:color w:val="FFFFFF"/>
                <w:sz w:val="18"/>
                <w:szCs w:val="20"/>
                <w:vertAlign w:val="subscript"/>
              </w:rPr>
              <w:t>2</w:t>
            </w:r>
            <w:r w:rsidRPr="00664065">
              <w:rPr>
                <w:color w:val="FFFFFF"/>
                <w:sz w:val="18"/>
                <w:szCs w:val="20"/>
              </w:rPr>
              <w:t xml:space="preserve"> emissions are reported due to Stakeholder interest in this information and to recognize that reporting this information is recommended by the National Action Plan for Energy Efficiency.</w:t>
            </w:r>
            <w:r w:rsidRPr="00664065">
              <w:rPr>
                <w:color w:val="FFFFFF"/>
                <w:sz w:val="18"/>
                <w:szCs w:val="20"/>
              </w:rPr>
              <w:br/>
              <w:t>[f] Phase II Reported Gross Impact is the cumulative program/portfolio Phase II Inception to Date Reported Gross Savings.</w:t>
            </w:r>
            <w:r w:rsidRPr="00664065">
              <w:rPr>
                <w:color w:val="FFFFFF"/>
                <w:sz w:val="18"/>
                <w:szCs w:val="20"/>
              </w:rPr>
              <w:br/>
              <w:t>[g] TRC Benefits and Costs are calculated only for verified savings, which reflect actual program results.</w:t>
            </w:r>
            <w:r w:rsidRPr="00664065">
              <w:rPr>
                <w:color w:val="FFFFFF"/>
                <w:sz w:val="18"/>
                <w:szCs w:val="20"/>
              </w:rPr>
              <w:br/>
              <w:t>[h] Phase II Verified Impact is the cumulative program/portfolio Phase II Inception to Date Verified Gross Savings.</w:t>
            </w:r>
            <w:r w:rsidRPr="00664065">
              <w:rPr>
                <w:color w:val="FFFFFF"/>
                <w:sz w:val="18"/>
                <w:szCs w:val="20"/>
              </w:rPr>
              <w:br/>
              <w:t>[i] Savings achieved based on Phase II Inception-to-Date Verified Gross Savings.</w:t>
            </w:r>
          </w:p>
        </w:tc>
      </w:tr>
    </w:tbl>
    <w:p w:rsidR="0043410E" w:rsidRPr="0043410E" w:rsidRDefault="0043410E" w:rsidP="0043410E"/>
    <w:p w:rsidR="00895552" w:rsidRDefault="00A806A3" w:rsidP="00895552">
      <w:r>
        <w:t>Met-Ed</w:t>
      </w:r>
      <w:r w:rsidR="00895552">
        <w:t xml:space="preserve"> </w:t>
      </w:r>
      <w:r w:rsidR="00895552" w:rsidRPr="00A806A3">
        <w:t>achieved 1</w:t>
      </w:r>
      <w:r w:rsidRPr="00A806A3">
        <w:t>2</w:t>
      </w:r>
      <w:r w:rsidR="00895552" w:rsidRPr="00A806A3">
        <w:t>3% of</w:t>
      </w:r>
      <w:r w:rsidR="00895552">
        <w:t xml:space="preserve"> its Act 129 Phase II energy savings target through the end of PY7. The TRC ratio </w:t>
      </w:r>
      <w:r w:rsidR="00895552" w:rsidRPr="00A806A3">
        <w:t xml:space="preserve">of </w:t>
      </w:r>
      <w:r w:rsidRPr="00A806A3">
        <w:t>Met-Ed</w:t>
      </w:r>
      <w:r w:rsidR="00895552" w:rsidRPr="00A806A3">
        <w:t>’s programs was 1.</w:t>
      </w:r>
      <w:r w:rsidRPr="00A806A3">
        <w:t>55</w:t>
      </w:r>
      <w:r w:rsidR="00895552" w:rsidRPr="00A806A3">
        <w:t>, which indicates that its portfolio of EE&amp;C programs is cost-effective on an aggregated basis</w:t>
      </w:r>
      <w:r w:rsidR="00895552">
        <w:t>.</w:t>
      </w:r>
    </w:p>
    <w:p w:rsidR="00895552" w:rsidRDefault="00895552" w:rsidP="00895552"/>
    <w:p w:rsidR="0043410E" w:rsidRDefault="004F1B4F" w:rsidP="00895552">
      <w:r>
        <w:fldChar w:fldCharType="begin"/>
      </w:r>
      <w:r>
        <w:instrText xml:space="preserve"> REF _Ref472409679 \h </w:instrText>
      </w:r>
      <w:r>
        <w:fldChar w:fldCharType="separate"/>
      </w:r>
      <w:r w:rsidR="00C301D0">
        <w:t xml:space="preserve">Figure </w:t>
      </w:r>
      <w:r w:rsidR="00C301D0">
        <w:rPr>
          <w:noProof/>
        </w:rPr>
        <w:t>2</w:t>
      </w:r>
      <w:r w:rsidR="00C301D0">
        <w:noBreakHyphen/>
      </w:r>
      <w:r w:rsidR="00C301D0">
        <w:rPr>
          <w:noProof/>
        </w:rPr>
        <w:t>18</w:t>
      </w:r>
      <w:r>
        <w:fldChar w:fldCharType="end"/>
      </w:r>
      <w:r w:rsidR="00895552">
        <w:t xml:space="preserve"> shows the verified gross savings after each program year during Phase II. The data in this figure does not include carryover savings from Phase </w:t>
      </w:r>
      <w:r w:rsidR="00426848">
        <w:t>I</w:t>
      </w:r>
      <w:r w:rsidR="00895552">
        <w:t xml:space="preserve">. The </w:t>
      </w:r>
      <w:r w:rsidR="00A806A3">
        <w:t>residential</w:t>
      </w:r>
      <w:r w:rsidR="00895552">
        <w:t xml:space="preserve"> sector accounted for the highest savings for </w:t>
      </w:r>
      <w:r w:rsidR="00A806A3">
        <w:t>Met-Ed</w:t>
      </w:r>
      <w:r w:rsidR="00895552">
        <w:t xml:space="preserve"> during Phase II.</w:t>
      </w:r>
    </w:p>
    <w:p w:rsidR="00A806A3" w:rsidRDefault="00A806A3" w:rsidP="00895552"/>
    <w:p w:rsidR="00F3562D" w:rsidRDefault="00F3562D" w:rsidP="00895552"/>
    <w:p w:rsidR="00F3562D" w:rsidRDefault="00F3562D" w:rsidP="00895552"/>
    <w:p w:rsidR="00F3562D" w:rsidRDefault="00F3562D" w:rsidP="00895552"/>
    <w:p w:rsidR="00F3562D" w:rsidRDefault="00F3562D" w:rsidP="00895552"/>
    <w:p w:rsidR="007B6E5B" w:rsidRDefault="007B6E5B" w:rsidP="00895552"/>
    <w:p w:rsidR="00A806A3" w:rsidRDefault="004F1B4F" w:rsidP="004F1B4F">
      <w:pPr>
        <w:pStyle w:val="Caption"/>
      </w:pPr>
      <w:bookmarkStart w:id="190" w:name="_Ref472409679"/>
      <w:bookmarkStart w:id="191" w:name="_Toc472472225"/>
      <w:bookmarkStart w:id="192" w:name="_Toc476914039"/>
      <w:r>
        <w:lastRenderedPageBreak/>
        <w:t xml:space="preserve">Figure </w:t>
      </w:r>
      <w:fldSimple w:instr=" STYLEREF 1 \s ">
        <w:r w:rsidR="00C301D0">
          <w:rPr>
            <w:noProof/>
          </w:rPr>
          <w:t>2</w:t>
        </w:r>
      </w:fldSimple>
      <w:r w:rsidR="00DA1ADA">
        <w:noBreakHyphen/>
      </w:r>
      <w:fldSimple w:instr=" SEQ Figure \* ARABIC \s 1 ">
        <w:r w:rsidR="00C301D0">
          <w:rPr>
            <w:noProof/>
          </w:rPr>
          <w:t>18</w:t>
        </w:r>
      </w:fldSimple>
      <w:bookmarkEnd w:id="190"/>
      <w:r>
        <w:t xml:space="preserve">: </w:t>
      </w:r>
      <w:r w:rsidR="00A806A3">
        <w:t>Met-Ed</w:t>
      </w:r>
      <w:r w:rsidR="00A806A3" w:rsidRPr="001928C8">
        <w:t xml:space="preserve"> Phase</w:t>
      </w:r>
      <w:r w:rsidR="00A806A3">
        <w:t xml:space="preserve"> I</w:t>
      </w:r>
      <w:r w:rsidR="00A806A3" w:rsidRPr="001928C8">
        <w:t>I</w:t>
      </w:r>
      <w:r w:rsidR="002E319D" w:rsidRPr="002E319D">
        <w:t xml:space="preserve"> </w:t>
      </w:r>
      <w:r w:rsidR="002E319D">
        <w:t>Cumulative</w:t>
      </w:r>
      <w:r w:rsidR="00A806A3" w:rsidRPr="001928C8">
        <w:t xml:space="preserve"> </w:t>
      </w:r>
      <w:r w:rsidR="00A806A3">
        <w:t>V</w:t>
      </w:r>
      <w:r w:rsidR="00A806A3" w:rsidRPr="001928C8">
        <w:t>erified</w:t>
      </w:r>
      <w:r w:rsidR="00A90285">
        <w:t xml:space="preserve"> Gross</w:t>
      </w:r>
      <w:r w:rsidR="00A806A3" w:rsidRPr="001928C8">
        <w:t xml:space="preserve"> Savings by Program Year and Sector</w:t>
      </w:r>
      <w:bookmarkEnd w:id="191"/>
      <w:bookmarkEnd w:id="192"/>
    </w:p>
    <w:p w:rsidR="00A806A3" w:rsidRPr="0043410E" w:rsidRDefault="00105F3B" w:rsidP="00895552">
      <w:r>
        <w:rPr>
          <w:noProof/>
        </w:rPr>
        <w:drawing>
          <wp:inline distT="0" distB="0" distL="0" distR="0" wp14:anchorId="5573821C" wp14:editId="4B5346C3">
            <wp:extent cx="5780598" cy="3373727"/>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2752" cy="3380820"/>
                    </a:xfrm>
                    <a:prstGeom prst="rect">
                      <a:avLst/>
                    </a:prstGeom>
                    <a:noFill/>
                  </pic:spPr>
                </pic:pic>
              </a:graphicData>
            </a:graphic>
          </wp:inline>
        </w:drawing>
      </w:r>
    </w:p>
    <w:p w:rsidR="00B0359A" w:rsidRDefault="00B0359A" w:rsidP="00B0359A">
      <w:bookmarkStart w:id="193" w:name="_Toc472472098"/>
    </w:p>
    <w:p w:rsidR="006058D6" w:rsidRDefault="006058D6" w:rsidP="006058D6">
      <w:pPr>
        <w:pStyle w:val="Heading3"/>
      </w:pPr>
      <w:bookmarkStart w:id="194" w:name="_Toc476913910"/>
      <w:r>
        <w:t>Pe</w:t>
      </w:r>
      <w:r w:rsidR="00DD6B4C">
        <w:t>nnsylvania Electric Company</w:t>
      </w:r>
      <w:bookmarkEnd w:id="193"/>
      <w:bookmarkEnd w:id="194"/>
    </w:p>
    <w:p w:rsidR="0043410E" w:rsidRDefault="00F3562D" w:rsidP="0043410E">
      <w:r>
        <w:fldChar w:fldCharType="begin"/>
      </w:r>
      <w:r>
        <w:instrText xml:space="preserve"> REF _Ref473729227 \h </w:instrText>
      </w:r>
      <w:r>
        <w:fldChar w:fldCharType="separate"/>
      </w:r>
      <w:r w:rsidR="008A7824">
        <w:t xml:space="preserve">Table </w:t>
      </w:r>
      <w:r w:rsidR="008A7824">
        <w:rPr>
          <w:noProof/>
        </w:rPr>
        <w:t>2</w:t>
      </w:r>
      <w:r w:rsidR="008A7824">
        <w:noBreakHyphen/>
      </w:r>
      <w:r w:rsidR="008A7824">
        <w:rPr>
          <w:noProof/>
        </w:rPr>
        <w:t>18</w:t>
      </w:r>
      <w:r>
        <w:fldChar w:fldCharType="end"/>
      </w:r>
      <w:r>
        <w:t xml:space="preserve"> </w:t>
      </w:r>
      <w:r w:rsidR="001E4D27" w:rsidRPr="001E4D27">
        <w:t xml:space="preserve">provides an overview of </w:t>
      </w:r>
      <w:r w:rsidR="00A90285">
        <w:t xml:space="preserve">Penelec’s cumulative reported gross (RG) </w:t>
      </w:r>
      <w:r w:rsidR="00A90285" w:rsidRPr="001E4D27">
        <w:t xml:space="preserve">and verified gross </w:t>
      </w:r>
      <w:r w:rsidR="00A90285">
        <w:t xml:space="preserve">(VG) savings impacts, and carryover (CO) </w:t>
      </w:r>
      <w:r w:rsidR="00A90285" w:rsidRPr="001E4D27">
        <w:t xml:space="preserve">savings since the inception </w:t>
      </w:r>
      <w:r w:rsidR="00A90285">
        <w:t xml:space="preserve">of its </w:t>
      </w:r>
      <w:r w:rsidR="00A90285" w:rsidRPr="001E4D27">
        <w:t>EE&amp;C programs</w:t>
      </w:r>
      <w:r w:rsidR="00A90285">
        <w:t xml:space="preserve"> </w:t>
      </w:r>
      <w:r w:rsidR="00A90285" w:rsidRPr="001E4D27">
        <w:t xml:space="preserve">through </w:t>
      </w:r>
      <w:r w:rsidR="001E4D27" w:rsidRPr="001E4D27">
        <w:t xml:space="preserve">the end of </w:t>
      </w:r>
      <w:r w:rsidR="001E4D27">
        <w:t>Phase II.</w:t>
      </w:r>
    </w:p>
    <w:p w:rsidR="001E4D27" w:rsidRDefault="001E4D27" w:rsidP="0043410E"/>
    <w:p w:rsidR="0043410E" w:rsidRDefault="0043410E" w:rsidP="0043410E">
      <w:pPr>
        <w:pStyle w:val="Caption"/>
      </w:pPr>
      <w:bookmarkStart w:id="195" w:name="_Ref472267398"/>
      <w:bookmarkStart w:id="196" w:name="_Ref473729227"/>
      <w:bookmarkStart w:id="197" w:name="_Toc472472171"/>
      <w:bookmarkStart w:id="198" w:name="_Toc476913984"/>
      <w:r>
        <w:t xml:space="preserve">Table </w:t>
      </w:r>
      <w:fldSimple w:instr=" STYLEREF 1 \s ">
        <w:r w:rsidR="008A7824">
          <w:rPr>
            <w:noProof/>
          </w:rPr>
          <w:t>2</w:t>
        </w:r>
      </w:fldSimple>
      <w:r w:rsidR="00E6042C">
        <w:noBreakHyphen/>
      </w:r>
      <w:fldSimple w:instr=" SEQ Table \* ARABIC \s 1 ">
        <w:r w:rsidR="008A7824">
          <w:rPr>
            <w:noProof/>
          </w:rPr>
          <w:t>18</w:t>
        </w:r>
      </w:fldSimple>
      <w:bookmarkEnd w:id="195"/>
      <w:bookmarkEnd w:id="196"/>
      <w:r>
        <w:t>:  Summary of Penelec’s Phase II Savings Impacts</w:t>
      </w:r>
      <w:bookmarkEnd w:id="197"/>
      <w:bookmarkEnd w:id="198"/>
    </w:p>
    <w:tbl>
      <w:tblPr>
        <w:tblW w:w="9350" w:type="dxa"/>
        <w:tblInd w:w="108" w:type="dxa"/>
        <w:tblLayout w:type="fixed"/>
        <w:tblLook w:val="04A0" w:firstRow="1" w:lastRow="0" w:firstColumn="1" w:lastColumn="0" w:noHBand="0" w:noVBand="1"/>
      </w:tblPr>
      <w:tblGrid>
        <w:gridCol w:w="2330"/>
        <w:gridCol w:w="1170"/>
        <w:gridCol w:w="1170"/>
        <w:gridCol w:w="1170"/>
        <w:gridCol w:w="1170"/>
        <w:gridCol w:w="1170"/>
        <w:gridCol w:w="1170"/>
      </w:tblGrid>
      <w:tr w:rsidR="00A874AC" w:rsidRPr="00FB7E70" w:rsidTr="00592FD5">
        <w:trPr>
          <w:trHeight w:val="825"/>
        </w:trPr>
        <w:tc>
          <w:tcPr>
            <w:tcW w:w="233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FB7E70" w:rsidRPr="00FB7E70" w:rsidRDefault="00FB7E70" w:rsidP="00B0359A">
            <w:pPr>
              <w:rPr>
                <w:b/>
                <w:bCs/>
                <w:color w:val="FFFFFF"/>
                <w:sz w:val="20"/>
                <w:szCs w:val="20"/>
              </w:rPr>
            </w:pPr>
            <w:r w:rsidRPr="00FB7E70">
              <w:rPr>
                <w:b/>
                <w:bCs/>
                <w:color w:val="FFFFFF"/>
                <w:sz w:val="20"/>
                <w:szCs w:val="20"/>
              </w:rPr>
              <w:t>Impact</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FB7E70" w:rsidRDefault="00FB7E70" w:rsidP="00B0359A">
            <w:pPr>
              <w:jc w:val="center"/>
              <w:rPr>
                <w:b/>
                <w:bCs/>
                <w:color w:val="FFFFFF"/>
                <w:sz w:val="20"/>
                <w:szCs w:val="20"/>
              </w:rPr>
            </w:pPr>
            <w:r w:rsidRPr="00FB7E70">
              <w:rPr>
                <w:b/>
                <w:bCs/>
                <w:color w:val="FFFFFF"/>
                <w:sz w:val="20"/>
                <w:szCs w:val="20"/>
              </w:rPr>
              <w:t xml:space="preserve">Phase II RG Savings </w:t>
            </w:r>
            <w:r w:rsidRPr="00FB7E70">
              <w:rPr>
                <w:b/>
                <w:bCs/>
                <w:color w:val="FFFFFF"/>
                <w:sz w:val="20"/>
                <w:szCs w:val="20"/>
                <w:vertAlign w:val="superscript"/>
              </w:rPr>
              <w:t>[f]</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FB7E70" w:rsidRDefault="00FB7E70" w:rsidP="00B0359A">
            <w:pPr>
              <w:jc w:val="center"/>
              <w:rPr>
                <w:b/>
                <w:bCs/>
                <w:color w:val="FFFFFF"/>
                <w:sz w:val="20"/>
                <w:szCs w:val="20"/>
              </w:rPr>
            </w:pPr>
            <w:r w:rsidRPr="00FB7E70">
              <w:rPr>
                <w:b/>
                <w:bCs/>
                <w:color w:val="FFFFFF"/>
                <w:sz w:val="20"/>
                <w:szCs w:val="20"/>
              </w:rPr>
              <w:t xml:space="preserve">Phase II VG Savings </w:t>
            </w:r>
            <w:r w:rsidRPr="00FB7E70">
              <w:rPr>
                <w:b/>
                <w:bCs/>
                <w:color w:val="FFFFFF"/>
                <w:sz w:val="20"/>
                <w:szCs w:val="20"/>
                <w:vertAlign w:val="superscript"/>
              </w:rPr>
              <w:t>[h]</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FB7E70" w:rsidRDefault="00FB7E70" w:rsidP="00B0359A">
            <w:pPr>
              <w:jc w:val="center"/>
              <w:rPr>
                <w:b/>
                <w:bCs/>
                <w:color w:val="FFFFFF"/>
                <w:sz w:val="20"/>
                <w:szCs w:val="20"/>
              </w:rPr>
            </w:pPr>
            <w:r w:rsidRPr="00FB7E70">
              <w:rPr>
                <w:b/>
                <w:bCs/>
                <w:color w:val="FFFFFF"/>
                <w:sz w:val="20"/>
                <w:szCs w:val="20"/>
              </w:rPr>
              <w:t>Phase I CO Savings</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FB7E70" w:rsidRDefault="00FB7E70" w:rsidP="00B0359A">
            <w:pPr>
              <w:jc w:val="center"/>
              <w:rPr>
                <w:b/>
                <w:bCs/>
                <w:color w:val="FFFFFF"/>
                <w:sz w:val="20"/>
                <w:szCs w:val="20"/>
              </w:rPr>
            </w:pPr>
            <w:r w:rsidRPr="00FB7E70">
              <w:rPr>
                <w:b/>
                <w:bCs/>
                <w:color w:val="FFFFFF"/>
                <w:sz w:val="20"/>
                <w:szCs w:val="20"/>
              </w:rPr>
              <w:t>Phase II VG + Phase I CO Savings</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FB7E70" w:rsidRDefault="00FB7E70" w:rsidP="00B0359A">
            <w:pPr>
              <w:jc w:val="center"/>
              <w:rPr>
                <w:b/>
                <w:bCs/>
                <w:color w:val="FFFFFF"/>
                <w:sz w:val="20"/>
                <w:szCs w:val="20"/>
              </w:rPr>
            </w:pPr>
            <w:r w:rsidRPr="00FB7E70">
              <w:rPr>
                <w:b/>
                <w:bCs/>
                <w:color w:val="FFFFFF"/>
                <w:sz w:val="20"/>
                <w:szCs w:val="20"/>
              </w:rPr>
              <w:t>May 31, 2016 Compliance Target (MWh)</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FB7E70" w:rsidRDefault="00FB7E70" w:rsidP="00B0359A">
            <w:pPr>
              <w:jc w:val="center"/>
              <w:rPr>
                <w:b/>
                <w:bCs/>
                <w:color w:val="FFFFFF"/>
                <w:sz w:val="20"/>
                <w:szCs w:val="20"/>
              </w:rPr>
            </w:pPr>
            <w:r w:rsidRPr="00FB7E70">
              <w:rPr>
                <w:b/>
                <w:bCs/>
                <w:color w:val="FFFFFF"/>
                <w:sz w:val="20"/>
                <w:szCs w:val="20"/>
              </w:rPr>
              <w:t xml:space="preserve">Savings Achieved as % of 2016 Targets </w:t>
            </w:r>
            <w:r w:rsidRPr="00FB7E70">
              <w:rPr>
                <w:b/>
                <w:bCs/>
                <w:color w:val="FFFFFF"/>
                <w:sz w:val="20"/>
                <w:szCs w:val="20"/>
                <w:vertAlign w:val="superscript"/>
              </w:rPr>
              <w:t>[i]</w:t>
            </w:r>
          </w:p>
        </w:tc>
      </w:tr>
      <w:tr w:rsidR="00A874AC" w:rsidRPr="00FB7E70" w:rsidTr="00592FD5">
        <w:trPr>
          <w:trHeight w:val="488"/>
        </w:trPr>
        <w:tc>
          <w:tcPr>
            <w:tcW w:w="2330" w:type="dxa"/>
            <w:tcBorders>
              <w:top w:val="nil"/>
              <w:left w:val="single" w:sz="8" w:space="0" w:color="448A99"/>
              <w:bottom w:val="single" w:sz="8" w:space="0" w:color="448A99"/>
              <w:right w:val="single" w:sz="8" w:space="0" w:color="448A99"/>
            </w:tcBorders>
            <w:shd w:val="clear" w:color="000000" w:fill="D2EAF1"/>
            <w:vAlign w:val="center"/>
            <w:hideMark/>
          </w:tcPr>
          <w:p w:rsidR="00FB7E70" w:rsidRPr="00FB7E70" w:rsidRDefault="00FB7E70" w:rsidP="00FB7E70">
            <w:pPr>
              <w:jc w:val="left"/>
              <w:rPr>
                <w:color w:val="000000"/>
                <w:sz w:val="20"/>
                <w:szCs w:val="20"/>
              </w:rPr>
            </w:pPr>
            <w:r w:rsidRPr="00FB7E70">
              <w:rPr>
                <w:color w:val="000000"/>
                <w:sz w:val="20"/>
                <w:szCs w:val="20"/>
              </w:rPr>
              <w:t>Total Energy Savings (MWh/yr)</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369,044</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368,508</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26,805</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395,313</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318,813</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124%</w:t>
            </w:r>
          </w:p>
        </w:tc>
      </w:tr>
      <w:tr w:rsidR="00E7173E" w:rsidRPr="00FB7E70" w:rsidTr="00592FD5">
        <w:trPr>
          <w:trHeight w:val="488"/>
        </w:trPr>
        <w:tc>
          <w:tcPr>
            <w:tcW w:w="2330" w:type="dxa"/>
            <w:tcBorders>
              <w:top w:val="nil"/>
              <w:left w:val="single" w:sz="8" w:space="0" w:color="448A99"/>
              <w:bottom w:val="single" w:sz="8" w:space="0" w:color="448A99"/>
              <w:right w:val="single" w:sz="8" w:space="0" w:color="448A99"/>
            </w:tcBorders>
            <w:shd w:val="clear" w:color="auto" w:fill="auto"/>
            <w:vAlign w:val="center"/>
            <w:hideMark/>
          </w:tcPr>
          <w:p w:rsidR="00FB7E70" w:rsidRPr="00FB7E70" w:rsidRDefault="00FB7E70" w:rsidP="00FB7E70">
            <w:pPr>
              <w:jc w:val="left"/>
              <w:rPr>
                <w:color w:val="000000"/>
                <w:sz w:val="20"/>
                <w:szCs w:val="20"/>
              </w:rPr>
            </w:pPr>
            <w:r w:rsidRPr="00FB7E70">
              <w:rPr>
                <w:color w:val="000000"/>
                <w:sz w:val="20"/>
                <w:szCs w:val="20"/>
              </w:rPr>
              <w:t>Total Demand Reduction (MW)</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44.5</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44.310</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44.310</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r>
      <w:tr w:rsidR="00A874AC" w:rsidRPr="00FB7E70" w:rsidTr="00592FD5">
        <w:trPr>
          <w:trHeight w:val="488"/>
        </w:trPr>
        <w:tc>
          <w:tcPr>
            <w:tcW w:w="2330" w:type="dxa"/>
            <w:tcBorders>
              <w:top w:val="nil"/>
              <w:left w:val="single" w:sz="8" w:space="0" w:color="448A99"/>
              <w:bottom w:val="single" w:sz="8" w:space="0" w:color="448A99"/>
              <w:right w:val="single" w:sz="8" w:space="0" w:color="448A99"/>
            </w:tcBorders>
            <w:shd w:val="clear" w:color="000000" w:fill="D2EAF1"/>
            <w:vAlign w:val="center"/>
            <w:hideMark/>
          </w:tcPr>
          <w:p w:rsidR="00FB7E70" w:rsidRPr="00FB7E70" w:rsidRDefault="00FB7E70" w:rsidP="00FB7E70">
            <w:pPr>
              <w:jc w:val="left"/>
              <w:rPr>
                <w:color w:val="000000"/>
                <w:sz w:val="20"/>
                <w:szCs w:val="20"/>
              </w:rPr>
            </w:pPr>
            <w:r w:rsidRPr="00FB7E70">
              <w:rPr>
                <w:color w:val="000000"/>
                <w:sz w:val="20"/>
                <w:szCs w:val="20"/>
              </w:rPr>
              <w:t xml:space="preserve">TRC Benefits ($1,000) </w:t>
            </w:r>
            <w:r w:rsidRPr="00FB7E70">
              <w:rPr>
                <w:color w:val="000000"/>
                <w:sz w:val="20"/>
                <w:szCs w:val="20"/>
                <w:vertAlign w:val="superscript"/>
              </w:rPr>
              <w:t>[a]</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 xml:space="preserve">N/A </w:t>
            </w:r>
            <w:r w:rsidRPr="00FB7E70">
              <w:rPr>
                <w:sz w:val="20"/>
                <w:szCs w:val="20"/>
                <w:vertAlign w:val="superscript"/>
              </w:rPr>
              <w:t>[g]</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$182,288</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N/A</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$182,288</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N/A</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N/A</w:t>
            </w:r>
          </w:p>
        </w:tc>
      </w:tr>
      <w:tr w:rsidR="00E7173E" w:rsidRPr="00FB7E70" w:rsidTr="00592FD5">
        <w:trPr>
          <w:trHeight w:val="488"/>
        </w:trPr>
        <w:tc>
          <w:tcPr>
            <w:tcW w:w="2330" w:type="dxa"/>
            <w:tcBorders>
              <w:top w:val="nil"/>
              <w:left w:val="single" w:sz="8" w:space="0" w:color="448A99"/>
              <w:bottom w:val="single" w:sz="8" w:space="0" w:color="448A99"/>
              <w:right w:val="single" w:sz="8" w:space="0" w:color="448A99"/>
            </w:tcBorders>
            <w:shd w:val="clear" w:color="auto" w:fill="auto"/>
            <w:vAlign w:val="center"/>
            <w:hideMark/>
          </w:tcPr>
          <w:p w:rsidR="00FB7E70" w:rsidRPr="00FB7E70" w:rsidRDefault="00FB7E70" w:rsidP="00FB7E70">
            <w:pPr>
              <w:jc w:val="left"/>
              <w:rPr>
                <w:color w:val="000000"/>
                <w:sz w:val="20"/>
                <w:szCs w:val="20"/>
              </w:rPr>
            </w:pPr>
            <w:r w:rsidRPr="00FB7E70">
              <w:rPr>
                <w:color w:val="000000"/>
                <w:sz w:val="20"/>
                <w:szCs w:val="20"/>
              </w:rPr>
              <w:t xml:space="preserve">TRC Costs ($1,000) </w:t>
            </w:r>
            <w:r w:rsidRPr="00FB7E70">
              <w:rPr>
                <w:color w:val="000000"/>
                <w:sz w:val="20"/>
                <w:szCs w:val="20"/>
                <w:vertAlign w:val="superscript"/>
              </w:rPr>
              <w:t>[b]</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 xml:space="preserve">N/A </w:t>
            </w:r>
            <w:r w:rsidRPr="00FB7E70">
              <w:rPr>
                <w:sz w:val="20"/>
                <w:szCs w:val="20"/>
                <w:vertAlign w:val="superscript"/>
              </w:rPr>
              <w:t>[g]</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$105,480</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$105,480</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r>
      <w:tr w:rsidR="00A874AC" w:rsidRPr="00FB7E70" w:rsidTr="00592FD5">
        <w:trPr>
          <w:trHeight w:val="488"/>
        </w:trPr>
        <w:tc>
          <w:tcPr>
            <w:tcW w:w="2330" w:type="dxa"/>
            <w:tcBorders>
              <w:top w:val="nil"/>
              <w:left w:val="single" w:sz="8" w:space="0" w:color="448A99"/>
              <w:bottom w:val="single" w:sz="8" w:space="0" w:color="448A99"/>
              <w:right w:val="single" w:sz="8" w:space="0" w:color="448A99"/>
            </w:tcBorders>
            <w:shd w:val="clear" w:color="000000" w:fill="D2EAF1"/>
            <w:vAlign w:val="center"/>
            <w:hideMark/>
          </w:tcPr>
          <w:p w:rsidR="00FB7E70" w:rsidRPr="00FB7E70" w:rsidRDefault="00FB7E70" w:rsidP="00A90285">
            <w:pPr>
              <w:jc w:val="left"/>
              <w:rPr>
                <w:color w:val="000000"/>
                <w:sz w:val="20"/>
                <w:szCs w:val="20"/>
              </w:rPr>
            </w:pPr>
            <w:r w:rsidRPr="00FB7E70">
              <w:rPr>
                <w:color w:val="000000"/>
                <w:sz w:val="20"/>
                <w:szCs w:val="20"/>
              </w:rPr>
              <w:t xml:space="preserve">TRC </w:t>
            </w:r>
            <w:r w:rsidR="00A90285">
              <w:rPr>
                <w:color w:val="000000"/>
                <w:sz w:val="20"/>
                <w:szCs w:val="20"/>
              </w:rPr>
              <w:t>B/C</w:t>
            </w:r>
            <w:r w:rsidRPr="00FB7E70">
              <w:rPr>
                <w:color w:val="000000"/>
                <w:sz w:val="20"/>
                <w:szCs w:val="20"/>
              </w:rPr>
              <w:t xml:space="preserve"> Ratio </w:t>
            </w:r>
            <w:r w:rsidRPr="00FB7E70">
              <w:rPr>
                <w:color w:val="000000"/>
                <w:sz w:val="20"/>
                <w:szCs w:val="20"/>
                <w:vertAlign w:val="superscript"/>
              </w:rPr>
              <w:t>[c]</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 xml:space="preserve">N/A </w:t>
            </w:r>
            <w:r w:rsidRPr="00FB7E70">
              <w:rPr>
                <w:sz w:val="20"/>
                <w:szCs w:val="20"/>
                <w:vertAlign w:val="superscript"/>
              </w:rPr>
              <w:t>[g]</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1.73</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N/A</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1.73</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N/A</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N/A</w:t>
            </w:r>
          </w:p>
        </w:tc>
      </w:tr>
      <w:tr w:rsidR="00E7173E" w:rsidRPr="00FB7E70" w:rsidTr="00592FD5">
        <w:trPr>
          <w:trHeight w:val="489"/>
        </w:trPr>
        <w:tc>
          <w:tcPr>
            <w:tcW w:w="2330" w:type="dxa"/>
            <w:tcBorders>
              <w:top w:val="nil"/>
              <w:left w:val="single" w:sz="8" w:space="0" w:color="448A99"/>
              <w:bottom w:val="single" w:sz="8" w:space="0" w:color="448A99"/>
              <w:right w:val="single" w:sz="8" w:space="0" w:color="448A99"/>
            </w:tcBorders>
            <w:shd w:val="clear" w:color="auto" w:fill="auto"/>
            <w:vAlign w:val="center"/>
            <w:hideMark/>
          </w:tcPr>
          <w:p w:rsidR="00FB7E70" w:rsidRPr="00FB7E70" w:rsidRDefault="00FB7E70" w:rsidP="00FB7E70">
            <w:pPr>
              <w:jc w:val="left"/>
              <w:rPr>
                <w:color w:val="000000"/>
                <w:sz w:val="20"/>
                <w:szCs w:val="20"/>
              </w:rPr>
            </w:pPr>
            <w:r w:rsidRPr="00FB7E70">
              <w:rPr>
                <w:color w:val="000000"/>
                <w:sz w:val="20"/>
                <w:szCs w:val="20"/>
              </w:rPr>
              <w:t>CO</w:t>
            </w:r>
            <w:r w:rsidRPr="00FB7E70">
              <w:rPr>
                <w:color w:val="000000"/>
                <w:sz w:val="20"/>
                <w:szCs w:val="20"/>
                <w:vertAlign w:val="subscript"/>
              </w:rPr>
              <w:t>2</w:t>
            </w:r>
            <w:r w:rsidRPr="00FB7E70">
              <w:rPr>
                <w:color w:val="000000"/>
                <w:sz w:val="20"/>
                <w:szCs w:val="20"/>
              </w:rPr>
              <w:t xml:space="preserve"> Emissions Reduction (Tons) </w:t>
            </w:r>
            <w:r w:rsidRPr="00FB7E70">
              <w:rPr>
                <w:color w:val="000000"/>
                <w:sz w:val="20"/>
                <w:szCs w:val="20"/>
                <w:vertAlign w:val="superscript"/>
              </w:rPr>
              <w:t>[d][e]</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284,348</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283,935</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20,653</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304,589</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r>
      <w:tr w:rsidR="00FB7E70" w:rsidRPr="00F3562D" w:rsidTr="00592FD5">
        <w:trPr>
          <w:trHeight w:val="3265"/>
        </w:trPr>
        <w:tc>
          <w:tcPr>
            <w:tcW w:w="9350" w:type="dxa"/>
            <w:gridSpan w:val="7"/>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B7E70" w:rsidRPr="00F3562D" w:rsidRDefault="00FB7E70" w:rsidP="00FB7E70">
            <w:pPr>
              <w:jc w:val="left"/>
              <w:rPr>
                <w:color w:val="FFFFFF"/>
                <w:sz w:val="18"/>
                <w:szCs w:val="20"/>
              </w:rPr>
            </w:pPr>
            <w:r w:rsidRPr="00F3562D">
              <w:rPr>
                <w:color w:val="FFFFFF"/>
                <w:sz w:val="18"/>
                <w:szCs w:val="20"/>
              </w:rPr>
              <w:lastRenderedPageBreak/>
              <w:t xml:space="preserve">NOTES: </w:t>
            </w:r>
            <w:r w:rsidRPr="00F3562D">
              <w:rPr>
                <w:color w:val="FFFFFF"/>
                <w:sz w:val="18"/>
                <w:szCs w:val="20"/>
              </w:rPr>
              <w:br/>
              <w:t>[a] Avoided supply costs, including the reduction in costs of electric energy, generation, transmission, and distribution capacity. Subject to TRC Order.</w:t>
            </w:r>
            <w:r w:rsidRPr="00F3562D">
              <w:rPr>
                <w:color w:val="FFFFFF"/>
                <w:sz w:val="18"/>
                <w:szCs w:val="20"/>
              </w:rPr>
              <w:br/>
              <w:t>[b] Costs paid by the program administrator and participants plus the increase in supply costs for any period when load is increased.  Subject to TRC Order.</w:t>
            </w:r>
            <w:r w:rsidRPr="00F3562D">
              <w:rPr>
                <w:color w:val="FFFFFF"/>
                <w:sz w:val="18"/>
                <w:szCs w:val="20"/>
              </w:rPr>
              <w:br/>
              <w:t>[c] Subject to the Commission’s August 31, 2012 TRC Order.</w:t>
            </w:r>
            <w:r w:rsidRPr="00F3562D">
              <w:rPr>
                <w:color w:val="FFFFFF"/>
                <w:sz w:val="18"/>
                <w:szCs w:val="20"/>
              </w:rPr>
              <w:br/>
              <w:t>[d] CO</w:t>
            </w:r>
            <w:r w:rsidRPr="00F3562D">
              <w:rPr>
                <w:color w:val="FFFFFF"/>
                <w:sz w:val="18"/>
                <w:szCs w:val="20"/>
                <w:vertAlign w:val="subscript"/>
              </w:rPr>
              <w:t>2</w:t>
            </w:r>
            <w:r w:rsidRPr="00F3562D">
              <w:rPr>
                <w:color w:val="FFFFFF"/>
                <w:sz w:val="18"/>
                <w:szCs w:val="20"/>
              </w:rPr>
              <w:t xml:space="preserve"> conversion based on 1,541 lbs CO</w:t>
            </w:r>
            <w:r w:rsidRPr="00F3562D">
              <w:rPr>
                <w:color w:val="FFFFFF"/>
                <w:sz w:val="18"/>
                <w:szCs w:val="20"/>
                <w:vertAlign w:val="subscript"/>
              </w:rPr>
              <w:t>2</w:t>
            </w:r>
            <w:r w:rsidRPr="00F3562D">
              <w:rPr>
                <w:color w:val="FFFFFF"/>
                <w:sz w:val="18"/>
                <w:szCs w:val="20"/>
              </w:rPr>
              <w:t xml:space="preserve"> per MWh according to the latest available (2015) PJM Emission Report of marginal off-peak annual CO</w:t>
            </w:r>
            <w:r w:rsidRPr="00F3562D">
              <w:rPr>
                <w:color w:val="FFFFFF"/>
                <w:sz w:val="18"/>
                <w:szCs w:val="20"/>
                <w:vertAlign w:val="subscript"/>
              </w:rPr>
              <w:t>2</w:t>
            </w:r>
            <w:r w:rsidRPr="00F3562D">
              <w:rPr>
                <w:color w:val="FFFFFF"/>
                <w:sz w:val="18"/>
                <w:szCs w:val="20"/>
              </w:rPr>
              <w:t xml:space="preserve"> emission rate.</w:t>
            </w:r>
            <w:r w:rsidRPr="00F3562D">
              <w:rPr>
                <w:color w:val="FFFFFF"/>
                <w:sz w:val="18"/>
                <w:szCs w:val="20"/>
              </w:rPr>
              <w:br/>
              <w:t>[e] CO</w:t>
            </w:r>
            <w:r w:rsidRPr="00F3562D">
              <w:rPr>
                <w:color w:val="FFFFFF"/>
                <w:sz w:val="18"/>
                <w:szCs w:val="20"/>
                <w:vertAlign w:val="subscript"/>
              </w:rPr>
              <w:t>2</w:t>
            </w:r>
            <w:r w:rsidRPr="00F3562D">
              <w:rPr>
                <w:color w:val="FFFFFF"/>
                <w:sz w:val="18"/>
                <w:szCs w:val="20"/>
              </w:rPr>
              <w:t xml:space="preserve"> emissions are reported due to Stakeholder interest in this information and to recognize that reporting this information is recommended by the National Action Plan for Energy Efficiency.</w:t>
            </w:r>
            <w:r w:rsidRPr="00F3562D">
              <w:rPr>
                <w:color w:val="FFFFFF"/>
                <w:sz w:val="18"/>
                <w:szCs w:val="20"/>
              </w:rPr>
              <w:br/>
              <w:t>[f] Phase II Reported Gross Impact is the cumulative program/portfolio Phase II Inception to Date Reported Gross Savings.</w:t>
            </w:r>
            <w:r w:rsidRPr="00F3562D">
              <w:rPr>
                <w:color w:val="FFFFFF"/>
                <w:sz w:val="18"/>
                <w:szCs w:val="20"/>
              </w:rPr>
              <w:br/>
              <w:t>[g] TRC Benefits and Costs are calculated only for verified savings, which reflect actual program results.</w:t>
            </w:r>
            <w:r w:rsidRPr="00F3562D">
              <w:rPr>
                <w:color w:val="FFFFFF"/>
                <w:sz w:val="18"/>
                <w:szCs w:val="20"/>
              </w:rPr>
              <w:br/>
              <w:t>[h] Phase II Verified Impact is the cumulative program/portfolio Phase II Inception to Date Verified Gross Savings.</w:t>
            </w:r>
            <w:r w:rsidRPr="00F3562D">
              <w:rPr>
                <w:color w:val="FFFFFF"/>
                <w:sz w:val="18"/>
                <w:szCs w:val="20"/>
              </w:rPr>
              <w:br/>
              <w:t>[i] Savings achieved based on Phase II Inception-to-Date Verified Gross Savings.</w:t>
            </w:r>
          </w:p>
        </w:tc>
      </w:tr>
    </w:tbl>
    <w:p w:rsidR="00FB7E70" w:rsidRDefault="00FB7E70" w:rsidP="0043410E"/>
    <w:p w:rsidR="00A806A3" w:rsidRDefault="00FB7E70" w:rsidP="00A806A3">
      <w:r>
        <w:t>Penelec</w:t>
      </w:r>
      <w:r w:rsidR="00A806A3">
        <w:t xml:space="preserve"> </w:t>
      </w:r>
      <w:r w:rsidR="00A806A3" w:rsidRPr="00A806A3">
        <w:t>achieved 12</w:t>
      </w:r>
      <w:r w:rsidR="00326FE0">
        <w:t>4</w:t>
      </w:r>
      <w:r w:rsidR="00A806A3" w:rsidRPr="00A806A3">
        <w:t>% of</w:t>
      </w:r>
      <w:r w:rsidR="00A806A3">
        <w:t xml:space="preserve"> its Act 129 Phase II energy savings target through the end of PY7. The TRC ratio </w:t>
      </w:r>
      <w:r w:rsidR="00A806A3" w:rsidRPr="00A806A3">
        <w:t xml:space="preserve">of </w:t>
      </w:r>
      <w:r>
        <w:t>Penelec</w:t>
      </w:r>
      <w:r w:rsidR="00A806A3" w:rsidRPr="00A806A3">
        <w:t>’s programs was 1.</w:t>
      </w:r>
      <w:r>
        <w:t>73</w:t>
      </w:r>
      <w:r w:rsidR="00A806A3" w:rsidRPr="00A806A3">
        <w:t>, which indicates that its portfolio of EE&amp;C programs is cost-effective on an aggregated basis</w:t>
      </w:r>
      <w:r w:rsidR="00A806A3">
        <w:t>.</w:t>
      </w:r>
    </w:p>
    <w:p w:rsidR="00F3562D" w:rsidRDefault="00F3562D" w:rsidP="00A806A3"/>
    <w:p w:rsidR="00A806A3" w:rsidRDefault="00F3562D" w:rsidP="00A806A3">
      <w:r>
        <w:fldChar w:fldCharType="begin"/>
      </w:r>
      <w:r>
        <w:instrText xml:space="preserve"> REF _Ref473729228 \h </w:instrText>
      </w:r>
      <w:r>
        <w:fldChar w:fldCharType="separate"/>
      </w:r>
      <w:r w:rsidR="00CA7437">
        <w:t xml:space="preserve">Figure </w:t>
      </w:r>
      <w:r w:rsidR="00CA7437">
        <w:rPr>
          <w:noProof/>
        </w:rPr>
        <w:t>2</w:t>
      </w:r>
      <w:r w:rsidR="00CA7437">
        <w:noBreakHyphen/>
      </w:r>
      <w:r w:rsidR="00CA7437">
        <w:rPr>
          <w:noProof/>
        </w:rPr>
        <w:t>19</w:t>
      </w:r>
      <w:r>
        <w:fldChar w:fldCharType="end"/>
      </w:r>
      <w:r>
        <w:t xml:space="preserve"> </w:t>
      </w:r>
      <w:r w:rsidR="00A806A3">
        <w:t xml:space="preserve">shows the verified gross savings after each program year during Phase </w:t>
      </w:r>
      <w:r w:rsidR="00A90285">
        <w:t>II. The data in this figure do</w:t>
      </w:r>
      <w:r w:rsidR="00A806A3">
        <w:t xml:space="preserve"> not include carryover savings from Phase I. The residential sector accounted for the highest savings for </w:t>
      </w:r>
      <w:r w:rsidR="00FB7E70">
        <w:t>Penelec</w:t>
      </w:r>
      <w:r w:rsidR="00A806A3">
        <w:t xml:space="preserve"> during Phase II.</w:t>
      </w:r>
    </w:p>
    <w:p w:rsidR="00D06AEA" w:rsidRDefault="00D06AEA" w:rsidP="004F1B4F">
      <w:pPr>
        <w:pStyle w:val="Caption"/>
      </w:pPr>
      <w:bookmarkStart w:id="199" w:name="_Ref472409695"/>
      <w:bookmarkStart w:id="200" w:name="_Toc472472226"/>
    </w:p>
    <w:p w:rsidR="00A806A3" w:rsidRPr="0043410E" w:rsidRDefault="004F1B4F" w:rsidP="004F1B4F">
      <w:pPr>
        <w:pStyle w:val="Caption"/>
      </w:pPr>
      <w:bookmarkStart w:id="201" w:name="_Ref473729228"/>
      <w:bookmarkStart w:id="202" w:name="_Toc476914040"/>
      <w:r>
        <w:t xml:space="preserve">Figure </w:t>
      </w:r>
      <w:fldSimple w:instr=" STYLEREF 1 \s ">
        <w:r w:rsidR="00C301D0">
          <w:rPr>
            <w:noProof/>
          </w:rPr>
          <w:t>2</w:t>
        </w:r>
      </w:fldSimple>
      <w:r w:rsidR="00DA1ADA">
        <w:noBreakHyphen/>
      </w:r>
      <w:fldSimple w:instr=" SEQ Figure \* ARABIC \s 1 ">
        <w:r w:rsidR="00C301D0">
          <w:rPr>
            <w:noProof/>
          </w:rPr>
          <w:t>19</w:t>
        </w:r>
      </w:fldSimple>
      <w:bookmarkEnd w:id="199"/>
      <w:bookmarkEnd w:id="201"/>
      <w:r>
        <w:t xml:space="preserve">: </w:t>
      </w:r>
      <w:r w:rsidR="00FB7E70">
        <w:t>Penelec</w:t>
      </w:r>
      <w:r w:rsidR="00A806A3" w:rsidRPr="001928C8">
        <w:t xml:space="preserve"> Phase</w:t>
      </w:r>
      <w:r w:rsidR="00A806A3">
        <w:t xml:space="preserve"> I</w:t>
      </w:r>
      <w:r w:rsidR="00A806A3" w:rsidRPr="001928C8">
        <w:t xml:space="preserve">I </w:t>
      </w:r>
      <w:r w:rsidR="002E319D">
        <w:t xml:space="preserve">Cumulative </w:t>
      </w:r>
      <w:r w:rsidR="00A806A3">
        <w:t>V</w:t>
      </w:r>
      <w:r w:rsidR="00A806A3" w:rsidRPr="001928C8">
        <w:t>erified</w:t>
      </w:r>
      <w:r w:rsidR="00A90285">
        <w:t xml:space="preserve"> Gross</w:t>
      </w:r>
      <w:r w:rsidR="00A806A3" w:rsidRPr="001928C8">
        <w:t xml:space="preserve"> Savings by Program Year and Sector</w:t>
      </w:r>
      <w:bookmarkEnd w:id="200"/>
      <w:bookmarkEnd w:id="202"/>
    </w:p>
    <w:p w:rsidR="0043410E" w:rsidRDefault="00105F3B" w:rsidP="0043410E">
      <w:r>
        <w:rPr>
          <w:noProof/>
        </w:rPr>
        <w:drawing>
          <wp:inline distT="0" distB="0" distL="0" distR="0" wp14:anchorId="54CE7178" wp14:editId="0EE3DF24">
            <wp:extent cx="5852160" cy="3142578"/>
            <wp:effectExtent l="0" t="0" r="0"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2883" cy="3148336"/>
                    </a:xfrm>
                    <a:prstGeom prst="rect">
                      <a:avLst/>
                    </a:prstGeom>
                    <a:noFill/>
                  </pic:spPr>
                </pic:pic>
              </a:graphicData>
            </a:graphic>
          </wp:inline>
        </w:drawing>
      </w:r>
    </w:p>
    <w:p w:rsidR="00910A97" w:rsidRPr="0043410E" w:rsidRDefault="00910A97" w:rsidP="0043410E"/>
    <w:p w:rsidR="006058D6" w:rsidRDefault="006058D6" w:rsidP="006058D6">
      <w:pPr>
        <w:pStyle w:val="Heading3"/>
      </w:pPr>
      <w:bookmarkStart w:id="203" w:name="_Toc472472099"/>
      <w:bookmarkStart w:id="204" w:name="_Toc476913911"/>
      <w:r>
        <w:t>Penn</w:t>
      </w:r>
      <w:r w:rsidR="00DD6B4C">
        <w:t>sylvania Power Company</w:t>
      </w:r>
      <w:bookmarkEnd w:id="203"/>
      <w:bookmarkEnd w:id="204"/>
    </w:p>
    <w:p w:rsidR="0043410E" w:rsidRDefault="00F3562D" w:rsidP="0043410E">
      <w:r>
        <w:fldChar w:fldCharType="begin"/>
      </w:r>
      <w:r>
        <w:instrText xml:space="preserve"> REF _Ref473729229 \h </w:instrText>
      </w:r>
      <w:r>
        <w:fldChar w:fldCharType="separate"/>
      </w:r>
      <w:r w:rsidR="008A7824">
        <w:t xml:space="preserve">Table </w:t>
      </w:r>
      <w:r w:rsidR="008A7824">
        <w:rPr>
          <w:noProof/>
        </w:rPr>
        <w:t>2</w:t>
      </w:r>
      <w:r w:rsidR="008A7824">
        <w:noBreakHyphen/>
      </w:r>
      <w:r w:rsidR="008A7824">
        <w:rPr>
          <w:noProof/>
        </w:rPr>
        <w:t>19</w:t>
      </w:r>
      <w:r>
        <w:fldChar w:fldCharType="end"/>
      </w:r>
      <w:r>
        <w:t xml:space="preserve"> </w:t>
      </w:r>
      <w:r w:rsidR="001E4D27" w:rsidRPr="001E4D27">
        <w:t xml:space="preserve">provides an overview of </w:t>
      </w:r>
      <w:r w:rsidR="001E4D27">
        <w:t xml:space="preserve">Penn Power’s </w:t>
      </w:r>
      <w:r w:rsidR="00A90285">
        <w:t xml:space="preserve">cumulative reported gross (RG) </w:t>
      </w:r>
      <w:r w:rsidR="00A90285" w:rsidRPr="001E4D27">
        <w:t xml:space="preserve">and verified gross </w:t>
      </w:r>
      <w:r w:rsidR="00A90285">
        <w:t xml:space="preserve">(VG) savings impacts, and carryover (CO) </w:t>
      </w:r>
      <w:r w:rsidR="00A90285" w:rsidRPr="001E4D27">
        <w:t xml:space="preserve">savings since the inception </w:t>
      </w:r>
      <w:r w:rsidR="00A90285">
        <w:t xml:space="preserve">of its </w:t>
      </w:r>
      <w:r w:rsidR="00A90285" w:rsidRPr="001E4D27">
        <w:t>EE&amp;C program</w:t>
      </w:r>
      <w:r w:rsidR="00A90285">
        <w:t xml:space="preserve">s </w:t>
      </w:r>
      <w:r w:rsidR="00A90285" w:rsidRPr="001E4D27">
        <w:t xml:space="preserve">through </w:t>
      </w:r>
      <w:r w:rsidR="001E4D27" w:rsidRPr="001E4D27">
        <w:t xml:space="preserve">the end of </w:t>
      </w:r>
      <w:r w:rsidR="001E4D27">
        <w:t>Phase II.</w:t>
      </w:r>
    </w:p>
    <w:p w:rsidR="00D06AEA" w:rsidRDefault="00D06AEA" w:rsidP="0043410E">
      <w:pPr>
        <w:pStyle w:val="Caption"/>
      </w:pPr>
      <w:bookmarkStart w:id="205" w:name="_Ref472267419"/>
      <w:bookmarkStart w:id="206" w:name="_Toc472472172"/>
    </w:p>
    <w:p w:rsidR="0043410E" w:rsidRDefault="0043410E" w:rsidP="0043410E">
      <w:pPr>
        <w:pStyle w:val="Caption"/>
      </w:pPr>
      <w:bookmarkStart w:id="207" w:name="_Ref473729229"/>
      <w:bookmarkStart w:id="208" w:name="_Toc476913985"/>
      <w:r>
        <w:lastRenderedPageBreak/>
        <w:t xml:space="preserve">Table </w:t>
      </w:r>
      <w:fldSimple w:instr=" STYLEREF 1 \s ">
        <w:r w:rsidR="008A7824">
          <w:rPr>
            <w:noProof/>
          </w:rPr>
          <w:t>2</w:t>
        </w:r>
      </w:fldSimple>
      <w:r w:rsidR="00E6042C">
        <w:noBreakHyphen/>
      </w:r>
      <w:fldSimple w:instr=" SEQ Table \* ARABIC \s 1 ">
        <w:r w:rsidR="008A7824">
          <w:rPr>
            <w:noProof/>
          </w:rPr>
          <w:t>19</w:t>
        </w:r>
      </w:fldSimple>
      <w:bookmarkEnd w:id="205"/>
      <w:bookmarkEnd w:id="207"/>
      <w:r>
        <w:t>:  Summary of Penn Power’s Phase II Savings Impacts</w:t>
      </w:r>
      <w:bookmarkEnd w:id="206"/>
      <w:bookmarkEnd w:id="208"/>
    </w:p>
    <w:tbl>
      <w:tblPr>
        <w:tblW w:w="9450" w:type="dxa"/>
        <w:tblInd w:w="108" w:type="dxa"/>
        <w:tblLayout w:type="fixed"/>
        <w:tblLook w:val="04A0" w:firstRow="1" w:lastRow="0" w:firstColumn="1" w:lastColumn="0" w:noHBand="0" w:noVBand="1"/>
      </w:tblPr>
      <w:tblGrid>
        <w:gridCol w:w="2330"/>
        <w:gridCol w:w="1170"/>
        <w:gridCol w:w="1170"/>
        <w:gridCol w:w="1170"/>
        <w:gridCol w:w="1170"/>
        <w:gridCol w:w="1170"/>
        <w:gridCol w:w="1270"/>
      </w:tblGrid>
      <w:tr w:rsidR="00A874AC" w:rsidRPr="00FB7E70" w:rsidTr="00592FD5">
        <w:trPr>
          <w:trHeight w:val="825"/>
        </w:trPr>
        <w:tc>
          <w:tcPr>
            <w:tcW w:w="233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FB7E70" w:rsidRPr="00FB7E70" w:rsidRDefault="00FB7E70" w:rsidP="00B0359A">
            <w:pPr>
              <w:rPr>
                <w:b/>
                <w:bCs/>
                <w:color w:val="FFFFFF"/>
                <w:sz w:val="20"/>
                <w:szCs w:val="20"/>
              </w:rPr>
            </w:pPr>
            <w:r w:rsidRPr="00FB7E70">
              <w:rPr>
                <w:b/>
                <w:bCs/>
                <w:color w:val="FFFFFF"/>
                <w:sz w:val="20"/>
                <w:szCs w:val="20"/>
              </w:rPr>
              <w:t>Impact</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FB7E70" w:rsidRDefault="00FB7E70" w:rsidP="00B0359A">
            <w:pPr>
              <w:jc w:val="center"/>
              <w:rPr>
                <w:b/>
                <w:bCs/>
                <w:color w:val="FFFFFF"/>
                <w:sz w:val="20"/>
                <w:szCs w:val="20"/>
              </w:rPr>
            </w:pPr>
            <w:r w:rsidRPr="00FB7E70">
              <w:rPr>
                <w:b/>
                <w:bCs/>
                <w:color w:val="FFFFFF"/>
                <w:sz w:val="20"/>
                <w:szCs w:val="20"/>
              </w:rPr>
              <w:t xml:space="preserve">Phase II RG Savings </w:t>
            </w:r>
            <w:r w:rsidRPr="00FB7E70">
              <w:rPr>
                <w:b/>
                <w:bCs/>
                <w:color w:val="FFFFFF"/>
                <w:sz w:val="20"/>
                <w:szCs w:val="20"/>
                <w:vertAlign w:val="superscript"/>
              </w:rPr>
              <w:t>[f]</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FB7E70" w:rsidRDefault="00FB7E70" w:rsidP="00B0359A">
            <w:pPr>
              <w:jc w:val="center"/>
              <w:rPr>
                <w:b/>
                <w:bCs/>
                <w:color w:val="FFFFFF"/>
                <w:sz w:val="20"/>
                <w:szCs w:val="20"/>
              </w:rPr>
            </w:pPr>
            <w:r w:rsidRPr="00FB7E70">
              <w:rPr>
                <w:b/>
                <w:bCs/>
                <w:color w:val="FFFFFF"/>
                <w:sz w:val="20"/>
                <w:szCs w:val="20"/>
              </w:rPr>
              <w:t xml:space="preserve">Phase II VG Savings </w:t>
            </w:r>
            <w:r w:rsidRPr="00FB7E70">
              <w:rPr>
                <w:b/>
                <w:bCs/>
                <w:color w:val="FFFFFF"/>
                <w:sz w:val="20"/>
                <w:szCs w:val="20"/>
                <w:vertAlign w:val="superscript"/>
              </w:rPr>
              <w:t>[h]</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FB7E70" w:rsidRDefault="00FB7E70" w:rsidP="00B0359A">
            <w:pPr>
              <w:jc w:val="center"/>
              <w:rPr>
                <w:b/>
                <w:bCs/>
                <w:color w:val="FFFFFF"/>
                <w:sz w:val="20"/>
                <w:szCs w:val="20"/>
              </w:rPr>
            </w:pPr>
            <w:r w:rsidRPr="00FB7E70">
              <w:rPr>
                <w:b/>
                <w:bCs/>
                <w:color w:val="FFFFFF"/>
                <w:sz w:val="20"/>
                <w:szCs w:val="20"/>
              </w:rPr>
              <w:t>Phase I CO Savings</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FB7E70" w:rsidRDefault="00FB7E70" w:rsidP="00B0359A">
            <w:pPr>
              <w:jc w:val="center"/>
              <w:rPr>
                <w:b/>
                <w:bCs/>
                <w:color w:val="FFFFFF"/>
                <w:sz w:val="20"/>
                <w:szCs w:val="20"/>
              </w:rPr>
            </w:pPr>
            <w:r w:rsidRPr="00FB7E70">
              <w:rPr>
                <w:b/>
                <w:bCs/>
                <w:color w:val="FFFFFF"/>
                <w:sz w:val="20"/>
                <w:szCs w:val="20"/>
              </w:rPr>
              <w:t>Phase II VG + Phase I CO Savings</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FB7E70" w:rsidRDefault="00FB7E70" w:rsidP="00B0359A">
            <w:pPr>
              <w:jc w:val="center"/>
              <w:rPr>
                <w:b/>
                <w:bCs/>
                <w:color w:val="FFFFFF"/>
                <w:sz w:val="20"/>
                <w:szCs w:val="20"/>
              </w:rPr>
            </w:pPr>
            <w:r w:rsidRPr="00FB7E70">
              <w:rPr>
                <w:b/>
                <w:bCs/>
                <w:color w:val="FFFFFF"/>
                <w:sz w:val="20"/>
                <w:szCs w:val="20"/>
              </w:rPr>
              <w:t>May 31, 2016 Compliance Target (MWh)</w:t>
            </w:r>
          </w:p>
        </w:tc>
        <w:tc>
          <w:tcPr>
            <w:tcW w:w="1270" w:type="dxa"/>
            <w:tcBorders>
              <w:top w:val="single" w:sz="8" w:space="0" w:color="448A99"/>
              <w:left w:val="nil"/>
              <w:bottom w:val="single" w:sz="8" w:space="0" w:color="448A99"/>
              <w:right w:val="single" w:sz="8" w:space="0" w:color="448A99"/>
            </w:tcBorders>
            <w:shd w:val="clear" w:color="000000" w:fill="448A99"/>
            <w:vAlign w:val="bottom"/>
            <w:hideMark/>
          </w:tcPr>
          <w:p w:rsidR="00FB7E70" w:rsidRPr="00FB7E70" w:rsidRDefault="00FB7E70" w:rsidP="00B0359A">
            <w:pPr>
              <w:jc w:val="center"/>
              <w:rPr>
                <w:b/>
                <w:bCs/>
                <w:color w:val="FFFFFF"/>
                <w:sz w:val="20"/>
                <w:szCs w:val="20"/>
              </w:rPr>
            </w:pPr>
            <w:r w:rsidRPr="00FB7E70">
              <w:rPr>
                <w:b/>
                <w:bCs/>
                <w:color w:val="FFFFFF"/>
                <w:sz w:val="20"/>
                <w:szCs w:val="20"/>
              </w:rPr>
              <w:t xml:space="preserve">Savings Achieved as % of 2016 Targets </w:t>
            </w:r>
            <w:r w:rsidRPr="00FB7E70">
              <w:rPr>
                <w:b/>
                <w:bCs/>
                <w:color w:val="FFFFFF"/>
                <w:sz w:val="20"/>
                <w:szCs w:val="20"/>
                <w:vertAlign w:val="superscript"/>
              </w:rPr>
              <w:t>[i]</w:t>
            </w:r>
          </w:p>
        </w:tc>
      </w:tr>
      <w:tr w:rsidR="00A874AC" w:rsidRPr="00FB7E70" w:rsidTr="00592FD5">
        <w:trPr>
          <w:trHeight w:val="488"/>
        </w:trPr>
        <w:tc>
          <w:tcPr>
            <w:tcW w:w="2330" w:type="dxa"/>
            <w:tcBorders>
              <w:top w:val="nil"/>
              <w:left w:val="single" w:sz="8" w:space="0" w:color="448A99"/>
              <w:bottom w:val="single" w:sz="8" w:space="0" w:color="448A99"/>
              <w:right w:val="single" w:sz="8" w:space="0" w:color="448A99"/>
            </w:tcBorders>
            <w:shd w:val="clear" w:color="000000" w:fill="D2EAF1"/>
            <w:vAlign w:val="center"/>
            <w:hideMark/>
          </w:tcPr>
          <w:p w:rsidR="00FB7E70" w:rsidRPr="00FB7E70" w:rsidRDefault="00FB7E70" w:rsidP="00FB7E70">
            <w:pPr>
              <w:jc w:val="left"/>
              <w:rPr>
                <w:color w:val="000000"/>
                <w:sz w:val="20"/>
                <w:szCs w:val="20"/>
              </w:rPr>
            </w:pPr>
            <w:r w:rsidRPr="00FB7E70">
              <w:rPr>
                <w:color w:val="000000"/>
                <w:sz w:val="20"/>
                <w:szCs w:val="20"/>
              </w:rPr>
              <w:t>Total Energy Savings (MWh/yr)</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104,933</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109,368</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22,580</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131,948</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95,502</w:t>
            </w:r>
          </w:p>
        </w:tc>
        <w:tc>
          <w:tcPr>
            <w:tcW w:w="12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138%</w:t>
            </w:r>
          </w:p>
        </w:tc>
      </w:tr>
      <w:tr w:rsidR="00E7173E" w:rsidRPr="00FB7E70" w:rsidTr="00592FD5">
        <w:trPr>
          <w:trHeight w:val="488"/>
        </w:trPr>
        <w:tc>
          <w:tcPr>
            <w:tcW w:w="2330" w:type="dxa"/>
            <w:tcBorders>
              <w:top w:val="nil"/>
              <w:left w:val="single" w:sz="8" w:space="0" w:color="448A99"/>
              <w:bottom w:val="single" w:sz="8" w:space="0" w:color="448A99"/>
              <w:right w:val="single" w:sz="8" w:space="0" w:color="448A99"/>
            </w:tcBorders>
            <w:shd w:val="clear" w:color="auto" w:fill="auto"/>
            <w:vAlign w:val="center"/>
            <w:hideMark/>
          </w:tcPr>
          <w:p w:rsidR="00FB7E70" w:rsidRPr="00FB7E70" w:rsidRDefault="00FB7E70" w:rsidP="00FB7E70">
            <w:pPr>
              <w:jc w:val="left"/>
              <w:rPr>
                <w:color w:val="000000"/>
                <w:sz w:val="20"/>
                <w:szCs w:val="20"/>
              </w:rPr>
            </w:pPr>
            <w:r w:rsidRPr="00FB7E70">
              <w:rPr>
                <w:color w:val="000000"/>
                <w:sz w:val="20"/>
                <w:szCs w:val="20"/>
              </w:rPr>
              <w:t>Total Demand Reduction (MW)</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12.18</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13.210</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13.210</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c>
          <w:tcPr>
            <w:tcW w:w="12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r>
      <w:tr w:rsidR="00A874AC" w:rsidRPr="00FB7E70" w:rsidTr="00592FD5">
        <w:trPr>
          <w:trHeight w:val="488"/>
        </w:trPr>
        <w:tc>
          <w:tcPr>
            <w:tcW w:w="2330" w:type="dxa"/>
            <w:tcBorders>
              <w:top w:val="nil"/>
              <w:left w:val="single" w:sz="8" w:space="0" w:color="448A99"/>
              <w:bottom w:val="single" w:sz="8" w:space="0" w:color="448A99"/>
              <w:right w:val="single" w:sz="8" w:space="0" w:color="448A99"/>
            </w:tcBorders>
            <w:shd w:val="clear" w:color="000000" w:fill="D2EAF1"/>
            <w:vAlign w:val="center"/>
            <w:hideMark/>
          </w:tcPr>
          <w:p w:rsidR="00FB7E70" w:rsidRPr="00FB7E70" w:rsidRDefault="00FB7E70" w:rsidP="00FB7E70">
            <w:pPr>
              <w:jc w:val="left"/>
              <w:rPr>
                <w:color w:val="000000"/>
                <w:sz w:val="20"/>
                <w:szCs w:val="20"/>
              </w:rPr>
            </w:pPr>
            <w:r w:rsidRPr="00FB7E70">
              <w:rPr>
                <w:color w:val="000000"/>
                <w:sz w:val="20"/>
                <w:szCs w:val="20"/>
              </w:rPr>
              <w:t xml:space="preserve">TRC Benefits ($1,000) </w:t>
            </w:r>
            <w:r w:rsidRPr="00FB7E70">
              <w:rPr>
                <w:color w:val="000000"/>
                <w:sz w:val="20"/>
                <w:szCs w:val="20"/>
                <w:vertAlign w:val="superscript"/>
              </w:rPr>
              <w:t>[a]</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 xml:space="preserve">N/A </w:t>
            </w:r>
            <w:r w:rsidRPr="00FB7E70">
              <w:rPr>
                <w:sz w:val="20"/>
                <w:szCs w:val="20"/>
                <w:vertAlign w:val="superscript"/>
              </w:rPr>
              <w:t>[g]</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$46,704</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N/A</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$46,704</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N/A</w:t>
            </w:r>
          </w:p>
        </w:tc>
        <w:tc>
          <w:tcPr>
            <w:tcW w:w="12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N/A</w:t>
            </w:r>
          </w:p>
        </w:tc>
      </w:tr>
      <w:tr w:rsidR="00E7173E" w:rsidRPr="00FB7E70" w:rsidTr="00592FD5">
        <w:trPr>
          <w:trHeight w:val="488"/>
        </w:trPr>
        <w:tc>
          <w:tcPr>
            <w:tcW w:w="2330" w:type="dxa"/>
            <w:tcBorders>
              <w:top w:val="nil"/>
              <w:left w:val="single" w:sz="8" w:space="0" w:color="448A99"/>
              <w:bottom w:val="single" w:sz="8" w:space="0" w:color="448A99"/>
              <w:right w:val="single" w:sz="8" w:space="0" w:color="448A99"/>
            </w:tcBorders>
            <w:shd w:val="clear" w:color="auto" w:fill="auto"/>
            <w:vAlign w:val="center"/>
            <w:hideMark/>
          </w:tcPr>
          <w:p w:rsidR="00FB7E70" w:rsidRPr="00FB7E70" w:rsidRDefault="00FB7E70" w:rsidP="00FB7E70">
            <w:pPr>
              <w:jc w:val="left"/>
              <w:rPr>
                <w:color w:val="000000"/>
                <w:sz w:val="20"/>
                <w:szCs w:val="20"/>
              </w:rPr>
            </w:pPr>
            <w:r w:rsidRPr="00FB7E70">
              <w:rPr>
                <w:color w:val="000000"/>
                <w:sz w:val="20"/>
                <w:szCs w:val="20"/>
              </w:rPr>
              <w:t xml:space="preserve">TRC Costs ($1,000) </w:t>
            </w:r>
            <w:r w:rsidRPr="00FB7E70">
              <w:rPr>
                <w:color w:val="000000"/>
                <w:sz w:val="20"/>
                <w:szCs w:val="20"/>
                <w:vertAlign w:val="superscript"/>
              </w:rPr>
              <w:t>[b]</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 xml:space="preserve">N/A </w:t>
            </w:r>
            <w:r w:rsidRPr="00FB7E70">
              <w:rPr>
                <w:sz w:val="20"/>
                <w:szCs w:val="20"/>
                <w:vertAlign w:val="superscript"/>
              </w:rPr>
              <w:t>[g]</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$41,382</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$41,382</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c>
          <w:tcPr>
            <w:tcW w:w="12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r>
      <w:tr w:rsidR="00A874AC" w:rsidRPr="00FB7E70" w:rsidTr="00592FD5">
        <w:trPr>
          <w:trHeight w:val="488"/>
        </w:trPr>
        <w:tc>
          <w:tcPr>
            <w:tcW w:w="2330" w:type="dxa"/>
            <w:tcBorders>
              <w:top w:val="nil"/>
              <w:left w:val="single" w:sz="8" w:space="0" w:color="448A99"/>
              <w:bottom w:val="single" w:sz="8" w:space="0" w:color="448A99"/>
              <w:right w:val="single" w:sz="8" w:space="0" w:color="448A99"/>
            </w:tcBorders>
            <w:shd w:val="clear" w:color="000000" w:fill="D2EAF1"/>
            <w:vAlign w:val="center"/>
            <w:hideMark/>
          </w:tcPr>
          <w:p w:rsidR="00FB7E70" w:rsidRPr="00FB7E70" w:rsidRDefault="00FB7E70" w:rsidP="00A90285">
            <w:pPr>
              <w:jc w:val="left"/>
              <w:rPr>
                <w:color w:val="000000"/>
                <w:sz w:val="20"/>
                <w:szCs w:val="20"/>
              </w:rPr>
            </w:pPr>
            <w:r w:rsidRPr="00FB7E70">
              <w:rPr>
                <w:color w:val="000000"/>
                <w:sz w:val="20"/>
                <w:szCs w:val="20"/>
              </w:rPr>
              <w:t xml:space="preserve">TRC </w:t>
            </w:r>
            <w:r w:rsidR="00A90285">
              <w:rPr>
                <w:color w:val="000000"/>
                <w:sz w:val="20"/>
                <w:szCs w:val="20"/>
              </w:rPr>
              <w:t>B/C</w:t>
            </w:r>
            <w:r w:rsidRPr="00FB7E70">
              <w:rPr>
                <w:color w:val="000000"/>
                <w:sz w:val="20"/>
                <w:szCs w:val="20"/>
              </w:rPr>
              <w:t xml:space="preserve"> Ratio </w:t>
            </w:r>
            <w:r w:rsidRPr="00FB7E70">
              <w:rPr>
                <w:color w:val="000000"/>
                <w:sz w:val="20"/>
                <w:szCs w:val="20"/>
                <w:vertAlign w:val="superscript"/>
              </w:rPr>
              <w:t>[c]</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 xml:space="preserve">N/A </w:t>
            </w:r>
            <w:r w:rsidRPr="00FB7E70">
              <w:rPr>
                <w:sz w:val="20"/>
                <w:szCs w:val="20"/>
                <w:vertAlign w:val="superscript"/>
              </w:rPr>
              <w:t>[g]</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1.13</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N/A</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1.13</w:t>
            </w:r>
          </w:p>
        </w:tc>
        <w:tc>
          <w:tcPr>
            <w:tcW w:w="11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N/A</w:t>
            </w:r>
          </w:p>
        </w:tc>
        <w:tc>
          <w:tcPr>
            <w:tcW w:w="1270" w:type="dxa"/>
            <w:tcBorders>
              <w:top w:val="nil"/>
              <w:left w:val="nil"/>
              <w:bottom w:val="single" w:sz="8" w:space="0" w:color="448A99"/>
              <w:right w:val="single" w:sz="8" w:space="0" w:color="448A99"/>
            </w:tcBorders>
            <w:shd w:val="clear" w:color="000000" w:fill="D2EAF1"/>
            <w:vAlign w:val="center"/>
            <w:hideMark/>
          </w:tcPr>
          <w:p w:rsidR="00FB7E70" w:rsidRPr="00FB7E70" w:rsidRDefault="00FB7E70" w:rsidP="00FB7E70">
            <w:pPr>
              <w:jc w:val="center"/>
              <w:rPr>
                <w:sz w:val="20"/>
                <w:szCs w:val="20"/>
              </w:rPr>
            </w:pPr>
            <w:r w:rsidRPr="00FB7E70">
              <w:rPr>
                <w:sz w:val="20"/>
                <w:szCs w:val="20"/>
              </w:rPr>
              <w:t>N/A</w:t>
            </w:r>
          </w:p>
        </w:tc>
      </w:tr>
      <w:tr w:rsidR="00E7173E" w:rsidRPr="00FB7E70" w:rsidTr="00592FD5">
        <w:trPr>
          <w:trHeight w:val="489"/>
        </w:trPr>
        <w:tc>
          <w:tcPr>
            <w:tcW w:w="2330" w:type="dxa"/>
            <w:tcBorders>
              <w:top w:val="nil"/>
              <w:left w:val="single" w:sz="8" w:space="0" w:color="448A99"/>
              <w:bottom w:val="single" w:sz="8" w:space="0" w:color="448A99"/>
              <w:right w:val="single" w:sz="8" w:space="0" w:color="448A99"/>
            </w:tcBorders>
            <w:shd w:val="clear" w:color="auto" w:fill="auto"/>
            <w:vAlign w:val="center"/>
            <w:hideMark/>
          </w:tcPr>
          <w:p w:rsidR="00FB7E70" w:rsidRPr="00FB7E70" w:rsidRDefault="00FB7E70" w:rsidP="00FB7E70">
            <w:pPr>
              <w:jc w:val="left"/>
              <w:rPr>
                <w:color w:val="000000"/>
                <w:sz w:val="20"/>
                <w:szCs w:val="20"/>
              </w:rPr>
            </w:pPr>
            <w:r w:rsidRPr="00FB7E70">
              <w:rPr>
                <w:color w:val="000000"/>
                <w:sz w:val="20"/>
                <w:szCs w:val="20"/>
              </w:rPr>
              <w:t>CO</w:t>
            </w:r>
            <w:r w:rsidRPr="00FB7E70">
              <w:rPr>
                <w:color w:val="000000"/>
                <w:sz w:val="20"/>
                <w:szCs w:val="20"/>
                <w:vertAlign w:val="subscript"/>
              </w:rPr>
              <w:t>2</w:t>
            </w:r>
            <w:r w:rsidRPr="00FB7E70">
              <w:rPr>
                <w:color w:val="000000"/>
                <w:sz w:val="20"/>
                <w:szCs w:val="20"/>
              </w:rPr>
              <w:t xml:space="preserve"> Emissions Reduction (Tons) </w:t>
            </w:r>
            <w:r w:rsidRPr="00FB7E70">
              <w:rPr>
                <w:color w:val="000000"/>
                <w:sz w:val="20"/>
                <w:szCs w:val="20"/>
                <w:vertAlign w:val="superscript"/>
              </w:rPr>
              <w:t>[d][e]</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80,851</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84,268</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17,398</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101,666</w:t>
            </w:r>
          </w:p>
        </w:tc>
        <w:tc>
          <w:tcPr>
            <w:tcW w:w="11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c>
          <w:tcPr>
            <w:tcW w:w="1270" w:type="dxa"/>
            <w:tcBorders>
              <w:top w:val="nil"/>
              <w:left w:val="nil"/>
              <w:bottom w:val="single" w:sz="8" w:space="0" w:color="448A99"/>
              <w:right w:val="single" w:sz="8" w:space="0" w:color="448A99"/>
            </w:tcBorders>
            <w:shd w:val="clear" w:color="auto" w:fill="auto"/>
            <w:vAlign w:val="center"/>
            <w:hideMark/>
          </w:tcPr>
          <w:p w:rsidR="00FB7E70" w:rsidRPr="00FB7E70" w:rsidRDefault="00FB7E70" w:rsidP="00FB7E70">
            <w:pPr>
              <w:jc w:val="center"/>
              <w:rPr>
                <w:sz w:val="20"/>
                <w:szCs w:val="20"/>
              </w:rPr>
            </w:pPr>
            <w:r w:rsidRPr="00FB7E70">
              <w:rPr>
                <w:sz w:val="20"/>
                <w:szCs w:val="20"/>
              </w:rPr>
              <w:t>N/A</w:t>
            </w:r>
          </w:p>
        </w:tc>
      </w:tr>
      <w:tr w:rsidR="00FB7E70" w:rsidRPr="00E711F9" w:rsidTr="00592FD5">
        <w:trPr>
          <w:trHeight w:val="3265"/>
        </w:trPr>
        <w:tc>
          <w:tcPr>
            <w:tcW w:w="9450" w:type="dxa"/>
            <w:gridSpan w:val="7"/>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B7E70" w:rsidRPr="00E711F9" w:rsidRDefault="00FB7E70" w:rsidP="00FB7E70">
            <w:pPr>
              <w:jc w:val="left"/>
              <w:rPr>
                <w:color w:val="FFFFFF"/>
                <w:sz w:val="18"/>
                <w:szCs w:val="20"/>
              </w:rPr>
            </w:pPr>
            <w:r w:rsidRPr="00E711F9">
              <w:rPr>
                <w:color w:val="FFFFFF"/>
                <w:sz w:val="18"/>
                <w:szCs w:val="20"/>
              </w:rPr>
              <w:t xml:space="preserve">NOTES: </w:t>
            </w:r>
            <w:r w:rsidRPr="00E711F9">
              <w:rPr>
                <w:color w:val="FFFFFF"/>
                <w:sz w:val="18"/>
                <w:szCs w:val="20"/>
              </w:rPr>
              <w:br/>
              <w:t>[a] Avoided supply costs, including the reduction in costs of electric energy, generation, transmission, and distribution capacity. Subject to TRC Order.</w:t>
            </w:r>
            <w:r w:rsidRPr="00E711F9">
              <w:rPr>
                <w:color w:val="FFFFFF"/>
                <w:sz w:val="18"/>
                <w:szCs w:val="20"/>
              </w:rPr>
              <w:br/>
              <w:t>[b] Costs paid by the program administrator and participants plus the increase in supply costs for any period when load is increased.  Subject to TRC Order.</w:t>
            </w:r>
            <w:r w:rsidRPr="00E711F9">
              <w:rPr>
                <w:color w:val="FFFFFF"/>
                <w:sz w:val="18"/>
                <w:szCs w:val="20"/>
              </w:rPr>
              <w:br/>
              <w:t>[c] Subject to the Commission’s August 31, 2012 TRC Order.</w:t>
            </w:r>
            <w:r w:rsidRPr="00E711F9">
              <w:rPr>
                <w:color w:val="FFFFFF"/>
                <w:sz w:val="18"/>
                <w:szCs w:val="20"/>
              </w:rPr>
              <w:br/>
              <w:t>[d] CO</w:t>
            </w:r>
            <w:r w:rsidRPr="00E711F9">
              <w:rPr>
                <w:color w:val="FFFFFF"/>
                <w:sz w:val="18"/>
                <w:szCs w:val="20"/>
                <w:vertAlign w:val="subscript"/>
              </w:rPr>
              <w:t>2</w:t>
            </w:r>
            <w:r w:rsidRPr="00E711F9">
              <w:rPr>
                <w:color w:val="FFFFFF"/>
                <w:sz w:val="18"/>
                <w:szCs w:val="20"/>
              </w:rPr>
              <w:t xml:space="preserve"> conversion based on 1,541 lbs CO</w:t>
            </w:r>
            <w:r w:rsidRPr="00E711F9">
              <w:rPr>
                <w:color w:val="FFFFFF"/>
                <w:sz w:val="18"/>
                <w:szCs w:val="20"/>
                <w:vertAlign w:val="subscript"/>
              </w:rPr>
              <w:t>2</w:t>
            </w:r>
            <w:r w:rsidRPr="00E711F9">
              <w:rPr>
                <w:color w:val="FFFFFF"/>
                <w:sz w:val="18"/>
                <w:szCs w:val="20"/>
              </w:rPr>
              <w:t xml:space="preserve"> per MWh according to the latest available (2015) PJM Emission Report of marginal off-peak annual CO</w:t>
            </w:r>
            <w:r w:rsidRPr="00E711F9">
              <w:rPr>
                <w:color w:val="FFFFFF"/>
                <w:sz w:val="18"/>
                <w:szCs w:val="20"/>
                <w:vertAlign w:val="subscript"/>
              </w:rPr>
              <w:t>2</w:t>
            </w:r>
            <w:r w:rsidRPr="00E711F9">
              <w:rPr>
                <w:color w:val="FFFFFF"/>
                <w:sz w:val="18"/>
                <w:szCs w:val="20"/>
              </w:rPr>
              <w:t xml:space="preserve"> emission rate.</w:t>
            </w:r>
            <w:r w:rsidRPr="00E711F9">
              <w:rPr>
                <w:color w:val="FFFFFF"/>
                <w:sz w:val="18"/>
                <w:szCs w:val="20"/>
              </w:rPr>
              <w:br/>
              <w:t>[e] CO</w:t>
            </w:r>
            <w:r w:rsidRPr="00E711F9">
              <w:rPr>
                <w:color w:val="FFFFFF"/>
                <w:sz w:val="18"/>
                <w:szCs w:val="20"/>
                <w:vertAlign w:val="subscript"/>
              </w:rPr>
              <w:t>2</w:t>
            </w:r>
            <w:r w:rsidRPr="00E711F9">
              <w:rPr>
                <w:color w:val="FFFFFF"/>
                <w:sz w:val="18"/>
                <w:szCs w:val="20"/>
              </w:rPr>
              <w:t xml:space="preserve"> emissions are reported due to Stakeholder interest in this information and to recognize that reporting this information is recommended by the National Action Plan for Energy Efficiency.</w:t>
            </w:r>
            <w:r w:rsidRPr="00E711F9">
              <w:rPr>
                <w:color w:val="FFFFFF"/>
                <w:sz w:val="18"/>
                <w:szCs w:val="20"/>
              </w:rPr>
              <w:br/>
              <w:t>[f] Phase II Reported Gross Impact is the cumulative program/portfolio Phase II Inception to Date Reported Gross Savings.</w:t>
            </w:r>
            <w:r w:rsidRPr="00E711F9">
              <w:rPr>
                <w:color w:val="FFFFFF"/>
                <w:sz w:val="18"/>
                <w:szCs w:val="20"/>
              </w:rPr>
              <w:br/>
              <w:t>[g] TRC Benefits and Costs are calculated only for verified savings, which reflect actual program results.</w:t>
            </w:r>
            <w:r w:rsidRPr="00E711F9">
              <w:rPr>
                <w:color w:val="FFFFFF"/>
                <w:sz w:val="18"/>
                <w:szCs w:val="20"/>
              </w:rPr>
              <w:br/>
              <w:t>[h] Phase II Verified Impact is the cumulative program/portfolio Phase II Inception to Date Verified Gross Savings.</w:t>
            </w:r>
            <w:r w:rsidRPr="00E711F9">
              <w:rPr>
                <w:color w:val="FFFFFF"/>
                <w:sz w:val="18"/>
                <w:szCs w:val="20"/>
              </w:rPr>
              <w:br/>
              <w:t>[i] Savings achieved based on Phase II Inception-to-Date Verified Gross Savings.</w:t>
            </w:r>
          </w:p>
        </w:tc>
      </w:tr>
    </w:tbl>
    <w:p w:rsidR="0043410E" w:rsidRPr="00592FD5" w:rsidRDefault="0043410E" w:rsidP="00592FD5"/>
    <w:p w:rsidR="00A806A3" w:rsidRDefault="00FB7E70" w:rsidP="00A806A3">
      <w:r>
        <w:t>Penn Power</w:t>
      </w:r>
      <w:r w:rsidR="00A806A3">
        <w:t xml:space="preserve"> </w:t>
      </w:r>
      <w:r w:rsidR="00A806A3" w:rsidRPr="00A806A3">
        <w:t>achieved 1</w:t>
      </w:r>
      <w:r>
        <w:t>38</w:t>
      </w:r>
      <w:r w:rsidR="00A806A3" w:rsidRPr="00A806A3">
        <w:t>% of</w:t>
      </w:r>
      <w:r w:rsidR="00A806A3">
        <w:t xml:space="preserve"> its Act 129 Phase II energy savings target through the end of PY7. The TRC ratio </w:t>
      </w:r>
      <w:r w:rsidR="00A806A3" w:rsidRPr="00A806A3">
        <w:t xml:space="preserve">of </w:t>
      </w:r>
      <w:r>
        <w:t>Penn Power</w:t>
      </w:r>
      <w:r w:rsidR="00A806A3" w:rsidRPr="00A806A3">
        <w:t>’s programs was 1.</w:t>
      </w:r>
      <w:r>
        <w:t>13</w:t>
      </w:r>
      <w:r w:rsidR="00A806A3" w:rsidRPr="00A806A3">
        <w:t>, which indicates that its portfolio of EE&amp;C programs is cost-effective on an aggregated basis</w:t>
      </w:r>
      <w:r w:rsidR="00A806A3">
        <w:t>.</w:t>
      </w:r>
    </w:p>
    <w:p w:rsidR="00F3562D" w:rsidRDefault="00F3562D" w:rsidP="00A806A3"/>
    <w:p w:rsidR="00A806A3" w:rsidRDefault="00F3562D" w:rsidP="00A806A3">
      <w:r>
        <w:fldChar w:fldCharType="begin"/>
      </w:r>
      <w:r>
        <w:instrText xml:space="preserve"> REF _Ref473729233 \h </w:instrText>
      </w:r>
      <w:r>
        <w:fldChar w:fldCharType="separate"/>
      </w:r>
      <w:r w:rsidR="00C301D0">
        <w:t xml:space="preserve">Figure </w:t>
      </w:r>
      <w:r w:rsidR="00C301D0">
        <w:rPr>
          <w:noProof/>
        </w:rPr>
        <w:t>2</w:t>
      </w:r>
      <w:r w:rsidR="00C301D0">
        <w:noBreakHyphen/>
      </w:r>
      <w:r w:rsidR="00C301D0">
        <w:rPr>
          <w:noProof/>
        </w:rPr>
        <w:t>20</w:t>
      </w:r>
      <w:r>
        <w:fldChar w:fldCharType="end"/>
      </w:r>
      <w:r>
        <w:t xml:space="preserve"> </w:t>
      </w:r>
      <w:r w:rsidR="00A806A3">
        <w:t xml:space="preserve">shows the verified gross savings after each program year during Phase II. The data in this figure do not include carryover savings from Phase I. The residential sector accounted for the highest savings for </w:t>
      </w:r>
      <w:r w:rsidR="00FB7E70">
        <w:t>Penn Power</w:t>
      </w:r>
      <w:r w:rsidR="00A806A3">
        <w:t xml:space="preserve"> during Phase II.</w:t>
      </w:r>
    </w:p>
    <w:p w:rsidR="00A806A3" w:rsidRDefault="00A806A3" w:rsidP="00A806A3"/>
    <w:p w:rsidR="000F5A29" w:rsidRDefault="000F5A29" w:rsidP="00A806A3"/>
    <w:p w:rsidR="000F5A29" w:rsidRDefault="000F5A29" w:rsidP="00A806A3"/>
    <w:p w:rsidR="000F5A29" w:rsidRDefault="000F5A29" w:rsidP="00A806A3"/>
    <w:p w:rsidR="000F5A29" w:rsidRDefault="000F5A29" w:rsidP="00A806A3"/>
    <w:p w:rsidR="000F5A29" w:rsidRDefault="000F5A29" w:rsidP="00A806A3"/>
    <w:p w:rsidR="000F5A29" w:rsidRDefault="000F5A29" w:rsidP="00A806A3"/>
    <w:p w:rsidR="00D06AEA" w:rsidRDefault="00D06AEA" w:rsidP="004F1B4F">
      <w:pPr>
        <w:pStyle w:val="Caption"/>
      </w:pPr>
      <w:bookmarkStart w:id="209" w:name="_Ref472409715"/>
      <w:bookmarkStart w:id="210" w:name="_Toc472472227"/>
    </w:p>
    <w:p w:rsidR="00E711F9" w:rsidRDefault="00E711F9" w:rsidP="00E711F9"/>
    <w:p w:rsidR="00E711F9" w:rsidRDefault="00E711F9" w:rsidP="00E711F9"/>
    <w:p w:rsidR="00A806A3" w:rsidRPr="0043410E" w:rsidRDefault="004F1B4F" w:rsidP="004F1B4F">
      <w:pPr>
        <w:pStyle w:val="Caption"/>
      </w:pPr>
      <w:bookmarkStart w:id="211" w:name="_Ref473729233"/>
      <w:bookmarkStart w:id="212" w:name="_Toc476914041"/>
      <w:r>
        <w:lastRenderedPageBreak/>
        <w:t xml:space="preserve">Figure </w:t>
      </w:r>
      <w:fldSimple w:instr=" STYLEREF 1 \s ">
        <w:r w:rsidR="00C301D0">
          <w:rPr>
            <w:noProof/>
          </w:rPr>
          <w:t>2</w:t>
        </w:r>
      </w:fldSimple>
      <w:r w:rsidR="00DA1ADA">
        <w:noBreakHyphen/>
      </w:r>
      <w:fldSimple w:instr=" SEQ Figure \* ARABIC \s 1 ">
        <w:r w:rsidR="00C301D0">
          <w:rPr>
            <w:noProof/>
          </w:rPr>
          <w:t>20</w:t>
        </w:r>
      </w:fldSimple>
      <w:bookmarkEnd w:id="209"/>
      <w:bookmarkEnd w:id="211"/>
      <w:r>
        <w:t xml:space="preserve">: </w:t>
      </w:r>
      <w:r w:rsidR="00FB7E70">
        <w:t>Penn Power</w:t>
      </w:r>
      <w:r w:rsidR="00A806A3" w:rsidRPr="001928C8">
        <w:t xml:space="preserve"> Phase</w:t>
      </w:r>
      <w:r w:rsidR="00A806A3">
        <w:t xml:space="preserve"> I</w:t>
      </w:r>
      <w:r w:rsidR="00A806A3" w:rsidRPr="001928C8">
        <w:t xml:space="preserve">I </w:t>
      </w:r>
      <w:r w:rsidR="002E319D">
        <w:t xml:space="preserve">Cumulative </w:t>
      </w:r>
      <w:r w:rsidR="00A806A3">
        <w:t>V</w:t>
      </w:r>
      <w:r w:rsidR="00A806A3" w:rsidRPr="001928C8">
        <w:t>erified</w:t>
      </w:r>
      <w:r w:rsidR="00A90285">
        <w:t xml:space="preserve"> Gross</w:t>
      </w:r>
      <w:r w:rsidR="00A806A3" w:rsidRPr="001928C8">
        <w:t xml:space="preserve"> Savings by Program Year and Sector</w:t>
      </w:r>
      <w:bookmarkEnd w:id="210"/>
      <w:bookmarkEnd w:id="212"/>
    </w:p>
    <w:p w:rsidR="0043410E" w:rsidRDefault="0043410E" w:rsidP="0043410E"/>
    <w:p w:rsidR="00236BF4" w:rsidRDefault="00105F3B" w:rsidP="0043410E">
      <w:r>
        <w:rPr>
          <w:noProof/>
        </w:rPr>
        <w:drawing>
          <wp:inline distT="0" distB="0" distL="0" distR="0" wp14:anchorId="56F413AF" wp14:editId="6CA415D6">
            <wp:extent cx="5661329" cy="3040103"/>
            <wp:effectExtent l="0" t="0" r="0" b="825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1875" cy="3045766"/>
                    </a:xfrm>
                    <a:prstGeom prst="rect">
                      <a:avLst/>
                    </a:prstGeom>
                    <a:noFill/>
                  </pic:spPr>
                </pic:pic>
              </a:graphicData>
            </a:graphic>
          </wp:inline>
        </w:drawing>
      </w:r>
    </w:p>
    <w:p w:rsidR="00823FE0" w:rsidRDefault="00823FE0" w:rsidP="0043410E"/>
    <w:p w:rsidR="006058D6" w:rsidRDefault="006058D6" w:rsidP="006058D6">
      <w:pPr>
        <w:pStyle w:val="Heading3"/>
      </w:pPr>
      <w:bookmarkStart w:id="213" w:name="_Toc472472100"/>
      <w:bookmarkStart w:id="214" w:name="_Toc476913912"/>
      <w:r>
        <w:t>West Penn Power</w:t>
      </w:r>
      <w:bookmarkEnd w:id="213"/>
      <w:bookmarkEnd w:id="214"/>
    </w:p>
    <w:p w:rsidR="0043410E" w:rsidRDefault="00F3562D" w:rsidP="0043410E">
      <w:r>
        <w:fldChar w:fldCharType="begin"/>
      </w:r>
      <w:r>
        <w:instrText xml:space="preserve"> REF _Ref473729255 \h </w:instrText>
      </w:r>
      <w:r>
        <w:fldChar w:fldCharType="separate"/>
      </w:r>
      <w:r w:rsidR="008A7824">
        <w:t xml:space="preserve">Table </w:t>
      </w:r>
      <w:r w:rsidR="008A7824">
        <w:rPr>
          <w:noProof/>
        </w:rPr>
        <w:t>2</w:t>
      </w:r>
      <w:r w:rsidR="008A7824">
        <w:noBreakHyphen/>
      </w:r>
      <w:r w:rsidR="008A7824">
        <w:rPr>
          <w:noProof/>
        </w:rPr>
        <w:t>20</w:t>
      </w:r>
      <w:r>
        <w:fldChar w:fldCharType="end"/>
      </w:r>
      <w:r>
        <w:t xml:space="preserve"> </w:t>
      </w:r>
      <w:r w:rsidR="00046A62" w:rsidRPr="001E4D27">
        <w:t xml:space="preserve">provides an overview of </w:t>
      </w:r>
      <w:r w:rsidR="00046A62">
        <w:t xml:space="preserve">West Penn’s </w:t>
      </w:r>
      <w:r w:rsidR="00A90285">
        <w:t xml:space="preserve">cumulative reported gross (RG) </w:t>
      </w:r>
      <w:r w:rsidR="00A90285" w:rsidRPr="001E4D27">
        <w:t xml:space="preserve">and verified gross </w:t>
      </w:r>
      <w:r w:rsidR="00A90285">
        <w:t xml:space="preserve">(VG) savings impacts, and carryover (CO) </w:t>
      </w:r>
      <w:r w:rsidR="00A90285" w:rsidRPr="001E4D27">
        <w:t>savings since the inception</w:t>
      </w:r>
      <w:r w:rsidR="00A90285">
        <w:t xml:space="preserve"> of its </w:t>
      </w:r>
      <w:r w:rsidR="00A90285" w:rsidRPr="001E4D27">
        <w:t>EE&amp;C programs through</w:t>
      </w:r>
      <w:r w:rsidR="00046A62" w:rsidRPr="001E4D27">
        <w:t xml:space="preserve"> the end of </w:t>
      </w:r>
      <w:r w:rsidR="00046A62">
        <w:t>Phase II.</w:t>
      </w:r>
    </w:p>
    <w:p w:rsidR="00D06AEA" w:rsidRDefault="00D06AEA" w:rsidP="0043410E">
      <w:pPr>
        <w:pStyle w:val="Caption"/>
      </w:pPr>
      <w:bookmarkStart w:id="215" w:name="_Ref472267483"/>
      <w:bookmarkStart w:id="216" w:name="_Toc472472173"/>
    </w:p>
    <w:p w:rsidR="0043410E" w:rsidRDefault="0043410E" w:rsidP="0043410E">
      <w:pPr>
        <w:pStyle w:val="Caption"/>
      </w:pPr>
      <w:bookmarkStart w:id="217" w:name="_Ref473729255"/>
      <w:bookmarkStart w:id="218" w:name="_Toc476913986"/>
      <w:r>
        <w:t xml:space="preserve">Table </w:t>
      </w:r>
      <w:fldSimple w:instr=" STYLEREF 1 \s ">
        <w:r w:rsidR="008A7824">
          <w:rPr>
            <w:noProof/>
          </w:rPr>
          <w:t>2</w:t>
        </w:r>
      </w:fldSimple>
      <w:r w:rsidR="00E6042C">
        <w:noBreakHyphen/>
      </w:r>
      <w:fldSimple w:instr=" SEQ Table \* ARABIC \s 1 ">
        <w:r w:rsidR="008A7824">
          <w:rPr>
            <w:noProof/>
          </w:rPr>
          <w:t>20</w:t>
        </w:r>
      </w:fldSimple>
      <w:bookmarkEnd w:id="215"/>
      <w:bookmarkEnd w:id="217"/>
      <w:r>
        <w:t>:  Summary of West Penn</w:t>
      </w:r>
      <w:r w:rsidR="00046A62">
        <w:t>’s</w:t>
      </w:r>
      <w:r>
        <w:t xml:space="preserve"> Phase II Savings Impacts</w:t>
      </w:r>
      <w:bookmarkEnd w:id="216"/>
      <w:bookmarkEnd w:id="218"/>
    </w:p>
    <w:tbl>
      <w:tblPr>
        <w:tblW w:w="9360" w:type="dxa"/>
        <w:tblInd w:w="108" w:type="dxa"/>
        <w:tblLayout w:type="fixed"/>
        <w:tblLook w:val="04A0" w:firstRow="1" w:lastRow="0" w:firstColumn="1" w:lastColumn="0" w:noHBand="0" w:noVBand="1"/>
      </w:tblPr>
      <w:tblGrid>
        <w:gridCol w:w="2330"/>
        <w:gridCol w:w="1170"/>
        <w:gridCol w:w="1170"/>
        <w:gridCol w:w="1170"/>
        <w:gridCol w:w="1170"/>
        <w:gridCol w:w="1270"/>
        <w:gridCol w:w="1080"/>
      </w:tblGrid>
      <w:tr w:rsidR="00A874AC" w:rsidRPr="00D34138" w:rsidTr="00592FD5">
        <w:trPr>
          <w:trHeight w:val="825"/>
        </w:trPr>
        <w:tc>
          <w:tcPr>
            <w:tcW w:w="233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D34138" w:rsidRPr="00D34138" w:rsidRDefault="00D34138" w:rsidP="00D06AEA">
            <w:pPr>
              <w:rPr>
                <w:b/>
                <w:bCs/>
                <w:color w:val="FFFFFF"/>
                <w:sz w:val="20"/>
                <w:szCs w:val="20"/>
              </w:rPr>
            </w:pPr>
            <w:r w:rsidRPr="00D34138">
              <w:rPr>
                <w:b/>
                <w:bCs/>
                <w:color w:val="FFFFFF"/>
                <w:sz w:val="20"/>
                <w:szCs w:val="20"/>
              </w:rPr>
              <w:t>Impact</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D06AEA">
            <w:pPr>
              <w:jc w:val="center"/>
              <w:rPr>
                <w:b/>
                <w:bCs/>
                <w:color w:val="FFFFFF"/>
                <w:sz w:val="20"/>
                <w:szCs w:val="20"/>
              </w:rPr>
            </w:pPr>
            <w:r w:rsidRPr="00D34138">
              <w:rPr>
                <w:b/>
                <w:bCs/>
                <w:color w:val="FFFFFF"/>
                <w:sz w:val="20"/>
                <w:szCs w:val="20"/>
              </w:rPr>
              <w:t xml:space="preserve">Phase II RG Savings </w:t>
            </w:r>
            <w:r w:rsidRPr="00D34138">
              <w:rPr>
                <w:b/>
                <w:bCs/>
                <w:color w:val="FFFFFF"/>
                <w:sz w:val="20"/>
                <w:szCs w:val="20"/>
                <w:vertAlign w:val="superscript"/>
              </w:rPr>
              <w:t>[f]</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D06AEA">
            <w:pPr>
              <w:jc w:val="center"/>
              <w:rPr>
                <w:b/>
                <w:bCs/>
                <w:color w:val="FFFFFF"/>
                <w:sz w:val="20"/>
                <w:szCs w:val="20"/>
              </w:rPr>
            </w:pPr>
            <w:r w:rsidRPr="00D34138">
              <w:rPr>
                <w:b/>
                <w:bCs/>
                <w:color w:val="FFFFFF"/>
                <w:sz w:val="20"/>
                <w:szCs w:val="20"/>
              </w:rPr>
              <w:t xml:space="preserve">Phase II VG Savings </w:t>
            </w:r>
            <w:r w:rsidRPr="00D34138">
              <w:rPr>
                <w:b/>
                <w:bCs/>
                <w:color w:val="FFFFFF"/>
                <w:sz w:val="20"/>
                <w:szCs w:val="20"/>
                <w:vertAlign w:val="superscript"/>
              </w:rPr>
              <w:t>[h]</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D06AEA">
            <w:pPr>
              <w:jc w:val="center"/>
              <w:rPr>
                <w:b/>
                <w:bCs/>
                <w:color w:val="FFFFFF"/>
                <w:sz w:val="20"/>
                <w:szCs w:val="20"/>
              </w:rPr>
            </w:pPr>
            <w:r w:rsidRPr="00D34138">
              <w:rPr>
                <w:b/>
                <w:bCs/>
                <w:color w:val="FFFFFF"/>
                <w:sz w:val="20"/>
                <w:szCs w:val="20"/>
              </w:rPr>
              <w:t>Phase I CO Savings</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D06AEA">
            <w:pPr>
              <w:jc w:val="center"/>
              <w:rPr>
                <w:b/>
                <w:bCs/>
                <w:color w:val="FFFFFF"/>
                <w:sz w:val="20"/>
                <w:szCs w:val="20"/>
              </w:rPr>
            </w:pPr>
            <w:r w:rsidRPr="00D34138">
              <w:rPr>
                <w:b/>
                <w:bCs/>
                <w:color w:val="FFFFFF"/>
                <w:sz w:val="20"/>
                <w:szCs w:val="20"/>
              </w:rPr>
              <w:t>Phase II VG + Phase I CO Savings</w:t>
            </w:r>
          </w:p>
        </w:tc>
        <w:tc>
          <w:tcPr>
            <w:tcW w:w="1270"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D06AEA">
            <w:pPr>
              <w:jc w:val="center"/>
              <w:rPr>
                <w:b/>
                <w:bCs/>
                <w:color w:val="FFFFFF"/>
                <w:sz w:val="20"/>
                <w:szCs w:val="20"/>
              </w:rPr>
            </w:pPr>
            <w:r w:rsidRPr="00D34138">
              <w:rPr>
                <w:b/>
                <w:bCs/>
                <w:color w:val="FFFFFF"/>
                <w:sz w:val="20"/>
                <w:szCs w:val="20"/>
              </w:rPr>
              <w:t>May 31, 2016 Compliance Target (MWh)</w:t>
            </w:r>
          </w:p>
        </w:tc>
        <w:tc>
          <w:tcPr>
            <w:tcW w:w="1080"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D06AEA">
            <w:pPr>
              <w:jc w:val="center"/>
              <w:rPr>
                <w:b/>
                <w:bCs/>
                <w:color w:val="FFFFFF"/>
                <w:sz w:val="20"/>
                <w:szCs w:val="20"/>
              </w:rPr>
            </w:pPr>
            <w:r w:rsidRPr="00D34138">
              <w:rPr>
                <w:b/>
                <w:bCs/>
                <w:color w:val="FFFFFF"/>
                <w:sz w:val="20"/>
                <w:szCs w:val="20"/>
              </w:rPr>
              <w:t xml:space="preserve">Savings Achieved as % of 2016 Targets </w:t>
            </w:r>
            <w:r w:rsidRPr="00D34138">
              <w:rPr>
                <w:b/>
                <w:bCs/>
                <w:color w:val="FFFFFF"/>
                <w:sz w:val="20"/>
                <w:szCs w:val="20"/>
                <w:vertAlign w:val="superscript"/>
              </w:rPr>
              <w:t>[i]</w:t>
            </w:r>
          </w:p>
        </w:tc>
      </w:tr>
      <w:tr w:rsidR="00A874AC" w:rsidRPr="00D34138" w:rsidTr="00592FD5">
        <w:trPr>
          <w:trHeight w:val="488"/>
        </w:trPr>
        <w:tc>
          <w:tcPr>
            <w:tcW w:w="233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D34138" w:rsidRDefault="00D34138" w:rsidP="00D34138">
            <w:pPr>
              <w:jc w:val="left"/>
              <w:rPr>
                <w:color w:val="000000"/>
                <w:sz w:val="20"/>
                <w:szCs w:val="20"/>
              </w:rPr>
            </w:pPr>
            <w:r w:rsidRPr="00D34138">
              <w:rPr>
                <w:color w:val="000000"/>
                <w:sz w:val="20"/>
                <w:szCs w:val="20"/>
              </w:rPr>
              <w:t>Total Energy Savings (MWh/yr)</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357,544</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358,073</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59,929</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418,002</w:t>
            </w:r>
          </w:p>
        </w:tc>
        <w:tc>
          <w:tcPr>
            <w:tcW w:w="12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337,533</w:t>
            </w:r>
          </w:p>
        </w:tc>
        <w:tc>
          <w:tcPr>
            <w:tcW w:w="108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124%</w:t>
            </w:r>
          </w:p>
        </w:tc>
      </w:tr>
      <w:tr w:rsidR="00E7173E" w:rsidRPr="00D34138" w:rsidTr="00592FD5">
        <w:trPr>
          <w:trHeight w:val="488"/>
        </w:trPr>
        <w:tc>
          <w:tcPr>
            <w:tcW w:w="2330" w:type="dxa"/>
            <w:tcBorders>
              <w:top w:val="nil"/>
              <w:left w:val="single" w:sz="8" w:space="0" w:color="448A99"/>
              <w:bottom w:val="single" w:sz="8" w:space="0" w:color="448A99"/>
              <w:right w:val="single" w:sz="8" w:space="0" w:color="448A99"/>
            </w:tcBorders>
            <w:shd w:val="clear" w:color="auto" w:fill="auto"/>
            <w:vAlign w:val="center"/>
            <w:hideMark/>
          </w:tcPr>
          <w:p w:rsidR="00D34138" w:rsidRPr="00D34138" w:rsidRDefault="00D34138" w:rsidP="00D34138">
            <w:pPr>
              <w:jc w:val="left"/>
              <w:rPr>
                <w:color w:val="000000"/>
                <w:sz w:val="20"/>
                <w:szCs w:val="20"/>
              </w:rPr>
            </w:pPr>
            <w:r w:rsidRPr="00D34138">
              <w:rPr>
                <w:color w:val="000000"/>
                <w:sz w:val="20"/>
                <w:szCs w:val="20"/>
              </w:rPr>
              <w:t>Total Demand Reduction (MW)</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44.27</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44.370</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44.370</w:t>
            </w:r>
          </w:p>
        </w:tc>
        <w:tc>
          <w:tcPr>
            <w:tcW w:w="12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08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r>
      <w:tr w:rsidR="00A874AC" w:rsidRPr="00D34138" w:rsidTr="00592FD5">
        <w:trPr>
          <w:trHeight w:val="488"/>
        </w:trPr>
        <w:tc>
          <w:tcPr>
            <w:tcW w:w="233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D34138" w:rsidRDefault="00D34138" w:rsidP="00D34138">
            <w:pPr>
              <w:jc w:val="left"/>
              <w:rPr>
                <w:color w:val="000000"/>
                <w:sz w:val="20"/>
                <w:szCs w:val="20"/>
              </w:rPr>
            </w:pPr>
            <w:r w:rsidRPr="00D34138">
              <w:rPr>
                <w:color w:val="000000"/>
                <w:sz w:val="20"/>
                <w:szCs w:val="20"/>
              </w:rPr>
              <w:t xml:space="preserve">TRC Benefits ($1,000) </w:t>
            </w:r>
            <w:r w:rsidRPr="00D34138">
              <w:rPr>
                <w:color w:val="000000"/>
                <w:sz w:val="20"/>
                <w:szCs w:val="20"/>
                <w:vertAlign w:val="superscript"/>
              </w:rPr>
              <w:t>[a]</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 xml:space="preserve">N/A </w:t>
            </w:r>
            <w:r w:rsidRPr="00D34138">
              <w:rPr>
                <w:sz w:val="20"/>
                <w:szCs w:val="20"/>
                <w:vertAlign w:val="superscript"/>
              </w:rPr>
              <w:t>[g]</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$177,034</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$177,034</w:t>
            </w:r>
          </w:p>
        </w:tc>
        <w:tc>
          <w:tcPr>
            <w:tcW w:w="12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c>
          <w:tcPr>
            <w:tcW w:w="108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r>
      <w:tr w:rsidR="00E7173E" w:rsidRPr="00D34138" w:rsidTr="00592FD5">
        <w:trPr>
          <w:trHeight w:val="488"/>
        </w:trPr>
        <w:tc>
          <w:tcPr>
            <w:tcW w:w="2330" w:type="dxa"/>
            <w:tcBorders>
              <w:top w:val="nil"/>
              <w:left w:val="single" w:sz="8" w:space="0" w:color="448A99"/>
              <w:bottom w:val="single" w:sz="8" w:space="0" w:color="448A99"/>
              <w:right w:val="single" w:sz="8" w:space="0" w:color="448A99"/>
            </w:tcBorders>
            <w:shd w:val="clear" w:color="auto" w:fill="auto"/>
            <w:vAlign w:val="center"/>
            <w:hideMark/>
          </w:tcPr>
          <w:p w:rsidR="00D34138" w:rsidRPr="00D34138" w:rsidRDefault="00D34138" w:rsidP="00D34138">
            <w:pPr>
              <w:jc w:val="left"/>
              <w:rPr>
                <w:color w:val="000000"/>
                <w:sz w:val="20"/>
                <w:szCs w:val="20"/>
              </w:rPr>
            </w:pPr>
            <w:r w:rsidRPr="00D34138">
              <w:rPr>
                <w:color w:val="000000"/>
                <w:sz w:val="20"/>
                <w:szCs w:val="20"/>
              </w:rPr>
              <w:t xml:space="preserve">TRC Costs ($1,000) </w:t>
            </w:r>
            <w:r w:rsidRPr="00D34138">
              <w:rPr>
                <w:color w:val="000000"/>
                <w:sz w:val="20"/>
                <w:szCs w:val="20"/>
                <w:vertAlign w:val="superscript"/>
              </w:rPr>
              <w:t>[b]</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 xml:space="preserve">N/A </w:t>
            </w:r>
            <w:r w:rsidRPr="00D34138">
              <w:rPr>
                <w:sz w:val="20"/>
                <w:szCs w:val="20"/>
                <w:vertAlign w:val="superscript"/>
              </w:rPr>
              <w:t>[g]</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$91,780</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$91,780</w:t>
            </w:r>
          </w:p>
        </w:tc>
        <w:tc>
          <w:tcPr>
            <w:tcW w:w="12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08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r>
      <w:tr w:rsidR="00A874AC" w:rsidRPr="00D34138" w:rsidTr="00592FD5">
        <w:trPr>
          <w:trHeight w:val="488"/>
        </w:trPr>
        <w:tc>
          <w:tcPr>
            <w:tcW w:w="233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D34138" w:rsidRDefault="00D34138" w:rsidP="00E82812">
            <w:pPr>
              <w:jc w:val="left"/>
              <w:rPr>
                <w:color w:val="000000"/>
                <w:sz w:val="20"/>
                <w:szCs w:val="20"/>
              </w:rPr>
            </w:pPr>
            <w:r w:rsidRPr="00D34138">
              <w:rPr>
                <w:color w:val="000000"/>
                <w:sz w:val="20"/>
                <w:szCs w:val="20"/>
              </w:rPr>
              <w:t xml:space="preserve">TRC </w:t>
            </w:r>
            <w:r w:rsidR="00E82812">
              <w:rPr>
                <w:color w:val="000000"/>
                <w:sz w:val="20"/>
                <w:szCs w:val="20"/>
              </w:rPr>
              <w:t>B/C</w:t>
            </w:r>
            <w:r w:rsidRPr="00D34138">
              <w:rPr>
                <w:color w:val="000000"/>
                <w:sz w:val="20"/>
                <w:szCs w:val="20"/>
              </w:rPr>
              <w:t xml:space="preserve"> Ratio </w:t>
            </w:r>
            <w:r w:rsidRPr="00D34138">
              <w:rPr>
                <w:color w:val="000000"/>
                <w:sz w:val="20"/>
                <w:szCs w:val="20"/>
                <w:vertAlign w:val="superscript"/>
              </w:rPr>
              <w:t>[c]</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 xml:space="preserve">N/A </w:t>
            </w:r>
            <w:r w:rsidRPr="00D34138">
              <w:rPr>
                <w:sz w:val="20"/>
                <w:szCs w:val="20"/>
                <w:vertAlign w:val="superscript"/>
              </w:rPr>
              <w:t>[g]</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1.93</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c>
          <w:tcPr>
            <w:tcW w:w="11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1.93</w:t>
            </w:r>
          </w:p>
        </w:tc>
        <w:tc>
          <w:tcPr>
            <w:tcW w:w="127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c>
          <w:tcPr>
            <w:tcW w:w="108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r>
      <w:tr w:rsidR="00E7173E" w:rsidRPr="00D34138" w:rsidTr="00592FD5">
        <w:trPr>
          <w:trHeight w:val="489"/>
        </w:trPr>
        <w:tc>
          <w:tcPr>
            <w:tcW w:w="2330" w:type="dxa"/>
            <w:tcBorders>
              <w:top w:val="nil"/>
              <w:left w:val="single" w:sz="8" w:space="0" w:color="448A99"/>
              <w:bottom w:val="single" w:sz="8" w:space="0" w:color="448A99"/>
              <w:right w:val="single" w:sz="8" w:space="0" w:color="448A99"/>
            </w:tcBorders>
            <w:shd w:val="clear" w:color="auto" w:fill="auto"/>
            <w:vAlign w:val="center"/>
            <w:hideMark/>
          </w:tcPr>
          <w:p w:rsidR="00D34138" w:rsidRPr="00D34138" w:rsidRDefault="00D34138" w:rsidP="00D34138">
            <w:pPr>
              <w:jc w:val="left"/>
              <w:rPr>
                <w:color w:val="000000"/>
                <w:sz w:val="20"/>
                <w:szCs w:val="20"/>
              </w:rPr>
            </w:pPr>
            <w:r w:rsidRPr="00D34138">
              <w:rPr>
                <w:color w:val="000000"/>
                <w:sz w:val="20"/>
                <w:szCs w:val="20"/>
              </w:rPr>
              <w:t>CO</w:t>
            </w:r>
            <w:r w:rsidRPr="00D34138">
              <w:rPr>
                <w:color w:val="000000"/>
                <w:sz w:val="20"/>
                <w:szCs w:val="20"/>
                <w:vertAlign w:val="subscript"/>
              </w:rPr>
              <w:t>2</w:t>
            </w:r>
            <w:r w:rsidRPr="00D34138">
              <w:rPr>
                <w:color w:val="000000"/>
                <w:sz w:val="20"/>
                <w:szCs w:val="20"/>
              </w:rPr>
              <w:t xml:space="preserve"> Emissions Reduction (Tons) </w:t>
            </w:r>
            <w:r w:rsidRPr="00D34138">
              <w:rPr>
                <w:color w:val="000000"/>
                <w:sz w:val="20"/>
                <w:szCs w:val="20"/>
                <w:vertAlign w:val="superscript"/>
              </w:rPr>
              <w:t>[d][e]</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275,488</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275,895</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46,175</w:t>
            </w:r>
          </w:p>
        </w:tc>
        <w:tc>
          <w:tcPr>
            <w:tcW w:w="11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322,071</w:t>
            </w:r>
          </w:p>
        </w:tc>
        <w:tc>
          <w:tcPr>
            <w:tcW w:w="127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08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r>
      <w:tr w:rsidR="00D34138" w:rsidRPr="00F3562D" w:rsidTr="00592FD5">
        <w:trPr>
          <w:trHeight w:val="3175"/>
        </w:trPr>
        <w:tc>
          <w:tcPr>
            <w:tcW w:w="9360" w:type="dxa"/>
            <w:gridSpan w:val="7"/>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D34138" w:rsidRPr="00F3562D" w:rsidRDefault="00D34138" w:rsidP="00D34138">
            <w:pPr>
              <w:jc w:val="left"/>
              <w:rPr>
                <w:color w:val="FFFFFF"/>
                <w:sz w:val="18"/>
                <w:szCs w:val="20"/>
              </w:rPr>
            </w:pPr>
            <w:r w:rsidRPr="00F3562D">
              <w:rPr>
                <w:color w:val="FFFFFF"/>
                <w:sz w:val="18"/>
                <w:szCs w:val="20"/>
              </w:rPr>
              <w:lastRenderedPageBreak/>
              <w:t xml:space="preserve">NOTES: </w:t>
            </w:r>
            <w:r w:rsidRPr="00F3562D">
              <w:rPr>
                <w:color w:val="FFFFFF"/>
                <w:sz w:val="18"/>
                <w:szCs w:val="20"/>
              </w:rPr>
              <w:br/>
              <w:t>[a] Avoided supply costs, including the reduction in costs of electric energy, generation, transmission, and distribution capacity. Subject to TRC Order.</w:t>
            </w:r>
            <w:r w:rsidRPr="00F3562D">
              <w:rPr>
                <w:color w:val="FFFFFF"/>
                <w:sz w:val="18"/>
                <w:szCs w:val="20"/>
              </w:rPr>
              <w:br/>
              <w:t>[b] Costs paid by the program administrator and participants plus the increase in supply costs for any period when load is increased.  Subject to TRC Order.</w:t>
            </w:r>
            <w:r w:rsidRPr="00F3562D">
              <w:rPr>
                <w:color w:val="FFFFFF"/>
                <w:sz w:val="18"/>
                <w:szCs w:val="20"/>
              </w:rPr>
              <w:br/>
              <w:t>[c] Subject to the Commission’s August 31, 2012 TRC Order.</w:t>
            </w:r>
            <w:r w:rsidRPr="00F3562D">
              <w:rPr>
                <w:color w:val="FFFFFF"/>
                <w:sz w:val="18"/>
                <w:szCs w:val="20"/>
              </w:rPr>
              <w:br/>
              <w:t>[d] CO</w:t>
            </w:r>
            <w:r w:rsidRPr="00F3562D">
              <w:rPr>
                <w:color w:val="FFFFFF"/>
                <w:sz w:val="18"/>
                <w:szCs w:val="20"/>
                <w:vertAlign w:val="subscript"/>
              </w:rPr>
              <w:t>2</w:t>
            </w:r>
            <w:r w:rsidRPr="00F3562D">
              <w:rPr>
                <w:color w:val="FFFFFF"/>
                <w:sz w:val="18"/>
                <w:szCs w:val="20"/>
              </w:rPr>
              <w:t xml:space="preserve"> conversion based on 1,541 lbs CO</w:t>
            </w:r>
            <w:r w:rsidRPr="00F3562D">
              <w:rPr>
                <w:color w:val="FFFFFF"/>
                <w:sz w:val="18"/>
                <w:szCs w:val="20"/>
                <w:vertAlign w:val="subscript"/>
              </w:rPr>
              <w:t>2</w:t>
            </w:r>
            <w:r w:rsidRPr="00F3562D">
              <w:rPr>
                <w:color w:val="FFFFFF"/>
                <w:sz w:val="18"/>
                <w:szCs w:val="20"/>
              </w:rPr>
              <w:t xml:space="preserve"> per MWh according to the latest available (2015) PJM Emission Report of marginal off-peak annual CO</w:t>
            </w:r>
            <w:r w:rsidRPr="00F3562D">
              <w:rPr>
                <w:color w:val="FFFFFF"/>
                <w:sz w:val="18"/>
                <w:szCs w:val="20"/>
                <w:vertAlign w:val="subscript"/>
              </w:rPr>
              <w:t>2</w:t>
            </w:r>
            <w:r w:rsidRPr="00F3562D">
              <w:rPr>
                <w:color w:val="FFFFFF"/>
                <w:sz w:val="18"/>
                <w:szCs w:val="20"/>
              </w:rPr>
              <w:t xml:space="preserve"> emission rate.</w:t>
            </w:r>
            <w:r w:rsidRPr="00F3562D">
              <w:rPr>
                <w:color w:val="FFFFFF"/>
                <w:sz w:val="18"/>
                <w:szCs w:val="20"/>
              </w:rPr>
              <w:br/>
              <w:t>[e] CO</w:t>
            </w:r>
            <w:r w:rsidRPr="00F3562D">
              <w:rPr>
                <w:color w:val="FFFFFF"/>
                <w:sz w:val="18"/>
                <w:szCs w:val="20"/>
                <w:vertAlign w:val="subscript"/>
              </w:rPr>
              <w:t>2</w:t>
            </w:r>
            <w:r w:rsidRPr="00F3562D">
              <w:rPr>
                <w:color w:val="FFFFFF"/>
                <w:sz w:val="18"/>
                <w:szCs w:val="20"/>
              </w:rPr>
              <w:t xml:space="preserve"> emissions are reported due to Stakeholder interest in this information and to recognize that reporting this information is recommended by the National Action Plan for Energy Efficiency.</w:t>
            </w:r>
            <w:r w:rsidRPr="00F3562D">
              <w:rPr>
                <w:color w:val="FFFFFF"/>
                <w:sz w:val="18"/>
                <w:szCs w:val="20"/>
              </w:rPr>
              <w:br/>
              <w:t>[f] Phase II Reported Gross Impact is the cumulative program/portfolio Phase II Inception to Date Reported Gross Savings.</w:t>
            </w:r>
            <w:r w:rsidRPr="00F3562D">
              <w:rPr>
                <w:color w:val="FFFFFF"/>
                <w:sz w:val="18"/>
                <w:szCs w:val="20"/>
              </w:rPr>
              <w:br/>
              <w:t>[g] TRC Benefits and Costs are calculated only for verified savings, which reflect actual program results.</w:t>
            </w:r>
            <w:r w:rsidRPr="00F3562D">
              <w:rPr>
                <w:color w:val="FFFFFF"/>
                <w:sz w:val="18"/>
                <w:szCs w:val="20"/>
              </w:rPr>
              <w:br/>
              <w:t>[h] Phase II Verified Impact is the cumulative program/portfolio Phase II Inception to Date Verified Gross Savings.</w:t>
            </w:r>
            <w:r w:rsidRPr="00F3562D">
              <w:rPr>
                <w:color w:val="FFFFFF"/>
                <w:sz w:val="18"/>
                <w:szCs w:val="20"/>
              </w:rPr>
              <w:br/>
              <w:t>[i] Savings achieved based on Phase II Inception-to-Date Verified Gross Savings.</w:t>
            </w:r>
          </w:p>
        </w:tc>
      </w:tr>
    </w:tbl>
    <w:p w:rsidR="0043410E" w:rsidRDefault="0043410E" w:rsidP="0043410E"/>
    <w:p w:rsidR="00A806A3" w:rsidRDefault="00236BF4" w:rsidP="00A806A3">
      <w:r>
        <w:t>West Penn</w:t>
      </w:r>
      <w:r w:rsidR="00A806A3">
        <w:t xml:space="preserve"> </w:t>
      </w:r>
      <w:r w:rsidR="00A806A3" w:rsidRPr="00A806A3">
        <w:t>achieved 12</w:t>
      </w:r>
      <w:r>
        <w:t>4</w:t>
      </w:r>
      <w:r w:rsidR="00A806A3" w:rsidRPr="00A806A3">
        <w:t>% of</w:t>
      </w:r>
      <w:r w:rsidR="00A806A3">
        <w:t xml:space="preserve"> its Act 129 Phase II energy savings target through the end of PY7. The TRC ratio </w:t>
      </w:r>
      <w:r w:rsidR="00A806A3" w:rsidRPr="00A806A3">
        <w:t xml:space="preserve">of </w:t>
      </w:r>
      <w:r w:rsidR="007A3A5F">
        <w:t>West Penn</w:t>
      </w:r>
      <w:r w:rsidR="00A806A3" w:rsidRPr="00A806A3">
        <w:t>’s programs was 1.</w:t>
      </w:r>
      <w:r>
        <w:t>93</w:t>
      </w:r>
      <w:r w:rsidR="00A806A3" w:rsidRPr="00A806A3">
        <w:t>, which indicates that its portfolio of EE&amp;C programs is cost-effective on an aggregated basis</w:t>
      </w:r>
      <w:r w:rsidR="00A806A3">
        <w:t>.</w:t>
      </w:r>
    </w:p>
    <w:p w:rsidR="00D06AEA" w:rsidRDefault="00D06AEA" w:rsidP="00A806A3"/>
    <w:p w:rsidR="00A806A3" w:rsidRPr="00D06AEA" w:rsidRDefault="00D06AEA" w:rsidP="00D06AEA">
      <w:r w:rsidRPr="00D06AEA">
        <w:fldChar w:fldCharType="begin"/>
      </w:r>
      <w:r w:rsidRPr="00D06AEA">
        <w:instrText xml:space="preserve"> REF _Ref473708060 \h </w:instrText>
      </w:r>
      <w:r w:rsidRPr="00D06AEA">
        <w:fldChar w:fldCharType="separate"/>
      </w:r>
      <w:r w:rsidR="00C301D0">
        <w:t xml:space="preserve">Figure </w:t>
      </w:r>
      <w:r w:rsidR="00C301D0">
        <w:rPr>
          <w:noProof/>
        </w:rPr>
        <w:t>2</w:t>
      </w:r>
      <w:r w:rsidR="00C301D0">
        <w:noBreakHyphen/>
      </w:r>
      <w:r w:rsidR="00C301D0">
        <w:rPr>
          <w:noProof/>
        </w:rPr>
        <w:t>21</w:t>
      </w:r>
      <w:r w:rsidRPr="00D06AEA">
        <w:fldChar w:fldCharType="end"/>
      </w:r>
      <w:r w:rsidRPr="00D06AEA">
        <w:t xml:space="preserve"> </w:t>
      </w:r>
      <w:r w:rsidR="00A806A3" w:rsidRPr="00D06AEA">
        <w:t xml:space="preserve">shows the verified gross savings after each program year during Phase </w:t>
      </w:r>
      <w:r w:rsidR="00A90285" w:rsidRPr="00D06AEA">
        <w:t>II. The data in this figure do</w:t>
      </w:r>
      <w:r w:rsidR="00A806A3" w:rsidRPr="00D06AEA">
        <w:t xml:space="preserve"> not include carryover savings from Phase I. The residential sector accounted for the highest savings for </w:t>
      </w:r>
      <w:r w:rsidR="00236BF4" w:rsidRPr="00D06AEA">
        <w:t>West Penn</w:t>
      </w:r>
      <w:r w:rsidR="00A806A3" w:rsidRPr="00D06AEA">
        <w:t xml:space="preserve"> during Phase II.</w:t>
      </w:r>
    </w:p>
    <w:p w:rsidR="00A806A3" w:rsidRDefault="00A806A3" w:rsidP="00A806A3"/>
    <w:p w:rsidR="00A806A3" w:rsidRDefault="004F1B4F" w:rsidP="004F1B4F">
      <w:pPr>
        <w:pStyle w:val="Caption"/>
      </w:pPr>
      <w:bookmarkStart w:id="219" w:name="_Ref472409731"/>
      <w:bookmarkStart w:id="220" w:name="_Ref473708060"/>
      <w:bookmarkStart w:id="221" w:name="_Toc472472228"/>
      <w:bookmarkStart w:id="222" w:name="_Toc476914042"/>
      <w:r>
        <w:t xml:space="preserve">Figure </w:t>
      </w:r>
      <w:fldSimple w:instr=" STYLEREF 1 \s ">
        <w:r w:rsidR="00C301D0">
          <w:rPr>
            <w:noProof/>
          </w:rPr>
          <w:t>2</w:t>
        </w:r>
      </w:fldSimple>
      <w:r w:rsidR="00DA1ADA">
        <w:noBreakHyphen/>
      </w:r>
      <w:fldSimple w:instr=" SEQ Figure \* ARABIC \s 1 ">
        <w:r w:rsidR="00C301D0">
          <w:rPr>
            <w:noProof/>
          </w:rPr>
          <w:t>21</w:t>
        </w:r>
      </w:fldSimple>
      <w:bookmarkEnd w:id="219"/>
      <w:bookmarkEnd w:id="220"/>
      <w:r>
        <w:t xml:space="preserve">: </w:t>
      </w:r>
      <w:r w:rsidR="00236BF4">
        <w:t xml:space="preserve">West Penn </w:t>
      </w:r>
      <w:r w:rsidR="00A806A3" w:rsidRPr="001928C8">
        <w:t>Phase</w:t>
      </w:r>
      <w:r w:rsidR="00A806A3">
        <w:t xml:space="preserve"> I</w:t>
      </w:r>
      <w:r w:rsidR="00A806A3" w:rsidRPr="001928C8">
        <w:t xml:space="preserve">I </w:t>
      </w:r>
      <w:r w:rsidR="002E319D">
        <w:t xml:space="preserve">Cumulative </w:t>
      </w:r>
      <w:r w:rsidR="00A806A3">
        <w:t>V</w:t>
      </w:r>
      <w:r w:rsidR="00A806A3" w:rsidRPr="001928C8">
        <w:t xml:space="preserve">erified </w:t>
      </w:r>
      <w:r w:rsidR="00A90285">
        <w:t xml:space="preserve">Gross </w:t>
      </w:r>
      <w:r w:rsidR="00A806A3" w:rsidRPr="001928C8">
        <w:t>Savings by Program Year and Sector</w:t>
      </w:r>
      <w:bookmarkEnd w:id="221"/>
      <w:bookmarkEnd w:id="222"/>
    </w:p>
    <w:p w:rsidR="00D34138" w:rsidRPr="0043410E" w:rsidRDefault="00105F3B" w:rsidP="00A806A3">
      <w:r>
        <w:rPr>
          <w:noProof/>
        </w:rPr>
        <w:drawing>
          <wp:inline distT="0" distB="0" distL="0" distR="0" wp14:anchorId="6DE696D8" wp14:editId="4235D015">
            <wp:extent cx="5863590" cy="3148716"/>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2777" cy="3153649"/>
                    </a:xfrm>
                    <a:prstGeom prst="rect">
                      <a:avLst/>
                    </a:prstGeom>
                    <a:noFill/>
                  </pic:spPr>
                </pic:pic>
              </a:graphicData>
            </a:graphic>
          </wp:inline>
        </w:drawing>
      </w:r>
    </w:p>
    <w:p w:rsidR="007B6E5B" w:rsidRDefault="007B6E5B" w:rsidP="0043410E"/>
    <w:p w:rsidR="00DD6B4C" w:rsidRDefault="00DD6B4C" w:rsidP="00DD6B4C">
      <w:pPr>
        <w:pStyle w:val="Heading3"/>
      </w:pPr>
      <w:bookmarkStart w:id="223" w:name="_Toc472472101"/>
      <w:bookmarkStart w:id="224" w:name="_Toc476913913"/>
      <w:r>
        <w:t>PECO Energy</w:t>
      </w:r>
      <w:bookmarkEnd w:id="223"/>
      <w:bookmarkEnd w:id="224"/>
    </w:p>
    <w:p w:rsidR="0043410E" w:rsidRDefault="00F3562D" w:rsidP="0043410E">
      <w:r>
        <w:fldChar w:fldCharType="begin"/>
      </w:r>
      <w:r>
        <w:instrText xml:space="preserve"> REF _Ref473729276 \h </w:instrText>
      </w:r>
      <w:r>
        <w:fldChar w:fldCharType="separate"/>
      </w:r>
      <w:r w:rsidR="008A7824">
        <w:t xml:space="preserve">Table </w:t>
      </w:r>
      <w:r w:rsidR="008A7824">
        <w:rPr>
          <w:noProof/>
        </w:rPr>
        <w:t>2</w:t>
      </w:r>
      <w:r w:rsidR="008A7824">
        <w:noBreakHyphen/>
      </w:r>
      <w:r w:rsidR="008A7824">
        <w:rPr>
          <w:noProof/>
        </w:rPr>
        <w:t>21</w:t>
      </w:r>
      <w:r>
        <w:fldChar w:fldCharType="end"/>
      </w:r>
      <w:r>
        <w:t xml:space="preserve"> </w:t>
      </w:r>
      <w:r w:rsidR="00046A62" w:rsidRPr="001E4D27">
        <w:t xml:space="preserve">provides an overview of </w:t>
      </w:r>
      <w:r w:rsidR="00046A62">
        <w:t xml:space="preserve">PECO’s cumulative </w:t>
      </w:r>
      <w:r w:rsidR="00A90285">
        <w:t xml:space="preserve">reported gross (RG) </w:t>
      </w:r>
      <w:r w:rsidR="00A90285" w:rsidRPr="001E4D27">
        <w:t xml:space="preserve">and verified gross </w:t>
      </w:r>
      <w:r w:rsidR="00A90285">
        <w:t xml:space="preserve">(VG) savings impacts, and carryover (CO) </w:t>
      </w:r>
      <w:r w:rsidR="00A90285" w:rsidRPr="001E4D27">
        <w:t xml:space="preserve">savings since the inception </w:t>
      </w:r>
      <w:r w:rsidR="00A90285">
        <w:t xml:space="preserve">of its </w:t>
      </w:r>
      <w:r w:rsidR="00A90285" w:rsidRPr="001E4D27">
        <w:t>EE&amp;C programs</w:t>
      </w:r>
      <w:r w:rsidR="00A90285">
        <w:t xml:space="preserve"> </w:t>
      </w:r>
      <w:r w:rsidR="00A90285" w:rsidRPr="001E4D27">
        <w:t xml:space="preserve">through </w:t>
      </w:r>
      <w:r w:rsidR="00046A62" w:rsidRPr="001E4D27">
        <w:t xml:space="preserve">the end of </w:t>
      </w:r>
      <w:r w:rsidR="00046A62">
        <w:t>Phase II.</w:t>
      </w:r>
    </w:p>
    <w:p w:rsidR="00D06AEA" w:rsidRDefault="00D06AEA" w:rsidP="000F5A29">
      <w:bookmarkStart w:id="225" w:name="_Ref472267518"/>
      <w:bookmarkStart w:id="226" w:name="_Toc472472174"/>
    </w:p>
    <w:p w:rsidR="0039002E" w:rsidRDefault="0039002E" w:rsidP="000F5A29"/>
    <w:p w:rsidR="000F5A29" w:rsidRDefault="000F5A29" w:rsidP="000F5A29"/>
    <w:p w:rsidR="0043410E" w:rsidRDefault="0043410E" w:rsidP="0043410E">
      <w:pPr>
        <w:pStyle w:val="Caption"/>
      </w:pPr>
      <w:bookmarkStart w:id="227" w:name="_Ref473729276"/>
      <w:bookmarkStart w:id="228" w:name="_Toc476913987"/>
      <w:r>
        <w:lastRenderedPageBreak/>
        <w:t xml:space="preserve">Table </w:t>
      </w:r>
      <w:fldSimple w:instr=" STYLEREF 1 \s ">
        <w:r w:rsidR="008A7824">
          <w:rPr>
            <w:noProof/>
          </w:rPr>
          <w:t>2</w:t>
        </w:r>
      </w:fldSimple>
      <w:r w:rsidR="00E6042C">
        <w:noBreakHyphen/>
      </w:r>
      <w:fldSimple w:instr=" SEQ Table \* ARABIC \s 1 ">
        <w:r w:rsidR="008A7824">
          <w:rPr>
            <w:noProof/>
          </w:rPr>
          <w:t>21</w:t>
        </w:r>
      </w:fldSimple>
      <w:bookmarkEnd w:id="225"/>
      <w:bookmarkEnd w:id="227"/>
      <w:r>
        <w:t>:  Summary of PECO</w:t>
      </w:r>
      <w:r w:rsidR="00A90285">
        <w:t>’s</w:t>
      </w:r>
      <w:r>
        <w:t xml:space="preserve"> Phase II Savings Impacts</w:t>
      </w:r>
      <w:bookmarkEnd w:id="226"/>
      <w:bookmarkEnd w:id="228"/>
    </w:p>
    <w:tbl>
      <w:tblPr>
        <w:tblW w:w="9398" w:type="dxa"/>
        <w:tblInd w:w="108" w:type="dxa"/>
        <w:tblLayout w:type="fixed"/>
        <w:tblLook w:val="04A0" w:firstRow="1" w:lastRow="0" w:firstColumn="1" w:lastColumn="0" w:noHBand="0" w:noVBand="1"/>
      </w:tblPr>
      <w:tblGrid>
        <w:gridCol w:w="2240"/>
        <w:gridCol w:w="1185"/>
        <w:gridCol w:w="1185"/>
        <w:gridCol w:w="1185"/>
        <w:gridCol w:w="1185"/>
        <w:gridCol w:w="1210"/>
        <w:gridCol w:w="1195"/>
        <w:gridCol w:w="13"/>
      </w:tblGrid>
      <w:tr w:rsidR="00A874AC" w:rsidRPr="00D34138" w:rsidTr="00592FD5">
        <w:trPr>
          <w:gridAfter w:val="1"/>
          <w:wAfter w:w="13" w:type="dxa"/>
          <w:trHeight w:val="825"/>
        </w:trPr>
        <w:tc>
          <w:tcPr>
            <w:tcW w:w="224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D34138" w:rsidRPr="00D34138" w:rsidRDefault="00D34138" w:rsidP="0063254B">
            <w:pPr>
              <w:rPr>
                <w:b/>
                <w:bCs/>
                <w:color w:val="FFFFFF"/>
                <w:sz w:val="20"/>
                <w:szCs w:val="20"/>
              </w:rPr>
            </w:pPr>
            <w:r w:rsidRPr="00D34138">
              <w:rPr>
                <w:b/>
                <w:bCs/>
                <w:color w:val="FFFFFF"/>
                <w:sz w:val="20"/>
                <w:szCs w:val="20"/>
              </w:rPr>
              <w:t>Impact</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63254B">
            <w:pPr>
              <w:jc w:val="center"/>
              <w:rPr>
                <w:b/>
                <w:bCs/>
                <w:color w:val="FFFFFF"/>
                <w:sz w:val="20"/>
                <w:szCs w:val="20"/>
              </w:rPr>
            </w:pPr>
            <w:r w:rsidRPr="00D34138">
              <w:rPr>
                <w:b/>
                <w:bCs/>
                <w:color w:val="FFFFFF"/>
                <w:sz w:val="20"/>
                <w:szCs w:val="20"/>
              </w:rPr>
              <w:t xml:space="preserve">Phase II RG Savings </w:t>
            </w:r>
            <w:r w:rsidRPr="00D34138">
              <w:rPr>
                <w:b/>
                <w:bCs/>
                <w:color w:val="FFFFFF"/>
                <w:sz w:val="20"/>
                <w:szCs w:val="20"/>
                <w:vertAlign w:val="superscript"/>
              </w:rPr>
              <w:t>[f]</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63254B">
            <w:pPr>
              <w:jc w:val="center"/>
              <w:rPr>
                <w:b/>
                <w:bCs/>
                <w:color w:val="FFFFFF"/>
                <w:sz w:val="20"/>
                <w:szCs w:val="20"/>
              </w:rPr>
            </w:pPr>
            <w:r w:rsidRPr="00D34138">
              <w:rPr>
                <w:b/>
                <w:bCs/>
                <w:color w:val="FFFFFF"/>
                <w:sz w:val="20"/>
                <w:szCs w:val="20"/>
              </w:rPr>
              <w:t xml:space="preserve">Phase II VG Savings </w:t>
            </w:r>
            <w:r w:rsidRPr="00D34138">
              <w:rPr>
                <w:b/>
                <w:bCs/>
                <w:color w:val="FFFFFF"/>
                <w:sz w:val="20"/>
                <w:szCs w:val="20"/>
                <w:vertAlign w:val="superscript"/>
              </w:rPr>
              <w:t>[h]</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63254B">
            <w:pPr>
              <w:jc w:val="center"/>
              <w:rPr>
                <w:b/>
                <w:bCs/>
                <w:color w:val="FFFFFF"/>
                <w:sz w:val="20"/>
                <w:szCs w:val="20"/>
              </w:rPr>
            </w:pPr>
            <w:r w:rsidRPr="00D34138">
              <w:rPr>
                <w:b/>
                <w:bCs/>
                <w:color w:val="FFFFFF"/>
                <w:sz w:val="20"/>
                <w:szCs w:val="20"/>
              </w:rPr>
              <w:t>Phase I CO Savings</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63254B">
            <w:pPr>
              <w:jc w:val="center"/>
              <w:rPr>
                <w:b/>
                <w:bCs/>
                <w:color w:val="FFFFFF"/>
                <w:sz w:val="20"/>
                <w:szCs w:val="20"/>
              </w:rPr>
            </w:pPr>
            <w:r w:rsidRPr="00D34138">
              <w:rPr>
                <w:b/>
                <w:bCs/>
                <w:color w:val="FFFFFF"/>
                <w:sz w:val="20"/>
                <w:szCs w:val="20"/>
              </w:rPr>
              <w:t>Phase II VG + Phase I CO Savings</w:t>
            </w:r>
          </w:p>
        </w:tc>
        <w:tc>
          <w:tcPr>
            <w:tcW w:w="1210"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63254B">
            <w:pPr>
              <w:jc w:val="center"/>
              <w:rPr>
                <w:b/>
                <w:bCs/>
                <w:color w:val="FFFFFF"/>
                <w:sz w:val="20"/>
                <w:szCs w:val="20"/>
              </w:rPr>
            </w:pPr>
            <w:r w:rsidRPr="00D34138">
              <w:rPr>
                <w:b/>
                <w:bCs/>
                <w:color w:val="FFFFFF"/>
                <w:sz w:val="20"/>
                <w:szCs w:val="20"/>
              </w:rPr>
              <w:t>May 31, 2016 Compliance Target (MWh)</w:t>
            </w:r>
          </w:p>
        </w:tc>
        <w:tc>
          <w:tcPr>
            <w:tcW w:w="119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63254B">
            <w:pPr>
              <w:jc w:val="center"/>
              <w:rPr>
                <w:b/>
                <w:bCs/>
                <w:color w:val="FFFFFF"/>
                <w:sz w:val="20"/>
                <w:szCs w:val="20"/>
              </w:rPr>
            </w:pPr>
            <w:r w:rsidRPr="00D34138">
              <w:rPr>
                <w:b/>
                <w:bCs/>
                <w:color w:val="FFFFFF"/>
                <w:sz w:val="20"/>
                <w:szCs w:val="20"/>
              </w:rPr>
              <w:t xml:space="preserve">Savings Achieved as % of 2016 Targets </w:t>
            </w:r>
            <w:r w:rsidRPr="00D34138">
              <w:rPr>
                <w:b/>
                <w:bCs/>
                <w:color w:val="FFFFFF"/>
                <w:sz w:val="20"/>
                <w:szCs w:val="20"/>
                <w:vertAlign w:val="superscript"/>
              </w:rPr>
              <w:t>[i]</w:t>
            </w:r>
          </w:p>
        </w:tc>
      </w:tr>
      <w:tr w:rsidR="00A874AC" w:rsidRPr="00D34138" w:rsidTr="00592FD5">
        <w:trPr>
          <w:gridAfter w:val="1"/>
          <w:wAfter w:w="13" w:type="dxa"/>
          <w:trHeight w:val="488"/>
        </w:trPr>
        <w:tc>
          <w:tcPr>
            <w:tcW w:w="224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D34138" w:rsidRDefault="00D34138" w:rsidP="00D34138">
            <w:pPr>
              <w:jc w:val="left"/>
              <w:rPr>
                <w:color w:val="000000"/>
                <w:sz w:val="20"/>
                <w:szCs w:val="20"/>
              </w:rPr>
            </w:pPr>
            <w:r w:rsidRPr="00D34138">
              <w:rPr>
                <w:color w:val="000000"/>
                <w:sz w:val="20"/>
                <w:szCs w:val="20"/>
              </w:rPr>
              <w:t>Total Energy Savings (MWh/yr)</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1,001,723</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1,090,505</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242,793</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1,333,298</w:t>
            </w:r>
          </w:p>
        </w:tc>
        <w:tc>
          <w:tcPr>
            <w:tcW w:w="1210" w:type="dxa"/>
            <w:tcBorders>
              <w:top w:val="nil"/>
              <w:left w:val="nil"/>
              <w:bottom w:val="single" w:sz="8" w:space="0" w:color="448A99"/>
              <w:right w:val="single" w:sz="8" w:space="0" w:color="448A99"/>
            </w:tcBorders>
            <w:shd w:val="clear" w:color="000000" w:fill="D2EAF1"/>
            <w:vAlign w:val="center"/>
            <w:hideMark/>
          </w:tcPr>
          <w:p w:rsidR="00D34138" w:rsidRPr="00D34138" w:rsidRDefault="00622397" w:rsidP="00D34138">
            <w:pPr>
              <w:jc w:val="center"/>
              <w:rPr>
                <w:sz w:val="20"/>
                <w:szCs w:val="20"/>
              </w:rPr>
            </w:pPr>
            <w:r w:rsidRPr="00D34138">
              <w:rPr>
                <w:sz w:val="20"/>
                <w:szCs w:val="20"/>
              </w:rPr>
              <w:t>1,125,851</w:t>
            </w:r>
          </w:p>
        </w:tc>
        <w:tc>
          <w:tcPr>
            <w:tcW w:w="119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622397">
            <w:pPr>
              <w:jc w:val="center"/>
              <w:rPr>
                <w:sz w:val="20"/>
                <w:szCs w:val="20"/>
              </w:rPr>
            </w:pPr>
            <w:r w:rsidRPr="00D34138">
              <w:rPr>
                <w:sz w:val="20"/>
                <w:szCs w:val="20"/>
              </w:rPr>
              <w:t>1</w:t>
            </w:r>
            <w:r w:rsidR="00622397">
              <w:rPr>
                <w:sz w:val="20"/>
                <w:szCs w:val="20"/>
              </w:rPr>
              <w:t>18</w:t>
            </w:r>
            <w:r w:rsidRPr="00D34138">
              <w:rPr>
                <w:sz w:val="20"/>
                <w:szCs w:val="20"/>
              </w:rPr>
              <w:t>%</w:t>
            </w:r>
          </w:p>
        </w:tc>
      </w:tr>
      <w:tr w:rsidR="00E7173E" w:rsidRPr="00D34138" w:rsidTr="00592FD5">
        <w:trPr>
          <w:gridAfter w:val="1"/>
          <w:wAfter w:w="13" w:type="dxa"/>
          <w:trHeight w:val="488"/>
        </w:trPr>
        <w:tc>
          <w:tcPr>
            <w:tcW w:w="2240" w:type="dxa"/>
            <w:tcBorders>
              <w:top w:val="nil"/>
              <w:left w:val="single" w:sz="8" w:space="0" w:color="448A99"/>
              <w:bottom w:val="single" w:sz="8" w:space="0" w:color="448A99"/>
              <w:right w:val="single" w:sz="8" w:space="0" w:color="448A99"/>
            </w:tcBorders>
            <w:shd w:val="clear" w:color="auto" w:fill="auto"/>
            <w:vAlign w:val="center"/>
            <w:hideMark/>
          </w:tcPr>
          <w:p w:rsidR="00D34138" w:rsidRPr="00D34138" w:rsidRDefault="00D34138" w:rsidP="00D34138">
            <w:pPr>
              <w:jc w:val="left"/>
              <w:rPr>
                <w:color w:val="000000"/>
                <w:sz w:val="20"/>
                <w:szCs w:val="20"/>
              </w:rPr>
            </w:pPr>
            <w:r w:rsidRPr="00D34138">
              <w:rPr>
                <w:color w:val="000000"/>
                <w:sz w:val="20"/>
                <w:szCs w:val="20"/>
              </w:rPr>
              <w:t>Total Demand Reduction (MW)</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204.1</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224.800</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224.800</w:t>
            </w:r>
          </w:p>
        </w:tc>
        <w:tc>
          <w:tcPr>
            <w:tcW w:w="121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19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r>
      <w:tr w:rsidR="00A874AC" w:rsidRPr="00D34138" w:rsidTr="00592FD5">
        <w:trPr>
          <w:gridAfter w:val="1"/>
          <w:wAfter w:w="13" w:type="dxa"/>
          <w:trHeight w:val="488"/>
        </w:trPr>
        <w:tc>
          <w:tcPr>
            <w:tcW w:w="224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D34138" w:rsidRDefault="00D34138" w:rsidP="00D34138">
            <w:pPr>
              <w:jc w:val="left"/>
              <w:rPr>
                <w:color w:val="000000"/>
                <w:sz w:val="20"/>
                <w:szCs w:val="20"/>
              </w:rPr>
            </w:pPr>
            <w:r w:rsidRPr="00D34138">
              <w:rPr>
                <w:color w:val="000000"/>
                <w:sz w:val="20"/>
                <w:szCs w:val="20"/>
              </w:rPr>
              <w:t xml:space="preserve">TRC Benefits ($1,000) </w:t>
            </w:r>
            <w:r w:rsidRPr="00D34138">
              <w:rPr>
                <w:color w:val="000000"/>
                <w:sz w:val="20"/>
                <w:szCs w:val="20"/>
                <w:vertAlign w:val="superscript"/>
              </w:rPr>
              <w:t>[a]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 xml:space="preserve">N/A </w:t>
            </w:r>
            <w:r w:rsidRPr="00D34138">
              <w:rPr>
                <w:sz w:val="20"/>
                <w:szCs w:val="20"/>
                <w:vertAlign w:val="superscript"/>
              </w:rPr>
              <w:t>[g]</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$906,714</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$906,714</w:t>
            </w:r>
          </w:p>
        </w:tc>
        <w:tc>
          <w:tcPr>
            <w:tcW w:w="121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c>
          <w:tcPr>
            <w:tcW w:w="119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r>
      <w:tr w:rsidR="00E7173E" w:rsidRPr="00D34138" w:rsidTr="00592FD5">
        <w:trPr>
          <w:gridAfter w:val="1"/>
          <w:wAfter w:w="13" w:type="dxa"/>
          <w:trHeight w:val="488"/>
        </w:trPr>
        <w:tc>
          <w:tcPr>
            <w:tcW w:w="2240" w:type="dxa"/>
            <w:tcBorders>
              <w:top w:val="nil"/>
              <w:left w:val="single" w:sz="8" w:space="0" w:color="448A99"/>
              <w:bottom w:val="single" w:sz="8" w:space="0" w:color="448A99"/>
              <w:right w:val="single" w:sz="8" w:space="0" w:color="448A99"/>
            </w:tcBorders>
            <w:shd w:val="clear" w:color="auto" w:fill="auto"/>
            <w:vAlign w:val="center"/>
            <w:hideMark/>
          </w:tcPr>
          <w:p w:rsidR="00D34138" w:rsidRPr="00D34138" w:rsidRDefault="00D34138" w:rsidP="00D34138">
            <w:pPr>
              <w:jc w:val="left"/>
              <w:rPr>
                <w:color w:val="000000"/>
                <w:sz w:val="20"/>
                <w:szCs w:val="20"/>
              </w:rPr>
            </w:pPr>
            <w:r w:rsidRPr="00D34138">
              <w:rPr>
                <w:color w:val="000000"/>
                <w:sz w:val="20"/>
                <w:szCs w:val="20"/>
              </w:rPr>
              <w:t xml:space="preserve">TRC Costs ($1,000) </w:t>
            </w:r>
            <w:r w:rsidRPr="00D34138">
              <w:rPr>
                <w:color w:val="000000"/>
                <w:sz w:val="20"/>
                <w:szCs w:val="20"/>
                <w:vertAlign w:val="superscript"/>
              </w:rPr>
              <w:t>[b]</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 xml:space="preserve">N/A </w:t>
            </w:r>
            <w:r w:rsidRPr="00D34138">
              <w:rPr>
                <w:sz w:val="20"/>
                <w:szCs w:val="20"/>
                <w:vertAlign w:val="superscript"/>
              </w:rPr>
              <w:t>[g]</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$516,392</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$516,392</w:t>
            </w:r>
          </w:p>
        </w:tc>
        <w:tc>
          <w:tcPr>
            <w:tcW w:w="121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19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r>
      <w:tr w:rsidR="00A874AC" w:rsidRPr="00D34138" w:rsidTr="00592FD5">
        <w:trPr>
          <w:gridAfter w:val="1"/>
          <w:wAfter w:w="13" w:type="dxa"/>
          <w:trHeight w:val="488"/>
        </w:trPr>
        <w:tc>
          <w:tcPr>
            <w:tcW w:w="224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D34138" w:rsidRDefault="00D34138" w:rsidP="00A90285">
            <w:pPr>
              <w:jc w:val="left"/>
              <w:rPr>
                <w:color w:val="000000"/>
                <w:sz w:val="20"/>
                <w:szCs w:val="20"/>
              </w:rPr>
            </w:pPr>
            <w:r w:rsidRPr="00D34138">
              <w:rPr>
                <w:color w:val="000000"/>
                <w:sz w:val="20"/>
                <w:szCs w:val="20"/>
              </w:rPr>
              <w:t xml:space="preserve">TRC </w:t>
            </w:r>
            <w:r w:rsidR="00A90285">
              <w:rPr>
                <w:color w:val="000000"/>
                <w:sz w:val="20"/>
                <w:szCs w:val="20"/>
              </w:rPr>
              <w:t>B/C</w:t>
            </w:r>
            <w:r w:rsidRPr="00D34138">
              <w:rPr>
                <w:color w:val="000000"/>
                <w:sz w:val="20"/>
                <w:szCs w:val="20"/>
              </w:rPr>
              <w:t xml:space="preserve"> Ratio </w:t>
            </w:r>
            <w:r w:rsidRPr="00D34138">
              <w:rPr>
                <w:color w:val="000000"/>
                <w:sz w:val="20"/>
                <w:szCs w:val="20"/>
                <w:vertAlign w:val="superscript"/>
              </w:rPr>
              <w:t>[c]</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 xml:space="preserve">N/A </w:t>
            </w:r>
            <w:r w:rsidRPr="00D34138">
              <w:rPr>
                <w:sz w:val="20"/>
                <w:szCs w:val="20"/>
                <w:vertAlign w:val="superscript"/>
              </w:rPr>
              <w:t>[g]</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1.76</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1.76</w:t>
            </w:r>
          </w:p>
        </w:tc>
        <w:tc>
          <w:tcPr>
            <w:tcW w:w="1210"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c>
          <w:tcPr>
            <w:tcW w:w="119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r>
      <w:tr w:rsidR="00E7173E" w:rsidRPr="00D34138" w:rsidTr="00592FD5">
        <w:trPr>
          <w:gridAfter w:val="1"/>
          <w:wAfter w:w="13" w:type="dxa"/>
          <w:trHeight w:val="489"/>
        </w:trPr>
        <w:tc>
          <w:tcPr>
            <w:tcW w:w="2240" w:type="dxa"/>
            <w:tcBorders>
              <w:top w:val="nil"/>
              <w:left w:val="single" w:sz="8" w:space="0" w:color="448A99"/>
              <w:bottom w:val="single" w:sz="8" w:space="0" w:color="448A99"/>
              <w:right w:val="single" w:sz="8" w:space="0" w:color="448A99"/>
            </w:tcBorders>
            <w:shd w:val="clear" w:color="auto" w:fill="auto"/>
            <w:vAlign w:val="center"/>
            <w:hideMark/>
          </w:tcPr>
          <w:p w:rsidR="00D34138" w:rsidRPr="00D34138" w:rsidRDefault="00D34138" w:rsidP="00D34138">
            <w:pPr>
              <w:jc w:val="left"/>
              <w:rPr>
                <w:color w:val="000000"/>
                <w:sz w:val="20"/>
                <w:szCs w:val="20"/>
              </w:rPr>
            </w:pPr>
            <w:r w:rsidRPr="00D34138">
              <w:rPr>
                <w:color w:val="000000"/>
                <w:sz w:val="20"/>
                <w:szCs w:val="20"/>
              </w:rPr>
              <w:t>CO</w:t>
            </w:r>
            <w:r w:rsidRPr="00D34138">
              <w:rPr>
                <w:color w:val="000000"/>
                <w:sz w:val="20"/>
                <w:szCs w:val="20"/>
                <w:vertAlign w:val="subscript"/>
              </w:rPr>
              <w:t>2</w:t>
            </w:r>
            <w:r w:rsidRPr="00D34138">
              <w:rPr>
                <w:color w:val="000000"/>
                <w:sz w:val="20"/>
                <w:szCs w:val="20"/>
              </w:rPr>
              <w:t xml:space="preserve"> Emissions Reduction (Tons) </w:t>
            </w:r>
            <w:r w:rsidRPr="00D34138">
              <w:rPr>
                <w:color w:val="000000"/>
                <w:sz w:val="20"/>
                <w:szCs w:val="20"/>
                <w:vertAlign w:val="superscript"/>
              </w:rPr>
              <w:t>[d][e]</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771,828</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840,234</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187,072</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1,027,306</w:t>
            </w:r>
          </w:p>
        </w:tc>
        <w:tc>
          <w:tcPr>
            <w:tcW w:w="1210"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19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r>
      <w:tr w:rsidR="00D34138" w:rsidRPr="00F3562D" w:rsidTr="00592FD5">
        <w:trPr>
          <w:trHeight w:val="2995"/>
        </w:trPr>
        <w:tc>
          <w:tcPr>
            <w:tcW w:w="9398" w:type="dxa"/>
            <w:gridSpan w:val="8"/>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D34138" w:rsidRPr="00F3562D" w:rsidRDefault="00D34138" w:rsidP="00D34138">
            <w:pPr>
              <w:jc w:val="left"/>
              <w:rPr>
                <w:color w:val="FFFFFF"/>
                <w:sz w:val="18"/>
                <w:szCs w:val="20"/>
              </w:rPr>
            </w:pPr>
            <w:r w:rsidRPr="00F3562D">
              <w:rPr>
                <w:color w:val="FFFFFF"/>
                <w:sz w:val="18"/>
                <w:szCs w:val="20"/>
              </w:rPr>
              <w:t xml:space="preserve">NOTES: </w:t>
            </w:r>
            <w:r w:rsidRPr="00F3562D">
              <w:rPr>
                <w:color w:val="FFFFFF"/>
                <w:sz w:val="18"/>
                <w:szCs w:val="20"/>
              </w:rPr>
              <w:br/>
              <w:t>[a] Avoided supply costs, including the reduction in costs of electric energy, generation, transmission, and distribution capacity. Subject to TRC Order.</w:t>
            </w:r>
            <w:r w:rsidRPr="00F3562D">
              <w:rPr>
                <w:color w:val="FFFFFF"/>
                <w:sz w:val="18"/>
                <w:szCs w:val="20"/>
              </w:rPr>
              <w:br/>
              <w:t>[b] Costs paid by the program administrator and participants plus the increase in supply costs for any period when load is increased.  Subject to TRC Order.</w:t>
            </w:r>
            <w:r w:rsidRPr="00F3562D">
              <w:rPr>
                <w:color w:val="FFFFFF"/>
                <w:sz w:val="18"/>
                <w:szCs w:val="20"/>
              </w:rPr>
              <w:br/>
              <w:t>[c] Subject to the Commission’s August 31, 2012 TRC Order.</w:t>
            </w:r>
            <w:r w:rsidRPr="00F3562D">
              <w:rPr>
                <w:color w:val="FFFFFF"/>
                <w:sz w:val="18"/>
                <w:szCs w:val="20"/>
              </w:rPr>
              <w:br/>
              <w:t>[d] CO</w:t>
            </w:r>
            <w:r w:rsidRPr="00F3562D">
              <w:rPr>
                <w:color w:val="FFFFFF"/>
                <w:sz w:val="18"/>
                <w:szCs w:val="20"/>
                <w:vertAlign w:val="subscript"/>
              </w:rPr>
              <w:t>2</w:t>
            </w:r>
            <w:r w:rsidRPr="00F3562D">
              <w:rPr>
                <w:color w:val="FFFFFF"/>
                <w:sz w:val="18"/>
                <w:szCs w:val="20"/>
              </w:rPr>
              <w:t xml:space="preserve"> conversion based on 1,541 lbs CO</w:t>
            </w:r>
            <w:r w:rsidRPr="00F3562D">
              <w:rPr>
                <w:color w:val="FFFFFF"/>
                <w:sz w:val="18"/>
                <w:szCs w:val="20"/>
                <w:vertAlign w:val="subscript"/>
              </w:rPr>
              <w:t>2</w:t>
            </w:r>
            <w:r w:rsidRPr="00F3562D">
              <w:rPr>
                <w:color w:val="FFFFFF"/>
                <w:sz w:val="18"/>
                <w:szCs w:val="20"/>
              </w:rPr>
              <w:t xml:space="preserve"> per MWh according to the latest available (2015) PJM Emission Report of marginal off-peak annual CO</w:t>
            </w:r>
            <w:r w:rsidRPr="00F3562D">
              <w:rPr>
                <w:color w:val="FFFFFF"/>
                <w:sz w:val="18"/>
                <w:szCs w:val="20"/>
                <w:vertAlign w:val="subscript"/>
              </w:rPr>
              <w:t>2</w:t>
            </w:r>
            <w:r w:rsidRPr="00F3562D">
              <w:rPr>
                <w:color w:val="FFFFFF"/>
                <w:sz w:val="18"/>
                <w:szCs w:val="20"/>
              </w:rPr>
              <w:t xml:space="preserve"> emission rate.</w:t>
            </w:r>
            <w:r w:rsidRPr="00F3562D">
              <w:rPr>
                <w:color w:val="FFFFFF"/>
                <w:sz w:val="18"/>
                <w:szCs w:val="20"/>
              </w:rPr>
              <w:br/>
              <w:t>[e] CO</w:t>
            </w:r>
            <w:r w:rsidRPr="00F3562D">
              <w:rPr>
                <w:color w:val="FFFFFF"/>
                <w:sz w:val="18"/>
                <w:szCs w:val="20"/>
                <w:vertAlign w:val="subscript"/>
              </w:rPr>
              <w:t>2</w:t>
            </w:r>
            <w:r w:rsidRPr="00F3562D">
              <w:rPr>
                <w:color w:val="FFFFFF"/>
                <w:sz w:val="18"/>
                <w:szCs w:val="20"/>
              </w:rPr>
              <w:t xml:space="preserve"> emissions are reported due to Stakeholder interest in this information and to recognize that reporting this information is recommended by the National Action Plan for Energy Efficiency.</w:t>
            </w:r>
            <w:r w:rsidRPr="00F3562D">
              <w:rPr>
                <w:color w:val="FFFFFF"/>
                <w:sz w:val="18"/>
                <w:szCs w:val="20"/>
              </w:rPr>
              <w:br/>
              <w:t>[f] Phase II Reported Gross Impact is the cumulative program/portfolio Phase II Inception to Date Reported Gross Savings.</w:t>
            </w:r>
            <w:r w:rsidRPr="00F3562D">
              <w:rPr>
                <w:color w:val="FFFFFF"/>
                <w:sz w:val="18"/>
                <w:szCs w:val="20"/>
              </w:rPr>
              <w:br/>
              <w:t>[g] TRC Benefits and Costs are calculated only for verified savings, which reflect actual program results.</w:t>
            </w:r>
            <w:r w:rsidRPr="00F3562D">
              <w:rPr>
                <w:color w:val="FFFFFF"/>
                <w:sz w:val="18"/>
                <w:szCs w:val="20"/>
              </w:rPr>
              <w:br/>
              <w:t>[h] Phase II Verified Impact is the cumulative program/portfolio Phase II Inception to Date Verified Gross Savings.</w:t>
            </w:r>
            <w:r w:rsidRPr="00F3562D">
              <w:rPr>
                <w:color w:val="FFFFFF"/>
                <w:sz w:val="18"/>
                <w:szCs w:val="20"/>
              </w:rPr>
              <w:br/>
              <w:t>[i] Savings achieved based on Phase II Inception-to-Date Verified Gross Savings.</w:t>
            </w:r>
          </w:p>
        </w:tc>
      </w:tr>
    </w:tbl>
    <w:p w:rsidR="0043410E" w:rsidRDefault="0043410E" w:rsidP="0043410E"/>
    <w:p w:rsidR="00A806A3" w:rsidRDefault="00B36014" w:rsidP="00A806A3">
      <w:r>
        <w:t>PECO</w:t>
      </w:r>
      <w:r w:rsidR="00A806A3">
        <w:t xml:space="preserve"> </w:t>
      </w:r>
      <w:r w:rsidR="00A806A3" w:rsidRPr="00A806A3">
        <w:t>achieved 1</w:t>
      </w:r>
      <w:r w:rsidR="0062539D">
        <w:t>18</w:t>
      </w:r>
      <w:r w:rsidR="00A806A3" w:rsidRPr="00A806A3">
        <w:t>% of</w:t>
      </w:r>
      <w:r w:rsidR="00A806A3">
        <w:t xml:space="preserve"> its Act 129 Phase II energy savings target through the end of PY7. The TRC ratio </w:t>
      </w:r>
      <w:r w:rsidR="00A806A3" w:rsidRPr="00A806A3">
        <w:t xml:space="preserve">of </w:t>
      </w:r>
      <w:r>
        <w:t>PECO</w:t>
      </w:r>
      <w:r w:rsidR="00A806A3" w:rsidRPr="00A806A3">
        <w:t>’s programs was 1.</w:t>
      </w:r>
      <w:r>
        <w:t>76</w:t>
      </w:r>
      <w:r w:rsidR="00A806A3" w:rsidRPr="00A806A3">
        <w:t>, which indicates that its portfolio of EE&amp;C programs is cost-effective on an aggregated basis</w:t>
      </w:r>
      <w:r w:rsidR="00A806A3">
        <w:t>.</w:t>
      </w:r>
    </w:p>
    <w:p w:rsidR="00D06AEA" w:rsidRDefault="00D06AEA" w:rsidP="00A806A3"/>
    <w:p w:rsidR="00A806A3" w:rsidRDefault="00D06AEA" w:rsidP="00A806A3">
      <w:r>
        <w:fldChar w:fldCharType="begin"/>
      </w:r>
      <w:r>
        <w:instrText xml:space="preserve"> REF _Ref473708143 \h </w:instrText>
      </w:r>
      <w:r>
        <w:fldChar w:fldCharType="separate"/>
      </w:r>
      <w:r w:rsidR="00C301D0">
        <w:t xml:space="preserve">Figure </w:t>
      </w:r>
      <w:r w:rsidR="00C301D0">
        <w:rPr>
          <w:noProof/>
        </w:rPr>
        <w:t>2</w:t>
      </w:r>
      <w:r w:rsidR="00C301D0">
        <w:noBreakHyphen/>
      </w:r>
      <w:r w:rsidR="00C301D0">
        <w:rPr>
          <w:noProof/>
        </w:rPr>
        <w:t>22</w:t>
      </w:r>
      <w:r>
        <w:fldChar w:fldCharType="end"/>
      </w:r>
      <w:r>
        <w:t xml:space="preserve"> </w:t>
      </w:r>
      <w:r w:rsidR="00A806A3">
        <w:t xml:space="preserve">shows the verified gross savings after each program year during Phase </w:t>
      </w:r>
      <w:r w:rsidR="00A90285">
        <w:t>II. The data in this figure do</w:t>
      </w:r>
      <w:r w:rsidR="00A806A3">
        <w:t xml:space="preserve"> not include carryover savings from Phase I. The </w:t>
      </w:r>
      <w:r w:rsidR="008B594A">
        <w:t>C/I</w:t>
      </w:r>
      <w:r w:rsidR="00A806A3">
        <w:t xml:space="preserve"> sector accounted for the highest savings for </w:t>
      </w:r>
      <w:r w:rsidR="00B36014">
        <w:t>PECO</w:t>
      </w:r>
      <w:r w:rsidR="00A806A3">
        <w:t xml:space="preserve"> during Phase II.</w:t>
      </w:r>
    </w:p>
    <w:p w:rsidR="00A806A3" w:rsidRDefault="00A806A3" w:rsidP="00A806A3"/>
    <w:p w:rsidR="0039002E" w:rsidRDefault="0039002E" w:rsidP="00A806A3"/>
    <w:p w:rsidR="00956A49" w:rsidRDefault="00956A49" w:rsidP="00A806A3"/>
    <w:p w:rsidR="00956A49" w:rsidRDefault="00956A49" w:rsidP="00A806A3"/>
    <w:p w:rsidR="00956A49" w:rsidRDefault="00956A49" w:rsidP="00A806A3"/>
    <w:p w:rsidR="00956A49" w:rsidRDefault="00956A49" w:rsidP="00A806A3"/>
    <w:p w:rsidR="00956A49" w:rsidRDefault="00956A49" w:rsidP="00A806A3"/>
    <w:p w:rsidR="00956A49" w:rsidRDefault="00956A49" w:rsidP="00A806A3"/>
    <w:p w:rsidR="00956A49" w:rsidRDefault="00956A49" w:rsidP="00A806A3"/>
    <w:p w:rsidR="00956A49" w:rsidRDefault="00956A49" w:rsidP="00A806A3"/>
    <w:p w:rsidR="00956A49" w:rsidRDefault="00956A49" w:rsidP="00A806A3"/>
    <w:p w:rsidR="00A806A3" w:rsidRPr="0043410E" w:rsidRDefault="004F1B4F" w:rsidP="004F1B4F">
      <w:pPr>
        <w:pStyle w:val="Caption"/>
      </w:pPr>
      <w:bookmarkStart w:id="229" w:name="_Ref472409747"/>
      <w:bookmarkStart w:id="230" w:name="_Ref473708143"/>
      <w:bookmarkStart w:id="231" w:name="_Toc472472229"/>
      <w:bookmarkStart w:id="232" w:name="_Toc476914043"/>
      <w:r>
        <w:lastRenderedPageBreak/>
        <w:t xml:space="preserve">Figure </w:t>
      </w:r>
      <w:fldSimple w:instr=" STYLEREF 1 \s ">
        <w:r w:rsidR="00C301D0">
          <w:rPr>
            <w:noProof/>
          </w:rPr>
          <w:t>2</w:t>
        </w:r>
      </w:fldSimple>
      <w:r w:rsidR="00DA1ADA">
        <w:noBreakHyphen/>
      </w:r>
      <w:fldSimple w:instr=" SEQ Figure \* ARABIC \s 1 ">
        <w:r w:rsidR="00C301D0">
          <w:rPr>
            <w:noProof/>
          </w:rPr>
          <w:t>22</w:t>
        </w:r>
      </w:fldSimple>
      <w:bookmarkEnd w:id="229"/>
      <w:bookmarkEnd w:id="230"/>
      <w:r>
        <w:t xml:space="preserve">: </w:t>
      </w:r>
      <w:r w:rsidR="00B36014">
        <w:t>PECO</w:t>
      </w:r>
      <w:r w:rsidR="00A806A3" w:rsidRPr="001928C8">
        <w:t xml:space="preserve"> Phase</w:t>
      </w:r>
      <w:r w:rsidR="00A806A3">
        <w:t xml:space="preserve"> I</w:t>
      </w:r>
      <w:r w:rsidR="00A806A3" w:rsidRPr="001928C8">
        <w:t xml:space="preserve">I </w:t>
      </w:r>
      <w:r w:rsidR="002E319D">
        <w:t xml:space="preserve">Cumulative </w:t>
      </w:r>
      <w:r w:rsidR="00A806A3">
        <w:t>V</w:t>
      </w:r>
      <w:r w:rsidR="00A806A3" w:rsidRPr="001928C8">
        <w:t>erified</w:t>
      </w:r>
      <w:r w:rsidR="00A90285">
        <w:t xml:space="preserve"> Gross</w:t>
      </w:r>
      <w:r w:rsidR="00A806A3" w:rsidRPr="001928C8">
        <w:t xml:space="preserve"> Savings by Program Year and Sector</w:t>
      </w:r>
      <w:bookmarkEnd w:id="231"/>
      <w:bookmarkEnd w:id="232"/>
    </w:p>
    <w:p w:rsidR="0043410E" w:rsidRDefault="00105F3B" w:rsidP="0043410E">
      <w:r>
        <w:rPr>
          <w:noProof/>
        </w:rPr>
        <w:drawing>
          <wp:inline distT="0" distB="0" distL="0" distR="0" wp14:anchorId="257C99F6" wp14:editId="382B2E29">
            <wp:extent cx="5745136" cy="3085107"/>
            <wp:effectExtent l="0" t="0" r="8255" b="12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363" cy="3093284"/>
                    </a:xfrm>
                    <a:prstGeom prst="rect">
                      <a:avLst/>
                    </a:prstGeom>
                    <a:noFill/>
                  </pic:spPr>
                </pic:pic>
              </a:graphicData>
            </a:graphic>
          </wp:inline>
        </w:drawing>
      </w:r>
    </w:p>
    <w:p w:rsidR="00D06AEA" w:rsidRDefault="00D06AEA" w:rsidP="00D06AEA"/>
    <w:p w:rsidR="00910A97" w:rsidRDefault="00910A97" w:rsidP="00D06AEA"/>
    <w:p w:rsidR="00DD6B4C" w:rsidRDefault="00702765" w:rsidP="00DD6B4C">
      <w:pPr>
        <w:pStyle w:val="Heading3"/>
      </w:pPr>
      <w:bookmarkStart w:id="233" w:name="_Toc476913914"/>
      <w:r>
        <w:t>PPL</w:t>
      </w:r>
      <w:bookmarkEnd w:id="233"/>
    </w:p>
    <w:p w:rsidR="0043410E" w:rsidRDefault="00F3562D" w:rsidP="0043410E">
      <w:r>
        <w:fldChar w:fldCharType="begin"/>
      </w:r>
      <w:r>
        <w:instrText xml:space="preserve"> REF _Ref473729299 \h </w:instrText>
      </w:r>
      <w:r>
        <w:fldChar w:fldCharType="separate"/>
      </w:r>
      <w:r w:rsidR="008A7824">
        <w:t xml:space="preserve">Table </w:t>
      </w:r>
      <w:r w:rsidR="008A7824">
        <w:rPr>
          <w:noProof/>
        </w:rPr>
        <w:t>2</w:t>
      </w:r>
      <w:r w:rsidR="008A7824">
        <w:noBreakHyphen/>
      </w:r>
      <w:r w:rsidR="008A7824">
        <w:rPr>
          <w:noProof/>
        </w:rPr>
        <w:t>22</w:t>
      </w:r>
      <w:r>
        <w:fldChar w:fldCharType="end"/>
      </w:r>
      <w:r>
        <w:t xml:space="preserve"> </w:t>
      </w:r>
      <w:r w:rsidR="00046A62" w:rsidRPr="001E4D27">
        <w:t xml:space="preserve">provides an overview of </w:t>
      </w:r>
      <w:r w:rsidR="00046A62">
        <w:t xml:space="preserve">PPL’s cumulative </w:t>
      </w:r>
      <w:r w:rsidR="00A90285">
        <w:t xml:space="preserve">reported gross (RG) </w:t>
      </w:r>
      <w:r w:rsidR="00A90285" w:rsidRPr="001E4D27">
        <w:t xml:space="preserve">and verified gross </w:t>
      </w:r>
      <w:r w:rsidR="00A90285">
        <w:t xml:space="preserve">(VG) savings impacts, and carryover (CO) </w:t>
      </w:r>
      <w:r w:rsidR="00A90285" w:rsidRPr="001E4D27">
        <w:t>savings since the inception</w:t>
      </w:r>
      <w:r w:rsidR="00A90285">
        <w:t xml:space="preserve"> of its </w:t>
      </w:r>
      <w:r w:rsidR="00A90285" w:rsidRPr="001E4D27">
        <w:t xml:space="preserve">EE&amp;C programs through the end of </w:t>
      </w:r>
      <w:r w:rsidR="00A90285">
        <w:t>Phase II</w:t>
      </w:r>
      <w:r w:rsidR="00046A62">
        <w:t>.</w:t>
      </w:r>
    </w:p>
    <w:p w:rsidR="00D06AEA" w:rsidRPr="000F5A29" w:rsidRDefault="00D06AEA" w:rsidP="000F5A29">
      <w:bookmarkStart w:id="234" w:name="_Ref472267525"/>
      <w:bookmarkStart w:id="235" w:name="_Toc472472175"/>
    </w:p>
    <w:p w:rsidR="0043410E" w:rsidRDefault="0043410E" w:rsidP="0043410E">
      <w:pPr>
        <w:pStyle w:val="Caption"/>
      </w:pPr>
      <w:bookmarkStart w:id="236" w:name="_Ref473729299"/>
      <w:bookmarkStart w:id="237" w:name="_Toc476913988"/>
      <w:r>
        <w:t xml:space="preserve">Table </w:t>
      </w:r>
      <w:fldSimple w:instr=" STYLEREF 1 \s ">
        <w:r w:rsidR="008A7824">
          <w:rPr>
            <w:noProof/>
          </w:rPr>
          <w:t>2</w:t>
        </w:r>
      </w:fldSimple>
      <w:r w:rsidR="00E6042C">
        <w:noBreakHyphen/>
      </w:r>
      <w:fldSimple w:instr=" SEQ Table \* ARABIC \s 1 ">
        <w:r w:rsidR="008A7824">
          <w:rPr>
            <w:noProof/>
          </w:rPr>
          <w:t>22</w:t>
        </w:r>
      </w:fldSimple>
      <w:bookmarkEnd w:id="234"/>
      <w:bookmarkEnd w:id="236"/>
      <w:r>
        <w:t>: Summary of PPL’s Phase II Savings Impacts</w:t>
      </w:r>
      <w:bookmarkEnd w:id="235"/>
      <w:bookmarkEnd w:id="237"/>
    </w:p>
    <w:tbl>
      <w:tblPr>
        <w:tblW w:w="9403" w:type="dxa"/>
        <w:tblLayout w:type="fixed"/>
        <w:tblLook w:val="04A0" w:firstRow="1" w:lastRow="0" w:firstColumn="1" w:lastColumn="0" w:noHBand="0" w:noVBand="1"/>
      </w:tblPr>
      <w:tblGrid>
        <w:gridCol w:w="2240"/>
        <w:gridCol w:w="1185"/>
        <w:gridCol w:w="1185"/>
        <w:gridCol w:w="1185"/>
        <w:gridCol w:w="1185"/>
        <w:gridCol w:w="1228"/>
        <w:gridCol w:w="1185"/>
        <w:gridCol w:w="10"/>
      </w:tblGrid>
      <w:tr w:rsidR="00A874AC" w:rsidRPr="00D34138" w:rsidTr="00592FD5">
        <w:trPr>
          <w:gridAfter w:val="1"/>
          <w:wAfter w:w="10" w:type="dxa"/>
          <w:trHeight w:val="825"/>
        </w:trPr>
        <w:tc>
          <w:tcPr>
            <w:tcW w:w="224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D34138" w:rsidRPr="00D34138" w:rsidRDefault="00D34138" w:rsidP="0063254B">
            <w:pPr>
              <w:rPr>
                <w:b/>
                <w:bCs/>
                <w:color w:val="FFFFFF"/>
                <w:sz w:val="20"/>
                <w:szCs w:val="20"/>
              </w:rPr>
            </w:pPr>
            <w:r w:rsidRPr="00D34138">
              <w:rPr>
                <w:b/>
                <w:bCs/>
                <w:color w:val="FFFFFF"/>
                <w:sz w:val="20"/>
                <w:szCs w:val="20"/>
              </w:rPr>
              <w:t>Impact</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63254B">
            <w:pPr>
              <w:jc w:val="center"/>
              <w:rPr>
                <w:b/>
                <w:bCs/>
                <w:color w:val="FFFFFF"/>
                <w:sz w:val="20"/>
                <w:szCs w:val="20"/>
              </w:rPr>
            </w:pPr>
            <w:r w:rsidRPr="00D34138">
              <w:rPr>
                <w:b/>
                <w:bCs/>
                <w:color w:val="FFFFFF"/>
                <w:sz w:val="20"/>
                <w:szCs w:val="20"/>
              </w:rPr>
              <w:t xml:space="preserve">Phase II RG Savings </w:t>
            </w:r>
            <w:r w:rsidRPr="00D34138">
              <w:rPr>
                <w:b/>
                <w:bCs/>
                <w:color w:val="FFFFFF"/>
                <w:sz w:val="20"/>
                <w:szCs w:val="20"/>
                <w:vertAlign w:val="superscript"/>
              </w:rPr>
              <w:t>[f]</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63254B">
            <w:pPr>
              <w:jc w:val="center"/>
              <w:rPr>
                <w:b/>
                <w:bCs/>
                <w:color w:val="FFFFFF"/>
                <w:sz w:val="20"/>
                <w:szCs w:val="20"/>
              </w:rPr>
            </w:pPr>
            <w:r w:rsidRPr="00D34138">
              <w:rPr>
                <w:b/>
                <w:bCs/>
                <w:color w:val="FFFFFF"/>
                <w:sz w:val="20"/>
                <w:szCs w:val="20"/>
              </w:rPr>
              <w:t xml:space="preserve">Phase II VG Savings </w:t>
            </w:r>
            <w:r w:rsidRPr="00D34138">
              <w:rPr>
                <w:b/>
                <w:bCs/>
                <w:color w:val="FFFFFF"/>
                <w:sz w:val="20"/>
                <w:szCs w:val="20"/>
                <w:vertAlign w:val="superscript"/>
              </w:rPr>
              <w:t>[h]</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63254B">
            <w:pPr>
              <w:jc w:val="center"/>
              <w:rPr>
                <w:b/>
                <w:bCs/>
                <w:color w:val="FFFFFF"/>
                <w:sz w:val="20"/>
                <w:szCs w:val="20"/>
              </w:rPr>
            </w:pPr>
            <w:r w:rsidRPr="00D34138">
              <w:rPr>
                <w:b/>
                <w:bCs/>
                <w:color w:val="FFFFFF"/>
                <w:sz w:val="20"/>
                <w:szCs w:val="20"/>
              </w:rPr>
              <w:t>Phase I CO Savings</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63254B">
            <w:pPr>
              <w:jc w:val="center"/>
              <w:rPr>
                <w:b/>
                <w:bCs/>
                <w:color w:val="FFFFFF"/>
                <w:sz w:val="20"/>
                <w:szCs w:val="20"/>
              </w:rPr>
            </w:pPr>
            <w:r w:rsidRPr="00D34138">
              <w:rPr>
                <w:b/>
                <w:bCs/>
                <w:color w:val="FFFFFF"/>
                <w:sz w:val="20"/>
                <w:szCs w:val="20"/>
              </w:rPr>
              <w:t>Phase II VG + Phase I CO Savings</w:t>
            </w:r>
          </w:p>
        </w:tc>
        <w:tc>
          <w:tcPr>
            <w:tcW w:w="1228"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63254B">
            <w:pPr>
              <w:jc w:val="center"/>
              <w:rPr>
                <w:b/>
                <w:bCs/>
                <w:color w:val="FFFFFF"/>
                <w:sz w:val="20"/>
                <w:szCs w:val="20"/>
              </w:rPr>
            </w:pPr>
            <w:r w:rsidRPr="00D34138">
              <w:rPr>
                <w:b/>
                <w:bCs/>
                <w:color w:val="FFFFFF"/>
                <w:sz w:val="20"/>
                <w:szCs w:val="20"/>
              </w:rPr>
              <w:t>May 31, 2016 Compliance Target (MWh)</w:t>
            </w:r>
          </w:p>
        </w:tc>
        <w:tc>
          <w:tcPr>
            <w:tcW w:w="1185" w:type="dxa"/>
            <w:tcBorders>
              <w:top w:val="single" w:sz="8" w:space="0" w:color="448A99"/>
              <w:left w:val="nil"/>
              <w:bottom w:val="single" w:sz="8" w:space="0" w:color="448A99"/>
              <w:right w:val="single" w:sz="8" w:space="0" w:color="448A99"/>
            </w:tcBorders>
            <w:shd w:val="clear" w:color="000000" w:fill="448A99"/>
            <w:vAlign w:val="bottom"/>
            <w:hideMark/>
          </w:tcPr>
          <w:p w:rsidR="00D34138" w:rsidRPr="00D34138" w:rsidRDefault="00D34138" w:rsidP="0063254B">
            <w:pPr>
              <w:jc w:val="center"/>
              <w:rPr>
                <w:b/>
                <w:bCs/>
                <w:color w:val="FFFFFF"/>
                <w:sz w:val="20"/>
                <w:szCs w:val="20"/>
              </w:rPr>
            </w:pPr>
            <w:r w:rsidRPr="00D34138">
              <w:rPr>
                <w:b/>
                <w:bCs/>
                <w:color w:val="FFFFFF"/>
                <w:sz w:val="20"/>
                <w:szCs w:val="20"/>
              </w:rPr>
              <w:t xml:space="preserve">Savings Achieved as % of 2016 Targets </w:t>
            </w:r>
            <w:r w:rsidRPr="00D34138">
              <w:rPr>
                <w:b/>
                <w:bCs/>
                <w:color w:val="FFFFFF"/>
                <w:sz w:val="20"/>
                <w:szCs w:val="20"/>
                <w:vertAlign w:val="superscript"/>
              </w:rPr>
              <w:t>[i]</w:t>
            </w:r>
          </w:p>
        </w:tc>
      </w:tr>
      <w:tr w:rsidR="00A874AC" w:rsidRPr="00D34138" w:rsidTr="00592FD5">
        <w:trPr>
          <w:gridAfter w:val="1"/>
          <w:wAfter w:w="10" w:type="dxa"/>
          <w:trHeight w:val="488"/>
        </w:trPr>
        <w:tc>
          <w:tcPr>
            <w:tcW w:w="224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D34138" w:rsidRDefault="00D34138" w:rsidP="00D34138">
            <w:pPr>
              <w:jc w:val="left"/>
              <w:rPr>
                <w:color w:val="000000"/>
                <w:sz w:val="20"/>
                <w:szCs w:val="20"/>
              </w:rPr>
            </w:pPr>
            <w:r w:rsidRPr="00D34138">
              <w:rPr>
                <w:color w:val="000000"/>
                <w:sz w:val="20"/>
                <w:szCs w:val="20"/>
              </w:rPr>
              <w:t>Total Energy Savings (MWh/yr)</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720,094</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0F45E7" w:rsidP="00D34138">
            <w:pPr>
              <w:jc w:val="center"/>
              <w:rPr>
                <w:sz w:val="20"/>
                <w:szCs w:val="20"/>
              </w:rPr>
            </w:pPr>
            <w:r>
              <w:rPr>
                <w:sz w:val="20"/>
                <w:szCs w:val="20"/>
              </w:rPr>
              <w:t>698,736</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495,636</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0F45E7" w:rsidP="00D34138">
            <w:pPr>
              <w:jc w:val="center"/>
              <w:rPr>
                <w:sz w:val="20"/>
                <w:szCs w:val="20"/>
              </w:rPr>
            </w:pPr>
            <w:r>
              <w:rPr>
                <w:sz w:val="20"/>
                <w:szCs w:val="20"/>
              </w:rPr>
              <w:t>1,194,372</w:t>
            </w:r>
          </w:p>
        </w:tc>
        <w:tc>
          <w:tcPr>
            <w:tcW w:w="1228" w:type="dxa"/>
            <w:tcBorders>
              <w:top w:val="nil"/>
              <w:left w:val="nil"/>
              <w:bottom w:val="single" w:sz="8" w:space="0" w:color="448A99"/>
              <w:right w:val="single" w:sz="8" w:space="0" w:color="448A99"/>
            </w:tcBorders>
            <w:shd w:val="clear" w:color="000000" w:fill="D2EAF1"/>
            <w:vAlign w:val="center"/>
            <w:hideMark/>
          </w:tcPr>
          <w:p w:rsidR="00D34138" w:rsidRPr="00D34138" w:rsidRDefault="00622397" w:rsidP="00622397">
            <w:pPr>
              <w:jc w:val="center"/>
              <w:rPr>
                <w:sz w:val="20"/>
                <w:szCs w:val="20"/>
              </w:rPr>
            </w:pPr>
            <w:r>
              <w:rPr>
                <w:sz w:val="20"/>
                <w:szCs w:val="20"/>
              </w:rPr>
              <w:t>821,072</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0F45E7" w:rsidP="00D34138">
            <w:pPr>
              <w:jc w:val="center"/>
              <w:rPr>
                <w:sz w:val="20"/>
                <w:szCs w:val="20"/>
              </w:rPr>
            </w:pPr>
            <w:r>
              <w:rPr>
                <w:sz w:val="20"/>
                <w:szCs w:val="20"/>
              </w:rPr>
              <w:t>145</w:t>
            </w:r>
            <w:r w:rsidR="00D34138" w:rsidRPr="00D34138">
              <w:rPr>
                <w:sz w:val="20"/>
                <w:szCs w:val="20"/>
              </w:rPr>
              <w:t>%</w:t>
            </w:r>
          </w:p>
        </w:tc>
      </w:tr>
      <w:tr w:rsidR="00E7173E" w:rsidRPr="00D34138" w:rsidTr="00592FD5">
        <w:trPr>
          <w:gridAfter w:val="1"/>
          <w:wAfter w:w="10" w:type="dxa"/>
          <w:trHeight w:val="488"/>
        </w:trPr>
        <w:tc>
          <w:tcPr>
            <w:tcW w:w="2240" w:type="dxa"/>
            <w:tcBorders>
              <w:top w:val="nil"/>
              <w:left w:val="single" w:sz="8" w:space="0" w:color="448A99"/>
              <w:bottom w:val="single" w:sz="8" w:space="0" w:color="448A99"/>
              <w:right w:val="single" w:sz="8" w:space="0" w:color="448A99"/>
            </w:tcBorders>
            <w:shd w:val="clear" w:color="auto" w:fill="auto"/>
            <w:vAlign w:val="center"/>
            <w:hideMark/>
          </w:tcPr>
          <w:p w:rsidR="00D34138" w:rsidRPr="00D34138" w:rsidRDefault="00D34138" w:rsidP="00D34138">
            <w:pPr>
              <w:jc w:val="left"/>
              <w:rPr>
                <w:color w:val="000000"/>
                <w:sz w:val="20"/>
                <w:szCs w:val="20"/>
              </w:rPr>
            </w:pPr>
            <w:r w:rsidRPr="00D34138">
              <w:rPr>
                <w:color w:val="000000"/>
                <w:sz w:val="20"/>
                <w:szCs w:val="20"/>
              </w:rPr>
              <w:t>Total Demand Reduction (MW)</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144.45</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106.270</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106.270</w:t>
            </w:r>
          </w:p>
        </w:tc>
        <w:tc>
          <w:tcPr>
            <w:tcW w:w="1228"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r>
      <w:tr w:rsidR="00A874AC" w:rsidRPr="00D34138" w:rsidTr="00592FD5">
        <w:trPr>
          <w:gridAfter w:val="1"/>
          <w:wAfter w:w="10" w:type="dxa"/>
          <w:trHeight w:val="488"/>
        </w:trPr>
        <w:tc>
          <w:tcPr>
            <w:tcW w:w="224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D34138" w:rsidRDefault="00D34138" w:rsidP="00D34138">
            <w:pPr>
              <w:jc w:val="left"/>
              <w:rPr>
                <w:color w:val="000000"/>
                <w:sz w:val="20"/>
                <w:szCs w:val="20"/>
              </w:rPr>
            </w:pPr>
            <w:r w:rsidRPr="00D34138">
              <w:rPr>
                <w:color w:val="000000"/>
                <w:sz w:val="20"/>
                <w:szCs w:val="20"/>
              </w:rPr>
              <w:t xml:space="preserve">TRC Benefits ($1,000) </w:t>
            </w:r>
            <w:r w:rsidRPr="00D34138">
              <w:rPr>
                <w:color w:val="000000"/>
                <w:sz w:val="20"/>
                <w:szCs w:val="20"/>
                <w:vertAlign w:val="superscript"/>
              </w:rPr>
              <w:t>[a]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 xml:space="preserve">N/A </w:t>
            </w:r>
            <w:r w:rsidRPr="00D34138">
              <w:rPr>
                <w:sz w:val="20"/>
                <w:szCs w:val="20"/>
                <w:vertAlign w:val="superscript"/>
              </w:rPr>
              <w:t>[g]</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$499,240</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$499,240</w:t>
            </w:r>
          </w:p>
        </w:tc>
        <w:tc>
          <w:tcPr>
            <w:tcW w:w="1228"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r>
      <w:tr w:rsidR="00E7173E" w:rsidRPr="00D34138" w:rsidTr="00592FD5">
        <w:trPr>
          <w:gridAfter w:val="1"/>
          <w:wAfter w:w="10" w:type="dxa"/>
          <w:trHeight w:val="488"/>
        </w:trPr>
        <w:tc>
          <w:tcPr>
            <w:tcW w:w="2240" w:type="dxa"/>
            <w:tcBorders>
              <w:top w:val="nil"/>
              <w:left w:val="single" w:sz="8" w:space="0" w:color="448A99"/>
              <w:bottom w:val="single" w:sz="8" w:space="0" w:color="448A99"/>
              <w:right w:val="single" w:sz="8" w:space="0" w:color="448A99"/>
            </w:tcBorders>
            <w:shd w:val="clear" w:color="auto" w:fill="auto"/>
            <w:vAlign w:val="center"/>
            <w:hideMark/>
          </w:tcPr>
          <w:p w:rsidR="00D34138" w:rsidRPr="00D34138" w:rsidRDefault="00D34138" w:rsidP="00D34138">
            <w:pPr>
              <w:jc w:val="left"/>
              <w:rPr>
                <w:color w:val="000000"/>
                <w:sz w:val="20"/>
                <w:szCs w:val="20"/>
              </w:rPr>
            </w:pPr>
            <w:r w:rsidRPr="00D34138">
              <w:rPr>
                <w:color w:val="000000"/>
                <w:sz w:val="20"/>
                <w:szCs w:val="20"/>
              </w:rPr>
              <w:t xml:space="preserve">TRC Costs ($1,000) </w:t>
            </w:r>
            <w:r w:rsidRPr="00D34138">
              <w:rPr>
                <w:color w:val="000000"/>
                <w:sz w:val="20"/>
                <w:szCs w:val="20"/>
                <w:vertAlign w:val="superscript"/>
              </w:rPr>
              <w:t>[b]</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 xml:space="preserve">N/A </w:t>
            </w:r>
            <w:r w:rsidRPr="00D34138">
              <w:rPr>
                <w:sz w:val="20"/>
                <w:szCs w:val="20"/>
                <w:vertAlign w:val="superscript"/>
              </w:rPr>
              <w:t>[g]</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w:t>
            </w:r>
            <w:r w:rsidR="00265558">
              <w:rPr>
                <w:sz w:val="20"/>
                <w:szCs w:val="20"/>
              </w:rPr>
              <w:t>314</w:t>
            </w:r>
            <w:r w:rsidR="000F45E7">
              <w:rPr>
                <w:sz w:val="20"/>
                <w:szCs w:val="20"/>
              </w:rPr>
              <w:t>,</w:t>
            </w:r>
            <w:r w:rsidR="00265558">
              <w:rPr>
                <w:sz w:val="20"/>
                <w:szCs w:val="20"/>
              </w:rPr>
              <w:t>182</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265558" w:rsidP="00D34138">
            <w:pPr>
              <w:jc w:val="center"/>
              <w:rPr>
                <w:sz w:val="20"/>
                <w:szCs w:val="20"/>
              </w:rPr>
            </w:pPr>
            <w:r w:rsidRPr="00D34138">
              <w:rPr>
                <w:sz w:val="20"/>
                <w:szCs w:val="20"/>
              </w:rPr>
              <w:t>$</w:t>
            </w:r>
            <w:r>
              <w:rPr>
                <w:sz w:val="20"/>
                <w:szCs w:val="20"/>
              </w:rPr>
              <w:t>314,182</w:t>
            </w:r>
          </w:p>
        </w:tc>
        <w:tc>
          <w:tcPr>
            <w:tcW w:w="1228"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r>
      <w:tr w:rsidR="00A874AC" w:rsidRPr="00D34138" w:rsidTr="00592FD5">
        <w:trPr>
          <w:gridAfter w:val="1"/>
          <w:wAfter w:w="10" w:type="dxa"/>
          <w:trHeight w:val="488"/>
        </w:trPr>
        <w:tc>
          <w:tcPr>
            <w:tcW w:w="2240" w:type="dxa"/>
            <w:tcBorders>
              <w:top w:val="nil"/>
              <w:left w:val="single" w:sz="8" w:space="0" w:color="448A99"/>
              <w:bottom w:val="single" w:sz="8" w:space="0" w:color="448A99"/>
              <w:right w:val="single" w:sz="8" w:space="0" w:color="448A99"/>
            </w:tcBorders>
            <w:shd w:val="clear" w:color="000000" w:fill="D2EAF1"/>
            <w:vAlign w:val="center"/>
            <w:hideMark/>
          </w:tcPr>
          <w:p w:rsidR="00D34138" w:rsidRPr="00D34138" w:rsidRDefault="00D34138" w:rsidP="00A90285">
            <w:pPr>
              <w:jc w:val="left"/>
              <w:rPr>
                <w:color w:val="000000"/>
                <w:sz w:val="20"/>
                <w:szCs w:val="20"/>
              </w:rPr>
            </w:pPr>
            <w:r w:rsidRPr="00D34138">
              <w:rPr>
                <w:color w:val="000000"/>
                <w:sz w:val="20"/>
                <w:szCs w:val="20"/>
              </w:rPr>
              <w:t xml:space="preserve">TRC </w:t>
            </w:r>
            <w:r w:rsidR="00A90285">
              <w:rPr>
                <w:color w:val="000000"/>
                <w:sz w:val="20"/>
                <w:szCs w:val="20"/>
              </w:rPr>
              <w:t>B/C</w:t>
            </w:r>
            <w:r w:rsidRPr="00D34138">
              <w:rPr>
                <w:color w:val="000000"/>
                <w:sz w:val="20"/>
                <w:szCs w:val="20"/>
              </w:rPr>
              <w:t xml:space="preserve"> Ratio </w:t>
            </w:r>
            <w:r w:rsidRPr="00D34138">
              <w:rPr>
                <w:color w:val="000000"/>
                <w:sz w:val="20"/>
                <w:szCs w:val="20"/>
                <w:vertAlign w:val="superscript"/>
              </w:rPr>
              <w:t>[c]</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 xml:space="preserve">N/A </w:t>
            </w:r>
            <w:r w:rsidRPr="00D34138">
              <w:rPr>
                <w:sz w:val="20"/>
                <w:szCs w:val="20"/>
                <w:vertAlign w:val="superscript"/>
              </w:rPr>
              <w:t>[g]</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1.59</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1.59</w:t>
            </w:r>
          </w:p>
        </w:tc>
        <w:tc>
          <w:tcPr>
            <w:tcW w:w="1228"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c>
          <w:tcPr>
            <w:tcW w:w="1185" w:type="dxa"/>
            <w:tcBorders>
              <w:top w:val="nil"/>
              <w:left w:val="nil"/>
              <w:bottom w:val="single" w:sz="8" w:space="0" w:color="448A99"/>
              <w:right w:val="single" w:sz="8" w:space="0" w:color="448A99"/>
            </w:tcBorders>
            <w:shd w:val="clear" w:color="000000" w:fill="D2EAF1"/>
            <w:vAlign w:val="center"/>
            <w:hideMark/>
          </w:tcPr>
          <w:p w:rsidR="00D34138" w:rsidRPr="00D34138" w:rsidRDefault="00D34138" w:rsidP="00D34138">
            <w:pPr>
              <w:jc w:val="center"/>
              <w:rPr>
                <w:sz w:val="20"/>
                <w:szCs w:val="20"/>
              </w:rPr>
            </w:pPr>
            <w:r w:rsidRPr="00D34138">
              <w:rPr>
                <w:sz w:val="20"/>
                <w:szCs w:val="20"/>
              </w:rPr>
              <w:t>N/A</w:t>
            </w:r>
          </w:p>
        </w:tc>
      </w:tr>
      <w:tr w:rsidR="00E7173E" w:rsidRPr="00D34138" w:rsidTr="00592FD5">
        <w:trPr>
          <w:gridAfter w:val="1"/>
          <w:wAfter w:w="10" w:type="dxa"/>
          <w:trHeight w:val="489"/>
        </w:trPr>
        <w:tc>
          <w:tcPr>
            <w:tcW w:w="2240" w:type="dxa"/>
            <w:tcBorders>
              <w:top w:val="nil"/>
              <w:left w:val="single" w:sz="8" w:space="0" w:color="448A99"/>
              <w:bottom w:val="single" w:sz="8" w:space="0" w:color="448A99"/>
              <w:right w:val="single" w:sz="8" w:space="0" w:color="448A99"/>
            </w:tcBorders>
            <w:shd w:val="clear" w:color="auto" w:fill="auto"/>
            <w:vAlign w:val="center"/>
            <w:hideMark/>
          </w:tcPr>
          <w:p w:rsidR="00D34138" w:rsidRPr="00D34138" w:rsidRDefault="00D34138" w:rsidP="00D34138">
            <w:pPr>
              <w:jc w:val="left"/>
              <w:rPr>
                <w:color w:val="000000"/>
                <w:sz w:val="20"/>
                <w:szCs w:val="20"/>
              </w:rPr>
            </w:pPr>
            <w:r w:rsidRPr="00D34138">
              <w:rPr>
                <w:color w:val="000000"/>
                <w:sz w:val="20"/>
                <w:szCs w:val="20"/>
              </w:rPr>
              <w:t>CO</w:t>
            </w:r>
            <w:r w:rsidRPr="00D34138">
              <w:rPr>
                <w:color w:val="000000"/>
                <w:sz w:val="20"/>
                <w:szCs w:val="20"/>
                <w:vertAlign w:val="subscript"/>
              </w:rPr>
              <w:t>2</w:t>
            </w:r>
            <w:r w:rsidRPr="00D34138">
              <w:rPr>
                <w:color w:val="000000"/>
                <w:sz w:val="20"/>
                <w:szCs w:val="20"/>
              </w:rPr>
              <w:t xml:space="preserve"> Emissions Reduction (Tons) </w:t>
            </w:r>
            <w:r w:rsidRPr="00D34138">
              <w:rPr>
                <w:color w:val="000000"/>
                <w:sz w:val="20"/>
                <w:szCs w:val="20"/>
                <w:vertAlign w:val="superscript"/>
              </w:rPr>
              <w:t>[d][e]</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554,832</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0F45E7" w:rsidP="00D34138">
            <w:pPr>
              <w:jc w:val="center"/>
              <w:rPr>
                <w:sz w:val="20"/>
                <w:szCs w:val="20"/>
              </w:rPr>
            </w:pPr>
            <w:r>
              <w:rPr>
                <w:sz w:val="20"/>
                <w:szCs w:val="20"/>
              </w:rPr>
              <w:t>538,376</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381,888</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0F45E7" w:rsidP="00D34138">
            <w:pPr>
              <w:jc w:val="center"/>
              <w:rPr>
                <w:sz w:val="20"/>
                <w:szCs w:val="20"/>
              </w:rPr>
            </w:pPr>
            <w:r>
              <w:rPr>
                <w:sz w:val="20"/>
                <w:szCs w:val="20"/>
              </w:rPr>
              <w:t>920,264</w:t>
            </w:r>
          </w:p>
        </w:tc>
        <w:tc>
          <w:tcPr>
            <w:tcW w:w="1228"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c>
          <w:tcPr>
            <w:tcW w:w="1185" w:type="dxa"/>
            <w:tcBorders>
              <w:top w:val="nil"/>
              <w:left w:val="nil"/>
              <w:bottom w:val="single" w:sz="8" w:space="0" w:color="448A99"/>
              <w:right w:val="single" w:sz="8" w:space="0" w:color="448A99"/>
            </w:tcBorders>
            <w:shd w:val="clear" w:color="auto" w:fill="auto"/>
            <w:vAlign w:val="center"/>
            <w:hideMark/>
          </w:tcPr>
          <w:p w:rsidR="00D34138" w:rsidRPr="00D34138" w:rsidRDefault="00D34138" w:rsidP="00D34138">
            <w:pPr>
              <w:jc w:val="center"/>
              <w:rPr>
                <w:sz w:val="20"/>
                <w:szCs w:val="20"/>
              </w:rPr>
            </w:pPr>
            <w:r w:rsidRPr="00D34138">
              <w:rPr>
                <w:sz w:val="20"/>
                <w:szCs w:val="20"/>
              </w:rPr>
              <w:t>N/A</w:t>
            </w:r>
          </w:p>
        </w:tc>
      </w:tr>
      <w:tr w:rsidR="00D34138" w:rsidRPr="00F3562D" w:rsidTr="00592FD5">
        <w:trPr>
          <w:trHeight w:val="3085"/>
        </w:trPr>
        <w:tc>
          <w:tcPr>
            <w:tcW w:w="9403" w:type="dxa"/>
            <w:gridSpan w:val="8"/>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D34138" w:rsidRPr="00F3562D" w:rsidRDefault="00D34138" w:rsidP="00D34138">
            <w:pPr>
              <w:jc w:val="left"/>
              <w:rPr>
                <w:color w:val="FFFFFF"/>
                <w:sz w:val="18"/>
                <w:szCs w:val="20"/>
              </w:rPr>
            </w:pPr>
            <w:r w:rsidRPr="00F3562D">
              <w:rPr>
                <w:color w:val="FFFFFF"/>
                <w:sz w:val="18"/>
                <w:szCs w:val="20"/>
              </w:rPr>
              <w:lastRenderedPageBreak/>
              <w:t xml:space="preserve">NOTES: </w:t>
            </w:r>
            <w:r w:rsidRPr="00F3562D">
              <w:rPr>
                <w:color w:val="FFFFFF"/>
                <w:sz w:val="18"/>
                <w:szCs w:val="20"/>
              </w:rPr>
              <w:br/>
              <w:t>[a] Avoided supply costs, including the reduction in costs of electric energy, generation, transmission, and distribution capacity. Subject to TRC Order.</w:t>
            </w:r>
            <w:r w:rsidRPr="00F3562D">
              <w:rPr>
                <w:color w:val="FFFFFF"/>
                <w:sz w:val="18"/>
                <w:szCs w:val="20"/>
              </w:rPr>
              <w:br/>
              <w:t>[b] Costs paid by the program administrator and participants plus the increase in supply costs for any period when load is increased.  Subject to TRC Order.</w:t>
            </w:r>
            <w:r w:rsidRPr="00F3562D">
              <w:rPr>
                <w:color w:val="FFFFFF"/>
                <w:sz w:val="18"/>
                <w:szCs w:val="20"/>
              </w:rPr>
              <w:br/>
              <w:t>[c] Subject to the Commission’s August 31, 2012 TRC Order.</w:t>
            </w:r>
            <w:r w:rsidRPr="00F3562D">
              <w:rPr>
                <w:color w:val="FFFFFF"/>
                <w:sz w:val="18"/>
                <w:szCs w:val="20"/>
              </w:rPr>
              <w:br/>
              <w:t>[d] CO</w:t>
            </w:r>
            <w:r w:rsidRPr="00F3562D">
              <w:rPr>
                <w:color w:val="FFFFFF"/>
                <w:sz w:val="18"/>
                <w:szCs w:val="20"/>
                <w:vertAlign w:val="subscript"/>
              </w:rPr>
              <w:t>2</w:t>
            </w:r>
            <w:r w:rsidRPr="00F3562D">
              <w:rPr>
                <w:color w:val="FFFFFF"/>
                <w:sz w:val="18"/>
                <w:szCs w:val="20"/>
              </w:rPr>
              <w:t xml:space="preserve"> conversion based on 1,541 lbs CO</w:t>
            </w:r>
            <w:r w:rsidRPr="00F3562D">
              <w:rPr>
                <w:color w:val="FFFFFF"/>
                <w:sz w:val="18"/>
                <w:szCs w:val="20"/>
                <w:vertAlign w:val="subscript"/>
              </w:rPr>
              <w:t>2</w:t>
            </w:r>
            <w:r w:rsidRPr="00F3562D">
              <w:rPr>
                <w:color w:val="FFFFFF"/>
                <w:sz w:val="18"/>
                <w:szCs w:val="20"/>
              </w:rPr>
              <w:t xml:space="preserve"> per MWh according to the latest available (2015) PJM Emission Report of marginal off-peak annual CO</w:t>
            </w:r>
            <w:r w:rsidRPr="00F3562D">
              <w:rPr>
                <w:color w:val="FFFFFF"/>
                <w:sz w:val="18"/>
                <w:szCs w:val="20"/>
                <w:vertAlign w:val="subscript"/>
              </w:rPr>
              <w:t>2</w:t>
            </w:r>
            <w:r w:rsidRPr="00F3562D">
              <w:rPr>
                <w:color w:val="FFFFFF"/>
                <w:sz w:val="18"/>
                <w:szCs w:val="20"/>
              </w:rPr>
              <w:t xml:space="preserve"> emission rate.</w:t>
            </w:r>
            <w:r w:rsidRPr="00F3562D">
              <w:rPr>
                <w:color w:val="FFFFFF"/>
                <w:sz w:val="18"/>
                <w:szCs w:val="20"/>
              </w:rPr>
              <w:br/>
              <w:t>[e] CO</w:t>
            </w:r>
            <w:r w:rsidRPr="00F3562D">
              <w:rPr>
                <w:color w:val="FFFFFF"/>
                <w:sz w:val="18"/>
                <w:szCs w:val="20"/>
                <w:vertAlign w:val="subscript"/>
              </w:rPr>
              <w:t>2</w:t>
            </w:r>
            <w:r w:rsidRPr="00F3562D">
              <w:rPr>
                <w:color w:val="FFFFFF"/>
                <w:sz w:val="18"/>
                <w:szCs w:val="20"/>
              </w:rPr>
              <w:t xml:space="preserve"> emissions are reported due to Stakeholder interest in this information and to recognize that reporting this information is recommended by the National Action Plan for Energy Efficiency.</w:t>
            </w:r>
            <w:r w:rsidRPr="00F3562D">
              <w:rPr>
                <w:color w:val="FFFFFF"/>
                <w:sz w:val="18"/>
                <w:szCs w:val="20"/>
              </w:rPr>
              <w:br/>
              <w:t>[f] Phase II Reported Gross Impact is the cumulative program/portfolio Phase II Inception to Date Reported Gross Savings.</w:t>
            </w:r>
            <w:r w:rsidRPr="00F3562D">
              <w:rPr>
                <w:color w:val="FFFFFF"/>
                <w:sz w:val="18"/>
                <w:szCs w:val="20"/>
              </w:rPr>
              <w:br/>
              <w:t>[g] TRC Benefits and Costs are calculated only for verified savings, which reflect actual program results.</w:t>
            </w:r>
            <w:r w:rsidRPr="00F3562D">
              <w:rPr>
                <w:color w:val="FFFFFF"/>
                <w:sz w:val="18"/>
                <w:szCs w:val="20"/>
              </w:rPr>
              <w:br/>
              <w:t>[h] Phase II Verified Impact is the cumulative program/portfolio Phase II Inception to Date Verified Gross Savings.</w:t>
            </w:r>
            <w:r w:rsidRPr="00F3562D">
              <w:rPr>
                <w:color w:val="FFFFFF"/>
                <w:sz w:val="18"/>
                <w:szCs w:val="20"/>
              </w:rPr>
              <w:br/>
              <w:t>[i] Savings achieved based on Phase II Inception-to-Date Verified Gross Savings.</w:t>
            </w:r>
          </w:p>
        </w:tc>
      </w:tr>
    </w:tbl>
    <w:p w:rsidR="0043410E" w:rsidRPr="0043410E" w:rsidRDefault="0043410E" w:rsidP="0043410E"/>
    <w:p w:rsidR="00A806A3" w:rsidRDefault="00933BF5" w:rsidP="00A806A3">
      <w:r>
        <w:t>PPL</w:t>
      </w:r>
      <w:r w:rsidR="00A806A3">
        <w:t xml:space="preserve"> </w:t>
      </w:r>
      <w:r w:rsidR="00A806A3" w:rsidRPr="00A806A3">
        <w:t xml:space="preserve">achieved </w:t>
      </w:r>
      <w:r w:rsidR="00537427">
        <w:t>14</w:t>
      </w:r>
      <w:r w:rsidR="00845C4B">
        <w:t>5</w:t>
      </w:r>
      <w:r w:rsidR="00A806A3" w:rsidRPr="00A806A3">
        <w:t>% of</w:t>
      </w:r>
      <w:r w:rsidR="00A806A3">
        <w:t xml:space="preserve"> its Act 129 Phase II energy savings target through the end of PY7</w:t>
      </w:r>
      <w:r w:rsidR="00537427">
        <w:t xml:space="preserve"> (including Phase I carryover)</w:t>
      </w:r>
      <w:r w:rsidR="00A806A3">
        <w:t xml:space="preserve">. The TRC ratio </w:t>
      </w:r>
      <w:r w:rsidR="00A806A3" w:rsidRPr="00A806A3">
        <w:t xml:space="preserve">of </w:t>
      </w:r>
      <w:r>
        <w:t>PPL</w:t>
      </w:r>
      <w:r w:rsidR="00A806A3" w:rsidRPr="00A806A3">
        <w:t>’s programs was 1.5</w:t>
      </w:r>
      <w:r>
        <w:t>9</w:t>
      </w:r>
      <w:r w:rsidR="00A806A3" w:rsidRPr="00A806A3">
        <w:t>, which indicates that its portfolio of EE&amp;C programs is cost-effective on an aggregated basis</w:t>
      </w:r>
      <w:r w:rsidR="00A806A3">
        <w:t>.</w:t>
      </w:r>
    </w:p>
    <w:p w:rsidR="00A806A3" w:rsidRDefault="00A806A3" w:rsidP="00A806A3"/>
    <w:p w:rsidR="00A806A3" w:rsidRDefault="004F1B4F" w:rsidP="00A806A3">
      <w:r>
        <w:fldChar w:fldCharType="begin"/>
      </w:r>
      <w:r>
        <w:instrText xml:space="preserve"> REF _Ref472409761 \h </w:instrText>
      </w:r>
      <w:r>
        <w:fldChar w:fldCharType="separate"/>
      </w:r>
      <w:r w:rsidR="00C301D0">
        <w:t xml:space="preserve">Figure </w:t>
      </w:r>
      <w:r w:rsidR="00C301D0">
        <w:rPr>
          <w:noProof/>
        </w:rPr>
        <w:t>2</w:t>
      </w:r>
      <w:r w:rsidR="00C301D0">
        <w:noBreakHyphen/>
      </w:r>
      <w:r w:rsidR="00C301D0">
        <w:rPr>
          <w:noProof/>
        </w:rPr>
        <w:t>23</w:t>
      </w:r>
      <w:r>
        <w:fldChar w:fldCharType="end"/>
      </w:r>
      <w:r w:rsidR="00A806A3">
        <w:t xml:space="preserve"> shows the </w:t>
      </w:r>
      <w:r w:rsidR="000C66A7">
        <w:t xml:space="preserve">cumulative </w:t>
      </w:r>
      <w:r w:rsidR="00A806A3">
        <w:t xml:space="preserve">verified gross savings after each program year during Phase II. The data in this figure does not include carryover savings from Phase I. The </w:t>
      </w:r>
      <w:r w:rsidR="00C03CB0">
        <w:t xml:space="preserve">C/I </w:t>
      </w:r>
      <w:r w:rsidR="00A806A3">
        <w:t xml:space="preserve">sector accounted for the highest savings for </w:t>
      </w:r>
      <w:r w:rsidR="00933BF5">
        <w:t>PPL</w:t>
      </w:r>
      <w:r w:rsidR="00A806A3">
        <w:t xml:space="preserve"> during Phase II.</w:t>
      </w:r>
    </w:p>
    <w:p w:rsidR="00823FE0" w:rsidRDefault="00823FE0" w:rsidP="00A806A3"/>
    <w:p w:rsidR="00E707E0" w:rsidRDefault="004F1B4F" w:rsidP="004F1B4F">
      <w:pPr>
        <w:pStyle w:val="Caption"/>
      </w:pPr>
      <w:bookmarkStart w:id="238" w:name="_Ref472409761"/>
      <w:bookmarkStart w:id="239" w:name="_Toc472472230"/>
      <w:bookmarkStart w:id="240" w:name="_Toc476914044"/>
      <w:r>
        <w:t xml:space="preserve">Figure </w:t>
      </w:r>
      <w:fldSimple w:instr=" STYLEREF 1 \s ">
        <w:r w:rsidR="00C301D0">
          <w:rPr>
            <w:noProof/>
          </w:rPr>
          <w:t>2</w:t>
        </w:r>
      </w:fldSimple>
      <w:r w:rsidR="00DA1ADA">
        <w:noBreakHyphen/>
      </w:r>
      <w:fldSimple w:instr=" SEQ Figure \* ARABIC \s 1 ">
        <w:r w:rsidR="00C301D0">
          <w:rPr>
            <w:noProof/>
          </w:rPr>
          <w:t>23</w:t>
        </w:r>
      </w:fldSimple>
      <w:bookmarkEnd w:id="238"/>
      <w:r>
        <w:t xml:space="preserve">: </w:t>
      </w:r>
      <w:r w:rsidR="00D34138">
        <w:t>PPL</w:t>
      </w:r>
      <w:r w:rsidR="00A806A3" w:rsidRPr="001928C8">
        <w:t xml:space="preserve"> Phase</w:t>
      </w:r>
      <w:r w:rsidR="00A806A3">
        <w:t xml:space="preserve"> I</w:t>
      </w:r>
      <w:r w:rsidR="00A806A3" w:rsidRPr="001928C8">
        <w:t xml:space="preserve">I </w:t>
      </w:r>
      <w:r w:rsidR="002E319D">
        <w:t xml:space="preserve">Cumulative </w:t>
      </w:r>
      <w:r w:rsidR="00A806A3">
        <w:t>V</w:t>
      </w:r>
      <w:r w:rsidR="00A806A3" w:rsidRPr="001928C8">
        <w:t>erified</w:t>
      </w:r>
      <w:r w:rsidR="00C03CB0">
        <w:t xml:space="preserve"> Gross</w:t>
      </w:r>
      <w:r w:rsidR="00A806A3" w:rsidRPr="001928C8">
        <w:t xml:space="preserve"> Savings by Program Year and Sector</w:t>
      </w:r>
      <w:bookmarkEnd w:id="239"/>
      <w:bookmarkEnd w:id="240"/>
    </w:p>
    <w:p w:rsidR="00E707E0" w:rsidRDefault="004E3F18" w:rsidP="00E707E0">
      <w:r>
        <w:rPr>
          <w:noProof/>
        </w:rPr>
        <w:drawing>
          <wp:inline distT="0" distB="0" distL="0" distR="0" wp14:anchorId="6B96B2C8" wp14:editId="0F55A556">
            <wp:extent cx="6147809" cy="330134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61545" cy="3308716"/>
                    </a:xfrm>
                    <a:prstGeom prst="rect">
                      <a:avLst/>
                    </a:prstGeom>
                    <a:noFill/>
                  </pic:spPr>
                </pic:pic>
              </a:graphicData>
            </a:graphic>
          </wp:inline>
        </w:drawing>
      </w:r>
    </w:p>
    <w:p w:rsidR="00592FD5" w:rsidRDefault="00592FD5">
      <w:pPr>
        <w:jc w:val="left"/>
        <w:rPr>
          <w:rFonts w:ascii="Century Gothic" w:eastAsiaTheme="minorHAnsi" w:hAnsi="Century Gothic" w:cstheme="minorBidi"/>
          <w:smallCaps/>
          <w:color w:val="FFFFFF" w:themeColor="background1"/>
          <w:sz w:val="32"/>
        </w:rPr>
      </w:pPr>
      <w:bookmarkStart w:id="241" w:name="_Ref472258038"/>
      <w:bookmarkStart w:id="242" w:name="_Toc472472103"/>
      <w:r>
        <w:br w:type="page"/>
      </w:r>
    </w:p>
    <w:p w:rsidR="00D40FF6" w:rsidRPr="00530F17" w:rsidRDefault="00D40FF6" w:rsidP="00472B27">
      <w:pPr>
        <w:pStyle w:val="Heading1"/>
      </w:pPr>
      <w:bookmarkStart w:id="243" w:name="_Toc476913915"/>
      <w:r>
        <w:lastRenderedPageBreak/>
        <w:t xml:space="preserve">Demand </w:t>
      </w:r>
      <w:r w:rsidR="00AD56C0">
        <w:t>Savings</w:t>
      </w:r>
      <w:r>
        <w:t xml:space="preserve"> from Energy Efficiency – PY7 </w:t>
      </w:r>
      <w:r w:rsidR="00AD56C0">
        <w:t>and</w:t>
      </w:r>
      <w:r>
        <w:t xml:space="preserve"> Phase II</w:t>
      </w:r>
      <w:bookmarkEnd w:id="241"/>
      <w:bookmarkEnd w:id="242"/>
      <w:bookmarkEnd w:id="243"/>
    </w:p>
    <w:p w:rsidR="00C726CF" w:rsidRDefault="00C726CF" w:rsidP="00C726CF">
      <w:r>
        <w:t xml:space="preserve">This section of the report </w:t>
      </w:r>
      <w:r w:rsidRPr="00204453">
        <w:t xml:space="preserve">discusses </w:t>
      </w:r>
      <w:r>
        <w:t xml:space="preserve">demand </w:t>
      </w:r>
      <w:r w:rsidRPr="00204453">
        <w:t>reduction</w:t>
      </w:r>
      <w:r>
        <w:t xml:space="preserve">s achieved </w:t>
      </w:r>
      <w:r w:rsidRPr="00204453">
        <w:t>under Act 129</w:t>
      </w:r>
      <w:r>
        <w:t xml:space="preserve"> </w:t>
      </w:r>
      <w:r w:rsidR="00F5458E">
        <w:t>by</w:t>
      </w:r>
      <w:r w:rsidR="00F95DF6">
        <w:t xml:space="preserve"> EDC</w:t>
      </w:r>
      <w:r>
        <w:t xml:space="preserve"> energy efficiency</w:t>
      </w:r>
      <w:r w:rsidR="00F95DF6">
        <w:t xml:space="preserve"> programs</w:t>
      </w:r>
      <w:r w:rsidR="00F5458E">
        <w:t>.</w:t>
      </w:r>
      <w:r w:rsidRPr="00204453">
        <w:t xml:space="preserve"> Th</w:t>
      </w:r>
      <w:r>
        <w:t>e demand reductions are provided on a statewide basis and by EDC, for both PY7 and Phase II</w:t>
      </w:r>
      <w:r w:rsidR="00F5458E">
        <w:t>.</w:t>
      </w:r>
    </w:p>
    <w:p w:rsidR="00C726CF" w:rsidRPr="00C726CF" w:rsidRDefault="00C726CF" w:rsidP="00C726CF"/>
    <w:p w:rsidR="00D40FF6" w:rsidRDefault="00D40FF6" w:rsidP="00472B27">
      <w:pPr>
        <w:pStyle w:val="Heading2"/>
      </w:pPr>
      <w:bookmarkStart w:id="244" w:name="_Toc472472104"/>
      <w:bookmarkStart w:id="245" w:name="_Toc476913916"/>
      <w:r>
        <w:t>Results for Three-Year A</w:t>
      </w:r>
      <w:r w:rsidR="001F1AAA">
        <w:t>ct</w:t>
      </w:r>
      <w:r>
        <w:t xml:space="preserve"> 129 Phase II</w:t>
      </w:r>
      <w:bookmarkEnd w:id="244"/>
      <w:bookmarkEnd w:id="245"/>
    </w:p>
    <w:p w:rsidR="00375285" w:rsidRDefault="00375285" w:rsidP="00375285">
      <w:r>
        <w:t>Although there were no demand reduction targets in Phase II, EDCs tracked, evaluated, and reported peak demand savings for all</w:t>
      </w:r>
      <w:r w:rsidR="00F95DF6">
        <w:t xml:space="preserve"> energy efficiency</w:t>
      </w:r>
      <w:r>
        <w:t xml:space="preserve"> programs in all sectors. Demand evaluation was not held to the same confidence and precision requirements</w:t>
      </w:r>
      <w:r w:rsidR="00F95DF6">
        <w:t xml:space="preserve"> as established</w:t>
      </w:r>
      <w:r>
        <w:t xml:space="preserve"> for energy</w:t>
      </w:r>
      <w:r w:rsidR="00F95DF6">
        <w:t xml:space="preserve"> savings</w:t>
      </w:r>
      <w:r>
        <w:t xml:space="preserve"> at the program and portfolio level</w:t>
      </w:r>
      <w:r w:rsidR="00F5458E">
        <w:t>s</w:t>
      </w:r>
      <w:r>
        <w:t>. However, in the course of program energy evaluation, all EDCs managed to achieve 10% precision at the 90% confidence interval for demand</w:t>
      </w:r>
      <w:r w:rsidR="00F95DF6">
        <w:t xml:space="preserve"> savings</w:t>
      </w:r>
      <w:r>
        <w:t xml:space="preserve"> at the portfolio level for Phase II. This high level of precision gives the SWE confidence in the Phase II verified demand savings presented below.</w:t>
      </w:r>
    </w:p>
    <w:p w:rsidR="00375285" w:rsidRPr="00375285" w:rsidRDefault="00375285" w:rsidP="00375285"/>
    <w:p w:rsidR="00D40FF6" w:rsidRDefault="00D40FF6" w:rsidP="00D40FF6">
      <w:pPr>
        <w:pStyle w:val="Heading3"/>
      </w:pPr>
      <w:bookmarkStart w:id="246" w:name="_Toc472472105"/>
      <w:bookmarkStart w:id="247" w:name="_Toc476913917"/>
      <w:r>
        <w:t>Statewide Summary</w:t>
      </w:r>
      <w:bookmarkEnd w:id="246"/>
      <w:bookmarkEnd w:id="247"/>
    </w:p>
    <w:p w:rsidR="00375285" w:rsidRDefault="003363E4" w:rsidP="00375285">
      <w:r>
        <w:fldChar w:fldCharType="begin"/>
      </w:r>
      <w:r>
        <w:instrText xml:space="preserve"> REF _Ref472346989 \h </w:instrText>
      </w:r>
      <w:r>
        <w:fldChar w:fldCharType="separate"/>
      </w:r>
      <w:r w:rsidR="00C301D0">
        <w:t xml:space="preserve">Table </w:t>
      </w:r>
      <w:r w:rsidR="00C301D0">
        <w:rPr>
          <w:noProof/>
        </w:rPr>
        <w:t>3</w:t>
      </w:r>
      <w:r w:rsidR="00C301D0">
        <w:noBreakHyphen/>
      </w:r>
      <w:r w:rsidR="00C301D0">
        <w:rPr>
          <w:noProof/>
        </w:rPr>
        <w:t>1</w:t>
      </w:r>
      <w:r>
        <w:fldChar w:fldCharType="end"/>
      </w:r>
      <w:r w:rsidR="00375285">
        <w:t xml:space="preserve"> summarizes the reported and verified </w:t>
      </w:r>
      <w:r w:rsidR="00F5458E">
        <w:t xml:space="preserve">gross </w:t>
      </w:r>
      <w:r w:rsidR="00375285">
        <w:t>demand reductions for each EDC for Phase II.</w:t>
      </w:r>
      <w:r w:rsidR="00A242AC" w:rsidRPr="00A242AC">
        <w:t xml:space="preserve"> </w:t>
      </w:r>
      <w:r w:rsidR="00A242AC">
        <w:t xml:space="preserve">Statewide, the verified gross savings were slightly less </w:t>
      </w:r>
      <w:r w:rsidR="004B4AD9">
        <w:t>than the reported gross savings</w:t>
      </w:r>
      <w:r w:rsidR="00A242AC">
        <w:t>.</w:t>
      </w:r>
    </w:p>
    <w:p w:rsidR="00375285" w:rsidRDefault="00375285" w:rsidP="00375285"/>
    <w:p w:rsidR="00375285" w:rsidRDefault="00375285" w:rsidP="00375285">
      <w:pPr>
        <w:pStyle w:val="Caption"/>
      </w:pPr>
      <w:bookmarkStart w:id="248" w:name="_Ref472346989"/>
      <w:bookmarkStart w:id="249" w:name="_Toc472472176"/>
      <w:bookmarkStart w:id="250" w:name="_Toc476913989"/>
      <w:r>
        <w:t xml:space="preserve">Table </w:t>
      </w:r>
      <w:fldSimple w:instr=" STYLEREF 1 \s ">
        <w:r w:rsidR="00C301D0">
          <w:rPr>
            <w:noProof/>
          </w:rPr>
          <w:t>3</w:t>
        </w:r>
      </w:fldSimple>
      <w:r w:rsidR="00E6042C">
        <w:noBreakHyphen/>
      </w:r>
      <w:fldSimple w:instr=" SEQ Table \* ARABIC \s 1 ">
        <w:r w:rsidR="00C301D0">
          <w:rPr>
            <w:noProof/>
          </w:rPr>
          <w:t>1</w:t>
        </w:r>
      </w:fldSimple>
      <w:bookmarkEnd w:id="248"/>
      <w:r>
        <w:t>:</w:t>
      </w:r>
      <w:r w:rsidR="00A242AC">
        <w:t xml:space="preserve"> </w:t>
      </w:r>
      <w:r>
        <w:t xml:space="preserve">Phase II </w:t>
      </w:r>
      <w:r w:rsidR="004365AD">
        <w:t xml:space="preserve">Cumulative </w:t>
      </w:r>
      <w:r w:rsidR="00B60292">
        <w:t xml:space="preserve">Gross </w:t>
      </w:r>
      <w:r>
        <w:t>Demand Savings</w:t>
      </w:r>
      <w:bookmarkEnd w:id="249"/>
      <w:bookmarkEnd w:id="250"/>
    </w:p>
    <w:tbl>
      <w:tblPr>
        <w:tblW w:w="9353" w:type="dxa"/>
        <w:tblInd w:w="108" w:type="dxa"/>
        <w:tblLayout w:type="fixed"/>
        <w:tblLook w:val="04A0" w:firstRow="1" w:lastRow="0" w:firstColumn="1" w:lastColumn="0" w:noHBand="0" w:noVBand="1"/>
      </w:tblPr>
      <w:tblGrid>
        <w:gridCol w:w="3117"/>
        <w:gridCol w:w="3118"/>
        <w:gridCol w:w="3118"/>
      </w:tblGrid>
      <w:tr w:rsidR="00A874AC" w:rsidRPr="00C4434D" w:rsidTr="00592FD5">
        <w:trPr>
          <w:cantSplit/>
          <w:trHeight w:val="511"/>
          <w:tblHeader/>
        </w:trPr>
        <w:tc>
          <w:tcPr>
            <w:tcW w:w="3117" w:type="dxa"/>
            <w:tcBorders>
              <w:top w:val="single" w:sz="4" w:space="0" w:color="448A99"/>
              <w:left w:val="single" w:sz="4" w:space="0" w:color="448A99"/>
              <w:bottom w:val="single" w:sz="4" w:space="0" w:color="448A99"/>
              <w:right w:val="single" w:sz="4" w:space="0" w:color="448A99"/>
            </w:tcBorders>
            <w:shd w:val="clear" w:color="000000" w:fill="448A99"/>
            <w:vAlign w:val="bottom"/>
            <w:hideMark/>
          </w:tcPr>
          <w:p w:rsidR="004B4AD9" w:rsidRPr="00B914EA" w:rsidRDefault="004B4AD9" w:rsidP="00375285">
            <w:pPr>
              <w:rPr>
                <w:b/>
                <w:bCs/>
                <w:color w:val="FFFFFF"/>
                <w:sz w:val="20"/>
                <w:szCs w:val="20"/>
              </w:rPr>
            </w:pPr>
            <w:r w:rsidRPr="00B914EA">
              <w:rPr>
                <w:b/>
                <w:bCs/>
                <w:color w:val="FFFFFF"/>
                <w:sz w:val="20"/>
                <w:szCs w:val="20"/>
              </w:rPr>
              <w:t>EDC</w:t>
            </w:r>
          </w:p>
        </w:tc>
        <w:tc>
          <w:tcPr>
            <w:tcW w:w="3118" w:type="dxa"/>
            <w:tcBorders>
              <w:top w:val="single" w:sz="8" w:space="0" w:color="448A99"/>
              <w:left w:val="nil"/>
              <w:bottom w:val="single" w:sz="8" w:space="0" w:color="448A99"/>
              <w:right w:val="single" w:sz="8" w:space="0" w:color="448A99"/>
            </w:tcBorders>
            <w:shd w:val="clear" w:color="000000" w:fill="448A99"/>
            <w:vAlign w:val="center"/>
          </w:tcPr>
          <w:p w:rsidR="004B4AD9" w:rsidRPr="00B914EA" w:rsidRDefault="004B4AD9" w:rsidP="00375285">
            <w:pPr>
              <w:jc w:val="center"/>
              <w:rPr>
                <w:b/>
                <w:bCs/>
                <w:color w:val="FFFFFF"/>
                <w:sz w:val="20"/>
                <w:szCs w:val="20"/>
              </w:rPr>
            </w:pPr>
            <w:r w:rsidRPr="00B914EA">
              <w:rPr>
                <w:b/>
                <w:bCs/>
                <w:color w:val="FFFFFF"/>
                <w:sz w:val="20"/>
                <w:szCs w:val="20"/>
              </w:rPr>
              <w:t>Phase II Reported Gross Demand Savings (MW)</w:t>
            </w:r>
          </w:p>
        </w:tc>
        <w:tc>
          <w:tcPr>
            <w:tcW w:w="3118" w:type="dxa"/>
            <w:tcBorders>
              <w:top w:val="single" w:sz="8" w:space="0" w:color="448A99"/>
              <w:left w:val="nil"/>
              <w:bottom w:val="single" w:sz="8" w:space="0" w:color="448A99"/>
              <w:right w:val="nil"/>
            </w:tcBorders>
            <w:shd w:val="clear" w:color="000000" w:fill="448A99"/>
            <w:vAlign w:val="center"/>
          </w:tcPr>
          <w:p w:rsidR="004B4AD9" w:rsidRPr="00B914EA" w:rsidRDefault="004B4AD9" w:rsidP="00375285">
            <w:pPr>
              <w:jc w:val="center"/>
              <w:rPr>
                <w:b/>
                <w:bCs/>
                <w:color w:val="FFFFFF" w:themeColor="background1"/>
                <w:sz w:val="20"/>
                <w:szCs w:val="20"/>
              </w:rPr>
            </w:pPr>
            <w:r w:rsidRPr="00B914EA">
              <w:rPr>
                <w:b/>
                <w:color w:val="FFFFFF" w:themeColor="background1"/>
                <w:sz w:val="20"/>
                <w:szCs w:val="20"/>
              </w:rPr>
              <w:t>Phase II Verified Gross Demand Savings (MW)</w:t>
            </w:r>
          </w:p>
        </w:tc>
      </w:tr>
      <w:tr w:rsidR="00A874AC" w:rsidRPr="009A65FD" w:rsidTr="00592FD5">
        <w:trPr>
          <w:trHeight w:val="288"/>
        </w:trPr>
        <w:tc>
          <w:tcPr>
            <w:tcW w:w="3117" w:type="dxa"/>
            <w:tcBorders>
              <w:top w:val="nil"/>
              <w:left w:val="single" w:sz="8" w:space="0" w:color="448A99"/>
              <w:bottom w:val="single" w:sz="8" w:space="0" w:color="448A99"/>
              <w:right w:val="single" w:sz="8" w:space="0" w:color="448A99"/>
            </w:tcBorders>
            <w:shd w:val="clear" w:color="000000" w:fill="D2EAF1"/>
            <w:vAlign w:val="center"/>
          </w:tcPr>
          <w:p w:rsidR="004B4AD9" w:rsidRPr="00B914EA" w:rsidRDefault="004B4AD9" w:rsidP="00375285">
            <w:pPr>
              <w:rPr>
                <w:bCs/>
                <w:color w:val="000000"/>
                <w:sz w:val="20"/>
                <w:szCs w:val="20"/>
              </w:rPr>
            </w:pPr>
            <w:r w:rsidRPr="00B914EA">
              <w:rPr>
                <w:color w:val="000000"/>
                <w:sz w:val="20"/>
                <w:szCs w:val="20"/>
              </w:rPr>
              <w:t>Duquesne</w:t>
            </w:r>
          </w:p>
        </w:tc>
        <w:tc>
          <w:tcPr>
            <w:tcW w:w="3118" w:type="dxa"/>
            <w:tcBorders>
              <w:top w:val="single" w:sz="8" w:space="0" w:color="448A99"/>
              <w:left w:val="nil"/>
              <w:bottom w:val="single" w:sz="8" w:space="0" w:color="448A99"/>
              <w:right w:val="single" w:sz="8" w:space="0" w:color="448A99"/>
            </w:tcBorders>
            <w:shd w:val="clear" w:color="000000" w:fill="D2EAF1"/>
            <w:vAlign w:val="center"/>
          </w:tcPr>
          <w:p w:rsidR="004B4AD9" w:rsidRPr="00B914EA" w:rsidRDefault="004B4AD9" w:rsidP="00375285">
            <w:pPr>
              <w:jc w:val="center"/>
              <w:rPr>
                <w:sz w:val="20"/>
                <w:szCs w:val="20"/>
              </w:rPr>
            </w:pPr>
            <w:r w:rsidRPr="00B914EA">
              <w:rPr>
                <w:sz w:val="20"/>
                <w:szCs w:val="20"/>
              </w:rPr>
              <w:t>43.81</w:t>
            </w:r>
          </w:p>
        </w:tc>
        <w:tc>
          <w:tcPr>
            <w:tcW w:w="3118" w:type="dxa"/>
            <w:tcBorders>
              <w:top w:val="single" w:sz="8" w:space="0" w:color="448A99"/>
              <w:left w:val="single" w:sz="8" w:space="0" w:color="448A99"/>
              <w:bottom w:val="single" w:sz="8" w:space="0" w:color="448A99"/>
              <w:right w:val="single" w:sz="8" w:space="0" w:color="448A99"/>
            </w:tcBorders>
            <w:shd w:val="clear" w:color="000000" w:fill="D2EAF1"/>
            <w:vAlign w:val="center"/>
          </w:tcPr>
          <w:p w:rsidR="004B4AD9" w:rsidRPr="00B914EA" w:rsidRDefault="004B4AD9" w:rsidP="00375285">
            <w:pPr>
              <w:jc w:val="center"/>
              <w:rPr>
                <w:sz w:val="20"/>
                <w:szCs w:val="20"/>
              </w:rPr>
            </w:pPr>
            <w:r w:rsidRPr="00B914EA">
              <w:rPr>
                <w:sz w:val="20"/>
                <w:szCs w:val="20"/>
              </w:rPr>
              <w:t>45.62</w:t>
            </w:r>
          </w:p>
        </w:tc>
      </w:tr>
      <w:tr w:rsidR="004B4AD9" w:rsidRPr="009A65FD" w:rsidTr="00592FD5">
        <w:trPr>
          <w:trHeight w:val="288"/>
        </w:trPr>
        <w:tc>
          <w:tcPr>
            <w:tcW w:w="3117" w:type="dxa"/>
            <w:tcBorders>
              <w:top w:val="nil"/>
              <w:left w:val="single" w:sz="8" w:space="0" w:color="448A99"/>
              <w:bottom w:val="single" w:sz="8" w:space="0" w:color="448A99"/>
              <w:right w:val="single" w:sz="8" w:space="0" w:color="448A99"/>
            </w:tcBorders>
            <w:shd w:val="clear" w:color="auto" w:fill="auto"/>
            <w:vAlign w:val="center"/>
          </w:tcPr>
          <w:p w:rsidR="004B4AD9" w:rsidRPr="00B914EA" w:rsidRDefault="004B4AD9" w:rsidP="00375285">
            <w:pPr>
              <w:rPr>
                <w:bCs/>
                <w:color w:val="000000"/>
                <w:sz w:val="20"/>
                <w:szCs w:val="20"/>
                <w:lang w:eastAsia="zh-CN"/>
              </w:rPr>
            </w:pPr>
            <w:r w:rsidRPr="00B914EA">
              <w:rPr>
                <w:color w:val="000000"/>
                <w:sz w:val="20"/>
                <w:szCs w:val="20"/>
              </w:rPr>
              <w:t>Met-Ed</w:t>
            </w:r>
          </w:p>
        </w:tc>
        <w:tc>
          <w:tcPr>
            <w:tcW w:w="3118" w:type="dxa"/>
            <w:tcBorders>
              <w:top w:val="single" w:sz="8" w:space="0" w:color="448A99"/>
              <w:left w:val="nil"/>
              <w:bottom w:val="single" w:sz="8" w:space="0" w:color="448A99"/>
              <w:right w:val="single" w:sz="8" w:space="0" w:color="448A99"/>
            </w:tcBorders>
            <w:shd w:val="clear" w:color="auto" w:fill="auto"/>
            <w:vAlign w:val="center"/>
          </w:tcPr>
          <w:p w:rsidR="004B4AD9" w:rsidRPr="00B914EA" w:rsidRDefault="004B4AD9" w:rsidP="00375285">
            <w:pPr>
              <w:jc w:val="center"/>
              <w:rPr>
                <w:sz w:val="20"/>
                <w:szCs w:val="20"/>
              </w:rPr>
            </w:pPr>
            <w:r w:rsidRPr="00B914EA">
              <w:rPr>
                <w:sz w:val="20"/>
                <w:szCs w:val="20"/>
              </w:rPr>
              <w:t>44.24</w:t>
            </w:r>
          </w:p>
        </w:tc>
        <w:tc>
          <w:tcPr>
            <w:tcW w:w="3118" w:type="dxa"/>
            <w:tcBorders>
              <w:top w:val="single" w:sz="8" w:space="0" w:color="448A99"/>
              <w:left w:val="single" w:sz="8" w:space="0" w:color="448A99"/>
              <w:bottom w:val="single" w:sz="8" w:space="0" w:color="448A99"/>
              <w:right w:val="single" w:sz="8" w:space="0" w:color="448A99"/>
            </w:tcBorders>
            <w:vAlign w:val="center"/>
          </w:tcPr>
          <w:p w:rsidR="004B4AD9" w:rsidRPr="00B914EA" w:rsidRDefault="004B4AD9" w:rsidP="00375285">
            <w:pPr>
              <w:jc w:val="center"/>
              <w:rPr>
                <w:sz w:val="20"/>
                <w:szCs w:val="20"/>
              </w:rPr>
            </w:pPr>
            <w:r w:rsidRPr="00B914EA">
              <w:rPr>
                <w:sz w:val="20"/>
                <w:szCs w:val="20"/>
              </w:rPr>
              <w:t>45.66</w:t>
            </w:r>
          </w:p>
        </w:tc>
      </w:tr>
      <w:tr w:rsidR="00A874AC" w:rsidRPr="009A65FD" w:rsidTr="00592FD5">
        <w:trPr>
          <w:trHeight w:val="288"/>
        </w:trPr>
        <w:tc>
          <w:tcPr>
            <w:tcW w:w="3117" w:type="dxa"/>
            <w:tcBorders>
              <w:top w:val="nil"/>
              <w:left w:val="single" w:sz="8" w:space="0" w:color="448A99"/>
              <w:bottom w:val="single" w:sz="8" w:space="0" w:color="448A99"/>
              <w:right w:val="single" w:sz="8" w:space="0" w:color="448A99"/>
            </w:tcBorders>
            <w:shd w:val="clear" w:color="000000" w:fill="D2EAF1"/>
            <w:vAlign w:val="center"/>
          </w:tcPr>
          <w:p w:rsidR="004B4AD9" w:rsidRPr="00B914EA" w:rsidRDefault="004B4AD9" w:rsidP="00375285">
            <w:pPr>
              <w:rPr>
                <w:bCs/>
                <w:color w:val="000000"/>
                <w:sz w:val="20"/>
                <w:szCs w:val="20"/>
                <w:lang w:eastAsia="zh-CN"/>
              </w:rPr>
            </w:pPr>
            <w:r w:rsidRPr="00B914EA">
              <w:rPr>
                <w:color w:val="000000"/>
                <w:sz w:val="20"/>
                <w:szCs w:val="20"/>
              </w:rPr>
              <w:t>Penelec</w:t>
            </w:r>
          </w:p>
        </w:tc>
        <w:tc>
          <w:tcPr>
            <w:tcW w:w="3118" w:type="dxa"/>
            <w:tcBorders>
              <w:top w:val="single" w:sz="8" w:space="0" w:color="448A99"/>
              <w:left w:val="nil"/>
              <w:bottom w:val="single" w:sz="8" w:space="0" w:color="448A99"/>
              <w:right w:val="single" w:sz="8" w:space="0" w:color="448A99"/>
            </w:tcBorders>
            <w:shd w:val="clear" w:color="000000" w:fill="D2EAF1"/>
            <w:vAlign w:val="center"/>
          </w:tcPr>
          <w:p w:rsidR="004B4AD9" w:rsidRPr="00B914EA" w:rsidRDefault="004B4AD9" w:rsidP="00375285">
            <w:pPr>
              <w:jc w:val="center"/>
              <w:rPr>
                <w:sz w:val="20"/>
                <w:szCs w:val="20"/>
              </w:rPr>
            </w:pPr>
            <w:r w:rsidRPr="00B914EA">
              <w:rPr>
                <w:sz w:val="20"/>
                <w:szCs w:val="20"/>
              </w:rPr>
              <w:t>44.50</w:t>
            </w:r>
          </w:p>
        </w:tc>
        <w:tc>
          <w:tcPr>
            <w:tcW w:w="3118" w:type="dxa"/>
            <w:tcBorders>
              <w:top w:val="single" w:sz="8" w:space="0" w:color="448A99"/>
              <w:left w:val="single" w:sz="8" w:space="0" w:color="448A99"/>
              <w:bottom w:val="single" w:sz="8" w:space="0" w:color="448A99"/>
              <w:right w:val="single" w:sz="8" w:space="0" w:color="448A99"/>
            </w:tcBorders>
            <w:shd w:val="clear" w:color="000000" w:fill="D2EAF1"/>
            <w:vAlign w:val="center"/>
          </w:tcPr>
          <w:p w:rsidR="004B4AD9" w:rsidRPr="00B914EA" w:rsidRDefault="004B4AD9" w:rsidP="00375285">
            <w:pPr>
              <w:jc w:val="center"/>
              <w:rPr>
                <w:sz w:val="20"/>
                <w:szCs w:val="20"/>
              </w:rPr>
            </w:pPr>
            <w:r w:rsidRPr="00B914EA">
              <w:rPr>
                <w:sz w:val="20"/>
                <w:szCs w:val="20"/>
              </w:rPr>
              <w:t>44.31</w:t>
            </w:r>
          </w:p>
        </w:tc>
      </w:tr>
      <w:tr w:rsidR="004B4AD9" w:rsidRPr="009A65FD" w:rsidTr="00592FD5">
        <w:trPr>
          <w:trHeight w:val="288"/>
        </w:trPr>
        <w:tc>
          <w:tcPr>
            <w:tcW w:w="3117" w:type="dxa"/>
            <w:tcBorders>
              <w:top w:val="nil"/>
              <w:left w:val="single" w:sz="8" w:space="0" w:color="448A99"/>
              <w:bottom w:val="single" w:sz="8" w:space="0" w:color="448A99"/>
              <w:right w:val="single" w:sz="8" w:space="0" w:color="448A99"/>
            </w:tcBorders>
            <w:shd w:val="clear" w:color="auto" w:fill="auto"/>
            <w:vAlign w:val="center"/>
          </w:tcPr>
          <w:p w:rsidR="004B4AD9" w:rsidRPr="00B914EA" w:rsidRDefault="004B4AD9" w:rsidP="00375285">
            <w:pPr>
              <w:rPr>
                <w:bCs/>
                <w:color w:val="000000"/>
                <w:sz w:val="20"/>
                <w:szCs w:val="20"/>
                <w:lang w:eastAsia="zh-CN"/>
              </w:rPr>
            </w:pPr>
            <w:r w:rsidRPr="00B914EA">
              <w:rPr>
                <w:color w:val="000000"/>
                <w:sz w:val="20"/>
                <w:szCs w:val="20"/>
              </w:rPr>
              <w:t>Penn Power</w:t>
            </w:r>
          </w:p>
        </w:tc>
        <w:tc>
          <w:tcPr>
            <w:tcW w:w="3118" w:type="dxa"/>
            <w:tcBorders>
              <w:top w:val="single" w:sz="8" w:space="0" w:color="448A99"/>
              <w:left w:val="nil"/>
              <w:bottom w:val="single" w:sz="8" w:space="0" w:color="448A99"/>
              <w:right w:val="single" w:sz="8" w:space="0" w:color="448A99"/>
            </w:tcBorders>
            <w:shd w:val="clear" w:color="auto" w:fill="auto"/>
            <w:vAlign w:val="center"/>
          </w:tcPr>
          <w:p w:rsidR="004B4AD9" w:rsidRPr="00B914EA" w:rsidRDefault="004B4AD9" w:rsidP="00375285">
            <w:pPr>
              <w:jc w:val="center"/>
              <w:rPr>
                <w:sz w:val="20"/>
                <w:szCs w:val="20"/>
              </w:rPr>
            </w:pPr>
            <w:r w:rsidRPr="00B914EA">
              <w:rPr>
                <w:sz w:val="20"/>
                <w:szCs w:val="20"/>
              </w:rPr>
              <w:t>12.18</w:t>
            </w:r>
          </w:p>
        </w:tc>
        <w:tc>
          <w:tcPr>
            <w:tcW w:w="3118" w:type="dxa"/>
            <w:tcBorders>
              <w:top w:val="single" w:sz="8" w:space="0" w:color="448A99"/>
              <w:left w:val="single" w:sz="8" w:space="0" w:color="448A99"/>
              <w:bottom w:val="single" w:sz="8" w:space="0" w:color="448A99"/>
              <w:right w:val="single" w:sz="8" w:space="0" w:color="448A99"/>
            </w:tcBorders>
            <w:vAlign w:val="center"/>
          </w:tcPr>
          <w:p w:rsidR="004B4AD9" w:rsidRPr="00B914EA" w:rsidRDefault="004B4AD9" w:rsidP="00375285">
            <w:pPr>
              <w:jc w:val="center"/>
              <w:rPr>
                <w:sz w:val="20"/>
                <w:szCs w:val="20"/>
              </w:rPr>
            </w:pPr>
            <w:r w:rsidRPr="00B914EA">
              <w:rPr>
                <w:sz w:val="20"/>
                <w:szCs w:val="20"/>
              </w:rPr>
              <w:t>13.21</w:t>
            </w:r>
          </w:p>
        </w:tc>
      </w:tr>
      <w:tr w:rsidR="00A874AC" w:rsidRPr="009A65FD" w:rsidTr="00592FD5">
        <w:trPr>
          <w:trHeight w:val="288"/>
        </w:trPr>
        <w:tc>
          <w:tcPr>
            <w:tcW w:w="3117" w:type="dxa"/>
            <w:tcBorders>
              <w:top w:val="nil"/>
              <w:left w:val="single" w:sz="8" w:space="0" w:color="448A99"/>
              <w:bottom w:val="single" w:sz="8" w:space="0" w:color="448A99"/>
              <w:right w:val="single" w:sz="8" w:space="0" w:color="448A99"/>
            </w:tcBorders>
            <w:shd w:val="clear" w:color="000000" w:fill="D2EAF1"/>
            <w:vAlign w:val="center"/>
          </w:tcPr>
          <w:p w:rsidR="004B4AD9" w:rsidRPr="00B914EA" w:rsidRDefault="004B4AD9" w:rsidP="00375285">
            <w:pPr>
              <w:rPr>
                <w:bCs/>
                <w:color w:val="000000"/>
                <w:sz w:val="20"/>
                <w:szCs w:val="20"/>
                <w:lang w:eastAsia="zh-CN"/>
              </w:rPr>
            </w:pPr>
            <w:r w:rsidRPr="00B914EA">
              <w:rPr>
                <w:color w:val="000000"/>
                <w:sz w:val="20"/>
                <w:szCs w:val="20"/>
              </w:rPr>
              <w:t xml:space="preserve">West Penn </w:t>
            </w:r>
          </w:p>
        </w:tc>
        <w:tc>
          <w:tcPr>
            <w:tcW w:w="3118" w:type="dxa"/>
            <w:tcBorders>
              <w:top w:val="single" w:sz="8" w:space="0" w:color="448A99"/>
              <w:left w:val="nil"/>
              <w:bottom w:val="single" w:sz="8" w:space="0" w:color="448A99"/>
              <w:right w:val="single" w:sz="8" w:space="0" w:color="448A99"/>
            </w:tcBorders>
            <w:shd w:val="clear" w:color="000000" w:fill="D2EAF1"/>
            <w:vAlign w:val="center"/>
          </w:tcPr>
          <w:p w:rsidR="004B4AD9" w:rsidRPr="00B914EA" w:rsidRDefault="004B4AD9" w:rsidP="00375285">
            <w:pPr>
              <w:jc w:val="center"/>
              <w:rPr>
                <w:sz w:val="20"/>
                <w:szCs w:val="20"/>
              </w:rPr>
            </w:pPr>
            <w:r w:rsidRPr="00B914EA">
              <w:rPr>
                <w:sz w:val="20"/>
                <w:szCs w:val="20"/>
              </w:rPr>
              <w:t>44.27</w:t>
            </w:r>
          </w:p>
        </w:tc>
        <w:tc>
          <w:tcPr>
            <w:tcW w:w="3118" w:type="dxa"/>
            <w:tcBorders>
              <w:top w:val="single" w:sz="8" w:space="0" w:color="448A99"/>
              <w:left w:val="single" w:sz="8" w:space="0" w:color="448A99"/>
              <w:bottom w:val="single" w:sz="8" w:space="0" w:color="448A99"/>
              <w:right w:val="single" w:sz="8" w:space="0" w:color="448A99"/>
            </w:tcBorders>
            <w:shd w:val="clear" w:color="000000" w:fill="D2EAF1"/>
            <w:vAlign w:val="center"/>
          </w:tcPr>
          <w:p w:rsidR="004B4AD9" w:rsidRPr="00B914EA" w:rsidRDefault="004B4AD9" w:rsidP="00375285">
            <w:pPr>
              <w:jc w:val="center"/>
              <w:rPr>
                <w:sz w:val="20"/>
                <w:szCs w:val="20"/>
              </w:rPr>
            </w:pPr>
            <w:r w:rsidRPr="00B914EA">
              <w:rPr>
                <w:sz w:val="20"/>
                <w:szCs w:val="20"/>
              </w:rPr>
              <w:t>44.37</w:t>
            </w:r>
          </w:p>
        </w:tc>
      </w:tr>
      <w:tr w:rsidR="004B4AD9" w:rsidRPr="009A65FD" w:rsidTr="00592FD5">
        <w:trPr>
          <w:trHeight w:val="288"/>
        </w:trPr>
        <w:tc>
          <w:tcPr>
            <w:tcW w:w="3117" w:type="dxa"/>
            <w:tcBorders>
              <w:top w:val="nil"/>
              <w:left w:val="single" w:sz="8" w:space="0" w:color="448A99"/>
              <w:bottom w:val="single" w:sz="8" w:space="0" w:color="448A99"/>
              <w:right w:val="single" w:sz="8" w:space="0" w:color="448A99"/>
            </w:tcBorders>
            <w:shd w:val="clear" w:color="auto" w:fill="auto"/>
            <w:vAlign w:val="center"/>
          </w:tcPr>
          <w:p w:rsidR="004B4AD9" w:rsidRPr="00B914EA" w:rsidRDefault="004B4AD9" w:rsidP="00375285">
            <w:pPr>
              <w:rPr>
                <w:bCs/>
                <w:color w:val="000000"/>
                <w:sz w:val="20"/>
                <w:szCs w:val="20"/>
              </w:rPr>
            </w:pPr>
            <w:r w:rsidRPr="00B914EA">
              <w:rPr>
                <w:color w:val="000000"/>
                <w:sz w:val="20"/>
                <w:szCs w:val="20"/>
              </w:rPr>
              <w:t>PECO</w:t>
            </w:r>
          </w:p>
        </w:tc>
        <w:tc>
          <w:tcPr>
            <w:tcW w:w="3118" w:type="dxa"/>
            <w:tcBorders>
              <w:top w:val="single" w:sz="8" w:space="0" w:color="448A99"/>
              <w:left w:val="nil"/>
              <w:bottom w:val="single" w:sz="8" w:space="0" w:color="448A99"/>
              <w:right w:val="single" w:sz="8" w:space="0" w:color="448A99"/>
            </w:tcBorders>
            <w:shd w:val="clear" w:color="auto" w:fill="auto"/>
            <w:vAlign w:val="center"/>
          </w:tcPr>
          <w:p w:rsidR="004B4AD9" w:rsidRPr="00B914EA" w:rsidRDefault="004B4AD9" w:rsidP="00375285">
            <w:pPr>
              <w:jc w:val="center"/>
              <w:rPr>
                <w:sz w:val="20"/>
                <w:szCs w:val="20"/>
              </w:rPr>
            </w:pPr>
            <w:r w:rsidRPr="00B914EA">
              <w:rPr>
                <w:sz w:val="20"/>
                <w:szCs w:val="20"/>
              </w:rPr>
              <w:t>204.1</w:t>
            </w:r>
          </w:p>
        </w:tc>
        <w:tc>
          <w:tcPr>
            <w:tcW w:w="3118" w:type="dxa"/>
            <w:tcBorders>
              <w:top w:val="single" w:sz="8" w:space="0" w:color="448A99"/>
              <w:left w:val="single" w:sz="8" w:space="0" w:color="448A99"/>
              <w:bottom w:val="single" w:sz="8" w:space="0" w:color="448A99"/>
              <w:right w:val="single" w:sz="8" w:space="0" w:color="448A99"/>
            </w:tcBorders>
            <w:vAlign w:val="center"/>
          </w:tcPr>
          <w:p w:rsidR="004B4AD9" w:rsidRPr="00B914EA" w:rsidRDefault="004B4AD9" w:rsidP="00375285">
            <w:pPr>
              <w:jc w:val="center"/>
              <w:rPr>
                <w:sz w:val="20"/>
                <w:szCs w:val="20"/>
              </w:rPr>
            </w:pPr>
            <w:r w:rsidRPr="00B914EA">
              <w:rPr>
                <w:sz w:val="20"/>
                <w:szCs w:val="20"/>
              </w:rPr>
              <w:t>224.8</w:t>
            </w:r>
          </w:p>
        </w:tc>
      </w:tr>
      <w:tr w:rsidR="00A874AC" w:rsidRPr="009A65FD" w:rsidTr="00592FD5">
        <w:trPr>
          <w:trHeight w:val="288"/>
        </w:trPr>
        <w:tc>
          <w:tcPr>
            <w:tcW w:w="3117" w:type="dxa"/>
            <w:tcBorders>
              <w:top w:val="nil"/>
              <w:left w:val="single" w:sz="8" w:space="0" w:color="448A99"/>
              <w:bottom w:val="single" w:sz="8" w:space="0" w:color="448A99"/>
              <w:right w:val="single" w:sz="8" w:space="0" w:color="448A99"/>
            </w:tcBorders>
            <w:shd w:val="clear" w:color="000000" w:fill="D2EAF1"/>
            <w:vAlign w:val="center"/>
          </w:tcPr>
          <w:p w:rsidR="004B4AD9" w:rsidRPr="00B914EA" w:rsidRDefault="004B4AD9" w:rsidP="00375285">
            <w:pPr>
              <w:rPr>
                <w:bCs/>
                <w:color w:val="000000"/>
                <w:sz w:val="20"/>
                <w:szCs w:val="20"/>
              </w:rPr>
            </w:pPr>
            <w:r w:rsidRPr="00B914EA">
              <w:rPr>
                <w:color w:val="000000"/>
                <w:sz w:val="20"/>
                <w:szCs w:val="20"/>
              </w:rPr>
              <w:t>PPL</w:t>
            </w:r>
          </w:p>
        </w:tc>
        <w:tc>
          <w:tcPr>
            <w:tcW w:w="3118" w:type="dxa"/>
            <w:tcBorders>
              <w:top w:val="single" w:sz="8" w:space="0" w:color="448A99"/>
              <w:left w:val="nil"/>
              <w:bottom w:val="single" w:sz="8" w:space="0" w:color="448A99"/>
              <w:right w:val="single" w:sz="8" w:space="0" w:color="448A99"/>
            </w:tcBorders>
            <w:shd w:val="clear" w:color="000000" w:fill="D2EAF1"/>
            <w:vAlign w:val="center"/>
          </w:tcPr>
          <w:p w:rsidR="004B4AD9" w:rsidRPr="00B914EA" w:rsidRDefault="004B4AD9" w:rsidP="00375285">
            <w:pPr>
              <w:jc w:val="center"/>
              <w:rPr>
                <w:sz w:val="20"/>
                <w:szCs w:val="20"/>
              </w:rPr>
            </w:pPr>
            <w:r w:rsidRPr="00B914EA">
              <w:rPr>
                <w:sz w:val="20"/>
                <w:szCs w:val="20"/>
              </w:rPr>
              <w:t>144.45</w:t>
            </w:r>
          </w:p>
        </w:tc>
        <w:tc>
          <w:tcPr>
            <w:tcW w:w="3118" w:type="dxa"/>
            <w:tcBorders>
              <w:top w:val="single" w:sz="8" w:space="0" w:color="448A99"/>
              <w:left w:val="single" w:sz="8" w:space="0" w:color="448A99"/>
              <w:bottom w:val="single" w:sz="8" w:space="0" w:color="448A99"/>
              <w:right w:val="single" w:sz="8" w:space="0" w:color="448A99"/>
            </w:tcBorders>
            <w:shd w:val="clear" w:color="000000" w:fill="D2EAF1"/>
            <w:vAlign w:val="center"/>
          </w:tcPr>
          <w:p w:rsidR="004B4AD9" w:rsidRPr="00B914EA" w:rsidRDefault="004B4AD9" w:rsidP="00375285">
            <w:pPr>
              <w:jc w:val="center"/>
              <w:rPr>
                <w:sz w:val="20"/>
                <w:szCs w:val="20"/>
              </w:rPr>
            </w:pPr>
            <w:r w:rsidRPr="00B914EA">
              <w:rPr>
                <w:sz w:val="20"/>
                <w:szCs w:val="20"/>
              </w:rPr>
              <w:t>106.27</w:t>
            </w:r>
          </w:p>
        </w:tc>
      </w:tr>
      <w:tr w:rsidR="004B4AD9" w:rsidRPr="00A57559" w:rsidTr="00592FD5">
        <w:trPr>
          <w:trHeight w:val="288"/>
        </w:trPr>
        <w:tc>
          <w:tcPr>
            <w:tcW w:w="3117" w:type="dxa"/>
            <w:tcBorders>
              <w:top w:val="nil"/>
              <w:left w:val="single" w:sz="8" w:space="0" w:color="448A99"/>
              <w:bottom w:val="single" w:sz="8" w:space="0" w:color="448A99"/>
              <w:right w:val="single" w:sz="8" w:space="0" w:color="448A99"/>
            </w:tcBorders>
            <w:shd w:val="clear" w:color="auto" w:fill="auto"/>
            <w:vAlign w:val="center"/>
          </w:tcPr>
          <w:p w:rsidR="004B4AD9" w:rsidRPr="00B914EA" w:rsidRDefault="004B4AD9" w:rsidP="00375285">
            <w:pPr>
              <w:rPr>
                <w:b/>
                <w:bCs/>
                <w:iCs/>
                <w:color w:val="000000"/>
                <w:sz w:val="20"/>
                <w:szCs w:val="20"/>
              </w:rPr>
            </w:pPr>
            <w:r w:rsidRPr="00B914EA">
              <w:rPr>
                <w:b/>
                <w:bCs/>
                <w:color w:val="000000"/>
                <w:sz w:val="20"/>
                <w:szCs w:val="20"/>
              </w:rPr>
              <w:t>Total</w:t>
            </w:r>
          </w:p>
        </w:tc>
        <w:tc>
          <w:tcPr>
            <w:tcW w:w="3118" w:type="dxa"/>
            <w:tcBorders>
              <w:top w:val="single" w:sz="8" w:space="0" w:color="448A99"/>
              <w:left w:val="nil"/>
              <w:bottom w:val="single" w:sz="8" w:space="0" w:color="448A99"/>
              <w:right w:val="single" w:sz="8" w:space="0" w:color="448A99"/>
            </w:tcBorders>
            <w:shd w:val="clear" w:color="auto" w:fill="auto"/>
            <w:vAlign w:val="center"/>
          </w:tcPr>
          <w:p w:rsidR="004B4AD9" w:rsidRPr="00B914EA" w:rsidRDefault="004B4AD9" w:rsidP="00375285">
            <w:pPr>
              <w:jc w:val="center"/>
              <w:rPr>
                <w:b/>
                <w:bCs/>
                <w:iCs/>
                <w:color w:val="000000"/>
                <w:sz w:val="20"/>
                <w:szCs w:val="20"/>
              </w:rPr>
            </w:pPr>
            <w:r w:rsidRPr="00B914EA">
              <w:rPr>
                <w:b/>
                <w:bCs/>
                <w:iCs/>
                <w:color w:val="000000"/>
                <w:sz w:val="20"/>
                <w:szCs w:val="20"/>
              </w:rPr>
              <w:t>537.6</w:t>
            </w:r>
          </w:p>
        </w:tc>
        <w:tc>
          <w:tcPr>
            <w:tcW w:w="3118" w:type="dxa"/>
            <w:tcBorders>
              <w:top w:val="single" w:sz="8" w:space="0" w:color="448A99"/>
              <w:left w:val="single" w:sz="8" w:space="0" w:color="448A99"/>
              <w:bottom w:val="single" w:sz="8" w:space="0" w:color="448A99"/>
              <w:right w:val="single" w:sz="8" w:space="0" w:color="448A99"/>
            </w:tcBorders>
            <w:vAlign w:val="center"/>
          </w:tcPr>
          <w:p w:rsidR="004B4AD9" w:rsidRPr="00B914EA" w:rsidRDefault="004B4AD9" w:rsidP="00375285">
            <w:pPr>
              <w:jc w:val="center"/>
              <w:rPr>
                <w:b/>
                <w:bCs/>
                <w:iCs/>
                <w:color w:val="000000"/>
                <w:sz w:val="20"/>
                <w:szCs w:val="20"/>
              </w:rPr>
            </w:pPr>
            <w:r w:rsidRPr="00B914EA">
              <w:rPr>
                <w:b/>
                <w:sz w:val="20"/>
                <w:szCs w:val="20"/>
              </w:rPr>
              <w:t>524.2</w:t>
            </w:r>
          </w:p>
        </w:tc>
      </w:tr>
    </w:tbl>
    <w:p w:rsidR="00375285" w:rsidRDefault="00375285" w:rsidP="00375285"/>
    <w:p w:rsidR="00375285" w:rsidRDefault="007735DA" w:rsidP="00375285">
      <w:r>
        <w:fldChar w:fldCharType="begin"/>
      </w:r>
      <w:r>
        <w:instrText xml:space="preserve"> REF _Ref472347417 \h </w:instrText>
      </w:r>
      <w:r>
        <w:fldChar w:fldCharType="separate"/>
      </w:r>
      <w:r w:rsidR="00C301D0">
        <w:t xml:space="preserve">Table </w:t>
      </w:r>
      <w:r w:rsidR="00C301D0">
        <w:rPr>
          <w:noProof/>
        </w:rPr>
        <w:t>3</w:t>
      </w:r>
      <w:r w:rsidR="00C301D0">
        <w:noBreakHyphen/>
      </w:r>
      <w:r w:rsidR="00C301D0">
        <w:rPr>
          <w:noProof/>
        </w:rPr>
        <w:t>2</w:t>
      </w:r>
      <w:r>
        <w:fldChar w:fldCharType="end"/>
      </w:r>
      <w:r w:rsidR="00375285">
        <w:t xml:space="preserve"> summarizes the Phase II </w:t>
      </w:r>
      <w:r>
        <w:t>v</w:t>
      </w:r>
      <w:r w:rsidR="00375285">
        <w:t xml:space="preserve">erified </w:t>
      </w:r>
      <w:r>
        <w:t>d</w:t>
      </w:r>
      <w:r w:rsidR="00375285">
        <w:t>emand reductions for each EDC, by sector.</w:t>
      </w:r>
      <w:r>
        <w:t xml:space="preserve"> The C</w:t>
      </w:r>
      <w:r w:rsidR="00B60292">
        <w:t>/I</w:t>
      </w:r>
      <w:r>
        <w:t xml:space="preserve"> sector accounted for the greatest proportion of demand savings across the state in Phase II.</w:t>
      </w:r>
      <w:r w:rsidR="00706F10">
        <w:t xml:space="preserve"> Figure 3-1 presents this </w:t>
      </w:r>
      <w:r w:rsidR="00780A4F">
        <w:t>PY5, PY6, and Phase II</w:t>
      </w:r>
      <w:r w:rsidR="00956A49">
        <w:t xml:space="preserve"> </w:t>
      </w:r>
      <w:r w:rsidR="00780A4F">
        <w:t xml:space="preserve">cumulative demand savings by sector </w:t>
      </w:r>
      <w:r w:rsidR="00706F10">
        <w:t>in graphical form.</w:t>
      </w:r>
    </w:p>
    <w:p w:rsidR="007735DA" w:rsidRDefault="007735DA" w:rsidP="00375285"/>
    <w:p w:rsidR="007735DA" w:rsidRDefault="007735DA" w:rsidP="007735DA">
      <w:pPr>
        <w:pStyle w:val="Caption"/>
      </w:pPr>
      <w:bookmarkStart w:id="251" w:name="_Ref472347417"/>
      <w:bookmarkStart w:id="252" w:name="_Toc472472177"/>
      <w:bookmarkStart w:id="253" w:name="_Toc476913990"/>
      <w:r>
        <w:t xml:space="preserve">Table </w:t>
      </w:r>
      <w:fldSimple w:instr=" STYLEREF 1 \s ">
        <w:r w:rsidR="00C301D0">
          <w:rPr>
            <w:noProof/>
          </w:rPr>
          <w:t>3</w:t>
        </w:r>
      </w:fldSimple>
      <w:r w:rsidR="00E6042C">
        <w:noBreakHyphen/>
      </w:r>
      <w:fldSimple w:instr=" SEQ Table \* ARABIC \s 1 ">
        <w:r w:rsidR="00C301D0">
          <w:rPr>
            <w:noProof/>
          </w:rPr>
          <w:t>2</w:t>
        </w:r>
      </w:fldSimple>
      <w:bookmarkEnd w:id="251"/>
      <w:r>
        <w:t xml:space="preserve">: Phase II </w:t>
      </w:r>
      <w:r w:rsidR="000206F5">
        <w:t xml:space="preserve">Cumulative </w:t>
      </w:r>
      <w:r w:rsidR="00B60292">
        <w:t xml:space="preserve">Verified </w:t>
      </w:r>
      <w:r>
        <w:t>Demand</w:t>
      </w:r>
      <w:r w:rsidR="00B60292">
        <w:t xml:space="preserve"> (MW)</w:t>
      </w:r>
      <w:r>
        <w:t xml:space="preserve"> Savings, by EDC and Sector</w:t>
      </w:r>
      <w:bookmarkEnd w:id="252"/>
      <w:bookmarkEnd w:id="253"/>
    </w:p>
    <w:tbl>
      <w:tblPr>
        <w:tblW w:w="9350" w:type="dxa"/>
        <w:tblInd w:w="108" w:type="dxa"/>
        <w:tblLayout w:type="fixed"/>
        <w:tblLook w:val="04A0" w:firstRow="1" w:lastRow="0" w:firstColumn="1" w:lastColumn="0" w:noHBand="0" w:noVBand="1"/>
      </w:tblPr>
      <w:tblGrid>
        <w:gridCol w:w="1558"/>
        <w:gridCol w:w="1558"/>
        <w:gridCol w:w="1559"/>
        <w:gridCol w:w="1558"/>
        <w:gridCol w:w="1558"/>
        <w:gridCol w:w="1559"/>
      </w:tblGrid>
      <w:tr w:rsidR="00A874AC" w:rsidRPr="00522089" w:rsidTr="00592FD5">
        <w:trPr>
          <w:trHeight w:val="250"/>
          <w:tblHeader/>
        </w:trPr>
        <w:tc>
          <w:tcPr>
            <w:tcW w:w="1558" w:type="dxa"/>
            <w:tcBorders>
              <w:top w:val="single" w:sz="8" w:space="0" w:color="448A99"/>
              <w:left w:val="single" w:sz="8" w:space="0" w:color="448A99"/>
              <w:bottom w:val="single" w:sz="8" w:space="0" w:color="448A99"/>
              <w:right w:val="nil"/>
            </w:tcBorders>
            <w:shd w:val="clear" w:color="000000" w:fill="448A99"/>
            <w:vAlign w:val="center"/>
            <w:hideMark/>
          </w:tcPr>
          <w:p w:rsidR="00375285" w:rsidRPr="00522089" w:rsidRDefault="007735DA" w:rsidP="00375285">
            <w:pPr>
              <w:rPr>
                <w:b/>
                <w:bCs/>
                <w:color w:val="FFFFFF"/>
                <w:sz w:val="20"/>
                <w:szCs w:val="20"/>
              </w:rPr>
            </w:pPr>
            <w:r>
              <w:rPr>
                <w:b/>
                <w:bCs/>
                <w:color w:val="FFFFFF"/>
                <w:sz w:val="20"/>
                <w:szCs w:val="20"/>
              </w:rPr>
              <w:t>EDC</w:t>
            </w:r>
          </w:p>
        </w:tc>
        <w:tc>
          <w:tcPr>
            <w:tcW w:w="1558" w:type="dxa"/>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375285" w:rsidRPr="00522089" w:rsidRDefault="00375285" w:rsidP="00375285">
            <w:pPr>
              <w:jc w:val="center"/>
              <w:rPr>
                <w:b/>
                <w:bCs/>
                <w:color w:val="FFFFFF"/>
                <w:sz w:val="20"/>
                <w:szCs w:val="20"/>
              </w:rPr>
            </w:pPr>
            <w:r w:rsidRPr="00522089">
              <w:rPr>
                <w:b/>
                <w:bCs/>
                <w:color w:val="FFFFFF"/>
                <w:sz w:val="20"/>
                <w:szCs w:val="20"/>
              </w:rPr>
              <w:t>Residential</w:t>
            </w:r>
          </w:p>
        </w:tc>
        <w:tc>
          <w:tcPr>
            <w:tcW w:w="1559" w:type="dxa"/>
            <w:tcBorders>
              <w:top w:val="single" w:sz="8" w:space="0" w:color="448A99"/>
              <w:left w:val="nil"/>
              <w:bottom w:val="single" w:sz="8" w:space="0" w:color="448A99"/>
              <w:right w:val="single" w:sz="8" w:space="0" w:color="448A99"/>
            </w:tcBorders>
            <w:shd w:val="clear" w:color="000000" w:fill="448A99"/>
            <w:vAlign w:val="center"/>
            <w:hideMark/>
          </w:tcPr>
          <w:p w:rsidR="00375285" w:rsidRPr="00522089" w:rsidRDefault="00375285" w:rsidP="00B60292">
            <w:pPr>
              <w:jc w:val="center"/>
              <w:rPr>
                <w:b/>
                <w:bCs/>
                <w:color w:val="FFFFFF"/>
                <w:sz w:val="20"/>
                <w:szCs w:val="20"/>
              </w:rPr>
            </w:pPr>
            <w:r w:rsidRPr="00522089">
              <w:rPr>
                <w:b/>
                <w:bCs/>
                <w:color w:val="FFFFFF"/>
                <w:sz w:val="20"/>
                <w:szCs w:val="20"/>
              </w:rPr>
              <w:t>C</w:t>
            </w:r>
            <w:r w:rsidR="00B60292">
              <w:rPr>
                <w:b/>
                <w:bCs/>
                <w:color w:val="FFFFFF"/>
                <w:sz w:val="20"/>
                <w:szCs w:val="20"/>
              </w:rPr>
              <w:t>/</w:t>
            </w:r>
            <w:r w:rsidRPr="00522089">
              <w:rPr>
                <w:b/>
                <w:bCs/>
                <w:color w:val="FFFFFF"/>
                <w:sz w:val="20"/>
                <w:szCs w:val="20"/>
              </w:rPr>
              <w:t>I</w:t>
            </w:r>
          </w:p>
        </w:tc>
        <w:tc>
          <w:tcPr>
            <w:tcW w:w="1558" w:type="dxa"/>
            <w:tcBorders>
              <w:top w:val="single" w:sz="8" w:space="0" w:color="448A99"/>
              <w:left w:val="nil"/>
              <w:bottom w:val="single" w:sz="8" w:space="0" w:color="448A99"/>
              <w:right w:val="single" w:sz="8" w:space="0" w:color="448A99"/>
            </w:tcBorders>
            <w:shd w:val="clear" w:color="000000" w:fill="448A99"/>
            <w:vAlign w:val="center"/>
            <w:hideMark/>
          </w:tcPr>
          <w:p w:rsidR="00375285" w:rsidRPr="00522089" w:rsidRDefault="00375285" w:rsidP="00375285">
            <w:pPr>
              <w:jc w:val="center"/>
              <w:rPr>
                <w:b/>
                <w:bCs/>
                <w:color w:val="FFFFFF"/>
                <w:sz w:val="20"/>
                <w:szCs w:val="20"/>
              </w:rPr>
            </w:pPr>
            <w:r w:rsidRPr="00522089">
              <w:rPr>
                <w:b/>
                <w:bCs/>
                <w:color w:val="FFFFFF"/>
                <w:sz w:val="20"/>
                <w:szCs w:val="20"/>
              </w:rPr>
              <w:t>GNI</w:t>
            </w:r>
          </w:p>
        </w:tc>
        <w:tc>
          <w:tcPr>
            <w:tcW w:w="1558" w:type="dxa"/>
            <w:tcBorders>
              <w:top w:val="single" w:sz="8" w:space="0" w:color="448A99"/>
              <w:left w:val="nil"/>
              <w:bottom w:val="single" w:sz="8" w:space="0" w:color="448A99"/>
              <w:right w:val="single" w:sz="8" w:space="0" w:color="448A99"/>
            </w:tcBorders>
            <w:shd w:val="clear" w:color="000000" w:fill="448A99"/>
            <w:vAlign w:val="center"/>
            <w:hideMark/>
          </w:tcPr>
          <w:p w:rsidR="00375285" w:rsidRPr="00522089" w:rsidRDefault="00375285" w:rsidP="00375285">
            <w:pPr>
              <w:jc w:val="center"/>
              <w:rPr>
                <w:b/>
                <w:bCs/>
                <w:color w:val="FFFFFF"/>
                <w:sz w:val="20"/>
                <w:szCs w:val="20"/>
              </w:rPr>
            </w:pPr>
            <w:r w:rsidRPr="00522089">
              <w:rPr>
                <w:b/>
                <w:bCs/>
                <w:color w:val="FFFFFF"/>
                <w:sz w:val="20"/>
                <w:szCs w:val="20"/>
              </w:rPr>
              <w:t>Low-Income</w:t>
            </w:r>
          </w:p>
        </w:tc>
        <w:tc>
          <w:tcPr>
            <w:tcW w:w="1559" w:type="dxa"/>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375285" w:rsidRPr="00522089" w:rsidRDefault="00375285" w:rsidP="00375285">
            <w:pPr>
              <w:jc w:val="center"/>
              <w:rPr>
                <w:b/>
                <w:bCs/>
                <w:color w:val="FFFFFF"/>
                <w:sz w:val="20"/>
                <w:szCs w:val="20"/>
              </w:rPr>
            </w:pPr>
            <w:r w:rsidRPr="00522089">
              <w:rPr>
                <w:b/>
                <w:bCs/>
                <w:color w:val="FFFFFF"/>
                <w:sz w:val="20"/>
                <w:szCs w:val="20"/>
              </w:rPr>
              <w:t>Total</w:t>
            </w:r>
          </w:p>
        </w:tc>
      </w:tr>
      <w:tr w:rsidR="00A874AC" w:rsidRPr="00522089" w:rsidTr="00592FD5">
        <w:trPr>
          <w:trHeight w:val="144"/>
        </w:trPr>
        <w:tc>
          <w:tcPr>
            <w:tcW w:w="1558" w:type="dxa"/>
            <w:tcBorders>
              <w:top w:val="nil"/>
              <w:left w:val="single" w:sz="8" w:space="0" w:color="448A99"/>
              <w:bottom w:val="single" w:sz="8" w:space="0" w:color="448A99"/>
              <w:right w:val="single" w:sz="8" w:space="0" w:color="448A99"/>
            </w:tcBorders>
            <w:shd w:val="clear" w:color="000000" w:fill="D2EAF1"/>
            <w:vAlign w:val="center"/>
            <w:hideMark/>
          </w:tcPr>
          <w:p w:rsidR="00375285" w:rsidRPr="00A63BCE" w:rsidRDefault="00375285" w:rsidP="00375285">
            <w:pPr>
              <w:rPr>
                <w:color w:val="000000"/>
                <w:sz w:val="20"/>
                <w:szCs w:val="20"/>
              </w:rPr>
            </w:pPr>
            <w:r w:rsidRPr="00A63BCE">
              <w:rPr>
                <w:color w:val="000000"/>
                <w:sz w:val="20"/>
                <w:szCs w:val="20"/>
              </w:rPr>
              <w:t>Duquesne</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10.79</w:t>
            </w:r>
          </w:p>
        </w:tc>
        <w:tc>
          <w:tcPr>
            <w:tcW w:w="1559"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29.08</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4.24</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1.51</w:t>
            </w:r>
          </w:p>
        </w:tc>
        <w:tc>
          <w:tcPr>
            <w:tcW w:w="1559" w:type="dxa"/>
            <w:tcBorders>
              <w:top w:val="single" w:sz="8" w:space="0" w:color="448A99"/>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45.62</w:t>
            </w:r>
          </w:p>
        </w:tc>
      </w:tr>
      <w:tr w:rsidR="00A874AC" w:rsidRPr="00522089" w:rsidTr="00592FD5">
        <w:trPr>
          <w:trHeight w:val="144"/>
        </w:trPr>
        <w:tc>
          <w:tcPr>
            <w:tcW w:w="1558" w:type="dxa"/>
            <w:tcBorders>
              <w:top w:val="nil"/>
              <w:left w:val="single" w:sz="8" w:space="0" w:color="448A99"/>
              <w:bottom w:val="single" w:sz="8" w:space="0" w:color="448A99"/>
              <w:right w:val="single" w:sz="8" w:space="0" w:color="448A99"/>
            </w:tcBorders>
            <w:shd w:val="clear" w:color="auto" w:fill="auto"/>
            <w:hideMark/>
          </w:tcPr>
          <w:p w:rsidR="00375285" w:rsidRPr="00A63BCE" w:rsidRDefault="00375285" w:rsidP="00375285">
            <w:pPr>
              <w:rPr>
                <w:color w:val="000000"/>
                <w:sz w:val="20"/>
                <w:szCs w:val="20"/>
              </w:rPr>
            </w:pPr>
            <w:r w:rsidRPr="00A63BCE">
              <w:rPr>
                <w:sz w:val="20"/>
                <w:szCs w:val="20"/>
              </w:rPr>
              <w:t>Met-Ed</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522089" w:rsidRDefault="00375285" w:rsidP="00375285">
            <w:pPr>
              <w:jc w:val="center"/>
              <w:rPr>
                <w:color w:val="000000"/>
                <w:sz w:val="20"/>
                <w:szCs w:val="20"/>
              </w:rPr>
            </w:pPr>
            <w:r w:rsidRPr="00522089">
              <w:rPr>
                <w:color w:val="000000"/>
                <w:sz w:val="20"/>
                <w:szCs w:val="20"/>
              </w:rPr>
              <w:t>17.70</w:t>
            </w:r>
          </w:p>
        </w:tc>
        <w:tc>
          <w:tcPr>
            <w:tcW w:w="1559" w:type="dxa"/>
            <w:tcBorders>
              <w:top w:val="nil"/>
              <w:left w:val="nil"/>
              <w:bottom w:val="single" w:sz="8" w:space="0" w:color="448A99"/>
              <w:right w:val="single" w:sz="8" w:space="0" w:color="448A99"/>
            </w:tcBorders>
            <w:shd w:val="clear" w:color="auto" w:fill="auto"/>
            <w:vAlign w:val="center"/>
            <w:hideMark/>
          </w:tcPr>
          <w:p w:rsidR="00375285" w:rsidRPr="00522089" w:rsidRDefault="00375285" w:rsidP="00375285">
            <w:pPr>
              <w:jc w:val="center"/>
              <w:rPr>
                <w:color w:val="000000"/>
                <w:sz w:val="20"/>
                <w:szCs w:val="20"/>
              </w:rPr>
            </w:pPr>
            <w:r w:rsidRPr="00522089">
              <w:rPr>
                <w:color w:val="000000"/>
                <w:sz w:val="20"/>
                <w:szCs w:val="20"/>
              </w:rPr>
              <w:t>19.02</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522089" w:rsidRDefault="00375285" w:rsidP="00375285">
            <w:pPr>
              <w:jc w:val="center"/>
              <w:rPr>
                <w:color w:val="000000"/>
                <w:sz w:val="20"/>
                <w:szCs w:val="20"/>
              </w:rPr>
            </w:pPr>
            <w:r w:rsidRPr="00522089">
              <w:rPr>
                <w:color w:val="000000"/>
                <w:sz w:val="20"/>
                <w:szCs w:val="20"/>
              </w:rPr>
              <w:t>6.43</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522089" w:rsidRDefault="00375285" w:rsidP="00375285">
            <w:pPr>
              <w:jc w:val="center"/>
              <w:rPr>
                <w:color w:val="000000"/>
                <w:sz w:val="20"/>
                <w:szCs w:val="20"/>
              </w:rPr>
            </w:pPr>
            <w:r w:rsidRPr="00522089">
              <w:rPr>
                <w:color w:val="000000"/>
                <w:sz w:val="20"/>
                <w:szCs w:val="20"/>
              </w:rPr>
              <w:t>2.51</w:t>
            </w:r>
          </w:p>
        </w:tc>
        <w:tc>
          <w:tcPr>
            <w:tcW w:w="1559" w:type="dxa"/>
            <w:tcBorders>
              <w:top w:val="single" w:sz="8" w:space="0" w:color="448A99"/>
              <w:left w:val="single" w:sz="8" w:space="0" w:color="448A99"/>
              <w:bottom w:val="single" w:sz="8" w:space="0" w:color="448A99"/>
              <w:right w:val="single" w:sz="8" w:space="0" w:color="448A99"/>
            </w:tcBorders>
            <w:shd w:val="clear" w:color="auto" w:fill="auto"/>
            <w:noWrap/>
            <w:vAlign w:val="center"/>
            <w:hideMark/>
          </w:tcPr>
          <w:p w:rsidR="00375285" w:rsidRPr="00522089" w:rsidRDefault="00375285" w:rsidP="00375285">
            <w:pPr>
              <w:jc w:val="center"/>
              <w:rPr>
                <w:color w:val="000000"/>
                <w:sz w:val="20"/>
                <w:szCs w:val="20"/>
              </w:rPr>
            </w:pPr>
            <w:r w:rsidRPr="00522089">
              <w:rPr>
                <w:color w:val="000000"/>
                <w:sz w:val="20"/>
                <w:szCs w:val="20"/>
              </w:rPr>
              <w:t>45.66</w:t>
            </w:r>
          </w:p>
        </w:tc>
      </w:tr>
      <w:tr w:rsidR="00A874AC" w:rsidRPr="00522089" w:rsidTr="00592FD5">
        <w:trPr>
          <w:trHeight w:val="144"/>
        </w:trPr>
        <w:tc>
          <w:tcPr>
            <w:tcW w:w="1558" w:type="dxa"/>
            <w:tcBorders>
              <w:top w:val="nil"/>
              <w:left w:val="single" w:sz="8" w:space="0" w:color="448A99"/>
              <w:bottom w:val="single" w:sz="8" w:space="0" w:color="448A99"/>
              <w:right w:val="single" w:sz="8" w:space="0" w:color="448A99"/>
            </w:tcBorders>
            <w:shd w:val="clear" w:color="000000" w:fill="D2EAF1"/>
            <w:hideMark/>
          </w:tcPr>
          <w:p w:rsidR="00375285" w:rsidRPr="00A63BCE" w:rsidRDefault="00375285" w:rsidP="00375285">
            <w:pPr>
              <w:rPr>
                <w:color w:val="000000"/>
                <w:sz w:val="20"/>
                <w:szCs w:val="20"/>
              </w:rPr>
            </w:pPr>
            <w:r w:rsidRPr="00A63BCE">
              <w:rPr>
                <w:sz w:val="20"/>
                <w:szCs w:val="20"/>
              </w:rPr>
              <w:t>Penelec</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13.53</w:t>
            </w:r>
          </w:p>
        </w:tc>
        <w:tc>
          <w:tcPr>
            <w:tcW w:w="1559"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22.10</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5.93</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2.77</w:t>
            </w:r>
          </w:p>
        </w:tc>
        <w:tc>
          <w:tcPr>
            <w:tcW w:w="1559" w:type="dxa"/>
            <w:tcBorders>
              <w:top w:val="single" w:sz="8" w:space="0" w:color="448A99"/>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44.33</w:t>
            </w:r>
          </w:p>
        </w:tc>
      </w:tr>
      <w:tr w:rsidR="00A874AC" w:rsidRPr="00522089" w:rsidTr="00592FD5">
        <w:trPr>
          <w:trHeight w:val="144"/>
        </w:trPr>
        <w:tc>
          <w:tcPr>
            <w:tcW w:w="1558" w:type="dxa"/>
            <w:tcBorders>
              <w:top w:val="nil"/>
              <w:left w:val="single" w:sz="8" w:space="0" w:color="448A99"/>
              <w:bottom w:val="single" w:sz="8" w:space="0" w:color="448A99"/>
              <w:right w:val="single" w:sz="8" w:space="0" w:color="448A99"/>
            </w:tcBorders>
            <w:shd w:val="clear" w:color="auto" w:fill="auto"/>
            <w:hideMark/>
          </w:tcPr>
          <w:p w:rsidR="00375285" w:rsidRPr="00A63BCE" w:rsidRDefault="00375285" w:rsidP="00375285">
            <w:pPr>
              <w:rPr>
                <w:color w:val="000000"/>
                <w:sz w:val="20"/>
                <w:szCs w:val="20"/>
              </w:rPr>
            </w:pPr>
            <w:r w:rsidRPr="00A63BCE">
              <w:rPr>
                <w:sz w:val="20"/>
                <w:szCs w:val="20"/>
              </w:rPr>
              <w:t>Penn Power</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522089" w:rsidRDefault="00375285" w:rsidP="00375285">
            <w:pPr>
              <w:jc w:val="center"/>
              <w:rPr>
                <w:color w:val="000000"/>
                <w:sz w:val="20"/>
                <w:szCs w:val="20"/>
              </w:rPr>
            </w:pPr>
            <w:r w:rsidRPr="00522089">
              <w:rPr>
                <w:color w:val="000000"/>
                <w:sz w:val="20"/>
                <w:szCs w:val="20"/>
              </w:rPr>
              <w:t>4.18</w:t>
            </w:r>
          </w:p>
        </w:tc>
        <w:tc>
          <w:tcPr>
            <w:tcW w:w="1559" w:type="dxa"/>
            <w:tcBorders>
              <w:top w:val="nil"/>
              <w:left w:val="nil"/>
              <w:bottom w:val="single" w:sz="8" w:space="0" w:color="448A99"/>
              <w:right w:val="single" w:sz="8" w:space="0" w:color="448A99"/>
            </w:tcBorders>
            <w:shd w:val="clear" w:color="auto" w:fill="auto"/>
            <w:vAlign w:val="center"/>
            <w:hideMark/>
          </w:tcPr>
          <w:p w:rsidR="00375285" w:rsidRPr="00522089" w:rsidRDefault="00375285" w:rsidP="00375285">
            <w:pPr>
              <w:jc w:val="center"/>
              <w:rPr>
                <w:color w:val="000000"/>
                <w:sz w:val="20"/>
                <w:szCs w:val="20"/>
              </w:rPr>
            </w:pPr>
            <w:r w:rsidRPr="00522089">
              <w:rPr>
                <w:color w:val="000000"/>
                <w:sz w:val="20"/>
                <w:szCs w:val="20"/>
              </w:rPr>
              <w:t>5.99</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522089" w:rsidRDefault="00375285" w:rsidP="00375285">
            <w:pPr>
              <w:jc w:val="center"/>
              <w:rPr>
                <w:color w:val="000000"/>
                <w:sz w:val="20"/>
                <w:szCs w:val="20"/>
              </w:rPr>
            </w:pPr>
            <w:r w:rsidRPr="00522089">
              <w:rPr>
                <w:color w:val="000000"/>
                <w:sz w:val="20"/>
                <w:szCs w:val="20"/>
              </w:rPr>
              <w:t>2.49</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522089" w:rsidRDefault="00375285" w:rsidP="00375285">
            <w:pPr>
              <w:jc w:val="center"/>
              <w:rPr>
                <w:color w:val="000000"/>
                <w:sz w:val="20"/>
                <w:szCs w:val="20"/>
              </w:rPr>
            </w:pPr>
            <w:r w:rsidRPr="00522089">
              <w:rPr>
                <w:color w:val="000000"/>
                <w:sz w:val="20"/>
                <w:szCs w:val="20"/>
              </w:rPr>
              <w:t>0.56</w:t>
            </w:r>
          </w:p>
        </w:tc>
        <w:tc>
          <w:tcPr>
            <w:tcW w:w="1559" w:type="dxa"/>
            <w:tcBorders>
              <w:top w:val="single" w:sz="8" w:space="0" w:color="448A99"/>
              <w:left w:val="single" w:sz="8" w:space="0" w:color="448A99"/>
              <w:bottom w:val="nil"/>
              <w:right w:val="single" w:sz="8" w:space="0" w:color="448A99"/>
            </w:tcBorders>
            <w:shd w:val="clear" w:color="auto" w:fill="auto"/>
            <w:noWrap/>
            <w:vAlign w:val="center"/>
            <w:hideMark/>
          </w:tcPr>
          <w:p w:rsidR="00375285" w:rsidRPr="00522089" w:rsidRDefault="00375285" w:rsidP="00375285">
            <w:pPr>
              <w:jc w:val="center"/>
              <w:rPr>
                <w:color w:val="000000"/>
                <w:sz w:val="20"/>
                <w:szCs w:val="20"/>
              </w:rPr>
            </w:pPr>
            <w:r w:rsidRPr="00522089">
              <w:rPr>
                <w:color w:val="000000"/>
                <w:sz w:val="20"/>
                <w:szCs w:val="20"/>
              </w:rPr>
              <w:t>13.22</w:t>
            </w:r>
          </w:p>
        </w:tc>
      </w:tr>
      <w:tr w:rsidR="00A874AC" w:rsidRPr="00522089" w:rsidTr="00592FD5">
        <w:trPr>
          <w:trHeight w:val="144"/>
        </w:trPr>
        <w:tc>
          <w:tcPr>
            <w:tcW w:w="1558" w:type="dxa"/>
            <w:tcBorders>
              <w:top w:val="nil"/>
              <w:left w:val="single" w:sz="8" w:space="0" w:color="448A99"/>
              <w:bottom w:val="single" w:sz="8" w:space="0" w:color="448A99"/>
              <w:right w:val="single" w:sz="8" w:space="0" w:color="448A99"/>
            </w:tcBorders>
            <w:shd w:val="clear" w:color="000000" w:fill="D2EAF1"/>
            <w:hideMark/>
          </w:tcPr>
          <w:p w:rsidR="00375285" w:rsidRPr="00A63BCE" w:rsidRDefault="00375285" w:rsidP="00375285">
            <w:pPr>
              <w:rPr>
                <w:color w:val="000000"/>
                <w:sz w:val="20"/>
                <w:szCs w:val="20"/>
              </w:rPr>
            </w:pPr>
            <w:r w:rsidRPr="00A63BCE">
              <w:rPr>
                <w:sz w:val="20"/>
                <w:szCs w:val="20"/>
              </w:rPr>
              <w:t xml:space="preserve">West Penn </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15.22</w:t>
            </w:r>
          </w:p>
        </w:tc>
        <w:tc>
          <w:tcPr>
            <w:tcW w:w="1559"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21.52</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5.46</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2.18</w:t>
            </w:r>
          </w:p>
        </w:tc>
        <w:tc>
          <w:tcPr>
            <w:tcW w:w="1559" w:type="dxa"/>
            <w:tcBorders>
              <w:top w:val="single" w:sz="8" w:space="0" w:color="448A99"/>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44.38</w:t>
            </w:r>
          </w:p>
        </w:tc>
      </w:tr>
      <w:tr w:rsidR="00A874AC" w:rsidRPr="00522089" w:rsidTr="00592FD5">
        <w:trPr>
          <w:trHeight w:val="144"/>
        </w:trPr>
        <w:tc>
          <w:tcPr>
            <w:tcW w:w="1558" w:type="dxa"/>
            <w:tcBorders>
              <w:top w:val="nil"/>
              <w:left w:val="single" w:sz="8" w:space="0" w:color="448A99"/>
              <w:bottom w:val="single" w:sz="8" w:space="0" w:color="448A99"/>
              <w:right w:val="single" w:sz="8" w:space="0" w:color="448A99"/>
            </w:tcBorders>
            <w:shd w:val="clear" w:color="auto" w:fill="auto"/>
            <w:vAlign w:val="center"/>
            <w:hideMark/>
          </w:tcPr>
          <w:p w:rsidR="00375285" w:rsidRPr="00A63BCE" w:rsidRDefault="00375285" w:rsidP="00375285">
            <w:pPr>
              <w:rPr>
                <w:color w:val="000000"/>
                <w:sz w:val="20"/>
                <w:szCs w:val="20"/>
              </w:rPr>
            </w:pPr>
            <w:r w:rsidRPr="00A63BCE">
              <w:rPr>
                <w:color w:val="000000"/>
                <w:sz w:val="20"/>
                <w:szCs w:val="20"/>
              </w:rPr>
              <w:t>PECO</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522089" w:rsidRDefault="00375285" w:rsidP="00375285">
            <w:pPr>
              <w:jc w:val="center"/>
              <w:rPr>
                <w:color w:val="000000"/>
                <w:sz w:val="20"/>
                <w:szCs w:val="20"/>
              </w:rPr>
            </w:pPr>
            <w:r w:rsidRPr="00522089">
              <w:rPr>
                <w:color w:val="000000"/>
                <w:sz w:val="20"/>
                <w:szCs w:val="20"/>
              </w:rPr>
              <w:t>106.00</w:t>
            </w:r>
          </w:p>
        </w:tc>
        <w:tc>
          <w:tcPr>
            <w:tcW w:w="1559" w:type="dxa"/>
            <w:tcBorders>
              <w:top w:val="nil"/>
              <w:left w:val="nil"/>
              <w:bottom w:val="single" w:sz="8" w:space="0" w:color="448A99"/>
              <w:right w:val="single" w:sz="8" w:space="0" w:color="448A99"/>
            </w:tcBorders>
            <w:shd w:val="clear" w:color="000000" w:fill="FFFFFF"/>
            <w:vAlign w:val="center"/>
            <w:hideMark/>
          </w:tcPr>
          <w:p w:rsidR="00375285" w:rsidRPr="00522089" w:rsidRDefault="00375285" w:rsidP="00375285">
            <w:pPr>
              <w:jc w:val="center"/>
              <w:rPr>
                <w:color w:val="000000"/>
                <w:sz w:val="20"/>
                <w:szCs w:val="20"/>
              </w:rPr>
            </w:pPr>
            <w:r w:rsidRPr="00522089">
              <w:rPr>
                <w:color w:val="000000"/>
                <w:sz w:val="20"/>
                <w:szCs w:val="20"/>
              </w:rPr>
              <w:t>69.20</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522089" w:rsidRDefault="00375285" w:rsidP="00375285">
            <w:pPr>
              <w:jc w:val="center"/>
              <w:rPr>
                <w:color w:val="000000"/>
                <w:sz w:val="20"/>
                <w:szCs w:val="20"/>
              </w:rPr>
            </w:pPr>
            <w:r w:rsidRPr="00522089">
              <w:rPr>
                <w:color w:val="000000"/>
                <w:sz w:val="20"/>
                <w:szCs w:val="20"/>
              </w:rPr>
              <w:t>38.00</w:t>
            </w:r>
          </w:p>
        </w:tc>
        <w:tc>
          <w:tcPr>
            <w:tcW w:w="1558" w:type="dxa"/>
            <w:tcBorders>
              <w:top w:val="nil"/>
              <w:left w:val="nil"/>
              <w:bottom w:val="single" w:sz="8" w:space="0" w:color="448A99"/>
              <w:right w:val="single" w:sz="8" w:space="0" w:color="448A99"/>
            </w:tcBorders>
            <w:shd w:val="clear" w:color="000000" w:fill="FFFFFF"/>
            <w:vAlign w:val="center"/>
            <w:hideMark/>
          </w:tcPr>
          <w:p w:rsidR="00375285" w:rsidRPr="00522089" w:rsidRDefault="00375285" w:rsidP="00375285">
            <w:pPr>
              <w:jc w:val="center"/>
              <w:rPr>
                <w:color w:val="000000"/>
                <w:sz w:val="20"/>
                <w:szCs w:val="20"/>
              </w:rPr>
            </w:pPr>
            <w:r w:rsidRPr="00522089">
              <w:rPr>
                <w:color w:val="000000"/>
                <w:sz w:val="20"/>
                <w:szCs w:val="20"/>
              </w:rPr>
              <w:t>11.50</w:t>
            </w:r>
          </w:p>
        </w:tc>
        <w:tc>
          <w:tcPr>
            <w:tcW w:w="1559" w:type="dxa"/>
            <w:tcBorders>
              <w:top w:val="nil"/>
              <w:left w:val="single" w:sz="8" w:space="0" w:color="448A99"/>
              <w:bottom w:val="single" w:sz="8" w:space="0" w:color="448A99"/>
              <w:right w:val="single" w:sz="8" w:space="0" w:color="448A99"/>
            </w:tcBorders>
            <w:shd w:val="clear" w:color="auto" w:fill="auto"/>
            <w:noWrap/>
            <w:vAlign w:val="center"/>
            <w:hideMark/>
          </w:tcPr>
          <w:p w:rsidR="00375285" w:rsidRPr="00522089" w:rsidRDefault="00375285" w:rsidP="00375285">
            <w:pPr>
              <w:jc w:val="center"/>
              <w:rPr>
                <w:color w:val="000000"/>
                <w:sz w:val="20"/>
                <w:szCs w:val="20"/>
              </w:rPr>
            </w:pPr>
            <w:r w:rsidRPr="00522089">
              <w:rPr>
                <w:color w:val="000000"/>
                <w:sz w:val="20"/>
                <w:szCs w:val="20"/>
              </w:rPr>
              <w:t>224.70</w:t>
            </w:r>
          </w:p>
        </w:tc>
      </w:tr>
      <w:tr w:rsidR="00A874AC" w:rsidRPr="00522089" w:rsidTr="00592FD5">
        <w:trPr>
          <w:trHeight w:val="144"/>
        </w:trPr>
        <w:tc>
          <w:tcPr>
            <w:tcW w:w="1558" w:type="dxa"/>
            <w:tcBorders>
              <w:top w:val="nil"/>
              <w:left w:val="single" w:sz="8" w:space="0" w:color="448A99"/>
              <w:bottom w:val="single" w:sz="8" w:space="0" w:color="448A99"/>
              <w:right w:val="single" w:sz="8" w:space="0" w:color="448A99"/>
            </w:tcBorders>
            <w:shd w:val="clear" w:color="000000" w:fill="D2EAF1"/>
            <w:vAlign w:val="center"/>
            <w:hideMark/>
          </w:tcPr>
          <w:p w:rsidR="00375285" w:rsidRPr="00A63BCE" w:rsidRDefault="00375285" w:rsidP="00375285">
            <w:pPr>
              <w:rPr>
                <w:color w:val="000000"/>
                <w:sz w:val="20"/>
                <w:szCs w:val="20"/>
              </w:rPr>
            </w:pPr>
            <w:r w:rsidRPr="00A63BCE">
              <w:rPr>
                <w:color w:val="000000"/>
                <w:sz w:val="20"/>
                <w:szCs w:val="20"/>
              </w:rPr>
              <w:t>PPL</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31.81</w:t>
            </w:r>
          </w:p>
        </w:tc>
        <w:tc>
          <w:tcPr>
            <w:tcW w:w="1559"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55.63</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14.41</w:t>
            </w:r>
          </w:p>
        </w:tc>
        <w:tc>
          <w:tcPr>
            <w:tcW w:w="1558" w:type="dxa"/>
            <w:tcBorders>
              <w:top w:val="nil"/>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4.41</w:t>
            </w:r>
          </w:p>
        </w:tc>
        <w:tc>
          <w:tcPr>
            <w:tcW w:w="1559" w:type="dxa"/>
            <w:tcBorders>
              <w:top w:val="single" w:sz="8" w:space="0" w:color="448A99"/>
              <w:left w:val="nil"/>
              <w:bottom w:val="single" w:sz="8" w:space="0" w:color="448A99"/>
              <w:right w:val="single" w:sz="8" w:space="0" w:color="448A99"/>
            </w:tcBorders>
            <w:shd w:val="clear" w:color="000000" w:fill="D2EAF1"/>
            <w:vAlign w:val="center"/>
            <w:hideMark/>
          </w:tcPr>
          <w:p w:rsidR="00375285" w:rsidRPr="00522089" w:rsidRDefault="00375285" w:rsidP="00375285">
            <w:pPr>
              <w:jc w:val="center"/>
              <w:rPr>
                <w:color w:val="000000"/>
                <w:sz w:val="20"/>
                <w:szCs w:val="20"/>
              </w:rPr>
            </w:pPr>
            <w:r w:rsidRPr="00522089">
              <w:rPr>
                <w:color w:val="000000"/>
                <w:sz w:val="20"/>
                <w:szCs w:val="20"/>
              </w:rPr>
              <w:t>106.26</w:t>
            </w:r>
          </w:p>
        </w:tc>
      </w:tr>
      <w:tr w:rsidR="00A874AC" w:rsidRPr="00522089" w:rsidTr="00592FD5">
        <w:trPr>
          <w:trHeight w:val="144"/>
        </w:trPr>
        <w:tc>
          <w:tcPr>
            <w:tcW w:w="1558" w:type="dxa"/>
            <w:tcBorders>
              <w:top w:val="nil"/>
              <w:left w:val="single" w:sz="8" w:space="0" w:color="448A99"/>
              <w:bottom w:val="single" w:sz="8" w:space="0" w:color="448A99"/>
              <w:right w:val="single" w:sz="8" w:space="0" w:color="448A99"/>
            </w:tcBorders>
            <w:shd w:val="clear" w:color="auto" w:fill="auto"/>
            <w:vAlign w:val="center"/>
            <w:hideMark/>
          </w:tcPr>
          <w:p w:rsidR="00375285" w:rsidRPr="00522089" w:rsidRDefault="00375285" w:rsidP="00375285">
            <w:pPr>
              <w:rPr>
                <w:b/>
                <w:bCs/>
                <w:color w:val="000000"/>
                <w:sz w:val="20"/>
                <w:szCs w:val="20"/>
              </w:rPr>
            </w:pPr>
            <w:r w:rsidRPr="00522089">
              <w:rPr>
                <w:b/>
                <w:bCs/>
                <w:color w:val="000000"/>
                <w:sz w:val="20"/>
                <w:szCs w:val="20"/>
              </w:rPr>
              <w:t>Total</w:t>
            </w:r>
          </w:p>
        </w:tc>
        <w:tc>
          <w:tcPr>
            <w:tcW w:w="1558" w:type="dxa"/>
            <w:tcBorders>
              <w:top w:val="nil"/>
              <w:left w:val="nil"/>
              <w:bottom w:val="single" w:sz="8" w:space="0" w:color="448A99"/>
              <w:right w:val="single" w:sz="8" w:space="0" w:color="448A99"/>
            </w:tcBorders>
            <w:shd w:val="clear" w:color="auto" w:fill="auto"/>
            <w:vAlign w:val="center"/>
            <w:hideMark/>
          </w:tcPr>
          <w:p w:rsidR="00375285" w:rsidRPr="00522089" w:rsidRDefault="00375285" w:rsidP="00375285">
            <w:pPr>
              <w:jc w:val="center"/>
              <w:rPr>
                <w:b/>
                <w:bCs/>
                <w:color w:val="000000"/>
                <w:sz w:val="20"/>
                <w:szCs w:val="20"/>
              </w:rPr>
            </w:pPr>
            <w:r w:rsidRPr="00522089">
              <w:rPr>
                <w:b/>
                <w:bCs/>
                <w:color w:val="000000"/>
                <w:sz w:val="20"/>
                <w:szCs w:val="20"/>
              </w:rPr>
              <w:t>199.23</w:t>
            </w:r>
          </w:p>
        </w:tc>
        <w:tc>
          <w:tcPr>
            <w:tcW w:w="1559" w:type="dxa"/>
            <w:tcBorders>
              <w:top w:val="nil"/>
              <w:left w:val="nil"/>
              <w:bottom w:val="single" w:sz="8" w:space="0" w:color="448A99"/>
              <w:right w:val="single" w:sz="8" w:space="0" w:color="448A99"/>
            </w:tcBorders>
            <w:shd w:val="clear" w:color="auto" w:fill="auto"/>
            <w:vAlign w:val="center"/>
            <w:hideMark/>
          </w:tcPr>
          <w:p w:rsidR="00375285" w:rsidRPr="00522089" w:rsidRDefault="00375285" w:rsidP="00375285">
            <w:pPr>
              <w:jc w:val="center"/>
              <w:rPr>
                <w:b/>
                <w:bCs/>
                <w:color w:val="000000"/>
                <w:sz w:val="20"/>
                <w:szCs w:val="20"/>
              </w:rPr>
            </w:pPr>
            <w:r w:rsidRPr="00522089">
              <w:rPr>
                <w:b/>
                <w:bCs/>
                <w:color w:val="000000"/>
                <w:sz w:val="20"/>
                <w:szCs w:val="20"/>
              </w:rPr>
              <w:t>222.54</w:t>
            </w:r>
          </w:p>
        </w:tc>
        <w:tc>
          <w:tcPr>
            <w:tcW w:w="1558" w:type="dxa"/>
            <w:tcBorders>
              <w:top w:val="nil"/>
              <w:left w:val="nil"/>
              <w:bottom w:val="single" w:sz="8" w:space="0" w:color="448A99"/>
              <w:right w:val="single" w:sz="8" w:space="0" w:color="448A99"/>
            </w:tcBorders>
            <w:shd w:val="clear" w:color="auto" w:fill="auto"/>
            <w:vAlign w:val="center"/>
            <w:hideMark/>
          </w:tcPr>
          <w:p w:rsidR="00375285" w:rsidRPr="00522089" w:rsidRDefault="00375285" w:rsidP="00375285">
            <w:pPr>
              <w:jc w:val="center"/>
              <w:rPr>
                <w:b/>
                <w:bCs/>
                <w:color w:val="000000"/>
                <w:sz w:val="20"/>
                <w:szCs w:val="20"/>
              </w:rPr>
            </w:pPr>
            <w:r w:rsidRPr="00522089">
              <w:rPr>
                <w:b/>
                <w:bCs/>
                <w:color w:val="000000"/>
                <w:sz w:val="20"/>
                <w:szCs w:val="20"/>
              </w:rPr>
              <w:t>76.96</w:t>
            </w:r>
          </w:p>
        </w:tc>
        <w:tc>
          <w:tcPr>
            <w:tcW w:w="1558" w:type="dxa"/>
            <w:tcBorders>
              <w:top w:val="nil"/>
              <w:left w:val="nil"/>
              <w:bottom w:val="single" w:sz="8" w:space="0" w:color="448A99"/>
              <w:right w:val="single" w:sz="8" w:space="0" w:color="448A99"/>
            </w:tcBorders>
            <w:shd w:val="clear" w:color="auto" w:fill="auto"/>
            <w:vAlign w:val="center"/>
            <w:hideMark/>
          </w:tcPr>
          <w:p w:rsidR="00375285" w:rsidRPr="00522089" w:rsidRDefault="00375285" w:rsidP="00375285">
            <w:pPr>
              <w:jc w:val="center"/>
              <w:rPr>
                <w:b/>
                <w:bCs/>
                <w:color w:val="000000"/>
                <w:sz w:val="20"/>
                <w:szCs w:val="20"/>
              </w:rPr>
            </w:pPr>
            <w:r w:rsidRPr="00522089">
              <w:rPr>
                <w:b/>
                <w:bCs/>
                <w:color w:val="000000"/>
                <w:sz w:val="20"/>
                <w:szCs w:val="20"/>
              </w:rPr>
              <w:t>25.44</w:t>
            </w:r>
          </w:p>
        </w:tc>
        <w:tc>
          <w:tcPr>
            <w:tcW w:w="1559" w:type="dxa"/>
            <w:tcBorders>
              <w:top w:val="single" w:sz="8" w:space="0" w:color="448A99"/>
              <w:left w:val="nil"/>
              <w:bottom w:val="single" w:sz="8" w:space="0" w:color="448A99"/>
              <w:right w:val="single" w:sz="8" w:space="0" w:color="448A99"/>
            </w:tcBorders>
            <w:shd w:val="clear" w:color="auto" w:fill="auto"/>
            <w:vAlign w:val="center"/>
            <w:hideMark/>
          </w:tcPr>
          <w:p w:rsidR="00375285" w:rsidRPr="00522089" w:rsidRDefault="00375285" w:rsidP="00375285">
            <w:pPr>
              <w:jc w:val="center"/>
              <w:rPr>
                <w:b/>
                <w:bCs/>
                <w:color w:val="000000"/>
                <w:sz w:val="20"/>
                <w:szCs w:val="20"/>
              </w:rPr>
            </w:pPr>
            <w:r w:rsidRPr="00522089">
              <w:rPr>
                <w:b/>
                <w:bCs/>
                <w:color w:val="000000"/>
                <w:sz w:val="20"/>
                <w:szCs w:val="20"/>
              </w:rPr>
              <w:t>524.17</w:t>
            </w:r>
          </w:p>
        </w:tc>
      </w:tr>
    </w:tbl>
    <w:p w:rsidR="00034173" w:rsidRDefault="00034173" w:rsidP="00706F10">
      <w:pPr>
        <w:pStyle w:val="Caption"/>
      </w:pPr>
      <w:bookmarkStart w:id="254" w:name="_Toc472472231"/>
      <w:bookmarkStart w:id="255" w:name="_Toc476914045"/>
    </w:p>
    <w:p w:rsidR="00375285" w:rsidRDefault="00706F10" w:rsidP="00706F10">
      <w:pPr>
        <w:pStyle w:val="Caption"/>
      </w:pPr>
      <w:r>
        <w:lastRenderedPageBreak/>
        <w:t xml:space="preserve">Figure </w:t>
      </w:r>
      <w:fldSimple w:instr=" STYLEREF 1 \s ">
        <w:r w:rsidR="00C301D0">
          <w:rPr>
            <w:noProof/>
          </w:rPr>
          <w:t>3</w:t>
        </w:r>
      </w:fldSimple>
      <w:r w:rsidR="00DA1ADA">
        <w:noBreakHyphen/>
      </w:r>
      <w:fldSimple w:instr=" SEQ Figure \* ARABIC \s 1 ">
        <w:r w:rsidR="00C301D0">
          <w:rPr>
            <w:noProof/>
          </w:rPr>
          <w:t>1</w:t>
        </w:r>
      </w:fldSimple>
      <w:r>
        <w:t>:  Phase II</w:t>
      </w:r>
      <w:r w:rsidR="0097650B">
        <w:t xml:space="preserve"> </w:t>
      </w:r>
      <w:r w:rsidR="000206F5">
        <w:t xml:space="preserve">Cumulative </w:t>
      </w:r>
      <w:r w:rsidR="0097650B">
        <w:t>Verified</w:t>
      </w:r>
      <w:r w:rsidR="00961C29">
        <w:t xml:space="preserve"> Gross</w:t>
      </w:r>
      <w:r>
        <w:t xml:space="preserve"> Demand Savings</w:t>
      </w:r>
      <w:bookmarkEnd w:id="254"/>
      <w:bookmarkEnd w:id="255"/>
    </w:p>
    <w:p w:rsidR="00706F10" w:rsidRDefault="00961C29" w:rsidP="00375285">
      <w:r>
        <w:rPr>
          <w:noProof/>
        </w:rPr>
        <w:drawing>
          <wp:inline distT="0" distB="0" distL="0" distR="0" wp14:anchorId="63B47F53" wp14:editId="1E857E01">
            <wp:extent cx="5749290" cy="3651885"/>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9290" cy="3651885"/>
                    </a:xfrm>
                    <a:prstGeom prst="rect">
                      <a:avLst/>
                    </a:prstGeom>
                    <a:noFill/>
                  </pic:spPr>
                </pic:pic>
              </a:graphicData>
            </a:graphic>
          </wp:inline>
        </w:drawing>
      </w:r>
    </w:p>
    <w:p w:rsidR="00876A99" w:rsidRPr="00375285" w:rsidRDefault="00876A99" w:rsidP="00375285"/>
    <w:p w:rsidR="00DD6B4C" w:rsidRDefault="00DD6B4C" w:rsidP="00DD6B4C">
      <w:pPr>
        <w:pStyle w:val="Heading3"/>
      </w:pPr>
      <w:bookmarkStart w:id="256" w:name="_Toc472472106"/>
      <w:bookmarkStart w:id="257" w:name="_Toc476913918"/>
      <w:r>
        <w:t>Duquesne Light</w:t>
      </w:r>
      <w:bookmarkEnd w:id="256"/>
      <w:bookmarkEnd w:id="257"/>
    </w:p>
    <w:p w:rsidR="00CC4272" w:rsidRDefault="00CC4272" w:rsidP="00CC4272">
      <w:r>
        <w:fldChar w:fldCharType="begin"/>
      </w:r>
      <w:r>
        <w:instrText xml:space="preserve"> REF _Ref472349600 \h </w:instrText>
      </w:r>
      <w:r>
        <w:fldChar w:fldCharType="separate"/>
      </w:r>
      <w:r w:rsidR="00C301D0">
        <w:t xml:space="preserve">Table </w:t>
      </w:r>
      <w:r w:rsidR="00C301D0">
        <w:rPr>
          <w:noProof/>
        </w:rPr>
        <w:t>3</w:t>
      </w:r>
      <w:r w:rsidR="00C301D0">
        <w:noBreakHyphen/>
      </w:r>
      <w:r w:rsidR="00C301D0">
        <w:rPr>
          <w:noProof/>
        </w:rPr>
        <w:t>3</w:t>
      </w:r>
      <w:r>
        <w:fldChar w:fldCharType="end"/>
      </w:r>
      <w:r>
        <w:t xml:space="preserve"> presents Duquesne’s cumulative demand savings, stratified by sector. The C</w:t>
      </w:r>
      <w:r w:rsidR="0097650B">
        <w:t>/</w:t>
      </w:r>
      <w:r>
        <w:t>I sector accounted for nearly 60% of the total demand savings in Phase II.</w:t>
      </w:r>
      <w:r w:rsidR="008E4974">
        <w:t xml:space="preserve"> </w:t>
      </w:r>
      <w:r w:rsidR="00F13CD2">
        <w:fldChar w:fldCharType="begin"/>
      </w:r>
      <w:r w:rsidR="00F13CD2">
        <w:instrText xml:space="preserve"> REF _Ref472350375 \h </w:instrText>
      </w:r>
      <w:r w:rsidR="00F13CD2">
        <w:fldChar w:fldCharType="separate"/>
      </w:r>
      <w:r w:rsidR="00C301D0">
        <w:t xml:space="preserve">Figure </w:t>
      </w:r>
      <w:r w:rsidR="00C301D0">
        <w:rPr>
          <w:noProof/>
        </w:rPr>
        <w:t>3</w:t>
      </w:r>
      <w:r w:rsidR="00C301D0">
        <w:noBreakHyphen/>
      </w:r>
      <w:r w:rsidR="00C301D0">
        <w:rPr>
          <w:noProof/>
        </w:rPr>
        <w:t>2</w:t>
      </w:r>
      <w:r w:rsidR="00F13CD2">
        <w:fldChar w:fldCharType="end"/>
      </w:r>
      <w:r w:rsidR="008E4974">
        <w:t xml:space="preserve"> provides a graphical illustration of these savings.</w:t>
      </w:r>
    </w:p>
    <w:p w:rsidR="00CC4272" w:rsidRDefault="00CC4272" w:rsidP="00CC4272"/>
    <w:p w:rsidR="00CC4272" w:rsidRDefault="00CC4272" w:rsidP="00CC4272">
      <w:pPr>
        <w:pStyle w:val="Caption"/>
      </w:pPr>
      <w:bookmarkStart w:id="258" w:name="_Ref472349600"/>
      <w:bookmarkStart w:id="259" w:name="_Toc472472178"/>
      <w:bookmarkStart w:id="260" w:name="_Toc476913991"/>
      <w:r>
        <w:t xml:space="preserve">Table </w:t>
      </w:r>
      <w:fldSimple w:instr=" STYLEREF 1 \s ">
        <w:r w:rsidR="00C301D0">
          <w:rPr>
            <w:noProof/>
          </w:rPr>
          <w:t>3</w:t>
        </w:r>
      </w:fldSimple>
      <w:r w:rsidR="00E6042C">
        <w:noBreakHyphen/>
      </w:r>
      <w:fldSimple w:instr=" SEQ Table \* ARABIC \s 1 ">
        <w:r w:rsidR="00C301D0">
          <w:rPr>
            <w:noProof/>
          </w:rPr>
          <w:t>3</w:t>
        </w:r>
      </w:fldSimple>
      <w:bookmarkEnd w:id="258"/>
      <w:r>
        <w:t xml:space="preserve">: </w:t>
      </w:r>
      <w:r w:rsidR="00D743F8">
        <w:t>Duquesne</w:t>
      </w:r>
      <w:r>
        <w:t xml:space="preserve"> Phase II </w:t>
      </w:r>
      <w:r w:rsidR="0078313D">
        <w:t xml:space="preserve">Cumulative </w:t>
      </w:r>
      <w:r>
        <w:t>Demand Savings, by Sector</w:t>
      </w:r>
      <w:bookmarkEnd w:id="259"/>
      <w:bookmarkEnd w:id="260"/>
    </w:p>
    <w:tbl>
      <w:tblPr>
        <w:tblW w:w="9350" w:type="dxa"/>
        <w:tblInd w:w="108" w:type="dxa"/>
        <w:tblLook w:val="04A0" w:firstRow="1" w:lastRow="0" w:firstColumn="1" w:lastColumn="0" w:noHBand="0" w:noVBand="1"/>
      </w:tblPr>
      <w:tblGrid>
        <w:gridCol w:w="1843"/>
        <w:gridCol w:w="1501"/>
        <w:gridCol w:w="1501"/>
        <w:gridCol w:w="1502"/>
        <w:gridCol w:w="1501"/>
        <w:gridCol w:w="1502"/>
      </w:tblGrid>
      <w:tr w:rsidR="00A874AC" w:rsidRPr="00D723BB" w:rsidTr="00592FD5">
        <w:trPr>
          <w:trHeight w:val="117"/>
        </w:trPr>
        <w:tc>
          <w:tcPr>
            <w:tcW w:w="1843" w:type="dxa"/>
            <w:tcBorders>
              <w:top w:val="nil"/>
              <w:left w:val="single" w:sz="8" w:space="0" w:color="448A99"/>
              <w:bottom w:val="single" w:sz="8" w:space="0" w:color="448A99"/>
              <w:right w:val="nil"/>
            </w:tcBorders>
            <w:shd w:val="clear" w:color="000000" w:fill="448A99"/>
            <w:vAlign w:val="center"/>
            <w:hideMark/>
          </w:tcPr>
          <w:p w:rsidR="00CC4272" w:rsidRPr="00D723BB" w:rsidRDefault="00CC4272" w:rsidP="006F7DE9">
            <w:pPr>
              <w:rPr>
                <w:b/>
                <w:bCs/>
                <w:color w:val="FFFFFF"/>
                <w:sz w:val="20"/>
                <w:szCs w:val="20"/>
              </w:rPr>
            </w:pPr>
            <w:r>
              <w:rPr>
                <w:b/>
                <w:bCs/>
                <w:color w:val="FFFFFF"/>
                <w:sz w:val="20"/>
                <w:szCs w:val="20"/>
              </w:rPr>
              <w:t>Statewide</w:t>
            </w:r>
          </w:p>
        </w:tc>
        <w:tc>
          <w:tcPr>
            <w:tcW w:w="1501" w:type="dxa"/>
            <w:tcBorders>
              <w:top w:val="nil"/>
              <w:left w:val="single" w:sz="8" w:space="0" w:color="448A99"/>
              <w:bottom w:val="single" w:sz="8" w:space="0" w:color="448A99"/>
              <w:right w:val="single" w:sz="8" w:space="0" w:color="448A99"/>
            </w:tcBorders>
            <w:shd w:val="clear" w:color="000000" w:fill="448A99"/>
            <w:vAlign w:val="center"/>
            <w:hideMark/>
          </w:tcPr>
          <w:p w:rsidR="00CC4272" w:rsidRPr="00D723BB" w:rsidRDefault="00CC4272" w:rsidP="006F7DE9">
            <w:pPr>
              <w:jc w:val="center"/>
              <w:rPr>
                <w:b/>
                <w:bCs/>
                <w:color w:val="FFFFFF"/>
                <w:sz w:val="20"/>
                <w:szCs w:val="20"/>
              </w:rPr>
            </w:pPr>
            <w:r w:rsidRPr="00D723BB">
              <w:rPr>
                <w:b/>
                <w:bCs/>
                <w:color w:val="FFFFFF"/>
                <w:sz w:val="20"/>
                <w:szCs w:val="20"/>
              </w:rPr>
              <w:t>Residential</w:t>
            </w:r>
          </w:p>
        </w:tc>
        <w:tc>
          <w:tcPr>
            <w:tcW w:w="1501" w:type="dxa"/>
            <w:tcBorders>
              <w:top w:val="nil"/>
              <w:left w:val="nil"/>
              <w:bottom w:val="single" w:sz="8" w:space="0" w:color="448A99"/>
              <w:right w:val="single" w:sz="8" w:space="0" w:color="448A99"/>
            </w:tcBorders>
            <w:shd w:val="clear" w:color="000000" w:fill="448A99"/>
            <w:vAlign w:val="center"/>
            <w:hideMark/>
          </w:tcPr>
          <w:p w:rsidR="00CC4272" w:rsidRPr="00D723BB" w:rsidRDefault="00CC4272" w:rsidP="0097650B">
            <w:pPr>
              <w:jc w:val="center"/>
              <w:rPr>
                <w:b/>
                <w:bCs/>
                <w:color w:val="FFFFFF"/>
                <w:sz w:val="20"/>
                <w:szCs w:val="20"/>
              </w:rPr>
            </w:pPr>
            <w:r w:rsidRPr="00D723BB">
              <w:rPr>
                <w:b/>
                <w:bCs/>
                <w:color w:val="FFFFFF"/>
                <w:sz w:val="20"/>
                <w:szCs w:val="20"/>
              </w:rPr>
              <w:t>C</w:t>
            </w:r>
            <w:r w:rsidR="0097650B">
              <w:rPr>
                <w:b/>
                <w:bCs/>
                <w:color w:val="FFFFFF"/>
                <w:sz w:val="20"/>
                <w:szCs w:val="20"/>
              </w:rPr>
              <w:t>/</w:t>
            </w:r>
            <w:r w:rsidRPr="00D723BB">
              <w:rPr>
                <w:b/>
                <w:bCs/>
                <w:color w:val="FFFFFF"/>
                <w:sz w:val="20"/>
                <w:szCs w:val="20"/>
              </w:rPr>
              <w:t>I</w:t>
            </w:r>
          </w:p>
        </w:tc>
        <w:tc>
          <w:tcPr>
            <w:tcW w:w="1502" w:type="dxa"/>
            <w:tcBorders>
              <w:top w:val="nil"/>
              <w:left w:val="nil"/>
              <w:bottom w:val="single" w:sz="8" w:space="0" w:color="448A99"/>
              <w:right w:val="single" w:sz="8" w:space="0" w:color="448A99"/>
            </w:tcBorders>
            <w:shd w:val="clear" w:color="000000" w:fill="448A99"/>
            <w:vAlign w:val="center"/>
            <w:hideMark/>
          </w:tcPr>
          <w:p w:rsidR="00CC4272" w:rsidRPr="00D723BB" w:rsidRDefault="00CC4272" w:rsidP="006F7DE9">
            <w:pPr>
              <w:jc w:val="center"/>
              <w:rPr>
                <w:b/>
                <w:bCs/>
                <w:color w:val="FFFFFF"/>
                <w:sz w:val="20"/>
                <w:szCs w:val="20"/>
              </w:rPr>
            </w:pPr>
            <w:r w:rsidRPr="00D723BB">
              <w:rPr>
                <w:b/>
                <w:bCs/>
                <w:color w:val="FFFFFF"/>
                <w:sz w:val="20"/>
                <w:szCs w:val="20"/>
              </w:rPr>
              <w:t>GNI</w:t>
            </w:r>
          </w:p>
        </w:tc>
        <w:tc>
          <w:tcPr>
            <w:tcW w:w="1501" w:type="dxa"/>
            <w:tcBorders>
              <w:top w:val="nil"/>
              <w:left w:val="nil"/>
              <w:bottom w:val="single" w:sz="8" w:space="0" w:color="448A99"/>
              <w:right w:val="single" w:sz="8" w:space="0" w:color="448A99"/>
            </w:tcBorders>
            <w:shd w:val="clear" w:color="000000" w:fill="448A99"/>
            <w:vAlign w:val="center"/>
            <w:hideMark/>
          </w:tcPr>
          <w:p w:rsidR="00CC4272" w:rsidRPr="00D723BB" w:rsidRDefault="00CC4272" w:rsidP="006F7DE9">
            <w:pPr>
              <w:jc w:val="center"/>
              <w:rPr>
                <w:b/>
                <w:bCs/>
                <w:color w:val="FFFFFF"/>
                <w:sz w:val="20"/>
                <w:szCs w:val="20"/>
              </w:rPr>
            </w:pPr>
            <w:r w:rsidRPr="00D723BB">
              <w:rPr>
                <w:b/>
                <w:bCs/>
                <w:color w:val="FFFFFF"/>
                <w:sz w:val="20"/>
                <w:szCs w:val="20"/>
              </w:rPr>
              <w:t>Low-Income</w:t>
            </w:r>
          </w:p>
        </w:tc>
        <w:tc>
          <w:tcPr>
            <w:tcW w:w="1502" w:type="dxa"/>
            <w:tcBorders>
              <w:top w:val="nil"/>
              <w:left w:val="single" w:sz="8" w:space="0" w:color="448A99"/>
              <w:bottom w:val="single" w:sz="8" w:space="0" w:color="448A99"/>
              <w:right w:val="nil"/>
            </w:tcBorders>
            <w:shd w:val="clear" w:color="000000" w:fill="448A99"/>
            <w:vAlign w:val="center"/>
            <w:hideMark/>
          </w:tcPr>
          <w:p w:rsidR="00CC4272" w:rsidRPr="00D723BB" w:rsidRDefault="00CC4272" w:rsidP="006F7DE9">
            <w:pPr>
              <w:jc w:val="center"/>
              <w:rPr>
                <w:b/>
                <w:bCs/>
                <w:color w:val="FFFFFF"/>
                <w:sz w:val="20"/>
                <w:szCs w:val="20"/>
              </w:rPr>
            </w:pPr>
            <w:r w:rsidRPr="00D723BB">
              <w:rPr>
                <w:b/>
                <w:bCs/>
                <w:color w:val="FFFFFF"/>
                <w:sz w:val="20"/>
                <w:szCs w:val="20"/>
              </w:rPr>
              <w:t>Total</w:t>
            </w:r>
          </w:p>
        </w:tc>
      </w:tr>
      <w:tr w:rsidR="00A874AC" w:rsidRPr="00D723BB" w:rsidTr="00592FD5">
        <w:trPr>
          <w:trHeight w:val="432"/>
        </w:trPr>
        <w:tc>
          <w:tcPr>
            <w:tcW w:w="1843" w:type="dxa"/>
            <w:tcBorders>
              <w:top w:val="nil"/>
              <w:left w:val="single" w:sz="8" w:space="0" w:color="448A99"/>
              <w:bottom w:val="single" w:sz="8" w:space="0" w:color="448A99"/>
              <w:right w:val="nil"/>
            </w:tcBorders>
            <w:shd w:val="clear" w:color="000000" w:fill="D2EAF1"/>
            <w:vAlign w:val="center"/>
            <w:hideMark/>
          </w:tcPr>
          <w:p w:rsidR="00CC4272" w:rsidRPr="00D723BB" w:rsidRDefault="00CC4272" w:rsidP="006F7DE9">
            <w:pPr>
              <w:rPr>
                <w:b/>
                <w:bCs/>
                <w:color w:val="000000"/>
                <w:sz w:val="20"/>
                <w:szCs w:val="20"/>
              </w:rPr>
            </w:pPr>
            <w:r w:rsidRPr="00D723BB">
              <w:rPr>
                <w:b/>
                <w:bCs/>
                <w:color w:val="000000"/>
                <w:sz w:val="20"/>
                <w:szCs w:val="20"/>
              </w:rPr>
              <w:t>PY5</w:t>
            </w:r>
          </w:p>
        </w:tc>
        <w:tc>
          <w:tcPr>
            <w:tcW w:w="1501" w:type="dxa"/>
            <w:tcBorders>
              <w:top w:val="nil"/>
              <w:left w:val="single" w:sz="8" w:space="0" w:color="448A99"/>
              <w:bottom w:val="single" w:sz="8" w:space="0" w:color="448A99"/>
              <w:right w:val="single" w:sz="8" w:space="0" w:color="448A99"/>
            </w:tcBorders>
            <w:shd w:val="clear" w:color="000000" w:fill="D2EAF1"/>
            <w:vAlign w:val="center"/>
            <w:hideMark/>
          </w:tcPr>
          <w:p w:rsidR="00CC4272" w:rsidRPr="00D723BB" w:rsidRDefault="00CC4272" w:rsidP="006F7DE9">
            <w:pPr>
              <w:jc w:val="center"/>
              <w:rPr>
                <w:color w:val="000000"/>
                <w:sz w:val="20"/>
                <w:szCs w:val="20"/>
              </w:rPr>
            </w:pPr>
            <w:r w:rsidRPr="00D723BB">
              <w:rPr>
                <w:color w:val="000000"/>
                <w:sz w:val="20"/>
                <w:szCs w:val="20"/>
              </w:rPr>
              <w:t>2.95</w:t>
            </w:r>
          </w:p>
        </w:tc>
        <w:tc>
          <w:tcPr>
            <w:tcW w:w="1501" w:type="dxa"/>
            <w:tcBorders>
              <w:top w:val="nil"/>
              <w:left w:val="nil"/>
              <w:bottom w:val="single" w:sz="8" w:space="0" w:color="448A99"/>
              <w:right w:val="single" w:sz="8" w:space="0" w:color="448A99"/>
            </w:tcBorders>
            <w:shd w:val="clear" w:color="000000" w:fill="D2EAF1"/>
            <w:vAlign w:val="center"/>
            <w:hideMark/>
          </w:tcPr>
          <w:p w:rsidR="00CC4272" w:rsidRPr="00D723BB" w:rsidRDefault="00CC4272" w:rsidP="006F7DE9">
            <w:pPr>
              <w:jc w:val="center"/>
              <w:rPr>
                <w:color w:val="000000"/>
                <w:sz w:val="20"/>
                <w:szCs w:val="20"/>
              </w:rPr>
            </w:pPr>
            <w:r w:rsidRPr="00D723BB">
              <w:rPr>
                <w:color w:val="000000"/>
                <w:sz w:val="20"/>
                <w:szCs w:val="20"/>
              </w:rPr>
              <w:t>13.07</w:t>
            </w:r>
          </w:p>
        </w:tc>
        <w:tc>
          <w:tcPr>
            <w:tcW w:w="1502" w:type="dxa"/>
            <w:tcBorders>
              <w:top w:val="nil"/>
              <w:left w:val="nil"/>
              <w:bottom w:val="single" w:sz="8" w:space="0" w:color="448A99"/>
              <w:right w:val="single" w:sz="8" w:space="0" w:color="448A99"/>
            </w:tcBorders>
            <w:shd w:val="clear" w:color="000000" w:fill="D2EAF1"/>
            <w:vAlign w:val="center"/>
            <w:hideMark/>
          </w:tcPr>
          <w:p w:rsidR="00CC4272" w:rsidRPr="00D723BB" w:rsidRDefault="00CC4272" w:rsidP="006F7DE9">
            <w:pPr>
              <w:jc w:val="center"/>
              <w:rPr>
                <w:color w:val="000000"/>
                <w:sz w:val="20"/>
                <w:szCs w:val="20"/>
              </w:rPr>
            </w:pPr>
            <w:r w:rsidRPr="00D723BB">
              <w:rPr>
                <w:color w:val="000000"/>
                <w:sz w:val="20"/>
                <w:szCs w:val="20"/>
              </w:rPr>
              <w:t>0.17</w:t>
            </w:r>
          </w:p>
        </w:tc>
        <w:tc>
          <w:tcPr>
            <w:tcW w:w="1501" w:type="dxa"/>
            <w:tcBorders>
              <w:top w:val="nil"/>
              <w:left w:val="nil"/>
              <w:bottom w:val="single" w:sz="8" w:space="0" w:color="448A99"/>
              <w:right w:val="single" w:sz="8" w:space="0" w:color="448A99"/>
            </w:tcBorders>
            <w:shd w:val="clear" w:color="000000" w:fill="D2EAF1"/>
            <w:vAlign w:val="center"/>
            <w:hideMark/>
          </w:tcPr>
          <w:p w:rsidR="00CC4272" w:rsidRPr="00D723BB" w:rsidRDefault="00CC4272" w:rsidP="006F7DE9">
            <w:pPr>
              <w:jc w:val="center"/>
              <w:rPr>
                <w:color w:val="000000"/>
                <w:sz w:val="20"/>
                <w:szCs w:val="20"/>
              </w:rPr>
            </w:pPr>
            <w:r w:rsidRPr="00D723BB">
              <w:rPr>
                <w:color w:val="000000"/>
                <w:sz w:val="20"/>
                <w:szCs w:val="20"/>
              </w:rPr>
              <w:t>0.71</w:t>
            </w:r>
          </w:p>
        </w:tc>
        <w:tc>
          <w:tcPr>
            <w:tcW w:w="1502" w:type="dxa"/>
            <w:tcBorders>
              <w:top w:val="nil"/>
              <w:left w:val="single" w:sz="8" w:space="0" w:color="448A99"/>
              <w:bottom w:val="single" w:sz="8" w:space="0" w:color="448A99"/>
              <w:right w:val="single" w:sz="8" w:space="0" w:color="448A99"/>
            </w:tcBorders>
            <w:shd w:val="clear" w:color="000000" w:fill="D2EAF1"/>
            <w:vAlign w:val="center"/>
            <w:hideMark/>
          </w:tcPr>
          <w:p w:rsidR="00CC4272" w:rsidRPr="00D723BB" w:rsidRDefault="00CC4272" w:rsidP="006F7DE9">
            <w:pPr>
              <w:jc w:val="center"/>
              <w:rPr>
                <w:color w:val="000000"/>
                <w:sz w:val="20"/>
                <w:szCs w:val="20"/>
              </w:rPr>
            </w:pPr>
            <w:r w:rsidRPr="00D723BB">
              <w:rPr>
                <w:color w:val="000000"/>
                <w:sz w:val="20"/>
                <w:szCs w:val="20"/>
              </w:rPr>
              <w:t>16.89</w:t>
            </w:r>
          </w:p>
        </w:tc>
      </w:tr>
      <w:tr w:rsidR="00A874AC" w:rsidRPr="00D723BB" w:rsidTr="00592FD5">
        <w:trPr>
          <w:trHeight w:val="432"/>
        </w:trPr>
        <w:tc>
          <w:tcPr>
            <w:tcW w:w="1843" w:type="dxa"/>
            <w:tcBorders>
              <w:top w:val="nil"/>
              <w:left w:val="single" w:sz="8" w:space="0" w:color="448A99"/>
              <w:bottom w:val="single" w:sz="8" w:space="0" w:color="448A99"/>
              <w:right w:val="nil"/>
            </w:tcBorders>
            <w:shd w:val="clear" w:color="000000" w:fill="FFFFFF"/>
            <w:vAlign w:val="center"/>
            <w:hideMark/>
          </w:tcPr>
          <w:p w:rsidR="00CC4272" w:rsidRPr="00D723BB" w:rsidRDefault="00CC4272" w:rsidP="006F7DE9">
            <w:pPr>
              <w:rPr>
                <w:b/>
                <w:bCs/>
                <w:color w:val="000000"/>
                <w:sz w:val="20"/>
                <w:szCs w:val="20"/>
              </w:rPr>
            </w:pPr>
            <w:r w:rsidRPr="00D723BB">
              <w:rPr>
                <w:b/>
                <w:bCs/>
                <w:color w:val="000000"/>
                <w:sz w:val="20"/>
                <w:szCs w:val="20"/>
              </w:rPr>
              <w:t>PY6</w:t>
            </w:r>
          </w:p>
        </w:tc>
        <w:tc>
          <w:tcPr>
            <w:tcW w:w="1501" w:type="dxa"/>
            <w:tcBorders>
              <w:top w:val="nil"/>
              <w:left w:val="single" w:sz="8" w:space="0" w:color="448A99"/>
              <w:bottom w:val="single" w:sz="8" w:space="0" w:color="448A99"/>
              <w:right w:val="single" w:sz="8" w:space="0" w:color="448A99"/>
            </w:tcBorders>
            <w:shd w:val="clear" w:color="000000" w:fill="FFFFFF"/>
            <w:vAlign w:val="center"/>
            <w:hideMark/>
          </w:tcPr>
          <w:p w:rsidR="00CC4272" w:rsidRPr="00D723BB" w:rsidRDefault="00CC4272" w:rsidP="006F7DE9">
            <w:pPr>
              <w:jc w:val="center"/>
              <w:rPr>
                <w:color w:val="000000"/>
                <w:sz w:val="20"/>
                <w:szCs w:val="20"/>
              </w:rPr>
            </w:pPr>
            <w:r w:rsidRPr="00D723BB">
              <w:rPr>
                <w:color w:val="000000"/>
                <w:sz w:val="20"/>
                <w:szCs w:val="20"/>
              </w:rPr>
              <w:t>6.85</w:t>
            </w:r>
          </w:p>
        </w:tc>
        <w:tc>
          <w:tcPr>
            <w:tcW w:w="1501" w:type="dxa"/>
            <w:tcBorders>
              <w:top w:val="nil"/>
              <w:left w:val="nil"/>
              <w:bottom w:val="single" w:sz="8" w:space="0" w:color="448A99"/>
              <w:right w:val="single" w:sz="8" w:space="0" w:color="448A99"/>
            </w:tcBorders>
            <w:shd w:val="clear" w:color="auto" w:fill="auto"/>
            <w:vAlign w:val="center"/>
            <w:hideMark/>
          </w:tcPr>
          <w:p w:rsidR="00CC4272" w:rsidRPr="00D723BB" w:rsidRDefault="00CC4272" w:rsidP="006F7DE9">
            <w:pPr>
              <w:jc w:val="center"/>
              <w:rPr>
                <w:color w:val="000000"/>
                <w:sz w:val="20"/>
                <w:szCs w:val="20"/>
              </w:rPr>
            </w:pPr>
            <w:r w:rsidRPr="00D723BB">
              <w:rPr>
                <w:color w:val="000000"/>
                <w:sz w:val="20"/>
                <w:szCs w:val="20"/>
              </w:rPr>
              <w:t>22.23</w:t>
            </w:r>
          </w:p>
        </w:tc>
        <w:tc>
          <w:tcPr>
            <w:tcW w:w="1502" w:type="dxa"/>
            <w:tcBorders>
              <w:top w:val="nil"/>
              <w:left w:val="nil"/>
              <w:bottom w:val="single" w:sz="8" w:space="0" w:color="448A99"/>
              <w:right w:val="single" w:sz="8" w:space="0" w:color="448A99"/>
            </w:tcBorders>
            <w:shd w:val="clear" w:color="000000" w:fill="FFFFFF"/>
            <w:vAlign w:val="center"/>
            <w:hideMark/>
          </w:tcPr>
          <w:p w:rsidR="00CC4272" w:rsidRPr="00D723BB" w:rsidRDefault="00CC4272" w:rsidP="006F7DE9">
            <w:pPr>
              <w:jc w:val="center"/>
              <w:rPr>
                <w:color w:val="000000"/>
                <w:sz w:val="20"/>
                <w:szCs w:val="20"/>
              </w:rPr>
            </w:pPr>
            <w:r w:rsidRPr="00D723BB">
              <w:rPr>
                <w:color w:val="000000"/>
                <w:sz w:val="20"/>
                <w:szCs w:val="20"/>
              </w:rPr>
              <w:t>3.05</w:t>
            </w:r>
          </w:p>
        </w:tc>
        <w:tc>
          <w:tcPr>
            <w:tcW w:w="1501" w:type="dxa"/>
            <w:tcBorders>
              <w:top w:val="nil"/>
              <w:left w:val="nil"/>
              <w:bottom w:val="single" w:sz="8" w:space="0" w:color="448A99"/>
              <w:right w:val="single" w:sz="8" w:space="0" w:color="448A99"/>
            </w:tcBorders>
            <w:shd w:val="clear" w:color="000000" w:fill="FFFFFF"/>
            <w:vAlign w:val="center"/>
            <w:hideMark/>
          </w:tcPr>
          <w:p w:rsidR="00CC4272" w:rsidRPr="00D723BB" w:rsidRDefault="00CC4272" w:rsidP="006F7DE9">
            <w:pPr>
              <w:jc w:val="center"/>
              <w:rPr>
                <w:color w:val="000000"/>
                <w:sz w:val="20"/>
                <w:szCs w:val="20"/>
              </w:rPr>
            </w:pPr>
            <w:r w:rsidRPr="00D723BB">
              <w:rPr>
                <w:color w:val="000000"/>
                <w:sz w:val="20"/>
                <w:szCs w:val="20"/>
              </w:rPr>
              <w:t>1.06</w:t>
            </w:r>
          </w:p>
        </w:tc>
        <w:tc>
          <w:tcPr>
            <w:tcW w:w="1502" w:type="dxa"/>
            <w:tcBorders>
              <w:top w:val="nil"/>
              <w:left w:val="single" w:sz="8" w:space="0" w:color="448A99"/>
              <w:bottom w:val="single" w:sz="8" w:space="0" w:color="448A99"/>
              <w:right w:val="single" w:sz="8" w:space="0" w:color="448A99"/>
            </w:tcBorders>
            <w:shd w:val="clear" w:color="auto" w:fill="auto"/>
            <w:vAlign w:val="center"/>
            <w:hideMark/>
          </w:tcPr>
          <w:p w:rsidR="00CC4272" w:rsidRPr="00D723BB" w:rsidRDefault="00CC4272" w:rsidP="006F7DE9">
            <w:pPr>
              <w:jc w:val="center"/>
              <w:rPr>
                <w:color w:val="000000"/>
                <w:sz w:val="20"/>
                <w:szCs w:val="20"/>
              </w:rPr>
            </w:pPr>
            <w:r w:rsidRPr="00D723BB">
              <w:rPr>
                <w:color w:val="000000"/>
                <w:sz w:val="20"/>
                <w:szCs w:val="20"/>
              </w:rPr>
              <w:t>33.19</w:t>
            </w:r>
          </w:p>
        </w:tc>
      </w:tr>
      <w:tr w:rsidR="00A874AC" w:rsidRPr="00D723BB" w:rsidTr="00592FD5">
        <w:trPr>
          <w:trHeight w:val="432"/>
        </w:trPr>
        <w:tc>
          <w:tcPr>
            <w:tcW w:w="1843" w:type="dxa"/>
            <w:tcBorders>
              <w:top w:val="nil"/>
              <w:left w:val="single" w:sz="8" w:space="0" w:color="448A99"/>
              <w:bottom w:val="single" w:sz="8" w:space="0" w:color="448A99"/>
              <w:right w:val="nil"/>
            </w:tcBorders>
            <w:shd w:val="clear" w:color="000000" w:fill="D2EAF1"/>
            <w:vAlign w:val="center"/>
            <w:hideMark/>
          </w:tcPr>
          <w:p w:rsidR="00CC4272" w:rsidRPr="00D723BB" w:rsidRDefault="00CC4272" w:rsidP="006F7DE9">
            <w:pPr>
              <w:rPr>
                <w:b/>
                <w:bCs/>
                <w:color w:val="000000"/>
                <w:sz w:val="20"/>
                <w:szCs w:val="20"/>
              </w:rPr>
            </w:pPr>
            <w:r w:rsidRPr="001C6824">
              <w:rPr>
                <w:b/>
                <w:bCs/>
                <w:color w:val="000000"/>
                <w:sz w:val="20"/>
                <w:szCs w:val="20"/>
              </w:rPr>
              <w:t>PY7</w:t>
            </w:r>
            <w:r>
              <w:rPr>
                <w:b/>
                <w:bCs/>
                <w:color w:val="000000"/>
                <w:sz w:val="20"/>
                <w:szCs w:val="20"/>
              </w:rPr>
              <w:t xml:space="preserve"> (Phase II Total)</w:t>
            </w:r>
          </w:p>
        </w:tc>
        <w:tc>
          <w:tcPr>
            <w:tcW w:w="1501" w:type="dxa"/>
            <w:tcBorders>
              <w:top w:val="nil"/>
              <w:left w:val="single" w:sz="8" w:space="0" w:color="448A99"/>
              <w:bottom w:val="single" w:sz="8" w:space="0" w:color="448A99"/>
              <w:right w:val="single" w:sz="8" w:space="0" w:color="448A99"/>
            </w:tcBorders>
            <w:shd w:val="clear" w:color="000000" w:fill="D2EAF1"/>
            <w:vAlign w:val="center"/>
            <w:hideMark/>
          </w:tcPr>
          <w:p w:rsidR="00CC4272" w:rsidRPr="00D723BB" w:rsidRDefault="00CC4272" w:rsidP="006F7DE9">
            <w:pPr>
              <w:jc w:val="center"/>
              <w:rPr>
                <w:color w:val="000000"/>
                <w:sz w:val="20"/>
                <w:szCs w:val="20"/>
              </w:rPr>
            </w:pPr>
            <w:r w:rsidRPr="00D723BB">
              <w:rPr>
                <w:color w:val="000000"/>
                <w:sz w:val="20"/>
                <w:szCs w:val="20"/>
              </w:rPr>
              <w:t>10.79</w:t>
            </w:r>
          </w:p>
        </w:tc>
        <w:tc>
          <w:tcPr>
            <w:tcW w:w="1501" w:type="dxa"/>
            <w:tcBorders>
              <w:top w:val="nil"/>
              <w:left w:val="nil"/>
              <w:bottom w:val="single" w:sz="8" w:space="0" w:color="448A99"/>
              <w:right w:val="single" w:sz="8" w:space="0" w:color="448A99"/>
            </w:tcBorders>
            <w:shd w:val="clear" w:color="000000" w:fill="D2EAF1"/>
            <w:vAlign w:val="center"/>
            <w:hideMark/>
          </w:tcPr>
          <w:p w:rsidR="00CC4272" w:rsidRPr="00D723BB" w:rsidRDefault="00CC4272" w:rsidP="006F7DE9">
            <w:pPr>
              <w:jc w:val="center"/>
              <w:rPr>
                <w:color w:val="000000"/>
                <w:sz w:val="20"/>
                <w:szCs w:val="20"/>
              </w:rPr>
            </w:pPr>
            <w:r w:rsidRPr="00D723BB">
              <w:rPr>
                <w:color w:val="000000"/>
                <w:sz w:val="20"/>
                <w:szCs w:val="20"/>
              </w:rPr>
              <w:t>29.08</w:t>
            </w:r>
          </w:p>
        </w:tc>
        <w:tc>
          <w:tcPr>
            <w:tcW w:w="1502" w:type="dxa"/>
            <w:tcBorders>
              <w:top w:val="nil"/>
              <w:left w:val="nil"/>
              <w:bottom w:val="single" w:sz="8" w:space="0" w:color="448A99"/>
              <w:right w:val="single" w:sz="8" w:space="0" w:color="448A99"/>
            </w:tcBorders>
            <w:shd w:val="clear" w:color="000000" w:fill="D2EAF1"/>
            <w:vAlign w:val="center"/>
            <w:hideMark/>
          </w:tcPr>
          <w:p w:rsidR="00CC4272" w:rsidRPr="00D723BB" w:rsidRDefault="00CC4272" w:rsidP="006F7DE9">
            <w:pPr>
              <w:jc w:val="center"/>
              <w:rPr>
                <w:color w:val="000000"/>
                <w:sz w:val="20"/>
                <w:szCs w:val="20"/>
              </w:rPr>
            </w:pPr>
            <w:r w:rsidRPr="00D723BB">
              <w:rPr>
                <w:color w:val="000000"/>
                <w:sz w:val="20"/>
                <w:szCs w:val="20"/>
              </w:rPr>
              <w:t>4.24</w:t>
            </w:r>
          </w:p>
        </w:tc>
        <w:tc>
          <w:tcPr>
            <w:tcW w:w="1501" w:type="dxa"/>
            <w:tcBorders>
              <w:top w:val="nil"/>
              <w:left w:val="nil"/>
              <w:bottom w:val="single" w:sz="8" w:space="0" w:color="448A99"/>
              <w:right w:val="single" w:sz="8" w:space="0" w:color="448A99"/>
            </w:tcBorders>
            <w:shd w:val="clear" w:color="000000" w:fill="D2EAF1"/>
            <w:vAlign w:val="center"/>
            <w:hideMark/>
          </w:tcPr>
          <w:p w:rsidR="00CC4272" w:rsidRPr="00D723BB" w:rsidRDefault="00CC4272" w:rsidP="006F7DE9">
            <w:pPr>
              <w:jc w:val="center"/>
              <w:rPr>
                <w:color w:val="000000"/>
                <w:sz w:val="20"/>
                <w:szCs w:val="20"/>
              </w:rPr>
            </w:pPr>
            <w:r w:rsidRPr="00D723BB">
              <w:rPr>
                <w:color w:val="000000"/>
                <w:sz w:val="20"/>
                <w:szCs w:val="20"/>
              </w:rPr>
              <w:t>1.51</w:t>
            </w:r>
          </w:p>
        </w:tc>
        <w:tc>
          <w:tcPr>
            <w:tcW w:w="1502" w:type="dxa"/>
            <w:tcBorders>
              <w:top w:val="nil"/>
              <w:left w:val="single" w:sz="8" w:space="0" w:color="448A99"/>
              <w:bottom w:val="single" w:sz="8" w:space="0" w:color="448A99"/>
              <w:right w:val="single" w:sz="8" w:space="0" w:color="448A99"/>
            </w:tcBorders>
            <w:shd w:val="clear" w:color="000000" w:fill="D2EAF1"/>
            <w:vAlign w:val="center"/>
            <w:hideMark/>
          </w:tcPr>
          <w:p w:rsidR="00CC4272" w:rsidRPr="00D723BB" w:rsidRDefault="00CC4272" w:rsidP="006F7DE9">
            <w:pPr>
              <w:jc w:val="center"/>
              <w:rPr>
                <w:color w:val="000000"/>
                <w:sz w:val="20"/>
                <w:szCs w:val="20"/>
              </w:rPr>
            </w:pPr>
            <w:r w:rsidRPr="00D723BB">
              <w:rPr>
                <w:color w:val="000000"/>
                <w:sz w:val="20"/>
                <w:szCs w:val="20"/>
              </w:rPr>
              <w:t>45.62</w:t>
            </w:r>
          </w:p>
        </w:tc>
      </w:tr>
    </w:tbl>
    <w:p w:rsidR="00CC4272" w:rsidRDefault="00CC4272" w:rsidP="00CC4272"/>
    <w:p w:rsidR="00B914EA" w:rsidRDefault="00B914EA" w:rsidP="00CC4272"/>
    <w:p w:rsidR="00B914EA" w:rsidRDefault="00B914EA" w:rsidP="00CC4272"/>
    <w:p w:rsidR="00B914EA" w:rsidRDefault="00B914EA" w:rsidP="00CC4272"/>
    <w:p w:rsidR="00CC4272" w:rsidRDefault="00CC4272" w:rsidP="00CC4272"/>
    <w:p w:rsidR="00DB244B" w:rsidRDefault="00DB244B" w:rsidP="00CC4272"/>
    <w:p w:rsidR="00E1723F" w:rsidRDefault="00E1723F" w:rsidP="00CC4272"/>
    <w:p w:rsidR="00E1723F" w:rsidRDefault="00E1723F" w:rsidP="00CC4272"/>
    <w:p w:rsidR="00E1723F" w:rsidRDefault="00E1723F" w:rsidP="00CC4272"/>
    <w:p w:rsidR="00ED4EA3" w:rsidRDefault="00ED4EA3" w:rsidP="00CC4272"/>
    <w:p w:rsidR="00ED4EA3" w:rsidRDefault="00ED4EA3" w:rsidP="00CC4272"/>
    <w:p w:rsidR="008E4974" w:rsidRDefault="008E4974" w:rsidP="008E4974">
      <w:pPr>
        <w:pStyle w:val="Caption"/>
      </w:pPr>
      <w:bookmarkStart w:id="261" w:name="_Ref472350375"/>
      <w:bookmarkStart w:id="262" w:name="_Toc472472232"/>
      <w:bookmarkStart w:id="263" w:name="_Toc476914046"/>
      <w:r>
        <w:lastRenderedPageBreak/>
        <w:t xml:space="preserve">Figure </w:t>
      </w:r>
      <w:fldSimple w:instr=" STYLEREF 1 \s ">
        <w:r w:rsidR="00C301D0">
          <w:rPr>
            <w:noProof/>
          </w:rPr>
          <w:t>3</w:t>
        </w:r>
      </w:fldSimple>
      <w:r w:rsidR="00DA1ADA">
        <w:noBreakHyphen/>
      </w:r>
      <w:fldSimple w:instr=" SEQ Figure \* ARABIC \s 1 ">
        <w:r w:rsidR="00C301D0">
          <w:rPr>
            <w:noProof/>
          </w:rPr>
          <w:t>2</w:t>
        </w:r>
      </w:fldSimple>
      <w:bookmarkEnd w:id="261"/>
      <w:r>
        <w:t xml:space="preserve">:  </w:t>
      </w:r>
      <w:r w:rsidR="00D743F8" w:rsidRPr="008E4974">
        <w:t>Duquesne</w:t>
      </w:r>
      <w:r w:rsidRPr="008E4974">
        <w:t xml:space="preserve"> Phase II </w:t>
      </w:r>
      <w:r w:rsidR="000206F5">
        <w:t>Cumulative</w:t>
      </w:r>
      <w:r w:rsidRPr="008E4974">
        <w:t xml:space="preserve"> Demand Savings, by Sector</w:t>
      </w:r>
      <w:bookmarkEnd w:id="262"/>
      <w:bookmarkEnd w:id="263"/>
    </w:p>
    <w:p w:rsidR="001C504E" w:rsidRDefault="00ED4EA3" w:rsidP="001C504E">
      <w:r>
        <w:rPr>
          <w:noProof/>
        </w:rPr>
        <w:drawing>
          <wp:inline distT="0" distB="0" distL="0" distR="0" wp14:anchorId="023FA098" wp14:editId="5E008B7C">
            <wp:extent cx="5871896" cy="3427012"/>
            <wp:effectExtent l="0" t="0" r="0" b="254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0632" cy="3437947"/>
                    </a:xfrm>
                    <a:prstGeom prst="rect">
                      <a:avLst/>
                    </a:prstGeom>
                    <a:noFill/>
                  </pic:spPr>
                </pic:pic>
              </a:graphicData>
            </a:graphic>
          </wp:inline>
        </w:drawing>
      </w:r>
    </w:p>
    <w:p w:rsidR="001C504E" w:rsidRPr="001C504E" w:rsidRDefault="001C504E" w:rsidP="001C504E"/>
    <w:p w:rsidR="00DD6B4C" w:rsidRDefault="00DD6B4C" w:rsidP="00DD6B4C">
      <w:pPr>
        <w:pStyle w:val="Heading3"/>
      </w:pPr>
      <w:bookmarkStart w:id="264" w:name="_Toc472472107"/>
      <w:bookmarkStart w:id="265" w:name="_Toc476913919"/>
      <w:r>
        <w:t>Metropolitan Edison Company</w:t>
      </w:r>
      <w:bookmarkEnd w:id="264"/>
      <w:bookmarkEnd w:id="265"/>
    </w:p>
    <w:p w:rsidR="00D9014E" w:rsidRDefault="00D9014E" w:rsidP="00D9014E">
      <w:r>
        <w:fldChar w:fldCharType="begin"/>
      </w:r>
      <w:r>
        <w:instrText xml:space="preserve"> REF _Ref472350611 \h </w:instrText>
      </w:r>
      <w:r>
        <w:fldChar w:fldCharType="separate"/>
      </w:r>
      <w:r w:rsidR="00C301D0">
        <w:t xml:space="preserve">Table </w:t>
      </w:r>
      <w:r w:rsidR="00C301D0">
        <w:rPr>
          <w:noProof/>
        </w:rPr>
        <w:t>3</w:t>
      </w:r>
      <w:r w:rsidR="00C301D0">
        <w:noBreakHyphen/>
      </w:r>
      <w:r w:rsidR="00C301D0">
        <w:rPr>
          <w:noProof/>
        </w:rPr>
        <w:t>4</w:t>
      </w:r>
      <w:r>
        <w:fldChar w:fldCharType="end"/>
      </w:r>
      <w:r>
        <w:t xml:space="preserve"> </w:t>
      </w:r>
      <w:r w:rsidR="00F13CD2" w:rsidRPr="00D9014E">
        <w:t>presents Med-Ed’s cumulative demand savings, by sector. The C</w:t>
      </w:r>
      <w:r w:rsidR="003B73AE" w:rsidRPr="00D9014E">
        <w:t>/</w:t>
      </w:r>
      <w:r w:rsidR="00F13CD2" w:rsidRPr="00D9014E">
        <w:t xml:space="preserve">I sector accounted for </w:t>
      </w:r>
      <w:r w:rsidR="00871F8D" w:rsidRPr="00D9014E">
        <w:t>35</w:t>
      </w:r>
      <w:r w:rsidR="00F13CD2" w:rsidRPr="00D9014E">
        <w:t xml:space="preserve">% of the total demand savings in Phase II. </w:t>
      </w:r>
    </w:p>
    <w:p w:rsidR="00F13CD2" w:rsidRDefault="00871F8D" w:rsidP="00D9014E">
      <w:r w:rsidRPr="00D9014E">
        <w:fldChar w:fldCharType="begin"/>
      </w:r>
      <w:r w:rsidRPr="00D9014E">
        <w:instrText xml:space="preserve"> REF _Ref472350672 \h </w:instrText>
      </w:r>
      <w:r w:rsidRPr="00D9014E">
        <w:fldChar w:fldCharType="separate"/>
      </w:r>
      <w:r w:rsidR="00C301D0">
        <w:t xml:space="preserve">Figure </w:t>
      </w:r>
      <w:r w:rsidR="00C301D0">
        <w:rPr>
          <w:noProof/>
        </w:rPr>
        <w:t>3</w:t>
      </w:r>
      <w:r w:rsidR="00C301D0">
        <w:noBreakHyphen/>
      </w:r>
      <w:r w:rsidR="00C301D0">
        <w:rPr>
          <w:noProof/>
        </w:rPr>
        <w:t>3</w:t>
      </w:r>
      <w:r w:rsidRPr="00D9014E">
        <w:fldChar w:fldCharType="end"/>
      </w:r>
      <w:r w:rsidR="00F13CD2">
        <w:t xml:space="preserve"> provides a graphical illustration of these savings.</w:t>
      </w:r>
    </w:p>
    <w:p w:rsidR="00F13CD2" w:rsidRDefault="00F13CD2" w:rsidP="00F13CD2"/>
    <w:p w:rsidR="00F13CD2" w:rsidRDefault="00F13CD2" w:rsidP="00F13CD2">
      <w:pPr>
        <w:pStyle w:val="Caption"/>
      </w:pPr>
      <w:bookmarkStart w:id="266" w:name="_Ref472350611"/>
      <w:bookmarkStart w:id="267" w:name="_Toc472472179"/>
      <w:bookmarkStart w:id="268" w:name="_Toc476913992"/>
      <w:r>
        <w:t xml:space="preserve">Table </w:t>
      </w:r>
      <w:fldSimple w:instr=" STYLEREF 1 \s ">
        <w:r w:rsidR="00C301D0">
          <w:rPr>
            <w:noProof/>
          </w:rPr>
          <w:t>3</w:t>
        </w:r>
      </w:fldSimple>
      <w:r w:rsidR="00E6042C">
        <w:noBreakHyphen/>
      </w:r>
      <w:fldSimple w:instr=" SEQ Table \* ARABIC \s 1 ">
        <w:r w:rsidR="00C301D0">
          <w:rPr>
            <w:noProof/>
          </w:rPr>
          <w:t>4</w:t>
        </w:r>
      </w:fldSimple>
      <w:bookmarkEnd w:id="266"/>
      <w:r>
        <w:t xml:space="preserve">: Met-Ed Phase II </w:t>
      </w:r>
      <w:r w:rsidR="000206F5">
        <w:t>Cumulative</w:t>
      </w:r>
      <w:r>
        <w:t xml:space="preserve"> Demand Savings, by Sector</w:t>
      </w:r>
      <w:bookmarkEnd w:id="267"/>
      <w:bookmarkEnd w:id="268"/>
    </w:p>
    <w:tbl>
      <w:tblPr>
        <w:tblW w:w="9350" w:type="dxa"/>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843"/>
        <w:gridCol w:w="1501"/>
        <w:gridCol w:w="1501"/>
        <w:gridCol w:w="1502"/>
        <w:gridCol w:w="1501"/>
        <w:gridCol w:w="1502"/>
      </w:tblGrid>
      <w:tr w:rsidR="00A874AC" w:rsidRPr="00D723BB" w:rsidTr="00592FD5">
        <w:trPr>
          <w:trHeight w:val="198"/>
        </w:trPr>
        <w:tc>
          <w:tcPr>
            <w:tcW w:w="1843" w:type="dxa"/>
            <w:shd w:val="clear" w:color="000000" w:fill="448A99"/>
            <w:vAlign w:val="center"/>
            <w:hideMark/>
          </w:tcPr>
          <w:p w:rsidR="00F13CD2" w:rsidRPr="00D723BB" w:rsidRDefault="00F13CD2" w:rsidP="006F7DE9">
            <w:pPr>
              <w:rPr>
                <w:b/>
                <w:bCs/>
                <w:color w:val="FFFFFF"/>
                <w:sz w:val="20"/>
                <w:szCs w:val="20"/>
              </w:rPr>
            </w:pPr>
            <w:r>
              <w:rPr>
                <w:b/>
                <w:bCs/>
                <w:color w:val="FFFFFF"/>
                <w:sz w:val="20"/>
                <w:szCs w:val="20"/>
              </w:rPr>
              <w:t>Statewide</w:t>
            </w:r>
          </w:p>
        </w:tc>
        <w:tc>
          <w:tcPr>
            <w:tcW w:w="1501" w:type="dxa"/>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Residential</w:t>
            </w:r>
          </w:p>
        </w:tc>
        <w:tc>
          <w:tcPr>
            <w:tcW w:w="1501" w:type="dxa"/>
            <w:shd w:val="clear" w:color="000000" w:fill="448A99"/>
            <w:vAlign w:val="center"/>
            <w:hideMark/>
          </w:tcPr>
          <w:p w:rsidR="00F13CD2" w:rsidRPr="00D723BB" w:rsidRDefault="00F13CD2" w:rsidP="0097650B">
            <w:pPr>
              <w:jc w:val="center"/>
              <w:rPr>
                <w:b/>
                <w:bCs/>
                <w:color w:val="FFFFFF"/>
                <w:sz w:val="20"/>
                <w:szCs w:val="20"/>
              </w:rPr>
            </w:pPr>
            <w:r w:rsidRPr="00D723BB">
              <w:rPr>
                <w:b/>
                <w:bCs/>
                <w:color w:val="FFFFFF"/>
                <w:sz w:val="20"/>
                <w:szCs w:val="20"/>
              </w:rPr>
              <w:t>C</w:t>
            </w:r>
            <w:r w:rsidR="0097650B">
              <w:rPr>
                <w:b/>
                <w:bCs/>
                <w:color w:val="FFFFFF"/>
                <w:sz w:val="20"/>
                <w:szCs w:val="20"/>
              </w:rPr>
              <w:t>/</w:t>
            </w:r>
            <w:r w:rsidRPr="00D723BB">
              <w:rPr>
                <w:b/>
                <w:bCs/>
                <w:color w:val="FFFFFF"/>
                <w:sz w:val="20"/>
                <w:szCs w:val="20"/>
              </w:rPr>
              <w:t>I</w:t>
            </w:r>
          </w:p>
        </w:tc>
        <w:tc>
          <w:tcPr>
            <w:tcW w:w="1502" w:type="dxa"/>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GNI</w:t>
            </w:r>
          </w:p>
        </w:tc>
        <w:tc>
          <w:tcPr>
            <w:tcW w:w="1501" w:type="dxa"/>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Low-Income</w:t>
            </w:r>
          </w:p>
        </w:tc>
        <w:tc>
          <w:tcPr>
            <w:tcW w:w="1502" w:type="dxa"/>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Total</w:t>
            </w:r>
          </w:p>
        </w:tc>
      </w:tr>
      <w:tr w:rsidR="00A874AC" w:rsidRPr="00D723BB" w:rsidTr="00592FD5">
        <w:trPr>
          <w:trHeight w:val="432"/>
        </w:trPr>
        <w:tc>
          <w:tcPr>
            <w:tcW w:w="1843" w:type="dxa"/>
            <w:shd w:val="clear" w:color="000000" w:fill="D2EAF1"/>
            <w:vAlign w:val="center"/>
            <w:hideMark/>
          </w:tcPr>
          <w:p w:rsidR="00871F8D" w:rsidRPr="00D723BB" w:rsidRDefault="00871F8D" w:rsidP="00871F8D">
            <w:pPr>
              <w:rPr>
                <w:b/>
                <w:bCs/>
                <w:color w:val="000000"/>
                <w:sz w:val="20"/>
                <w:szCs w:val="20"/>
              </w:rPr>
            </w:pPr>
            <w:r w:rsidRPr="00D723BB">
              <w:rPr>
                <w:b/>
                <w:bCs/>
                <w:color w:val="000000"/>
                <w:sz w:val="20"/>
                <w:szCs w:val="20"/>
              </w:rPr>
              <w:t>PY5</w:t>
            </w:r>
          </w:p>
        </w:tc>
        <w:tc>
          <w:tcPr>
            <w:tcW w:w="1501" w:type="dxa"/>
            <w:shd w:val="clear" w:color="000000" w:fill="D2EAF1"/>
            <w:vAlign w:val="center"/>
          </w:tcPr>
          <w:p w:rsidR="00871F8D" w:rsidRPr="00D723BB" w:rsidRDefault="00871F8D" w:rsidP="00871F8D">
            <w:pPr>
              <w:jc w:val="center"/>
              <w:rPr>
                <w:color w:val="000000"/>
                <w:sz w:val="20"/>
                <w:szCs w:val="20"/>
              </w:rPr>
            </w:pPr>
            <w:r>
              <w:rPr>
                <w:color w:val="000000"/>
                <w:sz w:val="20"/>
                <w:szCs w:val="20"/>
              </w:rPr>
              <w:t>9.51</w:t>
            </w:r>
          </w:p>
        </w:tc>
        <w:tc>
          <w:tcPr>
            <w:tcW w:w="1501" w:type="dxa"/>
            <w:shd w:val="clear" w:color="000000" w:fill="D2EAF1"/>
            <w:vAlign w:val="center"/>
          </w:tcPr>
          <w:p w:rsidR="00871F8D" w:rsidRPr="00D723BB" w:rsidRDefault="00871F8D" w:rsidP="00871F8D">
            <w:pPr>
              <w:jc w:val="center"/>
              <w:rPr>
                <w:color w:val="000000"/>
                <w:sz w:val="20"/>
                <w:szCs w:val="20"/>
              </w:rPr>
            </w:pPr>
            <w:r>
              <w:rPr>
                <w:color w:val="000000"/>
                <w:sz w:val="20"/>
                <w:szCs w:val="20"/>
              </w:rPr>
              <w:t>5.18</w:t>
            </w:r>
          </w:p>
        </w:tc>
        <w:tc>
          <w:tcPr>
            <w:tcW w:w="1502" w:type="dxa"/>
            <w:shd w:val="clear" w:color="000000" w:fill="D2EAF1"/>
            <w:vAlign w:val="center"/>
          </w:tcPr>
          <w:p w:rsidR="00871F8D" w:rsidRPr="00D723BB" w:rsidRDefault="00871F8D" w:rsidP="00871F8D">
            <w:pPr>
              <w:jc w:val="center"/>
              <w:rPr>
                <w:color w:val="000000"/>
                <w:sz w:val="20"/>
                <w:szCs w:val="20"/>
              </w:rPr>
            </w:pPr>
            <w:r>
              <w:rPr>
                <w:color w:val="000000"/>
                <w:sz w:val="20"/>
                <w:szCs w:val="20"/>
              </w:rPr>
              <w:t>0.46</w:t>
            </w:r>
          </w:p>
        </w:tc>
        <w:tc>
          <w:tcPr>
            <w:tcW w:w="1501" w:type="dxa"/>
            <w:shd w:val="clear" w:color="000000" w:fill="D2EAF1"/>
            <w:vAlign w:val="center"/>
          </w:tcPr>
          <w:p w:rsidR="00871F8D" w:rsidRPr="00D723BB" w:rsidRDefault="00871F8D" w:rsidP="00871F8D">
            <w:pPr>
              <w:jc w:val="center"/>
              <w:rPr>
                <w:color w:val="000000"/>
                <w:sz w:val="20"/>
                <w:szCs w:val="20"/>
              </w:rPr>
            </w:pPr>
            <w:r>
              <w:rPr>
                <w:color w:val="000000"/>
                <w:sz w:val="20"/>
                <w:szCs w:val="20"/>
              </w:rPr>
              <w:t>0.00</w:t>
            </w:r>
          </w:p>
        </w:tc>
        <w:tc>
          <w:tcPr>
            <w:tcW w:w="1502" w:type="dxa"/>
            <w:shd w:val="clear" w:color="000000" w:fill="D2EAF1"/>
            <w:vAlign w:val="center"/>
          </w:tcPr>
          <w:p w:rsidR="00871F8D" w:rsidRPr="00D723BB" w:rsidRDefault="00871F8D" w:rsidP="00871F8D">
            <w:pPr>
              <w:jc w:val="center"/>
              <w:rPr>
                <w:color w:val="000000"/>
                <w:sz w:val="20"/>
                <w:szCs w:val="20"/>
              </w:rPr>
            </w:pPr>
            <w:r>
              <w:rPr>
                <w:color w:val="000000"/>
                <w:sz w:val="20"/>
                <w:szCs w:val="20"/>
              </w:rPr>
              <w:t>15.15</w:t>
            </w:r>
          </w:p>
        </w:tc>
      </w:tr>
      <w:tr w:rsidR="00A874AC" w:rsidRPr="00D723BB" w:rsidTr="00592FD5">
        <w:trPr>
          <w:trHeight w:val="432"/>
        </w:trPr>
        <w:tc>
          <w:tcPr>
            <w:tcW w:w="1843" w:type="dxa"/>
            <w:shd w:val="clear" w:color="000000" w:fill="FFFFFF"/>
            <w:vAlign w:val="center"/>
            <w:hideMark/>
          </w:tcPr>
          <w:p w:rsidR="00871F8D" w:rsidRPr="00D723BB" w:rsidRDefault="00871F8D" w:rsidP="00871F8D">
            <w:pPr>
              <w:rPr>
                <w:b/>
                <w:bCs/>
                <w:color w:val="000000"/>
                <w:sz w:val="20"/>
                <w:szCs w:val="20"/>
              </w:rPr>
            </w:pPr>
            <w:r w:rsidRPr="00D723BB">
              <w:rPr>
                <w:b/>
                <w:bCs/>
                <w:color w:val="000000"/>
                <w:sz w:val="20"/>
                <w:szCs w:val="20"/>
              </w:rPr>
              <w:t>PY6</w:t>
            </w:r>
          </w:p>
        </w:tc>
        <w:tc>
          <w:tcPr>
            <w:tcW w:w="1501" w:type="dxa"/>
            <w:shd w:val="clear" w:color="000000" w:fill="FFFFFF"/>
            <w:vAlign w:val="center"/>
          </w:tcPr>
          <w:p w:rsidR="00871F8D" w:rsidRPr="00D723BB" w:rsidRDefault="00871F8D" w:rsidP="00871F8D">
            <w:pPr>
              <w:jc w:val="center"/>
              <w:rPr>
                <w:color w:val="000000"/>
                <w:sz w:val="20"/>
                <w:szCs w:val="20"/>
              </w:rPr>
            </w:pPr>
            <w:r>
              <w:rPr>
                <w:color w:val="000000"/>
                <w:sz w:val="20"/>
                <w:szCs w:val="20"/>
              </w:rPr>
              <w:t>15.33</w:t>
            </w:r>
          </w:p>
        </w:tc>
        <w:tc>
          <w:tcPr>
            <w:tcW w:w="1501" w:type="dxa"/>
            <w:shd w:val="clear" w:color="auto" w:fill="auto"/>
            <w:vAlign w:val="center"/>
          </w:tcPr>
          <w:p w:rsidR="00871F8D" w:rsidRPr="00D723BB" w:rsidRDefault="00871F8D" w:rsidP="00871F8D">
            <w:pPr>
              <w:jc w:val="center"/>
              <w:rPr>
                <w:color w:val="000000"/>
                <w:sz w:val="20"/>
                <w:szCs w:val="20"/>
              </w:rPr>
            </w:pPr>
            <w:r>
              <w:rPr>
                <w:color w:val="000000"/>
                <w:sz w:val="20"/>
                <w:szCs w:val="20"/>
              </w:rPr>
              <w:t>10.95</w:t>
            </w:r>
          </w:p>
        </w:tc>
        <w:tc>
          <w:tcPr>
            <w:tcW w:w="1502" w:type="dxa"/>
            <w:shd w:val="clear" w:color="000000" w:fill="FFFFFF"/>
            <w:vAlign w:val="center"/>
          </w:tcPr>
          <w:p w:rsidR="00871F8D" w:rsidRPr="00D723BB" w:rsidRDefault="00871F8D" w:rsidP="00871F8D">
            <w:pPr>
              <w:jc w:val="center"/>
              <w:rPr>
                <w:color w:val="000000"/>
                <w:sz w:val="20"/>
                <w:szCs w:val="20"/>
              </w:rPr>
            </w:pPr>
            <w:r>
              <w:rPr>
                <w:color w:val="000000"/>
                <w:sz w:val="20"/>
                <w:szCs w:val="20"/>
              </w:rPr>
              <w:t>2.13</w:t>
            </w:r>
          </w:p>
        </w:tc>
        <w:tc>
          <w:tcPr>
            <w:tcW w:w="1501" w:type="dxa"/>
            <w:shd w:val="clear" w:color="000000" w:fill="FFFFFF"/>
            <w:vAlign w:val="center"/>
          </w:tcPr>
          <w:p w:rsidR="00871F8D" w:rsidRPr="00D723BB" w:rsidRDefault="00871F8D" w:rsidP="00871F8D">
            <w:pPr>
              <w:jc w:val="center"/>
              <w:rPr>
                <w:color w:val="000000"/>
                <w:sz w:val="20"/>
                <w:szCs w:val="20"/>
              </w:rPr>
            </w:pPr>
            <w:r>
              <w:rPr>
                <w:color w:val="000000"/>
                <w:sz w:val="20"/>
                <w:szCs w:val="20"/>
              </w:rPr>
              <w:t>0.39</w:t>
            </w:r>
          </w:p>
        </w:tc>
        <w:tc>
          <w:tcPr>
            <w:tcW w:w="1502" w:type="dxa"/>
            <w:shd w:val="clear" w:color="auto" w:fill="auto"/>
            <w:vAlign w:val="center"/>
          </w:tcPr>
          <w:p w:rsidR="00871F8D" w:rsidRPr="00D723BB" w:rsidRDefault="00871F8D" w:rsidP="00871F8D">
            <w:pPr>
              <w:jc w:val="center"/>
              <w:rPr>
                <w:color w:val="000000"/>
                <w:sz w:val="20"/>
                <w:szCs w:val="20"/>
              </w:rPr>
            </w:pPr>
            <w:r>
              <w:rPr>
                <w:color w:val="000000"/>
                <w:sz w:val="20"/>
                <w:szCs w:val="20"/>
              </w:rPr>
              <w:t>28.80</w:t>
            </w:r>
          </w:p>
        </w:tc>
      </w:tr>
      <w:tr w:rsidR="00A874AC" w:rsidRPr="00D723BB" w:rsidTr="00592FD5">
        <w:trPr>
          <w:trHeight w:val="432"/>
        </w:trPr>
        <w:tc>
          <w:tcPr>
            <w:tcW w:w="1843" w:type="dxa"/>
            <w:shd w:val="clear" w:color="000000" w:fill="D2EAF1"/>
            <w:vAlign w:val="center"/>
            <w:hideMark/>
          </w:tcPr>
          <w:p w:rsidR="00871F8D" w:rsidRPr="00D723BB" w:rsidRDefault="00871F8D" w:rsidP="00871F8D">
            <w:pPr>
              <w:rPr>
                <w:b/>
                <w:bCs/>
                <w:color w:val="000000"/>
                <w:sz w:val="20"/>
                <w:szCs w:val="20"/>
              </w:rPr>
            </w:pPr>
            <w:r w:rsidRPr="001C6824">
              <w:rPr>
                <w:b/>
                <w:bCs/>
                <w:color w:val="000000"/>
                <w:sz w:val="20"/>
                <w:szCs w:val="20"/>
              </w:rPr>
              <w:t>PY7</w:t>
            </w:r>
            <w:r>
              <w:rPr>
                <w:b/>
                <w:bCs/>
                <w:color w:val="000000"/>
                <w:sz w:val="20"/>
                <w:szCs w:val="20"/>
              </w:rPr>
              <w:t xml:space="preserve"> (Phase II Total)</w:t>
            </w:r>
          </w:p>
        </w:tc>
        <w:tc>
          <w:tcPr>
            <w:tcW w:w="1501" w:type="dxa"/>
            <w:shd w:val="clear" w:color="000000" w:fill="D2EAF1"/>
            <w:vAlign w:val="center"/>
          </w:tcPr>
          <w:p w:rsidR="00871F8D" w:rsidRPr="00D723BB" w:rsidRDefault="00871F8D" w:rsidP="00871F8D">
            <w:pPr>
              <w:jc w:val="center"/>
              <w:rPr>
                <w:color w:val="000000"/>
                <w:sz w:val="20"/>
                <w:szCs w:val="20"/>
              </w:rPr>
            </w:pPr>
            <w:r>
              <w:rPr>
                <w:color w:val="000000"/>
                <w:sz w:val="20"/>
                <w:szCs w:val="20"/>
              </w:rPr>
              <w:t>17.70</w:t>
            </w:r>
          </w:p>
        </w:tc>
        <w:tc>
          <w:tcPr>
            <w:tcW w:w="1501" w:type="dxa"/>
            <w:shd w:val="clear" w:color="000000" w:fill="D2EAF1"/>
            <w:vAlign w:val="center"/>
          </w:tcPr>
          <w:p w:rsidR="00871F8D" w:rsidRPr="00D723BB" w:rsidRDefault="00871F8D" w:rsidP="00871F8D">
            <w:pPr>
              <w:jc w:val="center"/>
              <w:rPr>
                <w:color w:val="000000"/>
                <w:sz w:val="20"/>
                <w:szCs w:val="20"/>
              </w:rPr>
            </w:pPr>
            <w:r>
              <w:rPr>
                <w:color w:val="000000"/>
                <w:sz w:val="20"/>
                <w:szCs w:val="20"/>
              </w:rPr>
              <w:t>19.02</w:t>
            </w:r>
          </w:p>
        </w:tc>
        <w:tc>
          <w:tcPr>
            <w:tcW w:w="1502" w:type="dxa"/>
            <w:shd w:val="clear" w:color="000000" w:fill="D2EAF1"/>
            <w:vAlign w:val="center"/>
          </w:tcPr>
          <w:p w:rsidR="00871F8D" w:rsidRPr="00D723BB" w:rsidRDefault="00871F8D" w:rsidP="00871F8D">
            <w:pPr>
              <w:jc w:val="center"/>
              <w:rPr>
                <w:color w:val="000000"/>
                <w:sz w:val="20"/>
                <w:szCs w:val="20"/>
              </w:rPr>
            </w:pPr>
            <w:r>
              <w:rPr>
                <w:color w:val="000000"/>
                <w:sz w:val="20"/>
                <w:szCs w:val="20"/>
              </w:rPr>
              <w:t>6.43</w:t>
            </w:r>
          </w:p>
        </w:tc>
        <w:tc>
          <w:tcPr>
            <w:tcW w:w="1501" w:type="dxa"/>
            <w:shd w:val="clear" w:color="000000" w:fill="D2EAF1"/>
            <w:vAlign w:val="center"/>
          </w:tcPr>
          <w:p w:rsidR="00871F8D" w:rsidRPr="00D723BB" w:rsidRDefault="00871F8D" w:rsidP="00871F8D">
            <w:pPr>
              <w:jc w:val="center"/>
              <w:rPr>
                <w:color w:val="000000"/>
                <w:sz w:val="20"/>
                <w:szCs w:val="20"/>
              </w:rPr>
            </w:pPr>
            <w:r>
              <w:rPr>
                <w:color w:val="000000"/>
                <w:sz w:val="20"/>
                <w:szCs w:val="20"/>
              </w:rPr>
              <w:t>2.51</w:t>
            </w:r>
          </w:p>
        </w:tc>
        <w:tc>
          <w:tcPr>
            <w:tcW w:w="1502" w:type="dxa"/>
            <w:shd w:val="clear" w:color="000000" w:fill="D2EAF1"/>
            <w:vAlign w:val="center"/>
          </w:tcPr>
          <w:p w:rsidR="00871F8D" w:rsidRPr="00D723BB" w:rsidRDefault="00871F8D" w:rsidP="00871F8D">
            <w:pPr>
              <w:jc w:val="center"/>
              <w:rPr>
                <w:color w:val="000000"/>
                <w:sz w:val="20"/>
                <w:szCs w:val="20"/>
              </w:rPr>
            </w:pPr>
            <w:r>
              <w:rPr>
                <w:color w:val="000000"/>
                <w:sz w:val="20"/>
                <w:szCs w:val="20"/>
              </w:rPr>
              <w:t>45.66</w:t>
            </w:r>
          </w:p>
        </w:tc>
      </w:tr>
    </w:tbl>
    <w:p w:rsidR="00F13CD2" w:rsidRDefault="00F13CD2" w:rsidP="00F13CD2"/>
    <w:p w:rsidR="00F13CD2" w:rsidRDefault="00F13CD2" w:rsidP="00F13CD2"/>
    <w:p w:rsidR="00DB244B" w:rsidRDefault="00DB244B" w:rsidP="00F13CD2"/>
    <w:p w:rsidR="00B914EA" w:rsidRDefault="00B914EA"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956A49" w:rsidRDefault="00956A49" w:rsidP="00F13CD2"/>
    <w:p w:rsidR="00DB244B" w:rsidRDefault="00DB244B" w:rsidP="00F13CD2"/>
    <w:p w:rsidR="00DB244B" w:rsidRDefault="00DB244B" w:rsidP="00F13CD2"/>
    <w:p w:rsidR="00F13CD2" w:rsidRDefault="00F13CD2" w:rsidP="00F13CD2">
      <w:pPr>
        <w:pStyle w:val="Caption"/>
      </w:pPr>
      <w:bookmarkStart w:id="269" w:name="_Ref472350672"/>
      <w:bookmarkStart w:id="270" w:name="_Toc472472233"/>
      <w:bookmarkStart w:id="271" w:name="_Toc476914047"/>
      <w:r>
        <w:lastRenderedPageBreak/>
        <w:t xml:space="preserve">Figure </w:t>
      </w:r>
      <w:fldSimple w:instr=" STYLEREF 1 \s ">
        <w:r w:rsidR="00C301D0">
          <w:rPr>
            <w:noProof/>
          </w:rPr>
          <w:t>3</w:t>
        </w:r>
      </w:fldSimple>
      <w:r w:rsidR="00DA1ADA">
        <w:noBreakHyphen/>
      </w:r>
      <w:fldSimple w:instr=" SEQ Figure \* ARABIC \s 1 ">
        <w:r w:rsidR="00C301D0">
          <w:rPr>
            <w:noProof/>
          </w:rPr>
          <w:t>3</w:t>
        </w:r>
      </w:fldSimple>
      <w:bookmarkEnd w:id="269"/>
      <w:r>
        <w:t>: Met-Ed</w:t>
      </w:r>
      <w:r w:rsidRPr="008E4974">
        <w:t xml:space="preserve"> Phase II </w:t>
      </w:r>
      <w:r w:rsidR="000206F5">
        <w:t>Cumulative</w:t>
      </w:r>
      <w:r w:rsidRPr="008E4974">
        <w:t xml:space="preserve"> Demand Savings, by Sector</w:t>
      </w:r>
      <w:bookmarkEnd w:id="270"/>
      <w:bookmarkEnd w:id="271"/>
    </w:p>
    <w:p w:rsidR="001C504E" w:rsidRDefault="00ED4EA3" w:rsidP="001C504E">
      <w:r>
        <w:rPr>
          <w:noProof/>
        </w:rPr>
        <w:drawing>
          <wp:inline distT="0" distB="0" distL="0" distR="0" wp14:anchorId="55F3EA97" wp14:editId="097B8BD5">
            <wp:extent cx="5748793" cy="3355166"/>
            <wp:effectExtent l="0" t="0" r="444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7344" cy="3360156"/>
                    </a:xfrm>
                    <a:prstGeom prst="rect">
                      <a:avLst/>
                    </a:prstGeom>
                    <a:noFill/>
                  </pic:spPr>
                </pic:pic>
              </a:graphicData>
            </a:graphic>
          </wp:inline>
        </w:drawing>
      </w:r>
    </w:p>
    <w:p w:rsidR="00871F8D" w:rsidRPr="001C504E" w:rsidRDefault="00871F8D" w:rsidP="001C504E"/>
    <w:p w:rsidR="00DD6B4C" w:rsidRDefault="00DD6B4C" w:rsidP="00DD6B4C">
      <w:pPr>
        <w:pStyle w:val="Heading3"/>
      </w:pPr>
      <w:bookmarkStart w:id="272" w:name="_Toc472472108"/>
      <w:bookmarkStart w:id="273" w:name="_Toc476913920"/>
      <w:r>
        <w:t>Pennsylvania Electric Company</w:t>
      </w:r>
      <w:bookmarkEnd w:id="272"/>
      <w:bookmarkEnd w:id="273"/>
    </w:p>
    <w:p w:rsidR="00E1723F" w:rsidRDefault="00E1723F" w:rsidP="00E1723F">
      <w:r>
        <w:fldChar w:fldCharType="begin"/>
      </w:r>
      <w:r>
        <w:instrText xml:space="preserve"> REF _Ref472350619 \h </w:instrText>
      </w:r>
      <w:r>
        <w:fldChar w:fldCharType="separate"/>
      </w:r>
      <w:r w:rsidR="00C301D0">
        <w:t xml:space="preserve">Table </w:t>
      </w:r>
      <w:r w:rsidR="00C301D0">
        <w:rPr>
          <w:noProof/>
        </w:rPr>
        <w:t>3</w:t>
      </w:r>
      <w:r w:rsidR="00C301D0">
        <w:noBreakHyphen/>
      </w:r>
      <w:r w:rsidR="00C301D0">
        <w:rPr>
          <w:noProof/>
        </w:rPr>
        <w:t>5</w:t>
      </w:r>
      <w:r>
        <w:fldChar w:fldCharType="end"/>
      </w:r>
      <w:r>
        <w:t xml:space="preserve"> </w:t>
      </w:r>
      <w:r w:rsidR="00F13CD2" w:rsidRPr="00E1723F">
        <w:t>presents Penelec’s cumulative demand savings</w:t>
      </w:r>
      <w:r w:rsidR="0088331F" w:rsidRPr="00E1723F">
        <w:t>,</w:t>
      </w:r>
      <w:r w:rsidR="00F13CD2" w:rsidRPr="00E1723F">
        <w:t xml:space="preserve"> by sector. The C</w:t>
      </w:r>
      <w:r w:rsidR="0097650B" w:rsidRPr="00E1723F">
        <w:t>/</w:t>
      </w:r>
      <w:r w:rsidR="00F13CD2" w:rsidRPr="00E1723F">
        <w:t xml:space="preserve">I sector accounted for nearly </w:t>
      </w:r>
      <w:r w:rsidR="00871F8D" w:rsidRPr="00E1723F">
        <w:t>50</w:t>
      </w:r>
      <w:r w:rsidR="00F13CD2" w:rsidRPr="00E1723F">
        <w:t xml:space="preserve">% of the total demand savings in Phase II. </w:t>
      </w:r>
    </w:p>
    <w:p w:rsidR="00E1723F" w:rsidRDefault="00E1723F" w:rsidP="00E1723F"/>
    <w:p w:rsidR="00F13CD2" w:rsidRDefault="00E1723F" w:rsidP="00E1723F">
      <w:r>
        <w:fldChar w:fldCharType="begin"/>
      </w:r>
      <w:r>
        <w:instrText xml:space="preserve"> REF _Ref473730133 \h </w:instrText>
      </w:r>
      <w:r>
        <w:fldChar w:fldCharType="separate"/>
      </w:r>
      <w:r w:rsidR="00C301D0">
        <w:t xml:space="preserve">Figure </w:t>
      </w:r>
      <w:r w:rsidR="00C301D0">
        <w:rPr>
          <w:noProof/>
        </w:rPr>
        <w:t>3</w:t>
      </w:r>
      <w:r w:rsidR="00C301D0">
        <w:noBreakHyphen/>
      </w:r>
      <w:r w:rsidR="00C301D0">
        <w:rPr>
          <w:noProof/>
        </w:rPr>
        <w:t>4</w:t>
      </w:r>
      <w:r>
        <w:fldChar w:fldCharType="end"/>
      </w:r>
      <w:r>
        <w:t xml:space="preserve"> </w:t>
      </w:r>
      <w:r w:rsidR="00F13CD2">
        <w:t>provides a graphical illustration of these savings.</w:t>
      </w:r>
    </w:p>
    <w:p w:rsidR="00F13CD2" w:rsidRDefault="00F13CD2" w:rsidP="00F13CD2"/>
    <w:p w:rsidR="00F13CD2" w:rsidRDefault="00F13CD2" w:rsidP="00F13CD2">
      <w:pPr>
        <w:pStyle w:val="Caption"/>
      </w:pPr>
      <w:bookmarkStart w:id="274" w:name="_Ref472350619"/>
      <w:bookmarkStart w:id="275" w:name="_Toc472472180"/>
      <w:bookmarkStart w:id="276" w:name="_Toc476913993"/>
      <w:r>
        <w:t xml:space="preserve">Table </w:t>
      </w:r>
      <w:fldSimple w:instr=" STYLEREF 1 \s ">
        <w:r w:rsidR="00C301D0">
          <w:rPr>
            <w:noProof/>
          </w:rPr>
          <w:t>3</w:t>
        </w:r>
      </w:fldSimple>
      <w:r w:rsidR="00E6042C">
        <w:noBreakHyphen/>
      </w:r>
      <w:fldSimple w:instr=" SEQ Table \* ARABIC \s 1 ">
        <w:r w:rsidR="00C301D0">
          <w:rPr>
            <w:noProof/>
          </w:rPr>
          <w:t>5</w:t>
        </w:r>
      </w:fldSimple>
      <w:bookmarkEnd w:id="274"/>
      <w:r>
        <w:t xml:space="preserve">: Penelec Phase II </w:t>
      </w:r>
      <w:r w:rsidR="000206F5">
        <w:t>Cumulative</w:t>
      </w:r>
      <w:r>
        <w:t xml:space="preserve"> Demand Savings, by Sector</w:t>
      </w:r>
      <w:bookmarkEnd w:id="275"/>
      <w:bookmarkEnd w:id="276"/>
    </w:p>
    <w:tbl>
      <w:tblPr>
        <w:tblW w:w="9350" w:type="dxa"/>
        <w:tblInd w:w="108" w:type="dxa"/>
        <w:tblLook w:val="04A0" w:firstRow="1" w:lastRow="0" w:firstColumn="1" w:lastColumn="0" w:noHBand="0" w:noVBand="1"/>
      </w:tblPr>
      <w:tblGrid>
        <w:gridCol w:w="1843"/>
        <w:gridCol w:w="1501"/>
        <w:gridCol w:w="1501"/>
        <w:gridCol w:w="1502"/>
        <w:gridCol w:w="1501"/>
        <w:gridCol w:w="1502"/>
      </w:tblGrid>
      <w:tr w:rsidR="00A874AC" w:rsidRPr="00D723BB" w:rsidTr="00592FD5">
        <w:trPr>
          <w:trHeight w:val="216"/>
        </w:trPr>
        <w:tc>
          <w:tcPr>
            <w:tcW w:w="1843" w:type="dxa"/>
            <w:tcBorders>
              <w:top w:val="nil"/>
              <w:left w:val="single" w:sz="8" w:space="0" w:color="448A99"/>
              <w:bottom w:val="single" w:sz="8" w:space="0" w:color="448A99"/>
              <w:right w:val="nil"/>
            </w:tcBorders>
            <w:shd w:val="clear" w:color="000000" w:fill="448A99"/>
            <w:vAlign w:val="center"/>
            <w:hideMark/>
          </w:tcPr>
          <w:p w:rsidR="00F13CD2" w:rsidRPr="00D723BB" w:rsidRDefault="00F13CD2" w:rsidP="006F7DE9">
            <w:pPr>
              <w:rPr>
                <w:b/>
                <w:bCs/>
                <w:color w:val="FFFFFF"/>
                <w:sz w:val="20"/>
                <w:szCs w:val="20"/>
              </w:rPr>
            </w:pPr>
            <w:r>
              <w:rPr>
                <w:b/>
                <w:bCs/>
                <w:color w:val="FFFFFF"/>
                <w:sz w:val="20"/>
                <w:szCs w:val="20"/>
              </w:rPr>
              <w:t>Statewide</w:t>
            </w:r>
          </w:p>
        </w:tc>
        <w:tc>
          <w:tcPr>
            <w:tcW w:w="1501" w:type="dxa"/>
            <w:tcBorders>
              <w:top w:val="nil"/>
              <w:left w:val="single" w:sz="8" w:space="0" w:color="448A99"/>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Residential</w:t>
            </w:r>
          </w:p>
        </w:tc>
        <w:tc>
          <w:tcPr>
            <w:tcW w:w="1501"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97650B">
            <w:pPr>
              <w:jc w:val="center"/>
              <w:rPr>
                <w:b/>
                <w:bCs/>
                <w:color w:val="FFFFFF"/>
                <w:sz w:val="20"/>
                <w:szCs w:val="20"/>
              </w:rPr>
            </w:pPr>
            <w:r w:rsidRPr="00D723BB">
              <w:rPr>
                <w:b/>
                <w:bCs/>
                <w:color w:val="FFFFFF"/>
                <w:sz w:val="20"/>
                <w:szCs w:val="20"/>
              </w:rPr>
              <w:t>C</w:t>
            </w:r>
            <w:r w:rsidR="0097650B">
              <w:rPr>
                <w:b/>
                <w:bCs/>
                <w:color w:val="FFFFFF"/>
                <w:sz w:val="20"/>
                <w:szCs w:val="20"/>
              </w:rPr>
              <w:t>/</w:t>
            </w:r>
            <w:r w:rsidRPr="00D723BB">
              <w:rPr>
                <w:b/>
                <w:bCs/>
                <w:color w:val="FFFFFF"/>
                <w:sz w:val="20"/>
                <w:szCs w:val="20"/>
              </w:rPr>
              <w:t>I</w:t>
            </w:r>
          </w:p>
        </w:tc>
        <w:tc>
          <w:tcPr>
            <w:tcW w:w="1502"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GNI</w:t>
            </w:r>
          </w:p>
        </w:tc>
        <w:tc>
          <w:tcPr>
            <w:tcW w:w="1501"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Low-Income</w:t>
            </w:r>
          </w:p>
        </w:tc>
        <w:tc>
          <w:tcPr>
            <w:tcW w:w="1502" w:type="dxa"/>
            <w:tcBorders>
              <w:top w:val="nil"/>
              <w:left w:val="single" w:sz="8" w:space="0" w:color="448A99"/>
              <w:bottom w:val="single" w:sz="8" w:space="0" w:color="448A99"/>
              <w:right w:val="nil"/>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Total</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D2EAF1"/>
            <w:vAlign w:val="center"/>
            <w:hideMark/>
          </w:tcPr>
          <w:p w:rsidR="00871F8D" w:rsidRPr="00D723BB" w:rsidRDefault="00871F8D" w:rsidP="00871F8D">
            <w:pPr>
              <w:rPr>
                <w:b/>
                <w:bCs/>
                <w:color w:val="000000"/>
                <w:sz w:val="20"/>
                <w:szCs w:val="20"/>
              </w:rPr>
            </w:pPr>
            <w:r w:rsidRPr="00D723BB">
              <w:rPr>
                <w:b/>
                <w:bCs/>
                <w:color w:val="000000"/>
                <w:sz w:val="20"/>
                <w:szCs w:val="20"/>
              </w:rPr>
              <w:t>PY5</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9.15</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4.65</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1.08</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0.00</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14.88</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FFFFFF"/>
            <w:vAlign w:val="center"/>
            <w:hideMark/>
          </w:tcPr>
          <w:p w:rsidR="00871F8D" w:rsidRPr="00D723BB" w:rsidRDefault="00871F8D" w:rsidP="00871F8D">
            <w:pPr>
              <w:rPr>
                <w:b/>
                <w:bCs/>
                <w:color w:val="000000"/>
                <w:sz w:val="20"/>
                <w:szCs w:val="20"/>
              </w:rPr>
            </w:pPr>
            <w:r w:rsidRPr="00D723BB">
              <w:rPr>
                <w:b/>
                <w:bCs/>
                <w:color w:val="000000"/>
                <w:sz w:val="20"/>
                <w:szCs w:val="20"/>
              </w:rPr>
              <w:t>PY6</w:t>
            </w:r>
          </w:p>
        </w:tc>
        <w:tc>
          <w:tcPr>
            <w:tcW w:w="1501" w:type="dxa"/>
            <w:tcBorders>
              <w:top w:val="nil"/>
              <w:left w:val="single" w:sz="8" w:space="0" w:color="448A99"/>
              <w:bottom w:val="single" w:sz="8" w:space="0" w:color="448A99"/>
              <w:right w:val="single" w:sz="8" w:space="0" w:color="448A99"/>
            </w:tcBorders>
            <w:shd w:val="clear" w:color="000000" w:fill="FFFFFF"/>
            <w:vAlign w:val="center"/>
          </w:tcPr>
          <w:p w:rsidR="00871F8D" w:rsidRPr="00D723BB" w:rsidRDefault="00871F8D" w:rsidP="00871F8D">
            <w:pPr>
              <w:jc w:val="center"/>
              <w:rPr>
                <w:color w:val="000000"/>
                <w:sz w:val="20"/>
                <w:szCs w:val="20"/>
              </w:rPr>
            </w:pPr>
            <w:r>
              <w:rPr>
                <w:color w:val="000000"/>
                <w:sz w:val="20"/>
                <w:szCs w:val="20"/>
              </w:rPr>
              <w:t>12.30</w:t>
            </w:r>
          </w:p>
        </w:tc>
        <w:tc>
          <w:tcPr>
            <w:tcW w:w="1501" w:type="dxa"/>
            <w:tcBorders>
              <w:top w:val="nil"/>
              <w:left w:val="nil"/>
              <w:bottom w:val="single" w:sz="8" w:space="0" w:color="448A99"/>
              <w:right w:val="single" w:sz="8" w:space="0" w:color="448A99"/>
            </w:tcBorders>
            <w:shd w:val="clear" w:color="auto" w:fill="auto"/>
            <w:vAlign w:val="center"/>
          </w:tcPr>
          <w:p w:rsidR="00871F8D" w:rsidRPr="00D723BB" w:rsidRDefault="00871F8D" w:rsidP="00871F8D">
            <w:pPr>
              <w:jc w:val="center"/>
              <w:rPr>
                <w:color w:val="000000"/>
                <w:sz w:val="20"/>
                <w:szCs w:val="20"/>
              </w:rPr>
            </w:pPr>
            <w:r>
              <w:rPr>
                <w:color w:val="000000"/>
                <w:sz w:val="20"/>
                <w:szCs w:val="20"/>
              </w:rPr>
              <w:t>11.64</w:t>
            </w:r>
          </w:p>
        </w:tc>
        <w:tc>
          <w:tcPr>
            <w:tcW w:w="1502" w:type="dxa"/>
            <w:tcBorders>
              <w:top w:val="nil"/>
              <w:left w:val="nil"/>
              <w:bottom w:val="single" w:sz="8" w:space="0" w:color="448A99"/>
              <w:right w:val="single" w:sz="8" w:space="0" w:color="448A99"/>
            </w:tcBorders>
            <w:shd w:val="clear" w:color="000000" w:fill="FFFFFF"/>
            <w:vAlign w:val="center"/>
          </w:tcPr>
          <w:p w:rsidR="00871F8D" w:rsidRPr="00D723BB" w:rsidRDefault="00871F8D" w:rsidP="00871F8D">
            <w:pPr>
              <w:jc w:val="center"/>
              <w:rPr>
                <w:color w:val="000000"/>
                <w:sz w:val="20"/>
                <w:szCs w:val="20"/>
              </w:rPr>
            </w:pPr>
            <w:r>
              <w:rPr>
                <w:color w:val="000000"/>
                <w:sz w:val="20"/>
                <w:szCs w:val="20"/>
              </w:rPr>
              <w:t>3.18</w:t>
            </w:r>
          </w:p>
        </w:tc>
        <w:tc>
          <w:tcPr>
            <w:tcW w:w="1501" w:type="dxa"/>
            <w:tcBorders>
              <w:top w:val="nil"/>
              <w:left w:val="nil"/>
              <w:bottom w:val="single" w:sz="8" w:space="0" w:color="448A99"/>
              <w:right w:val="single" w:sz="8" w:space="0" w:color="448A99"/>
            </w:tcBorders>
            <w:shd w:val="clear" w:color="000000" w:fill="FFFFFF"/>
            <w:vAlign w:val="center"/>
          </w:tcPr>
          <w:p w:rsidR="00871F8D" w:rsidRPr="00D723BB" w:rsidRDefault="00871F8D" w:rsidP="00871F8D">
            <w:pPr>
              <w:jc w:val="center"/>
              <w:rPr>
                <w:color w:val="000000"/>
                <w:sz w:val="20"/>
                <w:szCs w:val="20"/>
              </w:rPr>
            </w:pPr>
            <w:r>
              <w:rPr>
                <w:color w:val="000000"/>
                <w:sz w:val="20"/>
                <w:szCs w:val="20"/>
              </w:rPr>
              <w:t>0.55</w:t>
            </w:r>
          </w:p>
        </w:tc>
        <w:tc>
          <w:tcPr>
            <w:tcW w:w="1502" w:type="dxa"/>
            <w:tcBorders>
              <w:top w:val="nil"/>
              <w:left w:val="nil"/>
              <w:bottom w:val="single" w:sz="8" w:space="0" w:color="448A99"/>
              <w:right w:val="single" w:sz="8" w:space="0" w:color="448A99"/>
            </w:tcBorders>
            <w:shd w:val="clear" w:color="auto" w:fill="auto"/>
            <w:vAlign w:val="center"/>
          </w:tcPr>
          <w:p w:rsidR="00871F8D" w:rsidRPr="00D723BB" w:rsidRDefault="00871F8D" w:rsidP="00871F8D">
            <w:pPr>
              <w:jc w:val="center"/>
              <w:rPr>
                <w:color w:val="000000"/>
                <w:sz w:val="20"/>
                <w:szCs w:val="20"/>
              </w:rPr>
            </w:pPr>
            <w:r>
              <w:rPr>
                <w:color w:val="000000"/>
                <w:sz w:val="20"/>
                <w:szCs w:val="20"/>
              </w:rPr>
              <w:t>27.67</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D2EAF1"/>
            <w:vAlign w:val="center"/>
            <w:hideMark/>
          </w:tcPr>
          <w:p w:rsidR="00871F8D" w:rsidRPr="00D723BB" w:rsidRDefault="00871F8D" w:rsidP="00871F8D">
            <w:pPr>
              <w:rPr>
                <w:b/>
                <w:bCs/>
                <w:color w:val="000000"/>
                <w:sz w:val="20"/>
                <w:szCs w:val="20"/>
              </w:rPr>
            </w:pPr>
            <w:r w:rsidRPr="001C6824">
              <w:rPr>
                <w:b/>
                <w:bCs/>
                <w:color w:val="000000"/>
                <w:sz w:val="20"/>
                <w:szCs w:val="20"/>
              </w:rPr>
              <w:t>PY7</w:t>
            </w:r>
            <w:r>
              <w:rPr>
                <w:b/>
                <w:bCs/>
                <w:color w:val="000000"/>
                <w:sz w:val="20"/>
                <w:szCs w:val="20"/>
              </w:rPr>
              <w:t xml:space="preserve"> (Phase II Total)</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13.53</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22.10</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5.93</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2.77</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44.33</w:t>
            </w:r>
          </w:p>
        </w:tc>
      </w:tr>
    </w:tbl>
    <w:p w:rsidR="00F13CD2" w:rsidRDefault="00F13CD2"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F13CD2" w:rsidRDefault="00F13CD2" w:rsidP="00F13CD2"/>
    <w:p w:rsidR="00ED4EA3" w:rsidRDefault="00ED4EA3" w:rsidP="00F13CD2"/>
    <w:p w:rsidR="00EC51EA" w:rsidRDefault="00EC51EA" w:rsidP="00F13CD2">
      <w:pPr>
        <w:pStyle w:val="Caption"/>
      </w:pPr>
      <w:bookmarkStart w:id="277" w:name="_Ref472350680"/>
      <w:bookmarkStart w:id="278" w:name="_Toc472472234"/>
    </w:p>
    <w:p w:rsidR="00F13CD2" w:rsidRDefault="00F13CD2" w:rsidP="00F13CD2">
      <w:pPr>
        <w:pStyle w:val="Caption"/>
      </w:pPr>
      <w:bookmarkStart w:id="279" w:name="_Ref473730133"/>
      <w:bookmarkStart w:id="280" w:name="_Toc476914048"/>
      <w:r>
        <w:lastRenderedPageBreak/>
        <w:t xml:space="preserve">Figure </w:t>
      </w:r>
      <w:fldSimple w:instr=" STYLEREF 1 \s ">
        <w:r w:rsidR="00C301D0">
          <w:rPr>
            <w:noProof/>
          </w:rPr>
          <w:t>3</w:t>
        </w:r>
      </w:fldSimple>
      <w:r w:rsidR="00DA1ADA">
        <w:noBreakHyphen/>
      </w:r>
      <w:fldSimple w:instr=" SEQ Figure \* ARABIC \s 1 ">
        <w:r w:rsidR="00C301D0">
          <w:rPr>
            <w:noProof/>
          </w:rPr>
          <w:t>4</w:t>
        </w:r>
      </w:fldSimple>
      <w:bookmarkEnd w:id="277"/>
      <w:bookmarkEnd w:id="279"/>
      <w:r>
        <w:t xml:space="preserve">: </w:t>
      </w:r>
      <w:r w:rsidR="00871F8D">
        <w:t>Penelec</w:t>
      </w:r>
      <w:r w:rsidRPr="008E4974">
        <w:t xml:space="preserve"> Phase II </w:t>
      </w:r>
      <w:r w:rsidR="000206F5">
        <w:t>Cumulative</w:t>
      </w:r>
      <w:r w:rsidRPr="008E4974">
        <w:t xml:space="preserve"> Demand Savings, by Sector</w:t>
      </w:r>
      <w:bookmarkEnd w:id="278"/>
      <w:bookmarkEnd w:id="280"/>
    </w:p>
    <w:p w:rsidR="001C504E" w:rsidRDefault="00ED4EA3" w:rsidP="001C504E">
      <w:r>
        <w:rPr>
          <w:noProof/>
        </w:rPr>
        <w:drawing>
          <wp:inline distT="0" distB="0" distL="0" distR="0" wp14:anchorId="63B03036" wp14:editId="79366C8B">
            <wp:extent cx="5831026" cy="3403159"/>
            <wp:effectExtent l="0" t="0" r="0" b="698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47876" cy="3412993"/>
                    </a:xfrm>
                    <a:prstGeom prst="rect">
                      <a:avLst/>
                    </a:prstGeom>
                    <a:noFill/>
                  </pic:spPr>
                </pic:pic>
              </a:graphicData>
            </a:graphic>
          </wp:inline>
        </w:drawing>
      </w:r>
    </w:p>
    <w:p w:rsidR="00871F8D" w:rsidRPr="001C504E" w:rsidRDefault="00871F8D" w:rsidP="001C504E"/>
    <w:p w:rsidR="00DD6B4C" w:rsidRDefault="00DD6B4C" w:rsidP="00DD6B4C">
      <w:pPr>
        <w:pStyle w:val="Heading3"/>
      </w:pPr>
      <w:bookmarkStart w:id="281" w:name="_Toc472472109"/>
      <w:bookmarkStart w:id="282" w:name="_Toc476913921"/>
      <w:r>
        <w:t>Pennsylvania Power Company</w:t>
      </w:r>
      <w:bookmarkEnd w:id="281"/>
      <w:bookmarkEnd w:id="282"/>
    </w:p>
    <w:p w:rsidR="00E1723F" w:rsidRDefault="00E1723F" w:rsidP="00E1723F">
      <w:r>
        <w:fldChar w:fldCharType="begin"/>
      </w:r>
      <w:r>
        <w:instrText xml:space="preserve"> REF _Ref472350626 \h </w:instrText>
      </w:r>
      <w:r>
        <w:fldChar w:fldCharType="separate"/>
      </w:r>
      <w:r w:rsidR="00592FD5">
        <w:t xml:space="preserve">Table </w:t>
      </w:r>
      <w:r w:rsidR="00592FD5">
        <w:rPr>
          <w:noProof/>
        </w:rPr>
        <w:t>3</w:t>
      </w:r>
      <w:r w:rsidR="00592FD5">
        <w:noBreakHyphen/>
      </w:r>
      <w:r w:rsidR="00592FD5">
        <w:rPr>
          <w:noProof/>
        </w:rPr>
        <w:t>6</w:t>
      </w:r>
      <w:r>
        <w:fldChar w:fldCharType="end"/>
      </w:r>
      <w:r>
        <w:t xml:space="preserve"> </w:t>
      </w:r>
      <w:r w:rsidR="00F13CD2" w:rsidRPr="00E1723F">
        <w:t>presents Penn Power’s cumulative demand savings, by sector. The C</w:t>
      </w:r>
      <w:r w:rsidR="0097650B" w:rsidRPr="00E1723F">
        <w:t>/</w:t>
      </w:r>
      <w:r w:rsidR="00F13CD2" w:rsidRPr="00E1723F">
        <w:t xml:space="preserve">I sector accounted for nearly </w:t>
      </w:r>
      <w:r w:rsidR="00871F8D" w:rsidRPr="00E1723F">
        <w:t>50</w:t>
      </w:r>
      <w:r w:rsidR="00F13CD2" w:rsidRPr="00E1723F">
        <w:t xml:space="preserve">% of the total demand savings in Phase II. </w:t>
      </w:r>
    </w:p>
    <w:p w:rsidR="000F5A29" w:rsidRDefault="000F5A29" w:rsidP="000F5A29"/>
    <w:p w:rsidR="00F13CD2" w:rsidRPr="000F5A29" w:rsidRDefault="000F5A29" w:rsidP="000F5A29">
      <w:r>
        <w:fldChar w:fldCharType="begin"/>
      </w:r>
      <w:r>
        <w:instrText xml:space="preserve"> REF _Ref476043411 \h </w:instrText>
      </w:r>
      <w:r>
        <w:fldChar w:fldCharType="separate"/>
      </w:r>
      <w:r w:rsidR="00592FD5">
        <w:t xml:space="preserve">Figure </w:t>
      </w:r>
      <w:r w:rsidR="00592FD5">
        <w:rPr>
          <w:noProof/>
        </w:rPr>
        <w:t>3</w:t>
      </w:r>
      <w:r w:rsidR="00592FD5">
        <w:noBreakHyphen/>
      </w:r>
      <w:r w:rsidR="00592FD5">
        <w:rPr>
          <w:noProof/>
        </w:rPr>
        <w:t>5</w:t>
      </w:r>
      <w:r>
        <w:fldChar w:fldCharType="end"/>
      </w:r>
      <w:r>
        <w:t xml:space="preserve"> </w:t>
      </w:r>
      <w:r w:rsidR="00F13CD2" w:rsidRPr="000F5A29">
        <w:t>provides a graphical illustration of these savings.</w:t>
      </w:r>
    </w:p>
    <w:p w:rsidR="00F13CD2" w:rsidRDefault="00F13CD2" w:rsidP="00F13CD2"/>
    <w:p w:rsidR="00F13CD2" w:rsidRDefault="00F13CD2" w:rsidP="00F13CD2">
      <w:pPr>
        <w:pStyle w:val="Caption"/>
      </w:pPr>
      <w:bookmarkStart w:id="283" w:name="_Ref472350626"/>
      <w:bookmarkStart w:id="284" w:name="_Toc472472181"/>
      <w:bookmarkStart w:id="285" w:name="_Toc476913994"/>
      <w:r>
        <w:t xml:space="preserve">Table </w:t>
      </w:r>
      <w:fldSimple w:instr=" STYLEREF 1 \s ">
        <w:r w:rsidR="00592FD5">
          <w:rPr>
            <w:noProof/>
          </w:rPr>
          <w:t>3</w:t>
        </w:r>
      </w:fldSimple>
      <w:r w:rsidR="00E6042C">
        <w:noBreakHyphen/>
      </w:r>
      <w:fldSimple w:instr=" SEQ Table \* ARABIC \s 1 ">
        <w:r w:rsidR="00592FD5">
          <w:rPr>
            <w:noProof/>
          </w:rPr>
          <w:t>6</w:t>
        </w:r>
      </w:fldSimple>
      <w:bookmarkEnd w:id="283"/>
      <w:r>
        <w:t xml:space="preserve">: Penn Power Phase II </w:t>
      </w:r>
      <w:r w:rsidR="000206F5">
        <w:t>Cumulative</w:t>
      </w:r>
      <w:r>
        <w:t xml:space="preserve"> Demand Savings, by Sector</w:t>
      </w:r>
      <w:bookmarkEnd w:id="284"/>
      <w:bookmarkEnd w:id="285"/>
    </w:p>
    <w:tbl>
      <w:tblPr>
        <w:tblW w:w="9350" w:type="dxa"/>
        <w:tblInd w:w="108" w:type="dxa"/>
        <w:tblLook w:val="04A0" w:firstRow="1" w:lastRow="0" w:firstColumn="1" w:lastColumn="0" w:noHBand="0" w:noVBand="1"/>
      </w:tblPr>
      <w:tblGrid>
        <w:gridCol w:w="1843"/>
        <w:gridCol w:w="1501"/>
        <w:gridCol w:w="1501"/>
        <w:gridCol w:w="1502"/>
        <w:gridCol w:w="1501"/>
        <w:gridCol w:w="1502"/>
      </w:tblGrid>
      <w:tr w:rsidR="00A874AC" w:rsidRPr="00D723BB" w:rsidTr="00592FD5">
        <w:trPr>
          <w:trHeight w:val="144"/>
        </w:trPr>
        <w:tc>
          <w:tcPr>
            <w:tcW w:w="1843" w:type="dxa"/>
            <w:tcBorders>
              <w:top w:val="nil"/>
              <w:left w:val="single" w:sz="8" w:space="0" w:color="448A99"/>
              <w:bottom w:val="single" w:sz="8" w:space="0" w:color="448A99"/>
              <w:right w:val="nil"/>
            </w:tcBorders>
            <w:shd w:val="clear" w:color="000000" w:fill="448A99"/>
            <w:vAlign w:val="center"/>
            <w:hideMark/>
          </w:tcPr>
          <w:p w:rsidR="00F13CD2" w:rsidRPr="00D723BB" w:rsidRDefault="00F13CD2" w:rsidP="006F7DE9">
            <w:pPr>
              <w:rPr>
                <w:b/>
                <w:bCs/>
                <w:color w:val="FFFFFF"/>
                <w:sz w:val="20"/>
                <w:szCs w:val="20"/>
              </w:rPr>
            </w:pPr>
            <w:r>
              <w:rPr>
                <w:b/>
                <w:bCs/>
                <w:color w:val="FFFFFF"/>
                <w:sz w:val="20"/>
                <w:szCs w:val="20"/>
              </w:rPr>
              <w:t>Statewide</w:t>
            </w:r>
          </w:p>
        </w:tc>
        <w:tc>
          <w:tcPr>
            <w:tcW w:w="1501" w:type="dxa"/>
            <w:tcBorders>
              <w:top w:val="nil"/>
              <w:left w:val="single" w:sz="8" w:space="0" w:color="448A99"/>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Residential</w:t>
            </w:r>
          </w:p>
        </w:tc>
        <w:tc>
          <w:tcPr>
            <w:tcW w:w="1501"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97650B">
            <w:pPr>
              <w:jc w:val="center"/>
              <w:rPr>
                <w:b/>
                <w:bCs/>
                <w:color w:val="FFFFFF"/>
                <w:sz w:val="20"/>
                <w:szCs w:val="20"/>
              </w:rPr>
            </w:pPr>
            <w:r w:rsidRPr="00D723BB">
              <w:rPr>
                <w:b/>
                <w:bCs/>
                <w:color w:val="FFFFFF"/>
                <w:sz w:val="20"/>
                <w:szCs w:val="20"/>
              </w:rPr>
              <w:t>C</w:t>
            </w:r>
            <w:r w:rsidR="0097650B">
              <w:rPr>
                <w:b/>
                <w:bCs/>
                <w:color w:val="FFFFFF"/>
                <w:sz w:val="20"/>
                <w:szCs w:val="20"/>
              </w:rPr>
              <w:t>/</w:t>
            </w:r>
            <w:r w:rsidRPr="00D723BB">
              <w:rPr>
                <w:b/>
                <w:bCs/>
                <w:color w:val="FFFFFF"/>
                <w:sz w:val="20"/>
                <w:szCs w:val="20"/>
              </w:rPr>
              <w:t>I</w:t>
            </w:r>
          </w:p>
        </w:tc>
        <w:tc>
          <w:tcPr>
            <w:tcW w:w="1502"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GNI</w:t>
            </w:r>
          </w:p>
        </w:tc>
        <w:tc>
          <w:tcPr>
            <w:tcW w:w="1501"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Low-Income</w:t>
            </w:r>
          </w:p>
        </w:tc>
        <w:tc>
          <w:tcPr>
            <w:tcW w:w="1502" w:type="dxa"/>
            <w:tcBorders>
              <w:top w:val="nil"/>
              <w:left w:val="single" w:sz="8" w:space="0" w:color="448A99"/>
              <w:bottom w:val="single" w:sz="8" w:space="0" w:color="448A99"/>
              <w:right w:val="nil"/>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Total</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D2EAF1"/>
            <w:vAlign w:val="center"/>
            <w:hideMark/>
          </w:tcPr>
          <w:p w:rsidR="00871F8D" w:rsidRPr="00D723BB" w:rsidRDefault="00871F8D" w:rsidP="00871F8D">
            <w:pPr>
              <w:rPr>
                <w:b/>
                <w:bCs/>
                <w:color w:val="000000"/>
                <w:sz w:val="20"/>
                <w:szCs w:val="20"/>
              </w:rPr>
            </w:pPr>
            <w:r w:rsidRPr="00D723BB">
              <w:rPr>
                <w:b/>
                <w:bCs/>
                <w:color w:val="000000"/>
                <w:sz w:val="20"/>
                <w:szCs w:val="20"/>
              </w:rPr>
              <w:t>PY5</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2.11</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1.33</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0.16</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0.00</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3.60</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FFFFFF"/>
            <w:vAlign w:val="center"/>
            <w:hideMark/>
          </w:tcPr>
          <w:p w:rsidR="00871F8D" w:rsidRPr="00D723BB" w:rsidRDefault="00871F8D" w:rsidP="00871F8D">
            <w:pPr>
              <w:rPr>
                <w:b/>
                <w:bCs/>
                <w:color w:val="000000"/>
                <w:sz w:val="20"/>
                <w:szCs w:val="20"/>
              </w:rPr>
            </w:pPr>
            <w:r w:rsidRPr="00D723BB">
              <w:rPr>
                <w:b/>
                <w:bCs/>
                <w:color w:val="000000"/>
                <w:sz w:val="20"/>
                <w:szCs w:val="20"/>
              </w:rPr>
              <w:t>PY6</w:t>
            </w:r>
          </w:p>
        </w:tc>
        <w:tc>
          <w:tcPr>
            <w:tcW w:w="1501" w:type="dxa"/>
            <w:tcBorders>
              <w:top w:val="nil"/>
              <w:left w:val="single" w:sz="8" w:space="0" w:color="448A99"/>
              <w:bottom w:val="single" w:sz="8" w:space="0" w:color="448A99"/>
              <w:right w:val="single" w:sz="8" w:space="0" w:color="448A99"/>
            </w:tcBorders>
            <w:shd w:val="clear" w:color="000000" w:fill="FFFFFF"/>
            <w:vAlign w:val="center"/>
          </w:tcPr>
          <w:p w:rsidR="00871F8D" w:rsidRPr="00D723BB" w:rsidRDefault="00871F8D" w:rsidP="00871F8D">
            <w:pPr>
              <w:jc w:val="center"/>
              <w:rPr>
                <w:color w:val="000000"/>
                <w:sz w:val="20"/>
                <w:szCs w:val="20"/>
              </w:rPr>
            </w:pPr>
            <w:r>
              <w:rPr>
                <w:color w:val="000000"/>
                <w:sz w:val="20"/>
                <w:szCs w:val="20"/>
              </w:rPr>
              <w:t>4.01</w:t>
            </w:r>
          </w:p>
        </w:tc>
        <w:tc>
          <w:tcPr>
            <w:tcW w:w="1501" w:type="dxa"/>
            <w:tcBorders>
              <w:top w:val="nil"/>
              <w:left w:val="nil"/>
              <w:bottom w:val="single" w:sz="8" w:space="0" w:color="448A99"/>
              <w:right w:val="single" w:sz="8" w:space="0" w:color="448A99"/>
            </w:tcBorders>
            <w:shd w:val="clear" w:color="auto" w:fill="auto"/>
            <w:vAlign w:val="center"/>
          </w:tcPr>
          <w:p w:rsidR="00871F8D" w:rsidRPr="00D723BB" w:rsidRDefault="00871F8D" w:rsidP="00871F8D">
            <w:pPr>
              <w:jc w:val="center"/>
              <w:rPr>
                <w:color w:val="000000"/>
                <w:sz w:val="20"/>
                <w:szCs w:val="20"/>
              </w:rPr>
            </w:pPr>
            <w:r>
              <w:rPr>
                <w:color w:val="000000"/>
                <w:sz w:val="20"/>
                <w:szCs w:val="20"/>
              </w:rPr>
              <w:t>4.66</w:t>
            </w:r>
          </w:p>
        </w:tc>
        <w:tc>
          <w:tcPr>
            <w:tcW w:w="1502" w:type="dxa"/>
            <w:tcBorders>
              <w:top w:val="nil"/>
              <w:left w:val="nil"/>
              <w:bottom w:val="single" w:sz="8" w:space="0" w:color="448A99"/>
              <w:right w:val="single" w:sz="8" w:space="0" w:color="448A99"/>
            </w:tcBorders>
            <w:shd w:val="clear" w:color="000000" w:fill="FFFFFF"/>
            <w:vAlign w:val="center"/>
          </w:tcPr>
          <w:p w:rsidR="00871F8D" w:rsidRPr="00D723BB" w:rsidRDefault="00871F8D" w:rsidP="00871F8D">
            <w:pPr>
              <w:jc w:val="center"/>
              <w:rPr>
                <w:color w:val="000000"/>
                <w:sz w:val="20"/>
                <w:szCs w:val="20"/>
              </w:rPr>
            </w:pPr>
            <w:r>
              <w:rPr>
                <w:color w:val="000000"/>
                <w:sz w:val="20"/>
                <w:szCs w:val="20"/>
              </w:rPr>
              <w:t>1.40</w:t>
            </w:r>
          </w:p>
        </w:tc>
        <w:tc>
          <w:tcPr>
            <w:tcW w:w="1501" w:type="dxa"/>
            <w:tcBorders>
              <w:top w:val="nil"/>
              <w:left w:val="nil"/>
              <w:bottom w:val="single" w:sz="8" w:space="0" w:color="448A99"/>
              <w:right w:val="single" w:sz="8" w:space="0" w:color="448A99"/>
            </w:tcBorders>
            <w:shd w:val="clear" w:color="000000" w:fill="FFFFFF"/>
            <w:vAlign w:val="center"/>
          </w:tcPr>
          <w:p w:rsidR="00871F8D" w:rsidRPr="00D723BB" w:rsidRDefault="00871F8D" w:rsidP="00871F8D">
            <w:pPr>
              <w:jc w:val="center"/>
              <w:rPr>
                <w:color w:val="000000"/>
                <w:sz w:val="20"/>
                <w:szCs w:val="20"/>
              </w:rPr>
            </w:pPr>
            <w:r>
              <w:rPr>
                <w:color w:val="000000"/>
                <w:sz w:val="20"/>
                <w:szCs w:val="20"/>
              </w:rPr>
              <w:t>0.17</w:t>
            </w:r>
          </w:p>
        </w:tc>
        <w:tc>
          <w:tcPr>
            <w:tcW w:w="1502" w:type="dxa"/>
            <w:tcBorders>
              <w:top w:val="nil"/>
              <w:left w:val="nil"/>
              <w:bottom w:val="single" w:sz="8" w:space="0" w:color="448A99"/>
              <w:right w:val="single" w:sz="8" w:space="0" w:color="448A99"/>
            </w:tcBorders>
            <w:shd w:val="clear" w:color="auto" w:fill="auto"/>
            <w:vAlign w:val="center"/>
          </w:tcPr>
          <w:p w:rsidR="00871F8D" w:rsidRPr="00D723BB" w:rsidRDefault="00871F8D" w:rsidP="00871F8D">
            <w:pPr>
              <w:jc w:val="center"/>
              <w:rPr>
                <w:color w:val="000000"/>
                <w:sz w:val="20"/>
                <w:szCs w:val="20"/>
              </w:rPr>
            </w:pPr>
            <w:r>
              <w:rPr>
                <w:color w:val="000000"/>
                <w:sz w:val="20"/>
                <w:szCs w:val="20"/>
              </w:rPr>
              <w:t>10.24</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D2EAF1"/>
            <w:vAlign w:val="center"/>
            <w:hideMark/>
          </w:tcPr>
          <w:p w:rsidR="00871F8D" w:rsidRPr="00D723BB" w:rsidRDefault="00871F8D" w:rsidP="00871F8D">
            <w:pPr>
              <w:rPr>
                <w:b/>
                <w:bCs/>
                <w:color w:val="000000"/>
                <w:sz w:val="20"/>
                <w:szCs w:val="20"/>
              </w:rPr>
            </w:pPr>
            <w:r w:rsidRPr="001C6824">
              <w:rPr>
                <w:b/>
                <w:bCs/>
                <w:color w:val="000000"/>
                <w:sz w:val="20"/>
                <w:szCs w:val="20"/>
              </w:rPr>
              <w:t>PY7</w:t>
            </w:r>
            <w:r>
              <w:rPr>
                <w:b/>
                <w:bCs/>
                <w:color w:val="000000"/>
                <w:sz w:val="20"/>
                <w:szCs w:val="20"/>
              </w:rPr>
              <w:t xml:space="preserve"> (Phase II Total)</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4.18</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5.99</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2.49</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0.56</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13.22</w:t>
            </w:r>
          </w:p>
        </w:tc>
      </w:tr>
    </w:tbl>
    <w:p w:rsidR="00F13CD2" w:rsidRDefault="00F13CD2" w:rsidP="00F13CD2"/>
    <w:p w:rsidR="00B914EA" w:rsidRDefault="00B914EA" w:rsidP="00F13CD2"/>
    <w:p w:rsidR="00F13CD2" w:rsidRDefault="00F13CD2"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EC51EA" w:rsidRDefault="00EC51EA" w:rsidP="00F13CD2"/>
    <w:p w:rsidR="00EC51EA" w:rsidRDefault="00EC51EA" w:rsidP="00F13CD2"/>
    <w:p w:rsidR="00E1723F" w:rsidRDefault="00E1723F" w:rsidP="00F13CD2">
      <w:pPr>
        <w:pStyle w:val="Caption"/>
      </w:pPr>
      <w:bookmarkStart w:id="286" w:name="_Ref472350692"/>
      <w:bookmarkStart w:id="287" w:name="_Ref473730152"/>
      <w:bookmarkStart w:id="288" w:name="_Toc472472235"/>
    </w:p>
    <w:p w:rsidR="00F13CD2" w:rsidRDefault="00F13CD2" w:rsidP="00F13CD2">
      <w:pPr>
        <w:pStyle w:val="Caption"/>
      </w:pPr>
      <w:bookmarkStart w:id="289" w:name="_Ref476043411"/>
      <w:bookmarkStart w:id="290" w:name="_Toc476914049"/>
      <w:r>
        <w:lastRenderedPageBreak/>
        <w:t xml:space="preserve">Figure </w:t>
      </w:r>
      <w:fldSimple w:instr=" STYLEREF 1 \s ">
        <w:r w:rsidR="00C301D0">
          <w:rPr>
            <w:noProof/>
          </w:rPr>
          <w:t>3</w:t>
        </w:r>
      </w:fldSimple>
      <w:r w:rsidR="00DA1ADA">
        <w:noBreakHyphen/>
      </w:r>
      <w:fldSimple w:instr=" SEQ Figure \* ARABIC \s 1 ">
        <w:r w:rsidR="00C301D0">
          <w:rPr>
            <w:noProof/>
          </w:rPr>
          <w:t>5</w:t>
        </w:r>
      </w:fldSimple>
      <w:bookmarkEnd w:id="286"/>
      <w:bookmarkEnd w:id="287"/>
      <w:bookmarkEnd w:id="289"/>
      <w:r>
        <w:t>: Penn Power</w:t>
      </w:r>
      <w:r w:rsidRPr="008E4974">
        <w:t xml:space="preserve"> Phase II </w:t>
      </w:r>
      <w:r w:rsidR="000206F5">
        <w:t>Cumulative</w:t>
      </w:r>
      <w:r w:rsidRPr="008E4974">
        <w:t xml:space="preserve"> Demand Savings, by Sector</w:t>
      </w:r>
      <w:bookmarkEnd w:id="288"/>
      <w:bookmarkEnd w:id="290"/>
    </w:p>
    <w:p w:rsidR="001C504E" w:rsidRPr="001C504E" w:rsidRDefault="00ED4EA3" w:rsidP="001C504E">
      <w:r>
        <w:rPr>
          <w:noProof/>
        </w:rPr>
        <w:drawing>
          <wp:inline distT="0" distB="0" distL="0" distR="0" wp14:anchorId="37EF0409" wp14:editId="677AAAB4">
            <wp:extent cx="5953639" cy="347472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4099" cy="3480825"/>
                    </a:xfrm>
                    <a:prstGeom prst="rect">
                      <a:avLst/>
                    </a:prstGeom>
                    <a:noFill/>
                  </pic:spPr>
                </pic:pic>
              </a:graphicData>
            </a:graphic>
          </wp:inline>
        </w:drawing>
      </w:r>
    </w:p>
    <w:p w:rsidR="00EC51EA" w:rsidRPr="00EC51EA" w:rsidRDefault="00EC51EA" w:rsidP="00EC51EA">
      <w:bookmarkStart w:id="291" w:name="_Toc472472110"/>
    </w:p>
    <w:p w:rsidR="00DD6B4C" w:rsidRDefault="00DD6B4C" w:rsidP="00DD6B4C">
      <w:pPr>
        <w:pStyle w:val="Heading3"/>
      </w:pPr>
      <w:bookmarkStart w:id="292" w:name="_Toc476913922"/>
      <w:r>
        <w:t>West Penn Power</w:t>
      </w:r>
      <w:bookmarkEnd w:id="291"/>
      <w:bookmarkEnd w:id="292"/>
    </w:p>
    <w:p w:rsidR="00EC51EA" w:rsidRDefault="00E1723F" w:rsidP="00EC51EA">
      <w:r>
        <w:fldChar w:fldCharType="begin"/>
      </w:r>
      <w:r>
        <w:instrText xml:space="preserve"> REF _Ref472350631 \h </w:instrText>
      </w:r>
      <w:r>
        <w:fldChar w:fldCharType="separate"/>
      </w:r>
      <w:r w:rsidR="00C301D0">
        <w:t xml:space="preserve">Table </w:t>
      </w:r>
      <w:r w:rsidR="00C301D0">
        <w:rPr>
          <w:noProof/>
        </w:rPr>
        <w:t>3</w:t>
      </w:r>
      <w:r w:rsidR="00C301D0">
        <w:noBreakHyphen/>
      </w:r>
      <w:r w:rsidR="00C301D0">
        <w:rPr>
          <w:noProof/>
        </w:rPr>
        <w:t>7</w:t>
      </w:r>
      <w:r>
        <w:fldChar w:fldCharType="end"/>
      </w:r>
      <w:r w:rsidR="00EC51EA">
        <w:t xml:space="preserve"> </w:t>
      </w:r>
      <w:r w:rsidR="00F13CD2" w:rsidRPr="00EC51EA">
        <w:t>presents West Penn’s cumulative demand savings, by sector. The C</w:t>
      </w:r>
      <w:r w:rsidR="0097650B" w:rsidRPr="00EC51EA">
        <w:t>/</w:t>
      </w:r>
      <w:r w:rsidR="00F13CD2" w:rsidRPr="00EC51EA">
        <w:t xml:space="preserve">I sector accounted for nearly </w:t>
      </w:r>
      <w:r w:rsidR="00871F8D" w:rsidRPr="00EC51EA">
        <w:t>50</w:t>
      </w:r>
      <w:r w:rsidR="00F13CD2" w:rsidRPr="00EC51EA">
        <w:t xml:space="preserve">% of the total demand savings in Phase II. </w:t>
      </w:r>
    </w:p>
    <w:p w:rsidR="000F5A29" w:rsidRDefault="000F5A29" w:rsidP="00E1723F"/>
    <w:p w:rsidR="00F13CD2" w:rsidRPr="00E1723F" w:rsidRDefault="000F5A29" w:rsidP="00E1723F">
      <w:r>
        <w:fldChar w:fldCharType="begin"/>
      </w:r>
      <w:r>
        <w:instrText xml:space="preserve"> REF _Ref473708314 \h </w:instrText>
      </w:r>
      <w:r>
        <w:fldChar w:fldCharType="separate"/>
      </w:r>
      <w:r w:rsidR="00C301D0">
        <w:t xml:space="preserve">Figure </w:t>
      </w:r>
      <w:r w:rsidR="00C301D0">
        <w:rPr>
          <w:noProof/>
        </w:rPr>
        <w:t>3</w:t>
      </w:r>
      <w:r w:rsidR="00C301D0">
        <w:noBreakHyphen/>
      </w:r>
      <w:r w:rsidR="00C301D0">
        <w:rPr>
          <w:noProof/>
        </w:rPr>
        <w:t>6</w:t>
      </w:r>
      <w:r>
        <w:fldChar w:fldCharType="end"/>
      </w:r>
      <w:r>
        <w:t xml:space="preserve"> </w:t>
      </w:r>
      <w:r w:rsidR="00F13CD2" w:rsidRPr="00E1723F">
        <w:t>provides a graphical illustration of these savings.</w:t>
      </w:r>
    </w:p>
    <w:p w:rsidR="00F13CD2" w:rsidRDefault="00F13CD2" w:rsidP="00F13CD2"/>
    <w:p w:rsidR="00F13CD2" w:rsidRDefault="00F13CD2" w:rsidP="00F13CD2">
      <w:pPr>
        <w:pStyle w:val="Caption"/>
      </w:pPr>
      <w:bookmarkStart w:id="293" w:name="_Ref472350631"/>
      <w:bookmarkStart w:id="294" w:name="_Toc472472182"/>
      <w:bookmarkStart w:id="295" w:name="_Toc476913995"/>
      <w:r>
        <w:t xml:space="preserve">Table </w:t>
      </w:r>
      <w:fldSimple w:instr=" STYLEREF 1 \s ">
        <w:r w:rsidR="00C301D0">
          <w:rPr>
            <w:noProof/>
          </w:rPr>
          <w:t>3</w:t>
        </w:r>
      </w:fldSimple>
      <w:r w:rsidR="00E6042C">
        <w:noBreakHyphen/>
      </w:r>
      <w:fldSimple w:instr=" SEQ Table \* ARABIC \s 1 ">
        <w:r w:rsidR="00C301D0">
          <w:rPr>
            <w:noProof/>
          </w:rPr>
          <w:t>7</w:t>
        </w:r>
      </w:fldSimple>
      <w:bookmarkEnd w:id="293"/>
      <w:r>
        <w:t xml:space="preserve">: West Penn Phase II </w:t>
      </w:r>
      <w:r w:rsidR="000206F5">
        <w:t>Cumulative</w:t>
      </w:r>
      <w:r>
        <w:t xml:space="preserve"> Demand Savings, by Sector</w:t>
      </w:r>
      <w:bookmarkEnd w:id="294"/>
      <w:bookmarkEnd w:id="295"/>
    </w:p>
    <w:tbl>
      <w:tblPr>
        <w:tblW w:w="9350" w:type="dxa"/>
        <w:tblInd w:w="108" w:type="dxa"/>
        <w:tblLook w:val="04A0" w:firstRow="1" w:lastRow="0" w:firstColumn="1" w:lastColumn="0" w:noHBand="0" w:noVBand="1"/>
      </w:tblPr>
      <w:tblGrid>
        <w:gridCol w:w="1843"/>
        <w:gridCol w:w="1501"/>
        <w:gridCol w:w="1501"/>
        <w:gridCol w:w="1502"/>
        <w:gridCol w:w="1501"/>
        <w:gridCol w:w="1502"/>
      </w:tblGrid>
      <w:tr w:rsidR="00A874AC" w:rsidRPr="00D723BB" w:rsidTr="00592FD5">
        <w:trPr>
          <w:trHeight w:val="207"/>
        </w:trPr>
        <w:tc>
          <w:tcPr>
            <w:tcW w:w="1843" w:type="dxa"/>
            <w:tcBorders>
              <w:top w:val="nil"/>
              <w:left w:val="single" w:sz="8" w:space="0" w:color="448A99"/>
              <w:bottom w:val="single" w:sz="8" w:space="0" w:color="448A99"/>
              <w:right w:val="nil"/>
            </w:tcBorders>
            <w:shd w:val="clear" w:color="000000" w:fill="448A99"/>
            <w:vAlign w:val="center"/>
            <w:hideMark/>
          </w:tcPr>
          <w:p w:rsidR="00F13CD2" w:rsidRPr="00D723BB" w:rsidRDefault="00F13CD2" w:rsidP="006F7DE9">
            <w:pPr>
              <w:rPr>
                <w:b/>
                <w:bCs/>
                <w:color w:val="FFFFFF"/>
                <w:sz w:val="20"/>
                <w:szCs w:val="20"/>
              </w:rPr>
            </w:pPr>
            <w:r>
              <w:rPr>
                <w:b/>
                <w:bCs/>
                <w:color w:val="FFFFFF"/>
                <w:sz w:val="20"/>
                <w:szCs w:val="20"/>
              </w:rPr>
              <w:t>Statewide</w:t>
            </w:r>
          </w:p>
        </w:tc>
        <w:tc>
          <w:tcPr>
            <w:tcW w:w="1501" w:type="dxa"/>
            <w:tcBorders>
              <w:top w:val="nil"/>
              <w:left w:val="single" w:sz="8" w:space="0" w:color="448A99"/>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Residential</w:t>
            </w:r>
          </w:p>
        </w:tc>
        <w:tc>
          <w:tcPr>
            <w:tcW w:w="1501"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97650B">
            <w:pPr>
              <w:jc w:val="center"/>
              <w:rPr>
                <w:b/>
                <w:bCs/>
                <w:color w:val="FFFFFF"/>
                <w:sz w:val="20"/>
                <w:szCs w:val="20"/>
              </w:rPr>
            </w:pPr>
            <w:r w:rsidRPr="00D723BB">
              <w:rPr>
                <w:b/>
                <w:bCs/>
                <w:color w:val="FFFFFF"/>
                <w:sz w:val="20"/>
                <w:szCs w:val="20"/>
              </w:rPr>
              <w:t>C</w:t>
            </w:r>
            <w:r w:rsidR="0097650B">
              <w:rPr>
                <w:b/>
                <w:bCs/>
                <w:color w:val="FFFFFF"/>
                <w:sz w:val="20"/>
                <w:szCs w:val="20"/>
              </w:rPr>
              <w:t>/</w:t>
            </w:r>
            <w:r w:rsidRPr="00D723BB">
              <w:rPr>
                <w:b/>
                <w:bCs/>
                <w:color w:val="FFFFFF"/>
                <w:sz w:val="20"/>
                <w:szCs w:val="20"/>
              </w:rPr>
              <w:t>I</w:t>
            </w:r>
          </w:p>
        </w:tc>
        <w:tc>
          <w:tcPr>
            <w:tcW w:w="1502"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GNI</w:t>
            </w:r>
          </w:p>
        </w:tc>
        <w:tc>
          <w:tcPr>
            <w:tcW w:w="1501"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Low-Income</w:t>
            </w:r>
          </w:p>
        </w:tc>
        <w:tc>
          <w:tcPr>
            <w:tcW w:w="1502" w:type="dxa"/>
            <w:tcBorders>
              <w:top w:val="nil"/>
              <w:left w:val="single" w:sz="8" w:space="0" w:color="448A99"/>
              <w:bottom w:val="single" w:sz="8" w:space="0" w:color="448A99"/>
              <w:right w:val="nil"/>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Total</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D2EAF1"/>
            <w:vAlign w:val="center"/>
            <w:hideMark/>
          </w:tcPr>
          <w:p w:rsidR="00871F8D" w:rsidRPr="00D723BB" w:rsidRDefault="00871F8D" w:rsidP="00871F8D">
            <w:pPr>
              <w:rPr>
                <w:b/>
                <w:bCs/>
                <w:color w:val="000000"/>
                <w:sz w:val="20"/>
                <w:szCs w:val="20"/>
              </w:rPr>
            </w:pPr>
            <w:r w:rsidRPr="00D723BB">
              <w:rPr>
                <w:b/>
                <w:bCs/>
                <w:color w:val="000000"/>
                <w:sz w:val="20"/>
                <w:szCs w:val="20"/>
              </w:rPr>
              <w:t>PY5</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9.89</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4.10</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0.87</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0.00</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14.86</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FFFFFF"/>
            <w:vAlign w:val="center"/>
            <w:hideMark/>
          </w:tcPr>
          <w:p w:rsidR="00871F8D" w:rsidRPr="00D723BB" w:rsidRDefault="00871F8D" w:rsidP="00871F8D">
            <w:pPr>
              <w:rPr>
                <w:b/>
                <w:bCs/>
                <w:color w:val="000000"/>
                <w:sz w:val="20"/>
                <w:szCs w:val="20"/>
              </w:rPr>
            </w:pPr>
            <w:r w:rsidRPr="00D723BB">
              <w:rPr>
                <w:b/>
                <w:bCs/>
                <w:color w:val="000000"/>
                <w:sz w:val="20"/>
                <w:szCs w:val="20"/>
              </w:rPr>
              <w:t>PY6</w:t>
            </w:r>
          </w:p>
        </w:tc>
        <w:tc>
          <w:tcPr>
            <w:tcW w:w="1501" w:type="dxa"/>
            <w:tcBorders>
              <w:top w:val="nil"/>
              <w:left w:val="single" w:sz="8" w:space="0" w:color="448A99"/>
              <w:bottom w:val="single" w:sz="8" w:space="0" w:color="448A99"/>
              <w:right w:val="single" w:sz="8" w:space="0" w:color="448A99"/>
            </w:tcBorders>
            <w:shd w:val="clear" w:color="000000" w:fill="FFFFFF"/>
            <w:vAlign w:val="center"/>
          </w:tcPr>
          <w:p w:rsidR="00871F8D" w:rsidRPr="00D723BB" w:rsidRDefault="00871F8D" w:rsidP="00871F8D">
            <w:pPr>
              <w:jc w:val="center"/>
              <w:rPr>
                <w:color w:val="000000"/>
                <w:sz w:val="20"/>
                <w:szCs w:val="20"/>
              </w:rPr>
            </w:pPr>
            <w:r>
              <w:rPr>
                <w:color w:val="000000"/>
                <w:sz w:val="20"/>
                <w:szCs w:val="20"/>
              </w:rPr>
              <w:t>14.97</w:t>
            </w:r>
          </w:p>
        </w:tc>
        <w:tc>
          <w:tcPr>
            <w:tcW w:w="1501" w:type="dxa"/>
            <w:tcBorders>
              <w:top w:val="nil"/>
              <w:left w:val="nil"/>
              <w:bottom w:val="single" w:sz="8" w:space="0" w:color="448A99"/>
              <w:right w:val="single" w:sz="8" w:space="0" w:color="448A99"/>
            </w:tcBorders>
            <w:shd w:val="clear" w:color="auto" w:fill="auto"/>
            <w:vAlign w:val="center"/>
          </w:tcPr>
          <w:p w:rsidR="00871F8D" w:rsidRPr="00D723BB" w:rsidRDefault="00871F8D" w:rsidP="00871F8D">
            <w:pPr>
              <w:jc w:val="center"/>
              <w:rPr>
                <w:color w:val="000000"/>
                <w:sz w:val="20"/>
                <w:szCs w:val="20"/>
              </w:rPr>
            </w:pPr>
            <w:r>
              <w:rPr>
                <w:color w:val="000000"/>
                <w:sz w:val="20"/>
                <w:szCs w:val="20"/>
              </w:rPr>
              <w:t>11.96</w:t>
            </w:r>
          </w:p>
        </w:tc>
        <w:tc>
          <w:tcPr>
            <w:tcW w:w="1502" w:type="dxa"/>
            <w:tcBorders>
              <w:top w:val="nil"/>
              <w:left w:val="nil"/>
              <w:bottom w:val="single" w:sz="8" w:space="0" w:color="448A99"/>
              <w:right w:val="single" w:sz="8" w:space="0" w:color="448A99"/>
            </w:tcBorders>
            <w:shd w:val="clear" w:color="000000" w:fill="FFFFFF"/>
            <w:vAlign w:val="center"/>
          </w:tcPr>
          <w:p w:rsidR="00871F8D" w:rsidRPr="00D723BB" w:rsidRDefault="00871F8D" w:rsidP="00871F8D">
            <w:pPr>
              <w:jc w:val="center"/>
              <w:rPr>
                <w:color w:val="000000"/>
                <w:sz w:val="20"/>
                <w:szCs w:val="20"/>
              </w:rPr>
            </w:pPr>
            <w:r>
              <w:rPr>
                <w:color w:val="000000"/>
                <w:sz w:val="20"/>
                <w:szCs w:val="20"/>
              </w:rPr>
              <w:t>2.97</w:t>
            </w:r>
          </w:p>
        </w:tc>
        <w:tc>
          <w:tcPr>
            <w:tcW w:w="1501" w:type="dxa"/>
            <w:tcBorders>
              <w:top w:val="nil"/>
              <w:left w:val="nil"/>
              <w:bottom w:val="single" w:sz="8" w:space="0" w:color="448A99"/>
              <w:right w:val="single" w:sz="8" w:space="0" w:color="448A99"/>
            </w:tcBorders>
            <w:shd w:val="clear" w:color="000000" w:fill="FFFFFF"/>
            <w:vAlign w:val="center"/>
          </w:tcPr>
          <w:p w:rsidR="00871F8D" w:rsidRPr="00D723BB" w:rsidRDefault="00871F8D" w:rsidP="00871F8D">
            <w:pPr>
              <w:jc w:val="center"/>
              <w:rPr>
                <w:color w:val="000000"/>
                <w:sz w:val="20"/>
                <w:szCs w:val="20"/>
              </w:rPr>
            </w:pPr>
            <w:r>
              <w:rPr>
                <w:color w:val="000000"/>
                <w:sz w:val="20"/>
                <w:szCs w:val="20"/>
              </w:rPr>
              <w:t>0.30</w:t>
            </w:r>
          </w:p>
        </w:tc>
        <w:tc>
          <w:tcPr>
            <w:tcW w:w="1502" w:type="dxa"/>
            <w:tcBorders>
              <w:top w:val="nil"/>
              <w:left w:val="nil"/>
              <w:bottom w:val="single" w:sz="8" w:space="0" w:color="448A99"/>
              <w:right w:val="single" w:sz="8" w:space="0" w:color="448A99"/>
            </w:tcBorders>
            <w:shd w:val="clear" w:color="auto" w:fill="auto"/>
            <w:vAlign w:val="center"/>
          </w:tcPr>
          <w:p w:rsidR="00871F8D" w:rsidRPr="00D723BB" w:rsidRDefault="00871F8D" w:rsidP="00871F8D">
            <w:pPr>
              <w:jc w:val="center"/>
              <w:rPr>
                <w:color w:val="000000"/>
                <w:sz w:val="20"/>
                <w:szCs w:val="20"/>
              </w:rPr>
            </w:pPr>
            <w:r>
              <w:rPr>
                <w:color w:val="000000"/>
                <w:sz w:val="20"/>
                <w:szCs w:val="20"/>
              </w:rPr>
              <w:t>30.20</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D2EAF1"/>
            <w:vAlign w:val="center"/>
            <w:hideMark/>
          </w:tcPr>
          <w:p w:rsidR="00871F8D" w:rsidRPr="00D723BB" w:rsidRDefault="00871F8D" w:rsidP="00871F8D">
            <w:pPr>
              <w:rPr>
                <w:b/>
                <w:bCs/>
                <w:color w:val="000000"/>
                <w:sz w:val="20"/>
                <w:szCs w:val="20"/>
              </w:rPr>
            </w:pPr>
            <w:r w:rsidRPr="001C6824">
              <w:rPr>
                <w:b/>
                <w:bCs/>
                <w:color w:val="000000"/>
                <w:sz w:val="20"/>
                <w:szCs w:val="20"/>
              </w:rPr>
              <w:t>PY7</w:t>
            </w:r>
            <w:r>
              <w:rPr>
                <w:b/>
                <w:bCs/>
                <w:color w:val="000000"/>
                <w:sz w:val="20"/>
                <w:szCs w:val="20"/>
              </w:rPr>
              <w:t xml:space="preserve"> (Phase II Total)</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15.22</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21.52</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5.46</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2.18</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44.38</w:t>
            </w:r>
          </w:p>
        </w:tc>
      </w:tr>
    </w:tbl>
    <w:p w:rsidR="00F13CD2" w:rsidRDefault="00F13CD2" w:rsidP="00F13CD2"/>
    <w:p w:rsidR="00F13CD2" w:rsidRDefault="00F13CD2"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B914EA" w:rsidRDefault="00B914EA" w:rsidP="00F13CD2">
      <w:pPr>
        <w:pStyle w:val="Caption"/>
      </w:pPr>
      <w:bookmarkStart w:id="296" w:name="_Ref472350699"/>
      <w:bookmarkStart w:id="297" w:name="_Toc472472236"/>
    </w:p>
    <w:p w:rsidR="00F13CD2" w:rsidRDefault="00F13CD2" w:rsidP="00F13CD2">
      <w:pPr>
        <w:pStyle w:val="Caption"/>
      </w:pPr>
      <w:bookmarkStart w:id="298" w:name="_Ref473708314"/>
      <w:bookmarkStart w:id="299" w:name="_Toc476914050"/>
      <w:r>
        <w:lastRenderedPageBreak/>
        <w:t xml:space="preserve">Figure </w:t>
      </w:r>
      <w:fldSimple w:instr=" STYLEREF 1 \s ">
        <w:r w:rsidR="00C301D0">
          <w:rPr>
            <w:noProof/>
          </w:rPr>
          <w:t>3</w:t>
        </w:r>
      </w:fldSimple>
      <w:r w:rsidR="00DA1ADA">
        <w:noBreakHyphen/>
      </w:r>
      <w:fldSimple w:instr=" SEQ Figure \* ARABIC \s 1 ">
        <w:r w:rsidR="00C301D0">
          <w:rPr>
            <w:noProof/>
          </w:rPr>
          <w:t>6</w:t>
        </w:r>
      </w:fldSimple>
      <w:bookmarkEnd w:id="296"/>
      <w:bookmarkEnd w:id="298"/>
      <w:r>
        <w:t>: West Penn</w:t>
      </w:r>
      <w:r w:rsidRPr="008E4974">
        <w:t xml:space="preserve"> Phase II </w:t>
      </w:r>
      <w:r w:rsidR="000206F5">
        <w:t>Cumulative</w:t>
      </w:r>
      <w:r w:rsidRPr="008E4974">
        <w:t xml:space="preserve"> Demand Savings, by Sector</w:t>
      </w:r>
      <w:bookmarkEnd w:id="297"/>
      <w:bookmarkEnd w:id="299"/>
    </w:p>
    <w:p w:rsidR="001C504E" w:rsidRPr="001C504E" w:rsidRDefault="00ED4EA3" w:rsidP="001C504E">
      <w:r>
        <w:rPr>
          <w:noProof/>
        </w:rPr>
        <w:drawing>
          <wp:inline distT="0" distB="0" distL="0" distR="0" wp14:anchorId="67F3A8A2" wp14:editId="0999489D">
            <wp:extent cx="5883275" cy="34321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3275" cy="3432175"/>
                    </a:xfrm>
                    <a:prstGeom prst="rect">
                      <a:avLst/>
                    </a:prstGeom>
                    <a:noFill/>
                  </pic:spPr>
                </pic:pic>
              </a:graphicData>
            </a:graphic>
          </wp:inline>
        </w:drawing>
      </w:r>
    </w:p>
    <w:p w:rsidR="00EC51EA" w:rsidRPr="00EC51EA" w:rsidRDefault="00EC51EA" w:rsidP="00EC51EA">
      <w:bookmarkStart w:id="300" w:name="_Toc472472111"/>
    </w:p>
    <w:p w:rsidR="00DD6B4C" w:rsidRDefault="00DD6B4C" w:rsidP="00DD6B4C">
      <w:pPr>
        <w:pStyle w:val="Heading3"/>
      </w:pPr>
      <w:bookmarkStart w:id="301" w:name="_Toc476913923"/>
      <w:r>
        <w:t>PECO Energy</w:t>
      </w:r>
      <w:bookmarkEnd w:id="300"/>
      <w:bookmarkEnd w:id="301"/>
    </w:p>
    <w:p w:rsidR="00F13CD2" w:rsidRDefault="00871F8D" w:rsidP="00F13CD2">
      <w:r>
        <w:fldChar w:fldCharType="begin"/>
      </w:r>
      <w:r>
        <w:instrText xml:space="preserve"> REF _Ref472350641 \h </w:instrText>
      </w:r>
      <w:r>
        <w:fldChar w:fldCharType="separate"/>
      </w:r>
      <w:r w:rsidR="00C301D0">
        <w:t xml:space="preserve">Table </w:t>
      </w:r>
      <w:r w:rsidR="00C301D0">
        <w:rPr>
          <w:noProof/>
        </w:rPr>
        <w:t>3</w:t>
      </w:r>
      <w:r w:rsidR="00C301D0">
        <w:noBreakHyphen/>
      </w:r>
      <w:r w:rsidR="00C301D0">
        <w:rPr>
          <w:noProof/>
        </w:rPr>
        <w:t>8</w:t>
      </w:r>
      <w:r>
        <w:fldChar w:fldCharType="end"/>
      </w:r>
      <w:r w:rsidR="00F13CD2">
        <w:t xml:space="preserve"> presents PECO’s cumulative demand savings, by sector. The </w:t>
      </w:r>
      <w:r>
        <w:t xml:space="preserve">residential </w:t>
      </w:r>
      <w:r w:rsidR="00F13CD2">
        <w:t xml:space="preserve">sector accounted for nearly </w:t>
      </w:r>
      <w:r>
        <w:t>5</w:t>
      </w:r>
      <w:r w:rsidR="00F13CD2">
        <w:t xml:space="preserve">0% of the total demand savings in Phase II. </w:t>
      </w:r>
      <w:r>
        <w:fldChar w:fldCharType="begin"/>
      </w:r>
      <w:r>
        <w:instrText xml:space="preserve"> REF _Ref472350705 \h </w:instrText>
      </w:r>
      <w:r>
        <w:fldChar w:fldCharType="separate"/>
      </w:r>
      <w:r w:rsidR="00C301D0">
        <w:t xml:space="preserve">Figure </w:t>
      </w:r>
      <w:r w:rsidR="00C301D0">
        <w:rPr>
          <w:noProof/>
        </w:rPr>
        <w:t>3</w:t>
      </w:r>
      <w:r w:rsidR="00C301D0">
        <w:noBreakHyphen/>
      </w:r>
      <w:r w:rsidR="00C301D0">
        <w:rPr>
          <w:noProof/>
        </w:rPr>
        <w:t>7</w:t>
      </w:r>
      <w:r>
        <w:fldChar w:fldCharType="end"/>
      </w:r>
      <w:r w:rsidR="00F13CD2">
        <w:t xml:space="preserve"> provides a graphical illustration of these savings.</w:t>
      </w:r>
    </w:p>
    <w:p w:rsidR="00F13CD2" w:rsidRDefault="00F13CD2" w:rsidP="00F13CD2"/>
    <w:p w:rsidR="00F13CD2" w:rsidRDefault="00F13CD2" w:rsidP="00F13CD2">
      <w:pPr>
        <w:pStyle w:val="Caption"/>
      </w:pPr>
      <w:bookmarkStart w:id="302" w:name="_Ref472350641"/>
      <w:bookmarkStart w:id="303" w:name="_Toc472472183"/>
      <w:bookmarkStart w:id="304" w:name="_Toc476913996"/>
      <w:r>
        <w:t xml:space="preserve">Table </w:t>
      </w:r>
      <w:fldSimple w:instr=" STYLEREF 1 \s ">
        <w:r w:rsidR="00C301D0">
          <w:rPr>
            <w:noProof/>
          </w:rPr>
          <w:t>3</w:t>
        </w:r>
      </w:fldSimple>
      <w:r w:rsidR="00E6042C">
        <w:noBreakHyphen/>
      </w:r>
      <w:fldSimple w:instr=" SEQ Table \* ARABIC \s 1 ">
        <w:r w:rsidR="00C301D0">
          <w:rPr>
            <w:noProof/>
          </w:rPr>
          <w:t>8</w:t>
        </w:r>
      </w:fldSimple>
      <w:bookmarkEnd w:id="302"/>
      <w:r>
        <w:t xml:space="preserve">: PECO Phase II </w:t>
      </w:r>
      <w:r w:rsidR="000206F5">
        <w:t>Cumulative</w:t>
      </w:r>
      <w:r>
        <w:t xml:space="preserve"> Demand Savings, by Sector</w:t>
      </w:r>
      <w:bookmarkEnd w:id="303"/>
      <w:bookmarkEnd w:id="304"/>
    </w:p>
    <w:tbl>
      <w:tblPr>
        <w:tblW w:w="9350" w:type="dxa"/>
        <w:tblInd w:w="108" w:type="dxa"/>
        <w:tblLook w:val="04A0" w:firstRow="1" w:lastRow="0" w:firstColumn="1" w:lastColumn="0" w:noHBand="0" w:noVBand="1"/>
      </w:tblPr>
      <w:tblGrid>
        <w:gridCol w:w="1843"/>
        <w:gridCol w:w="1501"/>
        <w:gridCol w:w="1501"/>
        <w:gridCol w:w="1502"/>
        <w:gridCol w:w="1501"/>
        <w:gridCol w:w="1502"/>
      </w:tblGrid>
      <w:tr w:rsidR="00A874AC" w:rsidRPr="00D723BB" w:rsidTr="00592FD5">
        <w:trPr>
          <w:trHeight w:val="108"/>
        </w:trPr>
        <w:tc>
          <w:tcPr>
            <w:tcW w:w="1843" w:type="dxa"/>
            <w:tcBorders>
              <w:top w:val="nil"/>
              <w:left w:val="single" w:sz="8" w:space="0" w:color="448A99"/>
              <w:bottom w:val="single" w:sz="8" w:space="0" w:color="448A99"/>
              <w:right w:val="nil"/>
            </w:tcBorders>
            <w:shd w:val="clear" w:color="000000" w:fill="448A99"/>
            <w:vAlign w:val="center"/>
            <w:hideMark/>
          </w:tcPr>
          <w:p w:rsidR="00F13CD2" w:rsidRPr="00D723BB" w:rsidRDefault="00F13CD2" w:rsidP="006F7DE9">
            <w:pPr>
              <w:rPr>
                <w:b/>
                <w:bCs/>
                <w:color w:val="FFFFFF"/>
                <w:sz w:val="20"/>
                <w:szCs w:val="20"/>
              </w:rPr>
            </w:pPr>
            <w:r>
              <w:rPr>
                <w:b/>
                <w:bCs/>
                <w:color w:val="FFFFFF"/>
                <w:sz w:val="20"/>
                <w:szCs w:val="20"/>
              </w:rPr>
              <w:t>Statewide</w:t>
            </w:r>
          </w:p>
        </w:tc>
        <w:tc>
          <w:tcPr>
            <w:tcW w:w="1501" w:type="dxa"/>
            <w:tcBorders>
              <w:top w:val="nil"/>
              <w:left w:val="single" w:sz="8" w:space="0" w:color="448A99"/>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Residential</w:t>
            </w:r>
          </w:p>
        </w:tc>
        <w:tc>
          <w:tcPr>
            <w:tcW w:w="1501"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97650B">
            <w:pPr>
              <w:jc w:val="center"/>
              <w:rPr>
                <w:b/>
                <w:bCs/>
                <w:color w:val="FFFFFF"/>
                <w:sz w:val="20"/>
                <w:szCs w:val="20"/>
              </w:rPr>
            </w:pPr>
            <w:r w:rsidRPr="00D723BB">
              <w:rPr>
                <w:b/>
                <w:bCs/>
                <w:color w:val="FFFFFF"/>
                <w:sz w:val="20"/>
                <w:szCs w:val="20"/>
              </w:rPr>
              <w:t>C</w:t>
            </w:r>
            <w:r w:rsidR="0097650B">
              <w:rPr>
                <w:b/>
                <w:bCs/>
                <w:color w:val="FFFFFF"/>
                <w:sz w:val="20"/>
                <w:szCs w:val="20"/>
              </w:rPr>
              <w:t>/</w:t>
            </w:r>
            <w:r w:rsidRPr="00D723BB">
              <w:rPr>
                <w:b/>
                <w:bCs/>
                <w:color w:val="FFFFFF"/>
                <w:sz w:val="20"/>
                <w:szCs w:val="20"/>
              </w:rPr>
              <w:t>I</w:t>
            </w:r>
          </w:p>
        </w:tc>
        <w:tc>
          <w:tcPr>
            <w:tcW w:w="1502"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GNI</w:t>
            </w:r>
          </w:p>
        </w:tc>
        <w:tc>
          <w:tcPr>
            <w:tcW w:w="1501"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Low-Income</w:t>
            </w:r>
          </w:p>
        </w:tc>
        <w:tc>
          <w:tcPr>
            <w:tcW w:w="1502" w:type="dxa"/>
            <w:tcBorders>
              <w:top w:val="nil"/>
              <w:left w:val="single" w:sz="8" w:space="0" w:color="448A99"/>
              <w:bottom w:val="single" w:sz="8" w:space="0" w:color="448A99"/>
              <w:right w:val="nil"/>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Total</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D2EAF1"/>
            <w:vAlign w:val="center"/>
            <w:hideMark/>
          </w:tcPr>
          <w:p w:rsidR="00871F8D" w:rsidRPr="00D723BB" w:rsidRDefault="00871F8D" w:rsidP="00871F8D">
            <w:pPr>
              <w:rPr>
                <w:b/>
                <w:bCs/>
                <w:color w:val="000000"/>
                <w:sz w:val="20"/>
                <w:szCs w:val="20"/>
              </w:rPr>
            </w:pPr>
            <w:r w:rsidRPr="00D723BB">
              <w:rPr>
                <w:b/>
                <w:bCs/>
                <w:color w:val="000000"/>
                <w:sz w:val="20"/>
                <w:szCs w:val="20"/>
              </w:rPr>
              <w:t>PY5</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79.00</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19.40</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9.50</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2.20</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110.10</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FFFFFF"/>
            <w:vAlign w:val="center"/>
            <w:hideMark/>
          </w:tcPr>
          <w:p w:rsidR="00871F8D" w:rsidRPr="00D723BB" w:rsidRDefault="00871F8D" w:rsidP="00871F8D">
            <w:pPr>
              <w:rPr>
                <w:b/>
                <w:bCs/>
                <w:color w:val="000000"/>
                <w:sz w:val="20"/>
                <w:szCs w:val="20"/>
              </w:rPr>
            </w:pPr>
            <w:r w:rsidRPr="00D723BB">
              <w:rPr>
                <w:b/>
                <w:bCs/>
                <w:color w:val="000000"/>
                <w:sz w:val="20"/>
                <w:szCs w:val="20"/>
              </w:rPr>
              <w:t>PY6</w:t>
            </w:r>
          </w:p>
        </w:tc>
        <w:tc>
          <w:tcPr>
            <w:tcW w:w="1501" w:type="dxa"/>
            <w:tcBorders>
              <w:top w:val="nil"/>
              <w:left w:val="single" w:sz="8" w:space="0" w:color="448A99"/>
              <w:bottom w:val="single" w:sz="8" w:space="0" w:color="448A99"/>
              <w:right w:val="single" w:sz="8" w:space="0" w:color="448A99"/>
            </w:tcBorders>
            <w:shd w:val="clear" w:color="000000" w:fill="FFFFFF"/>
            <w:vAlign w:val="center"/>
          </w:tcPr>
          <w:p w:rsidR="00871F8D" w:rsidRPr="00D723BB" w:rsidRDefault="00871F8D" w:rsidP="00871F8D">
            <w:pPr>
              <w:jc w:val="center"/>
              <w:rPr>
                <w:color w:val="000000"/>
                <w:sz w:val="20"/>
                <w:szCs w:val="20"/>
              </w:rPr>
            </w:pPr>
            <w:r>
              <w:rPr>
                <w:color w:val="000000"/>
                <w:sz w:val="20"/>
                <w:szCs w:val="20"/>
              </w:rPr>
              <w:t>94.15</w:t>
            </w:r>
          </w:p>
        </w:tc>
        <w:tc>
          <w:tcPr>
            <w:tcW w:w="1501" w:type="dxa"/>
            <w:tcBorders>
              <w:top w:val="nil"/>
              <w:left w:val="nil"/>
              <w:bottom w:val="single" w:sz="8" w:space="0" w:color="448A99"/>
              <w:right w:val="single" w:sz="8" w:space="0" w:color="448A99"/>
            </w:tcBorders>
            <w:shd w:val="clear" w:color="auto" w:fill="auto"/>
            <w:vAlign w:val="center"/>
          </w:tcPr>
          <w:p w:rsidR="00871F8D" w:rsidRPr="00D723BB" w:rsidRDefault="00871F8D" w:rsidP="00871F8D">
            <w:pPr>
              <w:jc w:val="center"/>
              <w:rPr>
                <w:color w:val="000000"/>
                <w:sz w:val="20"/>
                <w:szCs w:val="20"/>
              </w:rPr>
            </w:pPr>
            <w:r>
              <w:rPr>
                <w:color w:val="000000"/>
                <w:sz w:val="20"/>
                <w:szCs w:val="20"/>
              </w:rPr>
              <w:t>38.10</w:t>
            </w:r>
          </w:p>
        </w:tc>
        <w:tc>
          <w:tcPr>
            <w:tcW w:w="1502" w:type="dxa"/>
            <w:tcBorders>
              <w:top w:val="nil"/>
              <w:left w:val="nil"/>
              <w:bottom w:val="single" w:sz="8" w:space="0" w:color="448A99"/>
              <w:right w:val="single" w:sz="8" w:space="0" w:color="448A99"/>
            </w:tcBorders>
            <w:shd w:val="clear" w:color="000000" w:fill="FFFFFF"/>
            <w:vAlign w:val="center"/>
          </w:tcPr>
          <w:p w:rsidR="00871F8D" w:rsidRPr="00D723BB" w:rsidRDefault="00871F8D" w:rsidP="00871F8D">
            <w:pPr>
              <w:jc w:val="center"/>
              <w:rPr>
                <w:color w:val="000000"/>
                <w:sz w:val="20"/>
                <w:szCs w:val="20"/>
              </w:rPr>
            </w:pPr>
            <w:r>
              <w:rPr>
                <w:color w:val="000000"/>
                <w:sz w:val="20"/>
                <w:szCs w:val="20"/>
              </w:rPr>
              <w:t>12.70</w:t>
            </w:r>
          </w:p>
        </w:tc>
        <w:tc>
          <w:tcPr>
            <w:tcW w:w="1501" w:type="dxa"/>
            <w:tcBorders>
              <w:top w:val="nil"/>
              <w:left w:val="nil"/>
              <w:bottom w:val="single" w:sz="8" w:space="0" w:color="448A99"/>
              <w:right w:val="single" w:sz="8" w:space="0" w:color="448A99"/>
            </w:tcBorders>
            <w:shd w:val="clear" w:color="000000" w:fill="FFFFFF"/>
            <w:vAlign w:val="center"/>
          </w:tcPr>
          <w:p w:rsidR="00871F8D" w:rsidRPr="00D723BB" w:rsidRDefault="00871F8D" w:rsidP="00871F8D">
            <w:pPr>
              <w:jc w:val="center"/>
              <w:rPr>
                <w:color w:val="000000"/>
                <w:sz w:val="20"/>
                <w:szCs w:val="20"/>
              </w:rPr>
            </w:pPr>
            <w:r>
              <w:rPr>
                <w:color w:val="000000"/>
                <w:sz w:val="20"/>
                <w:szCs w:val="20"/>
              </w:rPr>
              <w:t>4.70</w:t>
            </w:r>
          </w:p>
        </w:tc>
        <w:tc>
          <w:tcPr>
            <w:tcW w:w="1502" w:type="dxa"/>
            <w:tcBorders>
              <w:top w:val="nil"/>
              <w:left w:val="nil"/>
              <w:bottom w:val="single" w:sz="8" w:space="0" w:color="448A99"/>
              <w:right w:val="single" w:sz="8" w:space="0" w:color="448A99"/>
            </w:tcBorders>
            <w:shd w:val="clear" w:color="auto" w:fill="auto"/>
            <w:vAlign w:val="center"/>
          </w:tcPr>
          <w:p w:rsidR="00871F8D" w:rsidRPr="00D723BB" w:rsidRDefault="00871F8D" w:rsidP="00871F8D">
            <w:pPr>
              <w:jc w:val="center"/>
              <w:rPr>
                <w:color w:val="000000"/>
                <w:sz w:val="20"/>
                <w:szCs w:val="20"/>
              </w:rPr>
            </w:pPr>
            <w:r>
              <w:rPr>
                <w:color w:val="000000"/>
                <w:sz w:val="20"/>
                <w:szCs w:val="20"/>
              </w:rPr>
              <w:t>149.65</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D2EAF1"/>
            <w:vAlign w:val="center"/>
            <w:hideMark/>
          </w:tcPr>
          <w:p w:rsidR="00871F8D" w:rsidRPr="00D723BB" w:rsidRDefault="00871F8D" w:rsidP="00871F8D">
            <w:pPr>
              <w:rPr>
                <w:b/>
                <w:bCs/>
                <w:color w:val="000000"/>
                <w:sz w:val="20"/>
                <w:szCs w:val="20"/>
              </w:rPr>
            </w:pPr>
            <w:r w:rsidRPr="001C6824">
              <w:rPr>
                <w:b/>
                <w:bCs/>
                <w:color w:val="000000"/>
                <w:sz w:val="20"/>
                <w:szCs w:val="20"/>
              </w:rPr>
              <w:t>PY7</w:t>
            </w:r>
            <w:r>
              <w:rPr>
                <w:b/>
                <w:bCs/>
                <w:color w:val="000000"/>
                <w:sz w:val="20"/>
                <w:szCs w:val="20"/>
              </w:rPr>
              <w:t xml:space="preserve"> (Phase II Total)</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106.00</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69.20</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38.00</w:t>
            </w:r>
          </w:p>
        </w:tc>
        <w:tc>
          <w:tcPr>
            <w:tcW w:w="1501"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11.50</w:t>
            </w:r>
          </w:p>
        </w:tc>
        <w:tc>
          <w:tcPr>
            <w:tcW w:w="1502" w:type="dxa"/>
            <w:tcBorders>
              <w:top w:val="nil"/>
              <w:left w:val="nil"/>
              <w:bottom w:val="single" w:sz="8" w:space="0" w:color="448A99"/>
              <w:right w:val="single" w:sz="8" w:space="0" w:color="448A99"/>
            </w:tcBorders>
            <w:shd w:val="clear" w:color="000000" w:fill="D2EAF1"/>
            <w:vAlign w:val="center"/>
          </w:tcPr>
          <w:p w:rsidR="00871F8D" w:rsidRPr="00D723BB" w:rsidRDefault="00871F8D" w:rsidP="00871F8D">
            <w:pPr>
              <w:jc w:val="center"/>
              <w:rPr>
                <w:color w:val="000000"/>
                <w:sz w:val="20"/>
                <w:szCs w:val="20"/>
              </w:rPr>
            </w:pPr>
            <w:r>
              <w:rPr>
                <w:color w:val="000000"/>
                <w:sz w:val="20"/>
                <w:szCs w:val="20"/>
              </w:rPr>
              <w:t>224.70</w:t>
            </w:r>
          </w:p>
        </w:tc>
      </w:tr>
    </w:tbl>
    <w:p w:rsidR="00F13CD2" w:rsidRDefault="00F13CD2"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ED4EA3" w:rsidRDefault="00ED4EA3" w:rsidP="00F13CD2"/>
    <w:p w:rsidR="0078313D" w:rsidRDefault="0078313D" w:rsidP="00F13CD2"/>
    <w:p w:rsidR="00F13CD2" w:rsidRDefault="00F13CD2" w:rsidP="00F13CD2">
      <w:pPr>
        <w:pStyle w:val="Caption"/>
      </w:pPr>
      <w:bookmarkStart w:id="305" w:name="_Ref472350705"/>
      <w:bookmarkStart w:id="306" w:name="_Toc472472237"/>
      <w:bookmarkStart w:id="307" w:name="_Toc476914051"/>
      <w:r>
        <w:lastRenderedPageBreak/>
        <w:t xml:space="preserve">Figure </w:t>
      </w:r>
      <w:fldSimple w:instr=" STYLEREF 1 \s ">
        <w:r w:rsidR="00C301D0">
          <w:rPr>
            <w:noProof/>
          </w:rPr>
          <w:t>3</w:t>
        </w:r>
      </w:fldSimple>
      <w:r w:rsidR="00DA1ADA">
        <w:noBreakHyphen/>
      </w:r>
      <w:fldSimple w:instr=" SEQ Figure \* ARABIC \s 1 ">
        <w:r w:rsidR="00C301D0">
          <w:rPr>
            <w:noProof/>
          </w:rPr>
          <w:t>7</w:t>
        </w:r>
      </w:fldSimple>
      <w:bookmarkEnd w:id="305"/>
      <w:r>
        <w:t xml:space="preserve">: </w:t>
      </w:r>
      <w:r w:rsidR="00871F8D">
        <w:t>PECO</w:t>
      </w:r>
      <w:r w:rsidRPr="008E4974">
        <w:t xml:space="preserve"> Phase II </w:t>
      </w:r>
      <w:r w:rsidR="000206F5">
        <w:t>Cumulative</w:t>
      </w:r>
      <w:r w:rsidRPr="008E4974">
        <w:t xml:space="preserve"> Demand Savings, by Sector</w:t>
      </w:r>
      <w:bookmarkEnd w:id="306"/>
      <w:bookmarkEnd w:id="307"/>
    </w:p>
    <w:p w:rsidR="001C504E" w:rsidRPr="001C504E" w:rsidRDefault="00ED4EA3" w:rsidP="001C504E">
      <w:r>
        <w:rPr>
          <w:noProof/>
        </w:rPr>
        <w:drawing>
          <wp:inline distT="0" distB="0" distL="0" distR="0" wp14:anchorId="588368E1" wp14:editId="445B6245">
            <wp:extent cx="5912768" cy="34508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19744" cy="3454937"/>
                    </a:xfrm>
                    <a:prstGeom prst="rect">
                      <a:avLst/>
                    </a:prstGeom>
                    <a:noFill/>
                  </pic:spPr>
                </pic:pic>
              </a:graphicData>
            </a:graphic>
          </wp:inline>
        </w:drawing>
      </w:r>
    </w:p>
    <w:p w:rsidR="00EC51EA" w:rsidRPr="00EC51EA" w:rsidRDefault="00EC51EA" w:rsidP="00EC51EA"/>
    <w:p w:rsidR="00DD6B4C" w:rsidRDefault="000759CA" w:rsidP="00DD6B4C">
      <w:pPr>
        <w:pStyle w:val="Heading3"/>
      </w:pPr>
      <w:bookmarkStart w:id="308" w:name="_Toc476913924"/>
      <w:r>
        <w:t>PPL</w:t>
      </w:r>
      <w:bookmarkEnd w:id="308"/>
    </w:p>
    <w:p w:rsidR="00EC51EA" w:rsidRDefault="00E1723F" w:rsidP="00EC51EA">
      <w:r>
        <w:fldChar w:fldCharType="begin"/>
      </w:r>
      <w:r>
        <w:instrText xml:space="preserve"> REF _Ref472350647 \h </w:instrText>
      </w:r>
      <w:r>
        <w:fldChar w:fldCharType="separate"/>
      </w:r>
      <w:r w:rsidR="00C301D0">
        <w:t xml:space="preserve">Table </w:t>
      </w:r>
      <w:r w:rsidR="00C301D0">
        <w:rPr>
          <w:noProof/>
        </w:rPr>
        <w:t>3</w:t>
      </w:r>
      <w:r w:rsidR="00C301D0">
        <w:noBreakHyphen/>
      </w:r>
      <w:r w:rsidR="00C301D0">
        <w:rPr>
          <w:noProof/>
        </w:rPr>
        <w:t>9</w:t>
      </w:r>
      <w:r>
        <w:fldChar w:fldCharType="end"/>
      </w:r>
      <w:r>
        <w:t xml:space="preserve"> </w:t>
      </w:r>
      <w:r w:rsidR="00F13CD2" w:rsidRPr="00EC51EA">
        <w:t xml:space="preserve">presents </w:t>
      </w:r>
      <w:r w:rsidR="00871F8D" w:rsidRPr="00EC51EA">
        <w:t>PPL</w:t>
      </w:r>
      <w:r w:rsidR="00F13CD2" w:rsidRPr="00EC51EA">
        <w:t>’s cumulative demand savings, by sector. The C</w:t>
      </w:r>
      <w:r w:rsidR="0097650B" w:rsidRPr="00EC51EA">
        <w:t>/</w:t>
      </w:r>
      <w:r w:rsidR="00F13CD2" w:rsidRPr="00EC51EA">
        <w:t xml:space="preserve">I sector accounted for </w:t>
      </w:r>
      <w:r w:rsidR="00F6102E" w:rsidRPr="00EC51EA">
        <w:t>more than 50</w:t>
      </w:r>
      <w:r w:rsidR="00F13CD2" w:rsidRPr="00EC51EA">
        <w:t xml:space="preserve">% of the total demand savings in Phase II. </w:t>
      </w:r>
    </w:p>
    <w:p w:rsidR="00E1723F" w:rsidRDefault="00E1723F" w:rsidP="00EC51EA"/>
    <w:p w:rsidR="00F13CD2" w:rsidRDefault="00E1723F" w:rsidP="00EC51EA">
      <w:r>
        <w:fldChar w:fldCharType="begin"/>
      </w:r>
      <w:r>
        <w:instrText xml:space="preserve"> REF _Ref472350713 \h </w:instrText>
      </w:r>
      <w:r>
        <w:fldChar w:fldCharType="separate"/>
      </w:r>
      <w:r w:rsidR="00C301D0">
        <w:t xml:space="preserve">Figure </w:t>
      </w:r>
      <w:r w:rsidR="00C301D0">
        <w:rPr>
          <w:noProof/>
        </w:rPr>
        <w:t>3</w:t>
      </w:r>
      <w:r w:rsidR="00C301D0">
        <w:noBreakHyphen/>
      </w:r>
      <w:r w:rsidR="00C301D0">
        <w:rPr>
          <w:noProof/>
        </w:rPr>
        <w:t>8</w:t>
      </w:r>
      <w:r>
        <w:fldChar w:fldCharType="end"/>
      </w:r>
      <w:r w:rsidR="00F13CD2">
        <w:t xml:space="preserve"> provides a graphical illustration of these savings.</w:t>
      </w:r>
    </w:p>
    <w:p w:rsidR="00F13CD2" w:rsidRDefault="00F13CD2" w:rsidP="00F13CD2"/>
    <w:p w:rsidR="00F13CD2" w:rsidRDefault="00F13CD2" w:rsidP="00F13CD2">
      <w:pPr>
        <w:pStyle w:val="Caption"/>
      </w:pPr>
      <w:bookmarkStart w:id="309" w:name="_Ref472350647"/>
      <w:bookmarkStart w:id="310" w:name="_Toc472472184"/>
      <w:bookmarkStart w:id="311" w:name="_Toc476913997"/>
      <w:r>
        <w:t xml:space="preserve">Table </w:t>
      </w:r>
      <w:fldSimple w:instr=" STYLEREF 1 \s ">
        <w:r w:rsidR="00C301D0">
          <w:rPr>
            <w:noProof/>
          </w:rPr>
          <w:t>3</w:t>
        </w:r>
      </w:fldSimple>
      <w:r w:rsidR="00E6042C">
        <w:noBreakHyphen/>
      </w:r>
      <w:fldSimple w:instr=" SEQ Table \* ARABIC \s 1 ">
        <w:r w:rsidR="00C301D0">
          <w:rPr>
            <w:noProof/>
          </w:rPr>
          <w:t>9</w:t>
        </w:r>
      </w:fldSimple>
      <w:bookmarkEnd w:id="309"/>
      <w:r>
        <w:t xml:space="preserve">: </w:t>
      </w:r>
      <w:r w:rsidR="00871F8D">
        <w:t>PPL</w:t>
      </w:r>
      <w:r>
        <w:t xml:space="preserve"> Phase II </w:t>
      </w:r>
      <w:r w:rsidR="000206F5">
        <w:t>Cumulative</w:t>
      </w:r>
      <w:r>
        <w:t xml:space="preserve"> Demand Savings, by Sector</w:t>
      </w:r>
      <w:bookmarkEnd w:id="310"/>
      <w:bookmarkEnd w:id="311"/>
    </w:p>
    <w:tbl>
      <w:tblPr>
        <w:tblW w:w="9350" w:type="dxa"/>
        <w:tblInd w:w="108" w:type="dxa"/>
        <w:tblLook w:val="04A0" w:firstRow="1" w:lastRow="0" w:firstColumn="1" w:lastColumn="0" w:noHBand="0" w:noVBand="1"/>
      </w:tblPr>
      <w:tblGrid>
        <w:gridCol w:w="1843"/>
        <w:gridCol w:w="1501"/>
        <w:gridCol w:w="1501"/>
        <w:gridCol w:w="1502"/>
        <w:gridCol w:w="1501"/>
        <w:gridCol w:w="1502"/>
      </w:tblGrid>
      <w:tr w:rsidR="00A874AC" w:rsidRPr="00D723BB" w:rsidTr="00592FD5">
        <w:trPr>
          <w:trHeight w:val="252"/>
        </w:trPr>
        <w:tc>
          <w:tcPr>
            <w:tcW w:w="1843" w:type="dxa"/>
            <w:tcBorders>
              <w:top w:val="nil"/>
              <w:left w:val="single" w:sz="8" w:space="0" w:color="448A99"/>
              <w:bottom w:val="single" w:sz="8" w:space="0" w:color="448A99"/>
              <w:right w:val="nil"/>
            </w:tcBorders>
            <w:shd w:val="clear" w:color="000000" w:fill="448A99"/>
            <w:vAlign w:val="center"/>
            <w:hideMark/>
          </w:tcPr>
          <w:p w:rsidR="00F13CD2" w:rsidRPr="00D723BB" w:rsidRDefault="00F13CD2" w:rsidP="006F7DE9">
            <w:pPr>
              <w:rPr>
                <w:b/>
                <w:bCs/>
                <w:color w:val="FFFFFF"/>
                <w:sz w:val="20"/>
                <w:szCs w:val="20"/>
              </w:rPr>
            </w:pPr>
            <w:r>
              <w:rPr>
                <w:b/>
                <w:bCs/>
                <w:color w:val="FFFFFF"/>
                <w:sz w:val="20"/>
                <w:szCs w:val="20"/>
              </w:rPr>
              <w:t>Statewide</w:t>
            </w:r>
          </w:p>
        </w:tc>
        <w:tc>
          <w:tcPr>
            <w:tcW w:w="1501" w:type="dxa"/>
            <w:tcBorders>
              <w:top w:val="nil"/>
              <w:left w:val="single" w:sz="8" w:space="0" w:color="448A99"/>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Residential</w:t>
            </w:r>
          </w:p>
        </w:tc>
        <w:tc>
          <w:tcPr>
            <w:tcW w:w="1501"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97650B">
            <w:pPr>
              <w:jc w:val="center"/>
              <w:rPr>
                <w:b/>
                <w:bCs/>
                <w:color w:val="FFFFFF"/>
                <w:sz w:val="20"/>
                <w:szCs w:val="20"/>
              </w:rPr>
            </w:pPr>
            <w:r w:rsidRPr="00D723BB">
              <w:rPr>
                <w:b/>
                <w:bCs/>
                <w:color w:val="FFFFFF"/>
                <w:sz w:val="20"/>
                <w:szCs w:val="20"/>
              </w:rPr>
              <w:t>C</w:t>
            </w:r>
            <w:r w:rsidR="0097650B">
              <w:rPr>
                <w:b/>
                <w:bCs/>
                <w:color w:val="FFFFFF"/>
                <w:sz w:val="20"/>
                <w:szCs w:val="20"/>
              </w:rPr>
              <w:t>/</w:t>
            </w:r>
            <w:r w:rsidRPr="00D723BB">
              <w:rPr>
                <w:b/>
                <w:bCs/>
                <w:color w:val="FFFFFF"/>
                <w:sz w:val="20"/>
                <w:szCs w:val="20"/>
              </w:rPr>
              <w:t>I</w:t>
            </w:r>
          </w:p>
        </w:tc>
        <w:tc>
          <w:tcPr>
            <w:tcW w:w="1502"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GNI</w:t>
            </w:r>
          </w:p>
        </w:tc>
        <w:tc>
          <w:tcPr>
            <w:tcW w:w="1501" w:type="dxa"/>
            <w:tcBorders>
              <w:top w:val="nil"/>
              <w:left w:val="nil"/>
              <w:bottom w:val="single" w:sz="8" w:space="0" w:color="448A99"/>
              <w:right w:val="single" w:sz="8" w:space="0" w:color="448A99"/>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Low-Income</w:t>
            </w:r>
          </w:p>
        </w:tc>
        <w:tc>
          <w:tcPr>
            <w:tcW w:w="1502" w:type="dxa"/>
            <w:tcBorders>
              <w:top w:val="nil"/>
              <w:left w:val="single" w:sz="8" w:space="0" w:color="448A99"/>
              <w:bottom w:val="single" w:sz="8" w:space="0" w:color="448A99"/>
              <w:right w:val="nil"/>
            </w:tcBorders>
            <w:shd w:val="clear" w:color="000000" w:fill="448A99"/>
            <w:vAlign w:val="center"/>
            <w:hideMark/>
          </w:tcPr>
          <w:p w:rsidR="00F13CD2" w:rsidRPr="00D723BB" w:rsidRDefault="00F13CD2" w:rsidP="006F7DE9">
            <w:pPr>
              <w:jc w:val="center"/>
              <w:rPr>
                <w:b/>
                <w:bCs/>
                <w:color w:val="FFFFFF"/>
                <w:sz w:val="20"/>
                <w:szCs w:val="20"/>
              </w:rPr>
            </w:pPr>
            <w:r w:rsidRPr="00D723BB">
              <w:rPr>
                <w:b/>
                <w:bCs/>
                <w:color w:val="FFFFFF"/>
                <w:sz w:val="20"/>
                <w:szCs w:val="20"/>
              </w:rPr>
              <w:t>Total</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D2EAF1"/>
            <w:vAlign w:val="center"/>
            <w:hideMark/>
          </w:tcPr>
          <w:p w:rsidR="00F6102E" w:rsidRPr="00D723BB" w:rsidRDefault="00F6102E" w:rsidP="00F6102E">
            <w:pPr>
              <w:rPr>
                <w:b/>
                <w:bCs/>
                <w:color w:val="000000"/>
                <w:sz w:val="20"/>
                <w:szCs w:val="20"/>
              </w:rPr>
            </w:pPr>
            <w:r w:rsidRPr="00D723BB">
              <w:rPr>
                <w:b/>
                <w:bCs/>
                <w:color w:val="000000"/>
                <w:sz w:val="20"/>
                <w:szCs w:val="20"/>
              </w:rPr>
              <w:t>PY5</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F6102E" w:rsidRPr="00D723BB" w:rsidRDefault="00F6102E" w:rsidP="00F6102E">
            <w:pPr>
              <w:jc w:val="center"/>
              <w:rPr>
                <w:color w:val="000000"/>
                <w:sz w:val="20"/>
                <w:szCs w:val="20"/>
              </w:rPr>
            </w:pPr>
            <w:r>
              <w:rPr>
                <w:color w:val="000000"/>
                <w:sz w:val="20"/>
                <w:szCs w:val="20"/>
              </w:rPr>
              <w:t>6.91</w:t>
            </w:r>
          </w:p>
        </w:tc>
        <w:tc>
          <w:tcPr>
            <w:tcW w:w="1501" w:type="dxa"/>
            <w:tcBorders>
              <w:top w:val="nil"/>
              <w:left w:val="nil"/>
              <w:bottom w:val="single" w:sz="8" w:space="0" w:color="448A99"/>
              <w:right w:val="single" w:sz="8" w:space="0" w:color="448A99"/>
            </w:tcBorders>
            <w:shd w:val="clear" w:color="000000" w:fill="D2EAF1"/>
            <w:vAlign w:val="center"/>
          </w:tcPr>
          <w:p w:rsidR="00F6102E" w:rsidRPr="00D723BB" w:rsidRDefault="00F6102E" w:rsidP="00F6102E">
            <w:pPr>
              <w:jc w:val="center"/>
              <w:rPr>
                <w:color w:val="000000"/>
                <w:sz w:val="20"/>
                <w:szCs w:val="20"/>
              </w:rPr>
            </w:pPr>
            <w:r>
              <w:rPr>
                <w:color w:val="000000"/>
                <w:sz w:val="20"/>
                <w:szCs w:val="20"/>
              </w:rPr>
              <w:t>15.60</w:t>
            </w:r>
          </w:p>
        </w:tc>
        <w:tc>
          <w:tcPr>
            <w:tcW w:w="1502" w:type="dxa"/>
            <w:tcBorders>
              <w:top w:val="nil"/>
              <w:left w:val="nil"/>
              <w:bottom w:val="single" w:sz="8" w:space="0" w:color="448A99"/>
              <w:right w:val="single" w:sz="8" w:space="0" w:color="448A99"/>
            </w:tcBorders>
            <w:shd w:val="clear" w:color="000000" w:fill="D2EAF1"/>
            <w:vAlign w:val="center"/>
          </w:tcPr>
          <w:p w:rsidR="00F6102E" w:rsidRPr="00D723BB" w:rsidRDefault="00F6102E" w:rsidP="00F6102E">
            <w:pPr>
              <w:jc w:val="center"/>
              <w:rPr>
                <w:color w:val="000000"/>
                <w:sz w:val="20"/>
                <w:szCs w:val="20"/>
              </w:rPr>
            </w:pPr>
            <w:r>
              <w:rPr>
                <w:color w:val="000000"/>
                <w:sz w:val="20"/>
                <w:szCs w:val="20"/>
              </w:rPr>
              <w:t>2.84</w:t>
            </w:r>
          </w:p>
        </w:tc>
        <w:tc>
          <w:tcPr>
            <w:tcW w:w="1501" w:type="dxa"/>
            <w:tcBorders>
              <w:top w:val="nil"/>
              <w:left w:val="nil"/>
              <w:bottom w:val="single" w:sz="8" w:space="0" w:color="448A99"/>
              <w:right w:val="single" w:sz="8" w:space="0" w:color="448A99"/>
            </w:tcBorders>
            <w:shd w:val="clear" w:color="000000" w:fill="D2EAF1"/>
            <w:vAlign w:val="center"/>
          </w:tcPr>
          <w:p w:rsidR="00F6102E" w:rsidRPr="00D723BB" w:rsidRDefault="00F6102E" w:rsidP="00F6102E">
            <w:pPr>
              <w:jc w:val="center"/>
              <w:rPr>
                <w:color w:val="000000"/>
                <w:sz w:val="20"/>
                <w:szCs w:val="20"/>
              </w:rPr>
            </w:pPr>
            <w:r>
              <w:rPr>
                <w:color w:val="000000"/>
                <w:sz w:val="20"/>
                <w:szCs w:val="20"/>
              </w:rPr>
              <w:t>0.59</w:t>
            </w:r>
          </w:p>
        </w:tc>
        <w:tc>
          <w:tcPr>
            <w:tcW w:w="1502" w:type="dxa"/>
            <w:tcBorders>
              <w:top w:val="nil"/>
              <w:left w:val="nil"/>
              <w:bottom w:val="single" w:sz="8" w:space="0" w:color="448A99"/>
              <w:right w:val="single" w:sz="8" w:space="0" w:color="448A99"/>
            </w:tcBorders>
            <w:shd w:val="clear" w:color="000000" w:fill="D2EAF1"/>
            <w:vAlign w:val="center"/>
          </w:tcPr>
          <w:p w:rsidR="00F6102E" w:rsidRPr="00D723BB" w:rsidRDefault="00F6102E" w:rsidP="00F6102E">
            <w:pPr>
              <w:jc w:val="center"/>
              <w:rPr>
                <w:color w:val="000000"/>
                <w:sz w:val="20"/>
                <w:szCs w:val="20"/>
              </w:rPr>
            </w:pPr>
            <w:r>
              <w:rPr>
                <w:color w:val="000000"/>
                <w:sz w:val="20"/>
                <w:szCs w:val="20"/>
              </w:rPr>
              <w:t>25.94</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FFFFFF"/>
            <w:vAlign w:val="center"/>
            <w:hideMark/>
          </w:tcPr>
          <w:p w:rsidR="00F6102E" w:rsidRPr="00D723BB" w:rsidRDefault="00F6102E" w:rsidP="00F6102E">
            <w:pPr>
              <w:rPr>
                <w:b/>
                <w:bCs/>
                <w:color w:val="000000"/>
                <w:sz w:val="20"/>
                <w:szCs w:val="20"/>
              </w:rPr>
            </w:pPr>
            <w:r w:rsidRPr="00D723BB">
              <w:rPr>
                <w:b/>
                <w:bCs/>
                <w:color w:val="000000"/>
                <w:sz w:val="20"/>
                <w:szCs w:val="20"/>
              </w:rPr>
              <w:t>PY6</w:t>
            </w:r>
          </w:p>
        </w:tc>
        <w:tc>
          <w:tcPr>
            <w:tcW w:w="1501" w:type="dxa"/>
            <w:tcBorders>
              <w:top w:val="nil"/>
              <w:left w:val="single" w:sz="8" w:space="0" w:color="448A99"/>
              <w:bottom w:val="single" w:sz="8" w:space="0" w:color="448A99"/>
              <w:right w:val="single" w:sz="8" w:space="0" w:color="448A99"/>
            </w:tcBorders>
            <w:shd w:val="clear" w:color="000000" w:fill="FFFFFF"/>
            <w:vAlign w:val="center"/>
          </w:tcPr>
          <w:p w:rsidR="00F6102E" w:rsidRPr="00D723BB" w:rsidRDefault="00F6102E" w:rsidP="00F6102E">
            <w:pPr>
              <w:jc w:val="center"/>
              <w:rPr>
                <w:color w:val="000000"/>
                <w:sz w:val="20"/>
                <w:szCs w:val="20"/>
              </w:rPr>
            </w:pPr>
            <w:r>
              <w:rPr>
                <w:color w:val="000000"/>
                <w:sz w:val="20"/>
                <w:szCs w:val="20"/>
              </w:rPr>
              <w:t>14.27</w:t>
            </w:r>
          </w:p>
        </w:tc>
        <w:tc>
          <w:tcPr>
            <w:tcW w:w="1501" w:type="dxa"/>
            <w:tcBorders>
              <w:top w:val="nil"/>
              <w:left w:val="nil"/>
              <w:bottom w:val="single" w:sz="8" w:space="0" w:color="448A99"/>
              <w:right w:val="single" w:sz="8" w:space="0" w:color="448A99"/>
            </w:tcBorders>
            <w:shd w:val="clear" w:color="auto" w:fill="auto"/>
            <w:vAlign w:val="center"/>
          </w:tcPr>
          <w:p w:rsidR="00F6102E" w:rsidRPr="00D723BB" w:rsidRDefault="00F6102E" w:rsidP="00F6102E">
            <w:pPr>
              <w:jc w:val="center"/>
              <w:rPr>
                <w:color w:val="000000"/>
                <w:sz w:val="20"/>
                <w:szCs w:val="20"/>
              </w:rPr>
            </w:pPr>
            <w:r>
              <w:rPr>
                <w:color w:val="000000"/>
                <w:sz w:val="20"/>
                <w:szCs w:val="20"/>
              </w:rPr>
              <w:t>32.93</w:t>
            </w:r>
          </w:p>
        </w:tc>
        <w:tc>
          <w:tcPr>
            <w:tcW w:w="1502" w:type="dxa"/>
            <w:tcBorders>
              <w:top w:val="nil"/>
              <w:left w:val="nil"/>
              <w:bottom w:val="single" w:sz="8" w:space="0" w:color="448A99"/>
              <w:right w:val="single" w:sz="8" w:space="0" w:color="448A99"/>
            </w:tcBorders>
            <w:shd w:val="clear" w:color="000000" w:fill="FFFFFF"/>
            <w:vAlign w:val="center"/>
          </w:tcPr>
          <w:p w:rsidR="00F6102E" w:rsidRPr="00D723BB" w:rsidRDefault="00F6102E" w:rsidP="00F6102E">
            <w:pPr>
              <w:jc w:val="center"/>
              <w:rPr>
                <w:color w:val="000000"/>
                <w:sz w:val="20"/>
                <w:szCs w:val="20"/>
              </w:rPr>
            </w:pPr>
            <w:r>
              <w:rPr>
                <w:color w:val="000000"/>
                <w:sz w:val="20"/>
                <w:szCs w:val="20"/>
              </w:rPr>
              <w:t>7.87</w:t>
            </w:r>
          </w:p>
        </w:tc>
        <w:tc>
          <w:tcPr>
            <w:tcW w:w="1501" w:type="dxa"/>
            <w:tcBorders>
              <w:top w:val="nil"/>
              <w:left w:val="nil"/>
              <w:bottom w:val="single" w:sz="8" w:space="0" w:color="448A99"/>
              <w:right w:val="single" w:sz="8" w:space="0" w:color="448A99"/>
            </w:tcBorders>
            <w:shd w:val="clear" w:color="000000" w:fill="FFFFFF"/>
            <w:vAlign w:val="center"/>
          </w:tcPr>
          <w:p w:rsidR="00F6102E" w:rsidRPr="00D723BB" w:rsidRDefault="00F6102E" w:rsidP="00F6102E">
            <w:pPr>
              <w:jc w:val="center"/>
              <w:rPr>
                <w:color w:val="000000"/>
                <w:sz w:val="20"/>
                <w:szCs w:val="20"/>
              </w:rPr>
            </w:pPr>
            <w:r>
              <w:rPr>
                <w:color w:val="000000"/>
                <w:sz w:val="20"/>
                <w:szCs w:val="20"/>
              </w:rPr>
              <w:t>1.44</w:t>
            </w:r>
          </w:p>
        </w:tc>
        <w:tc>
          <w:tcPr>
            <w:tcW w:w="1502" w:type="dxa"/>
            <w:tcBorders>
              <w:top w:val="nil"/>
              <w:left w:val="nil"/>
              <w:bottom w:val="single" w:sz="8" w:space="0" w:color="448A99"/>
              <w:right w:val="single" w:sz="8" w:space="0" w:color="448A99"/>
            </w:tcBorders>
            <w:shd w:val="clear" w:color="auto" w:fill="auto"/>
            <w:vAlign w:val="center"/>
          </w:tcPr>
          <w:p w:rsidR="00F6102E" w:rsidRPr="00D723BB" w:rsidRDefault="00F6102E" w:rsidP="00F6102E">
            <w:pPr>
              <w:jc w:val="center"/>
              <w:rPr>
                <w:color w:val="000000"/>
                <w:sz w:val="20"/>
                <w:szCs w:val="20"/>
              </w:rPr>
            </w:pPr>
            <w:r>
              <w:rPr>
                <w:color w:val="000000"/>
                <w:sz w:val="20"/>
                <w:szCs w:val="20"/>
              </w:rPr>
              <w:t>56.51</w:t>
            </w:r>
          </w:p>
        </w:tc>
      </w:tr>
      <w:tr w:rsidR="00A874AC" w:rsidRPr="00D723BB" w:rsidTr="00592FD5">
        <w:trPr>
          <w:trHeight w:val="288"/>
        </w:trPr>
        <w:tc>
          <w:tcPr>
            <w:tcW w:w="1843" w:type="dxa"/>
            <w:tcBorders>
              <w:top w:val="nil"/>
              <w:left w:val="single" w:sz="8" w:space="0" w:color="448A99"/>
              <w:bottom w:val="single" w:sz="8" w:space="0" w:color="448A99"/>
              <w:right w:val="nil"/>
            </w:tcBorders>
            <w:shd w:val="clear" w:color="000000" w:fill="D2EAF1"/>
            <w:vAlign w:val="center"/>
            <w:hideMark/>
          </w:tcPr>
          <w:p w:rsidR="00F6102E" w:rsidRPr="00D723BB" w:rsidRDefault="00F6102E" w:rsidP="00F6102E">
            <w:pPr>
              <w:rPr>
                <w:b/>
                <w:bCs/>
                <w:color w:val="000000"/>
                <w:sz w:val="20"/>
                <w:szCs w:val="20"/>
              </w:rPr>
            </w:pPr>
            <w:r w:rsidRPr="001C6824">
              <w:rPr>
                <w:b/>
                <w:bCs/>
                <w:color w:val="000000"/>
                <w:sz w:val="20"/>
                <w:szCs w:val="20"/>
              </w:rPr>
              <w:t>PY7</w:t>
            </w:r>
            <w:r>
              <w:rPr>
                <w:b/>
                <w:bCs/>
                <w:color w:val="000000"/>
                <w:sz w:val="20"/>
                <w:szCs w:val="20"/>
              </w:rPr>
              <w:t xml:space="preserve"> (Phase II Total)</w:t>
            </w:r>
          </w:p>
        </w:tc>
        <w:tc>
          <w:tcPr>
            <w:tcW w:w="1501" w:type="dxa"/>
            <w:tcBorders>
              <w:top w:val="nil"/>
              <w:left w:val="single" w:sz="8" w:space="0" w:color="448A99"/>
              <w:bottom w:val="single" w:sz="8" w:space="0" w:color="448A99"/>
              <w:right w:val="single" w:sz="8" w:space="0" w:color="448A99"/>
            </w:tcBorders>
            <w:shd w:val="clear" w:color="000000" w:fill="D2EAF1"/>
            <w:vAlign w:val="center"/>
          </w:tcPr>
          <w:p w:rsidR="00F6102E" w:rsidRPr="00D723BB" w:rsidRDefault="00F6102E" w:rsidP="00F6102E">
            <w:pPr>
              <w:jc w:val="center"/>
              <w:rPr>
                <w:color w:val="000000"/>
                <w:sz w:val="20"/>
                <w:szCs w:val="20"/>
              </w:rPr>
            </w:pPr>
            <w:r>
              <w:rPr>
                <w:color w:val="000000"/>
                <w:sz w:val="20"/>
                <w:szCs w:val="20"/>
              </w:rPr>
              <w:t>31.81</w:t>
            </w:r>
          </w:p>
        </w:tc>
        <w:tc>
          <w:tcPr>
            <w:tcW w:w="1501" w:type="dxa"/>
            <w:tcBorders>
              <w:top w:val="nil"/>
              <w:left w:val="nil"/>
              <w:bottom w:val="single" w:sz="8" w:space="0" w:color="448A99"/>
              <w:right w:val="single" w:sz="8" w:space="0" w:color="448A99"/>
            </w:tcBorders>
            <w:shd w:val="clear" w:color="000000" w:fill="D2EAF1"/>
            <w:vAlign w:val="center"/>
          </w:tcPr>
          <w:p w:rsidR="00F6102E" w:rsidRPr="00D723BB" w:rsidRDefault="00F6102E" w:rsidP="00F6102E">
            <w:pPr>
              <w:jc w:val="center"/>
              <w:rPr>
                <w:color w:val="000000"/>
                <w:sz w:val="20"/>
                <w:szCs w:val="20"/>
              </w:rPr>
            </w:pPr>
            <w:r>
              <w:rPr>
                <w:color w:val="000000"/>
                <w:sz w:val="20"/>
                <w:szCs w:val="20"/>
              </w:rPr>
              <w:t>55.63</w:t>
            </w:r>
          </w:p>
        </w:tc>
        <w:tc>
          <w:tcPr>
            <w:tcW w:w="1502" w:type="dxa"/>
            <w:tcBorders>
              <w:top w:val="nil"/>
              <w:left w:val="nil"/>
              <w:bottom w:val="single" w:sz="8" w:space="0" w:color="448A99"/>
              <w:right w:val="single" w:sz="8" w:space="0" w:color="448A99"/>
            </w:tcBorders>
            <w:shd w:val="clear" w:color="000000" w:fill="D2EAF1"/>
            <w:vAlign w:val="center"/>
          </w:tcPr>
          <w:p w:rsidR="00F6102E" w:rsidRPr="00D723BB" w:rsidRDefault="00F6102E" w:rsidP="00F6102E">
            <w:pPr>
              <w:jc w:val="center"/>
              <w:rPr>
                <w:color w:val="000000"/>
                <w:sz w:val="20"/>
                <w:szCs w:val="20"/>
              </w:rPr>
            </w:pPr>
            <w:r>
              <w:rPr>
                <w:color w:val="000000"/>
                <w:sz w:val="20"/>
                <w:szCs w:val="20"/>
              </w:rPr>
              <w:t>14.41</w:t>
            </w:r>
          </w:p>
        </w:tc>
        <w:tc>
          <w:tcPr>
            <w:tcW w:w="1501" w:type="dxa"/>
            <w:tcBorders>
              <w:top w:val="nil"/>
              <w:left w:val="nil"/>
              <w:bottom w:val="single" w:sz="8" w:space="0" w:color="448A99"/>
              <w:right w:val="single" w:sz="8" w:space="0" w:color="448A99"/>
            </w:tcBorders>
            <w:shd w:val="clear" w:color="000000" w:fill="D2EAF1"/>
            <w:vAlign w:val="center"/>
          </w:tcPr>
          <w:p w:rsidR="00F6102E" w:rsidRPr="00D723BB" w:rsidRDefault="00F6102E" w:rsidP="00F6102E">
            <w:pPr>
              <w:jc w:val="center"/>
              <w:rPr>
                <w:color w:val="000000"/>
                <w:sz w:val="20"/>
                <w:szCs w:val="20"/>
              </w:rPr>
            </w:pPr>
            <w:r>
              <w:rPr>
                <w:color w:val="000000"/>
                <w:sz w:val="20"/>
                <w:szCs w:val="20"/>
              </w:rPr>
              <w:t>4.41</w:t>
            </w:r>
          </w:p>
        </w:tc>
        <w:tc>
          <w:tcPr>
            <w:tcW w:w="1502" w:type="dxa"/>
            <w:tcBorders>
              <w:top w:val="nil"/>
              <w:left w:val="nil"/>
              <w:bottom w:val="single" w:sz="8" w:space="0" w:color="448A99"/>
              <w:right w:val="single" w:sz="8" w:space="0" w:color="448A99"/>
            </w:tcBorders>
            <w:shd w:val="clear" w:color="000000" w:fill="D2EAF1"/>
            <w:vAlign w:val="center"/>
          </w:tcPr>
          <w:p w:rsidR="00F6102E" w:rsidRPr="00D723BB" w:rsidRDefault="00F6102E" w:rsidP="0078313D">
            <w:pPr>
              <w:jc w:val="center"/>
              <w:rPr>
                <w:color w:val="000000"/>
                <w:sz w:val="20"/>
                <w:szCs w:val="20"/>
              </w:rPr>
            </w:pPr>
            <w:r>
              <w:rPr>
                <w:color w:val="000000"/>
                <w:sz w:val="20"/>
                <w:szCs w:val="20"/>
              </w:rPr>
              <w:t>106.2</w:t>
            </w:r>
            <w:r w:rsidR="0078313D">
              <w:rPr>
                <w:color w:val="000000"/>
                <w:sz w:val="20"/>
                <w:szCs w:val="20"/>
              </w:rPr>
              <w:t>7</w:t>
            </w:r>
          </w:p>
        </w:tc>
      </w:tr>
    </w:tbl>
    <w:p w:rsidR="00F13CD2" w:rsidRDefault="00F13CD2" w:rsidP="00F13CD2"/>
    <w:p w:rsidR="00F13CD2" w:rsidRDefault="00F13CD2"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DB244B" w:rsidRDefault="00DB244B" w:rsidP="00F13CD2"/>
    <w:p w:rsidR="00F13CD2" w:rsidRDefault="00F13CD2" w:rsidP="00F13CD2">
      <w:pPr>
        <w:pStyle w:val="Caption"/>
      </w:pPr>
      <w:bookmarkStart w:id="312" w:name="_Ref472350713"/>
      <w:bookmarkStart w:id="313" w:name="_Ref473708365"/>
      <w:bookmarkStart w:id="314" w:name="_Toc472472238"/>
      <w:bookmarkStart w:id="315" w:name="_Toc476914052"/>
      <w:r>
        <w:lastRenderedPageBreak/>
        <w:t xml:space="preserve">Figure </w:t>
      </w:r>
      <w:fldSimple w:instr=" STYLEREF 1 \s ">
        <w:r w:rsidR="00C301D0">
          <w:rPr>
            <w:noProof/>
          </w:rPr>
          <w:t>3</w:t>
        </w:r>
      </w:fldSimple>
      <w:r w:rsidR="00DA1ADA">
        <w:noBreakHyphen/>
      </w:r>
      <w:fldSimple w:instr=" SEQ Figure \* ARABIC \s 1 ">
        <w:r w:rsidR="00C301D0">
          <w:rPr>
            <w:noProof/>
          </w:rPr>
          <w:t>8</w:t>
        </w:r>
      </w:fldSimple>
      <w:bookmarkEnd w:id="312"/>
      <w:bookmarkEnd w:id="313"/>
      <w:r>
        <w:t xml:space="preserve">: </w:t>
      </w:r>
      <w:r w:rsidR="00871F8D">
        <w:t>PPL</w:t>
      </w:r>
      <w:r w:rsidRPr="008E4974">
        <w:t xml:space="preserve"> Phase II </w:t>
      </w:r>
      <w:r w:rsidR="000206F5">
        <w:t>Cumulative</w:t>
      </w:r>
      <w:r w:rsidRPr="008E4974">
        <w:t xml:space="preserve"> Demand Savings, by Sector</w:t>
      </w:r>
      <w:bookmarkEnd w:id="314"/>
      <w:bookmarkEnd w:id="315"/>
    </w:p>
    <w:p w:rsidR="00933BF5" w:rsidRDefault="00ED4EA3" w:rsidP="00933BF5">
      <w:pPr>
        <w:sectPr w:rsidR="00933BF5" w:rsidSect="00622F9F">
          <w:pgSz w:w="12240" w:h="15840"/>
          <w:pgMar w:top="1440" w:right="1440" w:bottom="1440" w:left="1440" w:header="720" w:footer="288" w:gutter="0"/>
          <w:pgNumType w:start="1"/>
          <w:cols w:space="720"/>
          <w:docGrid w:linePitch="360"/>
        </w:sectPr>
      </w:pPr>
      <w:r>
        <w:rPr>
          <w:noProof/>
        </w:rPr>
        <w:drawing>
          <wp:inline distT="0" distB="0" distL="0" distR="0" wp14:anchorId="00D5C571" wp14:editId="24042165">
            <wp:extent cx="5953639" cy="34747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9635" cy="3484056"/>
                    </a:xfrm>
                    <a:prstGeom prst="rect">
                      <a:avLst/>
                    </a:prstGeom>
                    <a:noFill/>
                  </pic:spPr>
                </pic:pic>
              </a:graphicData>
            </a:graphic>
          </wp:inline>
        </w:drawing>
      </w:r>
    </w:p>
    <w:p w:rsidR="00D40FF6" w:rsidRPr="00530F17" w:rsidRDefault="00D40FF6" w:rsidP="00472B27">
      <w:pPr>
        <w:pStyle w:val="Heading1"/>
      </w:pPr>
      <w:bookmarkStart w:id="316" w:name="_Ref472258127"/>
      <w:bookmarkStart w:id="317" w:name="_Toc472472113"/>
      <w:bookmarkStart w:id="318" w:name="_Toc476913925"/>
      <w:r>
        <w:lastRenderedPageBreak/>
        <w:t>Act 129 Benefits and Costs</w:t>
      </w:r>
      <w:bookmarkEnd w:id="316"/>
      <w:bookmarkEnd w:id="317"/>
      <w:bookmarkEnd w:id="318"/>
    </w:p>
    <w:p w:rsidR="00D57D34" w:rsidRPr="00D57D34" w:rsidRDefault="00F95DF6" w:rsidP="00D57D34">
      <w:r w:rsidRPr="00D57D34">
        <w:t>Act</w:t>
      </w:r>
      <w:r w:rsidR="00D57D34" w:rsidRPr="00D57D34">
        <w:t xml:space="preserve"> 129 directs the Commission to use a Total Resource Cost (TRC) test to analyze costs and benefits of the energy efficiency and conservation (EE&amp;C) p</w:t>
      </w:r>
      <w:r w:rsidR="00F5410E">
        <w:t>l</w:t>
      </w:r>
      <w:r w:rsidR="00D57D34" w:rsidRPr="00D57D34">
        <w:t>ans</w:t>
      </w:r>
      <w:r w:rsidR="00F5410E">
        <w:t>.</w:t>
      </w:r>
      <w:r w:rsidR="00D57D34" w:rsidRPr="00D57D34">
        <w:t xml:space="preserve">  Act 129 defines the TRC test </w:t>
      </w:r>
      <w:r w:rsidR="00121C81">
        <w:t>as</w:t>
      </w:r>
      <w:r w:rsidR="00D57D34" w:rsidRPr="00D57D34">
        <w:t xml:space="preserve"> “a standard test that is met if, over the effective life of each plan not to exceed 15 years, the net present value of the avoided monetary cost of supplying electricity is greater than the net present value of the monetary cost of energy efficiency measures.”</w:t>
      </w:r>
      <w:r w:rsidR="00D57D34" w:rsidRPr="00D57D34">
        <w:rPr>
          <w:vertAlign w:val="superscript"/>
        </w:rPr>
        <w:footnoteReference w:id="20"/>
      </w:r>
      <w:r w:rsidR="00D57D34" w:rsidRPr="00D57D34">
        <w:t xml:space="preserve">  The Commission entered its initial TRC Test Order for </w:t>
      </w:r>
      <w:r>
        <w:t xml:space="preserve">Phase I of </w:t>
      </w:r>
      <w:r w:rsidR="00D57D34" w:rsidRPr="00D57D34">
        <w:t>Act 129 on June 23, 2009, adapting the California TRC model</w:t>
      </w:r>
      <w:r w:rsidR="00D57D34" w:rsidRPr="00D57D34">
        <w:rPr>
          <w:vertAlign w:val="superscript"/>
        </w:rPr>
        <w:footnoteReference w:id="21"/>
      </w:r>
      <w:r w:rsidR="00D57D34" w:rsidRPr="00D57D34">
        <w:t xml:space="preserve"> for use in evaluating the costs and benefits of the EE&amp;C </w:t>
      </w:r>
      <w:r w:rsidR="00121C81">
        <w:t>p</w:t>
      </w:r>
      <w:r w:rsidR="00D57D34" w:rsidRPr="00D57D34">
        <w:t xml:space="preserve">lan.  Subsequent revisions to the TRC Test </w:t>
      </w:r>
      <w:r w:rsidR="00121C81">
        <w:t>O</w:t>
      </w:r>
      <w:r w:rsidR="00D57D34" w:rsidRPr="00D57D34">
        <w:t>rder have serve</w:t>
      </w:r>
      <w:r w:rsidR="00121C81">
        <w:t>d</w:t>
      </w:r>
      <w:r w:rsidR="00D57D34" w:rsidRPr="00D57D34">
        <w:t xml:space="preserve"> to address TRC clarifications or refinements regarding demand response program, fuel-switching, use of NTG</w:t>
      </w:r>
      <w:r w:rsidR="00121C81">
        <w:t>Rs</w:t>
      </w:r>
      <w:r w:rsidR="00D57D34" w:rsidRPr="00D57D34">
        <w:t>, general TRC calculations</w:t>
      </w:r>
      <w:r w:rsidR="00121C81">
        <w:t>,</w:t>
      </w:r>
      <w:r w:rsidR="00D57D34" w:rsidRPr="00D57D34">
        <w:t xml:space="preserve"> and other important issues.  In August 2012, the Commission adopted the 2013 TRC Test Order for Phase II of Act 129.</w:t>
      </w:r>
      <w:r w:rsidR="00D57D34" w:rsidRPr="00D57D34">
        <w:rPr>
          <w:vertAlign w:val="superscript"/>
        </w:rPr>
        <w:footnoteReference w:id="22"/>
      </w:r>
    </w:p>
    <w:p w:rsidR="005A7834" w:rsidRDefault="005A7834" w:rsidP="005A7834"/>
    <w:p w:rsidR="00D57D34" w:rsidRDefault="00D57D34" w:rsidP="00D57D34">
      <w:r w:rsidRPr="00D57D34">
        <w:t>A complete overview</w:t>
      </w:r>
      <w:r w:rsidR="00790DA9">
        <w:t xml:space="preserve"> of</w:t>
      </w:r>
      <w:r w:rsidRPr="00D57D34">
        <w:t xml:space="preserve"> the TRC </w:t>
      </w:r>
      <w:r w:rsidR="00121C81">
        <w:t>t</w:t>
      </w:r>
      <w:r w:rsidRPr="00D57D34">
        <w:t>est formulae, benefits, and costs can be found in the 2013 TRC Test Order for Phase II.</w:t>
      </w:r>
    </w:p>
    <w:p w:rsidR="00D57D34" w:rsidRDefault="00D57D34" w:rsidP="00D57D34"/>
    <w:p w:rsidR="00D57D34" w:rsidRPr="00D57D34" w:rsidRDefault="00D57D34" w:rsidP="00D57D34">
      <w:pPr>
        <w:pStyle w:val="Heading2"/>
      </w:pPr>
      <w:bookmarkStart w:id="319" w:name="_Toc472472114"/>
      <w:bookmarkStart w:id="320" w:name="_Toc476913926"/>
      <w:r>
        <w:t>Phase II TRC Test Results</w:t>
      </w:r>
      <w:bookmarkEnd w:id="319"/>
      <w:bookmarkEnd w:id="320"/>
    </w:p>
    <w:p w:rsidR="00D40FF6" w:rsidRDefault="00F25E7A" w:rsidP="00D40FF6">
      <w:pPr>
        <w:pStyle w:val="Heading3"/>
      </w:pPr>
      <w:bookmarkStart w:id="321" w:name="_Toc472472115"/>
      <w:bookmarkStart w:id="322" w:name="_Toc476913927"/>
      <w:r>
        <w:t>TRC Test Results by Program Year</w:t>
      </w:r>
      <w:bookmarkEnd w:id="321"/>
      <w:bookmarkEnd w:id="322"/>
    </w:p>
    <w:p w:rsidR="00F51C86" w:rsidRDefault="00F25E7A" w:rsidP="00F51C86">
      <w:r>
        <w:fldChar w:fldCharType="begin"/>
      </w:r>
      <w:r>
        <w:instrText xml:space="preserve"> REF _Ref472459350 \h </w:instrText>
      </w:r>
      <w:r>
        <w:fldChar w:fldCharType="separate"/>
      </w:r>
      <w:r w:rsidR="00C301D0">
        <w:t xml:space="preserve">Table </w:t>
      </w:r>
      <w:r w:rsidR="00C301D0">
        <w:rPr>
          <w:noProof/>
        </w:rPr>
        <w:t>4</w:t>
      </w:r>
      <w:r w:rsidR="00C301D0">
        <w:noBreakHyphen/>
      </w:r>
      <w:r w:rsidR="00C301D0">
        <w:rPr>
          <w:noProof/>
        </w:rPr>
        <w:t>1</w:t>
      </w:r>
      <w:r>
        <w:fldChar w:fldCharType="end"/>
      </w:r>
      <w:r>
        <w:t xml:space="preserve"> details the TRC test NPV benefits, costs, and </w:t>
      </w:r>
      <w:r w:rsidR="00121C81">
        <w:t>B/C</w:t>
      </w:r>
      <w:r>
        <w:t xml:space="preserve"> ratio for each EDC’s portfolio of programs by program year, based on each EDCs PY5</w:t>
      </w:r>
      <w:r w:rsidR="00121C81">
        <w:t>–</w:t>
      </w:r>
      <w:r>
        <w:t>PY7 annual reports.</w:t>
      </w:r>
    </w:p>
    <w:p w:rsidR="00F25E7A" w:rsidRDefault="00F25E7A" w:rsidP="00F51C86"/>
    <w:p w:rsidR="00477B3C" w:rsidRDefault="00F25E7A" w:rsidP="00F25E7A">
      <w:r>
        <w:t>With the exception of one program year</w:t>
      </w:r>
      <w:r w:rsidR="00121C81">
        <w:t xml:space="preserve"> for Penn Power</w:t>
      </w:r>
      <w:r>
        <w:t>, all EDC portfolios were cost-effective in each year of Phase II. Although there was some variation</w:t>
      </w:r>
      <w:r w:rsidR="00F95DF6">
        <w:t xml:space="preserve"> of the level of the TRC ratio</w:t>
      </w:r>
      <w:r>
        <w:t xml:space="preserve"> </w:t>
      </w:r>
      <w:r w:rsidR="000E2058">
        <w:t>among</w:t>
      </w:r>
      <w:r>
        <w:t xml:space="preserve"> program year</w:t>
      </w:r>
      <w:r w:rsidR="000E2058">
        <w:t>s</w:t>
      </w:r>
      <w:r>
        <w:t xml:space="preserve"> within each EDC, the cost-effectiveness of statewide energy efficiency programs remained fairly stable, with a</w:t>
      </w:r>
      <w:r w:rsidR="00B20FCE">
        <w:t xml:space="preserve"> B/C</w:t>
      </w:r>
      <w:r>
        <w:t xml:space="preserve"> ratio between 1.6 and 1.7.  While the TRC ratios remained stable, benefits and costs increased each year of Phase II, signifying increased program activity over the course of Phase II.</w:t>
      </w:r>
    </w:p>
    <w:p w:rsidR="000C3F18" w:rsidRDefault="000C3F18" w:rsidP="00F25E7A">
      <w:pPr>
        <w:sectPr w:rsidR="000C3F18" w:rsidSect="00E45861">
          <w:pgSz w:w="12240" w:h="15840"/>
          <w:pgMar w:top="1440" w:right="1440" w:bottom="1440" w:left="1440" w:header="720" w:footer="432" w:gutter="0"/>
          <w:cols w:space="720"/>
          <w:docGrid w:linePitch="360"/>
        </w:sectPr>
      </w:pPr>
    </w:p>
    <w:p w:rsidR="00F25E7A" w:rsidRDefault="00F25E7A" w:rsidP="00F25E7A">
      <w:pPr>
        <w:pStyle w:val="Caption"/>
      </w:pPr>
      <w:bookmarkStart w:id="323" w:name="_Ref472459350"/>
      <w:bookmarkStart w:id="324" w:name="_Toc472472185"/>
      <w:bookmarkStart w:id="325" w:name="_Toc476913998"/>
      <w:r>
        <w:lastRenderedPageBreak/>
        <w:t xml:space="preserve">Table </w:t>
      </w:r>
      <w:fldSimple w:instr=" STYLEREF 1 \s ">
        <w:r w:rsidR="00C301D0">
          <w:rPr>
            <w:noProof/>
          </w:rPr>
          <w:t>4</w:t>
        </w:r>
      </w:fldSimple>
      <w:r w:rsidR="00E6042C">
        <w:noBreakHyphen/>
      </w:r>
      <w:fldSimple w:instr=" SEQ Table \* ARABIC \s 1 ">
        <w:r w:rsidR="00C301D0">
          <w:rPr>
            <w:noProof/>
          </w:rPr>
          <w:t>1</w:t>
        </w:r>
      </w:fldSimple>
      <w:bookmarkEnd w:id="323"/>
      <w:r>
        <w:t>: Phase II Verified Gross TRC</w:t>
      </w:r>
      <w:r w:rsidR="00B20FCE">
        <w:t xml:space="preserve"> Benefits, Costs, and</w:t>
      </w:r>
      <w:r>
        <w:t xml:space="preserve"> Ratios by Program Year and EDC</w:t>
      </w:r>
      <w:bookmarkEnd w:id="324"/>
      <w:bookmarkEnd w:id="325"/>
    </w:p>
    <w:tbl>
      <w:tblPr>
        <w:tblW w:w="4918"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94"/>
        <w:gridCol w:w="1249"/>
        <w:gridCol w:w="1250"/>
        <w:gridCol w:w="1133"/>
        <w:gridCol w:w="1194"/>
        <w:gridCol w:w="1250"/>
        <w:gridCol w:w="1157"/>
        <w:gridCol w:w="1548"/>
        <w:gridCol w:w="1370"/>
        <w:gridCol w:w="1083"/>
      </w:tblGrid>
      <w:tr w:rsidR="00A874AC" w:rsidRPr="00477B3C" w:rsidTr="00592FD5">
        <w:trPr>
          <w:cantSplit/>
          <w:trHeight w:val="141"/>
          <w:tblHeader/>
        </w:trPr>
        <w:tc>
          <w:tcPr>
            <w:tcW w:w="1522" w:type="dxa"/>
            <w:vMerge w:val="restart"/>
            <w:tcBorders>
              <w:right w:val="nil"/>
            </w:tcBorders>
            <w:shd w:val="clear" w:color="auto" w:fill="448A99"/>
            <w:vAlign w:val="bottom"/>
          </w:tcPr>
          <w:p w:rsidR="00477B3C" w:rsidRPr="00477B3C" w:rsidRDefault="00477B3C" w:rsidP="00380FF9">
            <w:pPr>
              <w:jc w:val="left"/>
              <w:rPr>
                <w:b/>
                <w:color w:val="FFFFFF"/>
                <w:sz w:val="20"/>
                <w:szCs w:val="20"/>
              </w:rPr>
            </w:pPr>
            <w:r w:rsidRPr="00477B3C">
              <w:rPr>
                <w:b/>
                <w:color w:val="FFFFFF"/>
                <w:sz w:val="20"/>
                <w:szCs w:val="20"/>
              </w:rPr>
              <w:t>EDC</w:t>
            </w:r>
          </w:p>
        </w:tc>
        <w:tc>
          <w:tcPr>
            <w:tcW w:w="3698" w:type="dxa"/>
            <w:gridSpan w:val="3"/>
            <w:tcBorders>
              <w:top w:val="nil"/>
              <w:left w:val="nil"/>
              <w:bottom w:val="single" w:sz="8" w:space="0" w:color="448A99"/>
              <w:right w:val="nil"/>
            </w:tcBorders>
            <w:shd w:val="clear" w:color="auto" w:fill="9C9393"/>
          </w:tcPr>
          <w:p w:rsidR="00477B3C" w:rsidRPr="00477B3C" w:rsidRDefault="00477B3C" w:rsidP="00380FF9">
            <w:pPr>
              <w:jc w:val="center"/>
              <w:rPr>
                <w:b/>
                <w:color w:val="FFFFFF"/>
                <w:sz w:val="20"/>
                <w:szCs w:val="20"/>
              </w:rPr>
            </w:pPr>
            <w:r w:rsidRPr="00477B3C">
              <w:rPr>
                <w:b/>
                <w:color w:val="FFFFFF"/>
                <w:sz w:val="20"/>
                <w:szCs w:val="20"/>
              </w:rPr>
              <w:t>PY5</w:t>
            </w:r>
          </w:p>
        </w:tc>
        <w:tc>
          <w:tcPr>
            <w:tcW w:w="3666" w:type="dxa"/>
            <w:gridSpan w:val="3"/>
            <w:tcBorders>
              <w:left w:val="nil"/>
            </w:tcBorders>
            <w:shd w:val="clear" w:color="auto" w:fill="448A99"/>
          </w:tcPr>
          <w:p w:rsidR="00477B3C" w:rsidRPr="00477B3C" w:rsidRDefault="00477B3C" w:rsidP="00380FF9">
            <w:pPr>
              <w:jc w:val="center"/>
              <w:rPr>
                <w:b/>
                <w:color w:val="FFFFFF"/>
                <w:sz w:val="20"/>
                <w:szCs w:val="20"/>
              </w:rPr>
            </w:pPr>
            <w:r w:rsidRPr="00477B3C">
              <w:rPr>
                <w:b/>
                <w:color w:val="FFFFFF"/>
                <w:sz w:val="20"/>
                <w:szCs w:val="20"/>
              </w:rPr>
              <w:t>PY6</w:t>
            </w:r>
          </w:p>
        </w:tc>
        <w:tc>
          <w:tcPr>
            <w:tcW w:w="4074" w:type="dxa"/>
            <w:gridSpan w:val="3"/>
            <w:shd w:val="clear" w:color="auto" w:fill="9C9393"/>
          </w:tcPr>
          <w:p w:rsidR="00477B3C" w:rsidRPr="00477B3C" w:rsidRDefault="00477B3C" w:rsidP="00380FF9">
            <w:pPr>
              <w:jc w:val="center"/>
              <w:rPr>
                <w:b/>
                <w:color w:val="FFFFFF"/>
                <w:sz w:val="20"/>
                <w:szCs w:val="20"/>
              </w:rPr>
            </w:pPr>
            <w:r w:rsidRPr="00477B3C">
              <w:rPr>
                <w:b/>
                <w:color w:val="FFFFFF"/>
                <w:sz w:val="20"/>
                <w:szCs w:val="20"/>
              </w:rPr>
              <w:t>PY7</w:t>
            </w:r>
          </w:p>
        </w:tc>
      </w:tr>
      <w:tr w:rsidR="00A874AC" w:rsidRPr="00477B3C" w:rsidTr="00592FD5">
        <w:trPr>
          <w:trHeight w:val="141"/>
        </w:trPr>
        <w:tc>
          <w:tcPr>
            <w:tcW w:w="1522" w:type="dxa"/>
            <w:vMerge/>
            <w:tcBorders>
              <w:right w:val="nil"/>
            </w:tcBorders>
            <w:shd w:val="clear" w:color="auto" w:fill="448A99"/>
          </w:tcPr>
          <w:p w:rsidR="00477B3C" w:rsidRPr="00477B3C" w:rsidRDefault="00477B3C" w:rsidP="0030404E">
            <w:pPr>
              <w:jc w:val="center"/>
              <w:rPr>
                <w:b/>
                <w:color w:val="FFFFFF" w:themeColor="background1"/>
                <w:sz w:val="20"/>
                <w:szCs w:val="20"/>
              </w:rPr>
            </w:pPr>
          </w:p>
        </w:tc>
        <w:tc>
          <w:tcPr>
            <w:tcW w:w="1272" w:type="dxa"/>
            <w:tcBorders>
              <w:top w:val="single" w:sz="8" w:space="0" w:color="448A99"/>
              <w:left w:val="nil"/>
              <w:right w:val="nil"/>
            </w:tcBorders>
            <w:shd w:val="clear" w:color="auto" w:fill="9C9393"/>
            <w:vAlign w:val="bottom"/>
          </w:tcPr>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TRC Benefits</w:t>
            </w:r>
          </w:p>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($1000)</w:t>
            </w:r>
          </w:p>
        </w:tc>
        <w:tc>
          <w:tcPr>
            <w:tcW w:w="1273" w:type="dxa"/>
            <w:tcBorders>
              <w:top w:val="single" w:sz="8" w:space="0" w:color="448A99"/>
              <w:left w:val="nil"/>
              <w:right w:val="nil"/>
            </w:tcBorders>
            <w:shd w:val="clear" w:color="auto" w:fill="9C9393"/>
            <w:vAlign w:val="bottom"/>
          </w:tcPr>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TRC Costs</w:t>
            </w:r>
          </w:p>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($1000)</w:t>
            </w:r>
          </w:p>
        </w:tc>
        <w:tc>
          <w:tcPr>
            <w:tcW w:w="1153" w:type="dxa"/>
            <w:tcBorders>
              <w:top w:val="single" w:sz="8" w:space="0" w:color="448A99"/>
              <w:left w:val="nil"/>
              <w:right w:val="nil"/>
            </w:tcBorders>
            <w:shd w:val="clear" w:color="auto" w:fill="9C9393"/>
            <w:vAlign w:val="bottom"/>
          </w:tcPr>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TRC Ratio</w:t>
            </w:r>
          </w:p>
        </w:tc>
        <w:tc>
          <w:tcPr>
            <w:tcW w:w="1215" w:type="dxa"/>
            <w:tcBorders>
              <w:left w:val="nil"/>
            </w:tcBorders>
            <w:shd w:val="clear" w:color="auto" w:fill="448A99"/>
            <w:vAlign w:val="bottom"/>
          </w:tcPr>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TRC Benefits</w:t>
            </w:r>
          </w:p>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($1000)</w:t>
            </w:r>
          </w:p>
        </w:tc>
        <w:tc>
          <w:tcPr>
            <w:tcW w:w="1273" w:type="dxa"/>
            <w:shd w:val="clear" w:color="auto" w:fill="448A99"/>
            <w:vAlign w:val="bottom"/>
          </w:tcPr>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TRC Costs</w:t>
            </w:r>
          </w:p>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($1000)</w:t>
            </w:r>
          </w:p>
        </w:tc>
        <w:tc>
          <w:tcPr>
            <w:tcW w:w="1178" w:type="dxa"/>
            <w:shd w:val="clear" w:color="auto" w:fill="448A99"/>
            <w:vAlign w:val="bottom"/>
          </w:tcPr>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TRC Ratio</w:t>
            </w:r>
          </w:p>
        </w:tc>
        <w:tc>
          <w:tcPr>
            <w:tcW w:w="1577" w:type="dxa"/>
            <w:tcBorders>
              <w:right w:val="nil"/>
            </w:tcBorders>
            <w:shd w:val="clear" w:color="auto" w:fill="9C9393"/>
            <w:vAlign w:val="bottom"/>
          </w:tcPr>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TRC Benefits</w:t>
            </w:r>
          </w:p>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($1000)</w:t>
            </w:r>
          </w:p>
        </w:tc>
        <w:tc>
          <w:tcPr>
            <w:tcW w:w="1395" w:type="dxa"/>
            <w:tcBorders>
              <w:left w:val="nil"/>
              <w:right w:val="nil"/>
            </w:tcBorders>
            <w:shd w:val="clear" w:color="auto" w:fill="9C9393"/>
            <w:vAlign w:val="bottom"/>
          </w:tcPr>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TRC Costs</w:t>
            </w:r>
          </w:p>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($1000)</w:t>
            </w:r>
          </w:p>
        </w:tc>
        <w:tc>
          <w:tcPr>
            <w:tcW w:w="1102" w:type="dxa"/>
            <w:tcBorders>
              <w:left w:val="nil"/>
            </w:tcBorders>
            <w:shd w:val="clear" w:color="auto" w:fill="9C9393"/>
            <w:vAlign w:val="bottom"/>
          </w:tcPr>
          <w:p w:rsidR="00477B3C" w:rsidRPr="00477B3C" w:rsidRDefault="00477B3C" w:rsidP="00477B3C">
            <w:pPr>
              <w:autoSpaceDE w:val="0"/>
              <w:autoSpaceDN w:val="0"/>
              <w:adjustRightInd w:val="0"/>
              <w:contextualSpacing/>
              <w:jc w:val="center"/>
              <w:rPr>
                <w:b/>
                <w:color w:val="FFFFFF" w:themeColor="background1"/>
                <w:sz w:val="20"/>
                <w:szCs w:val="20"/>
              </w:rPr>
            </w:pPr>
            <w:r w:rsidRPr="00477B3C">
              <w:rPr>
                <w:b/>
                <w:color w:val="FFFFFF" w:themeColor="background1"/>
                <w:sz w:val="20"/>
                <w:szCs w:val="20"/>
              </w:rPr>
              <w:t>TRC Ratio</w:t>
            </w:r>
          </w:p>
        </w:tc>
      </w:tr>
      <w:tr w:rsidR="00A874AC" w:rsidRPr="00477B3C" w:rsidTr="00592FD5">
        <w:trPr>
          <w:trHeight w:val="648"/>
        </w:trPr>
        <w:tc>
          <w:tcPr>
            <w:tcW w:w="1522" w:type="dxa"/>
            <w:shd w:val="clear" w:color="auto" w:fill="D2EAF1"/>
          </w:tcPr>
          <w:p w:rsidR="00EF4777" w:rsidRPr="00477B3C" w:rsidRDefault="00EF4777" w:rsidP="00EF4777">
            <w:pPr>
              <w:jc w:val="left"/>
              <w:rPr>
                <w:sz w:val="20"/>
                <w:szCs w:val="20"/>
              </w:rPr>
            </w:pPr>
            <w:r w:rsidRPr="00477B3C">
              <w:rPr>
                <w:sz w:val="20"/>
                <w:szCs w:val="20"/>
              </w:rPr>
              <w:t>Duquesne</w:t>
            </w:r>
          </w:p>
        </w:tc>
        <w:tc>
          <w:tcPr>
            <w:tcW w:w="1272"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$49,664</w:t>
            </w:r>
          </w:p>
        </w:tc>
        <w:tc>
          <w:tcPr>
            <w:tcW w:w="1273"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$20,161</w:t>
            </w:r>
          </w:p>
        </w:tc>
        <w:tc>
          <w:tcPr>
            <w:tcW w:w="1153"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2.5</w:t>
            </w:r>
          </w:p>
        </w:tc>
        <w:tc>
          <w:tcPr>
            <w:tcW w:w="1215"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$69,452</w:t>
            </w:r>
          </w:p>
        </w:tc>
        <w:tc>
          <w:tcPr>
            <w:tcW w:w="1273"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$40,373</w:t>
            </w:r>
          </w:p>
        </w:tc>
        <w:tc>
          <w:tcPr>
            <w:tcW w:w="1178"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1.7</w:t>
            </w:r>
          </w:p>
        </w:tc>
        <w:tc>
          <w:tcPr>
            <w:tcW w:w="1577" w:type="dxa"/>
            <w:shd w:val="clear" w:color="auto" w:fill="D2EAF1"/>
          </w:tcPr>
          <w:p w:rsidR="00EF4777" w:rsidRPr="00477B3C" w:rsidRDefault="00C0035C" w:rsidP="00EF4777">
            <w:pPr>
              <w:jc w:val="center"/>
              <w:rPr>
                <w:rFonts w:asciiTheme="minorHAnsi" w:hAnsiTheme="minorHAnsi"/>
                <w:sz w:val="20"/>
                <w:szCs w:val="20"/>
              </w:rPr>
            </w:pPr>
            <w:r>
              <w:rPr>
                <w:rFonts w:asciiTheme="minorHAnsi" w:hAnsiTheme="minorHAnsi"/>
                <w:sz w:val="20"/>
                <w:szCs w:val="20"/>
              </w:rPr>
              <w:t>$87,660</w:t>
            </w:r>
          </w:p>
        </w:tc>
        <w:tc>
          <w:tcPr>
            <w:tcW w:w="1395"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$40,464</w:t>
            </w:r>
          </w:p>
        </w:tc>
        <w:tc>
          <w:tcPr>
            <w:tcW w:w="1102"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2.2</w:t>
            </w:r>
          </w:p>
        </w:tc>
      </w:tr>
      <w:tr w:rsidR="00EF4777" w:rsidRPr="00477B3C" w:rsidTr="00592FD5">
        <w:trPr>
          <w:trHeight w:val="648"/>
        </w:trPr>
        <w:tc>
          <w:tcPr>
            <w:tcW w:w="1522" w:type="dxa"/>
          </w:tcPr>
          <w:p w:rsidR="00EF4777" w:rsidRPr="00477B3C" w:rsidRDefault="00EF4777" w:rsidP="00EF4777">
            <w:pPr>
              <w:jc w:val="left"/>
              <w:rPr>
                <w:sz w:val="20"/>
                <w:szCs w:val="20"/>
              </w:rPr>
            </w:pPr>
            <w:r w:rsidRPr="00477B3C">
              <w:rPr>
                <w:sz w:val="20"/>
                <w:szCs w:val="20"/>
              </w:rPr>
              <w:t>Met-Ed</w:t>
            </w:r>
          </w:p>
        </w:tc>
        <w:tc>
          <w:tcPr>
            <w:tcW w:w="1272"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$55,851</w:t>
            </w:r>
          </w:p>
        </w:tc>
        <w:tc>
          <w:tcPr>
            <w:tcW w:w="1273"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$28,990</w:t>
            </w:r>
          </w:p>
        </w:tc>
        <w:tc>
          <w:tcPr>
            <w:tcW w:w="1153"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1.9</w:t>
            </w:r>
          </w:p>
        </w:tc>
        <w:tc>
          <w:tcPr>
            <w:tcW w:w="1215"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$48,185</w:t>
            </w:r>
          </w:p>
        </w:tc>
        <w:tc>
          <w:tcPr>
            <w:tcW w:w="1273"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$36,704</w:t>
            </w:r>
          </w:p>
        </w:tc>
        <w:tc>
          <w:tcPr>
            <w:tcW w:w="1178"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1.3</w:t>
            </w:r>
          </w:p>
        </w:tc>
        <w:tc>
          <w:tcPr>
            <w:tcW w:w="1577"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$74,561</w:t>
            </w:r>
          </w:p>
        </w:tc>
        <w:tc>
          <w:tcPr>
            <w:tcW w:w="1395"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$49,833</w:t>
            </w:r>
          </w:p>
        </w:tc>
        <w:tc>
          <w:tcPr>
            <w:tcW w:w="1102"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1.5</w:t>
            </w:r>
          </w:p>
        </w:tc>
      </w:tr>
      <w:tr w:rsidR="00A874AC" w:rsidRPr="00477B3C" w:rsidTr="00592FD5">
        <w:trPr>
          <w:trHeight w:val="648"/>
        </w:trPr>
        <w:tc>
          <w:tcPr>
            <w:tcW w:w="1522" w:type="dxa"/>
            <w:shd w:val="clear" w:color="auto" w:fill="D2EAF1"/>
          </w:tcPr>
          <w:p w:rsidR="00EF4777" w:rsidRPr="00477B3C" w:rsidRDefault="00EF4777" w:rsidP="00EF4777">
            <w:pPr>
              <w:jc w:val="left"/>
              <w:rPr>
                <w:sz w:val="20"/>
                <w:szCs w:val="20"/>
              </w:rPr>
            </w:pPr>
            <w:r w:rsidRPr="00477B3C">
              <w:rPr>
                <w:sz w:val="20"/>
                <w:szCs w:val="20"/>
              </w:rPr>
              <w:t>Penelec</w:t>
            </w:r>
          </w:p>
        </w:tc>
        <w:tc>
          <w:tcPr>
            <w:tcW w:w="1272"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$41,315</w:t>
            </w:r>
          </w:p>
        </w:tc>
        <w:tc>
          <w:tcPr>
            <w:tcW w:w="1273"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$27,733</w:t>
            </w:r>
          </w:p>
        </w:tc>
        <w:tc>
          <w:tcPr>
            <w:tcW w:w="1153"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1.5</w:t>
            </w:r>
          </w:p>
        </w:tc>
        <w:tc>
          <w:tcPr>
            <w:tcW w:w="1215"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$57,420</w:t>
            </w:r>
          </w:p>
        </w:tc>
        <w:tc>
          <w:tcPr>
            <w:tcW w:w="1273"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$27,794</w:t>
            </w:r>
          </w:p>
        </w:tc>
        <w:tc>
          <w:tcPr>
            <w:tcW w:w="1178"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2.1</w:t>
            </w:r>
          </w:p>
        </w:tc>
        <w:tc>
          <w:tcPr>
            <w:tcW w:w="1577"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$78,244</w:t>
            </w:r>
          </w:p>
        </w:tc>
        <w:tc>
          <w:tcPr>
            <w:tcW w:w="1395"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$49,953</w:t>
            </w:r>
          </w:p>
        </w:tc>
        <w:tc>
          <w:tcPr>
            <w:tcW w:w="1102"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1.6</w:t>
            </w:r>
          </w:p>
        </w:tc>
      </w:tr>
      <w:tr w:rsidR="00EF4777" w:rsidRPr="00477B3C" w:rsidTr="00592FD5">
        <w:trPr>
          <w:trHeight w:val="648"/>
        </w:trPr>
        <w:tc>
          <w:tcPr>
            <w:tcW w:w="1522" w:type="dxa"/>
          </w:tcPr>
          <w:p w:rsidR="00EF4777" w:rsidRPr="00477B3C" w:rsidRDefault="00EF4777" w:rsidP="00EF4777">
            <w:pPr>
              <w:jc w:val="left"/>
              <w:rPr>
                <w:sz w:val="20"/>
                <w:szCs w:val="20"/>
              </w:rPr>
            </w:pPr>
            <w:r w:rsidRPr="00477B3C">
              <w:rPr>
                <w:sz w:val="20"/>
                <w:szCs w:val="20"/>
              </w:rPr>
              <w:t>Penn Power</w:t>
            </w:r>
          </w:p>
        </w:tc>
        <w:tc>
          <w:tcPr>
            <w:tcW w:w="1272"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$12,908</w:t>
            </w:r>
          </w:p>
        </w:tc>
        <w:tc>
          <w:tcPr>
            <w:tcW w:w="1273"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$11,861</w:t>
            </w:r>
          </w:p>
        </w:tc>
        <w:tc>
          <w:tcPr>
            <w:tcW w:w="1153"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1.1</w:t>
            </w:r>
          </w:p>
        </w:tc>
        <w:tc>
          <w:tcPr>
            <w:tcW w:w="1215"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$23,075</w:t>
            </w:r>
          </w:p>
        </w:tc>
        <w:tc>
          <w:tcPr>
            <w:tcW w:w="1273"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$17,936</w:t>
            </w:r>
          </w:p>
        </w:tc>
        <w:tc>
          <w:tcPr>
            <w:tcW w:w="1178"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1.3</w:t>
            </w:r>
          </w:p>
        </w:tc>
        <w:tc>
          <w:tcPr>
            <w:tcW w:w="1577"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$10,390</w:t>
            </w:r>
          </w:p>
        </w:tc>
        <w:tc>
          <w:tcPr>
            <w:tcW w:w="1395"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$11,684</w:t>
            </w:r>
          </w:p>
        </w:tc>
        <w:tc>
          <w:tcPr>
            <w:tcW w:w="1102" w:type="dxa"/>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0.9</w:t>
            </w:r>
          </w:p>
        </w:tc>
      </w:tr>
      <w:tr w:rsidR="00A874AC" w:rsidRPr="00477B3C" w:rsidTr="00592FD5">
        <w:trPr>
          <w:trHeight w:val="648"/>
        </w:trPr>
        <w:tc>
          <w:tcPr>
            <w:tcW w:w="1522" w:type="dxa"/>
            <w:shd w:val="clear" w:color="auto" w:fill="D2EAF1"/>
          </w:tcPr>
          <w:p w:rsidR="00EF4777" w:rsidRPr="00477B3C" w:rsidRDefault="00EF4777" w:rsidP="00EF4777">
            <w:pPr>
              <w:jc w:val="left"/>
              <w:rPr>
                <w:sz w:val="20"/>
                <w:szCs w:val="20"/>
              </w:rPr>
            </w:pPr>
            <w:r w:rsidRPr="00477B3C">
              <w:rPr>
                <w:sz w:val="20"/>
                <w:szCs w:val="20"/>
              </w:rPr>
              <w:t>West Penn Power</w:t>
            </w:r>
          </w:p>
        </w:tc>
        <w:tc>
          <w:tcPr>
            <w:tcW w:w="1272"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$46,360</w:t>
            </w:r>
          </w:p>
        </w:tc>
        <w:tc>
          <w:tcPr>
            <w:tcW w:w="1273"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$29,800</w:t>
            </w:r>
          </w:p>
        </w:tc>
        <w:tc>
          <w:tcPr>
            <w:tcW w:w="1153"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1.6</w:t>
            </w:r>
          </w:p>
        </w:tc>
        <w:tc>
          <w:tcPr>
            <w:tcW w:w="1215"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$60,459</w:t>
            </w:r>
          </w:p>
        </w:tc>
        <w:tc>
          <w:tcPr>
            <w:tcW w:w="1273"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$34,688</w:t>
            </w:r>
          </w:p>
        </w:tc>
        <w:tc>
          <w:tcPr>
            <w:tcW w:w="1178"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1.7</w:t>
            </w:r>
          </w:p>
        </w:tc>
        <w:tc>
          <w:tcPr>
            <w:tcW w:w="1577"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$70,214</w:t>
            </w:r>
          </w:p>
        </w:tc>
        <w:tc>
          <w:tcPr>
            <w:tcW w:w="1395"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$38,943</w:t>
            </w:r>
          </w:p>
        </w:tc>
        <w:tc>
          <w:tcPr>
            <w:tcW w:w="1102"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1.8</w:t>
            </w:r>
          </w:p>
        </w:tc>
      </w:tr>
      <w:tr w:rsidR="00A874AC" w:rsidRPr="00477B3C" w:rsidTr="00592FD5">
        <w:trPr>
          <w:trHeight w:val="648"/>
        </w:trPr>
        <w:tc>
          <w:tcPr>
            <w:tcW w:w="1522" w:type="dxa"/>
            <w:shd w:val="clear" w:color="auto" w:fill="auto"/>
          </w:tcPr>
          <w:p w:rsidR="00EF4777" w:rsidRPr="00477B3C" w:rsidRDefault="00EF4777" w:rsidP="00EF4777">
            <w:pPr>
              <w:jc w:val="left"/>
              <w:rPr>
                <w:sz w:val="20"/>
                <w:szCs w:val="20"/>
              </w:rPr>
            </w:pPr>
            <w:r w:rsidRPr="00477B3C">
              <w:rPr>
                <w:sz w:val="20"/>
                <w:szCs w:val="20"/>
              </w:rPr>
              <w:t>PECO</w:t>
            </w:r>
          </w:p>
        </w:tc>
        <w:tc>
          <w:tcPr>
            <w:tcW w:w="1272" w:type="dxa"/>
            <w:shd w:val="clear" w:color="auto" w:fill="auto"/>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$207,526</w:t>
            </w:r>
          </w:p>
        </w:tc>
        <w:tc>
          <w:tcPr>
            <w:tcW w:w="1273" w:type="dxa"/>
            <w:shd w:val="clear" w:color="auto" w:fill="auto"/>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$140,885</w:t>
            </w:r>
          </w:p>
        </w:tc>
        <w:tc>
          <w:tcPr>
            <w:tcW w:w="1153" w:type="dxa"/>
            <w:shd w:val="clear" w:color="auto" w:fill="auto"/>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1.5</w:t>
            </w:r>
          </w:p>
        </w:tc>
        <w:tc>
          <w:tcPr>
            <w:tcW w:w="1215" w:type="dxa"/>
            <w:shd w:val="clear" w:color="auto" w:fill="auto"/>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$246,816</w:t>
            </w:r>
          </w:p>
        </w:tc>
        <w:tc>
          <w:tcPr>
            <w:tcW w:w="1273" w:type="dxa"/>
            <w:shd w:val="clear" w:color="auto" w:fill="auto"/>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$148,778</w:t>
            </w:r>
          </w:p>
        </w:tc>
        <w:tc>
          <w:tcPr>
            <w:tcW w:w="1178" w:type="dxa"/>
            <w:shd w:val="clear" w:color="auto" w:fill="auto"/>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1.7</w:t>
            </w:r>
          </w:p>
        </w:tc>
        <w:tc>
          <w:tcPr>
            <w:tcW w:w="1577" w:type="dxa"/>
            <w:shd w:val="clear" w:color="auto" w:fill="auto"/>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$446,838</w:t>
            </w:r>
          </w:p>
        </w:tc>
        <w:tc>
          <w:tcPr>
            <w:tcW w:w="1395" w:type="dxa"/>
            <w:shd w:val="clear" w:color="auto" w:fill="auto"/>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$219,343</w:t>
            </w:r>
          </w:p>
        </w:tc>
        <w:tc>
          <w:tcPr>
            <w:tcW w:w="1102" w:type="dxa"/>
            <w:shd w:val="clear" w:color="auto" w:fill="auto"/>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2.0</w:t>
            </w:r>
          </w:p>
        </w:tc>
      </w:tr>
      <w:tr w:rsidR="00A874AC" w:rsidRPr="00477B3C" w:rsidTr="00592FD5">
        <w:trPr>
          <w:trHeight w:val="648"/>
        </w:trPr>
        <w:tc>
          <w:tcPr>
            <w:tcW w:w="1522" w:type="dxa"/>
            <w:shd w:val="clear" w:color="auto" w:fill="D2EAF1"/>
          </w:tcPr>
          <w:p w:rsidR="00EF4777" w:rsidRPr="00477B3C" w:rsidRDefault="00EF4777" w:rsidP="00EF4777">
            <w:pPr>
              <w:jc w:val="left"/>
              <w:rPr>
                <w:sz w:val="20"/>
                <w:szCs w:val="20"/>
              </w:rPr>
            </w:pPr>
            <w:r w:rsidRPr="00477B3C">
              <w:rPr>
                <w:sz w:val="20"/>
                <w:szCs w:val="20"/>
              </w:rPr>
              <w:t>PPL</w:t>
            </w:r>
          </w:p>
        </w:tc>
        <w:tc>
          <w:tcPr>
            <w:tcW w:w="1272"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$140,338</w:t>
            </w:r>
          </w:p>
        </w:tc>
        <w:tc>
          <w:tcPr>
            <w:tcW w:w="1273"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$63,781</w:t>
            </w:r>
          </w:p>
        </w:tc>
        <w:tc>
          <w:tcPr>
            <w:tcW w:w="1153"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2.2</w:t>
            </w:r>
          </w:p>
        </w:tc>
        <w:tc>
          <w:tcPr>
            <w:tcW w:w="1215"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$168,596</w:t>
            </w:r>
          </w:p>
        </w:tc>
        <w:tc>
          <w:tcPr>
            <w:tcW w:w="1273"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$110,631</w:t>
            </w:r>
          </w:p>
        </w:tc>
        <w:tc>
          <w:tcPr>
            <w:tcW w:w="1178"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1.5</w:t>
            </w:r>
          </w:p>
        </w:tc>
        <w:tc>
          <w:tcPr>
            <w:tcW w:w="1577"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$238,285</w:t>
            </w:r>
          </w:p>
        </w:tc>
        <w:tc>
          <w:tcPr>
            <w:tcW w:w="1395"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$173,078</w:t>
            </w:r>
          </w:p>
        </w:tc>
        <w:tc>
          <w:tcPr>
            <w:tcW w:w="1102" w:type="dxa"/>
            <w:shd w:val="clear" w:color="auto" w:fill="D2EAF1"/>
          </w:tcPr>
          <w:p w:rsidR="00EF4777" w:rsidRPr="00477B3C" w:rsidRDefault="00EF4777" w:rsidP="00EF4777">
            <w:pPr>
              <w:jc w:val="center"/>
              <w:rPr>
                <w:rFonts w:asciiTheme="minorHAnsi" w:hAnsiTheme="minorHAnsi"/>
                <w:sz w:val="20"/>
                <w:szCs w:val="20"/>
              </w:rPr>
            </w:pPr>
            <w:r w:rsidRPr="00477B3C">
              <w:rPr>
                <w:rFonts w:asciiTheme="minorHAnsi" w:hAnsiTheme="minorHAnsi"/>
                <w:sz w:val="20"/>
                <w:szCs w:val="20"/>
              </w:rPr>
              <w:t>1.4</w:t>
            </w:r>
          </w:p>
        </w:tc>
      </w:tr>
      <w:tr w:rsidR="00A874AC" w:rsidRPr="00477B3C" w:rsidTr="00592FD5">
        <w:trPr>
          <w:trHeight w:val="648"/>
        </w:trPr>
        <w:tc>
          <w:tcPr>
            <w:tcW w:w="1522" w:type="dxa"/>
            <w:shd w:val="clear" w:color="auto" w:fill="auto"/>
          </w:tcPr>
          <w:p w:rsidR="00EF4777" w:rsidRPr="00477B3C" w:rsidRDefault="00EF4777" w:rsidP="00EF4777">
            <w:pPr>
              <w:rPr>
                <w:b/>
                <w:sz w:val="20"/>
                <w:szCs w:val="20"/>
              </w:rPr>
            </w:pPr>
            <w:r w:rsidRPr="00477B3C">
              <w:rPr>
                <w:b/>
                <w:sz w:val="20"/>
                <w:szCs w:val="20"/>
              </w:rPr>
              <w:t>Total</w:t>
            </w:r>
          </w:p>
        </w:tc>
        <w:tc>
          <w:tcPr>
            <w:tcW w:w="1272" w:type="dxa"/>
            <w:shd w:val="clear" w:color="auto" w:fill="auto"/>
          </w:tcPr>
          <w:p w:rsidR="00EF4777" w:rsidRPr="00477B3C" w:rsidRDefault="00EF4777" w:rsidP="00EF4777">
            <w:pPr>
              <w:jc w:val="center"/>
              <w:rPr>
                <w:b/>
                <w:sz w:val="20"/>
                <w:szCs w:val="20"/>
              </w:rPr>
            </w:pPr>
            <w:r w:rsidRPr="00477B3C">
              <w:rPr>
                <w:b/>
                <w:sz w:val="20"/>
                <w:szCs w:val="20"/>
              </w:rPr>
              <w:t>$553,962</w:t>
            </w:r>
          </w:p>
        </w:tc>
        <w:tc>
          <w:tcPr>
            <w:tcW w:w="1273" w:type="dxa"/>
            <w:shd w:val="clear" w:color="auto" w:fill="auto"/>
          </w:tcPr>
          <w:p w:rsidR="00EF4777" w:rsidRPr="00477B3C" w:rsidRDefault="00EF4777" w:rsidP="00EF4777">
            <w:pPr>
              <w:jc w:val="center"/>
              <w:rPr>
                <w:b/>
                <w:sz w:val="20"/>
                <w:szCs w:val="20"/>
              </w:rPr>
            </w:pPr>
            <w:r w:rsidRPr="00477B3C">
              <w:rPr>
                <w:b/>
                <w:sz w:val="20"/>
                <w:szCs w:val="20"/>
              </w:rPr>
              <w:t>$323,211</w:t>
            </w:r>
          </w:p>
        </w:tc>
        <w:tc>
          <w:tcPr>
            <w:tcW w:w="1153" w:type="dxa"/>
            <w:shd w:val="clear" w:color="auto" w:fill="auto"/>
          </w:tcPr>
          <w:p w:rsidR="00EF4777" w:rsidRPr="00477B3C" w:rsidRDefault="00EF4777" w:rsidP="00EF4777">
            <w:pPr>
              <w:jc w:val="center"/>
              <w:rPr>
                <w:b/>
                <w:sz w:val="20"/>
                <w:szCs w:val="20"/>
              </w:rPr>
            </w:pPr>
            <w:r w:rsidRPr="00477B3C">
              <w:rPr>
                <w:b/>
                <w:sz w:val="20"/>
                <w:szCs w:val="20"/>
              </w:rPr>
              <w:t>1.7</w:t>
            </w:r>
          </w:p>
        </w:tc>
        <w:tc>
          <w:tcPr>
            <w:tcW w:w="1215" w:type="dxa"/>
            <w:shd w:val="clear" w:color="auto" w:fill="auto"/>
          </w:tcPr>
          <w:p w:rsidR="00EF4777" w:rsidRPr="00477B3C" w:rsidRDefault="00EF4777" w:rsidP="00EF4777">
            <w:pPr>
              <w:jc w:val="center"/>
              <w:rPr>
                <w:b/>
                <w:sz w:val="20"/>
                <w:szCs w:val="20"/>
              </w:rPr>
            </w:pPr>
            <w:r w:rsidRPr="00477B3C">
              <w:rPr>
                <w:b/>
                <w:sz w:val="20"/>
                <w:szCs w:val="20"/>
              </w:rPr>
              <w:t>$674,003</w:t>
            </w:r>
          </w:p>
        </w:tc>
        <w:tc>
          <w:tcPr>
            <w:tcW w:w="1273" w:type="dxa"/>
            <w:shd w:val="clear" w:color="auto" w:fill="auto"/>
          </w:tcPr>
          <w:p w:rsidR="00EF4777" w:rsidRPr="00477B3C" w:rsidRDefault="00EF4777" w:rsidP="00EF4777">
            <w:pPr>
              <w:jc w:val="center"/>
              <w:rPr>
                <w:b/>
                <w:sz w:val="20"/>
                <w:szCs w:val="20"/>
              </w:rPr>
            </w:pPr>
            <w:r w:rsidRPr="00477B3C">
              <w:rPr>
                <w:b/>
                <w:sz w:val="20"/>
                <w:szCs w:val="20"/>
              </w:rPr>
              <w:t>$416,904</w:t>
            </w:r>
          </w:p>
        </w:tc>
        <w:tc>
          <w:tcPr>
            <w:tcW w:w="1178" w:type="dxa"/>
            <w:shd w:val="clear" w:color="auto" w:fill="auto"/>
          </w:tcPr>
          <w:p w:rsidR="00EF4777" w:rsidRPr="00477B3C" w:rsidRDefault="00EF4777" w:rsidP="00EF4777">
            <w:pPr>
              <w:jc w:val="center"/>
              <w:rPr>
                <w:b/>
                <w:sz w:val="20"/>
                <w:szCs w:val="20"/>
              </w:rPr>
            </w:pPr>
            <w:r w:rsidRPr="00477B3C">
              <w:rPr>
                <w:b/>
                <w:sz w:val="20"/>
                <w:szCs w:val="20"/>
              </w:rPr>
              <w:t>1.6</w:t>
            </w:r>
          </w:p>
        </w:tc>
        <w:tc>
          <w:tcPr>
            <w:tcW w:w="1577" w:type="dxa"/>
            <w:shd w:val="clear" w:color="auto" w:fill="auto"/>
          </w:tcPr>
          <w:p w:rsidR="00EF4777" w:rsidRPr="00477B3C" w:rsidRDefault="00EF4777" w:rsidP="00C0035C">
            <w:pPr>
              <w:jc w:val="center"/>
              <w:rPr>
                <w:b/>
                <w:sz w:val="20"/>
                <w:szCs w:val="20"/>
              </w:rPr>
            </w:pPr>
            <w:r w:rsidRPr="00477B3C">
              <w:rPr>
                <w:b/>
                <w:sz w:val="20"/>
                <w:szCs w:val="20"/>
              </w:rPr>
              <w:t>$1,006,1</w:t>
            </w:r>
            <w:r w:rsidR="00C0035C">
              <w:rPr>
                <w:b/>
                <w:sz w:val="20"/>
                <w:szCs w:val="20"/>
              </w:rPr>
              <w:t>92</w:t>
            </w:r>
          </w:p>
        </w:tc>
        <w:tc>
          <w:tcPr>
            <w:tcW w:w="1395" w:type="dxa"/>
            <w:shd w:val="clear" w:color="auto" w:fill="auto"/>
          </w:tcPr>
          <w:p w:rsidR="00EF4777" w:rsidRPr="00477B3C" w:rsidRDefault="00EF4777" w:rsidP="00EF4777">
            <w:pPr>
              <w:jc w:val="center"/>
              <w:rPr>
                <w:b/>
                <w:sz w:val="20"/>
                <w:szCs w:val="20"/>
              </w:rPr>
            </w:pPr>
            <w:r w:rsidRPr="00477B3C">
              <w:rPr>
                <w:b/>
                <w:sz w:val="20"/>
                <w:szCs w:val="20"/>
              </w:rPr>
              <w:t>$583,298</w:t>
            </w:r>
          </w:p>
        </w:tc>
        <w:tc>
          <w:tcPr>
            <w:tcW w:w="1102" w:type="dxa"/>
            <w:shd w:val="clear" w:color="auto" w:fill="auto"/>
          </w:tcPr>
          <w:p w:rsidR="00EF4777" w:rsidRPr="00477B3C" w:rsidRDefault="00EF4777" w:rsidP="00EF4777">
            <w:pPr>
              <w:jc w:val="center"/>
              <w:rPr>
                <w:b/>
                <w:sz w:val="20"/>
                <w:szCs w:val="20"/>
              </w:rPr>
            </w:pPr>
            <w:r w:rsidRPr="00477B3C">
              <w:rPr>
                <w:b/>
                <w:sz w:val="20"/>
                <w:szCs w:val="20"/>
              </w:rPr>
              <w:t>1.7</w:t>
            </w:r>
          </w:p>
        </w:tc>
      </w:tr>
    </w:tbl>
    <w:p w:rsidR="00F51C86" w:rsidRDefault="00F51C86" w:rsidP="00F51C86"/>
    <w:p w:rsidR="00477B3C" w:rsidRDefault="00477B3C" w:rsidP="00D40FF6">
      <w:pPr>
        <w:pStyle w:val="Heading3"/>
        <w:sectPr w:rsidR="00477B3C" w:rsidSect="00477B3C">
          <w:headerReference w:type="default" r:id="rId65"/>
          <w:footerReference w:type="default" r:id="rId66"/>
          <w:pgSz w:w="15840" w:h="12240" w:orient="landscape"/>
          <w:pgMar w:top="1440" w:right="1440" w:bottom="1440" w:left="1440" w:header="720" w:footer="432" w:gutter="0"/>
          <w:cols w:space="720"/>
          <w:docGrid w:linePitch="360"/>
        </w:sectPr>
      </w:pPr>
      <w:bookmarkStart w:id="326" w:name="_Toc472472116"/>
    </w:p>
    <w:p w:rsidR="00D40FF6" w:rsidRDefault="00F25E7A" w:rsidP="00D40FF6">
      <w:pPr>
        <w:pStyle w:val="Heading3"/>
      </w:pPr>
      <w:bookmarkStart w:id="327" w:name="_Toc476913928"/>
      <w:r>
        <w:lastRenderedPageBreak/>
        <w:t>TRC Test Results for Phase II – All Years Combined</w:t>
      </w:r>
      <w:bookmarkEnd w:id="326"/>
      <w:bookmarkEnd w:id="327"/>
    </w:p>
    <w:p w:rsidR="00F25E7A" w:rsidRDefault="009B65B8" w:rsidP="00F25E7A">
      <w:r>
        <w:fldChar w:fldCharType="begin"/>
      </w:r>
      <w:r>
        <w:instrText xml:space="preserve"> REF _Ref472459526 \h </w:instrText>
      </w:r>
      <w:r>
        <w:fldChar w:fldCharType="separate"/>
      </w:r>
      <w:r w:rsidR="00C301D0">
        <w:t xml:space="preserve">Table </w:t>
      </w:r>
      <w:r w:rsidR="00C301D0">
        <w:rPr>
          <w:noProof/>
        </w:rPr>
        <w:t>4</w:t>
      </w:r>
      <w:r w:rsidR="00C301D0">
        <w:noBreakHyphen/>
      </w:r>
      <w:r w:rsidR="00C301D0">
        <w:rPr>
          <w:noProof/>
        </w:rPr>
        <w:t>2</w:t>
      </w:r>
      <w:r>
        <w:fldChar w:fldCharType="end"/>
      </w:r>
      <w:r>
        <w:t xml:space="preserve"> </w:t>
      </w:r>
      <w:r w:rsidR="00F25E7A">
        <w:t xml:space="preserve">details the TRC test NPV benefits, costs, net benefits, and </w:t>
      </w:r>
      <w:r w:rsidR="00B20FCE">
        <w:t>B/C</w:t>
      </w:r>
      <w:r w:rsidR="00F25E7A">
        <w:t xml:space="preserve"> ratio for each EDC’s portfolio for all of Phase II, as reported in the</w:t>
      </w:r>
      <w:r w:rsidR="00B20FCE">
        <w:t xml:space="preserve"> EDCs’</w:t>
      </w:r>
      <w:r w:rsidR="00F25E7A">
        <w:t xml:space="preserve"> PY7 annual report</w:t>
      </w:r>
      <w:r w:rsidR="00B20FCE">
        <w:t>s</w:t>
      </w:r>
      <w:r w:rsidR="00F25E7A">
        <w:t>. For Phase II, the combined NPV lifetime net benefits (benefits – costs) of the EDC energy efficiency portfolios exceed</w:t>
      </w:r>
      <w:r w:rsidR="00B20FCE">
        <w:t>ed</w:t>
      </w:r>
      <w:r w:rsidR="00F25E7A">
        <w:t xml:space="preserve"> $900 million.</w:t>
      </w:r>
    </w:p>
    <w:p w:rsidR="00F25E7A" w:rsidRDefault="00F25E7A" w:rsidP="00F25E7A"/>
    <w:p w:rsidR="00FB4D74" w:rsidRPr="00F25E7A" w:rsidRDefault="009B65B8" w:rsidP="009B65B8">
      <w:pPr>
        <w:pStyle w:val="Caption"/>
      </w:pPr>
      <w:bookmarkStart w:id="328" w:name="_Ref472459526"/>
      <w:bookmarkStart w:id="329" w:name="_Toc472472186"/>
      <w:bookmarkStart w:id="330" w:name="_Toc476913999"/>
      <w:r>
        <w:t xml:space="preserve">Table </w:t>
      </w:r>
      <w:fldSimple w:instr=" STYLEREF 1 \s ">
        <w:r w:rsidR="00C301D0">
          <w:rPr>
            <w:noProof/>
          </w:rPr>
          <w:t>4</w:t>
        </w:r>
      </w:fldSimple>
      <w:r w:rsidR="00E6042C">
        <w:noBreakHyphen/>
      </w:r>
      <w:fldSimple w:instr=" SEQ Table \* ARABIC \s 1 ">
        <w:r w:rsidR="00C301D0">
          <w:rPr>
            <w:noProof/>
          </w:rPr>
          <w:t>2</w:t>
        </w:r>
      </w:fldSimple>
      <w:bookmarkEnd w:id="328"/>
      <w:r>
        <w:t>: Phase II Verified Gross TRC</w:t>
      </w:r>
      <w:r w:rsidR="00B20FCE">
        <w:t xml:space="preserve"> Benefits, Costs, and</w:t>
      </w:r>
      <w:r>
        <w:t xml:space="preserve"> Ratios by EDC</w:t>
      </w:r>
      <w:bookmarkEnd w:id="329"/>
      <w:bookmarkEnd w:id="330"/>
    </w:p>
    <w:tbl>
      <w:tblPr>
        <w:tblW w:w="4887"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97"/>
        <w:gridCol w:w="1820"/>
        <w:gridCol w:w="1821"/>
        <w:gridCol w:w="1820"/>
        <w:gridCol w:w="1871"/>
      </w:tblGrid>
      <w:tr w:rsidR="00477B3C" w:rsidRPr="0030404E" w:rsidTr="00592FD5">
        <w:trPr>
          <w:cantSplit/>
          <w:trHeight w:val="141"/>
          <w:tblHeader/>
        </w:trPr>
        <w:tc>
          <w:tcPr>
            <w:tcW w:w="1843" w:type="dxa"/>
            <w:vMerge w:val="restart"/>
            <w:shd w:val="clear" w:color="auto" w:fill="448A99"/>
            <w:vAlign w:val="bottom"/>
          </w:tcPr>
          <w:p w:rsidR="00477B3C" w:rsidRPr="0030404E" w:rsidRDefault="00477B3C" w:rsidP="00380FF9">
            <w:pPr>
              <w:jc w:val="left"/>
              <w:rPr>
                <w:b/>
                <w:color w:val="FFFFFF"/>
                <w:sz w:val="20"/>
                <w:szCs w:val="20"/>
              </w:rPr>
            </w:pPr>
            <w:r w:rsidRPr="0030404E">
              <w:rPr>
                <w:b/>
                <w:color w:val="FFFFFF"/>
                <w:sz w:val="20"/>
                <w:szCs w:val="20"/>
              </w:rPr>
              <w:t>EDC</w:t>
            </w:r>
          </w:p>
        </w:tc>
        <w:tc>
          <w:tcPr>
            <w:tcW w:w="7517" w:type="dxa"/>
            <w:gridSpan w:val="4"/>
            <w:shd w:val="clear" w:color="auto" w:fill="448A99"/>
          </w:tcPr>
          <w:p w:rsidR="00477B3C" w:rsidRPr="0030404E" w:rsidRDefault="00477B3C" w:rsidP="00380FF9">
            <w:pPr>
              <w:jc w:val="center"/>
              <w:rPr>
                <w:b/>
                <w:color w:val="FFFFFF"/>
                <w:sz w:val="20"/>
                <w:szCs w:val="20"/>
              </w:rPr>
            </w:pPr>
            <w:r w:rsidRPr="0030404E">
              <w:rPr>
                <w:b/>
                <w:color w:val="FFFFFF"/>
                <w:sz w:val="20"/>
                <w:szCs w:val="20"/>
              </w:rPr>
              <w:t>Phase II (All Years)</w:t>
            </w:r>
          </w:p>
        </w:tc>
      </w:tr>
      <w:tr w:rsidR="00A874AC" w:rsidRPr="0030404E" w:rsidTr="00592FD5">
        <w:trPr>
          <w:trHeight w:val="141"/>
        </w:trPr>
        <w:tc>
          <w:tcPr>
            <w:tcW w:w="1843" w:type="dxa"/>
            <w:vMerge/>
            <w:shd w:val="clear" w:color="auto" w:fill="9C9393"/>
          </w:tcPr>
          <w:p w:rsidR="00477B3C" w:rsidRPr="0030404E" w:rsidRDefault="00477B3C" w:rsidP="00380FF9">
            <w:pPr>
              <w:jc w:val="left"/>
              <w:rPr>
                <w:b/>
                <w:color w:val="FFFFFF" w:themeColor="background1"/>
                <w:sz w:val="20"/>
                <w:szCs w:val="20"/>
              </w:rPr>
            </w:pPr>
          </w:p>
        </w:tc>
        <w:tc>
          <w:tcPr>
            <w:tcW w:w="1866" w:type="dxa"/>
            <w:shd w:val="clear" w:color="auto" w:fill="9C9393"/>
          </w:tcPr>
          <w:p w:rsidR="00477B3C" w:rsidRPr="0030404E" w:rsidRDefault="00477B3C" w:rsidP="00380FF9">
            <w:pPr>
              <w:autoSpaceDE w:val="0"/>
              <w:autoSpaceDN w:val="0"/>
              <w:adjustRightInd w:val="0"/>
              <w:contextualSpacing/>
              <w:jc w:val="center"/>
              <w:rPr>
                <w:b/>
                <w:color w:val="FFFFFF" w:themeColor="background1"/>
                <w:sz w:val="20"/>
                <w:szCs w:val="20"/>
              </w:rPr>
            </w:pPr>
            <w:r w:rsidRPr="0030404E">
              <w:rPr>
                <w:b/>
                <w:color w:val="FFFFFF" w:themeColor="background1"/>
                <w:sz w:val="20"/>
                <w:szCs w:val="20"/>
              </w:rPr>
              <w:t>TRC Benefits</w:t>
            </w:r>
          </w:p>
          <w:p w:rsidR="00477B3C" w:rsidRPr="0030404E" w:rsidRDefault="00477B3C" w:rsidP="00380FF9">
            <w:pPr>
              <w:autoSpaceDE w:val="0"/>
              <w:autoSpaceDN w:val="0"/>
              <w:adjustRightInd w:val="0"/>
              <w:contextualSpacing/>
              <w:jc w:val="center"/>
              <w:rPr>
                <w:b/>
                <w:color w:val="FFFFFF" w:themeColor="background1"/>
                <w:sz w:val="20"/>
                <w:szCs w:val="20"/>
              </w:rPr>
            </w:pPr>
            <w:r w:rsidRPr="0030404E">
              <w:rPr>
                <w:b/>
                <w:color w:val="FFFFFF" w:themeColor="background1"/>
                <w:sz w:val="20"/>
                <w:szCs w:val="20"/>
              </w:rPr>
              <w:t>($1000)</w:t>
            </w:r>
          </w:p>
        </w:tc>
        <w:tc>
          <w:tcPr>
            <w:tcW w:w="1867" w:type="dxa"/>
            <w:shd w:val="clear" w:color="auto" w:fill="9C9393"/>
          </w:tcPr>
          <w:p w:rsidR="00477B3C" w:rsidRPr="0030404E" w:rsidRDefault="00477B3C" w:rsidP="00380FF9">
            <w:pPr>
              <w:autoSpaceDE w:val="0"/>
              <w:autoSpaceDN w:val="0"/>
              <w:adjustRightInd w:val="0"/>
              <w:contextualSpacing/>
              <w:jc w:val="center"/>
              <w:rPr>
                <w:b/>
                <w:color w:val="FFFFFF" w:themeColor="background1"/>
                <w:sz w:val="20"/>
                <w:szCs w:val="20"/>
              </w:rPr>
            </w:pPr>
            <w:r w:rsidRPr="0030404E">
              <w:rPr>
                <w:b/>
                <w:color w:val="FFFFFF" w:themeColor="background1"/>
                <w:sz w:val="20"/>
                <w:szCs w:val="20"/>
              </w:rPr>
              <w:t>TRC Costs</w:t>
            </w:r>
          </w:p>
          <w:p w:rsidR="00477B3C" w:rsidRPr="0030404E" w:rsidRDefault="00477B3C" w:rsidP="00380FF9">
            <w:pPr>
              <w:autoSpaceDE w:val="0"/>
              <w:autoSpaceDN w:val="0"/>
              <w:adjustRightInd w:val="0"/>
              <w:contextualSpacing/>
              <w:jc w:val="center"/>
              <w:rPr>
                <w:b/>
                <w:color w:val="FFFFFF" w:themeColor="background1"/>
                <w:sz w:val="20"/>
                <w:szCs w:val="20"/>
              </w:rPr>
            </w:pPr>
            <w:r w:rsidRPr="0030404E">
              <w:rPr>
                <w:b/>
                <w:color w:val="FFFFFF" w:themeColor="background1"/>
                <w:sz w:val="20"/>
                <w:szCs w:val="20"/>
              </w:rPr>
              <w:t>($1000)</w:t>
            </w:r>
          </w:p>
        </w:tc>
        <w:tc>
          <w:tcPr>
            <w:tcW w:w="1866" w:type="dxa"/>
            <w:shd w:val="clear" w:color="auto" w:fill="9C9393"/>
          </w:tcPr>
          <w:p w:rsidR="00477B3C" w:rsidRPr="0030404E" w:rsidRDefault="00477B3C" w:rsidP="00380FF9">
            <w:pPr>
              <w:autoSpaceDE w:val="0"/>
              <w:autoSpaceDN w:val="0"/>
              <w:adjustRightInd w:val="0"/>
              <w:contextualSpacing/>
              <w:jc w:val="center"/>
              <w:rPr>
                <w:b/>
                <w:color w:val="FFFFFF" w:themeColor="background1"/>
                <w:sz w:val="20"/>
                <w:szCs w:val="20"/>
              </w:rPr>
            </w:pPr>
            <w:r w:rsidRPr="0030404E">
              <w:rPr>
                <w:b/>
                <w:color w:val="FFFFFF" w:themeColor="background1"/>
                <w:sz w:val="20"/>
                <w:szCs w:val="20"/>
              </w:rPr>
              <w:t>Net Benefits</w:t>
            </w:r>
          </w:p>
          <w:p w:rsidR="00477B3C" w:rsidRPr="0030404E" w:rsidRDefault="00477B3C" w:rsidP="00380FF9">
            <w:pPr>
              <w:autoSpaceDE w:val="0"/>
              <w:autoSpaceDN w:val="0"/>
              <w:adjustRightInd w:val="0"/>
              <w:contextualSpacing/>
              <w:jc w:val="center"/>
              <w:rPr>
                <w:b/>
                <w:color w:val="FFFFFF" w:themeColor="background1"/>
                <w:sz w:val="20"/>
                <w:szCs w:val="20"/>
              </w:rPr>
            </w:pPr>
            <w:r w:rsidRPr="0030404E">
              <w:rPr>
                <w:b/>
                <w:color w:val="FFFFFF" w:themeColor="background1"/>
                <w:sz w:val="20"/>
                <w:szCs w:val="20"/>
              </w:rPr>
              <w:t>($1000)</w:t>
            </w:r>
          </w:p>
        </w:tc>
        <w:tc>
          <w:tcPr>
            <w:tcW w:w="1918" w:type="dxa"/>
            <w:shd w:val="clear" w:color="auto" w:fill="9C9393"/>
          </w:tcPr>
          <w:p w:rsidR="00477B3C" w:rsidRPr="0030404E" w:rsidRDefault="00477B3C" w:rsidP="00380FF9">
            <w:pPr>
              <w:autoSpaceDE w:val="0"/>
              <w:autoSpaceDN w:val="0"/>
              <w:adjustRightInd w:val="0"/>
              <w:contextualSpacing/>
              <w:jc w:val="center"/>
              <w:rPr>
                <w:b/>
                <w:color w:val="FFFFFF" w:themeColor="background1"/>
                <w:sz w:val="20"/>
                <w:szCs w:val="20"/>
              </w:rPr>
            </w:pPr>
            <w:r w:rsidRPr="0030404E">
              <w:rPr>
                <w:b/>
                <w:color w:val="FFFFFF" w:themeColor="background1"/>
                <w:sz w:val="20"/>
                <w:szCs w:val="20"/>
              </w:rPr>
              <w:t>TRC Ratio</w:t>
            </w:r>
          </w:p>
        </w:tc>
      </w:tr>
      <w:tr w:rsidR="00A874AC" w:rsidRPr="0030404E" w:rsidTr="00592FD5">
        <w:trPr>
          <w:trHeight w:val="331"/>
        </w:trPr>
        <w:tc>
          <w:tcPr>
            <w:tcW w:w="1843" w:type="dxa"/>
            <w:shd w:val="clear" w:color="auto" w:fill="D2EAF1"/>
          </w:tcPr>
          <w:p w:rsidR="00EF4777" w:rsidRPr="0030404E" w:rsidRDefault="00EF4777" w:rsidP="00EF4777">
            <w:pPr>
              <w:jc w:val="left"/>
              <w:rPr>
                <w:sz w:val="20"/>
                <w:szCs w:val="20"/>
              </w:rPr>
            </w:pPr>
            <w:r w:rsidRPr="0030404E">
              <w:rPr>
                <w:sz w:val="20"/>
                <w:szCs w:val="20"/>
              </w:rPr>
              <w:t>Duquesne</w:t>
            </w:r>
          </w:p>
        </w:tc>
        <w:tc>
          <w:tcPr>
            <w:tcW w:w="1866" w:type="dxa"/>
            <w:shd w:val="clear" w:color="auto" w:fill="D2EAF1"/>
          </w:tcPr>
          <w:p w:rsidR="00EF4777" w:rsidRPr="0030404E" w:rsidRDefault="00EF4777" w:rsidP="00C0035C">
            <w:pPr>
              <w:jc w:val="center"/>
              <w:rPr>
                <w:sz w:val="20"/>
                <w:szCs w:val="20"/>
              </w:rPr>
            </w:pPr>
            <w:r w:rsidRPr="00E513DB">
              <w:rPr>
                <w:sz w:val="20"/>
                <w:szCs w:val="20"/>
              </w:rPr>
              <w:t>$206,</w:t>
            </w:r>
            <w:r w:rsidR="00C0035C">
              <w:rPr>
                <w:sz w:val="20"/>
                <w:szCs w:val="20"/>
              </w:rPr>
              <w:t>776</w:t>
            </w:r>
          </w:p>
        </w:tc>
        <w:tc>
          <w:tcPr>
            <w:tcW w:w="1867" w:type="dxa"/>
            <w:shd w:val="clear" w:color="auto" w:fill="D2EAF1"/>
          </w:tcPr>
          <w:p w:rsidR="00EF4777" w:rsidRPr="0030404E" w:rsidRDefault="00EF4777" w:rsidP="00EF4777">
            <w:pPr>
              <w:jc w:val="center"/>
              <w:rPr>
                <w:sz w:val="20"/>
                <w:szCs w:val="20"/>
              </w:rPr>
            </w:pPr>
            <w:r w:rsidRPr="00E513DB">
              <w:rPr>
                <w:sz w:val="20"/>
                <w:szCs w:val="20"/>
              </w:rPr>
              <w:t>$101,477</w:t>
            </w:r>
          </w:p>
        </w:tc>
        <w:tc>
          <w:tcPr>
            <w:tcW w:w="1866" w:type="dxa"/>
            <w:shd w:val="clear" w:color="auto" w:fill="D2EAF1"/>
          </w:tcPr>
          <w:p w:rsidR="00EF4777" w:rsidRPr="0030404E" w:rsidRDefault="00EF4777" w:rsidP="00EF4777">
            <w:pPr>
              <w:jc w:val="center"/>
              <w:rPr>
                <w:sz w:val="20"/>
                <w:szCs w:val="20"/>
              </w:rPr>
            </w:pPr>
            <w:r w:rsidRPr="00E513DB">
              <w:rPr>
                <w:sz w:val="20"/>
                <w:szCs w:val="20"/>
              </w:rPr>
              <w:t>$105,216</w:t>
            </w:r>
          </w:p>
        </w:tc>
        <w:tc>
          <w:tcPr>
            <w:tcW w:w="1918" w:type="dxa"/>
            <w:shd w:val="clear" w:color="auto" w:fill="D2EAF1"/>
          </w:tcPr>
          <w:p w:rsidR="00EF4777" w:rsidRPr="0030404E" w:rsidRDefault="00EF4777" w:rsidP="00EF4777">
            <w:pPr>
              <w:jc w:val="center"/>
              <w:rPr>
                <w:sz w:val="20"/>
                <w:szCs w:val="20"/>
              </w:rPr>
            </w:pPr>
            <w:r w:rsidRPr="00E513DB">
              <w:rPr>
                <w:sz w:val="20"/>
                <w:szCs w:val="20"/>
              </w:rPr>
              <w:t>2.0</w:t>
            </w:r>
          </w:p>
        </w:tc>
      </w:tr>
      <w:tr w:rsidR="00EF4777" w:rsidRPr="0030404E" w:rsidTr="00592FD5">
        <w:trPr>
          <w:trHeight w:val="331"/>
        </w:trPr>
        <w:tc>
          <w:tcPr>
            <w:tcW w:w="1843" w:type="dxa"/>
          </w:tcPr>
          <w:p w:rsidR="00EF4777" w:rsidRPr="0030404E" w:rsidRDefault="00EF4777" w:rsidP="00EF4777">
            <w:pPr>
              <w:jc w:val="left"/>
              <w:rPr>
                <w:sz w:val="20"/>
                <w:szCs w:val="20"/>
              </w:rPr>
            </w:pPr>
            <w:r w:rsidRPr="0030404E">
              <w:rPr>
                <w:sz w:val="20"/>
                <w:szCs w:val="20"/>
              </w:rPr>
              <w:t>Met-Ed</w:t>
            </w:r>
          </w:p>
        </w:tc>
        <w:tc>
          <w:tcPr>
            <w:tcW w:w="1866" w:type="dxa"/>
          </w:tcPr>
          <w:p w:rsidR="00EF4777" w:rsidRPr="0030404E" w:rsidRDefault="00EF4777" w:rsidP="00EF4777">
            <w:pPr>
              <w:jc w:val="center"/>
              <w:rPr>
                <w:sz w:val="20"/>
                <w:szCs w:val="20"/>
              </w:rPr>
            </w:pPr>
            <w:r w:rsidRPr="00E513DB">
              <w:rPr>
                <w:sz w:val="20"/>
                <w:szCs w:val="20"/>
              </w:rPr>
              <w:t>$178,598</w:t>
            </w:r>
          </w:p>
        </w:tc>
        <w:tc>
          <w:tcPr>
            <w:tcW w:w="1867" w:type="dxa"/>
          </w:tcPr>
          <w:p w:rsidR="00EF4777" w:rsidRPr="0030404E" w:rsidRDefault="00EF4777" w:rsidP="00EF4777">
            <w:pPr>
              <w:jc w:val="center"/>
              <w:rPr>
                <w:sz w:val="20"/>
                <w:szCs w:val="20"/>
              </w:rPr>
            </w:pPr>
            <w:r w:rsidRPr="00E513DB">
              <w:rPr>
                <w:sz w:val="20"/>
                <w:szCs w:val="20"/>
              </w:rPr>
              <w:t>$115,527</w:t>
            </w:r>
          </w:p>
        </w:tc>
        <w:tc>
          <w:tcPr>
            <w:tcW w:w="1866" w:type="dxa"/>
          </w:tcPr>
          <w:p w:rsidR="00EF4777" w:rsidRPr="0030404E" w:rsidRDefault="00EF4777" w:rsidP="00EF4777">
            <w:pPr>
              <w:jc w:val="center"/>
              <w:rPr>
                <w:sz w:val="20"/>
                <w:szCs w:val="20"/>
              </w:rPr>
            </w:pPr>
            <w:r w:rsidRPr="00E513DB">
              <w:rPr>
                <w:sz w:val="20"/>
                <w:szCs w:val="20"/>
              </w:rPr>
              <w:t>$63,071</w:t>
            </w:r>
          </w:p>
        </w:tc>
        <w:tc>
          <w:tcPr>
            <w:tcW w:w="1918" w:type="dxa"/>
          </w:tcPr>
          <w:p w:rsidR="00EF4777" w:rsidRPr="0030404E" w:rsidRDefault="00EF4777" w:rsidP="00EF4777">
            <w:pPr>
              <w:jc w:val="center"/>
              <w:rPr>
                <w:sz w:val="20"/>
                <w:szCs w:val="20"/>
              </w:rPr>
            </w:pPr>
            <w:r w:rsidRPr="00E513DB">
              <w:rPr>
                <w:sz w:val="20"/>
                <w:szCs w:val="20"/>
              </w:rPr>
              <w:t>1.5</w:t>
            </w:r>
          </w:p>
        </w:tc>
      </w:tr>
      <w:tr w:rsidR="00A874AC" w:rsidRPr="0030404E" w:rsidTr="00592FD5">
        <w:trPr>
          <w:trHeight w:val="331"/>
        </w:trPr>
        <w:tc>
          <w:tcPr>
            <w:tcW w:w="1843" w:type="dxa"/>
            <w:shd w:val="clear" w:color="auto" w:fill="D2EAF1"/>
          </w:tcPr>
          <w:p w:rsidR="00EF4777" w:rsidRPr="0030404E" w:rsidRDefault="00EF4777" w:rsidP="00EF4777">
            <w:pPr>
              <w:jc w:val="left"/>
              <w:rPr>
                <w:sz w:val="20"/>
                <w:szCs w:val="20"/>
              </w:rPr>
            </w:pPr>
            <w:r w:rsidRPr="0030404E">
              <w:rPr>
                <w:sz w:val="20"/>
                <w:szCs w:val="20"/>
              </w:rPr>
              <w:t>Penelec</w:t>
            </w:r>
          </w:p>
        </w:tc>
        <w:tc>
          <w:tcPr>
            <w:tcW w:w="1866" w:type="dxa"/>
            <w:shd w:val="clear" w:color="auto" w:fill="D2EAF1"/>
          </w:tcPr>
          <w:p w:rsidR="00EF4777" w:rsidRPr="0030404E" w:rsidRDefault="00EF4777" w:rsidP="00EF4777">
            <w:pPr>
              <w:jc w:val="center"/>
              <w:rPr>
                <w:sz w:val="20"/>
                <w:szCs w:val="20"/>
              </w:rPr>
            </w:pPr>
            <w:r w:rsidRPr="00E513DB">
              <w:rPr>
                <w:sz w:val="20"/>
                <w:szCs w:val="20"/>
              </w:rPr>
              <w:t>$182,288</w:t>
            </w:r>
          </w:p>
        </w:tc>
        <w:tc>
          <w:tcPr>
            <w:tcW w:w="1867" w:type="dxa"/>
            <w:shd w:val="clear" w:color="auto" w:fill="D2EAF1"/>
          </w:tcPr>
          <w:p w:rsidR="00EF4777" w:rsidRPr="0030404E" w:rsidRDefault="00EF4777" w:rsidP="00EF4777">
            <w:pPr>
              <w:jc w:val="center"/>
              <w:rPr>
                <w:sz w:val="20"/>
                <w:szCs w:val="20"/>
              </w:rPr>
            </w:pPr>
            <w:r w:rsidRPr="00E513DB">
              <w:rPr>
                <w:sz w:val="20"/>
                <w:szCs w:val="20"/>
              </w:rPr>
              <w:t>$105,480</w:t>
            </w:r>
          </w:p>
        </w:tc>
        <w:tc>
          <w:tcPr>
            <w:tcW w:w="1866" w:type="dxa"/>
            <w:shd w:val="clear" w:color="auto" w:fill="D2EAF1"/>
          </w:tcPr>
          <w:p w:rsidR="00EF4777" w:rsidRPr="0030404E" w:rsidRDefault="00EF4777" w:rsidP="00EF4777">
            <w:pPr>
              <w:jc w:val="center"/>
              <w:rPr>
                <w:sz w:val="20"/>
                <w:szCs w:val="20"/>
              </w:rPr>
            </w:pPr>
            <w:r w:rsidRPr="00E513DB">
              <w:rPr>
                <w:sz w:val="20"/>
                <w:szCs w:val="20"/>
              </w:rPr>
              <w:t>$76,808</w:t>
            </w:r>
          </w:p>
        </w:tc>
        <w:tc>
          <w:tcPr>
            <w:tcW w:w="1918" w:type="dxa"/>
            <w:shd w:val="clear" w:color="auto" w:fill="D2EAF1"/>
          </w:tcPr>
          <w:p w:rsidR="00EF4777" w:rsidRPr="0030404E" w:rsidRDefault="00EF4777" w:rsidP="00EF4777">
            <w:pPr>
              <w:jc w:val="center"/>
              <w:rPr>
                <w:sz w:val="20"/>
                <w:szCs w:val="20"/>
              </w:rPr>
            </w:pPr>
            <w:r w:rsidRPr="00E513DB">
              <w:rPr>
                <w:sz w:val="20"/>
                <w:szCs w:val="20"/>
              </w:rPr>
              <w:t>1.7</w:t>
            </w:r>
          </w:p>
        </w:tc>
      </w:tr>
      <w:tr w:rsidR="00EF4777" w:rsidRPr="0030404E" w:rsidTr="00592FD5">
        <w:trPr>
          <w:trHeight w:val="331"/>
        </w:trPr>
        <w:tc>
          <w:tcPr>
            <w:tcW w:w="1843" w:type="dxa"/>
          </w:tcPr>
          <w:p w:rsidR="00EF4777" w:rsidRPr="0030404E" w:rsidRDefault="00EF4777" w:rsidP="00EF4777">
            <w:pPr>
              <w:jc w:val="left"/>
              <w:rPr>
                <w:sz w:val="20"/>
                <w:szCs w:val="20"/>
              </w:rPr>
            </w:pPr>
            <w:r w:rsidRPr="0030404E">
              <w:rPr>
                <w:sz w:val="20"/>
                <w:szCs w:val="20"/>
              </w:rPr>
              <w:t>Penn Power</w:t>
            </w:r>
          </w:p>
        </w:tc>
        <w:tc>
          <w:tcPr>
            <w:tcW w:w="1866" w:type="dxa"/>
          </w:tcPr>
          <w:p w:rsidR="00EF4777" w:rsidRPr="0030404E" w:rsidRDefault="00EF4777" w:rsidP="00EF4777">
            <w:pPr>
              <w:jc w:val="center"/>
              <w:rPr>
                <w:sz w:val="20"/>
                <w:szCs w:val="20"/>
              </w:rPr>
            </w:pPr>
            <w:r w:rsidRPr="00E513DB">
              <w:rPr>
                <w:sz w:val="20"/>
                <w:szCs w:val="20"/>
              </w:rPr>
              <w:t>$46,704</w:t>
            </w:r>
          </w:p>
        </w:tc>
        <w:tc>
          <w:tcPr>
            <w:tcW w:w="1867" w:type="dxa"/>
          </w:tcPr>
          <w:p w:rsidR="00EF4777" w:rsidRPr="0030404E" w:rsidRDefault="00EF4777" w:rsidP="00EF4777">
            <w:pPr>
              <w:jc w:val="center"/>
              <w:rPr>
                <w:sz w:val="20"/>
                <w:szCs w:val="20"/>
              </w:rPr>
            </w:pPr>
            <w:r w:rsidRPr="00E513DB">
              <w:rPr>
                <w:sz w:val="20"/>
                <w:szCs w:val="20"/>
              </w:rPr>
              <w:t>$41,382</w:t>
            </w:r>
          </w:p>
        </w:tc>
        <w:tc>
          <w:tcPr>
            <w:tcW w:w="1866" w:type="dxa"/>
          </w:tcPr>
          <w:p w:rsidR="00EF4777" w:rsidRPr="0030404E" w:rsidRDefault="00EF4777" w:rsidP="00EF4777">
            <w:pPr>
              <w:jc w:val="center"/>
              <w:rPr>
                <w:sz w:val="20"/>
                <w:szCs w:val="20"/>
              </w:rPr>
            </w:pPr>
            <w:r w:rsidRPr="00E513DB">
              <w:rPr>
                <w:sz w:val="20"/>
                <w:szCs w:val="20"/>
              </w:rPr>
              <w:t>$5,322</w:t>
            </w:r>
          </w:p>
        </w:tc>
        <w:tc>
          <w:tcPr>
            <w:tcW w:w="1918" w:type="dxa"/>
          </w:tcPr>
          <w:p w:rsidR="00EF4777" w:rsidRPr="0030404E" w:rsidRDefault="00EF4777" w:rsidP="00EF4777">
            <w:pPr>
              <w:jc w:val="center"/>
              <w:rPr>
                <w:sz w:val="20"/>
                <w:szCs w:val="20"/>
              </w:rPr>
            </w:pPr>
            <w:r w:rsidRPr="00E513DB">
              <w:rPr>
                <w:sz w:val="20"/>
                <w:szCs w:val="20"/>
              </w:rPr>
              <w:t>1.1</w:t>
            </w:r>
          </w:p>
        </w:tc>
      </w:tr>
      <w:tr w:rsidR="00A874AC" w:rsidRPr="0030404E" w:rsidTr="00592FD5">
        <w:trPr>
          <w:trHeight w:val="331"/>
        </w:trPr>
        <w:tc>
          <w:tcPr>
            <w:tcW w:w="1843" w:type="dxa"/>
            <w:shd w:val="clear" w:color="auto" w:fill="D2EAF1"/>
          </w:tcPr>
          <w:p w:rsidR="00EF4777" w:rsidRPr="0030404E" w:rsidRDefault="00EF4777" w:rsidP="00EF4777">
            <w:pPr>
              <w:jc w:val="left"/>
              <w:rPr>
                <w:sz w:val="20"/>
                <w:szCs w:val="20"/>
              </w:rPr>
            </w:pPr>
            <w:r w:rsidRPr="0030404E">
              <w:rPr>
                <w:sz w:val="20"/>
                <w:szCs w:val="20"/>
              </w:rPr>
              <w:t>West Penn</w:t>
            </w:r>
          </w:p>
        </w:tc>
        <w:tc>
          <w:tcPr>
            <w:tcW w:w="1866" w:type="dxa"/>
            <w:shd w:val="clear" w:color="auto" w:fill="D2EAF1"/>
          </w:tcPr>
          <w:p w:rsidR="00EF4777" w:rsidRPr="0030404E" w:rsidRDefault="00EF4777" w:rsidP="00EF4777">
            <w:pPr>
              <w:jc w:val="center"/>
              <w:rPr>
                <w:sz w:val="20"/>
                <w:szCs w:val="20"/>
              </w:rPr>
            </w:pPr>
            <w:r w:rsidRPr="00E513DB">
              <w:rPr>
                <w:sz w:val="20"/>
                <w:szCs w:val="20"/>
              </w:rPr>
              <w:t>$177,034</w:t>
            </w:r>
          </w:p>
        </w:tc>
        <w:tc>
          <w:tcPr>
            <w:tcW w:w="1867" w:type="dxa"/>
            <w:shd w:val="clear" w:color="auto" w:fill="D2EAF1"/>
          </w:tcPr>
          <w:p w:rsidR="00EF4777" w:rsidRPr="0030404E" w:rsidRDefault="00EF4777" w:rsidP="00EF4777">
            <w:pPr>
              <w:jc w:val="center"/>
              <w:rPr>
                <w:sz w:val="20"/>
                <w:szCs w:val="20"/>
              </w:rPr>
            </w:pPr>
            <w:r w:rsidRPr="00E513DB">
              <w:rPr>
                <w:sz w:val="20"/>
                <w:szCs w:val="20"/>
              </w:rPr>
              <w:t>$91,780</w:t>
            </w:r>
          </w:p>
        </w:tc>
        <w:tc>
          <w:tcPr>
            <w:tcW w:w="1866" w:type="dxa"/>
            <w:shd w:val="clear" w:color="auto" w:fill="D2EAF1"/>
          </w:tcPr>
          <w:p w:rsidR="00EF4777" w:rsidRPr="0030404E" w:rsidRDefault="00EF4777" w:rsidP="00EF4777">
            <w:pPr>
              <w:jc w:val="center"/>
              <w:rPr>
                <w:sz w:val="20"/>
                <w:szCs w:val="20"/>
              </w:rPr>
            </w:pPr>
            <w:r w:rsidRPr="00E513DB">
              <w:rPr>
                <w:sz w:val="20"/>
                <w:szCs w:val="20"/>
              </w:rPr>
              <w:t>$85,254</w:t>
            </w:r>
          </w:p>
        </w:tc>
        <w:tc>
          <w:tcPr>
            <w:tcW w:w="1918" w:type="dxa"/>
            <w:shd w:val="clear" w:color="auto" w:fill="D2EAF1"/>
          </w:tcPr>
          <w:p w:rsidR="00EF4777" w:rsidRPr="0030404E" w:rsidRDefault="00EF4777" w:rsidP="00EF4777">
            <w:pPr>
              <w:jc w:val="center"/>
              <w:rPr>
                <w:sz w:val="20"/>
                <w:szCs w:val="20"/>
              </w:rPr>
            </w:pPr>
            <w:r w:rsidRPr="00E513DB">
              <w:rPr>
                <w:sz w:val="20"/>
                <w:szCs w:val="20"/>
              </w:rPr>
              <w:t>1.9</w:t>
            </w:r>
          </w:p>
        </w:tc>
      </w:tr>
      <w:tr w:rsidR="00EF4777" w:rsidRPr="0030404E" w:rsidTr="00592FD5">
        <w:trPr>
          <w:trHeight w:val="331"/>
        </w:trPr>
        <w:tc>
          <w:tcPr>
            <w:tcW w:w="1843" w:type="dxa"/>
            <w:shd w:val="clear" w:color="auto" w:fill="auto"/>
          </w:tcPr>
          <w:p w:rsidR="00EF4777" w:rsidRPr="0030404E" w:rsidRDefault="00EF4777" w:rsidP="00EF4777">
            <w:pPr>
              <w:jc w:val="left"/>
              <w:rPr>
                <w:sz w:val="20"/>
                <w:szCs w:val="20"/>
              </w:rPr>
            </w:pPr>
            <w:r w:rsidRPr="0030404E">
              <w:rPr>
                <w:sz w:val="20"/>
                <w:szCs w:val="20"/>
              </w:rPr>
              <w:t>PECO</w:t>
            </w:r>
          </w:p>
        </w:tc>
        <w:tc>
          <w:tcPr>
            <w:tcW w:w="1866" w:type="dxa"/>
          </w:tcPr>
          <w:p w:rsidR="00EF4777" w:rsidRPr="0030404E" w:rsidRDefault="00EF4777" w:rsidP="00EF4777">
            <w:pPr>
              <w:jc w:val="center"/>
              <w:rPr>
                <w:sz w:val="20"/>
                <w:szCs w:val="20"/>
              </w:rPr>
            </w:pPr>
            <w:r w:rsidRPr="00E513DB">
              <w:rPr>
                <w:sz w:val="20"/>
                <w:szCs w:val="20"/>
              </w:rPr>
              <w:t>$90</w:t>
            </w:r>
            <w:r>
              <w:rPr>
                <w:sz w:val="20"/>
                <w:szCs w:val="20"/>
              </w:rPr>
              <w:t>3,716</w:t>
            </w:r>
          </w:p>
        </w:tc>
        <w:tc>
          <w:tcPr>
            <w:tcW w:w="1867" w:type="dxa"/>
            <w:shd w:val="clear" w:color="auto" w:fill="auto"/>
          </w:tcPr>
          <w:p w:rsidR="00EF4777" w:rsidRPr="0030404E" w:rsidRDefault="00EF4777" w:rsidP="00EF4777">
            <w:pPr>
              <w:jc w:val="center"/>
              <w:rPr>
                <w:sz w:val="20"/>
                <w:szCs w:val="20"/>
              </w:rPr>
            </w:pPr>
            <w:r w:rsidRPr="00E513DB">
              <w:rPr>
                <w:sz w:val="20"/>
                <w:szCs w:val="20"/>
              </w:rPr>
              <w:t>$516,392</w:t>
            </w:r>
          </w:p>
        </w:tc>
        <w:tc>
          <w:tcPr>
            <w:tcW w:w="1866" w:type="dxa"/>
            <w:shd w:val="clear" w:color="auto" w:fill="auto"/>
          </w:tcPr>
          <w:p w:rsidR="00EF4777" w:rsidRPr="0030404E" w:rsidRDefault="00EF4777" w:rsidP="00EF4777">
            <w:pPr>
              <w:jc w:val="center"/>
              <w:rPr>
                <w:sz w:val="20"/>
                <w:szCs w:val="20"/>
              </w:rPr>
            </w:pPr>
            <w:r w:rsidRPr="00E513DB">
              <w:rPr>
                <w:sz w:val="20"/>
                <w:szCs w:val="20"/>
              </w:rPr>
              <w:t>$390,322</w:t>
            </w:r>
          </w:p>
        </w:tc>
        <w:tc>
          <w:tcPr>
            <w:tcW w:w="1918" w:type="dxa"/>
            <w:shd w:val="clear" w:color="auto" w:fill="auto"/>
          </w:tcPr>
          <w:p w:rsidR="00EF4777" w:rsidRPr="0030404E" w:rsidRDefault="00EF4777" w:rsidP="00EF4777">
            <w:pPr>
              <w:jc w:val="center"/>
              <w:rPr>
                <w:sz w:val="20"/>
                <w:szCs w:val="20"/>
              </w:rPr>
            </w:pPr>
            <w:r w:rsidRPr="00E513DB">
              <w:rPr>
                <w:sz w:val="20"/>
                <w:szCs w:val="20"/>
              </w:rPr>
              <w:t>1.8</w:t>
            </w:r>
          </w:p>
        </w:tc>
      </w:tr>
      <w:tr w:rsidR="00A874AC" w:rsidRPr="0030404E" w:rsidTr="00592FD5">
        <w:trPr>
          <w:trHeight w:val="331"/>
        </w:trPr>
        <w:tc>
          <w:tcPr>
            <w:tcW w:w="1843" w:type="dxa"/>
            <w:shd w:val="clear" w:color="auto" w:fill="D2EAF1"/>
          </w:tcPr>
          <w:p w:rsidR="00EF4777" w:rsidRPr="0030404E" w:rsidRDefault="00EF4777" w:rsidP="00EF4777">
            <w:pPr>
              <w:jc w:val="left"/>
              <w:rPr>
                <w:sz w:val="20"/>
                <w:szCs w:val="20"/>
              </w:rPr>
            </w:pPr>
            <w:r w:rsidRPr="0030404E">
              <w:rPr>
                <w:sz w:val="20"/>
                <w:szCs w:val="20"/>
              </w:rPr>
              <w:t>PPL</w:t>
            </w:r>
          </w:p>
        </w:tc>
        <w:tc>
          <w:tcPr>
            <w:tcW w:w="1866" w:type="dxa"/>
            <w:shd w:val="clear" w:color="auto" w:fill="D2EAF1"/>
          </w:tcPr>
          <w:p w:rsidR="00EF4777" w:rsidRPr="0030404E" w:rsidRDefault="00EF4777" w:rsidP="00EF4777">
            <w:pPr>
              <w:jc w:val="center"/>
              <w:rPr>
                <w:sz w:val="20"/>
                <w:szCs w:val="20"/>
              </w:rPr>
            </w:pPr>
            <w:r w:rsidRPr="00E513DB">
              <w:rPr>
                <w:sz w:val="20"/>
                <w:szCs w:val="20"/>
              </w:rPr>
              <w:t>$499,240</w:t>
            </w:r>
          </w:p>
        </w:tc>
        <w:tc>
          <w:tcPr>
            <w:tcW w:w="1867" w:type="dxa"/>
            <w:shd w:val="clear" w:color="auto" w:fill="D2EAF1"/>
          </w:tcPr>
          <w:p w:rsidR="00EF4777" w:rsidRPr="0030404E" w:rsidRDefault="00EF4777" w:rsidP="00EF4777">
            <w:pPr>
              <w:jc w:val="center"/>
              <w:rPr>
                <w:sz w:val="20"/>
                <w:szCs w:val="20"/>
              </w:rPr>
            </w:pPr>
            <w:r w:rsidRPr="00E513DB">
              <w:rPr>
                <w:sz w:val="20"/>
                <w:szCs w:val="20"/>
              </w:rPr>
              <w:t>$314,182</w:t>
            </w:r>
          </w:p>
        </w:tc>
        <w:tc>
          <w:tcPr>
            <w:tcW w:w="1866" w:type="dxa"/>
            <w:shd w:val="clear" w:color="auto" w:fill="D2EAF1"/>
          </w:tcPr>
          <w:p w:rsidR="00EF4777" w:rsidRPr="0030404E" w:rsidRDefault="00EF4777" w:rsidP="00EF4777">
            <w:pPr>
              <w:jc w:val="center"/>
              <w:rPr>
                <w:sz w:val="20"/>
                <w:szCs w:val="20"/>
              </w:rPr>
            </w:pPr>
            <w:r w:rsidRPr="00E513DB">
              <w:rPr>
                <w:sz w:val="20"/>
                <w:szCs w:val="20"/>
              </w:rPr>
              <w:t>$185,058</w:t>
            </w:r>
          </w:p>
        </w:tc>
        <w:tc>
          <w:tcPr>
            <w:tcW w:w="1918" w:type="dxa"/>
            <w:shd w:val="clear" w:color="auto" w:fill="D2EAF1"/>
          </w:tcPr>
          <w:p w:rsidR="00EF4777" w:rsidRPr="0030404E" w:rsidRDefault="00EF4777" w:rsidP="00EF4777">
            <w:pPr>
              <w:jc w:val="center"/>
              <w:rPr>
                <w:sz w:val="20"/>
                <w:szCs w:val="20"/>
              </w:rPr>
            </w:pPr>
            <w:r w:rsidRPr="00E513DB">
              <w:rPr>
                <w:sz w:val="20"/>
                <w:szCs w:val="20"/>
              </w:rPr>
              <w:t>1.6</w:t>
            </w:r>
          </w:p>
        </w:tc>
      </w:tr>
      <w:tr w:rsidR="00EF4777" w:rsidRPr="0030404E" w:rsidTr="00592FD5">
        <w:trPr>
          <w:trHeight w:val="331"/>
        </w:trPr>
        <w:tc>
          <w:tcPr>
            <w:tcW w:w="1843" w:type="dxa"/>
            <w:shd w:val="clear" w:color="auto" w:fill="auto"/>
          </w:tcPr>
          <w:p w:rsidR="00EF4777" w:rsidRPr="0030404E" w:rsidRDefault="00EF4777" w:rsidP="00EF4777">
            <w:pPr>
              <w:rPr>
                <w:b/>
                <w:sz w:val="20"/>
                <w:szCs w:val="20"/>
              </w:rPr>
            </w:pPr>
            <w:r w:rsidRPr="0030404E">
              <w:rPr>
                <w:b/>
                <w:sz w:val="20"/>
                <w:szCs w:val="20"/>
              </w:rPr>
              <w:t>Total</w:t>
            </w:r>
          </w:p>
        </w:tc>
        <w:tc>
          <w:tcPr>
            <w:tcW w:w="1866" w:type="dxa"/>
          </w:tcPr>
          <w:p w:rsidR="00EF4777" w:rsidRPr="0030404E" w:rsidRDefault="00EF4777" w:rsidP="00C0035C">
            <w:pPr>
              <w:jc w:val="center"/>
              <w:rPr>
                <w:b/>
                <w:sz w:val="20"/>
                <w:szCs w:val="20"/>
              </w:rPr>
            </w:pPr>
            <w:r w:rsidRPr="00E513DB">
              <w:rPr>
                <w:b/>
                <w:sz w:val="20"/>
                <w:szCs w:val="20"/>
              </w:rPr>
              <w:t>$2,19</w:t>
            </w:r>
            <w:r>
              <w:rPr>
                <w:b/>
                <w:sz w:val="20"/>
                <w:szCs w:val="20"/>
              </w:rPr>
              <w:t>4</w:t>
            </w:r>
            <w:r w:rsidRPr="00E513DB">
              <w:rPr>
                <w:b/>
                <w:sz w:val="20"/>
                <w:szCs w:val="20"/>
              </w:rPr>
              <w:t>,</w:t>
            </w:r>
            <w:r w:rsidR="00C0035C">
              <w:rPr>
                <w:b/>
                <w:sz w:val="20"/>
                <w:szCs w:val="20"/>
              </w:rPr>
              <w:t>356</w:t>
            </w:r>
          </w:p>
        </w:tc>
        <w:tc>
          <w:tcPr>
            <w:tcW w:w="1867" w:type="dxa"/>
            <w:shd w:val="clear" w:color="auto" w:fill="auto"/>
          </w:tcPr>
          <w:p w:rsidR="00EF4777" w:rsidRPr="0030404E" w:rsidRDefault="00EF4777" w:rsidP="00EF4777">
            <w:pPr>
              <w:jc w:val="center"/>
              <w:rPr>
                <w:b/>
                <w:sz w:val="20"/>
                <w:szCs w:val="20"/>
              </w:rPr>
            </w:pPr>
            <w:r w:rsidRPr="00E513DB">
              <w:rPr>
                <w:b/>
                <w:sz w:val="20"/>
                <w:szCs w:val="20"/>
              </w:rPr>
              <w:t>$1,286,220</w:t>
            </w:r>
          </w:p>
        </w:tc>
        <w:tc>
          <w:tcPr>
            <w:tcW w:w="1866" w:type="dxa"/>
            <w:shd w:val="clear" w:color="auto" w:fill="auto"/>
          </w:tcPr>
          <w:p w:rsidR="00EF4777" w:rsidRPr="0030404E" w:rsidRDefault="00EF4777" w:rsidP="00EF4777">
            <w:pPr>
              <w:jc w:val="center"/>
              <w:rPr>
                <w:b/>
                <w:sz w:val="20"/>
                <w:szCs w:val="20"/>
              </w:rPr>
            </w:pPr>
            <w:r w:rsidRPr="00E513DB">
              <w:rPr>
                <w:b/>
                <w:sz w:val="20"/>
                <w:szCs w:val="20"/>
              </w:rPr>
              <w:t>$911,051</w:t>
            </w:r>
          </w:p>
        </w:tc>
        <w:tc>
          <w:tcPr>
            <w:tcW w:w="1918" w:type="dxa"/>
            <w:shd w:val="clear" w:color="auto" w:fill="auto"/>
          </w:tcPr>
          <w:p w:rsidR="00EF4777" w:rsidRPr="0030404E" w:rsidRDefault="00EF4777" w:rsidP="00EF4777">
            <w:pPr>
              <w:jc w:val="center"/>
              <w:rPr>
                <w:b/>
                <w:sz w:val="20"/>
                <w:szCs w:val="20"/>
              </w:rPr>
            </w:pPr>
            <w:r w:rsidRPr="00E513DB">
              <w:rPr>
                <w:b/>
                <w:sz w:val="20"/>
                <w:szCs w:val="20"/>
              </w:rPr>
              <w:t>1.7</w:t>
            </w:r>
          </w:p>
        </w:tc>
      </w:tr>
    </w:tbl>
    <w:p w:rsidR="00F25E7A" w:rsidRDefault="00F25E7A" w:rsidP="00FB4D74"/>
    <w:p w:rsidR="00696542" w:rsidRDefault="00F600EA" w:rsidP="00696542">
      <w:r>
        <w:t>Alt</w:t>
      </w:r>
      <w:r w:rsidR="00696542">
        <w:t xml:space="preserve">hough similar, the total Phase II benefits and costs are slightly different from the sum of the individual program year annual report values shown in </w:t>
      </w:r>
      <w:r w:rsidR="00696542">
        <w:fldChar w:fldCharType="begin"/>
      </w:r>
      <w:r w:rsidR="00696542">
        <w:instrText xml:space="preserve"> REF _Ref472459350 \h </w:instrText>
      </w:r>
      <w:r w:rsidR="00696542">
        <w:fldChar w:fldCharType="separate"/>
      </w:r>
      <w:r w:rsidR="00C301D0">
        <w:t xml:space="preserve">Table </w:t>
      </w:r>
      <w:r w:rsidR="00C301D0">
        <w:rPr>
          <w:noProof/>
        </w:rPr>
        <w:t>4</w:t>
      </w:r>
      <w:r w:rsidR="00C301D0">
        <w:noBreakHyphen/>
      </w:r>
      <w:r w:rsidR="00C301D0">
        <w:rPr>
          <w:noProof/>
        </w:rPr>
        <w:t>1</w:t>
      </w:r>
      <w:r w:rsidR="00696542">
        <w:fldChar w:fldCharType="end"/>
      </w:r>
      <w:r w:rsidR="00696542">
        <w:t>, as EDCs occasionally made minor revisions to the TRC models following SWE review of the models.  In addition, PPL reports Phase II benefits and costs by discounting all program year benefits and costs to the beginning of Phase II, producing total Phase II benefits that are less than the combined sum of individual reporting years.</w:t>
      </w:r>
      <w:r w:rsidR="00696542">
        <w:rPr>
          <w:rStyle w:val="FootnoteReference"/>
        </w:rPr>
        <w:footnoteReference w:id="23"/>
      </w:r>
    </w:p>
    <w:p w:rsidR="00696542" w:rsidRPr="00C6453D" w:rsidRDefault="00696542" w:rsidP="00696542"/>
    <w:p w:rsidR="00D40FF6" w:rsidRDefault="00696542" w:rsidP="00D40FF6">
      <w:pPr>
        <w:pStyle w:val="Heading3"/>
      </w:pPr>
      <w:bookmarkStart w:id="331" w:name="_Toc472472117"/>
      <w:bookmarkStart w:id="332" w:name="_Toc476913929"/>
      <w:r>
        <w:t xml:space="preserve">Phase II TRC </w:t>
      </w:r>
      <w:r w:rsidR="00F600EA">
        <w:t xml:space="preserve">Test </w:t>
      </w:r>
      <w:r>
        <w:t>Results by Sector</w:t>
      </w:r>
      <w:bookmarkEnd w:id="331"/>
      <w:bookmarkEnd w:id="332"/>
    </w:p>
    <w:p w:rsidR="00696542" w:rsidRDefault="00696542" w:rsidP="00696542">
      <w:r>
        <w:fldChar w:fldCharType="begin"/>
      </w:r>
      <w:r>
        <w:instrText xml:space="preserve"> REF _Ref472459756 \h </w:instrText>
      </w:r>
      <w:r>
        <w:fldChar w:fldCharType="separate"/>
      </w:r>
      <w:r w:rsidR="00C301D0">
        <w:t xml:space="preserve">Figure </w:t>
      </w:r>
      <w:r w:rsidR="00C301D0">
        <w:rPr>
          <w:noProof/>
        </w:rPr>
        <w:t>4</w:t>
      </w:r>
      <w:r w:rsidR="00C301D0">
        <w:noBreakHyphen/>
      </w:r>
      <w:r w:rsidR="00C301D0">
        <w:rPr>
          <w:noProof/>
        </w:rPr>
        <w:t>1</w:t>
      </w:r>
      <w:r>
        <w:fldChar w:fldCharType="end"/>
      </w:r>
      <w:r>
        <w:t xml:space="preserve"> </w:t>
      </w:r>
      <w:r w:rsidRPr="00696542">
        <w:t>shows the total Phase II TRC ratios for all EDCs combined by sector.  The residential sector inclu</w:t>
      </w:r>
      <w:r w:rsidR="00F600EA">
        <w:t>des all traditional residential</w:t>
      </w:r>
      <w:r w:rsidR="00B46519">
        <w:t xml:space="preserve"> </w:t>
      </w:r>
      <w:r w:rsidRPr="00696542">
        <w:t>sector programs, low</w:t>
      </w:r>
      <w:r w:rsidR="00F600EA">
        <w:t>-</w:t>
      </w:r>
      <w:r w:rsidRPr="00696542">
        <w:t>income programs, and behavior modification programs.  The non</w:t>
      </w:r>
      <w:r w:rsidR="00F600EA">
        <w:t>-</w:t>
      </w:r>
      <w:r w:rsidRPr="00696542">
        <w:t xml:space="preserve">residential sector includes all </w:t>
      </w:r>
      <w:r w:rsidR="00F600EA">
        <w:t>C/I</w:t>
      </w:r>
      <w:r w:rsidRPr="00696542">
        <w:t>, master-meter buildings, and GNI programs.</w:t>
      </w:r>
    </w:p>
    <w:p w:rsidR="00696542" w:rsidRDefault="00696542" w:rsidP="00696542"/>
    <w:p w:rsidR="00A30624" w:rsidRDefault="00A30624" w:rsidP="00696542"/>
    <w:p w:rsidR="00A30624" w:rsidRDefault="00A30624" w:rsidP="00696542"/>
    <w:p w:rsidR="00A30624" w:rsidRDefault="00A30624" w:rsidP="00696542"/>
    <w:p w:rsidR="00A30624" w:rsidRDefault="00A30624" w:rsidP="00696542"/>
    <w:p w:rsidR="00A30624" w:rsidRDefault="00A30624" w:rsidP="00696542"/>
    <w:p w:rsidR="00A30624" w:rsidRDefault="00A30624" w:rsidP="00696542"/>
    <w:p w:rsidR="00A30624" w:rsidRDefault="00A30624" w:rsidP="00696542"/>
    <w:p w:rsidR="00477B3C" w:rsidRDefault="00477B3C" w:rsidP="00696542"/>
    <w:p w:rsidR="00477B3C" w:rsidRDefault="00477B3C" w:rsidP="00696542"/>
    <w:p w:rsidR="00477B3C" w:rsidRDefault="00477B3C" w:rsidP="00696542"/>
    <w:p w:rsidR="00477B3C" w:rsidRDefault="00477B3C" w:rsidP="00696542"/>
    <w:p w:rsidR="00477B3C" w:rsidRDefault="00477B3C" w:rsidP="00696542"/>
    <w:p w:rsidR="00B46519" w:rsidRDefault="00696542" w:rsidP="00B46519">
      <w:pPr>
        <w:pStyle w:val="Caption"/>
      </w:pPr>
      <w:bookmarkStart w:id="333" w:name="_Ref472459756"/>
      <w:bookmarkStart w:id="334" w:name="_Toc472472239"/>
      <w:bookmarkStart w:id="335" w:name="_Toc476914053"/>
      <w:r>
        <w:lastRenderedPageBreak/>
        <w:t xml:space="preserve">Figure </w:t>
      </w:r>
      <w:fldSimple w:instr=" STYLEREF 1 \s ">
        <w:r w:rsidR="00C301D0">
          <w:rPr>
            <w:noProof/>
          </w:rPr>
          <w:t>4</w:t>
        </w:r>
      </w:fldSimple>
      <w:r w:rsidR="00DA1ADA">
        <w:noBreakHyphen/>
      </w:r>
      <w:fldSimple w:instr=" SEQ Figure \* ARABIC \s 1 ">
        <w:r w:rsidR="00C301D0">
          <w:rPr>
            <w:noProof/>
          </w:rPr>
          <w:t>1</w:t>
        </w:r>
      </w:fldSimple>
      <w:bookmarkEnd w:id="333"/>
      <w:r>
        <w:t xml:space="preserve">: Phase II TRC Ratios by Portfolio </w:t>
      </w:r>
      <w:bookmarkEnd w:id="334"/>
      <w:r w:rsidR="00B46519">
        <w:t>Sector</w:t>
      </w:r>
      <w:bookmarkEnd w:id="335"/>
    </w:p>
    <w:p w:rsidR="00696542" w:rsidRPr="00A30624" w:rsidRDefault="00397FF8" w:rsidP="00A30624">
      <w:pPr>
        <w:jc w:val="center"/>
      </w:pPr>
      <w:r w:rsidRPr="00A30624">
        <w:rPr>
          <w:noProof/>
        </w:rPr>
        <w:drawing>
          <wp:inline distT="0" distB="0" distL="0" distR="0" wp14:anchorId="4D81F303" wp14:editId="0D549ED6">
            <wp:extent cx="4705174" cy="2822713"/>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2067" cy="2826848"/>
                    </a:xfrm>
                    <a:prstGeom prst="rect">
                      <a:avLst/>
                    </a:prstGeom>
                    <a:noFill/>
                  </pic:spPr>
                </pic:pic>
              </a:graphicData>
            </a:graphic>
          </wp:inline>
        </w:drawing>
      </w:r>
    </w:p>
    <w:p w:rsidR="00A30624" w:rsidRDefault="00A30624" w:rsidP="001D447E"/>
    <w:p w:rsidR="001D447E" w:rsidRDefault="001D447E" w:rsidP="001D447E">
      <w:r>
        <w:t>Overall, the residential sector programs were slightly more cost-effective than non</w:t>
      </w:r>
      <w:r w:rsidR="00B46519">
        <w:t>-</w:t>
      </w:r>
      <w:r>
        <w:t>residential programs.</w:t>
      </w:r>
    </w:p>
    <w:p w:rsidR="00696542" w:rsidRPr="00696542" w:rsidRDefault="00696542" w:rsidP="00696542"/>
    <w:p w:rsidR="00D40FF6" w:rsidRDefault="001D447E" w:rsidP="00D40FF6">
      <w:pPr>
        <w:pStyle w:val="Heading3"/>
        <w:rPr>
          <w:rStyle w:val="Heading3Char"/>
          <w:b/>
        </w:rPr>
      </w:pPr>
      <w:bookmarkStart w:id="336" w:name="_Toc472472118"/>
      <w:bookmarkStart w:id="337" w:name="_Toc476913930"/>
      <w:r>
        <w:rPr>
          <w:rStyle w:val="Heading3Char"/>
          <w:b/>
        </w:rPr>
        <w:t>TRC Test Results by Phase</w:t>
      </w:r>
      <w:bookmarkEnd w:id="336"/>
      <w:bookmarkEnd w:id="337"/>
    </w:p>
    <w:p w:rsidR="001D447E" w:rsidRDefault="001D447E" w:rsidP="001D447E">
      <w:r>
        <w:fldChar w:fldCharType="begin"/>
      </w:r>
      <w:r>
        <w:instrText xml:space="preserve"> REF _Ref472456668 \h </w:instrText>
      </w:r>
      <w:r>
        <w:fldChar w:fldCharType="separate"/>
      </w:r>
      <w:r w:rsidR="00C301D0">
        <w:t xml:space="preserve">Figure </w:t>
      </w:r>
      <w:r w:rsidR="00C301D0">
        <w:rPr>
          <w:noProof/>
        </w:rPr>
        <w:t>4</w:t>
      </w:r>
      <w:r w:rsidR="00C301D0">
        <w:noBreakHyphen/>
      </w:r>
      <w:r w:rsidR="00C301D0">
        <w:rPr>
          <w:noProof/>
        </w:rPr>
        <w:t>2</w:t>
      </w:r>
      <w:r>
        <w:fldChar w:fldCharType="end"/>
      </w:r>
      <w:r>
        <w:t xml:space="preserve"> shows the portfolio TRC</w:t>
      </w:r>
      <w:r w:rsidR="00B46519">
        <w:t xml:space="preserve"> ratios</w:t>
      </w:r>
      <w:r>
        <w:t xml:space="preserve"> for all EDCs combined by Phase I and II program years.  Overall, the combined Phase II portfolios were less cost-effective than in</w:t>
      </w:r>
      <w:r w:rsidR="00B46519">
        <w:t xml:space="preserve"> the</w:t>
      </w:r>
      <w:r>
        <w:t xml:space="preserve"> Phase I</w:t>
      </w:r>
      <w:r w:rsidR="00B46519">
        <w:t xml:space="preserve"> portfolios</w:t>
      </w:r>
      <w:r>
        <w:t xml:space="preserve">. </w:t>
      </w:r>
    </w:p>
    <w:p w:rsidR="001D447E" w:rsidRDefault="001D447E" w:rsidP="001D447E"/>
    <w:p w:rsidR="001D447E" w:rsidRPr="00100BB4" w:rsidRDefault="001D447E" w:rsidP="001D447E">
      <w:pPr>
        <w:pStyle w:val="Caption"/>
      </w:pPr>
      <w:bookmarkStart w:id="338" w:name="_Ref472456668"/>
      <w:bookmarkStart w:id="339" w:name="_Toc472472240"/>
      <w:bookmarkStart w:id="340" w:name="_Toc476914054"/>
      <w:r>
        <w:t xml:space="preserve">Figure </w:t>
      </w:r>
      <w:fldSimple w:instr=" STYLEREF 1 \s ">
        <w:r w:rsidR="00C301D0">
          <w:rPr>
            <w:noProof/>
          </w:rPr>
          <w:t>4</w:t>
        </w:r>
      </w:fldSimple>
      <w:r w:rsidR="00DA1ADA">
        <w:noBreakHyphen/>
      </w:r>
      <w:fldSimple w:instr=" SEQ Figure \* ARABIC \s 1 ">
        <w:r w:rsidR="00C301D0">
          <w:rPr>
            <w:noProof/>
          </w:rPr>
          <w:t>2</w:t>
        </w:r>
      </w:fldSimple>
      <w:bookmarkEnd w:id="338"/>
      <w:r>
        <w:t xml:space="preserve">: </w:t>
      </w:r>
      <w:r w:rsidR="00070E25">
        <w:t xml:space="preserve">Phase I and </w:t>
      </w:r>
      <w:r>
        <w:t>II TRC Ratios</w:t>
      </w:r>
      <w:bookmarkEnd w:id="339"/>
      <w:bookmarkEnd w:id="340"/>
    </w:p>
    <w:p w:rsidR="001D447E" w:rsidRDefault="001D447E" w:rsidP="001D447E">
      <w:pPr>
        <w:jc w:val="center"/>
      </w:pPr>
      <w:r>
        <w:rPr>
          <w:noProof/>
        </w:rPr>
        <w:drawing>
          <wp:inline distT="0" distB="0" distL="0" distR="0" wp14:anchorId="025E205B" wp14:editId="700C07C4">
            <wp:extent cx="5276850" cy="257175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D447E" w:rsidRDefault="001D447E" w:rsidP="001D447E"/>
    <w:p w:rsidR="001D447E" w:rsidRDefault="001D447E" w:rsidP="001D447E">
      <w:r>
        <w:t>This result is not unexpected, as EDCs continue to diversify their portfolio</w:t>
      </w:r>
      <w:r w:rsidR="00070E25">
        <w:t>s</w:t>
      </w:r>
      <w:r>
        <w:t xml:space="preserve"> beyond traditional lighting programs and target hard to reach markets. In addition, the Phase I (PY2) ratios included </w:t>
      </w:r>
      <w:r w:rsidR="00070E25">
        <w:t>c</w:t>
      </w:r>
      <w:r>
        <w:t xml:space="preserve">onservation </w:t>
      </w:r>
      <w:r w:rsidR="00070E25">
        <w:t>v</w:t>
      </w:r>
      <w:r>
        <w:t xml:space="preserve">oltage </w:t>
      </w:r>
      <w:r w:rsidR="00070E25">
        <w:t>r</w:t>
      </w:r>
      <w:r>
        <w:t>eduction programs, which were highly cost-effective but not included in Phase II of Act 129.</w:t>
      </w:r>
    </w:p>
    <w:p w:rsidR="001D447E" w:rsidRDefault="001D447E" w:rsidP="001D447E">
      <w:pPr>
        <w:rPr>
          <w:rFonts w:eastAsiaTheme="minorHAnsi"/>
        </w:rPr>
      </w:pPr>
    </w:p>
    <w:p w:rsidR="00A30624" w:rsidRDefault="00A30624" w:rsidP="001D447E">
      <w:pPr>
        <w:rPr>
          <w:rFonts w:eastAsiaTheme="minorHAnsi"/>
        </w:rPr>
      </w:pPr>
    </w:p>
    <w:p w:rsidR="00696542" w:rsidRDefault="00696542" w:rsidP="00696542">
      <w:pPr>
        <w:pStyle w:val="Heading2"/>
      </w:pPr>
      <w:bookmarkStart w:id="341" w:name="_Toc472472119"/>
      <w:bookmarkStart w:id="342" w:name="_Toc476913931"/>
      <w:r>
        <w:lastRenderedPageBreak/>
        <w:t>Phase II TRC Audit Overview</w:t>
      </w:r>
      <w:bookmarkEnd w:id="341"/>
      <w:bookmarkEnd w:id="342"/>
    </w:p>
    <w:p w:rsidR="00696542" w:rsidRDefault="00696542" w:rsidP="00696542">
      <w:r>
        <w:t>For each program year of Phase II, the SWE reviewed the inputs and outputs of each EDC</w:t>
      </w:r>
      <w:r w:rsidR="009C44B4">
        <w:t>’s</w:t>
      </w:r>
      <w:r>
        <w:t xml:space="preserve"> TRC model to ensure accurate and consistent calculations of TRC benefits and costs.   A detailed discussion of each EDC’s TRC audit can be found in the</w:t>
      </w:r>
      <w:r w:rsidR="00714602" w:rsidRPr="00714602">
        <w:t xml:space="preserve"> </w:t>
      </w:r>
      <w:r w:rsidR="00714602">
        <w:t>Phase II SWE Annual Reports to the PUC for</w:t>
      </w:r>
      <w:r>
        <w:t xml:space="preserve"> PY5 and PY6, as well as</w:t>
      </w:r>
      <w:r w:rsidR="009C44B4">
        <w:t xml:space="preserve"> in</w:t>
      </w:r>
      <w:r>
        <w:t xml:space="preserve"> </w:t>
      </w:r>
      <w:r w:rsidR="004F6956">
        <w:t xml:space="preserve">Appendix </w:t>
      </w:r>
      <w:r>
        <w:t>A of this report.  The SWE’s TRC audit included a review of EDC discount rates, line losses,</w:t>
      </w:r>
      <w:r w:rsidR="00714602" w:rsidRPr="00714602">
        <w:t xml:space="preserve"> </w:t>
      </w:r>
      <w:r w:rsidR="00714602">
        <w:t>forecasts of</w:t>
      </w:r>
      <w:r>
        <w:t xml:space="preserve"> avoided costs, assumed measure lives, incremental costs, and other relevant factors.</w:t>
      </w:r>
    </w:p>
    <w:p w:rsidR="00696542" w:rsidRDefault="00696542" w:rsidP="00696542"/>
    <w:p w:rsidR="00696542" w:rsidRDefault="00696542" w:rsidP="00696542">
      <w:pPr>
        <w:pStyle w:val="Heading3"/>
      </w:pPr>
      <w:bookmarkStart w:id="343" w:name="_Toc472472120"/>
      <w:bookmarkStart w:id="344" w:name="_Toc476913932"/>
      <w:r>
        <w:t>Discount Rates and Line Losses</w:t>
      </w:r>
      <w:bookmarkEnd w:id="343"/>
      <w:bookmarkEnd w:id="344"/>
    </w:p>
    <w:p w:rsidR="00696542" w:rsidRDefault="00696542" w:rsidP="00696542">
      <w:r>
        <w:t>The EDC discount rate and line loss factors</w:t>
      </w:r>
      <w:r w:rsidR="009C44B4">
        <w:t xml:space="preserve"> (LLFs)</w:t>
      </w:r>
      <w:r>
        <w:t xml:space="preserve"> are two underlying assumptions that have a considerable effect on the final TRC ratio.  The discount rate is used to compare the Net Present Value (NPV) of program benefits that will occur throughout a measure’s lifetime </w:t>
      </w:r>
      <w:r w:rsidR="009C44B4">
        <w:t>with</w:t>
      </w:r>
      <w:r>
        <w:t xml:space="preserve"> the up</w:t>
      </w:r>
      <w:r w:rsidR="009C44B4">
        <w:t>-</w:t>
      </w:r>
      <w:r>
        <w:t xml:space="preserve">front cost of installation and implementation. </w:t>
      </w:r>
      <w:r w:rsidR="009C44B4">
        <w:t>LLF</w:t>
      </w:r>
      <w:r>
        <w:t xml:space="preserve">s account for the energy lost during transmission </w:t>
      </w:r>
      <w:r w:rsidR="00F5410E">
        <w:t xml:space="preserve">and distribution </w:t>
      </w:r>
      <w:r>
        <w:t xml:space="preserve">due to electric resistance and adjust </w:t>
      </w:r>
      <w:r w:rsidR="00714602">
        <w:t xml:space="preserve">electricity </w:t>
      </w:r>
      <w:r>
        <w:t xml:space="preserve">savings from </w:t>
      </w:r>
      <w:r w:rsidR="00714602">
        <w:t xml:space="preserve">the </w:t>
      </w:r>
      <w:r>
        <w:t>meter level to</w:t>
      </w:r>
      <w:r w:rsidR="00714602">
        <w:t xml:space="preserve"> the</w:t>
      </w:r>
      <w:r>
        <w:t xml:space="preserve"> generation</w:t>
      </w:r>
      <w:r w:rsidR="00714602" w:rsidRPr="00714602">
        <w:t xml:space="preserve"> </w:t>
      </w:r>
      <w:r w:rsidR="00714602">
        <w:t>level of the electric grid</w:t>
      </w:r>
      <w:r>
        <w:t xml:space="preserve">. </w:t>
      </w:r>
    </w:p>
    <w:p w:rsidR="00696542" w:rsidRDefault="00696542" w:rsidP="00696542"/>
    <w:p w:rsidR="00696542" w:rsidRDefault="00696542" w:rsidP="00696542">
      <w:r>
        <w:t>The SWE Team reviewed the discount rate and line loss assumptions included in each EDC</w:t>
      </w:r>
      <w:r w:rsidR="009C44B4">
        <w:t>’s</w:t>
      </w:r>
      <w:r>
        <w:t xml:space="preserve"> TRC model to ensure consistency with the approved discount rate and line loss assumptions that were approved in the EDC’s Phase II EE&amp;C </w:t>
      </w:r>
      <w:r w:rsidR="009C44B4">
        <w:t>p</w:t>
      </w:r>
      <w:r>
        <w:t>lan. The SWE concludes that, with minor exceptions, the EDCs consistently and correctly applied their EE&amp;C approved discount rate and line loss assumptions in their respective Phase II TRC models.</w:t>
      </w:r>
    </w:p>
    <w:p w:rsidR="00696542" w:rsidRPr="0045384C" w:rsidRDefault="00696542" w:rsidP="00696542"/>
    <w:p w:rsidR="00696542" w:rsidRDefault="00696542" w:rsidP="00696542">
      <w:pPr>
        <w:pStyle w:val="Heading3"/>
      </w:pPr>
      <w:bookmarkStart w:id="345" w:name="_Toc472472121"/>
      <w:bookmarkStart w:id="346" w:name="_Toc476913933"/>
      <w:r>
        <w:t>Avoided Energy and Capacity Costs</w:t>
      </w:r>
      <w:bookmarkEnd w:id="345"/>
      <w:bookmarkEnd w:id="346"/>
    </w:p>
    <w:p w:rsidR="00696542" w:rsidRDefault="00696542" w:rsidP="00696542">
      <w:r>
        <w:t xml:space="preserve">Another critical element in the calculation of TRC benefits </w:t>
      </w:r>
      <w:r w:rsidR="009C44B4">
        <w:t>is</w:t>
      </w:r>
      <w:r>
        <w:t xml:space="preserve"> the value of avoided energy and capacity costs.  Avoided costs are the savings associated with not having to produce or purchase additional units of electricity.  Each EDC established a set of approved</w:t>
      </w:r>
      <w:r w:rsidR="009C44B4">
        <w:t xml:space="preserve"> avoided costs for Phase II in its </w:t>
      </w:r>
      <w:r>
        <w:t xml:space="preserve">respective EE&amp;C </w:t>
      </w:r>
      <w:r w:rsidR="009C44B4">
        <w:t>p</w:t>
      </w:r>
      <w:r>
        <w:t xml:space="preserve">lan.  Each program year, the SWE sought to confirm that the EDCs </w:t>
      </w:r>
      <w:r w:rsidR="009C44B4">
        <w:t>used</w:t>
      </w:r>
      <w:r>
        <w:t xml:space="preserve"> the appropriate avoided cost stream from </w:t>
      </w:r>
      <w:r w:rsidR="00714602">
        <w:t>the</w:t>
      </w:r>
      <w:r>
        <w:t xml:space="preserve"> avoided costs</w:t>
      </w:r>
      <w:r w:rsidR="00714602">
        <w:t xml:space="preserve"> included in their approved Phase II EE&amp;C Plans</w:t>
      </w:r>
      <w:r>
        <w:t xml:space="preserve">.  The SWE observed limited instances during Phase II where inaccurate avoided costs were applied in the calculation of TRC benefits, and coordinated with </w:t>
      </w:r>
      <w:r w:rsidR="00254D1C">
        <w:t xml:space="preserve">EDCs </w:t>
      </w:r>
      <w:r>
        <w:t xml:space="preserve">to produce revised </w:t>
      </w:r>
      <w:r w:rsidR="00B008F0">
        <w:t xml:space="preserve">TRC calculation </w:t>
      </w:r>
      <w:r>
        <w:t>results in these instances.</w:t>
      </w:r>
    </w:p>
    <w:p w:rsidR="00696542" w:rsidRPr="00512EBD" w:rsidRDefault="00696542" w:rsidP="00696542"/>
    <w:p w:rsidR="00696542" w:rsidRDefault="00696542" w:rsidP="00696542">
      <w:pPr>
        <w:pStyle w:val="Heading3"/>
      </w:pPr>
      <w:bookmarkStart w:id="347" w:name="_Toc472472122"/>
      <w:bookmarkStart w:id="348" w:name="_Toc476913934"/>
      <w:r>
        <w:t>Other Input Assumptions</w:t>
      </w:r>
      <w:bookmarkEnd w:id="347"/>
      <w:bookmarkEnd w:id="348"/>
    </w:p>
    <w:p w:rsidR="00696542" w:rsidRDefault="00696542" w:rsidP="00696542">
      <w:r>
        <w:t>The SWE also reviewed, in each program year and for each EDC, measure</w:t>
      </w:r>
      <w:r w:rsidR="009C44B4">
        <w:t xml:space="preserve">- and </w:t>
      </w:r>
      <w:r>
        <w:t>program</w:t>
      </w:r>
      <w:r w:rsidR="009C44B4">
        <w:t>-</w:t>
      </w:r>
      <w:r>
        <w:t xml:space="preserve"> specific savings, costs, and</w:t>
      </w:r>
      <w:r w:rsidR="00B008F0" w:rsidRPr="00B008F0">
        <w:t xml:space="preserve"> </w:t>
      </w:r>
      <w:r w:rsidR="00B008F0">
        <w:t>measure</w:t>
      </w:r>
      <w:r>
        <w:t xml:space="preserve"> useful lives.  The measure savings review ensured that the TRC models were consistent with individual TRM-specified measure savings values as well as aggregate program and portfolio savings for each program year.  The TRC audit also included a review of measure cost assumptions to ensure </w:t>
      </w:r>
      <w:r w:rsidR="009C44B4">
        <w:t xml:space="preserve">that </w:t>
      </w:r>
      <w:r>
        <w:t>reasonable EDC and participant costs were included in the TRC models. During Phase II, the SWE updated the SWE Incremental Cost Database to assist EDCs with a consistent set of incremental cost assumptions across the EDCs.  EDCs also u</w:t>
      </w:r>
      <w:r w:rsidR="009C44B4">
        <w:t>se</w:t>
      </w:r>
      <w:r>
        <w:t>d program year invoices and additional sources for incremental cost data.  The SWE reviewed these sources for reasonableness and accuracy. Last, the SWE reviewed the assumed measure life assumptions included in the TRC models for consistency with prescribed TRM values to ensure that TRC benefits were calculated throughout the proper lifetime of achieved savings.</w:t>
      </w:r>
    </w:p>
    <w:p w:rsidR="00696542" w:rsidRDefault="00696542" w:rsidP="00696542"/>
    <w:p w:rsidR="00696542" w:rsidRDefault="00696542" w:rsidP="00696542">
      <w:r>
        <w:t>Throughout Phase II, the SWE audit confirmed that, with minor exceptions, the EDC models used reasonable and accurate input assumptions.</w:t>
      </w:r>
    </w:p>
    <w:p w:rsidR="00696542" w:rsidRDefault="00696542" w:rsidP="00696542"/>
    <w:p w:rsidR="00034173" w:rsidRDefault="00034173" w:rsidP="00696542"/>
    <w:p w:rsidR="00034173" w:rsidRDefault="00034173" w:rsidP="00696542"/>
    <w:p w:rsidR="00696542" w:rsidRDefault="00696542" w:rsidP="00696542">
      <w:pPr>
        <w:pStyle w:val="Heading3"/>
      </w:pPr>
      <w:bookmarkStart w:id="349" w:name="_Toc472472123"/>
      <w:bookmarkStart w:id="350" w:name="_Toc476913935"/>
      <w:r>
        <w:lastRenderedPageBreak/>
        <w:t>Output Review</w:t>
      </w:r>
      <w:bookmarkEnd w:id="349"/>
      <w:bookmarkEnd w:id="350"/>
    </w:p>
    <w:p w:rsidR="00696542" w:rsidRDefault="00696542" w:rsidP="00696542">
      <w:r>
        <w:t xml:space="preserve">As a final component of the TRC model review, the SWE reviewed the calculations and TRC outputs to ensure consistency with the EDC </w:t>
      </w:r>
      <w:r w:rsidR="009C44B4">
        <w:t>a</w:t>
      </w:r>
      <w:r>
        <w:t xml:space="preserve">nnual </w:t>
      </w:r>
      <w:r w:rsidR="009C44B4">
        <w:t>r</w:t>
      </w:r>
      <w:r>
        <w:t xml:space="preserve">eports. Throughout PY5 and PY6, the SWE occasionally found some minor inconsistencies with the TRC benefits and costs in the EDC TRC models compared </w:t>
      </w:r>
      <w:r w:rsidR="009C44B4">
        <w:t>with</w:t>
      </w:r>
      <w:r>
        <w:t xml:space="preserve"> the reported values in the EDC </w:t>
      </w:r>
      <w:r w:rsidR="009C44B4">
        <w:t>a</w:t>
      </w:r>
      <w:r>
        <w:t xml:space="preserve">nnual </w:t>
      </w:r>
      <w:r w:rsidR="009C44B4">
        <w:t>r</w:t>
      </w:r>
      <w:r>
        <w:t xml:space="preserve">eports. Typically, these inconsistencies were minimal (less than 1%) and did not require any immediate action by the EDCs.  In PY7, the SWE found no reportable differences between </w:t>
      </w:r>
      <w:r w:rsidR="009C44B4">
        <w:t>the TRC model outputs compared with the reported values in the a</w:t>
      </w:r>
      <w:r>
        <w:t xml:space="preserve">nnual </w:t>
      </w:r>
      <w:r w:rsidR="009C44B4">
        <w:t>r</w:t>
      </w:r>
      <w:r>
        <w:t>eport</w:t>
      </w:r>
      <w:r w:rsidR="009C44B4">
        <w:t>s</w:t>
      </w:r>
      <w:r>
        <w:t xml:space="preserve">.  </w:t>
      </w:r>
    </w:p>
    <w:p w:rsidR="00696542" w:rsidRPr="00696542" w:rsidRDefault="00696542" w:rsidP="00696542"/>
    <w:p w:rsidR="00A30624" w:rsidRDefault="00A30624">
      <w:pPr>
        <w:jc w:val="left"/>
      </w:pPr>
      <w:r>
        <w:br w:type="page"/>
      </w:r>
    </w:p>
    <w:p w:rsidR="00D40FF6" w:rsidRPr="00530F17" w:rsidRDefault="00D40FF6" w:rsidP="00472B27">
      <w:pPr>
        <w:pStyle w:val="Heading1"/>
      </w:pPr>
      <w:bookmarkStart w:id="351" w:name="_Ref472258083"/>
      <w:bookmarkStart w:id="352" w:name="_Toc472472124"/>
      <w:bookmarkStart w:id="353" w:name="_Toc476913936"/>
      <w:r>
        <w:lastRenderedPageBreak/>
        <w:t>SWE Analysis of Phase II</w:t>
      </w:r>
      <w:bookmarkEnd w:id="351"/>
      <w:bookmarkEnd w:id="352"/>
      <w:r w:rsidR="004E3F18">
        <w:t xml:space="preserve"> Program Delivery</w:t>
      </w:r>
      <w:bookmarkEnd w:id="353"/>
    </w:p>
    <w:p w:rsidR="00D40FF6" w:rsidRDefault="00D40FF6" w:rsidP="00472B27">
      <w:pPr>
        <w:pStyle w:val="Heading2"/>
      </w:pPr>
      <w:bookmarkStart w:id="354" w:name="_Toc472472125"/>
      <w:bookmarkStart w:id="355" w:name="_Toc476913937"/>
      <w:r>
        <w:t>Introduction</w:t>
      </w:r>
      <w:bookmarkEnd w:id="354"/>
      <w:bookmarkEnd w:id="355"/>
    </w:p>
    <w:p w:rsidR="00FB4D74" w:rsidRDefault="00B3153D" w:rsidP="00FB4D74">
      <w:r w:rsidRPr="00B3153D">
        <w:t>This chapter presents the findings of the Phase II SWE analysis</w:t>
      </w:r>
      <w:r w:rsidR="004E3F18">
        <w:t xml:space="preserve"> of process evaluations and NTG research</w:t>
      </w:r>
      <w:r w:rsidRPr="00B3153D">
        <w:t>. It also presents a summary of best practices research conducted by the Phase II SWE and EM&amp;V protocol improvements that have been made based on this research, and emerging concepts for the design of energy efficiency programs</w:t>
      </w:r>
      <w:r w:rsidR="004E3F18">
        <w:t>.</w:t>
      </w:r>
    </w:p>
    <w:p w:rsidR="00B3153D" w:rsidRPr="00FB4D74" w:rsidRDefault="00B3153D" w:rsidP="00FB4D74"/>
    <w:p w:rsidR="00D40FF6" w:rsidRDefault="00D40FF6" w:rsidP="00472B27">
      <w:pPr>
        <w:pStyle w:val="Heading2"/>
      </w:pPr>
      <w:bookmarkStart w:id="356" w:name="_Toc472472126"/>
      <w:bookmarkStart w:id="357" w:name="_Toc476913938"/>
      <w:r>
        <w:t>Process Evaluation</w:t>
      </w:r>
      <w:bookmarkEnd w:id="356"/>
      <w:bookmarkEnd w:id="357"/>
    </w:p>
    <w:p w:rsidR="00661E10" w:rsidRPr="00661E10" w:rsidRDefault="00692A58" w:rsidP="00661E10">
      <w:pPr>
        <w:pStyle w:val="Heading3"/>
      </w:pPr>
      <w:bookmarkStart w:id="358" w:name="_Toc472472127"/>
      <w:bookmarkStart w:id="359" w:name="_Toc476913939"/>
      <w:r>
        <w:t>Role of Process Evaluation in Phase II</w:t>
      </w:r>
      <w:bookmarkEnd w:id="358"/>
      <w:bookmarkEnd w:id="359"/>
    </w:p>
    <w:p w:rsidR="00661E10" w:rsidRDefault="00661E10" w:rsidP="00661E10">
      <w:r w:rsidRPr="00661E10">
        <w:t>The PA PUC Implementation Order for Phase II of Act 129 identifies the need to “ensure that credible … process evaluations are available for Phase II.” The</w:t>
      </w:r>
      <w:r w:rsidR="00B008F0" w:rsidRPr="00B008F0">
        <w:t xml:space="preserve"> </w:t>
      </w:r>
      <w:r w:rsidR="00B008F0">
        <w:t>SWE</w:t>
      </w:r>
      <w:r w:rsidRPr="00661E10">
        <w:t xml:space="preserve"> Phase II Evaluation Framework describes the purpose of process evaluation (“to determine if there are ways to alter the program to improve program cost-effectiveness or the program’s efficiency in acquiring resources”), identifies ways in which decision-makers can use the results of process evaluations, and describes process evaluation approaches and methodologies. The framework also states two specific process evaluation requirements applying to the EDCs: (1) that each process evaluation have a detailed plan that describes the objectives, sampling plan (for surveys, interviews, or focus groups), research activities, and specific issues to be addressed, along with a schedule of milestones and deliverables; and (2) that every program have at least one process evaluation in every funding cycle or phase.</w:t>
      </w:r>
    </w:p>
    <w:p w:rsidR="007D5AC4" w:rsidRDefault="007D5AC4" w:rsidP="00661E10"/>
    <w:p w:rsidR="007D5AC4" w:rsidRDefault="007D5AC4" w:rsidP="007D5AC4">
      <w:pPr>
        <w:pStyle w:val="Heading3"/>
      </w:pPr>
      <w:bookmarkStart w:id="360" w:name="_Toc476913940"/>
      <w:r>
        <w:t>SWE Analysis of Phase II Process Evaluation</w:t>
      </w:r>
      <w:bookmarkEnd w:id="360"/>
    </w:p>
    <w:p w:rsidR="007D5AC4" w:rsidRDefault="007D5AC4" w:rsidP="00E06516">
      <w:pPr>
        <w:spacing w:after="120"/>
      </w:pPr>
      <w:r w:rsidRPr="007D5AC4">
        <w:t>The SWE Team’s Phase I final report discussed several lessons learned in Phase I about process evaluations. Observing that more time had been spent in Phase I on laying the “essential impact evaluation foundation” for Act 129 programs than on ensuring consistent and effective process evaluations, the SWE Team identified the need for greater structure in process evaluation activities for Phase II, including the following:</w:t>
      </w:r>
    </w:p>
    <w:p w:rsidR="007D5AC4" w:rsidRPr="007D5AC4" w:rsidRDefault="007D5AC4" w:rsidP="00E646C9">
      <w:pPr>
        <w:pStyle w:val="ListParagraph"/>
        <w:numPr>
          <w:ilvl w:val="0"/>
          <w:numId w:val="50"/>
        </w:numPr>
        <w:tabs>
          <w:tab w:val="num" w:pos="360"/>
        </w:tabs>
        <w:ind w:left="360"/>
      </w:pPr>
      <w:r w:rsidRPr="007D5AC4">
        <w:t>Follow-up to ensure that EDCs act on evaluation contractors’ recommendations</w:t>
      </w:r>
    </w:p>
    <w:p w:rsidR="007D5AC4" w:rsidRPr="007D5AC4" w:rsidRDefault="007D5AC4" w:rsidP="00E646C9">
      <w:pPr>
        <w:pStyle w:val="ListParagraph"/>
        <w:numPr>
          <w:ilvl w:val="0"/>
          <w:numId w:val="50"/>
        </w:numPr>
        <w:tabs>
          <w:tab w:val="num" w:pos="360"/>
        </w:tabs>
        <w:ind w:left="360"/>
      </w:pPr>
      <w:r w:rsidRPr="007D5AC4">
        <w:t>SWE review of survey methods and instruments to ensure consistency across similar programs and thoroughness of evaluation across portfolios</w:t>
      </w:r>
    </w:p>
    <w:p w:rsidR="007D5AC4" w:rsidRPr="007D5AC4" w:rsidRDefault="007D5AC4" w:rsidP="00E646C9">
      <w:pPr>
        <w:pStyle w:val="ListParagraph"/>
        <w:numPr>
          <w:ilvl w:val="0"/>
          <w:numId w:val="50"/>
        </w:numPr>
        <w:tabs>
          <w:tab w:val="num" w:pos="360"/>
        </w:tabs>
        <w:ind w:left="360"/>
      </w:pPr>
      <w:r w:rsidRPr="007D5AC4">
        <w:t>Earlier feedback to EDCs on evaluation contractors’ process evaluation results</w:t>
      </w:r>
    </w:p>
    <w:p w:rsidR="007D5AC4" w:rsidRPr="007D5AC4" w:rsidRDefault="007D5AC4" w:rsidP="00E646C9">
      <w:pPr>
        <w:pStyle w:val="ListParagraph"/>
        <w:numPr>
          <w:ilvl w:val="0"/>
          <w:numId w:val="50"/>
        </w:numPr>
        <w:tabs>
          <w:tab w:val="num" w:pos="360"/>
        </w:tabs>
        <w:ind w:left="360"/>
      </w:pPr>
      <w:r w:rsidRPr="007D5AC4">
        <w:t xml:space="preserve">Clear and consistent process evaluation plans </w:t>
      </w:r>
    </w:p>
    <w:p w:rsidR="007D5AC4" w:rsidRPr="007D5AC4" w:rsidRDefault="007D5AC4" w:rsidP="00E646C9">
      <w:pPr>
        <w:pStyle w:val="ListParagraph"/>
        <w:numPr>
          <w:ilvl w:val="0"/>
          <w:numId w:val="50"/>
        </w:numPr>
        <w:tabs>
          <w:tab w:val="num" w:pos="360"/>
        </w:tabs>
        <w:ind w:left="360"/>
      </w:pPr>
      <w:r w:rsidRPr="007D5AC4">
        <w:t>Clear and consistent reporting formats, covering both methodology and results</w:t>
      </w:r>
    </w:p>
    <w:p w:rsidR="007D5AC4" w:rsidRPr="007D5AC4" w:rsidRDefault="007D5AC4" w:rsidP="007D5AC4"/>
    <w:p w:rsidR="007D5AC4" w:rsidRPr="007D5AC4" w:rsidRDefault="007D5AC4" w:rsidP="007D5AC4">
      <w:r w:rsidRPr="007D5AC4">
        <w:t>To help lay the groundwork for the additional process evaluation guidance in Phase II, the SWE Team identified several process evaluation best practices. Those best practices addressed the types of data that process evaluations use, how process evaluations are designed, what is included in the evaluation plans, and the need for at least one process evaluation of every program in each phase. The report also summarized the primary types of process evaluation activities: standard comprehensive process evaluation; market characterization and assessment evaluation; topic-specific focused evaluation; early feedback evaluation; and real-time evaluation.</w:t>
      </w:r>
    </w:p>
    <w:p w:rsidR="007D5AC4" w:rsidRPr="007D5AC4" w:rsidRDefault="007D5AC4" w:rsidP="007D5AC4"/>
    <w:p w:rsidR="007D5AC4" w:rsidRPr="007D5AC4" w:rsidRDefault="007D5AC4" w:rsidP="007D5AC4">
      <w:r w:rsidRPr="007D5AC4">
        <w:t>The lessons learned and best practices from the SWE’s Phase I final report informed the process evaluation guidance incorporated into the Act 129 Eva</w:t>
      </w:r>
      <w:r>
        <w:t xml:space="preserve">luation Framework for Phase II. </w:t>
      </w:r>
      <w:r w:rsidRPr="007D5AC4">
        <w:t xml:space="preserve">In addition, the SWE added a firm with nationally recognized process evaluation expertise to its Phase II team, to oversee the team’s </w:t>
      </w:r>
      <w:r w:rsidRPr="007D5AC4">
        <w:lastRenderedPageBreak/>
        <w:t xml:space="preserve">process evaluation guidance and conduct the process evaluation audits. Those guidance and audit activities have largely produced the desired results of more comprehensive and consistent process evaluations. </w:t>
      </w:r>
    </w:p>
    <w:p w:rsidR="007D5AC4" w:rsidRPr="007D5AC4" w:rsidRDefault="007D5AC4" w:rsidP="007D5AC4"/>
    <w:p w:rsidR="007D5AC4" w:rsidRPr="007D5AC4" w:rsidRDefault="0055129E" w:rsidP="007D5AC4">
      <w:r>
        <w:t>During</w:t>
      </w:r>
      <w:r w:rsidR="00F909DB">
        <w:t xml:space="preserve"> </w:t>
      </w:r>
      <w:r w:rsidR="007D5AC4" w:rsidRPr="007D5AC4">
        <w:t>Phase II the evaluation contractors generally followed the framework’s guidelines, such as evaluating each program at least once during the phase. With some exceptions identified in the various SWE final reports, the contractors’ evaluations for the EDCs generally followed the evaluation plans and incorporated appropriate sampling approaches, and the annual reports used SWE-prescribed tables, reported findings based on research activities, and included actionable recommendations based on research findings. The reports typically described the methods adequately and presented findings clearly. Again, exceptions are noted in the PY5 and PY6 SWE annual reports.</w:t>
      </w:r>
    </w:p>
    <w:p w:rsidR="007D5AC4" w:rsidRPr="007D5AC4" w:rsidRDefault="007D5AC4" w:rsidP="007D5AC4"/>
    <w:p w:rsidR="007D5AC4" w:rsidRPr="007D5AC4" w:rsidRDefault="007D5AC4" w:rsidP="007D5AC4">
      <w:r w:rsidRPr="007D5AC4">
        <w:t>In nearly all cases, even if the reports followed SWE guidelines and satisfied SWE requirements, the SWE Team identified some areas for improvement. The SWE Team identified considerably more reporting shortcomings for one evaluation contractor than for the others in PY5. The reports from that contractor showed considerable improvements over time, such that the PY7 report was on par with those of the other contractors.</w:t>
      </w:r>
    </w:p>
    <w:p w:rsidR="007D5AC4" w:rsidRPr="007D5AC4" w:rsidRDefault="007D5AC4" w:rsidP="007D5AC4"/>
    <w:p w:rsidR="007D5AC4" w:rsidRPr="007D5AC4" w:rsidRDefault="007D5AC4" w:rsidP="007D5AC4">
      <w:r w:rsidRPr="007D5AC4">
        <w:t>To build on the progress made in Phase II, the SWE Team offers the following additional observations and analyses that suggest areas for continued improvement.</w:t>
      </w:r>
    </w:p>
    <w:p w:rsidR="007D5AC4" w:rsidRPr="007D5AC4" w:rsidRDefault="007D5AC4" w:rsidP="007D5AC4"/>
    <w:p w:rsidR="007D5AC4" w:rsidRPr="007D5AC4" w:rsidRDefault="007D5AC4" w:rsidP="007D5AC4">
      <w:pPr>
        <w:pStyle w:val="Heading4"/>
      </w:pPr>
      <w:r w:rsidRPr="007D5AC4">
        <w:t>Timing of Process Evaluations</w:t>
      </w:r>
    </w:p>
    <w:p w:rsidR="007D5AC4" w:rsidRPr="007D5AC4" w:rsidRDefault="007D5AC4" w:rsidP="007D5AC4">
      <w:r w:rsidRPr="007D5AC4">
        <w:t>The Phase II Evaluation Framework requirement that every program have at least one process evaluation in every funding cycle or phase did a reasonable job of preventing long intervals of time between process evaluations for a given program, even if that program had only one process evaluation in Phase I (PY1–4) and one in Phase II (PY5–7). However, starting in Phase III, each phase will encompass five program years. This means a program could go eight years without a process evaluation if it has one in the first program year of one phase and does not have another until the last program year of the next phase.</w:t>
      </w:r>
    </w:p>
    <w:p w:rsidR="007D5AC4" w:rsidRPr="007D5AC4" w:rsidRDefault="007D5AC4" w:rsidP="007D5AC4"/>
    <w:p w:rsidR="007D5AC4" w:rsidRPr="007D5AC4" w:rsidRDefault="007D5AC4" w:rsidP="007D5AC4">
      <w:r w:rsidRPr="007D5AC4">
        <w:t>The SWE Team recognizes that the TUS should not prescriptively specify the maximum interval that may exist between process evaluations for a given program, as other considerations may take precedence in the timing of process evaluations. However, the SWE Team suggests that the framework or other written guidance should specify that the number of years since the previous evaluation be one of several considerations in determining the timing of process evaluations. Other such considerations should include changes in program design, delivery channels, implementers, measures, or incentive levels; higher- or lower-than-expected savings or participation; and preparation for new program cycles.</w:t>
      </w:r>
    </w:p>
    <w:p w:rsidR="007D5AC4" w:rsidRPr="007D5AC4" w:rsidRDefault="007D5AC4" w:rsidP="007D5AC4"/>
    <w:p w:rsidR="007D5AC4" w:rsidRPr="007D5AC4" w:rsidRDefault="007D5AC4" w:rsidP="007D5AC4">
      <w:pPr>
        <w:pStyle w:val="Heading4"/>
      </w:pPr>
      <w:r w:rsidRPr="007D5AC4">
        <w:t>Tracking the Status of Recommendations</w:t>
      </w:r>
    </w:p>
    <w:p w:rsidR="007D5AC4" w:rsidRDefault="007D5AC4" w:rsidP="007D5AC4">
      <w:r w:rsidRPr="007D5AC4">
        <w:t xml:space="preserve">As noted above, one of the key concerns identified in the SWE’s Phase I final report was that there should be follow-up to ensure that EDCs act on evaluation contractors’ recommendations. For Phase II, the SWE has requested that the evaluation contractors include a table in their annual reports listing the recommendations made to the EDCs and the status of each recommendation—that is, whether the EDC has implemented (or plans to implement) it, is still considering it, or rejected it (and if the latter, the reasons for rejection). </w:t>
      </w:r>
      <w:r w:rsidR="0055129E">
        <w:t>For e</w:t>
      </w:r>
      <w:r w:rsidRPr="007D5AC4">
        <w:t>ach year</w:t>
      </w:r>
      <w:r w:rsidR="0055129E">
        <w:t xml:space="preserve"> of Phase II</w:t>
      </w:r>
      <w:r w:rsidRPr="007D5AC4">
        <w:t>, the program evaluation contractors have included such a table in the EDC annual reports.</w:t>
      </w:r>
    </w:p>
    <w:p w:rsidR="00E06516" w:rsidRPr="007D5AC4" w:rsidRDefault="00E06516" w:rsidP="007D5AC4"/>
    <w:p w:rsidR="007D5AC4" w:rsidRPr="007D5AC4" w:rsidRDefault="007D5AC4" w:rsidP="007D5AC4">
      <w:r>
        <w:lastRenderedPageBreak/>
        <w:fldChar w:fldCharType="begin"/>
      </w:r>
      <w:r>
        <w:instrText xml:space="preserve"> REF _Ref473704576 \h </w:instrText>
      </w:r>
      <w:r>
        <w:fldChar w:fldCharType="separate"/>
      </w:r>
      <w:r w:rsidR="00E3392B" w:rsidRPr="007D5AC4">
        <w:t xml:space="preserve">Table </w:t>
      </w:r>
      <w:r w:rsidR="00E3392B">
        <w:rPr>
          <w:noProof/>
        </w:rPr>
        <w:t>5</w:t>
      </w:r>
      <w:r w:rsidR="00E3392B" w:rsidRPr="007D5AC4">
        <w:noBreakHyphen/>
      </w:r>
      <w:r w:rsidR="00E3392B">
        <w:rPr>
          <w:noProof/>
        </w:rPr>
        <w:t>1</w:t>
      </w:r>
      <w:r>
        <w:fldChar w:fldCharType="end"/>
      </w:r>
      <w:r>
        <w:t xml:space="preserve"> </w:t>
      </w:r>
      <w:r w:rsidRPr="007D5AC4">
        <w:t>summarizes the status of the recommendations, as recorded in the annual reports, both across EDCs for each program year and across program years for the EDCs. This table shows a trend toward fewer recommendations made over time and an increase in the percentage of recommendations that the EDCs had implemented, or decided to implement, by the time the annual reports were submitted to the SWE.</w:t>
      </w:r>
    </w:p>
    <w:p w:rsidR="007D5AC4" w:rsidRPr="007D5AC4" w:rsidRDefault="007D5AC4" w:rsidP="007D5AC4"/>
    <w:p w:rsidR="007D5AC4" w:rsidRPr="007D5AC4" w:rsidRDefault="007D5AC4" w:rsidP="007D5AC4">
      <w:pPr>
        <w:pStyle w:val="Caption"/>
      </w:pPr>
      <w:bookmarkStart w:id="361" w:name="_Ref473704576"/>
      <w:bookmarkStart w:id="362" w:name="_Toc476914000"/>
      <w:r w:rsidRPr="007D5AC4">
        <w:t xml:space="preserve">Table </w:t>
      </w:r>
      <w:fldSimple w:instr=" STYLEREF 1 \s ">
        <w:r w:rsidR="00C301D0">
          <w:rPr>
            <w:noProof/>
          </w:rPr>
          <w:t>5</w:t>
        </w:r>
      </w:fldSimple>
      <w:r w:rsidR="00E6042C">
        <w:noBreakHyphen/>
      </w:r>
      <w:fldSimple w:instr=" SEQ Table \* ARABIC \s 1 ">
        <w:r w:rsidR="00C301D0">
          <w:rPr>
            <w:noProof/>
          </w:rPr>
          <w:t>1</w:t>
        </w:r>
      </w:fldSimple>
      <w:bookmarkEnd w:id="361"/>
      <w:r w:rsidRPr="007D5AC4">
        <w:t>: Summary of Status of Recommendations, by EDC and Program Year</w:t>
      </w:r>
      <w:bookmarkEnd w:id="362"/>
    </w:p>
    <w:tbl>
      <w:tblPr>
        <w:tblW w:w="4887"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775"/>
        <w:gridCol w:w="1922"/>
        <w:gridCol w:w="1887"/>
        <w:gridCol w:w="1889"/>
        <w:gridCol w:w="1656"/>
      </w:tblGrid>
      <w:tr w:rsidR="00A874AC" w:rsidRPr="007D5AC4" w:rsidTr="00592FD5">
        <w:trPr>
          <w:trHeight w:val="141"/>
          <w:tblHeader/>
        </w:trPr>
        <w:tc>
          <w:tcPr>
            <w:tcW w:w="1834" w:type="dxa"/>
            <w:tcBorders>
              <w:bottom w:val="single" w:sz="8" w:space="0" w:color="FFFFFF" w:themeColor="background1"/>
            </w:tcBorders>
            <w:shd w:val="clear" w:color="auto" w:fill="448A99"/>
            <w:vAlign w:val="bottom"/>
          </w:tcPr>
          <w:p w:rsidR="007D5AC4" w:rsidRPr="007D5AC4" w:rsidRDefault="007D5AC4" w:rsidP="00E06516">
            <w:pPr>
              <w:jc w:val="center"/>
              <w:rPr>
                <w:b/>
                <w:color w:val="FFFFFF"/>
                <w:sz w:val="20"/>
                <w:szCs w:val="20"/>
              </w:rPr>
            </w:pPr>
          </w:p>
        </w:tc>
        <w:tc>
          <w:tcPr>
            <w:tcW w:w="1935" w:type="dxa"/>
            <w:tcBorders>
              <w:bottom w:val="single" w:sz="8" w:space="0" w:color="FFFFFF" w:themeColor="background1"/>
            </w:tcBorders>
            <w:shd w:val="clear" w:color="auto" w:fill="448A99"/>
            <w:vAlign w:val="bottom"/>
          </w:tcPr>
          <w:p w:rsidR="007D5AC4" w:rsidRPr="007D5AC4" w:rsidRDefault="007D5AC4" w:rsidP="00E06516">
            <w:pPr>
              <w:jc w:val="center"/>
              <w:rPr>
                <w:b/>
                <w:color w:val="FFFFFF"/>
                <w:sz w:val="20"/>
                <w:szCs w:val="20"/>
              </w:rPr>
            </w:pPr>
            <w:r w:rsidRPr="007D5AC4">
              <w:rPr>
                <w:b/>
                <w:color w:val="FFFFFF"/>
                <w:sz w:val="20"/>
                <w:szCs w:val="20"/>
              </w:rPr>
              <w:t>Number of Recommendations</w:t>
            </w:r>
          </w:p>
        </w:tc>
        <w:tc>
          <w:tcPr>
            <w:tcW w:w="1936" w:type="dxa"/>
            <w:tcBorders>
              <w:bottom w:val="single" w:sz="8" w:space="0" w:color="FFFFFF" w:themeColor="background1"/>
            </w:tcBorders>
            <w:shd w:val="clear" w:color="auto" w:fill="448A99"/>
            <w:vAlign w:val="bottom"/>
          </w:tcPr>
          <w:p w:rsidR="007D5AC4" w:rsidRPr="007D5AC4" w:rsidRDefault="007D5AC4" w:rsidP="00E06516">
            <w:pPr>
              <w:jc w:val="center"/>
              <w:rPr>
                <w:b/>
                <w:color w:val="FFFFFF"/>
                <w:sz w:val="20"/>
                <w:szCs w:val="20"/>
              </w:rPr>
            </w:pPr>
            <w:r w:rsidRPr="007D5AC4">
              <w:rPr>
                <w:b/>
                <w:color w:val="FFFFFF"/>
                <w:sz w:val="20"/>
                <w:szCs w:val="20"/>
              </w:rPr>
              <w:t>Percent Accepted or Implemented</w:t>
            </w:r>
          </w:p>
        </w:tc>
        <w:tc>
          <w:tcPr>
            <w:tcW w:w="1935" w:type="dxa"/>
            <w:tcBorders>
              <w:bottom w:val="single" w:sz="8" w:space="0" w:color="FFFFFF" w:themeColor="background1"/>
            </w:tcBorders>
            <w:shd w:val="clear" w:color="auto" w:fill="448A99"/>
            <w:vAlign w:val="bottom"/>
          </w:tcPr>
          <w:p w:rsidR="007D5AC4" w:rsidRPr="007D5AC4" w:rsidRDefault="007D5AC4" w:rsidP="00E06516">
            <w:pPr>
              <w:jc w:val="center"/>
              <w:rPr>
                <w:b/>
                <w:color w:val="FFFFFF"/>
                <w:sz w:val="20"/>
                <w:szCs w:val="20"/>
              </w:rPr>
            </w:pPr>
            <w:r w:rsidRPr="007D5AC4">
              <w:rPr>
                <w:b/>
                <w:color w:val="FFFFFF"/>
                <w:sz w:val="20"/>
                <w:szCs w:val="20"/>
              </w:rPr>
              <w:t>Percent under Consideration</w:t>
            </w:r>
          </w:p>
        </w:tc>
        <w:tc>
          <w:tcPr>
            <w:tcW w:w="1720" w:type="dxa"/>
            <w:tcBorders>
              <w:bottom w:val="single" w:sz="8" w:space="0" w:color="FFFFFF" w:themeColor="background1"/>
            </w:tcBorders>
            <w:shd w:val="clear" w:color="auto" w:fill="448A99"/>
            <w:vAlign w:val="bottom"/>
          </w:tcPr>
          <w:p w:rsidR="007D5AC4" w:rsidRPr="007D5AC4" w:rsidRDefault="007D5AC4" w:rsidP="00E06516">
            <w:pPr>
              <w:jc w:val="center"/>
              <w:rPr>
                <w:b/>
                <w:color w:val="FFFFFF"/>
                <w:sz w:val="20"/>
                <w:szCs w:val="20"/>
              </w:rPr>
            </w:pPr>
            <w:r w:rsidRPr="007D5AC4">
              <w:rPr>
                <w:b/>
                <w:color w:val="FFFFFF"/>
                <w:sz w:val="20"/>
                <w:szCs w:val="20"/>
              </w:rPr>
              <w:t>Percent Rejected</w:t>
            </w:r>
          </w:p>
        </w:tc>
      </w:tr>
      <w:tr w:rsidR="007D5AC4" w:rsidRPr="007D5AC4" w:rsidTr="00592FD5">
        <w:trPr>
          <w:trHeight w:val="141"/>
          <w:tblHeader/>
        </w:trPr>
        <w:tc>
          <w:tcPr>
            <w:tcW w:w="9360" w:type="dxa"/>
            <w:gridSpan w:val="5"/>
            <w:tcBorders>
              <w:top w:val="single" w:sz="8" w:space="0" w:color="FFFFFF" w:themeColor="background1"/>
              <w:bottom w:val="single" w:sz="8" w:space="0" w:color="FFFFFF" w:themeColor="background1"/>
            </w:tcBorders>
            <w:shd w:val="clear" w:color="auto" w:fill="9C9393"/>
            <w:vAlign w:val="bottom"/>
          </w:tcPr>
          <w:p w:rsidR="007D5AC4" w:rsidRPr="007D5AC4" w:rsidRDefault="007D5AC4" w:rsidP="00E06516">
            <w:pPr>
              <w:jc w:val="left"/>
              <w:rPr>
                <w:b/>
                <w:color w:val="FFFFFF"/>
                <w:sz w:val="20"/>
                <w:szCs w:val="20"/>
              </w:rPr>
            </w:pPr>
            <w:r w:rsidRPr="007D5AC4">
              <w:rPr>
                <w:b/>
                <w:color w:val="FFFFFF"/>
                <w:sz w:val="20"/>
                <w:szCs w:val="20"/>
              </w:rPr>
              <w:t>Program Year Totals, across all EDCs</w:t>
            </w:r>
          </w:p>
        </w:tc>
      </w:tr>
      <w:tr w:rsidR="00A874AC" w:rsidRPr="007D5AC4" w:rsidTr="00592FD5">
        <w:trPr>
          <w:trHeight w:val="141"/>
        </w:trPr>
        <w:tc>
          <w:tcPr>
            <w:tcW w:w="1834" w:type="dxa"/>
            <w:tcBorders>
              <w:top w:val="single" w:sz="8" w:space="0" w:color="448A99"/>
              <w:left w:val="single" w:sz="8" w:space="0" w:color="448A99"/>
              <w:bottom w:val="single" w:sz="8" w:space="0" w:color="448A99"/>
              <w:right w:val="single" w:sz="8" w:space="0" w:color="448A99"/>
            </w:tcBorders>
            <w:shd w:val="clear" w:color="auto" w:fill="D2EAF1"/>
          </w:tcPr>
          <w:p w:rsidR="007D5AC4" w:rsidRPr="007D5AC4" w:rsidRDefault="007D5AC4" w:rsidP="007D5AC4">
            <w:pPr>
              <w:jc w:val="left"/>
              <w:rPr>
                <w:sz w:val="20"/>
              </w:rPr>
            </w:pPr>
            <w:r w:rsidRPr="007D5AC4">
              <w:rPr>
                <w:sz w:val="20"/>
              </w:rPr>
              <w:t>PY5</w:t>
            </w:r>
          </w:p>
        </w:tc>
        <w:tc>
          <w:tcPr>
            <w:tcW w:w="1935"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445</w:t>
            </w:r>
          </w:p>
        </w:tc>
        <w:tc>
          <w:tcPr>
            <w:tcW w:w="1936"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32%</w:t>
            </w:r>
          </w:p>
        </w:tc>
        <w:tc>
          <w:tcPr>
            <w:tcW w:w="1935"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67%</w:t>
            </w:r>
          </w:p>
        </w:tc>
        <w:tc>
          <w:tcPr>
            <w:tcW w:w="1720"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2%</w:t>
            </w:r>
          </w:p>
        </w:tc>
      </w:tr>
      <w:tr w:rsidR="007D5AC4" w:rsidRPr="007D5AC4" w:rsidTr="00592FD5">
        <w:trPr>
          <w:trHeight w:val="141"/>
        </w:trPr>
        <w:tc>
          <w:tcPr>
            <w:tcW w:w="1834" w:type="dxa"/>
          </w:tcPr>
          <w:p w:rsidR="007D5AC4" w:rsidRPr="007D5AC4" w:rsidRDefault="007D5AC4" w:rsidP="007D5AC4">
            <w:pPr>
              <w:jc w:val="left"/>
              <w:rPr>
                <w:sz w:val="20"/>
              </w:rPr>
            </w:pPr>
            <w:r w:rsidRPr="007D5AC4">
              <w:rPr>
                <w:sz w:val="20"/>
              </w:rPr>
              <w:t>PY6</w:t>
            </w:r>
          </w:p>
        </w:tc>
        <w:tc>
          <w:tcPr>
            <w:tcW w:w="1935" w:type="dxa"/>
            <w:vAlign w:val="bottom"/>
          </w:tcPr>
          <w:p w:rsidR="007D5AC4" w:rsidRPr="007D5AC4" w:rsidRDefault="007D5AC4" w:rsidP="007D5AC4">
            <w:pPr>
              <w:autoSpaceDE w:val="0"/>
              <w:autoSpaceDN w:val="0"/>
              <w:adjustRightInd w:val="0"/>
              <w:contextualSpacing/>
              <w:jc w:val="center"/>
              <w:rPr>
                <w:sz w:val="20"/>
              </w:rPr>
            </w:pPr>
            <w:r w:rsidRPr="007D5AC4">
              <w:rPr>
                <w:sz w:val="20"/>
              </w:rPr>
              <w:t>362</w:t>
            </w:r>
          </w:p>
        </w:tc>
        <w:tc>
          <w:tcPr>
            <w:tcW w:w="1936" w:type="dxa"/>
            <w:vAlign w:val="bottom"/>
          </w:tcPr>
          <w:p w:rsidR="007D5AC4" w:rsidRPr="007D5AC4" w:rsidRDefault="007D5AC4" w:rsidP="007D5AC4">
            <w:pPr>
              <w:autoSpaceDE w:val="0"/>
              <w:autoSpaceDN w:val="0"/>
              <w:adjustRightInd w:val="0"/>
              <w:contextualSpacing/>
              <w:jc w:val="center"/>
              <w:rPr>
                <w:sz w:val="20"/>
              </w:rPr>
            </w:pPr>
            <w:r w:rsidRPr="007D5AC4">
              <w:rPr>
                <w:sz w:val="20"/>
              </w:rPr>
              <w:t>36%</w:t>
            </w:r>
          </w:p>
        </w:tc>
        <w:tc>
          <w:tcPr>
            <w:tcW w:w="1935" w:type="dxa"/>
            <w:vAlign w:val="bottom"/>
          </w:tcPr>
          <w:p w:rsidR="007D5AC4" w:rsidRPr="007D5AC4" w:rsidRDefault="007D5AC4" w:rsidP="007D5AC4">
            <w:pPr>
              <w:autoSpaceDE w:val="0"/>
              <w:autoSpaceDN w:val="0"/>
              <w:adjustRightInd w:val="0"/>
              <w:contextualSpacing/>
              <w:jc w:val="center"/>
              <w:rPr>
                <w:sz w:val="20"/>
              </w:rPr>
            </w:pPr>
            <w:r w:rsidRPr="007D5AC4">
              <w:rPr>
                <w:sz w:val="20"/>
              </w:rPr>
              <w:t>61%</w:t>
            </w:r>
          </w:p>
        </w:tc>
        <w:tc>
          <w:tcPr>
            <w:tcW w:w="1720" w:type="dxa"/>
            <w:vAlign w:val="bottom"/>
          </w:tcPr>
          <w:p w:rsidR="007D5AC4" w:rsidRPr="007D5AC4" w:rsidRDefault="007D5AC4" w:rsidP="007D5AC4">
            <w:pPr>
              <w:autoSpaceDE w:val="0"/>
              <w:autoSpaceDN w:val="0"/>
              <w:adjustRightInd w:val="0"/>
              <w:contextualSpacing/>
              <w:jc w:val="center"/>
              <w:rPr>
                <w:sz w:val="20"/>
              </w:rPr>
            </w:pPr>
            <w:r w:rsidRPr="007D5AC4">
              <w:rPr>
                <w:sz w:val="20"/>
              </w:rPr>
              <w:t>3%</w:t>
            </w:r>
          </w:p>
        </w:tc>
      </w:tr>
      <w:tr w:rsidR="00A874AC" w:rsidRPr="007D5AC4" w:rsidTr="00592FD5">
        <w:trPr>
          <w:trHeight w:val="141"/>
        </w:trPr>
        <w:tc>
          <w:tcPr>
            <w:tcW w:w="1834" w:type="dxa"/>
            <w:tcBorders>
              <w:top w:val="single" w:sz="8" w:space="0" w:color="448A99"/>
              <w:left w:val="single" w:sz="8" w:space="0" w:color="448A99"/>
              <w:bottom w:val="single" w:sz="8" w:space="0" w:color="448A99"/>
              <w:right w:val="single" w:sz="8" w:space="0" w:color="448A99"/>
            </w:tcBorders>
            <w:shd w:val="clear" w:color="auto" w:fill="D2EAF1"/>
          </w:tcPr>
          <w:p w:rsidR="007D5AC4" w:rsidRPr="007D5AC4" w:rsidRDefault="007D5AC4" w:rsidP="007D5AC4">
            <w:pPr>
              <w:jc w:val="left"/>
              <w:rPr>
                <w:sz w:val="20"/>
              </w:rPr>
            </w:pPr>
            <w:r w:rsidRPr="007D5AC4">
              <w:rPr>
                <w:sz w:val="20"/>
              </w:rPr>
              <w:t>PY7</w:t>
            </w:r>
          </w:p>
        </w:tc>
        <w:tc>
          <w:tcPr>
            <w:tcW w:w="1935"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175</w:t>
            </w:r>
          </w:p>
        </w:tc>
        <w:tc>
          <w:tcPr>
            <w:tcW w:w="1936"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59%</w:t>
            </w:r>
          </w:p>
        </w:tc>
        <w:tc>
          <w:tcPr>
            <w:tcW w:w="1935"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30%</w:t>
            </w:r>
          </w:p>
        </w:tc>
        <w:tc>
          <w:tcPr>
            <w:tcW w:w="1720" w:type="dxa"/>
            <w:tcBorders>
              <w:top w:val="single" w:sz="8" w:space="0" w:color="448A99"/>
              <w:left w:val="single" w:sz="8" w:space="0" w:color="448A99"/>
              <w:bottom w:val="single" w:sz="8" w:space="0" w:color="448A99"/>
              <w:right w:val="single" w:sz="8" w:space="0" w:color="448A99"/>
            </w:tcBorders>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11%</w:t>
            </w:r>
          </w:p>
        </w:tc>
      </w:tr>
      <w:tr w:rsidR="007D5AC4" w:rsidRPr="007D5AC4" w:rsidTr="00592FD5">
        <w:trPr>
          <w:trHeight w:val="141"/>
          <w:tblHeader/>
        </w:trPr>
        <w:tc>
          <w:tcPr>
            <w:tcW w:w="9360" w:type="dxa"/>
            <w:gridSpan w:val="5"/>
            <w:tcBorders>
              <w:top w:val="single" w:sz="8" w:space="0" w:color="FFFFFF" w:themeColor="background1"/>
              <w:bottom w:val="single" w:sz="8" w:space="0" w:color="FFFFFF" w:themeColor="background1"/>
            </w:tcBorders>
            <w:shd w:val="clear" w:color="auto" w:fill="9C9393"/>
            <w:vAlign w:val="bottom"/>
          </w:tcPr>
          <w:p w:rsidR="007D5AC4" w:rsidRPr="007D5AC4" w:rsidRDefault="007D5AC4" w:rsidP="00E06516">
            <w:pPr>
              <w:jc w:val="left"/>
              <w:rPr>
                <w:b/>
                <w:color w:val="FFFFFF"/>
                <w:sz w:val="20"/>
                <w:szCs w:val="20"/>
              </w:rPr>
            </w:pPr>
            <w:r w:rsidRPr="007D5AC4">
              <w:rPr>
                <w:b/>
                <w:color w:val="FFFFFF"/>
                <w:sz w:val="20"/>
                <w:szCs w:val="20"/>
              </w:rPr>
              <w:t>Phase II Totals, by EDC</w:t>
            </w:r>
          </w:p>
        </w:tc>
      </w:tr>
      <w:tr w:rsidR="00A874AC" w:rsidRPr="007D5AC4" w:rsidTr="00592FD5">
        <w:trPr>
          <w:trHeight w:val="141"/>
        </w:trPr>
        <w:tc>
          <w:tcPr>
            <w:tcW w:w="1834" w:type="dxa"/>
            <w:tcBorders>
              <w:top w:val="single" w:sz="8" w:space="0" w:color="FFFFFF" w:themeColor="background1"/>
            </w:tcBorders>
            <w:shd w:val="clear" w:color="auto" w:fill="D2EAF1"/>
          </w:tcPr>
          <w:p w:rsidR="007D5AC4" w:rsidRPr="007D5AC4" w:rsidRDefault="007D5AC4" w:rsidP="007D5AC4">
            <w:pPr>
              <w:jc w:val="left"/>
              <w:rPr>
                <w:sz w:val="20"/>
              </w:rPr>
            </w:pPr>
            <w:r w:rsidRPr="007D5AC4">
              <w:rPr>
                <w:sz w:val="20"/>
              </w:rPr>
              <w:t>Duquesne</w:t>
            </w:r>
          </w:p>
        </w:tc>
        <w:tc>
          <w:tcPr>
            <w:tcW w:w="1935" w:type="dxa"/>
            <w:tcBorders>
              <w:top w:val="single" w:sz="8" w:space="0" w:color="FFFFFF" w:themeColor="background1"/>
            </w:tcBorders>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54</w:t>
            </w:r>
          </w:p>
        </w:tc>
        <w:tc>
          <w:tcPr>
            <w:tcW w:w="1936" w:type="dxa"/>
            <w:tcBorders>
              <w:top w:val="single" w:sz="8" w:space="0" w:color="FFFFFF" w:themeColor="background1"/>
            </w:tcBorders>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0%</w:t>
            </w:r>
          </w:p>
        </w:tc>
        <w:tc>
          <w:tcPr>
            <w:tcW w:w="1935" w:type="dxa"/>
            <w:tcBorders>
              <w:top w:val="single" w:sz="8" w:space="0" w:color="FFFFFF" w:themeColor="background1"/>
            </w:tcBorders>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78%</w:t>
            </w:r>
          </w:p>
        </w:tc>
        <w:tc>
          <w:tcPr>
            <w:tcW w:w="1720" w:type="dxa"/>
            <w:tcBorders>
              <w:top w:val="single" w:sz="8" w:space="0" w:color="FFFFFF" w:themeColor="background1"/>
            </w:tcBorders>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22%</w:t>
            </w:r>
          </w:p>
        </w:tc>
      </w:tr>
      <w:tr w:rsidR="007D5AC4" w:rsidRPr="007D5AC4" w:rsidTr="00592FD5">
        <w:trPr>
          <w:trHeight w:val="141"/>
        </w:trPr>
        <w:tc>
          <w:tcPr>
            <w:tcW w:w="1834" w:type="dxa"/>
          </w:tcPr>
          <w:p w:rsidR="007D5AC4" w:rsidRPr="007D5AC4" w:rsidRDefault="007D5AC4" w:rsidP="007D5AC4">
            <w:pPr>
              <w:jc w:val="left"/>
              <w:rPr>
                <w:sz w:val="20"/>
              </w:rPr>
            </w:pPr>
            <w:r w:rsidRPr="007D5AC4">
              <w:rPr>
                <w:sz w:val="20"/>
              </w:rPr>
              <w:t>FirstEnergy EDCs</w:t>
            </w:r>
            <w:r w:rsidRPr="007D5AC4">
              <w:rPr>
                <w:vertAlign w:val="superscript"/>
              </w:rPr>
              <w:t>[a]</w:t>
            </w:r>
          </w:p>
        </w:tc>
        <w:tc>
          <w:tcPr>
            <w:tcW w:w="1935" w:type="dxa"/>
            <w:vAlign w:val="bottom"/>
          </w:tcPr>
          <w:p w:rsidR="007D5AC4" w:rsidRPr="007D5AC4" w:rsidRDefault="007D5AC4" w:rsidP="007D5AC4">
            <w:pPr>
              <w:autoSpaceDE w:val="0"/>
              <w:autoSpaceDN w:val="0"/>
              <w:adjustRightInd w:val="0"/>
              <w:contextualSpacing/>
              <w:jc w:val="center"/>
              <w:rPr>
                <w:sz w:val="20"/>
              </w:rPr>
            </w:pPr>
            <w:r w:rsidRPr="007D5AC4">
              <w:rPr>
                <w:sz w:val="20"/>
              </w:rPr>
              <w:t>213</w:t>
            </w:r>
          </w:p>
        </w:tc>
        <w:tc>
          <w:tcPr>
            <w:tcW w:w="1936" w:type="dxa"/>
            <w:vAlign w:val="bottom"/>
          </w:tcPr>
          <w:p w:rsidR="007D5AC4" w:rsidRPr="007D5AC4" w:rsidRDefault="007D5AC4" w:rsidP="007D5AC4">
            <w:pPr>
              <w:autoSpaceDE w:val="0"/>
              <w:autoSpaceDN w:val="0"/>
              <w:adjustRightInd w:val="0"/>
              <w:contextualSpacing/>
              <w:jc w:val="center"/>
              <w:rPr>
                <w:sz w:val="20"/>
              </w:rPr>
            </w:pPr>
            <w:r w:rsidRPr="007D5AC4">
              <w:rPr>
                <w:sz w:val="20"/>
              </w:rPr>
              <w:t>44%</w:t>
            </w:r>
          </w:p>
        </w:tc>
        <w:tc>
          <w:tcPr>
            <w:tcW w:w="1935" w:type="dxa"/>
            <w:vAlign w:val="bottom"/>
          </w:tcPr>
          <w:p w:rsidR="007D5AC4" w:rsidRPr="007D5AC4" w:rsidRDefault="007D5AC4" w:rsidP="007D5AC4">
            <w:pPr>
              <w:autoSpaceDE w:val="0"/>
              <w:autoSpaceDN w:val="0"/>
              <w:adjustRightInd w:val="0"/>
              <w:contextualSpacing/>
              <w:jc w:val="center"/>
              <w:rPr>
                <w:sz w:val="20"/>
              </w:rPr>
            </w:pPr>
            <w:r w:rsidRPr="007D5AC4">
              <w:rPr>
                <w:sz w:val="20"/>
              </w:rPr>
              <w:t>52%</w:t>
            </w:r>
          </w:p>
        </w:tc>
        <w:tc>
          <w:tcPr>
            <w:tcW w:w="1720" w:type="dxa"/>
            <w:vAlign w:val="bottom"/>
          </w:tcPr>
          <w:p w:rsidR="007D5AC4" w:rsidRPr="007D5AC4" w:rsidRDefault="007D5AC4" w:rsidP="007D5AC4">
            <w:pPr>
              <w:autoSpaceDE w:val="0"/>
              <w:autoSpaceDN w:val="0"/>
              <w:adjustRightInd w:val="0"/>
              <w:contextualSpacing/>
              <w:jc w:val="center"/>
              <w:rPr>
                <w:sz w:val="20"/>
              </w:rPr>
            </w:pPr>
            <w:r w:rsidRPr="007D5AC4">
              <w:rPr>
                <w:sz w:val="20"/>
              </w:rPr>
              <w:t>4%</w:t>
            </w:r>
          </w:p>
        </w:tc>
      </w:tr>
      <w:tr w:rsidR="00A874AC" w:rsidRPr="007D5AC4" w:rsidTr="00592FD5">
        <w:trPr>
          <w:trHeight w:val="141"/>
        </w:trPr>
        <w:tc>
          <w:tcPr>
            <w:tcW w:w="1834" w:type="dxa"/>
            <w:shd w:val="clear" w:color="auto" w:fill="D2EAF1"/>
          </w:tcPr>
          <w:p w:rsidR="007D5AC4" w:rsidRPr="007D5AC4" w:rsidRDefault="007D5AC4" w:rsidP="007D5AC4">
            <w:pPr>
              <w:jc w:val="left"/>
              <w:rPr>
                <w:sz w:val="20"/>
              </w:rPr>
            </w:pPr>
            <w:r w:rsidRPr="007D5AC4">
              <w:rPr>
                <w:sz w:val="20"/>
              </w:rPr>
              <w:t>PECO</w:t>
            </w:r>
          </w:p>
        </w:tc>
        <w:tc>
          <w:tcPr>
            <w:tcW w:w="1935" w:type="dxa"/>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81</w:t>
            </w:r>
          </w:p>
        </w:tc>
        <w:tc>
          <w:tcPr>
            <w:tcW w:w="1936" w:type="dxa"/>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65%</w:t>
            </w:r>
          </w:p>
        </w:tc>
        <w:tc>
          <w:tcPr>
            <w:tcW w:w="1935" w:type="dxa"/>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32%</w:t>
            </w:r>
          </w:p>
        </w:tc>
        <w:tc>
          <w:tcPr>
            <w:tcW w:w="1720" w:type="dxa"/>
            <w:shd w:val="clear" w:color="auto" w:fill="D2EAF1"/>
            <w:vAlign w:val="bottom"/>
          </w:tcPr>
          <w:p w:rsidR="007D5AC4" w:rsidRPr="007D5AC4" w:rsidRDefault="007D5AC4" w:rsidP="007D5AC4">
            <w:pPr>
              <w:autoSpaceDE w:val="0"/>
              <w:autoSpaceDN w:val="0"/>
              <w:adjustRightInd w:val="0"/>
              <w:contextualSpacing/>
              <w:jc w:val="center"/>
              <w:rPr>
                <w:sz w:val="20"/>
              </w:rPr>
            </w:pPr>
            <w:r w:rsidRPr="007D5AC4">
              <w:rPr>
                <w:sz w:val="20"/>
              </w:rPr>
              <w:t>2%</w:t>
            </w:r>
          </w:p>
        </w:tc>
      </w:tr>
      <w:tr w:rsidR="007D5AC4" w:rsidRPr="007D5AC4" w:rsidTr="00592FD5">
        <w:trPr>
          <w:trHeight w:val="141"/>
        </w:trPr>
        <w:tc>
          <w:tcPr>
            <w:tcW w:w="1834" w:type="dxa"/>
          </w:tcPr>
          <w:p w:rsidR="007D5AC4" w:rsidRPr="007D5AC4" w:rsidRDefault="007D5AC4" w:rsidP="007D5AC4">
            <w:pPr>
              <w:jc w:val="left"/>
              <w:rPr>
                <w:sz w:val="20"/>
              </w:rPr>
            </w:pPr>
            <w:r w:rsidRPr="007D5AC4">
              <w:rPr>
                <w:sz w:val="20"/>
              </w:rPr>
              <w:t>PPL</w:t>
            </w:r>
          </w:p>
        </w:tc>
        <w:tc>
          <w:tcPr>
            <w:tcW w:w="1935" w:type="dxa"/>
            <w:vAlign w:val="bottom"/>
          </w:tcPr>
          <w:p w:rsidR="007D5AC4" w:rsidRPr="007D5AC4" w:rsidRDefault="007D5AC4" w:rsidP="007D5AC4">
            <w:pPr>
              <w:autoSpaceDE w:val="0"/>
              <w:autoSpaceDN w:val="0"/>
              <w:adjustRightInd w:val="0"/>
              <w:contextualSpacing/>
              <w:jc w:val="center"/>
              <w:rPr>
                <w:sz w:val="20"/>
              </w:rPr>
            </w:pPr>
            <w:r w:rsidRPr="007D5AC4">
              <w:rPr>
                <w:sz w:val="20"/>
              </w:rPr>
              <w:t>634</w:t>
            </w:r>
          </w:p>
        </w:tc>
        <w:tc>
          <w:tcPr>
            <w:tcW w:w="1936" w:type="dxa"/>
            <w:vAlign w:val="bottom"/>
          </w:tcPr>
          <w:p w:rsidR="007D5AC4" w:rsidRPr="007D5AC4" w:rsidRDefault="007D5AC4" w:rsidP="007D5AC4">
            <w:pPr>
              <w:autoSpaceDE w:val="0"/>
              <w:autoSpaceDN w:val="0"/>
              <w:adjustRightInd w:val="0"/>
              <w:contextualSpacing/>
              <w:jc w:val="center"/>
              <w:rPr>
                <w:sz w:val="20"/>
              </w:rPr>
            </w:pPr>
            <w:r w:rsidRPr="007D5AC4">
              <w:rPr>
                <w:sz w:val="20"/>
              </w:rPr>
              <w:t>36%</w:t>
            </w:r>
          </w:p>
        </w:tc>
        <w:tc>
          <w:tcPr>
            <w:tcW w:w="1935" w:type="dxa"/>
            <w:vAlign w:val="bottom"/>
          </w:tcPr>
          <w:p w:rsidR="007D5AC4" w:rsidRPr="007D5AC4" w:rsidRDefault="007D5AC4" w:rsidP="007D5AC4">
            <w:pPr>
              <w:autoSpaceDE w:val="0"/>
              <w:autoSpaceDN w:val="0"/>
              <w:adjustRightInd w:val="0"/>
              <w:contextualSpacing/>
              <w:jc w:val="center"/>
              <w:rPr>
                <w:sz w:val="20"/>
              </w:rPr>
            </w:pPr>
            <w:r w:rsidRPr="007D5AC4">
              <w:rPr>
                <w:sz w:val="20"/>
              </w:rPr>
              <w:t>62%</w:t>
            </w:r>
          </w:p>
        </w:tc>
        <w:tc>
          <w:tcPr>
            <w:tcW w:w="1720" w:type="dxa"/>
            <w:vAlign w:val="bottom"/>
          </w:tcPr>
          <w:p w:rsidR="007D5AC4" w:rsidRPr="007D5AC4" w:rsidRDefault="007D5AC4" w:rsidP="007D5AC4">
            <w:pPr>
              <w:autoSpaceDE w:val="0"/>
              <w:autoSpaceDN w:val="0"/>
              <w:adjustRightInd w:val="0"/>
              <w:contextualSpacing/>
              <w:jc w:val="center"/>
              <w:rPr>
                <w:sz w:val="20"/>
              </w:rPr>
            </w:pPr>
            <w:r w:rsidRPr="007D5AC4">
              <w:rPr>
                <w:sz w:val="20"/>
              </w:rPr>
              <w:t>2%</w:t>
            </w:r>
          </w:p>
        </w:tc>
      </w:tr>
      <w:tr w:rsidR="007D5AC4" w:rsidRPr="007D5AC4" w:rsidTr="00592FD5">
        <w:trPr>
          <w:trHeight w:val="141"/>
          <w:tblHeader/>
        </w:trPr>
        <w:tc>
          <w:tcPr>
            <w:tcW w:w="9360" w:type="dxa"/>
            <w:gridSpan w:val="5"/>
            <w:tcBorders>
              <w:top w:val="single" w:sz="8" w:space="0" w:color="FFFFFF" w:themeColor="background1"/>
              <w:bottom w:val="single" w:sz="8" w:space="0" w:color="FFFFFF" w:themeColor="background1"/>
            </w:tcBorders>
            <w:shd w:val="clear" w:color="auto" w:fill="448A99"/>
            <w:vAlign w:val="bottom"/>
          </w:tcPr>
          <w:p w:rsidR="007D5AC4" w:rsidRPr="007D5AC4" w:rsidRDefault="007D5AC4" w:rsidP="007D5AC4">
            <w:pPr>
              <w:rPr>
                <w:b/>
                <w:color w:val="FFFFFF"/>
                <w:sz w:val="18"/>
                <w:szCs w:val="18"/>
              </w:rPr>
            </w:pPr>
            <w:r w:rsidRPr="00592FD5">
              <w:rPr>
                <w:bCs/>
                <w:color w:val="FFFFFF" w:themeColor="background1"/>
                <w:sz w:val="18"/>
                <w:szCs w:val="18"/>
              </w:rPr>
              <w:t>[a]</w:t>
            </w:r>
            <w:r w:rsidRPr="007D5AC4">
              <w:rPr>
                <w:b/>
                <w:color w:val="FFFFFF" w:themeColor="background1"/>
                <w:sz w:val="18"/>
                <w:szCs w:val="18"/>
              </w:rPr>
              <w:t xml:space="preserve"> </w:t>
            </w:r>
            <w:r w:rsidRPr="007D5AC4">
              <w:rPr>
                <w:color w:val="FFFFFF" w:themeColor="background1"/>
                <w:sz w:val="18"/>
                <w:szCs w:val="18"/>
              </w:rPr>
              <w:t>FirstEnergy’s evaluation contractor, ADM, took unified process evaluation approaches across the four FirstEnergy EDCs, and so the annual evaluation reports of the four EDCs show identical or nearly identical information about the process evaluation, including recommendations. The SWE Team therefore presents the status of the recommendations for all FirstEnergy EDCs just once.</w:t>
            </w:r>
          </w:p>
        </w:tc>
      </w:tr>
    </w:tbl>
    <w:p w:rsidR="007D5AC4" w:rsidRPr="007D5AC4" w:rsidRDefault="007D5AC4" w:rsidP="007D5AC4"/>
    <w:p w:rsidR="007D5AC4" w:rsidRPr="007D5AC4" w:rsidRDefault="007D5AC4" w:rsidP="007D5AC4">
      <w:r w:rsidRPr="007D5AC4">
        <w:t>The SWE Team notes that, in every year, the Duquesne annual report showed that most of Navigant’s recommendations were still under consideration, while substantial percentages of the recommendations made to other EDCs had been accepted. The reason for this is not clear. In PY6, the SWE Team followed up with all EDCs to assess the status of PY5 recommendations that were still under consideration at the time of the PY5 EDC annual reports. That analysis found that Duquesne eventually implemented or planned to implement a large majority (83%) of the Navigant recommendations that previously were still under consideration. Similarly, when the SWE Team followed up with Duquesne to assess the status of the PY7 recommendations for the current report, Duquesne reported that it either planned to implement or already had implemented all of Navigant’s recommendations.</w:t>
      </w:r>
    </w:p>
    <w:p w:rsidR="007D5AC4" w:rsidRPr="007D5AC4" w:rsidRDefault="007D5AC4" w:rsidP="007D5AC4"/>
    <w:p w:rsidR="007D5AC4" w:rsidRPr="007D5AC4" w:rsidRDefault="007D5AC4" w:rsidP="007D5AC4">
      <w:pPr>
        <w:rPr>
          <w:sz w:val="24"/>
          <w:szCs w:val="24"/>
        </w:rPr>
      </w:pPr>
      <w:r w:rsidRPr="007D5AC4">
        <w:t>The SWE Team followed up with Duquesne to find out why it had not noted acceptance of any Navigant recommendations in time for that to be reflected in the annual reports. The Duquesne contact reported that the company was implementing a full Customer Care and Billing System starting at the end of 2014 and continuing into 2016. That activity drew much of the company’s resources. Therefore, for the annual reports, the company stated that recommendations were under consideration rather than committing to any recommendation and then later delaying implementation because the resources were not available.</w:t>
      </w:r>
    </w:p>
    <w:p w:rsidR="007D5AC4" w:rsidRPr="007D5AC4" w:rsidRDefault="007D5AC4" w:rsidP="007D5AC4"/>
    <w:p w:rsidR="007D5AC4" w:rsidRPr="007D5AC4" w:rsidRDefault="007D5AC4" w:rsidP="007D5AC4">
      <w:r w:rsidRPr="007D5AC4">
        <w:t xml:space="preserve">A contact for Duquesne’s evaluation consultant, Navigant, has noted that it should not matter whether the EDC annual report for a given program year identifies a given recommendation as accepted. The report appears in the middle of the following program year, so any recommendations in that report could not influence any major implementation decisions in that new program year. The SWE Team understands this point, </w:t>
      </w:r>
      <w:r w:rsidR="0055129E">
        <w:t>but does not agree with it. First, a key</w:t>
      </w:r>
      <w:r w:rsidR="0055129E" w:rsidRPr="007D5AC4">
        <w:t xml:space="preserve"> </w:t>
      </w:r>
      <w:r w:rsidRPr="007D5AC4">
        <w:t xml:space="preserve">purpose of </w:t>
      </w:r>
      <w:r w:rsidR="0055129E">
        <w:t xml:space="preserve">EDC </w:t>
      </w:r>
      <w:r w:rsidRPr="007D5AC4">
        <w:t xml:space="preserve">reporting </w:t>
      </w:r>
      <w:r w:rsidR="0055129E">
        <w:t>to the PUC the status of</w:t>
      </w:r>
      <w:r w:rsidR="0055129E" w:rsidRPr="007D5AC4">
        <w:t xml:space="preserve"> </w:t>
      </w:r>
      <w:r w:rsidRPr="007D5AC4">
        <w:t>recommendations and the EDCs’ responses to them is to show whether the evaluation contractors have provided clear and actionable recommendations and that the EDCs have given them due consideration.</w:t>
      </w:r>
      <w:r w:rsidR="0055129E">
        <w:t xml:space="preserve"> Second, it is the view of the Phase II SWE Team that evaluation recommendations that can improve the </w:t>
      </w:r>
      <w:r w:rsidR="0055129E">
        <w:lastRenderedPageBreak/>
        <w:t>efficiency and effectiveness of a program can most often be implemented at any time, not just at the beginning of a program year.</w:t>
      </w:r>
    </w:p>
    <w:p w:rsidR="007D5AC4" w:rsidRPr="007D5AC4" w:rsidRDefault="007D5AC4" w:rsidP="007D5AC4"/>
    <w:p w:rsidR="007D5AC4" w:rsidRPr="007D5AC4" w:rsidRDefault="007D5AC4" w:rsidP="007D5AC4">
      <w:r w:rsidRPr="007D5AC4">
        <w:t>Therefore, the SWE Team recommends that the TUS and the SWE Team for Phase III consider developing guidance to ensure that all EDCs have or take adequate time to review and make decisions on their evaluation contractors’ recommendations prior to the deadline for the annual reports.</w:t>
      </w:r>
    </w:p>
    <w:p w:rsidR="007D5AC4" w:rsidRPr="00661E10" w:rsidRDefault="007D5AC4" w:rsidP="00661E10"/>
    <w:p w:rsidR="00661E10" w:rsidRPr="00661E10" w:rsidRDefault="00661E10" w:rsidP="00661E10">
      <w:pPr>
        <w:pStyle w:val="Heading3"/>
      </w:pPr>
      <w:bookmarkStart w:id="363" w:name="_Toc472472128"/>
      <w:bookmarkStart w:id="364" w:name="_Toc476913941"/>
      <w:r w:rsidRPr="00661E10">
        <w:t>Results for Program Year 7 (2015–2016)</w:t>
      </w:r>
      <w:bookmarkEnd w:id="363"/>
      <w:bookmarkEnd w:id="364"/>
    </w:p>
    <w:p w:rsidR="00661E10" w:rsidRPr="00661E10" w:rsidRDefault="00661E10" w:rsidP="006433A9">
      <w:pPr>
        <w:pStyle w:val="Heading4"/>
      </w:pPr>
      <w:r w:rsidRPr="00661E10">
        <w:t xml:space="preserve">Statewide Summary of Process Evaluation Activities </w:t>
      </w:r>
    </w:p>
    <w:p w:rsidR="0070710A" w:rsidRDefault="0070710A" w:rsidP="006433A9">
      <w:r w:rsidRPr="0070710A">
        <w:t>The PY7 process evaluations that the evaluation contractors conducted for the EDCs varied in extent. The evaluation framework requires process evaluations be conducted for each program at least once per phase; some PY6 evaluations addressed programs not addressed in PY7 or conducted assessment activities not conducted subsequently.</w:t>
      </w:r>
    </w:p>
    <w:p w:rsidR="0070710A" w:rsidRDefault="0070710A" w:rsidP="006433A9"/>
    <w:p w:rsidR="006433A9" w:rsidRPr="006433A9" w:rsidRDefault="0070710A" w:rsidP="006433A9">
      <w:r w:rsidRPr="0070710A">
        <w:t>The evaluations for PECO and PPL covered multiple programs in each sector. The process evaluation for Duquesne covered multiple residential programs, including the low-income program, and one combined evaluation of C/I programs. The least extensive scheduled PY7 evaluations were those for the FirstEnergy EDCs, which included separate evaluations of two residential programs and one combined evaluation of two non-residential programs. All evaluation contractors generally followed their respective PY7 evaluation plans (with a few exceptions, as noted below).</w:t>
      </w:r>
      <w:r w:rsidR="006433A9" w:rsidRPr="006433A9">
        <w:t xml:space="preserve"> </w:t>
      </w:r>
    </w:p>
    <w:p w:rsidR="006433A9" w:rsidRPr="006433A9" w:rsidRDefault="006433A9" w:rsidP="006433A9"/>
    <w:p w:rsidR="006433A9" w:rsidRPr="006433A9" w:rsidRDefault="006433A9" w:rsidP="006433A9">
      <w:r w:rsidRPr="006433A9">
        <w:t xml:space="preserve">Most evaluations incorporated data from multiple sources, generally including a review of key program documents and databases, </w:t>
      </w:r>
      <w:r w:rsidR="00455F2C">
        <w:t xml:space="preserve">participant </w:t>
      </w:r>
      <w:r w:rsidRPr="006433A9">
        <w:t xml:space="preserve">surveys, </w:t>
      </w:r>
      <w:r w:rsidR="00455F2C">
        <w:t>key market actor interviews or surveys</w:t>
      </w:r>
      <w:r w:rsidRPr="006433A9">
        <w:t>, and</w:t>
      </w:r>
      <w:r w:rsidR="00455F2C">
        <w:t xml:space="preserve"> program staff</w:t>
      </w:r>
      <w:r w:rsidRPr="006433A9">
        <w:t xml:space="preserve"> interviews</w:t>
      </w:r>
      <w:r w:rsidR="00455F2C">
        <w:t>. S</w:t>
      </w:r>
      <w:r w:rsidRPr="006433A9">
        <w:t xml:space="preserve">ome </w:t>
      </w:r>
      <w:r w:rsidR="00455F2C">
        <w:t xml:space="preserve">evaluations </w:t>
      </w:r>
      <w:r w:rsidRPr="006433A9">
        <w:t xml:space="preserve">also included data from nonparticipant or general population surveys. </w:t>
      </w:r>
      <w:r w:rsidR="00C26D87">
        <w:fldChar w:fldCharType="begin"/>
      </w:r>
      <w:r w:rsidR="00C26D87">
        <w:instrText xml:space="preserve"> REF _Ref471309533 \h </w:instrText>
      </w:r>
      <w:r w:rsidR="00C26D87">
        <w:fldChar w:fldCharType="separate"/>
      </w:r>
      <w:r w:rsidR="00C301D0">
        <w:t xml:space="preserve">Table </w:t>
      </w:r>
      <w:r w:rsidR="00C301D0">
        <w:rPr>
          <w:noProof/>
        </w:rPr>
        <w:t>5</w:t>
      </w:r>
      <w:r w:rsidR="00C301D0">
        <w:noBreakHyphen/>
      </w:r>
      <w:r w:rsidR="00C301D0">
        <w:rPr>
          <w:noProof/>
        </w:rPr>
        <w:t>2</w:t>
      </w:r>
      <w:r w:rsidR="00C26D87">
        <w:fldChar w:fldCharType="end"/>
      </w:r>
      <w:r w:rsidRPr="006433A9">
        <w:t xml:space="preserve"> summarizes the SWE Team’s statewide findings </w:t>
      </w:r>
      <w:r w:rsidR="00455F2C">
        <w:t>of the process evaluations.</w:t>
      </w:r>
    </w:p>
    <w:p w:rsidR="006433A9" w:rsidRPr="006433A9" w:rsidRDefault="006433A9" w:rsidP="006433A9"/>
    <w:p w:rsidR="006433A9" w:rsidRPr="006433A9" w:rsidRDefault="00C26D87" w:rsidP="00C26D87">
      <w:pPr>
        <w:pStyle w:val="Caption"/>
      </w:pPr>
      <w:bookmarkStart w:id="365" w:name="_Ref471309533"/>
      <w:bookmarkStart w:id="366" w:name="_Toc472472187"/>
      <w:bookmarkStart w:id="367" w:name="_Toc476914001"/>
      <w:r>
        <w:t xml:space="preserve">Table </w:t>
      </w:r>
      <w:fldSimple w:instr=" STYLEREF 1 \s ">
        <w:r w:rsidR="00C301D0">
          <w:rPr>
            <w:noProof/>
          </w:rPr>
          <w:t>5</w:t>
        </w:r>
      </w:fldSimple>
      <w:r w:rsidR="00E6042C">
        <w:noBreakHyphen/>
      </w:r>
      <w:fldSimple w:instr=" SEQ Table \* ARABIC \s 1 ">
        <w:r w:rsidR="00C301D0">
          <w:rPr>
            <w:noProof/>
          </w:rPr>
          <w:t>2</w:t>
        </w:r>
      </w:fldSimple>
      <w:bookmarkEnd w:id="365"/>
      <w:r w:rsidR="00E3392B">
        <w:t>: PY</w:t>
      </w:r>
      <w:r>
        <w:t>7 – Summary of SWE Process Evaluation Findings</w:t>
      </w:r>
      <w:bookmarkEnd w:id="366"/>
      <w:bookmarkEnd w:id="367"/>
    </w:p>
    <w:tbl>
      <w:tblPr>
        <w:tblW w:w="4887"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3076"/>
        <w:gridCol w:w="6053"/>
      </w:tblGrid>
      <w:tr w:rsidR="00E7173E" w:rsidRPr="00A30624" w:rsidTr="00592FD5">
        <w:trPr>
          <w:cantSplit/>
          <w:trHeight w:val="141"/>
        </w:trPr>
        <w:tc>
          <w:tcPr>
            <w:tcW w:w="3127" w:type="dxa"/>
            <w:shd w:val="clear" w:color="auto" w:fill="448A99"/>
            <w:vAlign w:val="bottom"/>
          </w:tcPr>
          <w:p w:rsidR="006433A9" w:rsidRPr="00A30624" w:rsidRDefault="006433A9" w:rsidP="006433A9">
            <w:pPr>
              <w:jc w:val="left"/>
              <w:rPr>
                <w:b/>
                <w:color w:val="FFFFFF"/>
                <w:sz w:val="20"/>
                <w:szCs w:val="20"/>
              </w:rPr>
            </w:pPr>
            <w:r w:rsidRPr="00A30624">
              <w:rPr>
                <w:b/>
                <w:color w:val="FFFFFF"/>
                <w:sz w:val="20"/>
                <w:szCs w:val="20"/>
              </w:rPr>
              <w:t>SWE Evaluation Report Guideline</w:t>
            </w:r>
          </w:p>
        </w:tc>
        <w:tc>
          <w:tcPr>
            <w:tcW w:w="6233" w:type="dxa"/>
            <w:shd w:val="clear" w:color="auto" w:fill="448A99"/>
            <w:vAlign w:val="bottom"/>
          </w:tcPr>
          <w:p w:rsidR="006433A9" w:rsidRPr="00A30624" w:rsidRDefault="006433A9" w:rsidP="006433A9">
            <w:pPr>
              <w:jc w:val="center"/>
              <w:rPr>
                <w:b/>
                <w:color w:val="FFFFFF"/>
                <w:sz w:val="20"/>
                <w:szCs w:val="20"/>
              </w:rPr>
            </w:pPr>
            <w:r w:rsidRPr="00A30624">
              <w:rPr>
                <w:b/>
                <w:color w:val="FFFFFF"/>
                <w:sz w:val="20"/>
                <w:szCs w:val="20"/>
              </w:rPr>
              <w:t>SWE Findings</w:t>
            </w:r>
          </w:p>
        </w:tc>
      </w:tr>
      <w:tr w:rsidR="00E7173E" w:rsidRPr="00A30624" w:rsidTr="00592FD5">
        <w:trPr>
          <w:trHeight w:val="488"/>
        </w:trPr>
        <w:tc>
          <w:tcPr>
            <w:tcW w:w="3127" w:type="dxa"/>
            <w:shd w:val="clear" w:color="auto" w:fill="D2EAF1"/>
          </w:tcPr>
          <w:p w:rsidR="006433A9" w:rsidRPr="00A30624" w:rsidRDefault="006433A9" w:rsidP="006433A9">
            <w:pPr>
              <w:jc w:val="left"/>
              <w:rPr>
                <w:sz w:val="20"/>
                <w:szCs w:val="20"/>
              </w:rPr>
            </w:pPr>
            <w:r w:rsidRPr="00A30624">
              <w:rPr>
                <w:sz w:val="20"/>
                <w:szCs w:val="20"/>
              </w:rPr>
              <w:t>Consistent with evaluation plan</w:t>
            </w:r>
          </w:p>
        </w:tc>
        <w:tc>
          <w:tcPr>
            <w:tcW w:w="6233" w:type="dxa"/>
            <w:shd w:val="clear" w:color="auto" w:fill="D2EAF1"/>
          </w:tcPr>
          <w:p w:rsidR="006433A9" w:rsidRPr="00A30624" w:rsidRDefault="006433A9" w:rsidP="006433A9">
            <w:pPr>
              <w:autoSpaceDE w:val="0"/>
              <w:autoSpaceDN w:val="0"/>
              <w:adjustRightInd w:val="0"/>
              <w:contextualSpacing/>
              <w:jc w:val="left"/>
              <w:rPr>
                <w:rFonts w:cs="Calibri"/>
                <w:sz w:val="20"/>
                <w:szCs w:val="20"/>
              </w:rPr>
            </w:pPr>
            <w:r w:rsidRPr="00A30624">
              <w:rPr>
                <w:sz w:val="20"/>
                <w:szCs w:val="20"/>
              </w:rPr>
              <w:t xml:space="preserve">Yes, with </w:t>
            </w:r>
            <w:r w:rsidR="008F2AC2" w:rsidRPr="00A30624">
              <w:rPr>
                <w:sz w:val="20"/>
                <w:szCs w:val="20"/>
              </w:rPr>
              <w:t xml:space="preserve">very few </w:t>
            </w:r>
            <w:r w:rsidRPr="00A30624">
              <w:rPr>
                <w:sz w:val="20"/>
                <w:szCs w:val="20"/>
              </w:rPr>
              <w:t>exceptions for PPL</w:t>
            </w:r>
            <w:r w:rsidR="0070710A" w:rsidRPr="00A30624">
              <w:rPr>
                <w:sz w:val="20"/>
                <w:szCs w:val="20"/>
              </w:rPr>
              <w:t xml:space="preserve"> (exceptions noted in PPL annual report)</w:t>
            </w:r>
          </w:p>
        </w:tc>
      </w:tr>
      <w:tr w:rsidR="006433A9" w:rsidRPr="00A30624" w:rsidTr="00592FD5">
        <w:trPr>
          <w:trHeight w:val="488"/>
        </w:trPr>
        <w:tc>
          <w:tcPr>
            <w:tcW w:w="3127" w:type="dxa"/>
          </w:tcPr>
          <w:p w:rsidR="006433A9" w:rsidRPr="00A30624" w:rsidRDefault="006433A9" w:rsidP="00455F2C">
            <w:pPr>
              <w:jc w:val="left"/>
              <w:rPr>
                <w:sz w:val="20"/>
                <w:szCs w:val="20"/>
              </w:rPr>
            </w:pPr>
            <w:r w:rsidRPr="00A30624">
              <w:rPr>
                <w:sz w:val="20"/>
                <w:szCs w:val="20"/>
              </w:rPr>
              <w:t>Methods clearly</w:t>
            </w:r>
            <w:r w:rsidR="00455F2C" w:rsidRPr="00A30624">
              <w:rPr>
                <w:sz w:val="20"/>
                <w:szCs w:val="20"/>
              </w:rPr>
              <w:t xml:space="preserve"> explained</w:t>
            </w:r>
          </w:p>
        </w:tc>
        <w:tc>
          <w:tcPr>
            <w:tcW w:w="6233" w:type="dxa"/>
          </w:tcPr>
          <w:p w:rsidR="006433A9" w:rsidRPr="00A30624" w:rsidRDefault="006433A9" w:rsidP="00455F2C">
            <w:pPr>
              <w:autoSpaceDE w:val="0"/>
              <w:autoSpaceDN w:val="0"/>
              <w:adjustRightInd w:val="0"/>
              <w:contextualSpacing/>
              <w:jc w:val="left"/>
              <w:rPr>
                <w:rFonts w:cs="Calibri"/>
                <w:sz w:val="20"/>
                <w:szCs w:val="20"/>
              </w:rPr>
            </w:pPr>
            <w:r w:rsidRPr="00A30624">
              <w:rPr>
                <w:sz w:val="20"/>
                <w:szCs w:val="20"/>
              </w:rPr>
              <w:t>Yes, with some exceptions for PPL and FirstEnergy EDCs</w:t>
            </w:r>
          </w:p>
        </w:tc>
      </w:tr>
      <w:tr w:rsidR="00E7173E" w:rsidRPr="00A30624" w:rsidTr="00592FD5">
        <w:trPr>
          <w:trHeight w:val="488"/>
        </w:trPr>
        <w:tc>
          <w:tcPr>
            <w:tcW w:w="3127" w:type="dxa"/>
            <w:shd w:val="clear" w:color="auto" w:fill="D2EAF1"/>
          </w:tcPr>
          <w:p w:rsidR="006433A9" w:rsidRPr="00A30624" w:rsidRDefault="006433A9" w:rsidP="006433A9">
            <w:pPr>
              <w:jc w:val="left"/>
              <w:rPr>
                <w:sz w:val="20"/>
                <w:szCs w:val="20"/>
              </w:rPr>
            </w:pPr>
            <w:r w:rsidRPr="00A30624">
              <w:rPr>
                <w:sz w:val="20"/>
                <w:szCs w:val="20"/>
              </w:rPr>
              <w:t>Sampling approach appropriate</w:t>
            </w:r>
          </w:p>
        </w:tc>
        <w:tc>
          <w:tcPr>
            <w:tcW w:w="6233" w:type="dxa"/>
            <w:shd w:val="clear" w:color="auto" w:fill="D2EAF1"/>
          </w:tcPr>
          <w:p w:rsidR="006433A9" w:rsidRPr="00A30624" w:rsidRDefault="006433A9" w:rsidP="006433A9">
            <w:pPr>
              <w:autoSpaceDE w:val="0"/>
              <w:autoSpaceDN w:val="0"/>
              <w:adjustRightInd w:val="0"/>
              <w:contextualSpacing/>
              <w:jc w:val="left"/>
              <w:rPr>
                <w:rFonts w:cs="Calibri"/>
                <w:sz w:val="20"/>
                <w:szCs w:val="20"/>
              </w:rPr>
            </w:pPr>
            <w:r w:rsidRPr="00A30624">
              <w:rPr>
                <w:sz w:val="20"/>
                <w:szCs w:val="20"/>
              </w:rPr>
              <w:t>Yes, for all EDCs (to the extent known*)</w:t>
            </w:r>
          </w:p>
        </w:tc>
      </w:tr>
      <w:tr w:rsidR="006433A9" w:rsidRPr="00A30624" w:rsidTr="00592FD5">
        <w:trPr>
          <w:trHeight w:val="488"/>
        </w:trPr>
        <w:tc>
          <w:tcPr>
            <w:tcW w:w="3127" w:type="dxa"/>
          </w:tcPr>
          <w:p w:rsidR="006433A9" w:rsidRPr="00A30624" w:rsidRDefault="00455F2C" w:rsidP="00455F2C">
            <w:pPr>
              <w:jc w:val="left"/>
              <w:rPr>
                <w:sz w:val="20"/>
                <w:szCs w:val="20"/>
              </w:rPr>
            </w:pPr>
            <w:r w:rsidRPr="00A30624">
              <w:rPr>
                <w:sz w:val="20"/>
                <w:szCs w:val="20"/>
              </w:rPr>
              <w:t>K</w:t>
            </w:r>
            <w:r w:rsidR="006433A9" w:rsidRPr="00A30624">
              <w:rPr>
                <w:sz w:val="20"/>
                <w:szCs w:val="20"/>
              </w:rPr>
              <w:t>ey findings</w:t>
            </w:r>
            <w:r w:rsidRPr="00A30624">
              <w:rPr>
                <w:sz w:val="20"/>
                <w:szCs w:val="20"/>
              </w:rPr>
              <w:t xml:space="preserve"> provided</w:t>
            </w:r>
          </w:p>
        </w:tc>
        <w:tc>
          <w:tcPr>
            <w:tcW w:w="6233" w:type="dxa"/>
          </w:tcPr>
          <w:p w:rsidR="006433A9" w:rsidRPr="00A30624" w:rsidRDefault="006433A9" w:rsidP="006433A9">
            <w:pPr>
              <w:autoSpaceDE w:val="0"/>
              <w:autoSpaceDN w:val="0"/>
              <w:adjustRightInd w:val="0"/>
              <w:contextualSpacing/>
              <w:jc w:val="left"/>
              <w:rPr>
                <w:rFonts w:cs="Calibri"/>
                <w:sz w:val="20"/>
                <w:szCs w:val="20"/>
              </w:rPr>
            </w:pPr>
            <w:r w:rsidRPr="00A30624">
              <w:rPr>
                <w:sz w:val="20"/>
                <w:szCs w:val="20"/>
              </w:rPr>
              <w:t>Yes, for all EDCs</w:t>
            </w:r>
          </w:p>
        </w:tc>
      </w:tr>
      <w:tr w:rsidR="00E7173E" w:rsidRPr="00A30624" w:rsidTr="00592FD5">
        <w:trPr>
          <w:trHeight w:val="489"/>
        </w:trPr>
        <w:tc>
          <w:tcPr>
            <w:tcW w:w="3127" w:type="dxa"/>
            <w:shd w:val="clear" w:color="auto" w:fill="D2EAF1"/>
          </w:tcPr>
          <w:p w:rsidR="006433A9" w:rsidRPr="00A30624" w:rsidRDefault="00455F2C" w:rsidP="00455F2C">
            <w:pPr>
              <w:jc w:val="left"/>
              <w:rPr>
                <w:sz w:val="20"/>
                <w:szCs w:val="20"/>
              </w:rPr>
            </w:pPr>
            <w:r w:rsidRPr="00A30624">
              <w:rPr>
                <w:sz w:val="20"/>
                <w:szCs w:val="20"/>
              </w:rPr>
              <w:t xml:space="preserve">Actionable, fact-based </w:t>
            </w:r>
            <w:r w:rsidR="006433A9" w:rsidRPr="00A30624">
              <w:rPr>
                <w:sz w:val="20"/>
                <w:szCs w:val="20"/>
              </w:rPr>
              <w:t>recommendations</w:t>
            </w:r>
            <w:r w:rsidRPr="00A30624">
              <w:rPr>
                <w:sz w:val="20"/>
                <w:szCs w:val="20"/>
              </w:rPr>
              <w:t xml:space="preserve"> provided</w:t>
            </w:r>
            <w:r w:rsidR="006433A9" w:rsidRPr="00A30624">
              <w:rPr>
                <w:sz w:val="20"/>
                <w:szCs w:val="20"/>
              </w:rPr>
              <w:t xml:space="preserve"> </w:t>
            </w:r>
          </w:p>
        </w:tc>
        <w:tc>
          <w:tcPr>
            <w:tcW w:w="6233" w:type="dxa"/>
            <w:shd w:val="clear" w:color="auto" w:fill="D2EAF1"/>
          </w:tcPr>
          <w:p w:rsidR="006433A9" w:rsidRPr="00A30624" w:rsidRDefault="006433A9" w:rsidP="00455F2C">
            <w:pPr>
              <w:autoSpaceDE w:val="0"/>
              <w:autoSpaceDN w:val="0"/>
              <w:adjustRightInd w:val="0"/>
              <w:contextualSpacing/>
              <w:jc w:val="left"/>
              <w:rPr>
                <w:rFonts w:cs="Calibri"/>
                <w:sz w:val="20"/>
                <w:szCs w:val="20"/>
              </w:rPr>
            </w:pPr>
            <w:r w:rsidRPr="00A30624">
              <w:rPr>
                <w:sz w:val="20"/>
                <w:szCs w:val="20"/>
              </w:rPr>
              <w:t>Yes,</w:t>
            </w:r>
            <w:r w:rsidR="00455F2C" w:rsidRPr="00A30624">
              <w:rPr>
                <w:sz w:val="20"/>
                <w:szCs w:val="20"/>
              </w:rPr>
              <w:t xml:space="preserve"> for all EDCs,</w:t>
            </w:r>
            <w:r w:rsidRPr="00A30624">
              <w:rPr>
                <w:sz w:val="20"/>
                <w:szCs w:val="20"/>
              </w:rPr>
              <w:t xml:space="preserve"> with minor exceptions</w:t>
            </w:r>
          </w:p>
        </w:tc>
      </w:tr>
      <w:tr w:rsidR="00E7173E" w:rsidRPr="00A30624" w:rsidTr="00592FD5">
        <w:trPr>
          <w:cantSplit/>
          <w:trHeight w:val="288"/>
          <w:tblHeader/>
        </w:trPr>
        <w:tc>
          <w:tcPr>
            <w:tcW w:w="9360" w:type="dxa"/>
            <w:gridSpan w:val="2"/>
            <w:shd w:val="clear" w:color="auto" w:fill="9C9393"/>
            <w:vAlign w:val="bottom"/>
          </w:tcPr>
          <w:p w:rsidR="006433A9" w:rsidRPr="00A30624" w:rsidRDefault="006433A9" w:rsidP="00E06516">
            <w:pPr>
              <w:rPr>
                <w:b/>
                <w:color w:val="FFFFFF"/>
                <w:sz w:val="20"/>
                <w:szCs w:val="20"/>
              </w:rPr>
            </w:pPr>
            <w:r w:rsidRPr="00A30624">
              <w:rPr>
                <w:b/>
                <w:color w:val="FFFFFF"/>
                <w:sz w:val="20"/>
                <w:szCs w:val="20"/>
              </w:rPr>
              <w:t>SWE Suggested Reporting Improvements**</w:t>
            </w:r>
          </w:p>
        </w:tc>
      </w:tr>
      <w:tr w:rsidR="006433A9" w:rsidRPr="00A30624" w:rsidTr="00592FD5">
        <w:trPr>
          <w:trHeight w:val="141"/>
        </w:trPr>
        <w:tc>
          <w:tcPr>
            <w:tcW w:w="9360" w:type="dxa"/>
            <w:gridSpan w:val="2"/>
          </w:tcPr>
          <w:p w:rsidR="006433A9" w:rsidRPr="00A30624" w:rsidRDefault="006433A9" w:rsidP="009349F1">
            <w:pPr>
              <w:numPr>
                <w:ilvl w:val="0"/>
                <w:numId w:val="11"/>
              </w:numPr>
              <w:autoSpaceDE w:val="0"/>
              <w:autoSpaceDN w:val="0"/>
              <w:adjustRightInd w:val="0"/>
              <w:ind w:left="232" w:hanging="180"/>
              <w:contextualSpacing/>
              <w:jc w:val="left"/>
              <w:rPr>
                <w:sz w:val="20"/>
                <w:szCs w:val="20"/>
              </w:rPr>
            </w:pPr>
            <w:r w:rsidRPr="00A30624">
              <w:rPr>
                <w:sz w:val="20"/>
                <w:szCs w:val="20"/>
              </w:rPr>
              <w:t>When reporting response difference</w:t>
            </w:r>
            <w:r w:rsidR="00663A5C" w:rsidRPr="00A30624">
              <w:rPr>
                <w:sz w:val="20"/>
                <w:szCs w:val="20"/>
              </w:rPr>
              <w:t>s</w:t>
            </w:r>
            <w:r w:rsidRPr="00A30624">
              <w:rPr>
                <w:sz w:val="20"/>
                <w:szCs w:val="20"/>
              </w:rPr>
              <w:t xml:space="preserve"> </w:t>
            </w:r>
            <w:r w:rsidR="00663A5C" w:rsidRPr="00A30624">
              <w:rPr>
                <w:sz w:val="20"/>
                <w:szCs w:val="20"/>
              </w:rPr>
              <w:t>between</w:t>
            </w:r>
            <w:r w:rsidRPr="00A30624">
              <w:rPr>
                <w:sz w:val="20"/>
                <w:szCs w:val="20"/>
              </w:rPr>
              <w:t xml:space="preserve"> subgroups, indicate whether the differences were statistically significant, and </w:t>
            </w:r>
            <w:r w:rsidR="00663A5C" w:rsidRPr="00A30624">
              <w:rPr>
                <w:sz w:val="20"/>
                <w:szCs w:val="20"/>
              </w:rPr>
              <w:t xml:space="preserve">according to </w:t>
            </w:r>
            <w:r w:rsidRPr="00A30624">
              <w:rPr>
                <w:sz w:val="20"/>
                <w:szCs w:val="20"/>
              </w:rPr>
              <w:t>what test.</w:t>
            </w:r>
          </w:p>
          <w:p w:rsidR="006433A9" w:rsidRPr="00A30624" w:rsidRDefault="006433A9" w:rsidP="009349F1">
            <w:pPr>
              <w:numPr>
                <w:ilvl w:val="0"/>
                <w:numId w:val="11"/>
              </w:numPr>
              <w:autoSpaceDE w:val="0"/>
              <w:autoSpaceDN w:val="0"/>
              <w:adjustRightInd w:val="0"/>
              <w:ind w:left="232" w:hanging="180"/>
              <w:contextualSpacing/>
              <w:jc w:val="left"/>
              <w:rPr>
                <w:sz w:val="20"/>
                <w:szCs w:val="20"/>
              </w:rPr>
            </w:pPr>
            <w:r w:rsidRPr="00A30624">
              <w:rPr>
                <w:sz w:val="20"/>
                <w:szCs w:val="20"/>
              </w:rPr>
              <w:t>Provide additional insights, when possible, into causes for programs struggling to meet targets.</w:t>
            </w:r>
          </w:p>
          <w:p w:rsidR="006433A9" w:rsidRPr="00A30624" w:rsidRDefault="006433A9" w:rsidP="009349F1">
            <w:pPr>
              <w:numPr>
                <w:ilvl w:val="0"/>
                <w:numId w:val="11"/>
              </w:numPr>
              <w:autoSpaceDE w:val="0"/>
              <w:autoSpaceDN w:val="0"/>
              <w:adjustRightInd w:val="0"/>
              <w:ind w:left="232" w:hanging="180"/>
              <w:contextualSpacing/>
              <w:jc w:val="left"/>
              <w:rPr>
                <w:sz w:val="20"/>
                <w:szCs w:val="20"/>
              </w:rPr>
            </w:pPr>
            <w:r w:rsidRPr="00A30624">
              <w:rPr>
                <w:sz w:val="20"/>
                <w:szCs w:val="20"/>
              </w:rPr>
              <w:t>Where possible, connect recommendations to general conclusions based on multiple findings rather than single findings.</w:t>
            </w:r>
          </w:p>
          <w:p w:rsidR="006433A9" w:rsidRPr="00A30624" w:rsidRDefault="006433A9" w:rsidP="009349F1">
            <w:pPr>
              <w:numPr>
                <w:ilvl w:val="0"/>
                <w:numId w:val="11"/>
              </w:numPr>
              <w:autoSpaceDE w:val="0"/>
              <w:autoSpaceDN w:val="0"/>
              <w:adjustRightInd w:val="0"/>
              <w:ind w:left="232" w:hanging="180"/>
              <w:contextualSpacing/>
              <w:jc w:val="left"/>
              <w:rPr>
                <w:rFonts w:cs="Calibri"/>
                <w:sz w:val="20"/>
                <w:szCs w:val="20"/>
              </w:rPr>
            </w:pPr>
            <w:r w:rsidRPr="00A30624">
              <w:rPr>
                <w:sz w:val="20"/>
                <w:szCs w:val="20"/>
              </w:rPr>
              <w:t>Restrict the number of recommended actions identified in each recommendation.</w:t>
            </w:r>
          </w:p>
        </w:tc>
      </w:tr>
      <w:tr w:rsidR="00E7173E" w:rsidRPr="00D9014E" w:rsidTr="00592FD5">
        <w:trPr>
          <w:trHeight w:val="141"/>
        </w:trPr>
        <w:tc>
          <w:tcPr>
            <w:tcW w:w="9360" w:type="dxa"/>
            <w:gridSpan w:val="2"/>
            <w:shd w:val="clear" w:color="auto" w:fill="448A99"/>
          </w:tcPr>
          <w:p w:rsidR="00C03CB0" w:rsidRPr="00D9014E" w:rsidRDefault="00C03CB0" w:rsidP="006433A9">
            <w:pPr>
              <w:autoSpaceDE w:val="0"/>
              <w:autoSpaceDN w:val="0"/>
              <w:adjustRightInd w:val="0"/>
              <w:contextualSpacing/>
              <w:jc w:val="left"/>
              <w:rPr>
                <w:color w:val="FFFFFF" w:themeColor="background1"/>
                <w:sz w:val="18"/>
                <w:szCs w:val="20"/>
              </w:rPr>
            </w:pPr>
            <w:r w:rsidRPr="00D9014E">
              <w:rPr>
                <w:color w:val="FFFFFF" w:themeColor="background1"/>
                <w:sz w:val="18"/>
                <w:szCs w:val="20"/>
              </w:rPr>
              <w:t>NOTES:</w:t>
            </w:r>
          </w:p>
          <w:p w:rsidR="006433A9" w:rsidRPr="00D9014E" w:rsidRDefault="00455F2C" w:rsidP="006433A9">
            <w:pPr>
              <w:autoSpaceDE w:val="0"/>
              <w:autoSpaceDN w:val="0"/>
              <w:adjustRightInd w:val="0"/>
              <w:contextualSpacing/>
              <w:jc w:val="left"/>
              <w:rPr>
                <w:color w:val="FFFFFF" w:themeColor="background1"/>
                <w:sz w:val="18"/>
                <w:szCs w:val="20"/>
              </w:rPr>
            </w:pPr>
            <w:r w:rsidRPr="00D9014E">
              <w:rPr>
                <w:color w:val="FFFFFF" w:themeColor="background1"/>
                <w:sz w:val="18"/>
                <w:szCs w:val="20"/>
              </w:rPr>
              <w:t>*</w:t>
            </w:r>
            <w:r w:rsidR="006433A9" w:rsidRPr="00D9014E">
              <w:rPr>
                <w:color w:val="FFFFFF" w:themeColor="background1"/>
                <w:sz w:val="18"/>
                <w:szCs w:val="20"/>
              </w:rPr>
              <w:t>ADM</w:t>
            </w:r>
            <w:r w:rsidR="00176BB7" w:rsidRPr="00D9014E">
              <w:rPr>
                <w:color w:val="FFFFFF" w:themeColor="background1"/>
                <w:sz w:val="18"/>
                <w:szCs w:val="20"/>
              </w:rPr>
              <w:t>/Tetra Tech</w:t>
            </w:r>
            <w:r w:rsidR="006433A9" w:rsidRPr="00D9014E">
              <w:rPr>
                <w:color w:val="FFFFFF" w:themeColor="background1"/>
                <w:sz w:val="18"/>
                <w:szCs w:val="20"/>
              </w:rPr>
              <w:t xml:space="preserve"> team,</w:t>
            </w:r>
            <w:r w:rsidRPr="00D9014E">
              <w:rPr>
                <w:color w:val="FFFFFF" w:themeColor="background1"/>
                <w:sz w:val="18"/>
                <w:szCs w:val="20"/>
              </w:rPr>
              <w:t xml:space="preserve"> the evaluation contractor</w:t>
            </w:r>
            <w:r w:rsidR="006433A9" w:rsidRPr="00D9014E">
              <w:rPr>
                <w:color w:val="FFFFFF" w:themeColor="background1"/>
                <w:sz w:val="18"/>
                <w:szCs w:val="20"/>
              </w:rPr>
              <w:t xml:space="preserve"> for FirstEnergy, did not identify the number of trade allies interviewed for two programs.</w:t>
            </w:r>
          </w:p>
          <w:p w:rsidR="006433A9" w:rsidRPr="00D9014E" w:rsidRDefault="006433A9" w:rsidP="006433A9">
            <w:pPr>
              <w:autoSpaceDE w:val="0"/>
              <w:autoSpaceDN w:val="0"/>
              <w:adjustRightInd w:val="0"/>
              <w:contextualSpacing/>
              <w:jc w:val="left"/>
              <w:rPr>
                <w:color w:val="FFFFFF" w:themeColor="background1"/>
                <w:sz w:val="18"/>
                <w:szCs w:val="20"/>
              </w:rPr>
            </w:pPr>
            <w:r w:rsidRPr="00D9014E">
              <w:rPr>
                <w:color w:val="FFFFFF" w:themeColor="background1"/>
                <w:sz w:val="18"/>
                <w:szCs w:val="20"/>
              </w:rPr>
              <w:lastRenderedPageBreak/>
              <w:t>**Not all suggestions are applicable to all reports.</w:t>
            </w:r>
          </w:p>
        </w:tc>
      </w:tr>
    </w:tbl>
    <w:p w:rsidR="006433A9" w:rsidRPr="006433A9" w:rsidRDefault="006433A9" w:rsidP="006433A9"/>
    <w:p w:rsidR="006433A9" w:rsidRPr="006433A9" w:rsidRDefault="006433A9" w:rsidP="006433A9">
      <w:r w:rsidRPr="006433A9">
        <w:t xml:space="preserve">The various EDCs’ evaluation </w:t>
      </w:r>
      <w:r w:rsidR="00C33BAD">
        <w:t>contractor</w:t>
      </w:r>
      <w:r w:rsidRPr="006433A9">
        <w:t>s identified</w:t>
      </w:r>
      <w:r w:rsidR="00C33BAD">
        <w:t xml:space="preserve"> a total of</w:t>
      </w:r>
      <w:r w:rsidRPr="006433A9">
        <w:t xml:space="preserve"> 198 key findings. Findings were largely program-specific, providing </w:t>
      </w:r>
      <w:r w:rsidR="00C33BAD">
        <w:t>few</w:t>
      </w:r>
      <w:r w:rsidRPr="006433A9">
        <w:t xml:space="preserve"> data on statewide trends</w:t>
      </w:r>
      <w:r w:rsidR="00C33BAD">
        <w:t>, except in three topic areas</w:t>
      </w:r>
      <w:r w:rsidRPr="006433A9">
        <w:t>.</w:t>
      </w:r>
      <w:r w:rsidR="00C33BAD">
        <w:t xml:space="preserve"> Foremost among those areas was program satisfaction, t</w:t>
      </w:r>
      <w:r w:rsidRPr="006433A9">
        <w:t>he single most common topic for findings</w:t>
      </w:r>
      <w:r w:rsidR="00C33BAD">
        <w:t xml:space="preserve"> (36)</w:t>
      </w:r>
      <w:r w:rsidRPr="006433A9">
        <w:t>. In nearly all cases, the finding was one of acceptably high program satisfaction among c</w:t>
      </w:r>
      <w:r w:rsidR="00E75813">
        <w:t xml:space="preserve">ustomers and/or market actors. Two other topic areas—efforts related to program success and residential uptake of efficient lighting—had sufficiently consistent bodies of findings to have statewide significance. </w:t>
      </w:r>
      <w:r w:rsidRPr="006433A9">
        <w:t xml:space="preserve"> </w:t>
      </w:r>
    </w:p>
    <w:p w:rsidR="006433A9" w:rsidRPr="006433A9" w:rsidRDefault="006433A9" w:rsidP="006433A9"/>
    <w:p w:rsidR="006433A9" w:rsidRPr="006433A9" w:rsidRDefault="006433A9" w:rsidP="006433A9">
      <w:r w:rsidRPr="006433A9">
        <w:t>Seven findings identified program efforts that helped promote program success. All seven were related either</w:t>
      </w:r>
      <w:r w:rsidR="00C97F52">
        <w:t xml:space="preserve"> to</w:t>
      </w:r>
      <w:r w:rsidRPr="006433A9">
        <w:t xml:space="preserve"> undertaking special program outreach efforts or </w:t>
      </w:r>
      <w:r w:rsidR="00C97F52">
        <w:t xml:space="preserve">to </w:t>
      </w:r>
      <w:r w:rsidRPr="006433A9">
        <w:t xml:space="preserve">expanding the number of market partners involved in program implementation. </w:t>
      </w:r>
      <w:r w:rsidR="00C97F52">
        <w:t>T</w:t>
      </w:r>
      <w:r w:rsidRPr="006433A9">
        <w:t>wo</w:t>
      </w:r>
      <w:r w:rsidR="00C97F52">
        <w:t xml:space="preserve"> of those</w:t>
      </w:r>
      <w:r w:rsidRPr="006433A9">
        <w:t xml:space="preserve"> findings specifically cited “limited time offer” marketing or incentive campaigns</w:t>
      </w:r>
      <w:r w:rsidR="00C97F52">
        <w:t>;</w:t>
      </w:r>
      <w:r w:rsidRPr="006433A9">
        <w:t xml:space="preserve"> one identified targeted marketing and personalized outreach efforts in a school program; two identified an increase in the number of</w:t>
      </w:r>
      <w:r w:rsidR="00EA5ECE">
        <w:t xml:space="preserve"> Customer Assistance Program</w:t>
      </w:r>
      <w:r w:rsidRPr="006433A9">
        <w:t xml:space="preserve"> </w:t>
      </w:r>
      <w:r w:rsidR="00EA5ECE">
        <w:t>(</w:t>
      </w:r>
      <w:r w:rsidRPr="006433A9">
        <w:t>CAP</w:t>
      </w:r>
      <w:r w:rsidR="00EA5ECE">
        <w:t>)</w:t>
      </w:r>
      <w:r w:rsidRPr="006433A9">
        <w:t xml:space="preserve"> agencies distribut</w:t>
      </w:r>
      <w:r w:rsidR="00C97F52">
        <w:t>ing</w:t>
      </w:r>
      <w:r w:rsidRPr="006433A9">
        <w:t xml:space="preserve"> energy efficiency kits; one </w:t>
      </w:r>
      <w:r w:rsidR="00C97F52">
        <w:t>cited</w:t>
      </w:r>
      <w:r w:rsidRPr="006433A9">
        <w:t xml:space="preserve"> identifying and requalifying committed trade allies; and one identified the use of an online application and toll-free number. </w:t>
      </w:r>
    </w:p>
    <w:p w:rsidR="006433A9" w:rsidRPr="006433A9" w:rsidRDefault="006433A9" w:rsidP="006433A9"/>
    <w:p w:rsidR="006433A9" w:rsidRPr="006433A9" w:rsidRDefault="00C97F52" w:rsidP="006433A9">
      <w:r>
        <w:t>F</w:t>
      </w:r>
      <w:r w:rsidR="006433A9" w:rsidRPr="006433A9">
        <w:t>ive findings identified specific weaknesses in program outreach (lack of tailoring of program messaging to household characteristics, lack of a clear call to action)</w:t>
      </w:r>
      <w:r w:rsidR="00073B05">
        <w:t>;</w:t>
      </w:r>
      <w:r w:rsidR="006433A9" w:rsidRPr="006433A9">
        <w:t xml:space="preserve"> lack of effect or a decreased effect of a specific outreach approach (postcards, limited-time higher incentives)</w:t>
      </w:r>
      <w:r w:rsidR="00073B05">
        <w:t>;</w:t>
      </w:r>
      <w:r w:rsidR="006433A9" w:rsidRPr="006433A9">
        <w:t xml:space="preserve"> or lack of program awareness or the need (according to participants) for more advertising.</w:t>
      </w:r>
    </w:p>
    <w:p w:rsidR="006433A9" w:rsidRPr="006433A9" w:rsidRDefault="006433A9" w:rsidP="006433A9"/>
    <w:p w:rsidR="006433A9" w:rsidRPr="006433A9" w:rsidRDefault="00073B05" w:rsidP="006433A9">
      <w:r>
        <w:t>Seven findings were</w:t>
      </w:r>
      <w:r w:rsidR="006433A9" w:rsidRPr="006433A9">
        <w:t xml:space="preserve"> relate</w:t>
      </w:r>
      <w:r>
        <w:t>d</w:t>
      </w:r>
      <w:r w:rsidR="006433A9" w:rsidRPr="006433A9">
        <w:t xml:space="preserve"> to increased residentia</w:t>
      </w:r>
      <w:r w:rsidR="00AB6949">
        <w:t>l uptake of efficient lighting</w:t>
      </w:r>
      <w:r w:rsidR="006433A9" w:rsidRPr="006433A9">
        <w:t xml:space="preserve">. </w:t>
      </w:r>
      <w:r w:rsidR="00AB6949">
        <w:t>F</w:t>
      </w:r>
      <w:r w:rsidR="006433A9" w:rsidRPr="006433A9">
        <w:t>our</w:t>
      </w:r>
      <w:r w:rsidR="00AB6949">
        <w:t xml:space="preserve"> of those findings</w:t>
      </w:r>
      <w:r w:rsidR="006433A9" w:rsidRPr="006433A9">
        <w:t xml:space="preserve"> pointed to increased uptake of </w:t>
      </w:r>
      <w:r w:rsidR="00C03CB0">
        <w:t>light emitting diode (</w:t>
      </w:r>
      <w:r w:rsidR="006433A9" w:rsidRPr="006433A9">
        <w:t>LED</w:t>
      </w:r>
      <w:r w:rsidR="00C03CB0">
        <w:t>)</w:t>
      </w:r>
      <w:r w:rsidR="006433A9" w:rsidRPr="006433A9">
        <w:t xml:space="preserve"> lighting</w:t>
      </w:r>
      <w:r w:rsidR="00AB6949">
        <w:t xml:space="preserve"> and</w:t>
      </w:r>
      <w:r w:rsidR="006433A9" w:rsidRPr="006433A9">
        <w:t xml:space="preserve"> specifically identified high percentages of LEDs in tenant units, high tenant satisfaction with LEDs, increased awareness and use of LEDs in the general customer population, and increased LED shelf space, at the expense of CFL shelf space.</w:t>
      </w:r>
    </w:p>
    <w:p w:rsidR="006433A9" w:rsidRPr="006433A9" w:rsidRDefault="006433A9" w:rsidP="006433A9"/>
    <w:p w:rsidR="006433A9" w:rsidRPr="006433A9" w:rsidRDefault="006433A9" w:rsidP="006433A9">
      <w:r w:rsidRPr="006433A9">
        <w:t>While a higher number of findings were related to reasons for lack of program success, those findings varied</w:t>
      </w:r>
      <w:r w:rsidR="00AB6949">
        <w:t xml:space="preserve"> considerably</w:t>
      </w:r>
      <w:r w:rsidRPr="006433A9">
        <w:t xml:space="preserve"> and </w:t>
      </w:r>
      <w:r w:rsidR="00AB6949">
        <w:t xml:space="preserve">were </w:t>
      </w:r>
      <w:r w:rsidRPr="006433A9">
        <w:t xml:space="preserve">generally program-specific. </w:t>
      </w:r>
      <w:r w:rsidR="00B47315">
        <w:t xml:space="preserve">A handful </w:t>
      </w:r>
      <w:r w:rsidR="00AB6949">
        <w:t>of the findings</w:t>
      </w:r>
      <w:r w:rsidRPr="006433A9">
        <w:t xml:space="preserve"> pointed </w:t>
      </w:r>
      <w:r w:rsidR="004F6956">
        <w:t xml:space="preserve">to </w:t>
      </w:r>
      <w:r w:rsidRPr="006433A9">
        <w:t xml:space="preserve">implementation- or process-related barriers (implementation delays, infrequent updates of program planning materials, lack of a means to offer more comprehensive projects, long project completion times, the need to obtain a permit from the Pennsylvania Department of Environmental </w:t>
      </w:r>
      <w:r w:rsidR="007965CF" w:rsidRPr="006433A9">
        <w:t>Protection</w:t>
      </w:r>
      <w:r w:rsidR="007965CF">
        <w:t xml:space="preserve"> (DEP)</w:t>
      </w:r>
      <w:r w:rsidRPr="006433A9">
        <w:t xml:space="preserve"> for certain projects, and rigidity of prescriptive incentive paths). </w:t>
      </w:r>
      <w:r w:rsidR="00B47315">
        <w:t>Other</w:t>
      </w:r>
      <w:r w:rsidRPr="006433A9">
        <w:t xml:space="preserve"> findings pointed to external barriers to success</w:t>
      </w:r>
      <w:r w:rsidR="00B47315">
        <w:t>; three findings</w:t>
      </w:r>
      <w:r w:rsidRPr="006433A9">
        <w:t xml:space="preserve"> </w:t>
      </w:r>
      <w:r w:rsidR="00B47315">
        <w:t>cited high i</w:t>
      </w:r>
      <w:r w:rsidRPr="006433A9">
        <w:t>nitial cost for three</w:t>
      </w:r>
      <w:r w:rsidR="00EA5ECE">
        <w:t>,</w:t>
      </w:r>
      <w:r w:rsidRPr="006433A9">
        <w:t xml:space="preserve"> </w:t>
      </w:r>
      <w:r w:rsidR="00EA5ECE">
        <w:t>and</w:t>
      </w:r>
      <w:r w:rsidRPr="006433A9">
        <w:t xml:space="preserve"> four findings were program-specific (bankruptcy of the appliance recycling implementer, a smaller-than-expected target population, customer distrust, feeling “shamed” by home energy reports</w:t>
      </w:r>
      <w:r w:rsidR="00345C47">
        <w:t xml:space="preserve"> (HERs)</w:t>
      </w:r>
      <w:r w:rsidRPr="006433A9">
        <w:t xml:space="preserve">, and difficulty obtaining commitment from project stakeholders). </w:t>
      </w:r>
    </w:p>
    <w:p w:rsidR="006433A9" w:rsidRPr="006433A9" w:rsidRDefault="006433A9" w:rsidP="006433A9"/>
    <w:p w:rsidR="006433A9" w:rsidRPr="006433A9" w:rsidRDefault="006433A9" w:rsidP="006433A9">
      <w:r w:rsidRPr="006433A9">
        <w:t>Several other findings addressed such perennial</w:t>
      </w:r>
      <w:r w:rsidR="00AB6949">
        <w:t xml:space="preserve"> issues</w:t>
      </w:r>
      <w:r w:rsidRPr="006433A9">
        <w:t xml:space="preserve"> as dissatisfaction with incentive amounts or processing time; the need for trained trade allies; paperwork requirements; participants’ lack of recall of program offerings or recommendations; and challenges in identifying eligible program participants.</w:t>
      </w:r>
    </w:p>
    <w:p w:rsidR="00661E10" w:rsidRDefault="00661E10" w:rsidP="00661E10"/>
    <w:p w:rsidR="009950E3" w:rsidRDefault="009950E3" w:rsidP="00661E10">
      <w:r>
        <w:t xml:space="preserve">Process evaluation activities and findings for each EDC are discussed in more detail in Appendix </w:t>
      </w:r>
      <w:r w:rsidR="00F44D58">
        <w:t>B</w:t>
      </w:r>
      <w:r>
        <w:t>.</w:t>
      </w:r>
    </w:p>
    <w:p w:rsidR="00F44D58" w:rsidRDefault="00F44D58" w:rsidP="00661E10"/>
    <w:p w:rsidR="00034173" w:rsidRDefault="00034173" w:rsidP="00661E10"/>
    <w:p w:rsidR="00034173" w:rsidRDefault="00034173" w:rsidP="00661E10"/>
    <w:p w:rsidR="00E3392B" w:rsidRDefault="00E3392B" w:rsidP="00661E10"/>
    <w:p w:rsidR="00E3392B" w:rsidRDefault="00E3392B" w:rsidP="00661E10"/>
    <w:p w:rsidR="00661E10" w:rsidRPr="00661E10" w:rsidRDefault="00661E10" w:rsidP="00661E10">
      <w:pPr>
        <w:pStyle w:val="Heading3"/>
      </w:pPr>
      <w:bookmarkStart w:id="368" w:name="_Toc472472129"/>
      <w:bookmarkStart w:id="369" w:name="_Toc476913942"/>
      <w:r w:rsidRPr="00661E10">
        <w:lastRenderedPageBreak/>
        <w:t>Results for Three-Year Act 129 Phase II</w:t>
      </w:r>
      <w:bookmarkEnd w:id="368"/>
      <w:bookmarkEnd w:id="369"/>
    </w:p>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t>Duquesne Light</w:t>
      </w:r>
    </w:p>
    <w:p w:rsidR="00661E10" w:rsidRPr="00661E10" w:rsidRDefault="00661E10" w:rsidP="009349F1">
      <w:pPr>
        <w:numPr>
          <w:ilvl w:val="4"/>
          <w:numId w:val="8"/>
        </w:numPr>
        <w:spacing w:after="120"/>
        <w:outlineLvl w:val="4"/>
        <w:rPr>
          <w:rFonts w:ascii="Century Gothic" w:eastAsiaTheme="minorHAnsi" w:hAnsi="Century Gothic" w:cstheme="minorBidi"/>
          <w:i/>
        </w:rPr>
      </w:pPr>
      <w:r w:rsidRPr="00661E10">
        <w:rPr>
          <w:rFonts w:ascii="Century Gothic" w:eastAsiaTheme="minorHAnsi" w:hAnsi="Century Gothic" w:cstheme="minorBidi"/>
          <w:i/>
        </w:rPr>
        <w:t>Process Evaluation Key Findings from Phase II</w:t>
      </w:r>
    </w:p>
    <w:p w:rsidR="00661E10" w:rsidRPr="00661E10" w:rsidRDefault="00661E10" w:rsidP="00661E10">
      <w:r w:rsidRPr="00661E10">
        <w:t>Across all</w:t>
      </w:r>
      <w:r w:rsidR="002F75DB">
        <w:t xml:space="preserve"> demand-side management</w:t>
      </w:r>
      <w:r w:rsidRPr="00661E10">
        <w:t xml:space="preserve"> </w:t>
      </w:r>
      <w:r w:rsidR="002F75DB">
        <w:t>(</w:t>
      </w:r>
      <w:r w:rsidRPr="00661E10">
        <w:t>DSM</w:t>
      </w:r>
      <w:r w:rsidR="002F75DB">
        <w:t>)</w:t>
      </w:r>
      <w:r w:rsidRPr="00661E10">
        <w:t xml:space="preserve"> programs, Duquesne exceeded its savings goals for Phase II by saving more than </w:t>
      </w:r>
      <w:r w:rsidR="00531EC8">
        <w:t>370,000</w:t>
      </w:r>
      <w:r w:rsidRPr="00661E10">
        <w:t xml:space="preserve"> MWh across the program years. Savings came from across the portfolio of programs, with some programs meeting or exceeding their specific goals whereas others did not meet their goals. Some of the largest programs, such as the Residential Energy Efficiency Program</w:t>
      </w:r>
      <w:r w:rsidRPr="00661E10">
        <w:rPr>
          <w:sz w:val="20"/>
          <w:szCs w:val="20"/>
        </w:rPr>
        <w:t xml:space="preserve"> (</w:t>
      </w:r>
      <w:r w:rsidRPr="00661E10">
        <w:t>REEP), commercial-sector upstream lighting, and commercial program work in the office</w:t>
      </w:r>
      <w:r w:rsidR="002F75DB">
        <w:t>-</w:t>
      </w:r>
      <w:r w:rsidRPr="00661E10">
        <w:t>building sector, exceeded their goals noticeably. Other programs, such as the School Energy Pledge</w:t>
      </w:r>
      <w:r w:rsidRPr="00661E10">
        <w:rPr>
          <w:sz w:val="20"/>
          <w:szCs w:val="20"/>
        </w:rPr>
        <w:t xml:space="preserve"> (</w:t>
      </w:r>
      <w:r w:rsidRPr="00661E10">
        <w:t>SEP) and Whole House Energy Audit Program</w:t>
      </w:r>
      <w:r w:rsidRPr="00661E10">
        <w:rPr>
          <w:sz w:val="20"/>
          <w:szCs w:val="20"/>
        </w:rPr>
        <w:t xml:space="preserve"> (</w:t>
      </w:r>
      <w:r w:rsidRPr="00661E10">
        <w:t xml:space="preserve">WHEAP), did not meet their specific Phase II goals. Navigant identified reasons why those programs did not meet their goals. For example, during Phase II Duquesne elected to replace SEP with a new program in Phase III and therefore did not emphasize SEP. </w:t>
      </w:r>
    </w:p>
    <w:p w:rsidR="00661E10" w:rsidRPr="00661E10" w:rsidRDefault="00661E10" w:rsidP="00661E10"/>
    <w:p w:rsidR="00661E10" w:rsidRPr="00661E10" w:rsidRDefault="00F02042" w:rsidP="00661E10">
      <w:r w:rsidRPr="003A0F59">
        <w:t>Across all programs, participants were generally satisfied, and a handful of participants in each program offered insights or suggestions for how to improve the program. These suggestions typically revolved around issues such as increasing awareness of programs or improving specific elements of the program, such as offering larger refrigerators in the Refrigerator Replacement component of the EDC’s program. No large-scale program improvements were noted by participants or program staff other than replacing SEP, because the market for SEP had been saturated in Phase II.</w:t>
      </w:r>
      <w:r w:rsidR="00661E10" w:rsidRPr="00661E10">
        <w:t xml:space="preserve">  </w:t>
      </w:r>
    </w:p>
    <w:p w:rsidR="00661E10" w:rsidRPr="00661E10" w:rsidRDefault="00661E10" w:rsidP="00661E10"/>
    <w:p w:rsidR="00661E10" w:rsidRPr="00661E10" w:rsidRDefault="00661E10" w:rsidP="009349F1">
      <w:pPr>
        <w:numPr>
          <w:ilvl w:val="4"/>
          <w:numId w:val="8"/>
        </w:numPr>
        <w:spacing w:after="120"/>
        <w:outlineLvl w:val="4"/>
        <w:rPr>
          <w:rFonts w:ascii="Century Gothic" w:eastAsiaTheme="minorHAnsi" w:hAnsi="Century Gothic" w:cstheme="minorBidi"/>
          <w:i/>
        </w:rPr>
      </w:pPr>
      <w:r w:rsidRPr="00661E10">
        <w:rPr>
          <w:rFonts w:ascii="Century Gothic" w:eastAsiaTheme="minorHAnsi" w:hAnsi="Century Gothic" w:cstheme="minorBidi"/>
          <w:i/>
        </w:rPr>
        <w:t>SWE Team Review of Process Evaluation</w:t>
      </w:r>
    </w:p>
    <w:p w:rsidR="00661E10" w:rsidRPr="00661E10" w:rsidRDefault="00661E10" w:rsidP="00A30624">
      <w:pPr>
        <w:spacing w:after="120"/>
      </w:pPr>
      <w:r w:rsidRPr="00661E10">
        <w:t>All Phase II evaluations (PY5, PY6, PY7) followed the evaluation plan. The random sampling for participant and nonparticipant surveys was appropriate, as was the purposive sampling used for staff and implementer interviews. Across the Phase II evaluations, Navigant did the following:</w:t>
      </w:r>
    </w:p>
    <w:p w:rsidR="00661E10" w:rsidRPr="00661E10" w:rsidRDefault="00661E10" w:rsidP="00E646C9">
      <w:pPr>
        <w:numPr>
          <w:ilvl w:val="0"/>
          <w:numId w:val="54"/>
        </w:numPr>
        <w:ind w:left="360"/>
        <w:contextualSpacing/>
        <w:rPr>
          <w:szCs w:val="20"/>
        </w:rPr>
      </w:pPr>
      <w:r w:rsidRPr="00661E10">
        <w:rPr>
          <w:szCs w:val="20"/>
        </w:rPr>
        <w:t>Followed the evaluation plan’s guidelines and activities.</w:t>
      </w:r>
    </w:p>
    <w:p w:rsidR="00661E10" w:rsidRPr="00661E10" w:rsidRDefault="00661E10" w:rsidP="00E646C9">
      <w:pPr>
        <w:numPr>
          <w:ilvl w:val="0"/>
          <w:numId w:val="54"/>
        </w:numPr>
        <w:ind w:left="360"/>
        <w:contextualSpacing/>
        <w:rPr>
          <w:szCs w:val="20"/>
        </w:rPr>
      </w:pPr>
      <w:r w:rsidRPr="00661E10">
        <w:rPr>
          <w:szCs w:val="20"/>
        </w:rPr>
        <w:t>Evaluated each program at least once across Phase II.</w:t>
      </w:r>
    </w:p>
    <w:p w:rsidR="00661E10" w:rsidRPr="00661E10" w:rsidRDefault="00661E10" w:rsidP="00E646C9">
      <w:pPr>
        <w:numPr>
          <w:ilvl w:val="0"/>
          <w:numId w:val="54"/>
        </w:numPr>
        <w:ind w:left="360"/>
        <w:contextualSpacing/>
        <w:rPr>
          <w:szCs w:val="20"/>
        </w:rPr>
      </w:pPr>
      <w:r w:rsidRPr="00661E10">
        <w:rPr>
          <w:szCs w:val="20"/>
        </w:rPr>
        <w:t>Used SWE-prescribed tables in the report.</w:t>
      </w:r>
    </w:p>
    <w:p w:rsidR="00661E10" w:rsidRPr="00661E10" w:rsidRDefault="00661E10" w:rsidP="00E646C9">
      <w:pPr>
        <w:numPr>
          <w:ilvl w:val="0"/>
          <w:numId w:val="54"/>
        </w:numPr>
        <w:ind w:left="360"/>
        <w:contextualSpacing/>
        <w:rPr>
          <w:szCs w:val="20"/>
        </w:rPr>
      </w:pPr>
      <w:r w:rsidRPr="00661E10">
        <w:rPr>
          <w:szCs w:val="20"/>
        </w:rPr>
        <w:t>Described its methods adequately.</w:t>
      </w:r>
    </w:p>
    <w:p w:rsidR="00661E10" w:rsidRPr="00661E10" w:rsidRDefault="00661E10" w:rsidP="00E646C9">
      <w:pPr>
        <w:numPr>
          <w:ilvl w:val="0"/>
          <w:numId w:val="54"/>
        </w:numPr>
        <w:ind w:left="360"/>
        <w:contextualSpacing/>
        <w:rPr>
          <w:szCs w:val="20"/>
        </w:rPr>
      </w:pPr>
      <w:r w:rsidRPr="00661E10">
        <w:rPr>
          <w:szCs w:val="20"/>
        </w:rPr>
        <w:t>Provided a summary of evaluation findings.</w:t>
      </w:r>
    </w:p>
    <w:p w:rsidR="00661E10" w:rsidRPr="00661E10" w:rsidRDefault="00661E10" w:rsidP="00E646C9">
      <w:pPr>
        <w:numPr>
          <w:ilvl w:val="0"/>
          <w:numId w:val="54"/>
        </w:numPr>
        <w:ind w:left="360"/>
        <w:contextualSpacing/>
        <w:rPr>
          <w:szCs w:val="20"/>
        </w:rPr>
      </w:pPr>
      <w:r w:rsidRPr="00661E10">
        <w:rPr>
          <w:szCs w:val="20"/>
        </w:rPr>
        <w:t>Reported findings based on research activities.</w:t>
      </w:r>
    </w:p>
    <w:p w:rsidR="00661E10" w:rsidRPr="00661E10" w:rsidRDefault="00661E10" w:rsidP="00E646C9">
      <w:pPr>
        <w:numPr>
          <w:ilvl w:val="0"/>
          <w:numId w:val="54"/>
        </w:numPr>
        <w:ind w:left="360"/>
        <w:contextualSpacing/>
        <w:rPr>
          <w:szCs w:val="20"/>
        </w:rPr>
      </w:pPr>
      <w:r w:rsidRPr="00661E10">
        <w:rPr>
          <w:szCs w:val="20"/>
        </w:rPr>
        <w:t>Created actionable recommendations based on research findings.</w:t>
      </w:r>
    </w:p>
    <w:p w:rsidR="00661E10" w:rsidRPr="00661E10" w:rsidRDefault="00661E10" w:rsidP="00661E10"/>
    <w:p w:rsidR="00F02042" w:rsidRDefault="00F02042" w:rsidP="00E06516">
      <w:pPr>
        <w:spacing w:after="120"/>
      </w:pPr>
      <w:r w:rsidRPr="003A0F59">
        <w:t>Overall, Navigant followed the SWE guidelines for evaluating Duquesne’s programs. The SWE provides the following issues that were noted in more than one of the Phase II SWE reports. The associated suggestions will make the reporting stronger in Phase III.</w:t>
      </w:r>
    </w:p>
    <w:p w:rsidR="00F02042" w:rsidRPr="003A0F59" w:rsidRDefault="00F02042" w:rsidP="00E646C9">
      <w:pPr>
        <w:numPr>
          <w:ilvl w:val="0"/>
          <w:numId w:val="55"/>
        </w:numPr>
        <w:ind w:left="360"/>
        <w:contextualSpacing/>
        <w:rPr>
          <w:szCs w:val="20"/>
        </w:rPr>
      </w:pPr>
      <w:r w:rsidRPr="003A0F59">
        <w:rPr>
          <w:szCs w:val="20"/>
        </w:rPr>
        <w:t xml:space="preserve">As noted in the PY6 SWE report and the PY7 SWE analysis in this document, Navigant generated recommendations based on findings rather than generating broader </w:t>
      </w:r>
      <w:r w:rsidRPr="003A0F59">
        <w:rPr>
          <w:i/>
          <w:szCs w:val="20"/>
        </w:rPr>
        <w:t>conclusions</w:t>
      </w:r>
      <w:r w:rsidRPr="003A0F59">
        <w:rPr>
          <w:szCs w:val="20"/>
        </w:rPr>
        <w:t xml:space="preserve"> that relied on multiple sources of information. Taking the intermediary step of generating a conclusion based on multiple findings (ideally from multiple sources, possibly from multiple years) can lead to stronger recommendations.</w:t>
      </w:r>
    </w:p>
    <w:p w:rsidR="00F02042" w:rsidRPr="003A0F59" w:rsidRDefault="00F02042" w:rsidP="00E646C9">
      <w:pPr>
        <w:numPr>
          <w:ilvl w:val="0"/>
          <w:numId w:val="55"/>
        </w:numPr>
        <w:ind w:left="360"/>
        <w:contextualSpacing/>
        <w:rPr>
          <w:szCs w:val="20"/>
        </w:rPr>
      </w:pPr>
      <w:r w:rsidRPr="003A0F59">
        <w:rPr>
          <w:szCs w:val="20"/>
        </w:rPr>
        <w:t xml:space="preserve">In some cases, Navigant discussed separate findings for two groups in a manner that seemed to imply a comparison but did not report statistical significance for the differences. Navigant clarified that the purpose was not to compare or contrast the groups, as the samples were too small to reveal statistically reliable differences, but to show the findings separately for each group. The SWE Team </w:t>
      </w:r>
      <w:r w:rsidRPr="003A0F59">
        <w:rPr>
          <w:szCs w:val="20"/>
        </w:rPr>
        <w:lastRenderedPageBreak/>
        <w:t xml:space="preserve">understands and appreciates this distinction and suggests that Navigant make that point explicit in such cases. </w:t>
      </w:r>
    </w:p>
    <w:p w:rsidR="00F02042" w:rsidRPr="003A0F59" w:rsidRDefault="00F02042" w:rsidP="00E646C9">
      <w:pPr>
        <w:numPr>
          <w:ilvl w:val="0"/>
          <w:numId w:val="55"/>
        </w:numPr>
        <w:ind w:left="360"/>
        <w:contextualSpacing/>
        <w:rPr>
          <w:szCs w:val="20"/>
        </w:rPr>
      </w:pPr>
      <w:r w:rsidRPr="003A0F59">
        <w:rPr>
          <w:szCs w:val="20"/>
        </w:rPr>
        <w:t xml:space="preserve">The PY6 SWE report and the PY7 SWE analysis in this document describe a few instances where the SWE Team found Navigant’s discussion of sample sizes confusing. The confusion may relate to lack of a clear explanation of when Navigant was referring to counts of </w:t>
      </w:r>
      <w:r w:rsidRPr="003A0F59">
        <w:rPr>
          <w:i/>
          <w:szCs w:val="20"/>
        </w:rPr>
        <w:t>respondents</w:t>
      </w:r>
      <w:r w:rsidRPr="003A0F59">
        <w:rPr>
          <w:szCs w:val="20"/>
        </w:rPr>
        <w:t xml:space="preserve"> and counts of </w:t>
      </w:r>
      <w:r w:rsidRPr="003A0F59">
        <w:rPr>
          <w:i/>
          <w:szCs w:val="20"/>
        </w:rPr>
        <w:t>responses</w:t>
      </w:r>
      <w:r w:rsidRPr="003A0F59">
        <w:rPr>
          <w:szCs w:val="20"/>
        </w:rPr>
        <w:t xml:space="preserve"> or to when and how the count for a given analysis was based on a subset formed from the result of a previous analysis. The SWE Team has brought these instances to Navigant’s attention and is seeking to clarify the source of confusion.</w:t>
      </w:r>
    </w:p>
    <w:p w:rsidR="00661E10" w:rsidRPr="00F02042" w:rsidRDefault="00F02042" w:rsidP="00E646C9">
      <w:pPr>
        <w:numPr>
          <w:ilvl w:val="0"/>
          <w:numId w:val="55"/>
        </w:numPr>
        <w:ind w:left="360"/>
        <w:contextualSpacing/>
        <w:rPr>
          <w:szCs w:val="20"/>
        </w:rPr>
      </w:pPr>
      <w:r w:rsidRPr="003A0F59">
        <w:rPr>
          <w:szCs w:val="20"/>
        </w:rPr>
        <w:t xml:space="preserve">The PY5, PY6, and PY7 reports do not provide details about the sample generation, the contact protocols, and a disposition summary of calls. These details, as suggested in the PY5 SWE report, “help the reader judge the adequacy of the research” and so would enhance future reporting. The Framework section 4.4.3 requires transparency in reporting about “the reasons the approach was selected, the sample, the questions used, and the methods used….” </w:t>
      </w:r>
    </w:p>
    <w:p w:rsidR="00661E10" w:rsidRPr="00661E10" w:rsidRDefault="00661E10" w:rsidP="00661E10"/>
    <w:p w:rsidR="00661E10" w:rsidRPr="00661E10" w:rsidRDefault="00661E10" w:rsidP="00661E10">
      <w:r w:rsidRPr="00661E10">
        <w:t>Addressing the above issues will make the reporting stronger in Phase III.</w:t>
      </w:r>
    </w:p>
    <w:p w:rsidR="00661E10" w:rsidRPr="00661E10" w:rsidRDefault="00661E10" w:rsidP="00661E10"/>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bookmarkStart w:id="370" w:name="_Ref469667174"/>
      <w:r w:rsidRPr="00661E10">
        <w:rPr>
          <w:rFonts w:ascii="Century Gothic" w:eastAsiaTheme="minorHAnsi" w:hAnsi="Century Gothic" w:cstheme="minorBidi"/>
          <w:b/>
          <w:i/>
          <w:sz w:val="20"/>
        </w:rPr>
        <w:t>Metropolitan Edison</w:t>
      </w:r>
      <w:bookmarkEnd w:id="370"/>
    </w:p>
    <w:p w:rsidR="00661E10" w:rsidRPr="00661E10" w:rsidRDefault="00661E10" w:rsidP="009349F1">
      <w:pPr>
        <w:numPr>
          <w:ilvl w:val="4"/>
          <w:numId w:val="8"/>
        </w:numPr>
        <w:spacing w:after="120"/>
        <w:outlineLvl w:val="4"/>
        <w:rPr>
          <w:rFonts w:ascii="Century Gothic" w:eastAsiaTheme="minorHAnsi" w:hAnsi="Century Gothic" w:cstheme="minorBidi"/>
          <w:i/>
        </w:rPr>
      </w:pPr>
      <w:r w:rsidRPr="00661E10">
        <w:rPr>
          <w:rFonts w:ascii="Century Gothic" w:eastAsiaTheme="minorHAnsi" w:hAnsi="Century Gothic" w:cstheme="minorBidi"/>
          <w:i/>
        </w:rPr>
        <w:t>Process Evaluation Key Findings from Phase II</w:t>
      </w:r>
    </w:p>
    <w:p w:rsidR="00661E10" w:rsidRPr="00661E10" w:rsidRDefault="00661E10" w:rsidP="00661E10">
      <w:r w:rsidRPr="00661E10">
        <w:t>FirstEnergy implemented a common set of DSM programs across its four Pennsylvania EDCs—Met-Ed, Penelec, Penn Power, and West Penn. FirstEnergy’s evaluation contractors, ADM</w:t>
      </w:r>
      <w:r w:rsidR="00F02042">
        <w:t>/</w:t>
      </w:r>
      <w:r w:rsidRPr="00661E10">
        <w:t xml:space="preserve">Tetra Tech, used the same evaluation approaches and identified the same findings and recommendations for all four EDCs. </w:t>
      </w:r>
    </w:p>
    <w:p w:rsidR="00661E10" w:rsidRPr="00661E10" w:rsidRDefault="00661E10" w:rsidP="00661E10"/>
    <w:p w:rsidR="00661E10" w:rsidRPr="00661E10" w:rsidRDefault="00661E10" w:rsidP="00661E10">
      <w:r w:rsidRPr="00661E10">
        <w:t xml:space="preserve">Across all DSM programs, all four FirstEnergy EDCs exceeded each of their savings goals for Phase II. Savings came from across the portfolio of programs, with some programs meeting or exceeding their specific goals whereas others did not meet their goals. Some of the largest programs, such as the residential Products and Home Performance programs and the non-residential Efficient Equipment Program (Large), consistently exceeded their goals. Other programs, such as the residential Appliance Turn-In and non-residential Energy Efficient Buildings programs, fell short of their specific Phase II goals. </w:t>
      </w:r>
    </w:p>
    <w:p w:rsidR="00661E10" w:rsidRPr="00661E10" w:rsidRDefault="00661E10" w:rsidP="00661E10"/>
    <w:p w:rsidR="00661E10" w:rsidRPr="00661E10" w:rsidRDefault="00661E10" w:rsidP="00661E10">
      <w:r w:rsidRPr="00661E10">
        <w:t xml:space="preserve">Across the four EDCs’ programs, participants were generally satisfied. Contractors and other trade allies were also generally satisfied, but they commonly found handling program paperwork challenging. No large-scale program improvements were noted by participants or program staff in Phase II. </w:t>
      </w:r>
    </w:p>
    <w:p w:rsidR="00661E10" w:rsidRPr="00661E10" w:rsidRDefault="00661E10" w:rsidP="00661E10"/>
    <w:p w:rsidR="00661E10" w:rsidRPr="00661E10" w:rsidRDefault="00661E10" w:rsidP="009349F1">
      <w:pPr>
        <w:numPr>
          <w:ilvl w:val="4"/>
          <w:numId w:val="8"/>
        </w:numPr>
        <w:spacing w:after="120"/>
        <w:outlineLvl w:val="4"/>
        <w:rPr>
          <w:rFonts w:ascii="Century Gothic" w:eastAsiaTheme="minorHAnsi" w:hAnsi="Century Gothic" w:cstheme="minorBidi"/>
          <w:i/>
        </w:rPr>
      </w:pPr>
      <w:r w:rsidRPr="00661E10">
        <w:rPr>
          <w:rFonts w:ascii="Century Gothic" w:eastAsiaTheme="minorHAnsi" w:hAnsi="Century Gothic" w:cstheme="minorBidi"/>
          <w:i/>
        </w:rPr>
        <w:t>SWE Team Review of Process Evaluation</w:t>
      </w:r>
    </w:p>
    <w:p w:rsidR="00661E10" w:rsidRPr="00661E10" w:rsidRDefault="00661E10" w:rsidP="00A30624">
      <w:pPr>
        <w:spacing w:after="120"/>
      </w:pPr>
      <w:r w:rsidRPr="00661E10">
        <w:t>ADM</w:t>
      </w:r>
      <w:r w:rsidR="00F02042">
        <w:t>/</w:t>
      </w:r>
      <w:r w:rsidRPr="00661E10">
        <w:t>Tetra Tech conducted Phase II process evaluations generally following the evaluation plan. The data</w:t>
      </w:r>
      <w:r w:rsidR="002F75DB">
        <w:t>-</w:t>
      </w:r>
      <w:r w:rsidRPr="00661E10">
        <w:t>collection methodologies, including sampling strategies, were appropriate and adequately documented. The reports generally included valuable process findings. ADM</w:t>
      </w:r>
      <w:r w:rsidR="00F02042">
        <w:t>/</w:t>
      </w:r>
      <w:r w:rsidRPr="00661E10">
        <w:t xml:space="preserve">Tetra Tech adequately followed the SWE guidelines for evaluating FirstEnergy’s programs during Phase II and performed the following: </w:t>
      </w:r>
    </w:p>
    <w:p w:rsidR="00661E10" w:rsidRPr="00661E10" w:rsidRDefault="00661E10" w:rsidP="00E646C9">
      <w:pPr>
        <w:numPr>
          <w:ilvl w:val="0"/>
          <w:numId w:val="56"/>
        </w:numPr>
        <w:ind w:left="360"/>
        <w:contextualSpacing/>
        <w:rPr>
          <w:szCs w:val="20"/>
        </w:rPr>
      </w:pPr>
      <w:r w:rsidRPr="00661E10">
        <w:rPr>
          <w:szCs w:val="20"/>
        </w:rPr>
        <w:t xml:space="preserve">Followed the evaluation plan’s guidelines and activities. </w:t>
      </w:r>
    </w:p>
    <w:p w:rsidR="00661E10" w:rsidRPr="00661E10" w:rsidRDefault="00661E10" w:rsidP="00E646C9">
      <w:pPr>
        <w:numPr>
          <w:ilvl w:val="0"/>
          <w:numId w:val="56"/>
        </w:numPr>
        <w:ind w:left="360"/>
        <w:contextualSpacing/>
        <w:rPr>
          <w:szCs w:val="20"/>
        </w:rPr>
      </w:pPr>
      <w:r w:rsidRPr="00661E10">
        <w:rPr>
          <w:szCs w:val="20"/>
        </w:rPr>
        <w:t>Evaluated each program at least once across Phase II.</w:t>
      </w:r>
    </w:p>
    <w:p w:rsidR="00661E10" w:rsidRPr="00661E10" w:rsidRDefault="00661E10" w:rsidP="00E646C9">
      <w:pPr>
        <w:numPr>
          <w:ilvl w:val="0"/>
          <w:numId w:val="56"/>
        </w:numPr>
        <w:ind w:left="360"/>
        <w:contextualSpacing/>
        <w:rPr>
          <w:szCs w:val="20"/>
        </w:rPr>
      </w:pPr>
      <w:r w:rsidRPr="00661E10">
        <w:rPr>
          <w:szCs w:val="20"/>
        </w:rPr>
        <w:t>Used SWE-prescribed tables in the report.</w:t>
      </w:r>
    </w:p>
    <w:p w:rsidR="00661E10" w:rsidRPr="00661E10" w:rsidRDefault="00661E10" w:rsidP="00E646C9">
      <w:pPr>
        <w:numPr>
          <w:ilvl w:val="0"/>
          <w:numId w:val="56"/>
        </w:numPr>
        <w:ind w:left="360"/>
        <w:contextualSpacing/>
        <w:rPr>
          <w:szCs w:val="20"/>
        </w:rPr>
      </w:pPr>
      <w:r w:rsidRPr="00661E10">
        <w:rPr>
          <w:szCs w:val="20"/>
        </w:rPr>
        <w:t>Described its methods adequately.</w:t>
      </w:r>
    </w:p>
    <w:p w:rsidR="00661E10" w:rsidRPr="00661E10" w:rsidRDefault="00661E10" w:rsidP="00E646C9">
      <w:pPr>
        <w:numPr>
          <w:ilvl w:val="0"/>
          <w:numId w:val="56"/>
        </w:numPr>
        <w:ind w:left="360"/>
        <w:contextualSpacing/>
        <w:rPr>
          <w:szCs w:val="20"/>
        </w:rPr>
      </w:pPr>
      <w:r w:rsidRPr="00661E10">
        <w:rPr>
          <w:szCs w:val="20"/>
        </w:rPr>
        <w:t>Provided a summary of evaluation findings.</w:t>
      </w:r>
    </w:p>
    <w:p w:rsidR="00661E10" w:rsidRPr="00661E10" w:rsidRDefault="00661E10" w:rsidP="00E646C9">
      <w:pPr>
        <w:numPr>
          <w:ilvl w:val="0"/>
          <w:numId w:val="56"/>
        </w:numPr>
        <w:ind w:left="360"/>
        <w:contextualSpacing/>
        <w:rPr>
          <w:szCs w:val="20"/>
        </w:rPr>
      </w:pPr>
      <w:r w:rsidRPr="00661E10">
        <w:rPr>
          <w:szCs w:val="20"/>
        </w:rPr>
        <w:t>Reported findings based on research activities.</w:t>
      </w:r>
    </w:p>
    <w:p w:rsidR="00661E10" w:rsidRPr="00661E10" w:rsidRDefault="00661E10" w:rsidP="00E646C9">
      <w:pPr>
        <w:numPr>
          <w:ilvl w:val="0"/>
          <w:numId w:val="56"/>
        </w:numPr>
        <w:ind w:left="360"/>
        <w:contextualSpacing/>
        <w:rPr>
          <w:szCs w:val="20"/>
        </w:rPr>
      </w:pPr>
      <w:r w:rsidRPr="00661E10">
        <w:rPr>
          <w:szCs w:val="20"/>
        </w:rPr>
        <w:t>Created actionable recommendations based on research findings.</w:t>
      </w:r>
    </w:p>
    <w:p w:rsidR="00661E10" w:rsidRPr="00661E10" w:rsidRDefault="00661E10" w:rsidP="00A30624">
      <w:pPr>
        <w:spacing w:after="120"/>
      </w:pPr>
      <w:r w:rsidRPr="00661E10">
        <w:lastRenderedPageBreak/>
        <w:t>Although ADM</w:t>
      </w:r>
      <w:r w:rsidR="00F02042">
        <w:t>/</w:t>
      </w:r>
      <w:r w:rsidRPr="00661E10">
        <w:t>Tetra Tech adequately fulfilled the evaluation requirements, the SWE found the following notable issues that should be addressed in Phase III evaluations:</w:t>
      </w:r>
    </w:p>
    <w:p w:rsidR="00661E10" w:rsidRPr="00661E10" w:rsidRDefault="00661E10" w:rsidP="00E646C9">
      <w:pPr>
        <w:numPr>
          <w:ilvl w:val="0"/>
          <w:numId w:val="57"/>
        </w:numPr>
        <w:ind w:left="360"/>
        <w:contextualSpacing/>
        <w:rPr>
          <w:szCs w:val="20"/>
        </w:rPr>
      </w:pPr>
      <w:r w:rsidRPr="00661E10">
        <w:rPr>
          <w:szCs w:val="20"/>
        </w:rPr>
        <w:t xml:space="preserve">A few elements of evaluation activities outlined in the evaluation plan were not included in the reports. For instance, the plan stated conducting benchmarking review for some residential programs and surveys of nonparticipating trade allies during PY5 and PY6, but the reports did not mention any of these activities. The SWE recommends that any significant deviations from the plan be justified. </w:t>
      </w:r>
    </w:p>
    <w:p w:rsidR="00661E10" w:rsidRPr="00661E10" w:rsidRDefault="00661E10" w:rsidP="00E646C9">
      <w:pPr>
        <w:numPr>
          <w:ilvl w:val="0"/>
          <w:numId w:val="57"/>
        </w:numPr>
        <w:ind w:left="360"/>
        <w:contextualSpacing/>
        <w:rPr>
          <w:szCs w:val="20"/>
        </w:rPr>
      </w:pPr>
      <w:r w:rsidRPr="00661E10">
        <w:rPr>
          <w:szCs w:val="20"/>
        </w:rPr>
        <w:t>Across the PY5–PY7 reports, discussions of sampling approaches for surveys as well as interviews often lacked sufficient justifications or details. Some additional methodology details would be valuable. The SWE recommends that sampling methodology for each data</w:t>
      </w:r>
      <w:r w:rsidR="002F75DB">
        <w:rPr>
          <w:szCs w:val="20"/>
        </w:rPr>
        <w:t>-</w:t>
      </w:r>
      <w:r w:rsidRPr="00661E10">
        <w:rPr>
          <w:szCs w:val="20"/>
        </w:rPr>
        <w:t xml:space="preserve">collection activity clearly discuss (1) the sizes of the population and completed sample and (2) sufficient sampling details, such as random, stratified random, or purposive sampling, that enable replication of the methodology. </w:t>
      </w:r>
    </w:p>
    <w:p w:rsidR="00661E10" w:rsidRPr="00661E10" w:rsidRDefault="00661E10" w:rsidP="00E646C9">
      <w:pPr>
        <w:numPr>
          <w:ilvl w:val="0"/>
          <w:numId w:val="57"/>
        </w:numPr>
        <w:ind w:left="360"/>
        <w:contextualSpacing/>
        <w:rPr>
          <w:szCs w:val="20"/>
        </w:rPr>
      </w:pPr>
      <w:r w:rsidRPr="00661E10">
        <w:rPr>
          <w:szCs w:val="20"/>
        </w:rPr>
        <w:t xml:space="preserve">Most process evaluation findings were based on the total sample across the four FirstEnergy EDCs, and the reports largely provided an identical set of findings across the four EDCs, while these EDCs produced different levels of program savings for different programs. The SWE recommends that the evaluation </w:t>
      </w:r>
      <w:r w:rsidR="002F75DB">
        <w:rPr>
          <w:szCs w:val="20"/>
        </w:rPr>
        <w:t>i</w:t>
      </w:r>
      <w:r w:rsidRPr="00661E10">
        <w:rPr>
          <w:szCs w:val="20"/>
        </w:rPr>
        <w:t xml:space="preserve">dentify some unique issues </w:t>
      </w:r>
      <w:r w:rsidR="002F75DB">
        <w:rPr>
          <w:szCs w:val="20"/>
        </w:rPr>
        <w:t xml:space="preserve">that </w:t>
      </w:r>
      <w:r w:rsidRPr="00661E10">
        <w:rPr>
          <w:szCs w:val="20"/>
        </w:rPr>
        <w:t xml:space="preserve">each EDC faces. </w:t>
      </w:r>
    </w:p>
    <w:p w:rsidR="00661E10" w:rsidRPr="00661E10" w:rsidRDefault="00661E10" w:rsidP="00661E10"/>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t>Pennsylvania Electric</w:t>
      </w:r>
      <w:r w:rsidRPr="00661E10">
        <w:rPr>
          <w:rFonts w:ascii="Century Gothic" w:eastAsiaTheme="minorHAnsi" w:hAnsi="Century Gothic" w:cstheme="minorBidi"/>
          <w:b/>
          <w:i/>
          <w:sz w:val="20"/>
        </w:rPr>
        <w:tab/>
      </w:r>
    </w:p>
    <w:p w:rsidR="00661E10" w:rsidRPr="00661E10" w:rsidRDefault="00661E10" w:rsidP="00661E10">
      <w:r w:rsidRPr="00661E10">
        <w:t>FirstEnergy’s evaluation contractor, ADM</w:t>
      </w:r>
      <w:r w:rsidR="000D7316">
        <w:t>/Tetra Tech</w:t>
      </w:r>
      <w:r w:rsidRPr="00661E10">
        <w:t xml:space="preserve">, took unified process evaluation approaches to these programs across the four FirstEnergy EDCs, including Penelec, and so the annual evaluation reports of the four EDCs report identical information about the process evaluation in each year. Therefore, the SWE Team’s audit summary described in Section </w:t>
      </w:r>
      <w:r w:rsidRPr="00661E10">
        <w:fldChar w:fldCharType="begin"/>
      </w:r>
      <w:r w:rsidRPr="00661E10">
        <w:instrText xml:space="preserve"> REF _Ref469667174 \r \h </w:instrText>
      </w:r>
      <w:r w:rsidRPr="00661E10">
        <w:fldChar w:fldCharType="separate"/>
      </w:r>
      <w:r w:rsidR="00C301D0">
        <w:t>5.2.4.2</w:t>
      </w:r>
      <w:r w:rsidRPr="00661E10">
        <w:fldChar w:fldCharType="end"/>
      </w:r>
      <w:r w:rsidRPr="00661E10">
        <w:t xml:space="preserve"> pertains to all four FirstEnergy </w:t>
      </w:r>
      <w:r w:rsidR="00F02042">
        <w:t>EDCs</w:t>
      </w:r>
      <w:r w:rsidRPr="00661E10">
        <w:t xml:space="preserve">, including Penelec. </w:t>
      </w:r>
    </w:p>
    <w:p w:rsidR="00661E10" w:rsidRPr="00661E10" w:rsidRDefault="00661E10" w:rsidP="00661E10"/>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t>Pennsylvania Power</w:t>
      </w:r>
      <w:r w:rsidRPr="00661E10">
        <w:rPr>
          <w:rFonts w:ascii="Century Gothic" w:eastAsiaTheme="minorHAnsi" w:hAnsi="Century Gothic" w:cstheme="minorBidi"/>
          <w:b/>
          <w:i/>
          <w:sz w:val="20"/>
        </w:rPr>
        <w:tab/>
      </w:r>
    </w:p>
    <w:p w:rsidR="00661E10" w:rsidRPr="00661E10" w:rsidRDefault="00661E10" w:rsidP="00661E10">
      <w:r w:rsidRPr="00661E10">
        <w:t>FirstEnergy’s evaluation contractor, ADM</w:t>
      </w:r>
      <w:r w:rsidR="000D7316">
        <w:t>/Tetra Tech</w:t>
      </w:r>
      <w:r w:rsidRPr="00661E10">
        <w:t xml:space="preserve">, took unified process evaluation approaches to these programs across the four FirstEnergy EDCs, including Penn Power, and so the annual evaluation reports of the four EDCs report identical information about the process evaluation in each year. Therefore, the SWE Team’s audit summary described in Section </w:t>
      </w:r>
      <w:r w:rsidRPr="00661E10">
        <w:fldChar w:fldCharType="begin"/>
      </w:r>
      <w:r w:rsidRPr="00661E10">
        <w:instrText xml:space="preserve"> REF _Ref469667174 \r \h </w:instrText>
      </w:r>
      <w:r w:rsidRPr="00661E10">
        <w:fldChar w:fldCharType="separate"/>
      </w:r>
      <w:r w:rsidR="00C301D0">
        <w:t>5.2.4.2</w:t>
      </w:r>
      <w:r w:rsidRPr="00661E10">
        <w:fldChar w:fldCharType="end"/>
      </w:r>
      <w:r w:rsidRPr="00661E10">
        <w:t xml:space="preserve"> pertains to all four FirstEnergy </w:t>
      </w:r>
      <w:r w:rsidR="00F02042">
        <w:t>EDCs</w:t>
      </w:r>
      <w:r w:rsidRPr="00661E10">
        <w:t xml:space="preserve">, including Penn Power. </w:t>
      </w:r>
    </w:p>
    <w:p w:rsidR="00661E10" w:rsidRPr="00661E10" w:rsidRDefault="00661E10" w:rsidP="00661E10"/>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t>West Penn Power</w:t>
      </w:r>
    </w:p>
    <w:p w:rsidR="00661E10" w:rsidRPr="00661E10" w:rsidRDefault="00661E10" w:rsidP="00661E10">
      <w:r w:rsidRPr="00661E10">
        <w:t>FirstEnergy’s evaluation contractor, ADM</w:t>
      </w:r>
      <w:r w:rsidR="000D7316">
        <w:t>/Tetra Tech</w:t>
      </w:r>
      <w:r w:rsidRPr="00661E10">
        <w:t xml:space="preserve">, took unified process evaluation approaches to these programs across the four FirstEnergy EDCs, including West Penn Power, and so the annual evaluation reports of the four EDCs report identical information about the process evaluation in each year. Therefore, the SWE Team’s audit summary described in Section </w:t>
      </w:r>
      <w:r w:rsidRPr="00661E10">
        <w:fldChar w:fldCharType="begin"/>
      </w:r>
      <w:r w:rsidRPr="00661E10">
        <w:instrText xml:space="preserve"> REF _Ref469667174 \r \h </w:instrText>
      </w:r>
      <w:r w:rsidRPr="00661E10">
        <w:fldChar w:fldCharType="separate"/>
      </w:r>
      <w:r w:rsidR="00C301D0">
        <w:t>5.2.4.2</w:t>
      </w:r>
      <w:r w:rsidRPr="00661E10">
        <w:fldChar w:fldCharType="end"/>
      </w:r>
      <w:r w:rsidRPr="00661E10">
        <w:t xml:space="preserve"> pertains to all four FirstEnergy </w:t>
      </w:r>
      <w:r w:rsidR="00F02042">
        <w:t>EDCs</w:t>
      </w:r>
      <w:r w:rsidRPr="00661E10">
        <w:t>, including West Penn Power.</w:t>
      </w:r>
    </w:p>
    <w:p w:rsidR="00661E10" w:rsidRPr="00661E10" w:rsidRDefault="00661E10" w:rsidP="00661E10"/>
    <w:p w:rsidR="00F44D58" w:rsidRPr="00661E10" w:rsidRDefault="00F44D58"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t>PECO Energy</w:t>
      </w:r>
      <w:r w:rsidRPr="00661E10">
        <w:rPr>
          <w:rFonts w:ascii="Century Gothic" w:eastAsiaTheme="minorHAnsi" w:hAnsi="Century Gothic" w:cstheme="minorBidi"/>
          <w:b/>
          <w:i/>
          <w:sz w:val="20"/>
        </w:rPr>
        <w:tab/>
      </w:r>
    </w:p>
    <w:p w:rsidR="00F44D58" w:rsidRPr="00661E10" w:rsidRDefault="00F44D58" w:rsidP="009349F1">
      <w:pPr>
        <w:numPr>
          <w:ilvl w:val="4"/>
          <w:numId w:val="8"/>
        </w:numPr>
        <w:spacing w:after="120"/>
        <w:outlineLvl w:val="4"/>
        <w:rPr>
          <w:rFonts w:ascii="Century Gothic" w:eastAsiaTheme="minorHAnsi" w:hAnsi="Century Gothic" w:cstheme="minorBidi"/>
          <w:i/>
        </w:rPr>
      </w:pPr>
      <w:r w:rsidRPr="00661E10">
        <w:rPr>
          <w:rFonts w:ascii="Century Gothic" w:eastAsiaTheme="minorHAnsi" w:hAnsi="Century Gothic" w:cstheme="minorBidi"/>
          <w:i/>
        </w:rPr>
        <w:t>Process Evaluation Key Findings from Phase II</w:t>
      </w:r>
    </w:p>
    <w:p w:rsidR="00F44D58" w:rsidRPr="00661E10" w:rsidRDefault="00121908" w:rsidP="00F44D58">
      <w:r w:rsidRPr="00121908">
        <w:t xml:space="preserve">Across all DSM programs, when accounting for cumulative portfolio savings that include carry-over savings from Phase I, PECO exceeded the energy savings compliance target. Savings came from across the portfolio of programs, with some programs meeting or exceeding their specific goals whereas others did not meet their goals. Some of the largest programs, such as Smart Home Rebates (SHR), exceeded their goals noticeably. Other programs, such as Smart Appliance Recycling (SAR), did not meet their specific Phase II goals. For example, JACO’s bankruptcy during Phase II, which interfered with the delivery of </w:t>
      </w:r>
      <w:r w:rsidRPr="00121908">
        <w:lastRenderedPageBreak/>
        <w:t>participant rebates, was responsible for SAR failing to reach its PY7 and Phase II goals. Navigant identified reasons why programs exceeded or did not meet their goals.</w:t>
      </w:r>
      <w:r w:rsidR="00F44D58" w:rsidRPr="00661E10">
        <w:t xml:space="preserve"> </w:t>
      </w:r>
    </w:p>
    <w:p w:rsidR="00F44D58" w:rsidRPr="00661E10" w:rsidRDefault="00F44D58" w:rsidP="00F44D58"/>
    <w:p w:rsidR="00F44D58" w:rsidRPr="00661E10" w:rsidRDefault="00121908" w:rsidP="00F44D58">
      <w:r w:rsidRPr="00121908">
        <w:t>Across all programs, participants were generally satisfied. Participant feedback on PECO’s programs provided insights into the efficiency of the program delivery and opportunities for improvement. The latter revolved around issues such as increasing cross promotion of PECO programs and ways to simplify program delivery.  A decline in satisfaction was noted among the 10% of SAR’s PY7 participants impacted by JACO’s bankruptcy.</w:t>
      </w:r>
    </w:p>
    <w:p w:rsidR="00F44D58" w:rsidRPr="00661E10" w:rsidRDefault="00F44D58" w:rsidP="00F44D58"/>
    <w:p w:rsidR="00F44D58" w:rsidRPr="00661E10" w:rsidRDefault="00F44D58" w:rsidP="009349F1">
      <w:pPr>
        <w:numPr>
          <w:ilvl w:val="4"/>
          <w:numId w:val="8"/>
        </w:numPr>
        <w:spacing w:after="120"/>
        <w:outlineLvl w:val="4"/>
        <w:rPr>
          <w:rFonts w:ascii="Century Gothic" w:eastAsiaTheme="minorHAnsi" w:hAnsi="Century Gothic" w:cstheme="minorBidi"/>
          <w:i/>
        </w:rPr>
      </w:pPr>
      <w:r w:rsidRPr="00661E10">
        <w:rPr>
          <w:rFonts w:ascii="Century Gothic" w:eastAsiaTheme="minorHAnsi" w:hAnsi="Century Gothic" w:cstheme="minorBidi"/>
          <w:i/>
        </w:rPr>
        <w:t>SWE Team Review of Process Evaluation</w:t>
      </w:r>
    </w:p>
    <w:p w:rsidR="00F44D58" w:rsidRPr="00661E10" w:rsidRDefault="00F44D58" w:rsidP="00A30624">
      <w:pPr>
        <w:spacing w:after="120"/>
      </w:pPr>
      <w:r w:rsidRPr="00661E10">
        <w:t>The SWE Team’s review found that the PY5, PY6, and PY7 evaluations were consistent with Navigant’s Phase II evaluation plan. The random sampling for participant and nonparticipant surveys was appropriate, as was the purposive sampling used for staff, implementer, and market actor interviews. Across the Phase II evaluations, Navigant did the following:</w:t>
      </w:r>
    </w:p>
    <w:p w:rsidR="00F44D58" w:rsidRPr="00661E10" w:rsidRDefault="00F44D58" w:rsidP="00E646C9">
      <w:pPr>
        <w:numPr>
          <w:ilvl w:val="0"/>
          <w:numId w:val="58"/>
        </w:numPr>
        <w:ind w:left="360"/>
        <w:contextualSpacing/>
        <w:rPr>
          <w:szCs w:val="20"/>
        </w:rPr>
      </w:pPr>
      <w:r w:rsidRPr="00661E10">
        <w:rPr>
          <w:szCs w:val="20"/>
        </w:rPr>
        <w:t>Followed the evaluation plan’s guidelines and activities.</w:t>
      </w:r>
    </w:p>
    <w:p w:rsidR="00F44D58" w:rsidRPr="00661E10" w:rsidRDefault="00F44D58" w:rsidP="00E646C9">
      <w:pPr>
        <w:numPr>
          <w:ilvl w:val="0"/>
          <w:numId w:val="58"/>
        </w:numPr>
        <w:ind w:left="360"/>
        <w:contextualSpacing/>
        <w:rPr>
          <w:szCs w:val="20"/>
        </w:rPr>
      </w:pPr>
      <w:r w:rsidRPr="00661E10">
        <w:rPr>
          <w:szCs w:val="20"/>
        </w:rPr>
        <w:t>Evaluated each program at least once across Phase II.</w:t>
      </w:r>
    </w:p>
    <w:p w:rsidR="00F44D58" w:rsidRPr="00661E10" w:rsidRDefault="00F44D58" w:rsidP="00E646C9">
      <w:pPr>
        <w:numPr>
          <w:ilvl w:val="0"/>
          <w:numId w:val="58"/>
        </w:numPr>
        <w:ind w:left="360"/>
        <w:contextualSpacing/>
        <w:rPr>
          <w:szCs w:val="20"/>
        </w:rPr>
      </w:pPr>
      <w:r w:rsidRPr="00661E10">
        <w:rPr>
          <w:szCs w:val="20"/>
        </w:rPr>
        <w:t>Used SWE-prescribed tables in the report.</w:t>
      </w:r>
    </w:p>
    <w:p w:rsidR="00F44D58" w:rsidRPr="00661E10" w:rsidRDefault="00F44D58" w:rsidP="00E646C9">
      <w:pPr>
        <w:numPr>
          <w:ilvl w:val="0"/>
          <w:numId w:val="58"/>
        </w:numPr>
        <w:ind w:left="360"/>
        <w:contextualSpacing/>
        <w:rPr>
          <w:szCs w:val="20"/>
        </w:rPr>
      </w:pPr>
      <w:r w:rsidRPr="00661E10">
        <w:rPr>
          <w:szCs w:val="20"/>
        </w:rPr>
        <w:t>Described its methods adequately.</w:t>
      </w:r>
    </w:p>
    <w:p w:rsidR="00F44D58" w:rsidRPr="00661E10" w:rsidRDefault="00F44D58" w:rsidP="00E646C9">
      <w:pPr>
        <w:numPr>
          <w:ilvl w:val="0"/>
          <w:numId w:val="58"/>
        </w:numPr>
        <w:ind w:left="360"/>
        <w:contextualSpacing/>
        <w:rPr>
          <w:szCs w:val="20"/>
        </w:rPr>
      </w:pPr>
      <w:r w:rsidRPr="00661E10">
        <w:rPr>
          <w:szCs w:val="20"/>
        </w:rPr>
        <w:t>Provided a summary of evaluation findings.</w:t>
      </w:r>
    </w:p>
    <w:p w:rsidR="00F44D58" w:rsidRPr="00661E10" w:rsidRDefault="00F44D58" w:rsidP="00E646C9">
      <w:pPr>
        <w:numPr>
          <w:ilvl w:val="0"/>
          <w:numId w:val="58"/>
        </w:numPr>
        <w:ind w:left="360"/>
        <w:contextualSpacing/>
        <w:rPr>
          <w:szCs w:val="20"/>
        </w:rPr>
      </w:pPr>
      <w:r w:rsidRPr="00661E10">
        <w:rPr>
          <w:szCs w:val="20"/>
        </w:rPr>
        <w:t>Reported findings based on research activities.</w:t>
      </w:r>
    </w:p>
    <w:p w:rsidR="00F44D58" w:rsidRPr="00661E10" w:rsidRDefault="00F44D58" w:rsidP="00E646C9">
      <w:pPr>
        <w:numPr>
          <w:ilvl w:val="0"/>
          <w:numId w:val="58"/>
        </w:numPr>
        <w:ind w:left="360"/>
        <w:contextualSpacing/>
        <w:rPr>
          <w:szCs w:val="20"/>
        </w:rPr>
      </w:pPr>
      <w:r w:rsidRPr="00661E10">
        <w:rPr>
          <w:szCs w:val="20"/>
        </w:rPr>
        <w:t>Created actionable recommendations based on research findings.</w:t>
      </w:r>
    </w:p>
    <w:p w:rsidR="00F44D58" w:rsidRPr="00661E10" w:rsidRDefault="00F44D58" w:rsidP="00F44D58"/>
    <w:p w:rsidR="00F44D58" w:rsidRPr="00661E10" w:rsidRDefault="00F44D58" w:rsidP="00F44D58">
      <w:r w:rsidRPr="00661E10">
        <w:t xml:space="preserve">The PY5, PY6, and PY7 annual evaluation reports and supporting documentation generally provided a comprehensive overview of the process evaluation key findings and recommendations. Additionally, the PY7 report, compared with the PY5 and PY6 reports, included more detail on data gathered from interviews with market actors </w:t>
      </w:r>
      <w:r>
        <w:t>and</w:t>
      </w:r>
      <w:r w:rsidRPr="00661E10">
        <w:t xml:space="preserve"> program and implementer staff across various programs.  </w:t>
      </w:r>
    </w:p>
    <w:p w:rsidR="00F44D58" w:rsidRPr="00661E10" w:rsidRDefault="00F44D58" w:rsidP="00F44D58"/>
    <w:p w:rsidR="00F44D58" w:rsidRPr="00661E10" w:rsidRDefault="00F44D58" w:rsidP="00A30624">
      <w:pPr>
        <w:spacing w:after="120"/>
      </w:pPr>
      <w:r w:rsidRPr="00661E10">
        <w:t>Two issues were noted in more than one SWE report across Phase II:</w:t>
      </w:r>
    </w:p>
    <w:p w:rsidR="00F44D58" w:rsidRPr="00661E10" w:rsidRDefault="00F44D58" w:rsidP="00E646C9">
      <w:pPr>
        <w:numPr>
          <w:ilvl w:val="0"/>
          <w:numId w:val="58"/>
        </w:numPr>
        <w:ind w:left="360"/>
        <w:contextualSpacing/>
        <w:rPr>
          <w:szCs w:val="20"/>
        </w:rPr>
      </w:pPr>
      <w:r w:rsidRPr="00661E10">
        <w:rPr>
          <w:szCs w:val="20"/>
        </w:rPr>
        <w:t xml:space="preserve">As noted in the PY6 SWE report and the PY7 SWE analysis in this document, many recommendations were drawn from key findings rather than from conclusions. Taking the intermediary step of generating a conclusion based on multiple key findings can lead to stronger recommendations. </w:t>
      </w:r>
    </w:p>
    <w:p w:rsidR="00F44D58" w:rsidRPr="00661E10" w:rsidRDefault="005A1697" w:rsidP="00E646C9">
      <w:pPr>
        <w:numPr>
          <w:ilvl w:val="0"/>
          <w:numId w:val="58"/>
        </w:numPr>
        <w:ind w:left="360"/>
        <w:contextualSpacing/>
      </w:pPr>
      <w:r w:rsidRPr="005A1697">
        <w:rPr>
          <w:szCs w:val="20"/>
        </w:rPr>
        <w:t>The PY6 SWE report and the PY7 SWE analysis in this document note that Navigant did not report statistical significance when describing differences in groups. Providing statistical assessments would help the reader better understand the scale of noted differences, as well as explicitly noting when sample sizes are too small to conduct statistical assessments.</w:t>
      </w:r>
      <w:r w:rsidR="00F44D58" w:rsidRPr="00661E10">
        <w:rPr>
          <w:szCs w:val="20"/>
        </w:rPr>
        <w:t>”</w:t>
      </w:r>
    </w:p>
    <w:p w:rsidR="00F44D58" w:rsidRPr="00661E10" w:rsidRDefault="00F44D58" w:rsidP="00F44D58"/>
    <w:p w:rsidR="00F44D58" w:rsidRDefault="00F44D58" w:rsidP="00F44D58">
      <w:r w:rsidRPr="00661E10">
        <w:t>Addressing the above issues will make the reporting stronger in Phase III.</w:t>
      </w:r>
    </w:p>
    <w:p w:rsidR="008A2E24" w:rsidRPr="00661E10" w:rsidRDefault="008A2E24" w:rsidP="00F44D58"/>
    <w:p w:rsidR="00F44D58" w:rsidRPr="00661E10" w:rsidRDefault="00702765" w:rsidP="009349F1">
      <w:pPr>
        <w:numPr>
          <w:ilvl w:val="3"/>
          <w:numId w:val="8"/>
        </w:numPr>
        <w:spacing w:after="120"/>
        <w:outlineLvl w:val="3"/>
        <w:rPr>
          <w:rFonts w:ascii="Century Gothic" w:eastAsiaTheme="minorHAnsi" w:hAnsi="Century Gothic" w:cstheme="minorBidi"/>
          <w:b/>
          <w:i/>
          <w:sz w:val="20"/>
        </w:rPr>
      </w:pPr>
      <w:r>
        <w:rPr>
          <w:rFonts w:ascii="Century Gothic" w:eastAsiaTheme="minorHAnsi" w:hAnsi="Century Gothic" w:cstheme="minorBidi"/>
          <w:b/>
          <w:i/>
          <w:sz w:val="20"/>
        </w:rPr>
        <w:t>PPL</w:t>
      </w:r>
      <w:r w:rsidR="00F44D58" w:rsidRPr="00661E10">
        <w:rPr>
          <w:rFonts w:ascii="Century Gothic" w:eastAsiaTheme="minorHAnsi" w:hAnsi="Century Gothic" w:cstheme="minorBidi"/>
          <w:b/>
          <w:i/>
          <w:sz w:val="20"/>
        </w:rPr>
        <w:tab/>
      </w:r>
    </w:p>
    <w:p w:rsidR="00F44D58" w:rsidRPr="00661E10" w:rsidRDefault="00F44D58" w:rsidP="009349F1">
      <w:pPr>
        <w:numPr>
          <w:ilvl w:val="4"/>
          <w:numId w:val="8"/>
        </w:numPr>
        <w:spacing w:after="120"/>
        <w:outlineLvl w:val="4"/>
        <w:rPr>
          <w:rFonts w:ascii="Century Gothic" w:eastAsiaTheme="minorHAnsi" w:hAnsi="Century Gothic" w:cstheme="minorBidi"/>
          <w:i/>
        </w:rPr>
      </w:pPr>
      <w:r w:rsidRPr="00661E10">
        <w:rPr>
          <w:rFonts w:ascii="Century Gothic" w:eastAsiaTheme="minorHAnsi" w:hAnsi="Century Gothic" w:cstheme="minorBidi"/>
          <w:i/>
        </w:rPr>
        <w:t>Process Evaluation Key Findings from Phase II</w:t>
      </w:r>
    </w:p>
    <w:p w:rsidR="005A1697" w:rsidRDefault="005A1697" w:rsidP="005A1697">
      <w:r>
        <w:t>Across all DSM programs and pilots, PPL achieved 145% of its planned energy savings for Phase II, including carry-over savings from Phase I. Savings came from across the portfolio of programs, with most programs exceeding the estimates identified in the EE&amp;C Plan and a few programs slightly below the EE&amp;C Plan estimates. Cadmus identified reasons why those programs did not meet their estimates.</w:t>
      </w:r>
    </w:p>
    <w:p w:rsidR="005A1697" w:rsidRDefault="005A1697" w:rsidP="005A1697">
      <w:r>
        <w:t xml:space="preserve"> </w:t>
      </w:r>
    </w:p>
    <w:p w:rsidR="005A1697" w:rsidRDefault="005A1697" w:rsidP="005A1697">
      <w:r>
        <w:lastRenderedPageBreak/>
        <w:t xml:space="preserve">Across all programs, participants were satisfied, and a handful of participants in each program offered insights or suggestions for program improvements. These suggestions typically revolved around improving specific elements of the program, such as the applications, workshops, or program offerings. Program staff did not report any substantial program changes for Phase II but did note some changes for Phase III.  </w:t>
      </w:r>
    </w:p>
    <w:p w:rsidR="00F44D58" w:rsidRDefault="005A1697" w:rsidP="005A1697">
      <w:r>
        <w:t>The Master Metered Low-Income Multifamily Housing Program will not continue as a stand-alone program in Phase III; however, all multifamily buildings (both low income and market rate) are eligible to participate in the Phase III program offerings. Two pilots, the De Facto Heating Pilot (a component of the PY7 WRAP program) and the Wise Homes Pilot (a component of the PY7 E-PowerWise Program) will not continue or be mainstreamed in Phase III due to a variety of reasons, including cost per annual kWh saved. However, PPL will offer elements of the latter pilot as part of the Manufactured Home Park Initiative under the WRAP program. Offered measures will include LEDs and water measures (as offered by WRAP to all participants), as well as limited air sealing (without a blower door test or leakage assessment, as was done in the pilot).</w:t>
      </w:r>
    </w:p>
    <w:p w:rsidR="005A1697" w:rsidRPr="00661E10" w:rsidRDefault="005A1697" w:rsidP="005A1697"/>
    <w:p w:rsidR="00F44D58" w:rsidRPr="00661E10" w:rsidRDefault="00F44D58" w:rsidP="009349F1">
      <w:pPr>
        <w:numPr>
          <w:ilvl w:val="4"/>
          <w:numId w:val="8"/>
        </w:numPr>
        <w:spacing w:after="120"/>
        <w:outlineLvl w:val="4"/>
        <w:rPr>
          <w:rFonts w:ascii="Century Gothic" w:eastAsiaTheme="minorHAnsi" w:hAnsi="Century Gothic" w:cstheme="minorBidi"/>
          <w:i/>
        </w:rPr>
      </w:pPr>
      <w:r w:rsidRPr="00661E10">
        <w:rPr>
          <w:rFonts w:ascii="Century Gothic" w:eastAsiaTheme="minorHAnsi" w:hAnsi="Century Gothic" w:cstheme="minorBidi"/>
          <w:i/>
        </w:rPr>
        <w:t>SWE Team Review of Process Evaluation</w:t>
      </w:r>
    </w:p>
    <w:p w:rsidR="00F44D58" w:rsidRPr="00661E10" w:rsidRDefault="00F44D58" w:rsidP="00A30624">
      <w:pPr>
        <w:spacing w:after="120"/>
      </w:pPr>
      <w:r w:rsidRPr="00661E10">
        <w:t xml:space="preserve">All Phase II evaluations (PY5, PY6, PY7) followed the evaluation plan, with very few exceptions. The random sampling for participant and nonparticipant surveys, and the purposive sampling used for staff and implementer interviews, was appropriate, even though Cadmus was not able to achieve planned sample sizes for some survey efforts. </w:t>
      </w:r>
      <w:r w:rsidR="007C55F7">
        <w:t>Cadmus provided explanations where planned sample sizes were not achieved.</w:t>
      </w:r>
      <w:r w:rsidRPr="00661E10">
        <w:t xml:space="preserve"> Across the Phase II evaluations, Cadmus did the following:</w:t>
      </w:r>
    </w:p>
    <w:p w:rsidR="00F44D58" w:rsidRPr="00661E10" w:rsidRDefault="00F44D58" w:rsidP="00E646C9">
      <w:pPr>
        <w:numPr>
          <w:ilvl w:val="0"/>
          <w:numId w:val="59"/>
        </w:numPr>
        <w:ind w:left="360"/>
        <w:contextualSpacing/>
        <w:rPr>
          <w:szCs w:val="20"/>
        </w:rPr>
      </w:pPr>
      <w:r w:rsidRPr="00661E10">
        <w:rPr>
          <w:szCs w:val="20"/>
        </w:rPr>
        <w:t>Followed the evaluation plan’s guidelines and activities, with very few exceptions.</w:t>
      </w:r>
    </w:p>
    <w:p w:rsidR="00F44D58" w:rsidRPr="00661E10" w:rsidRDefault="00F44D58" w:rsidP="00E646C9">
      <w:pPr>
        <w:numPr>
          <w:ilvl w:val="0"/>
          <w:numId w:val="59"/>
        </w:numPr>
        <w:ind w:left="360"/>
        <w:contextualSpacing/>
        <w:rPr>
          <w:szCs w:val="20"/>
        </w:rPr>
      </w:pPr>
      <w:r w:rsidRPr="00661E10">
        <w:rPr>
          <w:szCs w:val="20"/>
        </w:rPr>
        <w:t>Evaluated each program at least once across Phase II.</w:t>
      </w:r>
    </w:p>
    <w:p w:rsidR="00F44D58" w:rsidRPr="00661E10" w:rsidRDefault="00F44D58" w:rsidP="00E646C9">
      <w:pPr>
        <w:numPr>
          <w:ilvl w:val="0"/>
          <w:numId w:val="59"/>
        </w:numPr>
        <w:ind w:left="360"/>
        <w:contextualSpacing/>
        <w:rPr>
          <w:szCs w:val="20"/>
        </w:rPr>
      </w:pPr>
      <w:r w:rsidRPr="00661E10">
        <w:rPr>
          <w:szCs w:val="20"/>
        </w:rPr>
        <w:t>Used SWE-prescribed tables in the report, with some exceptions for PY5.</w:t>
      </w:r>
    </w:p>
    <w:p w:rsidR="00F44D58" w:rsidRPr="00661E10" w:rsidRDefault="00F44D58" w:rsidP="00E646C9">
      <w:pPr>
        <w:numPr>
          <w:ilvl w:val="0"/>
          <w:numId w:val="59"/>
        </w:numPr>
        <w:ind w:left="360"/>
        <w:contextualSpacing/>
        <w:rPr>
          <w:szCs w:val="20"/>
        </w:rPr>
      </w:pPr>
      <w:r w:rsidRPr="00661E10">
        <w:rPr>
          <w:szCs w:val="20"/>
        </w:rPr>
        <w:t>Described its methods adequately, with a few exceptions in PY5 that were addressed in PY6 and PY7.</w:t>
      </w:r>
    </w:p>
    <w:p w:rsidR="00F44D58" w:rsidRPr="00661E10" w:rsidRDefault="00F44D58" w:rsidP="00E646C9">
      <w:pPr>
        <w:numPr>
          <w:ilvl w:val="0"/>
          <w:numId w:val="59"/>
        </w:numPr>
        <w:ind w:left="360"/>
        <w:contextualSpacing/>
        <w:rPr>
          <w:szCs w:val="20"/>
        </w:rPr>
      </w:pPr>
      <w:r w:rsidRPr="00661E10">
        <w:rPr>
          <w:szCs w:val="20"/>
        </w:rPr>
        <w:t>Provided a summary of evaluation findings.</w:t>
      </w:r>
    </w:p>
    <w:p w:rsidR="00F44D58" w:rsidRPr="00661E10" w:rsidRDefault="00F44D58" w:rsidP="00E646C9">
      <w:pPr>
        <w:numPr>
          <w:ilvl w:val="0"/>
          <w:numId w:val="59"/>
        </w:numPr>
        <w:ind w:left="360"/>
        <w:contextualSpacing/>
        <w:rPr>
          <w:szCs w:val="20"/>
        </w:rPr>
      </w:pPr>
      <w:r w:rsidRPr="00661E10">
        <w:rPr>
          <w:szCs w:val="20"/>
        </w:rPr>
        <w:t>Reported findings based on prescribed research questions and activities.</w:t>
      </w:r>
    </w:p>
    <w:p w:rsidR="00F44D58" w:rsidRPr="00661E10" w:rsidRDefault="00F44D58" w:rsidP="00E646C9">
      <w:pPr>
        <w:numPr>
          <w:ilvl w:val="0"/>
          <w:numId w:val="59"/>
        </w:numPr>
        <w:ind w:left="360"/>
        <w:contextualSpacing/>
        <w:rPr>
          <w:szCs w:val="20"/>
        </w:rPr>
      </w:pPr>
      <w:r w:rsidRPr="00661E10">
        <w:rPr>
          <w:szCs w:val="20"/>
        </w:rPr>
        <w:t>Created actionable recommendations based on research findings and conclusions.</w:t>
      </w:r>
    </w:p>
    <w:p w:rsidR="00F44D58" w:rsidRPr="00661E10" w:rsidRDefault="00F44D58" w:rsidP="00F44D58"/>
    <w:p w:rsidR="00F44D58" w:rsidRPr="00661E10" w:rsidRDefault="00F44D58" w:rsidP="00F44D58">
      <w:r w:rsidRPr="00661E10">
        <w:t xml:space="preserve">Cadmus implemented most of the SWE Team’s recommendations and improved its reports in each successive year. The SWE Team did not identify any issues that were present across </w:t>
      </w:r>
      <w:r w:rsidR="00BD1B4E" w:rsidRPr="00BD1B4E">
        <w:t xml:space="preserve">multiple </w:t>
      </w:r>
      <w:r w:rsidRPr="00661E10">
        <w:t>Phase II reports. Addressing the SWE Team’s few recommendations from the PY7 audit will make the reporting stronger in Phase III.</w:t>
      </w:r>
    </w:p>
    <w:p w:rsidR="00661E10" w:rsidRPr="00661E10" w:rsidRDefault="00661E10" w:rsidP="00661E10"/>
    <w:p w:rsidR="00661E10" w:rsidRPr="00661E10" w:rsidRDefault="00661E10" w:rsidP="00661E10">
      <w:pPr>
        <w:pStyle w:val="Heading2"/>
      </w:pPr>
      <w:bookmarkStart w:id="371" w:name="_Toc472472130"/>
      <w:bookmarkStart w:id="372" w:name="_Toc476913943"/>
      <w:r w:rsidRPr="00661E10">
        <w:t>Net-to-Gross Research to Support Program Design</w:t>
      </w:r>
      <w:bookmarkEnd w:id="371"/>
      <w:bookmarkEnd w:id="372"/>
    </w:p>
    <w:p w:rsidR="00661E10" w:rsidRPr="00661E10" w:rsidRDefault="00F44D58" w:rsidP="00661E10">
      <w:pPr>
        <w:pStyle w:val="Heading3"/>
      </w:pPr>
      <w:bookmarkStart w:id="373" w:name="_Toc472472131"/>
      <w:bookmarkStart w:id="374" w:name="_Toc476913944"/>
      <w:r>
        <w:t xml:space="preserve">Purpose of </w:t>
      </w:r>
      <w:r w:rsidR="00661E10" w:rsidRPr="00661E10">
        <w:t>Net-to-Gross</w:t>
      </w:r>
      <w:r>
        <w:t xml:space="preserve"> Research</w:t>
      </w:r>
      <w:bookmarkEnd w:id="373"/>
      <w:bookmarkEnd w:id="374"/>
    </w:p>
    <w:p w:rsidR="00661E10" w:rsidRPr="00661E10" w:rsidRDefault="00661E10" w:rsidP="00661E10">
      <w:r w:rsidRPr="00661E10">
        <w:t xml:space="preserve">The Phase II PA PUC Implementation Order specifies that in Phase II of Act 129, as in Phase I, compliance is based on meeting energy and demand reduction targets on gross verified savings. However, the PUC order also states that the EDCs should continue to use net verified savings to inform program design and implementation. </w:t>
      </w:r>
    </w:p>
    <w:p w:rsidR="00661E10" w:rsidRPr="00661E10" w:rsidRDefault="00661E10" w:rsidP="00661E10"/>
    <w:p w:rsidR="00661E10" w:rsidRPr="00661E10" w:rsidRDefault="00661E10" w:rsidP="00661E10">
      <w:r w:rsidRPr="00661E10">
        <w:t>Net savings are gross savings minus free-ridership plus spillover, where free-ridership is the savings that would have occurred even without the program</w:t>
      </w:r>
      <w:r w:rsidR="00E82812">
        <w:t>,</w:t>
      </w:r>
      <w:r w:rsidRPr="00661E10">
        <w:t xml:space="preserve"> and spillover is additional non-incented savings that occurred because of program influence. The ratio of net savings to gross savings is the net-to-gross ratio (NTGR), which is equal to 1 – FR + SO, where FR and SO represent free-ridership and spillover, each expressed as a proportion of gross savings. </w:t>
      </w:r>
    </w:p>
    <w:p w:rsidR="00661E10" w:rsidRDefault="00661E10" w:rsidP="00661E10">
      <w:r w:rsidRPr="00661E10">
        <w:lastRenderedPageBreak/>
        <w:t>This section summarizes the results from the EDCs’ NTG research, and the SWE Team’s determination of how closely the EDCs’ NTG evaluations aligned with the SWE guidelines.</w:t>
      </w:r>
    </w:p>
    <w:p w:rsidR="008156B6" w:rsidRDefault="008156B6" w:rsidP="00661E10"/>
    <w:p w:rsidR="007D5AC4" w:rsidRPr="00661E10" w:rsidRDefault="007D5AC4" w:rsidP="007D5AC4">
      <w:pPr>
        <w:pStyle w:val="Heading3"/>
      </w:pPr>
      <w:bookmarkStart w:id="375" w:name="_Toc476913945"/>
      <w:r>
        <w:t>SWE Analysis of Phase II Net-to-Gross Reporting</w:t>
      </w:r>
      <w:bookmarkEnd w:id="375"/>
    </w:p>
    <w:p w:rsidR="007D5AC4" w:rsidRPr="007D5AC4" w:rsidRDefault="007D5AC4" w:rsidP="007D5AC4">
      <w:r w:rsidRPr="007D5AC4">
        <w:t>The Evaluation Framework states that NTG research should be conducted “to direct Act 129 program design and implementation” and provides detailed guidance on how NTG research should be conducted. For Phase II, the SWE Team introduced a common method for NTG estimation for downstream programs to help ensure consistent assessment of NTG across EDCs and programs. Since the evaluation contractors relied on this method—and typically executed it well—the NTG results across the EDCs are quite comparable, allowing for analysis of intra- and inter-EDC trends.</w:t>
      </w:r>
      <w:r>
        <w:t xml:space="preserve"> P</w:t>
      </w:r>
      <w:r w:rsidRPr="007D5AC4">
        <w:t>ortfolio-level NTG ratio (NTGR) decreased over Phase II for four EDCs (including three of the FirstEnergy EDCs), increased for one EDC, and showed no trend for two EDCs.</w:t>
      </w:r>
    </w:p>
    <w:p w:rsidR="007D5AC4" w:rsidRPr="007D5AC4" w:rsidRDefault="007D5AC4" w:rsidP="007D5AC4"/>
    <w:p w:rsidR="007D5AC4" w:rsidRPr="007D5AC4" w:rsidRDefault="007D5AC4" w:rsidP="007D5AC4">
      <w:r w:rsidRPr="007D5AC4">
        <w:t>The SWE Team has identified two additional areas in which further TUS and SWE guidance may be valuable in Phase III.</w:t>
      </w:r>
    </w:p>
    <w:p w:rsidR="007D5AC4" w:rsidRPr="007D5AC4" w:rsidRDefault="007D5AC4" w:rsidP="007D5AC4"/>
    <w:p w:rsidR="007D5AC4" w:rsidRPr="007D5AC4" w:rsidRDefault="007D5AC4" w:rsidP="007D5AC4">
      <w:pPr>
        <w:pStyle w:val="Heading4"/>
      </w:pPr>
      <w:r w:rsidRPr="007D5AC4">
        <w:t>Comprehensiveness of NTG Research</w:t>
      </w:r>
    </w:p>
    <w:p w:rsidR="007D5AC4" w:rsidRPr="007D5AC4" w:rsidRDefault="007D5AC4" w:rsidP="007D5AC4">
      <w:r w:rsidRPr="007D5AC4">
        <w:t xml:space="preserve">The Evaluation Framework does not explicitly state that NTG research must be conducted for each program, nor does it state how often it must be conducted for a given program. This lack of specificity has led to some differences of understanding between the SWE Team and EDC evaluation contractors regarding the expectations for NTG research. </w:t>
      </w:r>
    </w:p>
    <w:p w:rsidR="007D5AC4" w:rsidRPr="007D5AC4" w:rsidRDefault="007D5AC4" w:rsidP="007D5AC4"/>
    <w:p w:rsidR="007D5AC4" w:rsidRPr="007D5AC4" w:rsidRDefault="007D5AC4" w:rsidP="007D5AC4">
      <w:r w:rsidRPr="007D5AC4">
        <w:t>The SWE Team believes that NTG research should be performed every year for high-impact programs (as defined by the Phase III SWE) and at least every three years for all other programs, unless an evaluation plan provides an acceptable reason not to conduct NTG research for a given program in a given year. The SWE Team understands that the new guidance in the Phase III framework is consistent with this perspective.</w:t>
      </w:r>
    </w:p>
    <w:p w:rsidR="007D5AC4" w:rsidRPr="007D5AC4" w:rsidRDefault="007D5AC4" w:rsidP="007D5AC4"/>
    <w:p w:rsidR="007D5AC4" w:rsidRPr="007D5AC4" w:rsidRDefault="007D5AC4" w:rsidP="007D5AC4">
      <w:pPr>
        <w:pStyle w:val="Heading4"/>
      </w:pPr>
      <w:r w:rsidRPr="007D5AC4">
        <w:t>Assumption of an NTG Ratio of 1.0</w:t>
      </w:r>
    </w:p>
    <w:p w:rsidR="007D5AC4" w:rsidRPr="007D5AC4" w:rsidRDefault="007D5AC4" w:rsidP="007D5AC4">
      <w:r w:rsidRPr="007D5AC4">
        <w:t>The Phase II Evaluation Framework specified that the EDCs’ evaluation contractors should conduct NTG research “to inform program design and program planning.” In PY6 and PY7, evaluation contractors assumed an NTGR of 1.0 for most low-income programs as well as for some other residential and non-residential programs, under the rationale that the energy efficient measures were distributed at no cost to the recipients. The Phase II framework did not specify that any types of programs were exempt from NTG research—in fact, the framework identified the type of research often used for low-income programs—and therefore the SWE Team stated its disagreement with the evaluation contractors’ reasoning. Research conducted by SWE Team members in other jurisdictions indicates that the NTGR for low-income programs is often different from 1.0.</w:t>
      </w:r>
    </w:p>
    <w:p w:rsidR="007D5AC4" w:rsidRPr="007D5AC4" w:rsidRDefault="007D5AC4" w:rsidP="007D5AC4"/>
    <w:p w:rsidR="007D5AC4" w:rsidRPr="007D5AC4" w:rsidRDefault="007D5AC4" w:rsidP="008A2E24">
      <w:pPr>
        <w:spacing w:after="120"/>
      </w:pPr>
      <w:r w:rsidRPr="007D5AC4">
        <w:t>The SWE Team understands that the TUS does not believe that NTG research in the low-income sector is a priority. Moreover, there are some conditions under which NTG research may be inappropriate or unwarranted even in programs outside the low-income sector. The framework or other written guidance should identify the reasons for which NTG research may be waived. Such reasons may include, but are not necessarily limited to, the following:</w:t>
      </w:r>
    </w:p>
    <w:p w:rsidR="007D5AC4" w:rsidRPr="007D5AC4" w:rsidRDefault="007D5AC4" w:rsidP="00E646C9">
      <w:pPr>
        <w:pStyle w:val="ListParagraph"/>
        <w:numPr>
          <w:ilvl w:val="0"/>
          <w:numId w:val="60"/>
        </w:numPr>
        <w:ind w:left="360"/>
      </w:pPr>
      <w:r w:rsidRPr="007D5AC4">
        <w:t>The EDC is discontinuing the program.</w:t>
      </w:r>
    </w:p>
    <w:p w:rsidR="007D5AC4" w:rsidRPr="007D5AC4" w:rsidRDefault="007D5AC4" w:rsidP="00E646C9">
      <w:pPr>
        <w:pStyle w:val="ListParagraph"/>
        <w:numPr>
          <w:ilvl w:val="0"/>
          <w:numId w:val="60"/>
        </w:numPr>
        <w:ind w:left="360"/>
      </w:pPr>
      <w:r w:rsidRPr="007D5AC4">
        <w:t>The program represents a very low percentage of sector-level savings.</w:t>
      </w:r>
    </w:p>
    <w:p w:rsidR="007D5AC4" w:rsidRPr="007D5AC4" w:rsidRDefault="007D5AC4" w:rsidP="00E646C9">
      <w:pPr>
        <w:pStyle w:val="ListParagraph"/>
        <w:numPr>
          <w:ilvl w:val="0"/>
          <w:numId w:val="60"/>
        </w:numPr>
        <w:ind w:left="360"/>
      </w:pPr>
      <w:r w:rsidRPr="007D5AC4">
        <w:lastRenderedPageBreak/>
        <w:t>The program has a very small population, making it difficult to develop a statistically reliable sample.</w:t>
      </w:r>
    </w:p>
    <w:p w:rsidR="007D5AC4" w:rsidRPr="007D5AC4" w:rsidRDefault="007D5AC4" w:rsidP="007D5AC4"/>
    <w:p w:rsidR="00661E10" w:rsidRDefault="007D5AC4" w:rsidP="007D5AC4">
      <w:r w:rsidRPr="007D5AC4">
        <w:t xml:space="preserve">However, no-cost delivery of measures should not justify the assumption of no free-ridership in programs outside the low-income sector. The fact of how the participants got the measures through the program is independent of how they </w:t>
      </w:r>
      <w:r w:rsidRPr="007D5AC4">
        <w:rPr>
          <w:i/>
        </w:rPr>
        <w:t>would have</w:t>
      </w:r>
      <w:r w:rsidRPr="007D5AC4">
        <w:t xml:space="preserve"> gotten them if there had been no program.</w:t>
      </w:r>
    </w:p>
    <w:p w:rsidR="007D5AC4" w:rsidRPr="00661E10" w:rsidRDefault="007D5AC4" w:rsidP="007D5AC4"/>
    <w:p w:rsidR="00661E10" w:rsidRPr="00661E10" w:rsidRDefault="00661E10" w:rsidP="00661E10">
      <w:pPr>
        <w:pStyle w:val="Heading3"/>
      </w:pPr>
      <w:bookmarkStart w:id="376" w:name="_Toc472472132"/>
      <w:bookmarkStart w:id="377" w:name="_Toc476913946"/>
      <w:r w:rsidRPr="00661E10">
        <w:t>Results for Program Year 7 (2015–2016)</w:t>
      </w:r>
      <w:bookmarkEnd w:id="376"/>
      <w:bookmarkEnd w:id="377"/>
    </w:p>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t xml:space="preserve">Summary of NTG </w:t>
      </w:r>
      <w:r w:rsidR="00F44D58">
        <w:rPr>
          <w:rFonts w:ascii="Century Gothic" w:eastAsiaTheme="minorHAnsi" w:hAnsi="Century Gothic" w:cstheme="minorBidi"/>
          <w:b/>
          <w:i/>
          <w:sz w:val="20"/>
        </w:rPr>
        <w:t>Results</w:t>
      </w:r>
    </w:p>
    <w:p w:rsidR="00661E10" w:rsidRPr="00661E10" w:rsidRDefault="00ED5AFA" w:rsidP="00661E10">
      <w:r>
        <w:fldChar w:fldCharType="begin"/>
      </w:r>
      <w:r>
        <w:instrText xml:space="preserve"> REF _Ref471458663 \h </w:instrText>
      </w:r>
      <w:r>
        <w:fldChar w:fldCharType="separate"/>
      </w:r>
      <w:r w:rsidR="00A874AC" w:rsidRPr="00ED5AFA">
        <w:t xml:space="preserve">Table </w:t>
      </w:r>
      <w:r w:rsidR="00A874AC">
        <w:rPr>
          <w:noProof/>
        </w:rPr>
        <w:t>5</w:t>
      </w:r>
      <w:r w:rsidR="00A874AC">
        <w:noBreakHyphen/>
      </w:r>
      <w:r w:rsidR="00A874AC">
        <w:rPr>
          <w:noProof/>
        </w:rPr>
        <w:t>3</w:t>
      </w:r>
      <w:r>
        <w:fldChar w:fldCharType="end"/>
      </w:r>
      <w:r>
        <w:t xml:space="preserve"> </w:t>
      </w:r>
      <w:r w:rsidR="00661E10" w:rsidRPr="00661E10">
        <w:t xml:space="preserve">summarizes the portfolio-level free-ridership, spillover, and NTGRs reported by the EDCs in their PY7 annual reports. The EDCs estimated their portfolio-level NTGRs by weighting the program-level NTGRs by program savings. Reported results were fairly consistent across the EDCs, with most free-ridership estimates ranging from 0.32 to 0.39, most spillover estimates ranging from 0.01 to 0.06, and all NTGRs ranging from 0.60 to 0.76. Penn Power and PECO had the lowest portfolio-level NTGRs. </w:t>
      </w:r>
    </w:p>
    <w:p w:rsidR="00661E10" w:rsidRPr="00661E10" w:rsidRDefault="00661E10" w:rsidP="00661E10"/>
    <w:p w:rsidR="00661E10" w:rsidRPr="00ED5AFA" w:rsidRDefault="00ED5AFA" w:rsidP="00ED5AFA">
      <w:pPr>
        <w:pStyle w:val="Caption"/>
      </w:pPr>
      <w:bookmarkStart w:id="378" w:name="_Ref471458663"/>
      <w:bookmarkStart w:id="379" w:name="_Ref408490153"/>
      <w:bookmarkStart w:id="380" w:name="_Toc409224989"/>
      <w:bookmarkStart w:id="381" w:name="_Toc409443541"/>
      <w:bookmarkStart w:id="382" w:name="_Toc410199260"/>
      <w:bookmarkStart w:id="383" w:name="_Toc444269702"/>
      <w:bookmarkStart w:id="384" w:name="_Toc472472188"/>
      <w:bookmarkStart w:id="385" w:name="_Toc476914002"/>
      <w:r w:rsidRPr="00ED5AFA">
        <w:t xml:space="preserve">Table </w:t>
      </w:r>
      <w:fldSimple w:instr=" STYLEREF 1 \s ">
        <w:r w:rsidR="00C301D0">
          <w:rPr>
            <w:noProof/>
          </w:rPr>
          <w:t>5</w:t>
        </w:r>
      </w:fldSimple>
      <w:r w:rsidR="00E6042C">
        <w:noBreakHyphen/>
      </w:r>
      <w:fldSimple w:instr=" SEQ Table \* ARABIC \s 1 ">
        <w:r w:rsidR="00C301D0">
          <w:rPr>
            <w:noProof/>
          </w:rPr>
          <w:t>3</w:t>
        </w:r>
      </w:fldSimple>
      <w:bookmarkEnd w:id="378"/>
      <w:r w:rsidRPr="00ED5AFA">
        <w:t>:</w:t>
      </w:r>
      <w:bookmarkEnd w:id="379"/>
      <w:r w:rsidR="00661E10" w:rsidRPr="00ED5AFA">
        <w:t xml:space="preserve"> PY7 Portfolio Net-to-Gross Ratios by EDC</w:t>
      </w:r>
      <w:bookmarkEnd w:id="380"/>
      <w:bookmarkEnd w:id="381"/>
      <w:bookmarkEnd w:id="382"/>
      <w:bookmarkEnd w:id="383"/>
      <w:bookmarkEnd w:id="384"/>
      <w:bookmarkEnd w:id="385"/>
    </w:p>
    <w:tbl>
      <w:tblPr>
        <w:tblW w:w="935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454"/>
        <w:gridCol w:w="2338"/>
        <w:gridCol w:w="2335"/>
        <w:gridCol w:w="2223"/>
      </w:tblGrid>
      <w:tr w:rsidR="00A874AC" w:rsidRPr="00661E10" w:rsidTr="008B5045">
        <w:trPr>
          <w:trHeight w:val="346"/>
        </w:trPr>
        <w:tc>
          <w:tcPr>
            <w:tcW w:w="2454" w:type="dxa"/>
            <w:shd w:val="clear" w:color="auto" w:fill="448A99"/>
            <w:hideMark/>
          </w:tcPr>
          <w:p w:rsidR="00661E10" w:rsidRPr="00661E10" w:rsidRDefault="00661E10" w:rsidP="00661E10">
            <w:pPr>
              <w:rPr>
                <w:b/>
                <w:bCs/>
                <w:color w:val="FFFFFF"/>
                <w:sz w:val="20"/>
                <w:szCs w:val="20"/>
              </w:rPr>
            </w:pPr>
            <w:r w:rsidRPr="00661E10">
              <w:rPr>
                <w:b/>
                <w:color w:val="FFFFFF"/>
                <w:sz w:val="20"/>
                <w:szCs w:val="20"/>
              </w:rPr>
              <w:t>EDC</w:t>
            </w:r>
          </w:p>
        </w:tc>
        <w:tc>
          <w:tcPr>
            <w:tcW w:w="2338" w:type="dxa"/>
            <w:shd w:val="clear" w:color="auto" w:fill="448A99"/>
            <w:hideMark/>
          </w:tcPr>
          <w:p w:rsidR="00661E10" w:rsidRPr="00661E10" w:rsidRDefault="00661E10" w:rsidP="00661E10">
            <w:pPr>
              <w:jc w:val="center"/>
              <w:rPr>
                <w:b/>
                <w:bCs/>
                <w:color w:val="FFFFFF"/>
                <w:sz w:val="20"/>
                <w:szCs w:val="20"/>
              </w:rPr>
            </w:pPr>
            <w:r w:rsidRPr="00661E10">
              <w:rPr>
                <w:b/>
                <w:color w:val="FFFFFF"/>
                <w:sz w:val="20"/>
                <w:szCs w:val="20"/>
              </w:rPr>
              <w:t xml:space="preserve">Free-Ridership </w:t>
            </w:r>
          </w:p>
        </w:tc>
        <w:tc>
          <w:tcPr>
            <w:tcW w:w="2335" w:type="dxa"/>
            <w:shd w:val="clear" w:color="auto" w:fill="448A99"/>
            <w:hideMark/>
          </w:tcPr>
          <w:p w:rsidR="00661E10" w:rsidRPr="00661E10" w:rsidRDefault="00661E10" w:rsidP="00661E10">
            <w:pPr>
              <w:jc w:val="center"/>
              <w:rPr>
                <w:b/>
                <w:bCs/>
                <w:color w:val="FFFFFF"/>
                <w:sz w:val="20"/>
                <w:szCs w:val="20"/>
              </w:rPr>
            </w:pPr>
            <w:r w:rsidRPr="00661E10">
              <w:rPr>
                <w:b/>
                <w:color w:val="FFFFFF"/>
                <w:sz w:val="20"/>
                <w:szCs w:val="20"/>
              </w:rPr>
              <w:t xml:space="preserve">Spillover </w:t>
            </w:r>
          </w:p>
        </w:tc>
        <w:tc>
          <w:tcPr>
            <w:tcW w:w="2223" w:type="dxa"/>
            <w:shd w:val="clear" w:color="auto" w:fill="448A99"/>
            <w:hideMark/>
          </w:tcPr>
          <w:p w:rsidR="00661E10" w:rsidRPr="00661E10" w:rsidRDefault="00661E10" w:rsidP="00661E10">
            <w:pPr>
              <w:jc w:val="center"/>
              <w:rPr>
                <w:b/>
                <w:bCs/>
                <w:color w:val="FFFFFF"/>
                <w:sz w:val="20"/>
                <w:szCs w:val="20"/>
              </w:rPr>
            </w:pPr>
            <w:r w:rsidRPr="00661E10">
              <w:rPr>
                <w:b/>
                <w:color w:val="FFFFFF"/>
                <w:sz w:val="20"/>
                <w:szCs w:val="20"/>
              </w:rPr>
              <w:t>NTGR</w:t>
            </w:r>
            <w:r w:rsidRPr="00661E10">
              <w:rPr>
                <w:b/>
                <w:color w:val="FFFFFF"/>
                <w:sz w:val="20"/>
                <w:szCs w:val="20"/>
                <w:vertAlign w:val="superscript"/>
              </w:rPr>
              <w:t>[a]</w:t>
            </w:r>
          </w:p>
        </w:tc>
      </w:tr>
      <w:tr w:rsidR="00A874AC" w:rsidRPr="00661E10" w:rsidTr="008B5045">
        <w:trPr>
          <w:trHeight w:val="346"/>
        </w:trPr>
        <w:tc>
          <w:tcPr>
            <w:tcW w:w="2454" w:type="dxa"/>
            <w:shd w:val="clear" w:color="auto" w:fill="D2EAF1"/>
          </w:tcPr>
          <w:p w:rsidR="00661E10" w:rsidRPr="00661E10" w:rsidRDefault="00661E10" w:rsidP="00661E10">
            <w:pPr>
              <w:rPr>
                <w:color w:val="000000"/>
                <w:sz w:val="20"/>
                <w:szCs w:val="20"/>
              </w:rPr>
            </w:pPr>
            <w:r w:rsidRPr="00661E10">
              <w:rPr>
                <w:sz w:val="20"/>
                <w:szCs w:val="20"/>
              </w:rPr>
              <w:t>Duquesne</w:t>
            </w:r>
          </w:p>
        </w:tc>
        <w:tc>
          <w:tcPr>
            <w:tcW w:w="2338" w:type="dxa"/>
            <w:shd w:val="clear" w:color="auto" w:fill="D2EAF1"/>
            <w:noWrap/>
          </w:tcPr>
          <w:p w:rsidR="00661E10" w:rsidRPr="00661E10" w:rsidRDefault="00661E10" w:rsidP="00661E10">
            <w:pPr>
              <w:jc w:val="center"/>
              <w:rPr>
                <w:color w:val="000000"/>
                <w:sz w:val="20"/>
                <w:szCs w:val="20"/>
              </w:rPr>
            </w:pPr>
            <w:r w:rsidRPr="00661E10">
              <w:rPr>
                <w:color w:val="000000"/>
                <w:sz w:val="20"/>
                <w:szCs w:val="20"/>
              </w:rPr>
              <w:t>0.32</w:t>
            </w:r>
          </w:p>
        </w:tc>
        <w:tc>
          <w:tcPr>
            <w:tcW w:w="2335" w:type="dxa"/>
            <w:shd w:val="clear" w:color="auto" w:fill="D2EAF1"/>
            <w:noWrap/>
          </w:tcPr>
          <w:p w:rsidR="00661E10" w:rsidRPr="00661E10" w:rsidRDefault="00661E10" w:rsidP="00661E10">
            <w:pPr>
              <w:jc w:val="center"/>
              <w:rPr>
                <w:sz w:val="20"/>
                <w:szCs w:val="20"/>
              </w:rPr>
            </w:pPr>
            <w:r w:rsidRPr="00661E10">
              <w:rPr>
                <w:sz w:val="20"/>
                <w:szCs w:val="20"/>
              </w:rPr>
              <w:t>0.06</w:t>
            </w:r>
          </w:p>
        </w:tc>
        <w:tc>
          <w:tcPr>
            <w:tcW w:w="2223" w:type="dxa"/>
            <w:shd w:val="clear" w:color="auto" w:fill="D2EAF1"/>
            <w:noWrap/>
          </w:tcPr>
          <w:p w:rsidR="00661E10" w:rsidRPr="00661E10" w:rsidRDefault="00661E10" w:rsidP="00661E10">
            <w:pPr>
              <w:jc w:val="center"/>
              <w:rPr>
                <w:sz w:val="20"/>
                <w:szCs w:val="20"/>
              </w:rPr>
            </w:pPr>
            <w:r w:rsidRPr="00661E10">
              <w:rPr>
                <w:sz w:val="20"/>
                <w:szCs w:val="20"/>
              </w:rPr>
              <w:t>0.74</w:t>
            </w:r>
          </w:p>
        </w:tc>
      </w:tr>
      <w:tr w:rsidR="00E7173E" w:rsidRPr="00661E10" w:rsidTr="008B5045">
        <w:trPr>
          <w:trHeight w:val="346"/>
        </w:trPr>
        <w:tc>
          <w:tcPr>
            <w:tcW w:w="2454" w:type="dxa"/>
            <w:tcBorders>
              <w:top w:val="single" w:sz="8" w:space="0" w:color="448A99"/>
              <w:left w:val="single" w:sz="8" w:space="0" w:color="448A99"/>
              <w:bottom w:val="single" w:sz="8" w:space="0" w:color="448A99"/>
              <w:right w:val="single" w:sz="8" w:space="0" w:color="448A99"/>
            </w:tcBorders>
            <w:shd w:val="clear" w:color="auto" w:fill="auto"/>
          </w:tcPr>
          <w:p w:rsidR="00661E10" w:rsidRPr="00661E10" w:rsidRDefault="00661E10" w:rsidP="00661E10">
            <w:pPr>
              <w:rPr>
                <w:sz w:val="20"/>
                <w:szCs w:val="20"/>
              </w:rPr>
            </w:pPr>
            <w:r w:rsidRPr="00661E10">
              <w:rPr>
                <w:sz w:val="20"/>
                <w:szCs w:val="20"/>
              </w:rPr>
              <w:t>FE: Met-Ed</w:t>
            </w:r>
          </w:p>
        </w:tc>
        <w:tc>
          <w:tcPr>
            <w:tcW w:w="2338"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661E10" w:rsidRDefault="00661E10" w:rsidP="00661E10">
            <w:pPr>
              <w:jc w:val="center"/>
              <w:rPr>
                <w:sz w:val="20"/>
                <w:szCs w:val="20"/>
              </w:rPr>
            </w:pPr>
            <w:r w:rsidRPr="00661E10">
              <w:rPr>
                <w:sz w:val="20"/>
                <w:szCs w:val="20"/>
              </w:rPr>
              <w:t>0.39</w:t>
            </w:r>
          </w:p>
        </w:tc>
        <w:tc>
          <w:tcPr>
            <w:tcW w:w="2335"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661E10" w:rsidRDefault="00661E10" w:rsidP="00661E10">
            <w:pPr>
              <w:jc w:val="center"/>
              <w:rPr>
                <w:sz w:val="20"/>
                <w:szCs w:val="20"/>
              </w:rPr>
            </w:pPr>
            <w:r w:rsidRPr="00661E10">
              <w:rPr>
                <w:sz w:val="20"/>
                <w:szCs w:val="20"/>
              </w:rPr>
              <w:t>0.06</w:t>
            </w:r>
          </w:p>
        </w:tc>
        <w:tc>
          <w:tcPr>
            <w:tcW w:w="2223"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661E10" w:rsidRDefault="00661E10" w:rsidP="00661E10">
            <w:pPr>
              <w:jc w:val="center"/>
              <w:rPr>
                <w:sz w:val="20"/>
                <w:szCs w:val="20"/>
              </w:rPr>
            </w:pPr>
            <w:r w:rsidRPr="00661E10">
              <w:rPr>
                <w:sz w:val="20"/>
                <w:szCs w:val="20"/>
              </w:rPr>
              <w:t>0.67</w:t>
            </w:r>
          </w:p>
        </w:tc>
      </w:tr>
      <w:tr w:rsidR="00A874AC" w:rsidRPr="00661E10" w:rsidTr="008B5045">
        <w:trPr>
          <w:trHeight w:val="346"/>
        </w:trPr>
        <w:tc>
          <w:tcPr>
            <w:tcW w:w="2454" w:type="dxa"/>
            <w:tcBorders>
              <w:top w:val="single" w:sz="8" w:space="0" w:color="448A99"/>
              <w:left w:val="single" w:sz="8" w:space="0" w:color="448A99"/>
              <w:bottom w:val="single" w:sz="8" w:space="0" w:color="448A99"/>
              <w:right w:val="single" w:sz="8" w:space="0" w:color="448A99"/>
            </w:tcBorders>
            <w:shd w:val="clear" w:color="auto" w:fill="D2EAF1"/>
          </w:tcPr>
          <w:p w:rsidR="00661E10" w:rsidRPr="00661E10" w:rsidRDefault="00661E10" w:rsidP="00661E10">
            <w:pPr>
              <w:rPr>
                <w:sz w:val="20"/>
                <w:szCs w:val="20"/>
              </w:rPr>
            </w:pPr>
            <w:r w:rsidRPr="00661E10">
              <w:rPr>
                <w:sz w:val="20"/>
                <w:szCs w:val="20"/>
              </w:rPr>
              <w:t>FE: Penelec</w:t>
            </w:r>
          </w:p>
        </w:tc>
        <w:tc>
          <w:tcPr>
            <w:tcW w:w="2338"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661E10" w:rsidRDefault="00661E10" w:rsidP="00661E10">
            <w:pPr>
              <w:jc w:val="center"/>
              <w:rPr>
                <w:sz w:val="20"/>
                <w:szCs w:val="20"/>
              </w:rPr>
            </w:pPr>
            <w:r w:rsidRPr="00661E10">
              <w:rPr>
                <w:sz w:val="20"/>
                <w:szCs w:val="20"/>
              </w:rPr>
              <w:t>0.34</w:t>
            </w:r>
          </w:p>
        </w:tc>
        <w:tc>
          <w:tcPr>
            <w:tcW w:w="2335"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661E10" w:rsidRDefault="00661E10" w:rsidP="00661E10">
            <w:pPr>
              <w:jc w:val="center"/>
              <w:rPr>
                <w:sz w:val="20"/>
                <w:szCs w:val="20"/>
              </w:rPr>
            </w:pPr>
            <w:r w:rsidRPr="00661E10">
              <w:rPr>
                <w:sz w:val="20"/>
                <w:szCs w:val="20"/>
              </w:rPr>
              <w:t>0.06</w:t>
            </w:r>
          </w:p>
        </w:tc>
        <w:tc>
          <w:tcPr>
            <w:tcW w:w="2223"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661E10" w:rsidRDefault="00661E10" w:rsidP="00661E10">
            <w:pPr>
              <w:jc w:val="center"/>
              <w:rPr>
                <w:sz w:val="20"/>
                <w:szCs w:val="20"/>
              </w:rPr>
            </w:pPr>
            <w:r w:rsidRPr="00661E10">
              <w:rPr>
                <w:sz w:val="20"/>
                <w:szCs w:val="20"/>
              </w:rPr>
              <w:t>0.71</w:t>
            </w:r>
          </w:p>
        </w:tc>
      </w:tr>
      <w:tr w:rsidR="00E7173E" w:rsidRPr="00661E10" w:rsidTr="008B5045">
        <w:trPr>
          <w:trHeight w:val="346"/>
        </w:trPr>
        <w:tc>
          <w:tcPr>
            <w:tcW w:w="2454" w:type="dxa"/>
            <w:tcBorders>
              <w:top w:val="single" w:sz="8" w:space="0" w:color="448A99"/>
              <w:left w:val="single" w:sz="8" w:space="0" w:color="448A99"/>
              <w:bottom w:val="single" w:sz="8" w:space="0" w:color="448A99"/>
              <w:right w:val="single" w:sz="8" w:space="0" w:color="448A99"/>
            </w:tcBorders>
            <w:shd w:val="clear" w:color="auto" w:fill="auto"/>
          </w:tcPr>
          <w:p w:rsidR="00661E10" w:rsidRPr="00661E10" w:rsidRDefault="00661E10" w:rsidP="00661E10">
            <w:pPr>
              <w:rPr>
                <w:sz w:val="20"/>
                <w:szCs w:val="20"/>
              </w:rPr>
            </w:pPr>
            <w:r w:rsidRPr="00661E10">
              <w:rPr>
                <w:sz w:val="20"/>
                <w:szCs w:val="20"/>
              </w:rPr>
              <w:t>FE: Penn Power</w:t>
            </w:r>
          </w:p>
        </w:tc>
        <w:tc>
          <w:tcPr>
            <w:tcW w:w="2338"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661E10" w:rsidRDefault="00661E10" w:rsidP="00661E10">
            <w:pPr>
              <w:jc w:val="center"/>
              <w:rPr>
                <w:sz w:val="20"/>
                <w:szCs w:val="20"/>
              </w:rPr>
            </w:pPr>
            <w:r w:rsidRPr="00661E10">
              <w:rPr>
                <w:sz w:val="20"/>
                <w:szCs w:val="20"/>
              </w:rPr>
              <w:t>0.49</w:t>
            </w:r>
          </w:p>
        </w:tc>
        <w:tc>
          <w:tcPr>
            <w:tcW w:w="2335"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661E10" w:rsidRDefault="00661E10" w:rsidP="00661E10">
            <w:pPr>
              <w:jc w:val="center"/>
              <w:rPr>
                <w:sz w:val="20"/>
                <w:szCs w:val="20"/>
              </w:rPr>
            </w:pPr>
            <w:r w:rsidRPr="00661E10">
              <w:rPr>
                <w:sz w:val="20"/>
                <w:szCs w:val="20"/>
              </w:rPr>
              <w:t>0.09</w:t>
            </w:r>
          </w:p>
        </w:tc>
        <w:tc>
          <w:tcPr>
            <w:tcW w:w="2223"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661E10" w:rsidRDefault="00661E10" w:rsidP="00661E10">
            <w:pPr>
              <w:jc w:val="center"/>
              <w:rPr>
                <w:sz w:val="20"/>
                <w:szCs w:val="20"/>
              </w:rPr>
            </w:pPr>
            <w:r w:rsidRPr="00661E10">
              <w:rPr>
                <w:sz w:val="20"/>
                <w:szCs w:val="20"/>
              </w:rPr>
              <w:t>0.60</w:t>
            </w:r>
          </w:p>
        </w:tc>
      </w:tr>
      <w:tr w:rsidR="00A874AC" w:rsidRPr="00661E10" w:rsidTr="008B5045">
        <w:trPr>
          <w:trHeight w:val="346"/>
        </w:trPr>
        <w:tc>
          <w:tcPr>
            <w:tcW w:w="2454" w:type="dxa"/>
            <w:tcBorders>
              <w:top w:val="single" w:sz="8" w:space="0" w:color="448A99"/>
              <w:left w:val="single" w:sz="8" w:space="0" w:color="448A99"/>
              <w:bottom w:val="single" w:sz="8" w:space="0" w:color="448A99"/>
              <w:right w:val="single" w:sz="8" w:space="0" w:color="448A99"/>
            </w:tcBorders>
            <w:shd w:val="clear" w:color="auto" w:fill="D2EAF1"/>
          </w:tcPr>
          <w:p w:rsidR="00661E10" w:rsidRPr="00661E10" w:rsidRDefault="00661E10" w:rsidP="00661E10">
            <w:pPr>
              <w:rPr>
                <w:sz w:val="20"/>
                <w:szCs w:val="20"/>
              </w:rPr>
            </w:pPr>
            <w:r w:rsidRPr="00661E10">
              <w:rPr>
                <w:sz w:val="20"/>
                <w:szCs w:val="20"/>
              </w:rPr>
              <w:t>FE: West Penn</w:t>
            </w:r>
          </w:p>
        </w:tc>
        <w:tc>
          <w:tcPr>
            <w:tcW w:w="2338"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661E10" w:rsidRDefault="00661E10" w:rsidP="00661E10">
            <w:pPr>
              <w:jc w:val="center"/>
              <w:rPr>
                <w:sz w:val="20"/>
                <w:szCs w:val="20"/>
              </w:rPr>
            </w:pPr>
            <w:r w:rsidRPr="00661E10">
              <w:rPr>
                <w:sz w:val="20"/>
                <w:szCs w:val="20"/>
              </w:rPr>
              <w:t>0.34</w:t>
            </w:r>
          </w:p>
        </w:tc>
        <w:tc>
          <w:tcPr>
            <w:tcW w:w="2335"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661E10" w:rsidRDefault="00661E10" w:rsidP="00661E10">
            <w:pPr>
              <w:jc w:val="center"/>
              <w:rPr>
                <w:sz w:val="20"/>
                <w:szCs w:val="20"/>
              </w:rPr>
            </w:pPr>
            <w:r w:rsidRPr="00661E10">
              <w:rPr>
                <w:sz w:val="20"/>
                <w:szCs w:val="20"/>
              </w:rPr>
              <w:t>0.06</w:t>
            </w:r>
          </w:p>
        </w:tc>
        <w:tc>
          <w:tcPr>
            <w:tcW w:w="2223"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661E10" w:rsidRDefault="00661E10" w:rsidP="00661E10">
            <w:pPr>
              <w:jc w:val="center"/>
              <w:rPr>
                <w:sz w:val="20"/>
                <w:szCs w:val="20"/>
              </w:rPr>
            </w:pPr>
            <w:r w:rsidRPr="00661E10">
              <w:rPr>
                <w:sz w:val="20"/>
                <w:szCs w:val="20"/>
              </w:rPr>
              <w:t>0.72</w:t>
            </w:r>
          </w:p>
        </w:tc>
      </w:tr>
      <w:tr w:rsidR="00E7173E" w:rsidRPr="00661E10" w:rsidTr="008B5045">
        <w:trPr>
          <w:trHeight w:val="346"/>
        </w:trPr>
        <w:tc>
          <w:tcPr>
            <w:tcW w:w="2454" w:type="dxa"/>
            <w:tcBorders>
              <w:top w:val="single" w:sz="8" w:space="0" w:color="448A99"/>
              <w:left w:val="single" w:sz="8" w:space="0" w:color="448A99"/>
              <w:bottom w:val="single" w:sz="8" w:space="0" w:color="448A99"/>
              <w:right w:val="single" w:sz="8" w:space="0" w:color="448A99"/>
            </w:tcBorders>
            <w:shd w:val="clear" w:color="auto" w:fill="auto"/>
          </w:tcPr>
          <w:p w:rsidR="00661E10" w:rsidRPr="00661E10" w:rsidRDefault="00661E10" w:rsidP="00661E10">
            <w:pPr>
              <w:rPr>
                <w:sz w:val="20"/>
                <w:szCs w:val="20"/>
              </w:rPr>
            </w:pPr>
            <w:r w:rsidRPr="00661E10">
              <w:rPr>
                <w:sz w:val="20"/>
                <w:szCs w:val="20"/>
              </w:rPr>
              <w:t>PECO</w:t>
            </w:r>
          </w:p>
        </w:tc>
        <w:tc>
          <w:tcPr>
            <w:tcW w:w="2338"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661E10" w:rsidRDefault="00661E10" w:rsidP="00661E10">
            <w:pPr>
              <w:jc w:val="center"/>
              <w:rPr>
                <w:sz w:val="20"/>
                <w:szCs w:val="20"/>
              </w:rPr>
            </w:pPr>
            <w:r w:rsidRPr="00661E10">
              <w:rPr>
                <w:sz w:val="20"/>
                <w:szCs w:val="20"/>
              </w:rPr>
              <w:t>0.39</w:t>
            </w:r>
          </w:p>
        </w:tc>
        <w:tc>
          <w:tcPr>
            <w:tcW w:w="2335"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661E10" w:rsidRDefault="00661E10" w:rsidP="00661E10">
            <w:pPr>
              <w:jc w:val="center"/>
              <w:rPr>
                <w:sz w:val="20"/>
                <w:szCs w:val="20"/>
              </w:rPr>
            </w:pPr>
            <w:r w:rsidRPr="00661E10">
              <w:rPr>
                <w:sz w:val="20"/>
                <w:szCs w:val="20"/>
              </w:rPr>
              <w:t>0.01</w:t>
            </w:r>
          </w:p>
        </w:tc>
        <w:tc>
          <w:tcPr>
            <w:tcW w:w="2223" w:type="dxa"/>
            <w:tcBorders>
              <w:top w:val="single" w:sz="8" w:space="0" w:color="448A99"/>
              <w:left w:val="single" w:sz="8" w:space="0" w:color="448A99"/>
              <w:bottom w:val="single" w:sz="8" w:space="0" w:color="448A99"/>
              <w:right w:val="single" w:sz="8" w:space="0" w:color="448A99"/>
            </w:tcBorders>
            <w:shd w:val="clear" w:color="auto" w:fill="auto"/>
            <w:noWrap/>
          </w:tcPr>
          <w:p w:rsidR="00661E10" w:rsidRPr="00661E10" w:rsidRDefault="00661E10" w:rsidP="00661E10">
            <w:pPr>
              <w:jc w:val="center"/>
              <w:rPr>
                <w:sz w:val="20"/>
                <w:szCs w:val="20"/>
              </w:rPr>
            </w:pPr>
            <w:r w:rsidRPr="00661E10">
              <w:rPr>
                <w:sz w:val="20"/>
                <w:szCs w:val="20"/>
              </w:rPr>
              <w:t>0.62</w:t>
            </w:r>
          </w:p>
        </w:tc>
      </w:tr>
      <w:tr w:rsidR="00A874AC" w:rsidRPr="00661E10" w:rsidTr="008B5045">
        <w:trPr>
          <w:trHeight w:val="346"/>
        </w:trPr>
        <w:tc>
          <w:tcPr>
            <w:tcW w:w="2454" w:type="dxa"/>
            <w:tcBorders>
              <w:top w:val="single" w:sz="8" w:space="0" w:color="448A99"/>
              <w:left w:val="single" w:sz="8" w:space="0" w:color="448A99"/>
              <w:bottom w:val="single" w:sz="8" w:space="0" w:color="448A99"/>
              <w:right w:val="single" w:sz="8" w:space="0" w:color="448A99"/>
            </w:tcBorders>
            <w:shd w:val="clear" w:color="auto" w:fill="D2EAF1"/>
          </w:tcPr>
          <w:p w:rsidR="00661E10" w:rsidRPr="00661E10" w:rsidRDefault="00661E10" w:rsidP="00661E10">
            <w:pPr>
              <w:rPr>
                <w:sz w:val="20"/>
                <w:szCs w:val="20"/>
              </w:rPr>
            </w:pPr>
            <w:r w:rsidRPr="00661E10">
              <w:rPr>
                <w:sz w:val="20"/>
                <w:szCs w:val="20"/>
              </w:rPr>
              <w:t>PPL</w:t>
            </w:r>
          </w:p>
        </w:tc>
        <w:tc>
          <w:tcPr>
            <w:tcW w:w="2338"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661E10" w:rsidRDefault="00661E10" w:rsidP="00661E10">
            <w:pPr>
              <w:jc w:val="center"/>
              <w:rPr>
                <w:sz w:val="20"/>
                <w:szCs w:val="20"/>
              </w:rPr>
            </w:pPr>
            <w:r w:rsidRPr="00661E10">
              <w:rPr>
                <w:sz w:val="20"/>
                <w:szCs w:val="20"/>
              </w:rPr>
              <w:t>0.24</w:t>
            </w:r>
          </w:p>
        </w:tc>
        <w:tc>
          <w:tcPr>
            <w:tcW w:w="2335"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661E10" w:rsidRDefault="00661E10" w:rsidP="00661E10">
            <w:pPr>
              <w:jc w:val="center"/>
              <w:rPr>
                <w:sz w:val="20"/>
                <w:szCs w:val="20"/>
              </w:rPr>
            </w:pPr>
            <w:r w:rsidRPr="00661E10">
              <w:rPr>
                <w:sz w:val="20"/>
                <w:szCs w:val="20"/>
              </w:rPr>
              <w:t>0.00</w:t>
            </w:r>
          </w:p>
        </w:tc>
        <w:tc>
          <w:tcPr>
            <w:tcW w:w="2223" w:type="dxa"/>
            <w:tcBorders>
              <w:top w:val="single" w:sz="8" w:space="0" w:color="448A99"/>
              <w:left w:val="single" w:sz="8" w:space="0" w:color="448A99"/>
              <w:bottom w:val="single" w:sz="8" w:space="0" w:color="448A99"/>
              <w:right w:val="single" w:sz="8" w:space="0" w:color="448A99"/>
            </w:tcBorders>
            <w:shd w:val="clear" w:color="auto" w:fill="D2EAF1"/>
            <w:noWrap/>
          </w:tcPr>
          <w:p w:rsidR="00661E10" w:rsidRPr="00661E10" w:rsidRDefault="00661E10" w:rsidP="00661E10">
            <w:pPr>
              <w:jc w:val="center"/>
              <w:rPr>
                <w:sz w:val="20"/>
                <w:szCs w:val="20"/>
              </w:rPr>
            </w:pPr>
            <w:r w:rsidRPr="00661E10">
              <w:rPr>
                <w:sz w:val="20"/>
                <w:szCs w:val="20"/>
              </w:rPr>
              <w:t>0.76</w:t>
            </w:r>
          </w:p>
        </w:tc>
      </w:tr>
      <w:tr w:rsidR="00E7173E" w:rsidRPr="00661E10" w:rsidTr="008B5045">
        <w:trPr>
          <w:trHeight w:val="346"/>
        </w:trPr>
        <w:tc>
          <w:tcPr>
            <w:tcW w:w="9350" w:type="dxa"/>
            <w:gridSpan w:val="4"/>
            <w:tcBorders>
              <w:top w:val="single" w:sz="8" w:space="0" w:color="448A99"/>
              <w:left w:val="single" w:sz="8" w:space="0" w:color="448A99"/>
              <w:bottom w:val="single" w:sz="8" w:space="0" w:color="448A99"/>
              <w:right w:val="single" w:sz="8" w:space="0" w:color="448A99"/>
            </w:tcBorders>
            <w:shd w:val="clear" w:color="auto" w:fill="448A99"/>
          </w:tcPr>
          <w:p w:rsidR="00661E10" w:rsidRPr="00661E10" w:rsidRDefault="00661E10" w:rsidP="00661E10">
            <w:pPr>
              <w:jc w:val="left"/>
              <w:rPr>
                <w:rFonts w:eastAsia="Calibri"/>
                <w:color w:val="FFFFFF"/>
                <w:sz w:val="18"/>
                <w:szCs w:val="20"/>
              </w:rPr>
            </w:pPr>
            <w:r w:rsidRPr="00661E10">
              <w:rPr>
                <w:rFonts w:eastAsia="Calibri"/>
                <w:color w:val="FFFFFF"/>
                <w:sz w:val="18"/>
                <w:szCs w:val="20"/>
              </w:rPr>
              <w:t>NOTE</w:t>
            </w:r>
            <w:r w:rsidR="00630371">
              <w:rPr>
                <w:rFonts w:eastAsia="Calibri"/>
                <w:color w:val="FFFFFF"/>
                <w:sz w:val="18"/>
                <w:szCs w:val="20"/>
              </w:rPr>
              <w:t>:</w:t>
            </w:r>
          </w:p>
          <w:p w:rsidR="00661E10" w:rsidRPr="00661E10" w:rsidRDefault="00661E10" w:rsidP="00661E10">
            <w:pPr>
              <w:jc w:val="left"/>
              <w:rPr>
                <w:rFonts w:eastAsia="Calibri"/>
                <w:color w:val="FFFFFF"/>
                <w:sz w:val="18"/>
                <w:szCs w:val="20"/>
              </w:rPr>
            </w:pPr>
            <w:r w:rsidRPr="00ED5AFA">
              <w:rPr>
                <w:rFonts w:eastAsia="Calibri"/>
                <w:color w:val="FFFFFF"/>
                <w:sz w:val="18"/>
                <w:szCs w:val="18"/>
                <w:vertAlign w:val="superscript"/>
              </w:rPr>
              <w:t>[a]</w:t>
            </w:r>
            <w:r w:rsidRPr="00661E10">
              <w:rPr>
                <w:rFonts w:eastAsia="Calibri"/>
                <w:color w:val="FFFFFF"/>
                <w:sz w:val="18"/>
                <w:szCs w:val="20"/>
              </w:rPr>
              <w:t xml:space="preserve"> NTGR = 1 – free-ridership + spillover. In some cases, the NTGR shown in the table may not equal exactly 1 – free-ridership + spillover because of rounding.</w:t>
            </w:r>
          </w:p>
        </w:tc>
      </w:tr>
    </w:tbl>
    <w:p w:rsidR="00661E10" w:rsidRPr="00661E10" w:rsidRDefault="00661E10" w:rsidP="00661E10">
      <w:pPr>
        <w:rPr>
          <w:highlight w:val="lightGray"/>
        </w:rPr>
      </w:pPr>
    </w:p>
    <w:p w:rsidR="00661E10" w:rsidRPr="00661E10" w:rsidRDefault="00BD1B4E" w:rsidP="00661E10">
      <w:bookmarkStart w:id="386" w:name="_Toc430274428"/>
      <w:bookmarkStart w:id="387" w:name="_Toc444269545"/>
      <w:r w:rsidRPr="003A0F59">
        <w:t>Although comparison across EDCs is challenging because of differences in the way EDCs package their program offerings, it appears that the 0.60 NTGR for Penn Power may have been driven by NTGR values in the C/I small business segment, while the 0.62 NTGR for PECO may have been driven by NTGR values for the residential Smart Home Rebates program, as well as for commercial new construction and for the GNI sector overall.</w:t>
      </w:r>
    </w:p>
    <w:p w:rsidR="00661E10" w:rsidRPr="00661E10" w:rsidRDefault="00661E10" w:rsidP="00661E10"/>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t>Summary of NTG Audits for Each EDC</w:t>
      </w:r>
      <w:bookmarkEnd w:id="386"/>
      <w:bookmarkEnd w:id="387"/>
      <w:r w:rsidRPr="00661E10">
        <w:rPr>
          <w:rFonts w:ascii="Century Gothic" w:eastAsiaTheme="minorHAnsi" w:hAnsi="Century Gothic" w:cstheme="minorBidi"/>
          <w:b/>
          <w:i/>
          <w:sz w:val="20"/>
        </w:rPr>
        <w:t xml:space="preserve"> </w:t>
      </w:r>
    </w:p>
    <w:p w:rsidR="00661E10" w:rsidRDefault="00D9014E" w:rsidP="00661E10">
      <w:r>
        <w:fldChar w:fldCharType="begin"/>
      </w:r>
      <w:r>
        <w:instrText xml:space="preserve"> REF _Ref473731705 \h </w:instrText>
      </w:r>
      <w:r>
        <w:fldChar w:fldCharType="separate"/>
      </w:r>
      <w:r w:rsidR="00A874AC" w:rsidRPr="00ED5AFA">
        <w:t xml:space="preserve">Table </w:t>
      </w:r>
      <w:r w:rsidR="00A874AC">
        <w:rPr>
          <w:noProof/>
        </w:rPr>
        <w:t>5</w:t>
      </w:r>
      <w:r w:rsidR="00A874AC">
        <w:noBreakHyphen/>
      </w:r>
      <w:r w:rsidR="00A874AC">
        <w:rPr>
          <w:noProof/>
        </w:rPr>
        <w:t>4</w:t>
      </w:r>
      <w:r>
        <w:fldChar w:fldCharType="end"/>
      </w:r>
      <w:r>
        <w:t xml:space="preserve"> </w:t>
      </w:r>
      <w:r w:rsidR="00A126C2" w:rsidRPr="00A126C2">
        <w:t>summarizes the SWE Team’s findings regarding the EDCs’ use of common NTG methods. In cases in which common methods are required, all EDCs either used the common methods or used them with acceptable modifications. Some EDCs also used other acceptable methods for program types for which the SWE Team did not establish a common method. All evaluation contractors provided NTG data for all programs evaluated in PY7 (where primary data were collected), with one exception: the evaluation contractors did not consistently provide the underlying calculations that combined strata-level values into reported program-level values</w:t>
      </w:r>
      <w:r w:rsidR="00661E10" w:rsidRPr="00661E10">
        <w:t xml:space="preserve">. </w:t>
      </w:r>
    </w:p>
    <w:p w:rsidR="00823FE0" w:rsidRDefault="00823FE0" w:rsidP="00661E10"/>
    <w:p w:rsidR="008156B6" w:rsidRDefault="008156B6" w:rsidP="00661E10"/>
    <w:p w:rsidR="008156B6" w:rsidRDefault="008156B6" w:rsidP="00661E10"/>
    <w:p w:rsidR="008156B6" w:rsidRDefault="008156B6" w:rsidP="00661E10"/>
    <w:p w:rsidR="008156B6" w:rsidRDefault="008156B6" w:rsidP="00661E10"/>
    <w:p w:rsidR="00661E10" w:rsidRPr="00ED5AFA" w:rsidRDefault="00ED5AFA" w:rsidP="00ED5AFA">
      <w:pPr>
        <w:pStyle w:val="Caption"/>
      </w:pPr>
      <w:bookmarkStart w:id="388" w:name="_Ref471458708"/>
      <w:bookmarkStart w:id="389" w:name="_Ref473731705"/>
      <w:bookmarkStart w:id="390" w:name="_Ref408490005"/>
      <w:bookmarkStart w:id="391" w:name="_Toc409224988"/>
      <w:bookmarkStart w:id="392" w:name="_Toc409443540"/>
      <w:bookmarkStart w:id="393" w:name="_Toc410199259"/>
      <w:bookmarkStart w:id="394" w:name="_Toc444269701"/>
      <w:bookmarkStart w:id="395" w:name="_Toc472472189"/>
      <w:bookmarkStart w:id="396" w:name="_Toc476914003"/>
      <w:r w:rsidRPr="00ED5AFA">
        <w:t xml:space="preserve">Table </w:t>
      </w:r>
      <w:fldSimple w:instr=" STYLEREF 1 \s ">
        <w:r w:rsidR="00C301D0">
          <w:rPr>
            <w:noProof/>
          </w:rPr>
          <w:t>5</w:t>
        </w:r>
      </w:fldSimple>
      <w:r w:rsidR="00E6042C">
        <w:noBreakHyphen/>
      </w:r>
      <w:fldSimple w:instr=" SEQ Table \* ARABIC \s 1 ">
        <w:r w:rsidR="00C301D0">
          <w:rPr>
            <w:noProof/>
          </w:rPr>
          <w:t>4</w:t>
        </w:r>
      </w:fldSimple>
      <w:bookmarkEnd w:id="388"/>
      <w:bookmarkEnd w:id="389"/>
      <w:r w:rsidR="00661E10" w:rsidRPr="00ED5AFA">
        <w:t>: Summary of</w:t>
      </w:r>
      <w:r w:rsidR="00630371">
        <w:t xml:space="preserve"> SWE</w:t>
      </w:r>
      <w:r w:rsidR="00661E10" w:rsidRPr="00ED5AFA">
        <w:t xml:space="preserve"> Findings on the Application of NTG Method</w:t>
      </w:r>
      <w:bookmarkEnd w:id="390"/>
      <w:bookmarkEnd w:id="391"/>
      <w:bookmarkEnd w:id="392"/>
      <w:bookmarkEnd w:id="393"/>
      <w:r w:rsidR="00661E10" w:rsidRPr="00ED5AFA">
        <w:t>s by EDCs</w:t>
      </w:r>
      <w:bookmarkEnd w:id="394"/>
      <w:bookmarkEnd w:id="395"/>
      <w:bookmarkEnd w:id="396"/>
    </w:p>
    <w:tbl>
      <w:tblPr>
        <w:tblW w:w="4887"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89"/>
        <w:gridCol w:w="2341"/>
        <w:gridCol w:w="2879"/>
        <w:gridCol w:w="2120"/>
      </w:tblGrid>
      <w:tr w:rsidR="00A874AC" w:rsidRPr="00661E10" w:rsidTr="008B5045">
        <w:trPr>
          <w:trHeight w:val="20"/>
          <w:tblHeader/>
        </w:trPr>
        <w:tc>
          <w:tcPr>
            <w:tcW w:w="980" w:type="pct"/>
            <w:shd w:val="clear" w:color="auto" w:fill="448A99"/>
            <w:vAlign w:val="bottom"/>
            <w:hideMark/>
          </w:tcPr>
          <w:p w:rsidR="00661E10" w:rsidRPr="00661E10" w:rsidRDefault="00661E10" w:rsidP="00661E10">
            <w:pPr>
              <w:rPr>
                <w:b/>
                <w:bCs/>
                <w:color w:val="FFFFFF"/>
                <w:sz w:val="20"/>
                <w:szCs w:val="20"/>
              </w:rPr>
            </w:pPr>
            <w:r w:rsidRPr="00661E10">
              <w:rPr>
                <w:b/>
                <w:color w:val="FFFFFF"/>
                <w:sz w:val="20"/>
                <w:szCs w:val="20"/>
              </w:rPr>
              <w:t>EDC</w:t>
            </w:r>
          </w:p>
        </w:tc>
        <w:tc>
          <w:tcPr>
            <w:tcW w:w="1282" w:type="pct"/>
            <w:shd w:val="clear" w:color="auto" w:fill="448A99"/>
            <w:vAlign w:val="bottom"/>
            <w:hideMark/>
          </w:tcPr>
          <w:p w:rsidR="00661E10" w:rsidRPr="00661E10" w:rsidRDefault="00661E10" w:rsidP="00661E10">
            <w:pPr>
              <w:jc w:val="center"/>
              <w:rPr>
                <w:b/>
                <w:bCs/>
                <w:color w:val="FFFFFF"/>
                <w:sz w:val="20"/>
                <w:szCs w:val="20"/>
              </w:rPr>
            </w:pPr>
            <w:r w:rsidRPr="00661E10">
              <w:rPr>
                <w:b/>
                <w:color w:val="FFFFFF"/>
                <w:sz w:val="20"/>
                <w:szCs w:val="20"/>
              </w:rPr>
              <w:t>NTG Data and Documents Available?</w:t>
            </w:r>
          </w:p>
        </w:tc>
        <w:tc>
          <w:tcPr>
            <w:tcW w:w="1577" w:type="pct"/>
            <w:shd w:val="clear" w:color="auto" w:fill="448A99"/>
            <w:vAlign w:val="bottom"/>
            <w:hideMark/>
          </w:tcPr>
          <w:p w:rsidR="00661E10" w:rsidRPr="00661E10" w:rsidRDefault="00661E10" w:rsidP="00661E10">
            <w:pPr>
              <w:jc w:val="center"/>
              <w:rPr>
                <w:b/>
                <w:bCs/>
                <w:color w:val="FFFFFF"/>
                <w:sz w:val="20"/>
                <w:szCs w:val="20"/>
              </w:rPr>
            </w:pPr>
            <w:r w:rsidRPr="00661E10">
              <w:rPr>
                <w:b/>
                <w:color w:val="FFFFFF"/>
                <w:sz w:val="20"/>
                <w:szCs w:val="20"/>
              </w:rPr>
              <w:t>Common NTG Methods Used?</w:t>
            </w:r>
          </w:p>
        </w:tc>
        <w:tc>
          <w:tcPr>
            <w:tcW w:w="1160" w:type="pct"/>
            <w:shd w:val="clear" w:color="auto" w:fill="448A99"/>
            <w:vAlign w:val="bottom"/>
            <w:hideMark/>
          </w:tcPr>
          <w:p w:rsidR="00661E10" w:rsidRPr="00661E10" w:rsidRDefault="00661E10" w:rsidP="00661E10">
            <w:pPr>
              <w:jc w:val="center"/>
              <w:rPr>
                <w:b/>
                <w:bCs/>
                <w:color w:val="FFFFFF"/>
                <w:sz w:val="20"/>
                <w:szCs w:val="20"/>
              </w:rPr>
            </w:pPr>
            <w:r w:rsidRPr="00661E10">
              <w:rPr>
                <w:b/>
                <w:color w:val="FFFFFF"/>
                <w:sz w:val="20"/>
                <w:szCs w:val="20"/>
              </w:rPr>
              <w:t>Common NTG Methods Applied Correctly?</w:t>
            </w:r>
          </w:p>
        </w:tc>
      </w:tr>
      <w:tr w:rsidR="00A874AC" w:rsidRPr="00661E10" w:rsidTr="008B5045">
        <w:trPr>
          <w:trHeight w:val="488"/>
        </w:trPr>
        <w:tc>
          <w:tcPr>
            <w:tcW w:w="980" w:type="pct"/>
            <w:shd w:val="clear" w:color="auto" w:fill="D2EAF1"/>
          </w:tcPr>
          <w:p w:rsidR="00661E10" w:rsidRPr="00661E10" w:rsidRDefault="00661E10" w:rsidP="00661E10">
            <w:pPr>
              <w:rPr>
                <w:color w:val="000000"/>
                <w:sz w:val="20"/>
                <w:szCs w:val="20"/>
              </w:rPr>
            </w:pPr>
            <w:r w:rsidRPr="00661E10">
              <w:rPr>
                <w:sz w:val="20"/>
                <w:szCs w:val="20"/>
              </w:rPr>
              <w:t>Duquesne</w:t>
            </w:r>
          </w:p>
        </w:tc>
        <w:tc>
          <w:tcPr>
            <w:tcW w:w="1282" w:type="pct"/>
            <w:shd w:val="clear" w:color="auto" w:fill="D2EAF1"/>
            <w:noWrap/>
          </w:tcPr>
          <w:p w:rsidR="00661E10" w:rsidRPr="00661E10" w:rsidRDefault="00661E10" w:rsidP="00661E10">
            <w:pPr>
              <w:jc w:val="center"/>
              <w:rPr>
                <w:color w:val="000000"/>
                <w:sz w:val="20"/>
                <w:szCs w:val="20"/>
              </w:rPr>
            </w:pPr>
            <w:r w:rsidRPr="00661E10">
              <w:rPr>
                <w:sz w:val="20"/>
                <w:szCs w:val="20"/>
              </w:rPr>
              <w:t>Yes, with noted exceptions</w:t>
            </w:r>
          </w:p>
        </w:tc>
        <w:tc>
          <w:tcPr>
            <w:tcW w:w="1577" w:type="pct"/>
            <w:shd w:val="clear" w:color="auto" w:fill="D2EAF1"/>
            <w:noWrap/>
          </w:tcPr>
          <w:p w:rsidR="00661E10" w:rsidRPr="00661E10" w:rsidRDefault="00661E10" w:rsidP="00661E10">
            <w:pPr>
              <w:jc w:val="center"/>
              <w:rPr>
                <w:sz w:val="20"/>
                <w:szCs w:val="20"/>
              </w:rPr>
            </w:pPr>
            <w:r w:rsidRPr="00661E10">
              <w:rPr>
                <w:sz w:val="20"/>
                <w:szCs w:val="20"/>
              </w:rPr>
              <w:t>Yes, with acceptable modifications</w:t>
            </w:r>
          </w:p>
        </w:tc>
        <w:tc>
          <w:tcPr>
            <w:tcW w:w="1160" w:type="pct"/>
            <w:shd w:val="clear" w:color="auto" w:fill="D2EAF1"/>
            <w:noWrap/>
          </w:tcPr>
          <w:p w:rsidR="00661E10" w:rsidRPr="00661E10" w:rsidRDefault="00661E10" w:rsidP="00661E10">
            <w:pPr>
              <w:jc w:val="center"/>
              <w:rPr>
                <w:sz w:val="20"/>
                <w:szCs w:val="20"/>
              </w:rPr>
            </w:pPr>
            <w:r w:rsidRPr="00661E10">
              <w:rPr>
                <w:sz w:val="20"/>
                <w:szCs w:val="20"/>
              </w:rPr>
              <w:t>Yes</w:t>
            </w:r>
          </w:p>
        </w:tc>
      </w:tr>
      <w:tr w:rsidR="00E7173E" w:rsidRPr="00661E10" w:rsidTr="008B5045">
        <w:trPr>
          <w:trHeight w:val="488"/>
        </w:trPr>
        <w:tc>
          <w:tcPr>
            <w:tcW w:w="980" w:type="pct"/>
            <w:shd w:val="clear" w:color="auto" w:fill="auto"/>
          </w:tcPr>
          <w:p w:rsidR="00661E10" w:rsidRPr="00661E10" w:rsidRDefault="00661E10" w:rsidP="00661E10">
            <w:pPr>
              <w:rPr>
                <w:sz w:val="20"/>
                <w:szCs w:val="20"/>
              </w:rPr>
            </w:pPr>
            <w:r w:rsidRPr="00661E10">
              <w:rPr>
                <w:sz w:val="20"/>
                <w:szCs w:val="20"/>
              </w:rPr>
              <w:t>FirstEnergy EDCs</w:t>
            </w:r>
            <w:r w:rsidRPr="00661E10">
              <w:rPr>
                <w:sz w:val="20"/>
                <w:szCs w:val="20"/>
                <w:vertAlign w:val="superscript"/>
              </w:rPr>
              <w:t>[a]</w:t>
            </w:r>
          </w:p>
        </w:tc>
        <w:tc>
          <w:tcPr>
            <w:tcW w:w="1282" w:type="pct"/>
            <w:shd w:val="clear" w:color="auto" w:fill="auto"/>
            <w:noWrap/>
          </w:tcPr>
          <w:p w:rsidR="00661E10" w:rsidRPr="00661E10" w:rsidRDefault="00661E10" w:rsidP="00661E10">
            <w:pPr>
              <w:jc w:val="center"/>
              <w:rPr>
                <w:sz w:val="20"/>
                <w:szCs w:val="20"/>
              </w:rPr>
            </w:pPr>
            <w:r w:rsidRPr="00661E10">
              <w:rPr>
                <w:sz w:val="20"/>
                <w:szCs w:val="20"/>
              </w:rPr>
              <w:t>Yes, with noted exceptions</w:t>
            </w:r>
          </w:p>
        </w:tc>
        <w:tc>
          <w:tcPr>
            <w:tcW w:w="1577" w:type="pct"/>
            <w:shd w:val="clear" w:color="auto" w:fill="auto"/>
            <w:noWrap/>
          </w:tcPr>
          <w:p w:rsidR="00661E10" w:rsidRPr="00661E10" w:rsidRDefault="00661E10" w:rsidP="00661E10">
            <w:pPr>
              <w:jc w:val="center"/>
              <w:rPr>
                <w:sz w:val="20"/>
                <w:szCs w:val="20"/>
              </w:rPr>
            </w:pPr>
            <w:r w:rsidRPr="00661E10">
              <w:rPr>
                <w:sz w:val="20"/>
                <w:szCs w:val="20"/>
              </w:rPr>
              <w:t>Yes, with few exceptions</w:t>
            </w:r>
          </w:p>
        </w:tc>
        <w:tc>
          <w:tcPr>
            <w:tcW w:w="1160" w:type="pct"/>
            <w:shd w:val="clear" w:color="auto" w:fill="auto"/>
            <w:noWrap/>
          </w:tcPr>
          <w:p w:rsidR="00661E10" w:rsidRPr="00661E10" w:rsidRDefault="00661E10" w:rsidP="00661E10">
            <w:pPr>
              <w:jc w:val="center"/>
              <w:rPr>
                <w:sz w:val="20"/>
                <w:szCs w:val="20"/>
              </w:rPr>
            </w:pPr>
            <w:r w:rsidRPr="00661E10">
              <w:rPr>
                <w:sz w:val="20"/>
                <w:szCs w:val="20"/>
              </w:rPr>
              <w:t>Yes</w:t>
            </w:r>
          </w:p>
        </w:tc>
      </w:tr>
      <w:tr w:rsidR="00A874AC" w:rsidRPr="00661E10" w:rsidTr="008B5045">
        <w:trPr>
          <w:trHeight w:val="488"/>
        </w:trPr>
        <w:tc>
          <w:tcPr>
            <w:tcW w:w="980" w:type="pct"/>
            <w:shd w:val="clear" w:color="auto" w:fill="D2EAF1"/>
          </w:tcPr>
          <w:p w:rsidR="00661E10" w:rsidRPr="00661E10" w:rsidRDefault="00661E10" w:rsidP="00661E10">
            <w:pPr>
              <w:rPr>
                <w:color w:val="000000"/>
                <w:sz w:val="20"/>
                <w:szCs w:val="20"/>
              </w:rPr>
            </w:pPr>
            <w:r w:rsidRPr="00661E10">
              <w:rPr>
                <w:sz w:val="20"/>
                <w:szCs w:val="20"/>
              </w:rPr>
              <w:t>PECO</w:t>
            </w:r>
          </w:p>
        </w:tc>
        <w:tc>
          <w:tcPr>
            <w:tcW w:w="1282" w:type="pct"/>
            <w:shd w:val="clear" w:color="auto" w:fill="D2EAF1"/>
            <w:noWrap/>
          </w:tcPr>
          <w:p w:rsidR="00661E10" w:rsidRPr="00661E10" w:rsidRDefault="00661E10" w:rsidP="00661E10">
            <w:pPr>
              <w:jc w:val="center"/>
              <w:rPr>
                <w:sz w:val="20"/>
                <w:szCs w:val="20"/>
              </w:rPr>
            </w:pPr>
            <w:r w:rsidRPr="00661E10">
              <w:rPr>
                <w:sz w:val="20"/>
                <w:szCs w:val="20"/>
              </w:rPr>
              <w:t>Yes, with noted exceptions</w:t>
            </w:r>
          </w:p>
        </w:tc>
        <w:tc>
          <w:tcPr>
            <w:tcW w:w="1577" w:type="pct"/>
            <w:shd w:val="clear" w:color="auto" w:fill="D2EAF1"/>
            <w:noWrap/>
          </w:tcPr>
          <w:p w:rsidR="00661E10" w:rsidRPr="00661E10" w:rsidRDefault="00661E10" w:rsidP="00661E10">
            <w:pPr>
              <w:jc w:val="center"/>
              <w:rPr>
                <w:sz w:val="20"/>
                <w:szCs w:val="20"/>
              </w:rPr>
            </w:pPr>
            <w:r w:rsidRPr="00661E10">
              <w:rPr>
                <w:sz w:val="20"/>
                <w:szCs w:val="20"/>
              </w:rPr>
              <w:t>Yes</w:t>
            </w:r>
          </w:p>
        </w:tc>
        <w:tc>
          <w:tcPr>
            <w:tcW w:w="1160" w:type="pct"/>
            <w:shd w:val="clear" w:color="auto" w:fill="D2EAF1"/>
            <w:noWrap/>
          </w:tcPr>
          <w:p w:rsidR="00661E10" w:rsidRPr="00661E10" w:rsidRDefault="00661E10" w:rsidP="00661E10">
            <w:pPr>
              <w:jc w:val="center"/>
              <w:rPr>
                <w:sz w:val="20"/>
                <w:szCs w:val="20"/>
              </w:rPr>
            </w:pPr>
            <w:r w:rsidRPr="00661E10">
              <w:rPr>
                <w:sz w:val="20"/>
                <w:szCs w:val="20"/>
              </w:rPr>
              <w:t>Yes</w:t>
            </w:r>
          </w:p>
        </w:tc>
      </w:tr>
      <w:tr w:rsidR="00E7173E" w:rsidRPr="00661E10" w:rsidTr="008B5045">
        <w:trPr>
          <w:trHeight w:val="489"/>
        </w:trPr>
        <w:tc>
          <w:tcPr>
            <w:tcW w:w="980" w:type="pct"/>
            <w:shd w:val="clear" w:color="auto" w:fill="auto"/>
          </w:tcPr>
          <w:p w:rsidR="00661E10" w:rsidRPr="00661E10" w:rsidRDefault="00661E10" w:rsidP="00661E10">
            <w:pPr>
              <w:rPr>
                <w:color w:val="000000"/>
                <w:sz w:val="20"/>
                <w:szCs w:val="20"/>
              </w:rPr>
            </w:pPr>
            <w:r w:rsidRPr="00661E10">
              <w:rPr>
                <w:sz w:val="20"/>
                <w:szCs w:val="20"/>
              </w:rPr>
              <w:t>PPL</w:t>
            </w:r>
          </w:p>
        </w:tc>
        <w:tc>
          <w:tcPr>
            <w:tcW w:w="1282" w:type="pct"/>
            <w:shd w:val="clear" w:color="auto" w:fill="auto"/>
            <w:noWrap/>
          </w:tcPr>
          <w:p w:rsidR="00661E10" w:rsidRPr="00661E10" w:rsidRDefault="00661E10" w:rsidP="00661E10">
            <w:pPr>
              <w:jc w:val="center"/>
              <w:rPr>
                <w:sz w:val="20"/>
                <w:szCs w:val="20"/>
              </w:rPr>
            </w:pPr>
            <w:r w:rsidRPr="00661E10">
              <w:rPr>
                <w:sz w:val="20"/>
                <w:szCs w:val="20"/>
              </w:rPr>
              <w:t>Yes, with noted exceptions</w:t>
            </w:r>
          </w:p>
        </w:tc>
        <w:tc>
          <w:tcPr>
            <w:tcW w:w="1577" w:type="pct"/>
            <w:shd w:val="clear" w:color="auto" w:fill="auto"/>
            <w:noWrap/>
          </w:tcPr>
          <w:p w:rsidR="00661E10" w:rsidRPr="00661E10" w:rsidRDefault="00661E10" w:rsidP="00661E10">
            <w:pPr>
              <w:jc w:val="center"/>
              <w:rPr>
                <w:sz w:val="20"/>
                <w:szCs w:val="20"/>
              </w:rPr>
            </w:pPr>
            <w:r w:rsidRPr="00661E10">
              <w:rPr>
                <w:sz w:val="20"/>
                <w:szCs w:val="20"/>
              </w:rPr>
              <w:t>Yes, with acceptable modifications</w:t>
            </w:r>
          </w:p>
        </w:tc>
        <w:tc>
          <w:tcPr>
            <w:tcW w:w="1160" w:type="pct"/>
            <w:shd w:val="clear" w:color="auto" w:fill="auto"/>
            <w:noWrap/>
          </w:tcPr>
          <w:p w:rsidR="00661E10" w:rsidRPr="00661E10" w:rsidRDefault="00661E10" w:rsidP="00661E10">
            <w:pPr>
              <w:jc w:val="center"/>
              <w:rPr>
                <w:sz w:val="20"/>
                <w:szCs w:val="20"/>
              </w:rPr>
            </w:pPr>
            <w:r w:rsidRPr="00661E10">
              <w:rPr>
                <w:sz w:val="20"/>
                <w:szCs w:val="20"/>
              </w:rPr>
              <w:t xml:space="preserve">Yes </w:t>
            </w:r>
          </w:p>
        </w:tc>
      </w:tr>
      <w:tr w:rsidR="00E7173E" w:rsidRPr="00661E10" w:rsidTr="008B5045">
        <w:trPr>
          <w:trHeight w:val="288"/>
        </w:trPr>
        <w:tc>
          <w:tcPr>
            <w:tcW w:w="5000" w:type="pct"/>
            <w:gridSpan w:val="4"/>
            <w:shd w:val="clear" w:color="auto" w:fill="448A99"/>
          </w:tcPr>
          <w:p w:rsidR="00661E10" w:rsidRPr="00661E10" w:rsidRDefault="00661E10" w:rsidP="00661E10">
            <w:pPr>
              <w:jc w:val="left"/>
              <w:rPr>
                <w:rFonts w:eastAsia="Calibri"/>
                <w:color w:val="FFFFFF"/>
                <w:sz w:val="18"/>
                <w:szCs w:val="20"/>
              </w:rPr>
            </w:pPr>
            <w:r w:rsidRPr="00661E10">
              <w:rPr>
                <w:rFonts w:eastAsia="Calibri"/>
                <w:color w:val="FFFFFF"/>
                <w:sz w:val="18"/>
                <w:szCs w:val="20"/>
              </w:rPr>
              <w:t>NOTE</w:t>
            </w:r>
            <w:r w:rsidR="00630371">
              <w:rPr>
                <w:rFonts w:eastAsia="Calibri"/>
                <w:color w:val="FFFFFF"/>
                <w:sz w:val="18"/>
                <w:szCs w:val="20"/>
              </w:rPr>
              <w:t>:</w:t>
            </w:r>
          </w:p>
          <w:p w:rsidR="00661E10" w:rsidRPr="00661E10" w:rsidRDefault="00661E10" w:rsidP="00661E10">
            <w:pPr>
              <w:jc w:val="left"/>
              <w:rPr>
                <w:rFonts w:eastAsia="Calibri"/>
                <w:b/>
                <w:color w:val="FFFFFF"/>
                <w:sz w:val="18"/>
                <w:szCs w:val="20"/>
              </w:rPr>
            </w:pPr>
            <w:r w:rsidRPr="00891082">
              <w:rPr>
                <w:color w:val="FFFFFF"/>
                <w:sz w:val="18"/>
                <w:szCs w:val="18"/>
                <w:vertAlign w:val="superscript"/>
              </w:rPr>
              <w:t>[a]</w:t>
            </w:r>
            <w:r w:rsidRPr="00661E10">
              <w:rPr>
                <w:color w:val="FFFFFF"/>
                <w:sz w:val="18"/>
                <w:szCs w:val="20"/>
              </w:rPr>
              <w:t xml:space="preserve"> </w:t>
            </w:r>
            <w:r w:rsidRPr="00661E10">
              <w:rPr>
                <w:rFonts w:eastAsia="Calibri"/>
                <w:color w:val="FFFFFF"/>
                <w:sz w:val="18"/>
                <w:szCs w:val="20"/>
              </w:rPr>
              <w:t>The evaluation contractor for FirstEnergy applied the same NTG methods for all four FirstEnergy EDCs.</w:t>
            </w:r>
          </w:p>
        </w:tc>
      </w:tr>
    </w:tbl>
    <w:p w:rsidR="00661E10" w:rsidRPr="00661E10" w:rsidRDefault="00661E10" w:rsidP="00661E10"/>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t>Summary of NTG by Sector</w:t>
      </w:r>
    </w:p>
    <w:p w:rsidR="00661E10" w:rsidRPr="00661E10" w:rsidRDefault="00ED5AFA" w:rsidP="00661E10">
      <w:r w:rsidRPr="00ED5AFA">
        <w:rPr>
          <w:rFonts w:asciiTheme="minorHAnsi" w:hAnsiTheme="minorHAnsi"/>
        </w:rPr>
        <w:fldChar w:fldCharType="begin"/>
      </w:r>
      <w:r w:rsidRPr="00ED5AFA">
        <w:rPr>
          <w:rFonts w:asciiTheme="minorHAnsi" w:hAnsiTheme="minorHAnsi"/>
        </w:rPr>
        <w:instrText xml:space="preserve"> REF _Ref471458750 \h  \* MERGEFORMAT </w:instrText>
      </w:r>
      <w:r w:rsidRPr="00ED5AFA">
        <w:rPr>
          <w:rFonts w:asciiTheme="minorHAnsi" w:hAnsiTheme="minorHAnsi"/>
        </w:rPr>
      </w:r>
      <w:r w:rsidRPr="00ED5AFA">
        <w:rPr>
          <w:rFonts w:asciiTheme="minorHAnsi" w:hAnsiTheme="minorHAnsi"/>
        </w:rPr>
        <w:fldChar w:fldCharType="separate"/>
      </w:r>
      <w:r w:rsidR="00A874AC" w:rsidRPr="00A874AC">
        <w:rPr>
          <w:rFonts w:asciiTheme="minorHAnsi" w:hAnsiTheme="minorHAnsi"/>
          <w:bCs/>
        </w:rPr>
        <w:t xml:space="preserve">Table </w:t>
      </w:r>
      <w:r w:rsidR="00A874AC" w:rsidRPr="00A874AC">
        <w:rPr>
          <w:rFonts w:asciiTheme="minorHAnsi" w:hAnsiTheme="minorHAnsi"/>
          <w:bCs/>
          <w:noProof/>
        </w:rPr>
        <w:t>5</w:t>
      </w:r>
      <w:r w:rsidR="00A874AC" w:rsidRPr="00A874AC">
        <w:rPr>
          <w:rFonts w:asciiTheme="minorHAnsi" w:hAnsiTheme="minorHAnsi"/>
          <w:bCs/>
          <w:noProof/>
        </w:rPr>
        <w:noBreakHyphen/>
        <w:t>5</w:t>
      </w:r>
      <w:r w:rsidRPr="00ED5AFA">
        <w:rPr>
          <w:rFonts w:asciiTheme="minorHAnsi" w:hAnsiTheme="minorHAnsi"/>
        </w:rPr>
        <w:fldChar w:fldCharType="end"/>
      </w:r>
      <w:r w:rsidR="00661E10" w:rsidRPr="00661E10">
        <w:t xml:space="preserve"> </w:t>
      </w:r>
      <w:r w:rsidR="00FF4DE1" w:rsidRPr="00FF4DE1">
        <w:t>shows the EDCs’ NTGR calculations across sectors. In the residential sector, program-specific NTGRs ranged from 0.26 to 0.99. In the low-income sector, in three PPL low income programs the evaluation contractor assumed a program-specific NTGR of 1.00 for three low-income programs (one whose impact evaluation methodology generates net savings and two that provide measures to customers seeking help paying electric bills). The good news is that following the Phase II SWE Team’s PY6 recommendation, all EDCs performed NTG studies on their low-income programs for the first time. In the non-residential sector, program-specific NTGRs ranged from 0.39 to 0.89 (with the exception of one program for which the evaluation contractor assumed an NTGR of 1.00).</w:t>
      </w:r>
    </w:p>
    <w:p w:rsidR="00661E10" w:rsidRPr="00661E10" w:rsidRDefault="00661E10" w:rsidP="00661E10">
      <w:bookmarkStart w:id="397" w:name="_Ref408996050"/>
      <w:bookmarkStart w:id="398" w:name="_Toc409224990"/>
      <w:bookmarkStart w:id="399" w:name="_Toc409443542"/>
      <w:bookmarkStart w:id="400" w:name="_Toc410199261"/>
    </w:p>
    <w:p w:rsidR="00661E10" w:rsidRPr="00661E10" w:rsidRDefault="00661E10" w:rsidP="00C3684F">
      <w:pPr>
        <w:pStyle w:val="Caption"/>
      </w:pPr>
      <w:bookmarkStart w:id="401" w:name="_Ref471458750"/>
      <w:bookmarkStart w:id="402" w:name="_Toc444269703"/>
      <w:bookmarkStart w:id="403" w:name="_Toc472472190"/>
      <w:bookmarkStart w:id="404" w:name="_Toc476914004"/>
      <w:r w:rsidRPr="00661E10">
        <w:t xml:space="preserve">Table </w:t>
      </w:r>
      <w:fldSimple w:instr=" STYLEREF 1 \s ">
        <w:r w:rsidR="00C301D0">
          <w:rPr>
            <w:noProof/>
          </w:rPr>
          <w:t>5</w:t>
        </w:r>
      </w:fldSimple>
      <w:r w:rsidR="00E6042C">
        <w:noBreakHyphen/>
      </w:r>
      <w:fldSimple w:instr=" SEQ Table \* ARABIC \s 1 ">
        <w:r w:rsidR="00C301D0">
          <w:rPr>
            <w:noProof/>
          </w:rPr>
          <w:t>5</w:t>
        </w:r>
      </w:fldSimple>
      <w:bookmarkEnd w:id="397"/>
      <w:bookmarkEnd w:id="401"/>
      <w:r w:rsidRPr="00661E10">
        <w:t>: PY7 Net-to-Gross Ratios by Sector and Program</w:t>
      </w:r>
      <w:bookmarkEnd w:id="398"/>
      <w:bookmarkEnd w:id="399"/>
      <w:bookmarkEnd w:id="400"/>
      <w:r w:rsidRPr="00661E10">
        <w:t xml:space="preserve"> – All EDCs</w:t>
      </w:r>
      <w:bookmarkEnd w:id="402"/>
      <w:bookmarkEnd w:id="403"/>
      <w:bookmarkEnd w:id="404"/>
    </w:p>
    <w:tbl>
      <w:tblPr>
        <w:tblW w:w="4887"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61"/>
        <w:gridCol w:w="3279"/>
        <w:gridCol w:w="1189"/>
        <w:gridCol w:w="1263"/>
        <w:gridCol w:w="1075"/>
        <w:gridCol w:w="862"/>
      </w:tblGrid>
      <w:tr w:rsidR="00A874AC" w:rsidRPr="00661E10" w:rsidTr="008B5045">
        <w:trPr>
          <w:trHeight w:val="20"/>
          <w:tblHeader/>
        </w:trPr>
        <w:tc>
          <w:tcPr>
            <w:tcW w:w="800" w:type="pct"/>
            <w:shd w:val="clear" w:color="auto" w:fill="448A99"/>
            <w:vAlign w:val="bottom"/>
            <w:hideMark/>
          </w:tcPr>
          <w:p w:rsidR="00661E10" w:rsidRPr="00661E10" w:rsidRDefault="00661E10" w:rsidP="00661E10">
            <w:pPr>
              <w:jc w:val="left"/>
              <w:rPr>
                <w:b/>
                <w:bCs/>
                <w:color w:val="FFFFFF"/>
                <w:sz w:val="20"/>
                <w:szCs w:val="20"/>
              </w:rPr>
            </w:pPr>
            <w:r w:rsidRPr="00661E10">
              <w:rPr>
                <w:b/>
                <w:color w:val="FFFFFF"/>
                <w:sz w:val="20"/>
                <w:szCs w:val="20"/>
              </w:rPr>
              <w:t>EDC</w:t>
            </w:r>
          </w:p>
        </w:tc>
        <w:tc>
          <w:tcPr>
            <w:tcW w:w="1796"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Program</w:t>
            </w:r>
          </w:p>
        </w:tc>
        <w:tc>
          <w:tcPr>
            <w:tcW w:w="651"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Free-Ridership</w:t>
            </w:r>
          </w:p>
        </w:tc>
        <w:tc>
          <w:tcPr>
            <w:tcW w:w="692"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Spillover</w:t>
            </w:r>
          </w:p>
        </w:tc>
        <w:tc>
          <w:tcPr>
            <w:tcW w:w="589"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NTGR</w:t>
            </w:r>
            <w:r w:rsidRPr="00661E10">
              <w:rPr>
                <w:b/>
                <w:color w:val="FFFFFF"/>
                <w:sz w:val="20"/>
                <w:szCs w:val="20"/>
                <w:vertAlign w:val="superscript"/>
              </w:rPr>
              <w:t>[a]</w:t>
            </w:r>
          </w:p>
        </w:tc>
        <w:tc>
          <w:tcPr>
            <w:tcW w:w="472" w:type="pct"/>
            <w:shd w:val="clear" w:color="auto" w:fill="448A99"/>
            <w:vAlign w:val="bottom"/>
          </w:tcPr>
          <w:p w:rsidR="00661E10" w:rsidRPr="00661E10" w:rsidRDefault="00661E10" w:rsidP="00661E10">
            <w:pPr>
              <w:jc w:val="center"/>
              <w:rPr>
                <w:b/>
                <w:color w:val="FFFFFF"/>
                <w:sz w:val="20"/>
                <w:szCs w:val="20"/>
                <w:vertAlign w:val="superscript"/>
              </w:rPr>
            </w:pPr>
            <w:r w:rsidRPr="00661E10">
              <w:rPr>
                <w:b/>
                <w:color w:val="FFFFFF"/>
                <w:sz w:val="20"/>
                <w:szCs w:val="20"/>
              </w:rPr>
              <w:t>Sample Size</w:t>
            </w:r>
            <w:r w:rsidRPr="00661E10">
              <w:rPr>
                <w:b/>
                <w:color w:val="FFFFFF"/>
                <w:sz w:val="20"/>
                <w:szCs w:val="20"/>
                <w:vertAlign w:val="superscript"/>
              </w:rPr>
              <w:t>[b]</w:t>
            </w:r>
          </w:p>
        </w:tc>
      </w:tr>
      <w:tr w:rsidR="00E7173E" w:rsidRPr="00661E10" w:rsidTr="008B5045">
        <w:trPr>
          <w:trHeight w:val="144"/>
        </w:trPr>
        <w:tc>
          <w:tcPr>
            <w:tcW w:w="5000" w:type="pct"/>
            <w:gridSpan w:val="6"/>
            <w:shd w:val="clear" w:color="auto" w:fill="9C9393"/>
            <w:hideMark/>
          </w:tcPr>
          <w:p w:rsidR="00661E10" w:rsidRPr="00661E10" w:rsidRDefault="00661E10" w:rsidP="00661E10">
            <w:pPr>
              <w:jc w:val="left"/>
              <w:rPr>
                <w:b/>
                <w:bCs/>
                <w:i/>
                <w:color w:val="FFFFFF"/>
                <w:sz w:val="20"/>
                <w:szCs w:val="20"/>
              </w:rPr>
            </w:pPr>
            <w:r w:rsidRPr="00661E10">
              <w:rPr>
                <w:b/>
                <w:color w:val="FFFFFF"/>
                <w:sz w:val="20"/>
                <w:szCs w:val="20"/>
              </w:rPr>
              <w:t>Residential Sector</w:t>
            </w:r>
          </w:p>
        </w:tc>
      </w:tr>
      <w:tr w:rsidR="00A874AC" w:rsidRPr="00661E10" w:rsidTr="008B5045">
        <w:trPr>
          <w:trHeight w:val="488"/>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Duquesne</w:t>
            </w:r>
          </w:p>
        </w:tc>
        <w:tc>
          <w:tcPr>
            <w:tcW w:w="1796" w:type="pct"/>
            <w:shd w:val="clear" w:color="auto" w:fill="D2EAF1"/>
            <w:noWrap/>
          </w:tcPr>
          <w:p w:rsidR="00661E10" w:rsidRPr="00661E10" w:rsidRDefault="00661E10" w:rsidP="00661E10">
            <w:pPr>
              <w:jc w:val="left"/>
              <w:rPr>
                <w:color w:val="000000"/>
                <w:sz w:val="20"/>
                <w:szCs w:val="20"/>
              </w:rPr>
            </w:pPr>
            <w:r w:rsidRPr="00661E10">
              <w:rPr>
                <w:sz w:val="20"/>
                <w:szCs w:val="20"/>
              </w:rPr>
              <w:t>Residential Energy Efficiency Program (REEP)</w:t>
            </w:r>
          </w:p>
        </w:tc>
        <w:tc>
          <w:tcPr>
            <w:tcW w:w="651" w:type="pct"/>
            <w:shd w:val="clear" w:color="auto" w:fill="D2EAF1"/>
            <w:noWrap/>
            <w:vAlign w:val="center"/>
          </w:tcPr>
          <w:p w:rsidR="00661E10" w:rsidRPr="00661E10" w:rsidRDefault="00661E10" w:rsidP="00661E10">
            <w:pPr>
              <w:jc w:val="center"/>
              <w:rPr>
                <w:sz w:val="20"/>
                <w:szCs w:val="20"/>
              </w:rPr>
            </w:pPr>
            <w:r w:rsidRPr="00661E10">
              <w:rPr>
                <w:sz w:val="20"/>
                <w:szCs w:val="20"/>
              </w:rPr>
              <w:t>0.54</w:t>
            </w:r>
          </w:p>
        </w:tc>
        <w:tc>
          <w:tcPr>
            <w:tcW w:w="692" w:type="pct"/>
            <w:shd w:val="clear" w:color="auto" w:fill="D2EAF1"/>
            <w:noWrap/>
            <w:vAlign w:val="center"/>
          </w:tcPr>
          <w:p w:rsidR="00661E10" w:rsidRPr="00661E10" w:rsidRDefault="00661E10" w:rsidP="00661E10">
            <w:pPr>
              <w:jc w:val="center"/>
              <w:rPr>
                <w:sz w:val="20"/>
                <w:szCs w:val="20"/>
              </w:rPr>
            </w:pPr>
            <w:r w:rsidRPr="00661E10">
              <w:rPr>
                <w:sz w:val="20"/>
                <w:szCs w:val="20"/>
              </w:rPr>
              <w:t>0.23</w:t>
            </w:r>
          </w:p>
        </w:tc>
        <w:tc>
          <w:tcPr>
            <w:tcW w:w="589" w:type="pct"/>
            <w:shd w:val="clear" w:color="auto" w:fill="D2EAF1"/>
            <w:noWrap/>
            <w:vAlign w:val="center"/>
          </w:tcPr>
          <w:p w:rsidR="00661E10" w:rsidRPr="00661E10" w:rsidRDefault="00661E10" w:rsidP="00661E10">
            <w:pPr>
              <w:jc w:val="center"/>
              <w:rPr>
                <w:sz w:val="20"/>
                <w:szCs w:val="20"/>
              </w:rPr>
            </w:pPr>
            <w:r w:rsidRPr="00661E10">
              <w:rPr>
                <w:sz w:val="20"/>
                <w:szCs w:val="20"/>
              </w:rPr>
              <w:t>0.69</w:t>
            </w:r>
          </w:p>
        </w:tc>
        <w:tc>
          <w:tcPr>
            <w:tcW w:w="472" w:type="pct"/>
            <w:shd w:val="clear" w:color="auto" w:fill="D2EAF1"/>
            <w:vAlign w:val="center"/>
          </w:tcPr>
          <w:p w:rsidR="00661E10" w:rsidRPr="00661E10" w:rsidRDefault="00661E10" w:rsidP="00661E10">
            <w:pPr>
              <w:jc w:val="center"/>
              <w:rPr>
                <w:color w:val="000000"/>
                <w:sz w:val="20"/>
                <w:szCs w:val="20"/>
              </w:rPr>
            </w:pPr>
            <w:r w:rsidRPr="00661E10">
              <w:rPr>
                <w:sz w:val="20"/>
                <w:szCs w:val="20"/>
              </w:rPr>
              <w:t>99</w:t>
            </w:r>
          </w:p>
        </w:tc>
      </w:tr>
      <w:tr w:rsidR="00A874AC" w:rsidRPr="00661E10" w:rsidTr="008B5045">
        <w:trPr>
          <w:trHeight w:val="488"/>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sz w:val="20"/>
                <w:szCs w:val="20"/>
              </w:rPr>
            </w:pPr>
            <w:r w:rsidRPr="00661E10">
              <w:rPr>
                <w:sz w:val="20"/>
                <w:szCs w:val="20"/>
              </w:rPr>
              <w:t>Residential Appliance Recycling Program (RARP)</w:t>
            </w:r>
          </w:p>
        </w:tc>
        <w:tc>
          <w:tcPr>
            <w:tcW w:w="651" w:type="pct"/>
            <w:shd w:val="clear" w:color="auto" w:fill="auto"/>
            <w:noWrap/>
            <w:vAlign w:val="center"/>
          </w:tcPr>
          <w:p w:rsidR="00661E10" w:rsidRPr="00661E10" w:rsidRDefault="00661E10" w:rsidP="00661E10">
            <w:pPr>
              <w:jc w:val="center"/>
              <w:rPr>
                <w:sz w:val="20"/>
                <w:szCs w:val="20"/>
              </w:rPr>
            </w:pPr>
            <w:r w:rsidRPr="00661E10">
              <w:rPr>
                <w:sz w:val="20"/>
                <w:szCs w:val="20"/>
              </w:rPr>
              <w:t>0.72</w:t>
            </w:r>
          </w:p>
        </w:tc>
        <w:tc>
          <w:tcPr>
            <w:tcW w:w="692" w:type="pct"/>
            <w:shd w:val="clear" w:color="auto" w:fill="auto"/>
            <w:noWrap/>
            <w:vAlign w:val="center"/>
          </w:tcPr>
          <w:p w:rsidR="00661E10" w:rsidRPr="00661E10" w:rsidRDefault="00661E10" w:rsidP="00661E10">
            <w:pPr>
              <w:jc w:val="center"/>
              <w:rPr>
                <w:sz w:val="20"/>
                <w:szCs w:val="20"/>
              </w:rPr>
            </w:pPr>
            <w:r w:rsidRPr="00661E10">
              <w:rPr>
                <w:sz w:val="20"/>
                <w:szCs w:val="20"/>
              </w:rPr>
              <w:t>0.04</w:t>
            </w:r>
          </w:p>
        </w:tc>
        <w:tc>
          <w:tcPr>
            <w:tcW w:w="589" w:type="pct"/>
            <w:shd w:val="clear" w:color="auto" w:fill="auto"/>
            <w:noWrap/>
            <w:vAlign w:val="center"/>
          </w:tcPr>
          <w:p w:rsidR="00661E10" w:rsidRPr="00661E10" w:rsidRDefault="00661E10" w:rsidP="00661E10">
            <w:pPr>
              <w:jc w:val="center"/>
              <w:rPr>
                <w:sz w:val="20"/>
                <w:szCs w:val="20"/>
              </w:rPr>
            </w:pPr>
            <w:r w:rsidRPr="00661E10">
              <w:rPr>
                <w:sz w:val="20"/>
                <w:szCs w:val="20"/>
              </w:rPr>
              <w:t>0.32</w:t>
            </w:r>
          </w:p>
        </w:tc>
        <w:tc>
          <w:tcPr>
            <w:tcW w:w="472" w:type="pct"/>
            <w:shd w:val="clear" w:color="auto" w:fill="auto"/>
            <w:vAlign w:val="center"/>
          </w:tcPr>
          <w:p w:rsidR="00661E10" w:rsidRPr="00661E10" w:rsidRDefault="00661E10" w:rsidP="00661E10">
            <w:pPr>
              <w:jc w:val="center"/>
              <w:rPr>
                <w:color w:val="000000"/>
                <w:sz w:val="20"/>
                <w:szCs w:val="20"/>
              </w:rPr>
            </w:pPr>
            <w:r w:rsidRPr="00661E10">
              <w:rPr>
                <w:sz w:val="20"/>
                <w:szCs w:val="20"/>
              </w:rPr>
              <w:t>109</w:t>
            </w:r>
          </w:p>
        </w:tc>
      </w:tr>
      <w:tr w:rsidR="00A874AC" w:rsidRPr="00661E10" w:rsidTr="008B5045">
        <w:trPr>
          <w:trHeight w:val="488"/>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Residential Home Energy</w:t>
            </w:r>
          </w:p>
          <w:p w:rsidR="00661E10" w:rsidRPr="00661E10" w:rsidRDefault="00661E10" w:rsidP="00661E10">
            <w:pPr>
              <w:jc w:val="left"/>
              <w:rPr>
                <w:sz w:val="20"/>
                <w:szCs w:val="20"/>
              </w:rPr>
            </w:pPr>
            <w:r w:rsidRPr="00661E10">
              <w:rPr>
                <w:sz w:val="20"/>
                <w:szCs w:val="20"/>
              </w:rPr>
              <w:t>Report (HER) Program</w:t>
            </w:r>
          </w:p>
        </w:tc>
        <w:tc>
          <w:tcPr>
            <w:tcW w:w="651" w:type="pct"/>
            <w:shd w:val="clear" w:color="auto" w:fill="D2EAF1"/>
            <w:noWrap/>
            <w:vAlign w:val="center"/>
          </w:tcPr>
          <w:p w:rsidR="00661E10" w:rsidRPr="00661E10" w:rsidRDefault="00661E10" w:rsidP="00661E10">
            <w:pPr>
              <w:jc w:val="center"/>
              <w:rPr>
                <w:sz w:val="20"/>
                <w:szCs w:val="20"/>
              </w:rPr>
            </w:pPr>
            <w:r w:rsidRPr="00661E10">
              <w:rPr>
                <w:sz w:val="20"/>
                <w:szCs w:val="20"/>
              </w:rPr>
              <w:t>N/A</w:t>
            </w:r>
          </w:p>
        </w:tc>
        <w:tc>
          <w:tcPr>
            <w:tcW w:w="692" w:type="pct"/>
            <w:shd w:val="clear" w:color="auto" w:fill="D2EAF1"/>
            <w:noWrap/>
            <w:vAlign w:val="center"/>
          </w:tcPr>
          <w:p w:rsidR="00661E10" w:rsidRPr="00661E10" w:rsidRDefault="00661E10" w:rsidP="00661E10">
            <w:pPr>
              <w:jc w:val="center"/>
              <w:rPr>
                <w:sz w:val="20"/>
                <w:szCs w:val="20"/>
              </w:rPr>
            </w:pPr>
            <w:r w:rsidRPr="00661E10">
              <w:rPr>
                <w:sz w:val="20"/>
                <w:szCs w:val="20"/>
              </w:rPr>
              <w:t>N/A</w:t>
            </w:r>
          </w:p>
        </w:tc>
        <w:tc>
          <w:tcPr>
            <w:tcW w:w="589" w:type="pct"/>
            <w:shd w:val="clear" w:color="auto" w:fill="D2EAF1"/>
            <w:noWrap/>
            <w:vAlign w:val="center"/>
          </w:tcPr>
          <w:p w:rsidR="00661E10" w:rsidRPr="00661E10" w:rsidRDefault="00661E10" w:rsidP="00661E10">
            <w:pPr>
              <w:jc w:val="center"/>
              <w:rPr>
                <w:sz w:val="20"/>
                <w:szCs w:val="20"/>
              </w:rPr>
            </w:pPr>
            <w:r w:rsidRPr="00661E10">
              <w:rPr>
                <w:sz w:val="20"/>
                <w:szCs w:val="20"/>
              </w:rPr>
              <w:t>N/A</w:t>
            </w:r>
          </w:p>
        </w:tc>
        <w:tc>
          <w:tcPr>
            <w:tcW w:w="472" w:type="pct"/>
            <w:shd w:val="clear" w:color="auto" w:fill="D2EAF1"/>
            <w:vAlign w:val="center"/>
          </w:tcPr>
          <w:p w:rsidR="00661E10" w:rsidRPr="00661E10" w:rsidRDefault="00661E10" w:rsidP="00661E10">
            <w:pPr>
              <w:jc w:val="center"/>
              <w:rPr>
                <w:sz w:val="20"/>
                <w:szCs w:val="20"/>
              </w:rPr>
            </w:pPr>
            <w:r w:rsidRPr="00661E10">
              <w:rPr>
                <w:sz w:val="20"/>
                <w:szCs w:val="20"/>
              </w:rPr>
              <w:t>N/A</w:t>
            </w:r>
          </w:p>
        </w:tc>
      </w:tr>
      <w:tr w:rsidR="00A874AC" w:rsidRPr="00661E10" w:rsidTr="008B5045">
        <w:trPr>
          <w:trHeight w:val="488"/>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sz w:val="20"/>
                <w:szCs w:val="20"/>
              </w:rPr>
            </w:pPr>
            <w:r w:rsidRPr="00661E10">
              <w:rPr>
                <w:sz w:val="20"/>
                <w:szCs w:val="20"/>
              </w:rPr>
              <w:t>School Energy Pledge Program (SEP)</w:t>
            </w:r>
          </w:p>
        </w:tc>
        <w:tc>
          <w:tcPr>
            <w:tcW w:w="651" w:type="pct"/>
            <w:shd w:val="clear" w:color="auto" w:fill="auto"/>
            <w:noWrap/>
            <w:vAlign w:val="center"/>
          </w:tcPr>
          <w:p w:rsidR="00661E10" w:rsidRPr="00661E10" w:rsidRDefault="00661E10" w:rsidP="00661E10">
            <w:pPr>
              <w:jc w:val="center"/>
              <w:rPr>
                <w:sz w:val="20"/>
                <w:szCs w:val="20"/>
              </w:rPr>
            </w:pPr>
            <w:r w:rsidRPr="00661E10">
              <w:rPr>
                <w:sz w:val="20"/>
                <w:szCs w:val="20"/>
              </w:rPr>
              <w:t>0.31</w:t>
            </w:r>
          </w:p>
        </w:tc>
        <w:tc>
          <w:tcPr>
            <w:tcW w:w="692" w:type="pct"/>
            <w:shd w:val="clear" w:color="auto" w:fill="auto"/>
            <w:noWrap/>
            <w:vAlign w:val="center"/>
          </w:tcPr>
          <w:p w:rsidR="00661E10" w:rsidRPr="00661E10" w:rsidRDefault="00661E10" w:rsidP="00661E10">
            <w:pPr>
              <w:jc w:val="center"/>
              <w:rPr>
                <w:sz w:val="20"/>
                <w:szCs w:val="20"/>
              </w:rPr>
            </w:pPr>
            <w:r w:rsidRPr="00661E10">
              <w:rPr>
                <w:sz w:val="20"/>
                <w:szCs w:val="20"/>
              </w:rPr>
              <w:t>0.19</w:t>
            </w:r>
          </w:p>
        </w:tc>
        <w:tc>
          <w:tcPr>
            <w:tcW w:w="589" w:type="pct"/>
            <w:shd w:val="clear" w:color="auto" w:fill="auto"/>
            <w:noWrap/>
            <w:vAlign w:val="center"/>
          </w:tcPr>
          <w:p w:rsidR="00661E10" w:rsidRPr="00661E10" w:rsidRDefault="00661E10" w:rsidP="00661E10">
            <w:pPr>
              <w:jc w:val="center"/>
              <w:rPr>
                <w:sz w:val="20"/>
                <w:szCs w:val="20"/>
              </w:rPr>
            </w:pPr>
            <w:r w:rsidRPr="00661E10">
              <w:rPr>
                <w:sz w:val="20"/>
                <w:szCs w:val="20"/>
              </w:rPr>
              <w:t>0.87</w:t>
            </w:r>
          </w:p>
        </w:tc>
        <w:tc>
          <w:tcPr>
            <w:tcW w:w="472" w:type="pct"/>
            <w:shd w:val="clear" w:color="auto" w:fill="auto"/>
            <w:vAlign w:val="center"/>
          </w:tcPr>
          <w:p w:rsidR="00661E10" w:rsidRPr="00661E10" w:rsidRDefault="00661E10" w:rsidP="00661E10">
            <w:pPr>
              <w:jc w:val="center"/>
              <w:rPr>
                <w:color w:val="000000"/>
                <w:sz w:val="20"/>
                <w:szCs w:val="20"/>
              </w:rPr>
            </w:pPr>
            <w:r w:rsidRPr="00661E10">
              <w:rPr>
                <w:sz w:val="20"/>
                <w:szCs w:val="20"/>
              </w:rPr>
              <w:t>27</w:t>
            </w:r>
          </w:p>
        </w:tc>
      </w:tr>
      <w:tr w:rsidR="00A874AC" w:rsidRPr="00661E10" w:rsidTr="008B5045">
        <w:trPr>
          <w:trHeight w:val="488"/>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Whole House Energy Audit Program (WHEAP)</w:t>
            </w:r>
          </w:p>
        </w:tc>
        <w:tc>
          <w:tcPr>
            <w:tcW w:w="651" w:type="pct"/>
            <w:shd w:val="clear" w:color="auto" w:fill="D2EAF1"/>
            <w:noWrap/>
            <w:vAlign w:val="center"/>
          </w:tcPr>
          <w:p w:rsidR="00661E10" w:rsidRPr="00661E10" w:rsidRDefault="00661E10" w:rsidP="00661E10">
            <w:pPr>
              <w:jc w:val="center"/>
              <w:rPr>
                <w:sz w:val="20"/>
                <w:szCs w:val="20"/>
              </w:rPr>
            </w:pPr>
            <w:r w:rsidRPr="00661E10">
              <w:rPr>
                <w:sz w:val="20"/>
                <w:szCs w:val="20"/>
              </w:rPr>
              <w:t>0.33</w:t>
            </w:r>
          </w:p>
        </w:tc>
        <w:tc>
          <w:tcPr>
            <w:tcW w:w="692" w:type="pct"/>
            <w:shd w:val="clear" w:color="auto" w:fill="D2EAF1"/>
            <w:noWrap/>
            <w:vAlign w:val="center"/>
          </w:tcPr>
          <w:p w:rsidR="00661E10" w:rsidRPr="00661E10" w:rsidRDefault="00661E10" w:rsidP="00661E10">
            <w:pPr>
              <w:jc w:val="center"/>
              <w:rPr>
                <w:sz w:val="20"/>
                <w:szCs w:val="20"/>
              </w:rPr>
            </w:pPr>
            <w:r w:rsidRPr="00661E10">
              <w:rPr>
                <w:sz w:val="20"/>
                <w:szCs w:val="20"/>
              </w:rPr>
              <w:t>0.06</w:t>
            </w:r>
          </w:p>
        </w:tc>
        <w:tc>
          <w:tcPr>
            <w:tcW w:w="589" w:type="pct"/>
            <w:shd w:val="clear" w:color="auto" w:fill="D2EAF1"/>
            <w:noWrap/>
            <w:vAlign w:val="center"/>
          </w:tcPr>
          <w:p w:rsidR="00661E10" w:rsidRPr="00661E10" w:rsidRDefault="00661E10" w:rsidP="00661E10">
            <w:pPr>
              <w:jc w:val="center"/>
              <w:rPr>
                <w:sz w:val="20"/>
                <w:szCs w:val="20"/>
              </w:rPr>
            </w:pPr>
            <w:r w:rsidRPr="00661E10">
              <w:rPr>
                <w:sz w:val="20"/>
                <w:szCs w:val="20"/>
              </w:rPr>
              <w:t>0.73</w:t>
            </w:r>
          </w:p>
        </w:tc>
        <w:tc>
          <w:tcPr>
            <w:tcW w:w="472" w:type="pct"/>
            <w:shd w:val="clear" w:color="auto" w:fill="D2EAF1"/>
            <w:vAlign w:val="center"/>
          </w:tcPr>
          <w:p w:rsidR="00661E10" w:rsidRPr="00661E10" w:rsidRDefault="00661E10" w:rsidP="00661E10">
            <w:pPr>
              <w:jc w:val="center"/>
              <w:rPr>
                <w:color w:val="000000"/>
                <w:sz w:val="20"/>
                <w:szCs w:val="20"/>
              </w:rPr>
            </w:pPr>
            <w:r w:rsidRPr="00661E10">
              <w:rPr>
                <w:sz w:val="20"/>
                <w:szCs w:val="20"/>
              </w:rPr>
              <w:t>22</w:t>
            </w:r>
          </w:p>
        </w:tc>
      </w:tr>
      <w:tr w:rsidR="00E7173E" w:rsidRPr="00661E10" w:rsidTr="008B5045">
        <w:trPr>
          <w:trHeight w:val="488"/>
        </w:trPr>
        <w:tc>
          <w:tcPr>
            <w:tcW w:w="800" w:type="pct"/>
            <w:vMerge w:val="restart"/>
            <w:shd w:val="clear" w:color="auto" w:fill="auto"/>
          </w:tcPr>
          <w:p w:rsidR="00661E10" w:rsidRPr="00661E10" w:rsidRDefault="00661E10" w:rsidP="00661E10">
            <w:pPr>
              <w:jc w:val="left"/>
              <w:rPr>
                <w:color w:val="000000"/>
                <w:sz w:val="20"/>
                <w:szCs w:val="20"/>
              </w:rPr>
            </w:pPr>
            <w:r w:rsidRPr="00661E10">
              <w:rPr>
                <w:sz w:val="20"/>
                <w:szCs w:val="20"/>
              </w:rPr>
              <w:t xml:space="preserve">FE: </w:t>
            </w:r>
            <w:r w:rsidRPr="00661E10">
              <w:rPr>
                <w:color w:val="000000"/>
                <w:sz w:val="20"/>
                <w:szCs w:val="20"/>
              </w:rPr>
              <w:t>Met-Ed</w:t>
            </w:r>
          </w:p>
        </w:tc>
        <w:tc>
          <w:tcPr>
            <w:tcW w:w="1796" w:type="pct"/>
            <w:shd w:val="clear" w:color="auto" w:fill="auto"/>
            <w:noWrap/>
          </w:tcPr>
          <w:p w:rsidR="00661E10" w:rsidRPr="00661E10" w:rsidRDefault="00661E10" w:rsidP="00661E10">
            <w:pPr>
              <w:jc w:val="left"/>
              <w:rPr>
                <w:sz w:val="20"/>
                <w:szCs w:val="20"/>
              </w:rPr>
            </w:pPr>
            <w:r w:rsidRPr="00661E10">
              <w:rPr>
                <w:sz w:val="20"/>
                <w:szCs w:val="20"/>
              </w:rPr>
              <w:t>Appliance Turn-In</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0.75</w:t>
            </w:r>
            <w:r w:rsidRPr="00661E10">
              <w:rPr>
                <w:sz w:val="20"/>
                <w:szCs w:val="20"/>
                <w:vertAlign w:val="superscript"/>
              </w:rPr>
              <w:t>[c]</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0.00</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0.26</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71</w:t>
            </w:r>
          </w:p>
        </w:tc>
      </w:tr>
      <w:tr w:rsidR="00A874AC" w:rsidRPr="00661E10" w:rsidTr="008B5045">
        <w:trPr>
          <w:trHeight w:val="488"/>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Energy Efficient Products</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0.38</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0.05</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0.67</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137</w:t>
            </w:r>
          </w:p>
        </w:tc>
      </w:tr>
      <w:tr w:rsidR="00E7173E" w:rsidRPr="00661E10" w:rsidTr="008B5045">
        <w:trPr>
          <w:trHeight w:val="488"/>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sz w:val="20"/>
                <w:szCs w:val="20"/>
              </w:rPr>
            </w:pPr>
            <w:r w:rsidRPr="00661E10">
              <w:rPr>
                <w:sz w:val="20"/>
                <w:szCs w:val="20"/>
              </w:rPr>
              <w:t>Home Performance</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0.36</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0.06</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0.70</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88"/>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 xml:space="preserve">FE: </w:t>
            </w:r>
            <w:r w:rsidRPr="00661E10">
              <w:rPr>
                <w:color w:val="000000"/>
                <w:sz w:val="20"/>
                <w:szCs w:val="20"/>
              </w:rPr>
              <w:t>Penelec</w:t>
            </w:r>
          </w:p>
        </w:tc>
        <w:tc>
          <w:tcPr>
            <w:tcW w:w="1796" w:type="pct"/>
            <w:shd w:val="clear" w:color="auto" w:fill="D2EAF1"/>
            <w:noWrap/>
          </w:tcPr>
          <w:p w:rsidR="00661E10" w:rsidRPr="00661E10" w:rsidRDefault="00661E10" w:rsidP="00661E10">
            <w:pPr>
              <w:jc w:val="left"/>
              <w:rPr>
                <w:sz w:val="20"/>
                <w:szCs w:val="20"/>
              </w:rPr>
            </w:pPr>
            <w:r w:rsidRPr="00661E10">
              <w:rPr>
                <w:sz w:val="20"/>
                <w:szCs w:val="20"/>
              </w:rPr>
              <w:t>Appliance Turn-In</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0.66</w:t>
            </w:r>
            <w:r w:rsidRPr="00661E10">
              <w:rPr>
                <w:sz w:val="20"/>
                <w:szCs w:val="20"/>
                <w:vertAlign w:val="superscript"/>
              </w:rPr>
              <w:t>[c]</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0.00</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0.34</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59</w:t>
            </w:r>
          </w:p>
        </w:tc>
      </w:tr>
      <w:tr w:rsidR="00A874AC" w:rsidRPr="00661E10" w:rsidTr="008B5045">
        <w:trPr>
          <w:trHeight w:val="488"/>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sz w:val="20"/>
                <w:szCs w:val="20"/>
              </w:rPr>
            </w:pPr>
            <w:r w:rsidRPr="00661E10">
              <w:rPr>
                <w:sz w:val="20"/>
                <w:szCs w:val="20"/>
              </w:rPr>
              <w:t>Energy Efficient Products</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0.38</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0.02</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0.65</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131</w:t>
            </w:r>
          </w:p>
        </w:tc>
      </w:tr>
      <w:tr w:rsidR="00A874AC" w:rsidRPr="00661E10" w:rsidTr="008B5045">
        <w:trPr>
          <w:trHeight w:val="488"/>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Home Performance</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0.34</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0.04</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0.70</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N/A</w:t>
            </w:r>
          </w:p>
        </w:tc>
      </w:tr>
      <w:tr w:rsidR="00E7173E" w:rsidRPr="00661E10" w:rsidTr="008B5045">
        <w:trPr>
          <w:trHeight w:val="488"/>
        </w:trPr>
        <w:tc>
          <w:tcPr>
            <w:tcW w:w="800" w:type="pct"/>
            <w:vMerge w:val="restart"/>
            <w:shd w:val="clear" w:color="auto" w:fill="auto"/>
          </w:tcPr>
          <w:p w:rsidR="00661E10" w:rsidRPr="00661E10" w:rsidRDefault="00661E10" w:rsidP="00661E10">
            <w:pPr>
              <w:jc w:val="left"/>
              <w:rPr>
                <w:color w:val="000000"/>
                <w:sz w:val="20"/>
                <w:szCs w:val="20"/>
              </w:rPr>
            </w:pPr>
            <w:r w:rsidRPr="00661E10">
              <w:rPr>
                <w:sz w:val="20"/>
                <w:szCs w:val="20"/>
              </w:rPr>
              <w:t xml:space="preserve">FE: </w:t>
            </w:r>
            <w:r w:rsidRPr="00661E10">
              <w:rPr>
                <w:color w:val="000000"/>
                <w:sz w:val="20"/>
                <w:szCs w:val="20"/>
              </w:rPr>
              <w:t>Penn Power</w:t>
            </w:r>
          </w:p>
        </w:tc>
        <w:tc>
          <w:tcPr>
            <w:tcW w:w="1796" w:type="pct"/>
            <w:shd w:val="clear" w:color="auto" w:fill="auto"/>
            <w:noWrap/>
          </w:tcPr>
          <w:p w:rsidR="00661E10" w:rsidRPr="00661E10" w:rsidRDefault="00661E10" w:rsidP="00661E10">
            <w:pPr>
              <w:jc w:val="left"/>
              <w:rPr>
                <w:sz w:val="20"/>
                <w:szCs w:val="20"/>
              </w:rPr>
            </w:pPr>
            <w:r w:rsidRPr="00661E10">
              <w:rPr>
                <w:sz w:val="20"/>
                <w:szCs w:val="20"/>
              </w:rPr>
              <w:t>Appliance Turn-In</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0.59</w:t>
            </w:r>
            <w:r w:rsidRPr="00661E10">
              <w:rPr>
                <w:sz w:val="20"/>
                <w:szCs w:val="20"/>
                <w:vertAlign w:val="superscript"/>
              </w:rPr>
              <w:t>[c]</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0.00</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0.42</w:t>
            </w:r>
          </w:p>
        </w:tc>
        <w:tc>
          <w:tcPr>
            <w:tcW w:w="472" w:type="pct"/>
            <w:shd w:val="clear" w:color="auto" w:fill="auto"/>
            <w:vAlign w:val="center"/>
          </w:tcPr>
          <w:p w:rsidR="00661E10" w:rsidRPr="00661E10" w:rsidRDefault="00690FCF" w:rsidP="00661E10">
            <w:pPr>
              <w:jc w:val="center"/>
              <w:rPr>
                <w:b/>
                <w:bCs/>
                <w:color w:val="000000"/>
                <w:sz w:val="20"/>
                <w:szCs w:val="20"/>
              </w:rPr>
            </w:pPr>
            <w:r>
              <w:rPr>
                <w:sz w:val="20"/>
                <w:szCs w:val="20"/>
              </w:rPr>
              <w:t>52</w:t>
            </w:r>
          </w:p>
        </w:tc>
      </w:tr>
      <w:tr w:rsidR="00A874AC" w:rsidRPr="00661E10" w:rsidTr="008B5045">
        <w:trPr>
          <w:trHeight w:val="488"/>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Energy Efficient Products</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0.36</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0.02</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0.67</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101</w:t>
            </w:r>
          </w:p>
        </w:tc>
      </w:tr>
      <w:tr w:rsidR="00E7173E" w:rsidRPr="00661E10" w:rsidTr="008B5045">
        <w:trPr>
          <w:trHeight w:val="489"/>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sz w:val="20"/>
                <w:szCs w:val="20"/>
              </w:rPr>
            </w:pPr>
            <w:r w:rsidRPr="00661E10">
              <w:rPr>
                <w:sz w:val="20"/>
                <w:szCs w:val="20"/>
              </w:rPr>
              <w:t>Home Performance</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0.40</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0.10</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0.70</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88"/>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 xml:space="preserve">FE: </w:t>
            </w:r>
            <w:r w:rsidRPr="00661E10">
              <w:rPr>
                <w:color w:val="000000"/>
                <w:sz w:val="20"/>
                <w:szCs w:val="20"/>
              </w:rPr>
              <w:t>West Penn</w:t>
            </w:r>
          </w:p>
        </w:tc>
        <w:tc>
          <w:tcPr>
            <w:tcW w:w="1796" w:type="pct"/>
            <w:shd w:val="clear" w:color="auto" w:fill="D2EAF1"/>
            <w:noWrap/>
          </w:tcPr>
          <w:p w:rsidR="00661E10" w:rsidRPr="00661E10" w:rsidRDefault="00661E10" w:rsidP="00661E10">
            <w:pPr>
              <w:jc w:val="left"/>
              <w:rPr>
                <w:sz w:val="20"/>
                <w:szCs w:val="20"/>
              </w:rPr>
            </w:pPr>
            <w:r w:rsidRPr="00661E10">
              <w:rPr>
                <w:sz w:val="20"/>
                <w:szCs w:val="20"/>
              </w:rPr>
              <w:t>Appliance Turn-In</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0.69</w:t>
            </w:r>
            <w:r w:rsidRPr="00661E10">
              <w:rPr>
                <w:sz w:val="20"/>
                <w:szCs w:val="20"/>
                <w:vertAlign w:val="superscript"/>
              </w:rPr>
              <w:t>[c]</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0.00</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0.31</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66</w:t>
            </w:r>
          </w:p>
        </w:tc>
      </w:tr>
      <w:tr w:rsidR="00A874AC" w:rsidRPr="00661E10" w:rsidTr="008B5045">
        <w:trPr>
          <w:trHeight w:val="488"/>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sz w:val="20"/>
                <w:szCs w:val="20"/>
              </w:rPr>
            </w:pPr>
            <w:r w:rsidRPr="00661E10">
              <w:rPr>
                <w:sz w:val="20"/>
                <w:szCs w:val="20"/>
              </w:rPr>
              <w:t>Energy Efficient Products</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0.38</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0.01</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0.63</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131</w:t>
            </w:r>
          </w:p>
        </w:tc>
      </w:tr>
      <w:tr w:rsidR="00A874AC" w:rsidRPr="00661E10" w:rsidTr="008B5045">
        <w:trPr>
          <w:trHeight w:val="488"/>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Home Performance</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0.02</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0.01</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0.99</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N/A</w:t>
            </w:r>
          </w:p>
        </w:tc>
      </w:tr>
      <w:tr w:rsidR="00E7173E" w:rsidRPr="00661E10" w:rsidTr="008B5045">
        <w:trPr>
          <w:trHeight w:val="488"/>
        </w:trPr>
        <w:tc>
          <w:tcPr>
            <w:tcW w:w="800" w:type="pct"/>
            <w:vMerge w:val="restart"/>
            <w:shd w:val="clear" w:color="auto" w:fill="auto"/>
          </w:tcPr>
          <w:p w:rsidR="00661E10" w:rsidRPr="00661E10" w:rsidRDefault="00661E10" w:rsidP="00661E10">
            <w:pPr>
              <w:jc w:val="left"/>
              <w:rPr>
                <w:color w:val="000000"/>
                <w:sz w:val="20"/>
                <w:szCs w:val="20"/>
              </w:rPr>
            </w:pPr>
            <w:r w:rsidRPr="00661E10">
              <w:rPr>
                <w:color w:val="000000"/>
                <w:sz w:val="20"/>
                <w:szCs w:val="20"/>
              </w:rPr>
              <w:t>PECO</w:t>
            </w:r>
          </w:p>
        </w:tc>
        <w:tc>
          <w:tcPr>
            <w:tcW w:w="1796" w:type="pct"/>
            <w:shd w:val="clear" w:color="auto" w:fill="auto"/>
            <w:noWrap/>
          </w:tcPr>
          <w:p w:rsidR="00661E10" w:rsidRPr="00661E10" w:rsidRDefault="00661E10" w:rsidP="00661E10">
            <w:pPr>
              <w:jc w:val="left"/>
              <w:rPr>
                <w:sz w:val="20"/>
                <w:szCs w:val="20"/>
              </w:rPr>
            </w:pPr>
            <w:r w:rsidRPr="00661E10">
              <w:rPr>
                <w:sz w:val="20"/>
                <w:szCs w:val="20"/>
              </w:rPr>
              <w:t>Smart Home Rebates (SHR)</w:t>
            </w:r>
          </w:p>
        </w:tc>
        <w:tc>
          <w:tcPr>
            <w:tcW w:w="651" w:type="pct"/>
            <w:shd w:val="clear" w:color="auto" w:fill="auto"/>
            <w:noWrap/>
            <w:vAlign w:val="center"/>
          </w:tcPr>
          <w:p w:rsidR="00661E10" w:rsidRPr="00661E10" w:rsidRDefault="00661E10" w:rsidP="00661E10">
            <w:pPr>
              <w:jc w:val="center"/>
              <w:rPr>
                <w:sz w:val="20"/>
                <w:szCs w:val="20"/>
              </w:rPr>
            </w:pPr>
            <w:r w:rsidRPr="00661E10">
              <w:rPr>
                <w:sz w:val="20"/>
                <w:szCs w:val="20"/>
              </w:rPr>
              <w:t>0.49</w:t>
            </w:r>
          </w:p>
        </w:tc>
        <w:tc>
          <w:tcPr>
            <w:tcW w:w="692" w:type="pct"/>
            <w:shd w:val="clear" w:color="auto" w:fill="auto"/>
            <w:noWrap/>
            <w:vAlign w:val="center"/>
          </w:tcPr>
          <w:p w:rsidR="00661E10" w:rsidRPr="00661E10" w:rsidRDefault="00661E10" w:rsidP="00661E10">
            <w:pPr>
              <w:jc w:val="center"/>
              <w:rPr>
                <w:sz w:val="20"/>
                <w:szCs w:val="20"/>
              </w:rPr>
            </w:pPr>
            <w:r w:rsidRPr="00661E10">
              <w:rPr>
                <w:sz w:val="20"/>
                <w:szCs w:val="20"/>
              </w:rPr>
              <w:t>0.03</w:t>
            </w:r>
          </w:p>
        </w:tc>
        <w:tc>
          <w:tcPr>
            <w:tcW w:w="589" w:type="pct"/>
            <w:shd w:val="clear" w:color="auto" w:fill="auto"/>
            <w:noWrap/>
            <w:vAlign w:val="center"/>
          </w:tcPr>
          <w:p w:rsidR="00661E10" w:rsidRPr="00661E10" w:rsidRDefault="003B56A8" w:rsidP="00661E10">
            <w:pPr>
              <w:jc w:val="center"/>
              <w:rPr>
                <w:sz w:val="20"/>
                <w:szCs w:val="20"/>
              </w:rPr>
            </w:pPr>
            <w:r>
              <w:rPr>
                <w:sz w:val="20"/>
                <w:szCs w:val="20"/>
              </w:rPr>
              <w:t>0.54</w:t>
            </w:r>
          </w:p>
        </w:tc>
        <w:tc>
          <w:tcPr>
            <w:tcW w:w="472" w:type="pct"/>
            <w:shd w:val="clear" w:color="auto" w:fill="auto"/>
            <w:vAlign w:val="center"/>
          </w:tcPr>
          <w:p w:rsidR="00661E10" w:rsidRPr="00661E10" w:rsidRDefault="00661E10" w:rsidP="00661E10">
            <w:pPr>
              <w:jc w:val="center"/>
              <w:rPr>
                <w:color w:val="000000"/>
                <w:sz w:val="20"/>
                <w:szCs w:val="20"/>
              </w:rPr>
            </w:pPr>
            <w:r w:rsidRPr="00661E10">
              <w:rPr>
                <w:sz w:val="20"/>
                <w:szCs w:val="20"/>
              </w:rPr>
              <w:t>542</w:t>
            </w:r>
          </w:p>
        </w:tc>
      </w:tr>
      <w:tr w:rsidR="00A874AC" w:rsidRPr="00661E10" w:rsidTr="008B5045">
        <w:trPr>
          <w:trHeight w:val="488"/>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Smart House Call</w:t>
            </w:r>
          </w:p>
        </w:tc>
        <w:tc>
          <w:tcPr>
            <w:tcW w:w="651" w:type="pct"/>
            <w:shd w:val="clear" w:color="auto" w:fill="D2EAF1"/>
            <w:noWrap/>
            <w:vAlign w:val="center"/>
          </w:tcPr>
          <w:p w:rsidR="00661E10" w:rsidRPr="00661E10" w:rsidRDefault="00661E10" w:rsidP="00661E10">
            <w:pPr>
              <w:jc w:val="center"/>
              <w:rPr>
                <w:sz w:val="20"/>
                <w:szCs w:val="20"/>
              </w:rPr>
            </w:pPr>
            <w:r w:rsidRPr="00661E10">
              <w:rPr>
                <w:sz w:val="20"/>
                <w:szCs w:val="20"/>
              </w:rPr>
              <w:t>0.13</w:t>
            </w:r>
          </w:p>
        </w:tc>
        <w:tc>
          <w:tcPr>
            <w:tcW w:w="692" w:type="pct"/>
            <w:shd w:val="clear" w:color="auto" w:fill="D2EAF1"/>
            <w:noWrap/>
            <w:vAlign w:val="center"/>
          </w:tcPr>
          <w:p w:rsidR="00661E10" w:rsidRPr="00661E10" w:rsidRDefault="00661E10" w:rsidP="00661E10">
            <w:pPr>
              <w:jc w:val="center"/>
              <w:rPr>
                <w:sz w:val="20"/>
                <w:szCs w:val="20"/>
              </w:rPr>
            </w:pPr>
            <w:r w:rsidRPr="00661E10">
              <w:rPr>
                <w:sz w:val="20"/>
                <w:szCs w:val="20"/>
              </w:rPr>
              <w:t>0.07</w:t>
            </w:r>
          </w:p>
        </w:tc>
        <w:tc>
          <w:tcPr>
            <w:tcW w:w="589" w:type="pct"/>
            <w:shd w:val="clear" w:color="auto" w:fill="D2EAF1"/>
            <w:noWrap/>
            <w:vAlign w:val="center"/>
          </w:tcPr>
          <w:p w:rsidR="00661E10" w:rsidRPr="00661E10" w:rsidRDefault="00661E10" w:rsidP="00661E10">
            <w:pPr>
              <w:jc w:val="center"/>
              <w:rPr>
                <w:sz w:val="20"/>
                <w:szCs w:val="20"/>
              </w:rPr>
            </w:pPr>
            <w:r w:rsidRPr="00661E10">
              <w:rPr>
                <w:sz w:val="20"/>
                <w:szCs w:val="20"/>
              </w:rPr>
              <w:t>0.94</w:t>
            </w:r>
          </w:p>
        </w:tc>
        <w:tc>
          <w:tcPr>
            <w:tcW w:w="472" w:type="pct"/>
            <w:shd w:val="clear" w:color="auto" w:fill="D2EAF1"/>
            <w:vAlign w:val="center"/>
          </w:tcPr>
          <w:p w:rsidR="00661E10" w:rsidRPr="00661E10" w:rsidRDefault="00661E10" w:rsidP="00661E10">
            <w:pPr>
              <w:jc w:val="center"/>
              <w:rPr>
                <w:sz w:val="20"/>
                <w:szCs w:val="20"/>
              </w:rPr>
            </w:pPr>
            <w:r w:rsidRPr="00661E10">
              <w:rPr>
                <w:sz w:val="20"/>
                <w:szCs w:val="20"/>
              </w:rPr>
              <w:t>130</w:t>
            </w:r>
          </w:p>
        </w:tc>
      </w:tr>
      <w:tr w:rsidR="00E7173E" w:rsidRPr="00661E10" w:rsidTr="008B5045">
        <w:trPr>
          <w:trHeight w:val="488"/>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auto"/>
            <w:noWrap/>
            <w:vAlign w:val="center"/>
          </w:tcPr>
          <w:p w:rsidR="00661E10" w:rsidRPr="00661E10" w:rsidRDefault="00661E10" w:rsidP="00661E10">
            <w:pPr>
              <w:jc w:val="left"/>
              <w:rPr>
                <w:sz w:val="20"/>
                <w:szCs w:val="20"/>
              </w:rPr>
            </w:pPr>
            <w:r w:rsidRPr="00661E10">
              <w:rPr>
                <w:sz w:val="20"/>
                <w:szCs w:val="20"/>
              </w:rPr>
              <w:t>Smart Builder Rebates (SBR)</w:t>
            </w:r>
          </w:p>
        </w:tc>
        <w:tc>
          <w:tcPr>
            <w:tcW w:w="651" w:type="pct"/>
            <w:shd w:val="clear" w:color="auto" w:fill="auto"/>
            <w:noWrap/>
            <w:vAlign w:val="center"/>
          </w:tcPr>
          <w:p w:rsidR="00661E10" w:rsidRPr="00661E10" w:rsidRDefault="00661E10" w:rsidP="00661E10">
            <w:pPr>
              <w:jc w:val="center"/>
              <w:rPr>
                <w:sz w:val="20"/>
                <w:szCs w:val="20"/>
              </w:rPr>
            </w:pPr>
            <w:r w:rsidRPr="00661E10">
              <w:rPr>
                <w:sz w:val="20"/>
                <w:szCs w:val="20"/>
              </w:rPr>
              <w:t>0.50</w:t>
            </w:r>
          </w:p>
        </w:tc>
        <w:tc>
          <w:tcPr>
            <w:tcW w:w="692" w:type="pct"/>
            <w:shd w:val="clear" w:color="auto" w:fill="auto"/>
            <w:noWrap/>
            <w:vAlign w:val="center"/>
          </w:tcPr>
          <w:p w:rsidR="00661E10" w:rsidRPr="00661E10" w:rsidRDefault="00661E10" w:rsidP="00661E10">
            <w:pPr>
              <w:jc w:val="center"/>
              <w:rPr>
                <w:sz w:val="20"/>
                <w:szCs w:val="20"/>
              </w:rPr>
            </w:pPr>
            <w:r w:rsidRPr="00661E10">
              <w:rPr>
                <w:sz w:val="20"/>
                <w:szCs w:val="20"/>
              </w:rPr>
              <w:t>0.00</w:t>
            </w:r>
          </w:p>
        </w:tc>
        <w:tc>
          <w:tcPr>
            <w:tcW w:w="589" w:type="pct"/>
            <w:shd w:val="clear" w:color="auto" w:fill="auto"/>
            <w:noWrap/>
            <w:vAlign w:val="center"/>
          </w:tcPr>
          <w:p w:rsidR="00661E10" w:rsidRPr="00661E10" w:rsidRDefault="00661E10" w:rsidP="00661E10">
            <w:pPr>
              <w:jc w:val="center"/>
              <w:rPr>
                <w:sz w:val="20"/>
                <w:szCs w:val="20"/>
              </w:rPr>
            </w:pPr>
            <w:r w:rsidRPr="00661E10">
              <w:rPr>
                <w:sz w:val="20"/>
                <w:szCs w:val="20"/>
              </w:rPr>
              <w:t>0.50</w:t>
            </w:r>
          </w:p>
        </w:tc>
        <w:tc>
          <w:tcPr>
            <w:tcW w:w="472" w:type="pct"/>
            <w:shd w:val="clear" w:color="auto" w:fill="auto"/>
            <w:vAlign w:val="center"/>
          </w:tcPr>
          <w:p w:rsidR="00661E10" w:rsidRPr="00661E10" w:rsidDel="00944DDE" w:rsidRDefault="00661E10" w:rsidP="00661E10">
            <w:pPr>
              <w:jc w:val="center"/>
              <w:rPr>
                <w:sz w:val="20"/>
                <w:szCs w:val="20"/>
              </w:rPr>
            </w:pPr>
            <w:r w:rsidRPr="00661E10">
              <w:rPr>
                <w:sz w:val="20"/>
                <w:szCs w:val="20"/>
              </w:rPr>
              <w:t>7</w:t>
            </w:r>
          </w:p>
        </w:tc>
      </w:tr>
      <w:tr w:rsidR="00A874AC" w:rsidRPr="00661E10" w:rsidTr="008B5045">
        <w:trPr>
          <w:trHeight w:val="488"/>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Smart Appliance Recycling (SAR)</w:t>
            </w:r>
          </w:p>
        </w:tc>
        <w:tc>
          <w:tcPr>
            <w:tcW w:w="651" w:type="pct"/>
            <w:shd w:val="clear" w:color="auto" w:fill="D2EAF1"/>
            <w:noWrap/>
            <w:vAlign w:val="center"/>
          </w:tcPr>
          <w:p w:rsidR="00661E10" w:rsidRPr="00661E10" w:rsidRDefault="00661E10" w:rsidP="00661E10">
            <w:pPr>
              <w:jc w:val="center"/>
              <w:rPr>
                <w:sz w:val="20"/>
                <w:szCs w:val="20"/>
              </w:rPr>
            </w:pPr>
            <w:r w:rsidRPr="00661E10">
              <w:rPr>
                <w:sz w:val="20"/>
                <w:szCs w:val="20"/>
              </w:rPr>
              <w:t>0.50</w:t>
            </w:r>
          </w:p>
        </w:tc>
        <w:tc>
          <w:tcPr>
            <w:tcW w:w="692" w:type="pct"/>
            <w:shd w:val="clear" w:color="auto" w:fill="D2EAF1"/>
            <w:noWrap/>
            <w:vAlign w:val="center"/>
          </w:tcPr>
          <w:p w:rsidR="00661E10" w:rsidRPr="00661E10" w:rsidRDefault="003B56A8" w:rsidP="00661E10">
            <w:pPr>
              <w:jc w:val="center"/>
              <w:rPr>
                <w:sz w:val="20"/>
                <w:szCs w:val="20"/>
              </w:rPr>
            </w:pPr>
            <w:r>
              <w:rPr>
                <w:sz w:val="20"/>
                <w:szCs w:val="20"/>
              </w:rPr>
              <w:t>0.00</w:t>
            </w:r>
          </w:p>
        </w:tc>
        <w:tc>
          <w:tcPr>
            <w:tcW w:w="589" w:type="pct"/>
            <w:shd w:val="clear" w:color="auto" w:fill="D2EAF1"/>
            <w:noWrap/>
            <w:vAlign w:val="center"/>
          </w:tcPr>
          <w:p w:rsidR="00661E10" w:rsidRPr="00661E10" w:rsidRDefault="00661E10" w:rsidP="00661E10">
            <w:pPr>
              <w:jc w:val="center"/>
              <w:rPr>
                <w:sz w:val="20"/>
                <w:szCs w:val="20"/>
              </w:rPr>
            </w:pPr>
            <w:r w:rsidRPr="00661E10">
              <w:rPr>
                <w:sz w:val="20"/>
                <w:szCs w:val="20"/>
              </w:rPr>
              <w:t>0.50</w:t>
            </w:r>
          </w:p>
        </w:tc>
        <w:tc>
          <w:tcPr>
            <w:tcW w:w="472" w:type="pct"/>
            <w:shd w:val="clear" w:color="auto" w:fill="D2EAF1"/>
            <w:vAlign w:val="center"/>
          </w:tcPr>
          <w:p w:rsidR="00661E10" w:rsidRPr="00661E10" w:rsidRDefault="00661E10" w:rsidP="00661E10">
            <w:pPr>
              <w:jc w:val="center"/>
              <w:rPr>
                <w:color w:val="000000"/>
                <w:sz w:val="20"/>
                <w:szCs w:val="20"/>
              </w:rPr>
            </w:pPr>
            <w:r w:rsidRPr="00661E10">
              <w:rPr>
                <w:sz w:val="20"/>
                <w:szCs w:val="20"/>
              </w:rPr>
              <w:t>140</w:t>
            </w:r>
          </w:p>
        </w:tc>
      </w:tr>
      <w:tr w:rsidR="00E7173E" w:rsidRPr="00661E10" w:rsidTr="008B5045">
        <w:trPr>
          <w:trHeight w:val="488"/>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sz w:val="20"/>
                <w:szCs w:val="20"/>
              </w:rPr>
            </w:pPr>
            <w:r w:rsidRPr="00661E10">
              <w:rPr>
                <w:sz w:val="20"/>
                <w:szCs w:val="20"/>
              </w:rPr>
              <w:t>Smart Multi-Family (SMF) Solutions Program</w:t>
            </w:r>
          </w:p>
        </w:tc>
        <w:tc>
          <w:tcPr>
            <w:tcW w:w="651" w:type="pct"/>
            <w:shd w:val="clear" w:color="auto" w:fill="auto"/>
            <w:noWrap/>
            <w:vAlign w:val="center"/>
          </w:tcPr>
          <w:p w:rsidR="00661E10" w:rsidRPr="00661E10" w:rsidRDefault="00661E10" w:rsidP="00661E10">
            <w:pPr>
              <w:jc w:val="center"/>
              <w:rPr>
                <w:sz w:val="20"/>
                <w:szCs w:val="20"/>
              </w:rPr>
            </w:pPr>
            <w:r w:rsidRPr="00661E10">
              <w:rPr>
                <w:sz w:val="20"/>
                <w:szCs w:val="20"/>
              </w:rPr>
              <w:t>0.43</w:t>
            </w:r>
          </w:p>
        </w:tc>
        <w:tc>
          <w:tcPr>
            <w:tcW w:w="692" w:type="pct"/>
            <w:shd w:val="clear" w:color="auto" w:fill="auto"/>
            <w:noWrap/>
            <w:vAlign w:val="center"/>
          </w:tcPr>
          <w:p w:rsidR="00661E10" w:rsidRPr="00661E10" w:rsidRDefault="00661E10" w:rsidP="00661E10">
            <w:pPr>
              <w:jc w:val="center"/>
              <w:rPr>
                <w:sz w:val="20"/>
                <w:szCs w:val="20"/>
              </w:rPr>
            </w:pPr>
            <w:r w:rsidRPr="00661E10">
              <w:rPr>
                <w:sz w:val="20"/>
                <w:szCs w:val="20"/>
              </w:rPr>
              <w:t>0.01</w:t>
            </w:r>
          </w:p>
        </w:tc>
        <w:tc>
          <w:tcPr>
            <w:tcW w:w="589" w:type="pct"/>
            <w:shd w:val="clear" w:color="auto" w:fill="auto"/>
            <w:noWrap/>
            <w:vAlign w:val="center"/>
          </w:tcPr>
          <w:p w:rsidR="00661E10" w:rsidRPr="00661E10" w:rsidRDefault="00661E10" w:rsidP="00661E10">
            <w:pPr>
              <w:jc w:val="center"/>
              <w:rPr>
                <w:sz w:val="20"/>
                <w:szCs w:val="20"/>
              </w:rPr>
            </w:pPr>
            <w:r w:rsidRPr="00661E10">
              <w:rPr>
                <w:sz w:val="20"/>
                <w:szCs w:val="20"/>
              </w:rPr>
              <w:t>0.59</w:t>
            </w:r>
          </w:p>
        </w:tc>
        <w:tc>
          <w:tcPr>
            <w:tcW w:w="472" w:type="pct"/>
            <w:shd w:val="clear" w:color="auto" w:fill="auto"/>
            <w:vAlign w:val="center"/>
          </w:tcPr>
          <w:p w:rsidR="00661E10" w:rsidRPr="00661E10" w:rsidRDefault="00661E10" w:rsidP="00661E10">
            <w:pPr>
              <w:jc w:val="center"/>
              <w:rPr>
                <w:color w:val="000000"/>
                <w:sz w:val="20"/>
                <w:szCs w:val="20"/>
              </w:rPr>
            </w:pPr>
            <w:r w:rsidRPr="00661E10">
              <w:rPr>
                <w:sz w:val="20"/>
                <w:szCs w:val="20"/>
              </w:rPr>
              <w:t>48</w:t>
            </w:r>
          </w:p>
        </w:tc>
      </w:tr>
      <w:tr w:rsidR="00A874AC" w:rsidRPr="00661E10" w:rsidTr="008B5045">
        <w:trPr>
          <w:trHeight w:val="488"/>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Smart AC Saver – Residential</w:t>
            </w:r>
          </w:p>
        </w:tc>
        <w:tc>
          <w:tcPr>
            <w:tcW w:w="651" w:type="pct"/>
            <w:shd w:val="clear" w:color="auto" w:fill="D2EAF1"/>
            <w:noWrap/>
            <w:vAlign w:val="center"/>
          </w:tcPr>
          <w:p w:rsidR="00661E10" w:rsidRPr="00661E10" w:rsidRDefault="00661E10" w:rsidP="00661E10">
            <w:pPr>
              <w:jc w:val="center"/>
              <w:rPr>
                <w:sz w:val="20"/>
                <w:szCs w:val="20"/>
              </w:rPr>
            </w:pPr>
            <w:r w:rsidRPr="00661E10">
              <w:rPr>
                <w:sz w:val="20"/>
                <w:szCs w:val="20"/>
              </w:rPr>
              <w:t>N/A</w:t>
            </w:r>
          </w:p>
        </w:tc>
        <w:tc>
          <w:tcPr>
            <w:tcW w:w="692" w:type="pct"/>
            <w:shd w:val="clear" w:color="auto" w:fill="D2EAF1"/>
            <w:noWrap/>
            <w:vAlign w:val="center"/>
          </w:tcPr>
          <w:p w:rsidR="00661E10" w:rsidRPr="00661E10" w:rsidRDefault="00661E10" w:rsidP="00661E10">
            <w:pPr>
              <w:jc w:val="center"/>
              <w:rPr>
                <w:sz w:val="20"/>
                <w:szCs w:val="20"/>
              </w:rPr>
            </w:pPr>
            <w:r w:rsidRPr="00661E10">
              <w:rPr>
                <w:sz w:val="20"/>
                <w:szCs w:val="20"/>
              </w:rPr>
              <w:t>N/A</w:t>
            </w:r>
          </w:p>
        </w:tc>
        <w:tc>
          <w:tcPr>
            <w:tcW w:w="589" w:type="pct"/>
            <w:shd w:val="clear" w:color="auto" w:fill="D2EAF1"/>
            <w:noWrap/>
            <w:vAlign w:val="center"/>
          </w:tcPr>
          <w:p w:rsidR="00661E10" w:rsidRPr="00661E10" w:rsidRDefault="00661E10" w:rsidP="00661E10">
            <w:pPr>
              <w:jc w:val="center"/>
              <w:rPr>
                <w:sz w:val="20"/>
                <w:szCs w:val="20"/>
              </w:rPr>
            </w:pPr>
            <w:r w:rsidRPr="00661E10">
              <w:rPr>
                <w:sz w:val="20"/>
                <w:szCs w:val="20"/>
              </w:rPr>
              <w:t>N/A</w:t>
            </w:r>
          </w:p>
        </w:tc>
        <w:tc>
          <w:tcPr>
            <w:tcW w:w="472" w:type="pct"/>
            <w:shd w:val="clear" w:color="auto" w:fill="D2EAF1"/>
            <w:vAlign w:val="center"/>
          </w:tcPr>
          <w:p w:rsidR="00661E10" w:rsidRPr="00661E10" w:rsidRDefault="00661E10" w:rsidP="00661E10">
            <w:pPr>
              <w:jc w:val="center"/>
              <w:rPr>
                <w:color w:val="000000"/>
                <w:sz w:val="20"/>
                <w:szCs w:val="20"/>
              </w:rPr>
            </w:pPr>
            <w:r w:rsidRPr="00661E10">
              <w:rPr>
                <w:sz w:val="20"/>
                <w:szCs w:val="20"/>
              </w:rPr>
              <w:t>N/A</w:t>
            </w:r>
          </w:p>
        </w:tc>
      </w:tr>
      <w:tr w:rsidR="00A874AC" w:rsidRPr="00661E10" w:rsidTr="008B5045">
        <w:trPr>
          <w:trHeight w:val="488"/>
        </w:trPr>
        <w:tc>
          <w:tcPr>
            <w:tcW w:w="800" w:type="pct"/>
            <w:vMerge w:val="restart"/>
            <w:shd w:val="clear" w:color="auto" w:fill="D2EAF1"/>
          </w:tcPr>
          <w:p w:rsidR="00661E10" w:rsidRPr="00661E10" w:rsidRDefault="00661E10" w:rsidP="00661E10">
            <w:pPr>
              <w:jc w:val="left"/>
              <w:rPr>
                <w:color w:val="000000"/>
                <w:sz w:val="20"/>
                <w:szCs w:val="20"/>
              </w:rPr>
            </w:pPr>
            <w:r w:rsidRPr="00661E10">
              <w:rPr>
                <w:color w:val="000000"/>
                <w:sz w:val="20"/>
                <w:szCs w:val="20"/>
              </w:rPr>
              <w:t>PPL</w:t>
            </w:r>
          </w:p>
        </w:tc>
        <w:tc>
          <w:tcPr>
            <w:tcW w:w="1796" w:type="pct"/>
            <w:shd w:val="clear" w:color="auto" w:fill="auto"/>
            <w:noWrap/>
          </w:tcPr>
          <w:p w:rsidR="00661E10" w:rsidRPr="00661E10" w:rsidRDefault="00661E10" w:rsidP="00661E10">
            <w:pPr>
              <w:jc w:val="left"/>
              <w:rPr>
                <w:b/>
                <w:bCs/>
                <w:color w:val="000000"/>
                <w:sz w:val="20"/>
                <w:szCs w:val="20"/>
              </w:rPr>
            </w:pPr>
            <w:r w:rsidRPr="00661E10">
              <w:rPr>
                <w:sz w:val="20"/>
                <w:szCs w:val="20"/>
              </w:rPr>
              <w:t>Residential Retail Program</w:t>
            </w:r>
            <w:r w:rsidR="00F366C8" w:rsidRPr="00F366C8">
              <w:rPr>
                <w:sz w:val="20"/>
                <w:szCs w:val="20"/>
                <w:vertAlign w:val="superscript"/>
              </w:rPr>
              <w:t>[c]</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0.39</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0.00</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0.61</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84</w:t>
            </w:r>
          </w:p>
        </w:tc>
      </w:tr>
      <w:tr w:rsidR="00A874AC" w:rsidRPr="00661E10" w:rsidTr="008B5045">
        <w:trPr>
          <w:trHeight w:val="488"/>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b/>
                <w:bCs/>
                <w:color w:val="000000"/>
                <w:sz w:val="20"/>
                <w:szCs w:val="20"/>
              </w:rPr>
            </w:pPr>
            <w:r w:rsidRPr="00661E10">
              <w:rPr>
                <w:sz w:val="20"/>
                <w:szCs w:val="20"/>
              </w:rPr>
              <w:t>Appliance Recycling Program (ARP)</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0.40</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0.00</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0.60</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88"/>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sz w:val="20"/>
                <w:szCs w:val="20"/>
              </w:rPr>
            </w:pPr>
            <w:r w:rsidRPr="00661E10">
              <w:rPr>
                <w:sz w:val="20"/>
                <w:szCs w:val="20"/>
              </w:rPr>
              <w:t>Residential Home Comfort</w:t>
            </w:r>
          </w:p>
        </w:tc>
        <w:tc>
          <w:tcPr>
            <w:tcW w:w="651" w:type="pct"/>
            <w:shd w:val="clear" w:color="auto" w:fill="auto"/>
            <w:noWrap/>
            <w:vAlign w:val="center"/>
          </w:tcPr>
          <w:p w:rsidR="00661E10" w:rsidRPr="00661E10" w:rsidRDefault="00661E10" w:rsidP="00661E10">
            <w:pPr>
              <w:jc w:val="center"/>
              <w:rPr>
                <w:sz w:val="20"/>
                <w:szCs w:val="20"/>
              </w:rPr>
            </w:pPr>
            <w:r w:rsidRPr="00661E10">
              <w:rPr>
                <w:sz w:val="20"/>
                <w:szCs w:val="20"/>
              </w:rPr>
              <w:t>0.42</w:t>
            </w:r>
          </w:p>
        </w:tc>
        <w:tc>
          <w:tcPr>
            <w:tcW w:w="692" w:type="pct"/>
            <w:shd w:val="clear" w:color="auto" w:fill="auto"/>
            <w:noWrap/>
            <w:vAlign w:val="center"/>
          </w:tcPr>
          <w:p w:rsidR="00661E10" w:rsidRPr="00661E10" w:rsidRDefault="00661E10" w:rsidP="00661E10">
            <w:pPr>
              <w:jc w:val="center"/>
              <w:rPr>
                <w:sz w:val="20"/>
                <w:szCs w:val="20"/>
              </w:rPr>
            </w:pPr>
            <w:r w:rsidRPr="00661E10">
              <w:rPr>
                <w:sz w:val="20"/>
                <w:szCs w:val="20"/>
              </w:rPr>
              <w:t>0.04</w:t>
            </w:r>
          </w:p>
        </w:tc>
        <w:tc>
          <w:tcPr>
            <w:tcW w:w="589" w:type="pct"/>
            <w:shd w:val="clear" w:color="auto" w:fill="auto"/>
            <w:noWrap/>
            <w:vAlign w:val="center"/>
          </w:tcPr>
          <w:p w:rsidR="00661E10" w:rsidRPr="00661E10" w:rsidDel="007E2517" w:rsidRDefault="00661E10" w:rsidP="00661E10">
            <w:pPr>
              <w:jc w:val="center"/>
              <w:rPr>
                <w:sz w:val="20"/>
                <w:szCs w:val="20"/>
              </w:rPr>
            </w:pPr>
            <w:r w:rsidRPr="00661E10">
              <w:rPr>
                <w:sz w:val="20"/>
                <w:szCs w:val="20"/>
              </w:rPr>
              <w:t>0.61</w:t>
            </w:r>
          </w:p>
        </w:tc>
        <w:tc>
          <w:tcPr>
            <w:tcW w:w="472" w:type="pct"/>
            <w:shd w:val="clear" w:color="auto" w:fill="auto"/>
            <w:vAlign w:val="center"/>
          </w:tcPr>
          <w:p w:rsidR="00661E10" w:rsidRPr="00661E10" w:rsidRDefault="00661E10" w:rsidP="00661E10">
            <w:pPr>
              <w:jc w:val="center"/>
              <w:rPr>
                <w:sz w:val="20"/>
                <w:szCs w:val="20"/>
              </w:rPr>
            </w:pPr>
            <w:r w:rsidRPr="00661E10">
              <w:rPr>
                <w:sz w:val="20"/>
                <w:szCs w:val="20"/>
              </w:rPr>
              <w:t>224</w:t>
            </w:r>
          </w:p>
        </w:tc>
      </w:tr>
      <w:tr w:rsidR="00A874AC" w:rsidRPr="00661E10" w:rsidTr="008B5045">
        <w:trPr>
          <w:trHeight w:val="488"/>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b/>
                <w:bCs/>
                <w:color w:val="000000"/>
                <w:sz w:val="20"/>
                <w:szCs w:val="20"/>
              </w:rPr>
            </w:pPr>
            <w:r w:rsidRPr="00661E10">
              <w:rPr>
                <w:sz w:val="20"/>
                <w:szCs w:val="20"/>
              </w:rPr>
              <w:t>Student and Parent Energy-Efficiency Education Program</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N/A</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N/A</w:t>
            </w:r>
          </w:p>
        </w:tc>
        <w:tc>
          <w:tcPr>
            <w:tcW w:w="589" w:type="pct"/>
            <w:shd w:val="clear" w:color="auto" w:fill="D2EAF1"/>
            <w:noWrap/>
            <w:vAlign w:val="center"/>
          </w:tcPr>
          <w:p w:rsidR="00661E10" w:rsidRPr="00661E10" w:rsidRDefault="00F366C8" w:rsidP="00661E10">
            <w:pPr>
              <w:jc w:val="center"/>
              <w:rPr>
                <w:b/>
                <w:bCs/>
                <w:color w:val="000000"/>
                <w:sz w:val="20"/>
                <w:szCs w:val="20"/>
              </w:rPr>
            </w:pPr>
            <w:r>
              <w:rPr>
                <w:sz w:val="20"/>
                <w:szCs w:val="20"/>
              </w:rPr>
              <w:t>1.0</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89"/>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b/>
                <w:bCs/>
                <w:color w:val="000000"/>
                <w:sz w:val="20"/>
                <w:szCs w:val="20"/>
              </w:rPr>
            </w:pPr>
            <w:r w:rsidRPr="00661E10">
              <w:rPr>
                <w:sz w:val="20"/>
                <w:szCs w:val="20"/>
              </w:rPr>
              <w:t>Residential Energy-Efficiency Behavior &amp; Education Program</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N/A</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N/A</w:t>
            </w:r>
          </w:p>
        </w:tc>
        <w:tc>
          <w:tcPr>
            <w:tcW w:w="589" w:type="pct"/>
            <w:shd w:val="clear" w:color="auto" w:fill="auto"/>
            <w:noWrap/>
            <w:vAlign w:val="center"/>
          </w:tcPr>
          <w:p w:rsidR="00661E10" w:rsidRPr="00661E10" w:rsidRDefault="00F366C8" w:rsidP="00661E10">
            <w:pPr>
              <w:jc w:val="center"/>
              <w:rPr>
                <w:b/>
                <w:bCs/>
                <w:color w:val="000000"/>
                <w:sz w:val="20"/>
                <w:szCs w:val="20"/>
              </w:rPr>
            </w:pPr>
            <w:r>
              <w:rPr>
                <w:sz w:val="20"/>
                <w:szCs w:val="20"/>
              </w:rPr>
              <w:t>1.0</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N/A</w:t>
            </w:r>
          </w:p>
        </w:tc>
      </w:tr>
      <w:tr w:rsidR="00E7173E" w:rsidRPr="00661E10" w:rsidTr="008B5045">
        <w:trPr>
          <w:trHeight w:val="144"/>
        </w:trPr>
        <w:tc>
          <w:tcPr>
            <w:tcW w:w="5000" w:type="pct"/>
            <w:gridSpan w:val="6"/>
            <w:shd w:val="clear" w:color="auto" w:fill="9C9393"/>
            <w:vAlign w:val="center"/>
            <w:hideMark/>
          </w:tcPr>
          <w:p w:rsidR="00661E10" w:rsidRPr="00661E10" w:rsidRDefault="00661E10" w:rsidP="00661E10">
            <w:pPr>
              <w:jc w:val="left"/>
              <w:rPr>
                <w:b/>
                <w:bCs/>
                <w:i/>
                <w:color w:val="FFFFFF"/>
                <w:sz w:val="20"/>
                <w:szCs w:val="20"/>
              </w:rPr>
            </w:pPr>
            <w:r w:rsidRPr="00661E10">
              <w:rPr>
                <w:b/>
                <w:color w:val="FFFFFF"/>
                <w:sz w:val="20"/>
                <w:szCs w:val="20"/>
              </w:rPr>
              <w:t>Low-Income Sector</w:t>
            </w:r>
          </w:p>
        </w:tc>
      </w:tr>
      <w:tr w:rsidR="00A874AC" w:rsidRPr="00661E10" w:rsidTr="008B5045">
        <w:trPr>
          <w:trHeight w:val="490"/>
        </w:trPr>
        <w:tc>
          <w:tcPr>
            <w:tcW w:w="800" w:type="pct"/>
            <w:shd w:val="clear" w:color="auto" w:fill="auto"/>
          </w:tcPr>
          <w:p w:rsidR="00661E10" w:rsidRPr="00661E10" w:rsidRDefault="00661E10" w:rsidP="00661E10">
            <w:pPr>
              <w:jc w:val="left"/>
              <w:rPr>
                <w:i/>
                <w:color w:val="000000"/>
                <w:sz w:val="20"/>
                <w:szCs w:val="20"/>
              </w:rPr>
            </w:pPr>
            <w:r w:rsidRPr="00661E10">
              <w:rPr>
                <w:sz w:val="20"/>
                <w:szCs w:val="20"/>
              </w:rPr>
              <w:t>Duquesne</w:t>
            </w:r>
          </w:p>
        </w:tc>
        <w:tc>
          <w:tcPr>
            <w:tcW w:w="1796" w:type="pct"/>
            <w:shd w:val="clear" w:color="auto" w:fill="D2EAF1"/>
            <w:noWrap/>
          </w:tcPr>
          <w:p w:rsidR="00661E10" w:rsidRPr="00661E10" w:rsidRDefault="00661E10" w:rsidP="00661E10">
            <w:pPr>
              <w:jc w:val="left"/>
              <w:rPr>
                <w:b/>
                <w:bCs/>
                <w:color w:val="000000"/>
                <w:sz w:val="20"/>
                <w:szCs w:val="20"/>
              </w:rPr>
            </w:pPr>
            <w:r w:rsidRPr="00661E10">
              <w:rPr>
                <w:sz w:val="20"/>
                <w:szCs w:val="20"/>
              </w:rPr>
              <w:t>Low-Income Energy Efficiency Program (LIEEP)</w:t>
            </w:r>
          </w:p>
        </w:tc>
        <w:tc>
          <w:tcPr>
            <w:tcW w:w="651" w:type="pct"/>
            <w:shd w:val="clear" w:color="auto" w:fill="D2EAF1"/>
            <w:noWrap/>
          </w:tcPr>
          <w:p w:rsidR="00661E10" w:rsidRPr="00661E10" w:rsidRDefault="00661E10" w:rsidP="00661E10">
            <w:pPr>
              <w:jc w:val="center"/>
              <w:rPr>
                <w:b/>
                <w:bCs/>
                <w:color w:val="000000"/>
                <w:sz w:val="20"/>
                <w:szCs w:val="20"/>
              </w:rPr>
            </w:pPr>
            <w:r w:rsidRPr="00661E10">
              <w:rPr>
                <w:sz w:val="20"/>
                <w:szCs w:val="20"/>
              </w:rPr>
              <w:t>0.26</w:t>
            </w:r>
          </w:p>
        </w:tc>
        <w:tc>
          <w:tcPr>
            <w:tcW w:w="692" w:type="pct"/>
            <w:shd w:val="clear" w:color="auto" w:fill="D2EAF1"/>
            <w:noWrap/>
          </w:tcPr>
          <w:p w:rsidR="00661E10" w:rsidRPr="00661E10" w:rsidRDefault="00661E10" w:rsidP="00661E10">
            <w:pPr>
              <w:jc w:val="center"/>
              <w:rPr>
                <w:b/>
                <w:bCs/>
                <w:color w:val="000000"/>
                <w:sz w:val="20"/>
                <w:szCs w:val="20"/>
              </w:rPr>
            </w:pPr>
            <w:r w:rsidRPr="00661E10">
              <w:rPr>
                <w:sz w:val="20"/>
                <w:szCs w:val="20"/>
              </w:rPr>
              <w:t>0.10</w:t>
            </w:r>
            <w:r w:rsidRPr="00661E10">
              <w:rPr>
                <w:sz w:val="20"/>
                <w:szCs w:val="20"/>
                <w:vertAlign w:val="superscript"/>
              </w:rPr>
              <w:t>[c]</w:t>
            </w:r>
          </w:p>
        </w:tc>
        <w:tc>
          <w:tcPr>
            <w:tcW w:w="589" w:type="pct"/>
            <w:shd w:val="clear" w:color="auto" w:fill="D2EAF1"/>
            <w:noWrap/>
          </w:tcPr>
          <w:p w:rsidR="00661E10" w:rsidRPr="00661E10" w:rsidRDefault="00661E10" w:rsidP="00661E10">
            <w:pPr>
              <w:jc w:val="center"/>
              <w:rPr>
                <w:b/>
                <w:bCs/>
                <w:color w:val="000000"/>
                <w:sz w:val="20"/>
                <w:szCs w:val="20"/>
              </w:rPr>
            </w:pPr>
            <w:r w:rsidRPr="00661E10">
              <w:rPr>
                <w:sz w:val="20"/>
                <w:szCs w:val="20"/>
              </w:rPr>
              <w:t>0.83</w:t>
            </w:r>
            <w:r w:rsidRPr="00661E10">
              <w:rPr>
                <w:sz w:val="20"/>
                <w:szCs w:val="20"/>
                <w:vertAlign w:val="superscript"/>
              </w:rPr>
              <w:t>[c]</w:t>
            </w:r>
          </w:p>
        </w:tc>
        <w:tc>
          <w:tcPr>
            <w:tcW w:w="472" w:type="pct"/>
            <w:shd w:val="clear" w:color="auto" w:fill="D2EAF1"/>
          </w:tcPr>
          <w:p w:rsidR="00661E10" w:rsidRPr="00661E10" w:rsidRDefault="00F366C8" w:rsidP="00F366C8">
            <w:pPr>
              <w:jc w:val="center"/>
              <w:rPr>
                <w:b/>
                <w:bCs/>
                <w:color w:val="000000"/>
                <w:sz w:val="20"/>
                <w:szCs w:val="20"/>
                <w:vertAlign w:val="superscript"/>
              </w:rPr>
            </w:pPr>
            <w:r>
              <w:rPr>
                <w:sz w:val="20"/>
                <w:szCs w:val="20"/>
              </w:rPr>
              <w:t>162</w:t>
            </w:r>
            <w:r w:rsidR="00661E10" w:rsidRPr="00661E10">
              <w:rPr>
                <w:sz w:val="20"/>
                <w:szCs w:val="20"/>
                <w:vertAlign w:val="superscript"/>
              </w:rPr>
              <w:t>[c]</w:t>
            </w:r>
          </w:p>
        </w:tc>
      </w:tr>
      <w:tr w:rsidR="00A874AC" w:rsidRPr="00661E10" w:rsidTr="008B5045">
        <w:trPr>
          <w:trHeight w:val="490"/>
        </w:trPr>
        <w:tc>
          <w:tcPr>
            <w:tcW w:w="800" w:type="pct"/>
            <w:shd w:val="clear" w:color="auto" w:fill="D2EAF1"/>
          </w:tcPr>
          <w:p w:rsidR="00661E10" w:rsidRPr="00661E10" w:rsidRDefault="00661E10" w:rsidP="00661E10">
            <w:pPr>
              <w:jc w:val="left"/>
              <w:rPr>
                <w:color w:val="000000"/>
                <w:sz w:val="20"/>
                <w:szCs w:val="20"/>
              </w:rPr>
            </w:pPr>
            <w:r w:rsidRPr="00661E10">
              <w:rPr>
                <w:sz w:val="20"/>
                <w:szCs w:val="20"/>
              </w:rPr>
              <w:t xml:space="preserve">FE: </w:t>
            </w:r>
            <w:r w:rsidRPr="00661E10">
              <w:rPr>
                <w:color w:val="000000"/>
                <w:sz w:val="20"/>
                <w:szCs w:val="20"/>
              </w:rPr>
              <w:t>Med-Ed</w:t>
            </w:r>
          </w:p>
        </w:tc>
        <w:tc>
          <w:tcPr>
            <w:tcW w:w="1796" w:type="pct"/>
            <w:shd w:val="clear" w:color="auto" w:fill="auto"/>
            <w:noWrap/>
          </w:tcPr>
          <w:p w:rsidR="00661E10" w:rsidRPr="00661E10" w:rsidRDefault="00661E10" w:rsidP="00661E10">
            <w:pPr>
              <w:jc w:val="left"/>
              <w:rPr>
                <w:sz w:val="20"/>
                <w:szCs w:val="20"/>
              </w:rPr>
            </w:pPr>
            <w:r w:rsidRPr="00661E10">
              <w:rPr>
                <w:sz w:val="20"/>
                <w:szCs w:val="20"/>
              </w:rPr>
              <w:t>Low-Income</w:t>
            </w:r>
          </w:p>
        </w:tc>
        <w:tc>
          <w:tcPr>
            <w:tcW w:w="651" w:type="pct"/>
            <w:shd w:val="clear" w:color="auto" w:fill="auto"/>
            <w:noWrap/>
            <w:vAlign w:val="center"/>
          </w:tcPr>
          <w:p w:rsidR="00661E10" w:rsidRPr="00661E10" w:rsidRDefault="00661E10" w:rsidP="00661E10">
            <w:pPr>
              <w:jc w:val="center"/>
              <w:rPr>
                <w:bCs/>
                <w:color w:val="000000"/>
                <w:sz w:val="20"/>
                <w:szCs w:val="20"/>
              </w:rPr>
            </w:pPr>
            <w:r w:rsidRPr="00661E10">
              <w:rPr>
                <w:sz w:val="20"/>
                <w:szCs w:val="20"/>
              </w:rPr>
              <w:t>0.33</w:t>
            </w:r>
          </w:p>
        </w:tc>
        <w:tc>
          <w:tcPr>
            <w:tcW w:w="692" w:type="pct"/>
            <w:shd w:val="clear" w:color="auto" w:fill="auto"/>
            <w:noWrap/>
            <w:vAlign w:val="center"/>
          </w:tcPr>
          <w:p w:rsidR="00661E10" w:rsidRPr="00661E10" w:rsidRDefault="00661E10" w:rsidP="00661E10">
            <w:pPr>
              <w:jc w:val="center"/>
              <w:rPr>
                <w:bCs/>
                <w:color w:val="000000"/>
                <w:sz w:val="20"/>
                <w:szCs w:val="20"/>
              </w:rPr>
            </w:pPr>
            <w:r w:rsidRPr="00661E10">
              <w:rPr>
                <w:sz w:val="20"/>
                <w:szCs w:val="20"/>
              </w:rPr>
              <w:t>0.16</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0.83</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43</w:t>
            </w:r>
          </w:p>
        </w:tc>
      </w:tr>
      <w:tr w:rsidR="00A874AC" w:rsidRPr="00661E10" w:rsidTr="008B5045">
        <w:trPr>
          <w:trHeight w:val="490"/>
        </w:trPr>
        <w:tc>
          <w:tcPr>
            <w:tcW w:w="800" w:type="pct"/>
            <w:shd w:val="clear" w:color="auto" w:fill="auto"/>
          </w:tcPr>
          <w:p w:rsidR="00661E10" w:rsidRPr="00661E10" w:rsidRDefault="00661E10" w:rsidP="00661E10">
            <w:pPr>
              <w:jc w:val="left"/>
              <w:rPr>
                <w:color w:val="000000"/>
                <w:sz w:val="20"/>
                <w:szCs w:val="20"/>
              </w:rPr>
            </w:pPr>
            <w:r w:rsidRPr="00661E10">
              <w:rPr>
                <w:sz w:val="20"/>
                <w:szCs w:val="20"/>
              </w:rPr>
              <w:t xml:space="preserve">FE: </w:t>
            </w:r>
            <w:r w:rsidRPr="00661E10">
              <w:rPr>
                <w:color w:val="000000"/>
                <w:sz w:val="20"/>
                <w:szCs w:val="20"/>
              </w:rPr>
              <w:t>Penelec</w:t>
            </w:r>
          </w:p>
        </w:tc>
        <w:tc>
          <w:tcPr>
            <w:tcW w:w="1796" w:type="pct"/>
            <w:shd w:val="clear" w:color="auto" w:fill="D2EAF1"/>
            <w:noWrap/>
          </w:tcPr>
          <w:p w:rsidR="00661E10" w:rsidRPr="00661E10" w:rsidRDefault="00661E10" w:rsidP="00661E10">
            <w:pPr>
              <w:jc w:val="left"/>
              <w:rPr>
                <w:sz w:val="20"/>
                <w:szCs w:val="20"/>
              </w:rPr>
            </w:pPr>
            <w:r w:rsidRPr="00661E10">
              <w:rPr>
                <w:sz w:val="20"/>
                <w:szCs w:val="20"/>
              </w:rPr>
              <w:t>Low-Income</w:t>
            </w:r>
          </w:p>
        </w:tc>
        <w:tc>
          <w:tcPr>
            <w:tcW w:w="651" w:type="pct"/>
            <w:shd w:val="clear" w:color="auto" w:fill="D2EAF1"/>
            <w:noWrap/>
            <w:vAlign w:val="center"/>
          </w:tcPr>
          <w:p w:rsidR="00661E10" w:rsidRPr="00661E10" w:rsidRDefault="00661E10" w:rsidP="00661E10">
            <w:pPr>
              <w:jc w:val="center"/>
              <w:rPr>
                <w:bCs/>
                <w:color w:val="000000"/>
                <w:sz w:val="20"/>
                <w:szCs w:val="20"/>
              </w:rPr>
            </w:pPr>
            <w:r w:rsidRPr="00661E10">
              <w:rPr>
                <w:bCs/>
                <w:color w:val="000000"/>
                <w:sz w:val="20"/>
                <w:szCs w:val="20"/>
              </w:rPr>
              <w:t>0.26</w:t>
            </w:r>
          </w:p>
        </w:tc>
        <w:tc>
          <w:tcPr>
            <w:tcW w:w="692" w:type="pct"/>
            <w:shd w:val="clear" w:color="auto" w:fill="D2EAF1"/>
            <w:noWrap/>
            <w:vAlign w:val="center"/>
          </w:tcPr>
          <w:p w:rsidR="00661E10" w:rsidRPr="00661E10" w:rsidRDefault="00661E10" w:rsidP="00661E10">
            <w:pPr>
              <w:jc w:val="center"/>
              <w:rPr>
                <w:bCs/>
                <w:color w:val="000000"/>
                <w:sz w:val="20"/>
                <w:szCs w:val="20"/>
              </w:rPr>
            </w:pPr>
            <w:r w:rsidRPr="00661E10">
              <w:rPr>
                <w:bCs/>
                <w:color w:val="000000"/>
                <w:sz w:val="20"/>
                <w:szCs w:val="20"/>
              </w:rPr>
              <w:t>0.09</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bCs/>
                <w:color w:val="000000"/>
                <w:sz w:val="20"/>
                <w:szCs w:val="20"/>
              </w:rPr>
              <w:t>0.82</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bCs/>
                <w:color w:val="000000"/>
                <w:sz w:val="20"/>
                <w:szCs w:val="20"/>
              </w:rPr>
              <w:t>44</w:t>
            </w:r>
          </w:p>
        </w:tc>
      </w:tr>
      <w:tr w:rsidR="00A874AC" w:rsidRPr="00661E10" w:rsidTr="008B5045">
        <w:trPr>
          <w:trHeight w:val="490"/>
        </w:trPr>
        <w:tc>
          <w:tcPr>
            <w:tcW w:w="800" w:type="pct"/>
            <w:shd w:val="clear" w:color="auto" w:fill="D2EAF1"/>
          </w:tcPr>
          <w:p w:rsidR="00661E10" w:rsidRPr="00661E10" w:rsidRDefault="00661E10" w:rsidP="008D7254">
            <w:pPr>
              <w:jc w:val="left"/>
              <w:rPr>
                <w:color w:val="000000"/>
                <w:sz w:val="20"/>
                <w:szCs w:val="20"/>
              </w:rPr>
            </w:pPr>
            <w:r w:rsidRPr="00661E10">
              <w:rPr>
                <w:sz w:val="20"/>
                <w:szCs w:val="20"/>
              </w:rPr>
              <w:t xml:space="preserve">FE: </w:t>
            </w:r>
            <w:r w:rsidRPr="00661E10">
              <w:rPr>
                <w:color w:val="000000"/>
                <w:sz w:val="20"/>
                <w:szCs w:val="20"/>
              </w:rPr>
              <w:t>Penn Power</w:t>
            </w:r>
          </w:p>
        </w:tc>
        <w:tc>
          <w:tcPr>
            <w:tcW w:w="1796" w:type="pct"/>
            <w:shd w:val="clear" w:color="auto" w:fill="auto"/>
            <w:noWrap/>
          </w:tcPr>
          <w:p w:rsidR="00661E10" w:rsidRPr="00661E10" w:rsidRDefault="00661E10" w:rsidP="00661E10">
            <w:pPr>
              <w:jc w:val="left"/>
              <w:rPr>
                <w:sz w:val="20"/>
                <w:szCs w:val="20"/>
              </w:rPr>
            </w:pPr>
            <w:r w:rsidRPr="00661E10">
              <w:rPr>
                <w:sz w:val="20"/>
                <w:szCs w:val="20"/>
              </w:rPr>
              <w:t>Low-Income</w:t>
            </w:r>
          </w:p>
        </w:tc>
        <w:tc>
          <w:tcPr>
            <w:tcW w:w="651" w:type="pct"/>
            <w:shd w:val="clear" w:color="auto" w:fill="auto"/>
            <w:noWrap/>
            <w:vAlign w:val="center"/>
          </w:tcPr>
          <w:p w:rsidR="00661E10" w:rsidRPr="00661E10" w:rsidRDefault="00661E10" w:rsidP="00661E10">
            <w:pPr>
              <w:jc w:val="center"/>
              <w:rPr>
                <w:bCs/>
                <w:color w:val="000000"/>
                <w:sz w:val="20"/>
                <w:szCs w:val="20"/>
              </w:rPr>
            </w:pPr>
            <w:r w:rsidRPr="00661E10">
              <w:rPr>
                <w:sz w:val="20"/>
                <w:szCs w:val="20"/>
              </w:rPr>
              <w:t>0.28</w:t>
            </w:r>
          </w:p>
        </w:tc>
        <w:tc>
          <w:tcPr>
            <w:tcW w:w="692" w:type="pct"/>
            <w:shd w:val="clear" w:color="auto" w:fill="auto"/>
            <w:noWrap/>
            <w:vAlign w:val="center"/>
          </w:tcPr>
          <w:p w:rsidR="00661E10" w:rsidRPr="00661E10" w:rsidRDefault="00661E10" w:rsidP="00661E10">
            <w:pPr>
              <w:jc w:val="center"/>
              <w:rPr>
                <w:bCs/>
                <w:color w:val="000000"/>
                <w:sz w:val="20"/>
                <w:szCs w:val="20"/>
              </w:rPr>
            </w:pPr>
            <w:r w:rsidRPr="00661E10">
              <w:rPr>
                <w:sz w:val="20"/>
                <w:szCs w:val="20"/>
              </w:rPr>
              <w:t>0.17</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0.89</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46</w:t>
            </w:r>
          </w:p>
        </w:tc>
      </w:tr>
      <w:tr w:rsidR="00A874AC" w:rsidRPr="00661E10" w:rsidTr="008B5045">
        <w:trPr>
          <w:trHeight w:val="490"/>
        </w:trPr>
        <w:tc>
          <w:tcPr>
            <w:tcW w:w="800" w:type="pct"/>
            <w:shd w:val="clear" w:color="auto" w:fill="auto"/>
          </w:tcPr>
          <w:p w:rsidR="00661E10" w:rsidRPr="00661E10" w:rsidRDefault="00661E10" w:rsidP="00661E10">
            <w:pPr>
              <w:jc w:val="left"/>
              <w:rPr>
                <w:color w:val="000000"/>
                <w:sz w:val="20"/>
                <w:szCs w:val="20"/>
              </w:rPr>
            </w:pPr>
            <w:r w:rsidRPr="00661E10">
              <w:rPr>
                <w:sz w:val="20"/>
                <w:szCs w:val="20"/>
              </w:rPr>
              <w:lastRenderedPageBreak/>
              <w:t xml:space="preserve">FE: </w:t>
            </w:r>
            <w:r w:rsidRPr="00661E10">
              <w:rPr>
                <w:color w:val="000000"/>
                <w:sz w:val="20"/>
                <w:szCs w:val="20"/>
              </w:rPr>
              <w:t>West Penn</w:t>
            </w:r>
          </w:p>
        </w:tc>
        <w:tc>
          <w:tcPr>
            <w:tcW w:w="1796" w:type="pct"/>
            <w:shd w:val="clear" w:color="auto" w:fill="D2EAF1"/>
            <w:noWrap/>
          </w:tcPr>
          <w:p w:rsidR="00661E10" w:rsidRPr="00661E10" w:rsidRDefault="00661E10" w:rsidP="00661E10">
            <w:pPr>
              <w:jc w:val="left"/>
              <w:rPr>
                <w:sz w:val="20"/>
                <w:szCs w:val="20"/>
              </w:rPr>
            </w:pPr>
            <w:r w:rsidRPr="00661E10">
              <w:rPr>
                <w:sz w:val="20"/>
                <w:szCs w:val="20"/>
              </w:rPr>
              <w:t>Low-Income</w:t>
            </w:r>
          </w:p>
        </w:tc>
        <w:tc>
          <w:tcPr>
            <w:tcW w:w="651" w:type="pct"/>
            <w:shd w:val="clear" w:color="auto" w:fill="D2EAF1"/>
            <w:noWrap/>
            <w:vAlign w:val="center"/>
          </w:tcPr>
          <w:p w:rsidR="00661E10" w:rsidRPr="00661E10" w:rsidRDefault="00661E10" w:rsidP="00661E10">
            <w:pPr>
              <w:jc w:val="center"/>
              <w:rPr>
                <w:bCs/>
                <w:color w:val="000000"/>
                <w:sz w:val="20"/>
                <w:szCs w:val="20"/>
              </w:rPr>
            </w:pPr>
            <w:r w:rsidRPr="00661E10">
              <w:rPr>
                <w:sz w:val="20"/>
                <w:szCs w:val="20"/>
              </w:rPr>
              <w:t>0.27</w:t>
            </w:r>
          </w:p>
        </w:tc>
        <w:tc>
          <w:tcPr>
            <w:tcW w:w="692" w:type="pct"/>
            <w:shd w:val="clear" w:color="auto" w:fill="D2EAF1"/>
            <w:noWrap/>
            <w:vAlign w:val="center"/>
          </w:tcPr>
          <w:p w:rsidR="00661E10" w:rsidRPr="00661E10" w:rsidRDefault="00661E10" w:rsidP="00661E10">
            <w:pPr>
              <w:jc w:val="center"/>
              <w:rPr>
                <w:bCs/>
                <w:color w:val="000000"/>
                <w:sz w:val="20"/>
                <w:szCs w:val="20"/>
              </w:rPr>
            </w:pPr>
            <w:r w:rsidRPr="00661E10">
              <w:rPr>
                <w:sz w:val="20"/>
                <w:szCs w:val="20"/>
              </w:rPr>
              <w:t>0.17</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0.90</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46</w:t>
            </w:r>
          </w:p>
        </w:tc>
      </w:tr>
      <w:tr w:rsidR="00A874AC" w:rsidRPr="00661E10" w:rsidTr="008B5045">
        <w:trPr>
          <w:trHeight w:val="490"/>
        </w:trPr>
        <w:tc>
          <w:tcPr>
            <w:tcW w:w="800" w:type="pct"/>
            <w:shd w:val="clear" w:color="auto" w:fill="D2EAF1"/>
          </w:tcPr>
          <w:p w:rsidR="00661E10" w:rsidRPr="00661E10" w:rsidRDefault="00661E10" w:rsidP="00661E10">
            <w:pPr>
              <w:jc w:val="left"/>
              <w:rPr>
                <w:i/>
                <w:color w:val="000000"/>
                <w:sz w:val="20"/>
                <w:szCs w:val="20"/>
              </w:rPr>
            </w:pPr>
            <w:r w:rsidRPr="00661E10">
              <w:rPr>
                <w:color w:val="000000"/>
                <w:sz w:val="20"/>
                <w:szCs w:val="20"/>
              </w:rPr>
              <w:t>PECO</w:t>
            </w:r>
          </w:p>
        </w:tc>
        <w:tc>
          <w:tcPr>
            <w:tcW w:w="1796" w:type="pct"/>
            <w:shd w:val="clear" w:color="auto" w:fill="auto"/>
            <w:noWrap/>
            <w:vAlign w:val="center"/>
          </w:tcPr>
          <w:p w:rsidR="00661E10" w:rsidRPr="00661E10" w:rsidRDefault="00661E10" w:rsidP="00661E10">
            <w:pPr>
              <w:jc w:val="left"/>
              <w:rPr>
                <w:b/>
                <w:bCs/>
                <w:color w:val="000000"/>
                <w:sz w:val="20"/>
                <w:szCs w:val="20"/>
              </w:rPr>
            </w:pPr>
            <w:r w:rsidRPr="00661E10">
              <w:rPr>
                <w:color w:val="000000"/>
                <w:sz w:val="20"/>
                <w:szCs w:val="20"/>
              </w:rPr>
              <w:t>Low-Income Energy Efficiency Program (LIEEP)</w:t>
            </w:r>
          </w:p>
        </w:tc>
        <w:tc>
          <w:tcPr>
            <w:tcW w:w="651" w:type="pct"/>
            <w:shd w:val="clear" w:color="auto" w:fill="auto"/>
            <w:noWrap/>
            <w:vAlign w:val="center"/>
          </w:tcPr>
          <w:p w:rsidR="00661E10" w:rsidRPr="00661E10" w:rsidRDefault="00661E10" w:rsidP="00661E10">
            <w:pPr>
              <w:jc w:val="center"/>
              <w:rPr>
                <w:bCs/>
                <w:color w:val="000000"/>
                <w:sz w:val="20"/>
                <w:szCs w:val="20"/>
              </w:rPr>
            </w:pPr>
            <w:r w:rsidRPr="00661E10">
              <w:rPr>
                <w:sz w:val="20"/>
                <w:szCs w:val="20"/>
              </w:rPr>
              <w:t>0.19</w:t>
            </w:r>
          </w:p>
        </w:tc>
        <w:tc>
          <w:tcPr>
            <w:tcW w:w="692" w:type="pct"/>
            <w:shd w:val="clear" w:color="auto" w:fill="auto"/>
            <w:noWrap/>
            <w:vAlign w:val="center"/>
          </w:tcPr>
          <w:p w:rsidR="00661E10" w:rsidRPr="00661E10" w:rsidRDefault="00661E10" w:rsidP="00661E10">
            <w:pPr>
              <w:jc w:val="center"/>
              <w:rPr>
                <w:bCs/>
                <w:color w:val="000000"/>
                <w:sz w:val="20"/>
                <w:szCs w:val="20"/>
              </w:rPr>
            </w:pPr>
            <w:r w:rsidRPr="00661E10">
              <w:rPr>
                <w:sz w:val="20"/>
                <w:szCs w:val="20"/>
              </w:rPr>
              <w:t>0.00</w:t>
            </w:r>
          </w:p>
        </w:tc>
        <w:tc>
          <w:tcPr>
            <w:tcW w:w="589" w:type="pct"/>
            <w:shd w:val="clear" w:color="auto" w:fill="auto"/>
            <w:noWrap/>
            <w:vAlign w:val="center"/>
          </w:tcPr>
          <w:p w:rsidR="00661E10" w:rsidRPr="00661E10" w:rsidRDefault="00661E10" w:rsidP="00661E10">
            <w:pPr>
              <w:jc w:val="center"/>
              <w:rPr>
                <w:bCs/>
                <w:color w:val="000000"/>
                <w:sz w:val="20"/>
                <w:szCs w:val="20"/>
              </w:rPr>
            </w:pPr>
            <w:r w:rsidRPr="00661E10">
              <w:rPr>
                <w:sz w:val="20"/>
                <w:szCs w:val="20"/>
              </w:rPr>
              <w:t>0.81</w:t>
            </w:r>
          </w:p>
        </w:tc>
        <w:tc>
          <w:tcPr>
            <w:tcW w:w="472" w:type="pct"/>
            <w:shd w:val="clear" w:color="auto" w:fill="auto"/>
            <w:vAlign w:val="center"/>
          </w:tcPr>
          <w:p w:rsidR="00661E10" w:rsidRPr="00661E10" w:rsidRDefault="00661E10" w:rsidP="00661E10">
            <w:pPr>
              <w:jc w:val="center"/>
              <w:rPr>
                <w:bCs/>
                <w:color w:val="000000"/>
                <w:sz w:val="20"/>
                <w:szCs w:val="20"/>
              </w:rPr>
            </w:pPr>
            <w:r w:rsidRPr="00661E10">
              <w:rPr>
                <w:sz w:val="20"/>
                <w:szCs w:val="20"/>
              </w:rPr>
              <w:t>90</w:t>
            </w:r>
          </w:p>
        </w:tc>
      </w:tr>
      <w:tr w:rsidR="00A874AC" w:rsidRPr="00661E10" w:rsidTr="008B5045">
        <w:trPr>
          <w:trHeight w:val="490"/>
        </w:trPr>
        <w:tc>
          <w:tcPr>
            <w:tcW w:w="800" w:type="pct"/>
            <w:vMerge w:val="restart"/>
            <w:shd w:val="clear" w:color="auto" w:fill="auto"/>
          </w:tcPr>
          <w:p w:rsidR="00661E10" w:rsidRPr="00661E10" w:rsidRDefault="00661E10" w:rsidP="00661E10">
            <w:pPr>
              <w:jc w:val="left"/>
              <w:rPr>
                <w:i/>
                <w:color w:val="000000"/>
                <w:sz w:val="20"/>
                <w:szCs w:val="20"/>
              </w:rPr>
            </w:pPr>
            <w:r w:rsidRPr="00661E10">
              <w:rPr>
                <w:color w:val="000000"/>
                <w:sz w:val="20"/>
                <w:szCs w:val="20"/>
              </w:rPr>
              <w:t>PPL</w:t>
            </w:r>
          </w:p>
        </w:tc>
        <w:tc>
          <w:tcPr>
            <w:tcW w:w="1796" w:type="pct"/>
            <w:shd w:val="clear" w:color="auto" w:fill="D2EAF1"/>
            <w:noWrap/>
          </w:tcPr>
          <w:p w:rsidR="00661E10" w:rsidRPr="00661E10" w:rsidRDefault="00661E10" w:rsidP="00661E10">
            <w:pPr>
              <w:jc w:val="left"/>
              <w:rPr>
                <w:b/>
                <w:bCs/>
                <w:color w:val="000000"/>
                <w:sz w:val="20"/>
                <w:szCs w:val="20"/>
              </w:rPr>
            </w:pPr>
            <w:r w:rsidRPr="00661E10">
              <w:rPr>
                <w:sz w:val="20"/>
                <w:szCs w:val="20"/>
              </w:rPr>
              <w:t>E-Power Wise</w:t>
            </w:r>
            <w:r w:rsidRPr="00661E10">
              <w:rPr>
                <w:sz w:val="20"/>
                <w:szCs w:val="20"/>
                <w:vertAlign w:val="superscript"/>
              </w:rPr>
              <w:t xml:space="preserve"> </w:t>
            </w:r>
          </w:p>
        </w:tc>
        <w:tc>
          <w:tcPr>
            <w:tcW w:w="651" w:type="pct"/>
            <w:shd w:val="clear" w:color="auto" w:fill="D2EAF1"/>
            <w:noWrap/>
            <w:vAlign w:val="center"/>
          </w:tcPr>
          <w:p w:rsidR="00661E10" w:rsidRPr="00661E10" w:rsidRDefault="00661E10" w:rsidP="00661E10">
            <w:pPr>
              <w:jc w:val="center"/>
              <w:rPr>
                <w:bCs/>
                <w:color w:val="000000"/>
                <w:sz w:val="20"/>
                <w:szCs w:val="20"/>
              </w:rPr>
            </w:pPr>
            <w:r w:rsidRPr="00661E10">
              <w:rPr>
                <w:sz w:val="20"/>
                <w:szCs w:val="20"/>
              </w:rPr>
              <w:t>N/A</w:t>
            </w:r>
          </w:p>
        </w:tc>
        <w:tc>
          <w:tcPr>
            <w:tcW w:w="692" w:type="pct"/>
            <w:shd w:val="clear" w:color="auto" w:fill="D2EAF1"/>
            <w:noWrap/>
            <w:vAlign w:val="center"/>
          </w:tcPr>
          <w:p w:rsidR="00661E10" w:rsidRPr="00661E10" w:rsidRDefault="00661E10" w:rsidP="00661E10">
            <w:pPr>
              <w:jc w:val="center"/>
              <w:rPr>
                <w:bCs/>
                <w:color w:val="000000"/>
                <w:sz w:val="20"/>
                <w:szCs w:val="20"/>
              </w:rPr>
            </w:pPr>
            <w:r w:rsidRPr="00661E10">
              <w:rPr>
                <w:sz w:val="20"/>
                <w:szCs w:val="20"/>
              </w:rPr>
              <w:t>N/A</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1.00</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sz w:val="20"/>
                <w:szCs w:val="20"/>
              </w:rPr>
            </w:pPr>
            <w:r w:rsidRPr="00661E10">
              <w:rPr>
                <w:sz w:val="20"/>
                <w:szCs w:val="20"/>
              </w:rPr>
              <w:t>Low-Income Energy Efficiency</w:t>
            </w:r>
          </w:p>
          <w:p w:rsidR="00661E10" w:rsidRPr="00661E10" w:rsidRDefault="00661E10" w:rsidP="00661E10">
            <w:pPr>
              <w:jc w:val="left"/>
              <w:rPr>
                <w:sz w:val="20"/>
                <w:szCs w:val="20"/>
              </w:rPr>
            </w:pPr>
            <w:r w:rsidRPr="00661E10">
              <w:rPr>
                <w:sz w:val="20"/>
                <w:szCs w:val="20"/>
              </w:rPr>
              <w:t>Behavior &amp; Education</w:t>
            </w:r>
          </w:p>
        </w:tc>
        <w:tc>
          <w:tcPr>
            <w:tcW w:w="651" w:type="pct"/>
            <w:shd w:val="clear" w:color="auto" w:fill="auto"/>
            <w:noWrap/>
            <w:vAlign w:val="center"/>
          </w:tcPr>
          <w:p w:rsidR="00661E10" w:rsidRPr="00661E10" w:rsidRDefault="00661E10" w:rsidP="00661E10">
            <w:pPr>
              <w:jc w:val="center"/>
              <w:rPr>
                <w:sz w:val="20"/>
                <w:szCs w:val="20"/>
              </w:rPr>
            </w:pPr>
            <w:r w:rsidRPr="00661E10">
              <w:rPr>
                <w:sz w:val="20"/>
                <w:szCs w:val="20"/>
              </w:rPr>
              <w:t>N/A</w:t>
            </w:r>
          </w:p>
        </w:tc>
        <w:tc>
          <w:tcPr>
            <w:tcW w:w="692" w:type="pct"/>
            <w:shd w:val="clear" w:color="auto" w:fill="auto"/>
            <w:noWrap/>
            <w:vAlign w:val="center"/>
          </w:tcPr>
          <w:p w:rsidR="00661E10" w:rsidRPr="00661E10" w:rsidRDefault="00661E10" w:rsidP="00661E10">
            <w:pPr>
              <w:jc w:val="center"/>
              <w:rPr>
                <w:sz w:val="20"/>
                <w:szCs w:val="20"/>
              </w:rPr>
            </w:pPr>
            <w:r w:rsidRPr="00661E10">
              <w:rPr>
                <w:sz w:val="20"/>
                <w:szCs w:val="20"/>
              </w:rPr>
              <w:t>N/A</w:t>
            </w:r>
          </w:p>
        </w:tc>
        <w:tc>
          <w:tcPr>
            <w:tcW w:w="589" w:type="pct"/>
            <w:shd w:val="clear" w:color="auto" w:fill="auto"/>
            <w:noWrap/>
          </w:tcPr>
          <w:p w:rsidR="00661E10" w:rsidRPr="00661E10" w:rsidRDefault="00661E10" w:rsidP="00661E10">
            <w:pPr>
              <w:jc w:val="center"/>
              <w:rPr>
                <w:sz w:val="20"/>
                <w:szCs w:val="20"/>
              </w:rPr>
            </w:pPr>
            <w:r w:rsidRPr="00661E10">
              <w:rPr>
                <w:sz w:val="20"/>
                <w:szCs w:val="20"/>
              </w:rPr>
              <w:t>1.00</w:t>
            </w:r>
          </w:p>
        </w:tc>
        <w:tc>
          <w:tcPr>
            <w:tcW w:w="472" w:type="pct"/>
            <w:shd w:val="clear" w:color="auto" w:fill="auto"/>
            <w:vAlign w:val="center"/>
          </w:tcPr>
          <w:p w:rsidR="00661E10" w:rsidRPr="00661E10" w:rsidRDefault="00661E10" w:rsidP="00661E10">
            <w:pPr>
              <w:jc w:val="center"/>
              <w:rPr>
                <w:sz w:val="20"/>
                <w:szCs w:val="20"/>
              </w:rPr>
            </w:pPr>
            <w:r w:rsidRPr="00661E10">
              <w:rPr>
                <w:sz w:val="20"/>
                <w:szCs w:val="20"/>
              </w:rPr>
              <w:t>N/A</w:t>
            </w:r>
          </w:p>
        </w:tc>
      </w:tr>
      <w:tr w:rsidR="00A874AC" w:rsidRPr="00661E10" w:rsidTr="008B5045">
        <w:trPr>
          <w:trHeight w:val="490"/>
        </w:trPr>
        <w:tc>
          <w:tcPr>
            <w:tcW w:w="800" w:type="pct"/>
            <w:vMerge/>
            <w:shd w:val="clear" w:color="auto" w:fill="auto"/>
          </w:tcPr>
          <w:p w:rsidR="00661E10" w:rsidRPr="00661E10" w:rsidRDefault="00661E10" w:rsidP="00661E10">
            <w:pPr>
              <w:jc w:val="left"/>
              <w:rPr>
                <w:i/>
                <w:color w:val="000000"/>
                <w:sz w:val="20"/>
                <w:szCs w:val="20"/>
              </w:rPr>
            </w:pPr>
          </w:p>
        </w:tc>
        <w:tc>
          <w:tcPr>
            <w:tcW w:w="1796" w:type="pct"/>
            <w:shd w:val="clear" w:color="auto" w:fill="D2EAF1"/>
            <w:noWrap/>
          </w:tcPr>
          <w:p w:rsidR="00661E10" w:rsidRPr="00661E10" w:rsidRDefault="00661E10" w:rsidP="00661E10">
            <w:pPr>
              <w:jc w:val="left"/>
              <w:rPr>
                <w:b/>
                <w:bCs/>
                <w:color w:val="000000"/>
                <w:sz w:val="20"/>
                <w:szCs w:val="20"/>
              </w:rPr>
            </w:pPr>
            <w:r w:rsidRPr="00661E10">
              <w:rPr>
                <w:sz w:val="20"/>
                <w:szCs w:val="20"/>
              </w:rPr>
              <w:t>Low-Income Winter Relief Assistance Program (WRAP)</w:t>
            </w:r>
          </w:p>
        </w:tc>
        <w:tc>
          <w:tcPr>
            <w:tcW w:w="651" w:type="pct"/>
            <w:shd w:val="clear" w:color="auto" w:fill="D2EAF1"/>
            <w:noWrap/>
            <w:vAlign w:val="center"/>
          </w:tcPr>
          <w:p w:rsidR="00661E10" w:rsidRPr="00661E10" w:rsidRDefault="00661E10" w:rsidP="00661E10">
            <w:pPr>
              <w:jc w:val="center"/>
              <w:rPr>
                <w:bCs/>
                <w:color w:val="000000"/>
                <w:sz w:val="20"/>
                <w:szCs w:val="20"/>
              </w:rPr>
            </w:pPr>
            <w:r w:rsidRPr="00661E10">
              <w:rPr>
                <w:sz w:val="20"/>
                <w:szCs w:val="20"/>
              </w:rPr>
              <w:t>N/A</w:t>
            </w:r>
          </w:p>
        </w:tc>
        <w:tc>
          <w:tcPr>
            <w:tcW w:w="692" w:type="pct"/>
            <w:shd w:val="clear" w:color="auto" w:fill="D2EAF1"/>
            <w:noWrap/>
            <w:vAlign w:val="center"/>
          </w:tcPr>
          <w:p w:rsidR="00661E10" w:rsidRPr="00661E10" w:rsidRDefault="00661E10" w:rsidP="00661E10">
            <w:pPr>
              <w:jc w:val="center"/>
              <w:rPr>
                <w:bCs/>
                <w:color w:val="000000"/>
                <w:sz w:val="20"/>
                <w:szCs w:val="20"/>
              </w:rPr>
            </w:pPr>
            <w:r w:rsidRPr="00661E10">
              <w:rPr>
                <w:sz w:val="20"/>
                <w:szCs w:val="20"/>
              </w:rPr>
              <w:t>N/A</w:t>
            </w:r>
          </w:p>
        </w:tc>
        <w:tc>
          <w:tcPr>
            <w:tcW w:w="589" w:type="pct"/>
            <w:shd w:val="clear" w:color="auto" w:fill="D2EAF1"/>
            <w:noWrap/>
          </w:tcPr>
          <w:p w:rsidR="00661E10" w:rsidRPr="00661E10" w:rsidRDefault="00661E10" w:rsidP="00661E10">
            <w:pPr>
              <w:jc w:val="center"/>
              <w:rPr>
                <w:b/>
                <w:bCs/>
                <w:color w:val="000000"/>
                <w:sz w:val="20"/>
                <w:szCs w:val="20"/>
              </w:rPr>
            </w:pPr>
            <w:r w:rsidRPr="00661E10">
              <w:rPr>
                <w:sz w:val="20"/>
                <w:szCs w:val="20"/>
              </w:rPr>
              <w:t>1.00</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N/A</w:t>
            </w:r>
          </w:p>
        </w:tc>
      </w:tr>
      <w:tr w:rsidR="00E7173E" w:rsidRPr="00661E10" w:rsidTr="008B5045">
        <w:trPr>
          <w:trHeight w:val="144"/>
        </w:trPr>
        <w:tc>
          <w:tcPr>
            <w:tcW w:w="5000" w:type="pct"/>
            <w:gridSpan w:val="6"/>
            <w:shd w:val="clear" w:color="auto" w:fill="9C9393"/>
            <w:vAlign w:val="center"/>
            <w:hideMark/>
          </w:tcPr>
          <w:p w:rsidR="00661E10" w:rsidRPr="00661E10" w:rsidRDefault="00661E10" w:rsidP="00661E10">
            <w:pPr>
              <w:jc w:val="left"/>
              <w:rPr>
                <w:b/>
                <w:bCs/>
                <w:i/>
                <w:color w:val="FFFFFF"/>
                <w:sz w:val="20"/>
                <w:szCs w:val="20"/>
              </w:rPr>
            </w:pPr>
            <w:r w:rsidRPr="00661E10">
              <w:rPr>
                <w:b/>
                <w:color w:val="FFFFFF"/>
                <w:sz w:val="20"/>
                <w:szCs w:val="20"/>
              </w:rPr>
              <w:t>Non-Residential Sector</w:t>
            </w:r>
          </w:p>
        </w:tc>
      </w:tr>
      <w:tr w:rsidR="00A874AC" w:rsidRPr="00661E10" w:rsidTr="008B5045">
        <w:trPr>
          <w:trHeight w:val="490"/>
        </w:trPr>
        <w:tc>
          <w:tcPr>
            <w:tcW w:w="800" w:type="pct"/>
            <w:vMerge w:val="restart"/>
            <w:shd w:val="clear" w:color="auto" w:fill="D2EAF1"/>
          </w:tcPr>
          <w:p w:rsidR="00661E10" w:rsidRPr="00661E10" w:rsidRDefault="00661E10" w:rsidP="00661E10">
            <w:pPr>
              <w:jc w:val="left"/>
              <w:rPr>
                <w:i/>
                <w:color w:val="000000"/>
                <w:sz w:val="20"/>
                <w:szCs w:val="20"/>
              </w:rPr>
            </w:pPr>
            <w:r w:rsidRPr="00661E10">
              <w:rPr>
                <w:sz w:val="20"/>
                <w:szCs w:val="20"/>
              </w:rPr>
              <w:t>Duquesne</w:t>
            </w:r>
          </w:p>
        </w:tc>
        <w:tc>
          <w:tcPr>
            <w:tcW w:w="1796" w:type="pct"/>
            <w:shd w:val="clear" w:color="auto" w:fill="auto"/>
            <w:noWrap/>
          </w:tcPr>
          <w:p w:rsidR="00661E10" w:rsidRPr="00661E10" w:rsidRDefault="00661E10" w:rsidP="00661E10">
            <w:pPr>
              <w:jc w:val="left"/>
              <w:rPr>
                <w:b/>
                <w:bCs/>
                <w:color w:val="000000"/>
                <w:sz w:val="20"/>
                <w:szCs w:val="20"/>
              </w:rPr>
            </w:pPr>
            <w:r w:rsidRPr="00661E10">
              <w:rPr>
                <w:sz w:val="20"/>
                <w:szCs w:val="20"/>
              </w:rPr>
              <w:t>Commercial Program Group</w:t>
            </w:r>
          </w:p>
        </w:tc>
        <w:tc>
          <w:tcPr>
            <w:tcW w:w="651" w:type="pct"/>
            <w:shd w:val="clear" w:color="auto" w:fill="auto"/>
            <w:noWrap/>
          </w:tcPr>
          <w:p w:rsidR="00661E10" w:rsidRPr="00661E10" w:rsidRDefault="00661E10" w:rsidP="00661E10">
            <w:pPr>
              <w:jc w:val="center"/>
              <w:rPr>
                <w:b/>
                <w:bCs/>
                <w:sz w:val="20"/>
                <w:szCs w:val="20"/>
              </w:rPr>
            </w:pPr>
            <w:r w:rsidRPr="00661E10">
              <w:rPr>
                <w:sz w:val="20"/>
                <w:szCs w:val="20"/>
              </w:rPr>
              <w:t>0.33</w:t>
            </w:r>
            <w:r w:rsidR="00F366C8">
              <w:rPr>
                <w:b/>
                <w:sz w:val="20"/>
                <w:szCs w:val="20"/>
                <w:vertAlign w:val="superscript"/>
              </w:rPr>
              <w:t>[d</w:t>
            </w:r>
            <w:r w:rsidRPr="00661E10">
              <w:rPr>
                <w:b/>
                <w:sz w:val="20"/>
                <w:szCs w:val="20"/>
                <w:vertAlign w:val="superscript"/>
              </w:rPr>
              <w:t>]</w:t>
            </w:r>
          </w:p>
        </w:tc>
        <w:tc>
          <w:tcPr>
            <w:tcW w:w="692" w:type="pct"/>
            <w:shd w:val="clear" w:color="auto" w:fill="auto"/>
            <w:noWrap/>
          </w:tcPr>
          <w:p w:rsidR="00661E10" w:rsidRPr="00661E10" w:rsidRDefault="00661E10" w:rsidP="00661E10">
            <w:pPr>
              <w:jc w:val="center"/>
              <w:rPr>
                <w:b/>
                <w:bCs/>
                <w:color w:val="000000"/>
                <w:sz w:val="20"/>
                <w:szCs w:val="20"/>
              </w:rPr>
            </w:pPr>
            <w:r w:rsidRPr="00661E10">
              <w:rPr>
                <w:sz w:val="20"/>
                <w:szCs w:val="20"/>
              </w:rPr>
              <w:t>0.00</w:t>
            </w:r>
          </w:p>
        </w:tc>
        <w:tc>
          <w:tcPr>
            <w:tcW w:w="589" w:type="pct"/>
            <w:shd w:val="clear" w:color="auto" w:fill="auto"/>
            <w:noWrap/>
          </w:tcPr>
          <w:p w:rsidR="00661E10" w:rsidRPr="00661E10" w:rsidRDefault="00661E10" w:rsidP="00661E10">
            <w:pPr>
              <w:jc w:val="center"/>
              <w:rPr>
                <w:b/>
                <w:bCs/>
                <w:color w:val="000000"/>
                <w:sz w:val="20"/>
                <w:szCs w:val="20"/>
              </w:rPr>
            </w:pPr>
            <w:r w:rsidRPr="00661E10">
              <w:rPr>
                <w:sz w:val="20"/>
                <w:szCs w:val="20"/>
              </w:rPr>
              <w:t>0.67</w:t>
            </w:r>
          </w:p>
        </w:tc>
        <w:tc>
          <w:tcPr>
            <w:tcW w:w="472" w:type="pct"/>
            <w:shd w:val="clear" w:color="auto" w:fill="auto"/>
          </w:tcPr>
          <w:p w:rsidR="00661E10" w:rsidRPr="00661E10" w:rsidRDefault="00661E10" w:rsidP="00661E10">
            <w:pPr>
              <w:jc w:val="center"/>
              <w:rPr>
                <w:b/>
                <w:bCs/>
                <w:color w:val="000000"/>
                <w:sz w:val="20"/>
                <w:szCs w:val="20"/>
              </w:rPr>
            </w:pPr>
            <w:r w:rsidRPr="00661E10">
              <w:rPr>
                <w:sz w:val="20"/>
                <w:szCs w:val="20"/>
              </w:rPr>
              <w:t>38</w:t>
            </w:r>
          </w:p>
        </w:tc>
      </w:tr>
      <w:tr w:rsidR="00A874AC" w:rsidRPr="00661E10" w:rsidTr="008B5045">
        <w:trPr>
          <w:trHeight w:val="490"/>
        </w:trPr>
        <w:tc>
          <w:tcPr>
            <w:tcW w:w="800" w:type="pct"/>
            <w:vMerge/>
            <w:shd w:val="clear" w:color="auto" w:fill="D2EAF1"/>
          </w:tcPr>
          <w:p w:rsidR="00661E10" w:rsidRPr="00661E10" w:rsidRDefault="00661E10" w:rsidP="00661E10">
            <w:pPr>
              <w:jc w:val="left"/>
              <w:rPr>
                <w:i/>
                <w:color w:val="000000"/>
                <w:sz w:val="20"/>
                <w:szCs w:val="20"/>
              </w:rPr>
            </w:pPr>
          </w:p>
        </w:tc>
        <w:tc>
          <w:tcPr>
            <w:tcW w:w="1796" w:type="pct"/>
            <w:shd w:val="clear" w:color="auto" w:fill="D2EAF1"/>
            <w:noWrap/>
          </w:tcPr>
          <w:p w:rsidR="00661E10" w:rsidRPr="00661E10" w:rsidRDefault="00661E10" w:rsidP="00661E10">
            <w:pPr>
              <w:jc w:val="left"/>
              <w:rPr>
                <w:b/>
                <w:bCs/>
                <w:color w:val="000000"/>
                <w:sz w:val="20"/>
                <w:szCs w:val="20"/>
              </w:rPr>
            </w:pPr>
            <w:r w:rsidRPr="00661E10">
              <w:rPr>
                <w:sz w:val="20"/>
                <w:szCs w:val="20"/>
              </w:rPr>
              <w:t>Industrial Program</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0.32</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0.00</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0.68</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18</w:t>
            </w:r>
          </w:p>
        </w:tc>
      </w:tr>
      <w:tr w:rsidR="00E7173E" w:rsidRPr="00661E10" w:rsidTr="008B5045">
        <w:trPr>
          <w:trHeight w:val="490"/>
        </w:trPr>
        <w:tc>
          <w:tcPr>
            <w:tcW w:w="800" w:type="pct"/>
            <w:vMerge w:val="restart"/>
            <w:shd w:val="clear" w:color="auto" w:fill="auto"/>
          </w:tcPr>
          <w:p w:rsidR="00661E10" w:rsidRPr="00661E10" w:rsidRDefault="00661E10" w:rsidP="00661E10">
            <w:pPr>
              <w:jc w:val="left"/>
              <w:rPr>
                <w:color w:val="000000"/>
                <w:sz w:val="20"/>
                <w:szCs w:val="20"/>
              </w:rPr>
            </w:pPr>
            <w:r w:rsidRPr="00661E10">
              <w:rPr>
                <w:sz w:val="20"/>
                <w:szCs w:val="20"/>
              </w:rPr>
              <w:t xml:space="preserve">FE: </w:t>
            </w:r>
            <w:r w:rsidRPr="00661E10">
              <w:rPr>
                <w:color w:val="000000"/>
                <w:sz w:val="20"/>
                <w:szCs w:val="20"/>
              </w:rPr>
              <w:t>Med-Ed</w:t>
            </w:r>
          </w:p>
        </w:tc>
        <w:tc>
          <w:tcPr>
            <w:tcW w:w="1796" w:type="pct"/>
            <w:shd w:val="clear" w:color="auto" w:fill="auto"/>
            <w:noWrap/>
          </w:tcPr>
          <w:p w:rsidR="00661E10" w:rsidRPr="00661E10" w:rsidRDefault="00661E10" w:rsidP="00661E10">
            <w:pPr>
              <w:jc w:val="left"/>
              <w:rPr>
                <w:bCs/>
                <w:color w:val="000000"/>
                <w:sz w:val="20"/>
                <w:szCs w:val="20"/>
              </w:rPr>
            </w:pPr>
            <w:r w:rsidRPr="00661E10">
              <w:rPr>
                <w:sz w:val="20"/>
                <w:szCs w:val="20"/>
              </w:rPr>
              <w:t>Small C/I Equipment</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0.45</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0.11</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0.66</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bCs/>
                <w:color w:val="000000"/>
                <w:sz w:val="20"/>
                <w:szCs w:val="20"/>
              </w:rPr>
            </w:pPr>
            <w:r w:rsidRPr="00661E10">
              <w:rPr>
                <w:sz w:val="20"/>
                <w:szCs w:val="20"/>
              </w:rPr>
              <w:t>Large C/I Equipment</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0.34</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0.05</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0.72</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N/A</w:t>
            </w:r>
          </w:p>
        </w:tc>
      </w:tr>
      <w:tr w:rsidR="00E7173E"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sz w:val="20"/>
                <w:szCs w:val="20"/>
              </w:rPr>
            </w:pPr>
            <w:r w:rsidRPr="00661E10">
              <w:rPr>
                <w:sz w:val="20"/>
                <w:szCs w:val="20"/>
              </w:rPr>
              <w:t>Small C/I Buildings</w:t>
            </w:r>
          </w:p>
        </w:tc>
        <w:tc>
          <w:tcPr>
            <w:tcW w:w="651" w:type="pct"/>
            <w:shd w:val="clear" w:color="auto" w:fill="auto"/>
            <w:noWrap/>
            <w:vAlign w:val="center"/>
          </w:tcPr>
          <w:p w:rsidR="00661E10" w:rsidRPr="00661E10" w:rsidRDefault="00661E10" w:rsidP="00661E10">
            <w:pPr>
              <w:jc w:val="center"/>
              <w:rPr>
                <w:sz w:val="20"/>
                <w:szCs w:val="20"/>
              </w:rPr>
            </w:pPr>
            <w:r w:rsidRPr="00661E10">
              <w:rPr>
                <w:sz w:val="20"/>
                <w:szCs w:val="20"/>
              </w:rPr>
              <w:t>0.32</w:t>
            </w:r>
          </w:p>
        </w:tc>
        <w:tc>
          <w:tcPr>
            <w:tcW w:w="692" w:type="pct"/>
            <w:shd w:val="clear" w:color="auto" w:fill="auto"/>
            <w:noWrap/>
            <w:vAlign w:val="center"/>
          </w:tcPr>
          <w:p w:rsidR="00661E10" w:rsidRPr="00661E10" w:rsidRDefault="00661E10" w:rsidP="00661E10">
            <w:pPr>
              <w:jc w:val="center"/>
              <w:rPr>
                <w:sz w:val="20"/>
                <w:szCs w:val="20"/>
              </w:rPr>
            </w:pPr>
            <w:r w:rsidRPr="00661E10">
              <w:rPr>
                <w:sz w:val="20"/>
                <w:szCs w:val="20"/>
              </w:rPr>
              <w:t>0.01</w:t>
            </w:r>
            <w:r w:rsidRPr="00661E10">
              <w:rPr>
                <w:sz w:val="20"/>
                <w:szCs w:val="20"/>
                <w:vertAlign w:val="superscript"/>
              </w:rPr>
              <w:t>[c]</w:t>
            </w:r>
          </w:p>
        </w:tc>
        <w:tc>
          <w:tcPr>
            <w:tcW w:w="589" w:type="pct"/>
            <w:shd w:val="clear" w:color="auto" w:fill="auto"/>
            <w:noWrap/>
            <w:vAlign w:val="center"/>
          </w:tcPr>
          <w:p w:rsidR="00661E10" w:rsidRPr="00661E10" w:rsidRDefault="00661E10" w:rsidP="00661E10">
            <w:pPr>
              <w:jc w:val="center"/>
              <w:rPr>
                <w:sz w:val="20"/>
                <w:szCs w:val="20"/>
              </w:rPr>
            </w:pPr>
            <w:r w:rsidRPr="00661E10">
              <w:rPr>
                <w:sz w:val="20"/>
                <w:szCs w:val="20"/>
              </w:rPr>
              <w:t>0.69</w:t>
            </w:r>
          </w:p>
        </w:tc>
        <w:tc>
          <w:tcPr>
            <w:tcW w:w="472" w:type="pct"/>
            <w:shd w:val="clear" w:color="auto" w:fill="auto"/>
            <w:vAlign w:val="center"/>
          </w:tcPr>
          <w:p w:rsidR="00661E10" w:rsidRPr="00661E10" w:rsidRDefault="00661E10" w:rsidP="00661E10">
            <w:pPr>
              <w:jc w:val="center"/>
              <w:rPr>
                <w:sz w:val="20"/>
                <w:szCs w:val="20"/>
              </w:rPr>
            </w:pPr>
            <w:r w:rsidRPr="00661E10">
              <w:rPr>
                <w:sz w:val="20"/>
                <w:szCs w:val="20"/>
              </w:rPr>
              <w:t>122</w:t>
            </w:r>
          </w:p>
        </w:tc>
      </w:tr>
      <w:tr w:rsidR="00A874AC"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Large C/I Buildings</w:t>
            </w:r>
          </w:p>
        </w:tc>
        <w:tc>
          <w:tcPr>
            <w:tcW w:w="651" w:type="pct"/>
            <w:shd w:val="clear" w:color="auto" w:fill="D2EAF1"/>
            <w:noWrap/>
            <w:vAlign w:val="center"/>
          </w:tcPr>
          <w:p w:rsidR="00661E10" w:rsidRPr="00661E10" w:rsidRDefault="00661E10" w:rsidP="00661E10">
            <w:pPr>
              <w:jc w:val="center"/>
              <w:rPr>
                <w:sz w:val="20"/>
                <w:szCs w:val="20"/>
              </w:rPr>
            </w:pPr>
            <w:r w:rsidRPr="00661E10">
              <w:rPr>
                <w:sz w:val="20"/>
                <w:szCs w:val="20"/>
              </w:rPr>
              <w:t>0.62</w:t>
            </w:r>
          </w:p>
        </w:tc>
        <w:tc>
          <w:tcPr>
            <w:tcW w:w="692" w:type="pct"/>
            <w:shd w:val="clear" w:color="auto" w:fill="D2EAF1"/>
            <w:noWrap/>
            <w:vAlign w:val="center"/>
          </w:tcPr>
          <w:p w:rsidR="00661E10" w:rsidRPr="00661E10" w:rsidRDefault="00661E10" w:rsidP="00661E10">
            <w:pPr>
              <w:jc w:val="center"/>
              <w:rPr>
                <w:sz w:val="20"/>
                <w:szCs w:val="20"/>
              </w:rPr>
            </w:pPr>
            <w:r w:rsidRPr="00661E10">
              <w:rPr>
                <w:sz w:val="20"/>
                <w:szCs w:val="20"/>
              </w:rPr>
              <w:t>0.00</w:t>
            </w:r>
          </w:p>
        </w:tc>
        <w:tc>
          <w:tcPr>
            <w:tcW w:w="589" w:type="pct"/>
            <w:shd w:val="clear" w:color="auto" w:fill="D2EAF1"/>
            <w:noWrap/>
            <w:vAlign w:val="center"/>
          </w:tcPr>
          <w:p w:rsidR="00661E10" w:rsidRPr="00661E10" w:rsidRDefault="00661E10" w:rsidP="00661E10">
            <w:pPr>
              <w:jc w:val="center"/>
              <w:rPr>
                <w:sz w:val="20"/>
                <w:szCs w:val="20"/>
              </w:rPr>
            </w:pPr>
            <w:r w:rsidRPr="00661E10">
              <w:rPr>
                <w:sz w:val="20"/>
                <w:szCs w:val="20"/>
              </w:rPr>
              <w:t>0.39</w:t>
            </w:r>
          </w:p>
        </w:tc>
        <w:tc>
          <w:tcPr>
            <w:tcW w:w="472" w:type="pct"/>
            <w:shd w:val="clear" w:color="auto" w:fill="D2EAF1"/>
            <w:vAlign w:val="center"/>
          </w:tcPr>
          <w:p w:rsidR="00661E10" w:rsidRPr="00661E10" w:rsidRDefault="00661E10" w:rsidP="00661E10">
            <w:pPr>
              <w:jc w:val="center"/>
              <w:rPr>
                <w:sz w:val="20"/>
                <w:szCs w:val="20"/>
              </w:rPr>
            </w:pPr>
            <w:r w:rsidRPr="00661E10">
              <w:rPr>
                <w:sz w:val="20"/>
                <w:szCs w:val="20"/>
              </w:rPr>
              <w:t>11</w:t>
            </w:r>
          </w:p>
        </w:tc>
      </w:tr>
      <w:tr w:rsidR="00E7173E"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bCs/>
                <w:color w:val="000000"/>
                <w:sz w:val="20"/>
                <w:szCs w:val="20"/>
              </w:rPr>
            </w:pPr>
            <w:r w:rsidRPr="00661E10">
              <w:rPr>
                <w:sz w:val="20"/>
                <w:szCs w:val="20"/>
              </w:rPr>
              <w:t>Government and Institutional</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0.38</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0.11</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0.73</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90"/>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 xml:space="preserve">FE: </w:t>
            </w:r>
            <w:r w:rsidRPr="00661E10">
              <w:rPr>
                <w:color w:val="000000"/>
                <w:sz w:val="20"/>
                <w:szCs w:val="20"/>
              </w:rPr>
              <w:t>Penelec</w:t>
            </w:r>
          </w:p>
        </w:tc>
        <w:tc>
          <w:tcPr>
            <w:tcW w:w="1796" w:type="pct"/>
            <w:shd w:val="clear" w:color="auto" w:fill="D2EAF1"/>
            <w:noWrap/>
          </w:tcPr>
          <w:p w:rsidR="00661E10" w:rsidRPr="00661E10" w:rsidRDefault="00661E10" w:rsidP="00661E10">
            <w:pPr>
              <w:jc w:val="left"/>
              <w:rPr>
                <w:bCs/>
                <w:color w:val="000000"/>
                <w:sz w:val="20"/>
                <w:szCs w:val="20"/>
              </w:rPr>
            </w:pPr>
            <w:r w:rsidRPr="00661E10">
              <w:rPr>
                <w:sz w:val="20"/>
                <w:szCs w:val="20"/>
              </w:rPr>
              <w:t>Small C/I Equipment</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0.38</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0.12</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0.75</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90"/>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bCs/>
                <w:color w:val="000000"/>
                <w:sz w:val="20"/>
                <w:szCs w:val="20"/>
              </w:rPr>
            </w:pPr>
            <w:r w:rsidRPr="00661E10">
              <w:rPr>
                <w:sz w:val="20"/>
                <w:szCs w:val="20"/>
              </w:rPr>
              <w:t>Large C/I Equipment</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0.26</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0.07</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0.81</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90"/>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Small C/I Buildings</w:t>
            </w:r>
          </w:p>
        </w:tc>
        <w:tc>
          <w:tcPr>
            <w:tcW w:w="651" w:type="pct"/>
            <w:shd w:val="clear" w:color="auto" w:fill="D2EAF1"/>
            <w:noWrap/>
            <w:vAlign w:val="center"/>
          </w:tcPr>
          <w:p w:rsidR="00661E10" w:rsidRPr="00661E10" w:rsidRDefault="00661E10" w:rsidP="00661E10">
            <w:pPr>
              <w:jc w:val="center"/>
              <w:rPr>
                <w:sz w:val="20"/>
                <w:szCs w:val="20"/>
              </w:rPr>
            </w:pPr>
            <w:r w:rsidRPr="00661E10">
              <w:rPr>
                <w:sz w:val="20"/>
                <w:szCs w:val="20"/>
              </w:rPr>
              <w:t>0.36</w:t>
            </w:r>
          </w:p>
        </w:tc>
        <w:tc>
          <w:tcPr>
            <w:tcW w:w="692" w:type="pct"/>
            <w:shd w:val="clear" w:color="auto" w:fill="D2EAF1"/>
            <w:noWrap/>
            <w:vAlign w:val="center"/>
          </w:tcPr>
          <w:p w:rsidR="00661E10" w:rsidRPr="00661E10" w:rsidRDefault="00661E10" w:rsidP="00661E10">
            <w:pPr>
              <w:jc w:val="center"/>
              <w:rPr>
                <w:sz w:val="20"/>
                <w:szCs w:val="20"/>
              </w:rPr>
            </w:pPr>
            <w:r w:rsidRPr="00661E10">
              <w:rPr>
                <w:sz w:val="20"/>
                <w:szCs w:val="20"/>
              </w:rPr>
              <w:t>0.00</w:t>
            </w:r>
          </w:p>
        </w:tc>
        <w:tc>
          <w:tcPr>
            <w:tcW w:w="589" w:type="pct"/>
            <w:shd w:val="clear" w:color="auto" w:fill="D2EAF1"/>
            <w:noWrap/>
            <w:vAlign w:val="center"/>
          </w:tcPr>
          <w:p w:rsidR="00661E10" w:rsidRPr="00661E10" w:rsidRDefault="00661E10" w:rsidP="00661E10">
            <w:pPr>
              <w:jc w:val="center"/>
              <w:rPr>
                <w:sz w:val="20"/>
                <w:szCs w:val="20"/>
              </w:rPr>
            </w:pPr>
            <w:r w:rsidRPr="00661E10">
              <w:rPr>
                <w:sz w:val="20"/>
                <w:szCs w:val="20"/>
              </w:rPr>
              <w:t>0.64</w:t>
            </w:r>
          </w:p>
        </w:tc>
        <w:tc>
          <w:tcPr>
            <w:tcW w:w="472" w:type="pct"/>
            <w:shd w:val="clear" w:color="auto" w:fill="D2EAF1"/>
            <w:vAlign w:val="center"/>
          </w:tcPr>
          <w:p w:rsidR="00661E10" w:rsidRPr="00661E10" w:rsidRDefault="00661E10" w:rsidP="00661E10">
            <w:pPr>
              <w:jc w:val="center"/>
              <w:rPr>
                <w:sz w:val="20"/>
                <w:szCs w:val="20"/>
              </w:rPr>
            </w:pPr>
            <w:r w:rsidRPr="00661E10">
              <w:rPr>
                <w:sz w:val="20"/>
                <w:szCs w:val="20"/>
              </w:rPr>
              <w:t>73</w:t>
            </w:r>
          </w:p>
        </w:tc>
      </w:tr>
      <w:tr w:rsidR="00A874AC" w:rsidRPr="00661E10" w:rsidTr="008B5045">
        <w:trPr>
          <w:trHeight w:val="490"/>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sz w:val="20"/>
                <w:szCs w:val="20"/>
              </w:rPr>
            </w:pPr>
            <w:r w:rsidRPr="00661E10">
              <w:rPr>
                <w:sz w:val="20"/>
                <w:szCs w:val="20"/>
              </w:rPr>
              <w:t>Large C/I Buildings</w:t>
            </w:r>
          </w:p>
        </w:tc>
        <w:tc>
          <w:tcPr>
            <w:tcW w:w="651" w:type="pct"/>
            <w:shd w:val="clear" w:color="auto" w:fill="auto"/>
            <w:noWrap/>
            <w:vAlign w:val="center"/>
          </w:tcPr>
          <w:p w:rsidR="00661E10" w:rsidRPr="00661E10" w:rsidRDefault="00661E10" w:rsidP="00661E10">
            <w:pPr>
              <w:jc w:val="center"/>
              <w:rPr>
                <w:sz w:val="20"/>
                <w:szCs w:val="20"/>
              </w:rPr>
            </w:pPr>
            <w:r w:rsidRPr="00661E10">
              <w:rPr>
                <w:sz w:val="20"/>
                <w:szCs w:val="20"/>
              </w:rPr>
              <w:t>0.50</w:t>
            </w:r>
          </w:p>
        </w:tc>
        <w:tc>
          <w:tcPr>
            <w:tcW w:w="692" w:type="pct"/>
            <w:shd w:val="clear" w:color="auto" w:fill="auto"/>
            <w:noWrap/>
            <w:vAlign w:val="center"/>
          </w:tcPr>
          <w:p w:rsidR="00661E10" w:rsidRPr="00661E10" w:rsidRDefault="00661E10" w:rsidP="00661E10">
            <w:pPr>
              <w:jc w:val="center"/>
              <w:rPr>
                <w:sz w:val="20"/>
                <w:szCs w:val="20"/>
              </w:rPr>
            </w:pPr>
            <w:r w:rsidRPr="00661E10">
              <w:rPr>
                <w:sz w:val="20"/>
                <w:szCs w:val="20"/>
              </w:rPr>
              <w:t>0.00</w:t>
            </w:r>
          </w:p>
        </w:tc>
        <w:tc>
          <w:tcPr>
            <w:tcW w:w="589" w:type="pct"/>
            <w:shd w:val="clear" w:color="auto" w:fill="auto"/>
            <w:noWrap/>
            <w:vAlign w:val="center"/>
          </w:tcPr>
          <w:p w:rsidR="00661E10" w:rsidRPr="00661E10" w:rsidRDefault="00661E10" w:rsidP="00661E10">
            <w:pPr>
              <w:jc w:val="center"/>
              <w:rPr>
                <w:sz w:val="20"/>
                <w:szCs w:val="20"/>
              </w:rPr>
            </w:pPr>
            <w:r w:rsidRPr="00661E10">
              <w:rPr>
                <w:sz w:val="20"/>
                <w:szCs w:val="20"/>
              </w:rPr>
              <w:t>0.50</w:t>
            </w:r>
          </w:p>
        </w:tc>
        <w:tc>
          <w:tcPr>
            <w:tcW w:w="472" w:type="pct"/>
            <w:shd w:val="clear" w:color="auto" w:fill="auto"/>
            <w:vAlign w:val="center"/>
          </w:tcPr>
          <w:p w:rsidR="00661E10" w:rsidRPr="00661E10" w:rsidRDefault="00661E10" w:rsidP="00661E10">
            <w:pPr>
              <w:jc w:val="center"/>
              <w:rPr>
                <w:sz w:val="20"/>
                <w:szCs w:val="20"/>
              </w:rPr>
            </w:pPr>
            <w:r w:rsidRPr="00661E10">
              <w:rPr>
                <w:sz w:val="20"/>
                <w:szCs w:val="20"/>
              </w:rPr>
              <w:t>5</w:t>
            </w:r>
          </w:p>
        </w:tc>
      </w:tr>
      <w:tr w:rsidR="00A874AC" w:rsidRPr="00661E10" w:rsidTr="008B5045">
        <w:trPr>
          <w:trHeight w:val="490"/>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bCs/>
                <w:color w:val="000000"/>
                <w:sz w:val="20"/>
                <w:szCs w:val="20"/>
              </w:rPr>
            </w:pPr>
            <w:r w:rsidRPr="00661E10">
              <w:rPr>
                <w:sz w:val="20"/>
                <w:szCs w:val="20"/>
              </w:rPr>
              <w:t>Government and Institutional</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0.38</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0.11</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0.73</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N/A</w:t>
            </w:r>
          </w:p>
        </w:tc>
      </w:tr>
      <w:tr w:rsidR="00E7173E" w:rsidRPr="00661E10" w:rsidTr="008B5045">
        <w:trPr>
          <w:trHeight w:val="490"/>
        </w:trPr>
        <w:tc>
          <w:tcPr>
            <w:tcW w:w="800" w:type="pct"/>
            <w:vMerge w:val="restart"/>
            <w:shd w:val="clear" w:color="auto" w:fill="auto"/>
          </w:tcPr>
          <w:p w:rsidR="00661E10" w:rsidRPr="00661E10" w:rsidRDefault="00661E10" w:rsidP="00661E10">
            <w:pPr>
              <w:jc w:val="left"/>
              <w:rPr>
                <w:color w:val="000000"/>
                <w:sz w:val="20"/>
                <w:szCs w:val="20"/>
              </w:rPr>
            </w:pPr>
            <w:r w:rsidRPr="00661E10">
              <w:rPr>
                <w:sz w:val="20"/>
                <w:szCs w:val="20"/>
              </w:rPr>
              <w:t xml:space="preserve">FE: </w:t>
            </w:r>
            <w:r w:rsidRPr="00661E10">
              <w:rPr>
                <w:color w:val="000000"/>
                <w:sz w:val="20"/>
                <w:szCs w:val="20"/>
              </w:rPr>
              <w:t>Penn Power</w:t>
            </w:r>
          </w:p>
        </w:tc>
        <w:tc>
          <w:tcPr>
            <w:tcW w:w="1796" w:type="pct"/>
            <w:shd w:val="clear" w:color="auto" w:fill="auto"/>
            <w:noWrap/>
          </w:tcPr>
          <w:p w:rsidR="00661E10" w:rsidRPr="00661E10" w:rsidRDefault="00661E10" w:rsidP="00661E10">
            <w:pPr>
              <w:jc w:val="left"/>
              <w:rPr>
                <w:bCs/>
                <w:color w:val="000000"/>
                <w:sz w:val="20"/>
                <w:szCs w:val="20"/>
              </w:rPr>
            </w:pPr>
            <w:r w:rsidRPr="00661E10">
              <w:rPr>
                <w:sz w:val="20"/>
                <w:szCs w:val="20"/>
              </w:rPr>
              <w:t>Small C/I Equipment</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0.68</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0.13</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0.44</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bCs/>
                <w:color w:val="000000"/>
                <w:sz w:val="20"/>
                <w:szCs w:val="20"/>
              </w:rPr>
            </w:pPr>
            <w:r w:rsidRPr="00661E10">
              <w:rPr>
                <w:sz w:val="20"/>
                <w:szCs w:val="20"/>
              </w:rPr>
              <w:t>Large C/I Equipment</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0.33</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0.11</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0.78</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N/A</w:t>
            </w:r>
          </w:p>
        </w:tc>
      </w:tr>
      <w:tr w:rsidR="00E7173E"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sz w:val="20"/>
                <w:szCs w:val="20"/>
              </w:rPr>
            </w:pPr>
            <w:r w:rsidRPr="00661E10">
              <w:rPr>
                <w:sz w:val="20"/>
                <w:szCs w:val="20"/>
              </w:rPr>
              <w:t>Small C/I Buildings</w:t>
            </w:r>
          </w:p>
        </w:tc>
        <w:tc>
          <w:tcPr>
            <w:tcW w:w="651" w:type="pct"/>
            <w:shd w:val="clear" w:color="auto" w:fill="auto"/>
            <w:noWrap/>
            <w:vAlign w:val="center"/>
          </w:tcPr>
          <w:p w:rsidR="00661E10" w:rsidRPr="00661E10" w:rsidRDefault="00661E10" w:rsidP="00661E10">
            <w:pPr>
              <w:jc w:val="center"/>
              <w:rPr>
                <w:sz w:val="20"/>
                <w:szCs w:val="20"/>
              </w:rPr>
            </w:pPr>
            <w:r w:rsidRPr="00661E10">
              <w:rPr>
                <w:sz w:val="20"/>
                <w:szCs w:val="20"/>
              </w:rPr>
              <w:t>0.55</w:t>
            </w:r>
          </w:p>
        </w:tc>
        <w:tc>
          <w:tcPr>
            <w:tcW w:w="692" w:type="pct"/>
            <w:shd w:val="clear" w:color="auto" w:fill="auto"/>
            <w:noWrap/>
            <w:vAlign w:val="center"/>
          </w:tcPr>
          <w:p w:rsidR="00661E10" w:rsidRPr="00661E10" w:rsidRDefault="00661E10" w:rsidP="00661E10">
            <w:pPr>
              <w:jc w:val="center"/>
              <w:rPr>
                <w:sz w:val="20"/>
                <w:szCs w:val="20"/>
              </w:rPr>
            </w:pPr>
            <w:r w:rsidRPr="00661E10">
              <w:rPr>
                <w:sz w:val="20"/>
                <w:szCs w:val="20"/>
              </w:rPr>
              <w:t>0.00</w:t>
            </w:r>
          </w:p>
        </w:tc>
        <w:tc>
          <w:tcPr>
            <w:tcW w:w="589" w:type="pct"/>
            <w:shd w:val="clear" w:color="auto" w:fill="auto"/>
            <w:noWrap/>
            <w:vAlign w:val="center"/>
          </w:tcPr>
          <w:p w:rsidR="00661E10" w:rsidRPr="00661E10" w:rsidRDefault="00661E10" w:rsidP="00661E10">
            <w:pPr>
              <w:jc w:val="center"/>
              <w:rPr>
                <w:sz w:val="20"/>
                <w:szCs w:val="20"/>
              </w:rPr>
            </w:pPr>
            <w:r w:rsidRPr="00661E10">
              <w:rPr>
                <w:sz w:val="20"/>
                <w:szCs w:val="20"/>
              </w:rPr>
              <w:t>0.45</w:t>
            </w:r>
          </w:p>
        </w:tc>
        <w:tc>
          <w:tcPr>
            <w:tcW w:w="472" w:type="pct"/>
            <w:shd w:val="clear" w:color="auto" w:fill="auto"/>
            <w:vAlign w:val="center"/>
          </w:tcPr>
          <w:p w:rsidR="00661E10" w:rsidRPr="00661E10" w:rsidRDefault="00661E10" w:rsidP="00661E10">
            <w:pPr>
              <w:jc w:val="center"/>
              <w:rPr>
                <w:sz w:val="20"/>
                <w:szCs w:val="20"/>
              </w:rPr>
            </w:pPr>
            <w:r w:rsidRPr="00661E10">
              <w:rPr>
                <w:sz w:val="20"/>
                <w:szCs w:val="20"/>
              </w:rPr>
              <w:t>16</w:t>
            </w:r>
          </w:p>
        </w:tc>
      </w:tr>
      <w:tr w:rsidR="00A874AC"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Large C/I Buildings</w:t>
            </w:r>
          </w:p>
        </w:tc>
        <w:tc>
          <w:tcPr>
            <w:tcW w:w="651" w:type="pct"/>
            <w:shd w:val="clear" w:color="auto" w:fill="D2EAF1"/>
            <w:noWrap/>
            <w:vAlign w:val="center"/>
          </w:tcPr>
          <w:p w:rsidR="00661E10" w:rsidRPr="00661E10" w:rsidRDefault="00661E10" w:rsidP="00661E10">
            <w:pPr>
              <w:jc w:val="center"/>
              <w:rPr>
                <w:sz w:val="20"/>
                <w:szCs w:val="20"/>
              </w:rPr>
            </w:pPr>
            <w:r w:rsidRPr="00661E10">
              <w:rPr>
                <w:sz w:val="20"/>
                <w:szCs w:val="20"/>
              </w:rPr>
              <w:t>0.50</w:t>
            </w:r>
          </w:p>
        </w:tc>
        <w:tc>
          <w:tcPr>
            <w:tcW w:w="692" w:type="pct"/>
            <w:shd w:val="clear" w:color="auto" w:fill="D2EAF1"/>
            <w:noWrap/>
            <w:vAlign w:val="center"/>
          </w:tcPr>
          <w:p w:rsidR="00661E10" w:rsidRPr="00661E10" w:rsidRDefault="00661E10" w:rsidP="00661E10">
            <w:pPr>
              <w:jc w:val="center"/>
              <w:rPr>
                <w:sz w:val="20"/>
                <w:szCs w:val="20"/>
              </w:rPr>
            </w:pPr>
            <w:r w:rsidRPr="00661E10">
              <w:rPr>
                <w:sz w:val="20"/>
                <w:szCs w:val="20"/>
              </w:rPr>
              <w:t>0.00</w:t>
            </w:r>
          </w:p>
        </w:tc>
        <w:tc>
          <w:tcPr>
            <w:tcW w:w="589" w:type="pct"/>
            <w:shd w:val="clear" w:color="auto" w:fill="D2EAF1"/>
            <w:noWrap/>
            <w:vAlign w:val="center"/>
          </w:tcPr>
          <w:p w:rsidR="00661E10" w:rsidRPr="00661E10" w:rsidRDefault="00661E10" w:rsidP="00661E10">
            <w:pPr>
              <w:jc w:val="center"/>
              <w:rPr>
                <w:sz w:val="20"/>
                <w:szCs w:val="20"/>
              </w:rPr>
            </w:pPr>
            <w:r w:rsidRPr="00661E10">
              <w:rPr>
                <w:sz w:val="20"/>
                <w:szCs w:val="20"/>
              </w:rPr>
              <w:t>0.50</w:t>
            </w:r>
          </w:p>
        </w:tc>
        <w:tc>
          <w:tcPr>
            <w:tcW w:w="472" w:type="pct"/>
            <w:shd w:val="clear" w:color="auto" w:fill="D2EAF1"/>
            <w:vAlign w:val="center"/>
          </w:tcPr>
          <w:p w:rsidR="00661E10" w:rsidRPr="00661E10" w:rsidRDefault="00661E10" w:rsidP="00661E10">
            <w:pPr>
              <w:jc w:val="center"/>
              <w:rPr>
                <w:sz w:val="20"/>
                <w:szCs w:val="20"/>
              </w:rPr>
            </w:pPr>
            <w:r w:rsidRPr="00661E10">
              <w:rPr>
                <w:sz w:val="20"/>
                <w:szCs w:val="20"/>
              </w:rPr>
              <w:t>1</w:t>
            </w:r>
          </w:p>
        </w:tc>
      </w:tr>
      <w:tr w:rsidR="00E7173E"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bCs/>
                <w:color w:val="000000"/>
                <w:sz w:val="20"/>
                <w:szCs w:val="20"/>
              </w:rPr>
            </w:pPr>
            <w:r w:rsidRPr="00661E10">
              <w:rPr>
                <w:sz w:val="20"/>
                <w:szCs w:val="20"/>
              </w:rPr>
              <w:t>Government and Institutional</w:t>
            </w:r>
          </w:p>
        </w:tc>
        <w:tc>
          <w:tcPr>
            <w:tcW w:w="651" w:type="pct"/>
            <w:shd w:val="clear" w:color="auto" w:fill="auto"/>
            <w:noWrap/>
            <w:vAlign w:val="center"/>
          </w:tcPr>
          <w:p w:rsidR="00661E10" w:rsidRPr="00661E10" w:rsidRDefault="00661E10" w:rsidP="00661E10">
            <w:pPr>
              <w:jc w:val="center"/>
              <w:rPr>
                <w:bCs/>
                <w:color w:val="000000"/>
                <w:sz w:val="20"/>
                <w:szCs w:val="20"/>
              </w:rPr>
            </w:pPr>
            <w:r w:rsidRPr="00661E10">
              <w:rPr>
                <w:sz w:val="20"/>
                <w:szCs w:val="20"/>
              </w:rPr>
              <w:t>0.38</w:t>
            </w:r>
          </w:p>
        </w:tc>
        <w:tc>
          <w:tcPr>
            <w:tcW w:w="692" w:type="pct"/>
            <w:shd w:val="clear" w:color="auto" w:fill="auto"/>
            <w:noWrap/>
            <w:vAlign w:val="center"/>
          </w:tcPr>
          <w:p w:rsidR="00661E10" w:rsidRPr="00661E10" w:rsidRDefault="00661E10" w:rsidP="00661E10">
            <w:pPr>
              <w:jc w:val="center"/>
              <w:rPr>
                <w:bCs/>
                <w:color w:val="000000"/>
                <w:sz w:val="20"/>
                <w:szCs w:val="20"/>
              </w:rPr>
            </w:pPr>
            <w:r w:rsidRPr="00661E10">
              <w:rPr>
                <w:sz w:val="20"/>
                <w:szCs w:val="20"/>
              </w:rPr>
              <w:t>0.11</w:t>
            </w:r>
          </w:p>
        </w:tc>
        <w:tc>
          <w:tcPr>
            <w:tcW w:w="589" w:type="pct"/>
            <w:shd w:val="clear" w:color="auto" w:fill="auto"/>
            <w:noWrap/>
            <w:vAlign w:val="center"/>
          </w:tcPr>
          <w:p w:rsidR="00661E10" w:rsidRPr="00661E10" w:rsidRDefault="00661E10" w:rsidP="00661E10">
            <w:pPr>
              <w:jc w:val="center"/>
              <w:rPr>
                <w:bCs/>
                <w:color w:val="000000"/>
                <w:sz w:val="20"/>
                <w:szCs w:val="20"/>
              </w:rPr>
            </w:pPr>
            <w:r w:rsidRPr="00661E10">
              <w:rPr>
                <w:sz w:val="20"/>
                <w:szCs w:val="20"/>
              </w:rPr>
              <w:t>0.73</w:t>
            </w:r>
          </w:p>
        </w:tc>
        <w:tc>
          <w:tcPr>
            <w:tcW w:w="472" w:type="pct"/>
            <w:shd w:val="clear" w:color="auto" w:fill="auto"/>
            <w:vAlign w:val="center"/>
          </w:tcPr>
          <w:p w:rsidR="00661E10" w:rsidRPr="00661E10" w:rsidRDefault="00661E10" w:rsidP="00661E10">
            <w:pPr>
              <w:jc w:val="center"/>
              <w:rPr>
                <w:bCs/>
                <w:color w:val="000000"/>
                <w:sz w:val="20"/>
                <w:szCs w:val="20"/>
              </w:rPr>
            </w:pPr>
            <w:r w:rsidRPr="00661E10">
              <w:rPr>
                <w:sz w:val="20"/>
                <w:szCs w:val="20"/>
              </w:rPr>
              <w:t>N/A</w:t>
            </w:r>
          </w:p>
        </w:tc>
      </w:tr>
      <w:tr w:rsidR="00A874AC" w:rsidRPr="00661E10" w:rsidTr="008B5045">
        <w:trPr>
          <w:trHeight w:val="490"/>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 xml:space="preserve">FE: </w:t>
            </w:r>
            <w:r w:rsidRPr="00661E10">
              <w:rPr>
                <w:color w:val="000000"/>
                <w:sz w:val="20"/>
                <w:szCs w:val="20"/>
              </w:rPr>
              <w:t>West Penn</w:t>
            </w:r>
          </w:p>
        </w:tc>
        <w:tc>
          <w:tcPr>
            <w:tcW w:w="1796" w:type="pct"/>
            <w:shd w:val="clear" w:color="auto" w:fill="D2EAF1"/>
            <w:noWrap/>
          </w:tcPr>
          <w:p w:rsidR="00661E10" w:rsidRPr="00661E10" w:rsidRDefault="00661E10" w:rsidP="00661E10">
            <w:pPr>
              <w:jc w:val="left"/>
              <w:rPr>
                <w:bCs/>
                <w:color w:val="000000"/>
                <w:sz w:val="20"/>
                <w:szCs w:val="20"/>
              </w:rPr>
            </w:pPr>
            <w:r w:rsidRPr="00661E10">
              <w:rPr>
                <w:sz w:val="20"/>
                <w:szCs w:val="20"/>
              </w:rPr>
              <w:t>Small C/I Equipment</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0.39</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0.10</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0.72</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90"/>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bCs/>
                <w:color w:val="000000"/>
                <w:sz w:val="20"/>
                <w:szCs w:val="20"/>
              </w:rPr>
            </w:pPr>
            <w:r w:rsidRPr="00661E10">
              <w:rPr>
                <w:sz w:val="20"/>
                <w:szCs w:val="20"/>
              </w:rPr>
              <w:t>Large C/I Equipment</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0.35</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0.08</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0.73</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90"/>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Small C/I Buildings</w:t>
            </w:r>
          </w:p>
        </w:tc>
        <w:tc>
          <w:tcPr>
            <w:tcW w:w="651" w:type="pct"/>
            <w:shd w:val="clear" w:color="auto" w:fill="D2EAF1"/>
            <w:noWrap/>
            <w:vAlign w:val="center"/>
          </w:tcPr>
          <w:p w:rsidR="00661E10" w:rsidRPr="00661E10" w:rsidRDefault="00661E10" w:rsidP="00661E10">
            <w:pPr>
              <w:jc w:val="center"/>
              <w:rPr>
                <w:b/>
                <w:sz w:val="20"/>
                <w:szCs w:val="20"/>
              </w:rPr>
            </w:pPr>
            <w:r w:rsidRPr="00661E10">
              <w:rPr>
                <w:sz w:val="20"/>
                <w:szCs w:val="20"/>
              </w:rPr>
              <w:t>0.40</w:t>
            </w:r>
          </w:p>
        </w:tc>
        <w:tc>
          <w:tcPr>
            <w:tcW w:w="692" w:type="pct"/>
            <w:shd w:val="clear" w:color="auto" w:fill="D2EAF1"/>
            <w:noWrap/>
            <w:vAlign w:val="center"/>
          </w:tcPr>
          <w:p w:rsidR="00661E10" w:rsidRPr="00661E10" w:rsidRDefault="00661E10" w:rsidP="00661E10">
            <w:pPr>
              <w:jc w:val="center"/>
              <w:rPr>
                <w:sz w:val="20"/>
                <w:szCs w:val="20"/>
              </w:rPr>
            </w:pPr>
            <w:r w:rsidRPr="00661E10">
              <w:rPr>
                <w:sz w:val="20"/>
                <w:szCs w:val="20"/>
              </w:rPr>
              <w:t>0.00</w:t>
            </w:r>
          </w:p>
        </w:tc>
        <w:tc>
          <w:tcPr>
            <w:tcW w:w="589" w:type="pct"/>
            <w:shd w:val="clear" w:color="auto" w:fill="D2EAF1"/>
            <w:noWrap/>
            <w:vAlign w:val="center"/>
          </w:tcPr>
          <w:p w:rsidR="00661E10" w:rsidRPr="00661E10" w:rsidRDefault="00661E10" w:rsidP="00661E10">
            <w:pPr>
              <w:jc w:val="center"/>
              <w:rPr>
                <w:sz w:val="20"/>
                <w:szCs w:val="20"/>
              </w:rPr>
            </w:pPr>
            <w:r w:rsidRPr="00661E10">
              <w:rPr>
                <w:sz w:val="20"/>
                <w:szCs w:val="20"/>
              </w:rPr>
              <w:t>0.60</w:t>
            </w:r>
          </w:p>
        </w:tc>
        <w:tc>
          <w:tcPr>
            <w:tcW w:w="472" w:type="pct"/>
            <w:shd w:val="clear" w:color="auto" w:fill="D2EAF1"/>
            <w:vAlign w:val="center"/>
          </w:tcPr>
          <w:p w:rsidR="00661E10" w:rsidRPr="00661E10" w:rsidRDefault="00661E10" w:rsidP="00661E10">
            <w:pPr>
              <w:jc w:val="center"/>
              <w:rPr>
                <w:sz w:val="20"/>
                <w:szCs w:val="20"/>
              </w:rPr>
            </w:pPr>
            <w:r w:rsidRPr="00661E10">
              <w:rPr>
                <w:sz w:val="20"/>
                <w:szCs w:val="20"/>
              </w:rPr>
              <w:t>83</w:t>
            </w:r>
          </w:p>
        </w:tc>
      </w:tr>
      <w:tr w:rsidR="00A874AC" w:rsidRPr="00661E10" w:rsidTr="008B5045">
        <w:trPr>
          <w:trHeight w:val="490"/>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sz w:val="20"/>
                <w:szCs w:val="20"/>
              </w:rPr>
            </w:pPr>
            <w:r w:rsidRPr="00661E10">
              <w:rPr>
                <w:sz w:val="20"/>
                <w:szCs w:val="20"/>
              </w:rPr>
              <w:t>Large C/I Buildings</w:t>
            </w:r>
          </w:p>
        </w:tc>
        <w:tc>
          <w:tcPr>
            <w:tcW w:w="651" w:type="pct"/>
            <w:shd w:val="clear" w:color="auto" w:fill="auto"/>
            <w:noWrap/>
            <w:vAlign w:val="center"/>
          </w:tcPr>
          <w:p w:rsidR="00661E10" w:rsidRPr="00661E10" w:rsidRDefault="00661E10" w:rsidP="00661E10">
            <w:pPr>
              <w:jc w:val="center"/>
              <w:rPr>
                <w:sz w:val="20"/>
                <w:szCs w:val="20"/>
              </w:rPr>
            </w:pPr>
            <w:r w:rsidRPr="00661E10">
              <w:rPr>
                <w:sz w:val="20"/>
                <w:szCs w:val="20"/>
              </w:rPr>
              <w:t>0.52</w:t>
            </w:r>
          </w:p>
        </w:tc>
        <w:tc>
          <w:tcPr>
            <w:tcW w:w="692" w:type="pct"/>
            <w:shd w:val="clear" w:color="auto" w:fill="auto"/>
            <w:noWrap/>
            <w:vAlign w:val="center"/>
          </w:tcPr>
          <w:p w:rsidR="00661E10" w:rsidRPr="00661E10" w:rsidRDefault="00661E10" w:rsidP="00661E10">
            <w:pPr>
              <w:jc w:val="center"/>
              <w:rPr>
                <w:sz w:val="20"/>
                <w:szCs w:val="20"/>
              </w:rPr>
            </w:pPr>
            <w:r w:rsidRPr="00661E10">
              <w:rPr>
                <w:sz w:val="20"/>
                <w:szCs w:val="20"/>
              </w:rPr>
              <w:t>0.00</w:t>
            </w:r>
          </w:p>
        </w:tc>
        <w:tc>
          <w:tcPr>
            <w:tcW w:w="589" w:type="pct"/>
            <w:shd w:val="clear" w:color="auto" w:fill="auto"/>
            <w:noWrap/>
            <w:vAlign w:val="center"/>
          </w:tcPr>
          <w:p w:rsidR="00661E10" w:rsidRPr="00661E10" w:rsidRDefault="00661E10" w:rsidP="00661E10">
            <w:pPr>
              <w:jc w:val="center"/>
              <w:rPr>
                <w:sz w:val="20"/>
                <w:szCs w:val="20"/>
              </w:rPr>
            </w:pPr>
            <w:r w:rsidRPr="00661E10">
              <w:rPr>
                <w:sz w:val="20"/>
                <w:szCs w:val="20"/>
              </w:rPr>
              <w:t>0.48</w:t>
            </w:r>
          </w:p>
        </w:tc>
        <w:tc>
          <w:tcPr>
            <w:tcW w:w="472" w:type="pct"/>
            <w:shd w:val="clear" w:color="auto" w:fill="auto"/>
            <w:vAlign w:val="center"/>
          </w:tcPr>
          <w:p w:rsidR="00661E10" w:rsidRPr="00661E10" w:rsidRDefault="00661E10" w:rsidP="00661E10">
            <w:pPr>
              <w:jc w:val="center"/>
              <w:rPr>
                <w:sz w:val="20"/>
                <w:szCs w:val="20"/>
              </w:rPr>
            </w:pPr>
            <w:r w:rsidRPr="00661E10">
              <w:rPr>
                <w:sz w:val="20"/>
                <w:szCs w:val="20"/>
              </w:rPr>
              <w:t>9</w:t>
            </w:r>
          </w:p>
        </w:tc>
      </w:tr>
      <w:tr w:rsidR="00A874AC" w:rsidRPr="00661E10" w:rsidTr="008B5045">
        <w:trPr>
          <w:trHeight w:val="490"/>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bCs/>
                <w:color w:val="000000"/>
                <w:sz w:val="20"/>
                <w:szCs w:val="20"/>
              </w:rPr>
            </w:pPr>
            <w:r w:rsidRPr="00661E10">
              <w:rPr>
                <w:sz w:val="20"/>
                <w:szCs w:val="20"/>
              </w:rPr>
              <w:t>Government and Institutional</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0.38</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0.11</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0.73</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N/A</w:t>
            </w:r>
          </w:p>
        </w:tc>
      </w:tr>
      <w:tr w:rsidR="00E7173E" w:rsidRPr="00661E10" w:rsidTr="008B5045">
        <w:trPr>
          <w:trHeight w:val="490"/>
        </w:trPr>
        <w:tc>
          <w:tcPr>
            <w:tcW w:w="800" w:type="pct"/>
            <w:vMerge w:val="restart"/>
            <w:shd w:val="clear" w:color="auto" w:fill="auto"/>
          </w:tcPr>
          <w:p w:rsidR="00661E10" w:rsidRPr="00661E10" w:rsidRDefault="00661E10" w:rsidP="00661E10">
            <w:pPr>
              <w:jc w:val="left"/>
              <w:rPr>
                <w:color w:val="000000"/>
                <w:sz w:val="20"/>
                <w:szCs w:val="20"/>
              </w:rPr>
            </w:pPr>
            <w:r w:rsidRPr="00661E10">
              <w:rPr>
                <w:color w:val="000000"/>
                <w:sz w:val="20"/>
                <w:szCs w:val="20"/>
              </w:rPr>
              <w:t>PECO</w:t>
            </w:r>
          </w:p>
        </w:tc>
        <w:tc>
          <w:tcPr>
            <w:tcW w:w="1796" w:type="pct"/>
            <w:shd w:val="clear" w:color="auto" w:fill="auto"/>
            <w:noWrap/>
          </w:tcPr>
          <w:p w:rsidR="00661E10" w:rsidRPr="00661E10" w:rsidRDefault="00661E10" w:rsidP="00661E10">
            <w:pPr>
              <w:jc w:val="left"/>
              <w:rPr>
                <w:b/>
                <w:bCs/>
                <w:color w:val="000000"/>
                <w:sz w:val="20"/>
                <w:szCs w:val="20"/>
              </w:rPr>
            </w:pPr>
            <w:r w:rsidRPr="00661E10">
              <w:rPr>
                <w:sz w:val="20"/>
                <w:szCs w:val="20"/>
              </w:rPr>
              <w:t>Smart Equipment Incentives (SEI) – C/I</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0.37</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0.01</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0.64</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51</w:t>
            </w:r>
          </w:p>
        </w:tc>
      </w:tr>
      <w:tr w:rsidR="00A874AC"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b/>
                <w:bCs/>
                <w:color w:val="000000"/>
                <w:sz w:val="20"/>
                <w:szCs w:val="20"/>
              </w:rPr>
            </w:pPr>
            <w:r w:rsidRPr="00661E10">
              <w:rPr>
                <w:sz w:val="20"/>
                <w:szCs w:val="20"/>
              </w:rPr>
              <w:t>Smart Equipment Incentives (SEI) – GNI</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0.58</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0.01</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0.43</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35</w:t>
            </w:r>
          </w:p>
        </w:tc>
      </w:tr>
      <w:tr w:rsidR="00E7173E"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b/>
                <w:bCs/>
                <w:color w:val="000000"/>
                <w:sz w:val="20"/>
                <w:szCs w:val="20"/>
              </w:rPr>
            </w:pPr>
            <w:r w:rsidRPr="00661E10">
              <w:rPr>
                <w:sz w:val="20"/>
                <w:szCs w:val="20"/>
              </w:rPr>
              <w:t>Smart Construction Incentives (SCI)</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0.48</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0.00</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0.52</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b/>
                <w:bCs/>
                <w:color w:val="000000"/>
                <w:sz w:val="20"/>
                <w:szCs w:val="20"/>
              </w:rPr>
            </w:pPr>
            <w:r w:rsidRPr="00661E10">
              <w:rPr>
                <w:sz w:val="20"/>
                <w:szCs w:val="20"/>
              </w:rPr>
              <w:t>Smart Multi-Family (SMF) Solutions Program</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0.38</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0.00</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0.62</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22</w:t>
            </w:r>
          </w:p>
        </w:tc>
      </w:tr>
      <w:tr w:rsidR="00E7173E"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b/>
                <w:bCs/>
                <w:color w:val="000000"/>
                <w:sz w:val="20"/>
                <w:szCs w:val="20"/>
              </w:rPr>
            </w:pPr>
            <w:r w:rsidRPr="00661E10">
              <w:rPr>
                <w:sz w:val="20"/>
                <w:szCs w:val="20"/>
              </w:rPr>
              <w:t>Smart AC Saver – Commercial</w:t>
            </w:r>
            <w:r w:rsidRPr="00661E10">
              <w:rPr>
                <w:sz w:val="20"/>
                <w:szCs w:val="20"/>
                <w:vertAlign w:val="superscript"/>
              </w:rPr>
              <w:t xml:space="preserve"> </w:t>
            </w:r>
          </w:p>
        </w:tc>
        <w:tc>
          <w:tcPr>
            <w:tcW w:w="651" w:type="pct"/>
            <w:shd w:val="clear" w:color="auto" w:fill="auto"/>
            <w:noWrap/>
            <w:vAlign w:val="center"/>
          </w:tcPr>
          <w:p w:rsidR="00661E10" w:rsidRPr="00661E10" w:rsidRDefault="00661E10" w:rsidP="00661E10">
            <w:pPr>
              <w:jc w:val="center"/>
              <w:rPr>
                <w:bCs/>
                <w:color w:val="000000"/>
                <w:sz w:val="20"/>
                <w:szCs w:val="20"/>
              </w:rPr>
            </w:pPr>
            <w:r w:rsidRPr="00661E10">
              <w:rPr>
                <w:sz w:val="20"/>
                <w:szCs w:val="20"/>
              </w:rPr>
              <w:t>N/A</w:t>
            </w:r>
          </w:p>
        </w:tc>
        <w:tc>
          <w:tcPr>
            <w:tcW w:w="692" w:type="pct"/>
            <w:shd w:val="clear" w:color="auto" w:fill="auto"/>
            <w:noWrap/>
            <w:vAlign w:val="center"/>
          </w:tcPr>
          <w:p w:rsidR="00661E10" w:rsidRPr="00661E10" w:rsidRDefault="00661E10" w:rsidP="00661E10">
            <w:pPr>
              <w:jc w:val="center"/>
              <w:rPr>
                <w:bCs/>
                <w:color w:val="000000"/>
                <w:sz w:val="20"/>
                <w:szCs w:val="20"/>
              </w:rPr>
            </w:pPr>
            <w:r w:rsidRPr="00661E10">
              <w:rPr>
                <w:sz w:val="20"/>
                <w:szCs w:val="20"/>
              </w:rPr>
              <w:t>N/A</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N/A</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90"/>
        </w:trPr>
        <w:tc>
          <w:tcPr>
            <w:tcW w:w="800" w:type="pct"/>
            <w:vMerge/>
            <w:shd w:val="clear" w:color="auto" w:fill="auto"/>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Smart On-Site (SOS)</w:t>
            </w:r>
          </w:p>
        </w:tc>
        <w:tc>
          <w:tcPr>
            <w:tcW w:w="651" w:type="pct"/>
            <w:shd w:val="clear" w:color="auto" w:fill="D2EAF1"/>
            <w:noWrap/>
            <w:vAlign w:val="center"/>
          </w:tcPr>
          <w:p w:rsidR="00661E10" w:rsidRPr="00661E10" w:rsidRDefault="00661E10" w:rsidP="00661E10">
            <w:pPr>
              <w:jc w:val="center"/>
              <w:rPr>
                <w:sz w:val="20"/>
                <w:szCs w:val="20"/>
              </w:rPr>
            </w:pPr>
            <w:r w:rsidRPr="00661E10">
              <w:rPr>
                <w:sz w:val="20"/>
                <w:szCs w:val="20"/>
              </w:rPr>
              <w:t>0.11</w:t>
            </w:r>
          </w:p>
        </w:tc>
        <w:tc>
          <w:tcPr>
            <w:tcW w:w="692" w:type="pct"/>
            <w:shd w:val="clear" w:color="auto" w:fill="D2EAF1"/>
            <w:noWrap/>
            <w:vAlign w:val="center"/>
          </w:tcPr>
          <w:p w:rsidR="00661E10" w:rsidRPr="00661E10" w:rsidRDefault="00661E10" w:rsidP="00661E10">
            <w:pPr>
              <w:jc w:val="center"/>
              <w:rPr>
                <w:sz w:val="20"/>
                <w:szCs w:val="20"/>
              </w:rPr>
            </w:pPr>
            <w:r w:rsidRPr="00661E10">
              <w:rPr>
                <w:sz w:val="20"/>
                <w:szCs w:val="20"/>
              </w:rPr>
              <w:t>0.00</w:t>
            </w:r>
          </w:p>
        </w:tc>
        <w:tc>
          <w:tcPr>
            <w:tcW w:w="589" w:type="pct"/>
            <w:shd w:val="clear" w:color="auto" w:fill="D2EAF1"/>
            <w:noWrap/>
            <w:vAlign w:val="center"/>
          </w:tcPr>
          <w:p w:rsidR="00661E10" w:rsidRPr="00661E10" w:rsidRDefault="00661E10" w:rsidP="00661E10">
            <w:pPr>
              <w:jc w:val="center"/>
              <w:rPr>
                <w:sz w:val="20"/>
                <w:szCs w:val="20"/>
              </w:rPr>
            </w:pPr>
            <w:r w:rsidRPr="00661E10">
              <w:rPr>
                <w:sz w:val="20"/>
                <w:szCs w:val="20"/>
              </w:rPr>
              <w:t>0.89</w:t>
            </w:r>
          </w:p>
        </w:tc>
        <w:tc>
          <w:tcPr>
            <w:tcW w:w="472" w:type="pct"/>
            <w:shd w:val="clear" w:color="auto" w:fill="D2EAF1"/>
            <w:vAlign w:val="center"/>
          </w:tcPr>
          <w:p w:rsidR="00661E10" w:rsidRPr="00661E10" w:rsidRDefault="00661E10" w:rsidP="00661E10">
            <w:pPr>
              <w:jc w:val="center"/>
              <w:rPr>
                <w:sz w:val="20"/>
                <w:szCs w:val="20"/>
              </w:rPr>
            </w:pPr>
            <w:r w:rsidRPr="00661E10">
              <w:rPr>
                <w:sz w:val="20"/>
                <w:szCs w:val="20"/>
              </w:rPr>
              <w:t>6</w:t>
            </w:r>
          </w:p>
        </w:tc>
      </w:tr>
      <w:tr w:rsidR="003F0DB1" w:rsidRPr="00661E10" w:rsidTr="008B5045">
        <w:trPr>
          <w:trHeight w:val="490"/>
        </w:trPr>
        <w:tc>
          <w:tcPr>
            <w:tcW w:w="800" w:type="pct"/>
            <w:vMerge/>
            <w:shd w:val="clear" w:color="auto" w:fill="auto"/>
          </w:tcPr>
          <w:p w:rsidR="003F0DB1" w:rsidRPr="00661E10" w:rsidRDefault="003F0DB1" w:rsidP="003F0DB1">
            <w:pPr>
              <w:jc w:val="left"/>
              <w:rPr>
                <w:color w:val="000000"/>
                <w:sz w:val="20"/>
                <w:szCs w:val="20"/>
              </w:rPr>
            </w:pPr>
          </w:p>
        </w:tc>
        <w:tc>
          <w:tcPr>
            <w:tcW w:w="1796" w:type="pct"/>
            <w:shd w:val="clear" w:color="auto" w:fill="auto"/>
            <w:noWrap/>
          </w:tcPr>
          <w:p w:rsidR="003F0DB1" w:rsidRPr="00661E10" w:rsidRDefault="003F0DB1" w:rsidP="003F0DB1">
            <w:pPr>
              <w:jc w:val="left"/>
              <w:rPr>
                <w:sz w:val="20"/>
                <w:szCs w:val="20"/>
              </w:rPr>
            </w:pPr>
            <w:r w:rsidRPr="00661E10">
              <w:rPr>
                <w:sz w:val="20"/>
                <w:szCs w:val="20"/>
              </w:rPr>
              <w:t>Smart Business Solutions (SBS)</w:t>
            </w:r>
            <w:r w:rsidR="005F4C4F" w:rsidRPr="005F4C4F">
              <w:rPr>
                <w:sz w:val="20"/>
                <w:szCs w:val="20"/>
                <w:vertAlign w:val="superscript"/>
              </w:rPr>
              <w:t>[e]</w:t>
            </w:r>
          </w:p>
        </w:tc>
        <w:tc>
          <w:tcPr>
            <w:tcW w:w="651" w:type="pct"/>
            <w:shd w:val="clear" w:color="auto" w:fill="auto"/>
            <w:noWrap/>
            <w:vAlign w:val="center"/>
          </w:tcPr>
          <w:p w:rsidR="003F0DB1" w:rsidRPr="00661E10" w:rsidRDefault="003F0DB1" w:rsidP="003F0DB1">
            <w:pPr>
              <w:jc w:val="center"/>
              <w:rPr>
                <w:sz w:val="20"/>
                <w:szCs w:val="20"/>
              </w:rPr>
            </w:pPr>
            <w:r w:rsidRPr="003A0F59">
              <w:rPr>
                <w:sz w:val="20"/>
                <w:szCs w:val="20"/>
              </w:rPr>
              <w:t>0.10</w:t>
            </w:r>
          </w:p>
        </w:tc>
        <w:tc>
          <w:tcPr>
            <w:tcW w:w="692" w:type="pct"/>
            <w:shd w:val="clear" w:color="auto" w:fill="auto"/>
            <w:noWrap/>
            <w:vAlign w:val="center"/>
          </w:tcPr>
          <w:p w:rsidR="003F0DB1" w:rsidRPr="00661E10" w:rsidRDefault="003F0DB1" w:rsidP="003F0DB1">
            <w:pPr>
              <w:jc w:val="center"/>
              <w:rPr>
                <w:sz w:val="20"/>
                <w:szCs w:val="20"/>
              </w:rPr>
            </w:pPr>
            <w:r w:rsidRPr="003A0F59">
              <w:rPr>
                <w:sz w:val="20"/>
                <w:szCs w:val="20"/>
              </w:rPr>
              <w:t>0.00</w:t>
            </w:r>
          </w:p>
        </w:tc>
        <w:tc>
          <w:tcPr>
            <w:tcW w:w="589" w:type="pct"/>
            <w:shd w:val="clear" w:color="auto" w:fill="auto"/>
            <w:noWrap/>
            <w:vAlign w:val="center"/>
          </w:tcPr>
          <w:p w:rsidR="003F0DB1" w:rsidRPr="00661E10" w:rsidRDefault="003F0DB1" w:rsidP="003F0DB1">
            <w:pPr>
              <w:jc w:val="center"/>
              <w:rPr>
                <w:sz w:val="20"/>
                <w:szCs w:val="20"/>
              </w:rPr>
            </w:pPr>
            <w:r w:rsidRPr="003A0F59">
              <w:rPr>
                <w:sz w:val="20"/>
                <w:szCs w:val="20"/>
              </w:rPr>
              <w:t>0.90</w:t>
            </w:r>
          </w:p>
        </w:tc>
        <w:tc>
          <w:tcPr>
            <w:tcW w:w="472" w:type="pct"/>
            <w:shd w:val="clear" w:color="auto" w:fill="auto"/>
            <w:vAlign w:val="center"/>
          </w:tcPr>
          <w:p w:rsidR="003F0DB1" w:rsidRPr="00661E10" w:rsidRDefault="003F0DB1" w:rsidP="003F0DB1">
            <w:pPr>
              <w:jc w:val="center"/>
              <w:rPr>
                <w:sz w:val="20"/>
                <w:szCs w:val="20"/>
              </w:rPr>
            </w:pPr>
            <w:r w:rsidRPr="003A0F59">
              <w:rPr>
                <w:sz w:val="20"/>
                <w:szCs w:val="20"/>
              </w:rPr>
              <w:t>N/A</w:t>
            </w:r>
          </w:p>
        </w:tc>
      </w:tr>
      <w:tr w:rsidR="00A874AC" w:rsidRPr="00661E10" w:rsidTr="008B5045">
        <w:trPr>
          <w:trHeight w:val="490"/>
        </w:trPr>
        <w:tc>
          <w:tcPr>
            <w:tcW w:w="800" w:type="pct"/>
            <w:vMerge w:val="restart"/>
            <w:shd w:val="clear" w:color="auto" w:fill="D2EAF1"/>
          </w:tcPr>
          <w:p w:rsidR="00661E10" w:rsidRPr="00661E10" w:rsidRDefault="00661E10" w:rsidP="00661E10">
            <w:pPr>
              <w:jc w:val="left"/>
              <w:rPr>
                <w:color w:val="000000"/>
                <w:sz w:val="20"/>
                <w:szCs w:val="20"/>
              </w:rPr>
            </w:pPr>
            <w:r w:rsidRPr="00661E10">
              <w:rPr>
                <w:color w:val="000000"/>
                <w:sz w:val="20"/>
                <w:szCs w:val="20"/>
              </w:rPr>
              <w:t>PPL</w:t>
            </w:r>
          </w:p>
        </w:tc>
        <w:tc>
          <w:tcPr>
            <w:tcW w:w="1796" w:type="pct"/>
            <w:shd w:val="clear" w:color="auto" w:fill="D2EAF1"/>
            <w:noWrap/>
          </w:tcPr>
          <w:p w:rsidR="00661E10" w:rsidRPr="00661E10" w:rsidRDefault="00661E10" w:rsidP="00661E10">
            <w:pPr>
              <w:jc w:val="left"/>
              <w:rPr>
                <w:b/>
                <w:bCs/>
                <w:color w:val="000000"/>
                <w:sz w:val="20"/>
                <w:szCs w:val="20"/>
              </w:rPr>
            </w:pPr>
            <w:r w:rsidRPr="00661E10">
              <w:rPr>
                <w:sz w:val="20"/>
                <w:szCs w:val="20"/>
              </w:rPr>
              <w:t>Prescriptive Equipment Program</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0.23</w:t>
            </w:r>
          </w:p>
        </w:tc>
        <w:tc>
          <w:tcPr>
            <w:tcW w:w="69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0.00</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0.77</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77</w:t>
            </w:r>
          </w:p>
        </w:tc>
      </w:tr>
      <w:tr w:rsidR="00A874AC" w:rsidRPr="00661E10" w:rsidTr="008B5045">
        <w:trPr>
          <w:trHeight w:val="490"/>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b/>
                <w:bCs/>
                <w:color w:val="000000"/>
                <w:sz w:val="20"/>
                <w:szCs w:val="20"/>
              </w:rPr>
            </w:pPr>
            <w:r w:rsidRPr="00661E10">
              <w:rPr>
                <w:sz w:val="20"/>
                <w:szCs w:val="20"/>
              </w:rPr>
              <w:t>Custom Incentive Program</w:t>
            </w:r>
          </w:p>
        </w:tc>
        <w:tc>
          <w:tcPr>
            <w:tcW w:w="651"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0.39</w:t>
            </w:r>
          </w:p>
        </w:tc>
        <w:tc>
          <w:tcPr>
            <w:tcW w:w="692"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0.00</w:t>
            </w:r>
          </w:p>
        </w:tc>
        <w:tc>
          <w:tcPr>
            <w:tcW w:w="589" w:type="pct"/>
            <w:shd w:val="clear" w:color="auto" w:fill="auto"/>
            <w:noWrap/>
            <w:vAlign w:val="center"/>
          </w:tcPr>
          <w:p w:rsidR="00661E10" w:rsidRPr="00661E10" w:rsidRDefault="00661E10" w:rsidP="00661E10">
            <w:pPr>
              <w:jc w:val="center"/>
              <w:rPr>
                <w:b/>
                <w:bCs/>
                <w:color w:val="000000"/>
                <w:sz w:val="20"/>
                <w:szCs w:val="20"/>
              </w:rPr>
            </w:pPr>
            <w:r w:rsidRPr="00661E10">
              <w:rPr>
                <w:sz w:val="20"/>
                <w:szCs w:val="20"/>
              </w:rPr>
              <w:t>0.61</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21</w:t>
            </w:r>
          </w:p>
        </w:tc>
      </w:tr>
      <w:tr w:rsidR="00A874AC" w:rsidRPr="00661E10" w:rsidTr="008B5045">
        <w:trPr>
          <w:trHeight w:val="490"/>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sz w:val="20"/>
                <w:szCs w:val="20"/>
              </w:rPr>
            </w:pPr>
            <w:r w:rsidRPr="00661E10">
              <w:rPr>
                <w:sz w:val="20"/>
                <w:szCs w:val="20"/>
              </w:rPr>
              <w:t>School Benchmarking</w:t>
            </w:r>
          </w:p>
        </w:tc>
        <w:tc>
          <w:tcPr>
            <w:tcW w:w="651" w:type="pct"/>
            <w:shd w:val="clear" w:color="auto" w:fill="D2EAF1"/>
            <w:noWrap/>
            <w:vAlign w:val="center"/>
          </w:tcPr>
          <w:p w:rsidR="00661E10" w:rsidRPr="00661E10" w:rsidRDefault="005F4C4F" w:rsidP="00661E10">
            <w:pPr>
              <w:jc w:val="center"/>
              <w:rPr>
                <w:sz w:val="20"/>
                <w:szCs w:val="20"/>
              </w:rPr>
            </w:pPr>
            <w:r>
              <w:rPr>
                <w:sz w:val="20"/>
                <w:szCs w:val="20"/>
              </w:rPr>
              <w:t>NS</w:t>
            </w:r>
          </w:p>
        </w:tc>
        <w:tc>
          <w:tcPr>
            <w:tcW w:w="692" w:type="pct"/>
            <w:shd w:val="clear" w:color="auto" w:fill="D2EAF1"/>
            <w:noWrap/>
            <w:vAlign w:val="center"/>
          </w:tcPr>
          <w:p w:rsidR="00661E10" w:rsidRPr="00661E10" w:rsidRDefault="005F4C4F" w:rsidP="00661E10">
            <w:pPr>
              <w:jc w:val="center"/>
              <w:rPr>
                <w:sz w:val="20"/>
                <w:szCs w:val="20"/>
              </w:rPr>
            </w:pPr>
            <w:r>
              <w:rPr>
                <w:sz w:val="20"/>
                <w:szCs w:val="20"/>
              </w:rPr>
              <w:t>NS</w:t>
            </w:r>
          </w:p>
        </w:tc>
        <w:tc>
          <w:tcPr>
            <w:tcW w:w="589" w:type="pct"/>
            <w:shd w:val="clear" w:color="auto" w:fill="D2EAF1"/>
            <w:noWrap/>
            <w:vAlign w:val="center"/>
          </w:tcPr>
          <w:p w:rsidR="00661E10" w:rsidRPr="00661E10" w:rsidRDefault="00661E10" w:rsidP="005F4C4F">
            <w:pPr>
              <w:jc w:val="center"/>
              <w:rPr>
                <w:sz w:val="20"/>
                <w:szCs w:val="20"/>
              </w:rPr>
            </w:pPr>
            <w:r w:rsidRPr="00661E10">
              <w:rPr>
                <w:sz w:val="20"/>
                <w:szCs w:val="20"/>
              </w:rPr>
              <w:t>N</w:t>
            </w:r>
            <w:r w:rsidR="005F4C4F">
              <w:rPr>
                <w:sz w:val="20"/>
                <w:szCs w:val="20"/>
              </w:rPr>
              <w:t>S</w:t>
            </w:r>
          </w:p>
        </w:tc>
        <w:tc>
          <w:tcPr>
            <w:tcW w:w="472" w:type="pct"/>
            <w:shd w:val="clear" w:color="auto" w:fill="D2EAF1"/>
            <w:vAlign w:val="center"/>
          </w:tcPr>
          <w:p w:rsidR="00661E10" w:rsidRPr="00661E10" w:rsidRDefault="00661E10" w:rsidP="005F4C4F">
            <w:pPr>
              <w:jc w:val="center"/>
              <w:rPr>
                <w:sz w:val="20"/>
                <w:szCs w:val="20"/>
              </w:rPr>
            </w:pPr>
            <w:r w:rsidRPr="00661E10">
              <w:rPr>
                <w:sz w:val="20"/>
                <w:szCs w:val="20"/>
              </w:rPr>
              <w:t>N</w:t>
            </w:r>
            <w:r w:rsidR="005F4C4F">
              <w:rPr>
                <w:sz w:val="20"/>
                <w:szCs w:val="20"/>
              </w:rPr>
              <w:t>S</w:t>
            </w:r>
          </w:p>
        </w:tc>
      </w:tr>
      <w:tr w:rsidR="00A874AC" w:rsidRPr="00661E10" w:rsidTr="008B5045">
        <w:trPr>
          <w:trHeight w:val="490"/>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auto"/>
            <w:noWrap/>
          </w:tcPr>
          <w:p w:rsidR="00661E10" w:rsidRPr="00661E10" w:rsidRDefault="00661E10" w:rsidP="00661E10">
            <w:pPr>
              <w:jc w:val="left"/>
              <w:rPr>
                <w:b/>
                <w:bCs/>
                <w:color w:val="000000"/>
                <w:sz w:val="20"/>
                <w:szCs w:val="20"/>
              </w:rPr>
            </w:pPr>
            <w:r w:rsidRPr="00661E10">
              <w:rPr>
                <w:sz w:val="20"/>
                <w:szCs w:val="20"/>
              </w:rPr>
              <w:t>Master Metered Low-Income Multifamily (MMMF) Program</w:t>
            </w:r>
          </w:p>
        </w:tc>
        <w:tc>
          <w:tcPr>
            <w:tcW w:w="651" w:type="pct"/>
            <w:shd w:val="clear" w:color="auto" w:fill="auto"/>
            <w:noWrap/>
            <w:vAlign w:val="center"/>
          </w:tcPr>
          <w:p w:rsidR="00661E10" w:rsidRPr="00661E10" w:rsidRDefault="00661E10" w:rsidP="00661E10">
            <w:pPr>
              <w:jc w:val="center"/>
              <w:rPr>
                <w:sz w:val="20"/>
                <w:szCs w:val="20"/>
              </w:rPr>
            </w:pPr>
            <w:r w:rsidRPr="00661E10">
              <w:rPr>
                <w:sz w:val="20"/>
                <w:szCs w:val="20"/>
              </w:rPr>
              <w:t xml:space="preserve">N/A </w:t>
            </w:r>
          </w:p>
        </w:tc>
        <w:tc>
          <w:tcPr>
            <w:tcW w:w="692" w:type="pct"/>
            <w:shd w:val="clear" w:color="auto" w:fill="auto"/>
            <w:noWrap/>
            <w:vAlign w:val="center"/>
          </w:tcPr>
          <w:p w:rsidR="00661E10" w:rsidRPr="00661E10" w:rsidRDefault="00661E10" w:rsidP="00661E10">
            <w:pPr>
              <w:jc w:val="center"/>
              <w:rPr>
                <w:sz w:val="20"/>
                <w:szCs w:val="20"/>
              </w:rPr>
            </w:pPr>
            <w:r w:rsidRPr="00661E10">
              <w:rPr>
                <w:sz w:val="20"/>
                <w:szCs w:val="20"/>
              </w:rPr>
              <w:t xml:space="preserve">N/A </w:t>
            </w:r>
          </w:p>
        </w:tc>
        <w:tc>
          <w:tcPr>
            <w:tcW w:w="589" w:type="pct"/>
            <w:shd w:val="clear" w:color="auto" w:fill="auto"/>
            <w:noWrap/>
            <w:vAlign w:val="center"/>
          </w:tcPr>
          <w:p w:rsidR="00661E10" w:rsidRPr="00661E10" w:rsidRDefault="00661E10" w:rsidP="00661E10">
            <w:pPr>
              <w:jc w:val="center"/>
              <w:rPr>
                <w:sz w:val="20"/>
                <w:szCs w:val="20"/>
              </w:rPr>
            </w:pPr>
            <w:r w:rsidRPr="00661E10">
              <w:rPr>
                <w:sz w:val="20"/>
                <w:szCs w:val="20"/>
              </w:rPr>
              <w:t xml:space="preserve">Not reported </w:t>
            </w:r>
          </w:p>
        </w:tc>
        <w:tc>
          <w:tcPr>
            <w:tcW w:w="472" w:type="pct"/>
            <w:shd w:val="clear" w:color="auto" w:fill="auto"/>
            <w:vAlign w:val="center"/>
          </w:tcPr>
          <w:p w:rsidR="00661E10" w:rsidRPr="00661E10" w:rsidRDefault="00661E10" w:rsidP="00661E10">
            <w:pPr>
              <w:jc w:val="center"/>
              <w:rPr>
                <w:b/>
                <w:bCs/>
                <w:color w:val="000000"/>
                <w:sz w:val="20"/>
                <w:szCs w:val="20"/>
              </w:rPr>
            </w:pPr>
            <w:r w:rsidRPr="00661E10">
              <w:rPr>
                <w:sz w:val="20"/>
                <w:szCs w:val="20"/>
              </w:rPr>
              <w:t>N/A</w:t>
            </w:r>
          </w:p>
        </w:tc>
      </w:tr>
      <w:tr w:rsidR="00A874AC" w:rsidRPr="00661E10" w:rsidTr="008B5045">
        <w:trPr>
          <w:trHeight w:val="490"/>
        </w:trPr>
        <w:tc>
          <w:tcPr>
            <w:tcW w:w="800" w:type="pct"/>
            <w:vMerge/>
            <w:shd w:val="clear" w:color="auto" w:fill="D2EAF1"/>
          </w:tcPr>
          <w:p w:rsidR="00661E10" w:rsidRPr="00661E10" w:rsidRDefault="00661E10" w:rsidP="00661E10">
            <w:pPr>
              <w:jc w:val="left"/>
              <w:rPr>
                <w:color w:val="000000"/>
                <w:sz w:val="20"/>
                <w:szCs w:val="20"/>
              </w:rPr>
            </w:pPr>
          </w:p>
        </w:tc>
        <w:tc>
          <w:tcPr>
            <w:tcW w:w="1796" w:type="pct"/>
            <w:shd w:val="clear" w:color="auto" w:fill="D2EAF1"/>
            <w:noWrap/>
          </w:tcPr>
          <w:p w:rsidR="00661E10" w:rsidRPr="00661E10" w:rsidRDefault="00661E10" w:rsidP="00661E10">
            <w:pPr>
              <w:jc w:val="left"/>
              <w:rPr>
                <w:bCs/>
                <w:color w:val="000000"/>
                <w:sz w:val="20"/>
                <w:szCs w:val="20"/>
              </w:rPr>
            </w:pPr>
            <w:r w:rsidRPr="00661E10">
              <w:rPr>
                <w:sz w:val="20"/>
                <w:szCs w:val="20"/>
              </w:rPr>
              <w:t>Continuous Energy Improvement (CEI) Program</w:t>
            </w:r>
          </w:p>
        </w:tc>
        <w:tc>
          <w:tcPr>
            <w:tcW w:w="651"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0.00</w:t>
            </w:r>
          </w:p>
        </w:tc>
        <w:tc>
          <w:tcPr>
            <w:tcW w:w="692" w:type="pct"/>
            <w:shd w:val="clear" w:color="auto" w:fill="D2EAF1"/>
            <w:noWrap/>
            <w:vAlign w:val="center"/>
          </w:tcPr>
          <w:p w:rsidR="00661E10" w:rsidRPr="00661E10" w:rsidRDefault="00D815AF" w:rsidP="00661E10">
            <w:pPr>
              <w:jc w:val="center"/>
              <w:rPr>
                <w:b/>
                <w:bCs/>
                <w:color w:val="000000"/>
                <w:sz w:val="20"/>
                <w:szCs w:val="20"/>
              </w:rPr>
            </w:pPr>
            <w:r>
              <w:rPr>
                <w:bCs/>
                <w:color w:val="000000"/>
                <w:sz w:val="20"/>
                <w:szCs w:val="20"/>
              </w:rPr>
              <w:t>0.00</w:t>
            </w:r>
          </w:p>
        </w:tc>
        <w:tc>
          <w:tcPr>
            <w:tcW w:w="589"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1.00</w:t>
            </w:r>
          </w:p>
        </w:tc>
        <w:tc>
          <w:tcPr>
            <w:tcW w:w="472" w:type="pct"/>
            <w:shd w:val="clear" w:color="auto" w:fill="D2EAF1"/>
            <w:vAlign w:val="center"/>
          </w:tcPr>
          <w:p w:rsidR="00661E10" w:rsidRPr="00661E10" w:rsidRDefault="00661E10" w:rsidP="00661E10">
            <w:pPr>
              <w:jc w:val="center"/>
              <w:rPr>
                <w:b/>
                <w:bCs/>
                <w:color w:val="000000"/>
                <w:sz w:val="20"/>
                <w:szCs w:val="20"/>
              </w:rPr>
            </w:pPr>
            <w:r w:rsidRPr="00661E10">
              <w:rPr>
                <w:sz w:val="20"/>
                <w:szCs w:val="20"/>
              </w:rPr>
              <w:t>23</w:t>
            </w:r>
          </w:p>
        </w:tc>
      </w:tr>
      <w:tr w:rsidR="00E7173E" w:rsidRPr="00661E10" w:rsidTr="008B5045">
        <w:trPr>
          <w:trHeight w:val="288"/>
        </w:trPr>
        <w:tc>
          <w:tcPr>
            <w:tcW w:w="5000" w:type="pct"/>
            <w:gridSpan w:val="6"/>
            <w:shd w:val="clear" w:color="auto" w:fill="448A99"/>
          </w:tcPr>
          <w:p w:rsidR="00661E10" w:rsidRPr="00661E10" w:rsidRDefault="00661E10" w:rsidP="00661E10">
            <w:pPr>
              <w:jc w:val="left"/>
              <w:rPr>
                <w:bCs/>
                <w:color w:val="FFFFFF"/>
                <w:sz w:val="18"/>
                <w:szCs w:val="20"/>
              </w:rPr>
            </w:pPr>
            <w:r w:rsidRPr="00661E10">
              <w:rPr>
                <w:bCs/>
                <w:color w:val="FFFFFF"/>
                <w:sz w:val="18"/>
                <w:szCs w:val="20"/>
              </w:rPr>
              <w:t>NOTES</w:t>
            </w:r>
            <w:r w:rsidR="00630371">
              <w:rPr>
                <w:bCs/>
                <w:color w:val="FFFFFF"/>
                <w:sz w:val="18"/>
                <w:szCs w:val="20"/>
              </w:rPr>
              <w:t>:</w:t>
            </w:r>
          </w:p>
          <w:p w:rsidR="00661E10" w:rsidRPr="00661E10" w:rsidRDefault="00661E10" w:rsidP="00661E10">
            <w:pPr>
              <w:jc w:val="left"/>
              <w:rPr>
                <w:color w:val="FFFFFF"/>
                <w:sz w:val="18"/>
                <w:szCs w:val="20"/>
              </w:rPr>
            </w:pPr>
            <w:r w:rsidRPr="00E64DB3">
              <w:rPr>
                <w:color w:val="FFFFFF"/>
                <w:sz w:val="18"/>
                <w:szCs w:val="18"/>
                <w:vertAlign w:val="superscript"/>
              </w:rPr>
              <w:t>[a]</w:t>
            </w:r>
            <w:r w:rsidRPr="00661E10">
              <w:rPr>
                <w:bCs/>
                <w:color w:val="FFFFFF"/>
                <w:sz w:val="18"/>
                <w:szCs w:val="20"/>
              </w:rPr>
              <w:t xml:space="preserve"> </w:t>
            </w:r>
            <w:r w:rsidRPr="00661E10">
              <w:rPr>
                <w:color w:val="FFFFFF"/>
                <w:sz w:val="18"/>
                <w:szCs w:val="20"/>
              </w:rPr>
              <w:t xml:space="preserve">NTGR = 1 – free-ridership + spillover. In some cases, the NTGR shown in the table may not equal exactly 1 – </w:t>
            </w:r>
            <w:r w:rsidRPr="00661E10">
              <w:rPr>
                <w:rFonts w:eastAsia="Calibri"/>
                <w:color w:val="FFFFFF"/>
                <w:sz w:val="18"/>
                <w:szCs w:val="20"/>
              </w:rPr>
              <w:t>free-ridership + spillover</w:t>
            </w:r>
            <w:r w:rsidRPr="00661E10">
              <w:rPr>
                <w:color w:val="FFFFFF"/>
                <w:sz w:val="18"/>
                <w:szCs w:val="20"/>
              </w:rPr>
              <w:t xml:space="preserve"> because of rounding.</w:t>
            </w:r>
          </w:p>
          <w:p w:rsidR="00661E10" w:rsidRDefault="00661E10" w:rsidP="00661E10">
            <w:pPr>
              <w:jc w:val="left"/>
              <w:rPr>
                <w:bCs/>
                <w:color w:val="FFFFFF"/>
                <w:sz w:val="18"/>
                <w:szCs w:val="20"/>
              </w:rPr>
            </w:pPr>
            <w:r w:rsidRPr="00E64DB3">
              <w:rPr>
                <w:color w:val="FFFFFF"/>
                <w:sz w:val="18"/>
                <w:szCs w:val="18"/>
                <w:vertAlign w:val="superscript"/>
              </w:rPr>
              <w:t>[b]</w:t>
            </w:r>
            <w:r w:rsidRPr="00661E10">
              <w:rPr>
                <w:bCs/>
                <w:color w:val="FFFFFF"/>
                <w:sz w:val="18"/>
                <w:szCs w:val="20"/>
              </w:rPr>
              <w:t xml:space="preserve"> </w:t>
            </w:r>
            <w:r w:rsidR="005F4C4F" w:rsidRPr="005F4C4F">
              <w:rPr>
                <w:bCs/>
                <w:color w:val="FFFFFF"/>
                <w:sz w:val="18"/>
                <w:szCs w:val="20"/>
              </w:rPr>
              <w:t>N/A denotes programs for which no sample was collected to estimate NTGR. NS denotes programs for which no savings are claimed</w:t>
            </w:r>
            <w:r w:rsidRPr="00661E10">
              <w:rPr>
                <w:bCs/>
                <w:color w:val="FFFFFF"/>
                <w:sz w:val="18"/>
                <w:szCs w:val="20"/>
              </w:rPr>
              <w:t>.</w:t>
            </w:r>
          </w:p>
          <w:p w:rsidR="00F366C8" w:rsidRPr="00661E10" w:rsidRDefault="00F366C8" w:rsidP="00661E10">
            <w:pPr>
              <w:jc w:val="left"/>
              <w:rPr>
                <w:bCs/>
                <w:color w:val="FFFFFF"/>
                <w:sz w:val="18"/>
                <w:szCs w:val="20"/>
              </w:rPr>
            </w:pPr>
            <w:r w:rsidRPr="00F366C8">
              <w:rPr>
                <w:bCs/>
                <w:color w:val="FFFFFF"/>
                <w:sz w:val="18"/>
                <w:szCs w:val="20"/>
                <w:vertAlign w:val="superscript"/>
              </w:rPr>
              <w:t>[c]</w:t>
            </w:r>
            <w:r>
              <w:rPr>
                <w:bCs/>
                <w:color w:val="FFFFFF"/>
                <w:sz w:val="18"/>
                <w:szCs w:val="20"/>
              </w:rPr>
              <w:t xml:space="preserve"> </w:t>
            </w:r>
            <w:r w:rsidRPr="00F366C8">
              <w:rPr>
                <w:bCs/>
                <w:color w:val="FFFFFF"/>
                <w:sz w:val="18"/>
                <w:szCs w:val="20"/>
              </w:rPr>
              <w:t>Program-level NTGR combines downstream and upstream NTG values. Downstream NTGR was estimated from surveys with 84 participants. Upstream NTGR was estimated using sales data</w:t>
            </w:r>
            <w:r>
              <w:rPr>
                <w:bCs/>
                <w:color w:val="FFFFFF"/>
                <w:sz w:val="18"/>
                <w:szCs w:val="20"/>
              </w:rPr>
              <w:t>.</w:t>
            </w:r>
          </w:p>
          <w:p w:rsidR="00661E10" w:rsidRDefault="00661E10" w:rsidP="00F366C8">
            <w:pPr>
              <w:jc w:val="left"/>
              <w:rPr>
                <w:color w:val="FFFFFF"/>
                <w:sz w:val="18"/>
                <w:szCs w:val="20"/>
              </w:rPr>
            </w:pPr>
            <w:r w:rsidRPr="00E64DB3">
              <w:rPr>
                <w:color w:val="FFFFFF"/>
                <w:sz w:val="18"/>
                <w:szCs w:val="18"/>
                <w:vertAlign w:val="superscript"/>
              </w:rPr>
              <w:t>[</w:t>
            </w:r>
            <w:r w:rsidR="00F366C8">
              <w:rPr>
                <w:color w:val="FFFFFF"/>
                <w:sz w:val="18"/>
                <w:szCs w:val="18"/>
                <w:vertAlign w:val="superscript"/>
              </w:rPr>
              <w:t>d</w:t>
            </w:r>
            <w:r w:rsidRPr="00E64DB3">
              <w:rPr>
                <w:color w:val="FFFFFF"/>
                <w:sz w:val="18"/>
                <w:szCs w:val="18"/>
                <w:vertAlign w:val="superscript"/>
              </w:rPr>
              <w:t>]</w:t>
            </w:r>
            <w:r w:rsidRPr="00661E10">
              <w:rPr>
                <w:color w:val="FFFFFF"/>
                <w:sz w:val="18"/>
                <w:szCs w:val="20"/>
              </w:rPr>
              <w:t xml:space="preserve"> Denotes misprinted value in the PY7 annual report. The value reported in this table is the actual value.</w:t>
            </w:r>
          </w:p>
          <w:p w:rsidR="005F4C4F" w:rsidRPr="00661E10" w:rsidRDefault="005F4C4F" w:rsidP="00F366C8">
            <w:pPr>
              <w:jc w:val="left"/>
              <w:rPr>
                <w:bCs/>
                <w:color w:val="FFFFFF"/>
                <w:sz w:val="18"/>
                <w:szCs w:val="20"/>
              </w:rPr>
            </w:pPr>
            <w:r w:rsidRPr="005F4C4F">
              <w:rPr>
                <w:color w:val="FFFFFF"/>
                <w:sz w:val="18"/>
                <w:szCs w:val="20"/>
                <w:vertAlign w:val="superscript"/>
              </w:rPr>
              <w:t>[e]</w:t>
            </w:r>
            <w:r w:rsidRPr="005F4C4F">
              <w:rPr>
                <w:bCs/>
                <w:color w:val="FFFFFF"/>
                <w:sz w:val="18"/>
                <w:szCs w:val="20"/>
              </w:rPr>
              <w:t xml:space="preserve"> No NTGR research was performed for this program in PY7. The PY7 report provided NTGR data estimated by the PY5 evaluation.</w:t>
            </w:r>
          </w:p>
        </w:tc>
      </w:tr>
    </w:tbl>
    <w:p w:rsidR="00661E10" w:rsidRPr="00661E10" w:rsidRDefault="00661E10" w:rsidP="00661E10"/>
    <w:p w:rsidR="00661E10" w:rsidRPr="00661E10" w:rsidRDefault="00661E10" w:rsidP="00661E10">
      <w:r w:rsidRPr="00661E10">
        <w:t xml:space="preserve">The distribution of NTGRs was somewhat tighter for non-residential than for residential programs. To illustrate this point, while the mean NTGR across residential programs (0.60) was similar to that for non-residential programs (0.64, excluding the program where NTGR was assumed to 1.00), the standard deviation for residential programs (0.20) was half again as great as that for non-residential programs (0.13). Simply put, two-thirds of residential programs had standard deviations that fell within a range of </w:t>
      </w:r>
      <w:r w:rsidRPr="00661E10">
        <w:lastRenderedPageBreak/>
        <w:t>0.40 to 0.80, while a comparable proportion of the non-residential programs had standard deviations within a smaller range of about 0.50 to 0.77.</w:t>
      </w:r>
    </w:p>
    <w:p w:rsidR="00CB1517" w:rsidRPr="00661E10" w:rsidRDefault="00CB1517" w:rsidP="00661E10"/>
    <w:p w:rsidR="00661E10" w:rsidRPr="00661E10" w:rsidRDefault="00661E10" w:rsidP="00661E10">
      <w:r w:rsidRPr="00661E10">
        <w:t>Among residential programs, appliance recycling programs tended to have a lower NTGR (mean = 0.38) and rebate programs a comparatively higher NTGR (mean = 0.69). These differences are largely a function of free-ridership, as spillover was typically low in both types of programs. In the non-residential sector, differences in how EDCs package their program offerings make it harder to detect trends among program types.</w:t>
      </w:r>
    </w:p>
    <w:p w:rsidR="00661E10" w:rsidRPr="00661E10" w:rsidRDefault="00661E10" w:rsidP="00661E10"/>
    <w:p w:rsidR="00661E10" w:rsidRPr="00661E10" w:rsidRDefault="00661E10" w:rsidP="00661E10">
      <w:r w:rsidRPr="00661E10">
        <w:t xml:space="preserve">Evaluation contractors assumed an NTGR of 1.0 for most low-income programs as well as for three residential programs that were not low-income and for one non-residential program. The Evaluation Framework does not specify any conditions under which EDCs and their evaluation contractors may assume an NTGR of any specific value for any program, including low-income programs. The SWE questioned evaluation contractors’ assumption of an NTGR of 1.0 for low-income programs in the PY6 report and continues to assert that the assumption is not justified. </w:t>
      </w:r>
    </w:p>
    <w:p w:rsidR="00661E10" w:rsidRPr="00661E10" w:rsidRDefault="00661E10" w:rsidP="00661E10"/>
    <w:p w:rsidR="00661E10" w:rsidRPr="00661E10" w:rsidRDefault="00661E10" w:rsidP="00661E10">
      <w:r w:rsidRPr="00661E10">
        <w:t>There may be circumstances in which it is reasonable to assume lack of free-ridership (the primary factor driving the NTGR). This may be the case for one residential and one non-residential program with an assumed NTGR value of 1.0 that were demand curtailment programs. In those cases, the evaluation contractor indicated that there would be no motive to curtail demand without the program.</w:t>
      </w:r>
    </w:p>
    <w:p w:rsidR="00661E10" w:rsidRPr="00661E10" w:rsidRDefault="00661E10" w:rsidP="00661E10"/>
    <w:p w:rsidR="00661E10" w:rsidRPr="00661E10" w:rsidRDefault="00661E10" w:rsidP="00661E10">
      <w:r w:rsidRPr="00661E10">
        <w:t>In the case of the two other residential non-low-income programs, the SWE Team does not agree with the assertion that assuming an NTGR of 1.0 was justified because the energy efficient measures were distributed at no cost to the recipients. It is possible that some of the program participants would have installed the measures even if they had not received them through the program. Therefore, the fact that the measures were distributed at no cost to the recipient does not ensure that there were no free-riders.</w:t>
      </w:r>
    </w:p>
    <w:p w:rsidR="00661E10" w:rsidRPr="00661E10" w:rsidRDefault="00661E10" w:rsidP="00661E10"/>
    <w:p w:rsidR="00661E10" w:rsidRPr="00661E10" w:rsidRDefault="00661E10" w:rsidP="00661E10">
      <w:pPr>
        <w:pStyle w:val="Heading3"/>
      </w:pPr>
      <w:bookmarkStart w:id="405" w:name="_Toc472472133"/>
      <w:bookmarkStart w:id="406" w:name="_Toc476913947"/>
      <w:r w:rsidRPr="00661E10">
        <w:t>Results for Three-Year Act 129 Phase II</w:t>
      </w:r>
      <w:bookmarkEnd w:id="405"/>
      <w:bookmarkEnd w:id="406"/>
    </w:p>
    <w:p w:rsidR="00D9014E" w:rsidRDefault="00661E10" w:rsidP="00D9014E">
      <w:r w:rsidRPr="00D9014E">
        <w:t>This section shows each EDC’s program-specific NTGRs for PY5, PY6, and PY7 and notes trends across the program years.</w:t>
      </w:r>
      <w:r w:rsidR="005F4C4F" w:rsidRPr="00D9014E">
        <w:t xml:space="preserve"> </w:t>
      </w:r>
    </w:p>
    <w:p w:rsidR="00D9014E" w:rsidRPr="005F4C4F" w:rsidRDefault="00D9014E" w:rsidP="00D9014E"/>
    <w:p w:rsidR="00661E10" w:rsidRDefault="00D9014E" w:rsidP="00D9014E">
      <w:r>
        <w:fldChar w:fldCharType="begin"/>
      </w:r>
      <w:r>
        <w:instrText xml:space="preserve"> REF _Ref473709359 \h </w:instrText>
      </w:r>
      <w:r>
        <w:fldChar w:fldCharType="separate"/>
      </w:r>
      <w:r w:rsidR="00A874AC" w:rsidRPr="005F4C4F">
        <w:t xml:space="preserve">Figure </w:t>
      </w:r>
      <w:r w:rsidR="00A874AC">
        <w:rPr>
          <w:noProof/>
        </w:rPr>
        <w:t>5</w:t>
      </w:r>
      <w:r w:rsidR="00A874AC">
        <w:noBreakHyphen/>
      </w:r>
      <w:r w:rsidR="00A874AC">
        <w:rPr>
          <w:noProof/>
        </w:rPr>
        <w:t>1</w:t>
      </w:r>
      <w:r>
        <w:fldChar w:fldCharType="end"/>
      </w:r>
      <w:r>
        <w:t xml:space="preserve"> </w:t>
      </w:r>
      <w:r w:rsidR="005F4C4F" w:rsidRPr="005F4C4F">
        <w:t>illustrates the portfolio NTGRs for each ECD for PY6 and PY7. Duquesne and PPL show a modest increase in portfolio NTGR from PY6 to PY7 (8 and 5 percentage points, respectively), West Penn Power shows no change, and the remaining four EDCs show decreases ranging from 6 to 15 percentage points.</w:t>
      </w:r>
    </w:p>
    <w:p w:rsidR="00514A0E" w:rsidRDefault="00514A0E" w:rsidP="00661E10"/>
    <w:p w:rsidR="00514A0E" w:rsidRDefault="00514A0E" w:rsidP="00661E10">
      <w:r w:rsidRPr="003A0F59">
        <w:t>Two changes in evaluation methods influenced portfolio PY7 NTGRs. One, the gross savings methodology for the appliance recycling programs changed in the 2015 TRM to eliminate add-backs for replacement appliances. This change tends to yield a higher gross impact and a lower NTGR.</w:t>
      </w:r>
      <w:r w:rsidRPr="003A0F59">
        <w:rPr>
          <w:rStyle w:val="FootnoteReference"/>
        </w:rPr>
        <w:footnoteReference w:id="24"/>
      </w:r>
      <w:r w:rsidRPr="003A0F59">
        <w:t xml:space="preserve"> Two, most of the NTGRs for the low-income programs were lower in PY7 than in PY6, for which the NTGR had been assumed by most EDCs to be 1.0</w:t>
      </w:r>
      <w:r>
        <w:t>.</w:t>
      </w:r>
      <w:r>
        <w:rPr>
          <w:rStyle w:val="FootnoteReference"/>
        </w:rPr>
        <w:footnoteReference w:id="25"/>
      </w:r>
    </w:p>
    <w:p w:rsidR="005F4C4F" w:rsidRDefault="005F4C4F" w:rsidP="00661E10"/>
    <w:p w:rsidR="00E3392B" w:rsidRDefault="00E3392B" w:rsidP="00661E10"/>
    <w:p w:rsidR="005F4C4F" w:rsidRPr="005F4C4F" w:rsidRDefault="005F4C4F" w:rsidP="005F4C4F">
      <w:pPr>
        <w:pStyle w:val="Caption"/>
      </w:pPr>
      <w:bookmarkStart w:id="407" w:name="_Ref473552118"/>
      <w:bookmarkStart w:id="408" w:name="_Ref473709359"/>
      <w:bookmarkStart w:id="409" w:name="_Toc476914055"/>
      <w:r w:rsidRPr="005F4C4F">
        <w:lastRenderedPageBreak/>
        <w:t xml:space="preserve">Figure </w:t>
      </w:r>
      <w:fldSimple w:instr=" STYLEREF 1 \s ">
        <w:r w:rsidR="00C301D0">
          <w:rPr>
            <w:noProof/>
          </w:rPr>
          <w:t>5</w:t>
        </w:r>
      </w:fldSimple>
      <w:r w:rsidR="00DA1ADA">
        <w:noBreakHyphen/>
      </w:r>
      <w:fldSimple w:instr=" SEQ Figure \* ARABIC \s 1 ">
        <w:r w:rsidR="00C301D0">
          <w:rPr>
            <w:noProof/>
          </w:rPr>
          <w:t>1</w:t>
        </w:r>
      </w:fldSimple>
      <w:bookmarkEnd w:id="407"/>
      <w:bookmarkEnd w:id="408"/>
      <w:r w:rsidRPr="005F4C4F">
        <w:t>: Portfolio NTGR for PY6 and PY7, by EDC</w:t>
      </w:r>
      <w:bookmarkEnd w:id="409"/>
    </w:p>
    <w:p w:rsidR="005F4C4F" w:rsidRPr="00661E10" w:rsidRDefault="005F4C4F" w:rsidP="002C134F">
      <w:pPr>
        <w:jc w:val="center"/>
      </w:pPr>
      <w:r>
        <w:rPr>
          <w:noProof/>
        </w:rPr>
        <w:drawing>
          <wp:inline distT="0" distB="0" distL="0" distR="0" wp14:anchorId="1892D9B4" wp14:editId="54B67D5F">
            <wp:extent cx="5944235" cy="3017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4235" cy="3017520"/>
                    </a:xfrm>
                    <a:prstGeom prst="rect">
                      <a:avLst/>
                    </a:prstGeom>
                    <a:noFill/>
                  </pic:spPr>
                </pic:pic>
              </a:graphicData>
            </a:graphic>
          </wp:inline>
        </w:drawing>
      </w:r>
    </w:p>
    <w:p w:rsidR="00661E10" w:rsidRPr="00661E10" w:rsidRDefault="00661E10" w:rsidP="00661E10"/>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t>Duquesne Light Phase II NTG Summary</w:t>
      </w:r>
    </w:p>
    <w:p w:rsidR="00661E10" w:rsidRPr="00661E10" w:rsidRDefault="00ED5AFA" w:rsidP="00661E10">
      <w:r>
        <w:fldChar w:fldCharType="begin"/>
      </w:r>
      <w:r>
        <w:instrText xml:space="preserve"> REF _Ref471458827 \h </w:instrText>
      </w:r>
      <w:r>
        <w:fldChar w:fldCharType="separate"/>
      </w:r>
      <w:r w:rsidR="00A874AC" w:rsidRPr="00ED5AFA">
        <w:t xml:space="preserve">Table </w:t>
      </w:r>
      <w:r w:rsidR="00A874AC">
        <w:rPr>
          <w:noProof/>
        </w:rPr>
        <w:t>5</w:t>
      </w:r>
      <w:r w:rsidR="00A874AC">
        <w:noBreakHyphen/>
      </w:r>
      <w:r w:rsidR="00A874AC">
        <w:rPr>
          <w:noProof/>
        </w:rPr>
        <w:t>6</w:t>
      </w:r>
      <w:r>
        <w:fldChar w:fldCharType="end"/>
      </w:r>
      <w:r>
        <w:t xml:space="preserve"> </w:t>
      </w:r>
      <w:r w:rsidR="00661E10" w:rsidRPr="00661E10">
        <w:t>shows Duquesne’s Phase II NTGRs by program year. Despite intra</w:t>
      </w:r>
      <w:r w:rsidR="004A6B12">
        <w:t>-</w:t>
      </w:r>
      <w:r w:rsidR="00661E10" w:rsidRPr="00661E10">
        <w:t>program variation, portfolio-level NTGR increased steadily throughout Phase II.</w:t>
      </w:r>
    </w:p>
    <w:p w:rsidR="00661E10" w:rsidRPr="00661E10" w:rsidRDefault="00661E10" w:rsidP="00661E10">
      <w:r w:rsidRPr="00661E10">
        <w:t xml:space="preserve"> </w:t>
      </w:r>
    </w:p>
    <w:p w:rsidR="00661E10" w:rsidRPr="00ED5AFA" w:rsidRDefault="00ED5AFA" w:rsidP="00ED5AFA">
      <w:pPr>
        <w:pStyle w:val="Caption"/>
      </w:pPr>
      <w:bookmarkStart w:id="410" w:name="_Ref471458827"/>
      <w:bookmarkStart w:id="411" w:name="_Toc472472191"/>
      <w:bookmarkStart w:id="412" w:name="_Toc476914005"/>
      <w:r w:rsidRPr="00ED5AFA">
        <w:t xml:space="preserve">Table </w:t>
      </w:r>
      <w:fldSimple w:instr=" STYLEREF 1 \s ">
        <w:r w:rsidR="00C301D0">
          <w:rPr>
            <w:noProof/>
          </w:rPr>
          <w:t>5</w:t>
        </w:r>
      </w:fldSimple>
      <w:r w:rsidR="00E6042C">
        <w:noBreakHyphen/>
      </w:r>
      <w:fldSimple w:instr=" SEQ Table \* ARABIC \s 1 ">
        <w:r w:rsidR="00C301D0">
          <w:rPr>
            <w:noProof/>
          </w:rPr>
          <w:t>6</w:t>
        </w:r>
      </w:fldSimple>
      <w:bookmarkEnd w:id="410"/>
      <w:r w:rsidR="00661E10" w:rsidRPr="00ED5AFA">
        <w:t>: Duquesne’s Phase II NTGRs by Program Year</w:t>
      </w:r>
      <w:bookmarkEnd w:id="411"/>
      <w:bookmarkEnd w:id="412"/>
    </w:p>
    <w:tbl>
      <w:tblPr>
        <w:tblW w:w="4840"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59"/>
        <w:gridCol w:w="3394"/>
        <w:gridCol w:w="1396"/>
        <w:gridCol w:w="1396"/>
        <w:gridCol w:w="1396"/>
      </w:tblGrid>
      <w:tr w:rsidR="00A874AC" w:rsidRPr="00661E10" w:rsidTr="008B5045">
        <w:trPr>
          <w:trHeight w:val="20"/>
          <w:tblHeader/>
        </w:trPr>
        <w:tc>
          <w:tcPr>
            <w:tcW w:w="807" w:type="pct"/>
            <w:shd w:val="clear" w:color="auto" w:fill="448A99"/>
            <w:vAlign w:val="bottom"/>
            <w:hideMark/>
          </w:tcPr>
          <w:p w:rsidR="00661E10" w:rsidRPr="00661E10" w:rsidRDefault="00661E10" w:rsidP="00661E10">
            <w:pPr>
              <w:jc w:val="left"/>
              <w:rPr>
                <w:b/>
                <w:bCs/>
                <w:color w:val="FFFFFF"/>
                <w:sz w:val="20"/>
                <w:szCs w:val="20"/>
              </w:rPr>
            </w:pPr>
            <w:r w:rsidRPr="00661E10">
              <w:rPr>
                <w:b/>
                <w:color w:val="FFFFFF"/>
                <w:sz w:val="20"/>
                <w:szCs w:val="20"/>
              </w:rPr>
              <w:t>Sector</w:t>
            </w:r>
          </w:p>
        </w:tc>
        <w:tc>
          <w:tcPr>
            <w:tcW w:w="1877"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Program</w:t>
            </w:r>
          </w:p>
        </w:tc>
        <w:tc>
          <w:tcPr>
            <w:tcW w:w="772"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PY5</w:t>
            </w:r>
          </w:p>
        </w:tc>
        <w:tc>
          <w:tcPr>
            <w:tcW w:w="772"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PY6</w:t>
            </w:r>
          </w:p>
        </w:tc>
        <w:tc>
          <w:tcPr>
            <w:tcW w:w="772"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PY7</w:t>
            </w:r>
          </w:p>
        </w:tc>
      </w:tr>
      <w:tr w:rsidR="00A874AC" w:rsidRPr="00661E10" w:rsidTr="008B5045">
        <w:trPr>
          <w:trHeight w:val="20"/>
        </w:trPr>
        <w:tc>
          <w:tcPr>
            <w:tcW w:w="807" w:type="pct"/>
            <w:vMerge w:val="restart"/>
            <w:shd w:val="clear" w:color="auto" w:fill="D2EAF1"/>
          </w:tcPr>
          <w:p w:rsidR="00661E10" w:rsidRPr="00661E10" w:rsidRDefault="00661E10" w:rsidP="00661E10">
            <w:pPr>
              <w:jc w:val="left"/>
              <w:rPr>
                <w:color w:val="000000"/>
                <w:sz w:val="20"/>
                <w:szCs w:val="20"/>
              </w:rPr>
            </w:pPr>
            <w:r w:rsidRPr="00661E10">
              <w:rPr>
                <w:sz w:val="20"/>
                <w:szCs w:val="20"/>
              </w:rPr>
              <w:t>Residential</w:t>
            </w:r>
          </w:p>
        </w:tc>
        <w:tc>
          <w:tcPr>
            <w:tcW w:w="1877" w:type="pct"/>
            <w:shd w:val="clear" w:color="auto" w:fill="D2EAF1"/>
            <w:noWrap/>
          </w:tcPr>
          <w:p w:rsidR="00661E10" w:rsidRPr="00661E10" w:rsidRDefault="00661E10" w:rsidP="00661E10">
            <w:pPr>
              <w:jc w:val="left"/>
              <w:rPr>
                <w:color w:val="000000"/>
                <w:sz w:val="20"/>
                <w:szCs w:val="20"/>
              </w:rPr>
            </w:pPr>
            <w:r w:rsidRPr="00661E10">
              <w:rPr>
                <w:sz w:val="20"/>
                <w:szCs w:val="20"/>
              </w:rPr>
              <w:t>Residential Energy Efficiency Program (REEP)</w:t>
            </w:r>
          </w:p>
        </w:tc>
        <w:tc>
          <w:tcPr>
            <w:tcW w:w="772" w:type="pct"/>
            <w:shd w:val="clear" w:color="auto" w:fill="D2EAF1"/>
            <w:noWrap/>
            <w:vAlign w:val="center"/>
          </w:tcPr>
          <w:p w:rsidR="00661E10" w:rsidRPr="00661E10" w:rsidRDefault="00661E10" w:rsidP="00661E10">
            <w:pPr>
              <w:jc w:val="center"/>
              <w:rPr>
                <w:sz w:val="20"/>
                <w:szCs w:val="20"/>
              </w:rPr>
            </w:pPr>
            <w:r w:rsidRPr="00661E10">
              <w:rPr>
                <w:sz w:val="20"/>
                <w:szCs w:val="20"/>
              </w:rPr>
              <w:t>0.56</w:t>
            </w:r>
          </w:p>
        </w:tc>
        <w:tc>
          <w:tcPr>
            <w:tcW w:w="772" w:type="pct"/>
            <w:shd w:val="clear" w:color="auto" w:fill="D2EAF1"/>
            <w:noWrap/>
            <w:vAlign w:val="center"/>
          </w:tcPr>
          <w:p w:rsidR="00661E10" w:rsidRPr="00661E10" w:rsidRDefault="00661E10" w:rsidP="00661E10">
            <w:pPr>
              <w:jc w:val="center"/>
              <w:rPr>
                <w:sz w:val="20"/>
                <w:szCs w:val="20"/>
              </w:rPr>
            </w:pPr>
            <w:r w:rsidRPr="00661E10">
              <w:rPr>
                <w:sz w:val="20"/>
                <w:szCs w:val="20"/>
              </w:rPr>
              <w:t>0.69</w:t>
            </w:r>
          </w:p>
        </w:tc>
        <w:tc>
          <w:tcPr>
            <w:tcW w:w="772" w:type="pct"/>
            <w:shd w:val="clear" w:color="auto" w:fill="D2EAF1"/>
            <w:noWrap/>
            <w:vAlign w:val="center"/>
          </w:tcPr>
          <w:p w:rsidR="00661E10" w:rsidRPr="00661E10" w:rsidRDefault="00661E10" w:rsidP="00661E10">
            <w:pPr>
              <w:jc w:val="center"/>
              <w:rPr>
                <w:sz w:val="20"/>
                <w:szCs w:val="20"/>
              </w:rPr>
            </w:pPr>
            <w:r w:rsidRPr="00661E10">
              <w:rPr>
                <w:sz w:val="20"/>
                <w:szCs w:val="20"/>
              </w:rPr>
              <w:t>0.69</w:t>
            </w:r>
          </w:p>
        </w:tc>
      </w:tr>
      <w:tr w:rsidR="00A874AC" w:rsidRPr="00661E10" w:rsidTr="008B5045">
        <w:trPr>
          <w:trHeight w:val="20"/>
        </w:trPr>
        <w:tc>
          <w:tcPr>
            <w:tcW w:w="807" w:type="pct"/>
            <w:vMerge/>
            <w:shd w:val="clear" w:color="auto" w:fill="D2EAF1"/>
          </w:tcPr>
          <w:p w:rsidR="00661E10" w:rsidRPr="00661E10" w:rsidRDefault="00661E10" w:rsidP="00661E10">
            <w:pPr>
              <w:jc w:val="left"/>
              <w:rPr>
                <w:color w:val="000000"/>
                <w:sz w:val="20"/>
                <w:szCs w:val="20"/>
              </w:rPr>
            </w:pPr>
          </w:p>
        </w:tc>
        <w:tc>
          <w:tcPr>
            <w:tcW w:w="1877" w:type="pct"/>
            <w:shd w:val="clear" w:color="auto" w:fill="auto"/>
            <w:noWrap/>
          </w:tcPr>
          <w:p w:rsidR="00661E10" w:rsidRPr="00661E10" w:rsidRDefault="00661E10" w:rsidP="00661E10">
            <w:pPr>
              <w:jc w:val="left"/>
              <w:rPr>
                <w:sz w:val="20"/>
                <w:szCs w:val="20"/>
              </w:rPr>
            </w:pPr>
            <w:r w:rsidRPr="00661E10">
              <w:rPr>
                <w:sz w:val="20"/>
                <w:szCs w:val="20"/>
              </w:rPr>
              <w:t>Residential Appliance Recycling Program (RARP)</w:t>
            </w:r>
          </w:p>
        </w:tc>
        <w:tc>
          <w:tcPr>
            <w:tcW w:w="772" w:type="pct"/>
            <w:shd w:val="clear" w:color="auto" w:fill="auto"/>
            <w:noWrap/>
            <w:vAlign w:val="center"/>
          </w:tcPr>
          <w:p w:rsidR="00661E10" w:rsidRPr="00661E10" w:rsidRDefault="00661E10" w:rsidP="00661E10">
            <w:pPr>
              <w:jc w:val="center"/>
              <w:rPr>
                <w:sz w:val="20"/>
                <w:szCs w:val="20"/>
              </w:rPr>
            </w:pPr>
            <w:r w:rsidRPr="00661E10">
              <w:rPr>
                <w:sz w:val="20"/>
                <w:szCs w:val="20"/>
              </w:rPr>
              <w:t>0.47</w:t>
            </w:r>
          </w:p>
        </w:tc>
        <w:tc>
          <w:tcPr>
            <w:tcW w:w="772" w:type="pct"/>
            <w:shd w:val="clear" w:color="auto" w:fill="auto"/>
            <w:noWrap/>
            <w:vAlign w:val="center"/>
          </w:tcPr>
          <w:p w:rsidR="00661E10" w:rsidRPr="00661E10" w:rsidRDefault="00661E10" w:rsidP="00661E10">
            <w:pPr>
              <w:jc w:val="center"/>
              <w:rPr>
                <w:sz w:val="20"/>
                <w:szCs w:val="20"/>
              </w:rPr>
            </w:pPr>
            <w:r w:rsidRPr="00661E10">
              <w:rPr>
                <w:sz w:val="20"/>
                <w:szCs w:val="20"/>
              </w:rPr>
              <w:t>0.64</w:t>
            </w:r>
          </w:p>
        </w:tc>
        <w:tc>
          <w:tcPr>
            <w:tcW w:w="772" w:type="pct"/>
            <w:shd w:val="clear" w:color="auto" w:fill="auto"/>
            <w:noWrap/>
            <w:vAlign w:val="center"/>
          </w:tcPr>
          <w:p w:rsidR="00661E10" w:rsidRPr="00661E10" w:rsidRDefault="00661E10" w:rsidP="00661E10">
            <w:pPr>
              <w:jc w:val="center"/>
              <w:rPr>
                <w:sz w:val="20"/>
                <w:szCs w:val="20"/>
              </w:rPr>
            </w:pPr>
            <w:r w:rsidRPr="00661E10">
              <w:rPr>
                <w:sz w:val="20"/>
                <w:szCs w:val="20"/>
              </w:rPr>
              <w:t>0.32</w:t>
            </w:r>
          </w:p>
        </w:tc>
      </w:tr>
      <w:tr w:rsidR="00A874AC" w:rsidRPr="00661E10" w:rsidTr="008B5045">
        <w:trPr>
          <w:trHeight w:val="20"/>
        </w:trPr>
        <w:tc>
          <w:tcPr>
            <w:tcW w:w="807" w:type="pct"/>
            <w:vMerge/>
            <w:shd w:val="clear" w:color="auto" w:fill="D2EAF1"/>
          </w:tcPr>
          <w:p w:rsidR="00661E10" w:rsidRPr="00661E10" w:rsidRDefault="00661E10" w:rsidP="00661E10">
            <w:pPr>
              <w:jc w:val="left"/>
              <w:rPr>
                <w:color w:val="000000"/>
                <w:sz w:val="20"/>
                <w:szCs w:val="20"/>
              </w:rPr>
            </w:pPr>
          </w:p>
        </w:tc>
        <w:tc>
          <w:tcPr>
            <w:tcW w:w="1877" w:type="pct"/>
            <w:shd w:val="clear" w:color="auto" w:fill="D2EAF1"/>
            <w:noWrap/>
          </w:tcPr>
          <w:p w:rsidR="00661E10" w:rsidRPr="00661E10" w:rsidRDefault="00661E10" w:rsidP="00661E10">
            <w:pPr>
              <w:jc w:val="left"/>
              <w:rPr>
                <w:sz w:val="20"/>
                <w:szCs w:val="20"/>
              </w:rPr>
            </w:pPr>
            <w:r w:rsidRPr="00661E10">
              <w:rPr>
                <w:sz w:val="20"/>
                <w:szCs w:val="20"/>
              </w:rPr>
              <w:t>Residential Home Energy</w:t>
            </w:r>
          </w:p>
          <w:p w:rsidR="00661E10" w:rsidRPr="00661E10" w:rsidRDefault="00661E10" w:rsidP="00661E10">
            <w:pPr>
              <w:jc w:val="left"/>
              <w:rPr>
                <w:sz w:val="20"/>
                <w:szCs w:val="20"/>
              </w:rPr>
            </w:pPr>
            <w:r w:rsidRPr="00661E10">
              <w:rPr>
                <w:sz w:val="20"/>
                <w:szCs w:val="20"/>
              </w:rPr>
              <w:t>Report (HER) Program</w:t>
            </w:r>
          </w:p>
        </w:tc>
        <w:tc>
          <w:tcPr>
            <w:tcW w:w="772" w:type="pct"/>
            <w:shd w:val="clear" w:color="auto" w:fill="D2EAF1"/>
            <w:noWrap/>
            <w:vAlign w:val="center"/>
          </w:tcPr>
          <w:p w:rsidR="00661E10" w:rsidRPr="00661E10" w:rsidRDefault="00661E10" w:rsidP="00661E10">
            <w:pPr>
              <w:jc w:val="center"/>
              <w:rPr>
                <w:sz w:val="20"/>
                <w:szCs w:val="20"/>
              </w:rPr>
            </w:pPr>
            <w:r w:rsidRPr="00661E10">
              <w:rPr>
                <w:sz w:val="20"/>
                <w:szCs w:val="20"/>
              </w:rPr>
              <w:t>*</w:t>
            </w:r>
          </w:p>
        </w:tc>
        <w:tc>
          <w:tcPr>
            <w:tcW w:w="772" w:type="pct"/>
            <w:shd w:val="clear" w:color="auto" w:fill="D2EAF1"/>
            <w:noWrap/>
            <w:vAlign w:val="center"/>
          </w:tcPr>
          <w:p w:rsidR="00661E10" w:rsidRPr="00661E10" w:rsidRDefault="00661E10" w:rsidP="00661E10">
            <w:pPr>
              <w:jc w:val="center"/>
              <w:rPr>
                <w:sz w:val="20"/>
                <w:szCs w:val="20"/>
              </w:rPr>
            </w:pPr>
            <w:r w:rsidRPr="00661E10">
              <w:rPr>
                <w:sz w:val="20"/>
                <w:szCs w:val="20"/>
              </w:rPr>
              <w:t>*</w:t>
            </w:r>
          </w:p>
        </w:tc>
        <w:tc>
          <w:tcPr>
            <w:tcW w:w="772" w:type="pct"/>
            <w:shd w:val="clear" w:color="auto" w:fill="D2EAF1"/>
            <w:noWrap/>
            <w:vAlign w:val="center"/>
          </w:tcPr>
          <w:p w:rsidR="00661E10" w:rsidRPr="00661E10" w:rsidRDefault="00661E10" w:rsidP="00661E10">
            <w:pPr>
              <w:jc w:val="center"/>
              <w:rPr>
                <w:sz w:val="20"/>
                <w:szCs w:val="20"/>
              </w:rPr>
            </w:pPr>
            <w:r w:rsidRPr="00661E10">
              <w:rPr>
                <w:sz w:val="20"/>
                <w:szCs w:val="20"/>
              </w:rPr>
              <w:t>N/A</w:t>
            </w:r>
          </w:p>
        </w:tc>
      </w:tr>
      <w:tr w:rsidR="00A874AC" w:rsidRPr="00661E10" w:rsidTr="008B5045">
        <w:trPr>
          <w:trHeight w:val="20"/>
        </w:trPr>
        <w:tc>
          <w:tcPr>
            <w:tcW w:w="807" w:type="pct"/>
            <w:vMerge/>
            <w:shd w:val="clear" w:color="auto" w:fill="D2EAF1"/>
          </w:tcPr>
          <w:p w:rsidR="00661E10" w:rsidRPr="00661E10" w:rsidRDefault="00661E10" w:rsidP="00661E10">
            <w:pPr>
              <w:jc w:val="left"/>
              <w:rPr>
                <w:color w:val="000000"/>
                <w:sz w:val="20"/>
                <w:szCs w:val="20"/>
              </w:rPr>
            </w:pPr>
          </w:p>
        </w:tc>
        <w:tc>
          <w:tcPr>
            <w:tcW w:w="1877" w:type="pct"/>
            <w:shd w:val="clear" w:color="auto" w:fill="auto"/>
            <w:noWrap/>
          </w:tcPr>
          <w:p w:rsidR="00661E10" w:rsidRPr="00661E10" w:rsidRDefault="00661E10" w:rsidP="00661E10">
            <w:pPr>
              <w:jc w:val="left"/>
              <w:rPr>
                <w:sz w:val="20"/>
                <w:szCs w:val="20"/>
              </w:rPr>
            </w:pPr>
            <w:r w:rsidRPr="00661E10">
              <w:rPr>
                <w:sz w:val="20"/>
                <w:szCs w:val="20"/>
              </w:rPr>
              <w:t>School Energy Pledge Program (SEP)</w:t>
            </w:r>
          </w:p>
        </w:tc>
        <w:tc>
          <w:tcPr>
            <w:tcW w:w="772" w:type="pct"/>
            <w:shd w:val="clear" w:color="auto" w:fill="auto"/>
            <w:noWrap/>
            <w:vAlign w:val="center"/>
          </w:tcPr>
          <w:p w:rsidR="00661E10" w:rsidRPr="00661E10" w:rsidRDefault="00661E10" w:rsidP="00661E10">
            <w:pPr>
              <w:jc w:val="center"/>
              <w:rPr>
                <w:sz w:val="20"/>
                <w:szCs w:val="20"/>
              </w:rPr>
            </w:pPr>
            <w:r w:rsidRPr="00661E10">
              <w:rPr>
                <w:sz w:val="20"/>
                <w:szCs w:val="20"/>
              </w:rPr>
              <w:t>0.85</w:t>
            </w:r>
          </w:p>
        </w:tc>
        <w:tc>
          <w:tcPr>
            <w:tcW w:w="772" w:type="pct"/>
            <w:shd w:val="clear" w:color="auto" w:fill="auto"/>
            <w:noWrap/>
            <w:vAlign w:val="center"/>
          </w:tcPr>
          <w:p w:rsidR="00661E10" w:rsidRPr="00661E10" w:rsidRDefault="00661E10" w:rsidP="00661E10">
            <w:pPr>
              <w:jc w:val="center"/>
              <w:rPr>
                <w:sz w:val="20"/>
                <w:szCs w:val="20"/>
              </w:rPr>
            </w:pPr>
            <w:r w:rsidRPr="00661E10">
              <w:rPr>
                <w:sz w:val="20"/>
                <w:szCs w:val="20"/>
              </w:rPr>
              <w:t>0.92</w:t>
            </w:r>
          </w:p>
        </w:tc>
        <w:tc>
          <w:tcPr>
            <w:tcW w:w="772" w:type="pct"/>
            <w:shd w:val="clear" w:color="auto" w:fill="auto"/>
            <w:noWrap/>
            <w:vAlign w:val="center"/>
          </w:tcPr>
          <w:p w:rsidR="00661E10" w:rsidRPr="00661E10" w:rsidRDefault="00661E10" w:rsidP="00661E10">
            <w:pPr>
              <w:jc w:val="center"/>
              <w:rPr>
                <w:sz w:val="20"/>
                <w:szCs w:val="20"/>
              </w:rPr>
            </w:pPr>
            <w:r w:rsidRPr="00661E10">
              <w:rPr>
                <w:sz w:val="20"/>
                <w:szCs w:val="20"/>
              </w:rPr>
              <w:t>0.87</w:t>
            </w:r>
          </w:p>
        </w:tc>
      </w:tr>
      <w:tr w:rsidR="00A874AC" w:rsidRPr="00661E10" w:rsidTr="008B5045">
        <w:trPr>
          <w:trHeight w:val="20"/>
        </w:trPr>
        <w:tc>
          <w:tcPr>
            <w:tcW w:w="807" w:type="pct"/>
            <w:vMerge/>
            <w:shd w:val="clear" w:color="auto" w:fill="D2EAF1"/>
          </w:tcPr>
          <w:p w:rsidR="00661E10" w:rsidRPr="00661E10" w:rsidRDefault="00661E10" w:rsidP="00661E10">
            <w:pPr>
              <w:jc w:val="left"/>
              <w:rPr>
                <w:color w:val="000000"/>
                <w:sz w:val="20"/>
                <w:szCs w:val="20"/>
              </w:rPr>
            </w:pPr>
          </w:p>
        </w:tc>
        <w:tc>
          <w:tcPr>
            <w:tcW w:w="1877" w:type="pct"/>
            <w:shd w:val="clear" w:color="auto" w:fill="D2EAF1"/>
            <w:noWrap/>
          </w:tcPr>
          <w:p w:rsidR="00661E10" w:rsidRPr="00661E10" w:rsidRDefault="00661E10" w:rsidP="00661E10">
            <w:pPr>
              <w:jc w:val="left"/>
              <w:rPr>
                <w:sz w:val="20"/>
                <w:szCs w:val="20"/>
              </w:rPr>
            </w:pPr>
            <w:r w:rsidRPr="00661E10">
              <w:rPr>
                <w:sz w:val="20"/>
                <w:szCs w:val="20"/>
              </w:rPr>
              <w:t>Whole House Energy Audit Program (WHEAP)</w:t>
            </w:r>
          </w:p>
        </w:tc>
        <w:tc>
          <w:tcPr>
            <w:tcW w:w="772" w:type="pct"/>
            <w:shd w:val="clear" w:color="auto" w:fill="D2EAF1"/>
            <w:noWrap/>
            <w:vAlign w:val="center"/>
          </w:tcPr>
          <w:p w:rsidR="00661E10" w:rsidRPr="00661E10" w:rsidRDefault="00661E10" w:rsidP="00661E10">
            <w:pPr>
              <w:jc w:val="center"/>
              <w:rPr>
                <w:sz w:val="20"/>
                <w:szCs w:val="20"/>
              </w:rPr>
            </w:pPr>
            <w:r w:rsidRPr="00661E10">
              <w:rPr>
                <w:sz w:val="20"/>
                <w:szCs w:val="20"/>
              </w:rPr>
              <w:t>*</w:t>
            </w:r>
          </w:p>
        </w:tc>
        <w:tc>
          <w:tcPr>
            <w:tcW w:w="772" w:type="pct"/>
            <w:shd w:val="clear" w:color="auto" w:fill="D2EAF1"/>
            <w:noWrap/>
            <w:vAlign w:val="center"/>
          </w:tcPr>
          <w:p w:rsidR="00661E10" w:rsidRPr="00661E10" w:rsidRDefault="00661E10" w:rsidP="00661E10">
            <w:pPr>
              <w:jc w:val="center"/>
              <w:rPr>
                <w:sz w:val="20"/>
                <w:szCs w:val="20"/>
              </w:rPr>
            </w:pPr>
            <w:r w:rsidRPr="00661E10">
              <w:rPr>
                <w:sz w:val="20"/>
                <w:szCs w:val="20"/>
              </w:rPr>
              <w:t>0.84</w:t>
            </w:r>
          </w:p>
        </w:tc>
        <w:tc>
          <w:tcPr>
            <w:tcW w:w="772" w:type="pct"/>
            <w:shd w:val="clear" w:color="auto" w:fill="D2EAF1"/>
            <w:noWrap/>
            <w:vAlign w:val="center"/>
          </w:tcPr>
          <w:p w:rsidR="00661E10" w:rsidRPr="00661E10" w:rsidRDefault="00661E10" w:rsidP="00661E10">
            <w:pPr>
              <w:jc w:val="center"/>
              <w:rPr>
                <w:sz w:val="20"/>
                <w:szCs w:val="20"/>
              </w:rPr>
            </w:pPr>
            <w:r w:rsidRPr="00661E10">
              <w:rPr>
                <w:sz w:val="20"/>
                <w:szCs w:val="20"/>
              </w:rPr>
              <w:t>0.73</w:t>
            </w:r>
          </w:p>
        </w:tc>
      </w:tr>
      <w:tr w:rsidR="00A874AC" w:rsidRPr="00661E10" w:rsidTr="008B5045">
        <w:trPr>
          <w:trHeight w:val="20"/>
        </w:trPr>
        <w:tc>
          <w:tcPr>
            <w:tcW w:w="807" w:type="pct"/>
            <w:shd w:val="clear" w:color="auto" w:fill="auto"/>
          </w:tcPr>
          <w:p w:rsidR="00661E10" w:rsidRPr="00661E10" w:rsidRDefault="00661E10" w:rsidP="00661E10">
            <w:pPr>
              <w:jc w:val="left"/>
              <w:rPr>
                <w:color w:val="000000"/>
                <w:sz w:val="20"/>
                <w:szCs w:val="20"/>
              </w:rPr>
            </w:pPr>
            <w:r w:rsidRPr="00661E10">
              <w:rPr>
                <w:sz w:val="20"/>
                <w:szCs w:val="20"/>
              </w:rPr>
              <w:t>Low-Income</w:t>
            </w:r>
          </w:p>
        </w:tc>
        <w:tc>
          <w:tcPr>
            <w:tcW w:w="1877" w:type="pct"/>
            <w:shd w:val="clear" w:color="auto" w:fill="FFFFFF" w:themeFill="background1"/>
            <w:noWrap/>
          </w:tcPr>
          <w:p w:rsidR="00661E10" w:rsidRPr="00661E10" w:rsidRDefault="00661E10" w:rsidP="00661E10">
            <w:pPr>
              <w:jc w:val="left"/>
              <w:rPr>
                <w:sz w:val="20"/>
                <w:szCs w:val="20"/>
              </w:rPr>
            </w:pPr>
            <w:r w:rsidRPr="00661E10">
              <w:rPr>
                <w:sz w:val="20"/>
                <w:szCs w:val="20"/>
              </w:rPr>
              <w:t>Low-Income Energy Efficiency Program (LIEEP)</w:t>
            </w:r>
          </w:p>
        </w:tc>
        <w:tc>
          <w:tcPr>
            <w:tcW w:w="772" w:type="pct"/>
            <w:shd w:val="clear" w:color="auto" w:fill="FFFFFF" w:themeFill="background1"/>
            <w:noWrap/>
            <w:vAlign w:val="center"/>
          </w:tcPr>
          <w:p w:rsidR="00661E10" w:rsidRPr="00661E10" w:rsidRDefault="00661E10" w:rsidP="00661E10">
            <w:pPr>
              <w:jc w:val="center"/>
              <w:rPr>
                <w:bCs/>
                <w:color w:val="000000"/>
                <w:sz w:val="20"/>
                <w:szCs w:val="20"/>
              </w:rPr>
            </w:pPr>
            <w:r w:rsidRPr="00661E10">
              <w:rPr>
                <w:bCs/>
                <w:color w:val="000000"/>
                <w:sz w:val="20"/>
                <w:szCs w:val="20"/>
              </w:rPr>
              <w:t>0.54</w:t>
            </w:r>
          </w:p>
        </w:tc>
        <w:tc>
          <w:tcPr>
            <w:tcW w:w="772" w:type="pct"/>
            <w:shd w:val="clear" w:color="auto" w:fill="FFFFFF" w:themeFill="background1"/>
            <w:noWrap/>
            <w:vAlign w:val="center"/>
          </w:tcPr>
          <w:p w:rsidR="00661E10" w:rsidRPr="00661E10" w:rsidRDefault="00661E10" w:rsidP="00661E10">
            <w:pPr>
              <w:jc w:val="center"/>
              <w:rPr>
                <w:b/>
                <w:bCs/>
                <w:color w:val="000000"/>
                <w:sz w:val="20"/>
                <w:szCs w:val="20"/>
              </w:rPr>
            </w:pPr>
            <w:r w:rsidRPr="00661E10">
              <w:rPr>
                <w:sz w:val="20"/>
                <w:szCs w:val="20"/>
              </w:rPr>
              <w:t>0.76</w:t>
            </w:r>
          </w:p>
        </w:tc>
        <w:tc>
          <w:tcPr>
            <w:tcW w:w="772" w:type="pct"/>
            <w:shd w:val="clear" w:color="auto" w:fill="FFFFFF" w:themeFill="background1"/>
            <w:noWrap/>
            <w:vAlign w:val="center"/>
          </w:tcPr>
          <w:p w:rsidR="00661E10" w:rsidRPr="00661E10" w:rsidRDefault="00661E10" w:rsidP="00661E10">
            <w:pPr>
              <w:jc w:val="center"/>
              <w:rPr>
                <w:b/>
                <w:bCs/>
                <w:color w:val="000000"/>
                <w:sz w:val="20"/>
                <w:szCs w:val="20"/>
              </w:rPr>
            </w:pPr>
            <w:r w:rsidRPr="00661E10">
              <w:rPr>
                <w:sz w:val="20"/>
                <w:szCs w:val="20"/>
              </w:rPr>
              <w:t>0.81</w:t>
            </w:r>
          </w:p>
        </w:tc>
      </w:tr>
      <w:tr w:rsidR="00A874AC" w:rsidRPr="00661E10" w:rsidTr="008B5045">
        <w:trPr>
          <w:trHeight w:val="20"/>
        </w:trPr>
        <w:tc>
          <w:tcPr>
            <w:tcW w:w="807" w:type="pct"/>
            <w:vMerge w:val="restart"/>
            <w:shd w:val="clear" w:color="auto" w:fill="D2EAF1"/>
          </w:tcPr>
          <w:p w:rsidR="00661E10" w:rsidRPr="00661E10" w:rsidRDefault="00661E10" w:rsidP="00661E10">
            <w:pPr>
              <w:jc w:val="left"/>
              <w:rPr>
                <w:color w:val="000000"/>
                <w:sz w:val="20"/>
                <w:szCs w:val="20"/>
              </w:rPr>
            </w:pPr>
            <w:r w:rsidRPr="00661E10">
              <w:rPr>
                <w:sz w:val="20"/>
                <w:szCs w:val="20"/>
              </w:rPr>
              <w:t>Non-Residential</w:t>
            </w:r>
          </w:p>
        </w:tc>
        <w:tc>
          <w:tcPr>
            <w:tcW w:w="1877" w:type="pct"/>
            <w:shd w:val="clear" w:color="auto" w:fill="D2EAF1"/>
            <w:noWrap/>
          </w:tcPr>
          <w:p w:rsidR="00661E10" w:rsidRPr="00661E10" w:rsidRDefault="00661E10" w:rsidP="00661E10">
            <w:pPr>
              <w:jc w:val="left"/>
              <w:rPr>
                <w:sz w:val="20"/>
                <w:szCs w:val="20"/>
              </w:rPr>
            </w:pPr>
            <w:r w:rsidRPr="00661E10">
              <w:rPr>
                <w:sz w:val="20"/>
                <w:szCs w:val="20"/>
              </w:rPr>
              <w:t>Commercial Program Group</w:t>
            </w:r>
          </w:p>
        </w:tc>
        <w:tc>
          <w:tcPr>
            <w:tcW w:w="772" w:type="pct"/>
            <w:shd w:val="clear" w:color="auto" w:fill="D2EAF1"/>
            <w:noWrap/>
            <w:vAlign w:val="center"/>
          </w:tcPr>
          <w:p w:rsidR="00661E10" w:rsidRPr="00661E10" w:rsidRDefault="00661E10" w:rsidP="00661E10">
            <w:pPr>
              <w:jc w:val="center"/>
              <w:rPr>
                <w:bCs/>
                <w:color w:val="000000"/>
                <w:sz w:val="20"/>
                <w:szCs w:val="20"/>
              </w:rPr>
            </w:pPr>
            <w:r w:rsidRPr="00661E10">
              <w:rPr>
                <w:bCs/>
                <w:color w:val="000000"/>
                <w:sz w:val="20"/>
                <w:szCs w:val="20"/>
              </w:rPr>
              <w:t>0.52</w:t>
            </w:r>
          </w:p>
        </w:tc>
        <w:tc>
          <w:tcPr>
            <w:tcW w:w="77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w:t>
            </w:r>
          </w:p>
        </w:tc>
        <w:tc>
          <w:tcPr>
            <w:tcW w:w="772" w:type="pct"/>
            <w:shd w:val="clear" w:color="auto" w:fill="D2EAF1"/>
            <w:noWrap/>
            <w:vAlign w:val="center"/>
          </w:tcPr>
          <w:p w:rsidR="00661E10" w:rsidRPr="00661E10" w:rsidRDefault="00661E10" w:rsidP="00661E10">
            <w:pPr>
              <w:jc w:val="center"/>
              <w:rPr>
                <w:b/>
                <w:bCs/>
                <w:color w:val="000000"/>
                <w:sz w:val="20"/>
                <w:szCs w:val="20"/>
              </w:rPr>
            </w:pPr>
            <w:r w:rsidRPr="00661E10">
              <w:rPr>
                <w:sz w:val="20"/>
                <w:szCs w:val="20"/>
              </w:rPr>
              <w:t>0.67</w:t>
            </w:r>
          </w:p>
        </w:tc>
      </w:tr>
      <w:tr w:rsidR="00A874AC" w:rsidRPr="00661E10" w:rsidTr="008B5045">
        <w:trPr>
          <w:trHeight w:val="20"/>
        </w:trPr>
        <w:tc>
          <w:tcPr>
            <w:tcW w:w="807" w:type="pct"/>
            <w:vMerge/>
            <w:shd w:val="clear" w:color="auto" w:fill="D2EAF1"/>
          </w:tcPr>
          <w:p w:rsidR="00661E10" w:rsidRPr="00661E10" w:rsidRDefault="00661E10" w:rsidP="00661E10">
            <w:pPr>
              <w:jc w:val="left"/>
              <w:rPr>
                <w:sz w:val="20"/>
                <w:szCs w:val="20"/>
              </w:rPr>
            </w:pPr>
          </w:p>
        </w:tc>
        <w:tc>
          <w:tcPr>
            <w:tcW w:w="1877" w:type="pct"/>
            <w:shd w:val="clear" w:color="auto" w:fill="FFFFFF" w:themeFill="background1"/>
            <w:noWrap/>
          </w:tcPr>
          <w:p w:rsidR="00661E10" w:rsidRPr="00661E10" w:rsidRDefault="00661E10" w:rsidP="00661E10">
            <w:pPr>
              <w:jc w:val="left"/>
              <w:rPr>
                <w:sz w:val="20"/>
                <w:szCs w:val="20"/>
              </w:rPr>
            </w:pPr>
            <w:r w:rsidRPr="00661E10">
              <w:rPr>
                <w:sz w:val="20"/>
                <w:szCs w:val="20"/>
              </w:rPr>
              <w:t>Industrial Program</w:t>
            </w:r>
          </w:p>
        </w:tc>
        <w:tc>
          <w:tcPr>
            <w:tcW w:w="772" w:type="pct"/>
            <w:shd w:val="clear" w:color="auto" w:fill="FFFFFF" w:themeFill="background1"/>
            <w:noWrap/>
            <w:vAlign w:val="center"/>
          </w:tcPr>
          <w:p w:rsidR="00661E10" w:rsidRPr="00661E10" w:rsidRDefault="00661E10" w:rsidP="00661E10">
            <w:pPr>
              <w:jc w:val="center"/>
              <w:rPr>
                <w:bCs/>
                <w:color w:val="000000"/>
                <w:sz w:val="20"/>
                <w:szCs w:val="20"/>
              </w:rPr>
            </w:pPr>
            <w:r w:rsidRPr="00661E10">
              <w:rPr>
                <w:bCs/>
                <w:color w:val="000000"/>
                <w:sz w:val="20"/>
                <w:szCs w:val="20"/>
              </w:rPr>
              <w:t>0.24</w:t>
            </w:r>
          </w:p>
        </w:tc>
        <w:tc>
          <w:tcPr>
            <w:tcW w:w="772" w:type="pct"/>
            <w:shd w:val="clear" w:color="auto" w:fill="FFFFFF" w:themeFill="background1"/>
            <w:noWrap/>
            <w:vAlign w:val="center"/>
          </w:tcPr>
          <w:p w:rsidR="00661E10" w:rsidRPr="00661E10" w:rsidRDefault="00661E10" w:rsidP="00661E10">
            <w:pPr>
              <w:jc w:val="center"/>
              <w:rPr>
                <w:sz w:val="20"/>
                <w:szCs w:val="20"/>
              </w:rPr>
            </w:pPr>
            <w:r w:rsidRPr="00661E10">
              <w:rPr>
                <w:sz w:val="20"/>
                <w:szCs w:val="20"/>
              </w:rPr>
              <w:t>*</w:t>
            </w:r>
          </w:p>
        </w:tc>
        <w:tc>
          <w:tcPr>
            <w:tcW w:w="772" w:type="pct"/>
            <w:shd w:val="clear" w:color="auto" w:fill="FFFFFF" w:themeFill="background1"/>
            <w:noWrap/>
            <w:vAlign w:val="center"/>
          </w:tcPr>
          <w:p w:rsidR="00661E10" w:rsidRPr="00661E10" w:rsidRDefault="00661E10" w:rsidP="00661E10">
            <w:pPr>
              <w:jc w:val="center"/>
              <w:rPr>
                <w:sz w:val="20"/>
                <w:szCs w:val="20"/>
              </w:rPr>
            </w:pPr>
            <w:r w:rsidRPr="00661E10">
              <w:rPr>
                <w:sz w:val="20"/>
                <w:szCs w:val="20"/>
              </w:rPr>
              <w:t>0.68</w:t>
            </w:r>
          </w:p>
        </w:tc>
      </w:tr>
      <w:tr w:rsidR="00A874AC" w:rsidRPr="00661E10" w:rsidTr="008B5045">
        <w:trPr>
          <w:trHeight w:val="20"/>
        </w:trPr>
        <w:tc>
          <w:tcPr>
            <w:tcW w:w="807" w:type="pct"/>
            <w:vMerge/>
            <w:shd w:val="clear" w:color="auto" w:fill="D2EAF1"/>
          </w:tcPr>
          <w:p w:rsidR="00661E10" w:rsidRPr="00661E10" w:rsidRDefault="00661E10" w:rsidP="00661E10">
            <w:pPr>
              <w:jc w:val="left"/>
              <w:rPr>
                <w:sz w:val="20"/>
                <w:szCs w:val="20"/>
              </w:rPr>
            </w:pPr>
          </w:p>
        </w:tc>
        <w:tc>
          <w:tcPr>
            <w:tcW w:w="1877" w:type="pct"/>
            <w:shd w:val="clear" w:color="auto" w:fill="D2EAF1"/>
            <w:noWrap/>
          </w:tcPr>
          <w:p w:rsidR="00661E10" w:rsidRPr="00661E10" w:rsidRDefault="00661E10" w:rsidP="00661E10">
            <w:pPr>
              <w:jc w:val="left"/>
              <w:rPr>
                <w:sz w:val="20"/>
                <w:szCs w:val="20"/>
              </w:rPr>
            </w:pPr>
            <w:r w:rsidRPr="00661E10">
              <w:rPr>
                <w:sz w:val="20"/>
                <w:szCs w:val="20"/>
              </w:rPr>
              <w:t>Small Commercial Direct Install (SCDI) Program</w:t>
            </w:r>
          </w:p>
        </w:tc>
        <w:tc>
          <w:tcPr>
            <w:tcW w:w="772" w:type="pct"/>
            <w:shd w:val="clear" w:color="auto" w:fill="D2EAF1"/>
            <w:noWrap/>
            <w:vAlign w:val="center"/>
          </w:tcPr>
          <w:p w:rsidR="00661E10" w:rsidRPr="00661E10" w:rsidRDefault="00661E10" w:rsidP="00661E10">
            <w:pPr>
              <w:jc w:val="center"/>
              <w:rPr>
                <w:bCs/>
                <w:color w:val="000000"/>
                <w:sz w:val="20"/>
                <w:szCs w:val="20"/>
              </w:rPr>
            </w:pPr>
            <w:r w:rsidRPr="00661E10">
              <w:rPr>
                <w:bCs/>
                <w:color w:val="000000"/>
                <w:sz w:val="20"/>
                <w:szCs w:val="20"/>
              </w:rPr>
              <w:t>*</w:t>
            </w:r>
          </w:p>
        </w:tc>
        <w:tc>
          <w:tcPr>
            <w:tcW w:w="772" w:type="pct"/>
            <w:shd w:val="clear" w:color="auto" w:fill="D2EAF1"/>
            <w:noWrap/>
            <w:vAlign w:val="center"/>
          </w:tcPr>
          <w:p w:rsidR="00661E10" w:rsidRPr="00661E10" w:rsidRDefault="00661E10" w:rsidP="00661E10">
            <w:pPr>
              <w:jc w:val="center"/>
              <w:rPr>
                <w:sz w:val="20"/>
                <w:szCs w:val="20"/>
              </w:rPr>
            </w:pPr>
            <w:r w:rsidRPr="00661E10">
              <w:rPr>
                <w:sz w:val="20"/>
                <w:szCs w:val="20"/>
              </w:rPr>
              <w:t>0.99</w:t>
            </w:r>
          </w:p>
        </w:tc>
        <w:tc>
          <w:tcPr>
            <w:tcW w:w="772" w:type="pct"/>
            <w:shd w:val="clear" w:color="auto" w:fill="D2EAF1"/>
            <w:noWrap/>
            <w:vAlign w:val="center"/>
          </w:tcPr>
          <w:p w:rsidR="00661E10" w:rsidRPr="00661E10" w:rsidRDefault="00661E10" w:rsidP="00661E10">
            <w:pPr>
              <w:jc w:val="center"/>
              <w:rPr>
                <w:sz w:val="20"/>
                <w:szCs w:val="20"/>
              </w:rPr>
            </w:pPr>
            <w:r w:rsidRPr="00661E10">
              <w:rPr>
                <w:sz w:val="20"/>
                <w:szCs w:val="20"/>
              </w:rPr>
              <w:t>*</w:t>
            </w:r>
          </w:p>
        </w:tc>
      </w:tr>
      <w:tr w:rsidR="00A874AC" w:rsidRPr="00661E10" w:rsidTr="008B5045">
        <w:trPr>
          <w:trHeight w:val="20"/>
        </w:trPr>
        <w:tc>
          <w:tcPr>
            <w:tcW w:w="807" w:type="pct"/>
            <w:vMerge/>
            <w:shd w:val="clear" w:color="auto" w:fill="D2EAF1"/>
          </w:tcPr>
          <w:p w:rsidR="00661E10" w:rsidRPr="00661E10" w:rsidRDefault="00661E10" w:rsidP="00661E10">
            <w:pPr>
              <w:jc w:val="left"/>
              <w:rPr>
                <w:color w:val="000000"/>
                <w:sz w:val="20"/>
                <w:szCs w:val="20"/>
              </w:rPr>
            </w:pPr>
          </w:p>
        </w:tc>
        <w:tc>
          <w:tcPr>
            <w:tcW w:w="1877" w:type="pct"/>
            <w:shd w:val="clear" w:color="auto" w:fill="FFFFFF" w:themeFill="background1"/>
            <w:noWrap/>
          </w:tcPr>
          <w:p w:rsidR="00661E10" w:rsidRPr="00661E10" w:rsidRDefault="00661E10" w:rsidP="00661E10">
            <w:pPr>
              <w:jc w:val="left"/>
              <w:rPr>
                <w:sz w:val="20"/>
                <w:szCs w:val="20"/>
              </w:rPr>
            </w:pPr>
            <w:r w:rsidRPr="00661E10">
              <w:rPr>
                <w:sz w:val="20"/>
                <w:szCs w:val="20"/>
              </w:rPr>
              <w:t>Multifamily Housing Retrofit (MFHR) Program</w:t>
            </w:r>
          </w:p>
        </w:tc>
        <w:tc>
          <w:tcPr>
            <w:tcW w:w="772" w:type="pct"/>
            <w:shd w:val="clear" w:color="auto" w:fill="FFFFFF" w:themeFill="background1"/>
            <w:noWrap/>
            <w:vAlign w:val="center"/>
          </w:tcPr>
          <w:p w:rsidR="00661E10" w:rsidRPr="00661E10" w:rsidRDefault="00661E10" w:rsidP="00661E10">
            <w:pPr>
              <w:jc w:val="center"/>
              <w:rPr>
                <w:bCs/>
                <w:color w:val="000000"/>
                <w:sz w:val="20"/>
                <w:szCs w:val="20"/>
              </w:rPr>
            </w:pPr>
            <w:r w:rsidRPr="00661E10">
              <w:rPr>
                <w:bCs/>
                <w:color w:val="000000"/>
                <w:sz w:val="20"/>
                <w:szCs w:val="20"/>
              </w:rPr>
              <w:t>*</w:t>
            </w:r>
          </w:p>
        </w:tc>
        <w:tc>
          <w:tcPr>
            <w:tcW w:w="772" w:type="pct"/>
            <w:shd w:val="clear" w:color="auto" w:fill="FFFFFF" w:themeFill="background1"/>
            <w:noWrap/>
            <w:vAlign w:val="center"/>
          </w:tcPr>
          <w:p w:rsidR="00661E10" w:rsidRPr="00661E10" w:rsidRDefault="00661E10" w:rsidP="00661E10">
            <w:pPr>
              <w:jc w:val="center"/>
              <w:rPr>
                <w:b/>
                <w:bCs/>
                <w:color w:val="000000"/>
                <w:sz w:val="20"/>
                <w:szCs w:val="20"/>
              </w:rPr>
            </w:pPr>
            <w:r w:rsidRPr="00661E10">
              <w:rPr>
                <w:sz w:val="20"/>
                <w:szCs w:val="20"/>
              </w:rPr>
              <w:t>0.95</w:t>
            </w:r>
          </w:p>
        </w:tc>
        <w:tc>
          <w:tcPr>
            <w:tcW w:w="772" w:type="pct"/>
            <w:shd w:val="clear" w:color="auto" w:fill="FFFFFF" w:themeFill="background1"/>
            <w:noWrap/>
            <w:vAlign w:val="center"/>
          </w:tcPr>
          <w:p w:rsidR="00661E10" w:rsidRPr="00661E10" w:rsidRDefault="00661E10" w:rsidP="00661E10">
            <w:pPr>
              <w:jc w:val="center"/>
              <w:rPr>
                <w:b/>
                <w:bCs/>
                <w:color w:val="000000"/>
                <w:sz w:val="20"/>
                <w:szCs w:val="20"/>
              </w:rPr>
            </w:pPr>
            <w:r w:rsidRPr="00661E10">
              <w:rPr>
                <w:sz w:val="20"/>
                <w:szCs w:val="20"/>
              </w:rPr>
              <w:t>*</w:t>
            </w:r>
          </w:p>
        </w:tc>
      </w:tr>
      <w:tr w:rsidR="00E7173E" w:rsidRPr="00661E10" w:rsidTr="008B5045">
        <w:trPr>
          <w:trHeight w:val="288"/>
        </w:trPr>
        <w:tc>
          <w:tcPr>
            <w:tcW w:w="2684" w:type="pct"/>
            <w:gridSpan w:val="2"/>
            <w:shd w:val="clear" w:color="auto" w:fill="auto"/>
          </w:tcPr>
          <w:p w:rsidR="00661E10" w:rsidRPr="00661E10" w:rsidRDefault="00661E10" w:rsidP="00661E10">
            <w:pPr>
              <w:jc w:val="center"/>
              <w:rPr>
                <w:b/>
                <w:sz w:val="20"/>
                <w:szCs w:val="20"/>
              </w:rPr>
            </w:pPr>
            <w:r w:rsidRPr="00661E10">
              <w:rPr>
                <w:b/>
                <w:color w:val="000000"/>
                <w:sz w:val="20"/>
                <w:szCs w:val="20"/>
              </w:rPr>
              <w:t>Portfolio</w:t>
            </w:r>
          </w:p>
        </w:tc>
        <w:tc>
          <w:tcPr>
            <w:tcW w:w="772" w:type="pct"/>
            <w:shd w:val="clear" w:color="auto" w:fill="auto"/>
            <w:noWrap/>
            <w:vAlign w:val="center"/>
          </w:tcPr>
          <w:p w:rsidR="00661E10" w:rsidRPr="00661E10" w:rsidRDefault="00661E10" w:rsidP="00661E10">
            <w:pPr>
              <w:jc w:val="center"/>
              <w:rPr>
                <w:b/>
                <w:bCs/>
                <w:color w:val="000000"/>
                <w:sz w:val="20"/>
                <w:szCs w:val="20"/>
              </w:rPr>
            </w:pPr>
            <w:r w:rsidRPr="00661E10">
              <w:rPr>
                <w:b/>
                <w:bCs/>
                <w:color w:val="000000"/>
                <w:sz w:val="20"/>
                <w:szCs w:val="20"/>
              </w:rPr>
              <w:t>0.55</w:t>
            </w:r>
          </w:p>
        </w:tc>
        <w:tc>
          <w:tcPr>
            <w:tcW w:w="772" w:type="pct"/>
            <w:shd w:val="clear" w:color="auto" w:fill="auto"/>
            <w:noWrap/>
            <w:vAlign w:val="center"/>
          </w:tcPr>
          <w:p w:rsidR="00661E10" w:rsidRPr="00661E10" w:rsidRDefault="00661E10" w:rsidP="00661E10">
            <w:pPr>
              <w:jc w:val="center"/>
              <w:rPr>
                <w:b/>
                <w:bCs/>
                <w:color w:val="000000"/>
                <w:sz w:val="20"/>
                <w:szCs w:val="20"/>
              </w:rPr>
            </w:pPr>
            <w:r w:rsidRPr="00661E10">
              <w:rPr>
                <w:b/>
                <w:sz w:val="20"/>
                <w:szCs w:val="20"/>
              </w:rPr>
              <w:t>0.66</w:t>
            </w:r>
          </w:p>
        </w:tc>
        <w:tc>
          <w:tcPr>
            <w:tcW w:w="772" w:type="pct"/>
            <w:shd w:val="clear" w:color="auto" w:fill="auto"/>
            <w:noWrap/>
            <w:vAlign w:val="center"/>
          </w:tcPr>
          <w:p w:rsidR="00661E10" w:rsidRPr="00661E10" w:rsidRDefault="00661E10" w:rsidP="00661E10">
            <w:pPr>
              <w:jc w:val="center"/>
              <w:rPr>
                <w:b/>
                <w:sz w:val="20"/>
                <w:szCs w:val="20"/>
              </w:rPr>
            </w:pPr>
            <w:r w:rsidRPr="00661E10">
              <w:rPr>
                <w:b/>
                <w:sz w:val="20"/>
                <w:szCs w:val="20"/>
              </w:rPr>
              <w:t>0.74</w:t>
            </w:r>
          </w:p>
        </w:tc>
      </w:tr>
      <w:tr w:rsidR="00E7173E" w:rsidRPr="00661E10" w:rsidTr="008B5045">
        <w:trPr>
          <w:trHeight w:val="288"/>
        </w:trPr>
        <w:tc>
          <w:tcPr>
            <w:tcW w:w="5000" w:type="pct"/>
            <w:gridSpan w:val="5"/>
            <w:shd w:val="clear" w:color="auto" w:fill="448A99"/>
          </w:tcPr>
          <w:p w:rsidR="00661E10" w:rsidRPr="00661E10" w:rsidRDefault="00661E10" w:rsidP="00661E10">
            <w:pPr>
              <w:jc w:val="left"/>
              <w:rPr>
                <w:color w:val="FFFFFF"/>
                <w:sz w:val="18"/>
                <w:szCs w:val="18"/>
              </w:rPr>
            </w:pPr>
            <w:r w:rsidRPr="00661E10">
              <w:rPr>
                <w:color w:val="FFFFFF"/>
                <w:sz w:val="18"/>
                <w:szCs w:val="18"/>
              </w:rPr>
              <w:t>NOTE</w:t>
            </w:r>
            <w:r w:rsidR="00630371">
              <w:rPr>
                <w:color w:val="FFFFFF"/>
                <w:sz w:val="18"/>
                <w:szCs w:val="18"/>
              </w:rPr>
              <w:t>:</w:t>
            </w:r>
          </w:p>
          <w:p w:rsidR="00661E10" w:rsidRPr="00661E10" w:rsidRDefault="00661E10" w:rsidP="00514A0E">
            <w:pPr>
              <w:jc w:val="left"/>
              <w:rPr>
                <w:color w:val="FFFFFF" w:themeColor="background1"/>
                <w:sz w:val="18"/>
                <w:szCs w:val="18"/>
              </w:rPr>
            </w:pPr>
            <w:r w:rsidRPr="00661E10">
              <w:rPr>
                <w:color w:val="FFFFFF" w:themeColor="background1"/>
                <w:sz w:val="18"/>
                <w:szCs w:val="18"/>
              </w:rPr>
              <w:t>*</w:t>
            </w:r>
            <w:r w:rsidR="00514A0E" w:rsidRPr="00514A0E">
              <w:rPr>
                <w:color w:val="FFFFFF" w:themeColor="background1"/>
                <w:sz w:val="18"/>
                <w:szCs w:val="18"/>
              </w:rPr>
              <w:t>Denotes that no NTGR research was conducted in that year.</w:t>
            </w:r>
          </w:p>
        </w:tc>
      </w:tr>
    </w:tbl>
    <w:p w:rsidR="00661E10" w:rsidRDefault="00661E10" w:rsidP="00661E10">
      <w:pPr>
        <w:rPr>
          <w:color w:val="000000"/>
        </w:rPr>
      </w:pPr>
    </w:p>
    <w:p w:rsidR="002C134F" w:rsidRPr="00661E10" w:rsidRDefault="002C134F" w:rsidP="00661E10">
      <w:pPr>
        <w:rPr>
          <w:color w:val="000000"/>
        </w:rPr>
      </w:pPr>
    </w:p>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lastRenderedPageBreak/>
        <w:t>Metropolitan Edison Phase II NTG Summary</w:t>
      </w:r>
    </w:p>
    <w:p w:rsidR="00661E10" w:rsidRPr="00661E10" w:rsidRDefault="002C134F" w:rsidP="002C134F">
      <w:r>
        <w:fldChar w:fldCharType="begin"/>
      </w:r>
      <w:r>
        <w:instrText xml:space="preserve"> REF _Ref471458871 \h </w:instrText>
      </w:r>
      <w:r>
        <w:fldChar w:fldCharType="separate"/>
      </w:r>
      <w:r w:rsidR="00A874AC" w:rsidRPr="00ED5AFA">
        <w:t xml:space="preserve">Table </w:t>
      </w:r>
      <w:r w:rsidR="00A874AC">
        <w:rPr>
          <w:noProof/>
        </w:rPr>
        <w:t>5</w:t>
      </w:r>
      <w:r w:rsidR="00A874AC">
        <w:noBreakHyphen/>
      </w:r>
      <w:r w:rsidR="00A874AC">
        <w:rPr>
          <w:noProof/>
        </w:rPr>
        <w:t>7</w:t>
      </w:r>
      <w:r>
        <w:fldChar w:fldCharType="end"/>
      </w:r>
      <w:r>
        <w:t xml:space="preserve"> </w:t>
      </w:r>
      <w:r w:rsidR="00661E10" w:rsidRPr="002C134F">
        <w:t xml:space="preserve">shows Met-Ed’s Phase II NTGRs by program year. Met-Ed did not conduct any NTG evaluation activities during PY5. Most programs experienced a drop in NTGR from PY6 to PY7, which resulted in a lower portfolio-level NTGR in PY7. </w:t>
      </w:r>
      <w:r w:rsidR="00514A0E" w:rsidRPr="002C134F">
        <w:t xml:space="preserve">The change in evaluation methodologies for appliance recycling and low income (see text associated with </w:t>
      </w:r>
      <w:r>
        <w:fldChar w:fldCharType="begin"/>
      </w:r>
      <w:r>
        <w:instrText xml:space="preserve"> REF _Ref473709359 \h </w:instrText>
      </w:r>
      <w:r>
        <w:fldChar w:fldCharType="separate"/>
      </w:r>
      <w:r w:rsidR="00A874AC" w:rsidRPr="005F4C4F">
        <w:t xml:space="preserve">Figure </w:t>
      </w:r>
      <w:r w:rsidR="00A874AC">
        <w:rPr>
          <w:noProof/>
        </w:rPr>
        <w:t>5</w:t>
      </w:r>
      <w:r w:rsidR="00A874AC">
        <w:noBreakHyphen/>
      </w:r>
      <w:r w:rsidR="00A874AC">
        <w:rPr>
          <w:noProof/>
        </w:rPr>
        <w:t>1</w:t>
      </w:r>
      <w:r>
        <w:fldChar w:fldCharType="end"/>
      </w:r>
      <w:r w:rsidR="00514A0E" w:rsidRPr="00514A0E">
        <w:t>), as well as first-time NTGR estimates in PY7 for two programs, contributed to the decrease</w:t>
      </w:r>
      <w:r w:rsidR="00B90CD9">
        <w:t>.</w:t>
      </w:r>
    </w:p>
    <w:p w:rsidR="00661E10" w:rsidRPr="00661E10" w:rsidRDefault="00661E10" w:rsidP="00661E10"/>
    <w:p w:rsidR="00661E10" w:rsidRPr="00ED5AFA" w:rsidRDefault="00ED5AFA" w:rsidP="00ED5AFA">
      <w:pPr>
        <w:pStyle w:val="Caption"/>
      </w:pPr>
      <w:bookmarkStart w:id="413" w:name="_Ref471458871"/>
      <w:bookmarkStart w:id="414" w:name="_Toc472472192"/>
      <w:bookmarkStart w:id="415" w:name="_Toc476914006"/>
      <w:r w:rsidRPr="00ED5AFA">
        <w:t xml:space="preserve">Table </w:t>
      </w:r>
      <w:fldSimple w:instr=" STYLEREF 1 \s ">
        <w:r w:rsidR="00C301D0">
          <w:rPr>
            <w:noProof/>
          </w:rPr>
          <w:t>5</w:t>
        </w:r>
      </w:fldSimple>
      <w:r w:rsidR="00E6042C">
        <w:noBreakHyphen/>
      </w:r>
      <w:fldSimple w:instr=" SEQ Table \* ARABIC \s 1 ">
        <w:r w:rsidR="00C301D0">
          <w:rPr>
            <w:noProof/>
          </w:rPr>
          <w:t>7</w:t>
        </w:r>
      </w:fldSimple>
      <w:bookmarkEnd w:id="413"/>
      <w:r w:rsidR="00661E10" w:rsidRPr="00ED5AFA">
        <w:t>: Met-Ed’s Phase II NTGRs by Program Year</w:t>
      </w:r>
      <w:bookmarkEnd w:id="414"/>
      <w:bookmarkEnd w:id="415"/>
    </w:p>
    <w:tbl>
      <w:tblPr>
        <w:tblW w:w="4887"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61"/>
        <w:gridCol w:w="3394"/>
        <w:gridCol w:w="1424"/>
        <w:gridCol w:w="1424"/>
        <w:gridCol w:w="1426"/>
      </w:tblGrid>
      <w:tr w:rsidR="00A874AC" w:rsidRPr="00661E10" w:rsidTr="008B5045">
        <w:trPr>
          <w:trHeight w:val="20"/>
          <w:tblHeader/>
        </w:trPr>
        <w:tc>
          <w:tcPr>
            <w:tcW w:w="800" w:type="pct"/>
            <w:shd w:val="clear" w:color="auto" w:fill="448A99"/>
            <w:vAlign w:val="bottom"/>
            <w:hideMark/>
          </w:tcPr>
          <w:p w:rsidR="00661E10" w:rsidRPr="00661E10" w:rsidRDefault="00661E10" w:rsidP="00661E10">
            <w:pPr>
              <w:jc w:val="left"/>
              <w:rPr>
                <w:b/>
                <w:bCs/>
                <w:color w:val="FFFFFF"/>
                <w:sz w:val="20"/>
                <w:szCs w:val="20"/>
              </w:rPr>
            </w:pPr>
            <w:r w:rsidRPr="00661E10">
              <w:rPr>
                <w:b/>
                <w:color w:val="FFFFFF"/>
                <w:sz w:val="20"/>
                <w:szCs w:val="20"/>
              </w:rPr>
              <w:t>Sector</w:t>
            </w:r>
          </w:p>
        </w:tc>
        <w:tc>
          <w:tcPr>
            <w:tcW w:w="1859"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Program</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PY5</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PY6</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PY7</w:t>
            </w:r>
          </w:p>
        </w:tc>
      </w:tr>
      <w:tr w:rsidR="00A874AC" w:rsidRPr="00661E10" w:rsidTr="008B5045">
        <w:trPr>
          <w:trHeight w:val="288"/>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Residential</w:t>
            </w:r>
          </w:p>
        </w:tc>
        <w:tc>
          <w:tcPr>
            <w:tcW w:w="1859" w:type="pct"/>
            <w:shd w:val="clear" w:color="auto" w:fill="D2EAF1"/>
            <w:noWrap/>
          </w:tcPr>
          <w:p w:rsidR="00661E10" w:rsidRPr="00661E10" w:rsidRDefault="00661E10" w:rsidP="00661E10">
            <w:pPr>
              <w:jc w:val="left"/>
              <w:rPr>
                <w:color w:val="000000"/>
                <w:sz w:val="20"/>
                <w:szCs w:val="20"/>
              </w:rPr>
            </w:pPr>
            <w:r w:rsidRPr="00661E10">
              <w:rPr>
                <w:sz w:val="20"/>
                <w:szCs w:val="20"/>
              </w:rPr>
              <w:t>Appliance Turn-In</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0.57</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0.26</w:t>
            </w:r>
          </w:p>
        </w:tc>
      </w:tr>
      <w:tr w:rsidR="005E6D04"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auto"/>
            <w:noWrap/>
          </w:tcPr>
          <w:p w:rsidR="00661E10" w:rsidRPr="00661E10" w:rsidRDefault="00661E10" w:rsidP="00661E10">
            <w:pPr>
              <w:jc w:val="left"/>
              <w:rPr>
                <w:sz w:val="20"/>
                <w:szCs w:val="20"/>
              </w:rPr>
            </w:pPr>
            <w:r w:rsidRPr="00661E10">
              <w:rPr>
                <w:sz w:val="20"/>
                <w:szCs w:val="20"/>
              </w:rPr>
              <w:t>Energy Efficient Products</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0.65</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0.67</w:t>
            </w:r>
          </w:p>
        </w:tc>
      </w:tr>
      <w:tr w:rsidR="00A874AC"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D2EAF1"/>
            <w:noWrap/>
          </w:tcPr>
          <w:p w:rsidR="00661E10" w:rsidRPr="00661E10" w:rsidRDefault="00661E10" w:rsidP="00661E10">
            <w:pPr>
              <w:jc w:val="left"/>
              <w:rPr>
                <w:sz w:val="20"/>
                <w:szCs w:val="20"/>
              </w:rPr>
            </w:pPr>
            <w:r w:rsidRPr="00661E10">
              <w:rPr>
                <w:sz w:val="20"/>
                <w:szCs w:val="20"/>
              </w:rPr>
              <w:t>Home Performance</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0.89</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0.70</w:t>
            </w:r>
          </w:p>
        </w:tc>
      </w:tr>
      <w:tr w:rsidR="00E7173E" w:rsidRPr="00661E10" w:rsidTr="008B5045">
        <w:trPr>
          <w:trHeight w:val="288"/>
        </w:trPr>
        <w:tc>
          <w:tcPr>
            <w:tcW w:w="800" w:type="pct"/>
            <w:shd w:val="clear" w:color="auto" w:fill="auto"/>
          </w:tcPr>
          <w:p w:rsidR="00661E10" w:rsidRPr="00661E10" w:rsidRDefault="00661E10" w:rsidP="00661E10">
            <w:pPr>
              <w:jc w:val="left"/>
              <w:rPr>
                <w:color w:val="000000"/>
                <w:sz w:val="20"/>
                <w:szCs w:val="20"/>
              </w:rPr>
            </w:pPr>
            <w:r w:rsidRPr="00661E10">
              <w:rPr>
                <w:sz w:val="20"/>
                <w:szCs w:val="20"/>
              </w:rPr>
              <w:t>Low-Income</w:t>
            </w:r>
          </w:p>
        </w:tc>
        <w:tc>
          <w:tcPr>
            <w:tcW w:w="1859" w:type="pct"/>
            <w:shd w:val="clear" w:color="auto" w:fill="auto"/>
            <w:noWrap/>
          </w:tcPr>
          <w:p w:rsidR="00661E10" w:rsidRPr="00661E10" w:rsidRDefault="00661E10" w:rsidP="00661E10">
            <w:pPr>
              <w:jc w:val="left"/>
              <w:rPr>
                <w:sz w:val="20"/>
                <w:szCs w:val="20"/>
              </w:rPr>
            </w:pPr>
            <w:r w:rsidRPr="00661E10">
              <w:rPr>
                <w:sz w:val="20"/>
                <w:szCs w:val="20"/>
              </w:rPr>
              <w:t xml:space="preserve">Low-Income </w:t>
            </w:r>
          </w:p>
        </w:tc>
        <w:tc>
          <w:tcPr>
            <w:tcW w:w="780" w:type="pct"/>
            <w:shd w:val="clear" w:color="auto" w:fill="auto"/>
            <w:noWrap/>
          </w:tcPr>
          <w:p w:rsidR="00661E10" w:rsidRPr="00661E10" w:rsidRDefault="00661E10" w:rsidP="00661E10">
            <w:pPr>
              <w:jc w:val="center"/>
              <w:rPr>
                <w:bCs/>
                <w:color w:val="000000"/>
                <w:sz w:val="20"/>
                <w:szCs w:val="20"/>
              </w:rPr>
            </w:pPr>
            <w:r w:rsidRPr="00661E10">
              <w:rPr>
                <w:sz w:val="20"/>
                <w:szCs w:val="20"/>
              </w:rPr>
              <w:t>*</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1.00</w:t>
            </w:r>
          </w:p>
        </w:tc>
        <w:tc>
          <w:tcPr>
            <w:tcW w:w="780" w:type="pct"/>
            <w:shd w:val="clear" w:color="auto" w:fill="auto"/>
            <w:noWrap/>
          </w:tcPr>
          <w:p w:rsidR="00661E10" w:rsidRPr="00661E10" w:rsidRDefault="00661E10" w:rsidP="00661E10">
            <w:pPr>
              <w:jc w:val="center"/>
              <w:rPr>
                <w:bCs/>
                <w:color w:val="000000"/>
                <w:sz w:val="20"/>
                <w:szCs w:val="20"/>
              </w:rPr>
            </w:pPr>
            <w:r w:rsidRPr="00661E10">
              <w:rPr>
                <w:sz w:val="20"/>
                <w:szCs w:val="20"/>
              </w:rPr>
              <w:t>0.83</w:t>
            </w:r>
          </w:p>
        </w:tc>
      </w:tr>
      <w:tr w:rsidR="00A874AC" w:rsidRPr="00661E10" w:rsidTr="008B5045">
        <w:trPr>
          <w:trHeight w:val="288"/>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Non-Residential</w:t>
            </w:r>
          </w:p>
        </w:tc>
        <w:tc>
          <w:tcPr>
            <w:tcW w:w="1859" w:type="pct"/>
            <w:shd w:val="clear" w:color="auto" w:fill="D2EAF1"/>
            <w:noWrap/>
          </w:tcPr>
          <w:p w:rsidR="00661E10" w:rsidRPr="00661E10" w:rsidRDefault="00661E10" w:rsidP="00661E10">
            <w:pPr>
              <w:jc w:val="left"/>
              <w:rPr>
                <w:sz w:val="20"/>
                <w:szCs w:val="20"/>
              </w:rPr>
            </w:pPr>
            <w:r w:rsidRPr="00661E10">
              <w:rPr>
                <w:sz w:val="20"/>
                <w:szCs w:val="20"/>
              </w:rPr>
              <w:t>Small C/I Equipment</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0.71</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0.66</w:t>
            </w:r>
          </w:p>
        </w:tc>
      </w:tr>
      <w:tr w:rsidR="005E6D04"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auto"/>
            <w:noWrap/>
          </w:tcPr>
          <w:p w:rsidR="00661E10" w:rsidRPr="00661E10" w:rsidRDefault="00661E10" w:rsidP="00661E10">
            <w:pPr>
              <w:jc w:val="left"/>
              <w:rPr>
                <w:sz w:val="20"/>
                <w:szCs w:val="20"/>
              </w:rPr>
            </w:pPr>
            <w:r w:rsidRPr="00661E10">
              <w:rPr>
                <w:sz w:val="20"/>
                <w:szCs w:val="20"/>
              </w:rPr>
              <w:t>Large C/I Equipment</w:t>
            </w:r>
          </w:p>
        </w:tc>
        <w:tc>
          <w:tcPr>
            <w:tcW w:w="780" w:type="pct"/>
            <w:shd w:val="clear" w:color="auto" w:fill="auto"/>
            <w:noWrap/>
          </w:tcPr>
          <w:p w:rsidR="00661E10" w:rsidRPr="00661E10" w:rsidRDefault="00661E10" w:rsidP="00661E10">
            <w:pPr>
              <w:jc w:val="center"/>
              <w:rPr>
                <w:bCs/>
                <w:color w:val="000000"/>
                <w:sz w:val="20"/>
                <w:szCs w:val="20"/>
              </w:rPr>
            </w:pPr>
            <w:r w:rsidRPr="00661E10">
              <w:rPr>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0.73</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0.72</w:t>
            </w:r>
          </w:p>
        </w:tc>
      </w:tr>
      <w:tr w:rsidR="00A874AC"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D2EAF1"/>
            <w:noWrap/>
          </w:tcPr>
          <w:p w:rsidR="00661E10" w:rsidRPr="00661E10" w:rsidRDefault="00661E10" w:rsidP="00661E10">
            <w:pPr>
              <w:jc w:val="left"/>
              <w:rPr>
                <w:sz w:val="20"/>
                <w:szCs w:val="20"/>
              </w:rPr>
            </w:pPr>
            <w:r w:rsidRPr="00661E10">
              <w:rPr>
                <w:sz w:val="20"/>
                <w:szCs w:val="20"/>
              </w:rPr>
              <w:t>Small C/I Buildings</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0.69</w:t>
            </w:r>
          </w:p>
        </w:tc>
      </w:tr>
      <w:tr w:rsidR="005E6D04"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auto"/>
            <w:noWrap/>
          </w:tcPr>
          <w:p w:rsidR="00661E10" w:rsidRPr="00661E10" w:rsidRDefault="00661E10" w:rsidP="00661E10">
            <w:pPr>
              <w:jc w:val="left"/>
              <w:rPr>
                <w:sz w:val="20"/>
                <w:szCs w:val="20"/>
              </w:rPr>
            </w:pPr>
            <w:r w:rsidRPr="00661E10">
              <w:rPr>
                <w:sz w:val="20"/>
                <w:szCs w:val="20"/>
              </w:rPr>
              <w:t>Large C/I Buildings</w:t>
            </w:r>
          </w:p>
        </w:tc>
        <w:tc>
          <w:tcPr>
            <w:tcW w:w="780" w:type="pct"/>
            <w:shd w:val="clear" w:color="auto" w:fill="auto"/>
            <w:noWrap/>
          </w:tcPr>
          <w:p w:rsidR="00661E10" w:rsidRPr="00661E10" w:rsidRDefault="00661E10" w:rsidP="00661E10">
            <w:pPr>
              <w:jc w:val="center"/>
              <w:rPr>
                <w:bCs/>
                <w:color w:val="000000"/>
                <w:sz w:val="20"/>
                <w:szCs w:val="20"/>
              </w:rPr>
            </w:pPr>
            <w:r w:rsidRPr="00661E10">
              <w:rPr>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0.39</w:t>
            </w:r>
          </w:p>
        </w:tc>
      </w:tr>
      <w:tr w:rsidR="00A874AC"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D2EAF1"/>
            <w:noWrap/>
          </w:tcPr>
          <w:p w:rsidR="00661E10" w:rsidRPr="00661E10" w:rsidRDefault="00661E10" w:rsidP="00661E10">
            <w:pPr>
              <w:jc w:val="left"/>
              <w:rPr>
                <w:sz w:val="20"/>
                <w:szCs w:val="20"/>
              </w:rPr>
            </w:pPr>
            <w:r w:rsidRPr="00661E10">
              <w:rPr>
                <w:sz w:val="20"/>
                <w:szCs w:val="20"/>
              </w:rPr>
              <w:t>Government and Institutional</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0.73</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0.73</w:t>
            </w:r>
          </w:p>
        </w:tc>
      </w:tr>
      <w:tr w:rsidR="00E7173E" w:rsidRPr="00661E10" w:rsidTr="008B5045">
        <w:trPr>
          <w:trHeight w:val="288"/>
        </w:trPr>
        <w:tc>
          <w:tcPr>
            <w:tcW w:w="2659" w:type="pct"/>
            <w:gridSpan w:val="2"/>
            <w:shd w:val="clear" w:color="auto" w:fill="auto"/>
          </w:tcPr>
          <w:p w:rsidR="00661E10" w:rsidRPr="00661E10" w:rsidRDefault="00661E10" w:rsidP="00661E10">
            <w:pPr>
              <w:jc w:val="center"/>
              <w:rPr>
                <w:b/>
                <w:sz w:val="20"/>
                <w:szCs w:val="20"/>
              </w:rPr>
            </w:pPr>
            <w:r w:rsidRPr="00661E10">
              <w:rPr>
                <w:b/>
                <w:color w:val="000000"/>
                <w:sz w:val="20"/>
                <w:szCs w:val="20"/>
              </w:rPr>
              <w:t>Portfolio</w:t>
            </w:r>
          </w:p>
        </w:tc>
        <w:tc>
          <w:tcPr>
            <w:tcW w:w="780" w:type="pct"/>
            <w:shd w:val="clear" w:color="auto" w:fill="auto"/>
            <w:noWrap/>
          </w:tcPr>
          <w:p w:rsidR="00661E10" w:rsidRPr="00661E10" w:rsidRDefault="00661E10" w:rsidP="00661E10">
            <w:pPr>
              <w:jc w:val="center"/>
              <w:rPr>
                <w:b/>
                <w:bCs/>
                <w:color w:val="000000"/>
                <w:sz w:val="20"/>
                <w:szCs w:val="20"/>
              </w:rPr>
            </w:pPr>
            <w:r w:rsidRPr="00661E10">
              <w:rPr>
                <w:b/>
                <w:bCs/>
                <w:color w:val="000000"/>
                <w:sz w:val="20"/>
                <w:szCs w:val="20"/>
              </w:rPr>
              <w:t>*</w:t>
            </w:r>
          </w:p>
        </w:tc>
        <w:tc>
          <w:tcPr>
            <w:tcW w:w="780" w:type="pct"/>
            <w:shd w:val="clear" w:color="auto" w:fill="auto"/>
            <w:noWrap/>
          </w:tcPr>
          <w:p w:rsidR="00661E10" w:rsidRPr="00661E10" w:rsidRDefault="00661E10" w:rsidP="00661E10">
            <w:pPr>
              <w:jc w:val="center"/>
              <w:rPr>
                <w:b/>
                <w:bCs/>
                <w:color w:val="000000"/>
                <w:sz w:val="20"/>
                <w:szCs w:val="20"/>
              </w:rPr>
            </w:pPr>
            <w:r w:rsidRPr="00661E10">
              <w:rPr>
                <w:b/>
                <w:sz w:val="20"/>
                <w:szCs w:val="20"/>
              </w:rPr>
              <w:t>0.80</w:t>
            </w:r>
          </w:p>
        </w:tc>
        <w:tc>
          <w:tcPr>
            <w:tcW w:w="780" w:type="pct"/>
            <w:shd w:val="clear" w:color="auto" w:fill="auto"/>
            <w:noWrap/>
          </w:tcPr>
          <w:p w:rsidR="00661E10" w:rsidRPr="00661E10" w:rsidRDefault="00661E10" w:rsidP="00661E10">
            <w:pPr>
              <w:jc w:val="center"/>
              <w:rPr>
                <w:b/>
                <w:sz w:val="20"/>
                <w:szCs w:val="20"/>
              </w:rPr>
            </w:pPr>
            <w:r w:rsidRPr="00661E10">
              <w:rPr>
                <w:b/>
                <w:sz w:val="20"/>
                <w:szCs w:val="20"/>
              </w:rPr>
              <w:t>0.67</w:t>
            </w:r>
          </w:p>
        </w:tc>
      </w:tr>
      <w:tr w:rsidR="00E7173E" w:rsidRPr="00661E10" w:rsidTr="008B5045">
        <w:trPr>
          <w:trHeight w:val="288"/>
        </w:trPr>
        <w:tc>
          <w:tcPr>
            <w:tcW w:w="5000" w:type="pct"/>
            <w:gridSpan w:val="5"/>
            <w:shd w:val="clear" w:color="auto" w:fill="448A99"/>
          </w:tcPr>
          <w:p w:rsidR="00661E10" w:rsidRPr="00661E10" w:rsidRDefault="00661E10" w:rsidP="00661E10">
            <w:pPr>
              <w:jc w:val="left"/>
              <w:rPr>
                <w:color w:val="FFFFFF"/>
                <w:sz w:val="18"/>
                <w:szCs w:val="18"/>
              </w:rPr>
            </w:pPr>
            <w:r w:rsidRPr="00661E10">
              <w:rPr>
                <w:color w:val="FFFFFF"/>
                <w:sz w:val="18"/>
                <w:szCs w:val="18"/>
              </w:rPr>
              <w:t>NOTE</w:t>
            </w:r>
            <w:r w:rsidR="00630371">
              <w:rPr>
                <w:color w:val="FFFFFF"/>
                <w:sz w:val="18"/>
                <w:szCs w:val="18"/>
              </w:rPr>
              <w:t>:</w:t>
            </w:r>
          </w:p>
          <w:p w:rsidR="00661E10" w:rsidRPr="00661E10" w:rsidRDefault="00661E10" w:rsidP="00661E10">
            <w:pPr>
              <w:jc w:val="left"/>
              <w:rPr>
                <w:color w:val="FFFFFF" w:themeColor="background1"/>
                <w:sz w:val="18"/>
                <w:szCs w:val="18"/>
              </w:rPr>
            </w:pPr>
            <w:r w:rsidRPr="00661E10">
              <w:rPr>
                <w:color w:val="FFFFFF" w:themeColor="background1"/>
                <w:sz w:val="18"/>
                <w:szCs w:val="18"/>
              </w:rPr>
              <w:t>* Denotes programs/NTGRs that were not included in a given annual report.</w:t>
            </w:r>
          </w:p>
        </w:tc>
      </w:tr>
    </w:tbl>
    <w:p w:rsidR="00661E10" w:rsidRPr="00661E10" w:rsidRDefault="00661E10" w:rsidP="00661E10">
      <w:pPr>
        <w:rPr>
          <w:color w:val="000000"/>
        </w:rPr>
      </w:pPr>
    </w:p>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t>Pennsylvania Electric Phase II NTG Summary</w:t>
      </w:r>
    </w:p>
    <w:p w:rsidR="00661E10" w:rsidRPr="00661E10" w:rsidRDefault="00547434" w:rsidP="00547434">
      <w:r>
        <w:fldChar w:fldCharType="begin"/>
      </w:r>
      <w:r>
        <w:instrText xml:space="preserve"> REF _Ref471458923 \h </w:instrText>
      </w:r>
      <w:r>
        <w:fldChar w:fldCharType="separate"/>
      </w:r>
      <w:r w:rsidR="00A874AC" w:rsidRPr="00ED5AFA">
        <w:t xml:space="preserve">Table </w:t>
      </w:r>
      <w:r w:rsidR="00A874AC">
        <w:rPr>
          <w:noProof/>
        </w:rPr>
        <w:t>5</w:t>
      </w:r>
      <w:r w:rsidR="00A874AC">
        <w:noBreakHyphen/>
      </w:r>
      <w:r w:rsidR="00A874AC">
        <w:rPr>
          <w:noProof/>
        </w:rPr>
        <w:t>8</w:t>
      </w:r>
      <w:r>
        <w:fldChar w:fldCharType="end"/>
      </w:r>
      <w:r>
        <w:t xml:space="preserve"> </w:t>
      </w:r>
      <w:r w:rsidR="00661E10" w:rsidRPr="00547434">
        <w:t xml:space="preserve">shows Penelec’s Phase II NTGRs by program year. Penelec did not conduct any NTG evaluation activities during PY5. There was considerable intra-program NTGR variation from PY6 to PY7, leading to a lower portfolio-level NTGR in PY7. </w:t>
      </w:r>
      <w:r w:rsidR="00B90CD9" w:rsidRPr="00547434">
        <w:t>The change in evaluation methodologies for appliance recycling and low income (see text associated with</w:t>
      </w:r>
      <w:r>
        <w:t xml:space="preserve"> </w:t>
      </w:r>
      <w:r>
        <w:fldChar w:fldCharType="begin"/>
      </w:r>
      <w:r>
        <w:instrText xml:space="preserve"> REF _Ref473709359 \h </w:instrText>
      </w:r>
      <w:r>
        <w:fldChar w:fldCharType="separate"/>
      </w:r>
      <w:r w:rsidR="006247DA" w:rsidRPr="005F4C4F">
        <w:t xml:space="preserve">Figure </w:t>
      </w:r>
      <w:r w:rsidR="006247DA">
        <w:rPr>
          <w:noProof/>
        </w:rPr>
        <w:t>5</w:t>
      </w:r>
      <w:r w:rsidR="006247DA">
        <w:noBreakHyphen/>
      </w:r>
      <w:r w:rsidR="006247DA">
        <w:rPr>
          <w:noProof/>
        </w:rPr>
        <w:t>1</w:t>
      </w:r>
      <w:r>
        <w:fldChar w:fldCharType="end"/>
      </w:r>
      <w:r w:rsidR="00B90CD9" w:rsidRPr="003A0F59">
        <w:t>), as well as first-time NTGR estimates in PY7 for two programs, contributed to the decrease.</w:t>
      </w:r>
    </w:p>
    <w:p w:rsidR="00661E10" w:rsidRPr="00661E10" w:rsidRDefault="00661E10" w:rsidP="00661E10"/>
    <w:p w:rsidR="00661E10" w:rsidRPr="00ED5AFA" w:rsidRDefault="00ED5AFA" w:rsidP="00ED5AFA">
      <w:pPr>
        <w:pStyle w:val="Caption"/>
      </w:pPr>
      <w:bookmarkStart w:id="416" w:name="_Ref471458923"/>
      <w:bookmarkStart w:id="417" w:name="_Toc472472193"/>
      <w:bookmarkStart w:id="418" w:name="_Toc476914007"/>
      <w:r w:rsidRPr="00ED5AFA">
        <w:t xml:space="preserve">Table </w:t>
      </w:r>
      <w:fldSimple w:instr=" STYLEREF 1 \s ">
        <w:r w:rsidR="00C301D0">
          <w:rPr>
            <w:noProof/>
          </w:rPr>
          <w:t>5</w:t>
        </w:r>
      </w:fldSimple>
      <w:r w:rsidR="00E6042C">
        <w:noBreakHyphen/>
      </w:r>
      <w:fldSimple w:instr=" SEQ Table \* ARABIC \s 1 ">
        <w:r w:rsidR="00C301D0">
          <w:rPr>
            <w:noProof/>
          </w:rPr>
          <w:t>8</w:t>
        </w:r>
      </w:fldSimple>
      <w:bookmarkEnd w:id="416"/>
      <w:r w:rsidR="00661E10" w:rsidRPr="00ED5AFA">
        <w:t>: Penelec’s Phase II NTGRs by Program Year</w:t>
      </w:r>
      <w:bookmarkEnd w:id="417"/>
      <w:bookmarkEnd w:id="418"/>
    </w:p>
    <w:tbl>
      <w:tblPr>
        <w:tblW w:w="4887"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61"/>
        <w:gridCol w:w="3394"/>
        <w:gridCol w:w="1424"/>
        <w:gridCol w:w="1424"/>
        <w:gridCol w:w="1426"/>
      </w:tblGrid>
      <w:tr w:rsidR="00A874AC" w:rsidRPr="00661E10" w:rsidTr="008B5045">
        <w:trPr>
          <w:trHeight w:val="20"/>
          <w:tblHeader/>
        </w:trPr>
        <w:tc>
          <w:tcPr>
            <w:tcW w:w="800" w:type="pct"/>
            <w:shd w:val="clear" w:color="auto" w:fill="448A99"/>
            <w:vAlign w:val="bottom"/>
            <w:hideMark/>
          </w:tcPr>
          <w:p w:rsidR="00661E10" w:rsidRPr="00661E10" w:rsidRDefault="00661E10" w:rsidP="00661E10">
            <w:pPr>
              <w:jc w:val="left"/>
              <w:rPr>
                <w:b/>
                <w:bCs/>
                <w:color w:val="FFFFFF"/>
                <w:sz w:val="20"/>
                <w:szCs w:val="20"/>
              </w:rPr>
            </w:pPr>
            <w:r w:rsidRPr="00661E10">
              <w:rPr>
                <w:b/>
                <w:color w:val="FFFFFF"/>
                <w:sz w:val="20"/>
                <w:szCs w:val="20"/>
              </w:rPr>
              <w:t>Sector</w:t>
            </w:r>
          </w:p>
        </w:tc>
        <w:tc>
          <w:tcPr>
            <w:tcW w:w="1859"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Program</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PY5</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PY6</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PY7</w:t>
            </w:r>
          </w:p>
        </w:tc>
      </w:tr>
      <w:tr w:rsidR="00A874AC" w:rsidRPr="00661E10" w:rsidTr="008B5045">
        <w:trPr>
          <w:trHeight w:val="288"/>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Residential</w:t>
            </w:r>
          </w:p>
        </w:tc>
        <w:tc>
          <w:tcPr>
            <w:tcW w:w="1859" w:type="pct"/>
            <w:shd w:val="clear" w:color="auto" w:fill="D2EAF1"/>
            <w:noWrap/>
          </w:tcPr>
          <w:p w:rsidR="00661E10" w:rsidRPr="00661E10" w:rsidRDefault="00661E10" w:rsidP="00661E10">
            <w:pPr>
              <w:jc w:val="left"/>
              <w:rPr>
                <w:color w:val="000000"/>
                <w:sz w:val="20"/>
                <w:szCs w:val="20"/>
              </w:rPr>
            </w:pPr>
            <w:r w:rsidRPr="00661E10">
              <w:rPr>
                <w:sz w:val="20"/>
                <w:szCs w:val="20"/>
              </w:rPr>
              <w:t>Appliance Turn-In</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0.49</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0.34</w:t>
            </w:r>
          </w:p>
        </w:tc>
      </w:tr>
      <w:tr w:rsidR="005E6D04"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auto"/>
            <w:noWrap/>
          </w:tcPr>
          <w:p w:rsidR="00661E10" w:rsidRPr="00661E10" w:rsidRDefault="00661E10" w:rsidP="00661E10">
            <w:pPr>
              <w:jc w:val="left"/>
              <w:rPr>
                <w:sz w:val="20"/>
                <w:szCs w:val="20"/>
              </w:rPr>
            </w:pPr>
            <w:r w:rsidRPr="00661E10">
              <w:rPr>
                <w:sz w:val="20"/>
                <w:szCs w:val="20"/>
              </w:rPr>
              <w:t>Energy Efficient Products</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0.54</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0.65</w:t>
            </w:r>
          </w:p>
        </w:tc>
      </w:tr>
      <w:tr w:rsidR="00A874AC"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D2EAF1"/>
            <w:noWrap/>
          </w:tcPr>
          <w:p w:rsidR="00661E10" w:rsidRPr="00661E10" w:rsidRDefault="00661E10" w:rsidP="00661E10">
            <w:pPr>
              <w:jc w:val="left"/>
              <w:rPr>
                <w:sz w:val="20"/>
                <w:szCs w:val="20"/>
              </w:rPr>
            </w:pPr>
            <w:r w:rsidRPr="00661E10">
              <w:rPr>
                <w:sz w:val="20"/>
                <w:szCs w:val="20"/>
              </w:rPr>
              <w:t>Home Performance</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0.87</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0.70</w:t>
            </w:r>
          </w:p>
        </w:tc>
      </w:tr>
      <w:tr w:rsidR="00E7173E" w:rsidRPr="00661E10" w:rsidTr="008B5045">
        <w:trPr>
          <w:trHeight w:val="288"/>
        </w:trPr>
        <w:tc>
          <w:tcPr>
            <w:tcW w:w="800" w:type="pct"/>
            <w:shd w:val="clear" w:color="auto" w:fill="auto"/>
          </w:tcPr>
          <w:p w:rsidR="00661E10" w:rsidRPr="00661E10" w:rsidRDefault="00661E10" w:rsidP="00661E10">
            <w:pPr>
              <w:jc w:val="left"/>
              <w:rPr>
                <w:color w:val="000000"/>
                <w:sz w:val="20"/>
                <w:szCs w:val="20"/>
              </w:rPr>
            </w:pPr>
            <w:r w:rsidRPr="00661E10">
              <w:rPr>
                <w:sz w:val="20"/>
                <w:szCs w:val="20"/>
              </w:rPr>
              <w:t>Low-Income</w:t>
            </w:r>
          </w:p>
        </w:tc>
        <w:tc>
          <w:tcPr>
            <w:tcW w:w="1859" w:type="pct"/>
            <w:shd w:val="clear" w:color="auto" w:fill="auto"/>
            <w:noWrap/>
          </w:tcPr>
          <w:p w:rsidR="00661E10" w:rsidRPr="00661E10" w:rsidRDefault="00661E10" w:rsidP="00661E10">
            <w:pPr>
              <w:jc w:val="left"/>
              <w:rPr>
                <w:sz w:val="20"/>
                <w:szCs w:val="20"/>
              </w:rPr>
            </w:pPr>
            <w:r w:rsidRPr="00661E10">
              <w:rPr>
                <w:sz w:val="20"/>
                <w:szCs w:val="20"/>
              </w:rPr>
              <w:t xml:space="preserve">Low-Income </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1.00</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0.82</w:t>
            </w:r>
          </w:p>
        </w:tc>
      </w:tr>
      <w:tr w:rsidR="00A874AC" w:rsidRPr="00661E10" w:rsidTr="008B5045">
        <w:trPr>
          <w:trHeight w:val="288"/>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Non-Residential</w:t>
            </w:r>
          </w:p>
        </w:tc>
        <w:tc>
          <w:tcPr>
            <w:tcW w:w="1859" w:type="pct"/>
            <w:shd w:val="clear" w:color="auto" w:fill="D2EAF1"/>
            <w:noWrap/>
          </w:tcPr>
          <w:p w:rsidR="00661E10" w:rsidRPr="00661E10" w:rsidRDefault="00661E10" w:rsidP="00661E10">
            <w:pPr>
              <w:jc w:val="left"/>
              <w:rPr>
                <w:sz w:val="20"/>
                <w:szCs w:val="20"/>
              </w:rPr>
            </w:pPr>
            <w:r w:rsidRPr="00661E10">
              <w:rPr>
                <w:sz w:val="20"/>
                <w:szCs w:val="20"/>
              </w:rPr>
              <w:t>Small C/I Equipment</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0.75</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0.75</w:t>
            </w:r>
          </w:p>
        </w:tc>
      </w:tr>
      <w:tr w:rsidR="005E6D04"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auto"/>
            <w:noWrap/>
          </w:tcPr>
          <w:p w:rsidR="00661E10" w:rsidRPr="00661E10" w:rsidRDefault="00661E10" w:rsidP="00661E10">
            <w:pPr>
              <w:jc w:val="left"/>
              <w:rPr>
                <w:sz w:val="20"/>
                <w:szCs w:val="20"/>
              </w:rPr>
            </w:pPr>
            <w:r w:rsidRPr="00661E10">
              <w:rPr>
                <w:sz w:val="20"/>
                <w:szCs w:val="20"/>
              </w:rPr>
              <w:t>Large C/I Equipment</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0.80</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0.81</w:t>
            </w:r>
          </w:p>
        </w:tc>
      </w:tr>
      <w:tr w:rsidR="00A874AC"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D2EAF1"/>
            <w:noWrap/>
          </w:tcPr>
          <w:p w:rsidR="00661E10" w:rsidRPr="00661E10" w:rsidRDefault="00661E10" w:rsidP="00661E10">
            <w:pPr>
              <w:jc w:val="left"/>
              <w:rPr>
                <w:sz w:val="20"/>
                <w:szCs w:val="20"/>
              </w:rPr>
            </w:pPr>
            <w:r w:rsidRPr="00661E10">
              <w:rPr>
                <w:sz w:val="20"/>
                <w:szCs w:val="20"/>
              </w:rPr>
              <w:t>Small C/I Buildings</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0.64</w:t>
            </w:r>
          </w:p>
        </w:tc>
      </w:tr>
      <w:tr w:rsidR="005E6D04"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auto"/>
            <w:noWrap/>
          </w:tcPr>
          <w:p w:rsidR="00661E10" w:rsidRPr="00661E10" w:rsidRDefault="00661E10" w:rsidP="00661E10">
            <w:pPr>
              <w:jc w:val="left"/>
              <w:rPr>
                <w:sz w:val="20"/>
                <w:szCs w:val="20"/>
              </w:rPr>
            </w:pPr>
            <w:r w:rsidRPr="00661E10">
              <w:rPr>
                <w:sz w:val="20"/>
                <w:szCs w:val="20"/>
              </w:rPr>
              <w:t>Large C/I Buildings</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0.50</w:t>
            </w:r>
          </w:p>
        </w:tc>
      </w:tr>
      <w:tr w:rsidR="00A874AC"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D2EAF1"/>
            <w:noWrap/>
          </w:tcPr>
          <w:p w:rsidR="00661E10" w:rsidRPr="00661E10" w:rsidRDefault="00661E10" w:rsidP="00661E10">
            <w:pPr>
              <w:jc w:val="left"/>
              <w:rPr>
                <w:sz w:val="20"/>
                <w:szCs w:val="20"/>
              </w:rPr>
            </w:pPr>
            <w:r w:rsidRPr="00661E10">
              <w:rPr>
                <w:sz w:val="20"/>
                <w:szCs w:val="20"/>
              </w:rPr>
              <w:t>Government and Institutional</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0.57</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0.73</w:t>
            </w:r>
          </w:p>
        </w:tc>
      </w:tr>
      <w:tr w:rsidR="00E7173E" w:rsidRPr="00661E10" w:rsidTr="008B5045">
        <w:trPr>
          <w:trHeight w:val="288"/>
        </w:trPr>
        <w:tc>
          <w:tcPr>
            <w:tcW w:w="2659" w:type="pct"/>
            <w:gridSpan w:val="2"/>
            <w:shd w:val="clear" w:color="auto" w:fill="auto"/>
          </w:tcPr>
          <w:p w:rsidR="00661E10" w:rsidRPr="00661E10" w:rsidRDefault="00661E10" w:rsidP="00661E10">
            <w:pPr>
              <w:jc w:val="center"/>
              <w:rPr>
                <w:b/>
                <w:sz w:val="20"/>
                <w:szCs w:val="20"/>
              </w:rPr>
            </w:pPr>
            <w:r w:rsidRPr="00661E10">
              <w:rPr>
                <w:b/>
                <w:color w:val="000000"/>
                <w:sz w:val="20"/>
                <w:szCs w:val="20"/>
              </w:rPr>
              <w:t>Portfolio</w:t>
            </w:r>
          </w:p>
        </w:tc>
        <w:tc>
          <w:tcPr>
            <w:tcW w:w="780" w:type="pct"/>
            <w:shd w:val="clear" w:color="auto" w:fill="auto"/>
            <w:noWrap/>
          </w:tcPr>
          <w:p w:rsidR="00661E10" w:rsidRPr="00661E10" w:rsidRDefault="00661E10" w:rsidP="00661E10">
            <w:pPr>
              <w:jc w:val="center"/>
              <w:rPr>
                <w:b/>
                <w:bCs/>
                <w:color w:val="000000"/>
                <w:sz w:val="20"/>
                <w:szCs w:val="20"/>
              </w:rPr>
            </w:pPr>
            <w:r w:rsidRPr="00661E10">
              <w:rPr>
                <w:b/>
                <w:bCs/>
                <w:color w:val="000000"/>
                <w:sz w:val="20"/>
                <w:szCs w:val="20"/>
              </w:rPr>
              <w:t>*</w:t>
            </w:r>
          </w:p>
        </w:tc>
        <w:tc>
          <w:tcPr>
            <w:tcW w:w="780" w:type="pct"/>
            <w:shd w:val="clear" w:color="auto" w:fill="auto"/>
            <w:noWrap/>
          </w:tcPr>
          <w:p w:rsidR="00661E10" w:rsidRPr="00661E10" w:rsidRDefault="00661E10" w:rsidP="00661E10">
            <w:pPr>
              <w:jc w:val="center"/>
              <w:rPr>
                <w:b/>
                <w:bCs/>
                <w:color w:val="000000"/>
                <w:sz w:val="20"/>
                <w:szCs w:val="20"/>
              </w:rPr>
            </w:pPr>
            <w:r w:rsidRPr="00661E10">
              <w:rPr>
                <w:b/>
                <w:bCs/>
                <w:color w:val="000000"/>
                <w:sz w:val="20"/>
                <w:szCs w:val="20"/>
              </w:rPr>
              <w:t>0.78</w:t>
            </w:r>
          </w:p>
        </w:tc>
        <w:tc>
          <w:tcPr>
            <w:tcW w:w="780" w:type="pct"/>
            <w:shd w:val="clear" w:color="auto" w:fill="auto"/>
            <w:noWrap/>
          </w:tcPr>
          <w:p w:rsidR="00661E10" w:rsidRPr="00661E10" w:rsidRDefault="00661E10" w:rsidP="00661E10">
            <w:pPr>
              <w:jc w:val="center"/>
              <w:rPr>
                <w:b/>
                <w:sz w:val="20"/>
                <w:szCs w:val="20"/>
              </w:rPr>
            </w:pPr>
            <w:r w:rsidRPr="00661E10">
              <w:rPr>
                <w:b/>
                <w:sz w:val="20"/>
                <w:szCs w:val="20"/>
              </w:rPr>
              <w:t>0.71</w:t>
            </w:r>
          </w:p>
        </w:tc>
      </w:tr>
      <w:tr w:rsidR="00E7173E" w:rsidRPr="00661E10" w:rsidTr="008B5045">
        <w:trPr>
          <w:trHeight w:val="288"/>
        </w:trPr>
        <w:tc>
          <w:tcPr>
            <w:tcW w:w="5000" w:type="pct"/>
            <w:gridSpan w:val="5"/>
            <w:shd w:val="clear" w:color="auto" w:fill="448A99"/>
          </w:tcPr>
          <w:p w:rsidR="00661E10" w:rsidRPr="00661E10" w:rsidRDefault="00661E10" w:rsidP="00661E10">
            <w:pPr>
              <w:jc w:val="left"/>
              <w:rPr>
                <w:color w:val="FFFFFF"/>
                <w:sz w:val="18"/>
                <w:szCs w:val="18"/>
              </w:rPr>
            </w:pPr>
            <w:r w:rsidRPr="00661E10">
              <w:rPr>
                <w:color w:val="FFFFFF"/>
                <w:sz w:val="18"/>
                <w:szCs w:val="18"/>
              </w:rPr>
              <w:t>NOTE</w:t>
            </w:r>
            <w:r w:rsidR="00630371">
              <w:rPr>
                <w:color w:val="FFFFFF"/>
                <w:sz w:val="18"/>
                <w:szCs w:val="18"/>
              </w:rPr>
              <w:t>:</w:t>
            </w:r>
          </w:p>
          <w:p w:rsidR="00661E10" w:rsidRPr="00661E10" w:rsidRDefault="00661E10" w:rsidP="00661E10">
            <w:pPr>
              <w:jc w:val="left"/>
              <w:rPr>
                <w:color w:val="FFFFFF" w:themeColor="background1"/>
                <w:sz w:val="18"/>
                <w:szCs w:val="18"/>
              </w:rPr>
            </w:pPr>
            <w:r w:rsidRPr="00661E10">
              <w:rPr>
                <w:color w:val="FFFFFF" w:themeColor="background1"/>
                <w:sz w:val="18"/>
                <w:szCs w:val="18"/>
              </w:rPr>
              <w:t>* Denotes programs/NTGRs that were not included in a given annual report.</w:t>
            </w:r>
          </w:p>
        </w:tc>
      </w:tr>
    </w:tbl>
    <w:p w:rsidR="00661E10" w:rsidRPr="00661E10" w:rsidRDefault="00661E10" w:rsidP="00661E10"/>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lastRenderedPageBreak/>
        <w:t>Pennsylvania Power Phase II NTG Summary</w:t>
      </w:r>
    </w:p>
    <w:p w:rsidR="00661E10" w:rsidRPr="00661E10" w:rsidRDefault="007631BE" w:rsidP="007631BE">
      <w:r>
        <w:fldChar w:fldCharType="begin"/>
      </w:r>
      <w:r>
        <w:instrText xml:space="preserve"> REF _Ref471458949 \h </w:instrText>
      </w:r>
      <w:r>
        <w:fldChar w:fldCharType="separate"/>
      </w:r>
      <w:r w:rsidR="00A874AC" w:rsidRPr="00ED5AFA">
        <w:t xml:space="preserve">Table </w:t>
      </w:r>
      <w:r w:rsidR="00A874AC">
        <w:rPr>
          <w:noProof/>
        </w:rPr>
        <w:t>5</w:t>
      </w:r>
      <w:r w:rsidR="00A874AC">
        <w:noBreakHyphen/>
      </w:r>
      <w:r w:rsidR="00A874AC">
        <w:rPr>
          <w:noProof/>
        </w:rPr>
        <w:t>9</w:t>
      </w:r>
      <w:r>
        <w:fldChar w:fldCharType="end"/>
      </w:r>
      <w:r>
        <w:t xml:space="preserve"> </w:t>
      </w:r>
      <w:r w:rsidR="00661E10" w:rsidRPr="007631BE">
        <w:t>shows Penn Power’s Phase II NTGRs by program year. Penn Power did not conduct any NTG evaluation activities during PY5. There was considerable intra-program NTGR variation from PY6 to PY7, leading to a lower portfolio-level NTGR in PY7.</w:t>
      </w:r>
      <w:r w:rsidR="00B90CD9" w:rsidRPr="007631BE">
        <w:t xml:space="preserve"> The change in evaluation methodologies for appliance recycling and low income (see text associated with</w:t>
      </w:r>
      <w:r>
        <w:t xml:space="preserve"> </w:t>
      </w:r>
      <w:r>
        <w:fldChar w:fldCharType="begin"/>
      </w:r>
      <w:r>
        <w:instrText xml:space="preserve"> REF _Ref473709359 \h </w:instrText>
      </w:r>
      <w:r>
        <w:fldChar w:fldCharType="separate"/>
      </w:r>
      <w:r w:rsidR="00A874AC" w:rsidRPr="005F4C4F">
        <w:t xml:space="preserve">Figure </w:t>
      </w:r>
      <w:r w:rsidR="00A874AC">
        <w:rPr>
          <w:noProof/>
        </w:rPr>
        <w:t>5</w:t>
      </w:r>
      <w:r w:rsidR="00A874AC">
        <w:noBreakHyphen/>
      </w:r>
      <w:r w:rsidR="00A874AC">
        <w:rPr>
          <w:noProof/>
        </w:rPr>
        <w:t>1</w:t>
      </w:r>
      <w:r>
        <w:fldChar w:fldCharType="end"/>
      </w:r>
      <w:r w:rsidR="00B90CD9" w:rsidRPr="003A0F59">
        <w:t>), as well as first-time NTGR estimates in PY7 for two programs, contributed to the decrease.</w:t>
      </w:r>
      <w:r w:rsidR="00661E10" w:rsidRPr="00661E10">
        <w:rPr>
          <w:i/>
        </w:rPr>
        <w:t xml:space="preserve"> </w:t>
      </w:r>
    </w:p>
    <w:p w:rsidR="00661E10" w:rsidRPr="00661E10" w:rsidRDefault="00661E10" w:rsidP="00661E10"/>
    <w:p w:rsidR="00661E10" w:rsidRPr="00ED5AFA" w:rsidRDefault="00ED5AFA" w:rsidP="00ED5AFA">
      <w:pPr>
        <w:pStyle w:val="Caption"/>
      </w:pPr>
      <w:bookmarkStart w:id="419" w:name="_Ref471458949"/>
      <w:bookmarkStart w:id="420" w:name="_Toc472472194"/>
      <w:bookmarkStart w:id="421" w:name="_Toc476914008"/>
      <w:r w:rsidRPr="00ED5AFA">
        <w:t xml:space="preserve">Table </w:t>
      </w:r>
      <w:fldSimple w:instr=" STYLEREF 1 \s ">
        <w:r w:rsidR="00C301D0">
          <w:rPr>
            <w:noProof/>
          </w:rPr>
          <w:t>5</w:t>
        </w:r>
      </w:fldSimple>
      <w:r w:rsidR="00E6042C">
        <w:noBreakHyphen/>
      </w:r>
      <w:fldSimple w:instr=" SEQ Table \* ARABIC \s 1 ">
        <w:r w:rsidR="00C301D0">
          <w:rPr>
            <w:noProof/>
          </w:rPr>
          <w:t>9</w:t>
        </w:r>
      </w:fldSimple>
      <w:bookmarkEnd w:id="419"/>
      <w:r w:rsidR="00661E10" w:rsidRPr="00ED5AFA">
        <w:t>: Penn Power’s Phase II NTGRs by Program Year</w:t>
      </w:r>
      <w:bookmarkEnd w:id="420"/>
      <w:bookmarkEnd w:id="421"/>
    </w:p>
    <w:tbl>
      <w:tblPr>
        <w:tblW w:w="4887"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61"/>
        <w:gridCol w:w="3394"/>
        <w:gridCol w:w="1424"/>
        <w:gridCol w:w="1424"/>
        <w:gridCol w:w="1426"/>
      </w:tblGrid>
      <w:tr w:rsidR="00A874AC" w:rsidRPr="00661E10" w:rsidTr="008B5045">
        <w:trPr>
          <w:trHeight w:val="20"/>
          <w:tblHeader/>
        </w:trPr>
        <w:tc>
          <w:tcPr>
            <w:tcW w:w="800" w:type="pct"/>
            <w:shd w:val="clear" w:color="auto" w:fill="448A99"/>
            <w:vAlign w:val="bottom"/>
            <w:hideMark/>
          </w:tcPr>
          <w:p w:rsidR="00661E10" w:rsidRPr="00661E10" w:rsidRDefault="00661E10" w:rsidP="00661E10">
            <w:pPr>
              <w:jc w:val="left"/>
              <w:rPr>
                <w:b/>
                <w:bCs/>
                <w:color w:val="FFFFFF"/>
                <w:sz w:val="20"/>
                <w:szCs w:val="20"/>
              </w:rPr>
            </w:pPr>
            <w:r w:rsidRPr="00661E10">
              <w:rPr>
                <w:b/>
                <w:color w:val="FFFFFF"/>
                <w:sz w:val="20"/>
                <w:szCs w:val="20"/>
              </w:rPr>
              <w:t>Sector</w:t>
            </w:r>
          </w:p>
        </w:tc>
        <w:tc>
          <w:tcPr>
            <w:tcW w:w="1859"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Program</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PY5</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PY6</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PY7</w:t>
            </w:r>
          </w:p>
        </w:tc>
      </w:tr>
      <w:tr w:rsidR="00A874AC" w:rsidRPr="00661E10" w:rsidTr="008B5045">
        <w:trPr>
          <w:trHeight w:val="288"/>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Residential</w:t>
            </w:r>
          </w:p>
        </w:tc>
        <w:tc>
          <w:tcPr>
            <w:tcW w:w="1859" w:type="pct"/>
            <w:shd w:val="clear" w:color="auto" w:fill="D2EAF1"/>
            <w:noWrap/>
          </w:tcPr>
          <w:p w:rsidR="00661E10" w:rsidRPr="00661E10" w:rsidRDefault="00661E10" w:rsidP="00661E10">
            <w:pPr>
              <w:jc w:val="left"/>
              <w:rPr>
                <w:color w:val="000000"/>
                <w:sz w:val="20"/>
                <w:szCs w:val="20"/>
              </w:rPr>
            </w:pPr>
            <w:r w:rsidRPr="00661E10">
              <w:rPr>
                <w:sz w:val="20"/>
                <w:szCs w:val="20"/>
              </w:rPr>
              <w:t>Appliance Turn-In</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0.53</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0.42</w:t>
            </w:r>
          </w:p>
        </w:tc>
      </w:tr>
      <w:tr w:rsidR="005E6D04"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auto"/>
            <w:noWrap/>
          </w:tcPr>
          <w:p w:rsidR="00661E10" w:rsidRPr="00661E10" w:rsidRDefault="00661E10" w:rsidP="00661E10">
            <w:pPr>
              <w:jc w:val="left"/>
              <w:rPr>
                <w:sz w:val="20"/>
                <w:szCs w:val="20"/>
              </w:rPr>
            </w:pPr>
            <w:r w:rsidRPr="00661E10">
              <w:rPr>
                <w:sz w:val="20"/>
                <w:szCs w:val="20"/>
              </w:rPr>
              <w:t>Energy Efficient Products</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0.57</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0.67</w:t>
            </w:r>
          </w:p>
        </w:tc>
      </w:tr>
      <w:tr w:rsidR="00A874AC"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D2EAF1"/>
            <w:noWrap/>
          </w:tcPr>
          <w:p w:rsidR="00661E10" w:rsidRPr="00661E10" w:rsidRDefault="00661E10" w:rsidP="00661E10">
            <w:pPr>
              <w:jc w:val="left"/>
              <w:rPr>
                <w:sz w:val="20"/>
                <w:szCs w:val="20"/>
              </w:rPr>
            </w:pPr>
            <w:r w:rsidRPr="00661E10">
              <w:rPr>
                <w:sz w:val="20"/>
                <w:szCs w:val="20"/>
              </w:rPr>
              <w:t>Home Performance</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0.88</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0.70</w:t>
            </w:r>
          </w:p>
        </w:tc>
      </w:tr>
      <w:tr w:rsidR="00E7173E" w:rsidRPr="00661E10" w:rsidTr="008B5045">
        <w:trPr>
          <w:trHeight w:val="288"/>
        </w:trPr>
        <w:tc>
          <w:tcPr>
            <w:tcW w:w="800" w:type="pct"/>
            <w:shd w:val="clear" w:color="auto" w:fill="auto"/>
          </w:tcPr>
          <w:p w:rsidR="00661E10" w:rsidRPr="00661E10" w:rsidRDefault="00661E10" w:rsidP="00661E10">
            <w:pPr>
              <w:jc w:val="left"/>
              <w:rPr>
                <w:color w:val="000000"/>
                <w:sz w:val="20"/>
                <w:szCs w:val="20"/>
              </w:rPr>
            </w:pPr>
            <w:r w:rsidRPr="00661E10">
              <w:rPr>
                <w:sz w:val="20"/>
                <w:szCs w:val="20"/>
              </w:rPr>
              <w:t>Low-Income</w:t>
            </w:r>
          </w:p>
        </w:tc>
        <w:tc>
          <w:tcPr>
            <w:tcW w:w="1859" w:type="pct"/>
            <w:shd w:val="clear" w:color="auto" w:fill="auto"/>
            <w:noWrap/>
          </w:tcPr>
          <w:p w:rsidR="00661E10" w:rsidRPr="00661E10" w:rsidRDefault="00661E10" w:rsidP="00661E10">
            <w:pPr>
              <w:jc w:val="left"/>
              <w:rPr>
                <w:sz w:val="20"/>
                <w:szCs w:val="20"/>
              </w:rPr>
            </w:pPr>
            <w:r w:rsidRPr="00661E10">
              <w:rPr>
                <w:sz w:val="20"/>
                <w:szCs w:val="20"/>
              </w:rPr>
              <w:t xml:space="preserve">Low-Income </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1.00</w:t>
            </w:r>
          </w:p>
        </w:tc>
        <w:tc>
          <w:tcPr>
            <w:tcW w:w="780" w:type="pct"/>
            <w:shd w:val="clear" w:color="auto" w:fill="auto"/>
            <w:noWrap/>
          </w:tcPr>
          <w:p w:rsidR="00661E10" w:rsidRPr="00661E10" w:rsidRDefault="00661E10" w:rsidP="00661E10">
            <w:pPr>
              <w:jc w:val="center"/>
              <w:rPr>
                <w:bCs/>
                <w:color w:val="000000"/>
                <w:sz w:val="20"/>
                <w:szCs w:val="20"/>
              </w:rPr>
            </w:pPr>
            <w:r w:rsidRPr="00661E10">
              <w:rPr>
                <w:sz w:val="20"/>
                <w:szCs w:val="20"/>
              </w:rPr>
              <w:t>0.89</w:t>
            </w:r>
          </w:p>
        </w:tc>
      </w:tr>
      <w:tr w:rsidR="00A874AC" w:rsidRPr="00661E10" w:rsidTr="008B5045">
        <w:trPr>
          <w:trHeight w:val="288"/>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Non-Residential</w:t>
            </w:r>
          </w:p>
        </w:tc>
        <w:tc>
          <w:tcPr>
            <w:tcW w:w="1859" w:type="pct"/>
            <w:shd w:val="clear" w:color="auto" w:fill="D2EAF1"/>
            <w:noWrap/>
          </w:tcPr>
          <w:p w:rsidR="00661E10" w:rsidRPr="00661E10" w:rsidRDefault="00661E10" w:rsidP="00661E10">
            <w:pPr>
              <w:jc w:val="left"/>
              <w:rPr>
                <w:sz w:val="20"/>
                <w:szCs w:val="20"/>
              </w:rPr>
            </w:pPr>
            <w:r w:rsidRPr="00661E10">
              <w:rPr>
                <w:sz w:val="20"/>
                <w:szCs w:val="20"/>
              </w:rPr>
              <w:t>Small C/I Equipment</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0.39</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0.44</w:t>
            </w:r>
          </w:p>
        </w:tc>
      </w:tr>
      <w:tr w:rsidR="005E6D04"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auto"/>
            <w:noWrap/>
          </w:tcPr>
          <w:p w:rsidR="00661E10" w:rsidRPr="00661E10" w:rsidRDefault="00661E10" w:rsidP="00661E10">
            <w:pPr>
              <w:jc w:val="left"/>
              <w:rPr>
                <w:sz w:val="20"/>
                <w:szCs w:val="20"/>
              </w:rPr>
            </w:pPr>
            <w:r w:rsidRPr="00661E10">
              <w:rPr>
                <w:sz w:val="20"/>
                <w:szCs w:val="20"/>
              </w:rPr>
              <w:t>Large C/I Equipment</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0.75</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0.78</w:t>
            </w:r>
          </w:p>
        </w:tc>
      </w:tr>
      <w:tr w:rsidR="00A874AC"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D2EAF1"/>
            <w:noWrap/>
          </w:tcPr>
          <w:p w:rsidR="00661E10" w:rsidRPr="00661E10" w:rsidRDefault="00661E10" w:rsidP="00661E10">
            <w:pPr>
              <w:jc w:val="left"/>
              <w:rPr>
                <w:sz w:val="20"/>
                <w:szCs w:val="20"/>
              </w:rPr>
            </w:pPr>
            <w:r w:rsidRPr="00661E10">
              <w:rPr>
                <w:sz w:val="20"/>
                <w:szCs w:val="20"/>
              </w:rPr>
              <w:t>Small C/I Buildings</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0.45</w:t>
            </w:r>
          </w:p>
        </w:tc>
      </w:tr>
      <w:tr w:rsidR="005E6D04"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auto"/>
            <w:noWrap/>
          </w:tcPr>
          <w:p w:rsidR="00661E10" w:rsidRPr="00661E10" w:rsidRDefault="00661E10" w:rsidP="00661E10">
            <w:pPr>
              <w:jc w:val="left"/>
              <w:rPr>
                <w:sz w:val="20"/>
                <w:szCs w:val="20"/>
              </w:rPr>
            </w:pPr>
            <w:r w:rsidRPr="00661E10">
              <w:rPr>
                <w:sz w:val="20"/>
                <w:szCs w:val="20"/>
              </w:rPr>
              <w:t>Large C/I Buildings</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0.50</w:t>
            </w:r>
          </w:p>
        </w:tc>
      </w:tr>
      <w:tr w:rsidR="00A874AC"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D2EAF1"/>
            <w:noWrap/>
          </w:tcPr>
          <w:p w:rsidR="00661E10" w:rsidRPr="00661E10" w:rsidRDefault="00661E10" w:rsidP="00661E10">
            <w:pPr>
              <w:jc w:val="left"/>
              <w:rPr>
                <w:sz w:val="20"/>
                <w:szCs w:val="20"/>
              </w:rPr>
            </w:pPr>
            <w:r w:rsidRPr="00661E10">
              <w:rPr>
                <w:sz w:val="20"/>
                <w:szCs w:val="20"/>
              </w:rPr>
              <w:t>Government and Institutional</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0.57</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0.73</w:t>
            </w:r>
          </w:p>
        </w:tc>
      </w:tr>
      <w:tr w:rsidR="00E7173E" w:rsidRPr="00661E10" w:rsidTr="008B5045">
        <w:trPr>
          <w:trHeight w:val="288"/>
        </w:trPr>
        <w:tc>
          <w:tcPr>
            <w:tcW w:w="2659" w:type="pct"/>
            <w:gridSpan w:val="2"/>
            <w:shd w:val="clear" w:color="auto" w:fill="auto"/>
          </w:tcPr>
          <w:p w:rsidR="00661E10" w:rsidRPr="00661E10" w:rsidRDefault="00661E10" w:rsidP="00661E10">
            <w:pPr>
              <w:jc w:val="center"/>
              <w:rPr>
                <w:b/>
                <w:sz w:val="20"/>
                <w:szCs w:val="20"/>
              </w:rPr>
            </w:pPr>
            <w:r w:rsidRPr="00661E10">
              <w:rPr>
                <w:b/>
                <w:color w:val="000000"/>
                <w:sz w:val="20"/>
                <w:szCs w:val="20"/>
              </w:rPr>
              <w:t>Portfolio</w:t>
            </w:r>
          </w:p>
        </w:tc>
        <w:tc>
          <w:tcPr>
            <w:tcW w:w="780" w:type="pct"/>
            <w:shd w:val="clear" w:color="auto" w:fill="auto"/>
            <w:noWrap/>
          </w:tcPr>
          <w:p w:rsidR="00661E10" w:rsidRPr="00661E10" w:rsidRDefault="00661E10" w:rsidP="00661E10">
            <w:pPr>
              <w:jc w:val="center"/>
              <w:rPr>
                <w:b/>
                <w:bCs/>
                <w:color w:val="000000"/>
                <w:sz w:val="20"/>
                <w:szCs w:val="20"/>
              </w:rPr>
            </w:pPr>
            <w:r w:rsidRPr="00661E10">
              <w:rPr>
                <w:b/>
                <w:bCs/>
                <w:color w:val="000000"/>
                <w:sz w:val="20"/>
                <w:szCs w:val="20"/>
              </w:rPr>
              <w:t>*</w:t>
            </w:r>
          </w:p>
        </w:tc>
        <w:tc>
          <w:tcPr>
            <w:tcW w:w="780" w:type="pct"/>
            <w:shd w:val="clear" w:color="auto" w:fill="auto"/>
            <w:noWrap/>
          </w:tcPr>
          <w:p w:rsidR="00661E10" w:rsidRPr="00661E10" w:rsidRDefault="00661E10" w:rsidP="00661E10">
            <w:pPr>
              <w:jc w:val="center"/>
              <w:rPr>
                <w:b/>
                <w:bCs/>
                <w:color w:val="000000"/>
                <w:sz w:val="20"/>
                <w:szCs w:val="20"/>
              </w:rPr>
            </w:pPr>
            <w:r w:rsidRPr="00661E10">
              <w:rPr>
                <w:b/>
                <w:bCs/>
                <w:color w:val="000000"/>
                <w:sz w:val="20"/>
                <w:szCs w:val="20"/>
              </w:rPr>
              <w:t>0.75</w:t>
            </w:r>
          </w:p>
        </w:tc>
        <w:tc>
          <w:tcPr>
            <w:tcW w:w="780" w:type="pct"/>
            <w:shd w:val="clear" w:color="auto" w:fill="auto"/>
            <w:noWrap/>
          </w:tcPr>
          <w:p w:rsidR="00661E10" w:rsidRPr="00661E10" w:rsidRDefault="00661E10" w:rsidP="00661E10">
            <w:pPr>
              <w:jc w:val="center"/>
              <w:rPr>
                <w:b/>
                <w:sz w:val="20"/>
                <w:szCs w:val="20"/>
              </w:rPr>
            </w:pPr>
            <w:r w:rsidRPr="00661E10">
              <w:rPr>
                <w:b/>
                <w:sz w:val="20"/>
                <w:szCs w:val="20"/>
              </w:rPr>
              <w:t>0.60</w:t>
            </w:r>
          </w:p>
        </w:tc>
      </w:tr>
      <w:tr w:rsidR="00E7173E" w:rsidRPr="00661E10" w:rsidTr="008B5045">
        <w:trPr>
          <w:trHeight w:val="288"/>
        </w:trPr>
        <w:tc>
          <w:tcPr>
            <w:tcW w:w="5000" w:type="pct"/>
            <w:gridSpan w:val="5"/>
            <w:shd w:val="clear" w:color="auto" w:fill="448A99"/>
          </w:tcPr>
          <w:p w:rsidR="00661E10" w:rsidRPr="00661E10" w:rsidRDefault="00661E10" w:rsidP="00661E10">
            <w:pPr>
              <w:jc w:val="left"/>
              <w:rPr>
                <w:color w:val="FFFFFF"/>
                <w:sz w:val="18"/>
                <w:szCs w:val="18"/>
              </w:rPr>
            </w:pPr>
            <w:r w:rsidRPr="00661E10">
              <w:rPr>
                <w:color w:val="FFFFFF"/>
                <w:sz w:val="18"/>
                <w:szCs w:val="18"/>
              </w:rPr>
              <w:t>NOTE</w:t>
            </w:r>
            <w:r w:rsidR="00630371">
              <w:rPr>
                <w:color w:val="FFFFFF"/>
                <w:sz w:val="18"/>
                <w:szCs w:val="18"/>
              </w:rPr>
              <w:t>:</w:t>
            </w:r>
          </w:p>
          <w:p w:rsidR="00661E10" w:rsidRPr="00661E10" w:rsidRDefault="00661E10" w:rsidP="00661E10">
            <w:pPr>
              <w:jc w:val="left"/>
              <w:rPr>
                <w:color w:val="FFFFFF" w:themeColor="background1"/>
                <w:sz w:val="18"/>
                <w:szCs w:val="18"/>
              </w:rPr>
            </w:pPr>
            <w:r w:rsidRPr="00661E10">
              <w:rPr>
                <w:color w:val="FFFFFF" w:themeColor="background1"/>
                <w:sz w:val="18"/>
                <w:szCs w:val="18"/>
              </w:rPr>
              <w:t>* Denotes programs/NTGRs that were not included in a given annual report.</w:t>
            </w:r>
          </w:p>
        </w:tc>
      </w:tr>
    </w:tbl>
    <w:p w:rsidR="00661E10" w:rsidRPr="00661E10" w:rsidRDefault="00661E10" w:rsidP="00661E10"/>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t>West Penn Power Phase II NTG Summary</w:t>
      </w:r>
    </w:p>
    <w:p w:rsidR="00661E10" w:rsidRPr="00661E10" w:rsidRDefault="00ED5AFA" w:rsidP="00661E10">
      <w:r>
        <w:fldChar w:fldCharType="begin"/>
      </w:r>
      <w:r>
        <w:instrText xml:space="preserve"> REF _Ref471458995 \h </w:instrText>
      </w:r>
      <w:r>
        <w:fldChar w:fldCharType="separate"/>
      </w:r>
      <w:r w:rsidR="00A874AC" w:rsidRPr="00ED5AFA">
        <w:t xml:space="preserve">Table </w:t>
      </w:r>
      <w:r w:rsidR="00A874AC">
        <w:rPr>
          <w:noProof/>
        </w:rPr>
        <w:t>5</w:t>
      </w:r>
      <w:r w:rsidR="00A874AC">
        <w:noBreakHyphen/>
      </w:r>
      <w:r w:rsidR="00A874AC">
        <w:rPr>
          <w:noProof/>
        </w:rPr>
        <w:t>10</w:t>
      </w:r>
      <w:r>
        <w:fldChar w:fldCharType="end"/>
      </w:r>
      <w:r>
        <w:t xml:space="preserve"> s</w:t>
      </w:r>
      <w:r w:rsidR="00661E10" w:rsidRPr="00661E10">
        <w:t>hows West Penn’s Phase II NTGRs by program year. West Penn did not conduct any NTG evaluation activities during PY5.</w:t>
      </w:r>
      <w:r w:rsidR="00661E10" w:rsidRPr="00661E10">
        <w:rPr>
          <w:i/>
        </w:rPr>
        <w:t xml:space="preserve"> </w:t>
      </w:r>
      <w:r w:rsidR="00661E10" w:rsidRPr="00661E10">
        <w:t>Due to minimal intra-program NTGR variation from PY6 to PY7, the portfolio-level NTGR was stable across the two years.</w:t>
      </w:r>
      <w:r w:rsidR="00661E10" w:rsidRPr="00661E10">
        <w:rPr>
          <w:i/>
        </w:rPr>
        <w:t xml:space="preserve"> </w:t>
      </w:r>
    </w:p>
    <w:p w:rsidR="00661E10" w:rsidRPr="00661E10" w:rsidRDefault="00661E10" w:rsidP="00661E10"/>
    <w:p w:rsidR="00661E10" w:rsidRPr="00ED5AFA" w:rsidRDefault="00ED5AFA" w:rsidP="00ED5AFA">
      <w:pPr>
        <w:pStyle w:val="Caption"/>
      </w:pPr>
      <w:bookmarkStart w:id="422" w:name="_Ref471458995"/>
      <w:bookmarkStart w:id="423" w:name="_Toc472472195"/>
      <w:bookmarkStart w:id="424" w:name="_Toc476914009"/>
      <w:r w:rsidRPr="00ED5AFA">
        <w:t xml:space="preserve">Table </w:t>
      </w:r>
      <w:fldSimple w:instr=" STYLEREF 1 \s ">
        <w:r w:rsidR="00C301D0">
          <w:rPr>
            <w:noProof/>
          </w:rPr>
          <w:t>5</w:t>
        </w:r>
      </w:fldSimple>
      <w:r w:rsidR="00E6042C">
        <w:noBreakHyphen/>
      </w:r>
      <w:fldSimple w:instr=" SEQ Table \* ARABIC \s 1 ">
        <w:r w:rsidR="00C301D0">
          <w:rPr>
            <w:noProof/>
          </w:rPr>
          <w:t>10</w:t>
        </w:r>
      </w:fldSimple>
      <w:bookmarkEnd w:id="422"/>
      <w:r w:rsidR="00661E10" w:rsidRPr="00ED5AFA">
        <w:t>: West Penn’s Phase II NTGRs by Program Year</w:t>
      </w:r>
      <w:bookmarkEnd w:id="423"/>
      <w:bookmarkEnd w:id="424"/>
    </w:p>
    <w:tbl>
      <w:tblPr>
        <w:tblW w:w="4887"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61"/>
        <w:gridCol w:w="3394"/>
        <w:gridCol w:w="1424"/>
        <w:gridCol w:w="1424"/>
        <w:gridCol w:w="1426"/>
      </w:tblGrid>
      <w:tr w:rsidR="00A874AC" w:rsidRPr="00661E10" w:rsidTr="008B5045">
        <w:trPr>
          <w:trHeight w:val="20"/>
          <w:tblHeader/>
        </w:trPr>
        <w:tc>
          <w:tcPr>
            <w:tcW w:w="800" w:type="pct"/>
            <w:shd w:val="clear" w:color="auto" w:fill="448A99"/>
            <w:vAlign w:val="bottom"/>
            <w:hideMark/>
          </w:tcPr>
          <w:p w:rsidR="00661E10" w:rsidRPr="00661E10" w:rsidRDefault="00661E10" w:rsidP="00661E10">
            <w:pPr>
              <w:jc w:val="left"/>
              <w:rPr>
                <w:b/>
                <w:bCs/>
                <w:color w:val="FFFFFF"/>
                <w:sz w:val="20"/>
                <w:szCs w:val="20"/>
              </w:rPr>
            </w:pPr>
            <w:r w:rsidRPr="00661E10">
              <w:rPr>
                <w:b/>
                <w:color w:val="FFFFFF"/>
                <w:sz w:val="20"/>
                <w:szCs w:val="20"/>
              </w:rPr>
              <w:t>Sector</w:t>
            </w:r>
          </w:p>
        </w:tc>
        <w:tc>
          <w:tcPr>
            <w:tcW w:w="1859"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Program</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PY5</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PY6</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PY7</w:t>
            </w:r>
          </w:p>
        </w:tc>
      </w:tr>
      <w:tr w:rsidR="00A874AC" w:rsidRPr="00661E10" w:rsidTr="008B5045">
        <w:trPr>
          <w:trHeight w:val="288"/>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Residential</w:t>
            </w:r>
          </w:p>
        </w:tc>
        <w:tc>
          <w:tcPr>
            <w:tcW w:w="1859" w:type="pct"/>
            <w:shd w:val="clear" w:color="auto" w:fill="D2EAF1"/>
            <w:noWrap/>
          </w:tcPr>
          <w:p w:rsidR="00661E10" w:rsidRPr="00661E10" w:rsidRDefault="00661E10" w:rsidP="00661E10">
            <w:pPr>
              <w:jc w:val="left"/>
              <w:rPr>
                <w:color w:val="000000"/>
                <w:sz w:val="20"/>
                <w:szCs w:val="20"/>
              </w:rPr>
            </w:pPr>
            <w:r w:rsidRPr="00661E10">
              <w:rPr>
                <w:sz w:val="20"/>
                <w:szCs w:val="20"/>
              </w:rPr>
              <w:t>Appliance Turn-In</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0.32</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0.31</w:t>
            </w:r>
          </w:p>
        </w:tc>
      </w:tr>
      <w:tr w:rsidR="005E6D04"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auto"/>
            <w:noWrap/>
          </w:tcPr>
          <w:p w:rsidR="00661E10" w:rsidRPr="00661E10" w:rsidRDefault="00661E10" w:rsidP="00661E10">
            <w:pPr>
              <w:jc w:val="left"/>
              <w:rPr>
                <w:sz w:val="20"/>
                <w:szCs w:val="20"/>
              </w:rPr>
            </w:pPr>
            <w:r w:rsidRPr="00661E10">
              <w:rPr>
                <w:sz w:val="20"/>
                <w:szCs w:val="20"/>
              </w:rPr>
              <w:t>Energy Efficient Products</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0.52</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0.63</w:t>
            </w:r>
          </w:p>
        </w:tc>
      </w:tr>
      <w:tr w:rsidR="00A874AC"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D2EAF1"/>
            <w:noWrap/>
          </w:tcPr>
          <w:p w:rsidR="00661E10" w:rsidRPr="00661E10" w:rsidRDefault="00661E10" w:rsidP="00661E10">
            <w:pPr>
              <w:jc w:val="left"/>
              <w:rPr>
                <w:sz w:val="20"/>
                <w:szCs w:val="20"/>
              </w:rPr>
            </w:pPr>
            <w:r w:rsidRPr="00661E10">
              <w:rPr>
                <w:sz w:val="20"/>
                <w:szCs w:val="20"/>
              </w:rPr>
              <w:t>Home Performance</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0.99</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0.99</w:t>
            </w:r>
          </w:p>
        </w:tc>
      </w:tr>
      <w:tr w:rsidR="00E7173E" w:rsidRPr="00661E10" w:rsidTr="008B5045">
        <w:trPr>
          <w:trHeight w:val="288"/>
        </w:trPr>
        <w:tc>
          <w:tcPr>
            <w:tcW w:w="800" w:type="pct"/>
            <w:shd w:val="clear" w:color="auto" w:fill="auto"/>
          </w:tcPr>
          <w:p w:rsidR="00661E10" w:rsidRPr="00661E10" w:rsidRDefault="00661E10" w:rsidP="00661E10">
            <w:pPr>
              <w:jc w:val="left"/>
              <w:rPr>
                <w:color w:val="000000"/>
                <w:sz w:val="20"/>
                <w:szCs w:val="20"/>
              </w:rPr>
            </w:pPr>
            <w:r w:rsidRPr="00661E10">
              <w:rPr>
                <w:sz w:val="20"/>
                <w:szCs w:val="20"/>
              </w:rPr>
              <w:t>Low-Income</w:t>
            </w:r>
          </w:p>
        </w:tc>
        <w:tc>
          <w:tcPr>
            <w:tcW w:w="1859" w:type="pct"/>
            <w:shd w:val="clear" w:color="auto" w:fill="auto"/>
            <w:noWrap/>
          </w:tcPr>
          <w:p w:rsidR="00661E10" w:rsidRPr="00661E10" w:rsidRDefault="00661E10" w:rsidP="00661E10">
            <w:pPr>
              <w:jc w:val="left"/>
              <w:rPr>
                <w:sz w:val="20"/>
                <w:szCs w:val="20"/>
              </w:rPr>
            </w:pPr>
            <w:r w:rsidRPr="00661E10">
              <w:rPr>
                <w:sz w:val="20"/>
                <w:szCs w:val="20"/>
              </w:rPr>
              <w:t xml:space="preserve">Low-Income </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1.00</w:t>
            </w:r>
          </w:p>
        </w:tc>
        <w:tc>
          <w:tcPr>
            <w:tcW w:w="780" w:type="pct"/>
            <w:shd w:val="clear" w:color="auto" w:fill="auto"/>
            <w:noWrap/>
          </w:tcPr>
          <w:p w:rsidR="00661E10" w:rsidRPr="00661E10" w:rsidRDefault="00661E10" w:rsidP="00661E10">
            <w:pPr>
              <w:jc w:val="center"/>
              <w:rPr>
                <w:bCs/>
                <w:color w:val="000000"/>
                <w:sz w:val="20"/>
                <w:szCs w:val="20"/>
              </w:rPr>
            </w:pPr>
            <w:r w:rsidRPr="00661E10">
              <w:rPr>
                <w:sz w:val="20"/>
                <w:szCs w:val="20"/>
              </w:rPr>
              <w:t>0.90</w:t>
            </w:r>
          </w:p>
        </w:tc>
      </w:tr>
      <w:tr w:rsidR="00A874AC" w:rsidRPr="00661E10" w:rsidTr="008B5045">
        <w:trPr>
          <w:trHeight w:val="288"/>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Non-Residential</w:t>
            </w:r>
          </w:p>
        </w:tc>
        <w:tc>
          <w:tcPr>
            <w:tcW w:w="1859" w:type="pct"/>
            <w:shd w:val="clear" w:color="auto" w:fill="D2EAF1"/>
            <w:noWrap/>
          </w:tcPr>
          <w:p w:rsidR="00661E10" w:rsidRPr="00661E10" w:rsidRDefault="00661E10" w:rsidP="00661E10">
            <w:pPr>
              <w:jc w:val="left"/>
              <w:rPr>
                <w:sz w:val="20"/>
                <w:szCs w:val="20"/>
              </w:rPr>
            </w:pPr>
            <w:r w:rsidRPr="00661E10">
              <w:rPr>
                <w:sz w:val="20"/>
                <w:szCs w:val="20"/>
              </w:rPr>
              <w:t>Small C/I Equipment</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0.71</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0.72</w:t>
            </w:r>
          </w:p>
        </w:tc>
      </w:tr>
      <w:tr w:rsidR="005E6D04"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auto"/>
            <w:noWrap/>
          </w:tcPr>
          <w:p w:rsidR="00661E10" w:rsidRPr="00661E10" w:rsidRDefault="00661E10" w:rsidP="00661E10">
            <w:pPr>
              <w:jc w:val="left"/>
              <w:rPr>
                <w:sz w:val="20"/>
                <w:szCs w:val="20"/>
              </w:rPr>
            </w:pPr>
            <w:r w:rsidRPr="00661E10">
              <w:rPr>
                <w:sz w:val="20"/>
                <w:szCs w:val="20"/>
              </w:rPr>
              <w:t>Large C/I Equipment</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0.73</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0.73</w:t>
            </w:r>
          </w:p>
        </w:tc>
      </w:tr>
      <w:tr w:rsidR="00A874AC"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D2EAF1"/>
            <w:noWrap/>
          </w:tcPr>
          <w:p w:rsidR="00661E10" w:rsidRPr="00661E10" w:rsidRDefault="00661E10" w:rsidP="00661E10">
            <w:pPr>
              <w:jc w:val="left"/>
              <w:rPr>
                <w:sz w:val="20"/>
                <w:szCs w:val="20"/>
              </w:rPr>
            </w:pPr>
            <w:r w:rsidRPr="00661E10">
              <w:rPr>
                <w:sz w:val="20"/>
                <w:szCs w:val="20"/>
              </w:rPr>
              <w:t>Small C/I Buildings</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bCs/>
                <w:color w:val="000000"/>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0.60</w:t>
            </w:r>
          </w:p>
        </w:tc>
      </w:tr>
      <w:tr w:rsidR="005E6D04"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auto"/>
            <w:noWrap/>
          </w:tcPr>
          <w:p w:rsidR="00661E10" w:rsidRPr="00661E10" w:rsidRDefault="00661E10" w:rsidP="00661E10">
            <w:pPr>
              <w:jc w:val="left"/>
              <w:rPr>
                <w:sz w:val="20"/>
                <w:szCs w:val="20"/>
              </w:rPr>
            </w:pPr>
            <w:r w:rsidRPr="00661E10">
              <w:rPr>
                <w:sz w:val="20"/>
                <w:szCs w:val="20"/>
              </w:rPr>
              <w:t>Large C/I Buildings</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bCs/>
                <w:color w:val="000000"/>
                <w:sz w:val="20"/>
                <w:szCs w:val="20"/>
              </w:rPr>
              <w:t>*</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0.48</w:t>
            </w:r>
          </w:p>
        </w:tc>
      </w:tr>
      <w:tr w:rsidR="00A874AC"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D2EAF1"/>
            <w:noWrap/>
          </w:tcPr>
          <w:p w:rsidR="00661E10" w:rsidRPr="00661E10" w:rsidRDefault="00661E10" w:rsidP="00661E10">
            <w:pPr>
              <w:jc w:val="left"/>
              <w:rPr>
                <w:sz w:val="20"/>
                <w:szCs w:val="20"/>
              </w:rPr>
            </w:pPr>
            <w:r w:rsidRPr="00661E10">
              <w:rPr>
                <w:sz w:val="20"/>
                <w:szCs w:val="20"/>
              </w:rPr>
              <w:t>Government and Institutional</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0.57</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0.73</w:t>
            </w:r>
          </w:p>
        </w:tc>
      </w:tr>
      <w:tr w:rsidR="00E7173E" w:rsidRPr="00661E10" w:rsidTr="008B5045">
        <w:trPr>
          <w:trHeight w:val="288"/>
        </w:trPr>
        <w:tc>
          <w:tcPr>
            <w:tcW w:w="2659" w:type="pct"/>
            <w:gridSpan w:val="2"/>
            <w:shd w:val="clear" w:color="auto" w:fill="auto"/>
          </w:tcPr>
          <w:p w:rsidR="00661E10" w:rsidRPr="00661E10" w:rsidRDefault="00661E10" w:rsidP="00661E10">
            <w:pPr>
              <w:jc w:val="center"/>
              <w:rPr>
                <w:b/>
                <w:sz w:val="20"/>
                <w:szCs w:val="20"/>
              </w:rPr>
            </w:pPr>
            <w:r w:rsidRPr="00661E10">
              <w:rPr>
                <w:b/>
                <w:color w:val="000000"/>
                <w:sz w:val="20"/>
                <w:szCs w:val="20"/>
              </w:rPr>
              <w:t>Portfolio</w:t>
            </w:r>
          </w:p>
        </w:tc>
        <w:tc>
          <w:tcPr>
            <w:tcW w:w="780" w:type="pct"/>
            <w:shd w:val="clear" w:color="auto" w:fill="auto"/>
            <w:noWrap/>
          </w:tcPr>
          <w:p w:rsidR="00661E10" w:rsidRPr="00661E10" w:rsidRDefault="00661E10" w:rsidP="00661E10">
            <w:pPr>
              <w:jc w:val="center"/>
              <w:rPr>
                <w:b/>
                <w:bCs/>
                <w:color w:val="000000"/>
                <w:sz w:val="20"/>
                <w:szCs w:val="20"/>
              </w:rPr>
            </w:pPr>
            <w:r w:rsidRPr="00661E10">
              <w:rPr>
                <w:b/>
                <w:bCs/>
                <w:color w:val="000000"/>
                <w:sz w:val="20"/>
                <w:szCs w:val="20"/>
              </w:rPr>
              <w:t>*</w:t>
            </w:r>
          </w:p>
        </w:tc>
        <w:tc>
          <w:tcPr>
            <w:tcW w:w="780" w:type="pct"/>
            <w:shd w:val="clear" w:color="auto" w:fill="auto"/>
            <w:noWrap/>
          </w:tcPr>
          <w:p w:rsidR="00661E10" w:rsidRPr="00661E10" w:rsidRDefault="00661E10" w:rsidP="00661E10">
            <w:pPr>
              <w:jc w:val="center"/>
              <w:rPr>
                <w:b/>
                <w:bCs/>
                <w:color w:val="000000"/>
                <w:sz w:val="20"/>
                <w:szCs w:val="20"/>
              </w:rPr>
            </w:pPr>
            <w:r w:rsidRPr="00661E10">
              <w:rPr>
                <w:b/>
                <w:bCs/>
                <w:color w:val="000000"/>
                <w:sz w:val="20"/>
                <w:szCs w:val="20"/>
              </w:rPr>
              <w:t>0.73</w:t>
            </w:r>
          </w:p>
        </w:tc>
        <w:tc>
          <w:tcPr>
            <w:tcW w:w="780" w:type="pct"/>
            <w:shd w:val="clear" w:color="auto" w:fill="auto"/>
            <w:noWrap/>
          </w:tcPr>
          <w:p w:rsidR="00661E10" w:rsidRPr="00661E10" w:rsidRDefault="00661E10" w:rsidP="00661E10">
            <w:pPr>
              <w:jc w:val="center"/>
              <w:rPr>
                <w:b/>
                <w:sz w:val="20"/>
                <w:szCs w:val="20"/>
              </w:rPr>
            </w:pPr>
            <w:r w:rsidRPr="00661E10">
              <w:rPr>
                <w:b/>
                <w:sz w:val="20"/>
                <w:szCs w:val="20"/>
              </w:rPr>
              <w:t>0.72</w:t>
            </w:r>
          </w:p>
        </w:tc>
      </w:tr>
      <w:tr w:rsidR="00E7173E" w:rsidRPr="00661E10" w:rsidTr="008B5045">
        <w:trPr>
          <w:trHeight w:val="288"/>
        </w:trPr>
        <w:tc>
          <w:tcPr>
            <w:tcW w:w="5000" w:type="pct"/>
            <w:gridSpan w:val="5"/>
            <w:shd w:val="clear" w:color="auto" w:fill="448A99"/>
          </w:tcPr>
          <w:p w:rsidR="00661E10" w:rsidRPr="00661E10" w:rsidRDefault="00661E10" w:rsidP="00661E10">
            <w:pPr>
              <w:jc w:val="left"/>
              <w:rPr>
                <w:color w:val="FFFFFF"/>
                <w:sz w:val="18"/>
                <w:szCs w:val="18"/>
              </w:rPr>
            </w:pPr>
            <w:r w:rsidRPr="00661E10">
              <w:rPr>
                <w:color w:val="FFFFFF"/>
                <w:sz w:val="18"/>
                <w:szCs w:val="18"/>
              </w:rPr>
              <w:t>NOTE</w:t>
            </w:r>
            <w:r w:rsidR="00630371">
              <w:rPr>
                <w:color w:val="FFFFFF"/>
                <w:sz w:val="18"/>
                <w:szCs w:val="18"/>
              </w:rPr>
              <w:t>:</w:t>
            </w:r>
          </w:p>
          <w:p w:rsidR="00661E10" w:rsidRPr="00661E10" w:rsidRDefault="00661E10" w:rsidP="00661E10">
            <w:pPr>
              <w:jc w:val="left"/>
              <w:rPr>
                <w:color w:val="FFFFFF" w:themeColor="background1"/>
                <w:sz w:val="18"/>
                <w:szCs w:val="20"/>
              </w:rPr>
            </w:pPr>
            <w:r w:rsidRPr="00661E10">
              <w:rPr>
                <w:color w:val="FFFFFF" w:themeColor="background1"/>
                <w:sz w:val="18"/>
                <w:szCs w:val="20"/>
              </w:rPr>
              <w:t>* Denotes programs/NTGRs that were not included in a given annual report.</w:t>
            </w:r>
          </w:p>
        </w:tc>
      </w:tr>
    </w:tbl>
    <w:p w:rsidR="00661E10" w:rsidRDefault="00661E10" w:rsidP="00661E10"/>
    <w:p w:rsidR="007631BE" w:rsidRDefault="007631BE" w:rsidP="00661E10"/>
    <w:p w:rsidR="00C81F40" w:rsidRDefault="00C81F40" w:rsidP="00661E10"/>
    <w:p w:rsidR="00661E10" w:rsidRPr="00661E10" w:rsidRDefault="00661E10" w:rsidP="009349F1">
      <w:pPr>
        <w:numPr>
          <w:ilvl w:val="3"/>
          <w:numId w:val="8"/>
        </w:numPr>
        <w:spacing w:after="120"/>
        <w:outlineLvl w:val="3"/>
        <w:rPr>
          <w:rFonts w:ascii="Century Gothic" w:eastAsiaTheme="minorHAnsi" w:hAnsi="Century Gothic" w:cstheme="minorBidi"/>
          <w:b/>
          <w:i/>
          <w:sz w:val="20"/>
        </w:rPr>
      </w:pPr>
      <w:r w:rsidRPr="00661E10">
        <w:rPr>
          <w:rFonts w:ascii="Century Gothic" w:eastAsiaTheme="minorHAnsi" w:hAnsi="Century Gothic" w:cstheme="minorBidi"/>
          <w:b/>
          <w:i/>
          <w:sz w:val="20"/>
        </w:rPr>
        <w:lastRenderedPageBreak/>
        <w:t>PECO Energy Phase II NTG Summary</w:t>
      </w:r>
    </w:p>
    <w:p w:rsidR="00661E10" w:rsidRPr="00661E10" w:rsidRDefault="00ED5AFA" w:rsidP="00661E10">
      <w:r>
        <w:fldChar w:fldCharType="begin"/>
      </w:r>
      <w:r>
        <w:instrText xml:space="preserve"> REF _Ref471459031 \h </w:instrText>
      </w:r>
      <w:r>
        <w:fldChar w:fldCharType="separate"/>
      </w:r>
      <w:r w:rsidR="00A874AC" w:rsidRPr="00ED5AFA">
        <w:t xml:space="preserve">Table </w:t>
      </w:r>
      <w:r w:rsidR="00A874AC">
        <w:rPr>
          <w:noProof/>
        </w:rPr>
        <w:t>5</w:t>
      </w:r>
      <w:r w:rsidR="00A874AC">
        <w:noBreakHyphen/>
      </w:r>
      <w:r w:rsidR="00A874AC">
        <w:rPr>
          <w:noProof/>
        </w:rPr>
        <w:t>11</w:t>
      </w:r>
      <w:r>
        <w:fldChar w:fldCharType="end"/>
      </w:r>
      <w:r>
        <w:t xml:space="preserve"> </w:t>
      </w:r>
      <w:r w:rsidR="00661E10" w:rsidRPr="00661E10">
        <w:t xml:space="preserve">shows </w:t>
      </w:r>
      <w:r w:rsidR="00B90CD9" w:rsidRPr="003A0F59">
        <w:t>PECO’s Phase II NTGRs by program year. There was considerable intra-program NTGR variation from PY6 to PY7, leading to a lower portfolio-level NTGR in PY7</w:t>
      </w:r>
      <w:r w:rsidR="00661E10" w:rsidRPr="00661E10">
        <w:t>.</w:t>
      </w:r>
    </w:p>
    <w:p w:rsidR="00661E10" w:rsidRPr="00661E10" w:rsidRDefault="00661E10" w:rsidP="00661E10">
      <w:r w:rsidRPr="00661E10">
        <w:t xml:space="preserve"> </w:t>
      </w:r>
    </w:p>
    <w:p w:rsidR="00661E10" w:rsidRPr="00ED5AFA" w:rsidRDefault="00ED5AFA" w:rsidP="00ED5AFA">
      <w:pPr>
        <w:pStyle w:val="Caption"/>
      </w:pPr>
      <w:bookmarkStart w:id="425" w:name="_Ref471459031"/>
      <w:bookmarkStart w:id="426" w:name="_Toc472472196"/>
      <w:bookmarkStart w:id="427" w:name="_Toc476914010"/>
      <w:r w:rsidRPr="00ED5AFA">
        <w:t xml:space="preserve">Table </w:t>
      </w:r>
      <w:fldSimple w:instr=" STYLEREF 1 \s ">
        <w:r w:rsidR="00C301D0">
          <w:rPr>
            <w:noProof/>
          </w:rPr>
          <w:t>5</w:t>
        </w:r>
      </w:fldSimple>
      <w:r w:rsidR="00E6042C">
        <w:noBreakHyphen/>
      </w:r>
      <w:fldSimple w:instr=" SEQ Table \* ARABIC \s 1 ">
        <w:r w:rsidR="00C301D0">
          <w:rPr>
            <w:noProof/>
          </w:rPr>
          <w:t>11</w:t>
        </w:r>
      </w:fldSimple>
      <w:bookmarkEnd w:id="425"/>
      <w:r w:rsidR="00661E10" w:rsidRPr="00ED5AFA">
        <w:t>: PECO’s Phase II NTGRs by Program Year</w:t>
      </w:r>
      <w:bookmarkEnd w:id="426"/>
      <w:bookmarkEnd w:id="427"/>
    </w:p>
    <w:tbl>
      <w:tblPr>
        <w:tblW w:w="4887"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61"/>
        <w:gridCol w:w="3394"/>
        <w:gridCol w:w="1424"/>
        <w:gridCol w:w="1424"/>
        <w:gridCol w:w="1426"/>
      </w:tblGrid>
      <w:tr w:rsidR="00A874AC" w:rsidRPr="00661E10" w:rsidTr="008B5045">
        <w:trPr>
          <w:trHeight w:val="20"/>
          <w:tblHeader/>
        </w:trPr>
        <w:tc>
          <w:tcPr>
            <w:tcW w:w="800" w:type="pct"/>
            <w:shd w:val="clear" w:color="auto" w:fill="448A99"/>
            <w:vAlign w:val="bottom"/>
            <w:hideMark/>
          </w:tcPr>
          <w:p w:rsidR="00661E10" w:rsidRPr="00661E10" w:rsidRDefault="00661E10" w:rsidP="00661E10">
            <w:pPr>
              <w:jc w:val="left"/>
              <w:rPr>
                <w:b/>
                <w:bCs/>
                <w:color w:val="FFFFFF"/>
                <w:sz w:val="20"/>
                <w:szCs w:val="20"/>
              </w:rPr>
            </w:pPr>
            <w:r w:rsidRPr="00661E10">
              <w:rPr>
                <w:b/>
                <w:color w:val="FFFFFF"/>
                <w:sz w:val="20"/>
                <w:szCs w:val="20"/>
              </w:rPr>
              <w:t>Sector</w:t>
            </w:r>
          </w:p>
        </w:tc>
        <w:tc>
          <w:tcPr>
            <w:tcW w:w="1859"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Program</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PY5</w:t>
            </w:r>
            <w:r w:rsidRPr="00661E10">
              <w:rPr>
                <w:b/>
                <w:bCs/>
                <w:color w:val="FFFFFF"/>
                <w:sz w:val="20"/>
                <w:szCs w:val="20"/>
                <w:vertAlign w:val="superscript"/>
              </w:rPr>
              <w:t>[a]</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PY6</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PY7</w:t>
            </w:r>
          </w:p>
        </w:tc>
      </w:tr>
      <w:tr w:rsidR="00A874AC" w:rsidRPr="00661E10" w:rsidTr="008B5045">
        <w:trPr>
          <w:trHeight w:val="288"/>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Residential</w:t>
            </w:r>
          </w:p>
        </w:tc>
        <w:tc>
          <w:tcPr>
            <w:tcW w:w="1859" w:type="pct"/>
            <w:shd w:val="clear" w:color="auto" w:fill="D2EAF1"/>
            <w:noWrap/>
            <w:vAlign w:val="center"/>
          </w:tcPr>
          <w:p w:rsidR="00661E10" w:rsidRPr="00661E10" w:rsidRDefault="00661E10" w:rsidP="00661E10">
            <w:pPr>
              <w:jc w:val="left"/>
              <w:rPr>
                <w:color w:val="000000"/>
                <w:sz w:val="20"/>
                <w:szCs w:val="20"/>
              </w:rPr>
            </w:pPr>
            <w:r w:rsidRPr="00661E10">
              <w:rPr>
                <w:sz w:val="20"/>
                <w:szCs w:val="20"/>
              </w:rPr>
              <w:t>Smart Home Rebates (SHR)</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0.5</w:t>
            </w:r>
          </w:p>
        </w:tc>
        <w:tc>
          <w:tcPr>
            <w:tcW w:w="780" w:type="pct"/>
            <w:shd w:val="clear" w:color="auto" w:fill="D2EAF1"/>
            <w:noWrap/>
          </w:tcPr>
          <w:p w:rsidR="00661E10" w:rsidRPr="00661E10" w:rsidRDefault="00B90CD9" w:rsidP="00661E10">
            <w:pPr>
              <w:jc w:val="center"/>
              <w:rPr>
                <w:sz w:val="20"/>
                <w:szCs w:val="20"/>
              </w:rPr>
            </w:pPr>
            <w:r>
              <w:rPr>
                <w:sz w:val="20"/>
                <w:szCs w:val="20"/>
              </w:rPr>
              <w:t>0.49</w:t>
            </w:r>
          </w:p>
        </w:tc>
        <w:tc>
          <w:tcPr>
            <w:tcW w:w="780" w:type="pct"/>
            <w:shd w:val="clear" w:color="auto" w:fill="D2EAF1"/>
            <w:noWrap/>
          </w:tcPr>
          <w:p w:rsidR="00661E10" w:rsidRPr="00661E10" w:rsidRDefault="00B90CD9" w:rsidP="00661E10">
            <w:pPr>
              <w:jc w:val="center"/>
              <w:rPr>
                <w:sz w:val="20"/>
                <w:szCs w:val="20"/>
              </w:rPr>
            </w:pPr>
            <w:r>
              <w:rPr>
                <w:sz w:val="20"/>
                <w:szCs w:val="20"/>
              </w:rPr>
              <w:t>0.54</w:t>
            </w:r>
          </w:p>
        </w:tc>
      </w:tr>
      <w:tr w:rsidR="005E6D04"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auto"/>
            <w:noWrap/>
            <w:vAlign w:val="center"/>
          </w:tcPr>
          <w:p w:rsidR="00661E10" w:rsidRPr="00661E10" w:rsidRDefault="00661E10" w:rsidP="00661E10">
            <w:pPr>
              <w:jc w:val="left"/>
              <w:rPr>
                <w:sz w:val="20"/>
                <w:szCs w:val="20"/>
              </w:rPr>
            </w:pPr>
            <w:r w:rsidRPr="00661E10">
              <w:rPr>
                <w:sz w:val="20"/>
                <w:szCs w:val="20"/>
              </w:rPr>
              <w:t>Smart House Call</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0.9</w:t>
            </w:r>
          </w:p>
        </w:tc>
        <w:tc>
          <w:tcPr>
            <w:tcW w:w="780" w:type="pct"/>
            <w:shd w:val="clear" w:color="auto" w:fill="auto"/>
            <w:noWrap/>
          </w:tcPr>
          <w:p w:rsidR="00661E10" w:rsidRPr="00661E10" w:rsidRDefault="00B90CD9" w:rsidP="00B90CD9">
            <w:pPr>
              <w:jc w:val="center"/>
              <w:rPr>
                <w:sz w:val="20"/>
                <w:szCs w:val="20"/>
              </w:rPr>
            </w:pPr>
            <w:r>
              <w:rPr>
                <w:sz w:val="20"/>
                <w:szCs w:val="20"/>
              </w:rPr>
              <w:t>1.15</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0.94</w:t>
            </w:r>
          </w:p>
        </w:tc>
      </w:tr>
      <w:tr w:rsidR="00A874AC"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D2EAF1"/>
            <w:noWrap/>
            <w:vAlign w:val="center"/>
          </w:tcPr>
          <w:p w:rsidR="00661E10" w:rsidRPr="00661E10" w:rsidRDefault="00661E10" w:rsidP="00661E10">
            <w:pPr>
              <w:jc w:val="left"/>
              <w:rPr>
                <w:sz w:val="20"/>
                <w:szCs w:val="20"/>
              </w:rPr>
            </w:pPr>
            <w:r w:rsidRPr="00661E10">
              <w:rPr>
                <w:sz w:val="20"/>
                <w:szCs w:val="20"/>
              </w:rPr>
              <w:t>Smart Builder Rebates (SBR)</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N/A</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0.50</w:t>
            </w:r>
          </w:p>
        </w:tc>
      </w:tr>
      <w:tr w:rsidR="005E6D04"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auto"/>
            <w:noWrap/>
            <w:vAlign w:val="center"/>
          </w:tcPr>
          <w:p w:rsidR="00661E10" w:rsidRPr="00661E10" w:rsidRDefault="00661E10" w:rsidP="00661E10">
            <w:pPr>
              <w:jc w:val="left"/>
              <w:rPr>
                <w:sz w:val="20"/>
                <w:szCs w:val="20"/>
              </w:rPr>
            </w:pPr>
            <w:r w:rsidRPr="00661E10">
              <w:rPr>
                <w:sz w:val="20"/>
                <w:szCs w:val="20"/>
              </w:rPr>
              <w:t>Smart Appliance Recycling (SAR)</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0.3</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0.35</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0.50</w:t>
            </w:r>
          </w:p>
        </w:tc>
      </w:tr>
      <w:tr w:rsidR="00A874AC"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D2EAF1"/>
            <w:noWrap/>
            <w:vAlign w:val="center"/>
          </w:tcPr>
          <w:p w:rsidR="00661E10" w:rsidRPr="00661E10" w:rsidRDefault="00661E10" w:rsidP="00661E10">
            <w:pPr>
              <w:jc w:val="left"/>
              <w:rPr>
                <w:sz w:val="20"/>
                <w:szCs w:val="20"/>
              </w:rPr>
            </w:pPr>
            <w:r w:rsidRPr="00661E10">
              <w:rPr>
                <w:sz w:val="20"/>
                <w:szCs w:val="20"/>
              </w:rPr>
              <w:t>Smart Multi-Family (SMF) Solutions Program</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N/A</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0.75</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0.59</w:t>
            </w:r>
          </w:p>
        </w:tc>
      </w:tr>
      <w:tr w:rsidR="005E6D04"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auto"/>
            <w:noWrap/>
            <w:vAlign w:val="center"/>
          </w:tcPr>
          <w:p w:rsidR="00661E10" w:rsidRPr="00661E10" w:rsidRDefault="00661E10" w:rsidP="00661E10">
            <w:pPr>
              <w:jc w:val="left"/>
              <w:rPr>
                <w:sz w:val="20"/>
                <w:szCs w:val="20"/>
              </w:rPr>
            </w:pPr>
            <w:r w:rsidRPr="00661E10">
              <w:rPr>
                <w:sz w:val="20"/>
                <w:szCs w:val="20"/>
              </w:rPr>
              <w:t>Smart AC Saver – Residential</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N/A</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1.00</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N/A</w:t>
            </w:r>
          </w:p>
        </w:tc>
      </w:tr>
      <w:tr w:rsidR="00A874AC" w:rsidRPr="00661E10" w:rsidTr="008B5045">
        <w:trPr>
          <w:trHeight w:val="288"/>
        </w:trPr>
        <w:tc>
          <w:tcPr>
            <w:tcW w:w="800" w:type="pct"/>
            <w:shd w:val="clear" w:color="auto" w:fill="auto"/>
          </w:tcPr>
          <w:p w:rsidR="00661E10" w:rsidRPr="00661E10" w:rsidRDefault="00661E10" w:rsidP="00661E10">
            <w:pPr>
              <w:jc w:val="left"/>
              <w:rPr>
                <w:color w:val="000000"/>
                <w:sz w:val="20"/>
                <w:szCs w:val="20"/>
              </w:rPr>
            </w:pPr>
            <w:r w:rsidRPr="00661E10">
              <w:rPr>
                <w:sz w:val="20"/>
                <w:szCs w:val="20"/>
              </w:rPr>
              <w:t>Low-Income</w:t>
            </w:r>
          </w:p>
        </w:tc>
        <w:tc>
          <w:tcPr>
            <w:tcW w:w="1859" w:type="pct"/>
            <w:shd w:val="clear" w:color="auto" w:fill="D2EAF1"/>
            <w:noWrap/>
            <w:vAlign w:val="center"/>
          </w:tcPr>
          <w:p w:rsidR="00661E10" w:rsidRPr="00661E10" w:rsidRDefault="00661E10" w:rsidP="00661E10">
            <w:pPr>
              <w:jc w:val="left"/>
              <w:rPr>
                <w:sz w:val="20"/>
                <w:szCs w:val="20"/>
              </w:rPr>
            </w:pPr>
            <w:r w:rsidRPr="00661E10">
              <w:rPr>
                <w:color w:val="000000"/>
                <w:sz w:val="20"/>
                <w:szCs w:val="20"/>
              </w:rPr>
              <w:t>Low-Income Energy Efficiency Program (LIEEP)</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1.0</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1.00</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0.81</w:t>
            </w:r>
          </w:p>
        </w:tc>
      </w:tr>
      <w:tr w:rsidR="005E6D04" w:rsidRPr="00661E10" w:rsidTr="008B5045">
        <w:trPr>
          <w:trHeight w:val="288"/>
        </w:trPr>
        <w:tc>
          <w:tcPr>
            <w:tcW w:w="800" w:type="pct"/>
            <w:vMerge w:val="restart"/>
            <w:shd w:val="clear" w:color="auto" w:fill="D2EAF1"/>
          </w:tcPr>
          <w:p w:rsidR="00661E10" w:rsidRPr="00661E10" w:rsidRDefault="00661E10" w:rsidP="00661E10">
            <w:pPr>
              <w:jc w:val="left"/>
              <w:rPr>
                <w:color w:val="000000"/>
                <w:sz w:val="20"/>
                <w:szCs w:val="20"/>
              </w:rPr>
            </w:pPr>
            <w:r w:rsidRPr="00661E10">
              <w:rPr>
                <w:sz w:val="20"/>
                <w:szCs w:val="20"/>
              </w:rPr>
              <w:t>Non-Residential</w:t>
            </w:r>
          </w:p>
        </w:tc>
        <w:tc>
          <w:tcPr>
            <w:tcW w:w="1859" w:type="pct"/>
            <w:shd w:val="clear" w:color="auto" w:fill="auto"/>
            <w:noWrap/>
            <w:vAlign w:val="center"/>
          </w:tcPr>
          <w:p w:rsidR="00661E10" w:rsidRPr="00661E10" w:rsidRDefault="00661E10" w:rsidP="00661E10">
            <w:pPr>
              <w:jc w:val="left"/>
              <w:rPr>
                <w:sz w:val="20"/>
                <w:szCs w:val="20"/>
              </w:rPr>
            </w:pPr>
            <w:r w:rsidRPr="00661E10">
              <w:rPr>
                <w:sz w:val="20"/>
                <w:szCs w:val="20"/>
              </w:rPr>
              <w:t>Smart Equipment Incentives (SEI) – C/I</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0.7</w:t>
            </w:r>
          </w:p>
        </w:tc>
        <w:tc>
          <w:tcPr>
            <w:tcW w:w="780" w:type="pct"/>
            <w:shd w:val="clear" w:color="auto" w:fill="auto"/>
            <w:noWrap/>
          </w:tcPr>
          <w:p w:rsidR="00661E10" w:rsidRPr="00661E10" w:rsidRDefault="00B90CD9" w:rsidP="00661E10">
            <w:pPr>
              <w:jc w:val="center"/>
              <w:rPr>
                <w:bCs/>
                <w:color w:val="000000"/>
                <w:sz w:val="20"/>
                <w:szCs w:val="20"/>
              </w:rPr>
            </w:pPr>
            <w:r>
              <w:rPr>
                <w:sz w:val="20"/>
                <w:szCs w:val="20"/>
              </w:rPr>
              <w:t>0.81</w:t>
            </w:r>
          </w:p>
        </w:tc>
        <w:tc>
          <w:tcPr>
            <w:tcW w:w="780" w:type="pct"/>
            <w:shd w:val="clear" w:color="auto" w:fill="auto"/>
            <w:noWrap/>
          </w:tcPr>
          <w:p w:rsidR="00661E10" w:rsidRPr="00661E10" w:rsidRDefault="00661E10" w:rsidP="00661E10">
            <w:pPr>
              <w:jc w:val="center"/>
              <w:rPr>
                <w:bCs/>
                <w:color w:val="000000"/>
                <w:sz w:val="20"/>
                <w:szCs w:val="20"/>
              </w:rPr>
            </w:pPr>
            <w:r w:rsidRPr="00661E10">
              <w:rPr>
                <w:sz w:val="20"/>
                <w:szCs w:val="20"/>
              </w:rPr>
              <w:t>0.64</w:t>
            </w:r>
          </w:p>
        </w:tc>
      </w:tr>
      <w:tr w:rsidR="00A874AC"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D2EAF1"/>
            <w:noWrap/>
            <w:vAlign w:val="center"/>
          </w:tcPr>
          <w:p w:rsidR="00661E10" w:rsidRPr="00661E10" w:rsidRDefault="00661E10" w:rsidP="00661E10">
            <w:pPr>
              <w:jc w:val="left"/>
              <w:rPr>
                <w:sz w:val="20"/>
                <w:szCs w:val="20"/>
              </w:rPr>
            </w:pPr>
            <w:r w:rsidRPr="00661E10">
              <w:rPr>
                <w:sz w:val="20"/>
                <w:szCs w:val="20"/>
              </w:rPr>
              <w:t>Smart Equipment Incentives (SEI) – GNI</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0.4</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0.42</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0.43</w:t>
            </w:r>
          </w:p>
        </w:tc>
      </w:tr>
      <w:tr w:rsidR="005E6D04"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auto"/>
            <w:noWrap/>
            <w:vAlign w:val="center"/>
          </w:tcPr>
          <w:p w:rsidR="00661E10" w:rsidRPr="00661E10" w:rsidRDefault="00661E10" w:rsidP="00661E10">
            <w:pPr>
              <w:jc w:val="left"/>
              <w:rPr>
                <w:sz w:val="20"/>
                <w:szCs w:val="20"/>
              </w:rPr>
            </w:pPr>
            <w:r w:rsidRPr="00661E10">
              <w:rPr>
                <w:sz w:val="20"/>
                <w:szCs w:val="20"/>
              </w:rPr>
              <w:t>Smart Construction Incentives (SCI)</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N/A</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0.52</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0.52</w:t>
            </w:r>
          </w:p>
        </w:tc>
      </w:tr>
      <w:tr w:rsidR="00A874AC"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D2EAF1"/>
            <w:noWrap/>
            <w:vAlign w:val="center"/>
          </w:tcPr>
          <w:p w:rsidR="00661E10" w:rsidRPr="00661E10" w:rsidRDefault="00661E10" w:rsidP="00661E10">
            <w:pPr>
              <w:jc w:val="left"/>
              <w:rPr>
                <w:sz w:val="20"/>
                <w:szCs w:val="20"/>
              </w:rPr>
            </w:pPr>
            <w:r w:rsidRPr="00661E10">
              <w:rPr>
                <w:sz w:val="20"/>
                <w:szCs w:val="20"/>
              </w:rPr>
              <w:t>Smart Multi-Family (SMF) Solutions Program</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N/A</w:t>
            </w:r>
          </w:p>
        </w:tc>
        <w:tc>
          <w:tcPr>
            <w:tcW w:w="780" w:type="pct"/>
            <w:shd w:val="clear" w:color="auto" w:fill="D2EAF1"/>
            <w:noWrap/>
          </w:tcPr>
          <w:p w:rsidR="00661E10" w:rsidRPr="00661E10" w:rsidRDefault="00661E10" w:rsidP="00661E10">
            <w:pPr>
              <w:jc w:val="center"/>
              <w:rPr>
                <w:bCs/>
                <w:color w:val="000000"/>
                <w:sz w:val="20"/>
                <w:szCs w:val="20"/>
              </w:rPr>
            </w:pPr>
            <w:r w:rsidRPr="00661E10">
              <w:rPr>
                <w:sz w:val="20"/>
                <w:szCs w:val="20"/>
              </w:rPr>
              <w:t>0.83</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0.62</w:t>
            </w:r>
          </w:p>
        </w:tc>
      </w:tr>
      <w:tr w:rsidR="005E6D04"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auto"/>
            <w:noWrap/>
            <w:vAlign w:val="center"/>
          </w:tcPr>
          <w:p w:rsidR="00661E10" w:rsidRPr="00661E10" w:rsidRDefault="00661E10" w:rsidP="00661E10">
            <w:pPr>
              <w:jc w:val="left"/>
              <w:rPr>
                <w:sz w:val="20"/>
                <w:szCs w:val="20"/>
              </w:rPr>
            </w:pPr>
            <w:r w:rsidRPr="00661E10">
              <w:rPr>
                <w:sz w:val="20"/>
                <w:szCs w:val="20"/>
              </w:rPr>
              <w:t>Smart AC Saver – Commercial</w:t>
            </w:r>
          </w:p>
        </w:tc>
        <w:tc>
          <w:tcPr>
            <w:tcW w:w="780" w:type="pct"/>
            <w:shd w:val="clear" w:color="auto" w:fill="auto"/>
            <w:noWrap/>
          </w:tcPr>
          <w:p w:rsidR="00661E10" w:rsidRPr="00661E10" w:rsidRDefault="00661E10" w:rsidP="00661E10">
            <w:pPr>
              <w:jc w:val="center"/>
              <w:rPr>
                <w:bCs/>
                <w:color w:val="000000"/>
                <w:sz w:val="20"/>
                <w:szCs w:val="20"/>
              </w:rPr>
            </w:pPr>
            <w:r w:rsidRPr="00661E10">
              <w:rPr>
                <w:sz w:val="20"/>
                <w:szCs w:val="20"/>
              </w:rPr>
              <w:t>N/A</w:t>
            </w:r>
          </w:p>
        </w:tc>
        <w:tc>
          <w:tcPr>
            <w:tcW w:w="780" w:type="pct"/>
            <w:shd w:val="clear" w:color="auto" w:fill="auto"/>
            <w:noWrap/>
          </w:tcPr>
          <w:p w:rsidR="00661E10" w:rsidRPr="00661E10" w:rsidRDefault="00661E10" w:rsidP="00661E10">
            <w:pPr>
              <w:jc w:val="center"/>
              <w:rPr>
                <w:bCs/>
                <w:color w:val="000000"/>
                <w:sz w:val="20"/>
                <w:szCs w:val="20"/>
              </w:rPr>
            </w:pPr>
            <w:r w:rsidRPr="00661E10">
              <w:rPr>
                <w:sz w:val="20"/>
                <w:szCs w:val="20"/>
              </w:rPr>
              <w:t>1.00</w:t>
            </w:r>
          </w:p>
        </w:tc>
        <w:tc>
          <w:tcPr>
            <w:tcW w:w="780" w:type="pct"/>
            <w:shd w:val="clear" w:color="auto" w:fill="auto"/>
            <w:noWrap/>
          </w:tcPr>
          <w:p w:rsidR="00661E10" w:rsidRPr="00661E10" w:rsidRDefault="00661E10" w:rsidP="00661E10">
            <w:pPr>
              <w:jc w:val="center"/>
              <w:rPr>
                <w:sz w:val="20"/>
                <w:szCs w:val="20"/>
              </w:rPr>
            </w:pPr>
            <w:r w:rsidRPr="00661E10">
              <w:rPr>
                <w:sz w:val="20"/>
                <w:szCs w:val="20"/>
              </w:rPr>
              <w:t>N/A</w:t>
            </w:r>
          </w:p>
        </w:tc>
      </w:tr>
      <w:tr w:rsidR="00A874AC" w:rsidRPr="00661E10" w:rsidTr="008B5045">
        <w:trPr>
          <w:trHeight w:val="288"/>
        </w:trPr>
        <w:tc>
          <w:tcPr>
            <w:tcW w:w="800" w:type="pct"/>
            <w:vMerge/>
            <w:shd w:val="clear" w:color="auto" w:fill="D2EAF1"/>
          </w:tcPr>
          <w:p w:rsidR="00661E10" w:rsidRPr="00661E10" w:rsidRDefault="00661E10" w:rsidP="00661E10">
            <w:pPr>
              <w:jc w:val="left"/>
              <w:rPr>
                <w:sz w:val="20"/>
                <w:szCs w:val="20"/>
              </w:rPr>
            </w:pPr>
          </w:p>
        </w:tc>
        <w:tc>
          <w:tcPr>
            <w:tcW w:w="1859" w:type="pct"/>
            <w:shd w:val="clear" w:color="auto" w:fill="D2EAF1"/>
            <w:noWrap/>
            <w:vAlign w:val="center"/>
          </w:tcPr>
          <w:p w:rsidR="00661E10" w:rsidRPr="00661E10" w:rsidRDefault="00661E10" w:rsidP="00661E10">
            <w:pPr>
              <w:jc w:val="left"/>
              <w:rPr>
                <w:sz w:val="20"/>
                <w:szCs w:val="20"/>
              </w:rPr>
            </w:pPr>
            <w:r w:rsidRPr="00661E10">
              <w:rPr>
                <w:sz w:val="20"/>
                <w:szCs w:val="20"/>
              </w:rPr>
              <w:t>Smart On-Site (SOS)</w:t>
            </w:r>
          </w:p>
        </w:tc>
        <w:tc>
          <w:tcPr>
            <w:tcW w:w="780" w:type="pct"/>
            <w:shd w:val="clear" w:color="auto" w:fill="D2EAF1"/>
            <w:noWrap/>
          </w:tcPr>
          <w:p w:rsidR="00661E10" w:rsidRPr="00661E10" w:rsidRDefault="00661E10" w:rsidP="00661E10">
            <w:pPr>
              <w:jc w:val="center"/>
              <w:rPr>
                <w:bCs/>
                <w:color w:val="000000"/>
                <w:sz w:val="20"/>
                <w:szCs w:val="20"/>
              </w:rPr>
            </w:pPr>
            <w:r w:rsidRPr="00661E10">
              <w:rPr>
                <w:bCs/>
                <w:color w:val="000000"/>
                <w:sz w:val="20"/>
                <w:szCs w:val="20"/>
              </w:rPr>
              <w:t>0.8</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w:t>
            </w:r>
          </w:p>
        </w:tc>
        <w:tc>
          <w:tcPr>
            <w:tcW w:w="780" w:type="pct"/>
            <w:shd w:val="clear" w:color="auto" w:fill="D2EAF1"/>
            <w:noWrap/>
          </w:tcPr>
          <w:p w:rsidR="00661E10" w:rsidRPr="00661E10" w:rsidRDefault="00661E10" w:rsidP="00661E10">
            <w:pPr>
              <w:jc w:val="center"/>
              <w:rPr>
                <w:sz w:val="20"/>
                <w:szCs w:val="20"/>
              </w:rPr>
            </w:pPr>
            <w:r w:rsidRPr="00661E10">
              <w:rPr>
                <w:sz w:val="20"/>
                <w:szCs w:val="20"/>
              </w:rPr>
              <w:t>0.89</w:t>
            </w:r>
          </w:p>
        </w:tc>
      </w:tr>
      <w:tr w:rsidR="005E6D04" w:rsidRPr="00661E10" w:rsidTr="008B5045">
        <w:trPr>
          <w:trHeight w:val="288"/>
        </w:trPr>
        <w:tc>
          <w:tcPr>
            <w:tcW w:w="800" w:type="pct"/>
            <w:vMerge/>
            <w:shd w:val="clear" w:color="auto" w:fill="D2EAF1"/>
          </w:tcPr>
          <w:p w:rsidR="00661E10" w:rsidRPr="00661E10" w:rsidRDefault="00661E10" w:rsidP="00661E10">
            <w:pPr>
              <w:jc w:val="left"/>
              <w:rPr>
                <w:color w:val="000000"/>
                <w:sz w:val="20"/>
                <w:szCs w:val="20"/>
              </w:rPr>
            </w:pPr>
          </w:p>
        </w:tc>
        <w:tc>
          <w:tcPr>
            <w:tcW w:w="1859" w:type="pct"/>
            <w:shd w:val="clear" w:color="auto" w:fill="auto"/>
            <w:noWrap/>
            <w:vAlign w:val="center"/>
          </w:tcPr>
          <w:p w:rsidR="00661E10" w:rsidRPr="00661E10" w:rsidRDefault="00661E10" w:rsidP="00661E10">
            <w:pPr>
              <w:jc w:val="left"/>
              <w:rPr>
                <w:sz w:val="20"/>
                <w:szCs w:val="20"/>
              </w:rPr>
            </w:pPr>
            <w:r w:rsidRPr="00661E10">
              <w:rPr>
                <w:sz w:val="20"/>
                <w:szCs w:val="20"/>
              </w:rPr>
              <w:t>Smart Business Solutions (SBS)</w:t>
            </w:r>
          </w:p>
        </w:tc>
        <w:tc>
          <w:tcPr>
            <w:tcW w:w="780" w:type="pct"/>
            <w:shd w:val="clear" w:color="auto" w:fill="auto"/>
            <w:noWrap/>
          </w:tcPr>
          <w:p w:rsidR="00661E10" w:rsidRPr="00661E10" w:rsidRDefault="00661E10" w:rsidP="00661E10">
            <w:pPr>
              <w:jc w:val="center"/>
              <w:rPr>
                <w:bCs/>
                <w:color w:val="000000"/>
                <w:sz w:val="20"/>
                <w:szCs w:val="20"/>
              </w:rPr>
            </w:pPr>
            <w:r w:rsidRPr="00661E10">
              <w:rPr>
                <w:bCs/>
                <w:color w:val="000000"/>
                <w:sz w:val="20"/>
                <w:szCs w:val="20"/>
              </w:rPr>
              <w:t>0.9</w:t>
            </w:r>
          </w:p>
        </w:tc>
        <w:tc>
          <w:tcPr>
            <w:tcW w:w="780" w:type="pct"/>
            <w:shd w:val="clear" w:color="auto" w:fill="auto"/>
            <w:noWrap/>
          </w:tcPr>
          <w:p w:rsidR="00661E10" w:rsidRPr="00661E10" w:rsidRDefault="00B90CD9" w:rsidP="00B90CD9">
            <w:pPr>
              <w:jc w:val="center"/>
              <w:rPr>
                <w:bCs/>
                <w:color w:val="000000"/>
                <w:sz w:val="20"/>
                <w:szCs w:val="20"/>
              </w:rPr>
            </w:pPr>
            <w:r>
              <w:rPr>
                <w:bCs/>
                <w:color w:val="000000"/>
                <w:sz w:val="20"/>
                <w:szCs w:val="20"/>
              </w:rPr>
              <w:t>0.9</w:t>
            </w:r>
            <w:r w:rsidRPr="00B90CD9">
              <w:rPr>
                <w:bCs/>
                <w:color w:val="000000"/>
                <w:sz w:val="20"/>
                <w:szCs w:val="20"/>
                <w:vertAlign w:val="superscript"/>
              </w:rPr>
              <w:t>[b]</w:t>
            </w:r>
          </w:p>
        </w:tc>
        <w:tc>
          <w:tcPr>
            <w:tcW w:w="780" w:type="pct"/>
            <w:shd w:val="clear" w:color="auto" w:fill="auto"/>
            <w:noWrap/>
          </w:tcPr>
          <w:p w:rsidR="00661E10" w:rsidRPr="00661E10" w:rsidRDefault="00661E10" w:rsidP="00661E10">
            <w:pPr>
              <w:jc w:val="center"/>
              <w:rPr>
                <w:bCs/>
                <w:color w:val="000000"/>
                <w:sz w:val="20"/>
                <w:szCs w:val="20"/>
              </w:rPr>
            </w:pPr>
            <w:r w:rsidRPr="00661E10">
              <w:rPr>
                <w:sz w:val="20"/>
                <w:szCs w:val="20"/>
              </w:rPr>
              <w:t>Not reported</w:t>
            </w:r>
          </w:p>
        </w:tc>
      </w:tr>
      <w:tr w:rsidR="00A874AC" w:rsidRPr="00661E10" w:rsidTr="008B5045">
        <w:trPr>
          <w:trHeight w:val="288"/>
        </w:trPr>
        <w:tc>
          <w:tcPr>
            <w:tcW w:w="2659" w:type="pct"/>
            <w:gridSpan w:val="2"/>
            <w:shd w:val="clear" w:color="auto" w:fill="auto"/>
          </w:tcPr>
          <w:p w:rsidR="00661E10" w:rsidRPr="00661E10" w:rsidRDefault="00661E10" w:rsidP="00661E10">
            <w:pPr>
              <w:jc w:val="center"/>
              <w:rPr>
                <w:b/>
                <w:sz w:val="20"/>
                <w:szCs w:val="20"/>
              </w:rPr>
            </w:pPr>
            <w:r w:rsidRPr="00661E10">
              <w:rPr>
                <w:b/>
                <w:color w:val="000000"/>
                <w:sz w:val="20"/>
                <w:szCs w:val="20"/>
              </w:rPr>
              <w:t>Portfolio</w:t>
            </w:r>
          </w:p>
        </w:tc>
        <w:tc>
          <w:tcPr>
            <w:tcW w:w="780" w:type="pct"/>
            <w:shd w:val="clear" w:color="auto" w:fill="D2EAF1"/>
            <w:noWrap/>
          </w:tcPr>
          <w:p w:rsidR="00661E10" w:rsidRPr="00661E10" w:rsidRDefault="00661E10" w:rsidP="00661E10">
            <w:pPr>
              <w:jc w:val="center"/>
              <w:rPr>
                <w:b/>
                <w:bCs/>
                <w:color w:val="000000"/>
                <w:sz w:val="20"/>
                <w:szCs w:val="20"/>
              </w:rPr>
            </w:pPr>
            <w:r w:rsidRPr="00661E10">
              <w:rPr>
                <w:b/>
                <w:bCs/>
                <w:color w:val="000000"/>
                <w:sz w:val="20"/>
                <w:szCs w:val="20"/>
              </w:rPr>
              <w:t>0.7</w:t>
            </w:r>
          </w:p>
        </w:tc>
        <w:tc>
          <w:tcPr>
            <w:tcW w:w="780" w:type="pct"/>
            <w:shd w:val="clear" w:color="auto" w:fill="D2EAF1"/>
            <w:noWrap/>
          </w:tcPr>
          <w:p w:rsidR="00661E10" w:rsidRPr="00661E10" w:rsidRDefault="00661E10" w:rsidP="00661E10">
            <w:pPr>
              <w:jc w:val="center"/>
              <w:rPr>
                <w:b/>
                <w:bCs/>
                <w:color w:val="000000"/>
                <w:sz w:val="20"/>
                <w:szCs w:val="20"/>
              </w:rPr>
            </w:pPr>
            <w:r w:rsidRPr="00661E10">
              <w:rPr>
                <w:b/>
                <w:bCs/>
                <w:color w:val="000000"/>
                <w:sz w:val="20"/>
                <w:szCs w:val="20"/>
              </w:rPr>
              <w:t>0.68</w:t>
            </w:r>
          </w:p>
        </w:tc>
        <w:tc>
          <w:tcPr>
            <w:tcW w:w="780" w:type="pct"/>
            <w:shd w:val="clear" w:color="auto" w:fill="D2EAF1"/>
            <w:noWrap/>
          </w:tcPr>
          <w:p w:rsidR="00661E10" w:rsidRPr="00661E10" w:rsidRDefault="00661E10" w:rsidP="00661E10">
            <w:pPr>
              <w:jc w:val="center"/>
              <w:rPr>
                <w:b/>
                <w:sz w:val="20"/>
                <w:szCs w:val="20"/>
              </w:rPr>
            </w:pPr>
            <w:r w:rsidRPr="00661E10">
              <w:rPr>
                <w:b/>
                <w:sz w:val="20"/>
                <w:szCs w:val="20"/>
              </w:rPr>
              <w:t>0.62</w:t>
            </w:r>
          </w:p>
        </w:tc>
      </w:tr>
      <w:tr w:rsidR="00E7173E" w:rsidRPr="00661E10" w:rsidTr="008B5045">
        <w:trPr>
          <w:trHeight w:val="288"/>
        </w:trPr>
        <w:tc>
          <w:tcPr>
            <w:tcW w:w="5000" w:type="pct"/>
            <w:gridSpan w:val="5"/>
            <w:shd w:val="clear" w:color="auto" w:fill="448A99"/>
          </w:tcPr>
          <w:p w:rsidR="00661E10" w:rsidRPr="00661E10" w:rsidRDefault="00661E10" w:rsidP="00661E10">
            <w:pPr>
              <w:jc w:val="left"/>
              <w:rPr>
                <w:color w:val="FFFFFF"/>
                <w:sz w:val="18"/>
                <w:szCs w:val="18"/>
              </w:rPr>
            </w:pPr>
            <w:r w:rsidRPr="00661E10">
              <w:rPr>
                <w:color w:val="FFFFFF"/>
                <w:sz w:val="18"/>
                <w:szCs w:val="18"/>
              </w:rPr>
              <w:t>NOTES</w:t>
            </w:r>
            <w:r w:rsidR="00630371">
              <w:rPr>
                <w:color w:val="FFFFFF"/>
                <w:sz w:val="18"/>
                <w:szCs w:val="18"/>
              </w:rPr>
              <w:t>:</w:t>
            </w:r>
          </w:p>
          <w:p w:rsidR="00B90CD9" w:rsidRDefault="00661E10" w:rsidP="00661E10">
            <w:pPr>
              <w:jc w:val="left"/>
              <w:rPr>
                <w:color w:val="FFFFFF" w:themeColor="background1"/>
                <w:sz w:val="18"/>
                <w:szCs w:val="18"/>
              </w:rPr>
            </w:pPr>
            <w:r w:rsidRPr="00ED5AFA">
              <w:rPr>
                <w:color w:val="FFFFFF" w:themeColor="background1"/>
                <w:sz w:val="18"/>
                <w:szCs w:val="18"/>
                <w:vertAlign w:val="superscript"/>
              </w:rPr>
              <w:t>[a]</w:t>
            </w:r>
            <w:r w:rsidRPr="00661E10">
              <w:rPr>
                <w:color w:val="FFFFFF" w:themeColor="background1"/>
                <w:sz w:val="18"/>
                <w:szCs w:val="18"/>
              </w:rPr>
              <w:t xml:space="preserve"> Navigant reported to the tenth decimal place in PY5.</w:t>
            </w:r>
          </w:p>
          <w:p w:rsidR="00661E10" w:rsidRPr="00661E10" w:rsidRDefault="00B90CD9" w:rsidP="00661E10">
            <w:pPr>
              <w:jc w:val="left"/>
              <w:rPr>
                <w:color w:val="FFFFFF" w:themeColor="background1"/>
                <w:sz w:val="18"/>
                <w:szCs w:val="18"/>
              </w:rPr>
            </w:pPr>
            <w:r w:rsidRPr="00B90CD9">
              <w:rPr>
                <w:color w:val="FFFFFF" w:themeColor="background1"/>
                <w:sz w:val="18"/>
                <w:szCs w:val="18"/>
                <w:vertAlign w:val="superscript"/>
              </w:rPr>
              <w:t>[b]</w:t>
            </w:r>
            <w:r>
              <w:rPr>
                <w:color w:val="FFFFFF" w:themeColor="background1"/>
                <w:sz w:val="18"/>
                <w:szCs w:val="18"/>
              </w:rPr>
              <w:t xml:space="preserve"> </w:t>
            </w:r>
            <w:r w:rsidRPr="00B90CD9">
              <w:rPr>
                <w:color w:val="FFFFFF" w:themeColor="background1"/>
                <w:sz w:val="18"/>
                <w:szCs w:val="18"/>
              </w:rPr>
              <w:t>In PY6, Navigant reported the PY5 estimate</w:t>
            </w:r>
            <w:r>
              <w:rPr>
                <w:color w:val="FFFFFF" w:themeColor="background1"/>
                <w:sz w:val="18"/>
                <w:szCs w:val="18"/>
              </w:rPr>
              <w:t>.</w:t>
            </w:r>
          </w:p>
          <w:p w:rsidR="00661E10" w:rsidRPr="00661E10" w:rsidRDefault="00661E10" w:rsidP="00661E10">
            <w:pPr>
              <w:jc w:val="left"/>
              <w:rPr>
                <w:color w:val="FFFFFF" w:themeColor="background1"/>
                <w:sz w:val="18"/>
                <w:szCs w:val="18"/>
              </w:rPr>
            </w:pPr>
            <w:r w:rsidRPr="00661E10">
              <w:rPr>
                <w:color w:val="FFFFFF" w:themeColor="background1"/>
                <w:sz w:val="18"/>
                <w:szCs w:val="18"/>
              </w:rPr>
              <w:t>* Denotes programs/NTGRs that were not included in a given annual report.</w:t>
            </w:r>
          </w:p>
        </w:tc>
      </w:tr>
    </w:tbl>
    <w:p w:rsidR="00661E10" w:rsidRDefault="00661E10" w:rsidP="00661E10"/>
    <w:p w:rsidR="00661E10" w:rsidRPr="00661E10" w:rsidRDefault="00702765" w:rsidP="009349F1">
      <w:pPr>
        <w:numPr>
          <w:ilvl w:val="3"/>
          <w:numId w:val="8"/>
        </w:numPr>
        <w:spacing w:after="120"/>
        <w:outlineLvl w:val="3"/>
        <w:rPr>
          <w:rFonts w:ascii="Century Gothic" w:eastAsiaTheme="minorHAnsi" w:hAnsi="Century Gothic" w:cstheme="minorBidi"/>
          <w:b/>
          <w:i/>
          <w:sz w:val="20"/>
        </w:rPr>
      </w:pPr>
      <w:r>
        <w:rPr>
          <w:rFonts w:ascii="Century Gothic" w:eastAsiaTheme="minorHAnsi" w:hAnsi="Century Gothic" w:cstheme="minorBidi"/>
          <w:b/>
          <w:i/>
          <w:sz w:val="20"/>
        </w:rPr>
        <w:t>PPL</w:t>
      </w:r>
      <w:r w:rsidR="00661E10" w:rsidRPr="00661E10">
        <w:rPr>
          <w:rFonts w:ascii="Century Gothic" w:eastAsiaTheme="minorHAnsi" w:hAnsi="Century Gothic" w:cstheme="minorBidi"/>
          <w:b/>
          <w:i/>
          <w:sz w:val="20"/>
        </w:rPr>
        <w:t xml:space="preserve"> Phase II NTG Summary</w:t>
      </w:r>
    </w:p>
    <w:p w:rsidR="00823FE0" w:rsidRDefault="00ED5AFA" w:rsidP="00661E10">
      <w:r>
        <w:fldChar w:fldCharType="begin"/>
      </w:r>
      <w:r>
        <w:instrText xml:space="preserve"> REF _Ref471459080 \h </w:instrText>
      </w:r>
      <w:r>
        <w:fldChar w:fldCharType="separate"/>
      </w:r>
      <w:r w:rsidR="00A874AC" w:rsidRPr="00ED5AFA">
        <w:t xml:space="preserve">Table </w:t>
      </w:r>
      <w:r w:rsidR="00A874AC">
        <w:rPr>
          <w:noProof/>
        </w:rPr>
        <w:t>5</w:t>
      </w:r>
      <w:r w:rsidR="00A874AC">
        <w:noBreakHyphen/>
      </w:r>
      <w:r w:rsidR="00A874AC">
        <w:rPr>
          <w:noProof/>
        </w:rPr>
        <w:t>12</w:t>
      </w:r>
      <w:r>
        <w:fldChar w:fldCharType="end"/>
      </w:r>
      <w:r>
        <w:t xml:space="preserve"> </w:t>
      </w:r>
      <w:r w:rsidR="00661E10" w:rsidRPr="00661E10">
        <w:t xml:space="preserve">shows PPL’s Phase II NTGRs by program year. Due to minimal intra-program NTGR variation from PY6 to PY7, the portfolio-level NTGR experienced minimal fluctuation in Phase II. </w:t>
      </w:r>
    </w:p>
    <w:p w:rsidR="00147500" w:rsidRDefault="00147500" w:rsidP="00661E10"/>
    <w:p w:rsidR="00661E10" w:rsidRPr="00ED5AFA" w:rsidRDefault="00ED5AFA" w:rsidP="00ED5AFA">
      <w:pPr>
        <w:pStyle w:val="Caption"/>
      </w:pPr>
      <w:bookmarkStart w:id="428" w:name="_Ref471459080"/>
      <w:bookmarkStart w:id="429" w:name="_Toc472472197"/>
      <w:bookmarkStart w:id="430" w:name="_Toc476914011"/>
      <w:r w:rsidRPr="00ED5AFA">
        <w:t xml:space="preserve">Table </w:t>
      </w:r>
      <w:fldSimple w:instr=" STYLEREF 1 \s ">
        <w:r w:rsidR="00C301D0">
          <w:rPr>
            <w:noProof/>
          </w:rPr>
          <w:t>5</w:t>
        </w:r>
      </w:fldSimple>
      <w:r w:rsidR="00E6042C">
        <w:noBreakHyphen/>
      </w:r>
      <w:fldSimple w:instr=" SEQ Table \* ARABIC \s 1 ">
        <w:r w:rsidR="00C301D0">
          <w:rPr>
            <w:noProof/>
          </w:rPr>
          <w:t>12</w:t>
        </w:r>
      </w:fldSimple>
      <w:bookmarkEnd w:id="428"/>
      <w:r w:rsidR="00661E10" w:rsidRPr="00ED5AFA">
        <w:t>: PPL’s Phase II NTGRs by Program Year</w:t>
      </w:r>
      <w:bookmarkEnd w:id="429"/>
      <w:bookmarkEnd w:id="430"/>
    </w:p>
    <w:tbl>
      <w:tblPr>
        <w:tblW w:w="4887" w:type="pct"/>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61"/>
        <w:gridCol w:w="3394"/>
        <w:gridCol w:w="1424"/>
        <w:gridCol w:w="1424"/>
        <w:gridCol w:w="1426"/>
      </w:tblGrid>
      <w:tr w:rsidR="00A874AC" w:rsidRPr="00661E10" w:rsidTr="008B5045">
        <w:trPr>
          <w:trHeight w:val="20"/>
          <w:tblHeader/>
        </w:trPr>
        <w:tc>
          <w:tcPr>
            <w:tcW w:w="800" w:type="pct"/>
            <w:shd w:val="clear" w:color="auto" w:fill="448A99"/>
            <w:vAlign w:val="bottom"/>
            <w:hideMark/>
          </w:tcPr>
          <w:p w:rsidR="00661E10" w:rsidRPr="00661E10" w:rsidRDefault="00661E10" w:rsidP="00661E10">
            <w:pPr>
              <w:jc w:val="left"/>
              <w:rPr>
                <w:b/>
                <w:bCs/>
                <w:color w:val="FFFFFF"/>
                <w:sz w:val="20"/>
                <w:szCs w:val="20"/>
              </w:rPr>
            </w:pPr>
            <w:r w:rsidRPr="00661E10">
              <w:rPr>
                <w:b/>
                <w:color w:val="FFFFFF"/>
                <w:sz w:val="20"/>
                <w:szCs w:val="20"/>
              </w:rPr>
              <w:t>Sector</w:t>
            </w:r>
          </w:p>
        </w:tc>
        <w:tc>
          <w:tcPr>
            <w:tcW w:w="1859"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Program</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PY5</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PY6</w:t>
            </w:r>
          </w:p>
        </w:tc>
        <w:tc>
          <w:tcPr>
            <w:tcW w:w="780" w:type="pct"/>
            <w:shd w:val="clear" w:color="auto" w:fill="448A99"/>
            <w:vAlign w:val="bottom"/>
            <w:hideMark/>
          </w:tcPr>
          <w:p w:rsidR="00661E10" w:rsidRPr="00661E10" w:rsidRDefault="00661E10" w:rsidP="00661E10">
            <w:pPr>
              <w:jc w:val="center"/>
              <w:rPr>
                <w:b/>
                <w:bCs/>
                <w:color w:val="FFFFFF"/>
                <w:sz w:val="20"/>
                <w:szCs w:val="20"/>
              </w:rPr>
            </w:pPr>
            <w:r w:rsidRPr="00661E10">
              <w:rPr>
                <w:b/>
                <w:bCs/>
                <w:color w:val="FFFFFF"/>
                <w:sz w:val="20"/>
                <w:szCs w:val="20"/>
              </w:rPr>
              <w:t>PY7</w:t>
            </w:r>
          </w:p>
        </w:tc>
      </w:tr>
      <w:tr w:rsidR="00A874AC" w:rsidRPr="00661E10" w:rsidTr="008B5045">
        <w:trPr>
          <w:trHeight w:val="288"/>
        </w:trPr>
        <w:tc>
          <w:tcPr>
            <w:tcW w:w="800" w:type="pct"/>
            <w:vMerge w:val="restart"/>
            <w:shd w:val="clear" w:color="auto" w:fill="D2EAF1"/>
          </w:tcPr>
          <w:p w:rsidR="00B90CD9" w:rsidRPr="00661E10" w:rsidRDefault="00B90CD9" w:rsidP="00B90CD9">
            <w:pPr>
              <w:jc w:val="left"/>
              <w:rPr>
                <w:color w:val="000000"/>
                <w:sz w:val="20"/>
                <w:szCs w:val="20"/>
              </w:rPr>
            </w:pPr>
            <w:r w:rsidRPr="00661E10">
              <w:rPr>
                <w:sz w:val="20"/>
                <w:szCs w:val="20"/>
              </w:rPr>
              <w:t>Residential</w:t>
            </w:r>
          </w:p>
        </w:tc>
        <w:tc>
          <w:tcPr>
            <w:tcW w:w="1859" w:type="pct"/>
            <w:shd w:val="clear" w:color="auto" w:fill="D2EAF1"/>
            <w:noWrap/>
          </w:tcPr>
          <w:p w:rsidR="00B90CD9" w:rsidRPr="00661E10" w:rsidRDefault="00B90CD9" w:rsidP="00B90CD9">
            <w:pPr>
              <w:jc w:val="left"/>
              <w:rPr>
                <w:color w:val="000000"/>
                <w:sz w:val="20"/>
                <w:szCs w:val="20"/>
              </w:rPr>
            </w:pPr>
            <w:r w:rsidRPr="00661E10">
              <w:rPr>
                <w:sz w:val="20"/>
                <w:szCs w:val="20"/>
              </w:rPr>
              <w:t>Residential Retail Program</w:t>
            </w:r>
          </w:p>
        </w:tc>
        <w:tc>
          <w:tcPr>
            <w:tcW w:w="780" w:type="pct"/>
            <w:shd w:val="clear" w:color="auto" w:fill="D2EAF1"/>
            <w:noWrap/>
          </w:tcPr>
          <w:p w:rsidR="00B90CD9" w:rsidRPr="00661E10" w:rsidRDefault="00B90CD9" w:rsidP="00B90CD9">
            <w:pPr>
              <w:jc w:val="center"/>
              <w:rPr>
                <w:sz w:val="20"/>
                <w:szCs w:val="20"/>
                <w:vertAlign w:val="superscript"/>
              </w:rPr>
            </w:pPr>
            <w:r w:rsidRPr="003A0F59">
              <w:rPr>
                <w:sz w:val="20"/>
                <w:szCs w:val="20"/>
              </w:rPr>
              <w:t>0.57/0.84</w:t>
            </w:r>
            <w:r w:rsidRPr="003A0F59">
              <w:rPr>
                <w:sz w:val="20"/>
                <w:szCs w:val="20"/>
                <w:vertAlign w:val="superscript"/>
              </w:rPr>
              <w:t>[a]</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0.52</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0.61</w:t>
            </w:r>
          </w:p>
        </w:tc>
      </w:tr>
      <w:tr w:rsidR="00B90CD9" w:rsidRPr="00661E10" w:rsidTr="008B5045">
        <w:trPr>
          <w:trHeight w:val="288"/>
        </w:trPr>
        <w:tc>
          <w:tcPr>
            <w:tcW w:w="800" w:type="pct"/>
            <w:vMerge/>
            <w:shd w:val="clear" w:color="auto" w:fill="D2EAF1"/>
          </w:tcPr>
          <w:p w:rsidR="00B90CD9" w:rsidRPr="00661E10" w:rsidRDefault="00B90CD9" w:rsidP="00B90CD9">
            <w:pPr>
              <w:jc w:val="left"/>
              <w:rPr>
                <w:color w:val="000000"/>
                <w:sz w:val="20"/>
                <w:szCs w:val="20"/>
              </w:rPr>
            </w:pPr>
          </w:p>
        </w:tc>
        <w:tc>
          <w:tcPr>
            <w:tcW w:w="1859" w:type="pct"/>
            <w:shd w:val="clear" w:color="auto" w:fill="auto"/>
            <w:noWrap/>
          </w:tcPr>
          <w:p w:rsidR="00B90CD9" w:rsidRPr="00661E10" w:rsidRDefault="00B90CD9" w:rsidP="00B90CD9">
            <w:pPr>
              <w:jc w:val="left"/>
              <w:rPr>
                <w:sz w:val="20"/>
                <w:szCs w:val="20"/>
              </w:rPr>
            </w:pPr>
            <w:r w:rsidRPr="00661E10">
              <w:rPr>
                <w:sz w:val="20"/>
                <w:szCs w:val="20"/>
              </w:rPr>
              <w:t>Appliance Recycling Program (ARP)</w:t>
            </w:r>
          </w:p>
        </w:tc>
        <w:tc>
          <w:tcPr>
            <w:tcW w:w="780" w:type="pct"/>
            <w:shd w:val="clear" w:color="auto" w:fill="auto"/>
            <w:noWrap/>
          </w:tcPr>
          <w:p w:rsidR="00B90CD9" w:rsidRPr="00661E10" w:rsidRDefault="00B90CD9" w:rsidP="00B90CD9">
            <w:pPr>
              <w:jc w:val="center"/>
              <w:rPr>
                <w:sz w:val="20"/>
                <w:szCs w:val="20"/>
              </w:rPr>
            </w:pPr>
            <w:r w:rsidRPr="003A0F59">
              <w:rPr>
                <w:sz w:val="20"/>
                <w:szCs w:val="20"/>
              </w:rPr>
              <w:t>0.74</w:t>
            </w:r>
          </w:p>
        </w:tc>
        <w:tc>
          <w:tcPr>
            <w:tcW w:w="780" w:type="pct"/>
            <w:shd w:val="clear" w:color="auto" w:fill="auto"/>
            <w:noWrap/>
          </w:tcPr>
          <w:p w:rsidR="00B90CD9" w:rsidRPr="00661E10" w:rsidRDefault="00B90CD9" w:rsidP="00B90CD9">
            <w:pPr>
              <w:jc w:val="center"/>
              <w:rPr>
                <w:sz w:val="20"/>
                <w:szCs w:val="20"/>
              </w:rPr>
            </w:pPr>
            <w:r w:rsidRPr="003A0F59">
              <w:rPr>
                <w:sz w:val="20"/>
                <w:szCs w:val="20"/>
              </w:rPr>
              <w:t>0.60</w:t>
            </w:r>
          </w:p>
        </w:tc>
        <w:tc>
          <w:tcPr>
            <w:tcW w:w="780" w:type="pct"/>
            <w:shd w:val="clear" w:color="auto" w:fill="auto"/>
            <w:noWrap/>
          </w:tcPr>
          <w:p w:rsidR="00B90CD9" w:rsidRPr="00661E10" w:rsidRDefault="00B90CD9" w:rsidP="00B90CD9">
            <w:pPr>
              <w:jc w:val="center"/>
              <w:rPr>
                <w:sz w:val="20"/>
                <w:szCs w:val="20"/>
              </w:rPr>
            </w:pPr>
            <w:r w:rsidRPr="003A0F59">
              <w:rPr>
                <w:sz w:val="20"/>
                <w:szCs w:val="20"/>
              </w:rPr>
              <w:t>0.60</w:t>
            </w:r>
          </w:p>
        </w:tc>
      </w:tr>
      <w:tr w:rsidR="00A874AC" w:rsidRPr="00661E10" w:rsidTr="008B5045">
        <w:trPr>
          <w:trHeight w:val="288"/>
        </w:trPr>
        <w:tc>
          <w:tcPr>
            <w:tcW w:w="800" w:type="pct"/>
            <w:vMerge/>
            <w:shd w:val="clear" w:color="auto" w:fill="D2EAF1"/>
          </w:tcPr>
          <w:p w:rsidR="00B90CD9" w:rsidRPr="00661E10" w:rsidRDefault="00B90CD9" w:rsidP="00B90CD9">
            <w:pPr>
              <w:jc w:val="left"/>
              <w:rPr>
                <w:color w:val="000000"/>
                <w:sz w:val="20"/>
                <w:szCs w:val="20"/>
              </w:rPr>
            </w:pPr>
          </w:p>
        </w:tc>
        <w:tc>
          <w:tcPr>
            <w:tcW w:w="1859" w:type="pct"/>
            <w:shd w:val="clear" w:color="auto" w:fill="D2EAF1"/>
            <w:noWrap/>
          </w:tcPr>
          <w:p w:rsidR="00B90CD9" w:rsidRPr="00661E10" w:rsidRDefault="00B90CD9" w:rsidP="00B90CD9">
            <w:pPr>
              <w:jc w:val="left"/>
              <w:rPr>
                <w:sz w:val="20"/>
                <w:szCs w:val="20"/>
              </w:rPr>
            </w:pPr>
            <w:r w:rsidRPr="00661E10">
              <w:rPr>
                <w:sz w:val="20"/>
                <w:szCs w:val="20"/>
              </w:rPr>
              <w:t>Residential Home Comfort</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0.58</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0.60</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0.61</w:t>
            </w:r>
          </w:p>
        </w:tc>
      </w:tr>
      <w:tr w:rsidR="00B90CD9" w:rsidRPr="00661E10" w:rsidTr="008B5045">
        <w:trPr>
          <w:trHeight w:val="288"/>
        </w:trPr>
        <w:tc>
          <w:tcPr>
            <w:tcW w:w="800" w:type="pct"/>
            <w:vMerge/>
            <w:shd w:val="clear" w:color="auto" w:fill="D2EAF1"/>
          </w:tcPr>
          <w:p w:rsidR="00B90CD9" w:rsidRPr="00661E10" w:rsidRDefault="00B90CD9" w:rsidP="00B90CD9">
            <w:pPr>
              <w:jc w:val="left"/>
              <w:rPr>
                <w:color w:val="000000"/>
                <w:sz w:val="20"/>
                <w:szCs w:val="20"/>
              </w:rPr>
            </w:pPr>
          </w:p>
        </w:tc>
        <w:tc>
          <w:tcPr>
            <w:tcW w:w="1859" w:type="pct"/>
            <w:shd w:val="clear" w:color="auto" w:fill="auto"/>
            <w:noWrap/>
          </w:tcPr>
          <w:p w:rsidR="00B90CD9" w:rsidRPr="00661E10" w:rsidRDefault="00B90CD9" w:rsidP="00B90CD9">
            <w:pPr>
              <w:jc w:val="left"/>
              <w:rPr>
                <w:sz w:val="20"/>
                <w:szCs w:val="20"/>
              </w:rPr>
            </w:pPr>
            <w:r w:rsidRPr="00661E10">
              <w:rPr>
                <w:sz w:val="20"/>
                <w:szCs w:val="20"/>
              </w:rPr>
              <w:t>Student and Parent Energy-Efficiency Education Program</w:t>
            </w:r>
          </w:p>
        </w:tc>
        <w:tc>
          <w:tcPr>
            <w:tcW w:w="780" w:type="pct"/>
            <w:shd w:val="clear" w:color="auto" w:fill="auto"/>
            <w:noWrap/>
          </w:tcPr>
          <w:p w:rsidR="00B90CD9" w:rsidRPr="00661E10" w:rsidRDefault="00B90CD9" w:rsidP="00B90CD9">
            <w:pPr>
              <w:jc w:val="center"/>
              <w:rPr>
                <w:sz w:val="20"/>
                <w:szCs w:val="20"/>
              </w:rPr>
            </w:pPr>
            <w:r w:rsidRPr="003A0F59">
              <w:rPr>
                <w:sz w:val="20"/>
                <w:szCs w:val="20"/>
              </w:rPr>
              <w:t>1.00</w:t>
            </w:r>
          </w:p>
        </w:tc>
        <w:tc>
          <w:tcPr>
            <w:tcW w:w="780" w:type="pct"/>
            <w:shd w:val="clear" w:color="auto" w:fill="auto"/>
            <w:noWrap/>
          </w:tcPr>
          <w:p w:rsidR="00B90CD9" w:rsidRPr="00661E10" w:rsidRDefault="00B90CD9" w:rsidP="00B90CD9">
            <w:pPr>
              <w:jc w:val="center"/>
              <w:rPr>
                <w:sz w:val="20"/>
                <w:szCs w:val="20"/>
              </w:rPr>
            </w:pPr>
            <w:r w:rsidRPr="003A0F59">
              <w:rPr>
                <w:sz w:val="20"/>
                <w:szCs w:val="20"/>
              </w:rPr>
              <w:t>1.00</w:t>
            </w:r>
          </w:p>
        </w:tc>
        <w:tc>
          <w:tcPr>
            <w:tcW w:w="780" w:type="pct"/>
            <w:shd w:val="clear" w:color="auto" w:fill="auto"/>
            <w:noWrap/>
          </w:tcPr>
          <w:p w:rsidR="00B90CD9" w:rsidRPr="00661E10" w:rsidRDefault="00B90CD9" w:rsidP="00B90CD9">
            <w:pPr>
              <w:jc w:val="center"/>
              <w:rPr>
                <w:sz w:val="20"/>
                <w:szCs w:val="20"/>
              </w:rPr>
            </w:pPr>
            <w:r w:rsidRPr="003A0F59">
              <w:rPr>
                <w:sz w:val="20"/>
                <w:szCs w:val="20"/>
              </w:rPr>
              <w:t>1.00</w:t>
            </w:r>
          </w:p>
        </w:tc>
      </w:tr>
      <w:tr w:rsidR="00A874AC" w:rsidRPr="00661E10" w:rsidTr="008B5045">
        <w:trPr>
          <w:trHeight w:val="288"/>
        </w:trPr>
        <w:tc>
          <w:tcPr>
            <w:tcW w:w="800" w:type="pct"/>
            <w:vMerge/>
            <w:shd w:val="clear" w:color="auto" w:fill="D2EAF1"/>
          </w:tcPr>
          <w:p w:rsidR="00B90CD9" w:rsidRPr="00661E10" w:rsidRDefault="00B90CD9" w:rsidP="00B90CD9">
            <w:pPr>
              <w:jc w:val="left"/>
              <w:rPr>
                <w:color w:val="000000"/>
                <w:sz w:val="20"/>
                <w:szCs w:val="20"/>
              </w:rPr>
            </w:pPr>
          </w:p>
        </w:tc>
        <w:tc>
          <w:tcPr>
            <w:tcW w:w="1859" w:type="pct"/>
            <w:shd w:val="clear" w:color="auto" w:fill="D2EAF1"/>
            <w:noWrap/>
          </w:tcPr>
          <w:p w:rsidR="00B90CD9" w:rsidRPr="00661E10" w:rsidRDefault="00B90CD9" w:rsidP="00B90CD9">
            <w:pPr>
              <w:jc w:val="left"/>
              <w:rPr>
                <w:sz w:val="20"/>
                <w:szCs w:val="20"/>
              </w:rPr>
            </w:pPr>
            <w:r w:rsidRPr="00661E10">
              <w:rPr>
                <w:sz w:val="20"/>
                <w:szCs w:val="20"/>
              </w:rPr>
              <w:t>Residential Energy-Efficiency Behavior &amp; Education Program</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1.00</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1.00</w:t>
            </w:r>
          </w:p>
        </w:tc>
      </w:tr>
      <w:tr w:rsidR="00B90CD9" w:rsidRPr="00661E10" w:rsidTr="008B5045">
        <w:trPr>
          <w:trHeight w:val="288"/>
        </w:trPr>
        <w:tc>
          <w:tcPr>
            <w:tcW w:w="800" w:type="pct"/>
            <w:vMerge w:val="restart"/>
            <w:shd w:val="clear" w:color="auto" w:fill="auto"/>
          </w:tcPr>
          <w:p w:rsidR="00B90CD9" w:rsidRPr="00661E10" w:rsidRDefault="00B90CD9" w:rsidP="00B90CD9">
            <w:pPr>
              <w:jc w:val="left"/>
              <w:rPr>
                <w:color w:val="000000"/>
                <w:sz w:val="20"/>
                <w:szCs w:val="20"/>
              </w:rPr>
            </w:pPr>
            <w:r w:rsidRPr="00661E10">
              <w:rPr>
                <w:sz w:val="20"/>
                <w:szCs w:val="20"/>
              </w:rPr>
              <w:t>Low-Income</w:t>
            </w:r>
          </w:p>
        </w:tc>
        <w:tc>
          <w:tcPr>
            <w:tcW w:w="1859" w:type="pct"/>
            <w:shd w:val="clear" w:color="auto" w:fill="auto"/>
            <w:noWrap/>
          </w:tcPr>
          <w:p w:rsidR="00B90CD9" w:rsidRPr="00661E10" w:rsidRDefault="00B90CD9" w:rsidP="00B90CD9">
            <w:pPr>
              <w:jc w:val="left"/>
              <w:rPr>
                <w:sz w:val="20"/>
                <w:szCs w:val="20"/>
              </w:rPr>
            </w:pPr>
            <w:r w:rsidRPr="00661E10">
              <w:rPr>
                <w:sz w:val="20"/>
                <w:szCs w:val="20"/>
              </w:rPr>
              <w:t>E-Power Wise</w:t>
            </w:r>
            <w:r w:rsidRPr="00661E10">
              <w:rPr>
                <w:sz w:val="20"/>
                <w:szCs w:val="20"/>
                <w:vertAlign w:val="superscript"/>
              </w:rPr>
              <w:t xml:space="preserve"> </w:t>
            </w:r>
          </w:p>
        </w:tc>
        <w:tc>
          <w:tcPr>
            <w:tcW w:w="780" w:type="pct"/>
            <w:shd w:val="clear" w:color="auto" w:fill="auto"/>
            <w:noWrap/>
          </w:tcPr>
          <w:p w:rsidR="00B90CD9" w:rsidRPr="00661E10" w:rsidRDefault="00B90CD9" w:rsidP="00B90CD9">
            <w:pPr>
              <w:jc w:val="center"/>
              <w:rPr>
                <w:sz w:val="20"/>
                <w:szCs w:val="20"/>
              </w:rPr>
            </w:pPr>
            <w:r w:rsidRPr="003A0F59">
              <w:rPr>
                <w:sz w:val="20"/>
                <w:szCs w:val="20"/>
              </w:rPr>
              <w:t>1.00</w:t>
            </w:r>
          </w:p>
        </w:tc>
        <w:tc>
          <w:tcPr>
            <w:tcW w:w="780" w:type="pct"/>
            <w:shd w:val="clear" w:color="auto" w:fill="auto"/>
            <w:noWrap/>
          </w:tcPr>
          <w:p w:rsidR="00B90CD9" w:rsidRPr="00661E10" w:rsidRDefault="00B90CD9" w:rsidP="00B90CD9">
            <w:pPr>
              <w:jc w:val="center"/>
              <w:rPr>
                <w:bCs/>
                <w:color w:val="000000"/>
                <w:sz w:val="20"/>
                <w:szCs w:val="20"/>
              </w:rPr>
            </w:pPr>
            <w:r w:rsidRPr="003A0F59">
              <w:rPr>
                <w:bCs/>
                <w:color w:val="000000"/>
                <w:sz w:val="20"/>
                <w:szCs w:val="20"/>
              </w:rPr>
              <w:t>1.00</w:t>
            </w:r>
          </w:p>
        </w:tc>
        <w:tc>
          <w:tcPr>
            <w:tcW w:w="780" w:type="pct"/>
            <w:shd w:val="clear" w:color="auto" w:fill="auto"/>
            <w:noWrap/>
          </w:tcPr>
          <w:p w:rsidR="00B90CD9" w:rsidRPr="00661E10" w:rsidRDefault="00B90CD9" w:rsidP="00B90CD9">
            <w:pPr>
              <w:jc w:val="center"/>
              <w:rPr>
                <w:bCs/>
                <w:color w:val="000000"/>
                <w:sz w:val="20"/>
                <w:szCs w:val="20"/>
              </w:rPr>
            </w:pPr>
            <w:r w:rsidRPr="003A0F59">
              <w:rPr>
                <w:sz w:val="20"/>
                <w:szCs w:val="20"/>
              </w:rPr>
              <w:t>1.00</w:t>
            </w:r>
          </w:p>
        </w:tc>
      </w:tr>
      <w:tr w:rsidR="00A874AC" w:rsidRPr="00661E10" w:rsidTr="008B5045">
        <w:trPr>
          <w:trHeight w:val="288"/>
        </w:trPr>
        <w:tc>
          <w:tcPr>
            <w:tcW w:w="800" w:type="pct"/>
            <w:vMerge/>
            <w:shd w:val="clear" w:color="auto" w:fill="auto"/>
          </w:tcPr>
          <w:p w:rsidR="00B90CD9" w:rsidRPr="00661E10" w:rsidRDefault="00B90CD9" w:rsidP="00B90CD9">
            <w:pPr>
              <w:jc w:val="left"/>
              <w:rPr>
                <w:sz w:val="20"/>
                <w:szCs w:val="20"/>
              </w:rPr>
            </w:pPr>
          </w:p>
        </w:tc>
        <w:tc>
          <w:tcPr>
            <w:tcW w:w="1859" w:type="pct"/>
            <w:shd w:val="clear" w:color="auto" w:fill="D2EAF1"/>
            <w:noWrap/>
          </w:tcPr>
          <w:p w:rsidR="00B90CD9" w:rsidRPr="00661E10" w:rsidRDefault="00B90CD9" w:rsidP="00B90CD9">
            <w:pPr>
              <w:jc w:val="left"/>
              <w:rPr>
                <w:sz w:val="20"/>
                <w:szCs w:val="20"/>
              </w:rPr>
            </w:pPr>
            <w:r w:rsidRPr="00661E10">
              <w:rPr>
                <w:sz w:val="20"/>
                <w:szCs w:val="20"/>
              </w:rPr>
              <w:t>Low-Income Energy Efficiency</w:t>
            </w:r>
          </w:p>
          <w:p w:rsidR="00B90CD9" w:rsidRPr="00661E10" w:rsidRDefault="00B90CD9" w:rsidP="00B90CD9">
            <w:pPr>
              <w:jc w:val="left"/>
              <w:rPr>
                <w:color w:val="000000"/>
                <w:sz w:val="20"/>
                <w:szCs w:val="20"/>
              </w:rPr>
            </w:pPr>
            <w:r w:rsidRPr="00661E10">
              <w:rPr>
                <w:sz w:val="20"/>
                <w:szCs w:val="20"/>
              </w:rPr>
              <w:t>Behavior &amp; Education</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w:t>
            </w:r>
          </w:p>
        </w:tc>
        <w:tc>
          <w:tcPr>
            <w:tcW w:w="780" w:type="pct"/>
            <w:shd w:val="clear" w:color="auto" w:fill="D2EAF1"/>
            <w:noWrap/>
          </w:tcPr>
          <w:p w:rsidR="00B90CD9" w:rsidRPr="00661E10" w:rsidRDefault="00B90CD9" w:rsidP="00B90CD9">
            <w:pPr>
              <w:jc w:val="center"/>
              <w:rPr>
                <w:bCs/>
                <w:color w:val="000000"/>
                <w:sz w:val="20"/>
                <w:szCs w:val="20"/>
              </w:rPr>
            </w:pPr>
            <w:r w:rsidRPr="003A0F59">
              <w:rPr>
                <w:bCs/>
                <w:color w:val="000000"/>
                <w:sz w:val="20"/>
                <w:szCs w:val="20"/>
              </w:rPr>
              <w:t>*</w:t>
            </w:r>
          </w:p>
        </w:tc>
        <w:tc>
          <w:tcPr>
            <w:tcW w:w="780" w:type="pct"/>
            <w:shd w:val="clear" w:color="auto" w:fill="D2EAF1"/>
            <w:noWrap/>
          </w:tcPr>
          <w:p w:rsidR="00B90CD9" w:rsidRPr="00661E10" w:rsidRDefault="00B90CD9" w:rsidP="00B90CD9">
            <w:pPr>
              <w:jc w:val="center"/>
              <w:rPr>
                <w:bCs/>
                <w:color w:val="000000"/>
                <w:sz w:val="20"/>
                <w:szCs w:val="20"/>
              </w:rPr>
            </w:pPr>
            <w:r w:rsidRPr="003A0F59">
              <w:rPr>
                <w:sz w:val="20"/>
                <w:szCs w:val="20"/>
              </w:rPr>
              <w:t>1.00</w:t>
            </w:r>
          </w:p>
        </w:tc>
      </w:tr>
      <w:tr w:rsidR="00B90CD9" w:rsidRPr="00661E10" w:rsidTr="008B5045">
        <w:trPr>
          <w:trHeight w:val="288"/>
        </w:trPr>
        <w:tc>
          <w:tcPr>
            <w:tcW w:w="800" w:type="pct"/>
            <w:vMerge/>
            <w:shd w:val="clear" w:color="auto" w:fill="auto"/>
          </w:tcPr>
          <w:p w:rsidR="00B90CD9" w:rsidRPr="00661E10" w:rsidRDefault="00B90CD9" w:rsidP="00B90CD9">
            <w:pPr>
              <w:jc w:val="left"/>
              <w:rPr>
                <w:sz w:val="20"/>
                <w:szCs w:val="20"/>
              </w:rPr>
            </w:pPr>
          </w:p>
        </w:tc>
        <w:tc>
          <w:tcPr>
            <w:tcW w:w="1859" w:type="pct"/>
            <w:shd w:val="clear" w:color="auto" w:fill="auto"/>
            <w:noWrap/>
          </w:tcPr>
          <w:p w:rsidR="00B90CD9" w:rsidRPr="00661E10" w:rsidRDefault="00B90CD9" w:rsidP="00B90CD9">
            <w:pPr>
              <w:jc w:val="left"/>
              <w:rPr>
                <w:color w:val="000000"/>
                <w:sz w:val="20"/>
                <w:szCs w:val="20"/>
              </w:rPr>
            </w:pPr>
            <w:r w:rsidRPr="00661E10">
              <w:rPr>
                <w:sz w:val="20"/>
                <w:szCs w:val="20"/>
              </w:rPr>
              <w:t>Low-Income Winter Relief Assistance Program (WRAP)</w:t>
            </w:r>
          </w:p>
        </w:tc>
        <w:tc>
          <w:tcPr>
            <w:tcW w:w="780" w:type="pct"/>
            <w:shd w:val="clear" w:color="auto" w:fill="auto"/>
            <w:noWrap/>
          </w:tcPr>
          <w:p w:rsidR="00B90CD9" w:rsidRPr="00661E10" w:rsidRDefault="00B90CD9" w:rsidP="00B90CD9">
            <w:pPr>
              <w:jc w:val="center"/>
              <w:rPr>
                <w:sz w:val="20"/>
                <w:szCs w:val="20"/>
              </w:rPr>
            </w:pPr>
            <w:r w:rsidRPr="003A0F59">
              <w:rPr>
                <w:sz w:val="20"/>
                <w:szCs w:val="20"/>
              </w:rPr>
              <w:t>1.00</w:t>
            </w:r>
          </w:p>
        </w:tc>
        <w:tc>
          <w:tcPr>
            <w:tcW w:w="780" w:type="pct"/>
            <w:shd w:val="clear" w:color="auto" w:fill="auto"/>
            <w:noWrap/>
          </w:tcPr>
          <w:p w:rsidR="00B90CD9" w:rsidRPr="00661E10" w:rsidRDefault="00B90CD9" w:rsidP="00B90CD9">
            <w:pPr>
              <w:jc w:val="center"/>
              <w:rPr>
                <w:bCs/>
                <w:color w:val="000000"/>
                <w:sz w:val="20"/>
                <w:szCs w:val="20"/>
              </w:rPr>
            </w:pPr>
            <w:r w:rsidRPr="003A0F59">
              <w:rPr>
                <w:bCs/>
                <w:color w:val="000000"/>
                <w:sz w:val="20"/>
                <w:szCs w:val="20"/>
              </w:rPr>
              <w:t>1.00</w:t>
            </w:r>
          </w:p>
        </w:tc>
        <w:tc>
          <w:tcPr>
            <w:tcW w:w="780" w:type="pct"/>
            <w:shd w:val="clear" w:color="auto" w:fill="auto"/>
            <w:noWrap/>
          </w:tcPr>
          <w:p w:rsidR="00B90CD9" w:rsidRPr="00661E10" w:rsidRDefault="00B90CD9" w:rsidP="00B90CD9">
            <w:pPr>
              <w:jc w:val="center"/>
              <w:rPr>
                <w:bCs/>
                <w:color w:val="000000"/>
                <w:sz w:val="20"/>
                <w:szCs w:val="20"/>
              </w:rPr>
            </w:pPr>
            <w:r w:rsidRPr="003A0F59">
              <w:rPr>
                <w:sz w:val="20"/>
                <w:szCs w:val="20"/>
              </w:rPr>
              <w:t>1.00</w:t>
            </w:r>
          </w:p>
        </w:tc>
      </w:tr>
      <w:tr w:rsidR="00A874AC" w:rsidRPr="00661E10" w:rsidTr="008B5045">
        <w:trPr>
          <w:trHeight w:val="288"/>
        </w:trPr>
        <w:tc>
          <w:tcPr>
            <w:tcW w:w="800" w:type="pct"/>
            <w:vMerge w:val="restart"/>
            <w:shd w:val="clear" w:color="auto" w:fill="D2EAF1"/>
          </w:tcPr>
          <w:p w:rsidR="00B90CD9" w:rsidRPr="00661E10" w:rsidRDefault="00B90CD9" w:rsidP="00B90CD9">
            <w:pPr>
              <w:jc w:val="left"/>
              <w:rPr>
                <w:color w:val="000000"/>
                <w:sz w:val="20"/>
                <w:szCs w:val="20"/>
              </w:rPr>
            </w:pPr>
            <w:r w:rsidRPr="00661E10">
              <w:rPr>
                <w:sz w:val="20"/>
                <w:szCs w:val="20"/>
              </w:rPr>
              <w:t>Non-Residential</w:t>
            </w:r>
          </w:p>
        </w:tc>
        <w:tc>
          <w:tcPr>
            <w:tcW w:w="1859" w:type="pct"/>
            <w:shd w:val="clear" w:color="auto" w:fill="D2EAF1"/>
            <w:noWrap/>
          </w:tcPr>
          <w:p w:rsidR="00B90CD9" w:rsidRPr="00661E10" w:rsidRDefault="00B90CD9" w:rsidP="00B90CD9">
            <w:pPr>
              <w:jc w:val="left"/>
              <w:rPr>
                <w:sz w:val="20"/>
                <w:szCs w:val="20"/>
              </w:rPr>
            </w:pPr>
            <w:r w:rsidRPr="00661E10">
              <w:rPr>
                <w:sz w:val="20"/>
                <w:szCs w:val="20"/>
              </w:rPr>
              <w:t>Prescriptive Equipment Program</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0.75</w:t>
            </w:r>
          </w:p>
        </w:tc>
        <w:tc>
          <w:tcPr>
            <w:tcW w:w="780" w:type="pct"/>
            <w:shd w:val="clear" w:color="auto" w:fill="D2EAF1"/>
            <w:noWrap/>
          </w:tcPr>
          <w:p w:rsidR="00B90CD9" w:rsidRPr="00661E10" w:rsidRDefault="00B90CD9" w:rsidP="00B90CD9">
            <w:pPr>
              <w:jc w:val="center"/>
              <w:rPr>
                <w:bCs/>
                <w:color w:val="000000"/>
                <w:sz w:val="20"/>
                <w:szCs w:val="20"/>
              </w:rPr>
            </w:pPr>
            <w:r w:rsidRPr="003A0F59">
              <w:rPr>
                <w:sz w:val="20"/>
                <w:szCs w:val="20"/>
              </w:rPr>
              <w:t>0.74</w:t>
            </w:r>
          </w:p>
        </w:tc>
        <w:tc>
          <w:tcPr>
            <w:tcW w:w="780" w:type="pct"/>
            <w:shd w:val="clear" w:color="auto" w:fill="D2EAF1"/>
            <w:noWrap/>
          </w:tcPr>
          <w:p w:rsidR="00B90CD9" w:rsidRPr="00661E10" w:rsidRDefault="00B90CD9" w:rsidP="00B90CD9">
            <w:pPr>
              <w:jc w:val="center"/>
              <w:rPr>
                <w:bCs/>
                <w:color w:val="000000"/>
                <w:sz w:val="20"/>
                <w:szCs w:val="20"/>
              </w:rPr>
            </w:pPr>
            <w:r w:rsidRPr="003A0F59">
              <w:rPr>
                <w:sz w:val="20"/>
                <w:szCs w:val="20"/>
              </w:rPr>
              <w:t>0.77</w:t>
            </w:r>
          </w:p>
        </w:tc>
      </w:tr>
      <w:tr w:rsidR="00B90CD9" w:rsidRPr="00661E10" w:rsidTr="008B5045">
        <w:trPr>
          <w:trHeight w:val="288"/>
        </w:trPr>
        <w:tc>
          <w:tcPr>
            <w:tcW w:w="800" w:type="pct"/>
            <w:vMerge/>
            <w:shd w:val="clear" w:color="auto" w:fill="D2EAF1"/>
          </w:tcPr>
          <w:p w:rsidR="00B90CD9" w:rsidRPr="00661E10" w:rsidRDefault="00B90CD9" w:rsidP="00B90CD9">
            <w:pPr>
              <w:jc w:val="left"/>
              <w:rPr>
                <w:sz w:val="20"/>
                <w:szCs w:val="20"/>
              </w:rPr>
            </w:pPr>
          </w:p>
        </w:tc>
        <w:tc>
          <w:tcPr>
            <w:tcW w:w="1859" w:type="pct"/>
            <w:shd w:val="clear" w:color="auto" w:fill="auto"/>
            <w:noWrap/>
          </w:tcPr>
          <w:p w:rsidR="00B90CD9" w:rsidRPr="00661E10" w:rsidRDefault="00B90CD9" w:rsidP="00B90CD9">
            <w:pPr>
              <w:jc w:val="left"/>
              <w:rPr>
                <w:sz w:val="20"/>
                <w:szCs w:val="20"/>
              </w:rPr>
            </w:pPr>
            <w:r w:rsidRPr="00661E10">
              <w:rPr>
                <w:sz w:val="20"/>
                <w:szCs w:val="20"/>
              </w:rPr>
              <w:t>Custom Incentive Program</w:t>
            </w:r>
          </w:p>
        </w:tc>
        <w:tc>
          <w:tcPr>
            <w:tcW w:w="780" w:type="pct"/>
            <w:shd w:val="clear" w:color="auto" w:fill="auto"/>
            <w:noWrap/>
          </w:tcPr>
          <w:p w:rsidR="00B90CD9" w:rsidRPr="00661E10" w:rsidRDefault="00B90CD9" w:rsidP="00B90CD9">
            <w:pPr>
              <w:jc w:val="center"/>
              <w:rPr>
                <w:sz w:val="20"/>
                <w:szCs w:val="20"/>
              </w:rPr>
            </w:pPr>
            <w:r w:rsidRPr="003A0F59">
              <w:rPr>
                <w:sz w:val="20"/>
                <w:szCs w:val="20"/>
              </w:rPr>
              <w:t>0.55</w:t>
            </w:r>
          </w:p>
        </w:tc>
        <w:tc>
          <w:tcPr>
            <w:tcW w:w="780" w:type="pct"/>
            <w:shd w:val="clear" w:color="auto" w:fill="auto"/>
            <w:noWrap/>
          </w:tcPr>
          <w:p w:rsidR="00B90CD9" w:rsidRPr="00661E10" w:rsidRDefault="00B90CD9" w:rsidP="00B90CD9">
            <w:pPr>
              <w:jc w:val="center"/>
              <w:rPr>
                <w:sz w:val="20"/>
                <w:szCs w:val="20"/>
              </w:rPr>
            </w:pPr>
            <w:r w:rsidRPr="003A0F59">
              <w:rPr>
                <w:sz w:val="20"/>
                <w:szCs w:val="20"/>
              </w:rPr>
              <w:t>0.45</w:t>
            </w:r>
          </w:p>
        </w:tc>
        <w:tc>
          <w:tcPr>
            <w:tcW w:w="780" w:type="pct"/>
            <w:shd w:val="clear" w:color="auto" w:fill="auto"/>
            <w:noWrap/>
          </w:tcPr>
          <w:p w:rsidR="00B90CD9" w:rsidRPr="00661E10" w:rsidRDefault="00B90CD9" w:rsidP="00B90CD9">
            <w:pPr>
              <w:jc w:val="center"/>
              <w:rPr>
                <w:sz w:val="20"/>
                <w:szCs w:val="20"/>
              </w:rPr>
            </w:pPr>
            <w:r w:rsidRPr="003A0F59">
              <w:rPr>
                <w:sz w:val="20"/>
                <w:szCs w:val="20"/>
              </w:rPr>
              <w:t>0.61</w:t>
            </w:r>
          </w:p>
        </w:tc>
      </w:tr>
      <w:tr w:rsidR="00A874AC" w:rsidRPr="00661E10" w:rsidTr="008B5045">
        <w:trPr>
          <w:trHeight w:val="288"/>
        </w:trPr>
        <w:tc>
          <w:tcPr>
            <w:tcW w:w="800" w:type="pct"/>
            <w:vMerge/>
            <w:shd w:val="clear" w:color="auto" w:fill="D2EAF1"/>
          </w:tcPr>
          <w:p w:rsidR="00B90CD9" w:rsidRPr="00661E10" w:rsidRDefault="00B90CD9" w:rsidP="00B90CD9">
            <w:pPr>
              <w:jc w:val="left"/>
              <w:rPr>
                <w:sz w:val="20"/>
                <w:szCs w:val="20"/>
              </w:rPr>
            </w:pPr>
          </w:p>
        </w:tc>
        <w:tc>
          <w:tcPr>
            <w:tcW w:w="1859" w:type="pct"/>
            <w:shd w:val="clear" w:color="auto" w:fill="D2EAF1"/>
            <w:noWrap/>
          </w:tcPr>
          <w:p w:rsidR="00B90CD9" w:rsidRPr="00661E10" w:rsidRDefault="00B90CD9" w:rsidP="00B90CD9">
            <w:pPr>
              <w:jc w:val="left"/>
              <w:rPr>
                <w:sz w:val="20"/>
                <w:szCs w:val="20"/>
              </w:rPr>
            </w:pPr>
            <w:r w:rsidRPr="00661E10">
              <w:rPr>
                <w:sz w:val="20"/>
                <w:szCs w:val="20"/>
              </w:rPr>
              <w:t>School Benchmarking</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NS</w:t>
            </w:r>
            <w:r w:rsidRPr="003A0F59">
              <w:rPr>
                <w:sz w:val="20"/>
                <w:szCs w:val="20"/>
                <w:vertAlign w:val="superscript"/>
              </w:rPr>
              <w:t>[b]</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NS</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NS</w:t>
            </w:r>
          </w:p>
        </w:tc>
      </w:tr>
      <w:tr w:rsidR="00B90CD9" w:rsidRPr="00661E10" w:rsidTr="008B5045">
        <w:trPr>
          <w:trHeight w:val="288"/>
        </w:trPr>
        <w:tc>
          <w:tcPr>
            <w:tcW w:w="800" w:type="pct"/>
            <w:vMerge/>
            <w:shd w:val="clear" w:color="auto" w:fill="D2EAF1"/>
          </w:tcPr>
          <w:p w:rsidR="00B90CD9" w:rsidRPr="00661E10" w:rsidRDefault="00B90CD9" w:rsidP="00B90CD9">
            <w:pPr>
              <w:jc w:val="left"/>
              <w:rPr>
                <w:sz w:val="20"/>
                <w:szCs w:val="20"/>
              </w:rPr>
            </w:pPr>
          </w:p>
        </w:tc>
        <w:tc>
          <w:tcPr>
            <w:tcW w:w="1859" w:type="pct"/>
            <w:shd w:val="clear" w:color="auto" w:fill="auto"/>
            <w:noWrap/>
          </w:tcPr>
          <w:p w:rsidR="00B90CD9" w:rsidRPr="00661E10" w:rsidRDefault="00B90CD9" w:rsidP="00B90CD9">
            <w:pPr>
              <w:jc w:val="left"/>
              <w:rPr>
                <w:sz w:val="20"/>
                <w:szCs w:val="20"/>
              </w:rPr>
            </w:pPr>
            <w:r w:rsidRPr="00661E10">
              <w:rPr>
                <w:sz w:val="20"/>
                <w:szCs w:val="20"/>
              </w:rPr>
              <w:t>Master Metered Low-Income Multifamily (MMMF) Program</w:t>
            </w:r>
          </w:p>
        </w:tc>
        <w:tc>
          <w:tcPr>
            <w:tcW w:w="780" w:type="pct"/>
            <w:shd w:val="clear" w:color="auto" w:fill="auto"/>
            <w:noWrap/>
          </w:tcPr>
          <w:p w:rsidR="00B90CD9" w:rsidRPr="00661E10" w:rsidRDefault="00B90CD9" w:rsidP="00B90CD9">
            <w:pPr>
              <w:jc w:val="center"/>
              <w:rPr>
                <w:sz w:val="20"/>
                <w:szCs w:val="20"/>
              </w:rPr>
            </w:pPr>
            <w:r w:rsidRPr="003A0F59">
              <w:rPr>
                <w:sz w:val="20"/>
                <w:szCs w:val="20"/>
              </w:rPr>
              <w:t>0.77</w:t>
            </w:r>
          </w:p>
        </w:tc>
        <w:tc>
          <w:tcPr>
            <w:tcW w:w="780" w:type="pct"/>
            <w:shd w:val="clear" w:color="auto" w:fill="auto"/>
            <w:noWrap/>
          </w:tcPr>
          <w:p w:rsidR="00B90CD9" w:rsidRPr="00661E10" w:rsidRDefault="00B90CD9" w:rsidP="00B90CD9">
            <w:pPr>
              <w:jc w:val="center"/>
              <w:rPr>
                <w:bCs/>
                <w:color w:val="000000"/>
                <w:sz w:val="20"/>
                <w:szCs w:val="20"/>
              </w:rPr>
            </w:pPr>
            <w:r w:rsidRPr="003A0F59">
              <w:rPr>
                <w:sz w:val="20"/>
                <w:szCs w:val="20"/>
              </w:rPr>
              <w:t>0.86</w:t>
            </w:r>
          </w:p>
        </w:tc>
        <w:tc>
          <w:tcPr>
            <w:tcW w:w="780" w:type="pct"/>
            <w:shd w:val="clear" w:color="auto" w:fill="auto"/>
            <w:noWrap/>
          </w:tcPr>
          <w:p w:rsidR="00B90CD9" w:rsidRPr="00661E10" w:rsidRDefault="00B90CD9" w:rsidP="00B90CD9">
            <w:pPr>
              <w:jc w:val="center"/>
              <w:rPr>
                <w:sz w:val="20"/>
                <w:szCs w:val="20"/>
              </w:rPr>
            </w:pPr>
            <w:r w:rsidRPr="003A0F59">
              <w:rPr>
                <w:sz w:val="20"/>
                <w:szCs w:val="20"/>
              </w:rPr>
              <w:t>*</w:t>
            </w:r>
          </w:p>
        </w:tc>
      </w:tr>
      <w:tr w:rsidR="00A874AC" w:rsidRPr="00661E10" w:rsidTr="008B5045">
        <w:trPr>
          <w:trHeight w:val="288"/>
        </w:trPr>
        <w:tc>
          <w:tcPr>
            <w:tcW w:w="800" w:type="pct"/>
            <w:vMerge/>
            <w:shd w:val="clear" w:color="auto" w:fill="D2EAF1"/>
          </w:tcPr>
          <w:p w:rsidR="00B90CD9" w:rsidRPr="00661E10" w:rsidRDefault="00B90CD9" w:rsidP="00B90CD9">
            <w:pPr>
              <w:jc w:val="left"/>
              <w:rPr>
                <w:sz w:val="20"/>
                <w:szCs w:val="20"/>
              </w:rPr>
            </w:pPr>
          </w:p>
        </w:tc>
        <w:tc>
          <w:tcPr>
            <w:tcW w:w="1859" w:type="pct"/>
            <w:shd w:val="clear" w:color="auto" w:fill="D2EAF1"/>
            <w:noWrap/>
          </w:tcPr>
          <w:p w:rsidR="00B90CD9" w:rsidRPr="00661E10" w:rsidRDefault="00B90CD9" w:rsidP="00B90CD9">
            <w:pPr>
              <w:jc w:val="left"/>
              <w:rPr>
                <w:sz w:val="20"/>
                <w:szCs w:val="20"/>
              </w:rPr>
            </w:pPr>
            <w:r w:rsidRPr="00661E10">
              <w:rPr>
                <w:sz w:val="20"/>
                <w:szCs w:val="20"/>
              </w:rPr>
              <w:t>Continuous Energy Improvement (CEI) Program</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N/A</w:t>
            </w:r>
          </w:p>
        </w:tc>
        <w:tc>
          <w:tcPr>
            <w:tcW w:w="780" w:type="pct"/>
            <w:shd w:val="clear" w:color="auto" w:fill="D2EAF1"/>
            <w:noWrap/>
          </w:tcPr>
          <w:p w:rsidR="00B90CD9" w:rsidRPr="00661E10" w:rsidRDefault="00B90CD9" w:rsidP="00B90CD9">
            <w:pPr>
              <w:jc w:val="center"/>
              <w:rPr>
                <w:bCs/>
                <w:color w:val="000000"/>
                <w:sz w:val="20"/>
                <w:szCs w:val="20"/>
              </w:rPr>
            </w:pPr>
            <w:r w:rsidRPr="003A0F59">
              <w:rPr>
                <w:sz w:val="20"/>
                <w:szCs w:val="20"/>
              </w:rPr>
              <w:t>1.00</w:t>
            </w:r>
          </w:p>
        </w:tc>
        <w:tc>
          <w:tcPr>
            <w:tcW w:w="780" w:type="pct"/>
            <w:shd w:val="clear" w:color="auto" w:fill="D2EAF1"/>
            <w:noWrap/>
          </w:tcPr>
          <w:p w:rsidR="00B90CD9" w:rsidRPr="00661E10" w:rsidRDefault="00B90CD9" w:rsidP="00B90CD9">
            <w:pPr>
              <w:jc w:val="center"/>
              <w:rPr>
                <w:sz w:val="20"/>
                <w:szCs w:val="20"/>
              </w:rPr>
            </w:pPr>
            <w:r w:rsidRPr="003A0F59">
              <w:rPr>
                <w:sz w:val="20"/>
                <w:szCs w:val="20"/>
              </w:rPr>
              <w:t>1.00</w:t>
            </w:r>
          </w:p>
        </w:tc>
      </w:tr>
      <w:tr w:rsidR="00B90CD9" w:rsidRPr="00661E10" w:rsidTr="008B5045">
        <w:trPr>
          <w:trHeight w:val="288"/>
        </w:trPr>
        <w:tc>
          <w:tcPr>
            <w:tcW w:w="2659" w:type="pct"/>
            <w:gridSpan w:val="2"/>
            <w:shd w:val="clear" w:color="auto" w:fill="auto"/>
          </w:tcPr>
          <w:p w:rsidR="00B90CD9" w:rsidRPr="00661E10" w:rsidRDefault="00B90CD9" w:rsidP="00B90CD9">
            <w:pPr>
              <w:jc w:val="center"/>
              <w:rPr>
                <w:b/>
                <w:sz w:val="20"/>
                <w:szCs w:val="20"/>
              </w:rPr>
            </w:pPr>
            <w:r w:rsidRPr="00661E10">
              <w:rPr>
                <w:b/>
                <w:color w:val="000000"/>
                <w:sz w:val="20"/>
                <w:szCs w:val="20"/>
              </w:rPr>
              <w:t>Portfolio</w:t>
            </w:r>
          </w:p>
        </w:tc>
        <w:tc>
          <w:tcPr>
            <w:tcW w:w="780" w:type="pct"/>
            <w:shd w:val="clear" w:color="auto" w:fill="auto"/>
            <w:noWrap/>
          </w:tcPr>
          <w:p w:rsidR="00B90CD9" w:rsidRPr="00661E10" w:rsidRDefault="00B90CD9" w:rsidP="00B90CD9">
            <w:pPr>
              <w:jc w:val="center"/>
              <w:rPr>
                <w:b/>
                <w:bCs/>
                <w:color w:val="000000"/>
                <w:sz w:val="20"/>
                <w:szCs w:val="20"/>
              </w:rPr>
            </w:pPr>
            <w:r w:rsidRPr="00661E10">
              <w:rPr>
                <w:b/>
                <w:bCs/>
                <w:color w:val="000000"/>
                <w:sz w:val="20"/>
                <w:szCs w:val="20"/>
              </w:rPr>
              <w:t>0.79</w:t>
            </w:r>
          </w:p>
        </w:tc>
        <w:tc>
          <w:tcPr>
            <w:tcW w:w="780" w:type="pct"/>
            <w:shd w:val="clear" w:color="auto" w:fill="auto"/>
            <w:noWrap/>
          </w:tcPr>
          <w:p w:rsidR="00B90CD9" w:rsidRPr="00661E10" w:rsidRDefault="00B90CD9" w:rsidP="00B90CD9">
            <w:pPr>
              <w:jc w:val="center"/>
              <w:rPr>
                <w:b/>
                <w:bCs/>
                <w:color w:val="000000"/>
                <w:sz w:val="20"/>
                <w:szCs w:val="20"/>
              </w:rPr>
            </w:pPr>
            <w:r w:rsidRPr="003A0F59">
              <w:rPr>
                <w:b/>
                <w:bCs/>
                <w:color w:val="000000"/>
                <w:sz w:val="20"/>
                <w:szCs w:val="20"/>
              </w:rPr>
              <w:t>0.79</w:t>
            </w:r>
          </w:p>
        </w:tc>
        <w:tc>
          <w:tcPr>
            <w:tcW w:w="780" w:type="pct"/>
            <w:shd w:val="clear" w:color="auto" w:fill="auto"/>
            <w:noWrap/>
          </w:tcPr>
          <w:p w:rsidR="00B90CD9" w:rsidRPr="00661E10" w:rsidRDefault="00B90CD9" w:rsidP="00B90CD9">
            <w:pPr>
              <w:jc w:val="center"/>
              <w:rPr>
                <w:b/>
                <w:sz w:val="20"/>
                <w:szCs w:val="20"/>
              </w:rPr>
            </w:pPr>
            <w:r w:rsidRPr="003A0F59">
              <w:rPr>
                <w:b/>
                <w:sz w:val="20"/>
                <w:szCs w:val="20"/>
              </w:rPr>
              <w:t>0.71</w:t>
            </w:r>
          </w:p>
        </w:tc>
      </w:tr>
      <w:tr w:rsidR="00E7173E" w:rsidRPr="00661E10" w:rsidTr="008B5045">
        <w:trPr>
          <w:trHeight w:val="288"/>
        </w:trPr>
        <w:tc>
          <w:tcPr>
            <w:tcW w:w="5000" w:type="pct"/>
            <w:gridSpan w:val="5"/>
            <w:shd w:val="clear" w:color="auto" w:fill="448A99"/>
          </w:tcPr>
          <w:p w:rsidR="00661E10" w:rsidRPr="00661E10" w:rsidRDefault="00630371" w:rsidP="00661E10">
            <w:pPr>
              <w:jc w:val="left"/>
              <w:rPr>
                <w:color w:val="FFFFFF" w:themeColor="background1"/>
                <w:sz w:val="18"/>
                <w:szCs w:val="20"/>
              </w:rPr>
            </w:pPr>
            <w:r>
              <w:rPr>
                <w:color w:val="FFFFFF" w:themeColor="background1"/>
                <w:sz w:val="18"/>
                <w:szCs w:val="20"/>
              </w:rPr>
              <w:t>NOTES:</w:t>
            </w:r>
          </w:p>
          <w:p w:rsidR="00B90CD9" w:rsidRDefault="00661E10" w:rsidP="00661E10">
            <w:pPr>
              <w:jc w:val="left"/>
              <w:rPr>
                <w:color w:val="FFFFFF" w:themeColor="background1"/>
                <w:sz w:val="18"/>
                <w:szCs w:val="20"/>
              </w:rPr>
            </w:pPr>
            <w:r w:rsidRPr="00ED5AFA">
              <w:rPr>
                <w:color w:val="FFFFFF" w:themeColor="background1"/>
                <w:sz w:val="18"/>
                <w:szCs w:val="18"/>
                <w:vertAlign w:val="superscript"/>
              </w:rPr>
              <w:t>[a]</w:t>
            </w:r>
            <w:r w:rsidRPr="00661E10">
              <w:rPr>
                <w:color w:val="FFFFFF" w:themeColor="background1"/>
                <w:sz w:val="18"/>
                <w:szCs w:val="20"/>
              </w:rPr>
              <w:t xml:space="preserve"> Cadmus reported equipment (NTGR</w:t>
            </w:r>
            <w:r w:rsidR="00630371">
              <w:rPr>
                <w:color w:val="FFFFFF" w:themeColor="background1"/>
                <w:sz w:val="18"/>
                <w:szCs w:val="20"/>
              </w:rPr>
              <w:t xml:space="preserve"> </w:t>
            </w:r>
            <w:r w:rsidRPr="00661E10">
              <w:rPr>
                <w:color w:val="FFFFFF" w:themeColor="background1"/>
                <w:sz w:val="18"/>
                <w:szCs w:val="20"/>
              </w:rPr>
              <w:t>=</w:t>
            </w:r>
            <w:r w:rsidR="00630371">
              <w:rPr>
                <w:color w:val="FFFFFF" w:themeColor="background1"/>
                <w:sz w:val="18"/>
                <w:szCs w:val="20"/>
              </w:rPr>
              <w:t xml:space="preserve"> </w:t>
            </w:r>
            <w:r w:rsidRPr="00661E10">
              <w:rPr>
                <w:color w:val="FFFFFF" w:themeColor="background1"/>
                <w:sz w:val="18"/>
                <w:szCs w:val="20"/>
              </w:rPr>
              <w:t>0.57) and upstream lighting (NTGR</w:t>
            </w:r>
            <w:r w:rsidR="00630371">
              <w:rPr>
                <w:color w:val="FFFFFF" w:themeColor="background1"/>
                <w:sz w:val="18"/>
                <w:szCs w:val="20"/>
              </w:rPr>
              <w:t xml:space="preserve"> </w:t>
            </w:r>
            <w:r w:rsidRPr="00661E10">
              <w:rPr>
                <w:color w:val="FFFFFF" w:themeColor="background1"/>
                <w:sz w:val="18"/>
                <w:szCs w:val="20"/>
              </w:rPr>
              <w:t>=</w:t>
            </w:r>
            <w:r w:rsidR="00630371">
              <w:rPr>
                <w:color w:val="FFFFFF" w:themeColor="background1"/>
                <w:sz w:val="18"/>
                <w:szCs w:val="20"/>
              </w:rPr>
              <w:t xml:space="preserve"> </w:t>
            </w:r>
            <w:r w:rsidRPr="00661E10">
              <w:rPr>
                <w:color w:val="FFFFFF" w:themeColor="background1"/>
                <w:sz w:val="18"/>
                <w:szCs w:val="20"/>
              </w:rPr>
              <w:t>0.84) separately in PY5.</w:t>
            </w:r>
          </w:p>
          <w:p w:rsidR="00661E10" w:rsidRPr="00661E10" w:rsidRDefault="00B90CD9" w:rsidP="00661E10">
            <w:pPr>
              <w:jc w:val="left"/>
              <w:rPr>
                <w:color w:val="FFFFFF" w:themeColor="background1"/>
                <w:sz w:val="18"/>
                <w:szCs w:val="20"/>
              </w:rPr>
            </w:pPr>
            <w:r w:rsidRPr="003A0F59">
              <w:rPr>
                <w:bCs/>
                <w:color w:val="FFFFFF"/>
                <w:sz w:val="18"/>
                <w:szCs w:val="20"/>
                <w:vertAlign w:val="superscript"/>
              </w:rPr>
              <w:t>[b]</w:t>
            </w:r>
            <w:r w:rsidRPr="003A0F59">
              <w:rPr>
                <w:bCs/>
                <w:color w:val="FFFFFF"/>
                <w:sz w:val="18"/>
                <w:szCs w:val="20"/>
              </w:rPr>
              <w:t xml:space="preserve"> NS denotes programs for which no savings are claimed.</w:t>
            </w:r>
          </w:p>
          <w:p w:rsidR="00661E10" w:rsidRPr="00661E10" w:rsidRDefault="00661E10" w:rsidP="00661E10">
            <w:pPr>
              <w:jc w:val="left"/>
              <w:rPr>
                <w:color w:val="FFFFFF" w:themeColor="background1"/>
                <w:sz w:val="18"/>
                <w:szCs w:val="20"/>
              </w:rPr>
            </w:pPr>
            <w:r w:rsidRPr="00661E10">
              <w:rPr>
                <w:color w:val="FFFFFF" w:themeColor="background1"/>
                <w:sz w:val="18"/>
                <w:szCs w:val="20"/>
              </w:rPr>
              <w:t>* Denotes programs/NTGRs that were not included in a given annual report.</w:t>
            </w:r>
          </w:p>
        </w:tc>
      </w:tr>
    </w:tbl>
    <w:p w:rsidR="00FB4D74" w:rsidRPr="00FB4D74" w:rsidRDefault="00FB4D74" w:rsidP="00FB4D74"/>
    <w:p w:rsidR="00D40FF6" w:rsidRDefault="00D40FF6" w:rsidP="00472B27">
      <w:pPr>
        <w:pStyle w:val="Heading2"/>
      </w:pPr>
      <w:bookmarkStart w:id="431" w:name="_Toc472472134"/>
      <w:bookmarkStart w:id="432" w:name="_Toc476913948"/>
      <w:r>
        <w:t>Best Practices and Lessons Learned</w:t>
      </w:r>
      <w:bookmarkEnd w:id="431"/>
      <w:bookmarkEnd w:id="432"/>
      <w:r w:rsidRPr="00D40FF6">
        <w:t xml:space="preserve"> </w:t>
      </w:r>
    </w:p>
    <w:p w:rsidR="00215243" w:rsidRPr="008A5E9E" w:rsidRDefault="00215243" w:rsidP="00215243">
      <w:pPr>
        <w:pStyle w:val="Heading3"/>
        <w:spacing w:after="0"/>
      </w:pPr>
      <w:bookmarkStart w:id="433" w:name="_Toc472472135"/>
      <w:bookmarkStart w:id="434" w:name="_Toc476913949"/>
      <w:r w:rsidRPr="008A5E9E">
        <w:t>Evaluation, Measurement, and Verification Best Practices</w:t>
      </w:r>
      <w:bookmarkEnd w:id="433"/>
      <w:bookmarkEnd w:id="434"/>
    </w:p>
    <w:p w:rsidR="00215243" w:rsidRPr="00FB6015" w:rsidRDefault="00215243" w:rsidP="00215243">
      <w:r>
        <w:t>During Phase II t</w:t>
      </w:r>
      <w:r w:rsidRPr="00FB6015">
        <w:t>he SWE Team continued to search for and identify EM&amp;V best practices from across the United States that could be implemented in Pennsylvania. The following sections discuss examples of such best practices that the SWE Team has identified and that are now in place either</w:t>
      </w:r>
      <w:r>
        <w:t xml:space="preserve"> in</w:t>
      </w:r>
      <w:r w:rsidRPr="00FB6015">
        <w:t xml:space="preserve"> the SWE Evaluation Framework or the 2016 Pennsylvania TRM.</w:t>
      </w:r>
    </w:p>
    <w:p w:rsidR="00215243" w:rsidRPr="00FB6015" w:rsidRDefault="00215243" w:rsidP="00215243"/>
    <w:p w:rsidR="00215243" w:rsidRPr="008A5E9E" w:rsidRDefault="00215243" w:rsidP="00215243">
      <w:pPr>
        <w:pStyle w:val="Heading4"/>
        <w:rPr>
          <w:rFonts w:eastAsia="Calibri"/>
        </w:rPr>
      </w:pPr>
      <w:r w:rsidRPr="008A5E9E">
        <w:rPr>
          <w:rFonts w:eastAsia="Calibri"/>
        </w:rPr>
        <w:t>Department of Energy Uniform Method</w:t>
      </w:r>
      <w:r>
        <w:rPr>
          <w:rFonts w:eastAsia="Calibri"/>
        </w:rPr>
        <w:t>s</w:t>
      </w:r>
      <w:r w:rsidRPr="008A5E9E">
        <w:rPr>
          <w:rFonts w:eastAsia="Calibri"/>
        </w:rPr>
        <w:t xml:space="preserve"> Project Protocols</w:t>
      </w:r>
    </w:p>
    <w:p w:rsidR="00215243" w:rsidRPr="00FB6015" w:rsidRDefault="00215243" w:rsidP="00215243">
      <w:r w:rsidRPr="00FB6015">
        <w:t xml:space="preserve">The </w:t>
      </w:r>
      <w:r>
        <w:t>U.S.</w:t>
      </w:r>
      <w:r w:rsidRPr="00FB6015">
        <w:t xml:space="preserve"> DOE’s UMP</w:t>
      </w:r>
      <w:r w:rsidRPr="00FB6015">
        <w:rPr>
          <w:vertAlign w:val="superscript"/>
        </w:rPr>
        <w:footnoteReference w:id="26"/>
      </w:r>
      <w:r w:rsidRPr="00FB6015">
        <w:t xml:space="preserve"> develops M&amp;V protocols for evaluating program energy savings. The UMP includes all the major commercial and residential energy efficiency programs in the United S</w:t>
      </w:r>
      <w:r w:rsidR="00630371">
        <w:t>t</w:t>
      </w:r>
      <w:r w:rsidRPr="00FB6015">
        <w:t>ates. The DOE’s Office of Energy Efficiency and Renewable Energy leads the UMP, and the National Renewable Energy Laboratory manages the common components of the UMP. The protocols are developed with a combination of inputs from technical experts throughout the energy industry. Cadmus organizes this aspect of the project, and its goal is to promote the idea that using one specific M&amp;V protocol for calculating energy savings will increase the overall accuracy of reported savings.</w:t>
      </w:r>
      <w:r>
        <w:t xml:space="preserve"> The SWE Phase I and II project manager, Dick Spellman of GDS Associates, serves on the Technical Advisory Group that reviews new UMP protocols before they are finalized. </w:t>
      </w:r>
    </w:p>
    <w:p w:rsidR="00215243" w:rsidRPr="00FB6015" w:rsidRDefault="00215243" w:rsidP="00215243"/>
    <w:p w:rsidR="00215243" w:rsidRPr="00FB6015" w:rsidRDefault="00215243" w:rsidP="00215243">
      <w:r w:rsidRPr="00FB6015">
        <w:t>The SWE Team identified the UMP protocol for residential appliance recycling programs as one that should be adopted in Pennsylvania. It became evident that there was a need for a common approach among EDCs for determining free-ridership and net savings for appliance recycling programs. As a result, in PY5 the SWE</w:t>
      </w:r>
      <w:r>
        <w:t xml:space="preserve"> Team</w:t>
      </w:r>
      <w:r w:rsidRPr="00FB6015">
        <w:t xml:space="preserve"> issued</w:t>
      </w:r>
      <w:r>
        <w:t xml:space="preserve"> a guidance memo (</w:t>
      </w:r>
      <w:r w:rsidRPr="00FB6015">
        <w:t>GM-026</w:t>
      </w:r>
      <w:r>
        <w:t>)</w:t>
      </w:r>
      <w:r w:rsidRPr="00FB6015">
        <w:t xml:space="preserve"> </w:t>
      </w:r>
      <w:r>
        <w:t>that</w:t>
      </w:r>
      <w:r w:rsidRPr="00FB6015">
        <w:t xml:space="preserve"> incorporated the UMP protocol for determining free-ridership and net savings. It was then fully incorporated into the 2015 TRM as the protocol for determining both gross and net savings for residential refrigerator recycling.</w:t>
      </w:r>
    </w:p>
    <w:p w:rsidR="00215243" w:rsidRPr="00FB6015" w:rsidRDefault="00215243" w:rsidP="00215243"/>
    <w:p w:rsidR="00215243" w:rsidRDefault="00215243" w:rsidP="00215243">
      <w:r w:rsidRPr="00FB6015">
        <w:t>The UMP protocols for calculating savings for residential and commercial lighting recommend conducting metering studies to determine</w:t>
      </w:r>
      <w:r w:rsidR="006A3F1F">
        <w:t xml:space="preserve"> hours of use</w:t>
      </w:r>
      <w:r w:rsidRPr="00FB6015">
        <w:t xml:space="preserve"> </w:t>
      </w:r>
      <w:r w:rsidR="006A3F1F">
        <w:t>(</w:t>
      </w:r>
      <w:r w:rsidRPr="00FB6015">
        <w:t>HOUs</w:t>
      </w:r>
      <w:r w:rsidR="006A3F1F">
        <w:t>)</w:t>
      </w:r>
      <w:r w:rsidRPr="00FB6015">
        <w:t xml:space="preserve"> for such equipment. In following these guidelines, the SWE conducted comprehensive, Pennsylvania-specific residential and commercial lighting studies at the beginning of Phase II to collect HOU data for lighting. The HOU and</w:t>
      </w:r>
      <w:r w:rsidR="000073C3">
        <w:t xml:space="preserve"> coincidence factor (</w:t>
      </w:r>
      <w:r w:rsidRPr="00FB6015">
        <w:t>CF</w:t>
      </w:r>
      <w:r w:rsidR="000073C3">
        <w:t>)</w:t>
      </w:r>
      <w:r w:rsidRPr="00FB6015">
        <w:t xml:space="preserve"> results from these studies are now incorporated into the 2016 </w:t>
      </w:r>
      <w:r>
        <w:t>Pennsylvania</w:t>
      </w:r>
      <w:r w:rsidRPr="00FB6015">
        <w:t xml:space="preserve"> TRM.</w:t>
      </w:r>
    </w:p>
    <w:p w:rsidR="00215243" w:rsidRPr="00FB6015" w:rsidRDefault="00215243" w:rsidP="00215243">
      <w:r w:rsidRPr="00FB6015">
        <w:lastRenderedPageBreak/>
        <w:t>The SWE</w:t>
      </w:r>
      <w:r>
        <w:t xml:space="preserve"> Team</w:t>
      </w:r>
      <w:r w:rsidRPr="00FB6015">
        <w:t xml:space="preserve"> manages a Technical Working Group (TWG) to discuss and approve the inclusion of UMP protocols on a case-by-case basis. A thorough vetting of the applicability of each protocol for Pennsylvania is organized and accomplished by parties from the EDCs and their </w:t>
      </w:r>
      <w:r>
        <w:rPr>
          <w:color w:val="000000"/>
        </w:rPr>
        <w:t>evaluation contractors</w:t>
      </w:r>
      <w:r w:rsidRPr="00FB6015">
        <w:t xml:space="preserve">, the TUS, and members of the SWE Team. All protocols are opened to public comment before incorporation into the </w:t>
      </w:r>
      <w:r>
        <w:t xml:space="preserve">Pennsylvania </w:t>
      </w:r>
      <w:r w:rsidRPr="00FB6015">
        <w:t>TRM.</w:t>
      </w:r>
    </w:p>
    <w:p w:rsidR="00215243" w:rsidRPr="00FB6015" w:rsidRDefault="00215243" w:rsidP="00215243"/>
    <w:p w:rsidR="00215243" w:rsidRPr="008A5E9E" w:rsidRDefault="00215243" w:rsidP="00215243">
      <w:pPr>
        <w:pStyle w:val="Heading4"/>
        <w:rPr>
          <w:rFonts w:eastAsia="Calibri"/>
        </w:rPr>
      </w:pPr>
      <w:r w:rsidRPr="008A5E9E">
        <w:rPr>
          <w:rFonts w:eastAsia="Calibri"/>
        </w:rPr>
        <w:t>Net-to-Gross Protocols</w:t>
      </w:r>
    </w:p>
    <w:p w:rsidR="00215243" w:rsidRPr="00FB6015" w:rsidRDefault="00215243" w:rsidP="00215243">
      <w:r w:rsidRPr="00FB6015">
        <w:t xml:space="preserve">The </w:t>
      </w:r>
      <w:r>
        <w:t xml:space="preserve">Phase II </w:t>
      </w:r>
      <w:r w:rsidRPr="00FB6015">
        <w:t>SWE Team worked with the Pennsylvania NTG TWG to identify and develop best practices for developing NTG</w:t>
      </w:r>
      <w:r>
        <w:t>Rs</w:t>
      </w:r>
      <w:r w:rsidRPr="00FB6015">
        <w:t xml:space="preserve"> for different types of energy efficiency programs. The SWE Team emphasized that the lack of a common approach would lead to different NTG</w:t>
      </w:r>
      <w:r>
        <w:t>R</w:t>
      </w:r>
      <w:r w:rsidRPr="00FB6015">
        <w:t xml:space="preserve">s, and thus the group concentrated on discussing the pros and cons of different protocols from other states and the viability of measure-level assessments for Phase III. </w:t>
      </w:r>
    </w:p>
    <w:p w:rsidR="00215243" w:rsidRPr="00FB6015" w:rsidRDefault="00215243" w:rsidP="00215243"/>
    <w:p w:rsidR="00215243" w:rsidRPr="00FB6015" w:rsidRDefault="00215243" w:rsidP="00215243">
      <w:r w:rsidRPr="00FB6015">
        <w:t xml:space="preserve">This NTG protocol has been adopted by the TWG, and EDCs </w:t>
      </w:r>
      <w:r>
        <w:t>used</w:t>
      </w:r>
      <w:r w:rsidRPr="00FB6015">
        <w:t xml:space="preserve"> this NTG protocol in Phase II EM&amp;V plans. The SWE</w:t>
      </w:r>
      <w:r>
        <w:t xml:space="preserve"> Team</w:t>
      </w:r>
      <w:r w:rsidRPr="00FB6015">
        <w:t xml:space="preserve"> also determined that the TWG</w:t>
      </w:r>
      <w:r>
        <w:t xml:space="preserve"> is</w:t>
      </w:r>
      <w:r w:rsidRPr="00FB6015">
        <w:t xml:space="preserve"> a beneficial source of feedback from the EDCs on NTG issues and should be an integral part of the planning process. </w:t>
      </w:r>
    </w:p>
    <w:p w:rsidR="00215243" w:rsidRPr="00FB6015" w:rsidRDefault="00215243" w:rsidP="00215243">
      <w:r w:rsidRPr="00FB6015">
        <w:t xml:space="preserve"> </w:t>
      </w:r>
    </w:p>
    <w:p w:rsidR="00215243" w:rsidRPr="008A5E9E" w:rsidRDefault="00215243" w:rsidP="00215243">
      <w:pPr>
        <w:pStyle w:val="Heading4"/>
        <w:rPr>
          <w:rFonts w:eastAsia="Calibri"/>
        </w:rPr>
      </w:pPr>
      <w:r w:rsidRPr="008A5E9E">
        <w:rPr>
          <w:rFonts w:eastAsia="Calibri"/>
        </w:rPr>
        <w:t>Residential Site</w:t>
      </w:r>
      <w:r>
        <w:rPr>
          <w:rFonts w:eastAsia="Calibri"/>
        </w:rPr>
        <w:t>-</w:t>
      </w:r>
      <w:r w:rsidRPr="008A5E9E">
        <w:rPr>
          <w:rFonts w:eastAsia="Calibri"/>
        </w:rPr>
        <w:t>Inspection Protocols</w:t>
      </w:r>
    </w:p>
    <w:p w:rsidR="00215243" w:rsidRPr="008A5E9E" w:rsidRDefault="00215243" w:rsidP="00215243">
      <w:pPr>
        <w:rPr>
          <w:highlight w:val="lightGray"/>
        </w:rPr>
      </w:pPr>
      <w:r w:rsidRPr="00FB6015">
        <w:t xml:space="preserve">The </w:t>
      </w:r>
      <w:r>
        <w:t xml:space="preserve">Phase II </w:t>
      </w:r>
      <w:r w:rsidRPr="00FB6015">
        <w:t xml:space="preserve">SWE identified best practices for making better use of residential on-site inspection results collected by EDCs, EDC implementation contractors, or EDC evaluation contractors. During Phase II the SWE has significantly clarified how EDCs are to collect and report the results of such EDC-sponsored residential on-site inspections. During Phase I the results of such inspections were not routinely collected into a central EDC database, and during Phase I EDCs could not readily provide statistics to the SWE on the percentage of inspections conducted that showed discrepancies. Additionally, the SWE conducted its own independent site visits, the results of which were not statistically significant and which potentially duplicated the EDC </w:t>
      </w:r>
      <w:r>
        <w:rPr>
          <w:color w:val="000000"/>
        </w:rPr>
        <w:t>evaluation contractors’</w:t>
      </w:r>
      <w:r w:rsidRPr="00D85274">
        <w:rPr>
          <w:color w:val="000000"/>
        </w:rPr>
        <w:t xml:space="preserve"> </w:t>
      </w:r>
      <w:r w:rsidRPr="00FB6015">
        <w:t>visits. Now the SWE has more transparent data</w:t>
      </w:r>
      <w:r>
        <w:t xml:space="preserve"> provided by the EDCs</w:t>
      </w:r>
      <w:r w:rsidRPr="00FB6015">
        <w:t xml:space="preserve"> on the number and percentage of EDC inspections where equipment is reported as being installed or not installed, along with other discrepancies.</w:t>
      </w:r>
      <w:r>
        <w:rPr>
          <w:rStyle w:val="FootnoteReference"/>
        </w:rPr>
        <w:footnoteReference w:id="27"/>
      </w:r>
      <w:r w:rsidRPr="00FB6015">
        <w:t xml:space="preserve"> Therefore, the SWE is focusing its resources on reviewing the results gleaned from the extensive </w:t>
      </w:r>
      <w:r>
        <w:t>on-</w:t>
      </w:r>
      <w:r w:rsidRPr="00FB6015">
        <w:t xml:space="preserve">site visits already being performed </w:t>
      </w:r>
      <w:r>
        <w:t>by the EDCs and their implementation contractors or evaluation contractors</w:t>
      </w:r>
      <w:r w:rsidRPr="00FB6015">
        <w:t>.</w:t>
      </w:r>
    </w:p>
    <w:p w:rsidR="00215243" w:rsidRDefault="00215243" w:rsidP="00215243">
      <w:pPr>
        <w:pStyle w:val="AppendixFHeading2"/>
        <w:numPr>
          <w:ilvl w:val="0"/>
          <w:numId w:val="0"/>
        </w:numPr>
        <w:rPr>
          <w:rFonts w:ascii="Calibri" w:hAnsi="Calibri"/>
          <w:b w:val="0"/>
          <w:color w:val="auto"/>
        </w:rPr>
      </w:pPr>
    </w:p>
    <w:p w:rsidR="00215243" w:rsidRPr="008A5E9E" w:rsidRDefault="00215243" w:rsidP="00215243">
      <w:pPr>
        <w:pStyle w:val="Heading4"/>
        <w:rPr>
          <w:rFonts w:eastAsia="Calibri"/>
        </w:rPr>
      </w:pPr>
      <w:r w:rsidRPr="008A5E9E">
        <w:rPr>
          <w:rFonts w:eastAsia="Calibri"/>
        </w:rPr>
        <w:t>Lighting Audit Tool</w:t>
      </w:r>
    </w:p>
    <w:p w:rsidR="00215243" w:rsidRPr="00FB6015" w:rsidRDefault="00215243" w:rsidP="00215243">
      <w:pPr>
        <w:rPr>
          <w:rFonts w:cs="Calibri"/>
        </w:rPr>
      </w:pPr>
      <w:r w:rsidRPr="00FB6015">
        <w:rPr>
          <w:rFonts w:cs="Calibri"/>
        </w:rPr>
        <w:t xml:space="preserve">A significant update was made to the TRM Appendix C </w:t>
      </w:r>
      <w:r>
        <w:rPr>
          <w:rFonts w:cs="Calibri"/>
        </w:rPr>
        <w:t>l</w:t>
      </w:r>
      <w:r w:rsidRPr="00FB6015">
        <w:rPr>
          <w:rFonts w:cs="Calibri"/>
        </w:rPr>
        <w:t xml:space="preserve">ighting </w:t>
      </w:r>
      <w:r>
        <w:rPr>
          <w:rFonts w:cs="Calibri"/>
        </w:rPr>
        <w:t>c</w:t>
      </w:r>
      <w:r w:rsidRPr="00FB6015">
        <w:rPr>
          <w:rFonts w:cs="Calibri"/>
        </w:rPr>
        <w:t xml:space="preserve">alculator during PY6 based on numerous industry best practices as well as feedback from the EDCs and their </w:t>
      </w:r>
      <w:r>
        <w:rPr>
          <w:color w:val="000000"/>
        </w:rPr>
        <w:t>evaluation contractors</w:t>
      </w:r>
      <w:r w:rsidRPr="00FB6015">
        <w:rPr>
          <w:rFonts w:cs="Calibri"/>
        </w:rPr>
        <w:t>. The</w:t>
      </w:r>
      <w:r>
        <w:rPr>
          <w:rFonts w:cs="Calibri"/>
        </w:rPr>
        <w:t>se</w:t>
      </w:r>
      <w:r w:rsidRPr="00FB6015">
        <w:rPr>
          <w:rFonts w:cs="Calibri"/>
        </w:rPr>
        <w:t xml:space="preserve"> modifications help</w:t>
      </w:r>
      <w:r>
        <w:rPr>
          <w:rFonts w:cs="Calibri"/>
        </w:rPr>
        <w:t>ed</w:t>
      </w:r>
      <w:r w:rsidRPr="00FB6015">
        <w:rPr>
          <w:rFonts w:cs="Calibri"/>
        </w:rPr>
        <w:t xml:space="preserve"> address the dual baseline issue encountered during some lighting retrofits and how to account for the savings in a concise manner.</w:t>
      </w:r>
    </w:p>
    <w:p w:rsidR="00215243" w:rsidRDefault="00215243" w:rsidP="00215243">
      <w:pPr>
        <w:pStyle w:val="AppendixFHeading2"/>
        <w:numPr>
          <w:ilvl w:val="0"/>
          <w:numId w:val="0"/>
        </w:numPr>
        <w:rPr>
          <w:rFonts w:ascii="Calibri" w:hAnsi="Calibri"/>
          <w:b w:val="0"/>
          <w:color w:val="auto"/>
        </w:rPr>
      </w:pPr>
    </w:p>
    <w:p w:rsidR="00215243" w:rsidRPr="008A5E9E" w:rsidRDefault="00215243" w:rsidP="00215243">
      <w:pPr>
        <w:pStyle w:val="Heading4"/>
        <w:rPr>
          <w:rFonts w:eastAsia="Calibri"/>
        </w:rPr>
      </w:pPr>
      <w:r w:rsidRPr="008A5E9E">
        <w:rPr>
          <w:rFonts w:eastAsia="Calibri"/>
        </w:rPr>
        <w:t>Demand Response Protocols</w:t>
      </w:r>
    </w:p>
    <w:p w:rsidR="00215243" w:rsidRPr="008A5E9E" w:rsidRDefault="00215243" w:rsidP="00215243">
      <w:pPr>
        <w:rPr>
          <w:rFonts w:eastAsia="MS Gothic"/>
        </w:rPr>
      </w:pPr>
      <w:r w:rsidRPr="008A5E9E">
        <w:rPr>
          <w:rFonts w:eastAsia="MS Gothic"/>
        </w:rPr>
        <w:t xml:space="preserve">Phase III of Act 129 includes goals for peak demand reduction through demand response. In order to consistently govern and determine savings for these programs, the SWE drafted both residential and commercial demand response measures that are included in the 2016 TRM. As foundations for these protocols, the SWE used existing guidelines established by the PJM </w:t>
      </w:r>
      <w:r>
        <w:rPr>
          <w:rFonts w:eastAsia="MS Gothic"/>
        </w:rPr>
        <w:t>Interconnection, LLC,</w:t>
      </w:r>
      <w:r w:rsidRPr="008A5E9E">
        <w:rPr>
          <w:rFonts w:eastAsia="MS Gothic"/>
        </w:rPr>
        <w:t xml:space="preserve"> regional transmission organization. PJM’s long-standing and constantly updated guidelines for estimating savings attributed to demand response are industry standard and serve as a best practice for these types of </w:t>
      </w:r>
      <w:r w:rsidRPr="008A5E9E">
        <w:rPr>
          <w:rFonts w:eastAsia="MS Gothic"/>
        </w:rPr>
        <w:lastRenderedPageBreak/>
        <w:t xml:space="preserve">programs. For residential programs, the SWE built the protocol </w:t>
      </w:r>
      <w:r w:rsidR="00AF6D8F">
        <w:rPr>
          <w:rFonts w:eastAsia="MS Gothic"/>
        </w:rPr>
        <w:t>using</w:t>
      </w:r>
      <w:r w:rsidRPr="008A5E9E">
        <w:rPr>
          <w:rFonts w:eastAsia="MS Gothic"/>
        </w:rPr>
        <w:t xml:space="preserve"> PJM Manual 19, which governs load forecasting and analysis. For C/I programs, the SWE built the protocol </w:t>
      </w:r>
      <w:r w:rsidR="00AF6D8F">
        <w:rPr>
          <w:rFonts w:eastAsia="MS Gothic"/>
        </w:rPr>
        <w:t>using</w:t>
      </w:r>
      <w:r w:rsidRPr="008A5E9E">
        <w:rPr>
          <w:rFonts w:eastAsia="MS Gothic"/>
        </w:rPr>
        <w:t xml:space="preserve"> PJM Manual 11.</w:t>
      </w:r>
    </w:p>
    <w:p w:rsidR="00215243" w:rsidRPr="008A5E9E" w:rsidRDefault="00215243" w:rsidP="00215243">
      <w:pPr>
        <w:rPr>
          <w:rFonts w:eastAsia="MS Gothic"/>
        </w:rPr>
      </w:pPr>
    </w:p>
    <w:p w:rsidR="00215243" w:rsidRPr="008A5E9E" w:rsidRDefault="00215243" w:rsidP="00215243">
      <w:pPr>
        <w:pStyle w:val="Heading4"/>
        <w:rPr>
          <w:rFonts w:eastAsia="Calibri"/>
        </w:rPr>
      </w:pPr>
      <w:r w:rsidRPr="008A5E9E">
        <w:rPr>
          <w:rFonts w:eastAsia="Calibri"/>
        </w:rPr>
        <w:t>Best Practices Workshop</w:t>
      </w:r>
    </w:p>
    <w:p w:rsidR="00215243" w:rsidRDefault="00215243" w:rsidP="00215243">
      <w:r>
        <w:t>To assist EDCs and their evaluation contractors in planning and carrying out effective process evaluations, the SWE Team presented a workshop on best practices in process and market evaluations during the quarterly</w:t>
      </w:r>
      <w:r w:rsidR="000073C3">
        <w:t xml:space="preserve"> Program Evaluation Group</w:t>
      </w:r>
      <w:r>
        <w:t xml:space="preserve"> </w:t>
      </w:r>
      <w:r w:rsidR="000073C3">
        <w:t>(</w:t>
      </w:r>
      <w:r>
        <w:t>PEG</w:t>
      </w:r>
      <w:r w:rsidR="000073C3">
        <w:t>)</w:t>
      </w:r>
      <w:r>
        <w:t xml:space="preserve"> meeting held on June 20, 2014. In this workshop, the SWE Team identified four areas of best practice: design of the process evaluation, execution of the process evaluation, the process evaluation report, and the response to the report. </w:t>
      </w:r>
    </w:p>
    <w:p w:rsidR="00215243" w:rsidRDefault="00215243" w:rsidP="00215243"/>
    <w:p w:rsidR="00215243" w:rsidRDefault="00215243" w:rsidP="00215243">
      <w:r>
        <w:t>The SWE Team identified several protocols and guidelines for process evaluations, including the New York Process Evaluation Protocols</w:t>
      </w:r>
      <w:r w:rsidR="000073C3">
        <w:t>, which the June 2015 Phase II Evaluation F</w:t>
      </w:r>
      <w:r>
        <w:t xml:space="preserve">ramework references. Based on the New York protocols, the workshop summarized best practices relating to whom to include in planning, when to conduct process evaluations, ongoing monitoring, and important process evaluation activities. The workshop also covered program logic modeling, which is not mentioned in the New York protocols. </w:t>
      </w:r>
    </w:p>
    <w:p w:rsidR="00215243" w:rsidRDefault="00215243" w:rsidP="00215243"/>
    <w:p w:rsidR="00215243" w:rsidRDefault="00215243" w:rsidP="00215243">
      <w:r>
        <w:t xml:space="preserve">Finally, the workshop included a guided discussion of lessons learned about best practices. Discussion topics covered timing of evaluations; important research questions to address; the use of process evaluation as a management tool; the evaluation scope and execution; and evaluation reporting, including recommendations and the program staff’s response. </w:t>
      </w:r>
    </w:p>
    <w:p w:rsidR="00FB4D74" w:rsidRPr="00FB4D74" w:rsidRDefault="00FB4D74" w:rsidP="00FB4D74"/>
    <w:p w:rsidR="00D40FF6" w:rsidRDefault="00D40FF6" w:rsidP="00472B27">
      <w:pPr>
        <w:pStyle w:val="Heading2"/>
      </w:pPr>
      <w:bookmarkStart w:id="435" w:name="_Toc472472136"/>
      <w:bookmarkStart w:id="436" w:name="_Toc476913950"/>
      <w:r>
        <w:t>Technical Reference Manual</w:t>
      </w:r>
      <w:bookmarkEnd w:id="435"/>
      <w:bookmarkEnd w:id="436"/>
    </w:p>
    <w:p w:rsidR="004C6E59" w:rsidRDefault="004C6E59" w:rsidP="004C6E59">
      <w:r>
        <w:t xml:space="preserve">The Pennsylvania </w:t>
      </w:r>
      <w:r w:rsidR="000073C3">
        <w:t>TRM</w:t>
      </w:r>
      <w:r>
        <w:t xml:space="preserve"> was not updated in PY7, as the design for the Phase III TRM (to be in effect for PY8) was completed during PY6. The Phase III, or 2016 TRM</w:t>
      </w:r>
      <w:r w:rsidR="00C81F40">
        <w:t xml:space="preserve">, </w:t>
      </w:r>
      <w:r>
        <w:t xml:space="preserve">became </w:t>
      </w:r>
      <w:r w:rsidRPr="00922B8C">
        <w:t>effective June 1, 201</w:t>
      </w:r>
      <w:r>
        <w:t xml:space="preserve">6 and contained protocols that were designed to align with the potential shifts in policy or code legislation for a large portion of the phase, without the need for significant modification. </w:t>
      </w:r>
      <w:r w:rsidRPr="00922B8C">
        <w:t>The 201</w:t>
      </w:r>
      <w:r>
        <w:t>6</w:t>
      </w:r>
      <w:r w:rsidRPr="00922B8C">
        <w:t xml:space="preserve"> TRM Final Order (with manual and appendices) was approved</w:t>
      </w:r>
      <w:r>
        <w:t xml:space="preserve"> early in PY7,</w:t>
      </w:r>
      <w:r w:rsidRPr="00922B8C">
        <w:t xml:space="preserve"> on </w:t>
      </w:r>
      <w:r>
        <w:t>July 8</w:t>
      </w:r>
      <w:r w:rsidRPr="00922B8C">
        <w:t>, 201</w:t>
      </w:r>
      <w:r>
        <w:t>5</w:t>
      </w:r>
      <w:r w:rsidRPr="00922B8C">
        <w:t>.</w:t>
      </w:r>
    </w:p>
    <w:p w:rsidR="00E3392B" w:rsidRDefault="00E3392B" w:rsidP="004C6E59"/>
    <w:p w:rsidR="004C6E59" w:rsidRPr="00922B8C" w:rsidRDefault="004C6E59" w:rsidP="007631BE">
      <w:pPr>
        <w:spacing w:after="120"/>
      </w:pPr>
      <w:r>
        <w:t xml:space="preserve">The TRM Working Group was active, however, during PY7 and engaged both the Phase II and Phase III SWE for a collaborative effort to design an Interim Measure Protocol (IMP) to address the learning or </w:t>
      </w:r>
      <w:r w:rsidR="006D1E4D">
        <w:t>s</w:t>
      </w:r>
      <w:r>
        <w:t xml:space="preserve">mart thermostat savings potential, as requested by the EDCs and their </w:t>
      </w:r>
      <w:r w:rsidRPr="006A5AC1">
        <w:t>evaluation contractor</w:t>
      </w:r>
      <w:r>
        <w:t xml:space="preserve">s. Formal written comments were collected from all Working Group participants and were discussed with the </w:t>
      </w:r>
      <w:r w:rsidRPr="007B1FA1">
        <w:t>TUS</w:t>
      </w:r>
      <w:r>
        <w:t xml:space="preserve">. Multiple facets of the measure design were analyzed and compared </w:t>
      </w:r>
      <w:r w:rsidR="000073C3">
        <w:t xml:space="preserve">with </w:t>
      </w:r>
      <w:r>
        <w:t>recent studies across the country, in an effort to provide deemed savings values in accordance with the TRM design. A substantial portion of the analysis focused on the following characteristics of the measure protocols:</w:t>
      </w:r>
    </w:p>
    <w:p w:rsidR="004C6E59" w:rsidRPr="00922B8C" w:rsidRDefault="004C6E59" w:rsidP="00E646C9">
      <w:pPr>
        <w:numPr>
          <w:ilvl w:val="0"/>
          <w:numId w:val="61"/>
        </w:numPr>
        <w:spacing w:after="120"/>
        <w:ind w:left="360"/>
      </w:pPr>
      <w:r>
        <w:t>The definitions of “smart” or “learning” and “</w:t>
      </w:r>
      <w:r w:rsidR="007631BE">
        <w:t>Wi-Fi</w:t>
      </w:r>
      <w:r>
        <w:t xml:space="preserve"> enabled” as they relate to the current industry thermostat offerings, and how those definitions continue to evolve.</w:t>
      </w:r>
    </w:p>
    <w:p w:rsidR="004C6E59" w:rsidRPr="00922B8C" w:rsidRDefault="004C6E59" w:rsidP="00E646C9">
      <w:pPr>
        <w:numPr>
          <w:ilvl w:val="0"/>
          <w:numId w:val="61"/>
        </w:numPr>
        <w:spacing w:after="120"/>
        <w:ind w:left="360"/>
      </w:pPr>
      <w:r>
        <w:t>Whether the “geo-fencing” feature should be included as a prerequisite for the technology and the approach to deemed savings in the measure. Significant discussion also occurred around the pros and cons of the occupancy-sensing capabilities of the current technologies.</w:t>
      </w:r>
    </w:p>
    <w:p w:rsidR="004C6E59" w:rsidRDefault="004C6E59" w:rsidP="00E646C9">
      <w:pPr>
        <w:numPr>
          <w:ilvl w:val="0"/>
          <w:numId w:val="61"/>
        </w:numPr>
        <w:spacing w:after="120"/>
        <w:ind w:left="360"/>
      </w:pPr>
      <w:r>
        <w:t xml:space="preserve">The variation in savings factors that were found in the industry studies collected and the viability of a de-rate factor for the IMP. </w:t>
      </w:r>
    </w:p>
    <w:p w:rsidR="004C6E59" w:rsidRDefault="004C6E59" w:rsidP="00E646C9">
      <w:pPr>
        <w:numPr>
          <w:ilvl w:val="0"/>
          <w:numId w:val="61"/>
        </w:numPr>
        <w:ind w:left="360"/>
      </w:pPr>
      <w:r>
        <w:t>Equipment characteristics of the participant populations and the primary fuel sources for heating and cooling.</w:t>
      </w:r>
    </w:p>
    <w:p w:rsidR="0055637D" w:rsidRDefault="0055637D" w:rsidP="004C6E59"/>
    <w:p w:rsidR="004C6E59" w:rsidRDefault="004C6E59" w:rsidP="004C6E59">
      <w:r>
        <w:lastRenderedPageBreak/>
        <w:t xml:space="preserve">The TRM Working Group also developed an IMP designed to augment the existing refrigerator recycling measure, so that it can address a direct-install program designed for low-income participants. Comments were collected, and a final version of the IMP was released on July 20, 2016. </w:t>
      </w:r>
    </w:p>
    <w:p w:rsidR="004C6E59" w:rsidRPr="00FB4D74" w:rsidRDefault="004C6E59" w:rsidP="00FB4D74"/>
    <w:p w:rsidR="00AC2B6F" w:rsidRDefault="00D40FF6" w:rsidP="00472B27">
      <w:pPr>
        <w:pStyle w:val="Heading2"/>
      </w:pPr>
      <w:bookmarkStart w:id="437" w:name="_Toc472472137"/>
      <w:bookmarkStart w:id="438" w:name="_Toc476913951"/>
      <w:r>
        <w:t>Recommendations for Program Improvements for Subsequent ACT 129 Phases</w:t>
      </w:r>
      <w:bookmarkEnd w:id="437"/>
      <w:bookmarkEnd w:id="438"/>
    </w:p>
    <w:p w:rsidR="00C24970" w:rsidRDefault="00980869" w:rsidP="00C24970">
      <w:r w:rsidRPr="00980869">
        <w:t>One of the key contractual responsibilities of the Phase II SWE is to make recommendations for Act 129 program modifications and improvements. This section presents recommendations for program improvements based on a literature search of recent energy efficiency and demand response papers presented at major national conferences.</w:t>
      </w:r>
    </w:p>
    <w:p w:rsidR="00C24970" w:rsidRPr="00C73237" w:rsidRDefault="00C24970" w:rsidP="00C24970">
      <w:pPr>
        <w:rPr>
          <w:rFonts w:asciiTheme="minorHAnsi" w:hAnsiTheme="minorHAnsi"/>
          <w:b/>
          <w:smallCaps/>
        </w:rPr>
      </w:pPr>
    </w:p>
    <w:p w:rsidR="00C24970" w:rsidRPr="003B49C7" w:rsidRDefault="00C24970" w:rsidP="009349F1">
      <w:pPr>
        <w:pStyle w:val="Heading3"/>
        <w:numPr>
          <w:ilvl w:val="2"/>
          <w:numId w:val="8"/>
        </w:numPr>
        <w:ind w:left="0"/>
      </w:pPr>
      <w:bookmarkStart w:id="439" w:name="_Toc472472138"/>
      <w:bookmarkStart w:id="440" w:name="_Toc476913952"/>
      <w:r w:rsidRPr="003B49C7">
        <w:t>Emerging Ideas in Program Design and Implementation</w:t>
      </w:r>
      <w:bookmarkEnd w:id="439"/>
      <w:bookmarkEnd w:id="440"/>
    </w:p>
    <w:p w:rsidR="00C24970" w:rsidRPr="00FB6015" w:rsidRDefault="00C24970" w:rsidP="00C24970">
      <w:r w:rsidRPr="007F6D49">
        <w:t>In order to fulfi</w:t>
      </w:r>
      <w:r>
        <w:t>l</w:t>
      </w:r>
      <w:r w:rsidRPr="007F6D49">
        <w:t>l the SWE’s contractual obligation to provide recommendations for program improvements</w:t>
      </w:r>
      <w:r>
        <w:t>, t</w:t>
      </w:r>
      <w:r w:rsidRPr="00FB6015">
        <w:t>he SWE</w:t>
      </w:r>
      <w:r>
        <w:t xml:space="preserve"> Team</w:t>
      </w:r>
      <w:r w:rsidRPr="00FB6015">
        <w:t xml:space="preserve"> reviewed recent industry literature, focusing on identifying emerging trends in program design and implementation. This review sought to identify emerging program approaches that the Pennsylvania EDCs may wish to consider, recognizing that the context in which each program operates is unique and that an approach that is promising in one area may not succeed in another area.</w:t>
      </w:r>
    </w:p>
    <w:p w:rsidR="00C24970" w:rsidRPr="00FB6015" w:rsidRDefault="00C24970" w:rsidP="00C24970">
      <w:r w:rsidRPr="00FB6015">
        <w:t xml:space="preserve"> </w:t>
      </w:r>
    </w:p>
    <w:p w:rsidR="00C24970" w:rsidRDefault="00C24970" w:rsidP="00C24970">
      <w:r w:rsidRPr="00FB6015" w:rsidDel="006D6256">
        <w:t>T</w:t>
      </w:r>
      <w:r w:rsidRPr="00FB6015">
        <w:t xml:space="preserve">he SWE Team reviewed the proceedings of the 2014 </w:t>
      </w:r>
      <w:r>
        <w:t>American Council for an Energy-Efficient Economy</w:t>
      </w:r>
      <w:r w:rsidRPr="00FB6015">
        <w:t xml:space="preserve"> (ACEEE) Summer Study on Energy Efficiency in Buildings, the 2015 </w:t>
      </w:r>
      <w:r>
        <w:t>Association of Energy Service Professionals</w:t>
      </w:r>
      <w:r w:rsidRPr="00FB6015">
        <w:t xml:space="preserve"> (AESP) National Conference, and </w:t>
      </w:r>
      <w:r>
        <w:t xml:space="preserve">the </w:t>
      </w:r>
      <w:r w:rsidRPr="00FB6015">
        <w:t xml:space="preserve">2014 </w:t>
      </w:r>
      <w:r>
        <w:t>International Energy Program Evaluation Conference</w:t>
      </w:r>
      <w:r w:rsidRPr="00FB6015">
        <w:t xml:space="preserve"> (IEPEC)</w:t>
      </w:r>
      <w:r>
        <w:t>,</w:t>
      </w:r>
      <w:r w:rsidRPr="00FB6015">
        <w:t xml:space="preserve"> and identified 50 papers relevant to program design and implementation. </w:t>
      </w:r>
    </w:p>
    <w:p w:rsidR="00C24970" w:rsidRDefault="00C24970" w:rsidP="00C24970"/>
    <w:p w:rsidR="00C24970" w:rsidRPr="00FB6015" w:rsidRDefault="00C24970" w:rsidP="00C24970">
      <w:pPr>
        <w:spacing w:after="120"/>
      </w:pPr>
      <w:r w:rsidRPr="00FB6015">
        <w:t>The majority of these papers can be divided into four categories:</w:t>
      </w:r>
    </w:p>
    <w:p w:rsidR="00C24970" w:rsidRPr="00A112B7" w:rsidRDefault="00C24970" w:rsidP="00E646C9">
      <w:pPr>
        <w:pStyle w:val="ListParagraph"/>
        <w:numPr>
          <w:ilvl w:val="0"/>
          <w:numId w:val="62"/>
        </w:numPr>
        <w:spacing w:after="120"/>
        <w:ind w:left="360"/>
        <w:contextualSpacing w:val="0"/>
      </w:pPr>
      <w:r w:rsidRPr="00A112B7">
        <w:t>Innovative marketing and outreach approaches</w:t>
      </w:r>
    </w:p>
    <w:p w:rsidR="00C24970" w:rsidRPr="00A112B7" w:rsidRDefault="00C24970" w:rsidP="00E646C9">
      <w:pPr>
        <w:pStyle w:val="ListParagraph"/>
        <w:numPr>
          <w:ilvl w:val="0"/>
          <w:numId w:val="62"/>
        </w:numPr>
        <w:spacing w:after="120"/>
        <w:ind w:left="360"/>
        <w:contextualSpacing w:val="0"/>
      </w:pPr>
      <w:r w:rsidRPr="00A112B7">
        <w:t>Midstream approaches to lighting and plug load</w:t>
      </w:r>
    </w:p>
    <w:p w:rsidR="00C24970" w:rsidRPr="00A112B7" w:rsidRDefault="00C24970" w:rsidP="00E646C9">
      <w:pPr>
        <w:pStyle w:val="ListParagraph"/>
        <w:numPr>
          <w:ilvl w:val="0"/>
          <w:numId w:val="62"/>
        </w:numPr>
        <w:spacing w:after="120"/>
        <w:ind w:left="360"/>
        <w:contextualSpacing w:val="0"/>
      </w:pPr>
      <w:r w:rsidRPr="00A112B7">
        <w:t>Shifting strategies in whole-building upgrades</w:t>
      </w:r>
    </w:p>
    <w:p w:rsidR="00C24970" w:rsidRPr="00A112B7" w:rsidRDefault="00C24970" w:rsidP="00E646C9">
      <w:pPr>
        <w:pStyle w:val="ListParagraph"/>
        <w:numPr>
          <w:ilvl w:val="0"/>
          <w:numId w:val="62"/>
        </w:numPr>
        <w:ind w:left="360"/>
      </w:pPr>
      <w:r w:rsidRPr="00A112B7">
        <w:t>Behavioral interventions</w:t>
      </w:r>
    </w:p>
    <w:p w:rsidR="00C24970" w:rsidRDefault="00C24970" w:rsidP="00C24970"/>
    <w:p w:rsidR="00C24970" w:rsidRPr="00FB6015" w:rsidRDefault="00C24970" w:rsidP="00C24970">
      <w:r w:rsidRPr="00FB6015">
        <w:t xml:space="preserve">After reviewing the papers in each category, the SWE Team sought additional sources to fill any remaining information gaps, including program evaluation reports as well as reports by the State and Local Energy Efficiency Action Network (SEE Action) and other industry groups. The remainder of this section summarizes findings from the industry literature in each of the four areas identified. </w:t>
      </w:r>
    </w:p>
    <w:p w:rsidR="00C24970" w:rsidRPr="00FB6015" w:rsidRDefault="00C24970" w:rsidP="00C24970"/>
    <w:p w:rsidR="00C24970" w:rsidRPr="008A5E9E" w:rsidRDefault="00C24970" w:rsidP="00C24970">
      <w:pPr>
        <w:pStyle w:val="Heading4"/>
        <w:rPr>
          <w:rFonts w:eastAsia="Calibri"/>
        </w:rPr>
      </w:pPr>
      <w:r w:rsidRPr="008A5E9E">
        <w:rPr>
          <w:rFonts w:eastAsia="Calibri"/>
        </w:rPr>
        <w:t>Innovative Marketing and Outreach Approaches</w:t>
      </w:r>
    </w:p>
    <w:p w:rsidR="00C24970" w:rsidRPr="00FB6015" w:rsidRDefault="00C24970" w:rsidP="00C24970">
      <w:r w:rsidRPr="00FB6015">
        <w:t xml:space="preserve">In a diverse service territory, no single marketing message is likely to appeal to all customers. As a result, </w:t>
      </w:r>
      <w:r>
        <w:t xml:space="preserve">program administrators (PAs) </w:t>
      </w:r>
      <w:r w:rsidRPr="00FB6015">
        <w:t xml:space="preserve">seek to identify the customers most likely to participate in their programs and reach out to </w:t>
      </w:r>
      <w:r>
        <w:t>them</w:t>
      </w:r>
      <w:r w:rsidRPr="00FB6015">
        <w:t xml:space="preserve"> with the messages most likely to resonate with them. Recent industry literature focuses on two approaches to this type of targeted marketing</w:t>
      </w:r>
      <w:r>
        <w:t>. O</w:t>
      </w:r>
      <w:r w:rsidRPr="00FB6015">
        <w:t xml:space="preserve">ne draws on the growing array of customer data available to PAs, while the other seeks to leverage existing communities and social relationships. </w:t>
      </w:r>
    </w:p>
    <w:p w:rsidR="00E3392B" w:rsidRDefault="00E3392B" w:rsidP="00C24970"/>
    <w:p w:rsidR="00034173" w:rsidRDefault="00034173" w:rsidP="00C24970"/>
    <w:p w:rsidR="00034173" w:rsidRPr="00FB6015" w:rsidRDefault="00034173" w:rsidP="00C24970"/>
    <w:p w:rsidR="00C24970" w:rsidRPr="007B2589" w:rsidRDefault="00C24970" w:rsidP="000073C3">
      <w:pPr>
        <w:pStyle w:val="Heading5"/>
      </w:pPr>
      <w:r w:rsidRPr="007B2589">
        <w:lastRenderedPageBreak/>
        <w:t>Data-</w:t>
      </w:r>
      <w:r>
        <w:t>B</w:t>
      </w:r>
      <w:r w:rsidRPr="007B2589">
        <w:t>ased Targeting Approaches</w:t>
      </w:r>
    </w:p>
    <w:p w:rsidR="00C24970" w:rsidRPr="00FB6015" w:rsidRDefault="00C24970" w:rsidP="00C24970">
      <w:r w:rsidRPr="00FB6015">
        <w:t xml:space="preserve">PAs have access to a great deal of information about their customers, which they can supplement with purchased data and their own primary research. These data include customer demographics, energy usage, and </w:t>
      </w:r>
      <w:r>
        <w:t xml:space="preserve">home </w:t>
      </w:r>
      <w:r w:rsidRPr="00FB6015">
        <w:t xml:space="preserve">characteristics. Industry literature detailed the experience of two PAs—Pacific Gas &amp; Electric (PG&amp;E) and Northeast Utilities—that used such data to identify the customers most likely to participate in particular program offerings. Both PAs conducted classification and regression tree analyses to identify common characteristics among program participants, anticipating that other customers who shared those characteristics would be more likely to participate. </w:t>
      </w:r>
    </w:p>
    <w:p w:rsidR="00C24970" w:rsidRPr="00FB6015" w:rsidRDefault="00C24970" w:rsidP="00C24970"/>
    <w:p w:rsidR="00C24970" w:rsidRPr="00FB6015" w:rsidRDefault="00C24970" w:rsidP="00C24970">
      <w:r w:rsidRPr="00FB6015">
        <w:t>Northeast Utilities identified three characteristics associated with greater program participation (level of natural gas usage, home value, and home equity loan-to-value ratio), which together indicate both the potential to benefit from weatherization and the likely ability to afford an energy upgrade project. Northeast Utilities used an experimental design to test the effectiveness of a mailing promoting the program in generating interest among customers with the identified characteristics. Initial findings indicated that customers with the identified characteristics scheduled and completed audits at a greater rate than customers who did not have those characteristics but received the mailing and customers who had those characteristics but did not receive the mailing.</w:t>
      </w:r>
    </w:p>
    <w:p w:rsidR="00C24970" w:rsidRPr="00FB6015" w:rsidRDefault="00C24970" w:rsidP="00C24970"/>
    <w:p w:rsidR="00C24970" w:rsidRPr="00FB6015" w:rsidRDefault="00C24970" w:rsidP="00C24970">
      <w:r w:rsidRPr="00FB6015">
        <w:t>PG&amp;E identified 13 indicators</w:t>
      </w:r>
      <w:r>
        <w:t>—</w:t>
      </w:r>
      <w:r w:rsidRPr="00FB6015">
        <w:t>including the age and size of the home, the amount of time the homeowner had lived there, the number of people in the household, and the household’s energy usage and billing characteristics that were associated with participation</w:t>
      </w:r>
      <w:r>
        <w:t>—</w:t>
      </w:r>
      <w:r w:rsidRPr="00FB6015">
        <w:t xml:space="preserve">from which it developed a propensity score to rate customers’ likelihood of program participation. PG&amp;E conducted an analysis comparing program participants </w:t>
      </w:r>
      <w:r w:rsidR="00524B80">
        <w:t>with</w:t>
      </w:r>
      <w:r w:rsidRPr="00FB6015">
        <w:t xml:space="preserve"> those who began, but did not complete, the participation process. The program dropouts had characteristics</w:t>
      </w:r>
      <w:r w:rsidRPr="0045581F">
        <w:t xml:space="preserve"> </w:t>
      </w:r>
      <w:r w:rsidRPr="00FB6015">
        <w:t xml:space="preserve">similar to </w:t>
      </w:r>
      <w:r>
        <w:t xml:space="preserve">those of </w:t>
      </w:r>
      <w:r w:rsidRPr="00FB6015">
        <w:t>complete participants in many ways, but expressed a lower sense of self-efficacy in controlling their energy savings.</w:t>
      </w:r>
    </w:p>
    <w:p w:rsidR="00C24970" w:rsidRPr="00FB6015" w:rsidRDefault="00C24970" w:rsidP="00C24970"/>
    <w:p w:rsidR="00C24970" w:rsidRPr="007B2589" w:rsidRDefault="00C24970" w:rsidP="000073C3">
      <w:pPr>
        <w:pStyle w:val="Heading5"/>
      </w:pPr>
      <w:r w:rsidRPr="007B2589">
        <w:t>Community-</w:t>
      </w:r>
      <w:r>
        <w:t>B</w:t>
      </w:r>
      <w:r w:rsidRPr="007B2589">
        <w:t>ased Outreach Approaches</w:t>
      </w:r>
    </w:p>
    <w:p w:rsidR="00C24970" w:rsidRPr="00FB6015" w:rsidRDefault="00C24970" w:rsidP="00C24970">
      <w:r w:rsidRPr="00FB6015">
        <w:t>Another strategy PAs have used to reach targeted participants seeks to leverage social and community dynamics, often following the tenets of Community Based Social Marketing (CBSM). Recent industry literature describes three broad community-based outreach approaches: use of third-party advocates as trusted messengers, individual contact with potential participants, and neighborhood targeting.</w:t>
      </w:r>
    </w:p>
    <w:p w:rsidR="00C24970" w:rsidRDefault="00C24970" w:rsidP="00C24970"/>
    <w:p w:rsidR="00C24970" w:rsidRPr="007631BE" w:rsidRDefault="00C24970" w:rsidP="007631BE">
      <w:pPr>
        <w:pStyle w:val="Heading5"/>
        <w:numPr>
          <w:ilvl w:val="0"/>
          <w:numId w:val="0"/>
        </w:numPr>
        <w:spacing w:after="60"/>
        <w:rPr>
          <w:b/>
          <w:i w:val="0"/>
        </w:rPr>
      </w:pPr>
      <w:r w:rsidRPr="007631BE">
        <w:rPr>
          <w:b/>
          <w:i w:val="0"/>
        </w:rPr>
        <w:t>Trusted Messengers</w:t>
      </w:r>
    </w:p>
    <w:p w:rsidR="00C24970" w:rsidRPr="00FB6015" w:rsidRDefault="00C24970" w:rsidP="00C24970">
      <w:r w:rsidRPr="00FB6015">
        <w:t>A common strategy that efficiency programs have used to reach a targeted community involves identifying a trusted individual or organization within that community and working with that person or group to spread the program’s message. In a summary of six CBSM programs in Wisconsin, the implementer</w:t>
      </w:r>
      <w:r>
        <w:t>,</w:t>
      </w:r>
      <w:r w:rsidRPr="00FB6015">
        <w:t xml:space="preserve"> </w:t>
      </w:r>
      <w:r>
        <w:t>Wisconsin Energy Conservation Corporation,</w:t>
      </w:r>
      <w:r w:rsidRPr="00FB6015">
        <w:t xml:space="preserve"> found this type of outreach more effective than traditional advertising or presentations by a program or utility representative. One of the Wisconsin CBSM programs found a statistically significant increase in program participation when a well-known community member recommended the iCan Conserve program. </w:t>
      </w:r>
    </w:p>
    <w:p w:rsidR="00C24970" w:rsidRPr="00FB6015" w:rsidRDefault="00C24970" w:rsidP="00C24970"/>
    <w:p w:rsidR="00C24970" w:rsidRPr="00FB6015" w:rsidRDefault="00C24970" w:rsidP="00C24970">
      <w:r w:rsidRPr="00FB6015">
        <w:t xml:space="preserve">These strategies may be particularly effective in hard-to-reach populations where it is difficult for program staff to build rapport with community members. Nonetheless, these types of approaches can also pose challenges for PAs: community groups may lack the time and resources to promote an efficiency program, particularly if energy efficiency and sustainability are not part of the group’s mission. As a result, providing education and support to such third-party program advocates can be time- and resource-intensive for utility staff. One Wisconsin program found a way to leverage the trusted messenger approach without the </w:t>
      </w:r>
      <w:r w:rsidRPr="00FB6015">
        <w:lastRenderedPageBreak/>
        <w:t>time commitment of supporting community groups</w:t>
      </w:r>
      <w:r>
        <w:t>,</w:t>
      </w:r>
      <w:r w:rsidRPr="00FB6015">
        <w:t xml:space="preserve"> by printing marketing materials that included quotes about the program from local residents. The implementer found that this added credibility for residents, and that “the names associated with the quotes were one of the first things </w:t>
      </w:r>
      <w:r w:rsidR="005877DB">
        <w:t>participants noticed.”</w:t>
      </w:r>
      <w:r w:rsidRPr="00FB6015">
        <w:fldChar w:fldCharType="begin"/>
      </w:r>
      <w:r w:rsidRPr="00FB6015">
        <w:instrText xml:space="preserve"> ADDIN ZOTERO_ITEM CSL_CITATION {"citationID":"Bzo92i3Q","properties":{"formattedCitation":"(Lightbourn 2014)","plainCitation":"(Lightbourn 2014)"},"citationItems":[{"id":280,"uris":["http://zotero.org/groups/277947/items/DCXNZNZI"],"uri":["http://zotero.org/groups/277947/items/DCXNZNZI"],"itemData":{"id":280,"type":"paper-conference","title":"Community Marketing: What Worked? What Didn't? What We Would Do Again","publisher":"Association of Energy Services Professionals","publisher-place":"Phoenix, AZ","event":"AESP National Conference","event-place":"Phoenix, AZ","author":[{"family":"Lightbourn","given":"Steve"}],"issued":{"date-parts":[["2014"]]}}}],"schema":"https://github.com/citation-style-language/schema/raw/master/csl-citation.json"} </w:instrText>
      </w:r>
      <w:r w:rsidRPr="00FB6015">
        <w:fldChar w:fldCharType="end"/>
      </w:r>
    </w:p>
    <w:p w:rsidR="00C24970" w:rsidRPr="00FB6015" w:rsidRDefault="00C24970" w:rsidP="00C24970"/>
    <w:p w:rsidR="00C24970" w:rsidRPr="007631BE" w:rsidRDefault="00C24970" w:rsidP="007631BE">
      <w:pPr>
        <w:pStyle w:val="Heading5"/>
        <w:numPr>
          <w:ilvl w:val="0"/>
          <w:numId w:val="0"/>
        </w:numPr>
        <w:spacing w:after="60"/>
        <w:rPr>
          <w:b/>
          <w:i w:val="0"/>
        </w:rPr>
      </w:pPr>
      <w:r w:rsidRPr="007631BE">
        <w:rPr>
          <w:b/>
          <w:i w:val="0"/>
        </w:rPr>
        <w:t>Individual Contact</w:t>
      </w:r>
    </w:p>
    <w:p w:rsidR="00C24970" w:rsidRPr="00FB6015" w:rsidRDefault="00C24970" w:rsidP="00C24970">
      <w:r w:rsidRPr="00FB6015">
        <w:t xml:space="preserve">One study of six CBSM programs found one-on-one interactions with potential participants, particularly in combination with a trusted messenger, to be one of the most effective outreach strategies, generating greater interest in the program than multiple touches from more traditional marketing approaches. This type of individual contact can also draw on staff members, contractors, or members of community groups with the necessary language skills and cultural understanding to reach members of non-English-speaking communities. </w:t>
      </w:r>
    </w:p>
    <w:p w:rsidR="00C24970" w:rsidRPr="00FB6015" w:rsidRDefault="00C24970" w:rsidP="00C24970"/>
    <w:p w:rsidR="00C24970" w:rsidRPr="00FB6015" w:rsidRDefault="00C24970" w:rsidP="00C24970">
      <w:pPr>
        <w:rPr>
          <w:bCs/>
        </w:rPr>
      </w:pPr>
      <w:r w:rsidRPr="00FB6015">
        <w:t xml:space="preserve">This type of individual outreach is very expensive for PAs to provide. As a result, some grantees in the American Recovery and Reinvestment Act (ARRA) funded </w:t>
      </w:r>
      <w:r>
        <w:t xml:space="preserve">the </w:t>
      </w:r>
      <w:r w:rsidRPr="00FB6015">
        <w:t xml:space="preserve">Better Buildings Neighborhood Program (BBNP) </w:t>
      </w:r>
      <w:r>
        <w:t>and</w:t>
      </w:r>
      <w:r w:rsidRPr="00FB6015">
        <w:t xml:space="preserve"> used open houses and similar events to create an opportunity to bring their programs into this type of individual or small group contact with a larger number of people</w:t>
      </w:r>
      <w:r w:rsidRPr="00FB6015">
        <w:rPr>
          <w:bCs/>
        </w:rPr>
        <w:t xml:space="preserve">. </w:t>
      </w:r>
      <w:r w:rsidRPr="00FB6015">
        <w:t>These open houses or house parties typically included a presentation describing the benefits of energy upgrades, the program offerings, and the participation process. In some cases, a contractor would conduct an audit during the event, describing the process and findings</w:t>
      </w:r>
      <w:r>
        <w:t>;</w:t>
      </w:r>
      <w:r w:rsidRPr="00FB6015">
        <w:t xml:space="preserve"> in other</w:t>
      </w:r>
      <w:r>
        <w:t xml:space="preserve"> cases</w:t>
      </w:r>
      <w:r w:rsidRPr="00FB6015">
        <w:t>, visitors could tour a home that had received upgrades, with signage highlighting the improvements. The events also provided attendees with an opportunity to speak with program staff and contractors individually</w:t>
      </w:r>
      <w:r>
        <w:t>,</w:t>
      </w:r>
      <w:r w:rsidRPr="00FB6015">
        <w:t xml:space="preserve"> to address any questions or concerns they might have</w:t>
      </w:r>
      <w:r w:rsidRPr="00FB6015">
        <w:rPr>
          <w:bCs/>
        </w:rPr>
        <w:t>.</w:t>
      </w:r>
    </w:p>
    <w:p w:rsidR="00147500" w:rsidRPr="00FB6015" w:rsidRDefault="00147500" w:rsidP="00C24970"/>
    <w:p w:rsidR="00C24970" w:rsidRPr="007631BE" w:rsidRDefault="00C24970" w:rsidP="007631BE">
      <w:pPr>
        <w:pStyle w:val="Heading5"/>
        <w:numPr>
          <w:ilvl w:val="0"/>
          <w:numId w:val="0"/>
        </w:numPr>
        <w:spacing w:after="60"/>
        <w:rPr>
          <w:b/>
          <w:i w:val="0"/>
        </w:rPr>
      </w:pPr>
      <w:r w:rsidRPr="007631BE">
        <w:rPr>
          <w:b/>
          <w:i w:val="0"/>
        </w:rPr>
        <w:t>Neighborhood Targeting</w:t>
      </w:r>
    </w:p>
    <w:p w:rsidR="00C24970" w:rsidRPr="00FB6015" w:rsidRDefault="00C24970" w:rsidP="00C24970">
      <w:pPr>
        <w:spacing w:after="120"/>
      </w:pPr>
      <w:r w:rsidRPr="00FB6015">
        <w:t xml:space="preserve">Some programs have sought to both increase the efficiency of their outreach efforts and leverage neighbor-to-neighbor social dynamics by focusing intensive outreach in a specifically targeted geographic area. This was a common approach among BBNP grantees. Programs selected neighborhoods to target based on a </w:t>
      </w:r>
      <w:r>
        <w:t>variety</w:t>
      </w:r>
      <w:r w:rsidRPr="00FB6015">
        <w:t xml:space="preserve"> of factors, ranging from housing stock and demographic characteristics to the presence of strong neighborhood associations and community groups</w:t>
      </w:r>
      <w:r w:rsidRPr="00FB6015">
        <w:rPr>
          <w:bCs/>
        </w:rPr>
        <w:t xml:space="preserve">. </w:t>
      </w:r>
      <w:r w:rsidRPr="00FB6015">
        <w:t>In most cases, these strategies did not achieve their desired results, but the experience of the BBNP grantees provides some lessons learned for neighborhood targeting:</w:t>
      </w:r>
    </w:p>
    <w:p w:rsidR="00C24970" w:rsidRPr="00FB6015" w:rsidRDefault="00C24970" w:rsidP="00E646C9">
      <w:pPr>
        <w:numPr>
          <w:ilvl w:val="0"/>
          <w:numId w:val="63"/>
        </w:numPr>
        <w:spacing w:after="120"/>
        <w:ind w:left="360"/>
        <w:rPr>
          <w:szCs w:val="20"/>
          <w:lang w:val="x-none" w:eastAsia="x-none"/>
        </w:rPr>
      </w:pPr>
      <w:r w:rsidRPr="00A112B7">
        <w:rPr>
          <w:rFonts w:ascii="Century Gothic" w:hAnsi="Century Gothic"/>
          <w:b/>
          <w:sz w:val="20"/>
          <w:szCs w:val="20"/>
          <w:lang w:val="x-none" w:eastAsia="x-none"/>
        </w:rPr>
        <w:t>Do not constrain participation to the targeted area</w:t>
      </w:r>
      <w:r w:rsidRPr="00A112B7">
        <w:rPr>
          <w:rFonts w:ascii="Century Gothic" w:hAnsi="Century Gothic"/>
          <w:sz w:val="24"/>
          <w:szCs w:val="20"/>
          <w:lang w:val="x-none" w:eastAsia="x-none"/>
        </w:rPr>
        <w:t>|</w:t>
      </w:r>
      <w:r w:rsidRPr="00FB6015">
        <w:rPr>
          <w:szCs w:val="20"/>
          <w:lang w:val="x-none" w:eastAsia="x-none"/>
        </w:rPr>
        <w:t xml:space="preserve"> Requiring program participants to reside within a narrow targeted area can limit the potential for a program to leverage social relationships other than those among neighbors. </w:t>
      </w:r>
    </w:p>
    <w:p w:rsidR="00C24970" w:rsidRPr="00FB6015" w:rsidRDefault="00C24970" w:rsidP="00E646C9">
      <w:pPr>
        <w:numPr>
          <w:ilvl w:val="0"/>
          <w:numId w:val="63"/>
        </w:numPr>
        <w:spacing w:after="120"/>
        <w:ind w:left="360"/>
        <w:rPr>
          <w:szCs w:val="20"/>
          <w:lang w:val="x-none" w:eastAsia="x-none"/>
        </w:rPr>
      </w:pPr>
      <w:r w:rsidRPr="00A112B7">
        <w:rPr>
          <w:rFonts w:ascii="Century Gothic" w:hAnsi="Century Gothic"/>
          <w:b/>
          <w:sz w:val="20"/>
          <w:szCs w:val="20"/>
          <w:lang w:val="x-none" w:eastAsia="x-none"/>
        </w:rPr>
        <w:t xml:space="preserve">Ensure </w:t>
      </w:r>
      <w:r>
        <w:rPr>
          <w:rFonts w:ascii="Century Gothic" w:hAnsi="Century Gothic"/>
          <w:b/>
          <w:sz w:val="20"/>
          <w:szCs w:val="20"/>
          <w:lang w:val="x-none" w:eastAsia="x-none"/>
        </w:rPr>
        <w:t xml:space="preserve">that </w:t>
      </w:r>
      <w:r w:rsidRPr="00A112B7">
        <w:rPr>
          <w:rFonts w:ascii="Century Gothic" w:hAnsi="Century Gothic"/>
          <w:b/>
          <w:sz w:val="20"/>
          <w:szCs w:val="20"/>
          <w:lang w:val="x-none" w:eastAsia="x-none"/>
        </w:rPr>
        <w:t>the targeted area is large enough to provide sufficient project volume</w:t>
      </w:r>
      <w:r w:rsidRPr="00A112B7">
        <w:rPr>
          <w:rFonts w:ascii="Century Gothic" w:hAnsi="Century Gothic"/>
          <w:sz w:val="24"/>
          <w:szCs w:val="20"/>
          <w:lang w:val="x-none" w:eastAsia="x-none"/>
        </w:rPr>
        <w:t>|</w:t>
      </w:r>
      <w:r w:rsidRPr="00FB6015">
        <w:rPr>
          <w:szCs w:val="20"/>
          <w:lang w:val="x-none" w:eastAsia="x-none"/>
        </w:rPr>
        <w:t xml:space="preserve"> Targeting too small a population may constrain a program’s ability to generate enough initial participation to gain traction, particularly if the upgrades the program promotes are relatively unknown or expensive.</w:t>
      </w:r>
    </w:p>
    <w:p w:rsidR="00C24970" w:rsidRDefault="00C24970" w:rsidP="00E646C9">
      <w:pPr>
        <w:numPr>
          <w:ilvl w:val="0"/>
          <w:numId w:val="63"/>
        </w:numPr>
        <w:ind w:left="360"/>
        <w:rPr>
          <w:szCs w:val="20"/>
          <w:lang w:val="x-none" w:eastAsia="x-none"/>
        </w:rPr>
      </w:pPr>
      <w:r w:rsidRPr="00A112B7">
        <w:rPr>
          <w:rFonts w:ascii="Century Gothic" w:hAnsi="Century Gothic"/>
          <w:b/>
          <w:sz w:val="20"/>
          <w:szCs w:val="20"/>
          <w:lang w:val="x-none" w:eastAsia="x-none"/>
        </w:rPr>
        <w:t>More visible upgrades may be better candidates for neighborhood targeting</w:t>
      </w:r>
      <w:r w:rsidRPr="00A112B7">
        <w:rPr>
          <w:rFonts w:ascii="Century Gothic" w:hAnsi="Century Gothic"/>
          <w:sz w:val="24"/>
          <w:szCs w:val="20"/>
          <w:lang w:val="x-none" w:eastAsia="x-none"/>
        </w:rPr>
        <w:t>|</w:t>
      </w:r>
      <w:r w:rsidRPr="00FB6015">
        <w:rPr>
          <w:szCs w:val="20"/>
          <w:lang w:val="x-none" w:eastAsia="x-none"/>
        </w:rPr>
        <w:t xml:space="preserve"> For example, neighborhood-focused approaches have been successful in increasing uptake of solar photovoltaic systems. These approaches were less successful in promoting whole-house energy upgrades.</w:t>
      </w:r>
    </w:p>
    <w:p w:rsidR="00034173" w:rsidRPr="00E72F67" w:rsidRDefault="00034173" w:rsidP="00865B5D"/>
    <w:p w:rsidR="00C24970" w:rsidRPr="008A5E9E" w:rsidRDefault="00C24970" w:rsidP="00C24970">
      <w:pPr>
        <w:pStyle w:val="Heading4"/>
        <w:rPr>
          <w:rFonts w:eastAsia="Calibri"/>
        </w:rPr>
      </w:pPr>
      <w:r w:rsidRPr="008A5E9E">
        <w:rPr>
          <w:rFonts w:eastAsia="Calibri"/>
        </w:rPr>
        <w:t>Midstream Approaches to Lighting and Plug Load</w:t>
      </w:r>
    </w:p>
    <w:p w:rsidR="00C24970" w:rsidRPr="00FB6015" w:rsidRDefault="00C24970" w:rsidP="00C24970">
      <w:r w:rsidRPr="00FB6015">
        <w:t xml:space="preserve">Lighting has traditionally been a key source of residential energy savings for PAs. However, changes in the lighting market driven by recent changes in standards have altered the baseline over which programs achieve savings. Programs have also been challenged to effectively integrate LED technologies as products </w:t>
      </w:r>
      <w:r w:rsidRPr="00FB6015">
        <w:lastRenderedPageBreak/>
        <w:t>rapidly evolve and prices fall. Recent industry literature suggests that opportunities remain to increase the efficiency of residential lighting, but the changing context in which programs operate has led some PAs to seek new program approaches.</w:t>
      </w:r>
    </w:p>
    <w:p w:rsidR="00C24970" w:rsidRPr="00FB6015" w:rsidRDefault="00C24970" w:rsidP="00C24970"/>
    <w:p w:rsidR="00C24970" w:rsidRPr="00FB6015" w:rsidRDefault="00C24970" w:rsidP="00C24970">
      <w:r w:rsidRPr="00FB6015">
        <w:t xml:space="preserve">Residential plug loads are another end use in which PAs have recently sought new program approaches. While the energy use of other end uses has decreased over the past decades, plug loads’ proportion of residential electric loads has grown, and plug load energy use is projected to continue to grow. Plug loads, made up of many small consumer electronics and other household products, pose challenges for traditional efficiency program approaches. The energy use and potential energy savings of any given plug load product are generally small. As a result, incentives large enough to influence an end user’s purchase decision are unlikely to be cost-effective. </w:t>
      </w:r>
    </w:p>
    <w:p w:rsidR="00C24970" w:rsidRPr="00FB6015" w:rsidRDefault="00C24970" w:rsidP="00C24970"/>
    <w:p w:rsidR="00C24970" w:rsidRPr="00FB6015" w:rsidRDefault="00C24970" w:rsidP="00C24970">
      <w:r w:rsidRPr="00FB6015">
        <w:t xml:space="preserve">PAs have looked to new midstream program approaches as a solution to the challenges they face in both lighting and plug loads. Lighting programs have long used midstream and upstream buy-downs to reduce the prices of efficient lamps. However, while buy-downs typically are designed to minimize the impact of the intervention on the retailer’s business outcomes, these new program approaches seek to change retailers’ behavior to motivate them to consider energy efficiency in their business decisions and take action to increase sales of efficient products. </w:t>
      </w:r>
    </w:p>
    <w:p w:rsidR="00C24970" w:rsidRPr="00FB6015" w:rsidRDefault="00C24970" w:rsidP="00C24970"/>
    <w:p w:rsidR="00C24970" w:rsidRPr="005877DB" w:rsidRDefault="00C24970" w:rsidP="005877DB">
      <w:pPr>
        <w:pStyle w:val="Heading5"/>
      </w:pPr>
      <w:r w:rsidRPr="005877DB">
        <w:t>Market Lift</w:t>
      </w:r>
    </w:p>
    <w:p w:rsidR="00C24970" w:rsidRPr="00FB6015" w:rsidRDefault="00C24970" w:rsidP="00C24970">
      <w:r w:rsidRPr="00D84D07">
        <w:t>Market lift</w:t>
      </w:r>
      <w:r w:rsidRPr="00FB6015">
        <w:t xml:space="preserve"> programs offer retailers incentives for sales of efficient products that exceed a predefined baseline level. </w:t>
      </w:r>
      <w:r>
        <w:t>The</w:t>
      </w:r>
      <w:r w:rsidRPr="00FB6015">
        <w:t xml:space="preserve"> programs do not specify the actions the retailers take to achieve an increase in sales; retailers are free to apply the incentives to price discounts, promotions of qualified products, or profits. A primary benefit of a market lift approach from the PA’s perspective is a high NTG</w:t>
      </w:r>
      <w:r>
        <w:t>R</w:t>
      </w:r>
      <w:r w:rsidRPr="00FB6015">
        <w:t>. A traditional buy-down or an approach that incentivizes sales of every efficient unit sold inevitably provides</w:t>
      </w:r>
      <w:r>
        <w:t xml:space="preserve"> </w:t>
      </w:r>
      <w:r w:rsidRPr="00FB6015">
        <w:t>incentives on products that would have sold in the absence of the program. Because a lift program only incentivizes sales above a baseline, it can claim a</w:t>
      </w:r>
      <w:r>
        <w:t>n</w:t>
      </w:r>
      <w:r w:rsidRPr="00FB6015">
        <w:t xml:space="preserve"> NTG</w:t>
      </w:r>
      <w:r>
        <w:t>R</w:t>
      </w:r>
      <w:r w:rsidRPr="00FB6015">
        <w:t xml:space="preserve"> of 100%.</w:t>
      </w:r>
      <w:r w:rsidRPr="00FB6015">
        <w:rPr>
          <w:vertAlign w:val="superscript"/>
        </w:rPr>
        <w:footnoteReference w:id="28"/>
      </w:r>
    </w:p>
    <w:p w:rsidR="00C24970" w:rsidRPr="00FB6015" w:rsidRDefault="00C24970" w:rsidP="00C24970"/>
    <w:p w:rsidR="00C24970" w:rsidRPr="00FB6015" w:rsidRDefault="00C24970" w:rsidP="00C24970">
      <w:r w:rsidRPr="00FB6015">
        <w:t xml:space="preserve">A small group of PAs, including PAs in Oregon, Vermont, and Massachusetts, recently conducted market lift pilots to increase sales of CFLs. In all cases, the pilots successfully increased sales of CFLs over baseline. The pilots also encountered challenges. Many retailers were reluctant to participate in a lift approach. Lift approaches can be risky for retailers </w:t>
      </w:r>
      <w:r>
        <w:t>because they</w:t>
      </w:r>
      <w:r w:rsidRPr="00FB6015">
        <w:t xml:space="preserve"> may not receive any compensation for the actions they take and costs they incur to increase sales of efficient products if sales do not exceed the program’s baseline. National retailers also work with many PAs across the country and may be reluctant to agree to a program approach that is unique to only a few PAs.</w:t>
      </w:r>
    </w:p>
    <w:p w:rsidR="00C24970" w:rsidRDefault="00C24970" w:rsidP="00C24970"/>
    <w:p w:rsidR="00C24970" w:rsidRPr="005877DB" w:rsidRDefault="00C24970" w:rsidP="005877DB">
      <w:pPr>
        <w:pStyle w:val="Heading5"/>
      </w:pPr>
      <w:r w:rsidRPr="005877DB">
        <w:t>Retail Products Portfolio</w:t>
      </w:r>
    </w:p>
    <w:p w:rsidR="00C24970" w:rsidRPr="00FB6015" w:rsidRDefault="00C24970" w:rsidP="00C24970">
      <w:r w:rsidRPr="00FB6015">
        <w:t xml:space="preserve">The Retail Products Portfolio (RPP) Program </w:t>
      </w:r>
      <w:r>
        <w:t xml:space="preserve">offered by PG&amp;E </w:t>
      </w:r>
      <w:r w:rsidRPr="00FB6015">
        <w:t>targets a range of consumer electronics and appliance products.</w:t>
      </w:r>
      <w:r w:rsidRPr="00FB6015">
        <w:rPr>
          <w:vertAlign w:val="superscript"/>
        </w:rPr>
        <w:footnoteReference w:id="29"/>
      </w:r>
      <w:r w:rsidRPr="00FB6015">
        <w:t xml:space="preserve"> RPP offers participating retailers an incentive for each unit sold in the participating PAs’ service territories that meets a program-defined efficiency specification.</w:t>
      </w:r>
      <w:r w:rsidRPr="00FB6015">
        <w:rPr>
          <w:vertAlign w:val="superscript"/>
        </w:rPr>
        <w:footnoteReference w:id="30"/>
      </w:r>
      <w:r w:rsidRPr="00FB6015">
        <w:t xml:space="preserve"> The PAs supporting RPP </w:t>
      </w:r>
      <w:r w:rsidRPr="00FB6015">
        <w:lastRenderedPageBreak/>
        <w:t xml:space="preserve">anticipate that these incentives will effectively increase the profit margin that efficient products offer to retailers and thus motivate retailers to take action to sell more efficient products. RPP works with large retailers, and the program anticipates that, while its per-unit incentives would not be enough to influence an end user’s purchase decision, in aggregate they will be sufficient to motivate retailers to take action. </w:t>
      </w:r>
    </w:p>
    <w:p w:rsidR="00C24970" w:rsidRPr="00FB6015" w:rsidRDefault="00C24970" w:rsidP="00C24970"/>
    <w:p w:rsidR="00C24970" w:rsidRPr="00FB6015" w:rsidRDefault="00C24970" w:rsidP="00C24970">
      <w:r w:rsidRPr="00FB6015">
        <w:t xml:space="preserve">Unlike a more traditional buy-down, RPP does not specify how retailers apply the incentives they receive. Reducing the sales price is one of a few actions the program anticipates retailers might take to increase sales of efficient products. Other actions retailers might take include favoring efficient products in ads and other promotions, giving efficient products more prominent placement in the store, and increasing the proportion of efficient products in their product assortments. Some PAs plan to require participating retailers to submit an annual plan detailing the steps they will take to increase sales of efficient products. </w:t>
      </w:r>
    </w:p>
    <w:p w:rsidR="00C24970" w:rsidRPr="00FB6015" w:rsidRDefault="00C24970" w:rsidP="00C24970"/>
    <w:p w:rsidR="00C24970" w:rsidRPr="00FB6015" w:rsidRDefault="00C24970" w:rsidP="00C24970">
      <w:r w:rsidRPr="00FB6015">
        <w:t xml:space="preserve">Retailers make many of the decisions </w:t>
      </w:r>
      <w:r>
        <w:t xml:space="preserve">that </w:t>
      </w:r>
      <w:r w:rsidRPr="00FB6015">
        <w:t xml:space="preserve">RPP seeks to influence—including decisions about assortment and promotion—at a national level. As a result, the program can have a greater influence on retailers’ decisions as its incentives cover a greater proportion of their markets. To this end, through the ENERGY STAR program, the U.S. </w:t>
      </w:r>
      <w:r>
        <w:t>EPA</w:t>
      </w:r>
      <w:r w:rsidRPr="00FB6015">
        <w:t xml:space="preserve"> has taken a coordinating role seeking to encourage PAs around the country to offer RPP and align their offerings with those of other PAs to the extent possible. This coordination is also designed to increase retailer engagement by presenting retailers with a single, large efficiency program rather than multiple small programs that might struggle to gain a retailer’s attention.     </w:t>
      </w:r>
    </w:p>
    <w:p w:rsidR="00C24970" w:rsidRPr="00FB6015" w:rsidRDefault="00C24970" w:rsidP="00C24970"/>
    <w:p w:rsidR="00C24970" w:rsidRPr="00FB6015" w:rsidRDefault="00C24970" w:rsidP="00C24970">
      <w:r w:rsidRPr="00FB6015">
        <w:t>RPP is relatively new. PG&amp;E worked with a single retailer to implement an RPP pilot from November 2013 to December 2014</w:t>
      </w:r>
      <w:r>
        <w:t>. T</w:t>
      </w:r>
      <w:r w:rsidRPr="00FB6015">
        <w:t>he Northwest Energy Efficiency Alliance implemented an RPP pilot with multiple retailers in 2014 and 2015. Evaluations of both pilots found that retailers engaged with the efforts, although the pilots’ small scale</w:t>
      </w:r>
      <w:r w:rsidR="00524B80">
        <w:t>s</w:t>
      </w:r>
      <w:r w:rsidRPr="00FB6015">
        <w:t xml:space="preserve"> limited their results. The PG&amp;E pilot increased</w:t>
      </w:r>
      <w:r w:rsidR="00524B80">
        <w:t xml:space="preserve"> sales of efficient products by a</w:t>
      </w:r>
      <w:r w:rsidRPr="00FB6015">
        <w:t>n average</w:t>
      </w:r>
      <w:r w:rsidR="00524B80">
        <w:t xml:space="preserve"> of</w:t>
      </w:r>
      <w:r w:rsidRPr="00FB6015">
        <w:t xml:space="preserve"> approximately 5% across all the product categories it targeted. </w:t>
      </w:r>
    </w:p>
    <w:p w:rsidR="00C24970" w:rsidRDefault="00C24970" w:rsidP="00C24970"/>
    <w:p w:rsidR="00C24970" w:rsidRPr="005877DB" w:rsidRDefault="00C24970" w:rsidP="005877DB">
      <w:pPr>
        <w:pStyle w:val="Heading5"/>
      </w:pPr>
      <w:r w:rsidRPr="005877DB">
        <w:t>Common Challenges of New Midstream Approaches</w:t>
      </w:r>
    </w:p>
    <w:p w:rsidR="00C24970" w:rsidRPr="00FB6015" w:rsidRDefault="00C24970" w:rsidP="00C24970">
      <w:r w:rsidRPr="00FB6015">
        <w:t xml:space="preserve">Both the RPP model and a market lift approach share two related challenges. First, both models require programs to obtain full category sales data (including both qualified and nonqualified units) from participating retailers. Retailers guard their sales data closely, and programs must provide the retailer with a sufficiently compelling value proposition to motivate them to provide data. Retailers have provided data to national programs like ENERGY STAR and regional ones like RPP, and </w:t>
      </w:r>
      <w:r>
        <w:t xml:space="preserve">to </w:t>
      </w:r>
      <w:r w:rsidRPr="00FB6015">
        <w:t xml:space="preserve">RPP’s predecessor business and consumer electronics programs. However, </w:t>
      </w:r>
      <w:r>
        <w:t>retailers</w:t>
      </w:r>
      <w:r w:rsidRPr="00FB6015">
        <w:t xml:space="preserve"> may be reluctant to provide data to smaller-scale program efforts and may be reluctant to provide the level of data PAs and their </w:t>
      </w:r>
      <w:r>
        <w:rPr>
          <w:color w:val="000000"/>
        </w:rPr>
        <w:t>evaluation contractors</w:t>
      </w:r>
      <w:r w:rsidRPr="00D85274">
        <w:rPr>
          <w:color w:val="000000"/>
        </w:rPr>
        <w:t xml:space="preserve"> </w:t>
      </w:r>
      <w:r w:rsidRPr="00FB6015">
        <w:t xml:space="preserve">would like. </w:t>
      </w:r>
    </w:p>
    <w:p w:rsidR="00C24970" w:rsidRPr="00FB6015" w:rsidRDefault="00C24970" w:rsidP="00C24970"/>
    <w:p w:rsidR="00C24970" w:rsidRDefault="00C24970" w:rsidP="00C24970">
      <w:r w:rsidRPr="00FB6015">
        <w:t>The second challenge both models face is in defining a baseline level of sales. While incentives payments depend on the baseline definition in a lift approach, PAs must also develop a baseline for RPP in order to evaluate the program’s effects. The experience of the PAs piloting lift approaches demonstrate</w:t>
      </w:r>
      <w:r>
        <w:t>s</w:t>
      </w:r>
      <w:r w:rsidRPr="00FB6015">
        <w:t xml:space="preserve"> the challenges </w:t>
      </w:r>
      <w:r>
        <w:t xml:space="preserve">that </w:t>
      </w:r>
      <w:r w:rsidRPr="00FB6015">
        <w:t xml:space="preserve">developing a baseline can pose. One PA selected a comparison area outside its program area against which to measure baseline but had to find a different comparison area when a natural disaster in its original comparison area affected sales of CFLs. Comparison area analyses face further challenges in a program model like RPP that seeks to influence decisions </w:t>
      </w:r>
      <w:r>
        <w:t xml:space="preserve">that </w:t>
      </w:r>
      <w:r w:rsidRPr="00FB6015">
        <w:t xml:space="preserve">retailers make on a national level. To the extent that these programs succeed in influencing national product assortment or promotional decisions, those changes would be present in both the program area and any comparison area. </w:t>
      </w:r>
      <w:r>
        <w:rPr>
          <w:color w:val="000000"/>
        </w:rPr>
        <w:t>Evaluation contractors</w:t>
      </w:r>
      <w:r w:rsidRPr="00D85274">
        <w:rPr>
          <w:color w:val="000000"/>
        </w:rPr>
        <w:t xml:space="preserve"> </w:t>
      </w:r>
      <w:r w:rsidRPr="00FB6015">
        <w:t xml:space="preserve">are working to develop ways to identify the effects of these national decisions, but no approach has gained widespread acceptance to date. </w:t>
      </w:r>
    </w:p>
    <w:p w:rsidR="00C24970" w:rsidRPr="008A5E9E" w:rsidRDefault="00C24970" w:rsidP="000073C3">
      <w:pPr>
        <w:pStyle w:val="Heading4"/>
      </w:pPr>
      <w:bookmarkStart w:id="441" w:name="_Toc472472139"/>
      <w:r w:rsidRPr="008A5E9E">
        <w:lastRenderedPageBreak/>
        <w:t>Shifting Strategies in Whole-Building Upgrades</w:t>
      </w:r>
      <w:bookmarkEnd w:id="441"/>
    </w:p>
    <w:p w:rsidR="00C24970" w:rsidRPr="00FB6015" w:rsidRDefault="00C24970" w:rsidP="00C24970">
      <w:r w:rsidRPr="00D15DF7">
        <w:t>Whole-house energy</w:t>
      </w:r>
      <w:r w:rsidRPr="00FB6015">
        <w:t xml:space="preserve"> upgrade programs have focused on encouraging homeowners to complete a single, comprehensive energy upgrade project and developing a market of trade allies focused on providing those comprehensive upgrades. Recently, </w:t>
      </w:r>
      <w:r>
        <w:t xml:space="preserve">the </w:t>
      </w:r>
      <w:r w:rsidRPr="00FB6015">
        <w:t>experience</w:t>
      </w:r>
      <w:r>
        <w:t xml:space="preserve"> of PAs</w:t>
      </w:r>
      <w:r w:rsidRPr="00FB6015">
        <w:t>, including many ARRA</w:t>
      </w:r>
      <w:r w:rsidR="00C81F40">
        <w:t xml:space="preserve"> (</w:t>
      </w:r>
      <w:r w:rsidR="00072F06">
        <w:t>American Recovery and Reinvestment Act</w:t>
      </w:r>
      <w:r w:rsidR="00C81F40">
        <w:t>)</w:t>
      </w:r>
      <w:r w:rsidRPr="00FB6015">
        <w:t xml:space="preserve"> grantees who</w:t>
      </w:r>
      <w:r w:rsidR="00524B80">
        <w:t xml:space="preserve"> </w:t>
      </w:r>
      <w:r w:rsidRPr="00FB6015">
        <w:t>focused</w:t>
      </w:r>
      <w:r w:rsidR="00524B80">
        <w:t xml:space="preserve"> heavily</w:t>
      </w:r>
      <w:r w:rsidRPr="00FB6015">
        <w:t xml:space="preserve"> on these types of upgrades, has suggested there may be a benefit to adopting an approach that </w:t>
      </w:r>
      <w:r>
        <w:t xml:space="preserve">is </w:t>
      </w:r>
      <w:r w:rsidRPr="00FB6015">
        <w:t>closely integrated with the existing home improvement market. Recent industry literature provides findings on the roles of audits and contractor training that are relevant to this shift in whole-house program approach, as well as the potential benefits and limitations of financing in driving energy upgrades.</w:t>
      </w:r>
    </w:p>
    <w:p w:rsidR="00C24970" w:rsidRPr="00FB6015" w:rsidRDefault="00C24970" w:rsidP="00C24970"/>
    <w:p w:rsidR="00C24970" w:rsidRPr="007B2589" w:rsidRDefault="00C24970" w:rsidP="000073C3">
      <w:pPr>
        <w:pStyle w:val="Heading5"/>
      </w:pPr>
      <w:r w:rsidRPr="007B2589">
        <w:t>Audit Approaches</w:t>
      </w:r>
    </w:p>
    <w:p w:rsidR="00C24970" w:rsidRPr="00FB6015" w:rsidRDefault="00C24970" w:rsidP="00C24970">
      <w:r w:rsidRPr="00FB6015">
        <w:t xml:space="preserve">An analysis of 54 comprehensive residential efficiency programs supported by grants from the ARRA-funded BBNP found that offering multiple audit types predicted program success across a range of factors. In particular, grantees found that offering less expensive and less comprehensive audits resulted in a wider range of participants engaging in the program, including those who may be interested in completing some efficiency improvements but are not prepared to complete a comprehensive project. Grantees who took this approach achieved similar levels of average energy savings per upgrade as grantees who offered only comprehensive audits, but did so at a considerably lower cost. Another study comparing phone-based energy audits to in-person audits similarly found no significant increase in customer satisfaction or uptake of audit recommendations among participants who received in-home audits relative to those who received phone advising. </w:t>
      </w:r>
    </w:p>
    <w:p w:rsidR="00C24970" w:rsidRPr="00FB6015" w:rsidRDefault="00C24970" w:rsidP="00C24970"/>
    <w:p w:rsidR="00C24970" w:rsidRPr="00FB6015" w:rsidRDefault="00C24970" w:rsidP="00C24970">
      <w:r w:rsidRPr="00FB6015">
        <w:t xml:space="preserve">The BBNP grantees who offered less comprehensive assessment options in addition to comprehensive audits nonetheless took steps to encourage participants to install multiple measures. While these grantees relied on prescriptive incentives for participants who did not receive comprehensive audits, their incentive structures required participants to install a set number or package of measures, provided bonuses for installation of multiple measures, or both. In many cases these programs would also reach out to participants after their upgrades were complete, hoping to leverage an initial positive experience and encourage them to make additional improvements.  </w:t>
      </w:r>
    </w:p>
    <w:p w:rsidR="00C24970" w:rsidRPr="00FB6015" w:rsidRDefault="00C24970" w:rsidP="00C24970"/>
    <w:p w:rsidR="00C24970" w:rsidRPr="00FB6015" w:rsidRDefault="00C24970" w:rsidP="00C24970">
      <w:r w:rsidRPr="00FB6015">
        <w:t xml:space="preserve">Other effective audit practices identified in industry literature include charging customers at least a nominal fee for the audit. Programs have found that doing so helps reduce the number of audit participants who are curious about what the audit might find but not seriously interested in completing an energy upgrade. Thus, audit fees can increase audit-to-retrofit conversion rates. Providing direct installation of measures during the audit is another practice that industry sources have found to be effective. These measures can allow the program to claim some energy savings from audit participants who do not go on to make additional energy upgrades. Programs offering direct measure installation have also generated high customer satisfaction. </w:t>
      </w:r>
    </w:p>
    <w:p w:rsidR="00C24970" w:rsidRPr="00FB6015" w:rsidRDefault="00C24970" w:rsidP="00C24970"/>
    <w:p w:rsidR="00C24970" w:rsidRPr="009F5A3D" w:rsidRDefault="00C24970" w:rsidP="000073C3">
      <w:pPr>
        <w:pStyle w:val="Heading5"/>
      </w:pPr>
      <w:r w:rsidRPr="009F5A3D">
        <w:t>Contractor Engagement and Training</w:t>
      </w:r>
    </w:p>
    <w:p w:rsidR="00C24970" w:rsidRPr="00FB6015" w:rsidRDefault="00C24970" w:rsidP="00C24970">
      <w:r w:rsidRPr="00FB6015">
        <w:t xml:space="preserve">In the home improvement market as a whole, general home remodeling contractors and HVAC contractors complete most projects; contractors dedicated specifically to energy efficiency improvements conduct relatively few projects. As a result, recent industry literature suggests that, for energy upgrades to attain significant scale, PAs will need to engage contractors across multiple building trades, looking beyond those who have adopted energy upgrades as a business focus. </w:t>
      </w:r>
    </w:p>
    <w:p w:rsidR="00C24970" w:rsidRPr="00FB6015" w:rsidRDefault="00C24970" w:rsidP="00C24970"/>
    <w:p w:rsidR="00C24970" w:rsidRPr="00FB6015" w:rsidRDefault="00C24970" w:rsidP="00C24970">
      <w:r w:rsidRPr="00FB6015">
        <w:lastRenderedPageBreak/>
        <w:t xml:space="preserve">Consistent with this approach, the evaluation of the BBNP found that programs with a larger number of participating contractors were more likely to be successful. Homeowners’ practices in selecting a contractor for home improvement projects likely contribute to both this finding and the importance of programs engaging with a wide range of contractors. Homeowners most often select contractors for home improvement projects based on word-of-mouth recommendations, past experience working with the contractor, or some other type of previous personal relationship with the contractor. Roughly half of homeowners contact only one contractor for any given project. As a result, working with a larger pool of participating contractors may increase the likelihood that a homeowner would contact one of a program’s trade ally contractors for any given project, giving that contractor an opportunity to recommend energy upgrades. </w:t>
      </w:r>
    </w:p>
    <w:p w:rsidR="00C24970" w:rsidRPr="00FB6015" w:rsidRDefault="00C24970" w:rsidP="00C24970"/>
    <w:p w:rsidR="00C24970" w:rsidRPr="00FB6015" w:rsidRDefault="00C24970" w:rsidP="00C24970">
      <w:r w:rsidRPr="00FB6015">
        <w:t>As the only program representative likely to be present at the time a homeowner decides whether or not to move forward with an energy upgrade, trade ally contractors play a key role in selling energy upgrade projects. As a result, contractor training, and particularly training in sales skills, can play an important role in the success of efficiency programs. The BBNP evaluation found that grantees who did not offer contractor training were significantly more likely to be among the least successful, and the more types of training a grantee offered, the more likely they were to be successful. BBNP grantees drew on a variety of providers for contractor training, ranging from national training vendors to community colleges to equipment manufacturers’ representatives. Grantees also used both in-the-field mentoring and classroom training.</w:t>
      </w:r>
    </w:p>
    <w:p w:rsidR="00C24970" w:rsidRDefault="00C24970" w:rsidP="00C24970"/>
    <w:p w:rsidR="00C24970" w:rsidRPr="009F5A3D" w:rsidRDefault="00C24970" w:rsidP="000073C3">
      <w:pPr>
        <w:pStyle w:val="Heading5"/>
      </w:pPr>
      <w:r w:rsidRPr="009F5A3D">
        <w:t>Financing</w:t>
      </w:r>
    </w:p>
    <w:p w:rsidR="00C24970" w:rsidRPr="00FB6015" w:rsidRDefault="00C24970" w:rsidP="00C24970">
      <w:r w:rsidRPr="00FB6015">
        <w:t>PAs have long looked to financing as a tool to increase uptake of comprehensive home energy upgrades by eliminating the up</w:t>
      </w:r>
      <w:r>
        <w:t>-</w:t>
      </w:r>
      <w:r w:rsidRPr="00FB6015">
        <w:t>front costs of those upgrades to homeowners. Recently, a growing number of PAs have launched energy efficiency financing offerings as a way to leverage private funds to meet increasing energy savings targets. The experience of these PAs provides lessons learned on the role financing can play in residential energy upgrade programs.</w:t>
      </w:r>
    </w:p>
    <w:p w:rsidR="00C24970" w:rsidRPr="00FB6015" w:rsidRDefault="00C24970" w:rsidP="00C24970">
      <w:r w:rsidRPr="00FB6015">
        <w:t xml:space="preserve"> </w:t>
      </w:r>
    </w:p>
    <w:p w:rsidR="00C24970" w:rsidRPr="00FB6015" w:rsidRDefault="00C24970" w:rsidP="00C24970">
      <w:r w:rsidRPr="00FB6015">
        <w:t xml:space="preserve">The BBNP grantees and other </w:t>
      </w:r>
      <w:r>
        <w:t>PAs</w:t>
      </w:r>
      <w:r w:rsidRPr="00FB6015">
        <w:t xml:space="preserve"> found that financing is not appealing to many program participants, but it is valuable to those who use it. Eighteen percent of all participants in residential BBNP-funded programs that offered loans used them. This figure is consistent with the loan uptake range of 10%</w:t>
      </w:r>
      <w:r>
        <w:t>–</w:t>
      </w:r>
      <w:r w:rsidRPr="00FB6015">
        <w:t xml:space="preserve">20% that </w:t>
      </w:r>
      <w:r>
        <w:t>PAs</w:t>
      </w:r>
      <w:r w:rsidRPr="00FB6015">
        <w:t xml:space="preserve"> around the country have identified as typical for residential financing programs. Nonetheless, a large majority of participants in BBNP-funded programs who received loans (73%) reported that the availability of the loan was important in their decision to make upgrades. </w:t>
      </w:r>
    </w:p>
    <w:p w:rsidR="00C24970" w:rsidRPr="00FB6015" w:rsidRDefault="00C24970" w:rsidP="00C24970"/>
    <w:p w:rsidR="00C24970" w:rsidRDefault="00C24970" w:rsidP="00C24970">
      <w:r w:rsidRPr="006B1374">
        <w:t>Consistent</w:t>
      </w:r>
      <w:r w:rsidRPr="00FB6015">
        <w:t xml:space="preserve"> with the limited appeal of financing among efficiency program participants, industry literature suggests that financing is most effective as a sales tool to address the specific concerns that prevent an individual homeowner from moving forward with an upgrade. Financing is less effective as a marketing tool seeking to generate interest in energy upgrades among the general public. BBNP grantees found that offering low interest rates increases uptake of financing offerings. Nonetheless, lenders may be unwilling to use expanded or alternate underwriting criteria for loans offered at very low interest rates.</w:t>
      </w:r>
      <w:r w:rsidRPr="00FB6015">
        <w:rPr>
          <w:vertAlign w:val="superscript"/>
        </w:rPr>
        <w:footnoteReference w:id="31"/>
      </w:r>
      <w:r w:rsidRPr="00FB6015">
        <w:t xml:space="preserve"> As a result, programs offering very low rates may do so at the expense of a program’s ability to reach low</w:t>
      </w:r>
      <w:r>
        <w:t>-</w:t>
      </w:r>
      <w:r w:rsidRPr="00FB6015">
        <w:t xml:space="preserve"> and moderate</w:t>
      </w:r>
      <w:r>
        <w:t>-</w:t>
      </w:r>
      <w:r w:rsidRPr="00FB6015">
        <w:t>income homeowners who are less likely to have other financing options.</w:t>
      </w:r>
    </w:p>
    <w:p w:rsidR="008B5045" w:rsidRPr="00FB6015" w:rsidRDefault="008B5045" w:rsidP="00C24970"/>
    <w:p w:rsidR="00C24970" w:rsidRPr="00FB6015" w:rsidRDefault="00C24970" w:rsidP="00C24970">
      <w:r w:rsidRPr="00FB6015">
        <w:t xml:space="preserve">It is important for programs to seamlessly integrate financing into their processes and make participation easy for homeowners. Providing loans involves a wide range of actors and communication flows that have not traditionally been part of efficiency programs, and the long processes that can result may lead participants to drop out of the program before completing the process. </w:t>
      </w:r>
    </w:p>
    <w:p w:rsidR="00C24970" w:rsidRPr="00FB6015" w:rsidRDefault="00C24970" w:rsidP="00C24970"/>
    <w:p w:rsidR="00C24970" w:rsidRPr="00FB6015" w:rsidRDefault="00C24970" w:rsidP="00C24970">
      <w:r w:rsidRPr="00FB6015">
        <w:t>Increased convenience for participants is one of the primary benefits programs have seen in offering loan repayment on the participant’s utility or property tax bill. Nonetheless, on-bill repayment has the potential to offer a variety of additional benefits: by attaching loans to a meter or property, programs may be able to overcome some homeowners’ concerns that they would move before seeing financial returns on any investments they make in energy efficiency. Further</w:t>
      </w:r>
      <w:r>
        <w:t>more</w:t>
      </w:r>
      <w:r w:rsidRPr="00FB6015">
        <w:t>, on-bill repayment has the potential to reduce the lender’s risk because there is very low delinquency on utility bills</w:t>
      </w:r>
      <w:r>
        <w:t>,</w:t>
      </w:r>
      <w:r w:rsidRPr="00FB6015">
        <w:t xml:space="preserve"> and programs can impose utility service disconnection as a penalty for nonpayment of on-bill loans. </w:t>
      </w:r>
    </w:p>
    <w:p w:rsidR="00C24970" w:rsidRPr="00FB6015" w:rsidRDefault="00C24970" w:rsidP="00C24970"/>
    <w:p w:rsidR="00C24970" w:rsidRPr="00FB6015" w:rsidRDefault="00C24970" w:rsidP="00C24970">
      <w:r w:rsidRPr="00FB6015">
        <w:t>Many of the potential benefits of on-bill lending remain untested on a large scale. A review of programs across the country found that default rates for on-bill lending programs were low (less than 2%), regardless of whether the program included the possibility of utility service disconnection for nonpayment. To date, programs have relatively little experience with loans transferring from one resident to another. The benefits of transferability depend on the new resident accepting the loan, and the proportion of loans that transfer relative to those that are paid off before a property is sold is unclear.</w:t>
      </w:r>
      <w:r w:rsidRPr="00FB6015">
        <w:rPr>
          <w:vertAlign w:val="superscript"/>
        </w:rPr>
        <w:footnoteReference w:id="32"/>
      </w:r>
      <w:r w:rsidRPr="00FB6015">
        <w:t xml:space="preserve"> </w:t>
      </w:r>
    </w:p>
    <w:p w:rsidR="00C24970" w:rsidRPr="00FB6015" w:rsidRDefault="00C24970" w:rsidP="00C24970"/>
    <w:p w:rsidR="00C24970" w:rsidRPr="008A5E9E" w:rsidRDefault="00C24970" w:rsidP="000073C3">
      <w:pPr>
        <w:pStyle w:val="Heading4"/>
      </w:pPr>
      <w:bookmarkStart w:id="442" w:name="_Toc472472140"/>
      <w:r w:rsidRPr="008A5E9E">
        <w:t>Behavioral Interventions</w:t>
      </w:r>
      <w:bookmarkEnd w:id="442"/>
    </w:p>
    <w:p w:rsidR="00C24970" w:rsidRPr="00FB6015" w:rsidRDefault="00C24970" w:rsidP="00C24970">
      <w:r w:rsidRPr="00FB6015">
        <w:t xml:space="preserve">Recent industry literature reflects a growing focus among energy efficiency program </w:t>
      </w:r>
      <w:r>
        <w:t>PAs</w:t>
      </w:r>
      <w:r w:rsidRPr="00FB6015">
        <w:t xml:space="preserve"> on using strategies from social and behavioral science to motivate people to reduce their energy consumption. Two elements stand out in the way regulators and PAs have defined these programs: they are based on the deliberate application of social science theory</w:t>
      </w:r>
      <w:r w:rsidR="00524B80">
        <w:t>,</w:t>
      </w:r>
      <w:r w:rsidRPr="00FB6015">
        <w:t xml:space="preserve"> and</w:t>
      </w:r>
      <w:r w:rsidR="00524B80">
        <w:t xml:space="preserve"> they</w:t>
      </w:r>
      <w:r w:rsidRPr="00FB6015">
        <w:t xml:space="preserve"> identify specific behaviors that they seek to change. As described below, industry literature identified three common behavioral strategies and two primary challenges that behavioral programs face.</w:t>
      </w:r>
    </w:p>
    <w:p w:rsidR="008B5045" w:rsidRDefault="008B5045" w:rsidP="00C24970"/>
    <w:p w:rsidR="00C24970" w:rsidRPr="009F5A3D" w:rsidRDefault="00C24970" w:rsidP="000073C3">
      <w:pPr>
        <w:pStyle w:val="Heading5"/>
      </w:pPr>
      <w:r w:rsidRPr="009F5A3D">
        <w:t>Behavioral Strategies</w:t>
      </w:r>
    </w:p>
    <w:p w:rsidR="00C24970" w:rsidRPr="00FB6015" w:rsidRDefault="00C24970" w:rsidP="00C24970">
      <w:r w:rsidRPr="00FB6015">
        <w:t>As noted above, programs seeking to bring about behavior</w:t>
      </w:r>
      <w:r>
        <w:t>al</w:t>
      </w:r>
      <w:r w:rsidRPr="00FB6015">
        <w:t xml:space="preserve"> change do so by leveraging specific interventions based in social science theory. Catalogs of behavioral interventions have identified 33 strategies to influence energy use that fit into 12 categories. This section describes three of the most common strategies PAs have employed, based on industry literature. </w:t>
      </w:r>
    </w:p>
    <w:p w:rsidR="00C24970" w:rsidRPr="00FB6015" w:rsidRDefault="00C24970" w:rsidP="00C24970"/>
    <w:p w:rsidR="00C24970" w:rsidRPr="008C4F49" w:rsidRDefault="00C24970" w:rsidP="000073C3">
      <w:pPr>
        <w:pStyle w:val="Heading5"/>
      </w:pPr>
      <w:r w:rsidRPr="008C4F49">
        <w:t>Social Norms</w:t>
      </w:r>
    </w:p>
    <w:p w:rsidR="00C24970" w:rsidRPr="00FB6015" w:rsidRDefault="00C24970" w:rsidP="00C24970">
      <w:r w:rsidRPr="0094299A">
        <w:t>Social</w:t>
      </w:r>
      <w:r w:rsidRPr="00FB6015">
        <w:t xml:space="preserve"> norms form when individuals observe other members of their community adopting a particular behavior and come to view that behavior as “widely accepted, socially supported, and therefore natural</w:t>
      </w:r>
      <w:r>
        <w:t>.</w:t>
      </w:r>
      <w:r w:rsidRPr="00FB6015">
        <w:t>”</w:t>
      </w:r>
      <w:r>
        <w:rPr>
          <w:rStyle w:val="FootnoteReference"/>
        </w:rPr>
        <w:footnoteReference w:id="33"/>
      </w:r>
      <w:r w:rsidRPr="00FB6015">
        <w:t xml:space="preserve"> Interventions seeking to leverage social norms as a behavioral strategy compare participants </w:t>
      </w:r>
      <w:r>
        <w:t>with</w:t>
      </w:r>
      <w:r w:rsidRPr="00FB6015">
        <w:t xml:space="preserve"> other members of their community and make community members’ energy saving</w:t>
      </w:r>
      <w:r>
        <w:t>s</w:t>
      </w:r>
      <w:r w:rsidRPr="00FB6015">
        <w:t xml:space="preserve"> actions visible in order to build norms around the targeted energy saving</w:t>
      </w:r>
      <w:r>
        <w:t>s</w:t>
      </w:r>
      <w:r w:rsidRPr="00FB6015">
        <w:t xml:space="preserve"> behaviors. These interventions also often seek to leverage existing social networks, and messages delivered by individuals who are influential within </w:t>
      </w:r>
      <w:r w:rsidRPr="00FB6015">
        <w:lastRenderedPageBreak/>
        <w:t xml:space="preserve">those networks can be particularly effective in building norms and motivating behavior. HER programs that compare participants </w:t>
      </w:r>
      <w:r>
        <w:t>with</w:t>
      </w:r>
      <w:r w:rsidRPr="00FB6015">
        <w:t xml:space="preserve"> their neighbors may be the most common strategy PAs have used to leverage social norms. Other strategies drawing on social norms include competitions, opt-in feedback programs, and benchmarking programs. </w:t>
      </w:r>
    </w:p>
    <w:p w:rsidR="00C24970" w:rsidRPr="00FB6015" w:rsidRDefault="00C24970" w:rsidP="00C24970"/>
    <w:p w:rsidR="00C24970" w:rsidRPr="00FB6015" w:rsidRDefault="00C24970" w:rsidP="00C24970">
      <w:r w:rsidRPr="00FB6015">
        <w:t>The Ontario Power Authority’s Project Porchlight is an example of a program seeking to leverage social norms to influence behavior. The program encouraged residents in targeted neighborhoods to replace the incandescent lamps in their porch lights with CFLs. Volunteers went door-to-door in their own neighborhoods distributing CFLs and encouraging their neighbors to install them. The program anticipated that this peer-to-peer interaction would build social norms encouraging the use of CFLs. The program operated in four Canadian provinces and three U.S. states and distributed a large number of CFLs for a very low cost of saved energy</w:t>
      </w:r>
      <w:r>
        <w:t xml:space="preserve"> </w:t>
      </w:r>
      <w:r w:rsidRPr="00FB6015">
        <w:t xml:space="preserve">($0.01/kWh). </w:t>
      </w:r>
    </w:p>
    <w:p w:rsidR="003F64A2" w:rsidRPr="00FB6015" w:rsidRDefault="003F64A2" w:rsidP="00C24970"/>
    <w:p w:rsidR="00C24970" w:rsidRPr="008C4F49" w:rsidRDefault="00C24970" w:rsidP="000073C3">
      <w:pPr>
        <w:pStyle w:val="Heading5"/>
      </w:pPr>
      <w:r w:rsidRPr="008C4F49">
        <w:t>Feedback</w:t>
      </w:r>
    </w:p>
    <w:p w:rsidR="00C24970" w:rsidRPr="00FB6015" w:rsidRDefault="00C24970" w:rsidP="00C24970">
      <w:r w:rsidRPr="00FB6015">
        <w:t>Feedback programs provide participants with information about their energy use, which they can use to inform decisions on energy saving</w:t>
      </w:r>
      <w:r>
        <w:t>s</w:t>
      </w:r>
      <w:r w:rsidRPr="00FB6015">
        <w:t xml:space="preserve"> actions and potentially see the results of those actions. Asynchronous feedback programs provide participants with information about their energy use over a defined period in the past. HERs are the most common form of asynchronous feedback </w:t>
      </w:r>
      <w:r>
        <w:t xml:space="preserve">that </w:t>
      </w:r>
      <w:r w:rsidRPr="00FB6015">
        <w:t>PAs are currently using.</w:t>
      </w:r>
      <w:r w:rsidRPr="00FB6015">
        <w:rPr>
          <w:vertAlign w:val="superscript"/>
        </w:rPr>
        <w:footnoteReference w:id="34"/>
      </w:r>
      <w:r w:rsidRPr="00FB6015">
        <w:t xml:space="preserve"> These programs typically generate net energy savings ranging from 0.9% to 2.2%. </w:t>
      </w:r>
    </w:p>
    <w:p w:rsidR="00C24970" w:rsidRPr="00FB6015" w:rsidRDefault="00C24970" w:rsidP="00C24970"/>
    <w:p w:rsidR="00C24970" w:rsidRDefault="00C24970" w:rsidP="00C24970">
      <w:r w:rsidRPr="00FB6015">
        <w:t>Real-time feedback programs provide customers with information about their home’s current energy use, through an online portal, mobile app, in-home display, or smart thermostat. These programs allow participants to observe the immediate impact of changes in behavior on their energy use. PAs have used real-time feedback to support real-time pricing and behavioral demand response programs. Southern California Edison’s (SCE</w:t>
      </w:r>
      <w:r w:rsidR="00AD795C">
        <w:t>’s</w:t>
      </w:r>
      <w:r w:rsidRPr="00FB6015">
        <w:t>) SmartConnect Program provides in-home displays and offers tools to help participants set a budget, including alerts when they approach the budget and suggestions for actions they can take to stay within their budget. The program also alerts customers on days when incentives are available for behavioral demand response savings.</w:t>
      </w:r>
      <w:r w:rsidRPr="00FB6015">
        <w:rPr>
          <w:vertAlign w:val="superscript"/>
        </w:rPr>
        <w:footnoteReference w:id="35"/>
      </w:r>
      <w:r w:rsidRPr="00FB6015">
        <w:t xml:space="preserve"> While SCE’s SmartConnect Program does not include real-time pricing, its approach is consistent with research that has found that real-time pricing programs are most effective when integrated with other behavioral strategies like goal</w:t>
      </w:r>
      <w:r>
        <w:t xml:space="preserve"> </w:t>
      </w:r>
      <w:r w:rsidRPr="00FB6015">
        <w:t>setting and notifications.</w:t>
      </w:r>
    </w:p>
    <w:p w:rsidR="00C24970" w:rsidRPr="00FB6015" w:rsidRDefault="00C24970" w:rsidP="00C24970"/>
    <w:p w:rsidR="00C24970" w:rsidRPr="008C4F49" w:rsidRDefault="00C24970" w:rsidP="000073C3">
      <w:pPr>
        <w:pStyle w:val="Heading5"/>
      </w:pPr>
      <w:r w:rsidRPr="008C4F49">
        <w:t>Commitment</w:t>
      </w:r>
    </w:p>
    <w:p w:rsidR="00C24970" w:rsidRPr="00FB6015" w:rsidRDefault="00C24970" w:rsidP="00C24970">
      <w:r w:rsidRPr="00FB6015">
        <w:t>Social scientists have found that individuals are more likely to follow through on an action if they make a public commitment or publicly state a goal to take that action. The public nature of these commitments can provide social pressure to follow through with the action and generate an uncomfortable sense of cognitive dissonance if the individual does not follow</w:t>
      </w:r>
      <w:r>
        <w:t xml:space="preserve"> </w:t>
      </w:r>
      <w:r w:rsidRPr="00FB6015">
        <w:t>through.</w:t>
      </w:r>
      <w:r w:rsidRPr="00FB6015">
        <w:rPr>
          <w:vertAlign w:val="superscript"/>
        </w:rPr>
        <w:footnoteReference w:id="36"/>
      </w:r>
      <w:r w:rsidRPr="00FB6015">
        <w:t xml:space="preserve"> Programs seeking to leverage commitment as a behavior change strategy have asked participants to make public pledges to save energy, and have used competitions as a way to motivate participants to make and follow through on commitments.</w:t>
      </w:r>
    </w:p>
    <w:p w:rsidR="00C24970" w:rsidRPr="00FB6015" w:rsidRDefault="00C24970" w:rsidP="00C24970"/>
    <w:p w:rsidR="00C24970" w:rsidRPr="00FB6015" w:rsidRDefault="00C24970" w:rsidP="00C24970">
      <w:r w:rsidRPr="00FB6015">
        <w:t xml:space="preserve">Entergy Solutions Rewards is a pledge program in Arkansas that asks customers to sign a pledge committing to energy savings behaviors. The behaviors vary but include pledges to change the dryer lint </w:t>
      </w:r>
      <w:r w:rsidRPr="00FB6015">
        <w:lastRenderedPageBreak/>
        <w:t>filter, install CFLs, use an advanced power strip, or lower the thermostat</w:t>
      </w:r>
      <w:r>
        <w:t xml:space="preserve"> setting</w:t>
      </w:r>
      <w:r w:rsidRPr="00FB6015">
        <w:t xml:space="preserve"> in winter.</w:t>
      </w:r>
      <w:r w:rsidRPr="00FB6015">
        <w:rPr>
          <w:vertAlign w:val="superscript"/>
        </w:rPr>
        <w:footnoteReference w:id="37"/>
      </w:r>
      <w:r w:rsidRPr="00FB6015">
        <w:t xml:space="preserve"> Respondents are rewarded with a $5 gift card to Walmart, Barnes and Noble, or a variety of other retailers and restaurants.</w:t>
      </w:r>
      <w:r w:rsidRPr="00FB6015">
        <w:rPr>
          <w:vertAlign w:val="superscript"/>
        </w:rPr>
        <w:footnoteReference w:id="38"/>
      </w:r>
    </w:p>
    <w:p w:rsidR="00C24970" w:rsidRPr="00FB6015" w:rsidRDefault="00C24970" w:rsidP="00C24970"/>
    <w:p w:rsidR="00C24970" w:rsidRPr="008A5E9E" w:rsidRDefault="00C24970" w:rsidP="000073C3">
      <w:pPr>
        <w:pStyle w:val="Heading5"/>
      </w:pPr>
      <w:r w:rsidRPr="008A5E9E">
        <w:t>Designing Behavioral Interventions for Evaluation</w:t>
      </w:r>
    </w:p>
    <w:p w:rsidR="00C24970" w:rsidRPr="00FB6015" w:rsidRDefault="00C24970" w:rsidP="00C24970">
      <w:r w:rsidRPr="00FB6015">
        <w:t xml:space="preserve">Traditional efficiency program evaluation approaches focus on identifying the impact of a discrete action—like replacing a piece of equipment or making an improvement to a building—on a participant’s energy use. Participants’ responses to behavioral programs may not include these types of large, one-time actions. Instead they may include many smaller activities to reduce energy use. As a result, behavioral programs require distinct evaluation approaches, and incorporation of these approaches often has implications for program design. Two approaches to measure the impact of behavioral programs are pre- and post-treatment comparisons and controlled experiments. </w:t>
      </w:r>
    </w:p>
    <w:p w:rsidR="00C24970" w:rsidRPr="00FB6015" w:rsidRDefault="00C24970" w:rsidP="00C24970"/>
    <w:p w:rsidR="00C24970" w:rsidRPr="00FB6015" w:rsidRDefault="00C24970" w:rsidP="00C24970">
      <w:r w:rsidRPr="00FB6015">
        <w:t xml:space="preserve">Pre- and post-treatment comparisons evaluate an intervention by comparing the energy use of </w:t>
      </w:r>
      <w:r>
        <w:t xml:space="preserve">individual </w:t>
      </w:r>
      <w:r w:rsidRPr="00FB6015">
        <w:t xml:space="preserve">participants prior to </w:t>
      </w:r>
      <w:r>
        <w:t>and</w:t>
      </w:r>
      <w:r w:rsidRPr="00FB6015">
        <w:t xml:space="preserve"> following the intervention. This approach can be effective for programs in which participants opt in (rather than being randomly selected). Individuals </w:t>
      </w:r>
      <w:r>
        <w:t>who</w:t>
      </w:r>
      <w:r w:rsidRPr="00FB6015">
        <w:t xml:space="preserve"> opt in to the program may not be representative of the population, making it difficult to identify a control group that would serve as an effective comparison. Pre</w:t>
      </w:r>
      <w:r>
        <w:t xml:space="preserve">- and </w:t>
      </w:r>
      <w:r w:rsidRPr="00FB6015">
        <w:t>post</w:t>
      </w:r>
      <w:r>
        <w:t>-treatment</w:t>
      </w:r>
      <w:r w:rsidRPr="00FB6015">
        <w:t xml:space="preserve"> comparisons also face challenges, however, in that factors external to the program intervention, like seasonal changes and changes in energy use associated with changing economic conditions, may alter participants’ energy use between the pre- and post-treatment time periods. </w:t>
      </w:r>
    </w:p>
    <w:p w:rsidR="00C24970" w:rsidRPr="00FB6015" w:rsidRDefault="00C24970" w:rsidP="00C24970"/>
    <w:p w:rsidR="00C24970" w:rsidRDefault="00C24970" w:rsidP="00C24970">
      <w:r w:rsidRPr="00FB6015">
        <w:t>Randomized controlled experiments define both a treatment group, which receives the intervention, and a control group, which does not receive the intervention, and compare the energy use of the two groups. More complex experimental designs may identify multiple treatment groups to receive varying elements of the intervention in order to isolate the effects of specific elements. To effectively design the experiment</w:t>
      </w:r>
      <w:r>
        <w:t>,</w:t>
      </w:r>
      <w:r w:rsidRPr="00FB6015">
        <w:t xml:space="preserve"> PAs must carefully select the treatment and control groups to ensure that they do not differ across any characteristics that might influence their energy use or response to the intervention. These types of controlled experiments are most effective with relatively straight-forward program designs, and have been used to evaluate real-time feedback and </w:t>
      </w:r>
      <w:r>
        <w:t>HER</w:t>
      </w:r>
      <w:r w:rsidRPr="00FB6015">
        <w:t xml:space="preserve"> programs.</w:t>
      </w:r>
    </w:p>
    <w:p w:rsidR="000073C3" w:rsidRDefault="000073C3" w:rsidP="00C24970"/>
    <w:p w:rsidR="00980869" w:rsidRPr="00980869" w:rsidRDefault="00740F78" w:rsidP="00740F78">
      <w:pPr>
        <w:pStyle w:val="Heading3"/>
      </w:pPr>
      <w:bookmarkStart w:id="443" w:name="_Toc472472141"/>
      <w:bookmarkStart w:id="444" w:name="_Toc476913953"/>
      <w:r>
        <w:t>Process Evaluation Recommendations</w:t>
      </w:r>
      <w:bookmarkEnd w:id="443"/>
      <w:bookmarkEnd w:id="444"/>
    </w:p>
    <w:p w:rsidR="008C02DB" w:rsidRDefault="008C02DB" w:rsidP="0055637D">
      <w:r>
        <w:t xml:space="preserve">Based on the recommendations provided by evaluation contractors and included in the EDCs’ PY7 annual reports, and making an effort to include at least one recommendation for each program type, the SWE Team has identified the following recommendations as having the greatest potential impact. </w:t>
      </w:r>
      <w:r w:rsidR="005C1363">
        <w:t>In some cases, the SWE Team had edited the recommendations for length.</w:t>
      </w:r>
    </w:p>
    <w:p w:rsidR="008C02DB" w:rsidRDefault="008C02DB" w:rsidP="0055637D"/>
    <w:p w:rsidR="008C02DB" w:rsidRPr="007631BE" w:rsidRDefault="008C02DB" w:rsidP="007631BE">
      <w:pPr>
        <w:spacing w:after="60"/>
        <w:rPr>
          <w:rFonts w:ascii="Century Gothic" w:hAnsi="Century Gothic"/>
          <w:b/>
        </w:rPr>
      </w:pPr>
      <w:r w:rsidRPr="007631BE">
        <w:rPr>
          <w:rFonts w:ascii="Century Gothic" w:hAnsi="Century Gothic"/>
          <w:b/>
        </w:rPr>
        <w:t xml:space="preserve">Residential </w:t>
      </w:r>
      <w:r w:rsidR="00187D5B" w:rsidRPr="007631BE">
        <w:rPr>
          <w:rFonts w:ascii="Century Gothic" w:hAnsi="Century Gothic"/>
          <w:b/>
        </w:rPr>
        <w:t>P</w:t>
      </w:r>
      <w:r w:rsidRPr="007631BE">
        <w:rPr>
          <w:rFonts w:ascii="Century Gothic" w:hAnsi="Century Gothic"/>
          <w:b/>
        </w:rPr>
        <w:t>roducts</w:t>
      </w:r>
    </w:p>
    <w:p w:rsidR="008C02DB" w:rsidRDefault="008C02DB" w:rsidP="00E646C9">
      <w:pPr>
        <w:pStyle w:val="ListParagraph"/>
        <w:numPr>
          <w:ilvl w:val="0"/>
          <w:numId w:val="64"/>
        </w:numPr>
        <w:ind w:left="360"/>
        <w:contextualSpacing w:val="0"/>
      </w:pPr>
      <w:r>
        <w:t>FirstEnergy: Review rebate paperwork processes to identify opportunities to streamline documentation requirements and notify contractors and customers more quickly if project documentation is incomplete.</w:t>
      </w:r>
    </w:p>
    <w:p w:rsidR="008C02DB" w:rsidRDefault="008C02DB" w:rsidP="00E646C9">
      <w:pPr>
        <w:pStyle w:val="ListParagraph"/>
        <w:numPr>
          <w:ilvl w:val="0"/>
          <w:numId w:val="64"/>
        </w:numPr>
        <w:ind w:left="360"/>
        <w:contextualSpacing w:val="0"/>
      </w:pPr>
      <w:r>
        <w:t xml:space="preserve">PECO: Focus </w:t>
      </w:r>
      <w:r w:rsidR="00DF6590">
        <w:t>outreach</w:t>
      </w:r>
      <w:r>
        <w:t xml:space="preserve"> efforts on HVAC installers for the non-lighting aspect of Smart Home Rebates program in Phase III as the program ramps back up and invites new installation companies to join.</w:t>
      </w:r>
    </w:p>
    <w:p w:rsidR="008C02DB" w:rsidRDefault="008C02DB" w:rsidP="00E646C9">
      <w:pPr>
        <w:pStyle w:val="ListParagraph"/>
        <w:numPr>
          <w:ilvl w:val="0"/>
          <w:numId w:val="64"/>
        </w:numPr>
        <w:ind w:left="360"/>
        <w:contextualSpacing w:val="0"/>
      </w:pPr>
      <w:r>
        <w:lastRenderedPageBreak/>
        <w:t>PPL: Consider implementing an online model number look-up mechanism for customers, including incentive levels, to minimize confusion when tiered rebates are offered for the same type of appliance.</w:t>
      </w:r>
    </w:p>
    <w:p w:rsidR="008C02DB" w:rsidRDefault="008C02DB" w:rsidP="0055637D"/>
    <w:p w:rsidR="008C02DB" w:rsidRPr="007631BE" w:rsidRDefault="008C02DB" w:rsidP="007631BE">
      <w:pPr>
        <w:spacing w:after="60"/>
        <w:rPr>
          <w:rFonts w:ascii="Century Gothic" w:hAnsi="Century Gothic"/>
          <w:b/>
        </w:rPr>
      </w:pPr>
      <w:r w:rsidRPr="007631BE">
        <w:rPr>
          <w:rFonts w:ascii="Century Gothic" w:hAnsi="Century Gothic"/>
          <w:b/>
        </w:rPr>
        <w:t xml:space="preserve">Residential </w:t>
      </w:r>
      <w:r w:rsidR="00187D5B" w:rsidRPr="007631BE">
        <w:rPr>
          <w:rFonts w:ascii="Century Gothic" w:hAnsi="Century Gothic"/>
          <w:b/>
        </w:rPr>
        <w:t>L</w:t>
      </w:r>
      <w:r w:rsidRPr="007631BE">
        <w:rPr>
          <w:rFonts w:ascii="Century Gothic" w:hAnsi="Century Gothic"/>
          <w:b/>
        </w:rPr>
        <w:t>ighting</w:t>
      </w:r>
    </w:p>
    <w:p w:rsidR="008C02DB" w:rsidRDefault="008C02DB" w:rsidP="00E646C9">
      <w:pPr>
        <w:pStyle w:val="ListParagraph"/>
        <w:numPr>
          <w:ilvl w:val="0"/>
          <w:numId w:val="65"/>
        </w:numPr>
        <w:ind w:left="360"/>
        <w:contextualSpacing w:val="0"/>
      </w:pPr>
      <w:r>
        <w:t xml:space="preserve">Duquesne: If Phase III activities shift from promoting primarily CFLs to LEDs, consider updating or changing Wattley, the Watt Choices image, to look less like a CFL. </w:t>
      </w:r>
    </w:p>
    <w:p w:rsidR="008C02DB" w:rsidRDefault="008C02DB" w:rsidP="00E646C9">
      <w:pPr>
        <w:pStyle w:val="ListParagraph"/>
        <w:numPr>
          <w:ilvl w:val="0"/>
          <w:numId w:val="65"/>
        </w:numPr>
        <w:ind w:left="360"/>
        <w:contextualSpacing w:val="0"/>
      </w:pPr>
      <w:r>
        <w:t>PPL: Investigate the feasibility of using product placement as a lower-cost mechanism for generating sales lift.</w:t>
      </w:r>
    </w:p>
    <w:p w:rsidR="008C02DB" w:rsidRDefault="008C02DB" w:rsidP="0055637D"/>
    <w:p w:rsidR="008C02DB" w:rsidRPr="007631BE" w:rsidRDefault="008C02DB" w:rsidP="007631BE">
      <w:pPr>
        <w:spacing w:after="60"/>
        <w:rPr>
          <w:rFonts w:ascii="Century Gothic" w:hAnsi="Century Gothic"/>
          <w:b/>
        </w:rPr>
      </w:pPr>
      <w:r w:rsidRPr="007631BE">
        <w:rPr>
          <w:rFonts w:ascii="Century Gothic" w:hAnsi="Century Gothic"/>
          <w:b/>
        </w:rPr>
        <w:t xml:space="preserve">Residential </w:t>
      </w:r>
      <w:r w:rsidR="00187D5B" w:rsidRPr="007631BE">
        <w:rPr>
          <w:rFonts w:ascii="Century Gothic" w:hAnsi="Century Gothic"/>
          <w:b/>
        </w:rPr>
        <w:t>N</w:t>
      </w:r>
      <w:r w:rsidRPr="007631BE">
        <w:rPr>
          <w:rFonts w:ascii="Century Gothic" w:hAnsi="Century Gothic"/>
          <w:b/>
        </w:rPr>
        <w:t xml:space="preserve">ew </w:t>
      </w:r>
      <w:r w:rsidR="00187D5B" w:rsidRPr="007631BE">
        <w:rPr>
          <w:rFonts w:ascii="Century Gothic" w:hAnsi="Century Gothic"/>
          <w:b/>
        </w:rPr>
        <w:t>H</w:t>
      </w:r>
      <w:r w:rsidRPr="007631BE">
        <w:rPr>
          <w:rFonts w:ascii="Century Gothic" w:hAnsi="Century Gothic"/>
          <w:b/>
        </w:rPr>
        <w:t>omes</w:t>
      </w:r>
    </w:p>
    <w:p w:rsidR="008C02DB" w:rsidRDefault="008C02DB" w:rsidP="00E646C9">
      <w:pPr>
        <w:pStyle w:val="ListParagraph"/>
        <w:numPr>
          <w:ilvl w:val="0"/>
          <w:numId w:val="65"/>
        </w:numPr>
        <w:ind w:left="360"/>
        <w:contextualSpacing w:val="0"/>
      </w:pPr>
      <w:r>
        <w:t xml:space="preserve">FirstEnergy: As the Home Performance – New Construction </w:t>
      </w:r>
      <w:r w:rsidR="00AF6D8F">
        <w:t>program</w:t>
      </w:r>
      <w:r>
        <w:t xml:space="preserve"> becomes more streamlined or as incentives change, attempt to attract builders who began with the program but dropped out.</w:t>
      </w:r>
    </w:p>
    <w:p w:rsidR="00147500" w:rsidRDefault="00147500" w:rsidP="0055637D"/>
    <w:p w:rsidR="008C02DB" w:rsidRPr="007631BE" w:rsidRDefault="008C02DB" w:rsidP="007631BE">
      <w:pPr>
        <w:spacing w:after="60"/>
        <w:rPr>
          <w:rFonts w:ascii="Century Gothic" w:hAnsi="Century Gothic"/>
          <w:b/>
        </w:rPr>
      </w:pPr>
      <w:r w:rsidRPr="007631BE">
        <w:rPr>
          <w:rFonts w:ascii="Century Gothic" w:hAnsi="Century Gothic"/>
          <w:b/>
        </w:rPr>
        <w:t xml:space="preserve">Residential </w:t>
      </w:r>
      <w:r w:rsidR="00187D5B" w:rsidRPr="007631BE">
        <w:rPr>
          <w:rFonts w:ascii="Century Gothic" w:hAnsi="Century Gothic"/>
          <w:b/>
        </w:rPr>
        <w:t>O</w:t>
      </w:r>
      <w:r w:rsidRPr="007631BE">
        <w:rPr>
          <w:rFonts w:ascii="Century Gothic" w:hAnsi="Century Gothic"/>
          <w:b/>
        </w:rPr>
        <w:t>ther</w:t>
      </w:r>
    </w:p>
    <w:p w:rsidR="008C02DB" w:rsidRDefault="008C02DB" w:rsidP="00E646C9">
      <w:pPr>
        <w:pStyle w:val="ListParagraph"/>
        <w:numPr>
          <w:ilvl w:val="0"/>
          <w:numId w:val="65"/>
        </w:numPr>
        <w:ind w:left="360"/>
        <w:contextualSpacing w:val="0"/>
      </w:pPr>
      <w:r w:rsidRPr="00336369">
        <w:t>Duquesne: With the new and differently implemented Whole House Energy Audit Program (WHEAP), track the</w:t>
      </w:r>
      <w:r>
        <w:t xml:space="preserve"> awareness of and implementation rate for </w:t>
      </w:r>
      <w:r w:rsidRPr="00336369">
        <w:t xml:space="preserve">Residential </w:t>
      </w:r>
      <w:r w:rsidR="00174831">
        <w:t>Energy Efficiency</w:t>
      </w:r>
      <w:r w:rsidRPr="00336369">
        <w:t xml:space="preserve"> Program (REEP) rebates among</w:t>
      </w:r>
      <w:r>
        <w:t xml:space="preserve"> WHEAP participants, to determine whether the link between the two programs is being made effectively to participants. </w:t>
      </w:r>
    </w:p>
    <w:p w:rsidR="008C02DB" w:rsidRDefault="008C02DB" w:rsidP="00E646C9">
      <w:pPr>
        <w:pStyle w:val="ListParagraph"/>
        <w:numPr>
          <w:ilvl w:val="0"/>
          <w:numId w:val="65"/>
        </w:numPr>
        <w:ind w:left="360"/>
        <w:contextualSpacing w:val="0"/>
      </w:pPr>
      <w:r>
        <w:t>Duquesne: If it is cost-effective, consider using the REEP</w:t>
      </w:r>
      <w:r w:rsidR="00FC2F51">
        <w:t xml:space="preserve"> and</w:t>
      </w:r>
      <w:r>
        <w:t xml:space="preserve"> </w:t>
      </w:r>
      <w:r w:rsidRPr="00F872B6">
        <w:t>Low-Income Energy Efficiency Program (LIEEP) kits</w:t>
      </w:r>
      <w:r>
        <w:t xml:space="preserve"> to introduce LEDs to participants in addition to one or more CFLs, as LEDs may result in lower free-ridership. </w:t>
      </w:r>
    </w:p>
    <w:p w:rsidR="008C02DB" w:rsidRDefault="008C02DB" w:rsidP="0055637D"/>
    <w:p w:rsidR="008C02DB" w:rsidRPr="007631BE" w:rsidRDefault="00187D5B" w:rsidP="007631BE">
      <w:pPr>
        <w:spacing w:after="60"/>
        <w:rPr>
          <w:rFonts w:ascii="Century Gothic" w:hAnsi="Century Gothic"/>
          <w:b/>
        </w:rPr>
      </w:pPr>
      <w:r w:rsidRPr="007631BE">
        <w:rPr>
          <w:rFonts w:ascii="Century Gothic" w:hAnsi="Century Gothic"/>
          <w:b/>
        </w:rPr>
        <w:t>Low-I</w:t>
      </w:r>
      <w:r w:rsidR="008C02DB" w:rsidRPr="007631BE">
        <w:rPr>
          <w:rFonts w:ascii="Century Gothic" w:hAnsi="Century Gothic"/>
          <w:b/>
        </w:rPr>
        <w:t>ncome</w:t>
      </w:r>
    </w:p>
    <w:p w:rsidR="008C02DB" w:rsidRDefault="008C02DB" w:rsidP="00E646C9">
      <w:pPr>
        <w:pStyle w:val="ListParagraph"/>
        <w:numPr>
          <w:ilvl w:val="0"/>
          <w:numId w:val="65"/>
        </w:numPr>
        <w:ind w:left="360"/>
        <w:contextualSpacing w:val="0"/>
      </w:pPr>
      <w:r>
        <w:t xml:space="preserve">PECO: Develop targeted </w:t>
      </w:r>
      <w:r w:rsidRPr="00F872B6">
        <w:t xml:space="preserve">Low-Income Energy Efficiency </w:t>
      </w:r>
      <w:r>
        <w:t>(LEEP) program materials that prioritize next steps and guide customers to the most appropriate program component, and ensure that schedule expectations are clear and applied consistently across customers.</w:t>
      </w:r>
    </w:p>
    <w:p w:rsidR="00E3392B" w:rsidRPr="00E3392B" w:rsidRDefault="00E3392B" w:rsidP="00E3392B"/>
    <w:p w:rsidR="008C02DB" w:rsidRPr="007631BE" w:rsidRDefault="008C02DB" w:rsidP="007631BE">
      <w:pPr>
        <w:spacing w:after="60"/>
        <w:rPr>
          <w:rFonts w:ascii="Century Gothic" w:hAnsi="Century Gothic"/>
          <w:b/>
        </w:rPr>
      </w:pPr>
      <w:r w:rsidRPr="007631BE">
        <w:rPr>
          <w:rFonts w:ascii="Century Gothic" w:hAnsi="Century Gothic"/>
          <w:b/>
        </w:rPr>
        <w:t>Non-</w:t>
      </w:r>
      <w:r w:rsidR="00187D5B" w:rsidRPr="007631BE">
        <w:rPr>
          <w:rFonts w:ascii="Century Gothic" w:hAnsi="Century Gothic"/>
          <w:b/>
        </w:rPr>
        <w:t>R</w:t>
      </w:r>
      <w:r w:rsidRPr="007631BE">
        <w:rPr>
          <w:rFonts w:ascii="Century Gothic" w:hAnsi="Century Gothic"/>
          <w:b/>
        </w:rPr>
        <w:t>esidential</w:t>
      </w:r>
    </w:p>
    <w:p w:rsidR="008C02DB" w:rsidRDefault="008C02DB" w:rsidP="00E646C9">
      <w:pPr>
        <w:pStyle w:val="ListParagraph"/>
        <w:numPr>
          <w:ilvl w:val="0"/>
          <w:numId w:val="65"/>
        </w:numPr>
        <w:ind w:left="360"/>
        <w:contextualSpacing w:val="0"/>
      </w:pPr>
      <w:r>
        <w:t xml:space="preserve">PECO: Use the limited time offer as a lever in future years if participation is low in the Smart Equipment </w:t>
      </w:r>
      <w:r w:rsidRPr="00F872B6">
        <w:t>Incentives (SEI) program</w:t>
      </w:r>
      <w:r>
        <w:t>.</w:t>
      </w:r>
    </w:p>
    <w:p w:rsidR="008C02DB" w:rsidRDefault="008C02DB" w:rsidP="00E646C9">
      <w:pPr>
        <w:pStyle w:val="ListParagraph"/>
        <w:numPr>
          <w:ilvl w:val="0"/>
          <w:numId w:val="65"/>
        </w:numPr>
        <w:ind w:left="360"/>
        <w:contextualSpacing w:val="0"/>
      </w:pPr>
      <w:r>
        <w:t>PECO: Set final Phase III Smart On-</w:t>
      </w:r>
      <w:r w:rsidRPr="00F872B6">
        <w:t>Site (SOS) project</w:t>
      </w:r>
      <w:r>
        <w:t xml:space="preserve"> enrollment deadlines of January 1, 2019 for projects over 1 MW and January 1, 2020 for projects less than 1 MW, to mitigate completion risks that lead to portfolio-level uncertainty.</w:t>
      </w:r>
    </w:p>
    <w:p w:rsidR="008C02DB" w:rsidRDefault="008C02DB" w:rsidP="00E646C9">
      <w:pPr>
        <w:pStyle w:val="ListParagraph"/>
        <w:numPr>
          <w:ilvl w:val="0"/>
          <w:numId w:val="65"/>
        </w:numPr>
        <w:ind w:left="360"/>
        <w:contextualSpacing w:val="0"/>
      </w:pPr>
      <w:r>
        <w:t>PPL: Consider incorporating a way for applicants to track the status of their application online.</w:t>
      </w:r>
    </w:p>
    <w:p w:rsidR="008C02DB" w:rsidRDefault="008C02DB" w:rsidP="00E646C9">
      <w:pPr>
        <w:pStyle w:val="ListParagraph"/>
        <w:numPr>
          <w:ilvl w:val="0"/>
          <w:numId w:val="65"/>
        </w:numPr>
        <w:ind w:left="360"/>
        <w:contextualSpacing w:val="0"/>
      </w:pPr>
      <w:r>
        <w:t>PPL: Improve the application process by providing examples of completed applications on the website and providing a contact to answer questions.</w:t>
      </w:r>
    </w:p>
    <w:p w:rsidR="008C02DB" w:rsidRDefault="008C02DB" w:rsidP="0055637D"/>
    <w:p w:rsidR="008C02DB" w:rsidRDefault="008C02DB" w:rsidP="0055637D">
      <w:pPr>
        <w:spacing w:after="120"/>
      </w:pPr>
      <w:r>
        <w:t xml:space="preserve">The SWE Team also identified three </w:t>
      </w:r>
      <w:r w:rsidR="00923EA9">
        <w:t xml:space="preserve">SWE </w:t>
      </w:r>
      <w:r>
        <w:t xml:space="preserve">recommendations from the PY6 </w:t>
      </w:r>
      <w:r w:rsidR="005C1363">
        <w:t xml:space="preserve">EDC </w:t>
      </w:r>
      <w:r>
        <w:t>annual reports that, based on findings from PY7, bear repetition and elaboration:</w:t>
      </w:r>
    </w:p>
    <w:p w:rsidR="008C02DB" w:rsidRDefault="008C02DB" w:rsidP="00E646C9">
      <w:pPr>
        <w:pStyle w:val="ListParagraph"/>
        <w:numPr>
          <w:ilvl w:val="0"/>
          <w:numId w:val="65"/>
        </w:numPr>
        <w:ind w:left="360"/>
        <w:contextualSpacing w:val="0"/>
      </w:pPr>
      <w:r w:rsidRPr="00B36688">
        <w:t xml:space="preserve">There is still evidence of high free-ridership for several EDC programs, and there is even evidence that free-ridership has increased over Phase II for some EDCs. </w:t>
      </w:r>
      <w:r w:rsidR="005C1363" w:rsidRPr="005C1363">
        <w:t>While the SWE Team acknowledges and understands that free-ridership is one of several factors that EDCs consider when making decisions to modify programs, the SWE Team reiterates the recommendation, from the PY6 SWE Annual Report, that when high free-ridership exists, EDCs should examine program requirements and practices to determine whether free-ridership can be reduced and suggest some methods for doing so</w:t>
      </w:r>
      <w:r w:rsidRPr="00B36688">
        <w:t>.</w:t>
      </w:r>
      <w:r w:rsidRPr="00B1382F">
        <w:t xml:space="preserve"> </w:t>
      </w:r>
    </w:p>
    <w:p w:rsidR="008C02DB" w:rsidRPr="008C3D92" w:rsidRDefault="008C02DB" w:rsidP="00E646C9">
      <w:pPr>
        <w:pStyle w:val="ListParagraph"/>
        <w:numPr>
          <w:ilvl w:val="0"/>
          <w:numId w:val="65"/>
        </w:numPr>
        <w:ind w:left="360"/>
        <w:contextualSpacing w:val="0"/>
      </w:pPr>
      <w:r>
        <w:lastRenderedPageBreak/>
        <w:t>R</w:t>
      </w:r>
      <w:r w:rsidRPr="00A86072">
        <w:t>etailers and contractors are an important source of program info</w:t>
      </w:r>
      <w:r>
        <w:t xml:space="preserve">rmation, and they respond to </w:t>
      </w:r>
      <w:r w:rsidRPr="008C3D92">
        <w:t xml:space="preserve">direct, personal contact. </w:t>
      </w:r>
      <w:r>
        <w:t xml:space="preserve">When programs involve these market actors, the programs should </w:t>
      </w:r>
      <w:r w:rsidRPr="008C3D92">
        <w:t xml:space="preserve">engage with </w:t>
      </w:r>
      <w:r>
        <w:t xml:space="preserve">them </w:t>
      </w:r>
      <w:r w:rsidRPr="008C3D92">
        <w:t>directly and personally to encourage sales, which may help increase program participation.</w:t>
      </w:r>
    </w:p>
    <w:p w:rsidR="008C02DB" w:rsidRDefault="008C02DB" w:rsidP="00E646C9">
      <w:pPr>
        <w:pStyle w:val="ListParagraph"/>
        <w:numPr>
          <w:ilvl w:val="0"/>
          <w:numId w:val="65"/>
        </w:numPr>
        <w:ind w:left="360"/>
        <w:contextualSpacing w:val="0"/>
      </w:pPr>
      <w:r>
        <w:t>Process evaluations of home audit programs continue to demonstrate opportunities for getting audit participants to make energy efficient purchases and upgrades. The PY7 process evaluations for PECO and PPL included recommendations for increasing conversion that centered around greater follow-</w:t>
      </w:r>
      <w:r w:rsidRPr="00F35A02">
        <w:t>up (creating a checklist for auditors that includes following</w:t>
      </w:r>
      <w:r>
        <w:t xml:space="preserve"> </w:t>
      </w:r>
      <w:r w:rsidRPr="00F35A02">
        <w:t>up with customers)</w:t>
      </w:r>
      <w:r>
        <w:t xml:space="preserve"> and improving cross-promotion of programs (</w:t>
      </w:r>
      <w:r w:rsidRPr="00F35A02">
        <w:t>engaging with auditors more</w:t>
      </w:r>
      <w:r>
        <w:t>,</w:t>
      </w:r>
      <w:r w:rsidRPr="00F35A02">
        <w:t xml:space="preserve"> to improve their ability to cross</w:t>
      </w:r>
      <w:r>
        <w:t>-</w:t>
      </w:r>
      <w:r w:rsidRPr="00F35A02">
        <w:t>promote programs</w:t>
      </w:r>
      <w:r>
        <w:t xml:space="preserve">, and </w:t>
      </w:r>
      <w:r w:rsidRPr="00F35A02">
        <w:t>adding banners on rebate form</w:t>
      </w:r>
      <w:r>
        <w:t>s</w:t>
      </w:r>
      <w:r w:rsidRPr="00F35A02">
        <w:t xml:space="preserve"> or other infographics </w:t>
      </w:r>
      <w:r>
        <w:t>for</w:t>
      </w:r>
      <w:r w:rsidRPr="00F35A02">
        <w:t xml:space="preserve"> program materials and utility contact info</w:t>
      </w:r>
      <w:r>
        <w:t>). In addition, the SWE Team reiterates the recommendation that EDCs conduct research to estimate the level of energy efficient purchases and installations (whether incented or not) that result from home energy audits. The research should account for the fact that an audit one year may influence actions in subsequent years.</w:t>
      </w:r>
    </w:p>
    <w:p w:rsidR="008C02DB" w:rsidRDefault="008C02DB" w:rsidP="0055637D"/>
    <w:p w:rsidR="008C02DB" w:rsidRDefault="008C02DB" w:rsidP="0055637D">
      <w:pPr>
        <w:spacing w:after="120"/>
      </w:pPr>
      <w:r>
        <w:t>The SWE Team offers the following recommendations for all EDCs, based on the literature review of innovative program practices in the non-residential sector:</w:t>
      </w:r>
    </w:p>
    <w:p w:rsidR="008C02DB" w:rsidRPr="00156966" w:rsidRDefault="008C02DB" w:rsidP="00E646C9">
      <w:pPr>
        <w:pStyle w:val="ListParagraph"/>
        <w:numPr>
          <w:ilvl w:val="0"/>
          <w:numId w:val="65"/>
        </w:numPr>
        <w:ind w:left="360"/>
        <w:contextualSpacing w:val="0"/>
      </w:pPr>
      <w:r>
        <w:t xml:space="preserve">For commercial lighting programs, consider providing incentives for </w:t>
      </w:r>
      <w:r w:rsidRPr="00156966">
        <w:t>comprehensive changes to lighting system</w:t>
      </w:r>
      <w:r>
        <w:t>s</w:t>
      </w:r>
      <w:r w:rsidRPr="00156966">
        <w:t xml:space="preserve"> </w:t>
      </w:r>
      <w:r>
        <w:t>(such as through redesign, delamping, or including advanced controls)</w:t>
      </w:r>
      <w:r w:rsidRPr="00156966">
        <w:t xml:space="preserve">, rather than </w:t>
      </w:r>
      <w:r>
        <w:t xml:space="preserve">or in addition to </w:t>
      </w:r>
      <w:r w:rsidRPr="00156966">
        <w:t xml:space="preserve">one-for-one </w:t>
      </w:r>
      <w:r>
        <w:t>replacements, with incentives based on changes to lighting power density.</w:t>
      </w:r>
    </w:p>
    <w:p w:rsidR="008C02DB" w:rsidRPr="00156966" w:rsidRDefault="008C02DB" w:rsidP="00E646C9">
      <w:pPr>
        <w:pStyle w:val="ListParagraph"/>
        <w:numPr>
          <w:ilvl w:val="0"/>
          <w:numId w:val="65"/>
        </w:numPr>
        <w:ind w:left="360"/>
        <w:contextualSpacing w:val="0"/>
      </w:pPr>
      <w:r>
        <w:t>For commercial lighting programs, consider working with distributors in designing midstream lighting programs (if this is not already being done), because of the distributors’ central position in the supply chain.</w:t>
      </w:r>
    </w:p>
    <w:p w:rsidR="008C02DB" w:rsidRDefault="008C02DB" w:rsidP="00E646C9">
      <w:pPr>
        <w:pStyle w:val="ListParagraph"/>
        <w:numPr>
          <w:ilvl w:val="0"/>
          <w:numId w:val="65"/>
        </w:numPr>
        <w:ind w:left="360"/>
        <w:contextualSpacing w:val="0"/>
      </w:pPr>
      <w:r>
        <w:t>For small businesses, reassess the level of custom- or micro-targeting for this segment. Some programs are starting to replace vertical segmentation strategies (e.g., based on energy usage) with strategies that incorporate other customer characteristics, such as business type or geographic density of businesses in the customer’s area. These tailored marketing approaches</w:t>
      </w:r>
      <w:r w:rsidRPr="00FA47B6">
        <w:t xml:space="preserve"> </w:t>
      </w:r>
      <w:r>
        <w:t>have the potential to better</w:t>
      </w:r>
      <w:r w:rsidRPr="00FA47B6">
        <w:t xml:space="preserve"> predict the probability of participat</w:t>
      </w:r>
      <w:r>
        <w:t>ing</w:t>
      </w:r>
      <w:r w:rsidRPr="00FA47B6">
        <w:t xml:space="preserve"> in a program</w:t>
      </w:r>
      <w:r>
        <w:t xml:space="preserve"> than does relying on traditional vertical segmentation strategies.</w:t>
      </w:r>
    </w:p>
    <w:p w:rsidR="008156B6" w:rsidRDefault="008156B6">
      <w:pPr>
        <w:jc w:val="left"/>
        <w:rPr>
          <w:rFonts w:ascii="Century Gothic" w:eastAsiaTheme="minorHAnsi" w:hAnsi="Century Gothic" w:cstheme="minorBidi"/>
          <w:smallCaps/>
          <w:color w:val="FFFFFF" w:themeColor="background1"/>
          <w:sz w:val="32"/>
        </w:rPr>
      </w:pPr>
      <w:bookmarkStart w:id="445" w:name="_Ref472258103"/>
      <w:bookmarkStart w:id="446" w:name="_Toc472472142"/>
      <w:bookmarkStart w:id="447" w:name="_Toc476913954"/>
      <w:r>
        <w:br w:type="page"/>
      </w:r>
    </w:p>
    <w:p w:rsidR="00477745" w:rsidRPr="00530F17" w:rsidRDefault="00477745" w:rsidP="00E3392B">
      <w:pPr>
        <w:pStyle w:val="Heading1"/>
      </w:pPr>
      <w:r>
        <w:lastRenderedPageBreak/>
        <w:t>Phase I and Phase II Savings</w:t>
      </w:r>
      <w:bookmarkEnd w:id="445"/>
      <w:bookmarkEnd w:id="446"/>
      <w:bookmarkEnd w:id="447"/>
    </w:p>
    <w:p w:rsidR="00F874FE" w:rsidRDefault="00F874FE" w:rsidP="00F874FE">
      <w:pPr>
        <w:spacing w:after="120"/>
      </w:pPr>
      <w:r>
        <w:t>The Pennsylvania PUC’s TUS staff requested that the Phase II SWE include in this report information on the trends in program energy savings, EDC annual expenditures, and the utility cost per first-year kWh saved over the seven years covered by Phases I and II of Act 129. To respond to this request, the Phase II SWE created an Excel database that includes detailed data on each EDC’s Phase I and II savings, EDC expenditures, and costs per first-year kWh saved. This chapter presents tables showing all of the data collected by the Phase II SWE Team regarding these items, and figures showing trends in the data by EDC and statewide (for all EDCs combined) over Phases I and II. There are several overarching observations that the Phase II SWE Team has about the data presented in this chapter:</w:t>
      </w:r>
    </w:p>
    <w:p w:rsidR="00F874FE" w:rsidRPr="0055637D" w:rsidRDefault="00F874FE" w:rsidP="00E646C9">
      <w:pPr>
        <w:pStyle w:val="ListParagraph"/>
        <w:numPr>
          <w:ilvl w:val="0"/>
          <w:numId w:val="66"/>
        </w:numPr>
        <w:ind w:left="360"/>
      </w:pPr>
      <w:r w:rsidRPr="0055637D">
        <w:t>Over the seven years of Phases I and II, the statewide cost per first-year kWh saved (for all EDCs combined) ranged from a low of $0.12 in PY2 to $0.1</w:t>
      </w:r>
      <w:r>
        <w:t>8</w:t>
      </w:r>
      <w:r w:rsidRPr="0055637D">
        <w:t xml:space="preserve"> in PY6 (see </w:t>
      </w:r>
      <w:r w:rsidR="00E3392B">
        <w:fldChar w:fldCharType="begin"/>
      </w:r>
      <w:r w:rsidR="00E3392B">
        <w:instrText xml:space="preserve"> REF _Ref476043778 \h </w:instrText>
      </w:r>
      <w:r w:rsidR="00E3392B">
        <w:fldChar w:fldCharType="separate"/>
      </w:r>
      <w:r w:rsidR="00E3392B" w:rsidRPr="008078CC">
        <w:t xml:space="preserve">Table </w:t>
      </w:r>
      <w:r w:rsidR="00E3392B">
        <w:rPr>
          <w:noProof/>
        </w:rPr>
        <w:t>6</w:t>
      </w:r>
      <w:r w:rsidR="00E3392B">
        <w:noBreakHyphen/>
      </w:r>
      <w:r w:rsidR="00E3392B">
        <w:rPr>
          <w:noProof/>
        </w:rPr>
        <w:t>1</w:t>
      </w:r>
      <w:r w:rsidR="00E3392B">
        <w:fldChar w:fldCharType="end"/>
      </w:r>
      <w:r w:rsidRPr="0055637D">
        <w:t>). While some EDCs were concerned during Phase I that acquisition costs per first-year kWh-saved would end up being well over $0.30 during Phase II, this did not happen.</w:t>
      </w:r>
    </w:p>
    <w:p w:rsidR="00F874FE" w:rsidRPr="0055637D" w:rsidRDefault="00F874FE" w:rsidP="00E646C9">
      <w:pPr>
        <w:pStyle w:val="ListParagraph"/>
        <w:numPr>
          <w:ilvl w:val="0"/>
          <w:numId w:val="66"/>
        </w:numPr>
        <w:ind w:left="360"/>
      </w:pPr>
      <w:r w:rsidRPr="0055637D">
        <w:t>In five of the seven years of Phases I and II, the acquisition cost per first-year kWh saved for non-residential programs was equal to or lower than</w:t>
      </w:r>
      <w:r>
        <w:t xml:space="preserve"> that</w:t>
      </w:r>
      <w:r w:rsidRPr="0055637D">
        <w:t xml:space="preserve"> for residential programs (see </w:t>
      </w:r>
      <w:r w:rsidR="00E3392B">
        <w:fldChar w:fldCharType="begin"/>
      </w:r>
      <w:r w:rsidR="00E3392B">
        <w:instrText xml:space="preserve"> REF _Ref476043778 \h </w:instrText>
      </w:r>
      <w:r w:rsidR="00E3392B">
        <w:fldChar w:fldCharType="separate"/>
      </w:r>
      <w:r w:rsidR="00E3392B" w:rsidRPr="008078CC">
        <w:t xml:space="preserve">Table </w:t>
      </w:r>
      <w:r w:rsidR="00E3392B">
        <w:rPr>
          <w:noProof/>
        </w:rPr>
        <w:t>6</w:t>
      </w:r>
      <w:r w:rsidR="00E3392B">
        <w:noBreakHyphen/>
      </w:r>
      <w:r w:rsidR="00E3392B">
        <w:rPr>
          <w:noProof/>
        </w:rPr>
        <w:t>1</w:t>
      </w:r>
      <w:r w:rsidR="00E3392B">
        <w:fldChar w:fldCharType="end"/>
      </w:r>
      <w:r w:rsidRPr="0055637D">
        <w:t>).</w:t>
      </w:r>
    </w:p>
    <w:p w:rsidR="00F874FE" w:rsidRPr="0055637D" w:rsidRDefault="00F874FE" w:rsidP="00E646C9">
      <w:pPr>
        <w:pStyle w:val="ListParagraph"/>
        <w:numPr>
          <w:ilvl w:val="0"/>
          <w:numId w:val="66"/>
        </w:numPr>
        <w:ind w:left="360"/>
      </w:pPr>
      <w:r w:rsidRPr="0055637D">
        <w:t xml:space="preserve">A regression trend fit to the annual statewide cost per first-year kWh saved data clearly shows a gradual increasing trend over the seven years of Phases I and II (see </w:t>
      </w:r>
      <w:r w:rsidR="00595FC6">
        <w:fldChar w:fldCharType="begin"/>
      </w:r>
      <w:r w:rsidR="00595FC6">
        <w:instrText xml:space="preserve"> REF _Ref476043803 \h </w:instrText>
      </w:r>
      <w:r w:rsidR="00595FC6">
        <w:fldChar w:fldCharType="separate"/>
      </w:r>
      <w:r w:rsidR="00595FC6" w:rsidRPr="00CB115E">
        <w:t xml:space="preserve">Figure </w:t>
      </w:r>
      <w:r w:rsidR="00595FC6">
        <w:rPr>
          <w:noProof/>
        </w:rPr>
        <w:t>6</w:t>
      </w:r>
      <w:r w:rsidR="00595FC6">
        <w:noBreakHyphen/>
      </w:r>
      <w:r w:rsidR="00595FC6">
        <w:rPr>
          <w:noProof/>
        </w:rPr>
        <w:t>6</w:t>
      </w:r>
      <w:r w:rsidR="00595FC6">
        <w:fldChar w:fldCharType="end"/>
      </w:r>
      <w:r w:rsidR="00E3392B">
        <w:fldChar w:fldCharType="begin"/>
      </w:r>
      <w:r w:rsidR="00E3392B">
        <w:instrText xml:space="preserve"> REF _Ref476043803 \h </w:instrText>
      </w:r>
      <w:r w:rsidR="00E3392B">
        <w:fldChar w:fldCharType="end"/>
      </w:r>
      <w:r w:rsidRPr="0055637D">
        <w:t xml:space="preserve">). This is good news for Pennsylvania ratepayers </w:t>
      </w:r>
      <w:r>
        <w:t>in that it</w:t>
      </w:r>
      <w:r w:rsidRPr="0055637D">
        <w:t xml:space="preserve"> indicates that utility program delivery costs remained very stable in both </w:t>
      </w:r>
      <w:r>
        <w:t>Phases I and II, as compared to initial concerns expressed by some that costs may reach upwards of $0.30 per kWh within this time period.</w:t>
      </w:r>
    </w:p>
    <w:p w:rsidR="00F874FE" w:rsidRPr="0055637D" w:rsidRDefault="00F874FE" w:rsidP="00E646C9">
      <w:pPr>
        <w:pStyle w:val="ListParagraph"/>
        <w:numPr>
          <w:ilvl w:val="0"/>
          <w:numId w:val="66"/>
        </w:numPr>
        <w:ind w:left="360"/>
      </w:pPr>
      <w:r w:rsidRPr="0055637D">
        <w:t>While there was substantial variability across EDCs in the utility cost per kWh saved for all sectors, this variability decreased markedly after PY1.</w:t>
      </w:r>
    </w:p>
    <w:p w:rsidR="00F874FE" w:rsidRPr="0055637D" w:rsidRDefault="00F874FE" w:rsidP="00E646C9">
      <w:pPr>
        <w:pStyle w:val="ListParagraph"/>
        <w:numPr>
          <w:ilvl w:val="0"/>
          <w:numId w:val="66"/>
        </w:numPr>
        <w:ind w:left="360"/>
      </w:pPr>
      <w:r w:rsidRPr="0055637D">
        <w:t>The total (all sectors combined) cumulative annual kWh savings at the end of Phases I and II for each EDC</w:t>
      </w:r>
      <w:r>
        <w:t>, expressed</w:t>
      </w:r>
      <w:r w:rsidRPr="0055637D">
        <w:t xml:space="preserve"> as a percentage of the total baseline kWh sales for 2010 for each EDC ranged from a low of 5.35% for West Penn to a high of 6.88% for PECO (see </w:t>
      </w:r>
      <w:r w:rsidR="00E3392B">
        <w:fldChar w:fldCharType="begin"/>
      </w:r>
      <w:r w:rsidR="00E3392B">
        <w:instrText xml:space="preserve"> REF _Ref472429905 \h </w:instrText>
      </w:r>
      <w:r w:rsidR="00E3392B">
        <w:fldChar w:fldCharType="separate"/>
      </w:r>
      <w:r w:rsidR="00C301D0">
        <w:t xml:space="preserve">Figure </w:t>
      </w:r>
      <w:r w:rsidR="00C301D0">
        <w:rPr>
          <w:noProof/>
        </w:rPr>
        <w:t>6</w:t>
      </w:r>
      <w:r w:rsidR="00C301D0">
        <w:noBreakHyphen/>
      </w:r>
      <w:r w:rsidR="00C301D0">
        <w:rPr>
          <w:noProof/>
        </w:rPr>
        <w:t>7</w:t>
      </w:r>
      <w:r w:rsidR="00E3392B">
        <w:fldChar w:fldCharType="end"/>
      </w:r>
      <w:r w:rsidRPr="0055637D">
        <w:t xml:space="preserve">). </w:t>
      </w:r>
    </w:p>
    <w:p w:rsidR="00F874FE" w:rsidRDefault="00F874FE" w:rsidP="00E646C9">
      <w:pPr>
        <w:pStyle w:val="ListParagraph"/>
        <w:numPr>
          <w:ilvl w:val="0"/>
          <w:numId w:val="66"/>
        </w:numPr>
        <w:ind w:left="360"/>
      </w:pPr>
      <w:r w:rsidRPr="0055637D">
        <w:t>None of the seven EDCs spent all of their combined Phase I and II budgets over these two phases. This suggests that EDCs could have saved more electricity with more aggressive and more extensive program activities and marketing. The percent of the Phase I and II budgets spent by the EDCs ranged from a low of 78.58</w:t>
      </w:r>
      <w:r>
        <w:t xml:space="preserve">% for PECO to a high 89.65% for PPL (see </w:t>
      </w:r>
      <w:r w:rsidR="00E3392B">
        <w:fldChar w:fldCharType="begin"/>
      </w:r>
      <w:r w:rsidR="00E3392B">
        <w:instrText xml:space="preserve"> REF _Ref472429895 \h </w:instrText>
      </w:r>
      <w:r w:rsidR="00E3392B">
        <w:fldChar w:fldCharType="separate"/>
      </w:r>
      <w:r w:rsidR="00C301D0">
        <w:t xml:space="preserve">Figure </w:t>
      </w:r>
      <w:r w:rsidR="00C301D0">
        <w:rPr>
          <w:noProof/>
        </w:rPr>
        <w:t>6</w:t>
      </w:r>
      <w:r w:rsidR="00C301D0">
        <w:noBreakHyphen/>
      </w:r>
      <w:r w:rsidR="00C301D0">
        <w:rPr>
          <w:noProof/>
        </w:rPr>
        <w:t>8</w:t>
      </w:r>
      <w:r w:rsidR="00E3392B">
        <w:fldChar w:fldCharType="end"/>
      </w:r>
      <w:r>
        <w:t>).</w:t>
      </w:r>
    </w:p>
    <w:p w:rsidR="00F874FE" w:rsidRPr="0055637D" w:rsidRDefault="00F874FE" w:rsidP="00F874FE"/>
    <w:p w:rsidR="00F874FE" w:rsidRDefault="00F874FE" w:rsidP="00F874FE">
      <w:pPr>
        <w:pStyle w:val="Heading3"/>
        <w:numPr>
          <w:ilvl w:val="0"/>
          <w:numId w:val="0"/>
        </w:numPr>
      </w:pPr>
      <w:bookmarkStart w:id="448" w:name="_Toc472472143"/>
      <w:bookmarkStart w:id="449" w:name="_Toc476913955"/>
      <w:r>
        <w:t xml:space="preserve">6.1 </w:t>
      </w:r>
      <w:r w:rsidRPr="00E17793">
        <w:rPr>
          <w:color w:val="auto"/>
        </w:rPr>
        <w:t>Cost Per kWh</w:t>
      </w:r>
      <w:bookmarkEnd w:id="448"/>
      <w:bookmarkEnd w:id="449"/>
    </w:p>
    <w:p w:rsidR="00F874FE" w:rsidRDefault="00E3392B" w:rsidP="00F874FE">
      <w:r>
        <w:fldChar w:fldCharType="begin"/>
      </w:r>
      <w:r>
        <w:instrText xml:space="preserve"> REF _Ref476043778 \h </w:instrText>
      </w:r>
      <w:r>
        <w:fldChar w:fldCharType="separate"/>
      </w:r>
      <w:r w:rsidRPr="008078CC">
        <w:t xml:space="preserve">Table </w:t>
      </w:r>
      <w:r>
        <w:rPr>
          <w:noProof/>
        </w:rPr>
        <w:t>6</w:t>
      </w:r>
      <w:r>
        <w:noBreakHyphen/>
      </w:r>
      <w:r>
        <w:rPr>
          <w:noProof/>
        </w:rPr>
        <w:t>1</w:t>
      </w:r>
      <w:r>
        <w:fldChar w:fldCharType="end"/>
      </w:r>
      <w:r>
        <w:t xml:space="preserve"> through </w:t>
      </w:r>
      <w:r>
        <w:fldChar w:fldCharType="begin"/>
      </w:r>
      <w:r>
        <w:instrText xml:space="preserve"> REF _Ref476043841 \h </w:instrText>
      </w:r>
      <w:r>
        <w:fldChar w:fldCharType="separate"/>
      </w:r>
      <w:r w:rsidRPr="009011F4">
        <w:t xml:space="preserve">Table </w:t>
      </w:r>
      <w:r>
        <w:rPr>
          <w:noProof/>
        </w:rPr>
        <w:t>6</w:t>
      </w:r>
      <w:r>
        <w:noBreakHyphen/>
      </w:r>
      <w:r>
        <w:rPr>
          <w:noProof/>
        </w:rPr>
        <w:t>9</w:t>
      </w:r>
      <w:r>
        <w:fldChar w:fldCharType="end"/>
      </w:r>
      <w:r>
        <w:t xml:space="preserve"> </w:t>
      </w:r>
      <w:r w:rsidR="00F874FE">
        <w:t>present detailed historical data on the total annual utility costs, incremental annual kWh savings, and annual cost per first-year kWh saved for each sector by program year and EDC</w:t>
      </w:r>
      <w:r w:rsidR="00093DFB">
        <w:t xml:space="preserve"> for all years in Phases I and II</w:t>
      </w:r>
      <w:r w:rsidR="00F874FE">
        <w:t xml:space="preserve">. </w:t>
      </w:r>
      <w:r>
        <w:fldChar w:fldCharType="begin"/>
      </w:r>
      <w:r>
        <w:instrText xml:space="preserve"> REF _Ref476043865 \h </w:instrText>
      </w:r>
      <w:r>
        <w:fldChar w:fldCharType="separate"/>
      </w:r>
      <w:r w:rsidRPr="001C7E80">
        <w:t xml:space="preserve">Figure </w:t>
      </w:r>
      <w:r>
        <w:rPr>
          <w:noProof/>
        </w:rPr>
        <w:t>6</w:t>
      </w:r>
      <w:r>
        <w:noBreakHyphen/>
      </w:r>
      <w:r>
        <w:rPr>
          <w:noProof/>
        </w:rPr>
        <w:t>1</w:t>
      </w:r>
      <w:r>
        <w:fldChar w:fldCharType="end"/>
      </w:r>
      <w:r>
        <w:t xml:space="preserve"> through </w:t>
      </w:r>
      <w:r>
        <w:fldChar w:fldCharType="begin"/>
      </w:r>
      <w:r>
        <w:instrText xml:space="preserve"> REF _Ref476043803 \h </w:instrText>
      </w:r>
      <w:r>
        <w:fldChar w:fldCharType="separate"/>
      </w:r>
      <w:r w:rsidRPr="00CB115E">
        <w:t xml:space="preserve">Figure </w:t>
      </w:r>
      <w:r>
        <w:rPr>
          <w:noProof/>
        </w:rPr>
        <w:t>6</w:t>
      </w:r>
      <w:r>
        <w:noBreakHyphen/>
      </w:r>
      <w:r>
        <w:rPr>
          <w:noProof/>
        </w:rPr>
        <w:t>6</w:t>
      </w:r>
      <w:r>
        <w:fldChar w:fldCharType="end"/>
      </w:r>
      <w:r>
        <w:t xml:space="preserve"> </w:t>
      </w:r>
      <w:r w:rsidR="00F874FE">
        <w:t xml:space="preserve">show the cost per first-year kWh for each sector </w:t>
      </w:r>
      <w:r w:rsidR="00F874FE" w:rsidRPr="00014A5E">
        <w:t>(residential non-low-income, residential low-income, residential total, and non-residential total) by program year and EDC, as well as totals for all sectors and for all EDCs combined.</w:t>
      </w:r>
      <w:r w:rsidR="00F874FE">
        <w:t xml:space="preserve"> These tables and figures are useful for comparing the cost per first-year kWh saved across EDCs and across PY1 to PY7. </w:t>
      </w:r>
    </w:p>
    <w:p w:rsidR="00F874FE" w:rsidRDefault="00F874FE" w:rsidP="00F874FE">
      <w:r>
        <w:t xml:space="preserve"> </w:t>
      </w:r>
    </w:p>
    <w:p w:rsidR="00E56C41" w:rsidRDefault="00F874FE" w:rsidP="00E56C41">
      <w:pPr>
        <w:sectPr w:rsidR="00E56C41" w:rsidSect="00E06516">
          <w:headerReference w:type="default" r:id="rId70"/>
          <w:footerReference w:type="default" r:id="rId71"/>
          <w:pgSz w:w="12240" w:h="15840"/>
          <w:pgMar w:top="1440" w:right="1440" w:bottom="1440" w:left="1440" w:header="720" w:footer="288" w:gutter="0"/>
          <w:cols w:space="720"/>
          <w:docGrid w:linePitch="360"/>
        </w:sectPr>
      </w:pPr>
      <w:r>
        <w:t>The utility cost per first-year kWh saved for all EDCs combined was very similar across the seven program years, varying from a low of $0.12 per kWh to a high of $0.18 per kWh, however, there was much variation among the EDCs. For example, in PY1 there was a range of $0.82, with West Penn having a cost of $0.90 per first-year kWh saved and PECO having cost of $0.08. This range was greatly reduced over the next six years. In PY7, this average utility cost across all seven EDCs was $0.15 per first-year kWh saved, with PPL having a cost of $0.21 per first-year kWh saved and Penelec having a cost of $0.10 per kWh. There does not seem to be a pattern where one EDC was regularly higher than the others.</w:t>
      </w:r>
    </w:p>
    <w:p w:rsidR="00F874FE" w:rsidRDefault="00F874FE" w:rsidP="00F874FE">
      <w:pPr>
        <w:pStyle w:val="Caption"/>
      </w:pPr>
      <w:bookmarkStart w:id="450" w:name="_Ref476043778"/>
      <w:bookmarkStart w:id="451" w:name="_Toc472472198"/>
      <w:bookmarkStart w:id="452" w:name="_Toc476914012"/>
      <w:r w:rsidRPr="008078CC">
        <w:lastRenderedPageBreak/>
        <w:t xml:space="preserve">Table </w:t>
      </w:r>
      <w:fldSimple w:instr=" STYLEREF 1 \s ">
        <w:r w:rsidR="00C301D0">
          <w:rPr>
            <w:noProof/>
          </w:rPr>
          <w:t>6</w:t>
        </w:r>
      </w:fldSimple>
      <w:r w:rsidR="00E6042C">
        <w:noBreakHyphen/>
      </w:r>
      <w:fldSimple w:instr=" SEQ Table \* ARABIC \s 1 ">
        <w:r w:rsidR="00C301D0">
          <w:rPr>
            <w:noProof/>
          </w:rPr>
          <w:t>1</w:t>
        </w:r>
      </w:fldSimple>
      <w:bookmarkEnd w:id="450"/>
      <w:r w:rsidRPr="008078CC">
        <w:t xml:space="preserve">: Costs, Annual </w:t>
      </w:r>
      <w:r>
        <w:t>kWh Savings, and Cost per First-</w:t>
      </w:r>
      <w:r w:rsidRPr="008078CC">
        <w:t>Year kWh</w:t>
      </w:r>
      <w:r w:rsidR="00093DFB">
        <w:t xml:space="preserve"> Saved</w:t>
      </w:r>
      <w:r w:rsidRPr="008078CC">
        <w:t xml:space="preserve"> by Program Year – All EDCs Combined</w:t>
      </w:r>
      <w:bookmarkEnd w:id="451"/>
      <w:bookmarkEnd w:id="452"/>
    </w:p>
    <w:tbl>
      <w:tblPr>
        <w:tblW w:w="13040" w:type="dxa"/>
        <w:tblLook w:val="04A0" w:firstRow="1" w:lastRow="0" w:firstColumn="1" w:lastColumn="0" w:noHBand="0" w:noVBand="1"/>
      </w:tblPr>
      <w:tblGrid>
        <w:gridCol w:w="1225"/>
        <w:gridCol w:w="2206"/>
        <w:gridCol w:w="1229"/>
        <w:gridCol w:w="1380"/>
        <w:gridCol w:w="1380"/>
        <w:gridCol w:w="1380"/>
        <w:gridCol w:w="1380"/>
        <w:gridCol w:w="1380"/>
        <w:gridCol w:w="1480"/>
      </w:tblGrid>
      <w:tr w:rsidR="00A874AC" w:rsidRPr="00F874FE" w:rsidTr="00F874FE">
        <w:trPr>
          <w:trHeight w:val="315"/>
        </w:trPr>
        <w:tc>
          <w:tcPr>
            <w:tcW w:w="0" w:type="auto"/>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F874FE" w:rsidRDefault="00F874FE" w:rsidP="00A25BE1">
            <w:pPr>
              <w:jc w:val="center"/>
              <w:rPr>
                <w:b/>
                <w:bCs/>
                <w:color w:val="FFFFFF"/>
                <w:sz w:val="20"/>
                <w:szCs w:val="20"/>
              </w:rPr>
            </w:pPr>
            <w:r w:rsidRPr="00F874FE">
              <w:rPr>
                <w:b/>
                <w:bCs/>
                <w:color w:val="FFFFFF"/>
                <w:sz w:val="20"/>
                <w:szCs w:val="20"/>
              </w:rPr>
              <w:t> </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F874FE" w:rsidRDefault="00F874FE" w:rsidP="00A25BE1">
            <w:pPr>
              <w:jc w:val="center"/>
              <w:rPr>
                <w:b/>
                <w:bCs/>
                <w:color w:val="FFFFFF"/>
                <w:sz w:val="20"/>
                <w:szCs w:val="20"/>
              </w:rPr>
            </w:pPr>
            <w:r w:rsidRPr="00F874FE">
              <w:rPr>
                <w:b/>
                <w:bCs/>
                <w:color w:val="FFFFFF"/>
                <w:sz w:val="20"/>
                <w:szCs w:val="20"/>
              </w:rPr>
              <w:t> </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F874FE" w:rsidRDefault="00F874FE" w:rsidP="00A25BE1">
            <w:pPr>
              <w:jc w:val="center"/>
              <w:rPr>
                <w:b/>
                <w:bCs/>
                <w:color w:val="FFFFFF"/>
                <w:sz w:val="20"/>
                <w:szCs w:val="20"/>
              </w:rPr>
            </w:pPr>
            <w:r w:rsidRPr="00F874FE">
              <w:rPr>
                <w:b/>
                <w:bCs/>
                <w:color w:val="FFFFFF"/>
                <w:sz w:val="20"/>
                <w:szCs w:val="20"/>
              </w:rPr>
              <w:t>PY1</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F874FE" w:rsidRDefault="00F874FE" w:rsidP="00A25BE1">
            <w:pPr>
              <w:jc w:val="center"/>
              <w:rPr>
                <w:b/>
                <w:bCs/>
                <w:color w:val="FFFFFF"/>
                <w:sz w:val="20"/>
                <w:szCs w:val="20"/>
              </w:rPr>
            </w:pPr>
            <w:r w:rsidRPr="00F874FE">
              <w:rPr>
                <w:b/>
                <w:bCs/>
                <w:color w:val="FFFFFF"/>
                <w:sz w:val="20"/>
                <w:szCs w:val="20"/>
              </w:rPr>
              <w:t>PY2</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F874FE" w:rsidRDefault="00F874FE" w:rsidP="00A25BE1">
            <w:pPr>
              <w:jc w:val="center"/>
              <w:rPr>
                <w:b/>
                <w:bCs/>
                <w:color w:val="FFFFFF"/>
                <w:sz w:val="20"/>
                <w:szCs w:val="20"/>
              </w:rPr>
            </w:pPr>
            <w:r w:rsidRPr="00F874FE">
              <w:rPr>
                <w:b/>
                <w:bCs/>
                <w:color w:val="FFFFFF"/>
                <w:sz w:val="20"/>
                <w:szCs w:val="20"/>
              </w:rPr>
              <w:t>PY3</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F874FE" w:rsidRDefault="00F874FE" w:rsidP="00A25BE1">
            <w:pPr>
              <w:jc w:val="center"/>
              <w:rPr>
                <w:b/>
                <w:bCs/>
                <w:color w:val="FFFFFF"/>
                <w:sz w:val="20"/>
                <w:szCs w:val="20"/>
              </w:rPr>
            </w:pPr>
            <w:r w:rsidRPr="00F874FE">
              <w:rPr>
                <w:b/>
                <w:bCs/>
                <w:color w:val="FFFFFF"/>
                <w:sz w:val="20"/>
                <w:szCs w:val="20"/>
              </w:rPr>
              <w:t>PY4</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F874FE" w:rsidRDefault="00F874FE" w:rsidP="00A25BE1">
            <w:pPr>
              <w:jc w:val="center"/>
              <w:rPr>
                <w:b/>
                <w:bCs/>
                <w:color w:val="FFFFFF"/>
                <w:sz w:val="20"/>
                <w:szCs w:val="20"/>
              </w:rPr>
            </w:pPr>
            <w:r w:rsidRPr="00F874FE">
              <w:rPr>
                <w:b/>
                <w:bCs/>
                <w:color w:val="FFFFFF"/>
                <w:sz w:val="20"/>
                <w:szCs w:val="20"/>
              </w:rPr>
              <w:t>PY5</w:t>
            </w:r>
          </w:p>
        </w:tc>
        <w:tc>
          <w:tcPr>
            <w:tcW w:w="0" w:type="auto"/>
            <w:tcBorders>
              <w:top w:val="single" w:sz="8" w:space="0" w:color="448A99"/>
              <w:left w:val="nil"/>
              <w:bottom w:val="single" w:sz="8" w:space="0" w:color="448A99"/>
              <w:right w:val="single" w:sz="8" w:space="0" w:color="448A99"/>
            </w:tcBorders>
            <w:shd w:val="clear" w:color="000000" w:fill="448A99"/>
            <w:vAlign w:val="center"/>
            <w:hideMark/>
          </w:tcPr>
          <w:p w:rsidR="00F874FE" w:rsidRPr="00F874FE" w:rsidRDefault="00F874FE" w:rsidP="00A25BE1">
            <w:pPr>
              <w:jc w:val="center"/>
              <w:rPr>
                <w:b/>
                <w:bCs/>
                <w:color w:val="FFFFFF"/>
                <w:sz w:val="20"/>
                <w:szCs w:val="20"/>
              </w:rPr>
            </w:pPr>
            <w:r w:rsidRPr="00F874FE">
              <w:rPr>
                <w:b/>
                <w:bCs/>
                <w:color w:val="FFFFFF"/>
                <w:sz w:val="20"/>
                <w:szCs w:val="20"/>
              </w:rPr>
              <w:t>PY6</w:t>
            </w:r>
          </w:p>
        </w:tc>
        <w:tc>
          <w:tcPr>
            <w:tcW w:w="1480" w:type="dxa"/>
            <w:tcBorders>
              <w:top w:val="single" w:sz="8" w:space="0" w:color="448A99"/>
              <w:left w:val="nil"/>
              <w:bottom w:val="single" w:sz="8" w:space="0" w:color="448A99"/>
              <w:right w:val="single" w:sz="8" w:space="0" w:color="448A99"/>
            </w:tcBorders>
            <w:shd w:val="clear" w:color="000000" w:fill="448A99"/>
            <w:vAlign w:val="center"/>
            <w:hideMark/>
          </w:tcPr>
          <w:p w:rsidR="00F874FE" w:rsidRPr="00F874FE" w:rsidRDefault="00F874FE" w:rsidP="00A25BE1">
            <w:pPr>
              <w:jc w:val="center"/>
              <w:rPr>
                <w:b/>
                <w:bCs/>
                <w:color w:val="FFFFFF"/>
                <w:sz w:val="20"/>
                <w:szCs w:val="20"/>
              </w:rPr>
            </w:pPr>
            <w:r w:rsidRPr="00F874FE">
              <w:rPr>
                <w:b/>
                <w:bCs/>
                <w:color w:val="FFFFFF"/>
                <w:sz w:val="20"/>
                <w:szCs w:val="20"/>
              </w:rPr>
              <w:t>PY7</w:t>
            </w:r>
          </w:p>
        </w:tc>
      </w:tr>
      <w:tr w:rsidR="00A874AC" w:rsidRPr="00F874FE" w:rsidTr="00F874FE">
        <w:trPr>
          <w:trHeight w:val="488"/>
        </w:trPr>
        <w:tc>
          <w:tcPr>
            <w:tcW w:w="0" w:type="auto"/>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Total</w:t>
            </w:r>
            <w:r w:rsidR="004558F9">
              <w:rPr>
                <w:color w:val="000000"/>
                <w:sz w:val="20"/>
                <w:szCs w:val="20"/>
              </w:rPr>
              <w:t xml:space="preserve"> Utility</w:t>
            </w:r>
            <w:r w:rsidRPr="00F874FE">
              <w:rPr>
                <w:color w:val="000000"/>
                <w:sz w:val="20"/>
                <w:szCs w:val="20"/>
              </w:rPr>
              <w:t xml:space="preserve"> Costs</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Residential Non Low Income</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$21,098,011</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$77,769,017</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$78,044,381</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$65,509,242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$77,730,330</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$88,751,988</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$101,192,878</w:t>
            </w:r>
          </w:p>
        </w:tc>
      </w:tr>
      <w:tr w:rsidR="00A874AC" w:rsidRPr="00F874FE" w:rsidTr="00F874FE">
        <w:trPr>
          <w:trHeight w:val="488"/>
        </w:trPr>
        <w:tc>
          <w:tcPr>
            <w:tcW w:w="0" w:type="auto"/>
            <w:vMerge/>
            <w:tcBorders>
              <w:top w:val="nil"/>
              <w:left w:val="single" w:sz="8" w:space="0" w:color="448A99"/>
              <w:bottom w:val="single" w:sz="8" w:space="0" w:color="448A99"/>
              <w:right w:val="single" w:sz="8" w:space="0" w:color="448A99"/>
            </w:tcBorders>
            <w:vAlign w:val="center"/>
            <w:hideMark/>
          </w:tcPr>
          <w:p w:rsidR="00F874FE" w:rsidRPr="00F874FE" w:rsidRDefault="00F874FE" w:rsidP="00C81F40">
            <w:pPr>
              <w:jc w:val="left"/>
              <w:rPr>
                <w:color w:val="000000"/>
                <w:sz w:val="20"/>
                <w:szCs w:val="20"/>
              </w:rPr>
            </w:pP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Residential Low Income</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$5,116,208</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$23,784,122</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$25,945,124</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$19,818,325</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$21,142,334</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$25,239,356</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$25,117,620</w:t>
            </w:r>
          </w:p>
        </w:tc>
      </w:tr>
      <w:tr w:rsidR="00A874AC" w:rsidRPr="00F874FE" w:rsidTr="00F874FE">
        <w:trPr>
          <w:trHeight w:val="488"/>
        </w:trPr>
        <w:tc>
          <w:tcPr>
            <w:tcW w:w="0" w:type="auto"/>
            <w:vMerge/>
            <w:tcBorders>
              <w:top w:val="nil"/>
              <w:left w:val="single" w:sz="8" w:space="0" w:color="448A99"/>
              <w:bottom w:val="single" w:sz="8" w:space="0" w:color="448A99"/>
              <w:right w:val="single" w:sz="8" w:space="0" w:color="448A99"/>
            </w:tcBorders>
            <w:vAlign w:val="center"/>
            <w:hideMark/>
          </w:tcPr>
          <w:p w:rsidR="00F874FE" w:rsidRPr="00F874FE" w:rsidRDefault="00F874FE" w:rsidP="00C81F40">
            <w:pPr>
              <w:jc w:val="left"/>
              <w:rPr>
                <w:color w:val="000000"/>
                <w:sz w:val="20"/>
                <w:szCs w:val="20"/>
              </w:rPr>
            </w:pP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Residential Total</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$26,214,219</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$101,553,139</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$103,989,505</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$85,327,567</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$98,872,664</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$113,991,344</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$126,310,498</w:t>
            </w:r>
          </w:p>
        </w:tc>
      </w:tr>
      <w:tr w:rsidR="00A874AC" w:rsidRPr="00F874FE" w:rsidTr="00F874FE">
        <w:trPr>
          <w:trHeight w:val="488"/>
        </w:trPr>
        <w:tc>
          <w:tcPr>
            <w:tcW w:w="0" w:type="auto"/>
            <w:vMerge/>
            <w:tcBorders>
              <w:top w:val="nil"/>
              <w:left w:val="single" w:sz="8" w:space="0" w:color="448A99"/>
              <w:bottom w:val="single" w:sz="8" w:space="0" w:color="448A99"/>
              <w:right w:val="single" w:sz="8" w:space="0" w:color="448A99"/>
            </w:tcBorders>
            <w:vAlign w:val="center"/>
            <w:hideMark/>
          </w:tcPr>
          <w:p w:rsidR="00F874FE" w:rsidRPr="00F874FE" w:rsidRDefault="00F874FE" w:rsidP="00C81F40">
            <w:pPr>
              <w:jc w:val="left"/>
              <w:rPr>
                <w:color w:val="000000"/>
                <w:sz w:val="20"/>
                <w:szCs w:val="20"/>
              </w:rPr>
            </w:pP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Non-Residential Total</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$9,902,453</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$76,868,755</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$101,793,117</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$124,074,172</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$68,181,380</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$86,789,656</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$102,139,032</w:t>
            </w:r>
          </w:p>
        </w:tc>
      </w:tr>
      <w:tr w:rsidR="00A874AC" w:rsidRPr="00F874FE" w:rsidTr="00F874FE">
        <w:trPr>
          <w:trHeight w:val="488"/>
        </w:trPr>
        <w:tc>
          <w:tcPr>
            <w:tcW w:w="0" w:type="auto"/>
            <w:vMerge/>
            <w:tcBorders>
              <w:top w:val="nil"/>
              <w:left w:val="single" w:sz="8" w:space="0" w:color="448A99"/>
              <w:bottom w:val="single" w:sz="8" w:space="0" w:color="448A99"/>
              <w:right w:val="single" w:sz="8" w:space="0" w:color="448A99"/>
            </w:tcBorders>
            <w:vAlign w:val="center"/>
            <w:hideMark/>
          </w:tcPr>
          <w:p w:rsidR="00F874FE" w:rsidRPr="00F874FE" w:rsidRDefault="00F874FE" w:rsidP="00C81F40">
            <w:pPr>
              <w:jc w:val="left"/>
              <w:rPr>
                <w:color w:val="000000"/>
                <w:sz w:val="20"/>
                <w:szCs w:val="20"/>
              </w:rPr>
            </w:pP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Total</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$36,116,672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$178,421,894</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$205,782,622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$209,401,740</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$167,054,044</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$200,781,000</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$228,449,530</w:t>
            </w:r>
          </w:p>
        </w:tc>
      </w:tr>
      <w:tr w:rsidR="00A874AC" w:rsidRPr="00F874FE" w:rsidTr="00F874FE">
        <w:trPr>
          <w:trHeight w:val="488"/>
        </w:trPr>
        <w:tc>
          <w:tcPr>
            <w:tcW w:w="0" w:type="auto"/>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F874FE" w:rsidRDefault="004558F9" w:rsidP="00A25BE1">
            <w:pPr>
              <w:jc w:val="center"/>
              <w:rPr>
                <w:color w:val="000000"/>
                <w:sz w:val="20"/>
                <w:szCs w:val="20"/>
              </w:rPr>
            </w:pPr>
            <w:r>
              <w:rPr>
                <w:color w:val="000000"/>
                <w:sz w:val="20"/>
                <w:szCs w:val="20"/>
              </w:rPr>
              <w:t xml:space="preserve">First-Year </w:t>
            </w:r>
            <w:r w:rsidR="00F874FE" w:rsidRPr="00F874FE">
              <w:rPr>
                <w:color w:val="000000"/>
                <w:sz w:val="20"/>
                <w:szCs w:val="20"/>
              </w:rPr>
              <w:t>kWh Saved</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Residential Non Low Income</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223,016,526</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759,004,979</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647,471,524</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709,774,218</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560,751,746</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523,196,336</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714,005,249</w:t>
            </w:r>
          </w:p>
        </w:tc>
      </w:tr>
      <w:tr w:rsidR="00A874AC" w:rsidRPr="00F874FE" w:rsidTr="00F874FE">
        <w:trPr>
          <w:trHeight w:val="488"/>
        </w:trPr>
        <w:tc>
          <w:tcPr>
            <w:tcW w:w="0" w:type="auto"/>
            <w:vMerge/>
            <w:tcBorders>
              <w:top w:val="nil"/>
              <w:left w:val="single" w:sz="8" w:space="0" w:color="448A99"/>
              <w:bottom w:val="single" w:sz="8" w:space="0" w:color="448A99"/>
              <w:right w:val="single" w:sz="8" w:space="0" w:color="448A99"/>
            </w:tcBorders>
            <w:vAlign w:val="center"/>
            <w:hideMark/>
          </w:tcPr>
          <w:p w:rsidR="00F874FE" w:rsidRPr="00F874FE" w:rsidRDefault="00F874FE" w:rsidP="00C81F40">
            <w:pPr>
              <w:jc w:val="left"/>
              <w:rPr>
                <w:color w:val="000000"/>
                <w:sz w:val="20"/>
                <w:szCs w:val="20"/>
              </w:rPr>
            </w:pP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Residential Low Income</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6,180,298</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63,605,860</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51,172,000</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57,013,305</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53,772,074</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36,611,000</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47,066,000</w:t>
            </w:r>
          </w:p>
        </w:tc>
      </w:tr>
      <w:tr w:rsidR="00A874AC" w:rsidRPr="00F874FE" w:rsidTr="00F874FE">
        <w:trPr>
          <w:trHeight w:val="488"/>
        </w:trPr>
        <w:tc>
          <w:tcPr>
            <w:tcW w:w="0" w:type="auto"/>
            <w:vMerge/>
            <w:tcBorders>
              <w:top w:val="nil"/>
              <w:left w:val="single" w:sz="8" w:space="0" w:color="448A99"/>
              <w:bottom w:val="single" w:sz="8" w:space="0" w:color="448A99"/>
              <w:right w:val="single" w:sz="8" w:space="0" w:color="448A99"/>
            </w:tcBorders>
            <w:vAlign w:val="center"/>
            <w:hideMark/>
          </w:tcPr>
          <w:p w:rsidR="00F874FE" w:rsidRPr="00F874FE" w:rsidRDefault="00F874FE" w:rsidP="00C81F40">
            <w:pPr>
              <w:jc w:val="left"/>
              <w:rPr>
                <w:color w:val="000000"/>
                <w:sz w:val="20"/>
                <w:szCs w:val="20"/>
              </w:rPr>
            </w:pP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Residential Total</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229,196,824</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822,610,839</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698,643,524</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766,787,522</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614,523,820</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559,807,336</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761,071,249</w:t>
            </w:r>
          </w:p>
        </w:tc>
      </w:tr>
      <w:tr w:rsidR="00A874AC" w:rsidRPr="00F874FE" w:rsidTr="00F874FE">
        <w:trPr>
          <w:trHeight w:val="488"/>
        </w:trPr>
        <w:tc>
          <w:tcPr>
            <w:tcW w:w="0" w:type="auto"/>
            <w:vMerge/>
            <w:tcBorders>
              <w:top w:val="nil"/>
              <w:left w:val="single" w:sz="8" w:space="0" w:color="448A99"/>
              <w:bottom w:val="single" w:sz="8" w:space="0" w:color="448A99"/>
              <w:right w:val="single" w:sz="8" w:space="0" w:color="448A99"/>
            </w:tcBorders>
            <w:vAlign w:val="center"/>
            <w:hideMark/>
          </w:tcPr>
          <w:p w:rsidR="00F874FE" w:rsidRPr="00F874FE" w:rsidRDefault="00F874FE" w:rsidP="00C81F40">
            <w:pPr>
              <w:jc w:val="left"/>
              <w:rPr>
                <w:color w:val="000000"/>
                <w:sz w:val="20"/>
                <w:szCs w:val="20"/>
              </w:rPr>
            </w:pP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Non-Residential Total</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57,632,392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634,442,432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728,364,476</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961,231,478</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404,631,180</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544,686,664</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745,248,751</w:t>
            </w:r>
          </w:p>
        </w:tc>
      </w:tr>
      <w:tr w:rsidR="00A874AC" w:rsidRPr="00F874FE" w:rsidTr="00F874FE">
        <w:trPr>
          <w:trHeight w:val="488"/>
        </w:trPr>
        <w:tc>
          <w:tcPr>
            <w:tcW w:w="0" w:type="auto"/>
            <w:vMerge/>
            <w:tcBorders>
              <w:top w:val="nil"/>
              <w:left w:val="single" w:sz="8" w:space="0" w:color="448A99"/>
              <w:bottom w:val="single" w:sz="8" w:space="0" w:color="448A99"/>
              <w:right w:val="single" w:sz="8" w:space="0" w:color="448A99"/>
            </w:tcBorders>
            <w:vAlign w:val="center"/>
            <w:hideMark/>
          </w:tcPr>
          <w:p w:rsidR="00F874FE" w:rsidRPr="00F874FE" w:rsidRDefault="00F874FE" w:rsidP="00C81F40">
            <w:pPr>
              <w:jc w:val="left"/>
              <w:rPr>
                <w:color w:val="000000"/>
                <w:sz w:val="20"/>
                <w:szCs w:val="20"/>
              </w:rPr>
            </w:pP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Total</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286,829,216</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1,457,053,271</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1,427,008,000</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1,728,019,000</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1,019,155,000</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1,104,494,000</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1,506,320,000</w:t>
            </w:r>
          </w:p>
        </w:tc>
      </w:tr>
      <w:tr w:rsidR="00A874AC" w:rsidRPr="00F874FE" w:rsidTr="00F874FE">
        <w:trPr>
          <w:trHeight w:val="488"/>
        </w:trPr>
        <w:tc>
          <w:tcPr>
            <w:tcW w:w="0" w:type="auto"/>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F874FE" w:rsidRDefault="004558F9" w:rsidP="00A25BE1">
            <w:pPr>
              <w:jc w:val="center"/>
              <w:rPr>
                <w:color w:val="000000"/>
                <w:sz w:val="20"/>
                <w:szCs w:val="20"/>
              </w:rPr>
            </w:pPr>
            <w:r>
              <w:rPr>
                <w:color w:val="000000"/>
                <w:sz w:val="20"/>
                <w:szCs w:val="20"/>
              </w:rPr>
              <w:t xml:space="preserve">Utility </w:t>
            </w:r>
            <w:r w:rsidR="00F874FE" w:rsidRPr="00F874FE">
              <w:rPr>
                <w:color w:val="000000"/>
                <w:sz w:val="20"/>
                <w:szCs w:val="20"/>
              </w:rPr>
              <w:t>$/kWh</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Residential Non Low Income</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$0.09</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$0.10</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$0.09</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$0.14</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$0.17</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$0.14</w:t>
            </w:r>
          </w:p>
        </w:tc>
      </w:tr>
      <w:tr w:rsidR="00A874AC" w:rsidRPr="00F874FE" w:rsidTr="00F874FE">
        <w:trPr>
          <w:trHeight w:val="488"/>
        </w:trPr>
        <w:tc>
          <w:tcPr>
            <w:tcW w:w="0" w:type="auto"/>
            <w:vMerge/>
            <w:tcBorders>
              <w:top w:val="nil"/>
              <w:left w:val="single" w:sz="8" w:space="0" w:color="448A99"/>
              <w:bottom w:val="single" w:sz="8" w:space="0" w:color="448A99"/>
              <w:right w:val="single" w:sz="8" w:space="0" w:color="448A99"/>
            </w:tcBorders>
            <w:vAlign w:val="center"/>
            <w:hideMark/>
          </w:tcPr>
          <w:p w:rsidR="00F874FE" w:rsidRPr="00F874FE" w:rsidRDefault="00F874FE" w:rsidP="00C81F40">
            <w:pPr>
              <w:jc w:val="left"/>
              <w:rPr>
                <w:color w:val="000000"/>
                <w:sz w:val="20"/>
                <w:szCs w:val="20"/>
              </w:rPr>
            </w:pP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Residential Low Income</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$0.83</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$0.37</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$0.51</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$0.35</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$0.39</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$0.69</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$0.53</w:t>
            </w:r>
          </w:p>
        </w:tc>
      </w:tr>
      <w:tr w:rsidR="00A874AC" w:rsidRPr="00F874FE" w:rsidTr="00F874FE">
        <w:trPr>
          <w:trHeight w:val="488"/>
        </w:trPr>
        <w:tc>
          <w:tcPr>
            <w:tcW w:w="0" w:type="auto"/>
            <w:vMerge/>
            <w:tcBorders>
              <w:top w:val="nil"/>
              <w:left w:val="single" w:sz="8" w:space="0" w:color="448A99"/>
              <w:bottom w:val="single" w:sz="8" w:space="0" w:color="448A99"/>
              <w:right w:val="single" w:sz="8" w:space="0" w:color="448A99"/>
            </w:tcBorders>
            <w:vAlign w:val="center"/>
            <w:hideMark/>
          </w:tcPr>
          <w:p w:rsidR="00F874FE" w:rsidRPr="00F874FE" w:rsidRDefault="00F874FE" w:rsidP="00C81F40">
            <w:pPr>
              <w:jc w:val="left"/>
              <w:rPr>
                <w:color w:val="000000"/>
                <w:sz w:val="20"/>
                <w:szCs w:val="20"/>
              </w:rPr>
            </w:pP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Residential Total</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$0.11</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$0.15</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$0.11</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$0.16</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$0.20</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$0.17</w:t>
            </w:r>
          </w:p>
        </w:tc>
      </w:tr>
      <w:tr w:rsidR="00A874AC" w:rsidRPr="00F874FE" w:rsidTr="00F874FE">
        <w:trPr>
          <w:trHeight w:val="488"/>
        </w:trPr>
        <w:tc>
          <w:tcPr>
            <w:tcW w:w="0" w:type="auto"/>
            <w:vMerge/>
            <w:tcBorders>
              <w:top w:val="nil"/>
              <w:left w:val="single" w:sz="8" w:space="0" w:color="448A99"/>
              <w:bottom w:val="single" w:sz="8" w:space="0" w:color="448A99"/>
              <w:right w:val="single" w:sz="8" w:space="0" w:color="448A99"/>
            </w:tcBorders>
            <w:vAlign w:val="center"/>
            <w:hideMark/>
          </w:tcPr>
          <w:p w:rsidR="00F874FE" w:rsidRPr="00F874FE" w:rsidRDefault="00F874FE" w:rsidP="00C81F40">
            <w:pPr>
              <w:jc w:val="left"/>
              <w:rPr>
                <w:color w:val="000000"/>
                <w:sz w:val="20"/>
                <w:szCs w:val="20"/>
              </w:rPr>
            </w:pP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Non-Residential Total</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$0.17</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$0.12</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$0.14</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$0.13</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$0.17</w:t>
            </w:r>
          </w:p>
        </w:tc>
        <w:tc>
          <w:tcPr>
            <w:tcW w:w="0" w:type="auto"/>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$0.16</w:t>
            </w:r>
          </w:p>
        </w:tc>
        <w:tc>
          <w:tcPr>
            <w:tcW w:w="1480" w:type="dxa"/>
            <w:tcBorders>
              <w:top w:val="nil"/>
              <w:left w:val="nil"/>
              <w:bottom w:val="single" w:sz="8" w:space="0" w:color="448A99"/>
              <w:right w:val="single" w:sz="8" w:space="0" w:color="448A99"/>
            </w:tcBorders>
            <w:shd w:val="clear" w:color="auto" w:fill="auto"/>
            <w:vAlign w:val="center"/>
            <w:hideMark/>
          </w:tcPr>
          <w:p w:rsidR="00F874FE" w:rsidRPr="00F874FE" w:rsidRDefault="00F874FE" w:rsidP="00A25BE1">
            <w:pPr>
              <w:jc w:val="center"/>
              <w:rPr>
                <w:color w:val="000000"/>
                <w:sz w:val="20"/>
                <w:szCs w:val="20"/>
              </w:rPr>
            </w:pPr>
            <w:r w:rsidRPr="00F874FE">
              <w:rPr>
                <w:color w:val="000000"/>
                <w:sz w:val="20"/>
                <w:szCs w:val="20"/>
              </w:rPr>
              <w:t>$0.14</w:t>
            </w:r>
          </w:p>
        </w:tc>
      </w:tr>
      <w:tr w:rsidR="00A874AC" w:rsidRPr="00F874FE" w:rsidTr="00F874FE">
        <w:trPr>
          <w:trHeight w:val="489"/>
        </w:trPr>
        <w:tc>
          <w:tcPr>
            <w:tcW w:w="0" w:type="auto"/>
            <w:vMerge/>
            <w:tcBorders>
              <w:top w:val="nil"/>
              <w:left w:val="single" w:sz="8" w:space="0" w:color="448A99"/>
              <w:bottom w:val="single" w:sz="8" w:space="0" w:color="448A99"/>
              <w:right w:val="single" w:sz="8" w:space="0" w:color="448A99"/>
            </w:tcBorders>
            <w:vAlign w:val="center"/>
            <w:hideMark/>
          </w:tcPr>
          <w:p w:rsidR="00F874FE" w:rsidRPr="00F874FE" w:rsidRDefault="00F874FE" w:rsidP="00C81F40">
            <w:pPr>
              <w:jc w:val="left"/>
              <w:rPr>
                <w:color w:val="000000"/>
                <w:sz w:val="20"/>
                <w:szCs w:val="20"/>
              </w:rPr>
            </w:pP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Residential and Non-Residential Combined</w:t>
            </w:r>
            <w:r w:rsidR="00093DFB">
              <w:rPr>
                <w:rStyle w:val="FootnoteReference"/>
                <w:color w:val="000000"/>
                <w:sz w:val="20"/>
                <w:szCs w:val="20"/>
              </w:rPr>
              <w:footnoteReference w:id="39"/>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$0.13</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$0.14</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$0.12</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$0.16</w:t>
            </w:r>
          </w:p>
        </w:tc>
        <w:tc>
          <w:tcPr>
            <w:tcW w:w="0" w:type="auto"/>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$0.18</w:t>
            </w:r>
          </w:p>
        </w:tc>
        <w:tc>
          <w:tcPr>
            <w:tcW w:w="1480" w:type="dxa"/>
            <w:tcBorders>
              <w:top w:val="nil"/>
              <w:left w:val="nil"/>
              <w:bottom w:val="single" w:sz="8" w:space="0" w:color="448A99"/>
              <w:right w:val="single" w:sz="8" w:space="0" w:color="448A99"/>
            </w:tcBorders>
            <w:shd w:val="clear" w:color="000000" w:fill="D2EAF1"/>
            <w:vAlign w:val="center"/>
            <w:hideMark/>
          </w:tcPr>
          <w:p w:rsidR="00F874FE" w:rsidRPr="00F874FE" w:rsidRDefault="00F874FE" w:rsidP="00A25BE1">
            <w:pPr>
              <w:jc w:val="center"/>
              <w:rPr>
                <w:color w:val="000000"/>
                <w:sz w:val="20"/>
                <w:szCs w:val="20"/>
              </w:rPr>
            </w:pPr>
            <w:r w:rsidRPr="00F874FE">
              <w:rPr>
                <w:color w:val="000000"/>
                <w:sz w:val="20"/>
                <w:szCs w:val="20"/>
              </w:rPr>
              <w:t>$0.15</w:t>
            </w:r>
          </w:p>
        </w:tc>
      </w:tr>
    </w:tbl>
    <w:p w:rsidR="00F874FE" w:rsidRDefault="00F874FE" w:rsidP="00F874FE"/>
    <w:p w:rsidR="00F874FE" w:rsidRPr="00C81F40" w:rsidRDefault="00F874FE" w:rsidP="00C81F40">
      <w:pPr>
        <w:jc w:val="left"/>
        <w:rPr>
          <w:rFonts w:ascii="Century Gothic" w:hAnsi="Century Gothic"/>
          <w:b/>
          <w:sz w:val="18"/>
        </w:rPr>
      </w:pPr>
      <w:bookmarkStart w:id="453" w:name="_Toc472472199"/>
      <w:r>
        <w:br w:type="page"/>
      </w:r>
    </w:p>
    <w:p w:rsidR="00F874FE" w:rsidRDefault="00F874FE" w:rsidP="00F874FE">
      <w:pPr>
        <w:pStyle w:val="Caption"/>
      </w:pPr>
      <w:bookmarkStart w:id="454" w:name="_Toc476914013"/>
      <w:r w:rsidRPr="0002004F">
        <w:lastRenderedPageBreak/>
        <w:t xml:space="preserve">Table </w:t>
      </w:r>
      <w:fldSimple w:instr=" STYLEREF 1 \s ">
        <w:r w:rsidR="00C301D0">
          <w:rPr>
            <w:noProof/>
          </w:rPr>
          <w:t>6</w:t>
        </w:r>
      </w:fldSimple>
      <w:r w:rsidR="00E6042C">
        <w:noBreakHyphen/>
      </w:r>
      <w:fldSimple w:instr=" SEQ Table \* ARABIC \s 1 ">
        <w:r w:rsidR="00C301D0">
          <w:rPr>
            <w:noProof/>
          </w:rPr>
          <w:t>2</w:t>
        </w:r>
      </w:fldSimple>
      <w:r w:rsidRPr="0002004F">
        <w:t xml:space="preserve">: Total Costs, kWh Savings, and Cost per </w:t>
      </w:r>
      <w:r w:rsidR="00093DFB">
        <w:t xml:space="preserve">First-Year </w:t>
      </w:r>
      <w:r w:rsidRPr="0002004F">
        <w:t>kWh</w:t>
      </w:r>
      <w:r w:rsidR="00093DFB">
        <w:t xml:space="preserve"> Saved</w:t>
      </w:r>
      <w:r w:rsidRPr="0002004F">
        <w:t xml:space="preserve"> by EDC for All Years Combined</w:t>
      </w:r>
      <w:bookmarkEnd w:id="453"/>
      <w:bookmarkEnd w:id="454"/>
    </w:p>
    <w:tbl>
      <w:tblPr>
        <w:tblW w:w="5000" w:type="pct"/>
        <w:tblLook w:val="04A0" w:firstRow="1" w:lastRow="0" w:firstColumn="1" w:lastColumn="0" w:noHBand="0" w:noVBand="1"/>
      </w:tblPr>
      <w:tblGrid>
        <w:gridCol w:w="950"/>
        <w:gridCol w:w="1330"/>
        <w:gridCol w:w="1330"/>
        <w:gridCol w:w="1330"/>
        <w:gridCol w:w="1330"/>
        <w:gridCol w:w="1380"/>
        <w:gridCol w:w="1481"/>
        <w:gridCol w:w="1897"/>
        <w:gridCol w:w="1912"/>
      </w:tblGrid>
      <w:tr w:rsidR="009D19F3" w:rsidRPr="00254D0A" w:rsidTr="009D19F3">
        <w:trPr>
          <w:trHeight w:val="315"/>
        </w:trPr>
        <w:tc>
          <w:tcPr>
            <w:tcW w:w="366"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254D0A" w:rsidRDefault="00F874FE" w:rsidP="00A25BE1">
            <w:pPr>
              <w:jc w:val="center"/>
              <w:rPr>
                <w:b/>
                <w:bCs/>
                <w:color w:val="FFFFFF"/>
                <w:sz w:val="20"/>
                <w:szCs w:val="20"/>
              </w:rPr>
            </w:pPr>
            <w:r w:rsidRPr="00254D0A">
              <w:rPr>
                <w:b/>
                <w:bCs/>
                <w:color w:val="FFFFFF"/>
                <w:sz w:val="20"/>
                <w:szCs w:val="20"/>
              </w:rPr>
              <w:t> </w:t>
            </w:r>
          </w:p>
        </w:tc>
        <w:tc>
          <w:tcPr>
            <w:tcW w:w="50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254D0A" w:rsidRDefault="00F874FE" w:rsidP="00A25BE1">
            <w:pPr>
              <w:jc w:val="center"/>
              <w:rPr>
                <w:b/>
                <w:bCs/>
                <w:color w:val="FFFFFF"/>
                <w:sz w:val="20"/>
                <w:szCs w:val="20"/>
              </w:rPr>
            </w:pPr>
            <w:r w:rsidRPr="00254D0A">
              <w:rPr>
                <w:b/>
                <w:bCs/>
                <w:color w:val="FFFFFF"/>
                <w:sz w:val="20"/>
                <w:szCs w:val="20"/>
              </w:rPr>
              <w:t>Duquesne</w:t>
            </w:r>
          </w:p>
        </w:tc>
        <w:tc>
          <w:tcPr>
            <w:tcW w:w="50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254D0A" w:rsidRDefault="00F874FE" w:rsidP="00A25BE1">
            <w:pPr>
              <w:jc w:val="center"/>
              <w:rPr>
                <w:b/>
                <w:bCs/>
                <w:color w:val="FFFFFF"/>
                <w:sz w:val="20"/>
                <w:szCs w:val="20"/>
              </w:rPr>
            </w:pPr>
            <w:r w:rsidRPr="00254D0A">
              <w:rPr>
                <w:b/>
                <w:bCs/>
                <w:color w:val="FFFFFF"/>
                <w:sz w:val="20"/>
                <w:szCs w:val="20"/>
              </w:rPr>
              <w:t>Met Ed</w:t>
            </w:r>
          </w:p>
        </w:tc>
        <w:tc>
          <w:tcPr>
            <w:tcW w:w="53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254D0A" w:rsidRDefault="00F874FE" w:rsidP="00A25BE1">
            <w:pPr>
              <w:jc w:val="center"/>
              <w:rPr>
                <w:b/>
                <w:bCs/>
                <w:color w:val="FFFFFF"/>
                <w:sz w:val="20"/>
                <w:szCs w:val="20"/>
              </w:rPr>
            </w:pPr>
            <w:r w:rsidRPr="00254D0A">
              <w:rPr>
                <w:b/>
                <w:bCs/>
                <w:color w:val="FFFFFF"/>
                <w:sz w:val="20"/>
                <w:szCs w:val="20"/>
              </w:rPr>
              <w:t>Penelec</w:t>
            </w:r>
          </w:p>
        </w:tc>
        <w:tc>
          <w:tcPr>
            <w:tcW w:w="47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254D0A" w:rsidRDefault="00F874FE" w:rsidP="00A25BE1">
            <w:pPr>
              <w:jc w:val="center"/>
              <w:rPr>
                <w:b/>
                <w:bCs/>
                <w:color w:val="FFFFFF"/>
                <w:sz w:val="20"/>
                <w:szCs w:val="20"/>
              </w:rPr>
            </w:pPr>
            <w:r w:rsidRPr="00254D0A">
              <w:rPr>
                <w:b/>
                <w:bCs/>
                <w:color w:val="FFFFFF"/>
                <w:sz w:val="20"/>
                <w:szCs w:val="20"/>
              </w:rPr>
              <w:t>Penn Power</w:t>
            </w:r>
          </w:p>
        </w:tc>
        <w:tc>
          <w:tcPr>
            <w:tcW w:w="521"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254D0A" w:rsidRDefault="00F874FE" w:rsidP="00A25BE1">
            <w:pPr>
              <w:jc w:val="center"/>
              <w:rPr>
                <w:b/>
                <w:bCs/>
                <w:color w:val="FFFFFF"/>
                <w:sz w:val="20"/>
                <w:szCs w:val="20"/>
              </w:rPr>
            </w:pPr>
            <w:r w:rsidRPr="00254D0A">
              <w:rPr>
                <w:b/>
                <w:bCs/>
                <w:color w:val="FFFFFF"/>
                <w:sz w:val="20"/>
                <w:szCs w:val="20"/>
              </w:rPr>
              <w:t>West Penn</w:t>
            </w:r>
          </w:p>
        </w:tc>
        <w:tc>
          <w:tcPr>
            <w:tcW w:w="560"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254D0A" w:rsidRDefault="00F874FE" w:rsidP="00A25BE1">
            <w:pPr>
              <w:jc w:val="center"/>
              <w:rPr>
                <w:b/>
                <w:bCs/>
                <w:color w:val="FFFFFF"/>
                <w:sz w:val="20"/>
                <w:szCs w:val="20"/>
              </w:rPr>
            </w:pPr>
            <w:r w:rsidRPr="00254D0A">
              <w:rPr>
                <w:b/>
                <w:bCs/>
                <w:color w:val="FFFFFF"/>
                <w:sz w:val="20"/>
                <w:szCs w:val="20"/>
              </w:rPr>
              <w:t>PECO</w:t>
            </w:r>
          </w:p>
        </w:tc>
        <w:tc>
          <w:tcPr>
            <w:tcW w:w="769"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254D0A" w:rsidRDefault="00F874FE" w:rsidP="00A25BE1">
            <w:pPr>
              <w:jc w:val="center"/>
              <w:rPr>
                <w:b/>
                <w:bCs/>
                <w:color w:val="FFFFFF"/>
                <w:sz w:val="20"/>
                <w:szCs w:val="20"/>
              </w:rPr>
            </w:pPr>
            <w:r w:rsidRPr="00254D0A">
              <w:rPr>
                <w:b/>
                <w:bCs/>
                <w:color w:val="FFFFFF"/>
                <w:sz w:val="20"/>
                <w:szCs w:val="20"/>
              </w:rPr>
              <w:t>PPL</w:t>
            </w:r>
          </w:p>
        </w:tc>
        <w:tc>
          <w:tcPr>
            <w:tcW w:w="769"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254D0A" w:rsidRDefault="00F874FE" w:rsidP="00A25BE1">
            <w:pPr>
              <w:jc w:val="center"/>
              <w:rPr>
                <w:b/>
                <w:bCs/>
                <w:color w:val="FFFFFF"/>
                <w:sz w:val="20"/>
                <w:szCs w:val="20"/>
              </w:rPr>
            </w:pPr>
            <w:r w:rsidRPr="00254D0A">
              <w:rPr>
                <w:b/>
                <w:bCs/>
                <w:color w:val="FFFFFF"/>
                <w:sz w:val="20"/>
                <w:szCs w:val="20"/>
              </w:rPr>
              <w:t>Total</w:t>
            </w:r>
          </w:p>
        </w:tc>
      </w:tr>
      <w:tr w:rsidR="009D19F3" w:rsidRPr="00254D0A" w:rsidTr="009D19F3">
        <w:trPr>
          <w:trHeight w:val="315"/>
        </w:trPr>
        <w:tc>
          <w:tcPr>
            <w:tcW w:w="366" w:type="pct"/>
            <w:tcBorders>
              <w:top w:val="nil"/>
              <w:left w:val="single" w:sz="8" w:space="0" w:color="448A99"/>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Total</w:t>
            </w:r>
            <w:r w:rsidR="004558F9">
              <w:rPr>
                <w:color w:val="000000"/>
                <w:sz w:val="20"/>
                <w:szCs w:val="20"/>
              </w:rPr>
              <w:t xml:space="preserve"> Utility</w:t>
            </w:r>
            <w:r w:rsidRPr="00254D0A">
              <w:rPr>
                <w:color w:val="000000"/>
                <w:sz w:val="20"/>
                <w:szCs w:val="20"/>
              </w:rPr>
              <w:t xml:space="preserve"> Costs</w:t>
            </w:r>
          </w:p>
        </w:tc>
        <w:tc>
          <w:tcPr>
            <w:tcW w:w="503"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$114,851,379</w:t>
            </w:r>
          </w:p>
        </w:tc>
        <w:tc>
          <w:tcPr>
            <w:tcW w:w="503"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$122,820,357</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$105,445,344</w:t>
            </w:r>
          </w:p>
        </w:tc>
        <w:tc>
          <w:tcPr>
            <w:tcW w:w="473"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$33,835,238</w:t>
            </w:r>
          </w:p>
        </w:tc>
        <w:tc>
          <w:tcPr>
            <w:tcW w:w="521"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$125,985,384</w:t>
            </w:r>
          </w:p>
        </w:tc>
        <w:tc>
          <w:tcPr>
            <w:tcW w:w="560"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$361,910,066</w:t>
            </w:r>
          </w:p>
        </w:tc>
        <w:tc>
          <w:tcPr>
            <w:tcW w:w="769"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$361,159,735</w:t>
            </w:r>
          </w:p>
        </w:tc>
        <w:tc>
          <w:tcPr>
            <w:tcW w:w="769"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$1,226,007,502</w:t>
            </w:r>
          </w:p>
        </w:tc>
      </w:tr>
      <w:tr w:rsidR="009D19F3" w:rsidRPr="00254D0A" w:rsidTr="009D19F3">
        <w:trPr>
          <w:trHeight w:val="315"/>
        </w:trPr>
        <w:tc>
          <w:tcPr>
            <w:tcW w:w="366" w:type="pct"/>
            <w:tcBorders>
              <w:top w:val="nil"/>
              <w:left w:val="single" w:sz="8" w:space="0" w:color="448A99"/>
              <w:bottom w:val="single" w:sz="8" w:space="0" w:color="448A99"/>
              <w:right w:val="single" w:sz="8" w:space="0" w:color="448A99"/>
            </w:tcBorders>
            <w:shd w:val="clear" w:color="auto" w:fill="auto"/>
            <w:vAlign w:val="center"/>
            <w:hideMark/>
          </w:tcPr>
          <w:p w:rsidR="00F874FE" w:rsidRPr="00254D0A" w:rsidRDefault="00093DFB" w:rsidP="00A25BE1">
            <w:pPr>
              <w:jc w:val="center"/>
              <w:rPr>
                <w:color w:val="000000"/>
                <w:sz w:val="20"/>
                <w:szCs w:val="20"/>
              </w:rPr>
            </w:pPr>
            <w:r>
              <w:rPr>
                <w:color w:val="000000"/>
                <w:sz w:val="20"/>
                <w:szCs w:val="20"/>
              </w:rPr>
              <w:t xml:space="preserve">First-Year </w:t>
            </w:r>
            <w:r w:rsidR="00F874FE" w:rsidRPr="00254D0A">
              <w:rPr>
                <w:color w:val="000000"/>
                <w:sz w:val="20"/>
                <w:szCs w:val="20"/>
              </w:rPr>
              <w:t>kWh Saved</w:t>
            </w:r>
          </w:p>
        </w:tc>
        <w:tc>
          <w:tcPr>
            <w:tcW w:w="503"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882,387,794</w:t>
            </w:r>
          </w:p>
        </w:tc>
        <w:tc>
          <w:tcPr>
            <w:tcW w:w="503"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934,683,672</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872,485,094</w:t>
            </w:r>
          </w:p>
        </w:tc>
        <w:tc>
          <w:tcPr>
            <w:tcW w:w="473"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289,167,557</w:t>
            </w:r>
          </w:p>
        </w:tc>
        <w:tc>
          <w:tcPr>
            <w:tcW w:w="521"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1,084,939,370</w:t>
            </w:r>
          </w:p>
        </w:tc>
        <w:tc>
          <w:tcPr>
            <w:tcW w:w="560"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2,065,246,000</w:t>
            </w:r>
          </w:p>
        </w:tc>
        <w:tc>
          <w:tcPr>
            <w:tcW w:w="769"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2,399,969,000</w:t>
            </w:r>
          </w:p>
        </w:tc>
        <w:tc>
          <w:tcPr>
            <w:tcW w:w="769"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8,528,878,487</w:t>
            </w:r>
          </w:p>
        </w:tc>
      </w:tr>
      <w:tr w:rsidR="009D19F3" w:rsidRPr="00254D0A" w:rsidTr="009D19F3">
        <w:trPr>
          <w:trHeight w:val="315"/>
        </w:trPr>
        <w:tc>
          <w:tcPr>
            <w:tcW w:w="366" w:type="pct"/>
            <w:tcBorders>
              <w:top w:val="nil"/>
              <w:left w:val="single" w:sz="8" w:space="0" w:color="448A99"/>
              <w:bottom w:val="single" w:sz="8" w:space="0" w:color="448A99"/>
              <w:right w:val="single" w:sz="8" w:space="0" w:color="448A99"/>
            </w:tcBorders>
            <w:shd w:val="clear" w:color="000000" w:fill="D2EAF1"/>
            <w:vAlign w:val="center"/>
            <w:hideMark/>
          </w:tcPr>
          <w:p w:rsidR="00F874FE" w:rsidRPr="00254D0A" w:rsidRDefault="004558F9" w:rsidP="00A25BE1">
            <w:pPr>
              <w:jc w:val="center"/>
              <w:rPr>
                <w:color w:val="000000"/>
                <w:sz w:val="20"/>
                <w:szCs w:val="20"/>
              </w:rPr>
            </w:pPr>
            <w:r>
              <w:rPr>
                <w:color w:val="000000"/>
                <w:sz w:val="20"/>
                <w:szCs w:val="20"/>
              </w:rPr>
              <w:t xml:space="preserve">Utility </w:t>
            </w:r>
            <w:r w:rsidR="00F874FE" w:rsidRPr="00254D0A">
              <w:rPr>
                <w:color w:val="000000"/>
                <w:sz w:val="20"/>
                <w:szCs w:val="20"/>
              </w:rPr>
              <w:t>$/kWh</w:t>
            </w:r>
          </w:p>
        </w:tc>
        <w:tc>
          <w:tcPr>
            <w:tcW w:w="503"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$0.13</w:t>
            </w:r>
          </w:p>
        </w:tc>
        <w:tc>
          <w:tcPr>
            <w:tcW w:w="503"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$0.13</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$0.12</w:t>
            </w:r>
          </w:p>
        </w:tc>
        <w:tc>
          <w:tcPr>
            <w:tcW w:w="473"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$0.12</w:t>
            </w:r>
          </w:p>
        </w:tc>
        <w:tc>
          <w:tcPr>
            <w:tcW w:w="521"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$0.12</w:t>
            </w:r>
          </w:p>
        </w:tc>
        <w:tc>
          <w:tcPr>
            <w:tcW w:w="560"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$0.18</w:t>
            </w:r>
          </w:p>
        </w:tc>
        <w:tc>
          <w:tcPr>
            <w:tcW w:w="769"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$0.15</w:t>
            </w:r>
          </w:p>
        </w:tc>
        <w:tc>
          <w:tcPr>
            <w:tcW w:w="769" w:type="pct"/>
            <w:tcBorders>
              <w:top w:val="nil"/>
              <w:left w:val="nil"/>
              <w:bottom w:val="single" w:sz="8" w:space="0" w:color="448A99"/>
              <w:right w:val="single" w:sz="8" w:space="0" w:color="448A99"/>
            </w:tcBorders>
            <w:shd w:val="clear" w:color="000000" w:fill="D2EAF1"/>
            <w:vAlign w:val="center"/>
            <w:hideMark/>
          </w:tcPr>
          <w:p w:rsidR="00F874FE" w:rsidRPr="00254D0A" w:rsidRDefault="00F874FE" w:rsidP="00A25BE1">
            <w:pPr>
              <w:jc w:val="center"/>
              <w:rPr>
                <w:color w:val="000000"/>
                <w:sz w:val="20"/>
                <w:szCs w:val="20"/>
              </w:rPr>
            </w:pPr>
            <w:r w:rsidRPr="00254D0A">
              <w:rPr>
                <w:color w:val="000000"/>
                <w:sz w:val="20"/>
                <w:szCs w:val="20"/>
              </w:rPr>
              <w:t>$0.14</w:t>
            </w:r>
          </w:p>
        </w:tc>
      </w:tr>
      <w:tr w:rsidR="009D19F3" w:rsidRPr="00254D0A" w:rsidTr="009D19F3">
        <w:trPr>
          <w:trHeight w:val="315"/>
        </w:trPr>
        <w:tc>
          <w:tcPr>
            <w:tcW w:w="366" w:type="pct"/>
            <w:tcBorders>
              <w:top w:val="nil"/>
              <w:left w:val="single" w:sz="8" w:space="0" w:color="448A99"/>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 Savings</w:t>
            </w:r>
            <w:r>
              <w:rPr>
                <w:rStyle w:val="FootnoteReference"/>
                <w:color w:val="000000"/>
                <w:sz w:val="20"/>
                <w:szCs w:val="20"/>
              </w:rPr>
              <w:footnoteReference w:id="40"/>
            </w:r>
          </w:p>
        </w:tc>
        <w:tc>
          <w:tcPr>
            <w:tcW w:w="503"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$552,540,000</w:t>
            </w:r>
          </w:p>
        </w:tc>
        <w:tc>
          <w:tcPr>
            <w:tcW w:w="503"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$553,100,000</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$523,488,000</w:t>
            </w:r>
          </w:p>
        </w:tc>
        <w:tc>
          <w:tcPr>
            <w:tcW w:w="473"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$169,428,000</w:t>
            </w:r>
          </w:p>
        </w:tc>
        <w:tc>
          <w:tcPr>
            <w:tcW w:w="521"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$592,973,000</w:t>
            </w:r>
          </w:p>
        </w:tc>
        <w:tc>
          <w:tcPr>
            <w:tcW w:w="560"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$2,194,255,000</w:t>
            </w:r>
          </w:p>
        </w:tc>
        <w:tc>
          <w:tcPr>
            <w:tcW w:w="769"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$1,803,876,000</w:t>
            </w:r>
          </w:p>
        </w:tc>
        <w:tc>
          <w:tcPr>
            <w:tcW w:w="769" w:type="pct"/>
            <w:tcBorders>
              <w:top w:val="nil"/>
              <w:left w:val="nil"/>
              <w:bottom w:val="single" w:sz="8" w:space="0" w:color="448A99"/>
              <w:right w:val="single" w:sz="8" w:space="0" w:color="448A99"/>
            </w:tcBorders>
            <w:shd w:val="clear" w:color="auto" w:fill="auto"/>
            <w:vAlign w:val="center"/>
            <w:hideMark/>
          </w:tcPr>
          <w:p w:rsidR="00F874FE" w:rsidRPr="00254D0A" w:rsidRDefault="00F874FE" w:rsidP="00A25BE1">
            <w:pPr>
              <w:jc w:val="center"/>
              <w:rPr>
                <w:color w:val="000000"/>
                <w:sz w:val="20"/>
                <w:szCs w:val="20"/>
              </w:rPr>
            </w:pPr>
            <w:r w:rsidRPr="00254D0A">
              <w:rPr>
                <w:color w:val="000000"/>
                <w:sz w:val="20"/>
                <w:szCs w:val="20"/>
              </w:rPr>
              <w:t>$6,389,660,000</w:t>
            </w:r>
          </w:p>
        </w:tc>
      </w:tr>
    </w:tbl>
    <w:p w:rsidR="00F874FE" w:rsidRPr="00254D0A" w:rsidRDefault="00F874FE" w:rsidP="009D19F3"/>
    <w:p w:rsidR="00F874FE" w:rsidRDefault="00F874FE" w:rsidP="00F874FE">
      <w:pPr>
        <w:pStyle w:val="Caption"/>
      </w:pPr>
      <w:bookmarkStart w:id="455" w:name="_Toc472472200"/>
      <w:bookmarkStart w:id="456" w:name="_Toc476914014"/>
      <w:r w:rsidRPr="0002004F">
        <w:t xml:space="preserve">Table </w:t>
      </w:r>
      <w:fldSimple w:instr=" STYLEREF 1 \s ">
        <w:r w:rsidR="00C301D0">
          <w:rPr>
            <w:noProof/>
          </w:rPr>
          <w:t>6</w:t>
        </w:r>
      </w:fldSimple>
      <w:r w:rsidR="00E6042C">
        <w:noBreakHyphen/>
      </w:r>
      <w:fldSimple w:instr=" SEQ Table \* ARABIC \s 1 ">
        <w:r w:rsidR="00C301D0">
          <w:rPr>
            <w:noProof/>
          </w:rPr>
          <w:t>3</w:t>
        </w:r>
      </w:fldSimple>
      <w:r w:rsidRPr="0002004F">
        <w:t xml:space="preserve">: Duquesne Costs, Annual </w:t>
      </w:r>
      <w:r>
        <w:t>kWh Savings, and Cost per First-</w:t>
      </w:r>
      <w:r w:rsidRPr="0002004F">
        <w:t>Year kWh</w:t>
      </w:r>
      <w:r w:rsidR="00093DFB">
        <w:t xml:space="preserve"> Saved</w:t>
      </w:r>
      <w:r w:rsidRPr="0002004F">
        <w:t xml:space="preserve"> by Program Year</w:t>
      </w:r>
      <w:bookmarkEnd w:id="455"/>
      <w:bookmarkEnd w:id="456"/>
    </w:p>
    <w:tbl>
      <w:tblPr>
        <w:tblW w:w="5000" w:type="pct"/>
        <w:tblLook w:val="04A0" w:firstRow="1" w:lastRow="0" w:firstColumn="1" w:lastColumn="0" w:noHBand="0" w:noVBand="1"/>
      </w:tblPr>
      <w:tblGrid>
        <w:gridCol w:w="1189"/>
        <w:gridCol w:w="2691"/>
        <w:gridCol w:w="1200"/>
        <w:gridCol w:w="1310"/>
        <w:gridCol w:w="1310"/>
        <w:gridCol w:w="1310"/>
        <w:gridCol w:w="1310"/>
        <w:gridCol w:w="1310"/>
        <w:gridCol w:w="1310"/>
      </w:tblGrid>
      <w:tr w:rsidR="00A874AC" w:rsidRPr="0076242A" w:rsidTr="00F874FE">
        <w:trPr>
          <w:trHeight w:val="300"/>
          <w:tblHeader/>
        </w:trPr>
        <w:tc>
          <w:tcPr>
            <w:tcW w:w="460"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 </w:t>
            </w:r>
          </w:p>
        </w:tc>
        <w:tc>
          <w:tcPr>
            <w:tcW w:w="1040"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 </w:t>
            </w:r>
          </w:p>
        </w:tc>
        <w:tc>
          <w:tcPr>
            <w:tcW w:w="464"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PY1</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PY2</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PY3</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PY4</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PY5</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PY6</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PY7</w:t>
            </w:r>
          </w:p>
        </w:tc>
      </w:tr>
      <w:tr w:rsidR="00A874AC" w:rsidRPr="0076242A" w:rsidTr="00F874FE">
        <w:trPr>
          <w:trHeight w:val="488"/>
        </w:trPr>
        <w:tc>
          <w:tcPr>
            <w:tcW w:w="460"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 xml:space="preserve">Total </w:t>
            </w:r>
            <w:r w:rsidR="004558F9">
              <w:rPr>
                <w:color w:val="000000"/>
                <w:sz w:val="20"/>
                <w:szCs w:val="20"/>
              </w:rPr>
              <w:t xml:space="preserve">Utility </w:t>
            </w:r>
            <w:r w:rsidRPr="0076242A">
              <w:rPr>
                <w:color w:val="000000"/>
                <w:sz w:val="20"/>
                <w:szCs w:val="20"/>
              </w:rPr>
              <w:t>Costs</w:t>
            </w: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Residential Non Low Income</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$812,402</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$4,074,163</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$7,923,777</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$8,992,405</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$6,343,275</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$7,052,000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$6,224,692</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Residential Low Income</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$214,397</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$780,431</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$768,225</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$651,342</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$1,753,199</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$692,000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$351,182</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Residential Total</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$1,026,799</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$4,854,594</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$8,692,003</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$9,643,746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$8,096,474</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$7,744,000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$6,575,874</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Non-Residential Total</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-$2,585</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$11,251,030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$15,119,997</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$13,908,264</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$7,187,526</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$11,249,000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$9,504,657</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$1,024,214</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$16,105,624</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$23,812,000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$23,552,010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$15,284,000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$18,993,000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$16,080,530</w:t>
            </w:r>
          </w:p>
        </w:tc>
      </w:tr>
      <w:tr w:rsidR="00A874AC" w:rsidRPr="0076242A" w:rsidTr="00F874FE">
        <w:trPr>
          <w:trHeight w:val="488"/>
        </w:trPr>
        <w:tc>
          <w:tcPr>
            <w:tcW w:w="460"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76242A" w:rsidRDefault="004558F9" w:rsidP="00A25BE1">
            <w:pPr>
              <w:jc w:val="center"/>
              <w:rPr>
                <w:color w:val="000000"/>
                <w:sz w:val="20"/>
                <w:szCs w:val="20"/>
              </w:rPr>
            </w:pPr>
            <w:r>
              <w:rPr>
                <w:color w:val="000000"/>
                <w:sz w:val="20"/>
                <w:szCs w:val="20"/>
              </w:rPr>
              <w:t xml:space="preserve">First-Year </w:t>
            </w:r>
            <w:r w:rsidR="00F874FE" w:rsidRPr="0076242A">
              <w:rPr>
                <w:color w:val="000000"/>
                <w:sz w:val="20"/>
                <w:szCs w:val="20"/>
              </w:rPr>
              <w:t>kWh Saved</w:t>
            </w: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2,123,875</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47,499,391</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80,834,000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59,458,000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51,077,000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36,818,000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62,571,000</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413,512</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15,649,108</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7,403,000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13,713,000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12,798,000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2,293,000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3,976,000</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2,537,387</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63,148,499</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88,237,000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73,171,000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63,875,000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39,111,000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66,547,000</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w:t>
            </w:r>
            <w:r>
              <w:rPr>
                <w:rStyle w:val="FootnoteReference"/>
                <w:color w:val="000000"/>
                <w:sz w:val="20"/>
                <w:szCs w:val="20"/>
              </w:rPr>
              <w:footnoteReference w:id="41"/>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101,710,908</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51,832,000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131,880,000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64,546,000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60,153,000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75,639,000</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2,537,387</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164,859,407</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140,069,000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205,051,000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128,421,000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99,264,000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142,186,000</w:t>
            </w:r>
          </w:p>
        </w:tc>
      </w:tr>
      <w:tr w:rsidR="00A874AC" w:rsidRPr="0076242A" w:rsidTr="00F874FE">
        <w:trPr>
          <w:trHeight w:val="488"/>
        </w:trPr>
        <w:tc>
          <w:tcPr>
            <w:tcW w:w="460"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76242A" w:rsidRDefault="004558F9" w:rsidP="00A25BE1">
            <w:pPr>
              <w:jc w:val="center"/>
              <w:rPr>
                <w:color w:val="000000"/>
                <w:sz w:val="20"/>
                <w:szCs w:val="20"/>
              </w:rPr>
            </w:pPr>
            <w:r>
              <w:rPr>
                <w:color w:val="000000"/>
                <w:sz w:val="20"/>
                <w:szCs w:val="20"/>
              </w:rPr>
              <w:t xml:space="preserve">Utility </w:t>
            </w:r>
            <w:r w:rsidR="00F874FE" w:rsidRPr="0076242A">
              <w:rPr>
                <w:color w:val="000000"/>
                <w:sz w:val="20"/>
                <w:szCs w:val="20"/>
              </w:rPr>
              <w:t>$/kWh</w:t>
            </w: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$0.38</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$0.09</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$0.15</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$0.19</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$0.52</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$0.05</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$0.05</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$0.30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$0.09</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$0.40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$0.08</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$0.29</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$0.19</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$0.13</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and Non-Residential Combined</w:t>
            </w:r>
            <w:r w:rsidR="00610475">
              <w:rPr>
                <w:color w:val="000000"/>
                <w:sz w:val="20"/>
                <w:szCs w:val="20"/>
              </w:rPr>
              <w:t xml:space="preserve"> (weighted average)</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$0.40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$0.17</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$0.19</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r>
    </w:tbl>
    <w:p w:rsidR="00F874FE" w:rsidRPr="00F874FE" w:rsidRDefault="00F874FE" w:rsidP="009D19F3">
      <w:bookmarkStart w:id="457" w:name="_Toc472472201"/>
    </w:p>
    <w:p w:rsidR="00F874FE" w:rsidRDefault="00F874FE" w:rsidP="00F874FE">
      <w:pPr>
        <w:pStyle w:val="Caption"/>
      </w:pPr>
      <w:bookmarkStart w:id="458" w:name="_Toc476914015"/>
      <w:r w:rsidRPr="009011F4">
        <w:t xml:space="preserve">Table </w:t>
      </w:r>
      <w:fldSimple w:instr=" STYLEREF 1 \s ">
        <w:r w:rsidR="00C301D0">
          <w:rPr>
            <w:noProof/>
          </w:rPr>
          <w:t>6</w:t>
        </w:r>
      </w:fldSimple>
      <w:r w:rsidR="00E6042C">
        <w:noBreakHyphen/>
      </w:r>
      <w:fldSimple w:instr=" SEQ Table \* ARABIC \s 1 ">
        <w:r w:rsidR="00C301D0">
          <w:rPr>
            <w:noProof/>
          </w:rPr>
          <w:t>4</w:t>
        </w:r>
      </w:fldSimple>
      <w:r w:rsidRPr="009011F4">
        <w:t xml:space="preserve">: Met-Ed Costs, Annual </w:t>
      </w:r>
      <w:r>
        <w:t>kWh Savings, and Cost per First-</w:t>
      </w:r>
      <w:r w:rsidRPr="009011F4">
        <w:t>Year kWh</w:t>
      </w:r>
      <w:r w:rsidR="00093DFB">
        <w:t xml:space="preserve"> Saved</w:t>
      </w:r>
      <w:r w:rsidRPr="009011F4">
        <w:t xml:space="preserve"> by Program Year</w:t>
      </w:r>
      <w:bookmarkEnd w:id="457"/>
      <w:bookmarkEnd w:id="458"/>
    </w:p>
    <w:tbl>
      <w:tblPr>
        <w:tblW w:w="5000" w:type="pct"/>
        <w:tblLook w:val="04A0" w:firstRow="1" w:lastRow="0" w:firstColumn="1" w:lastColumn="0" w:noHBand="0" w:noVBand="1"/>
      </w:tblPr>
      <w:tblGrid>
        <w:gridCol w:w="1256"/>
        <w:gridCol w:w="2374"/>
        <w:gridCol w:w="1442"/>
        <w:gridCol w:w="1390"/>
        <w:gridCol w:w="1374"/>
        <w:gridCol w:w="1271"/>
        <w:gridCol w:w="1307"/>
        <w:gridCol w:w="1237"/>
        <w:gridCol w:w="1289"/>
      </w:tblGrid>
      <w:tr w:rsidR="009D19F3" w:rsidRPr="0076242A" w:rsidTr="00F874FE">
        <w:trPr>
          <w:trHeight w:val="315"/>
          <w:tblHeader/>
        </w:trPr>
        <w:tc>
          <w:tcPr>
            <w:tcW w:w="485"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 </w:t>
            </w:r>
          </w:p>
        </w:tc>
        <w:tc>
          <w:tcPr>
            <w:tcW w:w="91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 </w:t>
            </w:r>
          </w:p>
        </w:tc>
        <w:tc>
          <w:tcPr>
            <w:tcW w:w="55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PY1</w:t>
            </w:r>
          </w:p>
        </w:tc>
        <w:tc>
          <w:tcPr>
            <w:tcW w:w="53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PY2</w:t>
            </w:r>
          </w:p>
        </w:tc>
        <w:tc>
          <w:tcPr>
            <w:tcW w:w="531"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PY3</w:t>
            </w:r>
          </w:p>
        </w:tc>
        <w:tc>
          <w:tcPr>
            <w:tcW w:w="491"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PY4</w:t>
            </w:r>
          </w:p>
        </w:tc>
        <w:tc>
          <w:tcPr>
            <w:tcW w:w="505"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PY5</w:t>
            </w:r>
          </w:p>
        </w:tc>
        <w:tc>
          <w:tcPr>
            <w:tcW w:w="478"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PY6</w:t>
            </w:r>
          </w:p>
        </w:tc>
        <w:tc>
          <w:tcPr>
            <w:tcW w:w="498"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PY7</w:t>
            </w:r>
          </w:p>
        </w:tc>
      </w:tr>
      <w:tr w:rsidR="009D19F3" w:rsidRPr="0076242A" w:rsidTr="00F874FE">
        <w:trPr>
          <w:trHeight w:val="488"/>
        </w:trPr>
        <w:tc>
          <w:tcPr>
            <w:tcW w:w="485"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 xml:space="preserve">Total </w:t>
            </w:r>
            <w:r w:rsidR="004558F9">
              <w:rPr>
                <w:color w:val="000000"/>
                <w:sz w:val="20"/>
                <w:szCs w:val="20"/>
              </w:rPr>
              <w:t xml:space="preserve">Utility </w:t>
            </w:r>
            <w:r w:rsidRPr="0076242A">
              <w:rPr>
                <w:color w:val="000000"/>
                <w:sz w:val="20"/>
                <w:szCs w:val="20"/>
              </w:rPr>
              <w:t>Costs</w:t>
            </w: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Residential Non Low Income</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$2,392,918</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$12,413,000</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$10,214,403</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$14,082,499</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$12,625,449</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$10,063,680</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$8,709,000</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917"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Residential Low Income</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$179,834</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$1,173,065</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$1,247,027</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$1,287,852</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$1,761,025</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$1,637,015</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$1,659,000</w:t>
            </w:r>
          </w:p>
        </w:tc>
      </w:tr>
      <w:tr w:rsidR="009D19F3"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Residential Total</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w:t>
            </w:r>
            <w:r>
              <w:rPr>
                <w:color w:val="000000"/>
                <w:sz w:val="20"/>
                <w:szCs w:val="20"/>
              </w:rPr>
              <w:t>2,</w:t>
            </w:r>
            <w:r w:rsidR="00610475">
              <w:rPr>
                <w:color w:val="000000"/>
                <w:sz w:val="20"/>
                <w:szCs w:val="20"/>
              </w:rPr>
              <w:t>572</w:t>
            </w:r>
            <w:r>
              <w:rPr>
                <w:color w:val="000000"/>
                <w:sz w:val="20"/>
                <w:szCs w:val="20"/>
              </w:rPr>
              <w:t>,752</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w:t>
            </w:r>
            <w:r>
              <w:rPr>
                <w:color w:val="000000"/>
                <w:sz w:val="20"/>
                <w:szCs w:val="20"/>
              </w:rPr>
              <w:t>13,586,065</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w:t>
            </w:r>
            <w:r>
              <w:rPr>
                <w:color w:val="000000"/>
                <w:sz w:val="20"/>
                <w:szCs w:val="20"/>
              </w:rPr>
              <w:t>11,461,429</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w:t>
            </w:r>
            <w:r>
              <w:rPr>
                <w:color w:val="000000"/>
                <w:sz w:val="20"/>
                <w:szCs w:val="20"/>
              </w:rPr>
              <w:t>15,370,351</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w:t>
            </w:r>
            <w:r>
              <w:rPr>
                <w:color w:val="000000"/>
                <w:sz w:val="20"/>
                <w:szCs w:val="20"/>
              </w:rPr>
              <w:t>14,386,474</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w:t>
            </w:r>
            <w:r>
              <w:rPr>
                <w:color w:val="000000"/>
                <w:sz w:val="20"/>
                <w:szCs w:val="20"/>
              </w:rPr>
              <w:t>11,700,695</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w:t>
            </w:r>
            <w:r>
              <w:rPr>
                <w:color w:val="000000"/>
                <w:sz w:val="20"/>
                <w:szCs w:val="20"/>
              </w:rPr>
              <w:t>10,368,000</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917"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Non-Residential Total</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$994,982</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$12,344,616</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$4,182,571</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$7,658,590</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$4,390,526</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$5,205,305</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$8,598,000</w:t>
            </w:r>
          </w:p>
        </w:tc>
      </w:tr>
      <w:tr w:rsidR="009D19F3"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$3,567,734</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$25,930,681</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$15,644,000</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$23,028,942</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$18,777,000</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$16,906,000</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$18,966,000</w:t>
            </w:r>
          </w:p>
        </w:tc>
      </w:tr>
      <w:tr w:rsidR="00A874AC" w:rsidRPr="0076242A" w:rsidTr="00F874FE">
        <w:trPr>
          <w:trHeight w:val="488"/>
        </w:trPr>
        <w:tc>
          <w:tcPr>
            <w:tcW w:w="485"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76242A" w:rsidRDefault="004558F9" w:rsidP="00A25BE1">
            <w:pPr>
              <w:jc w:val="center"/>
              <w:rPr>
                <w:color w:val="000000"/>
                <w:sz w:val="20"/>
                <w:szCs w:val="20"/>
              </w:rPr>
            </w:pPr>
            <w:r>
              <w:rPr>
                <w:color w:val="000000"/>
                <w:sz w:val="20"/>
                <w:szCs w:val="20"/>
              </w:rPr>
              <w:t xml:space="preserve">First-Year </w:t>
            </w:r>
            <w:r w:rsidR="00F874FE" w:rsidRPr="0076242A">
              <w:rPr>
                <w:color w:val="000000"/>
                <w:sz w:val="20"/>
                <w:szCs w:val="20"/>
              </w:rPr>
              <w:t>kWh Saved</w:t>
            </w:r>
          </w:p>
        </w:tc>
        <w:tc>
          <w:tcPr>
            <w:tcW w:w="91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11,426,380</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82,036,589</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71,908,000</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109,822,000</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96,883,000</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90,954,000</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97,572,000</w:t>
            </w:r>
          </w:p>
        </w:tc>
      </w:tr>
      <w:tr w:rsidR="009D19F3"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64,764</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3,771,732</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799,000</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1,096,000</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3,391,000</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1,949,000</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1,123,000</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91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11,491,144</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85,808,321</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72,707,000</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110,918,000</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100,274,000</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92,903,000</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98,695,000</w:t>
            </w:r>
          </w:p>
        </w:tc>
      </w:tr>
      <w:tr w:rsidR="009D19F3"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5,783,979</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80,929,228</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47,011,000</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80,821,000</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33,792,000</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40,826,000</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72,724,000</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91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17,275,123</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166,737,549</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119,718,000</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191,739,000</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134,066,000</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133,729,000</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171,419,000</w:t>
            </w:r>
          </w:p>
        </w:tc>
      </w:tr>
      <w:tr w:rsidR="009D19F3" w:rsidRPr="0076242A" w:rsidTr="00F874FE">
        <w:trPr>
          <w:trHeight w:val="488"/>
        </w:trPr>
        <w:tc>
          <w:tcPr>
            <w:tcW w:w="485"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76242A" w:rsidRDefault="004558F9" w:rsidP="00A25BE1">
            <w:pPr>
              <w:jc w:val="center"/>
              <w:rPr>
                <w:color w:val="000000"/>
                <w:sz w:val="20"/>
                <w:szCs w:val="20"/>
              </w:rPr>
            </w:pPr>
            <w:r>
              <w:rPr>
                <w:color w:val="000000"/>
                <w:sz w:val="20"/>
                <w:szCs w:val="20"/>
              </w:rPr>
              <w:lastRenderedPageBreak/>
              <w:t xml:space="preserve">Utility </w:t>
            </w:r>
            <w:r w:rsidR="00F874FE" w:rsidRPr="0076242A">
              <w:rPr>
                <w:color w:val="000000"/>
                <w:sz w:val="20"/>
                <w:szCs w:val="20"/>
              </w:rPr>
              <w:t>$/kWh</w:t>
            </w: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$0.21</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$0.15</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$0.09</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91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$2.78</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$0.31</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$1.56</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$1.18</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$0.52</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$0.84</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$1.48</w:t>
            </w:r>
          </w:p>
        </w:tc>
      </w:tr>
      <w:tr w:rsidR="009D19F3"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$0.22</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$0.16</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$0.16</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91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$0.17</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$0.15</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$0.09</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$0.09</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$0.12</w:t>
            </w:r>
          </w:p>
        </w:tc>
      </w:tr>
      <w:tr w:rsidR="009D19F3" w:rsidRPr="0076242A" w:rsidTr="00F874FE">
        <w:trPr>
          <w:trHeight w:val="489"/>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9D19F3">
            <w:pPr>
              <w:jc w:val="left"/>
              <w:rPr>
                <w:color w:val="000000"/>
                <w:sz w:val="20"/>
                <w:szCs w:val="20"/>
              </w:rPr>
            </w:pP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and Non-Residential Combined</w:t>
            </w:r>
            <w:r w:rsidR="00610475">
              <w:rPr>
                <w:color w:val="000000"/>
                <w:sz w:val="20"/>
                <w:szCs w:val="20"/>
              </w:rPr>
              <w:t xml:space="preserve"> (weighted average)</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$0.21</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$0.16</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r>
    </w:tbl>
    <w:p w:rsidR="00F874FE" w:rsidRPr="00F874FE" w:rsidRDefault="00F874FE" w:rsidP="009D19F3">
      <w:bookmarkStart w:id="459" w:name="_Toc472472202"/>
    </w:p>
    <w:p w:rsidR="00F874FE" w:rsidRDefault="00F874FE" w:rsidP="00F874FE">
      <w:pPr>
        <w:pStyle w:val="Caption"/>
      </w:pPr>
      <w:bookmarkStart w:id="460" w:name="_Toc476914016"/>
      <w:r w:rsidRPr="009011F4">
        <w:t xml:space="preserve">Table </w:t>
      </w:r>
      <w:fldSimple w:instr=" STYLEREF 1 \s ">
        <w:r w:rsidR="00C301D0">
          <w:rPr>
            <w:noProof/>
          </w:rPr>
          <w:t>6</w:t>
        </w:r>
      </w:fldSimple>
      <w:r w:rsidR="00E6042C">
        <w:noBreakHyphen/>
      </w:r>
      <w:fldSimple w:instr=" SEQ Table \* ARABIC \s 1 ">
        <w:r w:rsidR="00C301D0">
          <w:rPr>
            <w:noProof/>
          </w:rPr>
          <w:t>5</w:t>
        </w:r>
      </w:fldSimple>
      <w:r w:rsidRPr="009011F4">
        <w:t>: Penelec Costs, Annual kWh Savings, and Cost per First</w:t>
      </w:r>
      <w:r>
        <w:t>-</w:t>
      </w:r>
      <w:r w:rsidRPr="009011F4">
        <w:t>Year kWh</w:t>
      </w:r>
      <w:r w:rsidR="00093DFB">
        <w:t xml:space="preserve"> Saved</w:t>
      </w:r>
      <w:r w:rsidRPr="009011F4">
        <w:t xml:space="preserve"> by Program Year</w:t>
      </w:r>
      <w:bookmarkEnd w:id="459"/>
      <w:bookmarkEnd w:id="460"/>
    </w:p>
    <w:tbl>
      <w:tblPr>
        <w:tblW w:w="5000" w:type="pct"/>
        <w:tblLook w:val="04A0" w:firstRow="1" w:lastRow="0" w:firstColumn="1" w:lastColumn="0" w:noHBand="0" w:noVBand="1"/>
      </w:tblPr>
      <w:tblGrid>
        <w:gridCol w:w="1256"/>
        <w:gridCol w:w="2374"/>
        <w:gridCol w:w="1442"/>
        <w:gridCol w:w="1390"/>
        <w:gridCol w:w="1374"/>
        <w:gridCol w:w="1271"/>
        <w:gridCol w:w="1307"/>
        <w:gridCol w:w="1237"/>
        <w:gridCol w:w="1289"/>
      </w:tblGrid>
      <w:tr w:rsidR="00A874AC" w:rsidRPr="0076242A" w:rsidTr="00F874FE">
        <w:trPr>
          <w:trHeight w:val="315"/>
          <w:tblHeader/>
        </w:trPr>
        <w:tc>
          <w:tcPr>
            <w:tcW w:w="485"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 </w:t>
            </w:r>
          </w:p>
        </w:tc>
        <w:tc>
          <w:tcPr>
            <w:tcW w:w="91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 </w:t>
            </w:r>
          </w:p>
        </w:tc>
        <w:tc>
          <w:tcPr>
            <w:tcW w:w="55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PY1</w:t>
            </w:r>
          </w:p>
        </w:tc>
        <w:tc>
          <w:tcPr>
            <w:tcW w:w="537"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PY2</w:t>
            </w:r>
          </w:p>
        </w:tc>
        <w:tc>
          <w:tcPr>
            <w:tcW w:w="531"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PY3</w:t>
            </w:r>
          </w:p>
        </w:tc>
        <w:tc>
          <w:tcPr>
            <w:tcW w:w="491"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PY4</w:t>
            </w:r>
          </w:p>
        </w:tc>
        <w:tc>
          <w:tcPr>
            <w:tcW w:w="505"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PY5</w:t>
            </w:r>
          </w:p>
        </w:tc>
        <w:tc>
          <w:tcPr>
            <w:tcW w:w="478"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PY6</w:t>
            </w:r>
          </w:p>
        </w:tc>
        <w:tc>
          <w:tcPr>
            <w:tcW w:w="498"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PY7</w:t>
            </w:r>
          </w:p>
        </w:tc>
      </w:tr>
      <w:tr w:rsidR="00A874AC" w:rsidRPr="0076242A" w:rsidTr="00F874FE">
        <w:trPr>
          <w:trHeight w:val="488"/>
        </w:trPr>
        <w:tc>
          <w:tcPr>
            <w:tcW w:w="485"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 xml:space="preserve">Total </w:t>
            </w:r>
            <w:r w:rsidR="004558F9">
              <w:rPr>
                <w:color w:val="000000"/>
                <w:sz w:val="20"/>
                <w:szCs w:val="20"/>
              </w:rPr>
              <w:t xml:space="preserve">Utility </w:t>
            </w:r>
            <w:r w:rsidRPr="0076242A">
              <w:rPr>
                <w:color w:val="000000"/>
                <w:sz w:val="20"/>
                <w:szCs w:val="20"/>
              </w:rPr>
              <w:t>Costs</w:t>
            </w: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Residential Non Low Income</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$2,310,592</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$9,570,741</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$8,897,934</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$9,843,208</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$11,343,710</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$8,770,559</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$7,222,916</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F06C91">
            <w:pPr>
              <w:jc w:val="left"/>
              <w:rPr>
                <w:color w:val="000000"/>
                <w:sz w:val="20"/>
                <w:szCs w:val="20"/>
              </w:rPr>
            </w:pPr>
          </w:p>
        </w:tc>
        <w:tc>
          <w:tcPr>
            <w:tcW w:w="917"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Residential Low Income</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$132,718</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$1,695,740</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$1,698,978</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$1,574,038</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$2,552,044</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$2,072,021</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$2,224,976</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F06C91">
            <w:pPr>
              <w:jc w:val="left"/>
              <w:rPr>
                <w:color w:val="000000"/>
                <w:sz w:val="20"/>
                <w:szCs w:val="20"/>
              </w:rPr>
            </w:pP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Residential Total</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$2,443,310</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$11,266,481</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$10,596,913</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$11,417,246</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$13,895,754</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$10,842,580</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$9,447,892</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F06C91">
            <w:pPr>
              <w:jc w:val="left"/>
              <w:rPr>
                <w:color w:val="000000"/>
                <w:sz w:val="20"/>
                <w:szCs w:val="20"/>
              </w:rPr>
            </w:pPr>
          </w:p>
        </w:tc>
        <w:tc>
          <w:tcPr>
            <w:tcW w:w="917"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Non-Residential Total</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$1,078,899</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$3,570,654</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$6,559,087</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$7,368,754</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$4,041,246</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$5,877,420</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$7,039,108</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F06C91">
            <w:pPr>
              <w:jc w:val="left"/>
              <w:rPr>
                <w:color w:val="000000"/>
                <w:sz w:val="20"/>
                <w:szCs w:val="20"/>
              </w:rPr>
            </w:pP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$3,522,209</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$14,837,135</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$17,156,000</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$18,786,000</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$17,937,000</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$16,720,000</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$16,487,000</w:t>
            </w:r>
          </w:p>
        </w:tc>
      </w:tr>
      <w:tr w:rsidR="00A874AC" w:rsidRPr="0076242A" w:rsidTr="00F874FE">
        <w:trPr>
          <w:trHeight w:val="488"/>
        </w:trPr>
        <w:tc>
          <w:tcPr>
            <w:tcW w:w="485"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76242A" w:rsidRDefault="004558F9" w:rsidP="00A25BE1">
            <w:pPr>
              <w:jc w:val="center"/>
              <w:rPr>
                <w:color w:val="000000"/>
                <w:sz w:val="20"/>
                <w:szCs w:val="20"/>
              </w:rPr>
            </w:pPr>
            <w:r>
              <w:rPr>
                <w:color w:val="000000"/>
                <w:sz w:val="20"/>
                <w:szCs w:val="20"/>
              </w:rPr>
              <w:t xml:space="preserve">First-Year </w:t>
            </w:r>
            <w:r w:rsidR="00F874FE" w:rsidRPr="0076242A">
              <w:rPr>
                <w:color w:val="000000"/>
                <w:sz w:val="20"/>
                <w:szCs w:val="20"/>
              </w:rPr>
              <w:t>kWh Saved</w:t>
            </w:r>
          </w:p>
        </w:tc>
        <w:tc>
          <w:tcPr>
            <w:tcW w:w="91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10,168,452</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78,457,352</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66,991,000</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92,973,000</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81,449,000</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74,944,000</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89,114,000</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F06C91">
            <w:pPr>
              <w:jc w:val="left"/>
              <w:rPr>
                <w:color w:val="000000"/>
                <w:sz w:val="20"/>
                <w:szCs w:val="20"/>
              </w:rPr>
            </w:pP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81,432</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4,618,224</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1,357,000</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1,324,000</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5,051,000</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2,755,000</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1,982,000</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F06C91">
            <w:pPr>
              <w:jc w:val="left"/>
              <w:rPr>
                <w:color w:val="000000"/>
                <w:sz w:val="20"/>
                <w:szCs w:val="20"/>
              </w:rPr>
            </w:pPr>
          </w:p>
        </w:tc>
        <w:tc>
          <w:tcPr>
            <w:tcW w:w="91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10,249,884</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83,075,576</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68,348,000</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94,297,000</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86,500,000</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77,699,000</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91,096,000</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F06C91">
            <w:pPr>
              <w:jc w:val="left"/>
              <w:rPr>
                <w:color w:val="000000"/>
                <w:sz w:val="20"/>
                <w:szCs w:val="20"/>
              </w:rPr>
            </w:pP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3,245,391</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88,288,243</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57,368,000</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54,510,000</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28,231,000</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56,275,000</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73,302,000</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F06C91">
            <w:pPr>
              <w:jc w:val="left"/>
              <w:rPr>
                <w:color w:val="000000"/>
                <w:sz w:val="20"/>
                <w:szCs w:val="20"/>
              </w:rPr>
            </w:pPr>
          </w:p>
        </w:tc>
        <w:tc>
          <w:tcPr>
            <w:tcW w:w="91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13,495,275</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171,363,819</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125,716,000</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148,807,000</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114,731,000</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133,974,000</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164,398,000</w:t>
            </w:r>
          </w:p>
        </w:tc>
      </w:tr>
      <w:tr w:rsidR="00A874AC" w:rsidRPr="0076242A" w:rsidTr="00F874FE">
        <w:trPr>
          <w:trHeight w:val="488"/>
        </w:trPr>
        <w:tc>
          <w:tcPr>
            <w:tcW w:w="485"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76242A" w:rsidRDefault="004558F9" w:rsidP="00A25BE1">
            <w:pPr>
              <w:jc w:val="center"/>
              <w:rPr>
                <w:color w:val="000000"/>
                <w:sz w:val="20"/>
                <w:szCs w:val="20"/>
              </w:rPr>
            </w:pPr>
            <w:r>
              <w:rPr>
                <w:color w:val="000000"/>
                <w:sz w:val="20"/>
                <w:szCs w:val="20"/>
              </w:rPr>
              <w:t xml:space="preserve">Utility </w:t>
            </w:r>
            <w:r w:rsidR="00F874FE" w:rsidRPr="0076242A">
              <w:rPr>
                <w:color w:val="000000"/>
                <w:sz w:val="20"/>
                <w:szCs w:val="20"/>
              </w:rPr>
              <w:t>$/kWh</w:t>
            </w: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$0.23</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$0.08</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F06C91">
            <w:pPr>
              <w:jc w:val="left"/>
              <w:rPr>
                <w:color w:val="000000"/>
                <w:sz w:val="20"/>
                <w:szCs w:val="20"/>
              </w:rPr>
            </w:pPr>
          </w:p>
        </w:tc>
        <w:tc>
          <w:tcPr>
            <w:tcW w:w="91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$1.63</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$0.37</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$1.25</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$1.19</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$0.51</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$0.75</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$1.12</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F06C91">
            <w:pPr>
              <w:jc w:val="left"/>
              <w:rPr>
                <w:color w:val="000000"/>
                <w:sz w:val="20"/>
                <w:szCs w:val="20"/>
              </w:rPr>
            </w:pP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$0.24</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$0.16</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$0.16</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r>
      <w:tr w:rsidR="00A874AC" w:rsidRPr="0076242A" w:rsidTr="00F874FE">
        <w:trPr>
          <w:trHeight w:val="488"/>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F06C91">
            <w:pPr>
              <w:jc w:val="left"/>
              <w:rPr>
                <w:color w:val="000000"/>
                <w:sz w:val="20"/>
                <w:szCs w:val="20"/>
              </w:rPr>
            </w:pPr>
          </w:p>
        </w:tc>
        <w:tc>
          <w:tcPr>
            <w:tcW w:w="91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55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$0.33</w:t>
            </w:r>
          </w:p>
        </w:tc>
        <w:tc>
          <w:tcPr>
            <w:tcW w:w="537"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$0.04</w:t>
            </w:r>
          </w:p>
        </w:tc>
        <w:tc>
          <w:tcPr>
            <w:tcW w:w="5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49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5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47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498"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$0.10</w:t>
            </w:r>
          </w:p>
        </w:tc>
      </w:tr>
      <w:tr w:rsidR="00A874AC" w:rsidRPr="0076242A" w:rsidTr="00F874FE">
        <w:trPr>
          <w:trHeight w:val="489"/>
        </w:trPr>
        <w:tc>
          <w:tcPr>
            <w:tcW w:w="485"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F06C91">
            <w:pPr>
              <w:jc w:val="left"/>
              <w:rPr>
                <w:color w:val="000000"/>
                <w:sz w:val="20"/>
                <w:szCs w:val="20"/>
              </w:rPr>
            </w:pPr>
          </w:p>
        </w:tc>
        <w:tc>
          <w:tcPr>
            <w:tcW w:w="91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and Non-Residential Combined</w:t>
            </w:r>
            <w:r w:rsidR="00610475">
              <w:rPr>
                <w:color w:val="000000"/>
                <w:sz w:val="20"/>
                <w:szCs w:val="20"/>
              </w:rPr>
              <w:t xml:space="preserve"> (weighted average)</w:t>
            </w:r>
          </w:p>
        </w:tc>
        <w:tc>
          <w:tcPr>
            <w:tcW w:w="55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$0.26</w:t>
            </w:r>
          </w:p>
        </w:tc>
        <w:tc>
          <w:tcPr>
            <w:tcW w:w="537"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$0.09</w:t>
            </w:r>
          </w:p>
        </w:tc>
        <w:tc>
          <w:tcPr>
            <w:tcW w:w="5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49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5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$0.16</w:t>
            </w:r>
          </w:p>
        </w:tc>
        <w:tc>
          <w:tcPr>
            <w:tcW w:w="47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498"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r>
    </w:tbl>
    <w:p w:rsidR="00093DFB" w:rsidRDefault="00093DFB" w:rsidP="00F874FE">
      <w:pPr>
        <w:pStyle w:val="Caption"/>
      </w:pPr>
      <w:bookmarkStart w:id="461" w:name="_Toc472472203"/>
    </w:p>
    <w:p w:rsidR="00F874FE" w:rsidRDefault="00F874FE" w:rsidP="00F874FE">
      <w:pPr>
        <w:pStyle w:val="Caption"/>
      </w:pPr>
      <w:bookmarkStart w:id="462" w:name="_Toc476914017"/>
      <w:r w:rsidRPr="009011F4">
        <w:t xml:space="preserve">Table </w:t>
      </w:r>
      <w:fldSimple w:instr=" STYLEREF 1 \s ">
        <w:r w:rsidR="00C301D0">
          <w:rPr>
            <w:noProof/>
          </w:rPr>
          <w:t>6</w:t>
        </w:r>
      </w:fldSimple>
      <w:r w:rsidR="00E6042C">
        <w:noBreakHyphen/>
      </w:r>
      <w:fldSimple w:instr=" SEQ Table \* ARABIC \s 1 ">
        <w:r w:rsidR="00C301D0">
          <w:rPr>
            <w:noProof/>
          </w:rPr>
          <w:t>6</w:t>
        </w:r>
      </w:fldSimple>
      <w:r w:rsidRPr="009011F4">
        <w:t xml:space="preserve">: Penn Power Costs, Annual </w:t>
      </w:r>
      <w:r>
        <w:t>kWh Savings, and Cost per First-</w:t>
      </w:r>
      <w:r w:rsidRPr="009011F4">
        <w:t>Year kWh</w:t>
      </w:r>
      <w:r w:rsidR="00093DFB">
        <w:t xml:space="preserve"> Saved</w:t>
      </w:r>
      <w:r w:rsidRPr="009011F4">
        <w:t xml:space="preserve"> by Program Year</w:t>
      </w:r>
      <w:bookmarkEnd w:id="461"/>
      <w:bookmarkEnd w:id="462"/>
    </w:p>
    <w:tbl>
      <w:tblPr>
        <w:tblW w:w="5000" w:type="pct"/>
        <w:tblLook w:val="04A0" w:firstRow="1" w:lastRow="0" w:firstColumn="1" w:lastColumn="0" w:noHBand="0" w:noVBand="1"/>
      </w:tblPr>
      <w:tblGrid>
        <w:gridCol w:w="1265"/>
        <w:gridCol w:w="2860"/>
        <w:gridCol w:w="1162"/>
        <w:gridCol w:w="1276"/>
        <w:gridCol w:w="1276"/>
        <w:gridCol w:w="1276"/>
        <w:gridCol w:w="1276"/>
        <w:gridCol w:w="1276"/>
        <w:gridCol w:w="1273"/>
      </w:tblGrid>
      <w:tr w:rsidR="00A874AC" w:rsidRPr="0076242A" w:rsidTr="004C6EDA">
        <w:trPr>
          <w:trHeight w:val="315"/>
          <w:tblHeader/>
        </w:trPr>
        <w:tc>
          <w:tcPr>
            <w:tcW w:w="489"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 </w:t>
            </w:r>
          </w:p>
        </w:tc>
        <w:tc>
          <w:tcPr>
            <w:tcW w:w="1105"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 </w:t>
            </w:r>
          </w:p>
        </w:tc>
        <w:tc>
          <w:tcPr>
            <w:tcW w:w="449"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PY1</w:t>
            </w:r>
          </w:p>
        </w:tc>
        <w:tc>
          <w:tcPr>
            <w:tcW w:w="49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PY2</w:t>
            </w:r>
          </w:p>
        </w:tc>
        <w:tc>
          <w:tcPr>
            <w:tcW w:w="49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PY3</w:t>
            </w:r>
          </w:p>
        </w:tc>
        <w:tc>
          <w:tcPr>
            <w:tcW w:w="49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PY4</w:t>
            </w:r>
          </w:p>
        </w:tc>
        <w:tc>
          <w:tcPr>
            <w:tcW w:w="49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PY5</w:t>
            </w:r>
          </w:p>
        </w:tc>
        <w:tc>
          <w:tcPr>
            <w:tcW w:w="49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PY6</w:t>
            </w:r>
          </w:p>
        </w:tc>
        <w:tc>
          <w:tcPr>
            <w:tcW w:w="493"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PY7</w:t>
            </w:r>
          </w:p>
        </w:tc>
      </w:tr>
      <w:tr w:rsidR="00A874AC" w:rsidRPr="0076242A" w:rsidTr="00F874FE">
        <w:trPr>
          <w:trHeight w:val="488"/>
        </w:trPr>
        <w:tc>
          <w:tcPr>
            <w:tcW w:w="489"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 xml:space="preserve">Total </w:t>
            </w:r>
            <w:r w:rsidR="004558F9">
              <w:rPr>
                <w:color w:val="000000"/>
                <w:sz w:val="20"/>
                <w:szCs w:val="20"/>
              </w:rPr>
              <w:t xml:space="preserve">Utility </w:t>
            </w:r>
            <w:r w:rsidRPr="0076242A">
              <w:rPr>
                <w:color w:val="000000"/>
                <w:sz w:val="20"/>
                <w:szCs w:val="20"/>
              </w:rPr>
              <w:t>Costs</w:t>
            </w:r>
          </w:p>
        </w:tc>
        <w:tc>
          <w:tcPr>
            <w:tcW w:w="1105"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Residential Non Low Income</w:t>
            </w:r>
          </w:p>
        </w:tc>
        <w:tc>
          <w:tcPr>
            <w:tcW w:w="449"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$525,962</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$2,804,351</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$2,831,344</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$3,654,736</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$4,218,044</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$2,652,000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$1,383,000</w:t>
            </w:r>
          </w:p>
        </w:tc>
      </w:tr>
      <w:tr w:rsidR="00A874AC" w:rsidRPr="0076242A" w:rsidTr="00F874FE">
        <w:trPr>
          <w:trHeight w:val="488"/>
        </w:trPr>
        <w:tc>
          <w:tcPr>
            <w:tcW w:w="489"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8B6BE7">
            <w:pPr>
              <w:jc w:val="left"/>
              <w:rPr>
                <w:color w:val="000000"/>
                <w:sz w:val="20"/>
                <w:szCs w:val="20"/>
              </w:rPr>
            </w:pPr>
          </w:p>
        </w:tc>
        <w:tc>
          <w:tcPr>
            <w:tcW w:w="1105"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Residential Low Income</w:t>
            </w:r>
          </w:p>
        </w:tc>
        <w:tc>
          <w:tcPr>
            <w:tcW w:w="449"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$29,716</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$571,641</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$288,785</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$42,000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$824,000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$493,000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$670,000</w:t>
            </w:r>
          </w:p>
        </w:tc>
      </w:tr>
      <w:tr w:rsidR="00A874AC" w:rsidRPr="0076242A" w:rsidTr="00F874FE">
        <w:trPr>
          <w:trHeight w:val="488"/>
        </w:trPr>
        <w:tc>
          <w:tcPr>
            <w:tcW w:w="489"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8B6BE7">
            <w:pPr>
              <w:jc w:val="left"/>
              <w:rPr>
                <w:color w:val="000000"/>
                <w:sz w:val="20"/>
                <w:szCs w:val="20"/>
              </w:rPr>
            </w:pPr>
          </w:p>
        </w:tc>
        <w:tc>
          <w:tcPr>
            <w:tcW w:w="1105"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Residential Total</w:t>
            </w:r>
          </w:p>
        </w:tc>
        <w:tc>
          <w:tcPr>
            <w:tcW w:w="449"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$555,678</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$3,375,992</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$3,120,129</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$3,696,736</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$5,042,044</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$3,145,000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$2,053,000</w:t>
            </w:r>
          </w:p>
        </w:tc>
      </w:tr>
      <w:tr w:rsidR="00A874AC" w:rsidRPr="0076242A" w:rsidTr="00F874FE">
        <w:trPr>
          <w:trHeight w:val="488"/>
        </w:trPr>
        <w:tc>
          <w:tcPr>
            <w:tcW w:w="489"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8B6BE7">
            <w:pPr>
              <w:jc w:val="left"/>
              <w:rPr>
                <w:color w:val="000000"/>
                <w:sz w:val="20"/>
                <w:szCs w:val="20"/>
              </w:rPr>
            </w:pPr>
          </w:p>
        </w:tc>
        <w:tc>
          <w:tcPr>
            <w:tcW w:w="1105"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Non-Residential Total</w:t>
            </w:r>
          </w:p>
        </w:tc>
        <w:tc>
          <w:tcPr>
            <w:tcW w:w="449"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$301,870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$3,570,654</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$912,871</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$2,628,264</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$1,318,000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$2,251,000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$1,864,000</w:t>
            </w:r>
          </w:p>
        </w:tc>
      </w:tr>
      <w:tr w:rsidR="00A874AC" w:rsidRPr="0076242A" w:rsidTr="00F874FE">
        <w:trPr>
          <w:trHeight w:val="488"/>
        </w:trPr>
        <w:tc>
          <w:tcPr>
            <w:tcW w:w="489"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8B6BE7">
            <w:pPr>
              <w:jc w:val="left"/>
              <w:rPr>
                <w:color w:val="000000"/>
                <w:sz w:val="20"/>
                <w:szCs w:val="20"/>
              </w:rPr>
            </w:pPr>
          </w:p>
        </w:tc>
        <w:tc>
          <w:tcPr>
            <w:tcW w:w="11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449"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$857,548</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$6,946,646</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$4,033,000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$6,325,000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$6,360,044</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$5,396,000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$3,917,000</w:t>
            </w:r>
          </w:p>
        </w:tc>
      </w:tr>
      <w:tr w:rsidR="00A874AC" w:rsidRPr="0076242A" w:rsidTr="00F874FE">
        <w:trPr>
          <w:trHeight w:val="488"/>
        </w:trPr>
        <w:tc>
          <w:tcPr>
            <w:tcW w:w="489"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76242A" w:rsidRDefault="004558F9" w:rsidP="00A25BE1">
            <w:pPr>
              <w:jc w:val="center"/>
              <w:rPr>
                <w:color w:val="000000"/>
                <w:sz w:val="20"/>
                <w:szCs w:val="20"/>
              </w:rPr>
            </w:pPr>
            <w:r>
              <w:rPr>
                <w:color w:val="000000"/>
                <w:sz w:val="20"/>
                <w:szCs w:val="20"/>
              </w:rPr>
              <w:t xml:space="preserve">First-Year </w:t>
            </w:r>
            <w:r w:rsidR="00F874FE" w:rsidRPr="0076242A">
              <w:rPr>
                <w:color w:val="000000"/>
                <w:sz w:val="20"/>
                <w:szCs w:val="20"/>
              </w:rPr>
              <w:t>kWh Saved</w:t>
            </w:r>
          </w:p>
        </w:tc>
        <w:tc>
          <w:tcPr>
            <w:tcW w:w="11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449"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5,451,292</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27,346,277</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25,038,000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35,383,000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29,105,000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22,252,000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12,471,000</w:t>
            </w:r>
          </w:p>
        </w:tc>
      </w:tr>
      <w:tr w:rsidR="00A874AC" w:rsidRPr="0076242A" w:rsidTr="00F874FE">
        <w:trPr>
          <w:trHeight w:val="488"/>
        </w:trPr>
        <w:tc>
          <w:tcPr>
            <w:tcW w:w="489"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8B6BE7">
            <w:pPr>
              <w:jc w:val="left"/>
              <w:rPr>
                <w:color w:val="000000"/>
                <w:sz w:val="20"/>
                <w:szCs w:val="20"/>
              </w:rPr>
            </w:pPr>
          </w:p>
        </w:tc>
        <w:tc>
          <w:tcPr>
            <w:tcW w:w="11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449"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19,240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2,085,616</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163,000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w:t>
            </w:r>
            <w:r>
              <w:rPr>
                <w:rStyle w:val="FootnoteReference"/>
                <w:color w:val="000000"/>
                <w:sz w:val="20"/>
                <w:szCs w:val="20"/>
              </w:rPr>
              <w:footnoteReference w:id="42"/>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1,168,000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1,010,000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550,000</w:t>
            </w:r>
          </w:p>
        </w:tc>
      </w:tr>
      <w:tr w:rsidR="00A874AC" w:rsidRPr="0076242A" w:rsidTr="00F874FE">
        <w:trPr>
          <w:trHeight w:val="488"/>
        </w:trPr>
        <w:tc>
          <w:tcPr>
            <w:tcW w:w="489"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8B6BE7">
            <w:pPr>
              <w:jc w:val="left"/>
              <w:rPr>
                <w:color w:val="000000"/>
                <w:sz w:val="20"/>
                <w:szCs w:val="20"/>
              </w:rPr>
            </w:pPr>
          </w:p>
        </w:tc>
        <w:tc>
          <w:tcPr>
            <w:tcW w:w="11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449"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5,470,532</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29,431,893</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25,201,000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35,383,000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30,273,000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23,262,000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13,021,000</w:t>
            </w:r>
          </w:p>
        </w:tc>
      </w:tr>
      <w:tr w:rsidR="00A874AC" w:rsidRPr="0076242A" w:rsidTr="00F874FE">
        <w:trPr>
          <w:trHeight w:val="488"/>
        </w:trPr>
        <w:tc>
          <w:tcPr>
            <w:tcW w:w="489"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8B6BE7">
            <w:pPr>
              <w:jc w:val="left"/>
              <w:rPr>
                <w:color w:val="000000"/>
                <w:sz w:val="20"/>
                <w:szCs w:val="20"/>
              </w:rPr>
            </w:pPr>
          </w:p>
        </w:tc>
        <w:tc>
          <w:tcPr>
            <w:tcW w:w="11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449"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651,682</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31,611,450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15,980,000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22,573,000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7,797,000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34,252,000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14,260,000</w:t>
            </w:r>
          </w:p>
        </w:tc>
      </w:tr>
      <w:tr w:rsidR="00A874AC" w:rsidRPr="0076242A" w:rsidTr="00F874FE">
        <w:trPr>
          <w:trHeight w:val="488"/>
        </w:trPr>
        <w:tc>
          <w:tcPr>
            <w:tcW w:w="489"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8B6BE7">
            <w:pPr>
              <w:jc w:val="left"/>
              <w:rPr>
                <w:color w:val="000000"/>
                <w:sz w:val="20"/>
                <w:szCs w:val="20"/>
              </w:rPr>
            </w:pPr>
          </w:p>
        </w:tc>
        <w:tc>
          <w:tcPr>
            <w:tcW w:w="11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449"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6,122,214</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61,043,343</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41,181,000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57,956,000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38,070,000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57,514,000</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27,281,000</w:t>
            </w:r>
          </w:p>
        </w:tc>
      </w:tr>
      <w:tr w:rsidR="00A874AC" w:rsidRPr="0076242A" w:rsidTr="00F874FE">
        <w:trPr>
          <w:trHeight w:val="488"/>
        </w:trPr>
        <w:tc>
          <w:tcPr>
            <w:tcW w:w="489"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76242A" w:rsidRDefault="004558F9" w:rsidP="00A25BE1">
            <w:pPr>
              <w:jc w:val="center"/>
              <w:rPr>
                <w:color w:val="000000"/>
                <w:sz w:val="20"/>
                <w:szCs w:val="20"/>
              </w:rPr>
            </w:pPr>
            <w:r>
              <w:rPr>
                <w:color w:val="000000"/>
                <w:sz w:val="20"/>
                <w:szCs w:val="20"/>
              </w:rPr>
              <w:t xml:space="preserve">Utility </w:t>
            </w:r>
            <w:r w:rsidR="00F874FE" w:rsidRPr="0076242A">
              <w:rPr>
                <w:color w:val="000000"/>
                <w:sz w:val="20"/>
                <w:szCs w:val="20"/>
              </w:rPr>
              <w:t>$/kWh</w:t>
            </w:r>
          </w:p>
        </w:tc>
        <w:tc>
          <w:tcPr>
            <w:tcW w:w="11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449"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r>
      <w:tr w:rsidR="00A874AC" w:rsidRPr="0076242A" w:rsidTr="00F874FE">
        <w:trPr>
          <w:trHeight w:val="488"/>
        </w:trPr>
        <w:tc>
          <w:tcPr>
            <w:tcW w:w="489"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8B6BE7">
            <w:pPr>
              <w:jc w:val="left"/>
              <w:rPr>
                <w:color w:val="000000"/>
                <w:sz w:val="20"/>
                <w:szCs w:val="20"/>
              </w:rPr>
            </w:pPr>
          </w:p>
        </w:tc>
        <w:tc>
          <w:tcPr>
            <w:tcW w:w="11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449"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$1.54</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$0.27</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$1.77</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N/A</w:t>
            </w:r>
            <w:r w:rsidRPr="009F37A2">
              <w:rPr>
                <w:rStyle w:val="FootnoteReference"/>
                <w:color w:val="000000"/>
                <w:sz w:val="20"/>
                <w:szCs w:val="20"/>
              </w:rPr>
              <w:footnoteReference w:id="43"/>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$0.71</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$0.49</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$1.22</w:t>
            </w:r>
          </w:p>
        </w:tc>
      </w:tr>
      <w:tr w:rsidR="00A874AC" w:rsidRPr="0076242A" w:rsidTr="00F874FE">
        <w:trPr>
          <w:trHeight w:val="488"/>
        </w:trPr>
        <w:tc>
          <w:tcPr>
            <w:tcW w:w="489"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8B6BE7">
            <w:pPr>
              <w:jc w:val="left"/>
              <w:rPr>
                <w:color w:val="000000"/>
                <w:sz w:val="20"/>
                <w:szCs w:val="20"/>
              </w:rPr>
            </w:pPr>
          </w:p>
        </w:tc>
        <w:tc>
          <w:tcPr>
            <w:tcW w:w="11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449"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$0.17</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$0.16</w:t>
            </w:r>
          </w:p>
        </w:tc>
      </w:tr>
      <w:tr w:rsidR="00A874AC" w:rsidRPr="0076242A" w:rsidTr="00F874FE">
        <w:trPr>
          <w:trHeight w:val="488"/>
        </w:trPr>
        <w:tc>
          <w:tcPr>
            <w:tcW w:w="489"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8B6BE7">
            <w:pPr>
              <w:jc w:val="left"/>
              <w:rPr>
                <w:color w:val="000000"/>
                <w:sz w:val="20"/>
                <w:szCs w:val="20"/>
              </w:rPr>
            </w:pPr>
          </w:p>
        </w:tc>
        <w:tc>
          <w:tcPr>
            <w:tcW w:w="1105"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449"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$0.46</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$0.06</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$0.17</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$0.07</w:t>
            </w:r>
          </w:p>
        </w:tc>
        <w:tc>
          <w:tcPr>
            <w:tcW w:w="493"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$0.13</w:t>
            </w:r>
          </w:p>
        </w:tc>
      </w:tr>
      <w:tr w:rsidR="00A874AC" w:rsidRPr="0076242A" w:rsidTr="00F874FE">
        <w:trPr>
          <w:trHeight w:val="488"/>
        </w:trPr>
        <w:tc>
          <w:tcPr>
            <w:tcW w:w="489"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8B6BE7">
            <w:pPr>
              <w:jc w:val="left"/>
              <w:rPr>
                <w:color w:val="000000"/>
                <w:sz w:val="20"/>
                <w:szCs w:val="20"/>
              </w:rPr>
            </w:pPr>
          </w:p>
        </w:tc>
        <w:tc>
          <w:tcPr>
            <w:tcW w:w="1105"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and Non-Residential Combined</w:t>
            </w:r>
            <w:r w:rsidR="00610475">
              <w:rPr>
                <w:color w:val="000000"/>
                <w:sz w:val="20"/>
                <w:szCs w:val="20"/>
              </w:rPr>
              <w:t xml:space="preserve"> (weighted average)</w:t>
            </w:r>
          </w:p>
        </w:tc>
        <w:tc>
          <w:tcPr>
            <w:tcW w:w="449"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$0.17</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$0.09</w:t>
            </w:r>
          </w:p>
        </w:tc>
        <w:tc>
          <w:tcPr>
            <w:tcW w:w="493"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r>
    </w:tbl>
    <w:p w:rsidR="00F874FE" w:rsidRPr="004C6EDA" w:rsidRDefault="00F874FE" w:rsidP="004C6EDA"/>
    <w:p w:rsidR="00F874FE" w:rsidRDefault="00F874FE" w:rsidP="00F874FE">
      <w:pPr>
        <w:pStyle w:val="Caption"/>
      </w:pPr>
      <w:bookmarkStart w:id="463" w:name="_Toc472472204"/>
      <w:bookmarkStart w:id="464" w:name="_Toc476914018"/>
      <w:r w:rsidRPr="009011F4">
        <w:t xml:space="preserve">Table </w:t>
      </w:r>
      <w:fldSimple w:instr=" STYLEREF 1 \s ">
        <w:r w:rsidR="00C301D0">
          <w:rPr>
            <w:noProof/>
          </w:rPr>
          <w:t>6</w:t>
        </w:r>
      </w:fldSimple>
      <w:r w:rsidR="00E6042C">
        <w:noBreakHyphen/>
      </w:r>
      <w:fldSimple w:instr=" SEQ Table \* ARABIC \s 1 ">
        <w:r w:rsidR="00C301D0">
          <w:rPr>
            <w:noProof/>
          </w:rPr>
          <w:t>7</w:t>
        </w:r>
      </w:fldSimple>
      <w:r w:rsidRPr="009011F4">
        <w:t xml:space="preserve">: West Penn Costs, Annual </w:t>
      </w:r>
      <w:r>
        <w:t>kWh Savings, and Cost per First-</w:t>
      </w:r>
      <w:r w:rsidRPr="009011F4">
        <w:t>Year kWh</w:t>
      </w:r>
      <w:r w:rsidR="00093DFB">
        <w:t xml:space="preserve"> Saved</w:t>
      </w:r>
      <w:r w:rsidRPr="009011F4">
        <w:t xml:space="preserve"> by Program Year</w:t>
      </w:r>
      <w:bookmarkEnd w:id="463"/>
      <w:bookmarkEnd w:id="464"/>
    </w:p>
    <w:tbl>
      <w:tblPr>
        <w:tblW w:w="5000" w:type="pct"/>
        <w:tblLook w:val="04A0" w:firstRow="1" w:lastRow="0" w:firstColumn="1" w:lastColumn="0" w:noHBand="0" w:noVBand="1"/>
      </w:tblPr>
      <w:tblGrid>
        <w:gridCol w:w="1189"/>
        <w:gridCol w:w="2691"/>
        <w:gridCol w:w="1200"/>
        <w:gridCol w:w="1310"/>
        <w:gridCol w:w="1310"/>
        <w:gridCol w:w="1310"/>
        <w:gridCol w:w="1310"/>
        <w:gridCol w:w="1310"/>
        <w:gridCol w:w="1310"/>
      </w:tblGrid>
      <w:tr w:rsidR="00A874AC" w:rsidRPr="0076242A" w:rsidTr="004C6EDA">
        <w:trPr>
          <w:trHeight w:val="315"/>
          <w:tblHeader/>
        </w:trPr>
        <w:tc>
          <w:tcPr>
            <w:tcW w:w="460"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9F37A2" w:rsidRDefault="00F874FE" w:rsidP="00A25BE1">
            <w:pPr>
              <w:jc w:val="center"/>
              <w:rPr>
                <w:b/>
                <w:bCs/>
                <w:color w:val="FFFFFF"/>
                <w:sz w:val="20"/>
                <w:szCs w:val="20"/>
              </w:rPr>
            </w:pPr>
            <w:r w:rsidRPr="009F37A2">
              <w:rPr>
                <w:b/>
                <w:bCs/>
                <w:color w:val="FFFFFF"/>
                <w:sz w:val="20"/>
                <w:szCs w:val="20"/>
              </w:rPr>
              <w:t> </w:t>
            </w:r>
          </w:p>
        </w:tc>
        <w:tc>
          <w:tcPr>
            <w:tcW w:w="1040"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9F37A2" w:rsidRDefault="00F874FE" w:rsidP="00A25BE1">
            <w:pPr>
              <w:jc w:val="center"/>
              <w:rPr>
                <w:b/>
                <w:bCs/>
                <w:color w:val="FFFFFF"/>
                <w:sz w:val="20"/>
                <w:szCs w:val="20"/>
              </w:rPr>
            </w:pPr>
            <w:r w:rsidRPr="009F37A2">
              <w:rPr>
                <w:b/>
                <w:bCs/>
                <w:color w:val="FFFFFF"/>
                <w:sz w:val="20"/>
                <w:szCs w:val="20"/>
              </w:rPr>
              <w:t> </w:t>
            </w:r>
          </w:p>
        </w:tc>
        <w:tc>
          <w:tcPr>
            <w:tcW w:w="464"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9F37A2" w:rsidRDefault="00F874FE" w:rsidP="00A25BE1">
            <w:pPr>
              <w:jc w:val="center"/>
              <w:rPr>
                <w:b/>
                <w:bCs/>
                <w:color w:val="FFFFFF"/>
                <w:sz w:val="20"/>
                <w:szCs w:val="20"/>
              </w:rPr>
            </w:pPr>
            <w:r w:rsidRPr="009F37A2">
              <w:rPr>
                <w:b/>
                <w:bCs/>
                <w:color w:val="FFFFFF"/>
                <w:sz w:val="20"/>
                <w:szCs w:val="20"/>
              </w:rPr>
              <w:t>PY1</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9F37A2" w:rsidRDefault="00F874FE" w:rsidP="00A25BE1">
            <w:pPr>
              <w:jc w:val="center"/>
              <w:rPr>
                <w:b/>
                <w:bCs/>
                <w:color w:val="FFFFFF"/>
                <w:sz w:val="20"/>
                <w:szCs w:val="20"/>
              </w:rPr>
            </w:pPr>
            <w:r w:rsidRPr="009F37A2">
              <w:rPr>
                <w:b/>
                <w:bCs/>
                <w:color w:val="FFFFFF"/>
                <w:sz w:val="20"/>
                <w:szCs w:val="20"/>
              </w:rPr>
              <w:t>PY2</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9F37A2" w:rsidRDefault="00F874FE" w:rsidP="00A25BE1">
            <w:pPr>
              <w:jc w:val="center"/>
              <w:rPr>
                <w:b/>
                <w:bCs/>
                <w:color w:val="FFFFFF"/>
                <w:sz w:val="20"/>
                <w:szCs w:val="20"/>
              </w:rPr>
            </w:pPr>
            <w:r w:rsidRPr="009F37A2">
              <w:rPr>
                <w:b/>
                <w:bCs/>
                <w:color w:val="FFFFFF"/>
                <w:sz w:val="20"/>
                <w:szCs w:val="20"/>
              </w:rPr>
              <w:t>PY3</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9F37A2" w:rsidRDefault="00F874FE" w:rsidP="00A25BE1">
            <w:pPr>
              <w:jc w:val="center"/>
              <w:rPr>
                <w:b/>
                <w:bCs/>
                <w:color w:val="FFFFFF"/>
                <w:sz w:val="20"/>
                <w:szCs w:val="20"/>
              </w:rPr>
            </w:pPr>
            <w:r w:rsidRPr="009F37A2">
              <w:rPr>
                <w:b/>
                <w:bCs/>
                <w:color w:val="FFFFFF"/>
                <w:sz w:val="20"/>
                <w:szCs w:val="20"/>
              </w:rPr>
              <w:t>PY4</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9F37A2" w:rsidRDefault="00F874FE" w:rsidP="00A25BE1">
            <w:pPr>
              <w:jc w:val="center"/>
              <w:rPr>
                <w:b/>
                <w:bCs/>
                <w:color w:val="FFFFFF"/>
                <w:sz w:val="20"/>
                <w:szCs w:val="20"/>
              </w:rPr>
            </w:pPr>
            <w:r w:rsidRPr="009F37A2">
              <w:rPr>
                <w:b/>
                <w:bCs/>
                <w:color w:val="FFFFFF"/>
                <w:sz w:val="20"/>
                <w:szCs w:val="20"/>
              </w:rPr>
              <w:t>PY5</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9F37A2" w:rsidRDefault="00F874FE" w:rsidP="00A25BE1">
            <w:pPr>
              <w:jc w:val="center"/>
              <w:rPr>
                <w:b/>
                <w:bCs/>
                <w:color w:val="FFFFFF"/>
                <w:sz w:val="20"/>
                <w:szCs w:val="20"/>
              </w:rPr>
            </w:pPr>
            <w:r w:rsidRPr="009F37A2">
              <w:rPr>
                <w:b/>
                <w:bCs/>
                <w:color w:val="FFFFFF"/>
                <w:sz w:val="20"/>
                <w:szCs w:val="20"/>
              </w:rPr>
              <w:t>PY6</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9F37A2" w:rsidRDefault="00F874FE" w:rsidP="00A25BE1">
            <w:pPr>
              <w:jc w:val="center"/>
              <w:rPr>
                <w:b/>
                <w:bCs/>
                <w:color w:val="FFFFFF"/>
                <w:sz w:val="20"/>
                <w:szCs w:val="20"/>
              </w:rPr>
            </w:pPr>
            <w:r w:rsidRPr="009F37A2">
              <w:rPr>
                <w:b/>
                <w:bCs/>
                <w:color w:val="FFFFFF"/>
                <w:sz w:val="20"/>
                <w:szCs w:val="20"/>
              </w:rPr>
              <w:t>PY7</w:t>
            </w:r>
          </w:p>
        </w:tc>
      </w:tr>
      <w:tr w:rsidR="00A874AC" w:rsidRPr="0076242A" w:rsidTr="00F874FE">
        <w:trPr>
          <w:trHeight w:val="488"/>
        </w:trPr>
        <w:tc>
          <w:tcPr>
            <w:tcW w:w="460"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 xml:space="preserve">Total </w:t>
            </w:r>
            <w:r w:rsidR="004558F9">
              <w:rPr>
                <w:color w:val="000000"/>
                <w:sz w:val="20"/>
                <w:szCs w:val="20"/>
              </w:rPr>
              <w:t xml:space="preserve">Utility </w:t>
            </w:r>
            <w:r w:rsidRPr="009F37A2">
              <w:rPr>
                <w:color w:val="000000"/>
                <w:sz w:val="20"/>
                <w:szCs w:val="20"/>
              </w:rPr>
              <w:t>Costs</w:t>
            </w: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$2,104,529</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$6,531,579</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$14,142,085</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$7,480,890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$11,532,486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$7,636,926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$6,940,543</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8B6BE7">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$272,046</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$3,695,271</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$5,254,505</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$3,032,593</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$1,828,026</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$2,124,011</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$2,561,000</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8B6BE7">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$2,376,575</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$10,226,850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$19,396,590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$10,513,483</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$13,360,513</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$9,760,938</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$9,501,543</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8B6BE7">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$2,363,946</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$3,180,457</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$8,463,410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$16,674,073</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$5,484,487</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$7,051,062</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$7,631,457</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8B6BE7">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$4,740,521</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$13,407,307</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$27,860,000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$27,187,556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$18,845,000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$16,812,000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$17,133,000</w:t>
            </w:r>
          </w:p>
        </w:tc>
      </w:tr>
      <w:tr w:rsidR="00A874AC" w:rsidRPr="0076242A" w:rsidTr="00F874FE">
        <w:trPr>
          <w:trHeight w:val="488"/>
        </w:trPr>
        <w:tc>
          <w:tcPr>
            <w:tcW w:w="460"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9F37A2" w:rsidRDefault="004558F9" w:rsidP="00A25BE1">
            <w:pPr>
              <w:jc w:val="center"/>
              <w:rPr>
                <w:color w:val="000000"/>
                <w:sz w:val="20"/>
                <w:szCs w:val="20"/>
              </w:rPr>
            </w:pPr>
            <w:r>
              <w:rPr>
                <w:color w:val="000000"/>
                <w:sz w:val="20"/>
                <w:szCs w:val="20"/>
              </w:rPr>
              <w:t xml:space="preserve">First-Year </w:t>
            </w:r>
            <w:r w:rsidR="00F874FE" w:rsidRPr="009F37A2">
              <w:rPr>
                <w:color w:val="000000"/>
                <w:sz w:val="20"/>
                <w:szCs w:val="20"/>
              </w:rPr>
              <w:t>kWh Saved</w:t>
            </w: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1,801,020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54,857,100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137,460,000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95,007,000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96,924,000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83,244,000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85,814,000</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8B6BE7">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844,000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5,978,530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7,760,000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3,788,000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1,722,000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1,743,000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1,261,000</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8B6BE7">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2,645,020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60,835,630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145,220,000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98,795,000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98,646,000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84,987,000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87,075,000</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8B6BE7">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2,633,680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26,730,040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156,563,000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147,293,000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31,792,000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70,039,000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71,685,000</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8B6BE7">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5,278,700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87,565,670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301,783,000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246,088,000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130,438,000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155,026,000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158,760,000</w:t>
            </w:r>
          </w:p>
        </w:tc>
      </w:tr>
      <w:tr w:rsidR="00A874AC" w:rsidRPr="0076242A" w:rsidTr="00F874FE">
        <w:trPr>
          <w:trHeight w:val="488"/>
        </w:trPr>
        <w:tc>
          <w:tcPr>
            <w:tcW w:w="460"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9F37A2" w:rsidRDefault="004558F9" w:rsidP="00A25BE1">
            <w:pPr>
              <w:jc w:val="center"/>
              <w:rPr>
                <w:color w:val="000000"/>
                <w:sz w:val="20"/>
                <w:szCs w:val="20"/>
              </w:rPr>
            </w:pPr>
            <w:r>
              <w:rPr>
                <w:color w:val="000000"/>
                <w:sz w:val="20"/>
                <w:szCs w:val="20"/>
              </w:rPr>
              <w:t xml:space="preserve">Utility </w:t>
            </w:r>
            <w:r w:rsidR="00F874FE" w:rsidRPr="009F37A2">
              <w:rPr>
                <w:color w:val="000000"/>
                <w:sz w:val="20"/>
                <w:szCs w:val="20"/>
              </w:rPr>
              <w:t>$/kWh</w:t>
            </w: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$1.17</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$0.08</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$0.09</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$0.08</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8B6BE7">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$0.32</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$0.62</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$0.68</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$0.80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$1.06</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$1.22</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$2.03</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8B6BE7">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$0.90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$0.17</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8B6BE7">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$0.90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$0.05</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$0.17</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$0.11</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8B6BE7">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and Non-Residential Combined</w:t>
            </w:r>
            <w:r w:rsidR="00610475">
              <w:rPr>
                <w:color w:val="000000"/>
                <w:sz w:val="20"/>
                <w:szCs w:val="20"/>
              </w:rPr>
              <w:t xml:space="preserve"> (weighted average)</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$0.90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$0.15</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$0.09</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r>
    </w:tbl>
    <w:p w:rsidR="00F874FE" w:rsidRPr="004C6EDA" w:rsidRDefault="00F874FE" w:rsidP="004C6EDA">
      <w:bookmarkStart w:id="465" w:name="_Toc472472205"/>
    </w:p>
    <w:p w:rsidR="00F874FE" w:rsidRDefault="00F874FE" w:rsidP="00F874FE">
      <w:pPr>
        <w:pStyle w:val="Caption"/>
      </w:pPr>
      <w:bookmarkStart w:id="466" w:name="_Toc476914019"/>
      <w:r w:rsidRPr="009011F4">
        <w:t xml:space="preserve">Table </w:t>
      </w:r>
      <w:fldSimple w:instr=" STYLEREF 1 \s ">
        <w:r w:rsidR="00C301D0">
          <w:rPr>
            <w:noProof/>
          </w:rPr>
          <w:t>6</w:t>
        </w:r>
      </w:fldSimple>
      <w:r w:rsidR="00E6042C">
        <w:noBreakHyphen/>
      </w:r>
      <w:fldSimple w:instr=" SEQ Table \* ARABIC \s 1 ">
        <w:r w:rsidR="00C301D0">
          <w:rPr>
            <w:noProof/>
          </w:rPr>
          <w:t>8</w:t>
        </w:r>
      </w:fldSimple>
      <w:r w:rsidRPr="009011F4">
        <w:t xml:space="preserve">: PECO Costs, Annual </w:t>
      </w:r>
      <w:r>
        <w:t>kWh Savings, and Cost per First-</w:t>
      </w:r>
      <w:r w:rsidRPr="009011F4">
        <w:t>Year kWh</w:t>
      </w:r>
      <w:r w:rsidR="00093DFB">
        <w:t xml:space="preserve"> Saved</w:t>
      </w:r>
      <w:r w:rsidRPr="009011F4">
        <w:t xml:space="preserve"> by Program Year</w:t>
      </w:r>
      <w:bookmarkEnd w:id="465"/>
      <w:bookmarkEnd w:id="466"/>
    </w:p>
    <w:tbl>
      <w:tblPr>
        <w:tblW w:w="5000" w:type="pct"/>
        <w:tblLook w:val="04A0" w:firstRow="1" w:lastRow="0" w:firstColumn="1" w:lastColumn="0" w:noHBand="0" w:noVBand="1"/>
      </w:tblPr>
      <w:tblGrid>
        <w:gridCol w:w="1181"/>
        <w:gridCol w:w="2668"/>
        <w:gridCol w:w="1299"/>
        <w:gridCol w:w="1299"/>
        <w:gridCol w:w="1299"/>
        <w:gridCol w:w="1299"/>
        <w:gridCol w:w="1299"/>
        <w:gridCol w:w="1299"/>
        <w:gridCol w:w="1297"/>
      </w:tblGrid>
      <w:tr w:rsidR="00A874AC" w:rsidRPr="0076242A" w:rsidTr="00F874FE">
        <w:trPr>
          <w:trHeight w:val="315"/>
          <w:tblHeader/>
        </w:trPr>
        <w:tc>
          <w:tcPr>
            <w:tcW w:w="456"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 </w:t>
            </w:r>
          </w:p>
        </w:tc>
        <w:tc>
          <w:tcPr>
            <w:tcW w:w="1031"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 </w:t>
            </w:r>
          </w:p>
        </w:tc>
        <w:tc>
          <w:tcPr>
            <w:tcW w:w="50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PY1</w:t>
            </w:r>
          </w:p>
        </w:tc>
        <w:tc>
          <w:tcPr>
            <w:tcW w:w="50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PY2</w:t>
            </w:r>
          </w:p>
        </w:tc>
        <w:tc>
          <w:tcPr>
            <w:tcW w:w="50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PY3</w:t>
            </w:r>
          </w:p>
        </w:tc>
        <w:tc>
          <w:tcPr>
            <w:tcW w:w="50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PY4</w:t>
            </w:r>
          </w:p>
        </w:tc>
        <w:tc>
          <w:tcPr>
            <w:tcW w:w="50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PY5</w:t>
            </w:r>
          </w:p>
        </w:tc>
        <w:tc>
          <w:tcPr>
            <w:tcW w:w="50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PY6</w:t>
            </w:r>
          </w:p>
        </w:tc>
        <w:tc>
          <w:tcPr>
            <w:tcW w:w="502"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PY7</w:t>
            </w:r>
          </w:p>
        </w:tc>
      </w:tr>
      <w:tr w:rsidR="00A874AC" w:rsidRPr="0076242A" w:rsidTr="00F874FE">
        <w:trPr>
          <w:trHeight w:val="488"/>
        </w:trPr>
        <w:tc>
          <w:tcPr>
            <w:tcW w:w="456"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 xml:space="preserve">Total </w:t>
            </w:r>
            <w:r w:rsidR="004558F9">
              <w:rPr>
                <w:color w:val="000000"/>
                <w:sz w:val="20"/>
                <w:szCs w:val="20"/>
              </w:rPr>
              <w:t xml:space="preserve">Utility </w:t>
            </w:r>
            <w:r w:rsidRPr="009F37A2">
              <w:rPr>
                <w:color w:val="000000"/>
                <w:sz w:val="20"/>
                <w:szCs w:val="20"/>
              </w:rPr>
              <w:t>Costs</w:t>
            </w:r>
          </w:p>
        </w:tc>
        <w:tc>
          <w:tcPr>
            <w:tcW w:w="10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$9,725,502</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$30,057,000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$12,855,631</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$7,724,002</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$15,148,942</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$34,305,712</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$43,638,538</w:t>
            </w:r>
          </w:p>
        </w:tc>
      </w:tr>
      <w:tr w:rsidR="00A874AC" w:rsidRPr="0076242A" w:rsidTr="00F874FE">
        <w:trPr>
          <w:trHeight w:val="488"/>
        </w:trPr>
        <w:tc>
          <w:tcPr>
            <w:tcW w:w="456"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A25BE1">
            <w:pPr>
              <w:jc w:val="left"/>
              <w:rPr>
                <w:color w:val="000000"/>
                <w:sz w:val="20"/>
                <w:szCs w:val="20"/>
              </w:rPr>
            </w:pPr>
          </w:p>
        </w:tc>
        <w:tc>
          <w:tcPr>
            <w:tcW w:w="10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$1,208,467</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$6,068,000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$6,415,814</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$6,019,807</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$7,396,053</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$10,470,536</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$8,783,087</w:t>
            </w:r>
          </w:p>
        </w:tc>
      </w:tr>
      <w:tr w:rsidR="00A874AC" w:rsidRPr="0076242A" w:rsidTr="00F874FE">
        <w:trPr>
          <w:trHeight w:val="488"/>
        </w:trPr>
        <w:tc>
          <w:tcPr>
            <w:tcW w:w="456"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A25BE1">
            <w:pPr>
              <w:jc w:val="left"/>
              <w:rPr>
                <w:color w:val="000000"/>
                <w:sz w:val="20"/>
                <w:szCs w:val="20"/>
              </w:rPr>
            </w:pPr>
          </w:p>
        </w:tc>
        <w:tc>
          <w:tcPr>
            <w:tcW w:w="10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$10,933,969</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$36,125,000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$19,271,445</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$13,743,809</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$22,544,995</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$44,776,247</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$52,421,625</w:t>
            </w:r>
          </w:p>
        </w:tc>
      </w:tr>
      <w:tr w:rsidR="00A874AC" w:rsidRPr="0076242A" w:rsidTr="00F874FE">
        <w:trPr>
          <w:trHeight w:val="488"/>
        </w:trPr>
        <w:tc>
          <w:tcPr>
            <w:tcW w:w="456"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A25BE1">
            <w:pPr>
              <w:jc w:val="left"/>
              <w:rPr>
                <w:color w:val="000000"/>
                <w:sz w:val="20"/>
                <w:szCs w:val="20"/>
              </w:rPr>
            </w:pPr>
          </w:p>
        </w:tc>
        <w:tc>
          <w:tcPr>
            <w:tcW w:w="10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$2,632,722</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$17,722,000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$18,313,555</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$28,059,566</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$29,469,005</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$27,168,753</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$38,727,375</w:t>
            </w:r>
          </w:p>
        </w:tc>
      </w:tr>
      <w:tr w:rsidR="00A874AC" w:rsidRPr="0076242A" w:rsidTr="00F874FE">
        <w:trPr>
          <w:trHeight w:val="488"/>
        </w:trPr>
        <w:tc>
          <w:tcPr>
            <w:tcW w:w="456"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A25BE1">
            <w:pPr>
              <w:jc w:val="left"/>
              <w:rPr>
                <w:color w:val="000000"/>
                <w:sz w:val="20"/>
                <w:szCs w:val="20"/>
              </w:rPr>
            </w:pPr>
          </w:p>
        </w:tc>
        <w:tc>
          <w:tcPr>
            <w:tcW w:w="10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$13,566,691</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$53,847,000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$37,585,000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$41,803,375</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$52,014,000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$71,945,000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$91,149,000</w:t>
            </w:r>
          </w:p>
        </w:tc>
      </w:tr>
      <w:tr w:rsidR="00A874AC" w:rsidRPr="0076242A" w:rsidTr="00F874FE">
        <w:trPr>
          <w:trHeight w:val="488"/>
        </w:trPr>
        <w:tc>
          <w:tcPr>
            <w:tcW w:w="456"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9F37A2" w:rsidRDefault="004558F9" w:rsidP="00A25BE1">
            <w:pPr>
              <w:jc w:val="center"/>
              <w:rPr>
                <w:color w:val="000000"/>
                <w:sz w:val="20"/>
                <w:szCs w:val="20"/>
              </w:rPr>
            </w:pPr>
            <w:r>
              <w:rPr>
                <w:color w:val="000000"/>
                <w:sz w:val="20"/>
                <w:szCs w:val="20"/>
              </w:rPr>
              <w:t xml:space="preserve">First-Year </w:t>
            </w:r>
            <w:r w:rsidR="00F874FE" w:rsidRPr="009F37A2">
              <w:rPr>
                <w:color w:val="000000"/>
                <w:sz w:val="20"/>
                <w:szCs w:val="20"/>
              </w:rPr>
              <w:t>kWh Saved</w:t>
            </w:r>
          </w:p>
        </w:tc>
        <w:tc>
          <w:tcPr>
            <w:tcW w:w="10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140,676,000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255,857,000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61,708,000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26,411,964</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95,834,241</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115,379,000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235,720,000</w:t>
            </w:r>
          </w:p>
        </w:tc>
      </w:tr>
      <w:tr w:rsidR="00A874AC" w:rsidRPr="0076242A" w:rsidTr="00F874FE">
        <w:trPr>
          <w:trHeight w:val="488"/>
        </w:trPr>
        <w:tc>
          <w:tcPr>
            <w:tcW w:w="456"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A25BE1">
            <w:pPr>
              <w:jc w:val="left"/>
              <w:rPr>
                <w:color w:val="000000"/>
                <w:sz w:val="20"/>
                <w:szCs w:val="20"/>
              </w:rPr>
            </w:pPr>
          </w:p>
        </w:tc>
        <w:tc>
          <w:tcPr>
            <w:tcW w:w="10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3,286,000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24,664,000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24,652,000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30,320,305</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23,268,074</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18,716,000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18,304,000</w:t>
            </w:r>
          </w:p>
        </w:tc>
      </w:tr>
      <w:tr w:rsidR="00A874AC" w:rsidRPr="0076242A" w:rsidTr="00F874FE">
        <w:trPr>
          <w:trHeight w:val="488"/>
        </w:trPr>
        <w:tc>
          <w:tcPr>
            <w:tcW w:w="456"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A25BE1">
            <w:pPr>
              <w:jc w:val="left"/>
              <w:rPr>
                <w:color w:val="000000"/>
                <w:sz w:val="20"/>
                <w:szCs w:val="20"/>
              </w:rPr>
            </w:pPr>
          </w:p>
        </w:tc>
        <w:tc>
          <w:tcPr>
            <w:tcW w:w="10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143,962,000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280,521,000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86,360,000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56,732,268</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119,102,315</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134,095,000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254,024,000</w:t>
            </w:r>
          </w:p>
        </w:tc>
      </w:tr>
      <w:tr w:rsidR="00A874AC" w:rsidRPr="0076242A" w:rsidTr="00F874FE">
        <w:trPr>
          <w:trHeight w:val="488"/>
        </w:trPr>
        <w:tc>
          <w:tcPr>
            <w:tcW w:w="456"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A25BE1">
            <w:pPr>
              <w:jc w:val="left"/>
              <w:rPr>
                <w:color w:val="000000"/>
                <w:sz w:val="20"/>
                <w:szCs w:val="20"/>
              </w:rPr>
            </w:pPr>
          </w:p>
        </w:tc>
        <w:tc>
          <w:tcPr>
            <w:tcW w:w="10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15,856,700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112,480,300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107,949,000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152,092,732</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154,262,685</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173,532,000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274,276,000</w:t>
            </w:r>
          </w:p>
        </w:tc>
      </w:tr>
      <w:tr w:rsidR="00A874AC" w:rsidRPr="0076242A" w:rsidTr="00F874FE">
        <w:trPr>
          <w:trHeight w:val="488"/>
        </w:trPr>
        <w:tc>
          <w:tcPr>
            <w:tcW w:w="456"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A25BE1">
            <w:pPr>
              <w:jc w:val="left"/>
              <w:rPr>
                <w:color w:val="000000"/>
                <w:sz w:val="20"/>
                <w:szCs w:val="20"/>
              </w:rPr>
            </w:pPr>
          </w:p>
        </w:tc>
        <w:tc>
          <w:tcPr>
            <w:tcW w:w="10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159,818,700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393,001,300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194,309,000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208,825,000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273,365,000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307,627,000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528,300,000</w:t>
            </w:r>
          </w:p>
        </w:tc>
      </w:tr>
      <w:tr w:rsidR="00A874AC" w:rsidRPr="0076242A" w:rsidTr="00F874FE">
        <w:trPr>
          <w:trHeight w:val="488"/>
        </w:trPr>
        <w:tc>
          <w:tcPr>
            <w:tcW w:w="456"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9F37A2" w:rsidRDefault="004558F9" w:rsidP="00A25BE1">
            <w:pPr>
              <w:jc w:val="center"/>
              <w:rPr>
                <w:color w:val="000000"/>
                <w:sz w:val="20"/>
                <w:szCs w:val="20"/>
              </w:rPr>
            </w:pPr>
            <w:r>
              <w:rPr>
                <w:color w:val="000000"/>
                <w:sz w:val="20"/>
                <w:szCs w:val="20"/>
              </w:rPr>
              <w:t xml:space="preserve">Utility </w:t>
            </w:r>
            <w:r w:rsidR="00F874FE" w:rsidRPr="009F37A2">
              <w:rPr>
                <w:color w:val="000000"/>
                <w:sz w:val="20"/>
                <w:szCs w:val="20"/>
              </w:rPr>
              <w:t>$/kWh</w:t>
            </w:r>
          </w:p>
        </w:tc>
        <w:tc>
          <w:tcPr>
            <w:tcW w:w="10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$0.07</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$0.21</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$0.29</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$0.16</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$0.30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$0.19</w:t>
            </w:r>
          </w:p>
        </w:tc>
      </w:tr>
      <w:tr w:rsidR="00A874AC" w:rsidRPr="0076242A" w:rsidTr="00F874FE">
        <w:trPr>
          <w:trHeight w:val="488"/>
        </w:trPr>
        <w:tc>
          <w:tcPr>
            <w:tcW w:w="456"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A25BE1">
            <w:pPr>
              <w:jc w:val="left"/>
              <w:rPr>
                <w:color w:val="000000"/>
                <w:sz w:val="20"/>
                <w:szCs w:val="20"/>
              </w:rPr>
            </w:pPr>
          </w:p>
        </w:tc>
        <w:tc>
          <w:tcPr>
            <w:tcW w:w="10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$0.37</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$0.25</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$0.26</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$0.20</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$0.32</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$0.56</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$0.48</w:t>
            </w:r>
          </w:p>
        </w:tc>
      </w:tr>
      <w:tr w:rsidR="00A874AC" w:rsidRPr="0076242A" w:rsidTr="00F874FE">
        <w:trPr>
          <w:trHeight w:val="488"/>
        </w:trPr>
        <w:tc>
          <w:tcPr>
            <w:tcW w:w="456"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A25BE1">
            <w:pPr>
              <w:jc w:val="left"/>
              <w:rPr>
                <w:color w:val="000000"/>
                <w:sz w:val="20"/>
                <w:szCs w:val="20"/>
              </w:rPr>
            </w:pPr>
          </w:p>
        </w:tc>
        <w:tc>
          <w:tcPr>
            <w:tcW w:w="10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$0.08</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$0.22</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$0.24</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$0.19</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$0.33</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$0.21</w:t>
            </w:r>
          </w:p>
        </w:tc>
      </w:tr>
      <w:tr w:rsidR="00A874AC" w:rsidRPr="0076242A" w:rsidTr="00F874FE">
        <w:trPr>
          <w:trHeight w:val="488"/>
        </w:trPr>
        <w:tc>
          <w:tcPr>
            <w:tcW w:w="456"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A25BE1">
            <w:pPr>
              <w:jc w:val="left"/>
              <w:rPr>
                <w:color w:val="000000"/>
                <w:sz w:val="20"/>
                <w:szCs w:val="20"/>
              </w:rPr>
            </w:pPr>
          </w:p>
        </w:tc>
        <w:tc>
          <w:tcPr>
            <w:tcW w:w="1031"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$0.17</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$0.16</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$0.17</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$0.18</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$0.19</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$0.16</w:t>
            </w:r>
          </w:p>
        </w:tc>
        <w:tc>
          <w:tcPr>
            <w:tcW w:w="502"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$0.14</w:t>
            </w:r>
          </w:p>
        </w:tc>
      </w:tr>
      <w:tr w:rsidR="00A874AC" w:rsidRPr="0076242A" w:rsidTr="00F874FE">
        <w:trPr>
          <w:trHeight w:val="488"/>
        </w:trPr>
        <w:tc>
          <w:tcPr>
            <w:tcW w:w="456" w:type="pct"/>
            <w:vMerge/>
            <w:tcBorders>
              <w:top w:val="nil"/>
              <w:left w:val="single" w:sz="8" w:space="0" w:color="448A99"/>
              <w:bottom w:val="single" w:sz="8" w:space="0" w:color="448A99"/>
              <w:right w:val="single" w:sz="8" w:space="0" w:color="448A99"/>
            </w:tcBorders>
            <w:vAlign w:val="center"/>
            <w:hideMark/>
          </w:tcPr>
          <w:p w:rsidR="00F874FE" w:rsidRPr="009F37A2" w:rsidRDefault="00F874FE" w:rsidP="00A25BE1">
            <w:pPr>
              <w:jc w:val="left"/>
              <w:rPr>
                <w:color w:val="000000"/>
                <w:sz w:val="20"/>
                <w:szCs w:val="20"/>
              </w:rPr>
            </w:pPr>
          </w:p>
        </w:tc>
        <w:tc>
          <w:tcPr>
            <w:tcW w:w="1031"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and Non-Residential Combined</w:t>
            </w:r>
            <w:r w:rsidR="00610475">
              <w:rPr>
                <w:color w:val="000000"/>
                <w:sz w:val="20"/>
                <w:szCs w:val="20"/>
              </w:rPr>
              <w:t xml:space="preserve"> (weighted average)</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$0.08</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$0.14</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$0.19</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$0.20</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$0.19</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$0.23</w:t>
            </w:r>
          </w:p>
        </w:tc>
        <w:tc>
          <w:tcPr>
            <w:tcW w:w="502"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$0.17</w:t>
            </w:r>
          </w:p>
        </w:tc>
      </w:tr>
    </w:tbl>
    <w:p w:rsidR="00F874FE" w:rsidRPr="004C6EDA" w:rsidRDefault="00F874FE" w:rsidP="004C6EDA">
      <w:bookmarkStart w:id="467" w:name="_Toc472472206"/>
    </w:p>
    <w:p w:rsidR="00F874FE" w:rsidRDefault="00F874FE" w:rsidP="00F874FE">
      <w:pPr>
        <w:pStyle w:val="Caption"/>
      </w:pPr>
      <w:bookmarkStart w:id="468" w:name="_Ref476043841"/>
      <w:bookmarkStart w:id="469" w:name="_Toc476914020"/>
      <w:r w:rsidRPr="009011F4">
        <w:t xml:space="preserve">Table </w:t>
      </w:r>
      <w:fldSimple w:instr=" STYLEREF 1 \s ">
        <w:r w:rsidR="00C301D0">
          <w:rPr>
            <w:noProof/>
          </w:rPr>
          <w:t>6</w:t>
        </w:r>
      </w:fldSimple>
      <w:r w:rsidR="00E6042C">
        <w:noBreakHyphen/>
      </w:r>
      <w:fldSimple w:instr=" SEQ Table \* ARABIC \s 1 ">
        <w:r w:rsidR="00C301D0">
          <w:rPr>
            <w:noProof/>
          </w:rPr>
          <w:t>9</w:t>
        </w:r>
      </w:fldSimple>
      <w:bookmarkEnd w:id="468"/>
      <w:r w:rsidRPr="009011F4">
        <w:t xml:space="preserve">: PPL Costs, Annual </w:t>
      </w:r>
      <w:r>
        <w:t>kWh Savings, and Cost per First-</w:t>
      </w:r>
      <w:r w:rsidRPr="009011F4">
        <w:t>Year kWh</w:t>
      </w:r>
      <w:r w:rsidR="00093DFB">
        <w:t xml:space="preserve"> Saved</w:t>
      </w:r>
      <w:r w:rsidRPr="009011F4">
        <w:t xml:space="preserve"> by Program Year</w:t>
      </w:r>
      <w:bookmarkEnd w:id="467"/>
      <w:bookmarkEnd w:id="469"/>
    </w:p>
    <w:tbl>
      <w:tblPr>
        <w:tblW w:w="5000" w:type="pct"/>
        <w:tblLook w:val="04A0" w:firstRow="1" w:lastRow="0" w:firstColumn="1" w:lastColumn="0" w:noHBand="0" w:noVBand="1"/>
      </w:tblPr>
      <w:tblGrid>
        <w:gridCol w:w="1189"/>
        <w:gridCol w:w="2691"/>
        <w:gridCol w:w="1200"/>
        <w:gridCol w:w="1310"/>
        <w:gridCol w:w="1310"/>
        <w:gridCol w:w="1310"/>
        <w:gridCol w:w="1310"/>
        <w:gridCol w:w="1310"/>
        <w:gridCol w:w="1310"/>
      </w:tblGrid>
      <w:tr w:rsidR="00A874AC" w:rsidRPr="0076242A" w:rsidTr="004C6EDA">
        <w:trPr>
          <w:trHeight w:val="315"/>
          <w:tblHeader/>
        </w:trPr>
        <w:tc>
          <w:tcPr>
            <w:tcW w:w="460" w:type="pct"/>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 </w:t>
            </w:r>
          </w:p>
        </w:tc>
        <w:tc>
          <w:tcPr>
            <w:tcW w:w="1040"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 </w:t>
            </w:r>
          </w:p>
        </w:tc>
        <w:tc>
          <w:tcPr>
            <w:tcW w:w="464"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PY1</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PY2</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PY3</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PY4</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PY5</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PY6</w:t>
            </w:r>
          </w:p>
        </w:tc>
        <w:tc>
          <w:tcPr>
            <w:tcW w:w="506" w:type="pct"/>
            <w:tcBorders>
              <w:top w:val="single" w:sz="8" w:space="0" w:color="448A99"/>
              <w:left w:val="nil"/>
              <w:bottom w:val="single" w:sz="8" w:space="0" w:color="448A99"/>
              <w:right w:val="single" w:sz="8" w:space="0" w:color="448A99"/>
            </w:tcBorders>
            <w:shd w:val="clear" w:color="000000" w:fill="448A99"/>
            <w:vAlign w:val="center"/>
            <w:hideMark/>
          </w:tcPr>
          <w:p w:rsidR="00F874FE" w:rsidRPr="0076242A" w:rsidRDefault="00F874FE" w:rsidP="00A25BE1">
            <w:pPr>
              <w:jc w:val="center"/>
              <w:rPr>
                <w:b/>
                <w:bCs/>
                <w:color w:val="FFFFFF"/>
                <w:sz w:val="20"/>
                <w:szCs w:val="20"/>
              </w:rPr>
            </w:pPr>
            <w:r w:rsidRPr="0076242A">
              <w:rPr>
                <w:b/>
                <w:bCs/>
                <w:color w:val="FFFFFF"/>
                <w:sz w:val="20"/>
                <w:szCs w:val="20"/>
              </w:rPr>
              <w:t>PY7</w:t>
            </w:r>
          </w:p>
        </w:tc>
      </w:tr>
      <w:tr w:rsidR="00A874AC" w:rsidRPr="0076242A" w:rsidTr="00F874FE">
        <w:trPr>
          <w:trHeight w:val="488"/>
        </w:trPr>
        <w:tc>
          <w:tcPr>
            <w:tcW w:w="460"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 xml:space="preserve">Total </w:t>
            </w:r>
            <w:r w:rsidR="004558F9">
              <w:rPr>
                <w:color w:val="000000"/>
                <w:sz w:val="20"/>
                <w:szCs w:val="20"/>
              </w:rPr>
              <w:t xml:space="preserve">Utility </w:t>
            </w:r>
            <w:r w:rsidRPr="0076242A">
              <w:rPr>
                <w:color w:val="000000"/>
                <w:sz w:val="20"/>
                <w:szCs w:val="20"/>
              </w:rPr>
              <w:t>Costs</w:t>
            </w: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Residential Non Low Income</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$3,226,106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$12,318,183</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$21,179,207</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$13,731,502</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$16,518,424</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$18,271,110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$27,074,190</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A25BE1">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Residential Low Income</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$3,079,030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$9,799,974</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$10,271,789</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$7,210,694</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$5,027,986</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$7,750,774</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$8,868,375</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A25BE1">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Residential Total</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$6,305,136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$22,118,157</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$31,450,996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$20,942,195</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$21,546,410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$26,021,885</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76242A" w:rsidRDefault="00F874FE" w:rsidP="00A25BE1">
            <w:pPr>
              <w:jc w:val="center"/>
              <w:rPr>
                <w:color w:val="000000"/>
                <w:sz w:val="20"/>
                <w:szCs w:val="20"/>
              </w:rPr>
            </w:pPr>
            <w:r w:rsidRPr="0076242A">
              <w:rPr>
                <w:color w:val="000000"/>
                <w:sz w:val="20"/>
                <w:szCs w:val="20"/>
              </w:rPr>
              <w:t>$35,942,565</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A25BE1">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Non-Residential Total</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$2,532,619</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$25,229,344</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$48,241,626</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$47,776,661</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$16,290,590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$27,987,115</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76242A" w:rsidRDefault="00F874FE" w:rsidP="00A25BE1">
            <w:pPr>
              <w:jc w:val="center"/>
              <w:rPr>
                <w:color w:val="000000"/>
                <w:sz w:val="20"/>
                <w:szCs w:val="20"/>
              </w:rPr>
            </w:pPr>
            <w:r w:rsidRPr="0076242A">
              <w:rPr>
                <w:color w:val="000000"/>
                <w:sz w:val="20"/>
                <w:szCs w:val="20"/>
              </w:rPr>
              <w:t>$28,774,435</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A25BE1">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$8,837,755</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$47,347,501</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$79,692,622</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$68,718,857</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$37,837,000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$54,009,000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$64,717,000</w:t>
            </w:r>
          </w:p>
        </w:tc>
      </w:tr>
      <w:tr w:rsidR="00A874AC" w:rsidRPr="0076242A" w:rsidTr="00F874FE">
        <w:trPr>
          <w:trHeight w:val="488"/>
        </w:trPr>
        <w:tc>
          <w:tcPr>
            <w:tcW w:w="460" w:type="pct"/>
            <w:vMerge w:val="restart"/>
            <w:tcBorders>
              <w:top w:val="nil"/>
              <w:left w:val="single" w:sz="8" w:space="0" w:color="448A99"/>
              <w:bottom w:val="single" w:sz="8" w:space="0" w:color="448A99"/>
              <w:right w:val="single" w:sz="8" w:space="0" w:color="448A99"/>
            </w:tcBorders>
            <w:shd w:val="clear" w:color="auto" w:fill="auto"/>
            <w:vAlign w:val="center"/>
            <w:hideMark/>
          </w:tcPr>
          <w:p w:rsidR="00F874FE" w:rsidRPr="0076242A" w:rsidRDefault="004558F9" w:rsidP="00A25BE1">
            <w:pPr>
              <w:jc w:val="center"/>
              <w:rPr>
                <w:color w:val="000000"/>
                <w:sz w:val="20"/>
                <w:szCs w:val="20"/>
              </w:rPr>
            </w:pPr>
            <w:r>
              <w:rPr>
                <w:color w:val="000000"/>
                <w:sz w:val="20"/>
                <w:szCs w:val="20"/>
              </w:rPr>
              <w:t xml:space="preserve">First-Year </w:t>
            </w:r>
            <w:r w:rsidR="00F874FE" w:rsidRPr="0076242A">
              <w:rPr>
                <w:color w:val="000000"/>
                <w:sz w:val="20"/>
                <w:szCs w:val="20"/>
              </w:rPr>
              <w:t>kWh Saved</w:t>
            </w: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51,369,507</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212,951,270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203,532,524</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290,719,254</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109,479,504</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99,605,336</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130,743,249</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A25BE1">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1,471,350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6,838,650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9,038,000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6,772,000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6,374,000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8,145,000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19,870,000</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A25BE1">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52,840,857</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219,789,920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212,570,524</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297,491,254</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115,853,504</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107,750,336</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150,613,249</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A25BE1">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29,460,960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192,692,263</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291,661,476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372,061,746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84,210,496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109,609,664</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163,362,751</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A25BE1">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Total</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82,301,817</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412,482,183</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504,232,000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669,553,000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200,064,000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217,360,000</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313,976,000</w:t>
            </w:r>
          </w:p>
        </w:tc>
      </w:tr>
      <w:tr w:rsidR="00A874AC" w:rsidRPr="0076242A" w:rsidTr="00F874FE">
        <w:trPr>
          <w:trHeight w:val="488"/>
        </w:trPr>
        <w:tc>
          <w:tcPr>
            <w:tcW w:w="460" w:type="pct"/>
            <w:vMerge w:val="restart"/>
            <w:tcBorders>
              <w:top w:val="nil"/>
              <w:left w:val="single" w:sz="8" w:space="0" w:color="448A99"/>
              <w:bottom w:val="single" w:sz="8" w:space="0" w:color="448A99"/>
              <w:right w:val="single" w:sz="8" w:space="0" w:color="448A99"/>
            </w:tcBorders>
            <w:shd w:val="clear" w:color="000000" w:fill="D2EAF1"/>
            <w:vAlign w:val="center"/>
            <w:hideMark/>
          </w:tcPr>
          <w:p w:rsidR="00F874FE" w:rsidRPr="0076242A" w:rsidRDefault="004558F9" w:rsidP="00A25BE1">
            <w:pPr>
              <w:jc w:val="center"/>
              <w:rPr>
                <w:color w:val="000000"/>
                <w:sz w:val="20"/>
                <w:szCs w:val="20"/>
              </w:rPr>
            </w:pPr>
            <w:r>
              <w:rPr>
                <w:color w:val="000000"/>
                <w:sz w:val="20"/>
                <w:szCs w:val="20"/>
              </w:rPr>
              <w:t xml:space="preserve">Utility </w:t>
            </w:r>
            <w:r w:rsidR="00F874FE" w:rsidRPr="0076242A">
              <w:rPr>
                <w:color w:val="000000"/>
                <w:sz w:val="20"/>
                <w:szCs w:val="20"/>
              </w:rPr>
              <w:t>$/kWh</w:t>
            </w: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Non Low Income</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$0.05</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$0.15</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$0.18</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$0.21</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A25BE1">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Residential Low Income</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$2.09</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$1.43</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$1.14</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$1.06</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$0.79</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$0.95</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$0.45</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A25BE1">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Total</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$0.12</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$0.15</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$0.07</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$0.19</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$0.24</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$0.24</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A25BE1">
            <w:pPr>
              <w:jc w:val="left"/>
              <w:rPr>
                <w:color w:val="000000"/>
                <w:sz w:val="20"/>
                <w:szCs w:val="20"/>
              </w:rPr>
            </w:pPr>
          </w:p>
        </w:tc>
        <w:tc>
          <w:tcPr>
            <w:tcW w:w="1040"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Non-Residential Total</w:t>
            </w:r>
          </w:p>
        </w:tc>
        <w:tc>
          <w:tcPr>
            <w:tcW w:w="464"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$0.09</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$0.17</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$0.13</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$0.19</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$0.26</w:t>
            </w:r>
          </w:p>
        </w:tc>
        <w:tc>
          <w:tcPr>
            <w:tcW w:w="506" w:type="pct"/>
            <w:tcBorders>
              <w:top w:val="nil"/>
              <w:left w:val="nil"/>
              <w:bottom w:val="single" w:sz="8" w:space="0" w:color="448A99"/>
              <w:right w:val="single" w:sz="8" w:space="0" w:color="448A99"/>
            </w:tcBorders>
            <w:shd w:val="clear" w:color="auto" w:fill="auto"/>
            <w:vAlign w:val="center"/>
            <w:hideMark/>
          </w:tcPr>
          <w:p w:rsidR="00F874FE" w:rsidRPr="009F37A2" w:rsidRDefault="00F874FE" w:rsidP="00A25BE1">
            <w:pPr>
              <w:jc w:val="center"/>
              <w:rPr>
                <w:color w:val="000000"/>
                <w:sz w:val="20"/>
                <w:szCs w:val="20"/>
              </w:rPr>
            </w:pPr>
            <w:r w:rsidRPr="009F37A2">
              <w:rPr>
                <w:color w:val="000000"/>
                <w:sz w:val="20"/>
                <w:szCs w:val="20"/>
              </w:rPr>
              <w:t>$0.18</w:t>
            </w:r>
          </w:p>
        </w:tc>
      </w:tr>
      <w:tr w:rsidR="00A874AC" w:rsidRPr="0076242A" w:rsidTr="00F874FE">
        <w:trPr>
          <w:trHeight w:val="488"/>
        </w:trPr>
        <w:tc>
          <w:tcPr>
            <w:tcW w:w="460" w:type="pct"/>
            <w:vMerge/>
            <w:tcBorders>
              <w:top w:val="nil"/>
              <w:left w:val="single" w:sz="8" w:space="0" w:color="448A99"/>
              <w:bottom w:val="single" w:sz="8" w:space="0" w:color="448A99"/>
              <w:right w:val="single" w:sz="8" w:space="0" w:color="448A99"/>
            </w:tcBorders>
            <w:vAlign w:val="center"/>
            <w:hideMark/>
          </w:tcPr>
          <w:p w:rsidR="00F874FE" w:rsidRPr="0076242A" w:rsidRDefault="00F874FE" w:rsidP="00A25BE1">
            <w:pPr>
              <w:jc w:val="left"/>
              <w:rPr>
                <w:color w:val="000000"/>
                <w:sz w:val="20"/>
                <w:szCs w:val="20"/>
              </w:rPr>
            </w:pPr>
          </w:p>
        </w:tc>
        <w:tc>
          <w:tcPr>
            <w:tcW w:w="1040"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Residential and Non-Residential Combined</w:t>
            </w:r>
          </w:p>
        </w:tc>
        <w:tc>
          <w:tcPr>
            <w:tcW w:w="464"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$0.11</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$0.16</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$0.10</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$0.19</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$0.25</w:t>
            </w:r>
          </w:p>
        </w:tc>
        <w:tc>
          <w:tcPr>
            <w:tcW w:w="506" w:type="pct"/>
            <w:tcBorders>
              <w:top w:val="nil"/>
              <w:left w:val="nil"/>
              <w:bottom w:val="single" w:sz="8" w:space="0" w:color="448A99"/>
              <w:right w:val="single" w:sz="8" w:space="0" w:color="448A99"/>
            </w:tcBorders>
            <w:shd w:val="clear" w:color="000000" w:fill="D2EAF1"/>
            <w:vAlign w:val="center"/>
            <w:hideMark/>
          </w:tcPr>
          <w:p w:rsidR="00F874FE" w:rsidRPr="009F37A2" w:rsidRDefault="00F874FE" w:rsidP="00A25BE1">
            <w:pPr>
              <w:jc w:val="center"/>
              <w:rPr>
                <w:color w:val="000000"/>
                <w:sz w:val="20"/>
                <w:szCs w:val="20"/>
              </w:rPr>
            </w:pPr>
            <w:r w:rsidRPr="009F37A2">
              <w:rPr>
                <w:color w:val="000000"/>
                <w:sz w:val="20"/>
                <w:szCs w:val="20"/>
              </w:rPr>
              <w:t>$0.21</w:t>
            </w:r>
          </w:p>
        </w:tc>
      </w:tr>
    </w:tbl>
    <w:p w:rsidR="00E56C41" w:rsidRDefault="00E56C41" w:rsidP="00E56C41"/>
    <w:p w:rsidR="00E56C41" w:rsidRDefault="00E56C41" w:rsidP="00E56C41"/>
    <w:p w:rsidR="00E56C41" w:rsidRDefault="00E56C41" w:rsidP="00E56C41">
      <w:pPr>
        <w:sectPr w:rsidR="00E56C41" w:rsidSect="00B87BB2">
          <w:headerReference w:type="default" r:id="rId72"/>
          <w:footerReference w:type="default" r:id="rId73"/>
          <w:pgSz w:w="15840" w:h="12240" w:orient="landscape"/>
          <w:pgMar w:top="1260" w:right="1440" w:bottom="810" w:left="1440" w:header="720" w:footer="288" w:gutter="0"/>
          <w:cols w:space="720"/>
          <w:docGrid w:linePitch="360"/>
        </w:sectPr>
      </w:pPr>
    </w:p>
    <w:p w:rsidR="00F874FE" w:rsidRPr="001C7E80" w:rsidRDefault="00F874FE" w:rsidP="00F874FE">
      <w:pPr>
        <w:pStyle w:val="Caption"/>
      </w:pPr>
      <w:bookmarkStart w:id="470" w:name="_Ref476043865"/>
      <w:bookmarkStart w:id="471" w:name="_Toc472472241"/>
      <w:bookmarkStart w:id="472" w:name="_Toc476914056"/>
      <w:r w:rsidRPr="001C7E80">
        <w:lastRenderedPageBreak/>
        <w:t xml:space="preserve">Figure </w:t>
      </w:r>
      <w:fldSimple w:instr=" STYLEREF 1 \s ">
        <w:r w:rsidR="00C301D0">
          <w:rPr>
            <w:noProof/>
          </w:rPr>
          <w:t>6</w:t>
        </w:r>
      </w:fldSimple>
      <w:r w:rsidR="00DA1ADA">
        <w:noBreakHyphen/>
      </w:r>
      <w:fldSimple w:instr=" SEQ Figure \* ARABIC \s 1 ">
        <w:r w:rsidR="00C301D0">
          <w:rPr>
            <w:noProof/>
          </w:rPr>
          <w:t>1</w:t>
        </w:r>
      </w:fldSimple>
      <w:bookmarkEnd w:id="470"/>
      <w:r w:rsidRPr="001C7E80">
        <w:t xml:space="preserve">: </w:t>
      </w:r>
      <w:r w:rsidR="004558F9">
        <w:t xml:space="preserve">Utility </w:t>
      </w:r>
      <w:r>
        <w:t>Cost per First-</w:t>
      </w:r>
      <w:r w:rsidRPr="001C7E80">
        <w:t>Year kWh</w:t>
      </w:r>
      <w:r w:rsidR="00093DFB">
        <w:t xml:space="preserve"> Saved</w:t>
      </w:r>
      <w:r w:rsidRPr="001C7E80">
        <w:t xml:space="preserve"> – Residential Non-Low-Income</w:t>
      </w:r>
      <w:bookmarkEnd w:id="471"/>
      <w:bookmarkEnd w:id="472"/>
    </w:p>
    <w:p w:rsidR="00F874FE" w:rsidRDefault="00F874FE" w:rsidP="00F874FE">
      <w:pPr>
        <w:pStyle w:val="Caption"/>
      </w:pPr>
      <w:r>
        <w:rPr>
          <w:noProof/>
        </w:rPr>
        <w:drawing>
          <wp:inline distT="0" distB="0" distL="0" distR="0" wp14:anchorId="77F47B14" wp14:editId="792298BC">
            <wp:extent cx="4618404" cy="2811585"/>
            <wp:effectExtent l="0" t="0" r="0" b="825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874FE" w:rsidRPr="00F52B41" w:rsidRDefault="00F874FE" w:rsidP="00F874FE"/>
    <w:p w:rsidR="00F874FE" w:rsidRPr="00CB115E" w:rsidRDefault="00F874FE" w:rsidP="00F874FE">
      <w:pPr>
        <w:pStyle w:val="Caption"/>
      </w:pPr>
      <w:bookmarkStart w:id="473" w:name="_Toc472472242"/>
      <w:bookmarkStart w:id="474" w:name="_Toc476914057"/>
      <w:r w:rsidRPr="00CB115E">
        <w:t xml:space="preserve">Figure </w:t>
      </w:r>
      <w:fldSimple w:instr=" STYLEREF 1 \s ">
        <w:r w:rsidR="00C301D0">
          <w:rPr>
            <w:noProof/>
          </w:rPr>
          <w:t>6</w:t>
        </w:r>
      </w:fldSimple>
      <w:r w:rsidR="00DA1ADA">
        <w:noBreakHyphen/>
      </w:r>
      <w:fldSimple w:instr=" SEQ Figure \* ARABIC \s 1 ">
        <w:r w:rsidR="00C301D0">
          <w:rPr>
            <w:noProof/>
          </w:rPr>
          <w:t>2</w:t>
        </w:r>
      </w:fldSimple>
      <w:r w:rsidRPr="00CB115E">
        <w:t xml:space="preserve">: </w:t>
      </w:r>
      <w:r w:rsidR="004558F9">
        <w:t xml:space="preserve">Utility </w:t>
      </w:r>
      <w:r w:rsidRPr="00CB115E">
        <w:t>Cost per First</w:t>
      </w:r>
      <w:r>
        <w:t>-</w:t>
      </w:r>
      <w:r w:rsidRPr="00CB115E">
        <w:t>Year kWh</w:t>
      </w:r>
      <w:r w:rsidR="00093DFB">
        <w:t xml:space="preserve"> Saved</w:t>
      </w:r>
      <w:r w:rsidRPr="00CB115E">
        <w:t xml:space="preserve"> – Residential Low-Income</w:t>
      </w:r>
      <w:bookmarkEnd w:id="473"/>
      <w:bookmarkEnd w:id="474"/>
    </w:p>
    <w:p w:rsidR="00F874FE" w:rsidRDefault="00F874FE" w:rsidP="00F874FE">
      <w:pPr>
        <w:jc w:val="center"/>
      </w:pPr>
      <w:r>
        <w:rPr>
          <w:noProof/>
        </w:rPr>
        <w:drawing>
          <wp:inline distT="0" distB="0" distL="0" distR="0" wp14:anchorId="3F4A68D8" wp14:editId="24A50CBF">
            <wp:extent cx="4590317" cy="2811585"/>
            <wp:effectExtent l="0" t="0" r="1270" b="825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874FE" w:rsidRDefault="00F874FE" w:rsidP="00F874FE">
      <w:pPr>
        <w:pStyle w:val="Caption"/>
      </w:pPr>
    </w:p>
    <w:p w:rsidR="00F874FE" w:rsidRDefault="00F874FE" w:rsidP="00F874FE">
      <w:pPr>
        <w:pStyle w:val="Caption"/>
      </w:pPr>
    </w:p>
    <w:p w:rsidR="00F874FE" w:rsidRDefault="00F874FE" w:rsidP="00A25BE1">
      <w:pPr>
        <w:pStyle w:val="Caption"/>
      </w:pPr>
    </w:p>
    <w:p w:rsidR="00F874FE" w:rsidRDefault="00F874FE" w:rsidP="00F874FE">
      <w:pPr>
        <w:pStyle w:val="Caption"/>
      </w:pPr>
    </w:p>
    <w:p w:rsidR="00F874FE" w:rsidRDefault="00F874FE" w:rsidP="00A25BE1"/>
    <w:p w:rsidR="00F874FE" w:rsidRDefault="00F874FE" w:rsidP="00A25BE1"/>
    <w:p w:rsidR="00F874FE" w:rsidRPr="0076242A" w:rsidRDefault="00F874FE" w:rsidP="00A25BE1"/>
    <w:p w:rsidR="00F874FE" w:rsidRDefault="00F874FE" w:rsidP="00F874FE">
      <w:pPr>
        <w:pStyle w:val="Caption"/>
      </w:pPr>
    </w:p>
    <w:p w:rsidR="00F874FE" w:rsidRDefault="00F874FE" w:rsidP="00F874FE">
      <w:pPr>
        <w:pStyle w:val="Caption"/>
      </w:pPr>
    </w:p>
    <w:p w:rsidR="00F874FE" w:rsidRPr="00CB115E" w:rsidRDefault="00F874FE" w:rsidP="00F874FE">
      <w:pPr>
        <w:pStyle w:val="Caption"/>
      </w:pPr>
      <w:bookmarkStart w:id="475" w:name="_Toc472472243"/>
      <w:bookmarkStart w:id="476" w:name="_Toc476914058"/>
      <w:r w:rsidRPr="00CB115E">
        <w:lastRenderedPageBreak/>
        <w:t xml:space="preserve">Figure </w:t>
      </w:r>
      <w:fldSimple w:instr=" STYLEREF 1 \s ">
        <w:r w:rsidR="00C301D0">
          <w:rPr>
            <w:noProof/>
          </w:rPr>
          <w:t>6</w:t>
        </w:r>
      </w:fldSimple>
      <w:r w:rsidR="00DA1ADA">
        <w:noBreakHyphen/>
      </w:r>
      <w:fldSimple w:instr=" SEQ Figure \* ARABIC \s 1 ">
        <w:r w:rsidR="00C301D0">
          <w:rPr>
            <w:noProof/>
          </w:rPr>
          <w:t>3</w:t>
        </w:r>
      </w:fldSimple>
      <w:r w:rsidRPr="00CB115E">
        <w:t xml:space="preserve">: </w:t>
      </w:r>
      <w:r w:rsidR="004558F9">
        <w:t xml:space="preserve">Utility </w:t>
      </w:r>
      <w:r>
        <w:t>Cost per First-</w:t>
      </w:r>
      <w:r w:rsidRPr="00CB115E">
        <w:t>Year kWh</w:t>
      </w:r>
      <w:r w:rsidR="00093DFB">
        <w:t xml:space="preserve"> Saved</w:t>
      </w:r>
      <w:r w:rsidRPr="00CB115E">
        <w:t xml:space="preserve"> – Residential Total</w:t>
      </w:r>
      <w:bookmarkEnd w:id="475"/>
      <w:bookmarkEnd w:id="476"/>
    </w:p>
    <w:p w:rsidR="00F874FE" w:rsidRDefault="00F874FE" w:rsidP="00F874FE">
      <w:pPr>
        <w:jc w:val="center"/>
      </w:pPr>
      <w:r>
        <w:rPr>
          <w:noProof/>
        </w:rPr>
        <w:drawing>
          <wp:inline distT="0" distB="0" distL="0" distR="0" wp14:anchorId="6AE6D2E7" wp14:editId="3435C7C1">
            <wp:extent cx="4602529" cy="2816469"/>
            <wp:effectExtent l="0" t="0" r="7620" b="31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874FE" w:rsidRDefault="00F874FE" w:rsidP="00F874FE">
      <w:pPr>
        <w:jc w:val="center"/>
      </w:pPr>
    </w:p>
    <w:p w:rsidR="00F874FE" w:rsidRPr="00CB115E" w:rsidRDefault="00F874FE" w:rsidP="00F874FE">
      <w:pPr>
        <w:pStyle w:val="Caption"/>
      </w:pPr>
      <w:bookmarkStart w:id="477" w:name="_Toc472472244"/>
      <w:bookmarkStart w:id="478" w:name="_Toc476914059"/>
      <w:r w:rsidRPr="00CB115E">
        <w:t xml:space="preserve">Figure </w:t>
      </w:r>
      <w:fldSimple w:instr=" STYLEREF 1 \s ">
        <w:r w:rsidR="00C301D0">
          <w:rPr>
            <w:noProof/>
          </w:rPr>
          <w:t>6</w:t>
        </w:r>
      </w:fldSimple>
      <w:r w:rsidR="00DA1ADA">
        <w:noBreakHyphen/>
      </w:r>
      <w:fldSimple w:instr=" SEQ Figure \* ARABIC \s 1 ">
        <w:r w:rsidR="00C301D0">
          <w:rPr>
            <w:noProof/>
          </w:rPr>
          <w:t>4</w:t>
        </w:r>
      </w:fldSimple>
      <w:r w:rsidRPr="00CB115E">
        <w:t xml:space="preserve">: </w:t>
      </w:r>
      <w:r w:rsidR="004558F9">
        <w:t xml:space="preserve">Utility </w:t>
      </w:r>
      <w:r>
        <w:t>Cost per First-</w:t>
      </w:r>
      <w:r w:rsidRPr="00CB115E">
        <w:t>Year kWh</w:t>
      </w:r>
      <w:r w:rsidR="00093DFB">
        <w:t xml:space="preserve"> Saved</w:t>
      </w:r>
      <w:r w:rsidRPr="00CB115E">
        <w:t xml:space="preserve"> – Non-Residential Total</w:t>
      </w:r>
      <w:bookmarkEnd w:id="477"/>
      <w:bookmarkEnd w:id="478"/>
    </w:p>
    <w:p w:rsidR="00F874FE" w:rsidRDefault="00F874FE" w:rsidP="00F874FE">
      <w:pPr>
        <w:jc w:val="center"/>
      </w:pPr>
      <w:r>
        <w:rPr>
          <w:noProof/>
        </w:rPr>
        <w:drawing>
          <wp:inline distT="0" distB="0" distL="0" distR="0" wp14:anchorId="0E3CF6E1" wp14:editId="53D7DF51">
            <wp:extent cx="4609550" cy="2811584"/>
            <wp:effectExtent l="0" t="0" r="63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874FE" w:rsidRDefault="00F874FE" w:rsidP="00F874FE">
      <w:pPr>
        <w:pStyle w:val="Caption"/>
      </w:pPr>
    </w:p>
    <w:p w:rsidR="00F874FE" w:rsidRDefault="00F874FE" w:rsidP="00F874FE">
      <w:pPr>
        <w:pStyle w:val="Caption"/>
      </w:pPr>
    </w:p>
    <w:p w:rsidR="00F874FE" w:rsidRDefault="00F874FE" w:rsidP="00F874FE">
      <w:pPr>
        <w:pStyle w:val="Caption"/>
      </w:pPr>
    </w:p>
    <w:p w:rsidR="00F874FE" w:rsidRDefault="00F874FE" w:rsidP="00A25BE1">
      <w:pPr>
        <w:pStyle w:val="Caption"/>
      </w:pPr>
    </w:p>
    <w:p w:rsidR="00F874FE" w:rsidRDefault="00F874FE" w:rsidP="00A25BE1"/>
    <w:p w:rsidR="00F874FE" w:rsidRDefault="00F874FE" w:rsidP="00A25BE1"/>
    <w:p w:rsidR="00F874FE" w:rsidRDefault="00F874FE" w:rsidP="00A25BE1"/>
    <w:p w:rsidR="00F874FE" w:rsidRPr="00313653" w:rsidRDefault="00F874FE" w:rsidP="00A25BE1"/>
    <w:p w:rsidR="00F874FE" w:rsidRDefault="00F874FE" w:rsidP="00F874FE">
      <w:pPr>
        <w:pStyle w:val="Caption"/>
      </w:pPr>
    </w:p>
    <w:p w:rsidR="00F874FE" w:rsidRDefault="00F874FE" w:rsidP="00F874FE">
      <w:pPr>
        <w:pStyle w:val="Caption"/>
      </w:pPr>
    </w:p>
    <w:p w:rsidR="00F874FE" w:rsidRPr="00CB115E" w:rsidRDefault="00F874FE" w:rsidP="00F874FE">
      <w:pPr>
        <w:pStyle w:val="Caption"/>
      </w:pPr>
      <w:bookmarkStart w:id="479" w:name="_Toc472472245"/>
      <w:bookmarkStart w:id="480" w:name="_Toc476914060"/>
      <w:r w:rsidRPr="00CB115E">
        <w:lastRenderedPageBreak/>
        <w:t xml:space="preserve">Figure </w:t>
      </w:r>
      <w:fldSimple w:instr=" STYLEREF 1 \s ">
        <w:r w:rsidR="00C301D0">
          <w:rPr>
            <w:noProof/>
          </w:rPr>
          <w:t>6</w:t>
        </w:r>
      </w:fldSimple>
      <w:r w:rsidR="00DA1ADA">
        <w:noBreakHyphen/>
      </w:r>
      <w:fldSimple w:instr=" SEQ Figure \* ARABIC \s 1 ">
        <w:r w:rsidR="00C301D0">
          <w:rPr>
            <w:noProof/>
          </w:rPr>
          <w:t>5</w:t>
        </w:r>
      </w:fldSimple>
      <w:r w:rsidRPr="00CB115E">
        <w:t xml:space="preserve">: </w:t>
      </w:r>
      <w:r w:rsidR="004558F9">
        <w:t xml:space="preserve">Utility </w:t>
      </w:r>
      <w:r w:rsidRPr="00CB115E">
        <w:t>Cost per First</w:t>
      </w:r>
      <w:r>
        <w:t>-</w:t>
      </w:r>
      <w:r w:rsidRPr="00CB115E">
        <w:t>Year kWh</w:t>
      </w:r>
      <w:r w:rsidR="00093DFB">
        <w:t xml:space="preserve"> Saved</w:t>
      </w:r>
      <w:r w:rsidRPr="00CB115E">
        <w:t xml:space="preserve"> – Total All Sectors</w:t>
      </w:r>
      <w:bookmarkEnd w:id="479"/>
      <w:bookmarkEnd w:id="480"/>
    </w:p>
    <w:p w:rsidR="00F874FE" w:rsidRDefault="00F874FE" w:rsidP="00F874FE">
      <w:pPr>
        <w:jc w:val="center"/>
      </w:pPr>
      <w:r>
        <w:rPr>
          <w:noProof/>
        </w:rPr>
        <w:drawing>
          <wp:inline distT="0" distB="0" distL="0" distR="0" wp14:anchorId="1B9F0E81" wp14:editId="3FFC29CE">
            <wp:extent cx="4579632" cy="2811585"/>
            <wp:effectExtent l="0" t="0" r="0" b="825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874FE" w:rsidRDefault="00F874FE" w:rsidP="00F874FE">
      <w:pPr>
        <w:pStyle w:val="Caption"/>
      </w:pPr>
    </w:p>
    <w:p w:rsidR="00F874FE" w:rsidRPr="00CB115E" w:rsidRDefault="00F874FE" w:rsidP="00F874FE">
      <w:pPr>
        <w:pStyle w:val="Caption"/>
      </w:pPr>
      <w:bookmarkStart w:id="481" w:name="_Ref476043803"/>
      <w:bookmarkStart w:id="482" w:name="_Toc472472246"/>
      <w:bookmarkStart w:id="483" w:name="_Toc476914061"/>
      <w:r w:rsidRPr="00CB115E">
        <w:t xml:space="preserve">Figure </w:t>
      </w:r>
      <w:fldSimple w:instr=" STYLEREF 1 \s ">
        <w:r w:rsidR="00C301D0">
          <w:rPr>
            <w:noProof/>
          </w:rPr>
          <w:t>6</w:t>
        </w:r>
      </w:fldSimple>
      <w:r w:rsidR="00DA1ADA">
        <w:noBreakHyphen/>
      </w:r>
      <w:fldSimple w:instr=" SEQ Figure \* ARABIC \s 1 ">
        <w:r w:rsidR="00C301D0">
          <w:rPr>
            <w:noProof/>
          </w:rPr>
          <w:t>6</w:t>
        </w:r>
      </w:fldSimple>
      <w:bookmarkEnd w:id="481"/>
      <w:r w:rsidRPr="00CB115E">
        <w:t xml:space="preserve">: </w:t>
      </w:r>
      <w:r w:rsidR="004558F9">
        <w:t xml:space="preserve">Utility </w:t>
      </w:r>
      <w:r w:rsidRPr="00CB115E">
        <w:t>Cost per First</w:t>
      </w:r>
      <w:r>
        <w:t>-Year kWh</w:t>
      </w:r>
      <w:r w:rsidR="00093DFB">
        <w:t xml:space="preserve"> Saved</w:t>
      </w:r>
      <w:r>
        <w:t xml:space="preserve"> – All EDCs C</w:t>
      </w:r>
      <w:r w:rsidRPr="00CB115E">
        <w:t>ombined</w:t>
      </w:r>
      <w:bookmarkEnd w:id="482"/>
      <w:bookmarkEnd w:id="483"/>
    </w:p>
    <w:p w:rsidR="00F874FE" w:rsidRDefault="00F874FE" w:rsidP="00F874FE">
      <w:pPr>
        <w:jc w:val="center"/>
      </w:pPr>
      <w:r>
        <w:rPr>
          <w:noProof/>
        </w:rPr>
        <w:drawing>
          <wp:inline distT="0" distB="0" distL="0" distR="0" wp14:anchorId="47DC8D7E" wp14:editId="732CE373">
            <wp:extent cx="5943600" cy="217805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56C41" w:rsidRDefault="00E56C41" w:rsidP="00E56C41"/>
    <w:p w:rsidR="00F874FE" w:rsidRDefault="00F874FE" w:rsidP="00F874FE">
      <w:pPr>
        <w:pStyle w:val="Heading3"/>
        <w:numPr>
          <w:ilvl w:val="0"/>
          <w:numId w:val="0"/>
        </w:numPr>
      </w:pPr>
      <w:bookmarkStart w:id="484" w:name="_Toc472472144"/>
      <w:bookmarkStart w:id="485" w:name="_Toc476913956"/>
      <w:r>
        <w:t xml:space="preserve">6.2 </w:t>
      </w:r>
      <w:r w:rsidRPr="00E17793">
        <w:rPr>
          <w:color w:val="auto"/>
        </w:rPr>
        <w:t xml:space="preserve">Cumulative Annual Phase I and II </w:t>
      </w:r>
      <w:r>
        <w:rPr>
          <w:color w:val="auto"/>
        </w:rPr>
        <w:t>C</w:t>
      </w:r>
      <w:r w:rsidRPr="00E17793">
        <w:rPr>
          <w:color w:val="auto"/>
        </w:rPr>
        <w:t xml:space="preserve">ombined kWh </w:t>
      </w:r>
      <w:r>
        <w:rPr>
          <w:color w:val="auto"/>
        </w:rPr>
        <w:t>Savings</w:t>
      </w:r>
      <w:bookmarkEnd w:id="484"/>
      <w:bookmarkEnd w:id="485"/>
    </w:p>
    <w:p w:rsidR="00F874FE" w:rsidRDefault="00F874FE" w:rsidP="00F874FE">
      <w:r>
        <w:fldChar w:fldCharType="begin"/>
      </w:r>
      <w:r>
        <w:instrText xml:space="preserve"> REF _Ref472429905 \h </w:instrText>
      </w:r>
      <w:r>
        <w:fldChar w:fldCharType="separate"/>
      </w:r>
      <w:r w:rsidR="00C301D0">
        <w:t xml:space="preserve">Figure </w:t>
      </w:r>
      <w:r w:rsidR="00C301D0">
        <w:rPr>
          <w:noProof/>
        </w:rPr>
        <w:t>6</w:t>
      </w:r>
      <w:r w:rsidR="00C301D0">
        <w:noBreakHyphen/>
      </w:r>
      <w:r w:rsidR="00C301D0">
        <w:rPr>
          <w:noProof/>
        </w:rPr>
        <w:t>7</w:t>
      </w:r>
      <w:r>
        <w:fldChar w:fldCharType="end"/>
      </w:r>
      <w:r>
        <w:t xml:space="preserve"> shows the combined cumulative annual kWh savings at the end of Phases I and II</w:t>
      </w:r>
      <w:r w:rsidR="00093DFB">
        <w:t xml:space="preserve"> (results added for both P</w:t>
      </w:r>
      <w:r w:rsidR="004558F9">
        <w:t>ha</w:t>
      </w:r>
      <w:r w:rsidR="00093DFB">
        <w:t>ses)</w:t>
      </w:r>
      <w:r>
        <w:t xml:space="preserve"> as a percentage of the total baseline kWh sales for 2010 for each EDC. The savings percentages are very close across the EDCs, with PECO having the highest at 6.88% and West Penn the lowest at 5.35%.</w:t>
      </w:r>
    </w:p>
    <w:p w:rsidR="00F874FE" w:rsidRDefault="00F874FE" w:rsidP="00F874FE">
      <w:r>
        <w:t xml:space="preserve"> </w:t>
      </w:r>
    </w:p>
    <w:p w:rsidR="00F874FE" w:rsidRDefault="00F874FE" w:rsidP="00A25BE1"/>
    <w:p w:rsidR="00F874FE" w:rsidRDefault="00F874FE" w:rsidP="00F874FE">
      <w:pPr>
        <w:pStyle w:val="Caption"/>
      </w:pPr>
    </w:p>
    <w:p w:rsidR="00F874FE" w:rsidRDefault="00F874FE" w:rsidP="00A25BE1"/>
    <w:p w:rsidR="00F874FE" w:rsidRDefault="00F874FE" w:rsidP="00F874FE"/>
    <w:p w:rsidR="00F874FE" w:rsidRDefault="00F874FE" w:rsidP="00F874FE"/>
    <w:p w:rsidR="00F874FE" w:rsidRPr="00313653" w:rsidRDefault="00F874FE" w:rsidP="00F874FE"/>
    <w:p w:rsidR="00F874FE" w:rsidRDefault="00F874FE" w:rsidP="00F874FE">
      <w:pPr>
        <w:pStyle w:val="Caption"/>
      </w:pPr>
    </w:p>
    <w:p w:rsidR="00F874FE" w:rsidRPr="006356F7" w:rsidRDefault="00F874FE" w:rsidP="00F874FE">
      <w:pPr>
        <w:pStyle w:val="Caption"/>
        <w:rPr>
          <w:b w:val="0"/>
          <w:i/>
        </w:rPr>
      </w:pPr>
      <w:bookmarkStart w:id="486" w:name="_Ref472429905"/>
      <w:bookmarkStart w:id="487" w:name="_Toc472472247"/>
      <w:bookmarkStart w:id="488" w:name="_Toc476914062"/>
      <w:r>
        <w:lastRenderedPageBreak/>
        <w:t xml:space="preserve">Figure </w:t>
      </w:r>
      <w:fldSimple w:instr=" STYLEREF 1 \s ">
        <w:r w:rsidR="00C301D0">
          <w:rPr>
            <w:noProof/>
          </w:rPr>
          <w:t>6</w:t>
        </w:r>
      </w:fldSimple>
      <w:r w:rsidR="00DA1ADA">
        <w:noBreakHyphen/>
      </w:r>
      <w:fldSimple w:instr=" SEQ Figure \* ARABIC \s 1 ">
        <w:r w:rsidR="00C301D0">
          <w:rPr>
            <w:noProof/>
          </w:rPr>
          <w:t>7</w:t>
        </w:r>
      </w:fldSimple>
      <w:bookmarkEnd w:id="486"/>
      <w:r>
        <w:t xml:space="preserve">: </w:t>
      </w:r>
      <w:r w:rsidRPr="006356F7">
        <w:t>Combined Cumulative Annual kWh Savings as Percentage of 2010 Sales</w:t>
      </w:r>
      <w:bookmarkEnd w:id="487"/>
      <w:bookmarkEnd w:id="488"/>
    </w:p>
    <w:p w:rsidR="00F874FE" w:rsidRDefault="00F874FE" w:rsidP="00F874FE">
      <w:pPr>
        <w:jc w:val="center"/>
      </w:pPr>
      <w:r>
        <w:rPr>
          <w:noProof/>
        </w:rPr>
        <w:drawing>
          <wp:inline distT="0" distB="0" distL="0" distR="0" wp14:anchorId="1C1EBA53" wp14:editId="61DECC41">
            <wp:extent cx="5955030" cy="2381083"/>
            <wp:effectExtent l="0" t="0" r="762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67860" cy="2386213"/>
                    </a:xfrm>
                    <a:prstGeom prst="rect">
                      <a:avLst/>
                    </a:prstGeom>
                    <a:noFill/>
                  </pic:spPr>
                </pic:pic>
              </a:graphicData>
            </a:graphic>
          </wp:inline>
        </w:drawing>
      </w:r>
    </w:p>
    <w:p w:rsidR="00F874FE" w:rsidRDefault="00F874FE" w:rsidP="00F874FE"/>
    <w:p w:rsidR="00F874FE" w:rsidRDefault="00F874FE" w:rsidP="00F874FE">
      <w:r>
        <w:fldChar w:fldCharType="begin"/>
      </w:r>
      <w:r>
        <w:instrText xml:space="preserve"> REF _Ref472429895 \h </w:instrText>
      </w:r>
      <w:r>
        <w:fldChar w:fldCharType="separate"/>
      </w:r>
      <w:r w:rsidR="00C301D0">
        <w:t xml:space="preserve">Figure </w:t>
      </w:r>
      <w:r w:rsidR="00C301D0">
        <w:rPr>
          <w:noProof/>
        </w:rPr>
        <w:t>6</w:t>
      </w:r>
      <w:r w:rsidR="00C301D0">
        <w:noBreakHyphen/>
      </w:r>
      <w:r w:rsidR="00C301D0">
        <w:rPr>
          <w:noProof/>
        </w:rPr>
        <w:t>8</w:t>
      </w:r>
      <w:r>
        <w:fldChar w:fldCharType="end"/>
      </w:r>
      <w:r>
        <w:t xml:space="preserve"> shows the cumulative spending for Phases I and II as a percentage of the Phase I and II budgets. These percentages range from 78.58% (PECO) to 89.65% (PPL).</w:t>
      </w:r>
    </w:p>
    <w:p w:rsidR="00F874FE" w:rsidRDefault="00F874FE" w:rsidP="00F874FE"/>
    <w:p w:rsidR="00F874FE" w:rsidRPr="00EE643B" w:rsidRDefault="00F874FE" w:rsidP="00F874FE">
      <w:pPr>
        <w:pStyle w:val="Caption"/>
        <w:rPr>
          <w:b w:val="0"/>
          <w:i/>
        </w:rPr>
      </w:pPr>
      <w:bookmarkStart w:id="489" w:name="_Ref472429895"/>
      <w:bookmarkStart w:id="490" w:name="_Toc472472248"/>
      <w:bookmarkStart w:id="491" w:name="_Toc476914063"/>
      <w:r>
        <w:t xml:space="preserve">Figure </w:t>
      </w:r>
      <w:fldSimple w:instr=" STYLEREF 1 \s ">
        <w:r w:rsidR="00C301D0">
          <w:rPr>
            <w:noProof/>
          </w:rPr>
          <w:t>6</w:t>
        </w:r>
      </w:fldSimple>
      <w:r w:rsidR="00DA1ADA">
        <w:noBreakHyphen/>
      </w:r>
      <w:fldSimple w:instr=" SEQ Figure \* ARABIC \s 1 ">
        <w:r w:rsidR="00C301D0">
          <w:rPr>
            <w:noProof/>
          </w:rPr>
          <w:t>8</w:t>
        </w:r>
      </w:fldSimple>
      <w:bookmarkEnd w:id="489"/>
      <w:r>
        <w:t xml:space="preserve">: Cumulative </w:t>
      </w:r>
      <w:r w:rsidR="004558F9">
        <w:t xml:space="preserve">Utility </w:t>
      </w:r>
      <w:r>
        <w:t>Spending for Phases I and II as Percentage of Phase I and II Budgets</w:t>
      </w:r>
      <w:bookmarkEnd w:id="490"/>
      <w:bookmarkEnd w:id="491"/>
    </w:p>
    <w:p w:rsidR="00F874FE" w:rsidRDefault="00F874FE" w:rsidP="00F874FE">
      <w:pPr>
        <w:jc w:val="center"/>
      </w:pPr>
      <w:r>
        <w:rPr>
          <w:noProof/>
        </w:rPr>
        <w:drawing>
          <wp:inline distT="0" distB="0" distL="0" distR="0" wp14:anchorId="3B4ECC1B" wp14:editId="58F8F043">
            <wp:extent cx="5955527" cy="2518754"/>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63364" cy="2522068"/>
                    </a:xfrm>
                    <a:prstGeom prst="rect">
                      <a:avLst/>
                    </a:prstGeom>
                    <a:noFill/>
                  </pic:spPr>
                </pic:pic>
              </a:graphicData>
            </a:graphic>
          </wp:inline>
        </w:drawing>
      </w:r>
    </w:p>
    <w:p w:rsidR="00004534" w:rsidRDefault="00004534" w:rsidP="00472B27">
      <w:pPr>
        <w:pStyle w:val="Heading2"/>
      </w:pPr>
      <w:r w:rsidRPr="00CA4CB7">
        <w:br w:type="page"/>
      </w:r>
    </w:p>
    <w:p w:rsidR="00004534" w:rsidRPr="00530F17" w:rsidRDefault="00004534" w:rsidP="00472B27">
      <w:pPr>
        <w:pStyle w:val="Heading1"/>
      </w:pPr>
      <w:bookmarkStart w:id="492" w:name="_Ref472258110"/>
      <w:bookmarkStart w:id="493" w:name="_Toc472472145"/>
      <w:bookmarkStart w:id="494" w:name="_Toc476913957"/>
      <w:r>
        <w:lastRenderedPageBreak/>
        <w:t>Findings, Conclusions, and Recommendations</w:t>
      </w:r>
      <w:bookmarkEnd w:id="492"/>
      <w:bookmarkEnd w:id="493"/>
      <w:bookmarkEnd w:id="494"/>
    </w:p>
    <w:p w:rsidR="00516B91" w:rsidRDefault="00516B91" w:rsidP="00FC0BC7">
      <w:pPr>
        <w:spacing w:after="120"/>
      </w:pPr>
      <w:r>
        <w:t xml:space="preserve">The </w:t>
      </w:r>
      <w:r w:rsidR="00014A5E">
        <w:t>SWE</w:t>
      </w:r>
      <w:r>
        <w:t xml:space="preserve"> Team, led by GDS, has worked diligently to guide the implementation of Act 129 from its inception and has improved the overall process through two phases of hard work from all parties involved including</w:t>
      </w:r>
      <w:r w:rsidR="00014A5E">
        <w:t xml:space="preserve">, the EDCs, TUS, </w:t>
      </w:r>
      <w:r w:rsidR="00137DDC">
        <w:t>evaluation</w:t>
      </w:r>
      <w:r w:rsidR="006B6E78">
        <w:t xml:space="preserve"> contractors</w:t>
      </w:r>
      <w:r w:rsidR="0040730A">
        <w:t>,</w:t>
      </w:r>
      <w:r w:rsidR="00014A5E">
        <w:t xml:space="preserve"> </w:t>
      </w:r>
      <w:r w:rsidR="006B6E78">
        <w:t xml:space="preserve">program implementation </w:t>
      </w:r>
      <w:r w:rsidR="00014A5E">
        <w:t>contractors, and s</w:t>
      </w:r>
      <w:r>
        <w:t>takeholders</w:t>
      </w:r>
      <w:r w:rsidR="00014A5E">
        <w:t>. Highlights of Phase II are</w:t>
      </w:r>
      <w:r>
        <w:t>:</w:t>
      </w:r>
    </w:p>
    <w:p w:rsidR="00516B91" w:rsidRPr="00E241E1" w:rsidRDefault="00516B91" w:rsidP="00E646C9">
      <w:pPr>
        <w:pStyle w:val="ListParagraph"/>
        <w:numPr>
          <w:ilvl w:val="0"/>
          <w:numId w:val="46"/>
        </w:numPr>
        <w:spacing w:after="160" w:line="259" w:lineRule="auto"/>
        <w:ind w:left="360"/>
      </w:pPr>
      <w:r>
        <w:rPr>
          <w:i/>
        </w:rPr>
        <w:t>Finding 1 – All EDCs met their compliance targets for energy savings, low-income</w:t>
      </w:r>
      <w:r w:rsidR="00014A5E">
        <w:rPr>
          <w:i/>
        </w:rPr>
        <w:t>,</w:t>
      </w:r>
      <w:r>
        <w:rPr>
          <w:i/>
        </w:rPr>
        <w:t xml:space="preserve"> and GNI carve-outs</w:t>
      </w:r>
      <w:r w:rsidR="00014A5E">
        <w:rPr>
          <w:i/>
        </w:rPr>
        <w:t>.</w:t>
      </w:r>
    </w:p>
    <w:p w:rsidR="00516B91" w:rsidRPr="00E241E1" w:rsidRDefault="00516B91" w:rsidP="00E646C9">
      <w:pPr>
        <w:pStyle w:val="ListParagraph"/>
        <w:numPr>
          <w:ilvl w:val="0"/>
          <w:numId w:val="46"/>
        </w:numPr>
        <w:spacing w:after="160" w:line="259" w:lineRule="auto"/>
        <w:ind w:left="360"/>
      </w:pPr>
      <w:r>
        <w:rPr>
          <w:i/>
        </w:rPr>
        <w:t>Finding 2 –</w:t>
      </w:r>
      <w:r w:rsidR="006B6E78">
        <w:rPr>
          <w:i/>
        </w:rPr>
        <w:t xml:space="preserve">During </w:t>
      </w:r>
      <w:r w:rsidRPr="00516B91">
        <w:rPr>
          <w:i/>
        </w:rPr>
        <w:t>Phase II</w:t>
      </w:r>
      <w:r w:rsidR="006B6E78">
        <w:rPr>
          <w:i/>
        </w:rPr>
        <w:t>, five of the seven Pennsylvania EDCs</w:t>
      </w:r>
      <w:r w:rsidRPr="00516B91">
        <w:rPr>
          <w:i/>
        </w:rPr>
        <w:t xml:space="preserve"> exceeded the</w:t>
      </w:r>
      <w:r w:rsidR="006B6E78">
        <w:rPr>
          <w:i/>
        </w:rPr>
        <w:t>ir Phase II savings</w:t>
      </w:r>
      <w:r w:rsidRPr="00516B91">
        <w:rPr>
          <w:i/>
        </w:rPr>
        <w:t xml:space="preserve"> targets without accounting for Phase I carr</w:t>
      </w:r>
      <w:r w:rsidR="00014A5E">
        <w:rPr>
          <w:i/>
        </w:rPr>
        <w:t>yover savings</w:t>
      </w:r>
      <w:r w:rsidR="006B6E78">
        <w:rPr>
          <w:i/>
        </w:rPr>
        <w:t>.</w:t>
      </w:r>
      <w:r w:rsidR="00014A5E">
        <w:rPr>
          <w:i/>
        </w:rPr>
        <w:t xml:space="preserve"> PPL and PECO </w:t>
      </w:r>
      <w:r w:rsidR="006B6E78">
        <w:rPr>
          <w:i/>
        </w:rPr>
        <w:t xml:space="preserve">had to make use of </w:t>
      </w:r>
      <w:r w:rsidRPr="00516B91">
        <w:rPr>
          <w:i/>
        </w:rPr>
        <w:t>the</w:t>
      </w:r>
      <w:r w:rsidR="00F40B6D">
        <w:rPr>
          <w:i/>
        </w:rPr>
        <w:t>ir Phase I</w:t>
      </w:r>
      <w:r w:rsidRPr="00516B91">
        <w:rPr>
          <w:i/>
        </w:rPr>
        <w:t xml:space="preserve"> carryover savings to meet their respective </w:t>
      </w:r>
      <w:r w:rsidR="006B6E78">
        <w:rPr>
          <w:i/>
        </w:rPr>
        <w:t xml:space="preserve">Phase II savings </w:t>
      </w:r>
      <w:r w:rsidRPr="00516B91">
        <w:rPr>
          <w:i/>
        </w:rPr>
        <w:t>targets</w:t>
      </w:r>
      <w:r w:rsidR="003763DA">
        <w:rPr>
          <w:i/>
        </w:rPr>
        <w:t xml:space="preserve"> (as </w:t>
      </w:r>
      <w:r w:rsidR="00CA6476">
        <w:rPr>
          <w:i/>
        </w:rPr>
        <w:t>designed</w:t>
      </w:r>
      <w:r w:rsidR="003763DA">
        <w:rPr>
          <w:i/>
        </w:rPr>
        <w:t xml:space="preserve"> in their EE&amp;C Plans)</w:t>
      </w:r>
      <w:r w:rsidRPr="00516B91">
        <w:rPr>
          <w:i/>
        </w:rPr>
        <w:t>, though their Phase II energy savings achievements were strong as well.</w:t>
      </w:r>
      <w:r w:rsidR="006B6E78" w:rsidRPr="00A25BE1">
        <w:rPr>
          <w:i/>
        </w:rPr>
        <w:t xml:space="preserve"> </w:t>
      </w:r>
      <w:r w:rsidR="006B6E78">
        <w:rPr>
          <w:i/>
        </w:rPr>
        <w:t>It is important to note that PECO and PPL have no carry-over savings for Phase III.</w:t>
      </w:r>
      <w:r>
        <w:rPr>
          <w:i/>
          <w:highlight w:val="yellow"/>
        </w:rPr>
        <w:t xml:space="preserve"> </w:t>
      </w:r>
    </w:p>
    <w:p w:rsidR="00516B91" w:rsidRPr="00516B91" w:rsidRDefault="00516B91" w:rsidP="00E646C9">
      <w:pPr>
        <w:pStyle w:val="ListParagraph"/>
        <w:numPr>
          <w:ilvl w:val="0"/>
          <w:numId w:val="46"/>
        </w:numPr>
        <w:ind w:left="360"/>
        <w:contextualSpacing w:val="0"/>
      </w:pPr>
      <w:r>
        <w:rPr>
          <w:i/>
        </w:rPr>
        <w:t xml:space="preserve">Finding 3 </w:t>
      </w:r>
      <w:r w:rsidRPr="00516B91">
        <w:rPr>
          <w:i/>
        </w:rPr>
        <w:t>– The TRC</w:t>
      </w:r>
      <w:r w:rsidR="006B6E78">
        <w:rPr>
          <w:i/>
        </w:rPr>
        <w:t xml:space="preserve"> ratio</w:t>
      </w:r>
      <w:r w:rsidRPr="00516B91">
        <w:rPr>
          <w:i/>
        </w:rPr>
        <w:t xml:space="preserve"> results were strong in each year of Phase II. The </w:t>
      </w:r>
      <w:r w:rsidR="006B6E78">
        <w:rPr>
          <w:i/>
        </w:rPr>
        <w:t xml:space="preserve">overall statewide </w:t>
      </w:r>
      <w:r w:rsidRPr="00516B91">
        <w:rPr>
          <w:i/>
        </w:rPr>
        <w:t xml:space="preserve">TRC ratio was </w:t>
      </w:r>
      <w:r w:rsidR="00014A5E" w:rsidRPr="00516B91">
        <w:rPr>
          <w:i/>
        </w:rPr>
        <w:t>1.</w:t>
      </w:r>
      <w:r w:rsidR="00BD283A">
        <w:rPr>
          <w:i/>
        </w:rPr>
        <w:t>7</w:t>
      </w:r>
      <w:r w:rsidR="00014A5E" w:rsidRPr="00516B91">
        <w:rPr>
          <w:i/>
        </w:rPr>
        <w:t xml:space="preserve"> in PY5, 1</w:t>
      </w:r>
      <w:r w:rsidR="00BD283A">
        <w:rPr>
          <w:i/>
        </w:rPr>
        <w:t>.6</w:t>
      </w:r>
      <w:r w:rsidR="00014A5E" w:rsidRPr="00516B91">
        <w:rPr>
          <w:i/>
        </w:rPr>
        <w:t xml:space="preserve"> in PY6</w:t>
      </w:r>
      <w:r w:rsidR="00014A5E">
        <w:rPr>
          <w:i/>
        </w:rPr>
        <w:t>,</w:t>
      </w:r>
      <w:r w:rsidR="00014A5E" w:rsidRPr="00516B91">
        <w:rPr>
          <w:i/>
        </w:rPr>
        <w:t xml:space="preserve"> and 1.</w:t>
      </w:r>
      <w:r w:rsidR="00BD283A">
        <w:rPr>
          <w:i/>
        </w:rPr>
        <w:t>7</w:t>
      </w:r>
      <w:r w:rsidR="00014A5E" w:rsidRPr="00516B91">
        <w:rPr>
          <w:i/>
        </w:rPr>
        <w:t xml:space="preserve"> in PY7</w:t>
      </w:r>
      <w:r w:rsidRPr="00516B91">
        <w:rPr>
          <w:i/>
        </w:rPr>
        <w:t xml:space="preserve">. </w:t>
      </w:r>
    </w:p>
    <w:p w:rsidR="00A07AB2" w:rsidRDefault="00A07AB2" w:rsidP="00FC0BC7">
      <w:pPr>
        <w:spacing w:after="120"/>
      </w:pPr>
    </w:p>
    <w:p w:rsidR="00516B91" w:rsidRDefault="00516B91" w:rsidP="00FC0BC7">
      <w:pPr>
        <w:spacing w:after="120"/>
      </w:pPr>
      <w:r>
        <w:t>It is notable that efficiencies were gained in many aspects of program delivery by the EDCs since Phase I</w:t>
      </w:r>
      <w:r w:rsidR="00480BDD">
        <w:t>,</w:t>
      </w:r>
      <w:r>
        <w:t xml:space="preserve"> and likewise by the staff assigned to provide implementation and evaluation. Adjusting through the changes in the product delivery market and code legislation, the actors in the Act 129 program improved the cost</w:t>
      </w:r>
      <w:r w:rsidR="00480BDD">
        <w:t>-</w:t>
      </w:r>
      <w:r>
        <w:t xml:space="preserve">effectiveness of many parts of the portfolios and introduced </w:t>
      </w:r>
      <w:r w:rsidR="00480BDD">
        <w:t>a significant number</w:t>
      </w:r>
      <w:r>
        <w:t xml:space="preserve"> of innovative pilot programs and measures. Some of these efforts are:</w:t>
      </w:r>
    </w:p>
    <w:p w:rsidR="00516B91" w:rsidRDefault="00516B91" w:rsidP="00E646C9">
      <w:pPr>
        <w:pStyle w:val="ListParagraph"/>
        <w:numPr>
          <w:ilvl w:val="0"/>
          <w:numId w:val="46"/>
        </w:numPr>
        <w:spacing w:after="160" w:line="259" w:lineRule="auto"/>
        <w:ind w:left="360"/>
      </w:pPr>
      <w:r>
        <w:t xml:space="preserve">Smart thermostat measure creation </w:t>
      </w:r>
    </w:p>
    <w:p w:rsidR="00516B91" w:rsidRDefault="00516B91" w:rsidP="00E646C9">
      <w:pPr>
        <w:pStyle w:val="ListParagraph"/>
        <w:numPr>
          <w:ilvl w:val="0"/>
          <w:numId w:val="46"/>
        </w:numPr>
        <w:spacing w:after="160" w:line="259" w:lineRule="auto"/>
        <w:ind w:left="360"/>
      </w:pPr>
      <w:r>
        <w:t xml:space="preserve">De </w:t>
      </w:r>
      <w:r w:rsidR="0077746F">
        <w:t>f</w:t>
      </w:r>
      <w:r>
        <w:t xml:space="preserve">acto Heating Pilot measure creation </w:t>
      </w:r>
    </w:p>
    <w:p w:rsidR="00516B91" w:rsidRDefault="00480BDD" w:rsidP="00E646C9">
      <w:pPr>
        <w:pStyle w:val="ListParagraph"/>
        <w:numPr>
          <w:ilvl w:val="0"/>
          <w:numId w:val="46"/>
        </w:numPr>
        <w:spacing w:after="160" w:line="259" w:lineRule="auto"/>
        <w:ind w:left="360"/>
      </w:pPr>
      <w:r>
        <w:t>HVAC m</w:t>
      </w:r>
      <w:r w:rsidR="00516B91">
        <w:t>ini-split savings modification</w:t>
      </w:r>
    </w:p>
    <w:p w:rsidR="00516B91" w:rsidRPr="0078175B" w:rsidRDefault="00516B91" w:rsidP="00516B91">
      <w:pPr>
        <w:pStyle w:val="ListParagraph"/>
        <w:rPr>
          <w:highlight w:val="yellow"/>
        </w:rPr>
      </w:pPr>
    </w:p>
    <w:p w:rsidR="00516B91" w:rsidRDefault="00516B91" w:rsidP="00FC0BC7">
      <w:pPr>
        <w:spacing w:after="120"/>
      </w:pPr>
      <w:r>
        <w:t xml:space="preserve">Additionally, </w:t>
      </w:r>
      <w:r w:rsidR="00480BDD">
        <w:t>several studies</w:t>
      </w:r>
      <w:r>
        <w:t xml:space="preserve"> were performed by the SWE during Phase II:</w:t>
      </w:r>
    </w:p>
    <w:p w:rsidR="00516B91" w:rsidRDefault="00516B91" w:rsidP="00E646C9">
      <w:pPr>
        <w:pStyle w:val="ListParagraph"/>
        <w:numPr>
          <w:ilvl w:val="0"/>
          <w:numId w:val="46"/>
        </w:numPr>
        <w:spacing w:after="160" w:line="259" w:lineRule="auto"/>
        <w:ind w:left="360"/>
      </w:pPr>
      <w:r w:rsidRPr="00805221">
        <w:t xml:space="preserve">Pennsylvania Statewide Residential </w:t>
      </w:r>
      <w:r>
        <w:t>and Commercial Baseline Study, April, 2014</w:t>
      </w:r>
    </w:p>
    <w:p w:rsidR="00516B91" w:rsidRDefault="00516B91" w:rsidP="00E646C9">
      <w:pPr>
        <w:pStyle w:val="ListParagraph"/>
        <w:numPr>
          <w:ilvl w:val="0"/>
          <w:numId w:val="46"/>
        </w:numPr>
        <w:spacing w:after="160" w:line="259" w:lineRule="auto"/>
        <w:ind w:left="360"/>
      </w:pPr>
      <w:r>
        <w:t>SWE</w:t>
      </w:r>
      <w:r w:rsidRPr="00805221">
        <w:t xml:space="preserve"> Energy Efficiency Potential</w:t>
      </w:r>
      <w:r>
        <w:t xml:space="preserve"> Study</w:t>
      </w:r>
      <w:r w:rsidRPr="00805221">
        <w:t xml:space="preserve"> for Pennsylvania, </w:t>
      </w:r>
      <w:r>
        <w:t>February, 2015</w:t>
      </w:r>
    </w:p>
    <w:p w:rsidR="00516B91" w:rsidRDefault="00516B91" w:rsidP="00E646C9">
      <w:pPr>
        <w:pStyle w:val="ListParagraph"/>
        <w:numPr>
          <w:ilvl w:val="0"/>
          <w:numId w:val="46"/>
        </w:numPr>
        <w:spacing w:after="160" w:line="259" w:lineRule="auto"/>
        <w:ind w:left="360"/>
      </w:pPr>
      <w:r w:rsidRPr="006C254A">
        <w:t>Distributed Generation Potential Study</w:t>
      </w:r>
      <w:r>
        <w:t>, April, 2015</w:t>
      </w:r>
    </w:p>
    <w:p w:rsidR="00516B91" w:rsidRDefault="00516B91" w:rsidP="00E646C9">
      <w:pPr>
        <w:pStyle w:val="ListParagraph"/>
        <w:numPr>
          <w:ilvl w:val="0"/>
          <w:numId w:val="46"/>
        </w:numPr>
        <w:spacing w:after="160" w:line="259" w:lineRule="auto"/>
        <w:ind w:left="360"/>
      </w:pPr>
      <w:r w:rsidRPr="00FB5E5A">
        <w:t>Demand Response Potential for Pennsylvania, February, 2015</w:t>
      </w:r>
    </w:p>
    <w:p w:rsidR="00516B91" w:rsidRDefault="00516B91" w:rsidP="00E646C9">
      <w:pPr>
        <w:pStyle w:val="ListParagraph"/>
        <w:numPr>
          <w:ilvl w:val="0"/>
          <w:numId w:val="46"/>
        </w:numPr>
        <w:spacing w:after="160" w:line="259" w:lineRule="auto"/>
        <w:ind w:left="360"/>
      </w:pPr>
      <w:r w:rsidRPr="00757A0C">
        <w:t>Residential Behavioral Program Persistence Study</w:t>
      </w:r>
      <w:r w:rsidR="00480BDD">
        <w:t xml:space="preserve">, </w:t>
      </w:r>
      <w:r w:rsidR="00B65A9D">
        <w:t>December, 2015</w:t>
      </w:r>
    </w:p>
    <w:p w:rsidR="00516B91" w:rsidRDefault="00516B91" w:rsidP="00E646C9">
      <w:pPr>
        <w:pStyle w:val="ListParagraph"/>
        <w:numPr>
          <w:ilvl w:val="0"/>
          <w:numId w:val="46"/>
        </w:numPr>
        <w:spacing w:after="160" w:line="259" w:lineRule="auto"/>
        <w:ind w:left="360"/>
      </w:pPr>
      <w:r w:rsidRPr="003544B9">
        <w:t>Statewide Commercial and Residential Light Metering Study</w:t>
      </w:r>
      <w:r w:rsidR="00B65A9D">
        <w:t>, January, 2014</w:t>
      </w:r>
    </w:p>
    <w:p w:rsidR="00073ECB" w:rsidRDefault="00073ECB" w:rsidP="00073ECB">
      <w:r>
        <w:t xml:space="preserve">Please see Appendix </w:t>
      </w:r>
      <w:r w:rsidR="00480BDD">
        <w:t>E</w:t>
      </w:r>
      <w:r>
        <w:t xml:space="preserve"> for a compendium of Phase II reports and memos for more information.</w:t>
      </w:r>
    </w:p>
    <w:p w:rsidR="00073ECB" w:rsidRPr="00073ECB" w:rsidRDefault="00073ECB" w:rsidP="00073ECB"/>
    <w:p w:rsidR="00516B91" w:rsidRPr="00FC0BC7" w:rsidRDefault="00516B91" w:rsidP="00516B91">
      <w:pPr>
        <w:rPr>
          <w:rFonts w:ascii="Century Gothic" w:hAnsi="Century Gothic"/>
          <w:b/>
          <w:sz w:val="24"/>
          <w:szCs w:val="24"/>
        </w:rPr>
      </w:pPr>
      <w:r w:rsidRPr="00FC0BC7">
        <w:rPr>
          <w:rFonts w:ascii="Century Gothic" w:hAnsi="Century Gothic"/>
          <w:b/>
          <w:sz w:val="24"/>
          <w:szCs w:val="24"/>
        </w:rPr>
        <w:t>Recommendations</w:t>
      </w:r>
    </w:p>
    <w:p w:rsidR="00516B91" w:rsidRDefault="000D3721" w:rsidP="00FC0BC7">
      <w:pPr>
        <w:spacing w:after="120"/>
      </w:pPr>
      <w:r>
        <w:t>The SWE Team makes the following recommendations to the Commission to help maintain and improve future Act 129 activities. This consolidated list</w:t>
      </w:r>
      <w:r w:rsidR="00480BDD">
        <w:t xml:space="preserve"> is</w:t>
      </w:r>
      <w:r>
        <w:t xml:space="preserve"> based on the findings and recommendations in the </w:t>
      </w:r>
      <w:r>
        <w:fldChar w:fldCharType="begin"/>
      </w:r>
      <w:r>
        <w:instrText xml:space="preserve"> REF _Ref472258019 \h </w:instrText>
      </w:r>
      <w:r>
        <w:fldChar w:fldCharType="separate"/>
      </w:r>
      <w:r w:rsidR="00C301D0" w:rsidRPr="00DA1ADA">
        <w:t>Executive Summary</w:t>
      </w:r>
      <w:r>
        <w:fldChar w:fldCharType="end"/>
      </w:r>
      <w:r>
        <w:t>.</w:t>
      </w:r>
    </w:p>
    <w:p w:rsidR="00743C18" w:rsidRPr="003D41F4" w:rsidRDefault="00743C18" w:rsidP="00E646C9">
      <w:pPr>
        <w:numPr>
          <w:ilvl w:val="0"/>
          <w:numId w:val="44"/>
        </w:numPr>
        <w:spacing w:after="120"/>
        <w:ind w:left="360"/>
        <w:rPr>
          <w:szCs w:val="20"/>
        </w:rPr>
      </w:pPr>
      <w:r w:rsidRPr="003D41F4">
        <w:rPr>
          <w:szCs w:val="20"/>
        </w:rPr>
        <w:t>The SWE Team reviewed EDC reported and evaluated savings and generally affirm</w:t>
      </w:r>
      <w:r>
        <w:rPr>
          <w:szCs w:val="20"/>
        </w:rPr>
        <w:t>s</w:t>
      </w:r>
      <w:r w:rsidRPr="003D41F4">
        <w:rPr>
          <w:szCs w:val="20"/>
        </w:rPr>
        <w:t xml:space="preserve"> their validity. The SWE Team does</w:t>
      </w:r>
      <w:r>
        <w:rPr>
          <w:szCs w:val="20"/>
        </w:rPr>
        <w:t>,</w:t>
      </w:r>
      <w:r w:rsidRPr="003D41F4">
        <w:rPr>
          <w:szCs w:val="20"/>
        </w:rPr>
        <w:t xml:space="preserve"> however</w:t>
      </w:r>
      <w:r>
        <w:rPr>
          <w:szCs w:val="20"/>
        </w:rPr>
        <w:t>,</w:t>
      </w:r>
      <w:r w:rsidRPr="003D41F4">
        <w:rPr>
          <w:szCs w:val="20"/>
        </w:rPr>
        <w:t xml:space="preserve"> note </w:t>
      </w:r>
      <w:r>
        <w:rPr>
          <w:szCs w:val="20"/>
        </w:rPr>
        <w:t>a few</w:t>
      </w:r>
      <w:r w:rsidRPr="003D41F4">
        <w:rPr>
          <w:szCs w:val="20"/>
        </w:rPr>
        <w:t xml:space="preserve"> small errors in the calculations of reported MWh and MW savings</w:t>
      </w:r>
      <w:r w:rsidRPr="009A5F8F">
        <w:rPr>
          <w:szCs w:val="20"/>
        </w:rPr>
        <w:t xml:space="preserve"> </w:t>
      </w:r>
      <w:r w:rsidRPr="00EC756E">
        <w:rPr>
          <w:szCs w:val="20"/>
        </w:rPr>
        <w:t>for some of the EDCs</w:t>
      </w:r>
      <w:r w:rsidRPr="003D41F4">
        <w:rPr>
          <w:szCs w:val="20"/>
        </w:rPr>
        <w:t xml:space="preserve">. For example, </w:t>
      </w:r>
      <w:r w:rsidRPr="003D41F4">
        <w:t>some EDCs did not use the applicable Pennsylvania TRM values or algorithms when reporting gross verified savings for some energy efficiency measures.</w:t>
      </w:r>
      <w:r w:rsidRPr="003D41F4">
        <w:rPr>
          <w:szCs w:val="20"/>
        </w:rPr>
        <w:t xml:space="preserve"> </w:t>
      </w:r>
      <w:r w:rsidRPr="003D41F4">
        <w:t xml:space="preserve">This report identifies where such errors have been made and makes recommendations on how they should be corrected. </w:t>
      </w:r>
      <w:r w:rsidRPr="003D41F4">
        <w:rPr>
          <w:szCs w:val="20"/>
        </w:rPr>
        <w:t>The SWE Team recommends that any errors in reported</w:t>
      </w:r>
      <w:r>
        <w:rPr>
          <w:szCs w:val="20"/>
        </w:rPr>
        <w:t xml:space="preserve"> PY5, PY6 or</w:t>
      </w:r>
      <w:r w:rsidRPr="003D41F4">
        <w:rPr>
          <w:szCs w:val="20"/>
        </w:rPr>
        <w:t xml:space="preserve"> PY7 verified </w:t>
      </w:r>
      <w:r>
        <w:rPr>
          <w:szCs w:val="20"/>
        </w:rPr>
        <w:lastRenderedPageBreak/>
        <w:t xml:space="preserve">incremental or cumulative annual </w:t>
      </w:r>
      <w:r w:rsidRPr="003D41F4">
        <w:rPr>
          <w:szCs w:val="20"/>
        </w:rPr>
        <w:t xml:space="preserve">MWh or MW savings or reported benefit/cost calculations for an </w:t>
      </w:r>
      <w:r w:rsidRPr="003D41F4">
        <w:t>EDC be corrected</w:t>
      </w:r>
      <w:r w:rsidR="00D51D9D">
        <w:rPr>
          <w:rStyle w:val="FootnoteReference"/>
        </w:rPr>
        <w:footnoteReference w:id="44"/>
      </w:r>
      <w:r w:rsidRPr="003D41F4">
        <w:t xml:space="preserve"> and </w:t>
      </w:r>
      <w:r>
        <w:t xml:space="preserve">that </w:t>
      </w:r>
      <w:r w:rsidRPr="003D41F4">
        <w:t>a revised EDC final Phase II annual report be filed with the Commission by May 31, 2017.</w:t>
      </w:r>
      <w:r w:rsidRPr="003D41F4">
        <w:rPr>
          <w:rStyle w:val="FootnoteReference"/>
        </w:rPr>
        <w:footnoteReference w:id="45"/>
      </w:r>
    </w:p>
    <w:p w:rsidR="00CD1942" w:rsidRPr="00A43D08" w:rsidRDefault="00CD1942" w:rsidP="00E646C9">
      <w:pPr>
        <w:numPr>
          <w:ilvl w:val="0"/>
          <w:numId w:val="44"/>
        </w:numPr>
        <w:spacing w:after="120"/>
        <w:ind w:left="360"/>
        <w:rPr>
          <w:szCs w:val="20"/>
        </w:rPr>
      </w:pPr>
      <w:r w:rsidRPr="00A43D08">
        <w:t>In the SWE’s PY6 report, the SWE</w:t>
      </w:r>
      <w:r w:rsidRPr="00A43D08">
        <w:rPr>
          <w:bCs/>
          <w:lang w:val="x-none"/>
        </w:rPr>
        <w:t xml:space="preserve"> recommended that net-to-gross (NTG) research be conducted for all market segments where an EDC offers Act 129 programs, including the residential low-income sector</w:t>
      </w:r>
      <w:r w:rsidRPr="00A43D08">
        <w:rPr>
          <w:bCs/>
        </w:rPr>
        <w:t>.</w:t>
      </w:r>
      <w:r w:rsidRPr="00A43D08">
        <w:rPr>
          <w:bCs/>
          <w:vertAlign w:val="superscript"/>
        </w:rPr>
        <w:footnoteReference w:id="46"/>
      </w:r>
      <w:r w:rsidRPr="00A43D08">
        <w:rPr>
          <w:bCs/>
        </w:rPr>
        <w:t xml:space="preserve"> During PY7, six of the seven EDCs followed this recommendation. The EDCs </w:t>
      </w:r>
      <w:r>
        <w:rPr>
          <w:bCs/>
        </w:rPr>
        <w:t xml:space="preserve">conducted primary research and found </w:t>
      </w:r>
      <w:r w:rsidRPr="00A43D08">
        <w:rPr>
          <w:bCs/>
        </w:rPr>
        <w:t xml:space="preserve">that the NTG ratios (NTGRs) for their low-income programs ranged from 81% to 90%. This research shows that the NTGR for low-income programs is not 100%. </w:t>
      </w:r>
      <w:r>
        <w:rPr>
          <w:bCs/>
        </w:rPr>
        <w:t xml:space="preserve">An NTGR below 100% indicates that some of the program participants could have completed some of the upgrades on their own. This information is useful for program planning and design to ensure that measures are targeted to customers who cannot install them on their own. </w:t>
      </w:r>
      <w:r w:rsidRPr="00A43D08">
        <w:rPr>
          <w:bCs/>
        </w:rPr>
        <w:t xml:space="preserve">Going forward, the Phase II SWE Team recommends that NTG market research for residential low-income programs be conducted at least once in every Act 129 Phase. The Phase II SWE Team also recommends that the Commission consider setting the default NTGR ratio for Phase III for residential low-income programs </w:t>
      </w:r>
      <w:r>
        <w:rPr>
          <w:bCs/>
        </w:rPr>
        <w:t>at</w:t>
      </w:r>
      <w:r w:rsidRPr="00A43D08">
        <w:rPr>
          <w:bCs/>
        </w:rPr>
        <w:t xml:space="preserve"> 90 percent given the NTGR research results</w:t>
      </w:r>
      <w:r>
        <w:rPr>
          <w:bCs/>
        </w:rPr>
        <w:t xml:space="preserve"> in Phase II.</w:t>
      </w:r>
    </w:p>
    <w:p w:rsidR="00743C18" w:rsidRPr="003678AD" w:rsidRDefault="00743C18" w:rsidP="00E646C9">
      <w:pPr>
        <w:numPr>
          <w:ilvl w:val="0"/>
          <w:numId w:val="44"/>
        </w:numPr>
        <w:spacing w:after="120"/>
        <w:ind w:left="360"/>
        <w:rPr>
          <w:szCs w:val="20"/>
        </w:rPr>
      </w:pPr>
      <w:r w:rsidRPr="003678AD">
        <w:rPr>
          <w:szCs w:val="20"/>
        </w:rPr>
        <w:t xml:space="preserve">The overall TRC test </w:t>
      </w:r>
      <w:r w:rsidRPr="006A5AC1">
        <w:t xml:space="preserve">benefit/cost </w:t>
      </w:r>
      <w:r>
        <w:t>ratio (</w:t>
      </w:r>
      <w:r w:rsidRPr="003678AD">
        <w:rPr>
          <w:szCs w:val="20"/>
        </w:rPr>
        <w:t>B/C ratio</w:t>
      </w:r>
      <w:r>
        <w:rPr>
          <w:szCs w:val="20"/>
        </w:rPr>
        <w:t>)</w:t>
      </w:r>
      <w:r w:rsidRPr="003678AD">
        <w:rPr>
          <w:szCs w:val="20"/>
        </w:rPr>
        <w:t>, as reported by the EDCs and consolidated across each EDC for PY7</w:t>
      </w:r>
      <w:r w:rsidRPr="006814F5">
        <w:rPr>
          <w:szCs w:val="20"/>
        </w:rPr>
        <w:t>, is 1.8. The net present</w:t>
      </w:r>
      <w:r w:rsidRPr="003678AD">
        <w:rPr>
          <w:szCs w:val="20"/>
        </w:rPr>
        <w:t xml:space="preserve"> value (NPV) savings to Pennsylvania ratepayers reported by the EDCs for PY7 </w:t>
      </w:r>
      <w:r w:rsidRPr="00DB46DD">
        <w:rPr>
          <w:szCs w:val="20"/>
        </w:rPr>
        <w:t xml:space="preserve">is </w:t>
      </w:r>
      <w:r w:rsidRPr="00DB46DD">
        <w:rPr>
          <w:bCs/>
          <w:szCs w:val="20"/>
        </w:rPr>
        <w:t>$443 million (</w:t>
      </w:r>
      <w:r w:rsidR="00BD283A">
        <w:rPr>
          <w:bCs/>
          <w:szCs w:val="20"/>
        </w:rPr>
        <w:t>~</w:t>
      </w:r>
      <w:r w:rsidRPr="00DB46DD">
        <w:rPr>
          <w:bCs/>
          <w:szCs w:val="20"/>
        </w:rPr>
        <w:t xml:space="preserve">$1 billion in benefits </w:t>
      </w:r>
      <w:r w:rsidR="00BD283A">
        <w:rPr>
          <w:bCs/>
          <w:szCs w:val="20"/>
        </w:rPr>
        <w:t>minus</w:t>
      </w:r>
      <w:r w:rsidRPr="00DB46DD">
        <w:rPr>
          <w:bCs/>
          <w:szCs w:val="20"/>
        </w:rPr>
        <w:t xml:space="preserve"> </w:t>
      </w:r>
      <w:r w:rsidR="00BD283A">
        <w:rPr>
          <w:bCs/>
          <w:szCs w:val="20"/>
        </w:rPr>
        <w:t>~</w:t>
      </w:r>
      <w:r w:rsidRPr="00DB46DD">
        <w:rPr>
          <w:bCs/>
          <w:szCs w:val="20"/>
        </w:rPr>
        <w:t>$5</w:t>
      </w:r>
      <w:r w:rsidR="00BD283A">
        <w:rPr>
          <w:bCs/>
          <w:szCs w:val="20"/>
        </w:rPr>
        <w:t>60</w:t>
      </w:r>
      <w:r w:rsidRPr="00DB46DD">
        <w:rPr>
          <w:bCs/>
          <w:szCs w:val="20"/>
        </w:rPr>
        <w:t xml:space="preserve"> million</w:t>
      </w:r>
      <w:r w:rsidRPr="003678AD">
        <w:rPr>
          <w:bCs/>
          <w:szCs w:val="20"/>
        </w:rPr>
        <w:t xml:space="preserve"> in costs)</w:t>
      </w:r>
      <w:r w:rsidRPr="003678AD">
        <w:rPr>
          <w:szCs w:val="20"/>
        </w:rPr>
        <w:t>. In those instances, where calculation errors cause</w:t>
      </w:r>
      <w:r>
        <w:rPr>
          <w:szCs w:val="20"/>
        </w:rPr>
        <w:t>d</w:t>
      </w:r>
      <w:r w:rsidRPr="003678AD">
        <w:rPr>
          <w:szCs w:val="20"/>
        </w:rPr>
        <w:t xml:space="preserve"> the </w:t>
      </w:r>
      <w:r>
        <w:rPr>
          <w:szCs w:val="20"/>
        </w:rPr>
        <w:t>NPV</w:t>
      </w:r>
      <w:r w:rsidRPr="003678AD">
        <w:rPr>
          <w:szCs w:val="20"/>
        </w:rPr>
        <w:t xml:space="preserve"> savings for an EDC’s PY7 program portfolio to change by </w:t>
      </w:r>
      <w:r>
        <w:rPr>
          <w:szCs w:val="20"/>
        </w:rPr>
        <w:t>1%</w:t>
      </w:r>
      <w:r w:rsidRPr="003678AD">
        <w:rPr>
          <w:szCs w:val="20"/>
        </w:rPr>
        <w:t xml:space="preserve"> or more, the SWE Team recommends that the EDC cost-effectiveness calculations be corrected and a revised EDC PY7 </w:t>
      </w:r>
      <w:r>
        <w:rPr>
          <w:szCs w:val="20"/>
        </w:rPr>
        <w:t>r</w:t>
      </w:r>
      <w:r w:rsidRPr="003678AD">
        <w:rPr>
          <w:szCs w:val="20"/>
        </w:rPr>
        <w:t>eport be filed with the Commission</w:t>
      </w:r>
      <w:r>
        <w:rPr>
          <w:szCs w:val="20"/>
        </w:rPr>
        <w:t xml:space="preserve"> by May 31, 2017</w:t>
      </w:r>
      <w:r w:rsidRPr="003678AD">
        <w:rPr>
          <w:szCs w:val="20"/>
        </w:rPr>
        <w:t>.</w:t>
      </w:r>
      <w:r w:rsidR="004E75B0">
        <w:rPr>
          <w:rStyle w:val="FootnoteReference"/>
          <w:szCs w:val="20"/>
        </w:rPr>
        <w:footnoteReference w:id="47"/>
      </w:r>
      <w:r w:rsidRPr="003678AD">
        <w:rPr>
          <w:szCs w:val="20"/>
        </w:rPr>
        <w:t xml:space="preserve">  </w:t>
      </w:r>
    </w:p>
    <w:p w:rsidR="00743C18" w:rsidRPr="000E6245" w:rsidRDefault="00743C18" w:rsidP="00E646C9">
      <w:pPr>
        <w:numPr>
          <w:ilvl w:val="0"/>
          <w:numId w:val="44"/>
        </w:numPr>
        <w:tabs>
          <w:tab w:val="left" w:pos="360"/>
        </w:tabs>
        <w:spacing w:after="120"/>
        <w:ind w:left="360"/>
      </w:pPr>
      <w:r w:rsidRPr="00A43D08">
        <w:rPr>
          <w:szCs w:val="20"/>
        </w:rPr>
        <w:t>Based on the SWE Team audit activities conducted from PY5 to PY7, there still is evidence of high free-ridership for several EDC programs. For purposes of this report, the Phase II SWE defines high free-ridership as a rate above 50%. In the residential sector, free-ridership was highest for appliance and HVAC rebate and upstream lighting programs; it varied from moderate to high for appliance recycling; it was lowest for home performance and kit distribution programs. In the non-residential sector, free-ridership was highest in programs targeting small businesses, custom projects, and the GNI sector. When high free-ridership exists, the SWE Team recommends that EDCs should reexamine program design elements to determine whether free-ridership can be reduced in the future. All EDCs should continue to consider actions to reduce free-ridership in Phase III. In the non-residential sector, if any EDCs still allow customers to submit rebate applications after equipment purchase (and do not specify an eligibility time period), they should consider implementing a 90-day rebate eligibility clause for such purchases.</w:t>
      </w:r>
      <w:r w:rsidRPr="00A43D08">
        <w:rPr>
          <w:szCs w:val="20"/>
          <w:vertAlign w:val="superscript"/>
        </w:rPr>
        <w:footnoteReference w:id="48"/>
      </w:r>
    </w:p>
    <w:p w:rsidR="00743C18" w:rsidRPr="000E6245" w:rsidRDefault="00743C18" w:rsidP="00E646C9">
      <w:pPr>
        <w:numPr>
          <w:ilvl w:val="0"/>
          <w:numId w:val="44"/>
        </w:numPr>
        <w:tabs>
          <w:tab w:val="left" w:pos="360"/>
        </w:tabs>
        <w:spacing w:after="120"/>
        <w:ind w:left="360"/>
      </w:pPr>
      <w:r>
        <w:lastRenderedPageBreak/>
        <w:t>EDC p</w:t>
      </w:r>
      <w:r w:rsidRPr="000E6245">
        <w:t>rocess evaluations of home audit programs continued to show opportunities for greater conversion of audit participants to program participants. The SWE Team recommends that EDCs conduct research to track over time the percentage of home energy audits that result in purchases and installations of energy efficiency measures. Then the SWE can develop a comparison of these percentages across EDC audit programs. Having such comparative information across EDCs will help the SWE develop findings, best practices</w:t>
      </w:r>
      <w:r>
        <w:t>,</w:t>
      </w:r>
      <w:r w:rsidRPr="000E6245">
        <w:t xml:space="preserve"> and recommendations on program strategies that lead to the highest conversion rates </w:t>
      </w:r>
      <w:r>
        <w:t>from</w:t>
      </w:r>
      <w:r w:rsidRPr="000E6245">
        <w:t xml:space="preserve"> audit participants to program participants.</w:t>
      </w:r>
    </w:p>
    <w:p w:rsidR="00743C18" w:rsidRDefault="00743C18" w:rsidP="00E646C9">
      <w:pPr>
        <w:numPr>
          <w:ilvl w:val="0"/>
          <w:numId w:val="44"/>
        </w:numPr>
        <w:spacing w:after="120"/>
        <w:ind w:left="360"/>
      </w:pPr>
      <w:r w:rsidRPr="000E6245">
        <w:t>During Phase III, EDC database tracking systems should continue to adjust as necessary to capture sufficient measure detail so that the applicable TRM algorithms can be used to verify reported savings values and assumptions. The SWE Team found some instances in which the PY7 EDC tracking systems lacked the ability to capture these details. The SWE Team’s specific recommendations for each EDC’s data</w:t>
      </w:r>
      <w:r>
        <w:t>-</w:t>
      </w:r>
      <w:r w:rsidRPr="000E6245">
        <w:t>tracking and reporting system are provided in</w:t>
      </w:r>
      <w:r>
        <w:t xml:space="preserve"> Appendix A</w:t>
      </w:r>
      <w:r w:rsidRPr="000E6245">
        <w:t xml:space="preserve"> of this report.</w:t>
      </w:r>
    </w:p>
    <w:p w:rsidR="00743C18" w:rsidRPr="000E6245" w:rsidRDefault="00743C18" w:rsidP="00E646C9">
      <w:pPr>
        <w:numPr>
          <w:ilvl w:val="0"/>
          <w:numId w:val="44"/>
        </w:numPr>
        <w:spacing w:after="120"/>
        <w:ind w:left="360"/>
      </w:pPr>
      <w:r w:rsidRPr="002A0B26">
        <w:t>During Phase II the percentage of participants in EDC residential low income programs receiving either a telephone or on-site inspection varied significantly among EDCs. Going forward, the Phase II SWE Team recommends that the TUS staff and Phase III SWE consider establishing clearer guidelines for the number of telephone and on-site inspections that need to be performed for residential low-income programs. The design of these guidelines will need to take into account differences in EDC low income programs. These guidelines should establish minimum requirements for the number and types of telephone and/or on-site inspections that need to be performed for low-income programs</w:t>
      </w:r>
      <w:r>
        <w:t>.</w:t>
      </w:r>
    </w:p>
    <w:p w:rsidR="00743C18" w:rsidRDefault="00743C18" w:rsidP="00E646C9">
      <w:pPr>
        <w:numPr>
          <w:ilvl w:val="0"/>
          <w:numId w:val="44"/>
        </w:numPr>
        <w:spacing w:after="120"/>
        <w:ind w:left="360"/>
      </w:pPr>
      <w:r w:rsidRPr="00204CD2">
        <w:t>The SWE Team found that 9% of the verified savings in the non-residential sector in PY7 came from residential upstream lighting programs. This is a significant reduction from the 21% reported in PY5</w:t>
      </w:r>
      <w:r w:rsidR="0020632A">
        <w:t>.</w:t>
      </w:r>
      <w:r w:rsidRPr="00204CD2">
        <w:t xml:space="preserve"> </w:t>
      </w:r>
      <w:r w:rsidR="004D77A3">
        <w:t>T</w:t>
      </w:r>
      <w:r w:rsidRPr="00204CD2">
        <w:t xml:space="preserve">he FirstEnergy </w:t>
      </w:r>
      <w:r>
        <w:t>c</w:t>
      </w:r>
      <w:r w:rsidRPr="00204CD2">
        <w:t>ompanies</w:t>
      </w:r>
      <w:r w:rsidR="004D77A3">
        <w:t xml:space="preserve"> already reported low amounts of cross sector savings from sales of high efficiency bulbs through its residential lighting programs. The other four EDCs </w:t>
      </w:r>
      <w:r w:rsidRPr="00204CD2">
        <w:t xml:space="preserve">reported substantial drops in the cross-sector savings associated with these </w:t>
      </w:r>
      <w:r w:rsidRPr="00E83316">
        <w:t>upstream bulb programs</w:t>
      </w:r>
      <w:r w:rsidR="004D77A3">
        <w:t xml:space="preserve"> as compared to levels in PY5</w:t>
      </w:r>
      <w:r w:rsidRPr="00E83316">
        <w:t>. For Duquesne for PY7, the amount verified in this category was actually 0%. For PECO and PPL, the percentages verified were 14% and 1</w:t>
      </w:r>
      <w:r>
        <w:t>2</w:t>
      </w:r>
      <w:r w:rsidRPr="00E83316">
        <w:t>%, respectively</w:t>
      </w:r>
      <w:r>
        <w:t xml:space="preserve">, </w:t>
      </w:r>
      <w:r w:rsidRPr="005B0234">
        <w:t>with those for the FirstEnergy companies ranging from 0.5% for Penn Power to 4.7% for Penelec and West Penn Power. The SWE Team recommends continued cross-sector sales analysis, as the findings show there are important shifts in the MWh and MW savings being reported in this category</w:t>
      </w:r>
      <w:r w:rsidRPr="00204CD2">
        <w:t>.</w:t>
      </w:r>
    </w:p>
    <w:p w:rsidR="00743C18" w:rsidRPr="00204CD2" w:rsidRDefault="00743C18" w:rsidP="00E646C9">
      <w:pPr>
        <w:numPr>
          <w:ilvl w:val="0"/>
          <w:numId w:val="44"/>
        </w:numPr>
        <w:spacing w:after="120"/>
        <w:ind w:left="360"/>
      </w:pPr>
      <w:r w:rsidRPr="00AE505B">
        <w:t xml:space="preserve">For all four EDCs under the FirstEnergy umbrella in Pennsylvania, the SWE found that kWh and kW savings calculations for PY7 for commercial and industrial </w:t>
      </w:r>
      <w:r>
        <w:t>(C/I)</w:t>
      </w:r>
      <w:r w:rsidRPr="00AE505B">
        <w:t xml:space="preserve"> </w:t>
      </w:r>
      <w:r w:rsidR="007C4FB4">
        <w:t xml:space="preserve">lighting </w:t>
      </w:r>
      <w:r w:rsidRPr="00AE505B">
        <w:t>projects were performed using a modified version of the 2015 Pennsylvania TRM Appendix C calculator. Use of the modified calculator makes it much more difficult for the SWE Team to review and verify the kWh and kW savings calculations for these types of energy efficiency projects.  The Phase I</w:t>
      </w:r>
      <w:r>
        <w:t>I</w:t>
      </w:r>
      <w:r w:rsidRPr="00AE505B">
        <w:t xml:space="preserve"> SWE recommends that go</w:t>
      </w:r>
      <w:r>
        <w:t>i</w:t>
      </w:r>
      <w:r w:rsidRPr="00AE505B">
        <w:t>ng forward the original Appendix C calculator be used</w:t>
      </w:r>
      <w:r>
        <w:t>.</w:t>
      </w:r>
    </w:p>
    <w:p w:rsidR="00743C18" w:rsidRPr="00B153B2" w:rsidRDefault="00743C18" w:rsidP="00E646C9">
      <w:pPr>
        <w:numPr>
          <w:ilvl w:val="0"/>
          <w:numId w:val="44"/>
        </w:numPr>
        <w:spacing w:after="120"/>
        <w:ind w:left="360"/>
      </w:pPr>
      <w:r w:rsidRPr="00B153B2">
        <w:t>SWE audit activities revealed that the EDCs that conducted process evaluations generally were consistent with the Phase II Act 129 Evaluation Framework but in some cases could have provided greater detail about methods and findings to support their conclusions.</w:t>
      </w:r>
      <w:r w:rsidRPr="00B153B2">
        <w:rPr>
          <w:iCs/>
        </w:rPr>
        <w:t xml:space="preserve"> The SWE Team </w:t>
      </w:r>
      <w:r>
        <w:rPr>
          <w:iCs/>
        </w:rPr>
        <w:t xml:space="preserve">makes the following </w:t>
      </w:r>
      <w:r w:rsidRPr="00B153B2">
        <w:rPr>
          <w:iCs/>
        </w:rPr>
        <w:t xml:space="preserve">recommendations </w:t>
      </w:r>
      <w:r>
        <w:rPr>
          <w:iCs/>
        </w:rPr>
        <w:t>for</w:t>
      </w:r>
      <w:r w:rsidRPr="00B153B2">
        <w:rPr>
          <w:iCs/>
        </w:rPr>
        <w:t xml:space="preserve"> improving process evaluations in the future: </w:t>
      </w:r>
    </w:p>
    <w:p w:rsidR="00743C18" w:rsidRDefault="00743C18" w:rsidP="00E646C9">
      <w:pPr>
        <w:numPr>
          <w:ilvl w:val="1"/>
          <w:numId w:val="44"/>
        </w:numPr>
        <w:spacing w:after="120"/>
        <w:ind w:left="720"/>
      </w:pPr>
      <w:r>
        <w:lastRenderedPageBreak/>
        <w:t>EDC process evaluation reports should identify analysis methods, including level of analysis, and types of statistical tests performed.</w:t>
      </w:r>
    </w:p>
    <w:p w:rsidR="00743C18" w:rsidRDefault="00743C18" w:rsidP="00E646C9">
      <w:pPr>
        <w:numPr>
          <w:ilvl w:val="1"/>
          <w:numId w:val="44"/>
        </w:numPr>
        <w:spacing w:after="120"/>
        <w:ind w:left="720"/>
      </w:pPr>
      <w:r>
        <w:t>When reporting response differences among subgroups, indicate whether the differences were statistically significant, and by what test.</w:t>
      </w:r>
    </w:p>
    <w:p w:rsidR="00743C18" w:rsidRDefault="00743C18" w:rsidP="00E646C9">
      <w:pPr>
        <w:numPr>
          <w:ilvl w:val="1"/>
          <w:numId w:val="44"/>
        </w:numPr>
        <w:spacing w:after="120"/>
        <w:ind w:left="720"/>
      </w:pPr>
      <w:r>
        <w:t>Provide additional insights, when possible, into causes for programs struggling to meet participation and kWh/yr and kW savings targets.</w:t>
      </w:r>
    </w:p>
    <w:p w:rsidR="00743C18" w:rsidRDefault="00743C18" w:rsidP="00E646C9">
      <w:pPr>
        <w:numPr>
          <w:ilvl w:val="1"/>
          <w:numId w:val="44"/>
        </w:numPr>
        <w:spacing w:after="120"/>
        <w:ind w:left="720"/>
      </w:pPr>
      <w:r>
        <w:t>Where possible, connect process evaluation recommendations to general conclusions based on multiple findings rather than to single findings.</w:t>
      </w:r>
    </w:p>
    <w:p w:rsidR="00743C18" w:rsidRPr="00B153B2" w:rsidRDefault="00743C18" w:rsidP="00E646C9">
      <w:pPr>
        <w:numPr>
          <w:ilvl w:val="1"/>
          <w:numId w:val="44"/>
        </w:numPr>
        <w:spacing w:after="120"/>
        <w:ind w:left="720"/>
      </w:pPr>
      <w:r>
        <w:t>Restrict the number of recommended actions identified in each process evaluation recommendation.</w:t>
      </w:r>
    </w:p>
    <w:p w:rsidR="00743C18" w:rsidRPr="00C62389" w:rsidRDefault="00743C18" w:rsidP="00E646C9">
      <w:pPr>
        <w:numPr>
          <w:ilvl w:val="0"/>
          <w:numId w:val="44"/>
        </w:numPr>
        <w:spacing w:after="120"/>
        <w:ind w:left="360"/>
      </w:pPr>
      <w:r w:rsidRPr="00B153B2">
        <w:t xml:space="preserve">The SWE process evaluation audit activities for the PY7 programs found that the evaluation contractors made </w:t>
      </w:r>
      <w:r>
        <w:t>175</w:t>
      </w:r>
      <w:r w:rsidRPr="00B153B2">
        <w:t xml:space="preserve"> Phase II process evaluation recommendations to the EDCs. Of this total,</w:t>
      </w:r>
      <w:r>
        <w:t xml:space="preserve"> the EDCs’ annual reports</w:t>
      </w:r>
      <w:r w:rsidRPr="00B153B2">
        <w:t xml:space="preserve"> </w:t>
      </w:r>
      <w:r>
        <w:t>indicated that 103</w:t>
      </w:r>
      <w:r w:rsidRPr="00B153B2">
        <w:t xml:space="preserve"> </w:t>
      </w:r>
      <w:r>
        <w:t xml:space="preserve">(59%) </w:t>
      </w:r>
      <w:r w:rsidRPr="00B153B2">
        <w:t xml:space="preserve">were implemented </w:t>
      </w:r>
      <w:r>
        <w:t xml:space="preserve">(or accepted for planned implementation) </w:t>
      </w:r>
      <w:r w:rsidRPr="00B153B2">
        <w:t xml:space="preserve">by the EDCs, </w:t>
      </w:r>
      <w:r>
        <w:t>53 (30%)</w:t>
      </w:r>
      <w:r w:rsidRPr="00B153B2">
        <w:t xml:space="preserve"> were still being considered for implementation, and </w:t>
      </w:r>
      <w:r>
        <w:t>19 (11%)</w:t>
      </w:r>
      <w:r w:rsidRPr="00B153B2">
        <w:t xml:space="preserve"> were rejected by the EDCs. Th</w:t>
      </w:r>
      <w:r>
        <w:t xml:space="preserve">e 59% </w:t>
      </w:r>
      <w:r w:rsidRPr="00B153B2">
        <w:t xml:space="preserve">acceptance rate </w:t>
      </w:r>
      <w:r>
        <w:t xml:space="preserve">is considerably higher than that from PY5 (32%) and PY6 (36%). The 11% rejection rate also was higher than that from PY5 and PY6 (2% and 3%, respectively). In the PY6 SWE annual report, the SWE Team noted the high percentage of </w:t>
      </w:r>
      <w:r w:rsidRPr="00A85162">
        <w:t xml:space="preserve">recommendations still under consideration, attributing </w:t>
      </w:r>
      <w:r>
        <w:t xml:space="preserve">it </w:t>
      </w:r>
      <w:r w:rsidRPr="00A85162">
        <w:t>to the short interval between the dates that the evaluation contractors submitted their recommendations to the EDCs and the deadline for submitting the EDC annual reports</w:t>
      </w:r>
      <w:r>
        <w:t>. The SWE</w:t>
      </w:r>
      <w:r w:rsidRPr="00A85162">
        <w:t xml:space="preserve"> recommended that the EDCs establish priorit</w:t>
      </w:r>
      <w:r>
        <w:t>ies</w:t>
      </w:r>
      <w:r w:rsidRPr="00A85162">
        <w:t xml:space="preserve"> for the process evaluation recommendations so that the most important recommendations are resolved quickly.</w:t>
      </w:r>
      <w:r>
        <w:t xml:space="preserve"> Additional information obtained for this Phase II SWE Final Report sheds more light on this issue. The SWE Team observed that in every program year of Phase II, the annual report for one EDC showed that no recommendations were yet accepted. </w:t>
      </w:r>
      <w:r w:rsidR="00BD283A">
        <w:t>C</w:t>
      </w:r>
      <w:r>
        <w:t xml:space="preserve">oncerns about committing resources during a major information technology (IT) implementation that occurred throughout Phase II reportedly prevented the EDC from identifying recommendations as accepted or implemented in time for the annual report. This only partly explains the high overall percentage of recommendations that remained under consideration at the time of the annual reports, however. While that EDC had the highest percentage of Phase II recommendations under consideration, it also had the fewest recommendations to consider. Dropping that EDC out of the analysis had a minimal effect on the overall percentage of recommendations still under consideration. The purpose of having EDCs indicate the status of recommendations in their annual reports is to show whether the evaluation </w:t>
      </w:r>
      <w:r>
        <w:rPr>
          <w:color w:val="000000"/>
        </w:rPr>
        <w:t>contractors</w:t>
      </w:r>
      <w:r w:rsidRPr="00D85274">
        <w:rPr>
          <w:color w:val="000000"/>
        </w:rPr>
        <w:t xml:space="preserve"> </w:t>
      </w:r>
      <w:r>
        <w:t>have provided clear and actionable recommendations and whether the EDCs have given them due consideration. Therefore, the SWE Team recommends that instead of identifying each recommendation as implemented, under consideration, or rejected, the EDCs identify them as implemented, high priority for implementation, medium priority for implementation, low priority for implementation, or rejected.</w:t>
      </w:r>
    </w:p>
    <w:p w:rsidR="00743C18" w:rsidRDefault="00743C18" w:rsidP="00E646C9">
      <w:pPr>
        <w:numPr>
          <w:ilvl w:val="0"/>
          <w:numId w:val="44"/>
        </w:numPr>
        <w:spacing w:after="120"/>
        <w:ind w:left="360"/>
        <w:rPr>
          <w:szCs w:val="20"/>
        </w:rPr>
      </w:pPr>
      <w:r w:rsidRPr="00BE046F">
        <w:rPr>
          <w:szCs w:val="20"/>
        </w:rPr>
        <w:t>The EDC PY5</w:t>
      </w:r>
      <w:r>
        <w:rPr>
          <w:szCs w:val="20"/>
        </w:rPr>
        <w:t>,</w:t>
      </w:r>
      <w:r w:rsidRPr="00BE046F">
        <w:rPr>
          <w:szCs w:val="20"/>
        </w:rPr>
        <w:t xml:space="preserve"> PY6</w:t>
      </w:r>
      <w:r>
        <w:rPr>
          <w:szCs w:val="20"/>
        </w:rPr>
        <w:t>, and PY7</w:t>
      </w:r>
      <w:r w:rsidRPr="00BE046F">
        <w:rPr>
          <w:szCs w:val="20"/>
        </w:rPr>
        <w:t xml:space="preserve"> annual reports to the PUC show different participation rates across EDCs for similar types of programs. The SWE</w:t>
      </w:r>
      <w:r w:rsidRPr="00AE505B">
        <w:rPr>
          <w:szCs w:val="20"/>
        </w:rPr>
        <w:t xml:space="preserve"> </w:t>
      </w:r>
      <w:r w:rsidRPr="004B07FF">
        <w:rPr>
          <w:szCs w:val="20"/>
        </w:rPr>
        <w:t>recommends that the TUS staff</w:t>
      </w:r>
      <w:r w:rsidRPr="00BE046F">
        <w:rPr>
          <w:szCs w:val="20"/>
        </w:rPr>
        <w:t xml:space="preserve"> </w:t>
      </w:r>
      <w:r w:rsidRPr="00CF6FDA">
        <w:rPr>
          <w:szCs w:val="20"/>
        </w:rPr>
        <w:t>and the Phase III SWE conduct a study to examine this issue more thoroughly in order to understand the factors causing these different levels of participation, including whether the EDCs are calculating and reporting participation rates on the same basis. The results of this analysis can be used for two purposes</w:t>
      </w:r>
      <w:r w:rsidRPr="00BE046F">
        <w:rPr>
          <w:szCs w:val="20"/>
        </w:rPr>
        <w:t xml:space="preserve">: </w:t>
      </w:r>
    </w:p>
    <w:p w:rsidR="00743C18" w:rsidRDefault="00743C18" w:rsidP="00E646C9">
      <w:pPr>
        <w:numPr>
          <w:ilvl w:val="1"/>
          <w:numId w:val="44"/>
        </w:numPr>
        <w:spacing w:after="120"/>
        <w:ind w:left="720"/>
        <w:rPr>
          <w:szCs w:val="20"/>
        </w:rPr>
      </w:pPr>
      <w:r w:rsidRPr="00BE046F">
        <w:rPr>
          <w:szCs w:val="20"/>
        </w:rPr>
        <w:t>to clarify how program participation levels and participation rates should be calculated and reported to the PUC</w:t>
      </w:r>
      <w:r>
        <w:rPr>
          <w:szCs w:val="20"/>
        </w:rPr>
        <w:t>;</w:t>
      </w:r>
      <w:r w:rsidRPr="00BE046F">
        <w:rPr>
          <w:szCs w:val="20"/>
        </w:rPr>
        <w:t xml:space="preserve"> and</w:t>
      </w:r>
      <w:r>
        <w:rPr>
          <w:szCs w:val="20"/>
        </w:rPr>
        <w:t>,</w:t>
      </w:r>
      <w:r w:rsidRPr="00BE046F">
        <w:rPr>
          <w:szCs w:val="20"/>
        </w:rPr>
        <w:t xml:space="preserve"> </w:t>
      </w:r>
    </w:p>
    <w:p w:rsidR="00743C18" w:rsidRPr="00BE046F" w:rsidRDefault="00743C18" w:rsidP="00E646C9">
      <w:pPr>
        <w:numPr>
          <w:ilvl w:val="1"/>
          <w:numId w:val="44"/>
        </w:numPr>
        <w:spacing w:after="120"/>
        <w:ind w:left="720"/>
        <w:rPr>
          <w:szCs w:val="20"/>
        </w:rPr>
      </w:pPr>
      <w:r w:rsidRPr="00BE046F">
        <w:rPr>
          <w:szCs w:val="20"/>
        </w:rPr>
        <w:lastRenderedPageBreak/>
        <w:t xml:space="preserve">to </w:t>
      </w:r>
      <w:r>
        <w:rPr>
          <w:szCs w:val="20"/>
        </w:rPr>
        <w:t>identify</w:t>
      </w:r>
      <w:r w:rsidRPr="00BE046F">
        <w:rPr>
          <w:szCs w:val="20"/>
        </w:rPr>
        <w:t xml:space="preserve"> whether any EDC should consider modifying the design attributes (marketing strategy, delivery channels, incentive levels, education and outreach efforts, etc.) of a program in order to improve program efficiency and effectiveness. Such modifications or enhancements to these aspects of program design are very important when trying </w:t>
      </w:r>
      <w:r>
        <w:rPr>
          <w:szCs w:val="20"/>
        </w:rPr>
        <w:t>to improve participation rates.</w:t>
      </w:r>
    </w:p>
    <w:p w:rsidR="00743C18" w:rsidRPr="00BE046F" w:rsidRDefault="00743C18" w:rsidP="00E646C9">
      <w:pPr>
        <w:numPr>
          <w:ilvl w:val="0"/>
          <w:numId w:val="44"/>
        </w:numPr>
        <w:spacing w:after="120"/>
        <w:ind w:left="360"/>
      </w:pPr>
      <w:r w:rsidRPr="00BE046F">
        <w:t xml:space="preserve">Evaluations of home energy audit programs may show opportunities for greater conversion from audits to incented projects, with some evaluations identifying specific market barriers. Conversion of an energy audit participant to a program participant may not occur within the same program year. Going forward, the SWE recommends that EDC </w:t>
      </w:r>
      <w:r>
        <w:rPr>
          <w:color w:val="000000"/>
        </w:rPr>
        <w:t>evaluation contractors</w:t>
      </w:r>
      <w:r w:rsidRPr="00D85274">
        <w:rPr>
          <w:color w:val="000000"/>
        </w:rPr>
        <w:t xml:space="preserve"> </w:t>
      </w:r>
      <w:r w:rsidRPr="00BE046F">
        <w:t xml:space="preserve">should investigate whether customers who had </w:t>
      </w:r>
      <w:r>
        <w:t xml:space="preserve">energy </w:t>
      </w:r>
      <w:r w:rsidRPr="00BE046F">
        <w:t xml:space="preserve">audits in a given program are more likely than customers who did not receive an audit to carry out incented projects in later program years. Currently such data or information </w:t>
      </w:r>
      <w:r w:rsidR="008C64D2">
        <w:t>is</w:t>
      </w:r>
      <w:r w:rsidRPr="00BE046F">
        <w:t xml:space="preserve"> not available for the EDC home energy audit programs. EDCs also should investigate ways to overcome identified barriers and in general increase follow-up outreach to audit participants to encourage conversion.</w:t>
      </w:r>
    </w:p>
    <w:p w:rsidR="00743C18" w:rsidRPr="00BE046F" w:rsidRDefault="00743C18" w:rsidP="00E646C9">
      <w:pPr>
        <w:pStyle w:val="ListParagraph"/>
        <w:numPr>
          <w:ilvl w:val="0"/>
          <w:numId w:val="44"/>
        </w:numPr>
        <w:spacing w:after="120"/>
        <w:ind w:left="360"/>
        <w:contextualSpacing w:val="0"/>
      </w:pPr>
      <w:r w:rsidRPr="00BE046F">
        <w:t xml:space="preserve">The process evaluation of </w:t>
      </w:r>
      <w:r>
        <w:t>PPL’s</w:t>
      </w:r>
      <w:r w:rsidRPr="00BE046F">
        <w:t xml:space="preserve"> residential lighting program</w:t>
      </w:r>
      <w:r>
        <w:t xml:space="preserve"> (that offered only discounted LEDs throughout Phase II) </w:t>
      </w:r>
      <w:r w:rsidRPr="00BE046F">
        <w:t>found that</w:t>
      </w:r>
      <w:r>
        <w:t xml:space="preserve"> </w:t>
      </w:r>
      <w:r w:rsidR="00A86F54">
        <w:t xml:space="preserve">disposal behavior for </w:t>
      </w:r>
      <w:r>
        <w:t>compact fluorescent light (</w:t>
      </w:r>
      <w:r w:rsidRPr="00BE046F">
        <w:t>CFL</w:t>
      </w:r>
      <w:r>
        <w:t>) bulbs</w:t>
      </w:r>
      <w:r w:rsidRPr="00BE046F">
        <w:t xml:space="preserve"> remains relatively unchanged from prior years, with over half of customers disposing of CFLs in the trash, in spite of</w:t>
      </w:r>
      <w:r>
        <w:t xml:space="preserve"> there being</w:t>
      </w:r>
      <w:r w:rsidRPr="00BE046F">
        <w:t xml:space="preserve"> more recycling bins in diverse locations.</w:t>
      </w:r>
      <w:r>
        <w:t xml:space="preserve"> T</w:t>
      </w:r>
      <w:r w:rsidRPr="00BE046F">
        <w:t>he SWE recommends that</w:t>
      </w:r>
      <w:r w:rsidRPr="00101D57">
        <w:t xml:space="preserve"> </w:t>
      </w:r>
      <w:r>
        <w:t>if this is not already addressed by the EDCs, that</w:t>
      </w:r>
      <w:r w:rsidRPr="00BE046F">
        <w:t xml:space="preserve"> the EDCs work together during </w:t>
      </w:r>
      <w:r>
        <w:t>Phase III</w:t>
      </w:r>
      <w:r w:rsidRPr="00BE046F">
        <w:t xml:space="preserve"> to modify the education and outreach portion of residential lighting programs</w:t>
      </w:r>
      <w:r>
        <w:t>,</w:t>
      </w:r>
      <w:r w:rsidRPr="00BE046F">
        <w:t xml:space="preserve"> in order to increase significantly the percentage of customers who dispose of CFLs in recycling bins.</w:t>
      </w:r>
    </w:p>
    <w:p w:rsidR="00743C18" w:rsidRPr="006042F7" w:rsidRDefault="00743C18" w:rsidP="00E646C9">
      <w:pPr>
        <w:pStyle w:val="ListParagraph"/>
        <w:numPr>
          <w:ilvl w:val="0"/>
          <w:numId w:val="44"/>
        </w:numPr>
        <w:spacing w:after="120"/>
        <w:ind w:left="360"/>
        <w:contextualSpacing w:val="0"/>
      </w:pPr>
      <w:r w:rsidRPr="00C2362E">
        <w:t xml:space="preserve">The SWE Team found a few instances where EDCs did not use measure lives listed in the TRM in their calculations of the TRC test. The SWE recommends that the TRM be used as the primary source for measure life values when they are available and listed in the Pennsylvania TRM. In addition, the SWE recommends that errors in the use of measure lives be corrected in each EDC’s final report for Phase II, if these corrections will cause the overall EDC portfolio TRC ratio for PY7 to change by more than plus or minus </w:t>
      </w:r>
      <w:r w:rsidR="00A86F54">
        <w:t>one</w:t>
      </w:r>
      <w:r w:rsidRPr="00C2362E">
        <w:t xml:space="preserve"> percent</w:t>
      </w:r>
      <w:r w:rsidRPr="006042F7">
        <w:t>.</w:t>
      </w:r>
    </w:p>
    <w:p w:rsidR="00743C18" w:rsidRPr="00AE505B" w:rsidRDefault="00743C18" w:rsidP="00E646C9">
      <w:pPr>
        <w:pStyle w:val="ListParagraph"/>
        <w:numPr>
          <w:ilvl w:val="0"/>
          <w:numId w:val="44"/>
        </w:numPr>
        <w:spacing w:after="120"/>
        <w:ind w:left="360"/>
        <w:contextualSpacing w:val="0"/>
      </w:pPr>
      <w:r w:rsidRPr="00F67288">
        <w:t>The SWE Team recommends that EDCs provide additional documentation of the methodology and data used to calculate cross-sector residential lighting and low-income sales. In order to provide more foundation for the calculations of cross-sector sales estimates, the SWE recommends that each EDC should report the sample sizes used for the evaluation research, the distribution of intercept stores (name of store, size of store, etc.), distribution of weekend versus weekday intercept surveys, and time of year the intercept surveys were administered. This information would allow the SWE Team to understand whether there may have been any changes over time in the methodology used by EDCs to estimate cross-sector sales. Changing the methodology over time can affect the research results. The SWE wants to ensure that changes in estimates of such cross-sector sales of lighting products are driven entirely by changes to program design rather than changes in research methods and sampling techniques. Given the upstream residential lighting programs’ significant contribution to each EDC’s portfolio savings, the SWE Team recommends that the EDC evaluation contractors include additional details regarding the research methods in future annual reports as well as a discussion related to differences in parameter estimates. The Phase II SWE also recommends that the Phase III SWE consider developing guidelines or protocols for research methods to be used for determining cross sector sales</w:t>
      </w:r>
      <w:r w:rsidRPr="00AE505B">
        <w:t xml:space="preserve">. </w:t>
      </w:r>
    </w:p>
    <w:p w:rsidR="00743C18" w:rsidRPr="00AE505B" w:rsidRDefault="00743C18" w:rsidP="00E646C9">
      <w:pPr>
        <w:pStyle w:val="bullettext"/>
        <w:numPr>
          <w:ilvl w:val="0"/>
          <w:numId w:val="44"/>
        </w:numPr>
        <w:ind w:left="360"/>
      </w:pPr>
      <w:r w:rsidRPr="00AE505B">
        <w:t>The SWE recommends that thorough auditing of program applications for C/I measures be continued by EDCs, to ensure clarity of the project files for the subsequent SWE review.</w:t>
      </w:r>
    </w:p>
    <w:p w:rsidR="00743C18" w:rsidRPr="00AE505B" w:rsidRDefault="00743C18" w:rsidP="00E646C9">
      <w:pPr>
        <w:pStyle w:val="ListParagraph"/>
        <w:numPr>
          <w:ilvl w:val="0"/>
          <w:numId w:val="44"/>
        </w:numPr>
        <w:spacing w:after="120"/>
        <w:ind w:left="360"/>
        <w:contextualSpacing w:val="0"/>
      </w:pPr>
      <w:r w:rsidRPr="00AE505B">
        <w:lastRenderedPageBreak/>
        <w:t xml:space="preserve">The SWE Team found that all EDCs either used the approved common NTG research methods or used them with acceptable modifications. Some EDCs also used other acceptable methods where the SWE Team did not establish a common method. The SWE Team continues to recommend that, where applicable, the EDC </w:t>
      </w:r>
      <w:r w:rsidRPr="00AE505B">
        <w:rPr>
          <w:color w:val="000000"/>
        </w:rPr>
        <w:t>evaluation contractor</w:t>
      </w:r>
      <w:r>
        <w:rPr>
          <w:color w:val="000000"/>
        </w:rPr>
        <w:t>’s</w:t>
      </w:r>
      <w:r w:rsidRPr="00AE505B">
        <w:rPr>
          <w:color w:val="000000"/>
        </w:rPr>
        <w:t xml:space="preserve"> </w:t>
      </w:r>
      <w:r w:rsidRPr="00AE505B">
        <w:t>report explicitly state how a given survey instrument differs from the common NTG method approved by the SWE and TUS, and why the EDC survey instrument, if different than the common method, would not produce a systematically different result from the result that would be achieved if the common method were used.</w:t>
      </w:r>
    </w:p>
    <w:p w:rsidR="00D40FF6" w:rsidRDefault="00D40FF6" w:rsidP="00004534">
      <w:r>
        <w:br w:type="page"/>
      </w:r>
    </w:p>
    <w:p w:rsidR="00450725" w:rsidRPr="00E45861" w:rsidRDefault="0054148B" w:rsidP="00E45861">
      <w:pPr>
        <w:pStyle w:val="Heading1"/>
        <w:numPr>
          <w:ilvl w:val="0"/>
          <w:numId w:val="0"/>
        </w:numPr>
      </w:pPr>
      <w:bookmarkStart w:id="495" w:name="_Ref472437683"/>
      <w:bookmarkStart w:id="496" w:name="_Toc472472146"/>
      <w:bookmarkStart w:id="497" w:name="_Toc476913958"/>
      <w:bookmarkStart w:id="498" w:name="_Toc405557129"/>
      <w:bookmarkEnd w:id="55"/>
      <w:bookmarkEnd w:id="56"/>
      <w:bookmarkEnd w:id="57"/>
      <w:r w:rsidRPr="00E45861">
        <w:rPr>
          <w:rStyle w:val="Heading1Char"/>
          <w:smallCaps/>
          <w:shd w:val="clear" w:color="auto" w:fill="auto"/>
        </w:rPr>
        <w:lastRenderedPageBreak/>
        <w:t>Appendix A</w:t>
      </w:r>
      <w:r w:rsidR="00450725" w:rsidRPr="00E45861">
        <w:t>| PY7 Audit Activities and Findings</w:t>
      </w:r>
      <w:bookmarkEnd w:id="495"/>
      <w:bookmarkEnd w:id="496"/>
      <w:bookmarkEnd w:id="497"/>
    </w:p>
    <w:p w:rsidR="00F20B3A" w:rsidRDefault="00F20B3A" w:rsidP="00F20B3A">
      <w:r>
        <w:t xml:space="preserve">Appendix A provides the PY7 audit activities and findings for each EDC. </w:t>
      </w:r>
    </w:p>
    <w:p w:rsidR="0009063A" w:rsidRDefault="0009063A" w:rsidP="00F20B3A"/>
    <w:p w:rsidR="00CA4CB7" w:rsidRPr="00A1305C" w:rsidRDefault="00950837" w:rsidP="00D34B3E">
      <w:pPr>
        <w:pStyle w:val="AppendixAHeading1"/>
      </w:pPr>
      <w:r w:rsidRPr="00A1305C">
        <w:t>Duquesne</w:t>
      </w:r>
      <w:r w:rsidR="00D54D62">
        <w:t xml:space="preserve"> Light</w:t>
      </w:r>
    </w:p>
    <w:p w:rsidR="00735BA9" w:rsidRDefault="00735BA9" w:rsidP="00735BA9">
      <w:r w:rsidRPr="00735BA9">
        <w:t xml:space="preserve">This </w:t>
      </w:r>
      <w:r>
        <w:t>section</w:t>
      </w:r>
      <w:r w:rsidRPr="00735BA9">
        <w:t xml:space="preserve"> summarizes Duquesne’s program performance </w:t>
      </w:r>
      <w:r>
        <w:t>through PY7</w:t>
      </w:r>
      <w:r w:rsidRPr="00735BA9">
        <w:t>. It includes an overview of the cumulative energy savings and demand reductions achieved by Duquesne’s Act 129 EE&amp;C programs in Phase II; an overview of the TRC test results for each program and for the portfolio of programs; a discussion of the activities completed by Duquesne’s evaluation contractor to conduct M&amp;V of Duquesne’s EE&amp;C programs and to calculate the cost-effectiveness of the portfolio of programs; a description of the work and findings of the SWE Team audits; and the SWE Team’s recommendations of actions to help improve Duquesne’s programs in the future</w:t>
      </w:r>
      <w:r>
        <w:t>.</w:t>
      </w:r>
    </w:p>
    <w:p w:rsidR="005253C9" w:rsidRDefault="005253C9" w:rsidP="00735BA9"/>
    <w:p w:rsidR="00950837" w:rsidRPr="00915BAC" w:rsidRDefault="00950837" w:rsidP="0043541C">
      <w:pPr>
        <w:pStyle w:val="AppendixAHeading2"/>
      </w:pPr>
      <w:r w:rsidRPr="00915BAC">
        <w:t>Summary of Energy and Demand Reductions</w:t>
      </w:r>
      <w:r w:rsidR="0061651B" w:rsidRPr="00915BAC">
        <w:tab/>
      </w:r>
    </w:p>
    <w:p w:rsidR="009B3C51" w:rsidRDefault="009B3C51" w:rsidP="009B3C51">
      <w:r>
        <w:t>This section lists the</w:t>
      </w:r>
      <w:r w:rsidR="00D54D62">
        <w:t xml:space="preserve"> programs that</w:t>
      </w:r>
      <w:r>
        <w:t xml:space="preserve"> provided energy savings in PY7 and includes the energy and demand savings contributed by each program offered during Phase II. The sector-level verified gross and net energy savings achieved in PY7 are also provided. </w:t>
      </w:r>
    </w:p>
    <w:p w:rsidR="009B3C51" w:rsidRPr="009B3C51" w:rsidRDefault="009B3C51" w:rsidP="009B3C51"/>
    <w:p w:rsidR="00950837" w:rsidRPr="00A1305C" w:rsidRDefault="00950837" w:rsidP="00D34B3E">
      <w:pPr>
        <w:pStyle w:val="AppendixAHeading3"/>
      </w:pPr>
      <w:r w:rsidRPr="00A1305C">
        <w:t>Phase II Savings by Program</w:t>
      </w:r>
    </w:p>
    <w:p w:rsidR="00E41D9C" w:rsidRDefault="00D34B3E" w:rsidP="004B480A">
      <w:r>
        <w:fldChar w:fldCharType="begin"/>
      </w:r>
      <w:r>
        <w:instrText xml:space="preserve"> REF _Ref472434525 \h </w:instrText>
      </w:r>
      <w:r>
        <w:fldChar w:fldCharType="separate"/>
      </w:r>
      <w:r w:rsidR="00C301D0">
        <w:t>Table A-</w:t>
      </w:r>
      <w:r w:rsidR="00C301D0">
        <w:rPr>
          <w:noProof/>
        </w:rPr>
        <w:t>1</w:t>
      </w:r>
      <w:r>
        <w:fldChar w:fldCharType="end"/>
      </w:r>
      <w:r w:rsidR="004B480A">
        <w:t xml:space="preserve"> </w:t>
      </w:r>
      <w:r w:rsidR="004B480A" w:rsidRPr="004B480A">
        <w:t>lists</w:t>
      </w:r>
      <w:r w:rsidR="004B480A">
        <w:t xml:space="preserve"> the</w:t>
      </w:r>
      <w:r w:rsidR="004B480A" w:rsidRPr="004B480A">
        <w:t xml:space="preserve"> </w:t>
      </w:r>
      <w:r w:rsidR="004B480A">
        <w:t>Duquesne</w:t>
      </w:r>
      <w:r w:rsidR="004B480A" w:rsidRPr="004B480A">
        <w:t xml:space="preserve"> EE&amp;C programs</w:t>
      </w:r>
      <w:r w:rsidR="004B480A">
        <w:t xml:space="preserve"> that yielded reported savings in PY7.</w:t>
      </w:r>
      <w:r w:rsidR="005564DE">
        <w:t xml:space="preserve"> </w:t>
      </w:r>
      <w:r w:rsidR="005564DE">
        <w:fldChar w:fldCharType="begin"/>
      </w:r>
      <w:r w:rsidR="005564DE">
        <w:instrText xml:space="preserve"> REF _Ref473202158 \h </w:instrText>
      </w:r>
      <w:r w:rsidR="005564DE">
        <w:fldChar w:fldCharType="separate"/>
      </w:r>
      <w:r w:rsidR="00C301D0">
        <w:t>Table A-</w:t>
      </w:r>
      <w:r w:rsidR="00C301D0">
        <w:rPr>
          <w:noProof/>
        </w:rPr>
        <w:t>2</w:t>
      </w:r>
      <w:r w:rsidR="005564DE">
        <w:fldChar w:fldCharType="end"/>
      </w:r>
      <w:r w:rsidR="004B480A">
        <w:t xml:space="preserve"> shows the verified gross energy and demand savings of each program at the conclusion of Phase II. The upstream lighting program was the largest contributor of both energy and demand savings.</w:t>
      </w:r>
      <w:r w:rsidR="00D900B5">
        <w:t xml:space="preserve"> </w:t>
      </w:r>
    </w:p>
    <w:p w:rsidR="00D900B5" w:rsidRDefault="00D900B5" w:rsidP="004B480A"/>
    <w:p w:rsidR="00E41D9C" w:rsidRDefault="00D34B3E" w:rsidP="00D34B3E">
      <w:pPr>
        <w:pStyle w:val="Caption"/>
      </w:pPr>
      <w:bookmarkStart w:id="499" w:name="_Ref472434525"/>
      <w:bookmarkStart w:id="500" w:name="_Toc472472410"/>
      <w:bookmarkStart w:id="501" w:name="_Toc476842116"/>
      <w:r>
        <w:t>Table A-</w:t>
      </w:r>
      <w:fldSimple w:instr=" SEQ Table_A- \* ARABIC ">
        <w:r w:rsidR="00C301D0">
          <w:rPr>
            <w:noProof/>
          </w:rPr>
          <w:t>1</w:t>
        </w:r>
      </w:fldSimple>
      <w:bookmarkEnd w:id="499"/>
      <w:r w:rsidR="00E41D9C" w:rsidRPr="00E41D9C">
        <w:t>: Duquesne EE&amp;C Programs wi</w:t>
      </w:r>
      <w:r w:rsidR="00E41D9C">
        <w:t>th Reported Gross Savings in PY7</w:t>
      </w:r>
      <w:bookmarkEnd w:id="500"/>
      <w:bookmarkEnd w:id="501"/>
    </w:p>
    <w:tbl>
      <w:tblPr>
        <w:tblW w:w="9350" w:type="dxa"/>
        <w:tblInd w:w="108" w:type="dxa"/>
        <w:tblLook w:val="04A0" w:firstRow="1" w:lastRow="0" w:firstColumn="1" w:lastColumn="0" w:noHBand="0" w:noVBand="1"/>
      </w:tblPr>
      <w:tblGrid>
        <w:gridCol w:w="4660"/>
        <w:gridCol w:w="4690"/>
      </w:tblGrid>
      <w:tr w:rsidR="00E7173E" w:rsidRPr="00EB11FA" w:rsidTr="005D6981">
        <w:trPr>
          <w:cantSplit/>
          <w:trHeight w:val="322"/>
          <w:tblHeader/>
        </w:trPr>
        <w:tc>
          <w:tcPr>
            <w:tcW w:w="466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EB11FA" w:rsidRPr="00EB11FA" w:rsidRDefault="00EB11FA" w:rsidP="0009063A">
            <w:pPr>
              <w:rPr>
                <w:b/>
                <w:bCs/>
                <w:color w:val="FFFFFF"/>
                <w:sz w:val="20"/>
                <w:szCs w:val="20"/>
              </w:rPr>
            </w:pPr>
            <w:r w:rsidRPr="00EB11FA">
              <w:rPr>
                <w:b/>
                <w:bCs/>
                <w:color w:val="FFFFFF"/>
                <w:sz w:val="20"/>
                <w:szCs w:val="20"/>
              </w:rPr>
              <w:t>Programs Reporting PY7 Gross Savings</w:t>
            </w:r>
          </w:p>
        </w:tc>
        <w:tc>
          <w:tcPr>
            <w:tcW w:w="4690" w:type="dxa"/>
            <w:tcBorders>
              <w:top w:val="single" w:sz="8" w:space="0" w:color="448A99"/>
              <w:left w:val="nil"/>
              <w:bottom w:val="single" w:sz="8" w:space="0" w:color="448A99"/>
              <w:right w:val="single" w:sz="8" w:space="0" w:color="448A99"/>
            </w:tcBorders>
            <w:shd w:val="clear" w:color="000000" w:fill="448A99"/>
            <w:vAlign w:val="bottom"/>
            <w:hideMark/>
          </w:tcPr>
          <w:p w:rsidR="00EB11FA" w:rsidRPr="00EB11FA" w:rsidRDefault="00EB11FA" w:rsidP="0009063A">
            <w:pPr>
              <w:jc w:val="center"/>
              <w:rPr>
                <w:b/>
                <w:bCs/>
                <w:color w:val="FFFFFF"/>
                <w:sz w:val="20"/>
                <w:szCs w:val="20"/>
              </w:rPr>
            </w:pPr>
            <w:r w:rsidRPr="00EB11FA">
              <w:rPr>
                <w:b/>
                <w:bCs/>
                <w:color w:val="FFFFFF"/>
                <w:sz w:val="20"/>
                <w:szCs w:val="20"/>
              </w:rPr>
              <w:t>Sector(s)</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rPr>
                <w:color w:val="000000"/>
                <w:sz w:val="20"/>
                <w:szCs w:val="20"/>
              </w:rPr>
            </w:pPr>
            <w:r w:rsidRPr="00EB11FA">
              <w:rPr>
                <w:color w:val="000000"/>
                <w:sz w:val="20"/>
                <w:szCs w:val="20"/>
              </w:rPr>
              <w:t>Residential: EE Program (REEP):  Rebate Program</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09063A">
            <w:pPr>
              <w:jc w:val="center"/>
              <w:rPr>
                <w:color w:val="000000"/>
                <w:sz w:val="20"/>
                <w:szCs w:val="20"/>
              </w:rPr>
            </w:pPr>
            <w:r w:rsidRPr="00EB11FA">
              <w:rPr>
                <w:color w:val="000000"/>
                <w:sz w:val="20"/>
                <w:szCs w:val="20"/>
              </w:rPr>
              <w:t>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rPr>
                <w:color w:val="000000"/>
                <w:sz w:val="20"/>
                <w:szCs w:val="20"/>
              </w:rPr>
            </w:pPr>
            <w:r w:rsidRPr="00EB11FA">
              <w:rPr>
                <w:color w:val="000000"/>
                <w:sz w:val="20"/>
                <w:szCs w:val="20"/>
              </w:rPr>
              <w:t>Residential: EE Program (Upstream Lighting)</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09063A">
            <w:pPr>
              <w:jc w:val="center"/>
              <w:rPr>
                <w:color w:val="000000"/>
                <w:sz w:val="20"/>
                <w:szCs w:val="20"/>
              </w:rPr>
            </w:pPr>
            <w:r w:rsidRPr="00EB11FA">
              <w:rPr>
                <w:color w:val="000000"/>
                <w:sz w:val="20"/>
                <w:szCs w:val="20"/>
              </w:rPr>
              <w:t>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rPr>
                <w:color w:val="000000"/>
                <w:sz w:val="20"/>
                <w:szCs w:val="20"/>
              </w:rPr>
            </w:pPr>
            <w:r w:rsidRPr="00EB11FA">
              <w:rPr>
                <w:color w:val="000000"/>
                <w:sz w:val="20"/>
                <w:szCs w:val="20"/>
              </w:rPr>
              <w:t>Residential: School Energy Pledge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09063A">
            <w:pPr>
              <w:jc w:val="center"/>
              <w:rPr>
                <w:color w:val="000000"/>
                <w:sz w:val="20"/>
                <w:szCs w:val="20"/>
              </w:rPr>
            </w:pPr>
            <w:r w:rsidRPr="00EB11FA">
              <w:rPr>
                <w:color w:val="000000"/>
                <w:sz w:val="20"/>
                <w:szCs w:val="20"/>
              </w:rPr>
              <w:t>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rPr>
                <w:color w:val="000000"/>
                <w:sz w:val="20"/>
                <w:szCs w:val="20"/>
              </w:rPr>
            </w:pPr>
            <w:r w:rsidRPr="00EB11FA">
              <w:rPr>
                <w:color w:val="000000"/>
                <w:sz w:val="20"/>
                <w:szCs w:val="20"/>
              </w:rPr>
              <w:t>Residential: Appliance Recycling</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09063A">
            <w:pPr>
              <w:jc w:val="center"/>
              <w:rPr>
                <w:color w:val="000000"/>
                <w:sz w:val="20"/>
                <w:szCs w:val="20"/>
              </w:rPr>
            </w:pPr>
            <w:r w:rsidRPr="00EB11FA">
              <w:rPr>
                <w:color w:val="000000"/>
                <w:sz w:val="20"/>
                <w:szCs w:val="20"/>
              </w:rPr>
              <w:t>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rPr>
                <w:color w:val="000000"/>
                <w:sz w:val="20"/>
                <w:szCs w:val="20"/>
              </w:rPr>
            </w:pPr>
            <w:r w:rsidRPr="00EB11FA">
              <w:rPr>
                <w:color w:val="000000"/>
                <w:sz w:val="20"/>
                <w:szCs w:val="20"/>
              </w:rPr>
              <w:t>Residential:  Whole House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09063A">
            <w:pPr>
              <w:jc w:val="center"/>
              <w:rPr>
                <w:color w:val="000000"/>
                <w:sz w:val="20"/>
                <w:szCs w:val="20"/>
              </w:rPr>
            </w:pPr>
            <w:r w:rsidRPr="00EB11FA">
              <w:rPr>
                <w:color w:val="000000"/>
                <w:sz w:val="20"/>
                <w:szCs w:val="20"/>
              </w:rPr>
              <w:t>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rPr>
                <w:color w:val="000000"/>
                <w:sz w:val="20"/>
                <w:szCs w:val="20"/>
              </w:rPr>
            </w:pPr>
            <w:r w:rsidRPr="00EB11FA">
              <w:rPr>
                <w:color w:val="000000"/>
                <w:sz w:val="20"/>
                <w:szCs w:val="20"/>
              </w:rPr>
              <w:t>Residential: Low-Income EE</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09063A">
            <w:pPr>
              <w:jc w:val="center"/>
              <w:rPr>
                <w:color w:val="000000"/>
                <w:sz w:val="20"/>
                <w:szCs w:val="20"/>
              </w:rPr>
            </w:pPr>
            <w:r w:rsidRPr="00EB11FA">
              <w:rPr>
                <w:color w:val="000000"/>
                <w:sz w:val="20"/>
                <w:szCs w:val="20"/>
              </w:rPr>
              <w:t>Low-Income</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rPr>
                <w:color w:val="000000"/>
                <w:sz w:val="20"/>
                <w:szCs w:val="20"/>
              </w:rPr>
            </w:pPr>
            <w:r w:rsidRPr="00EB11FA">
              <w:rPr>
                <w:color w:val="000000"/>
                <w:sz w:val="20"/>
                <w:szCs w:val="20"/>
              </w:rPr>
              <w:t>Residential: Low-Income EE (Upstream Lighting)</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09063A">
            <w:pPr>
              <w:jc w:val="center"/>
              <w:rPr>
                <w:color w:val="000000"/>
                <w:sz w:val="20"/>
                <w:szCs w:val="20"/>
              </w:rPr>
            </w:pPr>
            <w:r w:rsidRPr="00EB11FA">
              <w:rPr>
                <w:color w:val="000000"/>
                <w:sz w:val="20"/>
                <w:szCs w:val="20"/>
              </w:rPr>
              <w:t>Low-Income</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rPr>
                <w:color w:val="000000"/>
                <w:sz w:val="20"/>
                <w:szCs w:val="20"/>
              </w:rPr>
            </w:pPr>
            <w:r w:rsidRPr="00EB11FA">
              <w:rPr>
                <w:color w:val="000000"/>
                <w:sz w:val="20"/>
                <w:szCs w:val="20"/>
              </w:rPr>
              <w:t>Residential: Low-Income EE (Home Energy Report)</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09063A">
            <w:pPr>
              <w:jc w:val="center"/>
              <w:rPr>
                <w:color w:val="000000"/>
                <w:sz w:val="20"/>
                <w:szCs w:val="20"/>
              </w:rPr>
            </w:pPr>
            <w:r w:rsidRPr="00EB11FA">
              <w:rPr>
                <w:color w:val="000000"/>
                <w:sz w:val="20"/>
                <w:szCs w:val="20"/>
              </w:rPr>
              <w:t>Low-Income</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rPr>
                <w:color w:val="000000"/>
                <w:sz w:val="20"/>
                <w:szCs w:val="20"/>
              </w:rPr>
            </w:pPr>
            <w:r w:rsidRPr="00EB11FA">
              <w:rPr>
                <w:color w:val="000000"/>
                <w:sz w:val="20"/>
                <w:szCs w:val="20"/>
              </w:rPr>
              <w:t>Commercial Sector Umbrella EE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09063A">
            <w:pPr>
              <w:jc w:val="center"/>
              <w:rPr>
                <w:color w:val="000000"/>
                <w:sz w:val="20"/>
                <w:szCs w:val="20"/>
              </w:rPr>
            </w:pPr>
            <w:r w:rsidRPr="00EB11FA">
              <w:rPr>
                <w:color w:val="000000"/>
                <w:sz w:val="20"/>
                <w:szCs w:val="20"/>
              </w:rPr>
              <w:t>Non-Residential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rPr>
                <w:color w:val="000000"/>
                <w:sz w:val="20"/>
                <w:szCs w:val="20"/>
              </w:rPr>
            </w:pPr>
            <w:r w:rsidRPr="00EB11FA">
              <w:rPr>
                <w:color w:val="000000"/>
                <w:sz w:val="20"/>
                <w:szCs w:val="20"/>
              </w:rPr>
              <w:t>Healthcare EE</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09063A">
            <w:pPr>
              <w:jc w:val="center"/>
              <w:rPr>
                <w:color w:val="000000"/>
                <w:sz w:val="20"/>
                <w:szCs w:val="20"/>
              </w:rPr>
            </w:pPr>
            <w:r w:rsidRPr="00EB11FA">
              <w:rPr>
                <w:color w:val="000000"/>
                <w:sz w:val="20"/>
                <w:szCs w:val="20"/>
              </w:rPr>
              <w:t>Non-Residential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rPr>
                <w:color w:val="000000"/>
                <w:sz w:val="20"/>
                <w:szCs w:val="20"/>
              </w:rPr>
            </w:pPr>
            <w:r w:rsidRPr="00EB11FA">
              <w:rPr>
                <w:color w:val="000000"/>
                <w:sz w:val="20"/>
                <w:szCs w:val="20"/>
              </w:rPr>
              <w:t>Industrial Sector Umbrella EE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09063A">
            <w:pPr>
              <w:jc w:val="center"/>
              <w:rPr>
                <w:color w:val="000000"/>
                <w:sz w:val="20"/>
                <w:szCs w:val="20"/>
              </w:rPr>
            </w:pPr>
            <w:r w:rsidRPr="00EB11FA">
              <w:rPr>
                <w:color w:val="000000"/>
                <w:sz w:val="20"/>
                <w:szCs w:val="20"/>
              </w:rPr>
              <w:t>Non-Residential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rPr>
                <w:color w:val="000000"/>
                <w:sz w:val="20"/>
                <w:szCs w:val="20"/>
              </w:rPr>
            </w:pPr>
            <w:r w:rsidRPr="00EB11FA">
              <w:rPr>
                <w:color w:val="000000"/>
                <w:sz w:val="20"/>
                <w:szCs w:val="20"/>
              </w:rPr>
              <w:t>Chemical Products EE</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09063A">
            <w:pPr>
              <w:jc w:val="center"/>
              <w:rPr>
                <w:color w:val="000000"/>
                <w:sz w:val="20"/>
                <w:szCs w:val="20"/>
              </w:rPr>
            </w:pPr>
            <w:r w:rsidRPr="00EB11FA">
              <w:rPr>
                <w:color w:val="000000"/>
                <w:sz w:val="20"/>
                <w:szCs w:val="20"/>
              </w:rPr>
              <w:t>Non-Residential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rPr>
                <w:color w:val="000000"/>
                <w:sz w:val="20"/>
                <w:szCs w:val="20"/>
              </w:rPr>
            </w:pPr>
            <w:r w:rsidRPr="00EB11FA">
              <w:rPr>
                <w:color w:val="000000"/>
                <w:sz w:val="20"/>
                <w:szCs w:val="20"/>
              </w:rPr>
              <w:t>Mixed Industrial EE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09063A">
            <w:pPr>
              <w:jc w:val="center"/>
              <w:rPr>
                <w:color w:val="000000"/>
                <w:sz w:val="20"/>
                <w:szCs w:val="20"/>
              </w:rPr>
            </w:pPr>
            <w:r w:rsidRPr="00EB11FA">
              <w:rPr>
                <w:color w:val="000000"/>
                <w:sz w:val="20"/>
                <w:szCs w:val="20"/>
              </w:rPr>
              <w:t>Non-Residential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rPr>
                <w:color w:val="000000"/>
                <w:sz w:val="20"/>
                <w:szCs w:val="20"/>
              </w:rPr>
            </w:pPr>
            <w:r w:rsidRPr="00EB11FA">
              <w:rPr>
                <w:color w:val="000000"/>
                <w:sz w:val="20"/>
                <w:szCs w:val="20"/>
              </w:rPr>
              <w:t>Office Building - Large EE</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09063A">
            <w:pPr>
              <w:jc w:val="center"/>
              <w:rPr>
                <w:color w:val="000000"/>
                <w:sz w:val="20"/>
                <w:szCs w:val="20"/>
              </w:rPr>
            </w:pPr>
            <w:r w:rsidRPr="00EB11FA">
              <w:rPr>
                <w:color w:val="000000"/>
                <w:sz w:val="20"/>
                <w:szCs w:val="20"/>
              </w:rPr>
              <w:t>Non-Residential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rPr>
                <w:color w:val="000000"/>
                <w:sz w:val="20"/>
                <w:szCs w:val="20"/>
              </w:rPr>
            </w:pPr>
            <w:r w:rsidRPr="00EB11FA">
              <w:rPr>
                <w:color w:val="000000"/>
                <w:sz w:val="20"/>
                <w:szCs w:val="20"/>
              </w:rPr>
              <w:t>Primary Metals EE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09063A">
            <w:pPr>
              <w:jc w:val="center"/>
              <w:rPr>
                <w:color w:val="000000"/>
                <w:sz w:val="20"/>
                <w:szCs w:val="20"/>
              </w:rPr>
            </w:pPr>
            <w:r w:rsidRPr="00EB11FA">
              <w:rPr>
                <w:color w:val="000000"/>
                <w:sz w:val="20"/>
                <w:szCs w:val="20"/>
              </w:rPr>
              <w:t>Non-Residential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rPr>
                <w:color w:val="000000"/>
                <w:sz w:val="20"/>
                <w:szCs w:val="20"/>
              </w:rPr>
            </w:pPr>
            <w:r w:rsidRPr="00EB11FA">
              <w:rPr>
                <w:color w:val="000000"/>
                <w:sz w:val="20"/>
                <w:szCs w:val="20"/>
              </w:rPr>
              <w:t>Public Agency / Non-Profit</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09063A">
            <w:pPr>
              <w:jc w:val="center"/>
              <w:rPr>
                <w:color w:val="000000"/>
                <w:sz w:val="20"/>
                <w:szCs w:val="20"/>
              </w:rPr>
            </w:pPr>
            <w:r w:rsidRPr="00EB11FA">
              <w:rPr>
                <w:color w:val="000000"/>
                <w:sz w:val="20"/>
                <w:szCs w:val="20"/>
              </w:rPr>
              <w:t>Non-Residential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rPr>
                <w:color w:val="000000"/>
                <w:sz w:val="20"/>
                <w:szCs w:val="20"/>
              </w:rPr>
            </w:pPr>
            <w:r w:rsidRPr="00EB11FA">
              <w:rPr>
                <w:color w:val="000000"/>
                <w:sz w:val="20"/>
                <w:szCs w:val="20"/>
              </w:rPr>
              <w:t>Retail Stores - Small EE</w:t>
            </w:r>
          </w:p>
        </w:tc>
        <w:tc>
          <w:tcPr>
            <w:tcW w:w="469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09063A">
            <w:pPr>
              <w:jc w:val="center"/>
              <w:rPr>
                <w:color w:val="000000"/>
                <w:sz w:val="20"/>
                <w:szCs w:val="20"/>
              </w:rPr>
            </w:pPr>
            <w:r w:rsidRPr="00EB11FA">
              <w:rPr>
                <w:color w:val="000000"/>
                <w:sz w:val="20"/>
                <w:szCs w:val="20"/>
              </w:rPr>
              <w:t>Non-Residential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rPr>
                <w:color w:val="000000"/>
                <w:sz w:val="20"/>
                <w:szCs w:val="20"/>
              </w:rPr>
            </w:pPr>
            <w:r w:rsidRPr="00EB11FA">
              <w:rPr>
                <w:color w:val="000000"/>
                <w:sz w:val="20"/>
                <w:szCs w:val="20"/>
              </w:rPr>
              <w:lastRenderedPageBreak/>
              <w:t>Multifamily Housing Retrofit</w:t>
            </w:r>
          </w:p>
        </w:tc>
        <w:tc>
          <w:tcPr>
            <w:tcW w:w="469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09063A">
            <w:pPr>
              <w:jc w:val="center"/>
              <w:rPr>
                <w:color w:val="000000"/>
                <w:sz w:val="20"/>
                <w:szCs w:val="20"/>
              </w:rPr>
            </w:pPr>
            <w:r w:rsidRPr="00EB11FA">
              <w:rPr>
                <w:color w:val="000000"/>
                <w:sz w:val="20"/>
                <w:szCs w:val="20"/>
              </w:rPr>
              <w:t>Non-Residential</w:t>
            </w:r>
          </w:p>
        </w:tc>
      </w:tr>
      <w:tr w:rsidR="00E7173E" w:rsidRPr="00EB11FA" w:rsidTr="005D6981">
        <w:trPr>
          <w:trHeight w:val="315"/>
        </w:trPr>
        <w:tc>
          <w:tcPr>
            <w:tcW w:w="4660" w:type="dxa"/>
            <w:tcBorders>
              <w:top w:val="nil"/>
              <w:left w:val="single" w:sz="8" w:space="0" w:color="448A99"/>
              <w:bottom w:val="single" w:sz="8" w:space="0" w:color="448A99"/>
              <w:right w:val="single" w:sz="8" w:space="0" w:color="448A99"/>
            </w:tcBorders>
            <w:shd w:val="clear" w:color="000000" w:fill="FFFFFF"/>
            <w:vAlign w:val="center"/>
            <w:hideMark/>
          </w:tcPr>
          <w:p w:rsidR="00EB11FA" w:rsidRPr="00EB11FA" w:rsidRDefault="00EB11FA" w:rsidP="00EB11FA">
            <w:pPr>
              <w:rPr>
                <w:color w:val="000000"/>
                <w:sz w:val="20"/>
                <w:szCs w:val="20"/>
              </w:rPr>
            </w:pPr>
            <w:r w:rsidRPr="00EB11FA">
              <w:rPr>
                <w:color w:val="000000"/>
                <w:sz w:val="20"/>
                <w:szCs w:val="20"/>
              </w:rPr>
              <w:t>Small Commercial Direct Install</w:t>
            </w:r>
          </w:p>
        </w:tc>
        <w:tc>
          <w:tcPr>
            <w:tcW w:w="4690" w:type="dxa"/>
            <w:tcBorders>
              <w:top w:val="nil"/>
              <w:left w:val="nil"/>
              <w:bottom w:val="single" w:sz="8" w:space="0" w:color="448A99"/>
              <w:right w:val="single" w:sz="8" w:space="0" w:color="448A99"/>
            </w:tcBorders>
            <w:shd w:val="clear" w:color="000000" w:fill="FFFFFF"/>
            <w:vAlign w:val="center"/>
            <w:hideMark/>
          </w:tcPr>
          <w:p w:rsidR="00EB11FA" w:rsidRPr="00EB11FA" w:rsidRDefault="00EB11FA" w:rsidP="0009063A">
            <w:pPr>
              <w:jc w:val="center"/>
              <w:rPr>
                <w:color w:val="000000"/>
                <w:sz w:val="20"/>
                <w:szCs w:val="20"/>
              </w:rPr>
            </w:pPr>
            <w:r w:rsidRPr="00EB11FA">
              <w:rPr>
                <w:color w:val="000000"/>
                <w:sz w:val="20"/>
                <w:szCs w:val="20"/>
              </w:rPr>
              <w:t>Non-Residential</w:t>
            </w:r>
          </w:p>
        </w:tc>
      </w:tr>
    </w:tbl>
    <w:p w:rsidR="00E41D9C" w:rsidRDefault="00E41D9C" w:rsidP="00E41D9C"/>
    <w:p w:rsidR="005A1DB5" w:rsidRDefault="00D34B3E" w:rsidP="00D34B3E">
      <w:pPr>
        <w:pStyle w:val="Caption"/>
      </w:pPr>
      <w:bookmarkStart w:id="502" w:name="_Ref473202158"/>
      <w:bookmarkStart w:id="503" w:name="_Toc472472411"/>
      <w:bookmarkStart w:id="504" w:name="_Toc476842117"/>
      <w:r>
        <w:t>Table A-</w:t>
      </w:r>
      <w:fldSimple w:instr=" SEQ Table_A- \* ARABIC ">
        <w:r w:rsidR="00C301D0">
          <w:rPr>
            <w:noProof/>
          </w:rPr>
          <w:t>2</w:t>
        </w:r>
      </w:fldSimple>
      <w:bookmarkEnd w:id="502"/>
      <w:r w:rsidR="005A1DB5" w:rsidRPr="00E41D9C">
        <w:t xml:space="preserve">: </w:t>
      </w:r>
      <w:r w:rsidR="005A1DB5" w:rsidRPr="005A1DB5">
        <w:t>Summary of Duquesne EE&amp;C Program Impacts on Verified Gross Portfolio Savings</w:t>
      </w:r>
      <w:bookmarkEnd w:id="503"/>
      <w:bookmarkEnd w:id="504"/>
    </w:p>
    <w:tbl>
      <w:tblPr>
        <w:tblW w:w="9360" w:type="dxa"/>
        <w:tblInd w:w="108" w:type="dxa"/>
        <w:tblLook w:val="04A0" w:firstRow="1" w:lastRow="0" w:firstColumn="1" w:lastColumn="0" w:noHBand="0" w:noVBand="1"/>
      </w:tblPr>
      <w:tblGrid>
        <w:gridCol w:w="4400"/>
        <w:gridCol w:w="1170"/>
        <w:gridCol w:w="1350"/>
        <w:gridCol w:w="1170"/>
        <w:gridCol w:w="1270"/>
      </w:tblGrid>
      <w:tr w:rsidR="00A874AC" w:rsidRPr="00EB11FA" w:rsidTr="005D6981">
        <w:trPr>
          <w:trHeight w:val="853"/>
          <w:tblHeader/>
        </w:trPr>
        <w:tc>
          <w:tcPr>
            <w:tcW w:w="440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EB11FA" w:rsidRPr="00EB11FA" w:rsidRDefault="00EB11FA" w:rsidP="001C5C8F">
            <w:pPr>
              <w:rPr>
                <w:b/>
                <w:bCs/>
                <w:color w:val="FFFFFF"/>
                <w:sz w:val="20"/>
                <w:szCs w:val="20"/>
              </w:rPr>
            </w:pPr>
            <w:r w:rsidRPr="00EB11FA">
              <w:rPr>
                <w:b/>
                <w:bCs/>
                <w:color w:val="FFFFFF"/>
                <w:sz w:val="20"/>
                <w:szCs w:val="20"/>
              </w:rPr>
              <w:t>Program</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EB11FA" w:rsidRPr="00EB11FA" w:rsidRDefault="00EB11FA" w:rsidP="001C5C8F">
            <w:pPr>
              <w:jc w:val="center"/>
              <w:rPr>
                <w:b/>
                <w:bCs/>
                <w:color w:val="FFFFFF"/>
                <w:sz w:val="20"/>
                <w:szCs w:val="20"/>
              </w:rPr>
            </w:pPr>
            <w:r w:rsidRPr="00EB11FA">
              <w:rPr>
                <w:b/>
                <w:bCs/>
                <w:color w:val="FFFFFF"/>
                <w:sz w:val="20"/>
                <w:szCs w:val="20"/>
              </w:rPr>
              <w:t>Phase II VG Savings (MWh)</w:t>
            </w:r>
          </w:p>
        </w:tc>
        <w:tc>
          <w:tcPr>
            <w:tcW w:w="1350" w:type="dxa"/>
            <w:tcBorders>
              <w:top w:val="single" w:sz="8" w:space="0" w:color="448A99"/>
              <w:left w:val="nil"/>
              <w:bottom w:val="single" w:sz="8" w:space="0" w:color="448A99"/>
              <w:right w:val="single" w:sz="8" w:space="0" w:color="448A99"/>
            </w:tcBorders>
            <w:shd w:val="clear" w:color="000000" w:fill="448A99"/>
            <w:vAlign w:val="bottom"/>
            <w:hideMark/>
          </w:tcPr>
          <w:p w:rsidR="00EB11FA" w:rsidRPr="00EB11FA" w:rsidRDefault="00EB11FA" w:rsidP="001C5C8F">
            <w:pPr>
              <w:jc w:val="center"/>
              <w:rPr>
                <w:b/>
                <w:bCs/>
                <w:color w:val="FFFFFF"/>
                <w:sz w:val="20"/>
                <w:szCs w:val="20"/>
              </w:rPr>
            </w:pPr>
            <w:r w:rsidRPr="00EB11FA">
              <w:rPr>
                <w:b/>
                <w:bCs/>
                <w:color w:val="FFFFFF"/>
                <w:sz w:val="20"/>
                <w:szCs w:val="20"/>
              </w:rPr>
              <w:t>Percent of Portfolio Phase II VG MWh Savings</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EB11FA" w:rsidRPr="00EB11FA" w:rsidRDefault="00EB11FA" w:rsidP="001C5C8F">
            <w:pPr>
              <w:jc w:val="center"/>
              <w:rPr>
                <w:b/>
                <w:bCs/>
                <w:color w:val="FFFFFF"/>
                <w:sz w:val="20"/>
                <w:szCs w:val="20"/>
              </w:rPr>
            </w:pPr>
            <w:r w:rsidRPr="00EB11FA">
              <w:rPr>
                <w:b/>
                <w:bCs/>
                <w:color w:val="FFFFFF"/>
                <w:sz w:val="20"/>
                <w:szCs w:val="20"/>
              </w:rPr>
              <w:t>Phase II VG Savings (MW)</w:t>
            </w:r>
          </w:p>
        </w:tc>
        <w:tc>
          <w:tcPr>
            <w:tcW w:w="1270" w:type="dxa"/>
            <w:tcBorders>
              <w:top w:val="single" w:sz="8" w:space="0" w:color="448A99"/>
              <w:left w:val="nil"/>
              <w:bottom w:val="single" w:sz="8" w:space="0" w:color="448A99"/>
              <w:right w:val="single" w:sz="8" w:space="0" w:color="448A99"/>
            </w:tcBorders>
            <w:shd w:val="clear" w:color="000000" w:fill="448A99"/>
            <w:vAlign w:val="bottom"/>
            <w:hideMark/>
          </w:tcPr>
          <w:p w:rsidR="00EB11FA" w:rsidRPr="00EB11FA" w:rsidRDefault="00EB11FA" w:rsidP="001C5C8F">
            <w:pPr>
              <w:jc w:val="center"/>
              <w:rPr>
                <w:b/>
                <w:bCs/>
                <w:color w:val="FFFFFF"/>
                <w:sz w:val="20"/>
                <w:szCs w:val="20"/>
              </w:rPr>
            </w:pPr>
            <w:r w:rsidRPr="00EB11FA">
              <w:rPr>
                <w:b/>
                <w:bCs/>
                <w:color w:val="FFFFFF"/>
                <w:sz w:val="20"/>
                <w:szCs w:val="20"/>
              </w:rPr>
              <w:t>Percent of Portfolio Phase II VG MW Savings</w:t>
            </w:r>
          </w:p>
        </w:tc>
      </w:tr>
      <w:tr w:rsidR="00E7173E"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jc w:val="left"/>
              <w:rPr>
                <w:color w:val="000000"/>
                <w:sz w:val="20"/>
                <w:szCs w:val="20"/>
              </w:rPr>
            </w:pPr>
            <w:r w:rsidRPr="00EB11FA">
              <w:rPr>
                <w:color w:val="000000"/>
                <w:sz w:val="20"/>
                <w:szCs w:val="20"/>
              </w:rPr>
              <w:t>Residential: EE Program (REEP):  Rebate Program</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8,301</w:t>
            </w:r>
          </w:p>
        </w:tc>
        <w:tc>
          <w:tcPr>
            <w:tcW w:w="135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2%</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1.089</w:t>
            </w:r>
          </w:p>
        </w:tc>
        <w:tc>
          <w:tcPr>
            <w:tcW w:w="127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2%</w:t>
            </w:r>
          </w:p>
        </w:tc>
      </w:tr>
      <w:tr w:rsidR="00A874AC"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jc w:val="left"/>
              <w:rPr>
                <w:color w:val="000000"/>
                <w:sz w:val="20"/>
                <w:szCs w:val="20"/>
              </w:rPr>
            </w:pPr>
            <w:r w:rsidRPr="00EB11FA">
              <w:rPr>
                <w:color w:val="000000"/>
                <w:sz w:val="20"/>
                <w:szCs w:val="20"/>
              </w:rPr>
              <w:t>Residential: EE Program (Upstream Lighting)</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109,372</w:t>
            </w:r>
          </w:p>
        </w:tc>
        <w:tc>
          <w:tcPr>
            <w:tcW w:w="1350" w:type="dxa"/>
            <w:tcBorders>
              <w:top w:val="nil"/>
              <w:left w:val="nil"/>
              <w:bottom w:val="single" w:sz="8" w:space="0" w:color="448A99"/>
              <w:right w:val="single" w:sz="8" w:space="0" w:color="448A99"/>
            </w:tcBorders>
            <w:shd w:val="clear" w:color="000000" w:fill="D2EAF1"/>
            <w:noWrap/>
            <w:vAlign w:val="center"/>
            <w:hideMark/>
          </w:tcPr>
          <w:p w:rsidR="00EB11FA" w:rsidRPr="00EB11FA" w:rsidRDefault="00EB11FA" w:rsidP="00EB11FA">
            <w:pPr>
              <w:jc w:val="center"/>
              <w:rPr>
                <w:color w:val="000000"/>
                <w:sz w:val="20"/>
                <w:szCs w:val="20"/>
              </w:rPr>
            </w:pPr>
            <w:r w:rsidRPr="00EB11FA">
              <w:rPr>
                <w:color w:val="000000"/>
                <w:sz w:val="20"/>
                <w:szCs w:val="20"/>
              </w:rPr>
              <w:t>29%</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8.876</w:t>
            </w:r>
          </w:p>
        </w:tc>
        <w:tc>
          <w:tcPr>
            <w:tcW w:w="12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19%</w:t>
            </w:r>
          </w:p>
        </w:tc>
      </w:tr>
      <w:tr w:rsidR="00E7173E"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jc w:val="left"/>
              <w:rPr>
                <w:color w:val="000000"/>
                <w:sz w:val="20"/>
                <w:szCs w:val="20"/>
              </w:rPr>
            </w:pPr>
            <w:r w:rsidRPr="00EB11FA">
              <w:rPr>
                <w:color w:val="000000"/>
                <w:sz w:val="20"/>
                <w:szCs w:val="20"/>
              </w:rPr>
              <w:t>Residential: School Energy Pledge</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435</w:t>
            </w:r>
          </w:p>
        </w:tc>
        <w:tc>
          <w:tcPr>
            <w:tcW w:w="135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0%</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0.028</w:t>
            </w:r>
          </w:p>
        </w:tc>
        <w:tc>
          <w:tcPr>
            <w:tcW w:w="12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0%</w:t>
            </w:r>
          </w:p>
        </w:tc>
      </w:tr>
      <w:tr w:rsidR="00A874AC"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jc w:val="left"/>
              <w:rPr>
                <w:color w:val="000000"/>
                <w:sz w:val="20"/>
                <w:szCs w:val="20"/>
              </w:rPr>
            </w:pPr>
            <w:r w:rsidRPr="00EB11FA">
              <w:rPr>
                <w:color w:val="000000"/>
                <w:sz w:val="20"/>
                <w:szCs w:val="20"/>
              </w:rPr>
              <w:t>Residential: Appliance Recycling</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6,229</w:t>
            </w:r>
          </w:p>
        </w:tc>
        <w:tc>
          <w:tcPr>
            <w:tcW w:w="1350" w:type="dxa"/>
            <w:tcBorders>
              <w:top w:val="nil"/>
              <w:left w:val="nil"/>
              <w:bottom w:val="single" w:sz="8" w:space="0" w:color="448A99"/>
              <w:right w:val="single" w:sz="8" w:space="0" w:color="448A99"/>
            </w:tcBorders>
            <w:shd w:val="clear" w:color="000000" w:fill="D2EAF1"/>
            <w:noWrap/>
            <w:vAlign w:val="center"/>
            <w:hideMark/>
          </w:tcPr>
          <w:p w:rsidR="00EB11FA" w:rsidRPr="00EB11FA" w:rsidRDefault="00EB11FA" w:rsidP="00EB11FA">
            <w:pPr>
              <w:jc w:val="center"/>
              <w:rPr>
                <w:color w:val="000000"/>
                <w:sz w:val="20"/>
                <w:szCs w:val="20"/>
              </w:rPr>
            </w:pPr>
            <w:r w:rsidRPr="00EB11FA">
              <w:rPr>
                <w:color w:val="000000"/>
                <w:sz w:val="20"/>
                <w:szCs w:val="20"/>
              </w:rPr>
              <w:t>2%</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0.788</w:t>
            </w:r>
          </w:p>
        </w:tc>
        <w:tc>
          <w:tcPr>
            <w:tcW w:w="12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2%</w:t>
            </w:r>
          </w:p>
        </w:tc>
      </w:tr>
      <w:tr w:rsidR="00E7173E"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jc w:val="left"/>
              <w:rPr>
                <w:color w:val="000000"/>
                <w:sz w:val="20"/>
                <w:szCs w:val="20"/>
              </w:rPr>
            </w:pPr>
            <w:r w:rsidRPr="00EB11FA">
              <w:rPr>
                <w:color w:val="000000"/>
                <w:sz w:val="20"/>
                <w:szCs w:val="20"/>
              </w:rPr>
              <w:t>Residential:  Whole House</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120</w:t>
            </w:r>
          </w:p>
        </w:tc>
        <w:tc>
          <w:tcPr>
            <w:tcW w:w="135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0%</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0.012</w:t>
            </w:r>
          </w:p>
        </w:tc>
        <w:tc>
          <w:tcPr>
            <w:tcW w:w="12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0%</w:t>
            </w:r>
          </w:p>
        </w:tc>
      </w:tr>
      <w:tr w:rsidR="00E7173E"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jc w:val="left"/>
              <w:rPr>
                <w:color w:val="000000"/>
                <w:sz w:val="20"/>
                <w:szCs w:val="20"/>
              </w:rPr>
            </w:pPr>
            <w:r w:rsidRPr="00EB11FA">
              <w:rPr>
                <w:color w:val="000000"/>
                <w:sz w:val="20"/>
                <w:szCs w:val="20"/>
              </w:rPr>
              <w:t>Residential:  Home Energy Report Program</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26,094</w:t>
            </w:r>
          </w:p>
        </w:tc>
        <w:tc>
          <w:tcPr>
            <w:tcW w:w="135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7%</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0.000</w:t>
            </w:r>
          </w:p>
        </w:tc>
        <w:tc>
          <w:tcPr>
            <w:tcW w:w="12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0%</w:t>
            </w:r>
          </w:p>
        </w:tc>
      </w:tr>
      <w:tr w:rsidR="00A874AC"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jc w:val="left"/>
              <w:rPr>
                <w:color w:val="000000"/>
                <w:sz w:val="20"/>
                <w:szCs w:val="20"/>
              </w:rPr>
            </w:pPr>
            <w:r w:rsidRPr="00EB11FA">
              <w:rPr>
                <w:color w:val="000000"/>
                <w:sz w:val="20"/>
                <w:szCs w:val="20"/>
              </w:rPr>
              <w:t>Residential: Low-Income EE</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3,410</w:t>
            </w:r>
          </w:p>
        </w:tc>
        <w:tc>
          <w:tcPr>
            <w:tcW w:w="1350" w:type="dxa"/>
            <w:tcBorders>
              <w:top w:val="nil"/>
              <w:left w:val="nil"/>
              <w:bottom w:val="single" w:sz="8" w:space="0" w:color="448A99"/>
              <w:right w:val="single" w:sz="8" w:space="0" w:color="448A99"/>
            </w:tcBorders>
            <w:shd w:val="clear" w:color="000000" w:fill="D2EAF1"/>
            <w:noWrap/>
            <w:vAlign w:val="center"/>
            <w:hideMark/>
          </w:tcPr>
          <w:p w:rsidR="00EB11FA" w:rsidRPr="00EB11FA" w:rsidRDefault="00EB11FA" w:rsidP="00EB11FA">
            <w:pPr>
              <w:jc w:val="center"/>
              <w:rPr>
                <w:color w:val="000000"/>
                <w:sz w:val="20"/>
                <w:szCs w:val="20"/>
              </w:rPr>
            </w:pPr>
            <w:r w:rsidRPr="00EB11FA">
              <w:rPr>
                <w:color w:val="000000"/>
                <w:sz w:val="20"/>
                <w:szCs w:val="20"/>
              </w:rPr>
              <w:t>1%</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0.424</w:t>
            </w:r>
          </w:p>
        </w:tc>
        <w:tc>
          <w:tcPr>
            <w:tcW w:w="12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1%</w:t>
            </w:r>
          </w:p>
        </w:tc>
      </w:tr>
      <w:tr w:rsidR="00E7173E"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jc w:val="left"/>
              <w:rPr>
                <w:color w:val="000000"/>
                <w:sz w:val="20"/>
                <w:szCs w:val="20"/>
              </w:rPr>
            </w:pPr>
            <w:r w:rsidRPr="00EB11FA">
              <w:rPr>
                <w:color w:val="000000"/>
                <w:sz w:val="20"/>
                <w:szCs w:val="20"/>
              </w:rPr>
              <w:t>Residential: Low-Income EE (Upstream Lighting)</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13,573</w:t>
            </w:r>
          </w:p>
        </w:tc>
        <w:tc>
          <w:tcPr>
            <w:tcW w:w="135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4%</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0.833</w:t>
            </w:r>
          </w:p>
        </w:tc>
        <w:tc>
          <w:tcPr>
            <w:tcW w:w="12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2%</w:t>
            </w:r>
          </w:p>
        </w:tc>
      </w:tr>
      <w:tr w:rsidR="00A874AC"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jc w:val="left"/>
              <w:rPr>
                <w:color w:val="000000"/>
                <w:sz w:val="20"/>
                <w:szCs w:val="20"/>
              </w:rPr>
            </w:pPr>
            <w:r w:rsidRPr="00EB11FA">
              <w:rPr>
                <w:color w:val="000000"/>
                <w:sz w:val="20"/>
                <w:szCs w:val="20"/>
              </w:rPr>
              <w:t xml:space="preserve">Residential:  Low Income </w:t>
            </w:r>
            <w:r w:rsidR="004B480A" w:rsidRPr="00EB11FA">
              <w:rPr>
                <w:color w:val="000000"/>
                <w:sz w:val="20"/>
                <w:szCs w:val="20"/>
              </w:rPr>
              <w:t>EE (</w:t>
            </w:r>
            <w:r w:rsidRPr="00EB11FA">
              <w:rPr>
                <w:color w:val="000000"/>
                <w:sz w:val="20"/>
                <w:szCs w:val="20"/>
              </w:rPr>
              <w:t>Home Energy Report Program)</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2,085</w:t>
            </w:r>
          </w:p>
        </w:tc>
        <w:tc>
          <w:tcPr>
            <w:tcW w:w="1350" w:type="dxa"/>
            <w:tcBorders>
              <w:top w:val="nil"/>
              <w:left w:val="nil"/>
              <w:bottom w:val="single" w:sz="8" w:space="0" w:color="448A99"/>
              <w:right w:val="single" w:sz="8" w:space="0" w:color="448A99"/>
            </w:tcBorders>
            <w:shd w:val="clear" w:color="000000" w:fill="D2EAF1"/>
            <w:noWrap/>
            <w:vAlign w:val="center"/>
            <w:hideMark/>
          </w:tcPr>
          <w:p w:rsidR="00EB11FA" w:rsidRPr="00EB11FA" w:rsidRDefault="00EB11FA" w:rsidP="00EB11FA">
            <w:pPr>
              <w:jc w:val="center"/>
              <w:rPr>
                <w:color w:val="000000"/>
                <w:sz w:val="20"/>
                <w:szCs w:val="20"/>
              </w:rPr>
            </w:pPr>
            <w:r w:rsidRPr="00EB11FA">
              <w:rPr>
                <w:color w:val="000000"/>
                <w:sz w:val="20"/>
                <w:szCs w:val="20"/>
              </w:rPr>
              <w:t>1%</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0.000</w:t>
            </w:r>
          </w:p>
        </w:tc>
        <w:tc>
          <w:tcPr>
            <w:tcW w:w="12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0%</w:t>
            </w:r>
          </w:p>
        </w:tc>
      </w:tr>
      <w:tr w:rsidR="00E7173E"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jc w:val="left"/>
              <w:rPr>
                <w:color w:val="000000"/>
                <w:sz w:val="20"/>
                <w:szCs w:val="20"/>
              </w:rPr>
            </w:pPr>
            <w:r w:rsidRPr="00EB11FA">
              <w:rPr>
                <w:color w:val="000000"/>
                <w:sz w:val="20"/>
                <w:szCs w:val="20"/>
              </w:rPr>
              <w:t>Commercial Sector Umbrella EE</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7,747</w:t>
            </w:r>
          </w:p>
        </w:tc>
        <w:tc>
          <w:tcPr>
            <w:tcW w:w="135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2%</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1.179</w:t>
            </w:r>
          </w:p>
        </w:tc>
        <w:tc>
          <w:tcPr>
            <w:tcW w:w="12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3%</w:t>
            </w:r>
          </w:p>
        </w:tc>
      </w:tr>
      <w:tr w:rsidR="00A874AC"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jc w:val="left"/>
              <w:rPr>
                <w:color w:val="000000"/>
                <w:sz w:val="20"/>
                <w:szCs w:val="20"/>
              </w:rPr>
            </w:pPr>
            <w:r w:rsidRPr="00EB11FA">
              <w:rPr>
                <w:color w:val="000000"/>
                <w:sz w:val="20"/>
                <w:szCs w:val="20"/>
              </w:rPr>
              <w:t>Commercial Sector Umbrella EE (Upstream Lighting)</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27,079</w:t>
            </w:r>
          </w:p>
        </w:tc>
        <w:tc>
          <w:tcPr>
            <w:tcW w:w="1350" w:type="dxa"/>
            <w:tcBorders>
              <w:top w:val="nil"/>
              <w:left w:val="nil"/>
              <w:bottom w:val="single" w:sz="8" w:space="0" w:color="448A99"/>
              <w:right w:val="single" w:sz="8" w:space="0" w:color="448A99"/>
            </w:tcBorders>
            <w:shd w:val="clear" w:color="000000" w:fill="D2EAF1"/>
            <w:noWrap/>
            <w:vAlign w:val="center"/>
            <w:hideMark/>
          </w:tcPr>
          <w:p w:rsidR="00EB11FA" w:rsidRPr="00EB11FA" w:rsidRDefault="00EB11FA" w:rsidP="00EB11FA">
            <w:pPr>
              <w:jc w:val="center"/>
              <w:rPr>
                <w:color w:val="000000"/>
                <w:sz w:val="20"/>
                <w:szCs w:val="20"/>
              </w:rPr>
            </w:pPr>
            <w:r w:rsidRPr="00EB11FA">
              <w:rPr>
                <w:color w:val="000000"/>
                <w:sz w:val="20"/>
                <w:szCs w:val="20"/>
              </w:rPr>
              <w:t>7%</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7.591</w:t>
            </w:r>
          </w:p>
        </w:tc>
        <w:tc>
          <w:tcPr>
            <w:tcW w:w="12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17%</w:t>
            </w:r>
          </w:p>
        </w:tc>
      </w:tr>
      <w:tr w:rsidR="00E7173E"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jc w:val="left"/>
              <w:rPr>
                <w:color w:val="000000"/>
                <w:sz w:val="20"/>
                <w:szCs w:val="20"/>
              </w:rPr>
            </w:pPr>
            <w:r w:rsidRPr="00EB11FA">
              <w:rPr>
                <w:color w:val="000000"/>
                <w:sz w:val="20"/>
                <w:szCs w:val="20"/>
              </w:rPr>
              <w:t>Healthcare EE</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6,679</w:t>
            </w:r>
          </w:p>
        </w:tc>
        <w:tc>
          <w:tcPr>
            <w:tcW w:w="135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2%</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0.486</w:t>
            </w:r>
          </w:p>
        </w:tc>
        <w:tc>
          <w:tcPr>
            <w:tcW w:w="12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1%</w:t>
            </w:r>
          </w:p>
        </w:tc>
      </w:tr>
      <w:tr w:rsidR="00A874AC"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jc w:val="left"/>
              <w:rPr>
                <w:color w:val="000000"/>
                <w:sz w:val="20"/>
                <w:szCs w:val="20"/>
              </w:rPr>
            </w:pPr>
            <w:r w:rsidRPr="00EB11FA">
              <w:rPr>
                <w:color w:val="000000"/>
                <w:sz w:val="20"/>
                <w:szCs w:val="20"/>
              </w:rPr>
              <w:t>Industrial Sector Umbrella EE</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1,751</w:t>
            </w:r>
          </w:p>
        </w:tc>
        <w:tc>
          <w:tcPr>
            <w:tcW w:w="1350" w:type="dxa"/>
            <w:tcBorders>
              <w:top w:val="nil"/>
              <w:left w:val="nil"/>
              <w:bottom w:val="single" w:sz="8" w:space="0" w:color="448A99"/>
              <w:right w:val="single" w:sz="8" w:space="0" w:color="448A99"/>
            </w:tcBorders>
            <w:shd w:val="clear" w:color="000000" w:fill="D2EAF1"/>
            <w:noWrap/>
            <w:vAlign w:val="center"/>
            <w:hideMark/>
          </w:tcPr>
          <w:p w:rsidR="00EB11FA" w:rsidRPr="00EB11FA" w:rsidRDefault="00EB11FA" w:rsidP="00EB11FA">
            <w:pPr>
              <w:jc w:val="center"/>
              <w:rPr>
                <w:color w:val="000000"/>
                <w:sz w:val="20"/>
                <w:szCs w:val="20"/>
              </w:rPr>
            </w:pPr>
            <w:r w:rsidRPr="00EB11FA">
              <w:rPr>
                <w:color w:val="000000"/>
                <w:sz w:val="20"/>
                <w:szCs w:val="20"/>
              </w:rPr>
              <w:t>0%</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0.344</w:t>
            </w:r>
          </w:p>
        </w:tc>
        <w:tc>
          <w:tcPr>
            <w:tcW w:w="12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1%</w:t>
            </w:r>
          </w:p>
        </w:tc>
      </w:tr>
      <w:tr w:rsidR="00E7173E"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jc w:val="left"/>
              <w:rPr>
                <w:color w:val="000000"/>
                <w:sz w:val="20"/>
                <w:szCs w:val="20"/>
              </w:rPr>
            </w:pPr>
            <w:r w:rsidRPr="00EB11FA">
              <w:rPr>
                <w:color w:val="000000"/>
                <w:sz w:val="20"/>
                <w:szCs w:val="20"/>
              </w:rPr>
              <w:t>Chemical Products EE</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19,407</w:t>
            </w:r>
          </w:p>
        </w:tc>
        <w:tc>
          <w:tcPr>
            <w:tcW w:w="135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5%</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2.550</w:t>
            </w:r>
          </w:p>
        </w:tc>
        <w:tc>
          <w:tcPr>
            <w:tcW w:w="12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6%</w:t>
            </w:r>
          </w:p>
        </w:tc>
      </w:tr>
      <w:tr w:rsidR="00A874AC"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jc w:val="left"/>
              <w:rPr>
                <w:color w:val="000000"/>
                <w:sz w:val="20"/>
                <w:szCs w:val="20"/>
              </w:rPr>
            </w:pPr>
            <w:r w:rsidRPr="00EB11FA">
              <w:rPr>
                <w:color w:val="000000"/>
                <w:sz w:val="20"/>
                <w:szCs w:val="20"/>
              </w:rPr>
              <w:t>Mixed Industrial EE</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13,888</w:t>
            </w:r>
          </w:p>
        </w:tc>
        <w:tc>
          <w:tcPr>
            <w:tcW w:w="1350" w:type="dxa"/>
            <w:tcBorders>
              <w:top w:val="nil"/>
              <w:left w:val="nil"/>
              <w:bottom w:val="single" w:sz="8" w:space="0" w:color="448A99"/>
              <w:right w:val="single" w:sz="8" w:space="0" w:color="448A99"/>
            </w:tcBorders>
            <w:shd w:val="clear" w:color="000000" w:fill="D2EAF1"/>
            <w:noWrap/>
            <w:vAlign w:val="center"/>
            <w:hideMark/>
          </w:tcPr>
          <w:p w:rsidR="00EB11FA" w:rsidRPr="00EB11FA" w:rsidRDefault="00EB11FA" w:rsidP="00EB11FA">
            <w:pPr>
              <w:jc w:val="center"/>
              <w:rPr>
                <w:color w:val="000000"/>
                <w:sz w:val="20"/>
                <w:szCs w:val="20"/>
              </w:rPr>
            </w:pPr>
            <w:r w:rsidRPr="00EB11FA">
              <w:rPr>
                <w:color w:val="000000"/>
                <w:sz w:val="20"/>
                <w:szCs w:val="20"/>
              </w:rPr>
              <w:t>4%</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1.956</w:t>
            </w:r>
          </w:p>
        </w:tc>
        <w:tc>
          <w:tcPr>
            <w:tcW w:w="12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4%</w:t>
            </w:r>
          </w:p>
        </w:tc>
      </w:tr>
      <w:tr w:rsidR="00E7173E"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jc w:val="left"/>
              <w:rPr>
                <w:color w:val="000000"/>
                <w:sz w:val="20"/>
                <w:szCs w:val="20"/>
              </w:rPr>
            </w:pPr>
            <w:r w:rsidRPr="00EB11FA">
              <w:rPr>
                <w:color w:val="000000"/>
                <w:sz w:val="20"/>
                <w:szCs w:val="20"/>
              </w:rPr>
              <w:t>Office Building - Large EE</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36,879</w:t>
            </w:r>
          </w:p>
        </w:tc>
        <w:tc>
          <w:tcPr>
            <w:tcW w:w="135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10%</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5.305</w:t>
            </w:r>
          </w:p>
        </w:tc>
        <w:tc>
          <w:tcPr>
            <w:tcW w:w="12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12%</w:t>
            </w:r>
          </w:p>
        </w:tc>
      </w:tr>
      <w:tr w:rsidR="00A874AC"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jc w:val="left"/>
              <w:rPr>
                <w:color w:val="000000"/>
                <w:sz w:val="20"/>
                <w:szCs w:val="20"/>
              </w:rPr>
            </w:pPr>
            <w:r w:rsidRPr="00EB11FA">
              <w:rPr>
                <w:color w:val="000000"/>
                <w:sz w:val="20"/>
                <w:szCs w:val="20"/>
              </w:rPr>
              <w:t>Office Building - Small EE</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838</w:t>
            </w:r>
          </w:p>
        </w:tc>
        <w:tc>
          <w:tcPr>
            <w:tcW w:w="1350" w:type="dxa"/>
            <w:tcBorders>
              <w:top w:val="nil"/>
              <w:left w:val="nil"/>
              <w:bottom w:val="single" w:sz="8" w:space="0" w:color="448A99"/>
              <w:right w:val="single" w:sz="8" w:space="0" w:color="448A99"/>
            </w:tcBorders>
            <w:shd w:val="clear" w:color="000000" w:fill="D2EAF1"/>
            <w:noWrap/>
            <w:vAlign w:val="center"/>
            <w:hideMark/>
          </w:tcPr>
          <w:p w:rsidR="00EB11FA" w:rsidRPr="00EB11FA" w:rsidRDefault="00EB11FA" w:rsidP="00EB11FA">
            <w:pPr>
              <w:jc w:val="center"/>
              <w:rPr>
                <w:color w:val="000000"/>
                <w:sz w:val="20"/>
                <w:szCs w:val="20"/>
              </w:rPr>
            </w:pPr>
            <w:r w:rsidRPr="00EB11FA">
              <w:rPr>
                <w:color w:val="000000"/>
                <w:sz w:val="20"/>
                <w:szCs w:val="20"/>
              </w:rPr>
              <w:t>0%</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0.203</w:t>
            </w:r>
          </w:p>
        </w:tc>
        <w:tc>
          <w:tcPr>
            <w:tcW w:w="12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0%</w:t>
            </w:r>
          </w:p>
        </w:tc>
      </w:tr>
      <w:tr w:rsidR="00E7173E"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jc w:val="left"/>
              <w:rPr>
                <w:color w:val="000000"/>
                <w:sz w:val="20"/>
                <w:szCs w:val="20"/>
              </w:rPr>
            </w:pPr>
            <w:r w:rsidRPr="00EB11FA">
              <w:rPr>
                <w:color w:val="000000"/>
                <w:sz w:val="20"/>
                <w:szCs w:val="20"/>
              </w:rPr>
              <w:t>Primary Metals EE</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45,091</w:t>
            </w:r>
          </w:p>
        </w:tc>
        <w:tc>
          <w:tcPr>
            <w:tcW w:w="135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12%</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5.307</w:t>
            </w:r>
          </w:p>
        </w:tc>
        <w:tc>
          <w:tcPr>
            <w:tcW w:w="12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12%</w:t>
            </w:r>
          </w:p>
        </w:tc>
      </w:tr>
      <w:tr w:rsidR="00A874AC"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jc w:val="left"/>
              <w:rPr>
                <w:color w:val="000000"/>
                <w:sz w:val="20"/>
                <w:szCs w:val="20"/>
              </w:rPr>
            </w:pPr>
            <w:r w:rsidRPr="00EB11FA">
              <w:rPr>
                <w:color w:val="000000"/>
                <w:sz w:val="20"/>
                <w:szCs w:val="20"/>
              </w:rPr>
              <w:t>Public Agency / Non-Profit</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21,964</w:t>
            </w:r>
          </w:p>
        </w:tc>
        <w:tc>
          <w:tcPr>
            <w:tcW w:w="1350" w:type="dxa"/>
            <w:tcBorders>
              <w:top w:val="nil"/>
              <w:left w:val="nil"/>
              <w:bottom w:val="single" w:sz="8" w:space="0" w:color="448A99"/>
              <w:right w:val="single" w:sz="8" w:space="0" w:color="448A99"/>
            </w:tcBorders>
            <w:shd w:val="clear" w:color="000000" w:fill="D2EAF1"/>
            <w:noWrap/>
            <w:vAlign w:val="center"/>
            <w:hideMark/>
          </w:tcPr>
          <w:p w:rsidR="00EB11FA" w:rsidRPr="00EB11FA" w:rsidRDefault="00EB11FA" w:rsidP="00EB11FA">
            <w:pPr>
              <w:jc w:val="center"/>
              <w:rPr>
                <w:color w:val="000000"/>
                <w:sz w:val="20"/>
                <w:szCs w:val="20"/>
              </w:rPr>
            </w:pPr>
            <w:r w:rsidRPr="00EB11FA">
              <w:rPr>
                <w:color w:val="000000"/>
                <w:sz w:val="20"/>
                <w:szCs w:val="20"/>
              </w:rPr>
              <w:t>6%</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4.085</w:t>
            </w:r>
          </w:p>
        </w:tc>
        <w:tc>
          <w:tcPr>
            <w:tcW w:w="12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9%</w:t>
            </w:r>
          </w:p>
        </w:tc>
      </w:tr>
      <w:tr w:rsidR="00E7173E"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jc w:val="left"/>
              <w:rPr>
                <w:color w:val="000000"/>
                <w:sz w:val="20"/>
                <w:szCs w:val="20"/>
              </w:rPr>
            </w:pPr>
            <w:r w:rsidRPr="00EB11FA">
              <w:rPr>
                <w:color w:val="000000"/>
                <w:sz w:val="20"/>
                <w:szCs w:val="20"/>
              </w:rPr>
              <w:t>Retail Stores - Small EE</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color w:val="000000"/>
                <w:sz w:val="20"/>
                <w:szCs w:val="20"/>
              </w:rPr>
            </w:pPr>
            <w:r w:rsidRPr="00EB11FA">
              <w:rPr>
                <w:color w:val="000000"/>
                <w:sz w:val="20"/>
                <w:szCs w:val="20"/>
              </w:rPr>
              <w:t>7,468</w:t>
            </w:r>
          </w:p>
        </w:tc>
        <w:tc>
          <w:tcPr>
            <w:tcW w:w="135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2%</w:t>
            </w:r>
          </w:p>
        </w:tc>
        <w:tc>
          <w:tcPr>
            <w:tcW w:w="117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1.709</w:t>
            </w:r>
          </w:p>
        </w:tc>
        <w:tc>
          <w:tcPr>
            <w:tcW w:w="127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color w:val="000000"/>
                <w:sz w:val="20"/>
                <w:szCs w:val="20"/>
              </w:rPr>
            </w:pPr>
            <w:r w:rsidRPr="00EB11FA">
              <w:rPr>
                <w:color w:val="000000"/>
                <w:sz w:val="20"/>
                <w:szCs w:val="20"/>
              </w:rPr>
              <w:t>4%</w:t>
            </w:r>
          </w:p>
        </w:tc>
      </w:tr>
      <w:tr w:rsidR="00A874AC"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jc w:val="left"/>
              <w:rPr>
                <w:color w:val="000000"/>
                <w:sz w:val="20"/>
                <w:szCs w:val="20"/>
              </w:rPr>
            </w:pPr>
            <w:r w:rsidRPr="00EB11FA">
              <w:rPr>
                <w:color w:val="000000"/>
                <w:sz w:val="20"/>
                <w:szCs w:val="20"/>
              </w:rPr>
              <w:lastRenderedPageBreak/>
              <w:t>Retail Stores - Large EE</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6,896</w:t>
            </w:r>
          </w:p>
        </w:tc>
        <w:tc>
          <w:tcPr>
            <w:tcW w:w="1350" w:type="dxa"/>
            <w:tcBorders>
              <w:top w:val="nil"/>
              <w:left w:val="nil"/>
              <w:bottom w:val="single" w:sz="8" w:space="0" w:color="448A99"/>
              <w:right w:val="single" w:sz="8" w:space="0" w:color="448A99"/>
            </w:tcBorders>
            <w:shd w:val="clear" w:color="000000" w:fill="D2EAF1"/>
            <w:noWrap/>
            <w:vAlign w:val="center"/>
            <w:hideMark/>
          </w:tcPr>
          <w:p w:rsidR="00EB11FA" w:rsidRPr="00EB11FA" w:rsidRDefault="00EB11FA" w:rsidP="00EB11FA">
            <w:pPr>
              <w:jc w:val="center"/>
              <w:rPr>
                <w:color w:val="000000"/>
                <w:sz w:val="20"/>
                <w:szCs w:val="20"/>
              </w:rPr>
            </w:pPr>
            <w:r w:rsidRPr="00EB11FA">
              <w:rPr>
                <w:color w:val="000000"/>
                <w:sz w:val="20"/>
                <w:szCs w:val="20"/>
              </w:rPr>
              <w:t>2%</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1.546</w:t>
            </w:r>
          </w:p>
        </w:tc>
        <w:tc>
          <w:tcPr>
            <w:tcW w:w="12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3%</w:t>
            </w:r>
          </w:p>
        </w:tc>
      </w:tr>
      <w:tr w:rsidR="00A874AC"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000000" w:fill="FFFFFF"/>
            <w:vAlign w:val="center"/>
            <w:hideMark/>
          </w:tcPr>
          <w:p w:rsidR="00EB11FA" w:rsidRPr="00EB11FA" w:rsidRDefault="00EB11FA" w:rsidP="00EB11FA">
            <w:pPr>
              <w:jc w:val="left"/>
              <w:rPr>
                <w:color w:val="000000"/>
                <w:sz w:val="20"/>
                <w:szCs w:val="20"/>
              </w:rPr>
            </w:pPr>
            <w:r w:rsidRPr="00EB11FA">
              <w:rPr>
                <w:color w:val="000000"/>
                <w:sz w:val="20"/>
                <w:szCs w:val="20"/>
              </w:rPr>
              <w:t>Multifamily Housing Retrofit</w:t>
            </w:r>
          </w:p>
        </w:tc>
        <w:tc>
          <w:tcPr>
            <w:tcW w:w="1170" w:type="dxa"/>
            <w:tcBorders>
              <w:top w:val="nil"/>
              <w:left w:val="nil"/>
              <w:bottom w:val="single" w:sz="8" w:space="0" w:color="448A99"/>
              <w:right w:val="single" w:sz="8" w:space="0" w:color="448A99"/>
            </w:tcBorders>
            <w:shd w:val="clear" w:color="000000" w:fill="FFFFFF"/>
            <w:vAlign w:val="center"/>
            <w:hideMark/>
          </w:tcPr>
          <w:p w:rsidR="00EB11FA" w:rsidRPr="00EB11FA" w:rsidRDefault="00EB11FA" w:rsidP="00EB11FA">
            <w:pPr>
              <w:jc w:val="center"/>
              <w:rPr>
                <w:color w:val="000000"/>
                <w:sz w:val="20"/>
                <w:szCs w:val="20"/>
              </w:rPr>
            </w:pPr>
            <w:r w:rsidRPr="00EB11FA">
              <w:rPr>
                <w:color w:val="000000"/>
                <w:sz w:val="20"/>
                <w:szCs w:val="20"/>
              </w:rPr>
              <w:t>4,276</w:t>
            </w:r>
          </w:p>
        </w:tc>
        <w:tc>
          <w:tcPr>
            <w:tcW w:w="1350" w:type="dxa"/>
            <w:tcBorders>
              <w:top w:val="nil"/>
              <w:left w:val="nil"/>
              <w:bottom w:val="single" w:sz="8" w:space="0" w:color="448A99"/>
              <w:right w:val="single" w:sz="8" w:space="0" w:color="448A99"/>
            </w:tcBorders>
            <w:shd w:val="clear" w:color="000000" w:fill="FFFFFF"/>
            <w:noWrap/>
            <w:vAlign w:val="center"/>
            <w:hideMark/>
          </w:tcPr>
          <w:p w:rsidR="00EB11FA" w:rsidRPr="00EB11FA" w:rsidRDefault="00EB11FA" w:rsidP="00EB11FA">
            <w:pPr>
              <w:jc w:val="center"/>
              <w:rPr>
                <w:color w:val="000000"/>
                <w:sz w:val="20"/>
                <w:szCs w:val="20"/>
              </w:rPr>
            </w:pPr>
            <w:r w:rsidRPr="00EB11FA">
              <w:rPr>
                <w:color w:val="000000"/>
                <w:sz w:val="20"/>
                <w:szCs w:val="20"/>
              </w:rPr>
              <w:t>1%</w:t>
            </w:r>
          </w:p>
        </w:tc>
        <w:tc>
          <w:tcPr>
            <w:tcW w:w="1170" w:type="dxa"/>
            <w:tcBorders>
              <w:top w:val="nil"/>
              <w:left w:val="nil"/>
              <w:bottom w:val="single" w:sz="8" w:space="0" w:color="448A99"/>
              <w:right w:val="single" w:sz="8" w:space="0" w:color="448A99"/>
            </w:tcBorders>
            <w:shd w:val="clear" w:color="000000" w:fill="FFFFFF"/>
            <w:vAlign w:val="center"/>
            <w:hideMark/>
          </w:tcPr>
          <w:p w:rsidR="00EB11FA" w:rsidRPr="00EB11FA" w:rsidRDefault="00EB11FA" w:rsidP="00EB11FA">
            <w:pPr>
              <w:jc w:val="center"/>
              <w:rPr>
                <w:color w:val="000000"/>
                <w:sz w:val="20"/>
                <w:szCs w:val="20"/>
              </w:rPr>
            </w:pPr>
            <w:r w:rsidRPr="00EB11FA">
              <w:rPr>
                <w:color w:val="000000"/>
                <w:sz w:val="20"/>
                <w:szCs w:val="20"/>
              </w:rPr>
              <w:t>0.404</w:t>
            </w:r>
          </w:p>
        </w:tc>
        <w:tc>
          <w:tcPr>
            <w:tcW w:w="1270" w:type="dxa"/>
            <w:tcBorders>
              <w:top w:val="nil"/>
              <w:left w:val="nil"/>
              <w:bottom w:val="single" w:sz="8" w:space="0" w:color="448A99"/>
              <w:right w:val="single" w:sz="8" w:space="0" w:color="448A99"/>
            </w:tcBorders>
            <w:shd w:val="clear" w:color="000000" w:fill="FFFFFF"/>
            <w:vAlign w:val="center"/>
            <w:hideMark/>
          </w:tcPr>
          <w:p w:rsidR="00EB11FA" w:rsidRPr="00EB11FA" w:rsidRDefault="00EB11FA" w:rsidP="00EB11FA">
            <w:pPr>
              <w:jc w:val="center"/>
              <w:rPr>
                <w:color w:val="000000"/>
                <w:sz w:val="20"/>
                <w:szCs w:val="20"/>
              </w:rPr>
            </w:pPr>
            <w:r w:rsidRPr="00EB11FA">
              <w:rPr>
                <w:color w:val="000000"/>
                <w:sz w:val="20"/>
                <w:szCs w:val="20"/>
              </w:rPr>
              <w:t>1%</w:t>
            </w:r>
          </w:p>
        </w:tc>
      </w:tr>
      <w:tr w:rsidR="00A874AC" w:rsidRPr="00EB11FA" w:rsidTr="005D6981">
        <w:trPr>
          <w:trHeight w:val="488"/>
        </w:trPr>
        <w:tc>
          <w:tcPr>
            <w:tcW w:w="4400" w:type="dxa"/>
            <w:tcBorders>
              <w:top w:val="nil"/>
              <w:left w:val="single" w:sz="8" w:space="0" w:color="448A99"/>
              <w:bottom w:val="single" w:sz="8" w:space="0" w:color="448A99"/>
              <w:right w:val="single" w:sz="8" w:space="0" w:color="448A99"/>
            </w:tcBorders>
            <w:shd w:val="clear" w:color="000000" w:fill="D2EAF1"/>
            <w:vAlign w:val="center"/>
            <w:hideMark/>
          </w:tcPr>
          <w:p w:rsidR="00EB11FA" w:rsidRPr="00EB11FA" w:rsidRDefault="00EB11FA" w:rsidP="00EB11FA">
            <w:pPr>
              <w:jc w:val="left"/>
              <w:rPr>
                <w:color w:val="000000"/>
                <w:sz w:val="20"/>
                <w:szCs w:val="20"/>
              </w:rPr>
            </w:pPr>
            <w:r w:rsidRPr="00EB11FA">
              <w:rPr>
                <w:color w:val="000000"/>
                <w:sz w:val="20"/>
                <w:szCs w:val="20"/>
              </w:rPr>
              <w:t>Small Commercial Direct Install</w:t>
            </w:r>
          </w:p>
        </w:tc>
        <w:tc>
          <w:tcPr>
            <w:tcW w:w="1170" w:type="dxa"/>
            <w:tcBorders>
              <w:top w:val="nil"/>
              <w:left w:val="nil"/>
              <w:bottom w:val="single" w:sz="8" w:space="0" w:color="448A99"/>
              <w:right w:val="single" w:sz="8" w:space="0" w:color="448A99"/>
            </w:tcBorders>
            <w:shd w:val="clear" w:color="000000" w:fill="D2EAF1"/>
            <w:vAlign w:val="center"/>
            <w:hideMark/>
          </w:tcPr>
          <w:p w:rsidR="00EB11FA" w:rsidRPr="00EB11FA" w:rsidRDefault="00EB11FA" w:rsidP="00EB11FA">
            <w:pPr>
              <w:jc w:val="center"/>
              <w:rPr>
                <w:color w:val="000000"/>
                <w:sz w:val="20"/>
                <w:szCs w:val="20"/>
              </w:rPr>
            </w:pPr>
            <w:r w:rsidRPr="00EB11FA">
              <w:rPr>
                <w:color w:val="000000"/>
                <w:sz w:val="20"/>
                <w:szCs w:val="20"/>
              </w:rPr>
              <w:t>7,667</w:t>
            </w:r>
          </w:p>
        </w:tc>
        <w:tc>
          <w:tcPr>
            <w:tcW w:w="1350" w:type="dxa"/>
            <w:tcBorders>
              <w:top w:val="nil"/>
              <w:left w:val="nil"/>
              <w:bottom w:val="single" w:sz="8" w:space="0" w:color="448A99"/>
              <w:right w:val="single" w:sz="8" w:space="0" w:color="448A99"/>
            </w:tcBorders>
            <w:shd w:val="clear" w:color="000000" w:fill="D2EAF1"/>
            <w:noWrap/>
            <w:vAlign w:val="center"/>
            <w:hideMark/>
          </w:tcPr>
          <w:p w:rsidR="00EB11FA" w:rsidRPr="00EB11FA" w:rsidRDefault="00EB11FA" w:rsidP="00EB11FA">
            <w:pPr>
              <w:jc w:val="center"/>
              <w:rPr>
                <w:color w:val="000000"/>
                <w:sz w:val="20"/>
                <w:szCs w:val="20"/>
              </w:rPr>
            </w:pPr>
            <w:r w:rsidRPr="00EB11FA">
              <w:rPr>
                <w:color w:val="000000"/>
                <w:sz w:val="20"/>
                <w:szCs w:val="20"/>
              </w:rPr>
              <w:t>2%</w:t>
            </w:r>
          </w:p>
        </w:tc>
        <w:tc>
          <w:tcPr>
            <w:tcW w:w="1170" w:type="dxa"/>
            <w:tcBorders>
              <w:top w:val="nil"/>
              <w:left w:val="nil"/>
              <w:bottom w:val="single" w:sz="8" w:space="0" w:color="448A99"/>
              <w:right w:val="single" w:sz="8" w:space="0" w:color="448A99"/>
            </w:tcBorders>
            <w:shd w:val="clear" w:color="000000" w:fill="D2EAF1"/>
            <w:noWrap/>
            <w:vAlign w:val="center"/>
            <w:hideMark/>
          </w:tcPr>
          <w:p w:rsidR="00EB11FA" w:rsidRPr="00EB11FA" w:rsidRDefault="00EB11FA" w:rsidP="00EB11FA">
            <w:pPr>
              <w:jc w:val="center"/>
              <w:rPr>
                <w:color w:val="000000"/>
                <w:sz w:val="20"/>
                <w:szCs w:val="20"/>
              </w:rPr>
            </w:pPr>
            <w:r w:rsidRPr="00EB11FA">
              <w:rPr>
                <w:color w:val="000000"/>
                <w:sz w:val="20"/>
                <w:szCs w:val="20"/>
              </w:rPr>
              <w:t>0.904</w:t>
            </w:r>
          </w:p>
        </w:tc>
        <w:tc>
          <w:tcPr>
            <w:tcW w:w="1270" w:type="dxa"/>
            <w:tcBorders>
              <w:top w:val="nil"/>
              <w:left w:val="nil"/>
              <w:bottom w:val="single" w:sz="8" w:space="0" w:color="448A99"/>
              <w:right w:val="single" w:sz="8" w:space="0" w:color="448A99"/>
            </w:tcBorders>
            <w:shd w:val="clear" w:color="000000" w:fill="D2EAF1"/>
            <w:noWrap/>
            <w:vAlign w:val="center"/>
            <w:hideMark/>
          </w:tcPr>
          <w:p w:rsidR="00EB11FA" w:rsidRPr="00EB11FA" w:rsidRDefault="00EB11FA" w:rsidP="00EB11FA">
            <w:pPr>
              <w:jc w:val="center"/>
              <w:rPr>
                <w:color w:val="000000"/>
                <w:sz w:val="20"/>
                <w:szCs w:val="20"/>
              </w:rPr>
            </w:pPr>
            <w:r w:rsidRPr="00EB11FA">
              <w:rPr>
                <w:color w:val="000000"/>
                <w:sz w:val="20"/>
                <w:szCs w:val="20"/>
              </w:rPr>
              <w:t>2%</w:t>
            </w:r>
          </w:p>
        </w:tc>
      </w:tr>
      <w:tr w:rsidR="00E7173E" w:rsidRPr="00EB11FA" w:rsidTr="005D6981">
        <w:trPr>
          <w:trHeight w:val="489"/>
        </w:trPr>
        <w:tc>
          <w:tcPr>
            <w:tcW w:w="4400" w:type="dxa"/>
            <w:tcBorders>
              <w:top w:val="nil"/>
              <w:left w:val="single" w:sz="8" w:space="0" w:color="448A99"/>
              <w:bottom w:val="single" w:sz="8" w:space="0" w:color="448A99"/>
              <w:right w:val="single" w:sz="8" w:space="0" w:color="448A99"/>
            </w:tcBorders>
            <w:shd w:val="clear" w:color="auto" w:fill="auto"/>
            <w:vAlign w:val="center"/>
            <w:hideMark/>
          </w:tcPr>
          <w:p w:rsidR="00EB11FA" w:rsidRPr="00EB11FA" w:rsidRDefault="00EB11FA" w:rsidP="00EB11FA">
            <w:pPr>
              <w:jc w:val="left"/>
              <w:rPr>
                <w:b/>
                <w:bCs/>
                <w:i/>
                <w:iCs/>
                <w:color w:val="000000"/>
                <w:sz w:val="20"/>
                <w:szCs w:val="20"/>
              </w:rPr>
            </w:pPr>
            <w:r w:rsidRPr="00EB11FA">
              <w:rPr>
                <w:b/>
                <w:bCs/>
                <w:i/>
                <w:iCs/>
                <w:color w:val="000000"/>
                <w:sz w:val="20"/>
                <w:szCs w:val="20"/>
              </w:rPr>
              <w:t>Total Portfolio</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b/>
                <w:bCs/>
                <w:i/>
                <w:iCs/>
                <w:color w:val="000000"/>
                <w:sz w:val="20"/>
                <w:szCs w:val="20"/>
              </w:rPr>
            </w:pPr>
            <w:r w:rsidRPr="00EB11FA">
              <w:rPr>
                <w:b/>
                <w:bCs/>
                <w:i/>
                <w:iCs/>
                <w:color w:val="000000"/>
                <w:sz w:val="20"/>
                <w:szCs w:val="20"/>
              </w:rPr>
              <w:t>377,248</w:t>
            </w:r>
          </w:p>
        </w:tc>
        <w:tc>
          <w:tcPr>
            <w:tcW w:w="1350" w:type="dxa"/>
            <w:tcBorders>
              <w:top w:val="nil"/>
              <w:left w:val="nil"/>
              <w:bottom w:val="single" w:sz="8" w:space="0" w:color="448A99"/>
              <w:right w:val="single" w:sz="8" w:space="0" w:color="448A99"/>
            </w:tcBorders>
            <w:shd w:val="clear" w:color="auto" w:fill="auto"/>
            <w:noWrap/>
            <w:vAlign w:val="center"/>
            <w:hideMark/>
          </w:tcPr>
          <w:p w:rsidR="00EB11FA" w:rsidRPr="00EB11FA" w:rsidRDefault="00EB11FA" w:rsidP="00EB11FA">
            <w:pPr>
              <w:jc w:val="center"/>
              <w:rPr>
                <w:b/>
                <w:bCs/>
                <w:i/>
                <w:iCs/>
                <w:color w:val="000000"/>
                <w:sz w:val="20"/>
                <w:szCs w:val="20"/>
              </w:rPr>
            </w:pPr>
            <w:r w:rsidRPr="00EB11FA">
              <w:rPr>
                <w:b/>
                <w:bCs/>
                <w:i/>
                <w:iCs/>
                <w:color w:val="000000"/>
                <w:sz w:val="20"/>
                <w:szCs w:val="20"/>
              </w:rPr>
              <w:t>100%</w:t>
            </w:r>
          </w:p>
        </w:tc>
        <w:tc>
          <w:tcPr>
            <w:tcW w:w="11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b/>
                <w:bCs/>
                <w:i/>
                <w:iCs/>
                <w:color w:val="000000"/>
                <w:sz w:val="20"/>
                <w:szCs w:val="20"/>
              </w:rPr>
            </w:pPr>
            <w:r w:rsidRPr="00EB11FA">
              <w:rPr>
                <w:b/>
                <w:bCs/>
                <w:i/>
                <w:iCs/>
                <w:color w:val="000000"/>
                <w:sz w:val="20"/>
                <w:szCs w:val="20"/>
              </w:rPr>
              <w:t>45.620</w:t>
            </w:r>
          </w:p>
        </w:tc>
        <w:tc>
          <w:tcPr>
            <w:tcW w:w="1270" w:type="dxa"/>
            <w:tcBorders>
              <w:top w:val="nil"/>
              <w:left w:val="nil"/>
              <w:bottom w:val="single" w:sz="8" w:space="0" w:color="448A99"/>
              <w:right w:val="single" w:sz="8" w:space="0" w:color="448A99"/>
            </w:tcBorders>
            <w:shd w:val="clear" w:color="auto" w:fill="auto"/>
            <w:vAlign w:val="center"/>
            <w:hideMark/>
          </w:tcPr>
          <w:p w:rsidR="00EB11FA" w:rsidRPr="00EB11FA" w:rsidRDefault="00EB11FA" w:rsidP="00EB11FA">
            <w:pPr>
              <w:jc w:val="center"/>
              <w:rPr>
                <w:b/>
                <w:bCs/>
                <w:i/>
                <w:iCs/>
                <w:color w:val="000000"/>
                <w:sz w:val="20"/>
                <w:szCs w:val="20"/>
              </w:rPr>
            </w:pPr>
            <w:r w:rsidRPr="00EB11FA">
              <w:rPr>
                <w:b/>
                <w:bCs/>
                <w:i/>
                <w:iCs/>
                <w:color w:val="000000"/>
                <w:sz w:val="20"/>
                <w:szCs w:val="20"/>
              </w:rPr>
              <w:t>100%</w:t>
            </w:r>
          </w:p>
        </w:tc>
      </w:tr>
    </w:tbl>
    <w:p w:rsidR="008B45A8" w:rsidRDefault="008B45A8" w:rsidP="008B45A8"/>
    <w:p w:rsidR="00950837" w:rsidRPr="00A1305C" w:rsidRDefault="00950837" w:rsidP="00D34B3E">
      <w:pPr>
        <w:pStyle w:val="AppendixAHeading3"/>
      </w:pPr>
      <w:r w:rsidRPr="00A1305C">
        <w:t xml:space="preserve">PY7 </w:t>
      </w:r>
      <w:r w:rsidR="00735BA9" w:rsidRPr="00A1305C">
        <w:t>Gross and Net Savings by Sector</w:t>
      </w:r>
    </w:p>
    <w:p w:rsidR="008B45A8" w:rsidRDefault="00C23348" w:rsidP="00C23348">
      <w:r w:rsidRPr="00C23348">
        <w:t>The sector-level verified gross and net energy savings achieved in PY7 are provided</w:t>
      </w:r>
      <w:r>
        <w:t xml:space="preserve"> in </w:t>
      </w:r>
      <w:r>
        <w:fldChar w:fldCharType="begin"/>
      </w:r>
      <w:r>
        <w:instrText xml:space="preserve"> REF _Ref472358183 \h </w:instrText>
      </w:r>
      <w:r>
        <w:fldChar w:fldCharType="separate"/>
      </w:r>
      <w:r w:rsidR="00A874AC" w:rsidRPr="00E41D9C">
        <w:t>Table A-</w:t>
      </w:r>
      <w:r w:rsidR="00A874AC">
        <w:rPr>
          <w:noProof/>
        </w:rPr>
        <w:t>3</w:t>
      </w:r>
      <w:r>
        <w:fldChar w:fldCharType="end"/>
      </w:r>
      <w:r w:rsidR="00FC0D6B">
        <w:t>.</w:t>
      </w:r>
      <w:r>
        <w:t xml:space="preserve"> In PY7, the net energy savings were approximately 75% of the gross energy savings.</w:t>
      </w:r>
    </w:p>
    <w:p w:rsidR="00C23348" w:rsidRPr="00C23348" w:rsidRDefault="00C23348" w:rsidP="00C23348"/>
    <w:p w:rsidR="008B45A8" w:rsidRDefault="008B45A8" w:rsidP="008B45A8">
      <w:pPr>
        <w:pStyle w:val="Caption"/>
      </w:pPr>
      <w:bookmarkStart w:id="505" w:name="_Ref472358183"/>
      <w:bookmarkStart w:id="506" w:name="_Toc472472412"/>
      <w:bookmarkStart w:id="507" w:name="_Toc476842118"/>
      <w:r w:rsidRPr="00E41D9C">
        <w:t>Table A-</w:t>
      </w:r>
      <w:fldSimple w:instr=" SEQ Table_A- \* ARABIC ">
        <w:r w:rsidR="00C301D0">
          <w:rPr>
            <w:noProof/>
          </w:rPr>
          <w:t>3</w:t>
        </w:r>
      </w:fldSimple>
      <w:bookmarkEnd w:id="505"/>
      <w:r w:rsidRPr="00E41D9C">
        <w:t xml:space="preserve">: </w:t>
      </w:r>
      <w:r w:rsidRPr="008B45A8">
        <w:t>Summary of Duquesne EE&amp;C Verified Net Savings – by Sector</w:t>
      </w:r>
      <w:bookmarkEnd w:id="506"/>
      <w:bookmarkEnd w:id="507"/>
    </w:p>
    <w:tbl>
      <w:tblPr>
        <w:tblW w:w="9350" w:type="dxa"/>
        <w:tblInd w:w="108" w:type="dxa"/>
        <w:tblLook w:val="04A0" w:firstRow="1" w:lastRow="0" w:firstColumn="1" w:lastColumn="0" w:noHBand="0" w:noVBand="1"/>
      </w:tblPr>
      <w:tblGrid>
        <w:gridCol w:w="1540"/>
        <w:gridCol w:w="1952"/>
        <w:gridCol w:w="1953"/>
        <w:gridCol w:w="1952"/>
        <w:gridCol w:w="1953"/>
      </w:tblGrid>
      <w:tr w:rsidR="00A874AC" w:rsidRPr="00C23348" w:rsidTr="005D6981">
        <w:trPr>
          <w:trHeight w:val="439"/>
        </w:trPr>
        <w:tc>
          <w:tcPr>
            <w:tcW w:w="154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C23348" w:rsidRPr="00C23348" w:rsidRDefault="00C23348" w:rsidP="009349F1">
            <w:pPr>
              <w:rPr>
                <w:b/>
                <w:bCs/>
                <w:color w:val="FFFFFF"/>
                <w:sz w:val="20"/>
                <w:szCs w:val="20"/>
              </w:rPr>
            </w:pPr>
            <w:r w:rsidRPr="00C23348">
              <w:rPr>
                <w:b/>
                <w:bCs/>
                <w:color w:val="FFFFFF"/>
                <w:sz w:val="20"/>
                <w:szCs w:val="20"/>
              </w:rPr>
              <w:t>Sector</w:t>
            </w:r>
          </w:p>
        </w:tc>
        <w:tc>
          <w:tcPr>
            <w:tcW w:w="1952" w:type="dxa"/>
            <w:tcBorders>
              <w:top w:val="single" w:sz="8" w:space="0" w:color="448A99"/>
              <w:left w:val="nil"/>
              <w:bottom w:val="single" w:sz="8" w:space="0" w:color="448A99"/>
              <w:right w:val="single" w:sz="8" w:space="0" w:color="448A99"/>
            </w:tcBorders>
            <w:shd w:val="clear" w:color="000000" w:fill="448A99"/>
            <w:vAlign w:val="bottom"/>
            <w:hideMark/>
          </w:tcPr>
          <w:p w:rsidR="00C23348" w:rsidRPr="00C23348" w:rsidRDefault="00C23348" w:rsidP="009349F1">
            <w:pPr>
              <w:jc w:val="center"/>
              <w:rPr>
                <w:b/>
                <w:bCs/>
                <w:color w:val="FFFFFF"/>
                <w:sz w:val="20"/>
                <w:szCs w:val="20"/>
              </w:rPr>
            </w:pPr>
            <w:r w:rsidRPr="00C23348">
              <w:rPr>
                <w:b/>
                <w:bCs/>
                <w:color w:val="FFFFFF"/>
                <w:sz w:val="20"/>
                <w:szCs w:val="20"/>
              </w:rPr>
              <w:t>PY7 VG Savings (MWh/yr)</w:t>
            </w:r>
          </w:p>
        </w:tc>
        <w:tc>
          <w:tcPr>
            <w:tcW w:w="1953" w:type="dxa"/>
            <w:tcBorders>
              <w:top w:val="single" w:sz="8" w:space="0" w:color="448A99"/>
              <w:left w:val="nil"/>
              <w:bottom w:val="single" w:sz="8" w:space="0" w:color="448A99"/>
              <w:right w:val="single" w:sz="8" w:space="0" w:color="448A99"/>
            </w:tcBorders>
            <w:shd w:val="clear" w:color="000000" w:fill="448A99"/>
            <w:vAlign w:val="bottom"/>
            <w:hideMark/>
          </w:tcPr>
          <w:p w:rsidR="00C23348" w:rsidRPr="00C23348" w:rsidRDefault="00C23348" w:rsidP="009349F1">
            <w:pPr>
              <w:jc w:val="center"/>
              <w:rPr>
                <w:b/>
                <w:bCs/>
                <w:color w:val="FFFFFF"/>
                <w:sz w:val="20"/>
                <w:szCs w:val="20"/>
              </w:rPr>
            </w:pPr>
            <w:r w:rsidRPr="00C23348">
              <w:rPr>
                <w:b/>
                <w:bCs/>
                <w:color w:val="FFFFFF"/>
                <w:sz w:val="20"/>
                <w:szCs w:val="20"/>
              </w:rPr>
              <w:t>PY7 Verified Net Savings (MWh/yr)</w:t>
            </w:r>
          </w:p>
        </w:tc>
        <w:tc>
          <w:tcPr>
            <w:tcW w:w="1952" w:type="dxa"/>
            <w:tcBorders>
              <w:top w:val="single" w:sz="8" w:space="0" w:color="448A99"/>
              <w:left w:val="nil"/>
              <w:bottom w:val="single" w:sz="8" w:space="0" w:color="448A99"/>
              <w:right w:val="single" w:sz="8" w:space="0" w:color="448A99"/>
            </w:tcBorders>
            <w:shd w:val="clear" w:color="000000" w:fill="448A99"/>
            <w:vAlign w:val="bottom"/>
            <w:hideMark/>
          </w:tcPr>
          <w:p w:rsidR="00C23348" w:rsidRPr="00C23348" w:rsidRDefault="00C23348" w:rsidP="009349F1">
            <w:pPr>
              <w:jc w:val="center"/>
              <w:rPr>
                <w:b/>
                <w:bCs/>
                <w:color w:val="FFFFFF"/>
                <w:sz w:val="20"/>
                <w:szCs w:val="20"/>
              </w:rPr>
            </w:pPr>
            <w:r w:rsidRPr="00C23348">
              <w:rPr>
                <w:b/>
                <w:bCs/>
                <w:color w:val="FFFFFF"/>
                <w:sz w:val="20"/>
                <w:szCs w:val="20"/>
              </w:rPr>
              <w:t>Phase II VG Savings (MWh/yr)</w:t>
            </w:r>
          </w:p>
        </w:tc>
        <w:tc>
          <w:tcPr>
            <w:tcW w:w="1953" w:type="dxa"/>
            <w:tcBorders>
              <w:top w:val="single" w:sz="8" w:space="0" w:color="448A99"/>
              <w:left w:val="nil"/>
              <w:bottom w:val="single" w:sz="8" w:space="0" w:color="448A99"/>
              <w:right w:val="single" w:sz="8" w:space="0" w:color="448A99"/>
            </w:tcBorders>
            <w:shd w:val="clear" w:color="000000" w:fill="448A99"/>
            <w:vAlign w:val="bottom"/>
            <w:hideMark/>
          </w:tcPr>
          <w:p w:rsidR="00C23348" w:rsidRPr="00C23348" w:rsidRDefault="00C23348" w:rsidP="009349F1">
            <w:pPr>
              <w:jc w:val="center"/>
              <w:rPr>
                <w:b/>
                <w:bCs/>
                <w:color w:val="FFFFFF"/>
                <w:sz w:val="20"/>
                <w:szCs w:val="20"/>
              </w:rPr>
            </w:pPr>
            <w:r w:rsidRPr="00C23348">
              <w:rPr>
                <w:b/>
                <w:bCs/>
                <w:color w:val="FFFFFF"/>
                <w:sz w:val="20"/>
                <w:szCs w:val="20"/>
              </w:rPr>
              <w:t>Phase II Verified Net Savings (MWh/yr)</w:t>
            </w:r>
          </w:p>
        </w:tc>
      </w:tr>
      <w:tr w:rsidR="00E7173E" w:rsidRPr="00C23348" w:rsidTr="005D6981">
        <w:trPr>
          <w:trHeight w:val="432"/>
        </w:trPr>
        <w:tc>
          <w:tcPr>
            <w:tcW w:w="1540" w:type="dxa"/>
            <w:tcBorders>
              <w:top w:val="nil"/>
              <w:left w:val="single" w:sz="8" w:space="0" w:color="448A99"/>
              <w:bottom w:val="single" w:sz="8" w:space="0" w:color="448A99"/>
              <w:right w:val="single" w:sz="8" w:space="0" w:color="448A99"/>
            </w:tcBorders>
            <w:shd w:val="clear" w:color="auto" w:fill="auto"/>
            <w:noWrap/>
            <w:vAlign w:val="center"/>
            <w:hideMark/>
          </w:tcPr>
          <w:p w:rsidR="00C23348" w:rsidRPr="00C23348" w:rsidRDefault="00C23348" w:rsidP="00C23348">
            <w:pPr>
              <w:jc w:val="left"/>
              <w:rPr>
                <w:color w:val="000000"/>
                <w:sz w:val="20"/>
                <w:szCs w:val="20"/>
              </w:rPr>
            </w:pPr>
            <w:r w:rsidRPr="00C23348">
              <w:rPr>
                <w:color w:val="000000"/>
                <w:sz w:val="20"/>
                <w:szCs w:val="20"/>
              </w:rPr>
              <w:t>Residential</w:t>
            </w:r>
          </w:p>
        </w:tc>
        <w:tc>
          <w:tcPr>
            <w:tcW w:w="1952" w:type="dxa"/>
            <w:tcBorders>
              <w:top w:val="nil"/>
              <w:left w:val="nil"/>
              <w:bottom w:val="single" w:sz="8" w:space="0" w:color="448A99"/>
              <w:right w:val="single" w:sz="8" w:space="0" w:color="448A99"/>
            </w:tcBorders>
            <w:shd w:val="clear" w:color="auto" w:fill="auto"/>
            <w:vAlign w:val="center"/>
            <w:hideMark/>
          </w:tcPr>
          <w:p w:rsidR="00C23348" w:rsidRPr="00C23348" w:rsidRDefault="00C23348" w:rsidP="00C23348">
            <w:pPr>
              <w:jc w:val="center"/>
              <w:rPr>
                <w:color w:val="000000"/>
                <w:sz w:val="20"/>
                <w:szCs w:val="20"/>
              </w:rPr>
            </w:pPr>
            <w:r w:rsidRPr="00C23348">
              <w:rPr>
                <w:color w:val="000000"/>
                <w:sz w:val="20"/>
                <w:szCs w:val="20"/>
              </w:rPr>
              <w:t>68,641</w:t>
            </w:r>
          </w:p>
        </w:tc>
        <w:tc>
          <w:tcPr>
            <w:tcW w:w="1953" w:type="dxa"/>
            <w:tcBorders>
              <w:top w:val="nil"/>
              <w:left w:val="nil"/>
              <w:bottom w:val="single" w:sz="8" w:space="0" w:color="448A99"/>
              <w:right w:val="single" w:sz="8" w:space="0" w:color="448A99"/>
            </w:tcBorders>
            <w:shd w:val="clear" w:color="auto" w:fill="auto"/>
            <w:vAlign w:val="center"/>
            <w:hideMark/>
          </w:tcPr>
          <w:p w:rsidR="00C23348" w:rsidRPr="00C23348" w:rsidRDefault="00C23348" w:rsidP="00C23348">
            <w:pPr>
              <w:jc w:val="center"/>
              <w:rPr>
                <w:color w:val="000000"/>
                <w:sz w:val="20"/>
                <w:szCs w:val="20"/>
              </w:rPr>
            </w:pPr>
            <w:r w:rsidRPr="00C23348">
              <w:rPr>
                <w:color w:val="000000"/>
                <w:sz w:val="20"/>
                <w:szCs w:val="20"/>
              </w:rPr>
              <w:t>55,283</w:t>
            </w:r>
          </w:p>
        </w:tc>
        <w:tc>
          <w:tcPr>
            <w:tcW w:w="1952" w:type="dxa"/>
            <w:tcBorders>
              <w:top w:val="nil"/>
              <w:left w:val="nil"/>
              <w:bottom w:val="single" w:sz="8" w:space="0" w:color="448A99"/>
              <w:right w:val="single" w:sz="8" w:space="0" w:color="448A99"/>
            </w:tcBorders>
            <w:shd w:val="clear" w:color="auto" w:fill="auto"/>
            <w:vAlign w:val="center"/>
            <w:hideMark/>
          </w:tcPr>
          <w:p w:rsidR="00C23348" w:rsidRPr="00C23348" w:rsidRDefault="00C23348" w:rsidP="00C23348">
            <w:pPr>
              <w:jc w:val="center"/>
              <w:rPr>
                <w:color w:val="000000"/>
                <w:sz w:val="20"/>
                <w:szCs w:val="20"/>
              </w:rPr>
            </w:pPr>
            <w:r w:rsidRPr="00C23348">
              <w:rPr>
                <w:color w:val="000000"/>
                <w:sz w:val="20"/>
                <w:szCs w:val="20"/>
              </w:rPr>
              <w:t>173,723</w:t>
            </w:r>
          </w:p>
        </w:tc>
        <w:tc>
          <w:tcPr>
            <w:tcW w:w="1953" w:type="dxa"/>
            <w:tcBorders>
              <w:top w:val="nil"/>
              <w:left w:val="nil"/>
              <w:bottom w:val="single" w:sz="8" w:space="0" w:color="448A99"/>
              <w:right w:val="single" w:sz="8" w:space="0" w:color="448A99"/>
            </w:tcBorders>
            <w:shd w:val="clear" w:color="auto" w:fill="auto"/>
            <w:vAlign w:val="center"/>
            <w:hideMark/>
          </w:tcPr>
          <w:p w:rsidR="00C23348" w:rsidRPr="00C23348" w:rsidRDefault="00C23348" w:rsidP="00C23348">
            <w:pPr>
              <w:jc w:val="center"/>
              <w:rPr>
                <w:color w:val="000000"/>
                <w:sz w:val="20"/>
                <w:szCs w:val="20"/>
              </w:rPr>
            </w:pPr>
            <w:r w:rsidRPr="00C23348">
              <w:rPr>
                <w:color w:val="000000"/>
                <w:sz w:val="20"/>
                <w:szCs w:val="20"/>
              </w:rPr>
              <w:t>116,825</w:t>
            </w:r>
          </w:p>
        </w:tc>
      </w:tr>
      <w:tr w:rsidR="00A874AC" w:rsidRPr="00C23348" w:rsidTr="005D6981">
        <w:trPr>
          <w:trHeight w:val="432"/>
        </w:trPr>
        <w:tc>
          <w:tcPr>
            <w:tcW w:w="1540" w:type="dxa"/>
            <w:tcBorders>
              <w:top w:val="nil"/>
              <w:left w:val="single" w:sz="8" w:space="0" w:color="448A99"/>
              <w:bottom w:val="single" w:sz="8" w:space="0" w:color="448A99"/>
              <w:right w:val="single" w:sz="8" w:space="0" w:color="448A99"/>
            </w:tcBorders>
            <w:shd w:val="clear" w:color="000000" w:fill="D2EAF1"/>
            <w:noWrap/>
            <w:vAlign w:val="center"/>
            <w:hideMark/>
          </w:tcPr>
          <w:p w:rsidR="00C23348" w:rsidRPr="00C23348" w:rsidRDefault="00C23348" w:rsidP="0097650B">
            <w:pPr>
              <w:jc w:val="left"/>
              <w:rPr>
                <w:color w:val="000000"/>
                <w:sz w:val="20"/>
                <w:szCs w:val="20"/>
              </w:rPr>
            </w:pPr>
            <w:r w:rsidRPr="00C23348">
              <w:rPr>
                <w:color w:val="000000"/>
                <w:sz w:val="20"/>
                <w:szCs w:val="20"/>
              </w:rPr>
              <w:t>C</w:t>
            </w:r>
            <w:r w:rsidR="0097650B">
              <w:rPr>
                <w:color w:val="000000"/>
                <w:sz w:val="20"/>
                <w:szCs w:val="20"/>
              </w:rPr>
              <w:t>/</w:t>
            </w:r>
            <w:r w:rsidRPr="00C23348">
              <w:rPr>
                <w:color w:val="000000"/>
                <w:sz w:val="20"/>
                <w:szCs w:val="20"/>
              </w:rPr>
              <w:t>I</w:t>
            </w:r>
          </w:p>
        </w:tc>
        <w:tc>
          <w:tcPr>
            <w:tcW w:w="1952" w:type="dxa"/>
            <w:tcBorders>
              <w:top w:val="nil"/>
              <w:left w:val="nil"/>
              <w:bottom w:val="single" w:sz="8" w:space="0" w:color="448A99"/>
              <w:right w:val="single" w:sz="8" w:space="0" w:color="448A99"/>
            </w:tcBorders>
            <w:shd w:val="clear" w:color="000000" w:fill="D2EAF1"/>
            <w:vAlign w:val="center"/>
            <w:hideMark/>
          </w:tcPr>
          <w:p w:rsidR="00C23348" w:rsidRPr="00C23348" w:rsidRDefault="00C23348" w:rsidP="00C23348">
            <w:pPr>
              <w:jc w:val="center"/>
              <w:rPr>
                <w:color w:val="000000"/>
                <w:sz w:val="20"/>
                <w:szCs w:val="20"/>
              </w:rPr>
            </w:pPr>
            <w:r w:rsidRPr="00C23348">
              <w:rPr>
                <w:color w:val="000000"/>
                <w:sz w:val="20"/>
                <w:szCs w:val="20"/>
              </w:rPr>
              <w:t>6</w:t>
            </w:r>
            <w:r w:rsidR="00326330">
              <w:rPr>
                <w:color w:val="000000"/>
                <w:sz w:val="20"/>
                <w:szCs w:val="20"/>
              </w:rPr>
              <w:t>4</w:t>
            </w:r>
            <w:r w:rsidRPr="00C23348">
              <w:rPr>
                <w:color w:val="000000"/>
                <w:sz w:val="20"/>
                <w:szCs w:val="20"/>
              </w:rPr>
              <w:t>,368</w:t>
            </w:r>
          </w:p>
        </w:tc>
        <w:tc>
          <w:tcPr>
            <w:tcW w:w="1953" w:type="dxa"/>
            <w:tcBorders>
              <w:top w:val="nil"/>
              <w:left w:val="nil"/>
              <w:bottom w:val="single" w:sz="8" w:space="0" w:color="448A99"/>
              <w:right w:val="single" w:sz="8" w:space="0" w:color="448A99"/>
            </w:tcBorders>
            <w:shd w:val="clear" w:color="000000" w:fill="D2EAF1"/>
            <w:vAlign w:val="center"/>
            <w:hideMark/>
          </w:tcPr>
          <w:p w:rsidR="00C23348" w:rsidRPr="00C23348" w:rsidRDefault="00C23348" w:rsidP="00C23348">
            <w:pPr>
              <w:jc w:val="center"/>
              <w:rPr>
                <w:color w:val="000000"/>
                <w:sz w:val="20"/>
                <w:szCs w:val="20"/>
              </w:rPr>
            </w:pPr>
            <w:r w:rsidRPr="00C23348">
              <w:rPr>
                <w:color w:val="000000"/>
                <w:sz w:val="20"/>
                <w:szCs w:val="20"/>
              </w:rPr>
              <w:t>42,341</w:t>
            </w:r>
          </w:p>
        </w:tc>
        <w:tc>
          <w:tcPr>
            <w:tcW w:w="1952" w:type="dxa"/>
            <w:tcBorders>
              <w:top w:val="nil"/>
              <w:left w:val="nil"/>
              <w:bottom w:val="single" w:sz="8" w:space="0" w:color="448A99"/>
              <w:right w:val="single" w:sz="8" w:space="0" w:color="448A99"/>
            </w:tcBorders>
            <w:shd w:val="clear" w:color="000000" w:fill="D2EAF1"/>
            <w:vAlign w:val="center"/>
            <w:hideMark/>
          </w:tcPr>
          <w:p w:rsidR="00C23348" w:rsidRPr="00C23348" w:rsidRDefault="00C23348" w:rsidP="00C23348">
            <w:pPr>
              <w:jc w:val="center"/>
              <w:rPr>
                <w:color w:val="000000"/>
                <w:sz w:val="20"/>
                <w:szCs w:val="20"/>
              </w:rPr>
            </w:pPr>
            <w:r w:rsidRPr="00C23348">
              <w:rPr>
                <w:color w:val="000000"/>
                <w:sz w:val="20"/>
                <w:szCs w:val="20"/>
              </w:rPr>
              <w:t>181,390</w:t>
            </w:r>
          </w:p>
        </w:tc>
        <w:tc>
          <w:tcPr>
            <w:tcW w:w="1953" w:type="dxa"/>
            <w:tcBorders>
              <w:top w:val="nil"/>
              <w:left w:val="nil"/>
              <w:bottom w:val="single" w:sz="8" w:space="0" w:color="448A99"/>
              <w:right w:val="single" w:sz="8" w:space="0" w:color="448A99"/>
            </w:tcBorders>
            <w:shd w:val="clear" w:color="000000" w:fill="D2EAF1"/>
            <w:vAlign w:val="center"/>
            <w:hideMark/>
          </w:tcPr>
          <w:p w:rsidR="00C23348" w:rsidRPr="00C23348" w:rsidRDefault="00C23348" w:rsidP="00C23348">
            <w:pPr>
              <w:jc w:val="center"/>
              <w:rPr>
                <w:color w:val="000000"/>
                <w:sz w:val="20"/>
                <w:szCs w:val="20"/>
              </w:rPr>
            </w:pPr>
            <w:r w:rsidRPr="00C23348">
              <w:rPr>
                <w:color w:val="000000"/>
                <w:sz w:val="20"/>
                <w:szCs w:val="20"/>
              </w:rPr>
              <w:t>115,439</w:t>
            </w:r>
          </w:p>
        </w:tc>
      </w:tr>
      <w:tr w:rsidR="00E7173E" w:rsidRPr="00C23348" w:rsidTr="005D6981">
        <w:trPr>
          <w:trHeight w:val="432"/>
        </w:trPr>
        <w:tc>
          <w:tcPr>
            <w:tcW w:w="1540" w:type="dxa"/>
            <w:tcBorders>
              <w:top w:val="nil"/>
              <w:left w:val="single" w:sz="8" w:space="0" w:color="448A99"/>
              <w:bottom w:val="single" w:sz="8" w:space="0" w:color="448A99"/>
              <w:right w:val="single" w:sz="8" w:space="0" w:color="448A99"/>
            </w:tcBorders>
            <w:shd w:val="clear" w:color="auto" w:fill="auto"/>
            <w:noWrap/>
            <w:vAlign w:val="center"/>
            <w:hideMark/>
          </w:tcPr>
          <w:p w:rsidR="00C23348" w:rsidRPr="00C23348" w:rsidRDefault="00C23348" w:rsidP="00C23348">
            <w:pPr>
              <w:jc w:val="left"/>
              <w:rPr>
                <w:color w:val="000000"/>
                <w:sz w:val="20"/>
                <w:szCs w:val="20"/>
              </w:rPr>
            </w:pPr>
            <w:r w:rsidRPr="00C23348">
              <w:rPr>
                <w:color w:val="000000"/>
                <w:sz w:val="20"/>
                <w:szCs w:val="20"/>
              </w:rPr>
              <w:t>GNI</w:t>
            </w:r>
          </w:p>
        </w:tc>
        <w:tc>
          <w:tcPr>
            <w:tcW w:w="1952" w:type="dxa"/>
            <w:tcBorders>
              <w:top w:val="nil"/>
              <w:left w:val="nil"/>
              <w:bottom w:val="single" w:sz="8" w:space="0" w:color="448A99"/>
              <w:right w:val="single" w:sz="8" w:space="0" w:color="448A99"/>
            </w:tcBorders>
            <w:shd w:val="clear" w:color="auto" w:fill="auto"/>
            <w:vAlign w:val="center"/>
            <w:hideMark/>
          </w:tcPr>
          <w:p w:rsidR="00C23348" w:rsidRPr="00C23348" w:rsidRDefault="00C23348" w:rsidP="00C23348">
            <w:pPr>
              <w:jc w:val="center"/>
              <w:rPr>
                <w:color w:val="000000"/>
                <w:sz w:val="20"/>
                <w:szCs w:val="20"/>
              </w:rPr>
            </w:pPr>
            <w:r w:rsidRPr="00C23348">
              <w:rPr>
                <w:color w:val="000000"/>
                <w:sz w:val="20"/>
                <w:szCs w:val="20"/>
              </w:rPr>
              <w:t>9,178</w:t>
            </w:r>
          </w:p>
        </w:tc>
        <w:tc>
          <w:tcPr>
            <w:tcW w:w="1953" w:type="dxa"/>
            <w:tcBorders>
              <w:top w:val="nil"/>
              <w:left w:val="nil"/>
              <w:bottom w:val="single" w:sz="8" w:space="0" w:color="448A99"/>
              <w:right w:val="single" w:sz="8" w:space="0" w:color="448A99"/>
            </w:tcBorders>
            <w:shd w:val="clear" w:color="auto" w:fill="auto"/>
            <w:vAlign w:val="center"/>
            <w:hideMark/>
          </w:tcPr>
          <w:p w:rsidR="00C23348" w:rsidRPr="00C23348" w:rsidRDefault="00C23348" w:rsidP="00C23348">
            <w:pPr>
              <w:jc w:val="center"/>
              <w:rPr>
                <w:color w:val="000000"/>
                <w:sz w:val="20"/>
                <w:szCs w:val="20"/>
              </w:rPr>
            </w:pPr>
            <w:r w:rsidRPr="00C23348">
              <w:rPr>
                <w:color w:val="000000"/>
                <w:sz w:val="20"/>
                <w:szCs w:val="20"/>
              </w:rPr>
              <w:t>7,375</w:t>
            </w:r>
          </w:p>
        </w:tc>
        <w:tc>
          <w:tcPr>
            <w:tcW w:w="1952" w:type="dxa"/>
            <w:tcBorders>
              <w:top w:val="nil"/>
              <w:left w:val="nil"/>
              <w:bottom w:val="single" w:sz="8" w:space="0" w:color="448A99"/>
              <w:right w:val="single" w:sz="8" w:space="0" w:color="448A99"/>
            </w:tcBorders>
            <w:shd w:val="clear" w:color="auto" w:fill="auto"/>
            <w:vAlign w:val="center"/>
            <w:hideMark/>
          </w:tcPr>
          <w:p w:rsidR="00C23348" w:rsidRPr="00C23348" w:rsidRDefault="00C23348" w:rsidP="00C23348">
            <w:pPr>
              <w:jc w:val="center"/>
              <w:rPr>
                <w:color w:val="000000"/>
                <w:sz w:val="20"/>
                <w:szCs w:val="20"/>
              </w:rPr>
            </w:pPr>
            <w:r w:rsidRPr="00C23348">
              <w:rPr>
                <w:color w:val="000000"/>
                <w:sz w:val="20"/>
                <w:szCs w:val="20"/>
              </w:rPr>
              <w:t>22,135</w:t>
            </w:r>
          </w:p>
        </w:tc>
        <w:tc>
          <w:tcPr>
            <w:tcW w:w="1953" w:type="dxa"/>
            <w:tcBorders>
              <w:top w:val="nil"/>
              <w:left w:val="nil"/>
              <w:bottom w:val="single" w:sz="8" w:space="0" w:color="448A99"/>
              <w:right w:val="single" w:sz="8" w:space="0" w:color="448A99"/>
            </w:tcBorders>
            <w:shd w:val="clear" w:color="auto" w:fill="auto"/>
            <w:vAlign w:val="center"/>
            <w:hideMark/>
          </w:tcPr>
          <w:p w:rsidR="00C23348" w:rsidRPr="00C23348" w:rsidRDefault="00C23348" w:rsidP="00C23348">
            <w:pPr>
              <w:jc w:val="center"/>
              <w:rPr>
                <w:color w:val="000000"/>
                <w:sz w:val="20"/>
                <w:szCs w:val="20"/>
              </w:rPr>
            </w:pPr>
            <w:r w:rsidRPr="00C23348">
              <w:rPr>
                <w:color w:val="000000"/>
                <w:sz w:val="20"/>
                <w:szCs w:val="20"/>
              </w:rPr>
              <w:t>16,055</w:t>
            </w:r>
          </w:p>
        </w:tc>
      </w:tr>
      <w:tr w:rsidR="00A874AC" w:rsidRPr="00C23348" w:rsidTr="005D6981">
        <w:trPr>
          <w:trHeight w:val="432"/>
        </w:trPr>
        <w:tc>
          <w:tcPr>
            <w:tcW w:w="1540" w:type="dxa"/>
            <w:tcBorders>
              <w:top w:val="nil"/>
              <w:left w:val="single" w:sz="8" w:space="0" w:color="448A99"/>
              <w:bottom w:val="single" w:sz="8" w:space="0" w:color="448A99"/>
              <w:right w:val="single" w:sz="8" w:space="0" w:color="448A99"/>
            </w:tcBorders>
            <w:shd w:val="clear" w:color="000000" w:fill="D2EAF1"/>
            <w:noWrap/>
            <w:vAlign w:val="center"/>
            <w:hideMark/>
          </w:tcPr>
          <w:p w:rsidR="00C23348" w:rsidRPr="00C23348" w:rsidRDefault="00C23348" w:rsidP="00C23348">
            <w:pPr>
              <w:jc w:val="left"/>
              <w:rPr>
                <w:b/>
                <w:bCs/>
                <w:i/>
                <w:iCs/>
                <w:color w:val="000000"/>
                <w:sz w:val="20"/>
                <w:szCs w:val="20"/>
              </w:rPr>
            </w:pPr>
            <w:r w:rsidRPr="00C23348">
              <w:rPr>
                <w:b/>
                <w:bCs/>
                <w:i/>
                <w:iCs/>
                <w:color w:val="000000"/>
                <w:sz w:val="20"/>
                <w:szCs w:val="20"/>
              </w:rPr>
              <w:t>Total Portfolio</w:t>
            </w:r>
          </w:p>
        </w:tc>
        <w:tc>
          <w:tcPr>
            <w:tcW w:w="1952" w:type="dxa"/>
            <w:tcBorders>
              <w:top w:val="nil"/>
              <w:left w:val="nil"/>
              <w:bottom w:val="single" w:sz="8" w:space="0" w:color="448A99"/>
              <w:right w:val="single" w:sz="8" w:space="0" w:color="448A99"/>
            </w:tcBorders>
            <w:shd w:val="clear" w:color="000000" w:fill="D2EAF1"/>
            <w:vAlign w:val="center"/>
            <w:hideMark/>
          </w:tcPr>
          <w:p w:rsidR="00C23348" w:rsidRPr="00C23348" w:rsidRDefault="00C23348" w:rsidP="00C23348">
            <w:pPr>
              <w:jc w:val="center"/>
              <w:rPr>
                <w:b/>
                <w:bCs/>
                <w:i/>
                <w:iCs/>
                <w:color w:val="000000"/>
                <w:sz w:val="20"/>
                <w:szCs w:val="20"/>
              </w:rPr>
            </w:pPr>
            <w:r w:rsidRPr="00C23348">
              <w:rPr>
                <w:b/>
                <w:bCs/>
                <w:i/>
                <w:iCs/>
                <w:color w:val="000000"/>
                <w:sz w:val="20"/>
                <w:szCs w:val="20"/>
              </w:rPr>
              <w:t>14</w:t>
            </w:r>
            <w:r w:rsidR="00326330">
              <w:rPr>
                <w:b/>
                <w:bCs/>
                <w:i/>
                <w:iCs/>
                <w:color w:val="000000"/>
                <w:sz w:val="20"/>
                <w:szCs w:val="20"/>
              </w:rPr>
              <w:t>2</w:t>
            </w:r>
            <w:r w:rsidRPr="00C23348">
              <w:rPr>
                <w:b/>
                <w:bCs/>
                <w:i/>
                <w:iCs/>
                <w:color w:val="000000"/>
                <w:sz w:val="20"/>
                <w:szCs w:val="20"/>
              </w:rPr>
              <w:t>,187</w:t>
            </w:r>
          </w:p>
        </w:tc>
        <w:tc>
          <w:tcPr>
            <w:tcW w:w="1953" w:type="dxa"/>
            <w:tcBorders>
              <w:top w:val="nil"/>
              <w:left w:val="nil"/>
              <w:bottom w:val="single" w:sz="8" w:space="0" w:color="448A99"/>
              <w:right w:val="single" w:sz="8" w:space="0" w:color="448A99"/>
            </w:tcBorders>
            <w:shd w:val="clear" w:color="000000" w:fill="D2EAF1"/>
            <w:vAlign w:val="center"/>
            <w:hideMark/>
          </w:tcPr>
          <w:p w:rsidR="00C23348" w:rsidRPr="00C23348" w:rsidRDefault="00C23348" w:rsidP="00C23348">
            <w:pPr>
              <w:jc w:val="center"/>
              <w:rPr>
                <w:b/>
                <w:bCs/>
                <w:i/>
                <w:iCs/>
                <w:color w:val="000000"/>
                <w:sz w:val="20"/>
                <w:szCs w:val="20"/>
              </w:rPr>
            </w:pPr>
            <w:r w:rsidRPr="00C23348">
              <w:rPr>
                <w:b/>
                <w:bCs/>
                <w:i/>
                <w:iCs/>
                <w:color w:val="000000"/>
                <w:sz w:val="20"/>
                <w:szCs w:val="20"/>
              </w:rPr>
              <w:t>104,999</w:t>
            </w:r>
          </w:p>
        </w:tc>
        <w:tc>
          <w:tcPr>
            <w:tcW w:w="1952" w:type="dxa"/>
            <w:tcBorders>
              <w:top w:val="nil"/>
              <w:left w:val="nil"/>
              <w:bottom w:val="single" w:sz="8" w:space="0" w:color="448A99"/>
              <w:right w:val="single" w:sz="8" w:space="0" w:color="448A99"/>
            </w:tcBorders>
            <w:shd w:val="clear" w:color="000000" w:fill="D2EAF1"/>
            <w:vAlign w:val="center"/>
            <w:hideMark/>
          </w:tcPr>
          <w:p w:rsidR="00C23348" w:rsidRPr="00C23348" w:rsidRDefault="00C23348" w:rsidP="00C23348">
            <w:pPr>
              <w:jc w:val="center"/>
              <w:rPr>
                <w:b/>
                <w:bCs/>
                <w:i/>
                <w:iCs/>
                <w:color w:val="000000"/>
                <w:sz w:val="20"/>
                <w:szCs w:val="20"/>
              </w:rPr>
            </w:pPr>
            <w:r w:rsidRPr="00C23348">
              <w:rPr>
                <w:b/>
                <w:bCs/>
                <w:i/>
                <w:iCs/>
                <w:color w:val="000000"/>
                <w:sz w:val="20"/>
                <w:szCs w:val="20"/>
              </w:rPr>
              <w:t>377,248</w:t>
            </w:r>
          </w:p>
        </w:tc>
        <w:tc>
          <w:tcPr>
            <w:tcW w:w="1953" w:type="dxa"/>
            <w:tcBorders>
              <w:top w:val="nil"/>
              <w:left w:val="nil"/>
              <w:bottom w:val="single" w:sz="8" w:space="0" w:color="448A99"/>
              <w:right w:val="single" w:sz="8" w:space="0" w:color="448A99"/>
            </w:tcBorders>
            <w:shd w:val="clear" w:color="000000" w:fill="D2EAF1"/>
            <w:vAlign w:val="center"/>
            <w:hideMark/>
          </w:tcPr>
          <w:p w:rsidR="00C23348" w:rsidRPr="00C23348" w:rsidRDefault="00C23348" w:rsidP="00C23348">
            <w:pPr>
              <w:jc w:val="center"/>
              <w:rPr>
                <w:b/>
                <w:bCs/>
                <w:i/>
                <w:iCs/>
                <w:color w:val="000000"/>
                <w:sz w:val="20"/>
                <w:szCs w:val="20"/>
              </w:rPr>
            </w:pPr>
            <w:r w:rsidRPr="00C23348">
              <w:rPr>
                <w:b/>
                <w:bCs/>
                <w:i/>
                <w:iCs/>
                <w:color w:val="000000"/>
                <w:sz w:val="20"/>
                <w:szCs w:val="20"/>
              </w:rPr>
              <w:t>248,319</w:t>
            </w:r>
          </w:p>
        </w:tc>
      </w:tr>
    </w:tbl>
    <w:p w:rsidR="008B45A8" w:rsidRPr="009349F1" w:rsidRDefault="008B45A8" w:rsidP="009349F1"/>
    <w:p w:rsidR="00950837" w:rsidRPr="00D34B3E" w:rsidRDefault="00950837" w:rsidP="0043541C">
      <w:pPr>
        <w:pStyle w:val="AppendixAHeading2"/>
      </w:pPr>
      <w:r w:rsidRPr="00D34B3E">
        <w:t>Total Resource Cost Test</w:t>
      </w:r>
    </w:p>
    <w:p w:rsidR="002F0470" w:rsidRDefault="002F0470" w:rsidP="002F0470">
      <w:r>
        <w:fldChar w:fldCharType="begin"/>
      </w:r>
      <w:r>
        <w:instrText xml:space="preserve"> REF _Ref472444027 \h </w:instrText>
      </w:r>
      <w:r>
        <w:fldChar w:fldCharType="separate"/>
      </w:r>
      <w:r w:rsidR="00A874AC" w:rsidRPr="00E41D9C">
        <w:t>Table A-</w:t>
      </w:r>
      <w:r w:rsidR="00A874AC">
        <w:rPr>
          <w:noProof/>
        </w:rPr>
        <w:t>4</w:t>
      </w:r>
      <w:r>
        <w:fldChar w:fldCharType="end"/>
      </w:r>
      <w:r w:rsidRPr="002F0470">
        <w:t xml:space="preserve"> </w:t>
      </w:r>
      <w:r w:rsidRPr="007906EA">
        <w:t xml:space="preserve">presents TRC </w:t>
      </w:r>
      <w:r>
        <w:t xml:space="preserve">NPV </w:t>
      </w:r>
      <w:r w:rsidRPr="007906EA">
        <w:t xml:space="preserve">benefits, TRC </w:t>
      </w:r>
      <w:r>
        <w:t xml:space="preserve">NPV </w:t>
      </w:r>
      <w:r w:rsidRPr="007906EA">
        <w:t>costs, present value</w:t>
      </w:r>
      <w:r>
        <w:t xml:space="preserve"> of net benefits, and</w:t>
      </w:r>
      <w:r w:rsidR="00FC0D6B">
        <w:t xml:space="preserve"> the</w:t>
      </w:r>
      <w:r>
        <w:t xml:space="preserve"> TRC ratio</w:t>
      </w:r>
      <w:r w:rsidRPr="007906EA">
        <w:t xml:space="preserve"> f</w:t>
      </w:r>
      <w:r>
        <w:t>or Duquesne’s PY</w:t>
      </w:r>
      <w:r w:rsidR="00FC0D6B">
        <w:t>7</w:t>
      </w:r>
      <w:r>
        <w:t xml:space="preserve"> </w:t>
      </w:r>
      <w:r w:rsidRPr="007906EA">
        <w:t>individual programs</w:t>
      </w:r>
      <w:r>
        <w:t xml:space="preserve"> and total </w:t>
      </w:r>
      <w:r w:rsidRPr="00F62113">
        <w:t>portfolio according to the Duquesne TRC model provided to the SWE</w:t>
      </w:r>
      <w:r>
        <w:t xml:space="preserve"> for review</w:t>
      </w:r>
      <w:r w:rsidRPr="00F62113">
        <w:t xml:space="preserve">.  </w:t>
      </w:r>
      <w:r w:rsidRPr="00EE0E65">
        <w:t xml:space="preserve">The SWE found no initial inconsistencies between the TRC model outputs and </w:t>
      </w:r>
      <w:r>
        <w:t>the TRC results shown in the PY7</w:t>
      </w:r>
      <w:r w:rsidRPr="00EE0E65">
        <w:t xml:space="preserve"> </w:t>
      </w:r>
      <w:r>
        <w:t>a</w:t>
      </w:r>
      <w:r w:rsidRPr="00EE0E65">
        <w:t xml:space="preserve">nnual </w:t>
      </w:r>
      <w:r>
        <w:t>r</w:t>
      </w:r>
      <w:r w:rsidRPr="00EE0E65">
        <w:t>eport.</w:t>
      </w:r>
    </w:p>
    <w:p w:rsidR="00A84212" w:rsidRDefault="00A84212" w:rsidP="00A84212"/>
    <w:p w:rsidR="008B45A8" w:rsidRDefault="008B45A8" w:rsidP="008B45A8">
      <w:pPr>
        <w:pStyle w:val="Caption"/>
      </w:pPr>
      <w:bookmarkStart w:id="508" w:name="_Ref472444027"/>
      <w:bookmarkStart w:id="509" w:name="_Toc472472413"/>
      <w:bookmarkStart w:id="510" w:name="_Toc476842119"/>
      <w:r w:rsidRPr="00E41D9C">
        <w:t>Table A-</w:t>
      </w:r>
      <w:fldSimple w:instr=" SEQ Table_A- \* ARABIC ">
        <w:r w:rsidR="00C301D0">
          <w:rPr>
            <w:noProof/>
          </w:rPr>
          <w:t>4</w:t>
        </w:r>
      </w:fldSimple>
      <w:bookmarkEnd w:id="508"/>
      <w:r w:rsidRPr="00E41D9C">
        <w:t xml:space="preserve">: </w:t>
      </w:r>
      <w:r w:rsidRPr="008B45A8">
        <w:t>Summary of Duquesne’s PY</w:t>
      </w:r>
      <w:r>
        <w:t>7</w:t>
      </w:r>
      <w:r w:rsidRPr="008B45A8">
        <w:t xml:space="preserve"> TRC Factors and Results</w:t>
      </w:r>
      <w:bookmarkEnd w:id="509"/>
      <w:bookmarkEnd w:id="510"/>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150"/>
        <w:gridCol w:w="1552"/>
        <w:gridCol w:w="1553"/>
        <w:gridCol w:w="1552"/>
        <w:gridCol w:w="1553"/>
      </w:tblGrid>
      <w:tr w:rsidR="00A874AC" w:rsidRPr="002F0470" w:rsidTr="009349F1">
        <w:trPr>
          <w:trHeight w:val="629"/>
          <w:tblHeader/>
          <w:jc w:val="center"/>
        </w:trPr>
        <w:tc>
          <w:tcPr>
            <w:tcW w:w="3150" w:type="dxa"/>
            <w:shd w:val="clear" w:color="000000" w:fill="448A99"/>
            <w:noWrap/>
            <w:vAlign w:val="bottom"/>
            <w:hideMark/>
          </w:tcPr>
          <w:p w:rsidR="002F0470" w:rsidRPr="002F0470" w:rsidRDefault="002F0470" w:rsidP="002F0470">
            <w:pPr>
              <w:jc w:val="left"/>
              <w:rPr>
                <w:b/>
                <w:bCs/>
                <w:color w:val="FFFFFF"/>
                <w:sz w:val="20"/>
                <w:szCs w:val="18"/>
              </w:rPr>
            </w:pPr>
            <w:r w:rsidRPr="002F0470">
              <w:rPr>
                <w:b/>
                <w:bCs/>
                <w:color w:val="FFFFFF"/>
                <w:sz w:val="20"/>
                <w:szCs w:val="18"/>
              </w:rPr>
              <w:t>Program</w:t>
            </w:r>
          </w:p>
        </w:tc>
        <w:tc>
          <w:tcPr>
            <w:tcW w:w="1552" w:type="dxa"/>
            <w:shd w:val="clear" w:color="000000" w:fill="448A99"/>
            <w:vAlign w:val="bottom"/>
            <w:hideMark/>
          </w:tcPr>
          <w:p w:rsidR="002F0470" w:rsidRPr="002F0470" w:rsidRDefault="002F0470" w:rsidP="002F0470">
            <w:pPr>
              <w:jc w:val="center"/>
              <w:rPr>
                <w:b/>
                <w:bCs/>
                <w:color w:val="FFFFFF"/>
                <w:sz w:val="20"/>
                <w:szCs w:val="20"/>
              </w:rPr>
            </w:pPr>
            <w:r w:rsidRPr="002F0470">
              <w:rPr>
                <w:b/>
                <w:bCs/>
                <w:color w:val="FFFFFF"/>
                <w:sz w:val="20"/>
                <w:szCs w:val="20"/>
              </w:rPr>
              <w:t>TRC NPV Benefits</w:t>
            </w:r>
          </w:p>
          <w:p w:rsidR="002F0470" w:rsidRPr="002F0470" w:rsidRDefault="002F0470" w:rsidP="002F0470">
            <w:pPr>
              <w:jc w:val="center"/>
              <w:rPr>
                <w:rFonts w:eastAsia="Calibri"/>
                <w:b/>
                <w:bCs/>
                <w:color w:val="FFFFFF"/>
                <w:sz w:val="20"/>
                <w:szCs w:val="18"/>
              </w:rPr>
            </w:pPr>
            <w:r w:rsidRPr="002F0470">
              <w:rPr>
                <w:b/>
                <w:bCs/>
                <w:color w:val="FFFFFF"/>
                <w:sz w:val="20"/>
                <w:szCs w:val="20"/>
              </w:rPr>
              <w:t>($)</w:t>
            </w:r>
          </w:p>
        </w:tc>
        <w:tc>
          <w:tcPr>
            <w:tcW w:w="1553" w:type="dxa"/>
            <w:shd w:val="clear" w:color="000000" w:fill="448A99"/>
            <w:vAlign w:val="bottom"/>
            <w:hideMark/>
          </w:tcPr>
          <w:p w:rsidR="002F0470" w:rsidRPr="002F0470" w:rsidRDefault="002F0470" w:rsidP="002F0470">
            <w:pPr>
              <w:jc w:val="center"/>
              <w:rPr>
                <w:rFonts w:eastAsia="Calibri"/>
                <w:b/>
                <w:bCs/>
                <w:color w:val="FFFFFF"/>
                <w:sz w:val="20"/>
                <w:szCs w:val="20"/>
              </w:rPr>
            </w:pPr>
            <w:r w:rsidRPr="002F0470">
              <w:rPr>
                <w:b/>
                <w:bCs/>
                <w:color w:val="FFFFFF"/>
                <w:sz w:val="20"/>
                <w:szCs w:val="20"/>
              </w:rPr>
              <w:t>TRC NPV Costs</w:t>
            </w:r>
          </w:p>
          <w:p w:rsidR="002F0470" w:rsidRPr="002F0470" w:rsidRDefault="002F0470" w:rsidP="002F0470">
            <w:pPr>
              <w:jc w:val="center"/>
              <w:rPr>
                <w:rFonts w:eastAsia="Calibri"/>
                <w:b/>
                <w:bCs/>
                <w:color w:val="FFFFFF"/>
                <w:sz w:val="20"/>
                <w:szCs w:val="18"/>
              </w:rPr>
            </w:pPr>
            <w:r w:rsidRPr="002F0470">
              <w:rPr>
                <w:b/>
                <w:bCs/>
                <w:color w:val="FFFFFF"/>
                <w:sz w:val="20"/>
                <w:szCs w:val="20"/>
              </w:rPr>
              <w:t>($)</w:t>
            </w:r>
          </w:p>
        </w:tc>
        <w:tc>
          <w:tcPr>
            <w:tcW w:w="1552" w:type="dxa"/>
            <w:shd w:val="clear" w:color="000000" w:fill="448A99"/>
            <w:vAlign w:val="bottom"/>
          </w:tcPr>
          <w:p w:rsidR="002F0470" w:rsidRPr="002F0470" w:rsidRDefault="002F0470" w:rsidP="002F0470">
            <w:pPr>
              <w:jc w:val="center"/>
              <w:rPr>
                <w:rFonts w:eastAsia="Calibri"/>
                <w:b/>
                <w:bCs/>
                <w:color w:val="FFFFFF"/>
                <w:sz w:val="20"/>
                <w:szCs w:val="20"/>
              </w:rPr>
            </w:pPr>
            <w:r w:rsidRPr="002F0470">
              <w:rPr>
                <w:b/>
                <w:bCs/>
                <w:color w:val="FFFFFF"/>
                <w:sz w:val="20"/>
                <w:szCs w:val="20"/>
              </w:rPr>
              <w:t>Present Value of Net Benefits</w:t>
            </w:r>
          </w:p>
          <w:p w:rsidR="002F0470" w:rsidRPr="002F0470" w:rsidRDefault="002F0470" w:rsidP="002F0470">
            <w:pPr>
              <w:jc w:val="center"/>
              <w:rPr>
                <w:rFonts w:eastAsia="Calibri"/>
                <w:b/>
                <w:bCs/>
                <w:color w:val="FFFFFF"/>
                <w:sz w:val="20"/>
                <w:szCs w:val="18"/>
              </w:rPr>
            </w:pPr>
            <w:r w:rsidRPr="002F0470">
              <w:rPr>
                <w:b/>
                <w:bCs/>
                <w:color w:val="FFFFFF"/>
                <w:sz w:val="20"/>
                <w:szCs w:val="20"/>
              </w:rPr>
              <w:t>($)</w:t>
            </w:r>
          </w:p>
        </w:tc>
        <w:tc>
          <w:tcPr>
            <w:tcW w:w="1553" w:type="dxa"/>
            <w:shd w:val="clear" w:color="000000" w:fill="448A99"/>
            <w:noWrap/>
            <w:vAlign w:val="bottom"/>
            <w:hideMark/>
          </w:tcPr>
          <w:p w:rsidR="002F0470" w:rsidRPr="002F0470" w:rsidRDefault="002F0470" w:rsidP="002F0470">
            <w:pPr>
              <w:jc w:val="center"/>
              <w:rPr>
                <w:rFonts w:eastAsia="Calibri"/>
                <w:b/>
                <w:bCs/>
                <w:color w:val="FFFFFF"/>
                <w:sz w:val="20"/>
                <w:szCs w:val="18"/>
              </w:rPr>
            </w:pPr>
            <w:r w:rsidRPr="002F0470">
              <w:rPr>
                <w:b/>
                <w:bCs/>
                <w:color w:val="FFFFFF"/>
                <w:sz w:val="20"/>
                <w:szCs w:val="20"/>
              </w:rPr>
              <w:t>TRC Ratio</w:t>
            </w:r>
          </w:p>
        </w:tc>
      </w:tr>
      <w:tr w:rsidR="00A874AC" w:rsidRPr="002F0470" w:rsidTr="009349F1">
        <w:trPr>
          <w:trHeight w:val="346"/>
          <w:jc w:val="center"/>
        </w:trPr>
        <w:tc>
          <w:tcPr>
            <w:tcW w:w="3150" w:type="dxa"/>
            <w:shd w:val="clear" w:color="000000" w:fill="D2EAF1"/>
            <w:noWrap/>
            <w:vAlign w:val="center"/>
          </w:tcPr>
          <w:p w:rsidR="00C97965" w:rsidRPr="002F0470" w:rsidRDefault="00C97965" w:rsidP="00C97965">
            <w:pPr>
              <w:jc w:val="left"/>
              <w:rPr>
                <w:bCs/>
                <w:sz w:val="20"/>
                <w:szCs w:val="20"/>
              </w:rPr>
            </w:pPr>
            <w:r w:rsidRPr="002F0470">
              <w:rPr>
                <w:rFonts w:cs="Arial"/>
                <w:bCs/>
                <w:sz w:val="20"/>
                <w:szCs w:val="20"/>
              </w:rPr>
              <w:t>Residential EE Program</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25CC1">
              <w:rPr>
                <w:sz w:val="20"/>
              </w:rPr>
              <w:t>$26,015,654</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$9,182,514</w:t>
            </w:r>
          </w:p>
        </w:tc>
        <w:tc>
          <w:tcPr>
            <w:tcW w:w="1552" w:type="dxa"/>
            <w:tcBorders>
              <w:top w:val="nil"/>
              <w:left w:val="nil"/>
              <w:bottom w:val="single" w:sz="8" w:space="0" w:color="448A99"/>
              <w:right w:val="single" w:sz="8" w:space="0" w:color="448A99"/>
            </w:tcBorders>
            <w:shd w:val="clear" w:color="000000" w:fill="D2EAF1"/>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w:t>
            </w:r>
            <w:r>
              <w:rPr>
                <w:rFonts w:cs="Arial"/>
                <w:color w:val="000000"/>
                <w:sz w:val="20"/>
                <w:szCs w:val="20"/>
              </w:rPr>
              <w:t>16,833,140</w:t>
            </w:r>
            <w:r w:rsidRPr="002F0470">
              <w:rPr>
                <w:rFonts w:cs="Arial"/>
                <w:color w:val="000000"/>
                <w:sz w:val="20"/>
                <w:szCs w:val="20"/>
              </w:rPr>
              <w:t xml:space="preserve"> </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2.</w:t>
            </w:r>
            <w:r>
              <w:rPr>
                <w:rFonts w:cs="Arial"/>
                <w:color w:val="000000"/>
                <w:sz w:val="20"/>
                <w:szCs w:val="20"/>
              </w:rPr>
              <w:t>83</w:t>
            </w:r>
          </w:p>
        </w:tc>
      </w:tr>
      <w:tr w:rsidR="00C97965" w:rsidRPr="002F0470" w:rsidTr="00BC615D">
        <w:trPr>
          <w:trHeight w:val="346"/>
          <w:jc w:val="center"/>
        </w:trPr>
        <w:tc>
          <w:tcPr>
            <w:tcW w:w="3150" w:type="dxa"/>
            <w:shd w:val="clear" w:color="auto" w:fill="auto"/>
            <w:noWrap/>
            <w:vAlign w:val="center"/>
          </w:tcPr>
          <w:p w:rsidR="00C97965" w:rsidRPr="002F0470" w:rsidRDefault="00C97965" w:rsidP="00C97965">
            <w:pPr>
              <w:jc w:val="left"/>
              <w:rPr>
                <w:bCs/>
                <w:sz w:val="20"/>
                <w:szCs w:val="20"/>
              </w:rPr>
            </w:pPr>
            <w:r w:rsidRPr="002F0470">
              <w:rPr>
                <w:rFonts w:cs="Arial"/>
                <w:bCs/>
                <w:sz w:val="20"/>
                <w:szCs w:val="20"/>
              </w:rPr>
              <w:t>School Energy Pledge</w:t>
            </w:r>
          </w:p>
        </w:tc>
        <w:tc>
          <w:tcPr>
            <w:tcW w:w="1552"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25CC1">
              <w:rPr>
                <w:sz w:val="20"/>
              </w:rPr>
              <w:t>$8,252</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$141,335 </w:t>
            </w:r>
          </w:p>
        </w:tc>
        <w:tc>
          <w:tcPr>
            <w:tcW w:w="1552" w:type="dxa"/>
            <w:tcBorders>
              <w:top w:val="nil"/>
              <w:left w:val="nil"/>
              <w:bottom w:val="single" w:sz="8" w:space="0" w:color="448A99"/>
              <w:right w:val="single" w:sz="8" w:space="0" w:color="448A99"/>
            </w:tcBorders>
            <w:shd w:val="clear" w:color="auto" w:fill="auto"/>
            <w:vAlign w:val="center"/>
          </w:tcPr>
          <w:p w:rsidR="00C97965" w:rsidRPr="002F0470" w:rsidRDefault="00C97965" w:rsidP="00C97965">
            <w:pPr>
              <w:jc w:val="center"/>
              <w:rPr>
                <w:rFonts w:cs="Arial"/>
                <w:color w:val="000000"/>
                <w:sz w:val="20"/>
                <w:szCs w:val="20"/>
              </w:rPr>
            </w:pPr>
            <w:r w:rsidRPr="002F0470">
              <w:rPr>
                <w:rFonts w:cs="Arial"/>
                <w:color w:val="FF0000"/>
                <w:sz w:val="20"/>
                <w:szCs w:val="20"/>
              </w:rPr>
              <w:t>($13</w:t>
            </w:r>
            <w:r>
              <w:rPr>
                <w:rFonts w:cs="Arial"/>
                <w:color w:val="FF0000"/>
                <w:sz w:val="20"/>
                <w:szCs w:val="20"/>
              </w:rPr>
              <w:t>3,083</w:t>
            </w:r>
            <w:r w:rsidRPr="002F0470">
              <w:rPr>
                <w:rFonts w:cs="Arial"/>
                <w:color w:val="FF0000"/>
                <w:sz w:val="20"/>
                <w:szCs w:val="20"/>
              </w:rPr>
              <w:t>)</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0.0</w:t>
            </w:r>
            <w:r>
              <w:rPr>
                <w:rFonts w:cs="Arial"/>
                <w:color w:val="000000"/>
                <w:sz w:val="20"/>
                <w:szCs w:val="20"/>
              </w:rPr>
              <w:t>6</w:t>
            </w:r>
          </w:p>
        </w:tc>
      </w:tr>
      <w:tr w:rsidR="00A874AC" w:rsidRPr="002F0470" w:rsidTr="009349F1">
        <w:trPr>
          <w:trHeight w:val="346"/>
          <w:jc w:val="center"/>
        </w:trPr>
        <w:tc>
          <w:tcPr>
            <w:tcW w:w="3150" w:type="dxa"/>
            <w:shd w:val="clear" w:color="000000" w:fill="D2EAF1"/>
            <w:noWrap/>
            <w:vAlign w:val="center"/>
          </w:tcPr>
          <w:p w:rsidR="00C97965" w:rsidRPr="002F0470" w:rsidRDefault="00C97965" w:rsidP="00C97965">
            <w:pPr>
              <w:jc w:val="left"/>
              <w:rPr>
                <w:bCs/>
                <w:sz w:val="20"/>
                <w:szCs w:val="20"/>
              </w:rPr>
            </w:pPr>
            <w:r w:rsidRPr="002F0470">
              <w:rPr>
                <w:rFonts w:cs="Arial"/>
                <w:bCs/>
                <w:sz w:val="20"/>
                <w:szCs w:val="20"/>
              </w:rPr>
              <w:t>Appliance Recycling</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25CC1">
              <w:rPr>
                <w:sz w:val="20"/>
              </w:rPr>
              <w:t>$652,924</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$489,749 </w:t>
            </w:r>
          </w:p>
        </w:tc>
        <w:tc>
          <w:tcPr>
            <w:tcW w:w="1552" w:type="dxa"/>
            <w:tcBorders>
              <w:top w:val="nil"/>
              <w:left w:val="nil"/>
              <w:bottom w:val="single" w:sz="8" w:space="0" w:color="448A99"/>
              <w:right w:val="single" w:sz="8" w:space="0" w:color="448A99"/>
            </w:tcBorders>
            <w:shd w:val="clear" w:color="000000" w:fill="D2EAF1"/>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w:t>
            </w:r>
            <w:r>
              <w:rPr>
                <w:rFonts w:cs="Arial"/>
                <w:color w:val="000000"/>
                <w:sz w:val="20"/>
                <w:szCs w:val="20"/>
              </w:rPr>
              <w:t>163,175</w:t>
            </w:r>
            <w:r w:rsidRPr="002F0470">
              <w:rPr>
                <w:rFonts w:cs="Arial"/>
                <w:color w:val="000000"/>
                <w:sz w:val="20"/>
                <w:szCs w:val="20"/>
              </w:rPr>
              <w:t xml:space="preserve"> </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1.50</w:t>
            </w:r>
          </w:p>
        </w:tc>
      </w:tr>
      <w:tr w:rsidR="00C97965" w:rsidRPr="002F0470" w:rsidTr="00BC615D">
        <w:trPr>
          <w:trHeight w:val="346"/>
          <w:jc w:val="center"/>
        </w:trPr>
        <w:tc>
          <w:tcPr>
            <w:tcW w:w="3150" w:type="dxa"/>
            <w:shd w:val="clear" w:color="auto" w:fill="auto"/>
            <w:noWrap/>
            <w:vAlign w:val="center"/>
          </w:tcPr>
          <w:p w:rsidR="00C97965" w:rsidRPr="002F0470" w:rsidRDefault="00C97965" w:rsidP="00C97965">
            <w:pPr>
              <w:jc w:val="left"/>
              <w:rPr>
                <w:bCs/>
                <w:sz w:val="20"/>
                <w:szCs w:val="20"/>
              </w:rPr>
            </w:pPr>
            <w:r w:rsidRPr="002F0470">
              <w:rPr>
                <w:rFonts w:cs="Arial"/>
                <w:bCs/>
                <w:sz w:val="20"/>
                <w:szCs w:val="20"/>
              </w:rPr>
              <w:t>Whole House</w:t>
            </w:r>
          </w:p>
        </w:tc>
        <w:tc>
          <w:tcPr>
            <w:tcW w:w="1552"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25CC1">
              <w:rPr>
                <w:sz w:val="20"/>
              </w:rPr>
              <w:t>$</w:t>
            </w:r>
            <w:r>
              <w:rPr>
                <w:sz w:val="20"/>
              </w:rPr>
              <w:t>10,004</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$370,397 </w:t>
            </w:r>
          </w:p>
        </w:tc>
        <w:tc>
          <w:tcPr>
            <w:tcW w:w="1552" w:type="dxa"/>
            <w:tcBorders>
              <w:top w:val="nil"/>
              <w:left w:val="nil"/>
              <w:bottom w:val="single" w:sz="8" w:space="0" w:color="448A99"/>
              <w:right w:val="single" w:sz="8" w:space="0" w:color="448A99"/>
            </w:tcBorders>
            <w:shd w:val="clear" w:color="auto" w:fill="auto"/>
            <w:vAlign w:val="center"/>
          </w:tcPr>
          <w:p w:rsidR="00C97965" w:rsidRPr="002F0470" w:rsidRDefault="00C97965" w:rsidP="00C97965">
            <w:pPr>
              <w:jc w:val="center"/>
              <w:rPr>
                <w:rFonts w:cs="Arial"/>
                <w:color w:val="000000"/>
                <w:sz w:val="20"/>
                <w:szCs w:val="20"/>
              </w:rPr>
            </w:pPr>
            <w:r w:rsidRPr="002F0470">
              <w:rPr>
                <w:rFonts w:cs="Arial"/>
                <w:color w:val="FF0000"/>
                <w:sz w:val="20"/>
                <w:szCs w:val="20"/>
              </w:rPr>
              <w:t>($3</w:t>
            </w:r>
            <w:r>
              <w:rPr>
                <w:rFonts w:cs="Arial"/>
                <w:color w:val="FF0000"/>
                <w:sz w:val="20"/>
                <w:szCs w:val="20"/>
              </w:rPr>
              <w:t>60,394</w:t>
            </w:r>
            <w:r w:rsidRPr="002F0470">
              <w:rPr>
                <w:rFonts w:cs="Arial"/>
                <w:color w:val="FF0000"/>
                <w:sz w:val="20"/>
                <w:szCs w:val="20"/>
              </w:rPr>
              <w:t>)</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0.03</w:t>
            </w:r>
          </w:p>
        </w:tc>
      </w:tr>
      <w:tr w:rsidR="00A874AC" w:rsidRPr="002F0470" w:rsidTr="009349F1">
        <w:trPr>
          <w:trHeight w:val="346"/>
          <w:jc w:val="center"/>
        </w:trPr>
        <w:tc>
          <w:tcPr>
            <w:tcW w:w="3150" w:type="dxa"/>
            <w:shd w:val="clear" w:color="000000" w:fill="D2EAF1"/>
            <w:noWrap/>
            <w:vAlign w:val="center"/>
          </w:tcPr>
          <w:p w:rsidR="00C97965" w:rsidRPr="002F0470" w:rsidRDefault="00C97965" w:rsidP="00C97965">
            <w:pPr>
              <w:jc w:val="left"/>
              <w:rPr>
                <w:bCs/>
                <w:sz w:val="20"/>
                <w:szCs w:val="20"/>
              </w:rPr>
            </w:pPr>
            <w:r w:rsidRPr="002F0470">
              <w:rPr>
                <w:rFonts w:cs="Arial"/>
                <w:bCs/>
                <w:sz w:val="20"/>
                <w:szCs w:val="20"/>
              </w:rPr>
              <w:t>Home Energy Reports</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25CC1">
              <w:rPr>
                <w:sz w:val="20"/>
              </w:rPr>
              <w:t>$1,</w:t>
            </w:r>
            <w:r>
              <w:rPr>
                <w:sz w:val="20"/>
              </w:rPr>
              <w:t>292,138</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$710,616</w:t>
            </w:r>
          </w:p>
        </w:tc>
        <w:tc>
          <w:tcPr>
            <w:tcW w:w="1552" w:type="dxa"/>
            <w:tcBorders>
              <w:top w:val="nil"/>
              <w:left w:val="nil"/>
              <w:bottom w:val="single" w:sz="8" w:space="0" w:color="448A99"/>
              <w:right w:val="single" w:sz="8" w:space="0" w:color="448A99"/>
            </w:tcBorders>
            <w:shd w:val="clear" w:color="000000" w:fill="D2EAF1"/>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w:t>
            </w:r>
            <w:r>
              <w:rPr>
                <w:rFonts w:cs="Arial"/>
                <w:color w:val="000000"/>
                <w:sz w:val="20"/>
                <w:szCs w:val="20"/>
              </w:rPr>
              <w:t>581,522</w:t>
            </w:r>
            <w:r w:rsidRPr="002F0470">
              <w:rPr>
                <w:rFonts w:cs="Arial"/>
                <w:color w:val="000000"/>
                <w:sz w:val="20"/>
                <w:szCs w:val="20"/>
              </w:rPr>
              <w:t xml:space="preserve"> </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Pr>
                <w:rFonts w:cs="Arial"/>
                <w:color w:val="000000"/>
                <w:sz w:val="20"/>
                <w:szCs w:val="20"/>
              </w:rPr>
              <w:t>1.82</w:t>
            </w:r>
          </w:p>
        </w:tc>
      </w:tr>
      <w:tr w:rsidR="00C97965" w:rsidRPr="002F0470" w:rsidTr="00BC615D">
        <w:trPr>
          <w:trHeight w:val="346"/>
          <w:jc w:val="center"/>
        </w:trPr>
        <w:tc>
          <w:tcPr>
            <w:tcW w:w="3150" w:type="dxa"/>
            <w:shd w:val="clear" w:color="auto" w:fill="auto"/>
            <w:noWrap/>
            <w:vAlign w:val="center"/>
          </w:tcPr>
          <w:p w:rsidR="00C97965" w:rsidRPr="002F0470" w:rsidRDefault="00C97965" w:rsidP="00C97965">
            <w:pPr>
              <w:jc w:val="left"/>
              <w:rPr>
                <w:bCs/>
                <w:sz w:val="20"/>
                <w:szCs w:val="20"/>
              </w:rPr>
            </w:pPr>
            <w:r w:rsidRPr="002F0470">
              <w:rPr>
                <w:rFonts w:cs="Arial"/>
                <w:bCs/>
                <w:sz w:val="20"/>
                <w:szCs w:val="20"/>
              </w:rPr>
              <w:t>Low-Income EE</w:t>
            </w:r>
          </w:p>
        </w:tc>
        <w:tc>
          <w:tcPr>
            <w:tcW w:w="1552"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25CC1">
              <w:rPr>
                <w:sz w:val="20"/>
              </w:rPr>
              <w:t>$</w:t>
            </w:r>
            <w:r>
              <w:rPr>
                <w:sz w:val="20"/>
              </w:rPr>
              <w:t>1,196,004</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$453,848</w:t>
            </w:r>
          </w:p>
        </w:tc>
        <w:tc>
          <w:tcPr>
            <w:tcW w:w="1552" w:type="dxa"/>
            <w:tcBorders>
              <w:top w:val="nil"/>
              <w:left w:val="nil"/>
              <w:bottom w:val="single" w:sz="8" w:space="0" w:color="448A99"/>
              <w:right w:val="single" w:sz="8" w:space="0" w:color="448A99"/>
            </w:tcBorders>
            <w:shd w:val="clear" w:color="auto" w:fill="auto"/>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w:t>
            </w:r>
            <w:r>
              <w:rPr>
                <w:rFonts w:cs="Arial"/>
                <w:color w:val="000000"/>
                <w:sz w:val="20"/>
                <w:szCs w:val="20"/>
              </w:rPr>
              <w:t>742,156</w:t>
            </w:r>
            <w:r w:rsidRPr="002F0470">
              <w:rPr>
                <w:rFonts w:cs="Arial"/>
                <w:color w:val="000000"/>
                <w:sz w:val="20"/>
                <w:szCs w:val="20"/>
              </w:rPr>
              <w:t xml:space="preserve"> </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2.</w:t>
            </w:r>
            <w:r>
              <w:rPr>
                <w:rFonts w:cs="Arial"/>
                <w:color w:val="000000"/>
                <w:sz w:val="20"/>
                <w:szCs w:val="20"/>
              </w:rPr>
              <w:t>64</w:t>
            </w:r>
          </w:p>
        </w:tc>
      </w:tr>
      <w:tr w:rsidR="00A874AC" w:rsidRPr="002F0470" w:rsidTr="009349F1">
        <w:trPr>
          <w:trHeight w:val="346"/>
          <w:jc w:val="center"/>
        </w:trPr>
        <w:tc>
          <w:tcPr>
            <w:tcW w:w="3150" w:type="dxa"/>
            <w:shd w:val="clear" w:color="000000" w:fill="D2EAF1"/>
            <w:vAlign w:val="center"/>
          </w:tcPr>
          <w:p w:rsidR="00C97965" w:rsidRPr="002F0470" w:rsidRDefault="00C97965" w:rsidP="00C97965">
            <w:pPr>
              <w:jc w:val="left"/>
              <w:rPr>
                <w:bCs/>
                <w:sz w:val="20"/>
                <w:szCs w:val="20"/>
              </w:rPr>
            </w:pPr>
            <w:r w:rsidRPr="002F0470">
              <w:rPr>
                <w:rFonts w:cs="Arial"/>
                <w:bCs/>
                <w:sz w:val="20"/>
                <w:szCs w:val="20"/>
              </w:rPr>
              <w:t>Commercial Sector Umbrella EE</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772ECC">
              <w:rPr>
                <w:sz w:val="20"/>
              </w:rPr>
              <w:t>$5,193,435</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$2,426,126 </w:t>
            </w:r>
          </w:p>
        </w:tc>
        <w:tc>
          <w:tcPr>
            <w:tcW w:w="1552" w:type="dxa"/>
            <w:tcBorders>
              <w:top w:val="nil"/>
              <w:left w:val="nil"/>
              <w:bottom w:val="single" w:sz="8" w:space="0" w:color="448A99"/>
              <w:right w:val="single" w:sz="8" w:space="0" w:color="448A99"/>
            </w:tcBorders>
            <w:shd w:val="clear" w:color="000000" w:fill="D2EAF1"/>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w:t>
            </w:r>
            <w:r>
              <w:rPr>
                <w:rFonts w:cs="Arial"/>
                <w:color w:val="000000"/>
                <w:sz w:val="20"/>
                <w:szCs w:val="20"/>
              </w:rPr>
              <w:t>2,767,309</w:t>
            </w:r>
            <w:r w:rsidRPr="002F0470">
              <w:rPr>
                <w:rFonts w:cs="Arial"/>
                <w:color w:val="000000"/>
                <w:sz w:val="20"/>
                <w:szCs w:val="20"/>
              </w:rPr>
              <w:t xml:space="preserve"> </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2.1</w:t>
            </w:r>
            <w:r>
              <w:rPr>
                <w:rFonts w:cs="Arial"/>
                <w:color w:val="000000"/>
                <w:sz w:val="20"/>
                <w:szCs w:val="20"/>
              </w:rPr>
              <w:t>4</w:t>
            </w:r>
          </w:p>
        </w:tc>
      </w:tr>
      <w:tr w:rsidR="00C97965" w:rsidRPr="002F0470" w:rsidTr="00BC615D">
        <w:trPr>
          <w:trHeight w:val="346"/>
          <w:jc w:val="center"/>
        </w:trPr>
        <w:tc>
          <w:tcPr>
            <w:tcW w:w="3150" w:type="dxa"/>
            <w:shd w:val="clear" w:color="auto" w:fill="auto"/>
            <w:vAlign w:val="center"/>
          </w:tcPr>
          <w:p w:rsidR="00C97965" w:rsidRPr="002F0470" w:rsidRDefault="00C97965" w:rsidP="00C97965">
            <w:pPr>
              <w:jc w:val="left"/>
              <w:rPr>
                <w:sz w:val="20"/>
                <w:szCs w:val="20"/>
              </w:rPr>
            </w:pPr>
            <w:r w:rsidRPr="002F0470">
              <w:rPr>
                <w:rFonts w:cs="Arial"/>
                <w:bCs/>
                <w:sz w:val="20"/>
                <w:szCs w:val="20"/>
              </w:rPr>
              <w:lastRenderedPageBreak/>
              <w:t>Healthcare EE</w:t>
            </w:r>
          </w:p>
        </w:tc>
        <w:tc>
          <w:tcPr>
            <w:tcW w:w="1552"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772ECC">
              <w:rPr>
                <w:sz w:val="20"/>
              </w:rPr>
              <w:t>$3,210,938</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$1,580,628 </w:t>
            </w:r>
          </w:p>
        </w:tc>
        <w:tc>
          <w:tcPr>
            <w:tcW w:w="1552" w:type="dxa"/>
            <w:tcBorders>
              <w:top w:val="nil"/>
              <w:left w:val="nil"/>
              <w:bottom w:val="single" w:sz="8" w:space="0" w:color="448A99"/>
              <w:right w:val="single" w:sz="8" w:space="0" w:color="448A99"/>
            </w:tcBorders>
            <w:shd w:val="clear" w:color="auto" w:fill="auto"/>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$1,</w:t>
            </w:r>
            <w:r>
              <w:rPr>
                <w:rFonts w:cs="Arial"/>
                <w:color w:val="000000"/>
                <w:sz w:val="20"/>
                <w:szCs w:val="20"/>
              </w:rPr>
              <w:t>630,310</w:t>
            </w:r>
            <w:r w:rsidRPr="002F0470">
              <w:rPr>
                <w:rFonts w:cs="Arial"/>
                <w:color w:val="000000"/>
                <w:sz w:val="20"/>
                <w:szCs w:val="20"/>
              </w:rPr>
              <w:t xml:space="preserve"> </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Pr>
                <w:rFonts w:cs="Arial"/>
                <w:color w:val="000000"/>
                <w:sz w:val="20"/>
                <w:szCs w:val="20"/>
              </w:rPr>
              <w:t>2.03</w:t>
            </w:r>
          </w:p>
        </w:tc>
      </w:tr>
      <w:tr w:rsidR="00A874AC" w:rsidRPr="002F0470" w:rsidTr="009349F1">
        <w:trPr>
          <w:trHeight w:val="346"/>
          <w:jc w:val="center"/>
        </w:trPr>
        <w:tc>
          <w:tcPr>
            <w:tcW w:w="3150" w:type="dxa"/>
            <w:shd w:val="clear" w:color="000000" w:fill="D2EAF1"/>
            <w:vAlign w:val="center"/>
          </w:tcPr>
          <w:p w:rsidR="00C97965" w:rsidRPr="002F0470" w:rsidRDefault="00C97965" w:rsidP="00C97965">
            <w:pPr>
              <w:jc w:val="left"/>
              <w:rPr>
                <w:bCs/>
                <w:sz w:val="20"/>
                <w:szCs w:val="20"/>
              </w:rPr>
            </w:pPr>
            <w:r w:rsidRPr="002F0470">
              <w:rPr>
                <w:rFonts w:cs="Arial"/>
                <w:bCs/>
                <w:sz w:val="20"/>
                <w:szCs w:val="20"/>
              </w:rPr>
              <w:t>Industrial Sector Umbrella EE</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772ECC">
              <w:rPr>
                <w:sz w:val="20"/>
              </w:rPr>
              <w:t>$56,094</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$101,625 </w:t>
            </w:r>
          </w:p>
        </w:tc>
        <w:tc>
          <w:tcPr>
            <w:tcW w:w="1552" w:type="dxa"/>
            <w:tcBorders>
              <w:top w:val="nil"/>
              <w:left w:val="nil"/>
              <w:bottom w:val="single" w:sz="8" w:space="0" w:color="448A99"/>
              <w:right w:val="single" w:sz="8" w:space="0" w:color="448A99"/>
            </w:tcBorders>
            <w:shd w:val="clear" w:color="000000" w:fill="D2EAF1"/>
            <w:vAlign w:val="center"/>
          </w:tcPr>
          <w:p w:rsidR="00C97965" w:rsidRPr="002F0470" w:rsidRDefault="00C97965" w:rsidP="00C97965">
            <w:pPr>
              <w:jc w:val="center"/>
              <w:rPr>
                <w:rFonts w:cs="Arial"/>
                <w:color w:val="000000"/>
                <w:sz w:val="20"/>
                <w:szCs w:val="20"/>
              </w:rPr>
            </w:pPr>
            <w:r w:rsidRPr="002F0470">
              <w:rPr>
                <w:rFonts w:cs="Arial"/>
                <w:color w:val="FF0000"/>
                <w:sz w:val="20"/>
                <w:szCs w:val="20"/>
              </w:rPr>
              <w:t>($4</w:t>
            </w:r>
            <w:r>
              <w:rPr>
                <w:rFonts w:cs="Arial"/>
                <w:color w:val="FF0000"/>
                <w:sz w:val="20"/>
                <w:szCs w:val="20"/>
              </w:rPr>
              <w:t>5,532</w:t>
            </w:r>
            <w:r w:rsidRPr="002F0470">
              <w:rPr>
                <w:rFonts w:cs="Arial"/>
                <w:color w:val="FF0000"/>
                <w:sz w:val="20"/>
                <w:szCs w:val="20"/>
              </w:rPr>
              <w:t>)</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0.5</w:t>
            </w:r>
            <w:r>
              <w:rPr>
                <w:rFonts w:cs="Arial"/>
                <w:color w:val="000000"/>
                <w:sz w:val="20"/>
                <w:szCs w:val="20"/>
              </w:rPr>
              <w:t>5</w:t>
            </w:r>
          </w:p>
        </w:tc>
      </w:tr>
      <w:tr w:rsidR="00C97965" w:rsidRPr="002F0470" w:rsidTr="00BC615D">
        <w:trPr>
          <w:trHeight w:val="346"/>
          <w:jc w:val="center"/>
        </w:trPr>
        <w:tc>
          <w:tcPr>
            <w:tcW w:w="3150" w:type="dxa"/>
            <w:shd w:val="clear" w:color="auto" w:fill="auto"/>
            <w:vAlign w:val="center"/>
          </w:tcPr>
          <w:p w:rsidR="00C97965" w:rsidRPr="002F0470" w:rsidRDefault="00C97965" w:rsidP="00C97965">
            <w:pPr>
              <w:jc w:val="left"/>
              <w:rPr>
                <w:bCs/>
                <w:sz w:val="20"/>
                <w:szCs w:val="20"/>
              </w:rPr>
            </w:pPr>
            <w:r w:rsidRPr="002F0470">
              <w:rPr>
                <w:rFonts w:cs="Arial"/>
                <w:bCs/>
                <w:sz w:val="20"/>
                <w:szCs w:val="20"/>
              </w:rPr>
              <w:t>Chemical Products EE</w:t>
            </w:r>
          </w:p>
        </w:tc>
        <w:tc>
          <w:tcPr>
            <w:tcW w:w="1552"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772ECC">
              <w:rPr>
                <w:sz w:val="20"/>
              </w:rPr>
              <w:t>$15,169,346</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$6,242,843 </w:t>
            </w:r>
          </w:p>
        </w:tc>
        <w:tc>
          <w:tcPr>
            <w:tcW w:w="1552" w:type="dxa"/>
            <w:tcBorders>
              <w:top w:val="nil"/>
              <w:left w:val="nil"/>
              <w:bottom w:val="single" w:sz="8" w:space="0" w:color="448A99"/>
              <w:right w:val="single" w:sz="8" w:space="0" w:color="448A99"/>
            </w:tcBorders>
            <w:shd w:val="clear" w:color="auto" w:fill="auto"/>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$8,</w:t>
            </w:r>
            <w:r>
              <w:rPr>
                <w:rFonts w:cs="Arial"/>
                <w:color w:val="000000"/>
                <w:sz w:val="20"/>
                <w:szCs w:val="20"/>
              </w:rPr>
              <w:t>926,502</w:t>
            </w:r>
            <w:r w:rsidRPr="002F0470">
              <w:rPr>
                <w:rFonts w:cs="Arial"/>
                <w:color w:val="000000"/>
                <w:sz w:val="20"/>
                <w:szCs w:val="20"/>
              </w:rPr>
              <w:t xml:space="preserve"> </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2.</w:t>
            </w:r>
            <w:r>
              <w:rPr>
                <w:rFonts w:cs="Arial"/>
                <w:color w:val="000000"/>
                <w:sz w:val="20"/>
                <w:szCs w:val="20"/>
              </w:rPr>
              <w:t>43</w:t>
            </w:r>
          </w:p>
        </w:tc>
      </w:tr>
      <w:tr w:rsidR="00A874AC" w:rsidRPr="002F0470" w:rsidTr="009349F1">
        <w:trPr>
          <w:trHeight w:val="346"/>
          <w:jc w:val="center"/>
        </w:trPr>
        <w:tc>
          <w:tcPr>
            <w:tcW w:w="3150" w:type="dxa"/>
            <w:shd w:val="clear" w:color="000000" w:fill="D2EAF1"/>
            <w:noWrap/>
            <w:vAlign w:val="center"/>
          </w:tcPr>
          <w:p w:rsidR="00C97965" w:rsidRPr="002F0470" w:rsidRDefault="00C97965" w:rsidP="00C97965">
            <w:pPr>
              <w:jc w:val="left"/>
              <w:rPr>
                <w:bCs/>
                <w:sz w:val="20"/>
                <w:szCs w:val="20"/>
              </w:rPr>
            </w:pPr>
            <w:r w:rsidRPr="002F0470">
              <w:rPr>
                <w:rFonts w:cs="Arial"/>
                <w:bCs/>
                <w:iCs/>
                <w:sz w:val="20"/>
                <w:szCs w:val="20"/>
              </w:rPr>
              <w:t>Mixed Industrial EE</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772ECC">
              <w:rPr>
                <w:sz w:val="20"/>
              </w:rPr>
              <w:t>$3,532,819</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$929,713 </w:t>
            </w:r>
          </w:p>
        </w:tc>
        <w:tc>
          <w:tcPr>
            <w:tcW w:w="1552" w:type="dxa"/>
            <w:tcBorders>
              <w:top w:val="nil"/>
              <w:left w:val="nil"/>
              <w:bottom w:val="single" w:sz="8" w:space="0" w:color="448A99"/>
              <w:right w:val="single" w:sz="8" w:space="0" w:color="448A99"/>
            </w:tcBorders>
            <w:shd w:val="clear" w:color="000000" w:fill="D2EAF1"/>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$2,</w:t>
            </w:r>
            <w:r>
              <w:rPr>
                <w:rFonts w:cs="Arial"/>
                <w:color w:val="000000"/>
                <w:sz w:val="20"/>
                <w:szCs w:val="20"/>
              </w:rPr>
              <w:t>603,106</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3.</w:t>
            </w:r>
            <w:r>
              <w:rPr>
                <w:rFonts w:cs="Arial"/>
                <w:color w:val="000000"/>
                <w:sz w:val="20"/>
                <w:szCs w:val="20"/>
              </w:rPr>
              <w:t>80</w:t>
            </w:r>
          </w:p>
        </w:tc>
      </w:tr>
      <w:tr w:rsidR="00C97965" w:rsidRPr="002F0470" w:rsidTr="00BC615D">
        <w:trPr>
          <w:trHeight w:val="346"/>
          <w:jc w:val="center"/>
        </w:trPr>
        <w:tc>
          <w:tcPr>
            <w:tcW w:w="3150" w:type="dxa"/>
            <w:shd w:val="clear" w:color="auto" w:fill="auto"/>
            <w:vAlign w:val="center"/>
          </w:tcPr>
          <w:p w:rsidR="00C97965" w:rsidRPr="002F0470" w:rsidRDefault="00C97965" w:rsidP="00C97965">
            <w:pPr>
              <w:jc w:val="left"/>
              <w:rPr>
                <w:bCs/>
                <w:sz w:val="20"/>
                <w:szCs w:val="20"/>
              </w:rPr>
            </w:pPr>
            <w:r w:rsidRPr="002F0470">
              <w:rPr>
                <w:rFonts w:cs="Arial"/>
                <w:bCs/>
                <w:sz w:val="20"/>
                <w:szCs w:val="20"/>
              </w:rPr>
              <w:t>Office Building</w:t>
            </w:r>
            <w:r>
              <w:rPr>
                <w:rFonts w:cs="Arial"/>
                <w:bCs/>
                <w:sz w:val="20"/>
                <w:szCs w:val="20"/>
              </w:rPr>
              <w:t>s</w:t>
            </w:r>
            <w:r w:rsidRPr="002F0470">
              <w:rPr>
                <w:rFonts w:cs="Arial"/>
                <w:bCs/>
                <w:sz w:val="20"/>
                <w:szCs w:val="20"/>
              </w:rPr>
              <w:t xml:space="preserve"> EE</w:t>
            </w:r>
          </w:p>
        </w:tc>
        <w:tc>
          <w:tcPr>
            <w:tcW w:w="1552"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25CC1">
              <w:rPr>
                <w:sz w:val="20"/>
              </w:rPr>
              <w:t>$</w:t>
            </w:r>
            <w:r>
              <w:rPr>
                <w:sz w:val="20"/>
              </w:rPr>
              <w:t>6,496,345</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$5,371,514 </w:t>
            </w:r>
          </w:p>
        </w:tc>
        <w:tc>
          <w:tcPr>
            <w:tcW w:w="1552" w:type="dxa"/>
            <w:tcBorders>
              <w:top w:val="nil"/>
              <w:left w:val="nil"/>
              <w:bottom w:val="single" w:sz="8" w:space="0" w:color="448A99"/>
              <w:right w:val="single" w:sz="8" w:space="0" w:color="448A99"/>
            </w:tcBorders>
            <w:shd w:val="clear" w:color="auto" w:fill="auto"/>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$1,</w:t>
            </w:r>
            <w:r>
              <w:rPr>
                <w:rFonts w:cs="Arial"/>
                <w:color w:val="000000"/>
                <w:sz w:val="20"/>
                <w:szCs w:val="20"/>
              </w:rPr>
              <w:t>124,831</w:t>
            </w:r>
            <w:r w:rsidRPr="002F0470">
              <w:rPr>
                <w:rFonts w:cs="Arial"/>
                <w:color w:val="000000"/>
                <w:sz w:val="20"/>
                <w:szCs w:val="20"/>
              </w:rPr>
              <w:t xml:space="preserve"> </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1.2</w:t>
            </w:r>
            <w:r>
              <w:rPr>
                <w:rFonts w:cs="Arial"/>
                <w:color w:val="000000"/>
                <w:sz w:val="20"/>
                <w:szCs w:val="20"/>
              </w:rPr>
              <w:t>1</w:t>
            </w:r>
          </w:p>
        </w:tc>
      </w:tr>
      <w:tr w:rsidR="00A874AC" w:rsidRPr="002F0470" w:rsidTr="009349F1">
        <w:trPr>
          <w:trHeight w:val="346"/>
          <w:jc w:val="center"/>
        </w:trPr>
        <w:tc>
          <w:tcPr>
            <w:tcW w:w="3150" w:type="dxa"/>
            <w:shd w:val="clear" w:color="000000" w:fill="D2EAF1"/>
            <w:noWrap/>
            <w:vAlign w:val="center"/>
          </w:tcPr>
          <w:p w:rsidR="00C97965" w:rsidRPr="002F0470" w:rsidRDefault="00C97965" w:rsidP="00C97965">
            <w:pPr>
              <w:jc w:val="left"/>
              <w:rPr>
                <w:bCs/>
                <w:sz w:val="20"/>
                <w:szCs w:val="20"/>
              </w:rPr>
            </w:pPr>
            <w:r w:rsidRPr="002F0470">
              <w:rPr>
                <w:rFonts w:cs="Arial"/>
                <w:bCs/>
                <w:iCs/>
                <w:sz w:val="20"/>
                <w:szCs w:val="20"/>
              </w:rPr>
              <w:t>Primary Metals EE</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25CC1">
              <w:rPr>
                <w:sz w:val="20"/>
              </w:rPr>
              <w:t>$15,184,961</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$2,966,511 </w:t>
            </w:r>
          </w:p>
        </w:tc>
        <w:tc>
          <w:tcPr>
            <w:tcW w:w="1552" w:type="dxa"/>
            <w:tcBorders>
              <w:top w:val="nil"/>
              <w:left w:val="nil"/>
              <w:bottom w:val="single" w:sz="8" w:space="0" w:color="448A99"/>
              <w:right w:val="single" w:sz="8" w:space="0" w:color="448A99"/>
            </w:tcBorders>
            <w:shd w:val="clear" w:color="000000" w:fill="D2EAF1"/>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w:t>
            </w:r>
            <w:r>
              <w:rPr>
                <w:rFonts w:cs="Arial"/>
                <w:color w:val="000000"/>
                <w:sz w:val="20"/>
                <w:szCs w:val="20"/>
              </w:rPr>
              <w:t>12,218,450</w:t>
            </w:r>
            <w:r w:rsidRPr="002F0470">
              <w:rPr>
                <w:rFonts w:cs="Arial"/>
                <w:color w:val="000000"/>
                <w:sz w:val="20"/>
                <w:szCs w:val="20"/>
              </w:rPr>
              <w:t xml:space="preserve"> </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Pr>
                <w:rFonts w:cs="Arial"/>
                <w:color w:val="000000"/>
                <w:sz w:val="20"/>
                <w:szCs w:val="20"/>
              </w:rPr>
              <w:t>5.12</w:t>
            </w:r>
          </w:p>
        </w:tc>
      </w:tr>
      <w:tr w:rsidR="00C97965" w:rsidRPr="002F0470" w:rsidTr="00BC615D">
        <w:trPr>
          <w:trHeight w:val="346"/>
          <w:jc w:val="center"/>
        </w:trPr>
        <w:tc>
          <w:tcPr>
            <w:tcW w:w="3150" w:type="dxa"/>
            <w:shd w:val="clear" w:color="auto" w:fill="auto"/>
            <w:noWrap/>
            <w:vAlign w:val="center"/>
          </w:tcPr>
          <w:p w:rsidR="00C97965" w:rsidRPr="002F0470" w:rsidRDefault="00C97965" w:rsidP="00C97965">
            <w:pPr>
              <w:jc w:val="left"/>
              <w:rPr>
                <w:bCs/>
                <w:sz w:val="20"/>
                <w:szCs w:val="20"/>
              </w:rPr>
            </w:pPr>
            <w:r w:rsidRPr="002F0470">
              <w:rPr>
                <w:rFonts w:cs="Arial"/>
                <w:bCs/>
                <w:sz w:val="20"/>
                <w:szCs w:val="20"/>
              </w:rPr>
              <w:t>Public Agency/Non-Profit</w:t>
            </w:r>
          </w:p>
        </w:tc>
        <w:tc>
          <w:tcPr>
            <w:tcW w:w="1552"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25CC1">
              <w:rPr>
                <w:sz w:val="20"/>
              </w:rPr>
              <w:t>$</w:t>
            </w:r>
            <w:r>
              <w:rPr>
                <w:sz w:val="20"/>
              </w:rPr>
              <w:t>7,136,617</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$6,219,144 </w:t>
            </w:r>
          </w:p>
        </w:tc>
        <w:tc>
          <w:tcPr>
            <w:tcW w:w="1552" w:type="dxa"/>
            <w:tcBorders>
              <w:top w:val="nil"/>
              <w:left w:val="nil"/>
              <w:bottom w:val="single" w:sz="8" w:space="0" w:color="448A99"/>
              <w:right w:val="single" w:sz="8" w:space="0" w:color="448A99"/>
            </w:tcBorders>
            <w:shd w:val="clear" w:color="auto" w:fill="auto"/>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w:t>
            </w:r>
            <w:r>
              <w:rPr>
                <w:rFonts w:cs="Arial"/>
                <w:color w:val="000000"/>
                <w:sz w:val="20"/>
                <w:szCs w:val="20"/>
              </w:rPr>
              <w:t>917,473</w:t>
            </w:r>
            <w:r w:rsidRPr="002F0470">
              <w:rPr>
                <w:rFonts w:cs="Arial"/>
                <w:color w:val="000000"/>
                <w:sz w:val="20"/>
                <w:szCs w:val="20"/>
              </w:rPr>
              <w:t xml:space="preserve"> </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1.1</w:t>
            </w:r>
            <w:r>
              <w:rPr>
                <w:rFonts w:cs="Arial"/>
                <w:color w:val="000000"/>
                <w:sz w:val="20"/>
                <w:szCs w:val="20"/>
              </w:rPr>
              <w:t>5</w:t>
            </w:r>
          </w:p>
        </w:tc>
      </w:tr>
      <w:tr w:rsidR="00A874AC" w:rsidRPr="002F0470" w:rsidTr="009349F1">
        <w:trPr>
          <w:trHeight w:val="346"/>
          <w:jc w:val="center"/>
        </w:trPr>
        <w:tc>
          <w:tcPr>
            <w:tcW w:w="3150" w:type="dxa"/>
            <w:tcBorders>
              <w:bottom w:val="single" w:sz="4" w:space="0" w:color="448A99"/>
            </w:tcBorders>
            <w:shd w:val="clear" w:color="000000" w:fill="D2EAF1"/>
            <w:noWrap/>
            <w:vAlign w:val="center"/>
          </w:tcPr>
          <w:p w:rsidR="00C97965" w:rsidRPr="002F0470" w:rsidRDefault="00C97965" w:rsidP="00C97965">
            <w:pPr>
              <w:jc w:val="left"/>
              <w:rPr>
                <w:bCs/>
                <w:iCs/>
                <w:sz w:val="20"/>
                <w:szCs w:val="20"/>
              </w:rPr>
            </w:pPr>
            <w:r w:rsidRPr="002F0470">
              <w:rPr>
                <w:rFonts w:cs="Arial"/>
                <w:bCs/>
                <w:sz w:val="20"/>
                <w:szCs w:val="20"/>
              </w:rPr>
              <w:t>Retail Stores EE</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25CC1">
              <w:rPr>
                <w:sz w:val="20"/>
              </w:rPr>
              <w:t>$</w:t>
            </w:r>
            <w:r>
              <w:rPr>
                <w:sz w:val="20"/>
              </w:rPr>
              <w:t>41,619</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$216,249 </w:t>
            </w:r>
          </w:p>
        </w:tc>
        <w:tc>
          <w:tcPr>
            <w:tcW w:w="1552" w:type="dxa"/>
            <w:tcBorders>
              <w:top w:val="nil"/>
              <w:left w:val="nil"/>
              <w:bottom w:val="single" w:sz="8" w:space="0" w:color="448A99"/>
              <w:right w:val="single" w:sz="8" w:space="0" w:color="448A99"/>
            </w:tcBorders>
            <w:shd w:val="clear" w:color="000000" w:fill="D2EAF1"/>
            <w:vAlign w:val="center"/>
          </w:tcPr>
          <w:p w:rsidR="00C97965" w:rsidRPr="002F0470" w:rsidRDefault="00C97965" w:rsidP="00C97965">
            <w:pPr>
              <w:jc w:val="center"/>
              <w:rPr>
                <w:rFonts w:cs="Arial"/>
                <w:color w:val="000000"/>
                <w:sz w:val="20"/>
                <w:szCs w:val="20"/>
              </w:rPr>
            </w:pPr>
            <w:r w:rsidRPr="002F0470">
              <w:rPr>
                <w:rFonts w:cs="Arial"/>
                <w:color w:val="FF0000"/>
                <w:sz w:val="20"/>
                <w:szCs w:val="20"/>
              </w:rPr>
              <w:t>($174,</w:t>
            </w:r>
            <w:r>
              <w:rPr>
                <w:rFonts w:cs="Arial"/>
                <w:color w:val="FF0000"/>
                <w:sz w:val="20"/>
                <w:szCs w:val="20"/>
              </w:rPr>
              <w:t>630</w:t>
            </w:r>
            <w:r w:rsidRPr="002F0470">
              <w:rPr>
                <w:rFonts w:cs="Arial"/>
                <w:color w:val="FF0000"/>
                <w:sz w:val="20"/>
                <w:szCs w:val="20"/>
              </w:rPr>
              <w:t>)</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0.19</w:t>
            </w:r>
          </w:p>
        </w:tc>
      </w:tr>
      <w:tr w:rsidR="00C97965" w:rsidRPr="002F0470" w:rsidTr="00BC615D">
        <w:trPr>
          <w:trHeight w:val="346"/>
          <w:jc w:val="center"/>
        </w:trPr>
        <w:tc>
          <w:tcPr>
            <w:tcW w:w="3150" w:type="dxa"/>
            <w:tcBorders>
              <w:bottom w:val="single" w:sz="4" w:space="0" w:color="448A99"/>
            </w:tcBorders>
            <w:shd w:val="clear" w:color="auto" w:fill="auto"/>
            <w:noWrap/>
            <w:vAlign w:val="center"/>
          </w:tcPr>
          <w:p w:rsidR="00C97965" w:rsidRPr="002F0470" w:rsidRDefault="00C97965" w:rsidP="00C97965">
            <w:pPr>
              <w:jc w:val="left"/>
              <w:rPr>
                <w:bCs/>
                <w:iCs/>
                <w:sz w:val="20"/>
                <w:szCs w:val="20"/>
              </w:rPr>
            </w:pPr>
            <w:r w:rsidRPr="002F0470">
              <w:rPr>
                <w:rFonts w:cs="Arial"/>
                <w:sz w:val="20"/>
                <w:szCs w:val="20"/>
              </w:rPr>
              <w:t>Multifamily Housing Retrofit</w:t>
            </w:r>
          </w:p>
        </w:tc>
        <w:tc>
          <w:tcPr>
            <w:tcW w:w="1552"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772ECC">
              <w:rPr>
                <w:sz w:val="20"/>
              </w:rPr>
              <w:t>$878,354</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$1,690,457 </w:t>
            </w:r>
          </w:p>
        </w:tc>
        <w:tc>
          <w:tcPr>
            <w:tcW w:w="1552" w:type="dxa"/>
            <w:tcBorders>
              <w:top w:val="nil"/>
              <w:left w:val="nil"/>
              <w:bottom w:val="single" w:sz="8" w:space="0" w:color="448A99"/>
              <w:right w:val="single" w:sz="8" w:space="0" w:color="448A99"/>
            </w:tcBorders>
            <w:shd w:val="clear" w:color="auto" w:fill="auto"/>
            <w:vAlign w:val="center"/>
          </w:tcPr>
          <w:p w:rsidR="00C97965" w:rsidRPr="002F0470" w:rsidRDefault="00C97965" w:rsidP="00C97965">
            <w:pPr>
              <w:jc w:val="center"/>
              <w:rPr>
                <w:rFonts w:cs="Arial"/>
                <w:color w:val="000000"/>
                <w:sz w:val="20"/>
                <w:szCs w:val="20"/>
              </w:rPr>
            </w:pPr>
            <w:r w:rsidRPr="002F0470">
              <w:rPr>
                <w:rFonts w:cs="Arial"/>
                <w:color w:val="FF0000"/>
                <w:sz w:val="20"/>
                <w:szCs w:val="20"/>
              </w:rPr>
              <w:t>($8</w:t>
            </w:r>
            <w:r>
              <w:rPr>
                <w:rFonts w:cs="Arial"/>
                <w:color w:val="FF0000"/>
                <w:sz w:val="20"/>
                <w:szCs w:val="20"/>
              </w:rPr>
              <w:t>12,104</w:t>
            </w:r>
            <w:r w:rsidRPr="002F0470">
              <w:rPr>
                <w:rFonts w:cs="Arial"/>
                <w:color w:val="FF0000"/>
                <w:sz w:val="20"/>
                <w:szCs w:val="20"/>
              </w:rPr>
              <w:t>)</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0.5</w:t>
            </w:r>
            <w:r>
              <w:rPr>
                <w:rFonts w:cs="Arial"/>
                <w:color w:val="000000"/>
                <w:sz w:val="20"/>
                <w:szCs w:val="20"/>
              </w:rPr>
              <w:t>2</w:t>
            </w:r>
          </w:p>
        </w:tc>
      </w:tr>
      <w:tr w:rsidR="00A874AC" w:rsidRPr="002F0470" w:rsidTr="009349F1">
        <w:trPr>
          <w:trHeight w:val="346"/>
          <w:jc w:val="center"/>
        </w:trPr>
        <w:tc>
          <w:tcPr>
            <w:tcW w:w="3150" w:type="dxa"/>
            <w:shd w:val="clear" w:color="auto" w:fill="D2EAF1"/>
            <w:noWrap/>
            <w:vAlign w:val="center"/>
          </w:tcPr>
          <w:p w:rsidR="00C97965" w:rsidRPr="002F0470" w:rsidRDefault="00C97965" w:rsidP="00C97965">
            <w:pPr>
              <w:jc w:val="left"/>
              <w:rPr>
                <w:b/>
                <w:bCs/>
                <w:iCs/>
                <w:sz w:val="20"/>
                <w:szCs w:val="20"/>
              </w:rPr>
            </w:pPr>
            <w:r w:rsidRPr="002F0470">
              <w:rPr>
                <w:rFonts w:cs="Arial"/>
                <w:bCs/>
                <w:sz w:val="20"/>
                <w:szCs w:val="20"/>
              </w:rPr>
              <w:t>Small Commercial Direct Install</w:t>
            </w:r>
          </w:p>
        </w:tc>
        <w:tc>
          <w:tcPr>
            <w:tcW w:w="1552"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25CC1">
              <w:rPr>
                <w:sz w:val="20"/>
              </w:rPr>
              <w:t>$</w:t>
            </w:r>
            <w:r>
              <w:rPr>
                <w:sz w:val="20"/>
              </w:rPr>
              <w:t>1,584,438</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 xml:space="preserve">$1,371,088 </w:t>
            </w:r>
          </w:p>
        </w:tc>
        <w:tc>
          <w:tcPr>
            <w:tcW w:w="1552" w:type="dxa"/>
            <w:tcBorders>
              <w:top w:val="nil"/>
              <w:left w:val="nil"/>
              <w:bottom w:val="single" w:sz="8" w:space="0" w:color="448A99"/>
              <w:right w:val="single" w:sz="8" w:space="0" w:color="448A99"/>
            </w:tcBorders>
            <w:shd w:val="clear" w:color="000000" w:fill="D2EAF1"/>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w:t>
            </w:r>
            <w:r>
              <w:rPr>
                <w:rFonts w:cs="Arial"/>
                <w:color w:val="000000"/>
                <w:sz w:val="20"/>
                <w:szCs w:val="20"/>
              </w:rPr>
              <w:t>213,350</w:t>
            </w:r>
            <w:r w:rsidRPr="002F0470">
              <w:rPr>
                <w:rFonts w:cs="Arial"/>
                <w:color w:val="000000"/>
                <w:sz w:val="20"/>
                <w:szCs w:val="20"/>
              </w:rPr>
              <w:t xml:space="preserve"> </w:t>
            </w:r>
          </w:p>
        </w:tc>
        <w:tc>
          <w:tcPr>
            <w:tcW w:w="1553" w:type="dxa"/>
            <w:tcBorders>
              <w:top w:val="nil"/>
              <w:left w:val="nil"/>
              <w:bottom w:val="single" w:sz="8" w:space="0" w:color="448A99"/>
              <w:right w:val="single" w:sz="8" w:space="0" w:color="448A99"/>
            </w:tcBorders>
            <w:shd w:val="clear" w:color="000000" w:fill="D2EAF1"/>
            <w:noWrap/>
            <w:vAlign w:val="center"/>
          </w:tcPr>
          <w:p w:rsidR="00C97965" w:rsidRPr="002F0470" w:rsidRDefault="00C97965" w:rsidP="00C97965">
            <w:pPr>
              <w:jc w:val="center"/>
              <w:rPr>
                <w:rFonts w:cs="Arial"/>
                <w:color w:val="000000"/>
                <w:sz w:val="20"/>
                <w:szCs w:val="20"/>
              </w:rPr>
            </w:pPr>
            <w:r w:rsidRPr="002F0470">
              <w:rPr>
                <w:rFonts w:cs="Arial"/>
                <w:color w:val="000000"/>
                <w:sz w:val="20"/>
                <w:szCs w:val="20"/>
              </w:rPr>
              <w:t>1.1</w:t>
            </w:r>
            <w:r>
              <w:rPr>
                <w:rFonts w:cs="Arial"/>
                <w:color w:val="000000"/>
                <w:sz w:val="20"/>
                <w:szCs w:val="20"/>
              </w:rPr>
              <w:t>6</w:t>
            </w:r>
          </w:p>
        </w:tc>
      </w:tr>
      <w:tr w:rsidR="00C97965" w:rsidRPr="002F0470" w:rsidTr="00BC615D">
        <w:trPr>
          <w:trHeight w:val="346"/>
          <w:jc w:val="center"/>
        </w:trPr>
        <w:tc>
          <w:tcPr>
            <w:tcW w:w="3150" w:type="dxa"/>
            <w:shd w:val="clear" w:color="auto" w:fill="auto"/>
            <w:noWrap/>
            <w:vAlign w:val="center"/>
          </w:tcPr>
          <w:p w:rsidR="00C97965" w:rsidRPr="002F0470" w:rsidRDefault="00C97965" w:rsidP="00C97965">
            <w:pPr>
              <w:jc w:val="left"/>
              <w:rPr>
                <w:rFonts w:cs="Arial"/>
                <w:b/>
                <w:bCs/>
                <w:iCs/>
                <w:sz w:val="20"/>
                <w:szCs w:val="20"/>
              </w:rPr>
            </w:pPr>
            <w:r w:rsidRPr="002F0470">
              <w:rPr>
                <w:rFonts w:cs="Arial"/>
                <w:b/>
                <w:bCs/>
                <w:iCs/>
                <w:sz w:val="20"/>
                <w:szCs w:val="20"/>
              </w:rPr>
              <w:t>Total Portfolio</w:t>
            </w:r>
          </w:p>
        </w:tc>
        <w:tc>
          <w:tcPr>
            <w:tcW w:w="1552"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b/>
                <w:bCs/>
                <w:color w:val="000000"/>
                <w:sz w:val="20"/>
                <w:szCs w:val="20"/>
              </w:rPr>
            </w:pPr>
            <w:r w:rsidRPr="00225CC1">
              <w:rPr>
                <w:b/>
                <w:sz w:val="20"/>
              </w:rPr>
              <w:t>$87,659,941</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b/>
                <w:bCs/>
                <w:color w:val="000000"/>
                <w:sz w:val="20"/>
                <w:szCs w:val="20"/>
              </w:rPr>
            </w:pPr>
            <w:r w:rsidRPr="002F0470">
              <w:rPr>
                <w:rFonts w:cs="Arial"/>
                <w:b/>
                <w:bCs/>
                <w:color w:val="000000"/>
                <w:sz w:val="20"/>
                <w:szCs w:val="20"/>
              </w:rPr>
              <w:t xml:space="preserve">$40,464,358 </w:t>
            </w:r>
          </w:p>
        </w:tc>
        <w:tc>
          <w:tcPr>
            <w:tcW w:w="1552" w:type="dxa"/>
            <w:tcBorders>
              <w:top w:val="nil"/>
              <w:left w:val="nil"/>
              <w:bottom w:val="single" w:sz="8" w:space="0" w:color="448A99"/>
              <w:right w:val="single" w:sz="8" w:space="0" w:color="448A99"/>
            </w:tcBorders>
            <w:shd w:val="clear" w:color="auto" w:fill="auto"/>
            <w:vAlign w:val="center"/>
          </w:tcPr>
          <w:p w:rsidR="00C97965" w:rsidRPr="002F0470" w:rsidRDefault="00C97965" w:rsidP="00C97965">
            <w:pPr>
              <w:jc w:val="center"/>
              <w:rPr>
                <w:rFonts w:cs="Arial"/>
                <w:b/>
                <w:bCs/>
                <w:color w:val="000000"/>
                <w:sz w:val="20"/>
                <w:szCs w:val="20"/>
              </w:rPr>
            </w:pPr>
            <w:r w:rsidRPr="002F0470">
              <w:rPr>
                <w:rFonts w:cs="Arial"/>
                <w:b/>
                <w:bCs/>
                <w:color w:val="000000"/>
                <w:sz w:val="20"/>
                <w:szCs w:val="20"/>
              </w:rPr>
              <w:t>$47,112,879</w:t>
            </w:r>
          </w:p>
        </w:tc>
        <w:tc>
          <w:tcPr>
            <w:tcW w:w="1553" w:type="dxa"/>
            <w:tcBorders>
              <w:top w:val="nil"/>
              <w:left w:val="nil"/>
              <w:bottom w:val="single" w:sz="8" w:space="0" w:color="448A99"/>
              <w:right w:val="single" w:sz="8" w:space="0" w:color="448A99"/>
            </w:tcBorders>
            <w:shd w:val="clear" w:color="auto" w:fill="auto"/>
            <w:noWrap/>
            <w:vAlign w:val="center"/>
          </w:tcPr>
          <w:p w:rsidR="00C97965" w:rsidRPr="002F0470" w:rsidRDefault="00C97965" w:rsidP="00C97965">
            <w:pPr>
              <w:jc w:val="center"/>
              <w:rPr>
                <w:rFonts w:cs="Arial"/>
                <w:b/>
                <w:bCs/>
                <w:color w:val="000000"/>
                <w:sz w:val="20"/>
                <w:szCs w:val="20"/>
              </w:rPr>
            </w:pPr>
            <w:r w:rsidRPr="002F0470">
              <w:rPr>
                <w:rFonts w:cs="Arial"/>
                <w:b/>
                <w:bCs/>
                <w:color w:val="000000"/>
                <w:sz w:val="20"/>
                <w:szCs w:val="20"/>
              </w:rPr>
              <w:t>2.16</w:t>
            </w:r>
          </w:p>
        </w:tc>
      </w:tr>
    </w:tbl>
    <w:p w:rsidR="00A84212" w:rsidRDefault="00A84212" w:rsidP="00A84212"/>
    <w:p w:rsidR="00B471BA" w:rsidRPr="00937416" w:rsidRDefault="00B471BA" w:rsidP="00B471BA">
      <w:pPr>
        <w:pStyle w:val="bullettext"/>
      </w:pPr>
      <w:r>
        <w:t>In summary, 12</w:t>
      </w:r>
      <w:r w:rsidRPr="00937416">
        <w:t xml:space="preserve"> of 17 </w:t>
      </w:r>
      <w:r>
        <w:t xml:space="preserve">Duquesne programs </w:t>
      </w:r>
      <w:r w:rsidRPr="00937416">
        <w:t>were found to be cost-effective</w:t>
      </w:r>
      <w:r>
        <w:t xml:space="preserve"> and 5</w:t>
      </w:r>
      <w:r w:rsidRPr="00937416">
        <w:t xml:space="preserve"> were found to be non-cost-effective. </w:t>
      </w:r>
      <w:r>
        <w:t xml:space="preserve">Home Energy Reports, Commercial Sector Umbrella EE, Healthcare EE, and Chemical Products EE all transitioned to be cost-effective in PY7, likely due to increased participation offsetting fixed costs.  Conversely, Retail Stores EE, which saw a significant decrease in participation, was not cost-effective in PY7. </w:t>
      </w:r>
      <w:r w:rsidRPr="00937416">
        <w:t>The breakout of cost-effective and non-cos</w:t>
      </w:r>
      <w:r>
        <w:t>t-effective programs is shown</w:t>
      </w:r>
      <w:r w:rsidRPr="00937416">
        <w:t xml:space="preserve"> below.</w:t>
      </w:r>
    </w:p>
    <w:p w:rsidR="00B471BA" w:rsidRPr="00937416" w:rsidRDefault="00B471BA" w:rsidP="00B471BA">
      <w:pPr>
        <w:rPr>
          <w:rFonts w:ascii="Century Gothic" w:hAnsi="Century Gothic"/>
          <w:b/>
        </w:rPr>
      </w:pPr>
      <w:r w:rsidRPr="00937416">
        <w:rPr>
          <w:rFonts w:ascii="Century Gothic" w:hAnsi="Century Gothic"/>
          <w:b/>
        </w:rPr>
        <w:t>Cost-Effective Programs</w:t>
      </w:r>
    </w:p>
    <w:p w:rsidR="00B471BA" w:rsidRPr="00937416" w:rsidRDefault="00B471BA" w:rsidP="00B471BA">
      <w:pPr>
        <w:spacing w:after="60"/>
        <w:rPr>
          <w:b/>
          <w:color w:val="448A99"/>
        </w:rPr>
      </w:pPr>
      <w:r w:rsidRPr="00937416">
        <w:rPr>
          <w:b/>
          <w:color w:val="448A99"/>
        </w:rPr>
        <w:t>(TRC Ratio &gt; 1.0)</w:t>
      </w:r>
    </w:p>
    <w:p w:rsidR="00B471BA" w:rsidRDefault="00B471BA" w:rsidP="00E646C9">
      <w:pPr>
        <w:numPr>
          <w:ilvl w:val="0"/>
          <w:numId w:val="47"/>
        </w:numPr>
        <w:ind w:left="360"/>
        <w:rPr>
          <w:i/>
        </w:rPr>
      </w:pPr>
      <w:r w:rsidRPr="00937416">
        <w:rPr>
          <w:i/>
        </w:rPr>
        <w:t>Residential Energy Efficiency Program</w:t>
      </w:r>
    </w:p>
    <w:p w:rsidR="00B471BA" w:rsidRDefault="00B471BA" w:rsidP="00E646C9">
      <w:pPr>
        <w:numPr>
          <w:ilvl w:val="0"/>
          <w:numId w:val="47"/>
        </w:numPr>
        <w:ind w:left="360"/>
        <w:rPr>
          <w:i/>
        </w:rPr>
      </w:pPr>
      <w:r w:rsidRPr="00937416">
        <w:rPr>
          <w:i/>
        </w:rPr>
        <w:t>Residential Appliance Recycling Program</w:t>
      </w:r>
    </w:p>
    <w:p w:rsidR="00B471BA" w:rsidRPr="00AD4817" w:rsidRDefault="00B471BA" w:rsidP="00E646C9">
      <w:pPr>
        <w:numPr>
          <w:ilvl w:val="0"/>
          <w:numId w:val="47"/>
        </w:numPr>
        <w:ind w:left="360"/>
        <w:rPr>
          <w:i/>
        </w:rPr>
      </w:pPr>
      <w:r>
        <w:rPr>
          <w:i/>
        </w:rPr>
        <w:t>Home Energy Reports</w:t>
      </w:r>
    </w:p>
    <w:p w:rsidR="00B471BA" w:rsidRDefault="00B471BA" w:rsidP="00E646C9">
      <w:pPr>
        <w:numPr>
          <w:ilvl w:val="0"/>
          <w:numId w:val="47"/>
        </w:numPr>
        <w:ind w:left="360"/>
        <w:rPr>
          <w:i/>
        </w:rPr>
      </w:pPr>
      <w:r w:rsidRPr="00937416">
        <w:rPr>
          <w:i/>
        </w:rPr>
        <w:t>Low-Income Energy Efficiency Program</w:t>
      </w:r>
    </w:p>
    <w:p w:rsidR="00B471BA" w:rsidRDefault="00B471BA" w:rsidP="00E646C9">
      <w:pPr>
        <w:numPr>
          <w:ilvl w:val="0"/>
          <w:numId w:val="47"/>
        </w:numPr>
        <w:ind w:left="360"/>
        <w:rPr>
          <w:i/>
        </w:rPr>
      </w:pPr>
      <w:r w:rsidRPr="00937416">
        <w:rPr>
          <w:i/>
        </w:rPr>
        <w:t>Commercial Sector Umbrella EE</w:t>
      </w:r>
    </w:p>
    <w:p w:rsidR="00B471BA" w:rsidRDefault="00B471BA" w:rsidP="00E646C9">
      <w:pPr>
        <w:numPr>
          <w:ilvl w:val="0"/>
          <w:numId w:val="47"/>
        </w:numPr>
        <w:ind w:left="360"/>
        <w:rPr>
          <w:i/>
        </w:rPr>
      </w:pPr>
      <w:r w:rsidRPr="00937416">
        <w:rPr>
          <w:i/>
        </w:rPr>
        <w:t>Healthcare EE</w:t>
      </w:r>
    </w:p>
    <w:p w:rsidR="00B471BA" w:rsidRPr="00937416" w:rsidRDefault="00B471BA" w:rsidP="00E646C9">
      <w:pPr>
        <w:numPr>
          <w:ilvl w:val="0"/>
          <w:numId w:val="47"/>
        </w:numPr>
        <w:ind w:left="360"/>
        <w:rPr>
          <w:i/>
        </w:rPr>
      </w:pPr>
      <w:r w:rsidRPr="00937416">
        <w:rPr>
          <w:i/>
        </w:rPr>
        <w:t>Chemical Products EE</w:t>
      </w:r>
    </w:p>
    <w:p w:rsidR="00B471BA" w:rsidRPr="00AD4817" w:rsidRDefault="00B471BA" w:rsidP="00E646C9">
      <w:pPr>
        <w:numPr>
          <w:ilvl w:val="0"/>
          <w:numId w:val="47"/>
        </w:numPr>
        <w:ind w:left="360"/>
        <w:rPr>
          <w:i/>
        </w:rPr>
      </w:pPr>
      <w:r w:rsidRPr="00937416">
        <w:rPr>
          <w:i/>
        </w:rPr>
        <w:t>Mixed Industrial</w:t>
      </w:r>
    </w:p>
    <w:p w:rsidR="00B471BA" w:rsidRDefault="00B471BA" w:rsidP="00E646C9">
      <w:pPr>
        <w:numPr>
          <w:ilvl w:val="0"/>
          <w:numId w:val="47"/>
        </w:numPr>
        <w:ind w:left="360"/>
        <w:rPr>
          <w:i/>
        </w:rPr>
      </w:pPr>
      <w:r w:rsidRPr="00937416">
        <w:rPr>
          <w:i/>
        </w:rPr>
        <w:t>Office Building EE</w:t>
      </w:r>
    </w:p>
    <w:p w:rsidR="00B471BA" w:rsidRPr="00AD4817" w:rsidRDefault="00B471BA" w:rsidP="00E646C9">
      <w:pPr>
        <w:numPr>
          <w:ilvl w:val="0"/>
          <w:numId w:val="47"/>
        </w:numPr>
        <w:ind w:left="360"/>
        <w:rPr>
          <w:i/>
        </w:rPr>
      </w:pPr>
      <w:r w:rsidRPr="00937416">
        <w:rPr>
          <w:i/>
        </w:rPr>
        <w:t>Primary Metals EE</w:t>
      </w:r>
    </w:p>
    <w:p w:rsidR="00B471BA" w:rsidRPr="00937416" w:rsidRDefault="00B471BA" w:rsidP="00E646C9">
      <w:pPr>
        <w:numPr>
          <w:ilvl w:val="0"/>
          <w:numId w:val="47"/>
        </w:numPr>
        <w:ind w:left="360"/>
        <w:rPr>
          <w:i/>
        </w:rPr>
      </w:pPr>
      <w:r w:rsidRPr="00937416">
        <w:rPr>
          <w:i/>
        </w:rPr>
        <w:t>Public Agency/Non-Profit</w:t>
      </w:r>
    </w:p>
    <w:p w:rsidR="00B471BA" w:rsidRDefault="00B471BA" w:rsidP="00E646C9">
      <w:pPr>
        <w:numPr>
          <w:ilvl w:val="0"/>
          <w:numId w:val="47"/>
        </w:numPr>
        <w:ind w:left="360"/>
        <w:rPr>
          <w:i/>
        </w:rPr>
      </w:pPr>
      <w:r w:rsidRPr="00937416">
        <w:rPr>
          <w:i/>
        </w:rPr>
        <w:t>Small Commercial Direct Install</w:t>
      </w:r>
    </w:p>
    <w:p w:rsidR="00B471BA" w:rsidRPr="00937416" w:rsidRDefault="00B471BA" w:rsidP="00B471BA"/>
    <w:p w:rsidR="00B471BA" w:rsidRPr="00937416" w:rsidRDefault="00B471BA" w:rsidP="00B471BA">
      <w:pPr>
        <w:rPr>
          <w:rFonts w:ascii="Century Gothic" w:hAnsi="Century Gothic"/>
          <w:b/>
        </w:rPr>
      </w:pPr>
      <w:r w:rsidRPr="00937416">
        <w:rPr>
          <w:rFonts w:ascii="Century Gothic" w:hAnsi="Century Gothic"/>
          <w:b/>
        </w:rPr>
        <w:t>Non-Cost-Effective Programs</w:t>
      </w:r>
    </w:p>
    <w:p w:rsidR="00B471BA" w:rsidRPr="00937416" w:rsidRDefault="00B471BA" w:rsidP="00B471BA">
      <w:pPr>
        <w:spacing w:after="60"/>
        <w:rPr>
          <w:b/>
          <w:color w:val="448A99"/>
        </w:rPr>
      </w:pPr>
      <w:r w:rsidRPr="00937416">
        <w:rPr>
          <w:b/>
          <w:color w:val="448A99"/>
        </w:rPr>
        <w:t>(TRC Ratio &lt; 1.0)</w:t>
      </w:r>
    </w:p>
    <w:p w:rsidR="00B471BA" w:rsidRPr="00937416" w:rsidRDefault="00B471BA" w:rsidP="00E646C9">
      <w:pPr>
        <w:numPr>
          <w:ilvl w:val="0"/>
          <w:numId w:val="47"/>
        </w:numPr>
        <w:ind w:left="360"/>
        <w:rPr>
          <w:i/>
        </w:rPr>
      </w:pPr>
      <w:r w:rsidRPr="00937416">
        <w:rPr>
          <w:i/>
        </w:rPr>
        <w:t>School Energy Pledge Program</w:t>
      </w:r>
    </w:p>
    <w:p w:rsidR="00B471BA" w:rsidRDefault="00B471BA" w:rsidP="00E646C9">
      <w:pPr>
        <w:numPr>
          <w:ilvl w:val="0"/>
          <w:numId w:val="47"/>
        </w:numPr>
        <w:ind w:left="360"/>
        <w:rPr>
          <w:i/>
        </w:rPr>
      </w:pPr>
      <w:r w:rsidRPr="00937416">
        <w:rPr>
          <w:i/>
        </w:rPr>
        <w:t>Whole House EE</w:t>
      </w:r>
    </w:p>
    <w:p w:rsidR="00B471BA" w:rsidRPr="00937416" w:rsidRDefault="00B471BA" w:rsidP="00E646C9">
      <w:pPr>
        <w:numPr>
          <w:ilvl w:val="0"/>
          <w:numId w:val="47"/>
        </w:numPr>
        <w:ind w:left="360"/>
        <w:rPr>
          <w:i/>
        </w:rPr>
      </w:pPr>
      <w:r w:rsidRPr="00937416">
        <w:rPr>
          <w:i/>
        </w:rPr>
        <w:t>Industrial Sector Umbrella EE</w:t>
      </w:r>
    </w:p>
    <w:p w:rsidR="00B471BA" w:rsidRPr="009C3E08" w:rsidRDefault="00B471BA" w:rsidP="00E646C9">
      <w:pPr>
        <w:numPr>
          <w:ilvl w:val="0"/>
          <w:numId w:val="47"/>
        </w:numPr>
        <w:ind w:left="360"/>
        <w:rPr>
          <w:i/>
        </w:rPr>
      </w:pPr>
      <w:r w:rsidRPr="00937416">
        <w:rPr>
          <w:i/>
        </w:rPr>
        <w:t>Retail Stores EE</w:t>
      </w:r>
    </w:p>
    <w:p w:rsidR="00B471BA" w:rsidRPr="00937416" w:rsidRDefault="00B471BA" w:rsidP="00E646C9">
      <w:pPr>
        <w:numPr>
          <w:ilvl w:val="0"/>
          <w:numId w:val="47"/>
        </w:numPr>
        <w:ind w:left="360"/>
        <w:rPr>
          <w:i/>
        </w:rPr>
      </w:pPr>
      <w:r w:rsidRPr="00937416">
        <w:rPr>
          <w:i/>
        </w:rPr>
        <w:t>Multifamily Housing Retrofit</w:t>
      </w:r>
    </w:p>
    <w:p w:rsidR="00B471BA" w:rsidRDefault="00B471BA" w:rsidP="00B471BA">
      <w:pPr>
        <w:rPr>
          <w:highlight w:val="lightGray"/>
        </w:rPr>
      </w:pPr>
    </w:p>
    <w:p w:rsidR="00950837" w:rsidRPr="00D34B3E" w:rsidRDefault="00950837" w:rsidP="00C32A57">
      <w:pPr>
        <w:pStyle w:val="AppendixAHeading3"/>
      </w:pPr>
      <w:r w:rsidRPr="00D34B3E">
        <w:lastRenderedPageBreak/>
        <w:t>Assumptions and Inputs</w:t>
      </w:r>
    </w:p>
    <w:p w:rsidR="008B45A8" w:rsidRDefault="00B471BA" w:rsidP="002F0470">
      <w:r w:rsidRPr="00FA66F0">
        <w:t xml:space="preserve">Duquesne used a discount rate of 6.9% in its TRC model to discount program benefits and costs for all programs. This rate was used to compare the NPV of program benefits that will occur later in a measure’s lifetime to the upfront costs of installation and implementation. Duquesne </w:t>
      </w:r>
      <w:r>
        <w:t>reported</w:t>
      </w:r>
      <w:r w:rsidRPr="00FA66F0">
        <w:t xml:space="preserve"> a LLF of </w:t>
      </w:r>
      <w:r>
        <w:t>6.9</w:t>
      </w:r>
      <w:r w:rsidRPr="00FA66F0">
        <w:t>% for calculating energy and demand</w:t>
      </w:r>
      <w:r>
        <w:t xml:space="preserve"> savings for all programs in PY7</w:t>
      </w:r>
      <w:r w:rsidRPr="00FA66F0">
        <w:t>.</w:t>
      </w:r>
      <w:r w:rsidR="003454CA">
        <w:t xml:space="preserve"> </w:t>
      </w:r>
      <w:r>
        <w:rPr>
          <w:rStyle w:val="FootnoteReference"/>
        </w:rPr>
        <w:footnoteReference w:id="49"/>
      </w:r>
      <w:r>
        <w:t xml:space="preserve"> </w:t>
      </w:r>
      <w:r w:rsidR="002F0470">
        <w:fldChar w:fldCharType="begin"/>
      </w:r>
      <w:r w:rsidR="002F0470">
        <w:instrText xml:space="preserve"> REF _Ref472444117 \h </w:instrText>
      </w:r>
      <w:r w:rsidR="002F0470">
        <w:fldChar w:fldCharType="separate"/>
      </w:r>
      <w:r w:rsidR="00A874AC" w:rsidRPr="00E41D9C">
        <w:t>Table A-</w:t>
      </w:r>
      <w:r w:rsidR="00A874AC">
        <w:rPr>
          <w:noProof/>
        </w:rPr>
        <w:t>5</w:t>
      </w:r>
      <w:r w:rsidR="002F0470">
        <w:fldChar w:fldCharType="end"/>
      </w:r>
      <w:r w:rsidR="002F0470">
        <w:t xml:space="preserve"> </w:t>
      </w:r>
      <w:r w:rsidR="002F0470" w:rsidRPr="00FA66F0">
        <w:t xml:space="preserve">shows </w:t>
      </w:r>
      <w:r w:rsidR="002F0470">
        <w:t>the</w:t>
      </w:r>
      <w:r w:rsidR="002F0470" w:rsidRPr="00FA66F0">
        <w:t xml:space="preserve"> discount rates and </w:t>
      </w:r>
      <w:r w:rsidR="002F0470">
        <w:t xml:space="preserve">the </w:t>
      </w:r>
      <w:r w:rsidR="002F0470" w:rsidRPr="00FA66F0">
        <w:t xml:space="preserve">energy and demand LLF values </w:t>
      </w:r>
      <w:r w:rsidR="002F0470">
        <w:t>that</w:t>
      </w:r>
      <w:r w:rsidR="002F0470" w:rsidRPr="00FA66F0">
        <w:t xml:space="preserve"> Duquesne used for all programs</w:t>
      </w:r>
      <w:r w:rsidR="002F0470">
        <w:t xml:space="preserve"> in their TRC model</w:t>
      </w:r>
      <w:r w:rsidR="002F0470" w:rsidRPr="00FA66F0">
        <w:t>.</w:t>
      </w:r>
    </w:p>
    <w:p w:rsidR="002F0470" w:rsidRPr="002F0470" w:rsidRDefault="00102D9E" w:rsidP="0017534C">
      <w:r>
        <w:tab/>
      </w:r>
    </w:p>
    <w:p w:rsidR="008B45A8" w:rsidRDefault="008B45A8" w:rsidP="008B45A8">
      <w:pPr>
        <w:pStyle w:val="Caption"/>
      </w:pPr>
      <w:bookmarkStart w:id="511" w:name="_Ref472444117"/>
      <w:bookmarkStart w:id="512" w:name="_Toc472472414"/>
      <w:bookmarkStart w:id="513" w:name="_Toc476842120"/>
      <w:r w:rsidRPr="00E41D9C">
        <w:t>Table A-</w:t>
      </w:r>
      <w:fldSimple w:instr=" SEQ Table_A- \* ARABIC ">
        <w:r w:rsidR="00C301D0">
          <w:rPr>
            <w:noProof/>
          </w:rPr>
          <w:t>5</w:t>
        </w:r>
      </w:fldSimple>
      <w:bookmarkEnd w:id="511"/>
      <w:r w:rsidRPr="00E41D9C">
        <w:t xml:space="preserve">: </w:t>
      </w:r>
      <w:r w:rsidRPr="008B45A8">
        <w:t xml:space="preserve">Duquesne’s </w:t>
      </w:r>
      <w:r>
        <w:t>Discount Rates and Line Loss Factors</w:t>
      </w:r>
      <w:bookmarkEnd w:id="512"/>
      <w:bookmarkEnd w:id="513"/>
    </w:p>
    <w:tbl>
      <w:tblPr>
        <w:tblW w:w="9306"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366"/>
        <w:gridCol w:w="1485"/>
        <w:gridCol w:w="1485"/>
        <w:gridCol w:w="1485"/>
        <w:gridCol w:w="1485"/>
      </w:tblGrid>
      <w:tr w:rsidR="00A874AC" w:rsidRPr="002F0470" w:rsidTr="009349F1">
        <w:trPr>
          <w:trHeight w:val="260"/>
          <w:tblHeader/>
          <w:jc w:val="center"/>
        </w:trPr>
        <w:tc>
          <w:tcPr>
            <w:tcW w:w="3366" w:type="dxa"/>
            <w:shd w:val="clear" w:color="000000" w:fill="448A99"/>
            <w:vAlign w:val="bottom"/>
            <w:hideMark/>
          </w:tcPr>
          <w:p w:rsidR="002F0470" w:rsidRPr="002F0470" w:rsidRDefault="002F0470" w:rsidP="002F0470">
            <w:pPr>
              <w:jc w:val="left"/>
              <w:rPr>
                <w:b/>
                <w:bCs/>
                <w:color w:val="FFFFFF"/>
                <w:sz w:val="20"/>
                <w:szCs w:val="20"/>
              </w:rPr>
            </w:pPr>
            <w:r w:rsidRPr="002F0470">
              <w:rPr>
                <w:b/>
                <w:bCs/>
                <w:color w:val="FFFFFF"/>
                <w:sz w:val="20"/>
                <w:szCs w:val="20"/>
              </w:rPr>
              <w:t>Program</w:t>
            </w:r>
          </w:p>
        </w:tc>
        <w:tc>
          <w:tcPr>
            <w:tcW w:w="1485" w:type="dxa"/>
            <w:shd w:val="clear" w:color="000000" w:fill="448A99"/>
            <w:vAlign w:val="bottom"/>
            <w:hideMark/>
          </w:tcPr>
          <w:p w:rsidR="002F0470" w:rsidRPr="002F0470" w:rsidRDefault="002F0470" w:rsidP="002F0470">
            <w:pPr>
              <w:jc w:val="center"/>
              <w:rPr>
                <w:b/>
                <w:bCs/>
                <w:color w:val="FFFFFF"/>
                <w:sz w:val="20"/>
                <w:szCs w:val="20"/>
              </w:rPr>
            </w:pPr>
            <w:r w:rsidRPr="002F0470">
              <w:rPr>
                <w:b/>
                <w:bCs/>
                <w:color w:val="FFFFFF"/>
                <w:sz w:val="20"/>
                <w:szCs w:val="20"/>
              </w:rPr>
              <w:t>Sector</w:t>
            </w:r>
          </w:p>
        </w:tc>
        <w:tc>
          <w:tcPr>
            <w:tcW w:w="1485" w:type="dxa"/>
            <w:shd w:val="clear" w:color="000000" w:fill="448A99"/>
            <w:vAlign w:val="bottom"/>
            <w:hideMark/>
          </w:tcPr>
          <w:p w:rsidR="002F0470" w:rsidRPr="002F0470" w:rsidRDefault="002F0470" w:rsidP="002F0470">
            <w:pPr>
              <w:jc w:val="center"/>
              <w:rPr>
                <w:b/>
                <w:bCs/>
                <w:color w:val="FFFFFF"/>
                <w:sz w:val="20"/>
                <w:szCs w:val="20"/>
              </w:rPr>
            </w:pPr>
            <w:r w:rsidRPr="002F0470">
              <w:rPr>
                <w:b/>
                <w:bCs/>
                <w:color w:val="FFFFFF"/>
                <w:sz w:val="20"/>
                <w:szCs w:val="20"/>
              </w:rPr>
              <w:t>Discount Rate</w:t>
            </w:r>
          </w:p>
        </w:tc>
        <w:tc>
          <w:tcPr>
            <w:tcW w:w="1485" w:type="dxa"/>
            <w:shd w:val="clear" w:color="000000" w:fill="448A99"/>
            <w:vAlign w:val="bottom"/>
            <w:hideMark/>
          </w:tcPr>
          <w:p w:rsidR="002F0470" w:rsidRPr="002F0470" w:rsidRDefault="002F0470" w:rsidP="002F0470">
            <w:pPr>
              <w:jc w:val="center"/>
              <w:rPr>
                <w:b/>
                <w:bCs/>
                <w:color w:val="FFFFFF"/>
                <w:sz w:val="20"/>
                <w:szCs w:val="20"/>
              </w:rPr>
            </w:pPr>
            <w:r w:rsidRPr="002F0470">
              <w:rPr>
                <w:b/>
                <w:bCs/>
                <w:color w:val="FFFFFF"/>
                <w:sz w:val="20"/>
                <w:szCs w:val="20"/>
              </w:rPr>
              <w:t>Energy LLF</w:t>
            </w:r>
            <w:r w:rsidRPr="002F0470">
              <w:rPr>
                <w:b/>
                <w:bCs/>
                <w:color w:val="FFFFFF"/>
                <w:sz w:val="20"/>
                <w:szCs w:val="20"/>
                <w:vertAlign w:val="superscript"/>
              </w:rPr>
              <w:t>[a]</w:t>
            </w:r>
          </w:p>
        </w:tc>
        <w:tc>
          <w:tcPr>
            <w:tcW w:w="1485" w:type="dxa"/>
            <w:shd w:val="clear" w:color="000000" w:fill="448A99"/>
            <w:vAlign w:val="bottom"/>
            <w:hideMark/>
          </w:tcPr>
          <w:p w:rsidR="002F0470" w:rsidRPr="002F0470" w:rsidRDefault="002F0470" w:rsidP="002F0470">
            <w:pPr>
              <w:jc w:val="center"/>
              <w:rPr>
                <w:b/>
                <w:bCs/>
                <w:color w:val="FFFFFF"/>
                <w:sz w:val="20"/>
                <w:szCs w:val="20"/>
              </w:rPr>
            </w:pPr>
            <w:r w:rsidRPr="002F0470">
              <w:rPr>
                <w:b/>
                <w:bCs/>
                <w:color w:val="FFFFFF"/>
                <w:sz w:val="20"/>
                <w:szCs w:val="20"/>
              </w:rPr>
              <w:t>Demand LLF</w:t>
            </w:r>
            <w:r w:rsidRPr="002F0470">
              <w:rPr>
                <w:b/>
                <w:bCs/>
                <w:color w:val="FFFFFF"/>
                <w:sz w:val="20"/>
                <w:szCs w:val="20"/>
                <w:vertAlign w:val="superscript"/>
              </w:rPr>
              <w:t>[a]</w:t>
            </w:r>
          </w:p>
        </w:tc>
      </w:tr>
      <w:tr w:rsidR="00A874AC" w:rsidRPr="002F0470" w:rsidTr="005C1352">
        <w:trPr>
          <w:trHeight w:val="346"/>
          <w:jc w:val="center"/>
        </w:trPr>
        <w:tc>
          <w:tcPr>
            <w:tcW w:w="3366" w:type="dxa"/>
            <w:shd w:val="clear" w:color="000000" w:fill="D2EAF1"/>
            <w:noWrap/>
            <w:vAlign w:val="center"/>
          </w:tcPr>
          <w:p w:rsidR="00C97965" w:rsidRPr="002F0470" w:rsidRDefault="00C97965" w:rsidP="00C97965">
            <w:pPr>
              <w:jc w:val="left"/>
              <w:rPr>
                <w:bCs/>
                <w:color w:val="000000"/>
                <w:sz w:val="20"/>
                <w:szCs w:val="20"/>
              </w:rPr>
            </w:pPr>
            <w:r w:rsidRPr="002F0470">
              <w:rPr>
                <w:rFonts w:cs="Arial"/>
                <w:bCs/>
                <w:sz w:val="20"/>
                <w:szCs w:val="20"/>
              </w:rPr>
              <w:t>Residential EE Program</w:t>
            </w:r>
          </w:p>
        </w:tc>
        <w:tc>
          <w:tcPr>
            <w:tcW w:w="1485" w:type="dxa"/>
            <w:shd w:val="clear" w:color="000000" w:fill="D2EAF1"/>
            <w:noWrap/>
            <w:vAlign w:val="center"/>
          </w:tcPr>
          <w:p w:rsidR="00C97965" w:rsidRPr="002F0470" w:rsidRDefault="00C97965" w:rsidP="00C97965">
            <w:pPr>
              <w:jc w:val="center"/>
              <w:rPr>
                <w:color w:val="000000"/>
                <w:sz w:val="20"/>
                <w:szCs w:val="20"/>
              </w:rPr>
            </w:pPr>
            <w:r w:rsidRPr="002F0470">
              <w:rPr>
                <w:color w:val="000000"/>
                <w:sz w:val="20"/>
                <w:szCs w:val="20"/>
              </w:rPr>
              <w:t>Residential</w:t>
            </w:r>
          </w:p>
        </w:tc>
        <w:tc>
          <w:tcPr>
            <w:tcW w:w="1485" w:type="dxa"/>
            <w:shd w:val="clear" w:color="000000" w:fill="D2EAF1"/>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000000"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000000"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C97965" w:rsidRPr="002F0470" w:rsidTr="00BC615D">
        <w:trPr>
          <w:trHeight w:val="346"/>
          <w:jc w:val="center"/>
        </w:trPr>
        <w:tc>
          <w:tcPr>
            <w:tcW w:w="3366" w:type="dxa"/>
            <w:shd w:val="clear" w:color="auto" w:fill="auto"/>
            <w:noWrap/>
            <w:vAlign w:val="center"/>
          </w:tcPr>
          <w:p w:rsidR="00C97965" w:rsidRPr="002F0470" w:rsidRDefault="00C97965" w:rsidP="00C97965">
            <w:pPr>
              <w:jc w:val="left"/>
              <w:rPr>
                <w:bCs/>
                <w:color w:val="000000"/>
                <w:sz w:val="20"/>
                <w:szCs w:val="20"/>
              </w:rPr>
            </w:pPr>
            <w:r w:rsidRPr="002F0470">
              <w:rPr>
                <w:rFonts w:cs="Arial"/>
                <w:bCs/>
                <w:sz w:val="20"/>
                <w:szCs w:val="20"/>
              </w:rPr>
              <w:t>School Energy Pledge</w:t>
            </w:r>
          </w:p>
        </w:tc>
        <w:tc>
          <w:tcPr>
            <w:tcW w:w="1485" w:type="dxa"/>
            <w:shd w:val="clear" w:color="auto" w:fill="auto"/>
            <w:noWrap/>
            <w:vAlign w:val="center"/>
          </w:tcPr>
          <w:p w:rsidR="00C97965" w:rsidRPr="002F0470" w:rsidRDefault="00C97965" w:rsidP="00C97965">
            <w:pPr>
              <w:jc w:val="center"/>
              <w:rPr>
                <w:color w:val="000000"/>
                <w:sz w:val="20"/>
                <w:szCs w:val="20"/>
              </w:rPr>
            </w:pPr>
            <w:r w:rsidRPr="002F0470">
              <w:rPr>
                <w:color w:val="000000"/>
                <w:sz w:val="20"/>
                <w:szCs w:val="20"/>
              </w:rPr>
              <w:t>Residential</w:t>
            </w:r>
          </w:p>
        </w:tc>
        <w:tc>
          <w:tcPr>
            <w:tcW w:w="1485" w:type="dxa"/>
            <w:shd w:val="clear" w:color="auto" w:fill="auto"/>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auto"/>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auto"/>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000000" w:fill="D2EAF1"/>
            <w:noWrap/>
            <w:vAlign w:val="center"/>
          </w:tcPr>
          <w:p w:rsidR="00C97965" w:rsidRPr="002F0470" w:rsidRDefault="00C97965" w:rsidP="00C97965">
            <w:pPr>
              <w:jc w:val="left"/>
              <w:rPr>
                <w:bCs/>
                <w:color w:val="000000"/>
                <w:sz w:val="20"/>
                <w:szCs w:val="20"/>
              </w:rPr>
            </w:pPr>
            <w:r w:rsidRPr="002F0470">
              <w:rPr>
                <w:rFonts w:cs="Arial"/>
                <w:bCs/>
                <w:sz w:val="20"/>
                <w:szCs w:val="20"/>
              </w:rPr>
              <w:t>Appliance Recycling</w:t>
            </w:r>
          </w:p>
        </w:tc>
        <w:tc>
          <w:tcPr>
            <w:tcW w:w="1485" w:type="dxa"/>
            <w:shd w:val="clear" w:color="000000" w:fill="D2EAF1"/>
            <w:noWrap/>
            <w:vAlign w:val="center"/>
          </w:tcPr>
          <w:p w:rsidR="00C97965" w:rsidRPr="002F0470" w:rsidRDefault="00C97965" w:rsidP="00C97965">
            <w:pPr>
              <w:jc w:val="center"/>
              <w:rPr>
                <w:color w:val="000000"/>
                <w:sz w:val="20"/>
                <w:szCs w:val="20"/>
              </w:rPr>
            </w:pPr>
            <w:r w:rsidRPr="002F0470">
              <w:rPr>
                <w:color w:val="000000"/>
                <w:sz w:val="20"/>
                <w:szCs w:val="20"/>
              </w:rPr>
              <w:t>Residential</w:t>
            </w:r>
          </w:p>
        </w:tc>
        <w:tc>
          <w:tcPr>
            <w:tcW w:w="1485" w:type="dxa"/>
            <w:shd w:val="clear" w:color="000000" w:fill="D2EAF1"/>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000000"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000000"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C97965" w:rsidRPr="002F0470" w:rsidTr="00BC615D">
        <w:trPr>
          <w:trHeight w:val="346"/>
          <w:jc w:val="center"/>
        </w:trPr>
        <w:tc>
          <w:tcPr>
            <w:tcW w:w="3366" w:type="dxa"/>
            <w:shd w:val="clear" w:color="auto" w:fill="auto"/>
            <w:noWrap/>
            <w:vAlign w:val="center"/>
          </w:tcPr>
          <w:p w:rsidR="00C97965" w:rsidRPr="002F0470" w:rsidRDefault="00C97965" w:rsidP="00C97965">
            <w:pPr>
              <w:jc w:val="left"/>
              <w:rPr>
                <w:bCs/>
                <w:color w:val="000000"/>
                <w:sz w:val="20"/>
                <w:szCs w:val="20"/>
              </w:rPr>
            </w:pPr>
            <w:r w:rsidRPr="002F0470">
              <w:rPr>
                <w:rFonts w:cs="Arial"/>
                <w:bCs/>
                <w:sz w:val="20"/>
                <w:szCs w:val="20"/>
              </w:rPr>
              <w:t>Whole House</w:t>
            </w:r>
          </w:p>
        </w:tc>
        <w:tc>
          <w:tcPr>
            <w:tcW w:w="1485" w:type="dxa"/>
            <w:shd w:val="clear" w:color="auto" w:fill="auto"/>
            <w:noWrap/>
            <w:vAlign w:val="center"/>
          </w:tcPr>
          <w:p w:rsidR="00C97965" w:rsidRPr="002F0470" w:rsidRDefault="00C97965" w:rsidP="00C97965">
            <w:pPr>
              <w:jc w:val="center"/>
              <w:rPr>
                <w:color w:val="000000"/>
                <w:sz w:val="20"/>
                <w:szCs w:val="20"/>
              </w:rPr>
            </w:pPr>
            <w:r w:rsidRPr="002F0470">
              <w:rPr>
                <w:color w:val="000000"/>
                <w:sz w:val="20"/>
                <w:szCs w:val="20"/>
              </w:rPr>
              <w:t>Residential</w:t>
            </w:r>
          </w:p>
        </w:tc>
        <w:tc>
          <w:tcPr>
            <w:tcW w:w="1485" w:type="dxa"/>
            <w:shd w:val="clear" w:color="auto" w:fill="auto"/>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auto"/>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auto"/>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000000" w:fill="D2EAF1"/>
            <w:noWrap/>
            <w:vAlign w:val="center"/>
          </w:tcPr>
          <w:p w:rsidR="00C97965" w:rsidRPr="002F0470" w:rsidRDefault="00C97965" w:rsidP="00C97965">
            <w:pPr>
              <w:jc w:val="left"/>
              <w:rPr>
                <w:bCs/>
                <w:color w:val="000000"/>
                <w:sz w:val="20"/>
                <w:szCs w:val="20"/>
              </w:rPr>
            </w:pPr>
            <w:r w:rsidRPr="002F0470">
              <w:rPr>
                <w:rFonts w:cs="Arial"/>
                <w:bCs/>
                <w:sz w:val="20"/>
                <w:szCs w:val="20"/>
              </w:rPr>
              <w:t>Home Energy Reports</w:t>
            </w:r>
          </w:p>
        </w:tc>
        <w:tc>
          <w:tcPr>
            <w:tcW w:w="1485" w:type="dxa"/>
            <w:shd w:val="clear" w:color="000000" w:fill="D2EAF1"/>
            <w:noWrap/>
            <w:vAlign w:val="center"/>
          </w:tcPr>
          <w:p w:rsidR="00C97965" w:rsidRPr="002F0470" w:rsidRDefault="00C97965" w:rsidP="00C97965">
            <w:pPr>
              <w:jc w:val="center"/>
              <w:rPr>
                <w:color w:val="000000"/>
                <w:sz w:val="20"/>
                <w:szCs w:val="20"/>
              </w:rPr>
            </w:pPr>
            <w:r w:rsidRPr="002F0470">
              <w:rPr>
                <w:color w:val="000000"/>
                <w:sz w:val="20"/>
                <w:szCs w:val="20"/>
              </w:rPr>
              <w:t>Residential</w:t>
            </w:r>
          </w:p>
        </w:tc>
        <w:tc>
          <w:tcPr>
            <w:tcW w:w="1485" w:type="dxa"/>
            <w:shd w:val="clear" w:color="000000" w:fill="D2EAF1"/>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000000"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000000"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auto" w:fill="FFFFFF"/>
            <w:noWrap/>
            <w:vAlign w:val="center"/>
          </w:tcPr>
          <w:p w:rsidR="00C97965" w:rsidRPr="002F0470" w:rsidRDefault="00C97965" w:rsidP="00C97965">
            <w:pPr>
              <w:jc w:val="left"/>
              <w:rPr>
                <w:bCs/>
                <w:color w:val="000000"/>
                <w:sz w:val="20"/>
                <w:szCs w:val="20"/>
              </w:rPr>
            </w:pPr>
            <w:r w:rsidRPr="002F0470">
              <w:rPr>
                <w:rFonts w:cs="Arial"/>
                <w:bCs/>
                <w:sz w:val="20"/>
                <w:szCs w:val="20"/>
              </w:rPr>
              <w:t>Low-Income EE</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Low Income</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auto" w:fill="D2EAF1"/>
            <w:noWrap/>
            <w:vAlign w:val="center"/>
          </w:tcPr>
          <w:p w:rsidR="00C97965" w:rsidRPr="002F0470" w:rsidRDefault="00C97965" w:rsidP="00C97965">
            <w:pPr>
              <w:jc w:val="left"/>
              <w:rPr>
                <w:bCs/>
                <w:color w:val="000000"/>
                <w:sz w:val="20"/>
                <w:szCs w:val="20"/>
              </w:rPr>
            </w:pPr>
            <w:r w:rsidRPr="002F0470">
              <w:rPr>
                <w:rFonts w:cs="Arial"/>
                <w:bCs/>
                <w:sz w:val="20"/>
                <w:szCs w:val="20"/>
              </w:rPr>
              <w:t>Commercial Sector Umbrella EE</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Commercial</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auto" w:fill="FFFFFF"/>
            <w:noWrap/>
            <w:vAlign w:val="center"/>
          </w:tcPr>
          <w:p w:rsidR="00C97965" w:rsidRPr="002F0470" w:rsidRDefault="00C97965" w:rsidP="00C97965">
            <w:pPr>
              <w:jc w:val="left"/>
              <w:rPr>
                <w:bCs/>
                <w:color w:val="000000"/>
                <w:sz w:val="20"/>
                <w:szCs w:val="20"/>
              </w:rPr>
            </w:pPr>
            <w:r w:rsidRPr="002F0470">
              <w:rPr>
                <w:rFonts w:cs="Arial"/>
                <w:bCs/>
                <w:sz w:val="20"/>
                <w:szCs w:val="20"/>
              </w:rPr>
              <w:t>Healthcare EE</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Commercial</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auto" w:fill="D2EAF1"/>
            <w:noWrap/>
            <w:vAlign w:val="center"/>
          </w:tcPr>
          <w:p w:rsidR="00C97965" w:rsidRPr="002F0470" w:rsidRDefault="00C97965" w:rsidP="00C97965">
            <w:pPr>
              <w:jc w:val="left"/>
              <w:rPr>
                <w:bCs/>
                <w:color w:val="000000"/>
                <w:sz w:val="20"/>
                <w:szCs w:val="20"/>
              </w:rPr>
            </w:pPr>
            <w:r w:rsidRPr="002F0470">
              <w:rPr>
                <w:rFonts w:cs="Arial"/>
                <w:bCs/>
                <w:sz w:val="20"/>
                <w:szCs w:val="20"/>
              </w:rPr>
              <w:t>Industrial Sector Umbrella EE</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Industrial</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auto" w:fill="FFFFFF"/>
            <w:noWrap/>
            <w:vAlign w:val="center"/>
          </w:tcPr>
          <w:p w:rsidR="00C97965" w:rsidRPr="002F0470" w:rsidRDefault="00C97965" w:rsidP="00C97965">
            <w:pPr>
              <w:jc w:val="left"/>
              <w:rPr>
                <w:bCs/>
                <w:color w:val="000000"/>
                <w:sz w:val="20"/>
                <w:szCs w:val="20"/>
              </w:rPr>
            </w:pPr>
            <w:r w:rsidRPr="002F0470">
              <w:rPr>
                <w:rFonts w:cs="Arial"/>
                <w:bCs/>
                <w:sz w:val="20"/>
                <w:szCs w:val="20"/>
              </w:rPr>
              <w:t>Chemical Products EE</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Industrial</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auto" w:fill="D2EAF1"/>
            <w:noWrap/>
            <w:vAlign w:val="center"/>
          </w:tcPr>
          <w:p w:rsidR="00C97965" w:rsidRPr="002F0470" w:rsidRDefault="00C97965" w:rsidP="00C97965">
            <w:pPr>
              <w:jc w:val="left"/>
              <w:rPr>
                <w:bCs/>
                <w:color w:val="000000"/>
                <w:sz w:val="20"/>
                <w:szCs w:val="20"/>
              </w:rPr>
            </w:pPr>
            <w:r w:rsidRPr="002F0470">
              <w:rPr>
                <w:rFonts w:cs="Arial"/>
                <w:bCs/>
                <w:iCs/>
                <w:sz w:val="20"/>
                <w:szCs w:val="20"/>
              </w:rPr>
              <w:t>Mixed Industrial EE</w:t>
            </w:r>
          </w:p>
        </w:tc>
        <w:tc>
          <w:tcPr>
            <w:tcW w:w="1485" w:type="dxa"/>
            <w:shd w:val="clear" w:color="auto" w:fill="D2EAF1"/>
            <w:noWrap/>
            <w:vAlign w:val="center"/>
          </w:tcPr>
          <w:p w:rsidR="00C97965" w:rsidRPr="002F0470" w:rsidRDefault="00C97965" w:rsidP="00C97965">
            <w:pPr>
              <w:jc w:val="center"/>
              <w:rPr>
                <w:color w:val="000000"/>
                <w:sz w:val="20"/>
                <w:szCs w:val="20"/>
              </w:rPr>
            </w:pPr>
            <w:r>
              <w:rPr>
                <w:color w:val="000000"/>
                <w:sz w:val="20"/>
                <w:szCs w:val="20"/>
              </w:rPr>
              <w:t>Industrial</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auto" w:fill="FFFFFF"/>
            <w:noWrap/>
            <w:vAlign w:val="center"/>
          </w:tcPr>
          <w:p w:rsidR="00C97965" w:rsidRPr="002F0470" w:rsidRDefault="00C97965" w:rsidP="00C97965">
            <w:pPr>
              <w:jc w:val="left"/>
              <w:rPr>
                <w:bCs/>
                <w:color w:val="000000"/>
                <w:sz w:val="20"/>
                <w:szCs w:val="20"/>
              </w:rPr>
            </w:pPr>
            <w:r w:rsidRPr="002F0470">
              <w:rPr>
                <w:rFonts w:cs="Arial"/>
                <w:bCs/>
                <w:sz w:val="20"/>
                <w:szCs w:val="20"/>
              </w:rPr>
              <w:t>Office Building</w:t>
            </w:r>
            <w:r>
              <w:rPr>
                <w:rFonts w:cs="Arial"/>
                <w:bCs/>
                <w:sz w:val="20"/>
                <w:szCs w:val="20"/>
              </w:rPr>
              <w:t>s</w:t>
            </w:r>
            <w:r w:rsidRPr="002F0470">
              <w:rPr>
                <w:rFonts w:cs="Arial"/>
                <w:bCs/>
                <w:sz w:val="20"/>
                <w:szCs w:val="20"/>
              </w:rPr>
              <w:t xml:space="preserve"> EE</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Commercial</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auto" w:fill="D2EAF1"/>
            <w:noWrap/>
            <w:vAlign w:val="center"/>
          </w:tcPr>
          <w:p w:rsidR="00C97965" w:rsidRPr="002F0470" w:rsidRDefault="00C97965" w:rsidP="00C97965">
            <w:pPr>
              <w:jc w:val="left"/>
              <w:rPr>
                <w:bCs/>
                <w:color w:val="000000"/>
                <w:sz w:val="20"/>
                <w:szCs w:val="20"/>
              </w:rPr>
            </w:pPr>
            <w:r w:rsidRPr="002F0470">
              <w:rPr>
                <w:rFonts w:cs="Arial"/>
                <w:bCs/>
                <w:iCs/>
                <w:sz w:val="20"/>
                <w:szCs w:val="20"/>
              </w:rPr>
              <w:t>Primary Metals EE</w:t>
            </w:r>
          </w:p>
        </w:tc>
        <w:tc>
          <w:tcPr>
            <w:tcW w:w="1485" w:type="dxa"/>
            <w:shd w:val="clear" w:color="auto" w:fill="D2EAF1"/>
            <w:noWrap/>
            <w:vAlign w:val="center"/>
          </w:tcPr>
          <w:p w:rsidR="00C97965" w:rsidRPr="002F0470" w:rsidRDefault="00C97965" w:rsidP="00C97965">
            <w:pPr>
              <w:jc w:val="center"/>
              <w:rPr>
                <w:color w:val="000000"/>
                <w:sz w:val="20"/>
                <w:szCs w:val="20"/>
              </w:rPr>
            </w:pPr>
            <w:r>
              <w:rPr>
                <w:color w:val="000000"/>
                <w:sz w:val="20"/>
                <w:szCs w:val="20"/>
              </w:rPr>
              <w:t>Industrial</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auto" w:fill="FFFFFF"/>
            <w:noWrap/>
            <w:vAlign w:val="center"/>
          </w:tcPr>
          <w:p w:rsidR="00C97965" w:rsidRPr="002F0470" w:rsidRDefault="00C97965" w:rsidP="00C97965">
            <w:pPr>
              <w:jc w:val="left"/>
              <w:rPr>
                <w:bCs/>
                <w:color w:val="000000"/>
                <w:sz w:val="20"/>
                <w:szCs w:val="20"/>
              </w:rPr>
            </w:pPr>
            <w:r w:rsidRPr="002F0470">
              <w:rPr>
                <w:rFonts w:cs="Arial"/>
                <w:bCs/>
                <w:sz w:val="20"/>
                <w:szCs w:val="20"/>
              </w:rPr>
              <w:t>Public Agency/Non-Profit</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Commercial</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auto" w:fill="D2EAF1"/>
            <w:noWrap/>
            <w:vAlign w:val="center"/>
          </w:tcPr>
          <w:p w:rsidR="00C97965" w:rsidRPr="002F0470" w:rsidRDefault="00C97965" w:rsidP="00C97965">
            <w:pPr>
              <w:jc w:val="left"/>
              <w:rPr>
                <w:bCs/>
                <w:color w:val="000000"/>
                <w:sz w:val="20"/>
                <w:szCs w:val="20"/>
              </w:rPr>
            </w:pPr>
            <w:r w:rsidRPr="002F0470">
              <w:rPr>
                <w:rFonts w:cs="Arial"/>
                <w:bCs/>
                <w:sz w:val="20"/>
                <w:szCs w:val="20"/>
              </w:rPr>
              <w:t>Retail Stores EE</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Commercial</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D2EAF1"/>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auto" w:fill="FFFFFF"/>
            <w:noWrap/>
            <w:vAlign w:val="center"/>
          </w:tcPr>
          <w:p w:rsidR="00C97965" w:rsidRPr="002F0470" w:rsidRDefault="00C97965" w:rsidP="00C97965">
            <w:pPr>
              <w:jc w:val="left"/>
              <w:rPr>
                <w:bCs/>
                <w:color w:val="000000"/>
                <w:sz w:val="20"/>
                <w:szCs w:val="20"/>
              </w:rPr>
            </w:pPr>
            <w:r w:rsidRPr="002F0470">
              <w:rPr>
                <w:rFonts w:cs="Arial"/>
                <w:sz w:val="20"/>
                <w:szCs w:val="20"/>
              </w:rPr>
              <w:t>Multifamily Housing Retrofit</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Commercial</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FFFFFF"/>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A874AC" w:rsidRPr="002F0470" w:rsidTr="005C1352">
        <w:trPr>
          <w:trHeight w:val="346"/>
          <w:jc w:val="center"/>
        </w:trPr>
        <w:tc>
          <w:tcPr>
            <w:tcW w:w="3366" w:type="dxa"/>
            <w:shd w:val="clear" w:color="auto" w:fill="DAEEF3"/>
            <w:noWrap/>
            <w:vAlign w:val="center"/>
          </w:tcPr>
          <w:p w:rsidR="00C97965" w:rsidRPr="002F0470" w:rsidRDefault="00C97965" w:rsidP="00C97965">
            <w:pPr>
              <w:jc w:val="left"/>
              <w:rPr>
                <w:bCs/>
                <w:color w:val="000000"/>
                <w:sz w:val="20"/>
                <w:szCs w:val="20"/>
              </w:rPr>
            </w:pPr>
            <w:r w:rsidRPr="002F0470">
              <w:rPr>
                <w:rFonts w:cs="Arial"/>
                <w:bCs/>
                <w:sz w:val="20"/>
                <w:szCs w:val="20"/>
              </w:rPr>
              <w:t>Small Commercial Direct Install</w:t>
            </w:r>
          </w:p>
        </w:tc>
        <w:tc>
          <w:tcPr>
            <w:tcW w:w="1485" w:type="dxa"/>
            <w:shd w:val="clear" w:color="auto" w:fill="DAEEF3"/>
            <w:noWrap/>
            <w:vAlign w:val="center"/>
          </w:tcPr>
          <w:p w:rsidR="00C97965" w:rsidRPr="002F0470" w:rsidRDefault="00C97965" w:rsidP="00C97965">
            <w:pPr>
              <w:jc w:val="center"/>
              <w:rPr>
                <w:color w:val="000000"/>
                <w:sz w:val="20"/>
                <w:szCs w:val="20"/>
              </w:rPr>
            </w:pPr>
            <w:r w:rsidRPr="002F0470">
              <w:rPr>
                <w:color w:val="000000"/>
                <w:sz w:val="20"/>
                <w:szCs w:val="20"/>
              </w:rPr>
              <w:t>Commercial</w:t>
            </w:r>
          </w:p>
        </w:tc>
        <w:tc>
          <w:tcPr>
            <w:tcW w:w="1485" w:type="dxa"/>
            <w:shd w:val="clear" w:color="auto" w:fill="DAEEF3"/>
            <w:noWrap/>
            <w:vAlign w:val="center"/>
          </w:tcPr>
          <w:p w:rsidR="00C97965" w:rsidRPr="002F0470" w:rsidRDefault="00C97965" w:rsidP="00C97965">
            <w:pPr>
              <w:jc w:val="center"/>
              <w:rPr>
                <w:color w:val="000000"/>
                <w:sz w:val="20"/>
                <w:szCs w:val="20"/>
              </w:rPr>
            </w:pPr>
            <w:r w:rsidRPr="002F0470">
              <w:rPr>
                <w:color w:val="000000"/>
                <w:sz w:val="20"/>
                <w:szCs w:val="20"/>
              </w:rPr>
              <w:t>6.9%</w:t>
            </w:r>
          </w:p>
        </w:tc>
        <w:tc>
          <w:tcPr>
            <w:tcW w:w="1485" w:type="dxa"/>
            <w:shd w:val="clear" w:color="auto" w:fill="DAEEF3"/>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c>
          <w:tcPr>
            <w:tcW w:w="1485" w:type="dxa"/>
            <w:shd w:val="clear" w:color="auto" w:fill="DAEEF3"/>
            <w:noWrap/>
            <w:vAlign w:val="center"/>
          </w:tcPr>
          <w:p w:rsidR="00C97965" w:rsidRPr="002F0470" w:rsidRDefault="00C97965" w:rsidP="00C97965">
            <w:pPr>
              <w:jc w:val="center"/>
              <w:rPr>
                <w:color w:val="000000"/>
                <w:sz w:val="20"/>
                <w:szCs w:val="20"/>
              </w:rPr>
            </w:pPr>
            <w:r w:rsidRPr="002F0470">
              <w:rPr>
                <w:color w:val="000000"/>
                <w:sz w:val="20"/>
                <w:szCs w:val="20"/>
              </w:rPr>
              <w:t>6.</w:t>
            </w:r>
            <w:r>
              <w:rPr>
                <w:color w:val="000000"/>
                <w:sz w:val="20"/>
                <w:szCs w:val="20"/>
              </w:rPr>
              <w:t>9</w:t>
            </w:r>
            <w:r w:rsidRPr="002F0470">
              <w:rPr>
                <w:color w:val="000000"/>
                <w:sz w:val="20"/>
                <w:szCs w:val="20"/>
              </w:rPr>
              <w:t>%</w:t>
            </w:r>
          </w:p>
        </w:tc>
      </w:tr>
      <w:tr w:rsidR="00E7173E" w:rsidRPr="002F0470" w:rsidTr="00BC615D">
        <w:trPr>
          <w:trHeight w:val="346"/>
          <w:jc w:val="center"/>
        </w:trPr>
        <w:tc>
          <w:tcPr>
            <w:tcW w:w="9306" w:type="dxa"/>
            <w:gridSpan w:val="5"/>
            <w:shd w:val="clear" w:color="auto" w:fill="448A99"/>
            <w:noWrap/>
            <w:vAlign w:val="center"/>
          </w:tcPr>
          <w:p w:rsidR="002F0470" w:rsidRPr="002F0470" w:rsidRDefault="00E05E21" w:rsidP="002F0470">
            <w:pPr>
              <w:jc w:val="left"/>
              <w:rPr>
                <w:color w:val="FFFFFF"/>
                <w:sz w:val="18"/>
                <w:szCs w:val="20"/>
              </w:rPr>
            </w:pPr>
            <w:r>
              <w:rPr>
                <w:color w:val="FFFFFF"/>
                <w:sz w:val="18"/>
                <w:szCs w:val="20"/>
              </w:rPr>
              <w:t>NOTE:</w:t>
            </w:r>
          </w:p>
          <w:p w:rsidR="002F0470" w:rsidRPr="002F0470" w:rsidRDefault="002F0470" w:rsidP="00C97965">
            <w:pPr>
              <w:jc w:val="left"/>
              <w:rPr>
                <w:color w:val="000000"/>
                <w:sz w:val="18"/>
                <w:szCs w:val="20"/>
              </w:rPr>
            </w:pPr>
            <w:r w:rsidRPr="002F0470">
              <w:rPr>
                <w:color w:val="FFFFFF"/>
                <w:sz w:val="18"/>
                <w:szCs w:val="20"/>
              </w:rPr>
              <w:t xml:space="preserve">[a] </w:t>
            </w:r>
            <w:r w:rsidR="00E05E21" w:rsidRPr="002F0470">
              <w:rPr>
                <w:color w:val="FFFFFF"/>
                <w:sz w:val="18"/>
                <w:szCs w:val="20"/>
              </w:rPr>
              <w:t xml:space="preserve">Duquesne’s PY6 annual report </w:t>
            </w:r>
            <w:r w:rsidRPr="002F0470">
              <w:rPr>
                <w:color w:val="FFFFFF"/>
                <w:sz w:val="18"/>
                <w:szCs w:val="20"/>
              </w:rPr>
              <w:t>shows li</w:t>
            </w:r>
            <w:r w:rsidR="00C97965">
              <w:rPr>
                <w:color w:val="FFFFFF"/>
                <w:sz w:val="18"/>
                <w:szCs w:val="20"/>
              </w:rPr>
              <w:t>ne losses as a multiplier (1.074</w:t>
            </w:r>
            <w:r w:rsidRPr="002F0470">
              <w:rPr>
                <w:color w:val="FFFFFF"/>
                <w:sz w:val="18"/>
                <w:szCs w:val="20"/>
              </w:rPr>
              <w:t>).</w:t>
            </w:r>
          </w:p>
        </w:tc>
      </w:tr>
    </w:tbl>
    <w:p w:rsidR="008B45A8" w:rsidRDefault="008B45A8" w:rsidP="008B45A8"/>
    <w:p w:rsidR="00B471BA" w:rsidRPr="008A5E9E" w:rsidRDefault="00B471BA" w:rsidP="00B471BA">
      <w:pPr>
        <w:rPr>
          <w:highlight w:val="lightGray"/>
        </w:rPr>
      </w:pPr>
      <w:r w:rsidRPr="00FA66F0">
        <w:t xml:space="preserve">Duquesne’s </w:t>
      </w:r>
      <w:r>
        <w:t>B/C</w:t>
      </w:r>
      <w:r w:rsidRPr="00FA66F0">
        <w:t xml:space="preserve"> model assigned an EUL to each measure listed in Duquesne’s TRC model. The details of the EULs were listed in Duquesne’s Phase II Measure Table in the extract databases that were submitted to the SWE Team. The SWE Team spot-checked the measure lives in the Duquesne TRC model again</w:t>
      </w:r>
      <w:r>
        <w:t>st the measure lives in the 2015</w:t>
      </w:r>
      <w:r w:rsidRPr="00FA66F0">
        <w:t xml:space="preserve"> TRM and found </w:t>
      </w:r>
      <w:r>
        <w:t>no variances</w:t>
      </w:r>
      <w:r w:rsidRPr="00FA66F0">
        <w:t xml:space="preserve">. </w:t>
      </w:r>
      <w:r>
        <w:t xml:space="preserve">The SWE notes that Duquesne corrected any inconsistencies detected in prior Phase II program years. </w:t>
      </w:r>
      <w:r w:rsidRPr="00FA66F0">
        <w:t xml:space="preserve">The SWE Team also found the measure lives applied to custom measures not explicitly stated in the TRM to be reasonable. </w:t>
      </w:r>
    </w:p>
    <w:p w:rsidR="00B471BA" w:rsidRPr="008A5E9E" w:rsidRDefault="00B471BA" w:rsidP="00B471BA">
      <w:pPr>
        <w:rPr>
          <w:highlight w:val="lightGray"/>
        </w:rPr>
      </w:pPr>
    </w:p>
    <w:p w:rsidR="00B471BA" w:rsidRPr="00FA66F0" w:rsidRDefault="00B471BA" w:rsidP="00B471BA">
      <w:r>
        <w:t>As in prior Phase II program years, t</w:t>
      </w:r>
      <w:r w:rsidRPr="00FA66F0">
        <w:t>he evaluation contractor, Navigant, applied incremental costs at the measure level for both the residential and non-residential programs in the Duquesne TRC model. Navigant listed sources for the cost assumptions clearly in the TRC model as well as</w:t>
      </w:r>
      <w:r>
        <w:t xml:space="preserve"> in Appendix B of Duquesne’s </w:t>
      </w:r>
      <w:r>
        <w:lastRenderedPageBreak/>
        <w:t>PY7</w:t>
      </w:r>
      <w:r w:rsidRPr="00FA66F0">
        <w:t xml:space="preserve"> annual report. The incremental cost values came from a variety of sources, including the SWE incremental cost database, C</w:t>
      </w:r>
      <w:r>
        <w:t>/</w:t>
      </w:r>
      <w:r w:rsidRPr="00FA66F0">
        <w:t>I Fluorescent Lighting Cost Study</w:t>
      </w:r>
      <w:r>
        <w:t>,</w:t>
      </w:r>
      <w:r w:rsidRPr="00FA66F0">
        <w:rPr>
          <w:vertAlign w:val="superscript"/>
        </w:rPr>
        <w:footnoteReference w:id="50"/>
      </w:r>
      <w:r w:rsidRPr="00FA66F0">
        <w:t xml:space="preserve"> and actual invoice costs in Duquesne’s </w:t>
      </w:r>
      <w:r w:rsidRPr="00020D87">
        <w:rPr>
          <w:color w:val="000000"/>
        </w:rPr>
        <w:t>Program Management and Reporting System</w:t>
      </w:r>
      <w:r w:rsidRPr="00FA66F0">
        <w:t xml:space="preserve"> </w:t>
      </w:r>
      <w:r>
        <w:t>(</w:t>
      </w:r>
      <w:r w:rsidRPr="00FA66F0">
        <w:t>PMRS</w:t>
      </w:r>
      <w:r>
        <w:t>)</w:t>
      </w:r>
      <w:r w:rsidRPr="00FA66F0">
        <w:t xml:space="preserve"> database.</w:t>
      </w:r>
    </w:p>
    <w:p w:rsidR="00B471BA" w:rsidRPr="008A5E9E" w:rsidRDefault="00B471BA" w:rsidP="00B471BA">
      <w:pPr>
        <w:rPr>
          <w:highlight w:val="lightGray"/>
        </w:rPr>
      </w:pPr>
    </w:p>
    <w:p w:rsidR="00B471BA" w:rsidRPr="008A5E9E" w:rsidRDefault="00B471BA" w:rsidP="00B471BA">
      <w:pPr>
        <w:rPr>
          <w:highlight w:val="lightGray"/>
        </w:rPr>
      </w:pPr>
      <w:r w:rsidRPr="00FA66F0">
        <w:t>The TRC model drew the energy and demand impacts from the PMRS database, which used TRM-specified values and equations to assign ex ante annual savings values to completed measures. The TRC analysis was based on ex post verified savings, so the model adjusted program impacts by an applicable realization rate. The model applied separate realization rates to energy and demand impact</w:t>
      </w:r>
      <w:r w:rsidRPr="0044653F">
        <w:t xml:space="preserve">s. The SWE Team found </w:t>
      </w:r>
      <w:r>
        <w:t>no observable differences</w:t>
      </w:r>
      <w:r w:rsidRPr="0044653F">
        <w:t xml:space="preserve"> in the</w:t>
      </w:r>
      <w:r>
        <w:t xml:space="preserve"> TRC model and the PY7 Annual Report for both verified gross energy and demand.</w:t>
      </w:r>
    </w:p>
    <w:p w:rsidR="00B471BA" w:rsidRPr="00FA66F0" w:rsidRDefault="00B471BA" w:rsidP="00B471BA"/>
    <w:p w:rsidR="00B471BA" w:rsidRDefault="00B471BA" w:rsidP="00B471BA">
      <w:r>
        <w:t>In PY7, the 2015</w:t>
      </w:r>
      <w:r w:rsidRPr="00FA66F0">
        <w:t xml:space="preserve"> TRM specifically instruct</w:t>
      </w:r>
      <w:r>
        <w:t>ed</w:t>
      </w:r>
      <w:r w:rsidRPr="00FA66F0">
        <w:t xml:space="preserve"> EDCs to account for dual baselines with regard to T12 linear fluorescent replacements. The dual baseline adjustment impacts the lifetime energy and demand savings of measures, but </w:t>
      </w:r>
      <w:r>
        <w:t>did</w:t>
      </w:r>
      <w:r w:rsidRPr="00FA66F0">
        <w:t xml:space="preserve"> not impact</w:t>
      </w:r>
      <w:r>
        <w:t xml:space="preserve"> first-year savings for PY7</w:t>
      </w:r>
      <w:r w:rsidRPr="00FA66F0">
        <w:t>. EDCs may choose to reflect the dual baselines either by applying savings adjustment factors or by reducing the EUL to adjust lifetime savings. The Duquesne TRC model uses an adjusted EUL to account for the dual baseline measures</w:t>
      </w:r>
      <w:r>
        <w:t>.</w:t>
      </w:r>
    </w:p>
    <w:p w:rsidR="002F0470" w:rsidRDefault="002F0470" w:rsidP="002F0470"/>
    <w:p w:rsidR="00950837" w:rsidRPr="00D34B3E" w:rsidRDefault="00950837" w:rsidP="00C32A57">
      <w:pPr>
        <w:pStyle w:val="AppendixAHeading3"/>
      </w:pPr>
      <w:r w:rsidRPr="00D34B3E">
        <w:t>Avoided Cost</w:t>
      </w:r>
      <w:r w:rsidR="002F0470">
        <w:t xml:space="preserve"> of Energy and</w:t>
      </w:r>
      <w:r w:rsidRPr="00D34B3E">
        <w:t xml:space="preserve"> Capacity</w:t>
      </w:r>
    </w:p>
    <w:p w:rsidR="008B45A8" w:rsidRDefault="00C97965" w:rsidP="002F0470">
      <w:r w:rsidRPr="00C97965">
        <w:t>The PY7 D</w:t>
      </w:r>
      <w:r w:rsidR="00A77C59">
        <w:t>uquesne</w:t>
      </w:r>
      <w:r w:rsidR="00BC615D">
        <w:t xml:space="preserve"> </w:t>
      </w:r>
      <w:r w:rsidRPr="00C97965">
        <w:t>TRC Models use the Phase II approved avoided costs of energy and capacity.</w:t>
      </w:r>
      <w:r>
        <w:rPr>
          <w:rStyle w:val="FootnoteReference"/>
        </w:rPr>
        <w:footnoteReference w:id="51"/>
      </w:r>
      <w:r w:rsidRPr="00F0357F">
        <w:t xml:space="preserve"> </w:t>
      </w:r>
      <w:r w:rsidRPr="00C97965">
        <w:t>The PY7 models were updated to select the appropriat</w:t>
      </w:r>
      <w:r>
        <w:t>e PY7 stream of avoided costs.</w:t>
      </w:r>
    </w:p>
    <w:p w:rsidR="00B471BA" w:rsidRPr="002F0470" w:rsidRDefault="00B471BA" w:rsidP="002F0470"/>
    <w:p w:rsidR="00950837" w:rsidRDefault="00950837" w:rsidP="00C32A57">
      <w:pPr>
        <w:pStyle w:val="AppendixAHeading3"/>
      </w:pPr>
      <w:r>
        <w:t>Conclusions and Recommendations</w:t>
      </w:r>
    </w:p>
    <w:p w:rsidR="00C32A57" w:rsidRDefault="00C97965" w:rsidP="00C32A57">
      <w:r w:rsidRPr="00904883">
        <w:t xml:space="preserve">The </w:t>
      </w:r>
      <w:r>
        <w:t>D</w:t>
      </w:r>
      <w:r w:rsidR="00A77C59">
        <w:t>uquesne</w:t>
      </w:r>
      <w:r>
        <w:t xml:space="preserve"> </w:t>
      </w:r>
      <w:r w:rsidRPr="00F0357F">
        <w:t xml:space="preserve">TRC model is performing all of the B/C calculations in accordance with the 2013 TRC Order. The SWE Team review of the </w:t>
      </w:r>
      <w:r>
        <w:t>D</w:t>
      </w:r>
      <w:r w:rsidR="00A77C59">
        <w:t>uquesne</w:t>
      </w:r>
      <w:r w:rsidRPr="00F0357F">
        <w:t xml:space="preserve"> TRC model found no calculation errors and believes the PY7 TRC benefits, costs, and ratio</w:t>
      </w:r>
      <w:r>
        <w:t>s to be reasonable and accurate</w:t>
      </w:r>
      <w:r w:rsidR="00B471BA" w:rsidRPr="00B471BA">
        <w:t>.</w:t>
      </w:r>
    </w:p>
    <w:p w:rsidR="00904883" w:rsidRPr="00C32A57" w:rsidRDefault="00904883" w:rsidP="00C32A57"/>
    <w:p w:rsidR="00950837" w:rsidRDefault="00950837" w:rsidP="0043541C">
      <w:pPr>
        <w:pStyle w:val="AppendixAHeading2"/>
      </w:pPr>
      <w:r w:rsidRPr="00915BAC">
        <w:t>Status</w:t>
      </w:r>
      <w:r>
        <w:t xml:space="preserve"> of Evaluation Activities</w:t>
      </w:r>
    </w:p>
    <w:p w:rsidR="009847AC" w:rsidRPr="009847AC" w:rsidRDefault="009847AC" w:rsidP="009847AC">
      <w:r w:rsidRPr="009847AC">
        <w:t>This section discusses the status of Duquesne EM&amp;V plans, M&amp;V activities and findings, and process evaluation activities and findings.</w:t>
      </w:r>
    </w:p>
    <w:p w:rsidR="009847AC" w:rsidRDefault="009847AC" w:rsidP="009847AC"/>
    <w:p w:rsidR="00B023C7" w:rsidRPr="00C32A57" w:rsidRDefault="00950837" w:rsidP="00C32A57">
      <w:pPr>
        <w:pStyle w:val="AppendixAHeading3"/>
      </w:pPr>
      <w:bookmarkStart w:id="514" w:name="_Ref472937128"/>
      <w:r w:rsidRPr="00C32A57">
        <w:t>Status of Evaluation, Measurement</w:t>
      </w:r>
      <w:r w:rsidR="00E05E21">
        <w:t>,</w:t>
      </w:r>
      <w:r w:rsidRPr="00C32A57">
        <w:t xml:space="preserve"> and Verification Plans</w:t>
      </w:r>
      <w:bookmarkEnd w:id="514"/>
    </w:p>
    <w:p w:rsidR="00496A99" w:rsidRPr="009472F6" w:rsidRDefault="00496A99" w:rsidP="00496A99">
      <w:pPr>
        <w:pStyle w:val="bullettext"/>
      </w:pPr>
      <w:r w:rsidRPr="009472F6">
        <w:t>The standardization of evaluation protocols across EDCs was outlined in the Phase II Evaluation Framework in order to create consistency in evaluation practices across EDCs. The SWE Evaluation Framework that was applicable for PY</w:t>
      </w:r>
      <w:r w:rsidR="00686718">
        <w:t>7</w:t>
      </w:r>
      <w:r w:rsidRPr="009472F6">
        <w:t xml:space="preserve"> evaluation plans was the </w:t>
      </w:r>
      <w:r>
        <w:t>f</w:t>
      </w:r>
      <w:r w:rsidRPr="009472F6">
        <w:t xml:space="preserve">ramework finalized and published on June 28, 2013. This </w:t>
      </w:r>
      <w:r>
        <w:t>f</w:t>
      </w:r>
      <w:r w:rsidRPr="009472F6">
        <w:t xml:space="preserve">ramework required each EDC to complete an initial evaluation plan for each program in </w:t>
      </w:r>
      <w:r>
        <w:t>its</w:t>
      </w:r>
      <w:r w:rsidRPr="009472F6">
        <w:t xml:space="preserve"> portfolio</w:t>
      </w:r>
      <w:r>
        <w:t>,</w:t>
      </w:r>
      <w:r w:rsidRPr="009472F6">
        <w:t xml:space="preserve"> addressing the following objectives:</w:t>
      </w:r>
    </w:p>
    <w:p w:rsidR="00496A99" w:rsidRPr="008A5E9E" w:rsidRDefault="00496A99" w:rsidP="00E646C9">
      <w:pPr>
        <w:numPr>
          <w:ilvl w:val="0"/>
          <w:numId w:val="48"/>
        </w:numPr>
        <w:spacing w:after="200" w:line="276" w:lineRule="auto"/>
        <w:ind w:left="360"/>
        <w:contextualSpacing/>
        <w:rPr>
          <w:color w:val="000000"/>
          <w:szCs w:val="20"/>
        </w:rPr>
      </w:pPr>
      <w:r w:rsidRPr="008A5E9E">
        <w:rPr>
          <w:color w:val="000000"/>
          <w:szCs w:val="20"/>
        </w:rPr>
        <w:t>Outline gross impact evaluation methodology</w:t>
      </w:r>
    </w:p>
    <w:p w:rsidR="00496A99" w:rsidRPr="008A5E9E" w:rsidRDefault="00496A99" w:rsidP="00E646C9">
      <w:pPr>
        <w:numPr>
          <w:ilvl w:val="0"/>
          <w:numId w:val="48"/>
        </w:numPr>
        <w:spacing w:after="200" w:line="276" w:lineRule="auto"/>
        <w:ind w:left="360"/>
        <w:contextualSpacing/>
        <w:rPr>
          <w:color w:val="000000"/>
          <w:szCs w:val="20"/>
        </w:rPr>
      </w:pPr>
      <w:r w:rsidRPr="008A5E9E">
        <w:rPr>
          <w:color w:val="000000"/>
          <w:szCs w:val="20"/>
        </w:rPr>
        <w:t>Outline NTG analysis methodology</w:t>
      </w:r>
    </w:p>
    <w:p w:rsidR="00496A99" w:rsidRPr="008A5E9E" w:rsidRDefault="00496A99" w:rsidP="00E646C9">
      <w:pPr>
        <w:numPr>
          <w:ilvl w:val="0"/>
          <w:numId w:val="48"/>
        </w:numPr>
        <w:spacing w:after="200" w:line="276" w:lineRule="auto"/>
        <w:ind w:left="360"/>
        <w:contextualSpacing/>
        <w:rPr>
          <w:color w:val="000000"/>
          <w:szCs w:val="20"/>
        </w:rPr>
      </w:pPr>
      <w:r w:rsidRPr="008A5E9E">
        <w:rPr>
          <w:color w:val="000000"/>
          <w:szCs w:val="20"/>
        </w:rPr>
        <w:t>Outline process evaluation methodology</w:t>
      </w:r>
    </w:p>
    <w:p w:rsidR="00496A99" w:rsidRPr="008A5E9E" w:rsidRDefault="00496A99" w:rsidP="00E646C9">
      <w:pPr>
        <w:numPr>
          <w:ilvl w:val="0"/>
          <w:numId w:val="48"/>
        </w:numPr>
        <w:spacing w:after="200" w:line="276" w:lineRule="auto"/>
        <w:ind w:left="360"/>
        <w:contextualSpacing/>
        <w:rPr>
          <w:color w:val="000000"/>
          <w:szCs w:val="20"/>
        </w:rPr>
      </w:pPr>
      <w:r w:rsidRPr="008A5E9E">
        <w:rPr>
          <w:color w:val="000000"/>
          <w:szCs w:val="20"/>
        </w:rPr>
        <w:t>Outline cost-effectiveness evaluation methodology</w:t>
      </w:r>
    </w:p>
    <w:p w:rsidR="00496A99" w:rsidRPr="008A5E9E" w:rsidRDefault="00496A99" w:rsidP="00E646C9">
      <w:pPr>
        <w:numPr>
          <w:ilvl w:val="0"/>
          <w:numId w:val="48"/>
        </w:numPr>
        <w:spacing w:after="200" w:line="276" w:lineRule="auto"/>
        <w:ind w:left="360"/>
        <w:contextualSpacing/>
        <w:rPr>
          <w:color w:val="000000"/>
          <w:szCs w:val="20"/>
        </w:rPr>
      </w:pPr>
      <w:r w:rsidRPr="008A5E9E">
        <w:rPr>
          <w:color w:val="000000"/>
          <w:szCs w:val="20"/>
        </w:rPr>
        <w:t>Propose a time</w:t>
      </w:r>
      <w:r>
        <w:rPr>
          <w:color w:val="000000"/>
          <w:szCs w:val="20"/>
        </w:rPr>
        <w:t xml:space="preserve"> </w:t>
      </w:r>
      <w:r w:rsidRPr="008A5E9E">
        <w:rPr>
          <w:color w:val="000000"/>
          <w:szCs w:val="20"/>
        </w:rPr>
        <w:t>line of evaluation activities</w:t>
      </w:r>
    </w:p>
    <w:p w:rsidR="00496A99" w:rsidRPr="008A5E9E" w:rsidRDefault="00496A99" w:rsidP="00E646C9">
      <w:pPr>
        <w:numPr>
          <w:ilvl w:val="0"/>
          <w:numId w:val="48"/>
        </w:numPr>
        <w:ind w:left="360"/>
        <w:rPr>
          <w:color w:val="000000"/>
          <w:szCs w:val="20"/>
        </w:rPr>
      </w:pPr>
      <w:r w:rsidRPr="008A5E9E">
        <w:rPr>
          <w:color w:val="000000"/>
          <w:szCs w:val="20"/>
        </w:rPr>
        <w:lastRenderedPageBreak/>
        <w:t>Establish key program contacts</w:t>
      </w:r>
    </w:p>
    <w:p w:rsidR="00496A99" w:rsidRPr="00401F84" w:rsidRDefault="00496A99" w:rsidP="00496A99"/>
    <w:p w:rsidR="00496A99" w:rsidRDefault="00496A99" w:rsidP="00496A99">
      <w:r w:rsidRPr="009472F6">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496A99" w:rsidRDefault="00496A99" w:rsidP="00B023C7">
      <w:pPr>
        <w:pStyle w:val="bullettext"/>
        <w:spacing w:after="0"/>
      </w:pPr>
    </w:p>
    <w:p w:rsidR="00B023C7" w:rsidRDefault="00735BA9" w:rsidP="00B023C7">
      <w:pPr>
        <w:pStyle w:val="bullettext"/>
        <w:spacing w:after="0"/>
      </w:pPr>
      <w:r>
        <w:fldChar w:fldCharType="begin"/>
      </w:r>
      <w:r>
        <w:instrText xml:space="preserve"> REF _Ref472356018 \h </w:instrText>
      </w:r>
      <w:r>
        <w:fldChar w:fldCharType="separate"/>
      </w:r>
      <w:r w:rsidR="00C301D0">
        <w:t>Table A-</w:t>
      </w:r>
      <w:r w:rsidR="00C301D0">
        <w:rPr>
          <w:noProof/>
        </w:rPr>
        <w:t>6</w:t>
      </w:r>
      <w:r>
        <w:fldChar w:fldCharType="end"/>
      </w:r>
      <w:r w:rsidR="00B023C7">
        <w:t xml:space="preserve"> displays k</w:t>
      </w:r>
      <w:r w:rsidR="00B023C7" w:rsidRPr="009472F6">
        <w:t xml:space="preserve">ey milestones completed by </w:t>
      </w:r>
      <w:r w:rsidR="00B023C7">
        <w:t>Duquesne</w:t>
      </w:r>
      <w:r w:rsidR="00B023C7" w:rsidRPr="009472F6">
        <w:t xml:space="preserve"> and the SWE</w:t>
      </w:r>
      <w:r w:rsidR="00B023C7">
        <w:t xml:space="preserve"> for the company’s Phase II EM&amp;V Plan</w:t>
      </w:r>
      <w:r w:rsidR="00B023C7" w:rsidRPr="009472F6">
        <w:t>.</w:t>
      </w:r>
      <w:r w:rsidR="00B023C7" w:rsidRPr="00E517E5">
        <w:t xml:space="preserve"> Th</w:t>
      </w:r>
      <w:r w:rsidR="00B023C7">
        <w:t>e</w:t>
      </w:r>
      <w:r w:rsidR="00B023C7" w:rsidRPr="00E517E5">
        <w:t xml:space="preserve"> </w:t>
      </w:r>
      <w:r w:rsidR="00B023C7">
        <w:t>t</w:t>
      </w:r>
      <w:r w:rsidR="00B023C7" w:rsidRPr="00E517E5">
        <w:t>able shows all of the key milestones relating to the Duquesne Phase II EM&amp;V Plan that have occurred to date during Phase II</w:t>
      </w:r>
      <w:r w:rsidR="00B023C7">
        <w:t>,</w:t>
      </w:r>
      <w:r w:rsidR="00B023C7" w:rsidRPr="00E517E5">
        <w:t xml:space="preserve"> in order to provide a complete picture of the on-going refinement of this plan</w:t>
      </w:r>
      <w:r w:rsidR="00B023C7">
        <w:t>.</w:t>
      </w:r>
    </w:p>
    <w:p w:rsidR="00823FE0" w:rsidRPr="009472F6" w:rsidRDefault="00823FE0" w:rsidP="00B023C7">
      <w:pPr>
        <w:pStyle w:val="bullettext"/>
        <w:spacing w:after="0"/>
      </w:pPr>
    </w:p>
    <w:p w:rsidR="00B023C7" w:rsidRPr="009472F6" w:rsidRDefault="00735BA9" w:rsidP="00735BA9">
      <w:pPr>
        <w:pStyle w:val="Caption"/>
      </w:pPr>
      <w:bookmarkStart w:id="515" w:name="_Ref472356018"/>
      <w:bookmarkStart w:id="516" w:name="_Toc445206184"/>
      <w:bookmarkStart w:id="517" w:name="_Toc472472415"/>
      <w:bookmarkStart w:id="518" w:name="_Toc476842121"/>
      <w:r>
        <w:t>Table A-</w:t>
      </w:r>
      <w:fldSimple w:instr=" SEQ Table_A- \* ARABIC ">
        <w:r w:rsidR="00C301D0">
          <w:rPr>
            <w:noProof/>
          </w:rPr>
          <w:t>6</w:t>
        </w:r>
      </w:fldSimple>
      <w:bookmarkEnd w:id="515"/>
      <w:r w:rsidR="00B023C7" w:rsidRPr="009472F6">
        <w:t>: Key Milestones Reached for Duquesne’s Phase II EM&amp;V Plan</w:t>
      </w:r>
      <w:bookmarkEnd w:id="516"/>
      <w:bookmarkEnd w:id="517"/>
      <w:bookmarkEnd w:id="518"/>
    </w:p>
    <w:tbl>
      <w:tblPr>
        <w:tblW w:w="9360" w:type="dxa"/>
        <w:jc w:val="center"/>
        <w:tblLayout w:type="fixed"/>
        <w:tblLook w:val="04A0" w:firstRow="1" w:lastRow="0" w:firstColumn="1" w:lastColumn="0" w:noHBand="0" w:noVBand="1"/>
      </w:tblPr>
      <w:tblGrid>
        <w:gridCol w:w="2543"/>
        <w:gridCol w:w="6817"/>
      </w:tblGrid>
      <w:tr w:rsidR="00E7173E" w:rsidRPr="00DA7531" w:rsidTr="00BC615D">
        <w:trPr>
          <w:cantSplit/>
          <w:trHeight w:val="197"/>
          <w:tblHeader/>
          <w:jc w:val="center"/>
        </w:trPr>
        <w:tc>
          <w:tcPr>
            <w:tcW w:w="2543"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B023C7" w:rsidRPr="009472F6" w:rsidRDefault="00B023C7" w:rsidP="008C2D5E">
            <w:pPr>
              <w:jc w:val="left"/>
              <w:rPr>
                <w:b/>
                <w:bCs/>
                <w:color w:val="FFFFFF"/>
                <w:sz w:val="20"/>
                <w:szCs w:val="20"/>
              </w:rPr>
            </w:pPr>
            <w:r w:rsidRPr="009472F6">
              <w:rPr>
                <w:b/>
                <w:bCs/>
                <w:color w:val="FFFFFF"/>
                <w:sz w:val="20"/>
                <w:szCs w:val="20"/>
              </w:rPr>
              <w:t>Date</w:t>
            </w:r>
          </w:p>
        </w:tc>
        <w:tc>
          <w:tcPr>
            <w:tcW w:w="6817" w:type="dxa"/>
            <w:tcBorders>
              <w:top w:val="single" w:sz="4" w:space="0" w:color="448A99"/>
              <w:left w:val="nil"/>
              <w:bottom w:val="single" w:sz="4" w:space="0" w:color="448A99"/>
              <w:right w:val="single" w:sz="4" w:space="0" w:color="448A99"/>
            </w:tcBorders>
            <w:shd w:val="clear" w:color="000000" w:fill="448A99"/>
            <w:vAlign w:val="bottom"/>
          </w:tcPr>
          <w:p w:rsidR="00B023C7" w:rsidRPr="009472F6" w:rsidRDefault="00B023C7" w:rsidP="008C2D5E">
            <w:pPr>
              <w:jc w:val="left"/>
              <w:rPr>
                <w:b/>
                <w:bCs/>
                <w:color w:val="FFFFFF"/>
                <w:sz w:val="20"/>
                <w:szCs w:val="20"/>
              </w:rPr>
            </w:pPr>
            <w:r w:rsidRPr="009472F6">
              <w:rPr>
                <w:b/>
                <w:bCs/>
                <w:color w:val="FFFFFF"/>
                <w:sz w:val="20"/>
                <w:szCs w:val="20"/>
              </w:rPr>
              <w:t>Event</w:t>
            </w:r>
          </w:p>
        </w:tc>
      </w:tr>
      <w:tr w:rsidR="00E7173E" w:rsidRPr="00DA7531" w:rsidTr="00BC615D">
        <w:trPr>
          <w:trHeight w:val="488"/>
          <w:jc w:val="center"/>
        </w:trPr>
        <w:tc>
          <w:tcPr>
            <w:tcW w:w="2543" w:type="dxa"/>
            <w:tcBorders>
              <w:top w:val="nil"/>
              <w:left w:val="single" w:sz="4" w:space="0" w:color="448A99"/>
              <w:bottom w:val="single" w:sz="4" w:space="0" w:color="448A99"/>
              <w:right w:val="single" w:sz="4" w:space="0" w:color="448A99"/>
            </w:tcBorders>
            <w:shd w:val="clear" w:color="auto" w:fill="D2EAF1"/>
          </w:tcPr>
          <w:p w:rsidR="00B023C7" w:rsidRPr="004927F4" w:rsidRDefault="00B023C7" w:rsidP="008C2D5E">
            <w:pPr>
              <w:rPr>
                <w:bCs/>
                <w:color w:val="000000"/>
                <w:sz w:val="20"/>
                <w:szCs w:val="20"/>
              </w:rPr>
            </w:pPr>
            <w:r w:rsidRPr="004927F4">
              <w:rPr>
                <w:sz w:val="20"/>
                <w:szCs w:val="20"/>
              </w:rPr>
              <w:t>September 6, 2013</w:t>
            </w:r>
          </w:p>
        </w:tc>
        <w:tc>
          <w:tcPr>
            <w:tcW w:w="6817" w:type="dxa"/>
            <w:tcBorders>
              <w:top w:val="nil"/>
              <w:left w:val="nil"/>
              <w:bottom w:val="single" w:sz="4" w:space="0" w:color="448A99"/>
              <w:right w:val="single" w:sz="4" w:space="0" w:color="448A99"/>
            </w:tcBorders>
            <w:shd w:val="clear" w:color="auto" w:fill="D2EAF1"/>
          </w:tcPr>
          <w:p w:rsidR="00B023C7" w:rsidRPr="004927F4" w:rsidRDefault="00B023C7" w:rsidP="008C2D5E">
            <w:pPr>
              <w:jc w:val="left"/>
              <w:rPr>
                <w:color w:val="000000"/>
                <w:sz w:val="20"/>
                <w:szCs w:val="20"/>
              </w:rPr>
            </w:pPr>
            <w:r w:rsidRPr="004927F4">
              <w:rPr>
                <w:sz w:val="20"/>
                <w:szCs w:val="20"/>
              </w:rPr>
              <w:t xml:space="preserve">Duquesne submits first draft of Phase II </w:t>
            </w:r>
            <w:r>
              <w:rPr>
                <w:sz w:val="20"/>
                <w:szCs w:val="20"/>
              </w:rPr>
              <w:t>e</w:t>
            </w:r>
            <w:r w:rsidRPr="004927F4">
              <w:rPr>
                <w:sz w:val="20"/>
                <w:szCs w:val="20"/>
              </w:rPr>
              <w:t xml:space="preserve">valuation </w:t>
            </w:r>
            <w:r>
              <w:rPr>
                <w:sz w:val="20"/>
                <w:szCs w:val="20"/>
              </w:rPr>
              <w:t>p</w:t>
            </w:r>
            <w:r w:rsidRPr="004927F4">
              <w:rPr>
                <w:sz w:val="20"/>
                <w:szCs w:val="20"/>
              </w:rPr>
              <w:t>lan to the PUC and SWE</w:t>
            </w:r>
          </w:p>
        </w:tc>
      </w:tr>
      <w:tr w:rsidR="00E7173E" w:rsidRPr="00DA7531" w:rsidTr="00BC615D">
        <w:trPr>
          <w:trHeight w:val="488"/>
          <w:jc w:val="center"/>
        </w:trPr>
        <w:tc>
          <w:tcPr>
            <w:tcW w:w="2543" w:type="dxa"/>
            <w:tcBorders>
              <w:top w:val="nil"/>
              <w:left w:val="single" w:sz="4" w:space="0" w:color="448A99"/>
              <w:bottom w:val="single" w:sz="4" w:space="0" w:color="448A99"/>
              <w:right w:val="single" w:sz="4" w:space="0" w:color="448A99"/>
            </w:tcBorders>
            <w:shd w:val="clear" w:color="auto" w:fill="auto"/>
          </w:tcPr>
          <w:p w:rsidR="00B023C7" w:rsidRPr="004927F4" w:rsidRDefault="00B023C7" w:rsidP="008C2D5E">
            <w:pPr>
              <w:rPr>
                <w:bCs/>
                <w:color w:val="000000"/>
                <w:sz w:val="20"/>
                <w:szCs w:val="20"/>
                <w:lang w:eastAsia="zh-CN"/>
              </w:rPr>
            </w:pPr>
            <w:r w:rsidRPr="004927F4">
              <w:rPr>
                <w:sz w:val="20"/>
                <w:szCs w:val="20"/>
              </w:rPr>
              <w:t>October 13, 2013</w:t>
            </w:r>
          </w:p>
        </w:tc>
        <w:tc>
          <w:tcPr>
            <w:tcW w:w="6817" w:type="dxa"/>
            <w:tcBorders>
              <w:top w:val="nil"/>
              <w:left w:val="nil"/>
              <w:bottom w:val="single" w:sz="4" w:space="0" w:color="448A99"/>
              <w:right w:val="single" w:sz="4" w:space="0" w:color="448A99"/>
            </w:tcBorders>
            <w:shd w:val="clear" w:color="auto" w:fill="auto"/>
          </w:tcPr>
          <w:p w:rsidR="00B023C7" w:rsidRPr="004927F4" w:rsidRDefault="00B023C7" w:rsidP="008C2D5E">
            <w:pPr>
              <w:jc w:val="left"/>
              <w:rPr>
                <w:color w:val="000000"/>
                <w:sz w:val="20"/>
                <w:szCs w:val="20"/>
              </w:rPr>
            </w:pPr>
            <w:r w:rsidRPr="004927F4">
              <w:rPr>
                <w:sz w:val="20"/>
                <w:szCs w:val="20"/>
              </w:rPr>
              <w:t xml:space="preserve">SWE returns comments on the </w:t>
            </w:r>
            <w:r>
              <w:rPr>
                <w:sz w:val="20"/>
                <w:szCs w:val="20"/>
              </w:rPr>
              <w:t>Duquesne</w:t>
            </w:r>
            <w:r w:rsidRPr="004927F4">
              <w:rPr>
                <w:sz w:val="20"/>
                <w:szCs w:val="20"/>
              </w:rPr>
              <w:t xml:space="preserve"> </w:t>
            </w:r>
            <w:r>
              <w:rPr>
                <w:sz w:val="20"/>
                <w:szCs w:val="20"/>
              </w:rPr>
              <w:t>e</w:t>
            </w:r>
            <w:r w:rsidRPr="004927F4">
              <w:rPr>
                <w:sz w:val="20"/>
                <w:szCs w:val="20"/>
              </w:rPr>
              <w:t xml:space="preserve">valuation </w:t>
            </w:r>
            <w:r>
              <w:rPr>
                <w:sz w:val="20"/>
                <w:szCs w:val="20"/>
              </w:rPr>
              <w:t>p</w:t>
            </w:r>
            <w:r w:rsidRPr="004927F4">
              <w:rPr>
                <w:sz w:val="20"/>
                <w:szCs w:val="20"/>
              </w:rPr>
              <w:t xml:space="preserve">lan to </w:t>
            </w:r>
            <w:r w:rsidRPr="00C66A81">
              <w:rPr>
                <w:sz w:val="20"/>
                <w:szCs w:val="20"/>
              </w:rPr>
              <w:t>Duquesne</w:t>
            </w:r>
          </w:p>
        </w:tc>
      </w:tr>
      <w:tr w:rsidR="00E7173E" w:rsidRPr="00DA7531" w:rsidTr="00BC615D">
        <w:trPr>
          <w:trHeight w:val="488"/>
          <w:jc w:val="center"/>
        </w:trPr>
        <w:tc>
          <w:tcPr>
            <w:tcW w:w="2543" w:type="dxa"/>
            <w:tcBorders>
              <w:top w:val="nil"/>
              <w:left w:val="single" w:sz="4" w:space="0" w:color="448A99"/>
              <w:bottom w:val="single" w:sz="4" w:space="0" w:color="448A99"/>
              <w:right w:val="single" w:sz="4" w:space="0" w:color="448A99"/>
            </w:tcBorders>
            <w:shd w:val="clear" w:color="auto" w:fill="D2EAF1"/>
          </w:tcPr>
          <w:p w:rsidR="00B023C7" w:rsidRPr="004927F4" w:rsidRDefault="00B023C7" w:rsidP="008C2D5E">
            <w:pPr>
              <w:rPr>
                <w:bCs/>
                <w:color w:val="000000"/>
                <w:sz w:val="20"/>
                <w:szCs w:val="20"/>
                <w:lang w:eastAsia="zh-CN"/>
              </w:rPr>
            </w:pPr>
            <w:r w:rsidRPr="004927F4">
              <w:rPr>
                <w:sz w:val="20"/>
                <w:szCs w:val="20"/>
              </w:rPr>
              <w:t>November 13, 2013</w:t>
            </w:r>
          </w:p>
        </w:tc>
        <w:tc>
          <w:tcPr>
            <w:tcW w:w="6817" w:type="dxa"/>
            <w:tcBorders>
              <w:top w:val="nil"/>
              <w:left w:val="nil"/>
              <w:bottom w:val="single" w:sz="4" w:space="0" w:color="448A99"/>
              <w:right w:val="single" w:sz="4" w:space="0" w:color="448A99"/>
            </w:tcBorders>
            <w:shd w:val="clear" w:color="auto" w:fill="D2EAF1"/>
          </w:tcPr>
          <w:p w:rsidR="00B023C7" w:rsidRPr="004927F4" w:rsidRDefault="00B023C7" w:rsidP="008C2D5E">
            <w:pPr>
              <w:jc w:val="left"/>
              <w:rPr>
                <w:color w:val="000000"/>
                <w:sz w:val="20"/>
                <w:szCs w:val="20"/>
              </w:rPr>
            </w:pPr>
            <w:r w:rsidRPr="004927F4">
              <w:rPr>
                <w:sz w:val="20"/>
                <w:szCs w:val="20"/>
              </w:rPr>
              <w:t xml:space="preserve">SWE sends a list of “items that be must addressed” to </w:t>
            </w:r>
            <w:r w:rsidRPr="00C66A81">
              <w:rPr>
                <w:sz w:val="20"/>
                <w:szCs w:val="20"/>
              </w:rPr>
              <w:t>Duquesne</w:t>
            </w:r>
          </w:p>
        </w:tc>
      </w:tr>
      <w:tr w:rsidR="00E7173E" w:rsidRPr="00DA7531" w:rsidTr="00BC615D">
        <w:trPr>
          <w:trHeight w:val="488"/>
          <w:jc w:val="center"/>
        </w:trPr>
        <w:tc>
          <w:tcPr>
            <w:tcW w:w="2543" w:type="dxa"/>
            <w:tcBorders>
              <w:top w:val="nil"/>
              <w:left w:val="single" w:sz="4" w:space="0" w:color="448A99"/>
              <w:bottom w:val="single" w:sz="4" w:space="0" w:color="448A99"/>
              <w:right w:val="single" w:sz="4" w:space="0" w:color="448A99"/>
            </w:tcBorders>
            <w:shd w:val="clear" w:color="auto" w:fill="auto"/>
          </w:tcPr>
          <w:p w:rsidR="00B023C7" w:rsidRPr="004927F4" w:rsidRDefault="00B023C7" w:rsidP="008C2D5E">
            <w:pPr>
              <w:rPr>
                <w:bCs/>
                <w:color w:val="000000"/>
                <w:sz w:val="20"/>
                <w:szCs w:val="20"/>
                <w:lang w:eastAsia="zh-CN"/>
              </w:rPr>
            </w:pPr>
            <w:r w:rsidRPr="004927F4">
              <w:rPr>
                <w:sz w:val="20"/>
                <w:szCs w:val="20"/>
              </w:rPr>
              <w:t>December 31, 2013</w:t>
            </w:r>
          </w:p>
        </w:tc>
        <w:tc>
          <w:tcPr>
            <w:tcW w:w="6817" w:type="dxa"/>
            <w:tcBorders>
              <w:top w:val="nil"/>
              <w:left w:val="nil"/>
              <w:bottom w:val="single" w:sz="4" w:space="0" w:color="448A99"/>
              <w:right w:val="single" w:sz="4" w:space="0" w:color="448A99"/>
            </w:tcBorders>
            <w:shd w:val="clear" w:color="auto" w:fill="auto"/>
          </w:tcPr>
          <w:p w:rsidR="00B023C7" w:rsidRPr="004927F4" w:rsidRDefault="00B023C7" w:rsidP="008C2D5E">
            <w:pPr>
              <w:jc w:val="left"/>
              <w:rPr>
                <w:color w:val="000000"/>
                <w:sz w:val="20"/>
                <w:szCs w:val="20"/>
              </w:rPr>
            </w:pPr>
            <w:r w:rsidRPr="00C66A81">
              <w:rPr>
                <w:sz w:val="20"/>
                <w:szCs w:val="20"/>
              </w:rPr>
              <w:t>Duquesne</w:t>
            </w:r>
            <w:r w:rsidRPr="004927F4">
              <w:rPr>
                <w:sz w:val="20"/>
                <w:szCs w:val="20"/>
              </w:rPr>
              <w:t xml:space="preserve"> submits revised Phase II </w:t>
            </w:r>
            <w:r>
              <w:rPr>
                <w:sz w:val="20"/>
                <w:szCs w:val="20"/>
              </w:rPr>
              <w:t>e</w:t>
            </w:r>
            <w:r w:rsidRPr="004927F4">
              <w:rPr>
                <w:sz w:val="20"/>
                <w:szCs w:val="20"/>
              </w:rPr>
              <w:t xml:space="preserve">valuation </w:t>
            </w:r>
            <w:r>
              <w:rPr>
                <w:sz w:val="20"/>
                <w:szCs w:val="20"/>
              </w:rPr>
              <w:t>p</w:t>
            </w:r>
            <w:r w:rsidRPr="004927F4">
              <w:rPr>
                <w:sz w:val="20"/>
                <w:szCs w:val="20"/>
              </w:rPr>
              <w:t>lan to the PUC and SWE</w:t>
            </w:r>
          </w:p>
        </w:tc>
      </w:tr>
      <w:tr w:rsidR="00E7173E" w:rsidRPr="00DA7531" w:rsidTr="00BC615D">
        <w:trPr>
          <w:trHeight w:val="488"/>
          <w:jc w:val="center"/>
        </w:trPr>
        <w:tc>
          <w:tcPr>
            <w:tcW w:w="2543" w:type="dxa"/>
            <w:tcBorders>
              <w:top w:val="nil"/>
              <w:left w:val="single" w:sz="4" w:space="0" w:color="448A99"/>
              <w:bottom w:val="single" w:sz="4" w:space="0" w:color="448A99"/>
              <w:right w:val="single" w:sz="4" w:space="0" w:color="448A99"/>
            </w:tcBorders>
            <w:shd w:val="clear" w:color="auto" w:fill="D2EAF1"/>
          </w:tcPr>
          <w:p w:rsidR="00B023C7" w:rsidRPr="004927F4" w:rsidRDefault="00B023C7" w:rsidP="008C2D5E">
            <w:pPr>
              <w:rPr>
                <w:bCs/>
                <w:color w:val="000000"/>
                <w:sz w:val="20"/>
                <w:szCs w:val="20"/>
                <w:lang w:eastAsia="zh-CN"/>
              </w:rPr>
            </w:pPr>
            <w:r w:rsidRPr="004927F4">
              <w:rPr>
                <w:sz w:val="20"/>
                <w:szCs w:val="20"/>
              </w:rPr>
              <w:t>January 9, 2014</w:t>
            </w:r>
          </w:p>
        </w:tc>
        <w:tc>
          <w:tcPr>
            <w:tcW w:w="6817" w:type="dxa"/>
            <w:tcBorders>
              <w:top w:val="nil"/>
              <w:left w:val="nil"/>
              <w:bottom w:val="single" w:sz="4" w:space="0" w:color="448A99"/>
              <w:right w:val="single" w:sz="4" w:space="0" w:color="448A99"/>
            </w:tcBorders>
            <w:shd w:val="clear" w:color="auto" w:fill="D2EAF1"/>
          </w:tcPr>
          <w:p w:rsidR="00B023C7" w:rsidRPr="004927F4" w:rsidRDefault="00B023C7" w:rsidP="008C2D5E">
            <w:pPr>
              <w:jc w:val="left"/>
              <w:rPr>
                <w:color w:val="000000"/>
                <w:sz w:val="20"/>
                <w:szCs w:val="20"/>
              </w:rPr>
            </w:pPr>
            <w:r w:rsidRPr="00C66A81">
              <w:rPr>
                <w:sz w:val="20"/>
                <w:szCs w:val="20"/>
              </w:rPr>
              <w:t>Duquesne</w:t>
            </w:r>
            <w:r w:rsidRPr="004927F4">
              <w:rPr>
                <w:sz w:val="20"/>
                <w:szCs w:val="20"/>
              </w:rPr>
              <w:t xml:space="preserve"> submits revised table for the evaluation plan for the </w:t>
            </w:r>
            <w:r w:rsidRPr="00C66A81">
              <w:rPr>
                <w:sz w:val="20"/>
                <w:szCs w:val="20"/>
              </w:rPr>
              <w:t>Duquesne</w:t>
            </w:r>
            <w:r w:rsidRPr="004927F4">
              <w:rPr>
                <w:sz w:val="20"/>
                <w:szCs w:val="20"/>
              </w:rPr>
              <w:t xml:space="preserve"> </w:t>
            </w:r>
            <w:r>
              <w:rPr>
                <w:sz w:val="20"/>
                <w:szCs w:val="20"/>
              </w:rPr>
              <w:t>HER</w:t>
            </w:r>
            <w:r w:rsidRPr="004927F4">
              <w:rPr>
                <w:sz w:val="20"/>
                <w:szCs w:val="20"/>
              </w:rPr>
              <w:t xml:space="preserve"> Program</w:t>
            </w:r>
          </w:p>
        </w:tc>
      </w:tr>
      <w:tr w:rsidR="00E7173E" w:rsidRPr="00DA7531" w:rsidTr="00BC615D">
        <w:trPr>
          <w:trHeight w:val="488"/>
          <w:jc w:val="center"/>
        </w:trPr>
        <w:tc>
          <w:tcPr>
            <w:tcW w:w="2543" w:type="dxa"/>
            <w:tcBorders>
              <w:top w:val="nil"/>
              <w:left w:val="single" w:sz="4" w:space="0" w:color="448A99"/>
              <w:bottom w:val="single" w:sz="4" w:space="0" w:color="448A99"/>
              <w:right w:val="single" w:sz="4" w:space="0" w:color="448A99"/>
            </w:tcBorders>
            <w:shd w:val="clear" w:color="auto" w:fill="auto"/>
          </w:tcPr>
          <w:p w:rsidR="00B023C7" w:rsidRPr="004927F4" w:rsidRDefault="00B023C7" w:rsidP="008C2D5E">
            <w:pPr>
              <w:rPr>
                <w:bCs/>
                <w:color w:val="000000"/>
                <w:sz w:val="20"/>
                <w:szCs w:val="20"/>
              </w:rPr>
            </w:pPr>
            <w:r w:rsidRPr="004927F4">
              <w:rPr>
                <w:sz w:val="20"/>
                <w:szCs w:val="20"/>
              </w:rPr>
              <w:t>March 21, 2014</w:t>
            </w:r>
          </w:p>
        </w:tc>
        <w:tc>
          <w:tcPr>
            <w:tcW w:w="6817" w:type="dxa"/>
            <w:tcBorders>
              <w:top w:val="nil"/>
              <w:left w:val="nil"/>
              <w:bottom w:val="single" w:sz="4" w:space="0" w:color="448A99"/>
              <w:right w:val="single" w:sz="4" w:space="0" w:color="448A99"/>
            </w:tcBorders>
            <w:shd w:val="clear" w:color="auto" w:fill="auto"/>
          </w:tcPr>
          <w:p w:rsidR="00B023C7" w:rsidRPr="004927F4" w:rsidRDefault="00B023C7" w:rsidP="008C2D5E">
            <w:pPr>
              <w:jc w:val="left"/>
              <w:rPr>
                <w:color w:val="000000"/>
                <w:sz w:val="20"/>
                <w:szCs w:val="20"/>
              </w:rPr>
            </w:pPr>
            <w:r w:rsidRPr="004927F4">
              <w:rPr>
                <w:sz w:val="20"/>
                <w:szCs w:val="20"/>
              </w:rPr>
              <w:t xml:space="preserve">SWE confirms that </w:t>
            </w:r>
            <w:r w:rsidRPr="00C66A81">
              <w:rPr>
                <w:sz w:val="20"/>
                <w:szCs w:val="20"/>
              </w:rPr>
              <w:t>Duquesne</w:t>
            </w:r>
            <w:r w:rsidRPr="004927F4">
              <w:rPr>
                <w:sz w:val="20"/>
                <w:szCs w:val="20"/>
              </w:rPr>
              <w:t xml:space="preserve">’s final Phase II </w:t>
            </w:r>
            <w:r>
              <w:rPr>
                <w:sz w:val="20"/>
                <w:szCs w:val="20"/>
              </w:rPr>
              <w:t>e</w:t>
            </w:r>
            <w:r w:rsidRPr="004927F4">
              <w:rPr>
                <w:sz w:val="20"/>
                <w:szCs w:val="20"/>
              </w:rPr>
              <w:t xml:space="preserve">valuation </w:t>
            </w:r>
            <w:r>
              <w:rPr>
                <w:sz w:val="20"/>
                <w:szCs w:val="20"/>
              </w:rPr>
              <w:t>p</w:t>
            </w:r>
            <w:r w:rsidRPr="004927F4">
              <w:rPr>
                <w:sz w:val="20"/>
                <w:szCs w:val="20"/>
              </w:rPr>
              <w:t>lan is approved by the SWE</w:t>
            </w:r>
          </w:p>
        </w:tc>
      </w:tr>
      <w:tr w:rsidR="00E7173E" w:rsidRPr="00DA7531" w:rsidTr="00BC615D">
        <w:trPr>
          <w:trHeight w:val="488"/>
          <w:jc w:val="center"/>
        </w:trPr>
        <w:tc>
          <w:tcPr>
            <w:tcW w:w="2543" w:type="dxa"/>
            <w:tcBorders>
              <w:top w:val="nil"/>
              <w:left w:val="single" w:sz="4" w:space="0" w:color="448A99"/>
              <w:bottom w:val="single" w:sz="8" w:space="0" w:color="448A99"/>
              <w:right w:val="single" w:sz="4" w:space="0" w:color="448A99"/>
            </w:tcBorders>
            <w:shd w:val="clear" w:color="auto" w:fill="D2EAF1"/>
          </w:tcPr>
          <w:p w:rsidR="00B023C7" w:rsidRPr="004927F4" w:rsidRDefault="00B023C7" w:rsidP="008C2D5E">
            <w:pPr>
              <w:rPr>
                <w:bCs/>
                <w:color w:val="000000"/>
                <w:sz w:val="20"/>
                <w:szCs w:val="20"/>
              </w:rPr>
            </w:pPr>
            <w:r w:rsidRPr="004927F4">
              <w:rPr>
                <w:sz w:val="20"/>
                <w:szCs w:val="20"/>
              </w:rPr>
              <w:t>June 1, 2014</w:t>
            </w:r>
          </w:p>
        </w:tc>
        <w:tc>
          <w:tcPr>
            <w:tcW w:w="6817" w:type="dxa"/>
            <w:tcBorders>
              <w:top w:val="nil"/>
              <w:left w:val="nil"/>
              <w:bottom w:val="single" w:sz="8" w:space="0" w:color="448A99"/>
              <w:right w:val="single" w:sz="4" w:space="0" w:color="448A99"/>
            </w:tcBorders>
            <w:shd w:val="clear" w:color="auto" w:fill="D2EAF1"/>
          </w:tcPr>
          <w:p w:rsidR="00B023C7" w:rsidRPr="004927F4" w:rsidRDefault="00B023C7" w:rsidP="008C2D5E">
            <w:pPr>
              <w:jc w:val="left"/>
              <w:rPr>
                <w:color w:val="000000"/>
                <w:sz w:val="20"/>
                <w:szCs w:val="20"/>
              </w:rPr>
            </w:pPr>
            <w:r>
              <w:rPr>
                <w:sz w:val="20"/>
                <w:szCs w:val="20"/>
              </w:rPr>
              <w:t>PY</w:t>
            </w:r>
            <w:r w:rsidRPr="004927F4">
              <w:rPr>
                <w:sz w:val="20"/>
                <w:szCs w:val="20"/>
              </w:rPr>
              <w:t>6 starts</w:t>
            </w:r>
          </w:p>
        </w:tc>
      </w:tr>
      <w:tr w:rsidR="00E7173E" w:rsidRPr="00DA7531" w:rsidTr="00BC615D">
        <w:trPr>
          <w:trHeight w:val="489"/>
          <w:jc w:val="center"/>
        </w:trPr>
        <w:tc>
          <w:tcPr>
            <w:tcW w:w="2543" w:type="dxa"/>
            <w:tcBorders>
              <w:top w:val="single" w:sz="8" w:space="0" w:color="448A99"/>
              <w:left w:val="single" w:sz="4" w:space="0" w:color="448A99"/>
              <w:bottom w:val="single" w:sz="4" w:space="0" w:color="448A99"/>
              <w:right w:val="single" w:sz="4" w:space="0" w:color="448A99"/>
            </w:tcBorders>
            <w:shd w:val="clear" w:color="auto" w:fill="FFFFFF"/>
          </w:tcPr>
          <w:p w:rsidR="00B023C7" w:rsidRPr="00DA7531" w:rsidRDefault="00B023C7" w:rsidP="008C2D5E">
            <w:pPr>
              <w:rPr>
                <w:sz w:val="20"/>
                <w:szCs w:val="20"/>
                <w:highlight w:val="cyan"/>
              </w:rPr>
            </w:pPr>
            <w:r w:rsidRPr="004927F4">
              <w:rPr>
                <w:sz w:val="20"/>
                <w:szCs w:val="20"/>
              </w:rPr>
              <w:t>July 21, 2015</w:t>
            </w:r>
          </w:p>
        </w:tc>
        <w:tc>
          <w:tcPr>
            <w:tcW w:w="6817" w:type="dxa"/>
            <w:tcBorders>
              <w:top w:val="single" w:sz="8" w:space="0" w:color="448A99"/>
              <w:left w:val="nil"/>
              <w:bottom w:val="single" w:sz="4" w:space="0" w:color="448A99"/>
              <w:right w:val="single" w:sz="4" w:space="0" w:color="448A99"/>
            </w:tcBorders>
            <w:shd w:val="clear" w:color="auto" w:fill="FFFFFF"/>
          </w:tcPr>
          <w:p w:rsidR="00B023C7" w:rsidRPr="00DA7531" w:rsidRDefault="00B023C7" w:rsidP="008C2D5E">
            <w:pPr>
              <w:jc w:val="left"/>
              <w:rPr>
                <w:sz w:val="20"/>
                <w:szCs w:val="20"/>
                <w:highlight w:val="cyan"/>
              </w:rPr>
            </w:pPr>
            <w:r w:rsidRPr="008A5E9E">
              <w:rPr>
                <w:color w:val="000000"/>
                <w:sz w:val="20"/>
              </w:rPr>
              <w:t xml:space="preserve">Duquesne submits revisions to Duquesne PY6 EM&amp;V </w:t>
            </w:r>
            <w:r w:rsidRPr="008A5E9E">
              <w:rPr>
                <w:color w:val="000000"/>
                <w:sz w:val="20"/>
                <w:szCs w:val="20"/>
              </w:rPr>
              <w:t>Plan</w:t>
            </w:r>
          </w:p>
        </w:tc>
      </w:tr>
    </w:tbl>
    <w:p w:rsidR="00B023C7" w:rsidRPr="00401F84" w:rsidRDefault="00B023C7" w:rsidP="00B023C7"/>
    <w:p w:rsidR="00B023C7" w:rsidRDefault="00B023C7" w:rsidP="00B023C7">
      <w:pPr>
        <w:pStyle w:val="bullettext"/>
        <w:spacing w:after="0"/>
      </w:pPr>
      <w:r w:rsidRPr="004927F4">
        <w:t xml:space="preserve">Duquesne’s draft EM&amp;V Plan, submitted September 6, 2013, provided proposed evaluation objectives and ongoing evaluation activities for all of </w:t>
      </w:r>
      <w:r>
        <w:t>Duquesne’s</w:t>
      </w:r>
      <w:r w:rsidRPr="004927F4">
        <w:t xml:space="preserve"> programs. The plan presented key evaluation issues, impact evaluation details, process evaluation details, sampling plans, and key contacts for each of Duquesne’s programs. The SWE Team reviewed the plan and submitted comments on </w:t>
      </w:r>
      <w:r>
        <w:t>it</w:t>
      </w:r>
      <w:r w:rsidRPr="004927F4">
        <w:t xml:space="preserve"> to Duquesne. Substantive recommendations for revisions to the plan were limited to a series of common tasks. The SWE’s comments </w:t>
      </w:r>
      <w:r>
        <w:t>were</w:t>
      </w:r>
      <w:r w:rsidRPr="004927F4">
        <w:t xml:space="preserve"> summarized in the SWE</w:t>
      </w:r>
      <w:r>
        <w:t>’s</w:t>
      </w:r>
      <w:r w:rsidRPr="004927F4">
        <w:t xml:space="preserve"> PY5 </w:t>
      </w:r>
      <w:r>
        <w:t>a</w:t>
      </w:r>
      <w:r w:rsidRPr="004927F4">
        <w:t xml:space="preserve">nnual </w:t>
      </w:r>
      <w:r>
        <w:t>r</w:t>
      </w:r>
      <w:r w:rsidRPr="004927F4">
        <w:t>eport to the PUC. The revisions to the Duquesne</w:t>
      </w:r>
      <w:r w:rsidRPr="004927F4" w:rsidDel="00FA31D8">
        <w:t xml:space="preserve"> </w:t>
      </w:r>
      <w:r w:rsidRPr="004927F4">
        <w:t xml:space="preserve">evaluation plan </w:t>
      </w:r>
      <w:r>
        <w:t xml:space="preserve">that were </w:t>
      </w:r>
      <w:r w:rsidRPr="004927F4">
        <w:t>p</w:t>
      </w:r>
      <w:r w:rsidRPr="008A5E9E">
        <w:rPr>
          <w:color w:val="000000"/>
        </w:rPr>
        <w:t xml:space="preserve">rovided by the company on December 31, 2013 and January 9, 2014 were </w:t>
      </w:r>
      <w:r w:rsidRPr="00306EB2">
        <w:t xml:space="preserve">approved by the SWE Team.  </w:t>
      </w:r>
    </w:p>
    <w:p w:rsidR="00B023C7" w:rsidRPr="00306EB2" w:rsidRDefault="00B023C7" w:rsidP="00B023C7">
      <w:pPr>
        <w:pStyle w:val="bullettext"/>
        <w:spacing w:after="0"/>
      </w:pPr>
    </w:p>
    <w:p w:rsidR="00B023C7" w:rsidRDefault="00B023C7" w:rsidP="00B023C7">
      <w:pPr>
        <w:spacing w:after="120"/>
      </w:pPr>
      <w:r>
        <w:t>Duquesne made three clarifications to its evaluation plan for PY6. The three clarifications were not formally submitted until PY6 had concluded, but they are mentioned here because of their relevance to the evaluation of PY6 program activity:</w:t>
      </w:r>
    </w:p>
    <w:p w:rsidR="00B023C7" w:rsidRPr="00C67FD0" w:rsidRDefault="00B023C7" w:rsidP="00D405A7">
      <w:pPr>
        <w:pStyle w:val="ListParagraph"/>
        <w:numPr>
          <w:ilvl w:val="0"/>
          <w:numId w:val="24"/>
        </w:numPr>
        <w:spacing w:after="120"/>
        <w:ind w:left="360"/>
        <w:contextualSpacing w:val="0"/>
      </w:pPr>
      <w:r w:rsidRPr="00C67FD0">
        <w:t xml:space="preserve">Duquesne </w:t>
      </w:r>
      <w:r w:rsidRPr="00387E3E">
        <w:t xml:space="preserve">clarified to the SWE that the </w:t>
      </w:r>
      <w:r>
        <w:t>c</w:t>
      </w:r>
      <w:r w:rsidRPr="00387E3E">
        <w:t xml:space="preserve">ompany’s </w:t>
      </w:r>
      <w:r w:rsidRPr="00C67FD0">
        <w:t xml:space="preserve">C/I programs </w:t>
      </w:r>
      <w:r>
        <w:t>are</w:t>
      </w:r>
      <w:r w:rsidRPr="00C67FD0">
        <w:t xml:space="preserve"> grouped into </w:t>
      </w:r>
      <w:r>
        <w:t>three</w:t>
      </w:r>
      <w:r w:rsidRPr="00C67FD0">
        <w:t xml:space="preserve"> non-residential </w:t>
      </w:r>
      <w:r>
        <w:t>program groups (within two</w:t>
      </w:r>
      <w:r w:rsidRPr="00C67FD0">
        <w:t xml:space="preserve"> non-residential</w:t>
      </w:r>
      <w:r>
        <w:t>-</w:t>
      </w:r>
      <w:r w:rsidRPr="00C67FD0">
        <w:t>sector market segment</w:t>
      </w:r>
      <w:r>
        <w:t>s)</w:t>
      </w:r>
      <w:r w:rsidRPr="00C67FD0">
        <w:t xml:space="preserve"> based on shared </w:t>
      </w:r>
      <w:r w:rsidRPr="00C67FD0">
        <w:lastRenderedPageBreak/>
        <w:t>characteristics. The</w:t>
      </w:r>
      <w:r>
        <w:t>se</w:t>
      </w:r>
      <w:r w:rsidRPr="00C67FD0">
        <w:t xml:space="preserve"> groups</w:t>
      </w:r>
      <w:r>
        <w:t xml:space="preserve">, which </w:t>
      </w:r>
      <w:r w:rsidRPr="00387E3E">
        <w:t>have existed since Phase I of Act 129</w:t>
      </w:r>
      <w:r>
        <w:t>,</w:t>
      </w:r>
      <w:r w:rsidRPr="00C67FD0">
        <w:t xml:space="preserve"> are the Commercial Program Group, GNI Program Group, and Industrial Program Group.</w:t>
      </w:r>
      <w:r w:rsidRPr="00387E3E">
        <w:rPr>
          <w:szCs w:val="22"/>
        </w:rPr>
        <w:t xml:space="preserve"> </w:t>
      </w:r>
      <w:r w:rsidRPr="00C67FD0">
        <w:t xml:space="preserve">Each program group includes multiple subprograms. All programs have the same incentives and measures. The differences among programs are marketing channel and approach. </w:t>
      </w:r>
    </w:p>
    <w:p w:rsidR="00B023C7" w:rsidRDefault="00B023C7" w:rsidP="00D405A7">
      <w:pPr>
        <w:pStyle w:val="ListParagraph"/>
        <w:numPr>
          <w:ilvl w:val="0"/>
          <w:numId w:val="24"/>
        </w:numPr>
        <w:spacing w:after="120"/>
        <w:ind w:left="360"/>
        <w:contextualSpacing w:val="0"/>
      </w:pPr>
      <w:r w:rsidRPr="00C67FD0">
        <w:t xml:space="preserve">Duquesne </w:t>
      </w:r>
      <w:r>
        <w:t>clarified information about</w:t>
      </w:r>
      <w:r w:rsidRPr="00C67FD0">
        <w:t xml:space="preserve"> two new Act 129 programs: </w:t>
      </w:r>
      <w:r w:rsidR="00D9014E" w:rsidRPr="00C67FD0">
        <w:t>The</w:t>
      </w:r>
      <w:r w:rsidRPr="00C67FD0">
        <w:t xml:space="preserve"> Small Commercial Direct Install Program and the Multifamily Housing Retrofit Program</w:t>
      </w:r>
      <w:r>
        <w:t>.</w:t>
      </w:r>
      <w:r w:rsidRPr="00387E3E">
        <w:rPr>
          <w:szCs w:val="22"/>
        </w:rPr>
        <w:t xml:space="preserve"> </w:t>
      </w:r>
      <w:r>
        <w:rPr>
          <w:szCs w:val="22"/>
        </w:rPr>
        <w:t>Duquesne</w:t>
      </w:r>
      <w:r w:rsidRPr="00387E3E">
        <w:rPr>
          <w:szCs w:val="22"/>
        </w:rPr>
        <w:t xml:space="preserve"> </w:t>
      </w:r>
      <w:r w:rsidRPr="00387E3E">
        <w:t>explain</w:t>
      </w:r>
      <w:r>
        <w:t>ed</w:t>
      </w:r>
      <w:r w:rsidRPr="00387E3E">
        <w:t xml:space="preserve"> that </w:t>
      </w:r>
      <w:r>
        <w:t>its</w:t>
      </w:r>
      <w:r w:rsidRPr="00387E3E">
        <w:t xml:space="preserve"> PY6 evaluation plan indicated that these two new programs would be evaluated after the programs were launched</w:t>
      </w:r>
      <w:r w:rsidRPr="00C67FD0">
        <w:t>.</w:t>
      </w:r>
    </w:p>
    <w:p w:rsidR="00B023C7" w:rsidRDefault="00B023C7" w:rsidP="00D405A7">
      <w:pPr>
        <w:pStyle w:val="ListParagraph"/>
        <w:numPr>
          <w:ilvl w:val="0"/>
          <w:numId w:val="24"/>
        </w:numPr>
        <w:ind w:left="360"/>
        <w:contextualSpacing w:val="0"/>
      </w:pPr>
      <w:r w:rsidRPr="00387E3E">
        <w:t xml:space="preserve">Duquesne clarified to the SWE that </w:t>
      </w:r>
      <w:r>
        <w:t>s</w:t>
      </w:r>
      <w:r w:rsidRPr="00BA7A87">
        <w:t xml:space="preserve">ampling for the Commercial and GNI </w:t>
      </w:r>
      <w:r>
        <w:t>p</w:t>
      </w:r>
      <w:r w:rsidRPr="00BA7A87">
        <w:t xml:space="preserve">rogram </w:t>
      </w:r>
      <w:r w:rsidR="00A77C59">
        <w:t>g</w:t>
      </w:r>
      <w:r w:rsidR="00A77C59" w:rsidRPr="00BA7A87">
        <w:t>roup’s</w:t>
      </w:r>
      <w:r w:rsidRPr="00BA7A87">
        <w:t xml:space="preserve"> project verification will be at the project level. </w:t>
      </w:r>
      <w:r w:rsidRPr="00387E3E">
        <w:t xml:space="preserve">The </w:t>
      </w:r>
      <w:r>
        <w:t>c</w:t>
      </w:r>
      <w:r w:rsidRPr="00387E3E">
        <w:t xml:space="preserve">ompany clarified that </w:t>
      </w:r>
      <w:r>
        <w:t>s</w:t>
      </w:r>
      <w:r w:rsidRPr="00BA7A87">
        <w:t>ampling for the Industrial Program Group will be at the measure level. This sampling was implemented successfully for PY5 and was repeated for PY6. Non-residential sampling include</w:t>
      </w:r>
      <w:r>
        <w:t>d</w:t>
      </w:r>
      <w:r w:rsidRPr="00BA7A87">
        <w:t xml:space="preserve"> stratification based on expected energy savings from PY5. </w:t>
      </w:r>
      <w:r w:rsidRPr="00387E3E">
        <w:t>In July 2015 Duquesne clarified to the SWE the sampling plan for the Industrial Program Group</w:t>
      </w:r>
      <w:r>
        <w:t>.</w:t>
      </w:r>
    </w:p>
    <w:p w:rsidR="00B023C7" w:rsidRDefault="00B023C7" w:rsidP="0017534C">
      <w:pPr>
        <w:jc w:val="left"/>
      </w:pPr>
    </w:p>
    <w:p w:rsidR="00950837" w:rsidRDefault="00950837" w:rsidP="00C32A57">
      <w:pPr>
        <w:pStyle w:val="AppendixAHeading3"/>
      </w:pPr>
      <w:r>
        <w:t>Measurement and Verification Activities and Findings</w:t>
      </w:r>
    </w:p>
    <w:p w:rsidR="0001310B" w:rsidRPr="00990EAD" w:rsidRDefault="0001310B" w:rsidP="0001310B">
      <w:pPr>
        <w:pStyle w:val="bullettext"/>
      </w:pPr>
      <w:r w:rsidRPr="0089522D">
        <w:t xml:space="preserve">By the end of PY7, Duquesne had achieved </w:t>
      </w:r>
      <w:r w:rsidR="00686718" w:rsidRPr="0089522D">
        <w:t>13</w:t>
      </w:r>
      <w:r w:rsidR="00A04A88">
        <w:t>6</w:t>
      </w:r>
      <w:r w:rsidR="00686718" w:rsidRPr="0089522D">
        <w:t xml:space="preserve">% </w:t>
      </w:r>
      <w:r w:rsidRPr="0089522D">
        <w:t xml:space="preserve">of its total Phase II energy savings compliance target, based on aggregated verified </w:t>
      </w:r>
      <w:r>
        <w:t xml:space="preserve">Phase II </w:t>
      </w:r>
      <w:r w:rsidRPr="0089522D">
        <w:t xml:space="preserve">savings, and </w:t>
      </w:r>
      <w:r w:rsidR="009B0A5A" w:rsidRPr="0089522D">
        <w:t>18</w:t>
      </w:r>
      <w:r w:rsidR="009B0A5A">
        <w:t>5</w:t>
      </w:r>
      <w:r w:rsidRPr="0089522D">
        <w:t xml:space="preserve">% of </w:t>
      </w:r>
      <w:r>
        <w:t xml:space="preserve">its </w:t>
      </w:r>
      <w:r w:rsidRPr="0089522D">
        <w:t xml:space="preserve">energy savings compliance target </w:t>
      </w:r>
      <w:r>
        <w:t xml:space="preserve">if </w:t>
      </w:r>
      <w:r w:rsidRPr="0089522D">
        <w:t>the Phase I carryover savings</w:t>
      </w:r>
      <w:r>
        <w:t xml:space="preserve"> are included</w:t>
      </w:r>
      <w:r w:rsidRPr="0089522D">
        <w:t>. Realization rates compare gross savings</w:t>
      </w:r>
      <w:r w:rsidRPr="00990EAD">
        <w:t xml:space="preserve"> reported by the EDC </w:t>
      </w:r>
      <w:r w:rsidR="00686718">
        <w:t>with</w:t>
      </w:r>
      <w:r w:rsidRPr="00990EAD">
        <w:t xml:space="preserve"> the verified gross savings determined by the EDC evaluation contractor through M&amp;V activities. The calculation for realization rate is:</w:t>
      </w:r>
    </w:p>
    <w:p w:rsidR="0001310B" w:rsidRPr="0003720B" w:rsidRDefault="0001310B" w:rsidP="0001310B">
      <w:pPr>
        <w:jc w:val="center"/>
      </w:pPr>
      <m:oMathPara>
        <m:oMathParaPr>
          <m:jc m:val="center"/>
        </m:oMathParaPr>
        <m:oMath>
          <m:r>
            <w:rPr>
              <w:rFonts w:ascii="Cambria Math" w:hAnsi="Cambria Math"/>
            </w:rPr>
            <m:t>Realization Rate=</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Verified Savings</m:t>
                  </m:r>
                </m:e>
              </m:nary>
            </m:num>
            <m:den>
              <m:nary>
                <m:naryPr>
                  <m:chr m:val="∑"/>
                  <m:limLoc m:val="undOvr"/>
                  <m:subHide m:val="1"/>
                  <m:supHide m:val="1"/>
                  <m:ctrlPr>
                    <w:rPr>
                      <w:rFonts w:ascii="Cambria Math" w:hAnsi="Cambria Math"/>
                      <w:i/>
                    </w:rPr>
                  </m:ctrlPr>
                </m:naryPr>
                <m:sub/>
                <m:sup/>
                <m:e>
                  <m:r>
                    <w:rPr>
                      <w:rFonts w:ascii="Cambria Math" w:hAnsi="Cambria Math"/>
                    </w:rPr>
                    <m:t>Reported Savings</m:t>
                  </m:r>
                </m:e>
              </m:nary>
            </m:den>
          </m:f>
        </m:oMath>
      </m:oMathPara>
    </w:p>
    <w:p w:rsidR="0001310B" w:rsidRPr="008A5E9E" w:rsidRDefault="0001310B" w:rsidP="0001310B">
      <w:pPr>
        <w:rPr>
          <w:highlight w:val="lightGray"/>
        </w:rPr>
      </w:pPr>
    </w:p>
    <w:p w:rsidR="0001310B" w:rsidRDefault="0001310B" w:rsidP="0001310B">
      <w:r w:rsidRPr="00990EAD">
        <w:t>Realization rates are calculated based on a census of all program participants or on a sample of program participants and applied to all program participants. A realization rate of 100% indicates that the EDC’s evaluation contractor was able to verify all savings reported by the EDC. A realization rate of less than 100% indicates that reported savings were overestimated</w:t>
      </w:r>
      <w:r>
        <w:t>. A</w:t>
      </w:r>
      <w:r w:rsidRPr="00990EAD">
        <w:t xml:space="preserve"> realization rate of more than 100% indicates that reported savings were underestimated.</w:t>
      </w:r>
    </w:p>
    <w:p w:rsidR="0001310B" w:rsidRDefault="0001310B" w:rsidP="0001310B"/>
    <w:p w:rsidR="0001310B" w:rsidRDefault="00A07AB2" w:rsidP="0001310B">
      <w:r>
        <w:fldChar w:fldCharType="begin"/>
      </w:r>
      <w:r>
        <w:instrText xml:space="preserve"> REF _Ref473714331 \h </w:instrText>
      </w:r>
      <w:r>
        <w:fldChar w:fldCharType="separate"/>
      </w:r>
      <w:r w:rsidR="00C301D0">
        <w:t>Table A-</w:t>
      </w:r>
      <w:r w:rsidR="00C301D0">
        <w:rPr>
          <w:noProof/>
        </w:rPr>
        <w:t>7</w:t>
      </w:r>
      <w:r>
        <w:fldChar w:fldCharType="end"/>
      </w:r>
      <w:r>
        <w:t xml:space="preserve"> </w:t>
      </w:r>
      <w:r w:rsidR="0001310B">
        <w:t>summarizes</w:t>
      </w:r>
      <w:r w:rsidR="0001310B" w:rsidRPr="00804CA3">
        <w:t xml:space="preserve"> the realization rates</w:t>
      </w:r>
      <w:r w:rsidR="0001310B">
        <w:t>, and associated precision estimates,</w:t>
      </w:r>
      <w:r w:rsidR="0001310B" w:rsidRPr="00804CA3">
        <w:t xml:space="preserve"> for energy and demand savings for each of Duquesne’s </w:t>
      </w:r>
      <w:r w:rsidR="0001310B">
        <w:t>energy efficiency programs in PY7. The realization rates and precision estimates are</w:t>
      </w:r>
      <w:r w:rsidR="0001310B" w:rsidRPr="00804CA3">
        <w:t xml:space="preserve"> based on activities conducted by Navigant</w:t>
      </w:r>
      <w:r w:rsidR="0001310B">
        <w:t>,</w:t>
      </w:r>
      <w:r w:rsidR="0001310B" w:rsidRPr="00804CA3">
        <w:t xml:space="preserve"> on details provided in Duquesne’s </w:t>
      </w:r>
      <w:r w:rsidR="0001310B">
        <w:t>PY7</w:t>
      </w:r>
      <w:r w:rsidR="0001310B" w:rsidRPr="00804CA3">
        <w:t xml:space="preserve"> </w:t>
      </w:r>
      <w:r w:rsidR="0001310B">
        <w:t>a</w:t>
      </w:r>
      <w:r w:rsidR="0001310B" w:rsidRPr="00804CA3">
        <w:t xml:space="preserve">nnual </w:t>
      </w:r>
      <w:r w:rsidR="0001310B">
        <w:t>r</w:t>
      </w:r>
      <w:r w:rsidR="0001310B" w:rsidRPr="00804CA3">
        <w:t xml:space="preserve">eport, and on information obtained from the SWE </w:t>
      </w:r>
      <w:r w:rsidR="00DD49B2">
        <w:t>Team’s data requests and audit.</w:t>
      </w:r>
    </w:p>
    <w:p w:rsidR="009349F1" w:rsidRDefault="009349F1" w:rsidP="008B45A8">
      <w:pPr>
        <w:pStyle w:val="Caption"/>
      </w:pPr>
      <w:bookmarkStart w:id="519" w:name="_Ref472362937"/>
      <w:bookmarkStart w:id="520" w:name="_Toc472472416"/>
    </w:p>
    <w:p w:rsidR="008B45A8" w:rsidRPr="009472F6" w:rsidRDefault="008B45A8" w:rsidP="008B45A8">
      <w:pPr>
        <w:pStyle w:val="Caption"/>
      </w:pPr>
      <w:bookmarkStart w:id="521" w:name="_Ref473714331"/>
      <w:bookmarkStart w:id="522" w:name="_Toc476842122"/>
      <w:r>
        <w:t>Table A-</w:t>
      </w:r>
      <w:fldSimple w:instr=" SEQ Table_A- \* ARABIC ">
        <w:r w:rsidR="00C301D0">
          <w:rPr>
            <w:noProof/>
          </w:rPr>
          <w:t>7</w:t>
        </w:r>
      </w:fldSimple>
      <w:bookmarkEnd w:id="519"/>
      <w:bookmarkEnd w:id="521"/>
      <w:r w:rsidRPr="009472F6">
        <w:t xml:space="preserve">: </w:t>
      </w:r>
      <w:r>
        <w:t xml:space="preserve">Duquesne Energy Efficiency Programs – Realization Rates for Energy and </w:t>
      </w:r>
      <w:r w:rsidR="0001310B" w:rsidRPr="00804CA3">
        <w:t>Demand Savings</w:t>
      </w:r>
      <w:r w:rsidR="0001310B">
        <w:t xml:space="preserve"> in PY7</w:t>
      </w:r>
      <w:bookmarkEnd w:id="520"/>
      <w:bookmarkEnd w:id="522"/>
    </w:p>
    <w:tbl>
      <w:tblPr>
        <w:tblW w:w="9355" w:type="dxa"/>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4348"/>
        <w:gridCol w:w="1251"/>
        <w:gridCol w:w="1252"/>
        <w:gridCol w:w="1252"/>
        <w:gridCol w:w="1252"/>
      </w:tblGrid>
      <w:tr w:rsidR="00A874AC" w:rsidRPr="00A77CF0" w:rsidTr="005D6981">
        <w:trPr>
          <w:cantSplit/>
          <w:trHeight w:val="615"/>
          <w:tblHeader/>
        </w:trPr>
        <w:tc>
          <w:tcPr>
            <w:tcW w:w="4348" w:type="dxa"/>
            <w:shd w:val="clear" w:color="000000" w:fill="448A99"/>
            <w:vAlign w:val="bottom"/>
            <w:hideMark/>
          </w:tcPr>
          <w:p w:rsidR="0001310B" w:rsidRPr="008A5E9E" w:rsidRDefault="0001310B" w:rsidP="00AC55E9">
            <w:pPr>
              <w:jc w:val="left"/>
              <w:rPr>
                <w:b/>
                <w:bCs/>
                <w:color w:val="FFFFFF"/>
                <w:sz w:val="20"/>
                <w:szCs w:val="20"/>
              </w:rPr>
            </w:pPr>
            <w:r w:rsidRPr="008A5E9E">
              <w:rPr>
                <w:b/>
                <w:bCs/>
                <w:color w:val="FFFFFF"/>
                <w:sz w:val="20"/>
                <w:szCs w:val="20"/>
              </w:rPr>
              <w:t>Program</w:t>
            </w:r>
          </w:p>
        </w:tc>
        <w:tc>
          <w:tcPr>
            <w:tcW w:w="1251" w:type="dxa"/>
            <w:shd w:val="clear" w:color="000000" w:fill="448A99"/>
            <w:vAlign w:val="bottom"/>
            <w:hideMark/>
          </w:tcPr>
          <w:p w:rsidR="0001310B" w:rsidRPr="008A5E9E" w:rsidRDefault="0001310B" w:rsidP="00AC55E9">
            <w:pPr>
              <w:jc w:val="center"/>
              <w:rPr>
                <w:b/>
                <w:bCs/>
                <w:color w:val="FFFFFF"/>
                <w:sz w:val="20"/>
                <w:szCs w:val="20"/>
              </w:rPr>
            </w:pPr>
            <w:r w:rsidRPr="008A5E9E">
              <w:rPr>
                <w:b/>
                <w:bCs/>
                <w:color w:val="FFFFFF"/>
                <w:sz w:val="20"/>
                <w:szCs w:val="20"/>
              </w:rPr>
              <w:t>Realization Rate –</w:t>
            </w:r>
          </w:p>
          <w:p w:rsidR="0001310B" w:rsidRPr="008A5E9E" w:rsidRDefault="0001310B" w:rsidP="00AC55E9">
            <w:pPr>
              <w:jc w:val="center"/>
              <w:rPr>
                <w:b/>
                <w:bCs/>
                <w:color w:val="FFFFFF"/>
                <w:sz w:val="20"/>
                <w:szCs w:val="20"/>
              </w:rPr>
            </w:pPr>
            <w:r w:rsidRPr="008A5E9E">
              <w:rPr>
                <w:b/>
                <w:bCs/>
                <w:color w:val="FFFFFF"/>
                <w:sz w:val="20"/>
                <w:szCs w:val="20"/>
              </w:rPr>
              <w:t>Energy</w:t>
            </w:r>
          </w:p>
        </w:tc>
        <w:tc>
          <w:tcPr>
            <w:tcW w:w="1252" w:type="dxa"/>
            <w:shd w:val="clear" w:color="000000" w:fill="448A99"/>
            <w:vAlign w:val="bottom"/>
          </w:tcPr>
          <w:p w:rsidR="0001310B" w:rsidRPr="008A5E9E" w:rsidRDefault="0001310B" w:rsidP="00AC55E9">
            <w:pPr>
              <w:jc w:val="center"/>
              <w:rPr>
                <w:b/>
                <w:bCs/>
                <w:color w:val="FFFFFF"/>
                <w:sz w:val="20"/>
                <w:szCs w:val="20"/>
              </w:rPr>
            </w:pPr>
            <w:r w:rsidRPr="008A5E9E">
              <w:rPr>
                <w:b/>
                <w:bCs/>
                <w:color w:val="FFFFFF"/>
                <w:sz w:val="20"/>
                <w:szCs w:val="20"/>
              </w:rPr>
              <w:t xml:space="preserve">Achieved </w:t>
            </w:r>
            <w:r w:rsidR="0026677E">
              <w:rPr>
                <w:b/>
                <w:bCs/>
                <w:color w:val="FFFFFF"/>
                <w:sz w:val="20"/>
                <w:szCs w:val="20"/>
              </w:rPr>
              <w:t xml:space="preserve">Sampling </w:t>
            </w:r>
            <w:r w:rsidRPr="008A5E9E">
              <w:rPr>
                <w:b/>
                <w:bCs/>
                <w:color w:val="FFFFFF"/>
                <w:sz w:val="20"/>
                <w:szCs w:val="20"/>
              </w:rPr>
              <w:t>Precision – Energy</w:t>
            </w:r>
            <w:r w:rsidR="0026677E" w:rsidRPr="0026677E">
              <w:rPr>
                <w:b/>
                <w:bCs/>
                <w:color w:val="FFFFFF"/>
                <w:sz w:val="20"/>
                <w:szCs w:val="20"/>
                <w:vertAlign w:val="superscript"/>
              </w:rPr>
              <w:t>[b]</w:t>
            </w:r>
          </w:p>
        </w:tc>
        <w:tc>
          <w:tcPr>
            <w:tcW w:w="1252" w:type="dxa"/>
            <w:shd w:val="clear" w:color="000000" w:fill="448A99"/>
            <w:vAlign w:val="bottom"/>
            <w:hideMark/>
          </w:tcPr>
          <w:p w:rsidR="0001310B" w:rsidRPr="008A5E9E" w:rsidRDefault="0001310B" w:rsidP="00AC55E9">
            <w:pPr>
              <w:jc w:val="center"/>
              <w:rPr>
                <w:b/>
                <w:bCs/>
                <w:color w:val="FFFFFF"/>
                <w:sz w:val="20"/>
                <w:szCs w:val="20"/>
              </w:rPr>
            </w:pPr>
            <w:r w:rsidRPr="008A5E9E">
              <w:rPr>
                <w:b/>
                <w:bCs/>
                <w:color w:val="FFFFFF"/>
                <w:sz w:val="20"/>
                <w:szCs w:val="20"/>
              </w:rPr>
              <w:t>Realization Rate –Demand</w:t>
            </w:r>
          </w:p>
        </w:tc>
        <w:tc>
          <w:tcPr>
            <w:tcW w:w="1252" w:type="dxa"/>
            <w:shd w:val="clear" w:color="000000" w:fill="448A99"/>
            <w:vAlign w:val="bottom"/>
          </w:tcPr>
          <w:p w:rsidR="0001310B" w:rsidRPr="008A5E9E" w:rsidRDefault="0001310B" w:rsidP="00AC55E9">
            <w:pPr>
              <w:jc w:val="center"/>
              <w:rPr>
                <w:b/>
                <w:bCs/>
                <w:color w:val="FFFFFF"/>
                <w:sz w:val="20"/>
                <w:szCs w:val="20"/>
              </w:rPr>
            </w:pPr>
            <w:r w:rsidRPr="008A5E9E">
              <w:rPr>
                <w:b/>
                <w:bCs/>
                <w:color w:val="FFFFFF"/>
                <w:sz w:val="20"/>
                <w:szCs w:val="20"/>
              </w:rPr>
              <w:t xml:space="preserve">Achieved </w:t>
            </w:r>
            <w:r w:rsidR="0026677E">
              <w:rPr>
                <w:b/>
                <w:bCs/>
                <w:color w:val="FFFFFF"/>
                <w:sz w:val="20"/>
                <w:szCs w:val="20"/>
              </w:rPr>
              <w:t>Sampling</w:t>
            </w:r>
            <w:r w:rsidR="0026677E" w:rsidRPr="008A5E9E">
              <w:rPr>
                <w:b/>
                <w:bCs/>
                <w:color w:val="FFFFFF"/>
                <w:sz w:val="20"/>
                <w:szCs w:val="20"/>
              </w:rPr>
              <w:t xml:space="preserve"> </w:t>
            </w:r>
            <w:r w:rsidRPr="008A5E9E">
              <w:rPr>
                <w:b/>
                <w:bCs/>
                <w:color w:val="FFFFFF"/>
                <w:sz w:val="20"/>
                <w:szCs w:val="20"/>
              </w:rPr>
              <w:t xml:space="preserve">Precision </w:t>
            </w:r>
            <w:r w:rsidR="00686718" w:rsidRPr="008A5E9E">
              <w:rPr>
                <w:b/>
                <w:bCs/>
                <w:color w:val="FFFFFF"/>
                <w:sz w:val="20"/>
                <w:szCs w:val="20"/>
              </w:rPr>
              <w:t>–</w:t>
            </w:r>
            <w:r w:rsidRPr="008A5E9E">
              <w:rPr>
                <w:b/>
                <w:bCs/>
                <w:color w:val="FFFFFF"/>
                <w:sz w:val="20"/>
                <w:szCs w:val="20"/>
              </w:rPr>
              <w:t xml:space="preserve"> Demand</w:t>
            </w:r>
          </w:p>
        </w:tc>
      </w:tr>
      <w:tr w:rsidR="00E7173E" w:rsidRPr="00A77CF0" w:rsidTr="005D6981">
        <w:trPr>
          <w:trHeight w:val="346"/>
        </w:trPr>
        <w:tc>
          <w:tcPr>
            <w:tcW w:w="4348" w:type="dxa"/>
            <w:shd w:val="clear" w:color="auto" w:fill="auto"/>
            <w:vAlign w:val="center"/>
          </w:tcPr>
          <w:p w:rsidR="0001310B" w:rsidRPr="008A5E9E" w:rsidRDefault="0001310B" w:rsidP="00AC55E9">
            <w:pPr>
              <w:jc w:val="left"/>
              <w:rPr>
                <w:color w:val="000000"/>
                <w:sz w:val="20"/>
                <w:szCs w:val="20"/>
              </w:rPr>
            </w:pPr>
            <w:r w:rsidRPr="006267ED">
              <w:rPr>
                <w:sz w:val="20"/>
                <w:szCs w:val="20"/>
              </w:rPr>
              <w:t>Residential: EE Program (REEP)</w:t>
            </w:r>
            <w:r>
              <w:rPr>
                <w:sz w:val="20"/>
                <w:szCs w:val="20"/>
              </w:rPr>
              <w:t>:</w:t>
            </w:r>
            <w:r w:rsidRPr="006267ED">
              <w:rPr>
                <w:sz w:val="20"/>
                <w:szCs w:val="20"/>
              </w:rPr>
              <w:t xml:space="preserve"> Rebate Program</w:t>
            </w:r>
          </w:p>
        </w:tc>
        <w:tc>
          <w:tcPr>
            <w:tcW w:w="1251" w:type="dxa"/>
            <w:shd w:val="clear" w:color="auto" w:fill="auto"/>
            <w:vAlign w:val="center"/>
          </w:tcPr>
          <w:p w:rsidR="0001310B" w:rsidRPr="003A4AF5" w:rsidRDefault="0001310B" w:rsidP="00AC55E9">
            <w:pPr>
              <w:jc w:val="center"/>
              <w:rPr>
                <w:color w:val="000000"/>
                <w:sz w:val="20"/>
                <w:szCs w:val="20"/>
                <w:highlight w:val="yellow"/>
              </w:rPr>
            </w:pPr>
            <w:r w:rsidRPr="00F65B02">
              <w:rPr>
                <w:sz w:val="20"/>
                <w:szCs w:val="20"/>
              </w:rPr>
              <w:t>76%</w:t>
            </w:r>
          </w:p>
        </w:tc>
        <w:tc>
          <w:tcPr>
            <w:tcW w:w="1252" w:type="dxa"/>
            <w:vAlign w:val="center"/>
          </w:tcPr>
          <w:p w:rsidR="0001310B" w:rsidRPr="002B7663" w:rsidRDefault="0001310B" w:rsidP="00AC55E9">
            <w:pPr>
              <w:jc w:val="center"/>
              <w:rPr>
                <w:color w:val="000000"/>
                <w:sz w:val="20"/>
                <w:szCs w:val="20"/>
              </w:rPr>
            </w:pPr>
            <w:r w:rsidRPr="002B7663">
              <w:rPr>
                <w:sz w:val="20"/>
                <w:szCs w:val="20"/>
              </w:rPr>
              <w:t>12%</w:t>
            </w:r>
          </w:p>
        </w:tc>
        <w:tc>
          <w:tcPr>
            <w:tcW w:w="1252" w:type="dxa"/>
            <w:shd w:val="clear" w:color="auto" w:fill="auto"/>
            <w:vAlign w:val="center"/>
          </w:tcPr>
          <w:p w:rsidR="0001310B" w:rsidRPr="00F65B02" w:rsidRDefault="0001310B" w:rsidP="00AC55E9">
            <w:pPr>
              <w:jc w:val="center"/>
              <w:rPr>
                <w:color w:val="000000"/>
                <w:sz w:val="20"/>
                <w:szCs w:val="20"/>
              </w:rPr>
            </w:pPr>
            <w:r w:rsidRPr="00F65B02">
              <w:rPr>
                <w:sz w:val="20"/>
                <w:szCs w:val="20"/>
              </w:rPr>
              <w:t>87%</w:t>
            </w:r>
          </w:p>
        </w:tc>
        <w:tc>
          <w:tcPr>
            <w:tcW w:w="1252" w:type="dxa"/>
            <w:vAlign w:val="center"/>
          </w:tcPr>
          <w:p w:rsidR="0001310B" w:rsidRPr="002B7663" w:rsidRDefault="0001310B" w:rsidP="00AC55E9">
            <w:pPr>
              <w:jc w:val="center"/>
              <w:rPr>
                <w:color w:val="000000"/>
                <w:sz w:val="20"/>
                <w:szCs w:val="20"/>
              </w:rPr>
            </w:pPr>
            <w:r w:rsidRPr="002B7663">
              <w:rPr>
                <w:sz w:val="20"/>
                <w:szCs w:val="20"/>
              </w:rPr>
              <w:t>8%</w:t>
            </w:r>
          </w:p>
        </w:tc>
      </w:tr>
      <w:tr w:rsidR="00A874AC" w:rsidRPr="00A77CF0" w:rsidTr="005D6981">
        <w:trPr>
          <w:trHeight w:val="346"/>
        </w:trPr>
        <w:tc>
          <w:tcPr>
            <w:tcW w:w="4348" w:type="dxa"/>
            <w:shd w:val="clear" w:color="000000" w:fill="D2EAF1"/>
            <w:vAlign w:val="center"/>
          </w:tcPr>
          <w:p w:rsidR="0001310B" w:rsidRPr="008A5E9E" w:rsidRDefault="0001310B" w:rsidP="00AC55E9">
            <w:pPr>
              <w:jc w:val="left"/>
              <w:rPr>
                <w:color w:val="000000"/>
                <w:sz w:val="20"/>
                <w:szCs w:val="20"/>
              </w:rPr>
            </w:pPr>
            <w:r w:rsidRPr="006267ED">
              <w:rPr>
                <w:sz w:val="20"/>
                <w:szCs w:val="20"/>
              </w:rPr>
              <w:t xml:space="preserve">Residential: EE Program </w:t>
            </w:r>
            <w:r>
              <w:rPr>
                <w:sz w:val="20"/>
                <w:szCs w:val="20"/>
              </w:rPr>
              <w:t>(</w:t>
            </w:r>
            <w:r w:rsidRPr="006267ED">
              <w:rPr>
                <w:sz w:val="20"/>
                <w:szCs w:val="20"/>
              </w:rPr>
              <w:t>Upstream Lighting</w:t>
            </w:r>
            <w:r>
              <w:rPr>
                <w:sz w:val="20"/>
                <w:szCs w:val="20"/>
              </w:rPr>
              <w:t>)</w:t>
            </w:r>
          </w:p>
        </w:tc>
        <w:tc>
          <w:tcPr>
            <w:tcW w:w="1251" w:type="dxa"/>
            <w:shd w:val="clear" w:color="000000" w:fill="D2EAF1"/>
            <w:vAlign w:val="center"/>
          </w:tcPr>
          <w:p w:rsidR="0001310B" w:rsidRPr="00F65B02" w:rsidRDefault="0001310B" w:rsidP="00AC55E9">
            <w:pPr>
              <w:jc w:val="center"/>
              <w:rPr>
                <w:color w:val="000000"/>
                <w:sz w:val="20"/>
                <w:szCs w:val="20"/>
              </w:rPr>
            </w:pPr>
            <w:r w:rsidRPr="00F65B02">
              <w:rPr>
                <w:sz w:val="20"/>
                <w:szCs w:val="20"/>
              </w:rPr>
              <w:t>102%</w:t>
            </w:r>
          </w:p>
        </w:tc>
        <w:tc>
          <w:tcPr>
            <w:tcW w:w="1252" w:type="dxa"/>
            <w:shd w:val="clear" w:color="000000" w:fill="D2EAF1"/>
            <w:vAlign w:val="center"/>
          </w:tcPr>
          <w:p w:rsidR="0001310B" w:rsidRPr="002B7663" w:rsidRDefault="0001310B" w:rsidP="00AC55E9">
            <w:pPr>
              <w:jc w:val="center"/>
              <w:rPr>
                <w:color w:val="000000"/>
                <w:sz w:val="20"/>
                <w:szCs w:val="20"/>
              </w:rPr>
            </w:pPr>
            <w:r w:rsidRPr="002B7663">
              <w:rPr>
                <w:sz w:val="20"/>
                <w:szCs w:val="20"/>
              </w:rPr>
              <w:t>0%</w:t>
            </w:r>
          </w:p>
        </w:tc>
        <w:tc>
          <w:tcPr>
            <w:tcW w:w="1252" w:type="dxa"/>
            <w:shd w:val="clear" w:color="000000" w:fill="D2EAF1"/>
            <w:vAlign w:val="center"/>
          </w:tcPr>
          <w:p w:rsidR="0001310B" w:rsidRPr="00F65B02" w:rsidRDefault="0001310B" w:rsidP="00AC55E9">
            <w:pPr>
              <w:jc w:val="center"/>
              <w:rPr>
                <w:color w:val="000000"/>
                <w:sz w:val="20"/>
                <w:szCs w:val="20"/>
              </w:rPr>
            </w:pPr>
            <w:r w:rsidRPr="00F65B02">
              <w:rPr>
                <w:sz w:val="20"/>
                <w:szCs w:val="20"/>
              </w:rPr>
              <w:t>102%</w:t>
            </w:r>
          </w:p>
        </w:tc>
        <w:tc>
          <w:tcPr>
            <w:tcW w:w="1252" w:type="dxa"/>
            <w:shd w:val="clear" w:color="000000" w:fill="D2EAF1"/>
            <w:vAlign w:val="center"/>
          </w:tcPr>
          <w:p w:rsidR="0001310B" w:rsidRPr="002B7663" w:rsidRDefault="0001310B" w:rsidP="00AC55E9">
            <w:pPr>
              <w:jc w:val="center"/>
              <w:rPr>
                <w:color w:val="000000"/>
                <w:sz w:val="20"/>
                <w:szCs w:val="20"/>
              </w:rPr>
            </w:pPr>
            <w:r w:rsidRPr="002B7663">
              <w:rPr>
                <w:sz w:val="20"/>
                <w:szCs w:val="20"/>
              </w:rPr>
              <w:t>0%</w:t>
            </w:r>
          </w:p>
        </w:tc>
      </w:tr>
      <w:tr w:rsidR="00E7173E" w:rsidRPr="00A77CF0" w:rsidTr="005D6981">
        <w:trPr>
          <w:trHeight w:val="346"/>
        </w:trPr>
        <w:tc>
          <w:tcPr>
            <w:tcW w:w="4348" w:type="dxa"/>
            <w:shd w:val="clear" w:color="auto" w:fill="auto"/>
            <w:vAlign w:val="center"/>
          </w:tcPr>
          <w:p w:rsidR="0001310B" w:rsidRPr="008A5E9E" w:rsidRDefault="0001310B" w:rsidP="00AC55E9">
            <w:pPr>
              <w:jc w:val="left"/>
              <w:rPr>
                <w:color w:val="000000"/>
                <w:sz w:val="20"/>
                <w:szCs w:val="20"/>
              </w:rPr>
            </w:pPr>
            <w:r w:rsidRPr="006267ED">
              <w:rPr>
                <w:sz w:val="20"/>
                <w:szCs w:val="20"/>
              </w:rPr>
              <w:t>Residential: School Energy Pledge</w:t>
            </w:r>
          </w:p>
        </w:tc>
        <w:tc>
          <w:tcPr>
            <w:tcW w:w="1251" w:type="dxa"/>
            <w:shd w:val="clear" w:color="auto" w:fill="auto"/>
            <w:vAlign w:val="center"/>
          </w:tcPr>
          <w:p w:rsidR="0001310B" w:rsidRPr="00F65B02" w:rsidRDefault="0001310B" w:rsidP="00AC55E9">
            <w:pPr>
              <w:jc w:val="center"/>
              <w:rPr>
                <w:color w:val="000000"/>
                <w:sz w:val="20"/>
                <w:szCs w:val="20"/>
              </w:rPr>
            </w:pPr>
            <w:r w:rsidRPr="00F65B02">
              <w:rPr>
                <w:sz w:val="20"/>
                <w:szCs w:val="20"/>
              </w:rPr>
              <w:t>66%</w:t>
            </w:r>
          </w:p>
        </w:tc>
        <w:tc>
          <w:tcPr>
            <w:tcW w:w="1252" w:type="dxa"/>
            <w:vAlign w:val="center"/>
          </w:tcPr>
          <w:p w:rsidR="0001310B" w:rsidRPr="002B7663" w:rsidRDefault="0001310B" w:rsidP="00AC55E9">
            <w:pPr>
              <w:jc w:val="center"/>
              <w:rPr>
                <w:color w:val="000000"/>
                <w:sz w:val="20"/>
                <w:szCs w:val="20"/>
              </w:rPr>
            </w:pPr>
            <w:r w:rsidRPr="002B7663">
              <w:rPr>
                <w:sz w:val="20"/>
                <w:szCs w:val="20"/>
              </w:rPr>
              <w:t>16%</w:t>
            </w:r>
          </w:p>
        </w:tc>
        <w:tc>
          <w:tcPr>
            <w:tcW w:w="1252" w:type="dxa"/>
            <w:shd w:val="clear" w:color="auto" w:fill="auto"/>
            <w:vAlign w:val="center"/>
          </w:tcPr>
          <w:p w:rsidR="0001310B" w:rsidRPr="00F65B02" w:rsidRDefault="0001310B" w:rsidP="00AC55E9">
            <w:pPr>
              <w:jc w:val="center"/>
              <w:rPr>
                <w:color w:val="000000"/>
                <w:sz w:val="20"/>
                <w:szCs w:val="20"/>
              </w:rPr>
            </w:pPr>
            <w:r w:rsidRPr="00F65B02">
              <w:rPr>
                <w:sz w:val="20"/>
                <w:szCs w:val="20"/>
              </w:rPr>
              <w:t>71%</w:t>
            </w:r>
          </w:p>
        </w:tc>
        <w:tc>
          <w:tcPr>
            <w:tcW w:w="1252" w:type="dxa"/>
            <w:vAlign w:val="center"/>
          </w:tcPr>
          <w:p w:rsidR="0001310B" w:rsidRPr="002B7663" w:rsidRDefault="0001310B" w:rsidP="00AC55E9">
            <w:pPr>
              <w:jc w:val="center"/>
              <w:rPr>
                <w:color w:val="000000"/>
                <w:sz w:val="20"/>
                <w:szCs w:val="20"/>
              </w:rPr>
            </w:pPr>
            <w:r w:rsidRPr="002B7663">
              <w:rPr>
                <w:sz w:val="20"/>
                <w:szCs w:val="20"/>
              </w:rPr>
              <w:t>18%</w:t>
            </w:r>
          </w:p>
        </w:tc>
      </w:tr>
      <w:tr w:rsidR="00A874AC" w:rsidRPr="00A77CF0" w:rsidTr="005D6981">
        <w:trPr>
          <w:trHeight w:val="346"/>
        </w:trPr>
        <w:tc>
          <w:tcPr>
            <w:tcW w:w="4348" w:type="dxa"/>
            <w:shd w:val="clear" w:color="000000" w:fill="D2EAF1"/>
            <w:vAlign w:val="center"/>
          </w:tcPr>
          <w:p w:rsidR="0001310B" w:rsidRPr="008A5E9E" w:rsidRDefault="0001310B" w:rsidP="00AC55E9">
            <w:pPr>
              <w:jc w:val="left"/>
              <w:rPr>
                <w:color w:val="000000"/>
                <w:sz w:val="20"/>
                <w:szCs w:val="20"/>
              </w:rPr>
            </w:pPr>
            <w:r w:rsidRPr="006267ED">
              <w:rPr>
                <w:sz w:val="20"/>
                <w:szCs w:val="20"/>
              </w:rPr>
              <w:t>Residential: Appliance Recycling</w:t>
            </w:r>
          </w:p>
        </w:tc>
        <w:tc>
          <w:tcPr>
            <w:tcW w:w="1251" w:type="dxa"/>
            <w:shd w:val="clear" w:color="000000" w:fill="D2EAF1"/>
            <w:vAlign w:val="center"/>
          </w:tcPr>
          <w:p w:rsidR="0001310B" w:rsidRPr="00F65B02" w:rsidRDefault="0001310B" w:rsidP="00AC55E9">
            <w:pPr>
              <w:jc w:val="center"/>
              <w:rPr>
                <w:color w:val="000000"/>
                <w:sz w:val="20"/>
                <w:szCs w:val="20"/>
              </w:rPr>
            </w:pPr>
            <w:r w:rsidRPr="00F65B02">
              <w:rPr>
                <w:sz w:val="20"/>
                <w:szCs w:val="20"/>
              </w:rPr>
              <w:t>101%</w:t>
            </w:r>
          </w:p>
        </w:tc>
        <w:tc>
          <w:tcPr>
            <w:tcW w:w="1252" w:type="dxa"/>
            <w:shd w:val="clear" w:color="000000" w:fill="D2EAF1"/>
            <w:vAlign w:val="center"/>
          </w:tcPr>
          <w:p w:rsidR="0001310B" w:rsidRPr="002B7663" w:rsidRDefault="0001310B" w:rsidP="00AC55E9">
            <w:pPr>
              <w:jc w:val="center"/>
              <w:rPr>
                <w:color w:val="000000"/>
                <w:sz w:val="20"/>
                <w:szCs w:val="20"/>
              </w:rPr>
            </w:pPr>
            <w:r w:rsidRPr="002B7663">
              <w:rPr>
                <w:sz w:val="20"/>
                <w:szCs w:val="20"/>
              </w:rPr>
              <w:t>1%</w:t>
            </w:r>
          </w:p>
        </w:tc>
        <w:tc>
          <w:tcPr>
            <w:tcW w:w="1252" w:type="dxa"/>
            <w:shd w:val="clear" w:color="000000" w:fill="D2EAF1"/>
            <w:vAlign w:val="center"/>
          </w:tcPr>
          <w:p w:rsidR="0001310B" w:rsidRPr="00F65B02" w:rsidRDefault="0001310B" w:rsidP="00AC55E9">
            <w:pPr>
              <w:jc w:val="center"/>
              <w:rPr>
                <w:color w:val="000000"/>
                <w:sz w:val="20"/>
                <w:szCs w:val="20"/>
              </w:rPr>
            </w:pPr>
            <w:r w:rsidRPr="00F65B02">
              <w:rPr>
                <w:sz w:val="20"/>
                <w:szCs w:val="20"/>
              </w:rPr>
              <w:t>101%</w:t>
            </w:r>
          </w:p>
        </w:tc>
        <w:tc>
          <w:tcPr>
            <w:tcW w:w="1252" w:type="dxa"/>
            <w:shd w:val="clear" w:color="000000" w:fill="D2EAF1"/>
            <w:vAlign w:val="center"/>
          </w:tcPr>
          <w:p w:rsidR="0001310B" w:rsidRPr="002B7663" w:rsidRDefault="0001310B" w:rsidP="00AC55E9">
            <w:pPr>
              <w:jc w:val="center"/>
              <w:rPr>
                <w:color w:val="000000"/>
                <w:sz w:val="20"/>
                <w:szCs w:val="20"/>
              </w:rPr>
            </w:pPr>
            <w:r w:rsidRPr="002B7663">
              <w:rPr>
                <w:sz w:val="20"/>
                <w:szCs w:val="20"/>
              </w:rPr>
              <w:t>1%</w:t>
            </w:r>
          </w:p>
        </w:tc>
      </w:tr>
      <w:tr w:rsidR="00E7173E" w:rsidRPr="00A77CF0" w:rsidTr="005D6981">
        <w:trPr>
          <w:trHeight w:val="346"/>
        </w:trPr>
        <w:tc>
          <w:tcPr>
            <w:tcW w:w="4348" w:type="dxa"/>
            <w:shd w:val="clear" w:color="auto" w:fill="auto"/>
            <w:vAlign w:val="center"/>
          </w:tcPr>
          <w:p w:rsidR="0001310B" w:rsidRPr="008A5E9E" w:rsidRDefault="0001310B" w:rsidP="00AC55E9">
            <w:pPr>
              <w:jc w:val="left"/>
              <w:rPr>
                <w:color w:val="000000"/>
                <w:sz w:val="20"/>
              </w:rPr>
            </w:pPr>
            <w:r w:rsidRPr="008E1160">
              <w:rPr>
                <w:sz w:val="20"/>
              </w:rPr>
              <w:t xml:space="preserve">Residential: Whole House </w:t>
            </w:r>
          </w:p>
        </w:tc>
        <w:tc>
          <w:tcPr>
            <w:tcW w:w="1251" w:type="dxa"/>
            <w:shd w:val="clear" w:color="auto" w:fill="auto"/>
            <w:vAlign w:val="center"/>
          </w:tcPr>
          <w:p w:rsidR="0001310B" w:rsidRPr="003A4AF5" w:rsidRDefault="0001310B" w:rsidP="00AC55E9">
            <w:pPr>
              <w:jc w:val="center"/>
              <w:rPr>
                <w:color w:val="000000"/>
                <w:sz w:val="20"/>
                <w:highlight w:val="yellow"/>
              </w:rPr>
            </w:pPr>
            <w:r w:rsidRPr="00F65B02">
              <w:rPr>
                <w:sz w:val="20"/>
              </w:rPr>
              <w:t>89%</w:t>
            </w:r>
          </w:p>
        </w:tc>
        <w:tc>
          <w:tcPr>
            <w:tcW w:w="1252" w:type="dxa"/>
            <w:vAlign w:val="center"/>
          </w:tcPr>
          <w:p w:rsidR="0001310B" w:rsidRPr="002B7663" w:rsidRDefault="0001310B" w:rsidP="00AC55E9">
            <w:pPr>
              <w:jc w:val="center"/>
              <w:rPr>
                <w:color w:val="000000"/>
                <w:sz w:val="20"/>
              </w:rPr>
            </w:pPr>
            <w:r w:rsidRPr="002B7663">
              <w:rPr>
                <w:sz w:val="20"/>
              </w:rPr>
              <w:t>6%</w:t>
            </w:r>
          </w:p>
        </w:tc>
        <w:tc>
          <w:tcPr>
            <w:tcW w:w="1252" w:type="dxa"/>
            <w:shd w:val="clear" w:color="auto" w:fill="auto"/>
            <w:vAlign w:val="center"/>
          </w:tcPr>
          <w:p w:rsidR="0001310B" w:rsidRPr="00F65B02" w:rsidRDefault="0001310B" w:rsidP="00AC55E9">
            <w:pPr>
              <w:jc w:val="center"/>
              <w:rPr>
                <w:color w:val="000000"/>
                <w:sz w:val="20"/>
              </w:rPr>
            </w:pPr>
            <w:r w:rsidRPr="00F65B02">
              <w:rPr>
                <w:sz w:val="20"/>
              </w:rPr>
              <w:t>87%</w:t>
            </w:r>
          </w:p>
        </w:tc>
        <w:tc>
          <w:tcPr>
            <w:tcW w:w="1252" w:type="dxa"/>
            <w:vAlign w:val="center"/>
          </w:tcPr>
          <w:p w:rsidR="0001310B" w:rsidRPr="002B7663" w:rsidRDefault="0001310B" w:rsidP="00AC55E9">
            <w:pPr>
              <w:jc w:val="center"/>
              <w:rPr>
                <w:color w:val="000000"/>
                <w:sz w:val="20"/>
              </w:rPr>
            </w:pPr>
            <w:r w:rsidRPr="002B7663">
              <w:rPr>
                <w:sz w:val="20"/>
              </w:rPr>
              <w:t>6%</w:t>
            </w:r>
          </w:p>
        </w:tc>
      </w:tr>
      <w:tr w:rsidR="00A874AC" w:rsidRPr="00A77CF0" w:rsidTr="005D6981">
        <w:trPr>
          <w:trHeight w:val="346"/>
        </w:trPr>
        <w:tc>
          <w:tcPr>
            <w:tcW w:w="4348" w:type="dxa"/>
            <w:shd w:val="clear" w:color="000000" w:fill="D2EAF1"/>
            <w:vAlign w:val="center"/>
          </w:tcPr>
          <w:p w:rsidR="0001310B" w:rsidRPr="008A5E9E" w:rsidRDefault="0001310B" w:rsidP="00AC55E9">
            <w:pPr>
              <w:jc w:val="left"/>
              <w:rPr>
                <w:color w:val="000000"/>
                <w:sz w:val="20"/>
                <w:szCs w:val="20"/>
              </w:rPr>
            </w:pPr>
            <w:r w:rsidRPr="006267ED">
              <w:rPr>
                <w:sz w:val="20"/>
                <w:szCs w:val="20"/>
              </w:rPr>
              <w:lastRenderedPageBreak/>
              <w:t>Residential: Low</w:t>
            </w:r>
            <w:r>
              <w:rPr>
                <w:sz w:val="20"/>
                <w:szCs w:val="20"/>
              </w:rPr>
              <w:t>-</w:t>
            </w:r>
            <w:r w:rsidRPr="006267ED">
              <w:rPr>
                <w:sz w:val="20"/>
                <w:szCs w:val="20"/>
              </w:rPr>
              <w:t>Income EE</w:t>
            </w:r>
          </w:p>
        </w:tc>
        <w:tc>
          <w:tcPr>
            <w:tcW w:w="1251" w:type="dxa"/>
            <w:shd w:val="clear" w:color="000000" w:fill="D2EAF1"/>
            <w:vAlign w:val="center"/>
          </w:tcPr>
          <w:p w:rsidR="0001310B" w:rsidRPr="003A4AF5" w:rsidRDefault="0001310B" w:rsidP="00AC55E9">
            <w:pPr>
              <w:jc w:val="center"/>
              <w:rPr>
                <w:color w:val="000000"/>
                <w:sz w:val="20"/>
                <w:szCs w:val="20"/>
                <w:highlight w:val="yellow"/>
              </w:rPr>
            </w:pPr>
            <w:r w:rsidRPr="00F65B02">
              <w:rPr>
                <w:sz w:val="20"/>
                <w:szCs w:val="20"/>
              </w:rPr>
              <w:t>96%</w:t>
            </w:r>
          </w:p>
        </w:tc>
        <w:tc>
          <w:tcPr>
            <w:tcW w:w="1252" w:type="dxa"/>
            <w:shd w:val="clear" w:color="000000" w:fill="D2EAF1"/>
            <w:vAlign w:val="center"/>
          </w:tcPr>
          <w:p w:rsidR="0001310B" w:rsidRPr="002B7663" w:rsidRDefault="0001310B" w:rsidP="00AC55E9">
            <w:pPr>
              <w:jc w:val="center"/>
              <w:rPr>
                <w:color w:val="000000"/>
                <w:sz w:val="20"/>
                <w:szCs w:val="20"/>
              </w:rPr>
            </w:pPr>
            <w:r w:rsidRPr="002B7663">
              <w:rPr>
                <w:sz w:val="20"/>
                <w:szCs w:val="20"/>
              </w:rPr>
              <w:t>2%</w:t>
            </w:r>
          </w:p>
        </w:tc>
        <w:tc>
          <w:tcPr>
            <w:tcW w:w="1252" w:type="dxa"/>
            <w:shd w:val="clear" w:color="000000" w:fill="D2EAF1"/>
            <w:vAlign w:val="center"/>
          </w:tcPr>
          <w:p w:rsidR="0001310B" w:rsidRPr="00F65B02" w:rsidRDefault="0001310B" w:rsidP="00AC55E9">
            <w:pPr>
              <w:jc w:val="center"/>
              <w:rPr>
                <w:color w:val="000000"/>
                <w:sz w:val="20"/>
                <w:szCs w:val="20"/>
              </w:rPr>
            </w:pPr>
            <w:r w:rsidRPr="00F65B02">
              <w:rPr>
                <w:sz w:val="20"/>
                <w:szCs w:val="20"/>
              </w:rPr>
              <w:t>97%</w:t>
            </w:r>
          </w:p>
        </w:tc>
        <w:tc>
          <w:tcPr>
            <w:tcW w:w="1252" w:type="dxa"/>
            <w:shd w:val="clear" w:color="000000" w:fill="D2EAF1"/>
            <w:vAlign w:val="center"/>
          </w:tcPr>
          <w:p w:rsidR="0001310B" w:rsidRPr="002B7663" w:rsidRDefault="0001310B" w:rsidP="00AC55E9">
            <w:pPr>
              <w:jc w:val="center"/>
              <w:rPr>
                <w:color w:val="000000"/>
                <w:sz w:val="20"/>
                <w:szCs w:val="20"/>
              </w:rPr>
            </w:pPr>
            <w:r w:rsidRPr="002B7663">
              <w:rPr>
                <w:sz w:val="20"/>
                <w:szCs w:val="20"/>
              </w:rPr>
              <w:t>2%</w:t>
            </w:r>
          </w:p>
        </w:tc>
      </w:tr>
      <w:tr w:rsidR="00A874AC" w:rsidRPr="00A77CF0" w:rsidTr="005D6981">
        <w:trPr>
          <w:trHeight w:val="368"/>
        </w:trPr>
        <w:tc>
          <w:tcPr>
            <w:tcW w:w="4348" w:type="dxa"/>
            <w:shd w:val="clear" w:color="000000" w:fill="FFFFFF"/>
            <w:vAlign w:val="center"/>
          </w:tcPr>
          <w:p w:rsidR="0001310B" w:rsidRPr="006267ED" w:rsidRDefault="0001310B" w:rsidP="00AC55E9">
            <w:pPr>
              <w:jc w:val="left"/>
              <w:rPr>
                <w:sz w:val="20"/>
                <w:szCs w:val="20"/>
              </w:rPr>
            </w:pPr>
            <w:r w:rsidRPr="006267ED">
              <w:rPr>
                <w:sz w:val="20"/>
                <w:szCs w:val="20"/>
              </w:rPr>
              <w:t>Residential: Low</w:t>
            </w:r>
            <w:r>
              <w:rPr>
                <w:sz w:val="20"/>
                <w:szCs w:val="20"/>
              </w:rPr>
              <w:t>-</w:t>
            </w:r>
            <w:r w:rsidRPr="006267ED">
              <w:rPr>
                <w:sz w:val="20"/>
                <w:szCs w:val="20"/>
              </w:rPr>
              <w:t xml:space="preserve">Income EE </w:t>
            </w:r>
            <w:r>
              <w:rPr>
                <w:sz w:val="20"/>
                <w:szCs w:val="20"/>
              </w:rPr>
              <w:t>(</w:t>
            </w:r>
            <w:r w:rsidRPr="006267ED">
              <w:rPr>
                <w:sz w:val="20"/>
                <w:szCs w:val="20"/>
              </w:rPr>
              <w:t xml:space="preserve">Upstream </w:t>
            </w:r>
            <w:r w:rsidR="009349F1" w:rsidRPr="006267ED">
              <w:rPr>
                <w:sz w:val="20"/>
                <w:szCs w:val="20"/>
              </w:rPr>
              <w:t>Lighting</w:t>
            </w:r>
            <w:r w:rsidR="009349F1">
              <w:rPr>
                <w:sz w:val="20"/>
                <w:szCs w:val="20"/>
              </w:rPr>
              <w:t>)</w:t>
            </w:r>
            <w:r w:rsidR="009349F1" w:rsidRPr="0026677E">
              <w:rPr>
                <w:sz w:val="20"/>
                <w:szCs w:val="20"/>
                <w:vertAlign w:val="superscript"/>
              </w:rPr>
              <w:t xml:space="preserve"> [</w:t>
            </w:r>
            <w:r w:rsidR="0026677E" w:rsidRPr="0026677E">
              <w:rPr>
                <w:sz w:val="20"/>
                <w:szCs w:val="20"/>
                <w:vertAlign w:val="superscript"/>
              </w:rPr>
              <w:t>a]</w:t>
            </w:r>
          </w:p>
        </w:tc>
        <w:tc>
          <w:tcPr>
            <w:tcW w:w="1251" w:type="dxa"/>
            <w:shd w:val="clear" w:color="000000" w:fill="FFFFFF"/>
            <w:vAlign w:val="center"/>
          </w:tcPr>
          <w:p w:rsidR="0001310B" w:rsidRPr="003A4AF5" w:rsidRDefault="0001310B" w:rsidP="00AC55E9">
            <w:pPr>
              <w:jc w:val="center"/>
              <w:rPr>
                <w:color w:val="000000"/>
                <w:sz w:val="20"/>
                <w:szCs w:val="20"/>
                <w:highlight w:val="yellow"/>
              </w:rPr>
            </w:pPr>
            <w:r w:rsidRPr="00F65B02">
              <w:rPr>
                <w:sz w:val="20"/>
                <w:szCs w:val="20"/>
              </w:rPr>
              <w:t>101%</w:t>
            </w:r>
          </w:p>
        </w:tc>
        <w:tc>
          <w:tcPr>
            <w:tcW w:w="1252" w:type="dxa"/>
            <w:shd w:val="clear" w:color="000000" w:fill="FFFFFF"/>
            <w:vAlign w:val="center"/>
          </w:tcPr>
          <w:p w:rsidR="0001310B" w:rsidRPr="002B7663" w:rsidRDefault="0001310B" w:rsidP="00AC55E9">
            <w:pPr>
              <w:jc w:val="center"/>
              <w:rPr>
                <w:color w:val="000000"/>
                <w:sz w:val="20"/>
                <w:szCs w:val="20"/>
              </w:rPr>
            </w:pPr>
            <w:r w:rsidRPr="002B7663">
              <w:rPr>
                <w:sz w:val="20"/>
                <w:szCs w:val="20"/>
              </w:rPr>
              <w:t>0%</w:t>
            </w:r>
          </w:p>
        </w:tc>
        <w:tc>
          <w:tcPr>
            <w:tcW w:w="1252" w:type="dxa"/>
            <w:shd w:val="clear" w:color="000000" w:fill="FFFFFF"/>
            <w:vAlign w:val="center"/>
          </w:tcPr>
          <w:p w:rsidR="0001310B" w:rsidRPr="00F65B02" w:rsidRDefault="0001310B" w:rsidP="00AC55E9">
            <w:pPr>
              <w:jc w:val="center"/>
              <w:rPr>
                <w:color w:val="000000"/>
                <w:sz w:val="20"/>
                <w:szCs w:val="20"/>
              </w:rPr>
            </w:pPr>
            <w:r w:rsidRPr="00F65B02">
              <w:rPr>
                <w:sz w:val="20"/>
                <w:szCs w:val="20"/>
              </w:rPr>
              <w:t>101%</w:t>
            </w:r>
          </w:p>
        </w:tc>
        <w:tc>
          <w:tcPr>
            <w:tcW w:w="1252" w:type="dxa"/>
            <w:shd w:val="clear" w:color="000000" w:fill="FFFFFF"/>
            <w:vAlign w:val="center"/>
          </w:tcPr>
          <w:p w:rsidR="0001310B" w:rsidRPr="002B7663" w:rsidRDefault="0001310B" w:rsidP="00AC55E9">
            <w:pPr>
              <w:jc w:val="center"/>
              <w:rPr>
                <w:color w:val="000000"/>
                <w:sz w:val="20"/>
                <w:szCs w:val="20"/>
              </w:rPr>
            </w:pPr>
            <w:r w:rsidRPr="002B7663">
              <w:rPr>
                <w:sz w:val="20"/>
                <w:szCs w:val="20"/>
              </w:rPr>
              <w:t>0%</w:t>
            </w:r>
          </w:p>
        </w:tc>
      </w:tr>
      <w:tr w:rsidR="00A874AC" w:rsidRPr="00A77CF0" w:rsidTr="005D6981">
        <w:trPr>
          <w:trHeight w:val="368"/>
        </w:trPr>
        <w:tc>
          <w:tcPr>
            <w:tcW w:w="4348" w:type="dxa"/>
            <w:shd w:val="clear" w:color="auto" w:fill="D2EAF1"/>
            <w:vAlign w:val="center"/>
          </w:tcPr>
          <w:p w:rsidR="0001310B" w:rsidRDefault="0001310B" w:rsidP="00AC55E9">
            <w:pPr>
              <w:jc w:val="left"/>
              <w:rPr>
                <w:sz w:val="20"/>
                <w:szCs w:val="20"/>
              </w:rPr>
            </w:pPr>
            <w:r>
              <w:rPr>
                <w:sz w:val="20"/>
                <w:szCs w:val="20"/>
              </w:rPr>
              <w:t xml:space="preserve">Residential: </w:t>
            </w:r>
            <w:r w:rsidRPr="006267ED">
              <w:rPr>
                <w:sz w:val="20"/>
                <w:szCs w:val="20"/>
              </w:rPr>
              <w:t>Low</w:t>
            </w:r>
            <w:r>
              <w:rPr>
                <w:sz w:val="20"/>
                <w:szCs w:val="20"/>
              </w:rPr>
              <w:t>-</w:t>
            </w:r>
            <w:r w:rsidRPr="006267ED">
              <w:rPr>
                <w:sz w:val="20"/>
                <w:szCs w:val="20"/>
              </w:rPr>
              <w:t xml:space="preserve">Income </w:t>
            </w:r>
            <w:r>
              <w:rPr>
                <w:sz w:val="20"/>
                <w:szCs w:val="20"/>
              </w:rPr>
              <w:t>Home Energy Reports</w:t>
            </w:r>
          </w:p>
        </w:tc>
        <w:tc>
          <w:tcPr>
            <w:tcW w:w="1251" w:type="dxa"/>
            <w:shd w:val="clear" w:color="auto" w:fill="D2EAF1"/>
            <w:vAlign w:val="center"/>
          </w:tcPr>
          <w:p w:rsidR="0001310B" w:rsidRPr="00F65B02" w:rsidRDefault="0001310B" w:rsidP="00AC55E9">
            <w:pPr>
              <w:jc w:val="center"/>
              <w:rPr>
                <w:sz w:val="20"/>
                <w:szCs w:val="20"/>
              </w:rPr>
            </w:pPr>
            <w:r>
              <w:rPr>
                <w:sz w:val="20"/>
                <w:szCs w:val="20"/>
              </w:rPr>
              <w:t>102%</w:t>
            </w:r>
          </w:p>
        </w:tc>
        <w:tc>
          <w:tcPr>
            <w:tcW w:w="1252" w:type="dxa"/>
            <w:shd w:val="clear" w:color="auto" w:fill="D2EAF1"/>
            <w:vAlign w:val="center"/>
          </w:tcPr>
          <w:p w:rsidR="0001310B" w:rsidRPr="002B7663" w:rsidRDefault="0001310B" w:rsidP="00AC55E9">
            <w:pPr>
              <w:jc w:val="center"/>
              <w:rPr>
                <w:sz w:val="20"/>
                <w:szCs w:val="20"/>
              </w:rPr>
            </w:pPr>
            <w:r>
              <w:rPr>
                <w:sz w:val="20"/>
                <w:szCs w:val="20"/>
              </w:rPr>
              <w:t>0%</w:t>
            </w:r>
          </w:p>
        </w:tc>
        <w:tc>
          <w:tcPr>
            <w:tcW w:w="1252" w:type="dxa"/>
            <w:shd w:val="clear" w:color="auto" w:fill="D2EAF1"/>
            <w:vAlign w:val="center"/>
          </w:tcPr>
          <w:p w:rsidR="0001310B" w:rsidRPr="00F65B02" w:rsidRDefault="0001310B" w:rsidP="00AC55E9">
            <w:pPr>
              <w:jc w:val="center"/>
              <w:rPr>
                <w:sz w:val="20"/>
                <w:szCs w:val="20"/>
              </w:rPr>
            </w:pPr>
            <w:r>
              <w:rPr>
                <w:sz w:val="20"/>
                <w:szCs w:val="20"/>
              </w:rPr>
              <w:t>NA</w:t>
            </w:r>
          </w:p>
        </w:tc>
        <w:tc>
          <w:tcPr>
            <w:tcW w:w="1252" w:type="dxa"/>
            <w:shd w:val="clear" w:color="auto" w:fill="D2EAF1"/>
            <w:vAlign w:val="center"/>
          </w:tcPr>
          <w:p w:rsidR="0001310B" w:rsidRPr="002B7663" w:rsidRDefault="0001310B" w:rsidP="00AC55E9">
            <w:pPr>
              <w:jc w:val="center"/>
              <w:rPr>
                <w:sz w:val="20"/>
                <w:szCs w:val="20"/>
              </w:rPr>
            </w:pPr>
            <w:r>
              <w:rPr>
                <w:sz w:val="20"/>
                <w:szCs w:val="20"/>
              </w:rPr>
              <w:t>NA</w:t>
            </w:r>
          </w:p>
        </w:tc>
      </w:tr>
      <w:tr w:rsidR="00A874AC" w:rsidRPr="00A77CF0" w:rsidTr="005D6981">
        <w:trPr>
          <w:trHeight w:val="368"/>
        </w:trPr>
        <w:tc>
          <w:tcPr>
            <w:tcW w:w="4348" w:type="dxa"/>
            <w:shd w:val="clear" w:color="000000" w:fill="FFFFFF"/>
            <w:vAlign w:val="center"/>
          </w:tcPr>
          <w:p w:rsidR="0001310B" w:rsidRPr="006267ED" w:rsidRDefault="0001310B" w:rsidP="00AC55E9">
            <w:pPr>
              <w:jc w:val="left"/>
              <w:rPr>
                <w:sz w:val="20"/>
                <w:szCs w:val="20"/>
              </w:rPr>
            </w:pPr>
            <w:r>
              <w:rPr>
                <w:sz w:val="20"/>
                <w:szCs w:val="20"/>
              </w:rPr>
              <w:t>Residential: Home Energy Reports</w:t>
            </w:r>
          </w:p>
        </w:tc>
        <w:tc>
          <w:tcPr>
            <w:tcW w:w="1251" w:type="dxa"/>
            <w:shd w:val="clear" w:color="000000" w:fill="FFFFFF"/>
            <w:vAlign w:val="center"/>
          </w:tcPr>
          <w:p w:rsidR="0001310B" w:rsidRPr="003A4AF5" w:rsidRDefault="0001310B" w:rsidP="00AC55E9">
            <w:pPr>
              <w:jc w:val="center"/>
              <w:rPr>
                <w:sz w:val="20"/>
                <w:szCs w:val="20"/>
                <w:highlight w:val="yellow"/>
              </w:rPr>
            </w:pPr>
            <w:r w:rsidRPr="00F65B02">
              <w:rPr>
                <w:sz w:val="20"/>
                <w:szCs w:val="20"/>
              </w:rPr>
              <w:t>99%</w:t>
            </w:r>
          </w:p>
        </w:tc>
        <w:tc>
          <w:tcPr>
            <w:tcW w:w="1252" w:type="dxa"/>
            <w:shd w:val="clear" w:color="000000" w:fill="FFFFFF"/>
            <w:vAlign w:val="center"/>
          </w:tcPr>
          <w:p w:rsidR="0001310B" w:rsidRPr="002B7663" w:rsidRDefault="0001310B" w:rsidP="00AC55E9">
            <w:pPr>
              <w:jc w:val="center"/>
              <w:rPr>
                <w:sz w:val="20"/>
                <w:szCs w:val="20"/>
              </w:rPr>
            </w:pPr>
            <w:r w:rsidRPr="002B7663">
              <w:rPr>
                <w:sz w:val="20"/>
                <w:szCs w:val="20"/>
              </w:rPr>
              <w:t>0%</w:t>
            </w:r>
          </w:p>
        </w:tc>
        <w:tc>
          <w:tcPr>
            <w:tcW w:w="1252" w:type="dxa"/>
            <w:shd w:val="clear" w:color="000000" w:fill="FFFFFF"/>
            <w:vAlign w:val="center"/>
          </w:tcPr>
          <w:p w:rsidR="0001310B" w:rsidRPr="003A4AF5" w:rsidRDefault="0001310B" w:rsidP="00AC55E9">
            <w:pPr>
              <w:jc w:val="center"/>
              <w:rPr>
                <w:sz w:val="20"/>
                <w:szCs w:val="20"/>
                <w:highlight w:val="yellow"/>
              </w:rPr>
            </w:pPr>
            <w:r>
              <w:rPr>
                <w:sz w:val="20"/>
                <w:szCs w:val="20"/>
              </w:rPr>
              <w:t>NA</w:t>
            </w:r>
          </w:p>
        </w:tc>
        <w:tc>
          <w:tcPr>
            <w:tcW w:w="1252" w:type="dxa"/>
            <w:shd w:val="clear" w:color="000000" w:fill="FFFFFF"/>
            <w:vAlign w:val="center"/>
          </w:tcPr>
          <w:p w:rsidR="0001310B" w:rsidRPr="002B7663" w:rsidRDefault="0001310B" w:rsidP="00AC55E9">
            <w:pPr>
              <w:jc w:val="center"/>
              <w:rPr>
                <w:sz w:val="20"/>
                <w:szCs w:val="20"/>
              </w:rPr>
            </w:pPr>
            <w:r>
              <w:rPr>
                <w:sz w:val="20"/>
                <w:szCs w:val="20"/>
              </w:rPr>
              <w:t>NA</w:t>
            </w:r>
          </w:p>
        </w:tc>
      </w:tr>
      <w:tr w:rsidR="00A874AC" w:rsidRPr="00A77CF0" w:rsidTr="005D6981">
        <w:trPr>
          <w:trHeight w:val="368"/>
        </w:trPr>
        <w:tc>
          <w:tcPr>
            <w:tcW w:w="4348" w:type="dxa"/>
            <w:shd w:val="clear" w:color="000000" w:fill="D2EAF1"/>
            <w:vAlign w:val="center"/>
          </w:tcPr>
          <w:p w:rsidR="0023582E" w:rsidRDefault="0023582E" w:rsidP="0023582E">
            <w:pPr>
              <w:jc w:val="left"/>
              <w:rPr>
                <w:sz w:val="20"/>
                <w:szCs w:val="20"/>
              </w:rPr>
            </w:pPr>
            <w:r>
              <w:rPr>
                <w:sz w:val="20"/>
                <w:szCs w:val="20"/>
              </w:rPr>
              <w:t>Commercial Sector Umbrella EE</w:t>
            </w:r>
          </w:p>
        </w:tc>
        <w:tc>
          <w:tcPr>
            <w:tcW w:w="1251" w:type="dxa"/>
            <w:shd w:val="clear" w:color="000000" w:fill="D2EAF1"/>
            <w:vAlign w:val="center"/>
          </w:tcPr>
          <w:p w:rsidR="0023582E" w:rsidRPr="00F65B02" w:rsidRDefault="0023582E" w:rsidP="0023582E">
            <w:pPr>
              <w:jc w:val="center"/>
              <w:rPr>
                <w:sz w:val="20"/>
                <w:szCs w:val="20"/>
              </w:rPr>
            </w:pPr>
            <w:r>
              <w:rPr>
                <w:sz w:val="20"/>
                <w:szCs w:val="20"/>
              </w:rPr>
              <w:t>103%</w:t>
            </w:r>
          </w:p>
        </w:tc>
        <w:tc>
          <w:tcPr>
            <w:tcW w:w="1252" w:type="dxa"/>
            <w:shd w:val="clear" w:color="000000" w:fill="D2EAF1"/>
            <w:vAlign w:val="center"/>
          </w:tcPr>
          <w:p w:rsidR="0023582E" w:rsidRPr="002B7663" w:rsidRDefault="0023582E" w:rsidP="0023582E">
            <w:pPr>
              <w:jc w:val="center"/>
              <w:rPr>
                <w:sz w:val="20"/>
                <w:szCs w:val="20"/>
              </w:rPr>
            </w:pPr>
            <w:r>
              <w:rPr>
                <w:sz w:val="20"/>
                <w:szCs w:val="20"/>
              </w:rPr>
              <w:t>4%</w:t>
            </w:r>
          </w:p>
        </w:tc>
        <w:tc>
          <w:tcPr>
            <w:tcW w:w="1252" w:type="dxa"/>
            <w:shd w:val="clear" w:color="000000" w:fill="D2EAF1"/>
            <w:vAlign w:val="center"/>
          </w:tcPr>
          <w:p w:rsidR="0023582E" w:rsidRDefault="0023582E" w:rsidP="0023582E">
            <w:pPr>
              <w:jc w:val="center"/>
              <w:rPr>
                <w:sz w:val="20"/>
                <w:szCs w:val="20"/>
              </w:rPr>
            </w:pPr>
            <w:r>
              <w:rPr>
                <w:sz w:val="20"/>
                <w:szCs w:val="20"/>
              </w:rPr>
              <w:t>113</w:t>
            </w:r>
            <w:r w:rsidR="0026677E">
              <w:rPr>
                <w:sz w:val="20"/>
                <w:szCs w:val="20"/>
              </w:rPr>
              <w:t>%</w:t>
            </w:r>
          </w:p>
        </w:tc>
        <w:tc>
          <w:tcPr>
            <w:tcW w:w="1252" w:type="dxa"/>
            <w:shd w:val="clear" w:color="000000" w:fill="D2EAF1"/>
            <w:vAlign w:val="center"/>
          </w:tcPr>
          <w:p w:rsidR="0023582E" w:rsidRDefault="0026677E" w:rsidP="0023582E">
            <w:pPr>
              <w:jc w:val="center"/>
              <w:rPr>
                <w:sz w:val="20"/>
                <w:szCs w:val="20"/>
              </w:rPr>
            </w:pPr>
            <w:r>
              <w:rPr>
                <w:sz w:val="20"/>
                <w:szCs w:val="20"/>
              </w:rPr>
              <w:t>20.8%</w:t>
            </w:r>
          </w:p>
        </w:tc>
      </w:tr>
      <w:tr w:rsidR="00A874AC" w:rsidRPr="00A77CF0" w:rsidTr="005D6981">
        <w:trPr>
          <w:trHeight w:val="368"/>
        </w:trPr>
        <w:tc>
          <w:tcPr>
            <w:tcW w:w="4348" w:type="dxa"/>
            <w:shd w:val="clear" w:color="000000" w:fill="FFFFFF"/>
            <w:vAlign w:val="center"/>
          </w:tcPr>
          <w:p w:rsidR="0023582E" w:rsidRDefault="0023582E" w:rsidP="0023582E">
            <w:pPr>
              <w:jc w:val="left"/>
              <w:rPr>
                <w:sz w:val="20"/>
                <w:szCs w:val="20"/>
              </w:rPr>
            </w:pPr>
            <w:r>
              <w:rPr>
                <w:sz w:val="20"/>
                <w:szCs w:val="20"/>
              </w:rPr>
              <w:t>Commercial Sector Umbrella EE (Upstream Lighting)</w:t>
            </w:r>
          </w:p>
        </w:tc>
        <w:tc>
          <w:tcPr>
            <w:tcW w:w="1251" w:type="dxa"/>
            <w:shd w:val="clear" w:color="000000" w:fill="FFFFFF"/>
            <w:vAlign w:val="center"/>
          </w:tcPr>
          <w:p w:rsidR="0023582E" w:rsidRPr="00F65B02" w:rsidRDefault="0023582E" w:rsidP="0023582E">
            <w:pPr>
              <w:jc w:val="center"/>
              <w:rPr>
                <w:sz w:val="20"/>
                <w:szCs w:val="20"/>
              </w:rPr>
            </w:pPr>
            <w:r>
              <w:rPr>
                <w:sz w:val="20"/>
                <w:szCs w:val="20"/>
              </w:rPr>
              <w:t>103%</w:t>
            </w:r>
          </w:p>
        </w:tc>
        <w:tc>
          <w:tcPr>
            <w:tcW w:w="1252" w:type="dxa"/>
            <w:shd w:val="clear" w:color="000000" w:fill="FFFFFF"/>
            <w:vAlign w:val="center"/>
          </w:tcPr>
          <w:p w:rsidR="0023582E" w:rsidRPr="002B7663" w:rsidRDefault="0023582E" w:rsidP="0023582E">
            <w:pPr>
              <w:jc w:val="center"/>
              <w:rPr>
                <w:sz w:val="20"/>
                <w:szCs w:val="20"/>
              </w:rPr>
            </w:pPr>
            <w:r>
              <w:rPr>
                <w:sz w:val="20"/>
                <w:szCs w:val="20"/>
              </w:rPr>
              <w:t>4%</w:t>
            </w:r>
          </w:p>
        </w:tc>
        <w:tc>
          <w:tcPr>
            <w:tcW w:w="1252" w:type="dxa"/>
            <w:shd w:val="clear" w:color="000000" w:fill="FFFFFF"/>
            <w:vAlign w:val="center"/>
          </w:tcPr>
          <w:p w:rsidR="0023582E" w:rsidRDefault="0023582E" w:rsidP="0023582E">
            <w:pPr>
              <w:jc w:val="center"/>
              <w:rPr>
                <w:sz w:val="20"/>
                <w:szCs w:val="20"/>
              </w:rPr>
            </w:pPr>
            <w:r>
              <w:rPr>
                <w:sz w:val="20"/>
                <w:szCs w:val="20"/>
              </w:rPr>
              <w:t>113</w:t>
            </w:r>
            <w:r w:rsidR="0026677E">
              <w:rPr>
                <w:sz w:val="20"/>
                <w:szCs w:val="20"/>
              </w:rPr>
              <w:t>%</w:t>
            </w:r>
          </w:p>
        </w:tc>
        <w:tc>
          <w:tcPr>
            <w:tcW w:w="1252" w:type="dxa"/>
            <w:shd w:val="clear" w:color="000000" w:fill="FFFFFF"/>
            <w:vAlign w:val="center"/>
          </w:tcPr>
          <w:p w:rsidR="0023582E" w:rsidRDefault="0026677E" w:rsidP="0023582E">
            <w:pPr>
              <w:jc w:val="center"/>
              <w:rPr>
                <w:sz w:val="20"/>
                <w:szCs w:val="20"/>
              </w:rPr>
            </w:pPr>
            <w:r>
              <w:rPr>
                <w:sz w:val="20"/>
                <w:szCs w:val="20"/>
              </w:rPr>
              <w:t>20.8%</w:t>
            </w:r>
          </w:p>
        </w:tc>
      </w:tr>
      <w:tr w:rsidR="00A874AC" w:rsidRPr="00A77CF0" w:rsidTr="005D6981">
        <w:trPr>
          <w:trHeight w:val="368"/>
        </w:trPr>
        <w:tc>
          <w:tcPr>
            <w:tcW w:w="4348" w:type="dxa"/>
            <w:shd w:val="clear" w:color="000000" w:fill="D2EAF1"/>
            <w:vAlign w:val="center"/>
          </w:tcPr>
          <w:p w:rsidR="0023582E" w:rsidRDefault="0023582E" w:rsidP="0023582E">
            <w:pPr>
              <w:jc w:val="left"/>
              <w:rPr>
                <w:sz w:val="20"/>
                <w:szCs w:val="20"/>
              </w:rPr>
            </w:pPr>
            <w:r>
              <w:rPr>
                <w:sz w:val="20"/>
                <w:szCs w:val="20"/>
              </w:rPr>
              <w:t>Healthcare EE</w:t>
            </w:r>
          </w:p>
        </w:tc>
        <w:tc>
          <w:tcPr>
            <w:tcW w:w="1251" w:type="dxa"/>
            <w:shd w:val="clear" w:color="000000" w:fill="D2EAF1"/>
            <w:vAlign w:val="center"/>
          </w:tcPr>
          <w:p w:rsidR="0023582E" w:rsidRPr="00F65B02" w:rsidRDefault="0023582E" w:rsidP="0023582E">
            <w:pPr>
              <w:jc w:val="center"/>
              <w:rPr>
                <w:sz w:val="20"/>
                <w:szCs w:val="20"/>
              </w:rPr>
            </w:pPr>
            <w:r>
              <w:rPr>
                <w:sz w:val="20"/>
                <w:szCs w:val="20"/>
              </w:rPr>
              <w:t>103%</w:t>
            </w:r>
          </w:p>
        </w:tc>
        <w:tc>
          <w:tcPr>
            <w:tcW w:w="1252" w:type="dxa"/>
            <w:shd w:val="clear" w:color="000000" w:fill="D2EAF1"/>
            <w:vAlign w:val="center"/>
          </w:tcPr>
          <w:p w:rsidR="0023582E" w:rsidRPr="002B7663" w:rsidRDefault="0023582E" w:rsidP="0023582E">
            <w:pPr>
              <w:jc w:val="center"/>
              <w:rPr>
                <w:sz w:val="20"/>
                <w:szCs w:val="20"/>
              </w:rPr>
            </w:pPr>
            <w:r>
              <w:rPr>
                <w:sz w:val="20"/>
                <w:szCs w:val="20"/>
              </w:rPr>
              <w:t>4%</w:t>
            </w:r>
          </w:p>
        </w:tc>
        <w:tc>
          <w:tcPr>
            <w:tcW w:w="1252" w:type="dxa"/>
            <w:shd w:val="clear" w:color="000000" w:fill="D2EAF1"/>
            <w:vAlign w:val="center"/>
          </w:tcPr>
          <w:p w:rsidR="0023582E" w:rsidRDefault="0023582E" w:rsidP="0023582E">
            <w:pPr>
              <w:jc w:val="center"/>
              <w:rPr>
                <w:sz w:val="20"/>
                <w:szCs w:val="20"/>
              </w:rPr>
            </w:pPr>
            <w:r>
              <w:rPr>
                <w:sz w:val="20"/>
                <w:szCs w:val="20"/>
              </w:rPr>
              <w:t>113</w:t>
            </w:r>
            <w:r w:rsidR="0026677E">
              <w:rPr>
                <w:sz w:val="20"/>
                <w:szCs w:val="20"/>
              </w:rPr>
              <w:t>%</w:t>
            </w:r>
          </w:p>
        </w:tc>
        <w:tc>
          <w:tcPr>
            <w:tcW w:w="1252" w:type="dxa"/>
            <w:shd w:val="clear" w:color="000000" w:fill="D2EAF1"/>
            <w:vAlign w:val="center"/>
          </w:tcPr>
          <w:p w:rsidR="0023582E" w:rsidRDefault="0026677E" w:rsidP="0026677E">
            <w:pPr>
              <w:jc w:val="center"/>
              <w:rPr>
                <w:sz w:val="20"/>
                <w:szCs w:val="20"/>
              </w:rPr>
            </w:pPr>
            <w:r>
              <w:rPr>
                <w:sz w:val="20"/>
                <w:szCs w:val="20"/>
              </w:rPr>
              <w:t>20.8%</w:t>
            </w:r>
          </w:p>
        </w:tc>
      </w:tr>
      <w:tr w:rsidR="00A874AC" w:rsidRPr="00A77CF0" w:rsidTr="005D6981">
        <w:trPr>
          <w:trHeight w:val="368"/>
        </w:trPr>
        <w:tc>
          <w:tcPr>
            <w:tcW w:w="4348" w:type="dxa"/>
            <w:shd w:val="clear" w:color="000000" w:fill="FFFFFF"/>
            <w:vAlign w:val="center"/>
          </w:tcPr>
          <w:p w:rsidR="0023582E" w:rsidRDefault="0023582E" w:rsidP="0023582E">
            <w:pPr>
              <w:jc w:val="left"/>
              <w:rPr>
                <w:sz w:val="20"/>
                <w:szCs w:val="20"/>
              </w:rPr>
            </w:pPr>
            <w:r>
              <w:rPr>
                <w:sz w:val="20"/>
                <w:szCs w:val="20"/>
              </w:rPr>
              <w:t>Industrial Sector Umbrella EE</w:t>
            </w:r>
          </w:p>
        </w:tc>
        <w:tc>
          <w:tcPr>
            <w:tcW w:w="1251" w:type="dxa"/>
            <w:shd w:val="clear" w:color="000000" w:fill="FFFFFF"/>
            <w:vAlign w:val="center"/>
          </w:tcPr>
          <w:p w:rsidR="0023582E" w:rsidRPr="00F65B02" w:rsidRDefault="0023582E" w:rsidP="0023582E">
            <w:pPr>
              <w:jc w:val="center"/>
              <w:rPr>
                <w:sz w:val="20"/>
                <w:szCs w:val="20"/>
              </w:rPr>
            </w:pPr>
            <w:r>
              <w:rPr>
                <w:sz w:val="20"/>
                <w:szCs w:val="20"/>
              </w:rPr>
              <w:t>99%</w:t>
            </w:r>
          </w:p>
        </w:tc>
        <w:tc>
          <w:tcPr>
            <w:tcW w:w="1252" w:type="dxa"/>
            <w:shd w:val="clear" w:color="000000" w:fill="FFFFFF"/>
            <w:vAlign w:val="center"/>
          </w:tcPr>
          <w:p w:rsidR="0023582E" w:rsidRPr="002B7663" w:rsidRDefault="0023582E" w:rsidP="0023582E">
            <w:pPr>
              <w:jc w:val="center"/>
              <w:rPr>
                <w:sz w:val="20"/>
                <w:szCs w:val="20"/>
              </w:rPr>
            </w:pPr>
            <w:r>
              <w:rPr>
                <w:sz w:val="20"/>
                <w:szCs w:val="20"/>
              </w:rPr>
              <w:t>2%</w:t>
            </w:r>
          </w:p>
        </w:tc>
        <w:tc>
          <w:tcPr>
            <w:tcW w:w="1252" w:type="dxa"/>
            <w:shd w:val="clear" w:color="000000" w:fill="FFFFFF"/>
            <w:vAlign w:val="center"/>
          </w:tcPr>
          <w:p w:rsidR="0023582E" w:rsidRDefault="0023582E" w:rsidP="0023582E">
            <w:pPr>
              <w:jc w:val="center"/>
              <w:rPr>
                <w:sz w:val="20"/>
                <w:szCs w:val="20"/>
              </w:rPr>
            </w:pPr>
            <w:r>
              <w:rPr>
                <w:sz w:val="20"/>
                <w:szCs w:val="20"/>
              </w:rPr>
              <w:t>94</w:t>
            </w:r>
            <w:r w:rsidR="0026677E">
              <w:rPr>
                <w:sz w:val="20"/>
                <w:szCs w:val="20"/>
              </w:rPr>
              <w:t>%</w:t>
            </w:r>
          </w:p>
        </w:tc>
        <w:tc>
          <w:tcPr>
            <w:tcW w:w="1252" w:type="dxa"/>
            <w:shd w:val="clear" w:color="000000" w:fill="FFFFFF"/>
            <w:vAlign w:val="center"/>
          </w:tcPr>
          <w:p w:rsidR="0023582E" w:rsidRDefault="0026677E" w:rsidP="0023582E">
            <w:pPr>
              <w:jc w:val="center"/>
              <w:rPr>
                <w:sz w:val="20"/>
                <w:szCs w:val="20"/>
              </w:rPr>
            </w:pPr>
            <w:r>
              <w:rPr>
                <w:sz w:val="20"/>
                <w:szCs w:val="20"/>
              </w:rPr>
              <w:t>6.4%</w:t>
            </w:r>
          </w:p>
        </w:tc>
      </w:tr>
      <w:tr w:rsidR="00A874AC" w:rsidRPr="00A77CF0" w:rsidTr="005D6981">
        <w:trPr>
          <w:trHeight w:val="368"/>
        </w:trPr>
        <w:tc>
          <w:tcPr>
            <w:tcW w:w="4348" w:type="dxa"/>
            <w:shd w:val="clear" w:color="000000" w:fill="D2EAF1"/>
            <w:vAlign w:val="center"/>
          </w:tcPr>
          <w:p w:rsidR="0023582E" w:rsidRDefault="0023582E" w:rsidP="0023582E">
            <w:pPr>
              <w:jc w:val="left"/>
              <w:rPr>
                <w:sz w:val="20"/>
                <w:szCs w:val="20"/>
              </w:rPr>
            </w:pPr>
            <w:r>
              <w:rPr>
                <w:sz w:val="20"/>
                <w:szCs w:val="20"/>
              </w:rPr>
              <w:t>Chemical Products EE</w:t>
            </w:r>
          </w:p>
        </w:tc>
        <w:tc>
          <w:tcPr>
            <w:tcW w:w="1251" w:type="dxa"/>
            <w:shd w:val="clear" w:color="000000" w:fill="D2EAF1"/>
            <w:vAlign w:val="center"/>
          </w:tcPr>
          <w:p w:rsidR="0023582E" w:rsidRPr="00F65B02" w:rsidRDefault="0023582E" w:rsidP="0023582E">
            <w:pPr>
              <w:jc w:val="center"/>
              <w:rPr>
                <w:sz w:val="20"/>
                <w:szCs w:val="20"/>
              </w:rPr>
            </w:pPr>
            <w:r>
              <w:rPr>
                <w:sz w:val="20"/>
                <w:szCs w:val="20"/>
              </w:rPr>
              <w:t>99%</w:t>
            </w:r>
          </w:p>
        </w:tc>
        <w:tc>
          <w:tcPr>
            <w:tcW w:w="1252" w:type="dxa"/>
            <w:shd w:val="clear" w:color="000000" w:fill="D2EAF1"/>
            <w:vAlign w:val="center"/>
          </w:tcPr>
          <w:p w:rsidR="0023582E" w:rsidRPr="002B7663" w:rsidRDefault="0023582E" w:rsidP="0023582E">
            <w:pPr>
              <w:jc w:val="center"/>
              <w:rPr>
                <w:sz w:val="20"/>
                <w:szCs w:val="20"/>
              </w:rPr>
            </w:pPr>
            <w:r>
              <w:rPr>
                <w:sz w:val="20"/>
                <w:szCs w:val="20"/>
              </w:rPr>
              <w:t>2%</w:t>
            </w:r>
          </w:p>
        </w:tc>
        <w:tc>
          <w:tcPr>
            <w:tcW w:w="1252" w:type="dxa"/>
            <w:shd w:val="clear" w:color="000000" w:fill="D2EAF1"/>
            <w:vAlign w:val="center"/>
          </w:tcPr>
          <w:p w:rsidR="0023582E" w:rsidRDefault="0023582E" w:rsidP="0023582E">
            <w:pPr>
              <w:jc w:val="center"/>
              <w:rPr>
                <w:sz w:val="20"/>
                <w:szCs w:val="20"/>
              </w:rPr>
            </w:pPr>
            <w:r>
              <w:rPr>
                <w:sz w:val="20"/>
                <w:szCs w:val="20"/>
              </w:rPr>
              <w:t>94</w:t>
            </w:r>
            <w:r w:rsidR="0026677E">
              <w:rPr>
                <w:sz w:val="20"/>
                <w:szCs w:val="20"/>
              </w:rPr>
              <w:t>%</w:t>
            </w:r>
          </w:p>
        </w:tc>
        <w:tc>
          <w:tcPr>
            <w:tcW w:w="1252" w:type="dxa"/>
            <w:shd w:val="clear" w:color="000000" w:fill="D2EAF1"/>
            <w:vAlign w:val="center"/>
          </w:tcPr>
          <w:p w:rsidR="0023582E" w:rsidRDefault="0026677E" w:rsidP="0023582E">
            <w:pPr>
              <w:jc w:val="center"/>
              <w:rPr>
                <w:sz w:val="20"/>
                <w:szCs w:val="20"/>
              </w:rPr>
            </w:pPr>
            <w:r>
              <w:rPr>
                <w:sz w:val="20"/>
                <w:szCs w:val="20"/>
              </w:rPr>
              <w:t>6.4%</w:t>
            </w:r>
          </w:p>
        </w:tc>
      </w:tr>
      <w:tr w:rsidR="00A874AC" w:rsidRPr="00A77CF0" w:rsidTr="005D6981">
        <w:trPr>
          <w:trHeight w:val="368"/>
        </w:trPr>
        <w:tc>
          <w:tcPr>
            <w:tcW w:w="4348" w:type="dxa"/>
            <w:shd w:val="clear" w:color="000000" w:fill="FFFFFF"/>
            <w:vAlign w:val="center"/>
          </w:tcPr>
          <w:p w:rsidR="0023582E" w:rsidRDefault="0023582E" w:rsidP="0023582E">
            <w:pPr>
              <w:jc w:val="left"/>
              <w:rPr>
                <w:sz w:val="20"/>
                <w:szCs w:val="20"/>
              </w:rPr>
            </w:pPr>
            <w:r>
              <w:rPr>
                <w:sz w:val="20"/>
                <w:szCs w:val="20"/>
              </w:rPr>
              <w:t>Mixed Industrial EE</w:t>
            </w:r>
          </w:p>
        </w:tc>
        <w:tc>
          <w:tcPr>
            <w:tcW w:w="1251" w:type="dxa"/>
            <w:shd w:val="clear" w:color="000000" w:fill="FFFFFF"/>
            <w:vAlign w:val="center"/>
          </w:tcPr>
          <w:p w:rsidR="0023582E" w:rsidRPr="00F65B02" w:rsidRDefault="0023582E" w:rsidP="0023582E">
            <w:pPr>
              <w:jc w:val="center"/>
              <w:rPr>
                <w:sz w:val="20"/>
                <w:szCs w:val="20"/>
              </w:rPr>
            </w:pPr>
            <w:r>
              <w:rPr>
                <w:sz w:val="20"/>
                <w:szCs w:val="20"/>
              </w:rPr>
              <w:t>99%</w:t>
            </w:r>
          </w:p>
        </w:tc>
        <w:tc>
          <w:tcPr>
            <w:tcW w:w="1252" w:type="dxa"/>
            <w:shd w:val="clear" w:color="000000" w:fill="FFFFFF"/>
            <w:vAlign w:val="center"/>
          </w:tcPr>
          <w:p w:rsidR="0023582E" w:rsidRPr="002B7663" w:rsidRDefault="0023582E" w:rsidP="0023582E">
            <w:pPr>
              <w:jc w:val="center"/>
              <w:rPr>
                <w:sz w:val="20"/>
                <w:szCs w:val="20"/>
              </w:rPr>
            </w:pPr>
            <w:r>
              <w:rPr>
                <w:sz w:val="20"/>
                <w:szCs w:val="20"/>
              </w:rPr>
              <w:t>2%</w:t>
            </w:r>
          </w:p>
        </w:tc>
        <w:tc>
          <w:tcPr>
            <w:tcW w:w="1252" w:type="dxa"/>
            <w:shd w:val="clear" w:color="000000" w:fill="FFFFFF"/>
            <w:vAlign w:val="center"/>
          </w:tcPr>
          <w:p w:rsidR="0023582E" w:rsidRDefault="0023582E" w:rsidP="0023582E">
            <w:pPr>
              <w:jc w:val="center"/>
              <w:rPr>
                <w:sz w:val="20"/>
                <w:szCs w:val="20"/>
              </w:rPr>
            </w:pPr>
            <w:r>
              <w:rPr>
                <w:sz w:val="20"/>
                <w:szCs w:val="20"/>
              </w:rPr>
              <w:t>94</w:t>
            </w:r>
            <w:r w:rsidR="0026677E">
              <w:rPr>
                <w:sz w:val="20"/>
                <w:szCs w:val="20"/>
              </w:rPr>
              <w:t>%</w:t>
            </w:r>
          </w:p>
        </w:tc>
        <w:tc>
          <w:tcPr>
            <w:tcW w:w="1252" w:type="dxa"/>
            <w:shd w:val="clear" w:color="000000" w:fill="FFFFFF"/>
            <w:vAlign w:val="center"/>
          </w:tcPr>
          <w:p w:rsidR="0023582E" w:rsidRDefault="0026677E" w:rsidP="0023582E">
            <w:pPr>
              <w:jc w:val="center"/>
              <w:rPr>
                <w:sz w:val="20"/>
                <w:szCs w:val="20"/>
              </w:rPr>
            </w:pPr>
            <w:r>
              <w:rPr>
                <w:sz w:val="20"/>
                <w:szCs w:val="20"/>
              </w:rPr>
              <w:t>6.4%</w:t>
            </w:r>
          </w:p>
        </w:tc>
      </w:tr>
      <w:tr w:rsidR="00A874AC" w:rsidRPr="00A77CF0" w:rsidTr="005D6981">
        <w:trPr>
          <w:trHeight w:val="368"/>
        </w:trPr>
        <w:tc>
          <w:tcPr>
            <w:tcW w:w="4348" w:type="dxa"/>
            <w:shd w:val="clear" w:color="000000" w:fill="D2EAF1"/>
            <w:vAlign w:val="center"/>
          </w:tcPr>
          <w:p w:rsidR="0023582E" w:rsidRDefault="0023582E" w:rsidP="0023582E">
            <w:pPr>
              <w:jc w:val="left"/>
              <w:rPr>
                <w:sz w:val="20"/>
                <w:szCs w:val="20"/>
              </w:rPr>
            </w:pPr>
            <w:r>
              <w:rPr>
                <w:sz w:val="20"/>
                <w:szCs w:val="20"/>
              </w:rPr>
              <w:t>Office Building – Large EE</w:t>
            </w:r>
          </w:p>
        </w:tc>
        <w:tc>
          <w:tcPr>
            <w:tcW w:w="1251" w:type="dxa"/>
            <w:shd w:val="clear" w:color="000000" w:fill="D2EAF1"/>
            <w:vAlign w:val="center"/>
          </w:tcPr>
          <w:p w:rsidR="0023582E" w:rsidRPr="00F65B02" w:rsidRDefault="0023582E" w:rsidP="0023582E">
            <w:pPr>
              <w:jc w:val="center"/>
              <w:rPr>
                <w:sz w:val="20"/>
                <w:szCs w:val="20"/>
              </w:rPr>
            </w:pPr>
            <w:r>
              <w:rPr>
                <w:sz w:val="20"/>
                <w:szCs w:val="20"/>
              </w:rPr>
              <w:t>103%</w:t>
            </w:r>
          </w:p>
        </w:tc>
        <w:tc>
          <w:tcPr>
            <w:tcW w:w="1252" w:type="dxa"/>
            <w:shd w:val="clear" w:color="000000" w:fill="D2EAF1"/>
            <w:vAlign w:val="center"/>
          </w:tcPr>
          <w:p w:rsidR="0023582E" w:rsidRPr="002B7663" w:rsidRDefault="0023582E" w:rsidP="0023582E">
            <w:pPr>
              <w:jc w:val="center"/>
              <w:rPr>
                <w:sz w:val="20"/>
                <w:szCs w:val="20"/>
              </w:rPr>
            </w:pPr>
            <w:r>
              <w:rPr>
                <w:sz w:val="20"/>
                <w:szCs w:val="20"/>
              </w:rPr>
              <w:t>4%</w:t>
            </w:r>
          </w:p>
        </w:tc>
        <w:tc>
          <w:tcPr>
            <w:tcW w:w="1252" w:type="dxa"/>
            <w:shd w:val="clear" w:color="000000" w:fill="D2EAF1"/>
            <w:vAlign w:val="center"/>
          </w:tcPr>
          <w:p w:rsidR="0023582E" w:rsidRDefault="0023582E" w:rsidP="0023582E">
            <w:pPr>
              <w:jc w:val="center"/>
              <w:rPr>
                <w:sz w:val="20"/>
                <w:szCs w:val="20"/>
              </w:rPr>
            </w:pPr>
            <w:r>
              <w:rPr>
                <w:sz w:val="20"/>
                <w:szCs w:val="20"/>
              </w:rPr>
              <w:t>113</w:t>
            </w:r>
            <w:r w:rsidR="0026677E">
              <w:rPr>
                <w:sz w:val="20"/>
                <w:szCs w:val="20"/>
              </w:rPr>
              <w:t>%</w:t>
            </w:r>
          </w:p>
        </w:tc>
        <w:tc>
          <w:tcPr>
            <w:tcW w:w="1252" w:type="dxa"/>
            <w:shd w:val="clear" w:color="000000" w:fill="D2EAF1"/>
            <w:vAlign w:val="center"/>
          </w:tcPr>
          <w:p w:rsidR="0023582E" w:rsidRDefault="0026677E" w:rsidP="0023582E">
            <w:pPr>
              <w:jc w:val="center"/>
              <w:rPr>
                <w:sz w:val="20"/>
                <w:szCs w:val="20"/>
              </w:rPr>
            </w:pPr>
            <w:r>
              <w:rPr>
                <w:sz w:val="20"/>
                <w:szCs w:val="20"/>
              </w:rPr>
              <w:t>20.8%</w:t>
            </w:r>
          </w:p>
        </w:tc>
      </w:tr>
      <w:tr w:rsidR="00A874AC" w:rsidRPr="00A77CF0" w:rsidTr="005D6981">
        <w:trPr>
          <w:trHeight w:val="368"/>
        </w:trPr>
        <w:tc>
          <w:tcPr>
            <w:tcW w:w="4348" w:type="dxa"/>
            <w:shd w:val="clear" w:color="000000" w:fill="FFFFFF"/>
            <w:vAlign w:val="center"/>
          </w:tcPr>
          <w:p w:rsidR="0023582E" w:rsidRDefault="0023582E" w:rsidP="0023582E">
            <w:pPr>
              <w:jc w:val="left"/>
              <w:rPr>
                <w:sz w:val="20"/>
                <w:szCs w:val="20"/>
              </w:rPr>
            </w:pPr>
            <w:r>
              <w:rPr>
                <w:sz w:val="20"/>
                <w:szCs w:val="20"/>
              </w:rPr>
              <w:t>Office Building – Small EE</w:t>
            </w:r>
          </w:p>
        </w:tc>
        <w:tc>
          <w:tcPr>
            <w:tcW w:w="1251" w:type="dxa"/>
            <w:shd w:val="clear" w:color="000000" w:fill="FFFFFF"/>
            <w:vAlign w:val="center"/>
          </w:tcPr>
          <w:p w:rsidR="0023582E" w:rsidRPr="00F65B02" w:rsidRDefault="0023582E" w:rsidP="0023582E">
            <w:pPr>
              <w:jc w:val="center"/>
              <w:rPr>
                <w:sz w:val="20"/>
                <w:szCs w:val="20"/>
              </w:rPr>
            </w:pPr>
            <w:r>
              <w:rPr>
                <w:sz w:val="20"/>
                <w:szCs w:val="20"/>
              </w:rPr>
              <w:t>103%</w:t>
            </w:r>
          </w:p>
        </w:tc>
        <w:tc>
          <w:tcPr>
            <w:tcW w:w="1252" w:type="dxa"/>
            <w:shd w:val="clear" w:color="000000" w:fill="FFFFFF"/>
            <w:vAlign w:val="center"/>
          </w:tcPr>
          <w:p w:rsidR="0023582E" w:rsidRPr="002B7663" w:rsidRDefault="0023582E" w:rsidP="0023582E">
            <w:pPr>
              <w:jc w:val="center"/>
              <w:rPr>
                <w:sz w:val="20"/>
                <w:szCs w:val="20"/>
              </w:rPr>
            </w:pPr>
            <w:r>
              <w:rPr>
                <w:sz w:val="20"/>
                <w:szCs w:val="20"/>
              </w:rPr>
              <w:t>4%</w:t>
            </w:r>
          </w:p>
        </w:tc>
        <w:tc>
          <w:tcPr>
            <w:tcW w:w="1252" w:type="dxa"/>
            <w:shd w:val="clear" w:color="000000" w:fill="FFFFFF"/>
            <w:vAlign w:val="center"/>
          </w:tcPr>
          <w:p w:rsidR="0023582E" w:rsidRDefault="0023582E" w:rsidP="0023582E">
            <w:pPr>
              <w:jc w:val="center"/>
              <w:rPr>
                <w:sz w:val="20"/>
                <w:szCs w:val="20"/>
              </w:rPr>
            </w:pPr>
            <w:r>
              <w:rPr>
                <w:sz w:val="20"/>
                <w:szCs w:val="20"/>
              </w:rPr>
              <w:t>113</w:t>
            </w:r>
            <w:r w:rsidR="0026677E">
              <w:rPr>
                <w:sz w:val="20"/>
                <w:szCs w:val="20"/>
              </w:rPr>
              <w:t>%</w:t>
            </w:r>
          </w:p>
        </w:tc>
        <w:tc>
          <w:tcPr>
            <w:tcW w:w="1252" w:type="dxa"/>
            <w:shd w:val="clear" w:color="000000" w:fill="FFFFFF"/>
            <w:vAlign w:val="center"/>
          </w:tcPr>
          <w:p w:rsidR="0023582E" w:rsidRDefault="0026677E" w:rsidP="0023582E">
            <w:pPr>
              <w:jc w:val="center"/>
              <w:rPr>
                <w:sz w:val="20"/>
                <w:szCs w:val="20"/>
              </w:rPr>
            </w:pPr>
            <w:r>
              <w:rPr>
                <w:sz w:val="20"/>
                <w:szCs w:val="20"/>
              </w:rPr>
              <w:t>20.8%</w:t>
            </w:r>
          </w:p>
        </w:tc>
      </w:tr>
      <w:tr w:rsidR="00A874AC" w:rsidRPr="00A77CF0" w:rsidTr="005D6981">
        <w:trPr>
          <w:trHeight w:val="368"/>
        </w:trPr>
        <w:tc>
          <w:tcPr>
            <w:tcW w:w="4348" w:type="dxa"/>
            <w:shd w:val="clear" w:color="000000" w:fill="D2EAF1"/>
            <w:vAlign w:val="center"/>
          </w:tcPr>
          <w:p w:rsidR="0023582E" w:rsidRDefault="0023582E" w:rsidP="0023582E">
            <w:pPr>
              <w:jc w:val="left"/>
              <w:rPr>
                <w:sz w:val="20"/>
                <w:szCs w:val="20"/>
              </w:rPr>
            </w:pPr>
            <w:r>
              <w:rPr>
                <w:sz w:val="20"/>
                <w:szCs w:val="20"/>
              </w:rPr>
              <w:t>Primary Metals EE</w:t>
            </w:r>
          </w:p>
        </w:tc>
        <w:tc>
          <w:tcPr>
            <w:tcW w:w="1251" w:type="dxa"/>
            <w:shd w:val="clear" w:color="000000" w:fill="D2EAF1"/>
            <w:vAlign w:val="center"/>
          </w:tcPr>
          <w:p w:rsidR="0023582E" w:rsidRPr="00F65B02" w:rsidRDefault="0023582E" w:rsidP="0023582E">
            <w:pPr>
              <w:jc w:val="center"/>
              <w:rPr>
                <w:sz w:val="20"/>
                <w:szCs w:val="20"/>
              </w:rPr>
            </w:pPr>
            <w:r>
              <w:rPr>
                <w:sz w:val="20"/>
                <w:szCs w:val="20"/>
              </w:rPr>
              <w:t>99%</w:t>
            </w:r>
          </w:p>
        </w:tc>
        <w:tc>
          <w:tcPr>
            <w:tcW w:w="1252" w:type="dxa"/>
            <w:shd w:val="clear" w:color="000000" w:fill="D2EAF1"/>
            <w:vAlign w:val="center"/>
          </w:tcPr>
          <w:p w:rsidR="0023582E" w:rsidRPr="002B7663" w:rsidRDefault="0023582E" w:rsidP="0023582E">
            <w:pPr>
              <w:jc w:val="center"/>
              <w:rPr>
                <w:sz w:val="20"/>
                <w:szCs w:val="20"/>
              </w:rPr>
            </w:pPr>
            <w:r>
              <w:rPr>
                <w:sz w:val="20"/>
                <w:szCs w:val="20"/>
              </w:rPr>
              <w:t>2%</w:t>
            </w:r>
          </w:p>
        </w:tc>
        <w:tc>
          <w:tcPr>
            <w:tcW w:w="1252" w:type="dxa"/>
            <w:shd w:val="clear" w:color="000000" w:fill="D2EAF1"/>
            <w:vAlign w:val="center"/>
          </w:tcPr>
          <w:p w:rsidR="0023582E" w:rsidRDefault="0023582E" w:rsidP="0023582E">
            <w:pPr>
              <w:jc w:val="center"/>
              <w:rPr>
                <w:sz w:val="20"/>
                <w:szCs w:val="20"/>
              </w:rPr>
            </w:pPr>
            <w:r>
              <w:rPr>
                <w:sz w:val="20"/>
                <w:szCs w:val="20"/>
              </w:rPr>
              <w:t>94</w:t>
            </w:r>
            <w:r w:rsidR="0026677E">
              <w:rPr>
                <w:sz w:val="20"/>
                <w:szCs w:val="20"/>
              </w:rPr>
              <w:t>%</w:t>
            </w:r>
          </w:p>
        </w:tc>
        <w:tc>
          <w:tcPr>
            <w:tcW w:w="1252" w:type="dxa"/>
            <w:shd w:val="clear" w:color="000000" w:fill="D2EAF1"/>
            <w:vAlign w:val="center"/>
          </w:tcPr>
          <w:p w:rsidR="0023582E" w:rsidRDefault="0026677E" w:rsidP="0023582E">
            <w:pPr>
              <w:jc w:val="center"/>
              <w:rPr>
                <w:sz w:val="20"/>
                <w:szCs w:val="20"/>
              </w:rPr>
            </w:pPr>
            <w:r>
              <w:rPr>
                <w:sz w:val="20"/>
                <w:szCs w:val="20"/>
              </w:rPr>
              <w:t>6.4%</w:t>
            </w:r>
          </w:p>
        </w:tc>
      </w:tr>
      <w:tr w:rsidR="00A874AC" w:rsidRPr="00A77CF0" w:rsidTr="005D6981">
        <w:trPr>
          <w:trHeight w:val="368"/>
        </w:trPr>
        <w:tc>
          <w:tcPr>
            <w:tcW w:w="4348" w:type="dxa"/>
            <w:shd w:val="clear" w:color="000000" w:fill="FFFFFF"/>
            <w:vAlign w:val="center"/>
          </w:tcPr>
          <w:p w:rsidR="0023582E" w:rsidRDefault="0023582E" w:rsidP="0023582E">
            <w:pPr>
              <w:jc w:val="left"/>
              <w:rPr>
                <w:sz w:val="20"/>
                <w:szCs w:val="20"/>
              </w:rPr>
            </w:pPr>
            <w:r>
              <w:rPr>
                <w:sz w:val="20"/>
                <w:szCs w:val="20"/>
              </w:rPr>
              <w:t>Public Agency / Non-Profit</w:t>
            </w:r>
          </w:p>
        </w:tc>
        <w:tc>
          <w:tcPr>
            <w:tcW w:w="1251" w:type="dxa"/>
            <w:shd w:val="clear" w:color="000000" w:fill="FFFFFF"/>
            <w:vAlign w:val="center"/>
          </w:tcPr>
          <w:p w:rsidR="0023582E" w:rsidRPr="00F65B02" w:rsidRDefault="0023582E" w:rsidP="0023582E">
            <w:pPr>
              <w:jc w:val="center"/>
              <w:rPr>
                <w:sz w:val="20"/>
                <w:szCs w:val="20"/>
              </w:rPr>
            </w:pPr>
            <w:r>
              <w:rPr>
                <w:sz w:val="20"/>
                <w:szCs w:val="20"/>
              </w:rPr>
              <w:t>85%</w:t>
            </w:r>
          </w:p>
        </w:tc>
        <w:tc>
          <w:tcPr>
            <w:tcW w:w="1252" w:type="dxa"/>
            <w:shd w:val="clear" w:color="000000" w:fill="FFFFFF"/>
            <w:vAlign w:val="center"/>
          </w:tcPr>
          <w:p w:rsidR="0023582E" w:rsidRPr="002B7663" w:rsidRDefault="0023582E" w:rsidP="0023582E">
            <w:pPr>
              <w:jc w:val="center"/>
              <w:rPr>
                <w:sz w:val="20"/>
                <w:szCs w:val="20"/>
              </w:rPr>
            </w:pPr>
            <w:r>
              <w:rPr>
                <w:sz w:val="20"/>
                <w:szCs w:val="20"/>
              </w:rPr>
              <w:t>10%</w:t>
            </w:r>
          </w:p>
        </w:tc>
        <w:tc>
          <w:tcPr>
            <w:tcW w:w="1252" w:type="dxa"/>
            <w:shd w:val="clear" w:color="000000" w:fill="FFFFFF"/>
            <w:vAlign w:val="center"/>
          </w:tcPr>
          <w:p w:rsidR="0023582E" w:rsidRDefault="0023582E" w:rsidP="0023582E">
            <w:pPr>
              <w:jc w:val="center"/>
              <w:rPr>
                <w:sz w:val="20"/>
                <w:szCs w:val="20"/>
              </w:rPr>
            </w:pPr>
            <w:r>
              <w:rPr>
                <w:sz w:val="20"/>
                <w:szCs w:val="20"/>
              </w:rPr>
              <w:t>74</w:t>
            </w:r>
            <w:r w:rsidR="0026677E">
              <w:rPr>
                <w:sz w:val="20"/>
                <w:szCs w:val="20"/>
              </w:rPr>
              <w:t>%</w:t>
            </w:r>
          </w:p>
        </w:tc>
        <w:tc>
          <w:tcPr>
            <w:tcW w:w="1252" w:type="dxa"/>
            <w:shd w:val="clear" w:color="000000" w:fill="FFFFFF"/>
            <w:vAlign w:val="center"/>
          </w:tcPr>
          <w:p w:rsidR="0023582E" w:rsidRDefault="0026677E" w:rsidP="0023582E">
            <w:pPr>
              <w:jc w:val="center"/>
              <w:rPr>
                <w:sz w:val="20"/>
                <w:szCs w:val="20"/>
              </w:rPr>
            </w:pPr>
            <w:r>
              <w:rPr>
                <w:sz w:val="20"/>
                <w:szCs w:val="20"/>
              </w:rPr>
              <w:t>28.0%</w:t>
            </w:r>
          </w:p>
        </w:tc>
      </w:tr>
      <w:tr w:rsidR="00A874AC" w:rsidRPr="00A77CF0" w:rsidTr="005D6981">
        <w:trPr>
          <w:trHeight w:val="368"/>
        </w:trPr>
        <w:tc>
          <w:tcPr>
            <w:tcW w:w="4348" w:type="dxa"/>
            <w:shd w:val="clear" w:color="000000" w:fill="D2EAF1"/>
            <w:vAlign w:val="center"/>
          </w:tcPr>
          <w:p w:rsidR="0023582E" w:rsidRDefault="0023582E" w:rsidP="0023582E">
            <w:pPr>
              <w:jc w:val="left"/>
              <w:rPr>
                <w:sz w:val="20"/>
                <w:szCs w:val="20"/>
              </w:rPr>
            </w:pPr>
            <w:r>
              <w:rPr>
                <w:sz w:val="20"/>
                <w:szCs w:val="20"/>
              </w:rPr>
              <w:t>Retail Stores – Small EE</w:t>
            </w:r>
          </w:p>
        </w:tc>
        <w:tc>
          <w:tcPr>
            <w:tcW w:w="1251" w:type="dxa"/>
            <w:shd w:val="clear" w:color="000000" w:fill="D2EAF1"/>
            <w:vAlign w:val="center"/>
          </w:tcPr>
          <w:p w:rsidR="0023582E" w:rsidRPr="00F65B02" w:rsidRDefault="0023582E" w:rsidP="0023582E">
            <w:pPr>
              <w:jc w:val="center"/>
              <w:rPr>
                <w:sz w:val="20"/>
                <w:szCs w:val="20"/>
              </w:rPr>
            </w:pPr>
            <w:r>
              <w:rPr>
                <w:sz w:val="20"/>
                <w:szCs w:val="20"/>
              </w:rPr>
              <w:t>103%</w:t>
            </w:r>
          </w:p>
        </w:tc>
        <w:tc>
          <w:tcPr>
            <w:tcW w:w="1252" w:type="dxa"/>
            <w:shd w:val="clear" w:color="000000" w:fill="D2EAF1"/>
            <w:vAlign w:val="center"/>
          </w:tcPr>
          <w:p w:rsidR="0023582E" w:rsidRPr="002B7663" w:rsidRDefault="0023582E" w:rsidP="0023582E">
            <w:pPr>
              <w:jc w:val="center"/>
              <w:rPr>
                <w:sz w:val="20"/>
                <w:szCs w:val="20"/>
              </w:rPr>
            </w:pPr>
            <w:r>
              <w:rPr>
                <w:sz w:val="20"/>
                <w:szCs w:val="20"/>
              </w:rPr>
              <w:t>4%</w:t>
            </w:r>
          </w:p>
        </w:tc>
        <w:tc>
          <w:tcPr>
            <w:tcW w:w="1252" w:type="dxa"/>
            <w:shd w:val="clear" w:color="000000" w:fill="D2EAF1"/>
            <w:vAlign w:val="center"/>
          </w:tcPr>
          <w:p w:rsidR="0023582E" w:rsidRDefault="0023582E" w:rsidP="0023582E">
            <w:pPr>
              <w:jc w:val="center"/>
              <w:rPr>
                <w:sz w:val="20"/>
                <w:szCs w:val="20"/>
              </w:rPr>
            </w:pPr>
            <w:r>
              <w:rPr>
                <w:sz w:val="20"/>
                <w:szCs w:val="20"/>
              </w:rPr>
              <w:t>113</w:t>
            </w:r>
            <w:r w:rsidR="0026677E">
              <w:rPr>
                <w:sz w:val="20"/>
                <w:szCs w:val="20"/>
              </w:rPr>
              <w:t>%</w:t>
            </w:r>
          </w:p>
        </w:tc>
        <w:tc>
          <w:tcPr>
            <w:tcW w:w="1252" w:type="dxa"/>
            <w:shd w:val="clear" w:color="000000" w:fill="D2EAF1"/>
            <w:vAlign w:val="center"/>
          </w:tcPr>
          <w:p w:rsidR="0023582E" w:rsidRDefault="0026677E" w:rsidP="0023582E">
            <w:pPr>
              <w:jc w:val="center"/>
              <w:rPr>
                <w:sz w:val="20"/>
                <w:szCs w:val="20"/>
              </w:rPr>
            </w:pPr>
            <w:r>
              <w:rPr>
                <w:sz w:val="20"/>
                <w:szCs w:val="20"/>
              </w:rPr>
              <w:t>20.8%</w:t>
            </w:r>
          </w:p>
        </w:tc>
      </w:tr>
      <w:tr w:rsidR="00E7173E" w:rsidRPr="00A77CF0" w:rsidTr="005D6981">
        <w:trPr>
          <w:trHeight w:val="368"/>
        </w:trPr>
        <w:tc>
          <w:tcPr>
            <w:tcW w:w="4348" w:type="dxa"/>
            <w:shd w:val="clear" w:color="auto" w:fill="auto"/>
            <w:vAlign w:val="center"/>
          </w:tcPr>
          <w:p w:rsidR="0023582E" w:rsidRDefault="0023582E" w:rsidP="00AC55E9">
            <w:pPr>
              <w:jc w:val="left"/>
              <w:rPr>
                <w:sz w:val="20"/>
                <w:szCs w:val="20"/>
              </w:rPr>
            </w:pPr>
            <w:r>
              <w:rPr>
                <w:sz w:val="20"/>
                <w:szCs w:val="20"/>
              </w:rPr>
              <w:t>Retail Stores – Large EE</w:t>
            </w:r>
          </w:p>
        </w:tc>
        <w:tc>
          <w:tcPr>
            <w:tcW w:w="1251" w:type="dxa"/>
            <w:shd w:val="clear" w:color="auto" w:fill="auto"/>
            <w:vAlign w:val="center"/>
          </w:tcPr>
          <w:p w:rsidR="0023582E" w:rsidRPr="00F65B02" w:rsidRDefault="0023582E" w:rsidP="00AC55E9">
            <w:pPr>
              <w:jc w:val="center"/>
              <w:rPr>
                <w:sz w:val="20"/>
                <w:szCs w:val="20"/>
              </w:rPr>
            </w:pPr>
            <w:r>
              <w:rPr>
                <w:sz w:val="20"/>
                <w:szCs w:val="20"/>
              </w:rPr>
              <w:t>103%</w:t>
            </w:r>
          </w:p>
        </w:tc>
        <w:tc>
          <w:tcPr>
            <w:tcW w:w="1252" w:type="dxa"/>
            <w:shd w:val="clear" w:color="auto" w:fill="auto"/>
            <w:vAlign w:val="center"/>
          </w:tcPr>
          <w:p w:rsidR="0023582E" w:rsidRPr="002B7663" w:rsidRDefault="0023582E" w:rsidP="00AC55E9">
            <w:pPr>
              <w:jc w:val="center"/>
              <w:rPr>
                <w:sz w:val="20"/>
                <w:szCs w:val="20"/>
              </w:rPr>
            </w:pPr>
            <w:r>
              <w:rPr>
                <w:sz w:val="20"/>
                <w:szCs w:val="20"/>
              </w:rPr>
              <w:t>4%</w:t>
            </w:r>
          </w:p>
        </w:tc>
        <w:tc>
          <w:tcPr>
            <w:tcW w:w="1252" w:type="dxa"/>
            <w:shd w:val="clear" w:color="auto" w:fill="auto"/>
            <w:vAlign w:val="center"/>
          </w:tcPr>
          <w:p w:rsidR="0023582E" w:rsidRDefault="0026677E" w:rsidP="00AC55E9">
            <w:pPr>
              <w:jc w:val="center"/>
              <w:rPr>
                <w:sz w:val="20"/>
                <w:szCs w:val="20"/>
              </w:rPr>
            </w:pPr>
            <w:r>
              <w:rPr>
                <w:sz w:val="20"/>
                <w:szCs w:val="20"/>
              </w:rPr>
              <w:t>113%</w:t>
            </w:r>
          </w:p>
        </w:tc>
        <w:tc>
          <w:tcPr>
            <w:tcW w:w="1252" w:type="dxa"/>
            <w:shd w:val="clear" w:color="auto" w:fill="auto"/>
            <w:vAlign w:val="center"/>
          </w:tcPr>
          <w:p w:rsidR="0023582E" w:rsidRDefault="0026677E" w:rsidP="00AC55E9">
            <w:pPr>
              <w:jc w:val="center"/>
              <w:rPr>
                <w:sz w:val="20"/>
                <w:szCs w:val="20"/>
              </w:rPr>
            </w:pPr>
            <w:r>
              <w:rPr>
                <w:sz w:val="20"/>
                <w:szCs w:val="20"/>
              </w:rPr>
              <w:t>20.8%</w:t>
            </w:r>
          </w:p>
        </w:tc>
      </w:tr>
      <w:tr w:rsidR="00A874AC" w:rsidRPr="00A77CF0" w:rsidTr="005D6981">
        <w:trPr>
          <w:trHeight w:val="368"/>
        </w:trPr>
        <w:tc>
          <w:tcPr>
            <w:tcW w:w="4348" w:type="dxa"/>
            <w:shd w:val="clear" w:color="auto" w:fill="D2EAF1"/>
            <w:vAlign w:val="center"/>
          </w:tcPr>
          <w:p w:rsidR="0026677E" w:rsidRDefault="0026677E" w:rsidP="00AC55E9">
            <w:pPr>
              <w:jc w:val="left"/>
              <w:rPr>
                <w:sz w:val="20"/>
                <w:szCs w:val="20"/>
              </w:rPr>
            </w:pPr>
            <w:r>
              <w:rPr>
                <w:sz w:val="20"/>
                <w:szCs w:val="20"/>
              </w:rPr>
              <w:t>Multifamily Housing Retrofit</w:t>
            </w:r>
          </w:p>
        </w:tc>
        <w:tc>
          <w:tcPr>
            <w:tcW w:w="1251" w:type="dxa"/>
            <w:shd w:val="clear" w:color="auto" w:fill="D2EAF1"/>
            <w:vAlign w:val="center"/>
          </w:tcPr>
          <w:p w:rsidR="0026677E" w:rsidRDefault="0026677E" w:rsidP="00AC55E9">
            <w:pPr>
              <w:jc w:val="center"/>
              <w:rPr>
                <w:sz w:val="20"/>
                <w:szCs w:val="20"/>
              </w:rPr>
            </w:pPr>
            <w:r>
              <w:rPr>
                <w:sz w:val="20"/>
                <w:szCs w:val="20"/>
              </w:rPr>
              <w:t>85%</w:t>
            </w:r>
          </w:p>
        </w:tc>
        <w:tc>
          <w:tcPr>
            <w:tcW w:w="1252" w:type="dxa"/>
            <w:shd w:val="clear" w:color="auto" w:fill="D2EAF1"/>
            <w:vAlign w:val="center"/>
          </w:tcPr>
          <w:p w:rsidR="0026677E" w:rsidRDefault="0026677E" w:rsidP="00AC55E9">
            <w:pPr>
              <w:jc w:val="center"/>
              <w:rPr>
                <w:sz w:val="20"/>
                <w:szCs w:val="20"/>
              </w:rPr>
            </w:pPr>
            <w:r>
              <w:rPr>
                <w:sz w:val="20"/>
                <w:szCs w:val="20"/>
              </w:rPr>
              <w:t>10%</w:t>
            </w:r>
          </w:p>
        </w:tc>
        <w:tc>
          <w:tcPr>
            <w:tcW w:w="1252" w:type="dxa"/>
            <w:shd w:val="clear" w:color="auto" w:fill="D2EAF1"/>
            <w:vAlign w:val="center"/>
          </w:tcPr>
          <w:p w:rsidR="0026677E" w:rsidRDefault="0026677E" w:rsidP="00AC55E9">
            <w:pPr>
              <w:jc w:val="center"/>
              <w:rPr>
                <w:sz w:val="20"/>
                <w:szCs w:val="20"/>
              </w:rPr>
            </w:pPr>
            <w:r>
              <w:rPr>
                <w:sz w:val="20"/>
                <w:szCs w:val="20"/>
              </w:rPr>
              <w:t>74%</w:t>
            </w:r>
          </w:p>
        </w:tc>
        <w:tc>
          <w:tcPr>
            <w:tcW w:w="1252" w:type="dxa"/>
            <w:shd w:val="clear" w:color="auto" w:fill="D2EAF1"/>
            <w:vAlign w:val="center"/>
          </w:tcPr>
          <w:p w:rsidR="0026677E" w:rsidRDefault="0026677E" w:rsidP="00AC55E9">
            <w:pPr>
              <w:jc w:val="center"/>
              <w:rPr>
                <w:sz w:val="20"/>
                <w:szCs w:val="20"/>
              </w:rPr>
            </w:pPr>
            <w:r>
              <w:rPr>
                <w:sz w:val="20"/>
                <w:szCs w:val="20"/>
              </w:rPr>
              <w:t>28.8%</w:t>
            </w:r>
          </w:p>
        </w:tc>
      </w:tr>
      <w:tr w:rsidR="00E7173E" w:rsidRPr="00A77CF0" w:rsidTr="005D6981">
        <w:trPr>
          <w:trHeight w:val="368"/>
        </w:trPr>
        <w:tc>
          <w:tcPr>
            <w:tcW w:w="4348" w:type="dxa"/>
            <w:shd w:val="clear" w:color="auto" w:fill="auto"/>
            <w:vAlign w:val="center"/>
          </w:tcPr>
          <w:p w:rsidR="0026677E" w:rsidRDefault="0026677E" w:rsidP="00AC55E9">
            <w:pPr>
              <w:jc w:val="left"/>
              <w:rPr>
                <w:sz w:val="20"/>
                <w:szCs w:val="20"/>
              </w:rPr>
            </w:pPr>
            <w:r>
              <w:rPr>
                <w:sz w:val="20"/>
                <w:szCs w:val="20"/>
              </w:rPr>
              <w:t>Small Commercial Direct Install</w:t>
            </w:r>
          </w:p>
        </w:tc>
        <w:tc>
          <w:tcPr>
            <w:tcW w:w="1251" w:type="dxa"/>
            <w:shd w:val="clear" w:color="auto" w:fill="auto"/>
            <w:vAlign w:val="center"/>
          </w:tcPr>
          <w:p w:rsidR="0026677E" w:rsidRDefault="0026677E" w:rsidP="00AC55E9">
            <w:pPr>
              <w:jc w:val="center"/>
              <w:rPr>
                <w:sz w:val="20"/>
                <w:szCs w:val="20"/>
              </w:rPr>
            </w:pPr>
            <w:r>
              <w:rPr>
                <w:sz w:val="20"/>
                <w:szCs w:val="20"/>
              </w:rPr>
              <w:t>103%</w:t>
            </w:r>
          </w:p>
        </w:tc>
        <w:tc>
          <w:tcPr>
            <w:tcW w:w="1252" w:type="dxa"/>
            <w:shd w:val="clear" w:color="auto" w:fill="auto"/>
            <w:vAlign w:val="center"/>
          </w:tcPr>
          <w:p w:rsidR="0026677E" w:rsidRDefault="0026677E" w:rsidP="00AC55E9">
            <w:pPr>
              <w:jc w:val="center"/>
              <w:rPr>
                <w:sz w:val="20"/>
                <w:szCs w:val="20"/>
              </w:rPr>
            </w:pPr>
            <w:r>
              <w:rPr>
                <w:sz w:val="20"/>
                <w:szCs w:val="20"/>
              </w:rPr>
              <w:t>4%</w:t>
            </w:r>
          </w:p>
        </w:tc>
        <w:tc>
          <w:tcPr>
            <w:tcW w:w="1252" w:type="dxa"/>
            <w:shd w:val="clear" w:color="auto" w:fill="auto"/>
            <w:vAlign w:val="center"/>
          </w:tcPr>
          <w:p w:rsidR="0026677E" w:rsidRDefault="0026677E" w:rsidP="00AC55E9">
            <w:pPr>
              <w:jc w:val="center"/>
              <w:rPr>
                <w:sz w:val="20"/>
                <w:szCs w:val="20"/>
              </w:rPr>
            </w:pPr>
            <w:r>
              <w:rPr>
                <w:sz w:val="20"/>
                <w:szCs w:val="20"/>
              </w:rPr>
              <w:t>113%</w:t>
            </w:r>
          </w:p>
        </w:tc>
        <w:tc>
          <w:tcPr>
            <w:tcW w:w="1252" w:type="dxa"/>
            <w:shd w:val="clear" w:color="auto" w:fill="auto"/>
            <w:vAlign w:val="center"/>
          </w:tcPr>
          <w:p w:rsidR="0026677E" w:rsidRDefault="0026677E" w:rsidP="00AC55E9">
            <w:pPr>
              <w:jc w:val="center"/>
              <w:rPr>
                <w:sz w:val="20"/>
                <w:szCs w:val="20"/>
              </w:rPr>
            </w:pPr>
            <w:r>
              <w:rPr>
                <w:sz w:val="20"/>
                <w:szCs w:val="20"/>
              </w:rPr>
              <w:t>20.8%</w:t>
            </w:r>
          </w:p>
        </w:tc>
      </w:tr>
      <w:tr w:rsidR="00E7173E" w:rsidRPr="00401F84" w:rsidTr="005D6981">
        <w:trPr>
          <w:trHeight w:val="346"/>
        </w:trPr>
        <w:tc>
          <w:tcPr>
            <w:tcW w:w="9355" w:type="dxa"/>
            <w:gridSpan w:val="5"/>
            <w:shd w:val="clear" w:color="auto" w:fill="448A99"/>
            <w:vAlign w:val="center"/>
          </w:tcPr>
          <w:p w:rsidR="0001310B" w:rsidRDefault="0001310B" w:rsidP="00AC55E9">
            <w:pPr>
              <w:jc w:val="left"/>
              <w:rPr>
                <w:bCs/>
                <w:color w:val="FFFFFF"/>
                <w:sz w:val="18"/>
                <w:szCs w:val="18"/>
              </w:rPr>
            </w:pPr>
            <w:r>
              <w:rPr>
                <w:bCs/>
                <w:color w:val="FFFFFF"/>
                <w:sz w:val="18"/>
                <w:szCs w:val="18"/>
              </w:rPr>
              <w:t>NOTE</w:t>
            </w:r>
            <w:r w:rsidR="00686718">
              <w:rPr>
                <w:bCs/>
                <w:color w:val="FFFFFF"/>
                <w:sz w:val="18"/>
                <w:szCs w:val="18"/>
              </w:rPr>
              <w:t>:</w:t>
            </w:r>
          </w:p>
          <w:p w:rsidR="0001310B" w:rsidRDefault="0001310B" w:rsidP="00AC55E9">
            <w:pPr>
              <w:jc w:val="left"/>
              <w:rPr>
                <w:bCs/>
                <w:color w:val="FFFFFF"/>
                <w:sz w:val="18"/>
                <w:szCs w:val="18"/>
              </w:rPr>
            </w:pPr>
            <w:r w:rsidRPr="001472FA">
              <w:rPr>
                <w:color w:val="FFFFFF"/>
                <w:sz w:val="18"/>
                <w:szCs w:val="18"/>
                <w:vertAlign w:val="superscript"/>
              </w:rPr>
              <w:t>[a]</w:t>
            </w:r>
            <w:r w:rsidRPr="00401F84">
              <w:rPr>
                <w:sz w:val="18"/>
                <w:szCs w:val="18"/>
              </w:rPr>
              <w:t xml:space="preserve"> </w:t>
            </w:r>
            <w:r w:rsidRPr="00401F84">
              <w:rPr>
                <w:bCs/>
                <w:color w:val="FFFFFF"/>
                <w:sz w:val="18"/>
                <w:szCs w:val="18"/>
              </w:rPr>
              <w:t xml:space="preserve">Commercial portion of upstream lighting program is shown separately, as in the Duquesne </w:t>
            </w:r>
            <w:r>
              <w:rPr>
                <w:bCs/>
                <w:color w:val="FFFFFF"/>
                <w:sz w:val="18"/>
                <w:szCs w:val="18"/>
              </w:rPr>
              <w:t>PY7</w:t>
            </w:r>
            <w:r w:rsidRPr="00401F84">
              <w:rPr>
                <w:bCs/>
                <w:color w:val="FFFFFF"/>
                <w:sz w:val="18"/>
                <w:szCs w:val="18"/>
              </w:rPr>
              <w:t xml:space="preserve"> annual report.</w:t>
            </w:r>
          </w:p>
          <w:p w:rsidR="0026677E" w:rsidRPr="00401F84" w:rsidRDefault="0026677E" w:rsidP="00AC55E9">
            <w:pPr>
              <w:jc w:val="left"/>
              <w:rPr>
                <w:color w:val="000000"/>
                <w:sz w:val="20"/>
                <w:szCs w:val="20"/>
              </w:rPr>
            </w:pPr>
            <w:r w:rsidRPr="0026677E">
              <w:rPr>
                <w:bCs/>
                <w:color w:val="FFFFFF"/>
                <w:sz w:val="18"/>
                <w:szCs w:val="18"/>
                <w:vertAlign w:val="superscript"/>
              </w:rPr>
              <w:t>[b]</w:t>
            </w:r>
            <w:r>
              <w:rPr>
                <w:bCs/>
                <w:color w:val="FFFFFF"/>
                <w:sz w:val="18"/>
                <w:szCs w:val="18"/>
              </w:rPr>
              <w:t xml:space="preserve"> </w:t>
            </w:r>
            <w:r w:rsidRPr="0026677E">
              <w:rPr>
                <w:bCs/>
                <w:color w:val="FFFFFF"/>
                <w:sz w:val="18"/>
                <w:szCs w:val="18"/>
              </w:rPr>
              <w:t>PY7 precision estimates are at the 85% confidence level</w:t>
            </w:r>
            <w:r>
              <w:rPr>
                <w:bCs/>
                <w:color w:val="FFFFFF"/>
                <w:sz w:val="18"/>
                <w:szCs w:val="18"/>
              </w:rPr>
              <w:t>.</w:t>
            </w:r>
          </w:p>
        </w:tc>
      </w:tr>
    </w:tbl>
    <w:p w:rsidR="008B45A8" w:rsidRPr="00C630A7" w:rsidRDefault="008B45A8" w:rsidP="00C630A7"/>
    <w:p w:rsidR="0001310B" w:rsidRDefault="0001310B" w:rsidP="0001310B">
      <w:pPr>
        <w:autoSpaceDE w:val="0"/>
        <w:autoSpaceDN w:val="0"/>
        <w:adjustRightInd w:val="0"/>
      </w:pPr>
      <w:r w:rsidRPr="00D6603C">
        <w:t xml:space="preserve">The Duquesne residential programs saw improved results for both energy and demand realization rates in PY7 relative to PY6, and the overall residential </w:t>
      </w:r>
      <w:r>
        <w:t xml:space="preserve">energy </w:t>
      </w:r>
      <w:r w:rsidRPr="00D6603C">
        <w:t>realization rate increased slightly again for the third year in a row, from 98% in PY5 to 99% in PY6 to 100% in PY7</w:t>
      </w:r>
      <w:r>
        <w:t xml:space="preserve">. </w:t>
      </w:r>
      <w:r w:rsidRPr="00F65B02">
        <w:t xml:space="preserve">Realization rates for energy savings from Duquesne’s residential programs </w:t>
      </w:r>
      <w:r>
        <w:t xml:space="preserve">in PY7 </w:t>
      </w:r>
      <w:r w:rsidRPr="00F65B02">
        <w:t>range</w:t>
      </w:r>
      <w:r>
        <w:t>d</w:t>
      </w:r>
      <w:r w:rsidRPr="00F65B02">
        <w:t xml:space="preserve"> from a low of 66% (School Energy Pledge) to a high of 10</w:t>
      </w:r>
      <w:r w:rsidR="00A04A88">
        <w:t>2</w:t>
      </w:r>
      <w:r w:rsidRPr="00F65B02">
        <w:t>% (</w:t>
      </w:r>
      <w:r w:rsidR="00A04A88">
        <w:t>Low-Income Home Energy Reports</w:t>
      </w:r>
      <w:r w:rsidRPr="00F65B02">
        <w:t>).</w:t>
      </w:r>
      <w:r>
        <w:t xml:space="preserve"> </w:t>
      </w:r>
      <w:r w:rsidRPr="00D6603C">
        <w:t>Realization rates for demand reductions range</w:t>
      </w:r>
      <w:r>
        <w:t>d</w:t>
      </w:r>
      <w:r w:rsidRPr="00D6603C">
        <w:t xml:space="preserve"> from 71% (School Energy Pledge) to 102% (Upstream Lighting).</w:t>
      </w:r>
      <w:r>
        <w:t xml:space="preserve"> The consistently low realization rates for Duquesne’s residential School Energy Pledge and REEP kits programs can be attributed to the consistently lower installation rates for the equipment included in the kits.</w:t>
      </w:r>
    </w:p>
    <w:p w:rsidR="0001310B" w:rsidRDefault="0001310B" w:rsidP="0001310B">
      <w:pPr>
        <w:autoSpaceDE w:val="0"/>
        <w:autoSpaceDN w:val="0"/>
        <w:adjustRightInd w:val="0"/>
      </w:pPr>
    </w:p>
    <w:p w:rsidR="0001310B" w:rsidRDefault="0001310B" w:rsidP="0001310B">
      <w:pPr>
        <w:autoSpaceDE w:val="0"/>
        <w:autoSpaceDN w:val="0"/>
        <w:adjustRightInd w:val="0"/>
        <w:rPr>
          <w:rFonts w:cs="Calibri"/>
        </w:rPr>
      </w:pPr>
      <w:r w:rsidRPr="00216E27">
        <w:t xml:space="preserve">Neither Navigant nor Duquesne (nor Duquesne’s CSP) administered any on-site inspections for the residential program M&amp;V process. Per Duquesne’s EM&amp;V Plan, Section 3.2, the basic level of verification rigor was to be used for TRM deemed savings measures and </w:t>
      </w:r>
      <w:r>
        <w:t xml:space="preserve">for </w:t>
      </w:r>
      <w:r w:rsidRPr="00216E27">
        <w:t>measures with rebates</w:t>
      </w:r>
      <w:r>
        <w:t xml:space="preserve"> of</w:t>
      </w:r>
      <w:r w:rsidRPr="00216E27">
        <w:t xml:space="preserve"> less than $2,000. The basic level of verification rigor included a telephone survey of a random sample of participants to verify participation and installation (except for the Upstream Lighting Program, where end-use customer </w:t>
      </w:r>
      <w:r w:rsidRPr="00216E27">
        <w:lastRenderedPageBreak/>
        <w:t xml:space="preserve">participant information </w:t>
      </w:r>
      <w:r>
        <w:t>was</w:t>
      </w:r>
      <w:r w:rsidRPr="00216E27">
        <w:t xml:space="preserve"> unavailable).</w:t>
      </w:r>
      <w:r>
        <w:t xml:space="preserve"> </w:t>
      </w:r>
      <w:r>
        <w:fldChar w:fldCharType="begin"/>
      </w:r>
      <w:r>
        <w:instrText xml:space="preserve"> REF _Ref472363066 \h </w:instrText>
      </w:r>
      <w:r>
        <w:fldChar w:fldCharType="separate"/>
      </w:r>
      <w:r w:rsidR="00C301D0">
        <w:t>Table A-</w:t>
      </w:r>
      <w:r w:rsidR="00C301D0">
        <w:rPr>
          <w:noProof/>
        </w:rPr>
        <w:t>8</w:t>
      </w:r>
      <w:r>
        <w:fldChar w:fldCharType="end"/>
      </w:r>
      <w:r w:rsidRPr="00216E27">
        <w:t xml:space="preserve"> presents an overview of the M&amp;V verification process and findings</w:t>
      </w:r>
      <w:r>
        <w:t xml:space="preserve"> for residential programs</w:t>
      </w:r>
      <w:r w:rsidRPr="00216E27">
        <w:rPr>
          <w:rFonts w:cs="Calibri"/>
        </w:rPr>
        <w:t>.</w:t>
      </w:r>
    </w:p>
    <w:p w:rsidR="0001310B" w:rsidRDefault="0001310B" w:rsidP="0001310B">
      <w:pPr>
        <w:autoSpaceDE w:val="0"/>
        <w:autoSpaceDN w:val="0"/>
        <w:adjustRightInd w:val="0"/>
        <w:rPr>
          <w:rFonts w:cs="Calibri"/>
        </w:rPr>
      </w:pPr>
    </w:p>
    <w:p w:rsidR="0001310B" w:rsidRDefault="0001310B" w:rsidP="0001310B">
      <w:pPr>
        <w:pStyle w:val="Caption"/>
        <w:rPr>
          <w:rFonts w:cs="Calibri"/>
        </w:rPr>
      </w:pPr>
      <w:bookmarkStart w:id="523" w:name="_Ref472363066"/>
      <w:bookmarkStart w:id="524" w:name="_Toc472472417"/>
      <w:bookmarkStart w:id="525" w:name="_Toc476842123"/>
      <w:r>
        <w:t>Table A-</w:t>
      </w:r>
      <w:fldSimple w:instr=" SEQ Table_A- \* ARABIC ">
        <w:r w:rsidR="00C301D0">
          <w:rPr>
            <w:noProof/>
          </w:rPr>
          <w:t>8</w:t>
        </w:r>
      </w:fldSimple>
      <w:bookmarkEnd w:id="523"/>
      <w:r>
        <w:t xml:space="preserve">: </w:t>
      </w:r>
      <w:r w:rsidRPr="0001310B">
        <w:t>Overview of Duquesne Residential Program M&amp;V and Installation Rate</w:t>
      </w:r>
      <w:bookmarkEnd w:id="524"/>
      <w:bookmarkEnd w:id="525"/>
    </w:p>
    <w:tbl>
      <w:tblPr>
        <w:tblW w:w="9427" w:type="dxa"/>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828"/>
        <w:gridCol w:w="1519"/>
        <w:gridCol w:w="1520"/>
        <w:gridCol w:w="1520"/>
        <w:gridCol w:w="1520"/>
        <w:gridCol w:w="1520"/>
      </w:tblGrid>
      <w:tr w:rsidR="00A874AC" w:rsidRPr="00B44AFF" w:rsidTr="005D6981">
        <w:trPr>
          <w:trHeight w:val="900"/>
          <w:tblHeader/>
        </w:trPr>
        <w:tc>
          <w:tcPr>
            <w:tcW w:w="1828" w:type="dxa"/>
            <w:shd w:val="clear" w:color="auto" w:fill="448A99"/>
            <w:noWrap/>
            <w:vAlign w:val="bottom"/>
            <w:hideMark/>
          </w:tcPr>
          <w:p w:rsidR="0001310B" w:rsidRPr="002B7663" w:rsidRDefault="0001310B" w:rsidP="00AC55E9">
            <w:pPr>
              <w:jc w:val="left"/>
              <w:rPr>
                <w:b/>
                <w:color w:val="FFFFFF"/>
                <w:sz w:val="20"/>
              </w:rPr>
            </w:pPr>
            <w:r w:rsidRPr="002B7663">
              <w:rPr>
                <w:b/>
                <w:color w:val="FFFFFF"/>
                <w:sz w:val="20"/>
              </w:rPr>
              <w:t>Program</w:t>
            </w:r>
          </w:p>
        </w:tc>
        <w:tc>
          <w:tcPr>
            <w:tcW w:w="1519" w:type="dxa"/>
            <w:shd w:val="clear" w:color="auto" w:fill="448A99"/>
            <w:noWrap/>
            <w:vAlign w:val="bottom"/>
            <w:hideMark/>
          </w:tcPr>
          <w:p w:rsidR="0001310B" w:rsidRPr="002B7663" w:rsidRDefault="0001310B" w:rsidP="00AC55E9">
            <w:pPr>
              <w:jc w:val="center"/>
              <w:rPr>
                <w:b/>
                <w:color w:val="FFFFFF"/>
                <w:sz w:val="20"/>
              </w:rPr>
            </w:pPr>
            <w:r w:rsidRPr="002B7663">
              <w:rPr>
                <w:b/>
                <w:color w:val="FFFFFF"/>
                <w:sz w:val="20"/>
              </w:rPr>
              <w:t>Component</w:t>
            </w:r>
          </w:p>
        </w:tc>
        <w:tc>
          <w:tcPr>
            <w:tcW w:w="1520" w:type="dxa"/>
            <w:shd w:val="clear" w:color="auto" w:fill="448A99"/>
            <w:vAlign w:val="bottom"/>
            <w:hideMark/>
          </w:tcPr>
          <w:p w:rsidR="0001310B" w:rsidRPr="002B7663" w:rsidRDefault="0001310B" w:rsidP="00AC55E9">
            <w:pPr>
              <w:jc w:val="center"/>
              <w:rPr>
                <w:b/>
                <w:color w:val="FFFFFF"/>
                <w:sz w:val="20"/>
              </w:rPr>
            </w:pPr>
            <w:r w:rsidRPr="002B7663">
              <w:rPr>
                <w:b/>
                <w:color w:val="FFFFFF"/>
                <w:sz w:val="20"/>
              </w:rPr>
              <w:t>Inspections Entity (CSP, EDC, M&amp;V, Other)</w:t>
            </w:r>
          </w:p>
        </w:tc>
        <w:tc>
          <w:tcPr>
            <w:tcW w:w="1520" w:type="dxa"/>
            <w:shd w:val="clear" w:color="auto" w:fill="448A99"/>
            <w:vAlign w:val="bottom"/>
            <w:hideMark/>
          </w:tcPr>
          <w:p w:rsidR="0001310B" w:rsidRPr="002B7663" w:rsidRDefault="0001310B" w:rsidP="00AC55E9">
            <w:pPr>
              <w:jc w:val="center"/>
              <w:rPr>
                <w:b/>
                <w:color w:val="FFFFFF"/>
                <w:sz w:val="20"/>
              </w:rPr>
            </w:pPr>
            <w:r w:rsidRPr="002B7663">
              <w:rPr>
                <w:b/>
                <w:color w:val="FFFFFF"/>
                <w:sz w:val="20"/>
              </w:rPr>
              <w:t>Telephone or On-Site</w:t>
            </w:r>
          </w:p>
        </w:tc>
        <w:tc>
          <w:tcPr>
            <w:tcW w:w="1520" w:type="dxa"/>
            <w:shd w:val="clear" w:color="auto" w:fill="448A99"/>
            <w:noWrap/>
            <w:vAlign w:val="bottom"/>
            <w:hideMark/>
          </w:tcPr>
          <w:p w:rsidR="0001310B" w:rsidRPr="002B7663" w:rsidRDefault="0001310B" w:rsidP="00AC55E9">
            <w:pPr>
              <w:jc w:val="center"/>
              <w:rPr>
                <w:b/>
                <w:color w:val="FFFFFF"/>
                <w:sz w:val="20"/>
              </w:rPr>
            </w:pPr>
            <w:r w:rsidRPr="002B7663">
              <w:rPr>
                <w:b/>
                <w:color w:val="FFFFFF"/>
                <w:sz w:val="20"/>
              </w:rPr>
              <w:t>Sample Size – Participant (Part), Measure</w:t>
            </w:r>
          </w:p>
        </w:tc>
        <w:tc>
          <w:tcPr>
            <w:tcW w:w="1520" w:type="dxa"/>
            <w:shd w:val="clear" w:color="auto" w:fill="448A99"/>
            <w:noWrap/>
            <w:vAlign w:val="bottom"/>
            <w:hideMark/>
          </w:tcPr>
          <w:p w:rsidR="0001310B" w:rsidRPr="002B7663" w:rsidRDefault="0001310B" w:rsidP="00AC55E9">
            <w:pPr>
              <w:jc w:val="center"/>
              <w:rPr>
                <w:b/>
                <w:color w:val="FFFFFF"/>
                <w:sz w:val="20"/>
              </w:rPr>
            </w:pPr>
            <w:r>
              <w:rPr>
                <w:b/>
                <w:color w:val="FFFFFF"/>
                <w:sz w:val="20"/>
              </w:rPr>
              <w:t xml:space="preserve">Notes on </w:t>
            </w:r>
            <w:r w:rsidRPr="002B7663">
              <w:rPr>
                <w:b/>
                <w:color w:val="FFFFFF"/>
                <w:sz w:val="20"/>
              </w:rPr>
              <w:t>Installation Rate</w:t>
            </w:r>
          </w:p>
        </w:tc>
      </w:tr>
      <w:tr w:rsidR="00A874AC" w:rsidRPr="00A77CF0" w:rsidTr="005D6981">
        <w:trPr>
          <w:trHeight w:val="697"/>
        </w:trPr>
        <w:tc>
          <w:tcPr>
            <w:tcW w:w="1828" w:type="dxa"/>
            <w:vMerge w:val="restart"/>
            <w:shd w:val="clear" w:color="auto" w:fill="D2EAF1"/>
            <w:noWrap/>
          </w:tcPr>
          <w:p w:rsidR="0001310B" w:rsidRPr="002B7663" w:rsidRDefault="0001310B" w:rsidP="00AC55E9">
            <w:pPr>
              <w:jc w:val="left"/>
              <w:rPr>
                <w:b/>
                <w:bCs/>
                <w:color w:val="000000"/>
                <w:sz w:val="20"/>
                <w:szCs w:val="20"/>
              </w:rPr>
            </w:pPr>
            <w:r w:rsidRPr="002B7663">
              <w:rPr>
                <w:b/>
                <w:bCs/>
                <w:color w:val="000000"/>
                <w:sz w:val="20"/>
                <w:szCs w:val="20"/>
              </w:rPr>
              <w:t>Residential: EE Program (REEP): Rebate Program</w:t>
            </w:r>
          </w:p>
        </w:tc>
        <w:tc>
          <w:tcPr>
            <w:tcW w:w="1519" w:type="dxa"/>
            <w:shd w:val="clear" w:color="auto" w:fill="D2EAF1"/>
            <w:noWrap/>
          </w:tcPr>
          <w:p w:rsidR="0001310B" w:rsidRPr="002B7663" w:rsidRDefault="0001310B" w:rsidP="00AC55E9">
            <w:pPr>
              <w:jc w:val="center"/>
              <w:rPr>
                <w:color w:val="000000"/>
                <w:sz w:val="20"/>
                <w:szCs w:val="20"/>
              </w:rPr>
            </w:pPr>
            <w:r w:rsidRPr="002B7663">
              <w:rPr>
                <w:sz w:val="20"/>
                <w:szCs w:val="20"/>
              </w:rPr>
              <w:t>Rebate</w:t>
            </w:r>
          </w:p>
        </w:tc>
        <w:tc>
          <w:tcPr>
            <w:tcW w:w="1520" w:type="dxa"/>
            <w:shd w:val="clear" w:color="auto" w:fill="D2EAF1"/>
            <w:noWrap/>
          </w:tcPr>
          <w:p w:rsidR="0001310B" w:rsidRPr="002B7663" w:rsidRDefault="0001310B" w:rsidP="00AC55E9">
            <w:pPr>
              <w:jc w:val="center"/>
              <w:rPr>
                <w:color w:val="000000"/>
                <w:sz w:val="20"/>
                <w:szCs w:val="20"/>
              </w:rPr>
            </w:pPr>
            <w:r w:rsidRPr="002B7663">
              <w:rPr>
                <w:sz w:val="20"/>
                <w:szCs w:val="20"/>
              </w:rPr>
              <w:t>M&amp;V</w:t>
            </w:r>
          </w:p>
        </w:tc>
        <w:tc>
          <w:tcPr>
            <w:tcW w:w="1520" w:type="dxa"/>
            <w:shd w:val="clear" w:color="auto" w:fill="D2EAF1"/>
            <w:noWrap/>
          </w:tcPr>
          <w:p w:rsidR="0001310B" w:rsidRPr="002B7663" w:rsidRDefault="0001310B" w:rsidP="00AC55E9">
            <w:pPr>
              <w:jc w:val="center"/>
              <w:rPr>
                <w:color w:val="000000"/>
                <w:sz w:val="20"/>
                <w:szCs w:val="20"/>
              </w:rPr>
            </w:pPr>
            <w:r w:rsidRPr="002B7663">
              <w:rPr>
                <w:sz w:val="20"/>
                <w:szCs w:val="20"/>
              </w:rPr>
              <w:t>Telephone</w:t>
            </w:r>
          </w:p>
        </w:tc>
        <w:tc>
          <w:tcPr>
            <w:tcW w:w="1520" w:type="dxa"/>
            <w:shd w:val="clear" w:color="auto" w:fill="D2EAF1"/>
          </w:tcPr>
          <w:p w:rsidR="0001310B" w:rsidRPr="002B7663" w:rsidRDefault="0001310B" w:rsidP="00AC55E9">
            <w:pPr>
              <w:jc w:val="center"/>
              <w:rPr>
                <w:color w:val="000000"/>
                <w:sz w:val="20"/>
                <w:szCs w:val="20"/>
              </w:rPr>
            </w:pPr>
            <w:r w:rsidRPr="002B7663">
              <w:rPr>
                <w:sz w:val="20"/>
                <w:szCs w:val="20"/>
              </w:rPr>
              <w:t>Part n=</w:t>
            </w:r>
            <w:r>
              <w:rPr>
                <w:sz w:val="20"/>
                <w:szCs w:val="20"/>
              </w:rPr>
              <w:t xml:space="preserve">59, Measure </w:t>
            </w:r>
            <w:r w:rsidRPr="002B7663">
              <w:rPr>
                <w:sz w:val="20"/>
                <w:szCs w:val="20"/>
              </w:rPr>
              <w:t>n=</w:t>
            </w:r>
            <w:r w:rsidR="00E95AD8">
              <w:rPr>
                <w:sz w:val="20"/>
                <w:szCs w:val="20"/>
              </w:rPr>
              <w:t>84</w:t>
            </w:r>
          </w:p>
        </w:tc>
        <w:tc>
          <w:tcPr>
            <w:tcW w:w="1520" w:type="dxa"/>
            <w:shd w:val="clear" w:color="auto" w:fill="D2EAF1"/>
          </w:tcPr>
          <w:p w:rsidR="0001310B" w:rsidRPr="002B7663" w:rsidRDefault="0001310B" w:rsidP="00AC55E9">
            <w:pPr>
              <w:jc w:val="center"/>
              <w:rPr>
                <w:color w:val="000000"/>
                <w:sz w:val="20"/>
                <w:szCs w:val="20"/>
              </w:rPr>
            </w:pPr>
            <w:r>
              <w:rPr>
                <w:sz w:val="20"/>
                <w:szCs w:val="20"/>
              </w:rPr>
              <w:t>One</w:t>
            </w:r>
            <w:r w:rsidRPr="002B7663">
              <w:rPr>
                <w:sz w:val="20"/>
                <w:szCs w:val="20"/>
              </w:rPr>
              <w:t xml:space="preserve"> </w:t>
            </w:r>
            <w:r>
              <w:rPr>
                <w:sz w:val="20"/>
                <w:szCs w:val="20"/>
              </w:rPr>
              <w:t>programmable thermostat</w:t>
            </w:r>
            <w:r w:rsidRPr="002B7663">
              <w:rPr>
                <w:sz w:val="20"/>
                <w:szCs w:val="20"/>
              </w:rPr>
              <w:t xml:space="preserve"> not installed</w:t>
            </w:r>
          </w:p>
        </w:tc>
      </w:tr>
      <w:tr w:rsidR="00A874AC" w:rsidRPr="00A77CF0" w:rsidTr="005D6981">
        <w:trPr>
          <w:trHeight w:val="697"/>
        </w:trPr>
        <w:tc>
          <w:tcPr>
            <w:tcW w:w="1828" w:type="dxa"/>
            <w:vMerge/>
            <w:shd w:val="clear" w:color="auto" w:fill="D2EAF1"/>
          </w:tcPr>
          <w:p w:rsidR="0001310B" w:rsidRPr="002B7663" w:rsidRDefault="0001310B" w:rsidP="00AC55E9">
            <w:pPr>
              <w:jc w:val="left"/>
              <w:rPr>
                <w:bCs/>
                <w:color w:val="000000"/>
                <w:sz w:val="20"/>
                <w:szCs w:val="20"/>
              </w:rPr>
            </w:pPr>
          </w:p>
        </w:tc>
        <w:tc>
          <w:tcPr>
            <w:tcW w:w="1519" w:type="dxa"/>
            <w:shd w:val="clear" w:color="auto" w:fill="D2EAF1"/>
            <w:noWrap/>
          </w:tcPr>
          <w:p w:rsidR="0001310B" w:rsidRPr="002B7663" w:rsidRDefault="0001310B" w:rsidP="00AC55E9">
            <w:pPr>
              <w:jc w:val="center"/>
              <w:rPr>
                <w:color w:val="000000"/>
                <w:sz w:val="20"/>
                <w:szCs w:val="20"/>
              </w:rPr>
            </w:pPr>
            <w:r w:rsidRPr="002B7663">
              <w:rPr>
                <w:sz w:val="20"/>
                <w:szCs w:val="20"/>
              </w:rPr>
              <w:t>Kits</w:t>
            </w:r>
          </w:p>
        </w:tc>
        <w:tc>
          <w:tcPr>
            <w:tcW w:w="1520" w:type="dxa"/>
            <w:shd w:val="clear" w:color="auto" w:fill="D2EAF1"/>
            <w:noWrap/>
          </w:tcPr>
          <w:p w:rsidR="0001310B" w:rsidRPr="002B7663" w:rsidRDefault="0001310B" w:rsidP="00AC55E9">
            <w:pPr>
              <w:jc w:val="center"/>
              <w:rPr>
                <w:color w:val="000000"/>
                <w:sz w:val="20"/>
                <w:szCs w:val="20"/>
              </w:rPr>
            </w:pPr>
            <w:r w:rsidRPr="002B7663">
              <w:rPr>
                <w:sz w:val="20"/>
                <w:szCs w:val="20"/>
              </w:rPr>
              <w:t>M&amp;V</w:t>
            </w:r>
          </w:p>
        </w:tc>
        <w:tc>
          <w:tcPr>
            <w:tcW w:w="1520" w:type="dxa"/>
            <w:shd w:val="clear" w:color="auto" w:fill="D2EAF1"/>
            <w:noWrap/>
          </w:tcPr>
          <w:p w:rsidR="0001310B" w:rsidRPr="002B7663" w:rsidRDefault="0001310B" w:rsidP="00AC55E9">
            <w:pPr>
              <w:jc w:val="center"/>
              <w:rPr>
                <w:color w:val="000000"/>
                <w:sz w:val="20"/>
                <w:szCs w:val="20"/>
              </w:rPr>
            </w:pPr>
            <w:r w:rsidRPr="002B7663">
              <w:rPr>
                <w:sz w:val="20"/>
                <w:szCs w:val="20"/>
              </w:rPr>
              <w:t>Telephone</w:t>
            </w:r>
          </w:p>
        </w:tc>
        <w:tc>
          <w:tcPr>
            <w:tcW w:w="1520" w:type="dxa"/>
            <w:shd w:val="clear" w:color="auto" w:fill="D2EAF1"/>
          </w:tcPr>
          <w:p w:rsidR="0001310B" w:rsidRPr="002B7663" w:rsidRDefault="0001310B" w:rsidP="00AC55E9">
            <w:pPr>
              <w:jc w:val="center"/>
              <w:rPr>
                <w:color w:val="000000"/>
                <w:sz w:val="20"/>
                <w:szCs w:val="20"/>
              </w:rPr>
            </w:pPr>
            <w:r w:rsidRPr="002B7663">
              <w:rPr>
                <w:sz w:val="20"/>
                <w:szCs w:val="20"/>
              </w:rPr>
              <w:t>Part n=2</w:t>
            </w:r>
            <w:r w:rsidR="00E95AD8">
              <w:rPr>
                <w:sz w:val="20"/>
                <w:szCs w:val="20"/>
              </w:rPr>
              <w:t>5</w:t>
            </w:r>
            <w:r w:rsidRPr="002B7663">
              <w:rPr>
                <w:sz w:val="20"/>
                <w:szCs w:val="20"/>
              </w:rPr>
              <w:t>, Measure n=</w:t>
            </w:r>
            <w:r w:rsidR="00E95AD8" w:rsidRPr="002B7663">
              <w:rPr>
                <w:sz w:val="20"/>
                <w:szCs w:val="20"/>
              </w:rPr>
              <w:t>1</w:t>
            </w:r>
            <w:r w:rsidR="00E95AD8">
              <w:rPr>
                <w:sz w:val="20"/>
                <w:szCs w:val="20"/>
              </w:rPr>
              <w:t>75</w:t>
            </w:r>
          </w:p>
        </w:tc>
        <w:tc>
          <w:tcPr>
            <w:tcW w:w="1520" w:type="dxa"/>
            <w:shd w:val="clear" w:color="auto" w:fill="D2EAF1"/>
          </w:tcPr>
          <w:p w:rsidR="0001310B" w:rsidRPr="002B7663" w:rsidRDefault="0001310B" w:rsidP="00AC55E9">
            <w:pPr>
              <w:jc w:val="center"/>
              <w:rPr>
                <w:sz w:val="20"/>
                <w:szCs w:val="20"/>
              </w:rPr>
            </w:pPr>
            <w:r w:rsidRPr="002B7663">
              <w:rPr>
                <w:sz w:val="20"/>
                <w:szCs w:val="20"/>
              </w:rPr>
              <w:t xml:space="preserve">37% of CFLs not installed; 30% of smart strips not installed; </w:t>
            </w:r>
          </w:p>
          <w:p w:rsidR="0001310B" w:rsidRPr="002B7663" w:rsidRDefault="0001310B" w:rsidP="00AC55E9">
            <w:pPr>
              <w:jc w:val="center"/>
              <w:rPr>
                <w:color w:val="000000"/>
                <w:sz w:val="20"/>
                <w:szCs w:val="20"/>
              </w:rPr>
            </w:pPr>
            <w:r>
              <w:rPr>
                <w:sz w:val="20"/>
                <w:szCs w:val="20"/>
              </w:rPr>
              <w:t>39% of LED night</w:t>
            </w:r>
            <w:r w:rsidRPr="002B7663">
              <w:rPr>
                <w:sz w:val="20"/>
                <w:szCs w:val="20"/>
              </w:rPr>
              <w:t>lights not installed</w:t>
            </w:r>
          </w:p>
        </w:tc>
      </w:tr>
      <w:tr w:rsidR="00A874AC" w:rsidRPr="00A77CF0" w:rsidTr="005D6981">
        <w:trPr>
          <w:trHeight w:val="430"/>
        </w:trPr>
        <w:tc>
          <w:tcPr>
            <w:tcW w:w="1828" w:type="dxa"/>
            <w:vMerge/>
            <w:shd w:val="clear" w:color="auto" w:fill="D2EAF1"/>
          </w:tcPr>
          <w:p w:rsidR="0001310B" w:rsidRPr="008A749F" w:rsidRDefault="0001310B" w:rsidP="00AC55E9">
            <w:pPr>
              <w:jc w:val="left"/>
              <w:rPr>
                <w:bCs/>
                <w:color w:val="000000"/>
                <w:sz w:val="20"/>
                <w:szCs w:val="20"/>
                <w:highlight w:val="yellow"/>
              </w:rPr>
            </w:pPr>
          </w:p>
        </w:tc>
        <w:tc>
          <w:tcPr>
            <w:tcW w:w="1519" w:type="dxa"/>
            <w:shd w:val="clear" w:color="auto" w:fill="D2EAF1"/>
            <w:noWrap/>
          </w:tcPr>
          <w:p w:rsidR="0001310B" w:rsidRPr="00A30C73" w:rsidRDefault="0001310B" w:rsidP="00AC55E9">
            <w:pPr>
              <w:jc w:val="center"/>
              <w:rPr>
                <w:color w:val="000000"/>
                <w:sz w:val="20"/>
                <w:szCs w:val="20"/>
              </w:rPr>
            </w:pPr>
            <w:r w:rsidRPr="00A30C73">
              <w:rPr>
                <w:sz w:val="20"/>
                <w:szCs w:val="20"/>
              </w:rPr>
              <w:t>Lighting</w:t>
            </w:r>
          </w:p>
        </w:tc>
        <w:tc>
          <w:tcPr>
            <w:tcW w:w="1520" w:type="dxa"/>
            <w:shd w:val="clear" w:color="auto" w:fill="D2EAF1"/>
            <w:noWrap/>
          </w:tcPr>
          <w:p w:rsidR="0001310B" w:rsidRPr="00A30C73" w:rsidRDefault="0001310B" w:rsidP="00AC55E9">
            <w:pPr>
              <w:jc w:val="center"/>
              <w:rPr>
                <w:color w:val="000000"/>
                <w:sz w:val="20"/>
                <w:szCs w:val="20"/>
              </w:rPr>
            </w:pPr>
            <w:r w:rsidRPr="00A30C73">
              <w:rPr>
                <w:color w:val="000000"/>
                <w:sz w:val="20"/>
                <w:szCs w:val="20"/>
              </w:rPr>
              <w:t>N/A</w:t>
            </w:r>
          </w:p>
        </w:tc>
        <w:tc>
          <w:tcPr>
            <w:tcW w:w="1520" w:type="dxa"/>
            <w:shd w:val="clear" w:color="auto" w:fill="D2EAF1"/>
            <w:noWrap/>
          </w:tcPr>
          <w:p w:rsidR="0001310B" w:rsidRPr="00A30C73" w:rsidRDefault="0001310B" w:rsidP="00AC55E9">
            <w:pPr>
              <w:jc w:val="center"/>
              <w:rPr>
                <w:color w:val="000000"/>
                <w:sz w:val="20"/>
                <w:szCs w:val="20"/>
              </w:rPr>
            </w:pPr>
            <w:r w:rsidRPr="00A30C73">
              <w:rPr>
                <w:color w:val="000000"/>
                <w:sz w:val="20"/>
                <w:szCs w:val="20"/>
              </w:rPr>
              <w:t>N/A</w:t>
            </w:r>
          </w:p>
        </w:tc>
        <w:tc>
          <w:tcPr>
            <w:tcW w:w="1520" w:type="dxa"/>
            <w:shd w:val="clear" w:color="auto" w:fill="D2EAF1"/>
            <w:noWrap/>
          </w:tcPr>
          <w:p w:rsidR="0001310B" w:rsidRPr="00A30C73" w:rsidRDefault="0001310B" w:rsidP="00AC55E9">
            <w:pPr>
              <w:jc w:val="center"/>
              <w:rPr>
                <w:color w:val="000000"/>
                <w:sz w:val="20"/>
                <w:szCs w:val="20"/>
              </w:rPr>
            </w:pPr>
            <w:r w:rsidRPr="00A30C73">
              <w:rPr>
                <w:color w:val="000000"/>
                <w:sz w:val="20"/>
                <w:szCs w:val="20"/>
              </w:rPr>
              <w:t>N/A</w:t>
            </w:r>
          </w:p>
        </w:tc>
        <w:tc>
          <w:tcPr>
            <w:tcW w:w="1520" w:type="dxa"/>
            <w:shd w:val="clear" w:color="auto" w:fill="D2EAF1"/>
            <w:noWrap/>
          </w:tcPr>
          <w:p w:rsidR="0001310B" w:rsidRPr="00A30C73" w:rsidRDefault="0001310B" w:rsidP="00AC55E9">
            <w:pPr>
              <w:jc w:val="center"/>
              <w:rPr>
                <w:color w:val="000000"/>
                <w:sz w:val="20"/>
                <w:szCs w:val="20"/>
              </w:rPr>
            </w:pPr>
            <w:r w:rsidRPr="00A30C73">
              <w:rPr>
                <w:color w:val="000000"/>
                <w:sz w:val="20"/>
                <w:szCs w:val="20"/>
              </w:rPr>
              <w:t>N/A</w:t>
            </w:r>
          </w:p>
        </w:tc>
      </w:tr>
      <w:tr w:rsidR="00E7173E" w:rsidRPr="00A77CF0" w:rsidTr="005D6981">
        <w:trPr>
          <w:trHeight w:val="697"/>
        </w:trPr>
        <w:tc>
          <w:tcPr>
            <w:tcW w:w="1828" w:type="dxa"/>
            <w:shd w:val="clear" w:color="auto" w:fill="auto"/>
            <w:noWrap/>
          </w:tcPr>
          <w:p w:rsidR="0001310B" w:rsidRPr="00E82CFE" w:rsidRDefault="0001310B" w:rsidP="00AC55E9">
            <w:pPr>
              <w:jc w:val="left"/>
              <w:rPr>
                <w:bCs/>
                <w:color w:val="000000"/>
                <w:sz w:val="20"/>
                <w:szCs w:val="20"/>
              </w:rPr>
            </w:pPr>
            <w:r w:rsidRPr="00E82CFE">
              <w:rPr>
                <w:b/>
                <w:bCs/>
                <w:sz w:val="20"/>
                <w:szCs w:val="20"/>
              </w:rPr>
              <w:t>Residential:  School Energy Pledge (SEP)</w:t>
            </w:r>
          </w:p>
        </w:tc>
        <w:tc>
          <w:tcPr>
            <w:tcW w:w="1519" w:type="dxa"/>
            <w:shd w:val="clear" w:color="auto" w:fill="auto"/>
            <w:noWrap/>
          </w:tcPr>
          <w:p w:rsidR="0001310B" w:rsidRPr="00E82CFE" w:rsidRDefault="0001310B" w:rsidP="00AC55E9">
            <w:pPr>
              <w:jc w:val="center"/>
              <w:rPr>
                <w:color w:val="000000"/>
                <w:sz w:val="20"/>
                <w:szCs w:val="20"/>
              </w:rPr>
            </w:pPr>
            <w:r w:rsidRPr="00E82CFE">
              <w:rPr>
                <w:sz w:val="20"/>
                <w:szCs w:val="20"/>
              </w:rPr>
              <w:t>All</w:t>
            </w:r>
          </w:p>
        </w:tc>
        <w:tc>
          <w:tcPr>
            <w:tcW w:w="1520" w:type="dxa"/>
            <w:shd w:val="clear" w:color="auto" w:fill="auto"/>
            <w:noWrap/>
          </w:tcPr>
          <w:p w:rsidR="0001310B" w:rsidRPr="00E82CFE" w:rsidRDefault="0001310B" w:rsidP="00AC55E9">
            <w:pPr>
              <w:jc w:val="center"/>
              <w:rPr>
                <w:color w:val="000000"/>
                <w:sz w:val="20"/>
                <w:szCs w:val="20"/>
              </w:rPr>
            </w:pPr>
            <w:r w:rsidRPr="00E82CFE">
              <w:rPr>
                <w:sz w:val="20"/>
                <w:szCs w:val="20"/>
              </w:rPr>
              <w:t>M&amp;V</w:t>
            </w:r>
          </w:p>
        </w:tc>
        <w:tc>
          <w:tcPr>
            <w:tcW w:w="1520" w:type="dxa"/>
            <w:shd w:val="clear" w:color="auto" w:fill="auto"/>
            <w:noWrap/>
          </w:tcPr>
          <w:p w:rsidR="0001310B" w:rsidRPr="00E82CFE" w:rsidRDefault="0001310B" w:rsidP="00AC55E9">
            <w:pPr>
              <w:jc w:val="center"/>
              <w:rPr>
                <w:color w:val="000000"/>
                <w:sz w:val="20"/>
                <w:szCs w:val="20"/>
              </w:rPr>
            </w:pPr>
            <w:r w:rsidRPr="00E82CFE">
              <w:rPr>
                <w:sz w:val="20"/>
                <w:szCs w:val="20"/>
              </w:rPr>
              <w:t>Telephone</w:t>
            </w:r>
          </w:p>
        </w:tc>
        <w:tc>
          <w:tcPr>
            <w:tcW w:w="1520" w:type="dxa"/>
            <w:shd w:val="clear" w:color="auto" w:fill="auto"/>
          </w:tcPr>
          <w:p w:rsidR="0001310B" w:rsidRPr="008A749F" w:rsidRDefault="0001310B" w:rsidP="00AC55E9">
            <w:pPr>
              <w:jc w:val="center"/>
              <w:rPr>
                <w:color w:val="000000"/>
                <w:sz w:val="20"/>
                <w:szCs w:val="20"/>
                <w:highlight w:val="yellow"/>
              </w:rPr>
            </w:pPr>
            <w:r w:rsidRPr="00E82CFE">
              <w:rPr>
                <w:sz w:val="20"/>
                <w:szCs w:val="20"/>
              </w:rPr>
              <w:t xml:space="preserve">Part </w:t>
            </w:r>
            <w:r w:rsidRPr="002B7663">
              <w:rPr>
                <w:sz w:val="20"/>
                <w:szCs w:val="20"/>
              </w:rPr>
              <w:t>n=</w:t>
            </w:r>
            <w:r>
              <w:rPr>
                <w:sz w:val="20"/>
                <w:szCs w:val="20"/>
              </w:rPr>
              <w:t xml:space="preserve">27, Measure </w:t>
            </w:r>
            <w:r w:rsidRPr="002B7663">
              <w:rPr>
                <w:sz w:val="20"/>
                <w:szCs w:val="20"/>
              </w:rPr>
              <w:t>n</w:t>
            </w:r>
            <w:r>
              <w:rPr>
                <w:sz w:val="20"/>
                <w:szCs w:val="20"/>
              </w:rPr>
              <w:t>=216</w:t>
            </w:r>
          </w:p>
        </w:tc>
        <w:tc>
          <w:tcPr>
            <w:tcW w:w="1520" w:type="dxa"/>
            <w:shd w:val="clear" w:color="auto" w:fill="auto"/>
          </w:tcPr>
          <w:p w:rsidR="0001310B" w:rsidRPr="008A749F" w:rsidRDefault="0001310B" w:rsidP="00AC55E9">
            <w:pPr>
              <w:jc w:val="center"/>
              <w:rPr>
                <w:color w:val="000000"/>
                <w:sz w:val="20"/>
                <w:szCs w:val="20"/>
                <w:highlight w:val="yellow"/>
              </w:rPr>
            </w:pPr>
            <w:r w:rsidRPr="008858AD">
              <w:rPr>
                <w:sz w:val="20"/>
                <w:szCs w:val="20"/>
              </w:rPr>
              <w:t>30% of CFLs, 5</w:t>
            </w:r>
            <w:r>
              <w:rPr>
                <w:sz w:val="20"/>
                <w:szCs w:val="20"/>
              </w:rPr>
              <w:t xml:space="preserve">0% of </w:t>
            </w:r>
            <w:r w:rsidRPr="0087410A">
              <w:rPr>
                <w:sz w:val="20"/>
                <w:szCs w:val="20"/>
                <w:u w:val="words"/>
              </w:rPr>
              <w:t>limelights</w:t>
            </w:r>
            <w:r w:rsidRPr="008858AD">
              <w:rPr>
                <w:sz w:val="20"/>
                <w:szCs w:val="20"/>
              </w:rPr>
              <w:t xml:space="preserve">, and </w:t>
            </w:r>
            <w:r>
              <w:rPr>
                <w:sz w:val="20"/>
                <w:szCs w:val="20"/>
              </w:rPr>
              <w:t>30% of smart s</w:t>
            </w:r>
            <w:r w:rsidRPr="008858AD">
              <w:rPr>
                <w:sz w:val="20"/>
                <w:szCs w:val="20"/>
              </w:rPr>
              <w:t xml:space="preserve">trips not installed </w:t>
            </w:r>
          </w:p>
        </w:tc>
      </w:tr>
      <w:tr w:rsidR="00A874AC" w:rsidRPr="00A77CF0" w:rsidTr="005D6981">
        <w:trPr>
          <w:trHeight w:val="697"/>
        </w:trPr>
        <w:tc>
          <w:tcPr>
            <w:tcW w:w="1828" w:type="dxa"/>
            <w:shd w:val="clear" w:color="auto" w:fill="D2EAF1"/>
            <w:noWrap/>
          </w:tcPr>
          <w:p w:rsidR="0001310B" w:rsidRPr="00506B1A" w:rsidRDefault="0001310B" w:rsidP="00AC55E9">
            <w:pPr>
              <w:jc w:val="left"/>
              <w:rPr>
                <w:bCs/>
                <w:color w:val="000000"/>
                <w:sz w:val="20"/>
                <w:szCs w:val="20"/>
              </w:rPr>
            </w:pPr>
            <w:r w:rsidRPr="00506B1A">
              <w:rPr>
                <w:b/>
                <w:bCs/>
                <w:sz w:val="20"/>
                <w:szCs w:val="20"/>
              </w:rPr>
              <w:t>Residential Appliance Recycling (RARP)</w:t>
            </w:r>
          </w:p>
        </w:tc>
        <w:tc>
          <w:tcPr>
            <w:tcW w:w="1519" w:type="dxa"/>
            <w:shd w:val="clear" w:color="auto" w:fill="D2EAF1"/>
            <w:noWrap/>
          </w:tcPr>
          <w:p w:rsidR="0001310B" w:rsidRPr="00506B1A" w:rsidRDefault="0001310B" w:rsidP="00AC55E9">
            <w:pPr>
              <w:jc w:val="center"/>
              <w:rPr>
                <w:color w:val="000000"/>
                <w:sz w:val="20"/>
                <w:szCs w:val="20"/>
              </w:rPr>
            </w:pPr>
            <w:r w:rsidRPr="00506B1A">
              <w:rPr>
                <w:sz w:val="20"/>
                <w:szCs w:val="20"/>
              </w:rPr>
              <w:t>All</w:t>
            </w:r>
          </w:p>
        </w:tc>
        <w:tc>
          <w:tcPr>
            <w:tcW w:w="1520" w:type="dxa"/>
            <w:shd w:val="clear" w:color="auto" w:fill="D2EAF1"/>
            <w:noWrap/>
          </w:tcPr>
          <w:p w:rsidR="0001310B" w:rsidRPr="00506B1A" w:rsidRDefault="0001310B" w:rsidP="00AC55E9">
            <w:pPr>
              <w:jc w:val="center"/>
              <w:rPr>
                <w:color w:val="000000"/>
                <w:sz w:val="20"/>
                <w:szCs w:val="20"/>
              </w:rPr>
            </w:pPr>
            <w:r w:rsidRPr="00506B1A">
              <w:rPr>
                <w:sz w:val="20"/>
                <w:szCs w:val="20"/>
              </w:rPr>
              <w:t>M&amp;V</w:t>
            </w:r>
          </w:p>
        </w:tc>
        <w:tc>
          <w:tcPr>
            <w:tcW w:w="1520" w:type="dxa"/>
            <w:shd w:val="clear" w:color="auto" w:fill="D2EAF1"/>
            <w:noWrap/>
          </w:tcPr>
          <w:p w:rsidR="0001310B" w:rsidRPr="00506B1A" w:rsidRDefault="0001310B" w:rsidP="00AC55E9">
            <w:pPr>
              <w:jc w:val="center"/>
              <w:rPr>
                <w:color w:val="000000"/>
                <w:sz w:val="20"/>
                <w:szCs w:val="20"/>
              </w:rPr>
            </w:pPr>
            <w:r w:rsidRPr="00506B1A">
              <w:rPr>
                <w:sz w:val="20"/>
                <w:szCs w:val="20"/>
              </w:rPr>
              <w:t>Telephone</w:t>
            </w:r>
          </w:p>
        </w:tc>
        <w:tc>
          <w:tcPr>
            <w:tcW w:w="1520" w:type="dxa"/>
            <w:shd w:val="clear" w:color="auto" w:fill="D2EAF1"/>
            <w:noWrap/>
          </w:tcPr>
          <w:p w:rsidR="0001310B" w:rsidRPr="00506B1A" w:rsidRDefault="0001310B" w:rsidP="00AC55E9">
            <w:pPr>
              <w:jc w:val="center"/>
              <w:rPr>
                <w:color w:val="000000"/>
                <w:sz w:val="20"/>
                <w:szCs w:val="20"/>
              </w:rPr>
            </w:pPr>
            <w:r w:rsidRPr="00506B1A">
              <w:rPr>
                <w:sz w:val="20"/>
                <w:szCs w:val="20"/>
              </w:rPr>
              <w:t xml:space="preserve">Part </w:t>
            </w:r>
            <w:r w:rsidRPr="002B7663">
              <w:rPr>
                <w:sz w:val="20"/>
                <w:szCs w:val="20"/>
              </w:rPr>
              <w:t>n=</w:t>
            </w:r>
            <w:r w:rsidRPr="00506B1A">
              <w:rPr>
                <w:sz w:val="20"/>
                <w:szCs w:val="20"/>
              </w:rPr>
              <w:t xml:space="preserve">109, Measure </w:t>
            </w:r>
            <w:r w:rsidRPr="002B7663">
              <w:rPr>
                <w:sz w:val="20"/>
                <w:szCs w:val="20"/>
              </w:rPr>
              <w:t>n</w:t>
            </w:r>
            <w:r>
              <w:rPr>
                <w:sz w:val="20"/>
                <w:szCs w:val="20"/>
              </w:rPr>
              <w:t>=</w:t>
            </w:r>
            <w:r w:rsidRPr="00506B1A">
              <w:rPr>
                <w:sz w:val="20"/>
                <w:szCs w:val="20"/>
              </w:rPr>
              <w:t>115</w:t>
            </w:r>
          </w:p>
        </w:tc>
        <w:tc>
          <w:tcPr>
            <w:tcW w:w="1520" w:type="dxa"/>
            <w:shd w:val="clear" w:color="auto" w:fill="D2EAF1"/>
          </w:tcPr>
          <w:p w:rsidR="0001310B" w:rsidRDefault="0001310B" w:rsidP="00AC55E9">
            <w:pPr>
              <w:jc w:val="center"/>
              <w:rPr>
                <w:sz w:val="20"/>
                <w:szCs w:val="20"/>
              </w:rPr>
            </w:pPr>
            <w:r>
              <w:rPr>
                <w:sz w:val="20"/>
                <w:szCs w:val="20"/>
              </w:rPr>
              <w:t>Three additional refrigerators not in database</w:t>
            </w:r>
          </w:p>
          <w:p w:rsidR="0001310B" w:rsidRPr="00506B1A" w:rsidRDefault="0001310B" w:rsidP="00AC55E9">
            <w:pPr>
              <w:jc w:val="center"/>
              <w:rPr>
                <w:color w:val="000000"/>
                <w:sz w:val="20"/>
                <w:szCs w:val="20"/>
              </w:rPr>
            </w:pPr>
            <w:r>
              <w:rPr>
                <w:sz w:val="20"/>
                <w:szCs w:val="20"/>
              </w:rPr>
              <w:t>were recycled</w:t>
            </w:r>
          </w:p>
        </w:tc>
      </w:tr>
      <w:tr w:rsidR="00E7173E" w:rsidRPr="00A77CF0" w:rsidTr="005D6981">
        <w:trPr>
          <w:trHeight w:val="697"/>
        </w:trPr>
        <w:tc>
          <w:tcPr>
            <w:tcW w:w="1828" w:type="dxa"/>
            <w:shd w:val="clear" w:color="auto" w:fill="auto"/>
            <w:noWrap/>
          </w:tcPr>
          <w:p w:rsidR="0001310B" w:rsidRPr="009A7854" w:rsidRDefault="0001310B" w:rsidP="00AC55E9">
            <w:pPr>
              <w:jc w:val="left"/>
              <w:rPr>
                <w:b/>
                <w:bCs/>
                <w:color w:val="000000"/>
                <w:sz w:val="20"/>
                <w:szCs w:val="20"/>
              </w:rPr>
            </w:pPr>
            <w:r w:rsidRPr="009A7854">
              <w:rPr>
                <w:b/>
                <w:bCs/>
                <w:color w:val="000000"/>
                <w:sz w:val="20"/>
                <w:szCs w:val="20"/>
              </w:rPr>
              <w:t>Residential:  Whole House (WHEAP)</w:t>
            </w:r>
          </w:p>
        </w:tc>
        <w:tc>
          <w:tcPr>
            <w:tcW w:w="1519" w:type="dxa"/>
            <w:shd w:val="clear" w:color="auto" w:fill="auto"/>
            <w:noWrap/>
          </w:tcPr>
          <w:p w:rsidR="0001310B" w:rsidRPr="009A7854" w:rsidRDefault="0001310B" w:rsidP="00AC55E9">
            <w:pPr>
              <w:jc w:val="center"/>
              <w:rPr>
                <w:color w:val="000000"/>
                <w:sz w:val="20"/>
                <w:szCs w:val="20"/>
              </w:rPr>
            </w:pPr>
            <w:r w:rsidRPr="009A7854">
              <w:rPr>
                <w:sz w:val="20"/>
                <w:szCs w:val="20"/>
              </w:rPr>
              <w:t>All</w:t>
            </w:r>
          </w:p>
        </w:tc>
        <w:tc>
          <w:tcPr>
            <w:tcW w:w="1520" w:type="dxa"/>
            <w:shd w:val="clear" w:color="auto" w:fill="auto"/>
            <w:noWrap/>
          </w:tcPr>
          <w:p w:rsidR="0001310B" w:rsidRPr="009A7854" w:rsidRDefault="0001310B" w:rsidP="00AC55E9">
            <w:pPr>
              <w:jc w:val="center"/>
              <w:rPr>
                <w:color w:val="000000"/>
                <w:sz w:val="20"/>
                <w:szCs w:val="20"/>
              </w:rPr>
            </w:pPr>
            <w:r w:rsidRPr="009A7854">
              <w:rPr>
                <w:sz w:val="20"/>
                <w:szCs w:val="20"/>
              </w:rPr>
              <w:t>M&amp;V</w:t>
            </w:r>
          </w:p>
        </w:tc>
        <w:tc>
          <w:tcPr>
            <w:tcW w:w="1520" w:type="dxa"/>
            <w:shd w:val="clear" w:color="auto" w:fill="auto"/>
            <w:noWrap/>
          </w:tcPr>
          <w:p w:rsidR="0001310B" w:rsidRPr="009A7854" w:rsidRDefault="0001310B" w:rsidP="00AC55E9">
            <w:pPr>
              <w:jc w:val="center"/>
              <w:rPr>
                <w:color w:val="000000"/>
                <w:sz w:val="20"/>
                <w:szCs w:val="20"/>
              </w:rPr>
            </w:pPr>
            <w:r w:rsidRPr="009A7854">
              <w:rPr>
                <w:sz w:val="20"/>
                <w:szCs w:val="20"/>
              </w:rPr>
              <w:t>Telephone</w:t>
            </w:r>
          </w:p>
        </w:tc>
        <w:tc>
          <w:tcPr>
            <w:tcW w:w="1520" w:type="dxa"/>
            <w:shd w:val="clear" w:color="auto" w:fill="auto"/>
          </w:tcPr>
          <w:p w:rsidR="0001310B" w:rsidRPr="008A749F" w:rsidRDefault="0001310B" w:rsidP="00AC55E9">
            <w:pPr>
              <w:jc w:val="center"/>
              <w:rPr>
                <w:color w:val="000000"/>
                <w:sz w:val="20"/>
                <w:szCs w:val="20"/>
                <w:highlight w:val="yellow"/>
              </w:rPr>
            </w:pPr>
            <w:r w:rsidRPr="00A70ED9">
              <w:rPr>
                <w:sz w:val="20"/>
                <w:szCs w:val="20"/>
              </w:rPr>
              <w:t xml:space="preserve">Part </w:t>
            </w:r>
            <w:r w:rsidRPr="002B7663">
              <w:rPr>
                <w:sz w:val="20"/>
                <w:szCs w:val="20"/>
              </w:rPr>
              <w:t>n=</w:t>
            </w:r>
            <w:r w:rsidR="009B0A5A">
              <w:rPr>
                <w:sz w:val="20"/>
                <w:szCs w:val="20"/>
              </w:rPr>
              <w:t>22</w:t>
            </w:r>
            <w:r w:rsidRPr="00A70ED9">
              <w:rPr>
                <w:sz w:val="20"/>
                <w:szCs w:val="20"/>
              </w:rPr>
              <w:t xml:space="preserve">, Measure </w:t>
            </w:r>
            <w:r w:rsidRPr="002B7663">
              <w:rPr>
                <w:sz w:val="20"/>
                <w:szCs w:val="20"/>
              </w:rPr>
              <w:t>n=</w:t>
            </w:r>
            <w:r w:rsidR="00E95AD8">
              <w:rPr>
                <w:sz w:val="20"/>
                <w:szCs w:val="20"/>
              </w:rPr>
              <w:t>222</w:t>
            </w:r>
          </w:p>
        </w:tc>
        <w:tc>
          <w:tcPr>
            <w:tcW w:w="1520" w:type="dxa"/>
            <w:shd w:val="clear" w:color="auto" w:fill="auto"/>
          </w:tcPr>
          <w:p w:rsidR="0001310B" w:rsidRPr="008A749F" w:rsidRDefault="0001310B" w:rsidP="00AC55E9">
            <w:pPr>
              <w:jc w:val="center"/>
              <w:rPr>
                <w:color w:val="000000"/>
                <w:sz w:val="20"/>
                <w:szCs w:val="20"/>
                <w:highlight w:val="yellow"/>
              </w:rPr>
            </w:pPr>
            <w:r w:rsidRPr="00A70ED9">
              <w:rPr>
                <w:color w:val="000000"/>
                <w:sz w:val="20"/>
                <w:szCs w:val="20"/>
              </w:rPr>
              <w:t>3% of CFLs not installed</w:t>
            </w:r>
            <w:r>
              <w:rPr>
                <w:color w:val="000000"/>
                <w:sz w:val="20"/>
                <w:szCs w:val="20"/>
              </w:rPr>
              <w:t>; 1 of 1 smart s</w:t>
            </w:r>
            <w:r w:rsidRPr="00A70ED9">
              <w:rPr>
                <w:color w:val="000000"/>
                <w:sz w:val="20"/>
                <w:szCs w:val="20"/>
              </w:rPr>
              <w:t>trip not installed</w:t>
            </w:r>
          </w:p>
        </w:tc>
      </w:tr>
      <w:tr w:rsidR="00A874AC" w:rsidRPr="00A77CF0" w:rsidTr="005D6981">
        <w:trPr>
          <w:trHeight w:val="697"/>
        </w:trPr>
        <w:tc>
          <w:tcPr>
            <w:tcW w:w="1828" w:type="dxa"/>
            <w:vMerge w:val="restart"/>
            <w:shd w:val="clear" w:color="auto" w:fill="D2EAF1"/>
          </w:tcPr>
          <w:p w:rsidR="0001310B" w:rsidRPr="00A70ED9" w:rsidRDefault="0001310B" w:rsidP="00AC55E9">
            <w:pPr>
              <w:jc w:val="left"/>
              <w:rPr>
                <w:b/>
                <w:bCs/>
                <w:color w:val="000000"/>
                <w:sz w:val="20"/>
                <w:szCs w:val="20"/>
              </w:rPr>
            </w:pPr>
            <w:r w:rsidRPr="00A70ED9">
              <w:rPr>
                <w:b/>
                <w:bCs/>
                <w:color w:val="000000"/>
                <w:sz w:val="20"/>
                <w:szCs w:val="20"/>
              </w:rPr>
              <w:t>Residential: Low-Income EE (LIEEP)</w:t>
            </w:r>
          </w:p>
        </w:tc>
        <w:tc>
          <w:tcPr>
            <w:tcW w:w="1519" w:type="dxa"/>
            <w:shd w:val="clear" w:color="auto" w:fill="D2EAF1"/>
            <w:noWrap/>
          </w:tcPr>
          <w:p w:rsidR="0001310B" w:rsidRDefault="0001310B" w:rsidP="00AC55E9">
            <w:pPr>
              <w:jc w:val="center"/>
              <w:rPr>
                <w:sz w:val="20"/>
                <w:szCs w:val="20"/>
              </w:rPr>
            </w:pPr>
            <w:r>
              <w:rPr>
                <w:sz w:val="20"/>
                <w:szCs w:val="20"/>
              </w:rPr>
              <w:t>Rebates/</w:t>
            </w:r>
            <w:r w:rsidRPr="00A70ED9">
              <w:rPr>
                <w:sz w:val="20"/>
                <w:szCs w:val="20"/>
              </w:rPr>
              <w:t>Kits/</w:t>
            </w:r>
            <w:r>
              <w:rPr>
                <w:sz w:val="20"/>
                <w:szCs w:val="20"/>
              </w:rPr>
              <w:t xml:space="preserve"> </w:t>
            </w:r>
            <w:r w:rsidRPr="00A70ED9">
              <w:rPr>
                <w:sz w:val="20"/>
                <w:szCs w:val="20"/>
              </w:rPr>
              <w:t>RARP/SEP/</w:t>
            </w:r>
          </w:p>
          <w:p w:rsidR="0001310B" w:rsidRPr="00A70ED9" w:rsidRDefault="0001310B" w:rsidP="00AC55E9">
            <w:pPr>
              <w:jc w:val="center"/>
              <w:rPr>
                <w:sz w:val="20"/>
                <w:szCs w:val="20"/>
              </w:rPr>
            </w:pPr>
            <w:r w:rsidRPr="00A70ED9">
              <w:rPr>
                <w:sz w:val="20"/>
                <w:szCs w:val="20"/>
              </w:rPr>
              <w:t>WH</w:t>
            </w:r>
            <w:r>
              <w:rPr>
                <w:sz w:val="20"/>
                <w:szCs w:val="20"/>
              </w:rPr>
              <w:t>EAP</w:t>
            </w:r>
            <w:r w:rsidRPr="00A70ED9">
              <w:rPr>
                <w:sz w:val="20"/>
                <w:szCs w:val="20"/>
              </w:rPr>
              <w:t xml:space="preserve"> </w:t>
            </w:r>
          </w:p>
        </w:tc>
        <w:tc>
          <w:tcPr>
            <w:tcW w:w="1520" w:type="dxa"/>
            <w:shd w:val="clear" w:color="auto" w:fill="D2EAF1"/>
            <w:noWrap/>
          </w:tcPr>
          <w:p w:rsidR="0001310B" w:rsidRPr="00A70ED9" w:rsidRDefault="0001310B" w:rsidP="00AC55E9">
            <w:pPr>
              <w:jc w:val="center"/>
              <w:rPr>
                <w:sz w:val="20"/>
                <w:szCs w:val="20"/>
              </w:rPr>
            </w:pPr>
            <w:r w:rsidRPr="00A70ED9">
              <w:rPr>
                <w:sz w:val="20"/>
                <w:szCs w:val="20"/>
              </w:rPr>
              <w:t>M&amp;V</w:t>
            </w:r>
          </w:p>
        </w:tc>
        <w:tc>
          <w:tcPr>
            <w:tcW w:w="1520" w:type="dxa"/>
            <w:shd w:val="clear" w:color="auto" w:fill="D2EAF1"/>
            <w:noWrap/>
          </w:tcPr>
          <w:p w:rsidR="0001310B" w:rsidRPr="00A70ED9" w:rsidRDefault="0001310B" w:rsidP="00AC55E9">
            <w:pPr>
              <w:jc w:val="center"/>
              <w:rPr>
                <w:sz w:val="20"/>
                <w:szCs w:val="20"/>
              </w:rPr>
            </w:pPr>
            <w:r w:rsidRPr="00A70ED9">
              <w:rPr>
                <w:sz w:val="20"/>
                <w:szCs w:val="20"/>
              </w:rPr>
              <w:t>Telephone</w:t>
            </w:r>
          </w:p>
        </w:tc>
        <w:tc>
          <w:tcPr>
            <w:tcW w:w="1520" w:type="dxa"/>
            <w:shd w:val="clear" w:color="auto" w:fill="D2EAF1"/>
            <w:noWrap/>
          </w:tcPr>
          <w:p w:rsidR="0001310B" w:rsidRPr="00A70ED9" w:rsidRDefault="0001310B" w:rsidP="00AC55E9">
            <w:pPr>
              <w:jc w:val="center"/>
              <w:rPr>
                <w:sz w:val="20"/>
                <w:szCs w:val="20"/>
              </w:rPr>
            </w:pPr>
            <w:r w:rsidRPr="00A70ED9">
              <w:rPr>
                <w:sz w:val="20"/>
                <w:szCs w:val="20"/>
              </w:rPr>
              <w:t xml:space="preserve">Part </w:t>
            </w:r>
            <w:r w:rsidRPr="002B7663">
              <w:rPr>
                <w:sz w:val="20"/>
                <w:szCs w:val="20"/>
              </w:rPr>
              <w:t>n=</w:t>
            </w:r>
            <w:r>
              <w:rPr>
                <w:sz w:val="20"/>
                <w:szCs w:val="20"/>
              </w:rPr>
              <w:t>96</w:t>
            </w:r>
            <w:r w:rsidRPr="00A70ED9">
              <w:rPr>
                <w:sz w:val="20"/>
                <w:szCs w:val="20"/>
              </w:rPr>
              <w:t xml:space="preserve">, Measure </w:t>
            </w:r>
            <w:r w:rsidRPr="002B7663">
              <w:rPr>
                <w:sz w:val="20"/>
                <w:szCs w:val="20"/>
              </w:rPr>
              <w:t>n=</w:t>
            </w:r>
            <w:r>
              <w:rPr>
                <w:sz w:val="20"/>
                <w:szCs w:val="20"/>
              </w:rPr>
              <w:t>338</w:t>
            </w:r>
          </w:p>
        </w:tc>
        <w:tc>
          <w:tcPr>
            <w:tcW w:w="1520" w:type="dxa"/>
            <w:shd w:val="clear" w:color="auto" w:fill="D2EAF1"/>
            <w:noWrap/>
          </w:tcPr>
          <w:p w:rsidR="0001310B" w:rsidRPr="009D4525" w:rsidRDefault="0001310B" w:rsidP="00AC55E9">
            <w:pPr>
              <w:jc w:val="center"/>
              <w:rPr>
                <w:sz w:val="20"/>
                <w:szCs w:val="20"/>
                <w:highlight w:val="yellow"/>
              </w:rPr>
            </w:pPr>
            <w:r w:rsidRPr="009D4525">
              <w:rPr>
                <w:sz w:val="20"/>
                <w:szCs w:val="20"/>
              </w:rPr>
              <w:t>1 thermostat not installed</w:t>
            </w:r>
            <w:r>
              <w:rPr>
                <w:sz w:val="20"/>
                <w:szCs w:val="20"/>
              </w:rPr>
              <w:t>;</w:t>
            </w:r>
            <w:r w:rsidRPr="009D4525">
              <w:rPr>
                <w:sz w:val="20"/>
                <w:szCs w:val="20"/>
              </w:rPr>
              <w:t xml:space="preserve"> 29% of kits not installed; 2 additional refrigerators recycled</w:t>
            </w:r>
            <w:r>
              <w:rPr>
                <w:sz w:val="20"/>
                <w:szCs w:val="20"/>
              </w:rPr>
              <w:t>;</w:t>
            </w:r>
            <w:r w:rsidRPr="009D4525">
              <w:rPr>
                <w:sz w:val="20"/>
                <w:szCs w:val="20"/>
              </w:rPr>
              <w:t xml:space="preserve"> 37% of SEP kits not installed; 10% of WH</w:t>
            </w:r>
            <w:r>
              <w:rPr>
                <w:sz w:val="20"/>
                <w:szCs w:val="20"/>
              </w:rPr>
              <w:t>EAP</w:t>
            </w:r>
            <w:r w:rsidRPr="009D4525">
              <w:rPr>
                <w:sz w:val="20"/>
                <w:szCs w:val="20"/>
              </w:rPr>
              <w:t xml:space="preserve"> CFLs not installed</w:t>
            </w:r>
          </w:p>
        </w:tc>
      </w:tr>
      <w:tr w:rsidR="00A874AC" w:rsidRPr="00A77CF0" w:rsidTr="005D6981">
        <w:trPr>
          <w:trHeight w:val="697"/>
        </w:trPr>
        <w:tc>
          <w:tcPr>
            <w:tcW w:w="1828" w:type="dxa"/>
            <w:vMerge/>
            <w:shd w:val="clear" w:color="auto" w:fill="D2EAF1"/>
          </w:tcPr>
          <w:p w:rsidR="0001310B" w:rsidRPr="008A749F" w:rsidRDefault="0001310B" w:rsidP="00AC55E9">
            <w:pPr>
              <w:jc w:val="left"/>
              <w:rPr>
                <w:bCs/>
                <w:color w:val="000000"/>
                <w:sz w:val="20"/>
                <w:szCs w:val="20"/>
                <w:highlight w:val="yellow"/>
              </w:rPr>
            </w:pPr>
          </w:p>
        </w:tc>
        <w:tc>
          <w:tcPr>
            <w:tcW w:w="1519" w:type="dxa"/>
            <w:shd w:val="clear" w:color="auto" w:fill="D2EAF1"/>
            <w:noWrap/>
          </w:tcPr>
          <w:p w:rsidR="0001310B" w:rsidRPr="00506B1A" w:rsidRDefault="0001310B" w:rsidP="00AC55E9">
            <w:pPr>
              <w:jc w:val="center"/>
              <w:rPr>
                <w:sz w:val="20"/>
                <w:szCs w:val="20"/>
              </w:rPr>
            </w:pPr>
            <w:r w:rsidRPr="00506B1A">
              <w:rPr>
                <w:sz w:val="20"/>
                <w:szCs w:val="20"/>
              </w:rPr>
              <w:t>Lighting</w:t>
            </w:r>
          </w:p>
        </w:tc>
        <w:tc>
          <w:tcPr>
            <w:tcW w:w="1520" w:type="dxa"/>
            <w:shd w:val="clear" w:color="auto" w:fill="D2EAF1"/>
            <w:noWrap/>
          </w:tcPr>
          <w:p w:rsidR="0001310B" w:rsidRPr="00506B1A" w:rsidRDefault="0001310B" w:rsidP="00AC55E9">
            <w:pPr>
              <w:jc w:val="center"/>
              <w:rPr>
                <w:sz w:val="20"/>
                <w:szCs w:val="20"/>
              </w:rPr>
            </w:pPr>
            <w:r w:rsidRPr="00506B1A">
              <w:rPr>
                <w:sz w:val="20"/>
                <w:szCs w:val="20"/>
              </w:rPr>
              <w:t>N/A</w:t>
            </w:r>
          </w:p>
        </w:tc>
        <w:tc>
          <w:tcPr>
            <w:tcW w:w="1520" w:type="dxa"/>
            <w:shd w:val="clear" w:color="auto" w:fill="D2EAF1"/>
            <w:noWrap/>
          </w:tcPr>
          <w:p w:rsidR="0001310B" w:rsidRPr="00506B1A" w:rsidRDefault="0001310B" w:rsidP="00AC55E9">
            <w:pPr>
              <w:jc w:val="center"/>
              <w:rPr>
                <w:sz w:val="20"/>
                <w:szCs w:val="20"/>
              </w:rPr>
            </w:pPr>
            <w:r w:rsidRPr="00506B1A">
              <w:rPr>
                <w:sz w:val="20"/>
                <w:szCs w:val="20"/>
              </w:rPr>
              <w:t>N/A</w:t>
            </w:r>
          </w:p>
        </w:tc>
        <w:tc>
          <w:tcPr>
            <w:tcW w:w="1520" w:type="dxa"/>
            <w:shd w:val="clear" w:color="auto" w:fill="D2EAF1"/>
            <w:noWrap/>
          </w:tcPr>
          <w:p w:rsidR="0001310B" w:rsidRPr="00506B1A" w:rsidRDefault="0001310B" w:rsidP="00AC55E9">
            <w:pPr>
              <w:jc w:val="center"/>
              <w:rPr>
                <w:sz w:val="20"/>
                <w:szCs w:val="20"/>
              </w:rPr>
            </w:pPr>
            <w:r w:rsidRPr="00506B1A">
              <w:rPr>
                <w:sz w:val="20"/>
                <w:szCs w:val="20"/>
              </w:rPr>
              <w:t>N/A</w:t>
            </w:r>
          </w:p>
        </w:tc>
        <w:tc>
          <w:tcPr>
            <w:tcW w:w="1520" w:type="dxa"/>
            <w:shd w:val="clear" w:color="auto" w:fill="D2EAF1"/>
            <w:noWrap/>
          </w:tcPr>
          <w:p w:rsidR="0001310B" w:rsidRPr="00506B1A" w:rsidRDefault="0001310B" w:rsidP="00AC55E9">
            <w:pPr>
              <w:jc w:val="center"/>
              <w:rPr>
                <w:color w:val="000000"/>
                <w:sz w:val="20"/>
                <w:szCs w:val="20"/>
              </w:rPr>
            </w:pPr>
            <w:r w:rsidRPr="00506B1A">
              <w:rPr>
                <w:sz w:val="20"/>
                <w:szCs w:val="20"/>
              </w:rPr>
              <w:t>N/A</w:t>
            </w:r>
          </w:p>
        </w:tc>
      </w:tr>
      <w:tr w:rsidR="00A874AC" w:rsidRPr="00A77CF0" w:rsidTr="005D6981">
        <w:trPr>
          <w:trHeight w:val="697"/>
        </w:trPr>
        <w:tc>
          <w:tcPr>
            <w:tcW w:w="1828" w:type="dxa"/>
            <w:shd w:val="clear" w:color="auto" w:fill="D2EAF1"/>
          </w:tcPr>
          <w:p w:rsidR="0001310B" w:rsidRPr="00506B1A" w:rsidRDefault="0001310B" w:rsidP="00AC55E9">
            <w:pPr>
              <w:jc w:val="left"/>
              <w:rPr>
                <w:b/>
                <w:bCs/>
                <w:color w:val="000000"/>
                <w:sz w:val="20"/>
                <w:szCs w:val="20"/>
              </w:rPr>
            </w:pPr>
            <w:r w:rsidRPr="00506B1A">
              <w:rPr>
                <w:b/>
                <w:bCs/>
                <w:color w:val="000000"/>
                <w:sz w:val="20"/>
                <w:szCs w:val="20"/>
              </w:rPr>
              <w:lastRenderedPageBreak/>
              <w:t>Residential: Home Energy Reports</w:t>
            </w:r>
            <w:r>
              <w:rPr>
                <w:b/>
                <w:bCs/>
                <w:color w:val="000000"/>
                <w:sz w:val="20"/>
                <w:szCs w:val="20"/>
              </w:rPr>
              <w:t xml:space="preserve"> (includes Low-Income)</w:t>
            </w:r>
          </w:p>
        </w:tc>
        <w:tc>
          <w:tcPr>
            <w:tcW w:w="1519" w:type="dxa"/>
            <w:shd w:val="clear" w:color="auto" w:fill="D2EAF1"/>
            <w:noWrap/>
          </w:tcPr>
          <w:p w:rsidR="0001310B" w:rsidRPr="00506B1A" w:rsidRDefault="0001310B" w:rsidP="00AC55E9">
            <w:pPr>
              <w:jc w:val="center"/>
              <w:rPr>
                <w:sz w:val="20"/>
                <w:szCs w:val="20"/>
              </w:rPr>
            </w:pPr>
            <w:r>
              <w:rPr>
                <w:sz w:val="20"/>
                <w:szCs w:val="20"/>
              </w:rPr>
              <w:t>All</w:t>
            </w:r>
          </w:p>
        </w:tc>
        <w:tc>
          <w:tcPr>
            <w:tcW w:w="1520" w:type="dxa"/>
            <w:shd w:val="clear" w:color="auto" w:fill="D2EAF1"/>
            <w:noWrap/>
          </w:tcPr>
          <w:p w:rsidR="0001310B" w:rsidRPr="00506B1A" w:rsidRDefault="0001310B" w:rsidP="00AC55E9">
            <w:pPr>
              <w:jc w:val="center"/>
              <w:rPr>
                <w:sz w:val="20"/>
                <w:szCs w:val="20"/>
              </w:rPr>
            </w:pPr>
            <w:r w:rsidRPr="00506B1A">
              <w:rPr>
                <w:sz w:val="20"/>
                <w:szCs w:val="20"/>
              </w:rPr>
              <w:t>N/A</w:t>
            </w:r>
          </w:p>
        </w:tc>
        <w:tc>
          <w:tcPr>
            <w:tcW w:w="1520" w:type="dxa"/>
            <w:shd w:val="clear" w:color="auto" w:fill="D2EAF1"/>
            <w:noWrap/>
          </w:tcPr>
          <w:p w:rsidR="0001310B" w:rsidRPr="00506B1A" w:rsidRDefault="0001310B" w:rsidP="00AC55E9">
            <w:pPr>
              <w:jc w:val="center"/>
              <w:rPr>
                <w:sz w:val="20"/>
                <w:szCs w:val="20"/>
              </w:rPr>
            </w:pPr>
            <w:r>
              <w:rPr>
                <w:sz w:val="20"/>
                <w:szCs w:val="20"/>
              </w:rPr>
              <w:t>Billing Analysis</w:t>
            </w:r>
          </w:p>
        </w:tc>
        <w:tc>
          <w:tcPr>
            <w:tcW w:w="1520" w:type="dxa"/>
            <w:shd w:val="clear" w:color="auto" w:fill="D2EAF1"/>
            <w:noWrap/>
          </w:tcPr>
          <w:p w:rsidR="0001310B" w:rsidRPr="00506B1A" w:rsidRDefault="0001310B" w:rsidP="00AC55E9">
            <w:pPr>
              <w:jc w:val="center"/>
              <w:rPr>
                <w:sz w:val="20"/>
                <w:szCs w:val="20"/>
              </w:rPr>
            </w:pPr>
            <w:r>
              <w:rPr>
                <w:sz w:val="20"/>
                <w:szCs w:val="20"/>
              </w:rPr>
              <w:t>Census</w:t>
            </w:r>
          </w:p>
        </w:tc>
        <w:tc>
          <w:tcPr>
            <w:tcW w:w="1520" w:type="dxa"/>
            <w:shd w:val="clear" w:color="auto" w:fill="D2EAF1"/>
            <w:noWrap/>
          </w:tcPr>
          <w:p w:rsidR="0001310B" w:rsidRPr="00506B1A" w:rsidRDefault="0001310B" w:rsidP="00AC55E9">
            <w:pPr>
              <w:jc w:val="center"/>
              <w:rPr>
                <w:sz w:val="20"/>
                <w:szCs w:val="20"/>
              </w:rPr>
            </w:pPr>
            <w:r w:rsidRPr="00506B1A">
              <w:rPr>
                <w:sz w:val="20"/>
                <w:szCs w:val="20"/>
              </w:rPr>
              <w:t>N/A</w:t>
            </w:r>
          </w:p>
        </w:tc>
      </w:tr>
    </w:tbl>
    <w:p w:rsidR="0001310B" w:rsidRDefault="0001310B" w:rsidP="0001310B">
      <w:pPr>
        <w:autoSpaceDE w:val="0"/>
        <w:autoSpaceDN w:val="0"/>
        <w:adjustRightInd w:val="0"/>
        <w:rPr>
          <w:rFonts w:cs="Calibri"/>
        </w:rPr>
      </w:pPr>
    </w:p>
    <w:p w:rsidR="004045A0" w:rsidRDefault="004045A0" w:rsidP="00C32A57">
      <w:pPr>
        <w:pStyle w:val="AppendixAHeading4"/>
      </w:pPr>
      <w:r>
        <w:t>Residential Programs</w:t>
      </w:r>
    </w:p>
    <w:p w:rsidR="0001310B" w:rsidRPr="00216E27" w:rsidRDefault="0001310B" w:rsidP="0001310B">
      <w:r w:rsidRPr="00216E27">
        <w:t xml:space="preserve">The discussion below provides an in-depth review of Navigant’s M&amp;V activities and findings for each of the residential programs. </w:t>
      </w:r>
    </w:p>
    <w:p w:rsidR="0001310B" w:rsidRPr="003A4AF5" w:rsidRDefault="0001310B" w:rsidP="0001310B">
      <w:pPr>
        <w:autoSpaceDE w:val="0"/>
        <w:autoSpaceDN w:val="0"/>
        <w:adjustRightInd w:val="0"/>
        <w:rPr>
          <w:rFonts w:cs="Calibri"/>
          <w:highlight w:val="yellow"/>
        </w:rPr>
      </w:pPr>
    </w:p>
    <w:p w:rsidR="0001310B" w:rsidRPr="00D03E3F" w:rsidRDefault="0001310B" w:rsidP="0001310B">
      <w:pPr>
        <w:autoSpaceDE w:val="0"/>
        <w:autoSpaceDN w:val="0"/>
        <w:adjustRightInd w:val="0"/>
        <w:rPr>
          <w:rFonts w:cs="Calibri"/>
        </w:rPr>
      </w:pPr>
      <w:r w:rsidRPr="00D03E3F">
        <w:rPr>
          <w:rFonts w:cs="Calibri"/>
        </w:rPr>
        <w:t xml:space="preserve">The evaluation contractor’s primary M&amp;V efforts for REEP varied based on the program component. For efficiency kits and rebates, the primary M&amp;V activity included a telephone survey of a random sample of participants, based on subprogram strata, to verify installations and estimate installation rates. </w:t>
      </w:r>
      <w:r>
        <w:rPr>
          <w:rFonts w:cs="Calibri"/>
        </w:rPr>
        <w:t xml:space="preserve">The REEP rebates evaluation also included an application review for the same sample of phone verification participants. </w:t>
      </w:r>
      <w:r w:rsidRPr="00D03E3F">
        <w:rPr>
          <w:rFonts w:cs="Calibri"/>
        </w:rPr>
        <w:t xml:space="preserve">The non-lighting </w:t>
      </w:r>
      <w:r>
        <w:rPr>
          <w:rFonts w:cs="Calibri"/>
        </w:rPr>
        <w:t xml:space="preserve">evaluation </w:t>
      </w:r>
      <w:r w:rsidRPr="00D03E3F">
        <w:rPr>
          <w:rFonts w:cs="Calibri"/>
        </w:rPr>
        <w:t xml:space="preserve">approach included random sampling of participants using a simple ratio estimator </w:t>
      </w:r>
      <w:r w:rsidRPr="003B3C24">
        <w:t>(a statistical parameter which is the ratio of the means of two variables)</w:t>
      </w:r>
      <w:r>
        <w:t xml:space="preserve"> </w:t>
      </w:r>
      <w:r w:rsidRPr="00D03E3F">
        <w:rPr>
          <w:rFonts w:cs="Calibri"/>
        </w:rPr>
        <w:t xml:space="preserve">to review the measure and project qualification, verify participation and installation, verify deemed savings application, and then apply the sample population realization rate to the entire participant population. The upstream lighting component received database verification consistent with the SWE audit approach and verified the PMRS tracking database records against the implementer-based invoicing system (ECOVA) and included a complete baseline wattage review and TRM algorithm verification. </w:t>
      </w:r>
    </w:p>
    <w:p w:rsidR="0001310B" w:rsidRPr="003A4AF5" w:rsidRDefault="0001310B" w:rsidP="0001310B">
      <w:pPr>
        <w:autoSpaceDE w:val="0"/>
        <w:autoSpaceDN w:val="0"/>
        <w:adjustRightInd w:val="0"/>
        <w:rPr>
          <w:rFonts w:cs="Calibri"/>
          <w:highlight w:val="yellow"/>
        </w:rPr>
      </w:pPr>
    </w:p>
    <w:p w:rsidR="0001310B" w:rsidRPr="003A4AF5" w:rsidRDefault="0001310B" w:rsidP="0001310B">
      <w:pPr>
        <w:autoSpaceDE w:val="0"/>
        <w:autoSpaceDN w:val="0"/>
        <w:adjustRightInd w:val="0"/>
        <w:rPr>
          <w:rFonts w:cs="Calibri"/>
          <w:highlight w:val="yellow"/>
        </w:rPr>
      </w:pPr>
      <w:r w:rsidRPr="00D03E3F">
        <w:rPr>
          <w:rFonts w:cs="Calibri"/>
        </w:rPr>
        <w:t>Similar to the results of the PY6 evaluation, the kits component of the program had the lowest realization rate, which is attributable to participants n</w:t>
      </w:r>
      <w:r w:rsidRPr="00514278">
        <w:rPr>
          <w:rFonts w:cs="Calibri"/>
        </w:rPr>
        <w:t>ot installing some or all of the CFLs (n=4 of 15 did not install any), smart strips (n=4 of 15 are not using</w:t>
      </w:r>
      <w:r>
        <w:rPr>
          <w:rFonts w:cs="Calibri"/>
        </w:rPr>
        <w:t xml:space="preserve"> the measure</w:t>
      </w:r>
      <w:r w:rsidRPr="00514278">
        <w:rPr>
          <w:rFonts w:cs="Calibri"/>
        </w:rPr>
        <w:t xml:space="preserve">), or LED nightlights (n=2 of 15 did not install). Installation rates for the kits </w:t>
      </w:r>
      <w:r>
        <w:rPr>
          <w:rFonts w:cs="Calibri"/>
        </w:rPr>
        <w:t xml:space="preserve">have </w:t>
      </w:r>
      <w:r w:rsidRPr="00514278">
        <w:rPr>
          <w:rFonts w:cs="Calibri"/>
        </w:rPr>
        <w:t>remained unchanged</w:t>
      </w:r>
      <w:r>
        <w:rPr>
          <w:rFonts w:cs="Calibri"/>
        </w:rPr>
        <w:t>—at about 63%—since PY6</w:t>
      </w:r>
      <w:r w:rsidRPr="00514278">
        <w:rPr>
          <w:rFonts w:cs="Calibri"/>
        </w:rPr>
        <w:t>.</w:t>
      </w:r>
      <w:r w:rsidRPr="00294451">
        <w:rPr>
          <w:rFonts w:cs="Calibri"/>
        </w:rPr>
        <w:t xml:space="preserve"> </w:t>
      </w:r>
      <w:r>
        <w:rPr>
          <w:rFonts w:cs="Calibri"/>
        </w:rPr>
        <w:t>The achieved sample size fell well short of the EM&amp;V planned sample size due to the low PY7 participation levels for this program. T</w:t>
      </w:r>
      <w:r w:rsidRPr="00294451">
        <w:rPr>
          <w:rFonts w:cs="Calibri"/>
        </w:rPr>
        <w:t>he energy savings realization rate for REEP (rebate, kits, and upstream components combined) has improved, climbing from 95% in PY5 to 99% in PY6 and 101% in PY7. The</w:t>
      </w:r>
      <w:r w:rsidRPr="003B3C24">
        <w:rPr>
          <w:rFonts w:cs="Calibri"/>
        </w:rPr>
        <w:t xml:space="preserve"> improvement can be attributed to the </w:t>
      </w:r>
      <w:r>
        <w:rPr>
          <w:rFonts w:cs="Calibri"/>
        </w:rPr>
        <w:t xml:space="preserve">improvement in application of TRM savings within the PMRS database coupled with the </w:t>
      </w:r>
      <w:r w:rsidRPr="003B3C24">
        <w:rPr>
          <w:rFonts w:cs="Calibri"/>
        </w:rPr>
        <w:t xml:space="preserve">shift in overall savings toward the upstream lighting component: in PY5, the upstream lighting component represented 82% of REEP savings, compared with 95% in </w:t>
      </w:r>
      <w:r w:rsidRPr="00294451">
        <w:rPr>
          <w:rFonts w:cs="Calibri"/>
        </w:rPr>
        <w:t>PY6 and PY7.</w:t>
      </w:r>
    </w:p>
    <w:p w:rsidR="0001310B" w:rsidRPr="003A4AF5" w:rsidRDefault="0001310B" w:rsidP="0001310B">
      <w:pPr>
        <w:autoSpaceDE w:val="0"/>
        <w:autoSpaceDN w:val="0"/>
        <w:adjustRightInd w:val="0"/>
        <w:rPr>
          <w:rFonts w:cs="Calibri"/>
          <w:highlight w:val="yellow"/>
        </w:rPr>
      </w:pPr>
    </w:p>
    <w:p w:rsidR="0001310B" w:rsidRPr="003A4AF5" w:rsidRDefault="0001310B" w:rsidP="0001310B">
      <w:pPr>
        <w:autoSpaceDE w:val="0"/>
        <w:autoSpaceDN w:val="0"/>
        <w:adjustRightInd w:val="0"/>
        <w:rPr>
          <w:rFonts w:cs="Calibri"/>
          <w:highlight w:val="yellow"/>
        </w:rPr>
      </w:pPr>
      <w:r w:rsidRPr="003B3C24">
        <w:t>The evaluation contractor’s primary M&amp;V efforts for SEP included a survey of a random sample of participants to verify installations and estimate realization rates. The approach included random sampling of participants using a simple ratio estimator to review the measure and project qualification, verify participation and installation, verify deemed savings application, an</w:t>
      </w:r>
      <w:r w:rsidRPr="008C48EB">
        <w:t xml:space="preserve">d then apply the sample population realization rate to the entire participant population. </w:t>
      </w:r>
      <w:r>
        <w:rPr>
          <w:rFonts w:cs="Calibri"/>
        </w:rPr>
        <w:t xml:space="preserve">The achieved sample size fell well short of the EM&amp;V planned sample size due to the low PY7 participation levels for this program. </w:t>
      </w:r>
      <w:r w:rsidRPr="008C48EB">
        <w:t xml:space="preserve">The relatively low savings realization rate of SEP is due to </w:t>
      </w:r>
      <w:r w:rsidRPr="008C48EB">
        <w:rPr>
          <w:rFonts w:cs="Calibri"/>
        </w:rPr>
        <w:t xml:space="preserve">participants not installing the CFLs </w:t>
      </w:r>
      <w:r>
        <w:rPr>
          <w:rFonts w:cs="Calibri"/>
        </w:rPr>
        <w:t xml:space="preserve">and smart strips </w:t>
      </w:r>
      <w:r w:rsidRPr="008C48EB">
        <w:rPr>
          <w:rFonts w:cs="Calibri"/>
        </w:rPr>
        <w:t>(n=</w:t>
      </w:r>
      <w:r>
        <w:rPr>
          <w:rFonts w:cs="Calibri"/>
        </w:rPr>
        <w:t>8</w:t>
      </w:r>
      <w:r w:rsidRPr="008C48EB">
        <w:rPr>
          <w:rFonts w:cs="Calibri"/>
        </w:rPr>
        <w:t xml:space="preserve"> out of </w:t>
      </w:r>
      <w:r>
        <w:rPr>
          <w:rFonts w:cs="Calibri"/>
        </w:rPr>
        <w:t>27</w:t>
      </w:r>
      <w:r w:rsidRPr="008C48EB">
        <w:rPr>
          <w:rFonts w:cs="Calibri"/>
        </w:rPr>
        <w:t>) and LED limelights (n=</w:t>
      </w:r>
      <w:r>
        <w:rPr>
          <w:rFonts w:cs="Calibri"/>
        </w:rPr>
        <w:t>14</w:t>
      </w:r>
      <w:r w:rsidRPr="008C48EB">
        <w:rPr>
          <w:rFonts w:cs="Calibri"/>
        </w:rPr>
        <w:t xml:space="preserve"> out of </w:t>
      </w:r>
      <w:r>
        <w:rPr>
          <w:rFonts w:cs="Calibri"/>
        </w:rPr>
        <w:t>27</w:t>
      </w:r>
      <w:r w:rsidRPr="008C48EB">
        <w:rPr>
          <w:rFonts w:cs="Calibri"/>
        </w:rPr>
        <w:t>)</w:t>
      </w:r>
      <w:r>
        <w:rPr>
          <w:rFonts w:cs="Calibri"/>
        </w:rPr>
        <w:t>.</w:t>
      </w:r>
      <w:r w:rsidRPr="008C48EB">
        <w:rPr>
          <w:rFonts w:cs="Calibri"/>
        </w:rPr>
        <w:t xml:space="preserve"> Though the energy savings realization rate for this program had declined from PY5 (73%) to PY6 (56%), it rebounded in PY7</w:t>
      </w:r>
      <w:r w:rsidR="00833FC6">
        <w:rPr>
          <w:rFonts w:cs="Calibri"/>
        </w:rPr>
        <w:t xml:space="preserve"> (66%)</w:t>
      </w:r>
      <w:r>
        <w:rPr>
          <w:rFonts w:cs="Calibri"/>
        </w:rPr>
        <w:t>.</w:t>
      </w:r>
      <w:r>
        <w:rPr>
          <w:rStyle w:val="FootnoteReference"/>
        </w:rPr>
        <w:footnoteReference w:id="52"/>
      </w:r>
      <w:r w:rsidRPr="008C48EB">
        <w:rPr>
          <w:rFonts w:cs="Calibri"/>
        </w:rPr>
        <w:t xml:space="preserve"> </w:t>
      </w:r>
    </w:p>
    <w:p w:rsidR="0001310B" w:rsidRPr="003A4AF5" w:rsidRDefault="0001310B" w:rsidP="0001310B">
      <w:pPr>
        <w:autoSpaceDE w:val="0"/>
        <w:autoSpaceDN w:val="0"/>
        <w:adjustRightInd w:val="0"/>
        <w:rPr>
          <w:rFonts w:cs="Calibri"/>
          <w:highlight w:val="yellow"/>
        </w:rPr>
      </w:pPr>
    </w:p>
    <w:p w:rsidR="0001310B" w:rsidRPr="003A4AF5" w:rsidRDefault="0001310B" w:rsidP="0001310B">
      <w:pPr>
        <w:rPr>
          <w:highlight w:val="yellow"/>
        </w:rPr>
      </w:pPr>
      <w:r w:rsidRPr="003B3C24">
        <w:rPr>
          <w:rFonts w:cs="Calibri"/>
        </w:rPr>
        <w:lastRenderedPageBreak/>
        <w:t xml:space="preserve">The evaluation contractor’s primary RARP M&amp;V efforts included a survey of a random sample of participants to verify removal or replacement and estimate realization rates. </w:t>
      </w:r>
      <w:r w:rsidRPr="003B3C24">
        <w:t xml:space="preserve">The approach included random sampling of participants using a simple ratio estimator to review the measure and project qualification, verify participation and installation, verify deemed savings application, and then apply the sample population realization rate to the entire participant population. </w:t>
      </w:r>
      <w:r w:rsidRPr="008A79A5">
        <w:rPr>
          <w:rFonts w:cs="Calibri"/>
        </w:rPr>
        <w:t>The energy realization rate for this program has remained high, at 102% in PY5, 101% in PY6, and 101% in PY7.</w:t>
      </w:r>
    </w:p>
    <w:p w:rsidR="0001310B" w:rsidRPr="003A4AF5" w:rsidRDefault="0001310B" w:rsidP="0001310B">
      <w:pPr>
        <w:rPr>
          <w:highlight w:val="yellow"/>
        </w:rPr>
      </w:pPr>
    </w:p>
    <w:p w:rsidR="0001310B" w:rsidRPr="003A4AF5" w:rsidRDefault="0001310B" w:rsidP="0001310B">
      <w:pPr>
        <w:autoSpaceDE w:val="0"/>
        <w:autoSpaceDN w:val="0"/>
        <w:adjustRightInd w:val="0"/>
        <w:rPr>
          <w:rFonts w:eastAsia="Calibri" w:cs="Calibri"/>
          <w:highlight w:val="yellow"/>
        </w:rPr>
      </w:pPr>
      <w:r w:rsidRPr="00076DA4">
        <w:rPr>
          <w:rFonts w:cs="Calibri"/>
        </w:rPr>
        <w:t>The WHEAP is a relatively new program</w:t>
      </w:r>
      <w:r>
        <w:rPr>
          <w:rFonts w:cs="Calibri"/>
        </w:rPr>
        <w:t>,</w:t>
      </w:r>
      <w:r w:rsidRPr="00076DA4">
        <w:rPr>
          <w:rFonts w:cs="Calibri"/>
        </w:rPr>
        <w:t xml:space="preserve"> with </w:t>
      </w:r>
      <w:r>
        <w:rPr>
          <w:rFonts w:cs="Calibri"/>
        </w:rPr>
        <w:t xml:space="preserve">rollout </w:t>
      </w:r>
      <w:r w:rsidRPr="00076DA4">
        <w:rPr>
          <w:rFonts w:cs="Calibri"/>
        </w:rPr>
        <w:t xml:space="preserve">first occurring in PY6. The </w:t>
      </w:r>
      <w:r w:rsidRPr="00076DA4">
        <w:t xml:space="preserve">evaluation contractor’s primary M&amp;V efforts included a survey of a random sample of participants to verify installations and estimate verification rates. The approach included random sampling of participants using a simple ratio estimator to review the measure and project qualification, verify participation and installation, verify deemed savings application, and then apply the sample population realization rate to the entire participant population. </w:t>
      </w:r>
      <w:r>
        <w:rPr>
          <w:rFonts w:cs="Calibri"/>
        </w:rPr>
        <w:t xml:space="preserve">The achieved sample size fell well short of the EM&amp;V planned sample size due to the low PY7 participation levels for this program. </w:t>
      </w:r>
      <w:r w:rsidRPr="00076DA4">
        <w:rPr>
          <w:rFonts w:eastAsia="Calibri" w:cs="Calibri"/>
        </w:rPr>
        <w:t xml:space="preserve">For the </w:t>
      </w:r>
      <w:r>
        <w:rPr>
          <w:rFonts w:eastAsia="Calibri" w:cs="Calibri"/>
        </w:rPr>
        <w:t xml:space="preserve">previous </w:t>
      </w:r>
      <w:r w:rsidRPr="00076DA4">
        <w:rPr>
          <w:rFonts w:eastAsia="Calibri" w:cs="Calibri"/>
        </w:rPr>
        <w:t xml:space="preserve">PY6 WHEAP impact evaluation, two strata were defined (exclusive of LIEEP participants): </w:t>
      </w:r>
      <w:r>
        <w:rPr>
          <w:rFonts w:eastAsia="Calibri" w:cs="Calibri"/>
        </w:rPr>
        <w:t>w</w:t>
      </w:r>
      <w:r w:rsidRPr="00076DA4">
        <w:rPr>
          <w:rFonts w:eastAsia="Calibri" w:cs="Calibri"/>
        </w:rPr>
        <w:t xml:space="preserve">hole </w:t>
      </w:r>
      <w:r>
        <w:rPr>
          <w:rFonts w:eastAsia="Calibri" w:cs="Calibri"/>
        </w:rPr>
        <w:t>h</w:t>
      </w:r>
      <w:r w:rsidRPr="00076DA4">
        <w:rPr>
          <w:rFonts w:eastAsia="Calibri" w:cs="Calibri"/>
        </w:rPr>
        <w:t xml:space="preserve">ouse </w:t>
      </w:r>
      <w:r>
        <w:rPr>
          <w:rFonts w:eastAsia="Calibri" w:cs="Calibri"/>
        </w:rPr>
        <w:t>s</w:t>
      </w:r>
      <w:r w:rsidRPr="00076DA4">
        <w:rPr>
          <w:rFonts w:eastAsia="Calibri" w:cs="Calibri"/>
        </w:rPr>
        <w:t xml:space="preserve">mall and </w:t>
      </w:r>
      <w:r>
        <w:rPr>
          <w:rFonts w:eastAsia="Calibri" w:cs="Calibri"/>
        </w:rPr>
        <w:t>w</w:t>
      </w:r>
      <w:r w:rsidRPr="00076DA4">
        <w:rPr>
          <w:rFonts w:eastAsia="Calibri" w:cs="Calibri"/>
        </w:rPr>
        <w:t xml:space="preserve">hole </w:t>
      </w:r>
      <w:r>
        <w:rPr>
          <w:rFonts w:eastAsia="Calibri" w:cs="Calibri"/>
        </w:rPr>
        <w:t>h</w:t>
      </w:r>
      <w:r w:rsidRPr="00076DA4">
        <w:rPr>
          <w:rFonts w:eastAsia="Calibri" w:cs="Calibri"/>
        </w:rPr>
        <w:t xml:space="preserve">ouse </w:t>
      </w:r>
      <w:r>
        <w:rPr>
          <w:rFonts w:eastAsia="Calibri" w:cs="Calibri"/>
        </w:rPr>
        <w:t>l</w:t>
      </w:r>
      <w:r w:rsidRPr="00076DA4">
        <w:rPr>
          <w:rFonts w:eastAsia="Calibri" w:cs="Calibri"/>
        </w:rPr>
        <w:t xml:space="preserve">arge. Based on the results of the PY6 evaluation, Navigant noted in the PY7 report that there wasn’t the anticipated level of installation rate variation across these two strata. It was because of the lack of variation coupled with the smaller overall </w:t>
      </w:r>
      <w:r>
        <w:rPr>
          <w:rFonts w:eastAsia="Calibri" w:cs="Calibri"/>
        </w:rPr>
        <w:t xml:space="preserve">PY7 </w:t>
      </w:r>
      <w:r w:rsidRPr="00076DA4">
        <w:rPr>
          <w:rFonts w:eastAsia="Calibri" w:cs="Calibri"/>
        </w:rPr>
        <w:t xml:space="preserve">population size that Navigant chose to create a </w:t>
      </w:r>
      <w:r>
        <w:rPr>
          <w:rFonts w:eastAsia="Calibri" w:cs="Calibri"/>
        </w:rPr>
        <w:t xml:space="preserve">single-stratum </w:t>
      </w:r>
      <w:r w:rsidRPr="00076DA4">
        <w:rPr>
          <w:rFonts w:eastAsia="Calibri" w:cs="Calibri"/>
        </w:rPr>
        <w:t>sample for PY7.</w:t>
      </w:r>
      <w:r w:rsidRPr="003A4AF5">
        <w:rPr>
          <w:rFonts w:eastAsia="Calibri" w:cs="Calibri"/>
          <w:highlight w:val="yellow"/>
        </w:rPr>
        <w:t xml:space="preserve"> </w:t>
      </w:r>
    </w:p>
    <w:p w:rsidR="0001310B" w:rsidRPr="003A4AF5" w:rsidRDefault="0001310B" w:rsidP="0001310B">
      <w:pPr>
        <w:autoSpaceDE w:val="0"/>
        <w:autoSpaceDN w:val="0"/>
        <w:adjustRightInd w:val="0"/>
        <w:rPr>
          <w:rFonts w:eastAsia="Calibri" w:cs="Calibri"/>
          <w:highlight w:val="yellow"/>
        </w:rPr>
      </w:pPr>
    </w:p>
    <w:p w:rsidR="0001310B" w:rsidRPr="003F5952" w:rsidRDefault="0001310B" w:rsidP="0001310B">
      <w:pPr>
        <w:autoSpaceDE w:val="0"/>
        <w:autoSpaceDN w:val="0"/>
        <w:adjustRightInd w:val="0"/>
        <w:rPr>
          <w:rFonts w:cs="Calibri"/>
          <w:color w:val="FF0000"/>
          <w:highlight w:val="yellow"/>
        </w:rPr>
      </w:pPr>
      <w:r w:rsidRPr="00762061">
        <w:rPr>
          <w:rFonts w:eastAsia="Calibri" w:cs="Calibri"/>
        </w:rPr>
        <w:t>The</w:t>
      </w:r>
      <w:r w:rsidRPr="00386924">
        <w:rPr>
          <w:rFonts w:eastAsia="Calibri" w:cs="Calibri"/>
        </w:rPr>
        <w:t xml:space="preserve"> PY7 </w:t>
      </w:r>
      <w:r>
        <w:rPr>
          <w:rFonts w:eastAsia="Calibri" w:cs="Calibri"/>
        </w:rPr>
        <w:t xml:space="preserve">WHEAP </w:t>
      </w:r>
      <w:r w:rsidRPr="00386924">
        <w:rPr>
          <w:rFonts w:eastAsia="Calibri" w:cs="Calibri"/>
        </w:rPr>
        <w:t xml:space="preserve">evaluation </w:t>
      </w:r>
      <w:r w:rsidRPr="00C34F3B">
        <w:rPr>
          <w:rFonts w:eastAsia="Calibri" w:cs="Calibri"/>
        </w:rPr>
        <w:t>found that a majority of WHEAP customers were low-income</w:t>
      </w:r>
      <w:r>
        <w:rPr>
          <w:rFonts w:eastAsia="Calibri" w:cs="Calibri"/>
        </w:rPr>
        <w:t>–consistent with PY6 results</w:t>
      </w:r>
      <w:r w:rsidRPr="00C34F3B">
        <w:rPr>
          <w:rFonts w:eastAsia="Calibri" w:cs="Calibri"/>
        </w:rPr>
        <w:t>. Navigant reviewed CSP documentation against the PMRS system data to confirm the appropriate classification of participants as market</w:t>
      </w:r>
      <w:r>
        <w:rPr>
          <w:rFonts w:eastAsia="Calibri" w:cs="Calibri"/>
        </w:rPr>
        <w:t>-</w:t>
      </w:r>
      <w:r w:rsidRPr="00C34F3B">
        <w:rPr>
          <w:rFonts w:eastAsia="Calibri" w:cs="Calibri"/>
        </w:rPr>
        <w:t>rate or low</w:t>
      </w:r>
      <w:r>
        <w:rPr>
          <w:rFonts w:eastAsia="Calibri" w:cs="Calibri"/>
        </w:rPr>
        <w:t>-</w:t>
      </w:r>
      <w:r w:rsidRPr="00C34F3B">
        <w:rPr>
          <w:rFonts w:eastAsia="Calibri" w:cs="Calibri"/>
        </w:rPr>
        <w:t>income and noted that the classification as low</w:t>
      </w:r>
      <w:r>
        <w:rPr>
          <w:rFonts w:eastAsia="Calibri" w:cs="Calibri"/>
        </w:rPr>
        <w:t>-</w:t>
      </w:r>
      <w:r w:rsidRPr="00C34F3B">
        <w:rPr>
          <w:rFonts w:eastAsia="Calibri" w:cs="Calibri"/>
        </w:rPr>
        <w:t xml:space="preserve">income was not always reflected in PMRS. Navigant reclassified participants and associated reported savings from WHEAP to LIEEP WHEAP where appropriate. </w:t>
      </w:r>
      <w:r>
        <w:rPr>
          <w:rFonts w:eastAsia="Calibri" w:cs="Calibri"/>
        </w:rPr>
        <w:t xml:space="preserve">The </w:t>
      </w:r>
      <w:r w:rsidRPr="00386924">
        <w:rPr>
          <w:rFonts w:eastAsia="Calibri" w:cs="Calibri"/>
        </w:rPr>
        <w:t>small evaluation sample</w:t>
      </w:r>
      <w:r>
        <w:rPr>
          <w:rStyle w:val="FootnoteReference"/>
          <w:rFonts w:eastAsia="Calibri"/>
        </w:rPr>
        <w:footnoteReference w:id="53"/>
      </w:r>
      <w:r w:rsidRPr="00386924">
        <w:rPr>
          <w:rFonts w:eastAsia="Calibri" w:cs="Calibri"/>
        </w:rPr>
        <w:t xml:space="preserve"> contained 50% more LIEEP participants than market</w:t>
      </w:r>
      <w:r>
        <w:rPr>
          <w:rFonts w:eastAsia="Calibri" w:cs="Calibri"/>
        </w:rPr>
        <w:t>-</w:t>
      </w:r>
      <w:r w:rsidRPr="00386924">
        <w:rPr>
          <w:rFonts w:eastAsia="Calibri" w:cs="Calibri"/>
        </w:rPr>
        <w:t>rate, for a combined sample size of only 22 participants</w:t>
      </w:r>
      <w:r>
        <w:rPr>
          <w:rFonts w:eastAsia="Calibri" w:cs="Calibri"/>
        </w:rPr>
        <w:t xml:space="preserve"> (9 market-rate, 13 low-income)</w:t>
      </w:r>
      <w:r w:rsidRPr="00386924">
        <w:rPr>
          <w:rFonts w:eastAsia="Calibri" w:cs="Calibri"/>
        </w:rPr>
        <w:t>. Because of the small sample size, Navigant decided to combine the market</w:t>
      </w:r>
      <w:r>
        <w:rPr>
          <w:rFonts w:eastAsia="Calibri" w:cs="Calibri"/>
        </w:rPr>
        <w:t>-</w:t>
      </w:r>
      <w:r w:rsidRPr="00386924">
        <w:rPr>
          <w:rFonts w:eastAsia="Calibri" w:cs="Calibri"/>
        </w:rPr>
        <w:t>rate and LIEEP participants into a single stratum</w:t>
      </w:r>
      <w:r>
        <w:rPr>
          <w:rFonts w:eastAsia="Calibri" w:cs="Calibri"/>
        </w:rPr>
        <w:t>,</w:t>
      </w:r>
      <w:r w:rsidRPr="00386924">
        <w:rPr>
          <w:rFonts w:eastAsia="Calibri" w:cs="Calibri"/>
        </w:rPr>
        <w:t xml:space="preserve"> to increase the verification precision.</w:t>
      </w:r>
      <w:r>
        <w:rPr>
          <w:rFonts w:eastAsia="Calibri" w:cs="Calibri"/>
        </w:rPr>
        <w:t xml:space="preserve"> </w:t>
      </w:r>
      <w:r w:rsidRPr="00C34F3B">
        <w:rPr>
          <w:rFonts w:eastAsia="Calibri" w:cs="Calibri"/>
        </w:rPr>
        <w:t xml:space="preserve">The evaluation found WHEAP energy realization rates </w:t>
      </w:r>
      <w:r>
        <w:rPr>
          <w:rFonts w:eastAsia="Calibri" w:cs="Calibri"/>
        </w:rPr>
        <w:t>to be</w:t>
      </w:r>
      <w:r w:rsidRPr="00C34F3B">
        <w:rPr>
          <w:rFonts w:eastAsia="Calibri" w:cs="Calibri"/>
        </w:rPr>
        <w:t xml:space="preserve"> 89</w:t>
      </w:r>
      <w:r>
        <w:rPr>
          <w:rFonts w:eastAsia="Calibri" w:cs="Calibri"/>
        </w:rPr>
        <w:t>%</w:t>
      </w:r>
      <w:r w:rsidRPr="00C34F3B">
        <w:rPr>
          <w:rFonts w:eastAsia="Calibri" w:cs="Calibri"/>
        </w:rPr>
        <w:t xml:space="preserve">, proving yet again that even with </w:t>
      </w:r>
      <w:r>
        <w:rPr>
          <w:rFonts w:eastAsia="Calibri" w:cs="Calibri"/>
        </w:rPr>
        <w:t xml:space="preserve">a </w:t>
      </w:r>
      <w:r w:rsidRPr="00C34F3B">
        <w:rPr>
          <w:rFonts w:eastAsia="Calibri" w:cs="Calibri"/>
        </w:rPr>
        <w:t xml:space="preserve">direct installation </w:t>
      </w:r>
      <w:r>
        <w:rPr>
          <w:rFonts w:eastAsia="Calibri" w:cs="Calibri"/>
        </w:rPr>
        <w:t xml:space="preserve">program </w:t>
      </w:r>
      <w:r w:rsidRPr="00C34F3B">
        <w:rPr>
          <w:rFonts w:eastAsia="Calibri" w:cs="Calibri"/>
        </w:rPr>
        <w:t xml:space="preserve">delivery, </w:t>
      </w:r>
      <w:r>
        <w:rPr>
          <w:rFonts w:eastAsia="Calibri" w:cs="Calibri"/>
        </w:rPr>
        <w:t>participants can be expected to remove some of the installed equipment</w:t>
      </w:r>
      <w:r w:rsidRPr="00C34F3B">
        <w:rPr>
          <w:rFonts w:eastAsia="Calibri" w:cs="Calibri"/>
        </w:rPr>
        <w:t xml:space="preserve">. </w:t>
      </w:r>
      <w:r>
        <w:rPr>
          <w:rFonts w:eastAsia="Calibri" w:cs="Calibri"/>
        </w:rPr>
        <w:t xml:space="preserve">As an example, Navigant noted that </w:t>
      </w:r>
      <w:r w:rsidRPr="003859C1">
        <w:rPr>
          <w:rFonts w:eastAsia="Calibri" w:cs="Calibri"/>
        </w:rPr>
        <w:t xml:space="preserve">one participant reported that only 1 of the 10 CFLs remained installed: some lamps had either broken or burned out. </w:t>
      </w:r>
    </w:p>
    <w:p w:rsidR="0001310B" w:rsidRPr="003A4AF5" w:rsidRDefault="0001310B" w:rsidP="0001310B">
      <w:pPr>
        <w:rPr>
          <w:highlight w:val="yellow"/>
        </w:rPr>
      </w:pPr>
    </w:p>
    <w:p w:rsidR="0001310B" w:rsidRPr="00FE7A6E" w:rsidRDefault="0001310B" w:rsidP="0001310B">
      <w:pPr>
        <w:autoSpaceDE w:val="0"/>
        <w:autoSpaceDN w:val="0"/>
        <w:adjustRightInd w:val="0"/>
        <w:rPr>
          <w:rFonts w:eastAsia="Calibri" w:cs="Calibri"/>
        </w:rPr>
      </w:pPr>
      <w:r w:rsidRPr="00C736CE">
        <w:rPr>
          <w:rFonts w:cs="Calibri"/>
        </w:rPr>
        <w:t>The evaluation contractor’s primary M&amp;V efforts for LIEEP included a survey of a random sample of participants based on subprogram strata (</w:t>
      </w:r>
      <w:r>
        <w:rPr>
          <w:rFonts w:cs="Calibri"/>
        </w:rPr>
        <w:t xml:space="preserve">equipment rebates, </w:t>
      </w:r>
      <w:r w:rsidRPr="00C736CE">
        <w:rPr>
          <w:rFonts w:cs="Calibri"/>
        </w:rPr>
        <w:t>effi</w:t>
      </w:r>
      <w:r>
        <w:rPr>
          <w:rFonts w:cs="Calibri"/>
        </w:rPr>
        <w:t xml:space="preserve">ciency kits, </w:t>
      </w:r>
      <w:r w:rsidRPr="00C736CE">
        <w:rPr>
          <w:rFonts w:cs="Calibri"/>
        </w:rPr>
        <w:t>SEP</w:t>
      </w:r>
      <w:r>
        <w:rPr>
          <w:rFonts w:cs="Calibri"/>
        </w:rPr>
        <w:t>, RARP</w:t>
      </w:r>
      <w:r w:rsidRPr="00C736CE">
        <w:rPr>
          <w:rFonts w:cs="Calibri"/>
        </w:rPr>
        <w:t xml:space="preserve">, </w:t>
      </w:r>
      <w:r>
        <w:rPr>
          <w:rFonts w:cs="Calibri"/>
        </w:rPr>
        <w:t xml:space="preserve">and </w:t>
      </w:r>
      <w:r w:rsidRPr="00C736CE">
        <w:rPr>
          <w:rFonts w:cs="Calibri"/>
        </w:rPr>
        <w:t>WHEAP) to verify installations and estimate installation rates.</w:t>
      </w:r>
      <w:r w:rsidRPr="00C736CE">
        <w:rPr>
          <w:rStyle w:val="FootnoteReference"/>
        </w:rPr>
        <w:footnoteReference w:id="54"/>
      </w:r>
      <w:r w:rsidRPr="00C736CE">
        <w:rPr>
          <w:rFonts w:cs="Calibri"/>
        </w:rPr>
        <w:t xml:space="preserve"> The upstream lighting </w:t>
      </w:r>
      <w:r>
        <w:rPr>
          <w:rFonts w:cs="Calibri"/>
        </w:rPr>
        <w:t xml:space="preserve">and HER </w:t>
      </w:r>
      <w:r w:rsidRPr="00C736CE">
        <w:rPr>
          <w:rFonts w:cs="Calibri"/>
        </w:rPr>
        <w:t>component</w:t>
      </w:r>
      <w:r>
        <w:rPr>
          <w:rFonts w:cs="Calibri"/>
        </w:rPr>
        <w:t>s</w:t>
      </w:r>
      <w:r w:rsidRPr="00C736CE">
        <w:rPr>
          <w:rFonts w:cs="Calibri"/>
        </w:rPr>
        <w:t xml:space="preserve"> </w:t>
      </w:r>
      <w:r>
        <w:rPr>
          <w:rFonts w:cs="Calibri"/>
        </w:rPr>
        <w:t xml:space="preserve">were </w:t>
      </w:r>
      <w:r w:rsidRPr="00C736CE">
        <w:rPr>
          <w:rFonts w:cs="Calibri"/>
        </w:rPr>
        <w:t>evaluated separately</w:t>
      </w:r>
      <w:r>
        <w:rPr>
          <w:rFonts w:cs="Calibri"/>
        </w:rPr>
        <w:t>.</w:t>
      </w:r>
      <w:r w:rsidRPr="00C736CE">
        <w:rPr>
          <w:rFonts w:cs="Calibri"/>
        </w:rPr>
        <w:t xml:space="preserve"> </w:t>
      </w:r>
      <w:r>
        <w:rPr>
          <w:rFonts w:cs="Calibri"/>
        </w:rPr>
        <w:t xml:space="preserve">The upstream lighting component </w:t>
      </w:r>
      <w:r w:rsidRPr="00C736CE">
        <w:rPr>
          <w:rFonts w:cs="Calibri"/>
        </w:rPr>
        <w:t>received database verification consistent with the SWE audit approach, and verified the PMRS tracking database records against the implementer-based invoicing system (ECOVA)</w:t>
      </w:r>
      <w:r w:rsidRPr="00C736CE">
        <w:rPr>
          <w:rFonts w:eastAsia="Calibri" w:cs="Calibri"/>
        </w:rPr>
        <w:t xml:space="preserve">. </w:t>
      </w:r>
      <w:r>
        <w:rPr>
          <w:rFonts w:eastAsia="Calibri" w:cs="Calibri"/>
        </w:rPr>
        <w:t xml:space="preserve">The low-income HER component evaluation included the same overall HER </w:t>
      </w:r>
      <w:r w:rsidRPr="00FE7A6E">
        <w:rPr>
          <w:rFonts w:eastAsia="Calibri" w:cs="Calibri"/>
        </w:rPr>
        <w:t xml:space="preserve">approach, which included a billing analysis. </w:t>
      </w:r>
      <w:r w:rsidRPr="00FE7A6E">
        <w:rPr>
          <w:rFonts w:cs="Calibri"/>
        </w:rPr>
        <w:t>The LIEEP-based percentage of upstream lighting CFLs was assigned based on the previous PY6 general population telephone survey (4.9% in PY6). In addition, 2.3% of all LEDs were assigned to LIEEP</w:t>
      </w:r>
      <w:r>
        <w:rPr>
          <w:rFonts w:cs="Calibri"/>
        </w:rPr>
        <w:t xml:space="preserve">; </w:t>
      </w:r>
      <w:r w:rsidRPr="00FE7A6E">
        <w:rPr>
          <w:rFonts w:eastAsia="Calibri" w:cs="Calibri"/>
        </w:rPr>
        <w:t>the associated levels of savings and incentive costs were allocated to LIEEP.</w:t>
      </w:r>
      <w:r w:rsidRPr="00FE7A6E">
        <w:rPr>
          <w:rFonts w:cs="Calibri"/>
        </w:rPr>
        <w:t xml:space="preserve"> The non-lighting approach included random sampling of participants using a simple ratio</w:t>
      </w:r>
      <w:r w:rsidRPr="00C736CE">
        <w:rPr>
          <w:rFonts w:cs="Calibri"/>
        </w:rPr>
        <w:t xml:space="preserve"> estimator, to review the measure and project qualification, verify participation and installation, verify deemed savings application, and then apply the sample population realization rate to the entire participant population. </w:t>
      </w:r>
    </w:p>
    <w:p w:rsidR="0001310B" w:rsidRPr="003A4AF5" w:rsidRDefault="0001310B" w:rsidP="0001310B">
      <w:pPr>
        <w:autoSpaceDE w:val="0"/>
        <w:autoSpaceDN w:val="0"/>
        <w:adjustRightInd w:val="0"/>
        <w:rPr>
          <w:rFonts w:cs="Calibri"/>
          <w:highlight w:val="yellow"/>
        </w:rPr>
      </w:pPr>
    </w:p>
    <w:p w:rsidR="0001310B" w:rsidRPr="00CE0B38" w:rsidRDefault="0001310B" w:rsidP="0001310B">
      <w:pPr>
        <w:autoSpaceDE w:val="0"/>
        <w:autoSpaceDN w:val="0"/>
        <w:adjustRightInd w:val="0"/>
        <w:rPr>
          <w:rFonts w:cs="Calibri"/>
        </w:rPr>
      </w:pPr>
      <w:r w:rsidRPr="00CE0B38">
        <w:rPr>
          <w:rFonts w:cs="Calibri"/>
        </w:rPr>
        <w:t xml:space="preserve">The SEP component of the program had the lowest realization rate, attributable to participants not installing all three measures (CFLs, smart strips, and LED nightlights). The SEP component of LIEEP showed slightly lower installation rates (63%) relative to the stand-alone SEP (69%). The kits component of LIEEP had a lower installation rate in PY7 (71%) than in PY6 (90%) but was consistent with PY5 installation rates (69%). The </w:t>
      </w:r>
      <w:r>
        <w:rPr>
          <w:rFonts w:cs="Calibri"/>
        </w:rPr>
        <w:t xml:space="preserve">overall </w:t>
      </w:r>
      <w:r w:rsidRPr="00CE0B38">
        <w:rPr>
          <w:rFonts w:cs="Calibri"/>
        </w:rPr>
        <w:t xml:space="preserve">energy savings realization rate for LIEEP has remained high, climbing from 94% in PY4 to 98% in PY6 and remaining at 98% in PY7.  </w:t>
      </w:r>
    </w:p>
    <w:p w:rsidR="0001310B" w:rsidRPr="003A4AF5" w:rsidRDefault="0001310B" w:rsidP="0001310B">
      <w:pPr>
        <w:autoSpaceDE w:val="0"/>
        <w:autoSpaceDN w:val="0"/>
        <w:adjustRightInd w:val="0"/>
        <w:rPr>
          <w:rFonts w:cs="Calibri"/>
          <w:highlight w:val="yellow"/>
        </w:rPr>
      </w:pPr>
    </w:p>
    <w:p w:rsidR="0001310B" w:rsidRDefault="0001310B" w:rsidP="0001310B">
      <w:pPr>
        <w:autoSpaceDE w:val="0"/>
        <w:autoSpaceDN w:val="0"/>
        <w:adjustRightInd w:val="0"/>
        <w:rPr>
          <w:rFonts w:eastAsia="Calibri" w:cs="Calibri"/>
        </w:rPr>
      </w:pPr>
      <w:r>
        <w:rPr>
          <w:rFonts w:eastAsia="Calibri" w:cs="Calibri"/>
        </w:rPr>
        <w:t>As in</w:t>
      </w:r>
      <w:r w:rsidRPr="00136EEE">
        <w:rPr>
          <w:rFonts w:eastAsia="Calibri" w:cs="Calibri"/>
        </w:rPr>
        <w:t xml:space="preserve"> WHEAP for market</w:t>
      </w:r>
      <w:r>
        <w:rPr>
          <w:rFonts w:eastAsia="Calibri" w:cs="Calibri"/>
        </w:rPr>
        <w:t>-</w:t>
      </w:r>
      <w:r w:rsidRPr="00136EEE">
        <w:rPr>
          <w:rFonts w:eastAsia="Calibri" w:cs="Calibri"/>
        </w:rPr>
        <w:t xml:space="preserve">rate customers, the low-income WHEAP component became active during PY6. WHEAP offers income-eligible customers whole home audits, free of charge, where auditors and assessors conduct examinations of home characteristics and offer recommendations to reduce energy consumption and improve </w:t>
      </w:r>
      <w:r w:rsidRPr="00E14394">
        <w:rPr>
          <w:rFonts w:eastAsia="Calibri" w:cs="Calibri"/>
        </w:rPr>
        <w:t>home comfort. Additionally, WHEAP offers low-income participants direct-install measures at no charge. The LIEEP component of WHEAP showed consistent installation rates</w:t>
      </w:r>
      <w:r>
        <w:rPr>
          <w:rFonts w:eastAsia="Calibri" w:cs="Calibri"/>
        </w:rPr>
        <w:t>,</w:t>
      </w:r>
      <w:r w:rsidRPr="00E14394">
        <w:rPr>
          <w:rFonts w:eastAsia="Calibri" w:cs="Calibri"/>
        </w:rPr>
        <w:t xml:space="preserve"> as </w:t>
      </w:r>
      <w:r>
        <w:rPr>
          <w:rFonts w:eastAsia="Calibri" w:cs="Calibri"/>
        </w:rPr>
        <w:t xml:space="preserve">did </w:t>
      </w:r>
      <w:r w:rsidRPr="00E14394">
        <w:rPr>
          <w:rFonts w:eastAsia="Calibri" w:cs="Calibri"/>
        </w:rPr>
        <w:t xml:space="preserve">the overall WHEAP program (89% overall). </w:t>
      </w:r>
      <w:r>
        <w:rPr>
          <w:rFonts w:eastAsia="Calibri" w:cs="Calibri"/>
        </w:rPr>
        <w:t>T</w:t>
      </w:r>
      <w:r w:rsidRPr="00E14394">
        <w:rPr>
          <w:rFonts w:eastAsia="Calibri" w:cs="Calibri"/>
        </w:rPr>
        <w:t xml:space="preserve">he LIEEP RARP verification effort confirmed that </w:t>
      </w:r>
      <w:r>
        <w:rPr>
          <w:rFonts w:eastAsia="Calibri" w:cs="Calibri"/>
        </w:rPr>
        <w:t xml:space="preserve">reported </w:t>
      </w:r>
      <w:r w:rsidRPr="00E14394">
        <w:rPr>
          <w:rFonts w:eastAsia="Calibri" w:cs="Calibri"/>
        </w:rPr>
        <w:t xml:space="preserve">appliances were recycled </w:t>
      </w:r>
      <w:r>
        <w:rPr>
          <w:rFonts w:eastAsia="Calibri" w:cs="Calibri"/>
        </w:rPr>
        <w:t xml:space="preserve">along with </w:t>
      </w:r>
      <w:r w:rsidRPr="00E14394">
        <w:rPr>
          <w:rFonts w:eastAsia="Calibri" w:cs="Calibri"/>
        </w:rPr>
        <w:t>two additional recycled refrigerators that were not logged in the PMRS system (versus one additional recycled refrigerator for market</w:t>
      </w:r>
      <w:r>
        <w:rPr>
          <w:rFonts w:eastAsia="Calibri" w:cs="Calibri"/>
        </w:rPr>
        <w:t>-</w:t>
      </w:r>
      <w:r w:rsidRPr="00E14394">
        <w:rPr>
          <w:rFonts w:eastAsia="Calibri" w:cs="Calibri"/>
        </w:rPr>
        <w:t xml:space="preserve">rate RARP); the realization rate was 105%, accounting for the two additional recycled units. </w:t>
      </w:r>
    </w:p>
    <w:p w:rsidR="0001310B" w:rsidRDefault="0001310B" w:rsidP="0001310B">
      <w:pPr>
        <w:autoSpaceDE w:val="0"/>
        <w:autoSpaceDN w:val="0"/>
        <w:adjustRightInd w:val="0"/>
        <w:rPr>
          <w:rFonts w:cs="Calibri"/>
        </w:rPr>
      </w:pPr>
    </w:p>
    <w:p w:rsidR="0001310B" w:rsidRPr="00536B64" w:rsidRDefault="0001310B" w:rsidP="0001310B">
      <w:pPr>
        <w:autoSpaceDE w:val="0"/>
        <w:autoSpaceDN w:val="0"/>
        <w:adjustRightInd w:val="0"/>
        <w:rPr>
          <w:rFonts w:cs="Calibri"/>
        </w:rPr>
      </w:pPr>
      <w:r>
        <w:rPr>
          <w:rFonts w:cs="Calibri"/>
        </w:rPr>
        <w:t>The HER</w:t>
      </w:r>
      <w:r w:rsidRPr="00173F46">
        <w:rPr>
          <w:rFonts w:cs="Calibri"/>
        </w:rPr>
        <w:t xml:space="preserve"> </w:t>
      </w:r>
      <w:r>
        <w:rPr>
          <w:rFonts w:cs="Calibri"/>
        </w:rPr>
        <w:t xml:space="preserve">Program </w:t>
      </w:r>
      <w:r w:rsidRPr="00173F46">
        <w:rPr>
          <w:rFonts w:cs="Calibri"/>
        </w:rPr>
        <w:t>was</w:t>
      </w:r>
      <w:r w:rsidRPr="00C736CE">
        <w:rPr>
          <w:rFonts w:cs="Calibri"/>
        </w:rPr>
        <w:t xml:space="preserve"> launched in PY4 and targets high-use residential customers. The program included a</w:t>
      </w:r>
      <w:r>
        <w:rPr>
          <w:rFonts w:cs="Calibri"/>
        </w:rPr>
        <w:t xml:space="preserve"> </w:t>
      </w:r>
      <w:r w:rsidRPr="00C736CE">
        <w:rPr>
          <w:rFonts w:cs="Calibri"/>
        </w:rPr>
        <w:t xml:space="preserve">total of over 225,400 participant enrollees, </w:t>
      </w:r>
      <w:r>
        <w:rPr>
          <w:rFonts w:cs="Calibri"/>
        </w:rPr>
        <w:t>with just</w:t>
      </w:r>
      <w:r w:rsidRPr="00C736CE">
        <w:rPr>
          <w:rFonts w:cs="Calibri"/>
        </w:rPr>
        <w:t xml:space="preserve"> over </w:t>
      </w:r>
      <w:r>
        <w:rPr>
          <w:rFonts w:cs="Calibri"/>
        </w:rPr>
        <w:t>10%</w:t>
      </w:r>
      <w:r w:rsidRPr="00C736CE">
        <w:rPr>
          <w:rFonts w:cs="Calibri"/>
        </w:rPr>
        <w:t xml:space="preserve"> </w:t>
      </w:r>
      <w:r>
        <w:rPr>
          <w:rFonts w:cs="Calibri"/>
        </w:rPr>
        <w:t xml:space="preserve">of </w:t>
      </w:r>
      <w:r w:rsidRPr="005159EF">
        <w:rPr>
          <w:rFonts w:cs="Calibri"/>
        </w:rPr>
        <w:t>participants (</w:t>
      </w:r>
      <w:r w:rsidRPr="00C736CE">
        <w:rPr>
          <w:rFonts w:cs="Calibri"/>
        </w:rPr>
        <w:t>25,000</w:t>
      </w:r>
      <w:r w:rsidRPr="005159EF">
        <w:rPr>
          <w:rFonts w:cs="Calibri"/>
        </w:rPr>
        <w:t>)</w:t>
      </w:r>
      <w:r w:rsidRPr="00C736CE">
        <w:rPr>
          <w:rFonts w:cs="Calibri"/>
        </w:rPr>
        <w:t xml:space="preserve"> </w:t>
      </w:r>
      <w:r>
        <w:rPr>
          <w:rFonts w:cs="Calibri"/>
        </w:rPr>
        <w:t xml:space="preserve">being </w:t>
      </w:r>
      <w:r w:rsidRPr="00C736CE">
        <w:rPr>
          <w:rFonts w:cs="Calibri"/>
        </w:rPr>
        <w:t>low</w:t>
      </w:r>
      <w:r>
        <w:rPr>
          <w:rFonts w:cs="Calibri"/>
        </w:rPr>
        <w:t>-</w:t>
      </w:r>
      <w:r w:rsidRPr="00C736CE">
        <w:rPr>
          <w:rFonts w:cs="Calibri"/>
        </w:rPr>
        <w:t>income.</w:t>
      </w:r>
      <w:r>
        <w:rPr>
          <w:rFonts w:cs="Calibri"/>
        </w:rPr>
        <w:t xml:space="preserve"> </w:t>
      </w:r>
      <w:r w:rsidRPr="005159EF">
        <w:rPr>
          <w:rFonts w:cs="Calibri"/>
        </w:rPr>
        <w:t xml:space="preserve">Since the HER </w:t>
      </w:r>
      <w:r>
        <w:rPr>
          <w:rFonts w:cs="Calibri"/>
        </w:rPr>
        <w:t>P</w:t>
      </w:r>
      <w:r w:rsidRPr="005159EF">
        <w:rPr>
          <w:rFonts w:cs="Calibri"/>
        </w:rPr>
        <w:t xml:space="preserve">rogram is considered a behavioral program, savings from delivery of the reports </w:t>
      </w:r>
      <w:r w:rsidRPr="0053488D">
        <w:rPr>
          <w:rFonts w:cs="Calibri"/>
        </w:rPr>
        <w:t xml:space="preserve">have a one-year lifetime for as long as the reports are being delivered. </w:t>
      </w:r>
      <w:r>
        <w:rPr>
          <w:rFonts w:cs="Calibri"/>
        </w:rPr>
        <w:t>Only s</w:t>
      </w:r>
      <w:r w:rsidRPr="0053488D">
        <w:rPr>
          <w:rFonts w:cs="Calibri"/>
        </w:rPr>
        <w:t xml:space="preserve">avings originating from the PY7 HER </w:t>
      </w:r>
      <w:r>
        <w:rPr>
          <w:rFonts w:cs="Calibri"/>
        </w:rPr>
        <w:t>P</w:t>
      </w:r>
      <w:r w:rsidRPr="0053488D">
        <w:rPr>
          <w:rFonts w:cs="Calibri"/>
        </w:rPr>
        <w:t>rogram are counted toward Duquesne</w:t>
      </w:r>
      <w:r>
        <w:rPr>
          <w:rFonts w:cs="Calibri"/>
        </w:rPr>
        <w:t>’s</w:t>
      </w:r>
      <w:r w:rsidRPr="0053488D">
        <w:rPr>
          <w:rFonts w:cs="Calibri"/>
        </w:rPr>
        <w:t xml:space="preserve"> compliance goals for </w:t>
      </w:r>
      <w:r w:rsidRPr="00536B64">
        <w:rPr>
          <w:rFonts w:cs="Calibri"/>
        </w:rPr>
        <w:t>Phase II</w:t>
      </w:r>
      <w:r>
        <w:rPr>
          <w:rFonts w:cs="Calibri"/>
        </w:rPr>
        <w:t>,</w:t>
      </w:r>
      <w:r w:rsidRPr="00536B64">
        <w:rPr>
          <w:rFonts w:cs="Calibri"/>
        </w:rPr>
        <w:t xml:space="preserve"> as opposed to previous </w:t>
      </w:r>
      <w:r>
        <w:rPr>
          <w:rFonts w:cs="Calibri"/>
        </w:rPr>
        <w:t>P</w:t>
      </w:r>
      <w:r w:rsidRPr="00536B64">
        <w:rPr>
          <w:rFonts w:cs="Calibri"/>
        </w:rPr>
        <w:t>hase II HER participants (from PY5 or PY6)</w:t>
      </w:r>
      <w:r>
        <w:rPr>
          <w:rFonts w:cs="Calibri"/>
        </w:rPr>
        <w:t>.</w:t>
      </w:r>
      <w:r w:rsidRPr="00536B64">
        <w:rPr>
          <w:rStyle w:val="FootnoteReference"/>
        </w:rPr>
        <w:footnoteReference w:id="55"/>
      </w:r>
      <w:r w:rsidRPr="00536B64">
        <w:rPr>
          <w:rFonts w:cs="Calibri"/>
        </w:rPr>
        <w:t xml:space="preserve"> </w:t>
      </w:r>
    </w:p>
    <w:p w:rsidR="0001310B" w:rsidRPr="00536B64" w:rsidRDefault="0001310B" w:rsidP="0001310B">
      <w:pPr>
        <w:autoSpaceDE w:val="0"/>
        <w:autoSpaceDN w:val="0"/>
        <w:adjustRightInd w:val="0"/>
        <w:rPr>
          <w:rFonts w:cs="Calibri"/>
        </w:rPr>
      </w:pPr>
    </w:p>
    <w:p w:rsidR="0001310B" w:rsidRPr="00536B64" w:rsidRDefault="0001310B" w:rsidP="0001310B">
      <w:pPr>
        <w:autoSpaceDE w:val="0"/>
        <w:autoSpaceDN w:val="0"/>
        <w:adjustRightInd w:val="0"/>
        <w:rPr>
          <w:rFonts w:cs="Calibri"/>
        </w:rPr>
      </w:pPr>
      <w:r w:rsidRPr="00536B64">
        <w:rPr>
          <w:rFonts w:cs="Calibri"/>
        </w:rPr>
        <w:t xml:space="preserve">Navigant developed a linear fixed effects regression </w:t>
      </w:r>
      <w:r>
        <w:rPr>
          <w:rFonts w:cs="Calibri"/>
        </w:rPr>
        <w:t xml:space="preserve">(LFER) model </w:t>
      </w:r>
      <w:r w:rsidRPr="00536B64">
        <w:rPr>
          <w:rFonts w:cs="Calibri"/>
        </w:rPr>
        <w:t>to estimate verified PY7 HER savings. Navigant used a census of three independent waves of participants</w:t>
      </w:r>
      <w:r>
        <w:rPr>
          <w:rFonts w:cs="Calibri"/>
        </w:rPr>
        <w:t xml:space="preserve"> who received reports starting in </w:t>
      </w:r>
      <w:r w:rsidRPr="004C2A8E">
        <w:rPr>
          <w:rFonts w:cs="Calibri"/>
        </w:rPr>
        <w:t>March of PY6</w:t>
      </w:r>
      <w:r>
        <w:rPr>
          <w:rFonts w:cs="Calibri"/>
        </w:rPr>
        <w:t>:</w:t>
      </w:r>
      <w:r w:rsidRPr="00536B64">
        <w:rPr>
          <w:rFonts w:cs="Calibri"/>
        </w:rPr>
        <w:t xml:space="preserve"> </w:t>
      </w:r>
      <w:r>
        <w:rPr>
          <w:rFonts w:cs="Calibri"/>
        </w:rPr>
        <w:t xml:space="preserve">the first wave was </w:t>
      </w:r>
      <w:r w:rsidRPr="004C2A8E">
        <w:rPr>
          <w:rFonts w:cs="Calibri"/>
        </w:rPr>
        <w:t xml:space="preserve">households that were </w:t>
      </w:r>
      <w:r>
        <w:rPr>
          <w:rFonts w:cs="Calibri"/>
        </w:rPr>
        <w:t xml:space="preserve">originally </w:t>
      </w:r>
      <w:r w:rsidRPr="004C2A8E">
        <w:rPr>
          <w:rFonts w:cs="Calibri"/>
        </w:rPr>
        <w:t>enrolled in the program during PY4 and still</w:t>
      </w:r>
      <w:r>
        <w:rPr>
          <w:rFonts w:cs="Calibri"/>
        </w:rPr>
        <w:t xml:space="preserve"> </w:t>
      </w:r>
      <w:r w:rsidRPr="004C2A8E">
        <w:rPr>
          <w:rFonts w:cs="Calibri"/>
        </w:rPr>
        <w:t xml:space="preserve">had active accounts with Duquesne, </w:t>
      </w:r>
      <w:r>
        <w:rPr>
          <w:rFonts w:cs="Calibri"/>
        </w:rPr>
        <w:t xml:space="preserve">plus one </w:t>
      </w:r>
      <w:r w:rsidRPr="004C2A8E">
        <w:rPr>
          <w:rFonts w:cs="Calibri"/>
        </w:rPr>
        <w:t>market</w:t>
      </w:r>
      <w:r>
        <w:rPr>
          <w:rFonts w:cs="Calibri"/>
        </w:rPr>
        <w:t>-</w:t>
      </w:r>
      <w:r w:rsidRPr="004C2A8E">
        <w:rPr>
          <w:rFonts w:cs="Calibri"/>
        </w:rPr>
        <w:t xml:space="preserve">rate and </w:t>
      </w:r>
      <w:r>
        <w:rPr>
          <w:rFonts w:cs="Calibri"/>
        </w:rPr>
        <w:t xml:space="preserve">one </w:t>
      </w:r>
      <w:r w:rsidRPr="004C2A8E">
        <w:rPr>
          <w:rFonts w:cs="Calibri"/>
        </w:rPr>
        <w:t>low</w:t>
      </w:r>
      <w:r>
        <w:rPr>
          <w:rFonts w:cs="Calibri"/>
        </w:rPr>
        <w:t>-</w:t>
      </w:r>
      <w:r w:rsidRPr="004C2A8E">
        <w:rPr>
          <w:rFonts w:cs="Calibri"/>
        </w:rPr>
        <w:t>income</w:t>
      </w:r>
      <w:r>
        <w:rPr>
          <w:rFonts w:cs="Calibri"/>
        </w:rPr>
        <w:t xml:space="preserve"> </w:t>
      </w:r>
      <w:r w:rsidRPr="004C2A8E">
        <w:rPr>
          <w:rFonts w:cs="Calibri"/>
        </w:rPr>
        <w:t xml:space="preserve">customer </w:t>
      </w:r>
      <w:r>
        <w:rPr>
          <w:rFonts w:cs="Calibri"/>
        </w:rPr>
        <w:t xml:space="preserve">who </w:t>
      </w:r>
      <w:r w:rsidRPr="004C2A8E">
        <w:rPr>
          <w:rFonts w:cs="Calibri"/>
        </w:rPr>
        <w:t>began receiving reports at the same time.</w:t>
      </w:r>
      <w:r>
        <w:rPr>
          <w:rFonts w:cs="Calibri"/>
        </w:rPr>
        <w:t xml:space="preserve"> </w:t>
      </w:r>
      <w:r w:rsidRPr="00536B64">
        <w:rPr>
          <w:rFonts w:cs="Calibri"/>
        </w:rPr>
        <w:t xml:space="preserve">Because the program </w:t>
      </w:r>
      <w:r>
        <w:rPr>
          <w:rFonts w:cs="Calibri"/>
        </w:rPr>
        <w:t>used</w:t>
      </w:r>
      <w:r w:rsidRPr="00536B64">
        <w:rPr>
          <w:rFonts w:cs="Calibri"/>
        </w:rPr>
        <w:t xml:space="preserve"> a </w:t>
      </w:r>
      <w:r>
        <w:rPr>
          <w:rFonts w:cs="Calibri"/>
        </w:rPr>
        <w:t>r</w:t>
      </w:r>
      <w:r w:rsidRPr="00536B64">
        <w:rPr>
          <w:rFonts w:cs="Calibri"/>
        </w:rPr>
        <w:t xml:space="preserve">andomized </w:t>
      </w:r>
      <w:r>
        <w:rPr>
          <w:rFonts w:cs="Calibri"/>
        </w:rPr>
        <w:t>c</w:t>
      </w:r>
      <w:r w:rsidRPr="00536B64">
        <w:rPr>
          <w:rFonts w:cs="Calibri"/>
        </w:rPr>
        <w:t xml:space="preserve">ontrol </w:t>
      </w:r>
      <w:r>
        <w:rPr>
          <w:rFonts w:cs="Calibri"/>
        </w:rPr>
        <w:t>t</w:t>
      </w:r>
      <w:r w:rsidRPr="00536B64">
        <w:rPr>
          <w:rFonts w:cs="Calibri"/>
        </w:rPr>
        <w:t xml:space="preserve">rial (RCT) experimental design, households were already randomized into treatment and control groups for an unbiased sample to evaluate savings. The HER electric energy verified realization rate was </w:t>
      </w:r>
      <w:r>
        <w:rPr>
          <w:rFonts w:cs="Calibri"/>
        </w:rPr>
        <w:t>within 1% of the reported energy savings</w:t>
      </w:r>
      <w:r w:rsidRPr="00536B64">
        <w:rPr>
          <w:rFonts w:cs="Calibri"/>
        </w:rPr>
        <w:t xml:space="preserve">. </w:t>
      </w:r>
    </w:p>
    <w:p w:rsidR="0001310B" w:rsidRDefault="0001310B" w:rsidP="0001310B">
      <w:pPr>
        <w:autoSpaceDE w:val="0"/>
        <w:autoSpaceDN w:val="0"/>
        <w:adjustRightInd w:val="0"/>
      </w:pPr>
    </w:p>
    <w:p w:rsidR="004045A0" w:rsidRDefault="004045A0" w:rsidP="00C32A57">
      <w:pPr>
        <w:pStyle w:val="AppendixAHeading4"/>
      </w:pPr>
      <w:r>
        <w:t>Non-Residential Programs</w:t>
      </w:r>
    </w:p>
    <w:p w:rsidR="001F1648" w:rsidRDefault="001F1648" w:rsidP="001F1648">
      <w:pPr>
        <w:rPr>
          <w:rFonts w:eastAsia="MS Mincho"/>
        </w:rPr>
      </w:pPr>
      <w:r w:rsidRPr="001F1648">
        <w:rPr>
          <w:rFonts w:eastAsia="MS Mincho"/>
        </w:rPr>
        <w:t>Realization rates for Duquesne’s C/I programs’ energy savings ranged from 85% to 103% in PY7. Realization rates for demand reductions from these programs ranged from 74% to 113%. Duquesne achieved the 15% precision requirement for kWh in all of its non-residential programs. It also achieved better than 15% precision for demand savings, although this is not a requirement for Phase II.</w:t>
      </w:r>
    </w:p>
    <w:p w:rsidR="004C59E0" w:rsidRPr="001F1648" w:rsidRDefault="004C59E0" w:rsidP="001F1648">
      <w:pPr>
        <w:rPr>
          <w:rFonts w:eastAsia="MS Mincho"/>
        </w:rPr>
      </w:pPr>
    </w:p>
    <w:p w:rsidR="00B060D3" w:rsidRDefault="00D9014E" w:rsidP="001F1648">
      <w:pPr>
        <w:rPr>
          <w:rFonts w:eastAsia="MS Mincho"/>
        </w:rPr>
      </w:pPr>
      <w:r>
        <w:rPr>
          <w:rFonts w:eastAsia="MS Mincho"/>
        </w:rPr>
        <w:fldChar w:fldCharType="begin"/>
      </w:r>
      <w:r>
        <w:rPr>
          <w:rFonts w:eastAsia="MS Mincho"/>
        </w:rPr>
        <w:instrText xml:space="preserve"> REF _Ref472395860 \h </w:instrText>
      </w:r>
      <w:r>
        <w:rPr>
          <w:rFonts w:eastAsia="MS Mincho"/>
        </w:rPr>
      </w:r>
      <w:r>
        <w:rPr>
          <w:rFonts w:eastAsia="MS Mincho"/>
        </w:rPr>
        <w:fldChar w:fldCharType="separate"/>
      </w:r>
      <w:r w:rsidR="00C301D0">
        <w:t>Figure A-</w:t>
      </w:r>
      <w:r w:rsidR="00C301D0">
        <w:rPr>
          <w:noProof/>
        </w:rPr>
        <w:t>1</w:t>
      </w:r>
      <w:r>
        <w:rPr>
          <w:rFonts w:eastAsia="MS Mincho"/>
        </w:rPr>
        <w:fldChar w:fldCharType="end"/>
      </w:r>
      <w:r w:rsidR="004C59E0">
        <w:rPr>
          <w:rFonts w:eastAsia="MS Mincho"/>
        </w:rPr>
        <w:t xml:space="preserve"> </w:t>
      </w:r>
      <w:r w:rsidR="001F1648" w:rsidRPr="001F1648">
        <w:rPr>
          <w:rFonts w:eastAsia="MS Mincho"/>
        </w:rPr>
        <w:t xml:space="preserve">displays the frequency of each M&amp;V approach performed by Navigant in PY7 for Duquesne’s Commercial and GNI Program Groups evaluation sample and the verified energy savings associated with each M&amp;V approach. The enhanced rigor used in the evaluations includes International Performance Measurement and Verification Protocol (IPMVP) Options A, B, C, and D. Option A combines the measurement of key parameters of retrofitted equipment with the use of stipulated values for other </w:t>
      </w:r>
      <w:r w:rsidR="001F1648" w:rsidRPr="001F1648">
        <w:rPr>
          <w:rFonts w:eastAsia="MS Mincho"/>
        </w:rPr>
        <w:lastRenderedPageBreak/>
        <w:t>measurement parameters. Option B involves more robust measurement of the retrofitted system’s continuous energy usage, typically through short-term power metering. Option C consists of utility billing analysis to determine energy savings. Typically, 12 months of pre- and post-installation billing data are required for this approach. Option D involves modeling energy performance of a facility before and after the efficiency measure is installed.</w:t>
      </w:r>
    </w:p>
    <w:p w:rsidR="00B060D3" w:rsidRDefault="00B060D3" w:rsidP="001F1648">
      <w:pPr>
        <w:rPr>
          <w:rFonts w:eastAsia="MS Mincho"/>
        </w:rPr>
      </w:pPr>
    </w:p>
    <w:p w:rsidR="001F1648" w:rsidRPr="001F1648" w:rsidRDefault="001F1648" w:rsidP="00D9014E">
      <w:pPr>
        <w:pStyle w:val="Caption"/>
        <w:keepNext/>
      </w:pPr>
      <w:bookmarkStart w:id="526" w:name="_Ref472395860"/>
      <w:bookmarkStart w:id="527" w:name="_Toc408557547"/>
      <w:bookmarkStart w:id="528" w:name="_Toc408999423"/>
      <w:bookmarkStart w:id="529" w:name="_Toc409224948"/>
      <w:bookmarkStart w:id="530" w:name="_Toc409443627"/>
      <w:bookmarkStart w:id="531" w:name="_Toc444269814"/>
      <w:bookmarkStart w:id="532" w:name="_Toc476842275"/>
      <w:r>
        <w:t>Figure A-</w:t>
      </w:r>
      <w:fldSimple w:instr=" SEQ Figure_A- \* ARABIC ">
        <w:r w:rsidR="00C301D0">
          <w:rPr>
            <w:noProof/>
          </w:rPr>
          <w:t>1</w:t>
        </w:r>
      </w:fldSimple>
      <w:bookmarkEnd w:id="526"/>
      <w:r>
        <w:t xml:space="preserve">: </w:t>
      </w:r>
      <w:r w:rsidRPr="001F1648">
        <w:t>Frequency of and Associated Energy Savings by M&amp;V Approach – Commercial and GNI Program Groups</w:t>
      </w:r>
      <w:bookmarkEnd w:id="527"/>
      <w:bookmarkEnd w:id="528"/>
      <w:bookmarkEnd w:id="529"/>
      <w:bookmarkEnd w:id="530"/>
      <w:bookmarkEnd w:id="531"/>
      <w:bookmarkEnd w:id="532"/>
    </w:p>
    <w:p w:rsidR="001F1648" w:rsidRPr="001F1648" w:rsidRDefault="00173FA2" w:rsidP="001F1648">
      <w:pPr>
        <w:jc w:val="center"/>
        <w:rPr>
          <w:rFonts w:eastAsia="MS Mincho"/>
        </w:rPr>
      </w:pPr>
      <w:r>
        <w:rPr>
          <w:rFonts w:eastAsia="MS Mincho"/>
          <w:noProof/>
        </w:rPr>
        <w:drawing>
          <wp:inline distT="0" distB="0" distL="0" distR="0" wp14:anchorId="61262CFA" wp14:editId="10986F94">
            <wp:extent cx="5897265" cy="220648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2">
                      <a:extLst>
                        <a:ext uri="{28A0092B-C50C-407E-A947-70E740481C1C}">
                          <a14:useLocalDpi xmlns:a14="http://schemas.microsoft.com/office/drawing/2010/main" val="0"/>
                        </a:ext>
                      </a:extLst>
                    </a:blip>
                    <a:srcRect t="5095" b="7893"/>
                    <a:stretch/>
                  </pic:blipFill>
                  <pic:spPr bwMode="auto">
                    <a:xfrm>
                      <a:off x="0" y="0"/>
                      <a:ext cx="5907655" cy="2210374"/>
                    </a:xfrm>
                    <a:prstGeom prst="rect">
                      <a:avLst/>
                    </a:prstGeom>
                    <a:noFill/>
                    <a:ln>
                      <a:noFill/>
                    </a:ln>
                    <a:extLst>
                      <a:ext uri="{53640926-AAD7-44D8-BBD7-CCE9431645EC}">
                        <a14:shadowObscured xmlns:a14="http://schemas.microsoft.com/office/drawing/2010/main"/>
                      </a:ext>
                    </a:extLst>
                  </pic:spPr>
                </pic:pic>
              </a:graphicData>
            </a:graphic>
          </wp:inline>
        </w:drawing>
      </w:r>
    </w:p>
    <w:p w:rsidR="00A07AB2" w:rsidRDefault="00A07AB2" w:rsidP="001F1648">
      <w:pPr>
        <w:rPr>
          <w:rFonts w:eastAsia="MS Mincho"/>
        </w:rPr>
      </w:pPr>
    </w:p>
    <w:p w:rsidR="001F1648" w:rsidRPr="001F1648" w:rsidRDefault="00D9014E" w:rsidP="001F1648">
      <w:r>
        <w:rPr>
          <w:rFonts w:eastAsia="MS Mincho"/>
        </w:rPr>
        <w:fldChar w:fldCharType="begin"/>
      </w:r>
      <w:r>
        <w:rPr>
          <w:rFonts w:eastAsia="MS Mincho"/>
        </w:rPr>
        <w:instrText xml:space="preserve"> REF _Ref472395860 \h </w:instrText>
      </w:r>
      <w:r>
        <w:rPr>
          <w:rFonts w:eastAsia="MS Mincho"/>
        </w:rPr>
      </w:r>
      <w:r>
        <w:rPr>
          <w:rFonts w:eastAsia="MS Mincho"/>
        </w:rPr>
        <w:fldChar w:fldCharType="separate"/>
      </w:r>
      <w:r w:rsidR="00C301D0">
        <w:t>Figure A-</w:t>
      </w:r>
      <w:r w:rsidR="00C301D0">
        <w:rPr>
          <w:noProof/>
        </w:rPr>
        <w:t>1</w:t>
      </w:r>
      <w:r>
        <w:rPr>
          <w:rFonts w:eastAsia="MS Mincho"/>
        </w:rPr>
        <w:fldChar w:fldCharType="end"/>
      </w:r>
      <w:r w:rsidR="00C255BD">
        <w:rPr>
          <w:rFonts w:eastAsia="MS Mincho"/>
        </w:rPr>
        <w:t xml:space="preserve"> </w:t>
      </w:r>
      <w:r w:rsidR="001F1648" w:rsidRPr="001F1648">
        <w:t xml:space="preserve"> </w:t>
      </w:r>
      <w:r w:rsidR="00173FA2" w:rsidRPr="00173FA2">
        <w:t>indicates that Navigant used IPMVP Option A for 71% of the projects selected for sampling, yet these made up 28% of the total savings for the program. The majority of the savings were evaluated using Option C. All projects were evaluated with enhanced rigor</w:t>
      </w:r>
      <w:r w:rsidR="001F1648" w:rsidRPr="001F1648">
        <w:t xml:space="preserve">. </w:t>
      </w:r>
    </w:p>
    <w:p w:rsidR="00BC624A" w:rsidRDefault="00BC624A" w:rsidP="001F1648"/>
    <w:p w:rsidR="001F1648" w:rsidRDefault="00BC624A" w:rsidP="001F1648">
      <w:r>
        <w:rPr>
          <w:rFonts w:eastAsia="MS Mincho"/>
        </w:rPr>
        <w:fldChar w:fldCharType="begin"/>
      </w:r>
      <w:r>
        <w:rPr>
          <w:rFonts w:eastAsia="MS Mincho"/>
        </w:rPr>
        <w:instrText xml:space="preserve"> REF _Ref473711729 \h </w:instrText>
      </w:r>
      <w:r>
        <w:rPr>
          <w:rFonts w:eastAsia="MS Mincho"/>
        </w:rPr>
      </w:r>
      <w:r>
        <w:rPr>
          <w:rFonts w:eastAsia="MS Mincho"/>
        </w:rPr>
        <w:fldChar w:fldCharType="separate"/>
      </w:r>
      <w:r w:rsidR="00C301D0">
        <w:t>Figure A-</w:t>
      </w:r>
      <w:r w:rsidR="00C301D0">
        <w:rPr>
          <w:noProof/>
        </w:rPr>
        <w:t>2</w:t>
      </w:r>
      <w:r>
        <w:rPr>
          <w:rFonts w:eastAsia="MS Mincho"/>
        </w:rPr>
        <w:fldChar w:fldCharType="end"/>
      </w:r>
      <w:r>
        <w:rPr>
          <w:rFonts w:eastAsia="MS Mincho"/>
        </w:rPr>
        <w:t xml:space="preserve"> </w:t>
      </w:r>
      <w:r w:rsidR="00173FA2" w:rsidRPr="00173FA2">
        <w:t>breaks out the share of projects evaluated and the associated verified savings using each M&amp;V approach for the Industrial Program Group. IPMVP Option A was used for a majority of the projects in this program group, yet this only accounted for 11% of the savings. The majority of the savings (89%) were evaluated with Option B. All projects were evaluated with enhanced rigor</w:t>
      </w:r>
      <w:r w:rsidR="001F1648" w:rsidRPr="001F1648">
        <w:t xml:space="preserve">. </w:t>
      </w:r>
    </w:p>
    <w:p w:rsidR="00E80899" w:rsidRDefault="00E80899" w:rsidP="001F1648"/>
    <w:p w:rsidR="005D6981" w:rsidRDefault="005D6981" w:rsidP="001F1648"/>
    <w:p w:rsidR="005D6981" w:rsidRDefault="005D6981" w:rsidP="001F1648"/>
    <w:p w:rsidR="005D6981" w:rsidRDefault="005D6981" w:rsidP="001F1648"/>
    <w:p w:rsidR="005D6981" w:rsidRDefault="005D6981" w:rsidP="001F1648"/>
    <w:p w:rsidR="005D6981" w:rsidRDefault="005D6981" w:rsidP="001F1648"/>
    <w:p w:rsidR="005D6981" w:rsidRDefault="005D6981" w:rsidP="001F1648"/>
    <w:p w:rsidR="005D6981" w:rsidRDefault="005D6981" w:rsidP="001F1648"/>
    <w:p w:rsidR="005D6981" w:rsidRDefault="005D6981" w:rsidP="001F1648"/>
    <w:p w:rsidR="005D6981" w:rsidRDefault="005D6981" w:rsidP="001F1648"/>
    <w:p w:rsidR="005D6981" w:rsidRDefault="005D6981" w:rsidP="001F1648"/>
    <w:p w:rsidR="005D6981" w:rsidRDefault="005D6981" w:rsidP="001F1648"/>
    <w:p w:rsidR="005D6981" w:rsidRDefault="005D6981" w:rsidP="001F1648"/>
    <w:p w:rsidR="001F1648" w:rsidRPr="001F1648" w:rsidRDefault="005A5050" w:rsidP="005A5050">
      <w:pPr>
        <w:pStyle w:val="Caption"/>
      </w:pPr>
      <w:bookmarkStart w:id="533" w:name="_Ref472395933"/>
      <w:bookmarkStart w:id="534" w:name="_Ref473711729"/>
      <w:bookmarkStart w:id="535" w:name="_Toc408557548"/>
      <w:bookmarkStart w:id="536" w:name="_Toc408999424"/>
      <w:bookmarkStart w:id="537" w:name="_Toc409224949"/>
      <w:bookmarkStart w:id="538" w:name="_Toc409443628"/>
      <w:bookmarkStart w:id="539" w:name="_Toc444269815"/>
      <w:bookmarkStart w:id="540" w:name="_Toc476842276"/>
      <w:r>
        <w:t>Figure A-</w:t>
      </w:r>
      <w:fldSimple w:instr=" SEQ Figure_A- \* ARABIC ">
        <w:r w:rsidR="00C301D0">
          <w:rPr>
            <w:noProof/>
          </w:rPr>
          <w:t>2</w:t>
        </w:r>
      </w:fldSimple>
      <w:bookmarkEnd w:id="533"/>
      <w:bookmarkEnd w:id="534"/>
      <w:r w:rsidR="00C255BD">
        <w:rPr>
          <w:noProof/>
        </w:rPr>
        <w:t>:</w:t>
      </w:r>
      <w:r w:rsidR="001F1648" w:rsidRPr="001F1648">
        <w:t xml:space="preserve"> Frequency of and Associated Energy Savings by M&amp;V Approach – </w:t>
      </w:r>
      <w:bookmarkEnd w:id="535"/>
      <w:bookmarkEnd w:id="536"/>
      <w:bookmarkEnd w:id="537"/>
      <w:bookmarkEnd w:id="538"/>
      <w:r w:rsidR="001F1648" w:rsidRPr="001F1648">
        <w:t>Industrial Program Group</w:t>
      </w:r>
      <w:bookmarkEnd w:id="539"/>
      <w:bookmarkEnd w:id="540"/>
    </w:p>
    <w:p w:rsidR="001F1648" w:rsidRPr="001F1648" w:rsidRDefault="00173FA2" w:rsidP="001F1648">
      <w:pPr>
        <w:jc w:val="center"/>
      </w:pPr>
      <w:r>
        <w:rPr>
          <w:noProof/>
        </w:rPr>
        <w:lastRenderedPageBreak/>
        <w:drawing>
          <wp:inline distT="0" distB="0" distL="0" distR="0" wp14:anchorId="42FD44CD" wp14:editId="0945439E">
            <wp:extent cx="5683680" cy="20971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3">
                      <a:extLst>
                        <a:ext uri="{28A0092B-C50C-407E-A947-70E740481C1C}">
                          <a14:useLocalDpi xmlns:a14="http://schemas.microsoft.com/office/drawing/2010/main" val="0"/>
                        </a:ext>
                      </a:extLst>
                    </a:blip>
                    <a:srcRect t="4879" b="9312"/>
                    <a:stretch/>
                  </pic:blipFill>
                  <pic:spPr bwMode="auto">
                    <a:xfrm>
                      <a:off x="0" y="0"/>
                      <a:ext cx="5711886" cy="2107565"/>
                    </a:xfrm>
                    <a:prstGeom prst="rect">
                      <a:avLst/>
                    </a:prstGeom>
                    <a:noFill/>
                    <a:ln>
                      <a:noFill/>
                    </a:ln>
                    <a:extLst>
                      <a:ext uri="{53640926-AAD7-44D8-BBD7-CCE9431645EC}">
                        <a14:shadowObscured xmlns:a14="http://schemas.microsoft.com/office/drawing/2010/main"/>
                      </a:ext>
                    </a:extLst>
                  </pic:spPr>
                </pic:pic>
              </a:graphicData>
            </a:graphic>
          </wp:inline>
        </w:drawing>
      </w:r>
    </w:p>
    <w:p w:rsidR="009349F1" w:rsidRDefault="009349F1" w:rsidP="001F1648"/>
    <w:p w:rsidR="001F1648" w:rsidRPr="001F1648" w:rsidRDefault="001F1648" w:rsidP="001F1648">
      <w:r w:rsidRPr="001F1648">
        <w:t>Two additional programs, the Small Commercial Direct Install Program and the Multifamily Housing Retrofit Program, received separate treatment in PY6 because they were new that year, but in PY7 they were evaluated as part of the Commercial Program Group.</w:t>
      </w:r>
    </w:p>
    <w:p w:rsidR="0001310B" w:rsidRPr="008A749F" w:rsidRDefault="0001310B" w:rsidP="0001310B">
      <w:pPr>
        <w:autoSpaceDE w:val="0"/>
        <w:autoSpaceDN w:val="0"/>
        <w:adjustRightInd w:val="0"/>
        <w:rPr>
          <w:highlight w:val="yellow"/>
        </w:rPr>
      </w:pPr>
    </w:p>
    <w:p w:rsidR="00950837" w:rsidRDefault="00950837" w:rsidP="00C32A57">
      <w:pPr>
        <w:pStyle w:val="AppendixAHeading3"/>
      </w:pPr>
      <w:r>
        <w:t>Process Evaluation Activities and Findings</w:t>
      </w:r>
    </w:p>
    <w:p w:rsidR="009558E7" w:rsidRDefault="009B2C2C" w:rsidP="009B2C2C">
      <w:r w:rsidRPr="00661E10">
        <w:t>The process evaluation that Navigant conducted included a review of key program documents and databases, surveys of participants, surveys of those who opted not to receive HERs, and interviews with program staff.</w:t>
      </w:r>
      <w:r>
        <w:t xml:space="preserve"> </w:t>
      </w:r>
      <w:r w:rsidR="008D11AB">
        <w:fldChar w:fldCharType="begin"/>
      </w:r>
      <w:r w:rsidR="008D11AB">
        <w:instrText xml:space="preserve"> REF _Ref473377837 \h </w:instrText>
      </w:r>
      <w:r w:rsidR="008D11AB">
        <w:fldChar w:fldCharType="separate"/>
      </w:r>
      <w:r w:rsidR="00A874AC" w:rsidRPr="009B2C2C">
        <w:t>Table A-</w:t>
      </w:r>
      <w:r w:rsidR="00A874AC">
        <w:rPr>
          <w:noProof/>
        </w:rPr>
        <w:t>9</w:t>
      </w:r>
      <w:r w:rsidR="008D11AB">
        <w:fldChar w:fldCharType="end"/>
      </w:r>
      <w:r>
        <w:t xml:space="preserve"> </w:t>
      </w:r>
      <w:r w:rsidRPr="00661E10">
        <w:t>summarizes the data sources used and the key findings for each program.</w:t>
      </w:r>
    </w:p>
    <w:p w:rsidR="009558E7" w:rsidRDefault="009558E7" w:rsidP="009B2C2C"/>
    <w:p w:rsidR="009B2C2C" w:rsidRPr="009B2C2C" w:rsidRDefault="009B2C2C" w:rsidP="009B2C2C">
      <w:pPr>
        <w:pStyle w:val="Caption"/>
      </w:pPr>
      <w:bookmarkStart w:id="541" w:name="_Ref473377837"/>
      <w:bookmarkStart w:id="542" w:name="_Toc412795696"/>
      <w:bookmarkStart w:id="543" w:name="_Toc444269726"/>
      <w:bookmarkStart w:id="544" w:name="_Toc472472418"/>
      <w:bookmarkStart w:id="545" w:name="_Toc476842124"/>
      <w:r w:rsidRPr="009B2C2C">
        <w:t>Table A-</w:t>
      </w:r>
      <w:fldSimple w:instr=" SEQ Table_A- \* ARABIC ">
        <w:r w:rsidR="00C301D0">
          <w:rPr>
            <w:noProof/>
          </w:rPr>
          <w:t>9</w:t>
        </w:r>
      </w:fldSimple>
      <w:bookmarkEnd w:id="541"/>
      <w:r w:rsidRPr="009B2C2C">
        <w:t>: Summary of Key Findings and Data Sources – Duquesne</w:t>
      </w:r>
      <w:bookmarkEnd w:id="542"/>
      <w:bookmarkEnd w:id="543"/>
      <w:bookmarkEnd w:id="544"/>
      <w:bookmarkEnd w:id="545"/>
    </w:p>
    <w:tbl>
      <w:tblPr>
        <w:tblW w:w="9371"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520"/>
        <w:gridCol w:w="5060"/>
        <w:gridCol w:w="2791"/>
      </w:tblGrid>
      <w:tr w:rsidR="00A874AC" w:rsidRPr="00661E10" w:rsidTr="0017534C">
        <w:trPr>
          <w:cantSplit/>
          <w:trHeight w:val="141"/>
          <w:tblHeader/>
          <w:jc w:val="center"/>
        </w:trPr>
        <w:tc>
          <w:tcPr>
            <w:tcW w:w="1520" w:type="dxa"/>
            <w:shd w:val="clear" w:color="auto" w:fill="448A99"/>
            <w:vAlign w:val="bottom"/>
            <w:hideMark/>
          </w:tcPr>
          <w:p w:rsidR="009B2C2C" w:rsidRPr="00661E10" w:rsidRDefault="009B2C2C" w:rsidP="00D900B5">
            <w:pPr>
              <w:jc w:val="left"/>
              <w:rPr>
                <w:b/>
                <w:color w:val="FFFFFF"/>
                <w:sz w:val="20"/>
                <w:szCs w:val="20"/>
              </w:rPr>
            </w:pPr>
            <w:r w:rsidRPr="00661E10">
              <w:rPr>
                <w:b/>
                <w:color w:val="FFFFFF"/>
                <w:sz w:val="20"/>
                <w:szCs w:val="20"/>
              </w:rPr>
              <w:t>Program</w:t>
            </w:r>
          </w:p>
        </w:tc>
        <w:tc>
          <w:tcPr>
            <w:tcW w:w="5060" w:type="dxa"/>
            <w:shd w:val="clear" w:color="auto" w:fill="448A99"/>
            <w:vAlign w:val="bottom"/>
            <w:hideMark/>
          </w:tcPr>
          <w:p w:rsidR="009B2C2C" w:rsidRPr="00661E10" w:rsidRDefault="009B2C2C" w:rsidP="00D900B5">
            <w:pPr>
              <w:jc w:val="center"/>
              <w:rPr>
                <w:b/>
                <w:color w:val="FFFFFF"/>
                <w:sz w:val="20"/>
                <w:szCs w:val="20"/>
              </w:rPr>
            </w:pPr>
            <w:r w:rsidRPr="00661E10">
              <w:rPr>
                <w:b/>
                <w:color w:val="FFFFFF"/>
                <w:sz w:val="20"/>
                <w:szCs w:val="20"/>
              </w:rPr>
              <w:t>Key Findings</w:t>
            </w:r>
          </w:p>
        </w:tc>
        <w:tc>
          <w:tcPr>
            <w:tcW w:w="2791" w:type="dxa"/>
            <w:shd w:val="clear" w:color="auto" w:fill="448A99"/>
            <w:vAlign w:val="bottom"/>
            <w:hideMark/>
          </w:tcPr>
          <w:p w:rsidR="009B2C2C" w:rsidRPr="00661E10" w:rsidRDefault="009B2C2C" w:rsidP="00D900B5">
            <w:pPr>
              <w:jc w:val="center"/>
              <w:rPr>
                <w:b/>
                <w:color w:val="FFFFFF"/>
                <w:sz w:val="20"/>
                <w:szCs w:val="20"/>
              </w:rPr>
            </w:pPr>
            <w:r w:rsidRPr="00661E10">
              <w:rPr>
                <w:b/>
                <w:color w:val="FFFFFF"/>
                <w:sz w:val="20"/>
                <w:szCs w:val="20"/>
              </w:rPr>
              <w:t>Data Sources</w:t>
            </w:r>
          </w:p>
        </w:tc>
      </w:tr>
      <w:tr w:rsidR="00E7173E" w:rsidRPr="00661E10" w:rsidTr="002A1AE0">
        <w:trPr>
          <w:trHeight w:val="141"/>
          <w:jc w:val="center"/>
        </w:trPr>
        <w:tc>
          <w:tcPr>
            <w:tcW w:w="9371" w:type="dxa"/>
            <w:gridSpan w:val="3"/>
            <w:shd w:val="clear" w:color="auto" w:fill="9C9393"/>
            <w:hideMark/>
          </w:tcPr>
          <w:p w:rsidR="009B2C2C" w:rsidRPr="00661E10" w:rsidRDefault="009B2C2C" w:rsidP="00D900B5">
            <w:pPr>
              <w:jc w:val="left"/>
              <w:rPr>
                <w:b/>
                <w:i/>
                <w:color w:val="FFFFFF"/>
                <w:sz w:val="20"/>
                <w:szCs w:val="20"/>
              </w:rPr>
            </w:pPr>
            <w:r w:rsidRPr="00661E10">
              <w:rPr>
                <w:b/>
                <w:color w:val="FFFFFF"/>
                <w:sz w:val="20"/>
                <w:szCs w:val="20"/>
              </w:rPr>
              <w:t>Residential Sector</w:t>
            </w:r>
          </w:p>
        </w:tc>
      </w:tr>
      <w:tr w:rsidR="00E7173E" w:rsidRPr="00661E10" w:rsidTr="002A1AE0">
        <w:trPr>
          <w:trHeight w:val="141"/>
          <w:jc w:val="center"/>
        </w:trPr>
        <w:tc>
          <w:tcPr>
            <w:tcW w:w="1520" w:type="dxa"/>
            <w:shd w:val="clear" w:color="auto" w:fill="D2EAF1"/>
          </w:tcPr>
          <w:p w:rsidR="009B2C2C" w:rsidRPr="00661E10" w:rsidRDefault="009B2C2C" w:rsidP="00D900B5">
            <w:pPr>
              <w:jc w:val="left"/>
              <w:rPr>
                <w:sz w:val="20"/>
              </w:rPr>
            </w:pPr>
            <w:r w:rsidRPr="00957012">
              <w:rPr>
                <w:sz w:val="20"/>
              </w:rPr>
              <w:t>Residential Energy Efficiency Program</w:t>
            </w:r>
            <w:r>
              <w:rPr>
                <w:sz w:val="20"/>
              </w:rPr>
              <w:t xml:space="preserve"> (</w:t>
            </w:r>
            <w:r w:rsidRPr="00661E10">
              <w:rPr>
                <w:sz w:val="20"/>
              </w:rPr>
              <w:t>REEP</w:t>
            </w:r>
            <w:r>
              <w:rPr>
                <w:sz w:val="20"/>
              </w:rPr>
              <w:t>)</w:t>
            </w:r>
          </w:p>
        </w:tc>
        <w:tc>
          <w:tcPr>
            <w:tcW w:w="5060" w:type="dxa"/>
            <w:shd w:val="clear" w:color="auto" w:fill="D2EAF1"/>
          </w:tcPr>
          <w:p w:rsidR="009B2C2C" w:rsidRPr="00661E10" w:rsidRDefault="009B2C2C" w:rsidP="009349F1">
            <w:pPr>
              <w:numPr>
                <w:ilvl w:val="0"/>
                <w:numId w:val="12"/>
              </w:numPr>
              <w:autoSpaceDE w:val="0"/>
              <w:autoSpaceDN w:val="0"/>
              <w:adjustRightInd w:val="0"/>
              <w:ind w:left="232" w:hanging="180"/>
              <w:contextualSpacing/>
              <w:jc w:val="left"/>
              <w:rPr>
                <w:rFonts w:cs="Calibri"/>
                <w:sz w:val="20"/>
                <w:szCs w:val="20"/>
              </w:rPr>
            </w:pPr>
            <w:r w:rsidRPr="00661E10">
              <w:rPr>
                <w:rFonts w:cs="Calibri"/>
                <w:sz w:val="20"/>
                <w:szCs w:val="20"/>
              </w:rPr>
              <w:t xml:space="preserve">Rebate participants learned about rebates online, at retail stores, and from contractors. </w:t>
            </w:r>
          </w:p>
          <w:p w:rsidR="009B2C2C" w:rsidRPr="00661E10" w:rsidRDefault="009B2C2C" w:rsidP="009349F1">
            <w:pPr>
              <w:numPr>
                <w:ilvl w:val="0"/>
                <w:numId w:val="12"/>
              </w:numPr>
              <w:autoSpaceDE w:val="0"/>
              <w:autoSpaceDN w:val="0"/>
              <w:adjustRightInd w:val="0"/>
              <w:ind w:left="232" w:hanging="180"/>
              <w:contextualSpacing/>
              <w:jc w:val="left"/>
              <w:rPr>
                <w:rFonts w:cs="Calibri"/>
                <w:sz w:val="20"/>
                <w:szCs w:val="20"/>
              </w:rPr>
            </w:pPr>
            <w:r w:rsidRPr="00661E10">
              <w:rPr>
                <w:rFonts w:cs="Calibri"/>
                <w:sz w:val="20"/>
                <w:szCs w:val="20"/>
              </w:rPr>
              <w:t>Events and online information were the most influential sources of information.</w:t>
            </w:r>
          </w:p>
          <w:p w:rsidR="009B2C2C" w:rsidRPr="00661E10" w:rsidRDefault="009B2C2C" w:rsidP="009349F1">
            <w:pPr>
              <w:numPr>
                <w:ilvl w:val="0"/>
                <w:numId w:val="12"/>
              </w:numPr>
              <w:autoSpaceDE w:val="0"/>
              <w:autoSpaceDN w:val="0"/>
              <w:adjustRightInd w:val="0"/>
              <w:ind w:left="232" w:hanging="180"/>
              <w:contextualSpacing/>
              <w:jc w:val="left"/>
              <w:rPr>
                <w:rFonts w:cs="Calibri"/>
                <w:sz w:val="20"/>
                <w:szCs w:val="20"/>
              </w:rPr>
            </w:pPr>
            <w:r w:rsidRPr="00661E10">
              <w:rPr>
                <w:rFonts w:cs="Calibri"/>
                <w:sz w:val="20"/>
                <w:szCs w:val="20"/>
              </w:rPr>
              <w:t>Participants were generally satisfied with the rebate program.</w:t>
            </w:r>
          </w:p>
          <w:p w:rsidR="009B2C2C" w:rsidRPr="00661E10" w:rsidRDefault="009B2C2C" w:rsidP="009349F1">
            <w:pPr>
              <w:numPr>
                <w:ilvl w:val="0"/>
                <w:numId w:val="12"/>
              </w:numPr>
              <w:autoSpaceDE w:val="0"/>
              <w:autoSpaceDN w:val="0"/>
              <w:adjustRightInd w:val="0"/>
              <w:ind w:left="232" w:hanging="180"/>
              <w:contextualSpacing/>
              <w:jc w:val="left"/>
              <w:rPr>
                <w:rFonts w:cs="Calibri"/>
                <w:sz w:val="20"/>
                <w:szCs w:val="20"/>
              </w:rPr>
            </w:pPr>
            <w:r w:rsidRPr="00661E10">
              <w:rPr>
                <w:rFonts w:cs="Calibri"/>
                <w:sz w:val="20"/>
                <w:szCs w:val="20"/>
              </w:rPr>
              <w:t xml:space="preserve">Kit participants learned about the kits largely via online sources, family and friends, and email. </w:t>
            </w:r>
          </w:p>
          <w:p w:rsidR="009B2C2C" w:rsidRPr="00661E10" w:rsidRDefault="009B2C2C" w:rsidP="009349F1">
            <w:pPr>
              <w:numPr>
                <w:ilvl w:val="0"/>
                <w:numId w:val="12"/>
              </w:numPr>
              <w:autoSpaceDE w:val="0"/>
              <w:autoSpaceDN w:val="0"/>
              <w:adjustRightInd w:val="0"/>
              <w:ind w:left="232" w:hanging="180"/>
              <w:contextualSpacing/>
              <w:jc w:val="left"/>
              <w:rPr>
                <w:rFonts w:cs="Calibri"/>
                <w:sz w:val="20"/>
                <w:szCs w:val="20"/>
              </w:rPr>
            </w:pPr>
            <w:r w:rsidRPr="00661E10">
              <w:rPr>
                <w:rFonts w:cs="Calibri"/>
                <w:sz w:val="20"/>
                <w:szCs w:val="20"/>
              </w:rPr>
              <w:t>Kit participants were largely satisfied with the program.</w:t>
            </w:r>
          </w:p>
          <w:p w:rsidR="009B2C2C" w:rsidRPr="00661E10" w:rsidRDefault="009B2C2C" w:rsidP="009349F1">
            <w:pPr>
              <w:numPr>
                <w:ilvl w:val="0"/>
                <w:numId w:val="12"/>
              </w:numPr>
              <w:autoSpaceDE w:val="0"/>
              <w:autoSpaceDN w:val="0"/>
              <w:adjustRightInd w:val="0"/>
              <w:ind w:left="232" w:hanging="180"/>
              <w:contextualSpacing/>
              <w:jc w:val="left"/>
              <w:rPr>
                <w:rFonts w:cs="Calibri"/>
                <w:sz w:val="20"/>
                <w:szCs w:val="20"/>
              </w:rPr>
            </w:pPr>
            <w:r w:rsidRPr="00661E10">
              <w:rPr>
                <w:rFonts w:cs="Calibri"/>
                <w:sz w:val="20"/>
                <w:szCs w:val="20"/>
              </w:rPr>
              <w:t>Kit participants made five suggestions for ways to improve the program offerings or outreach.</w:t>
            </w:r>
          </w:p>
        </w:tc>
        <w:tc>
          <w:tcPr>
            <w:tcW w:w="2791" w:type="dxa"/>
            <w:shd w:val="clear" w:color="auto" w:fill="D2EAF1"/>
          </w:tcPr>
          <w:p w:rsidR="009B2C2C" w:rsidRPr="00661E10" w:rsidRDefault="009B2C2C"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manager (</w:t>
            </w:r>
            <w:r>
              <w:rPr>
                <w:sz w:val="20"/>
                <w:szCs w:val="20"/>
              </w:rPr>
              <w:t>n=1</w:t>
            </w:r>
            <w:r w:rsidRPr="00661E10">
              <w:rPr>
                <w:sz w:val="20"/>
                <w:szCs w:val="20"/>
              </w:rPr>
              <w:t>)</w:t>
            </w:r>
          </w:p>
          <w:p w:rsidR="009B2C2C" w:rsidRPr="00661E10" w:rsidRDefault="009B2C2C" w:rsidP="009349F1">
            <w:pPr>
              <w:numPr>
                <w:ilvl w:val="0"/>
                <w:numId w:val="12"/>
              </w:numPr>
              <w:autoSpaceDE w:val="0"/>
              <w:autoSpaceDN w:val="0"/>
              <w:adjustRightInd w:val="0"/>
              <w:ind w:left="232" w:hanging="180"/>
              <w:contextualSpacing/>
              <w:jc w:val="left"/>
              <w:rPr>
                <w:sz w:val="20"/>
                <w:szCs w:val="20"/>
              </w:rPr>
            </w:pPr>
            <w:r w:rsidRPr="00661E10">
              <w:rPr>
                <w:sz w:val="20"/>
                <w:szCs w:val="20"/>
              </w:rPr>
              <w:t xml:space="preserve">Rebate participants (n=59, 55 </w:t>
            </w:r>
            <w:r>
              <w:rPr>
                <w:sz w:val="20"/>
                <w:szCs w:val="20"/>
              </w:rPr>
              <w:t>market rate</w:t>
            </w:r>
            <w:r w:rsidRPr="00661E10">
              <w:rPr>
                <w:sz w:val="20"/>
                <w:szCs w:val="20"/>
              </w:rPr>
              <w:t xml:space="preserve"> and 4 </w:t>
            </w:r>
            <w:r>
              <w:rPr>
                <w:sz w:val="20"/>
                <w:szCs w:val="20"/>
              </w:rPr>
              <w:t>low-income</w:t>
            </w:r>
            <w:r w:rsidRPr="00661E10">
              <w:rPr>
                <w:sz w:val="20"/>
                <w:szCs w:val="20"/>
              </w:rPr>
              <w:t>)</w:t>
            </w:r>
          </w:p>
          <w:p w:rsidR="009B2C2C" w:rsidRPr="00661E10" w:rsidRDefault="009B2C2C" w:rsidP="009349F1">
            <w:pPr>
              <w:numPr>
                <w:ilvl w:val="0"/>
                <w:numId w:val="12"/>
              </w:numPr>
              <w:autoSpaceDE w:val="0"/>
              <w:autoSpaceDN w:val="0"/>
              <w:adjustRightInd w:val="0"/>
              <w:ind w:left="232" w:hanging="180"/>
              <w:contextualSpacing/>
              <w:jc w:val="left"/>
              <w:rPr>
                <w:sz w:val="20"/>
                <w:szCs w:val="20"/>
              </w:rPr>
            </w:pPr>
            <w:r w:rsidRPr="00661E10">
              <w:rPr>
                <w:sz w:val="20"/>
                <w:szCs w:val="20"/>
              </w:rPr>
              <w:t>Kit participants (n=15)</w:t>
            </w:r>
          </w:p>
        </w:tc>
      </w:tr>
      <w:tr w:rsidR="009B2C2C" w:rsidRPr="00661E10" w:rsidTr="002A1AE0">
        <w:trPr>
          <w:trHeight w:val="141"/>
          <w:jc w:val="center"/>
        </w:trPr>
        <w:tc>
          <w:tcPr>
            <w:tcW w:w="1520" w:type="dxa"/>
          </w:tcPr>
          <w:p w:rsidR="009B2C2C" w:rsidRPr="00661E10" w:rsidRDefault="009B2C2C" w:rsidP="00D900B5">
            <w:pPr>
              <w:jc w:val="left"/>
              <w:rPr>
                <w:sz w:val="20"/>
              </w:rPr>
            </w:pPr>
            <w:r w:rsidRPr="00957012">
              <w:rPr>
                <w:sz w:val="20"/>
              </w:rPr>
              <w:t>Residential Appliance Recycling Program</w:t>
            </w:r>
            <w:r>
              <w:rPr>
                <w:sz w:val="20"/>
              </w:rPr>
              <w:t xml:space="preserve"> (</w:t>
            </w:r>
            <w:r w:rsidRPr="00661E10">
              <w:rPr>
                <w:sz w:val="20"/>
              </w:rPr>
              <w:t>RARP</w:t>
            </w:r>
            <w:r>
              <w:rPr>
                <w:sz w:val="20"/>
              </w:rPr>
              <w:t>)</w:t>
            </w:r>
          </w:p>
        </w:tc>
        <w:tc>
          <w:tcPr>
            <w:tcW w:w="5060" w:type="dxa"/>
          </w:tcPr>
          <w:p w:rsidR="009B2C2C" w:rsidRPr="00661E10" w:rsidRDefault="009B2C2C" w:rsidP="009349F1">
            <w:pPr>
              <w:numPr>
                <w:ilvl w:val="0"/>
                <w:numId w:val="11"/>
              </w:numPr>
              <w:autoSpaceDE w:val="0"/>
              <w:autoSpaceDN w:val="0"/>
              <w:adjustRightInd w:val="0"/>
              <w:ind w:left="232" w:hanging="180"/>
              <w:contextualSpacing/>
              <w:jc w:val="left"/>
              <w:rPr>
                <w:rFonts w:cs="Calibri"/>
                <w:sz w:val="20"/>
                <w:szCs w:val="20"/>
              </w:rPr>
            </w:pPr>
            <w:r w:rsidRPr="00661E10">
              <w:rPr>
                <w:rFonts w:cs="Calibri"/>
                <w:sz w:val="20"/>
                <w:szCs w:val="20"/>
              </w:rPr>
              <w:t xml:space="preserve">Participants heard about the program largely through family and friends, television, or bill inserts. </w:t>
            </w:r>
          </w:p>
          <w:p w:rsidR="009B2C2C" w:rsidRPr="00661E10" w:rsidRDefault="009B2C2C" w:rsidP="009349F1">
            <w:pPr>
              <w:numPr>
                <w:ilvl w:val="0"/>
                <w:numId w:val="11"/>
              </w:numPr>
              <w:autoSpaceDE w:val="0"/>
              <w:autoSpaceDN w:val="0"/>
              <w:adjustRightInd w:val="0"/>
              <w:ind w:left="232" w:hanging="180"/>
              <w:contextualSpacing/>
              <w:jc w:val="left"/>
              <w:rPr>
                <w:rFonts w:cs="Calibri"/>
                <w:sz w:val="20"/>
                <w:szCs w:val="20"/>
              </w:rPr>
            </w:pPr>
            <w:r w:rsidRPr="00661E10">
              <w:rPr>
                <w:rFonts w:cs="Calibri"/>
                <w:sz w:val="20"/>
                <w:szCs w:val="20"/>
              </w:rPr>
              <w:t>Satisfaction was high among participants, except for the time it took to receive the incentive. Recipients were probably less satisfied with this component because of JACO’s exit from the program.</w:t>
            </w:r>
          </w:p>
          <w:p w:rsidR="009B2C2C" w:rsidRPr="00661E10" w:rsidRDefault="009B2C2C" w:rsidP="009349F1">
            <w:pPr>
              <w:numPr>
                <w:ilvl w:val="0"/>
                <w:numId w:val="11"/>
              </w:numPr>
              <w:autoSpaceDE w:val="0"/>
              <w:autoSpaceDN w:val="0"/>
              <w:adjustRightInd w:val="0"/>
              <w:ind w:left="232" w:hanging="180"/>
              <w:contextualSpacing/>
              <w:jc w:val="left"/>
              <w:rPr>
                <w:rFonts w:cs="Calibri"/>
                <w:sz w:val="20"/>
                <w:szCs w:val="20"/>
              </w:rPr>
            </w:pPr>
            <w:r w:rsidRPr="00661E10">
              <w:rPr>
                <w:rFonts w:cs="Calibri"/>
                <w:sz w:val="20"/>
                <w:szCs w:val="20"/>
              </w:rPr>
              <w:t>Less than half of participants noted ways to improve the program. The most commonly cited ways were to improve rebate processing time and program advertising.</w:t>
            </w:r>
          </w:p>
          <w:p w:rsidR="009B2C2C" w:rsidRPr="00661E10" w:rsidRDefault="009B2C2C" w:rsidP="009349F1">
            <w:pPr>
              <w:numPr>
                <w:ilvl w:val="0"/>
                <w:numId w:val="11"/>
              </w:numPr>
              <w:autoSpaceDE w:val="0"/>
              <w:autoSpaceDN w:val="0"/>
              <w:adjustRightInd w:val="0"/>
              <w:ind w:left="232" w:hanging="180"/>
              <w:contextualSpacing/>
              <w:jc w:val="left"/>
              <w:rPr>
                <w:rFonts w:cs="Calibri"/>
                <w:sz w:val="20"/>
                <w:szCs w:val="20"/>
              </w:rPr>
            </w:pPr>
            <w:r w:rsidRPr="00661E10">
              <w:rPr>
                <w:rFonts w:cs="Calibri"/>
                <w:sz w:val="20"/>
                <w:szCs w:val="20"/>
              </w:rPr>
              <w:t>The cash incentive and convenience of participating were the main reasons respondents chose to participate.</w:t>
            </w:r>
          </w:p>
        </w:tc>
        <w:tc>
          <w:tcPr>
            <w:tcW w:w="2791" w:type="dxa"/>
          </w:tcPr>
          <w:p w:rsidR="009B2C2C" w:rsidRPr="00661E10" w:rsidRDefault="009B2C2C" w:rsidP="009349F1">
            <w:pPr>
              <w:numPr>
                <w:ilvl w:val="0"/>
                <w:numId w:val="12"/>
              </w:numPr>
              <w:autoSpaceDE w:val="0"/>
              <w:autoSpaceDN w:val="0"/>
              <w:adjustRightInd w:val="0"/>
              <w:ind w:left="232" w:hanging="180"/>
              <w:contextualSpacing/>
              <w:jc w:val="left"/>
              <w:rPr>
                <w:sz w:val="20"/>
              </w:rPr>
            </w:pPr>
            <w:r w:rsidRPr="00661E10">
              <w:rPr>
                <w:sz w:val="20"/>
                <w:szCs w:val="20"/>
              </w:rPr>
              <w:t>Participants (n</w:t>
            </w:r>
            <w:r>
              <w:rPr>
                <w:sz w:val="20"/>
                <w:szCs w:val="20"/>
              </w:rPr>
              <w:t>=1</w:t>
            </w:r>
            <w:r w:rsidRPr="00661E10">
              <w:rPr>
                <w:sz w:val="20"/>
                <w:szCs w:val="20"/>
              </w:rPr>
              <w:t>09)</w:t>
            </w:r>
          </w:p>
        </w:tc>
      </w:tr>
      <w:tr w:rsidR="00E7173E" w:rsidRPr="00661E10" w:rsidTr="002A1AE0">
        <w:trPr>
          <w:trHeight w:val="141"/>
          <w:jc w:val="center"/>
        </w:trPr>
        <w:tc>
          <w:tcPr>
            <w:tcW w:w="1520" w:type="dxa"/>
            <w:shd w:val="clear" w:color="auto" w:fill="D2EAF1"/>
          </w:tcPr>
          <w:p w:rsidR="009B2C2C" w:rsidRPr="00661E10" w:rsidRDefault="009B2C2C" w:rsidP="00D900B5">
            <w:pPr>
              <w:jc w:val="left"/>
              <w:rPr>
                <w:sz w:val="20"/>
              </w:rPr>
            </w:pPr>
            <w:r w:rsidRPr="00957012">
              <w:rPr>
                <w:sz w:val="20"/>
              </w:rPr>
              <w:lastRenderedPageBreak/>
              <w:t>School Energy Pledge Program</w:t>
            </w:r>
            <w:r>
              <w:rPr>
                <w:sz w:val="20"/>
              </w:rPr>
              <w:t xml:space="preserve"> (</w:t>
            </w:r>
            <w:r w:rsidRPr="00661E10">
              <w:rPr>
                <w:sz w:val="20"/>
              </w:rPr>
              <w:t>SEP</w:t>
            </w:r>
            <w:r>
              <w:rPr>
                <w:sz w:val="20"/>
              </w:rPr>
              <w:t>)</w:t>
            </w:r>
          </w:p>
        </w:tc>
        <w:tc>
          <w:tcPr>
            <w:tcW w:w="5060" w:type="dxa"/>
            <w:shd w:val="clear" w:color="auto" w:fill="D2EAF1"/>
          </w:tcPr>
          <w:p w:rsidR="009B2C2C" w:rsidRPr="00661E10" w:rsidRDefault="009B2C2C" w:rsidP="009349F1">
            <w:pPr>
              <w:numPr>
                <w:ilvl w:val="0"/>
                <w:numId w:val="11"/>
              </w:numPr>
              <w:autoSpaceDE w:val="0"/>
              <w:autoSpaceDN w:val="0"/>
              <w:adjustRightInd w:val="0"/>
              <w:ind w:left="232" w:hanging="180"/>
              <w:contextualSpacing/>
              <w:jc w:val="left"/>
              <w:rPr>
                <w:sz w:val="20"/>
                <w:szCs w:val="20"/>
              </w:rPr>
            </w:pPr>
            <w:r w:rsidRPr="00661E10">
              <w:rPr>
                <w:rFonts w:cs="Calibri"/>
                <w:sz w:val="20"/>
                <w:szCs w:val="20"/>
              </w:rPr>
              <w:t>The program did not meet its program year goals and is being replaced in Phase III.</w:t>
            </w:r>
            <w:r w:rsidRPr="00661E10">
              <w:rPr>
                <w:sz w:val="20"/>
                <w:szCs w:val="20"/>
              </w:rPr>
              <w:t xml:space="preserve"> </w:t>
            </w:r>
          </w:p>
          <w:p w:rsidR="009B2C2C" w:rsidRPr="00661E10" w:rsidRDefault="009B2C2C" w:rsidP="009349F1">
            <w:pPr>
              <w:numPr>
                <w:ilvl w:val="0"/>
                <w:numId w:val="11"/>
              </w:numPr>
              <w:autoSpaceDE w:val="0"/>
              <w:autoSpaceDN w:val="0"/>
              <w:adjustRightInd w:val="0"/>
              <w:ind w:left="232" w:hanging="180"/>
              <w:contextualSpacing/>
              <w:jc w:val="left"/>
              <w:rPr>
                <w:sz w:val="20"/>
                <w:szCs w:val="20"/>
              </w:rPr>
            </w:pPr>
            <w:r w:rsidRPr="00661E10">
              <w:rPr>
                <w:sz w:val="20"/>
                <w:szCs w:val="20"/>
              </w:rPr>
              <w:t>Satisfaction was high among participants.</w:t>
            </w:r>
          </w:p>
          <w:p w:rsidR="009B2C2C" w:rsidRPr="00661E10" w:rsidRDefault="009B2C2C" w:rsidP="009349F1">
            <w:pPr>
              <w:numPr>
                <w:ilvl w:val="0"/>
                <w:numId w:val="11"/>
              </w:numPr>
              <w:autoSpaceDE w:val="0"/>
              <w:autoSpaceDN w:val="0"/>
              <w:adjustRightInd w:val="0"/>
              <w:ind w:left="232" w:hanging="180"/>
              <w:contextualSpacing/>
              <w:jc w:val="left"/>
              <w:rPr>
                <w:color w:val="365F91"/>
                <w:sz w:val="20"/>
                <w:szCs w:val="20"/>
              </w:rPr>
            </w:pPr>
            <w:r w:rsidRPr="00661E10">
              <w:rPr>
                <w:sz w:val="20"/>
                <w:szCs w:val="20"/>
              </w:rPr>
              <w:t>Across Phase II, parents cited the information about the program supplied by their children as the reason they elected to participate.</w:t>
            </w:r>
          </w:p>
          <w:p w:rsidR="009B2C2C" w:rsidRPr="00661E10" w:rsidRDefault="009B2C2C" w:rsidP="009349F1">
            <w:pPr>
              <w:numPr>
                <w:ilvl w:val="0"/>
                <w:numId w:val="11"/>
              </w:numPr>
              <w:autoSpaceDE w:val="0"/>
              <w:autoSpaceDN w:val="0"/>
              <w:adjustRightInd w:val="0"/>
              <w:ind w:left="232" w:hanging="180"/>
              <w:contextualSpacing/>
              <w:jc w:val="left"/>
              <w:rPr>
                <w:color w:val="365F91"/>
                <w:sz w:val="20"/>
                <w:szCs w:val="20"/>
              </w:rPr>
            </w:pPr>
            <w:r w:rsidRPr="00661E10">
              <w:rPr>
                <w:sz w:val="20"/>
                <w:szCs w:val="20"/>
              </w:rPr>
              <w:t>Suggestions for improvements included offering more products in the kits, more education for students about reducing energy use, and increasing awareness of the program.</w:t>
            </w:r>
          </w:p>
        </w:tc>
        <w:tc>
          <w:tcPr>
            <w:tcW w:w="2791" w:type="dxa"/>
            <w:shd w:val="clear" w:color="auto" w:fill="D2EAF1"/>
          </w:tcPr>
          <w:p w:rsidR="009B2C2C" w:rsidRPr="00661E10" w:rsidRDefault="009B2C2C" w:rsidP="009349F1">
            <w:pPr>
              <w:numPr>
                <w:ilvl w:val="0"/>
                <w:numId w:val="11"/>
              </w:numPr>
              <w:autoSpaceDE w:val="0"/>
              <w:autoSpaceDN w:val="0"/>
              <w:adjustRightInd w:val="0"/>
              <w:ind w:left="232" w:hanging="180"/>
              <w:contextualSpacing/>
              <w:jc w:val="left"/>
              <w:rPr>
                <w:rFonts w:cs="Calibri"/>
                <w:sz w:val="20"/>
                <w:szCs w:val="20"/>
              </w:rPr>
            </w:pPr>
            <w:r w:rsidRPr="00661E10">
              <w:rPr>
                <w:rFonts w:cs="Calibri"/>
                <w:sz w:val="20"/>
                <w:szCs w:val="20"/>
              </w:rPr>
              <w:t>Program manager (</w:t>
            </w:r>
            <w:r>
              <w:rPr>
                <w:rFonts w:cs="Calibri"/>
                <w:sz w:val="20"/>
                <w:szCs w:val="20"/>
              </w:rPr>
              <w:t>n=1</w:t>
            </w:r>
            <w:r w:rsidRPr="00661E10">
              <w:rPr>
                <w:rFonts w:cs="Calibri"/>
                <w:sz w:val="20"/>
                <w:szCs w:val="20"/>
              </w:rPr>
              <w:t>)</w:t>
            </w:r>
          </w:p>
          <w:p w:rsidR="009B2C2C" w:rsidRPr="00661E10" w:rsidRDefault="009B2C2C" w:rsidP="009349F1">
            <w:pPr>
              <w:numPr>
                <w:ilvl w:val="0"/>
                <w:numId w:val="11"/>
              </w:numPr>
              <w:autoSpaceDE w:val="0"/>
              <w:autoSpaceDN w:val="0"/>
              <w:adjustRightInd w:val="0"/>
              <w:ind w:left="232" w:hanging="180"/>
              <w:contextualSpacing/>
              <w:jc w:val="left"/>
              <w:rPr>
                <w:rFonts w:cs="Calibri"/>
                <w:sz w:val="20"/>
                <w:szCs w:val="20"/>
              </w:rPr>
            </w:pPr>
            <w:r w:rsidRPr="00661E10">
              <w:rPr>
                <w:sz w:val="20"/>
                <w:szCs w:val="20"/>
              </w:rPr>
              <w:t>Participants (</w:t>
            </w:r>
            <w:r>
              <w:rPr>
                <w:sz w:val="20"/>
                <w:szCs w:val="20"/>
              </w:rPr>
              <w:t>n</w:t>
            </w:r>
            <w:r w:rsidRPr="00661E10">
              <w:rPr>
                <w:sz w:val="20"/>
                <w:szCs w:val="20"/>
              </w:rPr>
              <w:t xml:space="preserve">=27, 14 </w:t>
            </w:r>
            <w:r>
              <w:rPr>
                <w:sz w:val="20"/>
                <w:szCs w:val="20"/>
              </w:rPr>
              <w:t>market rate</w:t>
            </w:r>
            <w:r w:rsidRPr="00661E10">
              <w:rPr>
                <w:sz w:val="20"/>
                <w:szCs w:val="20"/>
              </w:rPr>
              <w:t xml:space="preserve"> and 13 </w:t>
            </w:r>
            <w:r>
              <w:rPr>
                <w:sz w:val="20"/>
                <w:szCs w:val="20"/>
              </w:rPr>
              <w:t>low-income</w:t>
            </w:r>
            <w:r w:rsidRPr="00661E10">
              <w:rPr>
                <w:sz w:val="20"/>
                <w:szCs w:val="20"/>
              </w:rPr>
              <w:t>)</w:t>
            </w:r>
          </w:p>
        </w:tc>
      </w:tr>
      <w:tr w:rsidR="009B2C2C" w:rsidRPr="00661E10" w:rsidTr="002A1AE0">
        <w:trPr>
          <w:trHeight w:val="141"/>
          <w:jc w:val="center"/>
        </w:trPr>
        <w:tc>
          <w:tcPr>
            <w:tcW w:w="1520" w:type="dxa"/>
          </w:tcPr>
          <w:p w:rsidR="009B2C2C" w:rsidRDefault="009B2C2C" w:rsidP="00D900B5">
            <w:pPr>
              <w:pStyle w:val="Default"/>
              <w:rPr>
                <w:sz w:val="20"/>
                <w:szCs w:val="20"/>
              </w:rPr>
            </w:pPr>
            <w:r>
              <w:rPr>
                <w:sz w:val="20"/>
                <w:szCs w:val="20"/>
              </w:rPr>
              <w:t xml:space="preserve">Whole House Energy Audit Program </w:t>
            </w:r>
          </w:p>
          <w:p w:rsidR="009B2C2C" w:rsidRPr="00661E10" w:rsidRDefault="009B2C2C" w:rsidP="00D900B5">
            <w:pPr>
              <w:jc w:val="left"/>
              <w:rPr>
                <w:sz w:val="20"/>
              </w:rPr>
            </w:pPr>
            <w:r>
              <w:rPr>
                <w:sz w:val="20"/>
              </w:rPr>
              <w:t>(</w:t>
            </w:r>
            <w:r w:rsidRPr="00661E10">
              <w:rPr>
                <w:sz w:val="20"/>
              </w:rPr>
              <w:t>WHEAP</w:t>
            </w:r>
            <w:r>
              <w:rPr>
                <w:sz w:val="20"/>
              </w:rPr>
              <w:t>)</w:t>
            </w:r>
          </w:p>
        </w:tc>
        <w:tc>
          <w:tcPr>
            <w:tcW w:w="5060" w:type="dxa"/>
          </w:tcPr>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Participants heard about the program from multiple sources.</w:t>
            </w:r>
          </w:p>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Interactions with people knowledgeable about the program were more influential than items like bill inserts and ads.</w:t>
            </w:r>
          </w:p>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Program satisfaction was generally high, and almost all respondents reported they would recommend the program to others.</w:t>
            </w:r>
          </w:p>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Of those not satisfied with the program, two did not like the small size of the refrigerator, two did not see reductions in their bills, and one did not like the service received from the auditor.</w:t>
            </w:r>
          </w:p>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Two respondents installed efficient equipment without an incentive because of their participation in the program.</w:t>
            </w:r>
          </w:p>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Most participants could not recall their audit recommendations.</w:t>
            </w:r>
          </w:p>
        </w:tc>
        <w:tc>
          <w:tcPr>
            <w:tcW w:w="2791" w:type="dxa"/>
          </w:tcPr>
          <w:p w:rsidR="009B2C2C" w:rsidRPr="00661E10" w:rsidRDefault="009B2C2C" w:rsidP="009349F1">
            <w:pPr>
              <w:numPr>
                <w:ilvl w:val="0"/>
                <w:numId w:val="11"/>
              </w:numPr>
              <w:autoSpaceDE w:val="0"/>
              <w:autoSpaceDN w:val="0"/>
              <w:adjustRightInd w:val="0"/>
              <w:ind w:left="232" w:hanging="180"/>
              <w:contextualSpacing/>
              <w:jc w:val="left"/>
              <w:rPr>
                <w:rFonts w:cs="Calibri"/>
                <w:sz w:val="20"/>
                <w:szCs w:val="20"/>
              </w:rPr>
            </w:pPr>
            <w:r w:rsidRPr="00661E10">
              <w:rPr>
                <w:sz w:val="20"/>
                <w:szCs w:val="20"/>
              </w:rPr>
              <w:t>Participants (</w:t>
            </w:r>
            <w:r>
              <w:rPr>
                <w:sz w:val="20"/>
                <w:szCs w:val="20"/>
              </w:rPr>
              <w:t>n</w:t>
            </w:r>
            <w:r w:rsidRPr="00661E10">
              <w:rPr>
                <w:sz w:val="20"/>
                <w:szCs w:val="20"/>
              </w:rPr>
              <w:t xml:space="preserve">=22, 9 </w:t>
            </w:r>
            <w:r>
              <w:rPr>
                <w:sz w:val="20"/>
                <w:szCs w:val="20"/>
              </w:rPr>
              <w:t>market rate</w:t>
            </w:r>
            <w:r w:rsidRPr="00661E10">
              <w:rPr>
                <w:sz w:val="20"/>
                <w:szCs w:val="20"/>
              </w:rPr>
              <w:t xml:space="preserve"> and 13 </w:t>
            </w:r>
            <w:r>
              <w:rPr>
                <w:sz w:val="20"/>
                <w:szCs w:val="20"/>
              </w:rPr>
              <w:t>low-income</w:t>
            </w:r>
            <w:r w:rsidRPr="00661E10">
              <w:rPr>
                <w:sz w:val="20"/>
                <w:szCs w:val="20"/>
              </w:rPr>
              <w:t>)</w:t>
            </w:r>
          </w:p>
        </w:tc>
      </w:tr>
      <w:tr w:rsidR="00E7173E" w:rsidRPr="00661E10" w:rsidTr="002A1AE0">
        <w:trPr>
          <w:trHeight w:val="141"/>
          <w:jc w:val="center"/>
        </w:trPr>
        <w:tc>
          <w:tcPr>
            <w:tcW w:w="1520" w:type="dxa"/>
            <w:shd w:val="clear" w:color="auto" w:fill="D2E7F0"/>
          </w:tcPr>
          <w:p w:rsidR="009B2C2C" w:rsidRPr="00661E10" w:rsidRDefault="009B2C2C" w:rsidP="00D900B5">
            <w:pPr>
              <w:jc w:val="left"/>
              <w:rPr>
                <w:sz w:val="20"/>
              </w:rPr>
            </w:pPr>
            <w:r>
              <w:rPr>
                <w:sz w:val="20"/>
              </w:rPr>
              <w:t>Residential Home Energy Report Program (HER)</w:t>
            </w:r>
          </w:p>
        </w:tc>
        <w:tc>
          <w:tcPr>
            <w:tcW w:w="5060" w:type="dxa"/>
            <w:shd w:val="clear" w:color="auto" w:fill="D2E7F0"/>
          </w:tcPr>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More than one-quarter of HER recipients could not recall receiving HERs.</w:t>
            </w:r>
          </w:p>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More than one-third of HER recipients reported that the purpose of the HER was to compare their energy use to others, and slightly more than one-quarter reported that it was to persuade them to use less energy.</w:t>
            </w:r>
          </w:p>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The large majority of respondents reported satisfaction with the HERs and described the reports as accurate.</w:t>
            </w:r>
          </w:p>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HER recipients most commonly reported valuing the comparison of energy use to prior years and the energy savings tips.</w:t>
            </w:r>
          </w:p>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HER recipients and those who opted out of receiving HERs reported making energy efficiency upgrades in the last 12 months.</w:t>
            </w:r>
          </w:p>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 xml:space="preserve">Opt-out customers chose to opt out because they did not find the information valuable, felt shamed by the reports, </w:t>
            </w:r>
            <w:r w:rsidR="00A04A88">
              <w:rPr>
                <w:sz w:val="20"/>
              </w:rPr>
              <w:t>or</w:t>
            </w:r>
            <w:r w:rsidRPr="00661E10">
              <w:rPr>
                <w:sz w:val="20"/>
              </w:rPr>
              <w:t xml:space="preserve"> did not have time to read the reports.</w:t>
            </w:r>
          </w:p>
        </w:tc>
        <w:tc>
          <w:tcPr>
            <w:tcW w:w="2791" w:type="dxa"/>
            <w:shd w:val="clear" w:color="auto" w:fill="D2E7F0"/>
          </w:tcPr>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szCs w:val="20"/>
              </w:rPr>
              <w:t>Participants (</w:t>
            </w:r>
            <w:r>
              <w:rPr>
                <w:sz w:val="20"/>
                <w:szCs w:val="20"/>
              </w:rPr>
              <w:t>n</w:t>
            </w:r>
            <w:r w:rsidRPr="00661E10">
              <w:rPr>
                <w:sz w:val="20"/>
                <w:szCs w:val="20"/>
              </w:rPr>
              <w:t xml:space="preserve">=134, 59 </w:t>
            </w:r>
            <w:r>
              <w:rPr>
                <w:sz w:val="20"/>
                <w:szCs w:val="20"/>
              </w:rPr>
              <w:t>market rate</w:t>
            </w:r>
            <w:r w:rsidRPr="00661E10">
              <w:rPr>
                <w:sz w:val="20"/>
                <w:szCs w:val="20"/>
              </w:rPr>
              <w:t xml:space="preserve"> and 75 </w:t>
            </w:r>
            <w:r>
              <w:rPr>
                <w:sz w:val="20"/>
                <w:szCs w:val="20"/>
              </w:rPr>
              <w:t>low-income</w:t>
            </w:r>
            <w:r w:rsidRPr="00661E10">
              <w:rPr>
                <w:sz w:val="20"/>
                <w:szCs w:val="20"/>
              </w:rPr>
              <w:t>)</w:t>
            </w:r>
          </w:p>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szCs w:val="20"/>
              </w:rPr>
              <w:t>Customers who opted out of receiving HERs (</w:t>
            </w:r>
            <w:r>
              <w:rPr>
                <w:sz w:val="20"/>
                <w:szCs w:val="20"/>
              </w:rPr>
              <w:t>n</w:t>
            </w:r>
            <w:r w:rsidRPr="00661E10">
              <w:rPr>
                <w:sz w:val="20"/>
                <w:szCs w:val="20"/>
              </w:rPr>
              <w:t xml:space="preserve">=30) </w:t>
            </w:r>
          </w:p>
        </w:tc>
      </w:tr>
      <w:tr w:rsidR="00E7173E" w:rsidRPr="00661E10" w:rsidTr="002A1AE0">
        <w:trPr>
          <w:trHeight w:val="141"/>
          <w:jc w:val="center"/>
        </w:trPr>
        <w:tc>
          <w:tcPr>
            <w:tcW w:w="9371" w:type="dxa"/>
            <w:gridSpan w:val="3"/>
            <w:shd w:val="clear" w:color="auto" w:fill="9C9393"/>
            <w:hideMark/>
          </w:tcPr>
          <w:p w:rsidR="009B2C2C" w:rsidRPr="00661E10" w:rsidRDefault="009B2C2C" w:rsidP="00D900B5">
            <w:pPr>
              <w:ind w:left="139" w:hanging="180"/>
              <w:jc w:val="left"/>
              <w:rPr>
                <w:b/>
                <w:i/>
                <w:sz w:val="20"/>
              </w:rPr>
            </w:pPr>
            <w:r w:rsidRPr="00661E10">
              <w:rPr>
                <w:b/>
                <w:color w:val="FFFFFF"/>
                <w:sz w:val="20"/>
              </w:rPr>
              <w:t xml:space="preserve">Low-Income </w:t>
            </w:r>
            <w:r w:rsidRPr="00661E10">
              <w:rPr>
                <w:b/>
                <w:color w:val="FFFFFF"/>
                <w:sz w:val="20"/>
                <w:szCs w:val="20"/>
              </w:rPr>
              <w:t>Sector</w:t>
            </w:r>
          </w:p>
        </w:tc>
      </w:tr>
      <w:tr w:rsidR="00E7173E" w:rsidRPr="00661E10" w:rsidTr="002A1AE0">
        <w:trPr>
          <w:trHeight w:val="141"/>
          <w:jc w:val="center"/>
        </w:trPr>
        <w:tc>
          <w:tcPr>
            <w:tcW w:w="1520" w:type="dxa"/>
            <w:shd w:val="clear" w:color="auto" w:fill="D2EAF1"/>
            <w:vAlign w:val="center"/>
          </w:tcPr>
          <w:p w:rsidR="009B2C2C" w:rsidRPr="00661E10" w:rsidRDefault="009B2C2C" w:rsidP="00D900B5">
            <w:pPr>
              <w:jc w:val="left"/>
              <w:rPr>
                <w:color w:val="000000"/>
                <w:sz w:val="20"/>
              </w:rPr>
            </w:pPr>
            <w:r w:rsidRPr="00957012">
              <w:rPr>
                <w:color w:val="000000"/>
                <w:sz w:val="20"/>
              </w:rPr>
              <w:t xml:space="preserve">Low-Income Energy Efficiency Program </w:t>
            </w:r>
            <w:r>
              <w:rPr>
                <w:color w:val="000000"/>
                <w:sz w:val="20"/>
              </w:rPr>
              <w:t>(</w:t>
            </w:r>
            <w:r w:rsidRPr="00661E10">
              <w:rPr>
                <w:color w:val="000000"/>
                <w:sz w:val="20"/>
              </w:rPr>
              <w:t>LIEEP</w:t>
            </w:r>
            <w:r>
              <w:rPr>
                <w:color w:val="000000"/>
                <w:sz w:val="20"/>
              </w:rPr>
              <w:t>)</w:t>
            </w:r>
          </w:p>
        </w:tc>
        <w:tc>
          <w:tcPr>
            <w:tcW w:w="5060" w:type="dxa"/>
            <w:shd w:val="clear" w:color="auto" w:fill="D2EAF1"/>
          </w:tcPr>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Many low-income responses were combined with market-rate responses for each program. The exception was for REEP kits and RARP, where low-income responses were reported separately.</w:t>
            </w:r>
          </w:p>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t>Satisfaction was high, and most REEP kit participants would recommend the program to others.</w:t>
            </w:r>
          </w:p>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rPr>
              <w:lastRenderedPageBreak/>
              <w:t>About two-thirds of kit recipients provided recommendations to improve the program, including improving advertising and providing a better nightlight.</w:t>
            </w:r>
          </w:p>
        </w:tc>
        <w:tc>
          <w:tcPr>
            <w:tcW w:w="2791" w:type="dxa"/>
            <w:shd w:val="clear" w:color="auto" w:fill="D2EAF1"/>
          </w:tcPr>
          <w:p w:rsidR="009B2C2C" w:rsidRPr="00661E10" w:rsidRDefault="009B2C2C" w:rsidP="009349F1">
            <w:pPr>
              <w:numPr>
                <w:ilvl w:val="0"/>
                <w:numId w:val="11"/>
              </w:numPr>
              <w:autoSpaceDE w:val="0"/>
              <w:autoSpaceDN w:val="0"/>
              <w:adjustRightInd w:val="0"/>
              <w:ind w:left="232" w:hanging="180"/>
              <w:contextualSpacing/>
              <w:jc w:val="left"/>
              <w:rPr>
                <w:sz w:val="20"/>
                <w:szCs w:val="20"/>
              </w:rPr>
            </w:pPr>
            <w:r w:rsidRPr="00661E10">
              <w:rPr>
                <w:sz w:val="20"/>
                <w:szCs w:val="20"/>
              </w:rPr>
              <w:lastRenderedPageBreak/>
              <w:t>Participants (</w:t>
            </w:r>
            <w:r>
              <w:rPr>
                <w:sz w:val="20"/>
                <w:szCs w:val="20"/>
              </w:rPr>
              <w:t>n</w:t>
            </w:r>
            <w:r w:rsidRPr="00661E10">
              <w:rPr>
                <w:sz w:val="20"/>
                <w:szCs w:val="20"/>
              </w:rPr>
              <w:t>=25 REEP kits, 40 RARP)</w:t>
            </w:r>
          </w:p>
        </w:tc>
      </w:tr>
      <w:tr w:rsidR="00E7173E" w:rsidRPr="00661E10" w:rsidTr="002A1AE0">
        <w:trPr>
          <w:trHeight w:val="141"/>
          <w:jc w:val="center"/>
        </w:trPr>
        <w:tc>
          <w:tcPr>
            <w:tcW w:w="9371" w:type="dxa"/>
            <w:gridSpan w:val="3"/>
            <w:shd w:val="clear" w:color="auto" w:fill="9C9393"/>
            <w:hideMark/>
          </w:tcPr>
          <w:p w:rsidR="009B2C2C" w:rsidRPr="00661E10" w:rsidRDefault="009B2C2C" w:rsidP="00D900B5">
            <w:pPr>
              <w:ind w:left="139" w:hanging="180"/>
              <w:jc w:val="left"/>
              <w:rPr>
                <w:b/>
                <w:i/>
                <w:sz w:val="20"/>
              </w:rPr>
            </w:pPr>
            <w:r w:rsidRPr="00661E10">
              <w:rPr>
                <w:b/>
                <w:color w:val="FFFFFF"/>
                <w:sz w:val="20"/>
              </w:rPr>
              <w:t xml:space="preserve">Non-Residential </w:t>
            </w:r>
            <w:r w:rsidRPr="00661E10">
              <w:rPr>
                <w:b/>
                <w:color w:val="FFFFFF"/>
                <w:sz w:val="20"/>
                <w:szCs w:val="20"/>
              </w:rPr>
              <w:t>Sector</w:t>
            </w:r>
          </w:p>
        </w:tc>
      </w:tr>
      <w:tr w:rsidR="009B2C2C" w:rsidRPr="00661E10" w:rsidTr="002A1AE0">
        <w:trPr>
          <w:trHeight w:val="141"/>
          <w:jc w:val="center"/>
        </w:trPr>
        <w:tc>
          <w:tcPr>
            <w:tcW w:w="1520" w:type="dxa"/>
          </w:tcPr>
          <w:p w:rsidR="009B2C2C" w:rsidRPr="00661E10" w:rsidRDefault="009B2C2C" w:rsidP="00D900B5">
            <w:pPr>
              <w:jc w:val="left"/>
              <w:rPr>
                <w:sz w:val="20"/>
              </w:rPr>
            </w:pPr>
            <w:r w:rsidRPr="00661E10">
              <w:rPr>
                <w:sz w:val="20"/>
              </w:rPr>
              <w:t>Commercial and Industrial</w:t>
            </w:r>
            <w:r>
              <w:rPr>
                <w:sz w:val="20"/>
              </w:rPr>
              <w:t xml:space="preserve"> Programs</w:t>
            </w:r>
          </w:p>
        </w:tc>
        <w:tc>
          <w:tcPr>
            <w:tcW w:w="5060" w:type="dxa"/>
            <w:vAlign w:val="bottom"/>
          </w:tcPr>
          <w:p w:rsidR="009B2C2C" w:rsidRPr="00661E10" w:rsidRDefault="009B2C2C"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Participants largely reported satisfaction with the program. A small subset noted dissatisfaction with the length of time to receive rebate checks, and one noted dissatisfaction with communication with</w:t>
            </w:r>
            <w:r>
              <w:rPr>
                <w:rFonts w:cs="Calibri"/>
                <w:sz w:val="20"/>
                <w:szCs w:val="20"/>
              </w:rPr>
              <w:t xml:space="preserve"> the</w:t>
            </w:r>
            <w:r w:rsidRPr="00661E10">
              <w:rPr>
                <w:rFonts w:cs="Calibri"/>
                <w:sz w:val="20"/>
                <w:szCs w:val="20"/>
              </w:rPr>
              <w:t xml:space="preserve"> program staff.</w:t>
            </w:r>
          </w:p>
        </w:tc>
        <w:tc>
          <w:tcPr>
            <w:tcW w:w="2791" w:type="dxa"/>
          </w:tcPr>
          <w:p w:rsidR="009B2C2C" w:rsidRPr="00661E10" w:rsidRDefault="009B2C2C" w:rsidP="009349F1">
            <w:pPr>
              <w:numPr>
                <w:ilvl w:val="0"/>
                <w:numId w:val="11"/>
              </w:numPr>
              <w:autoSpaceDE w:val="0"/>
              <w:autoSpaceDN w:val="0"/>
              <w:adjustRightInd w:val="0"/>
              <w:ind w:left="232" w:hanging="180"/>
              <w:contextualSpacing/>
              <w:jc w:val="left"/>
              <w:rPr>
                <w:sz w:val="20"/>
              </w:rPr>
            </w:pPr>
            <w:r w:rsidRPr="00661E10">
              <w:rPr>
                <w:sz w:val="20"/>
                <w:szCs w:val="20"/>
              </w:rPr>
              <w:t>Participants (</w:t>
            </w:r>
            <w:r>
              <w:rPr>
                <w:sz w:val="20"/>
                <w:szCs w:val="20"/>
              </w:rPr>
              <w:t>n</w:t>
            </w:r>
            <w:r w:rsidRPr="00661E10">
              <w:rPr>
                <w:sz w:val="20"/>
                <w:szCs w:val="20"/>
              </w:rPr>
              <w:t>=36)</w:t>
            </w:r>
          </w:p>
        </w:tc>
      </w:tr>
    </w:tbl>
    <w:p w:rsidR="00A07AB2" w:rsidRDefault="00A07AB2" w:rsidP="00A32676"/>
    <w:p w:rsidR="00950837" w:rsidRDefault="00950837" w:rsidP="0043541C">
      <w:pPr>
        <w:pStyle w:val="AppendixAHeading2"/>
      </w:pPr>
      <w:r>
        <w:t>Statewide Evaluator Audit Activities and Findings</w:t>
      </w:r>
    </w:p>
    <w:p w:rsidR="00AC391E" w:rsidRDefault="00AC391E" w:rsidP="00AC391E">
      <w:r w:rsidRPr="00531E49">
        <w:t>This section presents the</w:t>
      </w:r>
      <w:r>
        <w:t xml:space="preserve"> activities of the</w:t>
      </w:r>
      <w:r w:rsidRPr="00531E49">
        <w:t xml:space="preserve"> SWE Team</w:t>
      </w:r>
      <w:r>
        <w:t>’s</w:t>
      </w:r>
      <w:r w:rsidRPr="00531E49">
        <w:t xml:space="preserve"> audit</w:t>
      </w:r>
      <w:r>
        <w:t>s</w:t>
      </w:r>
      <w:r w:rsidRPr="00531E49">
        <w:t xml:space="preserve"> </w:t>
      </w:r>
      <w:r>
        <w:t>of Duquesne’s portfolio of programs</w:t>
      </w:r>
      <w:r w:rsidRPr="00531E49">
        <w:t xml:space="preserve">. </w:t>
      </w:r>
      <w:r>
        <w:t>It provides</w:t>
      </w:r>
      <w:r w:rsidRPr="00531E49">
        <w:t xml:space="preserve"> summary</w:t>
      </w:r>
      <w:r>
        <w:t xml:space="preserve"> information and </w:t>
      </w:r>
      <w:r w:rsidRPr="00531E49">
        <w:t>key findings from the SWE Team’s residential, low-income, non-residential, and NTG and process evaluation audit activities.</w:t>
      </w:r>
    </w:p>
    <w:p w:rsidR="00AC391E" w:rsidRPr="00AC391E" w:rsidRDefault="00AC391E" w:rsidP="00AC391E"/>
    <w:p w:rsidR="00950837" w:rsidRPr="00E37A0C" w:rsidRDefault="00950837" w:rsidP="00E37A0C">
      <w:pPr>
        <w:pStyle w:val="AppendixAHeading3"/>
      </w:pPr>
      <w:r w:rsidRPr="00E37A0C">
        <w:t>Residential Program Audit Summary</w:t>
      </w:r>
    </w:p>
    <w:p w:rsidR="00AC391E" w:rsidRDefault="00AC391E" w:rsidP="00AC391E">
      <w:pPr>
        <w:rPr>
          <w:color w:val="FF0000"/>
        </w:rPr>
      </w:pPr>
      <w:r w:rsidRPr="0026419C">
        <w:t xml:space="preserve">Overall, the </w:t>
      </w:r>
      <w:r w:rsidRPr="000554E6">
        <w:t>SWE</w:t>
      </w:r>
      <w:r w:rsidRPr="0026419C">
        <w:t xml:space="preserve"> Team </w:t>
      </w:r>
      <w:r>
        <w:t>identified</w:t>
      </w:r>
      <w:r w:rsidRPr="0026419C">
        <w:t xml:space="preserve"> </w:t>
      </w:r>
      <w:r>
        <w:t>only minor issues and</w:t>
      </w:r>
      <w:r w:rsidRPr="0026419C">
        <w:t xml:space="preserve"> concerns related to the installation rates, verification process, </w:t>
      </w:r>
      <w:r>
        <w:t>and</w:t>
      </w:r>
      <w:r w:rsidRPr="0026419C">
        <w:t xml:space="preserve"> application of TRM-based savings for Duquesne’s residential programs. </w:t>
      </w:r>
      <w:r>
        <w:t xml:space="preserve">As an example, each of the residential program sections appears to contain an error in reporting Phase II versus PY7 results. </w:t>
      </w:r>
      <w:r w:rsidRPr="00F1194F">
        <w:t xml:space="preserve">The first table </w:t>
      </w:r>
      <w:r>
        <w:t xml:space="preserve">in each residential program </w:t>
      </w:r>
      <w:r w:rsidRPr="00F1194F">
        <w:t>section</w:t>
      </w:r>
      <w:r>
        <w:t xml:space="preserve"> is</w:t>
      </w:r>
      <w:r w:rsidRPr="00F1194F">
        <w:t xml:space="preserve"> titled “Phase II [Program Name] Reported Results by Customer Sector</w:t>
      </w:r>
      <w:r>
        <w:t>,</w:t>
      </w:r>
      <w:r w:rsidRPr="00F1194F">
        <w:t>” yet the text above each table states “shows [Program Name] participation and savings for PY7.” Since the table is reflecting Phase II results, it is likely that the “PY7” text needs to be updated to “Phase II</w:t>
      </w:r>
      <w:r>
        <w:t>.</w:t>
      </w:r>
      <w:r w:rsidRPr="00F1194F">
        <w:t>”</w:t>
      </w:r>
      <w:r w:rsidRPr="006E3D64">
        <w:rPr>
          <w:color w:val="FF0000"/>
        </w:rPr>
        <w:t xml:space="preserve"> </w:t>
      </w:r>
    </w:p>
    <w:p w:rsidR="00AC391E" w:rsidRDefault="00AC391E" w:rsidP="00AC391E">
      <w:pPr>
        <w:rPr>
          <w:color w:val="FF0000"/>
        </w:rPr>
      </w:pPr>
    </w:p>
    <w:p w:rsidR="00AC391E" w:rsidRPr="0026019F" w:rsidRDefault="00AC391E" w:rsidP="00AC391E">
      <w:r>
        <w:t>As was the case for previous Phase II SWE audits, t</w:t>
      </w:r>
      <w:r w:rsidRPr="00B10C6F">
        <w:t xml:space="preserve">he </w:t>
      </w:r>
      <w:r>
        <w:t>PY7 audit process was aided by the comprehensive and well-documented</w:t>
      </w:r>
      <w:r w:rsidRPr="00B10C6F">
        <w:t xml:space="preserve"> worksheets provided by Duquesne’s evaluation contractor, Navigant</w:t>
      </w:r>
      <w:r>
        <w:t>.</w:t>
      </w:r>
      <w:r w:rsidRPr="00B10C6F">
        <w:t xml:space="preserve"> </w:t>
      </w:r>
      <w:r>
        <w:t>The evaluation worksheets and documentation</w:t>
      </w:r>
      <w:r w:rsidRPr="00B10C6F">
        <w:t xml:space="preserve"> were extremely helpful and easy to follow, and were mostly consistent with the SWE Team’s audit procedures. This allowed the SWE Team to </w:t>
      </w:r>
      <w:r>
        <w:t xml:space="preserve">focus on performing a </w:t>
      </w:r>
      <w:r w:rsidRPr="00B10C6F">
        <w:t>detailed review and audit of the PY7 residential evaluation</w:t>
      </w:r>
      <w:r>
        <w:t xml:space="preserve"> rather than spending time trying to interpret the data and analysis</w:t>
      </w:r>
      <w:r w:rsidRPr="00B10C6F">
        <w:t xml:space="preserve">. </w:t>
      </w:r>
    </w:p>
    <w:p w:rsidR="00AC391E" w:rsidRDefault="00AC391E" w:rsidP="00AC391E"/>
    <w:p w:rsidR="00AC391E" w:rsidRDefault="00AC391E" w:rsidP="00AC391E">
      <w:r w:rsidRPr="004763E3">
        <w:t xml:space="preserve">The SWE Team identified </w:t>
      </w:r>
      <w:r w:rsidR="003F7792">
        <w:t>one</w:t>
      </w:r>
      <w:r w:rsidRPr="004763E3">
        <w:t xml:space="preserve"> area that could be improved, and these recommendations were made in PY6 as well. The first </w:t>
      </w:r>
      <w:r>
        <w:t>is</w:t>
      </w:r>
      <w:r w:rsidRPr="004763E3">
        <w:t xml:space="preserve"> to include a discussion regarding installation and verification (impact</w:t>
      </w:r>
      <w:r>
        <w:t>-</w:t>
      </w:r>
      <w:r w:rsidRPr="004763E3">
        <w:t xml:space="preserve">related) findings to make it clear which measures or components of the programs require improvement. </w:t>
      </w:r>
      <w:r>
        <w:t xml:space="preserve">This was particularly the case for the REEP rebates program. </w:t>
      </w:r>
      <w:r w:rsidRPr="004763E3">
        <w:t>This level of detail was missing from the PY6 evaluation report and continues to be missing from the PY7 report</w:t>
      </w:r>
      <w:r>
        <w:t xml:space="preserve"> for some of the programs</w:t>
      </w:r>
      <w:r w:rsidRPr="004763E3">
        <w:t>.</w:t>
      </w:r>
      <w:r w:rsidRPr="00041B6D">
        <w:t xml:space="preserve"> </w:t>
      </w:r>
    </w:p>
    <w:p w:rsidR="00AC391E" w:rsidRDefault="00AC391E" w:rsidP="00AC391E"/>
    <w:p w:rsidR="0046287C" w:rsidRDefault="00AC391E" w:rsidP="00AC391E">
      <w:r w:rsidRPr="004763E3">
        <w:t xml:space="preserve">The results of the SWE Team’s audits of </w:t>
      </w:r>
      <w:r>
        <w:t>five</w:t>
      </w:r>
      <w:r w:rsidRPr="004763E3">
        <w:t xml:space="preserve"> residential </w:t>
      </w:r>
      <w:r>
        <w:t xml:space="preserve">Duquesne </w:t>
      </w:r>
      <w:r w:rsidRPr="004763E3">
        <w:t>programs</w:t>
      </w:r>
      <w:r>
        <w:t>—</w:t>
      </w:r>
      <w:r w:rsidRPr="004763E3">
        <w:t>REEP, SEP, RARP, WHEAP</w:t>
      </w:r>
      <w:r>
        <w:t>, and HER—</w:t>
      </w:r>
      <w:r w:rsidRPr="004763E3">
        <w:t>are discussed below.</w:t>
      </w:r>
    </w:p>
    <w:p w:rsidR="00D64F35" w:rsidRDefault="00D64F35" w:rsidP="00AC391E"/>
    <w:p w:rsidR="0046287C" w:rsidRPr="00E37A0C" w:rsidRDefault="00B11257" w:rsidP="00E37A0C">
      <w:pPr>
        <w:pStyle w:val="AppendixAHeading4"/>
      </w:pPr>
      <w:r w:rsidRPr="00E37A0C">
        <w:t>Residential Energy Efficiency Program – Rebate, Kits, and Upstream Lighting</w:t>
      </w:r>
    </w:p>
    <w:p w:rsidR="00B11257" w:rsidRDefault="00B11257" w:rsidP="00B11257">
      <w:pPr>
        <w:rPr>
          <w:highlight w:val="yellow"/>
        </w:rPr>
      </w:pPr>
      <w:r w:rsidRPr="007F4DD0">
        <w:t>For the rebate</w:t>
      </w:r>
      <w:r w:rsidRPr="00620A24">
        <w:t xml:space="preserve"> and kits components of </w:t>
      </w:r>
      <w:r>
        <w:t>REEP</w:t>
      </w:r>
      <w:r w:rsidRPr="00620A24">
        <w:t xml:space="preserve">, the SWE Team reviewed the evaluation </w:t>
      </w:r>
      <w:r>
        <w:t>contractor’s</w:t>
      </w:r>
      <w:r w:rsidRPr="00620A24">
        <w:t xml:space="preserve"> methods and findings and decided that since </w:t>
      </w:r>
      <w:r>
        <w:t>s</w:t>
      </w:r>
      <w:r w:rsidRPr="00620A24">
        <w:t>tep 1 of the annual audit, a desk review of a random sample of rebate applications, had not been performed</w:t>
      </w:r>
      <w:r>
        <w:t xml:space="preserve"> by the SWE Team</w:t>
      </w:r>
      <w:r w:rsidRPr="00620A24">
        <w:t xml:space="preserve"> for the past several years</w:t>
      </w:r>
      <w:r>
        <w:t>,</w:t>
      </w:r>
      <w:r w:rsidRPr="00620A24">
        <w:t xml:space="preserve"> it was warranted</w:t>
      </w:r>
      <w:r>
        <w:t xml:space="preserve"> for </w:t>
      </w:r>
      <w:r>
        <w:lastRenderedPageBreak/>
        <w:t>PY7.</w:t>
      </w:r>
      <w:r w:rsidRPr="00620A24">
        <w:rPr>
          <w:rStyle w:val="FootnoteReference"/>
        </w:rPr>
        <w:footnoteReference w:id="56"/>
      </w:r>
      <w:r w:rsidRPr="00620A24">
        <w:t xml:space="preserve"> The SWE Team reviewed the evaluation contractor’s analysis in the files “SWE DR Item </w:t>
      </w:r>
      <w:r>
        <w:t>1 and 7</w:t>
      </w:r>
      <w:r w:rsidRPr="00620A24">
        <w:t xml:space="preserve"> - DLC</w:t>
      </w:r>
      <w:r w:rsidRPr="00E42C60">
        <w:t xml:space="preserve"> </w:t>
      </w:r>
      <w:r>
        <w:t>PY7</w:t>
      </w:r>
      <w:r w:rsidRPr="00E42C60">
        <w:t xml:space="preserve"> </w:t>
      </w:r>
      <w:r w:rsidRPr="00620A24">
        <w:t xml:space="preserve">REEP </w:t>
      </w:r>
      <w:r w:rsidRPr="00E42C60">
        <w:t xml:space="preserve">Rebates_RR </w:t>
      </w:r>
      <w:r w:rsidRPr="00620A24">
        <w:t xml:space="preserve">FR SO.xlsx” and verified that the methodology </w:t>
      </w:r>
      <w:r>
        <w:t xml:space="preserve">for measure savings </w:t>
      </w:r>
      <w:r w:rsidRPr="00620A24">
        <w:t xml:space="preserve">and </w:t>
      </w:r>
      <w:r>
        <w:t xml:space="preserve">applicable TRM </w:t>
      </w:r>
      <w:r w:rsidRPr="00620A24">
        <w:t xml:space="preserve">values used were </w:t>
      </w:r>
      <w:r>
        <w:t>valid</w:t>
      </w:r>
      <w:r w:rsidRPr="00620A24">
        <w:t xml:space="preserve">. </w:t>
      </w:r>
      <w:r w:rsidRPr="0000332B">
        <w:t xml:space="preserve">The SWE Team also reviewed the data tracked in Duquesne’s PMRS database and tracking system to verify that Duquesne </w:t>
      </w:r>
      <w:r>
        <w:t>used</w:t>
      </w:r>
      <w:r w:rsidRPr="0000332B">
        <w:t xml:space="preserve"> the appropriate savings values and algorithms from the 2015 TRM. </w:t>
      </w:r>
      <w:r w:rsidRPr="00C05892">
        <w:t xml:space="preserve">During this review, the SWE Team </w:t>
      </w:r>
      <w:r>
        <w:t>did not</w:t>
      </w:r>
      <w:r w:rsidRPr="00C05892">
        <w:t xml:space="preserve"> identify any discrepancies between the PMRS tracking system and the 2015 TRM. </w:t>
      </w:r>
    </w:p>
    <w:p w:rsidR="00B11257" w:rsidRDefault="00B11257" w:rsidP="00B11257">
      <w:pPr>
        <w:rPr>
          <w:highlight w:val="yellow"/>
        </w:rPr>
      </w:pPr>
    </w:p>
    <w:p w:rsidR="00B11257" w:rsidRPr="0026019F" w:rsidRDefault="00B11257" w:rsidP="00B11257">
      <w:r>
        <w:t>The SWE Team identified one area of confusion in the REEP findings’ tables. Table 2-2: REEP Sampling Strategy for PY7 reports that the achieved sample size for REEP rebates was 84, which is not the sum of participants surveyed as reported in the raw survey data. There were 84 rebates submitted for 59 unique participants, so it is likely that this is a simple data-entry error. The value “84” should be corrected to “59.” Likewise, the Program Total for Achieved Sample Size also needs to be revised to account for this correction (updating the value to 74 from 99)</w:t>
      </w:r>
      <w:r w:rsidR="00527ECA">
        <w:t>.</w:t>
      </w:r>
      <w:r>
        <w:t xml:space="preserve"> These values likely need to be updated as well in Table 2-5: REEP Sampling Strategy for PY7 NTG Research. The PY6 annual report showed REEP sampling based on unique participants, not on overall number of measures installed for those participants.</w:t>
      </w:r>
    </w:p>
    <w:p w:rsidR="00B11257" w:rsidRPr="007557BA" w:rsidRDefault="00B11257" w:rsidP="00B11257">
      <w:pPr>
        <w:rPr>
          <w:highlight w:val="yellow"/>
        </w:rPr>
      </w:pPr>
    </w:p>
    <w:p w:rsidR="00B11257" w:rsidRPr="005246CB" w:rsidRDefault="00B11257" w:rsidP="00B11257">
      <w:r w:rsidRPr="00876034">
        <w:t xml:space="preserve">The SWE </w:t>
      </w:r>
      <w:r>
        <w:t>T</w:t>
      </w:r>
      <w:r w:rsidRPr="00876034">
        <w:t xml:space="preserve">eam verified the REEP kits savings calculations against the 2015 TRM. Navigant had correctly copied all of the applicable lighting and water savings measures and applied the appropriate assumptions from the TRM. There were no errors or recommended adjustments to the REEP kits based on the SWE </w:t>
      </w:r>
      <w:r>
        <w:t>T</w:t>
      </w:r>
      <w:r w:rsidRPr="00876034">
        <w:t xml:space="preserve">eam review. While the kits were verified as being 100% accurate, the SWE </w:t>
      </w:r>
      <w:r>
        <w:t>T</w:t>
      </w:r>
      <w:r w:rsidRPr="00876034">
        <w:t xml:space="preserve">eam did uncover a few data anomalies with the application review of REEP rebates. </w:t>
      </w:r>
      <w:r>
        <w:t xml:space="preserve">For the REEP application desk review, the SWE Team used the file </w:t>
      </w:r>
      <w:r w:rsidRPr="00620A24">
        <w:t>“SWE DR Item 1 - DLC PY7 REEP Application Review.xlsx”</w:t>
      </w:r>
      <w:r>
        <w:t xml:space="preserve"> and</w:t>
      </w:r>
      <w:r w:rsidRPr="00620A24">
        <w:t xml:space="preserve"> </w:t>
      </w:r>
      <w:r>
        <w:t>selected a random sample of 10 participants from the Navigant application review, and performed its own quality check on the applications. The measures reviewed included ductless mini-split heat pumps, central air conditioners, refrigerators and clothes washers, heat pump water heater, and an ENERGY STAR TV.</w:t>
      </w:r>
    </w:p>
    <w:p w:rsidR="00B11257" w:rsidRPr="00B707C8" w:rsidRDefault="00B11257" w:rsidP="00B11257">
      <w:pPr>
        <w:rPr>
          <w:highlight w:val="yellow"/>
        </w:rPr>
      </w:pPr>
    </w:p>
    <w:p w:rsidR="00B11257" w:rsidRDefault="00B11257" w:rsidP="00B11257">
      <w:r>
        <w:t>The SWE Team reviewed the applications and verified that the correct input assumptions were used for TRM-based savings. Navigant had identified and made adjustments to 51 of the 83 measures in its application review, resulting in a 104.8% energy realization rate. The SWE Team identified</w:t>
      </w:r>
      <w:r w:rsidRPr="00095186">
        <w:t xml:space="preserve"> </w:t>
      </w:r>
      <w:r>
        <w:t>only one measure with incorrect verified savings: a “</w:t>
      </w:r>
      <w:r w:rsidRPr="00353451">
        <w:t>Refrigerator Manual Defrost</w:t>
      </w:r>
      <w:r>
        <w:t>” with 28 kWh savings. Navigant had reassigned the savings as 38 kWh based on reclassification of the measure as “</w:t>
      </w:r>
      <w:r w:rsidRPr="009B44F6">
        <w:t>3I. Refrigerator-freezers—automatic defrost with top-mounted freezer with an automatic icemaker without through-the-door ice service.</w:t>
      </w:r>
      <w:r>
        <w:t>” The SWE Team reviewed the application and found that the evaluation’s refrigerator correction was n</w:t>
      </w:r>
      <w:r w:rsidRPr="0092754F">
        <w:t xml:space="preserve">ot </w:t>
      </w:r>
      <w:r>
        <w:t>properly assigned</w:t>
      </w:r>
      <w:r w:rsidRPr="0092754F">
        <w:t xml:space="preserve">, </w:t>
      </w:r>
      <w:r>
        <w:t>as this purchase was a</w:t>
      </w:r>
      <w:r w:rsidRPr="0092754F">
        <w:t xml:space="preserve"> side</w:t>
      </w:r>
      <w:r>
        <w:t>-</w:t>
      </w:r>
      <w:r w:rsidRPr="0092754F">
        <w:t>by</w:t>
      </w:r>
      <w:r>
        <w:t>-</w:t>
      </w:r>
      <w:r w:rsidRPr="0092754F">
        <w:t>side with in</w:t>
      </w:r>
      <w:r>
        <w:t>-</w:t>
      </w:r>
      <w:r w:rsidRPr="0092754F">
        <w:t xml:space="preserve">door ice, </w:t>
      </w:r>
      <w:r>
        <w:t xml:space="preserve">showing a 2015 </w:t>
      </w:r>
      <w:r w:rsidRPr="0092754F">
        <w:t xml:space="preserve">TRM savings </w:t>
      </w:r>
      <w:r>
        <w:t xml:space="preserve">of </w:t>
      </w:r>
      <w:r w:rsidRPr="0092754F">
        <w:t>58</w:t>
      </w:r>
      <w:r>
        <w:t xml:space="preserve"> </w:t>
      </w:r>
      <w:r w:rsidRPr="0092754F">
        <w:t>kWh</w:t>
      </w:r>
      <w:r>
        <w:t>. Incorporating this change into the realization rates (easily performed since Navigant had allowed dynamic realization rate estimation in its documentation) showed a 0.1% increase in the realization rate.</w:t>
      </w:r>
    </w:p>
    <w:p w:rsidR="00B11257" w:rsidRDefault="00B11257" w:rsidP="00B11257"/>
    <w:p w:rsidR="00B11257" w:rsidRPr="0071151F" w:rsidRDefault="00B11257" w:rsidP="00B11257">
      <w:r>
        <w:t>For the upstream lighting component of the program, the SWE Team reviewed the invoice data submitted by ECOVA to verify that the PMRS database and tracking system were reporting bulb counts correctly. The SWE Team found no discrepancy from the ECOVA invoices against the evaluation contractor analysis file “SWE DR Item 1 DLC PY7 Upstream Lighting Database from ECOVA.xlsx.” T</w:t>
      </w:r>
      <w:r w:rsidRPr="00CC4E35">
        <w:t>he SWE Team was able to review this step easily since the evaluation contractor’s analysis was included in the ECOVA invoice file and the batch and transaction identification made cross-referencing intuitive</w:t>
      </w:r>
      <w:r>
        <w:t xml:space="preserve">. The SWE Team found a small discrepancy in the savings values reported in the PY7 compliance report against ECOVA totals. The quantity of bulbs was 0.2% greater in the ECOVA invoices than in the PMRS database and tracking system. </w:t>
      </w:r>
      <w:r>
        <w:lastRenderedPageBreak/>
        <w:t>This bulb quantity drives savings calculations, resulting in values that are slightly lower than what is reported in ECOVA database files. The SWE Team understands that the ECOVA database and invoices do not report returned units as timely as Duquesne is able to in the PMRS database and tracking system, explaining why ECOVA quantities are slightly greater. Since the discrepancy is so minor, the SWE Team does not recommend further review.</w:t>
      </w:r>
    </w:p>
    <w:p w:rsidR="00B11257" w:rsidRPr="008A749F" w:rsidRDefault="00B11257" w:rsidP="00B11257">
      <w:pPr>
        <w:rPr>
          <w:highlight w:val="yellow"/>
        </w:rPr>
      </w:pPr>
    </w:p>
    <w:p w:rsidR="00B11257" w:rsidRDefault="00B11257" w:rsidP="00B11257">
      <w:r>
        <w:t>T</w:t>
      </w:r>
      <w:r w:rsidRPr="00CC4E35">
        <w:t xml:space="preserve">he SWE Team </w:t>
      </w:r>
      <w:r>
        <w:t xml:space="preserve">also </w:t>
      </w:r>
      <w:r w:rsidRPr="00CC4E35">
        <w:t xml:space="preserve">reviewed the </w:t>
      </w:r>
      <w:r>
        <w:t xml:space="preserve">upstream lighting </w:t>
      </w:r>
      <w:r w:rsidRPr="00CC4E35">
        <w:t>data tracked in Duquesne’s PMRS database and tracking system</w:t>
      </w:r>
      <w:r>
        <w:t>,</w:t>
      </w:r>
      <w:r w:rsidRPr="00CC4E35">
        <w:t xml:space="preserve"> to verify that Duquesne was using the appropriate savings values and algorithms from the 2015 TRM. Similar to </w:t>
      </w:r>
      <w:r>
        <w:t xml:space="preserve">in </w:t>
      </w:r>
      <w:r w:rsidRPr="00CC4E35">
        <w:t xml:space="preserve">the PY6 audit, the Duquesne evaluation contractor had performed a complete audit, including summarizing the total ex ante savings and bulb counts, and verifying the application of the TRM-based algorithms and baseline assumptions of all the bulbs (i.e., a census review). The file used by the SWE Team for this audit was titled “SWE DR Item 1 - DLC PY7 ECOVA TRM Comparison.xlsx.” </w:t>
      </w:r>
    </w:p>
    <w:p w:rsidR="00B11257" w:rsidRDefault="00B11257" w:rsidP="00B11257"/>
    <w:p w:rsidR="00B11257" w:rsidRPr="000E7061" w:rsidRDefault="00B11257" w:rsidP="00B11257">
      <w:r>
        <w:t>The SWE Team reviewed 10 of the largest bulb sales to assess whether they received the correct TRM inputs (including baseline wattage, in-service rates, hours of use, and interactive effects). It did not identify any issues within the evaluation worksheet, as Navigant had correctly applied appropriate baseline wattages and other inputs to all audit-sampled bulbs.</w:t>
      </w:r>
    </w:p>
    <w:p w:rsidR="00AC391E" w:rsidRPr="008A749F" w:rsidRDefault="00AC391E" w:rsidP="00AC391E">
      <w:pPr>
        <w:rPr>
          <w:highlight w:val="yellow"/>
        </w:rPr>
      </w:pPr>
    </w:p>
    <w:p w:rsidR="00C24F61" w:rsidRPr="00C24C4D" w:rsidRDefault="00C24F61" w:rsidP="00E37A0C">
      <w:pPr>
        <w:pStyle w:val="AppendixAHeading4"/>
      </w:pPr>
      <w:r w:rsidRPr="00C24C4D">
        <w:t>Residential: School Energy Pledge Program</w:t>
      </w:r>
    </w:p>
    <w:p w:rsidR="00C24F61" w:rsidRDefault="00C24F61" w:rsidP="00C24F61">
      <w:r w:rsidRPr="007557BA">
        <w:t xml:space="preserve">The SWE Team reviewed the evaluation contractor’s methods and findings and determined that </w:t>
      </w:r>
      <w:r>
        <w:t>s</w:t>
      </w:r>
      <w:r w:rsidRPr="007557BA">
        <w:t xml:space="preserve">tep 1 of the annual SWE audit, a desk review of a random sample of rebate applications, was not warranted due to the structure of </w:t>
      </w:r>
      <w:r>
        <w:t>SEP</w:t>
      </w:r>
      <w:r w:rsidRPr="007557BA">
        <w:t xml:space="preserve"> (only a pledge form is required for participation). Historical findings from PY2 through PY</w:t>
      </w:r>
      <w:r>
        <w:t>7</w:t>
      </w:r>
      <w:r w:rsidRPr="007557BA">
        <w:t xml:space="preserve"> did not reveal discrepancies between pledges and PMRS database participation records. In fact, there hasn’t been a single instance of an unverified pledge participant (though there have been instances of participants not installing portions of the kit) over the past several years. </w:t>
      </w:r>
      <w:r>
        <w:t>T</w:t>
      </w:r>
      <w:r w:rsidR="00843B44">
        <w:t>he</w:t>
      </w:r>
      <w:r>
        <w:t xml:space="preserve"> SWE Team verified that participation and savings values were reported consistently in Duquesne’s PMRS database and tracking system with values reported in the evaluation contractor’s report.</w:t>
      </w:r>
    </w:p>
    <w:p w:rsidR="00C24F61" w:rsidRDefault="00C24F61" w:rsidP="00C24F61"/>
    <w:p w:rsidR="00C24F61" w:rsidRDefault="00C24F61" w:rsidP="00C24F61">
      <w:r>
        <w:t>T</w:t>
      </w:r>
      <w:r w:rsidRPr="007557BA">
        <w:t>he SWE Team reviewed the data tracked in Duquesne’s PMRS database and tracking system to verify that Duquesne was using the appropriate savings values and algorithms from the 2015 TRM. There were no adjustments or changes made to the verified gross savings estimates reported by the evaluation contractor, nor were any issues or data anomalies found during the SWE audit process.</w:t>
      </w:r>
      <w:r>
        <w:t xml:space="preserve"> The SWE Team </w:t>
      </w:r>
      <w:r w:rsidR="00C83389">
        <w:t xml:space="preserve">also </w:t>
      </w:r>
      <w:r>
        <w:t xml:space="preserve">reviewed the calculations in the evaluation contractor’s analysis files (“SWE DR Item 1 and 7 – DLC PY7 SEP_RR FR SO.xlsx”) and found there were no adjustments or changes made to the realization rates for energy and demand. </w:t>
      </w:r>
    </w:p>
    <w:p w:rsidR="00C24F61" w:rsidRDefault="00C24F61" w:rsidP="00C24F61"/>
    <w:p w:rsidR="00C24F61" w:rsidRDefault="00C24F61" w:rsidP="00C24F61">
      <w:r>
        <w:t>The previous (PY6) recommendation provided by the SWE Team was to include “a brief discussion that helps identify specific measures or components of the program that are driving the verified realization rates,” and the SWE Team found that the PY7 evaluation report included specific details on which measures were not being installed for step 3 of the evaluation process (installation verification). The level of detail included in this year’s evaluation provided a clear explanation as to what was driving down realization rates, but still lacked any discussion for step 4, deemed savings verification, and if the overall realization rates were being driven by installation verificatio</w:t>
      </w:r>
      <w:r w:rsidRPr="009C7CEA">
        <w:t xml:space="preserve">n (step 3) or deemed savings verification (step 4). The SWE </w:t>
      </w:r>
      <w:r>
        <w:t>T</w:t>
      </w:r>
      <w:r w:rsidRPr="009C7CEA">
        <w:t xml:space="preserve">eam determined through </w:t>
      </w:r>
      <w:r>
        <w:t>its</w:t>
      </w:r>
      <w:r w:rsidRPr="009C7CEA">
        <w:t xml:space="preserve"> review of the SEP evaluation worksheet (SWE DR Item 1 and 7 - DLC PY7 SEP_RR FR SO.xlsx, “TRM and PMRS Lookups” worksheet) that the realization rates were indeed driven entirely by the installation verification.</w:t>
      </w:r>
    </w:p>
    <w:p w:rsidR="00C24F61" w:rsidRDefault="00C24F61" w:rsidP="00C24F61"/>
    <w:p w:rsidR="00C24F61" w:rsidRDefault="00C24F61" w:rsidP="00C24F61">
      <w:r>
        <w:lastRenderedPageBreak/>
        <w:t xml:space="preserve">Similar to in PY6, there was a significant drop in kit participation in PY7 </w:t>
      </w:r>
      <w:r w:rsidRPr="004C289E">
        <w:t>(from 289 to 125).</w:t>
      </w:r>
      <w:r>
        <w:t xml:space="preserve"> Program participation appears to have stabilized, and the SWE Team is supportive of Duquesne’s plans to evaluate any recommendations to SEP in Phase III of the program.</w:t>
      </w:r>
    </w:p>
    <w:p w:rsidR="00823FE0" w:rsidRDefault="00823FE0" w:rsidP="00C24F61"/>
    <w:p w:rsidR="00C24F61" w:rsidRPr="00C24C4D" w:rsidRDefault="00C24F61" w:rsidP="00E37A0C">
      <w:pPr>
        <w:pStyle w:val="AppendixAHeading4"/>
      </w:pPr>
      <w:r w:rsidRPr="00C24C4D">
        <w:t xml:space="preserve">Residential: </w:t>
      </w:r>
      <w:r>
        <w:t>Appliance Recycling</w:t>
      </w:r>
      <w:r w:rsidRPr="00C24C4D">
        <w:t xml:space="preserve"> Program</w:t>
      </w:r>
    </w:p>
    <w:p w:rsidR="00C24F61" w:rsidRDefault="00C24F61" w:rsidP="00C24F61">
      <w:r w:rsidRPr="0000761D">
        <w:t xml:space="preserve">The SWE Team reviewed the evaluation contractor’s methods and findings and determined that </w:t>
      </w:r>
      <w:r>
        <w:t>s</w:t>
      </w:r>
      <w:r w:rsidRPr="0000761D">
        <w:t xml:space="preserve">tep 1 of the annual SWE audit, a desk review of a random sample of JACO invoices, was not warranted due to the administration of a comparable desk review performed by the evaluation contractor, Navigant. The SWE Team reviewed the JACO-supplied database and cross-checked the freezer and refrigerator units against the PMRS database and verified the unit counts between these two data sources. </w:t>
      </w:r>
    </w:p>
    <w:p w:rsidR="00C24F61" w:rsidRDefault="00C24F61" w:rsidP="00C24F61"/>
    <w:p w:rsidR="00C24F61" w:rsidRDefault="00C24F61" w:rsidP="00C24F61">
      <w:r>
        <w:t>The evaluation contractor reported that the implementation contractor (JACO) ceased business operations during PY7 due to financial challenges, resulting in Duquesne having to end all RARP activities in Q3 of PY7. The SWE Team confirmed that there was zero participation for Q4, as reported in the PMRS database and tracking data</w:t>
      </w:r>
      <w:r w:rsidRPr="0058624C">
        <w:t xml:space="preserve">. </w:t>
      </w:r>
    </w:p>
    <w:p w:rsidR="00C24F61" w:rsidRDefault="00C24F61" w:rsidP="00C24F61"/>
    <w:p w:rsidR="00C24F61" w:rsidRPr="00B5532B" w:rsidRDefault="00C24F61" w:rsidP="00C24F61">
      <w:r w:rsidRPr="0000761D">
        <w:t>The SWE Team confirmed that Duquesne used the correct values for energy savings from the 2015 TRM in the calculation of net saving</w:t>
      </w:r>
      <w:r w:rsidRPr="00167B3F">
        <w:t xml:space="preserve">s. For the TRM review, the SWE </w:t>
      </w:r>
      <w:r>
        <w:t>T</w:t>
      </w:r>
      <w:r w:rsidRPr="00167B3F">
        <w:t xml:space="preserve">eam verified the PMRS claimed savings against the 2015 TRM, and cross-checked </w:t>
      </w:r>
      <w:r>
        <w:t xml:space="preserve">that </w:t>
      </w:r>
      <w:r w:rsidRPr="00167B3F">
        <w:t xml:space="preserve">the values used by Navigant were consistent with the 2015 TRM as well. </w:t>
      </w:r>
      <w:r>
        <w:t>T</w:t>
      </w:r>
      <w:r w:rsidRPr="00167B3F">
        <w:t xml:space="preserve">he review verified that the deemed savings matched </w:t>
      </w:r>
      <w:r>
        <w:t xml:space="preserve">the TRM, </w:t>
      </w:r>
      <w:r w:rsidRPr="00167B3F">
        <w:t xml:space="preserve">and if any additional EDC-collected inputs could have been leveraged for use in updating the TRM savings. The SWE </w:t>
      </w:r>
      <w:r>
        <w:t>T</w:t>
      </w:r>
      <w:r w:rsidRPr="00167B3F">
        <w:t xml:space="preserve">eam found that </w:t>
      </w:r>
      <w:r>
        <w:t xml:space="preserve">the </w:t>
      </w:r>
      <w:r w:rsidRPr="00167B3F">
        <w:t>part</w:t>
      </w:r>
      <w:r>
        <w:t>-</w:t>
      </w:r>
      <w:r w:rsidRPr="00167B3F">
        <w:t>use f</w:t>
      </w:r>
      <w:r>
        <w:t>actors calculated (94% for refrigerator, [n</w:t>
      </w:r>
      <w:r w:rsidRPr="00167B3F">
        <w:t>=122</w:t>
      </w:r>
      <w:r>
        <w:t>] a</w:t>
      </w:r>
      <w:r w:rsidRPr="00167B3F">
        <w:t>nd 100% for freezer</w:t>
      </w:r>
      <w:r>
        <w:t xml:space="preserve"> [n</w:t>
      </w:r>
      <w:r w:rsidRPr="00167B3F">
        <w:t>=24</w:t>
      </w:r>
      <w:r>
        <w:t>]</w:t>
      </w:r>
      <w:r w:rsidRPr="00167B3F">
        <w:t xml:space="preserve">) </w:t>
      </w:r>
      <w:r>
        <w:t xml:space="preserve">were estimated from the participant survey, </w:t>
      </w:r>
      <w:r w:rsidRPr="00167B3F">
        <w:t xml:space="preserve">but </w:t>
      </w:r>
      <w:r>
        <w:t xml:space="preserve">ultimately were </w:t>
      </w:r>
      <w:r w:rsidRPr="00167B3F">
        <w:t xml:space="preserve">not applied to savings. </w:t>
      </w:r>
      <w:r>
        <w:t>As noted on p</w:t>
      </w:r>
      <w:r w:rsidRPr="00167B3F">
        <w:t>age 144</w:t>
      </w:r>
      <w:r>
        <w:t xml:space="preserve"> of the 2015</w:t>
      </w:r>
      <w:r w:rsidRPr="00167B3F">
        <w:t xml:space="preserve"> TRM</w:t>
      </w:r>
      <w:r>
        <w:t>,</w:t>
      </w:r>
      <w:r w:rsidRPr="00167B3F">
        <w:t xml:space="preserve"> </w:t>
      </w:r>
      <w:r>
        <w:t>“</w:t>
      </w:r>
      <w:r w:rsidRPr="00167B3F">
        <w:t xml:space="preserve">EDCs may elect to calculate an EDC specific part-use factor for a specific program year. In the event an EDC desires to calculate an EDC specific part-use factor, EDCs should use the methodology described in section 4.3 of the DOE, Uniform Methods Project protocol </w:t>
      </w:r>
      <w:r>
        <w:t>‘</w:t>
      </w:r>
      <w:r w:rsidRPr="00167B3F">
        <w:t>Refrigerator Recycling Evaluation Protocol</w:t>
      </w:r>
      <w:r>
        <w:t>’</w:t>
      </w:r>
      <w:r w:rsidRPr="00167B3F">
        <w:t>, April 2013</w:t>
      </w:r>
      <w:r>
        <w:t xml:space="preserve">.” It was not clear </w:t>
      </w:r>
      <w:r w:rsidR="00C126BF">
        <w:t xml:space="preserve">from the report </w:t>
      </w:r>
      <w:r>
        <w:t>why the part-use factor was calculated yet not applied to the PY7 realization rate.</w:t>
      </w:r>
      <w:r w:rsidR="00C126BF">
        <w:t xml:space="preserve"> However, the evaluation contractor later clarified that the TRM value, based on a larger sample, was used instead, while the data on the Duquesne Light-specific part-use factor was collected to assist the SWE in its future updates of the TRM, as needed</w:t>
      </w:r>
      <w:r>
        <w:t>.</w:t>
      </w:r>
    </w:p>
    <w:p w:rsidR="00C24F61" w:rsidRDefault="00C24F61" w:rsidP="00C24F61"/>
    <w:p w:rsidR="00C24F61" w:rsidRDefault="00C24F61" w:rsidP="00C24F61">
      <w:r>
        <w:t xml:space="preserve">For realization rate estimation, the evaluation contractor analyzed telephone survey response verifications of appliances being recycled. The SWE Team reviewed the calculations for realization rates of energy and demand in the evaluation contractor’s analysis file (“SWE DR Item 1 and 7 – DLC PY7 RARP_RR FR SO.xlsx”) and found no adjustments or changes required. The evaluation contractor found one more recycled appliance than was reported in the PMRS data and tracking system (for market-rate participants), which resulted in a realization rate of over 100%. The data provided to the evaluation contractor by JACO showed that for this 1 participant of 109 surveyed, only one refrigerator was picked up by JACO. However, in the telephone survey verification, the participant reported that two refrigerators were picked up by JACO. </w:t>
      </w:r>
    </w:p>
    <w:p w:rsidR="00C24F61" w:rsidRDefault="00C24F61" w:rsidP="00C24F61">
      <w:pPr>
        <w:rPr>
          <w:color w:val="FF0000"/>
        </w:rPr>
      </w:pPr>
    </w:p>
    <w:p w:rsidR="005D6981" w:rsidRDefault="005D6981" w:rsidP="00C24F61">
      <w:pPr>
        <w:rPr>
          <w:color w:val="FF0000"/>
        </w:rPr>
      </w:pPr>
    </w:p>
    <w:p w:rsidR="005D6981" w:rsidRDefault="005D6981" w:rsidP="00C24F61">
      <w:pPr>
        <w:rPr>
          <w:color w:val="FF0000"/>
        </w:rPr>
      </w:pPr>
    </w:p>
    <w:p w:rsidR="00C24F61" w:rsidRDefault="00C24F61" w:rsidP="00E37A0C">
      <w:pPr>
        <w:pStyle w:val="AppendixAHeading4"/>
      </w:pPr>
      <w:r>
        <w:t>Residential:  Whole House Energy Audit Program</w:t>
      </w:r>
    </w:p>
    <w:p w:rsidR="00C24F61" w:rsidRDefault="00C24F61" w:rsidP="00C24F61">
      <w:r w:rsidRPr="002541C5">
        <w:t xml:space="preserve">The SWE Team reviewed the evaluation contractor’s methods and findings and determined that </w:t>
      </w:r>
      <w:r>
        <w:t>s</w:t>
      </w:r>
      <w:r w:rsidRPr="002541C5">
        <w:t xml:space="preserve">tep 1 of the annual SWE audit, a desk review of a random sample of audit invoices, was not warranted due to the administration of a comparable desk review performed by the evaluation contractor, </w:t>
      </w:r>
      <w:r w:rsidRPr="00EF08F7">
        <w:t xml:space="preserve">Navigant. The SWE </w:t>
      </w:r>
      <w:r w:rsidRPr="00EF08F7">
        <w:lastRenderedPageBreak/>
        <w:t>Team reviewed the evaluation contractor desk review file (</w:t>
      </w:r>
      <w:r>
        <w:t>“</w:t>
      </w:r>
      <w:r w:rsidRPr="00EF08F7">
        <w:t>SWE DR Item 1 and 7 - DLC PY7 WHEAP_RR FR SO.xlsx</w:t>
      </w:r>
      <w:r>
        <w:t>”</w:t>
      </w:r>
      <w:r w:rsidRPr="00EF08F7">
        <w:t>) and cross-checked the reported units against the PMRS database and verified the unit counts</w:t>
      </w:r>
      <w:r>
        <w:t xml:space="preserve"> and participant counts</w:t>
      </w:r>
      <w:r w:rsidRPr="00EF08F7">
        <w:t xml:space="preserve"> between these two data sources. </w:t>
      </w:r>
      <w:r w:rsidRPr="00300AB6">
        <w:t xml:space="preserve">Similar to </w:t>
      </w:r>
      <w:r>
        <w:t xml:space="preserve">in </w:t>
      </w:r>
      <w:r w:rsidRPr="00300AB6">
        <w:t xml:space="preserve">the SEP and REEP kits programs, </w:t>
      </w:r>
      <w:r>
        <w:t>WHEAP</w:t>
      </w:r>
      <w:r w:rsidRPr="00300AB6">
        <w:t xml:space="preserve"> relied on lighting (CFLs and </w:t>
      </w:r>
      <w:r>
        <w:t xml:space="preserve">LED </w:t>
      </w:r>
      <w:r w:rsidRPr="00300AB6">
        <w:t>nightlights), small domestic hot water (faucet aerators, low-flow showerheads, and pipe wrap), and plug load (smart strip) measures</w:t>
      </w:r>
      <w:r>
        <w:t xml:space="preserve"> to achieve energy savings</w:t>
      </w:r>
      <w:r w:rsidRPr="00300AB6">
        <w:t>. Ultimately, there were no adjustments or changes made to the verified gross savings estimates reported by the evaluation contractor</w:t>
      </w:r>
      <w:r>
        <w:t>,</w:t>
      </w:r>
      <w:r w:rsidRPr="00300AB6">
        <w:t xml:space="preserve"> except to account for installation rates or disconnects between verified measure quantities and tracking database reported quantities.</w:t>
      </w:r>
    </w:p>
    <w:p w:rsidR="00C24F61" w:rsidRDefault="00C24F61" w:rsidP="00C24F61">
      <w:pPr>
        <w:rPr>
          <w:highlight w:val="yellow"/>
        </w:rPr>
      </w:pPr>
    </w:p>
    <w:p w:rsidR="00C24F61" w:rsidRPr="008C4E24" w:rsidRDefault="00C24F61" w:rsidP="00C24F61">
      <w:r w:rsidRPr="008C4E24">
        <w:t>The evaluation contractor report</w:t>
      </w:r>
      <w:r>
        <w:t>ed</w:t>
      </w:r>
      <w:r w:rsidRPr="008C4E24">
        <w:t xml:space="preserve"> realization rates that differ</w:t>
      </w:r>
      <w:r>
        <w:t>ed</w:t>
      </w:r>
      <w:r w:rsidRPr="008C4E24">
        <w:t xml:space="preserve"> from the calculated values in the evaluation contractor desk review file. The evaluation contractor identified this discrepancy in the report, explaining that the discrepancy stems from the value for one respondent </w:t>
      </w:r>
      <w:r>
        <w:t>being</w:t>
      </w:r>
      <w:r w:rsidRPr="008C4E24">
        <w:t xml:space="preserve"> correct in the CSP, but not in the PMRS. The SWE Team was unable to confirm this finding, yet accepts the effort of the evaluation contractor to rectify the issue.</w:t>
      </w:r>
    </w:p>
    <w:p w:rsidR="00C24F61" w:rsidRPr="008A749F" w:rsidRDefault="00C24F61" w:rsidP="00C24F61">
      <w:pPr>
        <w:rPr>
          <w:highlight w:val="yellow"/>
        </w:rPr>
      </w:pPr>
    </w:p>
    <w:p w:rsidR="00C24F61" w:rsidRPr="00146C5B" w:rsidRDefault="00C24F61" w:rsidP="00C24F61">
      <w:r w:rsidRPr="00146C5B">
        <w:t>The SWE Team confirmed that Duquesne (and Navigant’s verification) used the correct values for energy savings of the direct-install measures from the 2015 TRM in the calculation of savings. Navigant noted, and the SWE Team agrees, that Duquesne is likely using a conservative savings estimate by not using the early replacement baseline conditions for lighting and defaulting to the TRM-based defaults when bulbs are directly installed by a contractor.</w:t>
      </w:r>
      <w:r w:rsidRPr="00146C5B">
        <w:rPr>
          <w:vertAlign w:val="superscript"/>
        </w:rPr>
        <w:footnoteReference w:id="57"/>
      </w:r>
      <w:r w:rsidRPr="00146C5B">
        <w:t xml:space="preserve"> As noted throughout the 2015 TRM, EDC data gathering is allowed for input savings parameters</w:t>
      </w:r>
      <w:r>
        <w:t>,</w:t>
      </w:r>
      <w:r w:rsidRPr="00146C5B">
        <w:t xml:space="preserve"> to more accurately depict the proper default savings for the WHEAP direct-install measures. Instead, the program relied on default values for faucet aerator (68.3 kWh</w:t>
      </w:r>
      <w:r>
        <w:t>,</w:t>
      </w:r>
      <w:r w:rsidRPr="00146C5B">
        <w:t xml:space="preserve"> unknown room type) and assumed a consistent </w:t>
      </w:r>
      <w:r>
        <w:t>4</w:t>
      </w:r>
      <w:r w:rsidRPr="00146C5B">
        <w:t xml:space="preserve"> feet of pipe wrap (40 kWh at 10 kWh per foot) for each pipe wrap installation.</w:t>
      </w:r>
      <w:r w:rsidRPr="00146C5B" w:rsidDel="00F1775F">
        <w:t xml:space="preserve"> </w:t>
      </w:r>
    </w:p>
    <w:p w:rsidR="00C24F61" w:rsidRDefault="00C24F61" w:rsidP="00C24F61">
      <w:pPr>
        <w:rPr>
          <w:highlight w:val="yellow"/>
        </w:rPr>
      </w:pPr>
    </w:p>
    <w:p w:rsidR="00C24F61" w:rsidRPr="009817A2" w:rsidRDefault="00C24F61" w:rsidP="00C24F61">
      <w:pPr>
        <w:rPr>
          <w:color w:val="FF0000"/>
        </w:rPr>
      </w:pPr>
      <w:r>
        <w:t xml:space="preserve">Consistent with </w:t>
      </w:r>
      <w:r w:rsidRPr="00146C5B">
        <w:t>other program evaluations discussed above, the WHEAP section of the annual report did not include a summary re</w:t>
      </w:r>
      <w:r>
        <w:t>view</w:t>
      </w:r>
      <w:r w:rsidRPr="00146C5B">
        <w:t>ing the realization rate and overall findings. Again, the SWE</w:t>
      </w:r>
      <w:r>
        <w:t xml:space="preserve"> T</w:t>
      </w:r>
      <w:r w:rsidRPr="00146C5B">
        <w:t>eam determine</w:t>
      </w:r>
      <w:r>
        <w:t>d</w:t>
      </w:r>
      <w:r w:rsidRPr="00146C5B">
        <w:t xml:space="preserve">, based on a review of the "TRM and PMRS Lookups" worksheet in the </w:t>
      </w:r>
      <w:r>
        <w:t>“</w:t>
      </w:r>
      <w:r w:rsidRPr="00146C5B">
        <w:t>SWE DR Item 1 and 7 - DLC PY7 SEP_RR FR SO.xlsx</w:t>
      </w:r>
      <w:r>
        <w:t>”</w:t>
      </w:r>
      <w:r w:rsidRPr="00146C5B">
        <w:t xml:space="preserve"> file, that the overall realization rate was based on participant installation verification only and did not include any adjustments to account for step 4, deemed savings verification.</w:t>
      </w:r>
      <w:r>
        <w:t xml:space="preserve"> Additionally, although a minor discrepancy, the description for “</w:t>
      </w:r>
      <w:r w:rsidRPr="00EB2AC9">
        <w:t>Step 3 – Participation and Installation Verification</w:t>
      </w:r>
      <w:r>
        <w:t>,”</w:t>
      </w:r>
      <w:r w:rsidRPr="00EB2AC9">
        <w:t xml:space="preserve"> included a note regarding two strata: “Telephone surveys were identical between the two strata</w:t>
      </w:r>
      <w:r>
        <w:t>.</w:t>
      </w:r>
      <w:r w:rsidRPr="00EB2AC9">
        <w:t>” Since there was only a single stratum for PY7, this text is likely a holdover from the PY6 report and should be updated to reflect the PY7 sample stratification.</w:t>
      </w:r>
      <w:r>
        <w:t xml:space="preserve"> Fina</w:t>
      </w:r>
      <w:r w:rsidRPr="00215CD4">
        <w:t xml:space="preserve">lly, the </w:t>
      </w:r>
      <w:r>
        <w:t xml:space="preserve">evaluation contractor’s </w:t>
      </w:r>
      <w:r w:rsidRPr="00215CD4">
        <w:t xml:space="preserve">WHEAP excel file, in the </w:t>
      </w:r>
      <w:r>
        <w:t>“</w:t>
      </w:r>
      <w:r w:rsidRPr="00215CD4">
        <w:t>TRM and PMRS Lookups” worksheet, did not include the savings assumptions for additional WHEAP measures (</w:t>
      </w:r>
      <w:r>
        <w:t>which</w:t>
      </w:r>
      <w:r w:rsidRPr="00215CD4">
        <w:t xml:space="preserve"> were outside the kits assumptions </w:t>
      </w:r>
      <w:r>
        <w:t>that</w:t>
      </w:r>
      <w:r w:rsidRPr="00215CD4">
        <w:t xml:space="preserve"> were listed). These include the 9</w:t>
      </w:r>
      <w:r>
        <w:t>W</w:t>
      </w:r>
      <w:r w:rsidRPr="00215CD4">
        <w:t xml:space="preserve"> and 14</w:t>
      </w:r>
      <w:r>
        <w:t>W</w:t>
      </w:r>
      <w:r w:rsidRPr="00215CD4">
        <w:t xml:space="preserve"> candle bulb, the 16W R30 bulb, and the whole home water heater pipe wrap.</w:t>
      </w:r>
      <w:r>
        <w:t xml:space="preserve"> The SWE Team was able to verify the reported per unit savings for these measures, but it would have been ideal for Navigant to have included its replication of the correct TRM savings for these measures as well.</w:t>
      </w:r>
    </w:p>
    <w:p w:rsidR="00C24F61" w:rsidRDefault="00C24F61" w:rsidP="00E37A0C">
      <w:pPr>
        <w:pStyle w:val="AppendixAHeading4"/>
      </w:pPr>
      <w:r>
        <w:t>Residential: Home Energy Reports Program</w:t>
      </w:r>
    </w:p>
    <w:p w:rsidR="00C24F61" w:rsidRPr="00556B03" w:rsidRDefault="00C24F61" w:rsidP="00A07AB2">
      <w:pPr>
        <w:spacing w:after="120"/>
      </w:pPr>
      <w:r w:rsidRPr="00556B03">
        <w:t xml:space="preserve">The SWE Team reviewed the approach Navigant used to develop the HER verified savings. As noted in </w:t>
      </w:r>
      <w:r w:rsidRPr="00666A96">
        <w:t xml:space="preserve">Section </w:t>
      </w:r>
      <w:r w:rsidR="00632217">
        <w:fldChar w:fldCharType="begin"/>
      </w:r>
      <w:r w:rsidR="00632217">
        <w:instrText xml:space="preserve"> REF _Ref472937128 \r \h </w:instrText>
      </w:r>
      <w:r w:rsidR="00632217">
        <w:fldChar w:fldCharType="separate"/>
      </w:r>
      <w:r w:rsidR="00C301D0">
        <w:t>A.1.3.1</w:t>
      </w:r>
      <w:r w:rsidR="00632217">
        <w:fldChar w:fldCharType="end"/>
      </w:r>
      <w:r w:rsidR="00632217">
        <w:t xml:space="preserve"> </w:t>
      </w:r>
      <w:r w:rsidRPr="00556B03">
        <w:t xml:space="preserve">above, Navigant developed a billing analysis using the treatment and control groups as defined by </w:t>
      </w:r>
      <w:r w:rsidR="00527ECA">
        <w:t xml:space="preserve">the </w:t>
      </w:r>
      <w:r w:rsidRPr="00556B03">
        <w:t xml:space="preserve">original program design and implemented by the CSP, OPower. The SWE Team did </w:t>
      </w:r>
      <w:r>
        <w:t>not</w:t>
      </w:r>
      <w:r w:rsidRPr="00556B03">
        <w:t xml:space="preserve"> attempt to recreate the billing analysis, nor did </w:t>
      </w:r>
      <w:r>
        <w:t>it</w:t>
      </w:r>
      <w:r w:rsidRPr="00556B03">
        <w:t xml:space="preserve"> attempt rerunning the model to replicate the results. </w:t>
      </w:r>
      <w:r>
        <w:t>Rather, t</w:t>
      </w:r>
      <w:r w:rsidRPr="00556B03">
        <w:t xml:space="preserve">he </w:t>
      </w:r>
      <w:r>
        <w:t xml:space="preserve">SWE Team developed some </w:t>
      </w:r>
      <w:r w:rsidRPr="00556B03">
        <w:t xml:space="preserve">key </w:t>
      </w:r>
      <w:r>
        <w:t>questions</w:t>
      </w:r>
      <w:r w:rsidRPr="00556B03">
        <w:t xml:space="preserve"> </w:t>
      </w:r>
      <w:r>
        <w:t xml:space="preserve">about the HER evaluations, generally checking if </w:t>
      </w:r>
      <w:r>
        <w:lastRenderedPageBreak/>
        <w:t>the evaluation design</w:t>
      </w:r>
      <w:r w:rsidRPr="00556B03">
        <w:t xml:space="preserve"> follow</w:t>
      </w:r>
      <w:r>
        <w:t>ed</w:t>
      </w:r>
      <w:r w:rsidRPr="00556B03">
        <w:t xml:space="preserve"> best</w:t>
      </w:r>
      <w:r>
        <w:t xml:space="preserve"> </w:t>
      </w:r>
      <w:r w:rsidRPr="00556B03">
        <w:t>practices</w:t>
      </w:r>
      <w:r>
        <w:t>, including following the recommended approach in the UMP.</w:t>
      </w:r>
      <w:r w:rsidRPr="00556B03">
        <w:rPr>
          <w:rStyle w:val="FootnoteReference"/>
        </w:rPr>
        <w:footnoteReference w:id="58"/>
      </w:r>
      <w:r>
        <w:t xml:space="preserve"> The SWE Team’s summary of the evaluation assessment for each of the </w:t>
      </w:r>
      <w:r w:rsidRPr="00556B03">
        <w:t>associated</w:t>
      </w:r>
      <w:r>
        <w:t xml:space="preserve"> au</w:t>
      </w:r>
      <w:r w:rsidR="00527ECA">
        <w:t>dit questions is outlined below:</w:t>
      </w:r>
      <w:r>
        <w:t xml:space="preserve"> </w:t>
      </w:r>
    </w:p>
    <w:p w:rsidR="00C24F61" w:rsidRPr="00A07AB2" w:rsidRDefault="00C24F61" w:rsidP="00E646C9">
      <w:pPr>
        <w:pStyle w:val="ListParagraph"/>
        <w:numPr>
          <w:ilvl w:val="0"/>
          <w:numId w:val="49"/>
        </w:numPr>
        <w:spacing w:after="120"/>
        <w:ind w:left="360"/>
        <w:contextualSpacing w:val="0"/>
        <w:rPr>
          <w:b/>
          <w:i/>
          <w:sz w:val="24"/>
        </w:rPr>
      </w:pPr>
      <w:r w:rsidRPr="00A07AB2">
        <w:rPr>
          <w:b/>
          <w:i/>
          <w:sz w:val="24"/>
        </w:rPr>
        <w:t xml:space="preserve">Did the evaluation design use the RCT approach? </w:t>
      </w:r>
    </w:p>
    <w:p w:rsidR="00C24F61" w:rsidRDefault="00C24F61" w:rsidP="00A07AB2">
      <w:r>
        <w:t>Yes, the HER analysis followed the standard protocols as defined in the UMP. In fact, the UMP protocols were developed in part based on the findings from a SEE</w:t>
      </w:r>
      <w:r w:rsidR="00A04A88">
        <w:t xml:space="preserve"> Action</w:t>
      </w:r>
      <w:r>
        <w:t xml:space="preserve"> report that was referenced several times in the Duquesne report and formed the basis for Navigant’s approach.</w:t>
      </w:r>
      <w:r>
        <w:rPr>
          <w:rStyle w:val="FootnoteReference"/>
        </w:rPr>
        <w:footnoteReference w:id="59"/>
      </w:r>
    </w:p>
    <w:p w:rsidR="00A07AB2" w:rsidRDefault="00A07AB2" w:rsidP="00A07AB2"/>
    <w:p w:rsidR="00C24F61" w:rsidRPr="00A07AB2" w:rsidRDefault="00C24F61" w:rsidP="00E646C9">
      <w:pPr>
        <w:pStyle w:val="ListParagraph"/>
        <w:numPr>
          <w:ilvl w:val="0"/>
          <w:numId w:val="49"/>
        </w:numPr>
        <w:spacing w:after="120"/>
        <w:ind w:left="360"/>
        <w:contextualSpacing w:val="0"/>
        <w:rPr>
          <w:b/>
          <w:i/>
          <w:sz w:val="24"/>
        </w:rPr>
      </w:pPr>
      <w:r w:rsidRPr="00A07AB2">
        <w:rPr>
          <w:b/>
          <w:i/>
          <w:sz w:val="24"/>
        </w:rPr>
        <w:t>Were the length of the study and baseline periods sufficient (normally one year) and clearly identified?</w:t>
      </w:r>
    </w:p>
    <w:p w:rsidR="00C24F61" w:rsidRDefault="00C24F61" w:rsidP="00A07AB2">
      <w:r>
        <w:t xml:space="preserve">To determine if the length of the study and baseline periods were sufficient, the SWE Team had to contact Navigant to learn more about the research, since the report lacked the details necessary to answer these questions. After discussion with Navigant, the SWE Team learned that the analysis included a sufficient baseline period and length of study, though it would have been ideal to include this detail in the report, for full transparency.  </w:t>
      </w:r>
    </w:p>
    <w:p w:rsidR="00A07AB2" w:rsidRDefault="00A07AB2" w:rsidP="00A07AB2"/>
    <w:p w:rsidR="00C24F61" w:rsidRPr="00A07AB2" w:rsidRDefault="00C24F61" w:rsidP="00E646C9">
      <w:pPr>
        <w:pStyle w:val="ListParagraph"/>
        <w:numPr>
          <w:ilvl w:val="0"/>
          <w:numId w:val="49"/>
        </w:numPr>
        <w:spacing w:after="120"/>
        <w:ind w:left="360"/>
        <w:contextualSpacing w:val="0"/>
        <w:rPr>
          <w:b/>
          <w:i/>
          <w:sz w:val="24"/>
        </w:rPr>
      </w:pPr>
      <w:r w:rsidRPr="00A07AB2">
        <w:rPr>
          <w:b/>
          <w:i/>
          <w:sz w:val="24"/>
        </w:rPr>
        <w:t>Did the model use a difference-in-differences approach and include interaction variables?</w:t>
      </w:r>
    </w:p>
    <w:p w:rsidR="00C24F61" w:rsidRDefault="00C24F61" w:rsidP="00A07AB2">
      <w:r>
        <w:t xml:space="preserve">Yes, Navigant developed an LFER, whereby the average daily consumption was a function of participant group (treatment versus control), if the utility bill was pre-or post-program start date, and the interaction was between these two variables (post treatment). Navigant validated the LFER model by including a post-program regression model, the results of which provided </w:t>
      </w:r>
      <w:r w:rsidRPr="00F20E1D">
        <w:t xml:space="preserve">values consistent with those of </w:t>
      </w:r>
      <w:r>
        <w:t xml:space="preserve">the LFER model. </w:t>
      </w:r>
    </w:p>
    <w:p w:rsidR="00A07AB2" w:rsidRDefault="00A07AB2" w:rsidP="00A07AB2"/>
    <w:p w:rsidR="00C24F61" w:rsidRPr="00A07AB2" w:rsidRDefault="00C24F61" w:rsidP="00E646C9">
      <w:pPr>
        <w:pStyle w:val="ListParagraph"/>
        <w:numPr>
          <w:ilvl w:val="0"/>
          <w:numId w:val="49"/>
        </w:numPr>
        <w:spacing w:after="120"/>
        <w:ind w:left="360"/>
        <w:contextualSpacing w:val="0"/>
        <w:rPr>
          <w:b/>
          <w:i/>
          <w:sz w:val="24"/>
        </w:rPr>
      </w:pPr>
      <w:r w:rsidRPr="00A07AB2">
        <w:rPr>
          <w:b/>
          <w:i/>
          <w:sz w:val="24"/>
        </w:rPr>
        <w:t>Was there an equivalency check on the treatment-group versus control-group usage?</w:t>
      </w:r>
    </w:p>
    <w:p w:rsidR="00C24F61" w:rsidRDefault="00C24F61" w:rsidP="00A07AB2">
      <w:r>
        <w:t>An equivalency check ensures that there was no statistical difference for pre-program electric energy usage between the treatment and control groups. To determine if an equivalency check was performed, the SWE Team had to contact Navigant to learn more about the research, since the report lacked the details necessary to answer this question. After discussion with Navigant, the SWE Team learned that the analysis included an equivalency check, and received a detailed description of the analysis, though this was not included in the annual report. According to this analysis, Navigant concluded “</w:t>
      </w:r>
      <w:r w:rsidRPr="00757426">
        <w:t>that the differences in average daily energy use by month were not statistically significant using either month by month T-tests or the regression model, Navigant concludes that the March 2016 HER program households were randomly allocated to the treatment and control groups.</w:t>
      </w:r>
      <w:r>
        <w:t>”</w:t>
      </w:r>
    </w:p>
    <w:p w:rsidR="00C24F61" w:rsidRPr="00A07AB2" w:rsidRDefault="00C24F61" w:rsidP="00E646C9">
      <w:pPr>
        <w:pStyle w:val="ListParagraph"/>
        <w:numPr>
          <w:ilvl w:val="0"/>
          <w:numId w:val="49"/>
        </w:numPr>
        <w:spacing w:after="120"/>
        <w:ind w:left="360"/>
        <w:contextualSpacing w:val="0"/>
        <w:rPr>
          <w:b/>
          <w:i/>
          <w:sz w:val="24"/>
        </w:rPr>
      </w:pPr>
      <w:r w:rsidRPr="00A07AB2">
        <w:rPr>
          <w:b/>
          <w:i/>
          <w:sz w:val="24"/>
        </w:rPr>
        <w:t>Were account closures properly handled?</w:t>
      </w:r>
    </w:p>
    <w:p w:rsidR="00C24F61" w:rsidRDefault="00C24F61" w:rsidP="00A07AB2">
      <w:pPr>
        <w:rPr>
          <w:color w:val="000000"/>
        </w:rPr>
      </w:pPr>
      <w:r>
        <w:rPr>
          <w:color w:val="000000"/>
        </w:rPr>
        <w:t>Account closures</w:t>
      </w:r>
      <w:r w:rsidR="00490E5C">
        <w:rPr>
          <w:color w:val="000000"/>
        </w:rPr>
        <w:t xml:space="preserve"> and </w:t>
      </w:r>
      <w:r w:rsidR="00490E5C" w:rsidRPr="00033461">
        <w:rPr>
          <w:color w:val="000000"/>
        </w:rPr>
        <w:t xml:space="preserve">changes in tenants at the same </w:t>
      </w:r>
      <w:r w:rsidR="00490E5C">
        <w:rPr>
          <w:color w:val="000000"/>
        </w:rPr>
        <w:t>address</w:t>
      </w:r>
      <w:r>
        <w:rPr>
          <w:color w:val="000000"/>
        </w:rPr>
        <w:t xml:space="preserve"> </w:t>
      </w:r>
      <w:r w:rsidRPr="00033461">
        <w:rPr>
          <w:color w:val="000000"/>
        </w:rPr>
        <w:t xml:space="preserve">should be </w:t>
      </w:r>
      <w:r>
        <w:rPr>
          <w:color w:val="000000"/>
        </w:rPr>
        <w:t xml:space="preserve">excluded </w:t>
      </w:r>
      <w:r w:rsidRPr="00033461">
        <w:rPr>
          <w:color w:val="000000"/>
        </w:rPr>
        <w:t xml:space="preserve">from the </w:t>
      </w:r>
      <w:r>
        <w:rPr>
          <w:color w:val="000000"/>
        </w:rPr>
        <w:t>analysis</w:t>
      </w:r>
      <w:r w:rsidR="00490E5C">
        <w:rPr>
          <w:color w:val="000000"/>
        </w:rPr>
        <w:t>,</w:t>
      </w:r>
      <w:r w:rsidR="00490E5C" w:rsidRPr="00490E5C">
        <w:rPr>
          <w:color w:val="000000"/>
        </w:rPr>
        <w:t xml:space="preserve"> </w:t>
      </w:r>
      <w:r w:rsidR="00490E5C" w:rsidRPr="00033461">
        <w:rPr>
          <w:color w:val="000000"/>
        </w:rPr>
        <w:t>for both the control</w:t>
      </w:r>
      <w:r w:rsidR="00490E5C">
        <w:rPr>
          <w:color w:val="000000"/>
        </w:rPr>
        <w:fldChar w:fldCharType="begin"/>
      </w:r>
      <w:r w:rsidR="00490E5C">
        <w:instrText xml:space="preserve"> XE "</w:instrText>
      </w:r>
      <w:r w:rsidR="00490E5C" w:rsidRPr="00033461">
        <w:rPr>
          <w:color w:val="000000"/>
        </w:rPr>
        <w:instrText>control</w:instrText>
      </w:r>
      <w:r w:rsidR="00490E5C">
        <w:instrText>" \t "</w:instrText>
      </w:r>
      <w:r w:rsidR="00490E5C">
        <w:rPr>
          <w:i/>
        </w:rPr>
        <w:instrText>See</w:instrText>
      </w:r>
      <w:r w:rsidR="00490E5C">
        <w:instrText xml:space="preserve"> control group" </w:instrText>
      </w:r>
      <w:r w:rsidR="00490E5C">
        <w:rPr>
          <w:color w:val="000000"/>
        </w:rPr>
        <w:fldChar w:fldCharType="end"/>
      </w:r>
      <w:r w:rsidR="00490E5C" w:rsidRPr="00033461">
        <w:rPr>
          <w:color w:val="000000"/>
        </w:rPr>
        <w:t xml:space="preserve"> and treatment group</w:t>
      </w:r>
      <w:r w:rsidR="00490E5C">
        <w:rPr>
          <w:color w:val="000000"/>
        </w:rPr>
        <w:fldChar w:fldCharType="begin"/>
      </w:r>
      <w:r w:rsidR="00490E5C">
        <w:instrText xml:space="preserve"> XE "</w:instrText>
      </w:r>
      <w:r w:rsidR="00490E5C" w:rsidRPr="00033461">
        <w:rPr>
          <w:color w:val="000000"/>
        </w:rPr>
        <w:instrText>treatment group</w:instrText>
      </w:r>
      <w:r w:rsidR="00490E5C">
        <w:instrText xml:space="preserve">" </w:instrText>
      </w:r>
      <w:r w:rsidR="00490E5C">
        <w:rPr>
          <w:color w:val="000000"/>
        </w:rPr>
        <w:fldChar w:fldCharType="end"/>
      </w:r>
      <w:r w:rsidR="00490E5C" w:rsidRPr="00033461">
        <w:rPr>
          <w:color w:val="000000"/>
        </w:rPr>
        <w:t>s</w:t>
      </w:r>
      <w:r>
        <w:rPr>
          <w:color w:val="000000"/>
        </w:rPr>
        <w:t>. Navigant indicated that account closures were excluded from the analysis and stated that these participants were “</w:t>
      </w:r>
      <w:r w:rsidRPr="00632379">
        <w:rPr>
          <w:color w:val="000000"/>
        </w:rPr>
        <w:t>omitted from the regression analysis to estimate program effects but were included in the</w:t>
      </w:r>
      <w:r>
        <w:rPr>
          <w:color w:val="000000"/>
        </w:rPr>
        <w:t xml:space="preserve"> </w:t>
      </w:r>
      <w:r w:rsidRPr="00632379">
        <w:rPr>
          <w:color w:val="000000"/>
        </w:rPr>
        <w:t>estimate of total program savings for the time prior to when they moved away</w:t>
      </w:r>
      <w:r>
        <w:rPr>
          <w:color w:val="000000"/>
        </w:rPr>
        <w:t>.”</w:t>
      </w:r>
    </w:p>
    <w:p w:rsidR="00A07AB2" w:rsidRDefault="00A07AB2" w:rsidP="00A07AB2">
      <w:pPr>
        <w:rPr>
          <w:color w:val="000000"/>
        </w:rPr>
      </w:pPr>
    </w:p>
    <w:p w:rsidR="00C24F61" w:rsidRPr="00A07AB2" w:rsidRDefault="00C24F61" w:rsidP="00E646C9">
      <w:pPr>
        <w:pStyle w:val="ListParagraph"/>
        <w:numPr>
          <w:ilvl w:val="0"/>
          <w:numId w:val="49"/>
        </w:numPr>
        <w:spacing w:after="120"/>
        <w:ind w:left="360"/>
        <w:contextualSpacing w:val="0"/>
        <w:rPr>
          <w:b/>
          <w:i/>
          <w:sz w:val="24"/>
        </w:rPr>
      </w:pPr>
      <w:r w:rsidRPr="00A07AB2">
        <w:rPr>
          <w:b/>
          <w:i/>
          <w:sz w:val="24"/>
        </w:rPr>
        <w:t>Did the analysis control for double counting savings?</w:t>
      </w:r>
    </w:p>
    <w:p w:rsidR="00C24F61" w:rsidRDefault="00C24F61" w:rsidP="00A07AB2">
      <w:pPr>
        <w:spacing w:after="120"/>
        <w:rPr>
          <w:color w:val="FF0000"/>
        </w:rPr>
      </w:pPr>
      <w:r>
        <w:lastRenderedPageBreak/>
        <w:t xml:space="preserve">For those HER participants who also participated in other Duquesne efficiency programs, the incremental savings associated with the program rebated equipment installation is considered double counting of savings, since the equipment savings are already being claimed by another program. Because both treatment- and control-group participants may have participated in other programs, the approach used to net out the double-counted savings is to estimate if the average treatment-group non-HER program savings exceeds the control-group non-HER program savings. In the Duquesne report, Navigant notes that “The verified ex-post energy savings for HER in PY7 and Phase II were 26,094 MWh, after accounting for double-counted savings with other Duquesne Light energy efficiency programs.” </w:t>
      </w:r>
      <w:r w:rsidRPr="00451EA2">
        <w:t xml:space="preserve">While Navigant noted that </w:t>
      </w:r>
      <w:r>
        <w:t>it</w:t>
      </w:r>
      <w:r w:rsidRPr="00451EA2">
        <w:t xml:space="preserve"> accounted for duplicate savings, the report lacked sufficient details on how this was accomplished. The SWE </w:t>
      </w:r>
      <w:r>
        <w:t>T</w:t>
      </w:r>
      <w:r w:rsidRPr="00451EA2">
        <w:t xml:space="preserve">eam contacted Navigant to learn about how </w:t>
      </w:r>
      <w:r>
        <w:t>it</w:t>
      </w:r>
      <w:r w:rsidRPr="00451EA2">
        <w:t xml:space="preserve"> accounted for </w:t>
      </w:r>
      <w:r w:rsidRPr="00757426">
        <w:t>duplicate savings. Navigant provided the following additional details regarding the savings double counting:</w:t>
      </w:r>
    </w:p>
    <w:p w:rsidR="00C24F61" w:rsidRPr="00757426" w:rsidRDefault="00C24F61" w:rsidP="00A07AB2">
      <w:pPr>
        <w:ind w:left="720" w:right="720"/>
        <w:rPr>
          <w:i/>
        </w:rPr>
      </w:pPr>
      <w:r w:rsidRPr="00757426">
        <w:rPr>
          <w:i/>
        </w:rPr>
        <w:t>“Both treatment and control groups, using results of the double-counting analysis conducted as part of the evaluation of the PY4 program. Duquesne Light changed its account numbering system just prior to PY7 program initiation, and the evaluation team was not able to link account numbers for the purposes of matching participants with tracking data for other Duquesne Light residential programs. This meant that documentation of PY7 treatment and control group participation in other Duquesne Light programs in PY6 and PY7 could not be determined. Therefore, the team used the double-counting value obtained when the PY4 evaluation was conducted (just under 5%). Since the PY4 double-counting value was atypically high compared to other OPower program evaluations Navigant has evaluated (~1%), this was believed to be a very conservative assumption.”</w:t>
      </w:r>
    </w:p>
    <w:p w:rsidR="00C24F61" w:rsidRDefault="00C24F61" w:rsidP="00A07AB2"/>
    <w:p w:rsidR="00C24F61" w:rsidRDefault="00C24F61" w:rsidP="00A07AB2">
      <w:r w:rsidRPr="00451EA2">
        <w:t xml:space="preserve">The SWE </w:t>
      </w:r>
      <w:r>
        <w:t>T</w:t>
      </w:r>
      <w:r w:rsidRPr="00451EA2">
        <w:t>eam</w:t>
      </w:r>
      <w:r>
        <w:t xml:space="preserve"> agrees with Navigant that this was a conservative approach to address duplicative savings and does not have any concerns with its approach, given the constraints of not having account numbers to update the analysis for PY7.</w:t>
      </w:r>
    </w:p>
    <w:p w:rsidR="00A07AB2" w:rsidRDefault="00A07AB2" w:rsidP="00A07AB2"/>
    <w:p w:rsidR="00C24F61" w:rsidRPr="00A07AB2" w:rsidRDefault="00C24F61" w:rsidP="00E646C9">
      <w:pPr>
        <w:pStyle w:val="ListParagraph"/>
        <w:numPr>
          <w:ilvl w:val="0"/>
          <w:numId w:val="49"/>
        </w:numPr>
        <w:spacing w:after="120"/>
        <w:ind w:left="360"/>
        <w:contextualSpacing w:val="0"/>
        <w:rPr>
          <w:b/>
          <w:i/>
          <w:sz w:val="24"/>
        </w:rPr>
      </w:pPr>
      <w:r w:rsidRPr="00A07AB2">
        <w:rPr>
          <w:b/>
          <w:i/>
          <w:sz w:val="24"/>
        </w:rPr>
        <w:t>Were savings within the commonly identified range (approximately 2% of annual usage)?</w:t>
      </w:r>
    </w:p>
    <w:p w:rsidR="00C24F61" w:rsidRDefault="00C24F61" w:rsidP="00A07AB2">
      <w:r>
        <w:t>Residential behavioral program evaluations should include the percentage of annual usage represented by the program savings. Savings claimed or evaluated by other HER programs have varied between 0.5% and 3% of annual usage.</w:t>
      </w:r>
      <w:r>
        <w:rPr>
          <w:rStyle w:val="FootnoteReference"/>
        </w:rPr>
        <w:footnoteReference w:id="60"/>
      </w:r>
      <w:r>
        <w:t xml:space="preserve"> The Duquesne report lacked any details on the claimed or realized savings as a percentage of annual usage. Navigant provided documentation to the SWE Team, which included a spreadsheet (“</w:t>
      </w:r>
      <w:r w:rsidRPr="00FA6B05">
        <w:t>Duquesne HER PY7 Regression Outputs for SWE Data Request</w:t>
      </w:r>
      <w:r>
        <w:t xml:space="preserve">.xlsx”) that detailed the relative savings percentages across the three waves of participants that were used for the regression. Savings ranged between 0.9% and 1.9% across the three waves, with the lowest estimate, 0.9%, showing the highest relative precision, of +/– 60%. This lack of precision was due to the second wave having the lowest participant count (less than half the count of the third wave). The report, in Table 6-3: </w:t>
      </w:r>
      <w:r w:rsidRPr="00AC484B">
        <w:t>PY7 HER Summary of Evaluation Results for Energy</w:t>
      </w:r>
      <w:r>
        <w:t>, shows 0% relative precision, which is the sampling precision but not the verified savings precision, which across the three waves appears to be between 14% and 60%.</w:t>
      </w:r>
    </w:p>
    <w:p w:rsidR="00A07AB2" w:rsidRDefault="00A07AB2" w:rsidP="00A07AB2"/>
    <w:p w:rsidR="00C24F61" w:rsidRPr="00A07AB2" w:rsidRDefault="00C24F61" w:rsidP="00E646C9">
      <w:pPr>
        <w:pStyle w:val="ListParagraph"/>
        <w:numPr>
          <w:ilvl w:val="0"/>
          <w:numId w:val="49"/>
        </w:numPr>
        <w:spacing w:after="120"/>
        <w:ind w:left="360"/>
        <w:contextualSpacing w:val="0"/>
        <w:rPr>
          <w:b/>
          <w:i/>
          <w:sz w:val="24"/>
        </w:rPr>
      </w:pPr>
      <w:r w:rsidRPr="00A07AB2">
        <w:rPr>
          <w:b/>
          <w:i/>
          <w:sz w:val="24"/>
        </w:rPr>
        <w:t>Did the evaluation report include sufficient details regarding the analysis, findings, and statistical significance?</w:t>
      </w:r>
    </w:p>
    <w:p w:rsidR="00C24F61" w:rsidRPr="00C24F61" w:rsidRDefault="00C24F61" w:rsidP="00C24F61">
      <w:r w:rsidRPr="00FA6B05">
        <w:t xml:space="preserve">Overall, the Duquesne report did not include sufficient details on the HER analysis and findings. The SWE </w:t>
      </w:r>
      <w:r>
        <w:t>T</w:t>
      </w:r>
      <w:r w:rsidRPr="00FA6B05">
        <w:t>eam believes that Navigant followed best practices in the model design a</w:t>
      </w:r>
      <w:r w:rsidRPr="00795F68">
        <w:t xml:space="preserve">nd analysis, but did not report </w:t>
      </w:r>
      <w:r w:rsidRPr="00795F68">
        <w:lastRenderedPageBreak/>
        <w:t xml:space="preserve">the details and evidence that would allow the SWE </w:t>
      </w:r>
      <w:r>
        <w:t>T</w:t>
      </w:r>
      <w:r w:rsidRPr="00795F68">
        <w:t xml:space="preserve">eam to conclude </w:t>
      </w:r>
      <w:r>
        <w:t xml:space="preserve">that </w:t>
      </w:r>
      <w:r w:rsidRPr="00795F68">
        <w:t xml:space="preserve">the HER analysis was comprehensive and robust. It was only through additional communication with Navigant </w:t>
      </w:r>
      <w:r>
        <w:t>that</w:t>
      </w:r>
      <w:r w:rsidRPr="00795F68">
        <w:t xml:space="preserve"> the SWE </w:t>
      </w:r>
      <w:r>
        <w:t>T</w:t>
      </w:r>
      <w:r w:rsidRPr="00795F68">
        <w:t xml:space="preserve">eam </w:t>
      </w:r>
      <w:r>
        <w:t>had</w:t>
      </w:r>
      <w:r w:rsidRPr="00795F68">
        <w:t xml:space="preserve"> sufficient analysis details </w:t>
      </w:r>
      <w:r>
        <w:t>to</w:t>
      </w:r>
      <w:r w:rsidRPr="00795F68">
        <w:t xml:space="preserve"> </w:t>
      </w:r>
      <w:r w:rsidR="00EC4FB1" w:rsidRPr="00795F68">
        <w:t>answer</w:t>
      </w:r>
      <w:r w:rsidRPr="00795F68">
        <w:t xml:space="preserve"> all of </w:t>
      </w:r>
      <w:r>
        <w:t>the team’s</w:t>
      </w:r>
      <w:r w:rsidRPr="00795F68">
        <w:t xml:space="preserve"> questions and concerns. </w:t>
      </w:r>
      <w:r>
        <w:t>While there is often a balance between providing sufficient but not overwhelming amounts of analytic details, the SWE Team believes that Navigant was too conservative in its documentation of the HER billing analysis and should include the additional details noted above.</w:t>
      </w:r>
    </w:p>
    <w:p w:rsidR="00C24F61" w:rsidRPr="00C24F61" w:rsidRDefault="00C24F61" w:rsidP="00C24F61"/>
    <w:p w:rsidR="00950837" w:rsidRDefault="00950837" w:rsidP="00E37A0C">
      <w:pPr>
        <w:pStyle w:val="AppendixAHeading3"/>
      </w:pPr>
      <w:r>
        <w:t>Low-Income Program and Audit Summary</w:t>
      </w:r>
    </w:p>
    <w:p w:rsidR="00C24F61" w:rsidRPr="00A07DF4" w:rsidRDefault="00C24F61" w:rsidP="00C24F61">
      <w:pPr>
        <w:rPr>
          <w:highlight w:val="yellow"/>
        </w:rPr>
      </w:pPr>
      <w:r w:rsidRPr="00043844">
        <w:t xml:space="preserve">The SWE Team reviewed the evaluation contractor’s methods and findings and determined that </w:t>
      </w:r>
      <w:r>
        <w:t>s</w:t>
      </w:r>
      <w:r w:rsidRPr="00043844">
        <w:t xml:space="preserve">tep 1 of the annual SWE audit, a desk review of a random sample of rebate applications, was warranted since the past </w:t>
      </w:r>
      <w:r w:rsidRPr="00AC484B">
        <w:t>several audits have not included an application review</w:t>
      </w:r>
      <w:r>
        <w:t>.</w:t>
      </w:r>
      <w:r w:rsidRPr="00AC484B">
        <w:rPr>
          <w:rStyle w:val="FootnoteReference"/>
        </w:rPr>
        <w:footnoteReference w:id="61"/>
      </w:r>
      <w:r w:rsidRPr="00AF0D3F">
        <w:t xml:space="preserve"> The SWE Team reviewed the data tracked in Duquesne’s PMRS database and tracking system to verify that Duquesne was using the appropriate savings values and algorithms from the 2015 TRM. The SWE Team confirmed that all verified per-measure savings, participant counts, and program energy and demand impacts were consistent with the 2015 TRM. The program evaluation found that </w:t>
      </w:r>
      <w:r w:rsidRPr="00AF0D3F">
        <w:rPr>
          <w:rFonts w:cs="Calibri"/>
        </w:rPr>
        <w:t xml:space="preserve">ISRs, as determined through telephone participant surveys, for energy efficiency kits were considerably higher than those ISRs evaluated in PY6 (due to higher installation rates for all three measures). </w:t>
      </w:r>
      <w:r w:rsidRPr="00AF0D3F">
        <w:t>This audit found no adjustments or changes that should be made to the verified gross savings estimates reported by the evaluation contractor.</w:t>
      </w:r>
    </w:p>
    <w:p w:rsidR="00C24F61" w:rsidRDefault="00C24F61" w:rsidP="00C24F61">
      <w:pPr>
        <w:rPr>
          <w:highlight w:val="yellow"/>
        </w:rPr>
      </w:pPr>
    </w:p>
    <w:p w:rsidR="00C24F61" w:rsidRDefault="00C24F61" w:rsidP="00C24F61">
      <w:pPr>
        <w:rPr>
          <w:color w:val="FF0000"/>
        </w:rPr>
      </w:pPr>
      <w:r>
        <w:t xml:space="preserve">The SWE Team did catch a few minor errors in the annual report. The fourth row of Table 1-6: Phase II Low Income Sector Compliance (Percentage of Savings) likely carried over text from a previous report. The note “Sum of First Two Rows” likely should be updated to read “Sum of First Three Rows,” since the values in corresponding columns line up this way. Additionally, </w:t>
      </w:r>
      <w:r w:rsidRPr="00965954">
        <w:t>Table 7-2: LIEEP Sampling Strategy for PY7</w:t>
      </w:r>
      <w:r>
        <w:t xml:space="preserve"> included an error for evaluation activity. An application review was listed as included for the low-income kits component, though this research activity was actually performed for the low-income rebates </w:t>
      </w:r>
      <w:r w:rsidR="003F7792">
        <w:t>component.</w:t>
      </w:r>
    </w:p>
    <w:p w:rsidR="00C24F61" w:rsidRDefault="00C24F61" w:rsidP="00C24F61">
      <w:pPr>
        <w:rPr>
          <w:highlight w:val="yellow"/>
        </w:rPr>
      </w:pPr>
    </w:p>
    <w:p w:rsidR="00C24F61" w:rsidRPr="00D274AB" w:rsidRDefault="00C24F61" w:rsidP="00C24F61">
      <w:r w:rsidRPr="00D274AB">
        <w:t>Table 7-2: LIEEP Sampling Strategy for PY7 contained a few minor errors. The program name for one measure was incorrectly identified in the PMRS database and tracking system, and this error rippled through population counts, gross saving estimates</w:t>
      </w:r>
      <w:r>
        <w:t>,</w:t>
      </w:r>
      <w:r w:rsidRPr="00D274AB">
        <w:t xml:space="preserve"> and gross demand savings. The Freezer Recycling – Replace measure was being captured under the LIEEP </w:t>
      </w:r>
      <w:r>
        <w:t>r</w:t>
      </w:r>
      <w:r w:rsidRPr="00D274AB">
        <w:t>ebates program</w:t>
      </w:r>
      <w:r>
        <w:t xml:space="preserve"> but</w:t>
      </w:r>
      <w:r w:rsidRPr="00D274AB">
        <w:t xml:space="preserve"> should have been identified as the LIEEP RARP program. </w:t>
      </w:r>
      <w:r>
        <w:t>The low-income r</w:t>
      </w:r>
      <w:r w:rsidRPr="00D274AB">
        <w:t xml:space="preserve">ebates population size needs to be updated to 139 from 152, and LIEEP RARP participation needs to be updated to 403 from 390. Likewise, reported gross energy saving values need to be updated for the </w:t>
      </w:r>
      <w:r>
        <w:t>low-income r</w:t>
      </w:r>
      <w:r w:rsidRPr="00D274AB">
        <w:t>ebates program. Last, gross demand savings values s</w:t>
      </w:r>
      <w:r>
        <w:t>hould</w:t>
      </w:r>
      <w:r w:rsidRPr="00D274AB">
        <w:t xml:space="preserve"> to be updated to </w:t>
      </w:r>
      <w:r>
        <w:t>0</w:t>
      </w:r>
      <w:r w:rsidRPr="00D274AB">
        <w:t xml:space="preserve">.048 from </w:t>
      </w:r>
      <w:r>
        <w:t>0</w:t>
      </w:r>
      <w:r w:rsidRPr="00D274AB">
        <w:t xml:space="preserve">.046 in the LIEEP RARP, and from </w:t>
      </w:r>
      <w:r>
        <w:t>0</w:t>
      </w:r>
      <w:r w:rsidRPr="00D274AB">
        <w:t xml:space="preserve">.009 to </w:t>
      </w:r>
      <w:r>
        <w:t>0</w:t>
      </w:r>
      <w:r w:rsidRPr="00D274AB">
        <w:t xml:space="preserve">.007 in the LIEEP </w:t>
      </w:r>
      <w:r>
        <w:t>r</w:t>
      </w:r>
      <w:r w:rsidRPr="00D274AB">
        <w:t>ebates program.</w:t>
      </w:r>
      <w:r>
        <w:t xml:space="preserve"> </w:t>
      </w:r>
      <w:r w:rsidRPr="00D274AB">
        <w:t xml:space="preserve">The last minor errors found across the LIEEP programs were in Table 7-2: LIEEP Sampling Strategy for PY7. Achieved sample size values were off by a count of </w:t>
      </w:r>
      <w:r>
        <w:t>1</w:t>
      </w:r>
      <w:r w:rsidRPr="00D274AB">
        <w:t xml:space="preserve"> for the </w:t>
      </w:r>
      <w:r>
        <w:t>low-income</w:t>
      </w:r>
      <w:r w:rsidRPr="00D274AB">
        <w:t xml:space="preserve"> RARP and </w:t>
      </w:r>
      <w:r>
        <w:t>low-income</w:t>
      </w:r>
      <w:r w:rsidR="003F7792">
        <w:t xml:space="preserve"> WHEAP programs.</w:t>
      </w:r>
    </w:p>
    <w:p w:rsidR="00C24F61" w:rsidRPr="00D274AB" w:rsidRDefault="00C24F61" w:rsidP="00C24F61"/>
    <w:p w:rsidR="00C24F61" w:rsidRPr="00D274AB" w:rsidRDefault="00C24F61" w:rsidP="00C24F61">
      <w:r w:rsidRPr="00D274AB">
        <w:t xml:space="preserve">The SWE Team recommends including a discussion of realization rate calculations in the report because it was not </w:t>
      </w:r>
      <w:r>
        <w:t xml:space="preserve">clear </w:t>
      </w:r>
      <w:r w:rsidRPr="00D274AB">
        <w:t xml:space="preserve">why one calculation was ultimately decided on over another. Navigant provided the following statement when the discrepancy of two realization rates was brought to </w:t>
      </w:r>
      <w:r>
        <w:t>its</w:t>
      </w:r>
      <w:r w:rsidRPr="00D274AB">
        <w:t xml:space="preserve"> attention</w:t>
      </w:r>
      <w:r>
        <w:t>:</w:t>
      </w:r>
      <w:r w:rsidRPr="00D274AB">
        <w:t xml:space="preserve"> “the survey results should be combined with the application file review</w:t>
      </w:r>
      <w:r>
        <w:t>.” This</w:t>
      </w:r>
      <w:r w:rsidRPr="00D274AB">
        <w:t xml:space="preserve"> helped the SWE Team rectify realization rates. The audit found no adjustments or changes that should be made to the realization rate values.</w:t>
      </w:r>
    </w:p>
    <w:p w:rsidR="00C24F61" w:rsidRPr="00D66177" w:rsidRDefault="00C24F61" w:rsidP="00C24F61"/>
    <w:p w:rsidR="00C24F61" w:rsidRPr="008A749F" w:rsidRDefault="00C24F61" w:rsidP="00C24F61">
      <w:pPr>
        <w:rPr>
          <w:highlight w:val="yellow"/>
        </w:rPr>
      </w:pPr>
      <w:r w:rsidRPr="006A1A97">
        <w:lastRenderedPageBreak/>
        <w:t xml:space="preserve">The SWE Team did not review any site inspections or </w:t>
      </w:r>
      <w:r w:rsidR="00490E5C">
        <w:t>quality assurance/quality control (</w:t>
      </w:r>
      <w:r w:rsidRPr="006A1A97">
        <w:t>QA/QC</w:t>
      </w:r>
      <w:r w:rsidR="00490E5C">
        <w:t>)</w:t>
      </w:r>
      <w:r w:rsidRPr="006A1A97">
        <w:t xml:space="preserve"> procedures from low-income installations, as neither Duquesne, its evaluation contractor, or any other Duquesne third-party vendor administered any on-site-based inspections or QA/QC procedures for this program during PY7. (As noted above, the evaluation contractor verified installations via a telephone survey.) All of the other EDCs conduct on-site inspections on a sample of installations for their low-income programs.</w:t>
      </w:r>
      <w:r w:rsidRPr="006A1A97">
        <w:rPr>
          <w:vertAlign w:val="superscript"/>
        </w:rPr>
        <w:footnoteReference w:id="62"/>
      </w:r>
      <w:r w:rsidRPr="006A1A97">
        <w:t xml:space="preserve"> During PY6, the SWE Team considered on-site QA/QC unnecessary due to the specific structure and implementation model of the Duquesne low-income program. As has been previously noted by the evaluation contractor, Duquesne’s LIEEP is similar to REEP (rebates, kits, and lighting), RARP, WHEAP, and SEP</w:t>
      </w:r>
      <w:r>
        <w:t>,</w:t>
      </w:r>
      <w:r w:rsidRPr="006A1A97">
        <w:t xml:space="preserve"> except that participation in those programs by those who qualify as low-income </w:t>
      </w:r>
      <w:r>
        <w:t>is</w:t>
      </w:r>
      <w:r w:rsidRPr="006A1A97">
        <w:t xml:space="preserve"> counted for LIEEP rather than the individual other residential programs. In PY7, even though Duquesne introduced a whole-home retrofit program similar to </w:t>
      </w:r>
      <w:r>
        <w:t xml:space="preserve">that of </w:t>
      </w:r>
      <w:r w:rsidRPr="006A1A97">
        <w:t xml:space="preserve">other EDCs in which on-site QA/QC inspection may be considered, the current Duquesne WHEAP program is a simple direct-install with lighting, small domestic hot water, and plug load measures. If the Duquesne program expands and offers more </w:t>
      </w:r>
      <w:r w:rsidRPr="00AC484B">
        <w:t>comprehensive retrofit measures (air sealing, insulation, HVAC, etc.)</w:t>
      </w:r>
      <w:r w:rsidR="00490E5C">
        <w:t>,</w:t>
      </w:r>
      <w:r w:rsidRPr="00AC484B">
        <w:t xml:space="preserve"> then on-site QA/QC will be more critical. The SWE should continue to monitor and assess the need to perform on-site inspections for the Duquesne low</w:t>
      </w:r>
      <w:r>
        <w:t>-</w:t>
      </w:r>
      <w:r w:rsidRPr="00AC484B">
        <w:t>income program.</w:t>
      </w:r>
    </w:p>
    <w:p w:rsidR="00C24F61" w:rsidRPr="008A749F" w:rsidRDefault="00C24F61" w:rsidP="00C24F61">
      <w:pPr>
        <w:rPr>
          <w:highlight w:val="yellow"/>
        </w:rPr>
      </w:pPr>
    </w:p>
    <w:p w:rsidR="00C24F61" w:rsidRDefault="00C24F61" w:rsidP="00C24F61">
      <w:r w:rsidRPr="00447DB0">
        <w:t xml:space="preserve">The SWE Team verified that Duquesne was in compliance with the requirement that the number of energy conservation measures offered to low‐income households be, at a minimum, proportionate to those households’ share of the total energy usage in Duquesne’s service territory. </w:t>
      </w:r>
      <w:r>
        <w:t xml:space="preserve">PY7 low-income program compliance was unchanged relative to PY6: </w:t>
      </w:r>
      <w:r w:rsidRPr="0056383E">
        <w:t xml:space="preserve">Duquesne offered 14 types of measures to the low-income sector in PY7, which is consistent with the quantity offered in PY6. The number of measures offered through the low-income program represented 14.4% of the total number of types of measures offered across all customer sectors. </w:t>
      </w:r>
      <w:r w:rsidRPr="00447DB0">
        <w:t>This level substantially exceeds Duquesne’s Act 129 compliance target of 8.4%.</w:t>
      </w:r>
    </w:p>
    <w:p w:rsidR="00C24F61" w:rsidRPr="00C24F61" w:rsidRDefault="00C24F61" w:rsidP="00C24F61"/>
    <w:p w:rsidR="00950837" w:rsidRDefault="00950837" w:rsidP="00E37A0C">
      <w:pPr>
        <w:pStyle w:val="AppendixAHeading3"/>
      </w:pPr>
      <w:r>
        <w:t>Non-Residential Program Audit Summary</w:t>
      </w:r>
    </w:p>
    <w:p w:rsidR="00932AE2" w:rsidRPr="00D85274" w:rsidRDefault="00932AE2" w:rsidP="00932AE2">
      <w:r w:rsidRPr="00D85274">
        <w:t>The SWE Team reviewed project files to audit the accuracy of the savings values stored in the program</w:t>
      </w:r>
      <w:r>
        <w:t>-</w:t>
      </w:r>
      <w:r w:rsidRPr="00D85274">
        <w:t xml:space="preserve">tracking database and to confirm that calculations were performed in accordance with the applicable TRM, or by some other reasonable methodology. The SWE Team reviewed 11 of the sample projects submitted, which included interior and exterior lighting retrofits, </w:t>
      </w:r>
      <w:r w:rsidR="00C21C45">
        <w:t>variable frequency drives (</w:t>
      </w:r>
      <w:r w:rsidRPr="00D85274">
        <w:t>VFDs</w:t>
      </w:r>
      <w:r w:rsidR="00C21C45">
        <w:t>)</w:t>
      </w:r>
      <w:r w:rsidRPr="00D85274">
        <w:t xml:space="preserve">, industrial process improvements, and efficient chillers. At this time, the SWE Team only requests that the clarity and orderliness of project files </w:t>
      </w:r>
      <w:r>
        <w:t>be</w:t>
      </w:r>
      <w:r w:rsidRPr="00D85274">
        <w:t xml:space="preserve"> maintained going into Phase III.</w:t>
      </w:r>
    </w:p>
    <w:p w:rsidR="00932AE2" w:rsidRPr="00D85274" w:rsidRDefault="00932AE2" w:rsidP="00932AE2"/>
    <w:p w:rsidR="00932AE2" w:rsidRDefault="00932AE2" w:rsidP="00932AE2">
      <w:r w:rsidRPr="00D85274">
        <w:t xml:space="preserve">The SWE Team reviewed Duquesne’s PY7 sample design to ensure its compliance with the Evaluation Framework. The results are displayed in </w:t>
      </w:r>
      <w:r w:rsidR="00FA1E14">
        <w:fldChar w:fldCharType="begin"/>
      </w:r>
      <w:r w:rsidR="00FA1E14">
        <w:instrText xml:space="preserve"> REF _Ref472360727 \h </w:instrText>
      </w:r>
      <w:r w:rsidR="00FA1E14">
        <w:fldChar w:fldCharType="separate"/>
      </w:r>
      <w:r w:rsidR="00C301D0">
        <w:t>Table A-</w:t>
      </w:r>
      <w:r w:rsidR="00C301D0">
        <w:rPr>
          <w:noProof/>
        </w:rPr>
        <w:t>10</w:t>
      </w:r>
      <w:r w:rsidR="00FA1E14">
        <w:fldChar w:fldCharType="end"/>
      </w:r>
      <w:r w:rsidRPr="00D85274">
        <w:t>, showing relative precision at the 85% confidence level.</w:t>
      </w:r>
    </w:p>
    <w:p w:rsidR="00A07AB2" w:rsidRDefault="00A07AB2" w:rsidP="00932AE2"/>
    <w:p w:rsidR="00932AE2" w:rsidRPr="00D85274" w:rsidRDefault="00FA1E14" w:rsidP="00FA1E14">
      <w:pPr>
        <w:pStyle w:val="Caption"/>
      </w:pPr>
      <w:bookmarkStart w:id="546" w:name="_Ref472360727"/>
      <w:bookmarkStart w:id="547" w:name="_Toc409225003"/>
      <w:bookmarkStart w:id="548" w:name="_Toc409443555"/>
      <w:bookmarkStart w:id="549" w:name="_Toc445206189"/>
      <w:bookmarkStart w:id="550" w:name="_Toc472472419"/>
      <w:bookmarkStart w:id="551" w:name="_Toc476842125"/>
      <w:r>
        <w:t>Table A-</w:t>
      </w:r>
      <w:fldSimple w:instr=" SEQ Table_A- \* ARABIC ">
        <w:r w:rsidR="00C301D0">
          <w:rPr>
            <w:noProof/>
          </w:rPr>
          <w:t>10</w:t>
        </w:r>
      </w:fldSimple>
      <w:bookmarkEnd w:id="546"/>
      <w:r>
        <w:t xml:space="preserve">: </w:t>
      </w:r>
      <w:r w:rsidR="00932AE2" w:rsidRPr="00D85274">
        <w:t>Compliance across Sample Designs for Duquesne’s PY7 Non-Residential Program Groups</w:t>
      </w:r>
      <w:bookmarkEnd w:id="547"/>
      <w:bookmarkEnd w:id="548"/>
      <w:bookmarkEnd w:id="549"/>
      <w:bookmarkEnd w:id="550"/>
      <w:bookmarkEnd w:id="551"/>
    </w:p>
    <w:tbl>
      <w:tblPr>
        <w:tblW w:w="936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060"/>
        <w:gridCol w:w="2100"/>
        <w:gridCol w:w="2100"/>
        <w:gridCol w:w="2100"/>
      </w:tblGrid>
      <w:tr w:rsidR="00A874AC" w:rsidRPr="00D85274" w:rsidTr="005D6981">
        <w:trPr>
          <w:cantSplit/>
          <w:trHeight w:val="583"/>
          <w:tblHeader/>
        </w:trPr>
        <w:tc>
          <w:tcPr>
            <w:tcW w:w="3060" w:type="dxa"/>
            <w:shd w:val="clear" w:color="000000" w:fill="448A99"/>
            <w:vAlign w:val="bottom"/>
            <w:hideMark/>
          </w:tcPr>
          <w:p w:rsidR="00932AE2" w:rsidRPr="00D85274" w:rsidRDefault="00932AE2" w:rsidP="006F7DE9">
            <w:pPr>
              <w:jc w:val="left"/>
              <w:rPr>
                <w:b/>
                <w:bCs/>
                <w:color w:val="FFFFFF"/>
                <w:sz w:val="20"/>
                <w:szCs w:val="20"/>
              </w:rPr>
            </w:pPr>
            <w:r w:rsidRPr="00D85274">
              <w:rPr>
                <w:b/>
                <w:bCs/>
                <w:color w:val="FFFFFF"/>
                <w:sz w:val="20"/>
                <w:szCs w:val="20"/>
              </w:rPr>
              <w:t>Program Group</w:t>
            </w:r>
          </w:p>
        </w:tc>
        <w:tc>
          <w:tcPr>
            <w:tcW w:w="2100" w:type="dxa"/>
            <w:shd w:val="clear" w:color="000000" w:fill="448A99"/>
            <w:vAlign w:val="bottom"/>
            <w:hideMark/>
          </w:tcPr>
          <w:p w:rsidR="00932AE2" w:rsidRPr="00D85274" w:rsidRDefault="00932AE2" w:rsidP="006F7DE9">
            <w:pPr>
              <w:jc w:val="center"/>
              <w:rPr>
                <w:b/>
                <w:bCs/>
                <w:color w:val="FFFFFF"/>
                <w:sz w:val="20"/>
                <w:szCs w:val="20"/>
              </w:rPr>
            </w:pPr>
            <w:r w:rsidRPr="00D85274">
              <w:rPr>
                <w:b/>
                <w:bCs/>
                <w:color w:val="FFFFFF"/>
                <w:sz w:val="20"/>
                <w:szCs w:val="20"/>
              </w:rPr>
              <w:t>Relative Precision at 85% CL for Energy</w:t>
            </w:r>
          </w:p>
        </w:tc>
        <w:tc>
          <w:tcPr>
            <w:tcW w:w="2100" w:type="dxa"/>
            <w:shd w:val="clear" w:color="000000" w:fill="448A99"/>
            <w:vAlign w:val="bottom"/>
            <w:hideMark/>
          </w:tcPr>
          <w:p w:rsidR="00932AE2" w:rsidRPr="00D85274" w:rsidRDefault="00932AE2" w:rsidP="006F7DE9">
            <w:pPr>
              <w:jc w:val="center"/>
              <w:rPr>
                <w:b/>
                <w:bCs/>
                <w:color w:val="FFFFFF"/>
                <w:sz w:val="20"/>
                <w:szCs w:val="20"/>
              </w:rPr>
            </w:pPr>
            <w:r w:rsidRPr="00D85274">
              <w:rPr>
                <w:b/>
                <w:bCs/>
                <w:color w:val="FFFFFF"/>
                <w:sz w:val="20"/>
                <w:szCs w:val="20"/>
              </w:rPr>
              <w:t>Relative Precision at 85% CL for Demand</w:t>
            </w:r>
          </w:p>
        </w:tc>
        <w:tc>
          <w:tcPr>
            <w:tcW w:w="2100" w:type="dxa"/>
            <w:shd w:val="clear" w:color="000000" w:fill="448A99"/>
            <w:vAlign w:val="bottom"/>
            <w:hideMark/>
          </w:tcPr>
          <w:p w:rsidR="00932AE2" w:rsidRPr="00D85274" w:rsidRDefault="00932AE2" w:rsidP="006F7DE9">
            <w:pPr>
              <w:jc w:val="center"/>
              <w:rPr>
                <w:b/>
                <w:bCs/>
                <w:color w:val="FFFFFF"/>
                <w:sz w:val="20"/>
                <w:szCs w:val="20"/>
              </w:rPr>
            </w:pPr>
            <w:r w:rsidRPr="00D85274">
              <w:rPr>
                <w:b/>
                <w:bCs/>
                <w:color w:val="FFFFFF"/>
                <w:sz w:val="20"/>
                <w:szCs w:val="20"/>
              </w:rPr>
              <w:t>Compliance with Evaluation Framework</w:t>
            </w:r>
          </w:p>
        </w:tc>
      </w:tr>
      <w:tr w:rsidR="00A874AC" w:rsidRPr="00D85274" w:rsidTr="005D6981">
        <w:trPr>
          <w:trHeight w:val="432"/>
        </w:trPr>
        <w:tc>
          <w:tcPr>
            <w:tcW w:w="3060" w:type="dxa"/>
            <w:shd w:val="clear" w:color="000000" w:fill="D2EAF1"/>
            <w:noWrap/>
            <w:vAlign w:val="center"/>
          </w:tcPr>
          <w:p w:rsidR="00932AE2" w:rsidRPr="00D85274" w:rsidRDefault="00932AE2" w:rsidP="006F7DE9">
            <w:pPr>
              <w:jc w:val="left"/>
              <w:rPr>
                <w:bCs/>
                <w:sz w:val="20"/>
                <w:szCs w:val="20"/>
              </w:rPr>
            </w:pPr>
            <w:r w:rsidRPr="00D85274">
              <w:rPr>
                <w:bCs/>
                <w:sz w:val="20"/>
                <w:szCs w:val="20"/>
              </w:rPr>
              <w:t>Commercial</w:t>
            </w:r>
          </w:p>
        </w:tc>
        <w:tc>
          <w:tcPr>
            <w:tcW w:w="2100" w:type="dxa"/>
            <w:shd w:val="clear" w:color="000000" w:fill="D2EAF1"/>
            <w:noWrap/>
            <w:vAlign w:val="center"/>
          </w:tcPr>
          <w:p w:rsidR="00932AE2" w:rsidRPr="00D85274" w:rsidRDefault="00932AE2" w:rsidP="006F7DE9">
            <w:pPr>
              <w:jc w:val="center"/>
              <w:rPr>
                <w:sz w:val="20"/>
                <w:szCs w:val="20"/>
              </w:rPr>
            </w:pPr>
            <w:r w:rsidRPr="00D85274">
              <w:rPr>
                <w:sz w:val="20"/>
                <w:szCs w:val="20"/>
              </w:rPr>
              <w:t>4%</w:t>
            </w:r>
          </w:p>
        </w:tc>
        <w:tc>
          <w:tcPr>
            <w:tcW w:w="2100" w:type="dxa"/>
            <w:shd w:val="clear" w:color="000000" w:fill="D2EAF1"/>
            <w:noWrap/>
            <w:vAlign w:val="center"/>
          </w:tcPr>
          <w:p w:rsidR="00932AE2" w:rsidRPr="00D85274" w:rsidRDefault="00932AE2" w:rsidP="006F7DE9">
            <w:pPr>
              <w:jc w:val="center"/>
              <w:rPr>
                <w:sz w:val="20"/>
                <w:szCs w:val="20"/>
              </w:rPr>
            </w:pPr>
            <w:r w:rsidRPr="00D85274">
              <w:rPr>
                <w:sz w:val="20"/>
                <w:szCs w:val="20"/>
              </w:rPr>
              <w:t>21%</w:t>
            </w:r>
          </w:p>
        </w:tc>
        <w:tc>
          <w:tcPr>
            <w:tcW w:w="2100" w:type="dxa"/>
            <w:shd w:val="clear" w:color="000000" w:fill="D2EAF1"/>
            <w:noWrap/>
            <w:vAlign w:val="center"/>
          </w:tcPr>
          <w:p w:rsidR="00932AE2" w:rsidRPr="00D85274" w:rsidRDefault="00932AE2" w:rsidP="006F7DE9">
            <w:pPr>
              <w:jc w:val="center"/>
              <w:rPr>
                <w:color w:val="00B050"/>
                <w:sz w:val="28"/>
                <w:szCs w:val="20"/>
              </w:rPr>
            </w:pPr>
            <w:r w:rsidRPr="00D85274">
              <w:rPr>
                <w:color w:val="00B050"/>
                <w:sz w:val="28"/>
                <w:szCs w:val="20"/>
              </w:rPr>
              <w:sym w:font="Wingdings" w:char="F0FC"/>
            </w:r>
          </w:p>
        </w:tc>
      </w:tr>
      <w:tr w:rsidR="00E7173E" w:rsidRPr="00D85274" w:rsidTr="005D6981">
        <w:trPr>
          <w:trHeight w:val="432"/>
        </w:trPr>
        <w:tc>
          <w:tcPr>
            <w:tcW w:w="3060" w:type="dxa"/>
            <w:shd w:val="clear" w:color="auto" w:fill="auto"/>
            <w:noWrap/>
            <w:vAlign w:val="center"/>
          </w:tcPr>
          <w:p w:rsidR="00932AE2" w:rsidRPr="00D85274" w:rsidRDefault="00932AE2" w:rsidP="006F7DE9">
            <w:pPr>
              <w:jc w:val="left"/>
              <w:rPr>
                <w:bCs/>
                <w:sz w:val="20"/>
                <w:szCs w:val="20"/>
              </w:rPr>
            </w:pPr>
            <w:r w:rsidRPr="00D85274">
              <w:rPr>
                <w:bCs/>
                <w:sz w:val="20"/>
                <w:szCs w:val="20"/>
              </w:rPr>
              <w:t>Industrial</w:t>
            </w:r>
          </w:p>
        </w:tc>
        <w:tc>
          <w:tcPr>
            <w:tcW w:w="2100" w:type="dxa"/>
            <w:shd w:val="clear" w:color="auto" w:fill="auto"/>
            <w:noWrap/>
            <w:vAlign w:val="center"/>
          </w:tcPr>
          <w:p w:rsidR="00932AE2" w:rsidRPr="00D85274" w:rsidRDefault="00932AE2" w:rsidP="006F7DE9">
            <w:pPr>
              <w:jc w:val="center"/>
              <w:rPr>
                <w:sz w:val="20"/>
                <w:szCs w:val="20"/>
              </w:rPr>
            </w:pPr>
            <w:r w:rsidRPr="00D85274">
              <w:rPr>
                <w:sz w:val="20"/>
                <w:szCs w:val="20"/>
              </w:rPr>
              <w:t>2%</w:t>
            </w:r>
          </w:p>
        </w:tc>
        <w:tc>
          <w:tcPr>
            <w:tcW w:w="2100" w:type="dxa"/>
            <w:shd w:val="clear" w:color="auto" w:fill="auto"/>
            <w:noWrap/>
            <w:vAlign w:val="center"/>
          </w:tcPr>
          <w:p w:rsidR="00932AE2" w:rsidRPr="00D85274" w:rsidRDefault="00932AE2" w:rsidP="006F7DE9">
            <w:pPr>
              <w:jc w:val="center"/>
              <w:rPr>
                <w:sz w:val="20"/>
                <w:szCs w:val="20"/>
              </w:rPr>
            </w:pPr>
            <w:r w:rsidRPr="00D85274">
              <w:rPr>
                <w:sz w:val="20"/>
                <w:szCs w:val="20"/>
              </w:rPr>
              <w:t>6%</w:t>
            </w:r>
          </w:p>
        </w:tc>
        <w:tc>
          <w:tcPr>
            <w:tcW w:w="2100" w:type="dxa"/>
            <w:shd w:val="clear" w:color="auto" w:fill="auto"/>
            <w:noWrap/>
            <w:vAlign w:val="center"/>
          </w:tcPr>
          <w:p w:rsidR="00932AE2" w:rsidRPr="00D85274" w:rsidRDefault="00932AE2" w:rsidP="006F7DE9">
            <w:pPr>
              <w:jc w:val="center"/>
              <w:rPr>
                <w:color w:val="00B050"/>
                <w:sz w:val="28"/>
                <w:szCs w:val="20"/>
              </w:rPr>
            </w:pPr>
            <w:r w:rsidRPr="00D85274">
              <w:rPr>
                <w:color w:val="00B050"/>
                <w:sz w:val="28"/>
                <w:szCs w:val="20"/>
              </w:rPr>
              <w:sym w:font="Wingdings" w:char="F0FC"/>
            </w:r>
          </w:p>
        </w:tc>
      </w:tr>
      <w:tr w:rsidR="00A874AC" w:rsidRPr="00D85274" w:rsidTr="005D6981">
        <w:trPr>
          <w:trHeight w:val="432"/>
        </w:trPr>
        <w:tc>
          <w:tcPr>
            <w:tcW w:w="3060" w:type="dxa"/>
            <w:shd w:val="clear" w:color="000000" w:fill="D2EAF1"/>
            <w:noWrap/>
            <w:vAlign w:val="center"/>
          </w:tcPr>
          <w:p w:rsidR="00932AE2" w:rsidRPr="00D85274" w:rsidRDefault="00932AE2" w:rsidP="006F7DE9">
            <w:pPr>
              <w:jc w:val="left"/>
              <w:rPr>
                <w:bCs/>
                <w:sz w:val="20"/>
                <w:szCs w:val="20"/>
              </w:rPr>
            </w:pPr>
            <w:r w:rsidRPr="00D85274">
              <w:rPr>
                <w:bCs/>
                <w:sz w:val="20"/>
                <w:szCs w:val="20"/>
              </w:rPr>
              <w:lastRenderedPageBreak/>
              <w:t>GNI</w:t>
            </w:r>
          </w:p>
        </w:tc>
        <w:tc>
          <w:tcPr>
            <w:tcW w:w="2100" w:type="dxa"/>
            <w:shd w:val="clear" w:color="000000" w:fill="D2EAF1"/>
            <w:noWrap/>
            <w:vAlign w:val="center"/>
          </w:tcPr>
          <w:p w:rsidR="00932AE2" w:rsidRPr="00D85274" w:rsidRDefault="00932AE2" w:rsidP="006F7DE9">
            <w:pPr>
              <w:jc w:val="center"/>
              <w:rPr>
                <w:sz w:val="20"/>
                <w:szCs w:val="20"/>
              </w:rPr>
            </w:pPr>
            <w:r w:rsidRPr="00D85274">
              <w:rPr>
                <w:bCs/>
                <w:sz w:val="20"/>
                <w:szCs w:val="20"/>
              </w:rPr>
              <w:t>9%</w:t>
            </w:r>
          </w:p>
        </w:tc>
        <w:tc>
          <w:tcPr>
            <w:tcW w:w="2100" w:type="dxa"/>
            <w:shd w:val="clear" w:color="000000" w:fill="D2EAF1"/>
            <w:noWrap/>
            <w:vAlign w:val="center"/>
          </w:tcPr>
          <w:p w:rsidR="00932AE2" w:rsidRPr="00D85274" w:rsidRDefault="00932AE2" w:rsidP="006F7DE9">
            <w:pPr>
              <w:jc w:val="center"/>
              <w:rPr>
                <w:sz w:val="20"/>
                <w:szCs w:val="20"/>
              </w:rPr>
            </w:pPr>
            <w:r w:rsidRPr="00D85274">
              <w:rPr>
                <w:bCs/>
                <w:sz w:val="20"/>
                <w:szCs w:val="20"/>
              </w:rPr>
              <w:t>29%</w:t>
            </w:r>
          </w:p>
        </w:tc>
        <w:tc>
          <w:tcPr>
            <w:tcW w:w="2100" w:type="dxa"/>
            <w:shd w:val="clear" w:color="000000" w:fill="D2EAF1"/>
            <w:noWrap/>
            <w:vAlign w:val="center"/>
          </w:tcPr>
          <w:p w:rsidR="00932AE2" w:rsidRPr="00D85274" w:rsidRDefault="00932AE2" w:rsidP="006F7DE9">
            <w:pPr>
              <w:jc w:val="center"/>
              <w:rPr>
                <w:color w:val="00B050"/>
                <w:sz w:val="28"/>
                <w:szCs w:val="20"/>
              </w:rPr>
            </w:pPr>
            <w:r w:rsidRPr="00D85274">
              <w:rPr>
                <w:color w:val="00B050"/>
                <w:sz w:val="28"/>
                <w:szCs w:val="20"/>
              </w:rPr>
              <w:sym w:font="Wingdings" w:char="F0FC"/>
            </w:r>
          </w:p>
        </w:tc>
      </w:tr>
    </w:tbl>
    <w:p w:rsidR="005D6981" w:rsidRDefault="005D6981" w:rsidP="00932AE2"/>
    <w:p w:rsidR="00932AE2" w:rsidRPr="00D85274" w:rsidRDefault="00932AE2" w:rsidP="00932AE2">
      <w:r w:rsidRPr="00D85274">
        <w:t xml:space="preserve">The goal of 15% precision at the 85% confidence level for energy was reached for all non-residential program groups in PY7. Details about each program evaluation sample are presented </w:t>
      </w:r>
      <w:r w:rsidR="00C033CF">
        <w:t>below</w:t>
      </w:r>
      <w:r w:rsidRPr="00D85274">
        <w:t>.</w:t>
      </w:r>
    </w:p>
    <w:p w:rsidR="00932AE2" w:rsidRPr="00D85274" w:rsidRDefault="00932AE2" w:rsidP="00932AE2"/>
    <w:p w:rsidR="00932AE2" w:rsidRPr="00D85274" w:rsidRDefault="00932AE2" w:rsidP="00932AE2">
      <w:r w:rsidRPr="00D85274">
        <w:t xml:space="preserve">As part of the audit process, the SWE Team performed 10 ride-along site inspections of non-residential projects to oversee Duquesne’s on-site evaluation practices. The projects selected for ride-along inspection encompassed lighting upgrades, chiller optimizations, and VFD installations. The SWE Team approved all 10 of the sampled project inspections. Details about all 10 projects and their associated findings are presented </w:t>
      </w:r>
      <w:r w:rsidR="00C033CF">
        <w:t>below</w:t>
      </w:r>
      <w:r w:rsidRPr="00D85274">
        <w:t>.</w:t>
      </w:r>
    </w:p>
    <w:p w:rsidR="00932AE2" w:rsidRDefault="00932AE2" w:rsidP="00932AE2"/>
    <w:p w:rsidR="00932AE2" w:rsidRDefault="00932AE2" w:rsidP="00932AE2">
      <w:r w:rsidRPr="00D85274">
        <w:t xml:space="preserve">The SWE Team performed a verified savings analysis on six submitted projects, checking for accuracy of the calculations, appropriateness of the evaluation method, and level of rigor selections. The SWE Team approved of Navigant’s evaluation methodologies and savings calculations across all projects. The SWE Team found a very high level of organization of project files and a high degree of completeness and clarity among the site reports. The results of the verified savings analysis are </w:t>
      </w:r>
      <w:r>
        <w:t>presented</w:t>
      </w:r>
      <w:r w:rsidRPr="00D85274">
        <w:t xml:space="preserve"> </w:t>
      </w:r>
      <w:r w:rsidR="00C033CF">
        <w:t>below</w:t>
      </w:r>
      <w:r w:rsidRPr="00D85274">
        <w:t>.</w:t>
      </w:r>
    </w:p>
    <w:p w:rsidR="00C033CF" w:rsidRDefault="00C033CF" w:rsidP="00932AE2"/>
    <w:p w:rsidR="00C033CF" w:rsidRDefault="00C033CF" w:rsidP="00C033CF">
      <w:pPr>
        <w:pStyle w:val="AppendixAHeading4"/>
      </w:pPr>
      <w:r>
        <w:t>Project Files Review</w:t>
      </w:r>
    </w:p>
    <w:p w:rsidR="00C033CF" w:rsidRDefault="00C033CF" w:rsidP="00C033CF">
      <w:pPr>
        <w:rPr>
          <w:color w:val="000000"/>
        </w:rPr>
      </w:pPr>
      <w:r w:rsidRPr="006E6583">
        <w:rPr>
          <w:color w:val="000000"/>
        </w:rPr>
        <w:t>The SWE Team review of non-residential projects completed by Duquesne in PY7 was done using project documentation files that Duquesne uploaded to the SWE Team SharePoint site quarterly. These files included project-level savings calculation workbooks, equipment invoices, customer incentive agreements, and post-inspection forms. The SWE Team reviewed 11 of the sample projects submitted, which included interior and exterior lighting retrofits, VFDs, industrial process improvements, and efficient chillers.</w:t>
      </w:r>
    </w:p>
    <w:p w:rsidR="00AE303A" w:rsidRDefault="00AE303A" w:rsidP="00C033CF">
      <w:pPr>
        <w:rPr>
          <w:color w:val="000000"/>
        </w:rPr>
      </w:pPr>
    </w:p>
    <w:p w:rsidR="00AE303A" w:rsidRDefault="00AE303A" w:rsidP="00C033CF">
      <w:pPr>
        <w:rPr>
          <w:color w:val="000000"/>
        </w:rPr>
      </w:pPr>
      <w:r>
        <w:rPr>
          <w:color w:val="000000"/>
        </w:rPr>
        <w:fldChar w:fldCharType="begin"/>
      </w:r>
      <w:r>
        <w:rPr>
          <w:color w:val="000000"/>
        </w:rPr>
        <w:instrText xml:space="preserve"> REF _Ref472462508 \h </w:instrText>
      </w:r>
      <w:r>
        <w:rPr>
          <w:color w:val="000000"/>
        </w:rPr>
      </w:r>
      <w:r>
        <w:rPr>
          <w:color w:val="000000"/>
        </w:rPr>
        <w:fldChar w:fldCharType="separate"/>
      </w:r>
      <w:r w:rsidR="00C301D0">
        <w:t>Table A-</w:t>
      </w:r>
      <w:r w:rsidR="00C301D0">
        <w:rPr>
          <w:noProof/>
        </w:rPr>
        <w:t>11</w:t>
      </w:r>
      <w:r>
        <w:rPr>
          <w:color w:val="000000"/>
        </w:rPr>
        <w:fldChar w:fldCharType="end"/>
      </w:r>
      <w:r>
        <w:rPr>
          <w:color w:val="000000"/>
        </w:rPr>
        <w:t xml:space="preserve"> </w:t>
      </w:r>
      <w:r w:rsidRPr="006E6583">
        <w:rPr>
          <w:color w:val="000000"/>
        </w:rPr>
        <w:t xml:space="preserve">presents an overview of the projects that were reviewed by the SWE </w:t>
      </w:r>
      <w:r>
        <w:rPr>
          <w:color w:val="000000"/>
        </w:rPr>
        <w:t xml:space="preserve">Team </w:t>
      </w:r>
      <w:r w:rsidRPr="006E6583">
        <w:rPr>
          <w:color w:val="000000"/>
        </w:rPr>
        <w:t>and the findings</w:t>
      </w:r>
      <w:r>
        <w:rPr>
          <w:color w:val="000000"/>
        </w:rPr>
        <w:t>.</w:t>
      </w:r>
    </w:p>
    <w:p w:rsidR="00AE303A" w:rsidRDefault="00AE303A" w:rsidP="00C033CF">
      <w:pPr>
        <w:rPr>
          <w:color w:val="000000"/>
        </w:rPr>
        <w:sectPr w:rsidR="00AE303A" w:rsidSect="00F52B41">
          <w:headerReference w:type="default" r:id="rId84"/>
          <w:footerReference w:type="default" r:id="rId85"/>
          <w:headerReference w:type="first" r:id="rId86"/>
          <w:footerReference w:type="first" r:id="rId87"/>
          <w:pgSz w:w="12240" w:h="15840"/>
          <w:pgMar w:top="1440" w:right="1440" w:bottom="1440" w:left="1440" w:header="720" w:footer="288" w:gutter="0"/>
          <w:cols w:space="720"/>
          <w:titlePg/>
          <w:docGrid w:linePitch="360"/>
        </w:sectPr>
      </w:pPr>
    </w:p>
    <w:p w:rsidR="00AE303A" w:rsidRDefault="00AE303A" w:rsidP="00AE303A">
      <w:pPr>
        <w:pStyle w:val="Caption"/>
      </w:pPr>
      <w:bookmarkStart w:id="552" w:name="_Ref472462508"/>
      <w:bookmarkStart w:id="553" w:name="_Toc472472420"/>
      <w:bookmarkStart w:id="554" w:name="_Toc476842126"/>
      <w:r>
        <w:lastRenderedPageBreak/>
        <w:t>Table A-</w:t>
      </w:r>
      <w:fldSimple w:instr=" SEQ Table_A- \* ARABIC ">
        <w:r w:rsidR="00C301D0">
          <w:rPr>
            <w:noProof/>
          </w:rPr>
          <w:t>11</w:t>
        </w:r>
      </w:fldSimple>
      <w:bookmarkEnd w:id="552"/>
      <w:r>
        <w:t>: Duquesne PY7 Project File Review Summary</w:t>
      </w:r>
      <w:bookmarkEnd w:id="553"/>
      <w:bookmarkEnd w:id="554"/>
    </w:p>
    <w:tbl>
      <w:tblPr>
        <w:tblStyle w:val="AnnualReportTableStyle"/>
        <w:tblW w:w="12939" w:type="dxa"/>
        <w:tblLook w:val="04A0" w:firstRow="1" w:lastRow="0" w:firstColumn="1" w:lastColumn="0" w:noHBand="0" w:noVBand="1"/>
      </w:tblPr>
      <w:tblGrid>
        <w:gridCol w:w="1737"/>
        <w:gridCol w:w="1190"/>
        <w:gridCol w:w="2288"/>
        <w:gridCol w:w="1021"/>
        <w:gridCol w:w="990"/>
        <w:gridCol w:w="1440"/>
        <w:gridCol w:w="1252"/>
        <w:gridCol w:w="1377"/>
        <w:gridCol w:w="1644"/>
      </w:tblGrid>
      <w:tr w:rsidR="00A874AC" w:rsidRPr="00A07AB2" w:rsidTr="00A07AB2">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1737" w:type="dxa"/>
            <w:noWrap/>
            <w:vAlign w:val="bottom"/>
            <w:hideMark/>
          </w:tcPr>
          <w:p w:rsidR="00AE303A" w:rsidRPr="00A07AB2" w:rsidRDefault="00AE303A" w:rsidP="00380FF9">
            <w:pPr>
              <w:rPr>
                <w:b w:val="0"/>
                <w:bCs/>
                <w:sz w:val="20"/>
                <w:szCs w:val="20"/>
              </w:rPr>
            </w:pPr>
            <w:r w:rsidRPr="00A07AB2">
              <w:rPr>
                <w:bCs/>
                <w:sz w:val="20"/>
                <w:szCs w:val="20"/>
              </w:rPr>
              <w:t>Project Number</w:t>
            </w:r>
          </w:p>
        </w:tc>
        <w:tc>
          <w:tcPr>
            <w:tcW w:w="1190" w:type="dxa"/>
            <w:noWrap/>
            <w:vAlign w:val="bottom"/>
            <w:hideMark/>
          </w:tcPr>
          <w:p w:rsidR="00AE303A" w:rsidRPr="00A07AB2" w:rsidRDefault="00C21C45"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A07AB2">
              <w:rPr>
                <w:bCs/>
                <w:sz w:val="20"/>
                <w:szCs w:val="20"/>
              </w:rPr>
              <w:t>Sector</w:t>
            </w:r>
          </w:p>
        </w:tc>
        <w:tc>
          <w:tcPr>
            <w:tcW w:w="2288" w:type="dxa"/>
            <w:vAlign w:val="bottom"/>
            <w:hideMark/>
          </w:tcPr>
          <w:p w:rsidR="00AE303A" w:rsidRPr="00A07AB2"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A07AB2">
              <w:rPr>
                <w:bCs/>
                <w:sz w:val="20"/>
                <w:szCs w:val="20"/>
              </w:rPr>
              <w:t>Project Description</w:t>
            </w:r>
          </w:p>
        </w:tc>
        <w:tc>
          <w:tcPr>
            <w:tcW w:w="1021" w:type="dxa"/>
            <w:vAlign w:val="bottom"/>
            <w:hideMark/>
          </w:tcPr>
          <w:p w:rsidR="00AE303A" w:rsidRPr="00A07AB2"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A07AB2">
              <w:rPr>
                <w:bCs/>
                <w:sz w:val="20"/>
                <w:szCs w:val="20"/>
              </w:rPr>
              <w:t>Are all files included?</w:t>
            </w:r>
          </w:p>
        </w:tc>
        <w:tc>
          <w:tcPr>
            <w:tcW w:w="990" w:type="dxa"/>
            <w:vAlign w:val="bottom"/>
            <w:hideMark/>
          </w:tcPr>
          <w:p w:rsidR="00AE303A" w:rsidRPr="00A07AB2"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A07AB2">
              <w:rPr>
                <w:bCs/>
                <w:sz w:val="20"/>
                <w:szCs w:val="20"/>
              </w:rPr>
              <w:t>Do values match program tracking data?</w:t>
            </w:r>
          </w:p>
        </w:tc>
        <w:tc>
          <w:tcPr>
            <w:tcW w:w="1440" w:type="dxa"/>
            <w:vAlign w:val="bottom"/>
            <w:hideMark/>
          </w:tcPr>
          <w:p w:rsidR="00AE303A" w:rsidRPr="00A07AB2"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A07AB2">
              <w:rPr>
                <w:bCs/>
                <w:sz w:val="20"/>
                <w:szCs w:val="20"/>
              </w:rPr>
              <w:t>Equipment discrepancy between invoices and calculations?</w:t>
            </w:r>
          </w:p>
        </w:tc>
        <w:tc>
          <w:tcPr>
            <w:tcW w:w="1252" w:type="dxa"/>
            <w:vAlign w:val="bottom"/>
            <w:hideMark/>
          </w:tcPr>
          <w:p w:rsidR="00AE303A" w:rsidRPr="00A07AB2"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A07AB2">
              <w:rPr>
                <w:bCs/>
                <w:sz w:val="20"/>
                <w:szCs w:val="20"/>
              </w:rPr>
              <w:t>Sufficient info for SWE to follow?</w:t>
            </w:r>
          </w:p>
        </w:tc>
        <w:tc>
          <w:tcPr>
            <w:tcW w:w="1377" w:type="dxa"/>
            <w:vAlign w:val="bottom"/>
            <w:hideMark/>
          </w:tcPr>
          <w:p w:rsidR="00AE303A" w:rsidRPr="00A07AB2"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A07AB2">
              <w:rPr>
                <w:bCs/>
                <w:sz w:val="20"/>
                <w:szCs w:val="20"/>
              </w:rPr>
              <w:t>For TRM measures, are correct algorithms and HOU values used?</w:t>
            </w:r>
          </w:p>
        </w:tc>
        <w:tc>
          <w:tcPr>
            <w:tcW w:w="1644" w:type="dxa"/>
            <w:vAlign w:val="bottom"/>
            <w:hideMark/>
          </w:tcPr>
          <w:p w:rsidR="00AE303A" w:rsidRPr="00A07AB2" w:rsidRDefault="00AE303A"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A07AB2">
              <w:rPr>
                <w:bCs/>
                <w:sz w:val="20"/>
                <w:szCs w:val="20"/>
              </w:rPr>
              <w:t>For Custom measures, is the methodology clear and auditable? Is it a sensible approach?</w:t>
            </w:r>
          </w:p>
        </w:tc>
      </w:tr>
      <w:tr w:rsidR="00A874AC" w:rsidRPr="00A07AB2" w:rsidTr="00A07AB2">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A07AB2" w:rsidRDefault="00AE303A" w:rsidP="00380FF9">
            <w:pPr>
              <w:jc w:val="left"/>
              <w:rPr>
                <w:b w:val="0"/>
                <w:color w:val="000000"/>
                <w:sz w:val="20"/>
                <w:szCs w:val="20"/>
              </w:rPr>
            </w:pPr>
            <w:r w:rsidRPr="00A07AB2">
              <w:rPr>
                <w:b w:val="0"/>
                <w:color w:val="000000"/>
                <w:sz w:val="20"/>
                <w:szCs w:val="20"/>
              </w:rPr>
              <w:t>0479510921.16.01</w:t>
            </w:r>
          </w:p>
        </w:tc>
        <w:tc>
          <w:tcPr>
            <w:tcW w:w="119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Commercial</w:t>
            </w:r>
          </w:p>
        </w:tc>
        <w:tc>
          <w:tcPr>
            <w:tcW w:w="2288" w:type="dxa"/>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Lighting retrofit and delamping</w:t>
            </w:r>
          </w:p>
        </w:tc>
        <w:tc>
          <w:tcPr>
            <w:tcW w:w="1021"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99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44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No</w:t>
            </w:r>
          </w:p>
        </w:tc>
        <w:tc>
          <w:tcPr>
            <w:tcW w:w="1252"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377"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644"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N/A</w:t>
            </w:r>
          </w:p>
        </w:tc>
      </w:tr>
      <w:tr w:rsidR="00AE303A" w:rsidRPr="00A07AB2" w:rsidTr="00DD4CC7">
        <w:trPr>
          <w:trHeight w:val="977"/>
        </w:trPr>
        <w:tc>
          <w:tcPr>
            <w:cnfStyle w:val="001000000000" w:firstRow="0" w:lastRow="0" w:firstColumn="1" w:lastColumn="0" w:oddVBand="0" w:evenVBand="0" w:oddHBand="0" w:evenHBand="0" w:firstRowFirstColumn="0" w:firstRowLastColumn="0" w:lastRowFirstColumn="0" w:lastRowLastColumn="0"/>
            <w:tcW w:w="0" w:type="dxa"/>
            <w:noWrap/>
            <w:hideMark/>
          </w:tcPr>
          <w:p w:rsidR="00AE303A" w:rsidRPr="00A07AB2" w:rsidRDefault="00AE303A" w:rsidP="00380FF9">
            <w:pPr>
              <w:jc w:val="left"/>
              <w:rPr>
                <w:b w:val="0"/>
                <w:color w:val="000000"/>
                <w:sz w:val="20"/>
                <w:szCs w:val="20"/>
              </w:rPr>
            </w:pPr>
            <w:r w:rsidRPr="00A07AB2">
              <w:rPr>
                <w:b w:val="0"/>
                <w:color w:val="000000"/>
                <w:sz w:val="20"/>
                <w:szCs w:val="20"/>
              </w:rPr>
              <w:t>1348100890.20.01</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Commercial</w:t>
            </w:r>
          </w:p>
        </w:tc>
        <w:tc>
          <w:tcPr>
            <w:tcW w:w="0" w:type="dxa"/>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Lighting retrofit (LED)</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No</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N/A</w:t>
            </w:r>
          </w:p>
        </w:tc>
      </w:tr>
      <w:tr w:rsidR="00A874AC" w:rsidRPr="00A07AB2" w:rsidTr="00A07AB2">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A07AB2" w:rsidRDefault="00AE303A" w:rsidP="00380FF9">
            <w:pPr>
              <w:jc w:val="left"/>
              <w:rPr>
                <w:b w:val="0"/>
                <w:color w:val="000000"/>
                <w:sz w:val="20"/>
                <w:szCs w:val="20"/>
              </w:rPr>
            </w:pPr>
            <w:r w:rsidRPr="00A07AB2">
              <w:rPr>
                <w:b w:val="0"/>
                <w:color w:val="000000"/>
                <w:sz w:val="20"/>
                <w:szCs w:val="20"/>
              </w:rPr>
              <w:t>2802720321.23.02</w:t>
            </w:r>
          </w:p>
        </w:tc>
        <w:tc>
          <w:tcPr>
            <w:tcW w:w="119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Industrial</w:t>
            </w:r>
          </w:p>
        </w:tc>
        <w:tc>
          <w:tcPr>
            <w:tcW w:w="2288" w:type="dxa"/>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Lighting retrofit</w:t>
            </w:r>
          </w:p>
        </w:tc>
        <w:tc>
          <w:tcPr>
            <w:tcW w:w="1021"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99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44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No</w:t>
            </w:r>
          </w:p>
        </w:tc>
        <w:tc>
          <w:tcPr>
            <w:tcW w:w="1252"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377"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644"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N/A</w:t>
            </w:r>
          </w:p>
        </w:tc>
      </w:tr>
      <w:tr w:rsidR="00AE303A" w:rsidRPr="00A07AB2" w:rsidTr="00DD4CC7">
        <w:trPr>
          <w:trHeight w:val="977"/>
        </w:trPr>
        <w:tc>
          <w:tcPr>
            <w:cnfStyle w:val="001000000000" w:firstRow="0" w:lastRow="0" w:firstColumn="1" w:lastColumn="0" w:oddVBand="0" w:evenVBand="0" w:oddHBand="0" w:evenHBand="0" w:firstRowFirstColumn="0" w:firstRowLastColumn="0" w:lastRowFirstColumn="0" w:lastRowLastColumn="0"/>
            <w:tcW w:w="0" w:type="dxa"/>
            <w:noWrap/>
            <w:hideMark/>
          </w:tcPr>
          <w:p w:rsidR="00AE303A" w:rsidRPr="00A07AB2" w:rsidRDefault="00AE303A" w:rsidP="00380FF9">
            <w:pPr>
              <w:jc w:val="left"/>
              <w:rPr>
                <w:b w:val="0"/>
                <w:color w:val="000000"/>
                <w:sz w:val="20"/>
                <w:szCs w:val="20"/>
              </w:rPr>
            </w:pPr>
            <w:r w:rsidRPr="00A07AB2">
              <w:rPr>
                <w:b w:val="0"/>
                <w:color w:val="000000"/>
                <w:sz w:val="20"/>
                <w:szCs w:val="20"/>
              </w:rPr>
              <w:t xml:space="preserve">5180200889.25.01 </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Industrial</w:t>
            </w:r>
          </w:p>
        </w:tc>
        <w:tc>
          <w:tcPr>
            <w:tcW w:w="0" w:type="dxa"/>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Lighting retrofit (outdoor MH to LED)</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No</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N/A</w:t>
            </w:r>
          </w:p>
        </w:tc>
      </w:tr>
      <w:tr w:rsidR="00A874AC" w:rsidRPr="00A07AB2" w:rsidTr="00A07AB2">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A07AB2" w:rsidRDefault="00AE303A" w:rsidP="00380FF9">
            <w:pPr>
              <w:jc w:val="left"/>
              <w:rPr>
                <w:b w:val="0"/>
                <w:color w:val="000000"/>
                <w:sz w:val="20"/>
                <w:szCs w:val="20"/>
              </w:rPr>
            </w:pPr>
            <w:r w:rsidRPr="00A07AB2">
              <w:rPr>
                <w:b w:val="0"/>
                <w:color w:val="000000"/>
                <w:sz w:val="20"/>
                <w:szCs w:val="20"/>
              </w:rPr>
              <w:t>6000006806.26.07</w:t>
            </w:r>
          </w:p>
        </w:tc>
        <w:tc>
          <w:tcPr>
            <w:tcW w:w="119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Commercial</w:t>
            </w:r>
          </w:p>
        </w:tc>
        <w:tc>
          <w:tcPr>
            <w:tcW w:w="2288" w:type="dxa"/>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Custom (2 centrifugal chiller retrofit, pump VFDs, and cooling tower fan VFDs)</w:t>
            </w:r>
          </w:p>
        </w:tc>
        <w:tc>
          <w:tcPr>
            <w:tcW w:w="1021"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990" w:type="dxa"/>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44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No</w:t>
            </w:r>
          </w:p>
        </w:tc>
        <w:tc>
          <w:tcPr>
            <w:tcW w:w="1252"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377"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N/A</w:t>
            </w:r>
          </w:p>
        </w:tc>
        <w:tc>
          <w:tcPr>
            <w:tcW w:w="1644"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r>
      <w:tr w:rsidR="00AE303A" w:rsidRPr="00A07AB2" w:rsidTr="00DD4CC7">
        <w:trPr>
          <w:trHeight w:val="977"/>
        </w:trPr>
        <w:tc>
          <w:tcPr>
            <w:cnfStyle w:val="001000000000" w:firstRow="0" w:lastRow="0" w:firstColumn="1" w:lastColumn="0" w:oddVBand="0" w:evenVBand="0" w:oddHBand="0" w:evenHBand="0" w:firstRowFirstColumn="0" w:firstRowLastColumn="0" w:lastRowFirstColumn="0" w:lastRowLastColumn="0"/>
            <w:tcW w:w="0" w:type="dxa"/>
            <w:noWrap/>
            <w:hideMark/>
          </w:tcPr>
          <w:p w:rsidR="00AE303A" w:rsidRPr="00A07AB2" w:rsidRDefault="00AE303A" w:rsidP="00380FF9">
            <w:pPr>
              <w:jc w:val="left"/>
              <w:rPr>
                <w:b w:val="0"/>
                <w:color w:val="000000"/>
                <w:sz w:val="20"/>
                <w:szCs w:val="20"/>
              </w:rPr>
            </w:pPr>
            <w:r w:rsidRPr="00A07AB2">
              <w:rPr>
                <w:b w:val="0"/>
                <w:color w:val="000000"/>
                <w:sz w:val="20"/>
                <w:szCs w:val="20"/>
              </w:rPr>
              <w:t>8094410797.23.03</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Industrial</w:t>
            </w:r>
          </w:p>
        </w:tc>
        <w:tc>
          <w:tcPr>
            <w:tcW w:w="0" w:type="dxa"/>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Lighting retrofit (outdoor MH to LED)</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No</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N/A</w:t>
            </w:r>
          </w:p>
        </w:tc>
      </w:tr>
      <w:tr w:rsidR="00A874AC" w:rsidRPr="00A07AB2" w:rsidTr="00A07AB2">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A07AB2" w:rsidRDefault="00AE303A" w:rsidP="00380FF9">
            <w:pPr>
              <w:jc w:val="left"/>
              <w:rPr>
                <w:b w:val="0"/>
                <w:color w:val="000000"/>
                <w:sz w:val="20"/>
                <w:szCs w:val="20"/>
              </w:rPr>
            </w:pPr>
            <w:r w:rsidRPr="00A07AB2">
              <w:rPr>
                <w:b w:val="0"/>
                <w:color w:val="000000"/>
                <w:sz w:val="20"/>
                <w:szCs w:val="20"/>
              </w:rPr>
              <w:t>0113630227.16.01</w:t>
            </w:r>
          </w:p>
        </w:tc>
        <w:tc>
          <w:tcPr>
            <w:tcW w:w="119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Commercial</w:t>
            </w:r>
          </w:p>
        </w:tc>
        <w:tc>
          <w:tcPr>
            <w:tcW w:w="2288" w:type="dxa"/>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Lighting retrofit (MH to T5)</w:t>
            </w:r>
          </w:p>
        </w:tc>
        <w:tc>
          <w:tcPr>
            <w:tcW w:w="1021"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99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44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No</w:t>
            </w:r>
          </w:p>
        </w:tc>
        <w:tc>
          <w:tcPr>
            <w:tcW w:w="1252"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377"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644"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N/A</w:t>
            </w:r>
          </w:p>
        </w:tc>
      </w:tr>
      <w:tr w:rsidR="00AE303A" w:rsidRPr="00A07AB2" w:rsidTr="00DD4CC7">
        <w:trPr>
          <w:trHeight w:val="977"/>
        </w:trPr>
        <w:tc>
          <w:tcPr>
            <w:cnfStyle w:val="001000000000" w:firstRow="0" w:lastRow="0" w:firstColumn="1" w:lastColumn="0" w:oddVBand="0" w:evenVBand="0" w:oddHBand="0" w:evenHBand="0" w:firstRowFirstColumn="0" w:firstRowLastColumn="0" w:lastRowFirstColumn="0" w:lastRowLastColumn="0"/>
            <w:tcW w:w="0" w:type="dxa"/>
            <w:noWrap/>
            <w:hideMark/>
          </w:tcPr>
          <w:p w:rsidR="00AE303A" w:rsidRPr="00A07AB2" w:rsidRDefault="00AE303A" w:rsidP="00380FF9">
            <w:pPr>
              <w:jc w:val="left"/>
              <w:rPr>
                <w:b w:val="0"/>
                <w:color w:val="000000"/>
                <w:sz w:val="20"/>
                <w:szCs w:val="20"/>
              </w:rPr>
            </w:pPr>
            <w:r w:rsidRPr="00A07AB2">
              <w:rPr>
                <w:b w:val="0"/>
                <w:color w:val="000000"/>
                <w:sz w:val="20"/>
                <w:szCs w:val="20"/>
              </w:rPr>
              <w:lastRenderedPageBreak/>
              <w:t>0490399186.18.01</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Commercial</w:t>
            </w:r>
          </w:p>
        </w:tc>
        <w:tc>
          <w:tcPr>
            <w:tcW w:w="0" w:type="dxa"/>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Lighting retrofit (inc. and hal. to LED)</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No</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N/A</w:t>
            </w:r>
          </w:p>
        </w:tc>
      </w:tr>
      <w:tr w:rsidR="00A874AC" w:rsidRPr="00A07AB2" w:rsidTr="00A07AB2">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A07AB2" w:rsidRDefault="00AE303A" w:rsidP="00380FF9">
            <w:pPr>
              <w:jc w:val="left"/>
              <w:rPr>
                <w:b w:val="0"/>
                <w:color w:val="000000"/>
                <w:sz w:val="20"/>
                <w:szCs w:val="20"/>
              </w:rPr>
            </w:pPr>
            <w:r w:rsidRPr="00A07AB2">
              <w:rPr>
                <w:b w:val="0"/>
                <w:color w:val="000000"/>
                <w:sz w:val="20"/>
                <w:szCs w:val="20"/>
              </w:rPr>
              <w:t>4630110635.23.01</w:t>
            </w:r>
          </w:p>
        </w:tc>
        <w:tc>
          <w:tcPr>
            <w:tcW w:w="119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Industrial</w:t>
            </w:r>
          </w:p>
        </w:tc>
        <w:tc>
          <w:tcPr>
            <w:tcW w:w="2288" w:type="dxa"/>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Lighting retrofit (inc. to LED)</w:t>
            </w:r>
          </w:p>
        </w:tc>
        <w:tc>
          <w:tcPr>
            <w:tcW w:w="1021"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99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44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No</w:t>
            </w:r>
          </w:p>
        </w:tc>
        <w:tc>
          <w:tcPr>
            <w:tcW w:w="1252"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377"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644"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N/A</w:t>
            </w:r>
          </w:p>
        </w:tc>
      </w:tr>
      <w:tr w:rsidR="00AE303A" w:rsidRPr="00A07AB2" w:rsidTr="00DD4CC7">
        <w:trPr>
          <w:trHeight w:val="977"/>
        </w:trPr>
        <w:tc>
          <w:tcPr>
            <w:cnfStyle w:val="001000000000" w:firstRow="0" w:lastRow="0" w:firstColumn="1" w:lastColumn="0" w:oddVBand="0" w:evenVBand="0" w:oddHBand="0" w:evenHBand="0" w:firstRowFirstColumn="0" w:firstRowLastColumn="0" w:lastRowFirstColumn="0" w:lastRowLastColumn="0"/>
            <w:tcW w:w="0" w:type="dxa"/>
            <w:noWrap/>
            <w:hideMark/>
          </w:tcPr>
          <w:p w:rsidR="00AE303A" w:rsidRPr="00A07AB2" w:rsidRDefault="00AE303A" w:rsidP="00380FF9">
            <w:pPr>
              <w:jc w:val="left"/>
              <w:rPr>
                <w:b w:val="0"/>
                <w:color w:val="000000"/>
                <w:sz w:val="20"/>
                <w:szCs w:val="20"/>
              </w:rPr>
            </w:pPr>
            <w:r w:rsidRPr="00A07AB2">
              <w:rPr>
                <w:b w:val="0"/>
                <w:color w:val="000000"/>
                <w:sz w:val="20"/>
                <w:szCs w:val="20"/>
              </w:rPr>
              <w:t>5443020177.16.01</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Commercial</w:t>
            </w:r>
          </w:p>
        </w:tc>
        <w:tc>
          <w:tcPr>
            <w:tcW w:w="0" w:type="dxa"/>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Lighting retrofit (MH to LED)</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No</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Yes</w:t>
            </w:r>
          </w:p>
        </w:tc>
        <w:tc>
          <w:tcPr>
            <w:tcW w:w="0" w:type="dxa"/>
            <w:noWrap/>
            <w:hideMark/>
          </w:tcPr>
          <w:p w:rsidR="00AE303A" w:rsidRPr="00A07AB2" w:rsidRDefault="00AE303A"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A07AB2">
              <w:rPr>
                <w:color w:val="000000"/>
                <w:sz w:val="20"/>
                <w:szCs w:val="20"/>
              </w:rPr>
              <w:t>N/A</w:t>
            </w:r>
          </w:p>
        </w:tc>
      </w:tr>
      <w:tr w:rsidR="00A874AC" w:rsidRPr="00A07AB2" w:rsidTr="00A07AB2">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737" w:type="dxa"/>
            <w:noWrap/>
            <w:hideMark/>
          </w:tcPr>
          <w:p w:rsidR="00AE303A" w:rsidRPr="00A07AB2" w:rsidRDefault="00AE303A" w:rsidP="00380FF9">
            <w:pPr>
              <w:jc w:val="left"/>
              <w:rPr>
                <w:b w:val="0"/>
                <w:color w:val="000000"/>
                <w:sz w:val="20"/>
                <w:szCs w:val="20"/>
              </w:rPr>
            </w:pPr>
            <w:r w:rsidRPr="00A07AB2">
              <w:rPr>
                <w:b w:val="0"/>
                <w:color w:val="000000"/>
                <w:sz w:val="20"/>
                <w:szCs w:val="20"/>
              </w:rPr>
              <w:t>0332040586.24.19</w:t>
            </w:r>
          </w:p>
        </w:tc>
        <w:tc>
          <w:tcPr>
            <w:tcW w:w="119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Industrial</w:t>
            </w:r>
          </w:p>
        </w:tc>
        <w:tc>
          <w:tcPr>
            <w:tcW w:w="2288" w:type="dxa"/>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Custom (automated temperature control valves)</w:t>
            </w:r>
          </w:p>
        </w:tc>
        <w:tc>
          <w:tcPr>
            <w:tcW w:w="1021"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990" w:type="dxa"/>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440"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No</w:t>
            </w:r>
          </w:p>
        </w:tc>
        <w:tc>
          <w:tcPr>
            <w:tcW w:w="1252"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c>
          <w:tcPr>
            <w:tcW w:w="1377"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N/A</w:t>
            </w:r>
          </w:p>
        </w:tc>
        <w:tc>
          <w:tcPr>
            <w:tcW w:w="1644" w:type="dxa"/>
            <w:noWrap/>
            <w:hideMark/>
          </w:tcPr>
          <w:p w:rsidR="00AE303A" w:rsidRPr="00A07AB2" w:rsidRDefault="00AE303A"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A07AB2">
              <w:rPr>
                <w:color w:val="000000"/>
                <w:sz w:val="20"/>
                <w:szCs w:val="20"/>
              </w:rPr>
              <w:t>Yes</w:t>
            </w:r>
          </w:p>
        </w:tc>
      </w:tr>
    </w:tbl>
    <w:p w:rsidR="00AE303A" w:rsidRPr="00AE303A" w:rsidRDefault="00AE303A" w:rsidP="00AE303A">
      <w:pPr>
        <w:sectPr w:rsidR="00AE303A" w:rsidRPr="00AE303A" w:rsidSect="005C3E63">
          <w:headerReference w:type="default" r:id="rId88"/>
          <w:footerReference w:type="default" r:id="rId89"/>
          <w:headerReference w:type="first" r:id="rId90"/>
          <w:footerReference w:type="first" r:id="rId91"/>
          <w:pgSz w:w="15840" w:h="12240" w:orient="landscape"/>
          <w:pgMar w:top="1440" w:right="1440" w:bottom="1440" w:left="1440" w:header="720" w:footer="288" w:gutter="0"/>
          <w:cols w:space="720"/>
          <w:titlePg/>
          <w:docGrid w:linePitch="360"/>
        </w:sectPr>
      </w:pPr>
    </w:p>
    <w:p w:rsidR="00AE303A" w:rsidRPr="006E6583" w:rsidRDefault="00AE303A" w:rsidP="00AE303A">
      <w:pPr>
        <w:rPr>
          <w:color w:val="000000"/>
        </w:rPr>
      </w:pPr>
      <w:r w:rsidRPr="006E6583">
        <w:rPr>
          <w:color w:val="000000"/>
        </w:rPr>
        <w:lastRenderedPageBreak/>
        <w:t xml:space="preserve">In PY6 the SWE Team review of Duquesne’s project files was almost seamless, identifying only minimal inconsistencies across documentation, and only two issues detrimental to the SWE Team’s understanding of the projects. Project files were found to be conclusive and organized, with few exceptions. In PY7 this continued, with no issues discovered in the course of the project file reviews. At this time, the SWE Team only requests that the clarity and orderliness of project files </w:t>
      </w:r>
      <w:r>
        <w:rPr>
          <w:color w:val="000000"/>
        </w:rPr>
        <w:t>be</w:t>
      </w:r>
      <w:r w:rsidRPr="006E6583">
        <w:rPr>
          <w:color w:val="000000"/>
        </w:rPr>
        <w:t xml:space="preserve"> maintained going into Phase III.</w:t>
      </w:r>
    </w:p>
    <w:p w:rsidR="00AE303A" w:rsidRPr="006E6583" w:rsidRDefault="00AE303A" w:rsidP="00AE303A"/>
    <w:p w:rsidR="00AE303A" w:rsidRPr="006E6583" w:rsidRDefault="00AE303A" w:rsidP="00AE303A">
      <w:pPr>
        <w:pStyle w:val="AppendixAHeading4"/>
        <w:rPr>
          <w:rFonts w:eastAsia="Calibri"/>
        </w:rPr>
      </w:pPr>
      <w:bookmarkStart w:id="555" w:name="_Toc408557467"/>
      <w:r w:rsidRPr="006E6583">
        <w:rPr>
          <w:rFonts w:eastAsia="Calibri"/>
        </w:rPr>
        <w:t>Sample Design Review</w:t>
      </w:r>
      <w:bookmarkEnd w:id="555"/>
    </w:p>
    <w:p w:rsidR="00AE303A" w:rsidRPr="006E6583" w:rsidRDefault="00AE303A" w:rsidP="00AE303A">
      <w:pPr>
        <w:spacing w:after="120"/>
      </w:pPr>
      <w:r w:rsidRPr="006E6583">
        <w:t>Duquesne’s PY7 annual report provided detailed information about the sample design for the PY7 gross impact evaluation of non-residential programs. Programs in the non-residential sector were divided into three groups: commercial, industrial, and GNI. GNI programs were separated from the commercial programs and formed a single evaluation group because their contribution to the non-residential sector’s savings was greater than 20% in PY</w:t>
      </w:r>
      <w:r w:rsidR="00030A16">
        <w:t>6</w:t>
      </w:r>
      <w:r w:rsidRPr="006E6583">
        <w:t>. This approach is aligned with the guidance in the Evaluation Framework.</w:t>
      </w:r>
      <w:r w:rsidRPr="006E6583">
        <w:rPr>
          <w:rFonts w:cs="Calibri"/>
        </w:rPr>
        <w:t xml:space="preserve"> The Small Commercial Direct Install Program and the MFHR Program were new in PY6 and were sampled separately to ensure </w:t>
      </w:r>
      <w:r>
        <w:rPr>
          <w:rFonts w:cs="Calibri"/>
        </w:rPr>
        <w:t xml:space="preserve">that </w:t>
      </w:r>
      <w:r w:rsidRPr="006E6583">
        <w:rPr>
          <w:rFonts w:cs="Calibri"/>
        </w:rPr>
        <w:t>their realization rates weren’t too dissimilar from the rest of the Commercial Program Group. This was verified as true in PY6</w:t>
      </w:r>
      <w:r w:rsidR="00C21C45">
        <w:rPr>
          <w:rFonts w:cs="Calibri"/>
        </w:rPr>
        <w:t>;</w:t>
      </w:r>
      <w:r w:rsidRPr="006E6583">
        <w:rPr>
          <w:rFonts w:cs="Calibri"/>
        </w:rPr>
        <w:t xml:space="preserve"> thus for PY7 these programs are included in the Commercial and GNI Program </w:t>
      </w:r>
      <w:r>
        <w:rPr>
          <w:rFonts w:cs="Calibri"/>
        </w:rPr>
        <w:t>g</w:t>
      </w:r>
      <w:r w:rsidRPr="006E6583">
        <w:rPr>
          <w:rFonts w:cs="Calibri"/>
        </w:rPr>
        <w:t xml:space="preserve">roups as appropriate. </w:t>
      </w:r>
      <w:r w:rsidRPr="006E6583">
        <w:t>Duquesne’s evaluation contractor addressed three main evaluation groups for the non-residential sector’s gross impact evaluation:</w:t>
      </w:r>
    </w:p>
    <w:p w:rsidR="00AE303A" w:rsidRPr="00554E00" w:rsidRDefault="00AE303A" w:rsidP="00E646C9">
      <w:pPr>
        <w:pStyle w:val="ListParagraph"/>
        <w:numPr>
          <w:ilvl w:val="0"/>
          <w:numId w:val="31"/>
        </w:numPr>
        <w:ind w:left="360"/>
      </w:pPr>
      <w:r w:rsidRPr="00554E00">
        <w:t>Commercial Program Group</w:t>
      </w:r>
    </w:p>
    <w:p w:rsidR="00AE303A" w:rsidRPr="00554E00" w:rsidRDefault="00AE303A" w:rsidP="00E646C9">
      <w:pPr>
        <w:pStyle w:val="ListParagraph"/>
        <w:numPr>
          <w:ilvl w:val="0"/>
          <w:numId w:val="31"/>
        </w:numPr>
        <w:ind w:left="360"/>
      </w:pPr>
      <w:r w:rsidRPr="00554E00">
        <w:t>Industrial Program Group</w:t>
      </w:r>
    </w:p>
    <w:p w:rsidR="00AE303A" w:rsidRPr="00554E00" w:rsidRDefault="00AE303A" w:rsidP="00E646C9">
      <w:pPr>
        <w:pStyle w:val="ListParagraph"/>
        <w:numPr>
          <w:ilvl w:val="0"/>
          <w:numId w:val="31"/>
        </w:numPr>
        <w:ind w:left="360"/>
      </w:pPr>
      <w:r w:rsidRPr="00554E00">
        <w:t>GNI Program Group</w:t>
      </w:r>
    </w:p>
    <w:p w:rsidR="00AE303A" w:rsidRDefault="00AE303A" w:rsidP="00AE303A"/>
    <w:p w:rsidR="00AE303A" w:rsidRPr="006E6583" w:rsidRDefault="00AE303A" w:rsidP="00AE303A">
      <w:r w:rsidRPr="006E6583">
        <w:t>Duquesne’s targeted level of precision for each of the three evaluation groups was ±15% at the 85% confidence level. The SWE Team reviewed this approach and determined that it was appropriate and met the minimum annual confidence</w:t>
      </w:r>
      <w:r>
        <w:t>/</w:t>
      </w:r>
      <w:r w:rsidRPr="006E6583">
        <w:t>precision level requirement in the Evaluation Framework.</w:t>
      </w:r>
    </w:p>
    <w:p w:rsidR="00AE303A" w:rsidRPr="006E6583" w:rsidRDefault="00AE303A" w:rsidP="00AE303A">
      <w:pPr>
        <w:rPr>
          <w:b/>
          <w:i/>
        </w:rPr>
      </w:pPr>
    </w:p>
    <w:p w:rsidR="00AE303A" w:rsidRPr="006E6583" w:rsidRDefault="00AE303A" w:rsidP="00AE303A">
      <w:pPr>
        <w:pStyle w:val="AppendixAHeading5"/>
      </w:pPr>
      <w:r w:rsidRPr="006E6583">
        <w:t>Commercial Program Group</w:t>
      </w:r>
    </w:p>
    <w:p w:rsidR="00AE303A" w:rsidRPr="006E6583" w:rsidRDefault="00AE303A" w:rsidP="00AE303A">
      <w:pPr>
        <w:autoSpaceDE w:val="0"/>
        <w:autoSpaceDN w:val="0"/>
        <w:adjustRightInd w:val="0"/>
        <w:rPr>
          <w:rFonts w:cs="Calibri"/>
        </w:rPr>
      </w:pPr>
      <w:r w:rsidRPr="006E6583">
        <w:t>The Commercial Program Group includes an overall umbrella program and six market-segment programs: Office, Public Agency, Retail, Healthcare,</w:t>
      </w:r>
      <w:r w:rsidRPr="006E6583">
        <w:rPr>
          <w:rFonts w:cs="Calibri"/>
        </w:rPr>
        <w:t xml:space="preserve"> Small Commercial Direct Install Program, and the MFHR Program.</w:t>
      </w:r>
      <w:r w:rsidRPr="006E6583">
        <w:t xml:space="preserve"> The stratification was based on a project’s level of ex ante energy savings (kWh), and a simple random sample was selected from each stratum. Duquesne’s PY7 commercial-sector sampling strategy is shown in </w:t>
      </w:r>
      <w:r>
        <w:fldChar w:fldCharType="begin"/>
      </w:r>
      <w:r>
        <w:instrText xml:space="preserve"> REF _Ref472462626 \h </w:instrText>
      </w:r>
      <w:r>
        <w:fldChar w:fldCharType="separate"/>
      </w:r>
      <w:r w:rsidR="00C301D0">
        <w:t>Table A-</w:t>
      </w:r>
      <w:r w:rsidR="00C301D0">
        <w:rPr>
          <w:noProof/>
        </w:rPr>
        <w:t>12</w:t>
      </w:r>
      <w:r>
        <w:fldChar w:fldCharType="end"/>
      </w:r>
      <w:r w:rsidRPr="006E6583">
        <w:t>.</w:t>
      </w:r>
    </w:p>
    <w:p w:rsidR="00AE303A" w:rsidRPr="006E6583" w:rsidRDefault="00AE303A" w:rsidP="00AE303A"/>
    <w:p w:rsidR="00AE303A" w:rsidRPr="006E6583" w:rsidRDefault="00AE303A" w:rsidP="00AE303A">
      <w:pPr>
        <w:pStyle w:val="Caption"/>
        <w:rPr>
          <w:b w:val="0"/>
          <w:bCs w:val="0"/>
        </w:rPr>
      </w:pPr>
      <w:bookmarkStart w:id="556" w:name="_Ref472462626"/>
      <w:bookmarkStart w:id="557" w:name="_Toc410199377"/>
      <w:bookmarkStart w:id="558" w:name="_Toc431462322"/>
      <w:bookmarkStart w:id="559" w:name="_Toc444269838"/>
      <w:bookmarkStart w:id="560" w:name="_Toc472472421"/>
      <w:bookmarkStart w:id="561" w:name="_Toc476842127"/>
      <w:r>
        <w:t>Table A-</w:t>
      </w:r>
      <w:fldSimple w:instr=" SEQ Table_A- \* ARABIC ">
        <w:r w:rsidR="00C301D0">
          <w:rPr>
            <w:noProof/>
          </w:rPr>
          <w:t>12</w:t>
        </w:r>
      </w:fldSimple>
      <w:bookmarkEnd w:id="556"/>
      <w:r>
        <w:t xml:space="preserve">: </w:t>
      </w:r>
      <w:r w:rsidRPr="006E6583">
        <w:t>Duquesne’s PY7 Sampling Strategy – Commercial Program Group</w:t>
      </w:r>
      <w:bookmarkEnd w:id="557"/>
      <w:bookmarkEnd w:id="558"/>
      <w:bookmarkEnd w:id="559"/>
      <w:bookmarkEnd w:id="560"/>
      <w:bookmarkEnd w:id="561"/>
    </w:p>
    <w:tbl>
      <w:tblPr>
        <w:tblW w:w="936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800"/>
        <w:gridCol w:w="1669"/>
        <w:gridCol w:w="1670"/>
        <w:gridCol w:w="1669"/>
        <w:gridCol w:w="1552"/>
      </w:tblGrid>
      <w:tr w:rsidR="00A874AC" w:rsidRPr="006E6583" w:rsidTr="005C3E63">
        <w:trPr>
          <w:trHeight w:val="20"/>
        </w:trPr>
        <w:tc>
          <w:tcPr>
            <w:tcW w:w="2800" w:type="dxa"/>
            <w:shd w:val="clear" w:color="auto" w:fill="448A99"/>
            <w:vAlign w:val="bottom"/>
            <w:hideMark/>
          </w:tcPr>
          <w:p w:rsidR="00AE303A" w:rsidRPr="006E6583" w:rsidRDefault="00AE303A" w:rsidP="00380FF9">
            <w:pPr>
              <w:jc w:val="left"/>
              <w:rPr>
                <w:b/>
                <w:bCs/>
                <w:color w:val="FFFFFF"/>
                <w:sz w:val="20"/>
                <w:szCs w:val="20"/>
              </w:rPr>
            </w:pPr>
            <w:r w:rsidRPr="006E6583">
              <w:rPr>
                <w:b/>
                <w:bCs/>
                <w:color w:val="FFFFFF"/>
                <w:sz w:val="20"/>
                <w:szCs w:val="20"/>
              </w:rPr>
              <w:t>Stratum</w:t>
            </w:r>
          </w:p>
        </w:tc>
        <w:tc>
          <w:tcPr>
            <w:tcW w:w="1669"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Population</w:t>
            </w:r>
          </w:p>
        </w:tc>
        <w:tc>
          <w:tcPr>
            <w:tcW w:w="1670"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Target Levels of Confidence &amp; Precision</w:t>
            </w:r>
          </w:p>
        </w:tc>
        <w:tc>
          <w:tcPr>
            <w:tcW w:w="1669"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Target Sample Size</w:t>
            </w:r>
          </w:p>
        </w:tc>
        <w:tc>
          <w:tcPr>
            <w:tcW w:w="1552"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Achieved Sample Size</w:t>
            </w:r>
          </w:p>
        </w:tc>
      </w:tr>
      <w:tr w:rsidR="00A874AC" w:rsidRPr="006E6583" w:rsidTr="005C3E63">
        <w:trPr>
          <w:trHeight w:val="346"/>
        </w:trPr>
        <w:tc>
          <w:tcPr>
            <w:tcW w:w="2800" w:type="dxa"/>
            <w:shd w:val="clear" w:color="auto" w:fill="D2EAF1"/>
          </w:tcPr>
          <w:p w:rsidR="00AE303A" w:rsidRPr="00576A41" w:rsidRDefault="00AE303A" w:rsidP="00380FF9">
            <w:pPr>
              <w:jc w:val="left"/>
              <w:rPr>
                <w:bCs/>
                <w:color w:val="000000"/>
                <w:sz w:val="20"/>
                <w:szCs w:val="20"/>
              </w:rPr>
            </w:pPr>
            <w:r w:rsidRPr="00576A41">
              <w:rPr>
                <w:bCs/>
                <w:color w:val="000000"/>
                <w:sz w:val="20"/>
                <w:szCs w:val="20"/>
              </w:rPr>
              <w:t>Commercial – Large</w:t>
            </w:r>
          </w:p>
        </w:tc>
        <w:tc>
          <w:tcPr>
            <w:tcW w:w="1669" w:type="dxa"/>
            <w:shd w:val="clear" w:color="auto" w:fill="D2EAF1"/>
            <w:noWrap/>
          </w:tcPr>
          <w:p w:rsidR="00AE303A" w:rsidRPr="006E6583" w:rsidRDefault="00AE303A" w:rsidP="00380FF9">
            <w:pPr>
              <w:jc w:val="center"/>
              <w:rPr>
                <w:color w:val="000000"/>
                <w:sz w:val="20"/>
                <w:szCs w:val="20"/>
              </w:rPr>
            </w:pPr>
            <w:r w:rsidRPr="006E6583">
              <w:rPr>
                <w:rFonts w:eastAsiaTheme="minorHAnsi" w:cs="Calibri"/>
                <w:sz w:val="20"/>
                <w:szCs w:val="20"/>
              </w:rPr>
              <w:t>1</w:t>
            </w:r>
          </w:p>
        </w:tc>
        <w:tc>
          <w:tcPr>
            <w:tcW w:w="1670" w:type="dxa"/>
            <w:shd w:val="clear" w:color="auto" w:fill="D2EAF1"/>
            <w:noWrap/>
          </w:tcPr>
          <w:p w:rsidR="00AE303A" w:rsidRPr="006E6583" w:rsidRDefault="00AE303A" w:rsidP="00380FF9">
            <w:pPr>
              <w:jc w:val="center"/>
              <w:rPr>
                <w:sz w:val="20"/>
                <w:szCs w:val="20"/>
              </w:rPr>
            </w:pPr>
            <w:r w:rsidRPr="006E6583">
              <w:rPr>
                <w:sz w:val="20"/>
                <w:szCs w:val="20"/>
              </w:rPr>
              <w:t>85%</w:t>
            </w:r>
            <w:r>
              <w:rPr>
                <w:sz w:val="20"/>
                <w:szCs w:val="20"/>
              </w:rPr>
              <w:t>/</w:t>
            </w:r>
            <w:r w:rsidRPr="006E6583">
              <w:rPr>
                <w:sz w:val="20"/>
                <w:szCs w:val="20"/>
              </w:rPr>
              <w:t>15%</w:t>
            </w:r>
          </w:p>
        </w:tc>
        <w:tc>
          <w:tcPr>
            <w:tcW w:w="1669" w:type="dxa"/>
            <w:shd w:val="clear" w:color="auto" w:fill="D2EAF1"/>
            <w:noWrap/>
          </w:tcPr>
          <w:p w:rsidR="00AE303A" w:rsidRPr="006E6583" w:rsidRDefault="00AE303A" w:rsidP="00380FF9">
            <w:pPr>
              <w:jc w:val="center"/>
              <w:rPr>
                <w:sz w:val="20"/>
                <w:szCs w:val="20"/>
              </w:rPr>
            </w:pPr>
            <w:r w:rsidRPr="006E6583">
              <w:rPr>
                <w:sz w:val="20"/>
                <w:szCs w:val="20"/>
              </w:rPr>
              <w:t>1</w:t>
            </w:r>
          </w:p>
        </w:tc>
        <w:tc>
          <w:tcPr>
            <w:tcW w:w="1552" w:type="dxa"/>
            <w:shd w:val="clear" w:color="auto" w:fill="D2EAF1"/>
            <w:noWrap/>
          </w:tcPr>
          <w:p w:rsidR="00AE303A" w:rsidRPr="006E6583" w:rsidRDefault="00AE303A" w:rsidP="00380FF9">
            <w:pPr>
              <w:jc w:val="center"/>
              <w:rPr>
                <w:sz w:val="20"/>
                <w:szCs w:val="20"/>
              </w:rPr>
            </w:pPr>
            <w:r w:rsidRPr="006E6583">
              <w:rPr>
                <w:sz w:val="20"/>
                <w:szCs w:val="20"/>
              </w:rPr>
              <w:t>1</w:t>
            </w:r>
          </w:p>
        </w:tc>
      </w:tr>
      <w:tr w:rsidR="00E7173E" w:rsidRPr="006E6583" w:rsidTr="005C3E63">
        <w:trPr>
          <w:trHeight w:val="346"/>
        </w:trPr>
        <w:tc>
          <w:tcPr>
            <w:tcW w:w="2800" w:type="dxa"/>
            <w:shd w:val="clear" w:color="auto" w:fill="auto"/>
          </w:tcPr>
          <w:p w:rsidR="00AE303A" w:rsidRPr="00576A41" w:rsidRDefault="00AE303A" w:rsidP="00380FF9">
            <w:pPr>
              <w:jc w:val="left"/>
              <w:rPr>
                <w:bCs/>
                <w:color w:val="000000"/>
                <w:sz w:val="20"/>
                <w:szCs w:val="20"/>
              </w:rPr>
            </w:pPr>
            <w:r w:rsidRPr="00576A41">
              <w:rPr>
                <w:bCs/>
                <w:color w:val="000000"/>
                <w:sz w:val="20"/>
                <w:szCs w:val="20"/>
              </w:rPr>
              <w:t>Commercial – Medium</w:t>
            </w:r>
          </w:p>
        </w:tc>
        <w:tc>
          <w:tcPr>
            <w:tcW w:w="1669" w:type="dxa"/>
            <w:shd w:val="clear" w:color="auto" w:fill="auto"/>
            <w:noWrap/>
          </w:tcPr>
          <w:p w:rsidR="00AE303A" w:rsidRPr="006E6583" w:rsidRDefault="00AE303A" w:rsidP="00380FF9">
            <w:pPr>
              <w:jc w:val="center"/>
              <w:rPr>
                <w:sz w:val="20"/>
                <w:szCs w:val="20"/>
              </w:rPr>
            </w:pPr>
            <w:r w:rsidRPr="006E6583">
              <w:rPr>
                <w:rFonts w:eastAsiaTheme="minorHAnsi" w:cs="Calibri"/>
                <w:sz w:val="20"/>
                <w:szCs w:val="20"/>
              </w:rPr>
              <w:t>17</w:t>
            </w:r>
          </w:p>
        </w:tc>
        <w:tc>
          <w:tcPr>
            <w:tcW w:w="1670" w:type="dxa"/>
            <w:shd w:val="clear" w:color="auto" w:fill="auto"/>
            <w:noWrap/>
          </w:tcPr>
          <w:p w:rsidR="00AE303A" w:rsidRPr="006E6583" w:rsidRDefault="00AE303A" w:rsidP="00380FF9">
            <w:pPr>
              <w:jc w:val="center"/>
              <w:rPr>
                <w:sz w:val="20"/>
                <w:szCs w:val="20"/>
              </w:rPr>
            </w:pPr>
            <w:r w:rsidRPr="006E6583">
              <w:rPr>
                <w:sz w:val="20"/>
                <w:szCs w:val="20"/>
              </w:rPr>
              <w:t>85%</w:t>
            </w:r>
            <w:r>
              <w:rPr>
                <w:sz w:val="20"/>
                <w:szCs w:val="20"/>
              </w:rPr>
              <w:t>/</w:t>
            </w:r>
            <w:r w:rsidRPr="006E6583">
              <w:rPr>
                <w:sz w:val="20"/>
                <w:szCs w:val="20"/>
              </w:rPr>
              <w:t>15%</w:t>
            </w:r>
          </w:p>
        </w:tc>
        <w:tc>
          <w:tcPr>
            <w:tcW w:w="1669" w:type="dxa"/>
            <w:shd w:val="clear" w:color="auto" w:fill="auto"/>
            <w:noWrap/>
          </w:tcPr>
          <w:p w:rsidR="00AE303A" w:rsidRPr="006E6583" w:rsidRDefault="00AE303A" w:rsidP="00380FF9">
            <w:pPr>
              <w:jc w:val="center"/>
              <w:rPr>
                <w:sz w:val="20"/>
                <w:szCs w:val="20"/>
              </w:rPr>
            </w:pPr>
            <w:r w:rsidRPr="006E6583">
              <w:rPr>
                <w:sz w:val="20"/>
                <w:szCs w:val="20"/>
              </w:rPr>
              <w:t>6</w:t>
            </w:r>
          </w:p>
        </w:tc>
        <w:tc>
          <w:tcPr>
            <w:tcW w:w="1552" w:type="dxa"/>
            <w:shd w:val="clear" w:color="auto" w:fill="auto"/>
            <w:noWrap/>
          </w:tcPr>
          <w:p w:rsidR="00AE303A" w:rsidRPr="006E6583" w:rsidRDefault="00AE303A" w:rsidP="00380FF9">
            <w:pPr>
              <w:jc w:val="center"/>
              <w:rPr>
                <w:sz w:val="20"/>
                <w:szCs w:val="20"/>
              </w:rPr>
            </w:pPr>
            <w:r w:rsidRPr="006E6583">
              <w:rPr>
                <w:sz w:val="20"/>
                <w:szCs w:val="20"/>
              </w:rPr>
              <w:t>6</w:t>
            </w:r>
          </w:p>
        </w:tc>
      </w:tr>
      <w:tr w:rsidR="00A874AC" w:rsidRPr="006E6583" w:rsidTr="005C3E63">
        <w:trPr>
          <w:trHeight w:val="346"/>
        </w:trPr>
        <w:tc>
          <w:tcPr>
            <w:tcW w:w="2800" w:type="dxa"/>
            <w:shd w:val="clear" w:color="auto" w:fill="D2EAF1"/>
          </w:tcPr>
          <w:p w:rsidR="00AE303A" w:rsidRPr="00576A41" w:rsidRDefault="00AE303A" w:rsidP="00380FF9">
            <w:pPr>
              <w:jc w:val="left"/>
              <w:rPr>
                <w:bCs/>
                <w:color w:val="000000"/>
                <w:sz w:val="20"/>
                <w:szCs w:val="20"/>
              </w:rPr>
            </w:pPr>
            <w:r w:rsidRPr="00576A41">
              <w:rPr>
                <w:bCs/>
                <w:color w:val="000000"/>
                <w:sz w:val="20"/>
                <w:szCs w:val="20"/>
              </w:rPr>
              <w:t>Commercial – Small</w:t>
            </w:r>
          </w:p>
        </w:tc>
        <w:tc>
          <w:tcPr>
            <w:tcW w:w="1669" w:type="dxa"/>
            <w:shd w:val="clear" w:color="auto" w:fill="D2EAF1"/>
            <w:noWrap/>
          </w:tcPr>
          <w:p w:rsidR="00AE303A" w:rsidRPr="006E6583" w:rsidRDefault="00AE303A" w:rsidP="00380FF9">
            <w:pPr>
              <w:jc w:val="center"/>
              <w:rPr>
                <w:sz w:val="20"/>
                <w:szCs w:val="20"/>
              </w:rPr>
            </w:pPr>
            <w:r w:rsidRPr="006E6583">
              <w:rPr>
                <w:rFonts w:eastAsiaTheme="minorHAnsi" w:cs="Calibri"/>
                <w:sz w:val="20"/>
                <w:szCs w:val="20"/>
              </w:rPr>
              <w:t>40</w:t>
            </w:r>
          </w:p>
        </w:tc>
        <w:tc>
          <w:tcPr>
            <w:tcW w:w="1670" w:type="dxa"/>
            <w:shd w:val="clear" w:color="auto" w:fill="D2EAF1"/>
            <w:noWrap/>
          </w:tcPr>
          <w:p w:rsidR="00AE303A" w:rsidRPr="006E6583" w:rsidRDefault="00AE303A" w:rsidP="00380FF9">
            <w:pPr>
              <w:jc w:val="center"/>
              <w:rPr>
                <w:sz w:val="20"/>
                <w:szCs w:val="20"/>
              </w:rPr>
            </w:pPr>
            <w:r>
              <w:rPr>
                <w:sz w:val="20"/>
                <w:szCs w:val="20"/>
              </w:rPr>
              <w:t>85%/</w:t>
            </w:r>
            <w:r w:rsidRPr="006E6583">
              <w:rPr>
                <w:sz w:val="20"/>
                <w:szCs w:val="20"/>
              </w:rPr>
              <w:t>15%</w:t>
            </w:r>
          </w:p>
        </w:tc>
        <w:tc>
          <w:tcPr>
            <w:tcW w:w="1669" w:type="dxa"/>
            <w:shd w:val="clear" w:color="auto" w:fill="D2EAF1"/>
            <w:noWrap/>
          </w:tcPr>
          <w:p w:rsidR="00AE303A" w:rsidRPr="006E6583" w:rsidRDefault="00AE303A" w:rsidP="00380FF9">
            <w:pPr>
              <w:jc w:val="center"/>
              <w:rPr>
                <w:sz w:val="20"/>
                <w:szCs w:val="20"/>
              </w:rPr>
            </w:pPr>
            <w:r w:rsidRPr="006E6583">
              <w:rPr>
                <w:sz w:val="20"/>
                <w:szCs w:val="20"/>
              </w:rPr>
              <w:t>6</w:t>
            </w:r>
          </w:p>
        </w:tc>
        <w:tc>
          <w:tcPr>
            <w:tcW w:w="1552" w:type="dxa"/>
            <w:shd w:val="clear" w:color="auto" w:fill="D2EAF1"/>
            <w:noWrap/>
          </w:tcPr>
          <w:p w:rsidR="00AE303A" w:rsidRPr="006E6583" w:rsidRDefault="00AE303A" w:rsidP="00380FF9">
            <w:pPr>
              <w:jc w:val="center"/>
              <w:rPr>
                <w:sz w:val="20"/>
                <w:szCs w:val="20"/>
              </w:rPr>
            </w:pPr>
            <w:r w:rsidRPr="006E6583">
              <w:rPr>
                <w:sz w:val="20"/>
                <w:szCs w:val="20"/>
              </w:rPr>
              <w:t>3</w:t>
            </w:r>
          </w:p>
        </w:tc>
      </w:tr>
      <w:tr w:rsidR="00E7173E" w:rsidRPr="006E6583" w:rsidTr="005C3E63">
        <w:trPr>
          <w:trHeight w:val="346"/>
        </w:trPr>
        <w:tc>
          <w:tcPr>
            <w:tcW w:w="2800" w:type="dxa"/>
            <w:shd w:val="clear" w:color="auto" w:fill="auto"/>
            <w:vAlign w:val="center"/>
          </w:tcPr>
          <w:p w:rsidR="00AE303A" w:rsidRPr="006E6583" w:rsidRDefault="00AE303A" w:rsidP="00380FF9">
            <w:pPr>
              <w:jc w:val="left"/>
              <w:rPr>
                <w:b/>
                <w:bCs/>
                <w:color w:val="000000"/>
                <w:sz w:val="20"/>
                <w:szCs w:val="20"/>
              </w:rPr>
            </w:pPr>
            <w:r w:rsidRPr="006E6583">
              <w:rPr>
                <w:b/>
                <w:bCs/>
                <w:color w:val="000000"/>
                <w:sz w:val="20"/>
                <w:szCs w:val="20"/>
              </w:rPr>
              <w:t>Program Total</w:t>
            </w:r>
          </w:p>
        </w:tc>
        <w:tc>
          <w:tcPr>
            <w:tcW w:w="1669" w:type="dxa"/>
            <w:shd w:val="clear" w:color="auto" w:fill="auto"/>
            <w:noWrap/>
            <w:vAlign w:val="center"/>
          </w:tcPr>
          <w:p w:rsidR="00AE303A" w:rsidRPr="006E6583" w:rsidRDefault="00AE303A" w:rsidP="00380FF9">
            <w:pPr>
              <w:jc w:val="center"/>
              <w:rPr>
                <w:b/>
                <w:sz w:val="20"/>
                <w:szCs w:val="20"/>
              </w:rPr>
            </w:pPr>
            <w:r w:rsidRPr="006E6583">
              <w:rPr>
                <w:b/>
                <w:sz w:val="20"/>
                <w:szCs w:val="20"/>
              </w:rPr>
              <w:t>58</w:t>
            </w:r>
          </w:p>
        </w:tc>
        <w:tc>
          <w:tcPr>
            <w:tcW w:w="1670" w:type="dxa"/>
            <w:shd w:val="clear" w:color="auto" w:fill="auto"/>
            <w:noWrap/>
            <w:vAlign w:val="center"/>
          </w:tcPr>
          <w:p w:rsidR="00AE303A" w:rsidRPr="006E6583" w:rsidRDefault="00AE303A" w:rsidP="00380FF9">
            <w:pPr>
              <w:jc w:val="center"/>
              <w:rPr>
                <w:b/>
                <w:sz w:val="20"/>
                <w:szCs w:val="20"/>
              </w:rPr>
            </w:pPr>
            <w:r>
              <w:rPr>
                <w:b/>
                <w:sz w:val="20"/>
                <w:szCs w:val="20"/>
              </w:rPr>
              <w:t>85%/</w:t>
            </w:r>
            <w:r w:rsidRPr="006E6583">
              <w:rPr>
                <w:b/>
                <w:sz w:val="20"/>
                <w:szCs w:val="20"/>
              </w:rPr>
              <w:t>15%</w:t>
            </w:r>
          </w:p>
        </w:tc>
        <w:tc>
          <w:tcPr>
            <w:tcW w:w="1669" w:type="dxa"/>
            <w:shd w:val="clear" w:color="auto" w:fill="auto"/>
            <w:noWrap/>
            <w:vAlign w:val="center"/>
          </w:tcPr>
          <w:p w:rsidR="00AE303A" w:rsidRPr="006E6583" w:rsidRDefault="00AE303A" w:rsidP="00380FF9">
            <w:pPr>
              <w:jc w:val="center"/>
              <w:rPr>
                <w:b/>
                <w:sz w:val="20"/>
                <w:szCs w:val="20"/>
              </w:rPr>
            </w:pPr>
            <w:r w:rsidRPr="006E6583">
              <w:rPr>
                <w:b/>
                <w:sz w:val="20"/>
                <w:szCs w:val="20"/>
              </w:rPr>
              <w:t>13</w:t>
            </w:r>
          </w:p>
        </w:tc>
        <w:tc>
          <w:tcPr>
            <w:tcW w:w="1552" w:type="dxa"/>
            <w:shd w:val="clear" w:color="auto" w:fill="auto"/>
            <w:noWrap/>
            <w:vAlign w:val="center"/>
          </w:tcPr>
          <w:p w:rsidR="00AE303A" w:rsidRPr="006E6583" w:rsidRDefault="00AE303A" w:rsidP="00380FF9">
            <w:pPr>
              <w:jc w:val="center"/>
              <w:rPr>
                <w:b/>
                <w:sz w:val="20"/>
                <w:szCs w:val="20"/>
              </w:rPr>
            </w:pPr>
            <w:r w:rsidRPr="006E6583">
              <w:rPr>
                <w:b/>
                <w:sz w:val="20"/>
                <w:szCs w:val="20"/>
              </w:rPr>
              <w:t>10</w:t>
            </w:r>
          </w:p>
        </w:tc>
      </w:tr>
    </w:tbl>
    <w:p w:rsidR="00AE303A" w:rsidRPr="006E6583" w:rsidRDefault="00AE303A" w:rsidP="00AE303A"/>
    <w:p w:rsidR="00AE303A" w:rsidRDefault="00AE303A" w:rsidP="00AE303A">
      <w:r w:rsidRPr="006E6583">
        <w:t xml:space="preserve">Duquesne’s evaluation contractor used a stratified ratio estimator calculated from the sample to adjust the ex ante energy and demand savings in Duquesne’s PMRS data-tracking system and to calculate ex post savings for the Commercial Program Group. The achieved precision values in </w:t>
      </w:r>
      <w:r>
        <w:fldChar w:fldCharType="begin"/>
      </w:r>
      <w:r>
        <w:instrText xml:space="preserve"> REF _Ref471722944 \h </w:instrText>
      </w:r>
      <w:r>
        <w:fldChar w:fldCharType="separate"/>
      </w:r>
      <w:r w:rsidR="00C301D0">
        <w:t>Table A-</w:t>
      </w:r>
      <w:r w:rsidR="00C301D0">
        <w:rPr>
          <w:noProof/>
        </w:rPr>
        <w:t>13</w:t>
      </w:r>
      <w:r>
        <w:fldChar w:fldCharType="end"/>
      </w:r>
      <w:r w:rsidRPr="006E6583">
        <w:t xml:space="preserve"> show that </w:t>
      </w:r>
      <w:r w:rsidRPr="006E6583">
        <w:lastRenderedPageBreak/>
        <w:t>Duquesne met the 85%/15% confidence</w:t>
      </w:r>
      <w:r>
        <w:t>/</w:t>
      </w:r>
      <w:r w:rsidRPr="006E6583">
        <w:t>precision level for energy but not for peak demand. The Evaluation Framework requires that only ±15% precision be achieved for energy savings.</w:t>
      </w:r>
    </w:p>
    <w:p w:rsidR="00AE303A" w:rsidRPr="006E6583" w:rsidRDefault="00AE303A" w:rsidP="00AE303A"/>
    <w:p w:rsidR="00AE303A" w:rsidRPr="006E6583" w:rsidRDefault="00AE303A" w:rsidP="00AE303A">
      <w:pPr>
        <w:pStyle w:val="Caption"/>
        <w:rPr>
          <w:b w:val="0"/>
          <w:bCs w:val="0"/>
        </w:rPr>
      </w:pPr>
      <w:bookmarkStart w:id="562" w:name="_Ref471722944"/>
      <w:bookmarkStart w:id="563" w:name="_Toc410199378"/>
      <w:bookmarkStart w:id="564" w:name="_Toc431462323"/>
      <w:bookmarkStart w:id="565" w:name="_Toc444269839"/>
      <w:bookmarkStart w:id="566" w:name="_Toc472472422"/>
      <w:bookmarkStart w:id="567" w:name="_Toc476842128"/>
      <w:r>
        <w:t>Table A-</w:t>
      </w:r>
      <w:fldSimple w:instr=" SEQ Table_A- \* ARABIC ">
        <w:r w:rsidR="00C301D0">
          <w:rPr>
            <w:noProof/>
          </w:rPr>
          <w:t>13</w:t>
        </w:r>
      </w:fldSimple>
      <w:bookmarkEnd w:id="562"/>
      <w:r w:rsidRPr="006E6583">
        <w:t>:</w:t>
      </w:r>
      <w:r>
        <w:t xml:space="preserve"> </w:t>
      </w:r>
      <w:r w:rsidRPr="006E6583">
        <w:t>Observed Coefficients of Variation and Relative Precisions – Duquesne’s Commercial Program Group</w:t>
      </w:r>
      <w:bookmarkEnd w:id="563"/>
      <w:bookmarkEnd w:id="564"/>
      <w:bookmarkEnd w:id="565"/>
      <w:bookmarkEnd w:id="566"/>
      <w:bookmarkEnd w:id="567"/>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682"/>
        <w:gridCol w:w="1669"/>
        <w:gridCol w:w="1670"/>
        <w:gridCol w:w="1669"/>
        <w:gridCol w:w="1670"/>
      </w:tblGrid>
      <w:tr w:rsidR="00A874AC" w:rsidRPr="006E6583" w:rsidTr="00380FF9">
        <w:trPr>
          <w:trHeight w:val="20"/>
          <w:tblHeader/>
          <w:jc w:val="center"/>
        </w:trPr>
        <w:tc>
          <w:tcPr>
            <w:tcW w:w="2682" w:type="dxa"/>
            <w:shd w:val="clear" w:color="auto" w:fill="448A99"/>
            <w:vAlign w:val="bottom"/>
            <w:hideMark/>
          </w:tcPr>
          <w:p w:rsidR="00AE303A" w:rsidRPr="006E6583" w:rsidRDefault="00AE303A" w:rsidP="00380FF9">
            <w:pPr>
              <w:jc w:val="left"/>
              <w:rPr>
                <w:b/>
                <w:bCs/>
                <w:color w:val="FFFFFF"/>
                <w:sz w:val="20"/>
                <w:szCs w:val="20"/>
              </w:rPr>
            </w:pPr>
            <w:r w:rsidRPr="006E6583">
              <w:rPr>
                <w:b/>
                <w:bCs/>
                <w:color w:val="FFFFFF"/>
                <w:sz w:val="20"/>
                <w:szCs w:val="20"/>
              </w:rPr>
              <w:t>Stratum</w:t>
            </w:r>
          </w:p>
        </w:tc>
        <w:tc>
          <w:tcPr>
            <w:tcW w:w="1669"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Observed Coefficient of Variation (C</w:t>
            </w:r>
            <w:r w:rsidRPr="006E6583">
              <w:rPr>
                <w:b/>
                <w:bCs/>
                <w:color w:val="FFFFFF"/>
                <w:sz w:val="20"/>
                <w:szCs w:val="20"/>
                <w:vertAlign w:val="subscript"/>
              </w:rPr>
              <w:t>v</w:t>
            </w:r>
            <w:r w:rsidRPr="006E6583">
              <w:rPr>
                <w:b/>
                <w:bCs/>
                <w:color w:val="FFFFFF"/>
                <w:sz w:val="20"/>
                <w:szCs w:val="20"/>
              </w:rPr>
              <w:t>) or Proportion in Sample Design for Energy</w:t>
            </w:r>
          </w:p>
        </w:tc>
        <w:tc>
          <w:tcPr>
            <w:tcW w:w="1670"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Relative Precision at 85% C.L. for Energy</w:t>
            </w:r>
          </w:p>
        </w:tc>
        <w:tc>
          <w:tcPr>
            <w:tcW w:w="1669"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Observed Coefficient of Variation (C</w:t>
            </w:r>
            <w:r w:rsidRPr="006E6583">
              <w:rPr>
                <w:b/>
                <w:bCs/>
                <w:color w:val="FFFFFF"/>
                <w:sz w:val="20"/>
                <w:szCs w:val="20"/>
                <w:vertAlign w:val="subscript"/>
              </w:rPr>
              <w:t>v</w:t>
            </w:r>
            <w:r w:rsidRPr="006E6583">
              <w:rPr>
                <w:b/>
                <w:bCs/>
                <w:color w:val="FFFFFF"/>
                <w:sz w:val="20"/>
                <w:szCs w:val="20"/>
              </w:rPr>
              <w:t>) or Proportion in Sample Design for Demand</w:t>
            </w:r>
          </w:p>
        </w:tc>
        <w:tc>
          <w:tcPr>
            <w:tcW w:w="1670"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Relative Precision at 85% C.L. for Demand</w:t>
            </w:r>
          </w:p>
        </w:tc>
      </w:tr>
      <w:tr w:rsidR="00A874AC" w:rsidRPr="006E6583" w:rsidTr="00380FF9">
        <w:trPr>
          <w:trHeight w:val="346"/>
          <w:jc w:val="center"/>
        </w:trPr>
        <w:tc>
          <w:tcPr>
            <w:tcW w:w="2682" w:type="dxa"/>
            <w:shd w:val="clear" w:color="auto" w:fill="D2EAF1"/>
          </w:tcPr>
          <w:p w:rsidR="00AE303A" w:rsidRPr="00576A41" w:rsidRDefault="00AE303A" w:rsidP="00380FF9">
            <w:pPr>
              <w:jc w:val="left"/>
              <w:rPr>
                <w:bCs/>
                <w:color w:val="000000"/>
                <w:sz w:val="20"/>
                <w:szCs w:val="20"/>
              </w:rPr>
            </w:pPr>
            <w:r w:rsidRPr="00576A41">
              <w:rPr>
                <w:bCs/>
                <w:color w:val="000000"/>
                <w:sz w:val="20"/>
                <w:szCs w:val="20"/>
              </w:rPr>
              <w:t>Commercial – Large</w:t>
            </w:r>
          </w:p>
        </w:tc>
        <w:tc>
          <w:tcPr>
            <w:tcW w:w="1669" w:type="dxa"/>
            <w:shd w:val="clear" w:color="auto" w:fill="D2EAF1"/>
            <w:noWrap/>
          </w:tcPr>
          <w:p w:rsidR="00AE303A" w:rsidRPr="006E6583" w:rsidRDefault="00AE303A" w:rsidP="00380FF9">
            <w:pPr>
              <w:jc w:val="center"/>
              <w:rPr>
                <w:color w:val="000000"/>
                <w:sz w:val="20"/>
                <w:szCs w:val="20"/>
              </w:rPr>
            </w:pPr>
            <w:r w:rsidRPr="006E6583">
              <w:rPr>
                <w:rFonts w:eastAsiaTheme="minorHAnsi" w:cs="Calibri"/>
                <w:sz w:val="20"/>
                <w:szCs w:val="20"/>
              </w:rPr>
              <w:t>0.00</w:t>
            </w:r>
          </w:p>
        </w:tc>
        <w:tc>
          <w:tcPr>
            <w:tcW w:w="1670" w:type="dxa"/>
            <w:shd w:val="clear" w:color="auto" w:fill="D2EAF1"/>
            <w:noWrap/>
          </w:tcPr>
          <w:p w:rsidR="00AE303A" w:rsidRPr="006E6583" w:rsidRDefault="00AE303A" w:rsidP="00380FF9">
            <w:pPr>
              <w:jc w:val="center"/>
              <w:rPr>
                <w:sz w:val="20"/>
                <w:szCs w:val="20"/>
              </w:rPr>
            </w:pPr>
            <w:r w:rsidRPr="006E6583">
              <w:rPr>
                <w:sz w:val="20"/>
                <w:szCs w:val="20"/>
              </w:rPr>
              <w:t>0%</w:t>
            </w:r>
          </w:p>
        </w:tc>
        <w:tc>
          <w:tcPr>
            <w:tcW w:w="1669" w:type="dxa"/>
            <w:shd w:val="clear" w:color="auto" w:fill="D2EAF1"/>
            <w:noWrap/>
          </w:tcPr>
          <w:p w:rsidR="00AE303A" w:rsidRPr="006E6583" w:rsidRDefault="00AE303A" w:rsidP="00380FF9">
            <w:pPr>
              <w:jc w:val="center"/>
              <w:rPr>
                <w:sz w:val="20"/>
                <w:szCs w:val="20"/>
              </w:rPr>
            </w:pPr>
            <w:r w:rsidRPr="006E6583">
              <w:rPr>
                <w:sz w:val="20"/>
                <w:szCs w:val="20"/>
              </w:rPr>
              <w:t>N/A</w:t>
            </w:r>
          </w:p>
        </w:tc>
        <w:tc>
          <w:tcPr>
            <w:tcW w:w="1670" w:type="dxa"/>
            <w:shd w:val="clear" w:color="auto" w:fill="D2EAF1"/>
            <w:noWrap/>
          </w:tcPr>
          <w:p w:rsidR="00AE303A" w:rsidRPr="006E6583" w:rsidRDefault="00AE303A" w:rsidP="00380FF9">
            <w:pPr>
              <w:jc w:val="center"/>
              <w:rPr>
                <w:sz w:val="20"/>
                <w:szCs w:val="20"/>
              </w:rPr>
            </w:pPr>
            <w:r w:rsidRPr="006E6583">
              <w:rPr>
                <w:sz w:val="20"/>
                <w:szCs w:val="20"/>
              </w:rPr>
              <w:t>0%</w:t>
            </w:r>
          </w:p>
        </w:tc>
      </w:tr>
      <w:tr w:rsidR="00E7173E" w:rsidRPr="006E6583" w:rsidTr="00DD4CC7">
        <w:trPr>
          <w:trHeight w:val="346"/>
          <w:jc w:val="center"/>
        </w:trPr>
        <w:tc>
          <w:tcPr>
            <w:tcW w:w="2682" w:type="dxa"/>
            <w:shd w:val="clear" w:color="auto" w:fill="auto"/>
          </w:tcPr>
          <w:p w:rsidR="00AE303A" w:rsidRPr="00576A41" w:rsidRDefault="00AE303A" w:rsidP="00380FF9">
            <w:pPr>
              <w:jc w:val="left"/>
              <w:rPr>
                <w:bCs/>
                <w:color w:val="000000"/>
                <w:sz w:val="20"/>
                <w:szCs w:val="20"/>
              </w:rPr>
            </w:pPr>
            <w:r w:rsidRPr="00576A41">
              <w:rPr>
                <w:bCs/>
                <w:color w:val="000000"/>
                <w:sz w:val="20"/>
                <w:szCs w:val="20"/>
              </w:rPr>
              <w:t>Commercial – Medium</w:t>
            </w:r>
          </w:p>
        </w:tc>
        <w:tc>
          <w:tcPr>
            <w:tcW w:w="1669" w:type="dxa"/>
            <w:shd w:val="clear" w:color="auto" w:fill="auto"/>
            <w:noWrap/>
          </w:tcPr>
          <w:p w:rsidR="00AE303A" w:rsidRPr="006E6583" w:rsidRDefault="00AE303A" w:rsidP="00380FF9">
            <w:pPr>
              <w:jc w:val="center"/>
              <w:rPr>
                <w:sz w:val="20"/>
                <w:szCs w:val="20"/>
              </w:rPr>
            </w:pPr>
            <w:r w:rsidRPr="006E6583">
              <w:rPr>
                <w:rFonts w:eastAsiaTheme="minorHAnsi" w:cs="Calibri"/>
                <w:sz w:val="20"/>
                <w:szCs w:val="20"/>
              </w:rPr>
              <w:t>0.11</w:t>
            </w:r>
          </w:p>
        </w:tc>
        <w:tc>
          <w:tcPr>
            <w:tcW w:w="1670" w:type="dxa"/>
            <w:shd w:val="clear" w:color="auto" w:fill="auto"/>
            <w:noWrap/>
          </w:tcPr>
          <w:p w:rsidR="00AE303A" w:rsidRPr="006E6583" w:rsidRDefault="00AE303A" w:rsidP="00380FF9">
            <w:pPr>
              <w:jc w:val="center"/>
              <w:rPr>
                <w:sz w:val="20"/>
                <w:szCs w:val="20"/>
              </w:rPr>
            </w:pPr>
            <w:r w:rsidRPr="006E6583">
              <w:rPr>
                <w:sz w:val="20"/>
                <w:szCs w:val="20"/>
              </w:rPr>
              <w:t>6%</w:t>
            </w:r>
          </w:p>
        </w:tc>
        <w:tc>
          <w:tcPr>
            <w:tcW w:w="1669" w:type="dxa"/>
            <w:shd w:val="clear" w:color="auto" w:fill="auto"/>
            <w:noWrap/>
          </w:tcPr>
          <w:p w:rsidR="00AE303A" w:rsidRPr="006E6583" w:rsidRDefault="00AE303A" w:rsidP="00380FF9">
            <w:pPr>
              <w:jc w:val="center"/>
              <w:rPr>
                <w:sz w:val="20"/>
                <w:szCs w:val="20"/>
              </w:rPr>
            </w:pPr>
            <w:r w:rsidRPr="006E6583">
              <w:rPr>
                <w:sz w:val="20"/>
                <w:szCs w:val="20"/>
              </w:rPr>
              <w:t>0.48</w:t>
            </w:r>
          </w:p>
        </w:tc>
        <w:tc>
          <w:tcPr>
            <w:tcW w:w="1670" w:type="dxa"/>
            <w:shd w:val="clear" w:color="auto" w:fill="auto"/>
            <w:noWrap/>
          </w:tcPr>
          <w:p w:rsidR="00AE303A" w:rsidRPr="006E6583" w:rsidRDefault="00AE303A" w:rsidP="00380FF9">
            <w:pPr>
              <w:jc w:val="center"/>
              <w:rPr>
                <w:sz w:val="20"/>
                <w:szCs w:val="20"/>
              </w:rPr>
            </w:pPr>
            <w:r w:rsidRPr="006E6583">
              <w:rPr>
                <w:sz w:val="20"/>
                <w:szCs w:val="20"/>
              </w:rPr>
              <w:t>27%</w:t>
            </w:r>
          </w:p>
        </w:tc>
      </w:tr>
      <w:tr w:rsidR="00A874AC" w:rsidRPr="006E6583" w:rsidTr="00380FF9">
        <w:trPr>
          <w:trHeight w:val="346"/>
          <w:jc w:val="center"/>
        </w:trPr>
        <w:tc>
          <w:tcPr>
            <w:tcW w:w="2682" w:type="dxa"/>
            <w:shd w:val="clear" w:color="auto" w:fill="D2EAF1"/>
          </w:tcPr>
          <w:p w:rsidR="00AE303A" w:rsidRPr="00576A41" w:rsidRDefault="00AE303A" w:rsidP="00380FF9">
            <w:pPr>
              <w:jc w:val="left"/>
              <w:rPr>
                <w:bCs/>
                <w:color w:val="000000"/>
                <w:sz w:val="20"/>
                <w:szCs w:val="20"/>
              </w:rPr>
            </w:pPr>
            <w:r w:rsidRPr="00576A41">
              <w:rPr>
                <w:bCs/>
                <w:color w:val="000000"/>
                <w:sz w:val="20"/>
                <w:szCs w:val="20"/>
              </w:rPr>
              <w:t>Commercial – Small</w:t>
            </w:r>
          </w:p>
        </w:tc>
        <w:tc>
          <w:tcPr>
            <w:tcW w:w="1669" w:type="dxa"/>
            <w:shd w:val="clear" w:color="auto" w:fill="D2EAF1"/>
            <w:noWrap/>
          </w:tcPr>
          <w:p w:rsidR="00AE303A" w:rsidRPr="006E6583" w:rsidRDefault="00AE303A" w:rsidP="00380FF9">
            <w:pPr>
              <w:jc w:val="center"/>
              <w:rPr>
                <w:sz w:val="20"/>
                <w:szCs w:val="20"/>
              </w:rPr>
            </w:pPr>
            <w:r w:rsidRPr="006E6583">
              <w:rPr>
                <w:rFonts w:eastAsiaTheme="minorHAnsi" w:cs="Calibri"/>
                <w:sz w:val="20"/>
                <w:szCs w:val="20"/>
              </w:rPr>
              <w:t>0.00</w:t>
            </w:r>
          </w:p>
        </w:tc>
        <w:tc>
          <w:tcPr>
            <w:tcW w:w="1670" w:type="dxa"/>
            <w:shd w:val="clear" w:color="auto" w:fill="D2EAF1"/>
            <w:noWrap/>
          </w:tcPr>
          <w:p w:rsidR="00AE303A" w:rsidRPr="006E6583" w:rsidRDefault="00AE303A" w:rsidP="00380FF9">
            <w:pPr>
              <w:jc w:val="center"/>
              <w:rPr>
                <w:sz w:val="20"/>
                <w:szCs w:val="20"/>
              </w:rPr>
            </w:pPr>
            <w:r w:rsidRPr="006E6583">
              <w:rPr>
                <w:sz w:val="20"/>
                <w:szCs w:val="20"/>
              </w:rPr>
              <w:t>0%</w:t>
            </w:r>
          </w:p>
        </w:tc>
        <w:tc>
          <w:tcPr>
            <w:tcW w:w="1669" w:type="dxa"/>
            <w:shd w:val="clear" w:color="auto" w:fill="D2EAF1"/>
            <w:noWrap/>
          </w:tcPr>
          <w:p w:rsidR="00AE303A" w:rsidRPr="006E6583" w:rsidRDefault="00AE303A" w:rsidP="00380FF9">
            <w:pPr>
              <w:jc w:val="center"/>
              <w:rPr>
                <w:sz w:val="20"/>
                <w:szCs w:val="20"/>
              </w:rPr>
            </w:pPr>
            <w:r w:rsidRPr="006E6583">
              <w:rPr>
                <w:sz w:val="20"/>
                <w:szCs w:val="20"/>
              </w:rPr>
              <w:t>0.00</w:t>
            </w:r>
          </w:p>
        </w:tc>
        <w:tc>
          <w:tcPr>
            <w:tcW w:w="1670" w:type="dxa"/>
            <w:shd w:val="clear" w:color="auto" w:fill="D2EAF1"/>
            <w:noWrap/>
          </w:tcPr>
          <w:p w:rsidR="00AE303A" w:rsidRPr="006E6583" w:rsidRDefault="00AE303A" w:rsidP="00380FF9">
            <w:pPr>
              <w:jc w:val="center"/>
              <w:rPr>
                <w:sz w:val="20"/>
                <w:szCs w:val="20"/>
              </w:rPr>
            </w:pPr>
            <w:r w:rsidRPr="006E6583">
              <w:rPr>
                <w:sz w:val="20"/>
                <w:szCs w:val="20"/>
              </w:rPr>
              <w:t>0%</w:t>
            </w:r>
          </w:p>
        </w:tc>
      </w:tr>
      <w:tr w:rsidR="00E7173E" w:rsidRPr="006E6583" w:rsidTr="00DD4CC7">
        <w:trPr>
          <w:trHeight w:val="346"/>
          <w:jc w:val="center"/>
        </w:trPr>
        <w:tc>
          <w:tcPr>
            <w:tcW w:w="2682" w:type="dxa"/>
            <w:shd w:val="clear" w:color="auto" w:fill="auto"/>
          </w:tcPr>
          <w:p w:rsidR="00AE303A" w:rsidRPr="006E6583" w:rsidRDefault="00AE303A" w:rsidP="00380FF9">
            <w:pPr>
              <w:jc w:val="left"/>
              <w:rPr>
                <w:b/>
                <w:bCs/>
                <w:color w:val="000000"/>
                <w:sz w:val="20"/>
                <w:szCs w:val="20"/>
              </w:rPr>
            </w:pPr>
            <w:r w:rsidRPr="006E6583">
              <w:rPr>
                <w:b/>
                <w:bCs/>
                <w:color w:val="000000"/>
                <w:sz w:val="20"/>
                <w:szCs w:val="20"/>
              </w:rPr>
              <w:t>Program Total</w:t>
            </w:r>
          </w:p>
        </w:tc>
        <w:tc>
          <w:tcPr>
            <w:tcW w:w="1669" w:type="dxa"/>
            <w:shd w:val="clear" w:color="auto" w:fill="auto"/>
            <w:noWrap/>
            <w:vAlign w:val="center"/>
          </w:tcPr>
          <w:p w:rsidR="00AE303A" w:rsidRPr="006E6583" w:rsidRDefault="00AE303A" w:rsidP="00380FF9">
            <w:pPr>
              <w:jc w:val="center"/>
              <w:rPr>
                <w:b/>
                <w:sz w:val="20"/>
                <w:szCs w:val="20"/>
              </w:rPr>
            </w:pPr>
          </w:p>
        </w:tc>
        <w:tc>
          <w:tcPr>
            <w:tcW w:w="1670" w:type="dxa"/>
            <w:shd w:val="clear" w:color="auto" w:fill="auto"/>
            <w:noWrap/>
            <w:vAlign w:val="center"/>
          </w:tcPr>
          <w:p w:rsidR="00AE303A" w:rsidRPr="006E6583" w:rsidRDefault="00AE303A" w:rsidP="00380FF9">
            <w:pPr>
              <w:jc w:val="center"/>
              <w:rPr>
                <w:b/>
                <w:sz w:val="20"/>
                <w:szCs w:val="20"/>
              </w:rPr>
            </w:pPr>
            <w:r w:rsidRPr="006E6583">
              <w:rPr>
                <w:b/>
                <w:sz w:val="20"/>
                <w:szCs w:val="20"/>
              </w:rPr>
              <w:t>4%</w:t>
            </w:r>
          </w:p>
        </w:tc>
        <w:tc>
          <w:tcPr>
            <w:tcW w:w="1669" w:type="dxa"/>
            <w:shd w:val="clear" w:color="auto" w:fill="auto"/>
            <w:noWrap/>
            <w:vAlign w:val="center"/>
          </w:tcPr>
          <w:p w:rsidR="00AE303A" w:rsidRPr="006E6583" w:rsidRDefault="00AE303A" w:rsidP="00380FF9">
            <w:pPr>
              <w:jc w:val="center"/>
              <w:rPr>
                <w:b/>
                <w:sz w:val="20"/>
                <w:szCs w:val="20"/>
              </w:rPr>
            </w:pPr>
          </w:p>
        </w:tc>
        <w:tc>
          <w:tcPr>
            <w:tcW w:w="1670" w:type="dxa"/>
            <w:shd w:val="clear" w:color="auto" w:fill="auto"/>
            <w:noWrap/>
            <w:vAlign w:val="center"/>
          </w:tcPr>
          <w:p w:rsidR="00AE303A" w:rsidRPr="006E6583" w:rsidRDefault="00AE303A" w:rsidP="00380FF9">
            <w:pPr>
              <w:jc w:val="center"/>
              <w:rPr>
                <w:b/>
                <w:sz w:val="20"/>
                <w:szCs w:val="20"/>
              </w:rPr>
            </w:pPr>
            <w:r w:rsidRPr="006E6583">
              <w:rPr>
                <w:b/>
                <w:sz w:val="20"/>
                <w:szCs w:val="20"/>
              </w:rPr>
              <w:t>21%</w:t>
            </w:r>
          </w:p>
        </w:tc>
      </w:tr>
    </w:tbl>
    <w:p w:rsidR="00AE303A" w:rsidRPr="006E6583" w:rsidRDefault="00AE303A" w:rsidP="00AE303A"/>
    <w:p w:rsidR="00AE303A" w:rsidRPr="006E6583" w:rsidRDefault="00AE303A" w:rsidP="00AE303A">
      <w:pPr>
        <w:pStyle w:val="AppendixAHeading5"/>
      </w:pPr>
      <w:r w:rsidRPr="006E6583">
        <w:t>Industrial Program Group</w:t>
      </w:r>
    </w:p>
    <w:p w:rsidR="00AE303A" w:rsidRPr="006E6583" w:rsidRDefault="00AE303A" w:rsidP="00AE303A">
      <w:r w:rsidRPr="006E6583">
        <w:t xml:space="preserve">The Industrial Program Group includes an overall umbrella program and three market-segment programs: Primary Metals, Chemical Products, and Mixed Industrial. A single industrial project may have a large number of measures within the project, so sample selection was at the measure level instead of the project level. While on-site, the evaluation contractor verified as many additional completed measures as was feasible, as well as the measure initially selected in the sample. The SWE Team reviewed this approach and determined it was appropriate. Duquesne’s PY7 sampling strategy for the Industrial Program Group is shown in </w:t>
      </w:r>
      <w:r w:rsidRPr="006E6583">
        <w:fldChar w:fldCharType="begin"/>
      </w:r>
      <w:r w:rsidRPr="006E6583">
        <w:instrText xml:space="preserve"> REF _Ref433895851 \h  \* MERGEFORMAT </w:instrText>
      </w:r>
      <w:r w:rsidRPr="006E6583">
        <w:fldChar w:fldCharType="separate"/>
      </w:r>
      <w:r w:rsidR="00DD797D" w:rsidRPr="00DD4CC7">
        <w:t>Table A-14</w:t>
      </w:r>
      <w:r w:rsidRPr="006E6583">
        <w:fldChar w:fldCharType="end"/>
      </w:r>
      <w:r w:rsidRPr="006E6583">
        <w:t>.</w:t>
      </w:r>
    </w:p>
    <w:p w:rsidR="00AE303A" w:rsidRPr="006E6583" w:rsidRDefault="00AE303A" w:rsidP="00AE303A"/>
    <w:p w:rsidR="00AE303A" w:rsidRPr="006E6583" w:rsidRDefault="00AE303A" w:rsidP="00AE303A">
      <w:pPr>
        <w:spacing w:after="120"/>
        <w:jc w:val="center"/>
        <w:rPr>
          <w:rFonts w:ascii="Century Gothic" w:hAnsi="Century Gothic"/>
          <w:b/>
          <w:bCs/>
          <w:sz w:val="18"/>
          <w:szCs w:val="18"/>
        </w:rPr>
      </w:pPr>
      <w:bookmarkStart w:id="568" w:name="_Ref433895851"/>
      <w:bookmarkStart w:id="569" w:name="_Toc410199379"/>
      <w:bookmarkStart w:id="570" w:name="_Toc431462324"/>
      <w:bookmarkStart w:id="571" w:name="_Toc444269840"/>
      <w:bookmarkStart w:id="572" w:name="_Toc472472423"/>
      <w:bookmarkStart w:id="573" w:name="_Toc476842129"/>
      <w:r w:rsidRPr="006E6583">
        <w:rPr>
          <w:rFonts w:ascii="Century Gothic" w:hAnsi="Century Gothic"/>
          <w:b/>
          <w:bCs/>
          <w:sz w:val="18"/>
          <w:szCs w:val="18"/>
        </w:rPr>
        <w:t>Table A-</w:t>
      </w:r>
      <w:r w:rsidRPr="006E6583">
        <w:rPr>
          <w:rFonts w:ascii="Century Gothic" w:hAnsi="Century Gothic"/>
          <w:b/>
          <w:bCs/>
          <w:sz w:val="18"/>
          <w:szCs w:val="18"/>
        </w:rPr>
        <w:fldChar w:fldCharType="begin"/>
      </w:r>
      <w:r w:rsidRPr="006E6583">
        <w:rPr>
          <w:rFonts w:ascii="Century Gothic" w:hAnsi="Century Gothic"/>
          <w:b/>
          <w:bCs/>
          <w:sz w:val="18"/>
          <w:szCs w:val="18"/>
        </w:rPr>
        <w:instrText xml:space="preserve"> SEQ Table_A- \* ARABIC </w:instrText>
      </w:r>
      <w:r w:rsidRPr="006E6583">
        <w:rPr>
          <w:rFonts w:ascii="Century Gothic" w:hAnsi="Century Gothic"/>
          <w:b/>
          <w:bCs/>
          <w:sz w:val="18"/>
          <w:szCs w:val="18"/>
        </w:rPr>
        <w:fldChar w:fldCharType="separate"/>
      </w:r>
      <w:r w:rsidR="00C301D0">
        <w:rPr>
          <w:rFonts w:ascii="Century Gothic" w:hAnsi="Century Gothic"/>
          <w:b/>
          <w:bCs/>
          <w:noProof/>
          <w:sz w:val="18"/>
          <w:szCs w:val="18"/>
        </w:rPr>
        <w:t>14</w:t>
      </w:r>
      <w:r w:rsidRPr="006E6583">
        <w:rPr>
          <w:rFonts w:ascii="Century Gothic" w:hAnsi="Century Gothic"/>
          <w:b/>
          <w:bCs/>
          <w:sz w:val="18"/>
          <w:szCs w:val="18"/>
        </w:rPr>
        <w:fldChar w:fldCharType="end"/>
      </w:r>
      <w:bookmarkEnd w:id="568"/>
      <w:r w:rsidRPr="006E6583">
        <w:rPr>
          <w:rFonts w:ascii="Century Gothic" w:hAnsi="Century Gothic"/>
          <w:b/>
          <w:bCs/>
          <w:sz w:val="18"/>
          <w:szCs w:val="18"/>
        </w:rPr>
        <w:t>: Duquesne’s PY7 Sampling Strategy – Industrial Program Group</w:t>
      </w:r>
      <w:bookmarkEnd w:id="569"/>
      <w:bookmarkEnd w:id="570"/>
      <w:bookmarkEnd w:id="571"/>
      <w:bookmarkEnd w:id="572"/>
      <w:bookmarkEnd w:id="573"/>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983"/>
        <w:gridCol w:w="1844"/>
        <w:gridCol w:w="1844"/>
        <w:gridCol w:w="1844"/>
        <w:gridCol w:w="1845"/>
      </w:tblGrid>
      <w:tr w:rsidR="00A874AC" w:rsidRPr="006E6583" w:rsidTr="00380FF9">
        <w:trPr>
          <w:trHeight w:val="20"/>
          <w:jc w:val="center"/>
        </w:trPr>
        <w:tc>
          <w:tcPr>
            <w:tcW w:w="1983" w:type="dxa"/>
            <w:shd w:val="clear" w:color="auto" w:fill="448A99"/>
            <w:vAlign w:val="bottom"/>
            <w:hideMark/>
          </w:tcPr>
          <w:p w:rsidR="00AE303A" w:rsidRPr="006E6583" w:rsidRDefault="00AE303A" w:rsidP="00380FF9">
            <w:pPr>
              <w:rPr>
                <w:b/>
                <w:bCs/>
                <w:color w:val="FFFFFF"/>
                <w:sz w:val="20"/>
                <w:szCs w:val="20"/>
              </w:rPr>
            </w:pPr>
            <w:r w:rsidRPr="006E6583">
              <w:rPr>
                <w:b/>
                <w:bCs/>
                <w:color w:val="FFFFFF"/>
                <w:sz w:val="20"/>
                <w:szCs w:val="20"/>
              </w:rPr>
              <w:t>Stratum</w:t>
            </w:r>
          </w:p>
        </w:tc>
        <w:tc>
          <w:tcPr>
            <w:tcW w:w="1844"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 xml:space="preserve">Population </w:t>
            </w:r>
            <w:r w:rsidRPr="006E6583">
              <w:rPr>
                <w:b/>
                <w:bCs/>
                <w:color w:val="FFFFFF"/>
                <w:sz w:val="20"/>
                <w:szCs w:val="20"/>
              </w:rPr>
              <w:br/>
              <w:t>(measures)</w:t>
            </w:r>
          </w:p>
        </w:tc>
        <w:tc>
          <w:tcPr>
            <w:tcW w:w="1844"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Target Levels of Confidence &amp; Precision</w:t>
            </w:r>
          </w:p>
        </w:tc>
        <w:tc>
          <w:tcPr>
            <w:tcW w:w="1844"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Target Sample Size</w:t>
            </w:r>
          </w:p>
        </w:tc>
        <w:tc>
          <w:tcPr>
            <w:tcW w:w="1845"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Achieved Sample Size</w:t>
            </w:r>
          </w:p>
        </w:tc>
      </w:tr>
      <w:tr w:rsidR="00A874AC" w:rsidRPr="006E6583" w:rsidTr="00380FF9">
        <w:trPr>
          <w:trHeight w:val="346"/>
          <w:jc w:val="center"/>
        </w:trPr>
        <w:tc>
          <w:tcPr>
            <w:tcW w:w="1983" w:type="dxa"/>
            <w:shd w:val="clear" w:color="auto" w:fill="D2EAF1"/>
          </w:tcPr>
          <w:p w:rsidR="00AE303A" w:rsidRPr="00576A41" w:rsidRDefault="00AE303A" w:rsidP="00C21C45">
            <w:pPr>
              <w:rPr>
                <w:bCs/>
                <w:color w:val="000000"/>
                <w:sz w:val="20"/>
                <w:szCs w:val="20"/>
              </w:rPr>
            </w:pPr>
            <w:r w:rsidRPr="00576A41">
              <w:rPr>
                <w:bCs/>
                <w:color w:val="000000"/>
                <w:sz w:val="20"/>
                <w:szCs w:val="20"/>
              </w:rPr>
              <w:t xml:space="preserve">Industrial – </w:t>
            </w:r>
            <w:r w:rsidR="00C21C45">
              <w:rPr>
                <w:bCs/>
                <w:color w:val="000000"/>
                <w:sz w:val="20"/>
                <w:szCs w:val="20"/>
              </w:rPr>
              <w:t>L</w:t>
            </w:r>
            <w:r w:rsidRPr="00576A41">
              <w:rPr>
                <w:bCs/>
                <w:color w:val="000000"/>
                <w:sz w:val="20"/>
                <w:szCs w:val="20"/>
              </w:rPr>
              <w:t>arge</w:t>
            </w:r>
          </w:p>
        </w:tc>
        <w:tc>
          <w:tcPr>
            <w:tcW w:w="1844" w:type="dxa"/>
            <w:shd w:val="clear" w:color="auto" w:fill="D2EAF1"/>
            <w:noWrap/>
          </w:tcPr>
          <w:p w:rsidR="00AE303A" w:rsidRPr="006E6583" w:rsidRDefault="00AE303A" w:rsidP="00380FF9">
            <w:pPr>
              <w:jc w:val="center"/>
              <w:rPr>
                <w:color w:val="000000"/>
                <w:sz w:val="20"/>
                <w:szCs w:val="20"/>
              </w:rPr>
            </w:pPr>
            <w:r w:rsidRPr="006E6583">
              <w:rPr>
                <w:sz w:val="20"/>
                <w:szCs w:val="20"/>
              </w:rPr>
              <w:t>6</w:t>
            </w:r>
          </w:p>
        </w:tc>
        <w:tc>
          <w:tcPr>
            <w:tcW w:w="1844" w:type="dxa"/>
            <w:shd w:val="clear" w:color="auto" w:fill="D2EAF1"/>
            <w:noWrap/>
          </w:tcPr>
          <w:p w:rsidR="00AE303A" w:rsidRPr="006E6583" w:rsidRDefault="00AE303A" w:rsidP="00380FF9">
            <w:pPr>
              <w:jc w:val="center"/>
              <w:rPr>
                <w:sz w:val="20"/>
                <w:szCs w:val="20"/>
              </w:rPr>
            </w:pPr>
            <w:r>
              <w:rPr>
                <w:sz w:val="20"/>
                <w:szCs w:val="20"/>
              </w:rPr>
              <w:t>85%/</w:t>
            </w:r>
            <w:r w:rsidRPr="006E6583">
              <w:rPr>
                <w:sz w:val="20"/>
                <w:szCs w:val="20"/>
              </w:rPr>
              <w:t>15%</w:t>
            </w:r>
          </w:p>
        </w:tc>
        <w:tc>
          <w:tcPr>
            <w:tcW w:w="1844" w:type="dxa"/>
            <w:shd w:val="clear" w:color="auto" w:fill="D2EAF1"/>
            <w:noWrap/>
          </w:tcPr>
          <w:p w:rsidR="00AE303A" w:rsidRPr="006E6583" w:rsidRDefault="00AE303A" w:rsidP="00380FF9">
            <w:pPr>
              <w:jc w:val="center"/>
              <w:rPr>
                <w:sz w:val="20"/>
                <w:szCs w:val="20"/>
              </w:rPr>
            </w:pPr>
            <w:r w:rsidRPr="006E6583">
              <w:rPr>
                <w:sz w:val="20"/>
                <w:szCs w:val="20"/>
              </w:rPr>
              <w:t>5</w:t>
            </w:r>
          </w:p>
        </w:tc>
        <w:tc>
          <w:tcPr>
            <w:tcW w:w="1845" w:type="dxa"/>
            <w:shd w:val="clear" w:color="auto" w:fill="D2EAF1"/>
            <w:noWrap/>
          </w:tcPr>
          <w:p w:rsidR="00AE303A" w:rsidRPr="006E6583" w:rsidRDefault="00AE303A" w:rsidP="00380FF9">
            <w:pPr>
              <w:jc w:val="center"/>
              <w:rPr>
                <w:sz w:val="20"/>
                <w:szCs w:val="20"/>
              </w:rPr>
            </w:pPr>
            <w:r w:rsidRPr="006E6583">
              <w:rPr>
                <w:sz w:val="20"/>
                <w:szCs w:val="20"/>
              </w:rPr>
              <w:t>4</w:t>
            </w:r>
          </w:p>
        </w:tc>
      </w:tr>
      <w:tr w:rsidR="00E7173E" w:rsidRPr="006E6583" w:rsidTr="00DD4CC7">
        <w:trPr>
          <w:trHeight w:val="346"/>
          <w:jc w:val="center"/>
        </w:trPr>
        <w:tc>
          <w:tcPr>
            <w:tcW w:w="1983" w:type="dxa"/>
            <w:shd w:val="clear" w:color="auto" w:fill="auto"/>
          </w:tcPr>
          <w:p w:rsidR="00AE303A" w:rsidRPr="00576A41" w:rsidRDefault="00C21C45" w:rsidP="00380FF9">
            <w:pPr>
              <w:rPr>
                <w:bCs/>
                <w:color w:val="000000"/>
                <w:sz w:val="20"/>
                <w:szCs w:val="20"/>
              </w:rPr>
            </w:pPr>
            <w:r>
              <w:rPr>
                <w:bCs/>
                <w:color w:val="000000"/>
                <w:sz w:val="20"/>
                <w:szCs w:val="20"/>
              </w:rPr>
              <w:t>Industrial – M</w:t>
            </w:r>
            <w:r w:rsidR="00AE303A" w:rsidRPr="00576A41">
              <w:rPr>
                <w:bCs/>
                <w:color w:val="000000"/>
                <w:sz w:val="20"/>
                <w:szCs w:val="20"/>
              </w:rPr>
              <w:t>edium</w:t>
            </w:r>
          </w:p>
        </w:tc>
        <w:tc>
          <w:tcPr>
            <w:tcW w:w="1844" w:type="dxa"/>
            <w:shd w:val="clear" w:color="auto" w:fill="auto"/>
            <w:noWrap/>
          </w:tcPr>
          <w:p w:rsidR="00AE303A" w:rsidRPr="006E6583" w:rsidRDefault="00AE303A" w:rsidP="00380FF9">
            <w:pPr>
              <w:jc w:val="center"/>
              <w:rPr>
                <w:sz w:val="20"/>
                <w:szCs w:val="20"/>
              </w:rPr>
            </w:pPr>
            <w:r w:rsidRPr="006E6583">
              <w:rPr>
                <w:sz w:val="20"/>
                <w:szCs w:val="20"/>
              </w:rPr>
              <w:t>16</w:t>
            </w:r>
          </w:p>
        </w:tc>
        <w:tc>
          <w:tcPr>
            <w:tcW w:w="1844" w:type="dxa"/>
            <w:shd w:val="clear" w:color="auto" w:fill="auto"/>
            <w:noWrap/>
          </w:tcPr>
          <w:p w:rsidR="00AE303A" w:rsidRPr="006E6583" w:rsidRDefault="00AE303A" w:rsidP="00380FF9">
            <w:pPr>
              <w:jc w:val="center"/>
              <w:rPr>
                <w:sz w:val="20"/>
                <w:szCs w:val="20"/>
              </w:rPr>
            </w:pPr>
            <w:r>
              <w:rPr>
                <w:sz w:val="20"/>
                <w:szCs w:val="20"/>
              </w:rPr>
              <w:t>85%/</w:t>
            </w:r>
            <w:r w:rsidRPr="006E6583">
              <w:rPr>
                <w:sz w:val="20"/>
                <w:szCs w:val="20"/>
              </w:rPr>
              <w:t>15%</w:t>
            </w:r>
          </w:p>
        </w:tc>
        <w:tc>
          <w:tcPr>
            <w:tcW w:w="1844" w:type="dxa"/>
            <w:shd w:val="clear" w:color="auto" w:fill="auto"/>
            <w:noWrap/>
          </w:tcPr>
          <w:p w:rsidR="00AE303A" w:rsidRPr="006E6583" w:rsidRDefault="00AE303A" w:rsidP="00380FF9">
            <w:pPr>
              <w:jc w:val="center"/>
              <w:rPr>
                <w:sz w:val="20"/>
                <w:szCs w:val="20"/>
              </w:rPr>
            </w:pPr>
            <w:r w:rsidRPr="006E6583">
              <w:rPr>
                <w:sz w:val="20"/>
                <w:szCs w:val="20"/>
              </w:rPr>
              <w:t>6</w:t>
            </w:r>
          </w:p>
        </w:tc>
        <w:tc>
          <w:tcPr>
            <w:tcW w:w="1845" w:type="dxa"/>
            <w:shd w:val="clear" w:color="auto" w:fill="auto"/>
            <w:noWrap/>
          </w:tcPr>
          <w:p w:rsidR="00AE303A" w:rsidRPr="006E6583" w:rsidRDefault="00AE303A" w:rsidP="00380FF9">
            <w:pPr>
              <w:jc w:val="center"/>
              <w:rPr>
                <w:sz w:val="20"/>
                <w:szCs w:val="20"/>
              </w:rPr>
            </w:pPr>
            <w:r w:rsidRPr="006E6583">
              <w:rPr>
                <w:sz w:val="20"/>
                <w:szCs w:val="20"/>
              </w:rPr>
              <w:t>7</w:t>
            </w:r>
          </w:p>
        </w:tc>
      </w:tr>
      <w:tr w:rsidR="00A874AC" w:rsidRPr="006E6583" w:rsidTr="00380FF9">
        <w:trPr>
          <w:trHeight w:val="346"/>
          <w:jc w:val="center"/>
        </w:trPr>
        <w:tc>
          <w:tcPr>
            <w:tcW w:w="1983" w:type="dxa"/>
            <w:shd w:val="clear" w:color="auto" w:fill="D2EAF1"/>
          </w:tcPr>
          <w:p w:rsidR="00AE303A" w:rsidRPr="00576A41" w:rsidRDefault="00AE303A" w:rsidP="00C21C45">
            <w:pPr>
              <w:rPr>
                <w:bCs/>
                <w:color w:val="000000"/>
                <w:sz w:val="20"/>
                <w:szCs w:val="20"/>
              </w:rPr>
            </w:pPr>
            <w:r>
              <w:rPr>
                <w:bCs/>
                <w:color w:val="000000"/>
                <w:sz w:val="20"/>
                <w:szCs w:val="20"/>
              </w:rPr>
              <w:t xml:space="preserve">Industrial – </w:t>
            </w:r>
            <w:r w:rsidR="00C21C45">
              <w:rPr>
                <w:bCs/>
                <w:color w:val="000000"/>
                <w:sz w:val="20"/>
                <w:szCs w:val="20"/>
              </w:rPr>
              <w:t>S</w:t>
            </w:r>
            <w:r w:rsidRPr="00576A41">
              <w:rPr>
                <w:bCs/>
                <w:color w:val="000000"/>
                <w:sz w:val="20"/>
                <w:szCs w:val="20"/>
              </w:rPr>
              <w:t>mall</w:t>
            </w:r>
          </w:p>
        </w:tc>
        <w:tc>
          <w:tcPr>
            <w:tcW w:w="1844" w:type="dxa"/>
            <w:shd w:val="clear" w:color="auto" w:fill="D2EAF1"/>
            <w:noWrap/>
          </w:tcPr>
          <w:p w:rsidR="00AE303A" w:rsidRPr="006E6583" w:rsidRDefault="00AE303A" w:rsidP="00380FF9">
            <w:pPr>
              <w:jc w:val="center"/>
              <w:rPr>
                <w:sz w:val="20"/>
                <w:szCs w:val="20"/>
              </w:rPr>
            </w:pPr>
            <w:r w:rsidRPr="006E6583">
              <w:rPr>
                <w:sz w:val="20"/>
                <w:szCs w:val="20"/>
              </w:rPr>
              <w:t>94</w:t>
            </w:r>
          </w:p>
        </w:tc>
        <w:tc>
          <w:tcPr>
            <w:tcW w:w="1844" w:type="dxa"/>
            <w:shd w:val="clear" w:color="auto" w:fill="D2EAF1"/>
            <w:noWrap/>
          </w:tcPr>
          <w:p w:rsidR="00AE303A" w:rsidRPr="006E6583" w:rsidRDefault="00AE303A" w:rsidP="00380FF9">
            <w:pPr>
              <w:jc w:val="center"/>
              <w:rPr>
                <w:sz w:val="20"/>
                <w:szCs w:val="20"/>
              </w:rPr>
            </w:pPr>
            <w:r>
              <w:rPr>
                <w:sz w:val="20"/>
                <w:szCs w:val="20"/>
              </w:rPr>
              <w:t>85%/</w:t>
            </w:r>
            <w:r w:rsidRPr="006E6583">
              <w:rPr>
                <w:sz w:val="20"/>
                <w:szCs w:val="20"/>
              </w:rPr>
              <w:t>15%</w:t>
            </w:r>
          </w:p>
        </w:tc>
        <w:tc>
          <w:tcPr>
            <w:tcW w:w="1844" w:type="dxa"/>
            <w:shd w:val="clear" w:color="auto" w:fill="D2EAF1"/>
            <w:noWrap/>
          </w:tcPr>
          <w:p w:rsidR="00AE303A" w:rsidRPr="006E6583" w:rsidRDefault="00AE303A" w:rsidP="00380FF9">
            <w:pPr>
              <w:jc w:val="center"/>
              <w:rPr>
                <w:sz w:val="20"/>
                <w:szCs w:val="20"/>
              </w:rPr>
            </w:pPr>
            <w:r w:rsidRPr="006E6583">
              <w:rPr>
                <w:sz w:val="20"/>
                <w:szCs w:val="20"/>
              </w:rPr>
              <w:t>4</w:t>
            </w:r>
          </w:p>
        </w:tc>
        <w:tc>
          <w:tcPr>
            <w:tcW w:w="1845" w:type="dxa"/>
            <w:shd w:val="clear" w:color="auto" w:fill="D2EAF1"/>
            <w:noWrap/>
          </w:tcPr>
          <w:p w:rsidR="00AE303A" w:rsidRPr="006E6583" w:rsidRDefault="00AE303A" w:rsidP="00380FF9">
            <w:pPr>
              <w:jc w:val="center"/>
              <w:rPr>
                <w:sz w:val="20"/>
                <w:szCs w:val="20"/>
              </w:rPr>
            </w:pPr>
            <w:r w:rsidRPr="006E6583">
              <w:rPr>
                <w:sz w:val="20"/>
                <w:szCs w:val="20"/>
              </w:rPr>
              <w:t>5</w:t>
            </w:r>
          </w:p>
        </w:tc>
      </w:tr>
      <w:tr w:rsidR="00E7173E" w:rsidRPr="006E6583" w:rsidTr="00DD4CC7">
        <w:trPr>
          <w:trHeight w:val="346"/>
          <w:jc w:val="center"/>
        </w:trPr>
        <w:tc>
          <w:tcPr>
            <w:tcW w:w="1983" w:type="dxa"/>
            <w:shd w:val="clear" w:color="auto" w:fill="auto"/>
          </w:tcPr>
          <w:p w:rsidR="00AE303A" w:rsidRPr="006E6583" w:rsidRDefault="00AE303A" w:rsidP="00380FF9">
            <w:pPr>
              <w:rPr>
                <w:b/>
                <w:bCs/>
                <w:color w:val="000000"/>
                <w:sz w:val="20"/>
                <w:szCs w:val="20"/>
              </w:rPr>
            </w:pPr>
            <w:r w:rsidRPr="006E6583">
              <w:rPr>
                <w:b/>
                <w:bCs/>
                <w:color w:val="000000"/>
                <w:sz w:val="20"/>
                <w:szCs w:val="20"/>
              </w:rPr>
              <w:t>Program Total</w:t>
            </w:r>
          </w:p>
        </w:tc>
        <w:tc>
          <w:tcPr>
            <w:tcW w:w="1844" w:type="dxa"/>
            <w:shd w:val="clear" w:color="auto" w:fill="auto"/>
            <w:noWrap/>
          </w:tcPr>
          <w:p w:rsidR="00AE303A" w:rsidRPr="006E6583" w:rsidRDefault="00AE303A" w:rsidP="00380FF9">
            <w:pPr>
              <w:jc w:val="center"/>
              <w:rPr>
                <w:b/>
                <w:sz w:val="20"/>
                <w:szCs w:val="20"/>
              </w:rPr>
            </w:pPr>
            <w:r w:rsidRPr="006E6583">
              <w:rPr>
                <w:b/>
                <w:sz w:val="20"/>
                <w:szCs w:val="20"/>
              </w:rPr>
              <w:t>116</w:t>
            </w:r>
          </w:p>
        </w:tc>
        <w:tc>
          <w:tcPr>
            <w:tcW w:w="1844" w:type="dxa"/>
            <w:shd w:val="clear" w:color="auto" w:fill="auto"/>
            <w:noWrap/>
          </w:tcPr>
          <w:p w:rsidR="00AE303A" w:rsidRPr="006E6583" w:rsidRDefault="00AE303A" w:rsidP="00380FF9">
            <w:pPr>
              <w:jc w:val="center"/>
              <w:rPr>
                <w:b/>
                <w:sz w:val="20"/>
                <w:szCs w:val="20"/>
              </w:rPr>
            </w:pPr>
            <w:r>
              <w:rPr>
                <w:b/>
                <w:sz w:val="20"/>
                <w:szCs w:val="20"/>
              </w:rPr>
              <w:t>85%/</w:t>
            </w:r>
            <w:r w:rsidRPr="006E6583">
              <w:rPr>
                <w:b/>
                <w:sz w:val="20"/>
                <w:szCs w:val="20"/>
              </w:rPr>
              <w:t>15%</w:t>
            </w:r>
          </w:p>
        </w:tc>
        <w:tc>
          <w:tcPr>
            <w:tcW w:w="1844" w:type="dxa"/>
            <w:shd w:val="clear" w:color="auto" w:fill="auto"/>
            <w:noWrap/>
          </w:tcPr>
          <w:p w:rsidR="00AE303A" w:rsidRPr="006E6583" w:rsidRDefault="00AE303A" w:rsidP="00380FF9">
            <w:pPr>
              <w:jc w:val="center"/>
              <w:rPr>
                <w:b/>
                <w:sz w:val="20"/>
                <w:szCs w:val="20"/>
              </w:rPr>
            </w:pPr>
            <w:r w:rsidRPr="006E6583">
              <w:rPr>
                <w:b/>
                <w:sz w:val="20"/>
                <w:szCs w:val="20"/>
              </w:rPr>
              <w:t>15</w:t>
            </w:r>
          </w:p>
        </w:tc>
        <w:tc>
          <w:tcPr>
            <w:tcW w:w="1845" w:type="dxa"/>
            <w:shd w:val="clear" w:color="auto" w:fill="auto"/>
            <w:noWrap/>
          </w:tcPr>
          <w:p w:rsidR="00AE303A" w:rsidRPr="006E6583" w:rsidRDefault="00AE303A" w:rsidP="00380FF9">
            <w:pPr>
              <w:jc w:val="center"/>
              <w:rPr>
                <w:b/>
                <w:sz w:val="20"/>
                <w:szCs w:val="20"/>
              </w:rPr>
            </w:pPr>
            <w:r w:rsidRPr="006E6583">
              <w:rPr>
                <w:b/>
                <w:sz w:val="20"/>
                <w:szCs w:val="20"/>
              </w:rPr>
              <w:t>16</w:t>
            </w:r>
          </w:p>
        </w:tc>
      </w:tr>
    </w:tbl>
    <w:p w:rsidR="00AE303A" w:rsidRPr="006E6583" w:rsidRDefault="00AE303A" w:rsidP="00AE303A"/>
    <w:p w:rsidR="00AE303A" w:rsidRPr="006E6583" w:rsidRDefault="00AE303A" w:rsidP="00AE303A">
      <w:r w:rsidRPr="006E6583">
        <w:t xml:space="preserve">The achieved precision values are shown in </w:t>
      </w:r>
      <w:r w:rsidRPr="006E6583">
        <w:fldChar w:fldCharType="begin"/>
      </w:r>
      <w:r w:rsidRPr="006E6583">
        <w:instrText xml:space="preserve"> REF _Ref433895903 \h  \* MERGEFORMAT </w:instrText>
      </w:r>
      <w:r w:rsidRPr="006E6583">
        <w:fldChar w:fldCharType="separate"/>
      </w:r>
      <w:r w:rsidR="00A874AC" w:rsidRPr="00A874AC">
        <w:t>Table A-15</w:t>
      </w:r>
      <w:r w:rsidRPr="006E6583">
        <w:fldChar w:fldCharType="end"/>
      </w:r>
      <w:r w:rsidRPr="006E6583">
        <w:t>. Duquesne met the 85%/15% confidence</w:t>
      </w:r>
      <w:r>
        <w:t>/</w:t>
      </w:r>
      <w:r w:rsidRPr="006E6583">
        <w:t>precision level for both energy and peak demand.</w:t>
      </w:r>
    </w:p>
    <w:p w:rsidR="00AE303A" w:rsidRDefault="00AE303A" w:rsidP="00AE303A">
      <w:bookmarkStart w:id="574" w:name="_Ref409136934"/>
      <w:bookmarkStart w:id="575" w:name="_Ref410118283"/>
      <w:bookmarkStart w:id="576" w:name="_Toc410199380"/>
    </w:p>
    <w:p w:rsidR="00A07AB2" w:rsidRDefault="00A07AB2" w:rsidP="00AE303A"/>
    <w:p w:rsidR="00A07AB2" w:rsidRDefault="00A07AB2" w:rsidP="00AE303A"/>
    <w:p w:rsidR="00A07AB2" w:rsidRDefault="00A07AB2" w:rsidP="00AE303A"/>
    <w:p w:rsidR="00A07AB2" w:rsidRDefault="00A07AB2" w:rsidP="00AE303A"/>
    <w:p w:rsidR="00A07AB2" w:rsidRDefault="00A07AB2" w:rsidP="00AE303A"/>
    <w:p w:rsidR="00A07AB2" w:rsidRDefault="00A07AB2" w:rsidP="00AE303A"/>
    <w:p w:rsidR="00A227FD" w:rsidRPr="006E6583" w:rsidRDefault="00A227FD" w:rsidP="00AE303A"/>
    <w:p w:rsidR="00AE303A" w:rsidRPr="006E6583" w:rsidRDefault="00AE303A" w:rsidP="00AE303A">
      <w:pPr>
        <w:spacing w:after="120"/>
        <w:jc w:val="center"/>
        <w:rPr>
          <w:rFonts w:ascii="Century Gothic" w:hAnsi="Century Gothic"/>
          <w:b/>
          <w:bCs/>
          <w:sz w:val="18"/>
          <w:szCs w:val="18"/>
        </w:rPr>
      </w:pPr>
      <w:bookmarkStart w:id="577" w:name="_Ref433895903"/>
      <w:bookmarkStart w:id="578" w:name="_Toc431462325"/>
      <w:bookmarkStart w:id="579" w:name="_Toc444269841"/>
      <w:bookmarkStart w:id="580" w:name="_Toc472472424"/>
      <w:bookmarkStart w:id="581" w:name="_Toc476842130"/>
      <w:bookmarkEnd w:id="574"/>
      <w:bookmarkEnd w:id="575"/>
      <w:r w:rsidRPr="006E6583">
        <w:rPr>
          <w:rFonts w:ascii="Century Gothic" w:hAnsi="Century Gothic"/>
          <w:b/>
          <w:bCs/>
          <w:sz w:val="18"/>
          <w:szCs w:val="18"/>
        </w:rPr>
        <w:lastRenderedPageBreak/>
        <w:t>Table A-</w:t>
      </w:r>
      <w:r w:rsidRPr="006E6583">
        <w:rPr>
          <w:rFonts w:ascii="Century Gothic" w:hAnsi="Century Gothic"/>
          <w:b/>
          <w:bCs/>
          <w:sz w:val="18"/>
          <w:szCs w:val="18"/>
        </w:rPr>
        <w:fldChar w:fldCharType="begin"/>
      </w:r>
      <w:r w:rsidRPr="006E6583">
        <w:rPr>
          <w:rFonts w:ascii="Century Gothic" w:hAnsi="Century Gothic"/>
          <w:b/>
          <w:bCs/>
          <w:sz w:val="18"/>
          <w:szCs w:val="18"/>
        </w:rPr>
        <w:instrText xml:space="preserve"> SEQ Table_A- \* ARABIC </w:instrText>
      </w:r>
      <w:r w:rsidRPr="006E6583">
        <w:rPr>
          <w:rFonts w:ascii="Century Gothic" w:hAnsi="Century Gothic"/>
          <w:b/>
          <w:bCs/>
          <w:sz w:val="18"/>
          <w:szCs w:val="18"/>
        </w:rPr>
        <w:fldChar w:fldCharType="separate"/>
      </w:r>
      <w:r w:rsidR="00C301D0">
        <w:rPr>
          <w:rFonts w:ascii="Century Gothic" w:hAnsi="Century Gothic"/>
          <w:b/>
          <w:bCs/>
          <w:noProof/>
          <w:sz w:val="18"/>
          <w:szCs w:val="18"/>
        </w:rPr>
        <w:t>15</w:t>
      </w:r>
      <w:r w:rsidRPr="006E6583">
        <w:rPr>
          <w:rFonts w:ascii="Century Gothic" w:hAnsi="Century Gothic"/>
          <w:b/>
          <w:bCs/>
          <w:sz w:val="18"/>
          <w:szCs w:val="18"/>
        </w:rPr>
        <w:fldChar w:fldCharType="end"/>
      </w:r>
      <w:bookmarkEnd w:id="577"/>
      <w:r w:rsidRPr="006E6583">
        <w:rPr>
          <w:rFonts w:ascii="Century Gothic" w:hAnsi="Century Gothic"/>
          <w:b/>
          <w:bCs/>
          <w:sz w:val="18"/>
          <w:szCs w:val="18"/>
        </w:rPr>
        <w:t>: Observed Coefficients of Variation and Relative Precision – Duquesne’s Industrial Program Group</w:t>
      </w:r>
      <w:bookmarkEnd w:id="576"/>
      <w:bookmarkEnd w:id="578"/>
      <w:bookmarkEnd w:id="579"/>
      <w:bookmarkEnd w:id="580"/>
      <w:bookmarkEnd w:id="581"/>
    </w:p>
    <w:tbl>
      <w:tblPr>
        <w:tblW w:w="936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121"/>
        <w:gridCol w:w="1839"/>
        <w:gridCol w:w="1839"/>
        <w:gridCol w:w="1839"/>
        <w:gridCol w:w="1722"/>
      </w:tblGrid>
      <w:tr w:rsidR="00A874AC" w:rsidRPr="006E6583" w:rsidTr="005C3E63">
        <w:trPr>
          <w:trHeight w:val="20"/>
          <w:tblHeader/>
        </w:trPr>
        <w:tc>
          <w:tcPr>
            <w:tcW w:w="2121" w:type="dxa"/>
            <w:shd w:val="clear" w:color="auto" w:fill="448A99"/>
            <w:vAlign w:val="bottom"/>
            <w:hideMark/>
          </w:tcPr>
          <w:p w:rsidR="00AE303A" w:rsidRPr="006E6583" w:rsidRDefault="00AE303A" w:rsidP="00380FF9">
            <w:pPr>
              <w:jc w:val="left"/>
              <w:rPr>
                <w:b/>
                <w:bCs/>
                <w:color w:val="FFFFFF"/>
                <w:sz w:val="20"/>
                <w:szCs w:val="20"/>
              </w:rPr>
            </w:pPr>
            <w:r w:rsidRPr="006E6583">
              <w:rPr>
                <w:b/>
                <w:bCs/>
                <w:color w:val="FFFFFF"/>
                <w:sz w:val="20"/>
                <w:szCs w:val="20"/>
              </w:rPr>
              <w:t>Stratum</w:t>
            </w:r>
          </w:p>
        </w:tc>
        <w:tc>
          <w:tcPr>
            <w:tcW w:w="1839"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Observed Coefficient of Variation (C</w:t>
            </w:r>
            <w:r w:rsidRPr="006E6583">
              <w:rPr>
                <w:b/>
                <w:bCs/>
                <w:color w:val="FFFFFF"/>
                <w:sz w:val="20"/>
                <w:szCs w:val="20"/>
                <w:vertAlign w:val="subscript"/>
              </w:rPr>
              <w:t>v</w:t>
            </w:r>
            <w:r w:rsidRPr="006E6583">
              <w:rPr>
                <w:b/>
                <w:bCs/>
                <w:color w:val="FFFFFF"/>
                <w:sz w:val="20"/>
                <w:szCs w:val="20"/>
              </w:rPr>
              <w:t>) or Proportion in Sample Design for Energy</w:t>
            </w:r>
          </w:p>
        </w:tc>
        <w:tc>
          <w:tcPr>
            <w:tcW w:w="1839"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Relative Precision at 85% C.L. for Energy</w:t>
            </w:r>
          </w:p>
        </w:tc>
        <w:tc>
          <w:tcPr>
            <w:tcW w:w="1839"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Observed Coefficient of Variation (C</w:t>
            </w:r>
            <w:r w:rsidRPr="006E6583">
              <w:rPr>
                <w:b/>
                <w:bCs/>
                <w:color w:val="FFFFFF"/>
                <w:sz w:val="20"/>
                <w:szCs w:val="20"/>
                <w:vertAlign w:val="subscript"/>
              </w:rPr>
              <w:t>v</w:t>
            </w:r>
            <w:r w:rsidRPr="006E6583">
              <w:rPr>
                <w:b/>
                <w:bCs/>
                <w:color w:val="FFFFFF"/>
                <w:sz w:val="20"/>
                <w:szCs w:val="20"/>
              </w:rPr>
              <w:t>) or Proportion in Sample Design for Demand</w:t>
            </w:r>
          </w:p>
        </w:tc>
        <w:tc>
          <w:tcPr>
            <w:tcW w:w="1722"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Relative Precision at 85% C.L. for Demand</w:t>
            </w:r>
          </w:p>
        </w:tc>
      </w:tr>
      <w:tr w:rsidR="00A874AC" w:rsidRPr="006E6583" w:rsidTr="005C3E63">
        <w:trPr>
          <w:trHeight w:val="317"/>
        </w:trPr>
        <w:tc>
          <w:tcPr>
            <w:tcW w:w="2121" w:type="dxa"/>
            <w:shd w:val="clear" w:color="auto" w:fill="D2EAF1"/>
          </w:tcPr>
          <w:p w:rsidR="00C21C45" w:rsidRPr="00576A41" w:rsidRDefault="00C21C45" w:rsidP="00C21C45">
            <w:pPr>
              <w:jc w:val="left"/>
              <w:rPr>
                <w:bCs/>
                <w:color w:val="000000"/>
                <w:sz w:val="20"/>
                <w:szCs w:val="20"/>
              </w:rPr>
            </w:pPr>
            <w:r w:rsidRPr="00576A41">
              <w:rPr>
                <w:bCs/>
                <w:color w:val="000000"/>
                <w:sz w:val="20"/>
                <w:szCs w:val="20"/>
              </w:rPr>
              <w:t xml:space="preserve">Industrial – </w:t>
            </w:r>
            <w:r>
              <w:rPr>
                <w:bCs/>
                <w:color w:val="000000"/>
                <w:sz w:val="20"/>
                <w:szCs w:val="20"/>
              </w:rPr>
              <w:t>L</w:t>
            </w:r>
            <w:r w:rsidRPr="00576A41">
              <w:rPr>
                <w:bCs/>
                <w:color w:val="000000"/>
                <w:sz w:val="20"/>
                <w:szCs w:val="20"/>
              </w:rPr>
              <w:t>arge</w:t>
            </w:r>
          </w:p>
        </w:tc>
        <w:tc>
          <w:tcPr>
            <w:tcW w:w="1839" w:type="dxa"/>
            <w:shd w:val="clear" w:color="auto" w:fill="D2EAF1"/>
            <w:noWrap/>
          </w:tcPr>
          <w:p w:rsidR="00C21C45" w:rsidRPr="006E6583" w:rsidRDefault="00C21C45" w:rsidP="00C21C45">
            <w:pPr>
              <w:jc w:val="center"/>
              <w:rPr>
                <w:color w:val="000000"/>
                <w:sz w:val="20"/>
                <w:szCs w:val="20"/>
              </w:rPr>
            </w:pPr>
            <w:r w:rsidRPr="006E6583">
              <w:rPr>
                <w:sz w:val="20"/>
                <w:szCs w:val="20"/>
              </w:rPr>
              <w:t>0.05</w:t>
            </w:r>
          </w:p>
        </w:tc>
        <w:tc>
          <w:tcPr>
            <w:tcW w:w="1839" w:type="dxa"/>
            <w:shd w:val="clear" w:color="auto" w:fill="D2EAF1"/>
            <w:noWrap/>
          </w:tcPr>
          <w:p w:rsidR="00C21C45" w:rsidRPr="006E6583" w:rsidRDefault="00C21C45" w:rsidP="00C21C45">
            <w:pPr>
              <w:jc w:val="center"/>
              <w:rPr>
                <w:sz w:val="20"/>
                <w:szCs w:val="20"/>
              </w:rPr>
            </w:pPr>
            <w:r w:rsidRPr="006E6583">
              <w:rPr>
                <w:sz w:val="20"/>
                <w:szCs w:val="20"/>
              </w:rPr>
              <w:t>2.7%</w:t>
            </w:r>
          </w:p>
        </w:tc>
        <w:tc>
          <w:tcPr>
            <w:tcW w:w="1839" w:type="dxa"/>
            <w:shd w:val="clear" w:color="auto" w:fill="D2EAF1"/>
            <w:noWrap/>
          </w:tcPr>
          <w:p w:rsidR="00C21C45" w:rsidRPr="006E6583" w:rsidRDefault="00C21C45" w:rsidP="00C21C45">
            <w:pPr>
              <w:jc w:val="center"/>
              <w:rPr>
                <w:sz w:val="20"/>
                <w:szCs w:val="20"/>
              </w:rPr>
            </w:pPr>
            <w:r w:rsidRPr="006E6583">
              <w:rPr>
                <w:sz w:val="20"/>
                <w:szCs w:val="20"/>
              </w:rPr>
              <w:t>0.16</w:t>
            </w:r>
          </w:p>
        </w:tc>
        <w:tc>
          <w:tcPr>
            <w:tcW w:w="1722" w:type="dxa"/>
            <w:shd w:val="clear" w:color="auto" w:fill="D2EAF1"/>
            <w:noWrap/>
          </w:tcPr>
          <w:p w:rsidR="00C21C45" w:rsidRPr="006E6583" w:rsidRDefault="00C21C45" w:rsidP="00C21C45">
            <w:pPr>
              <w:jc w:val="center"/>
              <w:rPr>
                <w:sz w:val="20"/>
                <w:szCs w:val="20"/>
              </w:rPr>
            </w:pPr>
            <w:r w:rsidRPr="006E6583">
              <w:rPr>
                <w:sz w:val="20"/>
                <w:szCs w:val="20"/>
              </w:rPr>
              <w:t>8.9%</w:t>
            </w:r>
          </w:p>
        </w:tc>
      </w:tr>
      <w:tr w:rsidR="00C21C45" w:rsidRPr="006E6583" w:rsidTr="005C3E63">
        <w:trPr>
          <w:trHeight w:val="317"/>
        </w:trPr>
        <w:tc>
          <w:tcPr>
            <w:tcW w:w="2121" w:type="dxa"/>
            <w:shd w:val="clear" w:color="auto" w:fill="auto"/>
          </w:tcPr>
          <w:p w:rsidR="00C21C45" w:rsidRPr="00576A41" w:rsidRDefault="00C21C45" w:rsidP="00C21C45">
            <w:pPr>
              <w:jc w:val="left"/>
              <w:rPr>
                <w:bCs/>
                <w:color w:val="000000"/>
                <w:sz w:val="20"/>
                <w:szCs w:val="20"/>
              </w:rPr>
            </w:pPr>
            <w:r>
              <w:rPr>
                <w:bCs/>
                <w:color w:val="000000"/>
                <w:sz w:val="20"/>
                <w:szCs w:val="20"/>
              </w:rPr>
              <w:t>Industrial – M</w:t>
            </w:r>
            <w:r w:rsidRPr="00576A41">
              <w:rPr>
                <w:bCs/>
                <w:color w:val="000000"/>
                <w:sz w:val="20"/>
                <w:szCs w:val="20"/>
              </w:rPr>
              <w:t>edium</w:t>
            </w:r>
          </w:p>
        </w:tc>
        <w:tc>
          <w:tcPr>
            <w:tcW w:w="1839" w:type="dxa"/>
            <w:shd w:val="clear" w:color="auto" w:fill="auto"/>
            <w:noWrap/>
          </w:tcPr>
          <w:p w:rsidR="00C21C45" w:rsidRPr="006E6583" w:rsidRDefault="00C21C45" w:rsidP="00C21C45">
            <w:pPr>
              <w:jc w:val="center"/>
              <w:rPr>
                <w:sz w:val="20"/>
                <w:szCs w:val="20"/>
              </w:rPr>
            </w:pPr>
            <w:r w:rsidRPr="006E6583">
              <w:rPr>
                <w:sz w:val="20"/>
                <w:szCs w:val="20"/>
              </w:rPr>
              <w:t>0.13</w:t>
            </w:r>
          </w:p>
        </w:tc>
        <w:tc>
          <w:tcPr>
            <w:tcW w:w="1839" w:type="dxa"/>
            <w:shd w:val="clear" w:color="auto" w:fill="auto"/>
            <w:noWrap/>
          </w:tcPr>
          <w:p w:rsidR="00C21C45" w:rsidRPr="006E6583" w:rsidRDefault="00C21C45" w:rsidP="00C21C45">
            <w:pPr>
              <w:jc w:val="center"/>
              <w:rPr>
                <w:sz w:val="20"/>
                <w:szCs w:val="20"/>
              </w:rPr>
            </w:pPr>
            <w:r w:rsidRPr="006E6583">
              <w:rPr>
                <w:sz w:val="20"/>
                <w:szCs w:val="20"/>
              </w:rPr>
              <w:t>6.0%</w:t>
            </w:r>
          </w:p>
        </w:tc>
        <w:tc>
          <w:tcPr>
            <w:tcW w:w="1839" w:type="dxa"/>
            <w:shd w:val="clear" w:color="auto" w:fill="auto"/>
            <w:noWrap/>
          </w:tcPr>
          <w:p w:rsidR="00C21C45" w:rsidRPr="006E6583" w:rsidRDefault="00C21C45" w:rsidP="00C21C45">
            <w:pPr>
              <w:jc w:val="center"/>
              <w:rPr>
                <w:sz w:val="20"/>
                <w:szCs w:val="20"/>
              </w:rPr>
            </w:pPr>
            <w:r w:rsidRPr="006E6583">
              <w:rPr>
                <w:sz w:val="20"/>
                <w:szCs w:val="20"/>
              </w:rPr>
              <w:t>0.47</w:t>
            </w:r>
          </w:p>
        </w:tc>
        <w:tc>
          <w:tcPr>
            <w:tcW w:w="1722" w:type="dxa"/>
            <w:shd w:val="clear" w:color="auto" w:fill="auto"/>
            <w:noWrap/>
          </w:tcPr>
          <w:p w:rsidR="00C21C45" w:rsidRPr="006E6583" w:rsidRDefault="00C21C45" w:rsidP="00C21C45">
            <w:pPr>
              <w:jc w:val="center"/>
              <w:rPr>
                <w:sz w:val="20"/>
                <w:szCs w:val="20"/>
              </w:rPr>
            </w:pPr>
            <w:r w:rsidRPr="006E6583">
              <w:rPr>
                <w:sz w:val="20"/>
                <w:szCs w:val="20"/>
              </w:rPr>
              <w:t>22.0%</w:t>
            </w:r>
          </w:p>
        </w:tc>
      </w:tr>
      <w:tr w:rsidR="00A874AC" w:rsidRPr="006E6583" w:rsidTr="005C3E63">
        <w:trPr>
          <w:trHeight w:val="317"/>
        </w:trPr>
        <w:tc>
          <w:tcPr>
            <w:tcW w:w="2121" w:type="dxa"/>
            <w:shd w:val="clear" w:color="auto" w:fill="D2EAF1"/>
          </w:tcPr>
          <w:p w:rsidR="00C21C45" w:rsidRPr="00576A41" w:rsidRDefault="00C21C45" w:rsidP="00C21C45">
            <w:pPr>
              <w:jc w:val="left"/>
              <w:rPr>
                <w:bCs/>
                <w:color w:val="000000"/>
                <w:sz w:val="20"/>
                <w:szCs w:val="20"/>
              </w:rPr>
            </w:pPr>
            <w:r>
              <w:rPr>
                <w:bCs/>
                <w:color w:val="000000"/>
                <w:sz w:val="20"/>
                <w:szCs w:val="20"/>
              </w:rPr>
              <w:t>Industrial – S</w:t>
            </w:r>
            <w:r w:rsidRPr="00576A41">
              <w:rPr>
                <w:bCs/>
                <w:color w:val="000000"/>
                <w:sz w:val="20"/>
                <w:szCs w:val="20"/>
              </w:rPr>
              <w:t>mall</w:t>
            </w:r>
          </w:p>
        </w:tc>
        <w:tc>
          <w:tcPr>
            <w:tcW w:w="1839" w:type="dxa"/>
            <w:shd w:val="clear" w:color="auto" w:fill="D2EAF1"/>
            <w:noWrap/>
          </w:tcPr>
          <w:p w:rsidR="00C21C45" w:rsidRPr="006E6583" w:rsidRDefault="00C21C45" w:rsidP="00C21C45">
            <w:pPr>
              <w:jc w:val="center"/>
              <w:rPr>
                <w:sz w:val="20"/>
                <w:szCs w:val="20"/>
              </w:rPr>
            </w:pPr>
            <w:r w:rsidRPr="006E6583">
              <w:rPr>
                <w:sz w:val="20"/>
                <w:szCs w:val="20"/>
              </w:rPr>
              <w:t>0.01</w:t>
            </w:r>
          </w:p>
        </w:tc>
        <w:tc>
          <w:tcPr>
            <w:tcW w:w="1839" w:type="dxa"/>
            <w:shd w:val="clear" w:color="auto" w:fill="D2EAF1"/>
            <w:noWrap/>
          </w:tcPr>
          <w:p w:rsidR="00C21C45" w:rsidRPr="006E6583" w:rsidRDefault="00C21C45" w:rsidP="00C21C45">
            <w:pPr>
              <w:jc w:val="center"/>
              <w:rPr>
                <w:sz w:val="20"/>
                <w:szCs w:val="20"/>
              </w:rPr>
            </w:pPr>
            <w:r w:rsidRPr="006E6583">
              <w:rPr>
                <w:sz w:val="20"/>
                <w:szCs w:val="20"/>
              </w:rPr>
              <w:t>0.8%</w:t>
            </w:r>
          </w:p>
        </w:tc>
        <w:tc>
          <w:tcPr>
            <w:tcW w:w="1839" w:type="dxa"/>
            <w:shd w:val="clear" w:color="auto" w:fill="D2EAF1"/>
            <w:noWrap/>
          </w:tcPr>
          <w:p w:rsidR="00C21C45" w:rsidRPr="006E6583" w:rsidRDefault="00C21C45" w:rsidP="00C21C45">
            <w:pPr>
              <w:jc w:val="center"/>
              <w:rPr>
                <w:sz w:val="20"/>
                <w:szCs w:val="20"/>
              </w:rPr>
            </w:pPr>
            <w:r w:rsidRPr="006E6583">
              <w:rPr>
                <w:sz w:val="20"/>
                <w:szCs w:val="20"/>
              </w:rPr>
              <w:t>0.00</w:t>
            </w:r>
          </w:p>
        </w:tc>
        <w:tc>
          <w:tcPr>
            <w:tcW w:w="1722" w:type="dxa"/>
            <w:shd w:val="clear" w:color="auto" w:fill="D2EAF1"/>
            <w:noWrap/>
          </w:tcPr>
          <w:p w:rsidR="00C21C45" w:rsidRPr="006E6583" w:rsidRDefault="00C21C45" w:rsidP="00C21C45">
            <w:pPr>
              <w:jc w:val="center"/>
              <w:rPr>
                <w:sz w:val="20"/>
                <w:szCs w:val="20"/>
              </w:rPr>
            </w:pPr>
            <w:r w:rsidRPr="006E6583">
              <w:rPr>
                <w:sz w:val="20"/>
                <w:szCs w:val="20"/>
              </w:rPr>
              <w:t>0.2%</w:t>
            </w:r>
          </w:p>
        </w:tc>
      </w:tr>
      <w:tr w:rsidR="00E7173E" w:rsidRPr="006E6583" w:rsidTr="005C3E63">
        <w:trPr>
          <w:trHeight w:val="317"/>
        </w:trPr>
        <w:tc>
          <w:tcPr>
            <w:tcW w:w="2121" w:type="dxa"/>
            <w:shd w:val="clear" w:color="auto" w:fill="auto"/>
          </w:tcPr>
          <w:p w:rsidR="00AE303A" w:rsidRPr="006E6583" w:rsidRDefault="00AE303A" w:rsidP="00380FF9">
            <w:pPr>
              <w:jc w:val="left"/>
              <w:rPr>
                <w:b/>
                <w:bCs/>
                <w:color w:val="000000"/>
                <w:sz w:val="20"/>
                <w:szCs w:val="20"/>
              </w:rPr>
            </w:pPr>
            <w:r w:rsidRPr="006E6583">
              <w:rPr>
                <w:b/>
                <w:bCs/>
                <w:color w:val="000000"/>
                <w:sz w:val="20"/>
                <w:szCs w:val="20"/>
              </w:rPr>
              <w:t>Program Total</w:t>
            </w:r>
          </w:p>
        </w:tc>
        <w:tc>
          <w:tcPr>
            <w:tcW w:w="1839" w:type="dxa"/>
            <w:shd w:val="clear" w:color="auto" w:fill="auto"/>
            <w:noWrap/>
          </w:tcPr>
          <w:p w:rsidR="00AE303A" w:rsidRPr="006E6583" w:rsidRDefault="00AE303A" w:rsidP="00380FF9">
            <w:pPr>
              <w:jc w:val="center"/>
              <w:rPr>
                <w:b/>
                <w:sz w:val="20"/>
                <w:szCs w:val="20"/>
              </w:rPr>
            </w:pPr>
          </w:p>
        </w:tc>
        <w:tc>
          <w:tcPr>
            <w:tcW w:w="1839" w:type="dxa"/>
            <w:shd w:val="clear" w:color="auto" w:fill="auto"/>
            <w:noWrap/>
          </w:tcPr>
          <w:p w:rsidR="00AE303A" w:rsidRPr="006E6583" w:rsidRDefault="00AE303A" w:rsidP="00380FF9">
            <w:pPr>
              <w:jc w:val="center"/>
              <w:rPr>
                <w:b/>
                <w:sz w:val="20"/>
                <w:szCs w:val="20"/>
              </w:rPr>
            </w:pPr>
            <w:r w:rsidRPr="006E6583">
              <w:rPr>
                <w:b/>
                <w:sz w:val="20"/>
                <w:szCs w:val="20"/>
              </w:rPr>
              <w:t>1.9%</w:t>
            </w:r>
          </w:p>
        </w:tc>
        <w:tc>
          <w:tcPr>
            <w:tcW w:w="1839" w:type="dxa"/>
            <w:shd w:val="clear" w:color="auto" w:fill="auto"/>
            <w:noWrap/>
          </w:tcPr>
          <w:p w:rsidR="00AE303A" w:rsidRPr="006E6583" w:rsidRDefault="00AE303A" w:rsidP="00380FF9">
            <w:pPr>
              <w:jc w:val="center"/>
              <w:rPr>
                <w:b/>
                <w:sz w:val="20"/>
                <w:szCs w:val="20"/>
              </w:rPr>
            </w:pPr>
          </w:p>
        </w:tc>
        <w:tc>
          <w:tcPr>
            <w:tcW w:w="1722" w:type="dxa"/>
            <w:shd w:val="clear" w:color="auto" w:fill="auto"/>
            <w:noWrap/>
          </w:tcPr>
          <w:p w:rsidR="00AE303A" w:rsidRPr="006E6583" w:rsidRDefault="00AE303A" w:rsidP="00380FF9">
            <w:pPr>
              <w:jc w:val="center"/>
              <w:rPr>
                <w:b/>
                <w:sz w:val="20"/>
                <w:szCs w:val="20"/>
              </w:rPr>
            </w:pPr>
            <w:r w:rsidRPr="006E6583">
              <w:rPr>
                <w:b/>
                <w:sz w:val="20"/>
                <w:szCs w:val="20"/>
              </w:rPr>
              <w:t>6.4%</w:t>
            </w:r>
          </w:p>
        </w:tc>
      </w:tr>
    </w:tbl>
    <w:p w:rsidR="00AE303A" w:rsidRPr="006E6583" w:rsidRDefault="00AE303A" w:rsidP="00AE303A"/>
    <w:p w:rsidR="00AE303A" w:rsidRPr="006E6583" w:rsidRDefault="00AE303A" w:rsidP="00AE303A">
      <w:pPr>
        <w:pStyle w:val="AppendixAHeading5"/>
      </w:pPr>
      <w:r w:rsidRPr="006E6583">
        <w:t>GNI Program Group</w:t>
      </w:r>
    </w:p>
    <w:p w:rsidR="00AE303A" w:rsidRPr="006E6583" w:rsidRDefault="00AE303A" w:rsidP="00AE303A">
      <w:r w:rsidRPr="006E6583">
        <w:t xml:space="preserve">The GNI Program Group was treated as its own evaluation group, in accordance with the Evaluation Framework, because </w:t>
      </w:r>
      <w:r w:rsidRPr="006E6583">
        <w:rPr>
          <w:rFonts w:cs="Calibri"/>
        </w:rPr>
        <w:t>savings exceeded 20% of the non-residential sector savings in the previous year.</w:t>
      </w:r>
      <w:r w:rsidRPr="006E6583">
        <w:t xml:space="preserve"> Similar to </w:t>
      </w:r>
      <w:r>
        <w:t xml:space="preserve">in </w:t>
      </w:r>
      <w:r w:rsidRPr="006E6583">
        <w:t xml:space="preserve">the Commercial Program Group, the GNI Program Group sampling approach was at the project level. Two strata were defined in the GNI Program Group: </w:t>
      </w:r>
      <w:r>
        <w:t>s</w:t>
      </w:r>
      <w:r w:rsidRPr="006E6583">
        <w:t xml:space="preserve">mall and </w:t>
      </w:r>
      <w:r>
        <w:t>l</w:t>
      </w:r>
      <w:r w:rsidRPr="006E6583">
        <w:t xml:space="preserve">arge. The sampling strategy for the GNI Program Group is shown in </w:t>
      </w:r>
      <w:r w:rsidRPr="006E6583">
        <w:fldChar w:fldCharType="begin"/>
      </w:r>
      <w:r w:rsidRPr="006E6583">
        <w:instrText xml:space="preserve"> REF _Ref433895925 \h  \* MERGEFORMAT </w:instrText>
      </w:r>
      <w:r w:rsidRPr="006E6583">
        <w:fldChar w:fldCharType="separate"/>
      </w:r>
      <w:r w:rsidR="00A874AC" w:rsidRPr="00A874AC">
        <w:t>Table A-16</w:t>
      </w:r>
      <w:r w:rsidRPr="006E6583">
        <w:fldChar w:fldCharType="end"/>
      </w:r>
      <w:r w:rsidRPr="006E6583">
        <w:t xml:space="preserve">, and the achieved precision values are shown in </w:t>
      </w:r>
      <w:r w:rsidRPr="006E6583">
        <w:fldChar w:fldCharType="begin"/>
      </w:r>
      <w:r w:rsidRPr="006E6583">
        <w:instrText xml:space="preserve"> REF _Ref440034426 \h  \* MERGEFORMAT </w:instrText>
      </w:r>
      <w:r w:rsidRPr="006E6583">
        <w:fldChar w:fldCharType="separate"/>
      </w:r>
      <w:r w:rsidR="00A874AC" w:rsidRPr="00A874AC">
        <w:rPr>
          <w:bCs/>
        </w:rPr>
        <w:t>Table A-17</w:t>
      </w:r>
      <w:r w:rsidRPr="006E6583">
        <w:fldChar w:fldCharType="end"/>
      </w:r>
      <w:r w:rsidRPr="006E6583">
        <w:t xml:space="preserve">. </w:t>
      </w:r>
      <w:bookmarkStart w:id="582" w:name="_Ref409136969"/>
    </w:p>
    <w:p w:rsidR="00AE303A" w:rsidRPr="006E6583" w:rsidRDefault="00AE303A" w:rsidP="00AE303A"/>
    <w:p w:rsidR="00AE303A" w:rsidRPr="006E6583" w:rsidRDefault="00AE303A" w:rsidP="00AE303A">
      <w:pPr>
        <w:spacing w:after="120"/>
        <w:jc w:val="center"/>
        <w:rPr>
          <w:rFonts w:ascii="Century Gothic" w:hAnsi="Century Gothic"/>
          <w:b/>
          <w:bCs/>
          <w:sz w:val="18"/>
          <w:szCs w:val="18"/>
        </w:rPr>
      </w:pPr>
      <w:bookmarkStart w:id="583" w:name="_Ref433895925"/>
      <w:bookmarkStart w:id="584" w:name="_Toc410199381"/>
      <w:bookmarkStart w:id="585" w:name="_Toc431462326"/>
      <w:bookmarkStart w:id="586" w:name="_Toc444269842"/>
      <w:bookmarkStart w:id="587" w:name="_Toc472472425"/>
      <w:bookmarkStart w:id="588" w:name="_Toc476842131"/>
      <w:bookmarkEnd w:id="582"/>
      <w:r w:rsidRPr="006E6583">
        <w:rPr>
          <w:rFonts w:ascii="Century Gothic" w:hAnsi="Century Gothic"/>
          <w:b/>
          <w:bCs/>
          <w:sz w:val="18"/>
          <w:szCs w:val="18"/>
        </w:rPr>
        <w:t>Table A-</w:t>
      </w:r>
      <w:r w:rsidRPr="006E6583">
        <w:rPr>
          <w:rFonts w:ascii="Century Gothic" w:hAnsi="Century Gothic"/>
          <w:b/>
          <w:bCs/>
          <w:sz w:val="18"/>
          <w:szCs w:val="18"/>
        </w:rPr>
        <w:fldChar w:fldCharType="begin"/>
      </w:r>
      <w:r w:rsidRPr="006E6583">
        <w:rPr>
          <w:rFonts w:ascii="Century Gothic" w:hAnsi="Century Gothic"/>
          <w:b/>
          <w:bCs/>
          <w:sz w:val="18"/>
          <w:szCs w:val="18"/>
        </w:rPr>
        <w:instrText xml:space="preserve"> SEQ Table_A- \* ARABIC </w:instrText>
      </w:r>
      <w:r w:rsidRPr="006E6583">
        <w:rPr>
          <w:rFonts w:ascii="Century Gothic" w:hAnsi="Century Gothic"/>
          <w:b/>
          <w:bCs/>
          <w:sz w:val="18"/>
          <w:szCs w:val="18"/>
        </w:rPr>
        <w:fldChar w:fldCharType="separate"/>
      </w:r>
      <w:r w:rsidR="00C301D0">
        <w:rPr>
          <w:rFonts w:ascii="Century Gothic" w:hAnsi="Century Gothic"/>
          <w:b/>
          <w:bCs/>
          <w:noProof/>
          <w:sz w:val="18"/>
          <w:szCs w:val="18"/>
        </w:rPr>
        <w:t>16</w:t>
      </w:r>
      <w:r w:rsidRPr="006E6583">
        <w:rPr>
          <w:rFonts w:ascii="Century Gothic" w:hAnsi="Century Gothic"/>
          <w:b/>
          <w:bCs/>
          <w:sz w:val="18"/>
          <w:szCs w:val="18"/>
        </w:rPr>
        <w:fldChar w:fldCharType="end"/>
      </w:r>
      <w:bookmarkEnd w:id="583"/>
      <w:r w:rsidRPr="006E6583">
        <w:rPr>
          <w:rFonts w:ascii="Century Gothic" w:hAnsi="Century Gothic"/>
          <w:b/>
          <w:bCs/>
          <w:sz w:val="18"/>
          <w:szCs w:val="18"/>
        </w:rPr>
        <w:t>: Duquesne’s PY7 Sampling Strategy – GNI Program Group</w:t>
      </w:r>
      <w:bookmarkEnd w:id="584"/>
      <w:bookmarkEnd w:id="585"/>
      <w:bookmarkEnd w:id="586"/>
      <w:bookmarkEnd w:id="587"/>
      <w:bookmarkEnd w:id="588"/>
    </w:p>
    <w:tbl>
      <w:tblPr>
        <w:tblW w:w="936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921"/>
        <w:gridCol w:w="1889"/>
        <w:gridCol w:w="1889"/>
        <w:gridCol w:w="1889"/>
        <w:gridCol w:w="1772"/>
      </w:tblGrid>
      <w:tr w:rsidR="00A874AC" w:rsidRPr="006E6583" w:rsidTr="005C3E63">
        <w:trPr>
          <w:trHeight w:val="20"/>
        </w:trPr>
        <w:tc>
          <w:tcPr>
            <w:tcW w:w="1921" w:type="dxa"/>
            <w:shd w:val="clear" w:color="auto" w:fill="448A99"/>
            <w:vAlign w:val="bottom"/>
            <w:hideMark/>
          </w:tcPr>
          <w:p w:rsidR="00AE303A" w:rsidRPr="006E6583" w:rsidRDefault="00AE303A" w:rsidP="00380FF9">
            <w:pPr>
              <w:jc w:val="left"/>
              <w:rPr>
                <w:b/>
                <w:bCs/>
                <w:color w:val="FFFFFF"/>
                <w:sz w:val="20"/>
                <w:szCs w:val="20"/>
              </w:rPr>
            </w:pPr>
            <w:r w:rsidRPr="006E6583">
              <w:rPr>
                <w:b/>
                <w:bCs/>
                <w:color w:val="FFFFFF"/>
                <w:sz w:val="20"/>
                <w:szCs w:val="20"/>
              </w:rPr>
              <w:t>Stratum</w:t>
            </w:r>
          </w:p>
        </w:tc>
        <w:tc>
          <w:tcPr>
            <w:tcW w:w="1889"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Population</w:t>
            </w:r>
          </w:p>
        </w:tc>
        <w:tc>
          <w:tcPr>
            <w:tcW w:w="1889"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Target Levels of Confidence &amp; Precision</w:t>
            </w:r>
          </w:p>
        </w:tc>
        <w:tc>
          <w:tcPr>
            <w:tcW w:w="1889"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Target Sample Size</w:t>
            </w:r>
          </w:p>
        </w:tc>
        <w:tc>
          <w:tcPr>
            <w:tcW w:w="1772"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Achieved Sample Size</w:t>
            </w:r>
          </w:p>
        </w:tc>
      </w:tr>
      <w:tr w:rsidR="00A874AC" w:rsidRPr="006E6583" w:rsidTr="005C3E63">
        <w:trPr>
          <w:trHeight w:val="302"/>
        </w:trPr>
        <w:tc>
          <w:tcPr>
            <w:tcW w:w="1921" w:type="dxa"/>
            <w:shd w:val="clear" w:color="auto" w:fill="D2EAF1"/>
          </w:tcPr>
          <w:p w:rsidR="00AE303A" w:rsidRPr="00576A41" w:rsidRDefault="00AE303A" w:rsidP="008D11AB">
            <w:pPr>
              <w:jc w:val="left"/>
              <w:rPr>
                <w:bCs/>
                <w:color w:val="000000"/>
                <w:sz w:val="20"/>
                <w:szCs w:val="20"/>
              </w:rPr>
            </w:pPr>
            <w:r w:rsidRPr="00576A41">
              <w:rPr>
                <w:bCs/>
                <w:color w:val="000000"/>
                <w:sz w:val="20"/>
                <w:szCs w:val="20"/>
              </w:rPr>
              <w:t xml:space="preserve">GNI – </w:t>
            </w:r>
            <w:r w:rsidR="008D11AB">
              <w:rPr>
                <w:bCs/>
                <w:color w:val="000000"/>
                <w:sz w:val="20"/>
                <w:szCs w:val="20"/>
              </w:rPr>
              <w:t>L</w:t>
            </w:r>
            <w:r w:rsidRPr="00576A41">
              <w:rPr>
                <w:bCs/>
                <w:color w:val="000000"/>
                <w:sz w:val="20"/>
                <w:szCs w:val="20"/>
              </w:rPr>
              <w:t>arge</w:t>
            </w:r>
          </w:p>
        </w:tc>
        <w:tc>
          <w:tcPr>
            <w:tcW w:w="1889" w:type="dxa"/>
            <w:shd w:val="clear" w:color="auto" w:fill="D2EAF1"/>
            <w:noWrap/>
          </w:tcPr>
          <w:p w:rsidR="00AE303A" w:rsidRPr="006E6583" w:rsidRDefault="00AE303A" w:rsidP="00380FF9">
            <w:pPr>
              <w:jc w:val="center"/>
              <w:rPr>
                <w:sz w:val="20"/>
                <w:szCs w:val="20"/>
              </w:rPr>
            </w:pPr>
            <w:r w:rsidRPr="006E6583">
              <w:rPr>
                <w:sz w:val="20"/>
                <w:szCs w:val="20"/>
              </w:rPr>
              <w:t>7</w:t>
            </w:r>
          </w:p>
        </w:tc>
        <w:tc>
          <w:tcPr>
            <w:tcW w:w="1889" w:type="dxa"/>
            <w:shd w:val="clear" w:color="auto" w:fill="D2EAF1"/>
            <w:noWrap/>
          </w:tcPr>
          <w:p w:rsidR="00AE303A" w:rsidRPr="006E6583" w:rsidRDefault="00AE303A" w:rsidP="00380FF9">
            <w:pPr>
              <w:jc w:val="center"/>
              <w:rPr>
                <w:sz w:val="20"/>
                <w:szCs w:val="20"/>
              </w:rPr>
            </w:pPr>
            <w:r>
              <w:rPr>
                <w:sz w:val="20"/>
                <w:szCs w:val="20"/>
              </w:rPr>
              <w:t>85</w:t>
            </w:r>
            <w:r w:rsidR="00507295">
              <w:rPr>
                <w:sz w:val="20"/>
                <w:szCs w:val="20"/>
              </w:rPr>
              <w:t>%</w:t>
            </w:r>
            <w:r>
              <w:rPr>
                <w:sz w:val="20"/>
                <w:szCs w:val="20"/>
              </w:rPr>
              <w:t>/</w:t>
            </w:r>
            <w:r w:rsidRPr="006E6583">
              <w:rPr>
                <w:sz w:val="20"/>
                <w:szCs w:val="20"/>
              </w:rPr>
              <w:t>15%</w:t>
            </w:r>
          </w:p>
        </w:tc>
        <w:tc>
          <w:tcPr>
            <w:tcW w:w="1889" w:type="dxa"/>
            <w:shd w:val="clear" w:color="auto" w:fill="D2EAF1"/>
            <w:noWrap/>
          </w:tcPr>
          <w:p w:rsidR="00AE303A" w:rsidRPr="006E6583" w:rsidRDefault="00AE303A" w:rsidP="00380FF9">
            <w:pPr>
              <w:jc w:val="center"/>
              <w:rPr>
                <w:sz w:val="20"/>
                <w:szCs w:val="20"/>
              </w:rPr>
            </w:pPr>
            <w:r w:rsidRPr="006E6583">
              <w:rPr>
                <w:sz w:val="20"/>
                <w:szCs w:val="20"/>
              </w:rPr>
              <w:t>5</w:t>
            </w:r>
          </w:p>
        </w:tc>
        <w:tc>
          <w:tcPr>
            <w:tcW w:w="1772" w:type="dxa"/>
            <w:shd w:val="clear" w:color="auto" w:fill="D2EAF1"/>
            <w:noWrap/>
          </w:tcPr>
          <w:p w:rsidR="00AE303A" w:rsidRPr="006E6583" w:rsidRDefault="00AE303A" w:rsidP="00380FF9">
            <w:pPr>
              <w:jc w:val="center"/>
              <w:rPr>
                <w:sz w:val="20"/>
                <w:szCs w:val="20"/>
              </w:rPr>
            </w:pPr>
            <w:r w:rsidRPr="006E6583">
              <w:rPr>
                <w:sz w:val="20"/>
                <w:szCs w:val="20"/>
              </w:rPr>
              <w:t>7</w:t>
            </w:r>
          </w:p>
        </w:tc>
      </w:tr>
      <w:tr w:rsidR="00E7173E" w:rsidRPr="006E6583" w:rsidTr="005C3E63">
        <w:trPr>
          <w:trHeight w:val="302"/>
        </w:trPr>
        <w:tc>
          <w:tcPr>
            <w:tcW w:w="1921" w:type="dxa"/>
            <w:shd w:val="clear" w:color="auto" w:fill="auto"/>
          </w:tcPr>
          <w:p w:rsidR="00AE303A" w:rsidRPr="00576A41" w:rsidRDefault="00AE303A" w:rsidP="008D11AB">
            <w:pPr>
              <w:jc w:val="left"/>
              <w:rPr>
                <w:bCs/>
                <w:color w:val="000000"/>
                <w:sz w:val="20"/>
                <w:szCs w:val="20"/>
              </w:rPr>
            </w:pPr>
            <w:r w:rsidRPr="00576A41">
              <w:rPr>
                <w:bCs/>
                <w:color w:val="000000"/>
                <w:sz w:val="20"/>
                <w:szCs w:val="20"/>
              </w:rPr>
              <w:t xml:space="preserve">GNI – </w:t>
            </w:r>
            <w:r w:rsidR="008D11AB">
              <w:rPr>
                <w:bCs/>
                <w:color w:val="000000"/>
                <w:sz w:val="20"/>
                <w:szCs w:val="20"/>
              </w:rPr>
              <w:t>S</w:t>
            </w:r>
            <w:r w:rsidRPr="00576A41">
              <w:rPr>
                <w:bCs/>
                <w:color w:val="000000"/>
                <w:sz w:val="20"/>
                <w:szCs w:val="20"/>
              </w:rPr>
              <w:t>mall</w:t>
            </w:r>
          </w:p>
        </w:tc>
        <w:tc>
          <w:tcPr>
            <w:tcW w:w="1889" w:type="dxa"/>
            <w:shd w:val="clear" w:color="auto" w:fill="auto"/>
            <w:noWrap/>
          </w:tcPr>
          <w:p w:rsidR="00AE303A" w:rsidRPr="006E6583" w:rsidRDefault="00AE303A" w:rsidP="00380FF9">
            <w:pPr>
              <w:jc w:val="center"/>
              <w:rPr>
                <w:sz w:val="20"/>
                <w:szCs w:val="20"/>
              </w:rPr>
            </w:pPr>
            <w:r w:rsidRPr="006E6583">
              <w:rPr>
                <w:sz w:val="20"/>
                <w:szCs w:val="20"/>
              </w:rPr>
              <w:t>55</w:t>
            </w:r>
          </w:p>
        </w:tc>
        <w:tc>
          <w:tcPr>
            <w:tcW w:w="1889" w:type="dxa"/>
            <w:shd w:val="clear" w:color="auto" w:fill="auto"/>
            <w:noWrap/>
          </w:tcPr>
          <w:p w:rsidR="00AE303A" w:rsidRPr="006E6583" w:rsidRDefault="00AE303A" w:rsidP="00380FF9">
            <w:pPr>
              <w:jc w:val="center"/>
              <w:rPr>
                <w:sz w:val="20"/>
                <w:szCs w:val="20"/>
              </w:rPr>
            </w:pPr>
            <w:r>
              <w:rPr>
                <w:sz w:val="20"/>
                <w:szCs w:val="20"/>
              </w:rPr>
              <w:t>85%/</w:t>
            </w:r>
            <w:r w:rsidRPr="006E6583">
              <w:rPr>
                <w:sz w:val="20"/>
                <w:szCs w:val="20"/>
              </w:rPr>
              <w:t>15%</w:t>
            </w:r>
          </w:p>
        </w:tc>
        <w:tc>
          <w:tcPr>
            <w:tcW w:w="1889" w:type="dxa"/>
            <w:shd w:val="clear" w:color="auto" w:fill="auto"/>
            <w:noWrap/>
          </w:tcPr>
          <w:p w:rsidR="00AE303A" w:rsidRPr="006E6583" w:rsidRDefault="00AE303A" w:rsidP="00380FF9">
            <w:pPr>
              <w:jc w:val="center"/>
              <w:rPr>
                <w:sz w:val="20"/>
                <w:szCs w:val="20"/>
              </w:rPr>
            </w:pPr>
            <w:r w:rsidRPr="006E6583">
              <w:rPr>
                <w:sz w:val="20"/>
                <w:szCs w:val="20"/>
              </w:rPr>
              <w:t>8</w:t>
            </w:r>
          </w:p>
        </w:tc>
        <w:tc>
          <w:tcPr>
            <w:tcW w:w="1772" w:type="dxa"/>
            <w:shd w:val="clear" w:color="auto" w:fill="auto"/>
            <w:noWrap/>
          </w:tcPr>
          <w:p w:rsidR="00AE303A" w:rsidRPr="006E6583" w:rsidRDefault="00AE303A" w:rsidP="00380FF9">
            <w:pPr>
              <w:jc w:val="center"/>
              <w:rPr>
                <w:sz w:val="20"/>
                <w:szCs w:val="20"/>
              </w:rPr>
            </w:pPr>
            <w:r w:rsidRPr="006E6583">
              <w:rPr>
                <w:sz w:val="20"/>
                <w:szCs w:val="20"/>
              </w:rPr>
              <w:t>7</w:t>
            </w:r>
          </w:p>
        </w:tc>
      </w:tr>
      <w:tr w:rsidR="00A874AC" w:rsidRPr="006E6583" w:rsidTr="005C3E63">
        <w:trPr>
          <w:trHeight w:val="302"/>
        </w:trPr>
        <w:tc>
          <w:tcPr>
            <w:tcW w:w="1921" w:type="dxa"/>
            <w:shd w:val="clear" w:color="auto" w:fill="D2EAF1"/>
          </w:tcPr>
          <w:p w:rsidR="00AE303A" w:rsidRPr="006E6583" w:rsidRDefault="00AE303A" w:rsidP="00380FF9">
            <w:pPr>
              <w:jc w:val="left"/>
              <w:rPr>
                <w:b/>
                <w:bCs/>
                <w:color w:val="000000"/>
                <w:sz w:val="20"/>
                <w:szCs w:val="20"/>
              </w:rPr>
            </w:pPr>
            <w:r w:rsidRPr="006E6583">
              <w:rPr>
                <w:b/>
                <w:bCs/>
                <w:color w:val="000000"/>
                <w:sz w:val="20"/>
                <w:szCs w:val="20"/>
              </w:rPr>
              <w:t>Program Total</w:t>
            </w:r>
          </w:p>
        </w:tc>
        <w:tc>
          <w:tcPr>
            <w:tcW w:w="1889" w:type="dxa"/>
            <w:shd w:val="clear" w:color="auto" w:fill="D2EAF1"/>
            <w:noWrap/>
          </w:tcPr>
          <w:p w:rsidR="00AE303A" w:rsidRPr="006E6583" w:rsidRDefault="00AE303A" w:rsidP="00380FF9">
            <w:pPr>
              <w:jc w:val="center"/>
              <w:rPr>
                <w:b/>
                <w:sz w:val="20"/>
                <w:szCs w:val="20"/>
              </w:rPr>
            </w:pPr>
            <w:r w:rsidRPr="006E6583">
              <w:rPr>
                <w:b/>
                <w:sz w:val="20"/>
                <w:szCs w:val="20"/>
              </w:rPr>
              <w:t>62</w:t>
            </w:r>
          </w:p>
        </w:tc>
        <w:tc>
          <w:tcPr>
            <w:tcW w:w="1889" w:type="dxa"/>
            <w:shd w:val="clear" w:color="auto" w:fill="D2EAF1"/>
            <w:noWrap/>
          </w:tcPr>
          <w:p w:rsidR="00AE303A" w:rsidRPr="006E6583" w:rsidRDefault="00AE303A" w:rsidP="00380FF9">
            <w:pPr>
              <w:jc w:val="center"/>
              <w:rPr>
                <w:b/>
                <w:sz w:val="20"/>
                <w:szCs w:val="20"/>
              </w:rPr>
            </w:pPr>
            <w:r>
              <w:rPr>
                <w:b/>
                <w:sz w:val="20"/>
                <w:szCs w:val="20"/>
              </w:rPr>
              <w:t>85%/</w:t>
            </w:r>
            <w:r w:rsidRPr="006E6583">
              <w:rPr>
                <w:b/>
                <w:sz w:val="20"/>
                <w:szCs w:val="20"/>
              </w:rPr>
              <w:t>15%</w:t>
            </w:r>
          </w:p>
        </w:tc>
        <w:tc>
          <w:tcPr>
            <w:tcW w:w="1889" w:type="dxa"/>
            <w:shd w:val="clear" w:color="auto" w:fill="D2EAF1"/>
            <w:noWrap/>
          </w:tcPr>
          <w:p w:rsidR="00AE303A" w:rsidRPr="006E6583" w:rsidRDefault="00AE303A" w:rsidP="00380FF9">
            <w:pPr>
              <w:jc w:val="center"/>
              <w:rPr>
                <w:b/>
                <w:sz w:val="20"/>
                <w:szCs w:val="20"/>
              </w:rPr>
            </w:pPr>
            <w:r w:rsidRPr="006E6583">
              <w:rPr>
                <w:b/>
                <w:sz w:val="20"/>
                <w:szCs w:val="20"/>
              </w:rPr>
              <w:t>13</w:t>
            </w:r>
          </w:p>
        </w:tc>
        <w:tc>
          <w:tcPr>
            <w:tcW w:w="1772" w:type="dxa"/>
            <w:shd w:val="clear" w:color="auto" w:fill="D2EAF1"/>
            <w:noWrap/>
          </w:tcPr>
          <w:p w:rsidR="00AE303A" w:rsidRPr="006E6583" w:rsidRDefault="00AE303A" w:rsidP="00380FF9">
            <w:pPr>
              <w:jc w:val="center"/>
              <w:rPr>
                <w:b/>
                <w:sz w:val="20"/>
                <w:szCs w:val="20"/>
              </w:rPr>
            </w:pPr>
            <w:r w:rsidRPr="006E6583">
              <w:rPr>
                <w:b/>
                <w:sz w:val="20"/>
                <w:szCs w:val="20"/>
              </w:rPr>
              <w:t>14</w:t>
            </w:r>
          </w:p>
        </w:tc>
      </w:tr>
    </w:tbl>
    <w:p w:rsidR="00AE303A" w:rsidRPr="006E6583" w:rsidRDefault="00AE303A" w:rsidP="00AE303A"/>
    <w:p w:rsidR="00AE303A" w:rsidRPr="006E6583" w:rsidRDefault="00AE303A" w:rsidP="00AE303A">
      <w:pPr>
        <w:spacing w:after="120"/>
        <w:jc w:val="center"/>
        <w:rPr>
          <w:rFonts w:ascii="Century Gothic" w:hAnsi="Century Gothic"/>
          <w:b/>
          <w:bCs/>
          <w:sz w:val="18"/>
          <w:szCs w:val="18"/>
        </w:rPr>
      </w:pPr>
      <w:bookmarkStart w:id="589" w:name="_Ref440034426"/>
      <w:bookmarkStart w:id="590" w:name="_Toc410199382"/>
      <w:bookmarkStart w:id="591" w:name="_Toc431462327"/>
      <w:bookmarkStart w:id="592" w:name="_Toc444269843"/>
      <w:bookmarkStart w:id="593" w:name="_Toc472472426"/>
      <w:bookmarkStart w:id="594" w:name="_Toc476842132"/>
      <w:r w:rsidRPr="006E6583">
        <w:rPr>
          <w:rFonts w:ascii="Century Gothic" w:hAnsi="Century Gothic"/>
          <w:b/>
          <w:bCs/>
          <w:sz w:val="18"/>
          <w:szCs w:val="18"/>
        </w:rPr>
        <w:t>Table A-</w:t>
      </w:r>
      <w:r w:rsidRPr="006E6583">
        <w:rPr>
          <w:rFonts w:ascii="Century Gothic" w:hAnsi="Century Gothic"/>
          <w:b/>
          <w:bCs/>
          <w:sz w:val="18"/>
          <w:szCs w:val="18"/>
        </w:rPr>
        <w:fldChar w:fldCharType="begin"/>
      </w:r>
      <w:r w:rsidRPr="006E6583">
        <w:rPr>
          <w:rFonts w:ascii="Century Gothic" w:hAnsi="Century Gothic"/>
          <w:b/>
          <w:bCs/>
          <w:sz w:val="18"/>
          <w:szCs w:val="18"/>
        </w:rPr>
        <w:instrText xml:space="preserve"> SEQ Table_A- \* ARABIC </w:instrText>
      </w:r>
      <w:r w:rsidRPr="006E6583">
        <w:rPr>
          <w:rFonts w:ascii="Century Gothic" w:hAnsi="Century Gothic"/>
          <w:b/>
          <w:bCs/>
          <w:sz w:val="18"/>
          <w:szCs w:val="18"/>
        </w:rPr>
        <w:fldChar w:fldCharType="separate"/>
      </w:r>
      <w:r w:rsidR="00C301D0">
        <w:rPr>
          <w:rFonts w:ascii="Century Gothic" w:hAnsi="Century Gothic"/>
          <w:b/>
          <w:bCs/>
          <w:noProof/>
          <w:sz w:val="18"/>
          <w:szCs w:val="18"/>
        </w:rPr>
        <w:t>17</w:t>
      </w:r>
      <w:r w:rsidRPr="006E6583">
        <w:rPr>
          <w:rFonts w:ascii="Century Gothic" w:hAnsi="Century Gothic"/>
          <w:b/>
          <w:bCs/>
          <w:sz w:val="18"/>
          <w:szCs w:val="18"/>
        </w:rPr>
        <w:fldChar w:fldCharType="end"/>
      </w:r>
      <w:bookmarkEnd w:id="589"/>
      <w:r w:rsidRPr="006E6583">
        <w:rPr>
          <w:rFonts w:ascii="Century Gothic" w:hAnsi="Century Gothic"/>
          <w:b/>
          <w:bCs/>
          <w:sz w:val="18"/>
          <w:szCs w:val="18"/>
        </w:rPr>
        <w:t>: Observed Coefficients of Variation and Relative Precision – Duquesne GNI Program Group</w:t>
      </w:r>
      <w:bookmarkEnd w:id="590"/>
      <w:bookmarkEnd w:id="591"/>
      <w:bookmarkEnd w:id="592"/>
      <w:bookmarkEnd w:id="593"/>
      <w:bookmarkEnd w:id="594"/>
    </w:p>
    <w:tbl>
      <w:tblPr>
        <w:tblW w:w="936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121"/>
        <w:gridCol w:w="1839"/>
        <w:gridCol w:w="1839"/>
        <w:gridCol w:w="1839"/>
        <w:gridCol w:w="1722"/>
      </w:tblGrid>
      <w:tr w:rsidR="00A874AC" w:rsidRPr="006E6583" w:rsidTr="005C3E63">
        <w:trPr>
          <w:trHeight w:val="20"/>
          <w:tblHeader/>
        </w:trPr>
        <w:tc>
          <w:tcPr>
            <w:tcW w:w="2121" w:type="dxa"/>
            <w:shd w:val="clear" w:color="auto" w:fill="448A99"/>
            <w:vAlign w:val="bottom"/>
            <w:hideMark/>
          </w:tcPr>
          <w:p w:rsidR="00AE303A" w:rsidRPr="006E6583" w:rsidRDefault="00AE303A" w:rsidP="00380FF9">
            <w:pPr>
              <w:jc w:val="left"/>
              <w:rPr>
                <w:b/>
                <w:bCs/>
                <w:color w:val="FFFFFF"/>
                <w:sz w:val="20"/>
                <w:szCs w:val="20"/>
              </w:rPr>
            </w:pPr>
            <w:r w:rsidRPr="006E6583">
              <w:rPr>
                <w:b/>
                <w:bCs/>
                <w:color w:val="FFFFFF"/>
                <w:sz w:val="20"/>
                <w:szCs w:val="20"/>
              </w:rPr>
              <w:t>Stratum</w:t>
            </w:r>
          </w:p>
        </w:tc>
        <w:tc>
          <w:tcPr>
            <w:tcW w:w="1839"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Observed Coefficient of Variation (C</w:t>
            </w:r>
            <w:r w:rsidRPr="006E6583">
              <w:rPr>
                <w:b/>
                <w:bCs/>
                <w:color w:val="FFFFFF"/>
                <w:sz w:val="20"/>
                <w:szCs w:val="20"/>
                <w:vertAlign w:val="subscript"/>
              </w:rPr>
              <w:t>v</w:t>
            </w:r>
            <w:r w:rsidRPr="006E6583">
              <w:rPr>
                <w:b/>
                <w:bCs/>
                <w:color w:val="FFFFFF"/>
                <w:sz w:val="20"/>
                <w:szCs w:val="20"/>
              </w:rPr>
              <w:t>) or Proportion in Sample Design for Energy</w:t>
            </w:r>
          </w:p>
        </w:tc>
        <w:tc>
          <w:tcPr>
            <w:tcW w:w="1839"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Relative Precision at 85% C.L. for Energy</w:t>
            </w:r>
          </w:p>
        </w:tc>
        <w:tc>
          <w:tcPr>
            <w:tcW w:w="1839"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Observed Coefficient of Variation (C</w:t>
            </w:r>
            <w:r w:rsidRPr="006E6583">
              <w:rPr>
                <w:b/>
                <w:bCs/>
                <w:color w:val="FFFFFF"/>
                <w:sz w:val="20"/>
                <w:szCs w:val="20"/>
                <w:vertAlign w:val="subscript"/>
              </w:rPr>
              <w:t>v</w:t>
            </w:r>
            <w:r w:rsidRPr="006E6583">
              <w:rPr>
                <w:b/>
                <w:bCs/>
                <w:color w:val="FFFFFF"/>
                <w:sz w:val="20"/>
                <w:szCs w:val="20"/>
              </w:rPr>
              <w:t>) or Proportion in Sample Design for Demand</w:t>
            </w:r>
          </w:p>
        </w:tc>
        <w:tc>
          <w:tcPr>
            <w:tcW w:w="1722" w:type="dxa"/>
            <w:shd w:val="clear" w:color="auto" w:fill="448A99"/>
            <w:vAlign w:val="bottom"/>
            <w:hideMark/>
          </w:tcPr>
          <w:p w:rsidR="00AE303A" w:rsidRPr="006E6583" w:rsidRDefault="00AE303A" w:rsidP="00380FF9">
            <w:pPr>
              <w:jc w:val="center"/>
              <w:rPr>
                <w:b/>
                <w:bCs/>
                <w:color w:val="FFFFFF"/>
                <w:sz w:val="20"/>
                <w:szCs w:val="20"/>
              </w:rPr>
            </w:pPr>
            <w:r w:rsidRPr="006E6583">
              <w:rPr>
                <w:b/>
                <w:bCs/>
                <w:color w:val="FFFFFF"/>
                <w:sz w:val="20"/>
                <w:szCs w:val="20"/>
              </w:rPr>
              <w:t>Relative Precision at 85% C.L. for Demand</w:t>
            </w:r>
          </w:p>
        </w:tc>
      </w:tr>
      <w:tr w:rsidR="00A874AC" w:rsidRPr="006E6583" w:rsidTr="005C3E63">
        <w:trPr>
          <w:trHeight w:val="302"/>
        </w:trPr>
        <w:tc>
          <w:tcPr>
            <w:tcW w:w="2121" w:type="dxa"/>
            <w:shd w:val="clear" w:color="auto" w:fill="D2EAF1"/>
          </w:tcPr>
          <w:p w:rsidR="00AE303A" w:rsidRPr="00576A41" w:rsidRDefault="00AE303A" w:rsidP="008D11AB">
            <w:pPr>
              <w:jc w:val="left"/>
              <w:rPr>
                <w:bCs/>
                <w:color w:val="000000"/>
                <w:sz w:val="20"/>
                <w:szCs w:val="20"/>
              </w:rPr>
            </w:pPr>
            <w:r w:rsidRPr="00576A41">
              <w:rPr>
                <w:bCs/>
                <w:color w:val="000000"/>
                <w:sz w:val="20"/>
                <w:szCs w:val="20"/>
              </w:rPr>
              <w:t xml:space="preserve">GNI – </w:t>
            </w:r>
            <w:r w:rsidR="008D11AB">
              <w:rPr>
                <w:bCs/>
                <w:color w:val="000000"/>
                <w:sz w:val="20"/>
                <w:szCs w:val="20"/>
              </w:rPr>
              <w:t>L</w:t>
            </w:r>
            <w:r w:rsidRPr="00576A41">
              <w:rPr>
                <w:bCs/>
                <w:color w:val="000000"/>
                <w:sz w:val="20"/>
                <w:szCs w:val="20"/>
              </w:rPr>
              <w:t>arge</w:t>
            </w:r>
          </w:p>
        </w:tc>
        <w:tc>
          <w:tcPr>
            <w:tcW w:w="1839" w:type="dxa"/>
            <w:shd w:val="clear" w:color="auto" w:fill="D2EAF1"/>
            <w:noWrap/>
          </w:tcPr>
          <w:p w:rsidR="00AE303A" w:rsidRPr="006E6583" w:rsidRDefault="00AE303A" w:rsidP="00380FF9">
            <w:pPr>
              <w:jc w:val="center"/>
              <w:rPr>
                <w:color w:val="000000"/>
                <w:sz w:val="20"/>
                <w:szCs w:val="20"/>
              </w:rPr>
            </w:pPr>
            <w:r w:rsidRPr="006E6583">
              <w:rPr>
                <w:sz w:val="20"/>
                <w:szCs w:val="20"/>
              </w:rPr>
              <w:t>0.17</w:t>
            </w:r>
          </w:p>
        </w:tc>
        <w:tc>
          <w:tcPr>
            <w:tcW w:w="1839" w:type="dxa"/>
            <w:shd w:val="clear" w:color="auto" w:fill="D2EAF1"/>
            <w:noWrap/>
          </w:tcPr>
          <w:p w:rsidR="00AE303A" w:rsidRPr="006E6583" w:rsidRDefault="00AE303A" w:rsidP="00380FF9">
            <w:pPr>
              <w:jc w:val="center"/>
              <w:rPr>
                <w:sz w:val="20"/>
                <w:szCs w:val="20"/>
              </w:rPr>
            </w:pPr>
            <w:r w:rsidRPr="006E6583">
              <w:rPr>
                <w:sz w:val="20"/>
                <w:szCs w:val="20"/>
              </w:rPr>
              <w:t>0%</w:t>
            </w:r>
          </w:p>
        </w:tc>
        <w:tc>
          <w:tcPr>
            <w:tcW w:w="1839" w:type="dxa"/>
            <w:shd w:val="clear" w:color="auto" w:fill="D2EAF1"/>
            <w:noWrap/>
          </w:tcPr>
          <w:p w:rsidR="00AE303A" w:rsidRPr="006E6583" w:rsidRDefault="00AE303A" w:rsidP="00380FF9">
            <w:pPr>
              <w:jc w:val="center"/>
              <w:rPr>
                <w:sz w:val="20"/>
                <w:szCs w:val="20"/>
              </w:rPr>
            </w:pPr>
            <w:r w:rsidRPr="006E6583">
              <w:rPr>
                <w:sz w:val="20"/>
                <w:szCs w:val="20"/>
              </w:rPr>
              <w:t>0.91</w:t>
            </w:r>
          </w:p>
        </w:tc>
        <w:tc>
          <w:tcPr>
            <w:tcW w:w="1722" w:type="dxa"/>
            <w:shd w:val="clear" w:color="auto" w:fill="D2EAF1"/>
            <w:noWrap/>
          </w:tcPr>
          <w:p w:rsidR="00AE303A" w:rsidRPr="006E6583" w:rsidRDefault="00AE303A" w:rsidP="00380FF9">
            <w:pPr>
              <w:jc w:val="center"/>
              <w:rPr>
                <w:sz w:val="20"/>
                <w:szCs w:val="20"/>
              </w:rPr>
            </w:pPr>
            <w:r w:rsidRPr="006E6583">
              <w:rPr>
                <w:sz w:val="20"/>
                <w:szCs w:val="20"/>
              </w:rPr>
              <w:t>57%</w:t>
            </w:r>
          </w:p>
        </w:tc>
      </w:tr>
      <w:tr w:rsidR="00E7173E" w:rsidRPr="006E6583" w:rsidTr="005C3E63">
        <w:trPr>
          <w:trHeight w:val="302"/>
        </w:trPr>
        <w:tc>
          <w:tcPr>
            <w:tcW w:w="2121" w:type="dxa"/>
            <w:shd w:val="clear" w:color="auto" w:fill="auto"/>
          </w:tcPr>
          <w:p w:rsidR="00AE303A" w:rsidRPr="00576A41" w:rsidRDefault="00AE303A" w:rsidP="00380FF9">
            <w:pPr>
              <w:jc w:val="left"/>
              <w:rPr>
                <w:bCs/>
                <w:color w:val="000000"/>
                <w:sz w:val="20"/>
                <w:szCs w:val="20"/>
              </w:rPr>
            </w:pPr>
            <w:r w:rsidRPr="00576A41">
              <w:rPr>
                <w:bCs/>
                <w:color w:val="000000"/>
                <w:sz w:val="20"/>
                <w:szCs w:val="20"/>
              </w:rPr>
              <w:t xml:space="preserve">GNI – </w:t>
            </w:r>
            <w:r w:rsidR="008D11AB">
              <w:rPr>
                <w:bCs/>
                <w:color w:val="000000"/>
                <w:sz w:val="20"/>
                <w:szCs w:val="20"/>
              </w:rPr>
              <w:t>S</w:t>
            </w:r>
            <w:r w:rsidRPr="00576A41">
              <w:rPr>
                <w:bCs/>
                <w:color w:val="000000"/>
                <w:sz w:val="20"/>
                <w:szCs w:val="20"/>
              </w:rPr>
              <w:t>mall</w:t>
            </w:r>
          </w:p>
        </w:tc>
        <w:tc>
          <w:tcPr>
            <w:tcW w:w="1839" w:type="dxa"/>
            <w:shd w:val="clear" w:color="auto" w:fill="auto"/>
            <w:noWrap/>
          </w:tcPr>
          <w:p w:rsidR="00AE303A" w:rsidRPr="006E6583" w:rsidRDefault="00AE303A" w:rsidP="00380FF9">
            <w:pPr>
              <w:jc w:val="center"/>
              <w:rPr>
                <w:sz w:val="20"/>
                <w:szCs w:val="20"/>
              </w:rPr>
            </w:pPr>
            <w:r w:rsidRPr="006E6583">
              <w:rPr>
                <w:sz w:val="20"/>
                <w:szCs w:val="20"/>
              </w:rPr>
              <w:t>1.01</w:t>
            </w:r>
          </w:p>
        </w:tc>
        <w:tc>
          <w:tcPr>
            <w:tcW w:w="1839" w:type="dxa"/>
            <w:shd w:val="clear" w:color="auto" w:fill="auto"/>
            <w:noWrap/>
          </w:tcPr>
          <w:p w:rsidR="00AE303A" w:rsidRPr="006E6583" w:rsidRDefault="00AE303A" w:rsidP="00380FF9">
            <w:pPr>
              <w:jc w:val="center"/>
              <w:rPr>
                <w:sz w:val="20"/>
                <w:szCs w:val="20"/>
              </w:rPr>
            </w:pPr>
            <w:r w:rsidRPr="006E6583">
              <w:rPr>
                <w:sz w:val="20"/>
                <w:szCs w:val="20"/>
              </w:rPr>
              <w:t>59%</w:t>
            </w:r>
          </w:p>
        </w:tc>
        <w:tc>
          <w:tcPr>
            <w:tcW w:w="1839" w:type="dxa"/>
            <w:shd w:val="clear" w:color="auto" w:fill="auto"/>
            <w:noWrap/>
          </w:tcPr>
          <w:p w:rsidR="00AE303A" w:rsidRPr="006E6583" w:rsidRDefault="00AE303A" w:rsidP="00380FF9">
            <w:pPr>
              <w:jc w:val="center"/>
              <w:rPr>
                <w:sz w:val="20"/>
                <w:szCs w:val="20"/>
              </w:rPr>
            </w:pPr>
            <w:r w:rsidRPr="006E6583">
              <w:rPr>
                <w:sz w:val="20"/>
                <w:szCs w:val="20"/>
              </w:rPr>
              <w:t>1.00</w:t>
            </w:r>
          </w:p>
        </w:tc>
        <w:tc>
          <w:tcPr>
            <w:tcW w:w="1722" w:type="dxa"/>
            <w:shd w:val="clear" w:color="auto" w:fill="auto"/>
            <w:noWrap/>
          </w:tcPr>
          <w:p w:rsidR="00AE303A" w:rsidRPr="006E6583" w:rsidRDefault="00AE303A" w:rsidP="00380FF9">
            <w:pPr>
              <w:jc w:val="center"/>
              <w:rPr>
                <w:sz w:val="20"/>
                <w:szCs w:val="20"/>
              </w:rPr>
            </w:pPr>
            <w:r w:rsidRPr="006E6583">
              <w:rPr>
                <w:sz w:val="20"/>
                <w:szCs w:val="20"/>
              </w:rPr>
              <w:t>58%</w:t>
            </w:r>
          </w:p>
        </w:tc>
      </w:tr>
      <w:tr w:rsidR="00A874AC" w:rsidRPr="006E6583" w:rsidTr="005C3E63">
        <w:trPr>
          <w:trHeight w:val="302"/>
        </w:trPr>
        <w:tc>
          <w:tcPr>
            <w:tcW w:w="2121" w:type="dxa"/>
            <w:shd w:val="clear" w:color="auto" w:fill="D2EAF1"/>
          </w:tcPr>
          <w:p w:rsidR="00AE303A" w:rsidRPr="006E6583" w:rsidRDefault="00AE303A" w:rsidP="00380FF9">
            <w:pPr>
              <w:jc w:val="left"/>
              <w:rPr>
                <w:b/>
                <w:bCs/>
                <w:color w:val="000000"/>
                <w:sz w:val="20"/>
                <w:szCs w:val="20"/>
              </w:rPr>
            </w:pPr>
            <w:r w:rsidRPr="006E6583">
              <w:rPr>
                <w:b/>
                <w:bCs/>
                <w:color w:val="000000"/>
                <w:sz w:val="20"/>
                <w:szCs w:val="20"/>
              </w:rPr>
              <w:t>Program Total</w:t>
            </w:r>
          </w:p>
        </w:tc>
        <w:tc>
          <w:tcPr>
            <w:tcW w:w="1839" w:type="dxa"/>
            <w:shd w:val="clear" w:color="auto" w:fill="D2EAF1"/>
            <w:noWrap/>
          </w:tcPr>
          <w:p w:rsidR="00AE303A" w:rsidRPr="006E6583" w:rsidRDefault="00AE303A" w:rsidP="00380FF9">
            <w:pPr>
              <w:jc w:val="center"/>
              <w:rPr>
                <w:b/>
                <w:sz w:val="20"/>
                <w:szCs w:val="20"/>
              </w:rPr>
            </w:pPr>
          </w:p>
        </w:tc>
        <w:tc>
          <w:tcPr>
            <w:tcW w:w="1839" w:type="dxa"/>
            <w:shd w:val="clear" w:color="auto" w:fill="D2EAF1"/>
            <w:noWrap/>
          </w:tcPr>
          <w:p w:rsidR="00AE303A" w:rsidRPr="006E6583" w:rsidRDefault="00AE303A" w:rsidP="00380FF9">
            <w:pPr>
              <w:jc w:val="center"/>
              <w:rPr>
                <w:b/>
                <w:sz w:val="20"/>
                <w:szCs w:val="20"/>
              </w:rPr>
            </w:pPr>
            <w:r w:rsidRPr="006E6583">
              <w:rPr>
                <w:b/>
                <w:sz w:val="20"/>
                <w:szCs w:val="20"/>
              </w:rPr>
              <w:t>9%</w:t>
            </w:r>
          </w:p>
        </w:tc>
        <w:tc>
          <w:tcPr>
            <w:tcW w:w="1839" w:type="dxa"/>
            <w:shd w:val="clear" w:color="auto" w:fill="D2EAF1"/>
            <w:noWrap/>
          </w:tcPr>
          <w:p w:rsidR="00AE303A" w:rsidRPr="006E6583" w:rsidRDefault="00AE303A" w:rsidP="00380FF9">
            <w:pPr>
              <w:jc w:val="center"/>
              <w:rPr>
                <w:b/>
                <w:sz w:val="20"/>
                <w:szCs w:val="20"/>
              </w:rPr>
            </w:pPr>
          </w:p>
        </w:tc>
        <w:tc>
          <w:tcPr>
            <w:tcW w:w="1722" w:type="dxa"/>
            <w:shd w:val="clear" w:color="auto" w:fill="D2EAF1"/>
            <w:noWrap/>
          </w:tcPr>
          <w:p w:rsidR="00AE303A" w:rsidRPr="006E6583" w:rsidRDefault="00AE303A" w:rsidP="00380FF9">
            <w:pPr>
              <w:jc w:val="center"/>
              <w:rPr>
                <w:b/>
                <w:sz w:val="20"/>
                <w:szCs w:val="20"/>
              </w:rPr>
            </w:pPr>
            <w:r w:rsidRPr="006E6583">
              <w:rPr>
                <w:b/>
                <w:sz w:val="20"/>
                <w:szCs w:val="20"/>
              </w:rPr>
              <w:t>29%</w:t>
            </w:r>
          </w:p>
        </w:tc>
      </w:tr>
    </w:tbl>
    <w:p w:rsidR="00AE303A" w:rsidRPr="006E6583" w:rsidRDefault="00AE303A" w:rsidP="00AE303A"/>
    <w:p w:rsidR="00AE303A" w:rsidRPr="006E6583" w:rsidRDefault="00AE303A" w:rsidP="00AE303A">
      <w:r w:rsidRPr="006E6583">
        <w:t>Duquesne’s evaluation contractor used a stratified ratio estimator calculated from the sample to adjust the ex</w:t>
      </w:r>
      <w:r>
        <w:t xml:space="preserve"> </w:t>
      </w:r>
      <w:r w:rsidRPr="006E6583">
        <w:t>ante energy and demand savings in Duquesne’s PMRS data</w:t>
      </w:r>
      <w:r>
        <w:t>-</w:t>
      </w:r>
      <w:r w:rsidRPr="006E6583">
        <w:t xml:space="preserve">tracking system and to calculate ex post savings for the GNI Program Group. The achieved precision values in </w:t>
      </w:r>
      <w:r w:rsidRPr="006E6583">
        <w:fldChar w:fldCharType="begin"/>
      </w:r>
      <w:r w:rsidRPr="006E6583">
        <w:instrText xml:space="preserve"> REF _Ref440034426 \h  \* MERGEFORMAT </w:instrText>
      </w:r>
      <w:r w:rsidRPr="006E6583">
        <w:fldChar w:fldCharType="separate"/>
      </w:r>
      <w:r w:rsidR="00A874AC" w:rsidRPr="00A874AC">
        <w:rPr>
          <w:bCs/>
        </w:rPr>
        <w:t>Table A-17</w:t>
      </w:r>
      <w:r w:rsidRPr="006E6583">
        <w:fldChar w:fldCharType="end"/>
      </w:r>
      <w:r w:rsidRPr="006E6583">
        <w:t xml:space="preserve"> show that Duquesne met the 85%/15% confidence</w:t>
      </w:r>
      <w:r>
        <w:t>/</w:t>
      </w:r>
      <w:r w:rsidRPr="006E6583">
        <w:t>precision level for energy but not for peak demand. This is an improvement over PY6</w:t>
      </w:r>
      <w:r>
        <w:t>,</w:t>
      </w:r>
      <w:r w:rsidRPr="006E6583">
        <w:t xml:space="preserve"> where the 15% relative precision target was met for demand but not </w:t>
      </w:r>
      <w:r>
        <w:t xml:space="preserve">for </w:t>
      </w:r>
      <w:r w:rsidRPr="006E6583">
        <w:t>energy.</w:t>
      </w:r>
    </w:p>
    <w:p w:rsidR="00AE303A" w:rsidRPr="003B2BD3" w:rsidRDefault="00AE303A" w:rsidP="00AE303A">
      <w:pPr>
        <w:pStyle w:val="AppendixAHeading4"/>
        <w:rPr>
          <w:rFonts w:eastAsia="Calibri"/>
        </w:rPr>
      </w:pPr>
      <w:bookmarkStart w:id="595" w:name="_Ref408430647"/>
      <w:bookmarkStart w:id="596" w:name="_Toc408557468"/>
      <w:r w:rsidRPr="003B2BD3">
        <w:rPr>
          <w:rFonts w:eastAsia="Calibri"/>
        </w:rPr>
        <w:lastRenderedPageBreak/>
        <w:t>Ride-Along Site Inspections</w:t>
      </w:r>
      <w:bookmarkEnd w:id="595"/>
      <w:bookmarkEnd w:id="596"/>
    </w:p>
    <w:p w:rsidR="00AE303A" w:rsidRPr="003B2BD3" w:rsidRDefault="00823FE0" w:rsidP="00AE303A">
      <w:pPr>
        <w:spacing w:after="120"/>
      </w:pPr>
      <w:r>
        <w:rPr>
          <w:highlight w:val="yellow"/>
        </w:rPr>
        <w:fldChar w:fldCharType="begin"/>
      </w:r>
      <w:r>
        <w:instrText xml:space="preserve"> REF _Ref472471403 \h </w:instrText>
      </w:r>
      <w:r>
        <w:rPr>
          <w:highlight w:val="yellow"/>
        </w:rPr>
      </w:r>
      <w:r>
        <w:rPr>
          <w:highlight w:val="yellow"/>
        </w:rPr>
        <w:fldChar w:fldCharType="separate"/>
      </w:r>
      <w:r w:rsidR="00A874AC" w:rsidRPr="00423027">
        <w:t>Table A-</w:t>
      </w:r>
      <w:r w:rsidR="00A874AC">
        <w:rPr>
          <w:noProof/>
        </w:rPr>
        <w:t>18</w:t>
      </w:r>
      <w:r>
        <w:rPr>
          <w:highlight w:val="yellow"/>
        </w:rPr>
        <w:fldChar w:fldCharType="end"/>
      </w:r>
      <w:r w:rsidR="00AE303A" w:rsidRPr="003B2BD3">
        <w:t xml:space="preserve"> summarizes the SWE Team’s PY7 ride-along site inspections of Duquesne’s non-residential project installations. The Duquesne PY7 site inspection findings are categorized into two types: </w:t>
      </w:r>
    </w:p>
    <w:p w:rsidR="00AE303A" w:rsidRPr="003B2BD3" w:rsidRDefault="00AE303A" w:rsidP="00E646C9">
      <w:pPr>
        <w:numPr>
          <w:ilvl w:val="0"/>
          <w:numId w:val="32"/>
        </w:numPr>
        <w:spacing w:after="120"/>
        <w:ind w:left="360"/>
      </w:pPr>
      <w:r w:rsidRPr="003B2BD3">
        <w:t xml:space="preserve">Evaluation (Eval) findings are associated with ride-along site inspections and may reflect site activities or evaluation contractor savings calculations or reports. </w:t>
      </w:r>
    </w:p>
    <w:p w:rsidR="00AE303A" w:rsidRPr="003B2BD3" w:rsidRDefault="00AE303A" w:rsidP="00E646C9">
      <w:pPr>
        <w:numPr>
          <w:ilvl w:val="0"/>
          <w:numId w:val="32"/>
        </w:numPr>
        <w:ind w:left="360"/>
      </w:pPr>
      <w:r w:rsidRPr="003B2BD3">
        <w:t xml:space="preserve">Process (Pro) findings are associated with project applications, documents, or implementation activities. </w:t>
      </w:r>
    </w:p>
    <w:p w:rsidR="00AE303A" w:rsidRDefault="00AE303A" w:rsidP="00623F28">
      <w:pPr>
        <w:contextualSpacing/>
        <w:rPr>
          <w:rFonts w:cs="Calibri"/>
          <w:color w:val="000000"/>
          <w:szCs w:val="20"/>
          <w:highlight w:val="yellow"/>
        </w:rPr>
      </w:pPr>
    </w:p>
    <w:p w:rsidR="00423027" w:rsidRDefault="00423027" w:rsidP="00623F28">
      <w:pPr>
        <w:contextualSpacing/>
        <w:rPr>
          <w:rFonts w:cs="Calibri"/>
          <w:color w:val="000000"/>
          <w:szCs w:val="20"/>
          <w:highlight w:val="yellow"/>
        </w:rPr>
        <w:sectPr w:rsidR="00423027" w:rsidSect="005C3E63">
          <w:headerReference w:type="default" r:id="rId92"/>
          <w:footerReference w:type="default" r:id="rId93"/>
          <w:headerReference w:type="first" r:id="rId94"/>
          <w:footerReference w:type="first" r:id="rId95"/>
          <w:pgSz w:w="12240" w:h="15840"/>
          <w:pgMar w:top="1440" w:right="1440" w:bottom="1440" w:left="1440" w:header="720" w:footer="288" w:gutter="0"/>
          <w:cols w:space="720"/>
          <w:titlePg/>
          <w:docGrid w:linePitch="360"/>
        </w:sectPr>
      </w:pPr>
    </w:p>
    <w:p w:rsidR="00423027" w:rsidRDefault="00423027" w:rsidP="00423027">
      <w:pPr>
        <w:pStyle w:val="Caption"/>
      </w:pPr>
      <w:bookmarkStart w:id="597" w:name="_Ref472471403"/>
      <w:bookmarkStart w:id="598" w:name="_Toc472472427"/>
      <w:bookmarkStart w:id="599" w:name="_Toc476842133"/>
      <w:r w:rsidRPr="00423027">
        <w:lastRenderedPageBreak/>
        <w:t>Table A-</w:t>
      </w:r>
      <w:fldSimple w:instr=" SEQ Table_A- \* ARABIC ">
        <w:r w:rsidR="00C301D0">
          <w:rPr>
            <w:noProof/>
          </w:rPr>
          <w:t>18</w:t>
        </w:r>
      </w:fldSimple>
      <w:bookmarkEnd w:id="597"/>
      <w:r w:rsidRPr="00423027">
        <w:t>: Duquesne’s PY7 Non-Residential Site Inspection Findings</w:t>
      </w:r>
      <w:bookmarkEnd w:id="598"/>
      <w:bookmarkEnd w:id="599"/>
    </w:p>
    <w:tbl>
      <w:tblPr>
        <w:tblW w:w="1296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880"/>
        <w:gridCol w:w="1592"/>
        <w:gridCol w:w="3780"/>
        <w:gridCol w:w="944"/>
        <w:gridCol w:w="4764"/>
      </w:tblGrid>
      <w:tr w:rsidR="00A874AC" w:rsidRPr="004B56B4" w:rsidTr="005C3E63">
        <w:trPr>
          <w:trHeight w:val="300"/>
          <w:tblHeader/>
        </w:trPr>
        <w:tc>
          <w:tcPr>
            <w:tcW w:w="1880" w:type="dxa"/>
            <w:shd w:val="clear" w:color="auto" w:fill="448A99"/>
            <w:noWrap/>
            <w:vAlign w:val="bottom"/>
            <w:hideMark/>
          </w:tcPr>
          <w:p w:rsidR="00423027" w:rsidRPr="004B56B4" w:rsidRDefault="00423027" w:rsidP="00380FF9">
            <w:pPr>
              <w:jc w:val="left"/>
              <w:rPr>
                <w:b/>
                <w:bCs/>
                <w:color w:val="FFFFFF"/>
                <w:sz w:val="20"/>
                <w:szCs w:val="20"/>
              </w:rPr>
            </w:pPr>
            <w:r w:rsidRPr="004B56B4">
              <w:rPr>
                <w:b/>
                <w:bCs/>
                <w:color w:val="FFFFFF"/>
                <w:sz w:val="20"/>
                <w:szCs w:val="20"/>
              </w:rPr>
              <w:t>Project ID</w:t>
            </w:r>
          </w:p>
        </w:tc>
        <w:tc>
          <w:tcPr>
            <w:tcW w:w="1592" w:type="dxa"/>
            <w:shd w:val="clear" w:color="auto" w:fill="448A99"/>
            <w:noWrap/>
            <w:vAlign w:val="bottom"/>
            <w:hideMark/>
          </w:tcPr>
          <w:p w:rsidR="00423027" w:rsidRPr="004B56B4" w:rsidRDefault="00423027" w:rsidP="00380FF9">
            <w:pPr>
              <w:jc w:val="center"/>
              <w:rPr>
                <w:b/>
                <w:bCs/>
                <w:color w:val="FFFFFF"/>
                <w:sz w:val="20"/>
                <w:szCs w:val="20"/>
              </w:rPr>
            </w:pPr>
            <w:r w:rsidRPr="004B56B4">
              <w:rPr>
                <w:b/>
                <w:bCs/>
                <w:color w:val="FFFFFF"/>
                <w:sz w:val="20"/>
                <w:szCs w:val="20"/>
              </w:rPr>
              <w:t>Technology</w:t>
            </w:r>
          </w:p>
        </w:tc>
        <w:tc>
          <w:tcPr>
            <w:tcW w:w="3780" w:type="dxa"/>
            <w:shd w:val="clear" w:color="auto" w:fill="448A99"/>
            <w:noWrap/>
            <w:vAlign w:val="bottom"/>
            <w:hideMark/>
          </w:tcPr>
          <w:p w:rsidR="00423027" w:rsidRPr="004B56B4" w:rsidRDefault="00423027" w:rsidP="00380FF9">
            <w:pPr>
              <w:jc w:val="center"/>
              <w:rPr>
                <w:b/>
                <w:bCs/>
                <w:color w:val="FFFFFF"/>
                <w:sz w:val="20"/>
                <w:szCs w:val="20"/>
              </w:rPr>
            </w:pPr>
            <w:r w:rsidRPr="004B56B4">
              <w:rPr>
                <w:b/>
                <w:bCs/>
                <w:color w:val="FFFFFF"/>
                <w:sz w:val="20"/>
                <w:szCs w:val="20"/>
              </w:rPr>
              <w:t>Finding</w:t>
            </w:r>
          </w:p>
        </w:tc>
        <w:tc>
          <w:tcPr>
            <w:tcW w:w="944" w:type="dxa"/>
            <w:shd w:val="clear" w:color="auto" w:fill="448A99"/>
            <w:noWrap/>
            <w:vAlign w:val="bottom"/>
            <w:hideMark/>
          </w:tcPr>
          <w:p w:rsidR="00423027" w:rsidRPr="004B56B4" w:rsidRDefault="00423027" w:rsidP="00380FF9">
            <w:pPr>
              <w:jc w:val="center"/>
              <w:rPr>
                <w:b/>
                <w:bCs/>
                <w:color w:val="FFFFFF"/>
                <w:sz w:val="20"/>
                <w:szCs w:val="20"/>
              </w:rPr>
            </w:pPr>
            <w:r w:rsidRPr="004B56B4">
              <w:rPr>
                <w:b/>
                <w:bCs/>
                <w:color w:val="FFFFFF"/>
                <w:sz w:val="20"/>
                <w:szCs w:val="20"/>
              </w:rPr>
              <w:t>Finding Type</w:t>
            </w:r>
          </w:p>
        </w:tc>
        <w:tc>
          <w:tcPr>
            <w:tcW w:w="4764" w:type="dxa"/>
            <w:shd w:val="clear" w:color="auto" w:fill="448A99"/>
            <w:noWrap/>
            <w:vAlign w:val="bottom"/>
            <w:hideMark/>
          </w:tcPr>
          <w:p w:rsidR="00423027" w:rsidRPr="004B56B4" w:rsidRDefault="00423027" w:rsidP="00380FF9">
            <w:pPr>
              <w:jc w:val="center"/>
              <w:rPr>
                <w:b/>
                <w:bCs/>
                <w:color w:val="FFFFFF"/>
                <w:sz w:val="20"/>
                <w:szCs w:val="20"/>
              </w:rPr>
            </w:pPr>
            <w:r w:rsidRPr="004B56B4">
              <w:rPr>
                <w:b/>
                <w:bCs/>
                <w:color w:val="FFFFFF"/>
                <w:sz w:val="20"/>
                <w:szCs w:val="20"/>
              </w:rPr>
              <w:t>Resolution</w:t>
            </w:r>
          </w:p>
        </w:tc>
      </w:tr>
      <w:tr w:rsidR="00A874AC" w:rsidRPr="004B56B4" w:rsidTr="005C3E63">
        <w:trPr>
          <w:trHeight w:val="977"/>
        </w:trPr>
        <w:tc>
          <w:tcPr>
            <w:tcW w:w="1880" w:type="dxa"/>
            <w:shd w:val="clear" w:color="auto" w:fill="D2EAF1"/>
            <w:noWrap/>
          </w:tcPr>
          <w:p w:rsidR="00423027" w:rsidRPr="00FC2E74" w:rsidRDefault="00423027" w:rsidP="00380FF9">
            <w:pPr>
              <w:rPr>
                <w:sz w:val="20"/>
                <w:szCs w:val="20"/>
              </w:rPr>
            </w:pPr>
            <w:r w:rsidRPr="00FC2E74">
              <w:rPr>
                <w:sz w:val="20"/>
                <w:szCs w:val="20"/>
              </w:rPr>
              <w:t>5354550495.25.01</w:t>
            </w:r>
          </w:p>
        </w:tc>
        <w:tc>
          <w:tcPr>
            <w:tcW w:w="1592" w:type="dxa"/>
            <w:shd w:val="clear" w:color="auto" w:fill="D2EAF1"/>
            <w:noWrap/>
          </w:tcPr>
          <w:p w:rsidR="00423027" w:rsidRPr="00FC2E74" w:rsidRDefault="00423027" w:rsidP="00380FF9">
            <w:pPr>
              <w:jc w:val="center"/>
              <w:rPr>
                <w:sz w:val="20"/>
                <w:szCs w:val="20"/>
              </w:rPr>
            </w:pPr>
            <w:r w:rsidRPr="00FC2E74">
              <w:rPr>
                <w:sz w:val="20"/>
                <w:szCs w:val="20"/>
              </w:rPr>
              <w:t>Lighting</w:t>
            </w:r>
          </w:p>
        </w:tc>
        <w:tc>
          <w:tcPr>
            <w:tcW w:w="3780" w:type="dxa"/>
            <w:shd w:val="clear" w:color="auto" w:fill="D2EAF1"/>
            <w:noWrap/>
          </w:tcPr>
          <w:p w:rsidR="00423027" w:rsidRPr="004B56B4" w:rsidRDefault="00423027" w:rsidP="00380FF9">
            <w:pPr>
              <w:jc w:val="center"/>
              <w:rPr>
                <w:color w:val="000000"/>
                <w:sz w:val="20"/>
                <w:szCs w:val="20"/>
              </w:rPr>
            </w:pPr>
            <w:r>
              <w:rPr>
                <w:sz w:val="20"/>
                <w:szCs w:val="20"/>
              </w:rPr>
              <w:t>Occupancy sensors were discovered at the site inspection</w:t>
            </w:r>
            <w:r w:rsidRPr="004B56B4">
              <w:rPr>
                <w:sz w:val="20"/>
                <w:szCs w:val="20"/>
              </w:rPr>
              <w:t>.</w:t>
            </w:r>
          </w:p>
        </w:tc>
        <w:tc>
          <w:tcPr>
            <w:tcW w:w="944" w:type="dxa"/>
            <w:shd w:val="clear" w:color="auto" w:fill="D2EAF1"/>
            <w:noWrap/>
          </w:tcPr>
          <w:p w:rsidR="00423027" w:rsidRPr="004B56B4" w:rsidRDefault="00423027" w:rsidP="00380FF9">
            <w:pPr>
              <w:jc w:val="center"/>
              <w:rPr>
                <w:color w:val="000000"/>
                <w:sz w:val="20"/>
                <w:szCs w:val="20"/>
              </w:rPr>
            </w:pPr>
            <w:r>
              <w:rPr>
                <w:color w:val="000000"/>
                <w:sz w:val="20"/>
                <w:szCs w:val="20"/>
              </w:rPr>
              <w:t>Eval</w:t>
            </w:r>
          </w:p>
        </w:tc>
        <w:tc>
          <w:tcPr>
            <w:tcW w:w="4764" w:type="dxa"/>
            <w:shd w:val="clear" w:color="auto" w:fill="D2EAF1"/>
            <w:noWrap/>
          </w:tcPr>
          <w:p w:rsidR="00423027" w:rsidRPr="004B56B4" w:rsidRDefault="00423027" w:rsidP="00380FF9">
            <w:pPr>
              <w:jc w:val="center"/>
              <w:rPr>
                <w:color w:val="000000"/>
                <w:sz w:val="20"/>
                <w:szCs w:val="20"/>
              </w:rPr>
            </w:pPr>
            <w:r>
              <w:rPr>
                <w:sz w:val="20"/>
                <w:szCs w:val="20"/>
              </w:rPr>
              <w:t>The verified savings accounted for the addition of the occupancy sensors and the SWE Team had no further recommendations.</w:t>
            </w:r>
          </w:p>
        </w:tc>
      </w:tr>
      <w:tr w:rsidR="00E7173E" w:rsidRPr="004B56B4" w:rsidTr="005C3E63">
        <w:trPr>
          <w:trHeight w:val="977"/>
        </w:trPr>
        <w:tc>
          <w:tcPr>
            <w:tcW w:w="1880" w:type="dxa"/>
            <w:shd w:val="clear" w:color="auto" w:fill="auto"/>
            <w:noWrap/>
          </w:tcPr>
          <w:p w:rsidR="00423027" w:rsidRPr="00FC2E74" w:rsidRDefault="00423027" w:rsidP="00380FF9">
            <w:pPr>
              <w:rPr>
                <w:sz w:val="20"/>
                <w:szCs w:val="20"/>
              </w:rPr>
            </w:pPr>
            <w:r w:rsidRPr="00FC2E74">
              <w:rPr>
                <w:sz w:val="20"/>
                <w:szCs w:val="20"/>
              </w:rPr>
              <w:t>8777310842.19.01</w:t>
            </w:r>
          </w:p>
        </w:tc>
        <w:tc>
          <w:tcPr>
            <w:tcW w:w="1592" w:type="dxa"/>
            <w:shd w:val="clear" w:color="auto" w:fill="auto"/>
            <w:noWrap/>
          </w:tcPr>
          <w:p w:rsidR="00423027" w:rsidRPr="00FC2E74" w:rsidRDefault="00423027" w:rsidP="00380FF9">
            <w:pPr>
              <w:jc w:val="center"/>
              <w:rPr>
                <w:sz w:val="20"/>
                <w:szCs w:val="20"/>
              </w:rPr>
            </w:pPr>
            <w:r w:rsidRPr="00FC2E74">
              <w:rPr>
                <w:sz w:val="20"/>
                <w:szCs w:val="20"/>
              </w:rPr>
              <w:t>Lighting</w:t>
            </w:r>
          </w:p>
        </w:tc>
        <w:tc>
          <w:tcPr>
            <w:tcW w:w="3780" w:type="dxa"/>
            <w:shd w:val="clear" w:color="auto" w:fill="auto"/>
            <w:noWrap/>
          </w:tcPr>
          <w:p w:rsidR="00423027" w:rsidRPr="0008326C" w:rsidRDefault="00423027" w:rsidP="00380FF9">
            <w:pPr>
              <w:jc w:val="center"/>
              <w:rPr>
                <w:color w:val="000000"/>
                <w:sz w:val="20"/>
                <w:szCs w:val="20"/>
              </w:rPr>
            </w:pPr>
            <w:r w:rsidRPr="0008326C">
              <w:rPr>
                <w:sz w:val="20"/>
                <w:szCs w:val="20"/>
              </w:rPr>
              <w:t>Minor discrepancies concerning the fixture count were di</w:t>
            </w:r>
            <w:r>
              <w:rPr>
                <w:sz w:val="20"/>
                <w:szCs w:val="20"/>
              </w:rPr>
              <w:t>scovered on-</w:t>
            </w:r>
            <w:r w:rsidRPr="0008326C">
              <w:rPr>
                <w:sz w:val="20"/>
                <w:szCs w:val="20"/>
              </w:rPr>
              <w:t>site.</w:t>
            </w:r>
          </w:p>
        </w:tc>
        <w:tc>
          <w:tcPr>
            <w:tcW w:w="944" w:type="dxa"/>
            <w:shd w:val="clear" w:color="auto" w:fill="auto"/>
            <w:noWrap/>
          </w:tcPr>
          <w:p w:rsidR="00423027" w:rsidRPr="00044F94" w:rsidRDefault="00423027" w:rsidP="00380FF9">
            <w:pPr>
              <w:jc w:val="center"/>
              <w:rPr>
                <w:color w:val="000000"/>
                <w:sz w:val="20"/>
                <w:szCs w:val="20"/>
                <w:highlight w:val="yellow"/>
              </w:rPr>
            </w:pPr>
            <w:r w:rsidRPr="0008326C">
              <w:rPr>
                <w:sz w:val="20"/>
                <w:szCs w:val="20"/>
              </w:rPr>
              <w:t>Eval</w:t>
            </w:r>
          </w:p>
        </w:tc>
        <w:tc>
          <w:tcPr>
            <w:tcW w:w="4764" w:type="dxa"/>
            <w:shd w:val="clear" w:color="auto" w:fill="auto"/>
            <w:noWrap/>
          </w:tcPr>
          <w:p w:rsidR="00423027" w:rsidRPr="0008326C" w:rsidRDefault="00423027" w:rsidP="00380FF9">
            <w:pPr>
              <w:jc w:val="center"/>
              <w:rPr>
                <w:color w:val="000000"/>
                <w:sz w:val="20"/>
                <w:szCs w:val="20"/>
              </w:rPr>
            </w:pPr>
            <w:r w:rsidRPr="0008326C">
              <w:rPr>
                <w:sz w:val="20"/>
                <w:szCs w:val="20"/>
              </w:rPr>
              <w:t xml:space="preserve">The verified savings accounted for the change in fixture count and the SWE </w:t>
            </w:r>
            <w:r>
              <w:rPr>
                <w:sz w:val="20"/>
                <w:szCs w:val="20"/>
              </w:rPr>
              <w:t xml:space="preserve">Team </w:t>
            </w:r>
            <w:r w:rsidRPr="0008326C">
              <w:rPr>
                <w:sz w:val="20"/>
                <w:szCs w:val="20"/>
              </w:rPr>
              <w:t>had no further recommendations.</w:t>
            </w:r>
          </w:p>
        </w:tc>
      </w:tr>
      <w:tr w:rsidR="00A874AC" w:rsidRPr="004B56B4" w:rsidTr="005C3E63">
        <w:trPr>
          <w:trHeight w:val="977"/>
        </w:trPr>
        <w:tc>
          <w:tcPr>
            <w:tcW w:w="1880" w:type="dxa"/>
            <w:shd w:val="clear" w:color="auto" w:fill="D2EAF1"/>
            <w:noWrap/>
          </w:tcPr>
          <w:p w:rsidR="00423027" w:rsidRPr="00FC2E74" w:rsidRDefault="00423027" w:rsidP="00380FF9">
            <w:pPr>
              <w:rPr>
                <w:sz w:val="20"/>
                <w:szCs w:val="20"/>
              </w:rPr>
            </w:pPr>
            <w:r w:rsidRPr="00FC2E74">
              <w:rPr>
                <w:sz w:val="20"/>
                <w:szCs w:val="20"/>
              </w:rPr>
              <w:t>8000650287.19.01</w:t>
            </w:r>
          </w:p>
        </w:tc>
        <w:tc>
          <w:tcPr>
            <w:tcW w:w="1592" w:type="dxa"/>
            <w:shd w:val="clear" w:color="auto" w:fill="D2EAF1"/>
            <w:noWrap/>
          </w:tcPr>
          <w:p w:rsidR="00423027" w:rsidRPr="00FC2E74" w:rsidRDefault="00423027" w:rsidP="00380FF9">
            <w:pPr>
              <w:jc w:val="center"/>
              <w:rPr>
                <w:sz w:val="20"/>
                <w:szCs w:val="20"/>
              </w:rPr>
            </w:pPr>
            <w:r>
              <w:rPr>
                <w:sz w:val="20"/>
                <w:szCs w:val="20"/>
              </w:rPr>
              <w:t>HVAC (c</w:t>
            </w:r>
            <w:r w:rsidRPr="00FC2E74">
              <w:rPr>
                <w:sz w:val="20"/>
                <w:szCs w:val="20"/>
              </w:rPr>
              <w:t>hillers, VFDs)</w:t>
            </w:r>
          </w:p>
        </w:tc>
        <w:tc>
          <w:tcPr>
            <w:tcW w:w="3780" w:type="dxa"/>
            <w:shd w:val="clear" w:color="auto" w:fill="D2EAF1"/>
            <w:noWrap/>
          </w:tcPr>
          <w:p w:rsidR="00423027" w:rsidRPr="00044F94" w:rsidRDefault="00423027" w:rsidP="00380FF9">
            <w:pPr>
              <w:jc w:val="center"/>
              <w:rPr>
                <w:color w:val="000000"/>
                <w:sz w:val="20"/>
                <w:szCs w:val="20"/>
                <w:highlight w:val="yellow"/>
              </w:rPr>
            </w:pPr>
            <w:r w:rsidRPr="001019FA">
              <w:rPr>
                <w:sz w:val="20"/>
                <w:szCs w:val="20"/>
              </w:rPr>
              <w:t>Generally, all retrofitted equipment and controls were verified as reported and inputs to the energy savings calculati</w:t>
            </w:r>
            <w:r>
              <w:rPr>
                <w:sz w:val="20"/>
                <w:szCs w:val="20"/>
              </w:rPr>
              <w:t>ons reflected what was found on-</w:t>
            </w:r>
            <w:r w:rsidRPr="001019FA">
              <w:rPr>
                <w:sz w:val="20"/>
                <w:szCs w:val="20"/>
              </w:rPr>
              <w:t>site.</w:t>
            </w:r>
          </w:p>
        </w:tc>
        <w:tc>
          <w:tcPr>
            <w:tcW w:w="944" w:type="dxa"/>
            <w:shd w:val="clear" w:color="auto" w:fill="D2EAF1"/>
            <w:noWrap/>
          </w:tcPr>
          <w:p w:rsidR="00423027" w:rsidRPr="00044F94" w:rsidRDefault="00423027" w:rsidP="00380FF9">
            <w:pPr>
              <w:jc w:val="center"/>
              <w:rPr>
                <w:color w:val="000000"/>
                <w:sz w:val="20"/>
                <w:szCs w:val="20"/>
                <w:highlight w:val="yellow"/>
              </w:rPr>
            </w:pPr>
            <w:r>
              <w:rPr>
                <w:sz w:val="20"/>
                <w:szCs w:val="20"/>
              </w:rPr>
              <w:t>Eval</w:t>
            </w:r>
          </w:p>
        </w:tc>
        <w:tc>
          <w:tcPr>
            <w:tcW w:w="4764" w:type="dxa"/>
            <w:shd w:val="clear" w:color="auto" w:fill="D2EAF1"/>
            <w:noWrap/>
          </w:tcPr>
          <w:p w:rsidR="00423027" w:rsidRPr="00044F94" w:rsidRDefault="00423027" w:rsidP="00380FF9">
            <w:pPr>
              <w:jc w:val="center"/>
              <w:rPr>
                <w:color w:val="000000"/>
                <w:sz w:val="20"/>
                <w:szCs w:val="20"/>
                <w:highlight w:val="yellow"/>
              </w:rPr>
            </w:pPr>
            <w:r w:rsidRPr="001019FA">
              <w:rPr>
                <w:sz w:val="20"/>
                <w:szCs w:val="20"/>
              </w:rPr>
              <w:t>The SWE Team had no recommendations based on its review of this project.</w:t>
            </w:r>
          </w:p>
        </w:tc>
      </w:tr>
      <w:tr w:rsidR="00E7173E" w:rsidRPr="004B56B4" w:rsidTr="005C3E63">
        <w:trPr>
          <w:trHeight w:val="977"/>
        </w:trPr>
        <w:tc>
          <w:tcPr>
            <w:tcW w:w="1880" w:type="dxa"/>
            <w:shd w:val="clear" w:color="auto" w:fill="auto"/>
            <w:noWrap/>
          </w:tcPr>
          <w:p w:rsidR="00423027" w:rsidRPr="00FC2E74" w:rsidRDefault="00423027" w:rsidP="00380FF9">
            <w:pPr>
              <w:rPr>
                <w:sz w:val="20"/>
                <w:szCs w:val="20"/>
              </w:rPr>
            </w:pPr>
            <w:r w:rsidRPr="00FC2E74">
              <w:rPr>
                <w:sz w:val="20"/>
                <w:szCs w:val="20"/>
              </w:rPr>
              <w:t>0304430541.16.01</w:t>
            </w:r>
          </w:p>
        </w:tc>
        <w:tc>
          <w:tcPr>
            <w:tcW w:w="1592" w:type="dxa"/>
            <w:shd w:val="clear" w:color="auto" w:fill="auto"/>
            <w:noWrap/>
          </w:tcPr>
          <w:p w:rsidR="00423027" w:rsidRPr="00FC2E74" w:rsidRDefault="00423027" w:rsidP="00380FF9">
            <w:pPr>
              <w:jc w:val="center"/>
              <w:rPr>
                <w:sz w:val="20"/>
                <w:szCs w:val="20"/>
              </w:rPr>
            </w:pPr>
            <w:r w:rsidRPr="00FC2E74">
              <w:rPr>
                <w:sz w:val="20"/>
                <w:szCs w:val="20"/>
              </w:rPr>
              <w:t>Lighting</w:t>
            </w:r>
          </w:p>
        </w:tc>
        <w:tc>
          <w:tcPr>
            <w:tcW w:w="3780" w:type="dxa"/>
            <w:shd w:val="clear" w:color="auto" w:fill="auto"/>
            <w:noWrap/>
          </w:tcPr>
          <w:p w:rsidR="00423027" w:rsidRPr="00044F94" w:rsidRDefault="00423027" w:rsidP="00380FF9">
            <w:pPr>
              <w:jc w:val="center"/>
              <w:rPr>
                <w:color w:val="000000"/>
                <w:sz w:val="20"/>
                <w:szCs w:val="20"/>
                <w:highlight w:val="yellow"/>
              </w:rPr>
            </w:pPr>
            <w:r w:rsidRPr="00D41EE6">
              <w:rPr>
                <w:sz w:val="20"/>
                <w:szCs w:val="20"/>
              </w:rPr>
              <w:t xml:space="preserve">The SWE Team found that the </w:t>
            </w:r>
            <w:r>
              <w:rPr>
                <w:sz w:val="20"/>
                <w:szCs w:val="20"/>
              </w:rPr>
              <w:t>evaluation contractor’s</w:t>
            </w:r>
            <w:r w:rsidRPr="00D41EE6">
              <w:rPr>
                <w:sz w:val="20"/>
                <w:szCs w:val="20"/>
              </w:rPr>
              <w:t xml:space="preserve"> review of the project is accurate.</w:t>
            </w:r>
          </w:p>
        </w:tc>
        <w:tc>
          <w:tcPr>
            <w:tcW w:w="944" w:type="dxa"/>
            <w:shd w:val="clear" w:color="auto" w:fill="auto"/>
            <w:noWrap/>
          </w:tcPr>
          <w:p w:rsidR="00423027" w:rsidRPr="00044F94" w:rsidRDefault="00423027" w:rsidP="00380FF9">
            <w:pPr>
              <w:jc w:val="center"/>
              <w:rPr>
                <w:color w:val="000000"/>
                <w:sz w:val="20"/>
                <w:szCs w:val="20"/>
                <w:highlight w:val="yellow"/>
              </w:rPr>
            </w:pPr>
            <w:r w:rsidRPr="00D41EE6">
              <w:rPr>
                <w:sz w:val="20"/>
                <w:szCs w:val="20"/>
              </w:rPr>
              <w:t>Eval</w:t>
            </w:r>
          </w:p>
        </w:tc>
        <w:tc>
          <w:tcPr>
            <w:tcW w:w="4764" w:type="dxa"/>
            <w:shd w:val="clear" w:color="auto" w:fill="auto"/>
            <w:noWrap/>
          </w:tcPr>
          <w:p w:rsidR="00423027" w:rsidRPr="00044F94" w:rsidRDefault="00423027" w:rsidP="00380FF9">
            <w:pPr>
              <w:jc w:val="center"/>
              <w:rPr>
                <w:color w:val="000000"/>
                <w:sz w:val="20"/>
                <w:szCs w:val="20"/>
                <w:highlight w:val="yellow"/>
              </w:rPr>
            </w:pPr>
            <w:r w:rsidRPr="00D41EE6">
              <w:rPr>
                <w:sz w:val="20"/>
                <w:szCs w:val="20"/>
              </w:rPr>
              <w:t>The SWE Team had no recommendations based on its review of this project.</w:t>
            </w:r>
          </w:p>
        </w:tc>
      </w:tr>
      <w:tr w:rsidR="00A874AC" w:rsidRPr="004B56B4" w:rsidTr="005C3E63">
        <w:trPr>
          <w:trHeight w:val="977"/>
        </w:trPr>
        <w:tc>
          <w:tcPr>
            <w:tcW w:w="1880" w:type="dxa"/>
            <w:shd w:val="clear" w:color="auto" w:fill="D2EAF1"/>
            <w:noWrap/>
          </w:tcPr>
          <w:p w:rsidR="00423027" w:rsidRPr="00FC2E74" w:rsidRDefault="00423027" w:rsidP="00380FF9">
            <w:pPr>
              <w:rPr>
                <w:sz w:val="20"/>
                <w:szCs w:val="20"/>
              </w:rPr>
            </w:pPr>
            <w:r w:rsidRPr="00FC2E74">
              <w:rPr>
                <w:sz w:val="20"/>
                <w:szCs w:val="20"/>
              </w:rPr>
              <w:t>9302070578.20.01</w:t>
            </w:r>
          </w:p>
        </w:tc>
        <w:tc>
          <w:tcPr>
            <w:tcW w:w="1592" w:type="dxa"/>
            <w:shd w:val="clear" w:color="auto" w:fill="D2EAF1"/>
            <w:noWrap/>
          </w:tcPr>
          <w:p w:rsidR="00423027" w:rsidRPr="00FC2E74" w:rsidRDefault="00423027" w:rsidP="00380FF9">
            <w:pPr>
              <w:jc w:val="center"/>
              <w:rPr>
                <w:sz w:val="20"/>
                <w:szCs w:val="20"/>
              </w:rPr>
            </w:pPr>
            <w:r>
              <w:rPr>
                <w:sz w:val="20"/>
                <w:szCs w:val="20"/>
              </w:rPr>
              <w:t>HVAC (c</w:t>
            </w:r>
            <w:r w:rsidRPr="00FC2E74">
              <w:rPr>
                <w:sz w:val="20"/>
                <w:szCs w:val="20"/>
              </w:rPr>
              <w:t>hillers, VFDs, HTX)</w:t>
            </w:r>
          </w:p>
        </w:tc>
        <w:tc>
          <w:tcPr>
            <w:tcW w:w="3780" w:type="dxa"/>
            <w:shd w:val="clear" w:color="auto" w:fill="D2EAF1"/>
            <w:noWrap/>
          </w:tcPr>
          <w:p w:rsidR="00423027" w:rsidRPr="00E27BBB" w:rsidRDefault="00423027" w:rsidP="00380FF9">
            <w:pPr>
              <w:jc w:val="center"/>
              <w:rPr>
                <w:sz w:val="20"/>
                <w:szCs w:val="20"/>
              </w:rPr>
            </w:pPr>
            <w:r w:rsidRPr="00E27BBB">
              <w:rPr>
                <w:sz w:val="20"/>
                <w:szCs w:val="20"/>
              </w:rPr>
              <w:t xml:space="preserve">The SWE Team found that the </w:t>
            </w:r>
            <w:r>
              <w:rPr>
                <w:sz w:val="20"/>
                <w:szCs w:val="20"/>
              </w:rPr>
              <w:t>evaluation contractor’s</w:t>
            </w:r>
            <w:r w:rsidRPr="00E27BBB" w:rsidDel="006054DE">
              <w:rPr>
                <w:sz w:val="20"/>
                <w:szCs w:val="20"/>
              </w:rPr>
              <w:t xml:space="preserve"> </w:t>
            </w:r>
            <w:r w:rsidRPr="00E27BBB">
              <w:rPr>
                <w:sz w:val="20"/>
                <w:szCs w:val="20"/>
              </w:rPr>
              <w:t>review of the project is accurate.</w:t>
            </w:r>
          </w:p>
        </w:tc>
        <w:tc>
          <w:tcPr>
            <w:tcW w:w="944" w:type="dxa"/>
            <w:shd w:val="clear" w:color="auto" w:fill="D2EAF1"/>
            <w:noWrap/>
          </w:tcPr>
          <w:p w:rsidR="00423027" w:rsidRPr="00E27BBB" w:rsidRDefault="00423027" w:rsidP="00380FF9">
            <w:pPr>
              <w:jc w:val="center"/>
              <w:rPr>
                <w:sz w:val="20"/>
                <w:szCs w:val="20"/>
              </w:rPr>
            </w:pPr>
            <w:r w:rsidRPr="00E27BBB">
              <w:rPr>
                <w:sz w:val="20"/>
                <w:szCs w:val="20"/>
              </w:rPr>
              <w:t>Eval</w:t>
            </w:r>
          </w:p>
        </w:tc>
        <w:tc>
          <w:tcPr>
            <w:tcW w:w="4764" w:type="dxa"/>
            <w:shd w:val="clear" w:color="auto" w:fill="D2EAF1"/>
            <w:noWrap/>
          </w:tcPr>
          <w:p w:rsidR="00423027" w:rsidRPr="00E27BBB" w:rsidRDefault="00423027" w:rsidP="00380FF9">
            <w:pPr>
              <w:jc w:val="center"/>
              <w:rPr>
                <w:sz w:val="20"/>
                <w:szCs w:val="20"/>
              </w:rPr>
            </w:pPr>
            <w:r w:rsidRPr="00E27BBB">
              <w:rPr>
                <w:sz w:val="20"/>
                <w:szCs w:val="20"/>
              </w:rPr>
              <w:t>The SWE Team had no recommendations based on its review of this project.</w:t>
            </w:r>
          </w:p>
        </w:tc>
      </w:tr>
      <w:tr w:rsidR="00E7173E" w:rsidRPr="004B56B4" w:rsidTr="005C3E63">
        <w:trPr>
          <w:trHeight w:val="977"/>
        </w:trPr>
        <w:tc>
          <w:tcPr>
            <w:tcW w:w="1880" w:type="dxa"/>
            <w:shd w:val="clear" w:color="auto" w:fill="auto"/>
            <w:noWrap/>
          </w:tcPr>
          <w:p w:rsidR="00423027" w:rsidRPr="00FC2E74" w:rsidRDefault="00423027" w:rsidP="00380FF9">
            <w:pPr>
              <w:rPr>
                <w:sz w:val="20"/>
                <w:szCs w:val="20"/>
              </w:rPr>
            </w:pPr>
            <w:r w:rsidRPr="00FC2E74">
              <w:rPr>
                <w:sz w:val="20"/>
                <w:szCs w:val="20"/>
              </w:rPr>
              <w:t>6000006806.26.07</w:t>
            </w:r>
          </w:p>
        </w:tc>
        <w:tc>
          <w:tcPr>
            <w:tcW w:w="1592" w:type="dxa"/>
            <w:shd w:val="clear" w:color="auto" w:fill="auto"/>
            <w:noWrap/>
          </w:tcPr>
          <w:p w:rsidR="00423027" w:rsidRPr="00FC2E74" w:rsidRDefault="00423027" w:rsidP="00380FF9">
            <w:pPr>
              <w:jc w:val="center"/>
              <w:rPr>
                <w:sz w:val="20"/>
                <w:szCs w:val="20"/>
              </w:rPr>
            </w:pPr>
            <w:r>
              <w:rPr>
                <w:sz w:val="20"/>
                <w:szCs w:val="20"/>
              </w:rPr>
              <w:t>HVAC (c</w:t>
            </w:r>
            <w:r w:rsidRPr="00FC2E74">
              <w:rPr>
                <w:sz w:val="20"/>
                <w:szCs w:val="20"/>
              </w:rPr>
              <w:t>hillers, VFDs)</w:t>
            </w:r>
          </w:p>
        </w:tc>
        <w:tc>
          <w:tcPr>
            <w:tcW w:w="3780" w:type="dxa"/>
            <w:shd w:val="clear" w:color="auto" w:fill="auto"/>
            <w:noWrap/>
          </w:tcPr>
          <w:p w:rsidR="00423027" w:rsidRPr="00E27BBB" w:rsidRDefault="00423027" w:rsidP="00380FF9">
            <w:pPr>
              <w:jc w:val="center"/>
              <w:rPr>
                <w:sz w:val="20"/>
                <w:szCs w:val="20"/>
              </w:rPr>
            </w:pPr>
            <w:r w:rsidRPr="00E27BBB">
              <w:rPr>
                <w:sz w:val="20"/>
                <w:szCs w:val="20"/>
              </w:rPr>
              <w:t xml:space="preserve">The SWE Team found that the </w:t>
            </w:r>
            <w:r>
              <w:rPr>
                <w:sz w:val="20"/>
                <w:szCs w:val="20"/>
              </w:rPr>
              <w:t>evaluation contractor’s</w:t>
            </w:r>
            <w:r w:rsidRPr="00E27BBB" w:rsidDel="006054DE">
              <w:rPr>
                <w:sz w:val="20"/>
                <w:szCs w:val="20"/>
              </w:rPr>
              <w:t xml:space="preserve"> </w:t>
            </w:r>
            <w:r w:rsidRPr="00E27BBB">
              <w:rPr>
                <w:sz w:val="20"/>
                <w:szCs w:val="20"/>
              </w:rPr>
              <w:t>review of the project is accurate.</w:t>
            </w:r>
          </w:p>
        </w:tc>
        <w:tc>
          <w:tcPr>
            <w:tcW w:w="944" w:type="dxa"/>
            <w:shd w:val="clear" w:color="auto" w:fill="auto"/>
            <w:noWrap/>
          </w:tcPr>
          <w:p w:rsidR="00423027" w:rsidRPr="00E27BBB" w:rsidRDefault="00423027" w:rsidP="00380FF9">
            <w:pPr>
              <w:jc w:val="center"/>
              <w:rPr>
                <w:sz w:val="20"/>
                <w:szCs w:val="20"/>
              </w:rPr>
            </w:pPr>
            <w:r w:rsidRPr="00E27BBB">
              <w:rPr>
                <w:sz w:val="20"/>
                <w:szCs w:val="20"/>
              </w:rPr>
              <w:t>Eval</w:t>
            </w:r>
          </w:p>
        </w:tc>
        <w:tc>
          <w:tcPr>
            <w:tcW w:w="4764" w:type="dxa"/>
            <w:shd w:val="clear" w:color="auto" w:fill="auto"/>
            <w:noWrap/>
          </w:tcPr>
          <w:p w:rsidR="00423027" w:rsidRPr="00E27BBB" w:rsidRDefault="00423027" w:rsidP="00380FF9">
            <w:pPr>
              <w:jc w:val="center"/>
              <w:rPr>
                <w:sz w:val="20"/>
                <w:szCs w:val="20"/>
              </w:rPr>
            </w:pPr>
            <w:r w:rsidRPr="00E27BBB">
              <w:rPr>
                <w:sz w:val="20"/>
                <w:szCs w:val="20"/>
              </w:rPr>
              <w:t>The SWE Team had no recommendations based on its review of this project.</w:t>
            </w:r>
          </w:p>
        </w:tc>
      </w:tr>
      <w:tr w:rsidR="00A874AC" w:rsidRPr="004B56B4" w:rsidTr="005C3E63">
        <w:trPr>
          <w:trHeight w:val="977"/>
        </w:trPr>
        <w:tc>
          <w:tcPr>
            <w:tcW w:w="1880" w:type="dxa"/>
            <w:shd w:val="clear" w:color="auto" w:fill="D2EAF1"/>
            <w:noWrap/>
          </w:tcPr>
          <w:p w:rsidR="00423027" w:rsidRPr="00FC2E74" w:rsidRDefault="00423027" w:rsidP="00380FF9">
            <w:pPr>
              <w:rPr>
                <w:sz w:val="20"/>
                <w:szCs w:val="20"/>
              </w:rPr>
            </w:pPr>
            <w:r w:rsidRPr="00FC2E74">
              <w:rPr>
                <w:sz w:val="20"/>
                <w:szCs w:val="20"/>
              </w:rPr>
              <w:t>0449510785.16.01</w:t>
            </w:r>
          </w:p>
        </w:tc>
        <w:tc>
          <w:tcPr>
            <w:tcW w:w="1592" w:type="dxa"/>
            <w:shd w:val="clear" w:color="auto" w:fill="D2EAF1"/>
            <w:noWrap/>
          </w:tcPr>
          <w:p w:rsidR="00423027" w:rsidRPr="00FC2E74" w:rsidRDefault="00423027" w:rsidP="00380FF9">
            <w:pPr>
              <w:jc w:val="center"/>
              <w:rPr>
                <w:sz w:val="20"/>
                <w:szCs w:val="20"/>
              </w:rPr>
            </w:pPr>
            <w:r w:rsidRPr="00FC2E74">
              <w:rPr>
                <w:sz w:val="20"/>
                <w:szCs w:val="20"/>
              </w:rPr>
              <w:t>Lighting</w:t>
            </w:r>
          </w:p>
        </w:tc>
        <w:tc>
          <w:tcPr>
            <w:tcW w:w="3780" w:type="dxa"/>
            <w:shd w:val="clear" w:color="auto" w:fill="D2EAF1"/>
            <w:noWrap/>
          </w:tcPr>
          <w:p w:rsidR="00423027" w:rsidRPr="00E21E69" w:rsidRDefault="00423027" w:rsidP="00380FF9">
            <w:pPr>
              <w:jc w:val="center"/>
              <w:rPr>
                <w:sz w:val="20"/>
                <w:szCs w:val="20"/>
              </w:rPr>
            </w:pPr>
            <w:r w:rsidRPr="00E21E69">
              <w:rPr>
                <w:sz w:val="20"/>
                <w:szCs w:val="20"/>
              </w:rPr>
              <w:t>Occupancy sensors were discovered at the site inspection.</w:t>
            </w:r>
          </w:p>
        </w:tc>
        <w:tc>
          <w:tcPr>
            <w:tcW w:w="944" w:type="dxa"/>
            <w:shd w:val="clear" w:color="auto" w:fill="D2EAF1"/>
            <w:noWrap/>
          </w:tcPr>
          <w:p w:rsidR="00423027" w:rsidRPr="00E21E69" w:rsidRDefault="00423027" w:rsidP="00380FF9">
            <w:pPr>
              <w:jc w:val="center"/>
              <w:rPr>
                <w:sz w:val="20"/>
                <w:szCs w:val="20"/>
              </w:rPr>
            </w:pPr>
            <w:r w:rsidRPr="00E21E69">
              <w:rPr>
                <w:sz w:val="20"/>
                <w:szCs w:val="20"/>
              </w:rPr>
              <w:t>Eval</w:t>
            </w:r>
          </w:p>
        </w:tc>
        <w:tc>
          <w:tcPr>
            <w:tcW w:w="4764" w:type="dxa"/>
            <w:shd w:val="clear" w:color="auto" w:fill="D2EAF1"/>
            <w:noWrap/>
          </w:tcPr>
          <w:p w:rsidR="00423027" w:rsidRPr="00E21E69" w:rsidRDefault="00423027" w:rsidP="00380FF9">
            <w:pPr>
              <w:jc w:val="center"/>
              <w:rPr>
                <w:sz w:val="20"/>
                <w:szCs w:val="20"/>
              </w:rPr>
            </w:pPr>
            <w:r w:rsidRPr="00E21E69">
              <w:rPr>
                <w:sz w:val="20"/>
                <w:szCs w:val="20"/>
              </w:rPr>
              <w:t xml:space="preserve">The verified savings accounted for the addition of the occupancy sensors and the SWE </w:t>
            </w:r>
            <w:r>
              <w:rPr>
                <w:sz w:val="20"/>
                <w:szCs w:val="20"/>
              </w:rPr>
              <w:t xml:space="preserve">Team </w:t>
            </w:r>
            <w:r w:rsidRPr="00E21E69">
              <w:rPr>
                <w:sz w:val="20"/>
                <w:szCs w:val="20"/>
              </w:rPr>
              <w:t>had no further recommendations.</w:t>
            </w:r>
          </w:p>
        </w:tc>
      </w:tr>
      <w:tr w:rsidR="00E7173E" w:rsidRPr="004B56B4" w:rsidTr="005C3E63">
        <w:trPr>
          <w:trHeight w:val="977"/>
        </w:trPr>
        <w:tc>
          <w:tcPr>
            <w:tcW w:w="1880" w:type="dxa"/>
            <w:shd w:val="clear" w:color="auto" w:fill="auto"/>
            <w:noWrap/>
          </w:tcPr>
          <w:p w:rsidR="00423027" w:rsidRPr="00FC2E74" w:rsidRDefault="00423027" w:rsidP="00380FF9">
            <w:pPr>
              <w:rPr>
                <w:sz w:val="20"/>
                <w:szCs w:val="20"/>
              </w:rPr>
            </w:pPr>
            <w:r w:rsidRPr="00FC2E74">
              <w:rPr>
                <w:sz w:val="20"/>
                <w:szCs w:val="20"/>
              </w:rPr>
              <w:t>3113581629.18.01</w:t>
            </w:r>
          </w:p>
        </w:tc>
        <w:tc>
          <w:tcPr>
            <w:tcW w:w="1592" w:type="dxa"/>
            <w:shd w:val="clear" w:color="auto" w:fill="auto"/>
            <w:noWrap/>
          </w:tcPr>
          <w:p w:rsidR="00423027" w:rsidRPr="00FC2E74" w:rsidRDefault="00423027" w:rsidP="00380FF9">
            <w:pPr>
              <w:jc w:val="center"/>
              <w:rPr>
                <w:sz w:val="20"/>
                <w:szCs w:val="20"/>
              </w:rPr>
            </w:pPr>
            <w:r w:rsidRPr="00FC2E74">
              <w:rPr>
                <w:sz w:val="20"/>
                <w:szCs w:val="20"/>
              </w:rPr>
              <w:t>HVAC (pump VFDs)</w:t>
            </w:r>
          </w:p>
        </w:tc>
        <w:tc>
          <w:tcPr>
            <w:tcW w:w="3780" w:type="dxa"/>
            <w:shd w:val="clear" w:color="auto" w:fill="auto"/>
            <w:noWrap/>
          </w:tcPr>
          <w:p w:rsidR="00423027" w:rsidRPr="00882C04" w:rsidRDefault="00423027" w:rsidP="00380FF9">
            <w:pPr>
              <w:jc w:val="center"/>
              <w:rPr>
                <w:sz w:val="20"/>
                <w:szCs w:val="20"/>
              </w:rPr>
            </w:pPr>
            <w:r w:rsidRPr="00590E76">
              <w:rPr>
                <w:sz w:val="20"/>
                <w:szCs w:val="20"/>
              </w:rPr>
              <w:t>Upon inspection, it was discovered that the VFDs were not being used as the program rules dictate and were only being used for soft starts.</w:t>
            </w:r>
          </w:p>
        </w:tc>
        <w:tc>
          <w:tcPr>
            <w:tcW w:w="944" w:type="dxa"/>
            <w:shd w:val="clear" w:color="auto" w:fill="auto"/>
            <w:noWrap/>
          </w:tcPr>
          <w:p w:rsidR="00423027" w:rsidRPr="00590E76" w:rsidRDefault="00423027" w:rsidP="00380FF9">
            <w:pPr>
              <w:jc w:val="center"/>
              <w:rPr>
                <w:color w:val="000000"/>
                <w:sz w:val="20"/>
                <w:szCs w:val="20"/>
              </w:rPr>
            </w:pPr>
            <w:r w:rsidRPr="00590E76">
              <w:rPr>
                <w:color w:val="000000"/>
                <w:sz w:val="20"/>
                <w:szCs w:val="20"/>
              </w:rPr>
              <w:t>Pro</w:t>
            </w:r>
          </w:p>
        </w:tc>
        <w:tc>
          <w:tcPr>
            <w:tcW w:w="4764" w:type="dxa"/>
            <w:shd w:val="clear" w:color="auto" w:fill="auto"/>
            <w:noWrap/>
          </w:tcPr>
          <w:p w:rsidR="00423027" w:rsidRPr="00590E76" w:rsidRDefault="00423027" w:rsidP="00380FF9">
            <w:pPr>
              <w:jc w:val="center"/>
              <w:rPr>
                <w:sz w:val="20"/>
                <w:szCs w:val="20"/>
              </w:rPr>
            </w:pPr>
            <w:r w:rsidRPr="00590E76">
              <w:rPr>
                <w:sz w:val="20"/>
                <w:szCs w:val="20"/>
              </w:rPr>
              <w:t xml:space="preserve">The verified savings evaluation did account for the site findings and the SWE </w:t>
            </w:r>
            <w:r>
              <w:rPr>
                <w:sz w:val="20"/>
                <w:szCs w:val="20"/>
              </w:rPr>
              <w:t xml:space="preserve">Team </w:t>
            </w:r>
            <w:r w:rsidRPr="00590E76">
              <w:rPr>
                <w:sz w:val="20"/>
                <w:szCs w:val="20"/>
              </w:rPr>
              <w:t>had no further recommendations for this project.</w:t>
            </w:r>
          </w:p>
          <w:p w:rsidR="00423027" w:rsidRPr="00590E76" w:rsidRDefault="00423027" w:rsidP="00380FF9">
            <w:pPr>
              <w:jc w:val="center"/>
              <w:rPr>
                <w:color w:val="000000"/>
                <w:sz w:val="20"/>
                <w:szCs w:val="20"/>
              </w:rPr>
            </w:pPr>
          </w:p>
        </w:tc>
      </w:tr>
      <w:tr w:rsidR="00A874AC" w:rsidRPr="004B56B4" w:rsidTr="005C3E63">
        <w:trPr>
          <w:trHeight w:val="977"/>
        </w:trPr>
        <w:tc>
          <w:tcPr>
            <w:tcW w:w="1880" w:type="dxa"/>
            <w:shd w:val="clear" w:color="auto" w:fill="D2EAF1"/>
            <w:noWrap/>
          </w:tcPr>
          <w:p w:rsidR="00423027" w:rsidRPr="00FC2E74" w:rsidRDefault="00423027" w:rsidP="00380FF9">
            <w:pPr>
              <w:rPr>
                <w:sz w:val="20"/>
                <w:szCs w:val="20"/>
              </w:rPr>
            </w:pPr>
            <w:r w:rsidRPr="00FC2E74">
              <w:rPr>
                <w:sz w:val="20"/>
                <w:szCs w:val="20"/>
              </w:rPr>
              <w:lastRenderedPageBreak/>
              <w:t>7844100128.16.01</w:t>
            </w:r>
          </w:p>
        </w:tc>
        <w:tc>
          <w:tcPr>
            <w:tcW w:w="1592" w:type="dxa"/>
            <w:shd w:val="clear" w:color="auto" w:fill="D2EAF1"/>
            <w:noWrap/>
          </w:tcPr>
          <w:p w:rsidR="00423027" w:rsidRPr="00FC2E74" w:rsidRDefault="00423027" w:rsidP="00380FF9">
            <w:pPr>
              <w:jc w:val="center"/>
              <w:rPr>
                <w:sz w:val="20"/>
                <w:szCs w:val="20"/>
              </w:rPr>
            </w:pPr>
            <w:r w:rsidRPr="00FC2E74">
              <w:rPr>
                <w:sz w:val="20"/>
                <w:szCs w:val="20"/>
              </w:rPr>
              <w:t>HVAC (retro</w:t>
            </w:r>
            <w:r>
              <w:rPr>
                <w:sz w:val="20"/>
                <w:szCs w:val="20"/>
              </w:rPr>
              <w:t>-commissioning</w:t>
            </w:r>
            <w:r w:rsidRPr="00FC2E74">
              <w:rPr>
                <w:sz w:val="20"/>
                <w:szCs w:val="20"/>
              </w:rPr>
              <w:t>)</w:t>
            </w:r>
          </w:p>
        </w:tc>
        <w:tc>
          <w:tcPr>
            <w:tcW w:w="3780" w:type="dxa"/>
            <w:shd w:val="clear" w:color="auto" w:fill="D2EAF1"/>
            <w:noWrap/>
          </w:tcPr>
          <w:p w:rsidR="00423027" w:rsidRPr="000238CB" w:rsidRDefault="00423027" w:rsidP="00380FF9">
            <w:pPr>
              <w:jc w:val="center"/>
              <w:rPr>
                <w:color w:val="000000"/>
                <w:sz w:val="20"/>
                <w:szCs w:val="20"/>
              </w:rPr>
            </w:pPr>
            <w:r w:rsidRPr="000238CB">
              <w:rPr>
                <w:sz w:val="20"/>
                <w:szCs w:val="20"/>
              </w:rPr>
              <w:t xml:space="preserve">At the site visit it was discovered that not all of the retro-commissioning measures were </w:t>
            </w:r>
            <w:r>
              <w:rPr>
                <w:sz w:val="20"/>
                <w:szCs w:val="20"/>
              </w:rPr>
              <w:t xml:space="preserve">fully </w:t>
            </w:r>
            <w:r w:rsidRPr="000238CB">
              <w:rPr>
                <w:sz w:val="20"/>
                <w:szCs w:val="20"/>
              </w:rPr>
              <w:t>completed.</w:t>
            </w:r>
          </w:p>
        </w:tc>
        <w:tc>
          <w:tcPr>
            <w:tcW w:w="944" w:type="dxa"/>
            <w:shd w:val="clear" w:color="auto" w:fill="D2EAF1"/>
            <w:noWrap/>
          </w:tcPr>
          <w:p w:rsidR="00423027" w:rsidRPr="000238CB" w:rsidRDefault="00423027" w:rsidP="00380FF9">
            <w:pPr>
              <w:jc w:val="center"/>
              <w:rPr>
                <w:color w:val="000000"/>
                <w:sz w:val="20"/>
                <w:szCs w:val="20"/>
              </w:rPr>
            </w:pPr>
            <w:r w:rsidRPr="000238CB">
              <w:rPr>
                <w:sz w:val="20"/>
                <w:szCs w:val="20"/>
              </w:rPr>
              <w:t>Eval</w:t>
            </w:r>
          </w:p>
        </w:tc>
        <w:tc>
          <w:tcPr>
            <w:tcW w:w="4764" w:type="dxa"/>
            <w:shd w:val="clear" w:color="auto" w:fill="D2EAF1"/>
            <w:noWrap/>
          </w:tcPr>
          <w:p w:rsidR="00423027" w:rsidRPr="00044F94" w:rsidRDefault="00423027" w:rsidP="00380FF9">
            <w:pPr>
              <w:jc w:val="center"/>
              <w:rPr>
                <w:color w:val="000000"/>
                <w:sz w:val="20"/>
                <w:szCs w:val="20"/>
                <w:highlight w:val="yellow"/>
              </w:rPr>
            </w:pPr>
            <w:r w:rsidRPr="000238CB">
              <w:rPr>
                <w:sz w:val="20"/>
                <w:szCs w:val="20"/>
              </w:rPr>
              <w:t xml:space="preserve">The verified savings evaluation did account for the site findings and the SWE </w:t>
            </w:r>
            <w:r>
              <w:rPr>
                <w:sz w:val="20"/>
                <w:szCs w:val="20"/>
              </w:rPr>
              <w:t xml:space="preserve">Team </w:t>
            </w:r>
            <w:r w:rsidRPr="000238CB">
              <w:rPr>
                <w:sz w:val="20"/>
                <w:szCs w:val="20"/>
              </w:rPr>
              <w:t>had no further recommendations for this project.</w:t>
            </w:r>
          </w:p>
        </w:tc>
      </w:tr>
      <w:tr w:rsidR="00E7173E" w:rsidRPr="004B56B4" w:rsidTr="005C3E63">
        <w:trPr>
          <w:trHeight w:val="977"/>
        </w:trPr>
        <w:tc>
          <w:tcPr>
            <w:tcW w:w="1880" w:type="dxa"/>
            <w:shd w:val="clear" w:color="auto" w:fill="auto"/>
            <w:noWrap/>
          </w:tcPr>
          <w:p w:rsidR="00423027" w:rsidRPr="00FC2E74" w:rsidRDefault="00423027" w:rsidP="00380FF9">
            <w:pPr>
              <w:rPr>
                <w:sz w:val="20"/>
                <w:szCs w:val="20"/>
              </w:rPr>
            </w:pPr>
            <w:r w:rsidRPr="00FC2E74">
              <w:rPr>
                <w:sz w:val="20"/>
                <w:szCs w:val="20"/>
              </w:rPr>
              <w:t>1415560639.21.01</w:t>
            </w:r>
          </w:p>
        </w:tc>
        <w:tc>
          <w:tcPr>
            <w:tcW w:w="1592" w:type="dxa"/>
            <w:shd w:val="clear" w:color="auto" w:fill="auto"/>
            <w:noWrap/>
          </w:tcPr>
          <w:p w:rsidR="00423027" w:rsidRPr="00FC2E74" w:rsidRDefault="00423027" w:rsidP="00380FF9">
            <w:pPr>
              <w:jc w:val="center"/>
              <w:rPr>
                <w:sz w:val="20"/>
                <w:szCs w:val="20"/>
              </w:rPr>
            </w:pPr>
            <w:r w:rsidRPr="00FC2E74">
              <w:rPr>
                <w:sz w:val="20"/>
                <w:szCs w:val="20"/>
              </w:rPr>
              <w:t>HVAC (retro</w:t>
            </w:r>
            <w:r>
              <w:rPr>
                <w:sz w:val="20"/>
                <w:szCs w:val="20"/>
              </w:rPr>
              <w:t>-</w:t>
            </w:r>
            <w:r w:rsidRPr="00FC2E74">
              <w:rPr>
                <w:sz w:val="20"/>
                <w:szCs w:val="20"/>
              </w:rPr>
              <w:t>commissioning)</w:t>
            </w:r>
          </w:p>
        </w:tc>
        <w:tc>
          <w:tcPr>
            <w:tcW w:w="3780" w:type="dxa"/>
            <w:shd w:val="clear" w:color="auto" w:fill="auto"/>
            <w:noWrap/>
          </w:tcPr>
          <w:p w:rsidR="00423027" w:rsidRPr="00E6776F" w:rsidRDefault="00423027" w:rsidP="00380FF9">
            <w:pPr>
              <w:jc w:val="center"/>
              <w:rPr>
                <w:sz w:val="20"/>
                <w:szCs w:val="20"/>
              </w:rPr>
            </w:pPr>
            <w:r w:rsidRPr="00E6776F">
              <w:rPr>
                <w:sz w:val="20"/>
                <w:szCs w:val="20"/>
              </w:rPr>
              <w:t>At the site visit it was discovered that not all of the retro-commissioning measures were completed.</w:t>
            </w:r>
          </w:p>
        </w:tc>
        <w:tc>
          <w:tcPr>
            <w:tcW w:w="944" w:type="dxa"/>
            <w:shd w:val="clear" w:color="auto" w:fill="auto"/>
            <w:noWrap/>
          </w:tcPr>
          <w:p w:rsidR="00423027" w:rsidRPr="00E6776F" w:rsidRDefault="00423027" w:rsidP="00380FF9">
            <w:pPr>
              <w:jc w:val="center"/>
              <w:rPr>
                <w:sz w:val="20"/>
                <w:szCs w:val="20"/>
              </w:rPr>
            </w:pPr>
            <w:r w:rsidRPr="00E6776F">
              <w:rPr>
                <w:sz w:val="20"/>
                <w:szCs w:val="20"/>
              </w:rPr>
              <w:t>Eval</w:t>
            </w:r>
          </w:p>
        </w:tc>
        <w:tc>
          <w:tcPr>
            <w:tcW w:w="4764" w:type="dxa"/>
            <w:shd w:val="clear" w:color="auto" w:fill="auto"/>
            <w:noWrap/>
          </w:tcPr>
          <w:p w:rsidR="00423027" w:rsidRPr="00E6776F" w:rsidRDefault="00423027" w:rsidP="00380FF9">
            <w:pPr>
              <w:jc w:val="center"/>
              <w:rPr>
                <w:sz w:val="20"/>
                <w:szCs w:val="20"/>
              </w:rPr>
            </w:pPr>
            <w:r w:rsidRPr="00E6776F">
              <w:rPr>
                <w:sz w:val="20"/>
                <w:szCs w:val="20"/>
              </w:rPr>
              <w:t xml:space="preserve">The verified savings evaluation did account for the site findings and the SWE </w:t>
            </w:r>
            <w:r>
              <w:rPr>
                <w:sz w:val="20"/>
                <w:szCs w:val="20"/>
              </w:rPr>
              <w:t xml:space="preserve">Team </w:t>
            </w:r>
            <w:r w:rsidRPr="00E6776F">
              <w:rPr>
                <w:sz w:val="20"/>
                <w:szCs w:val="20"/>
              </w:rPr>
              <w:t>had no further recommendations for this project.</w:t>
            </w:r>
          </w:p>
        </w:tc>
      </w:tr>
    </w:tbl>
    <w:p w:rsidR="00423027" w:rsidRPr="00423027" w:rsidRDefault="00423027" w:rsidP="00423027">
      <w:pPr>
        <w:sectPr w:rsidR="00423027" w:rsidRPr="00423027" w:rsidSect="00E45861">
          <w:headerReference w:type="default" r:id="rId96"/>
          <w:footerReference w:type="default" r:id="rId97"/>
          <w:headerReference w:type="first" r:id="rId98"/>
          <w:footerReference w:type="first" r:id="rId99"/>
          <w:pgSz w:w="15840" w:h="12240" w:orient="landscape"/>
          <w:pgMar w:top="1440" w:right="1440" w:bottom="1440" w:left="1440" w:header="720" w:footer="403" w:gutter="0"/>
          <w:cols w:space="720"/>
          <w:titlePg/>
          <w:docGrid w:linePitch="360"/>
        </w:sectPr>
      </w:pPr>
    </w:p>
    <w:p w:rsidR="00623F28" w:rsidRPr="00423027" w:rsidRDefault="00423027" w:rsidP="00423027">
      <w:pPr>
        <w:pStyle w:val="AppendixAHeading4"/>
      </w:pPr>
      <w:r w:rsidRPr="00423027">
        <w:lastRenderedPageBreak/>
        <w:t>Verified Savings Review</w:t>
      </w:r>
    </w:p>
    <w:p w:rsidR="00423027" w:rsidRPr="003458B1" w:rsidRDefault="00423027" w:rsidP="00423027">
      <w:pPr>
        <w:rPr>
          <w:color w:val="000000"/>
        </w:rPr>
      </w:pPr>
      <w:r w:rsidRPr="003458B1">
        <w:rPr>
          <w:color w:val="000000"/>
        </w:rPr>
        <w:t xml:space="preserve">The SWE Team requested a subset of sampled projects for detailed review and generally found that appropriate M&amp;V methods were used. The SWE Team was impressed with the level of organization of project files and the completeness and clarity of the site </w:t>
      </w:r>
      <w:r w:rsidRPr="00423027">
        <w:rPr>
          <w:color w:val="000000"/>
        </w:rPr>
        <w:t xml:space="preserve">reports. </w:t>
      </w:r>
      <w:r w:rsidRPr="00423027">
        <w:rPr>
          <w:color w:val="000000"/>
        </w:rPr>
        <w:fldChar w:fldCharType="begin"/>
      </w:r>
      <w:r w:rsidRPr="00423027">
        <w:rPr>
          <w:color w:val="000000"/>
        </w:rPr>
        <w:instrText xml:space="preserve"> REF _Ref440036921 \h  \* MERGEFORMAT </w:instrText>
      </w:r>
      <w:r w:rsidRPr="00423027">
        <w:rPr>
          <w:color w:val="000000"/>
        </w:rPr>
      </w:r>
      <w:r w:rsidRPr="00423027">
        <w:rPr>
          <w:color w:val="000000"/>
        </w:rPr>
        <w:fldChar w:fldCharType="separate"/>
      </w:r>
      <w:r w:rsidR="00A874AC" w:rsidRPr="00A874AC">
        <w:rPr>
          <w:bCs/>
        </w:rPr>
        <w:t>Table A-19</w:t>
      </w:r>
      <w:r w:rsidRPr="00423027">
        <w:rPr>
          <w:color w:val="000000"/>
        </w:rPr>
        <w:fldChar w:fldCharType="end"/>
      </w:r>
      <w:r w:rsidRPr="00423027">
        <w:rPr>
          <w:color w:val="000000"/>
        </w:rPr>
        <w:t xml:space="preserve"> provides</w:t>
      </w:r>
      <w:r w:rsidRPr="003458B1">
        <w:rPr>
          <w:color w:val="000000"/>
        </w:rPr>
        <w:t xml:space="preserve"> an overview of the SWE Team’s verified savings review.</w:t>
      </w:r>
    </w:p>
    <w:p w:rsidR="00423027" w:rsidRPr="003458B1" w:rsidRDefault="00423027" w:rsidP="00423027">
      <w:pPr>
        <w:rPr>
          <w:color w:val="000000"/>
        </w:rPr>
      </w:pPr>
    </w:p>
    <w:p w:rsidR="00423027" w:rsidRPr="003458B1" w:rsidRDefault="00423027" w:rsidP="00423027">
      <w:pPr>
        <w:spacing w:after="120"/>
        <w:jc w:val="center"/>
        <w:rPr>
          <w:rFonts w:ascii="Century Gothic" w:hAnsi="Century Gothic"/>
          <w:b/>
          <w:bCs/>
          <w:sz w:val="18"/>
          <w:szCs w:val="18"/>
        </w:rPr>
      </w:pPr>
      <w:bookmarkStart w:id="600" w:name="_Ref440036921"/>
      <w:bookmarkStart w:id="601" w:name="_Toc410199384"/>
      <w:bookmarkStart w:id="602" w:name="_Toc431462329"/>
      <w:bookmarkStart w:id="603" w:name="_Toc444269849"/>
      <w:bookmarkStart w:id="604" w:name="_Toc472472428"/>
      <w:bookmarkStart w:id="605" w:name="_Toc476842134"/>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19</w:t>
      </w:r>
      <w:r w:rsidRPr="003458B1">
        <w:rPr>
          <w:rFonts w:ascii="Century Gothic" w:hAnsi="Century Gothic"/>
          <w:b/>
          <w:bCs/>
          <w:sz w:val="18"/>
          <w:szCs w:val="18"/>
        </w:rPr>
        <w:fldChar w:fldCharType="end"/>
      </w:r>
      <w:bookmarkEnd w:id="600"/>
      <w:r w:rsidRPr="003458B1">
        <w:rPr>
          <w:rFonts w:ascii="Century Gothic" w:hAnsi="Century Gothic"/>
          <w:b/>
          <w:bCs/>
          <w:sz w:val="18"/>
          <w:szCs w:val="18"/>
        </w:rPr>
        <w:t>: Overview of Duquesne Projects Included in SWE Team Verified Savings Review</w:t>
      </w:r>
      <w:bookmarkEnd w:id="601"/>
      <w:bookmarkEnd w:id="602"/>
      <w:bookmarkEnd w:id="603"/>
      <w:bookmarkEnd w:id="604"/>
      <w:bookmarkEnd w:id="605"/>
    </w:p>
    <w:tbl>
      <w:tblPr>
        <w:tblW w:w="0" w:type="auto"/>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2043"/>
        <w:gridCol w:w="1946"/>
        <w:gridCol w:w="1279"/>
        <w:gridCol w:w="1270"/>
        <w:gridCol w:w="1486"/>
        <w:gridCol w:w="1218"/>
      </w:tblGrid>
      <w:tr w:rsidR="00A874AC" w:rsidRPr="003458B1" w:rsidTr="005C3E63">
        <w:trPr>
          <w:trHeight w:val="885"/>
        </w:trPr>
        <w:tc>
          <w:tcPr>
            <w:tcW w:w="2083" w:type="dxa"/>
            <w:shd w:val="clear" w:color="auto" w:fill="448A99"/>
            <w:vAlign w:val="bottom"/>
          </w:tcPr>
          <w:p w:rsidR="00423027" w:rsidRPr="003458B1" w:rsidRDefault="00423027" w:rsidP="00380FF9">
            <w:pPr>
              <w:jc w:val="left"/>
              <w:rPr>
                <w:rFonts w:eastAsia="Calibri"/>
                <w:b/>
                <w:color w:val="FFFFFF"/>
                <w:sz w:val="20"/>
                <w:szCs w:val="18"/>
              </w:rPr>
            </w:pPr>
            <w:r w:rsidRPr="003458B1">
              <w:rPr>
                <w:rFonts w:eastAsia="Calibri"/>
                <w:b/>
                <w:color w:val="FFFFFF"/>
                <w:sz w:val="20"/>
                <w:szCs w:val="18"/>
              </w:rPr>
              <w:t>Program</w:t>
            </w:r>
          </w:p>
        </w:tc>
        <w:tc>
          <w:tcPr>
            <w:tcW w:w="1956" w:type="dxa"/>
            <w:shd w:val="clear" w:color="auto" w:fill="448A99"/>
            <w:vAlign w:val="bottom"/>
          </w:tcPr>
          <w:p w:rsidR="00423027" w:rsidRPr="003458B1" w:rsidRDefault="00423027" w:rsidP="00380FF9">
            <w:pPr>
              <w:jc w:val="center"/>
              <w:rPr>
                <w:rFonts w:eastAsia="Calibri"/>
                <w:b/>
                <w:color w:val="FFFFFF"/>
                <w:sz w:val="20"/>
                <w:szCs w:val="18"/>
              </w:rPr>
            </w:pPr>
            <w:r w:rsidRPr="003458B1">
              <w:rPr>
                <w:rFonts w:eastAsia="Calibri"/>
                <w:b/>
                <w:color w:val="FFFFFF"/>
                <w:sz w:val="20"/>
                <w:szCs w:val="18"/>
              </w:rPr>
              <w:t>Project Number</w:t>
            </w:r>
          </w:p>
        </w:tc>
        <w:tc>
          <w:tcPr>
            <w:tcW w:w="1291" w:type="dxa"/>
            <w:shd w:val="clear" w:color="auto" w:fill="448A99"/>
            <w:vAlign w:val="bottom"/>
          </w:tcPr>
          <w:p w:rsidR="00423027" w:rsidRPr="003458B1" w:rsidRDefault="00423027" w:rsidP="00380FF9">
            <w:pPr>
              <w:jc w:val="center"/>
              <w:rPr>
                <w:rFonts w:eastAsia="Calibri"/>
                <w:b/>
                <w:color w:val="FFFFFF"/>
                <w:sz w:val="20"/>
                <w:szCs w:val="18"/>
              </w:rPr>
            </w:pPr>
            <w:r w:rsidRPr="003458B1">
              <w:rPr>
                <w:rFonts w:eastAsia="Calibri"/>
                <w:b/>
                <w:color w:val="FFFFFF"/>
                <w:sz w:val="20"/>
                <w:szCs w:val="18"/>
              </w:rPr>
              <w:t>Verified Energy Savings (kWh)</w:t>
            </w:r>
          </w:p>
        </w:tc>
        <w:tc>
          <w:tcPr>
            <w:tcW w:w="1287" w:type="dxa"/>
            <w:shd w:val="clear" w:color="auto" w:fill="448A99"/>
            <w:vAlign w:val="bottom"/>
          </w:tcPr>
          <w:p w:rsidR="00423027" w:rsidRPr="003458B1" w:rsidRDefault="00423027" w:rsidP="00380FF9">
            <w:pPr>
              <w:jc w:val="center"/>
              <w:rPr>
                <w:rFonts w:eastAsia="Calibri"/>
                <w:b/>
                <w:color w:val="FFFFFF"/>
                <w:sz w:val="20"/>
                <w:szCs w:val="18"/>
              </w:rPr>
            </w:pPr>
            <w:r w:rsidRPr="003458B1">
              <w:rPr>
                <w:rFonts w:eastAsia="Calibri"/>
                <w:b/>
                <w:color w:val="FFFFFF"/>
                <w:sz w:val="20"/>
                <w:szCs w:val="18"/>
              </w:rPr>
              <w:t>Verified Demand Savings (kW)</w:t>
            </w:r>
          </w:p>
        </w:tc>
        <w:tc>
          <w:tcPr>
            <w:tcW w:w="1504" w:type="dxa"/>
            <w:shd w:val="clear" w:color="auto" w:fill="448A99"/>
            <w:vAlign w:val="bottom"/>
          </w:tcPr>
          <w:p w:rsidR="00423027" w:rsidRPr="003458B1" w:rsidRDefault="00423027" w:rsidP="00380FF9">
            <w:pPr>
              <w:jc w:val="center"/>
              <w:rPr>
                <w:rFonts w:eastAsia="Calibri"/>
                <w:b/>
                <w:color w:val="FFFFFF"/>
                <w:sz w:val="20"/>
                <w:szCs w:val="18"/>
              </w:rPr>
            </w:pPr>
            <w:r w:rsidRPr="003458B1">
              <w:rPr>
                <w:rFonts w:eastAsia="Calibri"/>
                <w:b/>
                <w:color w:val="FFFFFF"/>
                <w:sz w:val="20"/>
                <w:szCs w:val="18"/>
              </w:rPr>
              <w:t>Evaluation Activity</w:t>
            </w:r>
          </w:p>
        </w:tc>
        <w:tc>
          <w:tcPr>
            <w:tcW w:w="1234" w:type="dxa"/>
            <w:shd w:val="clear" w:color="auto" w:fill="448A99"/>
            <w:vAlign w:val="bottom"/>
          </w:tcPr>
          <w:p w:rsidR="00423027" w:rsidRPr="003458B1" w:rsidRDefault="00423027" w:rsidP="00380FF9">
            <w:pPr>
              <w:jc w:val="center"/>
              <w:rPr>
                <w:rFonts w:eastAsia="Calibri"/>
                <w:b/>
                <w:color w:val="FFFFFF"/>
                <w:sz w:val="20"/>
                <w:szCs w:val="18"/>
              </w:rPr>
            </w:pPr>
            <w:r w:rsidRPr="003458B1">
              <w:rPr>
                <w:rFonts w:eastAsia="Calibri"/>
                <w:b/>
                <w:color w:val="FFFFFF"/>
                <w:sz w:val="20"/>
                <w:szCs w:val="18"/>
              </w:rPr>
              <w:t>IPMVP Method</w:t>
            </w:r>
          </w:p>
        </w:tc>
      </w:tr>
      <w:tr w:rsidR="00A874AC" w:rsidRPr="003458B1" w:rsidTr="005C3E63">
        <w:trPr>
          <w:trHeight w:val="977"/>
        </w:trPr>
        <w:tc>
          <w:tcPr>
            <w:tcW w:w="2083" w:type="dxa"/>
            <w:shd w:val="clear" w:color="auto" w:fill="D2EAF1"/>
            <w:vAlign w:val="center"/>
          </w:tcPr>
          <w:p w:rsidR="00423027" w:rsidRPr="003458B1" w:rsidRDefault="00423027" w:rsidP="00380FF9">
            <w:pPr>
              <w:jc w:val="left"/>
              <w:rPr>
                <w:sz w:val="20"/>
                <w:szCs w:val="20"/>
              </w:rPr>
            </w:pPr>
            <w:r>
              <w:rPr>
                <w:sz w:val="20"/>
                <w:szCs w:val="20"/>
              </w:rPr>
              <w:t>Commercial – m</w:t>
            </w:r>
            <w:r w:rsidRPr="003458B1">
              <w:rPr>
                <w:sz w:val="20"/>
                <w:szCs w:val="20"/>
              </w:rPr>
              <w:t>edium</w:t>
            </w:r>
          </w:p>
        </w:tc>
        <w:tc>
          <w:tcPr>
            <w:tcW w:w="1956" w:type="dxa"/>
            <w:shd w:val="clear" w:color="auto" w:fill="D2EAF1"/>
            <w:vAlign w:val="center"/>
          </w:tcPr>
          <w:p w:rsidR="00423027" w:rsidRPr="003458B1" w:rsidRDefault="00423027" w:rsidP="00380FF9">
            <w:pPr>
              <w:jc w:val="center"/>
              <w:rPr>
                <w:sz w:val="20"/>
                <w:szCs w:val="20"/>
              </w:rPr>
            </w:pPr>
            <w:r w:rsidRPr="003458B1">
              <w:rPr>
                <w:sz w:val="20"/>
                <w:szCs w:val="20"/>
              </w:rPr>
              <w:t>2111340135.20.01</w:t>
            </w:r>
          </w:p>
        </w:tc>
        <w:tc>
          <w:tcPr>
            <w:tcW w:w="1291" w:type="dxa"/>
            <w:shd w:val="clear" w:color="auto" w:fill="D2EAF1"/>
            <w:vAlign w:val="center"/>
          </w:tcPr>
          <w:p w:rsidR="00423027" w:rsidRPr="003458B1" w:rsidRDefault="00423027" w:rsidP="00380FF9">
            <w:pPr>
              <w:jc w:val="center"/>
              <w:rPr>
                <w:sz w:val="20"/>
                <w:szCs w:val="20"/>
              </w:rPr>
            </w:pPr>
            <w:r w:rsidRPr="003458B1">
              <w:rPr>
                <w:sz w:val="20"/>
                <w:szCs w:val="20"/>
              </w:rPr>
              <w:t>546,945</w:t>
            </w:r>
          </w:p>
        </w:tc>
        <w:tc>
          <w:tcPr>
            <w:tcW w:w="1287" w:type="dxa"/>
            <w:shd w:val="clear" w:color="auto" w:fill="D2EAF1"/>
            <w:vAlign w:val="center"/>
          </w:tcPr>
          <w:p w:rsidR="00423027" w:rsidRPr="003458B1" w:rsidRDefault="00423027" w:rsidP="00380FF9">
            <w:pPr>
              <w:jc w:val="center"/>
              <w:rPr>
                <w:sz w:val="20"/>
                <w:szCs w:val="20"/>
              </w:rPr>
            </w:pPr>
            <w:r w:rsidRPr="003458B1">
              <w:rPr>
                <w:sz w:val="20"/>
                <w:szCs w:val="20"/>
              </w:rPr>
              <w:t>88.87</w:t>
            </w:r>
          </w:p>
        </w:tc>
        <w:tc>
          <w:tcPr>
            <w:tcW w:w="1504" w:type="dxa"/>
            <w:shd w:val="clear" w:color="auto" w:fill="D2EAF1"/>
            <w:vAlign w:val="center"/>
          </w:tcPr>
          <w:p w:rsidR="00423027" w:rsidRPr="003458B1" w:rsidRDefault="00423027" w:rsidP="00380FF9">
            <w:pPr>
              <w:jc w:val="center"/>
              <w:rPr>
                <w:rFonts w:cs="Calibri"/>
                <w:color w:val="000000"/>
                <w:sz w:val="20"/>
                <w:szCs w:val="20"/>
              </w:rPr>
            </w:pPr>
            <w:r w:rsidRPr="003458B1">
              <w:rPr>
                <w:rFonts w:cs="Calibri"/>
                <w:color w:val="000000"/>
                <w:sz w:val="20"/>
                <w:szCs w:val="20"/>
              </w:rPr>
              <w:t>Site inspection, file review, metering</w:t>
            </w:r>
          </w:p>
        </w:tc>
        <w:tc>
          <w:tcPr>
            <w:tcW w:w="1234" w:type="dxa"/>
            <w:shd w:val="clear" w:color="auto" w:fill="D2EAF1"/>
            <w:vAlign w:val="center"/>
          </w:tcPr>
          <w:p w:rsidR="00423027" w:rsidRPr="003458B1" w:rsidRDefault="00423027" w:rsidP="00380FF9">
            <w:pPr>
              <w:jc w:val="center"/>
              <w:rPr>
                <w:sz w:val="20"/>
                <w:szCs w:val="20"/>
              </w:rPr>
            </w:pPr>
            <w:r w:rsidRPr="003458B1">
              <w:rPr>
                <w:sz w:val="20"/>
                <w:szCs w:val="20"/>
              </w:rPr>
              <w:t>Option A</w:t>
            </w:r>
          </w:p>
        </w:tc>
      </w:tr>
      <w:tr w:rsidR="00E7173E" w:rsidRPr="003458B1" w:rsidTr="005C3E63">
        <w:trPr>
          <w:trHeight w:val="977"/>
        </w:trPr>
        <w:tc>
          <w:tcPr>
            <w:tcW w:w="2083" w:type="dxa"/>
            <w:shd w:val="clear" w:color="auto" w:fill="auto"/>
            <w:vAlign w:val="center"/>
          </w:tcPr>
          <w:p w:rsidR="00423027" w:rsidRPr="003458B1" w:rsidRDefault="00423027" w:rsidP="00380FF9">
            <w:pPr>
              <w:jc w:val="left"/>
              <w:rPr>
                <w:sz w:val="20"/>
                <w:szCs w:val="20"/>
              </w:rPr>
            </w:pPr>
            <w:r>
              <w:rPr>
                <w:sz w:val="20"/>
                <w:szCs w:val="20"/>
              </w:rPr>
              <w:t>Industrial – l</w:t>
            </w:r>
            <w:r w:rsidRPr="003458B1">
              <w:rPr>
                <w:sz w:val="20"/>
                <w:szCs w:val="20"/>
              </w:rPr>
              <w:t>arge</w:t>
            </w:r>
          </w:p>
        </w:tc>
        <w:tc>
          <w:tcPr>
            <w:tcW w:w="1956" w:type="dxa"/>
            <w:shd w:val="clear" w:color="auto" w:fill="auto"/>
            <w:vAlign w:val="center"/>
          </w:tcPr>
          <w:p w:rsidR="00423027" w:rsidRPr="003458B1" w:rsidRDefault="00423027" w:rsidP="00380FF9">
            <w:pPr>
              <w:jc w:val="center"/>
              <w:rPr>
                <w:sz w:val="20"/>
                <w:szCs w:val="20"/>
              </w:rPr>
            </w:pPr>
            <w:r w:rsidRPr="003458B1">
              <w:rPr>
                <w:sz w:val="20"/>
                <w:szCs w:val="20"/>
              </w:rPr>
              <w:t>6058860790.23.01</w:t>
            </w:r>
          </w:p>
        </w:tc>
        <w:tc>
          <w:tcPr>
            <w:tcW w:w="1291" w:type="dxa"/>
            <w:shd w:val="clear" w:color="auto" w:fill="auto"/>
            <w:vAlign w:val="center"/>
          </w:tcPr>
          <w:p w:rsidR="00423027" w:rsidRPr="003458B1" w:rsidRDefault="00423027" w:rsidP="00380FF9">
            <w:pPr>
              <w:jc w:val="center"/>
              <w:rPr>
                <w:sz w:val="20"/>
                <w:szCs w:val="20"/>
              </w:rPr>
            </w:pPr>
            <w:r w:rsidRPr="003458B1">
              <w:rPr>
                <w:sz w:val="20"/>
                <w:szCs w:val="20"/>
              </w:rPr>
              <w:t>1,085,481</w:t>
            </w:r>
          </w:p>
        </w:tc>
        <w:tc>
          <w:tcPr>
            <w:tcW w:w="1287" w:type="dxa"/>
            <w:shd w:val="clear" w:color="auto" w:fill="auto"/>
            <w:vAlign w:val="center"/>
          </w:tcPr>
          <w:p w:rsidR="00423027" w:rsidRPr="003458B1" w:rsidRDefault="00423027" w:rsidP="00380FF9">
            <w:pPr>
              <w:jc w:val="center"/>
              <w:rPr>
                <w:sz w:val="20"/>
                <w:szCs w:val="20"/>
              </w:rPr>
            </w:pPr>
            <w:r w:rsidRPr="003458B1">
              <w:rPr>
                <w:sz w:val="20"/>
                <w:szCs w:val="20"/>
              </w:rPr>
              <w:t>96.74</w:t>
            </w:r>
          </w:p>
        </w:tc>
        <w:tc>
          <w:tcPr>
            <w:tcW w:w="1504" w:type="dxa"/>
            <w:shd w:val="clear" w:color="auto" w:fill="auto"/>
            <w:vAlign w:val="center"/>
          </w:tcPr>
          <w:p w:rsidR="00423027" w:rsidRPr="003458B1" w:rsidRDefault="00423027" w:rsidP="00380FF9">
            <w:pPr>
              <w:jc w:val="center"/>
              <w:rPr>
                <w:rFonts w:cs="Calibri"/>
                <w:color w:val="000000"/>
                <w:sz w:val="20"/>
                <w:szCs w:val="20"/>
              </w:rPr>
            </w:pPr>
            <w:r w:rsidRPr="003458B1">
              <w:rPr>
                <w:rFonts w:cs="Calibri"/>
                <w:color w:val="000000"/>
                <w:sz w:val="20"/>
                <w:szCs w:val="20"/>
              </w:rPr>
              <w:t>Site inspection, file review, metering</w:t>
            </w:r>
          </w:p>
        </w:tc>
        <w:tc>
          <w:tcPr>
            <w:tcW w:w="1234" w:type="dxa"/>
            <w:shd w:val="clear" w:color="auto" w:fill="auto"/>
            <w:vAlign w:val="center"/>
          </w:tcPr>
          <w:p w:rsidR="00423027" w:rsidRPr="003458B1" w:rsidRDefault="00423027" w:rsidP="00380FF9">
            <w:pPr>
              <w:jc w:val="center"/>
              <w:rPr>
                <w:sz w:val="20"/>
                <w:szCs w:val="20"/>
              </w:rPr>
            </w:pPr>
            <w:r w:rsidRPr="003458B1">
              <w:rPr>
                <w:sz w:val="20"/>
                <w:szCs w:val="20"/>
              </w:rPr>
              <w:t>Option A</w:t>
            </w:r>
          </w:p>
        </w:tc>
      </w:tr>
      <w:tr w:rsidR="00A874AC" w:rsidRPr="003458B1" w:rsidTr="005C3E63">
        <w:trPr>
          <w:trHeight w:val="977"/>
        </w:trPr>
        <w:tc>
          <w:tcPr>
            <w:tcW w:w="2083" w:type="dxa"/>
            <w:shd w:val="clear" w:color="auto" w:fill="D2EAF1"/>
            <w:vAlign w:val="center"/>
          </w:tcPr>
          <w:p w:rsidR="00423027" w:rsidRPr="003458B1" w:rsidRDefault="00423027" w:rsidP="00380FF9">
            <w:pPr>
              <w:jc w:val="left"/>
              <w:rPr>
                <w:sz w:val="20"/>
                <w:szCs w:val="20"/>
              </w:rPr>
            </w:pPr>
            <w:r>
              <w:rPr>
                <w:sz w:val="20"/>
                <w:szCs w:val="20"/>
              </w:rPr>
              <w:t>Industrial – m</w:t>
            </w:r>
            <w:r w:rsidRPr="003458B1">
              <w:rPr>
                <w:sz w:val="20"/>
                <w:szCs w:val="20"/>
              </w:rPr>
              <w:t>edium</w:t>
            </w:r>
          </w:p>
        </w:tc>
        <w:tc>
          <w:tcPr>
            <w:tcW w:w="1956" w:type="dxa"/>
            <w:shd w:val="clear" w:color="auto" w:fill="D2EAF1"/>
            <w:vAlign w:val="center"/>
          </w:tcPr>
          <w:p w:rsidR="00423027" w:rsidRPr="003458B1" w:rsidRDefault="00423027" w:rsidP="00380FF9">
            <w:pPr>
              <w:jc w:val="center"/>
              <w:rPr>
                <w:sz w:val="20"/>
                <w:szCs w:val="20"/>
              </w:rPr>
            </w:pPr>
            <w:r w:rsidRPr="003458B1">
              <w:rPr>
                <w:sz w:val="20"/>
                <w:szCs w:val="20"/>
              </w:rPr>
              <w:t>1737650740.23.01</w:t>
            </w:r>
          </w:p>
        </w:tc>
        <w:tc>
          <w:tcPr>
            <w:tcW w:w="1291" w:type="dxa"/>
            <w:shd w:val="clear" w:color="auto" w:fill="D2EAF1"/>
            <w:vAlign w:val="center"/>
          </w:tcPr>
          <w:p w:rsidR="00423027" w:rsidRPr="003458B1" w:rsidRDefault="00423027" w:rsidP="00380FF9">
            <w:pPr>
              <w:jc w:val="center"/>
              <w:rPr>
                <w:sz w:val="20"/>
                <w:szCs w:val="20"/>
              </w:rPr>
            </w:pPr>
            <w:r w:rsidRPr="003458B1">
              <w:rPr>
                <w:sz w:val="20"/>
                <w:szCs w:val="20"/>
              </w:rPr>
              <w:t>121,262</w:t>
            </w:r>
          </w:p>
        </w:tc>
        <w:tc>
          <w:tcPr>
            <w:tcW w:w="1287" w:type="dxa"/>
            <w:shd w:val="clear" w:color="auto" w:fill="D2EAF1"/>
            <w:vAlign w:val="center"/>
          </w:tcPr>
          <w:p w:rsidR="00423027" w:rsidRPr="003458B1" w:rsidRDefault="00423027" w:rsidP="00380FF9">
            <w:pPr>
              <w:jc w:val="center"/>
              <w:rPr>
                <w:sz w:val="20"/>
                <w:szCs w:val="20"/>
              </w:rPr>
            </w:pPr>
            <w:r w:rsidRPr="003458B1">
              <w:rPr>
                <w:sz w:val="20"/>
                <w:szCs w:val="20"/>
              </w:rPr>
              <w:t>14.15</w:t>
            </w:r>
          </w:p>
        </w:tc>
        <w:tc>
          <w:tcPr>
            <w:tcW w:w="1504" w:type="dxa"/>
            <w:shd w:val="clear" w:color="auto" w:fill="D2EAF1"/>
            <w:vAlign w:val="center"/>
          </w:tcPr>
          <w:p w:rsidR="00423027" w:rsidRPr="003458B1" w:rsidRDefault="00423027" w:rsidP="00380FF9">
            <w:pPr>
              <w:jc w:val="center"/>
              <w:rPr>
                <w:rFonts w:cs="Calibri"/>
                <w:color w:val="000000"/>
                <w:sz w:val="20"/>
                <w:szCs w:val="20"/>
              </w:rPr>
            </w:pPr>
            <w:r w:rsidRPr="003458B1">
              <w:rPr>
                <w:rFonts w:cs="Calibri"/>
                <w:color w:val="000000"/>
                <w:sz w:val="20"/>
                <w:szCs w:val="20"/>
              </w:rPr>
              <w:t>Site inspection, file review, analysis of trending data</w:t>
            </w:r>
          </w:p>
        </w:tc>
        <w:tc>
          <w:tcPr>
            <w:tcW w:w="1234" w:type="dxa"/>
            <w:shd w:val="clear" w:color="auto" w:fill="D2EAF1"/>
            <w:vAlign w:val="center"/>
          </w:tcPr>
          <w:p w:rsidR="00423027" w:rsidRPr="003458B1" w:rsidRDefault="00423027" w:rsidP="00380FF9">
            <w:pPr>
              <w:jc w:val="center"/>
              <w:rPr>
                <w:sz w:val="20"/>
                <w:szCs w:val="20"/>
              </w:rPr>
            </w:pPr>
            <w:r w:rsidRPr="003458B1">
              <w:rPr>
                <w:sz w:val="20"/>
                <w:szCs w:val="20"/>
              </w:rPr>
              <w:t>Option A</w:t>
            </w:r>
          </w:p>
        </w:tc>
      </w:tr>
      <w:tr w:rsidR="00E7173E" w:rsidRPr="003458B1" w:rsidTr="005C3E63">
        <w:trPr>
          <w:trHeight w:val="977"/>
        </w:trPr>
        <w:tc>
          <w:tcPr>
            <w:tcW w:w="2083" w:type="dxa"/>
            <w:shd w:val="clear" w:color="auto" w:fill="auto"/>
            <w:vAlign w:val="center"/>
          </w:tcPr>
          <w:p w:rsidR="00423027" w:rsidRPr="003458B1" w:rsidRDefault="00423027" w:rsidP="00380FF9">
            <w:pPr>
              <w:jc w:val="left"/>
              <w:rPr>
                <w:sz w:val="20"/>
                <w:szCs w:val="20"/>
              </w:rPr>
            </w:pPr>
            <w:r>
              <w:rPr>
                <w:sz w:val="20"/>
                <w:szCs w:val="20"/>
              </w:rPr>
              <w:t>Commercial – s</w:t>
            </w:r>
            <w:r w:rsidRPr="003458B1">
              <w:rPr>
                <w:sz w:val="20"/>
                <w:szCs w:val="20"/>
              </w:rPr>
              <w:t>mall</w:t>
            </w:r>
          </w:p>
        </w:tc>
        <w:tc>
          <w:tcPr>
            <w:tcW w:w="1956" w:type="dxa"/>
            <w:shd w:val="clear" w:color="auto" w:fill="auto"/>
            <w:vAlign w:val="center"/>
          </w:tcPr>
          <w:p w:rsidR="00423027" w:rsidRPr="003458B1" w:rsidRDefault="00423027" w:rsidP="00380FF9">
            <w:pPr>
              <w:jc w:val="center"/>
              <w:rPr>
                <w:sz w:val="20"/>
                <w:szCs w:val="20"/>
              </w:rPr>
            </w:pPr>
            <w:r w:rsidRPr="003458B1">
              <w:rPr>
                <w:sz w:val="20"/>
                <w:szCs w:val="20"/>
              </w:rPr>
              <w:t>3000672792.17.01</w:t>
            </w:r>
          </w:p>
        </w:tc>
        <w:tc>
          <w:tcPr>
            <w:tcW w:w="1291" w:type="dxa"/>
            <w:shd w:val="clear" w:color="auto" w:fill="auto"/>
            <w:vAlign w:val="center"/>
          </w:tcPr>
          <w:p w:rsidR="00423027" w:rsidRPr="003458B1" w:rsidRDefault="00423027" w:rsidP="00380FF9">
            <w:pPr>
              <w:jc w:val="center"/>
              <w:rPr>
                <w:sz w:val="20"/>
                <w:szCs w:val="20"/>
              </w:rPr>
            </w:pPr>
            <w:r w:rsidRPr="003458B1">
              <w:rPr>
                <w:sz w:val="20"/>
                <w:szCs w:val="20"/>
              </w:rPr>
              <w:t>48,819</w:t>
            </w:r>
          </w:p>
        </w:tc>
        <w:tc>
          <w:tcPr>
            <w:tcW w:w="1287" w:type="dxa"/>
            <w:shd w:val="clear" w:color="auto" w:fill="auto"/>
            <w:vAlign w:val="center"/>
          </w:tcPr>
          <w:p w:rsidR="00423027" w:rsidRPr="003458B1" w:rsidRDefault="00423027" w:rsidP="00380FF9">
            <w:pPr>
              <w:jc w:val="center"/>
              <w:rPr>
                <w:sz w:val="20"/>
                <w:szCs w:val="20"/>
              </w:rPr>
            </w:pPr>
            <w:r w:rsidRPr="003458B1">
              <w:rPr>
                <w:sz w:val="20"/>
                <w:szCs w:val="20"/>
              </w:rPr>
              <w:t>6.21</w:t>
            </w:r>
          </w:p>
        </w:tc>
        <w:tc>
          <w:tcPr>
            <w:tcW w:w="1504" w:type="dxa"/>
            <w:shd w:val="clear" w:color="auto" w:fill="auto"/>
            <w:vAlign w:val="center"/>
          </w:tcPr>
          <w:p w:rsidR="00423027" w:rsidRPr="003458B1" w:rsidRDefault="00423027" w:rsidP="00380FF9">
            <w:pPr>
              <w:jc w:val="center"/>
              <w:rPr>
                <w:rFonts w:cs="Calibri"/>
                <w:color w:val="000000"/>
                <w:sz w:val="20"/>
                <w:szCs w:val="20"/>
              </w:rPr>
            </w:pPr>
            <w:r w:rsidRPr="003458B1">
              <w:rPr>
                <w:rFonts w:cs="Calibri"/>
                <w:color w:val="000000"/>
                <w:sz w:val="20"/>
                <w:szCs w:val="20"/>
              </w:rPr>
              <w:t>Site inspection, file review</w:t>
            </w:r>
          </w:p>
        </w:tc>
        <w:tc>
          <w:tcPr>
            <w:tcW w:w="1234" w:type="dxa"/>
            <w:shd w:val="clear" w:color="auto" w:fill="auto"/>
            <w:vAlign w:val="center"/>
          </w:tcPr>
          <w:p w:rsidR="00423027" w:rsidRPr="003458B1" w:rsidRDefault="00423027" w:rsidP="00380FF9">
            <w:pPr>
              <w:jc w:val="center"/>
              <w:rPr>
                <w:sz w:val="20"/>
                <w:szCs w:val="20"/>
              </w:rPr>
            </w:pPr>
            <w:r w:rsidRPr="003458B1">
              <w:rPr>
                <w:sz w:val="20"/>
                <w:szCs w:val="20"/>
              </w:rPr>
              <w:t>Option A</w:t>
            </w:r>
          </w:p>
        </w:tc>
      </w:tr>
      <w:tr w:rsidR="00A874AC" w:rsidRPr="003458B1" w:rsidTr="005C3E63">
        <w:trPr>
          <w:trHeight w:val="977"/>
        </w:trPr>
        <w:tc>
          <w:tcPr>
            <w:tcW w:w="2083" w:type="dxa"/>
            <w:shd w:val="clear" w:color="auto" w:fill="D2EAF1"/>
            <w:vAlign w:val="center"/>
          </w:tcPr>
          <w:p w:rsidR="00423027" w:rsidRPr="003458B1" w:rsidRDefault="00423027" w:rsidP="00380FF9">
            <w:pPr>
              <w:jc w:val="left"/>
              <w:rPr>
                <w:sz w:val="20"/>
                <w:szCs w:val="20"/>
              </w:rPr>
            </w:pPr>
            <w:r w:rsidRPr="003458B1">
              <w:rPr>
                <w:sz w:val="20"/>
                <w:szCs w:val="20"/>
              </w:rPr>
              <w:t>Commercial – GNI</w:t>
            </w:r>
          </w:p>
        </w:tc>
        <w:tc>
          <w:tcPr>
            <w:tcW w:w="1956" w:type="dxa"/>
            <w:shd w:val="clear" w:color="auto" w:fill="D2EAF1"/>
            <w:vAlign w:val="center"/>
          </w:tcPr>
          <w:p w:rsidR="00423027" w:rsidRPr="003458B1" w:rsidRDefault="00423027" w:rsidP="00380FF9">
            <w:pPr>
              <w:jc w:val="center"/>
              <w:rPr>
                <w:sz w:val="20"/>
                <w:szCs w:val="20"/>
              </w:rPr>
            </w:pPr>
            <w:r w:rsidRPr="003458B1">
              <w:rPr>
                <w:sz w:val="20"/>
                <w:szCs w:val="20"/>
              </w:rPr>
              <w:t>4493770854.21.01</w:t>
            </w:r>
          </w:p>
        </w:tc>
        <w:tc>
          <w:tcPr>
            <w:tcW w:w="1291" w:type="dxa"/>
            <w:shd w:val="clear" w:color="auto" w:fill="D2EAF1"/>
            <w:vAlign w:val="center"/>
          </w:tcPr>
          <w:p w:rsidR="00423027" w:rsidRPr="003458B1" w:rsidRDefault="00423027" w:rsidP="00380FF9">
            <w:pPr>
              <w:jc w:val="center"/>
              <w:rPr>
                <w:sz w:val="20"/>
                <w:szCs w:val="20"/>
              </w:rPr>
            </w:pPr>
            <w:r w:rsidRPr="003458B1">
              <w:rPr>
                <w:sz w:val="20"/>
                <w:szCs w:val="20"/>
              </w:rPr>
              <w:t>1,915,267</w:t>
            </w:r>
          </w:p>
        </w:tc>
        <w:tc>
          <w:tcPr>
            <w:tcW w:w="1287" w:type="dxa"/>
            <w:shd w:val="clear" w:color="auto" w:fill="D2EAF1"/>
            <w:vAlign w:val="center"/>
          </w:tcPr>
          <w:p w:rsidR="00423027" w:rsidRPr="003458B1" w:rsidRDefault="00423027" w:rsidP="00380FF9">
            <w:pPr>
              <w:jc w:val="center"/>
              <w:rPr>
                <w:sz w:val="20"/>
                <w:szCs w:val="20"/>
              </w:rPr>
            </w:pPr>
            <w:r w:rsidRPr="003458B1">
              <w:rPr>
                <w:sz w:val="20"/>
                <w:szCs w:val="20"/>
              </w:rPr>
              <w:t>0.00</w:t>
            </w:r>
          </w:p>
        </w:tc>
        <w:tc>
          <w:tcPr>
            <w:tcW w:w="1504" w:type="dxa"/>
            <w:shd w:val="clear" w:color="auto" w:fill="D2EAF1"/>
            <w:vAlign w:val="center"/>
          </w:tcPr>
          <w:p w:rsidR="00423027" w:rsidRPr="003458B1" w:rsidRDefault="00423027" w:rsidP="00380FF9">
            <w:pPr>
              <w:jc w:val="center"/>
              <w:rPr>
                <w:rFonts w:cs="Calibri"/>
                <w:color w:val="000000"/>
                <w:sz w:val="20"/>
                <w:szCs w:val="20"/>
              </w:rPr>
            </w:pPr>
            <w:r w:rsidRPr="003458B1">
              <w:rPr>
                <w:rFonts w:cs="Calibri"/>
                <w:color w:val="000000"/>
                <w:sz w:val="20"/>
                <w:szCs w:val="20"/>
              </w:rPr>
              <w:t>Site inspection, file review, analysis of trending data</w:t>
            </w:r>
          </w:p>
        </w:tc>
        <w:tc>
          <w:tcPr>
            <w:tcW w:w="1234" w:type="dxa"/>
            <w:shd w:val="clear" w:color="auto" w:fill="D2EAF1"/>
            <w:vAlign w:val="center"/>
          </w:tcPr>
          <w:p w:rsidR="00423027" w:rsidRPr="003458B1" w:rsidRDefault="00423027" w:rsidP="00030A16">
            <w:pPr>
              <w:jc w:val="center"/>
              <w:rPr>
                <w:sz w:val="20"/>
                <w:szCs w:val="20"/>
              </w:rPr>
            </w:pPr>
            <w:r w:rsidRPr="003458B1">
              <w:rPr>
                <w:sz w:val="20"/>
                <w:szCs w:val="20"/>
              </w:rPr>
              <w:t xml:space="preserve">Option </w:t>
            </w:r>
            <w:r w:rsidR="00030A16">
              <w:rPr>
                <w:sz w:val="20"/>
                <w:szCs w:val="20"/>
              </w:rPr>
              <w:t>B and C</w:t>
            </w:r>
          </w:p>
        </w:tc>
      </w:tr>
      <w:tr w:rsidR="00E7173E" w:rsidRPr="003458B1" w:rsidTr="005C3E63">
        <w:trPr>
          <w:trHeight w:val="977"/>
        </w:trPr>
        <w:tc>
          <w:tcPr>
            <w:tcW w:w="2083" w:type="dxa"/>
            <w:shd w:val="clear" w:color="auto" w:fill="auto"/>
            <w:vAlign w:val="center"/>
          </w:tcPr>
          <w:p w:rsidR="00423027" w:rsidRPr="003458B1" w:rsidRDefault="00423027" w:rsidP="00380FF9">
            <w:pPr>
              <w:jc w:val="left"/>
              <w:rPr>
                <w:sz w:val="20"/>
                <w:szCs w:val="20"/>
              </w:rPr>
            </w:pPr>
            <w:r>
              <w:rPr>
                <w:sz w:val="20"/>
                <w:szCs w:val="20"/>
              </w:rPr>
              <w:t>Commercial –</w:t>
            </w:r>
            <w:r w:rsidRPr="003458B1">
              <w:rPr>
                <w:sz w:val="20"/>
                <w:szCs w:val="20"/>
              </w:rPr>
              <w:t xml:space="preserve"> </w:t>
            </w:r>
            <w:r>
              <w:rPr>
                <w:sz w:val="20"/>
                <w:szCs w:val="20"/>
              </w:rPr>
              <w:t>m</w:t>
            </w:r>
            <w:r w:rsidRPr="003458B1">
              <w:rPr>
                <w:sz w:val="20"/>
                <w:szCs w:val="20"/>
              </w:rPr>
              <w:t>ultifamily</w:t>
            </w:r>
          </w:p>
        </w:tc>
        <w:tc>
          <w:tcPr>
            <w:tcW w:w="1956" w:type="dxa"/>
            <w:shd w:val="clear" w:color="auto" w:fill="auto"/>
            <w:vAlign w:val="center"/>
          </w:tcPr>
          <w:p w:rsidR="00423027" w:rsidRPr="003458B1" w:rsidRDefault="00423027" w:rsidP="00380FF9">
            <w:pPr>
              <w:jc w:val="center"/>
              <w:rPr>
                <w:sz w:val="20"/>
                <w:szCs w:val="20"/>
              </w:rPr>
            </w:pPr>
            <w:r w:rsidRPr="003458B1">
              <w:rPr>
                <w:sz w:val="20"/>
                <w:szCs w:val="20"/>
              </w:rPr>
              <w:t>9805860054.51.01</w:t>
            </w:r>
          </w:p>
        </w:tc>
        <w:tc>
          <w:tcPr>
            <w:tcW w:w="1291" w:type="dxa"/>
            <w:shd w:val="clear" w:color="auto" w:fill="auto"/>
            <w:vAlign w:val="center"/>
          </w:tcPr>
          <w:p w:rsidR="00423027" w:rsidRPr="003458B1" w:rsidRDefault="00423027" w:rsidP="00380FF9">
            <w:pPr>
              <w:jc w:val="center"/>
              <w:rPr>
                <w:sz w:val="20"/>
                <w:szCs w:val="20"/>
              </w:rPr>
            </w:pPr>
            <w:r w:rsidRPr="003458B1">
              <w:rPr>
                <w:sz w:val="20"/>
                <w:szCs w:val="20"/>
              </w:rPr>
              <w:t>19,631</w:t>
            </w:r>
          </w:p>
        </w:tc>
        <w:tc>
          <w:tcPr>
            <w:tcW w:w="1287" w:type="dxa"/>
            <w:shd w:val="clear" w:color="auto" w:fill="auto"/>
            <w:vAlign w:val="center"/>
          </w:tcPr>
          <w:p w:rsidR="00423027" w:rsidRPr="003458B1" w:rsidRDefault="00423027" w:rsidP="00380FF9">
            <w:pPr>
              <w:jc w:val="center"/>
              <w:rPr>
                <w:sz w:val="20"/>
                <w:szCs w:val="20"/>
              </w:rPr>
            </w:pPr>
            <w:r w:rsidRPr="003458B1">
              <w:rPr>
                <w:sz w:val="20"/>
                <w:szCs w:val="20"/>
              </w:rPr>
              <w:t>1.87</w:t>
            </w:r>
          </w:p>
        </w:tc>
        <w:tc>
          <w:tcPr>
            <w:tcW w:w="1504" w:type="dxa"/>
            <w:shd w:val="clear" w:color="auto" w:fill="auto"/>
            <w:vAlign w:val="center"/>
          </w:tcPr>
          <w:p w:rsidR="00423027" w:rsidRPr="003458B1" w:rsidRDefault="00423027" w:rsidP="00380FF9">
            <w:pPr>
              <w:jc w:val="center"/>
              <w:rPr>
                <w:rFonts w:cs="Calibri"/>
                <w:color w:val="000000"/>
                <w:sz w:val="20"/>
                <w:szCs w:val="20"/>
              </w:rPr>
            </w:pPr>
            <w:r w:rsidRPr="003458B1">
              <w:rPr>
                <w:rFonts w:cs="Calibri"/>
                <w:color w:val="000000"/>
                <w:sz w:val="20"/>
                <w:szCs w:val="20"/>
              </w:rPr>
              <w:t>Site inspection, file review</w:t>
            </w:r>
          </w:p>
        </w:tc>
        <w:tc>
          <w:tcPr>
            <w:tcW w:w="1234" w:type="dxa"/>
            <w:shd w:val="clear" w:color="auto" w:fill="auto"/>
            <w:vAlign w:val="center"/>
          </w:tcPr>
          <w:p w:rsidR="00423027" w:rsidRPr="003458B1" w:rsidRDefault="00423027" w:rsidP="00380FF9">
            <w:pPr>
              <w:jc w:val="center"/>
              <w:rPr>
                <w:sz w:val="20"/>
                <w:szCs w:val="20"/>
              </w:rPr>
            </w:pPr>
            <w:r w:rsidRPr="003458B1">
              <w:rPr>
                <w:sz w:val="20"/>
                <w:szCs w:val="20"/>
              </w:rPr>
              <w:t>Option A</w:t>
            </w:r>
          </w:p>
        </w:tc>
      </w:tr>
    </w:tbl>
    <w:p w:rsidR="00423027" w:rsidRPr="003458B1" w:rsidRDefault="00423027" w:rsidP="00423027">
      <w:pPr>
        <w:rPr>
          <w:color w:val="000000"/>
        </w:rPr>
      </w:pPr>
    </w:p>
    <w:p w:rsidR="00423027" w:rsidRPr="003458B1" w:rsidRDefault="00423027" w:rsidP="00423027">
      <w:pPr>
        <w:rPr>
          <w:color w:val="000000"/>
        </w:rPr>
      </w:pPr>
      <w:r w:rsidRPr="003458B1">
        <w:rPr>
          <w:color w:val="000000"/>
        </w:rPr>
        <w:t xml:space="preserve">Project 2111340135.20.01 generated 546,945 kWh in energy savings and 88.87kW in demand savings. The project involved a lighting retrofit where 1,819 fixtures were replaced with LEDs in a </w:t>
      </w:r>
      <w:r w:rsidR="00030A16">
        <w:rPr>
          <w:color w:val="000000"/>
        </w:rPr>
        <w:t xml:space="preserve">hotel. </w:t>
      </w:r>
      <w:r w:rsidRPr="003458B1">
        <w:rPr>
          <w:color w:val="000000"/>
        </w:rPr>
        <w:t>Navigant performed on-site verification of the installed equipment quantities, locations, and controls schedules. Metering was required as savings were greater than 500,000 kWh, so light loggers were deployed. Navigant used the metered HOU and CF values and provided a completed Appendix C Lighting calculator. The lower verified savings values (kWh</w:t>
      </w:r>
      <w:r w:rsidR="00C21C45">
        <w:rPr>
          <w:color w:val="000000"/>
        </w:rPr>
        <w:t xml:space="preserve"> realization rate</w:t>
      </w:r>
      <w:r w:rsidRPr="003458B1">
        <w:rPr>
          <w:color w:val="000000"/>
        </w:rPr>
        <w:t xml:space="preserve"> of 87%) resulted primarily from Navigant’s use of metered HOU. The high k</w:t>
      </w:r>
      <w:r w:rsidR="00C21C45">
        <w:rPr>
          <w:color w:val="000000"/>
        </w:rPr>
        <w:t>W realization rate was due to an</w:t>
      </w:r>
      <w:r w:rsidRPr="003458B1">
        <w:rPr>
          <w:color w:val="000000"/>
        </w:rPr>
        <w:t xml:space="preserve"> incorrect, low ex</w:t>
      </w:r>
      <w:r>
        <w:rPr>
          <w:color w:val="000000"/>
        </w:rPr>
        <w:t xml:space="preserve"> </w:t>
      </w:r>
      <w:r w:rsidRPr="003458B1">
        <w:rPr>
          <w:color w:val="000000"/>
        </w:rPr>
        <w:t xml:space="preserve">ante value listed in the tracking system. </w:t>
      </w:r>
    </w:p>
    <w:p w:rsidR="00423027" w:rsidRPr="003458B1" w:rsidRDefault="00423027" w:rsidP="00423027">
      <w:pPr>
        <w:rPr>
          <w:color w:val="000000"/>
        </w:rPr>
      </w:pPr>
    </w:p>
    <w:p w:rsidR="00423027" w:rsidRPr="003458B1" w:rsidRDefault="00423027" w:rsidP="00423027">
      <w:r w:rsidRPr="003458B1">
        <w:t xml:space="preserve">Project number 6058860790.23.01 involved a new construction lighting project wherein 1,218 LEDs and 619 occupancy sensors were installed in a refrigerated warehouse. The </w:t>
      </w:r>
      <w:r>
        <w:t>s</w:t>
      </w:r>
      <w:r w:rsidRPr="003458B1">
        <w:t>pace-by-</w:t>
      </w:r>
      <w:r>
        <w:t>s</w:t>
      </w:r>
      <w:r w:rsidRPr="003458B1">
        <w:t xml:space="preserve">pace </w:t>
      </w:r>
      <w:r>
        <w:t>m</w:t>
      </w:r>
      <w:r w:rsidRPr="003458B1">
        <w:t xml:space="preserve">ethod was used to determine the minimum lighting power density for the baseline. Metering was performed since the expected savings were </w:t>
      </w:r>
      <w:r>
        <w:t xml:space="preserve">greater than </w:t>
      </w:r>
      <w:r w:rsidRPr="003458B1">
        <w:t>500,000 kWh</w:t>
      </w:r>
      <w:r w:rsidR="00C21C45">
        <w:t>,</w:t>
      </w:r>
      <w:r w:rsidRPr="003458B1">
        <w:t xml:space="preserve"> in order to determine HOU for the fixtures. The </w:t>
      </w:r>
      <w:r w:rsidRPr="003458B1">
        <w:lastRenderedPageBreak/>
        <w:t>reported fixture wattages and configurations were installed as reported. The kWh and kW realization rates of 103% and 118%, respectively, were due to a different savings factor determined through metering as well as a small error in the tracking database.</w:t>
      </w:r>
    </w:p>
    <w:p w:rsidR="00423027" w:rsidRPr="003458B1" w:rsidRDefault="00423027" w:rsidP="00423027"/>
    <w:p w:rsidR="00423027" w:rsidRPr="003458B1" w:rsidRDefault="00423027" w:rsidP="00423027">
      <w:r w:rsidRPr="003458B1">
        <w:t xml:space="preserve">Project number 1737650740.23.01 involved compressed air leak remediation as well as the installation of </w:t>
      </w:r>
      <w:r>
        <w:t>four</w:t>
      </w:r>
      <w:r w:rsidRPr="003458B1">
        <w:t xml:space="preserve"> no-loss condensate drains an industrial facility. In attempting to schedule a site visit for the project, Navigant discovered that the factory had been shut down.</w:t>
      </w:r>
    </w:p>
    <w:p w:rsidR="00423027" w:rsidRPr="003458B1" w:rsidRDefault="00423027" w:rsidP="00423027"/>
    <w:p w:rsidR="00423027" w:rsidRPr="003458B1" w:rsidRDefault="00423027" w:rsidP="00423027">
      <w:r w:rsidRPr="003458B1">
        <w:t xml:space="preserve">Project number 3000672792.17.01 involved </w:t>
      </w:r>
      <w:r>
        <w:t xml:space="preserve">a </w:t>
      </w:r>
      <w:r w:rsidRPr="003458B1">
        <w:t xml:space="preserve">lighting retrofit project wherein 118 fixtures were retrofitted with LEDs at a gas station. </w:t>
      </w:r>
      <w:r w:rsidRPr="003458B1">
        <w:rPr>
          <w:color w:val="000000"/>
        </w:rPr>
        <w:t>Karpinski performed on-site verification of the installed equipment quantities, locations, and controls schedules.</w:t>
      </w:r>
      <w:r w:rsidRPr="003458B1">
        <w:t xml:space="preserve"> All fixtures were confirmed to have 8</w:t>
      </w:r>
      <w:r>
        <w:t>,</w:t>
      </w:r>
      <w:r w:rsidRPr="003458B1">
        <w:t>760 hours of operation. No values of kWh and kW were changed, resulting in realization rates of 100%.</w:t>
      </w:r>
    </w:p>
    <w:p w:rsidR="00423027" w:rsidRPr="003458B1" w:rsidRDefault="00423027" w:rsidP="00423027"/>
    <w:p w:rsidR="00423027" w:rsidRPr="003458B1" w:rsidRDefault="00423027" w:rsidP="00423027">
      <w:r w:rsidRPr="003458B1">
        <w:t xml:space="preserve">Project number 4493770854.21.01 involved retro-commissioning </w:t>
      </w:r>
      <w:r w:rsidR="00A30D34">
        <w:t>the HVAC system at a hospital</w:t>
      </w:r>
      <w:r w:rsidRPr="003458B1">
        <w:t>. The project included economizer optimization, controls upgrades, chiller plant optimization, chilled water temp</w:t>
      </w:r>
      <w:r>
        <w:t>erature</w:t>
      </w:r>
      <w:r w:rsidRPr="003458B1">
        <w:t xml:space="preserve"> reset, condenser water temp</w:t>
      </w:r>
      <w:r>
        <w:t>erature</w:t>
      </w:r>
      <w:r w:rsidRPr="003458B1">
        <w:t xml:space="preserve"> reset, and VFD installation. The evaluation contractor verified correct operation of all retro-commissioning measures. The SWE agrees with the analysis and level of rigor.</w:t>
      </w:r>
    </w:p>
    <w:p w:rsidR="00423027" w:rsidRPr="003458B1" w:rsidRDefault="00423027" w:rsidP="00423027"/>
    <w:p w:rsidR="00423027" w:rsidRPr="003458B1" w:rsidRDefault="00423027" w:rsidP="00423027">
      <w:r w:rsidRPr="003458B1">
        <w:t>Project number 9805860054.51.01 involved interior and exterior lighting retrofit at a multifamily building. Following the site verification visit, Navigant used the TRM Appendix C tool to calculate an updated ex post savings estimate. The SWE agrees with the analysis and level of rigor, except the kWh value listed in the calculator (19,631 kWh) doesn’t match the ex</w:t>
      </w:r>
      <w:r>
        <w:t xml:space="preserve"> </w:t>
      </w:r>
      <w:r w:rsidRPr="003458B1">
        <w:t>post value presented in the project report (19,822 kWh). This is less than a 1% difference, so no correction is necessary.</w:t>
      </w:r>
    </w:p>
    <w:p w:rsidR="00423027" w:rsidRPr="00423027" w:rsidRDefault="00423027" w:rsidP="00423027"/>
    <w:p w:rsidR="00950837" w:rsidRDefault="00950837" w:rsidP="00E37A0C">
      <w:pPr>
        <w:pStyle w:val="AppendixAHeading3"/>
      </w:pPr>
      <w:r>
        <w:t>Net-to-Gross and Process Evaluation Audit Summary</w:t>
      </w:r>
    </w:p>
    <w:p w:rsidR="00450725" w:rsidRPr="00661E10" w:rsidRDefault="00450725" w:rsidP="00450725">
      <w:r w:rsidRPr="00661E10">
        <w:t xml:space="preserve">The SWE Team’s audit included a review of the process evaluation methods, findings, conclusions, and recommendations in the PY7 annual report to determine whether they were consistent with the reporting template provided by the SWE. The SWE Team’s audit of the process reports also included a review of process-related methods and research activities to determine whether they were consistent with the approved evaluation plan, and a review of the linkage between findings, conclusions, and recommendations. </w:t>
      </w:r>
    </w:p>
    <w:p w:rsidR="00450725" w:rsidRPr="00661E10" w:rsidRDefault="00450725" w:rsidP="00450725">
      <w:pPr>
        <w:rPr>
          <w:shd w:val="clear" w:color="auto" w:fill="D9D9D9"/>
        </w:rPr>
      </w:pPr>
    </w:p>
    <w:p w:rsidR="00450725" w:rsidRPr="00661E10" w:rsidRDefault="00450725" w:rsidP="00450725">
      <w:r w:rsidRPr="00661E10">
        <w:t>Overall, the process evaluations appeared to be consistent with the evaluation plan. The sampling approaches for the process evaluation activities were appropriate. The participant surveys either attempted a census or used a simple or stratified random sampling approach. Each participant sample achieved at least 85/15 confidence/precision at the program level as per the evaluation plan.</w:t>
      </w:r>
      <w:r w:rsidRPr="00661E10">
        <w:rPr>
          <w:vertAlign w:val="superscript"/>
        </w:rPr>
        <w:footnoteReference w:id="63"/>
      </w:r>
      <w:r w:rsidRPr="00661E10">
        <w:t xml:space="preserve"> For other research activities—the in-depth interviews with program staff, implementers, or other program actors—the sampling was purposive. In a few instances, participants or measures in certain strata were over- or underrepresented in the sample. The </w:t>
      </w:r>
      <w:r>
        <w:t xml:space="preserve">PY7 </w:t>
      </w:r>
      <w:r w:rsidRPr="00661E10">
        <w:t>annual report does not discuss implications of this over- or underrepresentation on reported findings.</w:t>
      </w:r>
    </w:p>
    <w:p w:rsidR="00450725" w:rsidRPr="00661E10" w:rsidRDefault="00450725" w:rsidP="00450725"/>
    <w:p w:rsidR="00450725" w:rsidRPr="00661E10" w:rsidRDefault="00450725" w:rsidP="001C391A">
      <w:pPr>
        <w:spacing w:after="120"/>
      </w:pPr>
      <w:r w:rsidRPr="00661E10">
        <w:t xml:space="preserve">The report provided a comprehensive overview of the process evaluation key findings and recommendations. The SWE Team noted some areas in which the reporting, while following SWE </w:t>
      </w:r>
      <w:r w:rsidRPr="00661E10">
        <w:lastRenderedPageBreak/>
        <w:t>guidelines, could be improved. Such areas included consistently identifying in tables and graphs when multiple responses are allowed, reporting data from scaled responses, and reporting categorized open-ended responses. The SWE Team considered these to be relatively minor issues.</w:t>
      </w:r>
      <w:r w:rsidR="002A78C7">
        <w:t xml:space="preserve"> Details are in Appendix </w:t>
      </w:r>
      <w:r w:rsidR="002A78C7">
        <w:fldChar w:fldCharType="begin"/>
      </w:r>
      <w:r w:rsidR="002A78C7">
        <w:instrText xml:space="preserve"> REF _Ref473273308 \r \h </w:instrText>
      </w:r>
      <w:r w:rsidR="002A78C7">
        <w:fldChar w:fldCharType="separate"/>
      </w:r>
      <w:r w:rsidR="00C301D0">
        <w:t>B.1</w:t>
      </w:r>
      <w:r w:rsidR="002A78C7">
        <w:fldChar w:fldCharType="end"/>
      </w:r>
      <w:r w:rsidR="002A78C7">
        <w:t>.</w:t>
      </w:r>
      <w:r w:rsidRPr="00661E10">
        <w:t xml:space="preserve"> Two items that are discussed in</w:t>
      </w:r>
      <w:r>
        <w:t xml:space="preserve"> the appendix </w:t>
      </w:r>
      <w:r w:rsidRPr="00661E10">
        <w:t>are also worth noting here:</w:t>
      </w:r>
    </w:p>
    <w:p w:rsidR="00450725" w:rsidRPr="00661E10" w:rsidRDefault="00450725" w:rsidP="00E646C9">
      <w:pPr>
        <w:numPr>
          <w:ilvl w:val="0"/>
          <w:numId w:val="67"/>
        </w:numPr>
        <w:ind w:left="360"/>
        <w:contextualSpacing/>
        <w:rPr>
          <w:szCs w:val="20"/>
        </w:rPr>
      </w:pPr>
      <w:r w:rsidRPr="00661E10">
        <w:rPr>
          <w:szCs w:val="20"/>
        </w:rPr>
        <w:t xml:space="preserve">There were limited conclusions and recommendations related to process results even though several programs (WHEAP, HER, and LIEEP) are struggling to meet their savings </w:t>
      </w:r>
      <w:r w:rsidR="000D7316">
        <w:rPr>
          <w:szCs w:val="20"/>
        </w:rPr>
        <w:t>objectives</w:t>
      </w:r>
      <w:r w:rsidRPr="00661E10">
        <w:rPr>
          <w:szCs w:val="20"/>
        </w:rPr>
        <w:t xml:space="preserve">. Additional insights, particularly from participants, into why some of these programs are struggling to meet </w:t>
      </w:r>
      <w:r w:rsidR="000D7316">
        <w:rPr>
          <w:szCs w:val="20"/>
        </w:rPr>
        <w:t>objectives</w:t>
      </w:r>
      <w:r w:rsidR="000D7316" w:rsidRPr="00661E10">
        <w:rPr>
          <w:szCs w:val="20"/>
        </w:rPr>
        <w:t xml:space="preserve"> </w:t>
      </w:r>
      <w:r w:rsidRPr="00661E10">
        <w:rPr>
          <w:szCs w:val="20"/>
        </w:rPr>
        <w:t xml:space="preserve">would be valuable. </w:t>
      </w:r>
    </w:p>
    <w:p w:rsidR="00450725" w:rsidRPr="00661E10" w:rsidRDefault="00450725" w:rsidP="00E646C9">
      <w:pPr>
        <w:numPr>
          <w:ilvl w:val="0"/>
          <w:numId w:val="67"/>
        </w:numPr>
        <w:ind w:left="360"/>
        <w:contextualSpacing/>
        <w:rPr>
          <w:szCs w:val="20"/>
        </w:rPr>
      </w:pPr>
      <w:r w:rsidRPr="00661E10">
        <w:rPr>
          <w:szCs w:val="20"/>
        </w:rPr>
        <w:t xml:space="preserve">When pointing out differences between groups such as a difference between market-rate and low-income respondents, Navigant did not comment on statistical significance. Therefore, in several cases it is not clear whether the differences seen fall within the bounds of what would be expected. </w:t>
      </w:r>
      <w:r w:rsidR="00AD40AC" w:rsidRPr="00AD40AC">
        <w:rPr>
          <w:szCs w:val="20"/>
        </w:rPr>
        <w:t>If sample sizes were not designed to make group comparisons, then Navigant should note that in the report</w:t>
      </w:r>
      <w:r w:rsidR="00AD40AC">
        <w:rPr>
          <w:szCs w:val="20"/>
        </w:rPr>
        <w:t>.</w:t>
      </w:r>
    </w:p>
    <w:p w:rsidR="00450725" w:rsidRPr="00661E10" w:rsidRDefault="00450725" w:rsidP="00450725"/>
    <w:p w:rsidR="00450725" w:rsidRPr="00661E10" w:rsidRDefault="00450725" w:rsidP="00450725">
      <w:r w:rsidRPr="00661E10">
        <w:t>The report documents included a summary of methods and findings, a table of recommendations, and a description of the status of prior recommendations. The report generally included sufficient detail for the SWE Team and others to assess the methods, findings, conclusions, and recommendations.</w:t>
      </w:r>
    </w:p>
    <w:p w:rsidR="00450725" w:rsidRPr="00661E10" w:rsidRDefault="00450725" w:rsidP="00450725"/>
    <w:p w:rsidR="00450725" w:rsidRPr="001C391A" w:rsidRDefault="00450725" w:rsidP="001C391A">
      <w:r w:rsidRPr="001C391A">
        <w:t xml:space="preserve">Detailed summaries of the SWE Team’s review of the process evaluation by program </w:t>
      </w:r>
      <w:r w:rsidR="002A78C7" w:rsidRPr="001C391A">
        <w:t xml:space="preserve">are </w:t>
      </w:r>
      <w:r w:rsidR="00325FB9">
        <w:t xml:space="preserve">contained </w:t>
      </w:r>
      <w:r w:rsidR="002A78C7" w:rsidRPr="001C391A">
        <w:t xml:space="preserve">in Appendix </w:t>
      </w:r>
      <w:r w:rsidR="002A78C7" w:rsidRPr="001C391A">
        <w:fldChar w:fldCharType="begin"/>
      </w:r>
      <w:r w:rsidR="002A78C7" w:rsidRPr="001C391A">
        <w:instrText xml:space="preserve"> REF _Ref473273308 \r \h </w:instrText>
      </w:r>
      <w:r w:rsidR="002A78C7" w:rsidRPr="001C391A">
        <w:fldChar w:fldCharType="separate"/>
      </w:r>
      <w:r w:rsidR="00C301D0">
        <w:t>B.1</w:t>
      </w:r>
      <w:r w:rsidR="002A78C7" w:rsidRPr="001C391A">
        <w:fldChar w:fldCharType="end"/>
      </w:r>
      <w:r w:rsidR="002A78C7" w:rsidRPr="001C391A">
        <w:t>.</w:t>
      </w:r>
    </w:p>
    <w:p w:rsidR="00952607" w:rsidRPr="001C391A" w:rsidRDefault="00952607" w:rsidP="001C391A"/>
    <w:p w:rsidR="00450725" w:rsidRDefault="00823FE0" w:rsidP="00450725">
      <w:r>
        <w:fldChar w:fldCharType="begin"/>
      </w:r>
      <w:r>
        <w:instrText xml:space="preserve"> REF _Ref472471463 \h </w:instrText>
      </w:r>
      <w:r>
        <w:fldChar w:fldCharType="separate"/>
      </w:r>
      <w:r w:rsidR="00A874AC" w:rsidRPr="00823FE0">
        <w:t>Table A-</w:t>
      </w:r>
      <w:r w:rsidR="00A874AC">
        <w:rPr>
          <w:noProof/>
        </w:rPr>
        <w:t>20</w:t>
      </w:r>
      <w:r>
        <w:fldChar w:fldCharType="end"/>
      </w:r>
      <w:r w:rsidR="00450725" w:rsidRPr="006C05B5">
        <w:t xml:space="preserve"> summarizes the results of the SWE Team’s audit of Navigant’s NTG assessment of the Duquesne programs.</w:t>
      </w:r>
    </w:p>
    <w:p w:rsidR="00450725" w:rsidRPr="006C05B5" w:rsidRDefault="00450725" w:rsidP="00450725"/>
    <w:p w:rsidR="00450725" w:rsidRPr="00823FE0" w:rsidRDefault="00823FE0" w:rsidP="00823FE0">
      <w:pPr>
        <w:pStyle w:val="Caption"/>
      </w:pPr>
      <w:bookmarkStart w:id="606" w:name="_Ref472471463"/>
      <w:bookmarkStart w:id="607" w:name="_Toc409225004"/>
      <w:bookmarkStart w:id="608" w:name="_Toc409443556"/>
      <w:bookmarkStart w:id="609" w:name="_Toc444269729"/>
      <w:bookmarkStart w:id="610" w:name="_Toc472472429"/>
      <w:bookmarkStart w:id="611" w:name="_Toc476842135"/>
      <w:r w:rsidRPr="00823FE0">
        <w:t>Table A-</w:t>
      </w:r>
      <w:fldSimple w:instr=" SEQ Table_A- \* ARABIC ">
        <w:r w:rsidR="00C301D0">
          <w:rPr>
            <w:noProof/>
          </w:rPr>
          <w:t>20</w:t>
        </w:r>
      </w:fldSimple>
      <w:bookmarkEnd w:id="606"/>
      <w:r w:rsidRPr="00823FE0">
        <w:t xml:space="preserve">: </w:t>
      </w:r>
      <w:r w:rsidR="00450725" w:rsidRPr="00823FE0">
        <w:t>Summary of SWE Team Review of Duquesne NTG Evaluations</w:t>
      </w:r>
      <w:bookmarkEnd w:id="607"/>
      <w:bookmarkEnd w:id="608"/>
      <w:bookmarkEnd w:id="609"/>
      <w:bookmarkEnd w:id="610"/>
      <w:bookmarkEnd w:id="611"/>
    </w:p>
    <w:tbl>
      <w:tblPr>
        <w:tblW w:w="9337"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4567"/>
        <w:gridCol w:w="4770"/>
      </w:tblGrid>
      <w:tr w:rsidR="00E7173E" w:rsidRPr="006C05B5" w:rsidTr="00DD4CC7">
        <w:trPr>
          <w:trHeight w:val="346"/>
          <w:tblHeader/>
          <w:jc w:val="center"/>
        </w:trPr>
        <w:tc>
          <w:tcPr>
            <w:tcW w:w="4567" w:type="dxa"/>
            <w:shd w:val="clear" w:color="auto" w:fill="448A99"/>
            <w:vAlign w:val="bottom"/>
          </w:tcPr>
          <w:p w:rsidR="00450725" w:rsidRPr="006C05B5" w:rsidRDefault="00450725" w:rsidP="00D900B5">
            <w:pPr>
              <w:rPr>
                <w:b/>
                <w:color w:val="FFFFFF"/>
                <w:sz w:val="20"/>
                <w:szCs w:val="20"/>
              </w:rPr>
            </w:pPr>
            <w:r w:rsidRPr="006C05B5">
              <w:rPr>
                <w:b/>
                <w:color w:val="FFFFFF"/>
                <w:sz w:val="20"/>
                <w:szCs w:val="20"/>
              </w:rPr>
              <w:t>Elements Reviewed in the Duquesne Annual Report</w:t>
            </w:r>
          </w:p>
        </w:tc>
        <w:tc>
          <w:tcPr>
            <w:tcW w:w="4770" w:type="dxa"/>
            <w:shd w:val="clear" w:color="auto" w:fill="448A99"/>
            <w:vAlign w:val="bottom"/>
          </w:tcPr>
          <w:p w:rsidR="00450725" w:rsidRPr="006C05B5" w:rsidRDefault="00450725" w:rsidP="00D900B5">
            <w:pPr>
              <w:jc w:val="center"/>
              <w:rPr>
                <w:b/>
                <w:color w:val="FFFFFF"/>
                <w:sz w:val="20"/>
                <w:szCs w:val="20"/>
              </w:rPr>
            </w:pPr>
            <w:r w:rsidRPr="006C05B5">
              <w:rPr>
                <w:b/>
                <w:color w:val="FFFFFF"/>
                <w:sz w:val="20"/>
                <w:szCs w:val="20"/>
              </w:rPr>
              <w:t>SWE Findings</w:t>
            </w:r>
          </w:p>
        </w:tc>
      </w:tr>
      <w:tr w:rsidR="00E7173E" w:rsidRPr="006C05B5" w:rsidTr="00DD4CC7">
        <w:trPr>
          <w:trHeight w:val="288"/>
          <w:jc w:val="center"/>
        </w:trPr>
        <w:tc>
          <w:tcPr>
            <w:tcW w:w="9337" w:type="dxa"/>
            <w:gridSpan w:val="2"/>
            <w:shd w:val="clear" w:color="auto" w:fill="9C9393"/>
            <w:vAlign w:val="center"/>
          </w:tcPr>
          <w:p w:rsidR="00450725" w:rsidRPr="006C05B5" w:rsidRDefault="00450725" w:rsidP="00D900B5">
            <w:pPr>
              <w:jc w:val="left"/>
              <w:rPr>
                <w:b/>
                <w:color w:val="FFFFFF"/>
                <w:sz w:val="20"/>
                <w:szCs w:val="20"/>
              </w:rPr>
            </w:pPr>
            <w:r w:rsidRPr="006C05B5">
              <w:rPr>
                <w:b/>
                <w:color w:val="FFFFFF"/>
                <w:sz w:val="20"/>
                <w:szCs w:val="20"/>
              </w:rPr>
              <w:t>Use of NTG Common Method or Explanation for Alternate Method</w:t>
            </w:r>
          </w:p>
        </w:tc>
      </w:tr>
      <w:tr w:rsidR="00E7173E" w:rsidRPr="006C05B5" w:rsidTr="00DD4CC7">
        <w:trPr>
          <w:trHeight w:val="346"/>
          <w:jc w:val="center"/>
        </w:trPr>
        <w:tc>
          <w:tcPr>
            <w:tcW w:w="4567" w:type="dxa"/>
            <w:shd w:val="clear" w:color="auto" w:fill="D2EAF1"/>
            <w:vAlign w:val="center"/>
          </w:tcPr>
          <w:p w:rsidR="00450725" w:rsidRPr="006C05B5" w:rsidRDefault="00450725" w:rsidP="00D900B5">
            <w:pPr>
              <w:jc w:val="left"/>
              <w:rPr>
                <w:sz w:val="20"/>
                <w:szCs w:val="20"/>
              </w:rPr>
            </w:pPr>
            <w:r w:rsidRPr="006C05B5">
              <w:rPr>
                <w:sz w:val="20"/>
                <w:szCs w:val="20"/>
              </w:rPr>
              <w:t>Availability of NTG data files and documents</w:t>
            </w:r>
          </w:p>
        </w:tc>
        <w:tc>
          <w:tcPr>
            <w:tcW w:w="4770" w:type="dxa"/>
            <w:shd w:val="clear" w:color="auto" w:fill="D2EAF1"/>
            <w:vAlign w:val="center"/>
          </w:tcPr>
          <w:p w:rsidR="00450725" w:rsidRPr="006C05B5" w:rsidRDefault="00450725" w:rsidP="00D900B5">
            <w:pPr>
              <w:jc w:val="center"/>
              <w:rPr>
                <w:sz w:val="20"/>
                <w:szCs w:val="20"/>
              </w:rPr>
            </w:pPr>
            <w:r w:rsidRPr="006C05B5">
              <w:rPr>
                <w:sz w:val="20"/>
                <w:szCs w:val="20"/>
              </w:rPr>
              <w:t>Yes, with exceptions noted</w:t>
            </w:r>
          </w:p>
        </w:tc>
      </w:tr>
      <w:tr w:rsidR="00E7173E" w:rsidRPr="006C05B5" w:rsidTr="00DD4CC7">
        <w:trPr>
          <w:trHeight w:val="346"/>
          <w:jc w:val="center"/>
        </w:trPr>
        <w:tc>
          <w:tcPr>
            <w:tcW w:w="4567" w:type="dxa"/>
            <w:shd w:val="clear" w:color="auto" w:fill="auto"/>
            <w:vAlign w:val="center"/>
          </w:tcPr>
          <w:p w:rsidR="00450725" w:rsidRPr="006C05B5" w:rsidRDefault="00450725" w:rsidP="00D900B5">
            <w:pPr>
              <w:jc w:val="left"/>
              <w:rPr>
                <w:sz w:val="20"/>
                <w:szCs w:val="20"/>
              </w:rPr>
            </w:pPr>
            <w:r w:rsidRPr="006C05B5">
              <w:rPr>
                <w:sz w:val="20"/>
                <w:szCs w:val="20"/>
              </w:rPr>
              <w:t>NTG method used – the common method or another</w:t>
            </w:r>
          </w:p>
        </w:tc>
        <w:tc>
          <w:tcPr>
            <w:tcW w:w="4770" w:type="dxa"/>
            <w:shd w:val="clear" w:color="auto" w:fill="auto"/>
            <w:vAlign w:val="center"/>
          </w:tcPr>
          <w:p w:rsidR="00450725" w:rsidRPr="006C05B5" w:rsidRDefault="00450725" w:rsidP="00D900B5">
            <w:pPr>
              <w:jc w:val="center"/>
              <w:rPr>
                <w:sz w:val="20"/>
                <w:szCs w:val="20"/>
              </w:rPr>
            </w:pPr>
            <w:r w:rsidRPr="006C05B5">
              <w:rPr>
                <w:sz w:val="20"/>
                <w:szCs w:val="20"/>
              </w:rPr>
              <w:t>Common method, with acceptable modifications</w:t>
            </w:r>
          </w:p>
        </w:tc>
      </w:tr>
      <w:tr w:rsidR="00E7173E" w:rsidRPr="006C05B5" w:rsidTr="00DD4CC7">
        <w:trPr>
          <w:trHeight w:val="346"/>
          <w:jc w:val="center"/>
        </w:trPr>
        <w:tc>
          <w:tcPr>
            <w:tcW w:w="4567" w:type="dxa"/>
            <w:shd w:val="clear" w:color="auto" w:fill="D2EAF1"/>
            <w:vAlign w:val="center"/>
          </w:tcPr>
          <w:p w:rsidR="00450725" w:rsidRPr="006C05B5" w:rsidRDefault="00450725" w:rsidP="00D900B5">
            <w:pPr>
              <w:jc w:val="left"/>
              <w:rPr>
                <w:sz w:val="20"/>
                <w:szCs w:val="20"/>
              </w:rPr>
            </w:pPr>
            <w:r w:rsidRPr="006C05B5">
              <w:rPr>
                <w:sz w:val="20"/>
                <w:szCs w:val="20"/>
              </w:rPr>
              <w:t>NTG common method applied correctly</w:t>
            </w:r>
          </w:p>
        </w:tc>
        <w:tc>
          <w:tcPr>
            <w:tcW w:w="4770" w:type="dxa"/>
            <w:shd w:val="clear" w:color="auto" w:fill="D2EAF1"/>
            <w:vAlign w:val="center"/>
          </w:tcPr>
          <w:p w:rsidR="00450725" w:rsidRPr="006C05B5" w:rsidRDefault="00450725" w:rsidP="00D900B5">
            <w:pPr>
              <w:jc w:val="center"/>
              <w:rPr>
                <w:sz w:val="20"/>
                <w:szCs w:val="20"/>
              </w:rPr>
            </w:pPr>
            <w:r w:rsidRPr="006C05B5">
              <w:rPr>
                <w:sz w:val="20"/>
                <w:szCs w:val="20"/>
              </w:rPr>
              <w:t>Yes</w:t>
            </w:r>
          </w:p>
        </w:tc>
      </w:tr>
    </w:tbl>
    <w:p w:rsidR="00450725" w:rsidRPr="006C05B5" w:rsidRDefault="00450725" w:rsidP="00450725"/>
    <w:p w:rsidR="00450725" w:rsidRPr="006C05B5" w:rsidRDefault="00450725" w:rsidP="00450725">
      <w:pPr>
        <w:rPr>
          <w:highlight w:val="lightGray"/>
        </w:rPr>
      </w:pPr>
      <w:r w:rsidRPr="006C05B5">
        <w:t>The following subsections present detailed discussions of the SWE Team’s NTG audits of Duquesne programs in PY7 and summarize the findings, specifically the audit of NTG reporting and related files. The results are provided for residential, low-income, and non-residential programs.</w:t>
      </w:r>
    </w:p>
    <w:p w:rsidR="00450725" w:rsidRDefault="00450725" w:rsidP="00450725"/>
    <w:p w:rsidR="00450725" w:rsidRPr="006C05B5" w:rsidRDefault="00450725" w:rsidP="00745011">
      <w:pPr>
        <w:pStyle w:val="AppendixAHeading4"/>
      </w:pPr>
      <w:bookmarkStart w:id="612" w:name="_Ref473209494"/>
      <w:r>
        <w:t>Residential Programs</w:t>
      </w:r>
      <w:bookmarkEnd w:id="612"/>
    </w:p>
    <w:p w:rsidR="00450725" w:rsidRPr="006C05B5" w:rsidRDefault="00450725" w:rsidP="00450725">
      <w:pPr>
        <w:autoSpaceDE w:val="0"/>
        <w:autoSpaceDN w:val="0"/>
        <w:adjustRightInd w:val="0"/>
      </w:pPr>
      <w:r w:rsidRPr="006C05B5">
        <w:t xml:space="preserve">Navigant estimated NTG for four residential programs: REEP, RARP, SEP, and WHEAP. Navigant did not estimate NTG for the Residential HER Program, since </w:t>
      </w:r>
      <w:r w:rsidRPr="006C05B5">
        <w:rPr>
          <w:rFonts w:cs="Calibri"/>
        </w:rPr>
        <w:t>free-ridership and participant spillover</w:t>
      </w:r>
      <w:r w:rsidR="00C21C45">
        <w:rPr>
          <w:rFonts w:cs="Calibri"/>
        </w:rPr>
        <w:t xml:space="preserve"> </w:t>
      </w:r>
      <w:r w:rsidRPr="006C05B5">
        <w:rPr>
          <w:rFonts w:cs="Calibri"/>
        </w:rPr>
        <w:t>are already incorporated in the impact analysis.</w:t>
      </w:r>
      <w:r w:rsidRPr="006C05B5">
        <w:t xml:space="preserve"> As in the PY5 and PY6 evaluations, Navigant used the SWE common approach, with one slight deviation: Navigant incorporated a “delay factor” into residential NTG calculations that adjusted free-ridership scores by how long respondents reported they would have delayed their program-qualifying activity. The SWE Team believes this modification would not introduce a systematically different result from the common method and is thus consistent with the intent of the common method. However, the SWE Team suggests that evaluation reports explicitly state how a given </w:t>
      </w:r>
      <w:r w:rsidRPr="006C05B5">
        <w:lastRenderedPageBreak/>
        <w:t xml:space="preserve">instrument differs from the common method and why it would not produce a systematically different result. </w:t>
      </w:r>
    </w:p>
    <w:p w:rsidR="00450725" w:rsidRPr="006C05B5" w:rsidRDefault="00450725" w:rsidP="00450725">
      <w:pPr>
        <w:rPr>
          <w:strike/>
        </w:rPr>
      </w:pPr>
    </w:p>
    <w:p w:rsidR="00450725" w:rsidRPr="006C05B5" w:rsidRDefault="00450725" w:rsidP="00450725">
      <w:r w:rsidRPr="006C05B5">
        <w:t xml:space="preserve">Navigant used a hybrid approach to estimate NTGR for REEP: Navigant used PY6 results for the upstream lighting component of the program, and conducted primary data collection and analysis for rebate and kit measures. Navigant used a savings-weighted approach to combine these various estimates into program-level free-ridership, spillover, and NTGR for PY7. </w:t>
      </w:r>
    </w:p>
    <w:p w:rsidR="00450725" w:rsidRPr="006C05B5" w:rsidRDefault="00450725" w:rsidP="00450725"/>
    <w:p w:rsidR="00450725" w:rsidRPr="006C05B5" w:rsidRDefault="00450725" w:rsidP="00450725">
      <w:r w:rsidRPr="006C05B5">
        <w:t xml:space="preserve">Navigant summarized the NTG methodology in the Duquesne PY7 annual report. The detailed methods reported in the PY7 annual report were typically sufficiently clear. </w:t>
      </w:r>
    </w:p>
    <w:p w:rsidR="00450725" w:rsidRPr="006C05B5" w:rsidRDefault="00450725" w:rsidP="00450725"/>
    <w:p w:rsidR="00450725" w:rsidRPr="006C05B5" w:rsidRDefault="00450725" w:rsidP="00450725">
      <w:r w:rsidRPr="006C05B5">
        <w:t>Navigant provided the SWE Team with most of its NTG calculations, together with the raw survey data, in Excel workbooks. The workbook revealed a typo in the RARP chapter: RARP NTGR is 32%, not 34% as reported in the workbook. Navigant confirmed via email that 32% is the correct value.</w:t>
      </w:r>
    </w:p>
    <w:p w:rsidR="00450725" w:rsidRPr="006C05B5" w:rsidRDefault="00450725" w:rsidP="00450725">
      <w:pPr>
        <w:rPr>
          <w:highlight w:val="lightGray"/>
        </w:rPr>
      </w:pPr>
    </w:p>
    <w:p w:rsidR="00450725" w:rsidRPr="006C05B5" w:rsidRDefault="00823FE0" w:rsidP="00450725">
      <w:pPr>
        <w:rPr>
          <w:highlight w:val="lightGray"/>
        </w:rPr>
      </w:pPr>
      <w:r>
        <w:fldChar w:fldCharType="begin"/>
      </w:r>
      <w:r>
        <w:instrText xml:space="preserve"> REF _Ref472471497 \h </w:instrText>
      </w:r>
      <w:r>
        <w:fldChar w:fldCharType="separate"/>
      </w:r>
      <w:r w:rsidR="00A874AC" w:rsidRPr="00823FE0">
        <w:t>Table A-</w:t>
      </w:r>
      <w:r w:rsidR="00A874AC">
        <w:rPr>
          <w:noProof/>
        </w:rPr>
        <w:t>21</w:t>
      </w:r>
      <w:r>
        <w:fldChar w:fldCharType="end"/>
      </w:r>
      <w:r w:rsidR="00450725" w:rsidRPr="006C05B5">
        <w:t xml:space="preserve"> summarizes the SWE Team’s review of the NTG activities by program. The SWE Team found Navigant’s description of the NTG methods to be relatively clear and the application of the SWE common methods to be error-free. However, the workbooks provided did not include the calculations that combined strata estimates into program-level estimates.</w:t>
      </w:r>
      <w:r w:rsidR="00450725" w:rsidRPr="006C05B5">
        <w:rPr>
          <w:highlight w:val="lightGray"/>
        </w:rPr>
        <w:t xml:space="preserve"> </w:t>
      </w:r>
    </w:p>
    <w:p w:rsidR="00450725" w:rsidRPr="006C05B5" w:rsidRDefault="00450725" w:rsidP="00450725">
      <w:pPr>
        <w:rPr>
          <w:highlight w:val="lightGray"/>
        </w:rPr>
      </w:pPr>
    </w:p>
    <w:p w:rsidR="00450725" w:rsidRPr="00823FE0" w:rsidRDefault="00823FE0" w:rsidP="00823FE0">
      <w:pPr>
        <w:pStyle w:val="Caption"/>
      </w:pPr>
      <w:bookmarkStart w:id="613" w:name="_Ref472471497"/>
      <w:bookmarkStart w:id="614" w:name="_Toc409225005"/>
      <w:bookmarkStart w:id="615" w:name="_Toc409443557"/>
      <w:bookmarkStart w:id="616" w:name="_Toc444269730"/>
      <w:bookmarkStart w:id="617" w:name="_Toc472472430"/>
      <w:bookmarkStart w:id="618" w:name="_Toc476842136"/>
      <w:r w:rsidRPr="00823FE0">
        <w:t>Table A-</w:t>
      </w:r>
      <w:fldSimple w:instr=" SEQ Table_A- \* ARABIC ">
        <w:r w:rsidR="00C301D0">
          <w:rPr>
            <w:noProof/>
          </w:rPr>
          <w:t>21</w:t>
        </w:r>
      </w:fldSimple>
      <w:bookmarkEnd w:id="613"/>
      <w:r w:rsidRPr="00823FE0">
        <w:t xml:space="preserve">: </w:t>
      </w:r>
      <w:r w:rsidR="00450725" w:rsidRPr="00823FE0">
        <w:t>Summary of NTG Audit of Duquesne’s Residential Programs</w:t>
      </w:r>
      <w:bookmarkEnd w:id="614"/>
      <w:bookmarkEnd w:id="615"/>
      <w:bookmarkEnd w:id="616"/>
      <w:bookmarkEnd w:id="617"/>
      <w:bookmarkEnd w:id="618"/>
    </w:p>
    <w:tbl>
      <w:tblPr>
        <w:tblW w:w="9351"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07"/>
        <w:gridCol w:w="3112"/>
        <w:gridCol w:w="4632"/>
      </w:tblGrid>
      <w:tr w:rsidR="00A874AC" w:rsidRPr="006C05B5" w:rsidTr="005C3E63">
        <w:trPr>
          <w:cantSplit/>
          <w:tblHeader/>
          <w:jc w:val="center"/>
        </w:trPr>
        <w:tc>
          <w:tcPr>
            <w:tcW w:w="1607" w:type="dxa"/>
            <w:shd w:val="clear" w:color="auto" w:fill="448A99"/>
            <w:vAlign w:val="bottom"/>
          </w:tcPr>
          <w:p w:rsidR="00450725" w:rsidRPr="006C05B5" w:rsidRDefault="00450725" w:rsidP="00D900B5">
            <w:pPr>
              <w:jc w:val="left"/>
              <w:rPr>
                <w:b/>
                <w:color w:val="FFFFFF"/>
                <w:sz w:val="20"/>
                <w:szCs w:val="20"/>
              </w:rPr>
            </w:pPr>
            <w:r w:rsidRPr="006C05B5">
              <w:rPr>
                <w:b/>
                <w:color w:val="FFFFFF"/>
                <w:sz w:val="20"/>
                <w:szCs w:val="20"/>
              </w:rPr>
              <w:t>Program</w:t>
            </w:r>
          </w:p>
        </w:tc>
        <w:tc>
          <w:tcPr>
            <w:tcW w:w="3112" w:type="dxa"/>
            <w:shd w:val="clear" w:color="auto" w:fill="448A99"/>
            <w:vAlign w:val="bottom"/>
          </w:tcPr>
          <w:p w:rsidR="00450725" w:rsidRPr="006C05B5" w:rsidRDefault="00450725" w:rsidP="00D900B5">
            <w:pPr>
              <w:jc w:val="center"/>
              <w:rPr>
                <w:b/>
                <w:color w:val="FFFFFF"/>
                <w:sz w:val="20"/>
                <w:szCs w:val="20"/>
              </w:rPr>
            </w:pPr>
            <w:r w:rsidRPr="006C05B5">
              <w:rPr>
                <w:b/>
                <w:color w:val="FFFFFF"/>
                <w:sz w:val="20"/>
                <w:szCs w:val="20"/>
              </w:rPr>
              <w:t>NTG Method</w:t>
            </w:r>
          </w:p>
        </w:tc>
        <w:tc>
          <w:tcPr>
            <w:tcW w:w="4632" w:type="dxa"/>
            <w:shd w:val="clear" w:color="auto" w:fill="448A99"/>
            <w:vAlign w:val="bottom"/>
          </w:tcPr>
          <w:p w:rsidR="00450725" w:rsidRPr="006C05B5" w:rsidRDefault="00450725" w:rsidP="00D900B5">
            <w:pPr>
              <w:jc w:val="center"/>
              <w:rPr>
                <w:b/>
                <w:color w:val="FFFFFF"/>
                <w:sz w:val="20"/>
                <w:szCs w:val="20"/>
              </w:rPr>
            </w:pPr>
            <w:r w:rsidRPr="006C05B5">
              <w:rPr>
                <w:b/>
                <w:color w:val="FFFFFF"/>
                <w:sz w:val="20"/>
                <w:szCs w:val="20"/>
              </w:rPr>
              <w:t>Review Comments</w:t>
            </w:r>
          </w:p>
        </w:tc>
      </w:tr>
      <w:tr w:rsidR="00E7173E" w:rsidRPr="006C05B5" w:rsidTr="005C3E63">
        <w:trPr>
          <w:trHeight w:val="1295"/>
          <w:jc w:val="center"/>
        </w:trPr>
        <w:tc>
          <w:tcPr>
            <w:tcW w:w="1607" w:type="dxa"/>
            <w:shd w:val="clear" w:color="auto" w:fill="D2EAF1"/>
          </w:tcPr>
          <w:p w:rsidR="00450725" w:rsidRPr="006C05B5" w:rsidRDefault="00450725" w:rsidP="00D900B5">
            <w:pPr>
              <w:jc w:val="left"/>
              <w:rPr>
                <w:color w:val="548DD4"/>
                <w:sz w:val="20"/>
                <w:szCs w:val="20"/>
              </w:rPr>
            </w:pPr>
            <w:r w:rsidRPr="006C05B5">
              <w:rPr>
                <w:sz w:val="20"/>
                <w:szCs w:val="20"/>
              </w:rPr>
              <w:t>Residential Energy Efficiency Program (REEP)</w:t>
            </w:r>
          </w:p>
        </w:tc>
        <w:tc>
          <w:tcPr>
            <w:tcW w:w="3112" w:type="dxa"/>
            <w:shd w:val="clear" w:color="auto" w:fill="D2EAF1"/>
          </w:tcPr>
          <w:p w:rsidR="00450725" w:rsidRPr="006C05B5" w:rsidRDefault="00450725" w:rsidP="00D900B5">
            <w:pPr>
              <w:jc w:val="left"/>
              <w:rPr>
                <w:color w:val="548DD4"/>
                <w:sz w:val="20"/>
                <w:szCs w:val="20"/>
              </w:rPr>
            </w:pPr>
            <w:r w:rsidRPr="006C05B5">
              <w:rPr>
                <w:sz w:val="20"/>
                <w:szCs w:val="20"/>
              </w:rPr>
              <w:t>The common method was used for downstream components, with acceptable modifications. Navigant used the PY6 values for PY7 upstream lighting NTG.</w:t>
            </w:r>
          </w:p>
        </w:tc>
        <w:tc>
          <w:tcPr>
            <w:tcW w:w="4632" w:type="dxa"/>
            <w:shd w:val="clear" w:color="auto" w:fill="D2EAF1"/>
          </w:tcPr>
          <w:p w:rsidR="00450725" w:rsidRPr="006C05B5" w:rsidRDefault="00450725" w:rsidP="00D900B5">
            <w:pPr>
              <w:jc w:val="left"/>
              <w:rPr>
                <w:sz w:val="20"/>
                <w:szCs w:val="20"/>
              </w:rPr>
            </w:pPr>
            <w:r w:rsidRPr="006C05B5">
              <w:rPr>
                <w:sz w:val="20"/>
                <w:szCs w:val="20"/>
              </w:rPr>
              <w:t xml:space="preserve">The detailed methods reported in the PY7 annual report were sufficiently clear. </w:t>
            </w:r>
          </w:p>
        </w:tc>
      </w:tr>
      <w:tr w:rsidR="00450725" w:rsidRPr="006C05B5" w:rsidTr="005C3E63">
        <w:trPr>
          <w:trHeight w:val="2249"/>
          <w:jc w:val="center"/>
        </w:trPr>
        <w:tc>
          <w:tcPr>
            <w:tcW w:w="1607" w:type="dxa"/>
          </w:tcPr>
          <w:p w:rsidR="00450725" w:rsidRPr="006C05B5" w:rsidRDefault="00450725" w:rsidP="00D900B5">
            <w:pPr>
              <w:jc w:val="left"/>
              <w:rPr>
                <w:color w:val="548DD4"/>
                <w:sz w:val="20"/>
                <w:szCs w:val="20"/>
              </w:rPr>
            </w:pPr>
            <w:r w:rsidRPr="006C05B5">
              <w:rPr>
                <w:sz w:val="20"/>
                <w:szCs w:val="20"/>
              </w:rPr>
              <w:t>Residential Appliance Recycling Program (RARP)</w:t>
            </w:r>
          </w:p>
        </w:tc>
        <w:tc>
          <w:tcPr>
            <w:tcW w:w="3112" w:type="dxa"/>
          </w:tcPr>
          <w:p w:rsidR="00450725" w:rsidRPr="006C05B5" w:rsidRDefault="00450725" w:rsidP="00D900B5">
            <w:pPr>
              <w:jc w:val="left"/>
              <w:rPr>
                <w:color w:val="548DD4"/>
                <w:sz w:val="20"/>
                <w:szCs w:val="20"/>
              </w:rPr>
            </w:pPr>
            <w:r w:rsidRPr="006C05B5">
              <w:rPr>
                <w:sz w:val="20"/>
                <w:szCs w:val="20"/>
              </w:rPr>
              <w:t>The common method was used.</w:t>
            </w:r>
          </w:p>
        </w:tc>
        <w:tc>
          <w:tcPr>
            <w:tcW w:w="4632" w:type="dxa"/>
          </w:tcPr>
          <w:p w:rsidR="00450725" w:rsidRPr="006C05B5" w:rsidRDefault="00450725" w:rsidP="00D900B5">
            <w:pPr>
              <w:jc w:val="left"/>
              <w:rPr>
                <w:sz w:val="20"/>
                <w:szCs w:val="20"/>
              </w:rPr>
            </w:pPr>
            <w:r w:rsidRPr="006C05B5">
              <w:rPr>
                <w:sz w:val="20"/>
                <w:szCs w:val="20"/>
              </w:rPr>
              <w:t>Navigant used the common method to estimate NTG. The final kWh net savings that included adjustments to net savings based on each scenario were included in the workbook. FR was calculated correctly at the participant level.</w:t>
            </w:r>
          </w:p>
          <w:p w:rsidR="00450725" w:rsidRPr="006C05B5" w:rsidRDefault="00450725" w:rsidP="00D900B5">
            <w:pPr>
              <w:jc w:val="left"/>
              <w:rPr>
                <w:sz w:val="20"/>
                <w:szCs w:val="20"/>
              </w:rPr>
            </w:pPr>
            <w:r w:rsidRPr="006C05B5">
              <w:rPr>
                <w:sz w:val="20"/>
                <w:szCs w:val="20"/>
              </w:rPr>
              <w:t>Navigant reported two different NTGRs – 32% in the Overview of Portfolio chapter and 34% in the RARP chapter. The Excel workbook reports the NTGR to be 32%; thus 34% is a typo.</w:t>
            </w:r>
          </w:p>
        </w:tc>
      </w:tr>
      <w:tr w:rsidR="00E7173E" w:rsidRPr="006C05B5" w:rsidTr="005C3E63">
        <w:trPr>
          <w:trHeight w:val="1538"/>
          <w:jc w:val="center"/>
        </w:trPr>
        <w:tc>
          <w:tcPr>
            <w:tcW w:w="1607" w:type="dxa"/>
            <w:shd w:val="clear" w:color="auto" w:fill="D2EAF1"/>
          </w:tcPr>
          <w:p w:rsidR="00450725" w:rsidRPr="006C05B5" w:rsidRDefault="00450725" w:rsidP="00D900B5">
            <w:pPr>
              <w:jc w:val="left"/>
              <w:rPr>
                <w:color w:val="548DD4"/>
                <w:sz w:val="20"/>
                <w:szCs w:val="20"/>
              </w:rPr>
            </w:pPr>
            <w:r w:rsidRPr="006C05B5">
              <w:rPr>
                <w:sz w:val="20"/>
                <w:szCs w:val="20"/>
              </w:rPr>
              <w:t>School Energy Pledge Program (SEP)</w:t>
            </w:r>
          </w:p>
        </w:tc>
        <w:tc>
          <w:tcPr>
            <w:tcW w:w="3112" w:type="dxa"/>
            <w:shd w:val="clear" w:color="auto" w:fill="D2EAF1"/>
          </w:tcPr>
          <w:p w:rsidR="00450725" w:rsidRPr="006C05B5" w:rsidRDefault="00450725" w:rsidP="00D900B5">
            <w:pPr>
              <w:jc w:val="left"/>
              <w:rPr>
                <w:color w:val="548DD4"/>
                <w:sz w:val="20"/>
                <w:szCs w:val="20"/>
              </w:rPr>
            </w:pPr>
            <w:r w:rsidRPr="006C05B5">
              <w:rPr>
                <w:sz w:val="20"/>
                <w:szCs w:val="20"/>
              </w:rPr>
              <w:t>The common method was used, with acceptable modifications.</w:t>
            </w:r>
          </w:p>
        </w:tc>
        <w:tc>
          <w:tcPr>
            <w:tcW w:w="4632" w:type="dxa"/>
            <w:shd w:val="clear" w:color="auto" w:fill="D2EAF1"/>
          </w:tcPr>
          <w:p w:rsidR="00450725" w:rsidRPr="006C05B5" w:rsidRDefault="00450725" w:rsidP="00D900B5">
            <w:pPr>
              <w:jc w:val="left"/>
              <w:rPr>
                <w:sz w:val="20"/>
                <w:szCs w:val="20"/>
              </w:rPr>
            </w:pPr>
            <w:r w:rsidRPr="006C05B5">
              <w:rPr>
                <w:sz w:val="20"/>
                <w:szCs w:val="20"/>
              </w:rPr>
              <w:t xml:space="preserve">The detailed methods reported in the PY7 annual report were sufficiently clear. </w:t>
            </w:r>
          </w:p>
          <w:p w:rsidR="00450725" w:rsidRPr="006C05B5" w:rsidRDefault="00450725" w:rsidP="00D900B5">
            <w:pPr>
              <w:jc w:val="left"/>
              <w:rPr>
                <w:sz w:val="20"/>
                <w:szCs w:val="20"/>
              </w:rPr>
            </w:pPr>
            <w:r w:rsidRPr="006C05B5">
              <w:rPr>
                <w:sz w:val="20"/>
                <w:szCs w:val="20"/>
              </w:rPr>
              <w:t>Navigant made acceptable adjustments to the FR intention calculations, including adjustments for number of items installed and for plans to purchase at a later date.</w:t>
            </w:r>
          </w:p>
        </w:tc>
      </w:tr>
      <w:tr w:rsidR="00E7173E" w:rsidRPr="006C05B5" w:rsidTr="005C3E63">
        <w:trPr>
          <w:trHeight w:val="2042"/>
          <w:jc w:val="center"/>
        </w:trPr>
        <w:tc>
          <w:tcPr>
            <w:tcW w:w="1607" w:type="dxa"/>
            <w:shd w:val="clear" w:color="auto" w:fill="FFFFFF"/>
          </w:tcPr>
          <w:p w:rsidR="00450725" w:rsidRPr="006C05B5" w:rsidRDefault="00450725" w:rsidP="00D900B5">
            <w:pPr>
              <w:jc w:val="left"/>
              <w:rPr>
                <w:color w:val="548DD4"/>
                <w:sz w:val="20"/>
                <w:szCs w:val="20"/>
              </w:rPr>
            </w:pPr>
            <w:r w:rsidRPr="006C05B5">
              <w:rPr>
                <w:sz w:val="20"/>
                <w:szCs w:val="20"/>
              </w:rPr>
              <w:lastRenderedPageBreak/>
              <w:t>Whole House Energy Audit Program (WHEAP)</w:t>
            </w:r>
          </w:p>
        </w:tc>
        <w:tc>
          <w:tcPr>
            <w:tcW w:w="3112" w:type="dxa"/>
            <w:shd w:val="clear" w:color="auto" w:fill="FFFFFF"/>
          </w:tcPr>
          <w:p w:rsidR="00450725" w:rsidRPr="006C05B5" w:rsidRDefault="00450725" w:rsidP="00D900B5">
            <w:pPr>
              <w:jc w:val="left"/>
              <w:rPr>
                <w:color w:val="548DD4"/>
                <w:sz w:val="20"/>
                <w:szCs w:val="20"/>
              </w:rPr>
            </w:pPr>
            <w:r w:rsidRPr="006C05B5">
              <w:rPr>
                <w:sz w:val="20"/>
                <w:szCs w:val="20"/>
              </w:rPr>
              <w:t>The common method was used, with acceptable modifications.</w:t>
            </w:r>
          </w:p>
        </w:tc>
        <w:tc>
          <w:tcPr>
            <w:tcW w:w="4632" w:type="dxa"/>
            <w:shd w:val="clear" w:color="auto" w:fill="FFFFFF"/>
          </w:tcPr>
          <w:p w:rsidR="00450725" w:rsidRPr="006C05B5" w:rsidRDefault="00450725" w:rsidP="00D900B5">
            <w:pPr>
              <w:jc w:val="left"/>
              <w:rPr>
                <w:sz w:val="20"/>
                <w:szCs w:val="20"/>
              </w:rPr>
            </w:pPr>
            <w:r w:rsidRPr="006C05B5">
              <w:rPr>
                <w:sz w:val="20"/>
                <w:szCs w:val="20"/>
              </w:rPr>
              <w:t>The detailed methods reported in the PY7 annual report were sufficiently clear.</w:t>
            </w:r>
          </w:p>
          <w:p w:rsidR="00450725" w:rsidRPr="006C05B5" w:rsidRDefault="00450725" w:rsidP="00D900B5">
            <w:pPr>
              <w:jc w:val="left"/>
              <w:rPr>
                <w:sz w:val="20"/>
                <w:szCs w:val="20"/>
              </w:rPr>
            </w:pPr>
            <w:r w:rsidRPr="006C05B5">
              <w:rPr>
                <w:sz w:val="20"/>
                <w:szCs w:val="20"/>
              </w:rPr>
              <w:t>Navigant made acceptable adjustments to the FR intention calculations, including adjustments for number of items installed and for plans to purchase at a later date.</w:t>
            </w:r>
          </w:p>
          <w:p w:rsidR="00450725" w:rsidRPr="006C05B5" w:rsidRDefault="00450725" w:rsidP="00D900B5">
            <w:pPr>
              <w:jc w:val="left"/>
              <w:rPr>
                <w:sz w:val="20"/>
                <w:szCs w:val="20"/>
              </w:rPr>
            </w:pPr>
            <w:r w:rsidRPr="006C05B5">
              <w:rPr>
                <w:sz w:val="20"/>
                <w:szCs w:val="20"/>
              </w:rPr>
              <w:t>Market rate and low-income participants were analyzed together when calculating NTGR for WHEAP.</w:t>
            </w:r>
          </w:p>
        </w:tc>
      </w:tr>
      <w:tr w:rsidR="00E7173E" w:rsidRPr="006C05B5" w:rsidTr="005C3E63">
        <w:trPr>
          <w:trHeight w:val="1070"/>
          <w:jc w:val="center"/>
        </w:trPr>
        <w:tc>
          <w:tcPr>
            <w:tcW w:w="1607" w:type="dxa"/>
            <w:shd w:val="clear" w:color="auto" w:fill="D2EAF1"/>
          </w:tcPr>
          <w:p w:rsidR="00450725" w:rsidRPr="006C05B5" w:rsidRDefault="00450725" w:rsidP="00D900B5">
            <w:pPr>
              <w:jc w:val="left"/>
              <w:rPr>
                <w:sz w:val="20"/>
                <w:szCs w:val="20"/>
              </w:rPr>
            </w:pPr>
            <w:r w:rsidRPr="006C05B5">
              <w:rPr>
                <w:sz w:val="20"/>
                <w:szCs w:val="20"/>
              </w:rPr>
              <w:t>Residential Home Energy Report (HER) Program</w:t>
            </w:r>
          </w:p>
        </w:tc>
        <w:tc>
          <w:tcPr>
            <w:tcW w:w="3112" w:type="dxa"/>
            <w:shd w:val="clear" w:color="auto" w:fill="D2EAF1"/>
          </w:tcPr>
          <w:p w:rsidR="00450725" w:rsidRPr="006C05B5" w:rsidRDefault="00450725" w:rsidP="00D900B5">
            <w:pPr>
              <w:jc w:val="left"/>
              <w:rPr>
                <w:sz w:val="20"/>
                <w:szCs w:val="20"/>
              </w:rPr>
            </w:pPr>
            <w:r w:rsidRPr="006C05B5">
              <w:rPr>
                <w:sz w:val="20"/>
                <w:szCs w:val="20"/>
              </w:rPr>
              <w:t>Not estimated; impact analysis accounts for FR and SO.</w:t>
            </w:r>
          </w:p>
        </w:tc>
        <w:tc>
          <w:tcPr>
            <w:tcW w:w="4632" w:type="dxa"/>
            <w:shd w:val="clear" w:color="auto" w:fill="D2EAF1"/>
          </w:tcPr>
          <w:p w:rsidR="00450725" w:rsidRPr="006C05B5" w:rsidRDefault="00450725" w:rsidP="00D900B5">
            <w:pPr>
              <w:jc w:val="left"/>
              <w:rPr>
                <w:sz w:val="20"/>
                <w:szCs w:val="20"/>
              </w:rPr>
            </w:pPr>
            <w:r w:rsidRPr="006C05B5">
              <w:rPr>
                <w:sz w:val="20"/>
                <w:szCs w:val="20"/>
              </w:rPr>
              <w:t>Navigant did not estimate NTGR, as the randomized control trial (RCT) approach to impact analysis results in net savings.</w:t>
            </w:r>
          </w:p>
        </w:tc>
      </w:tr>
    </w:tbl>
    <w:p w:rsidR="00450725" w:rsidRPr="006C05B5" w:rsidRDefault="00450725" w:rsidP="00450725"/>
    <w:p w:rsidR="00450725" w:rsidRPr="006C05B5" w:rsidRDefault="00823FE0" w:rsidP="00450725">
      <w:r>
        <w:fldChar w:fldCharType="begin"/>
      </w:r>
      <w:r>
        <w:instrText xml:space="preserve"> REF _Ref472471556 \h </w:instrText>
      </w:r>
      <w:r>
        <w:fldChar w:fldCharType="separate"/>
      </w:r>
      <w:r w:rsidR="00A874AC" w:rsidRPr="00B9149B">
        <w:t>Table A-</w:t>
      </w:r>
      <w:r w:rsidR="00A874AC">
        <w:rPr>
          <w:noProof/>
        </w:rPr>
        <w:t>22</w:t>
      </w:r>
      <w:r>
        <w:fldChar w:fldCharType="end"/>
      </w:r>
      <w:r w:rsidR="00450725" w:rsidRPr="006C05B5">
        <w:t xml:space="preserve"> summarizes NTG findings from the Duquesne annual report. </w:t>
      </w:r>
      <w:r w:rsidR="00C21C45">
        <w:t xml:space="preserve">The </w:t>
      </w:r>
      <w:r w:rsidR="00450725" w:rsidRPr="006C05B5">
        <w:t>NTG</w:t>
      </w:r>
      <w:r w:rsidR="00C21C45">
        <w:t>R</w:t>
      </w:r>
      <w:r w:rsidR="00450725" w:rsidRPr="006C05B5">
        <w:t xml:space="preserve"> was greatest for SEP and lowest for RARP.</w:t>
      </w:r>
    </w:p>
    <w:p w:rsidR="00450725" w:rsidRPr="006C05B5" w:rsidRDefault="00450725" w:rsidP="00450725">
      <w:pPr>
        <w:rPr>
          <w:highlight w:val="lightGray"/>
        </w:rPr>
      </w:pPr>
    </w:p>
    <w:p w:rsidR="00450725" w:rsidRPr="00B9149B" w:rsidRDefault="00823FE0" w:rsidP="00B9149B">
      <w:pPr>
        <w:pStyle w:val="Caption"/>
      </w:pPr>
      <w:bookmarkStart w:id="619" w:name="_Ref472471556"/>
      <w:bookmarkStart w:id="620" w:name="_Toc409225006"/>
      <w:bookmarkStart w:id="621" w:name="_Toc409443558"/>
      <w:bookmarkStart w:id="622" w:name="_Toc444269731"/>
      <w:bookmarkStart w:id="623" w:name="_Toc472472431"/>
      <w:bookmarkStart w:id="624" w:name="_Toc476842137"/>
      <w:r w:rsidRPr="00B9149B">
        <w:t>Table A-</w:t>
      </w:r>
      <w:fldSimple w:instr=" SEQ Table_A- \* ARABIC ">
        <w:r w:rsidR="00C301D0">
          <w:rPr>
            <w:noProof/>
          </w:rPr>
          <w:t>22</w:t>
        </w:r>
      </w:fldSimple>
      <w:bookmarkEnd w:id="619"/>
      <w:r w:rsidRPr="00B9149B">
        <w:t xml:space="preserve">: </w:t>
      </w:r>
      <w:r w:rsidR="00450725" w:rsidRPr="00B9149B">
        <w:t>Summary of NTG Estimates for Duquesne’s Residential Program</w:t>
      </w:r>
      <w:bookmarkEnd w:id="620"/>
      <w:bookmarkEnd w:id="621"/>
      <w:bookmarkEnd w:id="622"/>
      <w:r w:rsidR="00450725" w:rsidRPr="00B9149B">
        <w:t>s</w:t>
      </w:r>
      <w:bookmarkEnd w:id="623"/>
      <w:bookmarkEnd w:id="624"/>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142"/>
        <w:gridCol w:w="3487"/>
        <w:gridCol w:w="1158"/>
        <w:gridCol w:w="1238"/>
        <w:gridCol w:w="1120"/>
        <w:gridCol w:w="1097"/>
      </w:tblGrid>
      <w:tr w:rsidR="00A874AC" w:rsidRPr="006C05B5" w:rsidTr="00D900B5">
        <w:trPr>
          <w:tblHeader/>
          <w:jc w:val="center"/>
        </w:trPr>
        <w:tc>
          <w:tcPr>
            <w:tcW w:w="1142" w:type="dxa"/>
            <w:shd w:val="clear" w:color="auto" w:fill="448A99"/>
            <w:vAlign w:val="bottom"/>
          </w:tcPr>
          <w:p w:rsidR="00450725" w:rsidRPr="006C05B5" w:rsidRDefault="00450725" w:rsidP="00D900B5">
            <w:pPr>
              <w:jc w:val="left"/>
              <w:rPr>
                <w:b/>
                <w:color w:val="FFFFFF"/>
                <w:sz w:val="20"/>
                <w:szCs w:val="20"/>
              </w:rPr>
            </w:pPr>
            <w:r w:rsidRPr="006C05B5">
              <w:rPr>
                <w:b/>
                <w:color w:val="FFFFFF"/>
                <w:sz w:val="20"/>
                <w:szCs w:val="20"/>
              </w:rPr>
              <w:t>Approach</w:t>
            </w:r>
          </w:p>
        </w:tc>
        <w:tc>
          <w:tcPr>
            <w:tcW w:w="3487" w:type="dxa"/>
            <w:shd w:val="clear" w:color="auto" w:fill="448A99"/>
            <w:vAlign w:val="bottom"/>
          </w:tcPr>
          <w:p w:rsidR="00450725" w:rsidRPr="006C05B5" w:rsidRDefault="00450725" w:rsidP="00D900B5">
            <w:pPr>
              <w:jc w:val="center"/>
              <w:rPr>
                <w:b/>
                <w:color w:val="FFFFFF"/>
                <w:sz w:val="20"/>
                <w:szCs w:val="20"/>
              </w:rPr>
            </w:pPr>
            <w:r w:rsidRPr="006C05B5">
              <w:rPr>
                <w:b/>
                <w:color w:val="FFFFFF"/>
                <w:sz w:val="20"/>
                <w:szCs w:val="20"/>
              </w:rPr>
              <w:t>Program</w:t>
            </w:r>
          </w:p>
        </w:tc>
        <w:tc>
          <w:tcPr>
            <w:tcW w:w="1158" w:type="dxa"/>
            <w:shd w:val="clear" w:color="auto" w:fill="448A99"/>
            <w:vAlign w:val="bottom"/>
          </w:tcPr>
          <w:p w:rsidR="00450725" w:rsidRPr="006C05B5" w:rsidRDefault="00450725" w:rsidP="00D900B5">
            <w:pPr>
              <w:jc w:val="center"/>
              <w:rPr>
                <w:b/>
                <w:color w:val="FFFFFF"/>
                <w:sz w:val="20"/>
                <w:szCs w:val="20"/>
              </w:rPr>
            </w:pPr>
            <w:r w:rsidRPr="006C05B5">
              <w:rPr>
                <w:b/>
                <w:color w:val="FFFFFF"/>
                <w:sz w:val="20"/>
                <w:szCs w:val="20"/>
              </w:rPr>
              <w:t>Free-Ridership</w:t>
            </w:r>
          </w:p>
        </w:tc>
        <w:tc>
          <w:tcPr>
            <w:tcW w:w="1238" w:type="dxa"/>
            <w:shd w:val="clear" w:color="auto" w:fill="448A99"/>
            <w:vAlign w:val="bottom"/>
          </w:tcPr>
          <w:p w:rsidR="00450725" w:rsidRPr="006C05B5" w:rsidRDefault="00450725" w:rsidP="00D900B5">
            <w:pPr>
              <w:jc w:val="center"/>
              <w:rPr>
                <w:b/>
                <w:color w:val="FFFFFF"/>
                <w:sz w:val="20"/>
                <w:szCs w:val="20"/>
              </w:rPr>
            </w:pPr>
            <w:r w:rsidRPr="006C05B5">
              <w:rPr>
                <w:b/>
                <w:color w:val="FFFFFF"/>
                <w:sz w:val="20"/>
                <w:szCs w:val="20"/>
              </w:rPr>
              <w:t>Spillover</w:t>
            </w:r>
          </w:p>
        </w:tc>
        <w:tc>
          <w:tcPr>
            <w:tcW w:w="1120" w:type="dxa"/>
            <w:shd w:val="clear" w:color="auto" w:fill="448A99"/>
            <w:vAlign w:val="bottom"/>
          </w:tcPr>
          <w:p w:rsidR="00450725" w:rsidRPr="006C05B5" w:rsidRDefault="00450725" w:rsidP="00D900B5">
            <w:pPr>
              <w:jc w:val="center"/>
              <w:rPr>
                <w:b/>
                <w:color w:val="FFFFFF"/>
                <w:sz w:val="20"/>
                <w:szCs w:val="20"/>
              </w:rPr>
            </w:pPr>
            <w:r w:rsidRPr="006C05B5">
              <w:rPr>
                <w:b/>
                <w:color w:val="FFFFFF"/>
                <w:sz w:val="20"/>
                <w:szCs w:val="20"/>
              </w:rPr>
              <w:t>NTGR</w:t>
            </w:r>
            <w:r w:rsidRPr="006C05B5">
              <w:rPr>
                <w:b/>
                <w:color w:val="FFFFFF"/>
                <w:sz w:val="20"/>
                <w:szCs w:val="20"/>
                <w:vertAlign w:val="superscript"/>
              </w:rPr>
              <w:t>[a]</w:t>
            </w:r>
          </w:p>
        </w:tc>
        <w:tc>
          <w:tcPr>
            <w:tcW w:w="1097" w:type="dxa"/>
            <w:shd w:val="clear" w:color="auto" w:fill="448A99"/>
            <w:vAlign w:val="bottom"/>
          </w:tcPr>
          <w:p w:rsidR="00450725" w:rsidRPr="006C05B5" w:rsidRDefault="00450725" w:rsidP="00D900B5">
            <w:pPr>
              <w:jc w:val="center"/>
              <w:rPr>
                <w:b/>
                <w:color w:val="FFFFFF"/>
                <w:sz w:val="20"/>
                <w:szCs w:val="20"/>
              </w:rPr>
            </w:pPr>
            <w:r w:rsidRPr="006C05B5">
              <w:rPr>
                <w:b/>
                <w:color w:val="FFFFFF"/>
                <w:sz w:val="20"/>
                <w:szCs w:val="20"/>
              </w:rPr>
              <w:t>Sample Size</w:t>
            </w:r>
            <w:r w:rsidRPr="006C05B5">
              <w:rPr>
                <w:b/>
                <w:color w:val="FFFFFF"/>
                <w:sz w:val="20"/>
                <w:szCs w:val="20"/>
                <w:vertAlign w:val="superscript"/>
              </w:rPr>
              <w:t>[b]</w:t>
            </w:r>
          </w:p>
        </w:tc>
      </w:tr>
      <w:tr w:rsidR="00A874AC" w:rsidRPr="006C05B5" w:rsidTr="00D900B5">
        <w:trPr>
          <w:trHeight w:val="346"/>
          <w:jc w:val="center"/>
        </w:trPr>
        <w:tc>
          <w:tcPr>
            <w:tcW w:w="1142" w:type="dxa"/>
            <w:vMerge w:val="restart"/>
            <w:shd w:val="clear" w:color="auto" w:fill="D2EAF1"/>
          </w:tcPr>
          <w:p w:rsidR="00450725" w:rsidRPr="006C05B5" w:rsidRDefault="00450725" w:rsidP="00D900B5">
            <w:pPr>
              <w:jc w:val="left"/>
              <w:rPr>
                <w:sz w:val="20"/>
                <w:szCs w:val="20"/>
              </w:rPr>
            </w:pPr>
            <w:r w:rsidRPr="006C05B5">
              <w:rPr>
                <w:sz w:val="20"/>
                <w:szCs w:val="20"/>
              </w:rPr>
              <w:t>Estimated</w:t>
            </w:r>
          </w:p>
        </w:tc>
        <w:tc>
          <w:tcPr>
            <w:tcW w:w="3487" w:type="dxa"/>
            <w:shd w:val="clear" w:color="auto" w:fill="D2EAF1"/>
            <w:vAlign w:val="center"/>
          </w:tcPr>
          <w:p w:rsidR="00450725" w:rsidRPr="006C05B5" w:rsidRDefault="00450725" w:rsidP="00D900B5">
            <w:pPr>
              <w:jc w:val="left"/>
              <w:rPr>
                <w:sz w:val="20"/>
                <w:szCs w:val="20"/>
              </w:rPr>
            </w:pPr>
            <w:r w:rsidRPr="006C05B5">
              <w:rPr>
                <w:sz w:val="20"/>
                <w:szCs w:val="20"/>
              </w:rPr>
              <w:t>Residential Energy Efficiency Program (REEP)</w:t>
            </w:r>
          </w:p>
        </w:tc>
        <w:tc>
          <w:tcPr>
            <w:tcW w:w="1158" w:type="dxa"/>
            <w:shd w:val="clear" w:color="auto" w:fill="D2EAF1"/>
          </w:tcPr>
          <w:p w:rsidR="00450725" w:rsidRPr="006C05B5" w:rsidRDefault="00450725" w:rsidP="00D900B5">
            <w:pPr>
              <w:jc w:val="center"/>
              <w:rPr>
                <w:sz w:val="20"/>
                <w:szCs w:val="20"/>
              </w:rPr>
            </w:pPr>
            <w:r w:rsidRPr="006C05B5">
              <w:rPr>
                <w:sz w:val="20"/>
                <w:szCs w:val="20"/>
              </w:rPr>
              <w:t>0.54</w:t>
            </w:r>
          </w:p>
        </w:tc>
        <w:tc>
          <w:tcPr>
            <w:tcW w:w="1238" w:type="dxa"/>
            <w:shd w:val="clear" w:color="auto" w:fill="D2EAF1"/>
          </w:tcPr>
          <w:p w:rsidR="00450725" w:rsidRPr="006C05B5" w:rsidRDefault="00450725" w:rsidP="00D900B5">
            <w:pPr>
              <w:jc w:val="center"/>
              <w:rPr>
                <w:sz w:val="20"/>
                <w:szCs w:val="20"/>
              </w:rPr>
            </w:pPr>
            <w:r w:rsidRPr="006C05B5">
              <w:rPr>
                <w:sz w:val="20"/>
                <w:szCs w:val="20"/>
              </w:rPr>
              <w:t>0.23</w:t>
            </w:r>
          </w:p>
        </w:tc>
        <w:tc>
          <w:tcPr>
            <w:tcW w:w="1120" w:type="dxa"/>
            <w:shd w:val="clear" w:color="auto" w:fill="D2EAF1"/>
          </w:tcPr>
          <w:p w:rsidR="00450725" w:rsidRPr="006C05B5" w:rsidRDefault="00450725" w:rsidP="00D900B5">
            <w:pPr>
              <w:jc w:val="center"/>
              <w:rPr>
                <w:sz w:val="20"/>
                <w:szCs w:val="20"/>
              </w:rPr>
            </w:pPr>
            <w:r w:rsidRPr="006C05B5">
              <w:rPr>
                <w:sz w:val="20"/>
                <w:szCs w:val="20"/>
              </w:rPr>
              <w:t>0.69</w:t>
            </w:r>
          </w:p>
        </w:tc>
        <w:tc>
          <w:tcPr>
            <w:tcW w:w="1097" w:type="dxa"/>
            <w:shd w:val="clear" w:color="auto" w:fill="D2EAF1"/>
          </w:tcPr>
          <w:p w:rsidR="00450725" w:rsidRPr="006C05B5" w:rsidRDefault="00450725" w:rsidP="00D900B5">
            <w:pPr>
              <w:jc w:val="center"/>
              <w:rPr>
                <w:sz w:val="20"/>
                <w:szCs w:val="20"/>
              </w:rPr>
            </w:pPr>
            <w:r w:rsidRPr="006C05B5">
              <w:rPr>
                <w:sz w:val="20"/>
                <w:szCs w:val="20"/>
              </w:rPr>
              <w:t>99</w:t>
            </w:r>
          </w:p>
        </w:tc>
      </w:tr>
      <w:tr w:rsidR="00450725" w:rsidRPr="006C05B5" w:rsidTr="00DD4CC7">
        <w:trPr>
          <w:trHeight w:val="346"/>
          <w:jc w:val="center"/>
        </w:trPr>
        <w:tc>
          <w:tcPr>
            <w:tcW w:w="1142" w:type="dxa"/>
            <w:vMerge/>
          </w:tcPr>
          <w:p w:rsidR="00450725" w:rsidRPr="006C05B5" w:rsidRDefault="00450725" w:rsidP="00D900B5">
            <w:pPr>
              <w:jc w:val="left"/>
              <w:rPr>
                <w:sz w:val="20"/>
                <w:szCs w:val="20"/>
              </w:rPr>
            </w:pPr>
          </w:p>
        </w:tc>
        <w:tc>
          <w:tcPr>
            <w:tcW w:w="3487" w:type="dxa"/>
            <w:vAlign w:val="center"/>
          </w:tcPr>
          <w:p w:rsidR="00450725" w:rsidRPr="006C05B5" w:rsidRDefault="00450725" w:rsidP="00D900B5">
            <w:pPr>
              <w:jc w:val="left"/>
              <w:rPr>
                <w:sz w:val="20"/>
                <w:szCs w:val="20"/>
              </w:rPr>
            </w:pPr>
            <w:r w:rsidRPr="006C05B5">
              <w:rPr>
                <w:sz w:val="20"/>
                <w:szCs w:val="20"/>
              </w:rPr>
              <w:t>Residential Appliance Recycling Program (RARP)</w:t>
            </w:r>
          </w:p>
        </w:tc>
        <w:tc>
          <w:tcPr>
            <w:tcW w:w="1158" w:type="dxa"/>
          </w:tcPr>
          <w:p w:rsidR="00450725" w:rsidRPr="006C05B5" w:rsidRDefault="00450725" w:rsidP="00D900B5">
            <w:pPr>
              <w:jc w:val="center"/>
              <w:rPr>
                <w:sz w:val="20"/>
                <w:szCs w:val="20"/>
              </w:rPr>
            </w:pPr>
            <w:r w:rsidRPr="006C05B5">
              <w:rPr>
                <w:sz w:val="20"/>
                <w:szCs w:val="20"/>
              </w:rPr>
              <w:t>0.72</w:t>
            </w:r>
          </w:p>
        </w:tc>
        <w:tc>
          <w:tcPr>
            <w:tcW w:w="1238" w:type="dxa"/>
          </w:tcPr>
          <w:p w:rsidR="00450725" w:rsidRPr="006C05B5" w:rsidRDefault="00450725" w:rsidP="00D900B5">
            <w:pPr>
              <w:jc w:val="center"/>
              <w:rPr>
                <w:sz w:val="20"/>
                <w:szCs w:val="20"/>
              </w:rPr>
            </w:pPr>
            <w:r w:rsidRPr="006C05B5">
              <w:rPr>
                <w:sz w:val="20"/>
                <w:szCs w:val="20"/>
              </w:rPr>
              <w:t>0.04</w:t>
            </w:r>
          </w:p>
        </w:tc>
        <w:tc>
          <w:tcPr>
            <w:tcW w:w="1120" w:type="dxa"/>
          </w:tcPr>
          <w:p w:rsidR="00450725" w:rsidRPr="006C05B5" w:rsidRDefault="00450725" w:rsidP="00D900B5">
            <w:pPr>
              <w:jc w:val="center"/>
              <w:rPr>
                <w:sz w:val="20"/>
                <w:szCs w:val="20"/>
              </w:rPr>
            </w:pPr>
            <w:r w:rsidRPr="006C05B5">
              <w:rPr>
                <w:sz w:val="20"/>
                <w:szCs w:val="20"/>
              </w:rPr>
              <w:t>0.32</w:t>
            </w:r>
          </w:p>
        </w:tc>
        <w:tc>
          <w:tcPr>
            <w:tcW w:w="1097" w:type="dxa"/>
          </w:tcPr>
          <w:p w:rsidR="00450725" w:rsidRPr="006C05B5" w:rsidRDefault="00450725" w:rsidP="00D900B5">
            <w:pPr>
              <w:jc w:val="center"/>
              <w:rPr>
                <w:sz w:val="20"/>
                <w:szCs w:val="20"/>
              </w:rPr>
            </w:pPr>
            <w:r w:rsidRPr="006C05B5">
              <w:rPr>
                <w:sz w:val="20"/>
                <w:szCs w:val="20"/>
              </w:rPr>
              <w:t>109</w:t>
            </w:r>
          </w:p>
        </w:tc>
      </w:tr>
      <w:tr w:rsidR="00A874AC" w:rsidRPr="006C05B5" w:rsidTr="00D900B5">
        <w:trPr>
          <w:trHeight w:val="346"/>
          <w:jc w:val="center"/>
        </w:trPr>
        <w:tc>
          <w:tcPr>
            <w:tcW w:w="1142" w:type="dxa"/>
            <w:vMerge/>
          </w:tcPr>
          <w:p w:rsidR="00450725" w:rsidRPr="006C05B5" w:rsidRDefault="00450725" w:rsidP="00D900B5">
            <w:pPr>
              <w:jc w:val="left"/>
              <w:rPr>
                <w:sz w:val="20"/>
                <w:szCs w:val="20"/>
              </w:rPr>
            </w:pPr>
          </w:p>
        </w:tc>
        <w:tc>
          <w:tcPr>
            <w:tcW w:w="3487" w:type="dxa"/>
            <w:shd w:val="clear" w:color="auto" w:fill="D2EAF1"/>
            <w:vAlign w:val="center"/>
          </w:tcPr>
          <w:p w:rsidR="00450725" w:rsidRPr="006C05B5" w:rsidRDefault="00450725" w:rsidP="00D900B5">
            <w:pPr>
              <w:jc w:val="left"/>
              <w:rPr>
                <w:sz w:val="20"/>
                <w:szCs w:val="20"/>
              </w:rPr>
            </w:pPr>
            <w:r w:rsidRPr="006C05B5">
              <w:rPr>
                <w:sz w:val="20"/>
                <w:szCs w:val="20"/>
              </w:rPr>
              <w:t>School Energy Pledge Program (SEP)</w:t>
            </w:r>
          </w:p>
        </w:tc>
        <w:tc>
          <w:tcPr>
            <w:tcW w:w="1158" w:type="dxa"/>
            <w:shd w:val="clear" w:color="auto" w:fill="D2EAF1"/>
          </w:tcPr>
          <w:p w:rsidR="00450725" w:rsidRPr="006C05B5" w:rsidRDefault="00450725" w:rsidP="00D900B5">
            <w:pPr>
              <w:jc w:val="center"/>
              <w:rPr>
                <w:sz w:val="20"/>
                <w:szCs w:val="20"/>
              </w:rPr>
            </w:pPr>
            <w:r w:rsidRPr="006C05B5">
              <w:rPr>
                <w:sz w:val="20"/>
                <w:szCs w:val="20"/>
              </w:rPr>
              <w:t>0.31</w:t>
            </w:r>
          </w:p>
        </w:tc>
        <w:tc>
          <w:tcPr>
            <w:tcW w:w="1238" w:type="dxa"/>
            <w:shd w:val="clear" w:color="auto" w:fill="D2EAF1"/>
          </w:tcPr>
          <w:p w:rsidR="00450725" w:rsidRPr="006C05B5" w:rsidRDefault="00450725" w:rsidP="00D900B5">
            <w:pPr>
              <w:jc w:val="center"/>
              <w:rPr>
                <w:sz w:val="20"/>
                <w:szCs w:val="20"/>
              </w:rPr>
            </w:pPr>
            <w:r w:rsidRPr="006C05B5">
              <w:rPr>
                <w:sz w:val="20"/>
                <w:szCs w:val="20"/>
              </w:rPr>
              <w:t>0.19</w:t>
            </w:r>
          </w:p>
        </w:tc>
        <w:tc>
          <w:tcPr>
            <w:tcW w:w="1120" w:type="dxa"/>
            <w:shd w:val="clear" w:color="auto" w:fill="D2EAF1"/>
          </w:tcPr>
          <w:p w:rsidR="00450725" w:rsidRPr="006C05B5" w:rsidRDefault="00450725" w:rsidP="00D900B5">
            <w:pPr>
              <w:jc w:val="center"/>
              <w:rPr>
                <w:sz w:val="20"/>
                <w:szCs w:val="20"/>
              </w:rPr>
            </w:pPr>
            <w:r w:rsidRPr="006C05B5">
              <w:rPr>
                <w:sz w:val="20"/>
                <w:szCs w:val="20"/>
              </w:rPr>
              <w:t>0.87</w:t>
            </w:r>
          </w:p>
        </w:tc>
        <w:tc>
          <w:tcPr>
            <w:tcW w:w="1097" w:type="dxa"/>
            <w:shd w:val="clear" w:color="auto" w:fill="D2EAF1"/>
          </w:tcPr>
          <w:p w:rsidR="00450725" w:rsidRPr="006C05B5" w:rsidRDefault="00450725" w:rsidP="00D900B5">
            <w:pPr>
              <w:jc w:val="center"/>
              <w:rPr>
                <w:sz w:val="20"/>
                <w:szCs w:val="20"/>
              </w:rPr>
            </w:pPr>
            <w:r w:rsidRPr="006C05B5">
              <w:rPr>
                <w:sz w:val="20"/>
                <w:szCs w:val="20"/>
              </w:rPr>
              <w:t>27</w:t>
            </w:r>
          </w:p>
        </w:tc>
      </w:tr>
      <w:tr w:rsidR="00E7173E" w:rsidRPr="006C05B5" w:rsidTr="00DD4CC7">
        <w:trPr>
          <w:trHeight w:val="346"/>
          <w:jc w:val="center"/>
        </w:trPr>
        <w:tc>
          <w:tcPr>
            <w:tcW w:w="1142" w:type="dxa"/>
            <w:vMerge/>
          </w:tcPr>
          <w:p w:rsidR="00450725" w:rsidRPr="006C05B5" w:rsidRDefault="00450725" w:rsidP="00D900B5">
            <w:pPr>
              <w:jc w:val="left"/>
              <w:rPr>
                <w:sz w:val="20"/>
                <w:szCs w:val="20"/>
              </w:rPr>
            </w:pPr>
          </w:p>
        </w:tc>
        <w:tc>
          <w:tcPr>
            <w:tcW w:w="3487" w:type="dxa"/>
            <w:shd w:val="clear" w:color="auto" w:fill="auto"/>
            <w:vAlign w:val="center"/>
          </w:tcPr>
          <w:p w:rsidR="00450725" w:rsidRPr="006C05B5" w:rsidDel="00AC52AD" w:rsidRDefault="00450725" w:rsidP="00D900B5">
            <w:pPr>
              <w:jc w:val="left"/>
              <w:rPr>
                <w:sz w:val="20"/>
                <w:szCs w:val="20"/>
              </w:rPr>
            </w:pPr>
            <w:r w:rsidRPr="006C05B5">
              <w:rPr>
                <w:sz w:val="20"/>
                <w:szCs w:val="20"/>
              </w:rPr>
              <w:t>Whole House Energy Audit Program (WHEAP)</w:t>
            </w:r>
          </w:p>
        </w:tc>
        <w:tc>
          <w:tcPr>
            <w:tcW w:w="1158" w:type="dxa"/>
            <w:shd w:val="clear" w:color="auto" w:fill="auto"/>
          </w:tcPr>
          <w:p w:rsidR="00450725" w:rsidRPr="006C05B5" w:rsidRDefault="00450725" w:rsidP="00D900B5">
            <w:pPr>
              <w:jc w:val="center"/>
              <w:rPr>
                <w:sz w:val="20"/>
                <w:szCs w:val="20"/>
              </w:rPr>
            </w:pPr>
            <w:r w:rsidRPr="006C05B5">
              <w:rPr>
                <w:sz w:val="20"/>
                <w:szCs w:val="20"/>
              </w:rPr>
              <w:t>0.33</w:t>
            </w:r>
          </w:p>
        </w:tc>
        <w:tc>
          <w:tcPr>
            <w:tcW w:w="1238" w:type="dxa"/>
            <w:shd w:val="clear" w:color="auto" w:fill="auto"/>
          </w:tcPr>
          <w:p w:rsidR="00450725" w:rsidRPr="006C05B5" w:rsidRDefault="00450725" w:rsidP="00D900B5">
            <w:pPr>
              <w:jc w:val="center"/>
              <w:rPr>
                <w:sz w:val="20"/>
                <w:szCs w:val="20"/>
              </w:rPr>
            </w:pPr>
            <w:r w:rsidRPr="006C05B5">
              <w:rPr>
                <w:sz w:val="20"/>
                <w:szCs w:val="20"/>
              </w:rPr>
              <w:t>0.06</w:t>
            </w:r>
          </w:p>
        </w:tc>
        <w:tc>
          <w:tcPr>
            <w:tcW w:w="1120" w:type="dxa"/>
            <w:shd w:val="clear" w:color="auto" w:fill="auto"/>
          </w:tcPr>
          <w:p w:rsidR="00450725" w:rsidRPr="006C05B5" w:rsidRDefault="00450725" w:rsidP="00D900B5">
            <w:pPr>
              <w:jc w:val="center"/>
              <w:rPr>
                <w:sz w:val="20"/>
                <w:szCs w:val="20"/>
              </w:rPr>
            </w:pPr>
            <w:r w:rsidRPr="006C05B5">
              <w:rPr>
                <w:sz w:val="20"/>
                <w:szCs w:val="20"/>
              </w:rPr>
              <w:t>0.73</w:t>
            </w:r>
          </w:p>
        </w:tc>
        <w:tc>
          <w:tcPr>
            <w:tcW w:w="1097" w:type="dxa"/>
            <w:shd w:val="clear" w:color="auto" w:fill="auto"/>
            <w:vAlign w:val="center"/>
          </w:tcPr>
          <w:p w:rsidR="00450725" w:rsidRPr="006C05B5" w:rsidRDefault="00450725" w:rsidP="00D900B5">
            <w:pPr>
              <w:jc w:val="center"/>
              <w:rPr>
                <w:sz w:val="20"/>
                <w:szCs w:val="20"/>
              </w:rPr>
            </w:pPr>
            <w:r w:rsidRPr="006C05B5">
              <w:rPr>
                <w:sz w:val="20"/>
                <w:szCs w:val="20"/>
              </w:rPr>
              <w:t>22</w:t>
            </w:r>
          </w:p>
        </w:tc>
      </w:tr>
      <w:tr w:rsidR="00E7173E" w:rsidRPr="006C05B5" w:rsidTr="00DD4CC7">
        <w:trPr>
          <w:trHeight w:val="346"/>
          <w:jc w:val="center"/>
        </w:trPr>
        <w:tc>
          <w:tcPr>
            <w:tcW w:w="1142" w:type="dxa"/>
          </w:tcPr>
          <w:p w:rsidR="00450725" w:rsidRPr="006C05B5" w:rsidRDefault="00450725" w:rsidP="00D900B5">
            <w:pPr>
              <w:jc w:val="left"/>
              <w:rPr>
                <w:sz w:val="20"/>
                <w:szCs w:val="20"/>
              </w:rPr>
            </w:pPr>
            <w:r w:rsidRPr="006C05B5">
              <w:rPr>
                <w:sz w:val="20"/>
                <w:szCs w:val="20"/>
              </w:rPr>
              <w:t>Not calculated</w:t>
            </w:r>
          </w:p>
        </w:tc>
        <w:tc>
          <w:tcPr>
            <w:tcW w:w="3487" w:type="dxa"/>
            <w:shd w:val="clear" w:color="auto" w:fill="auto"/>
            <w:vAlign w:val="center"/>
          </w:tcPr>
          <w:p w:rsidR="00450725" w:rsidRPr="006C05B5" w:rsidRDefault="00450725" w:rsidP="00D900B5">
            <w:pPr>
              <w:jc w:val="left"/>
              <w:rPr>
                <w:sz w:val="20"/>
                <w:szCs w:val="20"/>
              </w:rPr>
            </w:pPr>
            <w:r w:rsidRPr="006C05B5">
              <w:rPr>
                <w:sz w:val="20"/>
                <w:szCs w:val="20"/>
              </w:rPr>
              <w:t>Residential Home Energy</w:t>
            </w:r>
          </w:p>
          <w:p w:rsidR="00450725" w:rsidRPr="006C05B5" w:rsidRDefault="00450725" w:rsidP="00D900B5">
            <w:pPr>
              <w:jc w:val="left"/>
              <w:rPr>
                <w:sz w:val="20"/>
                <w:szCs w:val="20"/>
              </w:rPr>
            </w:pPr>
            <w:r w:rsidRPr="006C05B5">
              <w:rPr>
                <w:sz w:val="20"/>
                <w:szCs w:val="20"/>
              </w:rPr>
              <w:t>Report (HER) Program</w:t>
            </w:r>
          </w:p>
        </w:tc>
        <w:tc>
          <w:tcPr>
            <w:tcW w:w="1158" w:type="dxa"/>
            <w:shd w:val="clear" w:color="auto" w:fill="auto"/>
          </w:tcPr>
          <w:p w:rsidR="00450725" w:rsidRPr="006C05B5" w:rsidRDefault="00450725" w:rsidP="00D900B5">
            <w:pPr>
              <w:jc w:val="center"/>
              <w:rPr>
                <w:sz w:val="20"/>
                <w:szCs w:val="20"/>
              </w:rPr>
            </w:pPr>
            <w:r w:rsidRPr="006C05B5">
              <w:rPr>
                <w:sz w:val="20"/>
                <w:szCs w:val="20"/>
              </w:rPr>
              <w:t>N/A</w:t>
            </w:r>
          </w:p>
        </w:tc>
        <w:tc>
          <w:tcPr>
            <w:tcW w:w="1238" w:type="dxa"/>
            <w:shd w:val="clear" w:color="auto" w:fill="auto"/>
          </w:tcPr>
          <w:p w:rsidR="00450725" w:rsidRPr="006C05B5" w:rsidRDefault="00450725" w:rsidP="00D900B5">
            <w:pPr>
              <w:jc w:val="center"/>
              <w:rPr>
                <w:sz w:val="20"/>
                <w:szCs w:val="20"/>
              </w:rPr>
            </w:pPr>
            <w:r w:rsidRPr="006C05B5">
              <w:rPr>
                <w:sz w:val="20"/>
                <w:szCs w:val="20"/>
              </w:rPr>
              <w:t>N/A</w:t>
            </w:r>
          </w:p>
        </w:tc>
        <w:tc>
          <w:tcPr>
            <w:tcW w:w="1120" w:type="dxa"/>
            <w:shd w:val="clear" w:color="auto" w:fill="auto"/>
          </w:tcPr>
          <w:p w:rsidR="00450725" w:rsidRPr="006C05B5" w:rsidRDefault="00450725" w:rsidP="00D900B5">
            <w:pPr>
              <w:jc w:val="center"/>
              <w:rPr>
                <w:sz w:val="20"/>
                <w:szCs w:val="20"/>
              </w:rPr>
            </w:pPr>
            <w:r w:rsidRPr="006C05B5">
              <w:rPr>
                <w:sz w:val="20"/>
                <w:szCs w:val="20"/>
              </w:rPr>
              <w:t>N/A</w:t>
            </w:r>
          </w:p>
        </w:tc>
        <w:tc>
          <w:tcPr>
            <w:tcW w:w="1097" w:type="dxa"/>
            <w:shd w:val="clear" w:color="auto" w:fill="auto"/>
          </w:tcPr>
          <w:p w:rsidR="00450725" w:rsidRPr="006C05B5" w:rsidDel="00441F9D" w:rsidRDefault="00450725" w:rsidP="00D900B5">
            <w:pPr>
              <w:jc w:val="center"/>
              <w:rPr>
                <w:sz w:val="20"/>
                <w:szCs w:val="20"/>
              </w:rPr>
            </w:pPr>
            <w:r w:rsidRPr="006C05B5">
              <w:rPr>
                <w:sz w:val="20"/>
                <w:szCs w:val="20"/>
              </w:rPr>
              <w:t>N/A</w:t>
            </w:r>
          </w:p>
        </w:tc>
      </w:tr>
      <w:tr w:rsidR="00E7173E" w:rsidRPr="006C05B5" w:rsidTr="00DD4CC7">
        <w:trPr>
          <w:jc w:val="center"/>
        </w:trPr>
        <w:tc>
          <w:tcPr>
            <w:tcW w:w="9242" w:type="dxa"/>
            <w:gridSpan w:val="6"/>
            <w:shd w:val="clear" w:color="auto" w:fill="448A99"/>
          </w:tcPr>
          <w:p w:rsidR="00450725" w:rsidRPr="006C05B5" w:rsidRDefault="00450725" w:rsidP="00D900B5">
            <w:pPr>
              <w:jc w:val="left"/>
              <w:rPr>
                <w:color w:val="FFFFFF"/>
                <w:sz w:val="18"/>
              </w:rPr>
            </w:pPr>
            <w:r w:rsidRPr="006C05B5">
              <w:rPr>
                <w:color w:val="FFFFFF"/>
                <w:sz w:val="18"/>
              </w:rPr>
              <w:t>NOTES</w:t>
            </w:r>
            <w:r w:rsidR="00EA0C08">
              <w:rPr>
                <w:color w:val="FFFFFF"/>
                <w:sz w:val="18"/>
              </w:rPr>
              <w:t>:</w:t>
            </w:r>
          </w:p>
          <w:p w:rsidR="00450725" w:rsidRPr="006C05B5" w:rsidRDefault="00450725" w:rsidP="00D900B5">
            <w:pPr>
              <w:jc w:val="left"/>
              <w:rPr>
                <w:color w:val="FFFFFF"/>
                <w:sz w:val="18"/>
                <w:szCs w:val="20"/>
              </w:rPr>
            </w:pPr>
            <w:r w:rsidRPr="006C05B5">
              <w:rPr>
                <w:color w:val="FFFFFF"/>
                <w:sz w:val="18"/>
                <w:szCs w:val="18"/>
                <w:vertAlign w:val="superscript"/>
              </w:rPr>
              <w:t>[a]</w:t>
            </w:r>
            <w:r w:rsidRPr="006C05B5">
              <w:rPr>
                <w:bCs/>
                <w:color w:val="FFFFFF"/>
                <w:sz w:val="18"/>
                <w:szCs w:val="20"/>
              </w:rPr>
              <w:t xml:space="preserve"> </w:t>
            </w:r>
            <w:r w:rsidRPr="006C05B5">
              <w:rPr>
                <w:color w:val="FFFFFF"/>
                <w:sz w:val="18"/>
                <w:szCs w:val="20"/>
              </w:rPr>
              <w:t xml:space="preserve">NTGR = 1 – free-ridership + spillover. In some cases, the NTGR shown in the table may not equal exactly 1 – </w:t>
            </w:r>
            <w:r w:rsidRPr="006C05B5">
              <w:rPr>
                <w:rFonts w:eastAsia="Calibri"/>
                <w:color w:val="FFFFFF"/>
                <w:sz w:val="18"/>
                <w:szCs w:val="20"/>
              </w:rPr>
              <w:t>free-ridership + spillover</w:t>
            </w:r>
            <w:r w:rsidRPr="006C05B5">
              <w:rPr>
                <w:color w:val="FFFFFF"/>
                <w:sz w:val="18"/>
                <w:szCs w:val="20"/>
              </w:rPr>
              <w:t xml:space="preserve"> because of rounding.</w:t>
            </w:r>
          </w:p>
          <w:p w:rsidR="00450725" w:rsidRPr="006C05B5" w:rsidRDefault="00450725" w:rsidP="00D900B5">
            <w:pPr>
              <w:jc w:val="left"/>
              <w:rPr>
                <w:color w:val="FFFFFF"/>
                <w:sz w:val="18"/>
              </w:rPr>
            </w:pPr>
            <w:r w:rsidRPr="006C05B5">
              <w:rPr>
                <w:color w:val="FFFFFF"/>
                <w:sz w:val="18"/>
                <w:szCs w:val="18"/>
                <w:vertAlign w:val="superscript"/>
              </w:rPr>
              <w:t>[b]</w:t>
            </w:r>
            <w:r w:rsidRPr="006C05B5">
              <w:rPr>
                <w:color w:val="FFFFFF"/>
                <w:sz w:val="18"/>
              </w:rPr>
              <w:t xml:space="preserve"> The sample sizes provided at least 85/15 confidence/precision. </w:t>
            </w:r>
          </w:p>
        </w:tc>
      </w:tr>
    </w:tbl>
    <w:p w:rsidR="00450725" w:rsidRPr="006C05B5" w:rsidRDefault="00450725" w:rsidP="00450725"/>
    <w:p w:rsidR="00450725" w:rsidRDefault="00450725" w:rsidP="00745011">
      <w:pPr>
        <w:pStyle w:val="AppendixAHeading4"/>
      </w:pPr>
      <w:r>
        <w:t>Low-Income Residential Programs</w:t>
      </w:r>
    </w:p>
    <w:p w:rsidR="00450725" w:rsidRPr="006C05B5" w:rsidRDefault="00450725" w:rsidP="00450725">
      <w:pPr>
        <w:rPr>
          <w:highlight w:val="lightGray"/>
        </w:rPr>
      </w:pPr>
      <w:r w:rsidRPr="006C05B5">
        <w:t>LIEEP participants were low-income participants within each of the residential programs described above (</w:t>
      </w:r>
      <w:r w:rsidR="001A5B6F">
        <w:t xml:space="preserve">see </w:t>
      </w:r>
      <w:r w:rsidRPr="006C05B5">
        <w:t>Section</w:t>
      </w:r>
      <w:r w:rsidR="00923DBC">
        <w:t xml:space="preserve"> </w:t>
      </w:r>
      <w:r w:rsidR="00923DBC">
        <w:fldChar w:fldCharType="begin"/>
      </w:r>
      <w:r w:rsidR="00923DBC">
        <w:instrText xml:space="preserve"> REF _Ref473209494 \r \h </w:instrText>
      </w:r>
      <w:r w:rsidR="00923DBC">
        <w:fldChar w:fldCharType="separate"/>
      </w:r>
      <w:r w:rsidR="00C301D0">
        <w:t>A.1.4.4.1</w:t>
      </w:r>
      <w:r w:rsidR="00923DBC">
        <w:fldChar w:fldCharType="end"/>
      </w:r>
      <w:r w:rsidRPr="006C05B5">
        <w:t xml:space="preserve">). Therefore, the comments in </w:t>
      </w:r>
      <w:r w:rsidR="00A04A88" w:rsidRPr="006C05B5">
        <w:t>Section</w:t>
      </w:r>
      <w:r w:rsidR="00A04A88">
        <w:t xml:space="preserve"> </w:t>
      </w:r>
      <w:r w:rsidR="00A04A88">
        <w:fldChar w:fldCharType="begin"/>
      </w:r>
      <w:r w:rsidR="00A04A88">
        <w:instrText xml:space="preserve"> REF _Ref473209494 \r \h </w:instrText>
      </w:r>
      <w:r w:rsidR="00A04A88">
        <w:fldChar w:fldCharType="separate"/>
      </w:r>
      <w:r w:rsidR="00C301D0">
        <w:t>A.1.4.4.1</w:t>
      </w:r>
      <w:r w:rsidR="00A04A88">
        <w:fldChar w:fldCharType="end"/>
      </w:r>
      <w:r w:rsidR="00A04A88">
        <w:t xml:space="preserve"> </w:t>
      </w:r>
      <w:r w:rsidRPr="006C05B5">
        <w:t xml:space="preserve">also apply here. </w:t>
      </w:r>
    </w:p>
    <w:p w:rsidR="001C391A" w:rsidRDefault="001C391A" w:rsidP="00450725"/>
    <w:p w:rsidR="00450725" w:rsidRPr="006C05B5" w:rsidRDefault="001C391A" w:rsidP="00450725">
      <w:r>
        <w:fldChar w:fldCharType="begin"/>
      </w:r>
      <w:r>
        <w:instrText xml:space="preserve"> REF _Ref473715203 \h </w:instrText>
      </w:r>
      <w:r>
        <w:fldChar w:fldCharType="separate"/>
      </w:r>
      <w:r w:rsidR="00A874AC" w:rsidRPr="00823FE0">
        <w:t>Table A-</w:t>
      </w:r>
      <w:r w:rsidR="00A874AC">
        <w:rPr>
          <w:noProof/>
        </w:rPr>
        <w:t>23</w:t>
      </w:r>
      <w:r>
        <w:fldChar w:fldCharType="end"/>
      </w:r>
      <w:r>
        <w:t xml:space="preserve"> </w:t>
      </w:r>
      <w:r w:rsidR="00450725" w:rsidRPr="006C05B5">
        <w:t>summarizes the SWE Team’s review of the low-income NTG activities. The SWE Team found Navigant’s description of the NTG methods to be relatively clear and the application of the SWE common methods to be error-free.</w:t>
      </w:r>
      <w:bookmarkStart w:id="625" w:name="_Ref408849672"/>
      <w:bookmarkStart w:id="626" w:name="_Toc409225007"/>
      <w:bookmarkStart w:id="627" w:name="_Toc409443559"/>
      <w:r w:rsidR="00450725" w:rsidRPr="006C05B5">
        <w:t xml:space="preserve"> However, the SWE Team’s review of Navigant’s NTG data files revealed some reporting errors, which Navigant confirmed via email. </w:t>
      </w:r>
      <w:r w:rsidR="00F143C0">
        <w:fldChar w:fldCharType="begin"/>
      </w:r>
      <w:r w:rsidR="00F143C0">
        <w:instrText xml:space="preserve"> REF _Ref472471640 \h </w:instrText>
      </w:r>
      <w:r w:rsidR="00F143C0">
        <w:fldChar w:fldCharType="separate"/>
      </w:r>
      <w:r w:rsidR="00A874AC" w:rsidRPr="00823FE0">
        <w:t>Table A-</w:t>
      </w:r>
      <w:r w:rsidR="00A874AC">
        <w:rPr>
          <w:noProof/>
        </w:rPr>
        <w:t>24</w:t>
      </w:r>
      <w:r w:rsidR="00F143C0">
        <w:fldChar w:fldCharType="end"/>
      </w:r>
      <w:r w:rsidR="00F143C0">
        <w:t xml:space="preserve"> </w:t>
      </w:r>
      <w:r w:rsidR="00450725" w:rsidRPr="006C05B5">
        <w:t>shows the corrected values.</w:t>
      </w:r>
    </w:p>
    <w:p w:rsidR="00450725" w:rsidRPr="006C05B5" w:rsidRDefault="00450725" w:rsidP="00450725">
      <w:pPr>
        <w:rPr>
          <w:highlight w:val="lightGray"/>
        </w:rPr>
      </w:pPr>
    </w:p>
    <w:p w:rsidR="001C391A" w:rsidRDefault="001C391A" w:rsidP="00823FE0">
      <w:pPr>
        <w:pStyle w:val="Caption"/>
      </w:pPr>
      <w:bookmarkStart w:id="628" w:name="_Ref472471609"/>
      <w:bookmarkStart w:id="629" w:name="_Toc444269732"/>
      <w:bookmarkStart w:id="630" w:name="_Toc472472432"/>
      <w:bookmarkEnd w:id="625"/>
    </w:p>
    <w:p w:rsidR="001C391A" w:rsidRDefault="001C391A" w:rsidP="00823FE0">
      <w:pPr>
        <w:pStyle w:val="Caption"/>
      </w:pPr>
    </w:p>
    <w:p w:rsidR="001C391A" w:rsidRDefault="001C391A" w:rsidP="00823FE0">
      <w:pPr>
        <w:pStyle w:val="Caption"/>
      </w:pPr>
    </w:p>
    <w:p w:rsidR="001C391A" w:rsidRDefault="001C391A" w:rsidP="00823FE0">
      <w:pPr>
        <w:pStyle w:val="Caption"/>
      </w:pPr>
    </w:p>
    <w:p w:rsidR="00450725" w:rsidRPr="00823FE0" w:rsidRDefault="00823FE0" w:rsidP="00823FE0">
      <w:pPr>
        <w:pStyle w:val="Caption"/>
      </w:pPr>
      <w:bookmarkStart w:id="631" w:name="_Ref473715203"/>
      <w:bookmarkStart w:id="632" w:name="_Toc476842138"/>
      <w:r w:rsidRPr="00823FE0">
        <w:lastRenderedPageBreak/>
        <w:t>Table A-</w:t>
      </w:r>
      <w:fldSimple w:instr=" SEQ Table_A- \* ARABIC ">
        <w:r w:rsidR="00C301D0">
          <w:rPr>
            <w:noProof/>
          </w:rPr>
          <w:t>23</w:t>
        </w:r>
      </w:fldSimple>
      <w:bookmarkEnd w:id="628"/>
      <w:bookmarkEnd w:id="631"/>
      <w:r w:rsidRPr="00823FE0">
        <w:t xml:space="preserve">: </w:t>
      </w:r>
      <w:r w:rsidR="00450725" w:rsidRPr="00823FE0">
        <w:t>Summary of NTG Audit of Duquesne’s</w:t>
      </w:r>
      <w:r w:rsidR="00450725" w:rsidRPr="00823FE0" w:rsidDel="00FB4C9C">
        <w:t xml:space="preserve"> </w:t>
      </w:r>
      <w:r w:rsidR="00450725" w:rsidRPr="00823FE0">
        <w:t>Low-Income Program</w:t>
      </w:r>
      <w:bookmarkEnd w:id="626"/>
      <w:bookmarkEnd w:id="627"/>
      <w:bookmarkEnd w:id="629"/>
      <w:bookmarkEnd w:id="630"/>
      <w:bookmarkEnd w:id="632"/>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92"/>
        <w:gridCol w:w="3078"/>
        <w:gridCol w:w="4590"/>
      </w:tblGrid>
      <w:tr w:rsidR="00E7173E" w:rsidRPr="006C05B5" w:rsidTr="00DD4CC7">
        <w:trPr>
          <w:trHeight w:val="368"/>
          <w:tblHeader/>
          <w:jc w:val="center"/>
        </w:trPr>
        <w:tc>
          <w:tcPr>
            <w:tcW w:w="1692" w:type="dxa"/>
            <w:shd w:val="clear" w:color="auto" w:fill="448A99"/>
            <w:vAlign w:val="bottom"/>
          </w:tcPr>
          <w:p w:rsidR="00450725" w:rsidRPr="006C05B5" w:rsidRDefault="00450725" w:rsidP="00D900B5">
            <w:pPr>
              <w:jc w:val="left"/>
              <w:rPr>
                <w:b/>
                <w:color w:val="FFFFFF"/>
                <w:sz w:val="20"/>
                <w:szCs w:val="20"/>
              </w:rPr>
            </w:pPr>
            <w:r w:rsidRPr="006C05B5">
              <w:rPr>
                <w:b/>
                <w:color w:val="FFFFFF"/>
                <w:sz w:val="20"/>
                <w:szCs w:val="20"/>
              </w:rPr>
              <w:t>Program</w:t>
            </w:r>
          </w:p>
        </w:tc>
        <w:tc>
          <w:tcPr>
            <w:tcW w:w="3078" w:type="dxa"/>
            <w:shd w:val="clear" w:color="auto" w:fill="448A99"/>
            <w:vAlign w:val="bottom"/>
          </w:tcPr>
          <w:p w:rsidR="00450725" w:rsidRPr="006C05B5" w:rsidRDefault="00450725" w:rsidP="00D900B5">
            <w:pPr>
              <w:jc w:val="center"/>
              <w:rPr>
                <w:b/>
                <w:color w:val="FFFFFF"/>
                <w:sz w:val="20"/>
                <w:szCs w:val="20"/>
              </w:rPr>
            </w:pPr>
            <w:r w:rsidRPr="006C05B5">
              <w:rPr>
                <w:b/>
                <w:color w:val="FFFFFF"/>
                <w:sz w:val="20"/>
                <w:szCs w:val="20"/>
              </w:rPr>
              <w:t>NTG Method</w:t>
            </w:r>
          </w:p>
        </w:tc>
        <w:tc>
          <w:tcPr>
            <w:tcW w:w="4590" w:type="dxa"/>
            <w:shd w:val="clear" w:color="auto" w:fill="448A99"/>
            <w:vAlign w:val="bottom"/>
          </w:tcPr>
          <w:p w:rsidR="00450725" w:rsidRPr="006C05B5" w:rsidRDefault="00450725" w:rsidP="00D900B5">
            <w:pPr>
              <w:jc w:val="center"/>
              <w:rPr>
                <w:b/>
                <w:color w:val="FFFFFF"/>
                <w:sz w:val="20"/>
                <w:szCs w:val="20"/>
              </w:rPr>
            </w:pPr>
            <w:r w:rsidRPr="006C05B5">
              <w:rPr>
                <w:b/>
                <w:color w:val="FFFFFF"/>
                <w:sz w:val="20"/>
                <w:szCs w:val="20"/>
              </w:rPr>
              <w:t>Review Comments</w:t>
            </w:r>
          </w:p>
        </w:tc>
      </w:tr>
      <w:tr w:rsidR="00E7173E" w:rsidRPr="006C05B5" w:rsidTr="00DD4CC7">
        <w:trPr>
          <w:jc w:val="center"/>
        </w:trPr>
        <w:tc>
          <w:tcPr>
            <w:tcW w:w="1692" w:type="dxa"/>
            <w:shd w:val="clear" w:color="auto" w:fill="D2EAF1"/>
          </w:tcPr>
          <w:p w:rsidR="00450725" w:rsidRPr="006C05B5" w:rsidRDefault="00450725" w:rsidP="00D900B5">
            <w:pPr>
              <w:jc w:val="left"/>
              <w:rPr>
                <w:color w:val="000000"/>
                <w:sz w:val="20"/>
                <w:szCs w:val="20"/>
              </w:rPr>
            </w:pPr>
            <w:r w:rsidRPr="006C05B5">
              <w:rPr>
                <w:sz w:val="20"/>
                <w:szCs w:val="20"/>
              </w:rPr>
              <w:t>Low-Income Energy Efficiency Program (LIEEP)</w:t>
            </w:r>
          </w:p>
        </w:tc>
        <w:tc>
          <w:tcPr>
            <w:tcW w:w="3078" w:type="dxa"/>
            <w:shd w:val="clear" w:color="auto" w:fill="D2EAF1"/>
          </w:tcPr>
          <w:p w:rsidR="00450725" w:rsidRPr="006C05B5" w:rsidRDefault="00450725" w:rsidP="00D900B5">
            <w:pPr>
              <w:jc w:val="left"/>
              <w:rPr>
                <w:sz w:val="20"/>
                <w:szCs w:val="20"/>
              </w:rPr>
            </w:pPr>
            <w:r w:rsidRPr="006C05B5">
              <w:rPr>
                <w:sz w:val="20"/>
                <w:szCs w:val="20"/>
              </w:rPr>
              <w:t>The common method was used for downstream components, with acceptable modifications. Navigant used a method informed by the common method to estimate upstream lighting NTG.</w:t>
            </w:r>
          </w:p>
        </w:tc>
        <w:tc>
          <w:tcPr>
            <w:tcW w:w="4590" w:type="dxa"/>
            <w:shd w:val="clear" w:color="auto" w:fill="D2EAF1"/>
          </w:tcPr>
          <w:p w:rsidR="00450725" w:rsidRPr="006C05B5" w:rsidRDefault="00450725" w:rsidP="001A5B6F">
            <w:pPr>
              <w:jc w:val="left"/>
              <w:rPr>
                <w:sz w:val="20"/>
                <w:szCs w:val="20"/>
              </w:rPr>
            </w:pPr>
            <w:r w:rsidRPr="006C05B5">
              <w:rPr>
                <w:sz w:val="20"/>
                <w:szCs w:val="20"/>
              </w:rPr>
              <w:t xml:space="preserve">Participants were low-income participants within each program, so the </w:t>
            </w:r>
            <w:r w:rsidRPr="00F143C0">
              <w:rPr>
                <w:sz w:val="20"/>
                <w:szCs w:val="20"/>
              </w:rPr>
              <w:t>comments in</w:t>
            </w:r>
            <w:r w:rsidR="00F143C0" w:rsidRPr="00F143C0">
              <w:rPr>
                <w:sz w:val="20"/>
                <w:szCs w:val="20"/>
              </w:rPr>
              <w:t xml:space="preserve"> </w:t>
            </w:r>
            <w:r w:rsidR="00F143C0" w:rsidRPr="00F143C0">
              <w:rPr>
                <w:sz w:val="20"/>
                <w:szCs w:val="20"/>
              </w:rPr>
              <w:fldChar w:fldCharType="begin"/>
            </w:r>
            <w:r w:rsidR="00F143C0" w:rsidRPr="00F143C0">
              <w:rPr>
                <w:sz w:val="20"/>
                <w:szCs w:val="20"/>
              </w:rPr>
              <w:instrText xml:space="preserve"> REF _Ref472471497 \h </w:instrText>
            </w:r>
            <w:r w:rsidR="00F143C0">
              <w:rPr>
                <w:sz w:val="20"/>
                <w:szCs w:val="20"/>
              </w:rPr>
              <w:instrText xml:space="preserve"> \* MERGEFORMAT </w:instrText>
            </w:r>
            <w:r w:rsidR="00F143C0" w:rsidRPr="00F143C0">
              <w:rPr>
                <w:sz w:val="20"/>
                <w:szCs w:val="20"/>
              </w:rPr>
            </w:r>
            <w:r w:rsidR="00F143C0" w:rsidRPr="00F143C0">
              <w:rPr>
                <w:sz w:val="20"/>
                <w:szCs w:val="20"/>
              </w:rPr>
              <w:fldChar w:fldCharType="separate"/>
            </w:r>
            <w:r w:rsidR="00A874AC" w:rsidRPr="00A874AC">
              <w:rPr>
                <w:sz w:val="20"/>
                <w:szCs w:val="20"/>
              </w:rPr>
              <w:t>Table A-21</w:t>
            </w:r>
            <w:r w:rsidR="00F143C0" w:rsidRPr="00F143C0">
              <w:rPr>
                <w:sz w:val="20"/>
                <w:szCs w:val="20"/>
              </w:rPr>
              <w:fldChar w:fldCharType="end"/>
            </w:r>
            <w:r w:rsidRPr="006C05B5">
              <w:rPr>
                <w:sz w:val="20"/>
                <w:szCs w:val="20"/>
              </w:rPr>
              <w:t xml:space="preserve"> apply here as well. Navigant misprinted </w:t>
            </w:r>
            <w:r w:rsidR="001A5B6F">
              <w:rPr>
                <w:sz w:val="20"/>
                <w:szCs w:val="20"/>
              </w:rPr>
              <w:t>spillover</w:t>
            </w:r>
            <w:r w:rsidRPr="006C05B5">
              <w:rPr>
                <w:sz w:val="20"/>
                <w:szCs w:val="20"/>
              </w:rPr>
              <w:t xml:space="preserve">, NTGR, and sample size in the PY7 report. </w:t>
            </w:r>
          </w:p>
        </w:tc>
      </w:tr>
    </w:tbl>
    <w:p w:rsidR="00450725" w:rsidRPr="006C05B5" w:rsidRDefault="00450725" w:rsidP="00450725"/>
    <w:p w:rsidR="00450725" w:rsidRPr="006C05B5" w:rsidRDefault="00823FE0" w:rsidP="00450725">
      <w:r>
        <w:fldChar w:fldCharType="begin"/>
      </w:r>
      <w:r>
        <w:instrText xml:space="preserve"> REF _Ref472471640 \h </w:instrText>
      </w:r>
      <w:r>
        <w:fldChar w:fldCharType="separate"/>
      </w:r>
      <w:r w:rsidR="00A874AC" w:rsidRPr="00823FE0">
        <w:t>Table A-</w:t>
      </w:r>
      <w:r w:rsidR="00A874AC">
        <w:rPr>
          <w:noProof/>
        </w:rPr>
        <w:t>24</w:t>
      </w:r>
      <w:r>
        <w:fldChar w:fldCharType="end"/>
      </w:r>
      <w:r w:rsidR="00450725" w:rsidRPr="006C05B5">
        <w:t xml:space="preserve"> shows the NTG ratio as reported in the Duquesne PY7 annual report.</w:t>
      </w:r>
    </w:p>
    <w:p w:rsidR="00450725" w:rsidRPr="006C05B5" w:rsidRDefault="00450725" w:rsidP="00450725">
      <w:pPr>
        <w:rPr>
          <w:highlight w:val="lightGray"/>
        </w:rPr>
      </w:pPr>
    </w:p>
    <w:p w:rsidR="00450725" w:rsidRPr="00823FE0" w:rsidRDefault="00823FE0" w:rsidP="00823FE0">
      <w:pPr>
        <w:pStyle w:val="Caption"/>
      </w:pPr>
      <w:bookmarkStart w:id="633" w:name="_Ref472471640"/>
      <w:bookmarkStart w:id="634" w:name="_Toc409225008"/>
      <w:bookmarkStart w:id="635" w:name="_Toc409443560"/>
      <w:bookmarkStart w:id="636" w:name="_Toc444269733"/>
      <w:bookmarkStart w:id="637" w:name="_Toc472472433"/>
      <w:bookmarkStart w:id="638" w:name="_Toc476842139"/>
      <w:r w:rsidRPr="00823FE0">
        <w:t>Table A-</w:t>
      </w:r>
      <w:fldSimple w:instr=" SEQ Table_A- \* ARABIC ">
        <w:r w:rsidR="00C301D0">
          <w:rPr>
            <w:noProof/>
          </w:rPr>
          <w:t>24</w:t>
        </w:r>
      </w:fldSimple>
      <w:bookmarkEnd w:id="633"/>
      <w:r w:rsidRPr="00823FE0">
        <w:t xml:space="preserve">: </w:t>
      </w:r>
      <w:r w:rsidR="00450725" w:rsidRPr="00823FE0">
        <w:t>Summary of NTG Estimates for Duquesne’s Low-Income Program</w:t>
      </w:r>
      <w:bookmarkEnd w:id="634"/>
      <w:bookmarkEnd w:id="635"/>
      <w:bookmarkEnd w:id="636"/>
      <w:bookmarkEnd w:id="637"/>
      <w:bookmarkEnd w:id="638"/>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143"/>
        <w:gridCol w:w="3482"/>
        <w:gridCol w:w="1153"/>
        <w:gridCol w:w="1233"/>
        <w:gridCol w:w="1120"/>
        <w:gridCol w:w="1219"/>
      </w:tblGrid>
      <w:tr w:rsidR="00A874AC" w:rsidRPr="006C05B5" w:rsidTr="00D900B5">
        <w:trPr>
          <w:jc w:val="center"/>
        </w:trPr>
        <w:tc>
          <w:tcPr>
            <w:tcW w:w="1143" w:type="dxa"/>
            <w:tcBorders>
              <w:bottom w:val="single" w:sz="4" w:space="0" w:color="448A99"/>
            </w:tcBorders>
            <w:shd w:val="clear" w:color="auto" w:fill="448A99"/>
            <w:vAlign w:val="bottom"/>
          </w:tcPr>
          <w:p w:rsidR="00450725" w:rsidRPr="006C05B5" w:rsidRDefault="00450725" w:rsidP="00D900B5">
            <w:pPr>
              <w:keepNext/>
              <w:keepLines/>
              <w:jc w:val="left"/>
              <w:rPr>
                <w:b/>
                <w:color w:val="FFFFFF"/>
                <w:sz w:val="20"/>
                <w:szCs w:val="20"/>
              </w:rPr>
            </w:pPr>
            <w:r w:rsidRPr="006C05B5">
              <w:rPr>
                <w:b/>
                <w:color w:val="FFFFFF"/>
                <w:sz w:val="20"/>
                <w:szCs w:val="20"/>
              </w:rPr>
              <w:t>Approach</w:t>
            </w:r>
          </w:p>
        </w:tc>
        <w:tc>
          <w:tcPr>
            <w:tcW w:w="3482" w:type="dxa"/>
            <w:tcBorders>
              <w:bottom w:val="single" w:sz="4" w:space="0" w:color="448A99"/>
            </w:tcBorders>
            <w:shd w:val="clear" w:color="auto" w:fill="448A99"/>
            <w:vAlign w:val="bottom"/>
          </w:tcPr>
          <w:p w:rsidR="00450725" w:rsidRPr="006C05B5" w:rsidRDefault="00450725" w:rsidP="00D900B5">
            <w:pPr>
              <w:keepNext/>
              <w:keepLines/>
              <w:jc w:val="center"/>
              <w:rPr>
                <w:b/>
                <w:color w:val="FFFFFF"/>
                <w:sz w:val="20"/>
                <w:szCs w:val="20"/>
              </w:rPr>
            </w:pPr>
            <w:r w:rsidRPr="006C05B5">
              <w:rPr>
                <w:b/>
                <w:color w:val="FFFFFF"/>
                <w:sz w:val="20"/>
                <w:szCs w:val="20"/>
              </w:rPr>
              <w:t>Program</w:t>
            </w:r>
          </w:p>
        </w:tc>
        <w:tc>
          <w:tcPr>
            <w:tcW w:w="1153" w:type="dxa"/>
            <w:tcBorders>
              <w:bottom w:val="single" w:sz="4" w:space="0" w:color="448A99"/>
            </w:tcBorders>
            <w:shd w:val="clear" w:color="auto" w:fill="448A99"/>
            <w:vAlign w:val="bottom"/>
          </w:tcPr>
          <w:p w:rsidR="00450725" w:rsidRPr="006C05B5" w:rsidRDefault="00450725" w:rsidP="00D900B5">
            <w:pPr>
              <w:keepNext/>
              <w:keepLines/>
              <w:jc w:val="center"/>
              <w:rPr>
                <w:b/>
                <w:color w:val="FFFFFF"/>
                <w:sz w:val="20"/>
                <w:szCs w:val="20"/>
              </w:rPr>
            </w:pPr>
            <w:r w:rsidRPr="006C05B5">
              <w:rPr>
                <w:b/>
                <w:color w:val="FFFFFF"/>
                <w:sz w:val="20"/>
                <w:szCs w:val="20"/>
              </w:rPr>
              <w:t>Free-ridership</w:t>
            </w:r>
          </w:p>
        </w:tc>
        <w:tc>
          <w:tcPr>
            <w:tcW w:w="1233" w:type="dxa"/>
            <w:tcBorders>
              <w:bottom w:val="single" w:sz="4" w:space="0" w:color="448A99"/>
            </w:tcBorders>
            <w:shd w:val="clear" w:color="auto" w:fill="448A99"/>
            <w:vAlign w:val="bottom"/>
          </w:tcPr>
          <w:p w:rsidR="00450725" w:rsidRPr="006C05B5" w:rsidRDefault="00450725" w:rsidP="00D900B5">
            <w:pPr>
              <w:keepNext/>
              <w:keepLines/>
              <w:jc w:val="center"/>
              <w:rPr>
                <w:b/>
                <w:color w:val="FFFFFF"/>
                <w:sz w:val="20"/>
                <w:szCs w:val="20"/>
              </w:rPr>
            </w:pPr>
            <w:r w:rsidRPr="006C05B5">
              <w:rPr>
                <w:b/>
                <w:color w:val="FFFFFF"/>
                <w:sz w:val="20"/>
                <w:szCs w:val="20"/>
              </w:rPr>
              <w:t>Spillover</w:t>
            </w:r>
          </w:p>
        </w:tc>
        <w:tc>
          <w:tcPr>
            <w:tcW w:w="1120" w:type="dxa"/>
            <w:tcBorders>
              <w:bottom w:val="single" w:sz="4" w:space="0" w:color="448A99"/>
            </w:tcBorders>
            <w:shd w:val="clear" w:color="auto" w:fill="448A99"/>
            <w:vAlign w:val="bottom"/>
          </w:tcPr>
          <w:p w:rsidR="00450725" w:rsidRPr="006C05B5" w:rsidRDefault="00450725" w:rsidP="00D900B5">
            <w:pPr>
              <w:keepNext/>
              <w:keepLines/>
              <w:jc w:val="center"/>
              <w:rPr>
                <w:b/>
                <w:color w:val="FFFFFF"/>
                <w:sz w:val="20"/>
                <w:szCs w:val="20"/>
              </w:rPr>
            </w:pPr>
            <w:r w:rsidRPr="006C05B5">
              <w:rPr>
                <w:b/>
                <w:color w:val="FFFFFF"/>
                <w:sz w:val="20"/>
                <w:szCs w:val="20"/>
              </w:rPr>
              <w:t>NTGR</w:t>
            </w:r>
            <w:r w:rsidRPr="006C05B5">
              <w:rPr>
                <w:b/>
                <w:color w:val="FFFFFF"/>
                <w:sz w:val="20"/>
                <w:szCs w:val="20"/>
                <w:vertAlign w:val="superscript"/>
              </w:rPr>
              <w:t>[a]</w:t>
            </w:r>
          </w:p>
        </w:tc>
        <w:tc>
          <w:tcPr>
            <w:tcW w:w="1219" w:type="dxa"/>
            <w:tcBorders>
              <w:bottom w:val="single" w:sz="4" w:space="0" w:color="448A99"/>
            </w:tcBorders>
            <w:shd w:val="clear" w:color="auto" w:fill="448A99"/>
            <w:vAlign w:val="bottom"/>
          </w:tcPr>
          <w:p w:rsidR="00450725" w:rsidRPr="006C05B5" w:rsidRDefault="00450725" w:rsidP="00D900B5">
            <w:pPr>
              <w:keepNext/>
              <w:keepLines/>
              <w:jc w:val="center"/>
              <w:rPr>
                <w:b/>
                <w:color w:val="FFFFFF"/>
                <w:sz w:val="20"/>
                <w:szCs w:val="20"/>
              </w:rPr>
            </w:pPr>
            <w:r w:rsidRPr="006C05B5">
              <w:rPr>
                <w:b/>
                <w:color w:val="FFFFFF"/>
                <w:sz w:val="20"/>
                <w:szCs w:val="20"/>
              </w:rPr>
              <w:t>Sample Size</w:t>
            </w:r>
            <w:r w:rsidRPr="006C05B5">
              <w:rPr>
                <w:b/>
                <w:color w:val="FFFFFF"/>
                <w:sz w:val="20"/>
                <w:szCs w:val="20"/>
                <w:vertAlign w:val="superscript"/>
              </w:rPr>
              <w:t>[b]</w:t>
            </w:r>
          </w:p>
        </w:tc>
      </w:tr>
      <w:tr w:rsidR="00A874AC" w:rsidRPr="006C05B5" w:rsidTr="00D900B5">
        <w:trPr>
          <w:jc w:val="center"/>
        </w:trPr>
        <w:tc>
          <w:tcPr>
            <w:tcW w:w="1143" w:type="dxa"/>
            <w:tcBorders>
              <w:bottom w:val="single" w:sz="4" w:space="0" w:color="448A99"/>
            </w:tcBorders>
            <w:shd w:val="clear" w:color="auto" w:fill="D2EAF1"/>
          </w:tcPr>
          <w:p w:rsidR="00450725" w:rsidRPr="006C05B5" w:rsidRDefault="00450725" w:rsidP="00D900B5">
            <w:pPr>
              <w:jc w:val="left"/>
              <w:rPr>
                <w:sz w:val="20"/>
                <w:szCs w:val="20"/>
              </w:rPr>
            </w:pPr>
            <w:r w:rsidRPr="006C05B5">
              <w:rPr>
                <w:sz w:val="20"/>
                <w:szCs w:val="20"/>
              </w:rPr>
              <w:t>Estimated</w:t>
            </w:r>
          </w:p>
        </w:tc>
        <w:tc>
          <w:tcPr>
            <w:tcW w:w="3482" w:type="dxa"/>
            <w:tcBorders>
              <w:bottom w:val="single" w:sz="4" w:space="0" w:color="448A99"/>
            </w:tcBorders>
            <w:shd w:val="clear" w:color="auto" w:fill="D2EAF1"/>
            <w:vAlign w:val="center"/>
          </w:tcPr>
          <w:p w:rsidR="00450725" w:rsidRPr="006C05B5" w:rsidRDefault="00450725" w:rsidP="00D900B5">
            <w:pPr>
              <w:jc w:val="left"/>
              <w:rPr>
                <w:color w:val="000000"/>
                <w:sz w:val="20"/>
                <w:szCs w:val="20"/>
              </w:rPr>
            </w:pPr>
            <w:r w:rsidRPr="006C05B5">
              <w:rPr>
                <w:color w:val="000000"/>
                <w:sz w:val="20"/>
                <w:szCs w:val="20"/>
              </w:rPr>
              <w:t>Low-Income Energy Efficiency Program (LIEEP)</w:t>
            </w:r>
          </w:p>
        </w:tc>
        <w:tc>
          <w:tcPr>
            <w:tcW w:w="1153" w:type="dxa"/>
            <w:tcBorders>
              <w:bottom w:val="single" w:sz="4" w:space="0" w:color="448A99"/>
            </w:tcBorders>
            <w:shd w:val="clear" w:color="auto" w:fill="D2EAF1"/>
          </w:tcPr>
          <w:p w:rsidR="00450725" w:rsidRPr="006C05B5" w:rsidRDefault="00450725" w:rsidP="00D900B5">
            <w:pPr>
              <w:jc w:val="center"/>
              <w:rPr>
                <w:sz w:val="20"/>
                <w:szCs w:val="20"/>
              </w:rPr>
            </w:pPr>
            <w:r w:rsidRPr="006C05B5">
              <w:rPr>
                <w:sz w:val="20"/>
                <w:szCs w:val="20"/>
              </w:rPr>
              <w:t>0.26</w:t>
            </w:r>
          </w:p>
        </w:tc>
        <w:tc>
          <w:tcPr>
            <w:tcW w:w="1233" w:type="dxa"/>
            <w:tcBorders>
              <w:bottom w:val="single" w:sz="4" w:space="0" w:color="448A99"/>
            </w:tcBorders>
            <w:shd w:val="clear" w:color="auto" w:fill="D2EAF1"/>
          </w:tcPr>
          <w:p w:rsidR="00450725" w:rsidRPr="006C05B5" w:rsidRDefault="00450725" w:rsidP="00D900B5">
            <w:pPr>
              <w:jc w:val="center"/>
              <w:rPr>
                <w:sz w:val="20"/>
                <w:szCs w:val="20"/>
              </w:rPr>
            </w:pPr>
            <w:r w:rsidRPr="006C05B5">
              <w:rPr>
                <w:sz w:val="20"/>
                <w:szCs w:val="20"/>
              </w:rPr>
              <w:t>0.10</w:t>
            </w:r>
          </w:p>
        </w:tc>
        <w:tc>
          <w:tcPr>
            <w:tcW w:w="1120" w:type="dxa"/>
            <w:tcBorders>
              <w:bottom w:val="single" w:sz="4" w:space="0" w:color="448A99"/>
            </w:tcBorders>
            <w:shd w:val="clear" w:color="auto" w:fill="D2EAF1"/>
          </w:tcPr>
          <w:p w:rsidR="00450725" w:rsidRPr="006C05B5" w:rsidRDefault="00450725" w:rsidP="00D900B5">
            <w:pPr>
              <w:jc w:val="center"/>
              <w:rPr>
                <w:sz w:val="20"/>
                <w:szCs w:val="20"/>
              </w:rPr>
            </w:pPr>
            <w:r w:rsidRPr="006C05B5">
              <w:rPr>
                <w:sz w:val="20"/>
                <w:szCs w:val="20"/>
              </w:rPr>
              <w:t>0.83</w:t>
            </w:r>
          </w:p>
        </w:tc>
        <w:tc>
          <w:tcPr>
            <w:tcW w:w="1219" w:type="dxa"/>
            <w:tcBorders>
              <w:bottom w:val="single" w:sz="4" w:space="0" w:color="448A99"/>
            </w:tcBorders>
            <w:shd w:val="clear" w:color="auto" w:fill="D2EAF1"/>
          </w:tcPr>
          <w:p w:rsidR="00450725" w:rsidRPr="006C05B5" w:rsidRDefault="003C59E0" w:rsidP="00AD40AC">
            <w:pPr>
              <w:jc w:val="center"/>
              <w:rPr>
                <w:sz w:val="20"/>
                <w:szCs w:val="20"/>
                <w:vertAlign w:val="superscript"/>
              </w:rPr>
            </w:pPr>
            <w:r w:rsidRPr="006C05B5">
              <w:rPr>
                <w:sz w:val="20"/>
                <w:szCs w:val="20"/>
              </w:rPr>
              <w:t>1</w:t>
            </w:r>
            <w:r w:rsidR="00AD40AC">
              <w:rPr>
                <w:sz w:val="20"/>
                <w:szCs w:val="20"/>
              </w:rPr>
              <w:t>62</w:t>
            </w:r>
          </w:p>
        </w:tc>
      </w:tr>
      <w:tr w:rsidR="00E7173E" w:rsidRPr="006C05B5" w:rsidTr="00DD4CC7">
        <w:trPr>
          <w:jc w:val="center"/>
        </w:trPr>
        <w:tc>
          <w:tcPr>
            <w:tcW w:w="9350" w:type="dxa"/>
            <w:gridSpan w:val="6"/>
            <w:shd w:val="clear" w:color="auto" w:fill="448A99"/>
          </w:tcPr>
          <w:p w:rsidR="00450725" w:rsidRPr="006C05B5" w:rsidRDefault="00450725" w:rsidP="00D900B5">
            <w:pPr>
              <w:jc w:val="left"/>
              <w:rPr>
                <w:color w:val="FFFFFF"/>
                <w:sz w:val="18"/>
              </w:rPr>
            </w:pPr>
            <w:r w:rsidRPr="006C05B5">
              <w:rPr>
                <w:color w:val="FFFFFF"/>
                <w:sz w:val="18"/>
              </w:rPr>
              <w:t>NOTES</w:t>
            </w:r>
            <w:r w:rsidR="001A5B6F">
              <w:rPr>
                <w:color w:val="FFFFFF"/>
                <w:sz w:val="18"/>
              </w:rPr>
              <w:t>:</w:t>
            </w:r>
          </w:p>
          <w:p w:rsidR="00450725" w:rsidRPr="006C05B5" w:rsidRDefault="00450725" w:rsidP="00D900B5">
            <w:pPr>
              <w:jc w:val="left"/>
              <w:rPr>
                <w:color w:val="FFFFFF"/>
                <w:sz w:val="18"/>
                <w:szCs w:val="20"/>
              </w:rPr>
            </w:pPr>
            <w:r w:rsidRPr="006C05B5">
              <w:rPr>
                <w:color w:val="FFFFFF"/>
                <w:sz w:val="18"/>
                <w:szCs w:val="18"/>
                <w:vertAlign w:val="superscript"/>
              </w:rPr>
              <w:t>[a]</w:t>
            </w:r>
            <w:r w:rsidRPr="006C05B5">
              <w:rPr>
                <w:bCs/>
                <w:color w:val="FFFFFF"/>
                <w:sz w:val="18"/>
                <w:szCs w:val="20"/>
              </w:rPr>
              <w:t xml:space="preserve"> </w:t>
            </w:r>
            <w:r w:rsidRPr="006C05B5">
              <w:rPr>
                <w:color w:val="FFFFFF"/>
                <w:sz w:val="18"/>
                <w:szCs w:val="20"/>
              </w:rPr>
              <w:t xml:space="preserve">NTGR = 1 – free-ridership + spillover. In some cases, the NTGR shown in the table may not equal exactly 1 – </w:t>
            </w:r>
            <w:r w:rsidRPr="006C05B5">
              <w:rPr>
                <w:rFonts w:eastAsia="Calibri"/>
                <w:color w:val="FFFFFF"/>
                <w:sz w:val="18"/>
                <w:szCs w:val="20"/>
              </w:rPr>
              <w:t>free-ridership + spillover</w:t>
            </w:r>
            <w:r w:rsidRPr="006C05B5">
              <w:rPr>
                <w:color w:val="FFFFFF"/>
                <w:sz w:val="18"/>
                <w:szCs w:val="20"/>
              </w:rPr>
              <w:t xml:space="preserve"> because of rounding.</w:t>
            </w:r>
          </w:p>
          <w:p w:rsidR="00450725" w:rsidRPr="006C05B5" w:rsidRDefault="00450725" w:rsidP="00AD40AC">
            <w:pPr>
              <w:jc w:val="left"/>
              <w:rPr>
                <w:color w:val="FFFFFF"/>
                <w:sz w:val="18"/>
              </w:rPr>
            </w:pPr>
            <w:r w:rsidRPr="006C05B5">
              <w:rPr>
                <w:color w:val="FFFFFF"/>
                <w:sz w:val="18"/>
                <w:szCs w:val="18"/>
                <w:vertAlign w:val="superscript"/>
              </w:rPr>
              <w:t>[b]</w:t>
            </w:r>
            <w:r w:rsidRPr="006C05B5">
              <w:rPr>
                <w:color w:val="FFFFFF"/>
                <w:sz w:val="18"/>
              </w:rPr>
              <w:t xml:space="preserve"> The sample size provided at least 85/15 confidence/precision.</w:t>
            </w:r>
          </w:p>
        </w:tc>
      </w:tr>
    </w:tbl>
    <w:p w:rsidR="00450725" w:rsidRPr="006C05B5" w:rsidRDefault="00450725" w:rsidP="00450725"/>
    <w:p w:rsidR="00450725" w:rsidRDefault="00450725" w:rsidP="00745011">
      <w:pPr>
        <w:pStyle w:val="AppendixAHeading4"/>
      </w:pPr>
      <w:r>
        <w:t>Non-Residential Programs</w:t>
      </w:r>
    </w:p>
    <w:p w:rsidR="00450725" w:rsidRPr="006C05B5" w:rsidRDefault="00450725" w:rsidP="00D9014E">
      <w:r w:rsidRPr="00D9014E">
        <w:t>Navigant estimated NTG v</w:t>
      </w:r>
      <w:r w:rsidR="00EA0C08" w:rsidRPr="00D9014E">
        <w:t>alues for the C</w:t>
      </w:r>
      <w:r w:rsidRPr="00D9014E">
        <w:t xml:space="preserve">ommercial </w:t>
      </w:r>
      <w:r w:rsidR="00EA0C08" w:rsidRPr="00D9014E">
        <w:t>Program G</w:t>
      </w:r>
      <w:r w:rsidRPr="00D9014E">
        <w:t xml:space="preserve">roup and </w:t>
      </w:r>
      <w:r w:rsidR="00EA0C08" w:rsidRPr="00D9014E">
        <w:t>I</w:t>
      </w:r>
      <w:r w:rsidRPr="00D9014E">
        <w:t xml:space="preserve">ndustrial </w:t>
      </w:r>
      <w:r w:rsidR="00EA0C08" w:rsidRPr="00D9014E">
        <w:t>P</w:t>
      </w:r>
      <w:r w:rsidRPr="00D9014E">
        <w:t xml:space="preserve">rogram </w:t>
      </w:r>
      <w:r w:rsidR="00EA0C08" w:rsidRPr="00D9014E">
        <w:t>G</w:t>
      </w:r>
      <w:r w:rsidRPr="00D9014E">
        <w:t>roup. Navigant used the SWE Team’s common method for estimating NTG. Navigant thoroughly summarized the NTG methodology in the PY7 annual report. Navigant provided most of its NTG calculations to the SWE Team, together with the raw data, in Excel workbooks. However, the SWE Team’s review of Navigant’s NTG data files revealed some reporting errors</w:t>
      </w:r>
      <w:r w:rsidR="00691BB3" w:rsidRPr="00D9014E">
        <w:t xml:space="preserve"> (free ridership and NTG values were 0.01 different than originally reported)</w:t>
      </w:r>
      <w:r w:rsidRPr="00D9014E">
        <w:t xml:space="preserve">, which Navigant confirmed via email. </w:t>
      </w:r>
      <w:r w:rsidR="00D9014E">
        <w:fldChar w:fldCharType="begin"/>
      </w:r>
      <w:r w:rsidR="00D9014E">
        <w:instrText xml:space="preserve"> REF _Ref473732220 \h </w:instrText>
      </w:r>
      <w:r w:rsidR="00D9014E">
        <w:fldChar w:fldCharType="separate"/>
      </w:r>
      <w:r w:rsidR="00DD797D" w:rsidRPr="00823FE0">
        <w:t>Table A-</w:t>
      </w:r>
      <w:r w:rsidR="00DD797D">
        <w:rPr>
          <w:noProof/>
        </w:rPr>
        <w:t>26</w:t>
      </w:r>
      <w:r w:rsidR="00D9014E">
        <w:fldChar w:fldCharType="end"/>
      </w:r>
      <w:r w:rsidR="00D9014E">
        <w:t xml:space="preserve"> </w:t>
      </w:r>
      <w:r w:rsidRPr="006C05B5">
        <w:t>shows the corrected values.</w:t>
      </w:r>
    </w:p>
    <w:p w:rsidR="00450725" w:rsidRPr="006C05B5" w:rsidRDefault="00450725" w:rsidP="00450725">
      <w:pPr>
        <w:rPr>
          <w:highlight w:val="lightGray"/>
        </w:rPr>
      </w:pPr>
    </w:p>
    <w:p w:rsidR="00450725" w:rsidRPr="006C05B5" w:rsidRDefault="00D9014E" w:rsidP="00450725">
      <w:r>
        <w:fldChar w:fldCharType="begin"/>
      </w:r>
      <w:r>
        <w:instrText xml:space="preserve"> REF _Ref472471704 \h </w:instrText>
      </w:r>
      <w:r>
        <w:fldChar w:fldCharType="separate"/>
      </w:r>
      <w:r w:rsidR="00A874AC" w:rsidRPr="00823FE0">
        <w:t>Table A-</w:t>
      </w:r>
      <w:r w:rsidR="00A874AC">
        <w:rPr>
          <w:noProof/>
        </w:rPr>
        <w:t>25</w:t>
      </w:r>
      <w:r>
        <w:fldChar w:fldCharType="end"/>
      </w:r>
      <w:r w:rsidR="00450725" w:rsidRPr="006C05B5">
        <w:t xml:space="preserve"> summarizes the SWE Team’s review of the NTG methodology by program. The SWE Team found Navigant’s description of the NTG methods to be relatively clear and the application of the SWE common methods to be error-free.</w:t>
      </w:r>
    </w:p>
    <w:p w:rsidR="00450725" w:rsidRPr="006C05B5" w:rsidRDefault="00450725" w:rsidP="00450725">
      <w:pPr>
        <w:rPr>
          <w:highlight w:val="lightGray"/>
        </w:rPr>
      </w:pPr>
    </w:p>
    <w:p w:rsidR="00450725" w:rsidRPr="00823FE0" w:rsidRDefault="00823FE0" w:rsidP="00823FE0">
      <w:pPr>
        <w:pStyle w:val="Caption"/>
      </w:pPr>
      <w:bookmarkStart w:id="639" w:name="_Ref472471704"/>
      <w:bookmarkStart w:id="640" w:name="_Toc409225009"/>
      <w:bookmarkStart w:id="641" w:name="_Toc409443561"/>
      <w:bookmarkStart w:id="642" w:name="_Toc444269734"/>
      <w:bookmarkStart w:id="643" w:name="_Toc472472434"/>
      <w:bookmarkStart w:id="644" w:name="_Toc476842140"/>
      <w:r w:rsidRPr="00823FE0">
        <w:t>Table A-</w:t>
      </w:r>
      <w:fldSimple w:instr=" SEQ Table_A- \* ARABIC ">
        <w:r w:rsidR="00C301D0">
          <w:rPr>
            <w:noProof/>
          </w:rPr>
          <w:t>25</w:t>
        </w:r>
      </w:fldSimple>
      <w:bookmarkEnd w:id="639"/>
      <w:r w:rsidRPr="00823FE0">
        <w:t xml:space="preserve">: </w:t>
      </w:r>
      <w:r w:rsidR="00450725" w:rsidRPr="00823FE0">
        <w:t>Summary of NTG Audit of Duquesne’s</w:t>
      </w:r>
      <w:r w:rsidR="00450725" w:rsidRPr="00823FE0" w:rsidDel="00FB4E7B">
        <w:t xml:space="preserve"> </w:t>
      </w:r>
      <w:r w:rsidR="00450725" w:rsidRPr="00823FE0">
        <w:t>Non-Residential Programs</w:t>
      </w:r>
      <w:bookmarkEnd w:id="640"/>
      <w:bookmarkEnd w:id="641"/>
      <w:bookmarkEnd w:id="642"/>
      <w:bookmarkEnd w:id="643"/>
      <w:bookmarkEnd w:id="644"/>
    </w:p>
    <w:tbl>
      <w:tblPr>
        <w:tblW w:w="9427"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92"/>
        <w:gridCol w:w="1903"/>
        <w:gridCol w:w="5832"/>
      </w:tblGrid>
      <w:tr w:rsidR="00E7173E" w:rsidRPr="006C05B5" w:rsidTr="00DD4CC7">
        <w:trPr>
          <w:tblHeader/>
          <w:jc w:val="center"/>
        </w:trPr>
        <w:tc>
          <w:tcPr>
            <w:tcW w:w="1692" w:type="dxa"/>
            <w:shd w:val="clear" w:color="auto" w:fill="448A99"/>
          </w:tcPr>
          <w:p w:rsidR="00450725" w:rsidRPr="006C05B5" w:rsidRDefault="00450725" w:rsidP="00D900B5">
            <w:pPr>
              <w:jc w:val="left"/>
              <w:rPr>
                <w:b/>
                <w:color w:val="FFFFFF"/>
                <w:sz w:val="20"/>
                <w:szCs w:val="20"/>
              </w:rPr>
            </w:pPr>
            <w:r w:rsidRPr="006C05B5">
              <w:rPr>
                <w:b/>
                <w:color w:val="FFFFFF"/>
                <w:sz w:val="20"/>
                <w:szCs w:val="20"/>
              </w:rPr>
              <w:t>Program</w:t>
            </w:r>
          </w:p>
        </w:tc>
        <w:tc>
          <w:tcPr>
            <w:tcW w:w="1903" w:type="dxa"/>
            <w:shd w:val="clear" w:color="auto" w:fill="448A99"/>
          </w:tcPr>
          <w:p w:rsidR="00450725" w:rsidRPr="006C05B5" w:rsidRDefault="00450725" w:rsidP="00D900B5">
            <w:pPr>
              <w:jc w:val="center"/>
              <w:rPr>
                <w:b/>
                <w:color w:val="FFFFFF"/>
                <w:sz w:val="20"/>
                <w:szCs w:val="20"/>
              </w:rPr>
            </w:pPr>
            <w:r w:rsidRPr="006C05B5">
              <w:rPr>
                <w:b/>
                <w:color w:val="FFFFFF"/>
                <w:sz w:val="20"/>
                <w:szCs w:val="20"/>
              </w:rPr>
              <w:t>NTG Method</w:t>
            </w:r>
          </w:p>
        </w:tc>
        <w:tc>
          <w:tcPr>
            <w:tcW w:w="5832" w:type="dxa"/>
            <w:shd w:val="clear" w:color="auto" w:fill="448A99"/>
          </w:tcPr>
          <w:p w:rsidR="00450725" w:rsidRPr="006C05B5" w:rsidRDefault="00450725" w:rsidP="00D900B5">
            <w:pPr>
              <w:jc w:val="center"/>
              <w:rPr>
                <w:b/>
                <w:color w:val="FFFFFF"/>
                <w:sz w:val="20"/>
                <w:szCs w:val="20"/>
              </w:rPr>
            </w:pPr>
            <w:r w:rsidRPr="006C05B5">
              <w:rPr>
                <w:b/>
                <w:color w:val="FFFFFF"/>
                <w:sz w:val="20"/>
                <w:szCs w:val="20"/>
              </w:rPr>
              <w:t>Review Comments</w:t>
            </w:r>
          </w:p>
        </w:tc>
      </w:tr>
      <w:tr w:rsidR="00E7173E" w:rsidRPr="006C05B5" w:rsidTr="00DD4CC7">
        <w:trPr>
          <w:trHeight w:val="503"/>
          <w:jc w:val="center"/>
        </w:trPr>
        <w:tc>
          <w:tcPr>
            <w:tcW w:w="1692" w:type="dxa"/>
            <w:shd w:val="clear" w:color="auto" w:fill="D2EAF1"/>
          </w:tcPr>
          <w:p w:rsidR="00450725" w:rsidRPr="006C05B5" w:rsidRDefault="00450725" w:rsidP="00D900B5">
            <w:pPr>
              <w:jc w:val="left"/>
              <w:rPr>
                <w:color w:val="548DD4"/>
                <w:sz w:val="20"/>
                <w:szCs w:val="20"/>
              </w:rPr>
            </w:pPr>
            <w:r w:rsidRPr="006C05B5">
              <w:rPr>
                <w:sz w:val="20"/>
                <w:szCs w:val="20"/>
              </w:rPr>
              <w:t>Commercial Program Group</w:t>
            </w:r>
          </w:p>
        </w:tc>
        <w:tc>
          <w:tcPr>
            <w:tcW w:w="1903" w:type="dxa"/>
            <w:shd w:val="clear" w:color="auto" w:fill="D2EAF1"/>
          </w:tcPr>
          <w:p w:rsidR="00450725" w:rsidRPr="006C05B5" w:rsidRDefault="00450725" w:rsidP="00D900B5">
            <w:pPr>
              <w:jc w:val="left"/>
              <w:rPr>
                <w:color w:val="548DD4"/>
                <w:sz w:val="20"/>
                <w:szCs w:val="20"/>
              </w:rPr>
            </w:pPr>
            <w:r w:rsidRPr="006C05B5">
              <w:rPr>
                <w:sz w:val="20"/>
                <w:szCs w:val="20"/>
              </w:rPr>
              <w:t>The common method was used.</w:t>
            </w:r>
          </w:p>
        </w:tc>
        <w:tc>
          <w:tcPr>
            <w:tcW w:w="5832" w:type="dxa"/>
            <w:shd w:val="clear" w:color="auto" w:fill="D2EAF1"/>
          </w:tcPr>
          <w:p w:rsidR="00450725" w:rsidRPr="006C05B5" w:rsidRDefault="00450725" w:rsidP="00D900B5">
            <w:pPr>
              <w:jc w:val="left"/>
              <w:rPr>
                <w:sz w:val="20"/>
                <w:szCs w:val="20"/>
              </w:rPr>
            </w:pPr>
            <w:r w:rsidRPr="006C05B5">
              <w:rPr>
                <w:sz w:val="20"/>
                <w:szCs w:val="20"/>
              </w:rPr>
              <w:t>The detailed methods reported in the PY7 annual report were sufficiently clear.</w:t>
            </w:r>
          </w:p>
        </w:tc>
      </w:tr>
      <w:tr w:rsidR="00E7173E" w:rsidRPr="006C05B5" w:rsidTr="00DD4CC7">
        <w:trPr>
          <w:trHeight w:val="539"/>
          <w:jc w:val="center"/>
        </w:trPr>
        <w:tc>
          <w:tcPr>
            <w:tcW w:w="1692" w:type="dxa"/>
            <w:shd w:val="clear" w:color="auto" w:fill="FFFFFF"/>
          </w:tcPr>
          <w:p w:rsidR="00450725" w:rsidRPr="006C05B5" w:rsidRDefault="00450725" w:rsidP="00D900B5">
            <w:pPr>
              <w:jc w:val="left"/>
              <w:rPr>
                <w:sz w:val="20"/>
                <w:szCs w:val="20"/>
              </w:rPr>
            </w:pPr>
            <w:r w:rsidRPr="006C05B5">
              <w:rPr>
                <w:sz w:val="20"/>
                <w:szCs w:val="20"/>
              </w:rPr>
              <w:t>Industrial Program Group</w:t>
            </w:r>
          </w:p>
        </w:tc>
        <w:tc>
          <w:tcPr>
            <w:tcW w:w="1903" w:type="dxa"/>
            <w:shd w:val="clear" w:color="auto" w:fill="FFFFFF"/>
          </w:tcPr>
          <w:p w:rsidR="00450725" w:rsidRPr="006C05B5" w:rsidDel="00784297" w:rsidRDefault="00450725" w:rsidP="00D900B5">
            <w:pPr>
              <w:jc w:val="left"/>
              <w:rPr>
                <w:sz w:val="20"/>
                <w:szCs w:val="20"/>
                <w:shd w:val="clear" w:color="auto" w:fill="D9D9D9"/>
              </w:rPr>
            </w:pPr>
            <w:r w:rsidRPr="006C05B5">
              <w:rPr>
                <w:sz w:val="20"/>
                <w:szCs w:val="20"/>
              </w:rPr>
              <w:t>The common method was used.</w:t>
            </w:r>
          </w:p>
        </w:tc>
        <w:tc>
          <w:tcPr>
            <w:tcW w:w="5832" w:type="dxa"/>
            <w:shd w:val="clear" w:color="auto" w:fill="FFFFFF"/>
          </w:tcPr>
          <w:p w:rsidR="00450725" w:rsidRPr="006C05B5" w:rsidRDefault="00450725" w:rsidP="00D900B5">
            <w:pPr>
              <w:jc w:val="left"/>
              <w:rPr>
                <w:sz w:val="20"/>
                <w:szCs w:val="20"/>
              </w:rPr>
            </w:pPr>
            <w:r w:rsidRPr="006C05B5">
              <w:rPr>
                <w:sz w:val="20"/>
                <w:szCs w:val="20"/>
              </w:rPr>
              <w:t>The detailed methods reported in the PY7 annual report were sufficiently clear.</w:t>
            </w:r>
          </w:p>
        </w:tc>
      </w:tr>
    </w:tbl>
    <w:p w:rsidR="00D9014E" w:rsidRDefault="00D9014E" w:rsidP="00D9014E"/>
    <w:p w:rsidR="00450725" w:rsidRPr="00D9014E" w:rsidRDefault="00D9014E" w:rsidP="00D9014E">
      <w:r>
        <w:fldChar w:fldCharType="begin"/>
      </w:r>
      <w:r>
        <w:instrText xml:space="preserve"> REF _Ref473732220 \h </w:instrText>
      </w:r>
      <w:r>
        <w:fldChar w:fldCharType="separate"/>
      </w:r>
      <w:r w:rsidR="00A874AC" w:rsidRPr="00823FE0">
        <w:t>Table A-</w:t>
      </w:r>
      <w:r w:rsidR="00A874AC">
        <w:rPr>
          <w:noProof/>
        </w:rPr>
        <w:t>26</w:t>
      </w:r>
      <w:r>
        <w:fldChar w:fldCharType="end"/>
      </w:r>
      <w:r>
        <w:t xml:space="preserve"> </w:t>
      </w:r>
      <w:r w:rsidR="00450725" w:rsidRPr="00D9014E">
        <w:t>shows the NTG estimates reported in the Duquesne PY7 annual report.</w:t>
      </w:r>
    </w:p>
    <w:p w:rsidR="00450725" w:rsidRPr="006C05B5" w:rsidRDefault="00450725" w:rsidP="00450725">
      <w:pPr>
        <w:rPr>
          <w:highlight w:val="lightGray"/>
        </w:rPr>
      </w:pPr>
      <w:r w:rsidRPr="006C05B5">
        <w:t xml:space="preserve"> </w:t>
      </w:r>
      <w:bookmarkStart w:id="645" w:name="_Ref408849778"/>
      <w:bookmarkStart w:id="646" w:name="_Toc409225010"/>
      <w:bookmarkStart w:id="647" w:name="_Toc409443562"/>
    </w:p>
    <w:p w:rsidR="001C391A" w:rsidRDefault="001C391A" w:rsidP="00823FE0">
      <w:pPr>
        <w:pStyle w:val="Caption"/>
      </w:pPr>
      <w:bookmarkStart w:id="648" w:name="_Ref472471753"/>
      <w:bookmarkStart w:id="649" w:name="_Toc444269735"/>
      <w:bookmarkStart w:id="650" w:name="_Toc472472435"/>
      <w:bookmarkStart w:id="651" w:name="OLE_LINK1"/>
      <w:bookmarkEnd w:id="645"/>
    </w:p>
    <w:p w:rsidR="001C391A" w:rsidRDefault="001C391A" w:rsidP="00823FE0">
      <w:pPr>
        <w:pStyle w:val="Caption"/>
      </w:pPr>
    </w:p>
    <w:p w:rsidR="001C391A" w:rsidRDefault="001C391A" w:rsidP="00823FE0">
      <w:pPr>
        <w:pStyle w:val="Caption"/>
      </w:pPr>
    </w:p>
    <w:p w:rsidR="001C391A" w:rsidRDefault="001C391A" w:rsidP="00823FE0">
      <w:pPr>
        <w:pStyle w:val="Caption"/>
      </w:pPr>
    </w:p>
    <w:p w:rsidR="00450725" w:rsidRPr="00823FE0" w:rsidRDefault="00823FE0" w:rsidP="00823FE0">
      <w:pPr>
        <w:pStyle w:val="Caption"/>
      </w:pPr>
      <w:bookmarkStart w:id="652" w:name="_Ref473732220"/>
      <w:bookmarkStart w:id="653" w:name="_Toc476842141"/>
      <w:r w:rsidRPr="00823FE0">
        <w:lastRenderedPageBreak/>
        <w:t>Table A-</w:t>
      </w:r>
      <w:fldSimple w:instr=" SEQ Table_A- \* ARABIC ">
        <w:r w:rsidR="00C301D0">
          <w:rPr>
            <w:noProof/>
          </w:rPr>
          <w:t>26</w:t>
        </w:r>
      </w:fldSimple>
      <w:bookmarkEnd w:id="648"/>
      <w:bookmarkEnd w:id="652"/>
      <w:r w:rsidRPr="00823FE0">
        <w:t xml:space="preserve">: </w:t>
      </w:r>
      <w:r w:rsidR="00BC3312">
        <w:t>Summary of NTG</w:t>
      </w:r>
      <w:r w:rsidR="00450725" w:rsidRPr="00823FE0">
        <w:t xml:space="preserve"> Estimates for Duquesne’s Non-Residential Programs</w:t>
      </w:r>
      <w:bookmarkEnd w:id="646"/>
      <w:bookmarkEnd w:id="647"/>
      <w:bookmarkEnd w:id="649"/>
      <w:bookmarkEnd w:id="650"/>
      <w:bookmarkEnd w:id="653"/>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965"/>
        <w:gridCol w:w="2907"/>
        <w:gridCol w:w="1117"/>
        <w:gridCol w:w="1160"/>
        <w:gridCol w:w="1075"/>
        <w:gridCol w:w="1126"/>
      </w:tblGrid>
      <w:tr w:rsidR="00A874AC" w:rsidRPr="006C05B5" w:rsidTr="00D900B5">
        <w:trPr>
          <w:tblHeader/>
          <w:jc w:val="center"/>
        </w:trPr>
        <w:tc>
          <w:tcPr>
            <w:tcW w:w="1965" w:type="dxa"/>
            <w:shd w:val="clear" w:color="auto" w:fill="448A99"/>
            <w:vAlign w:val="bottom"/>
          </w:tcPr>
          <w:bookmarkEnd w:id="651"/>
          <w:p w:rsidR="00450725" w:rsidRPr="006C05B5" w:rsidRDefault="00450725" w:rsidP="00D900B5">
            <w:pPr>
              <w:keepNext/>
              <w:rPr>
                <w:b/>
                <w:color w:val="FFFFFF"/>
                <w:sz w:val="20"/>
                <w:szCs w:val="20"/>
              </w:rPr>
            </w:pPr>
            <w:r w:rsidRPr="006C05B5">
              <w:rPr>
                <w:b/>
                <w:color w:val="FFFFFF"/>
                <w:sz w:val="20"/>
                <w:szCs w:val="20"/>
              </w:rPr>
              <w:t>Approach</w:t>
            </w:r>
          </w:p>
        </w:tc>
        <w:tc>
          <w:tcPr>
            <w:tcW w:w="2907" w:type="dxa"/>
            <w:shd w:val="clear" w:color="auto" w:fill="448A99"/>
            <w:vAlign w:val="bottom"/>
          </w:tcPr>
          <w:p w:rsidR="00450725" w:rsidRPr="006C05B5" w:rsidRDefault="00450725" w:rsidP="00D900B5">
            <w:pPr>
              <w:keepNext/>
              <w:jc w:val="center"/>
              <w:rPr>
                <w:b/>
                <w:color w:val="FFFFFF"/>
                <w:sz w:val="20"/>
                <w:szCs w:val="20"/>
              </w:rPr>
            </w:pPr>
            <w:r w:rsidRPr="006C05B5">
              <w:rPr>
                <w:b/>
                <w:color w:val="FFFFFF"/>
                <w:sz w:val="20"/>
                <w:szCs w:val="20"/>
              </w:rPr>
              <w:t>Program</w:t>
            </w:r>
          </w:p>
        </w:tc>
        <w:tc>
          <w:tcPr>
            <w:tcW w:w="1117" w:type="dxa"/>
            <w:shd w:val="clear" w:color="auto" w:fill="448A99"/>
            <w:vAlign w:val="bottom"/>
          </w:tcPr>
          <w:p w:rsidR="00450725" w:rsidRPr="006C05B5" w:rsidRDefault="00450725" w:rsidP="00D900B5">
            <w:pPr>
              <w:keepNext/>
              <w:jc w:val="center"/>
              <w:rPr>
                <w:b/>
                <w:color w:val="FFFFFF"/>
                <w:sz w:val="20"/>
                <w:szCs w:val="20"/>
              </w:rPr>
            </w:pPr>
            <w:r w:rsidRPr="006C05B5">
              <w:rPr>
                <w:b/>
                <w:color w:val="FFFFFF"/>
                <w:sz w:val="20"/>
                <w:szCs w:val="20"/>
              </w:rPr>
              <w:t>Free-Ridership</w:t>
            </w:r>
          </w:p>
        </w:tc>
        <w:tc>
          <w:tcPr>
            <w:tcW w:w="1160" w:type="dxa"/>
            <w:shd w:val="clear" w:color="auto" w:fill="448A99"/>
            <w:vAlign w:val="bottom"/>
          </w:tcPr>
          <w:p w:rsidR="00450725" w:rsidRPr="006C05B5" w:rsidRDefault="00450725" w:rsidP="00D900B5">
            <w:pPr>
              <w:keepNext/>
              <w:jc w:val="center"/>
              <w:rPr>
                <w:b/>
                <w:color w:val="FFFFFF"/>
                <w:sz w:val="20"/>
                <w:szCs w:val="20"/>
              </w:rPr>
            </w:pPr>
            <w:r w:rsidRPr="006C05B5">
              <w:rPr>
                <w:b/>
                <w:color w:val="FFFFFF"/>
                <w:sz w:val="20"/>
                <w:szCs w:val="20"/>
              </w:rPr>
              <w:t>Spillover</w:t>
            </w:r>
          </w:p>
        </w:tc>
        <w:tc>
          <w:tcPr>
            <w:tcW w:w="1075" w:type="dxa"/>
            <w:shd w:val="clear" w:color="auto" w:fill="448A99"/>
            <w:vAlign w:val="bottom"/>
          </w:tcPr>
          <w:p w:rsidR="00450725" w:rsidRPr="006C05B5" w:rsidRDefault="00450725" w:rsidP="00D900B5">
            <w:pPr>
              <w:keepNext/>
              <w:jc w:val="center"/>
              <w:rPr>
                <w:b/>
                <w:color w:val="FFFFFF"/>
                <w:sz w:val="20"/>
                <w:szCs w:val="20"/>
              </w:rPr>
            </w:pPr>
            <w:r w:rsidRPr="006C05B5">
              <w:rPr>
                <w:b/>
                <w:color w:val="FFFFFF"/>
                <w:sz w:val="20"/>
                <w:szCs w:val="20"/>
              </w:rPr>
              <w:t>NTGR</w:t>
            </w:r>
          </w:p>
        </w:tc>
        <w:tc>
          <w:tcPr>
            <w:tcW w:w="1126" w:type="dxa"/>
            <w:shd w:val="clear" w:color="auto" w:fill="448A99"/>
            <w:vAlign w:val="bottom"/>
          </w:tcPr>
          <w:p w:rsidR="00450725" w:rsidRPr="006C05B5" w:rsidRDefault="00450725" w:rsidP="00D900B5">
            <w:pPr>
              <w:keepNext/>
              <w:jc w:val="center"/>
              <w:rPr>
                <w:b/>
                <w:color w:val="FFFFFF"/>
                <w:sz w:val="20"/>
                <w:szCs w:val="20"/>
              </w:rPr>
            </w:pPr>
            <w:r w:rsidRPr="006C05B5">
              <w:rPr>
                <w:b/>
                <w:color w:val="FFFFFF"/>
                <w:sz w:val="20"/>
                <w:szCs w:val="20"/>
              </w:rPr>
              <w:t>Sample Size</w:t>
            </w:r>
            <w:r w:rsidRPr="006C05B5">
              <w:rPr>
                <w:b/>
                <w:color w:val="FFFFFF"/>
                <w:sz w:val="20"/>
                <w:szCs w:val="20"/>
                <w:vertAlign w:val="superscript"/>
              </w:rPr>
              <w:t>[a]</w:t>
            </w:r>
          </w:p>
        </w:tc>
      </w:tr>
      <w:tr w:rsidR="00A874AC" w:rsidRPr="006C05B5" w:rsidTr="00D900B5">
        <w:trPr>
          <w:trHeight w:val="346"/>
          <w:jc w:val="center"/>
        </w:trPr>
        <w:tc>
          <w:tcPr>
            <w:tcW w:w="1965" w:type="dxa"/>
            <w:vMerge w:val="restart"/>
            <w:shd w:val="clear" w:color="auto" w:fill="D2EAF1"/>
          </w:tcPr>
          <w:p w:rsidR="00450725" w:rsidRPr="006C05B5" w:rsidRDefault="00450725" w:rsidP="00D900B5">
            <w:pPr>
              <w:keepNext/>
              <w:rPr>
                <w:sz w:val="20"/>
                <w:szCs w:val="20"/>
              </w:rPr>
            </w:pPr>
            <w:r w:rsidRPr="006C05B5">
              <w:rPr>
                <w:sz w:val="20"/>
                <w:szCs w:val="20"/>
              </w:rPr>
              <w:t>Estimated</w:t>
            </w:r>
          </w:p>
        </w:tc>
        <w:tc>
          <w:tcPr>
            <w:tcW w:w="2907" w:type="dxa"/>
            <w:shd w:val="clear" w:color="auto" w:fill="D2EAF1"/>
          </w:tcPr>
          <w:p w:rsidR="00450725" w:rsidRPr="006C05B5" w:rsidRDefault="00450725" w:rsidP="00D900B5">
            <w:pPr>
              <w:jc w:val="left"/>
              <w:rPr>
                <w:sz w:val="20"/>
                <w:szCs w:val="20"/>
              </w:rPr>
            </w:pPr>
            <w:r w:rsidRPr="006C05B5">
              <w:rPr>
                <w:sz w:val="20"/>
                <w:szCs w:val="20"/>
              </w:rPr>
              <w:t>Commercial Program Group</w:t>
            </w:r>
          </w:p>
        </w:tc>
        <w:tc>
          <w:tcPr>
            <w:tcW w:w="1117" w:type="dxa"/>
            <w:shd w:val="clear" w:color="auto" w:fill="D2EAF1"/>
          </w:tcPr>
          <w:p w:rsidR="00450725" w:rsidRPr="006C05B5" w:rsidRDefault="00450725" w:rsidP="00D900B5">
            <w:pPr>
              <w:jc w:val="center"/>
              <w:rPr>
                <w:sz w:val="20"/>
                <w:szCs w:val="20"/>
              </w:rPr>
            </w:pPr>
            <w:r w:rsidRPr="006C05B5">
              <w:rPr>
                <w:sz w:val="20"/>
                <w:szCs w:val="20"/>
              </w:rPr>
              <w:t>0.33</w:t>
            </w:r>
            <w:r w:rsidRPr="006C05B5">
              <w:rPr>
                <w:b/>
                <w:sz w:val="20"/>
                <w:szCs w:val="20"/>
                <w:vertAlign w:val="superscript"/>
              </w:rPr>
              <w:t>[b]</w:t>
            </w:r>
          </w:p>
        </w:tc>
        <w:tc>
          <w:tcPr>
            <w:tcW w:w="1160" w:type="dxa"/>
            <w:shd w:val="clear" w:color="auto" w:fill="D2EAF1"/>
          </w:tcPr>
          <w:p w:rsidR="00450725" w:rsidRPr="006C05B5" w:rsidRDefault="00450725" w:rsidP="00D900B5">
            <w:pPr>
              <w:jc w:val="center"/>
              <w:rPr>
                <w:sz w:val="20"/>
                <w:szCs w:val="20"/>
              </w:rPr>
            </w:pPr>
            <w:r w:rsidRPr="006C05B5">
              <w:rPr>
                <w:sz w:val="20"/>
                <w:szCs w:val="20"/>
              </w:rPr>
              <w:t>0.00</w:t>
            </w:r>
          </w:p>
        </w:tc>
        <w:tc>
          <w:tcPr>
            <w:tcW w:w="1075" w:type="dxa"/>
            <w:shd w:val="clear" w:color="auto" w:fill="D2EAF1"/>
          </w:tcPr>
          <w:p w:rsidR="00450725" w:rsidRPr="006C05B5" w:rsidRDefault="00450725" w:rsidP="00D900B5">
            <w:pPr>
              <w:jc w:val="center"/>
              <w:rPr>
                <w:sz w:val="20"/>
                <w:szCs w:val="20"/>
              </w:rPr>
            </w:pPr>
            <w:r w:rsidRPr="006C05B5">
              <w:rPr>
                <w:sz w:val="20"/>
                <w:szCs w:val="20"/>
              </w:rPr>
              <w:t>0.67</w:t>
            </w:r>
            <w:r w:rsidRPr="006C05B5">
              <w:rPr>
                <w:b/>
                <w:sz w:val="20"/>
                <w:szCs w:val="20"/>
                <w:vertAlign w:val="superscript"/>
              </w:rPr>
              <w:t>[b]</w:t>
            </w:r>
          </w:p>
        </w:tc>
        <w:tc>
          <w:tcPr>
            <w:tcW w:w="1126" w:type="dxa"/>
            <w:shd w:val="clear" w:color="auto" w:fill="D2EAF1"/>
          </w:tcPr>
          <w:p w:rsidR="00450725" w:rsidRPr="006C05B5" w:rsidRDefault="00450725" w:rsidP="00D900B5">
            <w:pPr>
              <w:jc w:val="center"/>
              <w:rPr>
                <w:sz w:val="20"/>
                <w:szCs w:val="20"/>
              </w:rPr>
            </w:pPr>
            <w:r w:rsidRPr="006C05B5">
              <w:rPr>
                <w:sz w:val="20"/>
                <w:szCs w:val="20"/>
              </w:rPr>
              <w:t>38</w:t>
            </w:r>
          </w:p>
        </w:tc>
      </w:tr>
      <w:tr w:rsidR="00450725" w:rsidRPr="006C05B5" w:rsidTr="00DD4CC7">
        <w:trPr>
          <w:trHeight w:val="346"/>
          <w:jc w:val="center"/>
        </w:trPr>
        <w:tc>
          <w:tcPr>
            <w:tcW w:w="1965" w:type="dxa"/>
            <w:vMerge/>
          </w:tcPr>
          <w:p w:rsidR="00450725" w:rsidRPr="006C05B5" w:rsidRDefault="00450725" w:rsidP="00D900B5">
            <w:pPr>
              <w:rPr>
                <w:sz w:val="20"/>
                <w:szCs w:val="20"/>
              </w:rPr>
            </w:pPr>
          </w:p>
        </w:tc>
        <w:tc>
          <w:tcPr>
            <w:tcW w:w="2907" w:type="dxa"/>
          </w:tcPr>
          <w:p w:rsidR="00450725" w:rsidRPr="006C05B5" w:rsidRDefault="00450725" w:rsidP="00D900B5">
            <w:pPr>
              <w:jc w:val="left"/>
              <w:rPr>
                <w:sz w:val="20"/>
                <w:szCs w:val="20"/>
              </w:rPr>
            </w:pPr>
            <w:r w:rsidRPr="006C05B5">
              <w:rPr>
                <w:sz w:val="20"/>
                <w:szCs w:val="20"/>
              </w:rPr>
              <w:t>Industrial Program Group</w:t>
            </w:r>
          </w:p>
        </w:tc>
        <w:tc>
          <w:tcPr>
            <w:tcW w:w="1117" w:type="dxa"/>
          </w:tcPr>
          <w:p w:rsidR="00450725" w:rsidRPr="006C05B5" w:rsidRDefault="00450725" w:rsidP="00D900B5">
            <w:pPr>
              <w:jc w:val="center"/>
              <w:rPr>
                <w:sz w:val="20"/>
                <w:szCs w:val="20"/>
              </w:rPr>
            </w:pPr>
            <w:r w:rsidRPr="006C05B5">
              <w:rPr>
                <w:sz w:val="20"/>
                <w:szCs w:val="20"/>
              </w:rPr>
              <w:t>0.32</w:t>
            </w:r>
          </w:p>
        </w:tc>
        <w:tc>
          <w:tcPr>
            <w:tcW w:w="1160" w:type="dxa"/>
          </w:tcPr>
          <w:p w:rsidR="00450725" w:rsidRPr="006C05B5" w:rsidRDefault="00450725" w:rsidP="00D900B5">
            <w:pPr>
              <w:jc w:val="center"/>
              <w:rPr>
                <w:sz w:val="20"/>
                <w:szCs w:val="20"/>
              </w:rPr>
            </w:pPr>
            <w:r w:rsidRPr="006C05B5">
              <w:rPr>
                <w:sz w:val="20"/>
                <w:szCs w:val="20"/>
              </w:rPr>
              <w:t>0.00</w:t>
            </w:r>
          </w:p>
        </w:tc>
        <w:tc>
          <w:tcPr>
            <w:tcW w:w="1075" w:type="dxa"/>
          </w:tcPr>
          <w:p w:rsidR="00450725" w:rsidRPr="006C05B5" w:rsidRDefault="00450725" w:rsidP="00D900B5">
            <w:pPr>
              <w:jc w:val="center"/>
              <w:rPr>
                <w:sz w:val="20"/>
                <w:szCs w:val="20"/>
              </w:rPr>
            </w:pPr>
            <w:r w:rsidRPr="006C05B5">
              <w:rPr>
                <w:sz w:val="20"/>
                <w:szCs w:val="20"/>
              </w:rPr>
              <w:t>0.68</w:t>
            </w:r>
          </w:p>
        </w:tc>
        <w:tc>
          <w:tcPr>
            <w:tcW w:w="1126" w:type="dxa"/>
            <w:vAlign w:val="center"/>
          </w:tcPr>
          <w:p w:rsidR="00450725" w:rsidRPr="006C05B5" w:rsidRDefault="00450725" w:rsidP="00D900B5">
            <w:pPr>
              <w:jc w:val="center"/>
              <w:rPr>
                <w:sz w:val="20"/>
                <w:szCs w:val="20"/>
              </w:rPr>
            </w:pPr>
            <w:r w:rsidRPr="006C05B5">
              <w:rPr>
                <w:sz w:val="20"/>
                <w:szCs w:val="20"/>
              </w:rPr>
              <w:t>18</w:t>
            </w:r>
          </w:p>
        </w:tc>
      </w:tr>
      <w:tr w:rsidR="00E7173E" w:rsidRPr="006C05B5" w:rsidTr="00DD4CC7">
        <w:trPr>
          <w:jc w:val="center"/>
        </w:trPr>
        <w:tc>
          <w:tcPr>
            <w:tcW w:w="9350" w:type="dxa"/>
            <w:gridSpan w:val="6"/>
            <w:shd w:val="clear" w:color="auto" w:fill="448A99"/>
          </w:tcPr>
          <w:p w:rsidR="00450725" w:rsidRPr="006C05B5" w:rsidRDefault="00450725" w:rsidP="00D900B5">
            <w:pPr>
              <w:rPr>
                <w:color w:val="FFFFFF"/>
                <w:sz w:val="18"/>
              </w:rPr>
            </w:pPr>
            <w:r w:rsidRPr="006C05B5">
              <w:rPr>
                <w:color w:val="FFFFFF"/>
                <w:sz w:val="18"/>
              </w:rPr>
              <w:t>NOTES</w:t>
            </w:r>
            <w:r w:rsidR="00BC3312">
              <w:rPr>
                <w:color w:val="FFFFFF"/>
                <w:sz w:val="18"/>
              </w:rPr>
              <w:t>:</w:t>
            </w:r>
          </w:p>
          <w:p w:rsidR="00450725" w:rsidRPr="006C05B5" w:rsidRDefault="00450725" w:rsidP="00D900B5">
            <w:pPr>
              <w:rPr>
                <w:color w:val="FFFFFF"/>
                <w:sz w:val="18"/>
              </w:rPr>
            </w:pPr>
            <w:r w:rsidRPr="006C05B5">
              <w:rPr>
                <w:color w:val="FFFFFF"/>
                <w:sz w:val="18"/>
                <w:szCs w:val="18"/>
                <w:vertAlign w:val="superscript"/>
              </w:rPr>
              <w:t>[a]</w:t>
            </w:r>
            <w:r w:rsidRPr="006C05B5">
              <w:rPr>
                <w:color w:val="FFFFFF"/>
                <w:sz w:val="18"/>
              </w:rPr>
              <w:t xml:space="preserve"> The sample sizes provided at least 85/15 confidence/precision.</w:t>
            </w:r>
          </w:p>
          <w:p w:rsidR="00450725" w:rsidRPr="006C05B5" w:rsidRDefault="00450725" w:rsidP="00D900B5">
            <w:pPr>
              <w:rPr>
                <w:i/>
                <w:sz w:val="18"/>
              </w:rPr>
            </w:pPr>
            <w:r w:rsidRPr="006C05B5">
              <w:rPr>
                <w:color w:val="FFFFFF"/>
                <w:sz w:val="18"/>
                <w:szCs w:val="18"/>
                <w:vertAlign w:val="superscript"/>
              </w:rPr>
              <w:t>[b]</w:t>
            </w:r>
            <w:r w:rsidRPr="006C05B5">
              <w:rPr>
                <w:color w:val="FFFFFF"/>
                <w:sz w:val="18"/>
                <w:szCs w:val="20"/>
              </w:rPr>
              <w:t xml:space="preserve"> Navigant misprinted the value in the PY7 annual report. The value reported in this table is the actual value.</w:t>
            </w:r>
          </w:p>
        </w:tc>
      </w:tr>
    </w:tbl>
    <w:p w:rsidR="00450725" w:rsidRPr="006C05B5" w:rsidRDefault="00450725" w:rsidP="00450725"/>
    <w:p w:rsidR="00950837" w:rsidRPr="00E37A0C" w:rsidRDefault="00950837" w:rsidP="0043541C">
      <w:pPr>
        <w:pStyle w:val="AppendixAHeading2"/>
      </w:pPr>
      <w:r w:rsidRPr="00E37A0C">
        <w:t>Statewide Evaluator Final Recommendations</w:t>
      </w:r>
    </w:p>
    <w:p w:rsidR="00952607" w:rsidRPr="000475E0" w:rsidRDefault="00952607" w:rsidP="00952607">
      <w:pPr>
        <w:pStyle w:val="bullettext"/>
      </w:pPr>
      <w:r w:rsidRPr="000475E0">
        <w:t>The SWE Team has the following recommendations for Duquesne’s EE&amp;C programs going forward</w:t>
      </w:r>
      <w:r>
        <w:t>:</w:t>
      </w:r>
    </w:p>
    <w:p w:rsidR="00952607" w:rsidRDefault="00952607" w:rsidP="00E646C9">
      <w:pPr>
        <w:pStyle w:val="ListParagraph"/>
        <w:numPr>
          <w:ilvl w:val="0"/>
          <w:numId w:val="68"/>
        </w:numPr>
        <w:spacing w:after="120"/>
        <w:ind w:left="360"/>
        <w:contextualSpacing w:val="0"/>
      </w:pPr>
      <w:r w:rsidRPr="001F6FF4">
        <w:t xml:space="preserve">Future evaluation efforts should include sufficient details regarding HER billing analysis, both the methods and analysis, so the SWE </w:t>
      </w:r>
      <w:r>
        <w:t>T</w:t>
      </w:r>
      <w:r w:rsidRPr="001F6FF4">
        <w:t>eam can more fully assess the evaluation outcome.</w:t>
      </w:r>
    </w:p>
    <w:p w:rsidR="00952607" w:rsidRDefault="00952607" w:rsidP="00E646C9">
      <w:pPr>
        <w:pStyle w:val="ListParagraph"/>
        <w:numPr>
          <w:ilvl w:val="0"/>
          <w:numId w:val="68"/>
        </w:numPr>
        <w:spacing w:after="120"/>
        <w:ind w:left="360"/>
        <w:contextualSpacing w:val="0"/>
      </w:pPr>
      <w:r>
        <w:t>The kit programs (SEP, REEP, WHEAP) appear to be lacking two key installation rate adjustments:</w:t>
      </w:r>
    </w:p>
    <w:p w:rsidR="00952607" w:rsidRDefault="00952607" w:rsidP="00E646C9">
      <w:pPr>
        <w:pStyle w:val="ListParagraph"/>
        <w:numPr>
          <w:ilvl w:val="1"/>
          <w:numId w:val="69"/>
        </w:numPr>
        <w:spacing w:after="120"/>
        <w:ind w:left="720"/>
        <w:contextualSpacing w:val="0"/>
      </w:pPr>
      <w:r>
        <w:t>The kits programs do not currently account for future installations credited to the program, even though these programs often received a reduction in verified savings of 10%–40% due to installation rate adjustments. Future research for these programs, evaluations, and TRMs should consider longer-term installation of these measures.</w:t>
      </w:r>
    </w:p>
    <w:p w:rsidR="00952607" w:rsidRDefault="00952607" w:rsidP="00E646C9">
      <w:pPr>
        <w:pStyle w:val="ListParagraph"/>
        <w:numPr>
          <w:ilvl w:val="1"/>
          <w:numId w:val="69"/>
        </w:numPr>
        <w:spacing w:after="120"/>
        <w:ind w:left="720"/>
        <w:contextualSpacing w:val="0"/>
      </w:pPr>
      <w:r>
        <w:t>Since the kits program have shown a consistently low installation rate, future iterations of the TRM or the claimed gross ex ante savings should be adjusted for some assumed ISR. Otherwise evaluations will continue to show a lower realization rate for these programs.</w:t>
      </w:r>
    </w:p>
    <w:p w:rsidR="00952607" w:rsidRPr="00CD0382" w:rsidRDefault="00952607" w:rsidP="00E646C9">
      <w:pPr>
        <w:pStyle w:val="ListParagraph"/>
        <w:numPr>
          <w:ilvl w:val="0"/>
          <w:numId w:val="68"/>
        </w:numPr>
        <w:spacing w:after="120"/>
        <w:ind w:left="360"/>
        <w:contextualSpacing w:val="0"/>
      </w:pPr>
      <w:r w:rsidRPr="00CD0382">
        <w:t xml:space="preserve">The SWE and </w:t>
      </w:r>
      <w:r w:rsidR="00C45E9A" w:rsidRPr="00CD0382">
        <w:t>Duquesne’s</w:t>
      </w:r>
      <w:r w:rsidRPr="00CD0382">
        <w:t xml:space="preserve"> evaluation contractor should continue to monitor and assess the need to perform on-site inspections for the Duquesne low</w:t>
      </w:r>
      <w:r>
        <w:t>-</w:t>
      </w:r>
      <w:r w:rsidRPr="00CD0382">
        <w:t>income program should the program expand to offer more comprehensive retrofit options.</w:t>
      </w:r>
    </w:p>
    <w:p w:rsidR="00952607" w:rsidRPr="00501BEE" w:rsidRDefault="00952607" w:rsidP="00E646C9">
      <w:pPr>
        <w:pStyle w:val="ListParagraph"/>
        <w:numPr>
          <w:ilvl w:val="0"/>
          <w:numId w:val="68"/>
        </w:numPr>
        <w:spacing w:after="120"/>
        <w:ind w:left="360"/>
        <w:contextualSpacing w:val="0"/>
      </w:pPr>
      <w:r w:rsidRPr="00501BEE">
        <w:t>It appears that Duquesne’s upstream lighting contractor (ECOVA) has continued to modify the lightbulb lumen look</w:t>
      </w:r>
      <w:r>
        <w:t>-</w:t>
      </w:r>
      <w:r w:rsidRPr="00501BEE">
        <w:t>up table and associated logic used in its PMRS system to match the TRM tables and logic. Even with the updates, the evaluation contractor revised the baseline wattages of a fairly significant number of records (</w:t>
      </w:r>
      <w:r>
        <w:t>7%</w:t>
      </w:r>
      <w:r w:rsidRPr="00501BEE">
        <w:t>), resulting in a</w:t>
      </w:r>
      <w:r>
        <w:t>n</w:t>
      </w:r>
      <w:r w:rsidRPr="00501BEE">
        <w:t xml:space="preserve"> </w:t>
      </w:r>
      <w:r>
        <w:t xml:space="preserve">increase of </w:t>
      </w:r>
      <w:r w:rsidRPr="00501BEE">
        <w:t>approximately 1.3% in verified savings. The SWE Team continues to recommend that Duquesne have its evaluation contractor (currently Navigant) validate the logic and tables used for the lighting (and other programs) in its system very early in each program year to ensure consistency with the current-year TRM. Furthermore, in future annual reports, the evaluation contractor should include greater detail regarding PMRS validation and the records and assumptions that are inconsistent with the TRM</w:t>
      </w:r>
      <w:r>
        <w:t>,</w:t>
      </w:r>
      <w:r w:rsidRPr="00501BEE">
        <w:t xml:space="preserve"> to highlight which bulb types in particular are divergent from the TRM.</w:t>
      </w:r>
      <w:r w:rsidR="00691BB3">
        <w:t xml:space="preserve"> </w:t>
      </w:r>
    </w:p>
    <w:p w:rsidR="00952607" w:rsidRPr="00F24F10" w:rsidRDefault="00952607" w:rsidP="00E646C9">
      <w:pPr>
        <w:pStyle w:val="ListParagraph"/>
        <w:numPr>
          <w:ilvl w:val="0"/>
          <w:numId w:val="68"/>
        </w:numPr>
        <w:spacing w:after="120"/>
        <w:ind w:left="360"/>
        <w:contextualSpacing w:val="0"/>
      </w:pPr>
      <w:r>
        <w:t>Alt</w:t>
      </w:r>
      <w:r w:rsidRPr="00F24F10">
        <w:t>hough the audit did not identify any serious installation, verification, or TRM savings issues and validate</w:t>
      </w:r>
      <w:r>
        <w:t>d</w:t>
      </w:r>
      <w:r w:rsidRPr="00F24F10">
        <w:t xml:space="preserve"> Navigant’s evaluation efforts for the annual report, the annual report lacked a discussion relative to the final adjusted savings rates (realization rates) and whether the adjustments made to the verified savings were attributable to deemed savings or installation verification.</w:t>
      </w:r>
    </w:p>
    <w:p w:rsidR="00952607" w:rsidRDefault="00952607" w:rsidP="00E646C9">
      <w:pPr>
        <w:pStyle w:val="ListParagraph"/>
        <w:numPr>
          <w:ilvl w:val="0"/>
          <w:numId w:val="68"/>
        </w:numPr>
        <w:spacing w:after="120"/>
        <w:ind w:left="360"/>
        <w:contextualSpacing w:val="0"/>
      </w:pPr>
      <w:r w:rsidRPr="003D0064">
        <w:t xml:space="preserve">Understanding </w:t>
      </w:r>
      <w:r>
        <w:t xml:space="preserve">that </w:t>
      </w:r>
      <w:r w:rsidRPr="003D0064">
        <w:t>there is a balance between data</w:t>
      </w:r>
      <w:r>
        <w:t>-</w:t>
      </w:r>
      <w:r w:rsidRPr="003D0064">
        <w:t xml:space="preserve">collection requirements and cost, the SWE Team </w:t>
      </w:r>
      <w:r>
        <w:t>continues to encourage</w:t>
      </w:r>
      <w:r w:rsidRPr="003D0064">
        <w:t xml:space="preserve"> </w:t>
      </w:r>
      <w:r>
        <w:t>Duquesne to investigate the cost of having its</w:t>
      </w:r>
      <w:r w:rsidRPr="003D0064">
        <w:t xml:space="preserve"> CSP log baseline equipment and other installation parameters (installation location, actual installed quantity or length)</w:t>
      </w:r>
      <w:r>
        <w:t>,</w:t>
      </w:r>
      <w:r w:rsidRPr="003D0064">
        <w:t xml:space="preserve"> to more accurately reflect the savings</w:t>
      </w:r>
      <w:r>
        <w:t xml:space="preserve"> for high-impact measures</w:t>
      </w:r>
      <w:r w:rsidRPr="003D0064">
        <w:t xml:space="preserve">. There </w:t>
      </w:r>
      <w:r>
        <w:t xml:space="preserve">is likely significant savings </w:t>
      </w:r>
      <w:r w:rsidRPr="003D0064">
        <w:t>potential that Duquesne is stranding by relying on TRM defaults rather than</w:t>
      </w:r>
      <w:r>
        <w:t xml:space="preserve"> on</w:t>
      </w:r>
      <w:r w:rsidRPr="003D0064">
        <w:t xml:space="preserve"> EDC data collection.</w:t>
      </w:r>
    </w:p>
    <w:p w:rsidR="00BD32B2" w:rsidRDefault="00BD32B2" w:rsidP="00E646C9">
      <w:pPr>
        <w:pStyle w:val="ListParagraph"/>
        <w:numPr>
          <w:ilvl w:val="0"/>
          <w:numId w:val="68"/>
        </w:numPr>
        <w:spacing w:after="120"/>
        <w:ind w:left="360"/>
        <w:contextualSpacing w:val="0"/>
      </w:pPr>
      <w:r w:rsidRPr="00BD32B2">
        <w:lastRenderedPageBreak/>
        <w:t xml:space="preserve">With the new and differently implemented WHEAP, </w:t>
      </w:r>
      <w:r w:rsidR="00AD40AC" w:rsidRPr="00AD40AC">
        <w:t>track the awareness of and implementation rate for REEP rebates among WHEAP participants, to determine whether the link between the two programs is being made effectively to participants</w:t>
      </w:r>
      <w:r w:rsidRPr="00BD32B2">
        <w:t>.</w:t>
      </w:r>
    </w:p>
    <w:p w:rsidR="00BD32B2" w:rsidRDefault="00BD32B2" w:rsidP="00E646C9">
      <w:pPr>
        <w:pStyle w:val="ListParagraph"/>
        <w:numPr>
          <w:ilvl w:val="0"/>
          <w:numId w:val="68"/>
        </w:numPr>
        <w:spacing w:after="120"/>
        <w:ind w:left="360"/>
        <w:contextualSpacing w:val="0"/>
      </w:pPr>
      <w:r w:rsidRPr="00BD32B2">
        <w:t xml:space="preserve">If it is cost-effective, </w:t>
      </w:r>
      <w:r w:rsidR="00AD40AC" w:rsidRPr="00AD40AC">
        <w:t>consider using the REEP and Low-Income Energy Efficiency Program (LIEEP) to introduce LEDs to participants in addition to one or more CFLs, as LEDs may result in lower free-ridership</w:t>
      </w:r>
      <w:r>
        <w:t>.</w:t>
      </w:r>
    </w:p>
    <w:p w:rsidR="00BD32B2" w:rsidRPr="003D0064" w:rsidRDefault="00BD32B2" w:rsidP="00E646C9">
      <w:pPr>
        <w:pStyle w:val="ListParagraph"/>
        <w:numPr>
          <w:ilvl w:val="0"/>
          <w:numId w:val="68"/>
        </w:numPr>
        <w:ind w:left="360"/>
        <w:contextualSpacing w:val="0"/>
      </w:pPr>
      <w:r w:rsidRPr="00BD32B2">
        <w:t>If Phase III activities shift from promoting primarily CFLs to LEDs, consider updating or changing Wattley, the Watt Choices image, to look less like a CFL.</w:t>
      </w:r>
    </w:p>
    <w:p w:rsidR="00C60756" w:rsidRDefault="00C60756">
      <w:pPr>
        <w:jc w:val="left"/>
      </w:pPr>
    </w:p>
    <w:p w:rsidR="00950837" w:rsidRPr="00E37A0C" w:rsidRDefault="00950837" w:rsidP="00E37A0C">
      <w:pPr>
        <w:pStyle w:val="AppendixAHeading1"/>
      </w:pPr>
      <w:r w:rsidRPr="00E37A0C">
        <w:t>Met-Ed</w:t>
      </w:r>
    </w:p>
    <w:p w:rsidR="0065314C" w:rsidRDefault="0065314C" w:rsidP="0065314C">
      <w:r w:rsidRPr="00735BA9">
        <w:t xml:space="preserve">This </w:t>
      </w:r>
      <w:r>
        <w:t>section</w:t>
      </w:r>
      <w:r w:rsidRPr="00735BA9">
        <w:t xml:space="preserve"> summarizes </w:t>
      </w:r>
      <w:r>
        <w:t>Met-Ed</w:t>
      </w:r>
      <w:r w:rsidRPr="00735BA9">
        <w:t xml:space="preserve">’s program performance </w:t>
      </w:r>
      <w:r>
        <w:t>through PY7</w:t>
      </w:r>
      <w:r w:rsidRPr="00735BA9">
        <w:t xml:space="preserve">. It includes an overview of the cumulative energy savings and demand reductions achieved by </w:t>
      </w:r>
      <w:r>
        <w:t>Met-Ed</w:t>
      </w:r>
      <w:r w:rsidRPr="00735BA9">
        <w:t xml:space="preserve">’s Act 129 EE&amp;C programs in Phase II; an overview of the TRC test results for each program and for the portfolio of programs; a discussion of the activities completed by </w:t>
      </w:r>
      <w:r>
        <w:t>Met-Ed</w:t>
      </w:r>
      <w:r w:rsidRPr="00735BA9">
        <w:t xml:space="preserve">’s evaluation contractor to conduct M&amp;V of </w:t>
      </w:r>
      <w:r w:rsidR="00C60756">
        <w:t>Met-Ed</w:t>
      </w:r>
      <w:r w:rsidR="00C60756" w:rsidRPr="00735BA9">
        <w:t xml:space="preserve">’s </w:t>
      </w:r>
      <w:r w:rsidRPr="00735BA9">
        <w:t xml:space="preserve">EE&amp;C programs and to calculate the cost-effectiveness of the portfolio of programs; a description of the work and findings of the SWE Team audits; and the SWE Team’s recommendations of actions to help improve </w:t>
      </w:r>
      <w:r>
        <w:t>Met-Ed</w:t>
      </w:r>
      <w:r w:rsidRPr="00735BA9">
        <w:t>’s programs in the future</w:t>
      </w:r>
      <w:r>
        <w:t>.</w:t>
      </w:r>
    </w:p>
    <w:p w:rsidR="0065314C" w:rsidRPr="0065314C" w:rsidRDefault="0065314C" w:rsidP="0065314C"/>
    <w:p w:rsidR="00950837" w:rsidRPr="00E37A0C" w:rsidRDefault="00950837" w:rsidP="0043541C">
      <w:pPr>
        <w:pStyle w:val="AppendixAHeading2"/>
      </w:pPr>
      <w:r w:rsidRPr="00E37A0C">
        <w:t>Summary of Energy and Demand Reductions</w:t>
      </w:r>
    </w:p>
    <w:p w:rsidR="009C5272" w:rsidRDefault="009C5272" w:rsidP="009C5272">
      <w:r>
        <w:t xml:space="preserve">This section lists the programs </w:t>
      </w:r>
      <w:r w:rsidR="009A66A7">
        <w:t>that</w:t>
      </w:r>
      <w:r>
        <w:t xml:space="preserve"> provided energy savings in PY7 and includes the energy and demand savings contributed by each program offered during Phase II. The sector-level verified gross and net energy savings achieved in PY7 are also provided.</w:t>
      </w:r>
    </w:p>
    <w:p w:rsidR="009C5272" w:rsidRPr="009C5272" w:rsidRDefault="009C5272" w:rsidP="009C5272"/>
    <w:p w:rsidR="00950837" w:rsidRDefault="00950837" w:rsidP="00E37A0C">
      <w:pPr>
        <w:pStyle w:val="AppendixAHeading3"/>
      </w:pPr>
      <w:r>
        <w:t>Phase II Savings by Program</w:t>
      </w:r>
    </w:p>
    <w:p w:rsidR="008C19A4" w:rsidRDefault="008C19A4" w:rsidP="008C19A4">
      <w:r>
        <w:t xml:space="preserve">Table A-27 </w:t>
      </w:r>
      <w:r w:rsidR="006F7DE9" w:rsidRPr="008C19A4">
        <w:t xml:space="preserve">lists the </w:t>
      </w:r>
      <w:r w:rsidR="005A27BE" w:rsidRPr="008C19A4">
        <w:t>Met-Ed</w:t>
      </w:r>
      <w:r w:rsidR="006F7DE9" w:rsidRPr="008C19A4">
        <w:t xml:space="preserve"> EE&amp;C programs that yielded reported savings in PY7. </w:t>
      </w:r>
    </w:p>
    <w:p w:rsidR="008C19A4" w:rsidRPr="008C19A4" w:rsidRDefault="008C19A4" w:rsidP="008C19A4"/>
    <w:p w:rsidR="006F7DE9" w:rsidRPr="008C19A4" w:rsidRDefault="008C19A4" w:rsidP="008C19A4">
      <w:r>
        <w:t xml:space="preserve">Table A-28 </w:t>
      </w:r>
      <w:r w:rsidR="006F7DE9" w:rsidRPr="008C19A4">
        <w:t xml:space="preserve">shows the verified gross energy and demand savings of each program at the conclusion of Phase II. The </w:t>
      </w:r>
      <w:r w:rsidR="00932518" w:rsidRPr="008C19A4">
        <w:t>Home Performance</w:t>
      </w:r>
      <w:r w:rsidR="006F7DE9" w:rsidRPr="008C19A4">
        <w:t xml:space="preserve"> program was the largest contributor of </w:t>
      </w:r>
      <w:r w:rsidR="00932518" w:rsidRPr="008C19A4">
        <w:t>e</w:t>
      </w:r>
      <w:r w:rsidR="006F7DE9" w:rsidRPr="008C19A4">
        <w:t>nergy savings.</w:t>
      </w:r>
    </w:p>
    <w:p w:rsidR="006F7DE9" w:rsidRPr="004B480A" w:rsidRDefault="006F7DE9" w:rsidP="006F7DE9"/>
    <w:p w:rsidR="006F7DE9" w:rsidRDefault="006F7DE9" w:rsidP="006F7DE9">
      <w:pPr>
        <w:pStyle w:val="Caption"/>
      </w:pPr>
      <w:bookmarkStart w:id="654" w:name="_Ref472359048"/>
      <w:bookmarkStart w:id="655" w:name="_Toc472472436"/>
      <w:bookmarkStart w:id="656" w:name="_Toc476842142"/>
      <w:r w:rsidRPr="00E41D9C">
        <w:t>Table A-</w:t>
      </w:r>
      <w:fldSimple w:instr=" SEQ Table_A- \* ARABIC ">
        <w:r w:rsidR="00C301D0">
          <w:rPr>
            <w:noProof/>
          </w:rPr>
          <w:t>27</w:t>
        </w:r>
      </w:fldSimple>
      <w:bookmarkEnd w:id="654"/>
      <w:r w:rsidRPr="00E41D9C">
        <w:t xml:space="preserve">: </w:t>
      </w:r>
      <w:r w:rsidR="005A27BE">
        <w:t>Met-Ed</w:t>
      </w:r>
      <w:r w:rsidRPr="00E41D9C">
        <w:t xml:space="preserve"> EE&amp;C Programs wi</w:t>
      </w:r>
      <w:r>
        <w:t>th Reported Gross Savings in PY7</w:t>
      </w:r>
      <w:bookmarkEnd w:id="655"/>
      <w:bookmarkEnd w:id="656"/>
    </w:p>
    <w:tbl>
      <w:tblPr>
        <w:tblW w:w="9350" w:type="dxa"/>
        <w:tblLook w:val="04A0" w:firstRow="1" w:lastRow="0" w:firstColumn="1" w:lastColumn="0" w:noHBand="0" w:noVBand="1"/>
      </w:tblPr>
      <w:tblGrid>
        <w:gridCol w:w="4675"/>
        <w:gridCol w:w="4675"/>
      </w:tblGrid>
      <w:tr w:rsidR="00E7173E" w:rsidRPr="00932518" w:rsidTr="00DD4CC7">
        <w:trPr>
          <w:trHeight w:val="241"/>
          <w:tblHeader/>
        </w:trPr>
        <w:tc>
          <w:tcPr>
            <w:tcW w:w="4675"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932518" w:rsidRPr="00932518" w:rsidRDefault="00932518" w:rsidP="008D7800">
            <w:pPr>
              <w:rPr>
                <w:b/>
                <w:bCs/>
                <w:color w:val="FFFFFF"/>
                <w:sz w:val="20"/>
                <w:szCs w:val="20"/>
              </w:rPr>
            </w:pPr>
            <w:r w:rsidRPr="00932518">
              <w:rPr>
                <w:b/>
                <w:bCs/>
                <w:color w:val="FFFFFF"/>
                <w:sz w:val="20"/>
                <w:szCs w:val="20"/>
              </w:rPr>
              <w:t>Programs Reporting PY7 Gross Savings</w:t>
            </w:r>
          </w:p>
        </w:tc>
        <w:tc>
          <w:tcPr>
            <w:tcW w:w="4675" w:type="dxa"/>
            <w:tcBorders>
              <w:top w:val="single" w:sz="8" w:space="0" w:color="448A99"/>
              <w:left w:val="nil"/>
              <w:bottom w:val="single" w:sz="8" w:space="0" w:color="448A99"/>
              <w:right w:val="single" w:sz="8" w:space="0" w:color="448A99"/>
            </w:tcBorders>
            <w:shd w:val="clear" w:color="000000" w:fill="448A99"/>
            <w:vAlign w:val="bottom"/>
            <w:hideMark/>
          </w:tcPr>
          <w:p w:rsidR="00932518" w:rsidRPr="00932518" w:rsidRDefault="009A66A7" w:rsidP="008D7800">
            <w:pPr>
              <w:jc w:val="center"/>
              <w:rPr>
                <w:b/>
                <w:bCs/>
                <w:color w:val="FFFFFF"/>
                <w:sz w:val="20"/>
                <w:szCs w:val="20"/>
              </w:rPr>
            </w:pPr>
            <w:r>
              <w:rPr>
                <w:b/>
                <w:bCs/>
                <w:color w:val="FFFFFF"/>
                <w:sz w:val="20"/>
                <w:szCs w:val="20"/>
              </w:rPr>
              <w:t>Sector</w:t>
            </w:r>
          </w:p>
        </w:tc>
      </w:tr>
      <w:tr w:rsidR="00E7173E" w:rsidRPr="00932518" w:rsidTr="00DD4CC7">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32518" w:rsidRPr="00932518" w:rsidRDefault="00932518" w:rsidP="00932518">
            <w:pPr>
              <w:rPr>
                <w:color w:val="000000"/>
                <w:sz w:val="20"/>
                <w:szCs w:val="20"/>
              </w:rPr>
            </w:pPr>
            <w:r w:rsidRPr="00932518">
              <w:rPr>
                <w:color w:val="000000"/>
                <w:sz w:val="20"/>
                <w:szCs w:val="20"/>
              </w:rPr>
              <w:t>Appliance Turn-In</w:t>
            </w:r>
          </w:p>
        </w:tc>
        <w:tc>
          <w:tcPr>
            <w:tcW w:w="4675"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8D7800">
            <w:pPr>
              <w:jc w:val="center"/>
              <w:rPr>
                <w:color w:val="000000"/>
                <w:sz w:val="20"/>
                <w:szCs w:val="20"/>
              </w:rPr>
            </w:pPr>
            <w:r w:rsidRPr="00932518">
              <w:rPr>
                <w:color w:val="000000"/>
                <w:sz w:val="20"/>
                <w:szCs w:val="20"/>
              </w:rPr>
              <w:t>Residential</w:t>
            </w:r>
          </w:p>
        </w:tc>
      </w:tr>
      <w:tr w:rsidR="00E7173E" w:rsidRPr="00932518" w:rsidTr="00DD4CC7">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932518" w:rsidRDefault="00932518" w:rsidP="00932518">
            <w:pPr>
              <w:rPr>
                <w:color w:val="000000"/>
                <w:sz w:val="20"/>
                <w:szCs w:val="20"/>
              </w:rPr>
            </w:pPr>
            <w:r w:rsidRPr="00932518">
              <w:rPr>
                <w:color w:val="000000"/>
                <w:sz w:val="20"/>
                <w:szCs w:val="20"/>
              </w:rPr>
              <w:t>Efficient Products</w:t>
            </w:r>
          </w:p>
        </w:tc>
        <w:tc>
          <w:tcPr>
            <w:tcW w:w="4675"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8D7800">
            <w:pPr>
              <w:jc w:val="center"/>
              <w:rPr>
                <w:color w:val="000000"/>
                <w:sz w:val="20"/>
                <w:szCs w:val="20"/>
              </w:rPr>
            </w:pPr>
            <w:r w:rsidRPr="00932518">
              <w:rPr>
                <w:color w:val="000000"/>
                <w:sz w:val="20"/>
                <w:szCs w:val="20"/>
              </w:rPr>
              <w:t>Residential</w:t>
            </w:r>
          </w:p>
        </w:tc>
      </w:tr>
      <w:tr w:rsidR="00E7173E" w:rsidRPr="00932518" w:rsidTr="00DD4CC7">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32518" w:rsidRPr="00932518" w:rsidRDefault="00932518" w:rsidP="00932518">
            <w:pPr>
              <w:rPr>
                <w:color w:val="000000"/>
                <w:sz w:val="20"/>
                <w:szCs w:val="20"/>
              </w:rPr>
            </w:pPr>
            <w:r w:rsidRPr="00932518">
              <w:rPr>
                <w:color w:val="000000"/>
                <w:sz w:val="20"/>
                <w:szCs w:val="20"/>
              </w:rPr>
              <w:t>Home Performance</w:t>
            </w:r>
          </w:p>
        </w:tc>
        <w:tc>
          <w:tcPr>
            <w:tcW w:w="4675"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8D7800">
            <w:pPr>
              <w:jc w:val="center"/>
              <w:rPr>
                <w:color w:val="000000"/>
                <w:sz w:val="20"/>
                <w:szCs w:val="20"/>
              </w:rPr>
            </w:pPr>
            <w:r w:rsidRPr="00932518">
              <w:rPr>
                <w:color w:val="000000"/>
                <w:sz w:val="20"/>
                <w:szCs w:val="20"/>
              </w:rPr>
              <w:t>Residential</w:t>
            </w:r>
          </w:p>
        </w:tc>
      </w:tr>
      <w:tr w:rsidR="00E7173E" w:rsidRPr="00932518" w:rsidTr="00DD4CC7">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932518" w:rsidRDefault="00932518" w:rsidP="00932518">
            <w:pPr>
              <w:rPr>
                <w:color w:val="000000"/>
                <w:sz w:val="20"/>
                <w:szCs w:val="20"/>
              </w:rPr>
            </w:pPr>
            <w:r w:rsidRPr="00932518">
              <w:rPr>
                <w:color w:val="000000"/>
                <w:sz w:val="20"/>
                <w:szCs w:val="20"/>
              </w:rPr>
              <w:t>Low Income</w:t>
            </w:r>
          </w:p>
        </w:tc>
        <w:tc>
          <w:tcPr>
            <w:tcW w:w="4675"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8D7800">
            <w:pPr>
              <w:jc w:val="center"/>
              <w:rPr>
                <w:color w:val="000000"/>
                <w:sz w:val="20"/>
                <w:szCs w:val="20"/>
              </w:rPr>
            </w:pPr>
            <w:r w:rsidRPr="00932518">
              <w:rPr>
                <w:color w:val="000000"/>
                <w:sz w:val="20"/>
                <w:szCs w:val="20"/>
              </w:rPr>
              <w:t>Low-Income</w:t>
            </w:r>
          </w:p>
        </w:tc>
      </w:tr>
      <w:tr w:rsidR="00E7173E" w:rsidRPr="00932518" w:rsidTr="00DD4CC7">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32518" w:rsidRPr="00932518" w:rsidRDefault="00932518" w:rsidP="00932518">
            <w:pPr>
              <w:rPr>
                <w:color w:val="000000"/>
                <w:sz w:val="20"/>
                <w:szCs w:val="20"/>
              </w:rPr>
            </w:pPr>
            <w:r w:rsidRPr="00932518">
              <w:rPr>
                <w:color w:val="000000"/>
                <w:sz w:val="20"/>
                <w:szCs w:val="20"/>
              </w:rPr>
              <w:t>Small C/I Equipment</w:t>
            </w:r>
          </w:p>
        </w:tc>
        <w:tc>
          <w:tcPr>
            <w:tcW w:w="4675"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8D7800">
            <w:pPr>
              <w:jc w:val="center"/>
              <w:rPr>
                <w:color w:val="000000"/>
                <w:sz w:val="20"/>
                <w:szCs w:val="20"/>
              </w:rPr>
            </w:pPr>
            <w:r w:rsidRPr="00932518">
              <w:rPr>
                <w:color w:val="000000"/>
                <w:sz w:val="20"/>
                <w:szCs w:val="20"/>
              </w:rPr>
              <w:t>Non-Residential</w:t>
            </w:r>
          </w:p>
        </w:tc>
      </w:tr>
      <w:tr w:rsidR="00E7173E" w:rsidRPr="00932518" w:rsidTr="00DD4CC7">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932518" w:rsidRDefault="00932518" w:rsidP="00932518">
            <w:pPr>
              <w:rPr>
                <w:color w:val="000000"/>
                <w:sz w:val="20"/>
                <w:szCs w:val="20"/>
              </w:rPr>
            </w:pPr>
            <w:r w:rsidRPr="00932518">
              <w:rPr>
                <w:color w:val="000000"/>
                <w:sz w:val="20"/>
                <w:szCs w:val="20"/>
              </w:rPr>
              <w:t>Small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8D7800">
            <w:pPr>
              <w:jc w:val="center"/>
              <w:rPr>
                <w:color w:val="000000"/>
                <w:sz w:val="20"/>
                <w:szCs w:val="20"/>
              </w:rPr>
            </w:pPr>
            <w:r w:rsidRPr="00932518">
              <w:rPr>
                <w:color w:val="000000"/>
                <w:sz w:val="20"/>
                <w:szCs w:val="20"/>
              </w:rPr>
              <w:t>Non-Residential</w:t>
            </w:r>
          </w:p>
        </w:tc>
      </w:tr>
      <w:tr w:rsidR="00E7173E" w:rsidRPr="00932518" w:rsidTr="00DD4CC7">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32518" w:rsidRPr="00932518" w:rsidRDefault="00932518" w:rsidP="00932518">
            <w:pPr>
              <w:rPr>
                <w:color w:val="000000"/>
                <w:sz w:val="20"/>
                <w:szCs w:val="20"/>
              </w:rPr>
            </w:pPr>
            <w:r w:rsidRPr="00932518">
              <w:rPr>
                <w:color w:val="000000"/>
                <w:sz w:val="20"/>
                <w:szCs w:val="20"/>
              </w:rPr>
              <w:t>Large C/I Equipment</w:t>
            </w:r>
          </w:p>
        </w:tc>
        <w:tc>
          <w:tcPr>
            <w:tcW w:w="4675"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8D7800">
            <w:pPr>
              <w:jc w:val="center"/>
              <w:rPr>
                <w:color w:val="000000"/>
                <w:sz w:val="20"/>
                <w:szCs w:val="20"/>
              </w:rPr>
            </w:pPr>
            <w:r w:rsidRPr="00932518">
              <w:rPr>
                <w:color w:val="000000"/>
                <w:sz w:val="20"/>
                <w:szCs w:val="20"/>
              </w:rPr>
              <w:t>Non-Residential</w:t>
            </w:r>
          </w:p>
        </w:tc>
      </w:tr>
      <w:tr w:rsidR="00E7173E" w:rsidRPr="00932518" w:rsidTr="00DD4CC7">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932518" w:rsidRDefault="00932518" w:rsidP="00932518">
            <w:pPr>
              <w:rPr>
                <w:color w:val="000000"/>
                <w:sz w:val="20"/>
                <w:szCs w:val="20"/>
              </w:rPr>
            </w:pPr>
            <w:r w:rsidRPr="00932518">
              <w:rPr>
                <w:color w:val="000000"/>
                <w:sz w:val="20"/>
                <w:szCs w:val="20"/>
              </w:rPr>
              <w:t>Large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8D7800">
            <w:pPr>
              <w:jc w:val="center"/>
              <w:rPr>
                <w:color w:val="000000"/>
                <w:sz w:val="20"/>
                <w:szCs w:val="20"/>
              </w:rPr>
            </w:pPr>
            <w:r w:rsidRPr="00932518">
              <w:rPr>
                <w:color w:val="000000"/>
                <w:sz w:val="20"/>
                <w:szCs w:val="20"/>
              </w:rPr>
              <w:t>Non-Residential</w:t>
            </w:r>
          </w:p>
        </w:tc>
      </w:tr>
      <w:tr w:rsidR="00E7173E" w:rsidRPr="00932518" w:rsidTr="00DD4CC7">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32518" w:rsidRPr="00932518" w:rsidRDefault="00932518" w:rsidP="00932518">
            <w:pPr>
              <w:rPr>
                <w:color w:val="000000"/>
                <w:sz w:val="20"/>
                <w:szCs w:val="20"/>
              </w:rPr>
            </w:pPr>
            <w:r w:rsidRPr="00932518">
              <w:rPr>
                <w:color w:val="000000"/>
                <w:sz w:val="20"/>
                <w:szCs w:val="20"/>
              </w:rPr>
              <w:t>Gov./Institutional</w:t>
            </w:r>
          </w:p>
        </w:tc>
        <w:tc>
          <w:tcPr>
            <w:tcW w:w="4675"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8D7800">
            <w:pPr>
              <w:jc w:val="center"/>
              <w:rPr>
                <w:color w:val="000000"/>
                <w:sz w:val="20"/>
                <w:szCs w:val="20"/>
              </w:rPr>
            </w:pPr>
            <w:r w:rsidRPr="00932518">
              <w:rPr>
                <w:color w:val="000000"/>
                <w:sz w:val="20"/>
                <w:szCs w:val="20"/>
              </w:rPr>
              <w:t>GNI</w:t>
            </w:r>
          </w:p>
        </w:tc>
      </w:tr>
    </w:tbl>
    <w:p w:rsidR="006F7DE9" w:rsidRDefault="006F7DE9" w:rsidP="006F7DE9"/>
    <w:p w:rsidR="006F7DE9" w:rsidRDefault="006F7DE9" w:rsidP="006F7DE9">
      <w:pPr>
        <w:pStyle w:val="Caption"/>
      </w:pPr>
      <w:bookmarkStart w:id="657" w:name="_Ref472359054"/>
      <w:bookmarkStart w:id="658" w:name="_Toc472472437"/>
      <w:bookmarkStart w:id="659" w:name="_Toc476842143"/>
      <w:r w:rsidRPr="00E41D9C">
        <w:t>Table A-</w:t>
      </w:r>
      <w:fldSimple w:instr=" SEQ Table_A- \* ARABIC ">
        <w:r w:rsidR="00C301D0">
          <w:rPr>
            <w:noProof/>
          </w:rPr>
          <w:t>28</w:t>
        </w:r>
      </w:fldSimple>
      <w:bookmarkEnd w:id="657"/>
      <w:r w:rsidRPr="00E41D9C">
        <w:t xml:space="preserve">: </w:t>
      </w:r>
      <w:r w:rsidRPr="005A1DB5">
        <w:t>Summary</w:t>
      </w:r>
      <w:r w:rsidR="005A27BE">
        <w:t xml:space="preserve"> of M</w:t>
      </w:r>
      <w:r w:rsidRPr="005A1DB5">
        <w:t>e</w:t>
      </w:r>
      <w:r w:rsidR="005A27BE">
        <w:t>t-Ed</w:t>
      </w:r>
      <w:r w:rsidRPr="005A1DB5">
        <w:t xml:space="preserve"> EE&amp;C Program Impacts on Verified Gross Portfolio Savings</w:t>
      </w:r>
      <w:bookmarkEnd w:id="658"/>
      <w:bookmarkEnd w:id="659"/>
    </w:p>
    <w:tbl>
      <w:tblPr>
        <w:tblW w:w="9450" w:type="dxa"/>
        <w:tblInd w:w="108" w:type="dxa"/>
        <w:tblLayout w:type="fixed"/>
        <w:tblLook w:val="04A0" w:firstRow="1" w:lastRow="0" w:firstColumn="1" w:lastColumn="0" w:noHBand="0" w:noVBand="1"/>
      </w:tblPr>
      <w:tblGrid>
        <w:gridCol w:w="2340"/>
        <w:gridCol w:w="1752"/>
        <w:gridCol w:w="1753"/>
        <w:gridCol w:w="1752"/>
        <w:gridCol w:w="1853"/>
      </w:tblGrid>
      <w:tr w:rsidR="00A874AC" w:rsidRPr="00932518" w:rsidTr="005C3E63">
        <w:trPr>
          <w:trHeight w:val="780"/>
        </w:trPr>
        <w:tc>
          <w:tcPr>
            <w:tcW w:w="234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932518" w:rsidRPr="00932518" w:rsidRDefault="00932518" w:rsidP="008D7800">
            <w:pPr>
              <w:rPr>
                <w:b/>
                <w:bCs/>
                <w:color w:val="FFFFFF"/>
                <w:sz w:val="20"/>
                <w:szCs w:val="20"/>
              </w:rPr>
            </w:pPr>
            <w:r w:rsidRPr="00932518">
              <w:rPr>
                <w:b/>
                <w:bCs/>
                <w:color w:val="FFFFFF"/>
                <w:sz w:val="20"/>
                <w:szCs w:val="20"/>
              </w:rPr>
              <w:lastRenderedPageBreak/>
              <w:t>Program</w:t>
            </w:r>
          </w:p>
        </w:tc>
        <w:tc>
          <w:tcPr>
            <w:tcW w:w="1752" w:type="dxa"/>
            <w:tcBorders>
              <w:top w:val="single" w:sz="8" w:space="0" w:color="448A99"/>
              <w:left w:val="nil"/>
              <w:bottom w:val="single" w:sz="8" w:space="0" w:color="448A99"/>
              <w:right w:val="single" w:sz="8" w:space="0" w:color="448A99"/>
            </w:tcBorders>
            <w:shd w:val="clear" w:color="000000" w:fill="448A99"/>
            <w:vAlign w:val="bottom"/>
            <w:hideMark/>
          </w:tcPr>
          <w:p w:rsidR="00932518" w:rsidRPr="00932518" w:rsidRDefault="00932518" w:rsidP="008D7800">
            <w:pPr>
              <w:jc w:val="center"/>
              <w:rPr>
                <w:b/>
                <w:bCs/>
                <w:color w:val="FFFFFF"/>
                <w:sz w:val="20"/>
                <w:szCs w:val="20"/>
              </w:rPr>
            </w:pPr>
            <w:r w:rsidRPr="00932518">
              <w:rPr>
                <w:b/>
                <w:bCs/>
                <w:color w:val="FFFFFF"/>
                <w:sz w:val="20"/>
                <w:szCs w:val="20"/>
              </w:rPr>
              <w:t>Phase II VG Savings (MWh)</w:t>
            </w:r>
          </w:p>
        </w:tc>
        <w:tc>
          <w:tcPr>
            <w:tcW w:w="1753" w:type="dxa"/>
            <w:tcBorders>
              <w:top w:val="single" w:sz="8" w:space="0" w:color="448A99"/>
              <w:left w:val="nil"/>
              <w:bottom w:val="single" w:sz="8" w:space="0" w:color="448A99"/>
              <w:right w:val="single" w:sz="8" w:space="0" w:color="448A99"/>
            </w:tcBorders>
            <w:shd w:val="clear" w:color="000000" w:fill="448A99"/>
            <w:vAlign w:val="bottom"/>
            <w:hideMark/>
          </w:tcPr>
          <w:p w:rsidR="00932518" w:rsidRPr="00932518" w:rsidRDefault="00932518" w:rsidP="008D7800">
            <w:pPr>
              <w:jc w:val="center"/>
              <w:rPr>
                <w:b/>
                <w:bCs/>
                <w:color w:val="FFFFFF"/>
                <w:sz w:val="20"/>
                <w:szCs w:val="20"/>
              </w:rPr>
            </w:pPr>
            <w:r w:rsidRPr="00932518">
              <w:rPr>
                <w:b/>
                <w:bCs/>
                <w:color w:val="FFFFFF"/>
                <w:sz w:val="20"/>
                <w:szCs w:val="20"/>
              </w:rPr>
              <w:t>Percent of Portfolio Phase II VG MWh Savings</w:t>
            </w:r>
          </w:p>
        </w:tc>
        <w:tc>
          <w:tcPr>
            <w:tcW w:w="1752" w:type="dxa"/>
            <w:tcBorders>
              <w:top w:val="single" w:sz="8" w:space="0" w:color="448A99"/>
              <w:left w:val="nil"/>
              <w:bottom w:val="single" w:sz="8" w:space="0" w:color="448A99"/>
              <w:right w:val="single" w:sz="8" w:space="0" w:color="448A99"/>
            </w:tcBorders>
            <w:shd w:val="clear" w:color="000000" w:fill="448A99"/>
            <w:vAlign w:val="bottom"/>
            <w:hideMark/>
          </w:tcPr>
          <w:p w:rsidR="00932518" w:rsidRPr="00932518" w:rsidRDefault="00932518" w:rsidP="008D7800">
            <w:pPr>
              <w:jc w:val="center"/>
              <w:rPr>
                <w:b/>
                <w:bCs/>
                <w:color w:val="FFFFFF"/>
                <w:sz w:val="20"/>
                <w:szCs w:val="20"/>
              </w:rPr>
            </w:pPr>
            <w:r w:rsidRPr="00932518">
              <w:rPr>
                <w:b/>
                <w:bCs/>
                <w:color w:val="FFFFFF"/>
                <w:sz w:val="20"/>
                <w:szCs w:val="20"/>
              </w:rPr>
              <w:t>Phase II VG Savings (MW)</w:t>
            </w:r>
          </w:p>
        </w:tc>
        <w:tc>
          <w:tcPr>
            <w:tcW w:w="1853" w:type="dxa"/>
            <w:tcBorders>
              <w:top w:val="single" w:sz="8" w:space="0" w:color="448A99"/>
              <w:left w:val="nil"/>
              <w:bottom w:val="single" w:sz="8" w:space="0" w:color="448A99"/>
              <w:right w:val="single" w:sz="8" w:space="0" w:color="448A99"/>
            </w:tcBorders>
            <w:shd w:val="clear" w:color="000000" w:fill="448A99"/>
            <w:vAlign w:val="bottom"/>
            <w:hideMark/>
          </w:tcPr>
          <w:p w:rsidR="00932518" w:rsidRPr="00932518" w:rsidRDefault="00932518" w:rsidP="008D7800">
            <w:pPr>
              <w:jc w:val="center"/>
              <w:rPr>
                <w:b/>
                <w:bCs/>
                <w:color w:val="FFFFFF"/>
                <w:sz w:val="20"/>
                <w:szCs w:val="20"/>
              </w:rPr>
            </w:pPr>
            <w:r w:rsidRPr="00932518">
              <w:rPr>
                <w:b/>
                <w:bCs/>
                <w:color w:val="FFFFFF"/>
                <w:sz w:val="20"/>
                <w:szCs w:val="20"/>
              </w:rPr>
              <w:t>Percent of Portfolio Phase II VG MW Savings</w:t>
            </w:r>
          </w:p>
        </w:tc>
      </w:tr>
      <w:tr w:rsidR="00E7173E" w:rsidRPr="00932518" w:rsidTr="005C3E63">
        <w:trPr>
          <w:trHeight w:val="315"/>
        </w:trPr>
        <w:tc>
          <w:tcPr>
            <w:tcW w:w="2340" w:type="dxa"/>
            <w:tcBorders>
              <w:top w:val="nil"/>
              <w:left w:val="single" w:sz="8" w:space="0" w:color="448A99"/>
              <w:bottom w:val="single" w:sz="8" w:space="0" w:color="448A99"/>
              <w:right w:val="single" w:sz="8" w:space="0" w:color="448A99"/>
            </w:tcBorders>
            <w:shd w:val="clear" w:color="auto" w:fill="auto"/>
            <w:vAlign w:val="center"/>
            <w:hideMark/>
          </w:tcPr>
          <w:p w:rsidR="00932518" w:rsidRPr="00932518" w:rsidRDefault="00932518" w:rsidP="00932518">
            <w:pPr>
              <w:rPr>
                <w:color w:val="000000"/>
                <w:sz w:val="20"/>
                <w:szCs w:val="20"/>
              </w:rPr>
            </w:pPr>
            <w:r w:rsidRPr="00932518">
              <w:rPr>
                <w:color w:val="000000"/>
                <w:sz w:val="20"/>
                <w:szCs w:val="20"/>
              </w:rPr>
              <w:t>Appliance Turn-In</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932518">
            <w:pPr>
              <w:jc w:val="center"/>
              <w:rPr>
                <w:color w:val="000000"/>
                <w:sz w:val="20"/>
                <w:szCs w:val="20"/>
              </w:rPr>
            </w:pPr>
            <w:r w:rsidRPr="00932518">
              <w:rPr>
                <w:color w:val="000000"/>
                <w:sz w:val="20"/>
                <w:szCs w:val="20"/>
              </w:rPr>
              <w:t>14,253</w:t>
            </w:r>
          </w:p>
        </w:tc>
        <w:tc>
          <w:tcPr>
            <w:tcW w:w="1753" w:type="dxa"/>
            <w:tcBorders>
              <w:top w:val="nil"/>
              <w:left w:val="nil"/>
              <w:bottom w:val="single" w:sz="8" w:space="0" w:color="448A99"/>
              <w:right w:val="single" w:sz="8" w:space="0" w:color="448A99"/>
            </w:tcBorders>
            <w:shd w:val="clear" w:color="auto" w:fill="auto"/>
            <w:noWrap/>
            <w:vAlign w:val="center"/>
            <w:hideMark/>
          </w:tcPr>
          <w:p w:rsidR="00932518" w:rsidRPr="00932518" w:rsidRDefault="00932518" w:rsidP="00932518">
            <w:pPr>
              <w:jc w:val="center"/>
              <w:rPr>
                <w:color w:val="000000"/>
                <w:sz w:val="20"/>
                <w:szCs w:val="20"/>
              </w:rPr>
            </w:pPr>
            <w:r w:rsidRPr="00932518">
              <w:rPr>
                <w:color w:val="000000"/>
                <w:sz w:val="20"/>
                <w:szCs w:val="20"/>
              </w:rPr>
              <w:t>4%</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932518">
            <w:pPr>
              <w:jc w:val="center"/>
              <w:rPr>
                <w:color w:val="000000"/>
                <w:sz w:val="20"/>
                <w:szCs w:val="20"/>
              </w:rPr>
            </w:pPr>
            <w:r w:rsidRPr="00932518">
              <w:rPr>
                <w:color w:val="000000"/>
                <w:sz w:val="20"/>
                <w:szCs w:val="20"/>
              </w:rPr>
              <w:t>2.20</w:t>
            </w:r>
          </w:p>
        </w:tc>
        <w:tc>
          <w:tcPr>
            <w:tcW w:w="1853" w:type="dxa"/>
            <w:tcBorders>
              <w:top w:val="nil"/>
              <w:left w:val="nil"/>
              <w:bottom w:val="single" w:sz="8" w:space="0" w:color="448A99"/>
              <w:right w:val="single" w:sz="8" w:space="0" w:color="448A99"/>
            </w:tcBorders>
            <w:shd w:val="clear" w:color="auto" w:fill="auto"/>
            <w:noWrap/>
            <w:vAlign w:val="center"/>
            <w:hideMark/>
          </w:tcPr>
          <w:p w:rsidR="00932518" w:rsidRPr="00932518" w:rsidRDefault="00932518" w:rsidP="00932518">
            <w:pPr>
              <w:jc w:val="center"/>
              <w:rPr>
                <w:color w:val="000000"/>
                <w:sz w:val="20"/>
                <w:szCs w:val="20"/>
              </w:rPr>
            </w:pPr>
            <w:r w:rsidRPr="00932518">
              <w:rPr>
                <w:color w:val="000000"/>
                <w:sz w:val="20"/>
                <w:szCs w:val="20"/>
              </w:rPr>
              <w:t>5%</w:t>
            </w:r>
          </w:p>
        </w:tc>
      </w:tr>
      <w:tr w:rsidR="00A874AC" w:rsidRPr="00932518" w:rsidTr="005C3E63">
        <w:trPr>
          <w:trHeight w:val="315"/>
        </w:trPr>
        <w:tc>
          <w:tcPr>
            <w:tcW w:w="2340"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932518" w:rsidRDefault="00932518" w:rsidP="00932518">
            <w:pPr>
              <w:rPr>
                <w:color w:val="000000"/>
                <w:sz w:val="20"/>
                <w:szCs w:val="20"/>
              </w:rPr>
            </w:pPr>
            <w:r w:rsidRPr="00932518">
              <w:rPr>
                <w:color w:val="000000"/>
                <w:sz w:val="20"/>
                <w:szCs w:val="20"/>
              </w:rPr>
              <w:t>Efficient Products</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color w:val="000000"/>
                <w:sz w:val="20"/>
                <w:szCs w:val="20"/>
              </w:rPr>
            </w:pPr>
            <w:r w:rsidRPr="00932518">
              <w:rPr>
                <w:color w:val="000000"/>
                <w:sz w:val="20"/>
                <w:szCs w:val="20"/>
              </w:rPr>
              <w:t>89,130</w:t>
            </w:r>
          </w:p>
        </w:tc>
        <w:tc>
          <w:tcPr>
            <w:tcW w:w="1753" w:type="dxa"/>
            <w:tcBorders>
              <w:top w:val="nil"/>
              <w:left w:val="nil"/>
              <w:bottom w:val="single" w:sz="8" w:space="0" w:color="448A99"/>
              <w:right w:val="single" w:sz="8" w:space="0" w:color="448A99"/>
            </w:tcBorders>
            <w:shd w:val="clear" w:color="000000" w:fill="D2EAF1"/>
            <w:noWrap/>
            <w:vAlign w:val="center"/>
            <w:hideMark/>
          </w:tcPr>
          <w:p w:rsidR="00932518" w:rsidRPr="00932518" w:rsidRDefault="00932518" w:rsidP="00932518">
            <w:pPr>
              <w:jc w:val="center"/>
              <w:rPr>
                <w:color w:val="000000"/>
                <w:sz w:val="20"/>
                <w:szCs w:val="20"/>
              </w:rPr>
            </w:pPr>
            <w:r w:rsidRPr="00932518">
              <w:rPr>
                <w:color w:val="000000"/>
                <w:sz w:val="20"/>
                <w:szCs w:val="20"/>
              </w:rPr>
              <w:t>24%</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color w:val="000000"/>
                <w:sz w:val="20"/>
                <w:szCs w:val="20"/>
              </w:rPr>
            </w:pPr>
            <w:r w:rsidRPr="00932518">
              <w:rPr>
                <w:color w:val="000000"/>
                <w:sz w:val="20"/>
                <w:szCs w:val="20"/>
              </w:rPr>
              <w:t>9.90</w:t>
            </w:r>
          </w:p>
        </w:tc>
        <w:tc>
          <w:tcPr>
            <w:tcW w:w="1853"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color w:val="000000"/>
                <w:sz w:val="20"/>
                <w:szCs w:val="20"/>
              </w:rPr>
            </w:pPr>
            <w:r w:rsidRPr="00932518">
              <w:rPr>
                <w:color w:val="000000"/>
                <w:sz w:val="20"/>
                <w:szCs w:val="20"/>
              </w:rPr>
              <w:t>22%</w:t>
            </w:r>
          </w:p>
        </w:tc>
      </w:tr>
      <w:tr w:rsidR="00E7173E" w:rsidRPr="00932518" w:rsidTr="005C3E63">
        <w:trPr>
          <w:trHeight w:val="315"/>
        </w:trPr>
        <w:tc>
          <w:tcPr>
            <w:tcW w:w="2340" w:type="dxa"/>
            <w:tcBorders>
              <w:top w:val="nil"/>
              <w:left w:val="single" w:sz="8" w:space="0" w:color="448A99"/>
              <w:bottom w:val="single" w:sz="8" w:space="0" w:color="448A99"/>
              <w:right w:val="single" w:sz="8" w:space="0" w:color="448A99"/>
            </w:tcBorders>
            <w:shd w:val="clear" w:color="auto" w:fill="auto"/>
            <w:vAlign w:val="center"/>
            <w:hideMark/>
          </w:tcPr>
          <w:p w:rsidR="00932518" w:rsidRPr="00932518" w:rsidRDefault="00932518" w:rsidP="00932518">
            <w:pPr>
              <w:rPr>
                <w:color w:val="000000"/>
                <w:sz w:val="20"/>
                <w:szCs w:val="20"/>
              </w:rPr>
            </w:pPr>
            <w:r w:rsidRPr="00932518">
              <w:rPr>
                <w:color w:val="000000"/>
                <w:sz w:val="20"/>
                <w:szCs w:val="20"/>
              </w:rPr>
              <w:t>Home Performance</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932518">
            <w:pPr>
              <w:jc w:val="center"/>
              <w:rPr>
                <w:color w:val="000000"/>
                <w:sz w:val="20"/>
                <w:szCs w:val="20"/>
              </w:rPr>
            </w:pPr>
            <w:r w:rsidRPr="00932518">
              <w:rPr>
                <w:color w:val="000000"/>
                <w:sz w:val="20"/>
                <w:szCs w:val="20"/>
              </w:rPr>
              <w:t>111,045</w:t>
            </w:r>
          </w:p>
        </w:tc>
        <w:tc>
          <w:tcPr>
            <w:tcW w:w="1753" w:type="dxa"/>
            <w:tcBorders>
              <w:top w:val="nil"/>
              <w:left w:val="nil"/>
              <w:bottom w:val="single" w:sz="8" w:space="0" w:color="448A99"/>
              <w:right w:val="single" w:sz="8" w:space="0" w:color="448A99"/>
            </w:tcBorders>
            <w:shd w:val="clear" w:color="auto" w:fill="auto"/>
            <w:noWrap/>
            <w:vAlign w:val="center"/>
            <w:hideMark/>
          </w:tcPr>
          <w:p w:rsidR="00932518" w:rsidRPr="00932518" w:rsidRDefault="00932518" w:rsidP="00932518">
            <w:pPr>
              <w:jc w:val="center"/>
              <w:rPr>
                <w:color w:val="000000"/>
                <w:sz w:val="20"/>
                <w:szCs w:val="20"/>
              </w:rPr>
            </w:pPr>
            <w:r w:rsidRPr="00932518">
              <w:rPr>
                <w:color w:val="000000"/>
                <w:sz w:val="20"/>
                <w:szCs w:val="20"/>
              </w:rPr>
              <w:t>30%</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932518">
            <w:pPr>
              <w:jc w:val="center"/>
              <w:rPr>
                <w:color w:val="000000"/>
                <w:sz w:val="20"/>
                <w:szCs w:val="20"/>
              </w:rPr>
            </w:pPr>
            <w:r w:rsidRPr="00932518">
              <w:rPr>
                <w:color w:val="000000"/>
                <w:sz w:val="20"/>
                <w:szCs w:val="20"/>
              </w:rPr>
              <w:t>11.04</w:t>
            </w:r>
          </w:p>
        </w:tc>
        <w:tc>
          <w:tcPr>
            <w:tcW w:w="1853" w:type="dxa"/>
            <w:tcBorders>
              <w:top w:val="nil"/>
              <w:left w:val="nil"/>
              <w:bottom w:val="single" w:sz="8" w:space="0" w:color="448A99"/>
              <w:right w:val="single" w:sz="8" w:space="0" w:color="448A99"/>
            </w:tcBorders>
            <w:shd w:val="clear" w:color="auto" w:fill="auto"/>
            <w:noWrap/>
            <w:vAlign w:val="center"/>
            <w:hideMark/>
          </w:tcPr>
          <w:p w:rsidR="00932518" w:rsidRPr="00932518" w:rsidRDefault="00932518" w:rsidP="00932518">
            <w:pPr>
              <w:jc w:val="center"/>
              <w:rPr>
                <w:color w:val="000000"/>
                <w:sz w:val="20"/>
                <w:szCs w:val="20"/>
              </w:rPr>
            </w:pPr>
            <w:r w:rsidRPr="00932518">
              <w:rPr>
                <w:color w:val="000000"/>
                <w:sz w:val="20"/>
                <w:szCs w:val="20"/>
              </w:rPr>
              <w:t>24%</w:t>
            </w:r>
          </w:p>
        </w:tc>
      </w:tr>
      <w:tr w:rsidR="00A874AC" w:rsidRPr="00932518" w:rsidTr="005C3E63">
        <w:trPr>
          <w:trHeight w:val="315"/>
        </w:trPr>
        <w:tc>
          <w:tcPr>
            <w:tcW w:w="2340"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932518" w:rsidRDefault="00932518" w:rsidP="00932518">
            <w:pPr>
              <w:rPr>
                <w:color w:val="000000"/>
                <w:sz w:val="20"/>
                <w:szCs w:val="20"/>
              </w:rPr>
            </w:pPr>
            <w:r w:rsidRPr="00932518">
              <w:rPr>
                <w:color w:val="000000"/>
                <w:sz w:val="20"/>
                <w:szCs w:val="20"/>
              </w:rPr>
              <w:t>Low Income</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color w:val="000000"/>
                <w:sz w:val="20"/>
                <w:szCs w:val="20"/>
              </w:rPr>
            </w:pPr>
            <w:r w:rsidRPr="00932518">
              <w:rPr>
                <w:color w:val="000000"/>
                <w:sz w:val="20"/>
                <w:szCs w:val="20"/>
              </w:rPr>
              <w:t>6,463</w:t>
            </w:r>
          </w:p>
        </w:tc>
        <w:tc>
          <w:tcPr>
            <w:tcW w:w="1753" w:type="dxa"/>
            <w:tcBorders>
              <w:top w:val="nil"/>
              <w:left w:val="nil"/>
              <w:bottom w:val="single" w:sz="8" w:space="0" w:color="448A99"/>
              <w:right w:val="single" w:sz="8" w:space="0" w:color="448A99"/>
            </w:tcBorders>
            <w:shd w:val="clear" w:color="000000" w:fill="D2EAF1"/>
            <w:noWrap/>
            <w:vAlign w:val="center"/>
            <w:hideMark/>
          </w:tcPr>
          <w:p w:rsidR="00932518" w:rsidRPr="00932518" w:rsidRDefault="00932518" w:rsidP="00932518">
            <w:pPr>
              <w:jc w:val="center"/>
              <w:rPr>
                <w:color w:val="000000"/>
                <w:sz w:val="20"/>
                <w:szCs w:val="20"/>
              </w:rPr>
            </w:pPr>
            <w:r w:rsidRPr="00932518">
              <w:rPr>
                <w:color w:val="000000"/>
                <w:sz w:val="20"/>
                <w:szCs w:val="20"/>
              </w:rPr>
              <w:t>2%</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color w:val="000000"/>
                <w:sz w:val="20"/>
                <w:szCs w:val="20"/>
              </w:rPr>
            </w:pPr>
            <w:r w:rsidRPr="00932518">
              <w:rPr>
                <w:color w:val="000000"/>
                <w:sz w:val="20"/>
                <w:szCs w:val="20"/>
              </w:rPr>
              <w:t>0.51</w:t>
            </w:r>
          </w:p>
        </w:tc>
        <w:tc>
          <w:tcPr>
            <w:tcW w:w="1853"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color w:val="000000"/>
                <w:sz w:val="20"/>
                <w:szCs w:val="20"/>
              </w:rPr>
            </w:pPr>
            <w:r w:rsidRPr="00932518">
              <w:rPr>
                <w:color w:val="000000"/>
                <w:sz w:val="20"/>
                <w:szCs w:val="20"/>
              </w:rPr>
              <w:t>1%</w:t>
            </w:r>
          </w:p>
        </w:tc>
      </w:tr>
      <w:tr w:rsidR="00E7173E" w:rsidRPr="00932518" w:rsidTr="005C3E63">
        <w:trPr>
          <w:trHeight w:val="315"/>
        </w:trPr>
        <w:tc>
          <w:tcPr>
            <w:tcW w:w="2340" w:type="dxa"/>
            <w:tcBorders>
              <w:top w:val="nil"/>
              <w:left w:val="single" w:sz="8" w:space="0" w:color="448A99"/>
              <w:bottom w:val="single" w:sz="8" w:space="0" w:color="448A99"/>
              <w:right w:val="single" w:sz="8" w:space="0" w:color="448A99"/>
            </w:tcBorders>
            <w:shd w:val="clear" w:color="auto" w:fill="auto"/>
            <w:vAlign w:val="center"/>
            <w:hideMark/>
          </w:tcPr>
          <w:p w:rsidR="00932518" w:rsidRPr="00932518" w:rsidRDefault="00932518" w:rsidP="00932518">
            <w:pPr>
              <w:rPr>
                <w:color w:val="000000"/>
                <w:sz w:val="20"/>
                <w:szCs w:val="20"/>
              </w:rPr>
            </w:pPr>
            <w:r w:rsidRPr="00932518">
              <w:rPr>
                <w:color w:val="000000"/>
                <w:sz w:val="20"/>
                <w:szCs w:val="20"/>
              </w:rPr>
              <w:t>Small C/I Equipment</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932518">
            <w:pPr>
              <w:jc w:val="center"/>
              <w:rPr>
                <w:color w:val="000000"/>
                <w:sz w:val="20"/>
                <w:szCs w:val="20"/>
              </w:rPr>
            </w:pPr>
            <w:r w:rsidRPr="00932518">
              <w:rPr>
                <w:color w:val="000000"/>
                <w:sz w:val="20"/>
                <w:szCs w:val="20"/>
              </w:rPr>
              <w:t>49,750</w:t>
            </w:r>
          </w:p>
        </w:tc>
        <w:tc>
          <w:tcPr>
            <w:tcW w:w="1753" w:type="dxa"/>
            <w:tcBorders>
              <w:top w:val="nil"/>
              <w:left w:val="nil"/>
              <w:bottom w:val="single" w:sz="8" w:space="0" w:color="448A99"/>
              <w:right w:val="single" w:sz="8" w:space="0" w:color="448A99"/>
            </w:tcBorders>
            <w:shd w:val="clear" w:color="auto" w:fill="auto"/>
            <w:noWrap/>
            <w:vAlign w:val="center"/>
            <w:hideMark/>
          </w:tcPr>
          <w:p w:rsidR="00932518" w:rsidRPr="00932518" w:rsidRDefault="00932518" w:rsidP="00932518">
            <w:pPr>
              <w:jc w:val="center"/>
              <w:rPr>
                <w:color w:val="000000"/>
                <w:sz w:val="20"/>
                <w:szCs w:val="20"/>
              </w:rPr>
            </w:pPr>
            <w:r w:rsidRPr="00932518">
              <w:rPr>
                <w:color w:val="000000"/>
                <w:sz w:val="20"/>
                <w:szCs w:val="20"/>
              </w:rPr>
              <w:t>14%</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932518">
            <w:pPr>
              <w:jc w:val="center"/>
              <w:rPr>
                <w:color w:val="000000"/>
                <w:sz w:val="20"/>
                <w:szCs w:val="20"/>
              </w:rPr>
            </w:pPr>
            <w:r w:rsidRPr="00932518">
              <w:rPr>
                <w:color w:val="000000"/>
                <w:sz w:val="20"/>
                <w:szCs w:val="20"/>
              </w:rPr>
              <w:t>8.31</w:t>
            </w:r>
          </w:p>
        </w:tc>
        <w:tc>
          <w:tcPr>
            <w:tcW w:w="1853" w:type="dxa"/>
            <w:tcBorders>
              <w:top w:val="nil"/>
              <w:left w:val="nil"/>
              <w:bottom w:val="single" w:sz="8" w:space="0" w:color="448A99"/>
              <w:right w:val="single" w:sz="8" w:space="0" w:color="448A99"/>
            </w:tcBorders>
            <w:shd w:val="clear" w:color="auto" w:fill="auto"/>
            <w:noWrap/>
            <w:vAlign w:val="center"/>
            <w:hideMark/>
          </w:tcPr>
          <w:p w:rsidR="00932518" w:rsidRPr="00932518" w:rsidRDefault="00932518" w:rsidP="00932518">
            <w:pPr>
              <w:jc w:val="center"/>
              <w:rPr>
                <w:color w:val="000000"/>
                <w:sz w:val="20"/>
                <w:szCs w:val="20"/>
              </w:rPr>
            </w:pPr>
            <w:r w:rsidRPr="00932518">
              <w:rPr>
                <w:color w:val="000000"/>
                <w:sz w:val="20"/>
                <w:szCs w:val="20"/>
              </w:rPr>
              <w:t>18%</w:t>
            </w:r>
          </w:p>
        </w:tc>
      </w:tr>
      <w:tr w:rsidR="00A874AC" w:rsidRPr="00932518" w:rsidTr="005C3E63">
        <w:trPr>
          <w:trHeight w:val="315"/>
        </w:trPr>
        <w:tc>
          <w:tcPr>
            <w:tcW w:w="2340"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932518" w:rsidRDefault="00932518" w:rsidP="00932518">
            <w:pPr>
              <w:rPr>
                <w:color w:val="000000"/>
                <w:sz w:val="20"/>
                <w:szCs w:val="20"/>
              </w:rPr>
            </w:pPr>
            <w:r w:rsidRPr="00932518">
              <w:rPr>
                <w:color w:val="000000"/>
                <w:sz w:val="20"/>
                <w:szCs w:val="20"/>
              </w:rPr>
              <w:t>Small C/I Buildings</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color w:val="000000"/>
                <w:sz w:val="20"/>
                <w:szCs w:val="20"/>
              </w:rPr>
            </w:pPr>
            <w:r w:rsidRPr="00932518">
              <w:rPr>
                <w:color w:val="000000"/>
                <w:sz w:val="20"/>
                <w:szCs w:val="20"/>
              </w:rPr>
              <w:t>10,319</w:t>
            </w:r>
          </w:p>
        </w:tc>
        <w:tc>
          <w:tcPr>
            <w:tcW w:w="1753" w:type="dxa"/>
            <w:tcBorders>
              <w:top w:val="nil"/>
              <w:left w:val="nil"/>
              <w:bottom w:val="single" w:sz="8" w:space="0" w:color="448A99"/>
              <w:right w:val="single" w:sz="8" w:space="0" w:color="448A99"/>
            </w:tcBorders>
            <w:shd w:val="clear" w:color="000000" w:fill="D2EAF1"/>
            <w:noWrap/>
            <w:vAlign w:val="center"/>
            <w:hideMark/>
          </w:tcPr>
          <w:p w:rsidR="00932518" w:rsidRPr="00932518" w:rsidRDefault="00932518" w:rsidP="00932518">
            <w:pPr>
              <w:jc w:val="center"/>
              <w:rPr>
                <w:color w:val="000000"/>
                <w:sz w:val="20"/>
                <w:szCs w:val="20"/>
              </w:rPr>
            </w:pPr>
            <w:r w:rsidRPr="00932518">
              <w:rPr>
                <w:color w:val="000000"/>
                <w:sz w:val="20"/>
                <w:szCs w:val="20"/>
              </w:rPr>
              <w:t>3%</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color w:val="000000"/>
                <w:sz w:val="20"/>
                <w:szCs w:val="20"/>
              </w:rPr>
            </w:pPr>
            <w:r w:rsidRPr="00932518">
              <w:rPr>
                <w:color w:val="000000"/>
                <w:sz w:val="20"/>
                <w:szCs w:val="20"/>
              </w:rPr>
              <w:t>1.78</w:t>
            </w:r>
          </w:p>
        </w:tc>
        <w:tc>
          <w:tcPr>
            <w:tcW w:w="1853"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color w:val="000000"/>
                <w:sz w:val="20"/>
                <w:szCs w:val="20"/>
              </w:rPr>
            </w:pPr>
            <w:r w:rsidRPr="00932518">
              <w:rPr>
                <w:color w:val="000000"/>
                <w:sz w:val="20"/>
                <w:szCs w:val="20"/>
              </w:rPr>
              <w:t>4%</w:t>
            </w:r>
          </w:p>
        </w:tc>
      </w:tr>
      <w:tr w:rsidR="00E7173E" w:rsidRPr="00932518" w:rsidTr="005C3E63">
        <w:trPr>
          <w:trHeight w:val="315"/>
        </w:trPr>
        <w:tc>
          <w:tcPr>
            <w:tcW w:w="2340" w:type="dxa"/>
            <w:tcBorders>
              <w:top w:val="nil"/>
              <w:left w:val="single" w:sz="8" w:space="0" w:color="448A99"/>
              <w:bottom w:val="single" w:sz="8" w:space="0" w:color="448A99"/>
              <w:right w:val="single" w:sz="8" w:space="0" w:color="448A99"/>
            </w:tcBorders>
            <w:shd w:val="clear" w:color="auto" w:fill="auto"/>
            <w:vAlign w:val="center"/>
            <w:hideMark/>
          </w:tcPr>
          <w:p w:rsidR="00932518" w:rsidRPr="00932518" w:rsidRDefault="00932518" w:rsidP="00932518">
            <w:pPr>
              <w:rPr>
                <w:color w:val="000000"/>
                <w:sz w:val="20"/>
                <w:szCs w:val="20"/>
              </w:rPr>
            </w:pPr>
            <w:r w:rsidRPr="00932518">
              <w:rPr>
                <w:color w:val="000000"/>
                <w:sz w:val="20"/>
                <w:szCs w:val="20"/>
              </w:rPr>
              <w:t>Large C/I Equipment</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932518">
            <w:pPr>
              <w:jc w:val="center"/>
              <w:rPr>
                <w:color w:val="000000"/>
                <w:sz w:val="20"/>
                <w:szCs w:val="20"/>
              </w:rPr>
            </w:pPr>
            <w:r w:rsidRPr="00932518">
              <w:rPr>
                <w:color w:val="000000"/>
                <w:sz w:val="20"/>
                <w:szCs w:val="20"/>
              </w:rPr>
              <w:t>82,254</w:t>
            </w:r>
          </w:p>
        </w:tc>
        <w:tc>
          <w:tcPr>
            <w:tcW w:w="1753" w:type="dxa"/>
            <w:tcBorders>
              <w:top w:val="nil"/>
              <w:left w:val="nil"/>
              <w:bottom w:val="single" w:sz="8" w:space="0" w:color="448A99"/>
              <w:right w:val="single" w:sz="8" w:space="0" w:color="448A99"/>
            </w:tcBorders>
            <w:shd w:val="clear" w:color="auto" w:fill="auto"/>
            <w:noWrap/>
            <w:vAlign w:val="center"/>
            <w:hideMark/>
          </w:tcPr>
          <w:p w:rsidR="00932518" w:rsidRPr="00932518" w:rsidRDefault="00932518" w:rsidP="00932518">
            <w:pPr>
              <w:jc w:val="center"/>
              <w:rPr>
                <w:color w:val="000000"/>
                <w:sz w:val="20"/>
                <w:szCs w:val="20"/>
              </w:rPr>
            </w:pPr>
            <w:r w:rsidRPr="00932518">
              <w:rPr>
                <w:color w:val="000000"/>
                <w:sz w:val="20"/>
                <w:szCs w:val="20"/>
              </w:rPr>
              <w:t>22%</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932518">
            <w:pPr>
              <w:jc w:val="center"/>
              <w:rPr>
                <w:color w:val="000000"/>
                <w:sz w:val="20"/>
                <w:szCs w:val="20"/>
              </w:rPr>
            </w:pPr>
            <w:r w:rsidRPr="00932518">
              <w:rPr>
                <w:color w:val="000000"/>
                <w:sz w:val="20"/>
                <w:szCs w:val="20"/>
              </w:rPr>
              <w:t>10.77</w:t>
            </w:r>
          </w:p>
        </w:tc>
        <w:tc>
          <w:tcPr>
            <w:tcW w:w="1853" w:type="dxa"/>
            <w:tcBorders>
              <w:top w:val="nil"/>
              <w:left w:val="nil"/>
              <w:bottom w:val="single" w:sz="8" w:space="0" w:color="448A99"/>
              <w:right w:val="single" w:sz="8" w:space="0" w:color="448A99"/>
            </w:tcBorders>
            <w:shd w:val="clear" w:color="auto" w:fill="auto"/>
            <w:noWrap/>
            <w:vAlign w:val="center"/>
            <w:hideMark/>
          </w:tcPr>
          <w:p w:rsidR="00932518" w:rsidRPr="00932518" w:rsidRDefault="00932518" w:rsidP="00932518">
            <w:pPr>
              <w:jc w:val="center"/>
              <w:rPr>
                <w:color w:val="000000"/>
                <w:sz w:val="20"/>
                <w:szCs w:val="20"/>
              </w:rPr>
            </w:pPr>
            <w:r w:rsidRPr="00932518">
              <w:rPr>
                <w:color w:val="000000"/>
                <w:sz w:val="20"/>
                <w:szCs w:val="20"/>
              </w:rPr>
              <w:t>24%</w:t>
            </w:r>
          </w:p>
        </w:tc>
      </w:tr>
      <w:tr w:rsidR="00A874AC" w:rsidRPr="00932518" w:rsidTr="005C3E63">
        <w:trPr>
          <w:trHeight w:val="315"/>
        </w:trPr>
        <w:tc>
          <w:tcPr>
            <w:tcW w:w="2340" w:type="dxa"/>
            <w:tcBorders>
              <w:top w:val="nil"/>
              <w:left w:val="single" w:sz="8" w:space="0" w:color="448A99"/>
              <w:bottom w:val="single" w:sz="8" w:space="0" w:color="448A99"/>
              <w:right w:val="single" w:sz="8" w:space="0" w:color="448A99"/>
            </w:tcBorders>
            <w:shd w:val="clear" w:color="000000" w:fill="D2EAF1"/>
            <w:vAlign w:val="center"/>
            <w:hideMark/>
          </w:tcPr>
          <w:p w:rsidR="00932518" w:rsidRPr="00932518" w:rsidRDefault="00932518" w:rsidP="00932518">
            <w:pPr>
              <w:rPr>
                <w:color w:val="000000"/>
                <w:sz w:val="20"/>
                <w:szCs w:val="20"/>
              </w:rPr>
            </w:pPr>
            <w:r w:rsidRPr="00932518">
              <w:rPr>
                <w:color w:val="000000"/>
                <w:sz w:val="20"/>
                <w:szCs w:val="20"/>
              </w:rPr>
              <w:t>Large C/I Buildings</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color w:val="000000"/>
                <w:sz w:val="20"/>
                <w:szCs w:val="20"/>
              </w:rPr>
            </w:pPr>
            <w:r w:rsidRPr="00932518">
              <w:rPr>
                <w:color w:val="000000"/>
                <w:sz w:val="20"/>
                <w:szCs w:val="20"/>
              </w:rPr>
              <w:t>4,576</w:t>
            </w:r>
          </w:p>
        </w:tc>
        <w:tc>
          <w:tcPr>
            <w:tcW w:w="1753" w:type="dxa"/>
            <w:tcBorders>
              <w:top w:val="nil"/>
              <w:left w:val="nil"/>
              <w:bottom w:val="single" w:sz="8" w:space="0" w:color="448A99"/>
              <w:right w:val="single" w:sz="8" w:space="0" w:color="448A99"/>
            </w:tcBorders>
            <w:shd w:val="clear" w:color="000000" w:fill="D2EAF1"/>
            <w:noWrap/>
            <w:vAlign w:val="center"/>
            <w:hideMark/>
          </w:tcPr>
          <w:p w:rsidR="00932518" w:rsidRPr="00932518" w:rsidRDefault="00932518" w:rsidP="00932518">
            <w:pPr>
              <w:jc w:val="center"/>
              <w:rPr>
                <w:color w:val="000000"/>
                <w:sz w:val="20"/>
                <w:szCs w:val="20"/>
              </w:rPr>
            </w:pPr>
            <w:r w:rsidRPr="00932518">
              <w:rPr>
                <w:color w:val="000000"/>
                <w:sz w:val="20"/>
                <w:szCs w:val="20"/>
              </w:rPr>
              <w:t>1%</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color w:val="000000"/>
                <w:sz w:val="20"/>
                <w:szCs w:val="20"/>
              </w:rPr>
            </w:pPr>
            <w:r w:rsidRPr="00932518">
              <w:rPr>
                <w:color w:val="000000"/>
                <w:sz w:val="20"/>
                <w:szCs w:val="20"/>
              </w:rPr>
              <w:t>1.05</w:t>
            </w:r>
          </w:p>
        </w:tc>
        <w:tc>
          <w:tcPr>
            <w:tcW w:w="1853"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color w:val="000000"/>
                <w:sz w:val="20"/>
                <w:szCs w:val="20"/>
              </w:rPr>
            </w:pPr>
            <w:r w:rsidRPr="00932518">
              <w:rPr>
                <w:color w:val="000000"/>
                <w:sz w:val="20"/>
                <w:szCs w:val="20"/>
              </w:rPr>
              <w:t>2%</w:t>
            </w:r>
          </w:p>
        </w:tc>
      </w:tr>
      <w:tr w:rsidR="00E7173E" w:rsidRPr="00932518" w:rsidTr="005C3E63">
        <w:trPr>
          <w:trHeight w:val="315"/>
        </w:trPr>
        <w:tc>
          <w:tcPr>
            <w:tcW w:w="2340" w:type="dxa"/>
            <w:tcBorders>
              <w:top w:val="nil"/>
              <w:left w:val="single" w:sz="8" w:space="0" w:color="448A99"/>
              <w:bottom w:val="single" w:sz="8" w:space="0" w:color="448A99"/>
              <w:right w:val="single" w:sz="8" w:space="0" w:color="448A99"/>
            </w:tcBorders>
            <w:shd w:val="clear" w:color="auto" w:fill="auto"/>
            <w:vAlign w:val="center"/>
            <w:hideMark/>
          </w:tcPr>
          <w:p w:rsidR="00932518" w:rsidRPr="00932518" w:rsidRDefault="00932518" w:rsidP="00932518">
            <w:pPr>
              <w:rPr>
                <w:color w:val="000000"/>
                <w:sz w:val="20"/>
                <w:szCs w:val="20"/>
              </w:rPr>
            </w:pPr>
            <w:r w:rsidRPr="00932518">
              <w:rPr>
                <w:color w:val="000000"/>
                <w:sz w:val="20"/>
                <w:szCs w:val="20"/>
              </w:rPr>
              <w:t>Gov./Institutional</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932518">
            <w:pPr>
              <w:jc w:val="center"/>
              <w:rPr>
                <w:color w:val="000000"/>
                <w:sz w:val="20"/>
                <w:szCs w:val="20"/>
              </w:rPr>
            </w:pPr>
            <w:r w:rsidRPr="00932518">
              <w:rPr>
                <w:color w:val="000000"/>
                <w:sz w:val="20"/>
                <w:szCs w:val="20"/>
              </w:rPr>
              <w:t>445</w:t>
            </w:r>
          </w:p>
        </w:tc>
        <w:tc>
          <w:tcPr>
            <w:tcW w:w="1753" w:type="dxa"/>
            <w:tcBorders>
              <w:top w:val="nil"/>
              <w:left w:val="nil"/>
              <w:bottom w:val="single" w:sz="8" w:space="0" w:color="448A99"/>
              <w:right w:val="single" w:sz="8" w:space="0" w:color="448A99"/>
            </w:tcBorders>
            <w:shd w:val="clear" w:color="auto" w:fill="auto"/>
            <w:noWrap/>
            <w:vAlign w:val="center"/>
            <w:hideMark/>
          </w:tcPr>
          <w:p w:rsidR="00932518" w:rsidRPr="00932518" w:rsidRDefault="00932518" w:rsidP="00932518">
            <w:pPr>
              <w:jc w:val="center"/>
              <w:rPr>
                <w:color w:val="000000"/>
                <w:sz w:val="20"/>
                <w:szCs w:val="20"/>
              </w:rPr>
            </w:pPr>
            <w:r w:rsidRPr="00932518">
              <w:rPr>
                <w:color w:val="000000"/>
                <w:sz w:val="20"/>
                <w:szCs w:val="20"/>
              </w:rPr>
              <w:t>0%</w:t>
            </w:r>
          </w:p>
        </w:tc>
        <w:tc>
          <w:tcPr>
            <w:tcW w:w="1752"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932518">
            <w:pPr>
              <w:jc w:val="center"/>
              <w:rPr>
                <w:color w:val="000000"/>
                <w:sz w:val="20"/>
                <w:szCs w:val="20"/>
              </w:rPr>
            </w:pPr>
            <w:r w:rsidRPr="00932518">
              <w:rPr>
                <w:color w:val="000000"/>
                <w:sz w:val="20"/>
                <w:szCs w:val="20"/>
              </w:rPr>
              <w:t>0.09</w:t>
            </w:r>
          </w:p>
        </w:tc>
        <w:tc>
          <w:tcPr>
            <w:tcW w:w="1853" w:type="dxa"/>
            <w:tcBorders>
              <w:top w:val="nil"/>
              <w:left w:val="nil"/>
              <w:bottom w:val="single" w:sz="8" w:space="0" w:color="448A99"/>
              <w:right w:val="single" w:sz="8" w:space="0" w:color="448A99"/>
            </w:tcBorders>
            <w:shd w:val="clear" w:color="auto" w:fill="auto"/>
            <w:vAlign w:val="center"/>
            <w:hideMark/>
          </w:tcPr>
          <w:p w:rsidR="00932518" w:rsidRPr="00932518" w:rsidRDefault="00932518" w:rsidP="00932518">
            <w:pPr>
              <w:jc w:val="center"/>
              <w:rPr>
                <w:color w:val="000000"/>
                <w:sz w:val="20"/>
                <w:szCs w:val="20"/>
              </w:rPr>
            </w:pPr>
            <w:r w:rsidRPr="00932518">
              <w:rPr>
                <w:color w:val="000000"/>
                <w:sz w:val="20"/>
                <w:szCs w:val="20"/>
              </w:rPr>
              <w:t>0%</w:t>
            </w:r>
          </w:p>
        </w:tc>
      </w:tr>
      <w:tr w:rsidR="00A874AC" w:rsidRPr="00932518" w:rsidTr="005C3E63">
        <w:trPr>
          <w:trHeight w:val="315"/>
        </w:trPr>
        <w:tc>
          <w:tcPr>
            <w:tcW w:w="2340" w:type="dxa"/>
            <w:tcBorders>
              <w:top w:val="nil"/>
              <w:left w:val="single" w:sz="8" w:space="0" w:color="448A99"/>
              <w:bottom w:val="single" w:sz="8" w:space="0" w:color="448A99"/>
              <w:right w:val="single" w:sz="8" w:space="0" w:color="448A99"/>
            </w:tcBorders>
            <w:shd w:val="clear" w:color="000000" w:fill="D2EAF1"/>
            <w:noWrap/>
            <w:vAlign w:val="center"/>
            <w:hideMark/>
          </w:tcPr>
          <w:p w:rsidR="00932518" w:rsidRPr="00932518" w:rsidRDefault="00932518" w:rsidP="00932518">
            <w:pPr>
              <w:jc w:val="left"/>
              <w:rPr>
                <w:b/>
                <w:bCs/>
                <w:i/>
                <w:iCs/>
                <w:color w:val="000000"/>
                <w:sz w:val="20"/>
                <w:szCs w:val="20"/>
              </w:rPr>
            </w:pPr>
            <w:r w:rsidRPr="00932518">
              <w:rPr>
                <w:b/>
                <w:bCs/>
                <w:i/>
                <w:iCs/>
                <w:color w:val="000000"/>
                <w:sz w:val="20"/>
                <w:szCs w:val="20"/>
              </w:rPr>
              <w:t>Total Portfolio</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b/>
                <w:bCs/>
                <w:i/>
                <w:iCs/>
                <w:color w:val="000000"/>
                <w:sz w:val="20"/>
                <w:szCs w:val="20"/>
              </w:rPr>
            </w:pPr>
            <w:r w:rsidRPr="00932518">
              <w:rPr>
                <w:b/>
                <w:bCs/>
                <w:i/>
                <w:iCs/>
                <w:color w:val="000000"/>
                <w:sz w:val="20"/>
                <w:szCs w:val="20"/>
              </w:rPr>
              <w:t>368,235</w:t>
            </w:r>
          </w:p>
        </w:tc>
        <w:tc>
          <w:tcPr>
            <w:tcW w:w="1753" w:type="dxa"/>
            <w:tcBorders>
              <w:top w:val="nil"/>
              <w:left w:val="nil"/>
              <w:bottom w:val="single" w:sz="8" w:space="0" w:color="448A99"/>
              <w:right w:val="single" w:sz="8" w:space="0" w:color="448A99"/>
            </w:tcBorders>
            <w:shd w:val="clear" w:color="000000" w:fill="D2EAF1"/>
            <w:noWrap/>
            <w:vAlign w:val="center"/>
            <w:hideMark/>
          </w:tcPr>
          <w:p w:rsidR="00932518" w:rsidRPr="00932518" w:rsidRDefault="00932518" w:rsidP="00932518">
            <w:pPr>
              <w:jc w:val="center"/>
              <w:rPr>
                <w:b/>
                <w:bCs/>
                <w:i/>
                <w:iCs/>
                <w:color w:val="000000"/>
                <w:sz w:val="20"/>
                <w:szCs w:val="20"/>
              </w:rPr>
            </w:pPr>
            <w:r w:rsidRPr="00932518">
              <w:rPr>
                <w:b/>
                <w:bCs/>
                <w:i/>
                <w:iCs/>
                <w:color w:val="000000"/>
                <w:sz w:val="20"/>
                <w:szCs w:val="20"/>
              </w:rPr>
              <w:t>100%</w:t>
            </w:r>
          </w:p>
        </w:tc>
        <w:tc>
          <w:tcPr>
            <w:tcW w:w="1752"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b/>
                <w:bCs/>
                <w:i/>
                <w:iCs/>
                <w:color w:val="000000"/>
                <w:sz w:val="20"/>
                <w:szCs w:val="20"/>
              </w:rPr>
            </w:pPr>
            <w:r w:rsidRPr="00932518">
              <w:rPr>
                <w:b/>
                <w:bCs/>
                <w:i/>
                <w:iCs/>
                <w:color w:val="000000"/>
                <w:sz w:val="20"/>
                <w:szCs w:val="20"/>
              </w:rPr>
              <w:t>45.66</w:t>
            </w:r>
          </w:p>
        </w:tc>
        <w:tc>
          <w:tcPr>
            <w:tcW w:w="1853" w:type="dxa"/>
            <w:tcBorders>
              <w:top w:val="nil"/>
              <w:left w:val="nil"/>
              <w:bottom w:val="single" w:sz="8" w:space="0" w:color="448A99"/>
              <w:right w:val="single" w:sz="8" w:space="0" w:color="448A99"/>
            </w:tcBorders>
            <w:shd w:val="clear" w:color="000000" w:fill="D2EAF1"/>
            <w:vAlign w:val="center"/>
            <w:hideMark/>
          </w:tcPr>
          <w:p w:rsidR="00932518" w:rsidRPr="00932518" w:rsidRDefault="00932518" w:rsidP="00932518">
            <w:pPr>
              <w:jc w:val="center"/>
              <w:rPr>
                <w:b/>
                <w:bCs/>
                <w:i/>
                <w:iCs/>
                <w:color w:val="000000"/>
                <w:sz w:val="20"/>
                <w:szCs w:val="20"/>
              </w:rPr>
            </w:pPr>
            <w:r w:rsidRPr="00932518">
              <w:rPr>
                <w:b/>
                <w:bCs/>
                <w:i/>
                <w:iCs/>
                <w:color w:val="000000"/>
                <w:sz w:val="20"/>
                <w:szCs w:val="20"/>
              </w:rPr>
              <w:t>100%</w:t>
            </w:r>
          </w:p>
        </w:tc>
      </w:tr>
    </w:tbl>
    <w:p w:rsidR="006F7DE9" w:rsidRPr="006F7DE9" w:rsidRDefault="006F7DE9" w:rsidP="006F7DE9"/>
    <w:p w:rsidR="00735BA9" w:rsidRPr="00E37A0C" w:rsidRDefault="00735BA9" w:rsidP="00E37A0C">
      <w:pPr>
        <w:pStyle w:val="AppendixAHeading3"/>
      </w:pPr>
      <w:r w:rsidRPr="00E37A0C">
        <w:t>PY7 Gross and Net Savings by Sector</w:t>
      </w:r>
    </w:p>
    <w:p w:rsidR="001F327B" w:rsidRDefault="001F327B" w:rsidP="001F327B">
      <w:r w:rsidRPr="00C23348">
        <w:t xml:space="preserve">The sector-level verified gross and net energy savings achieved </w:t>
      </w:r>
      <w:r w:rsidR="00B75EB9">
        <w:t xml:space="preserve">by Met-Ed </w:t>
      </w:r>
      <w:r w:rsidRPr="00C23348">
        <w:t>in PY7 are provided</w:t>
      </w:r>
      <w:r>
        <w:t xml:space="preserve"> in </w:t>
      </w:r>
      <w:r>
        <w:fldChar w:fldCharType="begin"/>
      </w:r>
      <w:r>
        <w:instrText xml:space="preserve"> REF _Ref472359835 \h </w:instrText>
      </w:r>
      <w:r>
        <w:fldChar w:fldCharType="separate"/>
      </w:r>
      <w:r w:rsidR="008C19A4" w:rsidRPr="00E41D9C">
        <w:t>Table A-</w:t>
      </w:r>
      <w:r w:rsidR="008C19A4">
        <w:rPr>
          <w:noProof/>
        </w:rPr>
        <w:t>29</w:t>
      </w:r>
      <w:r>
        <w:fldChar w:fldCharType="end"/>
      </w:r>
      <w:r w:rsidR="00B75EB9">
        <w:t>.</w:t>
      </w:r>
      <w:r>
        <w:t xml:space="preserve"> In PY7, the net energy </w:t>
      </w:r>
      <w:r w:rsidRPr="00932518">
        <w:t>savings were approximately 75% of the gross energy savings.</w:t>
      </w:r>
    </w:p>
    <w:p w:rsidR="001F327B" w:rsidRPr="00C23348" w:rsidRDefault="001F327B" w:rsidP="001F327B"/>
    <w:p w:rsidR="001F327B" w:rsidRDefault="001F327B" w:rsidP="001F327B">
      <w:pPr>
        <w:pStyle w:val="Caption"/>
      </w:pPr>
      <w:bookmarkStart w:id="660" w:name="_Ref472359835"/>
      <w:bookmarkStart w:id="661" w:name="_Toc472472438"/>
      <w:bookmarkStart w:id="662" w:name="_Toc476842144"/>
      <w:r w:rsidRPr="00E41D9C">
        <w:t>Table A-</w:t>
      </w:r>
      <w:fldSimple w:instr=" SEQ Table_A- \* ARABIC ">
        <w:r w:rsidR="00C301D0">
          <w:rPr>
            <w:noProof/>
          </w:rPr>
          <w:t>29</w:t>
        </w:r>
      </w:fldSimple>
      <w:bookmarkEnd w:id="660"/>
      <w:r w:rsidRPr="00E41D9C">
        <w:t xml:space="preserve">: </w:t>
      </w:r>
      <w:r w:rsidRPr="008B45A8">
        <w:t xml:space="preserve">Summary of </w:t>
      </w:r>
      <w:r>
        <w:t>Met-Ed</w:t>
      </w:r>
      <w:r w:rsidRPr="008B45A8">
        <w:t xml:space="preserve"> EE&amp;C Verified Net Savings – by Sector</w:t>
      </w:r>
      <w:bookmarkEnd w:id="661"/>
      <w:bookmarkEnd w:id="662"/>
    </w:p>
    <w:tbl>
      <w:tblPr>
        <w:tblW w:w="9450" w:type="dxa"/>
        <w:tblInd w:w="108" w:type="dxa"/>
        <w:tblLook w:val="04A0" w:firstRow="1" w:lastRow="0" w:firstColumn="1" w:lastColumn="0" w:noHBand="0" w:noVBand="1"/>
      </w:tblPr>
      <w:tblGrid>
        <w:gridCol w:w="1870"/>
        <w:gridCol w:w="1870"/>
        <w:gridCol w:w="1870"/>
        <w:gridCol w:w="1870"/>
        <w:gridCol w:w="1970"/>
      </w:tblGrid>
      <w:tr w:rsidR="00A874AC" w:rsidRPr="00C23348" w:rsidTr="005C3E63">
        <w:trPr>
          <w:trHeight w:val="810"/>
        </w:trPr>
        <w:tc>
          <w:tcPr>
            <w:tcW w:w="187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1F327B" w:rsidRPr="00C23348" w:rsidRDefault="001F327B" w:rsidP="008D7800">
            <w:pPr>
              <w:rPr>
                <w:b/>
                <w:bCs/>
                <w:color w:val="FFFFFF"/>
                <w:sz w:val="20"/>
                <w:szCs w:val="20"/>
              </w:rPr>
            </w:pPr>
            <w:r w:rsidRPr="00C23348">
              <w:rPr>
                <w:b/>
                <w:bCs/>
                <w:color w:val="FFFFFF"/>
                <w:sz w:val="20"/>
                <w:szCs w:val="20"/>
              </w:rPr>
              <w:t>Sector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1F327B" w:rsidRPr="00C23348" w:rsidRDefault="001F327B" w:rsidP="008D7800">
            <w:pPr>
              <w:jc w:val="center"/>
              <w:rPr>
                <w:b/>
                <w:bCs/>
                <w:color w:val="FFFFFF"/>
                <w:sz w:val="20"/>
                <w:szCs w:val="20"/>
              </w:rPr>
            </w:pPr>
            <w:r w:rsidRPr="00C23348">
              <w:rPr>
                <w:b/>
                <w:bCs/>
                <w:color w:val="FFFFFF"/>
                <w:sz w:val="20"/>
                <w:szCs w:val="20"/>
              </w:rPr>
              <w:t>PY7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1F327B" w:rsidRPr="00C23348" w:rsidRDefault="001F327B" w:rsidP="008D7800">
            <w:pPr>
              <w:jc w:val="center"/>
              <w:rPr>
                <w:b/>
                <w:bCs/>
                <w:color w:val="FFFFFF"/>
                <w:sz w:val="20"/>
                <w:szCs w:val="20"/>
              </w:rPr>
            </w:pPr>
            <w:r w:rsidRPr="00C23348">
              <w:rPr>
                <w:b/>
                <w:bCs/>
                <w:color w:val="FFFFFF"/>
                <w:sz w:val="20"/>
                <w:szCs w:val="20"/>
              </w:rPr>
              <w:t>PY7 Verified Net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1F327B" w:rsidRPr="00C23348" w:rsidRDefault="001F327B" w:rsidP="008D7800">
            <w:pPr>
              <w:jc w:val="center"/>
              <w:rPr>
                <w:b/>
                <w:bCs/>
                <w:color w:val="FFFFFF"/>
                <w:sz w:val="20"/>
                <w:szCs w:val="20"/>
              </w:rPr>
            </w:pPr>
            <w:r w:rsidRPr="00C23348">
              <w:rPr>
                <w:b/>
                <w:bCs/>
                <w:color w:val="FFFFFF"/>
                <w:sz w:val="20"/>
                <w:szCs w:val="20"/>
              </w:rPr>
              <w:t>Phase II VG Savings (MWh/yr)</w:t>
            </w:r>
          </w:p>
        </w:tc>
        <w:tc>
          <w:tcPr>
            <w:tcW w:w="1970" w:type="dxa"/>
            <w:tcBorders>
              <w:top w:val="single" w:sz="8" w:space="0" w:color="448A99"/>
              <w:left w:val="nil"/>
              <w:bottom w:val="single" w:sz="8" w:space="0" w:color="448A99"/>
              <w:right w:val="single" w:sz="8" w:space="0" w:color="448A99"/>
            </w:tcBorders>
            <w:shd w:val="clear" w:color="000000" w:fill="448A99"/>
            <w:vAlign w:val="bottom"/>
            <w:hideMark/>
          </w:tcPr>
          <w:p w:rsidR="001F327B" w:rsidRPr="00C23348" w:rsidRDefault="001F327B" w:rsidP="008D7800">
            <w:pPr>
              <w:jc w:val="center"/>
              <w:rPr>
                <w:b/>
                <w:bCs/>
                <w:color w:val="FFFFFF"/>
                <w:sz w:val="20"/>
                <w:szCs w:val="20"/>
              </w:rPr>
            </w:pPr>
            <w:r w:rsidRPr="00C23348">
              <w:rPr>
                <w:b/>
                <w:bCs/>
                <w:color w:val="FFFFFF"/>
                <w:sz w:val="20"/>
                <w:szCs w:val="20"/>
              </w:rPr>
              <w:t>Phase II Verified Net Savings (MWh/yr)</w:t>
            </w:r>
          </w:p>
        </w:tc>
      </w:tr>
      <w:tr w:rsidR="00E7173E" w:rsidRPr="00C23348" w:rsidTr="005C3E63">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932518" w:rsidRPr="00C23348" w:rsidRDefault="00932518" w:rsidP="00932518">
            <w:pPr>
              <w:jc w:val="left"/>
              <w:rPr>
                <w:color w:val="000000"/>
                <w:sz w:val="20"/>
                <w:szCs w:val="20"/>
              </w:rPr>
            </w:pPr>
            <w:r>
              <w:rPr>
                <w:color w:val="000000"/>
                <w:sz w:val="20"/>
                <w:szCs w:val="20"/>
              </w:rPr>
              <w:t>Residential</w:t>
            </w:r>
          </w:p>
        </w:tc>
        <w:tc>
          <w:tcPr>
            <w:tcW w:w="1870" w:type="dxa"/>
            <w:tcBorders>
              <w:top w:val="nil"/>
              <w:left w:val="nil"/>
              <w:bottom w:val="single" w:sz="8" w:space="0" w:color="448A99"/>
              <w:right w:val="single" w:sz="8" w:space="0" w:color="448A99"/>
            </w:tcBorders>
            <w:shd w:val="clear" w:color="auto" w:fill="auto"/>
            <w:vAlign w:val="center"/>
          </w:tcPr>
          <w:p w:rsidR="00932518" w:rsidRPr="00C23348" w:rsidRDefault="00932518" w:rsidP="00932518">
            <w:pPr>
              <w:jc w:val="center"/>
              <w:rPr>
                <w:color w:val="000000"/>
                <w:sz w:val="20"/>
                <w:szCs w:val="20"/>
              </w:rPr>
            </w:pPr>
            <w:r>
              <w:rPr>
                <w:color w:val="000000"/>
                <w:sz w:val="20"/>
                <w:szCs w:val="20"/>
              </w:rPr>
              <w:t>95,631</w:t>
            </w:r>
          </w:p>
        </w:tc>
        <w:tc>
          <w:tcPr>
            <w:tcW w:w="1870" w:type="dxa"/>
            <w:tcBorders>
              <w:top w:val="nil"/>
              <w:left w:val="nil"/>
              <w:bottom w:val="single" w:sz="8" w:space="0" w:color="448A99"/>
              <w:right w:val="single" w:sz="8" w:space="0" w:color="448A99"/>
            </w:tcBorders>
            <w:shd w:val="clear" w:color="auto" w:fill="auto"/>
            <w:vAlign w:val="center"/>
          </w:tcPr>
          <w:p w:rsidR="00932518" w:rsidRPr="00C23348" w:rsidRDefault="00932518" w:rsidP="00932518">
            <w:pPr>
              <w:jc w:val="center"/>
              <w:rPr>
                <w:color w:val="000000"/>
                <w:sz w:val="20"/>
                <w:szCs w:val="20"/>
              </w:rPr>
            </w:pPr>
            <w:r>
              <w:rPr>
                <w:color w:val="000000"/>
                <w:sz w:val="20"/>
                <w:szCs w:val="20"/>
              </w:rPr>
              <w:t>76,184</w:t>
            </w:r>
          </w:p>
        </w:tc>
        <w:tc>
          <w:tcPr>
            <w:tcW w:w="1870" w:type="dxa"/>
            <w:tcBorders>
              <w:top w:val="nil"/>
              <w:left w:val="nil"/>
              <w:bottom w:val="single" w:sz="8" w:space="0" w:color="448A99"/>
              <w:right w:val="single" w:sz="8" w:space="0" w:color="448A99"/>
            </w:tcBorders>
            <w:shd w:val="clear" w:color="auto" w:fill="auto"/>
            <w:vAlign w:val="center"/>
          </w:tcPr>
          <w:p w:rsidR="00932518" w:rsidRPr="00C23348" w:rsidRDefault="00932518" w:rsidP="00932518">
            <w:pPr>
              <w:jc w:val="center"/>
              <w:rPr>
                <w:color w:val="000000"/>
                <w:sz w:val="20"/>
                <w:szCs w:val="20"/>
              </w:rPr>
            </w:pPr>
            <w:r>
              <w:rPr>
                <w:color w:val="000000"/>
                <w:sz w:val="20"/>
                <w:szCs w:val="20"/>
              </w:rPr>
              <w:t>213,247</w:t>
            </w:r>
          </w:p>
        </w:tc>
        <w:tc>
          <w:tcPr>
            <w:tcW w:w="1970" w:type="dxa"/>
            <w:tcBorders>
              <w:top w:val="nil"/>
              <w:left w:val="nil"/>
              <w:bottom w:val="single" w:sz="8" w:space="0" w:color="448A99"/>
              <w:right w:val="single" w:sz="8" w:space="0" w:color="448A99"/>
            </w:tcBorders>
            <w:shd w:val="clear" w:color="auto" w:fill="auto"/>
            <w:vAlign w:val="center"/>
          </w:tcPr>
          <w:p w:rsidR="00932518" w:rsidRPr="00C23348" w:rsidRDefault="00932518" w:rsidP="00932518">
            <w:pPr>
              <w:jc w:val="center"/>
              <w:rPr>
                <w:color w:val="000000"/>
                <w:sz w:val="20"/>
                <w:szCs w:val="20"/>
              </w:rPr>
            </w:pPr>
            <w:r>
              <w:rPr>
                <w:color w:val="000000"/>
                <w:sz w:val="20"/>
                <w:szCs w:val="20"/>
              </w:rPr>
              <w:t>149,254</w:t>
            </w:r>
          </w:p>
        </w:tc>
      </w:tr>
      <w:tr w:rsidR="00A874AC" w:rsidRPr="00C23348" w:rsidTr="005C3E63">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932518" w:rsidRPr="00C23348" w:rsidRDefault="00932518" w:rsidP="0097650B">
            <w:pPr>
              <w:jc w:val="left"/>
              <w:rPr>
                <w:color w:val="000000"/>
                <w:sz w:val="20"/>
                <w:szCs w:val="20"/>
              </w:rPr>
            </w:pPr>
            <w:r>
              <w:rPr>
                <w:color w:val="000000"/>
                <w:sz w:val="20"/>
                <w:szCs w:val="20"/>
              </w:rPr>
              <w:t>C</w:t>
            </w:r>
            <w:r w:rsidR="0097650B">
              <w:rPr>
                <w:color w:val="000000"/>
                <w:sz w:val="20"/>
                <w:szCs w:val="20"/>
              </w:rPr>
              <w:t>/</w:t>
            </w:r>
            <w:r>
              <w:rPr>
                <w:color w:val="000000"/>
                <w:sz w:val="20"/>
                <w:szCs w:val="20"/>
              </w:rPr>
              <w:t>I</w:t>
            </w:r>
          </w:p>
        </w:tc>
        <w:tc>
          <w:tcPr>
            <w:tcW w:w="1870" w:type="dxa"/>
            <w:tcBorders>
              <w:top w:val="nil"/>
              <w:left w:val="nil"/>
              <w:bottom w:val="single" w:sz="8" w:space="0" w:color="448A99"/>
              <w:right w:val="single" w:sz="8" w:space="0" w:color="448A99"/>
            </w:tcBorders>
            <w:shd w:val="clear" w:color="000000" w:fill="D2EAF1"/>
            <w:vAlign w:val="center"/>
          </w:tcPr>
          <w:p w:rsidR="00932518" w:rsidRPr="00C23348" w:rsidRDefault="00932518" w:rsidP="00932518">
            <w:pPr>
              <w:jc w:val="center"/>
              <w:rPr>
                <w:color w:val="000000"/>
                <w:sz w:val="20"/>
                <w:szCs w:val="20"/>
              </w:rPr>
            </w:pPr>
            <w:r>
              <w:rPr>
                <w:color w:val="000000"/>
                <w:sz w:val="20"/>
                <w:szCs w:val="20"/>
              </w:rPr>
              <w:t>52,941</w:t>
            </w:r>
          </w:p>
        </w:tc>
        <w:tc>
          <w:tcPr>
            <w:tcW w:w="1870" w:type="dxa"/>
            <w:tcBorders>
              <w:top w:val="nil"/>
              <w:left w:val="nil"/>
              <w:bottom w:val="single" w:sz="8" w:space="0" w:color="448A99"/>
              <w:right w:val="single" w:sz="8" w:space="0" w:color="448A99"/>
            </w:tcBorders>
            <w:shd w:val="clear" w:color="000000" w:fill="D2EAF1"/>
            <w:vAlign w:val="center"/>
          </w:tcPr>
          <w:p w:rsidR="00932518" w:rsidRPr="00C23348" w:rsidRDefault="00932518" w:rsidP="00932518">
            <w:pPr>
              <w:jc w:val="center"/>
              <w:rPr>
                <w:color w:val="000000"/>
                <w:sz w:val="20"/>
                <w:szCs w:val="20"/>
              </w:rPr>
            </w:pPr>
            <w:r>
              <w:rPr>
                <w:color w:val="000000"/>
                <w:sz w:val="20"/>
                <w:szCs w:val="20"/>
              </w:rPr>
              <w:t>34,043</w:t>
            </w:r>
          </w:p>
        </w:tc>
        <w:tc>
          <w:tcPr>
            <w:tcW w:w="1870" w:type="dxa"/>
            <w:tcBorders>
              <w:top w:val="nil"/>
              <w:left w:val="nil"/>
              <w:bottom w:val="single" w:sz="8" w:space="0" w:color="448A99"/>
              <w:right w:val="single" w:sz="8" w:space="0" w:color="448A99"/>
            </w:tcBorders>
            <w:shd w:val="clear" w:color="000000" w:fill="D2EAF1"/>
            <w:vAlign w:val="center"/>
          </w:tcPr>
          <w:p w:rsidR="00932518" w:rsidRPr="00C23348" w:rsidRDefault="00932518" w:rsidP="00932518">
            <w:pPr>
              <w:jc w:val="center"/>
              <w:rPr>
                <w:color w:val="000000"/>
                <w:sz w:val="20"/>
                <w:szCs w:val="20"/>
              </w:rPr>
            </w:pPr>
            <w:r>
              <w:rPr>
                <w:color w:val="000000"/>
                <w:sz w:val="20"/>
                <w:szCs w:val="20"/>
              </w:rPr>
              <w:t>121,331</w:t>
            </w:r>
          </w:p>
        </w:tc>
        <w:tc>
          <w:tcPr>
            <w:tcW w:w="1970" w:type="dxa"/>
            <w:tcBorders>
              <w:top w:val="nil"/>
              <w:left w:val="nil"/>
              <w:bottom w:val="single" w:sz="8" w:space="0" w:color="448A99"/>
              <w:right w:val="single" w:sz="8" w:space="0" w:color="448A99"/>
            </w:tcBorders>
            <w:shd w:val="clear" w:color="000000" w:fill="D2EAF1"/>
            <w:vAlign w:val="center"/>
          </w:tcPr>
          <w:p w:rsidR="00932518" w:rsidRPr="00C23348" w:rsidRDefault="00932518" w:rsidP="00932518">
            <w:pPr>
              <w:jc w:val="center"/>
              <w:rPr>
                <w:color w:val="000000"/>
                <w:sz w:val="20"/>
                <w:szCs w:val="20"/>
              </w:rPr>
            </w:pPr>
            <w:r>
              <w:rPr>
                <w:color w:val="000000"/>
                <w:sz w:val="20"/>
                <w:szCs w:val="20"/>
              </w:rPr>
              <w:t>84,281</w:t>
            </w:r>
          </w:p>
        </w:tc>
      </w:tr>
      <w:tr w:rsidR="00E7173E" w:rsidRPr="00C23348" w:rsidTr="005C3E63">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932518" w:rsidRPr="00C23348" w:rsidRDefault="00932518" w:rsidP="00932518">
            <w:pPr>
              <w:jc w:val="left"/>
              <w:rPr>
                <w:color w:val="000000"/>
                <w:sz w:val="20"/>
                <w:szCs w:val="20"/>
              </w:rPr>
            </w:pPr>
            <w:r>
              <w:rPr>
                <w:color w:val="000000"/>
                <w:sz w:val="20"/>
                <w:szCs w:val="20"/>
              </w:rPr>
              <w:t>GNI</w:t>
            </w:r>
          </w:p>
        </w:tc>
        <w:tc>
          <w:tcPr>
            <w:tcW w:w="1870" w:type="dxa"/>
            <w:tcBorders>
              <w:top w:val="nil"/>
              <w:left w:val="nil"/>
              <w:bottom w:val="single" w:sz="8" w:space="0" w:color="448A99"/>
              <w:right w:val="single" w:sz="8" w:space="0" w:color="448A99"/>
            </w:tcBorders>
            <w:shd w:val="clear" w:color="auto" w:fill="auto"/>
            <w:vAlign w:val="center"/>
          </w:tcPr>
          <w:p w:rsidR="00932518" w:rsidRPr="00C23348" w:rsidRDefault="00932518" w:rsidP="00932518">
            <w:pPr>
              <w:jc w:val="center"/>
              <w:rPr>
                <w:color w:val="000000"/>
                <w:sz w:val="20"/>
                <w:szCs w:val="20"/>
              </w:rPr>
            </w:pPr>
            <w:r>
              <w:rPr>
                <w:color w:val="000000"/>
                <w:sz w:val="20"/>
                <w:szCs w:val="20"/>
              </w:rPr>
              <w:t>22,848</w:t>
            </w:r>
          </w:p>
        </w:tc>
        <w:tc>
          <w:tcPr>
            <w:tcW w:w="1870" w:type="dxa"/>
            <w:tcBorders>
              <w:top w:val="nil"/>
              <w:left w:val="nil"/>
              <w:bottom w:val="single" w:sz="8" w:space="0" w:color="448A99"/>
              <w:right w:val="single" w:sz="8" w:space="0" w:color="448A99"/>
            </w:tcBorders>
            <w:shd w:val="clear" w:color="auto" w:fill="auto"/>
            <w:vAlign w:val="center"/>
          </w:tcPr>
          <w:p w:rsidR="00932518" w:rsidRPr="00C23348" w:rsidRDefault="00932518" w:rsidP="00932518">
            <w:pPr>
              <w:jc w:val="center"/>
              <w:rPr>
                <w:color w:val="000000"/>
                <w:sz w:val="20"/>
                <w:szCs w:val="20"/>
              </w:rPr>
            </w:pPr>
            <w:r>
              <w:rPr>
                <w:color w:val="000000"/>
                <w:sz w:val="20"/>
                <w:szCs w:val="20"/>
              </w:rPr>
              <w:t>14,754</w:t>
            </w:r>
          </w:p>
        </w:tc>
        <w:tc>
          <w:tcPr>
            <w:tcW w:w="1870" w:type="dxa"/>
            <w:tcBorders>
              <w:top w:val="nil"/>
              <w:left w:val="nil"/>
              <w:bottom w:val="single" w:sz="8" w:space="0" w:color="448A99"/>
              <w:right w:val="single" w:sz="8" w:space="0" w:color="448A99"/>
            </w:tcBorders>
            <w:shd w:val="clear" w:color="auto" w:fill="auto"/>
            <w:vAlign w:val="center"/>
          </w:tcPr>
          <w:p w:rsidR="00932518" w:rsidRPr="00C23348" w:rsidRDefault="00932518" w:rsidP="00932518">
            <w:pPr>
              <w:jc w:val="center"/>
              <w:rPr>
                <w:color w:val="000000"/>
                <w:sz w:val="20"/>
                <w:szCs w:val="20"/>
              </w:rPr>
            </w:pPr>
            <w:r>
              <w:rPr>
                <w:color w:val="000000"/>
                <w:sz w:val="20"/>
                <w:szCs w:val="20"/>
              </w:rPr>
              <w:t>33,657</w:t>
            </w:r>
          </w:p>
        </w:tc>
        <w:tc>
          <w:tcPr>
            <w:tcW w:w="1970" w:type="dxa"/>
            <w:tcBorders>
              <w:top w:val="nil"/>
              <w:left w:val="nil"/>
              <w:bottom w:val="single" w:sz="8" w:space="0" w:color="448A99"/>
              <w:right w:val="single" w:sz="8" w:space="0" w:color="448A99"/>
            </w:tcBorders>
            <w:shd w:val="clear" w:color="auto" w:fill="auto"/>
            <w:vAlign w:val="center"/>
          </w:tcPr>
          <w:p w:rsidR="00932518" w:rsidRPr="00C23348" w:rsidRDefault="00932518" w:rsidP="00932518">
            <w:pPr>
              <w:jc w:val="center"/>
              <w:rPr>
                <w:color w:val="000000"/>
                <w:sz w:val="20"/>
                <w:szCs w:val="20"/>
              </w:rPr>
            </w:pPr>
            <w:r>
              <w:rPr>
                <w:color w:val="000000"/>
                <w:sz w:val="20"/>
                <w:szCs w:val="20"/>
              </w:rPr>
              <w:t>21,787</w:t>
            </w:r>
          </w:p>
        </w:tc>
      </w:tr>
      <w:tr w:rsidR="00A874AC" w:rsidRPr="00C23348" w:rsidTr="005C3E63">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932518" w:rsidRPr="00C23348" w:rsidRDefault="00932518" w:rsidP="00932518">
            <w:pPr>
              <w:jc w:val="left"/>
              <w:rPr>
                <w:b/>
                <w:bCs/>
                <w:i/>
                <w:iCs/>
                <w:color w:val="000000"/>
                <w:sz w:val="20"/>
                <w:szCs w:val="20"/>
              </w:rPr>
            </w:pPr>
            <w:r>
              <w:rPr>
                <w:b/>
                <w:bCs/>
                <w:i/>
                <w:iCs/>
                <w:color w:val="000000"/>
                <w:sz w:val="20"/>
                <w:szCs w:val="20"/>
              </w:rPr>
              <w:t>Total Portfolio</w:t>
            </w:r>
          </w:p>
        </w:tc>
        <w:tc>
          <w:tcPr>
            <w:tcW w:w="1870" w:type="dxa"/>
            <w:tcBorders>
              <w:top w:val="nil"/>
              <w:left w:val="nil"/>
              <w:bottom w:val="single" w:sz="8" w:space="0" w:color="448A99"/>
              <w:right w:val="single" w:sz="8" w:space="0" w:color="448A99"/>
            </w:tcBorders>
            <w:shd w:val="clear" w:color="000000" w:fill="D2EAF1"/>
            <w:vAlign w:val="center"/>
          </w:tcPr>
          <w:p w:rsidR="00932518" w:rsidRPr="00C23348" w:rsidRDefault="00932518" w:rsidP="00932518">
            <w:pPr>
              <w:jc w:val="center"/>
              <w:rPr>
                <w:b/>
                <w:bCs/>
                <w:i/>
                <w:iCs/>
                <w:color w:val="000000"/>
                <w:sz w:val="20"/>
                <w:szCs w:val="20"/>
              </w:rPr>
            </w:pPr>
            <w:r>
              <w:rPr>
                <w:b/>
                <w:bCs/>
                <w:i/>
                <w:iCs/>
                <w:color w:val="000000"/>
                <w:sz w:val="20"/>
                <w:szCs w:val="20"/>
              </w:rPr>
              <w:t>171,420</w:t>
            </w:r>
          </w:p>
        </w:tc>
        <w:tc>
          <w:tcPr>
            <w:tcW w:w="1870" w:type="dxa"/>
            <w:tcBorders>
              <w:top w:val="nil"/>
              <w:left w:val="nil"/>
              <w:bottom w:val="single" w:sz="8" w:space="0" w:color="448A99"/>
              <w:right w:val="single" w:sz="8" w:space="0" w:color="448A99"/>
            </w:tcBorders>
            <w:shd w:val="clear" w:color="000000" w:fill="D2EAF1"/>
            <w:vAlign w:val="center"/>
          </w:tcPr>
          <w:p w:rsidR="00932518" w:rsidRPr="00C23348" w:rsidRDefault="00932518" w:rsidP="00932518">
            <w:pPr>
              <w:jc w:val="center"/>
              <w:rPr>
                <w:b/>
                <w:bCs/>
                <w:i/>
                <w:iCs/>
                <w:color w:val="000000"/>
                <w:sz w:val="20"/>
                <w:szCs w:val="20"/>
              </w:rPr>
            </w:pPr>
            <w:r>
              <w:rPr>
                <w:b/>
                <w:bCs/>
                <w:i/>
                <w:iCs/>
                <w:color w:val="000000"/>
                <w:sz w:val="20"/>
                <w:szCs w:val="20"/>
              </w:rPr>
              <w:t>124,981</w:t>
            </w:r>
          </w:p>
        </w:tc>
        <w:tc>
          <w:tcPr>
            <w:tcW w:w="1870" w:type="dxa"/>
            <w:tcBorders>
              <w:top w:val="nil"/>
              <w:left w:val="nil"/>
              <w:bottom w:val="single" w:sz="8" w:space="0" w:color="448A99"/>
              <w:right w:val="single" w:sz="8" w:space="0" w:color="448A99"/>
            </w:tcBorders>
            <w:shd w:val="clear" w:color="000000" w:fill="D2EAF1"/>
            <w:vAlign w:val="center"/>
          </w:tcPr>
          <w:p w:rsidR="00932518" w:rsidRPr="00C23348" w:rsidRDefault="00932518" w:rsidP="00932518">
            <w:pPr>
              <w:jc w:val="center"/>
              <w:rPr>
                <w:b/>
                <w:bCs/>
                <w:i/>
                <w:iCs/>
                <w:color w:val="000000"/>
                <w:sz w:val="20"/>
                <w:szCs w:val="20"/>
              </w:rPr>
            </w:pPr>
            <w:r>
              <w:rPr>
                <w:b/>
                <w:bCs/>
                <w:i/>
                <w:iCs/>
                <w:color w:val="000000"/>
                <w:sz w:val="20"/>
                <w:szCs w:val="20"/>
              </w:rPr>
              <w:t>368,235</w:t>
            </w:r>
          </w:p>
        </w:tc>
        <w:tc>
          <w:tcPr>
            <w:tcW w:w="1970" w:type="dxa"/>
            <w:tcBorders>
              <w:top w:val="nil"/>
              <w:left w:val="nil"/>
              <w:bottom w:val="single" w:sz="8" w:space="0" w:color="448A99"/>
              <w:right w:val="single" w:sz="8" w:space="0" w:color="448A99"/>
            </w:tcBorders>
            <w:shd w:val="clear" w:color="000000" w:fill="D2EAF1"/>
            <w:vAlign w:val="center"/>
          </w:tcPr>
          <w:p w:rsidR="00932518" w:rsidRPr="00C23348" w:rsidRDefault="00932518" w:rsidP="00932518">
            <w:pPr>
              <w:jc w:val="center"/>
              <w:rPr>
                <w:b/>
                <w:bCs/>
                <w:i/>
                <w:iCs/>
                <w:color w:val="000000"/>
                <w:sz w:val="20"/>
                <w:szCs w:val="20"/>
              </w:rPr>
            </w:pPr>
            <w:r>
              <w:rPr>
                <w:b/>
                <w:bCs/>
                <w:i/>
                <w:iCs/>
                <w:color w:val="000000"/>
                <w:sz w:val="20"/>
                <w:szCs w:val="20"/>
              </w:rPr>
              <w:t>255,322</w:t>
            </w:r>
          </w:p>
        </w:tc>
      </w:tr>
    </w:tbl>
    <w:p w:rsidR="001F327B" w:rsidRPr="001F327B" w:rsidRDefault="001F327B" w:rsidP="001F327B"/>
    <w:p w:rsidR="00950837" w:rsidRDefault="00950837" w:rsidP="0043541C">
      <w:pPr>
        <w:pStyle w:val="AppendixAHeading2"/>
      </w:pPr>
      <w:r w:rsidRPr="00E37A0C">
        <w:t>Total Resource Cost Test</w:t>
      </w:r>
    </w:p>
    <w:p w:rsidR="00A874AC" w:rsidRPr="00D9014E" w:rsidRDefault="00C55195" w:rsidP="00D9014E">
      <w:r>
        <w:fldChar w:fldCharType="begin"/>
      </w:r>
      <w:r>
        <w:instrText xml:space="preserve"> REF _Ref472444503 \h </w:instrText>
      </w:r>
      <w:r>
        <w:fldChar w:fldCharType="separate"/>
      </w:r>
    </w:p>
    <w:p w:rsidR="00C55195" w:rsidRDefault="00A874AC" w:rsidP="00C55195">
      <w:r>
        <w:t>Table A-</w:t>
      </w:r>
      <w:r>
        <w:rPr>
          <w:noProof/>
        </w:rPr>
        <w:t>30</w:t>
      </w:r>
      <w:r w:rsidR="00C55195">
        <w:fldChar w:fldCharType="end"/>
      </w:r>
      <w:r w:rsidR="00C55195">
        <w:t xml:space="preserve"> </w:t>
      </w:r>
      <w:r w:rsidR="00C55195" w:rsidRPr="00C55195">
        <w:t>presents TRC NPV benefits, TRC NPV costs, present value of net benefits, and</w:t>
      </w:r>
      <w:r w:rsidR="00B75EB9">
        <w:t xml:space="preserve"> the</w:t>
      </w:r>
      <w:r w:rsidR="00C55195" w:rsidRPr="00C55195">
        <w:t xml:space="preserve"> TRC ratio for Met-Ed’s PY7 individual programs and total portfolio. The SWE found no inconsistencies between the TRC model outputs and the TRC results shown in the PY7 annual report.</w:t>
      </w:r>
    </w:p>
    <w:p w:rsidR="008D7800" w:rsidRPr="00D9014E" w:rsidRDefault="008D7800" w:rsidP="00D9014E">
      <w:bookmarkStart w:id="663" w:name="_Ref472444503"/>
      <w:bookmarkStart w:id="664" w:name="_Toc472472439"/>
    </w:p>
    <w:p w:rsidR="00ED76F2" w:rsidRDefault="00ED76F2">
      <w:pPr>
        <w:jc w:val="left"/>
        <w:rPr>
          <w:rFonts w:ascii="Century Gothic" w:hAnsi="Century Gothic"/>
          <w:b/>
          <w:bCs/>
          <w:sz w:val="18"/>
          <w:szCs w:val="18"/>
        </w:rPr>
      </w:pPr>
      <w:r>
        <w:br w:type="page"/>
      </w:r>
    </w:p>
    <w:p w:rsidR="00C55195" w:rsidRDefault="00C55195" w:rsidP="00C55195">
      <w:pPr>
        <w:pStyle w:val="Caption"/>
      </w:pPr>
      <w:bookmarkStart w:id="665" w:name="_Toc476842145"/>
      <w:r>
        <w:lastRenderedPageBreak/>
        <w:t>Table A-</w:t>
      </w:r>
      <w:fldSimple w:instr=" SEQ Table_A- \* ARABIC ">
        <w:r w:rsidR="00C301D0">
          <w:rPr>
            <w:noProof/>
          </w:rPr>
          <w:t>30</w:t>
        </w:r>
      </w:fldSimple>
      <w:bookmarkEnd w:id="663"/>
      <w:r>
        <w:t xml:space="preserve">: </w:t>
      </w:r>
      <w:r w:rsidRPr="00F54C27">
        <w:t>Summary of Met-Ed’s PY</w:t>
      </w:r>
      <w:r>
        <w:t>7</w:t>
      </w:r>
      <w:r w:rsidRPr="00F54C27">
        <w:t xml:space="preserve"> TRC Factors and Results</w:t>
      </w:r>
      <w:bookmarkEnd w:id="664"/>
      <w:bookmarkEnd w:id="665"/>
    </w:p>
    <w:tbl>
      <w:tblPr>
        <w:tblW w:w="9450" w:type="dxa"/>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871"/>
        <w:gridCol w:w="1871"/>
        <w:gridCol w:w="1871"/>
        <w:gridCol w:w="1871"/>
        <w:gridCol w:w="1966"/>
      </w:tblGrid>
      <w:tr w:rsidR="00A874AC" w:rsidRPr="00C55195" w:rsidTr="005C3E63">
        <w:trPr>
          <w:trHeight w:val="782"/>
          <w:tblHeader/>
        </w:trPr>
        <w:tc>
          <w:tcPr>
            <w:tcW w:w="1871" w:type="dxa"/>
            <w:shd w:val="clear" w:color="000000" w:fill="448A99"/>
            <w:noWrap/>
            <w:vAlign w:val="bottom"/>
            <w:hideMark/>
          </w:tcPr>
          <w:p w:rsidR="00C55195" w:rsidRPr="00C55195" w:rsidRDefault="00C55195" w:rsidP="00C55195">
            <w:pPr>
              <w:jc w:val="left"/>
              <w:rPr>
                <w:b/>
                <w:bCs/>
                <w:color w:val="FFFFFF"/>
                <w:sz w:val="20"/>
                <w:szCs w:val="20"/>
              </w:rPr>
            </w:pPr>
            <w:r w:rsidRPr="00C55195">
              <w:rPr>
                <w:b/>
                <w:bCs/>
                <w:color w:val="FFFFFF"/>
                <w:sz w:val="20"/>
                <w:szCs w:val="20"/>
              </w:rPr>
              <w:t>Program</w:t>
            </w:r>
          </w:p>
        </w:tc>
        <w:tc>
          <w:tcPr>
            <w:tcW w:w="1871" w:type="dxa"/>
            <w:shd w:val="clear" w:color="000000" w:fill="448A99"/>
            <w:vAlign w:val="bottom"/>
            <w:hideMark/>
          </w:tcPr>
          <w:p w:rsidR="00C55195" w:rsidRPr="00C55195" w:rsidRDefault="00C55195" w:rsidP="00C55195">
            <w:pPr>
              <w:jc w:val="center"/>
              <w:rPr>
                <w:b/>
                <w:bCs/>
                <w:color w:val="FFFFFF"/>
                <w:sz w:val="20"/>
                <w:szCs w:val="20"/>
              </w:rPr>
            </w:pPr>
            <w:r w:rsidRPr="00C55195">
              <w:rPr>
                <w:b/>
                <w:bCs/>
                <w:color w:val="FFFFFF"/>
                <w:sz w:val="20"/>
                <w:szCs w:val="20"/>
              </w:rPr>
              <w:t>TRC NPV Benefits</w:t>
            </w:r>
          </w:p>
          <w:p w:rsidR="00C55195" w:rsidRPr="00C55195" w:rsidRDefault="00C55195" w:rsidP="00C55195">
            <w:pPr>
              <w:jc w:val="center"/>
              <w:rPr>
                <w:rFonts w:eastAsia="Calibri"/>
                <w:b/>
                <w:bCs/>
                <w:color w:val="FFFFFF"/>
                <w:sz w:val="20"/>
                <w:szCs w:val="20"/>
              </w:rPr>
            </w:pPr>
            <w:r w:rsidRPr="00C55195">
              <w:rPr>
                <w:b/>
                <w:bCs/>
                <w:color w:val="FFFFFF"/>
                <w:sz w:val="20"/>
                <w:szCs w:val="20"/>
              </w:rPr>
              <w:t>($)</w:t>
            </w:r>
          </w:p>
        </w:tc>
        <w:tc>
          <w:tcPr>
            <w:tcW w:w="1871" w:type="dxa"/>
            <w:shd w:val="clear" w:color="000000" w:fill="448A99"/>
            <w:vAlign w:val="bottom"/>
            <w:hideMark/>
          </w:tcPr>
          <w:p w:rsidR="00C55195" w:rsidRPr="00C55195" w:rsidRDefault="00C55195" w:rsidP="00C55195">
            <w:pPr>
              <w:jc w:val="center"/>
              <w:rPr>
                <w:rFonts w:eastAsia="Calibri"/>
                <w:b/>
                <w:bCs/>
                <w:color w:val="FFFFFF"/>
                <w:sz w:val="20"/>
                <w:szCs w:val="20"/>
              </w:rPr>
            </w:pPr>
            <w:r w:rsidRPr="00C55195">
              <w:rPr>
                <w:b/>
                <w:bCs/>
                <w:color w:val="FFFFFF"/>
                <w:sz w:val="20"/>
                <w:szCs w:val="20"/>
              </w:rPr>
              <w:t>TRC NPV Costs</w:t>
            </w:r>
          </w:p>
          <w:p w:rsidR="00C55195" w:rsidRPr="00C55195" w:rsidRDefault="00C55195" w:rsidP="00C55195">
            <w:pPr>
              <w:jc w:val="center"/>
              <w:rPr>
                <w:rFonts w:eastAsia="Calibri"/>
                <w:b/>
                <w:bCs/>
                <w:color w:val="FFFFFF"/>
                <w:sz w:val="20"/>
                <w:szCs w:val="20"/>
              </w:rPr>
            </w:pPr>
            <w:r w:rsidRPr="00C55195">
              <w:rPr>
                <w:b/>
                <w:bCs/>
                <w:color w:val="FFFFFF"/>
                <w:sz w:val="20"/>
                <w:szCs w:val="20"/>
              </w:rPr>
              <w:t>($)</w:t>
            </w:r>
          </w:p>
        </w:tc>
        <w:tc>
          <w:tcPr>
            <w:tcW w:w="1871" w:type="dxa"/>
            <w:shd w:val="clear" w:color="000000" w:fill="448A99"/>
            <w:vAlign w:val="bottom"/>
          </w:tcPr>
          <w:p w:rsidR="00C55195" w:rsidRPr="00C55195" w:rsidRDefault="00C55195" w:rsidP="00C55195">
            <w:pPr>
              <w:jc w:val="center"/>
              <w:rPr>
                <w:rFonts w:eastAsia="Calibri"/>
                <w:b/>
                <w:bCs/>
                <w:color w:val="FFFFFF"/>
                <w:sz w:val="20"/>
                <w:szCs w:val="20"/>
              </w:rPr>
            </w:pPr>
            <w:r w:rsidRPr="00C55195">
              <w:rPr>
                <w:b/>
                <w:bCs/>
                <w:color w:val="FFFFFF"/>
                <w:sz w:val="20"/>
                <w:szCs w:val="20"/>
              </w:rPr>
              <w:t>Present Value of Net Benefits</w:t>
            </w:r>
          </w:p>
          <w:p w:rsidR="00C55195" w:rsidRPr="00C55195" w:rsidRDefault="00C55195" w:rsidP="00C55195">
            <w:pPr>
              <w:jc w:val="center"/>
              <w:rPr>
                <w:rFonts w:eastAsia="Calibri"/>
                <w:b/>
                <w:bCs/>
                <w:color w:val="FFFFFF"/>
                <w:sz w:val="20"/>
                <w:szCs w:val="20"/>
              </w:rPr>
            </w:pPr>
            <w:r w:rsidRPr="00C55195">
              <w:rPr>
                <w:b/>
                <w:bCs/>
                <w:color w:val="FFFFFF"/>
                <w:sz w:val="20"/>
                <w:szCs w:val="20"/>
              </w:rPr>
              <w:t>($)</w:t>
            </w:r>
          </w:p>
        </w:tc>
        <w:tc>
          <w:tcPr>
            <w:tcW w:w="1966" w:type="dxa"/>
            <w:shd w:val="clear" w:color="000000" w:fill="448A99"/>
            <w:noWrap/>
            <w:vAlign w:val="bottom"/>
            <w:hideMark/>
          </w:tcPr>
          <w:p w:rsidR="00C55195" w:rsidRPr="00C55195" w:rsidRDefault="00C55195" w:rsidP="00C55195">
            <w:pPr>
              <w:jc w:val="center"/>
              <w:rPr>
                <w:rFonts w:eastAsia="Calibri"/>
                <w:b/>
                <w:bCs/>
                <w:color w:val="FFFFFF"/>
                <w:sz w:val="20"/>
                <w:szCs w:val="20"/>
              </w:rPr>
            </w:pPr>
            <w:r w:rsidRPr="00C55195">
              <w:rPr>
                <w:b/>
                <w:bCs/>
                <w:color w:val="FFFFFF"/>
                <w:sz w:val="20"/>
                <w:szCs w:val="20"/>
              </w:rPr>
              <w:t>TRC Ratio</w:t>
            </w:r>
          </w:p>
        </w:tc>
      </w:tr>
      <w:tr w:rsidR="00A874AC" w:rsidRPr="00C55195" w:rsidTr="005C3E63">
        <w:trPr>
          <w:trHeight w:val="488"/>
        </w:trPr>
        <w:tc>
          <w:tcPr>
            <w:tcW w:w="1871" w:type="dxa"/>
            <w:tcBorders>
              <w:top w:val="nil"/>
              <w:left w:val="single" w:sz="8" w:space="0" w:color="448A99"/>
              <w:bottom w:val="single" w:sz="8" w:space="0" w:color="448A99"/>
              <w:right w:val="single" w:sz="8" w:space="0" w:color="448A99"/>
            </w:tcBorders>
            <w:shd w:val="clear" w:color="auto" w:fill="auto"/>
            <w:noWrap/>
            <w:vAlign w:val="center"/>
            <w:hideMark/>
          </w:tcPr>
          <w:p w:rsidR="00C55195" w:rsidRPr="00C55195" w:rsidRDefault="00C55195" w:rsidP="00C55195">
            <w:pPr>
              <w:jc w:val="left"/>
              <w:rPr>
                <w:bCs/>
                <w:color w:val="000000"/>
                <w:sz w:val="20"/>
                <w:szCs w:val="20"/>
              </w:rPr>
            </w:pPr>
            <w:r w:rsidRPr="00C55195">
              <w:rPr>
                <w:color w:val="000000"/>
                <w:sz w:val="20"/>
                <w:szCs w:val="20"/>
              </w:rPr>
              <w:t>Appliance Turn-In</w:t>
            </w:r>
          </w:p>
        </w:tc>
        <w:tc>
          <w:tcPr>
            <w:tcW w:w="1871"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rFonts w:cs="Arial"/>
                <w:color w:val="000000"/>
                <w:sz w:val="20"/>
                <w:szCs w:val="20"/>
              </w:rPr>
              <w:t xml:space="preserve">$2,027,118 </w:t>
            </w:r>
          </w:p>
        </w:tc>
        <w:tc>
          <w:tcPr>
            <w:tcW w:w="1871"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rFonts w:cs="Arial"/>
                <w:color w:val="000000"/>
                <w:sz w:val="20"/>
                <w:szCs w:val="20"/>
              </w:rPr>
              <w:t xml:space="preserve">$759,029 </w:t>
            </w:r>
          </w:p>
        </w:tc>
        <w:tc>
          <w:tcPr>
            <w:tcW w:w="1871" w:type="dxa"/>
            <w:tcBorders>
              <w:top w:val="nil"/>
              <w:left w:val="nil"/>
              <w:bottom w:val="single" w:sz="8" w:space="0" w:color="448A99"/>
              <w:right w:val="single" w:sz="8" w:space="0" w:color="448A99"/>
            </w:tcBorders>
            <w:shd w:val="clear" w:color="auto" w:fill="auto"/>
            <w:vAlign w:val="center"/>
          </w:tcPr>
          <w:p w:rsidR="00C55195" w:rsidRPr="00C55195" w:rsidRDefault="00C55195" w:rsidP="00C55195">
            <w:pPr>
              <w:jc w:val="center"/>
              <w:rPr>
                <w:color w:val="000000"/>
                <w:sz w:val="20"/>
                <w:szCs w:val="20"/>
              </w:rPr>
            </w:pPr>
            <w:r w:rsidRPr="00C55195">
              <w:rPr>
                <w:rFonts w:cs="Arial"/>
                <w:color w:val="000000"/>
                <w:sz w:val="20"/>
                <w:szCs w:val="20"/>
              </w:rPr>
              <w:t xml:space="preserve">$1,268,089 </w:t>
            </w:r>
          </w:p>
        </w:tc>
        <w:tc>
          <w:tcPr>
            <w:tcW w:w="1966"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rFonts w:cs="Arial"/>
                <w:color w:val="000000"/>
                <w:sz w:val="20"/>
                <w:szCs w:val="20"/>
              </w:rPr>
              <w:t>2.67</w:t>
            </w:r>
          </w:p>
        </w:tc>
      </w:tr>
      <w:tr w:rsidR="00A874AC" w:rsidRPr="00C55195" w:rsidTr="005C3E63">
        <w:trPr>
          <w:trHeight w:val="488"/>
        </w:trPr>
        <w:tc>
          <w:tcPr>
            <w:tcW w:w="1871" w:type="dxa"/>
            <w:tcBorders>
              <w:top w:val="nil"/>
              <w:left w:val="single" w:sz="8" w:space="0" w:color="448A99"/>
              <w:bottom w:val="single" w:sz="8" w:space="0" w:color="448A99"/>
              <w:right w:val="single" w:sz="8" w:space="0" w:color="448A99"/>
            </w:tcBorders>
            <w:shd w:val="clear" w:color="auto" w:fill="D2EAF1"/>
            <w:noWrap/>
            <w:vAlign w:val="center"/>
            <w:hideMark/>
          </w:tcPr>
          <w:p w:rsidR="00C55195" w:rsidRPr="00C55195" w:rsidRDefault="00C55195" w:rsidP="00C55195">
            <w:pPr>
              <w:jc w:val="left"/>
              <w:rPr>
                <w:bCs/>
                <w:color w:val="000000"/>
                <w:sz w:val="20"/>
                <w:szCs w:val="20"/>
              </w:rPr>
            </w:pPr>
            <w:r w:rsidRPr="00C55195">
              <w:rPr>
                <w:color w:val="000000"/>
                <w:sz w:val="20"/>
                <w:szCs w:val="20"/>
              </w:rPr>
              <w:t>Efficient Products</w:t>
            </w:r>
          </w:p>
        </w:tc>
        <w:tc>
          <w:tcPr>
            <w:tcW w:w="1871"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color w:val="000000"/>
                <w:sz w:val="20"/>
                <w:szCs w:val="20"/>
              </w:rPr>
            </w:pPr>
            <w:r w:rsidRPr="00C55195">
              <w:rPr>
                <w:color w:val="000000"/>
                <w:sz w:val="20"/>
                <w:szCs w:val="20"/>
              </w:rPr>
              <w:t xml:space="preserve">$14,154,579 </w:t>
            </w:r>
          </w:p>
        </w:tc>
        <w:tc>
          <w:tcPr>
            <w:tcW w:w="1871"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color w:val="000000"/>
                <w:sz w:val="20"/>
                <w:szCs w:val="20"/>
              </w:rPr>
            </w:pPr>
            <w:r w:rsidRPr="00C55195">
              <w:rPr>
                <w:color w:val="000000"/>
                <w:sz w:val="20"/>
                <w:szCs w:val="20"/>
              </w:rPr>
              <w:t xml:space="preserve">$9,169,910 </w:t>
            </w:r>
          </w:p>
        </w:tc>
        <w:tc>
          <w:tcPr>
            <w:tcW w:w="1871" w:type="dxa"/>
            <w:tcBorders>
              <w:top w:val="nil"/>
              <w:left w:val="nil"/>
              <w:bottom w:val="single" w:sz="8" w:space="0" w:color="448A99"/>
              <w:right w:val="single" w:sz="8" w:space="0" w:color="448A99"/>
            </w:tcBorders>
            <w:shd w:val="clear" w:color="000000" w:fill="D2EAF1"/>
            <w:vAlign w:val="center"/>
          </w:tcPr>
          <w:p w:rsidR="00C55195" w:rsidRPr="00C55195" w:rsidRDefault="00C55195" w:rsidP="00C55195">
            <w:pPr>
              <w:jc w:val="center"/>
              <w:rPr>
                <w:color w:val="000000"/>
                <w:sz w:val="20"/>
                <w:szCs w:val="20"/>
              </w:rPr>
            </w:pPr>
            <w:r w:rsidRPr="00C55195">
              <w:rPr>
                <w:rFonts w:cs="Arial"/>
                <w:color w:val="000000"/>
                <w:sz w:val="20"/>
                <w:szCs w:val="20"/>
              </w:rPr>
              <w:t xml:space="preserve">$4,984,669 </w:t>
            </w:r>
          </w:p>
        </w:tc>
        <w:tc>
          <w:tcPr>
            <w:tcW w:w="1966"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color w:val="000000"/>
                <w:sz w:val="20"/>
                <w:szCs w:val="20"/>
              </w:rPr>
            </w:pPr>
            <w:r w:rsidRPr="00C55195">
              <w:rPr>
                <w:rFonts w:cs="Arial"/>
                <w:color w:val="000000"/>
                <w:sz w:val="20"/>
                <w:szCs w:val="20"/>
              </w:rPr>
              <w:t>1.54</w:t>
            </w:r>
          </w:p>
        </w:tc>
      </w:tr>
      <w:tr w:rsidR="00A874AC" w:rsidRPr="00C55195" w:rsidTr="005C3E63">
        <w:trPr>
          <w:trHeight w:val="488"/>
        </w:trPr>
        <w:tc>
          <w:tcPr>
            <w:tcW w:w="1871" w:type="dxa"/>
            <w:tcBorders>
              <w:top w:val="nil"/>
              <w:left w:val="single" w:sz="8" w:space="0" w:color="448A99"/>
              <w:bottom w:val="single" w:sz="8" w:space="0" w:color="448A99"/>
              <w:right w:val="single" w:sz="8" w:space="0" w:color="448A99"/>
            </w:tcBorders>
            <w:shd w:val="clear" w:color="auto" w:fill="auto"/>
            <w:noWrap/>
            <w:vAlign w:val="center"/>
            <w:hideMark/>
          </w:tcPr>
          <w:p w:rsidR="00C55195" w:rsidRPr="00C55195" w:rsidRDefault="00C55195" w:rsidP="00C55195">
            <w:pPr>
              <w:jc w:val="left"/>
              <w:rPr>
                <w:bCs/>
                <w:color w:val="000000"/>
                <w:sz w:val="20"/>
                <w:szCs w:val="20"/>
              </w:rPr>
            </w:pPr>
            <w:r w:rsidRPr="00C55195">
              <w:rPr>
                <w:color w:val="000000"/>
                <w:sz w:val="20"/>
                <w:szCs w:val="20"/>
              </w:rPr>
              <w:t>Home Performance</w:t>
            </w:r>
          </w:p>
        </w:tc>
        <w:tc>
          <w:tcPr>
            <w:tcW w:w="1871"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color w:val="000000"/>
                <w:sz w:val="20"/>
                <w:szCs w:val="20"/>
              </w:rPr>
              <w:t xml:space="preserve">$12,517,714 </w:t>
            </w:r>
          </w:p>
        </w:tc>
        <w:tc>
          <w:tcPr>
            <w:tcW w:w="1871"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color w:val="000000"/>
                <w:sz w:val="20"/>
                <w:szCs w:val="20"/>
              </w:rPr>
              <w:t xml:space="preserve">$5,509,591 </w:t>
            </w:r>
          </w:p>
        </w:tc>
        <w:tc>
          <w:tcPr>
            <w:tcW w:w="1871" w:type="dxa"/>
            <w:tcBorders>
              <w:top w:val="nil"/>
              <w:left w:val="nil"/>
              <w:bottom w:val="single" w:sz="8" w:space="0" w:color="448A99"/>
              <w:right w:val="single" w:sz="8" w:space="0" w:color="448A99"/>
            </w:tcBorders>
            <w:shd w:val="clear" w:color="auto" w:fill="auto"/>
            <w:vAlign w:val="center"/>
          </w:tcPr>
          <w:p w:rsidR="00C55195" w:rsidRPr="00C55195" w:rsidRDefault="00C55195" w:rsidP="00C55195">
            <w:pPr>
              <w:jc w:val="center"/>
              <w:rPr>
                <w:color w:val="000000"/>
                <w:sz w:val="20"/>
                <w:szCs w:val="20"/>
              </w:rPr>
            </w:pPr>
            <w:r w:rsidRPr="00C55195">
              <w:rPr>
                <w:color w:val="000000"/>
                <w:sz w:val="20"/>
                <w:szCs w:val="20"/>
              </w:rPr>
              <w:t xml:space="preserve">$7,008,122 </w:t>
            </w:r>
          </w:p>
        </w:tc>
        <w:tc>
          <w:tcPr>
            <w:tcW w:w="1966"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color w:val="000000"/>
                <w:sz w:val="20"/>
                <w:szCs w:val="20"/>
              </w:rPr>
              <w:t>2.27</w:t>
            </w:r>
          </w:p>
        </w:tc>
      </w:tr>
      <w:tr w:rsidR="00A874AC" w:rsidRPr="00C55195" w:rsidTr="005C3E63">
        <w:trPr>
          <w:trHeight w:val="488"/>
        </w:trPr>
        <w:tc>
          <w:tcPr>
            <w:tcW w:w="1871" w:type="dxa"/>
            <w:tcBorders>
              <w:top w:val="nil"/>
              <w:left w:val="single" w:sz="8" w:space="0" w:color="448A99"/>
              <w:bottom w:val="single" w:sz="8" w:space="0" w:color="448A99"/>
              <w:right w:val="single" w:sz="8" w:space="0" w:color="448A99"/>
            </w:tcBorders>
            <w:shd w:val="clear" w:color="auto" w:fill="D2EAF1"/>
            <w:noWrap/>
            <w:vAlign w:val="center"/>
            <w:hideMark/>
          </w:tcPr>
          <w:p w:rsidR="00C55195" w:rsidRPr="00C55195" w:rsidRDefault="00C55195" w:rsidP="00C55195">
            <w:pPr>
              <w:jc w:val="left"/>
              <w:rPr>
                <w:bCs/>
                <w:color w:val="000000"/>
                <w:sz w:val="20"/>
                <w:szCs w:val="20"/>
              </w:rPr>
            </w:pPr>
            <w:r w:rsidRPr="00C55195">
              <w:rPr>
                <w:color w:val="000000"/>
                <w:sz w:val="20"/>
                <w:szCs w:val="20"/>
              </w:rPr>
              <w:t>Low Income</w:t>
            </w:r>
          </w:p>
        </w:tc>
        <w:tc>
          <w:tcPr>
            <w:tcW w:w="1871"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color w:val="000000"/>
                <w:sz w:val="20"/>
                <w:szCs w:val="20"/>
              </w:rPr>
            </w:pPr>
            <w:r w:rsidRPr="00C55195">
              <w:rPr>
                <w:color w:val="000000"/>
                <w:sz w:val="20"/>
                <w:szCs w:val="20"/>
              </w:rPr>
              <w:t xml:space="preserve">$560,899 </w:t>
            </w:r>
          </w:p>
        </w:tc>
        <w:tc>
          <w:tcPr>
            <w:tcW w:w="1871"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color w:val="000000"/>
                <w:sz w:val="20"/>
                <w:szCs w:val="20"/>
              </w:rPr>
            </w:pPr>
            <w:r w:rsidRPr="00C55195">
              <w:rPr>
                <w:color w:val="000000"/>
                <w:sz w:val="20"/>
                <w:szCs w:val="20"/>
              </w:rPr>
              <w:t xml:space="preserve">$1,658,800 </w:t>
            </w:r>
          </w:p>
        </w:tc>
        <w:tc>
          <w:tcPr>
            <w:tcW w:w="1871" w:type="dxa"/>
            <w:tcBorders>
              <w:top w:val="nil"/>
              <w:left w:val="nil"/>
              <w:bottom w:val="single" w:sz="8" w:space="0" w:color="448A99"/>
              <w:right w:val="single" w:sz="8" w:space="0" w:color="448A99"/>
            </w:tcBorders>
            <w:shd w:val="clear" w:color="000000" w:fill="D2EAF1"/>
            <w:vAlign w:val="center"/>
          </w:tcPr>
          <w:p w:rsidR="00C55195" w:rsidRPr="00C55195" w:rsidRDefault="00C55195" w:rsidP="00C55195">
            <w:pPr>
              <w:jc w:val="center"/>
              <w:rPr>
                <w:color w:val="000000"/>
                <w:sz w:val="20"/>
                <w:szCs w:val="20"/>
              </w:rPr>
            </w:pPr>
            <w:r w:rsidRPr="00C55195">
              <w:rPr>
                <w:color w:val="FF0000"/>
                <w:sz w:val="20"/>
                <w:szCs w:val="20"/>
              </w:rPr>
              <w:t>($1,097,900)</w:t>
            </w:r>
          </w:p>
        </w:tc>
        <w:tc>
          <w:tcPr>
            <w:tcW w:w="1966"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color w:val="000000"/>
                <w:sz w:val="20"/>
                <w:szCs w:val="20"/>
              </w:rPr>
            </w:pPr>
            <w:r w:rsidRPr="00C55195">
              <w:rPr>
                <w:color w:val="000000"/>
                <w:sz w:val="20"/>
                <w:szCs w:val="20"/>
              </w:rPr>
              <w:t>0.34</w:t>
            </w:r>
          </w:p>
        </w:tc>
      </w:tr>
      <w:tr w:rsidR="00A874AC" w:rsidRPr="00C55195" w:rsidTr="005C3E63">
        <w:trPr>
          <w:trHeight w:val="488"/>
        </w:trPr>
        <w:tc>
          <w:tcPr>
            <w:tcW w:w="1871" w:type="dxa"/>
            <w:tcBorders>
              <w:top w:val="nil"/>
              <w:left w:val="single" w:sz="8" w:space="0" w:color="448A99"/>
              <w:bottom w:val="single" w:sz="8" w:space="0" w:color="448A99"/>
              <w:right w:val="single" w:sz="8" w:space="0" w:color="448A99"/>
            </w:tcBorders>
            <w:shd w:val="clear" w:color="auto" w:fill="auto"/>
            <w:noWrap/>
            <w:vAlign w:val="center"/>
            <w:hideMark/>
          </w:tcPr>
          <w:p w:rsidR="00C55195" w:rsidRPr="00C55195" w:rsidRDefault="00C55195" w:rsidP="00C55195">
            <w:pPr>
              <w:jc w:val="left"/>
              <w:rPr>
                <w:bCs/>
                <w:color w:val="000000"/>
                <w:sz w:val="20"/>
                <w:szCs w:val="20"/>
              </w:rPr>
            </w:pPr>
            <w:r w:rsidRPr="00C55195">
              <w:rPr>
                <w:color w:val="000000"/>
                <w:sz w:val="20"/>
                <w:szCs w:val="20"/>
              </w:rPr>
              <w:t>Small C/I Equipment</w:t>
            </w:r>
          </w:p>
        </w:tc>
        <w:tc>
          <w:tcPr>
            <w:tcW w:w="1871"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color w:val="000000"/>
                <w:sz w:val="20"/>
                <w:szCs w:val="20"/>
              </w:rPr>
              <w:t xml:space="preserve">$15,763,826 </w:t>
            </w:r>
          </w:p>
        </w:tc>
        <w:tc>
          <w:tcPr>
            <w:tcW w:w="1871"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color w:val="000000"/>
                <w:sz w:val="20"/>
                <w:szCs w:val="20"/>
              </w:rPr>
              <w:t xml:space="preserve">$14,310,761 </w:t>
            </w:r>
          </w:p>
        </w:tc>
        <w:tc>
          <w:tcPr>
            <w:tcW w:w="1871" w:type="dxa"/>
            <w:tcBorders>
              <w:top w:val="nil"/>
              <w:left w:val="nil"/>
              <w:bottom w:val="single" w:sz="8" w:space="0" w:color="448A99"/>
              <w:right w:val="single" w:sz="8" w:space="0" w:color="448A99"/>
            </w:tcBorders>
            <w:shd w:val="clear" w:color="auto" w:fill="auto"/>
            <w:vAlign w:val="center"/>
          </w:tcPr>
          <w:p w:rsidR="00C55195" w:rsidRPr="00C55195" w:rsidRDefault="00C55195" w:rsidP="00C55195">
            <w:pPr>
              <w:jc w:val="center"/>
              <w:rPr>
                <w:color w:val="000000"/>
                <w:sz w:val="20"/>
                <w:szCs w:val="20"/>
              </w:rPr>
            </w:pPr>
            <w:r w:rsidRPr="00C55195">
              <w:rPr>
                <w:color w:val="000000"/>
                <w:sz w:val="20"/>
                <w:szCs w:val="20"/>
              </w:rPr>
              <w:t xml:space="preserve">$1,453,065 </w:t>
            </w:r>
          </w:p>
        </w:tc>
        <w:tc>
          <w:tcPr>
            <w:tcW w:w="1966"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color w:val="000000"/>
                <w:sz w:val="20"/>
                <w:szCs w:val="20"/>
              </w:rPr>
              <w:t>1.10</w:t>
            </w:r>
          </w:p>
        </w:tc>
      </w:tr>
      <w:tr w:rsidR="00A874AC" w:rsidRPr="00C55195" w:rsidTr="005C3E63">
        <w:trPr>
          <w:trHeight w:val="488"/>
        </w:trPr>
        <w:tc>
          <w:tcPr>
            <w:tcW w:w="1871" w:type="dxa"/>
            <w:tcBorders>
              <w:top w:val="nil"/>
              <w:left w:val="single" w:sz="8" w:space="0" w:color="448A99"/>
              <w:bottom w:val="single" w:sz="8" w:space="0" w:color="448A99"/>
              <w:right w:val="single" w:sz="8" w:space="0" w:color="448A99"/>
            </w:tcBorders>
            <w:shd w:val="clear" w:color="auto" w:fill="D2EAF1"/>
            <w:noWrap/>
            <w:vAlign w:val="center"/>
            <w:hideMark/>
          </w:tcPr>
          <w:p w:rsidR="00C55195" w:rsidRPr="00C55195" w:rsidRDefault="00C55195" w:rsidP="00C55195">
            <w:pPr>
              <w:jc w:val="left"/>
              <w:rPr>
                <w:bCs/>
                <w:color w:val="000000"/>
                <w:sz w:val="20"/>
                <w:szCs w:val="20"/>
              </w:rPr>
            </w:pPr>
            <w:r w:rsidRPr="00C55195">
              <w:rPr>
                <w:color w:val="000000"/>
                <w:sz w:val="20"/>
                <w:szCs w:val="20"/>
              </w:rPr>
              <w:t>Small C/I Buildings</w:t>
            </w:r>
          </w:p>
        </w:tc>
        <w:tc>
          <w:tcPr>
            <w:tcW w:w="1871"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color w:val="000000"/>
                <w:sz w:val="20"/>
                <w:szCs w:val="20"/>
              </w:rPr>
            </w:pPr>
            <w:r w:rsidRPr="00C55195">
              <w:rPr>
                <w:color w:val="000000"/>
                <w:sz w:val="20"/>
                <w:szCs w:val="20"/>
              </w:rPr>
              <w:t xml:space="preserve">$3,334,422 </w:t>
            </w:r>
          </w:p>
        </w:tc>
        <w:tc>
          <w:tcPr>
            <w:tcW w:w="1871"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color w:val="000000"/>
                <w:sz w:val="20"/>
                <w:szCs w:val="20"/>
              </w:rPr>
            </w:pPr>
            <w:r w:rsidRPr="00C55195">
              <w:rPr>
                <w:color w:val="000000"/>
                <w:sz w:val="20"/>
                <w:szCs w:val="20"/>
              </w:rPr>
              <w:t xml:space="preserve">$1,730,301 </w:t>
            </w:r>
          </w:p>
        </w:tc>
        <w:tc>
          <w:tcPr>
            <w:tcW w:w="1871" w:type="dxa"/>
            <w:tcBorders>
              <w:top w:val="nil"/>
              <w:left w:val="nil"/>
              <w:bottom w:val="single" w:sz="8" w:space="0" w:color="448A99"/>
              <w:right w:val="single" w:sz="8" w:space="0" w:color="448A99"/>
            </w:tcBorders>
            <w:shd w:val="clear" w:color="000000" w:fill="D2EAF1"/>
            <w:vAlign w:val="center"/>
          </w:tcPr>
          <w:p w:rsidR="00C55195" w:rsidRPr="00C55195" w:rsidRDefault="00C55195" w:rsidP="00C55195">
            <w:pPr>
              <w:jc w:val="center"/>
              <w:rPr>
                <w:color w:val="000000"/>
                <w:sz w:val="20"/>
                <w:szCs w:val="20"/>
              </w:rPr>
            </w:pPr>
            <w:r w:rsidRPr="00C55195">
              <w:rPr>
                <w:color w:val="000000"/>
                <w:sz w:val="20"/>
                <w:szCs w:val="20"/>
              </w:rPr>
              <w:t xml:space="preserve">$1,604,121 </w:t>
            </w:r>
          </w:p>
        </w:tc>
        <w:tc>
          <w:tcPr>
            <w:tcW w:w="1966"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color w:val="000000"/>
                <w:sz w:val="20"/>
                <w:szCs w:val="20"/>
              </w:rPr>
            </w:pPr>
            <w:r w:rsidRPr="00C55195">
              <w:rPr>
                <w:color w:val="000000"/>
                <w:sz w:val="20"/>
                <w:szCs w:val="20"/>
              </w:rPr>
              <w:t>1.93</w:t>
            </w:r>
          </w:p>
        </w:tc>
      </w:tr>
      <w:tr w:rsidR="00A874AC" w:rsidRPr="00C55195" w:rsidTr="005C3E63">
        <w:trPr>
          <w:trHeight w:val="488"/>
        </w:trPr>
        <w:tc>
          <w:tcPr>
            <w:tcW w:w="1871" w:type="dxa"/>
            <w:tcBorders>
              <w:top w:val="nil"/>
              <w:left w:val="single" w:sz="8" w:space="0" w:color="448A99"/>
              <w:bottom w:val="single" w:sz="8" w:space="0" w:color="448A99"/>
              <w:right w:val="single" w:sz="8" w:space="0" w:color="448A99"/>
            </w:tcBorders>
            <w:shd w:val="clear" w:color="auto" w:fill="auto"/>
            <w:noWrap/>
            <w:vAlign w:val="center"/>
            <w:hideMark/>
          </w:tcPr>
          <w:p w:rsidR="00C55195" w:rsidRPr="00C55195" w:rsidRDefault="00C55195" w:rsidP="00C55195">
            <w:pPr>
              <w:jc w:val="left"/>
              <w:rPr>
                <w:bCs/>
                <w:color w:val="000000"/>
                <w:sz w:val="20"/>
                <w:szCs w:val="20"/>
              </w:rPr>
            </w:pPr>
            <w:r w:rsidRPr="00C55195">
              <w:rPr>
                <w:color w:val="000000"/>
                <w:sz w:val="20"/>
                <w:szCs w:val="20"/>
              </w:rPr>
              <w:t>Large C/I Equipment</w:t>
            </w:r>
          </w:p>
        </w:tc>
        <w:tc>
          <w:tcPr>
            <w:tcW w:w="1871"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color w:val="000000"/>
                <w:sz w:val="20"/>
                <w:szCs w:val="20"/>
              </w:rPr>
              <w:t xml:space="preserve">$23,092,556 </w:t>
            </w:r>
          </w:p>
        </w:tc>
        <w:tc>
          <w:tcPr>
            <w:tcW w:w="1871"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color w:val="000000"/>
                <w:sz w:val="20"/>
                <w:szCs w:val="20"/>
              </w:rPr>
              <w:t xml:space="preserve">$14,588,272 </w:t>
            </w:r>
          </w:p>
        </w:tc>
        <w:tc>
          <w:tcPr>
            <w:tcW w:w="1871" w:type="dxa"/>
            <w:tcBorders>
              <w:top w:val="nil"/>
              <w:left w:val="nil"/>
              <w:bottom w:val="single" w:sz="8" w:space="0" w:color="448A99"/>
              <w:right w:val="single" w:sz="8" w:space="0" w:color="448A99"/>
            </w:tcBorders>
            <w:shd w:val="clear" w:color="auto" w:fill="auto"/>
            <w:vAlign w:val="center"/>
          </w:tcPr>
          <w:p w:rsidR="00C55195" w:rsidRPr="00C55195" w:rsidRDefault="00C55195" w:rsidP="00C55195">
            <w:pPr>
              <w:jc w:val="center"/>
              <w:rPr>
                <w:color w:val="000000"/>
                <w:sz w:val="20"/>
                <w:szCs w:val="20"/>
              </w:rPr>
            </w:pPr>
            <w:r w:rsidRPr="00C55195">
              <w:rPr>
                <w:color w:val="000000"/>
                <w:sz w:val="20"/>
                <w:szCs w:val="20"/>
              </w:rPr>
              <w:t xml:space="preserve">$8,504,284 </w:t>
            </w:r>
          </w:p>
        </w:tc>
        <w:tc>
          <w:tcPr>
            <w:tcW w:w="1966"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color w:val="000000"/>
                <w:sz w:val="20"/>
                <w:szCs w:val="20"/>
              </w:rPr>
              <w:t>1.58</w:t>
            </w:r>
          </w:p>
        </w:tc>
      </w:tr>
      <w:tr w:rsidR="00A874AC" w:rsidRPr="00C55195" w:rsidTr="005C3E63">
        <w:trPr>
          <w:trHeight w:val="488"/>
        </w:trPr>
        <w:tc>
          <w:tcPr>
            <w:tcW w:w="1871" w:type="dxa"/>
            <w:tcBorders>
              <w:top w:val="nil"/>
              <w:left w:val="single" w:sz="8" w:space="0" w:color="448A99"/>
              <w:bottom w:val="single" w:sz="8" w:space="0" w:color="448A99"/>
              <w:right w:val="single" w:sz="8" w:space="0" w:color="448A99"/>
            </w:tcBorders>
            <w:shd w:val="clear" w:color="auto" w:fill="D2EAF1"/>
            <w:vAlign w:val="center"/>
            <w:hideMark/>
          </w:tcPr>
          <w:p w:rsidR="00C55195" w:rsidRPr="00C55195" w:rsidRDefault="00C55195" w:rsidP="00C55195">
            <w:pPr>
              <w:jc w:val="left"/>
              <w:rPr>
                <w:bCs/>
                <w:color w:val="000000"/>
                <w:sz w:val="20"/>
                <w:szCs w:val="20"/>
              </w:rPr>
            </w:pPr>
            <w:r w:rsidRPr="00C55195">
              <w:rPr>
                <w:color w:val="000000"/>
                <w:sz w:val="20"/>
                <w:szCs w:val="20"/>
              </w:rPr>
              <w:t>Large C/I Buildings</w:t>
            </w:r>
          </w:p>
        </w:tc>
        <w:tc>
          <w:tcPr>
            <w:tcW w:w="1871"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color w:val="000000"/>
                <w:sz w:val="20"/>
                <w:szCs w:val="20"/>
              </w:rPr>
            </w:pPr>
            <w:r w:rsidRPr="00C55195">
              <w:rPr>
                <w:color w:val="000000"/>
                <w:sz w:val="20"/>
                <w:szCs w:val="20"/>
              </w:rPr>
              <w:t xml:space="preserve">$3,028,375 </w:t>
            </w:r>
          </w:p>
        </w:tc>
        <w:tc>
          <w:tcPr>
            <w:tcW w:w="1871"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color w:val="000000"/>
                <w:sz w:val="20"/>
                <w:szCs w:val="20"/>
              </w:rPr>
            </w:pPr>
            <w:r w:rsidRPr="00C55195">
              <w:rPr>
                <w:color w:val="000000"/>
                <w:sz w:val="20"/>
                <w:szCs w:val="20"/>
              </w:rPr>
              <w:t xml:space="preserve">$1,859,332 </w:t>
            </w:r>
          </w:p>
        </w:tc>
        <w:tc>
          <w:tcPr>
            <w:tcW w:w="1871" w:type="dxa"/>
            <w:tcBorders>
              <w:top w:val="nil"/>
              <w:left w:val="nil"/>
              <w:bottom w:val="single" w:sz="8" w:space="0" w:color="448A99"/>
              <w:right w:val="single" w:sz="8" w:space="0" w:color="448A99"/>
            </w:tcBorders>
            <w:shd w:val="clear" w:color="000000" w:fill="D2EAF1"/>
            <w:vAlign w:val="center"/>
          </w:tcPr>
          <w:p w:rsidR="00C55195" w:rsidRPr="00C55195" w:rsidRDefault="00C55195" w:rsidP="00C55195">
            <w:pPr>
              <w:jc w:val="center"/>
              <w:rPr>
                <w:color w:val="000000"/>
                <w:sz w:val="20"/>
                <w:szCs w:val="20"/>
              </w:rPr>
            </w:pPr>
            <w:r w:rsidRPr="00C55195">
              <w:rPr>
                <w:color w:val="000000"/>
                <w:sz w:val="20"/>
                <w:szCs w:val="20"/>
              </w:rPr>
              <w:t xml:space="preserve">$1,169,043 </w:t>
            </w:r>
          </w:p>
        </w:tc>
        <w:tc>
          <w:tcPr>
            <w:tcW w:w="1966"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color w:val="000000"/>
                <w:sz w:val="20"/>
                <w:szCs w:val="20"/>
              </w:rPr>
            </w:pPr>
            <w:r w:rsidRPr="00C55195">
              <w:rPr>
                <w:color w:val="000000"/>
                <w:sz w:val="20"/>
                <w:szCs w:val="20"/>
              </w:rPr>
              <w:t>1.63</w:t>
            </w:r>
          </w:p>
        </w:tc>
      </w:tr>
      <w:tr w:rsidR="00A874AC" w:rsidRPr="00C55195" w:rsidTr="005C3E63">
        <w:trPr>
          <w:trHeight w:val="488"/>
        </w:trPr>
        <w:tc>
          <w:tcPr>
            <w:tcW w:w="1871" w:type="dxa"/>
            <w:tcBorders>
              <w:top w:val="nil"/>
              <w:left w:val="single" w:sz="8" w:space="0" w:color="448A99"/>
              <w:bottom w:val="single" w:sz="8" w:space="0" w:color="448A99"/>
              <w:right w:val="single" w:sz="8" w:space="0" w:color="448A99"/>
            </w:tcBorders>
            <w:shd w:val="clear" w:color="auto" w:fill="auto"/>
            <w:vAlign w:val="center"/>
            <w:hideMark/>
          </w:tcPr>
          <w:p w:rsidR="00C55195" w:rsidRPr="00C55195" w:rsidRDefault="00C55195" w:rsidP="00C55195">
            <w:pPr>
              <w:jc w:val="left"/>
              <w:rPr>
                <w:bCs/>
                <w:color w:val="000000"/>
                <w:sz w:val="20"/>
                <w:szCs w:val="20"/>
              </w:rPr>
            </w:pPr>
            <w:r w:rsidRPr="00C55195">
              <w:rPr>
                <w:color w:val="000000"/>
                <w:sz w:val="20"/>
                <w:szCs w:val="20"/>
              </w:rPr>
              <w:t>Gov./Institutional</w:t>
            </w:r>
          </w:p>
        </w:tc>
        <w:tc>
          <w:tcPr>
            <w:tcW w:w="1871"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color w:val="000000"/>
                <w:sz w:val="20"/>
                <w:szCs w:val="20"/>
              </w:rPr>
              <w:t xml:space="preserve">$81,837 </w:t>
            </w:r>
          </w:p>
        </w:tc>
        <w:tc>
          <w:tcPr>
            <w:tcW w:w="1871"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color w:val="000000"/>
                <w:sz w:val="20"/>
                <w:szCs w:val="20"/>
              </w:rPr>
              <w:t xml:space="preserve">$247,056 </w:t>
            </w:r>
          </w:p>
        </w:tc>
        <w:tc>
          <w:tcPr>
            <w:tcW w:w="1871" w:type="dxa"/>
            <w:tcBorders>
              <w:top w:val="nil"/>
              <w:left w:val="nil"/>
              <w:bottom w:val="single" w:sz="8" w:space="0" w:color="448A99"/>
              <w:right w:val="single" w:sz="8" w:space="0" w:color="448A99"/>
            </w:tcBorders>
            <w:shd w:val="clear" w:color="auto" w:fill="auto"/>
            <w:vAlign w:val="center"/>
          </w:tcPr>
          <w:p w:rsidR="00C55195" w:rsidRPr="00C55195" w:rsidRDefault="00C55195" w:rsidP="00C55195">
            <w:pPr>
              <w:jc w:val="center"/>
              <w:rPr>
                <w:color w:val="000000"/>
                <w:sz w:val="20"/>
                <w:szCs w:val="20"/>
              </w:rPr>
            </w:pPr>
            <w:r w:rsidRPr="00C55195">
              <w:rPr>
                <w:color w:val="FF0000"/>
                <w:sz w:val="20"/>
                <w:szCs w:val="20"/>
              </w:rPr>
              <w:t>($165,219)</w:t>
            </w:r>
          </w:p>
        </w:tc>
        <w:tc>
          <w:tcPr>
            <w:tcW w:w="1966" w:type="dxa"/>
            <w:tcBorders>
              <w:top w:val="nil"/>
              <w:left w:val="nil"/>
              <w:bottom w:val="single" w:sz="8" w:space="0" w:color="448A99"/>
              <w:right w:val="single" w:sz="8" w:space="0" w:color="448A99"/>
            </w:tcBorders>
            <w:shd w:val="clear" w:color="auto" w:fill="auto"/>
            <w:noWrap/>
            <w:vAlign w:val="center"/>
          </w:tcPr>
          <w:p w:rsidR="00C55195" w:rsidRPr="00C55195" w:rsidRDefault="00C55195" w:rsidP="00C55195">
            <w:pPr>
              <w:jc w:val="center"/>
              <w:rPr>
                <w:color w:val="000000"/>
                <w:sz w:val="20"/>
                <w:szCs w:val="20"/>
              </w:rPr>
            </w:pPr>
            <w:r w:rsidRPr="00C55195">
              <w:rPr>
                <w:color w:val="000000"/>
                <w:sz w:val="20"/>
                <w:szCs w:val="20"/>
              </w:rPr>
              <w:t>0.33</w:t>
            </w:r>
          </w:p>
        </w:tc>
      </w:tr>
      <w:tr w:rsidR="00A874AC" w:rsidRPr="00C55195" w:rsidTr="005C3E63">
        <w:trPr>
          <w:trHeight w:val="488"/>
        </w:trPr>
        <w:tc>
          <w:tcPr>
            <w:tcW w:w="1871" w:type="dxa"/>
            <w:shd w:val="clear" w:color="auto" w:fill="D2EAF1"/>
            <w:vAlign w:val="center"/>
            <w:hideMark/>
          </w:tcPr>
          <w:p w:rsidR="00C55195" w:rsidRPr="00C55195" w:rsidRDefault="00C55195" w:rsidP="00C55195">
            <w:pPr>
              <w:jc w:val="left"/>
              <w:rPr>
                <w:b/>
                <w:bCs/>
                <w:iCs/>
                <w:color w:val="000000"/>
                <w:sz w:val="20"/>
                <w:szCs w:val="20"/>
              </w:rPr>
            </w:pPr>
            <w:r w:rsidRPr="00C55195">
              <w:rPr>
                <w:b/>
                <w:bCs/>
                <w:iCs/>
                <w:color w:val="000000"/>
                <w:sz w:val="20"/>
                <w:szCs w:val="20"/>
              </w:rPr>
              <w:t>Total Portfolio</w:t>
            </w:r>
          </w:p>
        </w:tc>
        <w:tc>
          <w:tcPr>
            <w:tcW w:w="1871"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b/>
                <w:bCs/>
                <w:color w:val="000000"/>
                <w:sz w:val="20"/>
                <w:szCs w:val="20"/>
              </w:rPr>
            </w:pPr>
            <w:r w:rsidRPr="00C55195">
              <w:rPr>
                <w:rFonts w:cs="Arial"/>
                <w:b/>
                <w:bCs/>
                <w:color w:val="000000"/>
                <w:sz w:val="20"/>
                <w:szCs w:val="20"/>
              </w:rPr>
              <w:t xml:space="preserve">$74,561,326 </w:t>
            </w:r>
          </w:p>
        </w:tc>
        <w:tc>
          <w:tcPr>
            <w:tcW w:w="1871"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b/>
                <w:bCs/>
                <w:color w:val="000000"/>
                <w:sz w:val="20"/>
                <w:szCs w:val="20"/>
              </w:rPr>
            </w:pPr>
            <w:r w:rsidRPr="00C55195">
              <w:rPr>
                <w:rFonts w:cs="Arial"/>
                <w:b/>
                <w:bCs/>
                <w:color w:val="000000"/>
                <w:sz w:val="20"/>
                <w:szCs w:val="20"/>
              </w:rPr>
              <w:t xml:space="preserve">$49,833,052 </w:t>
            </w:r>
          </w:p>
        </w:tc>
        <w:tc>
          <w:tcPr>
            <w:tcW w:w="1871" w:type="dxa"/>
            <w:tcBorders>
              <w:top w:val="nil"/>
              <w:left w:val="nil"/>
              <w:bottom w:val="single" w:sz="8" w:space="0" w:color="448A99"/>
              <w:right w:val="single" w:sz="8" w:space="0" w:color="448A99"/>
            </w:tcBorders>
            <w:shd w:val="clear" w:color="000000" w:fill="D2EAF1"/>
            <w:vAlign w:val="center"/>
          </w:tcPr>
          <w:p w:rsidR="00C55195" w:rsidRPr="00C55195" w:rsidRDefault="00C55195" w:rsidP="00C55195">
            <w:pPr>
              <w:jc w:val="center"/>
              <w:rPr>
                <w:b/>
                <w:bCs/>
                <w:color w:val="000000"/>
                <w:sz w:val="20"/>
                <w:szCs w:val="20"/>
              </w:rPr>
            </w:pPr>
            <w:r w:rsidRPr="00C55195">
              <w:rPr>
                <w:b/>
                <w:bCs/>
                <w:color w:val="000000"/>
                <w:sz w:val="20"/>
                <w:szCs w:val="20"/>
              </w:rPr>
              <w:t xml:space="preserve">$24,728,274 </w:t>
            </w:r>
          </w:p>
        </w:tc>
        <w:tc>
          <w:tcPr>
            <w:tcW w:w="1966" w:type="dxa"/>
            <w:tcBorders>
              <w:top w:val="nil"/>
              <w:left w:val="nil"/>
              <w:bottom w:val="single" w:sz="8" w:space="0" w:color="448A99"/>
              <w:right w:val="single" w:sz="8" w:space="0" w:color="448A99"/>
            </w:tcBorders>
            <w:shd w:val="clear" w:color="000000" w:fill="D2EAF1"/>
            <w:noWrap/>
            <w:vAlign w:val="center"/>
          </w:tcPr>
          <w:p w:rsidR="00C55195" w:rsidRPr="00C55195" w:rsidRDefault="00C55195" w:rsidP="00C55195">
            <w:pPr>
              <w:jc w:val="center"/>
              <w:rPr>
                <w:b/>
                <w:bCs/>
                <w:color w:val="000000"/>
                <w:sz w:val="20"/>
                <w:szCs w:val="20"/>
              </w:rPr>
            </w:pPr>
            <w:r w:rsidRPr="00C55195">
              <w:rPr>
                <w:b/>
                <w:bCs/>
                <w:color w:val="000000"/>
                <w:sz w:val="20"/>
                <w:szCs w:val="20"/>
              </w:rPr>
              <w:t>1.50</w:t>
            </w:r>
          </w:p>
        </w:tc>
      </w:tr>
    </w:tbl>
    <w:p w:rsidR="00C55195" w:rsidRDefault="00C55195" w:rsidP="00C55195"/>
    <w:p w:rsidR="009C54D3" w:rsidRPr="009C54D3" w:rsidRDefault="009A66A7" w:rsidP="008C19A4">
      <w:pPr>
        <w:spacing w:after="120"/>
      </w:pPr>
      <w:r>
        <w:t xml:space="preserve">Seven </w:t>
      </w:r>
      <w:r w:rsidR="009C54D3" w:rsidRPr="009C54D3">
        <w:t>of Me</w:t>
      </w:r>
      <w:r w:rsidR="002568DF">
        <w:t>t</w:t>
      </w:r>
      <w:r w:rsidR="009C54D3" w:rsidRPr="009C54D3">
        <w:t xml:space="preserve">-Ed’s </w:t>
      </w:r>
      <w:r>
        <w:t>nine</w:t>
      </w:r>
      <w:r w:rsidR="009C54D3" w:rsidRPr="009C54D3">
        <w:t xml:space="preserve"> programs offered were found to be cost-effective and</w:t>
      </w:r>
      <w:r>
        <w:t xml:space="preserve"> two</w:t>
      </w:r>
      <w:r w:rsidR="009C54D3" w:rsidRPr="009C54D3">
        <w:t xml:space="preserve"> were non-cost-effective. The breakout of cost-effective and non-cost-effective programs is shown below.</w:t>
      </w:r>
    </w:p>
    <w:p w:rsidR="009C54D3" w:rsidRPr="009C54D3" w:rsidRDefault="009C54D3" w:rsidP="009C54D3">
      <w:pPr>
        <w:rPr>
          <w:rFonts w:ascii="Century Gothic" w:hAnsi="Century Gothic"/>
          <w:b/>
        </w:rPr>
      </w:pPr>
      <w:r w:rsidRPr="009C54D3">
        <w:rPr>
          <w:rFonts w:ascii="Century Gothic" w:hAnsi="Century Gothic"/>
          <w:b/>
        </w:rPr>
        <w:t>Cost-Effective Programs</w:t>
      </w:r>
    </w:p>
    <w:p w:rsidR="009C54D3" w:rsidRPr="009C54D3" w:rsidRDefault="009C54D3" w:rsidP="009C54D3">
      <w:pPr>
        <w:spacing w:after="60"/>
        <w:rPr>
          <w:b/>
          <w:color w:val="448A99"/>
        </w:rPr>
      </w:pPr>
      <w:r w:rsidRPr="009C54D3">
        <w:rPr>
          <w:b/>
          <w:color w:val="448A99"/>
        </w:rPr>
        <w:t>(TRC Ratio &gt; 1.0)</w:t>
      </w:r>
    </w:p>
    <w:p w:rsidR="009C54D3" w:rsidRPr="009C54D3" w:rsidRDefault="009C54D3" w:rsidP="00E646C9">
      <w:pPr>
        <w:numPr>
          <w:ilvl w:val="0"/>
          <w:numId w:val="70"/>
        </w:numPr>
        <w:ind w:left="360"/>
        <w:rPr>
          <w:i/>
        </w:rPr>
      </w:pPr>
      <w:r w:rsidRPr="009C54D3">
        <w:rPr>
          <w:i/>
        </w:rPr>
        <w:t>Residential Appliance Turn-In</w:t>
      </w:r>
    </w:p>
    <w:p w:rsidR="009C54D3" w:rsidRPr="009C54D3" w:rsidRDefault="009C54D3" w:rsidP="00E646C9">
      <w:pPr>
        <w:numPr>
          <w:ilvl w:val="0"/>
          <w:numId w:val="70"/>
        </w:numPr>
        <w:ind w:left="360"/>
        <w:rPr>
          <w:i/>
        </w:rPr>
      </w:pPr>
      <w:r w:rsidRPr="009C54D3">
        <w:rPr>
          <w:i/>
        </w:rPr>
        <w:t>Energy Efficient Products</w:t>
      </w:r>
    </w:p>
    <w:p w:rsidR="009C54D3" w:rsidRPr="009C54D3" w:rsidRDefault="009C54D3" w:rsidP="00E646C9">
      <w:pPr>
        <w:numPr>
          <w:ilvl w:val="0"/>
          <w:numId w:val="70"/>
        </w:numPr>
        <w:ind w:left="360"/>
        <w:rPr>
          <w:i/>
        </w:rPr>
      </w:pPr>
      <w:r w:rsidRPr="009C54D3">
        <w:rPr>
          <w:i/>
        </w:rPr>
        <w:t>Residential Home Performance</w:t>
      </w:r>
    </w:p>
    <w:p w:rsidR="009C54D3" w:rsidRPr="009C54D3" w:rsidRDefault="009C54D3" w:rsidP="00E646C9">
      <w:pPr>
        <w:numPr>
          <w:ilvl w:val="0"/>
          <w:numId w:val="70"/>
        </w:numPr>
        <w:ind w:left="360"/>
        <w:rPr>
          <w:i/>
        </w:rPr>
      </w:pPr>
      <w:r w:rsidRPr="009C54D3">
        <w:rPr>
          <w:i/>
        </w:rPr>
        <w:t>Small C/I Energy Efficient Equipment</w:t>
      </w:r>
    </w:p>
    <w:p w:rsidR="009C54D3" w:rsidRPr="009C54D3" w:rsidRDefault="009C54D3" w:rsidP="00E646C9">
      <w:pPr>
        <w:numPr>
          <w:ilvl w:val="0"/>
          <w:numId w:val="70"/>
        </w:numPr>
        <w:ind w:left="360"/>
        <w:rPr>
          <w:i/>
        </w:rPr>
      </w:pPr>
      <w:r w:rsidRPr="009C54D3">
        <w:rPr>
          <w:i/>
        </w:rPr>
        <w:t>Large C/I Energy Efficient Equipment</w:t>
      </w:r>
    </w:p>
    <w:p w:rsidR="009C54D3" w:rsidRPr="009C54D3" w:rsidRDefault="009C54D3" w:rsidP="00E646C9">
      <w:pPr>
        <w:numPr>
          <w:ilvl w:val="0"/>
          <w:numId w:val="70"/>
        </w:numPr>
        <w:ind w:left="360"/>
        <w:rPr>
          <w:i/>
        </w:rPr>
      </w:pPr>
      <w:r w:rsidRPr="009C54D3">
        <w:rPr>
          <w:i/>
        </w:rPr>
        <w:t>Small C/I Energy Efficient Buildings</w:t>
      </w:r>
    </w:p>
    <w:p w:rsidR="009C54D3" w:rsidRPr="009C54D3" w:rsidRDefault="009C54D3" w:rsidP="00E646C9">
      <w:pPr>
        <w:numPr>
          <w:ilvl w:val="0"/>
          <w:numId w:val="70"/>
        </w:numPr>
        <w:ind w:left="360"/>
        <w:rPr>
          <w:i/>
        </w:rPr>
      </w:pPr>
      <w:r w:rsidRPr="009C54D3">
        <w:rPr>
          <w:i/>
        </w:rPr>
        <w:t>Large C/I Energy Efficient Buildings</w:t>
      </w:r>
    </w:p>
    <w:p w:rsidR="009C54D3" w:rsidRPr="009C54D3" w:rsidRDefault="009C54D3" w:rsidP="009C54D3">
      <w:pPr>
        <w:ind w:left="360"/>
        <w:rPr>
          <w:i/>
        </w:rPr>
      </w:pPr>
    </w:p>
    <w:p w:rsidR="009C54D3" w:rsidRPr="009C54D3" w:rsidRDefault="009C54D3" w:rsidP="009C54D3">
      <w:pPr>
        <w:rPr>
          <w:rFonts w:ascii="Century Gothic" w:hAnsi="Century Gothic"/>
          <w:b/>
        </w:rPr>
      </w:pPr>
      <w:r w:rsidRPr="009C54D3">
        <w:rPr>
          <w:rFonts w:ascii="Century Gothic" w:hAnsi="Century Gothic"/>
          <w:b/>
        </w:rPr>
        <w:t>Non-Cost-Effective Programs</w:t>
      </w:r>
    </w:p>
    <w:p w:rsidR="009C54D3" w:rsidRPr="009C54D3" w:rsidRDefault="009C54D3" w:rsidP="009C54D3">
      <w:pPr>
        <w:spacing w:after="60"/>
        <w:rPr>
          <w:b/>
          <w:color w:val="448A99"/>
        </w:rPr>
      </w:pPr>
      <w:r w:rsidRPr="009C54D3">
        <w:rPr>
          <w:b/>
          <w:color w:val="448A99"/>
        </w:rPr>
        <w:t>(TRC Ratio &lt; 1.0)</w:t>
      </w:r>
    </w:p>
    <w:p w:rsidR="009C54D3" w:rsidRPr="009C54D3" w:rsidRDefault="009C54D3" w:rsidP="00E646C9">
      <w:pPr>
        <w:numPr>
          <w:ilvl w:val="0"/>
          <w:numId w:val="70"/>
        </w:numPr>
        <w:ind w:left="360"/>
        <w:rPr>
          <w:i/>
        </w:rPr>
      </w:pPr>
      <w:r w:rsidRPr="009C54D3">
        <w:rPr>
          <w:i/>
        </w:rPr>
        <w:t>Residential Low-Income</w:t>
      </w:r>
    </w:p>
    <w:p w:rsidR="009C54D3" w:rsidRPr="009C54D3" w:rsidRDefault="009C54D3" w:rsidP="00E646C9">
      <w:pPr>
        <w:numPr>
          <w:ilvl w:val="0"/>
          <w:numId w:val="70"/>
        </w:numPr>
        <w:ind w:left="360"/>
        <w:rPr>
          <w:i/>
        </w:rPr>
      </w:pPr>
      <w:r w:rsidRPr="009C54D3">
        <w:rPr>
          <w:i/>
        </w:rPr>
        <w:t>Government and Institutional</w:t>
      </w:r>
    </w:p>
    <w:p w:rsidR="009C54D3" w:rsidRPr="009C54D3" w:rsidRDefault="009C54D3" w:rsidP="009C54D3">
      <w:pPr>
        <w:rPr>
          <w:highlight w:val="lightGray"/>
        </w:rPr>
      </w:pPr>
    </w:p>
    <w:p w:rsidR="009C54D3" w:rsidRDefault="009C54D3" w:rsidP="009C54D3">
      <w:r w:rsidRPr="009C54D3">
        <w:t>The SWE notes</w:t>
      </w:r>
      <w:r w:rsidR="009A66A7">
        <w:t xml:space="preserve"> that</w:t>
      </w:r>
      <w:r w:rsidRPr="009C54D3">
        <w:t xml:space="preserve"> the C</w:t>
      </w:r>
      <w:r w:rsidR="0097650B">
        <w:t>/</w:t>
      </w:r>
      <w:r w:rsidRPr="009C54D3">
        <w:t xml:space="preserve">I </w:t>
      </w:r>
      <w:r w:rsidR="00AF2C58" w:rsidRPr="009C54D3">
        <w:t xml:space="preserve">Energy Efficient </w:t>
      </w:r>
      <w:r w:rsidR="00AF2C58">
        <w:t>B</w:t>
      </w:r>
      <w:r w:rsidR="00AF2C58" w:rsidRPr="009C54D3">
        <w:t xml:space="preserve">uildings programs </w:t>
      </w:r>
      <w:r w:rsidRPr="009C54D3">
        <w:t>transitioned to cost-effective programs in PY7.  The improved cost-effectiveness is likely the result of increased participation in PY7 resulting in savings and benefits that could outweigh the program’s fixed costs. Overall, programs with large amounts of energy and demand savings generally had high TRC ratios. This signifies that the programs garnering the most savings were also the most cost-effective programs in PY7.</w:t>
      </w:r>
    </w:p>
    <w:p w:rsidR="00363FB4" w:rsidRDefault="00363FB4" w:rsidP="009C54D3"/>
    <w:p w:rsidR="00950837" w:rsidRDefault="00950837" w:rsidP="00E37A0C">
      <w:pPr>
        <w:pStyle w:val="AppendixAHeading3"/>
      </w:pPr>
      <w:r w:rsidRPr="00E37A0C">
        <w:lastRenderedPageBreak/>
        <w:t>Assumptions and Inputs</w:t>
      </w:r>
    </w:p>
    <w:p w:rsidR="009C54D3" w:rsidRDefault="00C94981" w:rsidP="00C94981">
      <w:r w:rsidRPr="00C94981">
        <w:t>One TRC model template was shared across all four FirstEnergy companies. Despite the similar model, the TRC model calculations were handled independently for each of the four EDCs. The Met-Ed iteration of the FirstEnergy TRC model used a discount rate of 7.52% to compare the NPV of program benefits that will occur later in a measure’s lifetime to the up</w:t>
      </w:r>
      <w:r w:rsidR="00AF2C58">
        <w:t>-</w:t>
      </w:r>
      <w:r w:rsidRPr="00C94981">
        <w:t xml:space="preserve">front costs of installation of implementation. This value matches the EDC’s EE&amp;C </w:t>
      </w:r>
      <w:r w:rsidR="00AF2C58">
        <w:t>p</w:t>
      </w:r>
      <w:r w:rsidRPr="00C94981">
        <w:t>lan on file. Different values of LLF were used for different sectors, as shown in</w:t>
      </w:r>
      <w:r>
        <w:t xml:space="preserve"> </w:t>
      </w:r>
      <w:r>
        <w:fldChar w:fldCharType="begin"/>
      </w:r>
      <w:r>
        <w:instrText xml:space="preserve"> REF _Ref472444743 \h </w:instrText>
      </w:r>
      <w:r>
        <w:fldChar w:fldCharType="separate"/>
      </w:r>
      <w:r w:rsidR="00C301D0">
        <w:t>Table A-</w:t>
      </w:r>
      <w:r w:rsidR="00C301D0">
        <w:rPr>
          <w:noProof/>
        </w:rPr>
        <w:t>31</w:t>
      </w:r>
      <w:r>
        <w:fldChar w:fldCharType="end"/>
      </w:r>
      <w:r>
        <w:t>.</w:t>
      </w:r>
    </w:p>
    <w:p w:rsidR="00C94981" w:rsidRDefault="00C94981" w:rsidP="00C94981"/>
    <w:p w:rsidR="00C94981" w:rsidRDefault="00C94981" w:rsidP="00C94981">
      <w:pPr>
        <w:pStyle w:val="Caption"/>
      </w:pPr>
      <w:bookmarkStart w:id="666" w:name="_Ref472444743"/>
      <w:bookmarkStart w:id="667" w:name="_Toc472472440"/>
      <w:bookmarkStart w:id="668" w:name="_Toc476842146"/>
      <w:r>
        <w:t>Table A-</w:t>
      </w:r>
      <w:fldSimple w:instr=" SEQ Table_A- \* ARABIC ">
        <w:r w:rsidR="00C301D0">
          <w:rPr>
            <w:noProof/>
          </w:rPr>
          <w:t>31</w:t>
        </w:r>
      </w:fldSimple>
      <w:bookmarkEnd w:id="666"/>
      <w:r>
        <w:t>: Met-Ed’s PY7</w:t>
      </w:r>
      <w:r w:rsidRPr="00276BF4">
        <w:t xml:space="preserve"> Discount Rates and LLFs</w:t>
      </w:r>
      <w:bookmarkEnd w:id="667"/>
      <w:bookmarkEnd w:id="668"/>
    </w:p>
    <w:tbl>
      <w:tblPr>
        <w:tblW w:w="9355" w:type="dxa"/>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083"/>
        <w:gridCol w:w="1568"/>
        <w:gridCol w:w="1568"/>
        <w:gridCol w:w="1568"/>
        <w:gridCol w:w="1568"/>
      </w:tblGrid>
      <w:tr w:rsidR="00A874AC" w:rsidRPr="00C94981" w:rsidTr="005C3E63">
        <w:trPr>
          <w:trHeight w:val="332"/>
          <w:tblHeader/>
        </w:trPr>
        <w:tc>
          <w:tcPr>
            <w:tcW w:w="3083" w:type="dxa"/>
            <w:shd w:val="clear" w:color="000000" w:fill="448A99"/>
            <w:noWrap/>
            <w:vAlign w:val="bottom"/>
            <w:hideMark/>
          </w:tcPr>
          <w:p w:rsidR="00C94981" w:rsidRPr="00C94981" w:rsidRDefault="00C94981" w:rsidP="00C94981">
            <w:pPr>
              <w:jc w:val="left"/>
              <w:rPr>
                <w:b/>
                <w:bCs/>
                <w:color w:val="FFFFFF"/>
                <w:sz w:val="20"/>
                <w:szCs w:val="20"/>
              </w:rPr>
            </w:pPr>
            <w:r w:rsidRPr="00C94981">
              <w:rPr>
                <w:b/>
                <w:bCs/>
                <w:color w:val="FFFFFF"/>
                <w:sz w:val="20"/>
                <w:szCs w:val="20"/>
              </w:rPr>
              <w:t>Program</w:t>
            </w:r>
          </w:p>
        </w:tc>
        <w:tc>
          <w:tcPr>
            <w:tcW w:w="1568" w:type="dxa"/>
            <w:shd w:val="clear" w:color="000000" w:fill="448A99"/>
            <w:noWrap/>
            <w:vAlign w:val="bottom"/>
            <w:hideMark/>
          </w:tcPr>
          <w:p w:rsidR="00C94981" w:rsidRPr="00C94981" w:rsidRDefault="00C94981" w:rsidP="00C94981">
            <w:pPr>
              <w:jc w:val="center"/>
              <w:rPr>
                <w:b/>
                <w:bCs/>
                <w:color w:val="FFFFFF"/>
                <w:sz w:val="20"/>
                <w:szCs w:val="20"/>
              </w:rPr>
            </w:pPr>
            <w:r w:rsidRPr="00C94981">
              <w:rPr>
                <w:b/>
                <w:bCs/>
                <w:color w:val="FFFFFF"/>
                <w:sz w:val="20"/>
                <w:szCs w:val="20"/>
              </w:rPr>
              <w:t>Sector</w:t>
            </w:r>
          </w:p>
        </w:tc>
        <w:tc>
          <w:tcPr>
            <w:tcW w:w="1568" w:type="dxa"/>
            <w:shd w:val="clear" w:color="000000" w:fill="448A99"/>
            <w:noWrap/>
            <w:vAlign w:val="bottom"/>
            <w:hideMark/>
          </w:tcPr>
          <w:p w:rsidR="00C94981" w:rsidRPr="00C94981" w:rsidRDefault="00C94981" w:rsidP="00C94981">
            <w:pPr>
              <w:jc w:val="center"/>
              <w:rPr>
                <w:b/>
                <w:bCs/>
                <w:color w:val="FFFFFF"/>
                <w:sz w:val="20"/>
                <w:szCs w:val="20"/>
              </w:rPr>
            </w:pPr>
            <w:r w:rsidRPr="00C94981">
              <w:rPr>
                <w:b/>
                <w:bCs/>
                <w:color w:val="FFFFFF"/>
                <w:sz w:val="20"/>
                <w:szCs w:val="20"/>
              </w:rPr>
              <w:t>Discount Rate</w:t>
            </w:r>
          </w:p>
        </w:tc>
        <w:tc>
          <w:tcPr>
            <w:tcW w:w="1568" w:type="dxa"/>
            <w:shd w:val="clear" w:color="000000" w:fill="448A99"/>
            <w:vAlign w:val="bottom"/>
            <w:hideMark/>
          </w:tcPr>
          <w:p w:rsidR="00C94981" w:rsidRPr="00C94981" w:rsidRDefault="00C94981" w:rsidP="00C94981">
            <w:pPr>
              <w:jc w:val="center"/>
              <w:rPr>
                <w:b/>
                <w:bCs/>
                <w:color w:val="FFFFFF"/>
                <w:sz w:val="20"/>
                <w:szCs w:val="20"/>
              </w:rPr>
            </w:pPr>
            <w:r w:rsidRPr="00C94981">
              <w:rPr>
                <w:b/>
                <w:bCs/>
                <w:color w:val="FFFFFF"/>
                <w:sz w:val="20"/>
                <w:szCs w:val="20"/>
              </w:rPr>
              <w:t>Energy LLF</w:t>
            </w:r>
          </w:p>
        </w:tc>
        <w:tc>
          <w:tcPr>
            <w:tcW w:w="1568" w:type="dxa"/>
            <w:shd w:val="clear" w:color="000000" w:fill="448A99"/>
            <w:vAlign w:val="bottom"/>
            <w:hideMark/>
          </w:tcPr>
          <w:p w:rsidR="00C94981" w:rsidRPr="00C94981" w:rsidRDefault="00C94981" w:rsidP="00C94981">
            <w:pPr>
              <w:jc w:val="center"/>
              <w:rPr>
                <w:b/>
                <w:bCs/>
                <w:color w:val="FFFFFF"/>
                <w:sz w:val="20"/>
                <w:szCs w:val="20"/>
              </w:rPr>
            </w:pPr>
            <w:r w:rsidRPr="00C94981">
              <w:rPr>
                <w:b/>
                <w:bCs/>
                <w:color w:val="FFFFFF"/>
                <w:sz w:val="20"/>
                <w:szCs w:val="20"/>
              </w:rPr>
              <w:t>Demand LLF</w:t>
            </w:r>
          </w:p>
        </w:tc>
      </w:tr>
      <w:tr w:rsidR="00E7173E" w:rsidRPr="00C94981" w:rsidTr="005C3E63">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C94981" w:rsidRPr="00C94981" w:rsidRDefault="00C94981" w:rsidP="00C94981">
            <w:pPr>
              <w:jc w:val="left"/>
              <w:rPr>
                <w:bCs/>
                <w:color w:val="000000"/>
                <w:sz w:val="20"/>
                <w:szCs w:val="20"/>
              </w:rPr>
            </w:pPr>
            <w:r w:rsidRPr="00C94981">
              <w:rPr>
                <w:color w:val="000000"/>
                <w:sz w:val="20"/>
                <w:szCs w:val="20"/>
              </w:rPr>
              <w:t>Appliance Turn-In</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Residential</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7.52%</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7.18%</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7.18%</w:t>
            </w:r>
          </w:p>
        </w:tc>
      </w:tr>
      <w:tr w:rsidR="00A874AC" w:rsidRPr="00C94981" w:rsidTr="005C3E63">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C94981" w:rsidRPr="00C94981" w:rsidRDefault="00C94981" w:rsidP="00C94981">
            <w:pPr>
              <w:jc w:val="left"/>
              <w:rPr>
                <w:bCs/>
                <w:color w:val="000000"/>
                <w:sz w:val="20"/>
                <w:szCs w:val="20"/>
              </w:rPr>
            </w:pPr>
            <w:r w:rsidRPr="00C94981">
              <w:rPr>
                <w:color w:val="000000"/>
                <w:sz w:val="20"/>
                <w:szCs w:val="20"/>
              </w:rPr>
              <w:t>Efficient Products</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Residential</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7.52%</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7.18%</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7.18%</w:t>
            </w:r>
          </w:p>
        </w:tc>
      </w:tr>
      <w:tr w:rsidR="00E7173E" w:rsidRPr="00C94981" w:rsidTr="005C3E63">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C94981" w:rsidRPr="00C94981" w:rsidRDefault="00C94981" w:rsidP="00C94981">
            <w:pPr>
              <w:jc w:val="left"/>
              <w:rPr>
                <w:bCs/>
                <w:color w:val="000000"/>
                <w:sz w:val="20"/>
                <w:szCs w:val="20"/>
              </w:rPr>
            </w:pPr>
            <w:r w:rsidRPr="00C94981">
              <w:rPr>
                <w:color w:val="000000"/>
                <w:sz w:val="20"/>
                <w:szCs w:val="20"/>
              </w:rPr>
              <w:t>Home Performance</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Residential</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7.52%</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7.18%</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7.18%</w:t>
            </w:r>
          </w:p>
        </w:tc>
      </w:tr>
      <w:tr w:rsidR="00A874AC" w:rsidRPr="00C94981" w:rsidTr="005C3E63">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C94981" w:rsidRPr="00C94981" w:rsidRDefault="00C94981" w:rsidP="00C94981">
            <w:pPr>
              <w:jc w:val="left"/>
              <w:rPr>
                <w:bCs/>
                <w:color w:val="000000"/>
                <w:sz w:val="20"/>
                <w:szCs w:val="20"/>
              </w:rPr>
            </w:pPr>
            <w:r w:rsidRPr="00C94981">
              <w:rPr>
                <w:color w:val="000000"/>
                <w:sz w:val="20"/>
                <w:szCs w:val="20"/>
              </w:rPr>
              <w:t>Low Income</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Residential</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7.52%</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7.18%</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7.18%</w:t>
            </w:r>
          </w:p>
        </w:tc>
      </w:tr>
      <w:tr w:rsidR="00E7173E" w:rsidRPr="00C94981" w:rsidTr="005C3E63">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C94981" w:rsidRPr="00C94981" w:rsidRDefault="00C94981" w:rsidP="00C94981">
            <w:pPr>
              <w:jc w:val="left"/>
              <w:rPr>
                <w:bCs/>
                <w:color w:val="000000"/>
                <w:sz w:val="20"/>
                <w:szCs w:val="20"/>
              </w:rPr>
            </w:pPr>
            <w:r w:rsidRPr="00C94981">
              <w:rPr>
                <w:color w:val="000000"/>
                <w:sz w:val="20"/>
                <w:szCs w:val="20"/>
              </w:rPr>
              <w:t>Small C/I Equipment</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Non-</w:t>
            </w:r>
            <w:r w:rsidR="00363FB4">
              <w:rPr>
                <w:color w:val="000000"/>
                <w:sz w:val="20"/>
                <w:szCs w:val="20"/>
              </w:rPr>
              <w:t>R</w:t>
            </w:r>
            <w:r w:rsidRPr="00C94981">
              <w:rPr>
                <w:color w:val="000000"/>
                <w:sz w:val="20"/>
                <w:szCs w:val="20"/>
              </w:rPr>
              <w:t>esidential</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7.52%</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5.0%</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5.0%</w:t>
            </w:r>
          </w:p>
        </w:tc>
      </w:tr>
      <w:tr w:rsidR="00A874AC" w:rsidRPr="00C94981" w:rsidTr="005C3E63">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C94981" w:rsidRPr="00C94981" w:rsidRDefault="00C94981" w:rsidP="00C94981">
            <w:pPr>
              <w:jc w:val="left"/>
              <w:rPr>
                <w:bCs/>
                <w:color w:val="000000"/>
                <w:sz w:val="20"/>
                <w:szCs w:val="20"/>
              </w:rPr>
            </w:pPr>
            <w:r w:rsidRPr="00C94981">
              <w:rPr>
                <w:color w:val="000000"/>
                <w:sz w:val="20"/>
                <w:szCs w:val="20"/>
              </w:rPr>
              <w:t>Small C/I Buildings</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Non-</w:t>
            </w:r>
            <w:r w:rsidR="00363FB4">
              <w:rPr>
                <w:color w:val="000000"/>
                <w:sz w:val="20"/>
                <w:szCs w:val="20"/>
              </w:rPr>
              <w:t>R</w:t>
            </w:r>
            <w:r w:rsidRPr="00C94981">
              <w:rPr>
                <w:color w:val="000000"/>
                <w:sz w:val="20"/>
                <w:szCs w:val="20"/>
              </w:rPr>
              <w:t>esidential</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7.52%</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5.0%</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5.0%</w:t>
            </w:r>
          </w:p>
        </w:tc>
      </w:tr>
      <w:tr w:rsidR="00E7173E" w:rsidRPr="00C94981" w:rsidTr="005C3E63">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C94981" w:rsidRPr="00C94981" w:rsidRDefault="00C94981" w:rsidP="00C94981">
            <w:pPr>
              <w:jc w:val="left"/>
              <w:rPr>
                <w:bCs/>
                <w:color w:val="000000"/>
                <w:sz w:val="20"/>
                <w:szCs w:val="20"/>
              </w:rPr>
            </w:pPr>
            <w:r w:rsidRPr="00C94981">
              <w:rPr>
                <w:color w:val="000000"/>
                <w:sz w:val="20"/>
                <w:szCs w:val="20"/>
              </w:rPr>
              <w:t>Large C/I Equipment</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Non-</w:t>
            </w:r>
            <w:r w:rsidR="00363FB4">
              <w:rPr>
                <w:color w:val="000000"/>
                <w:sz w:val="20"/>
                <w:szCs w:val="20"/>
              </w:rPr>
              <w:t>R</w:t>
            </w:r>
            <w:r w:rsidRPr="00C94981">
              <w:rPr>
                <w:color w:val="000000"/>
                <w:sz w:val="20"/>
                <w:szCs w:val="20"/>
              </w:rPr>
              <w:t>esidential</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7.52%</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5.0%</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5.0%</w:t>
            </w:r>
          </w:p>
        </w:tc>
      </w:tr>
      <w:tr w:rsidR="00A874AC" w:rsidRPr="00C94981" w:rsidTr="005C3E63">
        <w:trPr>
          <w:trHeight w:val="346"/>
        </w:trPr>
        <w:tc>
          <w:tcPr>
            <w:tcW w:w="3083" w:type="dxa"/>
            <w:tcBorders>
              <w:top w:val="nil"/>
              <w:left w:val="single" w:sz="8" w:space="0" w:color="448A99"/>
              <w:bottom w:val="single" w:sz="8" w:space="0" w:color="448A99"/>
              <w:right w:val="single" w:sz="8" w:space="0" w:color="448A99"/>
            </w:tcBorders>
            <w:shd w:val="clear" w:color="auto" w:fill="D2EAF1"/>
            <w:vAlign w:val="center"/>
          </w:tcPr>
          <w:p w:rsidR="00C94981" w:rsidRPr="00C94981" w:rsidRDefault="00C94981" w:rsidP="00C94981">
            <w:pPr>
              <w:jc w:val="left"/>
              <w:rPr>
                <w:bCs/>
                <w:color w:val="000000"/>
                <w:sz w:val="20"/>
                <w:szCs w:val="20"/>
              </w:rPr>
            </w:pPr>
            <w:r w:rsidRPr="00C94981">
              <w:rPr>
                <w:color w:val="000000"/>
                <w:sz w:val="20"/>
                <w:szCs w:val="20"/>
              </w:rPr>
              <w:t>Large C/I Buildings</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Non-</w:t>
            </w:r>
            <w:r w:rsidR="00363FB4">
              <w:rPr>
                <w:color w:val="000000"/>
                <w:sz w:val="20"/>
                <w:szCs w:val="20"/>
              </w:rPr>
              <w:t>R</w:t>
            </w:r>
            <w:r w:rsidRPr="00C94981">
              <w:rPr>
                <w:color w:val="000000"/>
                <w:sz w:val="20"/>
                <w:szCs w:val="20"/>
              </w:rPr>
              <w:t>esidential</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7.52%</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5.0%</w:t>
            </w:r>
          </w:p>
        </w:tc>
        <w:tc>
          <w:tcPr>
            <w:tcW w:w="1568" w:type="dxa"/>
            <w:shd w:val="clear" w:color="auto" w:fill="D2EAF1"/>
            <w:noWrap/>
            <w:vAlign w:val="center"/>
          </w:tcPr>
          <w:p w:rsidR="00C94981" w:rsidRPr="00C94981" w:rsidRDefault="00C94981" w:rsidP="00C94981">
            <w:pPr>
              <w:jc w:val="center"/>
              <w:rPr>
                <w:color w:val="000000"/>
                <w:sz w:val="20"/>
                <w:szCs w:val="20"/>
              </w:rPr>
            </w:pPr>
            <w:r w:rsidRPr="00C94981">
              <w:rPr>
                <w:color w:val="000000"/>
                <w:sz w:val="20"/>
                <w:szCs w:val="20"/>
              </w:rPr>
              <w:t>5.0%</w:t>
            </w:r>
          </w:p>
        </w:tc>
      </w:tr>
      <w:tr w:rsidR="00E7173E" w:rsidRPr="00C94981" w:rsidTr="005C3E63">
        <w:trPr>
          <w:trHeight w:val="346"/>
        </w:trPr>
        <w:tc>
          <w:tcPr>
            <w:tcW w:w="3083" w:type="dxa"/>
            <w:tcBorders>
              <w:top w:val="nil"/>
              <w:left w:val="single" w:sz="8" w:space="0" w:color="448A99"/>
              <w:bottom w:val="single" w:sz="8" w:space="0" w:color="448A99"/>
              <w:right w:val="single" w:sz="8" w:space="0" w:color="448A99"/>
            </w:tcBorders>
            <w:shd w:val="clear" w:color="auto" w:fill="auto"/>
            <w:vAlign w:val="center"/>
          </w:tcPr>
          <w:p w:rsidR="00C94981" w:rsidRPr="00C94981" w:rsidRDefault="00C94981" w:rsidP="00C94981">
            <w:pPr>
              <w:jc w:val="left"/>
              <w:rPr>
                <w:bCs/>
                <w:color w:val="000000"/>
                <w:sz w:val="20"/>
                <w:szCs w:val="20"/>
              </w:rPr>
            </w:pPr>
            <w:r w:rsidRPr="00C94981">
              <w:rPr>
                <w:color w:val="000000"/>
                <w:sz w:val="20"/>
                <w:szCs w:val="20"/>
              </w:rPr>
              <w:t>Gov./Institutional</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Non-</w:t>
            </w:r>
            <w:r w:rsidR="00363FB4">
              <w:rPr>
                <w:color w:val="000000"/>
                <w:sz w:val="20"/>
                <w:szCs w:val="20"/>
              </w:rPr>
              <w:t>R</w:t>
            </w:r>
            <w:r w:rsidRPr="00C94981">
              <w:rPr>
                <w:color w:val="000000"/>
                <w:sz w:val="20"/>
                <w:szCs w:val="20"/>
              </w:rPr>
              <w:t>esidential</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7.52%</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5.0%</w:t>
            </w:r>
          </w:p>
        </w:tc>
        <w:tc>
          <w:tcPr>
            <w:tcW w:w="1568" w:type="dxa"/>
            <w:shd w:val="clear" w:color="auto" w:fill="auto"/>
            <w:noWrap/>
            <w:vAlign w:val="center"/>
          </w:tcPr>
          <w:p w:rsidR="00C94981" w:rsidRPr="00C94981" w:rsidRDefault="00C94981" w:rsidP="00C94981">
            <w:pPr>
              <w:jc w:val="center"/>
              <w:rPr>
                <w:color w:val="000000"/>
                <w:sz w:val="20"/>
                <w:szCs w:val="20"/>
              </w:rPr>
            </w:pPr>
            <w:r w:rsidRPr="00C94981">
              <w:rPr>
                <w:color w:val="000000"/>
                <w:sz w:val="20"/>
                <w:szCs w:val="20"/>
              </w:rPr>
              <w:t>5.0%</w:t>
            </w:r>
          </w:p>
        </w:tc>
      </w:tr>
    </w:tbl>
    <w:p w:rsidR="00C94981" w:rsidRDefault="00C94981" w:rsidP="00C94981"/>
    <w:p w:rsidR="00C94981" w:rsidRPr="00C94981" w:rsidRDefault="00C94981" w:rsidP="00C94981">
      <w:r w:rsidRPr="00C94981">
        <w:t>In the residential sector, measure lives were reported on a measure-by-measure basis. The SWE Team spot-checked some of these measure lives and found them to be consistent with the 2015 TRM</w:t>
      </w:r>
      <w:r w:rsidR="00AF2C58">
        <w:t>.</w:t>
      </w:r>
      <w:r w:rsidRPr="00C94981">
        <w:rPr>
          <w:vertAlign w:val="superscript"/>
        </w:rPr>
        <w:footnoteReference w:id="64"/>
      </w:r>
      <w:r w:rsidRPr="00C94981">
        <w:t xml:space="preserve"> In the non-residential sector, the TRC model applied an EUL at the stratum level rather than at the measure level. </w:t>
      </w:r>
    </w:p>
    <w:p w:rsidR="00C94981" w:rsidRPr="00C94981" w:rsidRDefault="00C94981" w:rsidP="00C94981"/>
    <w:p w:rsidR="00C94981" w:rsidRPr="00C94981" w:rsidRDefault="00C94981" w:rsidP="00C94981">
      <w:r w:rsidRPr="00C94981">
        <w:t xml:space="preserve">Similarly, the model assigned incremental costs at the measure level in the residential sector and at the stratum level in the non-residential sector in the model. The residential-sector incremental costs primarily were derived from the SWE incremental cost database, the Met-ED EE&amp;C </w:t>
      </w:r>
      <w:r w:rsidR="00AF2C58">
        <w:t>p</w:t>
      </w:r>
      <w:r w:rsidRPr="00C94981">
        <w:t xml:space="preserve">lan and the project invoices. The sources for non-residential sector incremental costs included the SWE cost database, sampled project invoices, the Database for Energy Efficient Resources (DEER) 2008 incremental cost database, and the EDC EE&amp;C </w:t>
      </w:r>
      <w:r w:rsidR="00AF2C58">
        <w:t>p</w:t>
      </w:r>
      <w:r w:rsidRPr="00C94981">
        <w:t>lan.</w:t>
      </w:r>
      <w:r w:rsidRPr="00C94981">
        <w:rPr>
          <w:vertAlign w:val="superscript"/>
        </w:rPr>
        <w:footnoteReference w:id="65"/>
      </w:r>
      <w:r w:rsidRPr="00C94981">
        <w:t xml:space="preserve"> The FirstEnergy TRC model relied on the evaluation samples as a basis for calculating incremental participant costs for non-residential programs. Those sampled values were weighted to apply to the remainder of the program. The SWE Team examined this approach and found it reasonable and appropriate.</w:t>
      </w:r>
    </w:p>
    <w:p w:rsidR="00C94981" w:rsidRPr="00C94981" w:rsidRDefault="00C94981" w:rsidP="00C94981">
      <w:pPr>
        <w:rPr>
          <w:highlight w:val="lightGray"/>
        </w:rPr>
      </w:pPr>
    </w:p>
    <w:p w:rsidR="00C94981" w:rsidRPr="00C94981" w:rsidRDefault="00C94981" w:rsidP="00C94981">
      <w:r w:rsidRPr="00C94981">
        <w:t>The TRC model drew the energy and demand impacts from the tracking database, which used TRM-specified values and equations to assign ex ante annual savings values to completed measures. The TRC model analysis was based on ex post verified savings, so program impacts were adjusted by an applicable realization rate. Separate realization rates were applied to energy and demand impacts.</w:t>
      </w:r>
    </w:p>
    <w:p w:rsidR="00C94981" w:rsidRPr="00C94981" w:rsidRDefault="00C94981" w:rsidP="00C94981">
      <w:r w:rsidRPr="00C94981">
        <w:lastRenderedPageBreak/>
        <w:t xml:space="preserve">The 2015 TRM specifically instructed EDCs to account for dual baselines with regard to T12 linear fluorescent replacements. The dual baseline adjustment impacts the lifetime energy and demand savings of measures beginning June 1, 2016, but does not impact first-year savings for PY7. </w:t>
      </w:r>
      <w:r w:rsidRPr="00C94981">
        <w:rPr>
          <w:rFonts w:ascii="Arial" w:hAnsi="Arial"/>
          <w:sz w:val="20"/>
        </w:rPr>
        <w:t>EDCs may choose to reflect the dual baselines either by applying savings adjustment factors or by reducing the EUL to adjust lifetime savings.</w:t>
      </w:r>
      <w:r w:rsidRPr="00C94981">
        <w:rPr>
          <w:rFonts w:ascii="Arial" w:hAnsi="Arial"/>
          <w:sz w:val="20"/>
          <w:szCs w:val="20"/>
        </w:rPr>
        <w:t xml:space="preserve"> In the</w:t>
      </w:r>
      <w:r w:rsidRPr="00C94981">
        <w:t xml:space="preserve"> Met-Ed TRC model, a measure’s lifetime was separated into two parts: the first year, and the remaining lifetime. The removed equipment was treated as the baseline for the first year, with the baseline shifting to the code-required baseline for the remainder of the measure’s life. The model calculated the measure’s lifetime savings as the sum of these two parts. </w:t>
      </w:r>
    </w:p>
    <w:p w:rsidR="00C94981" w:rsidRPr="00C94981" w:rsidRDefault="00C94981" w:rsidP="00C94981"/>
    <w:p w:rsidR="00950837" w:rsidRDefault="00950837" w:rsidP="00E37A0C">
      <w:pPr>
        <w:pStyle w:val="AppendixAHeading3"/>
      </w:pPr>
      <w:r w:rsidRPr="00E37A0C">
        <w:t xml:space="preserve">Avoided Cost of </w:t>
      </w:r>
      <w:r w:rsidR="00C55195">
        <w:t xml:space="preserve">Energy and </w:t>
      </w:r>
      <w:r w:rsidRPr="00E37A0C">
        <w:t>Capacity</w:t>
      </w:r>
    </w:p>
    <w:p w:rsidR="00C94981" w:rsidRDefault="00C94981" w:rsidP="00C94981">
      <w:r w:rsidRPr="00C94981">
        <w:t>Consistent with prior Phase II program years, the PY7 FirstEnergy TRC Models use the Phase II approved avoided costs of energy and capacity.  The PY7 models were updated to select the appropriate PY7 stream of avoided costs.</w:t>
      </w:r>
    </w:p>
    <w:p w:rsidR="00C94981" w:rsidRPr="00C94981" w:rsidRDefault="00C94981" w:rsidP="00C94981"/>
    <w:p w:rsidR="00950837" w:rsidRDefault="00950837" w:rsidP="00E37A0C">
      <w:pPr>
        <w:pStyle w:val="AppendixAHeading3"/>
      </w:pPr>
      <w:r w:rsidRPr="00E37A0C">
        <w:t>Conclusions and Recommendations</w:t>
      </w:r>
    </w:p>
    <w:p w:rsidR="00C94981" w:rsidRDefault="00C94981" w:rsidP="00C94981">
      <w:r w:rsidRPr="00C94981">
        <w:t>The FirstEnergy TRC model is performing all of the B/C calculations in accordance with the 2013 TRC Order. The SWE Team review of the Met-Ed TRC model found no calculation errors and believes the PY7 TRC benefits, costs, and ratios to be reasonable and accurate</w:t>
      </w:r>
      <w:r>
        <w:t>.</w:t>
      </w:r>
    </w:p>
    <w:p w:rsidR="00C94981" w:rsidRPr="00C94981" w:rsidRDefault="00C94981" w:rsidP="00C94981"/>
    <w:p w:rsidR="00950837" w:rsidRPr="00E37A0C" w:rsidRDefault="00950837" w:rsidP="0043541C">
      <w:pPr>
        <w:pStyle w:val="AppendixAHeading2"/>
      </w:pPr>
      <w:r w:rsidRPr="00E37A0C">
        <w:t>Status of Evaluation Activities</w:t>
      </w:r>
    </w:p>
    <w:p w:rsidR="00496A99" w:rsidRPr="00496A99" w:rsidRDefault="00496A99" w:rsidP="00496A99">
      <w:r w:rsidRPr="00496A99">
        <w:t>This section discusses the status of Met-Ed’s EM&amp;V plans, M&amp;V activities and findings, and process evaluation activities and findings.</w:t>
      </w:r>
    </w:p>
    <w:p w:rsidR="00496A99" w:rsidRPr="008D7800" w:rsidRDefault="00496A99" w:rsidP="008D7800"/>
    <w:p w:rsidR="00950837" w:rsidRDefault="00950837" w:rsidP="00D34B3E">
      <w:pPr>
        <w:pStyle w:val="AppendixAHeading3"/>
      </w:pPr>
      <w:r>
        <w:t>Status of Evaluation, Measurement and Verification Plans</w:t>
      </w:r>
    </w:p>
    <w:p w:rsidR="00496A99" w:rsidRPr="009472F6" w:rsidRDefault="00496A99" w:rsidP="00496A99">
      <w:pPr>
        <w:pStyle w:val="bullettext"/>
      </w:pPr>
      <w:r w:rsidRPr="009472F6">
        <w:t xml:space="preserve">The standardization of evaluation protocols across EDCs was outlined in the Phase II Evaluation Framework in order to create consistency in evaluation practices across EDCs. The SWE Evaluation Framework that was applicable for PY6 evaluation plans was the </w:t>
      </w:r>
      <w:r>
        <w:t>f</w:t>
      </w:r>
      <w:r w:rsidRPr="009472F6">
        <w:t xml:space="preserve">ramework finalized and published on June 28, 2013. This </w:t>
      </w:r>
      <w:r>
        <w:t>f</w:t>
      </w:r>
      <w:r w:rsidRPr="009472F6">
        <w:t xml:space="preserve">ramework required each EDC to complete an initial evaluation plan for each program in </w:t>
      </w:r>
      <w:r>
        <w:t>its</w:t>
      </w:r>
      <w:r w:rsidRPr="009472F6">
        <w:t xml:space="preserve"> portfolio</w:t>
      </w:r>
      <w:r>
        <w:t>,</w:t>
      </w:r>
      <w:r w:rsidRPr="009472F6">
        <w:t xml:space="preserve"> addressing the following objectives:</w:t>
      </w:r>
    </w:p>
    <w:p w:rsidR="00496A99" w:rsidRPr="008A5E9E" w:rsidRDefault="00496A99" w:rsidP="00E646C9">
      <w:pPr>
        <w:numPr>
          <w:ilvl w:val="0"/>
          <w:numId w:val="71"/>
        </w:numPr>
        <w:spacing w:after="200" w:line="276" w:lineRule="auto"/>
        <w:ind w:left="360"/>
        <w:contextualSpacing/>
        <w:rPr>
          <w:color w:val="000000"/>
          <w:szCs w:val="20"/>
        </w:rPr>
      </w:pPr>
      <w:r w:rsidRPr="008A5E9E">
        <w:rPr>
          <w:color w:val="000000"/>
          <w:szCs w:val="20"/>
        </w:rPr>
        <w:t>Outline gross impact evaluation methodology</w:t>
      </w:r>
    </w:p>
    <w:p w:rsidR="00496A99" w:rsidRPr="008A5E9E" w:rsidRDefault="00496A99" w:rsidP="00E646C9">
      <w:pPr>
        <w:numPr>
          <w:ilvl w:val="0"/>
          <w:numId w:val="71"/>
        </w:numPr>
        <w:spacing w:after="200" w:line="276" w:lineRule="auto"/>
        <w:ind w:left="360"/>
        <w:contextualSpacing/>
        <w:rPr>
          <w:color w:val="000000"/>
          <w:szCs w:val="20"/>
        </w:rPr>
      </w:pPr>
      <w:r w:rsidRPr="008A5E9E">
        <w:rPr>
          <w:color w:val="000000"/>
          <w:szCs w:val="20"/>
        </w:rPr>
        <w:t>Outline NTG analysis methodology</w:t>
      </w:r>
    </w:p>
    <w:p w:rsidR="00496A99" w:rsidRPr="008A5E9E" w:rsidRDefault="00496A99" w:rsidP="00E646C9">
      <w:pPr>
        <w:numPr>
          <w:ilvl w:val="0"/>
          <w:numId w:val="71"/>
        </w:numPr>
        <w:spacing w:after="200" w:line="276" w:lineRule="auto"/>
        <w:ind w:left="360"/>
        <w:contextualSpacing/>
        <w:rPr>
          <w:color w:val="000000"/>
          <w:szCs w:val="20"/>
        </w:rPr>
      </w:pPr>
      <w:r w:rsidRPr="008A5E9E">
        <w:rPr>
          <w:color w:val="000000"/>
          <w:szCs w:val="20"/>
        </w:rPr>
        <w:t>Outline process evaluation methodology</w:t>
      </w:r>
    </w:p>
    <w:p w:rsidR="00496A99" w:rsidRPr="008A5E9E" w:rsidRDefault="00496A99" w:rsidP="00E646C9">
      <w:pPr>
        <w:numPr>
          <w:ilvl w:val="0"/>
          <w:numId w:val="71"/>
        </w:numPr>
        <w:spacing w:after="200" w:line="276" w:lineRule="auto"/>
        <w:ind w:left="360"/>
        <w:contextualSpacing/>
        <w:rPr>
          <w:color w:val="000000"/>
          <w:szCs w:val="20"/>
        </w:rPr>
      </w:pPr>
      <w:r w:rsidRPr="008A5E9E">
        <w:rPr>
          <w:color w:val="000000"/>
          <w:szCs w:val="20"/>
        </w:rPr>
        <w:t>Outline cost-effectiveness evaluation methodology</w:t>
      </w:r>
    </w:p>
    <w:p w:rsidR="00496A99" w:rsidRPr="008A5E9E" w:rsidRDefault="00496A99" w:rsidP="00E646C9">
      <w:pPr>
        <w:numPr>
          <w:ilvl w:val="0"/>
          <w:numId w:val="71"/>
        </w:numPr>
        <w:spacing w:after="200" w:line="276" w:lineRule="auto"/>
        <w:ind w:left="360"/>
        <w:contextualSpacing/>
        <w:rPr>
          <w:color w:val="000000"/>
          <w:szCs w:val="20"/>
        </w:rPr>
      </w:pPr>
      <w:r w:rsidRPr="008A5E9E">
        <w:rPr>
          <w:color w:val="000000"/>
          <w:szCs w:val="20"/>
        </w:rPr>
        <w:t>Propose a time</w:t>
      </w:r>
      <w:r>
        <w:rPr>
          <w:color w:val="000000"/>
          <w:szCs w:val="20"/>
        </w:rPr>
        <w:t xml:space="preserve"> </w:t>
      </w:r>
      <w:r w:rsidRPr="008A5E9E">
        <w:rPr>
          <w:color w:val="000000"/>
          <w:szCs w:val="20"/>
        </w:rPr>
        <w:t>line of evaluation activities</w:t>
      </w:r>
    </w:p>
    <w:p w:rsidR="00496A99" w:rsidRPr="008A5E9E" w:rsidRDefault="00496A99" w:rsidP="00E646C9">
      <w:pPr>
        <w:numPr>
          <w:ilvl w:val="0"/>
          <w:numId w:val="71"/>
        </w:numPr>
        <w:ind w:left="360"/>
        <w:rPr>
          <w:color w:val="000000"/>
          <w:szCs w:val="20"/>
        </w:rPr>
      </w:pPr>
      <w:r w:rsidRPr="008A5E9E">
        <w:rPr>
          <w:color w:val="000000"/>
          <w:szCs w:val="20"/>
        </w:rPr>
        <w:t>Establish key program contacts</w:t>
      </w:r>
    </w:p>
    <w:p w:rsidR="00496A99" w:rsidRPr="00401F84" w:rsidRDefault="00496A99" w:rsidP="00496A99"/>
    <w:p w:rsidR="00496A99" w:rsidRDefault="00496A99" w:rsidP="00496A99">
      <w:r w:rsidRPr="009472F6">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8C19A4" w:rsidRDefault="008C19A4" w:rsidP="00496A99"/>
    <w:p w:rsidR="00DD3B6D" w:rsidRPr="008C19A4" w:rsidRDefault="008C19A4" w:rsidP="008C19A4">
      <w:r>
        <w:lastRenderedPageBreak/>
        <w:t>Table A-32</w:t>
      </w:r>
      <w:r w:rsidR="00DD3B6D" w:rsidRPr="008C19A4">
        <w:t xml:space="preserve"> displays key milestones completed by FirstEnergy and the SWE for FirstEnergy’s Phase II EM&amp;V Plan. FirstEnergy EDCs submitted, and the SWE Team approved, only one EM&amp;V Plan across all four FirstEnergy EDCs.</w:t>
      </w:r>
    </w:p>
    <w:p w:rsidR="00DD3B6D" w:rsidRPr="00FB6015" w:rsidRDefault="00DD3B6D" w:rsidP="00DD3B6D"/>
    <w:p w:rsidR="00DD3B6D" w:rsidRPr="008A5E9E" w:rsidRDefault="000D0C36" w:rsidP="00DD3B6D">
      <w:pPr>
        <w:pStyle w:val="Caption"/>
        <w:rPr>
          <w:color w:val="000000"/>
        </w:rPr>
      </w:pPr>
      <w:bookmarkStart w:id="669" w:name="_Ref472359146"/>
      <w:bookmarkStart w:id="670" w:name="_Toc445206203"/>
      <w:bookmarkStart w:id="671" w:name="_Toc472472441"/>
      <w:bookmarkStart w:id="672" w:name="_Toc476842147"/>
      <w:r>
        <w:t>Table A-</w:t>
      </w:r>
      <w:fldSimple w:instr=" SEQ Table_A- \* ARABIC ">
        <w:r w:rsidR="00C301D0">
          <w:rPr>
            <w:noProof/>
          </w:rPr>
          <w:t>32</w:t>
        </w:r>
      </w:fldSimple>
      <w:bookmarkEnd w:id="669"/>
      <w:r>
        <w:t xml:space="preserve">: </w:t>
      </w:r>
      <w:r w:rsidR="00DD3B6D" w:rsidRPr="00FB6015">
        <w:t>Key Milestones Reached for Met-Ed’s Phase II EM&amp;V Plan</w:t>
      </w:r>
      <w:bookmarkEnd w:id="670"/>
      <w:bookmarkEnd w:id="671"/>
      <w:bookmarkEnd w:id="672"/>
    </w:p>
    <w:tbl>
      <w:tblPr>
        <w:tblW w:w="9355" w:type="dxa"/>
        <w:jc w:val="center"/>
        <w:tblLayout w:type="fixed"/>
        <w:tblLook w:val="04A0" w:firstRow="1" w:lastRow="0" w:firstColumn="1" w:lastColumn="0" w:noHBand="0" w:noVBand="1"/>
      </w:tblPr>
      <w:tblGrid>
        <w:gridCol w:w="2065"/>
        <w:gridCol w:w="7290"/>
      </w:tblGrid>
      <w:tr w:rsidR="00E7173E" w:rsidRPr="00FE0103" w:rsidTr="00DD4CC7">
        <w:trPr>
          <w:cantSplit/>
          <w:trHeight w:val="197"/>
          <w:tblHeader/>
          <w:jc w:val="center"/>
        </w:trPr>
        <w:tc>
          <w:tcPr>
            <w:tcW w:w="2065"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DD3B6D" w:rsidRPr="00FE0103" w:rsidRDefault="00DD3B6D" w:rsidP="008C2D5E">
            <w:pPr>
              <w:jc w:val="left"/>
              <w:rPr>
                <w:b/>
                <w:bCs/>
                <w:color w:val="FFFFFF"/>
                <w:sz w:val="20"/>
                <w:szCs w:val="20"/>
              </w:rPr>
            </w:pPr>
            <w:r w:rsidRPr="00FE0103">
              <w:rPr>
                <w:b/>
                <w:bCs/>
                <w:color w:val="FFFFFF"/>
                <w:sz w:val="20"/>
                <w:szCs w:val="20"/>
              </w:rPr>
              <w:t>Date</w:t>
            </w:r>
          </w:p>
        </w:tc>
        <w:tc>
          <w:tcPr>
            <w:tcW w:w="7290" w:type="dxa"/>
            <w:tcBorders>
              <w:top w:val="single" w:sz="4" w:space="0" w:color="448A99"/>
              <w:left w:val="nil"/>
              <w:bottom w:val="single" w:sz="4" w:space="0" w:color="448A99"/>
              <w:right w:val="single" w:sz="4" w:space="0" w:color="448A99"/>
            </w:tcBorders>
            <w:shd w:val="clear" w:color="000000" w:fill="448A99"/>
            <w:vAlign w:val="bottom"/>
          </w:tcPr>
          <w:p w:rsidR="00DD3B6D" w:rsidRPr="00FE0103" w:rsidRDefault="00DD3B6D" w:rsidP="008C2D5E">
            <w:pPr>
              <w:jc w:val="left"/>
              <w:rPr>
                <w:b/>
                <w:bCs/>
                <w:color w:val="FFFFFF"/>
                <w:sz w:val="20"/>
                <w:szCs w:val="20"/>
              </w:rPr>
            </w:pPr>
            <w:r w:rsidRPr="00FE0103">
              <w:rPr>
                <w:b/>
                <w:bCs/>
                <w:color w:val="FFFFFF"/>
                <w:sz w:val="20"/>
                <w:szCs w:val="20"/>
              </w:rPr>
              <w:t>Event</w:t>
            </w:r>
          </w:p>
        </w:tc>
      </w:tr>
      <w:tr w:rsidR="00E7173E" w:rsidRPr="00FE0103" w:rsidTr="00DD4CC7">
        <w:trPr>
          <w:trHeight w:val="648"/>
          <w:jc w:val="center"/>
        </w:trPr>
        <w:tc>
          <w:tcPr>
            <w:tcW w:w="2065" w:type="dxa"/>
            <w:tcBorders>
              <w:top w:val="nil"/>
              <w:left w:val="single" w:sz="4" w:space="0" w:color="448A99"/>
              <w:bottom w:val="single" w:sz="4" w:space="0" w:color="448A99"/>
              <w:right w:val="single" w:sz="4" w:space="0" w:color="448A99"/>
            </w:tcBorders>
            <w:shd w:val="clear" w:color="auto" w:fill="D2EAF1"/>
            <w:vAlign w:val="center"/>
          </w:tcPr>
          <w:p w:rsidR="00DD3B6D" w:rsidRPr="00FE0103" w:rsidRDefault="00DD3B6D" w:rsidP="008C2D5E">
            <w:pPr>
              <w:jc w:val="left"/>
              <w:rPr>
                <w:bCs/>
                <w:color w:val="000000"/>
                <w:sz w:val="20"/>
                <w:szCs w:val="20"/>
              </w:rPr>
            </w:pPr>
            <w:r w:rsidRPr="00FE0103">
              <w:rPr>
                <w:sz w:val="20"/>
                <w:szCs w:val="20"/>
              </w:rPr>
              <w:t>September 19, 2013</w:t>
            </w:r>
          </w:p>
        </w:tc>
        <w:tc>
          <w:tcPr>
            <w:tcW w:w="7290" w:type="dxa"/>
            <w:tcBorders>
              <w:top w:val="nil"/>
              <w:left w:val="nil"/>
              <w:bottom w:val="single" w:sz="4" w:space="0" w:color="448A99"/>
              <w:right w:val="single" w:sz="4" w:space="0" w:color="448A99"/>
            </w:tcBorders>
            <w:shd w:val="clear" w:color="auto" w:fill="D2EAF1"/>
            <w:vAlign w:val="center"/>
          </w:tcPr>
          <w:p w:rsidR="00DD3B6D" w:rsidRPr="00FE0103" w:rsidRDefault="00DD3B6D" w:rsidP="008C2D5E">
            <w:pPr>
              <w:jc w:val="left"/>
              <w:rPr>
                <w:color w:val="000000"/>
                <w:sz w:val="20"/>
                <w:szCs w:val="20"/>
              </w:rPr>
            </w:pPr>
            <w:r w:rsidRPr="00FE0103">
              <w:rPr>
                <w:sz w:val="20"/>
                <w:szCs w:val="20"/>
              </w:rPr>
              <w:t xml:space="preserve">FirstEnergy </w:t>
            </w:r>
            <w:r>
              <w:rPr>
                <w:sz w:val="20"/>
                <w:szCs w:val="20"/>
              </w:rPr>
              <w:t xml:space="preserve">EDCs </w:t>
            </w:r>
            <w:r w:rsidRPr="00FE0103">
              <w:rPr>
                <w:sz w:val="20"/>
                <w:szCs w:val="20"/>
              </w:rPr>
              <w:t>submit first draft of Phase II evaluation plan to the PUC and SWE</w:t>
            </w:r>
          </w:p>
        </w:tc>
      </w:tr>
      <w:tr w:rsidR="00E7173E" w:rsidRPr="00FE0103" w:rsidTr="00DD4CC7">
        <w:trPr>
          <w:trHeight w:val="648"/>
          <w:jc w:val="center"/>
        </w:trPr>
        <w:tc>
          <w:tcPr>
            <w:tcW w:w="2065" w:type="dxa"/>
            <w:tcBorders>
              <w:top w:val="nil"/>
              <w:left w:val="single" w:sz="4" w:space="0" w:color="448A99"/>
              <w:bottom w:val="single" w:sz="4" w:space="0" w:color="448A99"/>
              <w:right w:val="single" w:sz="4" w:space="0" w:color="448A99"/>
            </w:tcBorders>
            <w:shd w:val="clear" w:color="auto" w:fill="auto"/>
            <w:vAlign w:val="center"/>
          </w:tcPr>
          <w:p w:rsidR="00DD3B6D" w:rsidRPr="00FE0103" w:rsidRDefault="00DD3B6D" w:rsidP="008C2D5E">
            <w:pPr>
              <w:jc w:val="left"/>
              <w:rPr>
                <w:bCs/>
                <w:color w:val="000000"/>
                <w:sz w:val="20"/>
                <w:szCs w:val="20"/>
                <w:lang w:eastAsia="zh-CN"/>
              </w:rPr>
            </w:pPr>
            <w:r w:rsidRPr="00FE0103">
              <w:rPr>
                <w:sz w:val="20"/>
                <w:szCs w:val="20"/>
              </w:rPr>
              <w:t>October 15, 2013</w:t>
            </w:r>
          </w:p>
        </w:tc>
        <w:tc>
          <w:tcPr>
            <w:tcW w:w="7290" w:type="dxa"/>
            <w:tcBorders>
              <w:top w:val="nil"/>
              <w:left w:val="nil"/>
              <w:bottom w:val="single" w:sz="4" w:space="0" w:color="448A99"/>
              <w:right w:val="single" w:sz="4" w:space="0" w:color="448A99"/>
            </w:tcBorders>
            <w:shd w:val="clear" w:color="auto" w:fill="auto"/>
            <w:vAlign w:val="center"/>
          </w:tcPr>
          <w:p w:rsidR="00DD3B6D" w:rsidRPr="00FE0103" w:rsidRDefault="00DD3B6D" w:rsidP="008C2D5E">
            <w:pPr>
              <w:jc w:val="left"/>
              <w:rPr>
                <w:color w:val="000000"/>
                <w:sz w:val="20"/>
                <w:szCs w:val="20"/>
              </w:rPr>
            </w:pPr>
            <w:r w:rsidRPr="00FE0103">
              <w:rPr>
                <w:sz w:val="20"/>
                <w:szCs w:val="20"/>
              </w:rPr>
              <w:t>SWE returns comments on the FirstEnergy evaluation plan to F</w:t>
            </w:r>
            <w:r>
              <w:rPr>
                <w:sz w:val="20"/>
                <w:szCs w:val="20"/>
              </w:rPr>
              <w:t>irst</w:t>
            </w:r>
            <w:r w:rsidRPr="00FE0103">
              <w:rPr>
                <w:sz w:val="20"/>
                <w:szCs w:val="20"/>
              </w:rPr>
              <w:t>E</w:t>
            </w:r>
            <w:r>
              <w:rPr>
                <w:sz w:val="20"/>
                <w:szCs w:val="20"/>
              </w:rPr>
              <w:t>nergy</w:t>
            </w:r>
          </w:p>
        </w:tc>
      </w:tr>
      <w:tr w:rsidR="00E7173E" w:rsidRPr="00FE0103" w:rsidTr="00DD4CC7">
        <w:trPr>
          <w:trHeight w:val="648"/>
          <w:jc w:val="center"/>
        </w:trPr>
        <w:tc>
          <w:tcPr>
            <w:tcW w:w="2065" w:type="dxa"/>
            <w:tcBorders>
              <w:top w:val="nil"/>
              <w:left w:val="single" w:sz="4" w:space="0" w:color="448A99"/>
              <w:bottom w:val="single" w:sz="4" w:space="0" w:color="448A99"/>
              <w:right w:val="single" w:sz="4" w:space="0" w:color="448A99"/>
            </w:tcBorders>
            <w:shd w:val="clear" w:color="auto" w:fill="D2EAF1"/>
            <w:vAlign w:val="center"/>
          </w:tcPr>
          <w:p w:rsidR="00DD3B6D" w:rsidRPr="00FE0103" w:rsidRDefault="00DD3B6D" w:rsidP="008C2D5E">
            <w:pPr>
              <w:jc w:val="left"/>
              <w:rPr>
                <w:bCs/>
                <w:color w:val="000000"/>
                <w:sz w:val="20"/>
                <w:szCs w:val="20"/>
                <w:lang w:eastAsia="zh-CN"/>
              </w:rPr>
            </w:pPr>
            <w:r w:rsidRPr="00FE0103">
              <w:rPr>
                <w:sz w:val="20"/>
                <w:szCs w:val="20"/>
              </w:rPr>
              <w:t>November 13, 2013</w:t>
            </w:r>
          </w:p>
        </w:tc>
        <w:tc>
          <w:tcPr>
            <w:tcW w:w="7290" w:type="dxa"/>
            <w:tcBorders>
              <w:top w:val="nil"/>
              <w:left w:val="nil"/>
              <w:bottom w:val="single" w:sz="4" w:space="0" w:color="448A99"/>
              <w:right w:val="single" w:sz="4" w:space="0" w:color="448A99"/>
            </w:tcBorders>
            <w:shd w:val="clear" w:color="auto" w:fill="D2EAF1"/>
            <w:vAlign w:val="center"/>
          </w:tcPr>
          <w:p w:rsidR="00DD3B6D" w:rsidRPr="00FE0103" w:rsidRDefault="00DD3B6D" w:rsidP="008C2D5E">
            <w:pPr>
              <w:jc w:val="left"/>
              <w:rPr>
                <w:color w:val="000000"/>
                <w:sz w:val="20"/>
                <w:szCs w:val="20"/>
              </w:rPr>
            </w:pPr>
            <w:r w:rsidRPr="00FE0103">
              <w:rPr>
                <w:sz w:val="20"/>
                <w:szCs w:val="20"/>
              </w:rPr>
              <w:t>SWE sends a list of “items that be must addressed” to FirstEnergy</w:t>
            </w:r>
            <w:r>
              <w:rPr>
                <w:sz w:val="20"/>
                <w:szCs w:val="20"/>
              </w:rPr>
              <w:t xml:space="preserve"> EDCs</w:t>
            </w:r>
          </w:p>
        </w:tc>
      </w:tr>
      <w:tr w:rsidR="00E7173E" w:rsidRPr="00FE0103" w:rsidTr="00DD4CC7">
        <w:trPr>
          <w:trHeight w:val="648"/>
          <w:jc w:val="center"/>
        </w:trPr>
        <w:tc>
          <w:tcPr>
            <w:tcW w:w="2065" w:type="dxa"/>
            <w:tcBorders>
              <w:top w:val="nil"/>
              <w:left w:val="single" w:sz="4" w:space="0" w:color="448A99"/>
              <w:bottom w:val="single" w:sz="4" w:space="0" w:color="448A99"/>
              <w:right w:val="single" w:sz="4" w:space="0" w:color="448A99"/>
            </w:tcBorders>
            <w:shd w:val="clear" w:color="auto" w:fill="auto"/>
            <w:vAlign w:val="center"/>
          </w:tcPr>
          <w:p w:rsidR="00DD3B6D" w:rsidRPr="00FE0103" w:rsidRDefault="00DD3B6D" w:rsidP="008C2D5E">
            <w:pPr>
              <w:jc w:val="left"/>
              <w:rPr>
                <w:bCs/>
                <w:color w:val="000000"/>
                <w:sz w:val="20"/>
                <w:szCs w:val="20"/>
                <w:lang w:eastAsia="zh-CN"/>
              </w:rPr>
            </w:pPr>
            <w:r w:rsidRPr="00FE0103">
              <w:rPr>
                <w:sz w:val="20"/>
                <w:szCs w:val="20"/>
              </w:rPr>
              <w:t>February 19, 2014</w:t>
            </w:r>
          </w:p>
        </w:tc>
        <w:tc>
          <w:tcPr>
            <w:tcW w:w="7290" w:type="dxa"/>
            <w:tcBorders>
              <w:top w:val="nil"/>
              <w:left w:val="nil"/>
              <w:bottom w:val="single" w:sz="4" w:space="0" w:color="448A99"/>
              <w:right w:val="single" w:sz="4" w:space="0" w:color="448A99"/>
            </w:tcBorders>
            <w:shd w:val="clear" w:color="auto" w:fill="auto"/>
            <w:vAlign w:val="center"/>
          </w:tcPr>
          <w:p w:rsidR="00DD3B6D" w:rsidRPr="00FE0103" w:rsidRDefault="00DD3B6D" w:rsidP="008C2D5E">
            <w:pPr>
              <w:jc w:val="left"/>
              <w:rPr>
                <w:color w:val="000000"/>
                <w:sz w:val="20"/>
                <w:szCs w:val="20"/>
              </w:rPr>
            </w:pPr>
            <w:r w:rsidRPr="00FE0103">
              <w:rPr>
                <w:sz w:val="20"/>
                <w:szCs w:val="20"/>
              </w:rPr>
              <w:t xml:space="preserve">FirstEnergy </w:t>
            </w:r>
            <w:r>
              <w:rPr>
                <w:sz w:val="20"/>
                <w:szCs w:val="20"/>
              </w:rPr>
              <w:t xml:space="preserve">EDCs </w:t>
            </w:r>
            <w:r w:rsidRPr="00FE0103">
              <w:rPr>
                <w:sz w:val="20"/>
                <w:szCs w:val="20"/>
              </w:rPr>
              <w:t>submit revised Phase II evaluation plan to the PUC and SWE</w:t>
            </w:r>
          </w:p>
        </w:tc>
      </w:tr>
      <w:tr w:rsidR="00E7173E" w:rsidRPr="00FE0103" w:rsidTr="00DD4CC7">
        <w:trPr>
          <w:trHeight w:val="648"/>
          <w:jc w:val="center"/>
        </w:trPr>
        <w:tc>
          <w:tcPr>
            <w:tcW w:w="2065" w:type="dxa"/>
            <w:tcBorders>
              <w:top w:val="nil"/>
              <w:left w:val="single" w:sz="4" w:space="0" w:color="448A99"/>
              <w:bottom w:val="single" w:sz="8" w:space="0" w:color="448A99"/>
              <w:right w:val="single" w:sz="4" w:space="0" w:color="448A99"/>
            </w:tcBorders>
            <w:shd w:val="clear" w:color="auto" w:fill="D2EAF1"/>
            <w:vAlign w:val="center"/>
          </w:tcPr>
          <w:p w:rsidR="00DD3B6D" w:rsidRPr="00FE0103" w:rsidRDefault="00DD3B6D" w:rsidP="008C2D5E">
            <w:pPr>
              <w:jc w:val="left"/>
              <w:rPr>
                <w:bCs/>
                <w:color w:val="000000"/>
                <w:sz w:val="20"/>
                <w:szCs w:val="20"/>
              </w:rPr>
            </w:pPr>
            <w:r w:rsidRPr="00FE0103">
              <w:rPr>
                <w:sz w:val="20"/>
                <w:szCs w:val="20"/>
              </w:rPr>
              <w:t>June 1, 2014</w:t>
            </w:r>
          </w:p>
        </w:tc>
        <w:tc>
          <w:tcPr>
            <w:tcW w:w="7290" w:type="dxa"/>
            <w:tcBorders>
              <w:top w:val="nil"/>
              <w:left w:val="nil"/>
              <w:bottom w:val="single" w:sz="8" w:space="0" w:color="448A99"/>
              <w:right w:val="single" w:sz="4" w:space="0" w:color="448A99"/>
            </w:tcBorders>
            <w:shd w:val="clear" w:color="auto" w:fill="D2EAF1"/>
            <w:vAlign w:val="center"/>
          </w:tcPr>
          <w:p w:rsidR="00DD3B6D" w:rsidRPr="00FE0103" w:rsidRDefault="00DD3B6D" w:rsidP="008C2D5E">
            <w:pPr>
              <w:jc w:val="left"/>
              <w:rPr>
                <w:color w:val="000000"/>
                <w:sz w:val="20"/>
                <w:szCs w:val="20"/>
              </w:rPr>
            </w:pPr>
            <w:r w:rsidRPr="00FE0103">
              <w:rPr>
                <w:sz w:val="20"/>
                <w:szCs w:val="20"/>
              </w:rPr>
              <w:t>PY6 starts</w:t>
            </w:r>
          </w:p>
        </w:tc>
      </w:tr>
      <w:tr w:rsidR="00E7173E" w:rsidRPr="00FE0103" w:rsidTr="00DD4CC7">
        <w:trPr>
          <w:trHeight w:val="648"/>
          <w:jc w:val="center"/>
        </w:trPr>
        <w:tc>
          <w:tcPr>
            <w:tcW w:w="2065" w:type="dxa"/>
            <w:tcBorders>
              <w:top w:val="single" w:sz="8" w:space="0" w:color="448A99"/>
              <w:left w:val="single" w:sz="4" w:space="0" w:color="448A99"/>
              <w:bottom w:val="single" w:sz="8" w:space="0" w:color="448A99"/>
              <w:right w:val="single" w:sz="4" w:space="0" w:color="448A99"/>
            </w:tcBorders>
            <w:shd w:val="clear" w:color="auto" w:fill="FFFFFF"/>
            <w:vAlign w:val="center"/>
          </w:tcPr>
          <w:p w:rsidR="00DD3B6D" w:rsidRPr="00FE0103" w:rsidRDefault="00DD3B6D" w:rsidP="008C2D5E">
            <w:pPr>
              <w:jc w:val="left"/>
              <w:rPr>
                <w:sz w:val="20"/>
                <w:szCs w:val="20"/>
              </w:rPr>
            </w:pPr>
            <w:r w:rsidRPr="00FE0103">
              <w:rPr>
                <w:sz w:val="20"/>
                <w:szCs w:val="20"/>
              </w:rPr>
              <w:t>December 17, 2014</w:t>
            </w:r>
          </w:p>
        </w:tc>
        <w:tc>
          <w:tcPr>
            <w:tcW w:w="7290" w:type="dxa"/>
            <w:tcBorders>
              <w:top w:val="single" w:sz="8" w:space="0" w:color="448A99"/>
              <w:left w:val="nil"/>
              <w:bottom w:val="single" w:sz="8" w:space="0" w:color="448A99"/>
              <w:right w:val="single" w:sz="4" w:space="0" w:color="448A99"/>
            </w:tcBorders>
            <w:shd w:val="clear" w:color="auto" w:fill="FFFFFF"/>
            <w:vAlign w:val="center"/>
          </w:tcPr>
          <w:p w:rsidR="00DD3B6D" w:rsidRPr="00FE0103" w:rsidRDefault="00DD3B6D" w:rsidP="008C2D5E">
            <w:pPr>
              <w:jc w:val="left"/>
              <w:rPr>
                <w:sz w:val="20"/>
                <w:szCs w:val="20"/>
              </w:rPr>
            </w:pPr>
            <w:r w:rsidRPr="00FE0103">
              <w:rPr>
                <w:sz w:val="20"/>
                <w:szCs w:val="20"/>
              </w:rPr>
              <w:t xml:space="preserve">FirstEnergy </w:t>
            </w:r>
            <w:r>
              <w:rPr>
                <w:sz w:val="20"/>
                <w:szCs w:val="20"/>
              </w:rPr>
              <w:t>EDCs</w:t>
            </w:r>
            <w:r w:rsidRPr="00FE0103">
              <w:rPr>
                <w:sz w:val="20"/>
                <w:szCs w:val="20"/>
              </w:rPr>
              <w:t xml:space="preserve"> provide email with additional information on the approach used by ADM for the PY6 evaluation of Met-Ed’s Appliance Turn-In Program</w:t>
            </w:r>
          </w:p>
        </w:tc>
      </w:tr>
      <w:tr w:rsidR="00E7173E" w:rsidRPr="00FE0103" w:rsidTr="00DD4CC7">
        <w:trPr>
          <w:trHeight w:val="648"/>
          <w:jc w:val="center"/>
        </w:trPr>
        <w:tc>
          <w:tcPr>
            <w:tcW w:w="2065" w:type="dxa"/>
            <w:tcBorders>
              <w:top w:val="single" w:sz="8" w:space="0" w:color="448A99"/>
              <w:left w:val="single" w:sz="4" w:space="0" w:color="448A99"/>
              <w:bottom w:val="single" w:sz="4" w:space="0" w:color="448A99"/>
              <w:right w:val="single" w:sz="4" w:space="0" w:color="448A99"/>
            </w:tcBorders>
            <w:shd w:val="clear" w:color="auto" w:fill="D2EAF1"/>
            <w:vAlign w:val="center"/>
          </w:tcPr>
          <w:p w:rsidR="00DD3B6D" w:rsidRPr="00FE0103" w:rsidRDefault="00DD3B6D" w:rsidP="008C2D5E">
            <w:pPr>
              <w:jc w:val="left"/>
              <w:rPr>
                <w:sz w:val="20"/>
                <w:szCs w:val="20"/>
              </w:rPr>
            </w:pPr>
            <w:r w:rsidRPr="00FE0103">
              <w:rPr>
                <w:sz w:val="20"/>
                <w:szCs w:val="20"/>
              </w:rPr>
              <w:t>January 5, 2015</w:t>
            </w:r>
          </w:p>
        </w:tc>
        <w:tc>
          <w:tcPr>
            <w:tcW w:w="7290" w:type="dxa"/>
            <w:tcBorders>
              <w:top w:val="single" w:sz="8" w:space="0" w:color="448A99"/>
              <w:left w:val="nil"/>
              <w:bottom w:val="single" w:sz="4" w:space="0" w:color="448A99"/>
              <w:right w:val="single" w:sz="4" w:space="0" w:color="448A99"/>
            </w:tcBorders>
            <w:shd w:val="clear" w:color="auto" w:fill="D2EAF1"/>
            <w:vAlign w:val="center"/>
          </w:tcPr>
          <w:p w:rsidR="00DD3B6D" w:rsidRPr="00FE0103" w:rsidRDefault="00DD3B6D" w:rsidP="008C2D5E">
            <w:pPr>
              <w:jc w:val="left"/>
              <w:rPr>
                <w:sz w:val="20"/>
                <w:szCs w:val="20"/>
              </w:rPr>
            </w:pPr>
            <w:r w:rsidRPr="00FE0103">
              <w:rPr>
                <w:sz w:val="20"/>
                <w:szCs w:val="20"/>
              </w:rPr>
              <w:t xml:space="preserve">FirstEnergy </w:t>
            </w:r>
            <w:r>
              <w:rPr>
                <w:sz w:val="20"/>
                <w:szCs w:val="20"/>
              </w:rPr>
              <w:t>EDCs</w:t>
            </w:r>
            <w:r w:rsidRPr="00FE0103">
              <w:rPr>
                <w:sz w:val="20"/>
                <w:szCs w:val="20"/>
              </w:rPr>
              <w:t xml:space="preserve"> send email to SWE with clarification of sampling approach for the evaluations of the residential low-income program components (direct-install, giveaway, and </w:t>
            </w:r>
            <w:r>
              <w:rPr>
                <w:sz w:val="20"/>
                <w:szCs w:val="20"/>
              </w:rPr>
              <w:t>l</w:t>
            </w:r>
            <w:r w:rsidRPr="00FE0103">
              <w:rPr>
                <w:sz w:val="20"/>
                <w:szCs w:val="20"/>
              </w:rPr>
              <w:t xml:space="preserve">ow </w:t>
            </w:r>
            <w:r>
              <w:rPr>
                <w:sz w:val="20"/>
                <w:szCs w:val="20"/>
              </w:rPr>
              <w:t>i</w:t>
            </w:r>
            <w:r w:rsidRPr="00FE0103">
              <w:rPr>
                <w:sz w:val="20"/>
                <w:szCs w:val="20"/>
              </w:rPr>
              <w:t xml:space="preserve">ncome </w:t>
            </w:r>
            <w:r>
              <w:rPr>
                <w:sz w:val="20"/>
                <w:szCs w:val="20"/>
              </w:rPr>
              <w:t>l</w:t>
            </w:r>
            <w:r w:rsidRPr="00FE0103">
              <w:rPr>
                <w:sz w:val="20"/>
                <w:szCs w:val="20"/>
              </w:rPr>
              <w:t xml:space="preserve">ow </w:t>
            </w:r>
            <w:r>
              <w:rPr>
                <w:sz w:val="20"/>
                <w:szCs w:val="20"/>
              </w:rPr>
              <w:t>u</w:t>
            </w:r>
            <w:r w:rsidRPr="00FE0103">
              <w:rPr>
                <w:sz w:val="20"/>
                <w:szCs w:val="20"/>
              </w:rPr>
              <w:t>se kit component</w:t>
            </w:r>
            <w:r>
              <w:rPr>
                <w:sz w:val="20"/>
                <w:szCs w:val="20"/>
              </w:rPr>
              <w:t>s</w:t>
            </w:r>
            <w:r w:rsidRPr="00FE0103">
              <w:rPr>
                <w:sz w:val="20"/>
                <w:szCs w:val="20"/>
              </w:rPr>
              <w:t>)</w:t>
            </w:r>
          </w:p>
        </w:tc>
      </w:tr>
    </w:tbl>
    <w:p w:rsidR="00DD3B6D" w:rsidRPr="00FB6015" w:rsidRDefault="00DD3B6D" w:rsidP="00DD3B6D"/>
    <w:p w:rsidR="00DD3B6D" w:rsidRPr="00FB6015" w:rsidRDefault="00DD3B6D" w:rsidP="00DD3B6D">
      <w:pPr>
        <w:spacing w:after="120"/>
      </w:pPr>
      <w:r w:rsidRPr="00FB6015">
        <w:t xml:space="preserve">The initial EM&amp;V Plan for all FirstEnergy companies, submitted on September 19, 2013, detailed proposed evaluation objectives and activities for nine programs across two sectors. Key evaluation issues, impact evaluation details, process evaluation details, sampling plans, and key contacts were presented for each of the nine programs. After reviewing the plan, the SWE Team returned 34 comments on October 15, 2013. Many of the SWE Team’s comments demonstrated the SWE Team’s agreement with details of the </w:t>
      </w:r>
      <w:r w:rsidRPr="00126D81">
        <w:t>FirstEnergy EDCs’</w:t>
      </w:r>
      <w:r w:rsidRPr="00FB6015">
        <w:t xml:space="preserve"> plan. Most of the remaining comments concerned report formatting and minor clarifications that did not propose changes to the plan; substantive recommendations for revisions to the plan arose in only two areas:</w:t>
      </w:r>
    </w:p>
    <w:p w:rsidR="00DD3B6D" w:rsidRPr="008A5E9E" w:rsidRDefault="00DD3B6D" w:rsidP="00E646C9">
      <w:pPr>
        <w:numPr>
          <w:ilvl w:val="0"/>
          <w:numId w:val="72"/>
        </w:numPr>
        <w:spacing w:after="120"/>
        <w:ind w:left="360"/>
        <w:rPr>
          <w:color w:val="000000"/>
          <w:szCs w:val="20"/>
        </w:rPr>
      </w:pPr>
      <w:r w:rsidRPr="008A5E9E">
        <w:rPr>
          <w:color w:val="000000"/>
          <w:szCs w:val="20"/>
        </w:rPr>
        <w:t>Frequency of EDC data gathering in partially deemed measures</w:t>
      </w:r>
    </w:p>
    <w:p w:rsidR="00DD3B6D" w:rsidRPr="008A5E9E" w:rsidRDefault="00DD3B6D" w:rsidP="00E646C9">
      <w:pPr>
        <w:numPr>
          <w:ilvl w:val="0"/>
          <w:numId w:val="72"/>
        </w:numPr>
        <w:ind w:left="360"/>
        <w:rPr>
          <w:color w:val="000000"/>
          <w:szCs w:val="20"/>
        </w:rPr>
      </w:pPr>
      <w:r w:rsidRPr="008A5E9E">
        <w:rPr>
          <w:color w:val="000000"/>
          <w:szCs w:val="20"/>
        </w:rPr>
        <w:t>Definition of high-impact measures in C/I programs</w:t>
      </w:r>
    </w:p>
    <w:p w:rsidR="00DD3B6D" w:rsidRPr="008A5E9E" w:rsidRDefault="00DD3B6D" w:rsidP="00DD3B6D">
      <w:pPr>
        <w:rPr>
          <w:color w:val="000000"/>
        </w:rPr>
      </w:pPr>
    </w:p>
    <w:p w:rsidR="00DD3B6D" w:rsidRPr="00324478" w:rsidRDefault="00DD3B6D" w:rsidP="00DD3B6D">
      <w:r w:rsidRPr="008A5E9E">
        <w:rPr>
          <w:color w:val="000000"/>
        </w:rPr>
        <w:t xml:space="preserve">FirstEnergy EDCs provided revisions to the plan on February 19, 2014, and the SWE Team approved the revised version as the final Phase II EM&amp;V Plan. The SWE Team’s review of the evaluation activities revealed that the plan was followed appropriately for all PY6 </w:t>
      </w:r>
      <w:r>
        <w:rPr>
          <w:color w:val="000000"/>
        </w:rPr>
        <w:t xml:space="preserve">and PY7 </w:t>
      </w:r>
      <w:r w:rsidRPr="008A5E9E">
        <w:rPr>
          <w:color w:val="000000"/>
        </w:rPr>
        <w:t>EM&amp;V activities.</w:t>
      </w:r>
    </w:p>
    <w:p w:rsidR="00DD4CC7" w:rsidRPr="00FB6015" w:rsidRDefault="00DD4CC7" w:rsidP="00DD3B6D"/>
    <w:p w:rsidR="00950837" w:rsidRDefault="00950837" w:rsidP="00D34B3E">
      <w:pPr>
        <w:pStyle w:val="AppendixAHeading3"/>
      </w:pPr>
      <w:r>
        <w:t>Measurement and Verification Activities and Findings</w:t>
      </w:r>
    </w:p>
    <w:p w:rsidR="00EE3A4B" w:rsidRDefault="00EE3A4B" w:rsidP="00EE3A4B">
      <w:r w:rsidRPr="00EE3A4B">
        <w:t xml:space="preserve">Realization rates compare gross savings reported by the EDC </w:t>
      </w:r>
      <w:r w:rsidR="00AF2C58">
        <w:t>with</w:t>
      </w:r>
      <w:r w:rsidRPr="00EE3A4B">
        <w:t xml:space="preserve"> the verified gross savings determined by the EDC evaluation contractor through M&amp;V.</w:t>
      </w:r>
      <w:r>
        <w:t xml:space="preserve"> </w:t>
      </w:r>
      <w:r>
        <w:fldChar w:fldCharType="begin"/>
      </w:r>
      <w:r>
        <w:instrText xml:space="preserve"> REF _Ref472463588 \h </w:instrText>
      </w:r>
      <w:r>
        <w:fldChar w:fldCharType="separate"/>
      </w:r>
      <w:r w:rsidR="00C301D0">
        <w:t>Table A-</w:t>
      </w:r>
      <w:r w:rsidR="00C301D0">
        <w:rPr>
          <w:noProof/>
        </w:rPr>
        <w:t>33</w:t>
      </w:r>
      <w:r>
        <w:fldChar w:fldCharType="end"/>
      </w:r>
      <w:r w:rsidRPr="00EE3A4B">
        <w:t xml:space="preserve"> summarizes M&amp;V findings based on activities conducted by the Met-Ed evaluation contractor. The summary is based on details provided in Met-Ed’s PY6 annual report and on information obtained from the SWE Team’s data requests and audits. </w:t>
      </w:r>
      <w:r>
        <w:fldChar w:fldCharType="begin"/>
      </w:r>
      <w:r>
        <w:instrText xml:space="preserve"> REF _Ref472463588 \h </w:instrText>
      </w:r>
      <w:r>
        <w:fldChar w:fldCharType="separate"/>
      </w:r>
      <w:r w:rsidR="00C301D0">
        <w:t>Table A-</w:t>
      </w:r>
      <w:r w:rsidR="00C301D0">
        <w:rPr>
          <w:noProof/>
        </w:rPr>
        <w:t>33</w:t>
      </w:r>
      <w:r>
        <w:fldChar w:fldCharType="end"/>
      </w:r>
      <w:r>
        <w:t xml:space="preserve"> </w:t>
      </w:r>
      <w:r w:rsidRPr="00EE3A4B">
        <w:t>presents realization rates and relative precision values for verified energy and demand savings for each of Met-Ed’s residential and non-residential energy efficiency programs in PY</w:t>
      </w:r>
      <w:r w:rsidR="00891F4B">
        <w:t>7</w:t>
      </w:r>
      <w:r w:rsidRPr="00EE3A4B">
        <w:t xml:space="preserve">. </w:t>
      </w:r>
    </w:p>
    <w:p w:rsidR="00D9014E" w:rsidRDefault="00D9014E" w:rsidP="00EE3A4B"/>
    <w:p w:rsidR="00EE3A4B" w:rsidRPr="00EE3A4B" w:rsidRDefault="00EE3A4B" w:rsidP="00EE3A4B">
      <w:pPr>
        <w:pStyle w:val="Caption"/>
      </w:pPr>
      <w:bookmarkStart w:id="673" w:name="_Ref472463588"/>
      <w:bookmarkStart w:id="674" w:name="_Toc409225043"/>
      <w:bookmarkStart w:id="675" w:name="_Toc409443595"/>
      <w:bookmarkStart w:id="676" w:name="_Toc445206204"/>
      <w:bookmarkStart w:id="677" w:name="_Toc472472442"/>
      <w:bookmarkStart w:id="678" w:name="_Toc476842148"/>
      <w:r>
        <w:t>Table A-</w:t>
      </w:r>
      <w:fldSimple w:instr=" SEQ Table_A- \* ARABIC ">
        <w:r w:rsidR="00C301D0">
          <w:rPr>
            <w:noProof/>
          </w:rPr>
          <w:t>33</w:t>
        </w:r>
      </w:fldSimple>
      <w:bookmarkEnd w:id="673"/>
      <w:r>
        <w:t xml:space="preserve">: </w:t>
      </w:r>
      <w:r w:rsidRPr="00EE3A4B">
        <w:t>Met-Ed Energy Efficiency Programs – Realization Rates for Energy and Demand Savings</w:t>
      </w:r>
      <w:bookmarkEnd w:id="674"/>
      <w:bookmarkEnd w:id="675"/>
      <w:r w:rsidRPr="00EE3A4B">
        <w:t xml:space="preserve"> in PY</w:t>
      </w:r>
      <w:r>
        <w:t>7</w:t>
      </w:r>
      <w:bookmarkEnd w:id="676"/>
      <w:bookmarkEnd w:id="677"/>
      <w:bookmarkEnd w:id="678"/>
    </w:p>
    <w:tbl>
      <w:tblPr>
        <w:tblW w:w="0" w:type="auto"/>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172"/>
        <w:gridCol w:w="1547"/>
        <w:gridCol w:w="1547"/>
        <w:gridCol w:w="1547"/>
        <w:gridCol w:w="1547"/>
      </w:tblGrid>
      <w:tr w:rsidR="00A874AC" w:rsidRPr="00EE3A4B" w:rsidTr="005C3E63">
        <w:trPr>
          <w:trHeight w:val="836"/>
          <w:tblHeader/>
        </w:trPr>
        <w:tc>
          <w:tcPr>
            <w:tcW w:w="3172" w:type="dxa"/>
            <w:tcBorders>
              <w:top w:val="single" w:sz="4" w:space="0" w:color="448A99"/>
              <w:left w:val="single" w:sz="4" w:space="0" w:color="448A99"/>
              <w:bottom w:val="single" w:sz="4" w:space="0" w:color="448A99"/>
              <w:right w:val="single" w:sz="4" w:space="0" w:color="448A99"/>
            </w:tcBorders>
            <w:shd w:val="clear" w:color="auto" w:fill="448A99"/>
            <w:noWrap/>
            <w:vAlign w:val="bottom"/>
            <w:hideMark/>
          </w:tcPr>
          <w:p w:rsidR="00EE3A4B" w:rsidRPr="00EE3A4B" w:rsidRDefault="00EE3A4B" w:rsidP="00EE3A4B">
            <w:pPr>
              <w:rPr>
                <w:rFonts w:eastAsia="Calibri"/>
                <w:b/>
                <w:color w:val="FFFFFF"/>
                <w:sz w:val="20"/>
                <w:szCs w:val="20"/>
              </w:rPr>
            </w:pPr>
            <w:r w:rsidRPr="00EE3A4B">
              <w:rPr>
                <w:rFonts w:eastAsia="Calibri"/>
                <w:b/>
                <w:color w:val="FFFFFF"/>
                <w:sz w:val="20"/>
                <w:szCs w:val="20"/>
              </w:rPr>
              <w:t>Program</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EE3A4B" w:rsidRPr="00EE3A4B" w:rsidRDefault="00EE3A4B" w:rsidP="00EE3A4B">
            <w:pPr>
              <w:jc w:val="center"/>
              <w:rPr>
                <w:rFonts w:eastAsia="Calibri"/>
                <w:b/>
                <w:color w:val="FFFFFF"/>
                <w:sz w:val="20"/>
                <w:szCs w:val="20"/>
              </w:rPr>
            </w:pPr>
            <w:r w:rsidRPr="00EE3A4B">
              <w:rPr>
                <w:rFonts w:eastAsia="Calibri"/>
                <w:b/>
                <w:color w:val="FFFFFF"/>
                <w:sz w:val="20"/>
                <w:szCs w:val="20"/>
              </w:rPr>
              <w:t>Energy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EE3A4B" w:rsidRPr="00EE3A4B" w:rsidRDefault="00EE3A4B" w:rsidP="00EE3A4B">
            <w:pPr>
              <w:jc w:val="center"/>
              <w:rPr>
                <w:rFonts w:eastAsia="Calibri"/>
                <w:b/>
                <w:color w:val="FFFFFF"/>
                <w:sz w:val="20"/>
                <w:szCs w:val="20"/>
              </w:rPr>
            </w:pPr>
            <w:r w:rsidRPr="00EE3A4B">
              <w:rPr>
                <w:rFonts w:eastAsia="Calibri"/>
                <w:b/>
                <w:color w:val="FFFFFF"/>
                <w:sz w:val="20"/>
                <w:szCs w:val="20"/>
              </w:rPr>
              <w:t>Relative Precision (Energy)</w:t>
            </w:r>
            <w:r w:rsidRPr="00EE3A4B">
              <w:rPr>
                <w:rFonts w:eastAsia="Calibri"/>
                <w:b/>
                <w:color w:val="FFFFFF"/>
                <w:sz w:val="20"/>
                <w:szCs w:val="20"/>
                <w:vertAlign w:val="superscript"/>
              </w:rPr>
              <w:t>[a]</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EE3A4B" w:rsidRPr="00EE3A4B" w:rsidRDefault="00EE3A4B" w:rsidP="00EE3A4B">
            <w:pPr>
              <w:jc w:val="center"/>
              <w:rPr>
                <w:rFonts w:eastAsia="Calibri"/>
                <w:b/>
                <w:color w:val="FFFFFF"/>
                <w:sz w:val="20"/>
                <w:szCs w:val="20"/>
              </w:rPr>
            </w:pPr>
            <w:r w:rsidRPr="00EE3A4B">
              <w:rPr>
                <w:rFonts w:eastAsia="Calibri"/>
                <w:b/>
                <w:color w:val="FFFFFF"/>
                <w:sz w:val="20"/>
                <w:szCs w:val="20"/>
              </w:rPr>
              <w:t>Demand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EE3A4B" w:rsidRPr="00EE3A4B" w:rsidRDefault="00EE3A4B" w:rsidP="00EE3A4B">
            <w:pPr>
              <w:jc w:val="center"/>
              <w:rPr>
                <w:rFonts w:eastAsia="Calibri"/>
                <w:b/>
                <w:color w:val="FFFFFF"/>
                <w:sz w:val="20"/>
                <w:szCs w:val="20"/>
              </w:rPr>
            </w:pPr>
            <w:r w:rsidRPr="00EE3A4B">
              <w:rPr>
                <w:rFonts w:eastAsia="Calibri"/>
                <w:b/>
                <w:color w:val="FFFFFF"/>
                <w:sz w:val="20"/>
                <w:szCs w:val="20"/>
              </w:rPr>
              <w:t>Relative Precision (Demand)</w:t>
            </w:r>
            <w:r w:rsidRPr="00EE3A4B">
              <w:rPr>
                <w:rFonts w:eastAsia="Calibri"/>
                <w:b/>
                <w:color w:val="FFFFFF"/>
                <w:sz w:val="20"/>
                <w:szCs w:val="20"/>
                <w:vertAlign w:val="superscript"/>
              </w:rPr>
              <w:t>[a]</w:t>
            </w:r>
          </w:p>
        </w:tc>
      </w:tr>
      <w:tr w:rsidR="00A874AC" w:rsidRPr="00EE3A4B" w:rsidTr="005C3E63">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left"/>
              <w:rPr>
                <w:rFonts w:eastAsia="Calibri"/>
                <w:sz w:val="20"/>
                <w:szCs w:val="20"/>
              </w:rPr>
            </w:pPr>
            <w:r w:rsidRPr="00EE3A4B">
              <w:rPr>
                <w:rFonts w:eastAsia="Calibri"/>
                <w:sz w:val="20"/>
                <w:szCs w:val="20"/>
              </w:rPr>
              <w:t>Appliance Turn-In</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109.4</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8</w:t>
            </w:r>
            <w:r w:rsidR="00891F4B">
              <w:rPr>
                <w:rFonts w:eastAsia="Calibri"/>
                <w:sz w:val="20"/>
                <w:szCs w:val="20"/>
              </w:rPr>
              <w:t>.0</w:t>
            </w:r>
            <w:r>
              <w:rPr>
                <w:rFonts w:eastAsia="Calibri"/>
                <w:sz w:val="20"/>
                <w:szCs w:val="20"/>
              </w:rPr>
              <w:t>0</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107.9</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7.3</w:t>
            </w:r>
            <w:r w:rsidRPr="00EE3A4B">
              <w:rPr>
                <w:rFonts w:eastAsia="Calibri"/>
                <w:sz w:val="20"/>
                <w:szCs w:val="20"/>
              </w:rPr>
              <w:t>%</w:t>
            </w:r>
          </w:p>
        </w:tc>
      </w:tr>
      <w:tr w:rsidR="00E7173E" w:rsidRPr="00EE3A4B" w:rsidTr="005C3E63">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left"/>
              <w:rPr>
                <w:rFonts w:eastAsia="Calibri"/>
                <w:sz w:val="20"/>
                <w:szCs w:val="20"/>
              </w:rPr>
            </w:pPr>
            <w:r w:rsidRPr="00EE3A4B">
              <w:rPr>
                <w:rFonts w:eastAsia="Calibri"/>
                <w:sz w:val="20"/>
                <w:szCs w:val="20"/>
              </w:rPr>
              <w:t>Efficient Products</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137.0</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sidRPr="00EE3A4B">
              <w:rPr>
                <w:rFonts w:eastAsia="Calibri"/>
                <w:sz w:val="20"/>
                <w:szCs w:val="20"/>
              </w:rPr>
              <w:t>1</w:t>
            </w:r>
            <w:r>
              <w:rPr>
                <w:rFonts w:eastAsia="Calibri"/>
                <w:sz w:val="20"/>
                <w:szCs w:val="20"/>
              </w:rPr>
              <w:t>.8</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110.3</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sidRPr="00EE3A4B">
              <w:rPr>
                <w:rFonts w:eastAsia="Calibri"/>
                <w:sz w:val="20"/>
                <w:szCs w:val="20"/>
              </w:rPr>
              <w:t>3</w:t>
            </w:r>
            <w:r>
              <w:rPr>
                <w:rFonts w:eastAsia="Calibri"/>
                <w:sz w:val="20"/>
                <w:szCs w:val="20"/>
              </w:rPr>
              <w:t>.6</w:t>
            </w:r>
            <w:r w:rsidRPr="00EE3A4B">
              <w:rPr>
                <w:rFonts w:eastAsia="Calibri"/>
                <w:sz w:val="20"/>
                <w:szCs w:val="20"/>
              </w:rPr>
              <w:t>%</w:t>
            </w:r>
          </w:p>
        </w:tc>
      </w:tr>
      <w:tr w:rsidR="00A874AC" w:rsidRPr="00EE3A4B" w:rsidTr="005C3E63">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left"/>
              <w:rPr>
                <w:rFonts w:eastAsia="Calibri"/>
                <w:sz w:val="20"/>
                <w:szCs w:val="20"/>
              </w:rPr>
            </w:pPr>
            <w:r w:rsidRPr="00EE3A4B">
              <w:rPr>
                <w:rFonts w:eastAsia="Calibri"/>
                <w:sz w:val="20"/>
                <w:szCs w:val="20"/>
              </w:rPr>
              <w:t>Home Performance</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93.3</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3.4</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78.1</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3.4</w:t>
            </w:r>
            <w:r w:rsidRPr="00EE3A4B">
              <w:rPr>
                <w:rFonts w:eastAsia="Calibri"/>
                <w:sz w:val="20"/>
                <w:szCs w:val="20"/>
              </w:rPr>
              <w:t>%</w:t>
            </w:r>
          </w:p>
        </w:tc>
      </w:tr>
      <w:tr w:rsidR="00E7173E" w:rsidRPr="00EE3A4B" w:rsidTr="005C3E63">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left"/>
              <w:rPr>
                <w:rFonts w:eastAsia="Calibri"/>
                <w:sz w:val="20"/>
                <w:szCs w:val="20"/>
              </w:rPr>
            </w:pPr>
            <w:r w:rsidRPr="00EE3A4B">
              <w:rPr>
                <w:rFonts w:eastAsia="Calibri"/>
                <w:sz w:val="20"/>
                <w:szCs w:val="20"/>
              </w:rPr>
              <w:t>Low-Income</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105</w:t>
            </w:r>
            <w:r w:rsidRPr="00EE3A4B">
              <w:rPr>
                <w:rFonts w:eastAsia="Calibri"/>
                <w:sz w:val="20"/>
                <w:szCs w:val="20"/>
              </w:rPr>
              <w:t>.</w:t>
            </w:r>
            <w:r>
              <w:rPr>
                <w:rFonts w:eastAsia="Calibri"/>
                <w:sz w:val="20"/>
                <w:szCs w:val="20"/>
              </w:rPr>
              <w:t>5</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9.0</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113.0</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8.9</w:t>
            </w:r>
            <w:r w:rsidRPr="00EE3A4B">
              <w:rPr>
                <w:rFonts w:eastAsia="Calibri"/>
                <w:sz w:val="20"/>
                <w:szCs w:val="20"/>
              </w:rPr>
              <w:t>%</w:t>
            </w:r>
          </w:p>
        </w:tc>
      </w:tr>
      <w:tr w:rsidR="00A874AC" w:rsidRPr="00EE3A4B" w:rsidTr="005C3E63">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left"/>
              <w:rPr>
                <w:rFonts w:eastAsia="Calibri"/>
                <w:sz w:val="20"/>
                <w:szCs w:val="20"/>
              </w:rPr>
            </w:pPr>
            <w:r w:rsidRPr="00EE3A4B">
              <w:rPr>
                <w:rFonts w:eastAsia="Calibri"/>
                <w:sz w:val="20"/>
                <w:szCs w:val="20"/>
              </w:rPr>
              <w:t>Small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88.6</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12.3</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109.9</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12.6</w:t>
            </w:r>
            <w:r w:rsidRPr="00EE3A4B">
              <w:rPr>
                <w:rFonts w:eastAsia="Calibri"/>
                <w:sz w:val="20"/>
                <w:szCs w:val="20"/>
              </w:rPr>
              <w:t>%</w:t>
            </w:r>
          </w:p>
        </w:tc>
      </w:tr>
      <w:tr w:rsidR="00E7173E" w:rsidRPr="00EE3A4B" w:rsidTr="005C3E63">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left"/>
              <w:rPr>
                <w:rFonts w:eastAsia="Calibri"/>
                <w:sz w:val="20"/>
                <w:szCs w:val="20"/>
              </w:rPr>
            </w:pPr>
            <w:r w:rsidRPr="00EE3A4B">
              <w:rPr>
                <w:rFonts w:eastAsia="Calibri"/>
                <w:sz w:val="20"/>
                <w:szCs w:val="20"/>
              </w:rPr>
              <w:t>Small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85.4</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13.7</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80.7</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13.2</w:t>
            </w:r>
            <w:r w:rsidRPr="00EE3A4B">
              <w:rPr>
                <w:rFonts w:eastAsia="Calibri"/>
                <w:sz w:val="20"/>
                <w:szCs w:val="20"/>
              </w:rPr>
              <w:t>%</w:t>
            </w:r>
          </w:p>
        </w:tc>
      </w:tr>
      <w:tr w:rsidR="00A874AC" w:rsidRPr="00EE3A4B" w:rsidTr="005C3E63">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left"/>
              <w:rPr>
                <w:rFonts w:eastAsia="Calibri"/>
                <w:sz w:val="20"/>
                <w:szCs w:val="20"/>
              </w:rPr>
            </w:pPr>
            <w:r w:rsidRPr="00EE3A4B">
              <w:rPr>
                <w:rFonts w:eastAsia="Calibri"/>
                <w:sz w:val="20"/>
                <w:szCs w:val="20"/>
              </w:rPr>
              <w:t>Large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105.6</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11.4</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104.0%</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12.0</w:t>
            </w:r>
            <w:r w:rsidRPr="00EE3A4B">
              <w:rPr>
                <w:rFonts w:eastAsia="Calibri"/>
                <w:sz w:val="20"/>
                <w:szCs w:val="20"/>
              </w:rPr>
              <w:t>%</w:t>
            </w:r>
          </w:p>
        </w:tc>
      </w:tr>
      <w:tr w:rsidR="00E7173E" w:rsidRPr="00EE3A4B" w:rsidTr="005C3E63">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left"/>
              <w:rPr>
                <w:rFonts w:eastAsia="Calibri"/>
                <w:sz w:val="20"/>
                <w:szCs w:val="20"/>
              </w:rPr>
            </w:pPr>
            <w:r w:rsidRPr="00EE3A4B">
              <w:rPr>
                <w:rFonts w:eastAsia="Calibri"/>
                <w:sz w:val="20"/>
                <w:szCs w:val="20"/>
              </w:rPr>
              <w:t>Large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98.1</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10.5</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86.2</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EE3A4B" w:rsidRPr="00EE3A4B" w:rsidRDefault="00EE3A4B" w:rsidP="00EE3A4B">
            <w:pPr>
              <w:jc w:val="center"/>
              <w:rPr>
                <w:rFonts w:eastAsia="Calibri"/>
                <w:sz w:val="20"/>
                <w:szCs w:val="20"/>
              </w:rPr>
            </w:pPr>
            <w:r>
              <w:rPr>
                <w:rFonts w:eastAsia="Calibri"/>
                <w:sz w:val="20"/>
                <w:szCs w:val="20"/>
              </w:rPr>
              <w:t>13.4</w:t>
            </w:r>
            <w:r w:rsidRPr="00EE3A4B">
              <w:rPr>
                <w:rFonts w:eastAsia="Calibri"/>
                <w:sz w:val="20"/>
                <w:szCs w:val="20"/>
              </w:rPr>
              <w:t>%</w:t>
            </w:r>
          </w:p>
        </w:tc>
      </w:tr>
      <w:tr w:rsidR="00A874AC" w:rsidRPr="00EE3A4B" w:rsidTr="005C3E63">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left"/>
              <w:rPr>
                <w:rFonts w:eastAsia="Calibri"/>
                <w:sz w:val="20"/>
                <w:szCs w:val="20"/>
              </w:rPr>
            </w:pPr>
            <w:r w:rsidRPr="00EE3A4B">
              <w:rPr>
                <w:rFonts w:eastAsia="Calibri"/>
                <w:sz w:val="20"/>
                <w:szCs w:val="20"/>
              </w:rPr>
              <w:t>Government/Institutional</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59.2</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11.1</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27.1</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EE3A4B" w:rsidRPr="00EE3A4B" w:rsidRDefault="00EE3A4B" w:rsidP="00EE3A4B">
            <w:pPr>
              <w:jc w:val="center"/>
              <w:rPr>
                <w:rFonts w:eastAsia="Calibri"/>
                <w:sz w:val="20"/>
                <w:szCs w:val="20"/>
              </w:rPr>
            </w:pPr>
            <w:r>
              <w:rPr>
                <w:rFonts w:eastAsia="Calibri"/>
                <w:sz w:val="20"/>
                <w:szCs w:val="20"/>
              </w:rPr>
              <w:t>11.3</w:t>
            </w:r>
            <w:r w:rsidRPr="00EE3A4B">
              <w:rPr>
                <w:rFonts w:eastAsia="Calibri"/>
                <w:sz w:val="20"/>
                <w:szCs w:val="20"/>
              </w:rPr>
              <w:t>%</w:t>
            </w:r>
          </w:p>
        </w:tc>
      </w:tr>
      <w:tr w:rsidR="00E7173E" w:rsidRPr="00EE3A4B" w:rsidTr="005C3E63">
        <w:trPr>
          <w:trHeight w:val="300"/>
        </w:trPr>
        <w:tc>
          <w:tcPr>
            <w:tcW w:w="9360" w:type="dxa"/>
            <w:gridSpan w:val="5"/>
            <w:tcBorders>
              <w:top w:val="single" w:sz="4" w:space="0" w:color="448A99"/>
              <w:left w:val="single" w:sz="4" w:space="0" w:color="448A99"/>
              <w:bottom w:val="single" w:sz="4" w:space="0" w:color="448A99"/>
              <w:right w:val="single" w:sz="4" w:space="0" w:color="448A99"/>
            </w:tcBorders>
            <w:shd w:val="clear" w:color="auto" w:fill="448A99"/>
            <w:noWrap/>
            <w:vAlign w:val="center"/>
          </w:tcPr>
          <w:p w:rsidR="00EE3A4B" w:rsidRPr="00EE3A4B" w:rsidRDefault="006142E6" w:rsidP="00EE3A4B">
            <w:pPr>
              <w:rPr>
                <w:rFonts w:eastAsia="Calibri"/>
                <w:color w:val="FFFFFF"/>
                <w:sz w:val="18"/>
                <w:szCs w:val="18"/>
              </w:rPr>
            </w:pPr>
            <w:r>
              <w:rPr>
                <w:rFonts w:eastAsia="Calibri"/>
                <w:color w:val="FFFFFF"/>
                <w:sz w:val="18"/>
                <w:szCs w:val="18"/>
              </w:rPr>
              <w:t>NOTES:</w:t>
            </w:r>
          </w:p>
          <w:p w:rsidR="00EE3A4B" w:rsidRPr="00EE3A4B" w:rsidRDefault="00EE3A4B" w:rsidP="00EE3A4B">
            <w:pPr>
              <w:rPr>
                <w:rFonts w:eastAsia="Calibri"/>
                <w:b/>
                <w:color w:val="FFFFFF"/>
                <w:sz w:val="18"/>
                <w:szCs w:val="18"/>
              </w:rPr>
            </w:pPr>
            <w:r w:rsidRPr="00EE3A4B">
              <w:rPr>
                <w:rFonts w:eastAsia="Calibri"/>
                <w:color w:val="FFFFFF"/>
                <w:sz w:val="18"/>
                <w:szCs w:val="18"/>
              </w:rPr>
              <w:t>[a]Relative precision values are at the 85% confidence level.</w:t>
            </w:r>
          </w:p>
        </w:tc>
      </w:tr>
    </w:tbl>
    <w:p w:rsidR="00EE3A4B" w:rsidRPr="00EE3A4B" w:rsidRDefault="00EE3A4B" w:rsidP="00EE3A4B"/>
    <w:p w:rsidR="0051723C" w:rsidRDefault="0051723C" w:rsidP="002260B0">
      <w:pPr>
        <w:pStyle w:val="AppendixAHeading4"/>
      </w:pPr>
      <w:r>
        <w:t>Residential Programs</w:t>
      </w:r>
    </w:p>
    <w:p w:rsidR="0051723C" w:rsidRPr="0051723C" w:rsidRDefault="0051723C" w:rsidP="0051723C">
      <w:pPr>
        <w:rPr>
          <w:rFonts w:eastAsia="Calibri"/>
        </w:rPr>
      </w:pPr>
      <w:r w:rsidRPr="0051723C">
        <w:rPr>
          <w:rFonts w:eastAsia="Calibri"/>
        </w:rPr>
        <w:t>The energy realization rates for Met-Ed’s residential programs ranged from 93.3% to 137.0%. The demand realization rates ranged from 78.1% to 113.0%. Met-Ed achieved the 15% relative precision requirement at the 85% confidence level for both energy and demand for all residential programs.</w:t>
      </w:r>
    </w:p>
    <w:p w:rsidR="0051723C" w:rsidRPr="0051723C" w:rsidRDefault="0051723C" w:rsidP="0051723C">
      <w:pPr>
        <w:rPr>
          <w:rFonts w:eastAsia="Calibri"/>
        </w:rPr>
      </w:pPr>
    </w:p>
    <w:p w:rsidR="0051723C" w:rsidRPr="0051723C" w:rsidRDefault="0051723C" w:rsidP="0051723C">
      <w:pPr>
        <w:rPr>
          <w:rFonts w:eastAsia="Calibri"/>
        </w:rPr>
      </w:pPr>
      <w:r w:rsidRPr="0051723C">
        <w:rPr>
          <w:rFonts w:eastAsia="Calibri"/>
        </w:rPr>
        <w:t>The Appliance Turn-In Program was evaluated through customer verification surveys to determine the fraction of refrigerators, freezers, and room air conditioners that were drawing power before retirement, as well as the other parameters necessary to determine the expected useful life (EUL) from the TRM regression equation. The program realization rate is mostly a function of the difference between the ex ante and ex post EULs, the latter of which used actual PY7 collection data.</w:t>
      </w:r>
    </w:p>
    <w:p w:rsidR="0051723C" w:rsidRPr="0051723C" w:rsidRDefault="0051723C" w:rsidP="0051723C">
      <w:pPr>
        <w:rPr>
          <w:rFonts w:eastAsia="Calibri"/>
        </w:rPr>
      </w:pPr>
    </w:p>
    <w:p w:rsidR="0051723C" w:rsidRPr="0051723C" w:rsidRDefault="0051723C" w:rsidP="0051723C">
      <w:pPr>
        <w:rPr>
          <w:rFonts w:eastAsia="Calibri"/>
        </w:rPr>
      </w:pPr>
      <w:r w:rsidRPr="0051723C">
        <w:rPr>
          <w:rFonts w:eastAsia="Calibri"/>
        </w:rPr>
        <w:t>The evaluations of the upstream lighting and products portions of the Efficient Products Program involved reviews of sales invoices, a review of the tracking and reporting system, and a detailed review of CSP energy and demand savings calculations. The appliance portion and the HVAC equipment/tune-up portion were evaluated through an invoice review, customer surveys, and a review of the energy and demand calculations with reference to the ENERGY STAR database.</w:t>
      </w:r>
    </w:p>
    <w:p w:rsidR="0051723C" w:rsidRPr="0051723C" w:rsidRDefault="0051723C" w:rsidP="0051723C">
      <w:pPr>
        <w:rPr>
          <w:rFonts w:eastAsia="Calibri"/>
        </w:rPr>
      </w:pPr>
    </w:p>
    <w:p w:rsidR="0051723C" w:rsidRPr="0051723C" w:rsidRDefault="0051723C" w:rsidP="0051723C">
      <w:pPr>
        <w:rPr>
          <w:rFonts w:eastAsia="Calibri"/>
        </w:rPr>
      </w:pPr>
      <w:r w:rsidRPr="0051723C">
        <w:rPr>
          <w:rFonts w:eastAsia="Calibri"/>
        </w:rPr>
        <w:t xml:space="preserve">The evaluation contractor approached the evaluation differently for each branch of the Home Performance Program. The home energy audit kits were evaluated using the tracking and reporting (T&amp;R) system as well as online and phone surveys to determine the delivery and installation rates for each measure. The kit receipt rates and measure in-service rates (ISRs) have been shown to fluctuate among EDCs, primarily due to statistical variations, and therefore average statewide ISRs are used for all four FirstEnergy companies. The new construction portion of the program was evaluated through an engineering review of a sample of projects in the portfolio. Energy and demand savings for this program were determined through REM/Rate software calculations, and the review focused on whether the modeling was performed correctly (including baseline assumptions) and if the results were reasonable. The prescriptive, low-cost direct-install portion was evaluated by reviewing the T&amp;R system and sample </w:t>
      </w:r>
      <w:r w:rsidRPr="0051723C">
        <w:rPr>
          <w:rFonts w:eastAsia="Calibri"/>
        </w:rPr>
        <w:lastRenderedPageBreak/>
        <w:t>invoices to check if the TRM calculations were performed correctly and if the invoices matched the information in the database. For comprehensive weatherization jobs, those that saved more than 2 MWh/yr were evaluated through billing analysis, and those saving under 2 MWh/yr received an invoice review. The HER portion was reviewed and duplicated by the evaluation contractor, producing results consistent with the implementation CSP’s. The contractor</w:t>
      </w:r>
      <w:r w:rsidRPr="0051723C" w:rsidDel="003334EF">
        <w:rPr>
          <w:rFonts w:eastAsia="Calibri"/>
        </w:rPr>
        <w:t xml:space="preserve"> </w:t>
      </w:r>
      <w:r w:rsidRPr="0051723C">
        <w:rPr>
          <w:rFonts w:eastAsia="Calibri"/>
        </w:rPr>
        <w:t>then conducted its own full evaluation of the savings using a lagged seasonal regression model and adjusting for dual participation.</w:t>
      </w:r>
    </w:p>
    <w:p w:rsidR="0051723C" w:rsidRPr="0051723C" w:rsidRDefault="0051723C" w:rsidP="0051723C"/>
    <w:p w:rsidR="0051723C" w:rsidRDefault="0051723C" w:rsidP="002260B0">
      <w:pPr>
        <w:pStyle w:val="AppendixAHeading4"/>
      </w:pPr>
      <w:r>
        <w:t>Low-Income Programs</w:t>
      </w:r>
    </w:p>
    <w:p w:rsidR="0051723C" w:rsidRPr="0051723C" w:rsidRDefault="0051723C" w:rsidP="0051723C">
      <w:r w:rsidRPr="0051723C">
        <w:t xml:space="preserve">The evaluation contractor reviewed the tracking data and on-site verification forms and results to determine ISRs for the WARM direct-install measures. For giveaway events, the evaluation contractor reviewed the tracking database and applied the ISR from the </w:t>
      </w:r>
      <w:r w:rsidR="00590018" w:rsidRPr="0051723C">
        <w:t>201</w:t>
      </w:r>
      <w:r w:rsidR="00590018">
        <w:t>5</w:t>
      </w:r>
      <w:r w:rsidR="00744D68">
        <w:t xml:space="preserve"> </w:t>
      </w:r>
      <w:r w:rsidRPr="0051723C">
        <w:t>TRM. There were no LILU energy kits distributed in PY7.</w:t>
      </w:r>
    </w:p>
    <w:p w:rsidR="0051723C" w:rsidRPr="0051723C" w:rsidRDefault="0051723C" w:rsidP="0051723C"/>
    <w:p w:rsidR="0051723C" w:rsidRDefault="0051723C" w:rsidP="002260B0">
      <w:pPr>
        <w:pStyle w:val="AppendixAHeading4"/>
      </w:pPr>
      <w:r>
        <w:t>Non-Residential Programs</w:t>
      </w:r>
    </w:p>
    <w:p w:rsidR="0051723C" w:rsidRPr="0051723C" w:rsidRDefault="0051723C" w:rsidP="0051723C">
      <w:r w:rsidRPr="0051723C">
        <w:t>Realization rates for Met-Ed’s non-residential programs’ energy savings ranged from 59.2% to 105.6% in PY7. Realization rates for demand reductions from these programs ranged from 27.1% to 109.9%. The lowest realization rates were from the GNI Program, which tends to have low participation rates, non-standard lighting HOU, and self-installation by customers, resulting in inaccurate ex ante savings. Met-Ed achieved the 15% precision requirement for kWh in all of its non-residential programs. It also achieved better than 15% precision for demand savings, although this is not a requirement for Phase II of Act 129.</w:t>
      </w:r>
    </w:p>
    <w:p w:rsidR="0051723C" w:rsidRPr="0051723C" w:rsidRDefault="0051723C" w:rsidP="0051723C"/>
    <w:p w:rsidR="0051723C" w:rsidRDefault="0051723C" w:rsidP="0051723C">
      <w:r>
        <w:fldChar w:fldCharType="begin"/>
      </w:r>
      <w:r>
        <w:instrText xml:space="preserve"> REF _Ref472396272 \h </w:instrText>
      </w:r>
      <w:r>
        <w:fldChar w:fldCharType="separate"/>
      </w:r>
      <w:r w:rsidR="00C301D0">
        <w:t>Figure A-</w:t>
      </w:r>
      <w:r w:rsidR="00C301D0">
        <w:rPr>
          <w:noProof/>
        </w:rPr>
        <w:t>3</w:t>
      </w:r>
      <w:r>
        <w:fldChar w:fldCharType="end"/>
      </w:r>
      <w:r w:rsidRPr="0051723C">
        <w:t xml:space="preserve"> shows the frequency of each M&amp;V approach performed by ADM in PY7 for Met-Ed’s Small C/I Equipment Program evaluation sample and the verified energy savings associated with each M&amp;V approach. ADM used both basic and enhanced levels of rigor to evaluate projects in the sample. Basic rigor includes surveys, desk reviews, and simple on-site verification (no logging). Enhanced rigor includes the following options, as recorded by ADM. The first consists of utility billing analysis to determine energy savings. Typically, 12 months of pre- and post-installation billing data are required for this approach. The second general approach is on-site verification with logging. This may be light logger deployment or more robust measurement of the retrofitted system’s continuous energy usage. The third general approach involves modeling energy performance of a facility before and after the efficiency measure is installed with an energy simulation.</w:t>
      </w:r>
    </w:p>
    <w:p w:rsidR="008C19A4" w:rsidRPr="0051723C" w:rsidRDefault="008C19A4" w:rsidP="0051723C"/>
    <w:p w:rsidR="0051723C" w:rsidRPr="0051723C" w:rsidRDefault="0051723C" w:rsidP="0051723C">
      <w:pPr>
        <w:pStyle w:val="Caption"/>
      </w:pPr>
      <w:bookmarkStart w:id="679" w:name="_Ref472396272"/>
      <w:bookmarkStart w:id="680" w:name="_Toc444269816"/>
      <w:bookmarkStart w:id="681" w:name="_Toc476842277"/>
      <w:bookmarkStart w:id="682" w:name="_Toc408557558"/>
      <w:bookmarkStart w:id="683" w:name="_Toc408999434"/>
      <w:bookmarkStart w:id="684" w:name="_Toc409224959"/>
      <w:bookmarkStart w:id="685" w:name="_Toc409443638"/>
      <w:r>
        <w:t>Figure A-</w:t>
      </w:r>
      <w:fldSimple w:instr=" SEQ Figure_A- \* ARABIC ">
        <w:r w:rsidR="00C301D0">
          <w:rPr>
            <w:noProof/>
          </w:rPr>
          <w:t>3</w:t>
        </w:r>
      </w:fldSimple>
      <w:bookmarkEnd w:id="679"/>
      <w:r>
        <w:t xml:space="preserve">: </w:t>
      </w:r>
      <w:r w:rsidRPr="0051723C">
        <w:t>Frequency of and Associated Energy Savings by M&amp;V Approach – Small C/I Equipment Program</w:t>
      </w:r>
      <w:bookmarkEnd w:id="680"/>
      <w:bookmarkEnd w:id="681"/>
      <w:r w:rsidRPr="0051723C">
        <w:t xml:space="preserve"> </w:t>
      </w:r>
      <w:bookmarkEnd w:id="682"/>
      <w:bookmarkEnd w:id="683"/>
      <w:bookmarkEnd w:id="684"/>
      <w:bookmarkEnd w:id="685"/>
    </w:p>
    <w:p w:rsidR="0051723C" w:rsidRPr="0051723C" w:rsidRDefault="0051723C" w:rsidP="0051723C">
      <w:pPr>
        <w:spacing w:before="200"/>
        <w:jc w:val="center"/>
      </w:pPr>
      <w:r w:rsidRPr="0051723C">
        <w:rPr>
          <w:noProof/>
        </w:rPr>
        <w:drawing>
          <wp:inline distT="0" distB="0" distL="0" distR="0" wp14:anchorId="413FC164" wp14:editId="45EAED9F">
            <wp:extent cx="5892984" cy="1997378"/>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0">
                      <a:extLst>
                        <a:ext uri="{28A0092B-C50C-407E-A947-70E740481C1C}">
                          <a14:useLocalDpi xmlns:a14="http://schemas.microsoft.com/office/drawing/2010/main" val="0"/>
                        </a:ext>
                      </a:extLst>
                    </a:blip>
                    <a:srcRect t="4349" b="8254"/>
                    <a:stretch/>
                  </pic:blipFill>
                  <pic:spPr bwMode="auto">
                    <a:xfrm>
                      <a:off x="0" y="0"/>
                      <a:ext cx="5901848" cy="2000382"/>
                    </a:xfrm>
                    <a:prstGeom prst="rect">
                      <a:avLst/>
                    </a:prstGeom>
                    <a:noFill/>
                    <a:ln>
                      <a:noFill/>
                    </a:ln>
                    <a:extLst>
                      <a:ext uri="{53640926-AAD7-44D8-BBD7-CCE9431645EC}">
                        <a14:shadowObscured xmlns:a14="http://schemas.microsoft.com/office/drawing/2010/main"/>
                      </a:ext>
                    </a:extLst>
                  </pic:spPr>
                </pic:pic>
              </a:graphicData>
            </a:graphic>
          </wp:inline>
        </w:drawing>
      </w:r>
    </w:p>
    <w:p w:rsidR="0051723C" w:rsidRPr="0051723C" w:rsidRDefault="0051723C" w:rsidP="0051723C"/>
    <w:p w:rsidR="0051723C" w:rsidRPr="0051723C" w:rsidRDefault="0051723C" w:rsidP="0051723C">
      <w:r>
        <w:lastRenderedPageBreak/>
        <w:fldChar w:fldCharType="begin"/>
      </w:r>
      <w:r>
        <w:instrText xml:space="preserve"> REF _Ref472396310 \h </w:instrText>
      </w:r>
      <w:r>
        <w:fldChar w:fldCharType="separate"/>
      </w:r>
      <w:r w:rsidR="00C301D0">
        <w:t>Figure A-</w:t>
      </w:r>
      <w:r w:rsidR="00C301D0">
        <w:rPr>
          <w:noProof/>
        </w:rPr>
        <w:t>4</w:t>
      </w:r>
      <w:r>
        <w:fldChar w:fldCharType="end"/>
      </w:r>
      <w:r w:rsidRPr="0051723C">
        <w:t xml:space="preserve"> indicates that 57% of the sampled measures for the Small C/I Equipment Program were evaluated using a basic level of rigor. However, the representative savings for these measures accounted for only 22% of the energy savings. This suggests that basic rigor was appropriately used, predominately for projects with smaller savings. Likewise, the more expensive enhanced rigor methods were reserved for a smaller number of projects, but these projects contributed a large majority (78%) of the program’s energy savings. The SWE Team supports this “value of information” approach, whereby more expensive evaluation techniques are reserved for projects that account for the greatest share of program savings.</w:t>
      </w:r>
    </w:p>
    <w:p w:rsidR="0051723C" w:rsidRPr="0051723C" w:rsidRDefault="0051723C" w:rsidP="0051723C"/>
    <w:p w:rsidR="0051723C" w:rsidRPr="0051723C" w:rsidRDefault="00CE78B5" w:rsidP="0051723C">
      <w:r>
        <w:fldChar w:fldCharType="begin"/>
      </w:r>
      <w:r>
        <w:instrText xml:space="preserve"> REF _Ref472396310 \h </w:instrText>
      </w:r>
      <w:r>
        <w:fldChar w:fldCharType="separate"/>
      </w:r>
      <w:r w:rsidR="00C301D0">
        <w:t>Figure A-</w:t>
      </w:r>
      <w:r w:rsidR="00C301D0">
        <w:rPr>
          <w:noProof/>
        </w:rPr>
        <w:t>4</w:t>
      </w:r>
      <w:r>
        <w:fldChar w:fldCharType="end"/>
      </w:r>
      <w:r>
        <w:t xml:space="preserve"> </w:t>
      </w:r>
      <w:r w:rsidR="0051723C" w:rsidRPr="0051723C">
        <w:t xml:space="preserve">shows the frequency of each M&amp;V approach used in the Small C/I Buildings Program and the energy savings associated with each method. Data/billing analysis was the only enhanced rigor approach used for this program, and it accounted for 22% of savings. These values are presented excluding CFL kits, which skew the percentages toward </w:t>
      </w:r>
      <w:r w:rsidR="00852D1F">
        <w:t>s</w:t>
      </w:r>
      <w:r w:rsidR="0051723C" w:rsidRPr="0051723C">
        <w:t>urvey/</w:t>
      </w:r>
      <w:r w:rsidR="00852D1F">
        <w:t>d</w:t>
      </w:r>
      <w:r w:rsidR="0051723C" w:rsidRPr="0051723C">
        <w:t>esk review.</w:t>
      </w:r>
    </w:p>
    <w:p w:rsidR="0051723C" w:rsidRPr="0051723C" w:rsidRDefault="0051723C" w:rsidP="0051723C"/>
    <w:p w:rsidR="0051723C" w:rsidRPr="0051723C" w:rsidRDefault="0051723C" w:rsidP="0051723C">
      <w:pPr>
        <w:pStyle w:val="Caption"/>
      </w:pPr>
      <w:bookmarkStart w:id="686" w:name="_Ref472396310"/>
      <w:bookmarkStart w:id="687" w:name="_Toc408557559"/>
      <w:bookmarkStart w:id="688" w:name="_Toc408999435"/>
      <w:bookmarkStart w:id="689" w:name="_Toc409224960"/>
      <w:bookmarkStart w:id="690" w:name="_Toc409443639"/>
      <w:bookmarkStart w:id="691" w:name="_Toc444269817"/>
      <w:bookmarkStart w:id="692" w:name="_Toc476842278"/>
      <w:r>
        <w:t>Figure A-</w:t>
      </w:r>
      <w:fldSimple w:instr=" SEQ Figure_A- \* ARABIC ">
        <w:r w:rsidR="00C301D0">
          <w:rPr>
            <w:noProof/>
          </w:rPr>
          <w:t>4</w:t>
        </w:r>
      </w:fldSimple>
      <w:bookmarkEnd w:id="686"/>
      <w:r>
        <w:t xml:space="preserve">: </w:t>
      </w:r>
      <w:r w:rsidRPr="0051723C">
        <w:t>Frequency of and Associated Energy Savings by M&amp;V Approach – Small C/I Buildings Progra</w:t>
      </w:r>
      <w:bookmarkEnd w:id="687"/>
      <w:bookmarkEnd w:id="688"/>
      <w:bookmarkEnd w:id="689"/>
      <w:bookmarkEnd w:id="690"/>
      <w:r w:rsidRPr="0051723C">
        <w:t>m</w:t>
      </w:r>
      <w:bookmarkEnd w:id="691"/>
      <w:bookmarkEnd w:id="692"/>
    </w:p>
    <w:p w:rsidR="0051723C" w:rsidRPr="0051723C" w:rsidRDefault="0051723C" w:rsidP="0051723C">
      <w:pPr>
        <w:jc w:val="center"/>
      </w:pPr>
      <w:r w:rsidRPr="0051723C">
        <w:rPr>
          <w:noProof/>
        </w:rPr>
        <w:drawing>
          <wp:inline distT="0" distB="0" distL="0" distR="0" wp14:anchorId="60AAD3DD" wp14:editId="148E9CBB">
            <wp:extent cx="5938520" cy="2107096"/>
            <wp:effectExtent l="0" t="0" r="508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1">
                      <a:extLst>
                        <a:ext uri="{28A0092B-C50C-407E-A947-70E740481C1C}">
                          <a14:useLocalDpi xmlns:a14="http://schemas.microsoft.com/office/drawing/2010/main" val="0"/>
                        </a:ext>
                      </a:extLst>
                    </a:blip>
                    <a:srcRect b="7821"/>
                    <a:stretch/>
                  </pic:blipFill>
                  <pic:spPr bwMode="auto">
                    <a:xfrm>
                      <a:off x="0" y="0"/>
                      <a:ext cx="5944046" cy="2109057"/>
                    </a:xfrm>
                    <a:prstGeom prst="rect">
                      <a:avLst/>
                    </a:prstGeom>
                    <a:noFill/>
                    <a:ln>
                      <a:noFill/>
                    </a:ln>
                    <a:extLst>
                      <a:ext uri="{53640926-AAD7-44D8-BBD7-CCE9431645EC}">
                        <a14:shadowObscured xmlns:a14="http://schemas.microsoft.com/office/drawing/2010/main"/>
                      </a:ext>
                    </a:extLst>
                  </pic:spPr>
                </pic:pic>
              </a:graphicData>
            </a:graphic>
          </wp:inline>
        </w:drawing>
      </w:r>
    </w:p>
    <w:p w:rsidR="0051723C" w:rsidRPr="0051723C" w:rsidRDefault="0051723C" w:rsidP="0051723C">
      <w:pPr>
        <w:jc w:val="center"/>
      </w:pPr>
    </w:p>
    <w:p w:rsidR="0051723C" w:rsidRDefault="0051723C" w:rsidP="0051723C">
      <w:r>
        <w:fldChar w:fldCharType="begin"/>
      </w:r>
      <w:r>
        <w:instrText xml:space="preserve"> REF _Ref472396357 \h </w:instrText>
      </w:r>
      <w:r>
        <w:fldChar w:fldCharType="separate"/>
      </w:r>
      <w:r w:rsidR="00C301D0">
        <w:t>Figure A-</w:t>
      </w:r>
      <w:r w:rsidR="00C301D0">
        <w:rPr>
          <w:noProof/>
        </w:rPr>
        <w:t>5</w:t>
      </w:r>
      <w:r>
        <w:fldChar w:fldCharType="end"/>
      </w:r>
      <w:r w:rsidRPr="0051723C">
        <w:t xml:space="preserve"> shows the frequency of each M&amp;V method used in the Large C/I Equipment Program and the energy savings associated with each method. Enhanced rigor was used for a majority of the projects (53%), and these projects accounted for a large majority of the savings (75%). Basic rigor was limited to those projects with less savings.</w:t>
      </w:r>
    </w:p>
    <w:p w:rsidR="0051723C" w:rsidRPr="0051723C" w:rsidRDefault="0051723C" w:rsidP="0051723C"/>
    <w:p w:rsidR="0051723C" w:rsidRPr="0051723C" w:rsidRDefault="0051723C" w:rsidP="0051723C">
      <w:pPr>
        <w:pStyle w:val="Caption"/>
      </w:pPr>
      <w:bookmarkStart w:id="693" w:name="_Ref472396357"/>
      <w:bookmarkStart w:id="694" w:name="_Toc408557560"/>
      <w:bookmarkStart w:id="695" w:name="_Toc408999436"/>
      <w:bookmarkStart w:id="696" w:name="_Toc409224961"/>
      <w:bookmarkStart w:id="697" w:name="_Toc409443640"/>
      <w:bookmarkStart w:id="698" w:name="_Toc444269818"/>
      <w:bookmarkStart w:id="699" w:name="_Toc476842279"/>
      <w:r>
        <w:t>Figure A-</w:t>
      </w:r>
      <w:fldSimple w:instr=" SEQ Figure_A- \* ARABIC ">
        <w:r w:rsidR="00C301D0">
          <w:rPr>
            <w:noProof/>
          </w:rPr>
          <w:t>5</w:t>
        </w:r>
      </w:fldSimple>
      <w:bookmarkEnd w:id="693"/>
      <w:r>
        <w:t>:</w:t>
      </w:r>
      <w:r w:rsidRPr="0051723C">
        <w:t xml:space="preserve"> </w:t>
      </w:r>
      <w:bookmarkEnd w:id="694"/>
      <w:bookmarkEnd w:id="695"/>
      <w:bookmarkEnd w:id="696"/>
      <w:bookmarkEnd w:id="697"/>
      <w:r w:rsidRPr="0051723C">
        <w:t>Frequency of and Associated Energy Savings by M&amp;V Approach – Large C/I Equipment Program</w:t>
      </w:r>
      <w:bookmarkEnd w:id="698"/>
      <w:bookmarkEnd w:id="699"/>
    </w:p>
    <w:p w:rsidR="0051723C" w:rsidRPr="0051723C" w:rsidRDefault="0051723C" w:rsidP="0051723C">
      <w:pPr>
        <w:jc w:val="center"/>
      </w:pPr>
      <w:r w:rsidRPr="0051723C">
        <w:rPr>
          <w:noProof/>
        </w:rPr>
        <w:drawing>
          <wp:inline distT="0" distB="0" distL="0" distR="0" wp14:anchorId="3E1F6470" wp14:editId="555CE07F">
            <wp:extent cx="5935627" cy="2016926"/>
            <wp:effectExtent l="0" t="0" r="825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2">
                      <a:extLst>
                        <a:ext uri="{28A0092B-C50C-407E-A947-70E740481C1C}">
                          <a14:useLocalDpi xmlns:a14="http://schemas.microsoft.com/office/drawing/2010/main" val="0"/>
                        </a:ext>
                      </a:extLst>
                    </a:blip>
                    <a:srcRect t="4319" b="8030"/>
                    <a:stretch/>
                  </pic:blipFill>
                  <pic:spPr bwMode="auto">
                    <a:xfrm>
                      <a:off x="0" y="0"/>
                      <a:ext cx="5950393" cy="2021944"/>
                    </a:xfrm>
                    <a:prstGeom prst="rect">
                      <a:avLst/>
                    </a:prstGeom>
                    <a:noFill/>
                    <a:ln>
                      <a:noFill/>
                    </a:ln>
                    <a:extLst>
                      <a:ext uri="{53640926-AAD7-44D8-BBD7-CCE9431645EC}">
                        <a14:shadowObscured xmlns:a14="http://schemas.microsoft.com/office/drawing/2010/main"/>
                      </a:ext>
                    </a:extLst>
                  </pic:spPr>
                </pic:pic>
              </a:graphicData>
            </a:graphic>
          </wp:inline>
        </w:drawing>
      </w:r>
    </w:p>
    <w:p w:rsidR="0051723C" w:rsidRPr="0051723C" w:rsidRDefault="0051723C" w:rsidP="0051723C"/>
    <w:p w:rsidR="0051723C" w:rsidRPr="0051723C" w:rsidRDefault="0051723C" w:rsidP="0051723C">
      <w:r>
        <w:lastRenderedPageBreak/>
        <w:fldChar w:fldCharType="begin"/>
      </w:r>
      <w:r>
        <w:instrText xml:space="preserve"> REF _Ref472396387 \h </w:instrText>
      </w:r>
      <w:r>
        <w:fldChar w:fldCharType="separate"/>
      </w:r>
      <w:r w:rsidR="00C301D0">
        <w:t>Figure A-</w:t>
      </w:r>
      <w:r w:rsidR="00C301D0">
        <w:rPr>
          <w:noProof/>
        </w:rPr>
        <w:t>6</w:t>
      </w:r>
      <w:r>
        <w:fldChar w:fldCharType="end"/>
      </w:r>
      <w:r w:rsidRPr="0051723C">
        <w:t xml:space="preserve"> shows the frequency of each M&amp;V method used in the Large C/I Buildings Program and the energy savings associated with each method. Enhanced rigor was used for a majority of the projects (73%), and these projects accounted for most of the savings (85%). </w:t>
      </w:r>
    </w:p>
    <w:p w:rsidR="0051723C" w:rsidRPr="0051723C" w:rsidRDefault="0051723C" w:rsidP="0051723C"/>
    <w:p w:rsidR="0051723C" w:rsidRPr="0051723C" w:rsidRDefault="0051723C" w:rsidP="0051723C">
      <w:pPr>
        <w:pStyle w:val="Caption"/>
      </w:pPr>
      <w:bookmarkStart w:id="700" w:name="_Ref472396387"/>
      <w:bookmarkStart w:id="701" w:name="_Toc408557561"/>
      <w:bookmarkStart w:id="702" w:name="_Toc408999437"/>
      <w:bookmarkStart w:id="703" w:name="_Toc409224962"/>
      <w:bookmarkStart w:id="704" w:name="_Toc409443641"/>
      <w:bookmarkStart w:id="705" w:name="_Toc444269819"/>
      <w:bookmarkStart w:id="706" w:name="_Toc476842280"/>
      <w:r>
        <w:t>Figure A-</w:t>
      </w:r>
      <w:fldSimple w:instr=" SEQ Figure_A- \* ARABIC ">
        <w:r w:rsidR="00C301D0">
          <w:rPr>
            <w:noProof/>
          </w:rPr>
          <w:t>6</w:t>
        </w:r>
      </w:fldSimple>
      <w:bookmarkEnd w:id="700"/>
      <w:r w:rsidRPr="0051723C">
        <w:t xml:space="preserve"> Frequency of and Associated Energy Savings by M&amp;V Approach – Large C/I Buildings Program</w:t>
      </w:r>
      <w:bookmarkEnd w:id="701"/>
      <w:bookmarkEnd w:id="702"/>
      <w:bookmarkEnd w:id="703"/>
      <w:bookmarkEnd w:id="704"/>
      <w:bookmarkEnd w:id="705"/>
      <w:bookmarkEnd w:id="706"/>
    </w:p>
    <w:p w:rsidR="0051723C" w:rsidRPr="0051723C" w:rsidRDefault="0051723C" w:rsidP="0051723C">
      <w:pPr>
        <w:jc w:val="center"/>
      </w:pPr>
      <w:r w:rsidRPr="0051723C">
        <w:rPr>
          <w:noProof/>
        </w:rPr>
        <w:drawing>
          <wp:inline distT="0" distB="0" distL="0" distR="0" wp14:anchorId="671D50BC" wp14:editId="6AAF2C03">
            <wp:extent cx="5910059" cy="20077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3">
                      <a:extLst>
                        <a:ext uri="{28A0092B-C50C-407E-A947-70E740481C1C}">
                          <a14:useLocalDpi xmlns:a14="http://schemas.microsoft.com/office/drawing/2010/main" val="0"/>
                        </a:ext>
                      </a:extLst>
                    </a:blip>
                    <a:srcRect t="4783" b="7369"/>
                    <a:stretch/>
                  </pic:blipFill>
                  <pic:spPr bwMode="auto">
                    <a:xfrm>
                      <a:off x="0" y="0"/>
                      <a:ext cx="5916661" cy="2009947"/>
                    </a:xfrm>
                    <a:prstGeom prst="rect">
                      <a:avLst/>
                    </a:prstGeom>
                    <a:noFill/>
                    <a:ln>
                      <a:noFill/>
                    </a:ln>
                    <a:extLst>
                      <a:ext uri="{53640926-AAD7-44D8-BBD7-CCE9431645EC}">
                        <a14:shadowObscured xmlns:a14="http://schemas.microsoft.com/office/drawing/2010/main"/>
                      </a:ext>
                    </a:extLst>
                  </pic:spPr>
                </pic:pic>
              </a:graphicData>
            </a:graphic>
          </wp:inline>
        </w:drawing>
      </w:r>
    </w:p>
    <w:p w:rsidR="00C301D0" w:rsidRPr="00C301D0" w:rsidRDefault="0051723C" w:rsidP="0051723C">
      <w:pPr>
        <w:rPr>
          <w:bCs/>
        </w:rPr>
      </w:pPr>
      <w:r w:rsidRPr="0051723C">
        <w:fldChar w:fldCharType="begin"/>
      </w:r>
      <w:r w:rsidRPr="0051723C">
        <w:instrText xml:space="preserve"> REF _Ref439135923 \h  \* MERGEFORMAT </w:instrText>
      </w:r>
      <w:r w:rsidRPr="0051723C">
        <w:fldChar w:fldCharType="separate"/>
      </w:r>
    </w:p>
    <w:p w:rsidR="00A874AC" w:rsidRPr="0051723C" w:rsidRDefault="0051723C" w:rsidP="0051723C">
      <w:r w:rsidRPr="0051723C">
        <w:fldChar w:fldCharType="end"/>
      </w:r>
      <w:r w:rsidR="00602E9A">
        <w:fldChar w:fldCharType="begin"/>
      </w:r>
      <w:r w:rsidR="00602E9A">
        <w:instrText xml:space="preserve"> REF _Ref472396435 \h </w:instrText>
      </w:r>
      <w:r w:rsidR="00602E9A">
        <w:fldChar w:fldCharType="separate"/>
      </w:r>
    </w:p>
    <w:p w:rsidR="0051723C" w:rsidRPr="0051723C" w:rsidRDefault="00A874AC" w:rsidP="0051723C">
      <w:r>
        <w:t>Figure A-</w:t>
      </w:r>
      <w:r>
        <w:rPr>
          <w:noProof/>
        </w:rPr>
        <w:t>7</w:t>
      </w:r>
      <w:r w:rsidR="00602E9A">
        <w:fldChar w:fldCharType="end"/>
      </w:r>
      <w:r w:rsidR="0051723C" w:rsidRPr="0051723C">
        <w:t xml:space="preserve"> shows the frequency of each M&amp;V method used in the Government and Institutional Program and the energy savings associated with each method. Enhanced rigor was used for a majority of the projects (75%), and these projects accounted for 86% of the savings. </w:t>
      </w:r>
      <w:bookmarkStart w:id="707" w:name="_Ref439135923"/>
    </w:p>
    <w:p w:rsidR="0016159A" w:rsidRPr="0051723C" w:rsidRDefault="0016159A" w:rsidP="0051723C">
      <w:bookmarkStart w:id="708" w:name="_Ref472396435"/>
      <w:bookmarkStart w:id="709" w:name="_Toc444269820"/>
      <w:bookmarkEnd w:id="707"/>
    </w:p>
    <w:p w:rsidR="0051723C" w:rsidRPr="0051723C" w:rsidRDefault="0051723C" w:rsidP="0051723C">
      <w:pPr>
        <w:pStyle w:val="Caption"/>
      </w:pPr>
      <w:bookmarkStart w:id="710" w:name="_Toc476842281"/>
      <w:r>
        <w:t>Figure A-</w:t>
      </w:r>
      <w:fldSimple w:instr=" SEQ Figure_A- \* ARABIC ">
        <w:r w:rsidR="00C301D0">
          <w:rPr>
            <w:noProof/>
          </w:rPr>
          <w:t>7</w:t>
        </w:r>
      </w:fldSimple>
      <w:bookmarkEnd w:id="708"/>
      <w:r>
        <w:t xml:space="preserve">: </w:t>
      </w:r>
      <w:r w:rsidRPr="0051723C">
        <w:t>Frequency of and Associated Energy Savings by M&amp;V Approach – Government and Institutional Program</w:t>
      </w:r>
      <w:bookmarkEnd w:id="709"/>
      <w:bookmarkEnd w:id="710"/>
    </w:p>
    <w:p w:rsidR="0051723C" w:rsidRPr="0051723C" w:rsidRDefault="0051723C" w:rsidP="0051723C">
      <w:pPr>
        <w:jc w:val="center"/>
        <w:rPr>
          <w:i/>
          <w:color w:val="FF0000"/>
        </w:rPr>
      </w:pPr>
      <w:r w:rsidRPr="0051723C">
        <w:rPr>
          <w:i/>
          <w:noProof/>
          <w:color w:val="FF0000"/>
        </w:rPr>
        <w:drawing>
          <wp:inline distT="0" distB="0" distL="0" distR="0" wp14:anchorId="5D38689F" wp14:editId="58128D6D">
            <wp:extent cx="5979992" cy="2027583"/>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4">
                      <a:extLst>
                        <a:ext uri="{28A0092B-C50C-407E-A947-70E740481C1C}">
                          <a14:useLocalDpi xmlns:a14="http://schemas.microsoft.com/office/drawing/2010/main" val="0"/>
                        </a:ext>
                      </a:extLst>
                    </a:blip>
                    <a:srcRect t="4325" b="7433"/>
                    <a:stretch/>
                  </pic:blipFill>
                  <pic:spPr bwMode="auto">
                    <a:xfrm>
                      <a:off x="0" y="0"/>
                      <a:ext cx="5991490" cy="2031482"/>
                    </a:xfrm>
                    <a:prstGeom prst="rect">
                      <a:avLst/>
                    </a:prstGeom>
                    <a:noFill/>
                    <a:ln>
                      <a:noFill/>
                    </a:ln>
                    <a:extLst>
                      <a:ext uri="{53640926-AAD7-44D8-BBD7-CCE9431645EC}">
                        <a14:shadowObscured xmlns:a14="http://schemas.microsoft.com/office/drawing/2010/main"/>
                      </a:ext>
                    </a:extLst>
                  </pic:spPr>
                </pic:pic>
              </a:graphicData>
            </a:graphic>
          </wp:inline>
        </w:drawing>
      </w:r>
    </w:p>
    <w:p w:rsidR="0051723C" w:rsidRPr="008D7800" w:rsidRDefault="0051723C" w:rsidP="008D7800"/>
    <w:p w:rsidR="00950837" w:rsidRDefault="00950837" w:rsidP="00D34B3E">
      <w:pPr>
        <w:pStyle w:val="AppendixAHeading3"/>
      </w:pPr>
      <w:bookmarkStart w:id="711" w:name="_Ref472450362"/>
      <w:r>
        <w:t>Process Evaluation Activities and Findings</w:t>
      </w:r>
      <w:bookmarkEnd w:id="711"/>
    </w:p>
    <w:p w:rsidR="003D23A0" w:rsidRPr="00661E10" w:rsidRDefault="0064092E" w:rsidP="003D23A0">
      <w:r>
        <w:t xml:space="preserve">The </w:t>
      </w:r>
      <w:r w:rsidR="003D23A0" w:rsidRPr="00661E10">
        <w:t>ADM</w:t>
      </w:r>
      <w:r>
        <w:t>/Tetra Tech team</w:t>
      </w:r>
      <w:r w:rsidR="003D23A0" w:rsidRPr="00661E10">
        <w:t xml:space="preserve"> conducted limited process evaluation activities during PY7. </w:t>
      </w:r>
      <w:r w:rsidR="0009501A">
        <w:t>Tetra Tech</w:t>
      </w:r>
      <w:r w:rsidR="0009501A" w:rsidRPr="00661E10">
        <w:t xml:space="preserve"> </w:t>
      </w:r>
      <w:r w:rsidR="003D23A0" w:rsidRPr="00661E10">
        <w:t xml:space="preserve">conducted interviews with participating retailers for the Energy Efficient Products program’s upstream lighting and electronics components; interviews with homebuilders and raters for the Home Performance program; interviews with participating contractors; and participant surveys for the non-residential Energy Efficient Buildings programs (Small and Large). </w:t>
      </w:r>
      <w:r w:rsidR="003D23A0">
        <w:fldChar w:fldCharType="begin"/>
      </w:r>
      <w:r w:rsidR="003D23A0">
        <w:instrText xml:space="preserve"> REF _Ref472450127 \h </w:instrText>
      </w:r>
      <w:r w:rsidR="003D23A0">
        <w:fldChar w:fldCharType="separate"/>
      </w:r>
      <w:r w:rsidR="00C301D0">
        <w:t>Table A-</w:t>
      </w:r>
      <w:r w:rsidR="00C301D0">
        <w:rPr>
          <w:noProof/>
        </w:rPr>
        <w:t>34</w:t>
      </w:r>
      <w:r w:rsidR="003D23A0">
        <w:fldChar w:fldCharType="end"/>
      </w:r>
      <w:r w:rsidR="003D23A0" w:rsidRPr="00661E10">
        <w:t xml:space="preserve"> summarizes the data sources </w:t>
      </w:r>
      <w:r w:rsidR="0009501A">
        <w:t>Tetra Tech</w:t>
      </w:r>
      <w:r w:rsidR="0009501A" w:rsidRPr="00661E10">
        <w:t xml:space="preserve"> </w:t>
      </w:r>
      <w:r w:rsidR="003D23A0" w:rsidRPr="00661E10">
        <w:t>used and its key findings for each program.</w:t>
      </w:r>
    </w:p>
    <w:p w:rsidR="003D23A0" w:rsidRDefault="003D23A0" w:rsidP="003D23A0"/>
    <w:p w:rsidR="008D7800" w:rsidRDefault="008D7800" w:rsidP="003D23A0"/>
    <w:p w:rsidR="003D23A0" w:rsidRPr="004C1CF8" w:rsidRDefault="003D23A0" w:rsidP="003D23A0">
      <w:pPr>
        <w:pStyle w:val="Caption"/>
      </w:pPr>
      <w:bookmarkStart w:id="712" w:name="_Ref472450127"/>
      <w:bookmarkStart w:id="713" w:name="_Toc472472443"/>
      <w:bookmarkStart w:id="714" w:name="_Toc476842149"/>
      <w:r>
        <w:lastRenderedPageBreak/>
        <w:t>Table A-</w:t>
      </w:r>
      <w:fldSimple w:instr=" SEQ Table_A- \* ARABIC ">
        <w:r w:rsidR="00C301D0">
          <w:rPr>
            <w:noProof/>
          </w:rPr>
          <w:t>34</w:t>
        </w:r>
      </w:fldSimple>
      <w:bookmarkEnd w:id="712"/>
      <w:r>
        <w:t xml:space="preserve">: </w:t>
      </w:r>
      <w:r w:rsidRPr="004C1CF8">
        <w:t>Summary of Key Findings and Data Sources – FirstEnergy</w:t>
      </w:r>
      <w:bookmarkEnd w:id="713"/>
      <w:bookmarkEnd w:id="714"/>
    </w:p>
    <w:tbl>
      <w:tblPr>
        <w:tblW w:w="9371"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447"/>
        <w:gridCol w:w="5133"/>
        <w:gridCol w:w="2791"/>
      </w:tblGrid>
      <w:tr w:rsidR="00A874AC" w:rsidRPr="00661E10" w:rsidTr="0017534C">
        <w:trPr>
          <w:cantSplit/>
          <w:trHeight w:val="141"/>
          <w:tblHeader/>
          <w:jc w:val="center"/>
        </w:trPr>
        <w:tc>
          <w:tcPr>
            <w:tcW w:w="1447" w:type="dxa"/>
            <w:shd w:val="clear" w:color="auto" w:fill="448A99"/>
            <w:vAlign w:val="bottom"/>
            <w:hideMark/>
          </w:tcPr>
          <w:p w:rsidR="003D23A0" w:rsidRPr="00661E10" w:rsidRDefault="003D23A0" w:rsidP="005C1352">
            <w:pPr>
              <w:jc w:val="left"/>
              <w:rPr>
                <w:b/>
                <w:color w:val="FFFFFF"/>
                <w:sz w:val="20"/>
                <w:szCs w:val="20"/>
              </w:rPr>
            </w:pPr>
            <w:r w:rsidRPr="00661E10">
              <w:rPr>
                <w:b/>
                <w:color w:val="FFFFFF"/>
                <w:sz w:val="20"/>
                <w:szCs w:val="20"/>
              </w:rPr>
              <w:t>Program</w:t>
            </w:r>
          </w:p>
        </w:tc>
        <w:tc>
          <w:tcPr>
            <w:tcW w:w="5133" w:type="dxa"/>
            <w:shd w:val="clear" w:color="auto" w:fill="448A99"/>
            <w:vAlign w:val="bottom"/>
            <w:hideMark/>
          </w:tcPr>
          <w:p w:rsidR="003D23A0" w:rsidRPr="00661E10" w:rsidRDefault="003D23A0" w:rsidP="005C1352">
            <w:pPr>
              <w:jc w:val="center"/>
              <w:rPr>
                <w:b/>
                <w:color w:val="FFFFFF"/>
                <w:sz w:val="20"/>
                <w:szCs w:val="20"/>
              </w:rPr>
            </w:pPr>
            <w:r w:rsidRPr="00661E10">
              <w:rPr>
                <w:b/>
                <w:color w:val="FFFFFF"/>
                <w:sz w:val="20"/>
                <w:szCs w:val="20"/>
              </w:rPr>
              <w:t>Key Findings</w:t>
            </w:r>
          </w:p>
        </w:tc>
        <w:tc>
          <w:tcPr>
            <w:tcW w:w="2791" w:type="dxa"/>
            <w:shd w:val="clear" w:color="auto" w:fill="448A99"/>
            <w:vAlign w:val="bottom"/>
            <w:hideMark/>
          </w:tcPr>
          <w:p w:rsidR="003D23A0" w:rsidRPr="00661E10" w:rsidRDefault="003D23A0" w:rsidP="005C1352">
            <w:pPr>
              <w:jc w:val="center"/>
              <w:rPr>
                <w:b/>
                <w:color w:val="FFFFFF"/>
                <w:sz w:val="20"/>
                <w:szCs w:val="20"/>
              </w:rPr>
            </w:pPr>
            <w:r w:rsidRPr="00661E10">
              <w:rPr>
                <w:b/>
                <w:color w:val="FFFFFF"/>
                <w:sz w:val="20"/>
                <w:szCs w:val="20"/>
              </w:rPr>
              <w:t>Data Sources</w:t>
            </w:r>
          </w:p>
        </w:tc>
      </w:tr>
      <w:tr w:rsidR="00E7173E" w:rsidRPr="00661E10" w:rsidTr="00DD4CC7">
        <w:trPr>
          <w:trHeight w:val="141"/>
          <w:jc w:val="center"/>
        </w:trPr>
        <w:tc>
          <w:tcPr>
            <w:tcW w:w="9371" w:type="dxa"/>
            <w:gridSpan w:val="3"/>
            <w:shd w:val="clear" w:color="auto" w:fill="9C9393"/>
            <w:hideMark/>
          </w:tcPr>
          <w:p w:rsidR="003D23A0" w:rsidRPr="00661E10" w:rsidRDefault="003D23A0" w:rsidP="005C1352">
            <w:pPr>
              <w:jc w:val="left"/>
              <w:rPr>
                <w:b/>
                <w:i/>
                <w:color w:val="FFFFFF"/>
                <w:sz w:val="20"/>
                <w:szCs w:val="20"/>
              </w:rPr>
            </w:pPr>
            <w:r w:rsidRPr="00661E10">
              <w:rPr>
                <w:b/>
                <w:color w:val="FFFFFF"/>
                <w:sz w:val="20"/>
                <w:szCs w:val="20"/>
              </w:rPr>
              <w:t>Residential Sector</w:t>
            </w:r>
          </w:p>
        </w:tc>
      </w:tr>
      <w:tr w:rsidR="00E7173E" w:rsidRPr="00661E10" w:rsidTr="00DD4CC7">
        <w:trPr>
          <w:trHeight w:val="141"/>
          <w:jc w:val="center"/>
        </w:trPr>
        <w:tc>
          <w:tcPr>
            <w:tcW w:w="1447" w:type="dxa"/>
            <w:shd w:val="clear" w:color="auto" w:fill="D2EAF1"/>
          </w:tcPr>
          <w:p w:rsidR="003D23A0" w:rsidRPr="00661E10" w:rsidRDefault="003D23A0" w:rsidP="005C1352">
            <w:pPr>
              <w:jc w:val="left"/>
              <w:rPr>
                <w:sz w:val="20"/>
              </w:rPr>
            </w:pPr>
            <w:r w:rsidRPr="00661E10">
              <w:rPr>
                <w:sz w:val="20"/>
              </w:rPr>
              <w:t>Energy Efficient Products</w:t>
            </w:r>
          </w:p>
        </w:tc>
        <w:tc>
          <w:tcPr>
            <w:tcW w:w="5133" w:type="dxa"/>
            <w:shd w:val="clear" w:color="auto" w:fill="D2EAF1"/>
          </w:tcPr>
          <w:p w:rsidR="003D23A0" w:rsidRPr="00661E10" w:rsidRDefault="003D23A0" w:rsidP="009349F1">
            <w:pPr>
              <w:numPr>
                <w:ilvl w:val="0"/>
                <w:numId w:val="12"/>
              </w:numPr>
              <w:autoSpaceDE w:val="0"/>
              <w:autoSpaceDN w:val="0"/>
              <w:adjustRightInd w:val="0"/>
              <w:ind w:left="232" w:hanging="180"/>
              <w:contextualSpacing/>
              <w:jc w:val="left"/>
              <w:rPr>
                <w:rFonts w:cs="Calibri"/>
                <w:sz w:val="20"/>
                <w:szCs w:val="20"/>
              </w:rPr>
            </w:pPr>
            <w:r w:rsidRPr="00661E10">
              <w:rPr>
                <w:rFonts w:cs="Calibri"/>
                <w:sz w:val="20"/>
                <w:szCs w:val="20"/>
              </w:rPr>
              <w:t>High satisfaction with the program and the array of eligible measures among participating retailers.</w:t>
            </w:r>
          </w:p>
          <w:p w:rsidR="003D23A0" w:rsidRPr="00661E10" w:rsidRDefault="003D23A0" w:rsidP="009349F1">
            <w:pPr>
              <w:numPr>
                <w:ilvl w:val="0"/>
                <w:numId w:val="12"/>
              </w:numPr>
              <w:autoSpaceDE w:val="0"/>
              <w:autoSpaceDN w:val="0"/>
              <w:adjustRightInd w:val="0"/>
              <w:ind w:left="232" w:hanging="180"/>
              <w:contextualSpacing/>
              <w:jc w:val="left"/>
              <w:rPr>
                <w:rFonts w:cs="Calibri"/>
                <w:sz w:val="20"/>
                <w:szCs w:val="20"/>
              </w:rPr>
            </w:pPr>
            <w:r w:rsidRPr="00661E10">
              <w:rPr>
                <w:rFonts w:cs="Calibri"/>
                <w:sz w:val="20"/>
                <w:szCs w:val="20"/>
              </w:rPr>
              <w:t>Retailers have close working relationships with the program implementers.</w:t>
            </w:r>
          </w:p>
          <w:p w:rsidR="003D23A0" w:rsidRPr="00661E10" w:rsidRDefault="003D23A0" w:rsidP="009349F1">
            <w:pPr>
              <w:numPr>
                <w:ilvl w:val="0"/>
                <w:numId w:val="12"/>
              </w:numPr>
              <w:autoSpaceDE w:val="0"/>
              <w:autoSpaceDN w:val="0"/>
              <w:adjustRightInd w:val="0"/>
              <w:ind w:left="232" w:hanging="180"/>
              <w:contextualSpacing/>
              <w:jc w:val="left"/>
              <w:rPr>
                <w:rFonts w:cs="Calibri"/>
                <w:sz w:val="20"/>
                <w:szCs w:val="20"/>
              </w:rPr>
            </w:pPr>
            <w:r w:rsidRPr="00661E10">
              <w:rPr>
                <w:rFonts w:cs="Calibri"/>
                <w:sz w:val="20"/>
                <w:szCs w:val="20"/>
              </w:rPr>
              <w:t>Level of program activities varies by retail and individual stores within chains, but there are stores that held program-sponsored events, with signage and staff trained to promote energy efficiency among customers.</w:t>
            </w:r>
          </w:p>
          <w:p w:rsidR="003D23A0" w:rsidRPr="00661E10" w:rsidRDefault="003D23A0" w:rsidP="009349F1">
            <w:pPr>
              <w:numPr>
                <w:ilvl w:val="0"/>
                <w:numId w:val="12"/>
              </w:numPr>
              <w:autoSpaceDE w:val="0"/>
              <w:autoSpaceDN w:val="0"/>
              <w:adjustRightInd w:val="0"/>
              <w:ind w:left="232" w:hanging="180"/>
              <w:contextualSpacing/>
              <w:jc w:val="left"/>
              <w:rPr>
                <w:rFonts w:cs="Calibri"/>
                <w:sz w:val="20"/>
                <w:szCs w:val="20"/>
              </w:rPr>
            </w:pPr>
            <w:r w:rsidRPr="00661E10">
              <w:rPr>
                <w:rFonts w:cs="Calibri"/>
                <w:sz w:val="20"/>
                <w:szCs w:val="20"/>
              </w:rPr>
              <w:t xml:space="preserve">Participating stores are preferentially placing LEDs in prominent locations and have less shelf space dedicated to incandescent lamps than do nonparticipating stores. </w:t>
            </w:r>
          </w:p>
          <w:p w:rsidR="003D23A0" w:rsidRPr="00661E10" w:rsidRDefault="003D23A0" w:rsidP="009349F1">
            <w:pPr>
              <w:numPr>
                <w:ilvl w:val="0"/>
                <w:numId w:val="12"/>
              </w:numPr>
              <w:autoSpaceDE w:val="0"/>
              <w:autoSpaceDN w:val="0"/>
              <w:adjustRightInd w:val="0"/>
              <w:ind w:left="232" w:hanging="180"/>
              <w:contextualSpacing/>
              <w:jc w:val="left"/>
              <w:rPr>
                <w:rFonts w:cs="Calibri"/>
                <w:sz w:val="20"/>
                <w:szCs w:val="20"/>
              </w:rPr>
            </w:pPr>
            <w:r w:rsidRPr="00661E10">
              <w:rPr>
                <w:rFonts w:cs="Calibri"/>
                <w:sz w:val="20"/>
                <w:szCs w:val="20"/>
              </w:rPr>
              <w:t>Some participants suggested the program to be more flexible to midyear changes in measure eligibility and that it leverage market intelligence to adapt to the rapidly changing lighting market.</w:t>
            </w:r>
          </w:p>
        </w:tc>
        <w:tc>
          <w:tcPr>
            <w:tcW w:w="2791" w:type="dxa"/>
            <w:shd w:val="clear" w:color="auto" w:fill="D2EAF1"/>
          </w:tcPr>
          <w:p w:rsidR="003D23A0" w:rsidRPr="00661E10" w:rsidRDefault="003D23A0" w:rsidP="009349F1">
            <w:pPr>
              <w:numPr>
                <w:ilvl w:val="0"/>
                <w:numId w:val="12"/>
              </w:numPr>
              <w:autoSpaceDE w:val="0"/>
              <w:autoSpaceDN w:val="0"/>
              <w:adjustRightInd w:val="0"/>
              <w:ind w:left="232" w:hanging="180"/>
              <w:contextualSpacing/>
              <w:jc w:val="left"/>
              <w:rPr>
                <w:sz w:val="20"/>
                <w:szCs w:val="20"/>
              </w:rPr>
            </w:pPr>
            <w:r w:rsidRPr="00661E10">
              <w:rPr>
                <w:sz w:val="20"/>
                <w:szCs w:val="20"/>
              </w:rPr>
              <w:t>Interviews with participating retailers in upstream lighting and electronics components</w:t>
            </w:r>
          </w:p>
        </w:tc>
      </w:tr>
      <w:tr w:rsidR="003D23A0" w:rsidRPr="00661E10" w:rsidTr="00DD4CC7">
        <w:trPr>
          <w:trHeight w:val="141"/>
          <w:jc w:val="center"/>
        </w:trPr>
        <w:tc>
          <w:tcPr>
            <w:tcW w:w="1447" w:type="dxa"/>
          </w:tcPr>
          <w:p w:rsidR="003D23A0" w:rsidRPr="00661E10" w:rsidRDefault="003D23A0" w:rsidP="005C1352">
            <w:pPr>
              <w:jc w:val="left"/>
              <w:rPr>
                <w:sz w:val="20"/>
              </w:rPr>
            </w:pPr>
            <w:r w:rsidRPr="00661E10">
              <w:rPr>
                <w:sz w:val="20"/>
              </w:rPr>
              <w:t>Home Performance</w:t>
            </w:r>
          </w:p>
        </w:tc>
        <w:tc>
          <w:tcPr>
            <w:tcW w:w="5133" w:type="dxa"/>
          </w:tcPr>
          <w:p w:rsidR="003D23A0" w:rsidRPr="00661E10" w:rsidRDefault="003D23A0" w:rsidP="009349F1">
            <w:pPr>
              <w:numPr>
                <w:ilvl w:val="0"/>
                <w:numId w:val="11"/>
              </w:numPr>
              <w:autoSpaceDE w:val="0"/>
              <w:autoSpaceDN w:val="0"/>
              <w:adjustRightInd w:val="0"/>
              <w:ind w:left="232" w:hanging="180"/>
              <w:contextualSpacing/>
              <w:jc w:val="left"/>
              <w:rPr>
                <w:rFonts w:cs="Calibri"/>
                <w:sz w:val="20"/>
                <w:szCs w:val="20"/>
              </w:rPr>
            </w:pPr>
            <w:r w:rsidRPr="00661E10">
              <w:rPr>
                <w:rFonts w:cs="Calibri"/>
                <w:sz w:val="20"/>
                <w:szCs w:val="20"/>
              </w:rPr>
              <w:t>Moderate level of program satisfaction among builders. Commonly cited dissatisfactions are paperwork and logistical burdens (coordination with raters, time lag between application and receipt of rebates).</w:t>
            </w:r>
          </w:p>
          <w:p w:rsidR="003D23A0" w:rsidRPr="00661E10" w:rsidRDefault="003D23A0" w:rsidP="009349F1">
            <w:pPr>
              <w:numPr>
                <w:ilvl w:val="0"/>
                <w:numId w:val="11"/>
              </w:numPr>
              <w:autoSpaceDE w:val="0"/>
              <w:autoSpaceDN w:val="0"/>
              <w:adjustRightInd w:val="0"/>
              <w:ind w:left="232" w:hanging="180"/>
              <w:contextualSpacing/>
              <w:jc w:val="left"/>
              <w:rPr>
                <w:rFonts w:cs="Calibri"/>
                <w:sz w:val="20"/>
                <w:szCs w:val="20"/>
              </w:rPr>
            </w:pPr>
            <w:r w:rsidRPr="00661E10">
              <w:rPr>
                <w:rFonts w:cs="Calibri"/>
                <w:sz w:val="20"/>
                <w:szCs w:val="20"/>
              </w:rPr>
              <w:t xml:space="preserve">Nonparticipating builders are primarily concerned about incremental costs and documentation burden for application. </w:t>
            </w:r>
          </w:p>
          <w:p w:rsidR="003D23A0" w:rsidRPr="00661E10" w:rsidRDefault="003D23A0" w:rsidP="009349F1">
            <w:pPr>
              <w:numPr>
                <w:ilvl w:val="0"/>
                <w:numId w:val="11"/>
              </w:numPr>
              <w:autoSpaceDE w:val="0"/>
              <w:autoSpaceDN w:val="0"/>
              <w:adjustRightInd w:val="0"/>
              <w:ind w:left="232" w:hanging="180"/>
              <w:contextualSpacing/>
              <w:jc w:val="left"/>
              <w:rPr>
                <w:rFonts w:cs="Calibri"/>
                <w:sz w:val="20"/>
                <w:szCs w:val="20"/>
              </w:rPr>
            </w:pPr>
            <w:r w:rsidRPr="00661E10">
              <w:rPr>
                <w:rFonts w:cs="Calibri"/>
                <w:sz w:val="20"/>
                <w:szCs w:val="20"/>
              </w:rPr>
              <w:t>Participating builders perceive declining value of the ENERGY STAR New Home certification. Many of them are creating their own energy efficient packages.</w:t>
            </w:r>
          </w:p>
          <w:p w:rsidR="003D23A0" w:rsidRPr="00661E10" w:rsidRDefault="003D23A0" w:rsidP="009349F1">
            <w:pPr>
              <w:numPr>
                <w:ilvl w:val="0"/>
                <w:numId w:val="11"/>
              </w:numPr>
              <w:autoSpaceDE w:val="0"/>
              <w:autoSpaceDN w:val="0"/>
              <w:adjustRightInd w:val="0"/>
              <w:ind w:left="232" w:hanging="180"/>
              <w:contextualSpacing/>
              <w:jc w:val="left"/>
              <w:rPr>
                <w:rFonts w:cs="Calibri"/>
                <w:sz w:val="20"/>
                <w:szCs w:val="20"/>
              </w:rPr>
            </w:pPr>
            <w:r w:rsidRPr="00661E10">
              <w:rPr>
                <w:rFonts w:cs="Calibri"/>
                <w:sz w:val="20"/>
                <w:szCs w:val="20"/>
              </w:rPr>
              <w:t xml:space="preserve">Raters are satisfied with the program. Their common challenge is to appeal to builders for their service value. </w:t>
            </w:r>
          </w:p>
        </w:tc>
        <w:tc>
          <w:tcPr>
            <w:tcW w:w="2791" w:type="dxa"/>
          </w:tcPr>
          <w:p w:rsidR="003D23A0" w:rsidRPr="00661E10" w:rsidRDefault="003D23A0" w:rsidP="009349F1">
            <w:pPr>
              <w:numPr>
                <w:ilvl w:val="0"/>
                <w:numId w:val="12"/>
              </w:numPr>
              <w:autoSpaceDE w:val="0"/>
              <w:autoSpaceDN w:val="0"/>
              <w:adjustRightInd w:val="0"/>
              <w:ind w:left="232" w:hanging="180"/>
              <w:contextualSpacing/>
              <w:jc w:val="left"/>
              <w:rPr>
                <w:sz w:val="20"/>
              </w:rPr>
            </w:pPr>
            <w:r w:rsidRPr="00661E10">
              <w:rPr>
                <w:sz w:val="20"/>
              </w:rPr>
              <w:t>Interviews with participating and nonparticipating homebuilders and raters</w:t>
            </w:r>
          </w:p>
        </w:tc>
      </w:tr>
      <w:tr w:rsidR="00E7173E" w:rsidRPr="00661E10" w:rsidTr="00DD4CC7">
        <w:trPr>
          <w:trHeight w:val="141"/>
          <w:jc w:val="center"/>
        </w:trPr>
        <w:tc>
          <w:tcPr>
            <w:tcW w:w="9371" w:type="dxa"/>
            <w:gridSpan w:val="3"/>
            <w:shd w:val="clear" w:color="auto" w:fill="9C9393"/>
            <w:hideMark/>
          </w:tcPr>
          <w:p w:rsidR="003D23A0" w:rsidRPr="00661E10" w:rsidRDefault="003D23A0" w:rsidP="005C1352">
            <w:pPr>
              <w:ind w:left="139" w:hanging="180"/>
              <w:jc w:val="left"/>
              <w:rPr>
                <w:b/>
                <w:i/>
                <w:sz w:val="20"/>
              </w:rPr>
            </w:pPr>
            <w:r w:rsidRPr="00661E10">
              <w:rPr>
                <w:b/>
                <w:color w:val="FFFFFF"/>
                <w:sz w:val="20"/>
              </w:rPr>
              <w:t xml:space="preserve">Non-Residential </w:t>
            </w:r>
            <w:r w:rsidRPr="00661E10">
              <w:rPr>
                <w:b/>
                <w:color w:val="FFFFFF"/>
                <w:sz w:val="20"/>
                <w:szCs w:val="20"/>
              </w:rPr>
              <w:t>Sector</w:t>
            </w:r>
          </w:p>
        </w:tc>
      </w:tr>
      <w:tr w:rsidR="003D23A0" w:rsidRPr="00661E10" w:rsidTr="00DD4CC7">
        <w:trPr>
          <w:trHeight w:val="141"/>
          <w:jc w:val="center"/>
        </w:trPr>
        <w:tc>
          <w:tcPr>
            <w:tcW w:w="1447" w:type="dxa"/>
          </w:tcPr>
          <w:p w:rsidR="003D23A0" w:rsidRPr="00661E10" w:rsidRDefault="003D23A0" w:rsidP="005C1352">
            <w:pPr>
              <w:jc w:val="left"/>
              <w:rPr>
                <w:sz w:val="20"/>
              </w:rPr>
            </w:pPr>
            <w:r w:rsidRPr="00661E10">
              <w:rPr>
                <w:sz w:val="20"/>
              </w:rPr>
              <w:t>Energy Efficient Buildings (Small and Large)</w:t>
            </w:r>
          </w:p>
        </w:tc>
        <w:tc>
          <w:tcPr>
            <w:tcW w:w="5133" w:type="dxa"/>
          </w:tcPr>
          <w:p w:rsidR="003D23A0" w:rsidRPr="00661E10" w:rsidRDefault="003D23A0" w:rsidP="009349F1">
            <w:pPr>
              <w:numPr>
                <w:ilvl w:val="0"/>
                <w:numId w:val="10"/>
              </w:numPr>
              <w:autoSpaceDE w:val="0"/>
              <w:autoSpaceDN w:val="0"/>
              <w:adjustRightInd w:val="0"/>
              <w:ind w:left="236" w:hanging="180"/>
              <w:contextualSpacing/>
              <w:jc w:val="left"/>
              <w:rPr>
                <w:rFonts w:cs="Calibri"/>
                <w:sz w:val="20"/>
                <w:szCs w:val="20"/>
              </w:rPr>
            </w:pPr>
            <w:r w:rsidRPr="00661E10">
              <w:rPr>
                <w:rFonts w:cs="Calibri"/>
                <w:sz w:val="20"/>
                <w:szCs w:val="20"/>
              </w:rPr>
              <w:t xml:space="preserve">Participants in the custom component are highly satisfied with the program. </w:t>
            </w:r>
          </w:p>
          <w:p w:rsidR="003D23A0" w:rsidRPr="00661E10" w:rsidRDefault="003D23A0" w:rsidP="009349F1">
            <w:pPr>
              <w:numPr>
                <w:ilvl w:val="0"/>
                <w:numId w:val="10"/>
              </w:numPr>
              <w:autoSpaceDE w:val="0"/>
              <w:autoSpaceDN w:val="0"/>
              <w:adjustRightInd w:val="0"/>
              <w:ind w:left="236" w:hanging="180"/>
              <w:contextualSpacing/>
              <w:jc w:val="left"/>
              <w:rPr>
                <w:rFonts w:cs="Calibri"/>
                <w:sz w:val="20"/>
                <w:szCs w:val="20"/>
              </w:rPr>
            </w:pPr>
            <w:r w:rsidRPr="00661E10">
              <w:rPr>
                <w:rFonts w:cs="Calibri"/>
                <w:sz w:val="20"/>
                <w:szCs w:val="20"/>
              </w:rPr>
              <w:t>Participants in the kit component are satisfied, but they suggest upgrading lamps to LEDs.</w:t>
            </w:r>
          </w:p>
          <w:p w:rsidR="003D23A0" w:rsidRPr="00661E10" w:rsidRDefault="003D23A0" w:rsidP="009349F1">
            <w:pPr>
              <w:numPr>
                <w:ilvl w:val="0"/>
                <w:numId w:val="10"/>
              </w:numPr>
              <w:autoSpaceDE w:val="0"/>
              <w:autoSpaceDN w:val="0"/>
              <w:adjustRightInd w:val="0"/>
              <w:ind w:left="236" w:hanging="180"/>
              <w:contextualSpacing/>
              <w:jc w:val="left"/>
              <w:rPr>
                <w:rFonts w:cs="Calibri"/>
                <w:sz w:val="20"/>
                <w:szCs w:val="20"/>
              </w:rPr>
            </w:pPr>
            <w:r w:rsidRPr="00661E10">
              <w:rPr>
                <w:rFonts w:cs="Calibri"/>
                <w:sz w:val="20"/>
                <w:szCs w:val="20"/>
              </w:rPr>
              <w:t>Contractors are actively communicating with potential customers about savings opportunities, ROI, and NEB.</w:t>
            </w:r>
          </w:p>
          <w:p w:rsidR="003D23A0" w:rsidRPr="00661E10" w:rsidRDefault="003D23A0" w:rsidP="009349F1">
            <w:pPr>
              <w:numPr>
                <w:ilvl w:val="0"/>
                <w:numId w:val="10"/>
              </w:numPr>
              <w:autoSpaceDE w:val="0"/>
              <w:autoSpaceDN w:val="0"/>
              <w:adjustRightInd w:val="0"/>
              <w:ind w:left="236" w:hanging="180"/>
              <w:contextualSpacing/>
              <w:jc w:val="left"/>
              <w:rPr>
                <w:rFonts w:cs="Calibri"/>
                <w:sz w:val="20"/>
                <w:szCs w:val="20"/>
              </w:rPr>
            </w:pPr>
            <w:r w:rsidRPr="00661E10">
              <w:rPr>
                <w:rFonts w:cs="Calibri"/>
                <w:sz w:val="20"/>
                <w:szCs w:val="20"/>
              </w:rPr>
              <w:t xml:space="preserve">Contractors reported challenges with paperwork requirements, preapproval wait times, understanding eligibility requirements, and frequent QA inspections. </w:t>
            </w:r>
          </w:p>
        </w:tc>
        <w:tc>
          <w:tcPr>
            <w:tcW w:w="2791" w:type="dxa"/>
          </w:tcPr>
          <w:p w:rsidR="003D23A0" w:rsidRPr="00661E10" w:rsidRDefault="003D23A0" w:rsidP="009349F1">
            <w:pPr>
              <w:numPr>
                <w:ilvl w:val="0"/>
                <w:numId w:val="10"/>
              </w:numPr>
              <w:autoSpaceDE w:val="0"/>
              <w:autoSpaceDN w:val="0"/>
              <w:adjustRightInd w:val="0"/>
              <w:ind w:left="142" w:hanging="180"/>
              <w:contextualSpacing/>
              <w:jc w:val="left"/>
              <w:rPr>
                <w:sz w:val="20"/>
                <w:szCs w:val="20"/>
              </w:rPr>
            </w:pPr>
            <w:r w:rsidRPr="00661E10">
              <w:rPr>
                <w:sz w:val="20"/>
                <w:szCs w:val="20"/>
              </w:rPr>
              <w:t>Interviews with participating contractors</w:t>
            </w:r>
          </w:p>
          <w:p w:rsidR="003D23A0" w:rsidRPr="00661E10" w:rsidRDefault="003D23A0" w:rsidP="009349F1">
            <w:pPr>
              <w:numPr>
                <w:ilvl w:val="0"/>
                <w:numId w:val="10"/>
              </w:numPr>
              <w:autoSpaceDE w:val="0"/>
              <w:autoSpaceDN w:val="0"/>
              <w:adjustRightInd w:val="0"/>
              <w:ind w:left="142" w:hanging="180"/>
              <w:contextualSpacing/>
              <w:jc w:val="left"/>
              <w:rPr>
                <w:sz w:val="20"/>
                <w:szCs w:val="20"/>
              </w:rPr>
            </w:pPr>
            <w:r w:rsidRPr="00661E10">
              <w:rPr>
                <w:sz w:val="20"/>
                <w:szCs w:val="20"/>
              </w:rPr>
              <w:t>Participant surveys</w:t>
            </w:r>
          </w:p>
        </w:tc>
      </w:tr>
    </w:tbl>
    <w:p w:rsidR="003D23A0" w:rsidRPr="00661E10" w:rsidRDefault="003D23A0" w:rsidP="003D23A0"/>
    <w:p w:rsidR="00950837" w:rsidRDefault="00950837" w:rsidP="0043541C">
      <w:pPr>
        <w:pStyle w:val="AppendixAHeading2"/>
      </w:pPr>
      <w:r>
        <w:t>Statewide Evaluator Audit Activities and Findings</w:t>
      </w:r>
    </w:p>
    <w:p w:rsidR="00C737E8" w:rsidRDefault="00C737E8" w:rsidP="00C737E8">
      <w:r w:rsidRPr="00C737E8">
        <w:t xml:space="preserve">This section presents the activities of the SWE Team’s audits of </w:t>
      </w:r>
      <w:r>
        <w:t>Met-Ed</w:t>
      </w:r>
      <w:r w:rsidRPr="00C737E8">
        <w:t>’s portfolio of programs. It provides summary information and key findings from the SWE Team’s residential, low-income, non-residential, and NTG and process evaluation audit activities.</w:t>
      </w:r>
    </w:p>
    <w:p w:rsidR="008D7800" w:rsidRDefault="008D7800" w:rsidP="00C737E8"/>
    <w:p w:rsidR="005C3E63" w:rsidRDefault="005C3E63" w:rsidP="00C737E8"/>
    <w:p w:rsidR="005C3E63" w:rsidRDefault="005C3E63" w:rsidP="00C737E8"/>
    <w:p w:rsidR="005C3E63" w:rsidRDefault="005C3E63" w:rsidP="00C737E8"/>
    <w:p w:rsidR="005C3E63" w:rsidRDefault="005C3E63" w:rsidP="00C737E8"/>
    <w:p w:rsidR="00950837" w:rsidRDefault="00950837" w:rsidP="00D34B3E">
      <w:pPr>
        <w:pStyle w:val="AppendixAHeading3"/>
      </w:pPr>
      <w:r>
        <w:lastRenderedPageBreak/>
        <w:t>Residential Program Audit Summary</w:t>
      </w:r>
    </w:p>
    <w:p w:rsidR="00C77BCA" w:rsidRDefault="00C77BCA" w:rsidP="00745011">
      <w:pPr>
        <w:pStyle w:val="AppendixAHeading4"/>
      </w:pPr>
      <w:r>
        <w:t>Residential Lighting Program</w:t>
      </w:r>
    </w:p>
    <w:p w:rsidR="00C77BCA" w:rsidRDefault="00C77BCA" w:rsidP="00C77BCA">
      <w:pPr>
        <w:rPr>
          <w:rFonts w:eastAsia="Calibri"/>
        </w:rPr>
      </w:pPr>
      <w:r w:rsidRPr="00692B92">
        <w:rPr>
          <w:rFonts w:eastAsia="Calibri"/>
        </w:rPr>
        <w:t>For PY7, residential upstream lighting accounted for a majority of the reported savings in Met-Ed’s Efficient Products Program. The SWE Team reviewed the database and tracking system submitted by Met-Ed and its evaluation contractor to verify that the correct savings algorithms and deemed savings values were used in the program. The SWE Team also reviewed 10 invoices and product data sheets covering many different bulb types, from standard CFLs to decorative LEDs and floodlight bulbs. Due to the format of the tracking database, the SWE Team easily confirmed that the 2015 TRM was appropriately used for the calculations to quantify the program savings. The SWE Team also verified that FirstEnergy’s evaluation contractor correctly noted any discrepancies in the census data and accounted for any adjustments in the verified savings data.</w:t>
      </w:r>
    </w:p>
    <w:p w:rsidR="00C77BCA" w:rsidRDefault="00C77BCA" w:rsidP="00C77BCA">
      <w:pPr>
        <w:rPr>
          <w:rFonts w:eastAsia="Calibri"/>
        </w:rPr>
      </w:pPr>
    </w:p>
    <w:p w:rsidR="00C77BCA" w:rsidRPr="00692B92" w:rsidRDefault="00C77BCA" w:rsidP="00745011">
      <w:pPr>
        <w:pStyle w:val="AppendixAHeading4"/>
        <w:rPr>
          <w:rFonts w:eastAsia="Calibri"/>
        </w:rPr>
      </w:pPr>
      <w:r>
        <w:rPr>
          <w:rFonts w:eastAsia="Calibri"/>
        </w:rPr>
        <w:t>Appliance Turn-In Program</w:t>
      </w:r>
    </w:p>
    <w:p w:rsidR="00C77BCA" w:rsidRPr="00692B92" w:rsidRDefault="00C77BCA" w:rsidP="00C77BCA">
      <w:pPr>
        <w:rPr>
          <w:rFonts w:eastAsia="Calibri"/>
        </w:rPr>
      </w:pPr>
      <w:r w:rsidRPr="00692B92">
        <w:rPr>
          <w:rFonts w:eastAsia="Calibri"/>
        </w:rPr>
        <w:t xml:space="preserve">The SWE Team reviewed the spreadsheets and database used to calculate Met-Ed’s verified gross savings. Unlike </w:t>
      </w:r>
      <w:r>
        <w:rPr>
          <w:rFonts w:eastAsia="Calibri"/>
        </w:rPr>
        <w:t xml:space="preserve">in </w:t>
      </w:r>
      <w:r w:rsidRPr="00692B92">
        <w:rPr>
          <w:rFonts w:eastAsia="Calibri"/>
        </w:rPr>
        <w:t>previous years where the evaluat</w:t>
      </w:r>
      <w:r>
        <w:rPr>
          <w:rFonts w:eastAsia="Calibri"/>
        </w:rPr>
        <w:t>ion contractor</w:t>
      </w:r>
      <w:r w:rsidRPr="00692B92">
        <w:rPr>
          <w:rFonts w:eastAsia="Calibri"/>
        </w:rPr>
        <w:t xml:space="preserve"> simply used the deemed </w:t>
      </w:r>
      <w:r>
        <w:rPr>
          <w:rFonts w:eastAsia="Calibri"/>
        </w:rPr>
        <w:t>unit energy consumptions (</w:t>
      </w:r>
      <w:r w:rsidRPr="00692B92">
        <w:rPr>
          <w:rFonts w:eastAsia="Calibri"/>
        </w:rPr>
        <w:t>UECs</w:t>
      </w:r>
      <w:r>
        <w:rPr>
          <w:rFonts w:eastAsia="Calibri"/>
        </w:rPr>
        <w:t>)</w:t>
      </w:r>
      <w:r w:rsidRPr="00692B92">
        <w:rPr>
          <w:rFonts w:eastAsia="Calibri"/>
        </w:rPr>
        <w:t xml:space="preserve"> from the TRM, in PY7 the </w:t>
      </w:r>
      <w:r>
        <w:rPr>
          <w:rFonts w:eastAsia="Calibri"/>
        </w:rPr>
        <w:t>contractor</w:t>
      </w:r>
      <w:r w:rsidRPr="00692B92">
        <w:rPr>
          <w:rFonts w:eastAsia="Calibri"/>
        </w:rPr>
        <w:t xml:space="preserve"> calculated a utility-specific UEC from the PY7 appliance recycling customer database. The SWE Team confirmed that the UECs were calculated correctly using the 2015 TRM regression coefficients and PY7 Met-Ed customer data</w:t>
      </w:r>
      <w:r w:rsidR="00AF2C58">
        <w:rPr>
          <w:rFonts w:eastAsia="Calibri"/>
        </w:rPr>
        <w:t>,</w:t>
      </w:r>
      <w:r w:rsidRPr="00692B92">
        <w:rPr>
          <w:rFonts w:eastAsia="Calibri"/>
        </w:rPr>
        <w:t xml:space="preserve"> and that they were used correctly in determining annual kWh and kW savings. Because of a difference in how gross savings are calculated in the 2015 TRM, it was not necessary to account for refrigerator replacement. This is taken into account only in the </w:t>
      </w:r>
      <w:r>
        <w:rPr>
          <w:rFonts w:eastAsia="Calibri"/>
        </w:rPr>
        <w:t>n</w:t>
      </w:r>
      <w:r w:rsidRPr="00692B92">
        <w:rPr>
          <w:rFonts w:eastAsia="Calibri"/>
        </w:rPr>
        <w:t xml:space="preserve">et savings calculations. The </w:t>
      </w:r>
      <w:r>
        <w:rPr>
          <w:rFonts w:eastAsia="Calibri"/>
        </w:rPr>
        <w:t>E</w:t>
      </w:r>
      <w:r w:rsidRPr="00692B92">
        <w:rPr>
          <w:rFonts w:eastAsia="Calibri"/>
        </w:rPr>
        <w:t>xcel worksheets documented calculations clearly and were easy to follow.</w:t>
      </w:r>
    </w:p>
    <w:p w:rsidR="00C77BCA" w:rsidRPr="008D7800" w:rsidRDefault="00C77BCA" w:rsidP="008D7800"/>
    <w:p w:rsidR="00C77BCA" w:rsidRPr="00692B92" w:rsidRDefault="00C77BCA" w:rsidP="00745011">
      <w:pPr>
        <w:pStyle w:val="AppendixAHeading4"/>
      </w:pPr>
      <w:r w:rsidRPr="00692B92">
        <w:t>Efficient Products Program</w:t>
      </w:r>
    </w:p>
    <w:p w:rsidR="00C77BCA" w:rsidRPr="00692B92" w:rsidRDefault="00C77BCA" w:rsidP="00C77BCA">
      <w:pPr>
        <w:rPr>
          <w:rFonts w:eastAsia="Calibri"/>
        </w:rPr>
      </w:pPr>
      <w:r w:rsidRPr="00692B92">
        <w:rPr>
          <w:rFonts w:eastAsia="Calibri"/>
        </w:rPr>
        <w:t xml:space="preserve">The SWE Team thoroughly reviewed the data-tracking and reporting system containing the savings calculation and rebate invoice information for all of the Efficient Products </w:t>
      </w:r>
      <w:r>
        <w:rPr>
          <w:rFonts w:eastAsia="Calibri"/>
        </w:rPr>
        <w:t xml:space="preserve">Program </w:t>
      </w:r>
      <w:r w:rsidRPr="00692B92">
        <w:rPr>
          <w:rFonts w:eastAsia="Calibri"/>
        </w:rPr>
        <w:t xml:space="preserve">strata. Additionally, </w:t>
      </w:r>
      <w:r>
        <w:rPr>
          <w:rFonts w:eastAsia="Calibri"/>
        </w:rPr>
        <w:t>it</w:t>
      </w:r>
      <w:r w:rsidRPr="00692B92">
        <w:rPr>
          <w:rFonts w:eastAsia="Calibri"/>
        </w:rPr>
        <w:t xml:space="preserve"> checked the proper use of the 2015 TRM in calculating the savings for each of the product types. The SWE found that the heat pump water heater (HPWH) savings calculations strayed slightly from the TRM, but in an acceptably conservative fashion. According to the TRM, the HVAC interactive effect penalty only needs to be taken into account when the HPWH is installed in conditioned space and not when the default F</w:t>
      </w:r>
      <w:r w:rsidRPr="00692B92">
        <w:rPr>
          <w:rFonts w:eastAsia="Calibri"/>
          <w:vertAlign w:val="subscript"/>
        </w:rPr>
        <w:t>derate</w:t>
      </w:r>
      <w:r w:rsidRPr="00692B92">
        <w:rPr>
          <w:rFonts w:eastAsia="Calibri"/>
        </w:rPr>
        <w:t xml:space="preserve"> value is used. The evaluat</w:t>
      </w:r>
      <w:r>
        <w:rPr>
          <w:rFonts w:eastAsia="Calibri"/>
        </w:rPr>
        <w:t>ion contractor</w:t>
      </w:r>
      <w:r w:rsidRPr="00692B92">
        <w:rPr>
          <w:rFonts w:eastAsia="Calibri"/>
        </w:rPr>
        <w:t xml:space="preserve"> assumed both, which made the kWh estimates slightly conservative.</w:t>
      </w:r>
    </w:p>
    <w:p w:rsidR="00C77BCA" w:rsidRPr="00692B92" w:rsidRDefault="00C77BCA" w:rsidP="00C77BCA">
      <w:pPr>
        <w:rPr>
          <w:rFonts w:eastAsia="Calibri"/>
        </w:rPr>
      </w:pPr>
    </w:p>
    <w:p w:rsidR="00C77BCA" w:rsidRPr="00692B92" w:rsidRDefault="00C77BCA" w:rsidP="00745011">
      <w:pPr>
        <w:pStyle w:val="AppendixAHeading4"/>
      </w:pPr>
      <w:r w:rsidRPr="00692B92">
        <w:t>Home Performance Program</w:t>
      </w:r>
    </w:p>
    <w:p w:rsidR="00C77BCA" w:rsidRPr="00692B92" w:rsidRDefault="00C77BCA" w:rsidP="00C77BCA">
      <w:r w:rsidRPr="00692B92">
        <w:t xml:space="preserve">The SWE Team audited each operational component of the Home Performance Program: </w:t>
      </w:r>
      <w:r>
        <w:t>w</w:t>
      </w:r>
      <w:r w:rsidRPr="00692B92">
        <w:t xml:space="preserve">hole </w:t>
      </w:r>
      <w:r>
        <w:t>h</w:t>
      </w:r>
      <w:r w:rsidRPr="00692B92">
        <w:t xml:space="preserve">ouse </w:t>
      </w:r>
      <w:r>
        <w:t>d</w:t>
      </w:r>
      <w:r w:rsidRPr="00692B92">
        <w:t xml:space="preserve">irect </w:t>
      </w:r>
      <w:r>
        <w:t>i</w:t>
      </w:r>
      <w:r w:rsidRPr="00692B92">
        <w:t xml:space="preserve">nstall, </w:t>
      </w:r>
      <w:r>
        <w:t>h</w:t>
      </w:r>
      <w:r w:rsidRPr="00692B92">
        <w:t xml:space="preserve">ome </w:t>
      </w:r>
      <w:r>
        <w:t>e</w:t>
      </w:r>
      <w:r w:rsidRPr="00692B92">
        <w:t xml:space="preserve">nergy </w:t>
      </w:r>
      <w:r>
        <w:t>a</w:t>
      </w:r>
      <w:r w:rsidRPr="00692B92">
        <w:t xml:space="preserve">udit </w:t>
      </w:r>
      <w:r>
        <w:t>c</w:t>
      </w:r>
      <w:r w:rsidRPr="00692B92">
        <w:t xml:space="preserve">onservation </w:t>
      </w:r>
      <w:r>
        <w:t>k</w:t>
      </w:r>
      <w:r w:rsidRPr="00692B92">
        <w:t xml:space="preserve">its, </w:t>
      </w:r>
      <w:r>
        <w:t>n</w:t>
      </w:r>
      <w:r w:rsidRPr="00692B92">
        <w:t xml:space="preserve">ew </w:t>
      </w:r>
      <w:r>
        <w:t>h</w:t>
      </w:r>
      <w:r w:rsidRPr="00692B92">
        <w:t xml:space="preserve">omes, and HERs (the </w:t>
      </w:r>
      <w:r>
        <w:t>s</w:t>
      </w:r>
      <w:r w:rsidRPr="00692B92">
        <w:t xml:space="preserve">chool </w:t>
      </w:r>
      <w:r>
        <w:t>c</w:t>
      </w:r>
      <w:r w:rsidRPr="00692B92">
        <w:t xml:space="preserve">onservation kits component did not operate in PY7). The HERs accounted for a majority (66%) of the Home Performance Program savings in PY7. The SWE Team verified that the correct 2015 TRM savings were used for all measures in the </w:t>
      </w:r>
      <w:r>
        <w:t>h</w:t>
      </w:r>
      <w:r w:rsidRPr="00692B92">
        <w:t xml:space="preserve">ome </w:t>
      </w:r>
      <w:r>
        <w:t>e</w:t>
      </w:r>
      <w:r w:rsidRPr="00692B92">
        <w:t xml:space="preserve">nergy </w:t>
      </w:r>
      <w:r>
        <w:t>a</w:t>
      </w:r>
      <w:r w:rsidRPr="00692B92">
        <w:t xml:space="preserve">udit </w:t>
      </w:r>
      <w:r>
        <w:t>c</w:t>
      </w:r>
      <w:r w:rsidRPr="00692B92">
        <w:t xml:space="preserve">onservation </w:t>
      </w:r>
      <w:r>
        <w:t>k</w:t>
      </w:r>
      <w:r w:rsidRPr="00692B92">
        <w:t xml:space="preserve">its and that the FirstEnergy statewide receipt rate and ISRs were correctly applied to the items. </w:t>
      </w:r>
    </w:p>
    <w:p w:rsidR="00C77BCA" w:rsidRPr="00692B92" w:rsidRDefault="00C77BCA" w:rsidP="00C77BCA">
      <w:pPr>
        <w:spacing w:before="240"/>
      </w:pPr>
      <w:r w:rsidRPr="00692B92">
        <w:t xml:space="preserve">For the </w:t>
      </w:r>
      <w:r>
        <w:t>w</w:t>
      </w:r>
      <w:r w:rsidRPr="00692B92">
        <w:t xml:space="preserve">hole </w:t>
      </w:r>
      <w:r>
        <w:t>h</w:t>
      </w:r>
      <w:r w:rsidRPr="00692B92">
        <w:t xml:space="preserve">ouse </w:t>
      </w:r>
      <w:r>
        <w:t>d</w:t>
      </w:r>
      <w:r w:rsidRPr="00692B92">
        <w:t>irect</w:t>
      </w:r>
      <w:r w:rsidR="00AF2C58">
        <w:t>-</w:t>
      </w:r>
      <w:r>
        <w:t>i</w:t>
      </w:r>
      <w:r w:rsidRPr="00692B92">
        <w:t>nstall component, the SWE Team verified that the five highest contributing prescriptive measures and five randomly selected measures were calculated properly per the TRM protocols. The HER component received a full evaluation for the first time in Phase II in PY7. Due to the one-year measure life</w:t>
      </w:r>
      <w:r>
        <w:t>,</w:t>
      </w:r>
      <w:r w:rsidRPr="00692B92">
        <w:t xml:space="preserve"> it was unnecessary to evaluate </w:t>
      </w:r>
      <w:r>
        <w:t>this component</w:t>
      </w:r>
      <w:r w:rsidRPr="00692B92">
        <w:t xml:space="preserve"> in the other years. The SWE </w:t>
      </w:r>
      <w:r w:rsidRPr="00692B92">
        <w:lastRenderedPageBreak/>
        <w:t xml:space="preserve">reviewed the independent analysis performed by the </w:t>
      </w:r>
      <w:r w:rsidRPr="00692B92">
        <w:rPr>
          <w:rFonts w:eastAsia="Calibri"/>
        </w:rPr>
        <w:t>evaluat</w:t>
      </w:r>
      <w:r>
        <w:rPr>
          <w:rFonts w:eastAsia="Calibri"/>
        </w:rPr>
        <w:t>ion contractor</w:t>
      </w:r>
      <w:r w:rsidRPr="00692B92">
        <w:rPr>
          <w:rFonts w:eastAsia="Calibri"/>
        </w:rPr>
        <w:t xml:space="preserve"> </w:t>
      </w:r>
      <w:r w:rsidRPr="00692B92">
        <w:t xml:space="preserve">and verified that it was done correctly. There was good consistency between the results of the </w:t>
      </w:r>
      <w:r>
        <w:t>three</w:t>
      </w:r>
      <w:r w:rsidRPr="00692B92">
        <w:t xml:space="preserve"> analyses performed (</w:t>
      </w:r>
      <w:r w:rsidR="00A92A46">
        <w:t>OPower</w:t>
      </w:r>
      <w:r w:rsidRPr="00692B92">
        <w:t xml:space="preserve">’s, ADM’s replication of </w:t>
      </w:r>
      <w:r w:rsidR="00A92A46">
        <w:t>OPower</w:t>
      </w:r>
      <w:r w:rsidRPr="00692B92">
        <w:t>, and ADM’s), and the overall realization rate was 90%.</w:t>
      </w:r>
    </w:p>
    <w:p w:rsidR="00C77BCA" w:rsidRPr="00391C49" w:rsidRDefault="00C77BCA" w:rsidP="00391C49"/>
    <w:p w:rsidR="00950837" w:rsidRDefault="00950837" w:rsidP="00D34B3E">
      <w:pPr>
        <w:pStyle w:val="AppendixAHeading3"/>
      </w:pPr>
      <w:r>
        <w:t>Low-Income Program and Audit Summary</w:t>
      </w:r>
    </w:p>
    <w:p w:rsidR="00AC55E9" w:rsidRPr="00692B92" w:rsidRDefault="00AC55E9" w:rsidP="00AC55E9">
      <w:pPr>
        <w:spacing w:after="240"/>
      </w:pPr>
      <w:r w:rsidRPr="00692B92">
        <w:t xml:space="preserve">The SWE Team reviewed the two distribution branches of the Low-Income Program operational in PY7 (direct install and giveaway) to ensure that the savings were correctly calculated using the 2015 TRM and that the realization rates were correctly determined and applied appropriately. Met-Ed’s </w:t>
      </w:r>
      <w:r w:rsidRPr="00692B92">
        <w:rPr>
          <w:rFonts w:eastAsia="Calibri"/>
        </w:rPr>
        <w:t>evaluat</w:t>
      </w:r>
      <w:r>
        <w:rPr>
          <w:rFonts w:eastAsia="Calibri"/>
        </w:rPr>
        <w:t>ion contractor</w:t>
      </w:r>
      <w:r w:rsidRPr="00692B92">
        <w:rPr>
          <w:rFonts w:eastAsia="Calibri"/>
        </w:rPr>
        <w:t xml:space="preserve"> </w:t>
      </w:r>
      <w:r w:rsidRPr="00692B92">
        <w:t xml:space="preserve">provided a complete database of direct-install measures, which included a pivot table that ranked measures by individual measure contribution to total program kWh savings. Using this, the SWE Team verified the calculations for five measures with the greatest overall impact and verified five randomly selected measures. The SWE Team also confirmed that kWh and kW calculations for the estimations of savings for the </w:t>
      </w:r>
      <w:r>
        <w:t>g</w:t>
      </w:r>
      <w:r w:rsidRPr="00692B92">
        <w:t xml:space="preserve">iveaway </w:t>
      </w:r>
      <w:r>
        <w:t>p</w:t>
      </w:r>
      <w:r w:rsidRPr="00692B92">
        <w:t>rogram were implemented per the 2015 TRM.</w:t>
      </w:r>
    </w:p>
    <w:p w:rsidR="00AC55E9" w:rsidRPr="00692B92" w:rsidRDefault="00AC55E9" w:rsidP="00AC55E9">
      <w:r w:rsidRPr="00692B92">
        <w:t>Finally, the SWE Team verified that Met‐Ed was in compliance with the requirement that the number of energy conservation measures offered to low‐income households be proportionate to those households’ share of the total energy usage in Met‐Ed’s service territory. Met‐Ed offered six types of measures to the low‐income sector in PY7, which is 15% of the total number of measures offered across all sectors. This exceeded its goal of 8.8%.</w:t>
      </w:r>
    </w:p>
    <w:p w:rsidR="0016159A" w:rsidRPr="00692B92" w:rsidRDefault="0016159A" w:rsidP="00AC55E9"/>
    <w:p w:rsidR="00950837" w:rsidRDefault="00950837" w:rsidP="00D34B3E">
      <w:pPr>
        <w:pStyle w:val="AppendixAHeading3"/>
      </w:pPr>
      <w:r>
        <w:t>Non-Residential Program Audit Summary</w:t>
      </w:r>
    </w:p>
    <w:p w:rsidR="00B9141F" w:rsidRPr="00D85274" w:rsidRDefault="00B9141F" w:rsidP="00B9141F">
      <w:r w:rsidRPr="00D85274">
        <w:t>The SWE Team reviewed project files to audit the accuracy of the savings values stored in the program</w:t>
      </w:r>
      <w:r>
        <w:t>-</w:t>
      </w:r>
      <w:r w:rsidRPr="00D85274">
        <w:t xml:space="preserve">tracking database and to confirm that calculations were performed in accordance with the applicable TRM, or by some other reasonable methodology. The SWE Team reviewed </w:t>
      </w:r>
      <w:r>
        <w:t>nine</w:t>
      </w:r>
      <w:r w:rsidRPr="00D85274">
        <w:t xml:space="preserve"> projects in Met-Ed’s PY7 non-residential programs across various measures, including lighting, compressed air, VFDs, refrigeration, pumps, and motors. Project documentation was complete and thorough, with ample notes and explanation where necessary. One major addition in PY7 was a consistent site-specific cover page included in each project, where previously there may not have been. This was very helpful to the SWE. At this time, the SWE Team only recommends that in the interest of transparency, only the SWE-supplied Appendix C calculator be used for lighting projects moving forward.</w:t>
      </w:r>
    </w:p>
    <w:p w:rsidR="00B9141F" w:rsidRPr="00D85274" w:rsidRDefault="00B9141F" w:rsidP="00B9141F"/>
    <w:p w:rsidR="00B9141F" w:rsidRPr="00D85274" w:rsidRDefault="00B9141F" w:rsidP="00B9141F">
      <w:r w:rsidRPr="00D85274">
        <w:t xml:space="preserve">The SWE Team reviewed Met-Ed’s PY7 sample design to ensure its compliance with the Evaluation Framework. The results are displayed in </w:t>
      </w:r>
      <w:r>
        <w:fldChar w:fldCharType="begin"/>
      </w:r>
      <w:r>
        <w:instrText xml:space="preserve"> REF _Ref472392885 \h </w:instrText>
      </w:r>
      <w:r>
        <w:fldChar w:fldCharType="separate"/>
      </w:r>
      <w:r w:rsidR="00C301D0">
        <w:t>Table A-</w:t>
      </w:r>
      <w:r w:rsidR="00C301D0">
        <w:rPr>
          <w:noProof/>
        </w:rPr>
        <w:t>35</w:t>
      </w:r>
      <w:r>
        <w:fldChar w:fldCharType="end"/>
      </w:r>
      <w:r w:rsidRPr="00D85274">
        <w:t xml:space="preserve">, showing relative precision at the 85% confidence level. </w:t>
      </w:r>
    </w:p>
    <w:p w:rsidR="00B9141F" w:rsidRPr="00D85274" w:rsidRDefault="00B9141F" w:rsidP="00B9141F"/>
    <w:p w:rsidR="00B9141F" w:rsidRPr="00D85274" w:rsidRDefault="00B9141F" w:rsidP="00B9141F">
      <w:pPr>
        <w:pStyle w:val="Caption"/>
      </w:pPr>
      <w:bookmarkStart w:id="715" w:name="_Ref472392885"/>
      <w:bookmarkStart w:id="716" w:name="_Toc409225045"/>
      <w:bookmarkStart w:id="717" w:name="_Toc409443597"/>
      <w:bookmarkStart w:id="718" w:name="_Toc445206206"/>
      <w:bookmarkStart w:id="719" w:name="_Toc472472444"/>
      <w:bookmarkStart w:id="720" w:name="_Toc476842150"/>
      <w:r>
        <w:t>Table A-</w:t>
      </w:r>
      <w:fldSimple w:instr=" SEQ Table_A- \* ARABIC ">
        <w:r w:rsidR="00C301D0">
          <w:rPr>
            <w:noProof/>
          </w:rPr>
          <w:t>35</w:t>
        </w:r>
      </w:fldSimple>
      <w:bookmarkEnd w:id="715"/>
      <w:r>
        <w:t>:</w:t>
      </w:r>
      <w:r w:rsidRPr="00D85274">
        <w:t xml:space="preserve"> Compliance across Sample Designs for Met-Ed’s PY7 Non-Residential Program Groups</w:t>
      </w:r>
      <w:bookmarkEnd w:id="716"/>
      <w:bookmarkEnd w:id="717"/>
      <w:bookmarkEnd w:id="718"/>
      <w:bookmarkEnd w:id="719"/>
      <w:bookmarkEnd w:id="720"/>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178"/>
        <w:gridCol w:w="2060"/>
        <w:gridCol w:w="2061"/>
        <w:gridCol w:w="2061"/>
      </w:tblGrid>
      <w:tr w:rsidR="00A874AC" w:rsidRPr="00D85274" w:rsidTr="00391C49">
        <w:trPr>
          <w:trHeight w:val="592"/>
        </w:trPr>
        <w:tc>
          <w:tcPr>
            <w:tcW w:w="3178" w:type="dxa"/>
            <w:shd w:val="clear" w:color="000000" w:fill="448A99"/>
            <w:vAlign w:val="bottom"/>
            <w:hideMark/>
          </w:tcPr>
          <w:p w:rsidR="00B9141F" w:rsidRPr="00D85274" w:rsidRDefault="00B9141F" w:rsidP="00AC55E9">
            <w:pPr>
              <w:rPr>
                <w:b/>
                <w:bCs/>
                <w:color w:val="FFFFFF"/>
                <w:sz w:val="20"/>
                <w:szCs w:val="20"/>
              </w:rPr>
            </w:pPr>
            <w:r w:rsidRPr="00D85274">
              <w:rPr>
                <w:b/>
                <w:bCs/>
                <w:color w:val="FFFFFF"/>
                <w:sz w:val="20"/>
                <w:szCs w:val="20"/>
              </w:rPr>
              <w:t>Program</w:t>
            </w:r>
          </w:p>
        </w:tc>
        <w:tc>
          <w:tcPr>
            <w:tcW w:w="2060" w:type="dxa"/>
            <w:shd w:val="clear" w:color="000000" w:fill="448A99"/>
            <w:vAlign w:val="bottom"/>
            <w:hideMark/>
          </w:tcPr>
          <w:p w:rsidR="00B9141F" w:rsidRPr="00D85274" w:rsidRDefault="00B9141F" w:rsidP="00AC55E9">
            <w:pPr>
              <w:jc w:val="center"/>
              <w:rPr>
                <w:b/>
                <w:bCs/>
                <w:color w:val="FFFFFF"/>
                <w:sz w:val="20"/>
                <w:szCs w:val="20"/>
              </w:rPr>
            </w:pPr>
            <w:r w:rsidRPr="00D85274">
              <w:rPr>
                <w:b/>
                <w:bCs/>
                <w:color w:val="FFFFFF"/>
                <w:sz w:val="20"/>
                <w:szCs w:val="20"/>
              </w:rPr>
              <w:t>Relative Precision at 85% CL for Energy</w:t>
            </w:r>
          </w:p>
        </w:tc>
        <w:tc>
          <w:tcPr>
            <w:tcW w:w="2061" w:type="dxa"/>
            <w:shd w:val="clear" w:color="000000" w:fill="448A99"/>
            <w:vAlign w:val="bottom"/>
            <w:hideMark/>
          </w:tcPr>
          <w:p w:rsidR="00B9141F" w:rsidRPr="00D85274" w:rsidRDefault="00B9141F" w:rsidP="00AC55E9">
            <w:pPr>
              <w:jc w:val="center"/>
              <w:rPr>
                <w:b/>
                <w:bCs/>
                <w:color w:val="FFFFFF"/>
                <w:sz w:val="20"/>
                <w:szCs w:val="20"/>
              </w:rPr>
            </w:pPr>
            <w:r w:rsidRPr="00D85274">
              <w:rPr>
                <w:b/>
                <w:bCs/>
                <w:color w:val="FFFFFF"/>
                <w:sz w:val="20"/>
                <w:szCs w:val="20"/>
              </w:rPr>
              <w:t>Relative Precision at 85% CL for Demand</w:t>
            </w:r>
          </w:p>
        </w:tc>
        <w:tc>
          <w:tcPr>
            <w:tcW w:w="2061" w:type="dxa"/>
            <w:shd w:val="clear" w:color="000000" w:fill="448A99"/>
            <w:vAlign w:val="bottom"/>
            <w:hideMark/>
          </w:tcPr>
          <w:p w:rsidR="00B9141F" w:rsidRPr="00D85274" w:rsidRDefault="00B9141F" w:rsidP="00AC55E9">
            <w:pPr>
              <w:jc w:val="center"/>
              <w:rPr>
                <w:b/>
                <w:bCs/>
                <w:color w:val="FFFFFF"/>
                <w:sz w:val="20"/>
                <w:szCs w:val="20"/>
              </w:rPr>
            </w:pPr>
            <w:r w:rsidRPr="00D85274">
              <w:rPr>
                <w:b/>
                <w:bCs/>
                <w:color w:val="FFFFFF"/>
                <w:sz w:val="20"/>
                <w:szCs w:val="20"/>
              </w:rPr>
              <w:t>Compliance with Evaluation Framework</w:t>
            </w:r>
          </w:p>
        </w:tc>
      </w:tr>
      <w:tr w:rsidR="00A874AC" w:rsidRPr="00D85274" w:rsidTr="00391C49">
        <w:trPr>
          <w:trHeight w:val="346"/>
        </w:trPr>
        <w:tc>
          <w:tcPr>
            <w:tcW w:w="3178" w:type="dxa"/>
            <w:shd w:val="clear" w:color="000000" w:fill="D2EAF1"/>
            <w:noWrap/>
            <w:vAlign w:val="center"/>
          </w:tcPr>
          <w:p w:rsidR="00B9141F" w:rsidRPr="00D85274" w:rsidRDefault="00B9141F" w:rsidP="00AC55E9">
            <w:pPr>
              <w:jc w:val="left"/>
              <w:rPr>
                <w:bCs/>
                <w:color w:val="000000"/>
                <w:sz w:val="20"/>
                <w:szCs w:val="20"/>
              </w:rPr>
            </w:pPr>
            <w:r w:rsidRPr="00D85274">
              <w:rPr>
                <w:sz w:val="20"/>
                <w:szCs w:val="20"/>
              </w:rPr>
              <w:t>Small C/I Equipment</w:t>
            </w:r>
          </w:p>
        </w:tc>
        <w:tc>
          <w:tcPr>
            <w:tcW w:w="2060" w:type="dxa"/>
            <w:shd w:val="clear" w:color="000000" w:fill="D2EAF1"/>
            <w:noWrap/>
            <w:vAlign w:val="center"/>
          </w:tcPr>
          <w:p w:rsidR="00B9141F" w:rsidRPr="00D85274" w:rsidRDefault="00B9141F" w:rsidP="00AC55E9">
            <w:pPr>
              <w:jc w:val="center"/>
              <w:rPr>
                <w:color w:val="000000"/>
                <w:sz w:val="20"/>
                <w:szCs w:val="20"/>
              </w:rPr>
            </w:pPr>
            <w:r w:rsidRPr="00D85274">
              <w:rPr>
                <w:color w:val="000000"/>
                <w:sz w:val="20"/>
                <w:szCs w:val="20"/>
              </w:rPr>
              <w:t>12.3%</w:t>
            </w:r>
          </w:p>
        </w:tc>
        <w:tc>
          <w:tcPr>
            <w:tcW w:w="2061" w:type="dxa"/>
            <w:shd w:val="clear" w:color="000000" w:fill="D2EAF1"/>
            <w:noWrap/>
            <w:vAlign w:val="center"/>
          </w:tcPr>
          <w:p w:rsidR="00B9141F" w:rsidRPr="00D85274" w:rsidRDefault="00B9141F" w:rsidP="00AC55E9">
            <w:pPr>
              <w:jc w:val="center"/>
              <w:rPr>
                <w:color w:val="000000"/>
                <w:sz w:val="20"/>
                <w:szCs w:val="20"/>
              </w:rPr>
            </w:pPr>
            <w:r w:rsidRPr="00D85274">
              <w:rPr>
                <w:color w:val="000000"/>
                <w:sz w:val="20"/>
                <w:szCs w:val="20"/>
              </w:rPr>
              <w:t>12.6%</w:t>
            </w:r>
          </w:p>
        </w:tc>
        <w:tc>
          <w:tcPr>
            <w:tcW w:w="2061" w:type="dxa"/>
            <w:shd w:val="clear" w:color="000000" w:fill="D2EAF1"/>
            <w:noWrap/>
            <w:vAlign w:val="center"/>
          </w:tcPr>
          <w:p w:rsidR="00B9141F" w:rsidRPr="00D85274" w:rsidRDefault="00B9141F" w:rsidP="00AC55E9">
            <w:pPr>
              <w:jc w:val="center"/>
              <w:rPr>
                <w:color w:val="000000"/>
                <w:sz w:val="28"/>
                <w:szCs w:val="24"/>
              </w:rPr>
            </w:pPr>
            <w:r w:rsidRPr="00D85274">
              <w:rPr>
                <w:color w:val="00B050"/>
                <w:sz w:val="28"/>
                <w:szCs w:val="20"/>
              </w:rPr>
              <w:sym w:font="Wingdings" w:char="F0FC"/>
            </w:r>
          </w:p>
        </w:tc>
      </w:tr>
      <w:tr w:rsidR="00E7173E" w:rsidRPr="00D85274" w:rsidTr="00591467">
        <w:trPr>
          <w:trHeight w:val="346"/>
        </w:trPr>
        <w:tc>
          <w:tcPr>
            <w:tcW w:w="3178" w:type="dxa"/>
            <w:shd w:val="clear" w:color="auto" w:fill="auto"/>
            <w:noWrap/>
            <w:vAlign w:val="center"/>
          </w:tcPr>
          <w:p w:rsidR="00B9141F" w:rsidRPr="00D85274" w:rsidRDefault="00B9141F" w:rsidP="00AC55E9">
            <w:pPr>
              <w:jc w:val="left"/>
              <w:rPr>
                <w:bCs/>
                <w:color w:val="000000"/>
                <w:sz w:val="20"/>
                <w:szCs w:val="20"/>
              </w:rPr>
            </w:pPr>
            <w:r w:rsidRPr="00D85274">
              <w:rPr>
                <w:sz w:val="20"/>
                <w:szCs w:val="20"/>
              </w:rPr>
              <w:t>Small C/I Buildings</w:t>
            </w:r>
          </w:p>
        </w:tc>
        <w:tc>
          <w:tcPr>
            <w:tcW w:w="2060" w:type="dxa"/>
            <w:shd w:val="clear" w:color="auto" w:fill="auto"/>
            <w:noWrap/>
            <w:vAlign w:val="center"/>
          </w:tcPr>
          <w:p w:rsidR="00B9141F" w:rsidRPr="00D85274" w:rsidRDefault="00B9141F" w:rsidP="00AC55E9">
            <w:pPr>
              <w:jc w:val="center"/>
              <w:rPr>
                <w:color w:val="000000"/>
                <w:sz w:val="20"/>
                <w:szCs w:val="20"/>
              </w:rPr>
            </w:pPr>
            <w:r w:rsidRPr="00D85274">
              <w:rPr>
                <w:color w:val="000000"/>
                <w:sz w:val="20"/>
                <w:szCs w:val="20"/>
              </w:rPr>
              <w:t>13.7%</w:t>
            </w:r>
          </w:p>
        </w:tc>
        <w:tc>
          <w:tcPr>
            <w:tcW w:w="2061" w:type="dxa"/>
            <w:shd w:val="clear" w:color="auto" w:fill="auto"/>
            <w:noWrap/>
            <w:vAlign w:val="center"/>
          </w:tcPr>
          <w:p w:rsidR="00B9141F" w:rsidRPr="00D85274" w:rsidRDefault="00B9141F" w:rsidP="00AC55E9">
            <w:pPr>
              <w:jc w:val="center"/>
              <w:rPr>
                <w:color w:val="000000"/>
                <w:sz w:val="20"/>
                <w:szCs w:val="20"/>
              </w:rPr>
            </w:pPr>
            <w:r w:rsidRPr="00D85274">
              <w:rPr>
                <w:color w:val="000000"/>
                <w:sz w:val="20"/>
                <w:szCs w:val="20"/>
              </w:rPr>
              <w:t>13.2%</w:t>
            </w:r>
          </w:p>
        </w:tc>
        <w:tc>
          <w:tcPr>
            <w:tcW w:w="2061" w:type="dxa"/>
            <w:shd w:val="clear" w:color="auto" w:fill="auto"/>
            <w:noWrap/>
            <w:vAlign w:val="center"/>
          </w:tcPr>
          <w:p w:rsidR="00B9141F" w:rsidRPr="00D85274" w:rsidRDefault="00B9141F" w:rsidP="00AC55E9">
            <w:pPr>
              <w:jc w:val="center"/>
              <w:rPr>
                <w:color w:val="FF0000"/>
                <w:sz w:val="28"/>
                <w:szCs w:val="24"/>
              </w:rPr>
            </w:pPr>
            <w:r w:rsidRPr="00D85274">
              <w:rPr>
                <w:color w:val="00B050"/>
                <w:sz w:val="28"/>
                <w:szCs w:val="20"/>
              </w:rPr>
              <w:sym w:font="Wingdings" w:char="F0FC"/>
            </w:r>
          </w:p>
        </w:tc>
      </w:tr>
      <w:tr w:rsidR="00A874AC" w:rsidRPr="00D85274" w:rsidTr="00391C49">
        <w:trPr>
          <w:trHeight w:val="346"/>
        </w:trPr>
        <w:tc>
          <w:tcPr>
            <w:tcW w:w="3178" w:type="dxa"/>
            <w:shd w:val="clear" w:color="000000" w:fill="D2EAF1"/>
            <w:noWrap/>
            <w:vAlign w:val="center"/>
          </w:tcPr>
          <w:p w:rsidR="00B9141F" w:rsidRPr="00D85274" w:rsidRDefault="00B9141F" w:rsidP="00AC55E9">
            <w:pPr>
              <w:jc w:val="left"/>
              <w:rPr>
                <w:bCs/>
                <w:color w:val="000000"/>
                <w:sz w:val="20"/>
                <w:szCs w:val="20"/>
              </w:rPr>
            </w:pPr>
            <w:r w:rsidRPr="00D85274">
              <w:rPr>
                <w:sz w:val="20"/>
                <w:szCs w:val="20"/>
              </w:rPr>
              <w:t>Large C/I Equipment</w:t>
            </w:r>
          </w:p>
        </w:tc>
        <w:tc>
          <w:tcPr>
            <w:tcW w:w="2060" w:type="dxa"/>
            <w:shd w:val="clear" w:color="000000"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11.4%</w:t>
            </w:r>
          </w:p>
        </w:tc>
        <w:tc>
          <w:tcPr>
            <w:tcW w:w="2061" w:type="dxa"/>
            <w:shd w:val="clear" w:color="000000"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12.0%</w:t>
            </w:r>
          </w:p>
        </w:tc>
        <w:tc>
          <w:tcPr>
            <w:tcW w:w="2061" w:type="dxa"/>
            <w:shd w:val="clear" w:color="000000" w:fill="D2EAF1"/>
            <w:noWrap/>
            <w:vAlign w:val="center"/>
          </w:tcPr>
          <w:p w:rsidR="00B9141F" w:rsidRPr="00D85274" w:rsidRDefault="00B9141F" w:rsidP="00AC55E9">
            <w:pPr>
              <w:jc w:val="center"/>
              <w:rPr>
                <w:bCs/>
                <w:color w:val="FF0000"/>
                <w:sz w:val="28"/>
                <w:szCs w:val="24"/>
              </w:rPr>
            </w:pPr>
            <w:r w:rsidRPr="00D85274">
              <w:rPr>
                <w:color w:val="00B050"/>
                <w:sz w:val="28"/>
                <w:szCs w:val="20"/>
              </w:rPr>
              <w:sym w:font="Wingdings" w:char="F0FC"/>
            </w:r>
          </w:p>
        </w:tc>
      </w:tr>
      <w:tr w:rsidR="00E7173E" w:rsidRPr="00D85274" w:rsidTr="00591467">
        <w:trPr>
          <w:trHeight w:val="346"/>
        </w:trPr>
        <w:tc>
          <w:tcPr>
            <w:tcW w:w="3178" w:type="dxa"/>
            <w:shd w:val="clear" w:color="auto" w:fill="auto"/>
            <w:noWrap/>
            <w:vAlign w:val="center"/>
          </w:tcPr>
          <w:p w:rsidR="00B9141F" w:rsidRPr="00D85274" w:rsidRDefault="00B9141F" w:rsidP="00AC55E9">
            <w:pPr>
              <w:jc w:val="left"/>
              <w:rPr>
                <w:bCs/>
                <w:color w:val="000000"/>
                <w:sz w:val="20"/>
                <w:szCs w:val="20"/>
              </w:rPr>
            </w:pPr>
            <w:r w:rsidRPr="00D85274">
              <w:rPr>
                <w:sz w:val="20"/>
                <w:szCs w:val="20"/>
              </w:rPr>
              <w:t>Large C/I Buildings</w:t>
            </w:r>
          </w:p>
        </w:tc>
        <w:tc>
          <w:tcPr>
            <w:tcW w:w="2060" w:type="dxa"/>
            <w:shd w:val="clear" w:color="auto" w:fill="auto"/>
            <w:noWrap/>
            <w:vAlign w:val="center"/>
          </w:tcPr>
          <w:p w:rsidR="00B9141F" w:rsidRPr="00D85274" w:rsidRDefault="00B9141F" w:rsidP="00AC55E9">
            <w:pPr>
              <w:jc w:val="center"/>
              <w:rPr>
                <w:bCs/>
                <w:color w:val="000000"/>
                <w:sz w:val="20"/>
                <w:szCs w:val="20"/>
              </w:rPr>
            </w:pPr>
            <w:r w:rsidRPr="00D85274">
              <w:rPr>
                <w:bCs/>
                <w:color w:val="000000"/>
                <w:sz w:val="20"/>
                <w:szCs w:val="20"/>
              </w:rPr>
              <w:t>10.5%</w:t>
            </w:r>
          </w:p>
        </w:tc>
        <w:tc>
          <w:tcPr>
            <w:tcW w:w="2061" w:type="dxa"/>
            <w:shd w:val="clear" w:color="auto" w:fill="auto"/>
            <w:noWrap/>
            <w:vAlign w:val="center"/>
          </w:tcPr>
          <w:p w:rsidR="00B9141F" w:rsidRPr="00D85274" w:rsidRDefault="00B9141F" w:rsidP="00AC55E9">
            <w:pPr>
              <w:jc w:val="center"/>
              <w:rPr>
                <w:bCs/>
                <w:color w:val="000000"/>
                <w:sz w:val="20"/>
                <w:szCs w:val="20"/>
              </w:rPr>
            </w:pPr>
            <w:r w:rsidRPr="00D85274">
              <w:rPr>
                <w:bCs/>
                <w:color w:val="000000"/>
                <w:sz w:val="20"/>
                <w:szCs w:val="20"/>
              </w:rPr>
              <w:t>13.4%</w:t>
            </w:r>
          </w:p>
        </w:tc>
        <w:tc>
          <w:tcPr>
            <w:tcW w:w="2061" w:type="dxa"/>
            <w:shd w:val="clear" w:color="auto" w:fill="auto"/>
            <w:noWrap/>
            <w:vAlign w:val="center"/>
          </w:tcPr>
          <w:p w:rsidR="00B9141F" w:rsidRPr="00D85274" w:rsidRDefault="00B9141F" w:rsidP="00AC55E9">
            <w:pPr>
              <w:jc w:val="center"/>
              <w:rPr>
                <w:color w:val="00B050"/>
                <w:sz w:val="28"/>
                <w:szCs w:val="24"/>
              </w:rPr>
            </w:pPr>
            <w:r w:rsidRPr="00D85274">
              <w:rPr>
                <w:color w:val="00B050"/>
                <w:sz w:val="28"/>
                <w:szCs w:val="20"/>
              </w:rPr>
              <w:sym w:font="Wingdings" w:char="F0FC"/>
            </w:r>
          </w:p>
        </w:tc>
      </w:tr>
      <w:tr w:rsidR="00A874AC" w:rsidRPr="00D85274" w:rsidTr="00391C49">
        <w:trPr>
          <w:trHeight w:val="346"/>
        </w:trPr>
        <w:tc>
          <w:tcPr>
            <w:tcW w:w="3178" w:type="dxa"/>
            <w:shd w:val="clear" w:color="auto" w:fill="D2EAF1"/>
            <w:noWrap/>
            <w:vAlign w:val="center"/>
          </w:tcPr>
          <w:p w:rsidR="00B9141F" w:rsidRPr="00D85274" w:rsidRDefault="00B9141F" w:rsidP="00AC55E9">
            <w:pPr>
              <w:jc w:val="left"/>
              <w:rPr>
                <w:bCs/>
                <w:color w:val="000000"/>
                <w:sz w:val="20"/>
                <w:szCs w:val="20"/>
              </w:rPr>
            </w:pPr>
            <w:r w:rsidRPr="00D85274">
              <w:rPr>
                <w:sz w:val="20"/>
                <w:szCs w:val="20"/>
              </w:rPr>
              <w:t>Government/Institutional</w:t>
            </w:r>
          </w:p>
        </w:tc>
        <w:tc>
          <w:tcPr>
            <w:tcW w:w="2060" w:type="dxa"/>
            <w:shd w:val="clear" w:color="auto"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11.1%</w:t>
            </w:r>
          </w:p>
        </w:tc>
        <w:tc>
          <w:tcPr>
            <w:tcW w:w="2061" w:type="dxa"/>
            <w:shd w:val="clear" w:color="auto"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13.3%</w:t>
            </w:r>
          </w:p>
        </w:tc>
        <w:tc>
          <w:tcPr>
            <w:tcW w:w="2061" w:type="dxa"/>
            <w:shd w:val="clear" w:color="auto" w:fill="D2EAF1"/>
            <w:noWrap/>
            <w:vAlign w:val="center"/>
          </w:tcPr>
          <w:p w:rsidR="00B9141F" w:rsidRPr="00D85274" w:rsidRDefault="00B9141F" w:rsidP="00AC55E9">
            <w:pPr>
              <w:jc w:val="center"/>
              <w:rPr>
                <w:color w:val="00B050"/>
                <w:sz w:val="28"/>
                <w:szCs w:val="24"/>
              </w:rPr>
            </w:pPr>
            <w:r w:rsidRPr="00D85274">
              <w:rPr>
                <w:color w:val="00B050"/>
                <w:sz w:val="28"/>
                <w:szCs w:val="20"/>
              </w:rPr>
              <w:sym w:font="Wingdings" w:char="F0FC"/>
            </w:r>
          </w:p>
        </w:tc>
      </w:tr>
    </w:tbl>
    <w:p w:rsidR="00B9141F" w:rsidRPr="00D85274" w:rsidRDefault="00B9141F" w:rsidP="00B9141F"/>
    <w:p w:rsidR="00B9141F" w:rsidRPr="00D85274" w:rsidRDefault="00B9141F" w:rsidP="00B9141F">
      <w:r w:rsidRPr="00D85274">
        <w:lastRenderedPageBreak/>
        <w:t xml:space="preserve">Met-Ed met the goal of 15% precision at the 85% confidence level for energy for all non-residential program groups. Details concerning each program evaluation sample can be found </w:t>
      </w:r>
      <w:r w:rsidR="00423027">
        <w:t>below</w:t>
      </w:r>
      <w:r w:rsidRPr="00D85274">
        <w:t>.</w:t>
      </w:r>
    </w:p>
    <w:p w:rsidR="00B9141F" w:rsidRPr="00D85274" w:rsidRDefault="00B9141F" w:rsidP="00B9141F"/>
    <w:p w:rsidR="00B9141F" w:rsidRPr="00D85274" w:rsidRDefault="00B9141F" w:rsidP="00B9141F">
      <w:pPr>
        <w:rPr>
          <w:color w:val="000000"/>
        </w:rPr>
      </w:pPr>
      <w:r w:rsidRPr="00D85274">
        <w:rPr>
          <w:color w:val="000000"/>
        </w:rPr>
        <w:t>As part of the audit process, the SWE Team performed 17 ride-along site inspections of non-residential projects to oversee Met-Ed’s on-site evaluation practices. The projects included lighting, HVAC, and transformer upgrades. The SWE Team approved all of the sampled project inspections</w:t>
      </w:r>
      <w:r w:rsidR="004B7CE3">
        <w:rPr>
          <w:color w:val="000000"/>
        </w:rPr>
        <w:t xml:space="preserve"> and ex post calculations</w:t>
      </w:r>
      <w:r>
        <w:rPr>
          <w:color w:val="000000"/>
        </w:rPr>
        <w:t>. H</w:t>
      </w:r>
      <w:r w:rsidRPr="00D85274">
        <w:rPr>
          <w:color w:val="000000"/>
        </w:rPr>
        <w:t>owever</w:t>
      </w:r>
      <w:r>
        <w:rPr>
          <w:color w:val="000000"/>
        </w:rPr>
        <w:t>,</w:t>
      </w:r>
      <w:r w:rsidRPr="00D85274">
        <w:rPr>
          <w:color w:val="000000"/>
        </w:rPr>
        <w:t xml:space="preserve"> the SWE </w:t>
      </w:r>
      <w:r>
        <w:rPr>
          <w:color w:val="000000"/>
        </w:rPr>
        <w:t>T</w:t>
      </w:r>
      <w:r w:rsidRPr="00D85274">
        <w:rPr>
          <w:color w:val="000000"/>
        </w:rPr>
        <w:t xml:space="preserve">eam recommends that </w:t>
      </w:r>
      <w:r>
        <w:rPr>
          <w:color w:val="000000"/>
        </w:rPr>
        <w:t>Met-Ed</w:t>
      </w:r>
      <w:r w:rsidRPr="00D85274">
        <w:rPr>
          <w:color w:val="000000"/>
        </w:rPr>
        <w:t xml:space="preserve"> only use the </w:t>
      </w:r>
      <w:r>
        <w:rPr>
          <w:color w:val="000000"/>
        </w:rPr>
        <w:t xml:space="preserve">SWE-supplied </w:t>
      </w:r>
      <w:r w:rsidRPr="00D85274">
        <w:rPr>
          <w:color w:val="000000"/>
        </w:rPr>
        <w:t xml:space="preserve">Appendix C calculator for lighting projects moving forward. Details of all 17 projects and their associated findings from ride-along site inspections are presented </w:t>
      </w:r>
      <w:r w:rsidR="00423027">
        <w:t>below</w:t>
      </w:r>
      <w:r w:rsidRPr="008C64A7">
        <w:rPr>
          <w:color w:val="000000"/>
        </w:rPr>
        <w:t>.</w:t>
      </w:r>
    </w:p>
    <w:p w:rsidR="00B9141F" w:rsidRPr="00D85274" w:rsidRDefault="00B9141F" w:rsidP="00B9141F"/>
    <w:p w:rsidR="00B9141F" w:rsidRDefault="00B9141F" w:rsidP="00B9141F">
      <w:pPr>
        <w:rPr>
          <w:color w:val="000000"/>
        </w:rPr>
      </w:pPr>
      <w:r w:rsidRPr="00D85274">
        <w:t>The SWE Team performed a verified savings analysis on four submitted projects, checking for accuracy in calculations and the appropriateness</w:t>
      </w:r>
      <w:r w:rsidRPr="00D85274">
        <w:rPr>
          <w:color w:val="000000"/>
        </w:rPr>
        <w:t xml:space="preserve"> of the evaluation method and level of rigor selections. Previously, the SWE commented that </w:t>
      </w:r>
      <w:r>
        <w:rPr>
          <w:color w:val="000000"/>
        </w:rPr>
        <w:t>it</w:t>
      </w:r>
      <w:r w:rsidRPr="00D85274">
        <w:rPr>
          <w:color w:val="000000"/>
        </w:rPr>
        <w:t xml:space="preserve"> “would like to see better organization and presentation in the project files</w:t>
      </w:r>
      <w:r>
        <w:rPr>
          <w:color w:val="000000"/>
        </w:rPr>
        <w:t>,</w:t>
      </w:r>
      <w:r w:rsidRPr="00D85274">
        <w:rPr>
          <w:color w:val="000000"/>
        </w:rPr>
        <w:t>” and there was significant improvement in this respect for PY7. Project folders were well</w:t>
      </w:r>
      <w:r>
        <w:rPr>
          <w:color w:val="000000"/>
        </w:rPr>
        <w:t xml:space="preserve"> </w:t>
      </w:r>
      <w:r w:rsidRPr="00D85274">
        <w:rPr>
          <w:color w:val="000000"/>
        </w:rPr>
        <w:t xml:space="preserve">organized and there was a report for each project detailing M&amp;V methodology and results. The results of the verified savings analysis are </w:t>
      </w:r>
      <w:r>
        <w:rPr>
          <w:color w:val="000000"/>
        </w:rPr>
        <w:t>presented</w:t>
      </w:r>
      <w:r w:rsidRPr="00D85274">
        <w:rPr>
          <w:color w:val="000000"/>
        </w:rPr>
        <w:t xml:space="preserve"> </w:t>
      </w:r>
      <w:r w:rsidR="00423027">
        <w:t>below</w:t>
      </w:r>
      <w:r w:rsidRPr="00D85274">
        <w:rPr>
          <w:color w:val="000000"/>
        </w:rPr>
        <w:t>.</w:t>
      </w:r>
    </w:p>
    <w:p w:rsidR="00392FE1" w:rsidRDefault="00392FE1" w:rsidP="00B9141F">
      <w:pPr>
        <w:rPr>
          <w:color w:val="000000"/>
        </w:rPr>
      </w:pPr>
    </w:p>
    <w:p w:rsidR="00392FE1" w:rsidRPr="003458B1" w:rsidRDefault="00392FE1" w:rsidP="00392FE1">
      <w:pPr>
        <w:pStyle w:val="AppendixAHeading4"/>
        <w:rPr>
          <w:rFonts w:eastAsia="Calibri"/>
        </w:rPr>
      </w:pPr>
      <w:bookmarkStart w:id="721" w:name="_Ref408508287"/>
      <w:bookmarkStart w:id="722" w:name="_Toc408557483"/>
      <w:r w:rsidRPr="003458B1">
        <w:rPr>
          <w:rFonts w:eastAsia="Calibri"/>
        </w:rPr>
        <w:t>Project Files Review</w:t>
      </w:r>
      <w:bookmarkEnd w:id="721"/>
      <w:bookmarkEnd w:id="722"/>
    </w:p>
    <w:p w:rsidR="00392FE1" w:rsidRDefault="00392FE1" w:rsidP="00392FE1">
      <w:pPr>
        <w:rPr>
          <w:color w:val="000000"/>
        </w:rPr>
      </w:pPr>
      <w:r w:rsidRPr="00C31904">
        <w:rPr>
          <w:color w:val="000000"/>
        </w:rPr>
        <w:t>The SWE Team</w:t>
      </w:r>
      <w:r w:rsidRPr="003458B1">
        <w:rPr>
          <w:color w:val="000000"/>
        </w:rPr>
        <w:t xml:space="preserve"> reviewed </w:t>
      </w:r>
      <w:r>
        <w:rPr>
          <w:color w:val="000000"/>
        </w:rPr>
        <w:t>nine</w:t>
      </w:r>
      <w:r w:rsidRPr="003458B1">
        <w:rPr>
          <w:color w:val="000000"/>
        </w:rPr>
        <w:t xml:space="preserve"> projects in Met-Ed’s PY7 non-residential programs across various measures, including lighting, compressed air, VFDs, refrigeration, pumps, and motors. The submitted files included project-level savings calculation workbooks, application forms, measure installation confirmation, equipment specification sheets, invoices, post-installation inspection reports, and other supporting documents. Project documentation was complete and thorough, with ample notes and explanation where necessary. One major addition in PY7 was a consistent site-specific cover page included in each project, where previously there may not have been. This was very helpful to the SWE.</w:t>
      </w:r>
    </w:p>
    <w:p w:rsidR="006E720E" w:rsidRDefault="006E720E" w:rsidP="00392FE1">
      <w:pPr>
        <w:rPr>
          <w:color w:val="000000"/>
        </w:rPr>
      </w:pPr>
    </w:p>
    <w:p w:rsidR="006E720E" w:rsidRDefault="006E720E" w:rsidP="00392FE1">
      <w:pPr>
        <w:rPr>
          <w:color w:val="000000"/>
        </w:rPr>
      </w:pPr>
      <w:r>
        <w:rPr>
          <w:color w:val="000000"/>
        </w:rPr>
        <w:fldChar w:fldCharType="begin"/>
      </w:r>
      <w:r>
        <w:rPr>
          <w:color w:val="000000"/>
        </w:rPr>
        <w:instrText xml:space="preserve"> REF _Ref472466656 \h </w:instrText>
      </w:r>
      <w:r>
        <w:rPr>
          <w:color w:val="000000"/>
        </w:rPr>
      </w:r>
      <w:r>
        <w:rPr>
          <w:color w:val="000000"/>
        </w:rPr>
        <w:fldChar w:fldCharType="separate"/>
      </w:r>
      <w:r w:rsidR="00C301D0">
        <w:t>Table A-</w:t>
      </w:r>
      <w:r w:rsidR="00C301D0">
        <w:rPr>
          <w:noProof/>
        </w:rPr>
        <w:t>36</w:t>
      </w:r>
      <w:r>
        <w:rPr>
          <w:color w:val="000000"/>
        </w:rPr>
        <w:fldChar w:fldCharType="end"/>
      </w:r>
      <w:r>
        <w:rPr>
          <w:color w:val="000000"/>
        </w:rPr>
        <w:t xml:space="preserve"> </w:t>
      </w:r>
      <w:r w:rsidRPr="006E6583">
        <w:rPr>
          <w:color w:val="000000"/>
        </w:rPr>
        <w:t xml:space="preserve">presents an overview of the projects that were reviewed by the SWE </w:t>
      </w:r>
      <w:r>
        <w:rPr>
          <w:color w:val="000000"/>
        </w:rPr>
        <w:t xml:space="preserve">Team </w:t>
      </w:r>
      <w:r w:rsidRPr="006E6583">
        <w:rPr>
          <w:color w:val="000000"/>
        </w:rPr>
        <w:t xml:space="preserve">and </w:t>
      </w:r>
      <w:r>
        <w:rPr>
          <w:color w:val="000000"/>
        </w:rPr>
        <w:t>the</w:t>
      </w:r>
      <w:r w:rsidRPr="006E6583">
        <w:rPr>
          <w:color w:val="000000"/>
        </w:rPr>
        <w:t xml:space="preserve"> findings</w:t>
      </w:r>
      <w:r w:rsidR="00C83389">
        <w:rPr>
          <w:color w:val="000000"/>
        </w:rPr>
        <w:t>.</w:t>
      </w:r>
    </w:p>
    <w:p w:rsidR="00392FE1" w:rsidRDefault="00392FE1" w:rsidP="00392FE1">
      <w:pPr>
        <w:rPr>
          <w:color w:val="000000"/>
        </w:rPr>
      </w:pPr>
    </w:p>
    <w:p w:rsidR="006E720E" w:rsidRDefault="006E720E" w:rsidP="00392FE1">
      <w:pPr>
        <w:rPr>
          <w:color w:val="000000"/>
        </w:rPr>
        <w:sectPr w:rsidR="006E720E" w:rsidSect="008D7800">
          <w:headerReference w:type="default" r:id="rId105"/>
          <w:footerReference w:type="default" r:id="rId106"/>
          <w:headerReference w:type="first" r:id="rId107"/>
          <w:footerReference w:type="first" r:id="rId108"/>
          <w:pgSz w:w="12240" w:h="15840"/>
          <w:pgMar w:top="1440" w:right="1440" w:bottom="1440" w:left="1440" w:header="720" w:footer="288" w:gutter="0"/>
          <w:cols w:space="720"/>
          <w:titlePg/>
          <w:docGrid w:linePitch="360"/>
        </w:sectPr>
      </w:pPr>
    </w:p>
    <w:p w:rsidR="006E720E" w:rsidRDefault="006E720E" w:rsidP="006E720E">
      <w:pPr>
        <w:pStyle w:val="Caption"/>
      </w:pPr>
      <w:r>
        <w:rPr>
          <w:color w:val="000000"/>
        </w:rPr>
        <w:lastRenderedPageBreak/>
        <w:tab/>
      </w:r>
      <w:bookmarkStart w:id="723" w:name="_Ref472466656"/>
      <w:bookmarkStart w:id="724" w:name="_Toc472472445"/>
      <w:bookmarkStart w:id="725" w:name="_Toc476842151"/>
      <w:r>
        <w:t>Table A-</w:t>
      </w:r>
      <w:fldSimple w:instr=" SEQ Table_A- \* ARABIC ">
        <w:r w:rsidR="00C301D0">
          <w:rPr>
            <w:noProof/>
          </w:rPr>
          <w:t>36</w:t>
        </w:r>
      </w:fldSimple>
      <w:bookmarkEnd w:id="723"/>
      <w:r>
        <w:t xml:space="preserve">: Met-Ed </w:t>
      </w:r>
      <w:r w:rsidRPr="006E6583">
        <w:t>PY7 Project File Review Summary</w:t>
      </w:r>
      <w:bookmarkEnd w:id="724"/>
      <w:bookmarkEnd w:id="725"/>
    </w:p>
    <w:tbl>
      <w:tblPr>
        <w:tblStyle w:val="AnnualReportTableStyle"/>
        <w:tblW w:w="12995" w:type="dxa"/>
        <w:tblInd w:w="108" w:type="dxa"/>
        <w:tblLook w:val="04A0" w:firstRow="1" w:lastRow="0" w:firstColumn="1" w:lastColumn="0" w:noHBand="0" w:noVBand="1"/>
      </w:tblPr>
      <w:tblGrid>
        <w:gridCol w:w="1615"/>
        <w:gridCol w:w="1260"/>
        <w:gridCol w:w="1802"/>
        <w:gridCol w:w="1078"/>
        <w:gridCol w:w="1289"/>
        <w:gridCol w:w="1411"/>
        <w:gridCol w:w="1170"/>
        <w:gridCol w:w="1533"/>
        <w:gridCol w:w="1837"/>
      </w:tblGrid>
      <w:tr w:rsidR="00A874AC" w:rsidRPr="00391C49" w:rsidTr="005C3E63">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1615" w:type="dxa"/>
            <w:noWrap/>
            <w:vAlign w:val="bottom"/>
            <w:hideMark/>
          </w:tcPr>
          <w:p w:rsidR="006E720E" w:rsidRPr="00391C49" w:rsidRDefault="006E720E" w:rsidP="00380FF9">
            <w:pPr>
              <w:jc w:val="left"/>
              <w:rPr>
                <w:b w:val="0"/>
                <w:bCs/>
                <w:sz w:val="20"/>
                <w:szCs w:val="20"/>
              </w:rPr>
            </w:pPr>
            <w:r w:rsidRPr="00391C49">
              <w:rPr>
                <w:bCs/>
                <w:sz w:val="20"/>
                <w:szCs w:val="20"/>
              </w:rPr>
              <w:t>Project Number</w:t>
            </w:r>
          </w:p>
        </w:tc>
        <w:tc>
          <w:tcPr>
            <w:tcW w:w="1260" w:type="dxa"/>
            <w:noWrap/>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Program</w:t>
            </w:r>
          </w:p>
        </w:tc>
        <w:tc>
          <w:tcPr>
            <w:tcW w:w="1802"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Project Description</w:t>
            </w:r>
          </w:p>
        </w:tc>
        <w:tc>
          <w:tcPr>
            <w:tcW w:w="1078"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Are all files included?</w:t>
            </w:r>
          </w:p>
        </w:tc>
        <w:tc>
          <w:tcPr>
            <w:tcW w:w="1289"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Do values match program tracking data?</w:t>
            </w:r>
          </w:p>
        </w:tc>
        <w:tc>
          <w:tcPr>
            <w:tcW w:w="1411"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Equipment discrepancy between invoices and calculations?</w:t>
            </w:r>
          </w:p>
        </w:tc>
        <w:tc>
          <w:tcPr>
            <w:tcW w:w="1170"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Sufficient info for SWE to follow?</w:t>
            </w:r>
          </w:p>
        </w:tc>
        <w:tc>
          <w:tcPr>
            <w:tcW w:w="1533"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For TRM measures, are correct algorithms and HOU values used?</w:t>
            </w:r>
          </w:p>
        </w:tc>
        <w:tc>
          <w:tcPr>
            <w:tcW w:w="1837" w:type="dxa"/>
            <w:vAlign w:val="bottom"/>
            <w:hideMark/>
          </w:tcPr>
          <w:p w:rsidR="006E720E" w:rsidRPr="00391C49" w:rsidRDefault="006E720E"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391C49">
              <w:rPr>
                <w:bCs/>
                <w:sz w:val="20"/>
                <w:szCs w:val="20"/>
              </w:rPr>
              <w:t>For Custom measures, is the methodology clear and auditable? Is it a sensible approach?</w:t>
            </w:r>
          </w:p>
        </w:tc>
      </w:tr>
      <w:tr w:rsidR="00A874AC" w:rsidRPr="00391C49" w:rsidTr="005C3E6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CR_PRJ-348926</w:t>
            </w:r>
          </w:p>
        </w:tc>
        <w:tc>
          <w:tcPr>
            <w:tcW w:w="126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Small C/I Equipment</w:t>
            </w:r>
          </w:p>
        </w:tc>
        <w:tc>
          <w:tcPr>
            <w:tcW w:w="1802"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Installation of energy efficient freezer and refrigerator reach-in cases</w:t>
            </w:r>
          </w:p>
        </w:tc>
        <w:tc>
          <w:tcPr>
            <w:tcW w:w="1078"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289"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N/A</w:t>
            </w:r>
          </w:p>
        </w:tc>
        <w:tc>
          <w:tcPr>
            <w:tcW w:w="1837"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r>
      <w:tr w:rsidR="006E720E" w:rsidRPr="00391C49" w:rsidTr="005C3E63">
        <w:trPr>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CR_PRJ-263557</w:t>
            </w:r>
          </w:p>
        </w:tc>
        <w:tc>
          <w:tcPr>
            <w:tcW w:w="126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Small C/I Buildings</w:t>
            </w:r>
          </w:p>
        </w:tc>
        <w:tc>
          <w:tcPr>
            <w:tcW w:w="1802"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Interior and exterior lighting, 1 ASHP, 2 VFDs, and 2 motors</w:t>
            </w:r>
          </w:p>
        </w:tc>
        <w:tc>
          <w:tcPr>
            <w:tcW w:w="1078"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289"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837"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N/A</w:t>
            </w:r>
          </w:p>
        </w:tc>
      </w:tr>
      <w:tr w:rsidR="00A874AC" w:rsidRPr="00391C49" w:rsidTr="005C3E6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CR_PRJ-375049</w:t>
            </w:r>
          </w:p>
        </w:tc>
        <w:tc>
          <w:tcPr>
            <w:tcW w:w="126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Large C/I Equipment</w:t>
            </w:r>
          </w:p>
        </w:tc>
        <w:tc>
          <w:tcPr>
            <w:tcW w:w="1802"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Parking lot HPS to LED conversion</w:t>
            </w:r>
          </w:p>
        </w:tc>
        <w:tc>
          <w:tcPr>
            <w:tcW w:w="1078"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289"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837"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N/A</w:t>
            </w:r>
          </w:p>
        </w:tc>
      </w:tr>
      <w:tr w:rsidR="006E720E" w:rsidRPr="00391C49" w:rsidTr="005C3E63">
        <w:trPr>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CR_PRJ-263530</w:t>
            </w:r>
          </w:p>
        </w:tc>
        <w:tc>
          <w:tcPr>
            <w:tcW w:w="126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Large C/I Buildings</w:t>
            </w:r>
          </w:p>
        </w:tc>
        <w:tc>
          <w:tcPr>
            <w:tcW w:w="1802"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In-unit and common area lighting and controls, exterior lighting and controls, new hot water and chilled water pumps and VFDs, new make-up air units, and controls on electric resistance heaters</w:t>
            </w:r>
          </w:p>
        </w:tc>
        <w:tc>
          <w:tcPr>
            <w:tcW w:w="1078"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289"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N/A</w:t>
            </w:r>
          </w:p>
        </w:tc>
        <w:tc>
          <w:tcPr>
            <w:tcW w:w="1837"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r>
      <w:tr w:rsidR="00A874AC" w:rsidRPr="00391C49" w:rsidTr="005C3E6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CR_PRJ-682449</w:t>
            </w:r>
          </w:p>
        </w:tc>
        <w:tc>
          <w:tcPr>
            <w:tcW w:w="126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Large C/I Buildings</w:t>
            </w:r>
          </w:p>
        </w:tc>
        <w:tc>
          <w:tcPr>
            <w:tcW w:w="1802"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Lighting (new construction)</w:t>
            </w:r>
          </w:p>
        </w:tc>
        <w:tc>
          <w:tcPr>
            <w:tcW w:w="1078"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289"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837"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N/A</w:t>
            </w:r>
          </w:p>
        </w:tc>
      </w:tr>
      <w:tr w:rsidR="006E720E" w:rsidRPr="00391C49" w:rsidTr="005C3E63">
        <w:trPr>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lastRenderedPageBreak/>
              <w:t>CR_PRJ-419599</w:t>
            </w:r>
          </w:p>
        </w:tc>
        <w:tc>
          <w:tcPr>
            <w:tcW w:w="126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Small C/I Buildings</w:t>
            </w:r>
          </w:p>
        </w:tc>
        <w:tc>
          <w:tcPr>
            <w:tcW w:w="1802"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Lighting and VFDs</w:t>
            </w:r>
          </w:p>
        </w:tc>
        <w:tc>
          <w:tcPr>
            <w:tcW w:w="1078"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289"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837"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N/A</w:t>
            </w:r>
          </w:p>
        </w:tc>
      </w:tr>
      <w:tr w:rsidR="00A874AC" w:rsidRPr="00391C49" w:rsidTr="005C3E6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CR_PRJ-424328</w:t>
            </w:r>
          </w:p>
        </w:tc>
        <w:tc>
          <w:tcPr>
            <w:tcW w:w="126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Large C/I Equipment</w:t>
            </w:r>
          </w:p>
        </w:tc>
        <w:tc>
          <w:tcPr>
            <w:tcW w:w="1802"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Lighting (refrigerated LED)</w:t>
            </w:r>
          </w:p>
        </w:tc>
        <w:tc>
          <w:tcPr>
            <w:tcW w:w="1078"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289"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837"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N/A</w:t>
            </w:r>
          </w:p>
        </w:tc>
      </w:tr>
      <w:tr w:rsidR="006E720E" w:rsidRPr="00391C49" w:rsidTr="005C3E63">
        <w:trPr>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CR_PRJ-422326</w:t>
            </w:r>
          </w:p>
        </w:tc>
        <w:tc>
          <w:tcPr>
            <w:tcW w:w="126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Large C/I Equipment</w:t>
            </w:r>
          </w:p>
        </w:tc>
        <w:tc>
          <w:tcPr>
            <w:tcW w:w="1802"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Custom (compressed air leak repair)</w:t>
            </w:r>
          </w:p>
        </w:tc>
        <w:tc>
          <w:tcPr>
            <w:tcW w:w="1078"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289"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N/A</w:t>
            </w:r>
          </w:p>
        </w:tc>
        <w:tc>
          <w:tcPr>
            <w:tcW w:w="1837" w:type="dxa"/>
            <w:hideMark/>
          </w:tcPr>
          <w:p w:rsidR="006E720E" w:rsidRPr="00391C49" w:rsidRDefault="006E720E"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91C49">
              <w:rPr>
                <w:color w:val="000000"/>
                <w:sz w:val="20"/>
                <w:szCs w:val="20"/>
              </w:rPr>
              <w:t>Yes</w:t>
            </w:r>
          </w:p>
        </w:tc>
      </w:tr>
      <w:tr w:rsidR="00A874AC" w:rsidRPr="00391C49" w:rsidTr="005C3E6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615" w:type="dxa"/>
            <w:noWrap/>
            <w:hideMark/>
          </w:tcPr>
          <w:p w:rsidR="006E720E" w:rsidRPr="00391C49" w:rsidRDefault="006E720E" w:rsidP="00380FF9">
            <w:pPr>
              <w:jc w:val="left"/>
              <w:rPr>
                <w:b w:val="0"/>
                <w:color w:val="000000"/>
                <w:sz w:val="20"/>
                <w:szCs w:val="20"/>
              </w:rPr>
            </w:pPr>
            <w:r w:rsidRPr="00391C49">
              <w:rPr>
                <w:b w:val="0"/>
                <w:color w:val="000000"/>
                <w:sz w:val="20"/>
                <w:szCs w:val="20"/>
              </w:rPr>
              <w:t>CR_PRJ-493348</w:t>
            </w:r>
          </w:p>
        </w:tc>
        <w:tc>
          <w:tcPr>
            <w:tcW w:w="126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Small C/I Buildings</w:t>
            </w:r>
          </w:p>
        </w:tc>
        <w:tc>
          <w:tcPr>
            <w:tcW w:w="1802"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Lighting (LED)</w:t>
            </w:r>
          </w:p>
        </w:tc>
        <w:tc>
          <w:tcPr>
            <w:tcW w:w="1078"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289"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411"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No</w:t>
            </w:r>
          </w:p>
        </w:tc>
        <w:tc>
          <w:tcPr>
            <w:tcW w:w="1170" w:type="dxa"/>
            <w:noWrap/>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533"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Yes</w:t>
            </w:r>
          </w:p>
        </w:tc>
        <w:tc>
          <w:tcPr>
            <w:tcW w:w="1837" w:type="dxa"/>
            <w:hideMark/>
          </w:tcPr>
          <w:p w:rsidR="006E720E" w:rsidRPr="00391C49" w:rsidRDefault="006E720E"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391C49">
              <w:rPr>
                <w:color w:val="000000"/>
                <w:sz w:val="20"/>
                <w:szCs w:val="20"/>
              </w:rPr>
              <w:t>N/A</w:t>
            </w:r>
          </w:p>
        </w:tc>
      </w:tr>
    </w:tbl>
    <w:p w:rsidR="006E720E" w:rsidRPr="006E720E" w:rsidRDefault="006E720E" w:rsidP="006E720E"/>
    <w:p w:rsidR="006E720E" w:rsidRPr="006E720E" w:rsidRDefault="006E720E" w:rsidP="006E720E">
      <w:pPr>
        <w:tabs>
          <w:tab w:val="left" w:pos="1703"/>
        </w:tabs>
        <w:sectPr w:rsidR="006E720E" w:rsidRPr="006E720E" w:rsidSect="00391C49">
          <w:headerReference w:type="default" r:id="rId109"/>
          <w:footerReference w:type="default" r:id="rId110"/>
          <w:headerReference w:type="first" r:id="rId111"/>
          <w:footerReference w:type="first" r:id="rId112"/>
          <w:pgSz w:w="15840" w:h="12240" w:orient="landscape"/>
          <w:pgMar w:top="1440" w:right="1440" w:bottom="1440" w:left="1440" w:header="720" w:footer="288" w:gutter="0"/>
          <w:cols w:space="720"/>
          <w:titlePg/>
          <w:docGrid w:linePitch="360"/>
        </w:sectPr>
      </w:pPr>
      <w:r>
        <w:tab/>
      </w:r>
    </w:p>
    <w:p w:rsidR="006E720E" w:rsidRPr="003458B1" w:rsidRDefault="006E720E" w:rsidP="006E720E">
      <w:pPr>
        <w:rPr>
          <w:color w:val="FF0000"/>
        </w:rPr>
      </w:pPr>
      <w:r w:rsidRPr="003458B1">
        <w:rPr>
          <w:color w:val="000000"/>
        </w:rPr>
        <w:lastRenderedPageBreak/>
        <w:t xml:space="preserve">In PY6 the SWE Team was pleased with Met-Ed’s project files and identified only minimal issues. Project files were found to be conclusive and organized, with few exceptions. This was the case in PY7 as well, and was aided by the more standardized project file format and consistent inclusion of a site-specific cover page. At this time, the SWE Team only recommends </w:t>
      </w:r>
      <w:r>
        <w:rPr>
          <w:color w:val="000000"/>
        </w:rPr>
        <w:t>that i</w:t>
      </w:r>
      <w:r w:rsidRPr="009B0EAD">
        <w:rPr>
          <w:color w:val="000000"/>
        </w:rPr>
        <w:t>n the interest of transparency, only the</w:t>
      </w:r>
      <w:r>
        <w:rPr>
          <w:color w:val="000000"/>
        </w:rPr>
        <w:t xml:space="preserve"> supplied</w:t>
      </w:r>
      <w:r w:rsidRPr="009B0EAD">
        <w:rPr>
          <w:color w:val="000000"/>
        </w:rPr>
        <w:t xml:space="preserve"> Appendix C calculator</w:t>
      </w:r>
      <w:r>
        <w:rPr>
          <w:color w:val="000000"/>
        </w:rPr>
        <w:t xml:space="preserve"> be used</w:t>
      </w:r>
      <w:r w:rsidRPr="009B0EAD">
        <w:rPr>
          <w:color w:val="000000"/>
        </w:rPr>
        <w:t xml:space="preserve"> for lighting projects moving forward.</w:t>
      </w:r>
    </w:p>
    <w:p w:rsidR="00392FE1" w:rsidRDefault="00392FE1" w:rsidP="00392FE1">
      <w:pPr>
        <w:rPr>
          <w:color w:val="000000"/>
        </w:rPr>
      </w:pPr>
    </w:p>
    <w:p w:rsidR="006E720E" w:rsidRPr="003458B1" w:rsidRDefault="006E720E" w:rsidP="006E720E">
      <w:pPr>
        <w:pStyle w:val="AppendixAHeading4"/>
        <w:rPr>
          <w:rFonts w:eastAsia="Calibri"/>
        </w:rPr>
      </w:pPr>
      <w:bookmarkStart w:id="726" w:name="_Toc408557485"/>
      <w:bookmarkStart w:id="727" w:name="_Ref440443869"/>
      <w:r w:rsidRPr="003458B1">
        <w:rPr>
          <w:rFonts w:eastAsia="Calibri"/>
        </w:rPr>
        <w:t>Sample Design Review</w:t>
      </w:r>
      <w:bookmarkEnd w:id="726"/>
      <w:bookmarkEnd w:id="727"/>
    </w:p>
    <w:p w:rsidR="006E720E" w:rsidRPr="003458B1" w:rsidRDefault="006E720E" w:rsidP="006E720E">
      <w:r w:rsidRPr="003458B1">
        <w:t>Met-Ed’s PY7 annual report provides detailed information about the sample design of the PY7 gross impact evaluation of non-residential programs. Met-Ed’s non-residential programs were the Small C/I Energy Efficient Equipment Program, Small C/I Energy Efficient Buildings Program, Large C/I Energy Efficient Equipment Program, Large C/I Energy Efficient Buildings Program, and Government and Institutional Program.</w:t>
      </w:r>
    </w:p>
    <w:p w:rsidR="006E720E" w:rsidRPr="003458B1" w:rsidRDefault="006E720E" w:rsidP="006E720E"/>
    <w:p w:rsidR="006E720E" w:rsidRPr="003458B1" w:rsidRDefault="006E720E" w:rsidP="006E720E">
      <w:pPr>
        <w:pStyle w:val="AppendixAHeading5"/>
      </w:pPr>
      <w:r w:rsidRPr="003458B1">
        <w:t>Small C/I Energy Efficient Equipment Program</w:t>
      </w:r>
    </w:p>
    <w:p w:rsidR="006E720E" w:rsidRPr="003458B1" w:rsidRDefault="006E720E" w:rsidP="006E720E">
      <w:r w:rsidRPr="003458B1">
        <w:t xml:space="preserve">In PY7, this program was divided into two components: equipment incentives and appliance recycling. Lighting measures contributed the majority of the gross energy savings for the program. </w:t>
      </w:r>
      <w:r w:rsidRPr="003458B1">
        <w:tab/>
      </w:r>
    </w:p>
    <w:p w:rsidR="006E720E" w:rsidRPr="003458B1" w:rsidRDefault="006E720E" w:rsidP="006E720E"/>
    <w:p w:rsidR="006E720E" w:rsidRPr="003458B1" w:rsidRDefault="006E720E" w:rsidP="006E720E">
      <w:r w:rsidRPr="003458B1">
        <w:t xml:space="preserve">Stratified ratio estimation was used to estimate savings for the program, and stratified random sampling was used for sample design by the evaluation contractor. For large lighting projects in the evaluation sample, Met-Ed’s evaluation contractor designed an on-site sampling strategy that targeted ±20% precision at the 90% confidence level for the physical counting of fixtures. All lighting projects that were expected to have </w:t>
      </w:r>
      <w:r>
        <w:t>more than 800 MWh/yr in savings</w:t>
      </w:r>
      <w:r w:rsidRPr="003458B1">
        <w:t xml:space="preserve">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stratified based on energy savings at the measure level. The assumed</w:t>
      </w:r>
      <w:r w:rsidR="00AF2C58" w:rsidRPr="00AF2C58">
        <w:t xml:space="preserve"> coefficient of variation</w:t>
      </w:r>
      <w:r w:rsidRPr="003458B1">
        <w:t xml:space="preserve"> </w:t>
      </w:r>
      <w:r w:rsidR="00AF2C58">
        <w:t>(</w:t>
      </w:r>
      <w:r w:rsidRPr="003458B1">
        <w:t>Cv</w:t>
      </w:r>
      <w:r w:rsidR="00AF2C58">
        <w:t>)</w:t>
      </w:r>
      <w:r w:rsidRPr="003458B1">
        <w:t xml:space="preserve"> used in the sample design was 0.5 for all projects. The detailed sampling strategy for this program in PY</w:t>
      </w:r>
      <w:r>
        <w:t>7</w:t>
      </w:r>
      <w:r w:rsidRPr="003458B1">
        <w:t xml:space="preserve"> and the achieved precision values for each stratum are presented in </w:t>
      </w:r>
      <w:r w:rsidRPr="003458B1">
        <w:fldChar w:fldCharType="begin"/>
      </w:r>
      <w:r w:rsidRPr="003458B1">
        <w:instrText xml:space="preserve"> REF _Ref433896495 \h  \* MERGEFORMAT </w:instrText>
      </w:r>
      <w:r w:rsidRPr="003458B1">
        <w:fldChar w:fldCharType="separate"/>
      </w:r>
      <w:r w:rsidR="00A874AC" w:rsidRPr="00A874AC">
        <w:rPr>
          <w:bCs/>
        </w:rPr>
        <w:t>Table A-37</w:t>
      </w:r>
      <w:r w:rsidRPr="003458B1">
        <w:fldChar w:fldCharType="end"/>
      </w:r>
      <w:r w:rsidRPr="003458B1">
        <w:t>. The data show that Met-Ed met the SWE Team require</w:t>
      </w:r>
      <w:r>
        <w:t>ments of 85/1</w:t>
      </w:r>
      <w:r w:rsidR="00AF2C58">
        <w:t>5</w:t>
      </w:r>
      <w:r>
        <w:t xml:space="preserve"> confidence/</w:t>
      </w:r>
      <w:r w:rsidRPr="003458B1">
        <w:t>precision for both energy and peak demand.</w:t>
      </w:r>
    </w:p>
    <w:p w:rsidR="006E720E" w:rsidRPr="003458B1" w:rsidRDefault="006E720E" w:rsidP="006E720E">
      <w:pPr>
        <w:rPr>
          <w:rFonts w:ascii="Century Gothic" w:hAnsi="Century Gothic"/>
          <w:b/>
          <w:bCs/>
          <w:sz w:val="18"/>
          <w:szCs w:val="18"/>
        </w:rPr>
      </w:pPr>
      <w:bookmarkStart w:id="728" w:name="_Ref406423049"/>
    </w:p>
    <w:p w:rsidR="006E720E" w:rsidRPr="003458B1" w:rsidRDefault="006E720E" w:rsidP="006E720E">
      <w:pPr>
        <w:spacing w:after="120"/>
        <w:jc w:val="center"/>
        <w:rPr>
          <w:rFonts w:ascii="Century Gothic" w:hAnsi="Century Gothic"/>
          <w:b/>
          <w:bCs/>
          <w:sz w:val="18"/>
          <w:szCs w:val="18"/>
        </w:rPr>
      </w:pPr>
      <w:bookmarkStart w:id="729" w:name="_Ref433896495"/>
      <w:bookmarkStart w:id="730" w:name="_Toc410199413"/>
      <w:bookmarkStart w:id="731" w:name="_Toc431462333"/>
      <w:bookmarkStart w:id="732" w:name="_Toc444269853"/>
      <w:bookmarkStart w:id="733" w:name="_Toc472472446"/>
      <w:bookmarkStart w:id="734" w:name="_Toc476842152"/>
      <w:bookmarkEnd w:id="728"/>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37</w:t>
      </w:r>
      <w:r w:rsidRPr="003458B1">
        <w:rPr>
          <w:rFonts w:ascii="Century Gothic" w:hAnsi="Century Gothic"/>
          <w:b/>
          <w:bCs/>
          <w:sz w:val="18"/>
          <w:szCs w:val="18"/>
        </w:rPr>
        <w:fldChar w:fldCharType="end"/>
      </w:r>
      <w:bookmarkEnd w:id="729"/>
      <w:r w:rsidRPr="003458B1">
        <w:rPr>
          <w:rFonts w:ascii="Century Gothic" w:hAnsi="Century Gothic"/>
          <w:b/>
          <w:bCs/>
          <w:sz w:val="18"/>
          <w:szCs w:val="18"/>
        </w:rPr>
        <w:t>: Met-Ed PY7 Sampling Strate</w:t>
      </w:r>
      <w:r w:rsidR="00602E9A">
        <w:rPr>
          <w:rFonts w:ascii="Century Gothic" w:hAnsi="Century Gothic"/>
          <w:b/>
          <w:bCs/>
          <w:sz w:val="18"/>
          <w:szCs w:val="18"/>
        </w:rPr>
        <w:t xml:space="preserve">gy and Relative Precision – </w:t>
      </w:r>
      <w:r w:rsidRPr="003458B1">
        <w:rPr>
          <w:rFonts w:ascii="Century Gothic" w:hAnsi="Century Gothic"/>
          <w:b/>
          <w:bCs/>
          <w:sz w:val="18"/>
          <w:szCs w:val="18"/>
        </w:rPr>
        <w:t>Small</w:t>
      </w:r>
      <w:r w:rsidR="00602E9A">
        <w:rPr>
          <w:rFonts w:ascii="Century Gothic" w:hAnsi="Century Gothic"/>
          <w:b/>
          <w:bCs/>
          <w:sz w:val="18"/>
          <w:szCs w:val="18"/>
        </w:rPr>
        <w:t xml:space="preserve"> C/I</w:t>
      </w:r>
      <w:r w:rsidRPr="003458B1">
        <w:rPr>
          <w:rFonts w:ascii="Century Gothic" w:hAnsi="Century Gothic"/>
          <w:b/>
          <w:bCs/>
          <w:sz w:val="18"/>
          <w:szCs w:val="18"/>
        </w:rPr>
        <w:t xml:space="preserve"> Energy Efficient Equipment Program</w:t>
      </w:r>
      <w:bookmarkEnd w:id="730"/>
      <w:bookmarkEnd w:id="731"/>
      <w:bookmarkEnd w:id="732"/>
      <w:bookmarkEnd w:id="733"/>
      <w:bookmarkEnd w:id="734"/>
    </w:p>
    <w:tbl>
      <w:tblPr>
        <w:tblW w:w="935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970"/>
        <w:gridCol w:w="1230"/>
        <w:gridCol w:w="1230"/>
        <w:gridCol w:w="1230"/>
        <w:gridCol w:w="1230"/>
        <w:gridCol w:w="1230"/>
        <w:gridCol w:w="1230"/>
      </w:tblGrid>
      <w:tr w:rsidR="00A874AC" w:rsidRPr="003458B1" w:rsidTr="005C3E63">
        <w:trPr>
          <w:trHeight w:val="1020"/>
          <w:tblHeader/>
        </w:trPr>
        <w:tc>
          <w:tcPr>
            <w:tcW w:w="1970" w:type="dxa"/>
            <w:shd w:val="clear" w:color="000000" w:fill="448A99"/>
            <w:vAlign w:val="bottom"/>
            <w:hideMark/>
          </w:tcPr>
          <w:p w:rsidR="006E720E" w:rsidRPr="003458B1" w:rsidRDefault="006E720E" w:rsidP="00380FF9">
            <w:pPr>
              <w:jc w:val="left"/>
              <w:rPr>
                <w:b/>
                <w:bCs/>
                <w:color w:val="FFFFFF"/>
                <w:sz w:val="20"/>
                <w:szCs w:val="20"/>
              </w:rPr>
            </w:pPr>
            <w:r w:rsidRPr="003458B1">
              <w:rPr>
                <w:b/>
                <w:bCs/>
                <w:color w:val="FFFFFF"/>
                <w:sz w:val="20"/>
                <w:szCs w:val="20"/>
              </w:rPr>
              <w:t>Stratum</w:t>
            </w:r>
          </w:p>
        </w:tc>
        <w:tc>
          <w:tcPr>
            <w:tcW w:w="1230"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Population</w:t>
            </w:r>
          </w:p>
        </w:tc>
        <w:tc>
          <w:tcPr>
            <w:tcW w:w="1230"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Target Levels of Confidence &amp; Precision</w:t>
            </w:r>
          </w:p>
        </w:tc>
        <w:tc>
          <w:tcPr>
            <w:tcW w:w="1230"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Target Sample Size</w:t>
            </w:r>
          </w:p>
        </w:tc>
        <w:tc>
          <w:tcPr>
            <w:tcW w:w="1230"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Achieved Sample Size</w:t>
            </w:r>
          </w:p>
        </w:tc>
        <w:tc>
          <w:tcPr>
            <w:tcW w:w="1230"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Relative Precision at 85% C.L. for Energy</w:t>
            </w:r>
          </w:p>
        </w:tc>
        <w:tc>
          <w:tcPr>
            <w:tcW w:w="1230"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Relative Precision at 85% C.L. for Demand</w:t>
            </w:r>
          </w:p>
        </w:tc>
      </w:tr>
      <w:tr w:rsidR="00A874AC" w:rsidRPr="003458B1" w:rsidTr="005C3E63">
        <w:trPr>
          <w:trHeight w:val="346"/>
        </w:trPr>
        <w:tc>
          <w:tcPr>
            <w:tcW w:w="1970" w:type="dxa"/>
            <w:shd w:val="clear" w:color="000000" w:fill="D2EAF1"/>
            <w:noWrap/>
            <w:vAlign w:val="center"/>
          </w:tcPr>
          <w:p w:rsidR="006E720E" w:rsidRPr="003458B1" w:rsidRDefault="006E720E" w:rsidP="00380FF9">
            <w:pPr>
              <w:jc w:val="left"/>
              <w:rPr>
                <w:bCs/>
                <w:color w:val="000000"/>
                <w:sz w:val="20"/>
                <w:szCs w:val="20"/>
              </w:rPr>
            </w:pPr>
            <w:r w:rsidRPr="003458B1">
              <w:rPr>
                <w:bCs/>
                <w:color w:val="000000"/>
                <w:sz w:val="20"/>
                <w:szCs w:val="20"/>
              </w:rPr>
              <w:t xml:space="preserve">CFL </w:t>
            </w:r>
            <w:r>
              <w:rPr>
                <w:bCs/>
                <w:color w:val="000000"/>
                <w:sz w:val="20"/>
                <w:szCs w:val="20"/>
              </w:rPr>
              <w:t>k</w:t>
            </w:r>
            <w:r w:rsidRPr="003458B1">
              <w:rPr>
                <w:bCs/>
                <w:color w:val="000000"/>
                <w:sz w:val="20"/>
                <w:szCs w:val="20"/>
              </w:rPr>
              <w:t xml:space="preserve">its </w:t>
            </w:r>
            <w:r>
              <w:rPr>
                <w:bCs/>
                <w:color w:val="000000"/>
                <w:sz w:val="20"/>
                <w:szCs w:val="20"/>
              </w:rPr>
              <w:t xml:space="preserve">– </w:t>
            </w:r>
            <w:r w:rsidRPr="003458B1">
              <w:rPr>
                <w:bCs/>
                <w:color w:val="000000"/>
                <w:sz w:val="20"/>
                <w:szCs w:val="20"/>
              </w:rPr>
              <w:t>1</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30" w:type="dxa"/>
            <w:shd w:val="clear" w:color="000000" w:fill="D2EAF1"/>
            <w:noWrap/>
            <w:vAlign w:val="center"/>
          </w:tcPr>
          <w:p w:rsidR="006E720E" w:rsidRPr="003458B1" w:rsidRDefault="006E720E" w:rsidP="00380FF9">
            <w:pPr>
              <w:jc w:val="center"/>
              <w:rPr>
                <w:color w:val="000000"/>
                <w:sz w:val="20"/>
                <w:szCs w:val="20"/>
              </w:rPr>
            </w:pPr>
            <w:r>
              <w:rPr>
                <w:sz w:val="20"/>
                <w:szCs w:val="20"/>
              </w:rPr>
              <w:t>N</w:t>
            </w:r>
            <w:r w:rsidRPr="003458B1">
              <w:rPr>
                <w:sz w:val="20"/>
                <w:szCs w:val="20"/>
              </w:rPr>
              <w:t>/</w:t>
            </w:r>
            <w:r>
              <w:rPr>
                <w:sz w:val="20"/>
                <w:szCs w:val="20"/>
              </w:rPr>
              <w:t>A</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100.0%</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100.0%</w:t>
            </w:r>
          </w:p>
        </w:tc>
      </w:tr>
      <w:tr w:rsidR="00E7173E" w:rsidRPr="003458B1" w:rsidTr="005C3E63">
        <w:trPr>
          <w:trHeight w:val="346"/>
        </w:trPr>
        <w:tc>
          <w:tcPr>
            <w:tcW w:w="1970" w:type="dxa"/>
            <w:shd w:val="clear" w:color="auto" w:fill="auto"/>
            <w:noWrap/>
            <w:vAlign w:val="center"/>
          </w:tcPr>
          <w:p w:rsidR="006E720E" w:rsidRPr="003458B1" w:rsidRDefault="006E720E" w:rsidP="00380FF9">
            <w:pPr>
              <w:jc w:val="left"/>
              <w:rPr>
                <w:bCs/>
                <w:color w:val="000000"/>
                <w:sz w:val="20"/>
                <w:szCs w:val="20"/>
              </w:rPr>
            </w:pPr>
            <w:r w:rsidRPr="003458B1">
              <w:rPr>
                <w:bCs/>
                <w:color w:val="000000"/>
                <w:sz w:val="20"/>
                <w:szCs w:val="20"/>
              </w:rPr>
              <w:t xml:space="preserve">Lighting – </w:t>
            </w:r>
            <w:r>
              <w:rPr>
                <w:bCs/>
                <w:color w:val="000000"/>
                <w:sz w:val="20"/>
                <w:szCs w:val="20"/>
              </w:rPr>
              <w:t>c</w:t>
            </w:r>
            <w:r w:rsidRPr="003458B1">
              <w:rPr>
                <w:bCs/>
                <w:color w:val="000000"/>
                <w:sz w:val="20"/>
                <w:szCs w:val="20"/>
              </w:rPr>
              <w:t>ertainty</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30" w:type="dxa"/>
            <w:shd w:val="clear" w:color="auto" w:fill="auto"/>
            <w:noWrap/>
            <w:vAlign w:val="center"/>
          </w:tcPr>
          <w:p w:rsidR="006E720E" w:rsidRPr="003458B1" w:rsidRDefault="006E720E" w:rsidP="00380FF9">
            <w:pPr>
              <w:jc w:val="center"/>
              <w:rPr>
                <w:color w:val="000000"/>
                <w:sz w:val="20"/>
                <w:szCs w:val="20"/>
              </w:rPr>
            </w:pPr>
            <w:r>
              <w:rPr>
                <w:sz w:val="20"/>
                <w:szCs w:val="20"/>
              </w:rPr>
              <w:t>N</w:t>
            </w:r>
            <w:r w:rsidRPr="003458B1">
              <w:rPr>
                <w:sz w:val="20"/>
                <w:szCs w:val="20"/>
              </w:rPr>
              <w:t>/</w:t>
            </w:r>
            <w:r>
              <w:rPr>
                <w:sz w:val="20"/>
                <w:szCs w:val="20"/>
              </w:rPr>
              <w:t>A</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r>
      <w:tr w:rsidR="00A874AC" w:rsidRPr="003458B1" w:rsidTr="005C3E63">
        <w:trPr>
          <w:trHeight w:val="346"/>
        </w:trPr>
        <w:tc>
          <w:tcPr>
            <w:tcW w:w="1970" w:type="dxa"/>
            <w:shd w:val="clear" w:color="000000" w:fill="D2EAF1"/>
            <w:noWrap/>
            <w:vAlign w:val="center"/>
          </w:tcPr>
          <w:p w:rsidR="006E720E" w:rsidRPr="003458B1" w:rsidRDefault="006E720E" w:rsidP="00380FF9">
            <w:pPr>
              <w:jc w:val="left"/>
              <w:rPr>
                <w:bCs/>
                <w:color w:val="000000"/>
                <w:sz w:val="20"/>
                <w:szCs w:val="20"/>
              </w:rPr>
            </w:pPr>
            <w:r w:rsidRPr="003458B1">
              <w:rPr>
                <w:bCs/>
                <w:color w:val="000000"/>
                <w:sz w:val="20"/>
                <w:szCs w:val="20"/>
              </w:rPr>
              <w:t>Lighting – 2</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28</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26.1%</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6</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6</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26.1%</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26.1%</w:t>
            </w:r>
          </w:p>
        </w:tc>
      </w:tr>
      <w:tr w:rsidR="00E7173E" w:rsidRPr="003458B1" w:rsidTr="005C3E63">
        <w:trPr>
          <w:trHeight w:val="346"/>
        </w:trPr>
        <w:tc>
          <w:tcPr>
            <w:tcW w:w="1970" w:type="dxa"/>
            <w:shd w:val="clear" w:color="auto" w:fill="auto"/>
            <w:noWrap/>
            <w:vAlign w:val="center"/>
          </w:tcPr>
          <w:p w:rsidR="006E720E" w:rsidRPr="003458B1" w:rsidRDefault="006E720E" w:rsidP="00380FF9">
            <w:pPr>
              <w:jc w:val="left"/>
              <w:rPr>
                <w:bCs/>
                <w:color w:val="000000"/>
                <w:sz w:val="20"/>
                <w:szCs w:val="20"/>
              </w:rPr>
            </w:pPr>
            <w:r w:rsidRPr="003458B1">
              <w:rPr>
                <w:bCs/>
                <w:color w:val="000000"/>
                <w:sz w:val="20"/>
                <w:szCs w:val="20"/>
              </w:rPr>
              <w:t>Lighting – 3</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78</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28.2%</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6</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6</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28.2%</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28.2%</w:t>
            </w:r>
          </w:p>
        </w:tc>
      </w:tr>
      <w:tr w:rsidR="00A874AC" w:rsidRPr="003458B1" w:rsidTr="005C3E63">
        <w:trPr>
          <w:trHeight w:val="346"/>
        </w:trPr>
        <w:tc>
          <w:tcPr>
            <w:tcW w:w="1970" w:type="dxa"/>
            <w:shd w:val="clear" w:color="000000" w:fill="D2EAF1"/>
            <w:noWrap/>
            <w:vAlign w:val="center"/>
          </w:tcPr>
          <w:p w:rsidR="006E720E" w:rsidRPr="003458B1" w:rsidRDefault="006E720E" w:rsidP="00380FF9">
            <w:pPr>
              <w:jc w:val="left"/>
              <w:rPr>
                <w:bCs/>
                <w:color w:val="000000"/>
                <w:sz w:val="20"/>
                <w:szCs w:val="20"/>
              </w:rPr>
            </w:pPr>
            <w:r w:rsidRPr="003458B1">
              <w:rPr>
                <w:bCs/>
                <w:color w:val="000000"/>
                <w:sz w:val="20"/>
                <w:szCs w:val="20"/>
              </w:rPr>
              <w:t>Lighting – 4</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422</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23.7%</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9</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9</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23.7%</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23.7%</w:t>
            </w:r>
          </w:p>
        </w:tc>
      </w:tr>
      <w:tr w:rsidR="00E7173E" w:rsidRPr="003458B1" w:rsidTr="005C3E63">
        <w:trPr>
          <w:trHeight w:val="346"/>
        </w:trPr>
        <w:tc>
          <w:tcPr>
            <w:tcW w:w="1970" w:type="dxa"/>
            <w:shd w:val="clear" w:color="auto" w:fill="auto"/>
            <w:noWrap/>
            <w:vAlign w:val="center"/>
          </w:tcPr>
          <w:p w:rsidR="006E720E" w:rsidRPr="003458B1" w:rsidRDefault="006E720E" w:rsidP="00380FF9">
            <w:pPr>
              <w:jc w:val="left"/>
              <w:rPr>
                <w:bCs/>
                <w:color w:val="000000"/>
                <w:sz w:val="20"/>
                <w:szCs w:val="20"/>
              </w:rPr>
            </w:pPr>
            <w:r w:rsidRPr="003458B1">
              <w:rPr>
                <w:bCs/>
                <w:color w:val="000000"/>
                <w:sz w:val="20"/>
                <w:szCs w:val="20"/>
              </w:rPr>
              <w:t xml:space="preserve">Custom – </w:t>
            </w:r>
            <w:r>
              <w:rPr>
                <w:bCs/>
                <w:color w:val="000000"/>
                <w:sz w:val="20"/>
                <w:szCs w:val="20"/>
              </w:rPr>
              <w:t>c</w:t>
            </w:r>
            <w:r w:rsidRPr="003458B1">
              <w:rPr>
                <w:bCs/>
                <w:color w:val="000000"/>
                <w:sz w:val="20"/>
                <w:szCs w:val="20"/>
              </w:rPr>
              <w:t>ertainty</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3</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3</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3</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r>
      <w:tr w:rsidR="00A874AC" w:rsidRPr="003458B1" w:rsidTr="005C3E63">
        <w:trPr>
          <w:trHeight w:val="346"/>
        </w:trPr>
        <w:tc>
          <w:tcPr>
            <w:tcW w:w="1970" w:type="dxa"/>
            <w:shd w:val="clear" w:color="000000" w:fill="D2EAF1"/>
            <w:noWrap/>
            <w:vAlign w:val="center"/>
          </w:tcPr>
          <w:p w:rsidR="006E720E" w:rsidRPr="003458B1" w:rsidRDefault="006E720E" w:rsidP="00380FF9">
            <w:pPr>
              <w:jc w:val="left"/>
              <w:rPr>
                <w:bCs/>
                <w:color w:val="000000"/>
                <w:sz w:val="20"/>
                <w:szCs w:val="20"/>
              </w:rPr>
            </w:pPr>
            <w:r w:rsidRPr="003458B1">
              <w:rPr>
                <w:bCs/>
                <w:color w:val="000000"/>
                <w:sz w:val="20"/>
                <w:szCs w:val="20"/>
              </w:rPr>
              <w:t>Custom – 2</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6</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65.7%</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65.7%</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65.7%</w:t>
            </w:r>
          </w:p>
        </w:tc>
      </w:tr>
      <w:tr w:rsidR="00E7173E" w:rsidRPr="003458B1" w:rsidTr="005C3E63">
        <w:trPr>
          <w:trHeight w:val="346"/>
        </w:trPr>
        <w:tc>
          <w:tcPr>
            <w:tcW w:w="1970" w:type="dxa"/>
            <w:shd w:val="clear" w:color="auto" w:fill="auto"/>
            <w:noWrap/>
            <w:vAlign w:val="center"/>
          </w:tcPr>
          <w:p w:rsidR="006E720E" w:rsidRPr="003458B1" w:rsidRDefault="006E720E" w:rsidP="00380FF9">
            <w:pPr>
              <w:jc w:val="left"/>
              <w:rPr>
                <w:bCs/>
                <w:color w:val="000000"/>
                <w:sz w:val="20"/>
                <w:szCs w:val="20"/>
              </w:rPr>
            </w:pPr>
            <w:r w:rsidRPr="003458B1">
              <w:rPr>
                <w:bCs/>
                <w:color w:val="000000"/>
                <w:sz w:val="20"/>
                <w:szCs w:val="20"/>
              </w:rPr>
              <w:t>Custom – 3</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44</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27.3%</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6</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6</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27.3%</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27.3%</w:t>
            </w:r>
          </w:p>
        </w:tc>
      </w:tr>
      <w:tr w:rsidR="00A874AC" w:rsidRPr="003458B1" w:rsidTr="005C3E63">
        <w:trPr>
          <w:trHeight w:val="346"/>
        </w:trPr>
        <w:tc>
          <w:tcPr>
            <w:tcW w:w="1970" w:type="dxa"/>
            <w:shd w:val="clear" w:color="000000" w:fill="D2EAF1"/>
            <w:noWrap/>
            <w:vAlign w:val="center"/>
          </w:tcPr>
          <w:p w:rsidR="006E720E" w:rsidRPr="003458B1" w:rsidRDefault="006E720E" w:rsidP="00380FF9">
            <w:pPr>
              <w:jc w:val="left"/>
              <w:rPr>
                <w:bCs/>
                <w:color w:val="000000"/>
                <w:sz w:val="20"/>
                <w:szCs w:val="20"/>
              </w:rPr>
            </w:pPr>
            <w:r w:rsidRPr="003458B1">
              <w:rPr>
                <w:bCs/>
                <w:color w:val="000000"/>
                <w:sz w:val="20"/>
                <w:szCs w:val="20"/>
              </w:rPr>
              <w:lastRenderedPageBreak/>
              <w:t>HVAC and DHW</w:t>
            </w:r>
            <w:r>
              <w:rPr>
                <w:bCs/>
                <w:color w:val="000000"/>
                <w:sz w:val="20"/>
                <w:szCs w:val="20"/>
              </w:rPr>
              <w:t xml:space="preserve"> – </w:t>
            </w:r>
            <w:r w:rsidRPr="003458B1">
              <w:rPr>
                <w:bCs/>
                <w:color w:val="000000"/>
                <w:sz w:val="20"/>
                <w:szCs w:val="20"/>
              </w:rPr>
              <w:t>1</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7</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43.0%</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2</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2</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43.0%</w:t>
            </w:r>
          </w:p>
        </w:tc>
        <w:tc>
          <w:tcPr>
            <w:tcW w:w="1230"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43.0%</w:t>
            </w:r>
          </w:p>
        </w:tc>
      </w:tr>
      <w:tr w:rsidR="00E7173E" w:rsidRPr="003458B1" w:rsidTr="005C3E63">
        <w:trPr>
          <w:trHeight w:val="346"/>
        </w:trPr>
        <w:tc>
          <w:tcPr>
            <w:tcW w:w="1970" w:type="dxa"/>
            <w:shd w:val="clear" w:color="auto" w:fill="auto"/>
            <w:noWrap/>
            <w:vAlign w:val="center"/>
          </w:tcPr>
          <w:p w:rsidR="006E720E" w:rsidRPr="003458B1" w:rsidRDefault="006E720E" w:rsidP="00380FF9">
            <w:pPr>
              <w:jc w:val="left"/>
              <w:rPr>
                <w:bCs/>
                <w:color w:val="000000"/>
                <w:sz w:val="20"/>
                <w:szCs w:val="20"/>
              </w:rPr>
            </w:pPr>
            <w:r w:rsidRPr="003458B1">
              <w:rPr>
                <w:bCs/>
                <w:color w:val="000000"/>
                <w:sz w:val="20"/>
                <w:szCs w:val="20"/>
              </w:rPr>
              <w:t>HVAC and DHW</w:t>
            </w:r>
            <w:r>
              <w:rPr>
                <w:bCs/>
                <w:color w:val="000000"/>
                <w:sz w:val="20"/>
                <w:szCs w:val="20"/>
              </w:rPr>
              <w:t xml:space="preserve"> – </w:t>
            </w:r>
            <w:r w:rsidRPr="003458B1">
              <w:rPr>
                <w:bCs/>
                <w:color w:val="000000"/>
                <w:sz w:val="20"/>
                <w:szCs w:val="20"/>
              </w:rPr>
              <w:t>2</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36</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49.5%</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49.5%</w:t>
            </w:r>
          </w:p>
        </w:tc>
        <w:tc>
          <w:tcPr>
            <w:tcW w:w="1230"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49.5%</w:t>
            </w:r>
          </w:p>
        </w:tc>
      </w:tr>
      <w:tr w:rsidR="00A874AC" w:rsidRPr="003458B1" w:rsidTr="005C3E63">
        <w:trPr>
          <w:trHeight w:val="346"/>
        </w:trPr>
        <w:tc>
          <w:tcPr>
            <w:tcW w:w="1970" w:type="dxa"/>
            <w:shd w:val="clear" w:color="000000" w:fill="D2EAF1"/>
            <w:vAlign w:val="center"/>
          </w:tcPr>
          <w:p w:rsidR="006E720E" w:rsidRPr="003458B1" w:rsidRDefault="006E720E" w:rsidP="00380FF9">
            <w:pPr>
              <w:jc w:val="left"/>
              <w:rPr>
                <w:bCs/>
                <w:color w:val="000000"/>
                <w:sz w:val="20"/>
                <w:szCs w:val="20"/>
              </w:rPr>
            </w:pPr>
            <w:r w:rsidRPr="003458B1">
              <w:rPr>
                <w:bCs/>
                <w:color w:val="000000"/>
                <w:sz w:val="20"/>
                <w:szCs w:val="20"/>
              </w:rPr>
              <w:t>Appliance Turn-</w:t>
            </w:r>
            <w:r>
              <w:rPr>
                <w:bCs/>
                <w:color w:val="000000"/>
                <w:sz w:val="20"/>
                <w:szCs w:val="20"/>
              </w:rPr>
              <w:t>I</w:t>
            </w:r>
            <w:r w:rsidRPr="003458B1">
              <w:rPr>
                <w:bCs/>
                <w:color w:val="000000"/>
                <w:sz w:val="20"/>
                <w:szCs w:val="20"/>
              </w:rPr>
              <w:t>n – 1</w:t>
            </w:r>
          </w:p>
        </w:tc>
        <w:tc>
          <w:tcPr>
            <w:tcW w:w="1230" w:type="dxa"/>
            <w:shd w:val="clear" w:color="000000" w:fill="D2EAF1"/>
            <w:noWrap/>
            <w:vAlign w:val="center"/>
          </w:tcPr>
          <w:p w:rsidR="006E720E" w:rsidRPr="003458B1" w:rsidRDefault="006E720E" w:rsidP="00380FF9">
            <w:pPr>
              <w:jc w:val="center"/>
              <w:rPr>
                <w:bCs/>
                <w:color w:val="000000"/>
                <w:sz w:val="20"/>
                <w:szCs w:val="20"/>
              </w:rPr>
            </w:pPr>
            <w:r w:rsidRPr="003458B1">
              <w:rPr>
                <w:sz w:val="20"/>
                <w:szCs w:val="20"/>
              </w:rPr>
              <w:t>58</w:t>
            </w:r>
          </w:p>
        </w:tc>
        <w:tc>
          <w:tcPr>
            <w:tcW w:w="1230" w:type="dxa"/>
            <w:shd w:val="clear" w:color="000000" w:fill="D2EAF1"/>
            <w:noWrap/>
            <w:vAlign w:val="center"/>
          </w:tcPr>
          <w:p w:rsidR="006E720E" w:rsidRPr="003458B1" w:rsidRDefault="006E720E" w:rsidP="00380FF9">
            <w:pPr>
              <w:jc w:val="center"/>
              <w:rPr>
                <w:bCs/>
                <w:color w:val="000000"/>
                <w:sz w:val="20"/>
                <w:szCs w:val="20"/>
              </w:rPr>
            </w:pPr>
            <w:r w:rsidRPr="003458B1">
              <w:rPr>
                <w:sz w:val="20"/>
                <w:szCs w:val="20"/>
              </w:rPr>
              <w:t>71.4%</w:t>
            </w:r>
          </w:p>
        </w:tc>
        <w:tc>
          <w:tcPr>
            <w:tcW w:w="1230" w:type="dxa"/>
            <w:shd w:val="clear" w:color="000000" w:fill="D2EAF1"/>
            <w:noWrap/>
            <w:vAlign w:val="center"/>
          </w:tcPr>
          <w:p w:rsidR="006E720E" w:rsidRPr="003458B1" w:rsidRDefault="006E720E" w:rsidP="00380FF9">
            <w:pPr>
              <w:jc w:val="center"/>
              <w:rPr>
                <w:bCs/>
                <w:color w:val="000000"/>
                <w:sz w:val="20"/>
                <w:szCs w:val="20"/>
              </w:rPr>
            </w:pPr>
            <w:r w:rsidRPr="003458B1">
              <w:rPr>
                <w:sz w:val="20"/>
                <w:szCs w:val="20"/>
              </w:rPr>
              <w:t>1</w:t>
            </w:r>
          </w:p>
        </w:tc>
        <w:tc>
          <w:tcPr>
            <w:tcW w:w="1230" w:type="dxa"/>
            <w:shd w:val="clear" w:color="000000" w:fill="D2EAF1"/>
            <w:noWrap/>
            <w:vAlign w:val="center"/>
          </w:tcPr>
          <w:p w:rsidR="006E720E" w:rsidRPr="003458B1" w:rsidRDefault="006E720E" w:rsidP="00380FF9">
            <w:pPr>
              <w:jc w:val="center"/>
              <w:rPr>
                <w:bCs/>
                <w:color w:val="000000"/>
                <w:sz w:val="20"/>
                <w:szCs w:val="20"/>
              </w:rPr>
            </w:pPr>
            <w:r w:rsidRPr="003458B1">
              <w:rPr>
                <w:sz w:val="20"/>
                <w:szCs w:val="20"/>
              </w:rPr>
              <w:t>1</w:t>
            </w:r>
          </w:p>
        </w:tc>
        <w:tc>
          <w:tcPr>
            <w:tcW w:w="1230" w:type="dxa"/>
            <w:shd w:val="clear" w:color="000000" w:fill="D2EAF1"/>
            <w:noWrap/>
            <w:vAlign w:val="center"/>
          </w:tcPr>
          <w:p w:rsidR="006E720E" w:rsidRPr="003458B1" w:rsidRDefault="006E720E" w:rsidP="00380FF9">
            <w:pPr>
              <w:jc w:val="center"/>
              <w:rPr>
                <w:bCs/>
                <w:color w:val="000000"/>
                <w:sz w:val="20"/>
                <w:szCs w:val="20"/>
              </w:rPr>
            </w:pPr>
            <w:r w:rsidRPr="003458B1">
              <w:rPr>
                <w:sz w:val="20"/>
                <w:szCs w:val="20"/>
              </w:rPr>
              <w:t>71.4%</w:t>
            </w:r>
          </w:p>
        </w:tc>
        <w:tc>
          <w:tcPr>
            <w:tcW w:w="1230" w:type="dxa"/>
            <w:shd w:val="clear" w:color="000000" w:fill="D2EAF1"/>
            <w:noWrap/>
            <w:vAlign w:val="center"/>
          </w:tcPr>
          <w:p w:rsidR="006E720E" w:rsidRPr="003458B1" w:rsidRDefault="006E720E" w:rsidP="00380FF9">
            <w:pPr>
              <w:jc w:val="center"/>
              <w:rPr>
                <w:bCs/>
                <w:color w:val="000000"/>
                <w:sz w:val="20"/>
                <w:szCs w:val="20"/>
              </w:rPr>
            </w:pPr>
            <w:r w:rsidRPr="003458B1">
              <w:rPr>
                <w:sz w:val="20"/>
                <w:szCs w:val="20"/>
              </w:rPr>
              <w:t>71.4%</w:t>
            </w:r>
          </w:p>
        </w:tc>
      </w:tr>
      <w:tr w:rsidR="00E7173E" w:rsidRPr="003458B1" w:rsidTr="005C3E63">
        <w:trPr>
          <w:trHeight w:val="346"/>
        </w:trPr>
        <w:tc>
          <w:tcPr>
            <w:tcW w:w="1970" w:type="dxa"/>
            <w:shd w:val="clear" w:color="auto" w:fill="auto"/>
            <w:vAlign w:val="center"/>
          </w:tcPr>
          <w:p w:rsidR="006E720E" w:rsidRPr="003458B1" w:rsidRDefault="006E720E" w:rsidP="00380FF9">
            <w:pPr>
              <w:jc w:val="left"/>
              <w:rPr>
                <w:bCs/>
                <w:color w:val="000000"/>
                <w:sz w:val="20"/>
                <w:szCs w:val="20"/>
              </w:rPr>
            </w:pPr>
            <w:r w:rsidRPr="003458B1">
              <w:rPr>
                <w:bCs/>
                <w:color w:val="000000"/>
                <w:sz w:val="20"/>
                <w:szCs w:val="20"/>
              </w:rPr>
              <w:t>Kitchen/</w:t>
            </w:r>
            <w:r>
              <w:rPr>
                <w:bCs/>
                <w:color w:val="000000"/>
                <w:sz w:val="20"/>
                <w:szCs w:val="20"/>
              </w:rPr>
              <w:t>a</w:t>
            </w:r>
            <w:r w:rsidRPr="003458B1">
              <w:rPr>
                <w:bCs/>
                <w:color w:val="000000"/>
                <w:sz w:val="20"/>
                <w:szCs w:val="20"/>
              </w:rPr>
              <w:t>ppliances</w:t>
            </w:r>
            <w:r>
              <w:rPr>
                <w:bCs/>
                <w:color w:val="000000"/>
                <w:sz w:val="20"/>
                <w:szCs w:val="20"/>
              </w:rPr>
              <w:t xml:space="preserve"> – </w:t>
            </w:r>
            <w:r w:rsidRPr="003458B1">
              <w:rPr>
                <w:bCs/>
                <w:color w:val="000000"/>
                <w:sz w:val="20"/>
                <w:szCs w:val="20"/>
              </w:rPr>
              <w:t>1</w:t>
            </w:r>
          </w:p>
        </w:tc>
        <w:tc>
          <w:tcPr>
            <w:tcW w:w="1230" w:type="dxa"/>
            <w:shd w:val="clear" w:color="auto" w:fill="auto"/>
            <w:noWrap/>
            <w:vAlign w:val="center"/>
          </w:tcPr>
          <w:p w:rsidR="006E720E" w:rsidRPr="003458B1" w:rsidRDefault="006E720E" w:rsidP="00380FF9">
            <w:pPr>
              <w:jc w:val="center"/>
              <w:rPr>
                <w:bCs/>
                <w:color w:val="000000"/>
                <w:sz w:val="20"/>
                <w:szCs w:val="20"/>
              </w:rPr>
            </w:pPr>
            <w:r w:rsidRPr="003458B1">
              <w:rPr>
                <w:sz w:val="20"/>
                <w:szCs w:val="20"/>
              </w:rPr>
              <w:t>12</w:t>
            </w:r>
          </w:p>
        </w:tc>
        <w:tc>
          <w:tcPr>
            <w:tcW w:w="1230" w:type="dxa"/>
            <w:shd w:val="clear" w:color="auto" w:fill="auto"/>
            <w:noWrap/>
            <w:vAlign w:val="center"/>
          </w:tcPr>
          <w:p w:rsidR="006E720E" w:rsidRPr="003458B1" w:rsidRDefault="006E720E" w:rsidP="00380FF9">
            <w:pPr>
              <w:jc w:val="center"/>
              <w:rPr>
                <w:bCs/>
                <w:color w:val="000000"/>
                <w:sz w:val="20"/>
                <w:szCs w:val="20"/>
              </w:rPr>
            </w:pPr>
            <w:r w:rsidRPr="003458B1">
              <w:rPr>
                <w:sz w:val="20"/>
                <w:szCs w:val="20"/>
              </w:rPr>
              <w:t>68.9%</w:t>
            </w:r>
          </w:p>
        </w:tc>
        <w:tc>
          <w:tcPr>
            <w:tcW w:w="1230" w:type="dxa"/>
            <w:shd w:val="clear" w:color="auto" w:fill="auto"/>
            <w:noWrap/>
            <w:vAlign w:val="center"/>
          </w:tcPr>
          <w:p w:rsidR="006E720E" w:rsidRPr="003458B1" w:rsidRDefault="006E720E" w:rsidP="00380FF9">
            <w:pPr>
              <w:jc w:val="center"/>
              <w:rPr>
                <w:bCs/>
                <w:color w:val="000000"/>
                <w:sz w:val="20"/>
                <w:szCs w:val="20"/>
              </w:rPr>
            </w:pPr>
            <w:r w:rsidRPr="003458B1">
              <w:rPr>
                <w:sz w:val="20"/>
                <w:szCs w:val="20"/>
              </w:rPr>
              <w:t>1</w:t>
            </w:r>
          </w:p>
        </w:tc>
        <w:tc>
          <w:tcPr>
            <w:tcW w:w="1230" w:type="dxa"/>
            <w:shd w:val="clear" w:color="auto" w:fill="auto"/>
            <w:noWrap/>
            <w:vAlign w:val="center"/>
          </w:tcPr>
          <w:p w:rsidR="006E720E" w:rsidRPr="003458B1" w:rsidRDefault="006E720E" w:rsidP="00380FF9">
            <w:pPr>
              <w:jc w:val="center"/>
              <w:rPr>
                <w:bCs/>
                <w:color w:val="000000"/>
                <w:sz w:val="20"/>
                <w:szCs w:val="20"/>
              </w:rPr>
            </w:pPr>
            <w:r w:rsidRPr="003458B1">
              <w:rPr>
                <w:sz w:val="20"/>
                <w:szCs w:val="20"/>
              </w:rPr>
              <w:t>1</w:t>
            </w:r>
          </w:p>
        </w:tc>
        <w:tc>
          <w:tcPr>
            <w:tcW w:w="1230" w:type="dxa"/>
            <w:shd w:val="clear" w:color="auto" w:fill="auto"/>
            <w:noWrap/>
            <w:vAlign w:val="center"/>
          </w:tcPr>
          <w:p w:rsidR="006E720E" w:rsidRPr="003458B1" w:rsidRDefault="006E720E" w:rsidP="00380FF9">
            <w:pPr>
              <w:jc w:val="center"/>
              <w:rPr>
                <w:bCs/>
                <w:color w:val="000000"/>
                <w:sz w:val="20"/>
                <w:szCs w:val="20"/>
              </w:rPr>
            </w:pPr>
            <w:r w:rsidRPr="003458B1">
              <w:rPr>
                <w:sz w:val="20"/>
                <w:szCs w:val="20"/>
              </w:rPr>
              <w:t>68.9%</w:t>
            </w:r>
          </w:p>
        </w:tc>
        <w:tc>
          <w:tcPr>
            <w:tcW w:w="1230" w:type="dxa"/>
            <w:shd w:val="clear" w:color="auto" w:fill="auto"/>
            <w:noWrap/>
            <w:vAlign w:val="center"/>
          </w:tcPr>
          <w:p w:rsidR="006E720E" w:rsidRPr="003458B1" w:rsidRDefault="006E720E" w:rsidP="00380FF9">
            <w:pPr>
              <w:jc w:val="center"/>
              <w:rPr>
                <w:bCs/>
                <w:color w:val="000000"/>
                <w:sz w:val="20"/>
                <w:szCs w:val="20"/>
              </w:rPr>
            </w:pPr>
            <w:r w:rsidRPr="003458B1">
              <w:rPr>
                <w:sz w:val="20"/>
                <w:szCs w:val="20"/>
              </w:rPr>
              <w:t>68.9%</w:t>
            </w:r>
          </w:p>
        </w:tc>
      </w:tr>
      <w:tr w:rsidR="00A874AC" w:rsidRPr="003458B1" w:rsidTr="005C3E63">
        <w:trPr>
          <w:trHeight w:val="346"/>
        </w:trPr>
        <w:tc>
          <w:tcPr>
            <w:tcW w:w="1970" w:type="dxa"/>
            <w:shd w:val="clear" w:color="000000" w:fill="D2EAF1"/>
            <w:vAlign w:val="center"/>
          </w:tcPr>
          <w:p w:rsidR="006E720E" w:rsidRPr="003458B1" w:rsidRDefault="006E720E" w:rsidP="00380FF9">
            <w:pPr>
              <w:jc w:val="left"/>
              <w:rPr>
                <w:bCs/>
                <w:color w:val="000000"/>
                <w:sz w:val="20"/>
                <w:szCs w:val="20"/>
              </w:rPr>
            </w:pPr>
            <w:r w:rsidRPr="003458B1">
              <w:rPr>
                <w:b/>
                <w:bCs/>
                <w:color w:val="000000"/>
                <w:sz w:val="20"/>
                <w:szCs w:val="20"/>
              </w:rPr>
              <w:t>Program Total</w:t>
            </w:r>
          </w:p>
        </w:tc>
        <w:tc>
          <w:tcPr>
            <w:tcW w:w="1230"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694</w:t>
            </w:r>
          </w:p>
        </w:tc>
        <w:tc>
          <w:tcPr>
            <w:tcW w:w="1230"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12.8%</w:t>
            </w:r>
          </w:p>
        </w:tc>
        <w:tc>
          <w:tcPr>
            <w:tcW w:w="1230"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37</w:t>
            </w:r>
          </w:p>
        </w:tc>
        <w:tc>
          <w:tcPr>
            <w:tcW w:w="1230"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37</w:t>
            </w:r>
          </w:p>
        </w:tc>
        <w:tc>
          <w:tcPr>
            <w:tcW w:w="1230"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12.3%</w:t>
            </w:r>
          </w:p>
        </w:tc>
        <w:tc>
          <w:tcPr>
            <w:tcW w:w="1230"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12.6%</w:t>
            </w:r>
          </w:p>
        </w:tc>
      </w:tr>
    </w:tbl>
    <w:p w:rsidR="006E720E" w:rsidRPr="003458B1" w:rsidRDefault="006E720E" w:rsidP="006E720E"/>
    <w:p w:rsidR="006E720E" w:rsidRPr="003458B1" w:rsidRDefault="006E720E" w:rsidP="006E720E">
      <w:pPr>
        <w:pStyle w:val="AppendixAHeading5"/>
      </w:pPr>
      <w:r w:rsidRPr="003458B1">
        <w:t>Small C/I Energy Efficient Buildings Program</w:t>
      </w:r>
    </w:p>
    <w:p w:rsidR="006E720E" w:rsidRPr="003458B1" w:rsidRDefault="006E720E" w:rsidP="006E720E">
      <w:r w:rsidRPr="003458B1">
        <w:t>This was a new program in Phase II. The program includes two components: energy conservation kits delivered by mail to non-residential customers and whole-building projects such as new construction, retro-commissioning, and building envelope improvements. Sampling and project-level gross impact evaluation methodologies for efficient equipment and building upgrade measures are identical to the me</w:t>
      </w:r>
      <w:r w:rsidR="00602E9A">
        <w:t xml:space="preserve">thodology described for the </w:t>
      </w:r>
      <w:r w:rsidRPr="003458B1">
        <w:t xml:space="preserve">Small </w:t>
      </w:r>
      <w:r w:rsidR="00602E9A">
        <w:t xml:space="preserve">C/I </w:t>
      </w:r>
      <w:r>
        <w:t xml:space="preserve">Energy </w:t>
      </w:r>
      <w:r w:rsidRPr="003458B1">
        <w:t xml:space="preserve">Efficient Equipment Program above. The sample design strategy and the achieved precision values for energy and demand are </w:t>
      </w:r>
      <w:r w:rsidRPr="006E720E">
        <w:t xml:space="preserve">shown in </w:t>
      </w:r>
      <w:r w:rsidRPr="006E720E">
        <w:fldChar w:fldCharType="begin"/>
      </w:r>
      <w:r w:rsidRPr="006E720E">
        <w:instrText xml:space="preserve"> REF _Ref440032993 \h  \* MERGEFORMAT </w:instrText>
      </w:r>
      <w:r w:rsidRPr="006E720E">
        <w:fldChar w:fldCharType="separate"/>
      </w:r>
      <w:r w:rsidR="00A874AC" w:rsidRPr="00A874AC">
        <w:rPr>
          <w:bCs/>
        </w:rPr>
        <w:t>Table A-38</w:t>
      </w:r>
      <w:r w:rsidRPr="006E720E">
        <w:fldChar w:fldCharType="end"/>
      </w:r>
      <w:r w:rsidRPr="006E720E">
        <w:t>. The</w:t>
      </w:r>
      <w:r w:rsidRPr="003458B1">
        <w:t xml:space="preserve"> precision levels for energy and for demand met the SWE Team requirements.</w:t>
      </w:r>
    </w:p>
    <w:p w:rsidR="006E720E" w:rsidRPr="003458B1" w:rsidRDefault="006E720E" w:rsidP="006E720E"/>
    <w:p w:rsidR="006E720E" w:rsidRPr="003458B1" w:rsidRDefault="006E720E" w:rsidP="006E720E">
      <w:pPr>
        <w:spacing w:after="120"/>
        <w:jc w:val="center"/>
        <w:rPr>
          <w:rFonts w:ascii="Century Gothic" w:hAnsi="Century Gothic"/>
          <w:b/>
          <w:bCs/>
          <w:sz w:val="18"/>
          <w:szCs w:val="18"/>
        </w:rPr>
      </w:pPr>
      <w:bookmarkStart w:id="735" w:name="_Ref440032993"/>
      <w:bookmarkStart w:id="736" w:name="_Toc410199414"/>
      <w:bookmarkStart w:id="737" w:name="_Toc431462334"/>
      <w:bookmarkStart w:id="738" w:name="_Toc444269854"/>
      <w:bookmarkStart w:id="739" w:name="_Toc472472447"/>
      <w:bookmarkStart w:id="740" w:name="_Toc476842153"/>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38</w:t>
      </w:r>
      <w:r w:rsidRPr="003458B1">
        <w:rPr>
          <w:rFonts w:ascii="Century Gothic" w:hAnsi="Century Gothic"/>
          <w:b/>
          <w:bCs/>
          <w:sz w:val="18"/>
          <w:szCs w:val="18"/>
        </w:rPr>
        <w:fldChar w:fldCharType="end"/>
      </w:r>
      <w:bookmarkEnd w:id="735"/>
      <w:r w:rsidRPr="003458B1">
        <w:rPr>
          <w:rFonts w:ascii="Century Gothic" w:hAnsi="Century Gothic"/>
          <w:b/>
          <w:bCs/>
          <w:sz w:val="18"/>
          <w:szCs w:val="18"/>
        </w:rPr>
        <w:t>: Met-Ed PY7 Sampling Strategy and Relative Precision – Small C/I Energy Efficient Buildings Program</w:t>
      </w:r>
      <w:bookmarkEnd w:id="736"/>
      <w:bookmarkEnd w:id="737"/>
      <w:bookmarkEnd w:id="738"/>
      <w:bookmarkEnd w:id="739"/>
      <w:bookmarkEnd w:id="740"/>
    </w:p>
    <w:tbl>
      <w:tblPr>
        <w:tblW w:w="9406" w:type="dxa"/>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426"/>
        <w:gridCol w:w="1163"/>
        <w:gridCol w:w="1163"/>
        <w:gridCol w:w="1164"/>
        <w:gridCol w:w="1163"/>
        <w:gridCol w:w="1163"/>
        <w:gridCol w:w="1164"/>
      </w:tblGrid>
      <w:tr w:rsidR="00A874AC" w:rsidRPr="003458B1" w:rsidTr="005C3E63">
        <w:trPr>
          <w:trHeight w:val="1232"/>
        </w:trPr>
        <w:tc>
          <w:tcPr>
            <w:tcW w:w="2426" w:type="dxa"/>
            <w:shd w:val="clear" w:color="000000" w:fill="448A99"/>
            <w:vAlign w:val="bottom"/>
            <w:hideMark/>
          </w:tcPr>
          <w:p w:rsidR="006E720E" w:rsidRPr="003458B1" w:rsidRDefault="006E720E" w:rsidP="00380FF9">
            <w:pPr>
              <w:rPr>
                <w:b/>
                <w:bCs/>
                <w:color w:val="FFFFFF"/>
                <w:sz w:val="20"/>
                <w:szCs w:val="20"/>
              </w:rPr>
            </w:pPr>
            <w:r w:rsidRPr="003458B1">
              <w:rPr>
                <w:b/>
                <w:bCs/>
                <w:color w:val="FFFFFF"/>
                <w:sz w:val="20"/>
                <w:szCs w:val="20"/>
              </w:rPr>
              <w:t>Stratum</w:t>
            </w:r>
          </w:p>
        </w:tc>
        <w:tc>
          <w:tcPr>
            <w:tcW w:w="1163"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Population</w:t>
            </w:r>
          </w:p>
        </w:tc>
        <w:tc>
          <w:tcPr>
            <w:tcW w:w="1163"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Target Levels of Confidence &amp; Precision</w:t>
            </w:r>
          </w:p>
        </w:tc>
        <w:tc>
          <w:tcPr>
            <w:tcW w:w="1164"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Target Sample Size</w:t>
            </w:r>
          </w:p>
        </w:tc>
        <w:tc>
          <w:tcPr>
            <w:tcW w:w="1163"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Achieved Sample Size</w:t>
            </w:r>
          </w:p>
        </w:tc>
        <w:tc>
          <w:tcPr>
            <w:tcW w:w="1163"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Relative Precision at 85% C.L. for Energy</w:t>
            </w:r>
          </w:p>
        </w:tc>
        <w:tc>
          <w:tcPr>
            <w:tcW w:w="1164"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Relative Precision at 85% C.L. for Demand</w:t>
            </w:r>
          </w:p>
        </w:tc>
      </w:tr>
      <w:tr w:rsidR="00A874AC" w:rsidRPr="003458B1" w:rsidTr="005C3E63">
        <w:trPr>
          <w:trHeight w:val="301"/>
        </w:trPr>
        <w:tc>
          <w:tcPr>
            <w:tcW w:w="2426" w:type="dxa"/>
            <w:shd w:val="clear" w:color="000000" w:fill="D2EAF1"/>
            <w:noWrap/>
            <w:vAlign w:val="center"/>
          </w:tcPr>
          <w:p w:rsidR="006E720E" w:rsidRPr="003458B1" w:rsidRDefault="006E720E" w:rsidP="00380FF9">
            <w:pPr>
              <w:jc w:val="left"/>
              <w:rPr>
                <w:bCs/>
                <w:color w:val="000000"/>
                <w:sz w:val="20"/>
                <w:szCs w:val="20"/>
              </w:rPr>
            </w:pPr>
            <w:r w:rsidRPr="003458B1">
              <w:rPr>
                <w:sz w:val="20"/>
                <w:szCs w:val="20"/>
              </w:rPr>
              <w:t xml:space="preserve">CFL </w:t>
            </w:r>
            <w:r>
              <w:rPr>
                <w:sz w:val="20"/>
                <w:szCs w:val="20"/>
              </w:rPr>
              <w:t xml:space="preserve">kits – </w:t>
            </w:r>
            <w:r w:rsidRPr="003458B1">
              <w:rPr>
                <w:sz w:val="20"/>
                <w:szCs w:val="20"/>
              </w:rPr>
              <w:t>1</w:t>
            </w:r>
          </w:p>
        </w:tc>
        <w:tc>
          <w:tcPr>
            <w:tcW w:w="116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4,494</w:t>
            </w:r>
          </w:p>
        </w:tc>
        <w:tc>
          <w:tcPr>
            <w:tcW w:w="116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11.3%</w:t>
            </w:r>
          </w:p>
        </w:tc>
        <w:tc>
          <w:tcPr>
            <w:tcW w:w="1164"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40</w:t>
            </w:r>
          </w:p>
        </w:tc>
        <w:tc>
          <w:tcPr>
            <w:tcW w:w="116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47</w:t>
            </w:r>
          </w:p>
        </w:tc>
        <w:tc>
          <w:tcPr>
            <w:tcW w:w="116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10.4%</w:t>
            </w:r>
          </w:p>
        </w:tc>
        <w:tc>
          <w:tcPr>
            <w:tcW w:w="1164"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10.4%</w:t>
            </w:r>
          </w:p>
        </w:tc>
      </w:tr>
      <w:tr w:rsidR="00E7173E" w:rsidRPr="003458B1" w:rsidTr="005C3E63">
        <w:trPr>
          <w:trHeight w:val="301"/>
        </w:trPr>
        <w:tc>
          <w:tcPr>
            <w:tcW w:w="2426" w:type="dxa"/>
            <w:shd w:val="clear" w:color="auto" w:fill="auto"/>
            <w:vAlign w:val="center"/>
          </w:tcPr>
          <w:p w:rsidR="006E720E" w:rsidRPr="003458B1" w:rsidRDefault="006E720E" w:rsidP="00380FF9">
            <w:pPr>
              <w:jc w:val="left"/>
              <w:rPr>
                <w:b/>
                <w:bCs/>
                <w:color w:val="000000"/>
                <w:sz w:val="20"/>
                <w:szCs w:val="20"/>
              </w:rPr>
            </w:pPr>
            <w:r>
              <w:rPr>
                <w:sz w:val="20"/>
                <w:szCs w:val="20"/>
              </w:rPr>
              <w:t>Lighting – c</w:t>
            </w:r>
            <w:r w:rsidRPr="003458B1">
              <w:rPr>
                <w:sz w:val="20"/>
                <w:szCs w:val="20"/>
              </w:rPr>
              <w:t>ertainty</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auto"/>
            <w:noWrap/>
            <w:vAlign w:val="center"/>
          </w:tcPr>
          <w:p w:rsidR="006E720E" w:rsidRPr="003458B1" w:rsidRDefault="006E720E" w:rsidP="00380FF9">
            <w:pPr>
              <w:jc w:val="center"/>
              <w:rPr>
                <w:b/>
                <w:bCs/>
                <w:color w:val="000000"/>
                <w:sz w:val="20"/>
                <w:szCs w:val="20"/>
              </w:rPr>
            </w:pPr>
            <w:r>
              <w:rPr>
                <w:sz w:val="20"/>
                <w:szCs w:val="20"/>
              </w:rPr>
              <w:t>N/A</w:t>
            </w:r>
          </w:p>
        </w:tc>
        <w:tc>
          <w:tcPr>
            <w:tcW w:w="1164"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164"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r>
      <w:tr w:rsidR="00A874AC" w:rsidRPr="003458B1" w:rsidTr="005C3E63">
        <w:trPr>
          <w:trHeight w:val="301"/>
        </w:trPr>
        <w:tc>
          <w:tcPr>
            <w:tcW w:w="2426" w:type="dxa"/>
            <w:shd w:val="clear" w:color="auto" w:fill="D2EAF1"/>
            <w:vAlign w:val="center"/>
          </w:tcPr>
          <w:p w:rsidR="006E720E" w:rsidRPr="003458B1" w:rsidRDefault="006E720E" w:rsidP="00380FF9">
            <w:pPr>
              <w:jc w:val="left"/>
              <w:rPr>
                <w:b/>
                <w:bCs/>
                <w:color w:val="000000"/>
                <w:sz w:val="20"/>
                <w:szCs w:val="20"/>
              </w:rPr>
            </w:pPr>
            <w:r>
              <w:rPr>
                <w:sz w:val="20"/>
                <w:szCs w:val="20"/>
              </w:rPr>
              <w:t xml:space="preserve">Lighting – </w:t>
            </w:r>
            <w:r w:rsidRPr="003458B1">
              <w:rPr>
                <w:sz w:val="20"/>
                <w:szCs w:val="20"/>
              </w:rPr>
              <w:t>2</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D2EAF1"/>
            <w:noWrap/>
            <w:vAlign w:val="center"/>
          </w:tcPr>
          <w:p w:rsidR="006E720E" w:rsidRPr="003458B1" w:rsidRDefault="006E720E" w:rsidP="00380FF9">
            <w:pPr>
              <w:jc w:val="center"/>
              <w:rPr>
                <w:b/>
                <w:bCs/>
                <w:color w:val="000000"/>
                <w:sz w:val="20"/>
                <w:szCs w:val="20"/>
              </w:rPr>
            </w:pPr>
            <w:r>
              <w:rPr>
                <w:sz w:val="20"/>
                <w:szCs w:val="20"/>
              </w:rPr>
              <w:t>N/A</w:t>
            </w:r>
          </w:p>
        </w:tc>
        <w:tc>
          <w:tcPr>
            <w:tcW w:w="1164"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164"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r>
      <w:tr w:rsidR="00E7173E" w:rsidRPr="003458B1" w:rsidTr="005C3E63">
        <w:trPr>
          <w:trHeight w:val="301"/>
        </w:trPr>
        <w:tc>
          <w:tcPr>
            <w:tcW w:w="2426" w:type="dxa"/>
            <w:shd w:val="clear" w:color="auto" w:fill="auto"/>
            <w:vAlign w:val="center"/>
          </w:tcPr>
          <w:p w:rsidR="006E720E" w:rsidRPr="003458B1" w:rsidRDefault="006E720E" w:rsidP="00380FF9">
            <w:pPr>
              <w:jc w:val="left"/>
              <w:rPr>
                <w:b/>
                <w:bCs/>
                <w:color w:val="000000"/>
                <w:sz w:val="20"/>
                <w:szCs w:val="20"/>
              </w:rPr>
            </w:pPr>
            <w:r>
              <w:rPr>
                <w:sz w:val="20"/>
                <w:szCs w:val="20"/>
              </w:rPr>
              <w:t xml:space="preserve">Lighting – </w:t>
            </w:r>
            <w:r w:rsidRPr="003458B1">
              <w:rPr>
                <w:sz w:val="20"/>
                <w:szCs w:val="20"/>
              </w:rPr>
              <w:t>3</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auto"/>
            <w:noWrap/>
            <w:vAlign w:val="center"/>
          </w:tcPr>
          <w:p w:rsidR="006E720E" w:rsidRPr="003458B1" w:rsidRDefault="006E720E" w:rsidP="00380FF9">
            <w:pPr>
              <w:jc w:val="center"/>
              <w:rPr>
                <w:b/>
                <w:bCs/>
                <w:color w:val="000000"/>
                <w:sz w:val="20"/>
                <w:szCs w:val="20"/>
              </w:rPr>
            </w:pPr>
            <w:r>
              <w:rPr>
                <w:sz w:val="20"/>
                <w:szCs w:val="20"/>
              </w:rPr>
              <w:t>N/A</w:t>
            </w:r>
          </w:p>
        </w:tc>
        <w:tc>
          <w:tcPr>
            <w:tcW w:w="1164"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164"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r>
      <w:tr w:rsidR="00A874AC" w:rsidRPr="003458B1" w:rsidTr="005C3E63">
        <w:trPr>
          <w:trHeight w:val="301"/>
        </w:trPr>
        <w:tc>
          <w:tcPr>
            <w:tcW w:w="2426" w:type="dxa"/>
            <w:shd w:val="clear" w:color="auto" w:fill="D2EAF1"/>
            <w:vAlign w:val="center"/>
          </w:tcPr>
          <w:p w:rsidR="006E720E" w:rsidRPr="003458B1" w:rsidRDefault="006E720E" w:rsidP="00380FF9">
            <w:pPr>
              <w:jc w:val="left"/>
              <w:rPr>
                <w:b/>
                <w:bCs/>
                <w:color w:val="000000"/>
                <w:sz w:val="20"/>
                <w:szCs w:val="20"/>
              </w:rPr>
            </w:pPr>
            <w:r>
              <w:rPr>
                <w:sz w:val="20"/>
                <w:szCs w:val="20"/>
              </w:rPr>
              <w:t xml:space="preserve">Lighting – </w:t>
            </w:r>
            <w:r w:rsidRPr="003458B1">
              <w:rPr>
                <w:sz w:val="20"/>
                <w:szCs w:val="20"/>
              </w:rPr>
              <w:t>4</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D2EAF1"/>
            <w:noWrap/>
            <w:vAlign w:val="center"/>
          </w:tcPr>
          <w:p w:rsidR="006E720E" w:rsidRPr="003458B1" w:rsidRDefault="006E720E" w:rsidP="00380FF9">
            <w:pPr>
              <w:jc w:val="center"/>
              <w:rPr>
                <w:b/>
                <w:bCs/>
                <w:color w:val="000000"/>
                <w:sz w:val="20"/>
                <w:szCs w:val="20"/>
              </w:rPr>
            </w:pPr>
            <w:r>
              <w:rPr>
                <w:sz w:val="20"/>
                <w:szCs w:val="20"/>
              </w:rPr>
              <w:t>N/A</w:t>
            </w:r>
          </w:p>
        </w:tc>
        <w:tc>
          <w:tcPr>
            <w:tcW w:w="1164"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164"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r>
      <w:tr w:rsidR="00E7173E" w:rsidRPr="003458B1" w:rsidTr="005C3E63">
        <w:trPr>
          <w:trHeight w:val="301"/>
        </w:trPr>
        <w:tc>
          <w:tcPr>
            <w:tcW w:w="2426" w:type="dxa"/>
            <w:shd w:val="clear" w:color="auto" w:fill="auto"/>
            <w:vAlign w:val="center"/>
          </w:tcPr>
          <w:p w:rsidR="006E720E" w:rsidRPr="003458B1" w:rsidRDefault="006E720E" w:rsidP="00380FF9">
            <w:pPr>
              <w:jc w:val="left"/>
              <w:rPr>
                <w:b/>
                <w:bCs/>
                <w:color w:val="000000"/>
                <w:sz w:val="20"/>
                <w:szCs w:val="20"/>
              </w:rPr>
            </w:pPr>
            <w:r>
              <w:rPr>
                <w:sz w:val="20"/>
                <w:szCs w:val="20"/>
              </w:rPr>
              <w:t>Custom – c</w:t>
            </w:r>
            <w:r w:rsidRPr="003458B1">
              <w:rPr>
                <w:sz w:val="20"/>
                <w:szCs w:val="20"/>
              </w:rPr>
              <w:t>ertainty</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4</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164"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4</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2</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36.0%</w:t>
            </w:r>
          </w:p>
        </w:tc>
        <w:tc>
          <w:tcPr>
            <w:tcW w:w="1164"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36.0%</w:t>
            </w:r>
          </w:p>
        </w:tc>
      </w:tr>
      <w:tr w:rsidR="00A874AC" w:rsidRPr="003458B1" w:rsidTr="005C3E63">
        <w:trPr>
          <w:trHeight w:val="301"/>
        </w:trPr>
        <w:tc>
          <w:tcPr>
            <w:tcW w:w="2426" w:type="dxa"/>
            <w:shd w:val="clear" w:color="auto" w:fill="D2EAF1"/>
            <w:vAlign w:val="center"/>
          </w:tcPr>
          <w:p w:rsidR="006E720E" w:rsidRPr="003458B1" w:rsidRDefault="006E720E" w:rsidP="00380FF9">
            <w:pPr>
              <w:jc w:val="left"/>
              <w:rPr>
                <w:b/>
                <w:bCs/>
                <w:color w:val="000000"/>
                <w:sz w:val="20"/>
                <w:szCs w:val="20"/>
              </w:rPr>
            </w:pPr>
            <w:r>
              <w:rPr>
                <w:sz w:val="20"/>
                <w:szCs w:val="20"/>
              </w:rPr>
              <w:t xml:space="preserve">Custom – </w:t>
            </w:r>
            <w:r w:rsidRPr="003458B1">
              <w:rPr>
                <w:sz w:val="20"/>
                <w:szCs w:val="20"/>
              </w:rPr>
              <w:t>2</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11</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28.7%</w:t>
            </w:r>
          </w:p>
        </w:tc>
        <w:tc>
          <w:tcPr>
            <w:tcW w:w="1164"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4</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3</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35.5%</w:t>
            </w:r>
          </w:p>
        </w:tc>
        <w:tc>
          <w:tcPr>
            <w:tcW w:w="1164"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35.5%</w:t>
            </w:r>
          </w:p>
        </w:tc>
      </w:tr>
      <w:tr w:rsidR="00E7173E" w:rsidRPr="003458B1" w:rsidTr="005C3E63">
        <w:trPr>
          <w:trHeight w:val="301"/>
        </w:trPr>
        <w:tc>
          <w:tcPr>
            <w:tcW w:w="2426" w:type="dxa"/>
            <w:shd w:val="clear" w:color="auto" w:fill="auto"/>
            <w:vAlign w:val="center"/>
          </w:tcPr>
          <w:p w:rsidR="006E720E" w:rsidRPr="003458B1" w:rsidRDefault="006E720E" w:rsidP="00380FF9">
            <w:pPr>
              <w:jc w:val="left"/>
              <w:rPr>
                <w:b/>
                <w:bCs/>
                <w:color w:val="000000"/>
                <w:sz w:val="20"/>
                <w:szCs w:val="20"/>
              </w:rPr>
            </w:pPr>
            <w:r>
              <w:rPr>
                <w:sz w:val="20"/>
                <w:szCs w:val="20"/>
              </w:rPr>
              <w:t xml:space="preserve">Custom – </w:t>
            </w:r>
            <w:r w:rsidRPr="003458B1">
              <w:rPr>
                <w:sz w:val="20"/>
                <w:szCs w:val="20"/>
              </w:rPr>
              <w:t>3</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129</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28.7%</w:t>
            </w:r>
          </w:p>
        </w:tc>
        <w:tc>
          <w:tcPr>
            <w:tcW w:w="1164"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6</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6</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28.7%</w:t>
            </w:r>
          </w:p>
        </w:tc>
        <w:tc>
          <w:tcPr>
            <w:tcW w:w="1164"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28.7%</w:t>
            </w:r>
          </w:p>
        </w:tc>
      </w:tr>
      <w:tr w:rsidR="00A874AC" w:rsidRPr="003458B1" w:rsidTr="005C3E63">
        <w:trPr>
          <w:trHeight w:val="301"/>
        </w:trPr>
        <w:tc>
          <w:tcPr>
            <w:tcW w:w="2426" w:type="dxa"/>
            <w:shd w:val="clear" w:color="auto" w:fill="D2EAF1"/>
            <w:vAlign w:val="center"/>
          </w:tcPr>
          <w:p w:rsidR="006E720E" w:rsidRPr="003458B1" w:rsidRDefault="006E720E" w:rsidP="00380FF9">
            <w:pPr>
              <w:jc w:val="left"/>
              <w:rPr>
                <w:b/>
                <w:bCs/>
                <w:color w:val="000000"/>
                <w:sz w:val="20"/>
                <w:szCs w:val="20"/>
              </w:rPr>
            </w:pPr>
            <w:r>
              <w:rPr>
                <w:sz w:val="20"/>
                <w:szCs w:val="20"/>
              </w:rPr>
              <w:t xml:space="preserve">HVAC and DHW – </w:t>
            </w:r>
            <w:r w:rsidRPr="003458B1">
              <w:rPr>
                <w:sz w:val="20"/>
                <w:szCs w:val="20"/>
              </w:rPr>
              <w:t>1</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D2EAF1"/>
            <w:noWrap/>
            <w:vAlign w:val="center"/>
          </w:tcPr>
          <w:p w:rsidR="006E720E" w:rsidRPr="003458B1" w:rsidRDefault="006E720E" w:rsidP="00380FF9">
            <w:pPr>
              <w:jc w:val="center"/>
              <w:rPr>
                <w:b/>
                <w:bCs/>
                <w:color w:val="000000"/>
                <w:sz w:val="20"/>
                <w:szCs w:val="20"/>
              </w:rPr>
            </w:pPr>
            <w:r>
              <w:rPr>
                <w:sz w:val="20"/>
                <w:szCs w:val="20"/>
              </w:rPr>
              <w:t>N/A</w:t>
            </w:r>
          </w:p>
        </w:tc>
        <w:tc>
          <w:tcPr>
            <w:tcW w:w="1164"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164"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r>
      <w:tr w:rsidR="00E7173E" w:rsidRPr="003458B1" w:rsidTr="005C3E63">
        <w:trPr>
          <w:trHeight w:val="301"/>
        </w:trPr>
        <w:tc>
          <w:tcPr>
            <w:tcW w:w="2426" w:type="dxa"/>
            <w:shd w:val="clear" w:color="auto" w:fill="auto"/>
            <w:vAlign w:val="center"/>
          </w:tcPr>
          <w:p w:rsidR="006E720E" w:rsidRPr="003458B1" w:rsidRDefault="006E720E" w:rsidP="00380FF9">
            <w:pPr>
              <w:jc w:val="left"/>
              <w:rPr>
                <w:b/>
                <w:bCs/>
                <w:color w:val="000000"/>
                <w:sz w:val="20"/>
                <w:szCs w:val="20"/>
              </w:rPr>
            </w:pPr>
            <w:r>
              <w:rPr>
                <w:sz w:val="20"/>
                <w:szCs w:val="20"/>
              </w:rPr>
              <w:t xml:space="preserve">HVAC and DHW – </w:t>
            </w:r>
            <w:r w:rsidRPr="003458B1">
              <w:rPr>
                <w:sz w:val="20"/>
                <w:szCs w:val="20"/>
              </w:rPr>
              <w:t>2</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auto"/>
            <w:noWrap/>
            <w:vAlign w:val="center"/>
          </w:tcPr>
          <w:p w:rsidR="006E720E" w:rsidRPr="003458B1" w:rsidRDefault="006E720E" w:rsidP="00380FF9">
            <w:pPr>
              <w:jc w:val="center"/>
              <w:rPr>
                <w:b/>
                <w:bCs/>
                <w:color w:val="000000"/>
                <w:sz w:val="20"/>
                <w:szCs w:val="20"/>
              </w:rPr>
            </w:pPr>
            <w:r>
              <w:rPr>
                <w:sz w:val="20"/>
                <w:szCs w:val="20"/>
              </w:rPr>
              <w:t>N/A</w:t>
            </w:r>
          </w:p>
        </w:tc>
        <w:tc>
          <w:tcPr>
            <w:tcW w:w="1164"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164"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r>
      <w:tr w:rsidR="00A874AC" w:rsidRPr="003458B1" w:rsidTr="005C3E63">
        <w:trPr>
          <w:trHeight w:val="301"/>
        </w:trPr>
        <w:tc>
          <w:tcPr>
            <w:tcW w:w="2426" w:type="dxa"/>
            <w:shd w:val="clear" w:color="auto" w:fill="D2EAF1"/>
            <w:vAlign w:val="center"/>
          </w:tcPr>
          <w:p w:rsidR="006E720E" w:rsidRPr="003458B1" w:rsidRDefault="006E720E" w:rsidP="00380FF9">
            <w:pPr>
              <w:jc w:val="left"/>
              <w:rPr>
                <w:b/>
                <w:bCs/>
                <w:color w:val="000000"/>
                <w:sz w:val="20"/>
                <w:szCs w:val="20"/>
              </w:rPr>
            </w:pPr>
            <w:r>
              <w:rPr>
                <w:sz w:val="20"/>
                <w:szCs w:val="20"/>
              </w:rPr>
              <w:t xml:space="preserve">Appliance Turn-In – </w:t>
            </w:r>
            <w:r w:rsidRPr="003458B1">
              <w:rPr>
                <w:sz w:val="20"/>
                <w:szCs w:val="20"/>
              </w:rPr>
              <w:t>1</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D2EAF1"/>
            <w:noWrap/>
            <w:vAlign w:val="center"/>
          </w:tcPr>
          <w:p w:rsidR="006E720E" w:rsidRPr="003458B1" w:rsidRDefault="006E720E" w:rsidP="00380FF9">
            <w:pPr>
              <w:jc w:val="center"/>
              <w:rPr>
                <w:b/>
                <w:bCs/>
                <w:color w:val="000000"/>
                <w:sz w:val="20"/>
                <w:szCs w:val="20"/>
              </w:rPr>
            </w:pPr>
            <w:r>
              <w:rPr>
                <w:sz w:val="20"/>
                <w:szCs w:val="20"/>
              </w:rPr>
              <w:t>N/A</w:t>
            </w:r>
          </w:p>
        </w:tc>
        <w:tc>
          <w:tcPr>
            <w:tcW w:w="1164"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164"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r>
      <w:tr w:rsidR="00E7173E" w:rsidRPr="003458B1" w:rsidTr="005C3E63">
        <w:trPr>
          <w:trHeight w:val="301"/>
        </w:trPr>
        <w:tc>
          <w:tcPr>
            <w:tcW w:w="2426" w:type="dxa"/>
            <w:shd w:val="clear" w:color="auto" w:fill="auto"/>
            <w:vAlign w:val="center"/>
          </w:tcPr>
          <w:p w:rsidR="006E720E" w:rsidRPr="003458B1" w:rsidRDefault="006E720E" w:rsidP="00380FF9">
            <w:pPr>
              <w:jc w:val="left"/>
              <w:rPr>
                <w:b/>
                <w:bCs/>
                <w:color w:val="000000"/>
                <w:sz w:val="20"/>
                <w:szCs w:val="20"/>
              </w:rPr>
            </w:pPr>
            <w:r>
              <w:rPr>
                <w:sz w:val="20"/>
                <w:szCs w:val="20"/>
              </w:rPr>
              <w:t xml:space="preserve">Kitchen/appliances – </w:t>
            </w:r>
            <w:r w:rsidRPr="003458B1">
              <w:rPr>
                <w:sz w:val="20"/>
                <w:szCs w:val="20"/>
              </w:rPr>
              <w:t>1</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auto"/>
            <w:noWrap/>
            <w:vAlign w:val="center"/>
          </w:tcPr>
          <w:p w:rsidR="006E720E" w:rsidRPr="003458B1" w:rsidRDefault="006E720E" w:rsidP="00380FF9">
            <w:pPr>
              <w:jc w:val="center"/>
              <w:rPr>
                <w:b/>
                <w:bCs/>
                <w:color w:val="000000"/>
                <w:sz w:val="20"/>
                <w:szCs w:val="20"/>
              </w:rPr>
            </w:pPr>
            <w:r>
              <w:rPr>
                <w:sz w:val="20"/>
                <w:szCs w:val="20"/>
              </w:rPr>
              <w:t>N/A</w:t>
            </w:r>
          </w:p>
        </w:tc>
        <w:tc>
          <w:tcPr>
            <w:tcW w:w="1164"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16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164"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r>
      <w:tr w:rsidR="00A874AC" w:rsidRPr="003458B1" w:rsidTr="005C3E63">
        <w:trPr>
          <w:trHeight w:val="301"/>
        </w:trPr>
        <w:tc>
          <w:tcPr>
            <w:tcW w:w="2426" w:type="dxa"/>
            <w:shd w:val="clear" w:color="auto" w:fill="D2EAF1"/>
            <w:vAlign w:val="center"/>
          </w:tcPr>
          <w:p w:rsidR="006E720E" w:rsidRPr="003458B1" w:rsidRDefault="006E720E" w:rsidP="00380FF9">
            <w:pPr>
              <w:jc w:val="left"/>
              <w:rPr>
                <w:b/>
                <w:bCs/>
                <w:color w:val="000000"/>
                <w:sz w:val="20"/>
                <w:szCs w:val="20"/>
              </w:rPr>
            </w:pPr>
            <w:r w:rsidRPr="003458B1">
              <w:rPr>
                <w:b/>
                <w:sz w:val="20"/>
                <w:szCs w:val="20"/>
              </w:rPr>
              <w:t>Program Total</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b/>
                <w:sz w:val="20"/>
                <w:szCs w:val="20"/>
              </w:rPr>
              <w:t>4,638</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b/>
                <w:sz w:val="20"/>
                <w:szCs w:val="20"/>
              </w:rPr>
              <w:t>13.3%</w:t>
            </w:r>
          </w:p>
        </w:tc>
        <w:tc>
          <w:tcPr>
            <w:tcW w:w="1164" w:type="dxa"/>
            <w:shd w:val="clear" w:color="auto" w:fill="D2EAF1"/>
            <w:noWrap/>
            <w:vAlign w:val="center"/>
          </w:tcPr>
          <w:p w:rsidR="006E720E" w:rsidRPr="003458B1" w:rsidRDefault="006E720E" w:rsidP="00380FF9">
            <w:pPr>
              <w:jc w:val="center"/>
              <w:rPr>
                <w:b/>
                <w:bCs/>
                <w:color w:val="000000"/>
                <w:sz w:val="20"/>
                <w:szCs w:val="20"/>
              </w:rPr>
            </w:pPr>
            <w:r w:rsidRPr="003458B1">
              <w:rPr>
                <w:b/>
                <w:sz w:val="20"/>
                <w:szCs w:val="20"/>
              </w:rPr>
              <w:t>54</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b/>
                <w:sz w:val="20"/>
                <w:szCs w:val="20"/>
              </w:rPr>
              <w:t>58</w:t>
            </w:r>
          </w:p>
        </w:tc>
        <w:tc>
          <w:tcPr>
            <w:tcW w:w="1163" w:type="dxa"/>
            <w:shd w:val="clear" w:color="auto" w:fill="D2EAF1"/>
            <w:noWrap/>
            <w:vAlign w:val="center"/>
          </w:tcPr>
          <w:p w:rsidR="006E720E" w:rsidRPr="003458B1" w:rsidRDefault="006E720E" w:rsidP="00380FF9">
            <w:pPr>
              <w:jc w:val="center"/>
              <w:rPr>
                <w:b/>
                <w:bCs/>
                <w:color w:val="000000"/>
                <w:sz w:val="20"/>
                <w:szCs w:val="20"/>
              </w:rPr>
            </w:pPr>
            <w:r w:rsidRPr="003458B1">
              <w:rPr>
                <w:b/>
                <w:sz w:val="20"/>
                <w:szCs w:val="20"/>
              </w:rPr>
              <w:t>13.7%</w:t>
            </w:r>
          </w:p>
        </w:tc>
        <w:tc>
          <w:tcPr>
            <w:tcW w:w="1164" w:type="dxa"/>
            <w:shd w:val="clear" w:color="auto" w:fill="D2EAF1"/>
            <w:noWrap/>
            <w:vAlign w:val="center"/>
          </w:tcPr>
          <w:p w:rsidR="006E720E" w:rsidRPr="003458B1" w:rsidRDefault="006E720E" w:rsidP="00380FF9">
            <w:pPr>
              <w:jc w:val="center"/>
              <w:rPr>
                <w:b/>
                <w:bCs/>
                <w:color w:val="000000"/>
                <w:sz w:val="20"/>
                <w:szCs w:val="20"/>
              </w:rPr>
            </w:pPr>
            <w:r w:rsidRPr="003458B1">
              <w:rPr>
                <w:b/>
                <w:sz w:val="20"/>
                <w:szCs w:val="20"/>
              </w:rPr>
              <w:t>13.2%</w:t>
            </w:r>
          </w:p>
        </w:tc>
      </w:tr>
    </w:tbl>
    <w:p w:rsidR="006E720E" w:rsidRPr="003458B1" w:rsidRDefault="006E720E" w:rsidP="006E720E"/>
    <w:p w:rsidR="006E720E" w:rsidRPr="003458B1" w:rsidRDefault="006E720E" w:rsidP="006E720E">
      <w:pPr>
        <w:pStyle w:val="AppendixAHeading5"/>
      </w:pPr>
      <w:r w:rsidRPr="003458B1">
        <w:t>Large C/I Energy Efficient Equipment Program</w:t>
      </w:r>
    </w:p>
    <w:p w:rsidR="006E720E" w:rsidRPr="003458B1" w:rsidRDefault="006E720E" w:rsidP="006E720E">
      <w:r w:rsidRPr="003458B1">
        <w:t xml:space="preserve">The evaluation contractor used stratified ratio estimation to estimate savings for the program and stratified random sampling for sample design. All lighting projects that were expected to have more than </w:t>
      </w:r>
      <w:r w:rsidRPr="003458B1">
        <w:lastRenderedPageBreak/>
        <w:t xml:space="preserve">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was stratified based on energy savings at the measure level. The Cv used in the sample design was 0.5 for all projects. The detailed sampling strategy for this program in PY7 and the achieved precision values for each stratum are presented in </w:t>
      </w:r>
      <w:r w:rsidRPr="003458B1">
        <w:fldChar w:fldCharType="begin"/>
      </w:r>
      <w:r w:rsidRPr="003458B1">
        <w:instrText xml:space="preserve"> REF _Ref433896536 \h  \* MERGEFORMAT </w:instrText>
      </w:r>
      <w:r w:rsidRPr="003458B1">
        <w:fldChar w:fldCharType="separate"/>
      </w:r>
      <w:r w:rsidR="00A874AC" w:rsidRPr="00A874AC">
        <w:t>Table A-39</w:t>
      </w:r>
      <w:r w:rsidRPr="003458B1">
        <w:fldChar w:fldCharType="end"/>
      </w:r>
      <w:r w:rsidRPr="003458B1">
        <w:t>. The data show that Met-Ed met the SWE Team require</w:t>
      </w:r>
      <w:r>
        <w:t>ments of 85/15 confidence/</w:t>
      </w:r>
      <w:r w:rsidRPr="003458B1">
        <w:t xml:space="preserve">precision for energy and peak demand for this </w:t>
      </w:r>
      <w:r w:rsidRPr="0038422A">
        <w:t>program.</w:t>
      </w:r>
    </w:p>
    <w:p w:rsidR="006E720E" w:rsidRPr="003458B1" w:rsidRDefault="006E720E" w:rsidP="006E720E"/>
    <w:p w:rsidR="006E720E" w:rsidRPr="003458B1" w:rsidRDefault="006E720E" w:rsidP="006E720E">
      <w:pPr>
        <w:spacing w:after="120"/>
        <w:jc w:val="center"/>
        <w:rPr>
          <w:rFonts w:ascii="Century Gothic" w:hAnsi="Century Gothic"/>
          <w:b/>
          <w:bCs/>
          <w:sz w:val="18"/>
          <w:szCs w:val="18"/>
        </w:rPr>
      </w:pPr>
      <w:bookmarkStart w:id="741" w:name="_Ref433896536"/>
      <w:bookmarkStart w:id="742" w:name="_Toc410199415"/>
      <w:bookmarkStart w:id="743" w:name="_Toc431462335"/>
      <w:bookmarkStart w:id="744" w:name="_Toc444269855"/>
      <w:bookmarkStart w:id="745" w:name="_Toc472472448"/>
      <w:bookmarkStart w:id="746" w:name="_Toc476842154"/>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39</w:t>
      </w:r>
      <w:r w:rsidRPr="003458B1">
        <w:rPr>
          <w:rFonts w:ascii="Century Gothic" w:hAnsi="Century Gothic"/>
          <w:b/>
          <w:bCs/>
          <w:sz w:val="18"/>
          <w:szCs w:val="18"/>
        </w:rPr>
        <w:fldChar w:fldCharType="end"/>
      </w:r>
      <w:bookmarkEnd w:id="741"/>
      <w:r w:rsidRPr="003458B1">
        <w:rPr>
          <w:rFonts w:ascii="Century Gothic" w:hAnsi="Century Gothic"/>
          <w:b/>
          <w:bCs/>
          <w:sz w:val="18"/>
          <w:szCs w:val="18"/>
        </w:rPr>
        <w:t>: Met-Ed PY7 Sampling Strategy and Relative Precision – Large C/I Energy Efficient Equipment Program</w:t>
      </w:r>
      <w:bookmarkEnd w:id="742"/>
      <w:bookmarkEnd w:id="743"/>
      <w:bookmarkEnd w:id="744"/>
      <w:bookmarkEnd w:id="745"/>
      <w:bookmarkEnd w:id="746"/>
    </w:p>
    <w:tbl>
      <w:tblPr>
        <w:tblW w:w="9360" w:type="dxa"/>
        <w:tblInd w:w="108" w:type="dxa"/>
        <w:tblBorders>
          <w:top w:val="single" w:sz="4" w:space="0" w:color="448A99"/>
          <w:left w:val="single" w:sz="4" w:space="0" w:color="448A99"/>
          <w:bottom w:val="single" w:sz="4" w:space="0" w:color="448A99"/>
          <w:right w:val="single" w:sz="4" w:space="0" w:color="448A99"/>
          <w:insideH w:val="single" w:sz="6" w:space="0" w:color="448A99"/>
          <w:insideV w:val="single" w:sz="6" w:space="0" w:color="448A99"/>
        </w:tblBorders>
        <w:tblLayout w:type="fixed"/>
        <w:tblLook w:val="04A0" w:firstRow="1" w:lastRow="0" w:firstColumn="1" w:lastColumn="0" w:noHBand="0" w:noVBand="1"/>
      </w:tblPr>
      <w:tblGrid>
        <w:gridCol w:w="1905"/>
        <w:gridCol w:w="1242"/>
        <w:gridCol w:w="1243"/>
        <w:gridCol w:w="1242"/>
        <w:gridCol w:w="1243"/>
        <w:gridCol w:w="1242"/>
        <w:gridCol w:w="1243"/>
      </w:tblGrid>
      <w:tr w:rsidR="00A874AC" w:rsidRPr="003458B1" w:rsidTr="005C3E63">
        <w:trPr>
          <w:trHeight w:val="1052"/>
          <w:tblHeader/>
        </w:trPr>
        <w:tc>
          <w:tcPr>
            <w:tcW w:w="1905" w:type="dxa"/>
            <w:shd w:val="clear" w:color="000000" w:fill="448A99"/>
            <w:vAlign w:val="bottom"/>
            <w:hideMark/>
          </w:tcPr>
          <w:p w:rsidR="006E720E" w:rsidRPr="003458B1" w:rsidRDefault="006E720E" w:rsidP="00380FF9">
            <w:pPr>
              <w:rPr>
                <w:b/>
                <w:bCs/>
                <w:color w:val="FFFFFF"/>
                <w:sz w:val="20"/>
                <w:szCs w:val="20"/>
              </w:rPr>
            </w:pPr>
            <w:r w:rsidRPr="003458B1">
              <w:rPr>
                <w:b/>
                <w:bCs/>
                <w:color w:val="FFFFFF"/>
                <w:sz w:val="20"/>
                <w:szCs w:val="20"/>
              </w:rPr>
              <w:t>Stratum</w:t>
            </w:r>
          </w:p>
        </w:tc>
        <w:tc>
          <w:tcPr>
            <w:tcW w:w="1242"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Population</w:t>
            </w:r>
          </w:p>
        </w:tc>
        <w:tc>
          <w:tcPr>
            <w:tcW w:w="1243"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Target Levels of Confidence &amp; Precision</w:t>
            </w:r>
          </w:p>
        </w:tc>
        <w:tc>
          <w:tcPr>
            <w:tcW w:w="1242"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Target Sample Size</w:t>
            </w:r>
          </w:p>
        </w:tc>
        <w:tc>
          <w:tcPr>
            <w:tcW w:w="1243"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Achieved Sample Size</w:t>
            </w:r>
          </w:p>
        </w:tc>
        <w:tc>
          <w:tcPr>
            <w:tcW w:w="1242"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Relative Precision at 85% C.L. for Energy</w:t>
            </w:r>
          </w:p>
        </w:tc>
        <w:tc>
          <w:tcPr>
            <w:tcW w:w="1243"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Relative Precision at 85% C.L. for Demand</w:t>
            </w:r>
          </w:p>
        </w:tc>
      </w:tr>
      <w:tr w:rsidR="00A874AC" w:rsidRPr="003458B1" w:rsidTr="005C3E63">
        <w:trPr>
          <w:trHeight w:val="488"/>
        </w:trPr>
        <w:tc>
          <w:tcPr>
            <w:tcW w:w="1905" w:type="dxa"/>
            <w:shd w:val="clear" w:color="000000" w:fill="D2EAF1"/>
            <w:noWrap/>
            <w:vAlign w:val="center"/>
          </w:tcPr>
          <w:p w:rsidR="006E720E" w:rsidRPr="003458B1" w:rsidRDefault="006E720E" w:rsidP="00380FF9">
            <w:pPr>
              <w:rPr>
                <w:bCs/>
                <w:color w:val="000000"/>
                <w:sz w:val="20"/>
                <w:szCs w:val="20"/>
              </w:rPr>
            </w:pPr>
            <w:r>
              <w:rPr>
                <w:sz w:val="20"/>
                <w:szCs w:val="20"/>
              </w:rPr>
              <w:t xml:space="preserve">CFL kits – </w:t>
            </w:r>
            <w:r w:rsidRPr="003458B1">
              <w:rPr>
                <w:sz w:val="20"/>
                <w:szCs w:val="20"/>
              </w:rPr>
              <w:t>1</w:t>
            </w:r>
          </w:p>
        </w:tc>
        <w:tc>
          <w:tcPr>
            <w:tcW w:w="124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3" w:type="dxa"/>
            <w:shd w:val="clear" w:color="000000" w:fill="D2EAF1"/>
            <w:noWrap/>
            <w:vAlign w:val="center"/>
          </w:tcPr>
          <w:p w:rsidR="006E720E" w:rsidRPr="003458B1" w:rsidRDefault="006E720E" w:rsidP="00380FF9">
            <w:pPr>
              <w:jc w:val="center"/>
              <w:rPr>
                <w:color w:val="000000"/>
                <w:sz w:val="20"/>
                <w:szCs w:val="20"/>
              </w:rPr>
            </w:pPr>
            <w:r>
              <w:rPr>
                <w:sz w:val="20"/>
                <w:szCs w:val="20"/>
              </w:rPr>
              <w:t>N/A</w:t>
            </w:r>
          </w:p>
        </w:tc>
        <w:tc>
          <w:tcPr>
            <w:tcW w:w="124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100.0%</w:t>
            </w:r>
          </w:p>
        </w:tc>
        <w:tc>
          <w:tcPr>
            <w:tcW w:w="124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100.0%</w:t>
            </w:r>
          </w:p>
        </w:tc>
      </w:tr>
      <w:tr w:rsidR="00E7173E" w:rsidRPr="003458B1" w:rsidTr="005C3E63">
        <w:trPr>
          <w:trHeight w:val="488"/>
        </w:trPr>
        <w:tc>
          <w:tcPr>
            <w:tcW w:w="1905" w:type="dxa"/>
            <w:shd w:val="clear" w:color="auto" w:fill="auto"/>
            <w:noWrap/>
            <w:vAlign w:val="center"/>
          </w:tcPr>
          <w:p w:rsidR="006E720E" w:rsidRPr="003458B1" w:rsidRDefault="006E720E" w:rsidP="00380FF9">
            <w:pPr>
              <w:rPr>
                <w:bCs/>
                <w:color w:val="000000"/>
                <w:sz w:val="20"/>
                <w:szCs w:val="20"/>
              </w:rPr>
            </w:pPr>
            <w:r>
              <w:rPr>
                <w:sz w:val="20"/>
                <w:szCs w:val="20"/>
              </w:rPr>
              <w:t>Lighting – c</w:t>
            </w:r>
            <w:r w:rsidRPr="003458B1">
              <w:rPr>
                <w:sz w:val="20"/>
                <w:szCs w:val="20"/>
              </w:rPr>
              <w:t>ertainty</w:t>
            </w:r>
          </w:p>
        </w:tc>
        <w:tc>
          <w:tcPr>
            <w:tcW w:w="124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43" w:type="dxa"/>
            <w:shd w:val="clear" w:color="auto" w:fill="auto"/>
            <w:noWrap/>
            <w:vAlign w:val="center"/>
          </w:tcPr>
          <w:p w:rsidR="006E720E" w:rsidRPr="003458B1" w:rsidRDefault="006E720E" w:rsidP="00380FF9">
            <w:pPr>
              <w:jc w:val="center"/>
              <w:rPr>
                <w:color w:val="000000"/>
                <w:sz w:val="20"/>
                <w:szCs w:val="20"/>
              </w:rPr>
            </w:pPr>
            <w:r>
              <w:rPr>
                <w:sz w:val="20"/>
                <w:szCs w:val="20"/>
              </w:rPr>
              <w:t>N/A</w:t>
            </w:r>
          </w:p>
        </w:tc>
        <w:tc>
          <w:tcPr>
            <w:tcW w:w="124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43"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4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c>
          <w:tcPr>
            <w:tcW w:w="1243"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r>
      <w:tr w:rsidR="00A874AC" w:rsidRPr="003458B1" w:rsidTr="005C3E63">
        <w:trPr>
          <w:trHeight w:val="488"/>
        </w:trPr>
        <w:tc>
          <w:tcPr>
            <w:tcW w:w="1905" w:type="dxa"/>
            <w:shd w:val="clear" w:color="000000" w:fill="D2EAF1"/>
            <w:noWrap/>
            <w:vAlign w:val="center"/>
          </w:tcPr>
          <w:p w:rsidR="006E720E" w:rsidRPr="003458B1" w:rsidRDefault="006E720E" w:rsidP="00380FF9">
            <w:pPr>
              <w:rPr>
                <w:bCs/>
                <w:color w:val="000000"/>
                <w:sz w:val="20"/>
                <w:szCs w:val="20"/>
              </w:rPr>
            </w:pPr>
            <w:r>
              <w:rPr>
                <w:sz w:val="20"/>
                <w:szCs w:val="20"/>
              </w:rPr>
              <w:t xml:space="preserve">Lighting – </w:t>
            </w:r>
            <w:r w:rsidRPr="003458B1">
              <w:rPr>
                <w:sz w:val="20"/>
                <w:szCs w:val="20"/>
              </w:rPr>
              <w:t>2</w:t>
            </w:r>
          </w:p>
        </w:tc>
        <w:tc>
          <w:tcPr>
            <w:tcW w:w="124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10</w:t>
            </w:r>
          </w:p>
        </w:tc>
        <w:tc>
          <w:tcPr>
            <w:tcW w:w="124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34.8%</w:t>
            </w:r>
          </w:p>
        </w:tc>
        <w:tc>
          <w:tcPr>
            <w:tcW w:w="124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3</w:t>
            </w:r>
          </w:p>
        </w:tc>
        <w:tc>
          <w:tcPr>
            <w:tcW w:w="124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3</w:t>
            </w:r>
          </w:p>
        </w:tc>
        <w:tc>
          <w:tcPr>
            <w:tcW w:w="124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34.8%</w:t>
            </w:r>
          </w:p>
        </w:tc>
        <w:tc>
          <w:tcPr>
            <w:tcW w:w="124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34.8%</w:t>
            </w:r>
          </w:p>
        </w:tc>
      </w:tr>
      <w:tr w:rsidR="00E7173E" w:rsidRPr="003458B1" w:rsidTr="005C3E63">
        <w:trPr>
          <w:trHeight w:val="488"/>
        </w:trPr>
        <w:tc>
          <w:tcPr>
            <w:tcW w:w="1905" w:type="dxa"/>
            <w:shd w:val="clear" w:color="auto" w:fill="auto"/>
            <w:noWrap/>
            <w:vAlign w:val="center"/>
          </w:tcPr>
          <w:p w:rsidR="006E720E" w:rsidRPr="003458B1" w:rsidRDefault="006E720E" w:rsidP="00380FF9">
            <w:pPr>
              <w:rPr>
                <w:bCs/>
                <w:color w:val="000000"/>
                <w:sz w:val="20"/>
                <w:szCs w:val="20"/>
              </w:rPr>
            </w:pPr>
            <w:r>
              <w:rPr>
                <w:sz w:val="20"/>
                <w:szCs w:val="20"/>
              </w:rPr>
              <w:t xml:space="preserve">Lighting – </w:t>
            </w:r>
            <w:r w:rsidRPr="003458B1">
              <w:rPr>
                <w:sz w:val="20"/>
                <w:szCs w:val="20"/>
              </w:rPr>
              <w:t>3</w:t>
            </w:r>
          </w:p>
        </w:tc>
        <w:tc>
          <w:tcPr>
            <w:tcW w:w="124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31</w:t>
            </w:r>
          </w:p>
        </w:tc>
        <w:tc>
          <w:tcPr>
            <w:tcW w:w="1243"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29.5%</w:t>
            </w:r>
          </w:p>
        </w:tc>
        <w:tc>
          <w:tcPr>
            <w:tcW w:w="124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5</w:t>
            </w:r>
          </w:p>
        </w:tc>
        <w:tc>
          <w:tcPr>
            <w:tcW w:w="1243"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5</w:t>
            </w:r>
          </w:p>
        </w:tc>
        <w:tc>
          <w:tcPr>
            <w:tcW w:w="124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29.5%</w:t>
            </w:r>
          </w:p>
        </w:tc>
        <w:tc>
          <w:tcPr>
            <w:tcW w:w="1243"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29.5%</w:t>
            </w:r>
          </w:p>
        </w:tc>
      </w:tr>
      <w:tr w:rsidR="00A874AC" w:rsidRPr="003458B1" w:rsidTr="005C3E63">
        <w:trPr>
          <w:trHeight w:val="488"/>
        </w:trPr>
        <w:tc>
          <w:tcPr>
            <w:tcW w:w="1905" w:type="dxa"/>
            <w:shd w:val="clear" w:color="000000" w:fill="D2EAF1"/>
            <w:noWrap/>
            <w:vAlign w:val="center"/>
          </w:tcPr>
          <w:p w:rsidR="006E720E" w:rsidRPr="003458B1" w:rsidRDefault="006E720E" w:rsidP="00380FF9">
            <w:pPr>
              <w:rPr>
                <w:bCs/>
                <w:color w:val="000000"/>
                <w:sz w:val="20"/>
                <w:szCs w:val="20"/>
              </w:rPr>
            </w:pPr>
            <w:r>
              <w:rPr>
                <w:sz w:val="20"/>
                <w:szCs w:val="20"/>
              </w:rPr>
              <w:t xml:space="preserve">Lighting – </w:t>
            </w:r>
            <w:r w:rsidRPr="003458B1">
              <w:rPr>
                <w:sz w:val="20"/>
                <w:szCs w:val="20"/>
              </w:rPr>
              <w:t>4</w:t>
            </w:r>
          </w:p>
        </w:tc>
        <w:tc>
          <w:tcPr>
            <w:tcW w:w="124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148</w:t>
            </w:r>
          </w:p>
        </w:tc>
        <w:tc>
          <w:tcPr>
            <w:tcW w:w="124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28.8%</w:t>
            </w:r>
          </w:p>
        </w:tc>
        <w:tc>
          <w:tcPr>
            <w:tcW w:w="124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6</w:t>
            </w:r>
          </w:p>
        </w:tc>
        <w:tc>
          <w:tcPr>
            <w:tcW w:w="124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6</w:t>
            </w:r>
          </w:p>
        </w:tc>
        <w:tc>
          <w:tcPr>
            <w:tcW w:w="124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28.8%</w:t>
            </w:r>
          </w:p>
        </w:tc>
        <w:tc>
          <w:tcPr>
            <w:tcW w:w="124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28.8%</w:t>
            </w:r>
          </w:p>
        </w:tc>
      </w:tr>
      <w:tr w:rsidR="00E7173E" w:rsidRPr="003458B1" w:rsidTr="005C3E63">
        <w:trPr>
          <w:trHeight w:val="488"/>
        </w:trPr>
        <w:tc>
          <w:tcPr>
            <w:tcW w:w="1905" w:type="dxa"/>
            <w:shd w:val="clear" w:color="auto" w:fill="auto"/>
            <w:noWrap/>
            <w:vAlign w:val="center"/>
          </w:tcPr>
          <w:p w:rsidR="006E720E" w:rsidRPr="003458B1" w:rsidRDefault="006E720E" w:rsidP="00380FF9">
            <w:pPr>
              <w:rPr>
                <w:bCs/>
                <w:color w:val="000000"/>
                <w:sz w:val="20"/>
                <w:szCs w:val="20"/>
              </w:rPr>
            </w:pPr>
            <w:r>
              <w:rPr>
                <w:sz w:val="20"/>
                <w:szCs w:val="20"/>
              </w:rPr>
              <w:t>Custom – c</w:t>
            </w:r>
            <w:r w:rsidRPr="003458B1">
              <w:rPr>
                <w:sz w:val="20"/>
                <w:szCs w:val="20"/>
              </w:rPr>
              <w:t>ertainty</w:t>
            </w:r>
          </w:p>
        </w:tc>
        <w:tc>
          <w:tcPr>
            <w:tcW w:w="124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13</w:t>
            </w:r>
          </w:p>
        </w:tc>
        <w:tc>
          <w:tcPr>
            <w:tcW w:w="1243"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c>
          <w:tcPr>
            <w:tcW w:w="124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13</w:t>
            </w:r>
          </w:p>
        </w:tc>
        <w:tc>
          <w:tcPr>
            <w:tcW w:w="1243"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11</w:t>
            </w:r>
          </w:p>
        </w:tc>
        <w:tc>
          <w:tcPr>
            <w:tcW w:w="124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8.5%</w:t>
            </w:r>
          </w:p>
        </w:tc>
        <w:tc>
          <w:tcPr>
            <w:tcW w:w="1243"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8.5%</w:t>
            </w:r>
          </w:p>
        </w:tc>
      </w:tr>
      <w:tr w:rsidR="00A874AC" w:rsidRPr="003458B1" w:rsidTr="005C3E63">
        <w:trPr>
          <w:trHeight w:val="488"/>
        </w:trPr>
        <w:tc>
          <w:tcPr>
            <w:tcW w:w="1905" w:type="dxa"/>
            <w:shd w:val="clear" w:color="000000" w:fill="D2EAF1"/>
            <w:noWrap/>
            <w:vAlign w:val="center"/>
          </w:tcPr>
          <w:p w:rsidR="006E720E" w:rsidRPr="003458B1" w:rsidRDefault="006E720E" w:rsidP="00380FF9">
            <w:pPr>
              <w:rPr>
                <w:bCs/>
                <w:color w:val="000000"/>
                <w:sz w:val="20"/>
                <w:szCs w:val="20"/>
              </w:rPr>
            </w:pPr>
            <w:r>
              <w:rPr>
                <w:sz w:val="20"/>
                <w:szCs w:val="20"/>
              </w:rPr>
              <w:t xml:space="preserve">Custom – </w:t>
            </w:r>
            <w:r w:rsidRPr="003458B1">
              <w:rPr>
                <w:sz w:val="20"/>
                <w:szCs w:val="20"/>
              </w:rPr>
              <w:t>2</w:t>
            </w:r>
          </w:p>
        </w:tc>
        <w:tc>
          <w:tcPr>
            <w:tcW w:w="124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4</w:t>
            </w:r>
          </w:p>
        </w:tc>
        <w:tc>
          <w:tcPr>
            <w:tcW w:w="124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62.4%</w:t>
            </w:r>
          </w:p>
        </w:tc>
        <w:tc>
          <w:tcPr>
            <w:tcW w:w="124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w:t>
            </w:r>
          </w:p>
        </w:tc>
        <w:tc>
          <w:tcPr>
            <w:tcW w:w="124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w:t>
            </w:r>
          </w:p>
        </w:tc>
        <w:tc>
          <w:tcPr>
            <w:tcW w:w="124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62.4%</w:t>
            </w:r>
          </w:p>
        </w:tc>
        <w:tc>
          <w:tcPr>
            <w:tcW w:w="1243"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0.0%</w:t>
            </w:r>
          </w:p>
        </w:tc>
      </w:tr>
      <w:tr w:rsidR="00E7173E" w:rsidRPr="003458B1" w:rsidTr="005C3E63">
        <w:trPr>
          <w:trHeight w:val="488"/>
        </w:trPr>
        <w:tc>
          <w:tcPr>
            <w:tcW w:w="1905" w:type="dxa"/>
            <w:shd w:val="clear" w:color="auto" w:fill="auto"/>
            <w:noWrap/>
            <w:vAlign w:val="center"/>
          </w:tcPr>
          <w:p w:rsidR="006E720E" w:rsidRPr="003458B1" w:rsidRDefault="006E720E" w:rsidP="00380FF9">
            <w:pPr>
              <w:rPr>
                <w:bCs/>
                <w:color w:val="000000"/>
                <w:sz w:val="20"/>
                <w:szCs w:val="20"/>
              </w:rPr>
            </w:pPr>
            <w:r>
              <w:rPr>
                <w:sz w:val="20"/>
                <w:szCs w:val="20"/>
              </w:rPr>
              <w:t xml:space="preserve">Custom – </w:t>
            </w:r>
            <w:r w:rsidRPr="003458B1">
              <w:rPr>
                <w:sz w:val="20"/>
                <w:szCs w:val="20"/>
              </w:rPr>
              <w:t>3</w:t>
            </w:r>
          </w:p>
        </w:tc>
        <w:tc>
          <w:tcPr>
            <w:tcW w:w="124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53</w:t>
            </w:r>
          </w:p>
        </w:tc>
        <w:tc>
          <w:tcPr>
            <w:tcW w:w="1243"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30.6%</w:t>
            </w:r>
          </w:p>
        </w:tc>
        <w:tc>
          <w:tcPr>
            <w:tcW w:w="124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5</w:t>
            </w:r>
          </w:p>
        </w:tc>
        <w:tc>
          <w:tcPr>
            <w:tcW w:w="1243"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5</w:t>
            </w:r>
          </w:p>
        </w:tc>
        <w:tc>
          <w:tcPr>
            <w:tcW w:w="124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30.6%</w:t>
            </w:r>
          </w:p>
        </w:tc>
        <w:tc>
          <w:tcPr>
            <w:tcW w:w="1243"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30.6%</w:t>
            </w:r>
          </w:p>
        </w:tc>
      </w:tr>
      <w:tr w:rsidR="00A874AC" w:rsidRPr="003458B1" w:rsidTr="005C3E63">
        <w:trPr>
          <w:trHeight w:val="488"/>
        </w:trPr>
        <w:tc>
          <w:tcPr>
            <w:tcW w:w="1905" w:type="dxa"/>
            <w:shd w:val="clear" w:color="000000" w:fill="D2EAF1"/>
            <w:noWrap/>
            <w:vAlign w:val="center"/>
          </w:tcPr>
          <w:p w:rsidR="006E720E" w:rsidRPr="003458B1" w:rsidRDefault="006E720E" w:rsidP="00380FF9">
            <w:pPr>
              <w:rPr>
                <w:b/>
                <w:bCs/>
                <w:iCs/>
                <w:color w:val="000000"/>
                <w:sz w:val="20"/>
                <w:szCs w:val="20"/>
              </w:rPr>
            </w:pPr>
            <w:r>
              <w:rPr>
                <w:sz w:val="20"/>
                <w:szCs w:val="20"/>
              </w:rPr>
              <w:t xml:space="preserve">HVAC and DHW – </w:t>
            </w:r>
            <w:r w:rsidRPr="003458B1">
              <w:rPr>
                <w:sz w:val="20"/>
                <w:szCs w:val="20"/>
              </w:rPr>
              <w:t>1</w:t>
            </w:r>
          </w:p>
        </w:tc>
        <w:tc>
          <w:tcPr>
            <w:tcW w:w="1242"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3" w:type="dxa"/>
            <w:shd w:val="clear" w:color="000000" w:fill="D2EAF1"/>
            <w:noWrap/>
            <w:vAlign w:val="center"/>
          </w:tcPr>
          <w:p w:rsidR="006E720E" w:rsidRPr="003458B1" w:rsidRDefault="006E720E" w:rsidP="00380FF9">
            <w:pPr>
              <w:jc w:val="center"/>
              <w:rPr>
                <w:b/>
                <w:bCs/>
                <w:color w:val="000000"/>
                <w:sz w:val="20"/>
                <w:szCs w:val="20"/>
              </w:rPr>
            </w:pPr>
            <w:r>
              <w:rPr>
                <w:sz w:val="20"/>
                <w:szCs w:val="20"/>
              </w:rPr>
              <w:t>N/A</w:t>
            </w:r>
          </w:p>
        </w:tc>
        <w:tc>
          <w:tcPr>
            <w:tcW w:w="1242"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3"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2"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243"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0.0%</w:t>
            </w:r>
          </w:p>
        </w:tc>
      </w:tr>
      <w:tr w:rsidR="00E7173E" w:rsidRPr="003458B1" w:rsidTr="005C3E63">
        <w:trPr>
          <w:trHeight w:val="488"/>
        </w:trPr>
        <w:tc>
          <w:tcPr>
            <w:tcW w:w="1905" w:type="dxa"/>
            <w:shd w:val="clear" w:color="auto" w:fill="auto"/>
            <w:noWrap/>
            <w:vAlign w:val="center"/>
          </w:tcPr>
          <w:p w:rsidR="006E720E" w:rsidRPr="003458B1" w:rsidRDefault="006E720E" w:rsidP="00380FF9">
            <w:pPr>
              <w:rPr>
                <w:b/>
                <w:bCs/>
                <w:iCs/>
                <w:color w:val="000000"/>
                <w:sz w:val="20"/>
                <w:szCs w:val="20"/>
              </w:rPr>
            </w:pPr>
            <w:r>
              <w:rPr>
                <w:sz w:val="20"/>
                <w:szCs w:val="20"/>
              </w:rPr>
              <w:t xml:space="preserve">HVAC and DHW – </w:t>
            </w:r>
            <w:r w:rsidRPr="003458B1">
              <w:rPr>
                <w:sz w:val="20"/>
                <w:szCs w:val="20"/>
              </w:rPr>
              <w:t>2</w:t>
            </w:r>
          </w:p>
        </w:tc>
        <w:tc>
          <w:tcPr>
            <w:tcW w:w="124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14</w:t>
            </w:r>
          </w:p>
        </w:tc>
        <w:tc>
          <w:tcPr>
            <w:tcW w:w="124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36.8%</w:t>
            </w:r>
          </w:p>
        </w:tc>
        <w:tc>
          <w:tcPr>
            <w:tcW w:w="124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3</w:t>
            </w:r>
          </w:p>
        </w:tc>
        <w:tc>
          <w:tcPr>
            <w:tcW w:w="124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3</w:t>
            </w:r>
          </w:p>
        </w:tc>
        <w:tc>
          <w:tcPr>
            <w:tcW w:w="124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36.8%</w:t>
            </w:r>
          </w:p>
        </w:tc>
        <w:tc>
          <w:tcPr>
            <w:tcW w:w="124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36.8%</w:t>
            </w:r>
          </w:p>
        </w:tc>
      </w:tr>
      <w:tr w:rsidR="00A874AC" w:rsidRPr="003458B1" w:rsidTr="005C3E63">
        <w:trPr>
          <w:trHeight w:val="488"/>
        </w:trPr>
        <w:tc>
          <w:tcPr>
            <w:tcW w:w="1905" w:type="dxa"/>
            <w:shd w:val="clear" w:color="000000" w:fill="D2EAF1"/>
            <w:noWrap/>
            <w:vAlign w:val="center"/>
          </w:tcPr>
          <w:p w:rsidR="006E720E" w:rsidRPr="003458B1" w:rsidRDefault="006E720E" w:rsidP="00380FF9">
            <w:pPr>
              <w:rPr>
                <w:b/>
                <w:bCs/>
                <w:iCs/>
                <w:color w:val="000000"/>
                <w:sz w:val="20"/>
                <w:szCs w:val="20"/>
              </w:rPr>
            </w:pPr>
            <w:r>
              <w:rPr>
                <w:sz w:val="20"/>
                <w:szCs w:val="20"/>
              </w:rPr>
              <w:t xml:space="preserve">Appliance Turn-In – </w:t>
            </w:r>
            <w:r w:rsidRPr="003458B1">
              <w:rPr>
                <w:sz w:val="20"/>
                <w:szCs w:val="20"/>
              </w:rPr>
              <w:t>1</w:t>
            </w:r>
          </w:p>
        </w:tc>
        <w:tc>
          <w:tcPr>
            <w:tcW w:w="1242"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3" w:type="dxa"/>
            <w:shd w:val="clear" w:color="000000" w:fill="D2EAF1"/>
            <w:noWrap/>
            <w:vAlign w:val="center"/>
          </w:tcPr>
          <w:p w:rsidR="006E720E" w:rsidRPr="003458B1" w:rsidRDefault="006E720E" w:rsidP="00380FF9">
            <w:pPr>
              <w:jc w:val="center"/>
              <w:rPr>
                <w:b/>
                <w:bCs/>
                <w:color w:val="000000"/>
                <w:sz w:val="20"/>
                <w:szCs w:val="20"/>
              </w:rPr>
            </w:pPr>
            <w:r>
              <w:rPr>
                <w:sz w:val="20"/>
                <w:szCs w:val="20"/>
              </w:rPr>
              <w:t>N/A</w:t>
            </w:r>
          </w:p>
        </w:tc>
        <w:tc>
          <w:tcPr>
            <w:tcW w:w="1242"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3"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2"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243"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0.0%</w:t>
            </w:r>
          </w:p>
        </w:tc>
      </w:tr>
      <w:tr w:rsidR="00E7173E" w:rsidRPr="003458B1" w:rsidTr="005C3E63">
        <w:trPr>
          <w:trHeight w:val="488"/>
        </w:trPr>
        <w:tc>
          <w:tcPr>
            <w:tcW w:w="1905" w:type="dxa"/>
            <w:shd w:val="clear" w:color="auto" w:fill="auto"/>
            <w:noWrap/>
            <w:vAlign w:val="center"/>
          </w:tcPr>
          <w:p w:rsidR="006E720E" w:rsidRPr="003458B1" w:rsidRDefault="006E720E" w:rsidP="00380FF9">
            <w:pPr>
              <w:rPr>
                <w:b/>
                <w:bCs/>
                <w:iCs/>
                <w:color w:val="000000"/>
                <w:sz w:val="20"/>
                <w:szCs w:val="20"/>
              </w:rPr>
            </w:pPr>
            <w:r>
              <w:rPr>
                <w:sz w:val="20"/>
                <w:szCs w:val="20"/>
              </w:rPr>
              <w:t>Kitchen/a</w:t>
            </w:r>
            <w:r w:rsidRPr="003458B1">
              <w:rPr>
                <w:sz w:val="20"/>
                <w:szCs w:val="20"/>
              </w:rPr>
              <w:t>ppliances</w:t>
            </w:r>
            <w:r>
              <w:rPr>
                <w:sz w:val="20"/>
                <w:szCs w:val="20"/>
              </w:rPr>
              <w:t xml:space="preserve"> –  </w:t>
            </w:r>
            <w:r w:rsidRPr="003458B1">
              <w:rPr>
                <w:sz w:val="20"/>
                <w:szCs w:val="20"/>
              </w:rPr>
              <w:t>1</w:t>
            </w:r>
          </w:p>
        </w:tc>
        <w:tc>
          <w:tcPr>
            <w:tcW w:w="124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3" w:type="dxa"/>
            <w:shd w:val="clear" w:color="auto" w:fill="auto"/>
            <w:noWrap/>
            <w:vAlign w:val="center"/>
          </w:tcPr>
          <w:p w:rsidR="006E720E" w:rsidRPr="003458B1" w:rsidRDefault="006E720E" w:rsidP="00380FF9">
            <w:pPr>
              <w:jc w:val="center"/>
              <w:rPr>
                <w:b/>
                <w:bCs/>
                <w:color w:val="000000"/>
                <w:sz w:val="20"/>
                <w:szCs w:val="20"/>
              </w:rPr>
            </w:pPr>
            <w:r>
              <w:rPr>
                <w:sz w:val="20"/>
                <w:szCs w:val="20"/>
              </w:rPr>
              <w:t>N/A</w:t>
            </w:r>
          </w:p>
        </w:tc>
        <w:tc>
          <w:tcPr>
            <w:tcW w:w="124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243"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r>
      <w:tr w:rsidR="00A874AC" w:rsidRPr="003458B1" w:rsidTr="005C3E63">
        <w:trPr>
          <w:trHeight w:val="489"/>
        </w:trPr>
        <w:tc>
          <w:tcPr>
            <w:tcW w:w="1905" w:type="dxa"/>
            <w:shd w:val="clear" w:color="000000" w:fill="D2EAF1"/>
            <w:noWrap/>
            <w:vAlign w:val="center"/>
          </w:tcPr>
          <w:p w:rsidR="006E720E" w:rsidRPr="003458B1" w:rsidRDefault="006E720E" w:rsidP="00380FF9">
            <w:pPr>
              <w:rPr>
                <w:b/>
                <w:bCs/>
                <w:iCs/>
                <w:color w:val="000000"/>
                <w:sz w:val="20"/>
                <w:szCs w:val="20"/>
              </w:rPr>
            </w:pPr>
            <w:r w:rsidRPr="003458B1">
              <w:rPr>
                <w:b/>
                <w:sz w:val="20"/>
                <w:szCs w:val="20"/>
              </w:rPr>
              <w:t>Program Total</w:t>
            </w:r>
          </w:p>
        </w:tc>
        <w:tc>
          <w:tcPr>
            <w:tcW w:w="1242"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273</w:t>
            </w:r>
          </w:p>
        </w:tc>
        <w:tc>
          <w:tcPr>
            <w:tcW w:w="1243"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10.7%</w:t>
            </w:r>
          </w:p>
        </w:tc>
        <w:tc>
          <w:tcPr>
            <w:tcW w:w="1242"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36</w:t>
            </w:r>
          </w:p>
        </w:tc>
        <w:tc>
          <w:tcPr>
            <w:tcW w:w="1243"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34</w:t>
            </w:r>
          </w:p>
        </w:tc>
        <w:tc>
          <w:tcPr>
            <w:tcW w:w="1242"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11.4%</w:t>
            </w:r>
          </w:p>
        </w:tc>
        <w:tc>
          <w:tcPr>
            <w:tcW w:w="1243"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12.0%</w:t>
            </w:r>
          </w:p>
        </w:tc>
      </w:tr>
    </w:tbl>
    <w:p w:rsidR="006E720E" w:rsidRPr="003458B1" w:rsidRDefault="006E720E" w:rsidP="006E720E"/>
    <w:p w:rsidR="006E720E" w:rsidRPr="003458B1" w:rsidRDefault="006E720E" w:rsidP="006E720E">
      <w:pPr>
        <w:pStyle w:val="AppendixAHeading5"/>
      </w:pPr>
      <w:r w:rsidRPr="003458B1">
        <w:t>Large C/I Energy Efficient Buildings Program</w:t>
      </w:r>
    </w:p>
    <w:p w:rsidR="006E720E" w:rsidRPr="003458B1" w:rsidRDefault="006E720E" w:rsidP="006E720E">
      <w:r w:rsidRPr="003458B1">
        <w:t>This was a new program in Phase II. The program includes two components: energy conservation kits delivered by mail to</w:t>
      </w:r>
      <w:r>
        <w:t xml:space="preserve"> non-residential customers and </w:t>
      </w:r>
      <w:r w:rsidRPr="003458B1">
        <w:t>whole-building projects such as new construction, retro-commissioning, and building envelope improvements. Sampling and project-level gross impact evaluation methodologies for efficient equipment and building upgrade measures are identical to the me</w:t>
      </w:r>
      <w:r w:rsidR="00AF2C58">
        <w:t xml:space="preserve">thodology described for the </w:t>
      </w:r>
      <w:r w:rsidRPr="003458B1">
        <w:t xml:space="preserve">Small </w:t>
      </w:r>
      <w:r w:rsidR="00AF2C58">
        <w:t xml:space="preserve">C/I </w:t>
      </w:r>
      <w:r>
        <w:t xml:space="preserve">Energy </w:t>
      </w:r>
      <w:r w:rsidRPr="003458B1">
        <w:t xml:space="preserve">Efficient Equipment Program above. The sample design </w:t>
      </w:r>
      <w:r w:rsidRPr="003458B1">
        <w:lastRenderedPageBreak/>
        <w:t xml:space="preserve">strategy and the achieved precision values for energy and demand are shown in </w:t>
      </w:r>
      <w:r w:rsidRPr="003458B1">
        <w:fldChar w:fldCharType="begin"/>
      </w:r>
      <w:r w:rsidRPr="003458B1">
        <w:instrText xml:space="preserve"> REF _Ref440033048 \h  \* MERGEFORMAT </w:instrText>
      </w:r>
      <w:r w:rsidRPr="003458B1">
        <w:fldChar w:fldCharType="separate"/>
      </w:r>
      <w:r w:rsidR="00A874AC" w:rsidRPr="00A874AC">
        <w:rPr>
          <w:bCs/>
        </w:rPr>
        <w:t>Table A-40</w:t>
      </w:r>
      <w:r w:rsidRPr="003458B1">
        <w:fldChar w:fldCharType="end"/>
      </w:r>
      <w:r w:rsidRPr="003458B1">
        <w:t>. The precision levels for energy and for demand met the SWE Team requirements.</w:t>
      </w:r>
    </w:p>
    <w:p w:rsidR="006E720E" w:rsidRPr="003458B1" w:rsidRDefault="006E720E" w:rsidP="006E720E"/>
    <w:p w:rsidR="006E720E" w:rsidRPr="003458B1" w:rsidRDefault="006E720E" w:rsidP="006E720E">
      <w:pPr>
        <w:spacing w:after="120"/>
        <w:jc w:val="center"/>
        <w:rPr>
          <w:rFonts w:ascii="Century Gothic" w:hAnsi="Century Gothic"/>
          <w:b/>
          <w:bCs/>
          <w:sz w:val="18"/>
          <w:szCs w:val="18"/>
        </w:rPr>
      </w:pPr>
      <w:bookmarkStart w:id="747" w:name="_Ref440033048"/>
      <w:bookmarkStart w:id="748" w:name="_Toc444269856"/>
      <w:bookmarkStart w:id="749" w:name="_Toc472472449"/>
      <w:bookmarkStart w:id="750" w:name="_Toc476842155"/>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40</w:t>
      </w:r>
      <w:r w:rsidRPr="003458B1">
        <w:rPr>
          <w:rFonts w:ascii="Century Gothic" w:hAnsi="Century Gothic"/>
          <w:b/>
          <w:bCs/>
          <w:sz w:val="18"/>
          <w:szCs w:val="18"/>
        </w:rPr>
        <w:fldChar w:fldCharType="end"/>
      </w:r>
      <w:bookmarkEnd w:id="747"/>
      <w:r w:rsidRPr="003458B1">
        <w:rPr>
          <w:rFonts w:ascii="Century Gothic" w:hAnsi="Century Gothic"/>
          <w:b/>
          <w:bCs/>
          <w:sz w:val="18"/>
          <w:szCs w:val="18"/>
        </w:rPr>
        <w:t>: Met-Ed PY7 Sampling Strategy and Relative Precision – Large C/I Energy Efficient Buildings Program</w:t>
      </w:r>
      <w:bookmarkEnd w:id="748"/>
      <w:bookmarkEnd w:id="749"/>
      <w:bookmarkEnd w:id="750"/>
    </w:p>
    <w:tbl>
      <w:tblPr>
        <w:tblW w:w="9473" w:type="dxa"/>
        <w:tblInd w:w="108" w:type="dxa"/>
        <w:tblBorders>
          <w:top w:val="single" w:sz="4" w:space="0" w:color="448A99"/>
          <w:left w:val="single" w:sz="4" w:space="0" w:color="448A99"/>
          <w:bottom w:val="single" w:sz="4" w:space="0" w:color="448A99"/>
          <w:right w:val="single" w:sz="4" w:space="0" w:color="448A99"/>
          <w:insideH w:val="single" w:sz="6" w:space="0" w:color="448A99"/>
          <w:insideV w:val="single" w:sz="6" w:space="0" w:color="448A99"/>
        </w:tblBorders>
        <w:tblLayout w:type="fixed"/>
        <w:tblLook w:val="04A0" w:firstRow="1" w:lastRow="0" w:firstColumn="1" w:lastColumn="0" w:noHBand="0" w:noVBand="1"/>
      </w:tblPr>
      <w:tblGrid>
        <w:gridCol w:w="1980"/>
        <w:gridCol w:w="1248"/>
        <w:gridCol w:w="1249"/>
        <w:gridCol w:w="1249"/>
        <w:gridCol w:w="1249"/>
        <w:gridCol w:w="1249"/>
        <w:gridCol w:w="1249"/>
      </w:tblGrid>
      <w:tr w:rsidR="00A874AC" w:rsidRPr="003458B1" w:rsidTr="005C3E63">
        <w:trPr>
          <w:trHeight w:val="1052"/>
          <w:tblHeader/>
        </w:trPr>
        <w:tc>
          <w:tcPr>
            <w:tcW w:w="1980" w:type="dxa"/>
            <w:shd w:val="clear" w:color="000000" w:fill="448A99"/>
            <w:vAlign w:val="bottom"/>
            <w:hideMark/>
          </w:tcPr>
          <w:p w:rsidR="006E720E" w:rsidRPr="003458B1" w:rsidRDefault="006E720E" w:rsidP="00380FF9">
            <w:pPr>
              <w:rPr>
                <w:b/>
                <w:bCs/>
                <w:color w:val="FFFFFF"/>
                <w:sz w:val="20"/>
                <w:szCs w:val="20"/>
              </w:rPr>
            </w:pPr>
            <w:r w:rsidRPr="003458B1">
              <w:rPr>
                <w:b/>
                <w:bCs/>
                <w:color w:val="FFFFFF"/>
                <w:sz w:val="20"/>
                <w:szCs w:val="20"/>
              </w:rPr>
              <w:t>Stratum</w:t>
            </w:r>
          </w:p>
        </w:tc>
        <w:tc>
          <w:tcPr>
            <w:tcW w:w="1248"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Population</w:t>
            </w:r>
          </w:p>
        </w:tc>
        <w:tc>
          <w:tcPr>
            <w:tcW w:w="1249"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Target Levels of Confidence &amp; Precision</w:t>
            </w:r>
          </w:p>
        </w:tc>
        <w:tc>
          <w:tcPr>
            <w:tcW w:w="1249"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Target Sample Size</w:t>
            </w:r>
          </w:p>
        </w:tc>
        <w:tc>
          <w:tcPr>
            <w:tcW w:w="1249"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Achieved Sample Size</w:t>
            </w:r>
          </w:p>
        </w:tc>
        <w:tc>
          <w:tcPr>
            <w:tcW w:w="1249"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Relative Precision at 85% C.L. for Energy</w:t>
            </w:r>
          </w:p>
        </w:tc>
        <w:tc>
          <w:tcPr>
            <w:tcW w:w="1249" w:type="dxa"/>
            <w:shd w:val="clear" w:color="000000" w:fill="448A99"/>
            <w:vAlign w:val="bottom"/>
            <w:hideMark/>
          </w:tcPr>
          <w:p w:rsidR="006E720E" w:rsidRPr="003458B1" w:rsidRDefault="006E720E" w:rsidP="00380FF9">
            <w:pPr>
              <w:jc w:val="center"/>
              <w:rPr>
                <w:b/>
                <w:bCs/>
                <w:color w:val="FFFFFF"/>
                <w:sz w:val="20"/>
                <w:szCs w:val="20"/>
              </w:rPr>
            </w:pPr>
            <w:r w:rsidRPr="003458B1">
              <w:rPr>
                <w:b/>
                <w:bCs/>
                <w:color w:val="FFFFFF"/>
                <w:sz w:val="20"/>
                <w:szCs w:val="20"/>
              </w:rPr>
              <w:t>Relative Precision at 85% C.L. for Demand</w:t>
            </w:r>
          </w:p>
        </w:tc>
      </w:tr>
      <w:tr w:rsidR="00A874AC" w:rsidRPr="003458B1" w:rsidTr="005C3E63">
        <w:trPr>
          <w:trHeight w:val="488"/>
        </w:trPr>
        <w:tc>
          <w:tcPr>
            <w:tcW w:w="1980" w:type="dxa"/>
            <w:shd w:val="clear" w:color="000000" w:fill="D2EAF1"/>
            <w:noWrap/>
            <w:vAlign w:val="center"/>
          </w:tcPr>
          <w:p w:rsidR="006E720E" w:rsidRPr="003458B1" w:rsidRDefault="006E720E" w:rsidP="00380FF9">
            <w:pPr>
              <w:rPr>
                <w:bCs/>
                <w:color w:val="000000"/>
                <w:sz w:val="20"/>
                <w:szCs w:val="20"/>
              </w:rPr>
            </w:pPr>
            <w:r>
              <w:rPr>
                <w:sz w:val="20"/>
                <w:szCs w:val="20"/>
              </w:rPr>
              <w:t>CFL k</w:t>
            </w:r>
            <w:r w:rsidRPr="003458B1">
              <w:rPr>
                <w:sz w:val="20"/>
                <w:szCs w:val="20"/>
              </w:rPr>
              <w:t>its</w:t>
            </w:r>
            <w:r>
              <w:rPr>
                <w:sz w:val="20"/>
                <w:szCs w:val="20"/>
              </w:rPr>
              <w:t xml:space="preserve"> – </w:t>
            </w:r>
            <w:r w:rsidRPr="003458B1">
              <w:rPr>
                <w:sz w:val="20"/>
                <w:szCs w:val="20"/>
              </w:rPr>
              <w:t>1</w:t>
            </w:r>
          </w:p>
        </w:tc>
        <w:tc>
          <w:tcPr>
            <w:tcW w:w="1248"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18</w:t>
            </w:r>
          </w:p>
        </w:tc>
        <w:tc>
          <w:tcPr>
            <w:tcW w:w="1249" w:type="dxa"/>
            <w:shd w:val="clear" w:color="000000" w:fill="D2EAF1"/>
            <w:noWrap/>
            <w:vAlign w:val="center"/>
          </w:tcPr>
          <w:p w:rsidR="006E720E" w:rsidRPr="003458B1" w:rsidRDefault="006E720E" w:rsidP="00380FF9">
            <w:pPr>
              <w:jc w:val="center"/>
              <w:rPr>
                <w:color w:val="000000"/>
                <w:sz w:val="20"/>
                <w:szCs w:val="20"/>
              </w:rPr>
            </w:pPr>
            <w:r>
              <w:rPr>
                <w:sz w:val="20"/>
                <w:szCs w:val="20"/>
              </w:rPr>
              <w:t>N/A</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100.0%</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100.0%</w:t>
            </w:r>
          </w:p>
        </w:tc>
      </w:tr>
      <w:tr w:rsidR="00E7173E" w:rsidRPr="003458B1" w:rsidTr="005C3E63">
        <w:trPr>
          <w:trHeight w:val="488"/>
        </w:trPr>
        <w:tc>
          <w:tcPr>
            <w:tcW w:w="1980" w:type="dxa"/>
            <w:shd w:val="clear" w:color="auto" w:fill="auto"/>
            <w:noWrap/>
            <w:vAlign w:val="center"/>
          </w:tcPr>
          <w:p w:rsidR="006E720E" w:rsidRPr="003458B1" w:rsidRDefault="006E720E" w:rsidP="00380FF9">
            <w:pPr>
              <w:rPr>
                <w:bCs/>
                <w:color w:val="000000"/>
                <w:sz w:val="20"/>
                <w:szCs w:val="20"/>
              </w:rPr>
            </w:pPr>
            <w:r>
              <w:rPr>
                <w:sz w:val="20"/>
                <w:szCs w:val="20"/>
              </w:rPr>
              <w:t>Lighting – c</w:t>
            </w:r>
            <w:r w:rsidRPr="003458B1">
              <w:rPr>
                <w:sz w:val="20"/>
                <w:szCs w:val="20"/>
              </w:rPr>
              <w:t>ertainty</w:t>
            </w:r>
          </w:p>
        </w:tc>
        <w:tc>
          <w:tcPr>
            <w:tcW w:w="1248"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auto" w:fill="auto"/>
            <w:noWrap/>
            <w:vAlign w:val="center"/>
          </w:tcPr>
          <w:p w:rsidR="006E720E" w:rsidRPr="003458B1" w:rsidRDefault="006E720E" w:rsidP="00380FF9">
            <w:pPr>
              <w:jc w:val="center"/>
              <w:rPr>
                <w:color w:val="000000"/>
                <w:sz w:val="20"/>
                <w:szCs w:val="20"/>
              </w:rPr>
            </w:pPr>
            <w:r>
              <w:rPr>
                <w:sz w:val="20"/>
                <w:szCs w:val="20"/>
              </w:rPr>
              <w:t>N/A</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r>
      <w:tr w:rsidR="00A874AC" w:rsidRPr="003458B1" w:rsidTr="005C3E63">
        <w:trPr>
          <w:trHeight w:val="488"/>
        </w:trPr>
        <w:tc>
          <w:tcPr>
            <w:tcW w:w="1980" w:type="dxa"/>
            <w:shd w:val="clear" w:color="000000" w:fill="D2EAF1"/>
            <w:noWrap/>
            <w:vAlign w:val="center"/>
          </w:tcPr>
          <w:p w:rsidR="006E720E" w:rsidRPr="003458B1" w:rsidRDefault="006E720E" w:rsidP="00380FF9">
            <w:pPr>
              <w:rPr>
                <w:bCs/>
                <w:color w:val="000000"/>
                <w:sz w:val="20"/>
                <w:szCs w:val="20"/>
              </w:rPr>
            </w:pPr>
            <w:r>
              <w:rPr>
                <w:sz w:val="20"/>
                <w:szCs w:val="20"/>
              </w:rPr>
              <w:t xml:space="preserve">Lighting – </w:t>
            </w:r>
            <w:r w:rsidRPr="003458B1">
              <w:rPr>
                <w:sz w:val="20"/>
                <w:szCs w:val="20"/>
              </w:rPr>
              <w:t>2</w:t>
            </w:r>
          </w:p>
        </w:tc>
        <w:tc>
          <w:tcPr>
            <w:tcW w:w="1248"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color w:val="000000"/>
                <w:sz w:val="20"/>
                <w:szCs w:val="20"/>
              </w:rPr>
            </w:pPr>
            <w:r>
              <w:rPr>
                <w:sz w:val="20"/>
                <w:szCs w:val="20"/>
              </w:rPr>
              <w:t>N/A</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0.0%</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0.0%</w:t>
            </w:r>
          </w:p>
        </w:tc>
      </w:tr>
      <w:tr w:rsidR="00E7173E" w:rsidRPr="003458B1" w:rsidTr="005C3E63">
        <w:trPr>
          <w:trHeight w:val="488"/>
        </w:trPr>
        <w:tc>
          <w:tcPr>
            <w:tcW w:w="1980" w:type="dxa"/>
            <w:shd w:val="clear" w:color="auto" w:fill="auto"/>
            <w:noWrap/>
            <w:vAlign w:val="center"/>
          </w:tcPr>
          <w:p w:rsidR="006E720E" w:rsidRPr="003458B1" w:rsidRDefault="006E720E" w:rsidP="00380FF9">
            <w:pPr>
              <w:rPr>
                <w:bCs/>
                <w:color w:val="000000"/>
                <w:sz w:val="20"/>
                <w:szCs w:val="20"/>
              </w:rPr>
            </w:pPr>
            <w:r>
              <w:rPr>
                <w:sz w:val="20"/>
                <w:szCs w:val="20"/>
              </w:rPr>
              <w:t xml:space="preserve">Lighting – </w:t>
            </w:r>
            <w:r w:rsidRPr="003458B1">
              <w:rPr>
                <w:sz w:val="20"/>
                <w:szCs w:val="20"/>
              </w:rPr>
              <w:t>3</w:t>
            </w:r>
          </w:p>
        </w:tc>
        <w:tc>
          <w:tcPr>
            <w:tcW w:w="1248"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auto" w:fill="auto"/>
            <w:noWrap/>
            <w:vAlign w:val="center"/>
          </w:tcPr>
          <w:p w:rsidR="006E720E" w:rsidRPr="003458B1" w:rsidRDefault="006E720E" w:rsidP="00380FF9">
            <w:pPr>
              <w:jc w:val="center"/>
              <w:rPr>
                <w:color w:val="000000"/>
                <w:sz w:val="20"/>
                <w:szCs w:val="20"/>
              </w:rPr>
            </w:pPr>
            <w:r>
              <w:rPr>
                <w:sz w:val="20"/>
                <w:szCs w:val="20"/>
              </w:rPr>
              <w:t>N/A</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r>
      <w:tr w:rsidR="00A874AC" w:rsidRPr="003458B1" w:rsidTr="005C3E63">
        <w:trPr>
          <w:trHeight w:val="488"/>
        </w:trPr>
        <w:tc>
          <w:tcPr>
            <w:tcW w:w="1980" w:type="dxa"/>
            <w:shd w:val="clear" w:color="000000" w:fill="D2EAF1"/>
            <w:noWrap/>
            <w:vAlign w:val="center"/>
          </w:tcPr>
          <w:p w:rsidR="006E720E" w:rsidRPr="003458B1" w:rsidRDefault="006E720E" w:rsidP="00380FF9">
            <w:pPr>
              <w:rPr>
                <w:bCs/>
                <w:color w:val="000000"/>
                <w:sz w:val="20"/>
                <w:szCs w:val="20"/>
              </w:rPr>
            </w:pPr>
            <w:r>
              <w:rPr>
                <w:sz w:val="20"/>
                <w:szCs w:val="20"/>
              </w:rPr>
              <w:t xml:space="preserve">Lighting – </w:t>
            </w:r>
            <w:r w:rsidRPr="003458B1">
              <w:rPr>
                <w:sz w:val="20"/>
                <w:szCs w:val="20"/>
              </w:rPr>
              <w:t>4</w:t>
            </w:r>
          </w:p>
        </w:tc>
        <w:tc>
          <w:tcPr>
            <w:tcW w:w="1248"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color w:val="000000"/>
                <w:sz w:val="20"/>
                <w:szCs w:val="20"/>
              </w:rPr>
            </w:pPr>
            <w:r>
              <w:rPr>
                <w:sz w:val="20"/>
                <w:szCs w:val="20"/>
              </w:rPr>
              <w:t>N/A</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0.0%</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0.0%</w:t>
            </w:r>
          </w:p>
        </w:tc>
      </w:tr>
      <w:tr w:rsidR="00E7173E" w:rsidRPr="003458B1" w:rsidTr="005C3E63">
        <w:trPr>
          <w:trHeight w:val="488"/>
        </w:trPr>
        <w:tc>
          <w:tcPr>
            <w:tcW w:w="1980" w:type="dxa"/>
            <w:shd w:val="clear" w:color="auto" w:fill="auto"/>
            <w:noWrap/>
            <w:vAlign w:val="center"/>
          </w:tcPr>
          <w:p w:rsidR="006E720E" w:rsidRPr="003458B1" w:rsidRDefault="006E720E" w:rsidP="00380FF9">
            <w:pPr>
              <w:rPr>
                <w:bCs/>
                <w:color w:val="000000"/>
                <w:sz w:val="20"/>
                <w:szCs w:val="20"/>
              </w:rPr>
            </w:pPr>
            <w:r>
              <w:rPr>
                <w:sz w:val="20"/>
                <w:szCs w:val="20"/>
              </w:rPr>
              <w:t>Custom – c</w:t>
            </w:r>
            <w:r w:rsidRPr="003458B1">
              <w:rPr>
                <w:sz w:val="20"/>
                <w:szCs w:val="20"/>
              </w:rPr>
              <w:t>ertainty</w:t>
            </w:r>
          </w:p>
        </w:tc>
        <w:tc>
          <w:tcPr>
            <w:tcW w:w="1248"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3</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3</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3</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r>
      <w:tr w:rsidR="00A874AC" w:rsidRPr="003458B1" w:rsidTr="005C3E63">
        <w:trPr>
          <w:trHeight w:val="488"/>
        </w:trPr>
        <w:tc>
          <w:tcPr>
            <w:tcW w:w="1980" w:type="dxa"/>
            <w:shd w:val="clear" w:color="000000" w:fill="D2EAF1"/>
            <w:noWrap/>
            <w:vAlign w:val="center"/>
          </w:tcPr>
          <w:p w:rsidR="006E720E" w:rsidRPr="003458B1" w:rsidRDefault="006E720E" w:rsidP="00380FF9">
            <w:pPr>
              <w:rPr>
                <w:bCs/>
                <w:color w:val="000000"/>
                <w:sz w:val="20"/>
                <w:szCs w:val="20"/>
              </w:rPr>
            </w:pPr>
            <w:r>
              <w:rPr>
                <w:sz w:val="20"/>
                <w:szCs w:val="20"/>
              </w:rPr>
              <w:t xml:space="preserve">Custom – </w:t>
            </w:r>
            <w:r w:rsidRPr="003458B1">
              <w:rPr>
                <w:sz w:val="20"/>
                <w:szCs w:val="20"/>
              </w:rPr>
              <w:t>2</w:t>
            </w:r>
          </w:p>
        </w:tc>
        <w:tc>
          <w:tcPr>
            <w:tcW w:w="1248"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color w:val="000000"/>
                <w:sz w:val="20"/>
                <w:szCs w:val="20"/>
              </w:rPr>
            </w:pPr>
            <w:r>
              <w:rPr>
                <w:sz w:val="20"/>
                <w:szCs w:val="20"/>
              </w:rPr>
              <w:t>N/A</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0.0%</w:t>
            </w:r>
          </w:p>
        </w:tc>
        <w:tc>
          <w:tcPr>
            <w:tcW w:w="1249"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0.0%</w:t>
            </w:r>
          </w:p>
        </w:tc>
      </w:tr>
      <w:tr w:rsidR="00E7173E" w:rsidRPr="003458B1" w:rsidTr="005C3E63">
        <w:trPr>
          <w:trHeight w:val="488"/>
        </w:trPr>
        <w:tc>
          <w:tcPr>
            <w:tcW w:w="1980" w:type="dxa"/>
            <w:shd w:val="clear" w:color="auto" w:fill="auto"/>
            <w:noWrap/>
            <w:vAlign w:val="center"/>
          </w:tcPr>
          <w:p w:rsidR="006E720E" w:rsidRPr="003458B1" w:rsidRDefault="006E720E" w:rsidP="00380FF9">
            <w:pPr>
              <w:rPr>
                <w:bCs/>
                <w:color w:val="000000"/>
                <w:sz w:val="20"/>
                <w:szCs w:val="20"/>
              </w:rPr>
            </w:pPr>
            <w:r>
              <w:rPr>
                <w:sz w:val="20"/>
                <w:szCs w:val="20"/>
              </w:rPr>
              <w:t xml:space="preserve">Custom – </w:t>
            </w:r>
            <w:r w:rsidRPr="003458B1">
              <w:rPr>
                <w:sz w:val="20"/>
                <w:szCs w:val="20"/>
              </w:rPr>
              <w:t>3</w:t>
            </w:r>
          </w:p>
        </w:tc>
        <w:tc>
          <w:tcPr>
            <w:tcW w:w="1248"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13</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21.6%</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6</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6</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21.6%</w:t>
            </w:r>
          </w:p>
        </w:tc>
        <w:tc>
          <w:tcPr>
            <w:tcW w:w="1249"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21.6%</w:t>
            </w:r>
          </w:p>
        </w:tc>
      </w:tr>
      <w:tr w:rsidR="00A874AC" w:rsidRPr="003458B1" w:rsidTr="005C3E63">
        <w:trPr>
          <w:trHeight w:val="488"/>
        </w:trPr>
        <w:tc>
          <w:tcPr>
            <w:tcW w:w="1980" w:type="dxa"/>
            <w:shd w:val="clear" w:color="000000" w:fill="D2EAF1"/>
            <w:noWrap/>
            <w:vAlign w:val="center"/>
          </w:tcPr>
          <w:p w:rsidR="006E720E" w:rsidRPr="003458B1" w:rsidRDefault="006E720E" w:rsidP="00380FF9">
            <w:pPr>
              <w:rPr>
                <w:b/>
                <w:bCs/>
                <w:iCs/>
                <w:color w:val="000000"/>
                <w:sz w:val="20"/>
                <w:szCs w:val="20"/>
              </w:rPr>
            </w:pPr>
            <w:r>
              <w:rPr>
                <w:sz w:val="20"/>
                <w:szCs w:val="20"/>
              </w:rPr>
              <w:t xml:space="preserve">HVAC and DHW – </w:t>
            </w:r>
            <w:r w:rsidRPr="003458B1">
              <w:rPr>
                <w:sz w:val="20"/>
                <w:szCs w:val="20"/>
              </w:rPr>
              <w:t>1</w:t>
            </w:r>
          </w:p>
        </w:tc>
        <w:tc>
          <w:tcPr>
            <w:tcW w:w="1248"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b/>
                <w:bCs/>
                <w:color w:val="000000"/>
                <w:sz w:val="20"/>
                <w:szCs w:val="20"/>
              </w:rPr>
            </w:pPr>
            <w:r>
              <w:rPr>
                <w:sz w:val="20"/>
                <w:szCs w:val="20"/>
              </w:rPr>
              <w:t>N/A</w:t>
            </w:r>
          </w:p>
        </w:tc>
        <w:tc>
          <w:tcPr>
            <w:tcW w:w="1249"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249"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0.0%</w:t>
            </w:r>
          </w:p>
        </w:tc>
      </w:tr>
      <w:tr w:rsidR="00E7173E" w:rsidRPr="003458B1" w:rsidTr="005C3E63">
        <w:trPr>
          <w:trHeight w:val="488"/>
        </w:trPr>
        <w:tc>
          <w:tcPr>
            <w:tcW w:w="1980" w:type="dxa"/>
            <w:shd w:val="clear" w:color="auto" w:fill="auto"/>
            <w:noWrap/>
            <w:vAlign w:val="center"/>
          </w:tcPr>
          <w:p w:rsidR="006E720E" w:rsidRPr="003458B1" w:rsidRDefault="006E720E" w:rsidP="00380FF9">
            <w:pPr>
              <w:rPr>
                <w:b/>
                <w:bCs/>
                <w:iCs/>
                <w:color w:val="000000"/>
                <w:sz w:val="20"/>
                <w:szCs w:val="20"/>
              </w:rPr>
            </w:pPr>
            <w:r>
              <w:rPr>
                <w:sz w:val="20"/>
                <w:szCs w:val="20"/>
              </w:rPr>
              <w:t xml:space="preserve">HVAC and DHW – </w:t>
            </w:r>
            <w:r w:rsidRPr="003458B1">
              <w:rPr>
                <w:sz w:val="20"/>
                <w:szCs w:val="20"/>
              </w:rPr>
              <w:t>2</w:t>
            </w:r>
          </w:p>
        </w:tc>
        <w:tc>
          <w:tcPr>
            <w:tcW w:w="1248"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9" w:type="dxa"/>
            <w:shd w:val="clear" w:color="auto" w:fill="auto"/>
            <w:noWrap/>
            <w:vAlign w:val="center"/>
          </w:tcPr>
          <w:p w:rsidR="006E720E" w:rsidRPr="003458B1" w:rsidRDefault="006E720E" w:rsidP="00380FF9">
            <w:pPr>
              <w:jc w:val="center"/>
              <w:rPr>
                <w:b/>
                <w:bCs/>
                <w:color w:val="000000"/>
                <w:sz w:val="20"/>
                <w:szCs w:val="20"/>
              </w:rPr>
            </w:pPr>
            <w:r>
              <w:rPr>
                <w:sz w:val="20"/>
                <w:szCs w:val="20"/>
              </w:rPr>
              <w:t>N/A</w:t>
            </w:r>
          </w:p>
        </w:tc>
        <w:tc>
          <w:tcPr>
            <w:tcW w:w="1249"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9"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9"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249"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r>
      <w:tr w:rsidR="00A874AC" w:rsidRPr="003458B1" w:rsidTr="005C3E63">
        <w:trPr>
          <w:trHeight w:val="488"/>
        </w:trPr>
        <w:tc>
          <w:tcPr>
            <w:tcW w:w="1980" w:type="dxa"/>
            <w:shd w:val="clear" w:color="000000" w:fill="D2EAF1"/>
            <w:noWrap/>
            <w:vAlign w:val="center"/>
          </w:tcPr>
          <w:p w:rsidR="006E720E" w:rsidRPr="003458B1" w:rsidRDefault="006E720E" w:rsidP="00380FF9">
            <w:pPr>
              <w:rPr>
                <w:b/>
                <w:bCs/>
                <w:iCs/>
                <w:color w:val="000000"/>
                <w:sz w:val="20"/>
                <w:szCs w:val="20"/>
              </w:rPr>
            </w:pPr>
            <w:r>
              <w:rPr>
                <w:sz w:val="20"/>
                <w:szCs w:val="20"/>
              </w:rPr>
              <w:t>Appliance Turn-I</w:t>
            </w:r>
            <w:r w:rsidRPr="003458B1">
              <w:rPr>
                <w:sz w:val="20"/>
                <w:szCs w:val="20"/>
              </w:rPr>
              <w:t>n-1</w:t>
            </w:r>
          </w:p>
        </w:tc>
        <w:tc>
          <w:tcPr>
            <w:tcW w:w="1248"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b/>
                <w:bCs/>
                <w:color w:val="000000"/>
                <w:sz w:val="20"/>
                <w:szCs w:val="20"/>
              </w:rPr>
            </w:pPr>
            <w:r>
              <w:rPr>
                <w:sz w:val="20"/>
                <w:szCs w:val="20"/>
              </w:rPr>
              <w:t>N/A</w:t>
            </w:r>
          </w:p>
        </w:tc>
        <w:tc>
          <w:tcPr>
            <w:tcW w:w="1249"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9"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249" w:type="dxa"/>
            <w:shd w:val="clear" w:color="000000" w:fill="D2EAF1"/>
            <w:noWrap/>
            <w:vAlign w:val="center"/>
          </w:tcPr>
          <w:p w:rsidR="006E720E" w:rsidRPr="003458B1" w:rsidRDefault="006E720E" w:rsidP="00380FF9">
            <w:pPr>
              <w:jc w:val="center"/>
              <w:rPr>
                <w:b/>
                <w:bCs/>
                <w:color w:val="000000"/>
                <w:sz w:val="20"/>
                <w:szCs w:val="20"/>
              </w:rPr>
            </w:pPr>
            <w:r w:rsidRPr="003458B1">
              <w:rPr>
                <w:sz w:val="20"/>
                <w:szCs w:val="20"/>
              </w:rPr>
              <w:t>0.0%</w:t>
            </w:r>
          </w:p>
        </w:tc>
      </w:tr>
      <w:tr w:rsidR="00E7173E" w:rsidRPr="003458B1" w:rsidTr="005C3E63">
        <w:trPr>
          <w:trHeight w:val="488"/>
        </w:trPr>
        <w:tc>
          <w:tcPr>
            <w:tcW w:w="1980" w:type="dxa"/>
            <w:shd w:val="clear" w:color="auto" w:fill="auto"/>
            <w:noWrap/>
            <w:vAlign w:val="center"/>
          </w:tcPr>
          <w:p w:rsidR="006E720E" w:rsidRPr="003458B1" w:rsidRDefault="006E720E" w:rsidP="00380FF9">
            <w:pPr>
              <w:rPr>
                <w:b/>
                <w:bCs/>
                <w:iCs/>
                <w:color w:val="000000"/>
                <w:sz w:val="20"/>
                <w:szCs w:val="20"/>
              </w:rPr>
            </w:pPr>
            <w:r>
              <w:rPr>
                <w:sz w:val="20"/>
                <w:szCs w:val="20"/>
              </w:rPr>
              <w:t xml:space="preserve">Kitchen/appliances – </w:t>
            </w:r>
            <w:r w:rsidRPr="003458B1">
              <w:rPr>
                <w:sz w:val="20"/>
                <w:szCs w:val="20"/>
              </w:rPr>
              <w:t>1</w:t>
            </w:r>
          </w:p>
        </w:tc>
        <w:tc>
          <w:tcPr>
            <w:tcW w:w="1248"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9" w:type="dxa"/>
            <w:shd w:val="clear" w:color="auto" w:fill="auto"/>
            <w:noWrap/>
            <w:vAlign w:val="center"/>
          </w:tcPr>
          <w:p w:rsidR="006E720E" w:rsidRPr="003458B1" w:rsidRDefault="006E720E" w:rsidP="00380FF9">
            <w:pPr>
              <w:jc w:val="center"/>
              <w:rPr>
                <w:b/>
                <w:bCs/>
                <w:color w:val="000000"/>
                <w:sz w:val="20"/>
                <w:szCs w:val="20"/>
              </w:rPr>
            </w:pPr>
            <w:r>
              <w:rPr>
                <w:sz w:val="20"/>
                <w:szCs w:val="20"/>
              </w:rPr>
              <w:t>N/A</w:t>
            </w:r>
          </w:p>
        </w:tc>
        <w:tc>
          <w:tcPr>
            <w:tcW w:w="1249"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9"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49"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249"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r>
      <w:tr w:rsidR="00A874AC" w:rsidRPr="003458B1" w:rsidTr="005C3E63">
        <w:trPr>
          <w:trHeight w:val="488"/>
        </w:trPr>
        <w:tc>
          <w:tcPr>
            <w:tcW w:w="1980" w:type="dxa"/>
            <w:shd w:val="clear" w:color="000000" w:fill="D2EAF1"/>
            <w:noWrap/>
            <w:vAlign w:val="center"/>
          </w:tcPr>
          <w:p w:rsidR="006E720E" w:rsidRPr="003458B1" w:rsidRDefault="006E720E" w:rsidP="00380FF9">
            <w:pPr>
              <w:rPr>
                <w:b/>
                <w:bCs/>
                <w:iCs/>
                <w:color w:val="000000"/>
                <w:sz w:val="20"/>
                <w:szCs w:val="20"/>
              </w:rPr>
            </w:pPr>
            <w:r w:rsidRPr="003458B1">
              <w:rPr>
                <w:b/>
                <w:sz w:val="20"/>
                <w:szCs w:val="20"/>
              </w:rPr>
              <w:t>Program Total</w:t>
            </w:r>
          </w:p>
        </w:tc>
        <w:tc>
          <w:tcPr>
            <w:tcW w:w="1248"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34</w:t>
            </w:r>
          </w:p>
        </w:tc>
        <w:tc>
          <w:tcPr>
            <w:tcW w:w="1249"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10.8%</w:t>
            </w:r>
          </w:p>
        </w:tc>
        <w:tc>
          <w:tcPr>
            <w:tcW w:w="1249"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9</w:t>
            </w:r>
          </w:p>
        </w:tc>
        <w:tc>
          <w:tcPr>
            <w:tcW w:w="1249"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9</w:t>
            </w:r>
          </w:p>
        </w:tc>
        <w:tc>
          <w:tcPr>
            <w:tcW w:w="1249"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10.5%</w:t>
            </w:r>
          </w:p>
        </w:tc>
        <w:tc>
          <w:tcPr>
            <w:tcW w:w="1249" w:type="dxa"/>
            <w:shd w:val="clear" w:color="000000" w:fill="D2EAF1"/>
            <w:noWrap/>
            <w:vAlign w:val="center"/>
          </w:tcPr>
          <w:p w:rsidR="006E720E" w:rsidRPr="003458B1" w:rsidRDefault="006E720E" w:rsidP="00380FF9">
            <w:pPr>
              <w:jc w:val="center"/>
              <w:rPr>
                <w:b/>
                <w:bCs/>
                <w:color w:val="000000"/>
                <w:sz w:val="20"/>
                <w:szCs w:val="20"/>
              </w:rPr>
            </w:pPr>
            <w:r w:rsidRPr="003458B1">
              <w:rPr>
                <w:b/>
                <w:sz w:val="20"/>
                <w:szCs w:val="20"/>
              </w:rPr>
              <w:t>13.4%</w:t>
            </w:r>
          </w:p>
        </w:tc>
      </w:tr>
    </w:tbl>
    <w:p w:rsidR="006E720E" w:rsidRPr="003458B1" w:rsidRDefault="006E720E" w:rsidP="006E720E"/>
    <w:p w:rsidR="006E720E" w:rsidRPr="003458B1" w:rsidRDefault="006E720E" w:rsidP="006E720E">
      <w:pPr>
        <w:pStyle w:val="AppendixAHeading5"/>
      </w:pPr>
      <w:r w:rsidRPr="003458B1">
        <w:t>Government and Institutional Program</w:t>
      </w:r>
    </w:p>
    <w:p w:rsidR="006E720E" w:rsidRPr="003458B1" w:rsidRDefault="006E720E" w:rsidP="006E720E">
      <w:r w:rsidRPr="003458B1">
        <w:t xml:space="preserve">This program had three categorical components in PY7: equipment incentives, appliance recycling (new for Phase II), and conservation kits to multifamily establishments. The sampling strategy was identical to that in the Large </w:t>
      </w:r>
      <w:r w:rsidR="00AF2C58">
        <w:t xml:space="preserve">C/I </w:t>
      </w:r>
      <w:r w:rsidRPr="003458B1">
        <w:t>and Small</w:t>
      </w:r>
      <w:r w:rsidR="00AF2C58">
        <w:t xml:space="preserve"> C/I</w:t>
      </w:r>
      <w:r w:rsidRPr="003458B1">
        <w:t xml:space="preserve"> </w:t>
      </w:r>
      <w:r>
        <w:t>Energy Efficient E</w:t>
      </w:r>
      <w:r w:rsidRPr="003458B1">
        <w:t xml:space="preserve">quipment programs. </w:t>
      </w:r>
      <w:r>
        <w:t>D</w:t>
      </w:r>
      <w:r w:rsidRPr="003458B1">
        <w:t xml:space="preserve">etailed information </w:t>
      </w:r>
      <w:r>
        <w:t>on</w:t>
      </w:r>
      <w:r w:rsidRPr="003458B1">
        <w:t xml:space="preserve"> the sample design and the achieved precision values for each stratum </w:t>
      </w:r>
      <w:r w:rsidRPr="00AE5BEC">
        <w:t>are shown</w:t>
      </w:r>
      <w:r w:rsidRPr="003458B1">
        <w:t xml:space="preserve"> in </w:t>
      </w:r>
      <w:r w:rsidRPr="003458B1">
        <w:fldChar w:fldCharType="begin"/>
      </w:r>
      <w:r w:rsidRPr="003458B1">
        <w:instrText xml:space="preserve"> REF _Ref433896563 \h  \* MERGEFORMAT </w:instrText>
      </w:r>
      <w:r w:rsidRPr="003458B1">
        <w:fldChar w:fldCharType="separate"/>
      </w:r>
      <w:r w:rsidR="008D7800" w:rsidRPr="008D7800">
        <w:t>Table A-41</w:t>
      </w:r>
      <w:r w:rsidRPr="003458B1">
        <w:fldChar w:fldCharType="end"/>
      </w:r>
      <w:r w:rsidRPr="003458B1">
        <w:t>.</w:t>
      </w:r>
      <w:r w:rsidRPr="00A95E6E">
        <w:t xml:space="preserve"> </w:t>
      </w:r>
    </w:p>
    <w:p w:rsidR="006E720E" w:rsidRPr="003458B1" w:rsidRDefault="006E720E" w:rsidP="006E720E"/>
    <w:p w:rsidR="00391C49" w:rsidRDefault="00391C49" w:rsidP="006E720E">
      <w:pPr>
        <w:spacing w:after="120"/>
        <w:jc w:val="center"/>
        <w:rPr>
          <w:rFonts w:ascii="Century Gothic" w:hAnsi="Century Gothic"/>
          <w:b/>
          <w:bCs/>
          <w:sz w:val="18"/>
          <w:szCs w:val="18"/>
        </w:rPr>
      </w:pPr>
    </w:p>
    <w:p w:rsidR="00391C49" w:rsidRDefault="00391C49" w:rsidP="006E720E">
      <w:pPr>
        <w:spacing w:after="120"/>
        <w:jc w:val="center"/>
        <w:rPr>
          <w:rFonts w:ascii="Century Gothic" w:hAnsi="Century Gothic"/>
          <w:b/>
          <w:bCs/>
          <w:sz w:val="18"/>
          <w:szCs w:val="18"/>
        </w:rPr>
      </w:pPr>
    </w:p>
    <w:p w:rsidR="00391C49" w:rsidRDefault="00391C49" w:rsidP="006E720E">
      <w:pPr>
        <w:spacing w:after="120"/>
        <w:jc w:val="center"/>
        <w:rPr>
          <w:rFonts w:ascii="Century Gothic" w:hAnsi="Century Gothic"/>
          <w:b/>
          <w:bCs/>
          <w:sz w:val="18"/>
          <w:szCs w:val="18"/>
        </w:rPr>
      </w:pPr>
    </w:p>
    <w:p w:rsidR="00391C49" w:rsidRDefault="00391C49" w:rsidP="006E720E">
      <w:pPr>
        <w:spacing w:after="120"/>
        <w:jc w:val="center"/>
        <w:rPr>
          <w:rFonts w:ascii="Century Gothic" w:hAnsi="Century Gothic"/>
          <w:b/>
          <w:bCs/>
          <w:sz w:val="18"/>
          <w:szCs w:val="18"/>
        </w:rPr>
      </w:pPr>
    </w:p>
    <w:p w:rsidR="00391C49" w:rsidRDefault="00391C49" w:rsidP="006E720E">
      <w:pPr>
        <w:spacing w:after="120"/>
        <w:jc w:val="center"/>
        <w:rPr>
          <w:rFonts w:ascii="Century Gothic" w:hAnsi="Century Gothic"/>
          <w:b/>
          <w:bCs/>
          <w:sz w:val="18"/>
          <w:szCs w:val="18"/>
        </w:rPr>
      </w:pPr>
    </w:p>
    <w:p w:rsidR="006E720E" w:rsidRPr="003458B1" w:rsidRDefault="006E720E" w:rsidP="006E720E">
      <w:pPr>
        <w:spacing w:after="120"/>
        <w:jc w:val="center"/>
        <w:rPr>
          <w:rFonts w:ascii="Century Gothic" w:hAnsi="Century Gothic"/>
          <w:b/>
          <w:bCs/>
          <w:sz w:val="18"/>
          <w:szCs w:val="18"/>
        </w:rPr>
      </w:pPr>
      <w:bookmarkStart w:id="751" w:name="_Ref433896563"/>
      <w:bookmarkStart w:id="752" w:name="_Toc410199416"/>
      <w:bookmarkStart w:id="753" w:name="_Toc431462336"/>
      <w:bookmarkStart w:id="754" w:name="_Toc444269857"/>
      <w:bookmarkStart w:id="755" w:name="_Toc472472450"/>
      <w:bookmarkStart w:id="756" w:name="_Toc476842156"/>
      <w:r w:rsidRPr="003458B1">
        <w:rPr>
          <w:rFonts w:ascii="Century Gothic" w:hAnsi="Century Gothic"/>
          <w:b/>
          <w:bCs/>
          <w:sz w:val="18"/>
          <w:szCs w:val="18"/>
        </w:rPr>
        <w:lastRenderedPageBreak/>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41</w:t>
      </w:r>
      <w:r w:rsidRPr="003458B1">
        <w:rPr>
          <w:rFonts w:ascii="Century Gothic" w:hAnsi="Century Gothic"/>
          <w:b/>
          <w:bCs/>
          <w:sz w:val="18"/>
          <w:szCs w:val="18"/>
        </w:rPr>
        <w:fldChar w:fldCharType="end"/>
      </w:r>
      <w:bookmarkEnd w:id="751"/>
      <w:r w:rsidRPr="003458B1">
        <w:rPr>
          <w:rFonts w:ascii="Century Gothic" w:hAnsi="Century Gothic"/>
          <w:b/>
          <w:bCs/>
          <w:sz w:val="18"/>
          <w:szCs w:val="18"/>
        </w:rPr>
        <w:t>: Met-Ed’s PY7 Sampling Strategy and Achieved Precision – Government and Institutional Program</w:t>
      </w:r>
      <w:bookmarkEnd w:id="752"/>
      <w:bookmarkEnd w:id="753"/>
      <w:bookmarkEnd w:id="754"/>
      <w:bookmarkEnd w:id="755"/>
      <w:bookmarkEnd w:id="756"/>
    </w:p>
    <w:tbl>
      <w:tblPr>
        <w:tblW w:w="9473" w:type="dxa"/>
        <w:tblInd w:w="-5" w:type="dxa"/>
        <w:tblBorders>
          <w:top w:val="single" w:sz="4" w:space="0" w:color="448A99"/>
          <w:left w:val="single" w:sz="4" w:space="0" w:color="448A99"/>
          <w:bottom w:val="single" w:sz="4" w:space="0" w:color="448A99"/>
          <w:right w:val="single" w:sz="4" w:space="0" w:color="448A99"/>
          <w:insideH w:val="single" w:sz="6" w:space="0" w:color="448A99"/>
          <w:insideV w:val="single" w:sz="6" w:space="0" w:color="448A99"/>
        </w:tblBorders>
        <w:tblLayout w:type="fixed"/>
        <w:tblLook w:val="04A0" w:firstRow="1" w:lastRow="0" w:firstColumn="1" w:lastColumn="0" w:noHBand="0" w:noVBand="1"/>
      </w:tblPr>
      <w:tblGrid>
        <w:gridCol w:w="1905"/>
        <w:gridCol w:w="1261"/>
        <w:gridCol w:w="1261"/>
        <w:gridCol w:w="1262"/>
        <w:gridCol w:w="1261"/>
        <w:gridCol w:w="1261"/>
        <w:gridCol w:w="1262"/>
      </w:tblGrid>
      <w:tr w:rsidR="00A874AC" w:rsidRPr="003458B1" w:rsidTr="00391C49">
        <w:trPr>
          <w:trHeight w:val="1275"/>
          <w:tblHeader/>
        </w:trPr>
        <w:tc>
          <w:tcPr>
            <w:tcW w:w="1905" w:type="dxa"/>
            <w:shd w:val="clear" w:color="000000" w:fill="448A99"/>
            <w:vAlign w:val="bottom"/>
            <w:hideMark/>
          </w:tcPr>
          <w:p w:rsidR="006E720E" w:rsidRPr="003458B1" w:rsidRDefault="006E720E" w:rsidP="00380FF9">
            <w:pPr>
              <w:jc w:val="left"/>
              <w:rPr>
                <w:b/>
                <w:bCs/>
                <w:color w:val="FFFFFF"/>
                <w:sz w:val="20"/>
              </w:rPr>
            </w:pPr>
            <w:r w:rsidRPr="003458B1">
              <w:rPr>
                <w:b/>
                <w:bCs/>
                <w:color w:val="FFFFFF"/>
                <w:sz w:val="20"/>
              </w:rPr>
              <w:t>Stratum</w:t>
            </w:r>
          </w:p>
        </w:tc>
        <w:tc>
          <w:tcPr>
            <w:tcW w:w="1261" w:type="dxa"/>
            <w:shd w:val="clear" w:color="000000" w:fill="448A99"/>
            <w:vAlign w:val="bottom"/>
            <w:hideMark/>
          </w:tcPr>
          <w:p w:rsidR="006E720E" w:rsidRPr="003458B1" w:rsidRDefault="006E720E" w:rsidP="00380FF9">
            <w:pPr>
              <w:jc w:val="center"/>
              <w:rPr>
                <w:b/>
                <w:bCs/>
                <w:color w:val="FFFFFF"/>
                <w:sz w:val="20"/>
              </w:rPr>
            </w:pPr>
            <w:r w:rsidRPr="003458B1">
              <w:rPr>
                <w:b/>
                <w:bCs/>
                <w:color w:val="FFFFFF"/>
                <w:sz w:val="20"/>
              </w:rPr>
              <w:t>Population</w:t>
            </w:r>
          </w:p>
        </w:tc>
        <w:tc>
          <w:tcPr>
            <w:tcW w:w="1261" w:type="dxa"/>
            <w:shd w:val="clear" w:color="000000" w:fill="448A99"/>
            <w:vAlign w:val="bottom"/>
            <w:hideMark/>
          </w:tcPr>
          <w:p w:rsidR="006E720E" w:rsidRPr="003458B1" w:rsidRDefault="006E720E" w:rsidP="00380FF9">
            <w:pPr>
              <w:jc w:val="center"/>
              <w:rPr>
                <w:b/>
                <w:bCs/>
                <w:color w:val="FFFFFF"/>
                <w:sz w:val="20"/>
              </w:rPr>
            </w:pPr>
            <w:r w:rsidRPr="003458B1">
              <w:rPr>
                <w:b/>
                <w:bCs/>
                <w:color w:val="FFFFFF"/>
                <w:sz w:val="20"/>
              </w:rPr>
              <w:t>Target Levels of Confidence &amp; Precision</w:t>
            </w:r>
          </w:p>
        </w:tc>
        <w:tc>
          <w:tcPr>
            <w:tcW w:w="1262" w:type="dxa"/>
            <w:shd w:val="clear" w:color="000000" w:fill="448A99"/>
            <w:vAlign w:val="bottom"/>
            <w:hideMark/>
          </w:tcPr>
          <w:p w:rsidR="006E720E" w:rsidRPr="003458B1" w:rsidRDefault="006E720E" w:rsidP="00380FF9">
            <w:pPr>
              <w:jc w:val="center"/>
              <w:rPr>
                <w:b/>
                <w:bCs/>
                <w:color w:val="FFFFFF"/>
                <w:sz w:val="20"/>
              </w:rPr>
            </w:pPr>
            <w:r w:rsidRPr="003458B1">
              <w:rPr>
                <w:b/>
                <w:bCs/>
                <w:color w:val="FFFFFF"/>
                <w:sz w:val="20"/>
              </w:rPr>
              <w:t>Target Sample Size</w:t>
            </w:r>
          </w:p>
        </w:tc>
        <w:tc>
          <w:tcPr>
            <w:tcW w:w="1261" w:type="dxa"/>
            <w:shd w:val="clear" w:color="000000" w:fill="448A99"/>
            <w:vAlign w:val="bottom"/>
            <w:hideMark/>
          </w:tcPr>
          <w:p w:rsidR="006E720E" w:rsidRPr="003458B1" w:rsidRDefault="006E720E" w:rsidP="00380FF9">
            <w:pPr>
              <w:jc w:val="center"/>
              <w:rPr>
                <w:b/>
                <w:bCs/>
                <w:color w:val="FFFFFF"/>
                <w:sz w:val="20"/>
              </w:rPr>
            </w:pPr>
            <w:r w:rsidRPr="003458B1">
              <w:rPr>
                <w:b/>
                <w:bCs/>
                <w:color w:val="FFFFFF"/>
                <w:sz w:val="20"/>
              </w:rPr>
              <w:t>Achieved Sample Size</w:t>
            </w:r>
          </w:p>
        </w:tc>
        <w:tc>
          <w:tcPr>
            <w:tcW w:w="1261" w:type="dxa"/>
            <w:shd w:val="clear" w:color="000000" w:fill="448A99"/>
            <w:vAlign w:val="bottom"/>
            <w:hideMark/>
          </w:tcPr>
          <w:p w:rsidR="006E720E" w:rsidRPr="003458B1" w:rsidRDefault="006E720E" w:rsidP="00380FF9">
            <w:pPr>
              <w:jc w:val="center"/>
              <w:rPr>
                <w:b/>
                <w:bCs/>
                <w:color w:val="FFFFFF"/>
                <w:sz w:val="20"/>
              </w:rPr>
            </w:pPr>
            <w:r w:rsidRPr="003458B1">
              <w:rPr>
                <w:b/>
                <w:bCs/>
                <w:color w:val="FFFFFF"/>
                <w:sz w:val="20"/>
              </w:rPr>
              <w:t>Relative Precision at 85% C.L. for Energy</w:t>
            </w:r>
          </w:p>
        </w:tc>
        <w:tc>
          <w:tcPr>
            <w:tcW w:w="1262" w:type="dxa"/>
            <w:shd w:val="clear" w:color="000000" w:fill="448A99"/>
            <w:vAlign w:val="bottom"/>
            <w:hideMark/>
          </w:tcPr>
          <w:p w:rsidR="006E720E" w:rsidRPr="003458B1" w:rsidRDefault="006E720E" w:rsidP="00380FF9">
            <w:pPr>
              <w:jc w:val="center"/>
              <w:rPr>
                <w:b/>
                <w:bCs/>
                <w:color w:val="FFFFFF"/>
                <w:sz w:val="20"/>
              </w:rPr>
            </w:pPr>
            <w:r w:rsidRPr="003458B1">
              <w:rPr>
                <w:b/>
                <w:bCs/>
                <w:color w:val="FFFFFF"/>
                <w:sz w:val="20"/>
              </w:rPr>
              <w:t>Relative Precision at 85% C.L. for Demand</w:t>
            </w:r>
          </w:p>
        </w:tc>
      </w:tr>
      <w:tr w:rsidR="00A874AC" w:rsidRPr="003458B1" w:rsidTr="00391C49">
        <w:trPr>
          <w:trHeight w:val="488"/>
        </w:trPr>
        <w:tc>
          <w:tcPr>
            <w:tcW w:w="1905" w:type="dxa"/>
            <w:shd w:val="clear" w:color="000000" w:fill="D2EAF1"/>
            <w:noWrap/>
            <w:vAlign w:val="center"/>
          </w:tcPr>
          <w:p w:rsidR="006E720E" w:rsidRPr="003458B1" w:rsidRDefault="006E720E" w:rsidP="00380FF9">
            <w:pPr>
              <w:jc w:val="left"/>
              <w:rPr>
                <w:bCs/>
                <w:color w:val="000000"/>
                <w:sz w:val="20"/>
              </w:rPr>
            </w:pPr>
            <w:r>
              <w:rPr>
                <w:sz w:val="20"/>
                <w:szCs w:val="20"/>
              </w:rPr>
              <w:t xml:space="preserve">CFL kits – </w:t>
            </w:r>
            <w:r w:rsidRPr="003458B1">
              <w:rPr>
                <w:sz w:val="20"/>
                <w:szCs w:val="20"/>
              </w:rPr>
              <w:t>1</w:t>
            </w:r>
          </w:p>
        </w:tc>
        <w:tc>
          <w:tcPr>
            <w:tcW w:w="1261"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61" w:type="dxa"/>
            <w:shd w:val="clear" w:color="000000" w:fill="D2EAF1"/>
            <w:noWrap/>
            <w:vAlign w:val="center"/>
          </w:tcPr>
          <w:p w:rsidR="006E720E" w:rsidRPr="003458B1" w:rsidRDefault="006E720E" w:rsidP="00380FF9">
            <w:pPr>
              <w:jc w:val="center"/>
              <w:rPr>
                <w:color w:val="000000"/>
                <w:sz w:val="20"/>
                <w:szCs w:val="20"/>
              </w:rPr>
            </w:pPr>
            <w:r>
              <w:rPr>
                <w:sz w:val="20"/>
                <w:szCs w:val="20"/>
              </w:rPr>
              <w:t>N/A</w:t>
            </w:r>
          </w:p>
        </w:tc>
        <w:tc>
          <w:tcPr>
            <w:tcW w:w="126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61"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61"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0.0%</w:t>
            </w:r>
          </w:p>
        </w:tc>
        <w:tc>
          <w:tcPr>
            <w:tcW w:w="126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0.0%</w:t>
            </w:r>
          </w:p>
        </w:tc>
      </w:tr>
      <w:tr w:rsidR="00E7173E" w:rsidRPr="003458B1" w:rsidTr="00591467">
        <w:trPr>
          <w:trHeight w:val="488"/>
        </w:trPr>
        <w:tc>
          <w:tcPr>
            <w:tcW w:w="1905" w:type="dxa"/>
            <w:shd w:val="clear" w:color="auto" w:fill="auto"/>
            <w:noWrap/>
            <w:vAlign w:val="center"/>
          </w:tcPr>
          <w:p w:rsidR="006E720E" w:rsidRPr="003458B1" w:rsidRDefault="006E720E" w:rsidP="00380FF9">
            <w:pPr>
              <w:jc w:val="left"/>
              <w:rPr>
                <w:bCs/>
                <w:color w:val="000000"/>
                <w:sz w:val="20"/>
              </w:rPr>
            </w:pPr>
            <w:r>
              <w:rPr>
                <w:sz w:val="20"/>
                <w:szCs w:val="20"/>
              </w:rPr>
              <w:t>Lighting – c</w:t>
            </w:r>
            <w:r w:rsidRPr="003458B1">
              <w:rPr>
                <w:sz w:val="20"/>
                <w:szCs w:val="20"/>
              </w:rPr>
              <w:t>ertainty</w:t>
            </w:r>
          </w:p>
        </w:tc>
        <w:tc>
          <w:tcPr>
            <w:tcW w:w="1261"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61" w:type="dxa"/>
            <w:shd w:val="clear" w:color="auto" w:fill="auto"/>
            <w:noWrap/>
            <w:vAlign w:val="center"/>
          </w:tcPr>
          <w:p w:rsidR="006E720E" w:rsidRPr="003458B1" w:rsidRDefault="006E720E" w:rsidP="00380FF9">
            <w:pPr>
              <w:jc w:val="center"/>
              <w:rPr>
                <w:color w:val="000000"/>
                <w:sz w:val="20"/>
                <w:szCs w:val="20"/>
              </w:rPr>
            </w:pPr>
            <w:r>
              <w:rPr>
                <w:sz w:val="20"/>
                <w:szCs w:val="20"/>
              </w:rPr>
              <w:t>N/A</w:t>
            </w:r>
          </w:p>
        </w:tc>
        <w:tc>
          <w:tcPr>
            <w:tcW w:w="126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61"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w:t>
            </w:r>
          </w:p>
        </w:tc>
        <w:tc>
          <w:tcPr>
            <w:tcW w:w="1261"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c>
          <w:tcPr>
            <w:tcW w:w="1262" w:type="dxa"/>
            <w:shd w:val="clear" w:color="auto" w:fill="auto"/>
            <w:noWrap/>
            <w:vAlign w:val="center"/>
          </w:tcPr>
          <w:p w:rsidR="006E720E" w:rsidRPr="003458B1" w:rsidRDefault="006E720E" w:rsidP="00380FF9">
            <w:pPr>
              <w:jc w:val="center"/>
              <w:rPr>
                <w:color w:val="000000"/>
                <w:sz w:val="20"/>
                <w:szCs w:val="20"/>
              </w:rPr>
            </w:pPr>
            <w:r w:rsidRPr="003458B1">
              <w:rPr>
                <w:sz w:val="20"/>
                <w:szCs w:val="20"/>
              </w:rPr>
              <w:t>0.0%</w:t>
            </w:r>
          </w:p>
        </w:tc>
      </w:tr>
      <w:tr w:rsidR="00A874AC" w:rsidRPr="003458B1" w:rsidTr="00391C49">
        <w:trPr>
          <w:trHeight w:val="488"/>
        </w:trPr>
        <w:tc>
          <w:tcPr>
            <w:tcW w:w="1905" w:type="dxa"/>
            <w:shd w:val="clear" w:color="000000" w:fill="D2EAF1"/>
            <w:noWrap/>
            <w:vAlign w:val="center"/>
          </w:tcPr>
          <w:p w:rsidR="006E720E" w:rsidRPr="003458B1" w:rsidRDefault="006E720E" w:rsidP="00380FF9">
            <w:pPr>
              <w:jc w:val="left"/>
              <w:rPr>
                <w:bCs/>
                <w:color w:val="000000"/>
                <w:sz w:val="20"/>
              </w:rPr>
            </w:pPr>
            <w:r>
              <w:rPr>
                <w:sz w:val="20"/>
                <w:szCs w:val="20"/>
              </w:rPr>
              <w:t xml:space="preserve">Lighting – </w:t>
            </w:r>
            <w:r w:rsidRPr="003458B1">
              <w:rPr>
                <w:sz w:val="20"/>
                <w:szCs w:val="20"/>
              </w:rPr>
              <w:t>2</w:t>
            </w:r>
          </w:p>
        </w:tc>
        <w:tc>
          <w:tcPr>
            <w:tcW w:w="1261"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61" w:type="dxa"/>
            <w:shd w:val="clear" w:color="000000" w:fill="D2EAF1"/>
            <w:noWrap/>
            <w:vAlign w:val="center"/>
          </w:tcPr>
          <w:p w:rsidR="006E720E" w:rsidRPr="003458B1" w:rsidRDefault="006E720E" w:rsidP="00380FF9">
            <w:pPr>
              <w:jc w:val="center"/>
              <w:rPr>
                <w:color w:val="000000"/>
                <w:sz w:val="20"/>
                <w:szCs w:val="20"/>
              </w:rPr>
            </w:pPr>
            <w:r>
              <w:rPr>
                <w:sz w:val="20"/>
                <w:szCs w:val="20"/>
              </w:rPr>
              <w:t>N/A</w:t>
            </w:r>
          </w:p>
        </w:tc>
        <w:tc>
          <w:tcPr>
            <w:tcW w:w="126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61"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w:t>
            </w:r>
          </w:p>
        </w:tc>
        <w:tc>
          <w:tcPr>
            <w:tcW w:w="1261"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0.0%</w:t>
            </w:r>
          </w:p>
        </w:tc>
        <w:tc>
          <w:tcPr>
            <w:tcW w:w="1262" w:type="dxa"/>
            <w:shd w:val="clear" w:color="000000" w:fill="D2EAF1"/>
            <w:noWrap/>
            <w:vAlign w:val="center"/>
          </w:tcPr>
          <w:p w:rsidR="006E720E" w:rsidRPr="003458B1" w:rsidRDefault="006E720E" w:rsidP="00380FF9">
            <w:pPr>
              <w:jc w:val="center"/>
              <w:rPr>
                <w:color w:val="000000"/>
                <w:sz w:val="20"/>
                <w:szCs w:val="20"/>
              </w:rPr>
            </w:pPr>
            <w:r w:rsidRPr="003458B1">
              <w:rPr>
                <w:sz w:val="20"/>
                <w:szCs w:val="20"/>
              </w:rPr>
              <w:t>0.0%</w:t>
            </w:r>
          </w:p>
        </w:tc>
      </w:tr>
      <w:tr w:rsidR="00E7173E" w:rsidRPr="003458B1" w:rsidTr="00591467">
        <w:trPr>
          <w:trHeight w:val="488"/>
        </w:trPr>
        <w:tc>
          <w:tcPr>
            <w:tcW w:w="1905" w:type="dxa"/>
            <w:shd w:val="clear" w:color="auto" w:fill="auto"/>
            <w:noWrap/>
            <w:vAlign w:val="center"/>
          </w:tcPr>
          <w:p w:rsidR="006E720E" w:rsidRPr="003458B1" w:rsidRDefault="006E720E" w:rsidP="00380FF9">
            <w:pPr>
              <w:jc w:val="left"/>
              <w:rPr>
                <w:b/>
                <w:bCs/>
                <w:iCs/>
                <w:color w:val="000000"/>
                <w:sz w:val="20"/>
              </w:rPr>
            </w:pPr>
            <w:r>
              <w:rPr>
                <w:sz w:val="20"/>
                <w:szCs w:val="20"/>
              </w:rPr>
              <w:t xml:space="preserve">Lighting – </w:t>
            </w:r>
            <w:r w:rsidRPr="003458B1">
              <w:rPr>
                <w:sz w:val="20"/>
                <w:szCs w:val="20"/>
              </w:rPr>
              <w:t>3</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3</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29.4%</w:t>
            </w:r>
          </w:p>
        </w:tc>
        <w:tc>
          <w:tcPr>
            <w:tcW w:w="126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2</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2</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29.4%</w:t>
            </w:r>
          </w:p>
        </w:tc>
        <w:tc>
          <w:tcPr>
            <w:tcW w:w="126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29.4%</w:t>
            </w:r>
          </w:p>
        </w:tc>
      </w:tr>
      <w:tr w:rsidR="00A874AC" w:rsidRPr="003458B1" w:rsidTr="00391C49">
        <w:trPr>
          <w:trHeight w:val="488"/>
        </w:trPr>
        <w:tc>
          <w:tcPr>
            <w:tcW w:w="1905" w:type="dxa"/>
            <w:shd w:val="clear" w:color="auto" w:fill="D2EAF1"/>
            <w:noWrap/>
            <w:vAlign w:val="center"/>
          </w:tcPr>
          <w:p w:rsidR="006E720E" w:rsidRPr="003458B1" w:rsidRDefault="006E720E" w:rsidP="00380FF9">
            <w:pPr>
              <w:jc w:val="left"/>
              <w:rPr>
                <w:b/>
                <w:bCs/>
                <w:iCs/>
                <w:color w:val="000000"/>
                <w:sz w:val="20"/>
              </w:rPr>
            </w:pPr>
            <w:r>
              <w:rPr>
                <w:sz w:val="20"/>
                <w:szCs w:val="20"/>
              </w:rPr>
              <w:t xml:space="preserve">Lighting – </w:t>
            </w:r>
            <w:r w:rsidRPr="003458B1">
              <w:rPr>
                <w:sz w:val="20"/>
                <w:szCs w:val="20"/>
              </w:rPr>
              <w:t>4</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6</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29.4%</w:t>
            </w:r>
          </w:p>
        </w:tc>
        <w:tc>
          <w:tcPr>
            <w:tcW w:w="1262"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3</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4</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20.8%</w:t>
            </w:r>
          </w:p>
        </w:tc>
        <w:tc>
          <w:tcPr>
            <w:tcW w:w="1262"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20.8%</w:t>
            </w:r>
          </w:p>
        </w:tc>
      </w:tr>
      <w:tr w:rsidR="00E7173E" w:rsidRPr="003458B1" w:rsidTr="00591467">
        <w:trPr>
          <w:trHeight w:val="488"/>
        </w:trPr>
        <w:tc>
          <w:tcPr>
            <w:tcW w:w="1905" w:type="dxa"/>
            <w:shd w:val="clear" w:color="auto" w:fill="auto"/>
            <w:noWrap/>
            <w:vAlign w:val="center"/>
          </w:tcPr>
          <w:p w:rsidR="006E720E" w:rsidRPr="003458B1" w:rsidRDefault="006E720E" w:rsidP="00380FF9">
            <w:pPr>
              <w:jc w:val="left"/>
              <w:rPr>
                <w:b/>
                <w:bCs/>
                <w:iCs/>
                <w:color w:val="000000"/>
                <w:sz w:val="20"/>
              </w:rPr>
            </w:pPr>
            <w:r>
              <w:rPr>
                <w:sz w:val="20"/>
                <w:szCs w:val="20"/>
              </w:rPr>
              <w:t>Custom – c</w:t>
            </w:r>
            <w:r w:rsidRPr="003458B1">
              <w:rPr>
                <w:sz w:val="20"/>
                <w:szCs w:val="20"/>
              </w:rPr>
              <w:t>ertainty</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auto"/>
            <w:noWrap/>
            <w:vAlign w:val="center"/>
          </w:tcPr>
          <w:p w:rsidR="006E720E" w:rsidRPr="003458B1" w:rsidRDefault="006E720E" w:rsidP="00380FF9">
            <w:pPr>
              <w:jc w:val="center"/>
              <w:rPr>
                <w:b/>
                <w:bCs/>
                <w:color w:val="000000"/>
                <w:sz w:val="20"/>
                <w:szCs w:val="20"/>
              </w:rPr>
            </w:pPr>
            <w:r>
              <w:rPr>
                <w:sz w:val="20"/>
                <w:szCs w:val="20"/>
              </w:rPr>
              <w:t>N/A</w:t>
            </w:r>
          </w:p>
        </w:tc>
        <w:tc>
          <w:tcPr>
            <w:tcW w:w="126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26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r>
      <w:tr w:rsidR="00A874AC" w:rsidRPr="003458B1" w:rsidTr="00391C49">
        <w:trPr>
          <w:trHeight w:val="488"/>
        </w:trPr>
        <w:tc>
          <w:tcPr>
            <w:tcW w:w="1905" w:type="dxa"/>
            <w:shd w:val="clear" w:color="auto" w:fill="D2EAF1"/>
            <w:noWrap/>
            <w:vAlign w:val="center"/>
          </w:tcPr>
          <w:p w:rsidR="006E720E" w:rsidRPr="003458B1" w:rsidRDefault="006E720E" w:rsidP="00380FF9">
            <w:pPr>
              <w:jc w:val="left"/>
              <w:rPr>
                <w:b/>
                <w:bCs/>
                <w:iCs/>
                <w:color w:val="000000"/>
                <w:sz w:val="20"/>
              </w:rPr>
            </w:pPr>
            <w:r w:rsidRPr="003458B1">
              <w:rPr>
                <w:sz w:val="20"/>
                <w:szCs w:val="20"/>
              </w:rPr>
              <w:t>Custo</w:t>
            </w:r>
            <w:r>
              <w:rPr>
                <w:sz w:val="20"/>
                <w:szCs w:val="20"/>
              </w:rPr>
              <w:t xml:space="preserve">m – </w:t>
            </w:r>
            <w:r w:rsidRPr="003458B1">
              <w:rPr>
                <w:sz w:val="20"/>
                <w:szCs w:val="20"/>
              </w:rPr>
              <w:t>2</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D2EAF1"/>
            <w:noWrap/>
            <w:vAlign w:val="center"/>
          </w:tcPr>
          <w:p w:rsidR="006E720E" w:rsidRPr="003458B1" w:rsidRDefault="006E720E" w:rsidP="00380FF9">
            <w:pPr>
              <w:jc w:val="center"/>
              <w:rPr>
                <w:b/>
                <w:bCs/>
                <w:color w:val="000000"/>
                <w:sz w:val="20"/>
                <w:szCs w:val="20"/>
              </w:rPr>
            </w:pPr>
            <w:r>
              <w:rPr>
                <w:sz w:val="20"/>
                <w:szCs w:val="20"/>
              </w:rPr>
              <w:t>N/A</w:t>
            </w:r>
          </w:p>
        </w:tc>
        <w:tc>
          <w:tcPr>
            <w:tcW w:w="1262"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262"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r>
      <w:tr w:rsidR="00E7173E" w:rsidRPr="003458B1" w:rsidTr="00591467">
        <w:trPr>
          <w:trHeight w:val="488"/>
        </w:trPr>
        <w:tc>
          <w:tcPr>
            <w:tcW w:w="1905" w:type="dxa"/>
            <w:shd w:val="clear" w:color="auto" w:fill="auto"/>
            <w:noWrap/>
            <w:vAlign w:val="center"/>
          </w:tcPr>
          <w:p w:rsidR="006E720E" w:rsidRPr="003458B1" w:rsidRDefault="006E720E" w:rsidP="00380FF9">
            <w:pPr>
              <w:jc w:val="left"/>
              <w:rPr>
                <w:b/>
                <w:bCs/>
                <w:iCs/>
                <w:color w:val="000000"/>
                <w:sz w:val="20"/>
              </w:rPr>
            </w:pPr>
            <w:r>
              <w:rPr>
                <w:sz w:val="20"/>
                <w:szCs w:val="20"/>
              </w:rPr>
              <w:t xml:space="preserve">Custom – </w:t>
            </w:r>
            <w:r w:rsidRPr="003458B1">
              <w:rPr>
                <w:sz w:val="20"/>
                <w:szCs w:val="20"/>
              </w:rPr>
              <w:t>3</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8</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14.7%</w:t>
            </w:r>
          </w:p>
        </w:tc>
        <w:tc>
          <w:tcPr>
            <w:tcW w:w="126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6</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6</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14.7%</w:t>
            </w:r>
          </w:p>
        </w:tc>
        <w:tc>
          <w:tcPr>
            <w:tcW w:w="126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14.7%</w:t>
            </w:r>
          </w:p>
        </w:tc>
      </w:tr>
      <w:tr w:rsidR="00A874AC" w:rsidRPr="003458B1" w:rsidTr="00391C49">
        <w:trPr>
          <w:trHeight w:val="488"/>
        </w:trPr>
        <w:tc>
          <w:tcPr>
            <w:tcW w:w="1905" w:type="dxa"/>
            <w:shd w:val="clear" w:color="auto" w:fill="D2EAF1"/>
            <w:noWrap/>
            <w:vAlign w:val="center"/>
          </w:tcPr>
          <w:p w:rsidR="006E720E" w:rsidRPr="003458B1" w:rsidRDefault="006E720E" w:rsidP="00380FF9">
            <w:pPr>
              <w:jc w:val="left"/>
              <w:rPr>
                <w:b/>
                <w:bCs/>
                <w:iCs/>
                <w:color w:val="000000"/>
                <w:sz w:val="20"/>
              </w:rPr>
            </w:pPr>
            <w:r>
              <w:rPr>
                <w:sz w:val="20"/>
                <w:szCs w:val="20"/>
              </w:rPr>
              <w:t xml:space="preserve">HVAC and DHW – </w:t>
            </w:r>
            <w:r w:rsidRPr="003458B1">
              <w:rPr>
                <w:sz w:val="20"/>
                <w:szCs w:val="20"/>
              </w:rPr>
              <w:t>1</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D2EAF1"/>
            <w:noWrap/>
            <w:vAlign w:val="center"/>
          </w:tcPr>
          <w:p w:rsidR="006E720E" w:rsidRPr="003458B1" w:rsidRDefault="006E720E" w:rsidP="00380FF9">
            <w:pPr>
              <w:jc w:val="center"/>
              <w:rPr>
                <w:b/>
                <w:bCs/>
                <w:color w:val="000000"/>
                <w:sz w:val="20"/>
                <w:szCs w:val="20"/>
              </w:rPr>
            </w:pPr>
            <w:r>
              <w:rPr>
                <w:sz w:val="20"/>
                <w:szCs w:val="20"/>
              </w:rPr>
              <w:t>N/A</w:t>
            </w:r>
          </w:p>
        </w:tc>
        <w:tc>
          <w:tcPr>
            <w:tcW w:w="1262"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262"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r>
      <w:tr w:rsidR="00E7173E" w:rsidRPr="003458B1" w:rsidTr="00591467">
        <w:trPr>
          <w:trHeight w:val="488"/>
        </w:trPr>
        <w:tc>
          <w:tcPr>
            <w:tcW w:w="1905" w:type="dxa"/>
            <w:shd w:val="clear" w:color="auto" w:fill="auto"/>
            <w:noWrap/>
            <w:vAlign w:val="center"/>
          </w:tcPr>
          <w:p w:rsidR="006E720E" w:rsidRPr="003458B1" w:rsidRDefault="006E720E" w:rsidP="00380FF9">
            <w:pPr>
              <w:jc w:val="left"/>
              <w:rPr>
                <w:b/>
                <w:bCs/>
                <w:iCs/>
                <w:color w:val="000000"/>
                <w:sz w:val="20"/>
              </w:rPr>
            </w:pPr>
            <w:r>
              <w:rPr>
                <w:sz w:val="20"/>
                <w:szCs w:val="20"/>
              </w:rPr>
              <w:t xml:space="preserve">HVAC and DHW – </w:t>
            </w:r>
            <w:r w:rsidRPr="003458B1">
              <w:rPr>
                <w:sz w:val="20"/>
                <w:szCs w:val="20"/>
              </w:rPr>
              <w:t>2</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auto"/>
            <w:noWrap/>
            <w:vAlign w:val="center"/>
          </w:tcPr>
          <w:p w:rsidR="006E720E" w:rsidRPr="003458B1" w:rsidRDefault="006E720E" w:rsidP="00380FF9">
            <w:pPr>
              <w:jc w:val="center"/>
              <w:rPr>
                <w:b/>
                <w:bCs/>
                <w:color w:val="000000"/>
                <w:sz w:val="20"/>
                <w:szCs w:val="20"/>
              </w:rPr>
            </w:pPr>
            <w:r>
              <w:rPr>
                <w:sz w:val="20"/>
                <w:szCs w:val="20"/>
              </w:rPr>
              <w:t>N/A</w:t>
            </w:r>
          </w:p>
        </w:tc>
        <w:tc>
          <w:tcPr>
            <w:tcW w:w="126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26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r>
      <w:tr w:rsidR="00A874AC" w:rsidRPr="003458B1" w:rsidTr="00391C49">
        <w:trPr>
          <w:trHeight w:val="488"/>
        </w:trPr>
        <w:tc>
          <w:tcPr>
            <w:tcW w:w="1905" w:type="dxa"/>
            <w:shd w:val="clear" w:color="auto" w:fill="D2EAF1"/>
            <w:noWrap/>
            <w:vAlign w:val="center"/>
          </w:tcPr>
          <w:p w:rsidR="006E720E" w:rsidRPr="003458B1" w:rsidRDefault="006E720E" w:rsidP="00380FF9">
            <w:pPr>
              <w:jc w:val="left"/>
              <w:rPr>
                <w:b/>
                <w:bCs/>
                <w:iCs/>
                <w:color w:val="000000"/>
                <w:sz w:val="20"/>
              </w:rPr>
            </w:pPr>
            <w:r>
              <w:rPr>
                <w:sz w:val="20"/>
                <w:szCs w:val="20"/>
              </w:rPr>
              <w:t xml:space="preserve">Appliance Turn-In – </w:t>
            </w:r>
            <w:r w:rsidRPr="003458B1">
              <w:rPr>
                <w:sz w:val="20"/>
                <w:szCs w:val="20"/>
              </w:rPr>
              <w:t>1</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D2EAF1"/>
            <w:noWrap/>
            <w:vAlign w:val="center"/>
          </w:tcPr>
          <w:p w:rsidR="006E720E" w:rsidRPr="003458B1" w:rsidRDefault="006E720E" w:rsidP="00380FF9">
            <w:pPr>
              <w:jc w:val="center"/>
              <w:rPr>
                <w:b/>
                <w:bCs/>
                <w:color w:val="000000"/>
                <w:sz w:val="20"/>
                <w:szCs w:val="20"/>
              </w:rPr>
            </w:pPr>
            <w:r>
              <w:rPr>
                <w:sz w:val="20"/>
                <w:szCs w:val="20"/>
              </w:rPr>
              <w:t>N/A</w:t>
            </w:r>
          </w:p>
        </w:tc>
        <w:tc>
          <w:tcPr>
            <w:tcW w:w="1262"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262" w:type="dxa"/>
            <w:shd w:val="clear" w:color="auto" w:fill="D2EAF1"/>
            <w:noWrap/>
            <w:vAlign w:val="center"/>
          </w:tcPr>
          <w:p w:rsidR="006E720E" w:rsidRPr="003458B1" w:rsidRDefault="006E720E" w:rsidP="00380FF9">
            <w:pPr>
              <w:jc w:val="center"/>
              <w:rPr>
                <w:b/>
                <w:bCs/>
                <w:color w:val="000000"/>
                <w:sz w:val="20"/>
                <w:szCs w:val="20"/>
              </w:rPr>
            </w:pPr>
            <w:r w:rsidRPr="003458B1">
              <w:rPr>
                <w:sz w:val="20"/>
                <w:szCs w:val="20"/>
              </w:rPr>
              <w:t>0.0%</w:t>
            </w:r>
          </w:p>
        </w:tc>
      </w:tr>
      <w:tr w:rsidR="00E7173E" w:rsidRPr="003458B1" w:rsidTr="00591467">
        <w:trPr>
          <w:trHeight w:val="488"/>
        </w:trPr>
        <w:tc>
          <w:tcPr>
            <w:tcW w:w="1905" w:type="dxa"/>
            <w:shd w:val="clear" w:color="auto" w:fill="auto"/>
            <w:noWrap/>
            <w:vAlign w:val="center"/>
          </w:tcPr>
          <w:p w:rsidR="006E720E" w:rsidRPr="003458B1" w:rsidRDefault="006E720E" w:rsidP="00380FF9">
            <w:pPr>
              <w:jc w:val="left"/>
              <w:rPr>
                <w:b/>
                <w:bCs/>
                <w:iCs/>
                <w:color w:val="000000"/>
                <w:sz w:val="20"/>
              </w:rPr>
            </w:pPr>
            <w:r>
              <w:rPr>
                <w:sz w:val="20"/>
                <w:szCs w:val="20"/>
              </w:rPr>
              <w:t xml:space="preserve">Kitchen/appliances – </w:t>
            </w:r>
            <w:r w:rsidRPr="003458B1">
              <w:rPr>
                <w:sz w:val="20"/>
                <w:szCs w:val="20"/>
              </w:rPr>
              <w:t>1</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auto"/>
            <w:noWrap/>
            <w:vAlign w:val="center"/>
          </w:tcPr>
          <w:p w:rsidR="006E720E" w:rsidRPr="003458B1" w:rsidRDefault="006E720E" w:rsidP="00380FF9">
            <w:pPr>
              <w:jc w:val="center"/>
              <w:rPr>
                <w:b/>
                <w:bCs/>
                <w:color w:val="000000"/>
                <w:sz w:val="20"/>
                <w:szCs w:val="20"/>
              </w:rPr>
            </w:pPr>
            <w:r>
              <w:rPr>
                <w:sz w:val="20"/>
                <w:szCs w:val="20"/>
              </w:rPr>
              <w:t>N/A</w:t>
            </w:r>
          </w:p>
        </w:tc>
        <w:tc>
          <w:tcPr>
            <w:tcW w:w="126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w:t>
            </w:r>
          </w:p>
        </w:tc>
        <w:tc>
          <w:tcPr>
            <w:tcW w:w="1261"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c>
          <w:tcPr>
            <w:tcW w:w="1262" w:type="dxa"/>
            <w:shd w:val="clear" w:color="auto" w:fill="auto"/>
            <w:noWrap/>
            <w:vAlign w:val="center"/>
          </w:tcPr>
          <w:p w:rsidR="006E720E" w:rsidRPr="003458B1" w:rsidRDefault="006E720E" w:rsidP="00380FF9">
            <w:pPr>
              <w:jc w:val="center"/>
              <w:rPr>
                <w:b/>
                <w:bCs/>
                <w:color w:val="000000"/>
                <w:sz w:val="20"/>
                <w:szCs w:val="20"/>
              </w:rPr>
            </w:pPr>
            <w:r w:rsidRPr="003458B1">
              <w:rPr>
                <w:sz w:val="20"/>
                <w:szCs w:val="20"/>
              </w:rPr>
              <w:t>0.0%</w:t>
            </w:r>
          </w:p>
        </w:tc>
      </w:tr>
      <w:tr w:rsidR="00A874AC" w:rsidRPr="003458B1" w:rsidTr="00391C49">
        <w:trPr>
          <w:trHeight w:val="489"/>
        </w:trPr>
        <w:tc>
          <w:tcPr>
            <w:tcW w:w="1905" w:type="dxa"/>
            <w:shd w:val="clear" w:color="auto" w:fill="D2EAF1"/>
            <w:noWrap/>
            <w:vAlign w:val="center"/>
          </w:tcPr>
          <w:p w:rsidR="006E720E" w:rsidRPr="003458B1" w:rsidRDefault="006E720E" w:rsidP="00380FF9">
            <w:pPr>
              <w:jc w:val="left"/>
              <w:rPr>
                <w:b/>
                <w:bCs/>
                <w:iCs/>
                <w:color w:val="000000"/>
                <w:sz w:val="20"/>
              </w:rPr>
            </w:pPr>
            <w:r w:rsidRPr="003458B1">
              <w:rPr>
                <w:b/>
                <w:sz w:val="20"/>
                <w:szCs w:val="20"/>
              </w:rPr>
              <w:t>Program Total</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b/>
                <w:sz w:val="20"/>
                <w:szCs w:val="20"/>
              </w:rPr>
              <w:t>17</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b/>
                <w:sz w:val="20"/>
                <w:szCs w:val="20"/>
              </w:rPr>
              <w:t>12.8%</w:t>
            </w:r>
          </w:p>
        </w:tc>
        <w:tc>
          <w:tcPr>
            <w:tcW w:w="1262" w:type="dxa"/>
            <w:shd w:val="clear" w:color="auto" w:fill="D2EAF1"/>
            <w:noWrap/>
            <w:vAlign w:val="center"/>
          </w:tcPr>
          <w:p w:rsidR="006E720E" w:rsidRPr="003458B1" w:rsidRDefault="006E720E" w:rsidP="00380FF9">
            <w:pPr>
              <w:jc w:val="center"/>
              <w:rPr>
                <w:b/>
                <w:bCs/>
                <w:color w:val="000000"/>
                <w:sz w:val="20"/>
                <w:szCs w:val="20"/>
              </w:rPr>
            </w:pPr>
            <w:r w:rsidRPr="003458B1">
              <w:rPr>
                <w:b/>
                <w:sz w:val="20"/>
                <w:szCs w:val="20"/>
              </w:rPr>
              <w:t>11</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b/>
                <w:sz w:val="20"/>
                <w:szCs w:val="20"/>
              </w:rPr>
              <w:t>12</w:t>
            </w:r>
          </w:p>
        </w:tc>
        <w:tc>
          <w:tcPr>
            <w:tcW w:w="1261" w:type="dxa"/>
            <w:shd w:val="clear" w:color="auto" w:fill="D2EAF1"/>
            <w:noWrap/>
            <w:vAlign w:val="center"/>
          </w:tcPr>
          <w:p w:rsidR="006E720E" w:rsidRPr="003458B1" w:rsidRDefault="006E720E" w:rsidP="00380FF9">
            <w:pPr>
              <w:jc w:val="center"/>
              <w:rPr>
                <w:b/>
                <w:bCs/>
                <w:color w:val="000000"/>
                <w:sz w:val="20"/>
                <w:szCs w:val="20"/>
              </w:rPr>
            </w:pPr>
            <w:r w:rsidRPr="003458B1">
              <w:rPr>
                <w:b/>
                <w:sz w:val="20"/>
                <w:szCs w:val="20"/>
              </w:rPr>
              <w:t>11.1%</w:t>
            </w:r>
          </w:p>
        </w:tc>
        <w:tc>
          <w:tcPr>
            <w:tcW w:w="1262" w:type="dxa"/>
            <w:shd w:val="clear" w:color="auto" w:fill="D2EAF1"/>
            <w:noWrap/>
            <w:vAlign w:val="center"/>
          </w:tcPr>
          <w:p w:rsidR="006E720E" w:rsidRPr="003458B1" w:rsidRDefault="006E720E" w:rsidP="00380FF9">
            <w:pPr>
              <w:jc w:val="center"/>
              <w:rPr>
                <w:b/>
                <w:bCs/>
                <w:color w:val="000000"/>
                <w:sz w:val="20"/>
                <w:szCs w:val="20"/>
              </w:rPr>
            </w:pPr>
            <w:r w:rsidRPr="003458B1">
              <w:rPr>
                <w:b/>
                <w:sz w:val="20"/>
                <w:szCs w:val="20"/>
              </w:rPr>
              <w:t>11.3%</w:t>
            </w:r>
          </w:p>
        </w:tc>
      </w:tr>
    </w:tbl>
    <w:p w:rsidR="006E720E" w:rsidRPr="003458B1" w:rsidRDefault="006E720E" w:rsidP="006E720E"/>
    <w:p w:rsidR="006E720E" w:rsidRPr="003B2BD3" w:rsidRDefault="006E720E" w:rsidP="006E720E">
      <w:pPr>
        <w:pStyle w:val="AppendixAHeading4"/>
        <w:rPr>
          <w:rFonts w:eastAsia="Calibri"/>
        </w:rPr>
      </w:pPr>
      <w:bookmarkStart w:id="757" w:name="_Ref408508301"/>
      <w:bookmarkStart w:id="758" w:name="_Toc408557486"/>
      <w:r w:rsidRPr="003B2BD3">
        <w:rPr>
          <w:rFonts w:eastAsia="Calibri"/>
        </w:rPr>
        <w:t>Ride-Along Site Inspections</w:t>
      </w:r>
      <w:bookmarkEnd w:id="757"/>
      <w:bookmarkEnd w:id="758"/>
    </w:p>
    <w:p w:rsidR="006E720E" w:rsidRPr="003B2BD3" w:rsidRDefault="009B32AB" w:rsidP="006E720E">
      <w:pPr>
        <w:spacing w:after="120"/>
      </w:pPr>
      <w:r>
        <w:rPr>
          <w:highlight w:val="yellow"/>
        </w:rPr>
        <w:fldChar w:fldCharType="begin"/>
      </w:r>
      <w:r>
        <w:instrText xml:space="preserve"> REF _Ref472467241 \h </w:instrText>
      </w:r>
      <w:r>
        <w:rPr>
          <w:highlight w:val="yellow"/>
        </w:rPr>
      </w:r>
      <w:r>
        <w:rPr>
          <w:highlight w:val="yellow"/>
        </w:rPr>
        <w:fldChar w:fldCharType="separate"/>
      </w:r>
      <w:r w:rsidR="00A874AC" w:rsidRPr="009B32AB">
        <w:t>Table A-</w:t>
      </w:r>
      <w:r w:rsidR="00A874AC">
        <w:rPr>
          <w:noProof/>
        </w:rPr>
        <w:t>42</w:t>
      </w:r>
      <w:r>
        <w:rPr>
          <w:highlight w:val="yellow"/>
        </w:rPr>
        <w:fldChar w:fldCharType="end"/>
      </w:r>
      <w:r w:rsidR="006E720E" w:rsidRPr="003B2BD3">
        <w:t xml:space="preserve"> summarizes the SWE Team’s PY7 ride-along site inspections of Met-Ed’s non-residential project installations. </w:t>
      </w:r>
      <w:r w:rsidR="00AF2C58">
        <w:t>For PY7, all Met</w:t>
      </w:r>
      <w:r w:rsidR="006E720E" w:rsidRPr="003B2BD3">
        <w:t xml:space="preserve">-Ed PY7 site inspection findings are categorized </w:t>
      </w:r>
      <w:r w:rsidR="00AF2C58">
        <w:t>as</w:t>
      </w:r>
      <w:r w:rsidR="006E720E" w:rsidRPr="003B2BD3">
        <w:t xml:space="preserve">: </w:t>
      </w:r>
    </w:p>
    <w:p w:rsidR="006E720E" w:rsidRPr="003B2BD3" w:rsidRDefault="006E720E" w:rsidP="00E646C9">
      <w:pPr>
        <w:keepNext/>
        <w:numPr>
          <w:ilvl w:val="0"/>
          <w:numId w:val="33"/>
        </w:numPr>
        <w:autoSpaceDE w:val="0"/>
        <w:autoSpaceDN w:val="0"/>
        <w:adjustRightInd w:val="0"/>
        <w:spacing w:after="120"/>
        <w:ind w:left="360"/>
        <w:rPr>
          <w:rFonts w:ascii="Century Gothic" w:hAnsi="Century Gothic"/>
          <w:b/>
          <w:bCs/>
          <w:sz w:val="18"/>
          <w:szCs w:val="18"/>
        </w:rPr>
      </w:pPr>
      <w:r w:rsidRPr="003B2BD3">
        <w:rPr>
          <w:rFonts w:cs="Calibri"/>
          <w:color w:val="000000"/>
          <w:szCs w:val="20"/>
        </w:rPr>
        <w:t>Evaluation (Eval) findings are associated with ride-along site inspections and may reflect site activities or evaluation contractor savings calculations or reports.</w:t>
      </w:r>
    </w:p>
    <w:p w:rsidR="00117CF7" w:rsidRDefault="00117CF7" w:rsidP="00117CF7">
      <w:pPr>
        <w:keepNext/>
        <w:autoSpaceDE w:val="0"/>
        <w:autoSpaceDN w:val="0"/>
        <w:adjustRightInd w:val="0"/>
        <w:rPr>
          <w:color w:val="000000"/>
        </w:rPr>
      </w:pPr>
    </w:p>
    <w:p w:rsidR="009B32AB" w:rsidRDefault="009B32AB" w:rsidP="00117CF7">
      <w:pPr>
        <w:keepNext/>
        <w:autoSpaceDE w:val="0"/>
        <w:autoSpaceDN w:val="0"/>
        <w:adjustRightInd w:val="0"/>
        <w:rPr>
          <w:color w:val="000000"/>
        </w:rPr>
        <w:sectPr w:rsidR="009B32AB" w:rsidSect="00391C49">
          <w:headerReference w:type="default" r:id="rId113"/>
          <w:footerReference w:type="default" r:id="rId114"/>
          <w:headerReference w:type="first" r:id="rId115"/>
          <w:footerReference w:type="first" r:id="rId116"/>
          <w:pgSz w:w="12240" w:h="15840"/>
          <w:pgMar w:top="1440" w:right="1440" w:bottom="1440" w:left="1440" w:header="720" w:footer="288" w:gutter="0"/>
          <w:pgNumType w:chapStyle="6"/>
          <w:cols w:space="720"/>
          <w:titlePg/>
          <w:docGrid w:linePitch="360"/>
        </w:sectPr>
      </w:pPr>
    </w:p>
    <w:p w:rsidR="009B32AB" w:rsidRDefault="009B32AB" w:rsidP="009B32AB">
      <w:pPr>
        <w:pStyle w:val="Caption"/>
      </w:pPr>
      <w:r>
        <w:rPr>
          <w:color w:val="000000"/>
        </w:rPr>
        <w:lastRenderedPageBreak/>
        <w:tab/>
      </w:r>
      <w:bookmarkStart w:id="759" w:name="_Ref472467241"/>
      <w:bookmarkStart w:id="760" w:name="_Toc472472451"/>
      <w:bookmarkStart w:id="761" w:name="_Toc476842157"/>
      <w:r w:rsidRPr="009B32AB">
        <w:t>Table A-</w:t>
      </w:r>
      <w:fldSimple w:instr=" SEQ Table_A- \* ARABIC ">
        <w:r w:rsidR="00C301D0">
          <w:rPr>
            <w:noProof/>
          </w:rPr>
          <w:t>42</w:t>
        </w:r>
      </w:fldSimple>
      <w:bookmarkEnd w:id="759"/>
      <w:r w:rsidRPr="009B32AB">
        <w:t>: Met-Ed’s PY7 Non-Residential Site Inspection Findings</w:t>
      </w:r>
      <w:bookmarkEnd w:id="760"/>
      <w:bookmarkEnd w:id="761"/>
    </w:p>
    <w:tbl>
      <w:tblPr>
        <w:tblStyle w:val="MediumShading1-Accent51"/>
        <w:tblW w:w="13050" w:type="dxa"/>
        <w:tblInd w:w="1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340"/>
        <w:gridCol w:w="1412"/>
        <w:gridCol w:w="4168"/>
        <w:gridCol w:w="859"/>
        <w:gridCol w:w="5271"/>
      </w:tblGrid>
      <w:tr w:rsidR="00A874AC" w:rsidRPr="00391C49" w:rsidTr="005C3E6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40"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9B32AB" w:rsidRPr="00391C49" w:rsidRDefault="009B32AB" w:rsidP="00391C49">
            <w:pPr>
              <w:rPr>
                <w:bCs w:val="0"/>
                <w:sz w:val="20"/>
                <w:szCs w:val="20"/>
              </w:rPr>
            </w:pPr>
            <w:r w:rsidRPr="00391C49">
              <w:rPr>
                <w:bCs w:val="0"/>
                <w:sz w:val="20"/>
                <w:szCs w:val="20"/>
              </w:rPr>
              <w:t>Project ID</w:t>
            </w:r>
          </w:p>
        </w:tc>
        <w:tc>
          <w:tcPr>
            <w:tcW w:w="1412"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9B32AB" w:rsidRPr="00391C49" w:rsidRDefault="009B32AB" w:rsidP="00391C49">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391C49">
              <w:rPr>
                <w:bCs w:val="0"/>
                <w:sz w:val="20"/>
                <w:szCs w:val="20"/>
              </w:rPr>
              <w:t>Technology</w:t>
            </w:r>
          </w:p>
        </w:tc>
        <w:tc>
          <w:tcPr>
            <w:tcW w:w="4168"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9B32AB" w:rsidRPr="00391C49" w:rsidRDefault="009B32AB" w:rsidP="00391C49">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391C49">
              <w:rPr>
                <w:bCs w:val="0"/>
                <w:sz w:val="20"/>
                <w:szCs w:val="20"/>
              </w:rPr>
              <w:t>Finding</w:t>
            </w:r>
          </w:p>
        </w:tc>
        <w:tc>
          <w:tcPr>
            <w:tcW w:w="859"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9B32AB" w:rsidRPr="00391C49" w:rsidRDefault="009B32AB" w:rsidP="00391C49">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391C49">
              <w:rPr>
                <w:bCs w:val="0"/>
                <w:sz w:val="20"/>
                <w:szCs w:val="20"/>
              </w:rPr>
              <w:t>Finding Type</w:t>
            </w:r>
          </w:p>
        </w:tc>
        <w:tc>
          <w:tcPr>
            <w:tcW w:w="5271" w:type="dxa"/>
            <w:tcBorders>
              <w:top w:val="none" w:sz="0" w:space="0" w:color="auto"/>
              <w:left w:val="none" w:sz="0" w:space="0" w:color="auto"/>
              <w:bottom w:val="none" w:sz="0" w:space="0" w:color="auto"/>
              <w:right w:val="none" w:sz="0" w:space="0" w:color="auto"/>
            </w:tcBorders>
            <w:shd w:val="clear" w:color="auto" w:fill="448A99"/>
            <w:noWrap/>
            <w:vAlign w:val="bottom"/>
            <w:hideMark/>
          </w:tcPr>
          <w:p w:rsidR="009B32AB" w:rsidRPr="00391C49" w:rsidRDefault="009B32AB" w:rsidP="00391C49">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391C49">
              <w:rPr>
                <w:bCs w:val="0"/>
                <w:sz w:val="20"/>
                <w:szCs w:val="20"/>
              </w:rPr>
              <w:t>Resolution</w:t>
            </w:r>
          </w:p>
        </w:tc>
      </w:tr>
      <w:tr w:rsidR="00A874AC" w:rsidRPr="004B56B4" w:rsidTr="005C3E63">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t>PRJ-475458</w:t>
            </w:r>
          </w:p>
        </w:tc>
        <w:tc>
          <w:tcPr>
            <w:tcW w:w="1412" w:type="dxa"/>
            <w:tcBorders>
              <w:left w:val="none" w:sz="0" w:space="0" w:color="auto"/>
              <w:right w:val="none" w:sz="0" w:space="0" w:color="auto"/>
            </w:tcBorders>
            <w:noWrap/>
          </w:tcPr>
          <w:p w:rsidR="009B32AB" w:rsidRPr="00735D7D"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5D7D">
              <w:rPr>
                <w:sz w:val="20"/>
                <w:szCs w:val="20"/>
              </w:rPr>
              <w:t>Lighting (refrigerated)</w:t>
            </w:r>
          </w:p>
        </w:tc>
        <w:tc>
          <w:tcPr>
            <w:tcW w:w="4168" w:type="dxa"/>
            <w:tcBorders>
              <w:left w:val="none" w:sz="0" w:space="0" w:color="auto"/>
              <w:right w:val="none" w:sz="0" w:space="0" w:color="auto"/>
            </w:tcBorders>
            <w:noWrap/>
          </w:tcPr>
          <w:p w:rsidR="009B32AB" w:rsidRPr="00185E94"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5E94">
              <w:rPr>
                <w:sz w:val="20"/>
                <w:szCs w:val="20"/>
              </w:rPr>
              <w:t xml:space="preserve">The SWE Team found that the </w:t>
            </w:r>
            <w:r>
              <w:rPr>
                <w:sz w:val="20"/>
                <w:szCs w:val="20"/>
              </w:rPr>
              <w:t>evaluation contractor’s</w:t>
            </w:r>
            <w:r w:rsidRPr="00185E94">
              <w:rPr>
                <w:sz w:val="20"/>
                <w:szCs w:val="20"/>
              </w:rPr>
              <w:t xml:space="preserve"> review of the project is accurate.</w:t>
            </w:r>
          </w:p>
        </w:tc>
        <w:tc>
          <w:tcPr>
            <w:tcW w:w="859" w:type="dxa"/>
            <w:tcBorders>
              <w:left w:val="none" w:sz="0" w:space="0" w:color="auto"/>
              <w:right w:val="none" w:sz="0" w:space="0" w:color="auto"/>
            </w:tcBorders>
            <w:noWrap/>
          </w:tcPr>
          <w:p w:rsidR="009B32AB" w:rsidRPr="00185E94"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5E94">
              <w:rPr>
                <w:sz w:val="20"/>
                <w:szCs w:val="20"/>
              </w:rPr>
              <w:t>Eval</w:t>
            </w:r>
          </w:p>
        </w:tc>
        <w:tc>
          <w:tcPr>
            <w:tcW w:w="5271" w:type="dxa"/>
            <w:tcBorders>
              <w:left w:val="none" w:sz="0" w:space="0" w:color="auto"/>
            </w:tcBorders>
            <w:noWrap/>
          </w:tcPr>
          <w:p w:rsidR="009B32AB" w:rsidRPr="00185E94"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5E94">
              <w:rPr>
                <w:sz w:val="20"/>
                <w:szCs w:val="20"/>
              </w:rPr>
              <w:t>The SWE Team had no recommendations based on its review of this project.</w:t>
            </w:r>
          </w:p>
        </w:tc>
      </w:tr>
      <w:tr w:rsidR="00E7173E" w:rsidRPr="004B56B4" w:rsidTr="005C3E63">
        <w:trPr>
          <w:cnfStyle w:val="000000010000" w:firstRow="0" w:lastRow="0" w:firstColumn="0" w:lastColumn="0" w:oddVBand="0" w:evenVBand="0" w:oddHBand="0" w:evenHBand="1"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t>PRJ-372852</w:t>
            </w:r>
          </w:p>
        </w:tc>
        <w:tc>
          <w:tcPr>
            <w:tcW w:w="1412" w:type="dxa"/>
            <w:tcBorders>
              <w:left w:val="none" w:sz="0" w:space="0" w:color="auto"/>
              <w:right w:val="none" w:sz="0" w:space="0" w:color="auto"/>
            </w:tcBorders>
            <w:noWrap/>
          </w:tcPr>
          <w:p w:rsidR="009B32AB" w:rsidRPr="00735D7D"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735D7D">
              <w:rPr>
                <w:sz w:val="20"/>
                <w:szCs w:val="20"/>
              </w:rPr>
              <w:t>Lighting</w:t>
            </w:r>
          </w:p>
        </w:tc>
        <w:tc>
          <w:tcPr>
            <w:tcW w:w="4168" w:type="dxa"/>
            <w:tcBorders>
              <w:left w:val="none" w:sz="0" w:space="0" w:color="auto"/>
              <w:right w:val="none" w:sz="0" w:space="0" w:color="auto"/>
            </w:tcBorders>
            <w:noWrap/>
          </w:tcPr>
          <w:p w:rsidR="009B32AB" w:rsidRPr="00D92F50" w:rsidRDefault="009B32AB" w:rsidP="00380FF9">
            <w:pPr>
              <w:jc w:val="center"/>
              <w:cnfStyle w:val="000000010000" w:firstRow="0" w:lastRow="0" w:firstColumn="0" w:lastColumn="0" w:oddVBand="0" w:evenVBand="0" w:oddHBand="0" w:evenHBand="1" w:firstRowFirstColumn="0" w:firstRowLastColumn="0" w:lastRowFirstColumn="0" w:lastRowLastColumn="0"/>
              <w:rPr>
                <w:color w:val="000000"/>
                <w:sz w:val="20"/>
                <w:szCs w:val="20"/>
                <w:highlight w:val="yellow"/>
              </w:rPr>
            </w:pPr>
            <w:r w:rsidRPr="00807BA5">
              <w:rPr>
                <w:sz w:val="20"/>
                <w:szCs w:val="20"/>
              </w:rPr>
              <w:t>Minor differences in the application fixture count were discovered at the site inspection.</w:t>
            </w:r>
          </w:p>
        </w:tc>
        <w:tc>
          <w:tcPr>
            <w:tcW w:w="859" w:type="dxa"/>
            <w:tcBorders>
              <w:left w:val="none" w:sz="0" w:space="0" w:color="auto"/>
              <w:right w:val="none" w:sz="0" w:space="0" w:color="auto"/>
            </w:tcBorders>
            <w:noWrap/>
          </w:tcPr>
          <w:p w:rsidR="009B32AB" w:rsidRPr="00D92F50" w:rsidRDefault="009B32AB" w:rsidP="00380FF9">
            <w:pPr>
              <w:jc w:val="center"/>
              <w:cnfStyle w:val="000000010000" w:firstRow="0" w:lastRow="0" w:firstColumn="0" w:lastColumn="0" w:oddVBand="0" w:evenVBand="0" w:oddHBand="0" w:evenHBand="1" w:firstRowFirstColumn="0" w:firstRowLastColumn="0" w:lastRowFirstColumn="0" w:lastRowLastColumn="0"/>
              <w:rPr>
                <w:color w:val="000000"/>
                <w:sz w:val="20"/>
                <w:szCs w:val="20"/>
                <w:highlight w:val="yellow"/>
              </w:rPr>
            </w:pPr>
            <w:r w:rsidRPr="00807BA5">
              <w:rPr>
                <w:sz w:val="20"/>
                <w:szCs w:val="20"/>
              </w:rPr>
              <w:t>Eval</w:t>
            </w:r>
          </w:p>
        </w:tc>
        <w:tc>
          <w:tcPr>
            <w:tcW w:w="5271" w:type="dxa"/>
            <w:tcBorders>
              <w:left w:val="none" w:sz="0" w:space="0" w:color="auto"/>
            </w:tcBorders>
            <w:noWrap/>
          </w:tcPr>
          <w:p w:rsidR="009B32AB" w:rsidRPr="00D92F50" w:rsidRDefault="009B32AB" w:rsidP="00380FF9">
            <w:pPr>
              <w:jc w:val="center"/>
              <w:cnfStyle w:val="000000010000" w:firstRow="0" w:lastRow="0" w:firstColumn="0" w:lastColumn="0" w:oddVBand="0" w:evenVBand="0" w:oddHBand="0" w:evenHBand="1" w:firstRowFirstColumn="0" w:firstRowLastColumn="0" w:lastRowFirstColumn="0" w:lastRowLastColumn="0"/>
              <w:rPr>
                <w:color w:val="000000"/>
                <w:sz w:val="20"/>
                <w:szCs w:val="20"/>
                <w:highlight w:val="yellow"/>
              </w:rPr>
            </w:pPr>
            <w:r w:rsidRPr="00807BA5">
              <w:rPr>
                <w:sz w:val="20"/>
                <w:szCs w:val="20"/>
              </w:rPr>
              <w:t>The verified savings evaluation did account for the site findings and the SWE had no further recommendations for this project.</w:t>
            </w:r>
          </w:p>
        </w:tc>
      </w:tr>
      <w:tr w:rsidR="00A874AC" w:rsidRPr="004B56B4" w:rsidTr="005C3E6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t>PRJ-368467</w:t>
            </w:r>
          </w:p>
        </w:tc>
        <w:tc>
          <w:tcPr>
            <w:tcW w:w="1412" w:type="dxa"/>
            <w:tcBorders>
              <w:left w:val="none" w:sz="0" w:space="0" w:color="auto"/>
              <w:right w:val="none" w:sz="0" w:space="0" w:color="auto"/>
            </w:tcBorders>
            <w:noWrap/>
          </w:tcPr>
          <w:p w:rsidR="009B32AB" w:rsidRPr="00735D7D"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5D7D">
              <w:rPr>
                <w:sz w:val="20"/>
                <w:szCs w:val="20"/>
              </w:rPr>
              <w:t>Lighting</w:t>
            </w:r>
          </w:p>
        </w:tc>
        <w:tc>
          <w:tcPr>
            <w:tcW w:w="4168" w:type="dxa"/>
            <w:tcBorders>
              <w:left w:val="none" w:sz="0" w:space="0" w:color="auto"/>
              <w:right w:val="none" w:sz="0" w:space="0" w:color="auto"/>
            </w:tcBorders>
            <w:noWrap/>
          </w:tcPr>
          <w:p w:rsidR="009B32AB" w:rsidRPr="00FC1696" w:rsidRDefault="009B32AB"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C1696">
              <w:rPr>
                <w:sz w:val="20"/>
                <w:szCs w:val="20"/>
              </w:rPr>
              <w:t>At the site visit it was discovered that differences in the HOU existed</w:t>
            </w:r>
            <w:r>
              <w:rPr>
                <w:sz w:val="20"/>
                <w:szCs w:val="20"/>
              </w:rPr>
              <w:t>,</w:t>
            </w:r>
            <w:r w:rsidRPr="00FC1696">
              <w:rPr>
                <w:sz w:val="20"/>
                <w:szCs w:val="20"/>
              </w:rPr>
              <w:t xml:space="preserve"> as well as control discrepancies. Additionally, the Appendix C calculator was not used correctly, although the final Ex Post analysis is correct.</w:t>
            </w:r>
          </w:p>
        </w:tc>
        <w:tc>
          <w:tcPr>
            <w:tcW w:w="859" w:type="dxa"/>
            <w:tcBorders>
              <w:left w:val="none" w:sz="0" w:space="0" w:color="auto"/>
              <w:right w:val="none" w:sz="0" w:space="0" w:color="auto"/>
            </w:tcBorders>
            <w:noWrap/>
          </w:tcPr>
          <w:p w:rsidR="009B32AB" w:rsidRPr="00D92F50" w:rsidRDefault="009B32AB"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highlight w:val="yellow"/>
              </w:rPr>
            </w:pPr>
            <w:r w:rsidRPr="00FC1696">
              <w:rPr>
                <w:sz w:val="20"/>
                <w:szCs w:val="20"/>
              </w:rPr>
              <w:t>Eval</w:t>
            </w:r>
          </w:p>
        </w:tc>
        <w:tc>
          <w:tcPr>
            <w:tcW w:w="5271" w:type="dxa"/>
            <w:tcBorders>
              <w:left w:val="none" w:sz="0" w:space="0" w:color="auto"/>
            </w:tcBorders>
            <w:noWrap/>
          </w:tcPr>
          <w:p w:rsidR="009B32AB" w:rsidRPr="00D92F50" w:rsidRDefault="009B32AB"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highlight w:val="yellow"/>
              </w:rPr>
            </w:pPr>
            <w:r w:rsidRPr="00FC1696">
              <w:rPr>
                <w:sz w:val="20"/>
                <w:szCs w:val="20"/>
              </w:rPr>
              <w:t xml:space="preserve">In the interest of transparency, the SWE Team recommends that the </w:t>
            </w:r>
            <w:r>
              <w:rPr>
                <w:sz w:val="20"/>
                <w:szCs w:val="20"/>
              </w:rPr>
              <w:t>evaluation contractor</w:t>
            </w:r>
            <w:r w:rsidRPr="00FC1696" w:rsidDel="006054DE">
              <w:rPr>
                <w:sz w:val="20"/>
                <w:szCs w:val="20"/>
              </w:rPr>
              <w:t xml:space="preserve"> </w:t>
            </w:r>
            <w:r w:rsidRPr="00FC1696">
              <w:rPr>
                <w:sz w:val="20"/>
                <w:szCs w:val="20"/>
              </w:rPr>
              <w:t>use only the</w:t>
            </w:r>
            <w:r>
              <w:rPr>
                <w:sz w:val="20"/>
                <w:szCs w:val="20"/>
              </w:rPr>
              <w:t xml:space="preserve"> </w:t>
            </w:r>
            <w:r w:rsidRPr="00FC1696">
              <w:rPr>
                <w:sz w:val="20"/>
                <w:szCs w:val="20"/>
              </w:rPr>
              <w:t>Appendix C calculator for lighting projects moving forward.</w:t>
            </w:r>
          </w:p>
        </w:tc>
      </w:tr>
      <w:tr w:rsidR="00E7173E" w:rsidRPr="004B56B4" w:rsidTr="005C3E63">
        <w:trPr>
          <w:cnfStyle w:val="000000010000" w:firstRow="0" w:lastRow="0" w:firstColumn="0" w:lastColumn="0" w:oddVBand="0" w:evenVBand="0" w:oddHBand="0" w:evenHBand="1"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t>PRJ-481137</w:t>
            </w:r>
          </w:p>
        </w:tc>
        <w:tc>
          <w:tcPr>
            <w:tcW w:w="1412" w:type="dxa"/>
            <w:tcBorders>
              <w:left w:val="none" w:sz="0" w:space="0" w:color="auto"/>
              <w:right w:val="none" w:sz="0" w:space="0" w:color="auto"/>
            </w:tcBorders>
            <w:noWrap/>
          </w:tcPr>
          <w:p w:rsidR="009B32AB" w:rsidRPr="00735D7D"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735D7D">
              <w:rPr>
                <w:sz w:val="20"/>
                <w:szCs w:val="20"/>
              </w:rPr>
              <w:t>Lighting (refrigerated)</w:t>
            </w:r>
          </w:p>
        </w:tc>
        <w:tc>
          <w:tcPr>
            <w:tcW w:w="4168" w:type="dxa"/>
            <w:tcBorders>
              <w:left w:val="none" w:sz="0" w:space="0" w:color="auto"/>
              <w:right w:val="none" w:sz="0" w:space="0" w:color="auto"/>
            </w:tcBorders>
            <w:noWrap/>
          </w:tcPr>
          <w:p w:rsidR="009B32AB" w:rsidRPr="00F965AC"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F965AC">
              <w:rPr>
                <w:sz w:val="20"/>
                <w:szCs w:val="20"/>
              </w:rPr>
              <w:t>Major differences in the application fixture count were discovered at the site inspection.</w:t>
            </w:r>
          </w:p>
        </w:tc>
        <w:tc>
          <w:tcPr>
            <w:tcW w:w="859" w:type="dxa"/>
            <w:tcBorders>
              <w:left w:val="none" w:sz="0" w:space="0" w:color="auto"/>
              <w:right w:val="none" w:sz="0" w:space="0" w:color="auto"/>
            </w:tcBorders>
            <w:noWrap/>
          </w:tcPr>
          <w:p w:rsidR="009B32AB" w:rsidRPr="00F965AC"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F965AC">
              <w:rPr>
                <w:sz w:val="20"/>
                <w:szCs w:val="20"/>
              </w:rPr>
              <w:t>Eval</w:t>
            </w:r>
          </w:p>
        </w:tc>
        <w:tc>
          <w:tcPr>
            <w:tcW w:w="5271" w:type="dxa"/>
            <w:tcBorders>
              <w:left w:val="none" w:sz="0" w:space="0" w:color="auto"/>
            </w:tcBorders>
            <w:noWrap/>
          </w:tcPr>
          <w:p w:rsidR="009B32AB" w:rsidRPr="00F965AC"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F965AC">
              <w:rPr>
                <w:sz w:val="20"/>
                <w:szCs w:val="20"/>
              </w:rPr>
              <w:t>The verified savings evaluation did account for the site findings and the SWE had no further recommendations for this project.</w:t>
            </w:r>
          </w:p>
        </w:tc>
      </w:tr>
      <w:tr w:rsidR="00A874AC" w:rsidRPr="004B56B4" w:rsidTr="005C3E63">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t>PRJ-369334</w:t>
            </w:r>
          </w:p>
        </w:tc>
        <w:tc>
          <w:tcPr>
            <w:tcW w:w="1412" w:type="dxa"/>
            <w:tcBorders>
              <w:left w:val="none" w:sz="0" w:space="0" w:color="auto"/>
              <w:right w:val="none" w:sz="0" w:space="0" w:color="auto"/>
            </w:tcBorders>
            <w:noWrap/>
          </w:tcPr>
          <w:p w:rsidR="009B32AB" w:rsidRPr="00735D7D"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5D7D">
              <w:rPr>
                <w:sz w:val="20"/>
                <w:szCs w:val="20"/>
              </w:rPr>
              <w:t>Lighting</w:t>
            </w:r>
          </w:p>
        </w:tc>
        <w:tc>
          <w:tcPr>
            <w:tcW w:w="4168" w:type="dxa"/>
            <w:tcBorders>
              <w:left w:val="none" w:sz="0" w:space="0" w:color="auto"/>
              <w:right w:val="none" w:sz="0" w:space="0" w:color="auto"/>
            </w:tcBorders>
            <w:noWrap/>
          </w:tcPr>
          <w:p w:rsidR="009B32AB" w:rsidRPr="00180B11"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0B11">
              <w:rPr>
                <w:sz w:val="20"/>
                <w:szCs w:val="20"/>
              </w:rPr>
              <w:t>Minor differences in the application fixture count were discovered at the site inspection.</w:t>
            </w:r>
          </w:p>
        </w:tc>
        <w:tc>
          <w:tcPr>
            <w:tcW w:w="859" w:type="dxa"/>
            <w:tcBorders>
              <w:left w:val="none" w:sz="0" w:space="0" w:color="auto"/>
              <w:right w:val="none" w:sz="0" w:space="0" w:color="auto"/>
            </w:tcBorders>
            <w:noWrap/>
          </w:tcPr>
          <w:p w:rsidR="009B32AB" w:rsidRPr="00180B11"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0B11">
              <w:rPr>
                <w:sz w:val="20"/>
                <w:szCs w:val="20"/>
              </w:rPr>
              <w:t>Eval</w:t>
            </w:r>
          </w:p>
        </w:tc>
        <w:tc>
          <w:tcPr>
            <w:tcW w:w="5271" w:type="dxa"/>
            <w:tcBorders>
              <w:left w:val="none" w:sz="0" w:space="0" w:color="auto"/>
            </w:tcBorders>
            <w:noWrap/>
          </w:tcPr>
          <w:p w:rsidR="009B32AB" w:rsidRPr="00180B11"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0B11">
              <w:rPr>
                <w:sz w:val="20"/>
                <w:szCs w:val="20"/>
              </w:rPr>
              <w:t>The verified savings evaluation did account for the site findings and the SWE had no further recommendations for this project.</w:t>
            </w:r>
          </w:p>
        </w:tc>
      </w:tr>
      <w:tr w:rsidR="00E7173E" w:rsidRPr="004B56B4" w:rsidTr="005C3E63">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t>PRJ-360609</w:t>
            </w:r>
          </w:p>
        </w:tc>
        <w:tc>
          <w:tcPr>
            <w:tcW w:w="1412" w:type="dxa"/>
            <w:tcBorders>
              <w:left w:val="none" w:sz="0" w:space="0" w:color="auto"/>
              <w:right w:val="none" w:sz="0" w:space="0" w:color="auto"/>
            </w:tcBorders>
            <w:noWrap/>
          </w:tcPr>
          <w:p w:rsidR="009B32AB" w:rsidRPr="00735D7D"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735D7D">
              <w:rPr>
                <w:sz w:val="20"/>
                <w:szCs w:val="20"/>
              </w:rPr>
              <w:t>Lighting</w:t>
            </w:r>
          </w:p>
        </w:tc>
        <w:tc>
          <w:tcPr>
            <w:tcW w:w="4168" w:type="dxa"/>
            <w:tcBorders>
              <w:left w:val="none" w:sz="0" w:space="0" w:color="auto"/>
              <w:right w:val="none" w:sz="0" w:space="0" w:color="auto"/>
            </w:tcBorders>
            <w:noWrap/>
          </w:tcPr>
          <w:p w:rsidR="009B32AB" w:rsidRPr="00180B11"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180B11">
              <w:rPr>
                <w:sz w:val="20"/>
                <w:szCs w:val="20"/>
              </w:rPr>
              <w:t>Minor differences in the application fixture count were discovered at the site inspection.</w:t>
            </w:r>
          </w:p>
        </w:tc>
        <w:tc>
          <w:tcPr>
            <w:tcW w:w="859" w:type="dxa"/>
            <w:tcBorders>
              <w:left w:val="none" w:sz="0" w:space="0" w:color="auto"/>
              <w:right w:val="none" w:sz="0" w:space="0" w:color="auto"/>
            </w:tcBorders>
            <w:noWrap/>
          </w:tcPr>
          <w:p w:rsidR="009B32AB" w:rsidRPr="00180B11"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180B11">
              <w:rPr>
                <w:sz w:val="20"/>
                <w:szCs w:val="20"/>
              </w:rPr>
              <w:t>Eval</w:t>
            </w:r>
          </w:p>
        </w:tc>
        <w:tc>
          <w:tcPr>
            <w:tcW w:w="5271" w:type="dxa"/>
            <w:tcBorders>
              <w:left w:val="none" w:sz="0" w:space="0" w:color="auto"/>
            </w:tcBorders>
            <w:noWrap/>
          </w:tcPr>
          <w:p w:rsidR="009B32AB" w:rsidRPr="00180B11"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180B11">
              <w:rPr>
                <w:sz w:val="20"/>
                <w:szCs w:val="20"/>
              </w:rPr>
              <w:t>The verified savings evaluation did account for the site findings and the SWE had no further recommendations for this project.</w:t>
            </w:r>
          </w:p>
        </w:tc>
      </w:tr>
      <w:tr w:rsidR="00A874AC" w:rsidRPr="004B56B4" w:rsidTr="005C3E6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t>PRJ-376140</w:t>
            </w:r>
          </w:p>
        </w:tc>
        <w:tc>
          <w:tcPr>
            <w:tcW w:w="1412" w:type="dxa"/>
            <w:tcBorders>
              <w:left w:val="none" w:sz="0" w:space="0" w:color="auto"/>
              <w:right w:val="none" w:sz="0" w:space="0" w:color="auto"/>
            </w:tcBorders>
            <w:noWrap/>
          </w:tcPr>
          <w:p w:rsidR="009B32AB" w:rsidRPr="00735D7D"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5D7D">
              <w:rPr>
                <w:sz w:val="20"/>
                <w:szCs w:val="20"/>
              </w:rPr>
              <w:t>Lighting</w:t>
            </w:r>
          </w:p>
        </w:tc>
        <w:tc>
          <w:tcPr>
            <w:tcW w:w="4168" w:type="dxa"/>
            <w:tcBorders>
              <w:left w:val="none" w:sz="0" w:space="0" w:color="auto"/>
              <w:right w:val="none" w:sz="0" w:space="0" w:color="auto"/>
            </w:tcBorders>
            <w:noWrap/>
          </w:tcPr>
          <w:p w:rsidR="009B32AB" w:rsidRPr="00E021B2"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E021B2">
              <w:rPr>
                <w:sz w:val="20"/>
                <w:szCs w:val="20"/>
              </w:rPr>
              <w:t>At the site visit it was discovered that there were minor differences in the fixture count. Additionally, the Appendix C calculator was not used</w:t>
            </w:r>
            <w:r>
              <w:rPr>
                <w:sz w:val="20"/>
                <w:szCs w:val="20"/>
              </w:rPr>
              <w:t xml:space="preserve"> correctly, although the final ex p</w:t>
            </w:r>
            <w:r w:rsidRPr="00E021B2">
              <w:rPr>
                <w:sz w:val="20"/>
                <w:szCs w:val="20"/>
              </w:rPr>
              <w:t>ost analysis is correct.</w:t>
            </w:r>
          </w:p>
        </w:tc>
        <w:tc>
          <w:tcPr>
            <w:tcW w:w="859" w:type="dxa"/>
            <w:tcBorders>
              <w:left w:val="none" w:sz="0" w:space="0" w:color="auto"/>
              <w:right w:val="none" w:sz="0" w:space="0" w:color="auto"/>
            </w:tcBorders>
            <w:noWrap/>
          </w:tcPr>
          <w:p w:rsidR="009B32AB" w:rsidRPr="00E021B2"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E021B2">
              <w:rPr>
                <w:sz w:val="20"/>
                <w:szCs w:val="20"/>
              </w:rPr>
              <w:t>Eval</w:t>
            </w:r>
          </w:p>
        </w:tc>
        <w:tc>
          <w:tcPr>
            <w:tcW w:w="5271" w:type="dxa"/>
            <w:tcBorders>
              <w:left w:val="none" w:sz="0" w:space="0" w:color="auto"/>
            </w:tcBorders>
            <w:noWrap/>
          </w:tcPr>
          <w:p w:rsidR="009B32AB" w:rsidRPr="00E021B2"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E021B2">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E021B2">
              <w:rPr>
                <w:sz w:val="20"/>
                <w:szCs w:val="20"/>
              </w:rPr>
              <w:t>use only the Appendix C calculator for lighting projects moving forward.</w:t>
            </w:r>
          </w:p>
        </w:tc>
      </w:tr>
      <w:tr w:rsidR="00E7173E" w:rsidRPr="004B56B4" w:rsidTr="005C3E63">
        <w:trPr>
          <w:cnfStyle w:val="000000010000" w:firstRow="0" w:lastRow="0" w:firstColumn="0" w:lastColumn="0" w:oddVBand="0" w:evenVBand="0" w:oddHBand="0" w:evenHBand="1"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t>PRJ-515267</w:t>
            </w:r>
          </w:p>
        </w:tc>
        <w:tc>
          <w:tcPr>
            <w:tcW w:w="1412" w:type="dxa"/>
            <w:tcBorders>
              <w:left w:val="none" w:sz="0" w:space="0" w:color="auto"/>
              <w:right w:val="none" w:sz="0" w:space="0" w:color="auto"/>
            </w:tcBorders>
            <w:noWrap/>
          </w:tcPr>
          <w:p w:rsidR="009B32AB" w:rsidRPr="00735D7D"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735D7D">
              <w:rPr>
                <w:sz w:val="20"/>
                <w:szCs w:val="20"/>
              </w:rPr>
              <w:t>Lighting</w:t>
            </w:r>
          </w:p>
        </w:tc>
        <w:tc>
          <w:tcPr>
            <w:tcW w:w="4168" w:type="dxa"/>
            <w:tcBorders>
              <w:left w:val="none" w:sz="0" w:space="0" w:color="auto"/>
              <w:right w:val="none" w:sz="0" w:space="0" w:color="auto"/>
            </w:tcBorders>
            <w:noWrap/>
          </w:tcPr>
          <w:p w:rsidR="009B32AB" w:rsidRPr="003441CE"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3441CE">
              <w:rPr>
                <w:sz w:val="20"/>
                <w:szCs w:val="20"/>
              </w:rPr>
              <w:t>Minor differences in the application fixture count were discovered at the site inspection.</w:t>
            </w:r>
          </w:p>
        </w:tc>
        <w:tc>
          <w:tcPr>
            <w:tcW w:w="859" w:type="dxa"/>
            <w:tcBorders>
              <w:left w:val="none" w:sz="0" w:space="0" w:color="auto"/>
              <w:right w:val="none" w:sz="0" w:space="0" w:color="auto"/>
            </w:tcBorders>
            <w:noWrap/>
          </w:tcPr>
          <w:p w:rsidR="009B32AB" w:rsidRPr="003441CE"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3441CE">
              <w:rPr>
                <w:sz w:val="20"/>
                <w:szCs w:val="20"/>
              </w:rPr>
              <w:t>Eval</w:t>
            </w:r>
          </w:p>
        </w:tc>
        <w:tc>
          <w:tcPr>
            <w:tcW w:w="5271" w:type="dxa"/>
            <w:tcBorders>
              <w:left w:val="none" w:sz="0" w:space="0" w:color="auto"/>
            </w:tcBorders>
            <w:noWrap/>
          </w:tcPr>
          <w:p w:rsidR="009B32AB" w:rsidRPr="003441CE"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3441CE">
              <w:rPr>
                <w:sz w:val="20"/>
                <w:szCs w:val="20"/>
              </w:rPr>
              <w:t>The verified savings evaluation did account for the site findings and the SWE had no further recommendations for this project.</w:t>
            </w:r>
          </w:p>
        </w:tc>
      </w:tr>
      <w:tr w:rsidR="00A874AC" w:rsidRPr="004B56B4" w:rsidTr="005C3E63">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t>PRJ-270159</w:t>
            </w:r>
          </w:p>
        </w:tc>
        <w:tc>
          <w:tcPr>
            <w:tcW w:w="1412" w:type="dxa"/>
            <w:tcBorders>
              <w:left w:val="none" w:sz="0" w:space="0" w:color="auto"/>
              <w:right w:val="none" w:sz="0" w:space="0" w:color="auto"/>
            </w:tcBorders>
            <w:noWrap/>
          </w:tcPr>
          <w:p w:rsidR="009B32AB" w:rsidRPr="00735D7D"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HVAC (e</w:t>
            </w:r>
            <w:r w:rsidRPr="00735D7D">
              <w:rPr>
                <w:sz w:val="20"/>
                <w:szCs w:val="20"/>
              </w:rPr>
              <w:t>conomizers)</w:t>
            </w:r>
          </w:p>
        </w:tc>
        <w:tc>
          <w:tcPr>
            <w:tcW w:w="4168" w:type="dxa"/>
            <w:tcBorders>
              <w:left w:val="none" w:sz="0" w:space="0" w:color="auto"/>
              <w:right w:val="none" w:sz="0" w:space="0" w:color="auto"/>
            </w:tcBorders>
            <w:noWrap/>
          </w:tcPr>
          <w:p w:rsidR="009B32AB" w:rsidRPr="000A69C4" w:rsidRDefault="009B32AB"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A69C4">
              <w:rPr>
                <w:sz w:val="20"/>
                <w:szCs w:val="20"/>
              </w:rPr>
              <w:t xml:space="preserve">Billing analysis data </w:t>
            </w:r>
            <w:r>
              <w:rPr>
                <w:sz w:val="20"/>
                <w:szCs w:val="20"/>
              </w:rPr>
              <w:t>were</w:t>
            </w:r>
            <w:r w:rsidRPr="000A69C4">
              <w:rPr>
                <w:sz w:val="20"/>
                <w:szCs w:val="20"/>
              </w:rPr>
              <w:t xml:space="preserve"> determined to be insufficient and a like project was used to create a regression model.</w:t>
            </w:r>
          </w:p>
        </w:tc>
        <w:tc>
          <w:tcPr>
            <w:tcW w:w="859" w:type="dxa"/>
            <w:tcBorders>
              <w:left w:val="none" w:sz="0" w:space="0" w:color="auto"/>
              <w:right w:val="none" w:sz="0" w:space="0" w:color="auto"/>
            </w:tcBorders>
            <w:noWrap/>
          </w:tcPr>
          <w:p w:rsidR="009B32AB" w:rsidRPr="000A69C4" w:rsidRDefault="009B32AB"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A69C4">
              <w:rPr>
                <w:sz w:val="20"/>
                <w:szCs w:val="20"/>
              </w:rPr>
              <w:t>Eval</w:t>
            </w:r>
          </w:p>
        </w:tc>
        <w:tc>
          <w:tcPr>
            <w:tcW w:w="5271" w:type="dxa"/>
            <w:tcBorders>
              <w:left w:val="none" w:sz="0" w:space="0" w:color="auto"/>
            </w:tcBorders>
            <w:noWrap/>
          </w:tcPr>
          <w:p w:rsidR="009B32AB" w:rsidRPr="000A69C4" w:rsidRDefault="009B32AB"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0A69C4">
              <w:rPr>
                <w:sz w:val="20"/>
                <w:szCs w:val="20"/>
              </w:rPr>
              <w:t>The SWE Team had no recommendations based on its review of this project.</w:t>
            </w:r>
          </w:p>
        </w:tc>
      </w:tr>
      <w:tr w:rsidR="00E7173E" w:rsidRPr="004B56B4" w:rsidTr="005C3E63">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lastRenderedPageBreak/>
              <w:t>PRJ-415327</w:t>
            </w:r>
          </w:p>
        </w:tc>
        <w:tc>
          <w:tcPr>
            <w:tcW w:w="1412" w:type="dxa"/>
            <w:tcBorders>
              <w:left w:val="none" w:sz="0" w:space="0" w:color="auto"/>
              <w:right w:val="none" w:sz="0" w:space="0" w:color="auto"/>
            </w:tcBorders>
            <w:noWrap/>
          </w:tcPr>
          <w:p w:rsidR="009B32AB" w:rsidRPr="00735D7D"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735D7D">
              <w:rPr>
                <w:sz w:val="20"/>
                <w:szCs w:val="20"/>
              </w:rPr>
              <w:t>Lighting</w:t>
            </w:r>
          </w:p>
        </w:tc>
        <w:tc>
          <w:tcPr>
            <w:tcW w:w="4168" w:type="dxa"/>
            <w:tcBorders>
              <w:left w:val="none" w:sz="0" w:space="0" w:color="auto"/>
              <w:right w:val="none" w:sz="0" w:space="0" w:color="auto"/>
            </w:tcBorders>
            <w:noWrap/>
          </w:tcPr>
          <w:p w:rsidR="009B32AB" w:rsidRPr="00651E86"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651E86">
              <w:rPr>
                <w:sz w:val="20"/>
                <w:szCs w:val="20"/>
              </w:rPr>
              <w:t>At the site visit it was discovered that there were minor differences in the fixture count. Additionally, the Appendix C calculator was not used</w:t>
            </w:r>
            <w:r>
              <w:rPr>
                <w:sz w:val="20"/>
                <w:szCs w:val="20"/>
              </w:rPr>
              <w:t xml:space="preserve"> correctly, although the final ex p</w:t>
            </w:r>
            <w:r w:rsidRPr="00651E86">
              <w:rPr>
                <w:sz w:val="20"/>
                <w:szCs w:val="20"/>
              </w:rPr>
              <w:t>ost analysis is correct.</w:t>
            </w:r>
          </w:p>
        </w:tc>
        <w:tc>
          <w:tcPr>
            <w:tcW w:w="859" w:type="dxa"/>
            <w:tcBorders>
              <w:left w:val="none" w:sz="0" w:space="0" w:color="auto"/>
              <w:right w:val="none" w:sz="0" w:space="0" w:color="auto"/>
            </w:tcBorders>
            <w:noWrap/>
          </w:tcPr>
          <w:p w:rsidR="009B32AB" w:rsidRPr="00651E86"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651E86">
              <w:rPr>
                <w:sz w:val="20"/>
                <w:szCs w:val="20"/>
              </w:rPr>
              <w:t>Eval</w:t>
            </w:r>
          </w:p>
        </w:tc>
        <w:tc>
          <w:tcPr>
            <w:tcW w:w="5271" w:type="dxa"/>
            <w:tcBorders>
              <w:left w:val="none" w:sz="0" w:space="0" w:color="auto"/>
            </w:tcBorders>
            <w:noWrap/>
          </w:tcPr>
          <w:p w:rsidR="009B32AB" w:rsidRPr="00651E86"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651E8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651E86">
              <w:rPr>
                <w:sz w:val="20"/>
                <w:szCs w:val="20"/>
              </w:rPr>
              <w:t>use only the Appendix C calculator for lighting projects moving forward.</w:t>
            </w:r>
          </w:p>
        </w:tc>
      </w:tr>
      <w:tr w:rsidR="00A874AC" w:rsidRPr="004B56B4" w:rsidTr="005C3E63">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t>PRJ-407740</w:t>
            </w:r>
          </w:p>
        </w:tc>
        <w:tc>
          <w:tcPr>
            <w:tcW w:w="1412" w:type="dxa"/>
            <w:tcBorders>
              <w:left w:val="none" w:sz="0" w:space="0" w:color="auto"/>
              <w:right w:val="none" w:sz="0" w:space="0" w:color="auto"/>
            </w:tcBorders>
            <w:noWrap/>
          </w:tcPr>
          <w:p w:rsidR="009B32AB" w:rsidRPr="00735D7D"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5D7D">
              <w:rPr>
                <w:sz w:val="20"/>
                <w:szCs w:val="20"/>
              </w:rPr>
              <w:t>Transformers</w:t>
            </w:r>
          </w:p>
        </w:tc>
        <w:tc>
          <w:tcPr>
            <w:tcW w:w="4168" w:type="dxa"/>
            <w:tcBorders>
              <w:left w:val="none" w:sz="0" w:space="0" w:color="auto"/>
              <w:right w:val="none" w:sz="0" w:space="0" w:color="auto"/>
            </w:tcBorders>
            <w:noWrap/>
          </w:tcPr>
          <w:p w:rsidR="009B32AB" w:rsidRPr="00BB0D46"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BB0D46">
              <w:rPr>
                <w:sz w:val="20"/>
                <w:szCs w:val="20"/>
              </w:rPr>
              <w:t xml:space="preserve">The SWE Team found that the </w:t>
            </w:r>
            <w:r>
              <w:rPr>
                <w:sz w:val="20"/>
                <w:szCs w:val="20"/>
              </w:rPr>
              <w:t>evaluation contractor’s</w:t>
            </w:r>
            <w:r w:rsidRPr="00E021B2" w:rsidDel="006054DE">
              <w:rPr>
                <w:sz w:val="20"/>
                <w:szCs w:val="20"/>
              </w:rPr>
              <w:t xml:space="preserve"> </w:t>
            </w:r>
            <w:r w:rsidRPr="00BB0D46">
              <w:rPr>
                <w:sz w:val="20"/>
                <w:szCs w:val="20"/>
              </w:rPr>
              <w:t>review of the project is accurate.</w:t>
            </w:r>
          </w:p>
        </w:tc>
        <w:tc>
          <w:tcPr>
            <w:tcW w:w="859" w:type="dxa"/>
            <w:tcBorders>
              <w:left w:val="none" w:sz="0" w:space="0" w:color="auto"/>
              <w:right w:val="none" w:sz="0" w:space="0" w:color="auto"/>
            </w:tcBorders>
            <w:noWrap/>
          </w:tcPr>
          <w:p w:rsidR="009B32AB" w:rsidRPr="00BB0D46"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BB0D46">
              <w:rPr>
                <w:sz w:val="20"/>
                <w:szCs w:val="20"/>
              </w:rPr>
              <w:t>Eval</w:t>
            </w:r>
          </w:p>
        </w:tc>
        <w:tc>
          <w:tcPr>
            <w:tcW w:w="5271" w:type="dxa"/>
            <w:tcBorders>
              <w:left w:val="none" w:sz="0" w:space="0" w:color="auto"/>
            </w:tcBorders>
            <w:noWrap/>
          </w:tcPr>
          <w:p w:rsidR="009B32AB" w:rsidRPr="00BB0D46"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BB0D46">
              <w:rPr>
                <w:sz w:val="20"/>
                <w:szCs w:val="20"/>
              </w:rPr>
              <w:t>The SWE Team had no recommendations based on its review of this project.</w:t>
            </w:r>
          </w:p>
        </w:tc>
      </w:tr>
      <w:tr w:rsidR="00E7173E" w:rsidRPr="004B56B4" w:rsidTr="005C3E63">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t>PRJ-409448</w:t>
            </w:r>
          </w:p>
        </w:tc>
        <w:tc>
          <w:tcPr>
            <w:tcW w:w="1412" w:type="dxa"/>
            <w:tcBorders>
              <w:left w:val="none" w:sz="0" w:space="0" w:color="auto"/>
              <w:right w:val="none" w:sz="0" w:space="0" w:color="auto"/>
            </w:tcBorders>
            <w:noWrap/>
          </w:tcPr>
          <w:p w:rsidR="009B32AB" w:rsidRPr="00735D7D"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735D7D">
              <w:rPr>
                <w:sz w:val="20"/>
                <w:szCs w:val="20"/>
              </w:rPr>
              <w:t>Transformers</w:t>
            </w:r>
          </w:p>
        </w:tc>
        <w:tc>
          <w:tcPr>
            <w:tcW w:w="4168" w:type="dxa"/>
            <w:tcBorders>
              <w:left w:val="none" w:sz="0" w:space="0" w:color="auto"/>
              <w:right w:val="none" w:sz="0" w:space="0" w:color="auto"/>
            </w:tcBorders>
            <w:noWrap/>
          </w:tcPr>
          <w:p w:rsidR="009B32AB" w:rsidRPr="00BB0D46"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BB0D46">
              <w:rPr>
                <w:sz w:val="20"/>
                <w:szCs w:val="20"/>
              </w:rPr>
              <w:t xml:space="preserve">The SWE Team found that the </w:t>
            </w:r>
            <w:r>
              <w:rPr>
                <w:sz w:val="20"/>
                <w:szCs w:val="20"/>
              </w:rPr>
              <w:t>evaluation contractor’s</w:t>
            </w:r>
            <w:r w:rsidRPr="00E021B2" w:rsidDel="006054DE">
              <w:rPr>
                <w:sz w:val="20"/>
                <w:szCs w:val="20"/>
              </w:rPr>
              <w:t xml:space="preserve"> </w:t>
            </w:r>
            <w:r w:rsidRPr="00BB0D46">
              <w:rPr>
                <w:sz w:val="20"/>
                <w:szCs w:val="20"/>
              </w:rPr>
              <w:t>review of the project is accurate.</w:t>
            </w:r>
          </w:p>
        </w:tc>
        <w:tc>
          <w:tcPr>
            <w:tcW w:w="859" w:type="dxa"/>
            <w:tcBorders>
              <w:left w:val="none" w:sz="0" w:space="0" w:color="auto"/>
              <w:right w:val="none" w:sz="0" w:space="0" w:color="auto"/>
            </w:tcBorders>
            <w:noWrap/>
          </w:tcPr>
          <w:p w:rsidR="009B32AB" w:rsidRPr="00BB0D46"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BB0D46">
              <w:rPr>
                <w:sz w:val="20"/>
                <w:szCs w:val="20"/>
              </w:rPr>
              <w:t>Eval</w:t>
            </w:r>
          </w:p>
        </w:tc>
        <w:tc>
          <w:tcPr>
            <w:tcW w:w="5271" w:type="dxa"/>
            <w:tcBorders>
              <w:left w:val="none" w:sz="0" w:space="0" w:color="auto"/>
            </w:tcBorders>
            <w:noWrap/>
          </w:tcPr>
          <w:p w:rsidR="009B32AB" w:rsidRPr="00BB0D46"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BB0D46">
              <w:rPr>
                <w:sz w:val="20"/>
                <w:szCs w:val="20"/>
              </w:rPr>
              <w:t>The SWE Team had no recommendations based on its review of this project.</w:t>
            </w:r>
          </w:p>
        </w:tc>
      </w:tr>
      <w:tr w:rsidR="00A874AC" w:rsidRPr="004B56B4" w:rsidTr="005C3E6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t>PRJ-375049</w:t>
            </w:r>
          </w:p>
        </w:tc>
        <w:tc>
          <w:tcPr>
            <w:tcW w:w="1412" w:type="dxa"/>
            <w:tcBorders>
              <w:left w:val="none" w:sz="0" w:space="0" w:color="auto"/>
              <w:right w:val="none" w:sz="0" w:space="0" w:color="auto"/>
            </w:tcBorders>
            <w:noWrap/>
          </w:tcPr>
          <w:p w:rsidR="009B32AB" w:rsidRPr="00735D7D"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735D7D">
              <w:rPr>
                <w:sz w:val="20"/>
                <w:szCs w:val="20"/>
              </w:rPr>
              <w:t>Lighting</w:t>
            </w:r>
          </w:p>
        </w:tc>
        <w:tc>
          <w:tcPr>
            <w:tcW w:w="4168" w:type="dxa"/>
            <w:tcBorders>
              <w:left w:val="none" w:sz="0" w:space="0" w:color="auto"/>
              <w:right w:val="none" w:sz="0" w:space="0" w:color="auto"/>
            </w:tcBorders>
            <w:noWrap/>
          </w:tcPr>
          <w:p w:rsidR="009B32AB" w:rsidRPr="004B56B4"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Although the final verified savings is correct, the Appendix C calculator was not used in its original form.</w:t>
            </w:r>
          </w:p>
        </w:tc>
        <w:tc>
          <w:tcPr>
            <w:tcW w:w="859" w:type="dxa"/>
            <w:tcBorders>
              <w:left w:val="none" w:sz="0" w:space="0" w:color="auto"/>
              <w:right w:val="none" w:sz="0" w:space="0" w:color="auto"/>
            </w:tcBorders>
            <w:noWrap/>
          </w:tcPr>
          <w:p w:rsidR="009B32AB" w:rsidRPr="004B56B4"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Eval</w:t>
            </w:r>
          </w:p>
        </w:tc>
        <w:tc>
          <w:tcPr>
            <w:tcW w:w="5271" w:type="dxa"/>
            <w:tcBorders>
              <w:left w:val="none" w:sz="0" w:space="0" w:color="auto"/>
            </w:tcBorders>
            <w:noWrap/>
          </w:tcPr>
          <w:p w:rsidR="009B32AB" w:rsidRPr="004B56B4"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62C5">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3B62C5">
              <w:rPr>
                <w:sz w:val="20"/>
                <w:szCs w:val="20"/>
              </w:rPr>
              <w:t>use only the Appendix C calculator for lighting projects moving forward.</w:t>
            </w:r>
          </w:p>
        </w:tc>
      </w:tr>
      <w:tr w:rsidR="00E7173E" w:rsidRPr="004B56B4" w:rsidTr="005C3E63">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D92F50" w:rsidRDefault="009B32AB" w:rsidP="00380FF9">
            <w:pPr>
              <w:rPr>
                <w:sz w:val="20"/>
                <w:szCs w:val="20"/>
              </w:rPr>
            </w:pPr>
            <w:r w:rsidRPr="00D92F50">
              <w:rPr>
                <w:sz w:val="20"/>
                <w:szCs w:val="20"/>
              </w:rPr>
              <w:t>PRJ-306423</w:t>
            </w:r>
          </w:p>
        </w:tc>
        <w:tc>
          <w:tcPr>
            <w:tcW w:w="1412" w:type="dxa"/>
            <w:tcBorders>
              <w:left w:val="none" w:sz="0" w:space="0" w:color="auto"/>
              <w:right w:val="none" w:sz="0" w:space="0" w:color="auto"/>
            </w:tcBorders>
            <w:noWrap/>
          </w:tcPr>
          <w:p w:rsidR="009B32AB" w:rsidRPr="00735D7D"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735D7D">
              <w:rPr>
                <w:sz w:val="20"/>
                <w:szCs w:val="20"/>
              </w:rPr>
              <w:t>Lighting</w:t>
            </w:r>
          </w:p>
        </w:tc>
        <w:tc>
          <w:tcPr>
            <w:tcW w:w="4168" w:type="dxa"/>
            <w:tcBorders>
              <w:left w:val="none" w:sz="0" w:space="0" w:color="auto"/>
              <w:right w:val="none" w:sz="0" w:space="0" w:color="auto"/>
            </w:tcBorders>
            <w:noWrap/>
          </w:tcPr>
          <w:p w:rsidR="009B32AB" w:rsidRPr="003B62C5"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62C5">
              <w:rPr>
                <w:sz w:val="20"/>
                <w:szCs w:val="20"/>
              </w:rPr>
              <w:t>Although the final verified savings is correct, the Appendix C calculator was not used in its original form.</w:t>
            </w:r>
          </w:p>
        </w:tc>
        <w:tc>
          <w:tcPr>
            <w:tcW w:w="859" w:type="dxa"/>
            <w:tcBorders>
              <w:left w:val="none" w:sz="0" w:space="0" w:color="auto"/>
              <w:right w:val="none" w:sz="0" w:space="0" w:color="auto"/>
            </w:tcBorders>
            <w:noWrap/>
          </w:tcPr>
          <w:p w:rsidR="009B32AB" w:rsidRPr="003B62C5"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62C5">
              <w:rPr>
                <w:sz w:val="20"/>
                <w:szCs w:val="20"/>
              </w:rPr>
              <w:t>Eval</w:t>
            </w:r>
          </w:p>
        </w:tc>
        <w:tc>
          <w:tcPr>
            <w:tcW w:w="5271" w:type="dxa"/>
            <w:tcBorders>
              <w:left w:val="none" w:sz="0" w:space="0" w:color="auto"/>
            </w:tcBorders>
            <w:noWrap/>
          </w:tcPr>
          <w:p w:rsidR="009B32AB" w:rsidRPr="003B62C5"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62C5">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3B62C5">
              <w:rPr>
                <w:sz w:val="20"/>
                <w:szCs w:val="20"/>
              </w:rPr>
              <w:t>use only the Appendix C calculator for lighting projects moving forward.</w:t>
            </w:r>
          </w:p>
        </w:tc>
      </w:tr>
      <w:tr w:rsidR="00A874AC" w:rsidRPr="004B56B4" w:rsidTr="005C3E6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3B62C5" w:rsidRDefault="009B32AB" w:rsidP="00380FF9">
            <w:pPr>
              <w:rPr>
                <w:sz w:val="20"/>
                <w:szCs w:val="20"/>
              </w:rPr>
            </w:pPr>
            <w:r w:rsidRPr="003B62C5">
              <w:rPr>
                <w:sz w:val="20"/>
                <w:szCs w:val="20"/>
              </w:rPr>
              <w:t>PRJ-518906</w:t>
            </w:r>
          </w:p>
        </w:tc>
        <w:tc>
          <w:tcPr>
            <w:tcW w:w="1412" w:type="dxa"/>
            <w:tcBorders>
              <w:left w:val="none" w:sz="0" w:space="0" w:color="auto"/>
              <w:right w:val="none" w:sz="0" w:space="0" w:color="auto"/>
            </w:tcBorders>
            <w:noWrap/>
          </w:tcPr>
          <w:p w:rsidR="009B32AB" w:rsidRPr="003B62C5"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62C5">
              <w:rPr>
                <w:sz w:val="20"/>
                <w:szCs w:val="20"/>
              </w:rPr>
              <w:t>Lighting</w:t>
            </w:r>
          </w:p>
        </w:tc>
        <w:tc>
          <w:tcPr>
            <w:tcW w:w="4168" w:type="dxa"/>
            <w:tcBorders>
              <w:left w:val="none" w:sz="0" w:space="0" w:color="auto"/>
              <w:right w:val="none" w:sz="0" w:space="0" w:color="auto"/>
            </w:tcBorders>
            <w:noWrap/>
          </w:tcPr>
          <w:p w:rsidR="009B32AB" w:rsidRPr="003B62C5"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62C5">
              <w:rPr>
                <w:sz w:val="20"/>
                <w:szCs w:val="20"/>
              </w:rPr>
              <w:t xml:space="preserve">At the site visit it was discovered that there were minor differences in the fixture count. Additionally, the Appendix C calculator was not used correctly, although the final </w:t>
            </w:r>
            <w:r>
              <w:rPr>
                <w:sz w:val="20"/>
                <w:szCs w:val="20"/>
              </w:rPr>
              <w:t>e</w:t>
            </w:r>
            <w:r w:rsidRPr="003B62C5">
              <w:rPr>
                <w:sz w:val="20"/>
                <w:szCs w:val="20"/>
              </w:rPr>
              <w:t xml:space="preserve">x </w:t>
            </w:r>
            <w:r>
              <w:rPr>
                <w:sz w:val="20"/>
                <w:szCs w:val="20"/>
              </w:rPr>
              <w:t>p</w:t>
            </w:r>
            <w:r w:rsidRPr="003B62C5">
              <w:rPr>
                <w:sz w:val="20"/>
                <w:szCs w:val="20"/>
              </w:rPr>
              <w:t>ost analysis is correct.</w:t>
            </w:r>
          </w:p>
        </w:tc>
        <w:tc>
          <w:tcPr>
            <w:tcW w:w="859" w:type="dxa"/>
            <w:tcBorders>
              <w:left w:val="none" w:sz="0" w:space="0" w:color="auto"/>
              <w:right w:val="none" w:sz="0" w:space="0" w:color="auto"/>
            </w:tcBorders>
            <w:noWrap/>
          </w:tcPr>
          <w:p w:rsidR="009B32AB" w:rsidRPr="003B62C5"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62C5">
              <w:rPr>
                <w:sz w:val="20"/>
                <w:szCs w:val="20"/>
              </w:rPr>
              <w:t>Eval</w:t>
            </w:r>
          </w:p>
        </w:tc>
        <w:tc>
          <w:tcPr>
            <w:tcW w:w="5271" w:type="dxa"/>
            <w:tcBorders>
              <w:left w:val="none" w:sz="0" w:space="0" w:color="auto"/>
            </w:tcBorders>
            <w:noWrap/>
          </w:tcPr>
          <w:p w:rsidR="009B32AB" w:rsidRPr="003B62C5"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62C5">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3B62C5">
              <w:rPr>
                <w:sz w:val="20"/>
                <w:szCs w:val="20"/>
              </w:rPr>
              <w:t>use only the Appendix C calculator for lighting projects moving forward.</w:t>
            </w:r>
          </w:p>
        </w:tc>
      </w:tr>
      <w:tr w:rsidR="00E7173E" w:rsidRPr="004B56B4" w:rsidTr="005C3E63">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3B62C5" w:rsidRDefault="009B32AB" w:rsidP="00380FF9">
            <w:pPr>
              <w:rPr>
                <w:sz w:val="20"/>
                <w:szCs w:val="20"/>
              </w:rPr>
            </w:pPr>
            <w:r w:rsidRPr="003B62C5">
              <w:rPr>
                <w:sz w:val="20"/>
                <w:szCs w:val="20"/>
              </w:rPr>
              <w:t>PRJ-518945</w:t>
            </w:r>
          </w:p>
        </w:tc>
        <w:tc>
          <w:tcPr>
            <w:tcW w:w="1412" w:type="dxa"/>
            <w:tcBorders>
              <w:left w:val="none" w:sz="0" w:space="0" w:color="auto"/>
              <w:right w:val="none" w:sz="0" w:space="0" w:color="auto"/>
            </w:tcBorders>
            <w:noWrap/>
          </w:tcPr>
          <w:p w:rsidR="009B32AB" w:rsidRPr="003B62C5"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62C5">
              <w:rPr>
                <w:sz w:val="20"/>
                <w:szCs w:val="20"/>
              </w:rPr>
              <w:t>Lighting</w:t>
            </w:r>
          </w:p>
        </w:tc>
        <w:tc>
          <w:tcPr>
            <w:tcW w:w="4168" w:type="dxa"/>
            <w:tcBorders>
              <w:left w:val="none" w:sz="0" w:space="0" w:color="auto"/>
              <w:right w:val="none" w:sz="0" w:space="0" w:color="auto"/>
            </w:tcBorders>
            <w:noWrap/>
          </w:tcPr>
          <w:p w:rsidR="009B32AB" w:rsidRPr="003B62C5"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62C5">
              <w:rPr>
                <w:sz w:val="20"/>
                <w:szCs w:val="20"/>
              </w:rPr>
              <w:t xml:space="preserve">At the site visit it was discovered that there were minor differences in the fixture count. Additionally, the Appendix C calculator was not used correctly, although the final </w:t>
            </w:r>
            <w:r>
              <w:rPr>
                <w:sz w:val="20"/>
                <w:szCs w:val="20"/>
              </w:rPr>
              <w:t>e</w:t>
            </w:r>
            <w:r w:rsidRPr="003B62C5">
              <w:rPr>
                <w:sz w:val="20"/>
                <w:szCs w:val="20"/>
              </w:rPr>
              <w:t xml:space="preserve">x </w:t>
            </w:r>
            <w:r>
              <w:rPr>
                <w:sz w:val="20"/>
                <w:szCs w:val="20"/>
              </w:rPr>
              <w:t>p</w:t>
            </w:r>
            <w:r w:rsidRPr="003B62C5">
              <w:rPr>
                <w:sz w:val="20"/>
                <w:szCs w:val="20"/>
              </w:rPr>
              <w:t>ost analysis is correct.</w:t>
            </w:r>
          </w:p>
        </w:tc>
        <w:tc>
          <w:tcPr>
            <w:tcW w:w="859" w:type="dxa"/>
            <w:tcBorders>
              <w:left w:val="none" w:sz="0" w:space="0" w:color="auto"/>
              <w:right w:val="none" w:sz="0" w:space="0" w:color="auto"/>
            </w:tcBorders>
            <w:noWrap/>
          </w:tcPr>
          <w:p w:rsidR="009B32AB" w:rsidRPr="003B62C5"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62C5">
              <w:rPr>
                <w:sz w:val="20"/>
                <w:szCs w:val="20"/>
              </w:rPr>
              <w:t>Eval</w:t>
            </w:r>
          </w:p>
        </w:tc>
        <w:tc>
          <w:tcPr>
            <w:tcW w:w="5271" w:type="dxa"/>
            <w:tcBorders>
              <w:left w:val="none" w:sz="0" w:space="0" w:color="auto"/>
            </w:tcBorders>
            <w:noWrap/>
          </w:tcPr>
          <w:p w:rsidR="009B32AB" w:rsidRPr="003B62C5" w:rsidRDefault="009B32AB" w:rsidP="00380FF9">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62C5">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3B62C5">
              <w:rPr>
                <w:sz w:val="20"/>
                <w:szCs w:val="20"/>
              </w:rPr>
              <w:t>use only the Appendix C calculator for lighting projects moving forward.</w:t>
            </w:r>
          </w:p>
        </w:tc>
      </w:tr>
      <w:tr w:rsidR="00A874AC" w:rsidRPr="004B56B4" w:rsidTr="005C3E63">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40" w:type="dxa"/>
            <w:tcBorders>
              <w:right w:val="none" w:sz="0" w:space="0" w:color="auto"/>
            </w:tcBorders>
            <w:noWrap/>
          </w:tcPr>
          <w:p w:rsidR="009B32AB" w:rsidRPr="003B62C5" w:rsidRDefault="009B32AB" w:rsidP="00380FF9">
            <w:pPr>
              <w:rPr>
                <w:sz w:val="20"/>
                <w:szCs w:val="20"/>
              </w:rPr>
            </w:pPr>
            <w:r w:rsidRPr="003B62C5">
              <w:rPr>
                <w:sz w:val="20"/>
                <w:szCs w:val="20"/>
              </w:rPr>
              <w:t>PRJ-819595</w:t>
            </w:r>
          </w:p>
        </w:tc>
        <w:tc>
          <w:tcPr>
            <w:tcW w:w="1412" w:type="dxa"/>
            <w:tcBorders>
              <w:left w:val="none" w:sz="0" w:space="0" w:color="auto"/>
              <w:right w:val="none" w:sz="0" w:space="0" w:color="auto"/>
            </w:tcBorders>
            <w:noWrap/>
          </w:tcPr>
          <w:p w:rsidR="009B32AB" w:rsidRPr="003B62C5"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62C5">
              <w:rPr>
                <w:sz w:val="20"/>
                <w:szCs w:val="20"/>
              </w:rPr>
              <w:t>Lighting</w:t>
            </w:r>
          </w:p>
        </w:tc>
        <w:tc>
          <w:tcPr>
            <w:tcW w:w="4168" w:type="dxa"/>
            <w:tcBorders>
              <w:left w:val="none" w:sz="0" w:space="0" w:color="auto"/>
              <w:right w:val="none" w:sz="0" w:space="0" w:color="auto"/>
            </w:tcBorders>
            <w:noWrap/>
          </w:tcPr>
          <w:p w:rsidR="009B32AB" w:rsidRPr="003B62C5"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62C5">
              <w:rPr>
                <w:sz w:val="20"/>
                <w:szCs w:val="20"/>
              </w:rPr>
              <w:t xml:space="preserve">At the site visit it was discovered that there were minor differences in the fixture count. Additionally, the Appendix C calculator was not used correctly, although the final </w:t>
            </w:r>
            <w:r>
              <w:rPr>
                <w:sz w:val="20"/>
                <w:szCs w:val="20"/>
              </w:rPr>
              <w:t>e</w:t>
            </w:r>
            <w:r w:rsidRPr="003B62C5">
              <w:rPr>
                <w:sz w:val="20"/>
                <w:szCs w:val="20"/>
              </w:rPr>
              <w:t xml:space="preserve">x </w:t>
            </w:r>
            <w:r>
              <w:rPr>
                <w:sz w:val="20"/>
                <w:szCs w:val="20"/>
              </w:rPr>
              <w:t>p</w:t>
            </w:r>
            <w:r w:rsidRPr="003B62C5">
              <w:rPr>
                <w:sz w:val="20"/>
                <w:szCs w:val="20"/>
              </w:rPr>
              <w:t>ost analysis is correct.</w:t>
            </w:r>
          </w:p>
        </w:tc>
        <w:tc>
          <w:tcPr>
            <w:tcW w:w="859" w:type="dxa"/>
            <w:tcBorders>
              <w:left w:val="none" w:sz="0" w:space="0" w:color="auto"/>
              <w:right w:val="none" w:sz="0" w:space="0" w:color="auto"/>
            </w:tcBorders>
            <w:noWrap/>
          </w:tcPr>
          <w:p w:rsidR="009B32AB" w:rsidRPr="003B62C5"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62C5">
              <w:rPr>
                <w:sz w:val="20"/>
                <w:szCs w:val="20"/>
              </w:rPr>
              <w:t>Eval</w:t>
            </w:r>
          </w:p>
        </w:tc>
        <w:tc>
          <w:tcPr>
            <w:tcW w:w="5271" w:type="dxa"/>
            <w:tcBorders>
              <w:left w:val="none" w:sz="0" w:space="0" w:color="auto"/>
            </w:tcBorders>
            <w:noWrap/>
          </w:tcPr>
          <w:p w:rsidR="009B32AB" w:rsidRPr="003B62C5" w:rsidRDefault="009B32AB" w:rsidP="00380FF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62C5">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3B62C5">
              <w:rPr>
                <w:sz w:val="20"/>
                <w:szCs w:val="20"/>
              </w:rPr>
              <w:t>use only the Appendix C calculator for lighting projects moving forward.</w:t>
            </w:r>
          </w:p>
        </w:tc>
      </w:tr>
    </w:tbl>
    <w:p w:rsidR="009B32AB" w:rsidRPr="009B32AB" w:rsidRDefault="009B32AB" w:rsidP="009B32AB">
      <w:pPr>
        <w:tabs>
          <w:tab w:val="left" w:pos="3869"/>
        </w:tabs>
        <w:sectPr w:rsidR="009B32AB" w:rsidRPr="009B32AB" w:rsidSect="00391C49">
          <w:headerReference w:type="default" r:id="rId117"/>
          <w:footerReference w:type="default" r:id="rId118"/>
          <w:headerReference w:type="first" r:id="rId119"/>
          <w:footerReference w:type="first" r:id="rId120"/>
          <w:pgSz w:w="15840" w:h="12240" w:orient="landscape"/>
          <w:pgMar w:top="1440" w:right="1440" w:bottom="1440" w:left="1440" w:header="720" w:footer="288" w:gutter="0"/>
          <w:pgNumType w:chapStyle="6"/>
          <w:cols w:space="720"/>
          <w:titlePg/>
          <w:docGrid w:linePitch="360"/>
        </w:sectPr>
      </w:pPr>
      <w:r>
        <w:tab/>
      </w:r>
    </w:p>
    <w:p w:rsidR="00117CF7" w:rsidRDefault="009B32AB" w:rsidP="009B32AB">
      <w:pPr>
        <w:pStyle w:val="AppendixAHeading4"/>
      </w:pPr>
      <w:r>
        <w:lastRenderedPageBreak/>
        <w:t>Verified Savings Review</w:t>
      </w:r>
    </w:p>
    <w:p w:rsidR="009B32AB" w:rsidRPr="003458B1" w:rsidRDefault="009B32AB" w:rsidP="009B32AB">
      <w:pPr>
        <w:rPr>
          <w:color w:val="000000"/>
        </w:rPr>
      </w:pPr>
      <w:r w:rsidRPr="003458B1">
        <w:rPr>
          <w:color w:val="000000"/>
        </w:rPr>
        <w:t xml:space="preserve">The SWE Team reviewed a subset of Met-Ed’s sampled sites and found appropriate rigor in the evaluation contractor’s M&amp;V methods. Previously, the SWE commented that </w:t>
      </w:r>
      <w:r>
        <w:rPr>
          <w:color w:val="000000"/>
        </w:rPr>
        <w:t>it</w:t>
      </w:r>
      <w:r w:rsidRPr="003458B1">
        <w:rPr>
          <w:color w:val="000000"/>
        </w:rPr>
        <w:t xml:space="preserve"> “would like to see better organization and presentation in the project files</w:t>
      </w:r>
      <w:r>
        <w:rPr>
          <w:color w:val="000000"/>
        </w:rPr>
        <w:t>,</w:t>
      </w:r>
      <w:r w:rsidRPr="003458B1">
        <w:rPr>
          <w:color w:val="000000"/>
        </w:rPr>
        <w:t>” and there was significant improvement in this respect for PY7. Project folders were well</w:t>
      </w:r>
      <w:r>
        <w:rPr>
          <w:color w:val="000000"/>
        </w:rPr>
        <w:t xml:space="preserve"> </w:t>
      </w:r>
      <w:r w:rsidRPr="003458B1">
        <w:rPr>
          <w:color w:val="000000"/>
        </w:rPr>
        <w:t>organized</w:t>
      </w:r>
      <w:r>
        <w:rPr>
          <w:color w:val="000000"/>
        </w:rPr>
        <w:t>,</w:t>
      </w:r>
      <w:r w:rsidRPr="003458B1">
        <w:rPr>
          <w:color w:val="000000"/>
        </w:rPr>
        <w:t xml:space="preserve"> and there was a report for each project detailing M&amp;V methodology and results. </w:t>
      </w:r>
      <w:r w:rsidRPr="003458B1">
        <w:rPr>
          <w:color w:val="000000"/>
        </w:rPr>
        <w:fldChar w:fldCharType="begin"/>
      </w:r>
      <w:r w:rsidRPr="003458B1">
        <w:rPr>
          <w:color w:val="000000"/>
        </w:rPr>
        <w:instrText xml:space="preserve"> REF _Ref433896605 \h  \* MERGEFORMAT </w:instrText>
      </w:r>
      <w:r w:rsidRPr="003458B1">
        <w:rPr>
          <w:color w:val="000000"/>
        </w:rPr>
      </w:r>
      <w:r w:rsidRPr="003458B1">
        <w:rPr>
          <w:color w:val="000000"/>
        </w:rPr>
        <w:fldChar w:fldCharType="separate"/>
      </w:r>
      <w:r w:rsidR="00A874AC" w:rsidRPr="00A874AC">
        <w:t>Table A-43</w:t>
      </w:r>
      <w:r w:rsidRPr="003458B1">
        <w:rPr>
          <w:color w:val="000000"/>
        </w:rPr>
        <w:fldChar w:fldCharType="end"/>
      </w:r>
      <w:r w:rsidRPr="003458B1">
        <w:rPr>
          <w:color w:val="000000"/>
        </w:rPr>
        <w:t xml:space="preserve"> shows the energy and demand savings for projects chosen for review by the SWE Team, as well as the M&amp;V approach selected for site evaluation.</w:t>
      </w:r>
    </w:p>
    <w:p w:rsidR="009B32AB" w:rsidRPr="003458B1" w:rsidRDefault="009B32AB" w:rsidP="009B32AB">
      <w:pPr>
        <w:rPr>
          <w:color w:val="000000"/>
        </w:rPr>
      </w:pPr>
    </w:p>
    <w:p w:rsidR="009B32AB" w:rsidRPr="003458B1" w:rsidRDefault="009B32AB" w:rsidP="009B32AB">
      <w:pPr>
        <w:spacing w:after="120"/>
        <w:jc w:val="center"/>
        <w:rPr>
          <w:rFonts w:ascii="Century Gothic" w:hAnsi="Century Gothic"/>
          <w:b/>
          <w:bCs/>
          <w:sz w:val="18"/>
          <w:szCs w:val="18"/>
        </w:rPr>
      </w:pPr>
      <w:bookmarkStart w:id="762" w:name="_Ref433896605"/>
      <w:bookmarkStart w:id="763" w:name="_Toc410199418"/>
      <w:bookmarkStart w:id="764" w:name="_Toc431462338"/>
      <w:bookmarkStart w:id="765" w:name="_Toc444269859"/>
      <w:bookmarkStart w:id="766" w:name="_Toc472472452"/>
      <w:bookmarkStart w:id="767" w:name="_Toc476842158"/>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43</w:t>
      </w:r>
      <w:r w:rsidRPr="003458B1">
        <w:rPr>
          <w:rFonts w:ascii="Century Gothic" w:hAnsi="Century Gothic"/>
          <w:b/>
          <w:bCs/>
          <w:sz w:val="18"/>
          <w:szCs w:val="18"/>
        </w:rPr>
        <w:fldChar w:fldCharType="end"/>
      </w:r>
      <w:bookmarkEnd w:id="762"/>
      <w:r w:rsidRPr="003458B1">
        <w:rPr>
          <w:rFonts w:ascii="Century Gothic" w:hAnsi="Century Gothic"/>
          <w:b/>
          <w:bCs/>
          <w:sz w:val="18"/>
          <w:szCs w:val="18"/>
        </w:rPr>
        <w:t>: Verified Savings and M&amp;V Methods for SWE Team</w:t>
      </w:r>
      <w:r>
        <w:rPr>
          <w:rFonts w:ascii="Century Gothic" w:hAnsi="Century Gothic"/>
          <w:b/>
          <w:bCs/>
          <w:sz w:val="18"/>
          <w:szCs w:val="18"/>
        </w:rPr>
        <w:t>–S</w:t>
      </w:r>
      <w:r w:rsidRPr="003458B1">
        <w:rPr>
          <w:rFonts w:ascii="Century Gothic" w:hAnsi="Century Gothic"/>
          <w:b/>
          <w:bCs/>
          <w:sz w:val="18"/>
          <w:szCs w:val="18"/>
        </w:rPr>
        <w:t>ampled Met-Ed Projects</w:t>
      </w:r>
      <w:bookmarkEnd w:id="763"/>
      <w:bookmarkEnd w:id="764"/>
      <w:bookmarkEnd w:id="765"/>
      <w:bookmarkEnd w:id="766"/>
      <w:bookmarkEnd w:id="767"/>
    </w:p>
    <w:tbl>
      <w:tblPr>
        <w:tblW w:w="0" w:type="auto"/>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513"/>
        <w:gridCol w:w="1527"/>
        <w:gridCol w:w="1259"/>
        <w:gridCol w:w="1485"/>
        <w:gridCol w:w="1336"/>
        <w:gridCol w:w="2122"/>
      </w:tblGrid>
      <w:tr w:rsidR="00A874AC" w:rsidRPr="003458B1" w:rsidTr="005C3E63">
        <w:tc>
          <w:tcPr>
            <w:tcW w:w="1527" w:type="dxa"/>
            <w:shd w:val="clear" w:color="auto" w:fill="448A99"/>
            <w:vAlign w:val="bottom"/>
          </w:tcPr>
          <w:p w:rsidR="009B32AB" w:rsidRPr="003458B1" w:rsidRDefault="009B32AB" w:rsidP="00380FF9">
            <w:pPr>
              <w:jc w:val="left"/>
              <w:rPr>
                <w:rFonts w:eastAsia="Calibri"/>
                <w:b/>
                <w:color w:val="FFFFFF"/>
                <w:sz w:val="20"/>
                <w:szCs w:val="20"/>
              </w:rPr>
            </w:pPr>
            <w:r w:rsidRPr="003458B1">
              <w:rPr>
                <w:rFonts w:eastAsia="Calibri"/>
                <w:b/>
                <w:color w:val="FFFFFF"/>
                <w:sz w:val="20"/>
                <w:szCs w:val="20"/>
              </w:rPr>
              <w:t>Program</w:t>
            </w:r>
          </w:p>
        </w:tc>
        <w:tc>
          <w:tcPr>
            <w:tcW w:w="1548" w:type="dxa"/>
            <w:shd w:val="clear" w:color="auto" w:fill="448A99"/>
            <w:vAlign w:val="bottom"/>
          </w:tcPr>
          <w:p w:rsidR="009B32AB" w:rsidRPr="003458B1" w:rsidRDefault="009B32AB" w:rsidP="00380FF9">
            <w:pPr>
              <w:jc w:val="center"/>
              <w:rPr>
                <w:rFonts w:eastAsia="Calibri"/>
                <w:b/>
                <w:color w:val="FFFFFF"/>
                <w:sz w:val="20"/>
                <w:szCs w:val="20"/>
              </w:rPr>
            </w:pPr>
            <w:r w:rsidRPr="003458B1">
              <w:rPr>
                <w:rFonts w:eastAsia="Calibri"/>
                <w:b/>
                <w:color w:val="FFFFFF"/>
                <w:sz w:val="20"/>
                <w:szCs w:val="20"/>
              </w:rPr>
              <w:t>Project Number</w:t>
            </w:r>
          </w:p>
        </w:tc>
        <w:tc>
          <w:tcPr>
            <w:tcW w:w="1270" w:type="dxa"/>
            <w:shd w:val="clear" w:color="auto" w:fill="448A99"/>
            <w:vAlign w:val="bottom"/>
          </w:tcPr>
          <w:p w:rsidR="009B32AB" w:rsidRPr="003458B1" w:rsidRDefault="009B32AB" w:rsidP="00380FF9">
            <w:pPr>
              <w:jc w:val="center"/>
              <w:rPr>
                <w:rFonts w:eastAsia="Calibri"/>
                <w:b/>
                <w:color w:val="FFFFFF"/>
                <w:sz w:val="20"/>
                <w:szCs w:val="20"/>
              </w:rPr>
            </w:pPr>
            <w:r w:rsidRPr="003458B1">
              <w:rPr>
                <w:rFonts w:eastAsia="Calibri"/>
                <w:b/>
                <w:color w:val="FFFFFF"/>
                <w:sz w:val="20"/>
                <w:szCs w:val="20"/>
              </w:rPr>
              <w:t>Stratum</w:t>
            </w:r>
          </w:p>
        </w:tc>
        <w:tc>
          <w:tcPr>
            <w:tcW w:w="1500" w:type="dxa"/>
            <w:shd w:val="clear" w:color="auto" w:fill="448A99"/>
            <w:vAlign w:val="bottom"/>
          </w:tcPr>
          <w:p w:rsidR="009B32AB" w:rsidRPr="003458B1" w:rsidRDefault="009B32AB" w:rsidP="00380FF9">
            <w:pPr>
              <w:jc w:val="center"/>
              <w:rPr>
                <w:rFonts w:eastAsia="Calibri"/>
                <w:b/>
                <w:color w:val="FFFFFF"/>
                <w:sz w:val="20"/>
                <w:szCs w:val="20"/>
              </w:rPr>
            </w:pPr>
            <w:r w:rsidRPr="003458B1">
              <w:rPr>
                <w:rFonts w:eastAsia="Calibri"/>
                <w:b/>
                <w:color w:val="FFFFFF"/>
                <w:sz w:val="20"/>
                <w:szCs w:val="20"/>
              </w:rPr>
              <w:t>Verified Energy Savings (kWh)</w:t>
            </w:r>
          </w:p>
        </w:tc>
        <w:tc>
          <w:tcPr>
            <w:tcW w:w="1350" w:type="dxa"/>
            <w:shd w:val="clear" w:color="auto" w:fill="448A99"/>
            <w:vAlign w:val="bottom"/>
          </w:tcPr>
          <w:p w:rsidR="009B32AB" w:rsidRPr="003458B1" w:rsidRDefault="009B32AB" w:rsidP="00380FF9">
            <w:pPr>
              <w:jc w:val="center"/>
              <w:rPr>
                <w:rFonts w:eastAsia="Calibri"/>
                <w:b/>
                <w:color w:val="FFFFFF"/>
                <w:sz w:val="20"/>
                <w:szCs w:val="20"/>
              </w:rPr>
            </w:pPr>
            <w:r w:rsidRPr="003458B1">
              <w:rPr>
                <w:rFonts w:eastAsia="Calibri"/>
                <w:b/>
                <w:color w:val="FFFFFF"/>
                <w:sz w:val="20"/>
                <w:szCs w:val="20"/>
              </w:rPr>
              <w:t>Verified Demand Savings (kW)</w:t>
            </w:r>
          </w:p>
        </w:tc>
        <w:tc>
          <w:tcPr>
            <w:tcW w:w="2155" w:type="dxa"/>
            <w:shd w:val="clear" w:color="auto" w:fill="448A99"/>
            <w:vAlign w:val="bottom"/>
          </w:tcPr>
          <w:p w:rsidR="009B32AB" w:rsidRPr="003458B1" w:rsidRDefault="009B32AB" w:rsidP="00380FF9">
            <w:pPr>
              <w:jc w:val="center"/>
              <w:rPr>
                <w:rFonts w:eastAsia="Calibri"/>
                <w:b/>
                <w:color w:val="FFFFFF"/>
                <w:sz w:val="20"/>
                <w:szCs w:val="20"/>
              </w:rPr>
            </w:pPr>
            <w:r w:rsidRPr="003458B1">
              <w:rPr>
                <w:rFonts w:eastAsia="Calibri"/>
                <w:b/>
                <w:color w:val="FFFFFF"/>
                <w:sz w:val="20"/>
                <w:szCs w:val="20"/>
              </w:rPr>
              <w:t>M&amp;V Method</w:t>
            </w:r>
          </w:p>
        </w:tc>
      </w:tr>
      <w:tr w:rsidR="00A874AC" w:rsidRPr="003458B1" w:rsidTr="005C3E63">
        <w:trPr>
          <w:trHeight w:val="732"/>
        </w:trPr>
        <w:tc>
          <w:tcPr>
            <w:tcW w:w="1527" w:type="dxa"/>
            <w:shd w:val="clear" w:color="auto" w:fill="D2EAF1"/>
            <w:vAlign w:val="center"/>
          </w:tcPr>
          <w:p w:rsidR="009B32AB" w:rsidRPr="003458B1" w:rsidRDefault="009B32AB" w:rsidP="00380FF9">
            <w:pPr>
              <w:jc w:val="left"/>
              <w:rPr>
                <w:rFonts w:eastAsia="Calibri"/>
                <w:sz w:val="20"/>
                <w:szCs w:val="20"/>
              </w:rPr>
            </w:pPr>
            <w:r w:rsidRPr="003458B1">
              <w:rPr>
                <w:rFonts w:eastAsia="Calibri"/>
                <w:sz w:val="20"/>
                <w:szCs w:val="20"/>
              </w:rPr>
              <w:t>Small C/I Equipment</w:t>
            </w:r>
          </w:p>
        </w:tc>
        <w:tc>
          <w:tcPr>
            <w:tcW w:w="1548" w:type="dxa"/>
            <w:shd w:val="clear" w:color="auto" w:fill="D2EAF1"/>
            <w:vAlign w:val="center"/>
          </w:tcPr>
          <w:p w:rsidR="009B32AB" w:rsidRPr="003458B1" w:rsidRDefault="009B32AB" w:rsidP="00380FF9">
            <w:pPr>
              <w:jc w:val="center"/>
              <w:rPr>
                <w:sz w:val="20"/>
                <w:szCs w:val="20"/>
              </w:rPr>
            </w:pPr>
            <w:r w:rsidRPr="003458B1">
              <w:rPr>
                <w:sz w:val="20"/>
                <w:szCs w:val="20"/>
              </w:rPr>
              <w:t>CR_PRJ-394737</w:t>
            </w:r>
          </w:p>
        </w:tc>
        <w:tc>
          <w:tcPr>
            <w:tcW w:w="1270" w:type="dxa"/>
            <w:shd w:val="clear" w:color="auto" w:fill="D2EAF1"/>
            <w:vAlign w:val="center"/>
          </w:tcPr>
          <w:p w:rsidR="009B32AB" w:rsidRPr="003458B1" w:rsidRDefault="009B32AB" w:rsidP="00380FF9">
            <w:pPr>
              <w:jc w:val="center"/>
              <w:rPr>
                <w:sz w:val="20"/>
                <w:szCs w:val="20"/>
              </w:rPr>
            </w:pPr>
            <w:r>
              <w:rPr>
                <w:sz w:val="20"/>
                <w:szCs w:val="20"/>
              </w:rPr>
              <w:t>Custom –c</w:t>
            </w:r>
            <w:r w:rsidRPr="003458B1">
              <w:rPr>
                <w:sz w:val="20"/>
                <w:szCs w:val="20"/>
              </w:rPr>
              <w:t>ertainty</w:t>
            </w:r>
          </w:p>
        </w:tc>
        <w:tc>
          <w:tcPr>
            <w:tcW w:w="1500" w:type="dxa"/>
            <w:shd w:val="clear" w:color="auto" w:fill="D2EAF1"/>
            <w:vAlign w:val="center"/>
          </w:tcPr>
          <w:p w:rsidR="009B32AB" w:rsidRPr="003458B1" w:rsidRDefault="009B32AB" w:rsidP="00380FF9">
            <w:pPr>
              <w:jc w:val="center"/>
              <w:rPr>
                <w:sz w:val="20"/>
                <w:szCs w:val="20"/>
              </w:rPr>
            </w:pPr>
            <w:r w:rsidRPr="003458B1">
              <w:rPr>
                <w:sz w:val="20"/>
                <w:szCs w:val="20"/>
              </w:rPr>
              <w:t>2,161,448</w:t>
            </w:r>
          </w:p>
        </w:tc>
        <w:tc>
          <w:tcPr>
            <w:tcW w:w="1350" w:type="dxa"/>
            <w:shd w:val="clear" w:color="auto" w:fill="D2EAF1"/>
            <w:vAlign w:val="center"/>
          </w:tcPr>
          <w:p w:rsidR="009B32AB" w:rsidRPr="003458B1" w:rsidRDefault="009B32AB" w:rsidP="00380FF9">
            <w:pPr>
              <w:jc w:val="center"/>
              <w:rPr>
                <w:sz w:val="20"/>
                <w:szCs w:val="20"/>
              </w:rPr>
            </w:pPr>
            <w:r w:rsidRPr="003458B1">
              <w:rPr>
                <w:sz w:val="20"/>
                <w:szCs w:val="20"/>
              </w:rPr>
              <w:t>267.38</w:t>
            </w:r>
          </w:p>
        </w:tc>
        <w:tc>
          <w:tcPr>
            <w:tcW w:w="2155" w:type="dxa"/>
            <w:shd w:val="clear" w:color="auto" w:fill="D2EAF1"/>
            <w:vAlign w:val="center"/>
          </w:tcPr>
          <w:p w:rsidR="009B32AB" w:rsidRPr="003458B1" w:rsidRDefault="009B32AB" w:rsidP="00380FF9">
            <w:pPr>
              <w:jc w:val="center"/>
              <w:rPr>
                <w:sz w:val="20"/>
                <w:szCs w:val="20"/>
              </w:rPr>
            </w:pPr>
            <w:r>
              <w:rPr>
                <w:sz w:val="20"/>
                <w:szCs w:val="20"/>
              </w:rPr>
              <w:t>Metered data a</w:t>
            </w:r>
            <w:r w:rsidRPr="003458B1">
              <w:rPr>
                <w:sz w:val="20"/>
                <w:szCs w:val="20"/>
              </w:rPr>
              <w:t>nalysis</w:t>
            </w:r>
          </w:p>
        </w:tc>
      </w:tr>
      <w:tr w:rsidR="00E7173E" w:rsidRPr="003458B1" w:rsidTr="005C3E63">
        <w:trPr>
          <w:trHeight w:val="732"/>
        </w:trPr>
        <w:tc>
          <w:tcPr>
            <w:tcW w:w="1527" w:type="dxa"/>
            <w:shd w:val="clear" w:color="auto" w:fill="auto"/>
            <w:vAlign w:val="center"/>
          </w:tcPr>
          <w:p w:rsidR="009B32AB" w:rsidRPr="003458B1" w:rsidRDefault="009B32AB" w:rsidP="00380FF9">
            <w:pPr>
              <w:jc w:val="left"/>
              <w:rPr>
                <w:rFonts w:eastAsia="Calibri"/>
                <w:sz w:val="20"/>
                <w:szCs w:val="20"/>
              </w:rPr>
            </w:pPr>
            <w:r w:rsidRPr="003458B1">
              <w:rPr>
                <w:rFonts w:eastAsia="Calibri"/>
                <w:sz w:val="20"/>
                <w:szCs w:val="20"/>
              </w:rPr>
              <w:t>Small C/I Equipment</w:t>
            </w:r>
          </w:p>
        </w:tc>
        <w:tc>
          <w:tcPr>
            <w:tcW w:w="1548" w:type="dxa"/>
            <w:shd w:val="clear" w:color="auto" w:fill="auto"/>
            <w:vAlign w:val="center"/>
          </w:tcPr>
          <w:p w:rsidR="009B32AB" w:rsidRPr="003458B1" w:rsidRDefault="009B32AB" w:rsidP="00380FF9">
            <w:pPr>
              <w:jc w:val="center"/>
              <w:rPr>
                <w:sz w:val="20"/>
                <w:szCs w:val="20"/>
              </w:rPr>
            </w:pPr>
            <w:r w:rsidRPr="003458B1">
              <w:rPr>
                <w:sz w:val="20"/>
                <w:szCs w:val="20"/>
              </w:rPr>
              <w:t>CR_PRJ-471704</w:t>
            </w:r>
          </w:p>
        </w:tc>
        <w:tc>
          <w:tcPr>
            <w:tcW w:w="1270" w:type="dxa"/>
            <w:shd w:val="clear" w:color="auto" w:fill="auto"/>
            <w:vAlign w:val="center"/>
          </w:tcPr>
          <w:p w:rsidR="009B32AB" w:rsidRPr="003458B1" w:rsidRDefault="009B32AB" w:rsidP="00380FF9">
            <w:pPr>
              <w:jc w:val="center"/>
              <w:rPr>
                <w:sz w:val="20"/>
                <w:szCs w:val="20"/>
              </w:rPr>
            </w:pPr>
            <w:r>
              <w:rPr>
                <w:sz w:val="20"/>
                <w:szCs w:val="20"/>
              </w:rPr>
              <w:t xml:space="preserve">Lighting – </w:t>
            </w:r>
            <w:r w:rsidRPr="003458B1">
              <w:rPr>
                <w:sz w:val="20"/>
                <w:szCs w:val="20"/>
              </w:rPr>
              <w:t>3</w:t>
            </w:r>
          </w:p>
        </w:tc>
        <w:tc>
          <w:tcPr>
            <w:tcW w:w="1500" w:type="dxa"/>
            <w:shd w:val="clear" w:color="auto" w:fill="auto"/>
            <w:vAlign w:val="center"/>
          </w:tcPr>
          <w:p w:rsidR="009B32AB" w:rsidRPr="003458B1" w:rsidRDefault="009B32AB" w:rsidP="00380FF9">
            <w:pPr>
              <w:jc w:val="center"/>
              <w:rPr>
                <w:sz w:val="20"/>
                <w:szCs w:val="20"/>
              </w:rPr>
            </w:pPr>
            <w:r w:rsidRPr="003458B1">
              <w:rPr>
                <w:sz w:val="20"/>
                <w:szCs w:val="20"/>
              </w:rPr>
              <w:t>303,346</w:t>
            </w:r>
          </w:p>
        </w:tc>
        <w:tc>
          <w:tcPr>
            <w:tcW w:w="1350" w:type="dxa"/>
            <w:shd w:val="clear" w:color="auto" w:fill="auto"/>
            <w:vAlign w:val="center"/>
          </w:tcPr>
          <w:p w:rsidR="009B32AB" w:rsidRPr="003458B1" w:rsidRDefault="009B32AB" w:rsidP="00380FF9">
            <w:pPr>
              <w:jc w:val="center"/>
              <w:rPr>
                <w:sz w:val="20"/>
                <w:szCs w:val="20"/>
              </w:rPr>
            </w:pPr>
            <w:r w:rsidRPr="003458B1">
              <w:rPr>
                <w:sz w:val="20"/>
                <w:szCs w:val="20"/>
              </w:rPr>
              <w:t>35.27</w:t>
            </w:r>
          </w:p>
        </w:tc>
        <w:tc>
          <w:tcPr>
            <w:tcW w:w="2155" w:type="dxa"/>
            <w:shd w:val="clear" w:color="auto" w:fill="auto"/>
            <w:vAlign w:val="center"/>
          </w:tcPr>
          <w:p w:rsidR="009B32AB" w:rsidRPr="003458B1" w:rsidRDefault="009B32AB" w:rsidP="00380FF9">
            <w:pPr>
              <w:jc w:val="center"/>
              <w:rPr>
                <w:sz w:val="20"/>
                <w:szCs w:val="20"/>
              </w:rPr>
            </w:pPr>
            <w:r>
              <w:rPr>
                <w:sz w:val="20"/>
                <w:szCs w:val="20"/>
              </w:rPr>
              <w:t>On-site verification + l</w:t>
            </w:r>
            <w:r w:rsidRPr="003458B1">
              <w:rPr>
                <w:sz w:val="20"/>
                <w:szCs w:val="20"/>
              </w:rPr>
              <w:t>ogging</w:t>
            </w:r>
          </w:p>
        </w:tc>
      </w:tr>
      <w:tr w:rsidR="00A874AC" w:rsidRPr="003458B1" w:rsidTr="005C3E63">
        <w:trPr>
          <w:trHeight w:val="732"/>
        </w:trPr>
        <w:tc>
          <w:tcPr>
            <w:tcW w:w="1527" w:type="dxa"/>
            <w:shd w:val="clear" w:color="auto" w:fill="D2EAF1"/>
            <w:vAlign w:val="center"/>
          </w:tcPr>
          <w:p w:rsidR="009B32AB" w:rsidRPr="003458B1" w:rsidRDefault="009B32AB" w:rsidP="00380FF9">
            <w:pPr>
              <w:jc w:val="left"/>
              <w:rPr>
                <w:rFonts w:eastAsia="Calibri"/>
                <w:sz w:val="20"/>
                <w:szCs w:val="20"/>
              </w:rPr>
            </w:pPr>
            <w:r w:rsidRPr="003458B1">
              <w:rPr>
                <w:rFonts w:eastAsia="Calibri"/>
                <w:sz w:val="20"/>
                <w:szCs w:val="20"/>
              </w:rPr>
              <w:t>Large C/I Equipment</w:t>
            </w:r>
          </w:p>
        </w:tc>
        <w:tc>
          <w:tcPr>
            <w:tcW w:w="1548" w:type="dxa"/>
            <w:shd w:val="clear" w:color="auto" w:fill="D2EAF1"/>
            <w:vAlign w:val="center"/>
          </w:tcPr>
          <w:p w:rsidR="009B32AB" w:rsidRPr="003458B1" w:rsidRDefault="009B32AB" w:rsidP="00380FF9">
            <w:pPr>
              <w:jc w:val="center"/>
              <w:rPr>
                <w:sz w:val="20"/>
                <w:szCs w:val="20"/>
              </w:rPr>
            </w:pPr>
            <w:r w:rsidRPr="003458B1">
              <w:rPr>
                <w:sz w:val="20"/>
                <w:szCs w:val="20"/>
              </w:rPr>
              <w:t>CR_PRJ-504667</w:t>
            </w:r>
          </w:p>
        </w:tc>
        <w:tc>
          <w:tcPr>
            <w:tcW w:w="1270" w:type="dxa"/>
            <w:shd w:val="clear" w:color="auto" w:fill="D2EAF1"/>
            <w:vAlign w:val="center"/>
          </w:tcPr>
          <w:p w:rsidR="009B32AB" w:rsidRPr="003458B1" w:rsidRDefault="009B32AB" w:rsidP="00380FF9">
            <w:pPr>
              <w:jc w:val="center"/>
              <w:rPr>
                <w:sz w:val="20"/>
                <w:szCs w:val="20"/>
              </w:rPr>
            </w:pPr>
            <w:r>
              <w:rPr>
                <w:sz w:val="20"/>
                <w:szCs w:val="20"/>
              </w:rPr>
              <w:t>Custom – c</w:t>
            </w:r>
            <w:r w:rsidRPr="003458B1">
              <w:rPr>
                <w:sz w:val="20"/>
                <w:szCs w:val="20"/>
              </w:rPr>
              <w:t>ertainty</w:t>
            </w:r>
          </w:p>
        </w:tc>
        <w:tc>
          <w:tcPr>
            <w:tcW w:w="1500" w:type="dxa"/>
            <w:shd w:val="clear" w:color="auto" w:fill="D2EAF1"/>
            <w:vAlign w:val="center"/>
          </w:tcPr>
          <w:p w:rsidR="009B32AB" w:rsidRPr="003458B1" w:rsidRDefault="009B32AB" w:rsidP="00380FF9">
            <w:pPr>
              <w:jc w:val="center"/>
              <w:rPr>
                <w:sz w:val="20"/>
                <w:szCs w:val="20"/>
              </w:rPr>
            </w:pPr>
            <w:r w:rsidRPr="003458B1">
              <w:rPr>
                <w:sz w:val="20"/>
                <w:szCs w:val="20"/>
              </w:rPr>
              <w:t>1,197,481</w:t>
            </w:r>
          </w:p>
        </w:tc>
        <w:tc>
          <w:tcPr>
            <w:tcW w:w="1350" w:type="dxa"/>
            <w:shd w:val="clear" w:color="auto" w:fill="D2EAF1"/>
            <w:vAlign w:val="center"/>
          </w:tcPr>
          <w:p w:rsidR="009B32AB" w:rsidRPr="003458B1" w:rsidRDefault="009B32AB" w:rsidP="00380FF9">
            <w:pPr>
              <w:jc w:val="center"/>
              <w:rPr>
                <w:sz w:val="20"/>
                <w:szCs w:val="20"/>
              </w:rPr>
            </w:pPr>
            <w:r w:rsidRPr="003458B1">
              <w:rPr>
                <w:sz w:val="20"/>
                <w:szCs w:val="20"/>
              </w:rPr>
              <w:t>244.52</w:t>
            </w:r>
          </w:p>
        </w:tc>
        <w:tc>
          <w:tcPr>
            <w:tcW w:w="2155" w:type="dxa"/>
            <w:shd w:val="clear" w:color="auto" w:fill="D2EAF1"/>
            <w:vAlign w:val="center"/>
          </w:tcPr>
          <w:p w:rsidR="009B32AB" w:rsidRPr="003458B1" w:rsidRDefault="009B32AB" w:rsidP="00380FF9">
            <w:pPr>
              <w:jc w:val="center"/>
              <w:rPr>
                <w:sz w:val="20"/>
                <w:szCs w:val="20"/>
              </w:rPr>
            </w:pPr>
            <w:r>
              <w:rPr>
                <w:sz w:val="20"/>
                <w:szCs w:val="20"/>
              </w:rPr>
              <w:t>EMS data a</w:t>
            </w:r>
            <w:r w:rsidRPr="003458B1">
              <w:rPr>
                <w:sz w:val="20"/>
                <w:szCs w:val="20"/>
              </w:rPr>
              <w:t>nalysis</w:t>
            </w:r>
          </w:p>
        </w:tc>
      </w:tr>
      <w:tr w:rsidR="00E7173E" w:rsidRPr="003458B1" w:rsidTr="005C3E63">
        <w:trPr>
          <w:trHeight w:val="733"/>
        </w:trPr>
        <w:tc>
          <w:tcPr>
            <w:tcW w:w="1527" w:type="dxa"/>
            <w:shd w:val="clear" w:color="auto" w:fill="auto"/>
            <w:vAlign w:val="center"/>
          </w:tcPr>
          <w:p w:rsidR="009B32AB" w:rsidRPr="003458B1" w:rsidRDefault="009B32AB" w:rsidP="00380FF9">
            <w:pPr>
              <w:jc w:val="left"/>
              <w:rPr>
                <w:rFonts w:eastAsia="Calibri"/>
                <w:sz w:val="20"/>
                <w:szCs w:val="20"/>
              </w:rPr>
            </w:pPr>
            <w:r w:rsidRPr="003458B1">
              <w:rPr>
                <w:rFonts w:eastAsia="Calibri"/>
                <w:sz w:val="20"/>
                <w:szCs w:val="20"/>
              </w:rPr>
              <w:t>Large C/I Equipment</w:t>
            </w:r>
          </w:p>
        </w:tc>
        <w:tc>
          <w:tcPr>
            <w:tcW w:w="1548" w:type="dxa"/>
            <w:shd w:val="clear" w:color="auto" w:fill="auto"/>
            <w:vAlign w:val="center"/>
          </w:tcPr>
          <w:p w:rsidR="009B32AB" w:rsidRPr="003458B1" w:rsidRDefault="009B32AB" w:rsidP="00380FF9">
            <w:pPr>
              <w:jc w:val="center"/>
              <w:rPr>
                <w:sz w:val="20"/>
                <w:szCs w:val="20"/>
              </w:rPr>
            </w:pPr>
            <w:r w:rsidRPr="003458B1">
              <w:rPr>
                <w:sz w:val="20"/>
                <w:szCs w:val="20"/>
              </w:rPr>
              <w:t>CR_PRJ-562230</w:t>
            </w:r>
          </w:p>
        </w:tc>
        <w:tc>
          <w:tcPr>
            <w:tcW w:w="1270" w:type="dxa"/>
            <w:shd w:val="clear" w:color="auto" w:fill="auto"/>
            <w:vAlign w:val="center"/>
          </w:tcPr>
          <w:p w:rsidR="009B32AB" w:rsidRPr="003458B1" w:rsidRDefault="009B32AB" w:rsidP="00380FF9">
            <w:pPr>
              <w:jc w:val="center"/>
              <w:rPr>
                <w:sz w:val="20"/>
                <w:szCs w:val="20"/>
              </w:rPr>
            </w:pPr>
            <w:r>
              <w:rPr>
                <w:sz w:val="20"/>
                <w:szCs w:val="20"/>
              </w:rPr>
              <w:t xml:space="preserve">Lighting – </w:t>
            </w:r>
            <w:r w:rsidRPr="003458B1">
              <w:rPr>
                <w:sz w:val="20"/>
                <w:szCs w:val="20"/>
              </w:rPr>
              <w:t>2</w:t>
            </w:r>
          </w:p>
        </w:tc>
        <w:tc>
          <w:tcPr>
            <w:tcW w:w="1500" w:type="dxa"/>
            <w:shd w:val="clear" w:color="auto" w:fill="auto"/>
            <w:vAlign w:val="center"/>
          </w:tcPr>
          <w:p w:rsidR="009B32AB" w:rsidRPr="003458B1" w:rsidRDefault="009B32AB" w:rsidP="00380FF9">
            <w:pPr>
              <w:jc w:val="center"/>
              <w:rPr>
                <w:sz w:val="20"/>
                <w:szCs w:val="20"/>
              </w:rPr>
            </w:pPr>
            <w:r w:rsidRPr="003458B1">
              <w:rPr>
                <w:sz w:val="20"/>
                <w:szCs w:val="20"/>
              </w:rPr>
              <w:t>371,385</w:t>
            </w:r>
          </w:p>
        </w:tc>
        <w:tc>
          <w:tcPr>
            <w:tcW w:w="1350" w:type="dxa"/>
            <w:shd w:val="clear" w:color="auto" w:fill="auto"/>
            <w:vAlign w:val="center"/>
          </w:tcPr>
          <w:p w:rsidR="009B32AB" w:rsidRPr="003458B1" w:rsidRDefault="009B32AB" w:rsidP="00380FF9">
            <w:pPr>
              <w:jc w:val="center"/>
              <w:rPr>
                <w:sz w:val="20"/>
                <w:szCs w:val="20"/>
              </w:rPr>
            </w:pPr>
            <w:r w:rsidRPr="003458B1">
              <w:rPr>
                <w:sz w:val="20"/>
                <w:szCs w:val="20"/>
              </w:rPr>
              <w:t>33.25</w:t>
            </w:r>
          </w:p>
        </w:tc>
        <w:tc>
          <w:tcPr>
            <w:tcW w:w="2155" w:type="dxa"/>
            <w:shd w:val="clear" w:color="auto" w:fill="auto"/>
            <w:vAlign w:val="center"/>
          </w:tcPr>
          <w:p w:rsidR="009B32AB" w:rsidRPr="003458B1" w:rsidRDefault="009B32AB" w:rsidP="00380FF9">
            <w:pPr>
              <w:jc w:val="center"/>
              <w:rPr>
                <w:sz w:val="20"/>
                <w:szCs w:val="20"/>
              </w:rPr>
            </w:pPr>
            <w:r>
              <w:rPr>
                <w:sz w:val="20"/>
                <w:szCs w:val="20"/>
              </w:rPr>
              <w:t>On-s</w:t>
            </w:r>
            <w:r w:rsidRPr="003458B1">
              <w:rPr>
                <w:sz w:val="20"/>
                <w:szCs w:val="20"/>
              </w:rPr>
              <w:t>ite</w:t>
            </w:r>
            <w:r>
              <w:rPr>
                <w:sz w:val="20"/>
                <w:szCs w:val="20"/>
              </w:rPr>
              <w:t xml:space="preserve"> v</w:t>
            </w:r>
            <w:r w:rsidRPr="003458B1">
              <w:rPr>
                <w:sz w:val="20"/>
                <w:szCs w:val="20"/>
              </w:rPr>
              <w:t xml:space="preserve">erification + </w:t>
            </w:r>
            <w:r>
              <w:rPr>
                <w:sz w:val="20"/>
                <w:szCs w:val="20"/>
              </w:rPr>
              <w:t>l</w:t>
            </w:r>
            <w:r w:rsidRPr="003458B1">
              <w:rPr>
                <w:sz w:val="20"/>
                <w:szCs w:val="20"/>
              </w:rPr>
              <w:t>ogging</w:t>
            </w:r>
          </w:p>
        </w:tc>
      </w:tr>
    </w:tbl>
    <w:p w:rsidR="009B32AB" w:rsidRPr="003458B1" w:rsidRDefault="009B32AB" w:rsidP="009B32AB"/>
    <w:p w:rsidR="009B32AB" w:rsidRPr="003458B1" w:rsidRDefault="009B32AB" w:rsidP="009B32AB">
      <w:r w:rsidRPr="003458B1">
        <w:t>Project CR_PRJ-394737 involved lighting retrofits a</w:t>
      </w:r>
      <w:r>
        <w:t>t a</w:t>
      </w:r>
      <w:r w:rsidRPr="003458B1">
        <w:t xml:space="preserve"> manufacturing facility in Annville, PA. ADM performed a site visit to verify the types and quantities of installed fixtures and installed 11 light loggers throughout the facility. The results were used to estimate annual operating hours for each space type and to generate final verified kWh and kW savings values. The SWE Team agrees with the level of rigor used in evaluating this project.</w:t>
      </w:r>
    </w:p>
    <w:p w:rsidR="009B32AB" w:rsidRPr="003458B1" w:rsidRDefault="009B32AB" w:rsidP="009B32AB"/>
    <w:p w:rsidR="009B32AB" w:rsidRPr="003458B1" w:rsidRDefault="009B32AB" w:rsidP="009B32AB">
      <w:r w:rsidRPr="003458B1">
        <w:t>Project CR_PRJ-471704 involved LED lighting retrofits at an industrial baking facility in York, PA. ADM performed a site visit to verify the types and quantities of installed fixtures and installed five light loggers throughout the facility. The results verified 24/7 operation of all fixtures except those with occupancy sensors. The SWE Team agrees with the level of rigor used in evaluating this project.</w:t>
      </w:r>
    </w:p>
    <w:p w:rsidR="009B32AB" w:rsidRPr="003458B1" w:rsidRDefault="009B32AB" w:rsidP="009B32AB"/>
    <w:p w:rsidR="009B32AB" w:rsidRPr="003458B1" w:rsidRDefault="009B32AB" w:rsidP="009B32AB">
      <w:r w:rsidRPr="003458B1">
        <w:t>Project CR_PRJ-504667 involved upgrading chillers to new models with VFDs at a hospital in Reading, PA. ADM was able to obtain</w:t>
      </w:r>
      <w:r w:rsidR="00AF2C58">
        <w:t xml:space="preserve"> energy management system</w:t>
      </w:r>
      <w:r w:rsidRPr="003458B1">
        <w:t xml:space="preserve"> </w:t>
      </w:r>
      <w:r w:rsidR="00AF2C58">
        <w:t>(</w:t>
      </w:r>
      <w:r w:rsidRPr="003458B1">
        <w:t>EMS</w:t>
      </w:r>
      <w:r w:rsidR="00AF2C58">
        <w:t>)</w:t>
      </w:r>
      <w:r w:rsidRPr="003458B1">
        <w:t xml:space="preserve"> data</w:t>
      </w:r>
      <w:r>
        <w:t>,</w:t>
      </w:r>
      <w:r w:rsidRPr="003458B1">
        <w:t xml:space="preserve"> including kW readings and daily ton-hours. Verified savings were very similar to ex</w:t>
      </w:r>
      <w:r>
        <w:t xml:space="preserve"> </w:t>
      </w:r>
      <w:r w:rsidRPr="003458B1">
        <w:t>ante savings</w:t>
      </w:r>
      <w:r>
        <w:t>,</w:t>
      </w:r>
      <w:r w:rsidRPr="003458B1">
        <w:t xml:space="preserve"> with a realization rate of 106%. The SWE Team agrees with the analysis and verified savings for this project.</w:t>
      </w:r>
    </w:p>
    <w:p w:rsidR="009B32AB" w:rsidRPr="003458B1" w:rsidRDefault="009B32AB" w:rsidP="009B32AB"/>
    <w:p w:rsidR="00117CF7" w:rsidRDefault="009B32AB" w:rsidP="009B32AB">
      <w:pPr>
        <w:keepNext/>
        <w:autoSpaceDE w:val="0"/>
        <w:autoSpaceDN w:val="0"/>
        <w:adjustRightInd w:val="0"/>
      </w:pPr>
      <w:r w:rsidRPr="003458B1">
        <w:t xml:space="preserve">Project CR_PRJ-562230 involved indoor and outdoor LED lighting retrofits at a car dealership in Nazareth, PA. The evaluation contractor performed a site visit to verify the types and quantities of installed fixtures and installed </w:t>
      </w:r>
      <w:r>
        <w:t>six</w:t>
      </w:r>
      <w:r w:rsidRPr="003458B1">
        <w:t xml:space="preserve"> light loggers throughout the facility. The results were used to estimate annual operating hours for each space type and to generate final verified kWh and kW savings values. The SWE Team agrees with the level of rigor used in evaluating this project.</w:t>
      </w:r>
    </w:p>
    <w:p w:rsidR="00FD4D90" w:rsidRPr="003B2BD3" w:rsidRDefault="00FD4D90" w:rsidP="009B32AB">
      <w:pPr>
        <w:keepNext/>
        <w:autoSpaceDE w:val="0"/>
        <w:autoSpaceDN w:val="0"/>
        <w:adjustRightInd w:val="0"/>
        <w:rPr>
          <w:rFonts w:ascii="Century Gothic" w:hAnsi="Century Gothic"/>
          <w:b/>
          <w:bCs/>
          <w:sz w:val="18"/>
          <w:szCs w:val="18"/>
        </w:rPr>
        <w:sectPr w:rsidR="00FD4D90" w:rsidRPr="003B2BD3" w:rsidSect="006843B2">
          <w:headerReference w:type="first" r:id="rId121"/>
          <w:footerReference w:type="first" r:id="rId122"/>
          <w:pgSz w:w="12240" w:h="15840"/>
          <w:pgMar w:top="1440" w:right="1440" w:bottom="1440" w:left="1440" w:header="720" w:footer="288" w:gutter="0"/>
          <w:pgNumType w:chapStyle="6"/>
          <w:cols w:space="720"/>
          <w:titlePg/>
          <w:docGrid w:linePitch="360"/>
        </w:sectPr>
      </w:pPr>
    </w:p>
    <w:p w:rsidR="00950837" w:rsidRDefault="00950837" w:rsidP="00D34B3E">
      <w:pPr>
        <w:pStyle w:val="AppendixAHeading3"/>
      </w:pPr>
      <w:bookmarkStart w:id="768" w:name="_Ref472452280"/>
      <w:r>
        <w:lastRenderedPageBreak/>
        <w:t>Net-to-Gross and Process Evaluation Audit Summary</w:t>
      </w:r>
      <w:bookmarkEnd w:id="768"/>
    </w:p>
    <w:p w:rsidR="00745011" w:rsidRPr="00661E10" w:rsidRDefault="00745011" w:rsidP="00745011">
      <w:r w:rsidRPr="00661E10">
        <w:t xml:space="preserve">The SWE Team’s audit included a review of the process evaluation methods, findings, conclusions, and recommendations in the PY7 annual report to determine whether they were consistent with the reporting template provided by the SWE. The SWE Team’s audit of the process reports also included a review of process-related methods and research activities to determine whether they were consistent with the approved evaluation plan, and a review of the linkage between findings, conclusions, and recommendations. </w:t>
      </w:r>
    </w:p>
    <w:p w:rsidR="00745011" w:rsidRPr="00661E10" w:rsidRDefault="00745011" w:rsidP="00745011">
      <w:pPr>
        <w:rPr>
          <w:shd w:val="clear" w:color="auto" w:fill="D9D9D9"/>
        </w:rPr>
      </w:pPr>
    </w:p>
    <w:p w:rsidR="00745011" w:rsidRPr="00661E10" w:rsidRDefault="00745011" w:rsidP="00745011">
      <w:r w:rsidRPr="00661E10">
        <w:t xml:space="preserve">Overall, the process evaluations appeared to be consistent with the evaluation plan. The sampling approaches for the process evaluation activities were appropriate. The report provided a comprehensive overview of the process evaluation key findings and recommendations. The SWE Team identified one main area in which reporting could have been improved. </w:t>
      </w:r>
      <w:r w:rsidRPr="00661E10">
        <w:rPr>
          <w:szCs w:val="20"/>
        </w:rPr>
        <w:t xml:space="preserve">Specifically, </w:t>
      </w:r>
      <w:r w:rsidR="0009501A">
        <w:t>Tetra Tech</w:t>
      </w:r>
      <w:r w:rsidRPr="00661E10">
        <w:t xml:space="preserve"> interviewed trade allies for both the Home Performance program (builders and raters) and Energy Efficient Buildings programs (contractors), but there was no discussion of the populations or sample sizes of these groups. The SWE recommends including the information to help readers understand how widely the findings are represented. </w:t>
      </w:r>
    </w:p>
    <w:p w:rsidR="00745011" w:rsidRPr="00661E10" w:rsidRDefault="00745011" w:rsidP="00745011">
      <w:pPr>
        <w:rPr>
          <w:szCs w:val="20"/>
        </w:rPr>
      </w:pPr>
    </w:p>
    <w:p w:rsidR="00745011" w:rsidRPr="00661E10" w:rsidRDefault="00745011" w:rsidP="00745011">
      <w:r w:rsidRPr="00661E10">
        <w:t xml:space="preserve">The report documents included a summary of methods and findings, a table of recommendations, and a description of whether or not the EDC was implementing or considering the recommendations. </w:t>
      </w:r>
    </w:p>
    <w:p w:rsidR="00745011" w:rsidRPr="00661E10" w:rsidRDefault="00745011" w:rsidP="00745011"/>
    <w:p w:rsidR="00745011" w:rsidRDefault="00745011" w:rsidP="00745011">
      <w:pPr>
        <w:rPr>
          <w:szCs w:val="20"/>
          <w:lang w:val="x-none" w:eastAsia="x-none"/>
        </w:rPr>
      </w:pPr>
      <w:r w:rsidRPr="00661E10">
        <w:t>The report generally included sufficient detail for the SWE Team and others to assess the methods, findings, co</w:t>
      </w:r>
      <w:r>
        <w:t xml:space="preserve">nclusions, and recommendations. </w:t>
      </w:r>
      <w:r w:rsidRPr="00661E10">
        <w:rPr>
          <w:szCs w:val="20"/>
          <w:lang w:val="x-none" w:eastAsia="x-none"/>
        </w:rPr>
        <w:t xml:space="preserve">Detailed summaries </w:t>
      </w:r>
      <w:r w:rsidRPr="00661E10">
        <w:rPr>
          <w:szCs w:val="20"/>
          <w:lang w:eastAsia="x-none"/>
        </w:rPr>
        <w:t xml:space="preserve">of </w:t>
      </w:r>
      <w:r w:rsidRPr="00661E10">
        <w:rPr>
          <w:szCs w:val="20"/>
          <w:lang w:val="x-none" w:eastAsia="x-none"/>
        </w:rPr>
        <w:t>the SWE Team</w:t>
      </w:r>
      <w:r w:rsidRPr="00661E10">
        <w:rPr>
          <w:szCs w:val="20"/>
          <w:lang w:eastAsia="x-none"/>
        </w:rPr>
        <w:t>’s</w:t>
      </w:r>
      <w:r w:rsidRPr="00661E10">
        <w:rPr>
          <w:szCs w:val="20"/>
          <w:lang w:val="x-none" w:eastAsia="x-none"/>
        </w:rPr>
        <w:t xml:space="preserve"> review of the process evaluation by program are in Appendix </w:t>
      </w:r>
      <w:r>
        <w:rPr>
          <w:szCs w:val="20"/>
          <w:lang w:eastAsia="x-none"/>
        </w:rPr>
        <w:t>B</w:t>
      </w:r>
      <w:r w:rsidRPr="00661E10">
        <w:rPr>
          <w:szCs w:val="20"/>
          <w:lang w:val="x-none" w:eastAsia="x-none"/>
        </w:rPr>
        <w:t>.</w:t>
      </w:r>
    </w:p>
    <w:p w:rsidR="00745011" w:rsidRDefault="00745011" w:rsidP="00745011">
      <w:pPr>
        <w:rPr>
          <w:szCs w:val="20"/>
          <w:lang w:val="x-none" w:eastAsia="x-none"/>
        </w:rPr>
      </w:pPr>
    </w:p>
    <w:p w:rsidR="00745011" w:rsidRPr="006C05B5" w:rsidRDefault="00B37A72" w:rsidP="00745011">
      <w:pPr>
        <w:rPr>
          <w:highlight w:val="lightGray"/>
        </w:rPr>
      </w:pPr>
      <w:r>
        <w:t>The remainder of this</w:t>
      </w:r>
      <w:r w:rsidR="00745011" w:rsidRPr="006C05B5">
        <w:t xml:space="preserve"> section summarizes the activities and key findings of the SWE Team’s NTG audits of Met-Ed’s programs in PY7. </w:t>
      </w:r>
    </w:p>
    <w:p w:rsidR="00745011" w:rsidRPr="006C05B5" w:rsidRDefault="00745011" w:rsidP="00745011">
      <w:pPr>
        <w:rPr>
          <w:highlight w:val="lightGray"/>
        </w:rPr>
      </w:pPr>
    </w:p>
    <w:p w:rsidR="00745011" w:rsidRPr="006C05B5" w:rsidRDefault="00745011" w:rsidP="00745011">
      <w:r>
        <w:fldChar w:fldCharType="begin"/>
      </w:r>
      <w:r>
        <w:instrText xml:space="preserve"> REF _Ref472451504 \h </w:instrText>
      </w:r>
      <w:r>
        <w:fldChar w:fldCharType="separate"/>
      </w:r>
      <w:r w:rsidR="00A874AC" w:rsidRPr="00745011">
        <w:t>Table A-</w:t>
      </w:r>
      <w:r w:rsidR="00A874AC">
        <w:rPr>
          <w:noProof/>
        </w:rPr>
        <w:t>44</w:t>
      </w:r>
      <w:r>
        <w:fldChar w:fldCharType="end"/>
      </w:r>
      <w:r w:rsidRPr="006C05B5">
        <w:t xml:space="preserve"> summarizes the results of the SWE Team’s audit of ADM/Tetra Tech’s NTG assessment of the FirstEnergy EDC programs. </w:t>
      </w:r>
    </w:p>
    <w:p w:rsidR="00745011" w:rsidRPr="006C05B5" w:rsidRDefault="00745011" w:rsidP="00745011"/>
    <w:p w:rsidR="00745011" w:rsidRPr="00745011" w:rsidRDefault="00745011" w:rsidP="00745011">
      <w:pPr>
        <w:pStyle w:val="Caption"/>
      </w:pPr>
      <w:bookmarkStart w:id="769" w:name="_Ref472451504"/>
      <w:bookmarkStart w:id="770" w:name="_Toc444269746"/>
      <w:bookmarkStart w:id="771" w:name="_Toc472472453"/>
      <w:bookmarkStart w:id="772" w:name="_Toc476842159"/>
      <w:r w:rsidRPr="00745011">
        <w:t>Table A-</w:t>
      </w:r>
      <w:fldSimple w:instr=" SEQ Table_A- \* ARABIC ">
        <w:r w:rsidR="00C301D0">
          <w:rPr>
            <w:noProof/>
          </w:rPr>
          <w:t>44</w:t>
        </w:r>
      </w:fldSimple>
      <w:bookmarkEnd w:id="769"/>
      <w:r w:rsidRPr="00745011">
        <w:t>: Summary of SWE Team Review of FirstEnergy NTG Evaluations</w:t>
      </w:r>
      <w:bookmarkEnd w:id="770"/>
      <w:bookmarkEnd w:id="771"/>
      <w:bookmarkEnd w:id="772"/>
    </w:p>
    <w:tbl>
      <w:tblPr>
        <w:tblW w:w="9337"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4675"/>
        <w:gridCol w:w="4662"/>
      </w:tblGrid>
      <w:tr w:rsidR="00E7173E" w:rsidRPr="006C05B5" w:rsidTr="00591467">
        <w:trPr>
          <w:trHeight w:val="346"/>
          <w:tblHeader/>
          <w:jc w:val="center"/>
        </w:trPr>
        <w:tc>
          <w:tcPr>
            <w:tcW w:w="4675" w:type="dxa"/>
            <w:shd w:val="clear" w:color="auto" w:fill="448A99"/>
            <w:vAlign w:val="bottom"/>
          </w:tcPr>
          <w:p w:rsidR="00745011" w:rsidRPr="006C05B5" w:rsidRDefault="00745011" w:rsidP="005C1352">
            <w:pPr>
              <w:rPr>
                <w:b/>
                <w:color w:val="FFFFFF"/>
                <w:sz w:val="20"/>
                <w:szCs w:val="20"/>
              </w:rPr>
            </w:pPr>
            <w:r w:rsidRPr="006C05B5">
              <w:rPr>
                <w:b/>
                <w:color w:val="FFFFFF"/>
                <w:sz w:val="20"/>
                <w:szCs w:val="20"/>
              </w:rPr>
              <w:t>Elements Reviewed in Annual Report</w:t>
            </w:r>
          </w:p>
        </w:tc>
        <w:tc>
          <w:tcPr>
            <w:tcW w:w="4662" w:type="dxa"/>
            <w:shd w:val="clear" w:color="auto" w:fill="448A99"/>
            <w:vAlign w:val="bottom"/>
          </w:tcPr>
          <w:p w:rsidR="00745011" w:rsidRPr="006C05B5" w:rsidRDefault="00745011" w:rsidP="005C1352">
            <w:pPr>
              <w:jc w:val="center"/>
              <w:rPr>
                <w:b/>
                <w:color w:val="FFFFFF"/>
                <w:sz w:val="20"/>
                <w:szCs w:val="20"/>
              </w:rPr>
            </w:pPr>
            <w:r w:rsidRPr="006C05B5" w:rsidDel="00BA519B">
              <w:rPr>
                <w:b/>
                <w:color w:val="FFFFFF"/>
                <w:sz w:val="20"/>
                <w:szCs w:val="20"/>
              </w:rPr>
              <w:t>S</w:t>
            </w:r>
            <w:r w:rsidRPr="006C05B5">
              <w:rPr>
                <w:b/>
                <w:color w:val="FFFFFF"/>
                <w:sz w:val="20"/>
                <w:szCs w:val="20"/>
              </w:rPr>
              <w:t>WE Findings</w:t>
            </w:r>
          </w:p>
        </w:tc>
      </w:tr>
      <w:tr w:rsidR="00E7173E" w:rsidRPr="006C05B5" w:rsidTr="00591467">
        <w:trPr>
          <w:trHeight w:val="288"/>
          <w:jc w:val="center"/>
        </w:trPr>
        <w:tc>
          <w:tcPr>
            <w:tcW w:w="9337" w:type="dxa"/>
            <w:gridSpan w:val="2"/>
            <w:shd w:val="clear" w:color="auto" w:fill="9C9393"/>
          </w:tcPr>
          <w:p w:rsidR="00745011" w:rsidRPr="006C05B5" w:rsidRDefault="00745011" w:rsidP="005C1352">
            <w:pPr>
              <w:jc w:val="left"/>
              <w:rPr>
                <w:b/>
                <w:color w:val="FFFFFF"/>
                <w:sz w:val="20"/>
                <w:szCs w:val="20"/>
              </w:rPr>
            </w:pPr>
            <w:r w:rsidRPr="006C05B5">
              <w:rPr>
                <w:b/>
                <w:color w:val="FFFFFF"/>
                <w:sz w:val="20"/>
                <w:szCs w:val="20"/>
              </w:rPr>
              <w:t>Use of NTG Common Method or Explanation for Alternate Method</w:t>
            </w:r>
          </w:p>
        </w:tc>
      </w:tr>
      <w:tr w:rsidR="00E7173E" w:rsidRPr="006C05B5" w:rsidTr="00591467">
        <w:trPr>
          <w:trHeight w:val="346"/>
          <w:jc w:val="center"/>
        </w:trPr>
        <w:tc>
          <w:tcPr>
            <w:tcW w:w="4675" w:type="dxa"/>
            <w:shd w:val="clear" w:color="auto" w:fill="FFFFFF"/>
          </w:tcPr>
          <w:p w:rsidR="00745011" w:rsidRPr="006C05B5" w:rsidRDefault="00745011" w:rsidP="005C1352">
            <w:pPr>
              <w:jc w:val="left"/>
              <w:rPr>
                <w:sz w:val="20"/>
                <w:szCs w:val="20"/>
              </w:rPr>
            </w:pPr>
            <w:r w:rsidRPr="006C05B5">
              <w:rPr>
                <w:sz w:val="20"/>
                <w:szCs w:val="20"/>
              </w:rPr>
              <w:t>Availability of NTG data files and documents</w:t>
            </w:r>
          </w:p>
        </w:tc>
        <w:tc>
          <w:tcPr>
            <w:tcW w:w="4662" w:type="dxa"/>
            <w:shd w:val="clear" w:color="auto" w:fill="FFFFFF"/>
          </w:tcPr>
          <w:p w:rsidR="00745011" w:rsidRPr="006C05B5" w:rsidRDefault="00745011" w:rsidP="005C1352">
            <w:pPr>
              <w:jc w:val="left"/>
              <w:rPr>
                <w:sz w:val="20"/>
                <w:szCs w:val="20"/>
              </w:rPr>
            </w:pPr>
            <w:r w:rsidRPr="006C05B5">
              <w:rPr>
                <w:sz w:val="20"/>
                <w:szCs w:val="20"/>
              </w:rPr>
              <w:t>Yes, with exceptions noted</w:t>
            </w:r>
          </w:p>
        </w:tc>
      </w:tr>
      <w:tr w:rsidR="00E7173E" w:rsidRPr="006C05B5" w:rsidTr="00591467">
        <w:trPr>
          <w:trHeight w:val="346"/>
          <w:jc w:val="center"/>
        </w:trPr>
        <w:tc>
          <w:tcPr>
            <w:tcW w:w="4675" w:type="dxa"/>
            <w:shd w:val="clear" w:color="auto" w:fill="D2EAF1"/>
          </w:tcPr>
          <w:p w:rsidR="00745011" w:rsidRPr="006C05B5" w:rsidRDefault="00745011" w:rsidP="005C1352">
            <w:pPr>
              <w:jc w:val="left"/>
              <w:rPr>
                <w:sz w:val="20"/>
                <w:szCs w:val="20"/>
              </w:rPr>
            </w:pPr>
            <w:r w:rsidRPr="006C05B5">
              <w:rPr>
                <w:sz w:val="20"/>
                <w:szCs w:val="20"/>
              </w:rPr>
              <w:t>NTG method used – the common method or another</w:t>
            </w:r>
          </w:p>
        </w:tc>
        <w:tc>
          <w:tcPr>
            <w:tcW w:w="4662" w:type="dxa"/>
            <w:shd w:val="clear" w:color="auto" w:fill="D2EAF1"/>
          </w:tcPr>
          <w:p w:rsidR="00745011" w:rsidRPr="006C05B5" w:rsidRDefault="00745011" w:rsidP="005C1352">
            <w:pPr>
              <w:jc w:val="left"/>
              <w:rPr>
                <w:sz w:val="20"/>
                <w:szCs w:val="20"/>
              </w:rPr>
            </w:pPr>
            <w:r w:rsidRPr="006C05B5">
              <w:rPr>
                <w:sz w:val="20"/>
                <w:szCs w:val="20"/>
              </w:rPr>
              <w:t xml:space="preserve">Common method, except for upstream components </w:t>
            </w:r>
          </w:p>
        </w:tc>
      </w:tr>
      <w:tr w:rsidR="00E7173E" w:rsidRPr="006C05B5" w:rsidTr="00591467">
        <w:trPr>
          <w:trHeight w:val="346"/>
          <w:jc w:val="center"/>
        </w:trPr>
        <w:tc>
          <w:tcPr>
            <w:tcW w:w="4675" w:type="dxa"/>
            <w:shd w:val="clear" w:color="auto" w:fill="FFFFFF"/>
          </w:tcPr>
          <w:p w:rsidR="00745011" w:rsidRPr="006C05B5" w:rsidRDefault="00745011" w:rsidP="005C1352">
            <w:pPr>
              <w:jc w:val="left"/>
              <w:rPr>
                <w:sz w:val="20"/>
                <w:szCs w:val="20"/>
              </w:rPr>
            </w:pPr>
            <w:r w:rsidRPr="006C05B5">
              <w:rPr>
                <w:sz w:val="20"/>
                <w:szCs w:val="20"/>
              </w:rPr>
              <w:t>NTG common method applied correctly</w:t>
            </w:r>
          </w:p>
        </w:tc>
        <w:tc>
          <w:tcPr>
            <w:tcW w:w="4662" w:type="dxa"/>
            <w:shd w:val="clear" w:color="auto" w:fill="FFFFFF"/>
          </w:tcPr>
          <w:p w:rsidR="00745011" w:rsidRPr="006C05B5" w:rsidRDefault="00745011" w:rsidP="005C1352">
            <w:pPr>
              <w:jc w:val="left"/>
              <w:rPr>
                <w:sz w:val="20"/>
                <w:szCs w:val="20"/>
              </w:rPr>
            </w:pPr>
            <w:r w:rsidRPr="006C05B5">
              <w:rPr>
                <w:sz w:val="20"/>
                <w:szCs w:val="20"/>
              </w:rPr>
              <w:t>Yes</w:t>
            </w:r>
          </w:p>
        </w:tc>
      </w:tr>
    </w:tbl>
    <w:p w:rsidR="00745011" w:rsidRPr="006C05B5" w:rsidRDefault="00745011" w:rsidP="00745011"/>
    <w:p w:rsidR="00745011" w:rsidRPr="006C05B5" w:rsidRDefault="00745011" w:rsidP="00745011">
      <w:r w:rsidRPr="006C05B5">
        <w:t xml:space="preserve">The following subsections </w:t>
      </w:r>
      <w:r w:rsidRPr="006C05B5">
        <w:rPr>
          <w:rFonts w:cs="Calibri"/>
        </w:rPr>
        <w:t xml:space="preserve">present detailed discussions </w:t>
      </w:r>
      <w:r w:rsidRPr="006C05B5">
        <w:t>of the SWE Team’s NTG audits of the FirstEnergy EDC programs in PY7, including a summary of Met-Ed’s program-level NTG values that FirstEnergy’s evaluation contractor reported. The results are provided for residential, low-income, and non-residential programs.</w:t>
      </w:r>
    </w:p>
    <w:p w:rsidR="00745011" w:rsidRPr="006C05B5" w:rsidRDefault="00745011" w:rsidP="00745011"/>
    <w:p w:rsidR="00745011" w:rsidRPr="006C05B5" w:rsidRDefault="00745011" w:rsidP="00745011">
      <w:pPr>
        <w:pStyle w:val="AppendixAHeading4"/>
      </w:pPr>
      <w:r w:rsidRPr="006C05B5">
        <w:t>Residential Programs</w:t>
      </w:r>
    </w:p>
    <w:p w:rsidR="00745011" w:rsidRPr="006C05B5" w:rsidRDefault="00745011" w:rsidP="00745011">
      <w:r w:rsidRPr="006C05B5">
        <w:t xml:space="preserve">ADM/Tetra </w:t>
      </w:r>
      <w:r w:rsidR="00B93F7F" w:rsidRPr="006C05B5">
        <w:t xml:space="preserve">Tech estimated NTG for three residential programs: </w:t>
      </w:r>
      <w:r w:rsidR="00B97C91" w:rsidRPr="006C05B5">
        <w:t>The</w:t>
      </w:r>
      <w:r w:rsidR="00B93F7F" w:rsidRPr="006C05B5">
        <w:t xml:space="preserve"> Appliance Turn-In Program, Residential Energy Efficient Products Program, and Home Performance Program. ADM/Tetra Tech used </w:t>
      </w:r>
      <w:r w:rsidR="00B93F7F" w:rsidRPr="006C05B5">
        <w:lastRenderedPageBreak/>
        <w:t>primary data collection to estimate NTG for the Appliance Turn-In Program</w:t>
      </w:r>
      <w:r w:rsidR="00B93F7F">
        <w:t>.</w:t>
      </w:r>
      <w:r w:rsidR="00B93F7F" w:rsidRPr="006C05B5">
        <w:t xml:space="preserve"> </w:t>
      </w:r>
      <w:r w:rsidR="00B93F7F">
        <w:t>T</w:t>
      </w:r>
      <w:r w:rsidR="00B93F7F" w:rsidRPr="006C05B5">
        <w:t>hey relied primarily on PY6 results to estimate PY7 NTG for the Residential Energy Efficient Products Program and the Home Performance Program</w:t>
      </w:r>
      <w:r w:rsidR="00B93F7F">
        <w:t xml:space="preserve"> with the exception of upstream lighting</w:t>
      </w:r>
      <w:r w:rsidR="00B93F7F" w:rsidRPr="006C05B5">
        <w:t xml:space="preserve">. ADM/Tetra Tech reported using the SWE Team’s common method for NTG estimation for the Appliance Turn-In Program. ADM/Tetra Tech </w:t>
      </w:r>
      <w:r w:rsidR="00B93F7F">
        <w:t>also used</w:t>
      </w:r>
      <w:r w:rsidR="00B93F7F" w:rsidRPr="006C05B5">
        <w:t xml:space="preserve"> the common method for </w:t>
      </w:r>
      <w:r w:rsidR="00B93F7F">
        <w:t>the Residential Energy Efficient Products and Home Performance</w:t>
      </w:r>
      <w:r w:rsidR="00B93F7F" w:rsidRPr="006C05B5">
        <w:t xml:space="preserve"> programs in the PY6 </w:t>
      </w:r>
      <w:r w:rsidR="00B93F7F">
        <w:t>evaluation, which was the basis for PY7 NTG results</w:t>
      </w:r>
      <w:r w:rsidR="00B93F7F" w:rsidRPr="006C05B5">
        <w:t>.</w:t>
      </w:r>
      <w:r w:rsidR="00B93F7F">
        <w:t xml:space="preserve"> There was not a common method suggested for upstream lighting NTG that was evaluated in PY7.</w:t>
      </w:r>
    </w:p>
    <w:p w:rsidR="00745011" w:rsidRPr="006C05B5" w:rsidRDefault="00745011" w:rsidP="00745011"/>
    <w:p w:rsidR="00745011" w:rsidRPr="006C05B5" w:rsidRDefault="004F04D2" w:rsidP="00745011">
      <w:r w:rsidRPr="006C05B5">
        <w:t xml:space="preserve">For the Appliance Turn-In Program, ADM/Tetra Tech used primary data collection (participant surveys) to estimate NTG for both refrigerator and freezer strata. However, Table 2-5 of the Met-Ed PY7 annual report reveals that ADM/Tetra Tech did not collect any room air conditioner (RAC) participant sample. ADM/Tetra Tech did not acknowledge this lack of RAC sample in the body of the report, nor did they explain how they arrived at a 50% NTGR for the RAC stratum. The SWE Team assumes the RAC stratum NTGR is a non-evidence-based and arbitrary assignment. </w:t>
      </w:r>
      <w:r w:rsidRPr="000C0785">
        <w:t xml:space="preserve">While acknowledging that RAC savings are a minor component of the program, </w:t>
      </w:r>
      <w:r>
        <w:t>t</w:t>
      </w:r>
      <w:r w:rsidRPr="006C05B5">
        <w:t xml:space="preserve">he SWE Team disagrees with the arbitrary assignment of 50% NTGR and recommends simply not reporting NTG values for unevaluated strata, or using empirical evidence-based values from previous evaluations as a proxy. </w:t>
      </w:r>
      <w:r w:rsidR="00745011" w:rsidRPr="006C05B5">
        <w:t xml:space="preserve"> </w:t>
      </w:r>
    </w:p>
    <w:p w:rsidR="00745011" w:rsidRPr="006C05B5" w:rsidRDefault="00745011" w:rsidP="00745011"/>
    <w:p w:rsidR="00745011" w:rsidRPr="006C05B5" w:rsidRDefault="00745011" w:rsidP="00745011">
      <w:r w:rsidRPr="006C05B5">
        <w:t>For the upstream components of the Residential Energy Efficient Products Program, ADM/Tetra Tech did not provide clear details or data that revealed how they used retailer interview and participant survey data to estimate NTG values for those strata. With the exception of the interview and survey data used to calculate NTG for upstream components of the Residential Energy Efficient Products Program, ADM/Tetra Tech provided Excel workbooks with the raw data from their NTG research and the SPSS syntax files used to calculate the NTGRs from the raw data. From the workbooks and syntax, the SWE Team was able to verify that ADM/Tetra Tech used the SWE common methods. However, the Excel workbooks revealed that the FirstEnergy PY7 reports included some misprinted NTG values, and ADM/Tetra Tech confirmed via email that the values in question were indeed typos. Specifically, ADM/Tetra Tech erroneously reported the refrigerator stratum free-ridership values as the program total free-ridership values for the Appliance Turn-In Program. In its summary tables, the SWE Team reports the accurate NTG values, which explain any discrepancies between the values in this report and the FirstEnergy PY7 annual reports.</w:t>
      </w:r>
    </w:p>
    <w:p w:rsidR="00745011" w:rsidRPr="006C05B5" w:rsidRDefault="00745011" w:rsidP="00745011"/>
    <w:p w:rsidR="00745011" w:rsidRPr="006C05B5" w:rsidRDefault="00EE5015" w:rsidP="00745011">
      <w:r w:rsidRPr="006C05B5">
        <w:t xml:space="preserve">For the Residential Energy Efficient Products Program, the reported program-level NTG values reflect both downstream and upstream program components: upstream lighting NTG is derived from surveys with six participating customers and five retail chains, upstream electronics NTG is derived from surveys with two retail chains, and NTG for downstream components is estimated from participant survey data. ADM/Tetra Tech used the same upstream lighting NTG values for each EDC, implying that the six surveyed participating customers represented all EDCs. </w:t>
      </w:r>
      <w:r>
        <w:t>Although this approach was consistent with the SWE-approved evaluation plan,</w:t>
      </w:r>
      <w:r w:rsidRPr="006C05B5">
        <w:t xml:space="preserve"> </w:t>
      </w:r>
      <w:r>
        <w:t>t</w:t>
      </w:r>
      <w:r w:rsidRPr="006C05B5">
        <w:t>he SWE Team recommends that ADM/Tetra Tech acknowledge in the PY7 annual report that they used the same upstream lighting participant sample and resulting NTG value for each EDC. Furthermore, the SWE Team cautions basing NTG estimates off such a small sample</w:t>
      </w:r>
      <w:r w:rsidR="00745011" w:rsidRPr="006C05B5">
        <w:t>.</w:t>
      </w:r>
    </w:p>
    <w:p w:rsidR="00745011" w:rsidRPr="006C05B5" w:rsidRDefault="00745011" w:rsidP="00745011"/>
    <w:p w:rsidR="00745011" w:rsidRPr="006C05B5" w:rsidRDefault="00745011" w:rsidP="00745011">
      <w:r w:rsidRPr="006C05B5">
        <w:t xml:space="preserve">For the Home Performance Program, ADM/Tetra Tech weighted PY6 strata results by Phase II gross lifetime MWh savings to calculate a new NTG estimate for PY7; however, they erroneously reported using Phase III savings (ADM/Tetra Tech confirmed via email that </w:t>
      </w:r>
      <w:r w:rsidR="00BC3884">
        <w:t xml:space="preserve">reference to Phase III was a typo and </w:t>
      </w:r>
      <w:r w:rsidRPr="006C05B5">
        <w:t xml:space="preserve">they used Phase II savings). Since ADM/Tetra Tech did not estimate NTG for the new construction stratum in PY6, they applied an assumed NTGR of 50% for the new construction strata in PY7. The SWE Team disagrees with the arbitrary assignment of 50% NTGR and recommends simply not reporting NTG values for unevaluated strata, or using empirical evidence-based values from previous evaluations as a proxy. </w:t>
      </w:r>
      <w:r w:rsidRPr="006C05B5">
        <w:lastRenderedPageBreak/>
        <w:t>ADM/Tetra Tech did not estimate NTGR for HERs, as the impact analysis provides a net savings value for that stratum.</w:t>
      </w:r>
    </w:p>
    <w:p w:rsidR="00745011" w:rsidRPr="006C05B5" w:rsidRDefault="00745011" w:rsidP="00745011"/>
    <w:p w:rsidR="00745011" w:rsidRPr="006C05B5" w:rsidRDefault="00745011" w:rsidP="00745011">
      <w:r>
        <w:fldChar w:fldCharType="begin"/>
      </w:r>
      <w:r>
        <w:instrText xml:space="preserve"> REF _Ref472451572 \h </w:instrText>
      </w:r>
      <w:r>
        <w:fldChar w:fldCharType="separate"/>
      </w:r>
      <w:r w:rsidR="00A874AC" w:rsidRPr="00745011">
        <w:t>Table A-</w:t>
      </w:r>
      <w:r w:rsidR="00A874AC">
        <w:rPr>
          <w:noProof/>
        </w:rPr>
        <w:t>45</w:t>
      </w:r>
      <w:r>
        <w:fldChar w:fldCharType="end"/>
      </w:r>
      <w:r w:rsidRPr="006C05B5">
        <w:t xml:space="preserve"> summarizes the SWE Team’s review of the NTG activities by program. </w:t>
      </w:r>
    </w:p>
    <w:p w:rsidR="00745011" w:rsidRPr="006C05B5" w:rsidRDefault="00745011" w:rsidP="00745011"/>
    <w:p w:rsidR="00745011" w:rsidRPr="00745011" w:rsidRDefault="00745011" w:rsidP="00745011">
      <w:pPr>
        <w:pStyle w:val="Caption"/>
      </w:pPr>
      <w:bookmarkStart w:id="773" w:name="_Ref472451572"/>
      <w:bookmarkStart w:id="774" w:name="_Toc444269747"/>
      <w:bookmarkStart w:id="775" w:name="_Toc472472454"/>
      <w:bookmarkStart w:id="776" w:name="_Toc476842160"/>
      <w:r w:rsidRPr="00745011">
        <w:t>Table A-</w:t>
      </w:r>
      <w:fldSimple w:instr=" SEQ Table_A- \* ARABIC ">
        <w:r w:rsidR="00C301D0">
          <w:rPr>
            <w:noProof/>
          </w:rPr>
          <w:t>45</w:t>
        </w:r>
      </w:fldSimple>
      <w:bookmarkEnd w:id="773"/>
      <w:r w:rsidRPr="00745011">
        <w:t>: Summary of NTG Audit of Met-Ed’s Residential Programs</w:t>
      </w:r>
      <w:bookmarkEnd w:id="774"/>
      <w:bookmarkEnd w:id="775"/>
      <w:bookmarkEnd w:id="776"/>
    </w:p>
    <w:tbl>
      <w:tblPr>
        <w:tblW w:w="9355" w:type="dxa"/>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92"/>
        <w:gridCol w:w="1800"/>
        <w:gridCol w:w="5863"/>
      </w:tblGrid>
      <w:tr w:rsidR="00A874AC" w:rsidRPr="006C05B5" w:rsidTr="005C3E63">
        <w:trPr>
          <w:cantSplit/>
          <w:tblHeader/>
        </w:trPr>
        <w:tc>
          <w:tcPr>
            <w:tcW w:w="1692" w:type="dxa"/>
            <w:shd w:val="clear" w:color="auto" w:fill="448A99"/>
            <w:vAlign w:val="bottom"/>
          </w:tcPr>
          <w:p w:rsidR="00745011" w:rsidRPr="006C05B5" w:rsidRDefault="00745011" w:rsidP="005C1352">
            <w:pPr>
              <w:rPr>
                <w:b/>
                <w:color w:val="FFFFFF"/>
                <w:sz w:val="20"/>
                <w:szCs w:val="20"/>
              </w:rPr>
            </w:pPr>
            <w:r w:rsidRPr="006C05B5">
              <w:rPr>
                <w:b/>
                <w:color w:val="FFFFFF"/>
                <w:sz w:val="20"/>
                <w:szCs w:val="20"/>
              </w:rPr>
              <w:t>Program</w:t>
            </w:r>
          </w:p>
        </w:tc>
        <w:tc>
          <w:tcPr>
            <w:tcW w:w="1800" w:type="dxa"/>
            <w:shd w:val="clear" w:color="auto" w:fill="448A99"/>
            <w:vAlign w:val="bottom"/>
          </w:tcPr>
          <w:p w:rsidR="00745011" w:rsidRPr="006C05B5" w:rsidRDefault="00745011" w:rsidP="005C1352">
            <w:pPr>
              <w:jc w:val="center"/>
              <w:rPr>
                <w:b/>
                <w:color w:val="FFFFFF"/>
                <w:sz w:val="20"/>
                <w:szCs w:val="20"/>
              </w:rPr>
            </w:pPr>
            <w:r w:rsidRPr="006C05B5">
              <w:rPr>
                <w:b/>
                <w:color w:val="FFFFFF"/>
                <w:sz w:val="20"/>
                <w:szCs w:val="20"/>
              </w:rPr>
              <w:t>NTG Method</w:t>
            </w:r>
          </w:p>
        </w:tc>
        <w:tc>
          <w:tcPr>
            <w:tcW w:w="5863" w:type="dxa"/>
            <w:shd w:val="clear" w:color="auto" w:fill="448A99"/>
            <w:vAlign w:val="bottom"/>
          </w:tcPr>
          <w:p w:rsidR="00745011" w:rsidRPr="006C05B5" w:rsidRDefault="00745011" w:rsidP="005C1352">
            <w:pPr>
              <w:jc w:val="center"/>
              <w:rPr>
                <w:b/>
                <w:color w:val="FFFFFF"/>
                <w:sz w:val="20"/>
                <w:szCs w:val="20"/>
              </w:rPr>
            </w:pPr>
            <w:r w:rsidRPr="006C05B5">
              <w:rPr>
                <w:b/>
                <w:color w:val="FFFFFF"/>
                <w:sz w:val="20"/>
                <w:szCs w:val="20"/>
              </w:rPr>
              <w:t>Review Comments</w:t>
            </w:r>
          </w:p>
        </w:tc>
      </w:tr>
      <w:tr w:rsidR="00E7173E" w:rsidRPr="006C05B5" w:rsidTr="005C3E63">
        <w:tc>
          <w:tcPr>
            <w:tcW w:w="1692" w:type="dxa"/>
            <w:shd w:val="clear" w:color="auto" w:fill="D2EAF1"/>
          </w:tcPr>
          <w:p w:rsidR="00745011" w:rsidRPr="006C05B5" w:rsidRDefault="00745011" w:rsidP="005C1352">
            <w:pPr>
              <w:jc w:val="left"/>
              <w:rPr>
                <w:color w:val="548DD4"/>
                <w:sz w:val="20"/>
                <w:szCs w:val="20"/>
              </w:rPr>
            </w:pPr>
            <w:r w:rsidRPr="006C05B5">
              <w:rPr>
                <w:sz w:val="20"/>
                <w:szCs w:val="20"/>
              </w:rPr>
              <w:t>Appliance Turn-In</w:t>
            </w:r>
          </w:p>
        </w:tc>
        <w:tc>
          <w:tcPr>
            <w:tcW w:w="1800" w:type="dxa"/>
            <w:shd w:val="clear" w:color="auto" w:fill="D2EAF1"/>
          </w:tcPr>
          <w:p w:rsidR="00745011" w:rsidRPr="006C05B5" w:rsidRDefault="00745011" w:rsidP="005C1352">
            <w:pPr>
              <w:jc w:val="left"/>
              <w:rPr>
                <w:color w:val="548DD4"/>
                <w:sz w:val="20"/>
                <w:szCs w:val="20"/>
              </w:rPr>
            </w:pPr>
            <w:r w:rsidRPr="006C05B5">
              <w:rPr>
                <w:sz w:val="20"/>
                <w:szCs w:val="20"/>
              </w:rPr>
              <w:t>The common method was used. NTG was assumed to be 50% for the RAC stratum.</w:t>
            </w:r>
          </w:p>
        </w:tc>
        <w:tc>
          <w:tcPr>
            <w:tcW w:w="5863" w:type="dxa"/>
            <w:shd w:val="clear" w:color="auto" w:fill="D2EAF1"/>
          </w:tcPr>
          <w:p w:rsidR="00745011" w:rsidRPr="006C05B5" w:rsidRDefault="00EE5015" w:rsidP="002D2C13">
            <w:pPr>
              <w:jc w:val="left"/>
              <w:rPr>
                <w:color w:val="548DD4"/>
                <w:sz w:val="20"/>
                <w:szCs w:val="20"/>
              </w:rPr>
            </w:pPr>
            <w:r w:rsidRPr="00EE5015">
              <w:rPr>
                <w:sz w:val="20"/>
                <w:szCs w:val="20"/>
              </w:rPr>
              <w:t>ADM/Tetra Tech reported using the common method for Appliance Turn-In to estimate NTG, but did not explain their use of the method in detail. Given negligible RAC savings under the program, ADM/Tetra Tech did not include in its EM&amp;V Plan estimating NTG for the RAC component, and assigned an NTGR of 50% instead. While acknowledging that RAC savings are a minor component of the program, the SWE Team disagrees with this non-evidence-based assignment of 50% NTGR. ADM/Tetra Tech did not estimate SO. ADM erroneously reported the refrigerator stratum FR value as the program total FR value.</w:t>
            </w:r>
          </w:p>
        </w:tc>
      </w:tr>
      <w:tr w:rsidR="00745011" w:rsidRPr="006C05B5" w:rsidTr="005C3E63">
        <w:tc>
          <w:tcPr>
            <w:tcW w:w="1692" w:type="dxa"/>
          </w:tcPr>
          <w:p w:rsidR="00745011" w:rsidRPr="006C05B5" w:rsidRDefault="00745011" w:rsidP="005C1352">
            <w:pPr>
              <w:jc w:val="left"/>
              <w:rPr>
                <w:color w:val="548DD4"/>
                <w:sz w:val="20"/>
                <w:szCs w:val="20"/>
              </w:rPr>
            </w:pPr>
            <w:r w:rsidRPr="006C05B5">
              <w:rPr>
                <w:sz w:val="20"/>
                <w:szCs w:val="20"/>
              </w:rPr>
              <w:t>Efficient Products</w:t>
            </w:r>
          </w:p>
        </w:tc>
        <w:tc>
          <w:tcPr>
            <w:tcW w:w="1800" w:type="dxa"/>
          </w:tcPr>
          <w:p w:rsidR="00745011" w:rsidRPr="006C05B5" w:rsidRDefault="00745011" w:rsidP="005C1352">
            <w:pPr>
              <w:jc w:val="left"/>
              <w:rPr>
                <w:sz w:val="20"/>
                <w:szCs w:val="20"/>
              </w:rPr>
            </w:pPr>
            <w:r w:rsidRPr="006C05B5">
              <w:rPr>
                <w:sz w:val="20"/>
                <w:szCs w:val="20"/>
              </w:rPr>
              <w:t>PY6 results (which used the common method) were combined with upstream retailer interview and participant survey data.</w:t>
            </w:r>
          </w:p>
        </w:tc>
        <w:tc>
          <w:tcPr>
            <w:tcW w:w="5863" w:type="dxa"/>
          </w:tcPr>
          <w:p w:rsidR="00745011" w:rsidRPr="006C05B5" w:rsidRDefault="00EE5015" w:rsidP="005C1352">
            <w:pPr>
              <w:jc w:val="left"/>
              <w:rPr>
                <w:color w:val="548DD4"/>
                <w:sz w:val="20"/>
                <w:szCs w:val="20"/>
              </w:rPr>
            </w:pPr>
            <w:r w:rsidRPr="006A1D1D">
              <w:rPr>
                <w:sz w:val="20"/>
                <w:szCs w:val="20"/>
              </w:rPr>
              <w:t>ADM/Tetra Tech used PY6 results for downstream components and surveys/interviews with participants/retailers for upstream components. ADM/Tetra Tech did not explain how they analyzed surveys/interviews with participants/retailers to produce NTG values for upstream strata. The same upstream lighting participant sample was used for all four FirstEnergy EDCs: although participating retailers also informed NTG estimates, the SWE Team contends that the small participant sample may limit</w:t>
            </w:r>
            <w:r>
              <w:rPr>
                <w:sz w:val="20"/>
                <w:szCs w:val="20"/>
              </w:rPr>
              <w:t xml:space="preserve"> accurate NTG estimation.</w:t>
            </w:r>
          </w:p>
        </w:tc>
      </w:tr>
      <w:tr w:rsidR="00E7173E" w:rsidRPr="006C05B5" w:rsidTr="005C3E63">
        <w:tc>
          <w:tcPr>
            <w:tcW w:w="1692" w:type="dxa"/>
            <w:shd w:val="clear" w:color="auto" w:fill="D2EAF1"/>
          </w:tcPr>
          <w:p w:rsidR="00745011" w:rsidRPr="006C05B5" w:rsidRDefault="00745011" w:rsidP="005C1352">
            <w:pPr>
              <w:jc w:val="left"/>
              <w:rPr>
                <w:color w:val="548DD4"/>
                <w:sz w:val="20"/>
                <w:szCs w:val="20"/>
              </w:rPr>
            </w:pPr>
            <w:r w:rsidRPr="006C05B5">
              <w:rPr>
                <w:sz w:val="20"/>
                <w:szCs w:val="20"/>
              </w:rPr>
              <w:t>Home Performance</w:t>
            </w:r>
          </w:p>
        </w:tc>
        <w:tc>
          <w:tcPr>
            <w:tcW w:w="1800" w:type="dxa"/>
            <w:shd w:val="clear" w:color="auto" w:fill="D2EAF1"/>
          </w:tcPr>
          <w:p w:rsidR="00745011" w:rsidRPr="006C05B5" w:rsidRDefault="00745011" w:rsidP="005C1352">
            <w:pPr>
              <w:jc w:val="left"/>
              <w:rPr>
                <w:color w:val="548DD4"/>
                <w:sz w:val="20"/>
                <w:szCs w:val="20"/>
              </w:rPr>
            </w:pPr>
            <w:r w:rsidRPr="006C05B5">
              <w:rPr>
                <w:sz w:val="20"/>
                <w:szCs w:val="20"/>
              </w:rPr>
              <w:t>PY6 (common method-based) strata results were reweighted with Phase II gross lifetime MWh savings. NTG was assumed to be 50% for new construction stratum. NTG was not estimated for HERs; impact analysis accounts for FR and SO.</w:t>
            </w:r>
          </w:p>
        </w:tc>
        <w:tc>
          <w:tcPr>
            <w:tcW w:w="5863" w:type="dxa"/>
            <w:shd w:val="clear" w:color="auto" w:fill="D2EAF1"/>
          </w:tcPr>
          <w:p w:rsidR="00745011" w:rsidRPr="006C05B5" w:rsidRDefault="00745011" w:rsidP="005C1352">
            <w:pPr>
              <w:jc w:val="left"/>
              <w:rPr>
                <w:color w:val="548DD4"/>
                <w:sz w:val="20"/>
                <w:szCs w:val="20"/>
              </w:rPr>
            </w:pPr>
            <w:r w:rsidRPr="006C05B5">
              <w:rPr>
                <w:sz w:val="20"/>
                <w:szCs w:val="20"/>
              </w:rPr>
              <w:t>ADM/Tetra Tech did not estimate NTG for the Home Energy Review component, as the impact analysis provides a net savings value for that component. ADM/Tetra Tech did not estimate NTG for the New Homes component, and assigned an NTGR of 50% instead. The SWE Team disagrees with this non-evidence-based assignment of 50% NTGR. ADM/Tetra Tech erroneously reported using Phase III savings; they confirmed via email that they used Phase II savings.</w:t>
            </w:r>
          </w:p>
        </w:tc>
      </w:tr>
    </w:tbl>
    <w:p w:rsidR="008C19A4" w:rsidRDefault="008C19A4" w:rsidP="00745011"/>
    <w:p w:rsidR="00745011" w:rsidRPr="006C05B5" w:rsidRDefault="008C19A4" w:rsidP="00745011">
      <w:r>
        <w:t xml:space="preserve">Table A-46 </w:t>
      </w:r>
      <w:r w:rsidR="00745011" w:rsidRPr="006C05B5">
        <w:t>summarizes NTG findings from the PY</w:t>
      </w:r>
      <w:r w:rsidR="00F21F28">
        <w:t>7</w:t>
      </w:r>
      <w:r w:rsidR="00745011" w:rsidRPr="006C05B5">
        <w:t xml:space="preserve"> Met-Ed annual report. NTGR was greatest for Home Performance and lowest for Appliance Turn-In.</w:t>
      </w:r>
    </w:p>
    <w:p w:rsidR="00745011" w:rsidRPr="006C05B5" w:rsidRDefault="00745011" w:rsidP="00745011"/>
    <w:p w:rsidR="00391C49" w:rsidRDefault="00391C49" w:rsidP="00745011">
      <w:pPr>
        <w:pStyle w:val="Caption"/>
      </w:pPr>
      <w:bookmarkStart w:id="777" w:name="_Ref472451601"/>
      <w:bookmarkStart w:id="778" w:name="_Toc444269748"/>
      <w:bookmarkStart w:id="779" w:name="_Toc472472455"/>
    </w:p>
    <w:p w:rsidR="00391C49" w:rsidRDefault="00391C49" w:rsidP="00745011">
      <w:pPr>
        <w:pStyle w:val="Caption"/>
      </w:pPr>
    </w:p>
    <w:p w:rsidR="00391C49" w:rsidRDefault="00391C49" w:rsidP="00745011">
      <w:pPr>
        <w:pStyle w:val="Caption"/>
      </w:pPr>
    </w:p>
    <w:p w:rsidR="00391C49" w:rsidRDefault="00391C49" w:rsidP="00745011">
      <w:pPr>
        <w:pStyle w:val="Caption"/>
      </w:pPr>
    </w:p>
    <w:p w:rsidR="00745011" w:rsidRPr="00745011" w:rsidRDefault="00745011" w:rsidP="00745011">
      <w:pPr>
        <w:pStyle w:val="Caption"/>
      </w:pPr>
      <w:bookmarkStart w:id="780" w:name="_Toc476842161"/>
      <w:r w:rsidRPr="00745011">
        <w:t xml:space="preserve">Table A- </w:t>
      </w:r>
      <w:fldSimple w:instr=" SEQ Table_A- \* ARABIC ">
        <w:r w:rsidR="00C301D0">
          <w:rPr>
            <w:noProof/>
          </w:rPr>
          <w:t>46</w:t>
        </w:r>
      </w:fldSimple>
      <w:bookmarkEnd w:id="777"/>
      <w:r w:rsidRPr="00745011">
        <w:t>: Summary of NTG Estimates for Met-Ed’s Residential Program</w:t>
      </w:r>
      <w:bookmarkEnd w:id="778"/>
      <w:r w:rsidRPr="00745011">
        <w:t>s</w:t>
      </w:r>
      <w:bookmarkEnd w:id="779"/>
      <w:bookmarkEnd w:id="780"/>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417"/>
        <w:gridCol w:w="3220"/>
        <w:gridCol w:w="1182"/>
        <w:gridCol w:w="1175"/>
        <w:gridCol w:w="1160"/>
        <w:gridCol w:w="1196"/>
      </w:tblGrid>
      <w:tr w:rsidR="00A874AC" w:rsidRPr="006C05B5" w:rsidTr="005C1352">
        <w:trPr>
          <w:tblHeader/>
          <w:jc w:val="center"/>
        </w:trPr>
        <w:tc>
          <w:tcPr>
            <w:tcW w:w="1417" w:type="dxa"/>
            <w:tcBorders>
              <w:bottom w:val="single" w:sz="4" w:space="0" w:color="448A99"/>
            </w:tcBorders>
            <w:shd w:val="clear" w:color="auto" w:fill="448A99"/>
            <w:vAlign w:val="bottom"/>
          </w:tcPr>
          <w:p w:rsidR="00745011" w:rsidRPr="006C05B5" w:rsidRDefault="00745011" w:rsidP="005C1352">
            <w:pPr>
              <w:rPr>
                <w:b/>
                <w:color w:val="FFFFFF"/>
                <w:sz w:val="20"/>
                <w:szCs w:val="20"/>
              </w:rPr>
            </w:pPr>
            <w:r w:rsidRPr="006C05B5">
              <w:rPr>
                <w:b/>
                <w:color w:val="FFFFFF"/>
                <w:sz w:val="20"/>
                <w:szCs w:val="20"/>
              </w:rPr>
              <w:lastRenderedPageBreak/>
              <w:t>Approach</w:t>
            </w:r>
          </w:p>
        </w:tc>
        <w:tc>
          <w:tcPr>
            <w:tcW w:w="3220" w:type="dxa"/>
            <w:tcBorders>
              <w:bottom w:val="single" w:sz="4" w:space="0" w:color="448A99"/>
            </w:tcBorders>
            <w:shd w:val="clear" w:color="auto" w:fill="448A99"/>
            <w:vAlign w:val="bottom"/>
          </w:tcPr>
          <w:p w:rsidR="00745011" w:rsidRPr="006C05B5" w:rsidRDefault="00745011" w:rsidP="005C1352">
            <w:pPr>
              <w:rPr>
                <w:b/>
                <w:color w:val="FFFFFF"/>
                <w:sz w:val="20"/>
                <w:szCs w:val="20"/>
              </w:rPr>
            </w:pPr>
            <w:r w:rsidRPr="006C05B5">
              <w:rPr>
                <w:b/>
                <w:color w:val="FFFFFF"/>
                <w:sz w:val="20"/>
                <w:szCs w:val="20"/>
              </w:rPr>
              <w:t>Program</w:t>
            </w:r>
          </w:p>
        </w:tc>
        <w:tc>
          <w:tcPr>
            <w:tcW w:w="1182" w:type="dxa"/>
            <w:tcBorders>
              <w:bottom w:val="single" w:sz="4" w:space="0" w:color="448A99"/>
            </w:tcBorders>
            <w:shd w:val="clear" w:color="auto" w:fill="448A99"/>
            <w:vAlign w:val="bottom"/>
          </w:tcPr>
          <w:p w:rsidR="00745011" w:rsidRPr="006C05B5" w:rsidRDefault="00745011" w:rsidP="005C1352">
            <w:pPr>
              <w:jc w:val="center"/>
              <w:rPr>
                <w:b/>
                <w:color w:val="FFFFFF"/>
                <w:sz w:val="20"/>
                <w:szCs w:val="20"/>
              </w:rPr>
            </w:pPr>
            <w:r w:rsidRPr="006C05B5">
              <w:rPr>
                <w:b/>
                <w:color w:val="FFFFFF"/>
                <w:sz w:val="20"/>
                <w:szCs w:val="20"/>
              </w:rPr>
              <w:t>Free-Ridership</w:t>
            </w:r>
          </w:p>
        </w:tc>
        <w:tc>
          <w:tcPr>
            <w:tcW w:w="1175" w:type="dxa"/>
            <w:tcBorders>
              <w:bottom w:val="single" w:sz="4" w:space="0" w:color="448A99"/>
            </w:tcBorders>
            <w:shd w:val="clear" w:color="auto" w:fill="448A99"/>
            <w:vAlign w:val="bottom"/>
          </w:tcPr>
          <w:p w:rsidR="00745011" w:rsidRPr="006C05B5" w:rsidRDefault="00745011" w:rsidP="005C1352">
            <w:pPr>
              <w:jc w:val="center"/>
              <w:rPr>
                <w:b/>
                <w:color w:val="FFFFFF"/>
                <w:sz w:val="20"/>
                <w:szCs w:val="20"/>
              </w:rPr>
            </w:pPr>
            <w:r w:rsidRPr="006C05B5">
              <w:rPr>
                <w:b/>
                <w:color w:val="FFFFFF"/>
                <w:sz w:val="20"/>
                <w:szCs w:val="20"/>
              </w:rPr>
              <w:t>Spillover</w:t>
            </w:r>
          </w:p>
        </w:tc>
        <w:tc>
          <w:tcPr>
            <w:tcW w:w="1160" w:type="dxa"/>
            <w:tcBorders>
              <w:bottom w:val="single" w:sz="4" w:space="0" w:color="448A99"/>
            </w:tcBorders>
            <w:shd w:val="clear" w:color="auto" w:fill="448A99"/>
            <w:vAlign w:val="bottom"/>
          </w:tcPr>
          <w:p w:rsidR="00745011" w:rsidRPr="006C05B5" w:rsidRDefault="00745011" w:rsidP="005C1352">
            <w:pPr>
              <w:jc w:val="center"/>
              <w:rPr>
                <w:b/>
                <w:color w:val="FFFFFF"/>
                <w:sz w:val="20"/>
                <w:szCs w:val="20"/>
              </w:rPr>
            </w:pPr>
            <w:r w:rsidRPr="006C05B5">
              <w:rPr>
                <w:b/>
                <w:color w:val="FFFFFF"/>
                <w:sz w:val="20"/>
                <w:szCs w:val="20"/>
              </w:rPr>
              <w:t>NTGR</w:t>
            </w:r>
            <w:r w:rsidRPr="006C05B5">
              <w:rPr>
                <w:b/>
                <w:color w:val="FFFFFF"/>
                <w:sz w:val="20"/>
                <w:szCs w:val="20"/>
                <w:vertAlign w:val="superscript"/>
              </w:rPr>
              <w:t>[a]</w:t>
            </w:r>
          </w:p>
        </w:tc>
        <w:tc>
          <w:tcPr>
            <w:tcW w:w="1196" w:type="dxa"/>
            <w:tcBorders>
              <w:bottom w:val="single" w:sz="4" w:space="0" w:color="448A99"/>
            </w:tcBorders>
            <w:shd w:val="clear" w:color="auto" w:fill="448A99"/>
            <w:vAlign w:val="bottom"/>
          </w:tcPr>
          <w:p w:rsidR="00745011" w:rsidRPr="006C05B5" w:rsidRDefault="00745011" w:rsidP="005C1352">
            <w:pPr>
              <w:jc w:val="center"/>
              <w:rPr>
                <w:b/>
                <w:color w:val="FFFFFF"/>
                <w:sz w:val="20"/>
                <w:szCs w:val="20"/>
              </w:rPr>
            </w:pPr>
            <w:r w:rsidRPr="006C05B5">
              <w:rPr>
                <w:b/>
                <w:color w:val="FFFFFF"/>
                <w:sz w:val="20"/>
                <w:szCs w:val="20"/>
              </w:rPr>
              <w:t>Sample Size</w:t>
            </w:r>
            <w:r w:rsidRPr="006C05B5">
              <w:rPr>
                <w:b/>
                <w:color w:val="FFFFFF"/>
                <w:sz w:val="20"/>
                <w:szCs w:val="20"/>
                <w:vertAlign w:val="superscript"/>
              </w:rPr>
              <w:t>[b]</w:t>
            </w:r>
          </w:p>
        </w:tc>
      </w:tr>
      <w:tr w:rsidR="00A874AC" w:rsidRPr="006C05B5" w:rsidTr="006843B2">
        <w:trPr>
          <w:trHeight w:val="432"/>
          <w:jc w:val="center"/>
        </w:trPr>
        <w:tc>
          <w:tcPr>
            <w:tcW w:w="1417" w:type="dxa"/>
            <w:shd w:val="clear" w:color="auto" w:fill="D2EAF1"/>
          </w:tcPr>
          <w:p w:rsidR="00745011" w:rsidRPr="006C05B5" w:rsidRDefault="00745011" w:rsidP="005C1352">
            <w:pPr>
              <w:rPr>
                <w:sz w:val="20"/>
                <w:szCs w:val="20"/>
              </w:rPr>
            </w:pPr>
            <w:r w:rsidRPr="006C05B5">
              <w:rPr>
                <w:sz w:val="20"/>
                <w:szCs w:val="20"/>
              </w:rPr>
              <w:t>Estimated</w:t>
            </w:r>
          </w:p>
        </w:tc>
        <w:tc>
          <w:tcPr>
            <w:tcW w:w="3220" w:type="dxa"/>
            <w:shd w:val="clear" w:color="auto" w:fill="D2EAF1"/>
          </w:tcPr>
          <w:p w:rsidR="00745011" w:rsidRPr="006C05B5" w:rsidRDefault="00745011" w:rsidP="005C1352">
            <w:pPr>
              <w:rPr>
                <w:color w:val="548DD4"/>
                <w:sz w:val="20"/>
                <w:szCs w:val="20"/>
              </w:rPr>
            </w:pPr>
            <w:r w:rsidRPr="006C05B5">
              <w:rPr>
                <w:sz w:val="20"/>
                <w:szCs w:val="20"/>
              </w:rPr>
              <w:t>Appliance Turn-In</w:t>
            </w:r>
          </w:p>
        </w:tc>
        <w:tc>
          <w:tcPr>
            <w:tcW w:w="1182" w:type="dxa"/>
            <w:shd w:val="clear" w:color="auto" w:fill="D2EAF1"/>
          </w:tcPr>
          <w:p w:rsidR="00745011" w:rsidRPr="006C05B5" w:rsidRDefault="00745011" w:rsidP="005C1352">
            <w:pPr>
              <w:jc w:val="center"/>
              <w:rPr>
                <w:sz w:val="20"/>
                <w:szCs w:val="20"/>
              </w:rPr>
            </w:pPr>
            <w:r w:rsidRPr="006C05B5">
              <w:rPr>
                <w:sz w:val="20"/>
                <w:szCs w:val="20"/>
              </w:rPr>
              <w:t>0.75</w:t>
            </w:r>
            <w:r w:rsidRPr="006C05B5">
              <w:rPr>
                <w:sz w:val="20"/>
                <w:szCs w:val="20"/>
                <w:vertAlign w:val="superscript"/>
              </w:rPr>
              <w:t>[c]</w:t>
            </w:r>
          </w:p>
        </w:tc>
        <w:tc>
          <w:tcPr>
            <w:tcW w:w="1175" w:type="dxa"/>
            <w:shd w:val="clear" w:color="auto" w:fill="D2EAF1"/>
          </w:tcPr>
          <w:p w:rsidR="00745011" w:rsidRPr="006C05B5" w:rsidRDefault="00745011" w:rsidP="005C1352">
            <w:pPr>
              <w:jc w:val="center"/>
              <w:rPr>
                <w:sz w:val="20"/>
                <w:szCs w:val="20"/>
              </w:rPr>
            </w:pPr>
            <w:r w:rsidRPr="006C05B5">
              <w:rPr>
                <w:sz w:val="20"/>
                <w:szCs w:val="20"/>
              </w:rPr>
              <w:t>0.00</w:t>
            </w:r>
          </w:p>
        </w:tc>
        <w:tc>
          <w:tcPr>
            <w:tcW w:w="1160" w:type="dxa"/>
            <w:shd w:val="clear" w:color="auto" w:fill="D2EAF1"/>
          </w:tcPr>
          <w:p w:rsidR="00745011" w:rsidRPr="006C05B5" w:rsidRDefault="00745011" w:rsidP="005C1352">
            <w:pPr>
              <w:jc w:val="center"/>
              <w:rPr>
                <w:sz w:val="20"/>
                <w:szCs w:val="20"/>
              </w:rPr>
            </w:pPr>
            <w:r w:rsidRPr="006C05B5">
              <w:rPr>
                <w:sz w:val="20"/>
                <w:szCs w:val="20"/>
              </w:rPr>
              <w:t>0.26</w:t>
            </w:r>
          </w:p>
        </w:tc>
        <w:tc>
          <w:tcPr>
            <w:tcW w:w="1196" w:type="dxa"/>
            <w:shd w:val="clear" w:color="auto" w:fill="D2EAF1"/>
          </w:tcPr>
          <w:p w:rsidR="00745011" w:rsidRPr="006C05B5" w:rsidRDefault="00745011" w:rsidP="005C1352">
            <w:pPr>
              <w:jc w:val="center"/>
              <w:rPr>
                <w:sz w:val="20"/>
                <w:szCs w:val="20"/>
              </w:rPr>
            </w:pPr>
            <w:r w:rsidRPr="006C05B5">
              <w:rPr>
                <w:sz w:val="20"/>
                <w:szCs w:val="20"/>
              </w:rPr>
              <w:t>71</w:t>
            </w:r>
          </w:p>
        </w:tc>
      </w:tr>
      <w:tr w:rsidR="00745011" w:rsidRPr="006C05B5" w:rsidTr="0081757B">
        <w:trPr>
          <w:trHeight w:val="432"/>
          <w:jc w:val="center"/>
        </w:trPr>
        <w:tc>
          <w:tcPr>
            <w:tcW w:w="1417" w:type="dxa"/>
            <w:vMerge w:val="restart"/>
            <w:shd w:val="clear" w:color="auto" w:fill="auto"/>
          </w:tcPr>
          <w:p w:rsidR="00745011" w:rsidRPr="006C05B5" w:rsidRDefault="00745011" w:rsidP="005C1352">
            <w:pPr>
              <w:rPr>
                <w:sz w:val="20"/>
                <w:szCs w:val="20"/>
              </w:rPr>
            </w:pPr>
            <w:r w:rsidRPr="006C05B5">
              <w:rPr>
                <w:sz w:val="20"/>
                <w:szCs w:val="20"/>
              </w:rPr>
              <w:t>Partially estimated</w:t>
            </w:r>
          </w:p>
        </w:tc>
        <w:tc>
          <w:tcPr>
            <w:tcW w:w="3220" w:type="dxa"/>
          </w:tcPr>
          <w:p w:rsidR="00745011" w:rsidRPr="006C05B5" w:rsidRDefault="00745011" w:rsidP="005C1352">
            <w:pPr>
              <w:rPr>
                <w:color w:val="548DD4"/>
                <w:sz w:val="20"/>
                <w:szCs w:val="20"/>
              </w:rPr>
            </w:pPr>
            <w:r w:rsidRPr="006C05B5">
              <w:rPr>
                <w:sz w:val="20"/>
                <w:szCs w:val="20"/>
              </w:rPr>
              <w:t>Energy Efficient Products</w:t>
            </w:r>
          </w:p>
        </w:tc>
        <w:tc>
          <w:tcPr>
            <w:tcW w:w="1182" w:type="dxa"/>
          </w:tcPr>
          <w:p w:rsidR="00745011" w:rsidRPr="006C05B5" w:rsidRDefault="00745011" w:rsidP="005C1352">
            <w:pPr>
              <w:jc w:val="center"/>
              <w:rPr>
                <w:sz w:val="20"/>
                <w:szCs w:val="20"/>
              </w:rPr>
            </w:pPr>
            <w:r w:rsidRPr="006C05B5">
              <w:rPr>
                <w:sz w:val="20"/>
                <w:szCs w:val="20"/>
              </w:rPr>
              <w:t>0.38</w:t>
            </w:r>
          </w:p>
        </w:tc>
        <w:tc>
          <w:tcPr>
            <w:tcW w:w="1175" w:type="dxa"/>
          </w:tcPr>
          <w:p w:rsidR="00745011" w:rsidRPr="006C05B5" w:rsidRDefault="00745011" w:rsidP="005C1352">
            <w:pPr>
              <w:jc w:val="center"/>
              <w:rPr>
                <w:sz w:val="20"/>
                <w:szCs w:val="20"/>
              </w:rPr>
            </w:pPr>
            <w:r w:rsidRPr="006C05B5">
              <w:rPr>
                <w:sz w:val="20"/>
                <w:szCs w:val="20"/>
              </w:rPr>
              <w:t>0.05</w:t>
            </w:r>
          </w:p>
        </w:tc>
        <w:tc>
          <w:tcPr>
            <w:tcW w:w="1160" w:type="dxa"/>
          </w:tcPr>
          <w:p w:rsidR="00745011" w:rsidRPr="006C05B5" w:rsidRDefault="00745011" w:rsidP="005C1352">
            <w:pPr>
              <w:jc w:val="center"/>
              <w:rPr>
                <w:sz w:val="20"/>
                <w:szCs w:val="20"/>
              </w:rPr>
            </w:pPr>
            <w:r w:rsidRPr="006C05B5">
              <w:rPr>
                <w:sz w:val="20"/>
                <w:szCs w:val="20"/>
              </w:rPr>
              <w:t>0.67</w:t>
            </w:r>
          </w:p>
        </w:tc>
        <w:tc>
          <w:tcPr>
            <w:tcW w:w="1196" w:type="dxa"/>
          </w:tcPr>
          <w:p w:rsidR="00745011" w:rsidRPr="006C05B5" w:rsidRDefault="00745011" w:rsidP="005C1352">
            <w:pPr>
              <w:jc w:val="center"/>
              <w:rPr>
                <w:sz w:val="20"/>
                <w:szCs w:val="20"/>
                <w:vertAlign w:val="superscript"/>
              </w:rPr>
            </w:pPr>
            <w:r w:rsidRPr="006C05B5">
              <w:rPr>
                <w:sz w:val="20"/>
                <w:szCs w:val="20"/>
              </w:rPr>
              <w:t>137</w:t>
            </w:r>
          </w:p>
        </w:tc>
      </w:tr>
      <w:tr w:rsidR="00A874AC" w:rsidRPr="006C05B5" w:rsidTr="006843B2">
        <w:trPr>
          <w:trHeight w:val="432"/>
          <w:jc w:val="center"/>
        </w:trPr>
        <w:tc>
          <w:tcPr>
            <w:tcW w:w="1417" w:type="dxa"/>
            <w:vMerge/>
            <w:tcBorders>
              <w:bottom w:val="single" w:sz="4" w:space="0" w:color="448A99"/>
            </w:tcBorders>
            <w:shd w:val="clear" w:color="auto" w:fill="auto"/>
          </w:tcPr>
          <w:p w:rsidR="00745011" w:rsidRPr="006C05B5" w:rsidRDefault="00745011" w:rsidP="005C1352">
            <w:pPr>
              <w:rPr>
                <w:sz w:val="20"/>
                <w:szCs w:val="20"/>
              </w:rPr>
            </w:pPr>
          </w:p>
        </w:tc>
        <w:tc>
          <w:tcPr>
            <w:tcW w:w="3220" w:type="dxa"/>
            <w:tcBorders>
              <w:bottom w:val="single" w:sz="4" w:space="0" w:color="448A99"/>
            </w:tcBorders>
            <w:shd w:val="clear" w:color="auto" w:fill="D2EAF1"/>
          </w:tcPr>
          <w:p w:rsidR="00745011" w:rsidRPr="006C05B5" w:rsidRDefault="00745011" w:rsidP="005C1352">
            <w:pPr>
              <w:rPr>
                <w:color w:val="548DD4"/>
                <w:sz w:val="20"/>
                <w:szCs w:val="20"/>
              </w:rPr>
            </w:pPr>
            <w:r w:rsidRPr="006C05B5">
              <w:rPr>
                <w:sz w:val="20"/>
                <w:szCs w:val="20"/>
              </w:rPr>
              <w:t>Home Performance</w:t>
            </w:r>
          </w:p>
        </w:tc>
        <w:tc>
          <w:tcPr>
            <w:tcW w:w="1182" w:type="dxa"/>
            <w:tcBorders>
              <w:bottom w:val="single" w:sz="4" w:space="0" w:color="448A99"/>
            </w:tcBorders>
            <w:shd w:val="clear" w:color="auto" w:fill="D2EAF1"/>
          </w:tcPr>
          <w:p w:rsidR="00745011" w:rsidRPr="006C05B5" w:rsidRDefault="00745011" w:rsidP="005C1352">
            <w:pPr>
              <w:jc w:val="center"/>
              <w:rPr>
                <w:sz w:val="20"/>
                <w:szCs w:val="20"/>
              </w:rPr>
            </w:pPr>
            <w:r w:rsidRPr="006C05B5">
              <w:rPr>
                <w:sz w:val="20"/>
                <w:szCs w:val="20"/>
              </w:rPr>
              <w:t>0.36</w:t>
            </w:r>
          </w:p>
        </w:tc>
        <w:tc>
          <w:tcPr>
            <w:tcW w:w="1175" w:type="dxa"/>
            <w:tcBorders>
              <w:bottom w:val="single" w:sz="4" w:space="0" w:color="448A99"/>
            </w:tcBorders>
            <w:shd w:val="clear" w:color="auto" w:fill="D2EAF1"/>
          </w:tcPr>
          <w:p w:rsidR="00745011" w:rsidRPr="006C05B5" w:rsidRDefault="00745011" w:rsidP="005C1352">
            <w:pPr>
              <w:jc w:val="center"/>
              <w:rPr>
                <w:sz w:val="20"/>
                <w:szCs w:val="20"/>
              </w:rPr>
            </w:pPr>
            <w:r w:rsidRPr="006C05B5">
              <w:rPr>
                <w:sz w:val="20"/>
                <w:szCs w:val="20"/>
              </w:rPr>
              <w:t>0.06</w:t>
            </w:r>
          </w:p>
        </w:tc>
        <w:tc>
          <w:tcPr>
            <w:tcW w:w="1160" w:type="dxa"/>
            <w:tcBorders>
              <w:bottom w:val="single" w:sz="4" w:space="0" w:color="448A99"/>
            </w:tcBorders>
            <w:shd w:val="clear" w:color="auto" w:fill="D2EAF1"/>
          </w:tcPr>
          <w:p w:rsidR="00745011" w:rsidRPr="006C05B5" w:rsidRDefault="00745011" w:rsidP="005C1352">
            <w:pPr>
              <w:jc w:val="center"/>
              <w:rPr>
                <w:sz w:val="20"/>
                <w:szCs w:val="20"/>
              </w:rPr>
            </w:pPr>
            <w:r w:rsidRPr="006C05B5">
              <w:rPr>
                <w:sz w:val="20"/>
                <w:szCs w:val="20"/>
              </w:rPr>
              <w:t>0.70</w:t>
            </w:r>
          </w:p>
        </w:tc>
        <w:tc>
          <w:tcPr>
            <w:tcW w:w="1196" w:type="dxa"/>
            <w:tcBorders>
              <w:bottom w:val="single" w:sz="4" w:space="0" w:color="448A99"/>
            </w:tcBorders>
            <w:shd w:val="clear" w:color="auto" w:fill="D2EAF1"/>
          </w:tcPr>
          <w:p w:rsidR="00745011" w:rsidRPr="006C05B5" w:rsidRDefault="00745011" w:rsidP="005C1352">
            <w:pPr>
              <w:jc w:val="center"/>
              <w:rPr>
                <w:sz w:val="20"/>
                <w:szCs w:val="20"/>
              </w:rPr>
            </w:pPr>
            <w:r w:rsidRPr="006C05B5">
              <w:rPr>
                <w:sz w:val="20"/>
                <w:szCs w:val="20"/>
              </w:rPr>
              <w:t>N/A</w:t>
            </w:r>
          </w:p>
        </w:tc>
      </w:tr>
      <w:tr w:rsidR="00E7173E" w:rsidRPr="00B97C91" w:rsidTr="0081757B">
        <w:trPr>
          <w:trHeight w:val="346"/>
          <w:jc w:val="center"/>
        </w:trPr>
        <w:tc>
          <w:tcPr>
            <w:tcW w:w="9350" w:type="dxa"/>
            <w:gridSpan w:val="6"/>
            <w:tcBorders>
              <w:bottom w:val="single" w:sz="4" w:space="0" w:color="448A99"/>
            </w:tcBorders>
            <w:shd w:val="clear" w:color="auto" w:fill="448A99"/>
          </w:tcPr>
          <w:p w:rsidR="00745011" w:rsidRPr="00B97C91" w:rsidRDefault="006142E6" w:rsidP="005C1352">
            <w:pPr>
              <w:jc w:val="left"/>
              <w:rPr>
                <w:color w:val="FFFFFF"/>
                <w:sz w:val="18"/>
                <w:szCs w:val="20"/>
              </w:rPr>
            </w:pPr>
            <w:r w:rsidRPr="00B97C91">
              <w:rPr>
                <w:color w:val="FFFFFF"/>
                <w:sz w:val="18"/>
                <w:szCs w:val="20"/>
              </w:rPr>
              <w:t>NOTES:</w:t>
            </w:r>
          </w:p>
          <w:p w:rsidR="00745011" w:rsidRPr="00B97C91" w:rsidRDefault="00745011" w:rsidP="005C1352">
            <w:pPr>
              <w:jc w:val="left"/>
              <w:rPr>
                <w:color w:val="FFFFFF"/>
                <w:sz w:val="18"/>
                <w:szCs w:val="20"/>
              </w:rPr>
            </w:pPr>
            <w:r w:rsidRPr="00B97C91">
              <w:rPr>
                <w:color w:val="FFFFFF"/>
                <w:sz w:val="18"/>
                <w:szCs w:val="18"/>
              </w:rPr>
              <w:t>[a]</w:t>
            </w:r>
            <w:r w:rsidRPr="00B97C91">
              <w:rPr>
                <w:bCs/>
                <w:color w:val="FFFFFF"/>
                <w:sz w:val="18"/>
                <w:szCs w:val="20"/>
              </w:rPr>
              <w:t xml:space="preserve"> </w:t>
            </w:r>
            <w:r w:rsidRPr="00B97C91">
              <w:rPr>
                <w:color w:val="FFFFFF"/>
                <w:sz w:val="18"/>
                <w:szCs w:val="20"/>
              </w:rPr>
              <w:t xml:space="preserve">NTGR = 1 – free-ridership + spillover. In some cases, the NTGR shown in the table may not equal exactly 1 – </w:t>
            </w:r>
            <w:r w:rsidRPr="00B97C91">
              <w:rPr>
                <w:rFonts w:eastAsia="Calibri"/>
                <w:color w:val="FFFFFF"/>
                <w:sz w:val="18"/>
                <w:szCs w:val="20"/>
              </w:rPr>
              <w:t>free-ridership + spillover</w:t>
            </w:r>
            <w:r w:rsidRPr="00B97C91">
              <w:rPr>
                <w:color w:val="FFFFFF"/>
                <w:sz w:val="18"/>
                <w:szCs w:val="20"/>
              </w:rPr>
              <w:t xml:space="preserve"> because of rounding.</w:t>
            </w:r>
          </w:p>
          <w:p w:rsidR="00745011" w:rsidRPr="00B97C91" w:rsidRDefault="00745011" w:rsidP="005C1352">
            <w:pPr>
              <w:jc w:val="left"/>
              <w:rPr>
                <w:color w:val="FFFFFF"/>
                <w:sz w:val="18"/>
                <w:szCs w:val="20"/>
              </w:rPr>
            </w:pPr>
            <w:r w:rsidRPr="00B97C91">
              <w:rPr>
                <w:color w:val="FFFFFF"/>
                <w:sz w:val="18"/>
                <w:szCs w:val="18"/>
              </w:rPr>
              <w:t>[b]</w:t>
            </w:r>
            <w:r w:rsidRPr="00B97C91">
              <w:rPr>
                <w:bCs/>
                <w:color w:val="FFFFFF"/>
                <w:sz w:val="18"/>
                <w:szCs w:val="20"/>
              </w:rPr>
              <w:t xml:space="preserve"> </w:t>
            </w:r>
            <w:r w:rsidRPr="00B97C91">
              <w:rPr>
                <w:color w:val="FFFFFF"/>
                <w:sz w:val="18"/>
                <w:szCs w:val="20"/>
              </w:rPr>
              <w:t xml:space="preserve">All sample sizes are for the downstream NTG research using the common method. All provided at least 85/15 confidence/precision. </w:t>
            </w:r>
            <w:r w:rsidRPr="00B97C91" w:rsidDel="00A436B6">
              <w:rPr>
                <w:color w:val="FFFFFF"/>
                <w:sz w:val="18"/>
                <w:szCs w:val="20"/>
              </w:rPr>
              <w:t xml:space="preserve"> </w:t>
            </w:r>
          </w:p>
          <w:p w:rsidR="00745011" w:rsidRPr="00B97C91" w:rsidRDefault="00745011" w:rsidP="005C1352">
            <w:pPr>
              <w:jc w:val="left"/>
              <w:rPr>
                <w:color w:val="FFFFFF"/>
                <w:sz w:val="18"/>
                <w:szCs w:val="20"/>
              </w:rPr>
            </w:pPr>
            <w:r w:rsidRPr="00B97C91">
              <w:rPr>
                <w:color w:val="FFFFFF"/>
                <w:sz w:val="18"/>
                <w:szCs w:val="18"/>
              </w:rPr>
              <w:t>[c]</w:t>
            </w:r>
            <w:r w:rsidRPr="00B97C91">
              <w:rPr>
                <w:bCs/>
                <w:color w:val="FFFFFF"/>
                <w:sz w:val="18"/>
                <w:szCs w:val="20"/>
              </w:rPr>
              <w:t xml:space="preserve"> </w:t>
            </w:r>
            <w:r w:rsidRPr="00B97C91">
              <w:rPr>
                <w:color w:val="FFFFFF"/>
                <w:sz w:val="18"/>
                <w:szCs w:val="20"/>
              </w:rPr>
              <w:t>ADM/Tetra Tech misprinted the program-level FR value in the PY7 annual report. The value reported in this table is the actual FR value.</w:t>
            </w:r>
          </w:p>
        </w:tc>
      </w:tr>
    </w:tbl>
    <w:p w:rsidR="00745011" w:rsidRPr="006C05B5" w:rsidRDefault="00745011" w:rsidP="00745011">
      <w:pPr>
        <w:rPr>
          <w:sz w:val="20"/>
          <w:szCs w:val="20"/>
        </w:rPr>
      </w:pPr>
    </w:p>
    <w:p w:rsidR="00745011" w:rsidRPr="006C05B5" w:rsidRDefault="00745011" w:rsidP="00745011">
      <w:pPr>
        <w:pStyle w:val="AppendixAHeading4"/>
      </w:pPr>
      <w:r w:rsidRPr="006C05B5">
        <w:t>Low-Income Residential Programs</w:t>
      </w:r>
    </w:p>
    <w:p w:rsidR="00EE5015" w:rsidRDefault="00745011" w:rsidP="00745011">
      <w:r w:rsidRPr="006C05B5">
        <w:t xml:space="preserve">ADM/Tetra Tech reported NTG for all three low-income program components: Direct Install, LILU (Low Income, Low Use Program) Kits, and Giveaway events. ADM/Tetra Tech estimated program-level free-ridership, spillover, and NTGR by weighting program-component NTG values by Phase II gross lifetime MWh. However, they erroneously reported using Phase III savings (ADM/Tetra Tech confirmed via email that they used Phase II savings). ADM/Tetra Tech used primary data collection and analysis to estimate NTG for the Direct Install component. They reported using the SWE Team’s common method to estimate NTG for Direct Install; however, they did not describe their use of the method in detail. Since LILU was not active in PY7 and ADM/Tetra Tech lacked Giveaway participant contact information, ADM/Tetra Tech applied the NTG values from the Home Performance Program’s Home Energy Audit kits as a proxy estimate for both LILU kits and Giveaway events. </w:t>
      </w:r>
    </w:p>
    <w:p w:rsidR="00EE5015" w:rsidRDefault="00EE5015" w:rsidP="00745011"/>
    <w:p w:rsidR="00745011" w:rsidRPr="006C05B5" w:rsidRDefault="00EE5015" w:rsidP="00745011">
      <w:r w:rsidRPr="006A1D1D">
        <w:t>While the SWE Team believes that this approach, of using inactive program components that achieved no savings in PY7, would unnecessarily penalize the EDC in a situation where net savings are counted, this is not the case here. Therefore, the SWE Team has no problem with the application of this proxy for the Giveaway stratum.</w:t>
      </w:r>
      <w:r w:rsidR="00745011" w:rsidRPr="006C05B5">
        <w:t xml:space="preserve"> </w:t>
      </w:r>
    </w:p>
    <w:p w:rsidR="00745011" w:rsidRPr="006C05B5" w:rsidRDefault="00745011" w:rsidP="00745011"/>
    <w:p w:rsidR="00745011" w:rsidRPr="006C05B5" w:rsidRDefault="00745011" w:rsidP="00745011">
      <w:r>
        <w:fldChar w:fldCharType="begin"/>
      </w:r>
      <w:r>
        <w:instrText xml:space="preserve"> REF _Ref472451636 \h </w:instrText>
      </w:r>
      <w:r>
        <w:fldChar w:fldCharType="separate"/>
      </w:r>
      <w:r w:rsidR="00A874AC" w:rsidRPr="00745011">
        <w:t>Table A-</w:t>
      </w:r>
      <w:r w:rsidR="00A874AC">
        <w:rPr>
          <w:noProof/>
        </w:rPr>
        <w:t>47</w:t>
      </w:r>
      <w:r>
        <w:fldChar w:fldCharType="end"/>
      </w:r>
      <w:r w:rsidRPr="006C05B5">
        <w:t xml:space="preserve"> summarizes the SWE Team’s review of Met-Ed’s low-income NTG methodology. </w:t>
      </w:r>
    </w:p>
    <w:p w:rsidR="00745011" w:rsidRPr="006C05B5" w:rsidRDefault="00745011" w:rsidP="00745011"/>
    <w:p w:rsidR="00745011" w:rsidRPr="00745011" w:rsidRDefault="00745011" w:rsidP="00745011">
      <w:pPr>
        <w:pStyle w:val="Caption"/>
      </w:pPr>
      <w:bookmarkStart w:id="781" w:name="_Ref472451636"/>
      <w:bookmarkStart w:id="782" w:name="_Toc472472456"/>
      <w:bookmarkStart w:id="783" w:name="_Toc476842162"/>
      <w:r w:rsidRPr="00745011">
        <w:t>Table A-</w:t>
      </w:r>
      <w:fldSimple w:instr=" SEQ Table_A- \* ARABIC ">
        <w:r w:rsidR="00C301D0">
          <w:rPr>
            <w:noProof/>
          </w:rPr>
          <w:t>47</w:t>
        </w:r>
      </w:fldSimple>
      <w:bookmarkEnd w:id="781"/>
      <w:r w:rsidRPr="00745011">
        <w:t>: Summary of NTG Audit of Met-Ed’s Low-Income Program</w:t>
      </w:r>
      <w:bookmarkEnd w:id="782"/>
      <w:bookmarkEnd w:id="783"/>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245"/>
        <w:gridCol w:w="1980"/>
        <w:gridCol w:w="5130"/>
      </w:tblGrid>
      <w:tr w:rsidR="00E7173E" w:rsidRPr="006C05B5" w:rsidTr="0081757B">
        <w:trPr>
          <w:tblHeader/>
        </w:trPr>
        <w:tc>
          <w:tcPr>
            <w:tcW w:w="2245" w:type="dxa"/>
            <w:shd w:val="clear" w:color="auto" w:fill="448A99"/>
          </w:tcPr>
          <w:p w:rsidR="00745011" w:rsidRPr="006C05B5" w:rsidRDefault="00745011" w:rsidP="005C1352">
            <w:pPr>
              <w:rPr>
                <w:b/>
                <w:color w:val="FFFFFF"/>
                <w:sz w:val="20"/>
                <w:szCs w:val="20"/>
              </w:rPr>
            </w:pPr>
            <w:r w:rsidRPr="006C05B5">
              <w:rPr>
                <w:b/>
                <w:color w:val="FFFFFF"/>
                <w:sz w:val="20"/>
                <w:szCs w:val="20"/>
              </w:rPr>
              <w:t>Program</w:t>
            </w:r>
          </w:p>
        </w:tc>
        <w:tc>
          <w:tcPr>
            <w:tcW w:w="1980" w:type="dxa"/>
            <w:shd w:val="clear" w:color="auto" w:fill="448A99"/>
          </w:tcPr>
          <w:p w:rsidR="00745011" w:rsidRPr="006C05B5" w:rsidRDefault="00745011" w:rsidP="005C1352">
            <w:pPr>
              <w:jc w:val="center"/>
              <w:rPr>
                <w:b/>
                <w:color w:val="FFFFFF"/>
                <w:sz w:val="20"/>
                <w:szCs w:val="20"/>
              </w:rPr>
            </w:pPr>
            <w:r w:rsidRPr="006C05B5">
              <w:rPr>
                <w:b/>
                <w:color w:val="FFFFFF"/>
                <w:sz w:val="20"/>
                <w:szCs w:val="20"/>
              </w:rPr>
              <w:t>NTG Method</w:t>
            </w:r>
          </w:p>
        </w:tc>
        <w:tc>
          <w:tcPr>
            <w:tcW w:w="5130" w:type="dxa"/>
            <w:shd w:val="clear" w:color="auto" w:fill="448A99"/>
          </w:tcPr>
          <w:p w:rsidR="00745011" w:rsidRPr="006C05B5" w:rsidRDefault="00745011" w:rsidP="005C1352">
            <w:pPr>
              <w:jc w:val="center"/>
              <w:rPr>
                <w:b/>
                <w:color w:val="FFFFFF"/>
                <w:sz w:val="20"/>
                <w:szCs w:val="20"/>
              </w:rPr>
            </w:pPr>
            <w:r w:rsidRPr="006C05B5">
              <w:rPr>
                <w:b/>
                <w:color w:val="FFFFFF"/>
                <w:sz w:val="20"/>
                <w:szCs w:val="20"/>
              </w:rPr>
              <w:t>Review Comments</w:t>
            </w:r>
          </w:p>
        </w:tc>
      </w:tr>
      <w:tr w:rsidR="00745011" w:rsidRPr="006C05B5" w:rsidTr="0081757B">
        <w:tc>
          <w:tcPr>
            <w:tcW w:w="2245" w:type="dxa"/>
          </w:tcPr>
          <w:p w:rsidR="00745011" w:rsidRPr="006C05B5" w:rsidRDefault="00745011" w:rsidP="005C1352">
            <w:pPr>
              <w:jc w:val="left"/>
              <w:rPr>
                <w:color w:val="548DD4"/>
                <w:sz w:val="20"/>
                <w:szCs w:val="20"/>
              </w:rPr>
            </w:pPr>
            <w:r w:rsidRPr="006C05B5">
              <w:rPr>
                <w:sz w:val="20"/>
                <w:szCs w:val="20"/>
              </w:rPr>
              <w:t>Residential Low-Income Program</w:t>
            </w:r>
          </w:p>
        </w:tc>
        <w:tc>
          <w:tcPr>
            <w:tcW w:w="1980" w:type="dxa"/>
          </w:tcPr>
          <w:p w:rsidR="00745011" w:rsidRPr="006C05B5" w:rsidRDefault="00745011" w:rsidP="005C1352">
            <w:pPr>
              <w:jc w:val="left"/>
              <w:rPr>
                <w:rFonts w:ascii="Cambria" w:hAnsi="Cambria"/>
                <w:color w:val="548DD4"/>
                <w:sz w:val="20"/>
                <w:szCs w:val="20"/>
              </w:rPr>
            </w:pPr>
            <w:r w:rsidRPr="006C05B5">
              <w:rPr>
                <w:sz w:val="20"/>
                <w:szCs w:val="20"/>
              </w:rPr>
              <w:t>The common method was used for Direct Install. The NTGR from the Home Performance Program’s Home Energy Audit kits was applied as a proxy estimate for LILU and Giveaways.</w:t>
            </w:r>
          </w:p>
        </w:tc>
        <w:tc>
          <w:tcPr>
            <w:tcW w:w="5130" w:type="dxa"/>
          </w:tcPr>
          <w:p w:rsidR="00745011" w:rsidRPr="006C05B5" w:rsidRDefault="00745011" w:rsidP="005C1352">
            <w:pPr>
              <w:jc w:val="left"/>
              <w:rPr>
                <w:rFonts w:ascii="Cambria" w:hAnsi="Cambria"/>
                <w:color w:val="404040"/>
                <w:sz w:val="20"/>
                <w:szCs w:val="20"/>
              </w:rPr>
            </w:pPr>
            <w:r w:rsidRPr="006C05B5">
              <w:rPr>
                <w:sz w:val="20"/>
                <w:szCs w:val="20"/>
              </w:rPr>
              <w:t>The description of the Direct Install NTGR method lacked detail. The SWE Team approves of ADM/Tetra Tech’s proxy estimate approach for Giveaways but does not agree with the proxy application for LILU, as it was inactive in PY7.</w:t>
            </w:r>
          </w:p>
        </w:tc>
      </w:tr>
    </w:tbl>
    <w:p w:rsidR="00745011" w:rsidRPr="006C05B5" w:rsidRDefault="00745011" w:rsidP="00745011"/>
    <w:p w:rsidR="00A874AC" w:rsidRPr="006C05B5" w:rsidRDefault="00745011" w:rsidP="00745011">
      <w:r>
        <w:fldChar w:fldCharType="begin"/>
      </w:r>
      <w:r>
        <w:instrText xml:space="preserve"> REF _Ref472451677 \h </w:instrText>
      </w:r>
      <w:r>
        <w:fldChar w:fldCharType="separate"/>
      </w:r>
    </w:p>
    <w:p w:rsidR="00745011" w:rsidRPr="006C05B5" w:rsidRDefault="00A874AC" w:rsidP="00745011">
      <w:r w:rsidRPr="00745011">
        <w:t>Table A-</w:t>
      </w:r>
      <w:r>
        <w:rPr>
          <w:noProof/>
        </w:rPr>
        <w:t>48</w:t>
      </w:r>
      <w:r w:rsidR="00745011">
        <w:fldChar w:fldCharType="end"/>
      </w:r>
      <w:r w:rsidR="00745011" w:rsidRPr="006C05B5">
        <w:t xml:space="preserve"> shows the NTG estimates reported in Met-Ed PY7 the annual report. </w:t>
      </w:r>
    </w:p>
    <w:p w:rsidR="00FF65FC" w:rsidRPr="006C05B5" w:rsidRDefault="00FF65FC" w:rsidP="00745011">
      <w:bookmarkStart w:id="784" w:name="_Ref472451677"/>
      <w:bookmarkStart w:id="785" w:name="_Toc472472457"/>
    </w:p>
    <w:p w:rsidR="00745011" w:rsidRPr="00745011" w:rsidRDefault="00745011" w:rsidP="00745011">
      <w:pPr>
        <w:pStyle w:val="Caption"/>
      </w:pPr>
      <w:bookmarkStart w:id="786" w:name="_Toc476842163"/>
      <w:r w:rsidRPr="00745011">
        <w:t>Table A-</w:t>
      </w:r>
      <w:fldSimple w:instr=" SEQ Table_A- \* ARABIC ">
        <w:r w:rsidR="00C301D0">
          <w:rPr>
            <w:noProof/>
          </w:rPr>
          <w:t>48</w:t>
        </w:r>
      </w:fldSimple>
      <w:bookmarkEnd w:id="784"/>
      <w:r w:rsidRPr="00745011">
        <w:t>: Summary of NTG Estimates for Met-Ed’s Low-Income Program</w:t>
      </w:r>
      <w:bookmarkEnd w:id="785"/>
      <w:bookmarkEnd w:id="786"/>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143"/>
        <w:gridCol w:w="3492"/>
        <w:gridCol w:w="1183"/>
        <w:gridCol w:w="1181"/>
        <w:gridCol w:w="1173"/>
        <w:gridCol w:w="1178"/>
      </w:tblGrid>
      <w:tr w:rsidR="00A874AC" w:rsidRPr="006C05B5" w:rsidTr="005C1352">
        <w:trPr>
          <w:jc w:val="center"/>
        </w:trPr>
        <w:tc>
          <w:tcPr>
            <w:tcW w:w="1143" w:type="dxa"/>
            <w:tcBorders>
              <w:bottom w:val="single" w:sz="4" w:space="0" w:color="448A99"/>
            </w:tcBorders>
            <w:shd w:val="clear" w:color="auto" w:fill="448A99"/>
            <w:vAlign w:val="bottom"/>
          </w:tcPr>
          <w:p w:rsidR="00745011" w:rsidRPr="006C05B5" w:rsidRDefault="00745011" w:rsidP="005C1352">
            <w:pPr>
              <w:rPr>
                <w:b/>
                <w:color w:val="FFFFFF"/>
                <w:sz w:val="20"/>
                <w:szCs w:val="20"/>
              </w:rPr>
            </w:pPr>
            <w:r w:rsidRPr="006C05B5">
              <w:rPr>
                <w:b/>
                <w:color w:val="FFFFFF"/>
                <w:sz w:val="20"/>
                <w:szCs w:val="20"/>
              </w:rPr>
              <w:t>Approach</w:t>
            </w:r>
          </w:p>
        </w:tc>
        <w:tc>
          <w:tcPr>
            <w:tcW w:w="3492" w:type="dxa"/>
            <w:tcBorders>
              <w:bottom w:val="single" w:sz="4" w:space="0" w:color="448A99"/>
            </w:tcBorders>
            <w:shd w:val="clear" w:color="auto" w:fill="448A99"/>
            <w:vAlign w:val="bottom"/>
          </w:tcPr>
          <w:p w:rsidR="00745011" w:rsidRPr="006C05B5" w:rsidRDefault="00745011" w:rsidP="006843B2">
            <w:pPr>
              <w:jc w:val="center"/>
              <w:rPr>
                <w:b/>
                <w:color w:val="FFFFFF"/>
                <w:sz w:val="20"/>
                <w:szCs w:val="20"/>
              </w:rPr>
            </w:pPr>
            <w:r w:rsidRPr="006C05B5">
              <w:rPr>
                <w:b/>
                <w:color w:val="FFFFFF"/>
                <w:sz w:val="20"/>
                <w:szCs w:val="20"/>
              </w:rPr>
              <w:t>Program</w:t>
            </w:r>
          </w:p>
        </w:tc>
        <w:tc>
          <w:tcPr>
            <w:tcW w:w="1183" w:type="dxa"/>
            <w:tcBorders>
              <w:bottom w:val="single" w:sz="4" w:space="0" w:color="448A99"/>
            </w:tcBorders>
            <w:shd w:val="clear" w:color="auto" w:fill="448A99"/>
            <w:vAlign w:val="bottom"/>
          </w:tcPr>
          <w:p w:rsidR="00745011" w:rsidRPr="006C05B5" w:rsidRDefault="00745011" w:rsidP="006843B2">
            <w:pPr>
              <w:jc w:val="center"/>
              <w:rPr>
                <w:b/>
                <w:color w:val="FFFFFF"/>
                <w:sz w:val="20"/>
                <w:szCs w:val="20"/>
              </w:rPr>
            </w:pPr>
            <w:r w:rsidRPr="006C05B5">
              <w:rPr>
                <w:b/>
                <w:color w:val="FFFFFF"/>
                <w:sz w:val="20"/>
                <w:szCs w:val="20"/>
              </w:rPr>
              <w:t>Free-Ridership</w:t>
            </w:r>
          </w:p>
        </w:tc>
        <w:tc>
          <w:tcPr>
            <w:tcW w:w="1181" w:type="dxa"/>
            <w:tcBorders>
              <w:bottom w:val="single" w:sz="4" w:space="0" w:color="448A99"/>
            </w:tcBorders>
            <w:shd w:val="clear" w:color="auto" w:fill="448A99"/>
            <w:vAlign w:val="bottom"/>
          </w:tcPr>
          <w:p w:rsidR="00745011" w:rsidRPr="006C05B5" w:rsidRDefault="00745011" w:rsidP="006843B2">
            <w:pPr>
              <w:jc w:val="center"/>
              <w:rPr>
                <w:b/>
                <w:color w:val="FFFFFF"/>
                <w:sz w:val="20"/>
                <w:szCs w:val="20"/>
              </w:rPr>
            </w:pPr>
            <w:r w:rsidRPr="006C05B5">
              <w:rPr>
                <w:b/>
                <w:color w:val="FFFFFF"/>
                <w:sz w:val="20"/>
                <w:szCs w:val="20"/>
              </w:rPr>
              <w:t>Spillover</w:t>
            </w:r>
          </w:p>
        </w:tc>
        <w:tc>
          <w:tcPr>
            <w:tcW w:w="1173" w:type="dxa"/>
            <w:tcBorders>
              <w:bottom w:val="single" w:sz="4" w:space="0" w:color="448A99"/>
            </w:tcBorders>
            <w:shd w:val="clear" w:color="auto" w:fill="448A99"/>
            <w:vAlign w:val="bottom"/>
          </w:tcPr>
          <w:p w:rsidR="00745011" w:rsidRPr="006C05B5" w:rsidRDefault="00745011" w:rsidP="006843B2">
            <w:pPr>
              <w:jc w:val="center"/>
              <w:rPr>
                <w:b/>
                <w:color w:val="FFFFFF"/>
                <w:sz w:val="20"/>
                <w:szCs w:val="20"/>
              </w:rPr>
            </w:pPr>
            <w:r w:rsidRPr="006C05B5">
              <w:rPr>
                <w:b/>
                <w:color w:val="FFFFFF"/>
                <w:sz w:val="20"/>
                <w:szCs w:val="20"/>
              </w:rPr>
              <w:t>NTGR</w:t>
            </w:r>
          </w:p>
        </w:tc>
        <w:tc>
          <w:tcPr>
            <w:tcW w:w="1178" w:type="dxa"/>
            <w:tcBorders>
              <w:bottom w:val="single" w:sz="4" w:space="0" w:color="448A99"/>
            </w:tcBorders>
            <w:shd w:val="clear" w:color="auto" w:fill="448A99"/>
            <w:vAlign w:val="bottom"/>
          </w:tcPr>
          <w:p w:rsidR="00745011" w:rsidRPr="006C05B5" w:rsidRDefault="00745011" w:rsidP="006843B2">
            <w:pPr>
              <w:jc w:val="center"/>
              <w:rPr>
                <w:b/>
                <w:color w:val="FFFFFF"/>
                <w:sz w:val="20"/>
                <w:szCs w:val="20"/>
              </w:rPr>
            </w:pPr>
            <w:r w:rsidRPr="006C05B5">
              <w:rPr>
                <w:b/>
                <w:color w:val="FFFFFF"/>
                <w:sz w:val="20"/>
                <w:szCs w:val="20"/>
              </w:rPr>
              <w:t>Sample Size</w:t>
            </w:r>
            <w:r w:rsidRPr="006C05B5">
              <w:rPr>
                <w:b/>
                <w:color w:val="FFFFFF"/>
                <w:sz w:val="20"/>
                <w:szCs w:val="20"/>
                <w:vertAlign w:val="superscript"/>
              </w:rPr>
              <w:t>[a]</w:t>
            </w:r>
          </w:p>
        </w:tc>
      </w:tr>
      <w:tr w:rsidR="00A874AC" w:rsidRPr="006C05B5" w:rsidTr="006843B2">
        <w:trPr>
          <w:trHeight w:val="432"/>
          <w:jc w:val="center"/>
        </w:trPr>
        <w:tc>
          <w:tcPr>
            <w:tcW w:w="1143" w:type="dxa"/>
            <w:shd w:val="clear" w:color="auto" w:fill="D2EAF1"/>
          </w:tcPr>
          <w:p w:rsidR="00745011" w:rsidRPr="006C05B5" w:rsidRDefault="00745011" w:rsidP="005C1352">
            <w:pPr>
              <w:rPr>
                <w:sz w:val="20"/>
                <w:szCs w:val="20"/>
              </w:rPr>
            </w:pPr>
            <w:r w:rsidRPr="006C05B5">
              <w:rPr>
                <w:sz w:val="20"/>
                <w:szCs w:val="20"/>
              </w:rPr>
              <w:t>Estimated</w:t>
            </w:r>
          </w:p>
        </w:tc>
        <w:tc>
          <w:tcPr>
            <w:tcW w:w="3492" w:type="dxa"/>
            <w:shd w:val="clear" w:color="auto" w:fill="D2EAF1"/>
          </w:tcPr>
          <w:p w:rsidR="00745011" w:rsidRPr="006C05B5" w:rsidRDefault="00745011" w:rsidP="006843B2">
            <w:pPr>
              <w:jc w:val="center"/>
              <w:rPr>
                <w:sz w:val="20"/>
                <w:szCs w:val="20"/>
              </w:rPr>
            </w:pPr>
            <w:r w:rsidRPr="006C05B5">
              <w:rPr>
                <w:sz w:val="20"/>
                <w:szCs w:val="20"/>
              </w:rPr>
              <w:t>Residential Low-Income Program</w:t>
            </w:r>
          </w:p>
        </w:tc>
        <w:tc>
          <w:tcPr>
            <w:tcW w:w="1183" w:type="dxa"/>
            <w:shd w:val="clear" w:color="auto" w:fill="D2EAF1"/>
          </w:tcPr>
          <w:p w:rsidR="00745011" w:rsidRPr="006C05B5" w:rsidRDefault="00745011" w:rsidP="006843B2">
            <w:pPr>
              <w:jc w:val="center"/>
              <w:rPr>
                <w:sz w:val="20"/>
                <w:szCs w:val="20"/>
              </w:rPr>
            </w:pPr>
            <w:r w:rsidRPr="006C05B5">
              <w:rPr>
                <w:sz w:val="20"/>
                <w:szCs w:val="20"/>
              </w:rPr>
              <w:t>0.33</w:t>
            </w:r>
          </w:p>
        </w:tc>
        <w:tc>
          <w:tcPr>
            <w:tcW w:w="1181" w:type="dxa"/>
            <w:shd w:val="clear" w:color="auto" w:fill="D2EAF1"/>
          </w:tcPr>
          <w:p w:rsidR="00745011" w:rsidRPr="006C05B5" w:rsidRDefault="00745011" w:rsidP="006843B2">
            <w:pPr>
              <w:jc w:val="center"/>
              <w:rPr>
                <w:sz w:val="20"/>
                <w:szCs w:val="20"/>
              </w:rPr>
            </w:pPr>
            <w:r w:rsidRPr="006C05B5">
              <w:rPr>
                <w:sz w:val="20"/>
                <w:szCs w:val="20"/>
              </w:rPr>
              <w:t>0.16</w:t>
            </w:r>
          </w:p>
        </w:tc>
        <w:tc>
          <w:tcPr>
            <w:tcW w:w="1173" w:type="dxa"/>
            <w:shd w:val="clear" w:color="auto" w:fill="D2EAF1"/>
          </w:tcPr>
          <w:p w:rsidR="00745011" w:rsidRPr="006C05B5" w:rsidRDefault="00745011" w:rsidP="006843B2">
            <w:pPr>
              <w:jc w:val="center"/>
              <w:rPr>
                <w:sz w:val="20"/>
                <w:szCs w:val="20"/>
              </w:rPr>
            </w:pPr>
            <w:r w:rsidRPr="006C05B5">
              <w:rPr>
                <w:sz w:val="20"/>
                <w:szCs w:val="20"/>
              </w:rPr>
              <w:t>0.83</w:t>
            </w:r>
          </w:p>
        </w:tc>
        <w:tc>
          <w:tcPr>
            <w:tcW w:w="1178" w:type="dxa"/>
            <w:shd w:val="clear" w:color="auto" w:fill="D2EAF1"/>
          </w:tcPr>
          <w:p w:rsidR="00745011" w:rsidRPr="006C05B5" w:rsidRDefault="00745011" w:rsidP="006843B2">
            <w:pPr>
              <w:jc w:val="center"/>
              <w:rPr>
                <w:sz w:val="20"/>
                <w:szCs w:val="20"/>
              </w:rPr>
            </w:pPr>
            <w:r w:rsidRPr="006C05B5">
              <w:rPr>
                <w:sz w:val="20"/>
                <w:szCs w:val="20"/>
              </w:rPr>
              <w:t>43</w:t>
            </w:r>
          </w:p>
        </w:tc>
      </w:tr>
      <w:tr w:rsidR="00E7173E" w:rsidRPr="00B97C91" w:rsidTr="0081757B">
        <w:trPr>
          <w:trHeight w:val="346"/>
          <w:jc w:val="center"/>
        </w:trPr>
        <w:tc>
          <w:tcPr>
            <w:tcW w:w="9350" w:type="dxa"/>
            <w:gridSpan w:val="6"/>
            <w:tcBorders>
              <w:bottom w:val="single" w:sz="4" w:space="0" w:color="448A99"/>
            </w:tcBorders>
            <w:shd w:val="clear" w:color="auto" w:fill="448A99"/>
          </w:tcPr>
          <w:p w:rsidR="00745011" w:rsidRPr="00B97C91" w:rsidRDefault="00745011" w:rsidP="006843B2">
            <w:pPr>
              <w:jc w:val="left"/>
              <w:rPr>
                <w:color w:val="FFFFFF"/>
                <w:sz w:val="18"/>
                <w:szCs w:val="20"/>
              </w:rPr>
            </w:pPr>
            <w:r w:rsidRPr="00B97C91">
              <w:rPr>
                <w:color w:val="FFFFFF"/>
                <w:sz w:val="18"/>
                <w:szCs w:val="20"/>
              </w:rPr>
              <w:t>NOTE</w:t>
            </w:r>
            <w:r w:rsidR="00AF2C58" w:rsidRPr="00B97C91">
              <w:rPr>
                <w:color w:val="FFFFFF"/>
                <w:sz w:val="18"/>
                <w:szCs w:val="20"/>
              </w:rPr>
              <w:t>:</w:t>
            </w:r>
          </w:p>
          <w:p w:rsidR="00745011" w:rsidRPr="00B97C91" w:rsidRDefault="00745011" w:rsidP="006843B2">
            <w:pPr>
              <w:jc w:val="left"/>
              <w:rPr>
                <w:color w:val="FFFFFF"/>
                <w:sz w:val="18"/>
                <w:szCs w:val="20"/>
              </w:rPr>
            </w:pPr>
            <w:r w:rsidRPr="00B97C91">
              <w:rPr>
                <w:color w:val="FFFFFF"/>
                <w:sz w:val="18"/>
                <w:szCs w:val="18"/>
              </w:rPr>
              <w:t>[a]</w:t>
            </w:r>
            <w:r w:rsidRPr="00B97C91">
              <w:rPr>
                <w:color w:val="FFFFFF"/>
                <w:sz w:val="18"/>
                <w:szCs w:val="20"/>
              </w:rPr>
              <w:t xml:space="preserve"> The sample provided at least 85/15 confidence/precision.</w:t>
            </w:r>
          </w:p>
        </w:tc>
      </w:tr>
    </w:tbl>
    <w:p w:rsidR="00745011" w:rsidRPr="006C05B5" w:rsidRDefault="00745011" w:rsidP="00745011"/>
    <w:p w:rsidR="00745011" w:rsidRPr="006C05B5" w:rsidRDefault="00745011" w:rsidP="00745011">
      <w:pPr>
        <w:pStyle w:val="AppendixAHeading4"/>
      </w:pPr>
      <w:r w:rsidRPr="006C05B5">
        <w:t>Non-Residential Programs</w:t>
      </w:r>
    </w:p>
    <w:p w:rsidR="00745011" w:rsidRPr="006C05B5" w:rsidRDefault="00745011" w:rsidP="00745011">
      <w:r w:rsidRPr="006C05B5">
        <w:t xml:space="preserve">ADM/Tetra Tech estimated NTG for five non-residential programs: </w:t>
      </w:r>
      <w:r w:rsidR="00B97C91" w:rsidRPr="006C05B5">
        <w:t>The</w:t>
      </w:r>
      <w:r w:rsidRPr="006C05B5">
        <w:t xml:space="preserve"> Small C/I Equipment Program, Large C/I Equipment Program, Small C/I Buildings Program, Large C/I Buildings Program, and Government and Institutional Program. ADM/Tetra Tech noted that, because of the small number of participants in the Government and Institutional Program, the report shows NTG statistics combined across the four FirstEnergy EDCs. While ADM/Tetra Tech used primary data collection to estimate NTG for both C/I Buildings programs, it used PY6 NTG results to estimate PY7 NTG for the other three non-residential programs. ADM/Tetra Tech reported using the SWE Team’s common method for NTG estimation for all five programs, but did not explain their use of the method in detail. ADM/Tetra Tech did not describe the NTG methods in detail in the PY7 annual report, but it did cite the relevant SWE memoranda. ADM/Tetra Tech provided Excel workbooks with the raw data from their NTG research and the SPSS syntax files used to calculate the NTGRs from the raw data. A review of selected workbooks and syntax verified that ADM/Tetra Tech used the SWE common method and applied it correctly. However, the Met-Ed PY7 report included a misprinted spillover value, which ADM/Tetra Tech confirmed via email was indeed a typo. Specifically, ADM/Tetra Tech erroneously reported spillover to be 0% for the Small C/I Buildings Program instead of 1%. In its summary tables, the SWE Team reports the accurate spillover value, which explains any discrepancies between the values in this report and the Met-Ed PY7 annual report (note: this typo was not present in any of the other FirstEnergy PY7 annual reports).</w:t>
      </w:r>
    </w:p>
    <w:p w:rsidR="00745011" w:rsidRPr="006C05B5" w:rsidRDefault="00745011" w:rsidP="00745011"/>
    <w:p w:rsidR="00745011" w:rsidRPr="006C05B5" w:rsidRDefault="00745011" w:rsidP="00745011">
      <w:r>
        <w:fldChar w:fldCharType="begin"/>
      </w:r>
      <w:r>
        <w:instrText xml:space="preserve"> REF _Ref472451709 \h </w:instrText>
      </w:r>
      <w:r>
        <w:fldChar w:fldCharType="separate"/>
      </w:r>
      <w:r w:rsidR="00A874AC" w:rsidRPr="00745011">
        <w:t>Table A-</w:t>
      </w:r>
      <w:r w:rsidR="00A874AC">
        <w:rPr>
          <w:noProof/>
        </w:rPr>
        <w:t>49</w:t>
      </w:r>
      <w:r>
        <w:fldChar w:fldCharType="end"/>
      </w:r>
      <w:r w:rsidRPr="006C05B5">
        <w:t xml:space="preserve"> summarizes the SWE Team’s review of Met-Ed’s NTG methodology by program. </w:t>
      </w:r>
    </w:p>
    <w:p w:rsidR="00745011" w:rsidRPr="006C05B5" w:rsidRDefault="00745011" w:rsidP="00745011"/>
    <w:p w:rsidR="00745011" w:rsidRPr="00745011" w:rsidRDefault="00745011" w:rsidP="00745011">
      <w:pPr>
        <w:pStyle w:val="Caption"/>
      </w:pPr>
      <w:bookmarkStart w:id="787" w:name="_Ref472451709"/>
      <w:bookmarkStart w:id="788" w:name="_Toc444269749"/>
      <w:bookmarkStart w:id="789" w:name="_Toc472472458"/>
      <w:bookmarkStart w:id="790" w:name="_Toc476842164"/>
      <w:r w:rsidRPr="00745011">
        <w:t>Table A-</w:t>
      </w:r>
      <w:fldSimple w:instr=" SEQ Table_A- \* ARABIC ">
        <w:r w:rsidR="00C301D0">
          <w:rPr>
            <w:noProof/>
          </w:rPr>
          <w:t>49</w:t>
        </w:r>
      </w:fldSimple>
      <w:bookmarkEnd w:id="787"/>
      <w:r w:rsidRPr="00745011">
        <w:t>: Summary of NTG Audit of Met-Ed’s Non-Residential Programs</w:t>
      </w:r>
      <w:bookmarkEnd w:id="788"/>
      <w:bookmarkEnd w:id="789"/>
      <w:bookmarkEnd w:id="790"/>
    </w:p>
    <w:tbl>
      <w:tblPr>
        <w:tblW w:w="9427"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245"/>
        <w:gridCol w:w="1980"/>
        <w:gridCol w:w="5202"/>
      </w:tblGrid>
      <w:tr w:rsidR="00E7173E" w:rsidRPr="006C05B5" w:rsidTr="0081757B">
        <w:trPr>
          <w:tblHeader/>
          <w:jc w:val="center"/>
        </w:trPr>
        <w:tc>
          <w:tcPr>
            <w:tcW w:w="2245" w:type="dxa"/>
            <w:shd w:val="clear" w:color="auto" w:fill="448A99"/>
          </w:tcPr>
          <w:p w:rsidR="00745011" w:rsidRPr="006C05B5" w:rsidRDefault="00745011" w:rsidP="005C1352">
            <w:pPr>
              <w:rPr>
                <w:b/>
                <w:color w:val="FFFFFF"/>
                <w:sz w:val="20"/>
                <w:szCs w:val="20"/>
              </w:rPr>
            </w:pPr>
            <w:r w:rsidRPr="006C05B5">
              <w:rPr>
                <w:b/>
                <w:color w:val="FFFFFF"/>
                <w:sz w:val="20"/>
                <w:szCs w:val="20"/>
              </w:rPr>
              <w:t>Program</w:t>
            </w:r>
          </w:p>
        </w:tc>
        <w:tc>
          <w:tcPr>
            <w:tcW w:w="1980" w:type="dxa"/>
            <w:shd w:val="clear" w:color="auto" w:fill="448A99"/>
          </w:tcPr>
          <w:p w:rsidR="00745011" w:rsidRPr="006C05B5" w:rsidRDefault="00745011" w:rsidP="005C1352">
            <w:pPr>
              <w:jc w:val="center"/>
              <w:rPr>
                <w:b/>
                <w:color w:val="FFFFFF"/>
                <w:sz w:val="20"/>
                <w:szCs w:val="20"/>
              </w:rPr>
            </w:pPr>
            <w:r w:rsidRPr="006C05B5">
              <w:rPr>
                <w:b/>
                <w:color w:val="FFFFFF"/>
                <w:sz w:val="20"/>
                <w:szCs w:val="20"/>
              </w:rPr>
              <w:t>NTG Method</w:t>
            </w:r>
          </w:p>
        </w:tc>
        <w:tc>
          <w:tcPr>
            <w:tcW w:w="5202" w:type="dxa"/>
            <w:shd w:val="clear" w:color="auto" w:fill="448A99"/>
          </w:tcPr>
          <w:p w:rsidR="00745011" w:rsidRPr="006C05B5" w:rsidRDefault="00745011" w:rsidP="005C1352">
            <w:pPr>
              <w:jc w:val="center"/>
              <w:rPr>
                <w:b/>
                <w:color w:val="FFFFFF"/>
                <w:sz w:val="20"/>
                <w:szCs w:val="20"/>
              </w:rPr>
            </w:pPr>
            <w:r w:rsidRPr="006C05B5">
              <w:rPr>
                <w:b/>
                <w:color w:val="FFFFFF"/>
                <w:sz w:val="20"/>
                <w:szCs w:val="20"/>
              </w:rPr>
              <w:t>Review Comments</w:t>
            </w:r>
          </w:p>
        </w:tc>
      </w:tr>
      <w:tr w:rsidR="00E7173E" w:rsidRPr="006C05B5" w:rsidTr="0081757B">
        <w:trPr>
          <w:jc w:val="center"/>
        </w:trPr>
        <w:tc>
          <w:tcPr>
            <w:tcW w:w="2245" w:type="dxa"/>
            <w:shd w:val="clear" w:color="auto" w:fill="D2EAF1"/>
          </w:tcPr>
          <w:p w:rsidR="00745011" w:rsidRPr="006C05B5" w:rsidRDefault="00745011" w:rsidP="005C1352">
            <w:pPr>
              <w:jc w:val="left"/>
              <w:rPr>
                <w:color w:val="548DD4"/>
                <w:sz w:val="20"/>
                <w:szCs w:val="20"/>
              </w:rPr>
            </w:pPr>
            <w:r w:rsidRPr="006C05B5">
              <w:rPr>
                <w:sz w:val="20"/>
                <w:szCs w:val="20"/>
              </w:rPr>
              <w:t>Small C/I Equipment</w:t>
            </w:r>
          </w:p>
        </w:tc>
        <w:tc>
          <w:tcPr>
            <w:tcW w:w="1980" w:type="dxa"/>
            <w:shd w:val="clear" w:color="auto" w:fill="D2EAF1"/>
          </w:tcPr>
          <w:p w:rsidR="00745011" w:rsidRPr="006C05B5" w:rsidRDefault="00745011" w:rsidP="005C1352">
            <w:pPr>
              <w:jc w:val="left"/>
              <w:rPr>
                <w:rFonts w:ascii="Cambria" w:hAnsi="Cambria"/>
                <w:color w:val="548DD4"/>
                <w:sz w:val="20"/>
                <w:szCs w:val="20"/>
              </w:rPr>
            </w:pPr>
            <w:r w:rsidRPr="006C05B5">
              <w:rPr>
                <w:sz w:val="20"/>
                <w:szCs w:val="20"/>
              </w:rPr>
              <w:t>PY6 (common method-based) strata NTG results were reweighted with Phase II gross lifetime MWh savings.</w:t>
            </w:r>
          </w:p>
        </w:tc>
        <w:tc>
          <w:tcPr>
            <w:tcW w:w="5202" w:type="dxa"/>
            <w:shd w:val="clear" w:color="auto" w:fill="D2EAF1"/>
          </w:tcPr>
          <w:p w:rsidR="00745011" w:rsidRPr="006C05B5" w:rsidRDefault="00745011" w:rsidP="005C1352">
            <w:pPr>
              <w:jc w:val="left"/>
              <w:rPr>
                <w:rFonts w:ascii="Cambria" w:hAnsi="Cambria"/>
                <w:color w:val="548DD4"/>
                <w:sz w:val="20"/>
                <w:szCs w:val="20"/>
              </w:rPr>
            </w:pPr>
            <w:r w:rsidRPr="006C05B5">
              <w:rPr>
                <w:sz w:val="20"/>
                <w:szCs w:val="20"/>
              </w:rPr>
              <w:t xml:space="preserve">The SWE Team agrees with ADM/Tetra Tech’s reweighting approach, as it is methodologically superior to simply reusing PY6 NTG values. </w:t>
            </w:r>
            <w:r w:rsidRPr="006C05B5">
              <w:rPr>
                <w:color w:val="548DD4"/>
                <w:sz w:val="20"/>
                <w:szCs w:val="20"/>
              </w:rPr>
              <w:t xml:space="preserve"> </w:t>
            </w:r>
          </w:p>
        </w:tc>
      </w:tr>
      <w:tr w:rsidR="00EE5015" w:rsidRPr="006C05B5" w:rsidTr="0081757B">
        <w:trPr>
          <w:jc w:val="center"/>
        </w:trPr>
        <w:tc>
          <w:tcPr>
            <w:tcW w:w="2245" w:type="dxa"/>
            <w:shd w:val="clear" w:color="auto" w:fill="auto"/>
          </w:tcPr>
          <w:p w:rsidR="00EE5015" w:rsidRPr="006C05B5" w:rsidRDefault="00EE5015" w:rsidP="00EE5015">
            <w:pPr>
              <w:jc w:val="left"/>
              <w:rPr>
                <w:color w:val="548DD4"/>
                <w:sz w:val="20"/>
                <w:szCs w:val="20"/>
              </w:rPr>
            </w:pPr>
            <w:r w:rsidRPr="006C05B5">
              <w:rPr>
                <w:sz w:val="20"/>
                <w:szCs w:val="20"/>
              </w:rPr>
              <w:t>Large C/I Equipment</w:t>
            </w:r>
          </w:p>
        </w:tc>
        <w:tc>
          <w:tcPr>
            <w:tcW w:w="1980" w:type="dxa"/>
            <w:shd w:val="clear" w:color="auto" w:fill="auto"/>
          </w:tcPr>
          <w:p w:rsidR="00EE5015" w:rsidRPr="006C05B5" w:rsidRDefault="00EE5015" w:rsidP="00EE5015">
            <w:pPr>
              <w:jc w:val="left"/>
              <w:rPr>
                <w:rFonts w:ascii="Cambria" w:hAnsi="Cambria"/>
                <w:color w:val="548DD4"/>
                <w:sz w:val="20"/>
                <w:szCs w:val="20"/>
              </w:rPr>
            </w:pPr>
            <w:r w:rsidRPr="006C05B5">
              <w:rPr>
                <w:sz w:val="20"/>
                <w:szCs w:val="20"/>
              </w:rPr>
              <w:t>PY6 (common method-based) strata NTG results were reweighted with updated strata savings values.</w:t>
            </w:r>
          </w:p>
        </w:tc>
        <w:tc>
          <w:tcPr>
            <w:tcW w:w="5202" w:type="dxa"/>
            <w:shd w:val="clear" w:color="auto" w:fill="auto"/>
          </w:tcPr>
          <w:p w:rsidR="00EE5015" w:rsidRPr="006C05B5" w:rsidRDefault="00EE5015" w:rsidP="00EE5015">
            <w:pPr>
              <w:jc w:val="left"/>
              <w:rPr>
                <w:rFonts w:ascii="Cambria" w:hAnsi="Cambria"/>
                <w:color w:val="548DD4"/>
                <w:sz w:val="20"/>
                <w:szCs w:val="20"/>
              </w:rPr>
            </w:pPr>
            <w:r w:rsidRPr="006A1D1D">
              <w:rPr>
                <w:sz w:val="20"/>
                <w:szCs w:val="20"/>
              </w:rPr>
              <w:t>Same comments as for Small C/I Equipment.</w:t>
            </w:r>
          </w:p>
        </w:tc>
      </w:tr>
      <w:tr w:rsidR="00EE5015" w:rsidRPr="006C05B5" w:rsidTr="0081757B">
        <w:trPr>
          <w:jc w:val="center"/>
        </w:trPr>
        <w:tc>
          <w:tcPr>
            <w:tcW w:w="2245" w:type="dxa"/>
            <w:shd w:val="clear" w:color="auto" w:fill="D2EAF1"/>
          </w:tcPr>
          <w:p w:rsidR="00EE5015" w:rsidRPr="006C05B5" w:rsidRDefault="00EE5015" w:rsidP="00EE5015">
            <w:pPr>
              <w:jc w:val="left"/>
              <w:rPr>
                <w:sz w:val="20"/>
                <w:szCs w:val="20"/>
              </w:rPr>
            </w:pPr>
            <w:r w:rsidRPr="006C05B5">
              <w:rPr>
                <w:sz w:val="20"/>
                <w:szCs w:val="20"/>
              </w:rPr>
              <w:t>Small C/I Buildings</w:t>
            </w:r>
          </w:p>
        </w:tc>
        <w:tc>
          <w:tcPr>
            <w:tcW w:w="1980" w:type="dxa"/>
            <w:shd w:val="clear" w:color="auto" w:fill="D2EAF1"/>
          </w:tcPr>
          <w:p w:rsidR="00EE5015" w:rsidRPr="006C05B5" w:rsidRDefault="00EE5015" w:rsidP="00EE5015">
            <w:pPr>
              <w:jc w:val="left"/>
              <w:rPr>
                <w:sz w:val="20"/>
                <w:szCs w:val="20"/>
              </w:rPr>
            </w:pPr>
            <w:r w:rsidRPr="006C05B5">
              <w:rPr>
                <w:sz w:val="20"/>
                <w:szCs w:val="20"/>
              </w:rPr>
              <w:t>The common method was used.</w:t>
            </w:r>
          </w:p>
        </w:tc>
        <w:tc>
          <w:tcPr>
            <w:tcW w:w="5202" w:type="dxa"/>
            <w:shd w:val="clear" w:color="auto" w:fill="D2EAF1"/>
          </w:tcPr>
          <w:p w:rsidR="00EE5015" w:rsidRPr="006C05B5" w:rsidRDefault="00EE5015" w:rsidP="00EE5015">
            <w:pPr>
              <w:jc w:val="left"/>
              <w:rPr>
                <w:sz w:val="20"/>
                <w:szCs w:val="20"/>
              </w:rPr>
            </w:pPr>
            <w:r w:rsidRPr="006C05B5">
              <w:rPr>
                <w:sz w:val="20"/>
                <w:szCs w:val="20"/>
              </w:rPr>
              <w:t>ADM/Tetra Tech reported using the common method, but did not explain their use of the method in detail. ADM/Tetra Tech erroneously reported SO to be 0% instead of 1%.</w:t>
            </w:r>
          </w:p>
        </w:tc>
      </w:tr>
      <w:tr w:rsidR="00EE5015" w:rsidRPr="006C05B5" w:rsidTr="0081757B">
        <w:trPr>
          <w:jc w:val="center"/>
        </w:trPr>
        <w:tc>
          <w:tcPr>
            <w:tcW w:w="2245" w:type="dxa"/>
            <w:shd w:val="clear" w:color="auto" w:fill="auto"/>
          </w:tcPr>
          <w:p w:rsidR="00EE5015" w:rsidRPr="006C05B5" w:rsidRDefault="00EE5015" w:rsidP="00EE5015">
            <w:pPr>
              <w:jc w:val="left"/>
              <w:rPr>
                <w:sz w:val="20"/>
                <w:szCs w:val="20"/>
              </w:rPr>
            </w:pPr>
            <w:r w:rsidRPr="006C05B5">
              <w:rPr>
                <w:sz w:val="20"/>
                <w:szCs w:val="20"/>
              </w:rPr>
              <w:lastRenderedPageBreak/>
              <w:t>Large C/I Buildings</w:t>
            </w:r>
          </w:p>
        </w:tc>
        <w:tc>
          <w:tcPr>
            <w:tcW w:w="1980" w:type="dxa"/>
            <w:shd w:val="clear" w:color="auto" w:fill="auto"/>
          </w:tcPr>
          <w:p w:rsidR="00EE5015" w:rsidRPr="006C05B5" w:rsidRDefault="00EE5015" w:rsidP="00EE5015">
            <w:pPr>
              <w:jc w:val="left"/>
              <w:rPr>
                <w:sz w:val="20"/>
                <w:szCs w:val="20"/>
              </w:rPr>
            </w:pPr>
            <w:r w:rsidRPr="006C05B5">
              <w:rPr>
                <w:sz w:val="20"/>
                <w:szCs w:val="20"/>
              </w:rPr>
              <w:t>The common method was used.</w:t>
            </w:r>
          </w:p>
        </w:tc>
        <w:tc>
          <w:tcPr>
            <w:tcW w:w="5202" w:type="dxa"/>
            <w:shd w:val="clear" w:color="auto" w:fill="auto"/>
          </w:tcPr>
          <w:p w:rsidR="00EE5015" w:rsidRPr="006C05B5" w:rsidRDefault="00EE5015" w:rsidP="00EE5015">
            <w:pPr>
              <w:jc w:val="left"/>
              <w:rPr>
                <w:i/>
                <w:sz w:val="20"/>
                <w:szCs w:val="20"/>
              </w:rPr>
            </w:pPr>
            <w:r w:rsidRPr="006C05B5">
              <w:rPr>
                <w:sz w:val="20"/>
                <w:szCs w:val="20"/>
              </w:rPr>
              <w:t>ADM/Tetra Tech reported using the common method, but did not explain their use of the method in detail. Due to a small population size, ADM/Tetra Tech did not collect a kit recipient sample</w:t>
            </w:r>
            <w:r w:rsidRPr="006C05B5">
              <w:rPr>
                <w:i/>
                <w:sz w:val="20"/>
                <w:szCs w:val="20"/>
              </w:rPr>
              <w:t xml:space="preserve">, </w:t>
            </w:r>
            <w:r w:rsidRPr="006C05B5">
              <w:rPr>
                <w:sz w:val="20"/>
                <w:szCs w:val="20"/>
              </w:rPr>
              <w:t>and used the Small C/I Buildings kit NTG value as a proxy.</w:t>
            </w:r>
          </w:p>
        </w:tc>
      </w:tr>
      <w:tr w:rsidR="00A874AC" w:rsidRPr="006C05B5" w:rsidTr="0017534C">
        <w:trPr>
          <w:jc w:val="center"/>
        </w:trPr>
        <w:tc>
          <w:tcPr>
            <w:tcW w:w="2245" w:type="dxa"/>
            <w:tcBorders>
              <w:top w:val="single" w:sz="4" w:space="0" w:color="448A99"/>
              <w:left w:val="single" w:sz="4" w:space="0" w:color="448A99"/>
              <w:bottom w:val="single" w:sz="4" w:space="0" w:color="448A99"/>
              <w:right w:val="single" w:sz="4" w:space="0" w:color="448A99"/>
            </w:tcBorders>
            <w:shd w:val="clear" w:color="auto" w:fill="D2EAF1"/>
          </w:tcPr>
          <w:p w:rsidR="00EE5015" w:rsidRPr="006C05B5" w:rsidRDefault="00EE5015" w:rsidP="00EE5015">
            <w:pPr>
              <w:jc w:val="left"/>
              <w:rPr>
                <w:sz w:val="20"/>
                <w:szCs w:val="20"/>
              </w:rPr>
            </w:pPr>
            <w:r w:rsidRPr="006C05B5">
              <w:rPr>
                <w:sz w:val="20"/>
                <w:szCs w:val="20"/>
              </w:rPr>
              <w:t>Government and Institutional</w:t>
            </w:r>
          </w:p>
        </w:tc>
        <w:tc>
          <w:tcPr>
            <w:tcW w:w="1980" w:type="dxa"/>
            <w:tcBorders>
              <w:top w:val="single" w:sz="4" w:space="0" w:color="448A99"/>
              <w:left w:val="single" w:sz="4" w:space="0" w:color="448A99"/>
              <w:bottom w:val="single" w:sz="4" w:space="0" w:color="448A99"/>
              <w:right w:val="single" w:sz="4" w:space="0" w:color="448A99"/>
            </w:tcBorders>
            <w:shd w:val="clear" w:color="auto" w:fill="D2EAF1"/>
          </w:tcPr>
          <w:p w:rsidR="00EE5015" w:rsidRPr="006C05B5" w:rsidRDefault="00EE5015" w:rsidP="00EE5015">
            <w:pPr>
              <w:jc w:val="left"/>
              <w:rPr>
                <w:rFonts w:ascii="Cambria" w:hAnsi="Cambria"/>
                <w:color w:val="404040"/>
                <w:sz w:val="20"/>
                <w:szCs w:val="20"/>
                <w:shd w:val="clear" w:color="auto" w:fill="D9D9D9"/>
              </w:rPr>
            </w:pPr>
            <w:r w:rsidRPr="006C05B5">
              <w:rPr>
                <w:sz w:val="20"/>
                <w:szCs w:val="20"/>
              </w:rPr>
              <w:t>PY6 (common method-based) strata NTG results were reweighted with Phase II gross lifetime MWh savings.</w:t>
            </w:r>
          </w:p>
        </w:tc>
        <w:tc>
          <w:tcPr>
            <w:tcW w:w="5202" w:type="dxa"/>
            <w:tcBorders>
              <w:top w:val="single" w:sz="4" w:space="0" w:color="448A99"/>
              <w:left w:val="single" w:sz="4" w:space="0" w:color="448A99"/>
              <w:bottom w:val="single" w:sz="4" w:space="0" w:color="448A99"/>
              <w:right w:val="single" w:sz="4" w:space="0" w:color="448A99"/>
            </w:tcBorders>
            <w:shd w:val="clear" w:color="auto" w:fill="D2EAF1"/>
          </w:tcPr>
          <w:p w:rsidR="00EE5015" w:rsidRPr="006C05B5" w:rsidRDefault="00EE5015" w:rsidP="00EE5015">
            <w:pPr>
              <w:jc w:val="left"/>
              <w:rPr>
                <w:rFonts w:ascii="Cambria" w:hAnsi="Cambria"/>
                <w:color w:val="404040"/>
                <w:sz w:val="20"/>
                <w:szCs w:val="20"/>
                <w:shd w:val="clear" w:color="auto" w:fill="D9D9D9"/>
              </w:rPr>
            </w:pPr>
            <w:r w:rsidRPr="006C05B5">
              <w:rPr>
                <w:sz w:val="20"/>
                <w:szCs w:val="20"/>
              </w:rPr>
              <w:t>Same comments as for Small C/I Equipment.</w:t>
            </w:r>
          </w:p>
        </w:tc>
      </w:tr>
    </w:tbl>
    <w:p w:rsidR="00745011" w:rsidRPr="006C05B5" w:rsidRDefault="00745011" w:rsidP="00745011"/>
    <w:p w:rsidR="00745011" w:rsidRPr="006C05B5" w:rsidRDefault="00745011" w:rsidP="00745011">
      <w:r>
        <w:fldChar w:fldCharType="begin"/>
      </w:r>
      <w:r>
        <w:instrText xml:space="preserve"> REF _Ref472451741 \h </w:instrText>
      </w:r>
      <w:r>
        <w:fldChar w:fldCharType="separate"/>
      </w:r>
      <w:r w:rsidR="00A874AC" w:rsidRPr="00745011">
        <w:t>Table A-</w:t>
      </w:r>
      <w:r w:rsidR="00A874AC">
        <w:rPr>
          <w:noProof/>
        </w:rPr>
        <w:t>50</w:t>
      </w:r>
      <w:r>
        <w:fldChar w:fldCharType="end"/>
      </w:r>
      <w:r w:rsidRPr="006C05B5">
        <w:t xml:space="preserve"> shows the NTG estimates reported in the Met-Ed PY7 annual report. </w:t>
      </w:r>
    </w:p>
    <w:p w:rsidR="00745011" w:rsidRPr="006C05B5" w:rsidRDefault="00745011" w:rsidP="00745011"/>
    <w:p w:rsidR="00745011" w:rsidRPr="00745011" w:rsidRDefault="00745011" w:rsidP="00745011">
      <w:pPr>
        <w:pStyle w:val="Caption"/>
      </w:pPr>
      <w:bookmarkStart w:id="791" w:name="_Ref472451741"/>
      <w:bookmarkStart w:id="792" w:name="_Toc444269750"/>
      <w:bookmarkStart w:id="793" w:name="_Toc472472459"/>
      <w:bookmarkStart w:id="794" w:name="_Toc476842165"/>
      <w:r w:rsidRPr="00745011">
        <w:t>Table A-</w:t>
      </w:r>
      <w:fldSimple w:instr=" SEQ Table_A- \* ARABIC ">
        <w:r w:rsidR="00C301D0">
          <w:rPr>
            <w:noProof/>
          </w:rPr>
          <w:t>50</w:t>
        </w:r>
      </w:fldSimple>
      <w:bookmarkEnd w:id="791"/>
      <w:r w:rsidRPr="00745011">
        <w:t>: Summary of NTG Estimates for Met-Ed’s Non-Residential Programs</w:t>
      </w:r>
      <w:bookmarkEnd w:id="792"/>
      <w:bookmarkEnd w:id="793"/>
      <w:bookmarkEnd w:id="794"/>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143"/>
        <w:gridCol w:w="3493"/>
        <w:gridCol w:w="1183"/>
        <w:gridCol w:w="1181"/>
        <w:gridCol w:w="1173"/>
        <w:gridCol w:w="1177"/>
      </w:tblGrid>
      <w:tr w:rsidR="00A874AC" w:rsidRPr="006C05B5" w:rsidTr="005C1352">
        <w:trPr>
          <w:jc w:val="center"/>
        </w:trPr>
        <w:tc>
          <w:tcPr>
            <w:tcW w:w="1143" w:type="dxa"/>
            <w:tcBorders>
              <w:bottom w:val="single" w:sz="4" w:space="0" w:color="448A99"/>
            </w:tcBorders>
            <w:shd w:val="clear" w:color="auto" w:fill="448A99"/>
            <w:vAlign w:val="bottom"/>
          </w:tcPr>
          <w:p w:rsidR="00745011" w:rsidRPr="006C05B5" w:rsidRDefault="00745011" w:rsidP="005C1352">
            <w:pPr>
              <w:rPr>
                <w:b/>
                <w:color w:val="FFFFFF"/>
                <w:sz w:val="20"/>
                <w:szCs w:val="20"/>
              </w:rPr>
            </w:pPr>
            <w:r w:rsidRPr="006C05B5">
              <w:rPr>
                <w:b/>
                <w:color w:val="FFFFFF"/>
                <w:sz w:val="20"/>
                <w:szCs w:val="20"/>
              </w:rPr>
              <w:t>Approach</w:t>
            </w:r>
          </w:p>
        </w:tc>
        <w:tc>
          <w:tcPr>
            <w:tcW w:w="3493" w:type="dxa"/>
            <w:tcBorders>
              <w:bottom w:val="single" w:sz="4" w:space="0" w:color="448A99"/>
            </w:tcBorders>
            <w:shd w:val="clear" w:color="auto" w:fill="448A99"/>
            <w:vAlign w:val="bottom"/>
          </w:tcPr>
          <w:p w:rsidR="00745011" w:rsidRPr="006C05B5" w:rsidRDefault="00745011" w:rsidP="005C1352">
            <w:pPr>
              <w:rPr>
                <w:b/>
                <w:color w:val="FFFFFF"/>
                <w:sz w:val="20"/>
                <w:szCs w:val="20"/>
              </w:rPr>
            </w:pPr>
            <w:r w:rsidRPr="006C05B5">
              <w:rPr>
                <w:b/>
                <w:color w:val="FFFFFF"/>
                <w:sz w:val="20"/>
                <w:szCs w:val="20"/>
              </w:rPr>
              <w:t>Program</w:t>
            </w:r>
          </w:p>
        </w:tc>
        <w:tc>
          <w:tcPr>
            <w:tcW w:w="1183" w:type="dxa"/>
            <w:tcBorders>
              <w:bottom w:val="single" w:sz="4" w:space="0" w:color="448A99"/>
            </w:tcBorders>
            <w:shd w:val="clear" w:color="auto" w:fill="448A99"/>
            <w:vAlign w:val="bottom"/>
          </w:tcPr>
          <w:p w:rsidR="00745011" w:rsidRPr="006C05B5" w:rsidRDefault="00745011" w:rsidP="005C1352">
            <w:pPr>
              <w:jc w:val="center"/>
              <w:rPr>
                <w:b/>
                <w:color w:val="FFFFFF"/>
                <w:sz w:val="20"/>
                <w:szCs w:val="20"/>
              </w:rPr>
            </w:pPr>
            <w:r w:rsidRPr="006C05B5">
              <w:rPr>
                <w:b/>
                <w:color w:val="FFFFFF"/>
                <w:sz w:val="20"/>
                <w:szCs w:val="20"/>
              </w:rPr>
              <w:t>Free-Ridership</w:t>
            </w:r>
          </w:p>
        </w:tc>
        <w:tc>
          <w:tcPr>
            <w:tcW w:w="1181" w:type="dxa"/>
            <w:tcBorders>
              <w:bottom w:val="single" w:sz="4" w:space="0" w:color="448A99"/>
            </w:tcBorders>
            <w:shd w:val="clear" w:color="auto" w:fill="448A99"/>
            <w:vAlign w:val="bottom"/>
          </w:tcPr>
          <w:p w:rsidR="00745011" w:rsidRPr="006C05B5" w:rsidRDefault="00745011" w:rsidP="005C1352">
            <w:pPr>
              <w:jc w:val="center"/>
              <w:rPr>
                <w:b/>
                <w:color w:val="FFFFFF"/>
                <w:sz w:val="20"/>
                <w:szCs w:val="20"/>
              </w:rPr>
            </w:pPr>
            <w:r w:rsidRPr="006C05B5">
              <w:rPr>
                <w:b/>
                <w:color w:val="FFFFFF"/>
                <w:sz w:val="20"/>
                <w:szCs w:val="20"/>
              </w:rPr>
              <w:t>Spillover</w:t>
            </w:r>
          </w:p>
        </w:tc>
        <w:tc>
          <w:tcPr>
            <w:tcW w:w="1173" w:type="dxa"/>
            <w:tcBorders>
              <w:bottom w:val="single" w:sz="4" w:space="0" w:color="448A99"/>
            </w:tcBorders>
            <w:shd w:val="clear" w:color="auto" w:fill="448A99"/>
            <w:vAlign w:val="bottom"/>
          </w:tcPr>
          <w:p w:rsidR="00745011" w:rsidRPr="006C05B5" w:rsidRDefault="00745011" w:rsidP="005C1352">
            <w:pPr>
              <w:jc w:val="center"/>
              <w:rPr>
                <w:b/>
                <w:color w:val="FFFFFF"/>
                <w:sz w:val="20"/>
                <w:szCs w:val="20"/>
              </w:rPr>
            </w:pPr>
            <w:r w:rsidRPr="006C05B5">
              <w:rPr>
                <w:b/>
                <w:color w:val="FFFFFF"/>
                <w:sz w:val="20"/>
                <w:szCs w:val="20"/>
              </w:rPr>
              <w:t>NTGR</w:t>
            </w:r>
            <w:r w:rsidRPr="006C05B5">
              <w:rPr>
                <w:b/>
                <w:color w:val="FFFFFF"/>
                <w:sz w:val="20"/>
                <w:szCs w:val="20"/>
                <w:vertAlign w:val="superscript"/>
              </w:rPr>
              <w:t>[a]</w:t>
            </w:r>
          </w:p>
        </w:tc>
        <w:tc>
          <w:tcPr>
            <w:tcW w:w="1177" w:type="dxa"/>
            <w:tcBorders>
              <w:bottom w:val="single" w:sz="4" w:space="0" w:color="448A99"/>
            </w:tcBorders>
            <w:shd w:val="clear" w:color="auto" w:fill="448A99"/>
            <w:vAlign w:val="bottom"/>
          </w:tcPr>
          <w:p w:rsidR="00745011" w:rsidRPr="006C05B5" w:rsidRDefault="00745011" w:rsidP="005C1352">
            <w:pPr>
              <w:jc w:val="center"/>
              <w:rPr>
                <w:b/>
                <w:color w:val="FFFFFF"/>
                <w:sz w:val="20"/>
                <w:szCs w:val="20"/>
              </w:rPr>
            </w:pPr>
            <w:r w:rsidRPr="006C05B5">
              <w:rPr>
                <w:b/>
                <w:color w:val="FFFFFF"/>
                <w:sz w:val="20"/>
                <w:szCs w:val="20"/>
              </w:rPr>
              <w:t>Sample Size</w:t>
            </w:r>
            <w:r w:rsidRPr="006C05B5">
              <w:rPr>
                <w:b/>
                <w:color w:val="FFFFFF"/>
                <w:sz w:val="20"/>
                <w:szCs w:val="20"/>
                <w:vertAlign w:val="superscript"/>
              </w:rPr>
              <w:t>[b]</w:t>
            </w:r>
          </w:p>
        </w:tc>
      </w:tr>
      <w:tr w:rsidR="00A874AC" w:rsidRPr="006C05B5" w:rsidTr="005C1352">
        <w:trPr>
          <w:trHeight w:val="346"/>
          <w:jc w:val="center"/>
        </w:trPr>
        <w:tc>
          <w:tcPr>
            <w:tcW w:w="1143" w:type="dxa"/>
            <w:vMerge w:val="restart"/>
            <w:shd w:val="clear" w:color="auto" w:fill="D2EAF1"/>
          </w:tcPr>
          <w:p w:rsidR="00745011" w:rsidRPr="006C05B5" w:rsidRDefault="00745011" w:rsidP="005C1352">
            <w:pPr>
              <w:rPr>
                <w:sz w:val="20"/>
                <w:szCs w:val="20"/>
              </w:rPr>
            </w:pPr>
            <w:r w:rsidRPr="006C05B5">
              <w:rPr>
                <w:sz w:val="20"/>
                <w:szCs w:val="20"/>
              </w:rPr>
              <w:t>Estimated</w:t>
            </w:r>
          </w:p>
        </w:tc>
        <w:tc>
          <w:tcPr>
            <w:tcW w:w="3493" w:type="dxa"/>
            <w:shd w:val="clear" w:color="auto" w:fill="D2EAF1"/>
          </w:tcPr>
          <w:p w:rsidR="00745011" w:rsidRPr="006C05B5" w:rsidRDefault="00745011" w:rsidP="005C1352">
            <w:pPr>
              <w:rPr>
                <w:sz w:val="20"/>
                <w:szCs w:val="20"/>
              </w:rPr>
            </w:pPr>
            <w:r w:rsidRPr="006C05B5">
              <w:rPr>
                <w:sz w:val="20"/>
                <w:szCs w:val="20"/>
              </w:rPr>
              <w:t>Small C/I Equipment</w:t>
            </w:r>
          </w:p>
        </w:tc>
        <w:tc>
          <w:tcPr>
            <w:tcW w:w="1183" w:type="dxa"/>
            <w:shd w:val="clear" w:color="auto" w:fill="D2EAF1"/>
          </w:tcPr>
          <w:p w:rsidR="00745011" w:rsidRPr="006C05B5" w:rsidRDefault="00745011" w:rsidP="005C1352">
            <w:pPr>
              <w:jc w:val="center"/>
              <w:rPr>
                <w:sz w:val="20"/>
                <w:szCs w:val="20"/>
              </w:rPr>
            </w:pPr>
            <w:r w:rsidRPr="006C05B5">
              <w:rPr>
                <w:sz w:val="20"/>
                <w:szCs w:val="20"/>
              </w:rPr>
              <w:t>0.45</w:t>
            </w:r>
          </w:p>
        </w:tc>
        <w:tc>
          <w:tcPr>
            <w:tcW w:w="1181" w:type="dxa"/>
            <w:shd w:val="clear" w:color="auto" w:fill="D2EAF1"/>
          </w:tcPr>
          <w:p w:rsidR="00745011" w:rsidRPr="006C05B5" w:rsidRDefault="00745011" w:rsidP="005C1352">
            <w:pPr>
              <w:jc w:val="center"/>
              <w:rPr>
                <w:sz w:val="20"/>
                <w:szCs w:val="20"/>
              </w:rPr>
            </w:pPr>
            <w:r w:rsidRPr="006C05B5">
              <w:rPr>
                <w:sz w:val="20"/>
                <w:szCs w:val="20"/>
              </w:rPr>
              <w:t>0.11</w:t>
            </w:r>
          </w:p>
        </w:tc>
        <w:tc>
          <w:tcPr>
            <w:tcW w:w="1173" w:type="dxa"/>
            <w:shd w:val="clear" w:color="auto" w:fill="D2EAF1"/>
          </w:tcPr>
          <w:p w:rsidR="00745011" w:rsidRPr="006C05B5" w:rsidRDefault="00745011" w:rsidP="005C1352">
            <w:pPr>
              <w:jc w:val="center"/>
              <w:rPr>
                <w:sz w:val="20"/>
                <w:szCs w:val="20"/>
              </w:rPr>
            </w:pPr>
            <w:r w:rsidRPr="006C05B5">
              <w:rPr>
                <w:sz w:val="20"/>
                <w:szCs w:val="20"/>
              </w:rPr>
              <w:t>0.66</w:t>
            </w:r>
          </w:p>
        </w:tc>
        <w:tc>
          <w:tcPr>
            <w:tcW w:w="1177" w:type="dxa"/>
            <w:shd w:val="clear" w:color="auto" w:fill="D2EAF1"/>
          </w:tcPr>
          <w:p w:rsidR="00745011" w:rsidRPr="006C05B5" w:rsidRDefault="00745011" w:rsidP="005C1352">
            <w:pPr>
              <w:jc w:val="center"/>
              <w:rPr>
                <w:sz w:val="20"/>
                <w:szCs w:val="20"/>
              </w:rPr>
            </w:pPr>
            <w:r w:rsidRPr="006C05B5">
              <w:rPr>
                <w:sz w:val="20"/>
                <w:szCs w:val="20"/>
              </w:rPr>
              <w:t>N/A</w:t>
            </w:r>
          </w:p>
        </w:tc>
      </w:tr>
      <w:tr w:rsidR="00745011" w:rsidRPr="006C05B5" w:rsidTr="0081757B">
        <w:trPr>
          <w:trHeight w:val="346"/>
          <w:jc w:val="center"/>
        </w:trPr>
        <w:tc>
          <w:tcPr>
            <w:tcW w:w="1143" w:type="dxa"/>
            <w:vMerge/>
          </w:tcPr>
          <w:p w:rsidR="00745011" w:rsidRPr="006C05B5" w:rsidRDefault="00745011" w:rsidP="005C1352">
            <w:pPr>
              <w:rPr>
                <w:sz w:val="20"/>
                <w:szCs w:val="20"/>
              </w:rPr>
            </w:pPr>
          </w:p>
        </w:tc>
        <w:tc>
          <w:tcPr>
            <w:tcW w:w="3493" w:type="dxa"/>
            <w:tcBorders>
              <w:bottom w:val="single" w:sz="4" w:space="0" w:color="448A99"/>
            </w:tcBorders>
          </w:tcPr>
          <w:p w:rsidR="00745011" w:rsidRPr="006C05B5" w:rsidRDefault="00745011" w:rsidP="005C1352">
            <w:pPr>
              <w:rPr>
                <w:sz w:val="20"/>
                <w:szCs w:val="20"/>
              </w:rPr>
            </w:pPr>
            <w:r w:rsidRPr="006C05B5">
              <w:rPr>
                <w:sz w:val="20"/>
                <w:szCs w:val="20"/>
              </w:rPr>
              <w:t>Large C/I Equipment</w:t>
            </w:r>
          </w:p>
        </w:tc>
        <w:tc>
          <w:tcPr>
            <w:tcW w:w="1183" w:type="dxa"/>
            <w:tcBorders>
              <w:bottom w:val="single" w:sz="4" w:space="0" w:color="448A99"/>
            </w:tcBorders>
          </w:tcPr>
          <w:p w:rsidR="00745011" w:rsidRPr="006C05B5" w:rsidRDefault="00745011" w:rsidP="005C1352">
            <w:pPr>
              <w:jc w:val="center"/>
              <w:rPr>
                <w:sz w:val="20"/>
                <w:szCs w:val="20"/>
              </w:rPr>
            </w:pPr>
            <w:r w:rsidRPr="006C05B5">
              <w:rPr>
                <w:sz w:val="20"/>
                <w:szCs w:val="20"/>
              </w:rPr>
              <w:t>0.34</w:t>
            </w:r>
          </w:p>
        </w:tc>
        <w:tc>
          <w:tcPr>
            <w:tcW w:w="1181" w:type="dxa"/>
            <w:tcBorders>
              <w:bottom w:val="single" w:sz="4" w:space="0" w:color="448A99"/>
            </w:tcBorders>
          </w:tcPr>
          <w:p w:rsidR="00745011" w:rsidRPr="006C05B5" w:rsidRDefault="00745011" w:rsidP="005C1352">
            <w:pPr>
              <w:jc w:val="center"/>
              <w:rPr>
                <w:sz w:val="20"/>
                <w:szCs w:val="20"/>
              </w:rPr>
            </w:pPr>
            <w:r w:rsidRPr="006C05B5">
              <w:rPr>
                <w:sz w:val="20"/>
                <w:szCs w:val="20"/>
              </w:rPr>
              <w:t>0.05</w:t>
            </w:r>
          </w:p>
        </w:tc>
        <w:tc>
          <w:tcPr>
            <w:tcW w:w="1173" w:type="dxa"/>
            <w:tcBorders>
              <w:bottom w:val="single" w:sz="4" w:space="0" w:color="448A99"/>
            </w:tcBorders>
          </w:tcPr>
          <w:p w:rsidR="00745011" w:rsidRPr="006C05B5" w:rsidRDefault="00745011" w:rsidP="005C1352">
            <w:pPr>
              <w:jc w:val="center"/>
              <w:rPr>
                <w:sz w:val="20"/>
                <w:szCs w:val="20"/>
              </w:rPr>
            </w:pPr>
            <w:r w:rsidRPr="006C05B5">
              <w:rPr>
                <w:sz w:val="20"/>
                <w:szCs w:val="20"/>
              </w:rPr>
              <w:t>0.72</w:t>
            </w:r>
          </w:p>
        </w:tc>
        <w:tc>
          <w:tcPr>
            <w:tcW w:w="1177" w:type="dxa"/>
            <w:tcBorders>
              <w:bottom w:val="single" w:sz="4" w:space="0" w:color="448A99"/>
            </w:tcBorders>
          </w:tcPr>
          <w:p w:rsidR="00745011" w:rsidRPr="006C05B5" w:rsidRDefault="00745011" w:rsidP="005C1352">
            <w:pPr>
              <w:jc w:val="center"/>
              <w:rPr>
                <w:sz w:val="20"/>
                <w:szCs w:val="20"/>
              </w:rPr>
            </w:pPr>
            <w:r w:rsidRPr="006C05B5">
              <w:rPr>
                <w:sz w:val="20"/>
                <w:szCs w:val="20"/>
              </w:rPr>
              <w:t>N/A</w:t>
            </w:r>
          </w:p>
        </w:tc>
      </w:tr>
      <w:tr w:rsidR="00A874AC" w:rsidRPr="006C05B5" w:rsidTr="005C1352">
        <w:trPr>
          <w:trHeight w:val="346"/>
          <w:jc w:val="center"/>
        </w:trPr>
        <w:tc>
          <w:tcPr>
            <w:tcW w:w="1143" w:type="dxa"/>
            <w:vMerge/>
          </w:tcPr>
          <w:p w:rsidR="00745011" w:rsidRPr="006C05B5" w:rsidRDefault="00745011" w:rsidP="005C1352">
            <w:pPr>
              <w:rPr>
                <w:sz w:val="20"/>
                <w:szCs w:val="20"/>
              </w:rPr>
            </w:pPr>
          </w:p>
        </w:tc>
        <w:tc>
          <w:tcPr>
            <w:tcW w:w="3493" w:type="dxa"/>
            <w:tcBorders>
              <w:bottom w:val="single" w:sz="4" w:space="0" w:color="448A99"/>
            </w:tcBorders>
            <w:shd w:val="clear" w:color="auto" w:fill="D2EAF1"/>
          </w:tcPr>
          <w:p w:rsidR="00745011" w:rsidRPr="006C05B5" w:rsidRDefault="00745011" w:rsidP="005C1352">
            <w:pPr>
              <w:rPr>
                <w:sz w:val="20"/>
                <w:szCs w:val="20"/>
              </w:rPr>
            </w:pPr>
            <w:r w:rsidRPr="006C05B5">
              <w:rPr>
                <w:sz w:val="20"/>
                <w:szCs w:val="20"/>
              </w:rPr>
              <w:t>Small C/I Buildings</w:t>
            </w:r>
          </w:p>
        </w:tc>
        <w:tc>
          <w:tcPr>
            <w:tcW w:w="1183" w:type="dxa"/>
            <w:tcBorders>
              <w:bottom w:val="single" w:sz="4" w:space="0" w:color="448A99"/>
            </w:tcBorders>
            <w:shd w:val="clear" w:color="auto" w:fill="D2EAF1"/>
          </w:tcPr>
          <w:p w:rsidR="00745011" w:rsidRPr="006C05B5" w:rsidRDefault="00745011" w:rsidP="005C1352">
            <w:pPr>
              <w:jc w:val="center"/>
              <w:rPr>
                <w:sz w:val="20"/>
                <w:szCs w:val="20"/>
              </w:rPr>
            </w:pPr>
            <w:r w:rsidRPr="006C05B5">
              <w:rPr>
                <w:sz w:val="20"/>
                <w:szCs w:val="20"/>
              </w:rPr>
              <w:t>0.32</w:t>
            </w:r>
          </w:p>
        </w:tc>
        <w:tc>
          <w:tcPr>
            <w:tcW w:w="1181" w:type="dxa"/>
            <w:tcBorders>
              <w:bottom w:val="single" w:sz="4" w:space="0" w:color="448A99"/>
            </w:tcBorders>
            <w:shd w:val="clear" w:color="auto" w:fill="D2EAF1"/>
          </w:tcPr>
          <w:p w:rsidR="00745011" w:rsidRPr="006C05B5" w:rsidRDefault="00745011" w:rsidP="005C1352">
            <w:pPr>
              <w:jc w:val="center"/>
              <w:rPr>
                <w:sz w:val="20"/>
                <w:szCs w:val="20"/>
                <w:vertAlign w:val="superscript"/>
              </w:rPr>
            </w:pPr>
            <w:r w:rsidRPr="006C05B5">
              <w:rPr>
                <w:sz w:val="20"/>
                <w:szCs w:val="20"/>
              </w:rPr>
              <w:t>0.01</w:t>
            </w:r>
            <w:r w:rsidRPr="006C05B5">
              <w:rPr>
                <w:sz w:val="20"/>
                <w:szCs w:val="20"/>
                <w:vertAlign w:val="superscript"/>
              </w:rPr>
              <w:t>[c]</w:t>
            </w:r>
          </w:p>
        </w:tc>
        <w:tc>
          <w:tcPr>
            <w:tcW w:w="1173" w:type="dxa"/>
            <w:tcBorders>
              <w:bottom w:val="single" w:sz="4" w:space="0" w:color="448A99"/>
            </w:tcBorders>
            <w:shd w:val="clear" w:color="auto" w:fill="D2EAF1"/>
          </w:tcPr>
          <w:p w:rsidR="00745011" w:rsidRPr="006C05B5" w:rsidRDefault="00745011" w:rsidP="005C1352">
            <w:pPr>
              <w:jc w:val="center"/>
              <w:rPr>
                <w:sz w:val="20"/>
                <w:szCs w:val="20"/>
              </w:rPr>
            </w:pPr>
            <w:r w:rsidRPr="006C05B5">
              <w:rPr>
                <w:sz w:val="20"/>
                <w:szCs w:val="20"/>
              </w:rPr>
              <w:t>0.69</w:t>
            </w:r>
          </w:p>
        </w:tc>
        <w:tc>
          <w:tcPr>
            <w:tcW w:w="1177" w:type="dxa"/>
            <w:tcBorders>
              <w:bottom w:val="single" w:sz="4" w:space="0" w:color="448A99"/>
            </w:tcBorders>
            <w:shd w:val="clear" w:color="auto" w:fill="D2EAF1"/>
          </w:tcPr>
          <w:p w:rsidR="00745011" w:rsidRPr="006C05B5" w:rsidRDefault="00745011" w:rsidP="005C1352">
            <w:pPr>
              <w:jc w:val="center"/>
              <w:rPr>
                <w:sz w:val="20"/>
                <w:szCs w:val="20"/>
              </w:rPr>
            </w:pPr>
            <w:r w:rsidRPr="006C05B5">
              <w:rPr>
                <w:sz w:val="20"/>
                <w:szCs w:val="20"/>
              </w:rPr>
              <w:t>122</w:t>
            </w:r>
          </w:p>
        </w:tc>
      </w:tr>
      <w:tr w:rsidR="00E7173E" w:rsidRPr="006C05B5" w:rsidTr="0081757B">
        <w:trPr>
          <w:trHeight w:val="346"/>
          <w:jc w:val="center"/>
        </w:trPr>
        <w:tc>
          <w:tcPr>
            <w:tcW w:w="1143" w:type="dxa"/>
            <w:vMerge/>
            <w:tcBorders>
              <w:bottom w:val="single" w:sz="4" w:space="0" w:color="448A99"/>
            </w:tcBorders>
            <w:shd w:val="clear" w:color="auto" w:fill="D2EAF1"/>
          </w:tcPr>
          <w:p w:rsidR="00745011" w:rsidRPr="006C05B5" w:rsidRDefault="00745011" w:rsidP="005C1352">
            <w:pPr>
              <w:rPr>
                <w:sz w:val="20"/>
                <w:szCs w:val="20"/>
              </w:rPr>
            </w:pPr>
          </w:p>
        </w:tc>
        <w:tc>
          <w:tcPr>
            <w:tcW w:w="3493" w:type="dxa"/>
            <w:tcBorders>
              <w:bottom w:val="single" w:sz="4" w:space="0" w:color="448A99"/>
            </w:tcBorders>
            <w:shd w:val="clear" w:color="auto" w:fill="auto"/>
          </w:tcPr>
          <w:p w:rsidR="00745011" w:rsidRPr="006C05B5" w:rsidRDefault="00745011" w:rsidP="005C1352">
            <w:pPr>
              <w:rPr>
                <w:sz w:val="20"/>
                <w:szCs w:val="20"/>
              </w:rPr>
            </w:pPr>
            <w:r w:rsidRPr="006C05B5">
              <w:rPr>
                <w:sz w:val="20"/>
                <w:szCs w:val="20"/>
              </w:rPr>
              <w:t>Large C/I Buildings</w:t>
            </w:r>
          </w:p>
        </w:tc>
        <w:tc>
          <w:tcPr>
            <w:tcW w:w="1183" w:type="dxa"/>
            <w:tcBorders>
              <w:bottom w:val="single" w:sz="4" w:space="0" w:color="448A99"/>
            </w:tcBorders>
            <w:shd w:val="clear" w:color="auto" w:fill="auto"/>
          </w:tcPr>
          <w:p w:rsidR="00745011" w:rsidRPr="006C05B5" w:rsidRDefault="00745011" w:rsidP="005C1352">
            <w:pPr>
              <w:jc w:val="center"/>
              <w:rPr>
                <w:sz w:val="20"/>
                <w:szCs w:val="20"/>
              </w:rPr>
            </w:pPr>
            <w:r w:rsidRPr="006C05B5">
              <w:rPr>
                <w:sz w:val="20"/>
                <w:szCs w:val="20"/>
              </w:rPr>
              <w:t>0.62</w:t>
            </w:r>
          </w:p>
        </w:tc>
        <w:tc>
          <w:tcPr>
            <w:tcW w:w="1181" w:type="dxa"/>
            <w:tcBorders>
              <w:bottom w:val="single" w:sz="4" w:space="0" w:color="448A99"/>
            </w:tcBorders>
            <w:shd w:val="clear" w:color="auto" w:fill="auto"/>
          </w:tcPr>
          <w:p w:rsidR="00745011" w:rsidRPr="006C05B5" w:rsidRDefault="00745011" w:rsidP="005C1352">
            <w:pPr>
              <w:jc w:val="center"/>
              <w:rPr>
                <w:sz w:val="20"/>
                <w:szCs w:val="20"/>
              </w:rPr>
            </w:pPr>
            <w:r w:rsidRPr="006C05B5">
              <w:rPr>
                <w:sz w:val="20"/>
                <w:szCs w:val="20"/>
              </w:rPr>
              <w:t>0.01</w:t>
            </w:r>
          </w:p>
        </w:tc>
        <w:tc>
          <w:tcPr>
            <w:tcW w:w="1173" w:type="dxa"/>
            <w:tcBorders>
              <w:bottom w:val="single" w:sz="4" w:space="0" w:color="448A99"/>
            </w:tcBorders>
            <w:shd w:val="clear" w:color="auto" w:fill="auto"/>
          </w:tcPr>
          <w:p w:rsidR="00745011" w:rsidRPr="006C05B5" w:rsidRDefault="00745011" w:rsidP="005C1352">
            <w:pPr>
              <w:jc w:val="center"/>
              <w:rPr>
                <w:sz w:val="20"/>
                <w:szCs w:val="20"/>
              </w:rPr>
            </w:pPr>
            <w:r w:rsidRPr="006C05B5">
              <w:rPr>
                <w:sz w:val="20"/>
                <w:szCs w:val="20"/>
              </w:rPr>
              <w:t>0.39</w:t>
            </w:r>
          </w:p>
        </w:tc>
        <w:tc>
          <w:tcPr>
            <w:tcW w:w="1177" w:type="dxa"/>
            <w:tcBorders>
              <w:bottom w:val="single" w:sz="4" w:space="0" w:color="448A99"/>
            </w:tcBorders>
            <w:shd w:val="clear" w:color="auto" w:fill="auto"/>
          </w:tcPr>
          <w:p w:rsidR="00745011" w:rsidRPr="006C05B5" w:rsidRDefault="00745011" w:rsidP="005C1352">
            <w:pPr>
              <w:jc w:val="center"/>
              <w:rPr>
                <w:sz w:val="20"/>
                <w:szCs w:val="20"/>
              </w:rPr>
            </w:pPr>
            <w:r w:rsidRPr="006C05B5">
              <w:rPr>
                <w:sz w:val="20"/>
                <w:szCs w:val="20"/>
              </w:rPr>
              <w:t>11</w:t>
            </w:r>
          </w:p>
        </w:tc>
      </w:tr>
      <w:tr w:rsidR="00A874AC" w:rsidRPr="006C05B5" w:rsidTr="005C1352">
        <w:trPr>
          <w:trHeight w:val="346"/>
          <w:jc w:val="center"/>
        </w:trPr>
        <w:tc>
          <w:tcPr>
            <w:tcW w:w="1143" w:type="dxa"/>
            <w:vMerge/>
            <w:tcBorders>
              <w:bottom w:val="single" w:sz="4" w:space="0" w:color="448A99"/>
            </w:tcBorders>
            <w:shd w:val="clear" w:color="auto" w:fill="D2EAF1"/>
          </w:tcPr>
          <w:p w:rsidR="00745011" w:rsidRPr="006C05B5" w:rsidRDefault="00745011" w:rsidP="005C1352">
            <w:pPr>
              <w:rPr>
                <w:sz w:val="20"/>
                <w:szCs w:val="20"/>
              </w:rPr>
            </w:pPr>
          </w:p>
        </w:tc>
        <w:tc>
          <w:tcPr>
            <w:tcW w:w="3493" w:type="dxa"/>
            <w:tcBorders>
              <w:bottom w:val="single" w:sz="4" w:space="0" w:color="448A99"/>
            </w:tcBorders>
            <w:shd w:val="clear" w:color="auto" w:fill="D2EAF1"/>
          </w:tcPr>
          <w:p w:rsidR="00745011" w:rsidRPr="006C05B5" w:rsidRDefault="00745011" w:rsidP="005C1352">
            <w:pPr>
              <w:rPr>
                <w:sz w:val="20"/>
                <w:szCs w:val="20"/>
              </w:rPr>
            </w:pPr>
            <w:r w:rsidRPr="006C05B5">
              <w:rPr>
                <w:sz w:val="20"/>
                <w:szCs w:val="20"/>
              </w:rPr>
              <w:t>Government and Institutional</w:t>
            </w:r>
          </w:p>
        </w:tc>
        <w:tc>
          <w:tcPr>
            <w:tcW w:w="1183" w:type="dxa"/>
            <w:tcBorders>
              <w:bottom w:val="single" w:sz="4" w:space="0" w:color="448A99"/>
            </w:tcBorders>
            <w:shd w:val="clear" w:color="auto" w:fill="D2EAF1"/>
            <w:vAlign w:val="center"/>
          </w:tcPr>
          <w:p w:rsidR="00745011" w:rsidRPr="006C05B5" w:rsidRDefault="00745011" w:rsidP="005C1352">
            <w:pPr>
              <w:jc w:val="center"/>
              <w:rPr>
                <w:sz w:val="20"/>
                <w:szCs w:val="20"/>
              </w:rPr>
            </w:pPr>
            <w:r w:rsidRPr="006C05B5">
              <w:rPr>
                <w:sz w:val="20"/>
                <w:szCs w:val="20"/>
              </w:rPr>
              <w:t>0.38</w:t>
            </w:r>
          </w:p>
        </w:tc>
        <w:tc>
          <w:tcPr>
            <w:tcW w:w="1181" w:type="dxa"/>
            <w:tcBorders>
              <w:bottom w:val="single" w:sz="4" w:space="0" w:color="448A99"/>
            </w:tcBorders>
            <w:shd w:val="clear" w:color="auto" w:fill="D2EAF1"/>
            <w:vAlign w:val="center"/>
          </w:tcPr>
          <w:p w:rsidR="00745011" w:rsidRPr="006C05B5" w:rsidRDefault="00745011" w:rsidP="005C1352">
            <w:pPr>
              <w:jc w:val="center"/>
              <w:rPr>
                <w:sz w:val="20"/>
                <w:szCs w:val="20"/>
              </w:rPr>
            </w:pPr>
            <w:r w:rsidRPr="006C05B5">
              <w:rPr>
                <w:sz w:val="20"/>
                <w:szCs w:val="20"/>
              </w:rPr>
              <w:t>0.11</w:t>
            </w:r>
          </w:p>
        </w:tc>
        <w:tc>
          <w:tcPr>
            <w:tcW w:w="1173" w:type="dxa"/>
            <w:tcBorders>
              <w:bottom w:val="single" w:sz="4" w:space="0" w:color="448A99"/>
            </w:tcBorders>
            <w:shd w:val="clear" w:color="auto" w:fill="D2EAF1"/>
            <w:vAlign w:val="center"/>
          </w:tcPr>
          <w:p w:rsidR="00745011" w:rsidRPr="006C05B5" w:rsidRDefault="00745011" w:rsidP="005C1352">
            <w:pPr>
              <w:jc w:val="center"/>
              <w:rPr>
                <w:sz w:val="20"/>
                <w:szCs w:val="20"/>
              </w:rPr>
            </w:pPr>
            <w:r w:rsidRPr="006C05B5">
              <w:rPr>
                <w:sz w:val="20"/>
                <w:szCs w:val="20"/>
              </w:rPr>
              <w:t>0.73</w:t>
            </w:r>
          </w:p>
        </w:tc>
        <w:tc>
          <w:tcPr>
            <w:tcW w:w="1177" w:type="dxa"/>
            <w:tcBorders>
              <w:bottom w:val="single" w:sz="4" w:space="0" w:color="448A99"/>
            </w:tcBorders>
            <w:shd w:val="clear" w:color="auto" w:fill="D2EAF1"/>
            <w:vAlign w:val="center"/>
          </w:tcPr>
          <w:p w:rsidR="00745011" w:rsidRPr="006C05B5" w:rsidRDefault="00745011" w:rsidP="005C1352">
            <w:pPr>
              <w:jc w:val="center"/>
              <w:rPr>
                <w:sz w:val="20"/>
                <w:szCs w:val="20"/>
              </w:rPr>
            </w:pPr>
            <w:r w:rsidRPr="006C05B5">
              <w:rPr>
                <w:sz w:val="20"/>
                <w:szCs w:val="20"/>
              </w:rPr>
              <w:t>N/A</w:t>
            </w:r>
          </w:p>
        </w:tc>
      </w:tr>
      <w:tr w:rsidR="00E7173E" w:rsidRPr="00B97C91" w:rsidTr="0081757B">
        <w:trPr>
          <w:trHeight w:val="346"/>
          <w:jc w:val="center"/>
        </w:trPr>
        <w:tc>
          <w:tcPr>
            <w:tcW w:w="9350" w:type="dxa"/>
            <w:gridSpan w:val="6"/>
            <w:tcBorders>
              <w:bottom w:val="single" w:sz="4" w:space="0" w:color="448A99"/>
            </w:tcBorders>
            <w:shd w:val="clear" w:color="auto" w:fill="448A99"/>
          </w:tcPr>
          <w:p w:rsidR="00745011" w:rsidRPr="00B97C91" w:rsidRDefault="00745011" w:rsidP="005C1352">
            <w:pPr>
              <w:jc w:val="left"/>
              <w:rPr>
                <w:color w:val="FFFFFF"/>
                <w:sz w:val="18"/>
                <w:szCs w:val="20"/>
              </w:rPr>
            </w:pPr>
            <w:r w:rsidRPr="00B97C91">
              <w:rPr>
                <w:color w:val="FFFFFF"/>
                <w:sz w:val="18"/>
                <w:szCs w:val="20"/>
              </w:rPr>
              <w:t>NOTES</w:t>
            </w:r>
            <w:r w:rsidR="00AF2C58" w:rsidRPr="00B97C91">
              <w:rPr>
                <w:color w:val="FFFFFF"/>
                <w:sz w:val="18"/>
                <w:szCs w:val="20"/>
              </w:rPr>
              <w:t>:</w:t>
            </w:r>
          </w:p>
          <w:p w:rsidR="00745011" w:rsidRPr="00B97C91" w:rsidRDefault="00745011" w:rsidP="005C1352">
            <w:pPr>
              <w:jc w:val="left"/>
              <w:rPr>
                <w:color w:val="FFFFFF"/>
                <w:sz w:val="18"/>
                <w:szCs w:val="20"/>
              </w:rPr>
            </w:pPr>
            <w:r w:rsidRPr="00B97C91">
              <w:rPr>
                <w:color w:val="FFFFFF"/>
                <w:sz w:val="18"/>
                <w:szCs w:val="18"/>
              </w:rPr>
              <w:t>[a]</w:t>
            </w:r>
            <w:r w:rsidRPr="00B97C91">
              <w:rPr>
                <w:bCs/>
                <w:color w:val="FFFFFF"/>
                <w:sz w:val="18"/>
                <w:szCs w:val="20"/>
              </w:rPr>
              <w:t xml:space="preserve"> </w:t>
            </w:r>
            <w:r w:rsidRPr="00B97C91">
              <w:rPr>
                <w:color w:val="FFFFFF"/>
                <w:sz w:val="18"/>
                <w:szCs w:val="20"/>
              </w:rPr>
              <w:t xml:space="preserve">NTGR = 1 – free-ridership + spillover. In some cases, the NTGR shown in the table may not equal exactly 1 – </w:t>
            </w:r>
            <w:r w:rsidRPr="00B97C91">
              <w:rPr>
                <w:rFonts w:eastAsia="Calibri"/>
                <w:color w:val="FFFFFF"/>
                <w:sz w:val="18"/>
                <w:szCs w:val="20"/>
              </w:rPr>
              <w:t>free-ridership + spillover</w:t>
            </w:r>
            <w:r w:rsidRPr="00B97C91">
              <w:rPr>
                <w:color w:val="FFFFFF"/>
                <w:sz w:val="18"/>
                <w:szCs w:val="20"/>
              </w:rPr>
              <w:t xml:space="preserve"> because of rounding.</w:t>
            </w:r>
          </w:p>
          <w:p w:rsidR="00745011" w:rsidRPr="00B97C91" w:rsidRDefault="00745011" w:rsidP="005C1352">
            <w:pPr>
              <w:jc w:val="left"/>
              <w:rPr>
                <w:color w:val="FFFFFF"/>
                <w:sz w:val="18"/>
                <w:szCs w:val="20"/>
              </w:rPr>
            </w:pPr>
            <w:r w:rsidRPr="00B97C91">
              <w:rPr>
                <w:color w:val="FFFFFF"/>
                <w:sz w:val="18"/>
                <w:szCs w:val="18"/>
              </w:rPr>
              <w:t>[b]</w:t>
            </w:r>
            <w:r w:rsidRPr="00B97C91">
              <w:rPr>
                <w:bCs/>
                <w:color w:val="FFFFFF"/>
                <w:sz w:val="18"/>
                <w:szCs w:val="20"/>
              </w:rPr>
              <w:t xml:space="preserve"> </w:t>
            </w:r>
            <w:r w:rsidRPr="00B97C91">
              <w:rPr>
                <w:color w:val="FFFFFF"/>
                <w:sz w:val="18"/>
                <w:szCs w:val="20"/>
              </w:rPr>
              <w:t>All collected samples provided at least 85/15 confidence/precision.</w:t>
            </w:r>
          </w:p>
          <w:p w:rsidR="00745011" w:rsidRPr="00B97C91" w:rsidRDefault="00745011" w:rsidP="005C1352">
            <w:pPr>
              <w:jc w:val="left"/>
              <w:rPr>
                <w:sz w:val="18"/>
                <w:szCs w:val="20"/>
              </w:rPr>
            </w:pPr>
            <w:r w:rsidRPr="00B97C91">
              <w:rPr>
                <w:color w:val="FFFFFF"/>
                <w:sz w:val="18"/>
                <w:szCs w:val="18"/>
              </w:rPr>
              <w:t>[c]</w:t>
            </w:r>
            <w:r w:rsidRPr="00B97C91">
              <w:rPr>
                <w:color w:val="FFFFFF"/>
                <w:sz w:val="18"/>
                <w:szCs w:val="20"/>
              </w:rPr>
              <w:t xml:space="preserve"> ADM/Tetra Tech misprinted the SO value in the PY7 annual report. The value reported in this table is the actual SO value.</w:t>
            </w:r>
            <w:r w:rsidRPr="00B97C91" w:rsidDel="00EC5732">
              <w:rPr>
                <w:color w:val="FFFFFF"/>
                <w:sz w:val="18"/>
                <w:szCs w:val="20"/>
              </w:rPr>
              <w:t xml:space="preserve"> </w:t>
            </w:r>
          </w:p>
        </w:tc>
      </w:tr>
    </w:tbl>
    <w:p w:rsidR="00745011" w:rsidRPr="00745011" w:rsidRDefault="00745011" w:rsidP="00745011"/>
    <w:p w:rsidR="00950837" w:rsidRDefault="00950837" w:rsidP="0043541C">
      <w:pPr>
        <w:pStyle w:val="AppendixAHeading2"/>
      </w:pPr>
      <w:r>
        <w:t>Statewide Evaluator Final Recommendations</w:t>
      </w:r>
    </w:p>
    <w:p w:rsidR="00372E42" w:rsidRDefault="00372E42" w:rsidP="00372E42">
      <w:pPr>
        <w:pStyle w:val="bullettext"/>
      </w:pPr>
      <w:r w:rsidRPr="000475E0">
        <w:t xml:space="preserve">The SWE Team has the following recommendations for </w:t>
      </w:r>
      <w:r>
        <w:t>Met-Ed</w:t>
      </w:r>
      <w:r w:rsidRPr="000475E0">
        <w:t>’s EE&amp;C programs going forward</w:t>
      </w:r>
      <w:r>
        <w:t>:</w:t>
      </w:r>
    </w:p>
    <w:p w:rsidR="00372E42" w:rsidRPr="006843B2" w:rsidRDefault="00372E42" w:rsidP="00E646C9">
      <w:pPr>
        <w:pStyle w:val="ListParagraph"/>
        <w:numPr>
          <w:ilvl w:val="0"/>
          <w:numId w:val="73"/>
        </w:numPr>
        <w:spacing w:after="120"/>
        <w:ind w:left="360"/>
        <w:contextualSpacing w:val="0"/>
      </w:pPr>
      <w:r w:rsidRPr="006843B2">
        <w:t>The SWE Team recommends that in the interest of transparency, only the SWE-supplied Appendix C calculator be used for C</w:t>
      </w:r>
      <w:r w:rsidR="0097650B" w:rsidRPr="006843B2">
        <w:t>/</w:t>
      </w:r>
      <w:r w:rsidRPr="006843B2">
        <w:t>I lighting projects moving forward</w:t>
      </w:r>
    </w:p>
    <w:p w:rsidR="00372E42" w:rsidRPr="006843B2" w:rsidRDefault="00372E42" w:rsidP="00E646C9">
      <w:pPr>
        <w:pStyle w:val="ListParagraph"/>
        <w:numPr>
          <w:ilvl w:val="0"/>
          <w:numId w:val="73"/>
        </w:numPr>
        <w:spacing w:after="120"/>
        <w:ind w:left="360"/>
        <w:contextualSpacing w:val="0"/>
      </w:pPr>
      <w:r w:rsidRPr="006843B2">
        <w:t>Review rebate paperwork processes to identify opportunities to streamline documentation requirements and notify contractors and customers more quickly if project documentation is incomplete.</w:t>
      </w:r>
    </w:p>
    <w:p w:rsidR="00372E42" w:rsidRPr="006843B2" w:rsidRDefault="00372E42" w:rsidP="00E646C9">
      <w:pPr>
        <w:pStyle w:val="ListParagraph"/>
        <w:numPr>
          <w:ilvl w:val="0"/>
          <w:numId w:val="73"/>
        </w:numPr>
        <w:ind w:left="360"/>
      </w:pPr>
      <w:r w:rsidRPr="006843B2">
        <w:t>As the Home Performance – New Construction measure becomes more streamlined or as incentives change, attempt to attract builders who began with the program but dropped out.</w:t>
      </w:r>
    </w:p>
    <w:p w:rsidR="00372E42" w:rsidRPr="00372E42" w:rsidRDefault="00372E42" w:rsidP="00372E42"/>
    <w:p w:rsidR="00950837" w:rsidRDefault="00950837" w:rsidP="00D34B3E">
      <w:pPr>
        <w:pStyle w:val="AppendixAHeading1"/>
      </w:pPr>
      <w:r>
        <w:t>Penelec</w:t>
      </w:r>
    </w:p>
    <w:p w:rsidR="007724F5" w:rsidRDefault="007724F5" w:rsidP="007724F5">
      <w:r w:rsidRPr="00735BA9">
        <w:t xml:space="preserve">This </w:t>
      </w:r>
      <w:r>
        <w:t>section</w:t>
      </w:r>
      <w:r w:rsidRPr="00735BA9">
        <w:t xml:space="preserve"> summarizes </w:t>
      </w:r>
      <w:r>
        <w:t>Penelec</w:t>
      </w:r>
      <w:r w:rsidRPr="00735BA9">
        <w:t xml:space="preserve">’s program performance </w:t>
      </w:r>
      <w:r>
        <w:t>through PY7</w:t>
      </w:r>
      <w:r w:rsidRPr="00735BA9">
        <w:t xml:space="preserve">. It includes an overview of the cumulative energy savings and demand reductions achieved by </w:t>
      </w:r>
      <w:r>
        <w:t>Penelec</w:t>
      </w:r>
      <w:r w:rsidRPr="00735BA9">
        <w:t xml:space="preserve">’s Act 129 EE&amp;C programs in Phase II; an overview of the TRC test results for each program and for the portfolio of programs; a discussion of the activities completed by </w:t>
      </w:r>
      <w:r>
        <w:t>Penelec</w:t>
      </w:r>
      <w:r w:rsidRPr="00735BA9">
        <w:t xml:space="preserve">’s evaluation contractor to conduct M&amp;V of </w:t>
      </w:r>
      <w:r w:rsidR="00CE78B5">
        <w:t>Penelec</w:t>
      </w:r>
      <w:r w:rsidRPr="00735BA9">
        <w:t xml:space="preserve">’s EE&amp;C programs and to calculate the cost-effectiveness of the portfolio of programs; a description of the work and findings </w:t>
      </w:r>
      <w:r w:rsidRPr="00735BA9">
        <w:lastRenderedPageBreak/>
        <w:t xml:space="preserve">of the SWE Team audits; and the SWE Team’s recommendations of actions to help improve </w:t>
      </w:r>
      <w:r>
        <w:t>Penelec</w:t>
      </w:r>
      <w:r w:rsidRPr="00735BA9">
        <w:t>’s programs in the future</w:t>
      </w:r>
      <w:r>
        <w:t>.</w:t>
      </w:r>
    </w:p>
    <w:p w:rsidR="007724F5" w:rsidRPr="006843B2" w:rsidRDefault="007724F5" w:rsidP="006843B2"/>
    <w:p w:rsidR="00950837" w:rsidRDefault="00950837" w:rsidP="0043541C">
      <w:pPr>
        <w:pStyle w:val="AppendixAHeading2"/>
      </w:pPr>
      <w:r>
        <w:t>Summary of Energy and Demand Reductions</w:t>
      </w:r>
    </w:p>
    <w:p w:rsidR="009C5272" w:rsidRDefault="009C5272" w:rsidP="009C5272">
      <w:r>
        <w:t xml:space="preserve">This section lists the programs </w:t>
      </w:r>
      <w:r w:rsidR="002902CC">
        <w:t>that</w:t>
      </w:r>
      <w:r>
        <w:t xml:space="preserve"> provided energy savings in PY7 and includes the energy and demand savings contributed by each program offered during Phase II. The sector-level verified gross and net energy savings achieved in PY7 are also provided.</w:t>
      </w:r>
    </w:p>
    <w:p w:rsidR="009C5272" w:rsidRPr="009C5272" w:rsidRDefault="009C5272" w:rsidP="009C5272"/>
    <w:p w:rsidR="00950837" w:rsidRDefault="00950837" w:rsidP="00D34B3E">
      <w:pPr>
        <w:pStyle w:val="AppendixAHeading3"/>
      </w:pPr>
      <w:r>
        <w:t>Phase II Savings by Program</w:t>
      </w:r>
    </w:p>
    <w:p w:rsidR="006F7DE9" w:rsidRDefault="00A62B23" w:rsidP="006F7DE9">
      <w:r>
        <w:fldChar w:fldCharType="begin"/>
      </w:r>
      <w:r>
        <w:instrText xml:space="preserve"> REF _Ref472359198 \h </w:instrText>
      </w:r>
      <w:r>
        <w:fldChar w:fldCharType="separate"/>
      </w:r>
      <w:r w:rsidR="00A874AC" w:rsidRPr="00E41D9C">
        <w:t>Table A-</w:t>
      </w:r>
      <w:r w:rsidR="00A874AC">
        <w:rPr>
          <w:noProof/>
        </w:rPr>
        <w:t>51</w:t>
      </w:r>
      <w:r>
        <w:fldChar w:fldCharType="end"/>
      </w:r>
      <w:r w:rsidR="006F7DE9">
        <w:t xml:space="preserve"> </w:t>
      </w:r>
      <w:r w:rsidR="006F7DE9" w:rsidRPr="004B480A">
        <w:t>lists</w:t>
      </w:r>
      <w:r w:rsidR="006F7DE9">
        <w:t xml:space="preserve"> the</w:t>
      </w:r>
      <w:r w:rsidR="006F7DE9" w:rsidRPr="004B480A">
        <w:t xml:space="preserve"> </w:t>
      </w:r>
      <w:r w:rsidR="000D0C36">
        <w:t>Penelec</w:t>
      </w:r>
      <w:r w:rsidR="006F7DE9" w:rsidRPr="004B480A">
        <w:t xml:space="preserve"> EE&amp;C programs</w:t>
      </w:r>
      <w:r w:rsidR="006F7DE9">
        <w:t xml:space="preserve"> that yielded reported savings in PY7. </w:t>
      </w:r>
      <w:r>
        <w:fldChar w:fldCharType="begin"/>
      </w:r>
      <w:r>
        <w:instrText xml:space="preserve"> REF _Ref472359208 \h </w:instrText>
      </w:r>
      <w:r>
        <w:fldChar w:fldCharType="separate"/>
      </w:r>
      <w:r w:rsidR="00A874AC" w:rsidRPr="00E41D9C">
        <w:t>Table A-</w:t>
      </w:r>
      <w:r w:rsidR="00A874AC">
        <w:rPr>
          <w:noProof/>
        </w:rPr>
        <w:t>52</w:t>
      </w:r>
      <w:r>
        <w:fldChar w:fldCharType="end"/>
      </w:r>
      <w:r w:rsidR="006F7DE9">
        <w:t xml:space="preserve"> shows the verified gross energy and demand savings of each program at the conclusion of Phase II. The </w:t>
      </w:r>
      <w:r w:rsidR="00183D75">
        <w:t>Home Performance</w:t>
      </w:r>
      <w:r w:rsidR="006F7DE9">
        <w:t xml:space="preserve"> program was the largest contrib</w:t>
      </w:r>
      <w:r w:rsidR="002902CC">
        <w:t xml:space="preserve">uted to </w:t>
      </w:r>
      <w:r w:rsidR="006F7DE9">
        <w:t>energy savings.</w:t>
      </w:r>
    </w:p>
    <w:p w:rsidR="006F7DE9" w:rsidRPr="004B480A" w:rsidRDefault="006F7DE9" w:rsidP="006F7DE9"/>
    <w:p w:rsidR="006F7DE9" w:rsidRDefault="006F7DE9" w:rsidP="006F7DE9">
      <w:pPr>
        <w:pStyle w:val="Caption"/>
      </w:pPr>
      <w:bookmarkStart w:id="795" w:name="_Ref472359198"/>
      <w:bookmarkStart w:id="796" w:name="_Toc472472460"/>
      <w:bookmarkStart w:id="797" w:name="_Toc476842166"/>
      <w:r w:rsidRPr="00E41D9C">
        <w:t>Table A-</w:t>
      </w:r>
      <w:fldSimple w:instr=" SEQ Table_A- \* ARABIC ">
        <w:r w:rsidR="00C301D0">
          <w:rPr>
            <w:noProof/>
          </w:rPr>
          <w:t>51</w:t>
        </w:r>
      </w:fldSimple>
      <w:bookmarkEnd w:id="795"/>
      <w:r w:rsidRPr="00E41D9C">
        <w:t xml:space="preserve">: </w:t>
      </w:r>
      <w:r w:rsidR="000D0C36">
        <w:t>Penelec</w:t>
      </w:r>
      <w:r w:rsidRPr="00E41D9C">
        <w:t xml:space="preserve"> EE&amp;C Programs wi</w:t>
      </w:r>
      <w:r>
        <w:t>th Reported Gross Savings in PY7</w:t>
      </w:r>
      <w:bookmarkEnd w:id="796"/>
      <w:bookmarkEnd w:id="797"/>
    </w:p>
    <w:tbl>
      <w:tblPr>
        <w:tblW w:w="9350" w:type="dxa"/>
        <w:tblLook w:val="04A0" w:firstRow="1" w:lastRow="0" w:firstColumn="1" w:lastColumn="0" w:noHBand="0" w:noVBand="1"/>
      </w:tblPr>
      <w:tblGrid>
        <w:gridCol w:w="4675"/>
        <w:gridCol w:w="4675"/>
      </w:tblGrid>
      <w:tr w:rsidR="00E7173E" w:rsidRPr="00BD593F" w:rsidTr="0081757B">
        <w:trPr>
          <w:trHeight w:val="232"/>
        </w:trPr>
        <w:tc>
          <w:tcPr>
            <w:tcW w:w="4675"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BD593F" w:rsidRPr="00BD593F" w:rsidRDefault="00BD593F" w:rsidP="006843B2">
            <w:pPr>
              <w:rPr>
                <w:b/>
                <w:bCs/>
                <w:color w:val="FFFFFF"/>
                <w:sz w:val="20"/>
                <w:szCs w:val="20"/>
              </w:rPr>
            </w:pPr>
            <w:r w:rsidRPr="00BD593F">
              <w:rPr>
                <w:b/>
                <w:bCs/>
                <w:color w:val="FFFFFF"/>
                <w:sz w:val="20"/>
                <w:szCs w:val="20"/>
              </w:rPr>
              <w:t>Programs Reporting PY7 Gross Savings</w:t>
            </w:r>
          </w:p>
        </w:tc>
        <w:tc>
          <w:tcPr>
            <w:tcW w:w="4675" w:type="dxa"/>
            <w:tcBorders>
              <w:top w:val="single" w:sz="8" w:space="0" w:color="448A99"/>
              <w:left w:val="nil"/>
              <w:bottom w:val="single" w:sz="8" w:space="0" w:color="448A99"/>
              <w:right w:val="single" w:sz="8" w:space="0" w:color="448A99"/>
            </w:tcBorders>
            <w:shd w:val="clear" w:color="000000" w:fill="448A99"/>
            <w:vAlign w:val="bottom"/>
            <w:hideMark/>
          </w:tcPr>
          <w:p w:rsidR="00BD593F" w:rsidRPr="00BD593F" w:rsidRDefault="002902CC" w:rsidP="006843B2">
            <w:pPr>
              <w:jc w:val="center"/>
              <w:rPr>
                <w:b/>
                <w:bCs/>
                <w:color w:val="FFFFFF"/>
                <w:sz w:val="20"/>
                <w:szCs w:val="20"/>
              </w:rPr>
            </w:pPr>
            <w:r>
              <w:rPr>
                <w:b/>
                <w:bCs/>
                <w:color w:val="FFFFFF"/>
                <w:sz w:val="20"/>
                <w:szCs w:val="20"/>
              </w:rPr>
              <w:t>Sector</w:t>
            </w:r>
          </w:p>
        </w:tc>
      </w:tr>
      <w:tr w:rsidR="00E7173E" w:rsidRPr="00BD593F"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BD593F" w:rsidRPr="00BD593F" w:rsidRDefault="00BD593F" w:rsidP="00BD593F">
            <w:pPr>
              <w:rPr>
                <w:color w:val="000000"/>
                <w:sz w:val="20"/>
                <w:szCs w:val="20"/>
              </w:rPr>
            </w:pPr>
            <w:r w:rsidRPr="00BD593F">
              <w:rPr>
                <w:color w:val="000000"/>
                <w:sz w:val="20"/>
                <w:szCs w:val="20"/>
              </w:rPr>
              <w:t>Appliance Turn-In</w:t>
            </w:r>
          </w:p>
        </w:tc>
        <w:tc>
          <w:tcPr>
            <w:tcW w:w="4675"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6843B2">
            <w:pPr>
              <w:jc w:val="center"/>
              <w:rPr>
                <w:color w:val="000000"/>
                <w:sz w:val="20"/>
                <w:szCs w:val="20"/>
              </w:rPr>
            </w:pPr>
            <w:r w:rsidRPr="00BD593F">
              <w:rPr>
                <w:color w:val="000000"/>
                <w:sz w:val="20"/>
                <w:szCs w:val="20"/>
              </w:rPr>
              <w:t>Residential</w:t>
            </w:r>
          </w:p>
        </w:tc>
      </w:tr>
      <w:tr w:rsidR="00E7173E" w:rsidRPr="00BD593F" w:rsidTr="0081757B">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BD593F" w:rsidRDefault="00BD593F" w:rsidP="00BD593F">
            <w:pPr>
              <w:rPr>
                <w:color w:val="000000"/>
                <w:sz w:val="20"/>
                <w:szCs w:val="20"/>
              </w:rPr>
            </w:pPr>
            <w:r w:rsidRPr="00BD593F">
              <w:rPr>
                <w:color w:val="000000"/>
                <w:sz w:val="20"/>
                <w:szCs w:val="20"/>
              </w:rPr>
              <w:t>Efficient Products</w:t>
            </w:r>
          </w:p>
        </w:tc>
        <w:tc>
          <w:tcPr>
            <w:tcW w:w="4675"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6843B2">
            <w:pPr>
              <w:jc w:val="center"/>
              <w:rPr>
                <w:color w:val="000000"/>
                <w:sz w:val="20"/>
                <w:szCs w:val="20"/>
              </w:rPr>
            </w:pPr>
            <w:r w:rsidRPr="00BD593F">
              <w:rPr>
                <w:color w:val="000000"/>
                <w:sz w:val="20"/>
                <w:szCs w:val="20"/>
              </w:rPr>
              <w:t>Residential</w:t>
            </w:r>
          </w:p>
        </w:tc>
      </w:tr>
      <w:tr w:rsidR="00E7173E" w:rsidRPr="00BD593F"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BD593F" w:rsidRPr="00BD593F" w:rsidRDefault="00BD593F" w:rsidP="00BD593F">
            <w:pPr>
              <w:rPr>
                <w:color w:val="000000"/>
                <w:sz w:val="20"/>
                <w:szCs w:val="20"/>
              </w:rPr>
            </w:pPr>
            <w:r w:rsidRPr="00BD593F">
              <w:rPr>
                <w:color w:val="000000"/>
                <w:sz w:val="20"/>
                <w:szCs w:val="20"/>
              </w:rPr>
              <w:t>Home Performance</w:t>
            </w:r>
          </w:p>
        </w:tc>
        <w:tc>
          <w:tcPr>
            <w:tcW w:w="4675"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6843B2">
            <w:pPr>
              <w:jc w:val="center"/>
              <w:rPr>
                <w:color w:val="000000"/>
                <w:sz w:val="20"/>
                <w:szCs w:val="20"/>
              </w:rPr>
            </w:pPr>
            <w:r w:rsidRPr="00BD593F">
              <w:rPr>
                <w:color w:val="000000"/>
                <w:sz w:val="20"/>
                <w:szCs w:val="20"/>
              </w:rPr>
              <w:t>Residential</w:t>
            </w:r>
          </w:p>
        </w:tc>
      </w:tr>
      <w:tr w:rsidR="00E7173E" w:rsidRPr="00BD593F" w:rsidTr="0081757B">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BD593F" w:rsidRDefault="00BD593F" w:rsidP="00BD593F">
            <w:pPr>
              <w:rPr>
                <w:color w:val="000000"/>
                <w:sz w:val="20"/>
                <w:szCs w:val="20"/>
              </w:rPr>
            </w:pPr>
            <w:r w:rsidRPr="00BD593F">
              <w:rPr>
                <w:color w:val="000000"/>
                <w:sz w:val="20"/>
                <w:szCs w:val="20"/>
              </w:rPr>
              <w:t>Low Income</w:t>
            </w:r>
          </w:p>
        </w:tc>
        <w:tc>
          <w:tcPr>
            <w:tcW w:w="4675"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6843B2">
            <w:pPr>
              <w:jc w:val="center"/>
              <w:rPr>
                <w:color w:val="000000"/>
                <w:sz w:val="20"/>
                <w:szCs w:val="20"/>
              </w:rPr>
            </w:pPr>
            <w:r w:rsidRPr="00BD593F">
              <w:rPr>
                <w:color w:val="000000"/>
                <w:sz w:val="20"/>
                <w:szCs w:val="20"/>
              </w:rPr>
              <w:t>Low-Income</w:t>
            </w:r>
          </w:p>
        </w:tc>
      </w:tr>
      <w:tr w:rsidR="00E7173E" w:rsidRPr="00BD593F"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BD593F" w:rsidRPr="00BD593F" w:rsidRDefault="00BD593F" w:rsidP="00BD593F">
            <w:pPr>
              <w:rPr>
                <w:color w:val="000000"/>
                <w:sz w:val="20"/>
                <w:szCs w:val="20"/>
              </w:rPr>
            </w:pPr>
            <w:r w:rsidRPr="00BD593F">
              <w:rPr>
                <w:color w:val="000000"/>
                <w:sz w:val="20"/>
                <w:szCs w:val="20"/>
              </w:rPr>
              <w:t>Small C/I Equipment</w:t>
            </w:r>
          </w:p>
        </w:tc>
        <w:tc>
          <w:tcPr>
            <w:tcW w:w="4675"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6843B2">
            <w:pPr>
              <w:jc w:val="center"/>
              <w:rPr>
                <w:color w:val="000000"/>
                <w:sz w:val="20"/>
                <w:szCs w:val="20"/>
              </w:rPr>
            </w:pPr>
            <w:r w:rsidRPr="00BD593F">
              <w:rPr>
                <w:color w:val="000000"/>
                <w:sz w:val="20"/>
                <w:szCs w:val="20"/>
              </w:rPr>
              <w:t>Non-Residential</w:t>
            </w:r>
          </w:p>
        </w:tc>
      </w:tr>
      <w:tr w:rsidR="00E7173E" w:rsidRPr="00BD593F" w:rsidTr="0081757B">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BD593F" w:rsidRDefault="00BD593F" w:rsidP="00BD593F">
            <w:pPr>
              <w:rPr>
                <w:color w:val="000000"/>
                <w:sz w:val="20"/>
                <w:szCs w:val="20"/>
              </w:rPr>
            </w:pPr>
            <w:r w:rsidRPr="00BD593F">
              <w:rPr>
                <w:color w:val="000000"/>
                <w:sz w:val="20"/>
                <w:szCs w:val="20"/>
              </w:rPr>
              <w:t>Small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6843B2">
            <w:pPr>
              <w:jc w:val="center"/>
              <w:rPr>
                <w:color w:val="000000"/>
                <w:sz w:val="20"/>
                <w:szCs w:val="20"/>
              </w:rPr>
            </w:pPr>
            <w:r w:rsidRPr="00BD593F">
              <w:rPr>
                <w:color w:val="000000"/>
                <w:sz w:val="20"/>
                <w:szCs w:val="20"/>
              </w:rPr>
              <w:t>Non-Residential</w:t>
            </w:r>
          </w:p>
        </w:tc>
      </w:tr>
      <w:tr w:rsidR="00E7173E" w:rsidRPr="00BD593F"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BD593F" w:rsidRPr="00BD593F" w:rsidRDefault="00BD593F" w:rsidP="00BD593F">
            <w:pPr>
              <w:rPr>
                <w:color w:val="000000"/>
                <w:sz w:val="20"/>
                <w:szCs w:val="20"/>
              </w:rPr>
            </w:pPr>
            <w:r w:rsidRPr="00BD593F">
              <w:rPr>
                <w:color w:val="000000"/>
                <w:sz w:val="20"/>
                <w:szCs w:val="20"/>
              </w:rPr>
              <w:t>Large C/I Equipment</w:t>
            </w:r>
          </w:p>
        </w:tc>
        <w:tc>
          <w:tcPr>
            <w:tcW w:w="4675"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6843B2">
            <w:pPr>
              <w:jc w:val="center"/>
              <w:rPr>
                <w:color w:val="000000"/>
                <w:sz w:val="20"/>
                <w:szCs w:val="20"/>
              </w:rPr>
            </w:pPr>
            <w:r w:rsidRPr="00BD593F">
              <w:rPr>
                <w:color w:val="000000"/>
                <w:sz w:val="20"/>
                <w:szCs w:val="20"/>
              </w:rPr>
              <w:t>Non-Residential</w:t>
            </w:r>
          </w:p>
        </w:tc>
      </w:tr>
      <w:tr w:rsidR="00E7173E" w:rsidRPr="00BD593F" w:rsidTr="0081757B">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BD593F" w:rsidRDefault="00BD593F" w:rsidP="00BD593F">
            <w:pPr>
              <w:rPr>
                <w:color w:val="000000"/>
                <w:sz w:val="20"/>
                <w:szCs w:val="20"/>
              </w:rPr>
            </w:pPr>
            <w:r w:rsidRPr="00BD593F">
              <w:rPr>
                <w:color w:val="000000"/>
                <w:sz w:val="20"/>
                <w:szCs w:val="20"/>
              </w:rPr>
              <w:t>Large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6843B2">
            <w:pPr>
              <w:jc w:val="center"/>
              <w:rPr>
                <w:color w:val="000000"/>
                <w:sz w:val="20"/>
                <w:szCs w:val="20"/>
              </w:rPr>
            </w:pPr>
            <w:r w:rsidRPr="00BD593F">
              <w:rPr>
                <w:color w:val="000000"/>
                <w:sz w:val="20"/>
                <w:szCs w:val="20"/>
              </w:rPr>
              <w:t>Non-Residential</w:t>
            </w:r>
          </w:p>
        </w:tc>
      </w:tr>
      <w:tr w:rsidR="00E7173E" w:rsidRPr="00BD593F"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BD593F" w:rsidRPr="00BD593F" w:rsidRDefault="00BD593F" w:rsidP="00BD593F">
            <w:pPr>
              <w:rPr>
                <w:color w:val="000000"/>
                <w:sz w:val="20"/>
                <w:szCs w:val="20"/>
              </w:rPr>
            </w:pPr>
            <w:r w:rsidRPr="00BD593F">
              <w:rPr>
                <w:color w:val="000000"/>
                <w:sz w:val="20"/>
                <w:szCs w:val="20"/>
              </w:rPr>
              <w:t>Gov./Institutional</w:t>
            </w:r>
          </w:p>
        </w:tc>
        <w:tc>
          <w:tcPr>
            <w:tcW w:w="4675"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6843B2">
            <w:pPr>
              <w:jc w:val="center"/>
              <w:rPr>
                <w:color w:val="000000"/>
                <w:sz w:val="20"/>
                <w:szCs w:val="20"/>
              </w:rPr>
            </w:pPr>
            <w:r w:rsidRPr="00BD593F">
              <w:rPr>
                <w:color w:val="000000"/>
                <w:sz w:val="20"/>
                <w:szCs w:val="20"/>
              </w:rPr>
              <w:t>GNI</w:t>
            </w:r>
          </w:p>
        </w:tc>
      </w:tr>
    </w:tbl>
    <w:p w:rsidR="006F7DE9" w:rsidRPr="006843B2" w:rsidRDefault="006F7DE9" w:rsidP="006843B2"/>
    <w:p w:rsidR="006F7DE9" w:rsidRDefault="006F7DE9" w:rsidP="006F7DE9">
      <w:pPr>
        <w:pStyle w:val="Caption"/>
      </w:pPr>
      <w:bookmarkStart w:id="798" w:name="_Ref472359208"/>
      <w:bookmarkStart w:id="799" w:name="_Toc472472461"/>
      <w:bookmarkStart w:id="800" w:name="_Toc476842167"/>
      <w:r w:rsidRPr="00E41D9C">
        <w:t>Table A-</w:t>
      </w:r>
      <w:fldSimple w:instr=" SEQ Table_A- \* ARABIC ">
        <w:r w:rsidR="00C301D0">
          <w:rPr>
            <w:noProof/>
          </w:rPr>
          <w:t>52</w:t>
        </w:r>
      </w:fldSimple>
      <w:bookmarkEnd w:id="798"/>
      <w:r w:rsidRPr="00E41D9C">
        <w:t xml:space="preserve">: </w:t>
      </w:r>
      <w:r w:rsidRPr="005A1DB5">
        <w:t xml:space="preserve">Summary of </w:t>
      </w:r>
      <w:r w:rsidR="000D0C36">
        <w:t>Penelec</w:t>
      </w:r>
      <w:r w:rsidRPr="005A1DB5">
        <w:t xml:space="preserve"> EE&amp;C Program Impacts on Verified Gross Portfolio Savings</w:t>
      </w:r>
      <w:bookmarkEnd w:id="799"/>
      <w:bookmarkEnd w:id="800"/>
    </w:p>
    <w:tbl>
      <w:tblPr>
        <w:tblW w:w="9350" w:type="dxa"/>
        <w:tblLayout w:type="fixed"/>
        <w:tblLook w:val="04A0" w:firstRow="1" w:lastRow="0" w:firstColumn="1" w:lastColumn="0" w:noHBand="0" w:noVBand="1"/>
      </w:tblPr>
      <w:tblGrid>
        <w:gridCol w:w="2180"/>
        <w:gridCol w:w="1792"/>
        <w:gridCol w:w="1793"/>
        <w:gridCol w:w="1792"/>
        <w:gridCol w:w="1793"/>
      </w:tblGrid>
      <w:tr w:rsidR="00A874AC" w:rsidRPr="00BD593F" w:rsidTr="006843B2">
        <w:trPr>
          <w:trHeight w:val="780"/>
        </w:trPr>
        <w:tc>
          <w:tcPr>
            <w:tcW w:w="218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BD593F" w:rsidRPr="00BD593F" w:rsidRDefault="00BD593F" w:rsidP="006843B2">
            <w:pPr>
              <w:rPr>
                <w:b/>
                <w:bCs/>
                <w:color w:val="FFFFFF"/>
                <w:sz w:val="20"/>
                <w:szCs w:val="20"/>
              </w:rPr>
            </w:pPr>
            <w:r w:rsidRPr="00BD593F">
              <w:rPr>
                <w:b/>
                <w:bCs/>
                <w:color w:val="FFFFFF"/>
                <w:sz w:val="20"/>
                <w:szCs w:val="20"/>
              </w:rPr>
              <w:t>Program</w:t>
            </w:r>
          </w:p>
        </w:tc>
        <w:tc>
          <w:tcPr>
            <w:tcW w:w="1792" w:type="dxa"/>
            <w:tcBorders>
              <w:top w:val="single" w:sz="8" w:space="0" w:color="448A99"/>
              <w:left w:val="nil"/>
              <w:bottom w:val="single" w:sz="8" w:space="0" w:color="448A99"/>
              <w:right w:val="single" w:sz="8" w:space="0" w:color="448A99"/>
            </w:tcBorders>
            <w:shd w:val="clear" w:color="000000" w:fill="448A99"/>
            <w:vAlign w:val="bottom"/>
            <w:hideMark/>
          </w:tcPr>
          <w:p w:rsidR="00BD593F" w:rsidRPr="00BD593F" w:rsidRDefault="00BD593F" w:rsidP="006843B2">
            <w:pPr>
              <w:jc w:val="center"/>
              <w:rPr>
                <w:b/>
                <w:bCs/>
                <w:color w:val="FFFFFF"/>
                <w:sz w:val="20"/>
                <w:szCs w:val="20"/>
              </w:rPr>
            </w:pPr>
            <w:r w:rsidRPr="00BD593F">
              <w:rPr>
                <w:b/>
                <w:bCs/>
                <w:color w:val="FFFFFF"/>
                <w:sz w:val="20"/>
                <w:szCs w:val="20"/>
              </w:rPr>
              <w:t>Phase II VG Savings (MWh)</w:t>
            </w:r>
          </w:p>
        </w:tc>
        <w:tc>
          <w:tcPr>
            <w:tcW w:w="1793" w:type="dxa"/>
            <w:tcBorders>
              <w:top w:val="single" w:sz="8" w:space="0" w:color="448A99"/>
              <w:left w:val="nil"/>
              <w:bottom w:val="single" w:sz="8" w:space="0" w:color="448A99"/>
              <w:right w:val="single" w:sz="8" w:space="0" w:color="448A99"/>
            </w:tcBorders>
            <w:shd w:val="clear" w:color="000000" w:fill="448A99"/>
            <w:vAlign w:val="bottom"/>
            <w:hideMark/>
          </w:tcPr>
          <w:p w:rsidR="00BD593F" w:rsidRPr="00BD593F" w:rsidRDefault="00BD593F" w:rsidP="006843B2">
            <w:pPr>
              <w:jc w:val="center"/>
              <w:rPr>
                <w:b/>
                <w:bCs/>
                <w:color w:val="FFFFFF"/>
                <w:sz w:val="20"/>
                <w:szCs w:val="20"/>
              </w:rPr>
            </w:pPr>
            <w:r w:rsidRPr="00BD593F">
              <w:rPr>
                <w:b/>
                <w:bCs/>
                <w:color w:val="FFFFFF"/>
                <w:sz w:val="20"/>
                <w:szCs w:val="20"/>
              </w:rPr>
              <w:t>Percent of Portfolio Phase II VG MWh Savings</w:t>
            </w:r>
          </w:p>
        </w:tc>
        <w:tc>
          <w:tcPr>
            <w:tcW w:w="1792" w:type="dxa"/>
            <w:tcBorders>
              <w:top w:val="single" w:sz="8" w:space="0" w:color="448A99"/>
              <w:left w:val="nil"/>
              <w:bottom w:val="single" w:sz="8" w:space="0" w:color="448A99"/>
              <w:right w:val="single" w:sz="8" w:space="0" w:color="448A99"/>
            </w:tcBorders>
            <w:shd w:val="clear" w:color="000000" w:fill="448A99"/>
            <w:vAlign w:val="bottom"/>
            <w:hideMark/>
          </w:tcPr>
          <w:p w:rsidR="00BD593F" w:rsidRPr="00BD593F" w:rsidRDefault="00BD593F" w:rsidP="006843B2">
            <w:pPr>
              <w:jc w:val="center"/>
              <w:rPr>
                <w:b/>
                <w:bCs/>
                <w:color w:val="FFFFFF"/>
                <w:sz w:val="20"/>
                <w:szCs w:val="20"/>
              </w:rPr>
            </w:pPr>
            <w:r w:rsidRPr="00BD593F">
              <w:rPr>
                <w:b/>
                <w:bCs/>
                <w:color w:val="FFFFFF"/>
                <w:sz w:val="20"/>
                <w:szCs w:val="20"/>
              </w:rPr>
              <w:t>Phase II VG Savings (MW)</w:t>
            </w:r>
          </w:p>
        </w:tc>
        <w:tc>
          <w:tcPr>
            <w:tcW w:w="1793" w:type="dxa"/>
            <w:tcBorders>
              <w:top w:val="single" w:sz="8" w:space="0" w:color="448A99"/>
              <w:left w:val="nil"/>
              <w:bottom w:val="single" w:sz="8" w:space="0" w:color="448A99"/>
              <w:right w:val="single" w:sz="8" w:space="0" w:color="448A99"/>
            </w:tcBorders>
            <w:shd w:val="clear" w:color="000000" w:fill="448A99"/>
            <w:vAlign w:val="bottom"/>
            <w:hideMark/>
          </w:tcPr>
          <w:p w:rsidR="00BD593F" w:rsidRPr="00BD593F" w:rsidRDefault="00BD593F" w:rsidP="006843B2">
            <w:pPr>
              <w:jc w:val="center"/>
              <w:rPr>
                <w:b/>
                <w:bCs/>
                <w:color w:val="FFFFFF"/>
                <w:sz w:val="20"/>
                <w:szCs w:val="20"/>
              </w:rPr>
            </w:pPr>
            <w:r w:rsidRPr="00BD593F">
              <w:rPr>
                <w:b/>
                <w:bCs/>
                <w:color w:val="FFFFFF"/>
                <w:sz w:val="20"/>
                <w:szCs w:val="20"/>
              </w:rPr>
              <w:t>Percent of Portfolio Phase II VG MW Savings</w:t>
            </w:r>
          </w:p>
        </w:tc>
      </w:tr>
      <w:tr w:rsidR="00E7173E" w:rsidRPr="00BD593F" w:rsidTr="0081757B">
        <w:trPr>
          <w:trHeight w:val="315"/>
        </w:trPr>
        <w:tc>
          <w:tcPr>
            <w:tcW w:w="2180" w:type="dxa"/>
            <w:tcBorders>
              <w:top w:val="nil"/>
              <w:left w:val="single" w:sz="8" w:space="0" w:color="448A99"/>
              <w:bottom w:val="single" w:sz="8" w:space="0" w:color="448A99"/>
              <w:right w:val="single" w:sz="8" w:space="0" w:color="448A99"/>
            </w:tcBorders>
            <w:shd w:val="clear" w:color="auto" w:fill="auto"/>
            <w:vAlign w:val="center"/>
            <w:hideMark/>
          </w:tcPr>
          <w:p w:rsidR="00BD593F" w:rsidRPr="00BD593F" w:rsidRDefault="00BD593F" w:rsidP="00BD593F">
            <w:pPr>
              <w:rPr>
                <w:color w:val="000000"/>
                <w:sz w:val="20"/>
                <w:szCs w:val="20"/>
              </w:rPr>
            </w:pPr>
            <w:r w:rsidRPr="00BD593F">
              <w:rPr>
                <w:color w:val="000000"/>
                <w:sz w:val="20"/>
                <w:szCs w:val="20"/>
              </w:rPr>
              <w:t>Appliance Turn-In</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BD593F">
            <w:pPr>
              <w:jc w:val="center"/>
              <w:rPr>
                <w:color w:val="000000"/>
                <w:sz w:val="20"/>
                <w:szCs w:val="20"/>
              </w:rPr>
            </w:pPr>
            <w:r w:rsidRPr="00BD593F">
              <w:rPr>
                <w:color w:val="000000"/>
                <w:sz w:val="20"/>
                <w:szCs w:val="20"/>
              </w:rPr>
              <w:t>12,857</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BD593F" w:rsidRDefault="00BD593F" w:rsidP="00BD593F">
            <w:pPr>
              <w:jc w:val="center"/>
              <w:rPr>
                <w:color w:val="000000"/>
                <w:sz w:val="20"/>
                <w:szCs w:val="20"/>
              </w:rPr>
            </w:pPr>
            <w:r w:rsidRPr="00BD593F">
              <w:rPr>
                <w:color w:val="000000"/>
                <w:sz w:val="20"/>
                <w:szCs w:val="20"/>
              </w:rPr>
              <w:t>3%</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BD593F">
            <w:pPr>
              <w:jc w:val="center"/>
              <w:rPr>
                <w:color w:val="000000"/>
                <w:sz w:val="20"/>
                <w:szCs w:val="20"/>
              </w:rPr>
            </w:pPr>
            <w:r w:rsidRPr="00BD593F">
              <w:rPr>
                <w:color w:val="000000"/>
                <w:sz w:val="20"/>
                <w:szCs w:val="20"/>
              </w:rPr>
              <w:t>1.82</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BD593F" w:rsidRDefault="00BD593F" w:rsidP="00BD593F">
            <w:pPr>
              <w:jc w:val="center"/>
              <w:rPr>
                <w:color w:val="000000"/>
                <w:sz w:val="20"/>
                <w:szCs w:val="20"/>
              </w:rPr>
            </w:pPr>
            <w:r w:rsidRPr="00BD593F">
              <w:rPr>
                <w:color w:val="000000"/>
                <w:sz w:val="20"/>
                <w:szCs w:val="20"/>
              </w:rPr>
              <w:t>4%</w:t>
            </w:r>
          </w:p>
        </w:tc>
      </w:tr>
      <w:tr w:rsidR="00A874AC" w:rsidRPr="00BD593F" w:rsidTr="006843B2">
        <w:trPr>
          <w:trHeight w:val="315"/>
        </w:trPr>
        <w:tc>
          <w:tcPr>
            <w:tcW w:w="2180"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BD593F" w:rsidRDefault="00BD593F" w:rsidP="00BD593F">
            <w:pPr>
              <w:rPr>
                <w:color w:val="000000"/>
                <w:sz w:val="20"/>
                <w:szCs w:val="20"/>
              </w:rPr>
            </w:pPr>
            <w:r w:rsidRPr="00BD593F">
              <w:rPr>
                <w:color w:val="000000"/>
                <w:sz w:val="20"/>
                <w:szCs w:val="20"/>
              </w:rPr>
              <w:t>Efficient Products</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color w:val="000000"/>
                <w:sz w:val="20"/>
                <w:szCs w:val="20"/>
              </w:rPr>
            </w:pPr>
            <w:r w:rsidRPr="00BD593F">
              <w:rPr>
                <w:color w:val="000000"/>
                <w:sz w:val="20"/>
                <w:szCs w:val="20"/>
              </w:rPr>
              <w:t>91,250</w:t>
            </w:r>
          </w:p>
        </w:tc>
        <w:tc>
          <w:tcPr>
            <w:tcW w:w="1793" w:type="dxa"/>
            <w:tcBorders>
              <w:top w:val="nil"/>
              <w:left w:val="nil"/>
              <w:bottom w:val="single" w:sz="8" w:space="0" w:color="448A99"/>
              <w:right w:val="single" w:sz="8" w:space="0" w:color="448A99"/>
            </w:tcBorders>
            <w:shd w:val="clear" w:color="000000" w:fill="D2EAF1"/>
            <w:noWrap/>
            <w:vAlign w:val="center"/>
            <w:hideMark/>
          </w:tcPr>
          <w:p w:rsidR="00BD593F" w:rsidRPr="00BD593F" w:rsidRDefault="00BD593F" w:rsidP="00BD593F">
            <w:pPr>
              <w:jc w:val="center"/>
              <w:rPr>
                <w:color w:val="000000"/>
                <w:sz w:val="20"/>
                <w:szCs w:val="20"/>
              </w:rPr>
            </w:pPr>
            <w:r w:rsidRPr="00BD593F">
              <w:rPr>
                <w:color w:val="000000"/>
                <w:sz w:val="20"/>
                <w:szCs w:val="20"/>
              </w:rPr>
              <w:t>25%</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color w:val="000000"/>
                <w:sz w:val="20"/>
                <w:szCs w:val="20"/>
              </w:rPr>
            </w:pPr>
            <w:r w:rsidRPr="00BD593F">
              <w:rPr>
                <w:color w:val="000000"/>
                <w:sz w:val="20"/>
                <w:szCs w:val="20"/>
              </w:rPr>
              <w:t>8.51</w:t>
            </w:r>
          </w:p>
        </w:tc>
        <w:tc>
          <w:tcPr>
            <w:tcW w:w="1793"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color w:val="000000"/>
                <w:sz w:val="20"/>
                <w:szCs w:val="20"/>
              </w:rPr>
            </w:pPr>
            <w:r w:rsidRPr="00BD593F">
              <w:rPr>
                <w:color w:val="000000"/>
                <w:sz w:val="20"/>
                <w:szCs w:val="20"/>
              </w:rPr>
              <w:t>19%</w:t>
            </w:r>
          </w:p>
        </w:tc>
      </w:tr>
      <w:tr w:rsidR="00E7173E" w:rsidRPr="00BD593F" w:rsidTr="0081757B">
        <w:trPr>
          <w:trHeight w:val="315"/>
        </w:trPr>
        <w:tc>
          <w:tcPr>
            <w:tcW w:w="2180" w:type="dxa"/>
            <w:tcBorders>
              <w:top w:val="nil"/>
              <w:left w:val="single" w:sz="8" w:space="0" w:color="448A99"/>
              <w:bottom w:val="single" w:sz="8" w:space="0" w:color="448A99"/>
              <w:right w:val="single" w:sz="8" w:space="0" w:color="448A99"/>
            </w:tcBorders>
            <w:shd w:val="clear" w:color="auto" w:fill="auto"/>
            <w:vAlign w:val="center"/>
            <w:hideMark/>
          </w:tcPr>
          <w:p w:rsidR="00BD593F" w:rsidRPr="00BD593F" w:rsidRDefault="00BD593F" w:rsidP="00BD593F">
            <w:pPr>
              <w:rPr>
                <w:color w:val="000000"/>
                <w:sz w:val="20"/>
                <w:szCs w:val="20"/>
              </w:rPr>
            </w:pPr>
            <w:r w:rsidRPr="00BD593F">
              <w:rPr>
                <w:color w:val="000000"/>
                <w:sz w:val="20"/>
                <w:szCs w:val="20"/>
              </w:rPr>
              <w:t>Home Performance</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BD593F">
            <w:pPr>
              <w:jc w:val="center"/>
              <w:rPr>
                <w:color w:val="000000"/>
                <w:sz w:val="20"/>
                <w:szCs w:val="20"/>
              </w:rPr>
            </w:pPr>
            <w:r w:rsidRPr="00BD593F">
              <w:rPr>
                <w:color w:val="000000"/>
                <w:sz w:val="20"/>
                <w:szCs w:val="20"/>
              </w:rPr>
              <w:t>96,807</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BD593F" w:rsidRDefault="00BD593F" w:rsidP="00BD593F">
            <w:pPr>
              <w:jc w:val="center"/>
              <w:rPr>
                <w:color w:val="000000"/>
                <w:sz w:val="20"/>
                <w:szCs w:val="20"/>
              </w:rPr>
            </w:pPr>
            <w:r w:rsidRPr="00BD593F">
              <w:rPr>
                <w:color w:val="000000"/>
                <w:sz w:val="20"/>
                <w:szCs w:val="20"/>
              </w:rPr>
              <w:t>26%</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BD593F">
            <w:pPr>
              <w:jc w:val="center"/>
              <w:rPr>
                <w:color w:val="000000"/>
                <w:sz w:val="20"/>
                <w:szCs w:val="20"/>
              </w:rPr>
            </w:pPr>
            <w:r w:rsidRPr="00BD593F">
              <w:rPr>
                <w:color w:val="000000"/>
                <w:sz w:val="20"/>
                <w:szCs w:val="20"/>
              </w:rPr>
              <w:t>8.44</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BD593F" w:rsidRDefault="00BD593F" w:rsidP="00BD593F">
            <w:pPr>
              <w:jc w:val="center"/>
              <w:rPr>
                <w:color w:val="000000"/>
                <w:sz w:val="20"/>
                <w:szCs w:val="20"/>
              </w:rPr>
            </w:pPr>
            <w:r w:rsidRPr="00BD593F">
              <w:rPr>
                <w:color w:val="000000"/>
                <w:sz w:val="20"/>
                <w:szCs w:val="20"/>
              </w:rPr>
              <w:t>19%</w:t>
            </w:r>
          </w:p>
        </w:tc>
      </w:tr>
      <w:tr w:rsidR="00A874AC" w:rsidRPr="00BD593F" w:rsidTr="006843B2">
        <w:trPr>
          <w:trHeight w:val="315"/>
        </w:trPr>
        <w:tc>
          <w:tcPr>
            <w:tcW w:w="2180"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BD593F" w:rsidRDefault="00BD593F" w:rsidP="00BD593F">
            <w:pPr>
              <w:rPr>
                <w:color w:val="000000"/>
                <w:sz w:val="20"/>
                <w:szCs w:val="20"/>
              </w:rPr>
            </w:pPr>
            <w:r w:rsidRPr="00BD593F">
              <w:rPr>
                <w:color w:val="000000"/>
                <w:sz w:val="20"/>
                <w:szCs w:val="20"/>
              </w:rPr>
              <w:t>Low Income</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color w:val="000000"/>
                <w:sz w:val="20"/>
                <w:szCs w:val="20"/>
              </w:rPr>
            </w:pPr>
            <w:r w:rsidRPr="00BD593F">
              <w:rPr>
                <w:color w:val="000000"/>
                <w:sz w:val="20"/>
                <w:szCs w:val="20"/>
              </w:rPr>
              <w:t>9,789</w:t>
            </w:r>
          </w:p>
        </w:tc>
        <w:tc>
          <w:tcPr>
            <w:tcW w:w="1793" w:type="dxa"/>
            <w:tcBorders>
              <w:top w:val="nil"/>
              <w:left w:val="nil"/>
              <w:bottom w:val="single" w:sz="8" w:space="0" w:color="448A99"/>
              <w:right w:val="single" w:sz="8" w:space="0" w:color="448A99"/>
            </w:tcBorders>
            <w:shd w:val="clear" w:color="000000" w:fill="D2EAF1"/>
            <w:noWrap/>
            <w:vAlign w:val="center"/>
            <w:hideMark/>
          </w:tcPr>
          <w:p w:rsidR="00BD593F" w:rsidRPr="00BD593F" w:rsidRDefault="00BD593F" w:rsidP="00BD593F">
            <w:pPr>
              <w:jc w:val="center"/>
              <w:rPr>
                <w:color w:val="000000"/>
                <w:sz w:val="20"/>
                <w:szCs w:val="20"/>
              </w:rPr>
            </w:pPr>
            <w:r w:rsidRPr="00BD593F">
              <w:rPr>
                <w:color w:val="000000"/>
                <w:sz w:val="20"/>
                <w:szCs w:val="20"/>
              </w:rPr>
              <w:t>3%</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color w:val="000000"/>
                <w:sz w:val="20"/>
                <w:szCs w:val="20"/>
              </w:rPr>
            </w:pPr>
            <w:r w:rsidRPr="00BD593F">
              <w:rPr>
                <w:color w:val="000000"/>
                <w:sz w:val="20"/>
                <w:szCs w:val="20"/>
              </w:rPr>
              <w:t>0.74</w:t>
            </w:r>
          </w:p>
        </w:tc>
        <w:tc>
          <w:tcPr>
            <w:tcW w:w="1793"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color w:val="000000"/>
                <w:sz w:val="20"/>
                <w:szCs w:val="20"/>
              </w:rPr>
            </w:pPr>
            <w:r w:rsidRPr="00BD593F">
              <w:rPr>
                <w:color w:val="000000"/>
                <w:sz w:val="20"/>
                <w:szCs w:val="20"/>
              </w:rPr>
              <w:t>2%</w:t>
            </w:r>
          </w:p>
        </w:tc>
      </w:tr>
      <w:tr w:rsidR="00E7173E" w:rsidRPr="00BD593F" w:rsidTr="0081757B">
        <w:trPr>
          <w:trHeight w:val="315"/>
        </w:trPr>
        <w:tc>
          <w:tcPr>
            <w:tcW w:w="2180" w:type="dxa"/>
            <w:tcBorders>
              <w:top w:val="nil"/>
              <w:left w:val="single" w:sz="8" w:space="0" w:color="448A99"/>
              <w:bottom w:val="single" w:sz="8" w:space="0" w:color="448A99"/>
              <w:right w:val="single" w:sz="8" w:space="0" w:color="448A99"/>
            </w:tcBorders>
            <w:shd w:val="clear" w:color="auto" w:fill="auto"/>
            <w:vAlign w:val="center"/>
            <w:hideMark/>
          </w:tcPr>
          <w:p w:rsidR="00BD593F" w:rsidRPr="00BD593F" w:rsidRDefault="00BD593F" w:rsidP="00BD593F">
            <w:pPr>
              <w:rPr>
                <w:color w:val="000000"/>
                <w:sz w:val="20"/>
                <w:szCs w:val="20"/>
              </w:rPr>
            </w:pPr>
            <w:r w:rsidRPr="00BD593F">
              <w:rPr>
                <w:color w:val="000000"/>
                <w:sz w:val="20"/>
                <w:szCs w:val="20"/>
              </w:rPr>
              <w:t>Small C/I Equipment</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BD593F">
            <w:pPr>
              <w:jc w:val="center"/>
              <w:rPr>
                <w:color w:val="000000"/>
                <w:sz w:val="20"/>
                <w:szCs w:val="20"/>
              </w:rPr>
            </w:pPr>
            <w:r w:rsidRPr="00BD593F">
              <w:rPr>
                <w:color w:val="000000"/>
                <w:sz w:val="20"/>
                <w:szCs w:val="20"/>
              </w:rPr>
              <w:t>55,842</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BD593F" w:rsidRDefault="00BD593F" w:rsidP="00BD593F">
            <w:pPr>
              <w:jc w:val="center"/>
              <w:rPr>
                <w:color w:val="000000"/>
                <w:sz w:val="20"/>
                <w:szCs w:val="20"/>
              </w:rPr>
            </w:pPr>
            <w:r w:rsidRPr="00BD593F">
              <w:rPr>
                <w:color w:val="000000"/>
                <w:sz w:val="20"/>
                <w:szCs w:val="20"/>
              </w:rPr>
              <w:t>15%</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BD593F">
            <w:pPr>
              <w:jc w:val="center"/>
              <w:rPr>
                <w:color w:val="000000"/>
                <w:sz w:val="20"/>
                <w:szCs w:val="20"/>
              </w:rPr>
            </w:pPr>
            <w:r w:rsidRPr="00BD593F">
              <w:rPr>
                <w:color w:val="000000"/>
                <w:sz w:val="20"/>
                <w:szCs w:val="20"/>
              </w:rPr>
              <w:t>9.52</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BD593F" w:rsidRDefault="00BD593F" w:rsidP="00BD593F">
            <w:pPr>
              <w:jc w:val="center"/>
              <w:rPr>
                <w:color w:val="000000"/>
                <w:sz w:val="20"/>
                <w:szCs w:val="20"/>
              </w:rPr>
            </w:pPr>
            <w:r w:rsidRPr="00BD593F">
              <w:rPr>
                <w:color w:val="000000"/>
                <w:sz w:val="20"/>
                <w:szCs w:val="20"/>
              </w:rPr>
              <w:t>21%</w:t>
            </w:r>
          </w:p>
        </w:tc>
      </w:tr>
      <w:tr w:rsidR="00A874AC" w:rsidRPr="00BD593F" w:rsidTr="006843B2">
        <w:trPr>
          <w:trHeight w:val="315"/>
        </w:trPr>
        <w:tc>
          <w:tcPr>
            <w:tcW w:w="2180"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BD593F" w:rsidRDefault="00BD593F" w:rsidP="00BD593F">
            <w:pPr>
              <w:rPr>
                <w:color w:val="000000"/>
                <w:sz w:val="20"/>
                <w:szCs w:val="20"/>
              </w:rPr>
            </w:pPr>
            <w:r w:rsidRPr="00BD593F">
              <w:rPr>
                <w:color w:val="000000"/>
                <w:sz w:val="20"/>
                <w:szCs w:val="20"/>
              </w:rPr>
              <w:t>Small C/I Buildings</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color w:val="000000"/>
                <w:sz w:val="20"/>
                <w:szCs w:val="20"/>
              </w:rPr>
            </w:pPr>
            <w:r w:rsidRPr="00BD593F">
              <w:rPr>
                <w:color w:val="000000"/>
                <w:sz w:val="20"/>
                <w:szCs w:val="20"/>
              </w:rPr>
              <w:t>9,037</w:t>
            </w:r>
          </w:p>
        </w:tc>
        <w:tc>
          <w:tcPr>
            <w:tcW w:w="1793" w:type="dxa"/>
            <w:tcBorders>
              <w:top w:val="nil"/>
              <w:left w:val="nil"/>
              <w:bottom w:val="single" w:sz="8" w:space="0" w:color="448A99"/>
              <w:right w:val="single" w:sz="8" w:space="0" w:color="448A99"/>
            </w:tcBorders>
            <w:shd w:val="clear" w:color="000000" w:fill="D2EAF1"/>
            <w:noWrap/>
            <w:vAlign w:val="center"/>
            <w:hideMark/>
          </w:tcPr>
          <w:p w:rsidR="00BD593F" w:rsidRPr="00BD593F" w:rsidRDefault="00BD593F" w:rsidP="00BD593F">
            <w:pPr>
              <w:jc w:val="center"/>
              <w:rPr>
                <w:color w:val="000000"/>
                <w:sz w:val="20"/>
                <w:szCs w:val="20"/>
              </w:rPr>
            </w:pPr>
            <w:r w:rsidRPr="00BD593F">
              <w:rPr>
                <w:color w:val="000000"/>
                <w:sz w:val="20"/>
                <w:szCs w:val="20"/>
              </w:rPr>
              <w:t>2%</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color w:val="000000"/>
                <w:sz w:val="20"/>
                <w:szCs w:val="20"/>
              </w:rPr>
            </w:pPr>
            <w:r w:rsidRPr="00BD593F">
              <w:rPr>
                <w:color w:val="000000"/>
                <w:sz w:val="20"/>
                <w:szCs w:val="20"/>
              </w:rPr>
              <w:t>1.28</w:t>
            </w:r>
          </w:p>
        </w:tc>
        <w:tc>
          <w:tcPr>
            <w:tcW w:w="1793"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color w:val="000000"/>
                <w:sz w:val="20"/>
                <w:szCs w:val="20"/>
              </w:rPr>
            </w:pPr>
            <w:r w:rsidRPr="00BD593F">
              <w:rPr>
                <w:color w:val="000000"/>
                <w:sz w:val="20"/>
                <w:szCs w:val="20"/>
              </w:rPr>
              <w:t>3%</w:t>
            </w:r>
          </w:p>
        </w:tc>
      </w:tr>
      <w:tr w:rsidR="00E7173E" w:rsidRPr="00BD593F" w:rsidTr="0081757B">
        <w:trPr>
          <w:trHeight w:val="315"/>
        </w:trPr>
        <w:tc>
          <w:tcPr>
            <w:tcW w:w="2180" w:type="dxa"/>
            <w:tcBorders>
              <w:top w:val="nil"/>
              <w:left w:val="single" w:sz="8" w:space="0" w:color="448A99"/>
              <w:bottom w:val="single" w:sz="8" w:space="0" w:color="448A99"/>
              <w:right w:val="single" w:sz="8" w:space="0" w:color="448A99"/>
            </w:tcBorders>
            <w:shd w:val="clear" w:color="auto" w:fill="auto"/>
            <w:vAlign w:val="center"/>
            <w:hideMark/>
          </w:tcPr>
          <w:p w:rsidR="00BD593F" w:rsidRPr="00BD593F" w:rsidRDefault="00BD593F" w:rsidP="00BD593F">
            <w:pPr>
              <w:rPr>
                <w:color w:val="000000"/>
                <w:sz w:val="20"/>
                <w:szCs w:val="20"/>
              </w:rPr>
            </w:pPr>
            <w:r w:rsidRPr="00BD593F">
              <w:rPr>
                <w:color w:val="000000"/>
                <w:sz w:val="20"/>
                <w:szCs w:val="20"/>
              </w:rPr>
              <w:t>Large C/I Equipment</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BD593F">
            <w:pPr>
              <w:jc w:val="center"/>
              <w:rPr>
                <w:color w:val="000000"/>
                <w:sz w:val="20"/>
                <w:szCs w:val="20"/>
              </w:rPr>
            </w:pPr>
            <w:r w:rsidRPr="00BD593F">
              <w:rPr>
                <w:color w:val="000000"/>
                <w:sz w:val="20"/>
                <w:szCs w:val="20"/>
              </w:rPr>
              <w:t>80,030</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BD593F" w:rsidRDefault="00BD593F" w:rsidP="00BD593F">
            <w:pPr>
              <w:jc w:val="center"/>
              <w:rPr>
                <w:color w:val="000000"/>
                <w:sz w:val="20"/>
                <w:szCs w:val="20"/>
              </w:rPr>
            </w:pPr>
            <w:r w:rsidRPr="00BD593F">
              <w:rPr>
                <w:color w:val="000000"/>
                <w:sz w:val="20"/>
                <w:szCs w:val="20"/>
              </w:rPr>
              <w:t>22%</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BD593F">
            <w:pPr>
              <w:jc w:val="center"/>
              <w:rPr>
                <w:color w:val="000000"/>
                <w:sz w:val="20"/>
                <w:szCs w:val="20"/>
              </w:rPr>
            </w:pPr>
            <w:r w:rsidRPr="00BD593F">
              <w:rPr>
                <w:color w:val="000000"/>
                <w:sz w:val="20"/>
                <w:szCs w:val="20"/>
              </w:rPr>
              <w:t>12.69</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BD593F" w:rsidRDefault="00BD593F" w:rsidP="00BD593F">
            <w:pPr>
              <w:jc w:val="center"/>
              <w:rPr>
                <w:color w:val="000000"/>
                <w:sz w:val="20"/>
                <w:szCs w:val="20"/>
              </w:rPr>
            </w:pPr>
            <w:r w:rsidRPr="00BD593F">
              <w:rPr>
                <w:color w:val="000000"/>
                <w:sz w:val="20"/>
                <w:szCs w:val="20"/>
              </w:rPr>
              <w:t>29%</w:t>
            </w:r>
          </w:p>
        </w:tc>
      </w:tr>
      <w:tr w:rsidR="00A874AC" w:rsidRPr="00BD593F" w:rsidTr="006843B2">
        <w:trPr>
          <w:trHeight w:val="315"/>
        </w:trPr>
        <w:tc>
          <w:tcPr>
            <w:tcW w:w="2180" w:type="dxa"/>
            <w:tcBorders>
              <w:top w:val="nil"/>
              <w:left w:val="single" w:sz="8" w:space="0" w:color="448A99"/>
              <w:bottom w:val="single" w:sz="8" w:space="0" w:color="448A99"/>
              <w:right w:val="single" w:sz="8" w:space="0" w:color="448A99"/>
            </w:tcBorders>
            <w:shd w:val="clear" w:color="000000" w:fill="D2EAF1"/>
            <w:vAlign w:val="center"/>
            <w:hideMark/>
          </w:tcPr>
          <w:p w:rsidR="00BD593F" w:rsidRPr="00BD593F" w:rsidRDefault="00BD593F" w:rsidP="00BD593F">
            <w:pPr>
              <w:rPr>
                <w:color w:val="000000"/>
                <w:sz w:val="20"/>
                <w:szCs w:val="20"/>
              </w:rPr>
            </w:pPr>
            <w:r w:rsidRPr="00BD593F">
              <w:rPr>
                <w:color w:val="000000"/>
                <w:sz w:val="20"/>
                <w:szCs w:val="20"/>
              </w:rPr>
              <w:t>Large C/I Buildings</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color w:val="000000"/>
                <w:sz w:val="20"/>
                <w:szCs w:val="20"/>
              </w:rPr>
            </w:pPr>
            <w:r w:rsidRPr="00BD593F">
              <w:rPr>
                <w:color w:val="000000"/>
                <w:sz w:val="20"/>
                <w:szCs w:val="20"/>
              </w:rPr>
              <w:t>11,923</w:t>
            </w:r>
          </w:p>
        </w:tc>
        <w:tc>
          <w:tcPr>
            <w:tcW w:w="1793" w:type="dxa"/>
            <w:tcBorders>
              <w:top w:val="nil"/>
              <w:left w:val="nil"/>
              <w:bottom w:val="single" w:sz="8" w:space="0" w:color="448A99"/>
              <w:right w:val="single" w:sz="8" w:space="0" w:color="448A99"/>
            </w:tcBorders>
            <w:shd w:val="clear" w:color="000000" w:fill="D2EAF1"/>
            <w:noWrap/>
            <w:vAlign w:val="center"/>
            <w:hideMark/>
          </w:tcPr>
          <w:p w:rsidR="00BD593F" w:rsidRPr="00BD593F" w:rsidRDefault="00BD593F" w:rsidP="00BD593F">
            <w:pPr>
              <w:jc w:val="center"/>
              <w:rPr>
                <w:color w:val="000000"/>
                <w:sz w:val="20"/>
                <w:szCs w:val="20"/>
              </w:rPr>
            </w:pPr>
            <w:r w:rsidRPr="00BD593F">
              <w:rPr>
                <w:color w:val="000000"/>
                <w:sz w:val="20"/>
                <w:szCs w:val="20"/>
              </w:rPr>
              <w:t>3%</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color w:val="000000"/>
                <w:sz w:val="20"/>
                <w:szCs w:val="20"/>
              </w:rPr>
            </w:pPr>
            <w:r w:rsidRPr="00BD593F">
              <w:rPr>
                <w:color w:val="000000"/>
                <w:sz w:val="20"/>
                <w:szCs w:val="20"/>
              </w:rPr>
              <w:t>1.14</w:t>
            </w:r>
          </w:p>
        </w:tc>
        <w:tc>
          <w:tcPr>
            <w:tcW w:w="1793"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color w:val="000000"/>
                <w:sz w:val="20"/>
                <w:szCs w:val="20"/>
              </w:rPr>
            </w:pPr>
            <w:r w:rsidRPr="00BD593F">
              <w:rPr>
                <w:color w:val="000000"/>
                <w:sz w:val="20"/>
                <w:szCs w:val="20"/>
              </w:rPr>
              <w:t>3%</w:t>
            </w:r>
          </w:p>
        </w:tc>
      </w:tr>
      <w:tr w:rsidR="00E7173E" w:rsidRPr="00BD593F" w:rsidTr="0081757B">
        <w:trPr>
          <w:trHeight w:val="315"/>
        </w:trPr>
        <w:tc>
          <w:tcPr>
            <w:tcW w:w="2180" w:type="dxa"/>
            <w:tcBorders>
              <w:top w:val="nil"/>
              <w:left w:val="single" w:sz="8" w:space="0" w:color="448A99"/>
              <w:bottom w:val="single" w:sz="8" w:space="0" w:color="448A99"/>
              <w:right w:val="single" w:sz="8" w:space="0" w:color="448A99"/>
            </w:tcBorders>
            <w:shd w:val="clear" w:color="auto" w:fill="auto"/>
            <w:vAlign w:val="center"/>
            <w:hideMark/>
          </w:tcPr>
          <w:p w:rsidR="00BD593F" w:rsidRPr="00BD593F" w:rsidRDefault="00BD593F" w:rsidP="00BD593F">
            <w:pPr>
              <w:rPr>
                <w:color w:val="000000"/>
                <w:sz w:val="20"/>
                <w:szCs w:val="20"/>
              </w:rPr>
            </w:pPr>
            <w:r w:rsidRPr="00BD593F">
              <w:rPr>
                <w:color w:val="000000"/>
                <w:sz w:val="20"/>
                <w:szCs w:val="20"/>
              </w:rPr>
              <w:t>Gov./Institutional</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BD593F">
            <w:pPr>
              <w:jc w:val="center"/>
              <w:rPr>
                <w:color w:val="000000"/>
                <w:sz w:val="20"/>
                <w:szCs w:val="20"/>
              </w:rPr>
            </w:pPr>
            <w:r w:rsidRPr="00BD593F">
              <w:rPr>
                <w:color w:val="000000"/>
                <w:sz w:val="20"/>
                <w:szCs w:val="20"/>
              </w:rPr>
              <w:t>974</w:t>
            </w:r>
          </w:p>
        </w:tc>
        <w:tc>
          <w:tcPr>
            <w:tcW w:w="1793" w:type="dxa"/>
            <w:tcBorders>
              <w:top w:val="nil"/>
              <w:left w:val="nil"/>
              <w:bottom w:val="single" w:sz="8" w:space="0" w:color="448A99"/>
              <w:right w:val="single" w:sz="8" w:space="0" w:color="448A99"/>
            </w:tcBorders>
            <w:shd w:val="clear" w:color="auto" w:fill="auto"/>
            <w:noWrap/>
            <w:vAlign w:val="center"/>
            <w:hideMark/>
          </w:tcPr>
          <w:p w:rsidR="00BD593F" w:rsidRPr="00BD593F" w:rsidRDefault="00BD593F" w:rsidP="00BD593F">
            <w:pPr>
              <w:jc w:val="center"/>
              <w:rPr>
                <w:color w:val="000000"/>
                <w:sz w:val="20"/>
                <w:szCs w:val="20"/>
              </w:rPr>
            </w:pPr>
            <w:r w:rsidRPr="00BD593F">
              <w:rPr>
                <w:color w:val="000000"/>
                <w:sz w:val="20"/>
                <w:szCs w:val="20"/>
              </w:rPr>
              <w:t>0%</w:t>
            </w:r>
          </w:p>
        </w:tc>
        <w:tc>
          <w:tcPr>
            <w:tcW w:w="1792"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BD593F">
            <w:pPr>
              <w:jc w:val="center"/>
              <w:rPr>
                <w:color w:val="000000"/>
                <w:sz w:val="20"/>
                <w:szCs w:val="20"/>
              </w:rPr>
            </w:pPr>
            <w:r w:rsidRPr="00BD593F">
              <w:rPr>
                <w:color w:val="000000"/>
                <w:sz w:val="20"/>
                <w:szCs w:val="20"/>
              </w:rPr>
              <w:t>0.17</w:t>
            </w:r>
          </w:p>
        </w:tc>
        <w:tc>
          <w:tcPr>
            <w:tcW w:w="1793" w:type="dxa"/>
            <w:tcBorders>
              <w:top w:val="nil"/>
              <w:left w:val="nil"/>
              <w:bottom w:val="single" w:sz="8" w:space="0" w:color="448A99"/>
              <w:right w:val="single" w:sz="8" w:space="0" w:color="448A99"/>
            </w:tcBorders>
            <w:shd w:val="clear" w:color="auto" w:fill="auto"/>
            <w:vAlign w:val="center"/>
            <w:hideMark/>
          </w:tcPr>
          <w:p w:rsidR="00BD593F" w:rsidRPr="00BD593F" w:rsidRDefault="00BD593F" w:rsidP="00BD593F">
            <w:pPr>
              <w:jc w:val="center"/>
              <w:rPr>
                <w:color w:val="000000"/>
                <w:sz w:val="20"/>
                <w:szCs w:val="20"/>
              </w:rPr>
            </w:pPr>
            <w:r w:rsidRPr="00BD593F">
              <w:rPr>
                <w:color w:val="000000"/>
                <w:sz w:val="20"/>
                <w:szCs w:val="20"/>
              </w:rPr>
              <w:t>0%</w:t>
            </w:r>
          </w:p>
        </w:tc>
      </w:tr>
      <w:tr w:rsidR="00A874AC" w:rsidRPr="00BD593F" w:rsidTr="006843B2">
        <w:trPr>
          <w:trHeight w:val="315"/>
        </w:trPr>
        <w:tc>
          <w:tcPr>
            <w:tcW w:w="2180" w:type="dxa"/>
            <w:tcBorders>
              <w:top w:val="nil"/>
              <w:left w:val="single" w:sz="8" w:space="0" w:color="448A99"/>
              <w:bottom w:val="single" w:sz="8" w:space="0" w:color="448A99"/>
              <w:right w:val="single" w:sz="8" w:space="0" w:color="448A99"/>
            </w:tcBorders>
            <w:shd w:val="clear" w:color="000000" w:fill="D2EAF1"/>
            <w:noWrap/>
            <w:vAlign w:val="center"/>
            <w:hideMark/>
          </w:tcPr>
          <w:p w:rsidR="00BD593F" w:rsidRPr="00BD593F" w:rsidRDefault="00BD593F" w:rsidP="00BD593F">
            <w:pPr>
              <w:jc w:val="left"/>
              <w:rPr>
                <w:b/>
                <w:bCs/>
                <w:i/>
                <w:iCs/>
                <w:color w:val="000000"/>
                <w:sz w:val="20"/>
                <w:szCs w:val="20"/>
              </w:rPr>
            </w:pPr>
            <w:r w:rsidRPr="00BD593F">
              <w:rPr>
                <w:b/>
                <w:bCs/>
                <w:i/>
                <w:iCs/>
                <w:color w:val="000000"/>
                <w:sz w:val="20"/>
                <w:szCs w:val="20"/>
              </w:rPr>
              <w:t>Total Portfolio</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b/>
                <w:bCs/>
                <w:i/>
                <w:iCs/>
                <w:color w:val="000000"/>
                <w:sz w:val="20"/>
                <w:szCs w:val="20"/>
              </w:rPr>
            </w:pPr>
            <w:r w:rsidRPr="00BD593F">
              <w:rPr>
                <w:b/>
                <w:bCs/>
                <w:i/>
                <w:iCs/>
                <w:color w:val="000000"/>
                <w:sz w:val="20"/>
                <w:szCs w:val="20"/>
              </w:rPr>
              <w:t>368,508</w:t>
            </w:r>
          </w:p>
        </w:tc>
        <w:tc>
          <w:tcPr>
            <w:tcW w:w="1793" w:type="dxa"/>
            <w:tcBorders>
              <w:top w:val="nil"/>
              <w:left w:val="nil"/>
              <w:bottom w:val="single" w:sz="8" w:space="0" w:color="448A99"/>
              <w:right w:val="single" w:sz="8" w:space="0" w:color="448A99"/>
            </w:tcBorders>
            <w:shd w:val="clear" w:color="000000" w:fill="D2EAF1"/>
            <w:noWrap/>
            <w:vAlign w:val="center"/>
            <w:hideMark/>
          </w:tcPr>
          <w:p w:rsidR="00BD593F" w:rsidRPr="00BD593F" w:rsidRDefault="00BD593F" w:rsidP="00BD593F">
            <w:pPr>
              <w:jc w:val="center"/>
              <w:rPr>
                <w:b/>
                <w:bCs/>
                <w:i/>
                <w:iCs/>
                <w:color w:val="000000"/>
                <w:sz w:val="20"/>
                <w:szCs w:val="20"/>
              </w:rPr>
            </w:pPr>
            <w:r w:rsidRPr="00BD593F">
              <w:rPr>
                <w:b/>
                <w:bCs/>
                <w:i/>
                <w:iCs/>
                <w:color w:val="000000"/>
                <w:sz w:val="20"/>
                <w:szCs w:val="20"/>
              </w:rPr>
              <w:t>100%</w:t>
            </w:r>
          </w:p>
        </w:tc>
        <w:tc>
          <w:tcPr>
            <w:tcW w:w="1792"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b/>
                <w:bCs/>
                <w:i/>
                <w:iCs/>
                <w:color w:val="000000"/>
                <w:sz w:val="20"/>
                <w:szCs w:val="20"/>
              </w:rPr>
            </w:pPr>
            <w:r w:rsidRPr="00BD593F">
              <w:rPr>
                <w:b/>
                <w:bCs/>
                <w:i/>
                <w:iCs/>
                <w:color w:val="000000"/>
                <w:sz w:val="20"/>
                <w:szCs w:val="20"/>
              </w:rPr>
              <w:t>44.31</w:t>
            </w:r>
          </w:p>
        </w:tc>
        <w:tc>
          <w:tcPr>
            <w:tcW w:w="1793" w:type="dxa"/>
            <w:tcBorders>
              <w:top w:val="nil"/>
              <w:left w:val="nil"/>
              <w:bottom w:val="single" w:sz="8" w:space="0" w:color="448A99"/>
              <w:right w:val="single" w:sz="8" w:space="0" w:color="448A99"/>
            </w:tcBorders>
            <w:shd w:val="clear" w:color="000000" w:fill="D2EAF1"/>
            <w:vAlign w:val="center"/>
            <w:hideMark/>
          </w:tcPr>
          <w:p w:rsidR="00BD593F" w:rsidRPr="00BD593F" w:rsidRDefault="00BD593F" w:rsidP="00BD593F">
            <w:pPr>
              <w:jc w:val="center"/>
              <w:rPr>
                <w:b/>
                <w:bCs/>
                <w:i/>
                <w:iCs/>
                <w:color w:val="000000"/>
                <w:sz w:val="20"/>
                <w:szCs w:val="20"/>
              </w:rPr>
            </w:pPr>
            <w:r w:rsidRPr="00BD593F">
              <w:rPr>
                <w:b/>
                <w:bCs/>
                <w:i/>
                <w:iCs/>
                <w:color w:val="000000"/>
                <w:sz w:val="20"/>
                <w:szCs w:val="20"/>
              </w:rPr>
              <w:t>100%</w:t>
            </w:r>
          </w:p>
        </w:tc>
      </w:tr>
    </w:tbl>
    <w:p w:rsidR="006F7DE9" w:rsidRDefault="006F7DE9" w:rsidP="006F7DE9"/>
    <w:p w:rsidR="00BD593F" w:rsidRDefault="00BD593F" w:rsidP="006F7DE9"/>
    <w:p w:rsidR="00735BA9" w:rsidRDefault="00735BA9" w:rsidP="00D34B3E">
      <w:pPr>
        <w:pStyle w:val="AppendixAHeading3"/>
      </w:pPr>
      <w:r>
        <w:t>PY7 Gross and Net Savings by Sector</w:t>
      </w:r>
    </w:p>
    <w:p w:rsidR="00710D47" w:rsidRDefault="00710D47" w:rsidP="00710D47">
      <w:r w:rsidRPr="00C23348">
        <w:lastRenderedPageBreak/>
        <w:t>The sector-level verified gross and net energy savings achieved in PY7 are provided</w:t>
      </w:r>
      <w:r>
        <w:t xml:space="preserve"> in </w:t>
      </w:r>
      <w:r>
        <w:fldChar w:fldCharType="begin"/>
      </w:r>
      <w:r>
        <w:instrText xml:space="preserve"> REF _Ref472360189 \h </w:instrText>
      </w:r>
      <w:r>
        <w:fldChar w:fldCharType="separate"/>
      </w:r>
      <w:r w:rsidR="00A874AC" w:rsidRPr="00E41D9C">
        <w:t>Table A-</w:t>
      </w:r>
      <w:r w:rsidR="00A874AC">
        <w:rPr>
          <w:noProof/>
        </w:rPr>
        <w:t>53</w:t>
      </w:r>
      <w:r>
        <w:fldChar w:fldCharType="end"/>
      </w:r>
      <w:r>
        <w:t xml:space="preserve">. In PY7, the net energy savings were </w:t>
      </w:r>
      <w:r w:rsidRPr="00B73953">
        <w:t>approximately 75% of the</w:t>
      </w:r>
      <w:r>
        <w:t xml:space="preserve"> gross energy savings.</w:t>
      </w:r>
    </w:p>
    <w:p w:rsidR="00710D47" w:rsidRPr="00C23348" w:rsidRDefault="00710D47" w:rsidP="00710D47"/>
    <w:p w:rsidR="00710D47" w:rsidRDefault="00710D47" w:rsidP="00710D47">
      <w:pPr>
        <w:pStyle w:val="Caption"/>
      </w:pPr>
      <w:bookmarkStart w:id="801" w:name="_Ref472360189"/>
      <w:bookmarkStart w:id="802" w:name="_Toc472472462"/>
      <w:bookmarkStart w:id="803" w:name="_Toc476842168"/>
      <w:r w:rsidRPr="00E41D9C">
        <w:t>Table A-</w:t>
      </w:r>
      <w:fldSimple w:instr=" SEQ Table_A- \* ARABIC ">
        <w:r w:rsidR="00C301D0">
          <w:rPr>
            <w:noProof/>
          </w:rPr>
          <w:t>53</w:t>
        </w:r>
      </w:fldSimple>
      <w:bookmarkEnd w:id="801"/>
      <w:r w:rsidRPr="00E41D9C">
        <w:t xml:space="preserve">: </w:t>
      </w:r>
      <w:r w:rsidRPr="008B45A8">
        <w:t xml:space="preserve">Summary of </w:t>
      </w:r>
      <w:r>
        <w:t>Penelec</w:t>
      </w:r>
      <w:r w:rsidRPr="008B45A8">
        <w:t xml:space="preserve"> EE&amp;C Verified Net Savings – by Sector</w:t>
      </w:r>
      <w:bookmarkEnd w:id="802"/>
      <w:bookmarkEnd w:id="803"/>
    </w:p>
    <w:tbl>
      <w:tblPr>
        <w:tblW w:w="9350" w:type="dxa"/>
        <w:tblLook w:val="04A0" w:firstRow="1" w:lastRow="0" w:firstColumn="1" w:lastColumn="0" w:noHBand="0" w:noVBand="1"/>
      </w:tblPr>
      <w:tblGrid>
        <w:gridCol w:w="1870"/>
        <w:gridCol w:w="1870"/>
        <w:gridCol w:w="1870"/>
        <w:gridCol w:w="1870"/>
        <w:gridCol w:w="1870"/>
      </w:tblGrid>
      <w:tr w:rsidR="00A874AC" w:rsidRPr="00C23348" w:rsidTr="006843B2">
        <w:trPr>
          <w:trHeight w:val="430"/>
        </w:trPr>
        <w:tc>
          <w:tcPr>
            <w:tcW w:w="187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710D47" w:rsidRPr="00C23348" w:rsidRDefault="00710D47" w:rsidP="006843B2">
            <w:pPr>
              <w:rPr>
                <w:b/>
                <w:bCs/>
                <w:color w:val="FFFFFF"/>
                <w:sz w:val="20"/>
                <w:szCs w:val="20"/>
              </w:rPr>
            </w:pPr>
            <w:r w:rsidRPr="00C23348">
              <w:rPr>
                <w:b/>
                <w:bCs/>
                <w:color w:val="FFFFFF"/>
                <w:sz w:val="20"/>
                <w:szCs w:val="20"/>
              </w:rPr>
              <w:t>Sector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6843B2">
            <w:pPr>
              <w:jc w:val="center"/>
              <w:rPr>
                <w:b/>
                <w:bCs/>
                <w:color w:val="FFFFFF"/>
                <w:sz w:val="20"/>
                <w:szCs w:val="20"/>
              </w:rPr>
            </w:pPr>
            <w:r w:rsidRPr="00C23348">
              <w:rPr>
                <w:b/>
                <w:bCs/>
                <w:color w:val="FFFFFF"/>
                <w:sz w:val="20"/>
                <w:szCs w:val="20"/>
              </w:rPr>
              <w:t>PY7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6843B2">
            <w:pPr>
              <w:jc w:val="center"/>
              <w:rPr>
                <w:b/>
                <w:bCs/>
                <w:color w:val="FFFFFF"/>
                <w:sz w:val="20"/>
                <w:szCs w:val="20"/>
              </w:rPr>
            </w:pPr>
            <w:r w:rsidRPr="00C23348">
              <w:rPr>
                <w:b/>
                <w:bCs/>
                <w:color w:val="FFFFFF"/>
                <w:sz w:val="20"/>
                <w:szCs w:val="20"/>
              </w:rPr>
              <w:t>PY7 Verified Net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6843B2">
            <w:pPr>
              <w:jc w:val="center"/>
              <w:rPr>
                <w:b/>
                <w:bCs/>
                <w:color w:val="FFFFFF"/>
                <w:sz w:val="20"/>
                <w:szCs w:val="20"/>
              </w:rPr>
            </w:pPr>
            <w:r w:rsidRPr="00C23348">
              <w:rPr>
                <w:b/>
                <w:bCs/>
                <w:color w:val="FFFFFF"/>
                <w:sz w:val="20"/>
                <w:szCs w:val="20"/>
              </w:rPr>
              <w:t>Phase II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6843B2">
            <w:pPr>
              <w:jc w:val="center"/>
              <w:rPr>
                <w:b/>
                <w:bCs/>
                <w:color w:val="FFFFFF"/>
                <w:sz w:val="20"/>
                <w:szCs w:val="20"/>
              </w:rPr>
            </w:pPr>
            <w:r w:rsidRPr="00C23348">
              <w:rPr>
                <w:b/>
                <w:bCs/>
                <w:color w:val="FFFFFF"/>
                <w:sz w:val="20"/>
                <w:szCs w:val="20"/>
              </w:rPr>
              <w:t>Phase II Verified Net Savings (MWh/yr)</w:t>
            </w:r>
          </w:p>
        </w:tc>
      </w:tr>
      <w:tr w:rsidR="00E7173E" w:rsidRPr="00C23348" w:rsidTr="0081757B">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B73953" w:rsidRPr="00C23348" w:rsidRDefault="00B73953" w:rsidP="00B73953">
            <w:pPr>
              <w:jc w:val="left"/>
              <w:rPr>
                <w:color w:val="000000"/>
                <w:sz w:val="20"/>
                <w:szCs w:val="20"/>
              </w:rPr>
            </w:pPr>
            <w:r>
              <w:rPr>
                <w:color w:val="000000"/>
                <w:sz w:val="20"/>
                <w:szCs w:val="20"/>
              </w:rPr>
              <w:t>Residential</w:t>
            </w:r>
          </w:p>
        </w:tc>
        <w:tc>
          <w:tcPr>
            <w:tcW w:w="1870" w:type="dxa"/>
            <w:tcBorders>
              <w:top w:val="nil"/>
              <w:left w:val="nil"/>
              <w:bottom w:val="single" w:sz="8" w:space="0" w:color="448A99"/>
              <w:right w:val="single" w:sz="8" w:space="0" w:color="448A99"/>
            </w:tcBorders>
            <w:shd w:val="clear" w:color="auto" w:fill="auto"/>
            <w:vAlign w:val="center"/>
          </w:tcPr>
          <w:p w:rsidR="00B73953" w:rsidRPr="00C23348" w:rsidRDefault="00B73953" w:rsidP="00B73953">
            <w:pPr>
              <w:jc w:val="center"/>
              <w:rPr>
                <w:color w:val="000000"/>
                <w:sz w:val="20"/>
                <w:szCs w:val="20"/>
              </w:rPr>
            </w:pPr>
            <w:r>
              <w:rPr>
                <w:color w:val="000000"/>
                <w:sz w:val="20"/>
                <w:szCs w:val="20"/>
              </w:rPr>
              <w:t>87,654</w:t>
            </w:r>
          </w:p>
        </w:tc>
        <w:tc>
          <w:tcPr>
            <w:tcW w:w="1870" w:type="dxa"/>
            <w:tcBorders>
              <w:top w:val="nil"/>
              <w:left w:val="nil"/>
              <w:bottom w:val="single" w:sz="8" w:space="0" w:color="448A99"/>
              <w:right w:val="single" w:sz="8" w:space="0" w:color="448A99"/>
            </w:tcBorders>
            <w:shd w:val="clear" w:color="auto" w:fill="auto"/>
            <w:vAlign w:val="center"/>
          </w:tcPr>
          <w:p w:rsidR="00B73953" w:rsidRPr="00C23348" w:rsidRDefault="00B73953" w:rsidP="00B73953">
            <w:pPr>
              <w:jc w:val="center"/>
              <w:rPr>
                <w:color w:val="000000"/>
                <w:sz w:val="20"/>
                <w:szCs w:val="20"/>
              </w:rPr>
            </w:pPr>
            <w:r>
              <w:rPr>
                <w:color w:val="000000"/>
                <w:sz w:val="20"/>
                <w:szCs w:val="20"/>
              </w:rPr>
              <w:t>67,978</w:t>
            </w:r>
          </w:p>
        </w:tc>
        <w:tc>
          <w:tcPr>
            <w:tcW w:w="1870" w:type="dxa"/>
            <w:tcBorders>
              <w:top w:val="nil"/>
              <w:left w:val="nil"/>
              <w:bottom w:val="single" w:sz="8" w:space="0" w:color="448A99"/>
              <w:right w:val="single" w:sz="8" w:space="0" w:color="448A99"/>
            </w:tcBorders>
            <w:shd w:val="clear" w:color="auto" w:fill="auto"/>
            <w:vAlign w:val="center"/>
          </w:tcPr>
          <w:p w:rsidR="00B73953" w:rsidRPr="00C23348" w:rsidRDefault="00B73953" w:rsidP="00B73953">
            <w:pPr>
              <w:jc w:val="center"/>
              <w:rPr>
                <w:color w:val="000000"/>
                <w:sz w:val="20"/>
                <w:szCs w:val="20"/>
              </w:rPr>
            </w:pPr>
            <w:r>
              <w:rPr>
                <w:color w:val="000000"/>
                <w:sz w:val="20"/>
                <w:szCs w:val="20"/>
              </w:rPr>
              <w:t>203,250</w:t>
            </w:r>
          </w:p>
        </w:tc>
        <w:tc>
          <w:tcPr>
            <w:tcW w:w="1870" w:type="dxa"/>
            <w:tcBorders>
              <w:top w:val="nil"/>
              <w:left w:val="nil"/>
              <w:bottom w:val="single" w:sz="8" w:space="0" w:color="448A99"/>
              <w:right w:val="single" w:sz="8" w:space="0" w:color="448A99"/>
            </w:tcBorders>
            <w:shd w:val="clear" w:color="auto" w:fill="auto"/>
            <w:vAlign w:val="center"/>
          </w:tcPr>
          <w:p w:rsidR="00B73953" w:rsidRPr="00C23348" w:rsidRDefault="00B73953" w:rsidP="00B73953">
            <w:pPr>
              <w:jc w:val="center"/>
              <w:rPr>
                <w:color w:val="000000"/>
                <w:sz w:val="20"/>
                <w:szCs w:val="20"/>
              </w:rPr>
            </w:pPr>
            <w:r>
              <w:rPr>
                <w:color w:val="000000"/>
                <w:sz w:val="20"/>
                <w:szCs w:val="20"/>
              </w:rPr>
              <w:t>141,295</w:t>
            </w:r>
          </w:p>
        </w:tc>
      </w:tr>
      <w:tr w:rsidR="00A874AC" w:rsidRPr="00C23348" w:rsidTr="006843B2">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B73953" w:rsidRPr="00C23348" w:rsidRDefault="00B73953" w:rsidP="0097650B">
            <w:pPr>
              <w:jc w:val="left"/>
              <w:rPr>
                <w:color w:val="000000"/>
                <w:sz w:val="20"/>
                <w:szCs w:val="20"/>
              </w:rPr>
            </w:pPr>
            <w:r>
              <w:rPr>
                <w:color w:val="000000"/>
                <w:sz w:val="20"/>
                <w:szCs w:val="20"/>
              </w:rPr>
              <w:t>C</w:t>
            </w:r>
            <w:r w:rsidR="0097650B">
              <w:rPr>
                <w:color w:val="000000"/>
                <w:sz w:val="20"/>
                <w:szCs w:val="20"/>
              </w:rPr>
              <w:t>/</w:t>
            </w:r>
            <w:r>
              <w:rPr>
                <w:color w:val="000000"/>
                <w:sz w:val="20"/>
                <w:szCs w:val="20"/>
              </w:rPr>
              <w:t>I</w:t>
            </w:r>
          </w:p>
        </w:tc>
        <w:tc>
          <w:tcPr>
            <w:tcW w:w="1870" w:type="dxa"/>
            <w:tcBorders>
              <w:top w:val="nil"/>
              <w:left w:val="nil"/>
              <w:bottom w:val="single" w:sz="8" w:space="0" w:color="448A99"/>
              <w:right w:val="single" w:sz="8" w:space="0" w:color="448A99"/>
            </w:tcBorders>
            <w:shd w:val="clear" w:color="000000" w:fill="D2EAF1"/>
            <w:vAlign w:val="center"/>
          </w:tcPr>
          <w:p w:rsidR="00B73953" w:rsidRPr="00C23348" w:rsidRDefault="00B73953" w:rsidP="00B73953">
            <w:pPr>
              <w:jc w:val="center"/>
              <w:rPr>
                <w:color w:val="000000"/>
                <w:sz w:val="20"/>
                <w:szCs w:val="20"/>
              </w:rPr>
            </w:pPr>
            <w:r>
              <w:rPr>
                <w:color w:val="000000"/>
                <w:sz w:val="20"/>
                <w:szCs w:val="20"/>
              </w:rPr>
              <w:t>62,923</w:t>
            </w:r>
          </w:p>
        </w:tc>
        <w:tc>
          <w:tcPr>
            <w:tcW w:w="1870" w:type="dxa"/>
            <w:tcBorders>
              <w:top w:val="nil"/>
              <w:left w:val="nil"/>
              <w:bottom w:val="single" w:sz="8" w:space="0" w:color="448A99"/>
              <w:right w:val="single" w:sz="8" w:space="0" w:color="448A99"/>
            </w:tcBorders>
            <w:shd w:val="clear" w:color="000000" w:fill="D2EAF1"/>
            <w:vAlign w:val="center"/>
          </w:tcPr>
          <w:p w:rsidR="00B73953" w:rsidRPr="00C23348" w:rsidRDefault="00B73953" w:rsidP="00B73953">
            <w:pPr>
              <w:jc w:val="center"/>
              <w:rPr>
                <w:color w:val="000000"/>
                <w:sz w:val="20"/>
                <w:szCs w:val="20"/>
              </w:rPr>
            </w:pPr>
            <w:r>
              <w:rPr>
                <w:color w:val="000000"/>
                <w:sz w:val="20"/>
                <w:szCs w:val="20"/>
              </w:rPr>
              <w:t>48,030</w:t>
            </w:r>
          </w:p>
        </w:tc>
        <w:tc>
          <w:tcPr>
            <w:tcW w:w="1870" w:type="dxa"/>
            <w:tcBorders>
              <w:top w:val="nil"/>
              <w:left w:val="nil"/>
              <w:bottom w:val="single" w:sz="8" w:space="0" w:color="448A99"/>
              <w:right w:val="single" w:sz="8" w:space="0" w:color="448A99"/>
            </w:tcBorders>
            <w:shd w:val="clear" w:color="000000" w:fill="D2EAF1"/>
            <w:vAlign w:val="center"/>
          </w:tcPr>
          <w:p w:rsidR="00B73953" w:rsidRPr="00C23348" w:rsidRDefault="00B73953" w:rsidP="00B73953">
            <w:pPr>
              <w:jc w:val="center"/>
              <w:rPr>
                <w:color w:val="000000"/>
                <w:sz w:val="20"/>
                <w:szCs w:val="20"/>
              </w:rPr>
            </w:pPr>
            <w:r>
              <w:rPr>
                <w:color w:val="000000"/>
                <w:sz w:val="20"/>
                <w:szCs w:val="20"/>
              </w:rPr>
              <w:t>133,294</w:t>
            </w:r>
          </w:p>
        </w:tc>
        <w:tc>
          <w:tcPr>
            <w:tcW w:w="1870" w:type="dxa"/>
            <w:tcBorders>
              <w:top w:val="nil"/>
              <w:left w:val="nil"/>
              <w:bottom w:val="single" w:sz="8" w:space="0" w:color="448A99"/>
              <w:right w:val="single" w:sz="8" w:space="0" w:color="448A99"/>
            </w:tcBorders>
            <w:shd w:val="clear" w:color="000000" w:fill="D2EAF1"/>
            <w:vAlign w:val="center"/>
          </w:tcPr>
          <w:p w:rsidR="00B73953" w:rsidRPr="00C23348" w:rsidRDefault="00B73953" w:rsidP="00B73953">
            <w:pPr>
              <w:jc w:val="center"/>
              <w:rPr>
                <w:color w:val="000000"/>
                <w:sz w:val="20"/>
                <w:szCs w:val="20"/>
              </w:rPr>
            </w:pPr>
            <w:r>
              <w:rPr>
                <w:color w:val="000000"/>
                <w:sz w:val="20"/>
                <w:szCs w:val="20"/>
              </w:rPr>
              <w:t>101,814</w:t>
            </w:r>
          </w:p>
        </w:tc>
      </w:tr>
      <w:tr w:rsidR="00E7173E" w:rsidRPr="00C23348" w:rsidTr="0081757B">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B73953" w:rsidRPr="00C23348" w:rsidRDefault="00B73953" w:rsidP="00B73953">
            <w:pPr>
              <w:jc w:val="left"/>
              <w:rPr>
                <w:color w:val="000000"/>
                <w:sz w:val="20"/>
                <w:szCs w:val="20"/>
              </w:rPr>
            </w:pPr>
            <w:r>
              <w:rPr>
                <w:color w:val="000000"/>
                <w:sz w:val="20"/>
                <w:szCs w:val="20"/>
              </w:rPr>
              <w:t>GNI</w:t>
            </w:r>
          </w:p>
        </w:tc>
        <w:tc>
          <w:tcPr>
            <w:tcW w:w="1870" w:type="dxa"/>
            <w:tcBorders>
              <w:top w:val="nil"/>
              <w:left w:val="nil"/>
              <w:bottom w:val="single" w:sz="8" w:space="0" w:color="448A99"/>
              <w:right w:val="single" w:sz="8" w:space="0" w:color="448A99"/>
            </w:tcBorders>
            <w:shd w:val="clear" w:color="auto" w:fill="auto"/>
            <w:vAlign w:val="center"/>
          </w:tcPr>
          <w:p w:rsidR="00B73953" w:rsidRPr="00C23348" w:rsidRDefault="00B73953" w:rsidP="00B73953">
            <w:pPr>
              <w:jc w:val="center"/>
              <w:rPr>
                <w:color w:val="000000"/>
                <w:sz w:val="20"/>
                <w:szCs w:val="20"/>
              </w:rPr>
            </w:pPr>
            <w:r>
              <w:rPr>
                <w:color w:val="000000"/>
                <w:sz w:val="20"/>
                <w:szCs w:val="20"/>
              </w:rPr>
              <w:t>13,821</w:t>
            </w:r>
          </w:p>
        </w:tc>
        <w:tc>
          <w:tcPr>
            <w:tcW w:w="1870" w:type="dxa"/>
            <w:tcBorders>
              <w:top w:val="nil"/>
              <w:left w:val="nil"/>
              <w:bottom w:val="single" w:sz="8" w:space="0" w:color="448A99"/>
              <w:right w:val="single" w:sz="8" w:space="0" w:color="448A99"/>
            </w:tcBorders>
            <w:shd w:val="clear" w:color="auto" w:fill="auto"/>
            <w:vAlign w:val="center"/>
          </w:tcPr>
          <w:p w:rsidR="00B73953" w:rsidRPr="00C23348" w:rsidRDefault="00B73953" w:rsidP="00B73953">
            <w:pPr>
              <w:jc w:val="center"/>
              <w:rPr>
                <w:color w:val="000000"/>
                <w:sz w:val="20"/>
                <w:szCs w:val="20"/>
              </w:rPr>
            </w:pPr>
            <w:r>
              <w:rPr>
                <w:color w:val="000000"/>
                <w:sz w:val="20"/>
                <w:szCs w:val="20"/>
              </w:rPr>
              <w:t>10,674</w:t>
            </w:r>
          </w:p>
        </w:tc>
        <w:tc>
          <w:tcPr>
            <w:tcW w:w="1870" w:type="dxa"/>
            <w:tcBorders>
              <w:top w:val="nil"/>
              <w:left w:val="nil"/>
              <w:bottom w:val="single" w:sz="8" w:space="0" w:color="448A99"/>
              <w:right w:val="single" w:sz="8" w:space="0" w:color="448A99"/>
            </w:tcBorders>
            <w:shd w:val="clear" w:color="auto" w:fill="auto"/>
            <w:vAlign w:val="center"/>
          </w:tcPr>
          <w:p w:rsidR="00B73953" w:rsidRPr="00C23348" w:rsidRDefault="00B73953" w:rsidP="00B73953">
            <w:pPr>
              <w:jc w:val="center"/>
              <w:rPr>
                <w:color w:val="000000"/>
                <w:sz w:val="20"/>
                <w:szCs w:val="20"/>
              </w:rPr>
            </w:pPr>
            <w:r>
              <w:rPr>
                <w:color w:val="000000"/>
                <w:sz w:val="20"/>
                <w:szCs w:val="20"/>
              </w:rPr>
              <w:t>31,964</w:t>
            </w:r>
          </w:p>
        </w:tc>
        <w:tc>
          <w:tcPr>
            <w:tcW w:w="1870" w:type="dxa"/>
            <w:tcBorders>
              <w:top w:val="nil"/>
              <w:left w:val="nil"/>
              <w:bottom w:val="single" w:sz="8" w:space="0" w:color="448A99"/>
              <w:right w:val="single" w:sz="8" w:space="0" w:color="448A99"/>
            </w:tcBorders>
            <w:shd w:val="clear" w:color="auto" w:fill="auto"/>
            <w:vAlign w:val="center"/>
          </w:tcPr>
          <w:p w:rsidR="00B73953" w:rsidRPr="00C23348" w:rsidRDefault="00B73953" w:rsidP="00B73953">
            <w:pPr>
              <w:jc w:val="center"/>
              <w:rPr>
                <w:color w:val="000000"/>
                <w:sz w:val="20"/>
                <w:szCs w:val="20"/>
              </w:rPr>
            </w:pPr>
            <w:r>
              <w:rPr>
                <w:color w:val="000000"/>
                <w:sz w:val="20"/>
                <w:szCs w:val="20"/>
              </w:rPr>
              <w:t>22,760</w:t>
            </w:r>
          </w:p>
        </w:tc>
      </w:tr>
      <w:tr w:rsidR="00A874AC" w:rsidRPr="00C23348" w:rsidTr="006843B2">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B73953" w:rsidRPr="00C23348" w:rsidRDefault="00B73953" w:rsidP="00B73953">
            <w:pPr>
              <w:jc w:val="left"/>
              <w:rPr>
                <w:b/>
                <w:bCs/>
                <w:i/>
                <w:iCs/>
                <w:color w:val="000000"/>
                <w:sz w:val="20"/>
                <w:szCs w:val="20"/>
              </w:rPr>
            </w:pPr>
            <w:r>
              <w:rPr>
                <w:b/>
                <w:bCs/>
                <w:i/>
                <w:iCs/>
                <w:color w:val="000000"/>
                <w:sz w:val="20"/>
                <w:szCs w:val="20"/>
              </w:rPr>
              <w:t>Total Portfolio</w:t>
            </w:r>
          </w:p>
        </w:tc>
        <w:tc>
          <w:tcPr>
            <w:tcW w:w="1870" w:type="dxa"/>
            <w:tcBorders>
              <w:top w:val="nil"/>
              <w:left w:val="nil"/>
              <w:bottom w:val="single" w:sz="8" w:space="0" w:color="448A99"/>
              <w:right w:val="single" w:sz="8" w:space="0" w:color="448A99"/>
            </w:tcBorders>
            <w:shd w:val="clear" w:color="000000" w:fill="D2EAF1"/>
            <w:vAlign w:val="center"/>
          </w:tcPr>
          <w:p w:rsidR="00B73953" w:rsidRPr="00C23348" w:rsidRDefault="00B73953" w:rsidP="00B73953">
            <w:pPr>
              <w:jc w:val="center"/>
              <w:rPr>
                <w:b/>
                <w:bCs/>
                <w:i/>
                <w:iCs/>
                <w:color w:val="000000"/>
                <w:sz w:val="20"/>
                <w:szCs w:val="20"/>
              </w:rPr>
            </w:pPr>
            <w:r>
              <w:rPr>
                <w:b/>
                <w:bCs/>
                <w:i/>
                <w:iCs/>
                <w:color w:val="000000"/>
                <w:sz w:val="20"/>
                <w:szCs w:val="20"/>
              </w:rPr>
              <w:t>164,398</w:t>
            </w:r>
          </w:p>
        </w:tc>
        <w:tc>
          <w:tcPr>
            <w:tcW w:w="1870" w:type="dxa"/>
            <w:tcBorders>
              <w:top w:val="nil"/>
              <w:left w:val="nil"/>
              <w:bottom w:val="single" w:sz="8" w:space="0" w:color="448A99"/>
              <w:right w:val="single" w:sz="8" w:space="0" w:color="448A99"/>
            </w:tcBorders>
            <w:shd w:val="clear" w:color="000000" w:fill="D2EAF1"/>
            <w:vAlign w:val="center"/>
          </w:tcPr>
          <w:p w:rsidR="00B73953" w:rsidRPr="00C23348" w:rsidRDefault="00B73953" w:rsidP="00B73953">
            <w:pPr>
              <w:jc w:val="center"/>
              <w:rPr>
                <w:b/>
                <w:bCs/>
                <w:i/>
                <w:iCs/>
                <w:color w:val="000000"/>
                <w:sz w:val="20"/>
                <w:szCs w:val="20"/>
              </w:rPr>
            </w:pPr>
            <w:r>
              <w:rPr>
                <w:b/>
                <w:bCs/>
                <w:i/>
                <w:iCs/>
                <w:color w:val="000000"/>
                <w:sz w:val="20"/>
                <w:szCs w:val="20"/>
              </w:rPr>
              <w:t>126,682</w:t>
            </w:r>
          </w:p>
        </w:tc>
        <w:tc>
          <w:tcPr>
            <w:tcW w:w="1870" w:type="dxa"/>
            <w:tcBorders>
              <w:top w:val="nil"/>
              <w:left w:val="nil"/>
              <w:bottom w:val="single" w:sz="8" w:space="0" w:color="448A99"/>
              <w:right w:val="single" w:sz="8" w:space="0" w:color="448A99"/>
            </w:tcBorders>
            <w:shd w:val="clear" w:color="000000" w:fill="D2EAF1"/>
            <w:vAlign w:val="center"/>
          </w:tcPr>
          <w:p w:rsidR="00B73953" w:rsidRPr="00C23348" w:rsidRDefault="00B73953" w:rsidP="00B73953">
            <w:pPr>
              <w:jc w:val="center"/>
              <w:rPr>
                <w:b/>
                <w:bCs/>
                <w:i/>
                <w:iCs/>
                <w:color w:val="000000"/>
                <w:sz w:val="20"/>
                <w:szCs w:val="20"/>
              </w:rPr>
            </w:pPr>
            <w:r>
              <w:rPr>
                <w:b/>
                <w:bCs/>
                <w:i/>
                <w:iCs/>
                <w:color w:val="000000"/>
                <w:sz w:val="20"/>
                <w:szCs w:val="20"/>
              </w:rPr>
              <w:t>368,508</w:t>
            </w:r>
          </w:p>
        </w:tc>
        <w:tc>
          <w:tcPr>
            <w:tcW w:w="1870" w:type="dxa"/>
            <w:tcBorders>
              <w:top w:val="nil"/>
              <w:left w:val="nil"/>
              <w:bottom w:val="single" w:sz="8" w:space="0" w:color="448A99"/>
              <w:right w:val="single" w:sz="8" w:space="0" w:color="448A99"/>
            </w:tcBorders>
            <w:shd w:val="clear" w:color="000000" w:fill="D2EAF1"/>
            <w:vAlign w:val="center"/>
          </w:tcPr>
          <w:p w:rsidR="00B73953" w:rsidRPr="00C23348" w:rsidRDefault="00B73953" w:rsidP="00B73953">
            <w:pPr>
              <w:jc w:val="center"/>
              <w:rPr>
                <w:b/>
                <w:bCs/>
                <w:i/>
                <w:iCs/>
                <w:color w:val="000000"/>
                <w:sz w:val="20"/>
                <w:szCs w:val="20"/>
              </w:rPr>
            </w:pPr>
            <w:r>
              <w:rPr>
                <w:b/>
                <w:bCs/>
                <w:i/>
                <w:iCs/>
                <w:color w:val="000000"/>
                <w:sz w:val="20"/>
                <w:szCs w:val="20"/>
              </w:rPr>
              <w:t>265,869</w:t>
            </w:r>
          </w:p>
        </w:tc>
      </w:tr>
    </w:tbl>
    <w:p w:rsidR="00710D47" w:rsidRPr="006843B2" w:rsidRDefault="00710D47" w:rsidP="006843B2"/>
    <w:p w:rsidR="00950837" w:rsidRDefault="00950837" w:rsidP="0043541C">
      <w:pPr>
        <w:pStyle w:val="AppendixAHeading2"/>
      </w:pPr>
      <w:r>
        <w:t>Total Resource Cost Test</w:t>
      </w:r>
    </w:p>
    <w:p w:rsidR="00B85567" w:rsidRDefault="00B85567" w:rsidP="00B85567">
      <w:r>
        <w:fldChar w:fldCharType="begin"/>
      </w:r>
      <w:r>
        <w:instrText xml:space="preserve"> REF _Ref472444921 \h </w:instrText>
      </w:r>
      <w:r>
        <w:fldChar w:fldCharType="separate"/>
      </w:r>
      <w:r w:rsidR="00C301D0">
        <w:t>Table A-</w:t>
      </w:r>
      <w:r w:rsidR="00C301D0">
        <w:rPr>
          <w:noProof/>
        </w:rPr>
        <w:t>54</w:t>
      </w:r>
      <w:r>
        <w:fldChar w:fldCharType="end"/>
      </w:r>
      <w:r>
        <w:t xml:space="preserve"> </w:t>
      </w:r>
      <w:r w:rsidRPr="00B85567">
        <w:t xml:space="preserve">presents TRC NPV benefits, TRC NPV costs, present value of net benefits, and </w:t>
      </w:r>
      <w:r w:rsidR="002902CC">
        <w:t xml:space="preserve">the </w:t>
      </w:r>
      <w:r w:rsidRPr="00B85567">
        <w:t>TRC ratio for Penelec’s PY7 individual programs and total portfolio. The SWE found no initial inconsistencies between the TRC model outputs and the TRC results shown in the PY7 annual report.</w:t>
      </w:r>
    </w:p>
    <w:p w:rsidR="00B85567" w:rsidRPr="00B85567" w:rsidRDefault="00B85567" w:rsidP="00B85567"/>
    <w:p w:rsidR="00B85567" w:rsidRDefault="00B85567" w:rsidP="00B85567">
      <w:pPr>
        <w:pStyle w:val="Caption"/>
      </w:pPr>
      <w:bookmarkStart w:id="804" w:name="_Ref472444921"/>
      <w:bookmarkStart w:id="805" w:name="_Toc472472463"/>
      <w:bookmarkStart w:id="806" w:name="_Toc476842169"/>
      <w:r>
        <w:t>Table A-</w:t>
      </w:r>
      <w:fldSimple w:instr=" SEQ Table_A- \* ARABIC ">
        <w:r w:rsidR="00C301D0">
          <w:rPr>
            <w:noProof/>
          </w:rPr>
          <w:t>54</w:t>
        </w:r>
      </w:fldSimple>
      <w:bookmarkEnd w:id="804"/>
      <w:r>
        <w:t xml:space="preserve">: </w:t>
      </w:r>
      <w:r w:rsidRPr="00B85567">
        <w:t>Summary of Penelec’s PY7 TRC Factors and Results</w:t>
      </w:r>
      <w:bookmarkEnd w:id="805"/>
      <w:bookmarkEnd w:id="806"/>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532"/>
        <w:gridCol w:w="1457"/>
        <w:gridCol w:w="1457"/>
        <w:gridCol w:w="1654"/>
        <w:gridCol w:w="1255"/>
      </w:tblGrid>
      <w:tr w:rsidR="00A874AC" w:rsidRPr="00B85567" w:rsidTr="00AC4F57">
        <w:trPr>
          <w:trHeight w:val="782"/>
        </w:trPr>
        <w:tc>
          <w:tcPr>
            <w:tcW w:w="3532" w:type="dxa"/>
            <w:shd w:val="clear" w:color="000000" w:fill="448A99"/>
            <w:noWrap/>
            <w:vAlign w:val="bottom"/>
            <w:hideMark/>
          </w:tcPr>
          <w:p w:rsidR="00B85567" w:rsidRPr="00B85567" w:rsidRDefault="00B85567" w:rsidP="00B85567">
            <w:pPr>
              <w:jc w:val="left"/>
              <w:rPr>
                <w:b/>
                <w:bCs/>
                <w:color w:val="FFFFFF"/>
                <w:sz w:val="20"/>
                <w:szCs w:val="20"/>
              </w:rPr>
            </w:pPr>
            <w:r w:rsidRPr="00B85567">
              <w:rPr>
                <w:b/>
                <w:bCs/>
                <w:color w:val="FFFFFF"/>
                <w:sz w:val="20"/>
                <w:szCs w:val="20"/>
              </w:rPr>
              <w:t>Program</w:t>
            </w:r>
          </w:p>
        </w:tc>
        <w:tc>
          <w:tcPr>
            <w:tcW w:w="1457" w:type="dxa"/>
            <w:shd w:val="clear" w:color="000000" w:fill="448A99"/>
            <w:vAlign w:val="bottom"/>
            <w:hideMark/>
          </w:tcPr>
          <w:p w:rsidR="00B85567" w:rsidRPr="00B85567" w:rsidRDefault="00B85567" w:rsidP="00B85567">
            <w:pPr>
              <w:jc w:val="center"/>
              <w:rPr>
                <w:b/>
                <w:bCs/>
                <w:color w:val="FFFFFF"/>
                <w:sz w:val="20"/>
                <w:szCs w:val="20"/>
              </w:rPr>
            </w:pPr>
            <w:r w:rsidRPr="00B85567">
              <w:rPr>
                <w:b/>
                <w:bCs/>
                <w:color w:val="FFFFFF"/>
                <w:sz w:val="20"/>
                <w:szCs w:val="20"/>
              </w:rPr>
              <w:t>TRC NPV Benefits</w:t>
            </w:r>
          </w:p>
          <w:p w:rsidR="00B85567" w:rsidRPr="00B85567" w:rsidRDefault="00B85567" w:rsidP="00B85567">
            <w:pPr>
              <w:jc w:val="center"/>
              <w:rPr>
                <w:rFonts w:eastAsia="Calibri"/>
                <w:b/>
                <w:bCs/>
                <w:color w:val="FFFFFF"/>
                <w:sz w:val="20"/>
                <w:szCs w:val="20"/>
              </w:rPr>
            </w:pPr>
            <w:r w:rsidRPr="00B85567">
              <w:rPr>
                <w:b/>
                <w:bCs/>
                <w:color w:val="FFFFFF"/>
                <w:sz w:val="20"/>
                <w:szCs w:val="20"/>
              </w:rPr>
              <w:t>($)</w:t>
            </w:r>
          </w:p>
        </w:tc>
        <w:tc>
          <w:tcPr>
            <w:tcW w:w="1457" w:type="dxa"/>
            <w:shd w:val="clear" w:color="000000" w:fill="448A99"/>
            <w:vAlign w:val="bottom"/>
            <w:hideMark/>
          </w:tcPr>
          <w:p w:rsidR="00B85567" w:rsidRPr="00B85567" w:rsidRDefault="00B85567" w:rsidP="00B85567">
            <w:pPr>
              <w:jc w:val="center"/>
              <w:rPr>
                <w:rFonts w:eastAsia="Calibri"/>
                <w:b/>
                <w:bCs/>
                <w:color w:val="FFFFFF"/>
                <w:sz w:val="20"/>
                <w:szCs w:val="20"/>
              </w:rPr>
            </w:pPr>
            <w:r w:rsidRPr="00B85567">
              <w:rPr>
                <w:b/>
                <w:bCs/>
                <w:color w:val="FFFFFF"/>
                <w:sz w:val="20"/>
                <w:szCs w:val="20"/>
              </w:rPr>
              <w:t>TRC NPV Costs</w:t>
            </w:r>
          </w:p>
          <w:p w:rsidR="00B85567" w:rsidRPr="00B85567" w:rsidRDefault="00B85567" w:rsidP="00B85567">
            <w:pPr>
              <w:jc w:val="center"/>
              <w:rPr>
                <w:rFonts w:eastAsia="Calibri"/>
                <w:b/>
                <w:bCs/>
                <w:color w:val="FFFFFF"/>
                <w:sz w:val="20"/>
                <w:szCs w:val="20"/>
              </w:rPr>
            </w:pPr>
            <w:r w:rsidRPr="00B85567">
              <w:rPr>
                <w:b/>
                <w:bCs/>
                <w:color w:val="FFFFFF"/>
                <w:sz w:val="20"/>
                <w:szCs w:val="20"/>
              </w:rPr>
              <w:t>($)</w:t>
            </w:r>
          </w:p>
        </w:tc>
        <w:tc>
          <w:tcPr>
            <w:tcW w:w="1654" w:type="dxa"/>
            <w:shd w:val="clear" w:color="000000" w:fill="448A99"/>
            <w:vAlign w:val="bottom"/>
          </w:tcPr>
          <w:p w:rsidR="00B85567" w:rsidRPr="00B85567" w:rsidRDefault="00B85567" w:rsidP="00B85567">
            <w:pPr>
              <w:jc w:val="center"/>
              <w:rPr>
                <w:rFonts w:eastAsia="Calibri"/>
                <w:b/>
                <w:bCs/>
                <w:color w:val="FFFFFF"/>
                <w:sz w:val="20"/>
                <w:szCs w:val="20"/>
              </w:rPr>
            </w:pPr>
            <w:r w:rsidRPr="00B85567">
              <w:rPr>
                <w:b/>
                <w:bCs/>
                <w:color w:val="FFFFFF"/>
                <w:sz w:val="20"/>
                <w:szCs w:val="20"/>
              </w:rPr>
              <w:t>Present Value of Net Benefits</w:t>
            </w:r>
          </w:p>
          <w:p w:rsidR="00B85567" w:rsidRPr="00B85567" w:rsidRDefault="00B85567" w:rsidP="00B85567">
            <w:pPr>
              <w:jc w:val="center"/>
              <w:rPr>
                <w:rFonts w:eastAsia="Calibri"/>
                <w:b/>
                <w:bCs/>
                <w:color w:val="FFFFFF"/>
                <w:sz w:val="20"/>
                <w:szCs w:val="20"/>
              </w:rPr>
            </w:pPr>
            <w:r w:rsidRPr="00B85567">
              <w:rPr>
                <w:b/>
                <w:bCs/>
                <w:color w:val="FFFFFF"/>
                <w:sz w:val="20"/>
                <w:szCs w:val="20"/>
              </w:rPr>
              <w:t>($)</w:t>
            </w:r>
          </w:p>
        </w:tc>
        <w:tc>
          <w:tcPr>
            <w:tcW w:w="1255" w:type="dxa"/>
            <w:shd w:val="clear" w:color="000000" w:fill="448A99"/>
            <w:noWrap/>
            <w:vAlign w:val="bottom"/>
            <w:hideMark/>
          </w:tcPr>
          <w:p w:rsidR="00B85567" w:rsidRPr="00B85567" w:rsidRDefault="00B85567" w:rsidP="00B85567">
            <w:pPr>
              <w:jc w:val="center"/>
              <w:rPr>
                <w:rFonts w:eastAsia="Calibri"/>
                <w:b/>
                <w:bCs/>
                <w:color w:val="FFFFFF"/>
                <w:sz w:val="20"/>
                <w:szCs w:val="20"/>
              </w:rPr>
            </w:pPr>
            <w:r w:rsidRPr="00B85567">
              <w:rPr>
                <w:b/>
                <w:bCs/>
                <w:color w:val="FFFFFF"/>
                <w:sz w:val="20"/>
                <w:szCs w:val="20"/>
              </w:rPr>
              <w:t>TRC Ratio</w:t>
            </w:r>
          </w:p>
        </w:tc>
      </w:tr>
      <w:tr w:rsidR="00A874AC" w:rsidRPr="00B85567" w:rsidTr="00AC4F57">
        <w:trPr>
          <w:trHeight w:val="346"/>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B85567" w:rsidRPr="00B85567" w:rsidRDefault="00B85567" w:rsidP="00B85567">
            <w:pPr>
              <w:jc w:val="left"/>
              <w:rPr>
                <w:bCs/>
                <w:color w:val="000000"/>
                <w:sz w:val="20"/>
                <w:szCs w:val="20"/>
              </w:rPr>
            </w:pPr>
            <w:r w:rsidRPr="00B85567">
              <w:rPr>
                <w:color w:val="000000"/>
                <w:sz w:val="20"/>
                <w:szCs w:val="20"/>
              </w:rPr>
              <w:t>Appliance Turn-In</w:t>
            </w:r>
          </w:p>
        </w:tc>
        <w:tc>
          <w:tcPr>
            <w:tcW w:w="1457"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rFonts w:cs="Arial"/>
                <w:color w:val="000000"/>
                <w:sz w:val="20"/>
                <w:szCs w:val="20"/>
              </w:rPr>
              <w:t xml:space="preserve">$1,853,722 </w:t>
            </w:r>
          </w:p>
        </w:tc>
        <w:tc>
          <w:tcPr>
            <w:tcW w:w="1457"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rFonts w:cs="Arial"/>
                <w:color w:val="000000"/>
                <w:sz w:val="20"/>
                <w:szCs w:val="20"/>
              </w:rPr>
              <w:t xml:space="preserve">$684,756 </w:t>
            </w:r>
          </w:p>
        </w:tc>
        <w:tc>
          <w:tcPr>
            <w:tcW w:w="1654" w:type="dxa"/>
            <w:tcBorders>
              <w:top w:val="nil"/>
              <w:left w:val="nil"/>
              <w:bottom w:val="single" w:sz="8" w:space="0" w:color="448A99"/>
              <w:right w:val="single" w:sz="8" w:space="0" w:color="448A99"/>
            </w:tcBorders>
            <w:shd w:val="clear" w:color="auto" w:fill="auto"/>
            <w:vAlign w:val="center"/>
          </w:tcPr>
          <w:p w:rsidR="00B85567" w:rsidRPr="00B85567" w:rsidRDefault="00B85567" w:rsidP="00B85567">
            <w:pPr>
              <w:jc w:val="center"/>
              <w:rPr>
                <w:color w:val="000000"/>
                <w:sz w:val="20"/>
                <w:szCs w:val="20"/>
              </w:rPr>
            </w:pPr>
            <w:r w:rsidRPr="00B85567">
              <w:rPr>
                <w:rFonts w:cs="Arial"/>
                <w:color w:val="000000"/>
                <w:sz w:val="20"/>
                <w:szCs w:val="20"/>
              </w:rPr>
              <w:t xml:space="preserve">$1,168,966 </w:t>
            </w:r>
          </w:p>
        </w:tc>
        <w:tc>
          <w:tcPr>
            <w:tcW w:w="1255"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rFonts w:cs="Arial"/>
                <w:color w:val="000000"/>
                <w:sz w:val="20"/>
                <w:szCs w:val="20"/>
              </w:rPr>
              <w:t>2.71</w:t>
            </w:r>
          </w:p>
        </w:tc>
      </w:tr>
      <w:tr w:rsidR="00A874AC" w:rsidRPr="00B85567" w:rsidTr="00AC4F57">
        <w:trPr>
          <w:trHeight w:val="346"/>
        </w:trPr>
        <w:tc>
          <w:tcPr>
            <w:tcW w:w="3532" w:type="dxa"/>
            <w:tcBorders>
              <w:top w:val="nil"/>
              <w:left w:val="single" w:sz="8" w:space="0" w:color="448A99"/>
              <w:bottom w:val="single" w:sz="8" w:space="0" w:color="448A99"/>
              <w:right w:val="single" w:sz="8" w:space="0" w:color="448A99"/>
            </w:tcBorders>
            <w:shd w:val="clear" w:color="auto" w:fill="D2EAF1"/>
            <w:noWrap/>
            <w:vAlign w:val="center"/>
            <w:hideMark/>
          </w:tcPr>
          <w:p w:rsidR="00B85567" w:rsidRPr="00B85567" w:rsidRDefault="00B85567" w:rsidP="00B85567">
            <w:pPr>
              <w:jc w:val="left"/>
              <w:rPr>
                <w:bCs/>
                <w:color w:val="000000"/>
                <w:sz w:val="20"/>
                <w:szCs w:val="20"/>
              </w:rPr>
            </w:pPr>
            <w:r w:rsidRPr="00B85567">
              <w:rPr>
                <w:color w:val="000000"/>
                <w:sz w:val="20"/>
                <w:szCs w:val="20"/>
              </w:rPr>
              <w:t>Efficient Products</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color w:val="000000"/>
                <w:sz w:val="20"/>
                <w:szCs w:val="20"/>
              </w:rPr>
            </w:pPr>
            <w:r w:rsidRPr="00B85567">
              <w:rPr>
                <w:color w:val="000000"/>
                <w:sz w:val="20"/>
                <w:szCs w:val="20"/>
              </w:rPr>
              <w:t xml:space="preserve">$16,750,305 </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color w:val="000000"/>
                <w:sz w:val="20"/>
                <w:szCs w:val="20"/>
              </w:rPr>
            </w:pPr>
            <w:r w:rsidRPr="00B85567">
              <w:rPr>
                <w:color w:val="000000"/>
                <w:sz w:val="20"/>
                <w:szCs w:val="20"/>
              </w:rPr>
              <w:t xml:space="preserve">$5,256,891 </w:t>
            </w:r>
          </w:p>
        </w:tc>
        <w:tc>
          <w:tcPr>
            <w:tcW w:w="1654" w:type="dxa"/>
            <w:tcBorders>
              <w:top w:val="nil"/>
              <w:left w:val="nil"/>
              <w:bottom w:val="single" w:sz="8" w:space="0" w:color="448A99"/>
              <w:right w:val="single" w:sz="8" w:space="0" w:color="448A99"/>
            </w:tcBorders>
            <w:shd w:val="clear" w:color="000000" w:fill="D2EAF1"/>
            <w:vAlign w:val="center"/>
          </w:tcPr>
          <w:p w:rsidR="00B85567" w:rsidRPr="00B85567" w:rsidRDefault="00B85567" w:rsidP="00B85567">
            <w:pPr>
              <w:jc w:val="center"/>
              <w:rPr>
                <w:color w:val="000000"/>
                <w:sz w:val="20"/>
                <w:szCs w:val="20"/>
              </w:rPr>
            </w:pPr>
            <w:r w:rsidRPr="00B85567">
              <w:rPr>
                <w:rFonts w:cs="Arial"/>
                <w:color w:val="000000"/>
                <w:sz w:val="20"/>
                <w:szCs w:val="20"/>
              </w:rPr>
              <w:t xml:space="preserve">$11,493,414 </w:t>
            </w:r>
          </w:p>
        </w:tc>
        <w:tc>
          <w:tcPr>
            <w:tcW w:w="1255"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color w:val="000000"/>
                <w:sz w:val="20"/>
                <w:szCs w:val="20"/>
              </w:rPr>
            </w:pPr>
            <w:r w:rsidRPr="00B85567">
              <w:rPr>
                <w:rFonts w:cs="Arial"/>
                <w:color w:val="000000"/>
                <w:sz w:val="20"/>
                <w:szCs w:val="20"/>
              </w:rPr>
              <w:t>3.19</w:t>
            </w:r>
          </w:p>
        </w:tc>
      </w:tr>
      <w:tr w:rsidR="00A874AC" w:rsidRPr="00B85567" w:rsidTr="00AC4F57">
        <w:trPr>
          <w:trHeight w:val="346"/>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B85567" w:rsidRPr="00B85567" w:rsidRDefault="00B85567" w:rsidP="00B85567">
            <w:pPr>
              <w:jc w:val="left"/>
              <w:rPr>
                <w:bCs/>
                <w:color w:val="000000"/>
                <w:sz w:val="20"/>
                <w:szCs w:val="20"/>
              </w:rPr>
            </w:pPr>
            <w:r w:rsidRPr="00B85567">
              <w:rPr>
                <w:color w:val="000000"/>
                <w:sz w:val="20"/>
                <w:szCs w:val="20"/>
              </w:rPr>
              <w:t>Home Performance</w:t>
            </w:r>
          </w:p>
        </w:tc>
        <w:tc>
          <w:tcPr>
            <w:tcW w:w="1457"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color w:val="000000"/>
                <w:sz w:val="20"/>
                <w:szCs w:val="20"/>
              </w:rPr>
              <w:t xml:space="preserve">$9,804,123 </w:t>
            </w:r>
          </w:p>
        </w:tc>
        <w:tc>
          <w:tcPr>
            <w:tcW w:w="1457"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color w:val="000000"/>
                <w:sz w:val="20"/>
                <w:szCs w:val="20"/>
              </w:rPr>
              <w:t xml:space="preserve">$3,981,534 </w:t>
            </w:r>
          </w:p>
        </w:tc>
        <w:tc>
          <w:tcPr>
            <w:tcW w:w="1654" w:type="dxa"/>
            <w:tcBorders>
              <w:top w:val="nil"/>
              <w:left w:val="nil"/>
              <w:bottom w:val="single" w:sz="8" w:space="0" w:color="448A99"/>
              <w:right w:val="single" w:sz="8" w:space="0" w:color="448A99"/>
            </w:tcBorders>
            <w:shd w:val="clear" w:color="auto" w:fill="auto"/>
            <w:vAlign w:val="center"/>
          </w:tcPr>
          <w:p w:rsidR="00B85567" w:rsidRPr="00B85567" w:rsidRDefault="00B85567" w:rsidP="00B85567">
            <w:pPr>
              <w:jc w:val="center"/>
              <w:rPr>
                <w:color w:val="000000"/>
                <w:sz w:val="20"/>
                <w:szCs w:val="20"/>
              </w:rPr>
            </w:pPr>
            <w:r w:rsidRPr="00B85567">
              <w:rPr>
                <w:color w:val="000000"/>
                <w:sz w:val="20"/>
                <w:szCs w:val="20"/>
              </w:rPr>
              <w:t xml:space="preserve">$5,822,590 </w:t>
            </w:r>
          </w:p>
        </w:tc>
        <w:tc>
          <w:tcPr>
            <w:tcW w:w="1255"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color w:val="000000"/>
                <w:sz w:val="20"/>
                <w:szCs w:val="20"/>
              </w:rPr>
              <w:t>2.46</w:t>
            </w:r>
          </w:p>
        </w:tc>
      </w:tr>
      <w:tr w:rsidR="00A874AC" w:rsidRPr="00B85567" w:rsidTr="00AC4F57">
        <w:trPr>
          <w:trHeight w:val="346"/>
        </w:trPr>
        <w:tc>
          <w:tcPr>
            <w:tcW w:w="3532" w:type="dxa"/>
            <w:tcBorders>
              <w:top w:val="nil"/>
              <w:left w:val="single" w:sz="8" w:space="0" w:color="448A99"/>
              <w:bottom w:val="single" w:sz="8" w:space="0" w:color="448A99"/>
              <w:right w:val="single" w:sz="8" w:space="0" w:color="448A99"/>
            </w:tcBorders>
            <w:shd w:val="clear" w:color="auto" w:fill="D2EAF1"/>
            <w:noWrap/>
            <w:vAlign w:val="center"/>
            <w:hideMark/>
          </w:tcPr>
          <w:p w:rsidR="00B85567" w:rsidRPr="00B85567" w:rsidRDefault="00B85567" w:rsidP="00B85567">
            <w:pPr>
              <w:jc w:val="left"/>
              <w:rPr>
                <w:bCs/>
                <w:color w:val="000000"/>
                <w:sz w:val="20"/>
                <w:szCs w:val="20"/>
              </w:rPr>
            </w:pPr>
            <w:r w:rsidRPr="00B85567">
              <w:rPr>
                <w:color w:val="000000"/>
                <w:sz w:val="20"/>
                <w:szCs w:val="20"/>
              </w:rPr>
              <w:t>Low Income</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color w:val="000000"/>
                <w:sz w:val="20"/>
                <w:szCs w:val="20"/>
              </w:rPr>
            </w:pPr>
            <w:r w:rsidRPr="00B85567">
              <w:rPr>
                <w:color w:val="000000"/>
                <w:sz w:val="20"/>
                <w:szCs w:val="20"/>
              </w:rPr>
              <w:t xml:space="preserve">$904,934 </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color w:val="000000"/>
                <w:sz w:val="20"/>
                <w:szCs w:val="20"/>
              </w:rPr>
            </w:pPr>
            <w:r w:rsidRPr="00B85567">
              <w:rPr>
                <w:color w:val="000000"/>
                <w:sz w:val="20"/>
                <w:szCs w:val="20"/>
              </w:rPr>
              <w:t xml:space="preserve">$2,224,122 </w:t>
            </w:r>
          </w:p>
        </w:tc>
        <w:tc>
          <w:tcPr>
            <w:tcW w:w="1654" w:type="dxa"/>
            <w:tcBorders>
              <w:top w:val="nil"/>
              <w:left w:val="nil"/>
              <w:bottom w:val="single" w:sz="8" w:space="0" w:color="448A99"/>
              <w:right w:val="single" w:sz="8" w:space="0" w:color="448A99"/>
            </w:tcBorders>
            <w:shd w:val="clear" w:color="000000" w:fill="D2EAF1"/>
            <w:vAlign w:val="center"/>
          </w:tcPr>
          <w:p w:rsidR="00B85567" w:rsidRPr="00B85567" w:rsidRDefault="00B85567" w:rsidP="00B85567">
            <w:pPr>
              <w:jc w:val="center"/>
              <w:rPr>
                <w:color w:val="000000"/>
                <w:sz w:val="20"/>
                <w:szCs w:val="20"/>
              </w:rPr>
            </w:pPr>
            <w:r w:rsidRPr="00B85567">
              <w:rPr>
                <w:color w:val="FF0000"/>
                <w:sz w:val="20"/>
                <w:szCs w:val="20"/>
              </w:rPr>
              <w:t>($1,319,188)</w:t>
            </w:r>
          </w:p>
        </w:tc>
        <w:tc>
          <w:tcPr>
            <w:tcW w:w="1255"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color w:val="000000"/>
                <w:sz w:val="20"/>
                <w:szCs w:val="20"/>
              </w:rPr>
            </w:pPr>
            <w:r w:rsidRPr="00B85567">
              <w:rPr>
                <w:color w:val="000000"/>
                <w:sz w:val="20"/>
                <w:szCs w:val="20"/>
              </w:rPr>
              <w:t>0.41</w:t>
            </w:r>
          </w:p>
        </w:tc>
      </w:tr>
      <w:tr w:rsidR="00A874AC" w:rsidRPr="00B85567" w:rsidTr="00AC4F57">
        <w:trPr>
          <w:trHeight w:val="346"/>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B85567" w:rsidRPr="00B85567" w:rsidRDefault="00B85567" w:rsidP="00B85567">
            <w:pPr>
              <w:jc w:val="left"/>
              <w:rPr>
                <w:bCs/>
                <w:color w:val="000000"/>
                <w:sz w:val="20"/>
                <w:szCs w:val="20"/>
              </w:rPr>
            </w:pPr>
            <w:r w:rsidRPr="00B85567">
              <w:rPr>
                <w:color w:val="000000"/>
                <w:sz w:val="20"/>
                <w:szCs w:val="20"/>
              </w:rPr>
              <w:t>Small C/I Equipment</w:t>
            </w:r>
          </w:p>
        </w:tc>
        <w:tc>
          <w:tcPr>
            <w:tcW w:w="1457"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color w:val="000000"/>
                <w:sz w:val="20"/>
                <w:szCs w:val="20"/>
              </w:rPr>
              <w:t xml:space="preserve">$16,434,826 </w:t>
            </w:r>
          </w:p>
        </w:tc>
        <w:tc>
          <w:tcPr>
            <w:tcW w:w="1457"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color w:val="000000"/>
                <w:sz w:val="20"/>
                <w:szCs w:val="20"/>
              </w:rPr>
              <w:t xml:space="preserve">$13,600,602 </w:t>
            </w:r>
          </w:p>
        </w:tc>
        <w:tc>
          <w:tcPr>
            <w:tcW w:w="1654" w:type="dxa"/>
            <w:tcBorders>
              <w:top w:val="nil"/>
              <w:left w:val="nil"/>
              <w:bottom w:val="single" w:sz="8" w:space="0" w:color="448A99"/>
              <w:right w:val="single" w:sz="8" w:space="0" w:color="448A99"/>
            </w:tcBorders>
            <w:shd w:val="clear" w:color="auto" w:fill="auto"/>
            <w:vAlign w:val="center"/>
          </w:tcPr>
          <w:p w:rsidR="00B85567" w:rsidRPr="00B85567" w:rsidRDefault="00B85567" w:rsidP="00B85567">
            <w:pPr>
              <w:jc w:val="center"/>
              <w:rPr>
                <w:color w:val="000000"/>
                <w:sz w:val="20"/>
                <w:szCs w:val="20"/>
              </w:rPr>
            </w:pPr>
            <w:r w:rsidRPr="00B85567">
              <w:rPr>
                <w:color w:val="000000"/>
                <w:sz w:val="20"/>
                <w:szCs w:val="20"/>
              </w:rPr>
              <w:t xml:space="preserve">$2,834,224 </w:t>
            </w:r>
          </w:p>
        </w:tc>
        <w:tc>
          <w:tcPr>
            <w:tcW w:w="1255"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color w:val="000000"/>
                <w:sz w:val="20"/>
                <w:szCs w:val="20"/>
              </w:rPr>
              <w:t>1.21</w:t>
            </w:r>
          </w:p>
        </w:tc>
      </w:tr>
      <w:tr w:rsidR="00A874AC" w:rsidRPr="00B85567" w:rsidTr="00AC4F57">
        <w:trPr>
          <w:trHeight w:val="346"/>
        </w:trPr>
        <w:tc>
          <w:tcPr>
            <w:tcW w:w="3532" w:type="dxa"/>
            <w:tcBorders>
              <w:top w:val="nil"/>
              <w:left w:val="single" w:sz="8" w:space="0" w:color="448A99"/>
              <w:bottom w:val="single" w:sz="8" w:space="0" w:color="448A99"/>
              <w:right w:val="single" w:sz="8" w:space="0" w:color="448A99"/>
            </w:tcBorders>
            <w:shd w:val="clear" w:color="auto" w:fill="D2EAF1"/>
            <w:noWrap/>
            <w:vAlign w:val="center"/>
            <w:hideMark/>
          </w:tcPr>
          <w:p w:rsidR="00B85567" w:rsidRPr="00B85567" w:rsidRDefault="00B85567" w:rsidP="00B85567">
            <w:pPr>
              <w:jc w:val="left"/>
              <w:rPr>
                <w:bCs/>
                <w:color w:val="000000"/>
                <w:sz w:val="20"/>
                <w:szCs w:val="20"/>
              </w:rPr>
            </w:pPr>
            <w:r w:rsidRPr="00B85567">
              <w:rPr>
                <w:color w:val="000000"/>
                <w:sz w:val="20"/>
                <w:szCs w:val="20"/>
              </w:rPr>
              <w:t>Small C/I Buildings</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color w:val="000000"/>
                <w:sz w:val="20"/>
                <w:szCs w:val="20"/>
              </w:rPr>
            </w:pPr>
            <w:r w:rsidRPr="00B85567">
              <w:rPr>
                <w:color w:val="000000"/>
                <w:sz w:val="20"/>
                <w:szCs w:val="20"/>
              </w:rPr>
              <w:t xml:space="preserve">$1,084,175 </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color w:val="000000"/>
                <w:sz w:val="20"/>
                <w:szCs w:val="20"/>
              </w:rPr>
            </w:pPr>
            <w:r w:rsidRPr="00B85567">
              <w:rPr>
                <w:color w:val="000000"/>
                <w:sz w:val="20"/>
                <w:szCs w:val="20"/>
              </w:rPr>
              <w:t xml:space="preserve">$2,161,898 </w:t>
            </w:r>
          </w:p>
        </w:tc>
        <w:tc>
          <w:tcPr>
            <w:tcW w:w="1654" w:type="dxa"/>
            <w:tcBorders>
              <w:top w:val="nil"/>
              <w:left w:val="nil"/>
              <w:bottom w:val="single" w:sz="8" w:space="0" w:color="448A99"/>
              <w:right w:val="single" w:sz="8" w:space="0" w:color="448A99"/>
            </w:tcBorders>
            <w:shd w:val="clear" w:color="000000" w:fill="D2EAF1"/>
            <w:vAlign w:val="center"/>
          </w:tcPr>
          <w:p w:rsidR="00B85567" w:rsidRPr="00B85567" w:rsidRDefault="00B85567" w:rsidP="00B85567">
            <w:pPr>
              <w:jc w:val="center"/>
              <w:rPr>
                <w:color w:val="000000"/>
                <w:sz w:val="20"/>
                <w:szCs w:val="20"/>
              </w:rPr>
            </w:pPr>
            <w:r w:rsidRPr="00B85567">
              <w:rPr>
                <w:color w:val="FF0000"/>
                <w:sz w:val="20"/>
                <w:szCs w:val="20"/>
              </w:rPr>
              <w:t>($1,077,723)</w:t>
            </w:r>
          </w:p>
        </w:tc>
        <w:tc>
          <w:tcPr>
            <w:tcW w:w="1255"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color w:val="000000"/>
                <w:sz w:val="20"/>
                <w:szCs w:val="20"/>
              </w:rPr>
            </w:pPr>
            <w:r w:rsidRPr="00B85567">
              <w:rPr>
                <w:color w:val="000000"/>
                <w:sz w:val="20"/>
                <w:szCs w:val="20"/>
              </w:rPr>
              <w:t>0.50</w:t>
            </w:r>
          </w:p>
        </w:tc>
      </w:tr>
      <w:tr w:rsidR="00A874AC" w:rsidRPr="00B85567" w:rsidTr="00AC4F57">
        <w:trPr>
          <w:trHeight w:val="346"/>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B85567" w:rsidRPr="00B85567" w:rsidRDefault="00B85567" w:rsidP="00B85567">
            <w:pPr>
              <w:jc w:val="left"/>
              <w:rPr>
                <w:bCs/>
                <w:color w:val="000000"/>
                <w:sz w:val="20"/>
                <w:szCs w:val="20"/>
              </w:rPr>
            </w:pPr>
            <w:r w:rsidRPr="00B85567">
              <w:rPr>
                <w:color w:val="000000"/>
                <w:sz w:val="20"/>
                <w:szCs w:val="20"/>
              </w:rPr>
              <w:t>Large C/I Equipment</w:t>
            </w:r>
          </w:p>
        </w:tc>
        <w:tc>
          <w:tcPr>
            <w:tcW w:w="1457"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color w:val="000000"/>
                <w:sz w:val="20"/>
                <w:szCs w:val="20"/>
              </w:rPr>
              <w:t xml:space="preserve">$29,083,880 </w:t>
            </w:r>
          </w:p>
        </w:tc>
        <w:tc>
          <w:tcPr>
            <w:tcW w:w="1457"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color w:val="000000"/>
                <w:sz w:val="20"/>
                <w:szCs w:val="20"/>
              </w:rPr>
              <w:t xml:space="preserve">$20,529,419 </w:t>
            </w:r>
          </w:p>
        </w:tc>
        <w:tc>
          <w:tcPr>
            <w:tcW w:w="1654" w:type="dxa"/>
            <w:tcBorders>
              <w:top w:val="nil"/>
              <w:left w:val="nil"/>
              <w:bottom w:val="single" w:sz="8" w:space="0" w:color="448A99"/>
              <w:right w:val="single" w:sz="8" w:space="0" w:color="448A99"/>
            </w:tcBorders>
            <w:shd w:val="clear" w:color="auto" w:fill="auto"/>
            <w:vAlign w:val="center"/>
          </w:tcPr>
          <w:p w:rsidR="00B85567" w:rsidRPr="00B85567" w:rsidRDefault="00B85567" w:rsidP="00B85567">
            <w:pPr>
              <w:jc w:val="center"/>
              <w:rPr>
                <w:color w:val="000000"/>
                <w:sz w:val="20"/>
                <w:szCs w:val="20"/>
              </w:rPr>
            </w:pPr>
            <w:r w:rsidRPr="00B85567">
              <w:rPr>
                <w:color w:val="000000"/>
                <w:sz w:val="20"/>
                <w:szCs w:val="20"/>
              </w:rPr>
              <w:t xml:space="preserve">$8,554,462 </w:t>
            </w:r>
          </w:p>
        </w:tc>
        <w:tc>
          <w:tcPr>
            <w:tcW w:w="1255"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color w:val="000000"/>
                <w:sz w:val="20"/>
                <w:szCs w:val="20"/>
              </w:rPr>
              <w:t>1.42</w:t>
            </w:r>
          </w:p>
        </w:tc>
      </w:tr>
      <w:tr w:rsidR="00A874AC" w:rsidRPr="00B85567" w:rsidTr="00AC4F57">
        <w:trPr>
          <w:trHeight w:val="346"/>
        </w:trPr>
        <w:tc>
          <w:tcPr>
            <w:tcW w:w="3532" w:type="dxa"/>
            <w:tcBorders>
              <w:top w:val="nil"/>
              <w:left w:val="single" w:sz="8" w:space="0" w:color="448A99"/>
              <w:bottom w:val="single" w:sz="8" w:space="0" w:color="448A99"/>
              <w:right w:val="single" w:sz="8" w:space="0" w:color="448A99"/>
            </w:tcBorders>
            <w:shd w:val="clear" w:color="auto" w:fill="D2EAF1"/>
            <w:vAlign w:val="center"/>
            <w:hideMark/>
          </w:tcPr>
          <w:p w:rsidR="00B85567" w:rsidRPr="00B85567" w:rsidRDefault="00B85567" w:rsidP="00B85567">
            <w:pPr>
              <w:jc w:val="left"/>
              <w:rPr>
                <w:bCs/>
                <w:color w:val="000000"/>
                <w:sz w:val="20"/>
                <w:szCs w:val="20"/>
              </w:rPr>
            </w:pPr>
            <w:r w:rsidRPr="00B85567">
              <w:rPr>
                <w:color w:val="000000"/>
                <w:sz w:val="20"/>
                <w:szCs w:val="20"/>
              </w:rPr>
              <w:t>Large C/I Buildings</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color w:val="000000"/>
                <w:sz w:val="20"/>
                <w:szCs w:val="20"/>
              </w:rPr>
            </w:pPr>
            <w:r w:rsidRPr="00B85567">
              <w:rPr>
                <w:color w:val="000000"/>
                <w:sz w:val="20"/>
                <w:szCs w:val="20"/>
              </w:rPr>
              <w:t xml:space="preserve">$2,128,165 </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color w:val="000000"/>
                <w:sz w:val="20"/>
                <w:szCs w:val="20"/>
              </w:rPr>
            </w:pPr>
            <w:r w:rsidRPr="00B85567">
              <w:rPr>
                <w:color w:val="000000"/>
                <w:sz w:val="20"/>
                <w:szCs w:val="20"/>
              </w:rPr>
              <w:t xml:space="preserve">$1,021,166 </w:t>
            </w:r>
          </w:p>
        </w:tc>
        <w:tc>
          <w:tcPr>
            <w:tcW w:w="1654" w:type="dxa"/>
            <w:tcBorders>
              <w:top w:val="nil"/>
              <w:left w:val="nil"/>
              <w:bottom w:val="single" w:sz="8" w:space="0" w:color="448A99"/>
              <w:right w:val="single" w:sz="8" w:space="0" w:color="448A99"/>
            </w:tcBorders>
            <w:shd w:val="clear" w:color="000000" w:fill="D2EAF1"/>
            <w:vAlign w:val="center"/>
          </w:tcPr>
          <w:p w:rsidR="00B85567" w:rsidRPr="00B85567" w:rsidRDefault="00B85567" w:rsidP="00B85567">
            <w:pPr>
              <w:jc w:val="center"/>
              <w:rPr>
                <w:color w:val="000000"/>
                <w:sz w:val="20"/>
                <w:szCs w:val="20"/>
              </w:rPr>
            </w:pPr>
            <w:r w:rsidRPr="00B85567">
              <w:rPr>
                <w:color w:val="000000"/>
                <w:sz w:val="20"/>
                <w:szCs w:val="20"/>
              </w:rPr>
              <w:t xml:space="preserve">$1,106,999 </w:t>
            </w:r>
          </w:p>
        </w:tc>
        <w:tc>
          <w:tcPr>
            <w:tcW w:w="1255"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color w:val="000000"/>
                <w:sz w:val="20"/>
                <w:szCs w:val="20"/>
              </w:rPr>
            </w:pPr>
            <w:r w:rsidRPr="00B85567">
              <w:rPr>
                <w:color w:val="000000"/>
                <w:sz w:val="20"/>
                <w:szCs w:val="20"/>
              </w:rPr>
              <w:t>2.08</w:t>
            </w:r>
          </w:p>
        </w:tc>
      </w:tr>
      <w:tr w:rsidR="00A874AC" w:rsidRPr="00B85567" w:rsidTr="00AC4F57">
        <w:trPr>
          <w:trHeight w:val="346"/>
        </w:trPr>
        <w:tc>
          <w:tcPr>
            <w:tcW w:w="3532" w:type="dxa"/>
            <w:tcBorders>
              <w:top w:val="nil"/>
              <w:left w:val="single" w:sz="8" w:space="0" w:color="448A99"/>
              <w:bottom w:val="single" w:sz="8" w:space="0" w:color="448A99"/>
              <w:right w:val="single" w:sz="8" w:space="0" w:color="448A99"/>
            </w:tcBorders>
            <w:shd w:val="clear" w:color="auto" w:fill="auto"/>
            <w:vAlign w:val="center"/>
            <w:hideMark/>
          </w:tcPr>
          <w:p w:rsidR="00B85567" w:rsidRPr="00B85567" w:rsidRDefault="00B85567" w:rsidP="00B85567">
            <w:pPr>
              <w:jc w:val="left"/>
              <w:rPr>
                <w:bCs/>
                <w:color w:val="000000"/>
                <w:sz w:val="20"/>
                <w:szCs w:val="20"/>
              </w:rPr>
            </w:pPr>
            <w:r w:rsidRPr="00B85567">
              <w:rPr>
                <w:color w:val="000000"/>
                <w:sz w:val="20"/>
                <w:szCs w:val="20"/>
              </w:rPr>
              <w:t>Gov./Institutional</w:t>
            </w:r>
          </w:p>
        </w:tc>
        <w:tc>
          <w:tcPr>
            <w:tcW w:w="1457"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color w:val="000000"/>
                <w:sz w:val="20"/>
                <w:szCs w:val="20"/>
              </w:rPr>
              <w:t xml:space="preserve">$199,858 </w:t>
            </w:r>
          </w:p>
        </w:tc>
        <w:tc>
          <w:tcPr>
            <w:tcW w:w="1457"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color w:val="000000"/>
                <w:sz w:val="20"/>
                <w:szCs w:val="20"/>
              </w:rPr>
              <w:t xml:space="preserve">$492,730 </w:t>
            </w:r>
          </w:p>
        </w:tc>
        <w:tc>
          <w:tcPr>
            <w:tcW w:w="1654" w:type="dxa"/>
            <w:tcBorders>
              <w:top w:val="nil"/>
              <w:left w:val="nil"/>
              <w:bottom w:val="single" w:sz="8" w:space="0" w:color="448A99"/>
              <w:right w:val="single" w:sz="8" w:space="0" w:color="448A99"/>
            </w:tcBorders>
            <w:shd w:val="clear" w:color="auto" w:fill="auto"/>
            <w:vAlign w:val="center"/>
          </w:tcPr>
          <w:p w:rsidR="00B85567" w:rsidRPr="00B85567" w:rsidRDefault="00B85567" w:rsidP="00B85567">
            <w:pPr>
              <w:jc w:val="center"/>
              <w:rPr>
                <w:color w:val="000000"/>
                <w:sz w:val="20"/>
                <w:szCs w:val="20"/>
              </w:rPr>
            </w:pPr>
            <w:r w:rsidRPr="00B85567">
              <w:rPr>
                <w:color w:val="FF0000"/>
                <w:sz w:val="20"/>
                <w:szCs w:val="20"/>
              </w:rPr>
              <w:t>($292,871)</w:t>
            </w:r>
          </w:p>
        </w:tc>
        <w:tc>
          <w:tcPr>
            <w:tcW w:w="1255" w:type="dxa"/>
            <w:tcBorders>
              <w:top w:val="nil"/>
              <w:left w:val="nil"/>
              <w:bottom w:val="single" w:sz="8" w:space="0" w:color="448A99"/>
              <w:right w:val="single" w:sz="8" w:space="0" w:color="448A99"/>
            </w:tcBorders>
            <w:shd w:val="clear" w:color="auto" w:fill="auto"/>
            <w:noWrap/>
            <w:vAlign w:val="center"/>
          </w:tcPr>
          <w:p w:rsidR="00B85567" w:rsidRPr="00B85567" w:rsidRDefault="00B85567" w:rsidP="00B85567">
            <w:pPr>
              <w:jc w:val="center"/>
              <w:rPr>
                <w:color w:val="000000"/>
                <w:sz w:val="20"/>
                <w:szCs w:val="20"/>
              </w:rPr>
            </w:pPr>
            <w:r w:rsidRPr="00B85567">
              <w:rPr>
                <w:color w:val="000000"/>
                <w:sz w:val="20"/>
                <w:szCs w:val="20"/>
              </w:rPr>
              <w:t>0.41</w:t>
            </w:r>
          </w:p>
        </w:tc>
      </w:tr>
      <w:tr w:rsidR="00A874AC" w:rsidRPr="00B85567" w:rsidTr="00AC4F57">
        <w:trPr>
          <w:trHeight w:val="346"/>
        </w:trPr>
        <w:tc>
          <w:tcPr>
            <w:tcW w:w="3532" w:type="dxa"/>
            <w:shd w:val="clear" w:color="auto" w:fill="D2EAF1"/>
            <w:vAlign w:val="center"/>
            <w:hideMark/>
          </w:tcPr>
          <w:p w:rsidR="00B85567" w:rsidRPr="00B85567" w:rsidRDefault="00B85567" w:rsidP="00B85567">
            <w:pPr>
              <w:jc w:val="left"/>
              <w:rPr>
                <w:b/>
                <w:bCs/>
                <w:iCs/>
                <w:color w:val="000000"/>
                <w:sz w:val="20"/>
                <w:szCs w:val="20"/>
              </w:rPr>
            </w:pPr>
            <w:r w:rsidRPr="00B85567">
              <w:rPr>
                <w:b/>
                <w:bCs/>
                <w:iCs/>
                <w:color w:val="000000"/>
                <w:sz w:val="20"/>
                <w:szCs w:val="20"/>
              </w:rPr>
              <w:t>Total Portfolio</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b/>
                <w:bCs/>
                <w:color w:val="000000"/>
                <w:sz w:val="20"/>
                <w:szCs w:val="20"/>
              </w:rPr>
            </w:pPr>
            <w:r w:rsidRPr="00B85567">
              <w:rPr>
                <w:rFonts w:cs="Arial"/>
                <w:b/>
                <w:bCs/>
                <w:color w:val="000000"/>
                <w:sz w:val="20"/>
                <w:szCs w:val="20"/>
              </w:rPr>
              <w:t xml:space="preserve">$78,243,989 </w:t>
            </w:r>
          </w:p>
        </w:tc>
        <w:tc>
          <w:tcPr>
            <w:tcW w:w="1457"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b/>
                <w:bCs/>
                <w:color w:val="000000"/>
                <w:sz w:val="20"/>
                <w:szCs w:val="20"/>
              </w:rPr>
            </w:pPr>
            <w:r w:rsidRPr="00B85567">
              <w:rPr>
                <w:rFonts w:cs="Arial"/>
                <w:b/>
                <w:bCs/>
                <w:color w:val="000000"/>
                <w:sz w:val="20"/>
                <w:szCs w:val="20"/>
              </w:rPr>
              <w:t xml:space="preserve">$49,953,117 </w:t>
            </w:r>
          </w:p>
        </w:tc>
        <w:tc>
          <w:tcPr>
            <w:tcW w:w="1654" w:type="dxa"/>
            <w:tcBorders>
              <w:top w:val="nil"/>
              <w:left w:val="nil"/>
              <w:bottom w:val="single" w:sz="8" w:space="0" w:color="448A99"/>
              <w:right w:val="single" w:sz="8" w:space="0" w:color="448A99"/>
            </w:tcBorders>
            <w:shd w:val="clear" w:color="000000" w:fill="D2EAF1"/>
            <w:vAlign w:val="center"/>
          </w:tcPr>
          <w:p w:rsidR="00B85567" w:rsidRPr="00B85567" w:rsidRDefault="00B85567" w:rsidP="00B85567">
            <w:pPr>
              <w:jc w:val="center"/>
              <w:rPr>
                <w:b/>
                <w:bCs/>
                <w:color w:val="000000"/>
                <w:sz w:val="20"/>
                <w:szCs w:val="20"/>
              </w:rPr>
            </w:pPr>
            <w:r w:rsidRPr="00B85567">
              <w:rPr>
                <w:b/>
                <w:bCs/>
                <w:color w:val="000000"/>
                <w:sz w:val="20"/>
                <w:szCs w:val="20"/>
              </w:rPr>
              <w:t xml:space="preserve">$28,290,873 </w:t>
            </w:r>
          </w:p>
        </w:tc>
        <w:tc>
          <w:tcPr>
            <w:tcW w:w="1255" w:type="dxa"/>
            <w:tcBorders>
              <w:top w:val="nil"/>
              <w:left w:val="nil"/>
              <w:bottom w:val="single" w:sz="8" w:space="0" w:color="448A99"/>
              <w:right w:val="single" w:sz="8" w:space="0" w:color="448A99"/>
            </w:tcBorders>
            <w:shd w:val="clear" w:color="000000" w:fill="D2EAF1"/>
            <w:noWrap/>
            <w:vAlign w:val="center"/>
          </w:tcPr>
          <w:p w:rsidR="00B85567" w:rsidRPr="00B85567" w:rsidRDefault="00B85567" w:rsidP="00B85567">
            <w:pPr>
              <w:jc w:val="center"/>
              <w:rPr>
                <w:b/>
                <w:bCs/>
                <w:color w:val="000000"/>
                <w:sz w:val="20"/>
                <w:szCs w:val="20"/>
              </w:rPr>
            </w:pPr>
            <w:r w:rsidRPr="00B85567">
              <w:rPr>
                <w:b/>
                <w:bCs/>
                <w:color w:val="000000"/>
                <w:sz w:val="20"/>
                <w:szCs w:val="20"/>
              </w:rPr>
              <w:t>1.57</w:t>
            </w:r>
          </w:p>
        </w:tc>
      </w:tr>
    </w:tbl>
    <w:p w:rsidR="00B248DD" w:rsidRDefault="00B248DD" w:rsidP="00B248DD"/>
    <w:p w:rsidR="00B248DD" w:rsidRPr="00B248DD" w:rsidRDefault="002902CC" w:rsidP="008C19A4">
      <w:pPr>
        <w:spacing w:after="120"/>
      </w:pPr>
      <w:r>
        <w:t>In summary, six</w:t>
      </w:r>
      <w:r w:rsidR="00B248DD" w:rsidRPr="00B248DD">
        <w:t xml:space="preserve"> of Penelec’s </w:t>
      </w:r>
      <w:r>
        <w:t>nine</w:t>
      </w:r>
      <w:r w:rsidR="00B248DD" w:rsidRPr="00B248DD">
        <w:t xml:space="preserve"> programs offered were </w:t>
      </w:r>
      <w:r>
        <w:t>found to be cost-effective and three</w:t>
      </w:r>
      <w:r w:rsidR="00B248DD" w:rsidRPr="00B248DD">
        <w:t xml:space="preserve"> were non-cost-effective. The breakout of cost-effective and non-cost-effective programs is shown below.</w:t>
      </w:r>
    </w:p>
    <w:p w:rsidR="00B248DD" w:rsidRPr="00B248DD" w:rsidRDefault="00B248DD" w:rsidP="00B248DD">
      <w:pPr>
        <w:rPr>
          <w:rFonts w:ascii="Century Gothic" w:hAnsi="Century Gothic"/>
          <w:b/>
        </w:rPr>
      </w:pPr>
      <w:r w:rsidRPr="00B248DD">
        <w:rPr>
          <w:rFonts w:ascii="Century Gothic" w:hAnsi="Century Gothic"/>
          <w:b/>
        </w:rPr>
        <w:t>Cost-Effective Programs</w:t>
      </w:r>
    </w:p>
    <w:p w:rsidR="00B248DD" w:rsidRPr="00B248DD" w:rsidRDefault="00B248DD" w:rsidP="00B248DD">
      <w:pPr>
        <w:spacing w:after="60"/>
        <w:rPr>
          <w:b/>
          <w:color w:val="448A99"/>
        </w:rPr>
      </w:pPr>
      <w:r w:rsidRPr="00B248DD">
        <w:rPr>
          <w:b/>
          <w:color w:val="448A99"/>
        </w:rPr>
        <w:t>(TRC Ratio &gt; 1.0)</w:t>
      </w:r>
    </w:p>
    <w:p w:rsidR="00B248DD" w:rsidRPr="00B248DD" w:rsidRDefault="00B248DD" w:rsidP="00E646C9">
      <w:pPr>
        <w:numPr>
          <w:ilvl w:val="0"/>
          <w:numId w:val="74"/>
        </w:numPr>
        <w:ind w:left="360"/>
        <w:rPr>
          <w:i/>
        </w:rPr>
      </w:pPr>
      <w:r w:rsidRPr="00B248DD">
        <w:rPr>
          <w:i/>
        </w:rPr>
        <w:t>Residential Appliance Turn-In</w:t>
      </w:r>
    </w:p>
    <w:p w:rsidR="00B248DD" w:rsidRPr="00B248DD" w:rsidRDefault="00B248DD" w:rsidP="00E646C9">
      <w:pPr>
        <w:numPr>
          <w:ilvl w:val="0"/>
          <w:numId w:val="74"/>
        </w:numPr>
        <w:ind w:left="360"/>
        <w:rPr>
          <w:i/>
        </w:rPr>
      </w:pPr>
      <w:r w:rsidRPr="00B248DD">
        <w:rPr>
          <w:i/>
        </w:rPr>
        <w:t>Energy Efficient Products</w:t>
      </w:r>
    </w:p>
    <w:p w:rsidR="00B248DD" w:rsidRPr="00B248DD" w:rsidRDefault="00B248DD" w:rsidP="00E646C9">
      <w:pPr>
        <w:numPr>
          <w:ilvl w:val="0"/>
          <w:numId w:val="74"/>
        </w:numPr>
        <w:ind w:left="360"/>
        <w:rPr>
          <w:i/>
        </w:rPr>
      </w:pPr>
      <w:r w:rsidRPr="00B248DD">
        <w:rPr>
          <w:i/>
        </w:rPr>
        <w:t>Residential Home Performance</w:t>
      </w:r>
    </w:p>
    <w:p w:rsidR="00B248DD" w:rsidRPr="00B248DD" w:rsidRDefault="00B248DD" w:rsidP="00E646C9">
      <w:pPr>
        <w:numPr>
          <w:ilvl w:val="0"/>
          <w:numId w:val="74"/>
        </w:numPr>
        <w:ind w:left="360"/>
        <w:rPr>
          <w:i/>
        </w:rPr>
      </w:pPr>
      <w:r w:rsidRPr="00B248DD">
        <w:rPr>
          <w:i/>
        </w:rPr>
        <w:t>Small C/I Energy Efficient Equipment</w:t>
      </w:r>
    </w:p>
    <w:p w:rsidR="00B248DD" w:rsidRPr="00B248DD" w:rsidRDefault="00B248DD" w:rsidP="00E646C9">
      <w:pPr>
        <w:numPr>
          <w:ilvl w:val="0"/>
          <w:numId w:val="74"/>
        </w:numPr>
        <w:ind w:left="360"/>
        <w:rPr>
          <w:i/>
        </w:rPr>
      </w:pPr>
      <w:r w:rsidRPr="00B248DD">
        <w:rPr>
          <w:i/>
        </w:rPr>
        <w:t>Large C/I Energy Efficient Equipment</w:t>
      </w:r>
    </w:p>
    <w:p w:rsidR="00B248DD" w:rsidRPr="00B248DD" w:rsidRDefault="00B248DD" w:rsidP="00E646C9">
      <w:pPr>
        <w:numPr>
          <w:ilvl w:val="0"/>
          <w:numId w:val="74"/>
        </w:numPr>
        <w:ind w:left="360"/>
        <w:rPr>
          <w:i/>
        </w:rPr>
      </w:pPr>
      <w:r w:rsidRPr="00B248DD">
        <w:rPr>
          <w:i/>
        </w:rPr>
        <w:lastRenderedPageBreak/>
        <w:t>Large C/I Energy Efficient Buildings</w:t>
      </w:r>
    </w:p>
    <w:p w:rsidR="00B248DD" w:rsidRPr="00AC4F57" w:rsidRDefault="00B248DD" w:rsidP="00AC4F57"/>
    <w:p w:rsidR="00B248DD" w:rsidRPr="00B248DD" w:rsidRDefault="00B248DD" w:rsidP="00B248DD">
      <w:pPr>
        <w:rPr>
          <w:rFonts w:ascii="Century Gothic" w:hAnsi="Century Gothic"/>
          <w:b/>
        </w:rPr>
      </w:pPr>
      <w:r w:rsidRPr="00B248DD">
        <w:rPr>
          <w:rFonts w:ascii="Century Gothic" w:hAnsi="Century Gothic"/>
          <w:b/>
        </w:rPr>
        <w:t>Non-Cost-Effective Programs</w:t>
      </w:r>
    </w:p>
    <w:p w:rsidR="00B248DD" w:rsidRPr="00B248DD" w:rsidRDefault="00B248DD" w:rsidP="00B248DD">
      <w:pPr>
        <w:spacing w:after="60"/>
        <w:rPr>
          <w:b/>
          <w:color w:val="448A99"/>
        </w:rPr>
      </w:pPr>
      <w:r w:rsidRPr="00B248DD">
        <w:rPr>
          <w:b/>
          <w:color w:val="448A99"/>
        </w:rPr>
        <w:t>(TRC Ratio &lt; 1.0)</w:t>
      </w:r>
    </w:p>
    <w:p w:rsidR="00B248DD" w:rsidRPr="00B248DD" w:rsidRDefault="00B248DD" w:rsidP="00E646C9">
      <w:pPr>
        <w:numPr>
          <w:ilvl w:val="0"/>
          <w:numId w:val="74"/>
        </w:numPr>
        <w:ind w:left="360"/>
        <w:rPr>
          <w:i/>
        </w:rPr>
      </w:pPr>
      <w:r w:rsidRPr="00B248DD">
        <w:rPr>
          <w:i/>
        </w:rPr>
        <w:t>Residential Low-Income</w:t>
      </w:r>
    </w:p>
    <w:p w:rsidR="00B248DD" w:rsidRPr="00B248DD" w:rsidRDefault="00B248DD" w:rsidP="00E646C9">
      <w:pPr>
        <w:numPr>
          <w:ilvl w:val="0"/>
          <w:numId w:val="74"/>
        </w:numPr>
        <w:ind w:left="360"/>
        <w:rPr>
          <w:i/>
        </w:rPr>
      </w:pPr>
      <w:r w:rsidRPr="00B248DD">
        <w:rPr>
          <w:i/>
        </w:rPr>
        <w:t>Small C/I Energy Efficient Buildings</w:t>
      </w:r>
    </w:p>
    <w:p w:rsidR="00B248DD" w:rsidRPr="00B248DD" w:rsidRDefault="00B248DD" w:rsidP="00E646C9">
      <w:pPr>
        <w:numPr>
          <w:ilvl w:val="0"/>
          <w:numId w:val="74"/>
        </w:numPr>
        <w:ind w:left="360"/>
        <w:rPr>
          <w:i/>
        </w:rPr>
      </w:pPr>
      <w:r w:rsidRPr="00B248DD">
        <w:rPr>
          <w:i/>
        </w:rPr>
        <w:t>Government and Institutional</w:t>
      </w:r>
    </w:p>
    <w:p w:rsidR="00B248DD" w:rsidRPr="00B248DD" w:rsidRDefault="00B248DD" w:rsidP="00B248DD">
      <w:pPr>
        <w:rPr>
          <w:highlight w:val="lightGray"/>
        </w:rPr>
      </w:pPr>
    </w:p>
    <w:p w:rsidR="00B248DD" w:rsidRPr="00B248DD" w:rsidRDefault="00B248DD" w:rsidP="00B248DD">
      <w:r w:rsidRPr="00B248DD">
        <w:t xml:space="preserve">The SWE notes the </w:t>
      </w:r>
      <w:r w:rsidR="007C0854" w:rsidRPr="00B248DD">
        <w:t>Small C</w:t>
      </w:r>
      <w:r w:rsidR="007C0854">
        <w:t>/</w:t>
      </w:r>
      <w:r w:rsidR="007C0854" w:rsidRPr="00B248DD">
        <w:t xml:space="preserve">I Energy Efficient </w:t>
      </w:r>
      <w:r w:rsidR="003B2EE7">
        <w:t>b</w:t>
      </w:r>
      <w:r w:rsidR="007C0854" w:rsidRPr="00B248DD">
        <w:t xml:space="preserve">uildings </w:t>
      </w:r>
      <w:r w:rsidR="007C0854">
        <w:t>program</w:t>
      </w:r>
      <w:r w:rsidRPr="00B248DD">
        <w:t xml:space="preserve"> transitioned to </w:t>
      </w:r>
      <w:r w:rsidR="007C0854">
        <w:t>a non-</w:t>
      </w:r>
      <w:r w:rsidRPr="00B248DD">
        <w:t>cost-effective program in PY7.  The decreased cost-effectiveness is largely the result of limited participation in PY7. Overall, programs with large amounts of energy and demand savings generally had high TRC ratios. This signifies that the programs garnering the most savings were also the most cost-effective programs in PY7.</w:t>
      </w:r>
    </w:p>
    <w:p w:rsidR="00B248DD" w:rsidRPr="008C19A4" w:rsidRDefault="00B248DD" w:rsidP="008C19A4"/>
    <w:p w:rsidR="00950837" w:rsidRDefault="00950837" w:rsidP="00D34B3E">
      <w:pPr>
        <w:pStyle w:val="AppendixAHeading3"/>
      </w:pPr>
      <w:r>
        <w:t>Assumptions and Inputs</w:t>
      </w:r>
    </w:p>
    <w:p w:rsidR="00D50251" w:rsidRDefault="00D50251" w:rsidP="00D50251">
      <w:r w:rsidRPr="00D50251">
        <w:t xml:space="preserve">One TRC model template was shared across all four FirstEnergy companies. Despite the similar model, the TRC model calculations were handled independently for each of the four EDCs. The Penelec iteration of the FirstEnergy TRC model used a discount rate of 7.92% to compare the NPV of program benefits that will occur later in a measure’s lifetime </w:t>
      </w:r>
      <w:r w:rsidR="007C0854">
        <w:t>with</w:t>
      </w:r>
      <w:r w:rsidRPr="00D50251">
        <w:t xml:space="preserve"> the up</w:t>
      </w:r>
      <w:r w:rsidR="007C0854">
        <w:t>-</w:t>
      </w:r>
      <w:r w:rsidRPr="00D50251">
        <w:t>front costs of installation of implementation. This value matches the EDC’s EE&amp;C</w:t>
      </w:r>
      <w:r w:rsidR="007C0854">
        <w:t xml:space="preserve"> p</w:t>
      </w:r>
      <w:r w:rsidRPr="00D50251">
        <w:t>lan on file. Different values of LLF were used for different sectors, as shown in</w:t>
      </w:r>
      <w:r>
        <w:t xml:space="preserve"> </w:t>
      </w:r>
      <w:r>
        <w:fldChar w:fldCharType="begin"/>
      </w:r>
      <w:r>
        <w:instrText xml:space="preserve"> REF _Ref472445014 \h </w:instrText>
      </w:r>
      <w:r>
        <w:fldChar w:fldCharType="separate"/>
      </w:r>
      <w:r w:rsidR="00C301D0">
        <w:t>Table A-</w:t>
      </w:r>
      <w:r w:rsidR="00C301D0">
        <w:rPr>
          <w:noProof/>
        </w:rPr>
        <w:t>55</w:t>
      </w:r>
      <w:r>
        <w:fldChar w:fldCharType="end"/>
      </w:r>
      <w:r>
        <w:t>.</w:t>
      </w:r>
    </w:p>
    <w:p w:rsidR="00D50251" w:rsidRDefault="00D50251" w:rsidP="00D50251"/>
    <w:p w:rsidR="00D50251" w:rsidRDefault="00D50251" w:rsidP="00D50251">
      <w:pPr>
        <w:pStyle w:val="Caption"/>
      </w:pPr>
      <w:bookmarkStart w:id="807" w:name="_Ref472445014"/>
      <w:bookmarkStart w:id="808" w:name="_Toc472472464"/>
      <w:bookmarkStart w:id="809" w:name="_Toc476842170"/>
      <w:r>
        <w:t>Table A-</w:t>
      </w:r>
      <w:fldSimple w:instr=" SEQ Table_A- \* ARABIC ">
        <w:r w:rsidR="00C301D0">
          <w:rPr>
            <w:noProof/>
          </w:rPr>
          <w:t>55</w:t>
        </w:r>
      </w:fldSimple>
      <w:bookmarkEnd w:id="807"/>
      <w:r>
        <w:t xml:space="preserve">: </w:t>
      </w:r>
      <w:r w:rsidRPr="00D50251">
        <w:t>Penelec’s PY7 Discount Rates and LLFs</w:t>
      </w:r>
      <w:bookmarkEnd w:id="808"/>
      <w:bookmarkEnd w:id="809"/>
    </w:p>
    <w:tbl>
      <w:tblPr>
        <w:tblW w:w="9473"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083"/>
        <w:gridCol w:w="1597"/>
        <w:gridCol w:w="1598"/>
        <w:gridCol w:w="1597"/>
        <w:gridCol w:w="1598"/>
      </w:tblGrid>
      <w:tr w:rsidR="00A874AC" w:rsidRPr="00D50251" w:rsidTr="005C1352">
        <w:trPr>
          <w:trHeight w:val="332"/>
          <w:tblHeader/>
          <w:jc w:val="center"/>
        </w:trPr>
        <w:tc>
          <w:tcPr>
            <w:tcW w:w="3083" w:type="dxa"/>
            <w:shd w:val="clear" w:color="000000" w:fill="448A99"/>
            <w:noWrap/>
            <w:vAlign w:val="bottom"/>
            <w:hideMark/>
          </w:tcPr>
          <w:p w:rsidR="00D50251" w:rsidRPr="00D50251" w:rsidRDefault="00D50251" w:rsidP="00D50251">
            <w:pPr>
              <w:jc w:val="left"/>
              <w:rPr>
                <w:b/>
                <w:bCs/>
                <w:color w:val="FFFFFF"/>
                <w:sz w:val="20"/>
                <w:szCs w:val="20"/>
              </w:rPr>
            </w:pPr>
            <w:r w:rsidRPr="00D50251">
              <w:rPr>
                <w:b/>
                <w:bCs/>
                <w:color w:val="FFFFFF"/>
                <w:sz w:val="20"/>
                <w:szCs w:val="20"/>
              </w:rPr>
              <w:t>Program</w:t>
            </w:r>
          </w:p>
        </w:tc>
        <w:tc>
          <w:tcPr>
            <w:tcW w:w="1597" w:type="dxa"/>
            <w:shd w:val="clear" w:color="000000" w:fill="448A99"/>
            <w:noWrap/>
            <w:vAlign w:val="bottom"/>
            <w:hideMark/>
          </w:tcPr>
          <w:p w:rsidR="00D50251" w:rsidRPr="00D50251" w:rsidRDefault="00D50251" w:rsidP="00D50251">
            <w:pPr>
              <w:jc w:val="center"/>
              <w:rPr>
                <w:b/>
                <w:bCs/>
                <w:color w:val="FFFFFF"/>
                <w:sz w:val="20"/>
                <w:szCs w:val="20"/>
              </w:rPr>
            </w:pPr>
            <w:r w:rsidRPr="00D50251">
              <w:rPr>
                <w:b/>
                <w:bCs/>
                <w:color w:val="FFFFFF"/>
                <w:sz w:val="20"/>
                <w:szCs w:val="20"/>
              </w:rPr>
              <w:t>Sector</w:t>
            </w:r>
          </w:p>
        </w:tc>
        <w:tc>
          <w:tcPr>
            <w:tcW w:w="1598" w:type="dxa"/>
            <w:shd w:val="clear" w:color="000000" w:fill="448A99"/>
            <w:noWrap/>
            <w:vAlign w:val="bottom"/>
            <w:hideMark/>
          </w:tcPr>
          <w:p w:rsidR="00D50251" w:rsidRPr="00D50251" w:rsidRDefault="00D50251" w:rsidP="00D50251">
            <w:pPr>
              <w:jc w:val="center"/>
              <w:rPr>
                <w:b/>
                <w:bCs/>
                <w:color w:val="FFFFFF"/>
                <w:sz w:val="20"/>
                <w:szCs w:val="20"/>
              </w:rPr>
            </w:pPr>
            <w:r w:rsidRPr="00D50251">
              <w:rPr>
                <w:b/>
                <w:bCs/>
                <w:color w:val="FFFFFF"/>
                <w:sz w:val="20"/>
                <w:szCs w:val="20"/>
              </w:rPr>
              <w:t>Discount Rate</w:t>
            </w:r>
          </w:p>
        </w:tc>
        <w:tc>
          <w:tcPr>
            <w:tcW w:w="1597" w:type="dxa"/>
            <w:shd w:val="clear" w:color="000000" w:fill="448A99"/>
            <w:vAlign w:val="bottom"/>
            <w:hideMark/>
          </w:tcPr>
          <w:p w:rsidR="00D50251" w:rsidRPr="00D50251" w:rsidRDefault="00D50251" w:rsidP="00D50251">
            <w:pPr>
              <w:jc w:val="center"/>
              <w:rPr>
                <w:b/>
                <w:bCs/>
                <w:color w:val="FFFFFF"/>
                <w:sz w:val="20"/>
                <w:szCs w:val="20"/>
              </w:rPr>
            </w:pPr>
            <w:r w:rsidRPr="00D50251">
              <w:rPr>
                <w:b/>
                <w:bCs/>
                <w:color w:val="FFFFFF"/>
                <w:sz w:val="20"/>
                <w:szCs w:val="20"/>
              </w:rPr>
              <w:t>Energy LLF</w:t>
            </w:r>
          </w:p>
        </w:tc>
        <w:tc>
          <w:tcPr>
            <w:tcW w:w="1598" w:type="dxa"/>
            <w:shd w:val="clear" w:color="000000" w:fill="448A99"/>
            <w:vAlign w:val="bottom"/>
            <w:hideMark/>
          </w:tcPr>
          <w:p w:rsidR="00D50251" w:rsidRPr="00D50251" w:rsidRDefault="00D50251" w:rsidP="00D50251">
            <w:pPr>
              <w:jc w:val="center"/>
              <w:rPr>
                <w:b/>
                <w:bCs/>
                <w:color w:val="FFFFFF"/>
                <w:sz w:val="20"/>
                <w:szCs w:val="20"/>
              </w:rPr>
            </w:pPr>
            <w:r w:rsidRPr="00D50251">
              <w:rPr>
                <w:b/>
                <w:bCs/>
                <w:color w:val="FFFFFF"/>
                <w:sz w:val="20"/>
                <w:szCs w:val="20"/>
              </w:rPr>
              <w:t>Demand LLF</w:t>
            </w:r>
          </w:p>
        </w:tc>
      </w:tr>
      <w:tr w:rsidR="00E7173E" w:rsidRPr="00D50251" w:rsidTr="0081757B">
        <w:trPr>
          <w:trHeight w:val="346"/>
          <w:jc w:val="center"/>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50251" w:rsidRPr="00D50251" w:rsidRDefault="00D50251" w:rsidP="00D50251">
            <w:pPr>
              <w:jc w:val="left"/>
              <w:rPr>
                <w:bCs/>
                <w:color w:val="000000"/>
                <w:sz w:val="20"/>
                <w:szCs w:val="20"/>
              </w:rPr>
            </w:pPr>
            <w:r w:rsidRPr="00D50251">
              <w:rPr>
                <w:color w:val="000000"/>
                <w:sz w:val="20"/>
                <w:szCs w:val="20"/>
              </w:rPr>
              <w:t>Appliance Turn-In</w:t>
            </w:r>
          </w:p>
        </w:tc>
        <w:tc>
          <w:tcPr>
            <w:tcW w:w="1597"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Residential</w:t>
            </w:r>
          </w:p>
        </w:tc>
        <w:tc>
          <w:tcPr>
            <w:tcW w:w="1598"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7.92%</w:t>
            </w:r>
          </w:p>
        </w:tc>
        <w:tc>
          <w:tcPr>
            <w:tcW w:w="1597"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9.45%</w:t>
            </w:r>
          </w:p>
        </w:tc>
        <w:tc>
          <w:tcPr>
            <w:tcW w:w="1598"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9.45%</w:t>
            </w:r>
          </w:p>
        </w:tc>
      </w:tr>
      <w:tr w:rsidR="00A874AC" w:rsidRPr="00D50251" w:rsidTr="005C1352">
        <w:trPr>
          <w:trHeight w:val="346"/>
          <w:jc w:val="center"/>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50251" w:rsidRPr="00D50251" w:rsidRDefault="00D50251" w:rsidP="00D50251">
            <w:pPr>
              <w:jc w:val="left"/>
              <w:rPr>
                <w:bCs/>
                <w:color w:val="000000"/>
                <w:sz w:val="20"/>
                <w:szCs w:val="20"/>
              </w:rPr>
            </w:pPr>
            <w:r w:rsidRPr="00D50251">
              <w:rPr>
                <w:color w:val="000000"/>
                <w:sz w:val="20"/>
                <w:szCs w:val="20"/>
              </w:rPr>
              <w:t>Efficient Products</w:t>
            </w:r>
          </w:p>
        </w:tc>
        <w:tc>
          <w:tcPr>
            <w:tcW w:w="1597"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Residential</w:t>
            </w:r>
          </w:p>
        </w:tc>
        <w:tc>
          <w:tcPr>
            <w:tcW w:w="1598"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7.92%</w:t>
            </w:r>
          </w:p>
        </w:tc>
        <w:tc>
          <w:tcPr>
            <w:tcW w:w="1597"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945%</w:t>
            </w:r>
          </w:p>
        </w:tc>
        <w:tc>
          <w:tcPr>
            <w:tcW w:w="1598"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9.45%</w:t>
            </w:r>
          </w:p>
        </w:tc>
      </w:tr>
      <w:tr w:rsidR="00E7173E" w:rsidRPr="00D50251" w:rsidTr="0081757B">
        <w:trPr>
          <w:trHeight w:val="346"/>
          <w:jc w:val="center"/>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50251" w:rsidRPr="00D50251" w:rsidRDefault="00D50251" w:rsidP="00D50251">
            <w:pPr>
              <w:jc w:val="left"/>
              <w:rPr>
                <w:bCs/>
                <w:color w:val="000000"/>
                <w:sz w:val="20"/>
                <w:szCs w:val="20"/>
              </w:rPr>
            </w:pPr>
            <w:r w:rsidRPr="00D50251">
              <w:rPr>
                <w:color w:val="000000"/>
                <w:sz w:val="20"/>
                <w:szCs w:val="20"/>
              </w:rPr>
              <w:t>Home Performance</w:t>
            </w:r>
          </w:p>
        </w:tc>
        <w:tc>
          <w:tcPr>
            <w:tcW w:w="1597"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Residential</w:t>
            </w:r>
          </w:p>
        </w:tc>
        <w:tc>
          <w:tcPr>
            <w:tcW w:w="1598"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7.92%</w:t>
            </w:r>
          </w:p>
        </w:tc>
        <w:tc>
          <w:tcPr>
            <w:tcW w:w="1597"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9.45%</w:t>
            </w:r>
          </w:p>
        </w:tc>
        <w:tc>
          <w:tcPr>
            <w:tcW w:w="1598"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9.45%</w:t>
            </w:r>
          </w:p>
        </w:tc>
      </w:tr>
      <w:tr w:rsidR="00A874AC" w:rsidRPr="00D50251" w:rsidTr="005C1352">
        <w:trPr>
          <w:trHeight w:val="346"/>
          <w:jc w:val="center"/>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50251" w:rsidRPr="00D50251" w:rsidRDefault="00D50251" w:rsidP="00D50251">
            <w:pPr>
              <w:jc w:val="left"/>
              <w:rPr>
                <w:bCs/>
                <w:color w:val="000000"/>
                <w:sz w:val="20"/>
                <w:szCs w:val="20"/>
              </w:rPr>
            </w:pPr>
            <w:r w:rsidRPr="00D50251">
              <w:rPr>
                <w:color w:val="000000"/>
                <w:sz w:val="20"/>
                <w:szCs w:val="20"/>
              </w:rPr>
              <w:t>Low Income</w:t>
            </w:r>
          </w:p>
        </w:tc>
        <w:tc>
          <w:tcPr>
            <w:tcW w:w="1597"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Residential</w:t>
            </w:r>
          </w:p>
        </w:tc>
        <w:tc>
          <w:tcPr>
            <w:tcW w:w="1598"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7.92%</w:t>
            </w:r>
          </w:p>
        </w:tc>
        <w:tc>
          <w:tcPr>
            <w:tcW w:w="1597"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945%</w:t>
            </w:r>
          </w:p>
        </w:tc>
        <w:tc>
          <w:tcPr>
            <w:tcW w:w="1598"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9.45%</w:t>
            </w:r>
          </w:p>
        </w:tc>
      </w:tr>
      <w:tr w:rsidR="00E7173E" w:rsidRPr="00D50251" w:rsidTr="0081757B">
        <w:trPr>
          <w:trHeight w:val="346"/>
          <w:jc w:val="center"/>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50251" w:rsidRPr="00D50251" w:rsidRDefault="00D50251" w:rsidP="00D50251">
            <w:pPr>
              <w:jc w:val="left"/>
              <w:rPr>
                <w:bCs/>
                <w:color w:val="000000"/>
                <w:sz w:val="20"/>
                <w:szCs w:val="20"/>
              </w:rPr>
            </w:pPr>
            <w:r w:rsidRPr="00D50251">
              <w:rPr>
                <w:color w:val="000000"/>
                <w:sz w:val="20"/>
                <w:szCs w:val="20"/>
              </w:rPr>
              <w:t>Small C/I Equipment</w:t>
            </w:r>
          </w:p>
        </w:tc>
        <w:tc>
          <w:tcPr>
            <w:tcW w:w="1597" w:type="dxa"/>
            <w:shd w:val="clear" w:color="auto" w:fill="auto"/>
            <w:noWrap/>
            <w:vAlign w:val="center"/>
          </w:tcPr>
          <w:p w:rsidR="00D50251" w:rsidRPr="00D50251" w:rsidRDefault="00D50251" w:rsidP="0081757B">
            <w:pPr>
              <w:jc w:val="center"/>
              <w:rPr>
                <w:color w:val="000000"/>
                <w:sz w:val="20"/>
                <w:szCs w:val="20"/>
              </w:rPr>
            </w:pPr>
            <w:r w:rsidRPr="00D50251">
              <w:rPr>
                <w:color w:val="000000"/>
                <w:sz w:val="20"/>
                <w:szCs w:val="20"/>
              </w:rPr>
              <w:t>Non-</w:t>
            </w:r>
            <w:r w:rsidR="00FF65FC">
              <w:rPr>
                <w:color w:val="000000"/>
                <w:sz w:val="20"/>
                <w:szCs w:val="20"/>
              </w:rPr>
              <w:t>R</w:t>
            </w:r>
            <w:r w:rsidRPr="00D50251">
              <w:rPr>
                <w:color w:val="000000"/>
                <w:sz w:val="20"/>
                <w:szCs w:val="20"/>
              </w:rPr>
              <w:t>esidential</w:t>
            </w:r>
          </w:p>
        </w:tc>
        <w:tc>
          <w:tcPr>
            <w:tcW w:w="1598"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7.92%</w:t>
            </w:r>
          </w:p>
        </w:tc>
        <w:tc>
          <w:tcPr>
            <w:tcW w:w="1597"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7.2%</w:t>
            </w:r>
          </w:p>
        </w:tc>
        <w:tc>
          <w:tcPr>
            <w:tcW w:w="1598"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7.2%</w:t>
            </w:r>
          </w:p>
        </w:tc>
      </w:tr>
      <w:tr w:rsidR="00A874AC" w:rsidRPr="00D50251" w:rsidTr="005C1352">
        <w:trPr>
          <w:trHeight w:val="346"/>
          <w:jc w:val="center"/>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50251" w:rsidRPr="00D50251" w:rsidRDefault="00D50251" w:rsidP="00D50251">
            <w:pPr>
              <w:jc w:val="left"/>
              <w:rPr>
                <w:bCs/>
                <w:color w:val="000000"/>
                <w:sz w:val="20"/>
                <w:szCs w:val="20"/>
              </w:rPr>
            </w:pPr>
            <w:r w:rsidRPr="00D50251">
              <w:rPr>
                <w:color w:val="000000"/>
                <w:sz w:val="20"/>
                <w:szCs w:val="20"/>
              </w:rPr>
              <w:t>Small C/I Buildings</w:t>
            </w:r>
          </w:p>
        </w:tc>
        <w:tc>
          <w:tcPr>
            <w:tcW w:w="1597"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Non-</w:t>
            </w:r>
            <w:r w:rsidR="0081757B">
              <w:rPr>
                <w:color w:val="000000"/>
                <w:sz w:val="20"/>
                <w:szCs w:val="20"/>
              </w:rPr>
              <w:t>R</w:t>
            </w:r>
            <w:r w:rsidRPr="00D50251">
              <w:rPr>
                <w:color w:val="000000"/>
                <w:sz w:val="20"/>
                <w:szCs w:val="20"/>
              </w:rPr>
              <w:t>esidential</w:t>
            </w:r>
          </w:p>
        </w:tc>
        <w:tc>
          <w:tcPr>
            <w:tcW w:w="1598"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7.92%</w:t>
            </w:r>
          </w:p>
        </w:tc>
        <w:tc>
          <w:tcPr>
            <w:tcW w:w="1597"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7.2%</w:t>
            </w:r>
          </w:p>
        </w:tc>
        <w:tc>
          <w:tcPr>
            <w:tcW w:w="1598"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7.2%</w:t>
            </w:r>
          </w:p>
        </w:tc>
      </w:tr>
      <w:tr w:rsidR="00E7173E" w:rsidRPr="00D50251" w:rsidTr="0081757B">
        <w:trPr>
          <w:trHeight w:val="346"/>
          <w:jc w:val="center"/>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50251" w:rsidRPr="00D50251" w:rsidRDefault="00D50251" w:rsidP="00D50251">
            <w:pPr>
              <w:jc w:val="left"/>
              <w:rPr>
                <w:bCs/>
                <w:color w:val="000000"/>
                <w:sz w:val="20"/>
                <w:szCs w:val="20"/>
              </w:rPr>
            </w:pPr>
            <w:r w:rsidRPr="00D50251">
              <w:rPr>
                <w:color w:val="000000"/>
                <w:sz w:val="20"/>
                <w:szCs w:val="20"/>
              </w:rPr>
              <w:t>Large C/I Equipment</w:t>
            </w:r>
          </w:p>
        </w:tc>
        <w:tc>
          <w:tcPr>
            <w:tcW w:w="1597"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Non-</w:t>
            </w:r>
            <w:r w:rsidR="0081757B">
              <w:rPr>
                <w:color w:val="000000"/>
                <w:sz w:val="20"/>
                <w:szCs w:val="20"/>
              </w:rPr>
              <w:t>R</w:t>
            </w:r>
            <w:r w:rsidRPr="00D50251">
              <w:rPr>
                <w:color w:val="000000"/>
                <w:sz w:val="20"/>
                <w:szCs w:val="20"/>
              </w:rPr>
              <w:t>esidential</w:t>
            </w:r>
          </w:p>
        </w:tc>
        <w:tc>
          <w:tcPr>
            <w:tcW w:w="1598"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7.92%</w:t>
            </w:r>
          </w:p>
        </w:tc>
        <w:tc>
          <w:tcPr>
            <w:tcW w:w="1597"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7.2%</w:t>
            </w:r>
          </w:p>
        </w:tc>
        <w:tc>
          <w:tcPr>
            <w:tcW w:w="1598"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7.2%</w:t>
            </w:r>
          </w:p>
        </w:tc>
      </w:tr>
      <w:tr w:rsidR="00A874AC" w:rsidRPr="00D50251" w:rsidTr="005C1352">
        <w:trPr>
          <w:trHeight w:val="346"/>
          <w:jc w:val="center"/>
        </w:trPr>
        <w:tc>
          <w:tcPr>
            <w:tcW w:w="3083" w:type="dxa"/>
            <w:tcBorders>
              <w:top w:val="nil"/>
              <w:left w:val="single" w:sz="8" w:space="0" w:color="448A99"/>
              <w:bottom w:val="single" w:sz="8" w:space="0" w:color="448A99"/>
              <w:right w:val="single" w:sz="8" w:space="0" w:color="448A99"/>
            </w:tcBorders>
            <w:shd w:val="clear" w:color="auto" w:fill="D2EAF1"/>
            <w:vAlign w:val="center"/>
          </w:tcPr>
          <w:p w:rsidR="00D50251" w:rsidRPr="00D50251" w:rsidRDefault="00D50251" w:rsidP="00D50251">
            <w:pPr>
              <w:jc w:val="left"/>
              <w:rPr>
                <w:bCs/>
                <w:color w:val="000000"/>
                <w:sz w:val="20"/>
                <w:szCs w:val="20"/>
              </w:rPr>
            </w:pPr>
            <w:r w:rsidRPr="00D50251">
              <w:rPr>
                <w:color w:val="000000"/>
                <w:sz w:val="20"/>
                <w:szCs w:val="20"/>
              </w:rPr>
              <w:t>Large C/I Buildings</w:t>
            </w:r>
          </w:p>
        </w:tc>
        <w:tc>
          <w:tcPr>
            <w:tcW w:w="1597"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Non-</w:t>
            </w:r>
            <w:r w:rsidR="0081757B">
              <w:rPr>
                <w:color w:val="000000"/>
                <w:sz w:val="20"/>
                <w:szCs w:val="20"/>
              </w:rPr>
              <w:t>R</w:t>
            </w:r>
            <w:r w:rsidRPr="00D50251">
              <w:rPr>
                <w:color w:val="000000"/>
                <w:sz w:val="20"/>
                <w:szCs w:val="20"/>
              </w:rPr>
              <w:t>esidential</w:t>
            </w:r>
          </w:p>
        </w:tc>
        <w:tc>
          <w:tcPr>
            <w:tcW w:w="1598"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7.92%</w:t>
            </w:r>
          </w:p>
        </w:tc>
        <w:tc>
          <w:tcPr>
            <w:tcW w:w="1597"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7.2%</w:t>
            </w:r>
          </w:p>
        </w:tc>
        <w:tc>
          <w:tcPr>
            <w:tcW w:w="1598" w:type="dxa"/>
            <w:shd w:val="clear" w:color="auto" w:fill="D2EAF1"/>
            <w:noWrap/>
            <w:vAlign w:val="center"/>
          </w:tcPr>
          <w:p w:rsidR="00D50251" w:rsidRPr="00D50251" w:rsidRDefault="00D50251" w:rsidP="00D50251">
            <w:pPr>
              <w:jc w:val="center"/>
              <w:rPr>
                <w:color w:val="000000"/>
                <w:sz w:val="20"/>
                <w:szCs w:val="20"/>
              </w:rPr>
            </w:pPr>
            <w:r w:rsidRPr="00D50251">
              <w:rPr>
                <w:color w:val="000000"/>
                <w:sz w:val="20"/>
                <w:szCs w:val="20"/>
              </w:rPr>
              <w:t>7.2%</w:t>
            </w:r>
          </w:p>
        </w:tc>
      </w:tr>
      <w:tr w:rsidR="00E7173E" w:rsidRPr="00D50251" w:rsidTr="0081757B">
        <w:trPr>
          <w:trHeight w:val="346"/>
          <w:jc w:val="center"/>
        </w:trPr>
        <w:tc>
          <w:tcPr>
            <w:tcW w:w="3083" w:type="dxa"/>
            <w:tcBorders>
              <w:top w:val="nil"/>
              <w:left w:val="single" w:sz="8" w:space="0" w:color="448A99"/>
              <w:bottom w:val="single" w:sz="8" w:space="0" w:color="448A99"/>
              <w:right w:val="single" w:sz="8" w:space="0" w:color="448A99"/>
            </w:tcBorders>
            <w:shd w:val="clear" w:color="auto" w:fill="auto"/>
            <w:vAlign w:val="center"/>
          </w:tcPr>
          <w:p w:rsidR="00D50251" w:rsidRPr="00D50251" w:rsidRDefault="00D50251" w:rsidP="00D50251">
            <w:pPr>
              <w:jc w:val="left"/>
              <w:rPr>
                <w:bCs/>
                <w:color w:val="000000"/>
                <w:sz w:val="20"/>
                <w:szCs w:val="20"/>
              </w:rPr>
            </w:pPr>
            <w:r w:rsidRPr="00D50251">
              <w:rPr>
                <w:color w:val="000000"/>
                <w:sz w:val="20"/>
                <w:szCs w:val="20"/>
              </w:rPr>
              <w:t>Gov./Institutional</w:t>
            </w:r>
          </w:p>
        </w:tc>
        <w:tc>
          <w:tcPr>
            <w:tcW w:w="1597"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Non-</w:t>
            </w:r>
            <w:r w:rsidR="0081757B">
              <w:rPr>
                <w:color w:val="000000"/>
                <w:sz w:val="20"/>
                <w:szCs w:val="20"/>
              </w:rPr>
              <w:t>R</w:t>
            </w:r>
            <w:r w:rsidRPr="00D50251">
              <w:rPr>
                <w:color w:val="000000"/>
                <w:sz w:val="20"/>
                <w:szCs w:val="20"/>
              </w:rPr>
              <w:t>esidential</w:t>
            </w:r>
          </w:p>
        </w:tc>
        <w:tc>
          <w:tcPr>
            <w:tcW w:w="1598"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7.92%</w:t>
            </w:r>
          </w:p>
        </w:tc>
        <w:tc>
          <w:tcPr>
            <w:tcW w:w="1597"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7.2%</w:t>
            </w:r>
          </w:p>
        </w:tc>
        <w:tc>
          <w:tcPr>
            <w:tcW w:w="1598" w:type="dxa"/>
            <w:shd w:val="clear" w:color="auto" w:fill="auto"/>
            <w:noWrap/>
            <w:vAlign w:val="center"/>
          </w:tcPr>
          <w:p w:rsidR="00D50251" w:rsidRPr="00D50251" w:rsidRDefault="00D50251" w:rsidP="00D50251">
            <w:pPr>
              <w:jc w:val="center"/>
              <w:rPr>
                <w:color w:val="000000"/>
                <w:sz w:val="20"/>
                <w:szCs w:val="20"/>
              </w:rPr>
            </w:pPr>
            <w:r w:rsidRPr="00D50251">
              <w:rPr>
                <w:color w:val="000000"/>
                <w:sz w:val="20"/>
                <w:szCs w:val="20"/>
              </w:rPr>
              <w:t>7.2%</w:t>
            </w:r>
          </w:p>
        </w:tc>
      </w:tr>
    </w:tbl>
    <w:p w:rsidR="00D50251" w:rsidRDefault="00D50251" w:rsidP="00D50251"/>
    <w:p w:rsidR="00D50251" w:rsidRDefault="003B2EE7" w:rsidP="00D50251">
      <w:r w:rsidRPr="00D50251">
        <w:t>In the residential sector, measure lives were reported on a measure-by-measure basis. The SWE Team spot-checked some of these measure lives and found them to be consistent with the 2015 TRM</w:t>
      </w:r>
      <w:r w:rsidR="007C0854">
        <w:t>.</w:t>
      </w:r>
      <w:r w:rsidR="00D50251" w:rsidRPr="00D50251">
        <w:rPr>
          <w:vertAlign w:val="superscript"/>
        </w:rPr>
        <w:footnoteReference w:id="66"/>
      </w:r>
      <w:r w:rsidR="00D50251" w:rsidRPr="00D50251">
        <w:t xml:space="preserve"> </w:t>
      </w:r>
      <w:r w:rsidRPr="00D50251">
        <w:rPr>
          <w:vertAlign w:val="superscript"/>
        </w:rPr>
        <w:footnoteReference w:id="67"/>
      </w:r>
      <w:r w:rsidRPr="00D50251">
        <w:t xml:space="preserve">. In the non-residential sector, the TRC model applied an EUL at the </w:t>
      </w:r>
      <w:r>
        <w:t>sampled project/</w:t>
      </w:r>
      <w:r w:rsidRPr="00D50251">
        <w:t>stratum level rather than at the measure level</w:t>
      </w:r>
      <w:r w:rsidR="00D50251" w:rsidRPr="00D50251">
        <w:t xml:space="preserve">. </w:t>
      </w:r>
    </w:p>
    <w:p w:rsidR="00FD4D90" w:rsidRPr="00D50251" w:rsidRDefault="00FD4D90" w:rsidP="00D50251"/>
    <w:p w:rsidR="00D50251" w:rsidRPr="00D50251" w:rsidRDefault="00D50251" w:rsidP="00D50251">
      <w:r w:rsidRPr="00D50251">
        <w:lastRenderedPageBreak/>
        <w:t xml:space="preserve">Similarly, the model assigned incremental costs at the measure level in the residential sector and at the stratum level in the non-residential sector in the model. The residential-sector incremental costs primarily were derived from the SWE incremental cost database, </w:t>
      </w:r>
      <w:r w:rsidR="000E712F" w:rsidRPr="00D50251">
        <w:t xml:space="preserve">the </w:t>
      </w:r>
      <w:r w:rsidR="000E712F">
        <w:t>Penelec</w:t>
      </w:r>
      <w:r w:rsidR="000E712F" w:rsidRPr="00D50251" w:rsidDel="00D024F8">
        <w:t xml:space="preserve"> </w:t>
      </w:r>
      <w:r w:rsidR="000E712F" w:rsidRPr="00D50251">
        <w:t xml:space="preserve">EE&amp;C </w:t>
      </w:r>
      <w:r w:rsidR="000E712F">
        <w:t>p</w:t>
      </w:r>
      <w:r w:rsidR="000E712F" w:rsidRPr="00D50251">
        <w:t>lan</w:t>
      </w:r>
      <w:r w:rsidR="000E712F">
        <w:t>,</w:t>
      </w:r>
      <w:r w:rsidR="000E712F" w:rsidRPr="00D50251">
        <w:t xml:space="preserve"> </w:t>
      </w:r>
      <w:r w:rsidRPr="00D50251">
        <w:t xml:space="preserve">and the project invoices. The sources for non-residential sector incremental costs included the SWE cost database, sampled project invoices, the </w:t>
      </w:r>
      <w:r w:rsidR="000E712F">
        <w:t>D</w:t>
      </w:r>
      <w:r w:rsidRPr="00D50251">
        <w:t>EER 2008 incremental cost database, and the EDC EE&amp;C Plan.</w:t>
      </w:r>
      <w:r w:rsidRPr="00D50251">
        <w:rPr>
          <w:vertAlign w:val="superscript"/>
        </w:rPr>
        <w:footnoteReference w:id="68"/>
      </w:r>
      <w:r w:rsidRPr="00D50251">
        <w:t xml:space="preserve"> The FirstEnergy TRC model relied on the evaluation samples as a basis for calculating incremental participant costs for non-residential programs. Those sampled values were weighted to apply to the remainder of the program. The SWE Team examined this approach and found it reasonable and appropriate.</w:t>
      </w:r>
    </w:p>
    <w:p w:rsidR="00D50251" w:rsidRPr="00D50251" w:rsidRDefault="00D50251" w:rsidP="00D50251">
      <w:pPr>
        <w:rPr>
          <w:highlight w:val="lightGray"/>
        </w:rPr>
      </w:pPr>
    </w:p>
    <w:p w:rsidR="00D50251" w:rsidRPr="00D50251" w:rsidRDefault="00D50251" w:rsidP="00D50251">
      <w:r w:rsidRPr="00D50251">
        <w:t>The TRC model drew the energy and demand impacts from the tracking database, which used TRM-specified values and equations to assign ex ante annual savings values to completed measures. The TRC model analysis was based on ex post verified savings, so program impacts were adjusted by an applicable realization rate. Separate realization rates were applied to energy and demand impacts.</w:t>
      </w:r>
    </w:p>
    <w:p w:rsidR="00D50251" w:rsidRPr="00D50251" w:rsidRDefault="00D50251" w:rsidP="00D50251">
      <w:pPr>
        <w:rPr>
          <w:highlight w:val="lightGray"/>
        </w:rPr>
      </w:pPr>
    </w:p>
    <w:p w:rsidR="00D50251" w:rsidRPr="00D50251" w:rsidRDefault="00D50251" w:rsidP="00D50251">
      <w:r w:rsidRPr="00D50251">
        <w:t xml:space="preserve">The 2015 TRM specifically instructed EDCs to account for dual baselines with regard to T12 linear fluorescent replacements. The dual baseline adjustment impacts the lifetime energy and demand savings of measures beginning June 1, 2016, but does not impact first-year savings for PY7. </w:t>
      </w:r>
      <w:r w:rsidRPr="00D50251">
        <w:rPr>
          <w:rFonts w:ascii="Arial" w:hAnsi="Arial"/>
          <w:sz w:val="20"/>
        </w:rPr>
        <w:t>EDCs may choose to reflect the dual baselines either by applying savings adjustment factors or by reducing the EUL to adjust lifetime savings.</w:t>
      </w:r>
      <w:r w:rsidRPr="00D50251">
        <w:rPr>
          <w:rFonts w:ascii="Arial" w:hAnsi="Arial"/>
          <w:sz w:val="20"/>
          <w:szCs w:val="20"/>
        </w:rPr>
        <w:t xml:space="preserve"> In the</w:t>
      </w:r>
      <w:r w:rsidRPr="00D50251">
        <w:t xml:space="preserve"> Penelec TRC model, a measure’s lifetime was separated into two parts: the first year, and the remaining lifetime. The removed equipment was treated as the baseline for the first year, with the baseline shifting to the code-required baseline for the remainder of the measure’s life. The model calculated the measure’s lifetime savings as the sum of these two parts. </w:t>
      </w:r>
    </w:p>
    <w:p w:rsidR="00D50251" w:rsidRPr="00D50251" w:rsidRDefault="00D50251" w:rsidP="00D50251"/>
    <w:p w:rsidR="00950837" w:rsidRDefault="00950837" w:rsidP="00D34B3E">
      <w:pPr>
        <w:pStyle w:val="AppendixAHeading3"/>
      </w:pPr>
      <w:r>
        <w:t>Avoided Cost of</w:t>
      </w:r>
      <w:r w:rsidR="00D50251">
        <w:t xml:space="preserve"> Energy and</w:t>
      </w:r>
      <w:r>
        <w:t xml:space="preserve"> Capacity</w:t>
      </w:r>
    </w:p>
    <w:p w:rsidR="00D50251" w:rsidRDefault="00D50251" w:rsidP="00D50251">
      <w:r w:rsidRPr="00D50251">
        <w:t>Consistent with prior Phase II program years, the PY</w:t>
      </w:r>
      <w:r w:rsidR="000E712F">
        <w:t xml:space="preserve">7 </w:t>
      </w:r>
      <w:r w:rsidR="00E6042C">
        <w:t>FirstEnergy</w:t>
      </w:r>
      <w:r w:rsidR="000E712F">
        <w:t xml:space="preserve"> TRC m</w:t>
      </w:r>
      <w:r w:rsidRPr="00D50251">
        <w:t>odels use the Phase II approved avoided costs of energy and capacity.  The PY7 models were updated to select the appropriate PY7 stream of avoided costs.</w:t>
      </w:r>
    </w:p>
    <w:p w:rsidR="00D50251" w:rsidRPr="00D50251" w:rsidRDefault="00D50251" w:rsidP="00D50251">
      <w:r w:rsidRPr="00D50251">
        <w:t xml:space="preserve">  </w:t>
      </w:r>
    </w:p>
    <w:p w:rsidR="00950837" w:rsidRDefault="00950837" w:rsidP="00D34B3E">
      <w:pPr>
        <w:pStyle w:val="AppendixAHeading3"/>
      </w:pPr>
      <w:r>
        <w:t>Conclusions and Recommendations</w:t>
      </w:r>
    </w:p>
    <w:p w:rsidR="00D50251" w:rsidRDefault="00D50251" w:rsidP="00D50251">
      <w:r w:rsidRPr="00D50251">
        <w:t>The FirstEnergy TRC model is performing all of the B/C calculations in accordance with the 2013 TRC Order. The SWE Team review of the Penelec TRC model found no calculation errors and believes the PY7 TRC benefits, costs, and ratios to be reasonable and accurate.</w:t>
      </w:r>
    </w:p>
    <w:p w:rsidR="00D50251" w:rsidRPr="00D50251" w:rsidRDefault="00D50251" w:rsidP="00D50251"/>
    <w:p w:rsidR="00950837" w:rsidRDefault="00950837" w:rsidP="0043541C">
      <w:pPr>
        <w:pStyle w:val="AppendixAHeading2"/>
      </w:pPr>
      <w:r>
        <w:t>Status of Evaluation Activities</w:t>
      </w:r>
    </w:p>
    <w:p w:rsidR="001B5BFF" w:rsidRPr="001B5BFF" w:rsidRDefault="001B5BFF" w:rsidP="001B5BFF">
      <w:r w:rsidRPr="001B5BFF">
        <w:t>This section discusses the status of Penelec’s EM&amp;V plans, M&amp;V activities and findings, and process evaluation activities and findings.</w:t>
      </w:r>
    </w:p>
    <w:p w:rsidR="00FF65FC" w:rsidRDefault="00FF65FC" w:rsidP="001B5BFF"/>
    <w:p w:rsidR="00950837" w:rsidRDefault="00950837" w:rsidP="00D34B3E">
      <w:pPr>
        <w:pStyle w:val="AppendixAHeading3"/>
      </w:pPr>
      <w:r>
        <w:t>Status of Evaluation, Measurement</w:t>
      </w:r>
      <w:r w:rsidR="000E712F">
        <w:t>,</w:t>
      </w:r>
      <w:r>
        <w:t xml:space="preserve"> and Verification Plans</w:t>
      </w:r>
    </w:p>
    <w:p w:rsidR="00496A99" w:rsidRPr="009472F6" w:rsidRDefault="00496A99" w:rsidP="00496A99">
      <w:pPr>
        <w:pStyle w:val="bullettext"/>
      </w:pPr>
      <w:r w:rsidRPr="009472F6">
        <w:t xml:space="preserve">The standardization of evaluation protocols across EDCs was outlined in the Phase II Evaluation Framework in order to create consistency in evaluation practices across EDCs. The SWE Evaluation Framework that was applicable for PY6 evaluation plans was the </w:t>
      </w:r>
      <w:r>
        <w:t>f</w:t>
      </w:r>
      <w:r w:rsidRPr="009472F6">
        <w:t xml:space="preserve">ramework finalized and published on June 28, 2013. This </w:t>
      </w:r>
      <w:r>
        <w:t>f</w:t>
      </w:r>
      <w:r w:rsidRPr="009472F6">
        <w:t xml:space="preserve">ramework required each EDC to complete an initial evaluation plan for each program in </w:t>
      </w:r>
      <w:r>
        <w:t>its</w:t>
      </w:r>
      <w:r w:rsidRPr="009472F6">
        <w:t xml:space="preserve"> portfolio</w:t>
      </w:r>
      <w:r>
        <w:t>,</w:t>
      </w:r>
      <w:r w:rsidRPr="009472F6">
        <w:t xml:space="preserve"> addressing the following objectives:</w:t>
      </w:r>
    </w:p>
    <w:p w:rsidR="00496A99" w:rsidRPr="008A5E9E" w:rsidRDefault="00496A99" w:rsidP="00E646C9">
      <w:pPr>
        <w:numPr>
          <w:ilvl w:val="0"/>
          <w:numId w:val="75"/>
        </w:numPr>
        <w:spacing w:after="200" w:line="276" w:lineRule="auto"/>
        <w:ind w:left="360"/>
        <w:contextualSpacing/>
        <w:rPr>
          <w:color w:val="000000"/>
          <w:szCs w:val="20"/>
        </w:rPr>
      </w:pPr>
      <w:r w:rsidRPr="008A5E9E">
        <w:rPr>
          <w:color w:val="000000"/>
          <w:szCs w:val="20"/>
        </w:rPr>
        <w:t>Outline gross impact evaluation methodology</w:t>
      </w:r>
    </w:p>
    <w:p w:rsidR="00496A99" w:rsidRPr="008A5E9E" w:rsidRDefault="00496A99" w:rsidP="00E646C9">
      <w:pPr>
        <w:numPr>
          <w:ilvl w:val="0"/>
          <w:numId w:val="75"/>
        </w:numPr>
        <w:spacing w:after="200" w:line="276" w:lineRule="auto"/>
        <w:ind w:left="360"/>
        <w:contextualSpacing/>
        <w:rPr>
          <w:color w:val="000000"/>
          <w:szCs w:val="20"/>
        </w:rPr>
      </w:pPr>
      <w:r w:rsidRPr="008A5E9E">
        <w:rPr>
          <w:color w:val="000000"/>
          <w:szCs w:val="20"/>
        </w:rPr>
        <w:lastRenderedPageBreak/>
        <w:t>Outline NTG analysis methodology</w:t>
      </w:r>
    </w:p>
    <w:p w:rsidR="00496A99" w:rsidRPr="008A5E9E" w:rsidRDefault="00496A99" w:rsidP="00E646C9">
      <w:pPr>
        <w:numPr>
          <w:ilvl w:val="0"/>
          <w:numId w:val="75"/>
        </w:numPr>
        <w:spacing w:after="200" w:line="276" w:lineRule="auto"/>
        <w:ind w:left="360"/>
        <w:contextualSpacing/>
        <w:rPr>
          <w:color w:val="000000"/>
          <w:szCs w:val="20"/>
        </w:rPr>
      </w:pPr>
      <w:r w:rsidRPr="008A5E9E">
        <w:rPr>
          <w:color w:val="000000"/>
          <w:szCs w:val="20"/>
        </w:rPr>
        <w:t>Outline process evaluation methodology</w:t>
      </w:r>
    </w:p>
    <w:p w:rsidR="00496A99" w:rsidRPr="008A5E9E" w:rsidRDefault="00496A99" w:rsidP="00E646C9">
      <w:pPr>
        <w:numPr>
          <w:ilvl w:val="0"/>
          <w:numId w:val="75"/>
        </w:numPr>
        <w:spacing w:after="200" w:line="276" w:lineRule="auto"/>
        <w:ind w:left="360"/>
        <w:contextualSpacing/>
        <w:rPr>
          <w:color w:val="000000"/>
          <w:szCs w:val="20"/>
        </w:rPr>
      </w:pPr>
      <w:r w:rsidRPr="008A5E9E">
        <w:rPr>
          <w:color w:val="000000"/>
          <w:szCs w:val="20"/>
        </w:rPr>
        <w:t>Outline cost-effectiveness evaluation methodology</w:t>
      </w:r>
    </w:p>
    <w:p w:rsidR="00496A99" w:rsidRPr="008A5E9E" w:rsidRDefault="00496A99" w:rsidP="00E646C9">
      <w:pPr>
        <w:numPr>
          <w:ilvl w:val="0"/>
          <w:numId w:val="75"/>
        </w:numPr>
        <w:spacing w:after="200" w:line="276" w:lineRule="auto"/>
        <w:ind w:left="360"/>
        <w:contextualSpacing/>
        <w:rPr>
          <w:color w:val="000000"/>
          <w:szCs w:val="20"/>
        </w:rPr>
      </w:pPr>
      <w:r w:rsidRPr="008A5E9E">
        <w:rPr>
          <w:color w:val="000000"/>
          <w:szCs w:val="20"/>
        </w:rPr>
        <w:t>Propose a time</w:t>
      </w:r>
      <w:r>
        <w:rPr>
          <w:color w:val="000000"/>
          <w:szCs w:val="20"/>
        </w:rPr>
        <w:t xml:space="preserve"> </w:t>
      </w:r>
      <w:r w:rsidRPr="008A5E9E">
        <w:rPr>
          <w:color w:val="000000"/>
          <w:szCs w:val="20"/>
        </w:rPr>
        <w:t>line of evaluation activities</w:t>
      </w:r>
    </w:p>
    <w:p w:rsidR="00496A99" w:rsidRPr="008A5E9E" w:rsidRDefault="00496A99" w:rsidP="00E646C9">
      <w:pPr>
        <w:numPr>
          <w:ilvl w:val="0"/>
          <w:numId w:val="75"/>
        </w:numPr>
        <w:ind w:left="360"/>
        <w:rPr>
          <w:color w:val="000000"/>
          <w:szCs w:val="20"/>
        </w:rPr>
      </w:pPr>
      <w:r w:rsidRPr="008A5E9E">
        <w:rPr>
          <w:color w:val="000000"/>
          <w:szCs w:val="20"/>
        </w:rPr>
        <w:t>Establish key program contacts</w:t>
      </w:r>
    </w:p>
    <w:p w:rsidR="00496A99" w:rsidRPr="00401F84" w:rsidRDefault="00496A99" w:rsidP="00496A99"/>
    <w:p w:rsidR="00496A99" w:rsidRDefault="00496A99" w:rsidP="00496A99">
      <w:r w:rsidRPr="009472F6">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496A99" w:rsidRPr="009847AC" w:rsidRDefault="00496A99" w:rsidP="009847AC"/>
    <w:p w:rsidR="00DD3B6D" w:rsidRPr="00FB6015" w:rsidRDefault="008F62F5" w:rsidP="00DD3B6D">
      <w:r>
        <w:fldChar w:fldCharType="begin"/>
      </w:r>
      <w:r>
        <w:instrText xml:space="preserve"> REF _Ref472360293 \h </w:instrText>
      </w:r>
      <w:r>
        <w:fldChar w:fldCharType="separate"/>
      </w:r>
      <w:r w:rsidR="00C301D0">
        <w:t>Table A-</w:t>
      </w:r>
      <w:r w:rsidR="00C301D0">
        <w:rPr>
          <w:noProof/>
        </w:rPr>
        <w:t>56</w:t>
      </w:r>
      <w:r>
        <w:fldChar w:fldCharType="end"/>
      </w:r>
      <w:r w:rsidR="00DD3B6D" w:rsidRPr="006A0F2F">
        <w:t xml:space="preserve"> </w:t>
      </w:r>
      <w:r w:rsidR="00DD3B6D" w:rsidRPr="008A5E9E">
        <w:rPr>
          <w:color w:val="000000"/>
        </w:rPr>
        <w:t>displays key milestones completed</w:t>
      </w:r>
      <w:r w:rsidR="00DD3B6D" w:rsidRPr="00614B21">
        <w:rPr>
          <w:color w:val="000000"/>
        </w:rPr>
        <w:t xml:space="preserve"> </w:t>
      </w:r>
      <w:r w:rsidR="00DD3B6D" w:rsidRPr="009472F6">
        <w:t xml:space="preserve">by </w:t>
      </w:r>
      <w:r w:rsidR="00DD3B6D">
        <w:t>FirstEnergy</w:t>
      </w:r>
      <w:r w:rsidR="00DD3B6D" w:rsidRPr="009472F6">
        <w:t xml:space="preserve"> and the SWE</w:t>
      </w:r>
      <w:r w:rsidR="00DD3B6D">
        <w:t xml:space="preserve"> </w:t>
      </w:r>
      <w:r w:rsidR="00DD3B6D">
        <w:rPr>
          <w:color w:val="000000"/>
        </w:rPr>
        <w:t>for FirstEnergy’s Phase II EM&amp;V Plan</w:t>
      </w:r>
      <w:r w:rsidR="00DD3B6D" w:rsidRPr="008A5E9E">
        <w:rPr>
          <w:color w:val="000000"/>
        </w:rPr>
        <w:t>.</w:t>
      </w:r>
      <w:r w:rsidR="00DD3B6D" w:rsidRPr="0053259F">
        <w:t xml:space="preserve"> </w:t>
      </w:r>
      <w:r w:rsidR="00DD3B6D" w:rsidRPr="00A145B8">
        <w:t xml:space="preserve">FirstEnergy </w:t>
      </w:r>
      <w:r w:rsidR="00DD3B6D">
        <w:t>EDCs</w:t>
      </w:r>
      <w:r w:rsidR="00DD3B6D" w:rsidRPr="00A145B8">
        <w:t xml:space="preserve"> submitted, and the SWE Team approved, only one EM&amp;V Plan across all four FirstEnergy EDCs.</w:t>
      </w:r>
    </w:p>
    <w:p w:rsidR="00DD3B6D" w:rsidRPr="00FB6015" w:rsidRDefault="00DD3B6D" w:rsidP="00DD3B6D"/>
    <w:p w:rsidR="00DD3B6D" w:rsidRPr="008A5E9E" w:rsidRDefault="008F62F5" w:rsidP="00DD3B6D">
      <w:pPr>
        <w:pStyle w:val="Caption"/>
        <w:rPr>
          <w:color w:val="000000"/>
        </w:rPr>
      </w:pPr>
      <w:bookmarkStart w:id="810" w:name="_Ref472360293"/>
      <w:bookmarkStart w:id="811" w:name="_Toc472472465"/>
      <w:bookmarkStart w:id="812" w:name="_Toc476842171"/>
      <w:r>
        <w:t>Table A-</w:t>
      </w:r>
      <w:fldSimple w:instr=" SEQ Table_A- \* ARABIC ">
        <w:r w:rsidR="00C301D0">
          <w:rPr>
            <w:noProof/>
          </w:rPr>
          <w:t>56</w:t>
        </w:r>
      </w:fldSimple>
      <w:bookmarkEnd w:id="810"/>
      <w:r>
        <w:t xml:space="preserve">: </w:t>
      </w:r>
      <w:r w:rsidR="00DD3B6D" w:rsidRPr="00FB6015">
        <w:t xml:space="preserve">Key Milestones Reached for </w:t>
      </w:r>
      <w:r w:rsidR="00DD3B6D">
        <w:t>Penelec’s</w:t>
      </w:r>
      <w:r w:rsidR="00DD3B6D" w:rsidRPr="00FB6015">
        <w:t xml:space="preserve"> Phase II EM&amp;V Plan</w:t>
      </w:r>
      <w:bookmarkEnd w:id="811"/>
      <w:bookmarkEnd w:id="812"/>
    </w:p>
    <w:tbl>
      <w:tblPr>
        <w:tblW w:w="9355" w:type="dxa"/>
        <w:tblInd w:w="108" w:type="dxa"/>
        <w:tblLayout w:type="fixed"/>
        <w:tblLook w:val="04A0" w:firstRow="1" w:lastRow="0" w:firstColumn="1" w:lastColumn="0" w:noHBand="0" w:noVBand="1"/>
      </w:tblPr>
      <w:tblGrid>
        <w:gridCol w:w="1975"/>
        <w:gridCol w:w="7380"/>
      </w:tblGrid>
      <w:tr w:rsidR="00E7173E" w:rsidRPr="00FE0103" w:rsidTr="00FD4D90">
        <w:trPr>
          <w:cantSplit/>
          <w:trHeight w:val="197"/>
          <w:tblHeader/>
        </w:trPr>
        <w:tc>
          <w:tcPr>
            <w:tcW w:w="1975"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DD3B6D" w:rsidRPr="00FE0103" w:rsidRDefault="00DD3B6D" w:rsidP="008C2D5E">
            <w:pPr>
              <w:jc w:val="left"/>
              <w:rPr>
                <w:b/>
                <w:bCs/>
                <w:color w:val="FFFFFF"/>
                <w:sz w:val="20"/>
                <w:szCs w:val="20"/>
              </w:rPr>
            </w:pPr>
            <w:r w:rsidRPr="00FE0103">
              <w:rPr>
                <w:b/>
                <w:bCs/>
                <w:color w:val="FFFFFF"/>
                <w:sz w:val="20"/>
                <w:szCs w:val="20"/>
              </w:rPr>
              <w:t>Date</w:t>
            </w:r>
          </w:p>
        </w:tc>
        <w:tc>
          <w:tcPr>
            <w:tcW w:w="7380" w:type="dxa"/>
            <w:tcBorders>
              <w:top w:val="single" w:sz="4" w:space="0" w:color="448A99"/>
              <w:left w:val="nil"/>
              <w:bottom w:val="single" w:sz="4" w:space="0" w:color="448A99"/>
              <w:right w:val="single" w:sz="4" w:space="0" w:color="448A99"/>
            </w:tcBorders>
            <w:shd w:val="clear" w:color="000000" w:fill="448A99"/>
            <w:vAlign w:val="bottom"/>
          </w:tcPr>
          <w:p w:rsidR="00DD3B6D" w:rsidRPr="00FE0103" w:rsidRDefault="00DD3B6D" w:rsidP="008C2D5E">
            <w:pPr>
              <w:jc w:val="left"/>
              <w:rPr>
                <w:b/>
                <w:bCs/>
                <w:color w:val="FFFFFF"/>
                <w:sz w:val="20"/>
                <w:szCs w:val="20"/>
              </w:rPr>
            </w:pPr>
            <w:r w:rsidRPr="00FE0103">
              <w:rPr>
                <w:b/>
                <w:bCs/>
                <w:color w:val="FFFFFF"/>
                <w:sz w:val="20"/>
                <w:szCs w:val="20"/>
              </w:rPr>
              <w:t>Event</w:t>
            </w:r>
          </w:p>
        </w:tc>
      </w:tr>
      <w:tr w:rsidR="00E7173E" w:rsidRPr="00FE0103" w:rsidTr="00FD4D90">
        <w:trPr>
          <w:trHeight w:val="732"/>
        </w:trPr>
        <w:tc>
          <w:tcPr>
            <w:tcW w:w="1975" w:type="dxa"/>
            <w:tcBorders>
              <w:top w:val="nil"/>
              <w:left w:val="single" w:sz="4" w:space="0" w:color="448A99"/>
              <w:bottom w:val="single" w:sz="4" w:space="0" w:color="448A99"/>
              <w:right w:val="single" w:sz="4" w:space="0" w:color="448A99"/>
            </w:tcBorders>
            <w:shd w:val="clear" w:color="auto" w:fill="D2EAF1"/>
            <w:vAlign w:val="center"/>
          </w:tcPr>
          <w:p w:rsidR="00DD3B6D" w:rsidRPr="00FE0103" w:rsidRDefault="00DD3B6D" w:rsidP="008C2D5E">
            <w:pPr>
              <w:jc w:val="left"/>
              <w:rPr>
                <w:bCs/>
                <w:color w:val="000000"/>
                <w:sz w:val="20"/>
                <w:szCs w:val="20"/>
              </w:rPr>
            </w:pPr>
            <w:r w:rsidRPr="00FE0103">
              <w:rPr>
                <w:sz w:val="20"/>
                <w:szCs w:val="20"/>
              </w:rPr>
              <w:t>September 19, 2013</w:t>
            </w:r>
          </w:p>
        </w:tc>
        <w:tc>
          <w:tcPr>
            <w:tcW w:w="7380" w:type="dxa"/>
            <w:tcBorders>
              <w:top w:val="nil"/>
              <w:left w:val="nil"/>
              <w:bottom w:val="single" w:sz="4" w:space="0" w:color="448A99"/>
              <w:right w:val="single" w:sz="4" w:space="0" w:color="448A99"/>
            </w:tcBorders>
            <w:shd w:val="clear" w:color="auto" w:fill="D2EAF1"/>
            <w:vAlign w:val="center"/>
          </w:tcPr>
          <w:p w:rsidR="00DD3B6D" w:rsidRPr="00FE0103" w:rsidRDefault="00DD3B6D" w:rsidP="008C2D5E">
            <w:pPr>
              <w:jc w:val="left"/>
              <w:rPr>
                <w:color w:val="000000"/>
                <w:sz w:val="20"/>
                <w:szCs w:val="20"/>
              </w:rPr>
            </w:pPr>
            <w:r w:rsidRPr="00FE0103">
              <w:rPr>
                <w:sz w:val="20"/>
                <w:szCs w:val="20"/>
              </w:rPr>
              <w:t xml:space="preserve">FirstEnergy </w:t>
            </w:r>
            <w:r>
              <w:rPr>
                <w:sz w:val="20"/>
                <w:szCs w:val="20"/>
              </w:rPr>
              <w:t xml:space="preserve">EDCs </w:t>
            </w:r>
            <w:r w:rsidRPr="00FE0103">
              <w:rPr>
                <w:sz w:val="20"/>
                <w:szCs w:val="20"/>
              </w:rPr>
              <w:t>submit first draft of Phase II evaluation plan to the PUC and SWE</w:t>
            </w:r>
          </w:p>
        </w:tc>
      </w:tr>
      <w:tr w:rsidR="00E7173E" w:rsidRPr="00FE0103" w:rsidTr="00FD4D90">
        <w:trPr>
          <w:trHeight w:val="732"/>
        </w:trPr>
        <w:tc>
          <w:tcPr>
            <w:tcW w:w="1975" w:type="dxa"/>
            <w:tcBorders>
              <w:top w:val="nil"/>
              <w:left w:val="single" w:sz="4" w:space="0" w:color="448A99"/>
              <w:bottom w:val="single" w:sz="4" w:space="0" w:color="448A99"/>
              <w:right w:val="single" w:sz="4" w:space="0" w:color="448A99"/>
            </w:tcBorders>
            <w:shd w:val="clear" w:color="auto" w:fill="auto"/>
            <w:vAlign w:val="center"/>
          </w:tcPr>
          <w:p w:rsidR="00DD3B6D" w:rsidRPr="00FE0103" w:rsidRDefault="00DD3B6D" w:rsidP="008C2D5E">
            <w:pPr>
              <w:jc w:val="left"/>
              <w:rPr>
                <w:bCs/>
                <w:color w:val="000000"/>
                <w:sz w:val="20"/>
                <w:szCs w:val="20"/>
                <w:lang w:eastAsia="zh-CN"/>
              </w:rPr>
            </w:pPr>
            <w:r w:rsidRPr="00FE0103">
              <w:rPr>
                <w:sz w:val="20"/>
                <w:szCs w:val="20"/>
              </w:rPr>
              <w:t>October 15, 2013</w:t>
            </w:r>
          </w:p>
        </w:tc>
        <w:tc>
          <w:tcPr>
            <w:tcW w:w="7380" w:type="dxa"/>
            <w:tcBorders>
              <w:top w:val="nil"/>
              <w:left w:val="nil"/>
              <w:bottom w:val="single" w:sz="4" w:space="0" w:color="448A99"/>
              <w:right w:val="single" w:sz="4" w:space="0" w:color="448A99"/>
            </w:tcBorders>
            <w:shd w:val="clear" w:color="auto" w:fill="auto"/>
            <w:vAlign w:val="center"/>
          </w:tcPr>
          <w:p w:rsidR="00DD3B6D" w:rsidRPr="00FE0103" w:rsidRDefault="00DD3B6D" w:rsidP="008C2D5E">
            <w:pPr>
              <w:jc w:val="left"/>
              <w:rPr>
                <w:color w:val="000000"/>
                <w:sz w:val="20"/>
                <w:szCs w:val="20"/>
              </w:rPr>
            </w:pPr>
            <w:r w:rsidRPr="00FE0103">
              <w:rPr>
                <w:sz w:val="20"/>
                <w:szCs w:val="20"/>
              </w:rPr>
              <w:t>SWE returns comments on the FirstEnergy evaluation plan to F</w:t>
            </w:r>
            <w:r>
              <w:rPr>
                <w:sz w:val="20"/>
                <w:szCs w:val="20"/>
              </w:rPr>
              <w:t>irst</w:t>
            </w:r>
            <w:r w:rsidRPr="00FE0103">
              <w:rPr>
                <w:sz w:val="20"/>
                <w:szCs w:val="20"/>
              </w:rPr>
              <w:t>E</w:t>
            </w:r>
            <w:r>
              <w:rPr>
                <w:sz w:val="20"/>
                <w:szCs w:val="20"/>
              </w:rPr>
              <w:t>nergy</w:t>
            </w:r>
          </w:p>
        </w:tc>
      </w:tr>
      <w:tr w:rsidR="00E7173E" w:rsidRPr="00FE0103" w:rsidTr="00FD4D90">
        <w:trPr>
          <w:trHeight w:val="732"/>
        </w:trPr>
        <w:tc>
          <w:tcPr>
            <w:tcW w:w="1975" w:type="dxa"/>
            <w:tcBorders>
              <w:top w:val="nil"/>
              <w:left w:val="single" w:sz="4" w:space="0" w:color="448A99"/>
              <w:bottom w:val="single" w:sz="4" w:space="0" w:color="448A99"/>
              <w:right w:val="single" w:sz="4" w:space="0" w:color="448A99"/>
            </w:tcBorders>
            <w:shd w:val="clear" w:color="auto" w:fill="D2EAF1"/>
            <w:vAlign w:val="center"/>
          </w:tcPr>
          <w:p w:rsidR="00DD3B6D" w:rsidRPr="00FE0103" w:rsidRDefault="00DD3B6D" w:rsidP="008C2D5E">
            <w:pPr>
              <w:jc w:val="left"/>
              <w:rPr>
                <w:bCs/>
                <w:color w:val="000000"/>
                <w:sz w:val="20"/>
                <w:szCs w:val="20"/>
                <w:lang w:eastAsia="zh-CN"/>
              </w:rPr>
            </w:pPr>
            <w:r w:rsidRPr="00FE0103">
              <w:rPr>
                <w:sz w:val="20"/>
                <w:szCs w:val="20"/>
              </w:rPr>
              <w:t>November 13, 2013</w:t>
            </w:r>
          </w:p>
        </w:tc>
        <w:tc>
          <w:tcPr>
            <w:tcW w:w="7380" w:type="dxa"/>
            <w:tcBorders>
              <w:top w:val="nil"/>
              <w:left w:val="nil"/>
              <w:bottom w:val="single" w:sz="4" w:space="0" w:color="448A99"/>
              <w:right w:val="single" w:sz="4" w:space="0" w:color="448A99"/>
            </w:tcBorders>
            <w:shd w:val="clear" w:color="auto" w:fill="D2EAF1"/>
            <w:vAlign w:val="center"/>
          </w:tcPr>
          <w:p w:rsidR="00DD3B6D" w:rsidRPr="00FE0103" w:rsidRDefault="00DD3B6D" w:rsidP="008C2D5E">
            <w:pPr>
              <w:jc w:val="left"/>
              <w:rPr>
                <w:color w:val="000000"/>
                <w:sz w:val="20"/>
                <w:szCs w:val="20"/>
              </w:rPr>
            </w:pPr>
            <w:r w:rsidRPr="00FE0103">
              <w:rPr>
                <w:sz w:val="20"/>
                <w:szCs w:val="20"/>
              </w:rPr>
              <w:t>SWE sends a list of “items that be must addressed” to FirstEnergy</w:t>
            </w:r>
            <w:r>
              <w:rPr>
                <w:sz w:val="20"/>
                <w:szCs w:val="20"/>
              </w:rPr>
              <w:t xml:space="preserve"> EDCs</w:t>
            </w:r>
          </w:p>
        </w:tc>
      </w:tr>
      <w:tr w:rsidR="00E7173E" w:rsidRPr="00FE0103" w:rsidTr="00FD4D90">
        <w:trPr>
          <w:trHeight w:val="732"/>
        </w:trPr>
        <w:tc>
          <w:tcPr>
            <w:tcW w:w="1975" w:type="dxa"/>
            <w:tcBorders>
              <w:top w:val="nil"/>
              <w:left w:val="single" w:sz="4" w:space="0" w:color="448A99"/>
              <w:bottom w:val="single" w:sz="4" w:space="0" w:color="448A99"/>
              <w:right w:val="single" w:sz="4" w:space="0" w:color="448A99"/>
            </w:tcBorders>
            <w:shd w:val="clear" w:color="auto" w:fill="auto"/>
            <w:vAlign w:val="center"/>
          </w:tcPr>
          <w:p w:rsidR="00DD3B6D" w:rsidRPr="00FE0103" w:rsidRDefault="00DD3B6D" w:rsidP="008C2D5E">
            <w:pPr>
              <w:jc w:val="left"/>
              <w:rPr>
                <w:bCs/>
                <w:color w:val="000000"/>
                <w:sz w:val="20"/>
                <w:szCs w:val="20"/>
                <w:lang w:eastAsia="zh-CN"/>
              </w:rPr>
            </w:pPr>
            <w:r w:rsidRPr="00FE0103">
              <w:rPr>
                <w:sz w:val="20"/>
                <w:szCs w:val="20"/>
              </w:rPr>
              <w:t>February 19, 2014</w:t>
            </w:r>
          </w:p>
        </w:tc>
        <w:tc>
          <w:tcPr>
            <w:tcW w:w="7380" w:type="dxa"/>
            <w:tcBorders>
              <w:top w:val="nil"/>
              <w:left w:val="nil"/>
              <w:bottom w:val="single" w:sz="4" w:space="0" w:color="448A99"/>
              <w:right w:val="single" w:sz="4" w:space="0" w:color="448A99"/>
            </w:tcBorders>
            <w:shd w:val="clear" w:color="auto" w:fill="auto"/>
            <w:vAlign w:val="center"/>
          </w:tcPr>
          <w:p w:rsidR="00DD3B6D" w:rsidRPr="00FE0103" w:rsidRDefault="00DD3B6D" w:rsidP="008C2D5E">
            <w:pPr>
              <w:jc w:val="left"/>
              <w:rPr>
                <w:color w:val="000000"/>
                <w:sz w:val="20"/>
                <w:szCs w:val="20"/>
              </w:rPr>
            </w:pPr>
            <w:r w:rsidRPr="00FE0103">
              <w:rPr>
                <w:sz w:val="20"/>
                <w:szCs w:val="20"/>
              </w:rPr>
              <w:t xml:space="preserve">FirstEnergy </w:t>
            </w:r>
            <w:r>
              <w:rPr>
                <w:sz w:val="20"/>
                <w:szCs w:val="20"/>
              </w:rPr>
              <w:t xml:space="preserve">EDCs </w:t>
            </w:r>
            <w:r w:rsidRPr="00FE0103">
              <w:rPr>
                <w:sz w:val="20"/>
                <w:szCs w:val="20"/>
              </w:rPr>
              <w:t>submit revised Phase II evaluation plan to the PUC and SWE</w:t>
            </w:r>
          </w:p>
        </w:tc>
      </w:tr>
      <w:tr w:rsidR="00E7173E" w:rsidRPr="00FE0103" w:rsidTr="00FD4D90">
        <w:trPr>
          <w:trHeight w:val="732"/>
        </w:trPr>
        <w:tc>
          <w:tcPr>
            <w:tcW w:w="1975" w:type="dxa"/>
            <w:tcBorders>
              <w:top w:val="nil"/>
              <w:left w:val="single" w:sz="4" w:space="0" w:color="448A99"/>
              <w:bottom w:val="single" w:sz="8" w:space="0" w:color="448A99"/>
              <w:right w:val="single" w:sz="4" w:space="0" w:color="448A99"/>
            </w:tcBorders>
            <w:shd w:val="clear" w:color="auto" w:fill="D2EAF1"/>
            <w:vAlign w:val="center"/>
          </w:tcPr>
          <w:p w:rsidR="00DD3B6D" w:rsidRPr="00FE0103" w:rsidRDefault="00DD3B6D" w:rsidP="008C2D5E">
            <w:pPr>
              <w:jc w:val="left"/>
              <w:rPr>
                <w:bCs/>
                <w:color w:val="000000"/>
                <w:sz w:val="20"/>
                <w:szCs w:val="20"/>
              </w:rPr>
            </w:pPr>
            <w:r w:rsidRPr="00FE0103">
              <w:rPr>
                <w:sz w:val="20"/>
                <w:szCs w:val="20"/>
              </w:rPr>
              <w:t>June 1, 2014</w:t>
            </w:r>
          </w:p>
        </w:tc>
        <w:tc>
          <w:tcPr>
            <w:tcW w:w="7380" w:type="dxa"/>
            <w:tcBorders>
              <w:top w:val="nil"/>
              <w:left w:val="nil"/>
              <w:bottom w:val="single" w:sz="8" w:space="0" w:color="448A99"/>
              <w:right w:val="single" w:sz="4" w:space="0" w:color="448A99"/>
            </w:tcBorders>
            <w:shd w:val="clear" w:color="auto" w:fill="D2EAF1"/>
            <w:vAlign w:val="center"/>
          </w:tcPr>
          <w:p w:rsidR="00DD3B6D" w:rsidRPr="00FE0103" w:rsidRDefault="00DD3B6D" w:rsidP="008C2D5E">
            <w:pPr>
              <w:jc w:val="left"/>
              <w:rPr>
                <w:color w:val="000000"/>
                <w:sz w:val="20"/>
                <w:szCs w:val="20"/>
              </w:rPr>
            </w:pPr>
            <w:r w:rsidRPr="00FE0103">
              <w:rPr>
                <w:sz w:val="20"/>
                <w:szCs w:val="20"/>
              </w:rPr>
              <w:t>PY6 starts</w:t>
            </w:r>
          </w:p>
        </w:tc>
      </w:tr>
      <w:tr w:rsidR="00E7173E" w:rsidRPr="00FE0103" w:rsidTr="00FD4D90">
        <w:trPr>
          <w:trHeight w:val="732"/>
        </w:trPr>
        <w:tc>
          <w:tcPr>
            <w:tcW w:w="1975" w:type="dxa"/>
            <w:tcBorders>
              <w:top w:val="single" w:sz="8" w:space="0" w:color="448A99"/>
              <w:left w:val="single" w:sz="4" w:space="0" w:color="448A99"/>
              <w:bottom w:val="single" w:sz="8" w:space="0" w:color="448A99"/>
              <w:right w:val="single" w:sz="4" w:space="0" w:color="448A99"/>
            </w:tcBorders>
            <w:shd w:val="clear" w:color="auto" w:fill="FFFFFF"/>
            <w:vAlign w:val="center"/>
          </w:tcPr>
          <w:p w:rsidR="00DD3B6D" w:rsidRPr="00FE0103" w:rsidRDefault="00DD3B6D" w:rsidP="008C2D5E">
            <w:pPr>
              <w:jc w:val="left"/>
              <w:rPr>
                <w:sz w:val="20"/>
                <w:szCs w:val="20"/>
              </w:rPr>
            </w:pPr>
            <w:r w:rsidRPr="00FE0103">
              <w:rPr>
                <w:sz w:val="20"/>
                <w:szCs w:val="20"/>
              </w:rPr>
              <w:t>December 17, 2014</w:t>
            </w:r>
          </w:p>
        </w:tc>
        <w:tc>
          <w:tcPr>
            <w:tcW w:w="7380" w:type="dxa"/>
            <w:tcBorders>
              <w:top w:val="single" w:sz="8" w:space="0" w:color="448A99"/>
              <w:left w:val="nil"/>
              <w:bottom w:val="single" w:sz="8" w:space="0" w:color="448A99"/>
              <w:right w:val="single" w:sz="4" w:space="0" w:color="448A99"/>
            </w:tcBorders>
            <w:shd w:val="clear" w:color="auto" w:fill="FFFFFF"/>
            <w:vAlign w:val="center"/>
          </w:tcPr>
          <w:p w:rsidR="00DD3B6D" w:rsidRPr="00FE0103" w:rsidRDefault="00DD3B6D" w:rsidP="008C2D5E">
            <w:pPr>
              <w:jc w:val="left"/>
              <w:rPr>
                <w:sz w:val="20"/>
                <w:szCs w:val="20"/>
              </w:rPr>
            </w:pPr>
            <w:r w:rsidRPr="00FE0103">
              <w:rPr>
                <w:sz w:val="20"/>
                <w:szCs w:val="20"/>
              </w:rPr>
              <w:t xml:space="preserve">FirstEnergy </w:t>
            </w:r>
            <w:r>
              <w:rPr>
                <w:sz w:val="20"/>
                <w:szCs w:val="20"/>
              </w:rPr>
              <w:t>EDCs</w:t>
            </w:r>
            <w:r w:rsidRPr="00FE0103">
              <w:rPr>
                <w:sz w:val="20"/>
                <w:szCs w:val="20"/>
              </w:rPr>
              <w:t xml:space="preserve"> provide email with additional information on the approach used by ADM for the PY6 evaluation of </w:t>
            </w:r>
            <w:r>
              <w:rPr>
                <w:sz w:val="20"/>
                <w:szCs w:val="20"/>
              </w:rPr>
              <w:t>Penelec’s</w:t>
            </w:r>
            <w:r w:rsidRPr="00FE0103">
              <w:rPr>
                <w:sz w:val="20"/>
                <w:szCs w:val="20"/>
              </w:rPr>
              <w:t xml:space="preserve"> Appliance Turn-In Program</w:t>
            </w:r>
          </w:p>
        </w:tc>
      </w:tr>
      <w:tr w:rsidR="00E7173E" w:rsidRPr="00FE0103" w:rsidTr="00FD4D90">
        <w:trPr>
          <w:trHeight w:val="732"/>
        </w:trPr>
        <w:tc>
          <w:tcPr>
            <w:tcW w:w="1975" w:type="dxa"/>
            <w:tcBorders>
              <w:top w:val="single" w:sz="8" w:space="0" w:color="448A99"/>
              <w:left w:val="single" w:sz="4" w:space="0" w:color="448A99"/>
              <w:bottom w:val="single" w:sz="4" w:space="0" w:color="448A99"/>
              <w:right w:val="single" w:sz="4" w:space="0" w:color="448A99"/>
            </w:tcBorders>
            <w:shd w:val="clear" w:color="auto" w:fill="D2EAF1"/>
            <w:vAlign w:val="center"/>
          </w:tcPr>
          <w:p w:rsidR="00DD3B6D" w:rsidRPr="00FE0103" w:rsidRDefault="00DD3B6D" w:rsidP="008C2D5E">
            <w:pPr>
              <w:jc w:val="left"/>
              <w:rPr>
                <w:sz w:val="20"/>
                <w:szCs w:val="20"/>
              </w:rPr>
            </w:pPr>
            <w:r w:rsidRPr="00FE0103">
              <w:rPr>
                <w:sz w:val="20"/>
                <w:szCs w:val="20"/>
              </w:rPr>
              <w:t>January 5, 2015</w:t>
            </w:r>
          </w:p>
        </w:tc>
        <w:tc>
          <w:tcPr>
            <w:tcW w:w="7380" w:type="dxa"/>
            <w:tcBorders>
              <w:top w:val="single" w:sz="8" w:space="0" w:color="448A99"/>
              <w:left w:val="nil"/>
              <w:bottom w:val="single" w:sz="4" w:space="0" w:color="448A99"/>
              <w:right w:val="single" w:sz="4" w:space="0" w:color="448A99"/>
            </w:tcBorders>
            <w:shd w:val="clear" w:color="auto" w:fill="D2EAF1"/>
            <w:vAlign w:val="center"/>
          </w:tcPr>
          <w:p w:rsidR="00DD3B6D" w:rsidRPr="00FE0103" w:rsidRDefault="00DD3B6D" w:rsidP="008C2D5E">
            <w:pPr>
              <w:jc w:val="left"/>
              <w:rPr>
                <w:sz w:val="20"/>
                <w:szCs w:val="20"/>
              </w:rPr>
            </w:pPr>
            <w:r w:rsidRPr="00FE0103">
              <w:rPr>
                <w:sz w:val="20"/>
                <w:szCs w:val="20"/>
              </w:rPr>
              <w:t xml:space="preserve">FirstEnergy </w:t>
            </w:r>
            <w:r>
              <w:rPr>
                <w:sz w:val="20"/>
                <w:szCs w:val="20"/>
              </w:rPr>
              <w:t>EDCs</w:t>
            </w:r>
            <w:r w:rsidRPr="00FE0103">
              <w:rPr>
                <w:sz w:val="20"/>
                <w:szCs w:val="20"/>
              </w:rPr>
              <w:t xml:space="preserve"> send email to SWE with clarification of sampling approach for the evaluations of the residential low-income program components (direct-install, giveaway, and </w:t>
            </w:r>
            <w:r>
              <w:rPr>
                <w:sz w:val="20"/>
                <w:szCs w:val="20"/>
              </w:rPr>
              <w:t>l</w:t>
            </w:r>
            <w:r w:rsidRPr="00FE0103">
              <w:rPr>
                <w:sz w:val="20"/>
                <w:szCs w:val="20"/>
              </w:rPr>
              <w:t xml:space="preserve">ow </w:t>
            </w:r>
            <w:r>
              <w:rPr>
                <w:sz w:val="20"/>
                <w:szCs w:val="20"/>
              </w:rPr>
              <w:t>i</w:t>
            </w:r>
            <w:r w:rsidRPr="00FE0103">
              <w:rPr>
                <w:sz w:val="20"/>
                <w:szCs w:val="20"/>
              </w:rPr>
              <w:t xml:space="preserve">ncome </w:t>
            </w:r>
            <w:r>
              <w:rPr>
                <w:sz w:val="20"/>
                <w:szCs w:val="20"/>
              </w:rPr>
              <w:t>l</w:t>
            </w:r>
            <w:r w:rsidRPr="00FE0103">
              <w:rPr>
                <w:sz w:val="20"/>
                <w:szCs w:val="20"/>
              </w:rPr>
              <w:t xml:space="preserve">ow </w:t>
            </w:r>
            <w:r>
              <w:rPr>
                <w:sz w:val="20"/>
                <w:szCs w:val="20"/>
              </w:rPr>
              <w:t>u</w:t>
            </w:r>
            <w:r w:rsidRPr="00FE0103">
              <w:rPr>
                <w:sz w:val="20"/>
                <w:szCs w:val="20"/>
              </w:rPr>
              <w:t>se kit component</w:t>
            </w:r>
            <w:r>
              <w:rPr>
                <w:sz w:val="20"/>
                <w:szCs w:val="20"/>
              </w:rPr>
              <w:t>s</w:t>
            </w:r>
            <w:r w:rsidRPr="00FE0103">
              <w:rPr>
                <w:sz w:val="20"/>
                <w:szCs w:val="20"/>
              </w:rPr>
              <w:t>)</w:t>
            </w:r>
          </w:p>
        </w:tc>
      </w:tr>
    </w:tbl>
    <w:p w:rsidR="00DD3B6D" w:rsidRPr="00FB6015" w:rsidRDefault="00DD3B6D" w:rsidP="00DD3B6D"/>
    <w:p w:rsidR="00DD3B6D" w:rsidRPr="00FB6015" w:rsidRDefault="00DD3B6D" w:rsidP="00DD3B6D">
      <w:pPr>
        <w:spacing w:after="120"/>
      </w:pPr>
      <w:r w:rsidRPr="00C24FA0">
        <w:t>The</w:t>
      </w:r>
      <w:r w:rsidRPr="00FB6015">
        <w:t xml:space="preserve"> initial EM&amp;V Plan for all FirstEnergy companies, submitted on September 19, 2013, detailed proposed evaluation objectives and activities for nine programs across two sectors. Key evaluation issues, impact evaluation details, process evaluation details, sampling plans, and key contacts were presented for each of the nine programs. After reviewing the plan, the SWE Team returned 34 comments on October 15, 2013. Many of the SWE Team’s comments demonstrated the SWE Team’s agreement with details of the </w:t>
      </w:r>
      <w:r w:rsidRPr="00126D81">
        <w:t>FirstEnergy EDCs’</w:t>
      </w:r>
      <w:r w:rsidRPr="00FB6015">
        <w:t xml:space="preserve"> plan. Most of the remaining comments concerned report formatting and minor </w:t>
      </w:r>
      <w:r w:rsidRPr="00FB6015">
        <w:lastRenderedPageBreak/>
        <w:t>clarifications that did not propose changes to the plan; substantive recommendations for revisions to the plan arose in only two areas:</w:t>
      </w:r>
    </w:p>
    <w:p w:rsidR="00DD3B6D" w:rsidRPr="008A5E9E" w:rsidRDefault="00DD3B6D" w:rsidP="00E646C9">
      <w:pPr>
        <w:numPr>
          <w:ilvl w:val="0"/>
          <w:numId w:val="76"/>
        </w:numPr>
        <w:spacing w:after="120"/>
        <w:ind w:left="360"/>
        <w:rPr>
          <w:color w:val="000000"/>
          <w:szCs w:val="20"/>
        </w:rPr>
      </w:pPr>
      <w:r w:rsidRPr="008A5E9E">
        <w:rPr>
          <w:color w:val="000000"/>
          <w:szCs w:val="20"/>
        </w:rPr>
        <w:t>Frequency of EDC data gathering in partially deemed measures</w:t>
      </w:r>
    </w:p>
    <w:p w:rsidR="00DD3B6D" w:rsidRPr="008A5E9E" w:rsidRDefault="00DD3B6D" w:rsidP="00E646C9">
      <w:pPr>
        <w:numPr>
          <w:ilvl w:val="0"/>
          <w:numId w:val="76"/>
        </w:numPr>
        <w:ind w:left="360"/>
        <w:rPr>
          <w:color w:val="000000"/>
          <w:szCs w:val="20"/>
        </w:rPr>
      </w:pPr>
      <w:r w:rsidRPr="008A5E9E">
        <w:rPr>
          <w:color w:val="000000"/>
          <w:szCs w:val="20"/>
        </w:rPr>
        <w:t>Definition of high-impact measures in C/I programs</w:t>
      </w:r>
    </w:p>
    <w:p w:rsidR="00DD3B6D" w:rsidRPr="008A5E9E" w:rsidRDefault="00DD3B6D" w:rsidP="00DD3B6D">
      <w:pPr>
        <w:rPr>
          <w:color w:val="000000"/>
        </w:rPr>
      </w:pPr>
    </w:p>
    <w:p w:rsidR="00DD3B6D" w:rsidRDefault="00DD3B6D" w:rsidP="00DD3B6D">
      <w:pPr>
        <w:rPr>
          <w:color w:val="000000"/>
        </w:rPr>
      </w:pPr>
      <w:r w:rsidRPr="008A5E9E">
        <w:rPr>
          <w:color w:val="000000"/>
        </w:rPr>
        <w:t xml:space="preserve">FirstEnergy EDCs provided revisions to the plan on February 19, 2014, and the SWE Team approved the revised version as the final Phase II EM&amp;V Plan. The SWE Team’s review of the evaluation activities revealed that the plan was followed appropriately for all PY6 </w:t>
      </w:r>
      <w:r>
        <w:rPr>
          <w:color w:val="000000"/>
        </w:rPr>
        <w:t xml:space="preserve">and PY7 </w:t>
      </w:r>
      <w:r w:rsidRPr="008A5E9E">
        <w:rPr>
          <w:color w:val="000000"/>
        </w:rPr>
        <w:t>EM&amp;V activities.</w:t>
      </w:r>
    </w:p>
    <w:p w:rsidR="009847AC" w:rsidRPr="009847AC" w:rsidRDefault="009847AC" w:rsidP="009847AC"/>
    <w:p w:rsidR="00950837" w:rsidRDefault="00950837" w:rsidP="00D34B3E">
      <w:pPr>
        <w:pStyle w:val="AppendixAHeading3"/>
      </w:pPr>
      <w:r>
        <w:t>Measurement and Verification Activities and Findings</w:t>
      </w:r>
    </w:p>
    <w:p w:rsidR="00891F4B" w:rsidRPr="00EE3A4B" w:rsidRDefault="00891F4B" w:rsidP="00891F4B">
      <w:r w:rsidRPr="00EE3A4B">
        <w:t xml:space="preserve">Realization rates compare gross savings reported by the EDC </w:t>
      </w:r>
      <w:r w:rsidR="000E712F">
        <w:t>with</w:t>
      </w:r>
      <w:r w:rsidRPr="00EE3A4B">
        <w:t xml:space="preserve"> the verified gross savings determined by the EDC evaluation contractor through M&amp;V.</w:t>
      </w:r>
      <w:r>
        <w:t xml:space="preserve"> </w:t>
      </w:r>
      <w:r>
        <w:fldChar w:fldCharType="begin"/>
      </w:r>
      <w:r>
        <w:instrText xml:space="preserve"> REF _Ref472464034 \h </w:instrText>
      </w:r>
      <w:r>
        <w:fldChar w:fldCharType="separate"/>
      </w:r>
      <w:r w:rsidR="00C301D0">
        <w:t>Table A-</w:t>
      </w:r>
      <w:r w:rsidR="00C301D0">
        <w:rPr>
          <w:noProof/>
        </w:rPr>
        <w:t>57</w:t>
      </w:r>
      <w:r>
        <w:fldChar w:fldCharType="end"/>
      </w:r>
      <w:r w:rsidRPr="00EE3A4B">
        <w:t xml:space="preserve"> summarizes M&amp;V findings based on activities conducted by the </w:t>
      </w:r>
      <w:r>
        <w:t>Penelec</w:t>
      </w:r>
      <w:r w:rsidRPr="00EE3A4B">
        <w:t xml:space="preserve"> evaluation contractor. The summary is based on details provided in </w:t>
      </w:r>
      <w:r>
        <w:t>Penelec’s</w:t>
      </w:r>
      <w:r w:rsidRPr="00EE3A4B">
        <w:t xml:space="preserve"> PY6 annual report and on information obtained from the SWE Team’s data requests and audits. </w:t>
      </w:r>
      <w:r w:rsidR="000E712F">
        <w:fldChar w:fldCharType="begin"/>
      </w:r>
      <w:r w:rsidR="000E712F">
        <w:instrText xml:space="preserve"> REF _Ref472464034 \h </w:instrText>
      </w:r>
      <w:r w:rsidR="000E712F">
        <w:fldChar w:fldCharType="separate"/>
      </w:r>
      <w:r w:rsidR="00C301D0">
        <w:t>Table A-</w:t>
      </w:r>
      <w:r w:rsidR="00C301D0">
        <w:rPr>
          <w:noProof/>
        </w:rPr>
        <w:t>57</w:t>
      </w:r>
      <w:r w:rsidR="000E712F">
        <w:fldChar w:fldCharType="end"/>
      </w:r>
      <w:r>
        <w:t xml:space="preserve"> </w:t>
      </w:r>
      <w:r w:rsidRPr="00EE3A4B">
        <w:t xml:space="preserve">presents realization rates and relative precision values for verified energy and demand savings for each of </w:t>
      </w:r>
      <w:r>
        <w:t>Penelec</w:t>
      </w:r>
      <w:r w:rsidRPr="00EE3A4B">
        <w:t>’s residential and non-residential energy efficiency programs in PY</w:t>
      </w:r>
      <w:r>
        <w:t>7</w:t>
      </w:r>
      <w:r w:rsidRPr="00EE3A4B">
        <w:t xml:space="preserve">. </w:t>
      </w:r>
    </w:p>
    <w:p w:rsidR="00891F4B" w:rsidRPr="00EE3A4B" w:rsidRDefault="00891F4B" w:rsidP="00891F4B">
      <w:pPr>
        <w:rPr>
          <w:highlight w:val="lightGray"/>
        </w:rPr>
      </w:pPr>
    </w:p>
    <w:p w:rsidR="00891F4B" w:rsidRPr="00EE3A4B" w:rsidRDefault="00891F4B" w:rsidP="00891F4B">
      <w:pPr>
        <w:pStyle w:val="Caption"/>
      </w:pPr>
      <w:bookmarkStart w:id="813" w:name="_Ref472464034"/>
      <w:bookmarkStart w:id="814" w:name="_Toc472472466"/>
      <w:bookmarkStart w:id="815" w:name="_Toc476842172"/>
      <w:r>
        <w:t>Table A-</w:t>
      </w:r>
      <w:fldSimple w:instr=" SEQ Table_A- \* ARABIC ">
        <w:r w:rsidR="00C301D0">
          <w:rPr>
            <w:noProof/>
          </w:rPr>
          <w:t>57</w:t>
        </w:r>
      </w:fldSimple>
      <w:bookmarkEnd w:id="813"/>
      <w:r>
        <w:t>: Penelec</w:t>
      </w:r>
      <w:r w:rsidRPr="00EE3A4B">
        <w:t xml:space="preserve"> Energy Efficiency Programs – Realization Rates for Energy and Demand Savings in PY</w:t>
      </w:r>
      <w:r>
        <w:t>7</w:t>
      </w:r>
      <w:bookmarkEnd w:id="814"/>
      <w:bookmarkEnd w:id="815"/>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172"/>
        <w:gridCol w:w="1547"/>
        <w:gridCol w:w="1547"/>
        <w:gridCol w:w="1547"/>
        <w:gridCol w:w="1547"/>
      </w:tblGrid>
      <w:tr w:rsidR="00A874AC" w:rsidRPr="00EE3A4B" w:rsidTr="00891F4B">
        <w:trPr>
          <w:trHeight w:val="836"/>
          <w:tblHeader/>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448A99"/>
            <w:noWrap/>
            <w:vAlign w:val="bottom"/>
            <w:hideMark/>
          </w:tcPr>
          <w:p w:rsidR="00891F4B" w:rsidRPr="00EE3A4B" w:rsidRDefault="00891F4B" w:rsidP="00380FF9">
            <w:pPr>
              <w:rPr>
                <w:rFonts w:eastAsia="Calibri"/>
                <w:b/>
                <w:color w:val="FFFFFF"/>
                <w:sz w:val="20"/>
                <w:szCs w:val="20"/>
              </w:rPr>
            </w:pPr>
            <w:r w:rsidRPr="00EE3A4B">
              <w:rPr>
                <w:rFonts w:eastAsia="Calibri"/>
                <w:b/>
                <w:color w:val="FFFFFF"/>
                <w:sz w:val="20"/>
                <w:szCs w:val="20"/>
              </w:rPr>
              <w:t>Program</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891F4B" w:rsidRPr="00EE3A4B" w:rsidRDefault="00891F4B" w:rsidP="00380FF9">
            <w:pPr>
              <w:jc w:val="center"/>
              <w:rPr>
                <w:rFonts w:eastAsia="Calibri"/>
                <w:b/>
                <w:color w:val="FFFFFF"/>
                <w:sz w:val="20"/>
                <w:szCs w:val="20"/>
              </w:rPr>
            </w:pPr>
            <w:r w:rsidRPr="00EE3A4B">
              <w:rPr>
                <w:rFonts w:eastAsia="Calibri"/>
                <w:b/>
                <w:color w:val="FFFFFF"/>
                <w:sz w:val="20"/>
                <w:szCs w:val="20"/>
              </w:rPr>
              <w:t>Energy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891F4B" w:rsidRPr="00EE3A4B" w:rsidRDefault="00891F4B" w:rsidP="00380FF9">
            <w:pPr>
              <w:jc w:val="center"/>
              <w:rPr>
                <w:rFonts w:eastAsia="Calibri"/>
                <w:b/>
                <w:color w:val="FFFFFF"/>
                <w:sz w:val="20"/>
                <w:szCs w:val="20"/>
              </w:rPr>
            </w:pPr>
            <w:r w:rsidRPr="00EE3A4B">
              <w:rPr>
                <w:rFonts w:eastAsia="Calibri"/>
                <w:b/>
                <w:color w:val="FFFFFF"/>
                <w:sz w:val="20"/>
                <w:szCs w:val="20"/>
              </w:rPr>
              <w:t>Relative Precision (Energy)</w:t>
            </w:r>
            <w:r w:rsidRPr="00EE3A4B">
              <w:rPr>
                <w:rFonts w:eastAsia="Calibri"/>
                <w:b/>
                <w:color w:val="FFFFFF"/>
                <w:sz w:val="20"/>
                <w:szCs w:val="20"/>
                <w:vertAlign w:val="superscript"/>
              </w:rPr>
              <w:t>[a]</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891F4B" w:rsidRPr="00EE3A4B" w:rsidRDefault="00891F4B" w:rsidP="00380FF9">
            <w:pPr>
              <w:jc w:val="center"/>
              <w:rPr>
                <w:rFonts w:eastAsia="Calibri"/>
                <w:b/>
                <w:color w:val="FFFFFF"/>
                <w:sz w:val="20"/>
                <w:szCs w:val="20"/>
              </w:rPr>
            </w:pPr>
            <w:r w:rsidRPr="00EE3A4B">
              <w:rPr>
                <w:rFonts w:eastAsia="Calibri"/>
                <w:b/>
                <w:color w:val="FFFFFF"/>
                <w:sz w:val="20"/>
                <w:szCs w:val="20"/>
              </w:rPr>
              <w:t>Demand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891F4B" w:rsidRPr="00EE3A4B" w:rsidRDefault="00891F4B" w:rsidP="00380FF9">
            <w:pPr>
              <w:jc w:val="center"/>
              <w:rPr>
                <w:rFonts w:eastAsia="Calibri"/>
                <w:b/>
                <w:color w:val="FFFFFF"/>
                <w:sz w:val="20"/>
                <w:szCs w:val="20"/>
              </w:rPr>
            </w:pPr>
            <w:r w:rsidRPr="00EE3A4B">
              <w:rPr>
                <w:rFonts w:eastAsia="Calibri"/>
                <w:b/>
                <w:color w:val="FFFFFF"/>
                <w:sz w:val="20"/>
                <w:szCs w:val="20"/>
              </w:rPr>
              <w:t>Relative Precision (Demand)</w:t>
            </w:r>
            <w:r w:rsidRPr="00EE3A4B">
              <w:rPr>
                <w:rFonts w:eastAsia="Calibri"/>
                <w:b/>
                <w:color w:val="FFFFFF"/>
                <w:sz w:val="20"/>
                <w:szCs w:val="20"/>
                <w:vertAlign w:val="superscript"/>
              </w:rPr>
              <w:t>[a]</w:t>
            </w:r>
          </w:p>
        </w:tc>
      </w:tr>
      <w:tr w:rsidR="00A874AC" w:rsidRPr="00EE3A4B"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380FF9">
            <w:pPr>
              <w:jc w:val="left"/>
              <w:rPr>
                <w:rFonts w:eastAsia="Calibri"/>
                <w:sz w:val="20"/>
                <w:szCs w:val="20"/>
              </w:rPr>
            </w:pPr>
            <w:r w:rsidRPr="00EE3A4B">
              <w:rPr>
                <w:rFonts w:eastAsia="Calibri"/>
                <w:sz w:val="20"/>
                <w:szCs w:val="20"/>
              </w:rPr>
              <w:t>Appliance Turn-In</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380FF9">
            <w:pPr>
              <w:jc w:val="center"/>
              <w:rPr>
                <w:rFonts w:eastAsia="Calibri"/>
                <w:sz w:val="20"/>
                <w:szCs w:val="20"/>
              </w:rPr>
            </w:pPr>
            <w:r>
              <w:rPr>
                <w:rFonts w:eastAsia="Calibri"/>
                <w:sz w:val="20"/>
                <w:szCs w:val="20"/>
              </w:rPr>
              <w:t>97.3</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380FF9">
            <w:pPr>
              <w:jc w:val="center"/>
              <w:rPr>
                <w:rFonts w:eastAsia="Calibri"/>
                <w:sz w:val="20"/>
                <w:szCs w:val="20"/>
              </w:rPr>
            </w:pPr>
            <w:r>
              <w:rPr>
                <w:rFonts w:eastAsia="Calibri"/>
                <w:sz w:val="20"/>
                <w:szCs w:val="20"/>
              </w:rPr>
              <w:t>8.4</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380FF9">
            <w:pPr>
              <w:jc w:val="center"/>
              <w:rPr>
                <w:rFonts w:eastAsia="Calibri"/>
                <w:sz w:val="20"/>
                <w:szCs w:val="20"/>
              </w:rPr>
            </w:pPr>
            <w:r>
              <w:rPr>
                <w:rFonts w:eastAsia="Calibri"/>
                <w:sz w:val="20"/>
                <w:szCs w:val="20"/>
              </w:rPr>
              <w:t>96.6</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7.9</w:t>
            </w:r>
            <w:r w:rsidRPr="00EE3A4B">
              <w:rPr>
                <w:rFonts w:eastAsia="Calibri"/>
                <w:sz w:val="20"/>
                <w:szCs w:val="20"/>
              </w:rPr>
              <w:t>%</w:t>
            </w:r>
          </w:p>
        </w:tc>
      </w:tr>
      <w:tr w:rsidR="00E7173E" w:rsidRPr="00EE3A4B" w:rsidTr="0081757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EE3A4B" w:rsidRDefault="00891F4B" w:rsidP="00380FF9">
            <w:pPr>
              <w:jc w:val="left"/>
              <w:rPr>
                <w:rFonts w:eastAsia="Calibri"/>
                <w:sz w:val="20"/>
                <w:szCs w:val="20"/>
              </w:rPr>
            </w:pPr>
            <w:r w:rsidRPr="00EE3A4B">
              <w:rPr>
                <w:rFonts w:eastAsia="Calibri"/>
                <w:sz w:val="20"/>
                <w:szCs w:val="20"/>
              </w:rPr>
              <w:t>Efficient Products</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EE3A4B" w:rsidRDefault="00891F4B" w:rsidP="00380FF9">
            <w:pPr>
              <w:jc w:val="center"/>
              <w:rPr>
                <w:rFonts w:eastAsia="Calibri"/>
                <w:sz w:val="20"/>
                <w:szCs w:val="20"/>
              </w:rPr>
            </w:pPr>
            <w:r>
              <w:rPr>
                <w:rFonts w:eastAsia="Calibri"/>
                <w:sz w:val="20"/>
                <w:szCs w:val="20"/>
              </w:rPr>
              <w:t>140.7</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EE3A4B" w:rsidRDefault="00891F4B" w:rsidP="00380FF9">
            <w:pPr>
              <w:jc w:val="center"/>
              <w:rPr>
                <w:rFonts w:eastAsia="Calibri"/>
                <w:sz w:val="20"/>
                <w:szCs w:val="20"/>
              </w:rPr>
            </w:pPr>
            <w:r w:rsidRPr="00EE3A4B">
              <w:rPr>
                <w:rFonts w:eastAsia="Calibri"/>
                <w:sz w:val="20"/>
                <w:szCs w:val="20"/>
              </w:rPr>
              <w:t>1</w:t>
            </w:r>
            <w:r>
              <w:rPr>
                <w:rFonts w:eastAsia="Calibri"/>
                <w:sz w:val="20"/>
                <w:szCs w:val="20"/>
              </w:rPr>
              <w:t>.8</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EE3A4B" w:rsidRDefault="00891F4B" w:rsidP="00380FF9">
            <w:pPr>
              <w:jc w:val="center"/>
              <w:rPr>
                <w:rFonts w:eastAsia="Calibri"/>
                <w:sz w:val="20"/>
                <w:szCs w:val="20"/>
              </w:rPr>
            </w:pPr>
            <w:r>
              <w:rPr>
                <w:rFonts w:eastAsia="Calibri"/>
                <w:sz w:val="20"/>
                <w:szCs w:val="20"/>
              </w:rPr>
              <w:t>87.2</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EE3A4B" w:rsidRDefault="00891F4B" w:rsidP="00380FF9">
            <w:pPr>
              <w:jc w:val="center"/>
              <w:rPr>
                <w:rFonts w:eastAsia="Calibri"/>
                <w:sz w:val="20"/>
                <w:szCs w:val="20"/>
              </w:rPr>
            </w:pPr>
            <w:r>
              <w:rPr>
                <w:rFonts w:eastAsia="Calibri"/>
                <w:sz w:val="20"/>
                <w:szCs w:val="20"/>
              </w:rPr>
              <w:t>2.4</w:t>
            </w:r>
            <w:r w:rsidRPr="00EE3A4B">
              <w:rPr>
                <w:rFonts w:eastAsia="Calibri"/>
                <w:sz w:val="20"/>
                <w:szCs w:val="20"/>
              </w:rPr>
              <w:t>%</w:t>
            </w:r>
          </w:p>
        </w:tc>
      </w:tr>
      <w:tr w:rsidR="00A874AC" w:rsidRPr="00EE3A4B"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380FF9">
            <w:pPr>
              <w:jc w:val="left"/>
              <w:rPr>
                <w:rFonts w:eastAsia="Calibri"/>
                <w:sz w:val="20"/>
                <w:szCs w:val="20"/>
              </w:rPr>
            </w:pPr>
            <w:r w:rsidRPr="00EE3A4B">
              <w:rPr>
                <w:rFonts w:eastAsia="Calibri"/>
                <w:sz w:val="20"/>
                <w:szCs w:val="20"/>
              </w:rPr>
              <w:t>Home Performance</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380FF9">
            <w:pPr>
              <w:jc w:val="center"/>
              <w:rPr>
                <w:rFonts w:eastAsia="Calibri"/>
                <w:sz w:val="20"/>
                <w:szCs w:val="20"/>
              </w:rPr>
            </w:pPr>
            <w:r>
              <w:rPr>
                <w:rFonts w:eastAsia="Calibri"/>
                <w:sz w:val="20"/>
                <w:szCs w:val="20"/>
              </w:rPr>
              <w:t>95.7</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3.8</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380FF9">
            <w:pPr>
              <w:jc w:val="center"/>
              <w:rPr>
                <w:rFonts w:eastAsia="Calibri"/>
                <w:sz w:val="20"/>
                <w:szCs w:val="20"/>
              </w:rPr>
            </w:pPr>
            <w:r>
              <w:rPr>
                <w:rFonts w:eastAsia="Calibri"/>
                <w:sz w:val="20"/>
                <w:szCs w:val="20"/>
              </w:rPr>
              <w:t>75.1</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3.8</w:t>
            </w:r>
            <w:r w:rsidRPr="00EE3A4B">
              <w:rPr>
                <w:rFonts w:eastAsia="Calibri"/>
                <w:sz w:val="20"/>
                <w:szCs w:val="20"/>
              </w:rPr>
              <w:t>%</w:t>
            </w:r>
          </w:p>
        </w:tc>
      </w:tr>
      <w:tr w:rsidR="00E7173E" w:rsidRPr="00EE3A4B" w:rsidTr="0081757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EE3A4B" w:rsidRDefault="00891F4B" w:rsidP="00380FF9">
            <w:pPr>
              <w:jc w:val="left"/>
              <w:rPr>
                <w:rFonts w:eastAsia="Calibri"/>
                <w:sz w:val="20"/>
                <w:szCs w:val="20"/>
              </w:rPr>
            </w:pPr>
            <w:r w:rsidRPr="00EE3A4B">
              <w:rPr>
                <w:rFonts w:eastAsia="Calibri"/>
                <w:sz w:val="20"/>
                <w:szCs w:val="20"/>
              </w:rPr>
              <w:t>Low-Income</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EE3A4B" w:rsidRDefault="00891F4B" w:rsidP="00380FF9">
            <w:pPr>
              <w:jc w:val="center"/>
              <w:rPr>
                <w:rFonts w:eastAsia="Calibri"/>
                <w:sz w:val="20"/>
                <w:szCs w:val="20"/>
              </w:rPr>
            </w:pPr>
            <w:r>
              <w:rPr>
                <w:rFonts w:eastAsia="Calibri"/>
                <w:sz w:val="20"/>
                <w:szCs w:val="20"/>
              </w:rPr>
              <w:t>103.8</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EE3A4B" w:rsidRDefault="00891F4B" w:rsidP="00891F4B">
            <w:pPr>
              <w:jc w:val="center"/>
              <w:rPr>
                <w:rFonts w:eastAsia="Calibri"/>
                <w:sz w:val="20"/>
                <w:szCs w:val="20"/>
              </w:rPr>
            </w:pPr>
            <w:r>
              <w:rPr>
                <w:rFonts w:eastAsia="Calibri"/>
                <w:sz w:val="20"/>
                <w:szCs w:val="20"/>
              </w:rPr>
              <w:t>9.1</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EE3A4B" w:rsidRDefault="00891F4B" w:rsidP="00891F4B">
            <w:pPr>
              <w:jc w:val="center"/>
              <w:rPr>
                <w:rFonts w:eastAsia="Calibri"/>
                <w:sz w:val="20"/>
                <w:szCs w:val="20"/>
              </w:rPr>
            </w:pPr>
            <w:r>
              <w:rPr>
                <w:rFonts w:eastAsia="Calibri"/>
                <w:sz w:val="20"/>
                <w:szCs w:val="20"/>
              </w:rPr>
              <w:t>105.1</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891F4B" w:rsidRPr="00EE3A4B" w:rsidRDefault="00891F4B" w:rsidP="00891F4B">
            <w:pPr>
              <w:jc w:val="center"/>
              <w:rPr>
                <w:rFonts w:eastAsia="Calibri"/>
                <w:sz w:val="20"/>
                <w:szCs w:val="20"/>
              </w:rPr>
            </w:pPr>
            <w:r>
              <w:rPr>
                <w:rFonts w:eastAsia="Calibri"/>
                <w:sz w:val="20"/>
                <w:szCs w:val="20"/>
              </w:rPr>
              <w:t>9.1</w:t>
            </w:r>
            <w:r w:rsidRPr="00EE3A4B">
              <w:rPr>
                <w:rFonts w:eastAsia="Calibri"/>
                <w:sz w:val="20"/>
                <w:szCs w:val="20"/>
              </w:rPr>
              <w:t>%</w:t>
            </w:r>
          </w:p>
        </w:tc>
      </w:tr>
      <w:tr w:rsidR="00A874AC" w:rsidRPr="00EE3A4B"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left"/>
              <w:rPr>
                <w:rFonts w:eastAsia="Calibri"/>
                <w:sz w:val="20"/>
                <w:szCs w:val="20"/>
              </w:rPr>
            </w:pPr>
            <w:r w:rsidRPr="00EE3A4B">
              <w:rPr>
                <w:rFonts w:eastAsia="Calibri"/>
                <w:sz w:val="20"/>
                <w:szCs w:val="20"/>
              </w:rPr>
              <w:t>Small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88.3</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14.2</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106.2</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14.9</w:t>
            </w:r>
            <w:r w:rsidRPr="00EE3A4B">
              <w:rPr>
                <w:rFonts w:eastAsia="Calibri"/>
                <w:sz w:val="20"/>
                <w:szCs w:val="20"/>
              </w:rPr>
              <w:t>%</w:t>
            </w:r>
          </w:p>
        </w:tc>
      </w:tr>
      <w:tr w:rsidR="00A874AC" w:rsidRPr="00EE3A4B"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EE3A4B" w:rsidRDefault="00891F4B" w:rsidP="00891F4B">
            <w:pPr>
              <w:jc w:val="left"/>
              <w:rPr>
                <w:rFonts w:eastAsia="Calibri"/>
                <w:sz w:val="20"/>
                <w:szCs w:val="20"/>
              </w:rPr>
            </w:pPr>
            <w:r w:rsidRPr="00EE3A4B">
              <w:rPr>
                <w:rFonts w:eastAsia="Calibri"/>
                <w:sz w:val="20"/>
                <w:szCs w:val="20"/>
              </w:rPr>
              <w:t>Small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EE3A4B" w:rsidRDefault="00891F4B" w:rsidP="00891F4B">
            <w:pPr>
              <w:jc w:val="center"/>
              <w:rPr>
                <w:rFonts w:eastAsia="Calibri"/>
                <w:sz w:val="20"/>
                <w:szCs w:val="20"/>
              </w:rPr>
            </w:pPr>
            <w:r>
              <w:rPr>
                <w:rFonts w:eastAsia="Calibri"/>
                <w:sz w:val="20"/>
                <w:szCs w:val="20"/>
              </w:rPr>
              <w:t>99.7</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EE3A4B" w:rsidRDefault="00891F4B" w:rsidP="00891F4B">
            <w:pPr>
              <w:jc w:val="center"/>
              <w:rPr>
                <w:rFonts w:eastAsia="Calibri"/>
                <w:sz w:val="20"/>
                <w:szCs w:val="20"/>
              </w:rPr>
            </w:pPr>
            <w:r>
              <w:rPr>
                <w:rFonts w:eastAsia="Calibri"/>
                <w:sz w:val="20"/>
                <w:szCs w:val="20"/>
              </w:rPr>
              <w:t>8.9</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EE3A4B" w:rsidRDefault="00891F4B" w:rsidP="00891F4B">
            <w:pPr>
              <w:jc w:val="center"/>
              <w:rPr>
                <w:rFonts w:eastAsia="Calibri"/>
                <w:sz w:val="20"/>
                <w:szCs w:val="20"/>
              </w:rPr>
            </w:pPr>
            <w:r>
              <w:rPr>
                <w:rFonts w:eastAsia="Calibri"/>
                <w:sz w:val="20"/>
                <w:szCs w:val="20"/>
              </w:rPr>
              <w:t>91.3</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EE3A4B" w:rsidRDefault="00891F4B" w:rsidP="00891F4B">
            <w:pPr>
              <w:jc w:val="center"/>
              <w:rPr>
                <w:rFonts w:eastAsia="Calibri"/>
                <w:sz w:val="20"/>
                <w:szCs w:val="20"/>
              </w:rPr>
            </w:pPr>
            <w:r>
              <w:rPr>
                <w:rFonts w:eastAsia="Calibri"/>
                <w:sz w:val="20"/>
                <w:szCs w:val="20"/>
              </w:rPr>
              <w:t>8.5</w:t>
            </w:r>
            <w:r w:rsidRPr="00EE3A4B">
              <w:rPr>
                <w:rFonts w:eastAsia="Calibri"/>
                <w:sz w:val="20"/>
                <w:szCs w:val="20"/>
              </w:rPr>
              <w:t>%</w:t>
            </w:r>
          </w:p>
        </w:tc>
      </w:tr>
      <w:tr w:rsidR="00A874AC" w:rsidRPr="00EE3A4B"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left"/>
              <w:rPr>
                <w:rFonts w:eastAsia="Calibri"/>
                <w:sz w:val="20"/>
                <w:szCs w:val="20"/>
              </w:rPr>
            </w:pPr>
            <w:r w:rsidRPr="00EE3A4B">
              <w:rPr>
                <w:rFonts w:eastAsia="Calibri"/>
                <w:sz w:val="20"/>
                <w:szCs w:val="20"/>
              </w:rPr>
              <w:t>Large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100.1</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13.7</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104.2</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12.9</w:t>
            </w:r>
            <w:r w:rsidRPr="00EE3A4B">
              <w:rPr>
                <w:rFonts w:eastAsia="Calibri"/>
                <w:sz w:val="20"/>
                <w:szCs w:val="20"/>
              </w:rPr>
              <w:t>%</w:t>
            </w:r>
          </w:p>
        </w:tc>
      </w:tr>
      <w:tr w:rsidR="00A874AC" w:rsidRPr="00EE3A4B"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EE3A4B" w:rsidRDefault="00891F4B" w:rsidP="00891F4B">
            <w:pPr>
              <w:jc w:val="left"/>
              <w:rPr>
                <w:rFonts w:eastAsia="Calibri"/>
                <w:sz w:val="20"/>
                <w:szCs w:val="20"/>
              </w:rPr>
            </w:pPr>
            <w:r w:rsidRPr="00EE3A4B">
              <w:rPr>
                <w:rFonts w:eastAsia="Calibri"/>
                <w:sz w:val="20"/>
                <w:szCs w:val="20"/>
              </w:rPr>
              <w:t>Large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EE3A4B" w:rsidRDefault="00891F4B" w:rsidP="00891F4B">
            <w:pPr>
              <w:jc w:val="center"/>
              <w:rPr>
                <w:rFonts w:eastAsia="Calibri"/>
                <w:sz w:val="20"/>
                <w:szCs w:val="20"/>
              </w:rPr>
            </w:pPr>
            <w:r>
              <w:rPr>
                <w:rFonts w:eastAsia="Calibri"/>
                <w:sz w:val="20"/>
                <w:szCs w:val="20"/>
              </w:rPr>
              <w:t>97.2</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EE3A4B" w:rsidRDefault="00891F4B" w:rsidP="00891F4B">
            <w:pPr>
              <w:jc w:val="center"/>
              <w:rPr>
                <w:rFonts w:eastAsia="Calibri"/>
                <w:sz w:val="20"/>
                <w:szCs w:val="20"/>
              </w:rPr>
            </w:pPr>
            <w:r>
              <w:rPr>
                <w:rFonts w:eastAsia="Calibri"/>
                <w:sz w:val="20"/>
                <w:szCs w:val="20"/>
              </w:rPr>
              <w:t>13.7</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EE3A4B" w:rsidRDefault="00891F4B" w:rsidP="00891F4B">
            <w:pPr>
              <w:jc w:val="center"/>
              <w:rPr>
                <w:rFonts w:eastAsia="Calibri"/>
                <w:sz w:val="20"/>
                <w:szCs w:val="20"/>
              </w:rPr>
            </w:pPr>
            <w:r>
              <w:rPr>
                <w:rFonts w:eastAsia="Calibri"/>
                <w:sz w:val="20"/>
                <w:szCs w:val="20"/>
              </w:rPr>
              <w:t>82.4%</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891F4B" w:rsidRPr="00EE3A4B" w:rsidRDefault="00891F4B" w:rsidP="00891F4B">
            <w:pPr>
              <w:jc w:val="center"/>
              <w:rPr>
                <w:rFonts w:eastAsia="Calibri"/>
                <w:sz w:val="20"/>
                <w:szCs w:val="20"/>
              </w:rPr>
            </w:pPr>
            <w:r>
              <w:rPr>
                <w:rFonts w:eastAsia="Calibri"/>
                <w:sz w:val="20"/>
                <w:szCs w:val="20"/>
              </w:rPr>
              <w:t>12.9</w:t>
            </w:r>
            <w:r w:rsidRPr="00EE3A4B">
              <w:rPr>
                <w:rFonts w:eastAsia="Calibri"/>
                <w:sz w:val="20"/>
                <w:szCs w:val="20"/>
              </w:rPr>
              <w:t>%</w:t>
            </w:r>
          </w:p>
        </w:tc>
      </w:tr>
      <w:tr w:rsidR="00A874AC" w:rsidRPr="00EE3A4B" w:rsidTr="00891F4B">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left"/>
              <w:rPr>
                <w:rFonts w:eastAsia="Calibri"/>
                <w:sz w:val="20"/>
                <w:szCs w:val="20"/>
              </w:rPr>
            </w:pPr>
            <w:r w:rsidRPr="00EE3A4B">
              <w:rPr>
                <w:rFonts w:eastAsia="Calibri"/>
                <w:sz w:val="20"/>
                <w:szCs w:val="20"/>
              </w:rPr>
              <w:t>Government/Institutional</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90.2</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15.0</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97.9</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891F4B" w:rsidRPr="00EE3A4B" w:rsidRDefault="00891F4B" w:rsidP="00891F4B">
            <w:pPr>
              <w:jc w:val="center"/>
              <w:rPr>
                <w:rFonts w:eastAsia="Calibri"/>
                <w:sz w:val="20"/>
                <w:szCs w:val="20"/>
              </w:rPr>
            </w:pPr>
            <w:r>
              <w:rPr>
                <w:rFonts w:eastAsia="Calibri"/>
                <w:sz w:val="20"/>
                <w:szCs w:val="20"/>
              </w:rPr>
              <w:t>18.5</w:t>
            </w:r>
            <w:r w:rsidRPr="00EE3A4B">
              <w:rPr>
                <w:rFonts w:eastAsia="Calibri"/>
                <w:sz w:val="20"/>
                <w:szCs w:val="20"/>
              </w:rPr>
              <w:t>%</w:t>
            </w:r>
          </w:p>
        </w:tc>
      </w:tr>
      <w:tr w:rsidR="00E7173E" w:rsidRPr="00EE3A4B" w:rsidTr="0081757B">
        <w:trPr>
          <w:trHeight w:val="300"/>
          <w:jc w:val="center"/>
        </w:trPr>
        <w:tc>
          <w:tcPr>
            <w:tcW w:w="9360" w:type="dxa"/>
            <w:gridSpan w:val="5"/>
            <w:tcBorders>
              <w:top w:val="single" w:sz="4" w:space="0" w:color="448A99"/>
              <w:left w:val="single" w:sz="4" w:space="0" w:color="448A99"/>
              <w:bottom w:val="single" w:sz="4" w:space="0" w:color="448A99"/>
              <w:right w:val="single" w:sz="4" w:space="0" w:color="448A99"/>
            </w:tcBorders>
            <w:shd w:val="clear" w:color="auto" w:fill="448A99"/>
            <w:noWrap/>
            <w:vAlign w:val="center"/>
          </w:tcPr>
          <w:p w:rsidR="00891F4B" w:rsidRPr="00EE3A4B" w:rsidRDefault="000E712F" w:rsidP="00380FF9">
            <w:pPr>
              <w:rPr>
                <w:rFonts w:eastAsia="Calibri"/>
                <w:color w:val="FFFFFF"/>
                <w:sz w:val="18"/>
                <w:szCs w:val="18"/>
              </w:rPr>
            </w:pPr>
            <w:r>
              <w:rPr>
                <w:rFonts w:eastAsia="Calibri"/>
                <w:color w:val="FFFFFF"/>
                <w:sz w:val="18"/>
                <w:szCs w:val="18"/>
              </w:rPr>
              <w:t>NOTE:</w:t>
            </w:r>
          </w:p>
          <w:p w:rsidR="00891F4B" w:rsidRPr="00EE3A4B" w:rsidRDefault="00891F4B" w:rsidP="00380FF9">
            <w:pPr>
              <w:rPr>
                <w:rFonts w:eastAsia="Calibri"/>
                <w:b/>
                <w:color w:val="FFFFFF"/>
                <w:sz w:val="18"/>
                <w:szCs w:val="18"/>
              </w:rPr>
            </w:pPr>
            <w:r w:rsidRPr="00EE3A4B">
              <w:rPr>
                <w:rFonts w:eastAsia="Calibri"/>
                <w:color w:val="FFFFFF"/>
                <w:sz w:val="18"/>
                <w:szCs w:val="18"/>
              </w:rPr>
              <w:t>[a]</w:t>
            </w:r>
            <w:r w:rsidR="00B97C91">
              <w:rPr>
                <w:rFonts w:eastAsia="Calibri"/>
                <w:color w:val="FFFFFF"/>
                <w:sz w:val="18"/>
                <w:szCs w:val="18"/>
              </w:rPr>
              <w:t xml:space="preserve"> </w:t>
            </w:r>
            <w:r w:rsidRPr="00EE3A4B">
              <w:rPr>
                <w:rFonts w:eastAsia="Calibri"/>
                <w:color w:val="FFFFFF"/>
                <w:sz w:val="18"/>
                <w:szCs w:val="18"/>
              </w:rPr>
              <w:t>Relative precision values are at the 85% confidence level.</w:t>
            </w:r>
          </w:p>
        </w:tc>
      </w:tr>
    </w:tbl>
    <w:p w:rsidR="00891F4B" w:rsidRDefault="00891F4B" w:rsidP="00891F4B"/>
    <w:p w:rsidR="00F628F9" w:rsidRPr="00F628F9" w:rsidRDefault="00F628F9" w:rsidP="00F628F9">
      <w:pPr>
        <w:pStyle w:val="AppendixAHeading4"/>
        <w:rPr>
          <w:rFonts w:eastAsia="Calibri"/>
        </w:rPr>
      </w:pPr>
      <w:r w:rsidRPr="00F628F9">
        <w:rPr>
          <w:rFonts w:eastAsia="Calibri"/>
        </w:rPr>
        <w:t>Residential Programs</w:t>
      </w:r>
    </w:p>
    <w:p w:rsidR="00F628F9" w:rsidRPr="00F628F9" w:rsidRDefault="00F628F9" w:rsidP="00F628F9">
      <w:pPr>
        <w:rPr>
          <w:rFonts w:eastAsia="Calibri"/>
        </w:rPr>
      </w:pPr>
      <w:r w:rsidRPr="00F628F9">
        <w:rPr>
          <w:rFonts w:eastAsia="Calibri"/>
        </w:rPr>
        <w:t>The energy realization rates for Penelec’s residential programs ranged from 95.7% to 140.7%. The demand realization rates ranged from 75.1% to 105.1%. Penelec achieved the 15% relative precision requirement at the 85% confidence level for both energy and demand for all residential programs.</w:t>
      </w:r>
    </w:p>
    <w:p w:rsidR="00F628F9" w:rsidRPr="00F628F9" w:rsidRDefault="00F628F9" w:rsidP="00F628F9">
      <w:pPr>
        <w:rPr>
          <w:rFonts w:eastAsia="Calibri"/>
        </w:rPr>
      </w:pPr>
    </w:p>
    <w:p w:rsidR="00F628F9" w:rsidRDefault="00F628F9" w:rsidP="00F628F9">
      <w:pPr>
        <w:rPr>
          <w:rFonts w:eastAsia="Calibri"/>
        </w:rPr>
      </w:pPr>
      <w:r w:rsidRPr="00F628F9">
        <w:rPr>
          <w:rFonts w:eastAsia="Calibri"/>
        </w:rPr>
        <w:t>The Appliance Turn-In Program was evaluated through customer verification surveys to determine the fraction of refrigerators, freezers, and room air conditioners that were drawing power before retirement, as well as the other parameters necessary to determine the EUL from the TRM regression equation. The program realization rate is mostly a function of the difference between the ex ante and ex post EULs, the latter of which used actual PY7 collection data.</w:t>
      </w:r>
    </w:p>
    <w:p w:rsidR="00FD4D90" w:rsidRPr="00F628F9" w:rsidRDefault="00FD4D90" w:rsidP="00F628F9">
      <w:pPr>
        <w:rPr>
          <w:rFonts w:eastAsia="Calibri"/>
        </w:rPr>
      </w:pPr>
    </w:p>
    <w:p w:rsidR="00737D3A" w:rsidRPr="0051723C" w:rsidRDefault="00197076" w:rsidP="00737D3A">
      <w:pPr>
        <w:rPr>
          <w:rFonts w:eastAsia="Calibri"/>
        </w:rPr>
      </w:pPr>
      <w:r w:rsidRPr="0051723C">
        <w:rPr>
          <w:rFonts w:eastAsia="Calibri"/>
        </w:rPr>
        <w:t>The evaluations of the upstream lighting and products portions of the Efficient Products Program involved reviews of sales invoices, a review of the tracking and reporting system, and a detailed review of CSP energy and demand savings calculations. The appliance portion and the HVAC equipment/tune-up portion were evaluated through an invoice review, customer surveys, and a review of the energy and demand calculations with reference to the ENERGY STAR database.</w:t>
      </w:r>
    </w:p>
    <w:p w:rsidR="00737D3A" w:rsidRDefault="00737D3A" w:rsidP="00F628F9">
      <w:pPr>
        <w:rPr>
          <w:rFonts w:eastAsia="Calibri"/>
        </w:rPr>
      </w:pPr>
    </w:p>
    <w:p w:rsidR="00F628F9" w:rsidRPr="00F628F9" w:rsidRDefault="00F628F9" w:rsidP="00F628F9">
      <w:pPr>
        <w:rPr>
          <w:rFonts w:eastAsia="Calibri"/>
        </w:rPr>
      </w:pPr>
      <w:r w:rsidRPr="00F628F9">
        <w:rPr>
          <w:rFonts w:eastAsia="Calibri"/>
        </w:rPr>
        <w:t>The evaluation contractor approached the evaluation differently for each branch of the Home Performance Program. The home energy audit kits were evaluated using the T&amp;R</w:t>
      </w:r>
      <w:r w:rsidR="0081757B">
        <w:rPr>
          <w:rFonts w:eastAsia="Calibri"/>
        </w:rPr>
        <w:t xml:space="preserve"> </w:t>
      </w:r>
      <w:r w:rsidRPr="00F628F9">
        <w:rPr>
          <w:rFonts w:eastAsia="Calibri"/>
        </w:rPr>
        <w:t>system as well as online and phone surveys to determine the delivery and installation rates for each measure. The kit receipt rates and measure ISRs have been shown to fluctuate among EDCs, primarily due to statistical variations, and therefore average statewide ISRs are used for all four FirstEnergy companies. The new construction portion of the program was evaluated through an engineering review of a sample of projects in the portfolio. Energy and demand savings for this program were determined through REM/Rate software calculations, and the review focused on whether the modeling was performed correctly (including baseline assumptions) and if the results were reasonable. Th</w:t>
      </w:r>
      <w:r w:rsidR="007D3DA6">
        <w:rPr>
          <w:rFonts w:eastAsia="Calibri"/>
        </w:rPr>
        <w:t>e prescriptive, low-cost direct-</w:t>
      </w:r>
      <w:r w:rsidRPr="00F628F9">
        <w:rPr>
          <w:rFonts w:eastAsia="Calibri"/>
        </w:rPr>
        <w:t>install portion was evaluated by reviewing the T&amp;R system and sample invoices to check if the TRM calculations were performed correctly and if the invoices matched the information in the database. For comprehensive weatherization jobs, those that saved more than 2 MWh/yr were evaluated through billing analysis, and those saving under 2 MWh/yr received an invoice review. The HER portion was reviewed and duplicated by the evaluation contractor, producing results consistent with the implementation CSP’s. The contractor then conducted its own full evaluation of the savings using a lagged seasonal regression model and adjusting for dual participation.</w:t>
      </w:r>
    </w:p>
    <w:p w:rsidR="00F628F9" w:rsidRPr="00F628F9" w:rsidRDefault="00F628F9" w:rsidP="00F628F9"/>
    <w:p w:rsidR="00F628F9" w:rsidRPr="00F628F9" w:rsidRDefault="00F628F9" w:rsidP="00F628F9">
      <w:pPr>
        <w:pStyle w:val="AppendixAHeading4"/>
        <w:rPr>
          <w:rFonts w:eastAsia="Calibri"/>
        </w:rPr>
      </w:pPr>
      <w:r w:rsidRPr="00F628F9">
        <w:rPr>
          <w:rFonts w:eastAsia="Calibri"/>
        </w:rPr>
        <w:t>Low-Income Programs</w:t>
      </w:r>
    </w:p>
    <w:p w:rsidR="00F628F9" w:rsidRPr="00F628F9" w:rsidRDefault="00F628F9" w:rsidP="00F628F9">
      <w:r w:rsidRPr="00F628F9">
        <w:t>The evaluation contractor reviewed the tracking data and on-site verification forms and results to determine ISRs for the WARM direct-install measures. For giveaway events, the evaluation contractor reviewed the tracking database and applied the ISR from the 201</w:t>
      </w:r>
      <w:r w:rsidR="00590018">
        <w:t>5</w:t>
      </w:r>
      <w:r w:rsidRPr="00F628F9">
        <w:t xml:space="preserve"> TRM. There were no LILU energy kits distributed in PY7.</w:t>
      </w:r>
    </w:p>
    <w:p w:rsidR="00F628F9" w:rsidRPr="00F628F9" w:rsidRDefault="00F628F9" w:rsidP="00F628F9"/>
    <w:p w:rsidR="00F628F9" w:rsidRPr="00F628F9" w:rsidRDefault="00F628F9" w:rsidP="00F628F9">
      <w:pPr>
        <w:pStyle w:val="AppendixAHeading4"/>
        <w:rPr>
          <w:rFonts w:eastAsia="Calibri"/>
        </w:rPr>
      </w:pPr>
      <w:r w:rsidRPr="00F628F9">
        <w:rPr>
          <w:rFonts w:eastAsia="Calibri"/>
        </w:rPr>
        <w:t>Non-Residential Programs</w:t>
      </w:r>
    </w:p>
    <w:p w:rsidR="00F628F9" w:rsidRPr="00F628F9" w:rsidRDefault="00F628F9" w:rsidP="00F628F9">
      <w:pPr>
        <w:rPr>
          <w:color w:val="000000"/>
        </w:rPr>
      </w:pPr>
      <w:r w:rsidRPr="00F628F9">
        <w:rPr>
          <w:color w:val="000000"/>
        </w:rPr>
        <w:t>Realization rates for Penelec’s non-residential programs’ energy savings ranged from 88.3% to 100.1%. Realization rates for demand reductions from these programs ranged from 82.4% to 104.2%. Penelec achieved the 15% precision requirement for kWh in all of its non-residential programs. It also achieved better than 15% precision for demand savings, although this is not a requirement for Phase II of Act 129.</w:t>
      </w:r>
    </w:p>
    <w:p w:rsidR="00F628F9" w:rsidRPr="00F628F9" w:rsidRDefault="00F628F9" w:rsidP="00F628F9">
      <w:pPr>
        <w:rPr>
          <w:color w:val="000000"/>
        </w:rPr>
      </w:pPr>
    </w:p>
    <w:p w:rsidR="00F628F9" w:rsidRPr="00F628F9" w:rsidRDefault="00F628F9" w:rsidP="00F628F9">
      <w:pPr>
        <w:rPr>
          <w:color w:val="000000"/>
        </w:rPr>
      </w:pPr>
      <w:r>
        <w:rPr>
          <w:color w:val="000000"/>
        </w:rPr>
        <w:fldChar w:fldCharType="begin"/>
      </w:r>
      <w:r>
        <w:rPr>
          <w:color w:val="000000"/>
        </w:rPr>
        <w:instrText xml:space="preserve"> REF _Ref472465221 \h </w:instrText>
      </w:r>
      <w:r>
        <w:rPr>
          <w:color w:val="000000"/>
        </w:rPr>
      </w:r>
      <w:r>
        <w:rPr>
          <w:color w:val="000000"/>
        </w:rPr>
        <w:fldChar w:fldCharType="separate"/>
      </w:r>
      <w:r w:rsidR="00C301D0">
        <w:t>Figure A-</w:t>
      </w:r>
      <w:r w:rsidR="00C301D0">
        <w:rPr>
          <w:noProof/>
        </w:rPr>
        <w:t>8</w:t>
      </w:r>
      <w:r>
        <w:rPr>
          <w:color w:val="000000"/>
        </w:rPr>
        <w:fldChar w:fldCharType="end"/>
      </w:r>
      <w:r w:rsidRPr="00F628F9">
        <w:rPr>
          <w:color w:val="000000"/>
        </w:rPr>
        <w:t xml:space="preserve"> shows the frequency of each M&amp;V approach performed by ADM in PY7 for Penelec’s Small C/I Equipment Program evaluation sample and the verified energy savings associated with each M&amp;V approach. ADM used both basic and enhanced levels of rigor to evaluate projects in the sample. Basic rigor includes surveys, desk reviews, and simple on-site verification (no logging). Enhanced rigor includes the following options, as recorded by ADM. The first consists of utility billing analysis to determine energy savings. Typically, 12 months of pre- and post-installation billing data are required for this approach. The second general approach is on-site verification with logging. This may be light logger deployment or more robust measurement of the retrofitted system’s continuous energy usage. The third general approach involves modeling energy performance of a facility before and after the efficiency measure is installed with an energy simulation.</w:t>
      </w:r>
    </w:p>
    <w:p w:rsidR="00F628F9" w:rsidRDefault="00F628F9" w:rsidP="00F628F9">
      <w:pPr>
        <w:rPr>
          <w:color w:val="000000"/>
        </w:rPr>
      </w:pPr>
    </w:p>
    <w:p w:rsidR="00F628F9" w:rsidRPr="00F628F9" w:rsidRDefault="00F628F9" w:rsidP="00F628F9">
      <w:pPr>
        <w:pStyle w:val="Caption"/>
      </w:pPr>
      <w:bookmarkStart w:id="816" w:name="_Ref472465221"/>
      <w:bookmarkStart w:id="817" w:name="_Toc408557562"/>
      <w:bookmarkStart w:id="818" w:name="_Toc408999438"/>
      <w:bookmarkStart w:id="819" w:name="_Ref409161240"/>
      <w:bookmarkStart w:id="820" w:name="_Toc409224963"/>
      <w:bookmarkStart w:id="821" w:name="_Toc409443642"/>
      <w:bookmarkStart w:id="822" w:name="_Toc444269821"/>
      <w:bookmarkStart w:id="823" w:name="_Toc476842282"/>
      <w:r>
        <w:lastRenderedPageBreak/>
        <w:t>Figure A-</w:t>
      </w:r>
      <w:fldSimple w:instr=" SEQ Figure_A- \* ARABIC ">
        <w:r w:rsidR="00C301D0">
          <w:rPr>
            <w:noProof/>
          </w:rPr>
          <w:t>8</w:t>
        </w:r>
      </w:fldSimple>
      <w:bookmarkEnd w:id="816"/>
      <w:r>
        <w:t xml:space="preserve">: </w:t>
      </w:r>
      <w:r w:rsidRPr="00F628F9">
        <w:t>Frequency of and Associated Energy Savings by M&amp;V Approach – Small C/I Equipment Program</w:t>
      </w:r>
      <w:bookmarkEnd w:id="817"/>
      <w:bookmarkEnd w:id="818"/>
      <w:bookmarkEnd w:id="819"/>
      <w:bookmarkEnd w:id="820"/>
      <w:bookmarkEnd w:id="821"/>
      <w:bookmarkEnd w:id="822"/>
      <w:bookmarkEnd w:id="823"/>
    </w:p>
    <w:p w:rsidR="00F628F9" w:rsidRPr="00F628F9" w:rsidRDefault="00F628F9" w:rsidP="005A58D9">
      <w:pPr>
        <w:spacing w:before="200"/>
        <w:jc w:val="center"/>
      </w:pPr>
      <w:r w:rsidRPr="00F628F9">
        <w:rPr>
          <w:noProof/>
        </w:rPr>
        <w:drawing>
          <wp:inline distT="0" distB="0" distL="0" distR="0" wp14:anchorId="5AC87D7D" wp14:editId="58831E05">
            <wp:extent cx="5864087" cy="2244781"/>
            <wp:effectExtent l="0" t="0" r="381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3">
                      <a:extLst>
                        <a:ext uri="{28A0092B-C50C-407E-A947-70E740481C1C}">
                          <a14:useLocalDpi xmlns:a14="http://schemas.microsoft.com/office/drawing/2010/main" val="0"/>
                        </a:ext>
                      </a:extLst>
                    </a:blip>
                    <a:srcRect l="6267" t="4337" r="5720" b="8180"/>
                    <a:stretch/>
                  </pic:blipFill>
                  <pic:spPr bwMode="auto">
                    <a:xfrm>
                      <a:off x="0" y="0"/>
                      <a:ext cx="5892905" cy="2255813"/>
                    </a:xfrm>
                    <a:prstGeom prst="rect">
                      <a:avLst/>
                    </a:prstGeom>
                    <a:noFill/>
                    <a:ln>
                      <a:noFill/>
                    </a:ln>
                    <a:extLst>
                      <a:ext uri="{53640926-AAD7-44D8-BBD7-CCE9431645EC}">
                        <a14:shadowObscured xmlns:a14="http://schemas.microsoft.com/office/drawing/2010/main"/>
                      </a:ext>
                    </a:extLst>
                  </pic:spPr>
                </pic:pic>
              </a:graphicData>
            </a:graphic>
          </wp:inline>
        </w:drawing>
      </w:r>
    </w:p>
    <w:p w:rsidR="00F628F9" w:rsidRPr="00F628F9" w:rsidRDefault="00F628F9" w:rsidP="00F628F9">
      <w:pPr>
        <w:rPr>
          <w:color w:val="000000"/>
        </w:rPr>
      </w:pPr>
    </w:p>
    <w:p w:rsidR="00F628F9" w:rsidRPr="00F628F9" w:rsidRDefault="00F628F9" w:rsidP="00F628F9">
      <w:pPr>
        <w:rPr>
          <w:color w:val="000000"/>
        </w:rPr>
      </w:pPr>
      <w:r>
        <w:fldChar w:fldCharType="begin"/>
      </w:r>
      <w:r>
        <w:rPr>
          <w:color w:val="000000"/>
        </w:rPr>
        <w:instrText xml:space="preserve"> REF _Ref472465221 \h </w:instrText>
      </w:r>
      <w:r>
        <w:fldChar w:fldCharType="separate"/>
      </w:r>
      <w:r w:rsidR="00C301D0">
        <w:t>Figure A-</w:t>
      </w:r>
      <w:r w:rsidR="00C301D0">
        <w:rPr>
          <w:noProof/>
        </w:rPr>
        <w:t>8</w:t>
      </w:r>
      <w:r>
        <w:fldChar w:fldCharType="end"/>
      </w:r>
      <w:r w:rsidRPr="00F628F9">
        <w:rPr>
          <w:color w:val="000000"/>
        </w:rPr>
        <w:t xml:space="preserve"> indicates that 60% of the sampled measures for the Small C/I Equipment Program were evaluated using a basic level of rigor. However, the representative savings for these measures accounted for only 30% of the energy savings. This suggests that the use of basic rigor was appropriately apportioned, predominately for projects with smaller savings. Likewise, the more expensive enhanced rigor methods were reserved for a smaller number of projects, but these projects contributed a majority (70%) of the sample’s energy savings. The SWE Team supports this “value of information” approach, whereby more expensive evaluation techniques are reserved for projects that account for the greatest share of program savings.</w:t>
      </w:r>
    </w:p>
    <w:p w:rsidR="00F628F9" w:rsidRPr="00F628F9" w:rsidRDefault="00F628F9" w:rsidP="00F628F9">
      <w:pPr>
        <w:rPr>
          <w:color w:val="000000"/>
        </w:rPr>
      </w:pPr>
    </w:p>
    <w:p w:rsidR="00F628F9" w:rsidRPr="00F628F9" w:rsidRDefault="00F628F9" w:rsidP="00F628F9">
      <w:pPr>
        <w:rPr>
          <w:color w:val="000000"/>
        </w:rPr>
      </w:pPr>
      <w:r>
        <w:fldChar w:fldCharType="begin"/>
      </w:r>
      <w:r>
        <w:rPr>
          <w:color w:val="000000"/>
        </w:rPr>
        <w:instrText xml:space="preserve"> REF _Ref472465266 \h </w:instrText>
      </w:r>
      <w:r>
        <w:fldChar w:fldCharType="separate"/>
      </w:r>
      <w:r w:rsidR="00C301D0">
        <w:t>Figure A-</w:t>
      </w:r>
      <w:r w:rsidR="00C301D0">
        <w:rPr>
          <w:noProof/>
        </w:rPr>
        <w:t>9</w:t>
      </w:r>
      <w:r>
        <w:fldChar w:fldCharType="end"/>
      </w:r>
      <w:r w:rsidRPr="00F628F9">
        <w:rPr>
          <w:color w:val="000000"/>
        </w:rPr>
        <w:t xml:space="preserve"> shows the frequency of each M&amp;V method used in the Small C/I Buildings Program and the energy savings ass</w:t>
      </w:r>
      <w:r w:rsidR="007D3DA6">
        <w:rPr>
          <w:color w:val="000000"/>
        </w:rPr>
        <w:t>ociated with each method. Data/b</w:t>
      </w:r>
      <w:r w:rsidRPr="00F628F9">
        <w:rPr>
          <w:color w:val="000000"/>
        </w:rPr>
        <w:t>illing analysis was the only enhanced rigor approach used for this program, and associated projects accounted for 89% of savings.</w:t>
      </w:r>
    </w:p>
    <w:p w:rsidR="0000519D" w:rsidRPr="00F628F9" w:rsidRDefault="0000519D" w:rsidP="00F628F9">
      <w:pPr>
        <w:rPr>
          <w:color w:val="000000"/>
        </w:rPr>
      </w:pPr>
    </w:p>
    <w:p w:rsidR="0081757B" w:rsidRDefault="00F628F9" w:rsidP="0081757B">
      <w:pPr>
        <w:pStyle w:val="Caption"/>
      </w:pPr>
      <w:bookmarkStart w:id="824" w:name="_Ref472465266"/>
      <w:bookmarkStart w:id="825" w:name="_Toc444269822"/>
      <w:bookmarkStart w:id="826" w:name="_Toc476842283"/>
      <w:r>
        <w:t>Figure A-</w:t>
      </w:r>
      <w:fldSimple w:instr=" SEQ Figure_A- \* ARABIC ">
        <w:r w:rsidR="00C301D0">
          <w:rPr>
            <w:noProof/>
          </w:rPr>
          <w:t>9</w:t>
        </w:r>
      </w:fldSimple>
      <w:bookmarkEnd w:id="824"/>
      <w:r>
        <w:t xml:space="preserve">: </w:t>
      </w:r>
      <w:r w:rsidRPr="00F628F9">
        <w:t>Frequency of and Associated Energy Savings by M&amp;V Approach – Small C/I Buildings Program</w:t>
      </w:r>
      <w:bookmarkEnd w:id="825"/>
      <w:bookmarkEnd w:id="826"/>
    </w:p>
    <w:p w:rsidR="00F628F9" w:rsidRPr="00F628F9" w:rsidRDefault="00F628F9" w:rsidP="0081757B">
      <w:pPr>
        <w:pStyle w:val="Caption"/>
      </w:pPr>
      <w:r w:rsidRPr="00F628F9">
        <w:rPr>
          <w:noProof/>
        </w:rPr>
        <w:drawing>
          <wp:inline distT="0" distB="0" distL="0" distR="0" wp14:anchorId="39237817" wp14:editId="20C2CEC4">
            <wp:extent cx="5903347" cy="2252161"/>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4">
                      <a:extLst>
                        <a:ext uri="{28A0092B-C50C-407E-A947-70E740481C1C}">
                          <a14:useLocalDpi xmlns:a14="http://schemas.microsoft.com/office/drawing/2010/main" val="0"/>
                        </a:ext>
                      </a:extLst>
                    </a:blip>
                    <a:srcRect l="6823" t="5410" r="6302" b="8730"/>
                    <a:stretch/>
                  </pic:blipFill>
                  <pic:spPr bwMode="auto">
                    <a:xfrm>
                      <a:off x="0" y="0"/>
                      <a:ext cx="5921093" cy="2258931"/>
                    </a:xfrm>
                    <a:prstGeom prst="rect">
                      <a:avLst/>
                    </a:prstGeom>
                    <a:noFill/>
                    <a:ln>
                      <a:noFill/>
                    </a:ln>
                    <a:extLst>
                      <a:ext uri="{53640926-AAD7-44D8-BBD7-CCE9431645EC}">
                        <a14:shadowObscured xmlns:a14="http://schemas.microsoft.com/office/drawing/2010/main"/>
                      </a:ext>
                    </a:extLst>
                  </pic:spPr>
                </pic:pic>
              </a:graphicData>
            </a:graphic>
          </wp:inline>
        </w:drawing>
      </w:r>
    </w:p>
    <w:p w:rsidR="00F628F9" w:rsidRPr="00F628F9" w:rsidRDefault="00F628F9" w:rsidP="00F628F9">
      <w:pPr>
        <w:rPr>
          <w:color w:val="000000"/>
        </w:rPr>
      </w:pPr>
      <w:r>
        <w:fldChar w:fldCharType="begin"/>
      </w:r>
      <w:r>
        <w:rPr>
          <w:color w:val="000000"/>
        </w:rPr>
        <w:instrText xml:space="preserve"> REF _Ref472465312 \h </w:instrText>
      </w:r>
      <w:r>
        <w:fldChar w:fldCharType="separate"/>
      </w:r>
      <w:r w:rsidR="00C301D0">
        <w:t>Figure A-</w:t>
      </w:r>
      <w:r w:rsidR="00C301D0">
        <w:rPr>
          <w:noProof/>
        </w:rPr>
        <w:t>10</w:t>
      </w:r>
      <w:r>
        <w:fldChar w:fldCharType="end"/>
      </w:r>
      <w:r w:rsidRPr="00F628F9">
        <w:rPr>
          <w:color w:val="000000"/>
        </w:rPr>
        <w:t xml:space="preserve"> shows the frequency of each M&amp;V method used in the Large C/I Equipment Program and the energy savings associated with each method. Enhanced rigor was used for a majority of the projects (72%), and these projects accounted for almost all the savings (98%). Basic rigor was appropriately limited to those projects with less savings.</w:t>
      </w:r>
    </w:p>
    <w:p w:rsidR="00F628F9" w:rsidRPr="00F628F9" w:rsidRDefault="00F628F9" w:rsidP="00F628F9">
      <w:pPr>
        <w:rPr>
          <w:color w:val="000000"/>
        </w:rPr>
      </w:pPr>
    </w:p>
    <w:p w:rsidR="00F628F9" w:rsidRPr="00F628F9" w:rsidRDefault="00F628F9" w:rsidP="00F628F9">
      <w:pPr>
        <w:pStyle w:val="Caption"/>
      </w:pPr>
      <w:bookmarkStart w:id="827" w:name="_Ref472465312"/>
      <w:bookmarkStart w:id="828" w:name="_Toc408557564"/>
      <w:bookmarkStart w:id="829" w:name="_Toc408999440"/>
      <w:bookmarkStart w:id="830" w:name="_Toc409224965"/>
      <w:bookmarkStart w:id="831" w:name="_Toc409443644"/>
      <w:bookmarkStart w:id="832" w:name="_Toc444269823"/>
      <w:bookmarkStart w:id="833" w:name="_Toc476842284"/>
      <w:r>
        <w:t>Figure A-</w:t>
      </w:r>
      <w:fldSimple w:instr=" SEQ Figure_A- \* ARABIC ">
        <w:r w:rsidR="00C301D0">
          <w:rPr>
            <w:noProof/>
          </w:rPr>
          <w:t>10</w:t>
        </w:r>
      </w:fldSimple>
      <w:bookmarkEnd w:id="827"/>
      <w:r>
        <w:t xml:space="preserve">: </w:t>
      </w:r>
      <w:r w:rsidRPr="00F628F9">
        <w:t>Frequency of and Associated Energy Savings by M&amp;V Approach – Large C/I Equipment Program</w:t>
      </w:r>
      <w:bookmarkEnd w:id="828"/>
      <w:bookmarkEnd w:id="829"/>
      <w:bookmarkEnd w:id="830"/>
      <w:bookmarkEnd w:id="831"/>
      <w:bookmarkEnd w:id="832"/>
      <w:bookmarkEnd w:id="833"/>
    </w:p>
    <w:p w:rsidR="00F628F9" w:rsidRPr="00F628F9" w:rsidRDefault="00F628F9" w:rsidP="00F628F9">
      <w:pPr>
        <w:jc w:val="center"/>
      </w:pPr>
      <w:r w:rsidRPr="00F628F9">
        <w:rPr>
          <w:noProof/>
        </w:rPr>
        <w:drawing>
          <wp:inline distT="0" distB="0" distL="0" distR="0" wp14:anchorId="6C8308D2" wp14:editId="79F65566">
            <wp:extent cx="5923722" cy="2225471"/>
            <wp:effectExtent l="0" t="0" r="127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5">
                      <a:extLst>
                        <a:ext uri="{28A0092B-C50C-407E-A947-70E740481C1C}">
                          <a14:useLocalDpi xmlns:a14="http://schemas.microsoft.com/office/drawing/2010/main" val="0"/>
                        </a:ext>
                      </a:extLst>
                    </a:blip>
                    <a:srcRect l="6405" t="5797" r="5737" b="8300"/>
                    <a:stretch/>
                  </pic:blipFill>
                  <pic:spPr bwMode="auto">
                    <a:xfrm>
                      <a:off x="0" y="0"/>
                      <a:ext cx="5941314" cy="2232080"/>
                    </a:xfrm>
                    <a:prstGeom prst="rect">
                      <a:avLst/>
                    </a:prstGeom>
                    <a:noFill/>
                    <a:ln>
                      <a:noFill/>
                    </a:ln>
                    <a:extLst>
                      <a:ext uri="{53640926-AAD7-44D8-BBD7-CCE9431645EC}">
                        <a14:shadowObscured xmlns:a14="http://schemas.microsoft.com/office/drawing/2010/main"/>
                      </a:ext>
                    </a:extLst>
                  </pic:spPr>
                </pic:pic>
              </a:graphicData>
            </a:graphic>
          </wp:inline>
        </w:drawing>
      </w:r>
    </w:p>
    <w:p w:rsidR="00F628F9" w:rsidRPr="00F628F9" w:rsidRDefault="00F628F9" w:rsidP="00F628F9">
      <w:pPr>
        <w:rPr>
          <w:color w:val="000000"/>
        </w:rPr>
      </w:pPr>
    </w:p>
    <w:p w:rsidR="00F628F9" w:rsidRPr="00F628F9" w:rsidRDefault="00F628F9" w:rsidP="00F628F9">
      <w:pPr>
        <w:rPr>
          <w:color w:val="000000"/>
        </w:rPr>
      </w:pPr>
      <w:r w:rsidRPr="00F628F9">
        <w:rPr>
          <w:color w:val="000000"/>
        </w:rPr>
        <w:t>The Large C/I Buildings Program had only five verified projects in PY7, of which four reported savings. All four used enhanced rigor. Data and billing analysis were used to evaluate projects accounting for 100% of savings.</w:t>
      </w:r>
    </w:p>
    <w:p w:rsidR="00F628F9" w:rsidRPr="00F628F9" w:rsidRDefault="00F628F9" w:rsidP="00F628F9">
      <w:pPr>
        <w:rPr>
          <w:color w:val="000000"/>
        </w:rPr>
      </w:pPr>
    </w:p>
    <w:p w:rsidR="00F628F9" w:rsidRPr="00F628F9" w:rsidRDefault="00F628F9" w:rsidP="00F628F9">
      <w:pPr>
        <w:rPr>
          <w:color w:val="000000"/>
        </w:rPr>
      </w:pPr>
      <w:r>
        <w:fldChar w:fldCharType="begin"/>
      </w:r>
      <w:r>
        <w:rPr>
          <w:color w:val="000000"/>
        </w:rPr>
        <w:instrText xml:space="preserve"> REF _Ref472465328 \h </w:instrText>
      </w:r>
      <w:r>
        <w:fldChar w:fldCharType="separate"/>
      </w:r>
      <w:r w:rsidR="00C301D0">
        <w:t>Figure A-</w:t>
      </w:r>
      <w:r w:rsidR="00C301D0">
        <w:rPr>
          <w:noProof/>
        </w:rPr>
        <w:t>11</w:t>
      </w:r>
      <w:r>
        <w:fldChar w:fldCharType="end"/>
      </w:r>
      <w:r w:rsidRPr="00F628F9">
        <w:rPr>
          <w:color w:val="000000"/>
        </w:rPr>
        <w:t xml:space="preserve"> shows the frequency of each M&amp;V method used in the Government and Institutional Program and the energy savings associated with each method. Basic rigor was used for 43% of the projects, and these projects accounted for a slight minority of the savings (48%).</w:t>
      </w:r>
    </w:p>
    <w:p w:rsidR="0000519D" w:rsidRPr="00F628F9" w:rsidRDefault="0000519D" w:rsidP="00F628F9">
      <w:pPr>
        <w:rPr>
          <w:color w:val="000000"/>
        </w:rPr>
      </w:pPr>
    </w:p>
    <w:p w:rsidR="00F628F9" w:rsidRPr="00F628F9" w:rsidRDefault="00F628F9" w:rsidP="00F628F9">
      <w:pPr>
        <w:pStyle w:val="Caption"/>
      </w:pPr>
      <w:bookmarkStart w:id="834" w:name="_Ref472465328"/>
      <w:bookmarkStart w:id="835" w:name="_Toc444269824"/>
      <w:bookmarkStart w:id="836" w:name="_Toc476842285"/>
      <w:r>
        <w:t>Figure A-</w:t>
      </w:r>
      <w:fldSimple w:instr=" SEQ Figure_A- \* ARABIC ">
        <w:r w:rsidR="00C301D0">
          <w:rPr>
            <w:noProof/>
          </w:rPr>
          <w:t>11</w:t>
        </w:r>
      </w:fldSimple>
      <w:bookmarkEnd w:id="834"/>
      <w:r>
        <w:t xml:space="preserve">: </w:t>
      </w:r>
      <w:r w:rsidRPr="00F628F9">
        <w:t>Frequency of and Associated Energy Savings by M&amp;V Approach – Government and Institutional Program</w:t>
      </w:r>
      <w:bookmarkEnd w:id="835"/>
      <w:bookmarkEnd w:id="836"/>
    </w:p>
    <w:p w:rsidR="00F628F9" w:rsidRPr="00F628F9" w:rsidRDefault="00F628F9" w:rsidP="00F628F9">
      <w:pPr>
        <w:jc w:val="center"/>
      </w:pPr>
      <w:r w:rsidRPr="00F628F9">
        <w:rPr>
          <w:noProof/>
        </w:rPr>
        <w:drawing>
          <wp:inline distT="0" distB="0" distL="0" distR="0" wp14:anchorId="7A3726A8" wp14:editId="30D2FDEF">
            <wp:extent cx="5933219" cy="2257612"/>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6">
                      <a:extLst>
                        <a:ext uri="{28A0092B-C50C-407E-A947-70E740481C1C}">
                          <a14:useLocalDpi xmlns:a14="http://schemas.microsoft.com/office/drawing/2010/main" val="0"/>
                        </a:ext>
                      </a:extLst>
                    </a:blip>
                    <a:srcRect l="6974" t="5062" r="6140" b="9247"/>
                    <a:stretch/>
                  </pic:blipFill>
                  <pic:spPr bwMode="auto">
                    <a:xfrm>
                      <a:off x="0" y="0"/>
                      <a:ext cx="5948513" cy="2263431"/>
                    </a:xfrm>
                    <a:prstGeom prst="rect">
                      <a:avLst/>
                    </a:prstGeom>
                    <a:noFill/>
                    <a:ln>
                      <a:noFill/>
                    </a:ln>
                    <a:extLst>
                      <a:ext uri="{53640926-AAD7-44D8-BBD7-CCE9431645EC}">
                        <a14:shadowObscured xmlns:a14="http://schemas.microsoft.com/office/drawing/2010/main"/>
                      </a:ext>
                    </a:extLst>
                  </pic:spPr>
                </pic:pic>
              </a:graphicData>
            </a:graphic>
          </wp:inline>
        </w:drawing>
      </w:r>
    </w:p>
    <w:p w:rsidR="00F628F9" w:rsidRPr="00F628F9" w:rsidRDefault="00F628F9" w:rsidP="00F628F9"/>
    <w:p w:rsidR="00F628F9" w:rsidRDefault="00F628F9" w:rsidP="00891F4B"/>
    <w:p w:rsidR="008C19A4" w:rsidRDefault="008C19A4" w:rsidP="00891F4B"/>
    <w:p w:rsidR="00950837" w:rsidRDefault="00950837" w:rsidP="00D34B3E">
      <w:pPr>
        <w:pStyle w:val="AppendixAHeading3"/>
      </w:pPr>
      <w:r>
        <w:t>Process Evaluation Activities and Findings</w:t>
      </w:r>
    </w:p>
    <w:p w:rsidR="00051B31" w:rsidRDefault="00051B31" w:rsidP="00051B31">
      <w:r w:rsidRPr="00661E10">
        <w:t xml:space="preserve">FirstEnergy’s evaluation contractor, ADM, took unified process evaluation approaches to these programs across the four FirstEnergy EDCs, including Penelec, and so the annual evaluation reports of the four EDCs </w:t>
      </w:r>
      <w:r w:rsidRPr="00661E10">
        <w:lastRenderedPageBreak/>
        <w:t>report identical information about the process evaluation.</w:t>
      </w:r>
      <w:r>
        <w:t xml:space="preserve"> Refer to Section </w:t>
      </w:r>
      <w:r>
        <w:fldChar w:fldCharType="begin"/>
      </w:r>
      <w:r>
        <w:instrText xml:space="preserve"> REF _Ref472450362 \r \h </w:instrText>
      </w:r>
      <w:r>
        <w:fldChar w:fldCharType="separate"/>
      </w:r>
      <w:r w:rsidR="00C301D0">
        <w:t>A.2.3.3</w:t>
      </w:r>
      <w:r>
        <w:fldChar w:fldCharType="end"/>
      </w:r>
      <w:r>
        <w:t xml:space="preserve"> for an overview of ADM’s process evaluation activities and findings.</w:t>
      </w:r>
    </w:p>
    <w:p w:rsidR="00051B31" w:rsidRPr="00051B31" w:rsidRDefault="00051B31" w:rsidP="00051B31"/>
    <w:p w:rsidR="00950837" w:rsidRDefault="00950837" w:rsidP="0043541C">
      <w:pPr>
        <w:pStyle w:val="AppendixAHeading2"/>
      </w:pPr>
      <w:r>
        <w:t>Statewide Evaluator Audit Activities and Findings</w:t>
      </w:r>
    </w:p>
    <w:p w:rsidR="00C737E8" w:rsidRDefault="00C737E8" w:rsidP="00C737E8">
      <w:r w:rsidRPr="00C737E8">
        <w:t xml:space="preserve">This section presents the activities of the SWE Team’s audits of </w:t>
      </w:r>
      <w:r>
        <w:t>Penelec</w:t>
      </w:r>
      <w:r w:rsidRPr="00C737E8">
        <w:t>’s portfolio of programs. It provides summary information and key findings from the SWE Team’s residential, low-income, non-residential, and NTG and process evaluation audit activities.</w:t>
      </w:r>
    </w:p>
    <w:p w:rsidR="00C737E8" w:rsidRPr="00C737E8" w:rsidRDefault="00C737E8" w:rsidP="00C737E8"/>
    <w:p w:rsidR="00950837" w:rsidRDefault="00950837" w:rsidP="00D34B3E">
      <w:pPr>
        <w:pStyle w:val="AppendixAHeading3"/>
      </w:pPr>
      <w:r>
        <w:t>Residential Program Audit Summary</w:t>
      </w:r>
    </w:p>
    <w:p w:rsidR="006F402C" w:rsidRPr="006F402C" w:rsidRDefault="006F402C" w:rsidP="006F402C">
      <w:pPr>
        <w:pStyle w:val="AppendixAHeading4"/>
        <w:rPr>
          <w:rFonts w:eastAsia="Calibri"/>
        </w:rPr>
      </w:pPr>
      <w:r w:rsidRPr="006F402C">
        <w:rPr>
          <w:rFonts w:eastAsia="Calibri"/>
        </w:rPr>
        <w:t xml:space="preserve">Residential Lighting </w:t>
      </w:r>
    </w:p>
    <w:p w:rsidR="006F402C" w:rsidRPr="006F402C" w:rsidRDefault="006F402C" w:rsidP="006F402C">
      <w:pPr>
        <w:rPr>
          <w:rFonts w:eastAsia="Calibri"/>
        </w:rPr>
      </w:pPr>
      <w:r w:rsidRPr="006F402C">
        <w:rPr>
          <w:rFonts w:eastAsia="Calibri"/>
        </w:rPr>
        <w:t>For PY7, residential upstream lighting accounted for a majority of the reported savings in Penelec’s Efficient Products Program. The SWE Team reviewed the database and tracking system submitted by Penelec and its evaluation contractor to verify that the correct savings algorithms and deemed savings values were used in the program. The SWE Team also reviewed 10 invoices and product data sheets covering many different bulb types, from standard CFLs to decorative LEDs and floodlight bulbs. Due to the format of the tracking database, the SWE Team easily confirmed that the 2015 TRM was appropriately used for the calculations to quantify the program savings. The SWE Team also verified that FirstEnergy’s evaluation contractor correctly noted any discrepancies in the census data and accounted for any adjustments in the verified savings data.</w:t>
      </w:r>
    </w:p>
    <w:p w:rsidR="006F402C" w:rsidRPr="006F402C" w:rsidRDefault="006F402C" w:rsidP="006F402C">
      <w:pPr>
        <w:rPr>
          <w:rFonts w:eastAsia="Calibri"/>
        </w:rPr>
      </w:pPr>
    </w:p>
    <w:p w:rsidR="006F402C" w:rsidRPr="006F402C" w:rsidRDefault="006F402C" w:rsidP="006F402C">
      <w:pPr>
        <w:pStyle w:val="AppendixAHeading4"/>
        <w:rPr>
          <w:rFonts w:eastAsia="Calibri"/>
        </w:rPr>
      </w:pPr>
      <w:r w:rsidRPr="006F402C">
        <w:rPr>
          <w:rFonts w:eastAsia="Calibri"/>
        </w:rPr>
        <w:t>Appliance Turn-In Program</w:t>
      </w:r>
    </w:p>
    <w:p w:rsidR="006F402C" w:rsidRPr="006F402C" w:rsidRDefault="006F402C" w:rsidP="006F402C">
      <w:pPr>
        <w:rPr>
          <w:rFonts w:eastAsia="Calibri"/>
        </w:rPr>
      </w:pPr>
      <w:r w:rsidRPr="006F402C">
        <w:rPr>
          <w:rFonts w:eastAsia="Calibri"/>
        </w:rPr>
        <w:t>The SWE Team reviewed the spreadsheets and database used to calculate Penelec’s verified gross savings. Unlike in previous years where the evaluation contractor simply used the deemed UECs from the TRM, in PY7 the contractor calculated a utility-specific UEC from the PY7 appliance recycling customer database. The SWE Team confirmed that the UECs were calculated correctly using the 2015 TRM regression coefficients and PY7 Penelec customer data and that they were used correctly in determining annual kWh and kW savings. Because of a difference in how gross savings are calculated in the 2015 TRM, it was not necessary to account for refrigerator replacement. This is taken into account only in the net savings calculations. The Excel worksheets documented calculations clearly and were easy to follow.</w:t>
      </w:r>
    </w:p>
    <w:p w:rsidR="006F402C" w:rsidRPr="006F402C" w:rsidRDefault="006F402C" w:rsidP="006F402C">
      <w:pPr>
        <w:rPr>
          <w:rFonts w:eastAsia="Calibri"/>
        </w:rPr>
      </w:pPr>
    </w:p>
    <w:p w:rsidR="006F402C" w:rsidRPr="006F402C" w:rsidRDefault="006F402C" w:rsidP="006F402C">
      <w:pPr>
        <w:pStyle w:val="AppendixAHeading4"/>
        <w:rPr>
          <w:rFonts w:eastAsia="Calibri"/>
        </w:rPr>
      </w:pPr>
      <w:r w:rsidRPr="006F402C">
        <w:rPr>
          <w:rFonts w:eastAsia="Calibri"/>
        </w:rPr>
        <w:t>Efficient Products Program</w:t>
      </w:r>
    </w:p>
    <w:p w:rsidR="00A92A46" w:rsidRDefault="006F402C" w:rsidP="006F402C">
      <w:pPr>
        <w:rPr>
          <w:rFonts w:eastAsia="Calibri"/>
        </w:rPr>
      </w:pPr>
      <w:r w:rsidRPr="006F402C">
        <w:rPr>
          <w:rFonts w:eastAsia="Calibri"/>
        </w:rPr>
        <w:t>The SWE Team thoroughly reviewed the data-tracking and reporting system containing the savings calculation and rebate invoice information for all of the Efficient Products Program strata. Additionally, it checked the proper use of the 2015 TRM in calculating the savings for each of the product types. The SWE found that the HPWH savings calculations strayed slightly from the TRM, but in an acceptably conservative fashion. According to the TRM, the HVAC interactive effect penalty only needs to be taken into account when the HPWH is installed in conditioned space and not when the default F</w:t>
      </w:r>
      <w:r w:rsidRPr="006F402C">
        <w:rPr>
          <w:rFonts w:eastAsia="Calibri"/>
          <w:vertAlign w:val="subscript"/>
        </w:rPr>
        <w:t>derate</w:t>
      </w:r>
      <w:r w:rsidRPr="006F402C">
        <w:rPr>
          <w:rFonts w:eastAsia="Calibri"/>
        </w:rPr>
        <w:t xml:space="preserve"> value is used. The evaluation contractor assumed both, which made the kWh estimates slightly conservative.</w:t>
      </w:r>
    </w:p>
    <w:p w:rsidR="008C19A4" w:rsidRDefault="008C19A4" w:rsidP="006F402C">
      <w:pPr>
        <w:rPr>
          <w:rFonts w:eastAsia="Calibri"/>
        </w:rPr>
      </w:pPr>
    </w:p>
    <w:p w:rsidR="008C19A4" w:rsidRDefault="008C19A4" w:rsidP="006F402C">
      <w:pPr>
        <w:rPr>
          <w:rFonts w:eastAsia="Calibri"/>
        </w:rPr>
      </w:pPr>
    </w:p>
    <w:p w:rsidR="008C19A4" w:rsidRDefault="008C19A4" w:rsidP="006F402C">
      <w:pPr>
        <w:rPr>
          <w:rFonts w:eastAsia="Calibri"/>
        </w:rPr>
      </w:pPr>
    </w:p>
    <w:p w:rsidR="006F402C" w:rsidRPr="006F402C" w:rsidRDefault="006F402C" w:rsidP="006F402C">
      <w:pPr>
        <w:pStyle w:val="AppendixAHeading4"/>
        <w:rPr>
          <w:rFonts w:eastAsia="Calibri"/>
        </w:rPr>
      </w:pPr>
      <w:r w:rsidRPr="006F402C">
        <w:rPr>
          <w:rFonts w:eastAsia="Calibri"/>
        </w:rPr>
        <w:t>Home Performance Program</w:t>
      </w:r>
    </w:p>
    <w:p w:rsidR="006F402C" w:rsidRPr="006F402C" w:rsidRDefault="006F402C" w:rsidP="006F402C">
      <w:r w:rsidRPr="006F402C">
        <w:t xml:space="preserve">The SWE Team audited each operational component of the Home Performance Program: whole house direct install, home energy audit conservation kits, new homes, and HERs (the school conservation kits component did not operate in PY7). The HERs accounted for a majority (65%) of the Home Performance </w:t>
      </w:r>
      <w:r w:rsidRPr="006F402C">
        <w:lastRenderedPageBreak/>
        <w:t>Program savings in PY7. The SWE Team verified that the correct 2015 TRM savings were used for all measures in the home energy audit conservation kits and that the FirstEnergy statewide receipt rate and ISRs were correctly applied to the items.</w:t>
      </w:r>
    </w:p>
    <w:p w:rsidR="006F402C" w:rsidRPr="006F402C" w:rsidRDefault="006F402C" w:rsidP="006F402C">
      <w:pPr>
        <w:spacing w:before="240"/>
      </w:pPr>
      <w:r w:rsidRPr="006F402C">
        <w:t>For the whole house direct</w:t>
      </w:r>
      <w:r w:rsidR="007D3DA6">
        <w:t>-</w:t>
      </w:r>
      <w:r w:rsidRPr="006F402C">
        <w:t xml:space="preserve">install component, the SWE Team verified that the five highest contributing prescriptive measures and five randomly selected measures were calculated properly per the TRM protocols. The HER component received a full evaluation for the first time in Phase II in PY7. Due to the one-year measure life, it was unnecessary to evaluate this component in the other years. The SWE reviewed the independent analysis performed by the </w:t>
      </w:r>
      <w:r w:rsidRPr="006F402C">
        <w:rPr>
          <w:rFonts w:eastAsia="Calibri"/>
        </w:rPr>
        <w:t xml:space="preserve">evaluation contractor </w:t>
      </w:r>
      <w:r w:rsidRPr="006F402C">
        <w:t>and verified that it was done correctly. There was good consistency between the results of the three analyses performed (</w:t>
      </w:r>
      <w:r w:rsidR="00A92A46">
        <w:t>OPower</w:t>
      </w:r>
      <w:r w:rsidRPr="006F402C">
        <w:t xml:space="preserve">’s, ADM’s replication of </w:t>
      </w:r>
      <w:r w:rsidR="00A92A46">
        <w:t>OPower</w:t>
      </w:r>
      <w:r w:rsidRPr="006F402C">
        <w:t>, and ADM’s), and the overall realization rate was 93%.</w:t>
      </w:r>
    </w:p>
    <w:p w:rsidR="006F402C" w:rsidRPr="006F402C" w:rsidRDefault="006F402C" w:rsidP="006F402C"/>
    <w:p w:rsidR="00950837" w:rsidRDefault="00950837" w:rsidP="00D34B3E">
      <w:pPr>
        <w:pStyle w:val="AppendixAHeading3"/>
      </w:pPr>
      <w:r>
        <w:t>Low-Income Program and Audit Summary</w:t>
      </w:r>
    </w:p>
    <w:p w:rsidR="006F402C" w:rsidRPr="006F402C" w:rsidRDefault="006F402C" w:rsidP="006F402C">
      <w:pPr>
        <w:spacing w:after="240"/>
      </w:pPr>
      <w:r w:rsidRPr="006F402C">
        <w:t xml:space="preserve">The SWE Team reviewed the two distribution branches of the Low-Income Program operational in PY7 (direct install and giveaway) to ensure that the savings were correctly calculated using the 2015 TRM and that the realization rates were correctly determined and applied appropriately. Penelec’s </w:t>
      </w:r>
      <w:r w:rsidRPr="006F402C">
        <w:rPr>
          <w:rFonts w:eastAsia="Calibri"/>
        </w:rPr>
        <w:t xml:space="preserve">evaluation contractor </w:t>
      </w:r>
      <w:r w:rsidRPr="006F402C">
        <w:t>provided a complete database of direct-install measures, which included a pivot table that ranked measures by individual measure contribution to total program kWh savings. Using this, the SWE Team verified the calculations for five measures with the greatest overall impact and verified five randomly selected measures. The SWE Team also confirmed that kWh and kW calculations for the estimations of savings for the giveaway program were implemented per the 2015 TRM.</w:t>
      </w:r>
    </w:p>
    <w:p w:rsidR="006F402C" w:rsidRPr="006F402C" w:rsidRDefault="006F402C" w:rsidP="006F402C">
      <w:r w:rsidRPr="006F402C">
        <w:t>Finally, the SWE Team verified that Penelec was in compliance with the requirement that the number of energy conservation measures offered to low‐income households be proportionate to those households’ share of the total energy usage in Penelec’s service territory. Penelec offered six types of measures to the low‐income sector in PY7, which is 15% of the total number of measures offered across all sectors. This exceeded its goal of 10.2%.</w:t>
      </w:r>
    </w:p>
    <w:p w:rsidR="006F402C" w:rsidRPr="006F402C" w:rsidRDefault="006F402C" w:rsidP="006F402C"/>
    <w:p w:rsidR="00950837" w:rsidRDefault="00950837" w:rsidP="00D34B3E">
      <w:pPr>
        <w:pStyle w:val="AppendixAHeading3"/>
      </w:pPr>
      <w:r>
        <w:t>Non-Residential Program Audit Summary</w:t>
      </w:r>
    </w:p>
    <w:p w:rsidR="00B9141F" w:rsidRPr="00046D16" w:rsidRDefault="00B9141F" w:rsidP="00046D16">
      <w:r w:rsidRPr="00046D16">
        <w:t>The SWE Team reviewed project files to audit the accuracy of the savings values stored in the program-tracking database and to confirm that calculations were being performed in accordance with the applicable TRM, or by some other reasonable methodology. The SWE Team reviewed nine projects in Penelec’s PY7 non-residential programs across various measures, including interior and exterior lighting, refrigeration, energy audits, and PC power management. In PY7, the SWE saw marked improvement in the consistency, orderliness, and organization of project files. This was aided by the consistent inclusion of site-specific cover pages, which helped the SWE follow the evaluation contractor’s method and progression. At this time, the SWE Team only recommends that in the interest of transparency, only the SWE-supplied Appendix C calculator be used for lighting projects moving forward.</w:t>
      </w:r>
    </w:p>
    <w:p w:rsidR="00B9141F" w:rsidRPr="00046D16" w:rsidRDefault="00B9141F" w:rsidP="00046D16"/>
    <w:p w:rsidR="00B9141F" w:rsidRPr="00D85274" w:rsidRDefault="00B9141F" w:rsidP="00B9141F">
      <w:r w:rsidRPr="00D85274">
        <w:t xml:space="preserve">The SWE Team reviewed Penelec’s PY7 sample design to ensure its compliance with the Evaluation Framework. The results are displayed in </w:t>
      </w:r>
      <w:r>
        <w:fldChar w:fldCharType="begin"/>
      </w:r>
      <w:r>
        <w:instrText xml:space="preserve"> REF _Ref472393022 \h </w:instrText>
      </w:r>
      <w:r>
        <w:fldChar w:fldCharType="separate"/>
      </w:r>
      <w:r w:rsidR="00C301D0">
        <w:t>Table A-</w:t>
      </w:r>
      <w:r w:rsidR="00C301D0">
        <w:rPr>
          <w:noProof/>
        </w:rPr>
        <w:t>58</w:t>
      </w:r>
      <w:r>
        <w:fldChar w:fldCharType="end"/>
      </w:r>
      <w:r w:rsidRPr="00D85274">
        <w:t xml:space="preserve">, showing relative precision at the 85% confidence level. </w:t>
      </w:r>
    </w:p>
    <w:p w:rsidR="00B9141F" w:rsidRPr="00D85274" w:rsidRDefault="00B9141F" w:rsidP="00B9141F"/>
    <w:p w:rsidR="00B9141F" w:rsidRPr="00D85274" w:rsidRDefault="00B9141F" w:rsidP="00B9141F">
      <w:pPr>
        <w:pStyle w:val="Caption"/>
      </w:pPr>
      <w:bookmarkStart w:id="837" w:name="_Ref472393022"/>
      <w:bookmarkStart w:id="838" w:name="_Toc409225053"/>
      <w:bookmarkStart w:id="839" w:name="_Toc409443605"/>
      <w:bookmarkStart w:id="840" w:name="_Toc445206219"/>
      <w:bookmarkStart w:id="841" w:name="_Toc472472467"/>
      <w:bookmarkStart w:id="842" w:name="_Toc476842173"/>
      <w:r>
        <w:t>Table A-</w:t>
      </w:r>
      <w:fldSimple w:instr=" SEQ Table_A- \* ARABIC ">
        <w:r w:rsidR="00C301D0">
          <w:rPr>
            <w:noProof/>
          </w:rPr>
          <w:t>58</w:t>
        </w:r>
      </w:fldSimple>
      <w:bookmarkEnd w:id="837"/>
      <w:r w:rsidRPr="00D85274">
        <w:t>: Compliance across Sample Designs for Penelec’s PY7 Non-Residential Program Groups</w:t>
      </w:r>
      <w:bookmarkEnd w:id="838"/>
      <w:bookmarkEnd w:id="839"/>
      <w:bookmarkEnd w:id="840"/>
      <w:bookmarkEnd w:id="841"/>
      <w:bookmarkEnd w:id="842"/>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060"/>
        <w:gridCol w:w="2100"/>
        <w:gridCol w:w="2100"/>
        <w:gridCol w:w="2100"/>
      </w:tblGrid>
      <w:tr w:rsidR="00A874AC" w:rsidRPr="00D85274" w:rsidTr="0017534C">
        <w:trPr>
          <w:trHeight w:val="520"/>
          <w:tblHeader/>
          <w:jc w:val="center"/>
        </w:trPr>
        <w:tc>
          <w:tcPr>
            <w:tcW w:w="3060" w:type="dxa"/>
            <w:shd w:val="clear" w:color="000000" w:fill="448A99"/>
            <w:vAlign w:val="bottom"/>
            <w:hideMark/>
          </w:tcPr>
          <w:p w:rsidR="00B9141F" w:rsidRPr="00D85274" w:rsidRDefault="00B9141F" w:rsidP="00AC55E9">
            <w:pPr>
              <w:rPr>
                <w:b/>
                <w:bCs/>
                <w:color w:val="FFFFFF"/>
                <w:sz w:val="20"/>
                <w:szCs w:val="18"/>
              </w:rPr>
            </w:pPr>
            <w:r w:rsidRPr="00D85274">
              <w:rPr>
                <w:b/>
                <w:bCs/>
                <w:color w:val="FFFFFF"/>
                <w:sz w:val="20"/>
                <w:szCs w:val="18"/>
              </w:rPr>
              <w:lastRenderedPageBreak/>
              <w:t>Program</w:t>
            </w:r>
          </w:p>
        </w:tc>
        <w:tc>
          <w:tcPr>
            <w:tcW w:w="2100" w:type="dxa"/>
            <w:shd w:val="clear" w:color="000000" w:fill="448A99"/>
            <w:vAlign w:val="bottom"/>
            <w:hideMark/>
          </w:tcPr>
          <w:p w:rsidR="00B9141F" w:rsidRPr="00D85274" w:rsidRDefault="00B9141F" w:rsidP="00AC55E9">
            <w:pPr>
              <w:jc w:val="center"/>
              <w:rPr>
                <w:b/>
                <w:bCs/>
                <w:color w:val="FFFFFF"/>
                <w:sz w:val="20"/>
                <w:szCs w:val="18"/>
              </w:rPr>
            </w:pPr>
            <w:r w:rsidRPr="00D85274">
              <w:rPr>
                <w:b/>
                <w:bCs/>
                <w:color w:val="FFFFFF"/>
                <w:sz w:val="20"/>
                <w:szCs w:val="18"/>
              </w:rPr>
              <w:t>Relative Precision at 85% CL for Energy</w:t>
            </w:r>
          </w:p>
        </w:tc>
        <w:tc>
          <w:tcPr>
            <w:tcW w:w="2100" w:type="dxa"/>
            <w:shd w:val="clear" w:color="000000" w:fill="448A99"/>
            <w:vAlign w:val="bottom"/>
            <w:hideMark/>
          </w:tcPr>
          <w:p w:rsidR="00B9141F" w:rsidRPr="00D85274" w:rsidRDefault="00B9141F" w:rsidP="00AC55E9">
            <w:pPr>
              <w:jc w:val="center"/>
              <w:rPr>
                <w:b/>
                <w:bCs/>
                <w:color w:val="FFFFFF"/>
                <w:sz w:val="20"/>
                <w:szCs w:val="18"/>
              </w:rPr>
            </w:pPr>
            <w:r w:rsidRPr="00D85274">
              <w:rPr>
                <w:b/>
                <w:bCs/>
                <w:color w:val="FFFFFF"/>
                <w:sz w:val="20"/>
                <w:szCs w:val="18"/>
              </w:rPr>
              <w:t>Relative Precision at 85% CL for Demand</w:t>
            </w:r>
          </w:p>
        </w:tc>
        <w:tc>
          <w:tcPr>
            <w:tcW w:w="2100" w:type="dxa"/>
            <w:shd w:val="clear" w:color="000000" w:fill="448A99"/>
            <w:vAlign w:val="bottom"/>
            <w:hideMark/>
          </w:tcPr>
          <w:p w:rsidR="00B9141F" w:rsidRPr="00D85274" w:rsidRDefault="00B9141F" w:rsidP="00AC55E9">
            <w:pPr>
              <w:jc w:val="center"/>
              <w:rPr>
                <w:b/>
                <w:bCs/>
                <w:color w:val="FFFFFF"/>
                <w:sz w:val="20"/>
                <w:szCs w:val="18"/>
              </w:rPr>
            </w:pPr>
            <w:r w:rsidRPr="00D85274">
              <w:rPr>
                <w:b/>
                <w:bCs/>
                <w:color w:val="FFFFFF"/>
                <w:sz w:val="20"/>
                <w:szCs w:val="18"/>
              </w:rPr>
              <w:t>Compliance with Evaluation Framework</w:t>
            </w:r>
          </w:p>
        </w:tc>
      </w:tr>
      <w:tr w:rsidR="00A874AC" w:rsidRPr="00D85274" w:rsidTr="0017534C">
        <w:trPr>
          <w:trHeight w:val="346"/>
          <w:jc w:val="center"/>
        </w:trPr>
        <w:tc>
          <w:tcPr>
            <w:tcW w:w="3060" w:type="dxa"/>
            <w:shd w:val="clear" w:color="000000" w:fill="D2EAF1"/>
            <w:noWrap/>
            <w:vAlign w:val="center"/>
          </w:tcPr>
          <w:p w:rsidR="00B9141F" w:rsidRPr="00D85274" w:rsidRDefault="00B9141F" w:rsidP="00AC55E9">
            <w:pPr>
              <w:rPr>
                <w:bCs/>
                <w:color w:val="000000"/>
                <w:sz w:val="20"/>
                <w:szCs w:val="20"/>
              </w:rPr>
            </w:pPr>
            <w:r w:rsidRPr="00D85274">
              <w:rPr>
                <w:sz w:val="20"/>
                <w:szCs w:val="20"/>
              </w:rPr>
              <w:t>Small C/I Equipment</w:t>
            </w:r>
          </w:p>
        </w:tc>
        <w:tc>
          <w:tcPr>
            <w:tcW w:w="2100" w:type="dxa"/>
            <w:shd w:val="clear" w:color="000000" w:fill="D2EAF1"/>
            <w:noWrap/>
            <w:vAlign w:val="center"/>
          </w:tcPr>
          <w:p w:rsidR="00B9141F" w:rsidRPr="00D85274" w:rsidRDefault="00B9141F" w:rsidP="00AC55E9">
            <w:pPr>
              <w:jc w:val="center"/>
              <w:rPr>
                <w:color w:val="000000"/>
                <w:sz w:val="20"/>
                <w:szCs w:val="20"/>
              </w:rPr>
            </w:pPr>
            <w:r w:rsidRPr="00D85274">
              <w:rPr>
                <w:color w:val="000000"/>
                <w:sz w:val="20"/>
                <w:szCs w:val="20"/>
              </w:rPr>
              <w:t>14.2%</w:t>
            </w:r>
          </w:p>
        </w:tc>
        <w:tc>
          <w:tcPr>
            <w:tcW w:w="2100" w:type="dxa"/>
            <w:shd w:val="clear" w:color="000000" w:fill="D2EAF1"/>
            <w:noWrap/>
            <w:vAlign w:val="center"/>
          </w:tcPr>
          <w:p w:rsidR="00B9141F" w:rsidRPr="00D85274" w:rsidRDefault="00B9141F" w:rsidP="00AC55E9">
            <w:pPr>
              <w:jc w:val="center"/>
              <w:rPr>
                <w:color w:val="000000"/>
                <w:sz w:val="20"/>
                <w:szCs w:val="20"/>
              </w:rPr>
            </w:pPr>
            <w:r w:rsidRPr="00D85274">
              <w:rPr>
                <w:color w:val="000000"/>
                <w:sz w:val="20"/>
                <w:szCs w:val="20"/>
              </w:rPr>
              <w:t>14.9%</w:t>
            </w:r>
          </w:p>
        </w:tc>
        <w:tc>
          <w:tcPr>
            <w:tcW w:w="2100" w:type="dxa"/>
            <w:shd w:val="clear" w:color="000000" w:fill="D2EAF1"/>
            <w:noWrap/>
            <w:vAlign w:val="center"/>
          </w:tcPr>
          <w:p w:rsidR="00B9141F" w:rsidRPr="00D85274" w:rsidRDefault="00B9141F" w:rsidP="00AC55E9">
            <w:pPr>
              <w:jc w:val="center"/>
              <w:rPr>
                <w:color w:val="000000"/>
                <w:sz w:val="28"/>
                <w:szCs w:val="24"/>
              </w:rPr>
            </w:pPr>
            <w:r w:rsidRPr="00D85274">
              <w:rPr>
                <w:color w:val="00B050"/>
                <w:sz w:val="28"/>
                <w:szCs w:val="20"/>
              </w:rPr>
              <w:sym w:font="Wingdings" w:char="F0FC"/>
            </w:r>
          </w:p>
        </w:tc>
      </w:tr>
      <w:tr w:rsidR="00E7173E" w:rsidRPr="00D85274" w:rsidTr="0081757B">
        <w:trPr>
          <w:trHeight w:val="346"/>
          <w:jc w:val="center"/>
        </w:trPr>
        <w:tc>
          <w:tcPr>
            <w:tcW w:w="3060" w:type="dxa"/>
            <w:shd w:val="clear" w:color="auto" w:fill="auto"/>
            <w:noWrap/>
            <w:vAlign w:val="center"/>
          </w:tcPr>
          <w:p w:rsidR="00B9141F" w:rsidRPr="00D85274" w:rsidRDefault="00B9141F" w:rsidP="00AC55E9">
            <w:pPr>
              <w:rPr>
                <w:bCs/>
                <w:color w:val="000000"/>
                <w:sz w:val="20"/>
                <w:szCs w:val="20"/>
              </w:rPr>
            </w:pPr>
            <w:r w:rsidRPr="00D85274">
              <w:rPr>
                <w:sz w:val="20"/>
                <w:szCs w:val="20"/>
              </w:rPr>
              <w:t>Small C/I Buildings</w:t>
            </w:r>
          </w:p>
        </w:tc>
        <w:tc>
          <w:tcPr>
            <w:tcW w:w="2100" w:type="dxa"/>
            <w:shd w:val="clear" w:color="auto" w:fill="auto"/>
            <w:noWrap/>
            <w:vAlign w:val="center"/>
          </w:tcPr>
          <w:p w:rsidR="00B9141F" w:rsidRPr="00D85274" w:rsidRDefault="00B9141F" w:rsidP="00AC55E9">
            <w:pPr>
              <w:jc w:val="center"/>
              <w:rPr>
                <w:color w:val="000000"/>
                <w:sz w:val="20"/>
                <w:szCs w:val="20"/>
              </w:rPr>
            </w:pPr>
            <w:r w:rsidRPr="00D85274">
              <w:rPr>
                <w:color w:val="000000"/>
                <w:sz w:val="20"/>
                <w:szCs w:val="20"/>
              </w:rPr>
              <w:t>8.9%</w:t>
            </w:r>
          </w:p>
        </w:tc>
        <w:tc>
          <w:tcPr>
            <w:tcW w:w="2100" w:type="dxa"/>
            <w:shd w:val="clear" w:color="auto" w:fill="auto"/>
            <w:noWrap/>
            <w:vAlign w:val="center"/>
          </w:tcPr>
          <w:p w:rsidR="00B9141F" w:rsidRPr="00D85274" w:rsidRDefault="00B9141F" w:rsidP="00AC55E9">
            <w:pPr>
              <w:jc w:val="center"/>
              <w:rPr>
                <w:color w:val="000000"/>
                <w:sz w:val="20"/>
                <w:szCs w:val="20"/>
              </w:rPr>
            </w:pPr>
            <w:r w:rsidRPr="00D85274">
              <w:rPr>
                <w:color w:val="000000"/>
                <w:sz w:val="20"/>
                <w:szCs w:val="20"/>
              </w:rPr>
              <w:t>8.5%</w:t>
            </w:r>
          </w:p>
        </w:tc>
        <w:tc>
          <w:tcPr>
            <w:tcW w:w="2100" w:type="dxa"/>
            <w:shd w:val="clear" w:color="auto" w:fill="auto"/>
            <w:noWrap/>
            <w:vAlign w:val="center"/>
          </w:tcPr>
          <w:p w:rsidR="00B9141F" w:rsidRPr="00D85274" w:rsidRDefault="00B9141F" w:rsidP="00AC55E9">
            <w:pPr>
              <w:jc w:val="center"/>
              <w:rPr>
                <w:color w:val="FF0000"/>
                <w:sz w:val="28"/>
                <w:szCs w:val="24"/>
              </w:rPr>
            </w:pPr>
            <w:r w:rsidRPr="00D85274">
              <w:rPr>
                <w:color w:val="00B050"/>
                <w:sz w:val="28"/>
                <w:szCs w:val="20"/>
              </w:rPr>
              <w:sym w:font="Wingdings" w:char="F0FC"/>
            </w:r>
          </w:p>
        </w:tc>
      </w:tr>
      <w:tr w:rsidR="00A874AC" w:rsidRPr="00D85274" w:rsidTr="0017534C">
        <w:trPr>
          <w:trHeight w:val="346"/>
          <w:jc w:val="center"/>
        </w:trPr>
        <w:tc>
          <w:tcPr>
            <w:tcW w:w="3060" w:type="dxa"/>
            <w:shd w:val="clear" w:color="000000" w:fill="D2EAF1"/>
            <w:noWrap/>
            <w:vAlign w:val="center"/>
          </w:tcPr>
          <w:p w:rsidR="00B9141F" w:rsidRPr="00D85274" w:rsidRDefault="00B9141F" w:rsidP="00AC55E9">
            <w:pPr>
              <w:rPr>
                <w:bCs/>
                <w:color w:val="000000"/>
                <w:sz w:val="20"/>
                <w:szCs w:val="20"/>
              </w:rPr>
            </w:pPr>
            <w:r w:rsidRPr="00D85274">
              <w:rPr>
                <w:sz w:val="20"/>
                <w:szCs w:val="20"/>
              </w:rPr>
              <w:t>Large C/I Equipment</w:t>
            </w:r>
          </w:p>
        </w:tc>
        <w:tc>
          <w:tcPr>
            <w:tcW w:w="2100" w:type="dxa"/>
            <w:shd w:val="clear" w:color="000000"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12.9%</w:t>
            </w:r>
          </w:p>
        </w:tc>
        <w:tc>
          <w:tcPr>
            <w:tcW w:w="2100" w:type="dxa"/>
            <w:shd w:val="clear" w:color="000000"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12.9%</w:t>
            </w:r>
          </w:p>
        </w:tc>
        <w:tc>
          <w:tcPr>
            <w:tcW w:w="2100" w:type="dxa"/>
            <w:shd w:val="clear" w:color="000000" w:fill="D2EAF1"/>
            <w:noWrap/>
            <w:vAlign w:val="center"/>
          </w:tcPr>
          <w:p w:rsidR="00B9141F" w:rsidRPr="00D85274" w:rsidRDefault="00B9141F" w:rsidP="00AC55E9">
            <w:pPr>
              <w:jc w:val="center"/>
              <w:rPr>
                <w:bCs/>
                <w:color w:val="FF0000"/>
                <w:sz w:val="28"/>
                <w:szCs w:val="24"/>
              </w:rPr>
            </w:pPr>
            <w:r w:rsidRPr="00D85274">
              <w:rPr>
                <w:color w:val="00B050"/>
                <w:sz w:val="28"/>
                <w:szCs w:val="20"/>
              </w:rPr>
              <w:sym w:font="Wingdings" w:char="F0FC"/>
            </w:r>
          </w:p>
        </w:tc>
      </w:tr>
      <w:tr w:rsidR="00E7173E" w:rsidRPr="00D85274" w:rsidTr="0081757B">
        <w:trPr>
          <w:trHeight w:val="346"/>
          <w:jc w:val="center"/>
        </w:trPr>
        <w:tc>
          <w:tcPr>
            <w:tcW w:w="3060" w:type="dxa"/>
            <w:shd w:val="clear" w:color="auto" w:fill="auto"/>
            <w:noWrap/>
            <w:vAlign w:val="center"/>
          </w:tcPr>
          <w:p w:rsidR="00B9141F" w:rsidRPr="00D85274" w:rsidRDefault="00B9141F" w:rsidP="00AC55E9">
            <w:pPr>
              <w:rPr>
                <w:bCs/>
                <w:color w:val="000000"/>
                <w:sz w:val="20"/>
                <w:szCs w:val="20"/>
              </w:rPr>
            </w:pPr>
            <w:r w:rsidRPr="00D85274">
              <w:rPr>
                <w:sz w:val="20"/>
                <w:szCs w:val="20"/>
              </w:rPr>
              <w:t>Large C/I Buildings</w:t>
            </w:r>
          </w:p>
        </w:tc>
        <w:tc>
          <w:tcPr>
            <w:tcW w:w="2100" w:type="dxa"/>
            <w:shd w:val="clear" w:color="auto" w:fill="auto"/>
            <w:noWrap/>
            <w:vAlign w:val="center"/>
          </w:tcPr>
          <w:p w:rsidR="00B9141F" w:rsidRPr="00D85274" w:rsidRDefault="00B9141F" w:rsidP="00AC55E9">
            <w:pPr>
              <w:jc w:val="center"/>
              <w:rPr>
                <w:bCs/>
                <w:color w:val="000000"/>
                <w:sz w:val="20"/>
                <w:szCs w:val="20"/>
              </w:rPr>
            </w:pPr>
            <w:r w:rsidRPr="00D85274">
              <w:rPr>
                <w:bCs/>
                <w:color w:val="000000"/>
                <w:sz w:val="20"/>
                <w:szCs w:val="20"/>
              </w:rPr>
              <w:t>13.7%</w:t>
            </w:r>
          </w:p>
        </w:tc>
        <w:tc>
          <w:tcPr>
            <w:tcW w:w="2100" w:type="dxa"/>
            <w:shd w:val="clear" w:color="auto" w:fill="auto"/>
            <w:noWrap/>
            <w:vAlign w:val="center"/>
          </w:tcPr>
          <w:p w:rsidR="00B9141F" w:rsidRPr="00D85274" w:rsidRDefault="00B9141F" w:rsidP="00AC55E9">
            <w:pPr>
              <w:jc w:val="center"/>
              <w:rPr>
                <w:bCs/>
                <w:color w:val="000000"/>
                <w:sz w:val="20"/>
                <w:szCs w:val="20"/>
              </w:rPr>
            </w:pPr>
            <w:r w:rsidRPr="00D85274">
              <w:rPr>
                <w:bCs/>
                <w:color w:val="000000"/>
                <w:sz w:val="20"/>
                <w:szCs w:val="20"/>
              </w:rPr>
              <w:t>12.9%</w:t>
            </w:r>
          </w:p>
        </w:tc>
        <w:tc>
          <w:tcPr>
            <w:tcW w:w="2100" w:type="dxa"/>
            <w:shd w:val="clear" w:color="auto" w:fill="auto"/>
            <w:noWrap/>
            <w:vAlign w:val="center"/>
          </w:tcPr>
          <w:p w:rsidR="00B9141F" w:rsidRPr="00D85274" w:rsidRDefault="00B9141F" w:rsidP="00AC55E9">
            <w:pPr>
              <w:jc w:val="center"/>
              <w:rPr>
                <w:color w:val="00B050"/>
                <w:sz w:val="28"/>
                <w:szCs w:val="24"/>
              </w:rPr>
            </w:pPr>
            <w:r w:rsidRPr="00D85274">
              <w:rPr>
                <w:color w:val="00B050"/>
                <w:sz w:val="28"/>
                <w:szCs w:val="20"/>
              </w:rPr>
              <w:sym w:font="Wingdings" w:char="F0FC"/>
            </w:r>
          </w:p>
        </w:tc>
      </w:tr>
      <w:tr w:rsidR="00A874AC" w:rsidRPr="00D85274" w:rsidTr="0017534C">
        <w:trPr>
          <w:trHeight w:val="346"/>
          <w:jc w:val="center"/>
        </w:trPr>
        <w:tc>
          <w:tcPr>
            <w:tcW w:w="3060" w:type="dxa"/>
            <w:shd w:val="clear" w:color="auto" w:fill="D2EAF1"/>
            <w:noWrap/>
            <w:vAlign w:val="center"/>
          </w:tcPr>
          <w:p w:rsidR="00B9141F" w:rsidRPr="00D85274" w:rsidRDefault="00B9141F" w:rsidP="00AC55E9">
            <w:pPr>
              <w:rPr>
                <w:bCs/>
                <w:color w:val="000000"/>
                <w:sz w:val="20"/>
                <w:szCs w:val="20"/>
              </w:rPr>
            </w:pPr>
            <w:r w:rsidRPr="00D85274">
              <w:rPr>
                <w:sz w:val="20"/>
                <w:szCs w:val="20"/>
              </w:rPr>
              <w:t>Government/Institutional</w:t>
            </w:r>
          </w:p>
        </w:tc>
        <w:tc>
          <w:tcPr>
            <w:tcW w:w="2100" w:type="dxa"/>
            <w:shd w:val="clear" w:color="auto"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15.0%</w:t>
            </w:r>
          </w:p>
        </w:tc>
        <w:tc>
          <w:tcPr>
            <w:tcW w:w="2100" w:type="dxa"/>
            <w:shd w:val="clear" w:color="auto"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18.5%</w:t>
            </w:r>
          </w:p>
        </w:tc>
        <w:tc>
          <w:tcPr>
            <w:tcW w:w="2100" w:type="dxa"/>
            <w:shd w:val="clear" w:color="auto" w:fill="D2EAF1"/>
            <w:noWrap/>
            <w:vAlign w:val="center"/>
          </w:tcPr>
          <w:p w:rsidR="00B9141F" w:rsidRPr="00D85274" w:rsidRDefault="00B9141F" w:rsidP="00AC55E9">
            <w:pPr>
              <w:jc w:val="center"/>
              <w:rPr>
                <w:color w:val="00B050"/>
                <w:sz w:val="28"/>
                <w:szCs w:val="24"/>
              </w:rPr>
            </w:pPr>
            <w:r w:rsidRPr="00D85274">
              <w:rPr>
                <w:color w:val="00B050"/>
                <w:sz w:val="28"/>
                <w:szCs w:val="20"/>
              </w:rPr>
              <w:sym w:font="Wingdings" w:char="F0FC"/>
            </w:r>
          </w:p>
        </w:tc>
      </w:tr>
    </w:tbl>
    <w:p w:rsidR="00B9141F" w:rsidRPr="00D85274" w:rsidRDefault="00B9141F" w:rsidP="00B9141F"/>
    <w:p w:rsidR="00B9141F" w:rsidRPr="00D85274" w:rsidRDefault="00B9141F" w:rsidP="00B9141F">
      <w:pPr>
        <w:rPr>
          <w:color w:val="000000"/>
        </w:rPr>
      </w:pPr>
      <w:r w:rsidRPr="00D85274">
        <w:t xml:space="preserve">Penelec met the goal of 15% precision at the 85% confidence level for energy for all non-residential program groups. Details concerning each program evaluation sample are provided </w:t>
      </w:r>
      <w:r w:rsidR="003B7147">
        <w:t>below</w:t>
      </w:r>
      <w:r w:rsidRPr="00D85274">
        <w:t>.</w:t>
      </w:r>
    </w:p>
    <w:p w:rsidR="00B9141F" w:rsidRPr="00D85274" w:rsidRDefault="00B9141F" w:rsidP="00B9141F">
      <w:pPr>
        <w:rPr>
          <w:color w:val="000000"/>
        </w:rPr>
      </w:pPr>
    </w:p>
    <w:p w:rsidR="00B9141F" w:rsidRPr="00D85274" w:rsidRDefault="00B9141F" w:rsidP="00B9141F">
      <w:pPr>
        <w:rPr>
          <w:color w:val="000000"/>
        </w:rPr>
      </w:pPr>
      <w:r w:rsidRPr="00D85274">
        <w:rPr>
          <w:color w:val="000000"/>
        </w:rPr>
        <w:t xml:space="preserve">As part of the audit process, the SWE Team performed one ride-along site inspection of a non-residential project to oversee Penelec’s on-site evaluation practices. Since Penelec uses the same </w:t>
      </w:r>
      <w:r>
        <w:rPr>
          <w:color w:val="000000"/>
        </w:rPr>
        <w:t>evaluation contractor</w:t>
      </w:r>
      <w:r w:rsidRPr="00D85274">
        <w:rPr>
          <w:color w:val="000000"/>
        </w:rPr>
        <w:t xml:space="preserve"> (ADM) as the other FirstEnergy companies</w:t>
      </w:r>
      <w:r>
        <w:rPr>
          <w:color w:val="000000"/>
        </w:rPr>
        <w:t>,</w:t>
      </w:r>
      <w:r w:rsidRPr="00D85274">
        <w:rPr>
          <w:color w:val="000000"/>
        </w:rPr>
        <w:t xml:space="preserve"> and site inspections </w:t>
      </w:r>
      <w:r>
        <w:rPr>
          <w:color w:val="000000"/>
        </w:rPr>
        <w:t>among</w:t>
      </w:r>
      <w:r w:rsidRPr="00D85274">
        <w:rPr>
          <w:color w:val="000000"/>
        </w:rPr>
        <w:t xml:space="preserve"> FirstEnergy territories are performed by the same ADM staff, the SWE has confidence that the ride-along site inspections performed by the SWE in other FirstEnergy </w:t>
      </w:r>
      <w:r>
        <w:rPr>
          <w:color w:val="000000"/>
        </w:rPr>
        <w:t>t</w:t>
      </w:r>
      <w:r w:rsidRPr="00D85274">
        <w:rPr>
          <w:color w:val="000000"/>
        </w:rPr>
        <w:t xml:space="preserve">erritories accurately represent performance for the Penelec territory. The Penelec project for which the SWE conducted a ride-along involved VFDs on water circulation pumps at a waste-treatment facility. The SWE </w:t>
      </w:r>
      <w:r>
        <w:rPr>
          <w:color w:val="000000"/>
        </w:rPr>
        <w:t>T</w:t>
      </w:r>
      <w:r w:rsidRPr="00D85274">
        <w:rPr>
          <w:color w:val="000000"/>
        </w:rPr>
        <w:t>eam approved the verified savings and had no additional recommendations. Results from the site inspection and other FirstEnergy</w:t>
      </w:r>
      <w:r>
        <w:rPr>
          <w:color w:val="000000"/>
        </w:rPr>
        <w:t xml:space="preserve"> </w:t>
      </w:r>
      <w:r w:rsidRPr="00D85274">
        <w:rPr>
          <w:color w:val="000000"/>
        </w:rPr>
        <w:t xml:space="preserve">ADM inspections are summarized </w:t>
      </w:r>
      <w:r w:rsidR="003B7147">
        <w:t>below</w:t>
      </w:r>
      <w:r w:rsidRPr="00D85274">
        <w:rPr>
          <w:color w:val="000000"/>
        </w:rPr>
        <w:t>.</w:t>
      </w:r>
    </w:p>
    <w:p w:rsidR="00B9141F" w:rsidRPr="00D85274" w:rsidRDefault="00B9141F" w:rsidP="00B9141F"/>
    <w:p w:rsidR="00B9141F" w:rsidRDefault="00B9141F" w:rsidP="00B9141F">
      <w:pPr>
        <w:rPr>
          <w:color w:val="000000"/>
        </w:rPr>
      </w:pPr>
      <w:r w:rsidRPr="00D85274">
        <w:t>The SWE Team performed a verified savings analysis on three submitted projects, checking for accuracy in calculations and appropriateness</w:t>
      </w:r>
      <w:r w:rsidRPr="00D85274">
        <w:rPr>
          <w:color w:val="000000"/>
        </w:rPr>
        <w:t xml:space="preserve"> of the evaluation method and level of rigor. The SWE Team found appropriate rigor in the evaluation contractor’s M&amp;V methods.</w:t>
      </w:r>
      <w:r w:rsidRPr="00D85274">
        <w:t xml:space="preserve"> T</w:t>
      </w:r>
      <w:r w:rsidRPr="00D85274">
        <w:rPr>
          <w:color w:val="000000"/>
        </w:rPr>
        <w:t>here was significant improvement in the presentation of M&amp;V methodology and results in PY7 with the inclusion of a site</w:t>
      </w:r>
      <w:r>
        <w:rPr>
          <w:color w:val="000000"/>
        </w:rPr>
        <w:t>-</w:t>
      </w:r>
      <w:r w:rsidRPr="00D85274">
        <w:rPr>
          <w:color w:val="000000"/>
        </w:rPr>
        <w:t xml:space="preserve">level report for each project file. </w:t>
      </w:r>
      <w:r w:rsidR="003B7147">
        <w:rPr>
          <w:color w:val="000000"/>
        </w:rPr>
        <w:t>The discussion below</w:t>
      </w:r>
      <w:r w:rsidRPr="00D85274">
        <w:rPr>
          <w:color w:val="000000"/>
        </w:rPr>
        <w:t xml:space="preserve"> presents more detailed results of the verified savings analysis.</w:t>
      </w:r>
    </w:p>
    <w:p w:rsidR="006B298C" w:rsidRDefault="006B298C" w:rsidP="00B9141F">
      <w:pPr>
        <w:rPr>
          <w:color w:val="000000"/>
        </w:rPr>
      </w:pPr>
    </w:p>
    <w:p w:rsidR="006B298C" w:rsidRPr="003458B1" w:rsidRDefault="006B298C" w:rsidP="006B298C">
      <w:pPr>
        <w:pStyle w:val="AppendixAHeading4"/>
        <w:rPr>
          <w:rFonts w:eastAsia="Calibri"/>
        </w:rPr>
      </w:pPr>
      <w:bookmarkStart w:id="843" w:name="_Toc408557489"/>
      <w:bookmarkStart w:id="844" w:name="_Ref440443962"/>
      <w:r w:rsidRPr="003458B1">
        <w:rPr>
          <w:rFonts w:eastAsia="Calibri"/>
        </w:rPr>
        <w:t>Project Files Review</w:t>
      </w:r>
      <w:bookmarkEnd w:id="843"/>
      <w:bookmarkEnd w:id="844"/>
    </w:p>
    <w:p w:rsidR="006B298C" w:rsidRDefault="006B298C" w:rsidP="006B298C">
      <w:pPr>
        <w:rPr>
          <w:color w:val="000000"/>
        </w:rPr>
      </w:pPr>
      <w:r w:rsidRPr="00A80B34">
        <w:rPr>
          <w:color w:val="000000"/>
        </w:rPr>
        <w:t>The SWE Team</w:t>
      </w:r>
      <w:r w:rsidRPr="003458B1">
        <w:rPr>
          <w:color w:val="000000"/>
        </w:rPr>
        <w:t xml:space="preserve"> reviewed nine projects in Penelec’s PY7 non-residential programs across various measures, including interior and exterior lighting, refrigeration, energy audits, and PC power management. The submitted files included project-level savings calculation workbooks, application forms, measure installation confirmations, equipment specification sheets, invoices, post-installation inspection reports, </w:t>
      </w:r>
      <w:r w:rsidR="008C19A4">
        <w:rPr>
          <w:color w:val="000000"/>
        </w:rPr>
        <w:t xml:space="preserve">and other supporting documents. </w:t>
      </w:r>
      <w:r w:rsidRPr="003458B1">
        <w:rPr>
          <w:color w:val="000000"/>
        </w:rPr>
        <w:t>In general, the submitted project files provided thorough documentation for SWE Team review</w:t>
      </w:r>
      <w:r>
        <w:rPr>
          <w:color w:val="000000"/>
        </w:rPr>
        <w:t>.</w:t>
      </w:r>
    </w:p>
    <w:p w:rsidR="006B298C" w:rsidRDefault="006B298C" w:rsidP="006B298C">
      <w:pPr>
        <w:rPr>
          <w:color w:val="000000"/>
        </w:rPr>
      </w:pPr>
    </w:p>
    <w:p w:rsidR="00380FF9" w:rsidRPr="008C19A4" w:rsidRDefault="008C19A4" w:rsidP="008C19A4">
      <w:r>
        <w:t xml:space="preserve">Table A-59 </w:t>
      </w:r>
      <w:r w:rsidR="00380FF9" w:rsidRPr="008C19A4">
        <w:t>presents an overview of the projects that were reviewed by the SWE Team and the findings.</w:t>
      </w:r>
    </w:p>
    <w:p w:rsidR="0014308C" w:rsidRPr="008C19A4" w:rsidRDefault="0014308C" w:rsidP="008C19A4">
      <w:pPr>
        <w:sectPr w:rsidR="0014308C" w:rsidRPr="008C19A4" w:rsidSect="00E45861">
          <w:headerReference w:type="default" r:id="rId127"/>
          <w:footerReference w:type="default" r:id="rId128"/>
          <w:headerReference w:type="first" r:id="rId129"/>
          <w:footerReference w:type="first" r:id="rId130"/>
          <w:pgSz w:w="12240" w:h="15840"/>
          <w:pgMar w:top="1440" w:right="1440" w:bottom="1440" w:left="1440" w:header="720" w:footer="288" w:gutter="0"/>
          <w:cols w:space="720"/>
          <w:titlePg/>
          <w:docGrid w:linePitch="360"/>
        </w:sectPr>
      </w:pPr>
      <w:bookmarkStart w:id="845" w:name="_Ref472467746"/>
      <w:bookmarkStart w:id="846" w:name="_Toc472472468"/>
    </w:p>
    <w:p w:rsidR="00A421A3" w:rsidRDefault="00A421A3" w:rsidP="00A421A3">
      <w:pPr>
        <w:pStyle w:val="Caption"/>
        <w:rPr>
          <w:color w:val="000000"/>
        </w:rPr>
      </w:pPr>
      <w:bookmarkStart w:id="847" w:name="_Toc476842174"/>
      <w:r>
        <w:lastRenderedPageBreak/>
        <w:t>Table A-</w:t>
      </w:r>
      <w:fldSimple w:instr=" SEQ Table_A- \* ARABIC ">
        <w:r w:rsidR="00C301D0">
          <w:rPr>
            <w:noProof/>
          </w:rPr>
          <w:t>59</w:t>
        </w:r>
      </w:fldSimple>
      <w:bookmarkEnd w:id="845"/>
      <w:r>
        <w:t>: Penelec Project File Review Summary</w:t>
      </w:r>
      <w:bookmarkEnd w:id="846"/>
      <w:bookmarkEnd w:id="847"/>
    </w:p>
    <w:tbl>
      <w:tblPr>
        <w:tblStyle w:val="AnnualReportTableStyle"/>
        <w:tblW w:w="13105" w:type="dxa"/>
        <w:tblLayout w:type="fixed"/>
        <w:tblLook w:val="04A0" w:firstRow="1" w:lastRow="0" w:firstColumn="1" w:lastColumn="0" w:noHBand="0" w:noVBand="1"/>
      </w:tblPr>
      <w:tblGrid>
        <w:gridCol w:w="1525"/>
        <w:gridCol w:w="1170"/>
        <w:gridCol w:w="2970"/>
        <w:gridCol w:w="1080"/>
        <w:gridCol w:w="1230"/>
        <w:gridCol w:w="1320"/>
        <w:gridCol w:w="1080"/>
        <w:gridCol w:w="1230"/>
        <w:gridCol w:w="1500"/>
      </w:tblGrid>
      <w:tr w:rsidR="00A874AC" w:rsidRPr="0014308C" w:rsidTr="0014308C">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525" w:type="dxa"/>
            <w:noWrap/>
            <w:vAlign w:val="bottom"/>
            <w:hideMark/>
          </w:tcPr>
          <w:p w:rsidR="00380FF9" w:rsidRPr="0014308C" w:rsidRDefault="00380FF9" w:rsidP="00380FF9">
            <w:pPr>
              <w:jc w:val="left"/>
              <w:rPr>
                <w:b w:val="0"/>
                <w:bCs/>
                <w:sz w:val="20"/>
                <w:szCs w:val="20"/>
              </w:rPr>
            </w:pPr>
            <w:r w:rsidRPr="0014308C">
              <w:rPr>
                <w:bCs/>
                <w:sz w:val="20"/>
                <w:szCs w:val="20"/>
              </w:rPr>
              <w:t>Project Number</w:t>
            </w:r>
          </w:p>
        </w:tc>
        <w:tc>
          <w:tcPr>
            <w:tcW w:w="1170" w:type="dxa"/>
            <w:noWrap/>
            <w:vAlign w:val="bottom"/>
            <w:hideMark/>
          </w:tcPr>
          <w:p w:rsidR="00380FF9" w:rsidRPr="0014308C"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14308C">
              <w:rPr>
                <w:bCs/>
                <w:sz w:val="20"/>
                <w:szCs w:val="20"/>
              </w:rPr>
              <w:t>Program</w:t>
            </w:r>
          </w:p>
        </w:tc>
        <w:tc>
          <w:tcPr>
            <w:tcW w:w="2970" w:type="dxa"/>
            <w:vAlign w:val="bottom"/>
            <w:hideMark/>
          </w:tcPr>
          <w:p w:rsidR="00380FF9" w:rsidRPr="0014308C"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14308C">
              <w:rPr>
                <w:bCs/>
                <w:sz w:val="20"/>
                <w:szCs w:val="20"/>
              </w:rPr>
              <w:t>Project Description</w:t>
            </w:r>
          </w:p>
        </w:tc>
        <w:tc>
          <w:tcPr>
            <w:tcW w:w="1080" w:type="dxa"/>
            <w:vAlign w:val="bottom"/>
            <w:hideMark/>
          </w:tcPr>
          <w:p w:rsidR="00380FF9" w:rsidRPr="0014308C"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14308C">
              <w:rPr>
                <w:bCs/>
                <w:sz w:val="20"/>
                <w:szCs w:val="20"/>
              </w:rPr>
              <w:t>Are all files included?</w:t>
            </w:r>
          </w:p>
        </w:tc>
        <w:tc>
          <w:tcPr>
            <w:tcW w:w="1230" w:type="dxa"/>
            <w:vAlign w:val="bottom"/>
            <w:hideMark/>
          </w:tcPr>
          <w:p w:rsidR="00380FF9" w:rsidRPr="0014308C"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14308C">
              <w:rPr>
                <w:bCs/>
                <w:sz w:val="20"/>
                <w:szCs w:val="20"/>
              </w:rPr>
              <w:t>Do values match program tracking data?</w:t>
            </w:r>
          </w:p>
        </w:tc>
        <w:tc>
          <w:tcPr>
            <w:tcW w:w="1320" w:type="dxa"/>
            <w:vAlign w:val="bottom"/>
            <w:hideMark/>
          </w:tcPr>
          <w:p w:rsidR="00380FF9" w:rsidRPr="0014308C"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14308C">
              <w:rPr>
                <w:bCs/>
                <w:sz w:val="20"/>
                <w:szCs w:val="20"/>
              </w:rPr>
              <w:t>Equipment discrepancy between invoices and calculations?</w:t>
            </w:r>
          </w:p>
        </w:tc>
        <w:tc>
          <w:tcPr>
            <w:tcW w:w="1080" w:type="dxa"/>
            <w:vAlign w:val="bottom"/>
            <w:hideMark/>
          </w:tcPr>
          <w:p w:rsidR="00380FF9" w:rsidRPr="0014308C"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14308C">
              <w:rPr>
                <w:bCs/>
                <w:sz w:val="20"/>
                <w:szCs w:val="20"/>
              </w:rPr>
              <w:t>Sufficient info for SWE to follow?</w:t>
            </w:r>
          </w:p>
        </w:tc>
        <w:tc>
          <w:tcPr>
            <w:tcW w:w="1230" w:type="dxa"/>
            <w:vAlign w:val="bottom"/>
            <w:hideMark/>
          </w:tcPr>
          <w:p w:rsidR="00380FF9" w:rsidRPr="0014308C"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14308C">
              <w:rPr>
                <w:bCs/>
                <w:sz w:val="20"/>
                <w:szCs w:val="20"/>
              </w:rPr>
              <w:t>For TRM measures, are correct algorithms and HOU values used?</w:t>
            </w:r>
          </w:p>
        </w:tc>
        <w:tc>
          <w:tcPr>
            <w:tcW w:w="1500" w:type="dxa"/>
            <w:vAlign w:val="bottom"/>
            <w:hideMark/>
          </w:tcPr>
          <w:p w:rsidR="00380FF9" w:rsidRPr="0014308C" w:rsidRDefault="00380FF9" w:rsidP="00380FF9">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14308C">
              <w:rPr>
                <w:bCs/>
                <w:sz w:val="20"/>
                <w:szCs w:val="20"/>
              </w:rPr>
              <w:t>For Custom measures, is the methodology clear and auditable? Is it a sensible approach?</w:t>
            </w:r>
          </w:p>
        </w:tc>
      </w:tr>
      <w:tr w:rsidR="00A874AC" w:rsidRPr="0014308C" w:rsidTr="0014308C">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4308C" w:rsidRDefault="00380FF9" w:rsidP="00380FF9">
            <w:pPr>
              <w:jc w:val="left"/>
              <w:rPr>
                <w:b w:val="0"/>
                <w:color w:val="000000"/>
                <w:sz w:val="20"/>
                <w:szCs w:val="20"/>
              </w:rPr>
            </w:pPr>
            <w:r w:rsidRPr="0014308C">
              <w:rPr>
                <w:b w:val="0"/>
                <w:color w:val="000000"/>
                <w:sz w:val="20"/>
                <w:szCs w:val="20"/>
              </w:rPr>
              <w:t>CR_PRJ-325348</w:t>
            </w:r>
          </w:p>
        </w:tc>
        <w:tc>
          <w:tcPr>
            <w:tcW w:w="117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Small C/I Equipment</w:t>
            </w:r>
          </w:p>
        </w:tc>
        <w:tc>
          <w:tcPr>
            <w:tcW w:w="297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Installation of energy efficient freezer and refrigerator reach-in cases.</w:t>
            </w:r>
          </w:p>
        </w:tc>
        <w:tc>
          <w:tcPr>
            <w:tcW w:w="108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23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32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No</w:t>
            </w:r>
          </w:p>
        </w:tc>
        <w:tc>
          <w:tcPr>
            <w:tcW w:w="108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23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N/A</w:t>
            </w:r>
          </w:p>
        </w:tc>
        <w:tc>
          <w:tcPr>
            <w:tcW w:w="150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r>
      <w:tr w:rsidR="00380FF9" w:rsidRPr="0014308C" w:rsidTr="0081757B">
        <w:trPr>
          <w:trHeight w:val="679"/>
        </w:trPr>
        <w:tc>
          <w:tcPr>
            <w:cnfStyle w:val="001000000000" w:firstRow="0" w:lastRow="0" w:firstColumn="1" w:lastColumn="0" w:oddVBand="0" w:evenVBand="0" w:oddHBand="0" w:evenHBand="0" w:firstRowFirstColumn="0" w:firstRowLastColumn="0" w:lastRowFirstColumn="0" w:lastRowLastColumn="0"/>
            <w:tcW w:w="0" w:type="dxa"/>
            <w:noWrap/>
            <w:hideMark/>
          </w:tcPr>
          <w:p w:rsidR="00380FF9" w:rsidRPr="0014308C" w:rsidRDefault="00380FF9" w:rsidP="00380FF9">
            <w:pPr>
              <w:jc w:val="left"/>
              <w:rPr>
                <w:b w:val="0"/>
                <w:color w:val="000000"/>
                <w:sz w:val="20"/>
                <w:szCs w:val="20"/>
              </w:rPr>
            </w:pPr>
            <w:r w:rsidRPr="0014308C">
              <w:rPr>
                <w:b w:val="0"/>
                <w:color w:val="000000"/>
                <w:sz w:val="20"/>
                <w:szCs w:val="20"/>
              </w:rPr>
              <w:t>CR_PRJ-378132</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Small C/I Buildings</w:t>
            </w:r>
          </w:p>
        </w:tc>
        <w:tc>
          <w:tcPr>
            <w:tcW w:w="0" w:type="dxa"/>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PC power management</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No</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N/A</w:t>
            </w:r>
          </w:p>
        </w:tc>
      </w:tr>
      <w:tr w:rsidR="00A874AC" w:rsidRPr="0014308C" w:rsidTr="0014308C">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4308C" w:rsidRDefault="00380FF9" w:rsidP="00380FF9">
            <w:pPr>
              <w:jc w:val="left"/>
              <w:rPr>
                <w:b w:val="0"/>
                <w:color w:val="000000"/>
                <w:sz w:val="20"/>
                <w:szCs w:val="20"/>
              </w:rPr>
            </w:pPr>
            <w:r w:rsidRPr="0014308C">
              <w:rPr>
                <w:b w:val="0"/>
                <w:color w:val="000000"/>
                <w:sz w:val="20"/>
                <w:szCs w:val="20"/>
              </w:rPr>
              <w:t>CR_PRJ-424362</w:t>
            </w:r>
          </w:p>
        </w:tc>
        <w:tc>
          <w:tcPr>
            <w:tcW w:w="117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Large C/I Equipment</w:t>
            </w:r>
          </w:p>
        </w:tc>
        <w:tc>
          <w:tcPr>
            <w:tcW w:w="297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1</w:t>
            </w:r>
            <w:r w:rsidR="00B27FAB" w:rsidRPr="0014308C">
              <w:rPr>
                <w:color w:val="000000"/>
                <w:sz w:val="20"/>
                <w:szCs w:val="20"/>
              </w:rPr>
              <w:t>,</w:t>
            </w:r>
            <w:r w:rsidRPr="0014308C">
              <w:rPr>
                <w:color w:val="000000"/>
                <w:sz w:val="20"/>
                <w:szCs w:val="20"/>
              </w:rPr>
              <w:t>000W MH pole lights and wall pack and egress lighting replaced with GE LED Evolve area, wall pack, and egress fixtures</w:t>
            </w:r>
          </w:p>
        </w:tc>
        <w:tc>
          <w:tcPr>
            <w:tcW w:w="108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23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32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No</w:t>
            </w:r>
          </w:p>
        </w:tc>
        <w:tc>
          <w:tcPr>
            <w:tcW w:w="108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23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50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N/A</w:t>
            </w:r>
          </w:p>
        </w:tc>
      </w:tr>
      <w:tr w:rsidR="00380FF9" w:rsidRPr="0014308C" w:rsidTr="0081757B">
        <w:trPr>
          <w:trHeight w:val="679"/>
        </w:trPr>
        <w:tc>
          <w:tcPr>
            <w:cnfStyle w:val="001000000000" w:firstRow="0" w:lastRow="0" w:firstColumn="1" w:lastColumn="0" w:oddVBand="0" w:evenVBand="0" w:oddHBand="0" w:evenHBand="0" w:firstRowFirstColumn="0" w:firstRowLastColumn="0" w:lastRowFirstColumn="0" w:lastRowLastColumn="0"/>
            <w:tcW w:w="0" w:type="dxa"/>
            <w:noWrap/>
            <w:hideMark/>
          </w:tcPr>
          <w:p w:rsidR="00380FF9" w:rsidRPr="0014308C" w:rsidRDefault="00380FF9" w:rsidP="00380FF9">
            <w:pPr>
              <w:jc w:val="left"/>
              <w:rPr>
                <w:b w:val="0"/>
                <w:color w:val="000000"/>
                <w:sz w:val="20"/>
                <w:szCs w:val="20"/>
              </w:rPr>
            </w:pPr>
            <w:r w:rsidRPr="0014308C">
              <w:rPr>
                <w:b w:val="0"/>
                <w:color w:val="000000"/>
                <w:sz w:val="20"/>
                <w:szCs w:val="20"/>
              </w:rPr>
              <w:t>CR_PRJ-372212</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Small C/I Equipment</w:t>
            </w:r>
          </w:p>
        </w:tc>
        <w:tc>
          <w:tcPr>
            <w:tcW w:w="0" w:type="dxa"/>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Reach-in-freezer case T12 retrofit with LEDs</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No</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N/A</w:t>
            </w:r>
          </w:p>
        </w:tc>
      </w:tr>
      <w:tr w:rsidR="00A874AC" w:rsidRPr="0014308C" w:rsidTr="0014308C">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4308C" w:rsidRDefault="00380FF9" w:rsidP="00380FF9">
            <w:pPr>
              <w:jc w:val="left"/>
              <w:rPr>
                <w:b w:val="0"/>
                <w:color w:val="000000"/>
                <w:sz w:val="20"/>
                <w:szCs w:val="20"/>
              </w:rPr>
            </w:pPr>
            <w:r w:rsidRPr="0014308C">
              <w:rPr>
                <w:b w:val="0"/>
                <w:color w:val="000000"/>
                <w:sz w:val="20"/>
                <w:szCs w:val="20"/>
              </w:rPr>
              <w:t>CR_PRJ-552737</w:t>
            </w:r>
          </w:p>
        </w:tc>
        <w:tc>
          <w:tcPr>
            <w:tcW w:w="117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Large C/I Equipment</w:t>
            </w:r>
          </w:p>
        </w:tc>
        <w:tc>
          <w:tcPr>
            <w:tcW w:w="297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Energy audit</w:t>
            </w:r>
          </w:p>
        </w:tc>
        <w:tc>
          <w:tcPr>
            <w:tcW w:w="108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23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32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No</w:t>
            </w:r>
          </w:p>
        </w:tc>
        <w:tc>
          <w:tcPr>
            <w:tcW w:w="108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23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N/A</w:t>
            </w:r>
          </w:p>
        </w:tc>
        <w:tc>
          <w:tcPr>
            <w:tcW w:w="150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r>
      <w:tr w:rsidR="00380FF9" w:rsidRPr="0014308C" w:rsidTr="0081757B">
        <w:trPr>
          <w:trHeight w:val="679"/>
        </w:trPr>
        <w:tc>
          <w:tcPr>
            <w:cnfStyle w:val="001000000000" w:firstRow="0" w:lastRow="0" w:firstColumn="1" w:lastColumn="0" w:oddVBand="0" w:evenVBand="0" w:oddHBand="0" w:evenHBand="0" w:firstRowFirstColumn="0" w:firstRowLastColumn="0" w:lastRowFirstColumn="0" w:lastRowLastColumn="0"/>
            <w:tcW w:w="0" w:type="dxa"/>
            <w:noWrap/>
            <w:hideMark/>
          </w:tcPr>
          <w:p w:rsidR="00380FF9" w:rsidRPr="0014308C" w:rsidRDefault="00380FF9" w:rsidP="00380FF9">
            <w:pPr>
              <w:jc w:val="left"/>
              <w:rPr>
                <w:b w:val="0"/>
                <w:color w:val="000000"/>
                <w:sz w:val="20"/>
                <w:szCs w:val="20"/>
              </w:rPr>
            </w:pPr>
            <w:r w:rsidRPr="0014308C">
              <w:rPr>
                <w:b w:val="0"/>
                <w:color w:val="000000"/>
                <w:sz w:val="20"/>
                <w:szCs w:val="20"/>
              </w:rPr>
              <w:t>CR_PRJ-613582</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Large C/I Equipment</w:t>
            </w:r>
          </w:p>
        </w:tc>
        <w:tc>
          <w:tcPr>
            <w:tcW w:w="0" w:type="dxa"/>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Lighting (inc. to LED)</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No</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N/A</w:t>
            </w:r>
          </w:p>
        </w:tc>
      </w:tr>
      <w:tr w:rsidR="00A874AC" w:rsidRPr="0014308C" w:rsidTr="0014308C">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4308C" w:rsidRDefault="00380FF9" w:rsidP="00380FF9">
            <w:pPr>
              <w:jc w:val="left"/>
              <w:rPr>
                <w:b w:val="0"/>
                <w:color w:val="000000"/>
                <w:sz w:val="20"/>
                <w:szCs w:val="20"/>
              </w:rPr>
            </w:pPr>
            <w:r w:rsidRPr="0014308C">
              <w:rPr>
                <w:b w:val="0"/>
                <w:color w:val="000000"/>
                <w:sz w:val="20"/>
                <w:szCs w:val="20"/>
              </w:rPr>
              <w:t>CR_PRJ-578886</w:t>
            </w:r>
          </w:p>
        </w:tc>
        <w:tc>
          <w:tcPr>
            <w:tcW w:w="117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Large C/I Equipment</w:t>
            </w:r>
          </w:p>
        </w:tc>
        <w:tc>
          <w:tcPr>
            <w:tcW w:w="297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Lighting (exterior)</w:t>
            </w:r>
          </w:p>
        </w:tc>
        <w:tc>
          <w:tcPr>
            <w:tcW w:w="108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23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32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No</w:t>
            </w:r>
          </w:p>
        </w:tc>
        <w:tc>
          <w:tcPr>
            <w:tcW w:w="108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23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50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N/A</w:t>
            </w:r>
          </w:p>
        </w:tc>
      </w:tr>
      <w:tr w:rsidR="00380FF9" w:rsidRPr="0014308C" w:rsidTr="0081757B">
        <w:trPr>
          <w:trHeight w:val="679"/>
        </w:trPr>
        <w:tc>
          <w:tcPr>
            <w:cnfStyle w:val="001000000000" w:firstRow="0" w:lastRow="0" w:firstColumn="1" w:lastColumn="0" w:oddVBand="0" w:evenVBand="0" w:oddHBand="0" w:evenHBand="0" w:firstRowFirstColumn="0" w:firstRowLastColumn="0" w:lastRowFirstColumn="0" w:lastRowLastColumn="0"/>
            <w:tcW w:w="0" w:type="dxa"/>
            <w:noWrap/>
            <w:hideMark/>
          </w:tcPr>
          <w:p w:rsidR="00380FF9" w:rsidRPr="0014308C" w:rsidRDefault="00380FF9" w:rsidP="00380FF9">
            <w:pPr>
              <w:jc w:val="left"/>
              <w:rPr>
                <w:b w:val="0"/>
                <w:color w:val="000000"/>
                <w:sz w:val="20"/>
                <w:szCs w:val="20"/>
              </w:rPr>
            </w:pPr>
            <w:r w:rsidRPr="0014308C">
              <w:rPr>
                <w:b w:val="0"/>
                <w:color w:val="000000"/>
                <w:sz w:val="20"/>
                <w:szCs w:val="20"/>
              </w:rPr>
              <w:t>CR_PRJ-615133</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Large C/I Equipment</w:t>
            </w:r>
          </w:p>
        </w:tc>
        <w:tc>
          <w:tcPr>
            <w:tcW w:w="0" w:type="dxa"/>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Lighting (new construction)</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No</w:t>
            </w:r>
          </w:p>
        </w:tc>
        <w:tc>
          <w:tcPr>
            <w:tcW w:w="0" w:type="dxa"/>
            <w:noWrap/>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Yes</w:t>
            </w:r>
          </w:p>
        </w:tc>
        <w:tc>
          <w:tcPr>
            <w:tcW w:w="0" w:type="dxa"/>
            <w:hideMark/>
          </w:tcPr>
          <w:p w:rsidR="00380FF9" w:rsidRPr="0014308C" w:rsidRDefault="00380FF9" w:rsidP="00380FF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14308C">
              <w:rPr>
                <w:color w:val="000000"/>
                <w:sz w:val="20"/>
                <w:szCs w:val="20"/>
              </w:rPr>
              <w:t>N/A</w:t>
            </w:r>
          </w:p>
        </w:tc>
      </w:tr>
      <w:tr w:rsidR="00A874AC" w:rsidRPr="0014308C" w:rsidTr="0014308C">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525" w:type="dxa"/>
            <w:noWrap/>
            <w:hideMark/>
          </w:tcPr>
          <w:p w:rsidR="00380FF9" w:rsidRPr="0014308C" w:rsidRDefault="00380FF9" w:rsidP="00380FF9">
            <w:pPr>
              <w:jc w:val="left"/>
              <w:rPr>
                <w:b w:val="0"/>
                <w:color w:val="000000"/>
                <w:sz w:val="20"/>
                <w:szCs w:val="20"/>
              </w:rPr>
            </w:pPr>
            <w:r w:rsidRPr="0014308C">
              <w:rPr>
                <w:b w:val="0"/>
                <w:color w:val="000000"/>
                <w:sz w:val="20"/>
                <w:szCs w:val="20"/>
              </w:rPr>
              <w:t>CR_PRJ-636707</w:t>
            </w:r>
          </w:p>
        </w:tc>
        <w:tc>
          <w:tcPr>
            <w:tcW w:w="117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Large C/I Equipment</w:t>
            </w:r>
          </w:p>
        </w:tc>
        <w:tc>
          <w:tcPr>
            <w:tcW w:w="297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Lighting (exterior)</w:t>
            </w:r>
          </w:p>
        </w:tc>
        <w:tc>
          <w:tcPr>
            <w:tcW w:w="108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23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32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No</w:t>
            </w:r>
          </w:p>
        </w:tc>
        <w:tc>
          <w:tcPr>
            <w:tcW w:w="1080" w:type="dxa"/>
            <w:noWrap/>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23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Yes</w:t>
            </w:r>
          </w:p>
        </w:tc>
        <w:tc>
          <w:tcPr>
            <w:tcW w:w="1500" w:type="dxa"/>
            <w:hideMark/>
          </w:tcPr>
          <w:p w:rsidR="00380FF9" w:rsidRPr="0014308C" w:rsidRDefault="00380FF9" w:rsidP="00380FF9">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14308C">
              <w:rPr>
                <w:color w:val="000000"/>
                <w:sz w:val="20"/>
                <w:szCs w:val="20"/>
              </w:rPr>
              <w:t>N/A</w:t>
            </w:r>
          </w:p>
        </w:tc>
      </w:tr>
    </w:tbl>
    <w:p w:rsidR="006B298C" w:rsidRPr="00D85274" w:rsidRDefault="006B298C" w:rsidP="00B9141F">
      <w:pPr>
        <w:rPr>
          <w:color w:val="000000"/>
        </w:rPr>
      </w:pPr>
    </w:p>
    <w:p w:rsidR="0014308C" w:rsidRDefault="0014308C" w:rsidP="00A421A3">
      <w:pPr>
        <w:sectPr w:rsidR="0014308C" w:rsidSect="0014308C">
          <w:headerReference w:type="first" r:id="rId131"/>
          <w:footerReference w:type="first" r:id="rId132"/>
          <w:pgSz w:w="15840" w:h="12240" w:orient="landscape"/>
          <w:pgMar w:top="1440" w:right="1440" w:bottom="1440" w:left="1440" w:header="720" w:footer="288" w:gutter="0"/>
          <w:cols w:space="720"/>
          <w:titlePg/>
          <w:docGrid w:linePitch="360"/>
        </w:sectPr>
      </w:pPr>
    </w:p>
    <w:p w:rsidR="00A421A3" w:rsidRPr="00882C04" w:rsidRDefault="00A421A3" w:rsidP="00A421A3">
      <w:r w:rsidRPr="00882C04">
        <w:lastRenderedPageBreak/>
        <w:t xml:space="preserve">There was one discrepancy between the savings in the lighting calculator in </w:t>
      </w:r>
      <w:r>
        <w:t>CR_</w:t>
      </w:r>
      <w:r w:rsidRPr="00882C04">
        <w:t>PRJ-424362 and the reported savings in the tracking system, but after contacting the evaluat</w:t>
      </w:r>
      <w:r>
        <w:t>ion contractor</w:t>
      </w:r>
      <w:r w:rsidRPr="00882C04">
        <w:t>, the SWE determined this was not an error but a correction from a previous program year.</w:t>
      </w:r>
    </w:p>
    <w:p w:rsidR="00A421A3" w:rsidRPr="00882C04" w:rsidRDefault="00A421A3" w:rsidP="00A421A3"/>
    <w:p w:rsidR="00A421A3" w:rsidRPr="003458B1" w:rsidRDefault="00A421A3" w:rsidP="00A421A3">
      <w:pPr>
        <w:spacing w:after="120"/>
        <w:rPr>
          <w:color w:val="000000"/>
        </w:rPr>
      </w:pPr>
      <w:r w:rsidRPr="003458B1">
        <w:rPr>
          <w:color w:val="000000"/>
        </w:rPr>
        <w:t>In PY6, the SWE Team review of Penelec’s project files revealed cause for concern as several instances arose where the TRM was not followed appropriately</w:t>
      </w:r>
      <w:r w:rsidR="00E1027C">
        <w:rPr>
          <w:color w:val="000000"/>
        </w:rPr>
        <w:t xml:space="preserve"> in ex ante calculations</w:t>
      </w:r>
      <w:r w:rsidRPr="003458B1">
        <w:rPr>
          <w:color w:val="000000"/>
        </w:rPr>
        <w:t xml:space="preserve">. The SWE Team provided the following </w:t>
      </w:r>
      <w:r>
        <w:rPr>
          <w:color w:val="000000"/>
        </w:rPr>
        <w:t xml:space="preserve">three </w:t>
      </w:r>
      <w:r w:rsidRPr="003458B1">
        <w:rPr>
          <w:color w:val="000000"/>
        </w:rPr>
        <w:t>recommendations:</w:t>
      </w:r>
    </w:p>
    <w:p w:rsidR="00A421A3" w:rsidRPr="003458B1" w:rsidRDefault="00A421A3" w:rsidP="00E646C9">
      <w:pPr>
        <w:numPr>
          <w:ilvl w:val="0"/>
          <w:numId w:val="34"/>
        </w:numPr>
        <w:spacing w:after="120"/>
        <w:ind w:left="360"/>
      </w:pPr>
      <w:r w:rsidRPr="003458B1">
        <w:t>SWE Team-provided calculators should be used properly; if SWE Team</w:t>
      </w:r>
      <w:r>
        <w:t>–</w:t>
      </w:r>
      <w:r w:rsidRPr="003458B1">
        <w:t>provided calculators are unavailable for a given measure, custom calculators should be crafted carefully per the governing TRM equations and requirements.</w:t>
      </w:r>
    </w:p>
    <w:p w:rsidR="00A421A3" w:rsidRPr="003458B1" w:rsidRDefault="00A421A3" w:rsidP="00E646C9">
      <w:pPr>
        <w:numPr>
          <w:ilvl w:val="0"/>
          <w:numId w:val="34"/>
        </w:numPr>
        <w:spacing w:after="120"/>
        <w:ind w:left="360"/>
      </w:pPr>
      <w:r w:rsidRPr="003458B1">
        <w:t xml:space="preserve">More thorough audits of applications should be performed to ensure that valid savings are not lost or overstated due to minor oversights. </w:t>
      </w:r>
    </w:p>
    <w:p w:rsidR="00A421A3" w:rsidRPr="003458B1" w:rsidRDefault="00A421A3" w:rsidP="00E646C9">
      <w:pPr>
        <w:numPr>
          <w:ilvl w:val="0"/>
          <w:numId w:val="34"/>
        </w:numPr>
        <w:ind w:left="360"/>
      </w:pPr>
      <w:r w:rsidRPr="003458B1">
        <w:t>More organized documentation should be kept on record to ensure that all requested materials are submitted.</w:t>
      </w:r>
    </w:p>
    <w:p w:rsidR="00A421A3" w:rsidRPr="003458B1" w:rsidRDefault="00A421A3" w:rsidP="00A421A3"/>
    <w:p w:rsidR="00A421A3" w:rsidRPr="003458B1" w:rsidRDefault="00A421A3" w:rsidP="00A421A3">
      <w:r w:rsidRPr="003458B1">
        <w:t>In PY7, the SWE saw marked improvement in the consistency, orderliness, and organization of project files. This was aided by the consistent inclusion of site-specific cover page</w:t>
      </w:r>
      <w:r>
        <w:t>s,</w:t>
      </w:r>
      <w:r w:rsidRPr="003458B1">
        <w:t xml:space="preserve"> which helped the SWE follow the </w:t>
      </w:r>
      <w:r w:rsidRPr="00882C04">
        <w:t>evaluat</w:t>
      </w:r>
      <w:r>
        <w:t xml:space="preserve">ion contractor’s </w:t>
      </w:r>
      <w:r w:rsidRPr="003458B1">
        <w:t>method and progression.</w:t>
      </w:r>
      <w:r w:rsidRPr="003458B1">
        <w:rPr>
          <w:color w:val="000000"/>
        </w:rPr>
        <w:t xml:space="preserve"> At this time, the SWE Team only recommends </w:t>
      </w:r>
      <w:r>
        <w:rPr>
          <w:color w:val="000000"/>
        </w:rPr>
        <w:t>that i</w:t>
      </w:r>
      <w:r w:rsidRPr="009B0EAD">
        <w:rPr>
          <w:color w:val="000000"/>
        </w:rPr>
        <w:t>n the interest of transparency, only the</w:t>
      </w:r>
      <w:r>
        <w:rPr>
          <w:color w:val="000000"/>
        </w:rPr>
        <w:t xml:space="preserve"> supplied</w:t>
      </w:r>
      <w:r w:rsidRPr="009B0EAD">
        <w:rPr>
          <w:color w:val="000000"/>
        </w:rPr>
        <w:t xml:space="preserve"> Appendix C calculator</w:t>
      </w:r>
      <w:r>
        <w:rPr>
          <w:color w:val="000000"/>
        </w:rPr>
        <w:t xml:space="preserve"> be used</w:t>
      </w:r>
      <w:r w:rsidRPr="009B0EAD">
        <w:rPr>
          <w:color w:val="000000"/>
        </w:rPr>
        <w:t xml:space="preserve"> for lighting projects moving forward.</w:t>
      </w:r>
    </w:p>
    <w:p w:rsidR="00A421A3" w:rsidRPr="003458B1" w:rsidRDefault="00A421A3" w:rsidP="00A421A3"/>
    <w:p w:rsidR="00A421A3" w:rsidRPr="003458B1" w:rsidRDefault="00A421A3" w:rsidP="00A421A3">
      <w:pPr>
        <w:pStyle w:val="AppendixAHeading4"/>
        <w:rPr>
          <w:rFonts w:eastAsia="Calibri"/>
        </w:rPr>
      </w:pPr>
      <w:bookmarkStart w:id="848" w:name="_Toc408557491"/>
      <w:bookmarkStart w:id="849" w:name="_Ref440444007"/>
      <w:r w:rsidRPr="003458B1">
        <w:rPr>
          <w:rFonts w:eastAsia="Calibri"/>
        </w:rPr>
        <w:t>Sample Design Review</w:t>
      </w:r>
      <w:bookmarkEnd w:id="848"/>
      <w:bookmarkEnd w:id="849"/>
    </w:p>
    <w:p w:rsidR="00A421A3" w:rsidRPr="003458B1" w:rsidRDefault="00A421A3" w:rsidP="00A421A3">
      <w:r w:rsidRPr="003458B1">
        <w:t>Penelec’s PY7 final annual report provides detailed information about the sample design of the PY7 gross impact evaluation of non-residential programs. Penelec’s non-residential programs were the Small C/I Energy Efficient Equipment Program, Small C/I Energy Efficient Buildings Program, Large C/I Energy Efficient Equipment Program, Large C/I Energy Efficient Buildings Program, and Government and Institutional Program.</w:t>
      </w:r>
    </w:p>
    <w:p w:rsidR="00A421A3" w:rsidRPr="003458B1" w:rsidRDefault="00A421A3" w:rsidP="00A421A3"/>
    <w:p w:rsidR="00A421A3" w:rsidRPr="003458B1" w:rsidRDefault="00A421A3" w:rsidP="00A421A3">
      <w:pPr>
        <w:pStyle w:val="AppendixAHeading5"/>
      </w:pPr>
      <w:r w:rsidRPr="003458B1">
        <w:t>Small C/I Energy Efficient Equipment Program</w:t>
      </w:r>
    </w:p>
    <w:p w:rsidR="00A421A3" w:rsidRPr="003458B1" w:rsidRDefault="00A421A3" w:rsidP="00A421A3">
      <w:r w:rsidRPr="003458B1">
        <w:t xml:space="preserve">In PY7, this program was divided into two components: equipment incentives and appliance recycling. Lighting measures contributed the majority of the gross energy savings for the program. </w:t>
      </w:r>
      <w:r w:rsidRPr="003458B1">
        <w:tab/>
      </w:r>
    </w:p>
    <w:p w:rsidR="00A421A3" w:rsidRPr="003458B1" w:rsidRDefault="00A421A3" w:rsidP="00A421A3"/>
    <w:p w:rsidR="00A421A3" w:rsidRPr="003458B1" w:rsidRDefault="00A421A3" w:rsidP="00A421A3">
      <w:r w:rsidRPr="003458B1">
        <w:t xml:space="preserve">Stratified ratio estimation was used to estimate savings for the program, and stratified random sampling was used for sample design by the evaluation contractor. For large lighting projects in the evaluation sample, Penelec’s evaluation contractor designed an on-site sampling strategy that targeted ±20% precision at the 90% confidence level for the physical counting of fixtures. All lighting projects that were expected to have more than 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stratified based on energy savings at the measure level. The assumed Cv used in the sample design was 0.5 for all projects. The detailed sampling strategy for this program in PY7 and the achieved precision values for each stratum are presented in </w:t>
      </w:r>
      <w:r w:rsidRPr="003458B1">
        <w:fldChar w:fldCharType="begin"/>
      </w:r>
      <w:r w:rsidRPr="003458B1">
        <w:instrText xml:space="preserve"> REF _Ref440266062 \h  \* MERGEFORMAT </w:instrText>
      </w:r>
      <w:r w:rsidRPr="003458B1">
        <w:fldChar w:fldCharType="separate"/>
      </w:r>
      <w:r w:rsidR="00A874AC" w:rsidRPr="00A874AC">
        <w:rPr>
          <w:bCs/>
        </w:rPr>
        <w:t>Table A-60</w:t>
      </w:r>
      <w:r w:rsidRPr="003458B1">
        <w:fldChar w:fldCharType="end"/>
      </w:r>
      <w:r w:rsidRPr="003458B1">
        <w:t>. The data show that Penelec met the SWE Team requirements of 85%/15% confidence</w:t>
      </w:r>
      <w:r>
        <w:t>/</w:t>
      </w:r>
      <w:r w:rsidRPr="003458B1">
        <w:t>precision for both energy and peak demand.</w:t>
      </w:r>
    </w:p>
    <w:p w:rsidR="00A421A3" w:rsidRDefault="00A421A3" w:rsidP="00A421A3">
      <w:pPr>
        <w:spacing w:after="120"/>
        <w:ind w:left="360" w:hanging="360"/>
        <w:rPr>
          <w:rFonts w:ascii="Century Gothic" w:hAnsi="Century Gothic"/>
          <w:b/>
          <w:bCs/>
          <w:smallCaps/>
          <w:sz w:val="18"/>
          <w:szCs w:val="18"/>
        </w:rPr>
      </w:pPr>
    </w:p>
    <w:p w:rsidR="00A421A3" w:rsidRPr="003458B1" w:rsidRDefault="00A421A3" w:rsidP="00A421A3">
      <w:pPr>
        <w:spacing w:after="120"/>
        <w:jc w:val="center"/>
        <w:rPr>
          <w:rFonts w:ascii="Century Gothic" w:hAnsi="Century Gothic"/>
          <w:b/>
          <w:bCs/>
          <w:sz w:val="18"/>
          <w:szCs w:val="18"/>
        </w:rPr>
      </w:pPr>
      <w:bookmarkStart w:id="850" w:name="_Ref440266062"/>
      <w:bookmarkStart w:id="851" w:name="_Toc444269864"/>
      <w:bookmarkStart w:id="852" w:name="_Toc472472469"/>
      <w:bookmarkStart w:id="853" w:name="_Toc476842175"/>
      <w:r w:rsidRPr="003458B1">
        <w:rPr>
          <w:rFonts w:ascii="Century Gothic" w:hAnsi="Century Gothic"/>
          <w:b/>
          <w:bCs/>
          <w:sz w:val="18"/>
          <w:szCs w:val="18"/>
        </w:rPr>
        <w:lastRenderedPageBreak/>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60</w:t>
      </w:r>
      <w:r w:rsidRPr="003458B1">
        <w:rPr>
          <w:rFonts w:ascii="Century Gothic" w:hAnsi="Century Gothic"/>
          <w:b/>
          <w:bCs/>
          <w:sz w:val="18"/>
          <w:szCs w:val="18"/>
        </w:rPr>
        <w:fldChar w:fldCharType="end"/>
      </w:r>
      <w:bookmarkEnd w:id="850"/>
      <w:r w:rsidRPr="003458B1">
        <w:rPr>
          <w:rFonts w:ascii="Century Gothic" w:hAnsi="Century Gothic"/>
          <w:b/>
          <w:bCs/>
          <w:sz w:val="18"/>
          <w:szCs w:val="18"/>
        </w:rPr>
        <w:t>: Penelec PY7 Sampling Strate</w:t>
      </w:r>
      <w:r w:rsidR="00B27FAB">
        <w:rPr>
          <w:rFonts w:ascii="Century Gothic" w:hAnsi="Century Gothic"/>
          <w:b/>
          <w:bCs/>
          <w:sz w:val="18"/>
          <w:szCs w:val="18"/>
        </w:rPr>
        <w:t xml:space="preserve">gy and Relative Precision – </w:t>
      </w:r>
      <w:r w:rsidRPr="003458B1">
        <w:rPr>
          <w:rFonts w:ascii="Century Gothic" w:hAnsi="Century Gothic"/>
          <w:b/>
          <w:bCs/>
          <w:sz w:val="18"/>
          <w:szCs w:val="18"/>
        </w:rPr>
        <w:t>Small</w:t>
      </w:r>
      <w:r w:rsidR="00B27FAB">
        <w:rPr>
          <w:rFonts w:ascii="Century Gothic" w:hAnsi="Century Gothic"/>
          <w:b/>
          <w:bCs/>
          <w:sz w:val="18"/>
          <w:szCs w:val="18"/>
        </w:rPr>
        <w:t xml:space="preserve"> C/I</w:t>
      </w:r>
      <w:r w:rsidRPr="003458B1">
        <w:rPr>
          <w:rFonts w:ascii="Century Gothic" w:hAnsi="Century Gothic"/>
          <w:b/>
          <w:bCs/>
          <w:sz w:val="18"/>
          <w:szCs w:val="18"/>
        </w:rPr>
        <w:t xml:space="preserve"> Energy Efficient Equipment Program</w:t>
      </w:r>
      <w:bookmarkEnd w:id="851"/>
      <w:bookmarkEnd w:id="852"/>
      <w:bookmarkEnd w:id="853"/>
    </w:p>
    <w:tbl>
      <w:tblPr>
        <w:tblW w:w="936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098"/>
        <w:gridCol w:w="1210"/>
        <w:gridCol w:w="1210"/>
        <w:gridCol w:w="1211"/>
        <w:gridCol w:w="1210"/>
        <w:gridCol w:w="1210"/>
        <w:gridCol w:w="1211"/>
      </w:tblGrid>
      <w:tr w:rsidR="00A874AC" w:rsidRPr="003458B1" w:rsidTr="00FD4D90">
        <w:trPr>
          <w:trHeight w:val="763"/>
          <w:tblHeader/>
        </w:trPr>
        <w:tc>
          <w:tcPr>
            <w:tcW w:w="2098" w:type="dxa"/>
            <w:shd w:val="clear" w:color="000000" w:fill="448A99"/>
            <w:vAlign w:val="bottom"/>
            <w:hideMark/>
          </w:tcPr>
          <w:p w:rsidR="00A421A3" w:rsidRPr="003458B1" w:rsidRDefault="00A421A3" w:rsidP="004F0C61">
            <w:pPr>
              <w:jc w:val="left"/>
              <w:rPr>
                <w:b/>
                <w:bCs/>
                <w:color w:val="FFFFFF"/>
                <w:sz w:val="20"/>
                <w:szCs w:val="20"/>
              </w:rPr>
            </w:pPr>
            <w:r w:rsidRPr="003458B1">
              <w:rPr>
                <w:b/>
                <w:bCs/>
                <w:color w:val="FFFFFF"/>
                <w:sz w:val="20"/>
                <w:szCs w:val="20"/>
              </w:rPr>
              <w:t>Stratum</w:t>
            </w:r>
          </w:p>
        </w:tc>
        <w:tc>
          <w:tcPr>
            <w:tcW w:w="1210"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Population</w:t>
            </w:r>
          </w:p>
        </w:tc>
        <w:tc>
          <w:tcPr>
            <w:tcW w:w="1210"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Target Levels of Confidence &amp; Precision</w:t>
            </w:r>
          </w:p>
        </w:tc>
        <w:tc>
          <w:tcPr>
            <w:tcW w:w="1211"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Target Sample Size</w:t>
            </w:r>
          </w:p>
        </w:tc>
        <w:tc>
          <w:tcPr>
            <w:tcW w:w="1210"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Achieved Sample Size</w:t>
            </w:r>
          </w:p>
        </w:tc>
        <w:tc>
          <w:tcPr>
            <w:tcW w:w="1210"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Relative Precision at 85% C.L. for Energy</w:t>
            </w:r>
          </w:p>
        </w:tc>
        <w:tc>
          <w:tcPr>
            <w:tcW w:w="1211"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FD4D90">
        <w:trPr>
          <w:trHeight w:val="346"/>
        </w:trPr>
        <w:tc>
          <w:tcPr>
            <w:tcW w:w="2098" w:type="dxa"/>
            <w:shd w:val="clear" w:color="000000" w:fill="D2EAF1"/>
            <w:noWrap/>
            <w:vAlign w:val="center"/>
          </w:tcPr>
          <w:p w:rsidR="00A421A3" w:rsidRPr="003458B1" w:rsidRDefault="00A421A3" w:rsidP="004F0C61">
            <w:pPr>
              <w:jc w:val="left"/>
              <w:rPr>
                <w:bCs/>
                <w:color w:val="000000"/>
                <w:sz w:val="20"/>
                <w:szCs w:val="20"/>
              </w:rPr>
            </w:pPr>
            <w:r>
              <w:rPr>
                <w:bCs/>
                <w:color w:val="000000"/>
                <w:sz w:val="20"/>
                <w:szCs w:val="20"/>
              </w:rPr>
              <w:t xml:space="preserve">CFL kits – </w:t>
            </w:r>
            <w:r w:rsidRPr="003458B1">
              <w:rPr>
                <w:bCs/>
                <w:color w:val="000000"/>
                <w:sz w:val="20"/>
                <w:szCs w:val="20"/>
              </w:rPr>
              <w:t>1</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w:t>
            </w:r>
          </w:p>
        </w:tc>
        <w:tc>
          <w:tcPr>
            <w:tcW w:w="1210" w:type="dxa"/>
            <w:shd w:val="clear" w:color="000000" w:fill="D2EAF1"/>
            <w:noWrap/>
            <w:vAlign w:val="center"/>
          </w:tcPr>
          <w:p w:rsidR="00A421A3" w:rsidRPr="003458B1" w:rsidRDefault="00A421A3" w:rsidP="004F0C61">
            <w:pPr>
              <w:jc w:val="center"/>
              <w:rPr>
                <w:color w:val="000000"/>
                <w:sz w:val="20"/>
                <w:szCs w:val="20"/>
              </w:rPr>
            </w:pPr>
            <w:r>
              <w:rPr>
                <w:sz w:val="20"/>
                <w:szCs w:val="20"/>
              </w:rPr>
              <w:t>N/A</w:t>
            </w:r>
          </w:p>
        </w:tc>
        <w:tc>
          <w:tcPr>
            <w:tcW w:w="1211"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100.0%</w:t>
            </w:r>
          </w:p>
        </w:tc>
        <w:tc>
          <w:tcPr>
            <w:tcW w:w="1211"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100.0%</w:t>
            </w:r>
          </w:p>
        </w:tc>
      </w:tr>
      <w:tr w:rsidR="00E7173E" w:rsidRPr="003458B1" w:rsidTr="00FD4D90">
        <w:trPr>
          <w:trHeight w:val="346"/>
        </w:trPr>
        <w:tc>
          <w:tcPr>
            <w:tcW w:w="2098" w:type="dxa"/>
            <w:shd w:val="clear" w:color="auto" w:fill="auto"/>
            <w:noWrap/>
            <w:vAlign w:val="center"/>
          </w:tcPr>
          <w:p w:rsidR="00A421A3" w:rsidRPr="003458B1" w:rsidRDefault="00A421A3" w:rsidP="004F0C61">
            <w:pPr>
              <w:jc w:val="left"/>
              <w:rPr>
                <w:bCs/>
                <w:color w:val="000000"/>
                <w:sz w:val="20"/>
                <w:szCs w:val="20"/>
              </w:rPr>
            </w:pPr>
            <w:r>
              <w:rPr>
                <w:bCs/>
                <w:color w:val="000000"/>
                <w:sz w:val="20"/>
                <w:szCs w:val="20"/>
              </w:rPr>
              <w:t>Lighting – c</w:t>
            </w:r>
            <w:r w:rsidRPr="003458B1">
              <w:rPr>
                <w:bCs/>
                <w:color w:val="000000"/>
                <w:sz w:val="20"/>
                <w:szCs w:val="20"/>
              </w:rPr>
              <w:t>ertainty</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w:t>
            </w:r>
          </w:p>
        </w:tc>
        <w:tc>
          <w:tcPr>
            <w:tcW w:w="1210" w:type="dxa"/>
            <w:shd w:val="clear" w:color="auto" w:fill="auto"/>
            <w:noWrap/>
            <w:vAlign w:val="center"/>
          </w:tcPr>
          <w:p w:rsidR="00A421A3" w:rsidRPr="003458B1" w:rsidRDefault="00A421A3" w:rsidP="004F0C61">
            <w:pPr>
              <w:jc w:val="center"/>
              <w:rPr>
                <w:color w:val="000000"/>
                <w:sz w:val="20"/>
                <w:szCs w:val="20"/>
              </w:rPr>
            </w:pPr>
            <w:r>
              <w:rPr>
                <w:sz w:val="20"/>
                <w:szCs w:val="20"/>
              </w:rPr>
              <w:t>N/A</w:t>
            </w:r>
          </w:p>
        </w:tc>
        <w:tc>
          <w:tcPr>
            <w:tcW w:w="1211"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0.0%</w:t>
            </w:r>
          </w:p>
        </w:tc>
        <w:tc>
          <w:tcPr>
            <w:tcW w:w="1211"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0.0%</w:t>
            </w:r>
          </w:p>
        </w:tc>
      </w:tr>
      <w:tr w:rsidR="00A874AC" w:rsidRPr="003458B1" w:rsidTr="00FD4D90">
        <w:trPr>
          <w:trHeight w:val="346"/>
        </w:trPr>
        <w:tc>
          <w:tcPr>
            <w:tcW w:w="2098" w:type="dxa"/>
            <w:shd w:val="clear" w:color="000000" w:fill="D2EAF1"/>
            <w:noWrap/>
            <w:vAlign w:val="center"/>
          </w:tcPr>
          <w:p w:rsidR="00A421A3" w:rsidRPr="003458B1" w:rsidRDefault="00A421A3" w:rsidP="004F0C61">
            <w:pPr>
              <w:jc w:val="left"/>
              <w:rPr>
                <w:bCs/>
                <w:color w:val="000000"/>
                <w:sz w:val="20"/>
                <w:szCs w:val="20"/>
              </w:rPr>
            </w:pPr>
            <w:r w:rsidRPr="003458B1">
              <w:rPr>
                <w:bCs/>
                <w:color w:val="000000"/>
                <w:sz w:val="20"/>
                <w:szCs w:val="20"/>
              </w:rPr>
              <w:t>Lighting – 2</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32</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29.6%</w:t>
            </w:r>
          </w:p>
        </w:tc>
        <w:tc>
          <w:tcPr>
            <w:tcW w:w="1211"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5</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5</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29.6%</w:t>
            </w:r>
          </w:p>
        </w:tc>
        <w:tc>
          <w:tcPr>
            <w:tcW w:w="1211"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29.6%</w:t>
            </w:r>
          </w:p>
        </w:tc>
      </w:tr>
      <w:tr w:rsidR="00E7173E" w:rsidRPr="003458B1" w:rsidTr="00FD4D90">
        <w:trPr>
          <w:trHeight w:val="346"/>
        </w:trPr>
        <w:tc>
          <w:tcPr>
            <w:tcW w:w="2098" w:type="dxa"/>
            <w:shd w:val="clear" w:color="auto" w:fill="auto"/>
            <w:noWrap/>
            <w:vAlign w:val="center"/>
          </w:tcPr>
          <w:p w:rsidR="00A421A3" w:rsidRPr="003458B1" w:rsidRDefault="00A421A3" w:rsidP="004F0C61">
            <w:pPr>
              <w:jc w:val="left"/>
              <w:rPr>
                <w:bCs/>
                <w:color w:val="000000"/>
                <w:sz w:val="20"/>
                <w:szCs w:val="20"/>
              </w:rPr>
            </w:pPr>
            <w:r w:rsidRPr="003458B1">
              <w:rPr>
                <w:bCs/>
                <w:color w:val="000000"/>
                <w:sz w:val="20"/>
                <w:szCs w:val="20"/>
              </w:rPr>
              <w:t>Lighting – 3</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86</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28.3%</w:t>
            </w:r>
          </w:p>
        </w:tc>
        <w:tc>
          <w:tcPr>
            <w:tcW w:w="1211"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6</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6</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28.3%</w:t>
            </w:r>
          </w:p>
        </w:tc>
        <w:tc>
          <w:tcPr>
            <w:tcW w:w="1211"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28.3%</w:t>
            </w:r>
          </w:p>
        </w:tc>
      </w:tr>
      <w:tr w:rsidR="00A874AC" w:rsidRPr="003458B1" w:rsidTr="00FD4D90">
        <w:trPr>
          <w:trHeight w:val="346"/>
        </w:trPr>
        <w:tc>
          <w:tcPr>
            <w:tcW w:w="2098" w:type="dxa"/>
            <w:shd w:val="clear" w:color="000000" w:fill="D2EAF1"/>
            <w:noWrap/>
            <w:vAlign w:val="center"/>
          </w:tcPr>
          <w:p w:rsidR="00A421A3" w:rsidRPr="003458B1" w:rsidRDefault="00A421A3" w:rsidP="004F0C61">
            <w:pPr>
              <w:jc w:val="left"/>
              <w:rPr>
                <w:bCs/>
                <w:color w:val="000000"/>
                <w:sz w:val="20"/>
                <w:szCs w:val="20"/>
              </w:rPr>
            </w:pPr>
            <w:r w:rsidRPr="003458B1">
              <w:rPr>
                <w:bCs/>
                <w:color w:val="000000"/>
                <w:sz w:val="20"/>
                <w:szCs w:val="20"/>
              </w:rPr>
              <w:t>Lighting – 4</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470</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22.5%</w:t>
            </w:r>
          </w:p>
        </w:tc>
        <w:tc>
          <w:tcPr>
            <w:tcW w:w="1211"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10</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10</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22.5%</w:t>
            </w:r>
          </w:p>
        </w:tc>
        <w:tc>
          <w:tcPr>
            <w:tcW w:w="1211"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22.5%</w:t>
            </w:r>
          </w:p>
        </w:tc>
      </w:tr>
      <w:tr w:rsidR="00E7173E" w:rsidRPr="003458B1" w:rsidTr="00FD4D90">
        <w:trPr>
          <w:trHeight w:val="346"/>
        </w:trPr>
        <w:tc>
          <w:tcPr>
            <w:tcW w:w="2098" w:type="dxa"/>
            <w:shd w:val="clear" w:color="auto" w:fill="auto"/>
            <w:noWrap/>
            <w:vAlign w:val="center"/>
          </w:tcPr>
          <w:p w:rsidR="00A421A3" w:rsidRPr="003458B1" w:rsidRDefault="00A421A3" w:rsidP="004F0C61">
            <w:pPr>
              <w:jc w:val="left"/>
              <w:rPr>
                <w:bCs/>
                <w:color w:val="000000"/>
                <w:sz w:val="20"/>
                <w:szCs w:val="20"/>
              </w:rPr>
            </w:pPr>
            <w:r>
              <w:rPr>
                <w:bCs/>
                <w:color w:val="000000"/>
                <w:sz w:val="20"/>
                <w:szCs w:val="20"/>
              </w:rPr>
              <w:t>Custom – c</w:t>
            </w:r>
            <w:r w:rsidRPr="003458B1">
              <w:rPr>
                <w:bCs/>
                <w:color w:val="000000"/>
                <w:sz w:val="20"/>
                <w:szCs w:val="20"/>
              </w:rPr>
              <w:t>ertainty</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w:t>
            </w:r>
          </w:p>
        </w:tc>
        <w:tc>
          <w:tcPr>
            <w:tcW w:w="1210" w:type="dxa"/>
            <w:shd w:val="clear" w:color="auto" w:fill="auto"/>
            <w:noWrap/>
            <w:vAlign w:val="center"/>
          </w:tcPr>
          <w:p w:rsidR="00A421A3" w:rsidRPr="003458B1" w:rsidRDefault="00A421A3" w:rsidP="004F0C61">
            <w:pPr>
              <w:jc w:val="center"/>
              <w:rPr>
                <w:color w:val="000000"/>
                <w:sz w:val="20"/>
                <w:szCs w:val="20"/>
              </w:rPr>
            </w:pPr>
            <w:r>
              <w:rPr>
                <w:sz w:val="20"/>
                <w:szCs w:val="20"/>
              </w:rPr>
              <w:t>N/A</w:t>
            </w:r>
          </w:p>
        </w:tc>
        <w:tc>
          <w:tcPr>
            <w:tcW w:w="1211"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0.0%</w:t>
            </w:r>
          </w:p>
        </w:tc>
        <w:tc>
          <w:tcPr>
            <w:tcW w:w="1211"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0.0%</w:t>
            </w:r>
          </w:p>
        </w:tc>
      </w:tr>
      <w:tr w:rsidR="00A874AC" w:rsidRPr="003458B1" w:rsidTr="00FD4D90">
        <w:trPr>
          <w:trHeight w:val="346"/>
        </w:trPr>
        <w:tc>
          <w:tcPr>
            <w:tcW w:w="2098" w:type="dxa"/>
            <w:shd w:val="clear" w:color="000000" w:fill="D2EAF1"/>
            <w:noWrap/>
            <w:vAlign w:val="center"/>
          </w:tcPr>
          <w:p w:rsidR="00A421A3" w:rsidRPr="003458B1" w:rsidRDefault="00A421A3" w:rsidP="004F0C61">
            <w:pPr>
              <w:jc w:val="left"/>
              <w:rPr>
                <w:bCs/>
                <w:color w:val="000000"/>
                <w:sz w:val="20"/>
                <w:szCs w:val="20"/>
              </w:rPr>
            </w:pPr>
            <w:r w:rsidRPr="003458B1">
              <w:rPr>
                <w:bCs/>
                <w:color w:val="000000"/>
                <w:sz w:val="20"/>
                <w:szCs w:val="20"/>
              </w:rPr>
              <w:t>Custom – 2</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7</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43.0%</w:t>
            </w:r>
          </w:p>
        </w:tc>
        <w:tc>
          <w:tcPr>
            <w:tcW w:w="1211"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2</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2</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43.0%</w:t>
            </w:r>
          </w:p>
        </w:tc>
        <w:tc>
          <w:tcPr>
            <w:tcW w:w="1211"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43.0%</w:t>
            </w:r>
          </w:p>
        </w:tc>
      </w:tr>
      <w:tr w:rsidR="00E7173E" w:rsidRPr="003458B1" w:rsidTr="00FD4D90">
        <w:trPr>
          <w:trHeight w:val="346"/>
        </w:trPr>
        <w:tc>
          <w:tcPr>
            <w:tcW w:w="2098" w:type="dxa"/>
            <w:shd w:val="clear" w:color="auto" w:fill="auto"/>
            <w:noWrap/>
            <w:vAlign w:val="center"/>
          </w:tcPr>
          <w:p w:rsidR="00A421A3" w:rsidRPr="003458B1" w:rsidRDefault="00A421A3" w:rsidP="004F0C61">
            <w:pPr>
              <w:jc w:val="left"/>
              <w:rPr>
                <w:bCs/>
                <w:color w:val="000000"/>
                <w:sz w:val="20"/>
                <w:szCs w:val="20"/>
              </w:rPr>
            </w:pPr>
            <w:r w:rsidRPr="003458B1">
              <w:rPr>
                <w:bCs/>
                <w:color w:val="000000"/>
                <w:sz w:val="20"/>
                <w:szCs w:val="20"/>
              </w:rPr>
              <w:t>Custom – 3</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60</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23.7%</w:t>
            </w:r>
          </w:p>
        </w:tc>
        <w:tc>
          <w:tcPr>
            <w:tcW w:w="1211"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8</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8</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23.7%</w:t>
            </w:r>
          </w:p>
        </w:tc>
        <w:tc>
          <w:tcPr>
            <w:tcW w:w="1211"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23.7%</w:t>
            </w:r>
          </w:p>
        </w:tc>
      </w:tr>
      <w:tr w:rsidR="00A874AC" w:rsidRPr="003458B1" w:rsidTr="00FD4D90">
        <w:trPr>
          <w:trHeight w:val="346"/>
        </w:trPr>
        <w:tc>
          <w:tcPr>
            <w:tcW w:w="2098" w:type="dxa"/>
            <w:shd w:val="clear" w:color="000000" w:fill="D2EAF1"/>
            <w:noWrap/>
            <w:vAlign w:val="center"/>
          </w:tcPr>
          <w:p w:rsidR="00A421A3" w:rsidRPr="003458B1" w:rsidRDefault="00A421A3" w:rsidP="004F0C61">
            <w:pPr>
              <w:jc w:val="left"/>
              <w:rPr>
                <w:bCs/>
                <w:color w:val="000000"/>
                <w:sz w:val="20"/>
                <w:szCs w:val="20"/>
              </w:rPr>
            </w:pPr>
            <w:r>
              <w:rPr>
                <w:bCs/>
                <w:color w:val="000000"/>
                <w:sz w:val="20"/>
                <w:szCs w:val="20"/>
              </w:rPr>
              <w:t xml:space="preserve">HVAC and DHW – </w:t>
            </w:r>
            <w:r w:rsidRPr="003458B1">
              <w:rPr>
                <w:bCs/>
                <w:color w:val="000000"/>
                <w:sz w:val="20"/>
                <w:szCs w:val="20"/>
              </w:rPr>
              <w:t>1</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2</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50.9%</w:t>
            </w:r>
          </w:p>
        </w:tc>
        <w:tc>
          <w:tcPr>
            <w:tcW w:w="1211"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1</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1</w:t>
            </w:r>
          </w:p>
        </w:tc>
        <w:tc>
          <w:tcPr>
            <w:tcW w:w="1210"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50.9%</w:t>
            </w:r>
          </w:p>
        </w:tc>
        <w:tc>
          <w:tcPr>
            <w:tcW w:w="1211"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50.9%</w:t>
            </w:r>
          </w:p>
        </w:tc>
      </w:tr>
      <w:tr w:rsidR="00E7173E" w:rsidRPr="003458B1" w:rsidTr="00FD4D90">
        <w:trPr>
          <w:trHeight w:val="346"/>
        </w:trPr>
        <w:tc>
          <w:tcPr>
            <w:tcW w:w="2098" w:type="dxa"/>
            <w:shd w:val="clear" w:color="auto" w:fill="auto"/>
            <w:noWrap/>
            <w:vAlign w:val="center"/>
          </w:tcPr>
          <w:p w:rsidR="00A421A3" w:rsidRPr="003458B1" w:rsidRDefault="00A421A3" w:rsidP="004F0C61">
            <w:pPr>
              <w:jc w:val="left"/>
              <w:rPr>
                <w:bCs/>
                <w:color w:val="000000"/>
                <w:sz w:val="20"/>
                <w:szCs w:val="20"/>
              </w:rPr>
            </w:pPr>
            <w:r>
              <w:rPr>
                <w:bCs/>
                <w:color w:val="000000"/>
                <w:sz w:val="20"/>
                <w:szCs w:val="20"/>
              </w:rPr>
              <w:t xml:space="preserve">HVAC and DHW – </w:t>
            </w:r>
            <w:r w:rsidRPr="003458B1">
              <w:rPr>
                <w:bCs/>
                <w:color w:val="000000"/>
                <w:sz w:val="20"/>
                <w:szCs w:val="20"/>
              </w:rPr>
              <w:t>2</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63</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71.4%</w:t>
            </w:r>
          </w:p>
        </w:tc>
        <w:tc>
          <w:tcPr>
            <w:tcW w:w="1211"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1</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1</w:t>
            </w:r>
          </w:p>
        </w:tc>
        <w:tc>
          <w:tcPr>
            <w:tcW w:w="1210"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71.4%</w:t>
            </w:r>
          </w:p>
        </w:tc>
        <w:tc>
          <w:tcPr>
            <w:tcW w:w="1211"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71.4%</w:t>
            </w:r>
          </w:p>
        </w:tc>
      </w:tr>
      <w:tr w:rsidR="00A874AC" w:rsidRPr="003458B1" w:rsidTr="00FD4D90">
        <w:trPr>
          <w:trHeight w:val="346"/>
        </w:trPr>
        <w:tc>
          <w:tcPr>
            <w:tcW w:w="2098" w:type="dxa"/>
            <w:shd w:val="clear" w:color="000000" w:fill="D2EAF1"/>
            <w:vAlign w:val="center"/>
          </w:tcPr>
          <w:p w:rsidR="00A421A3" w:rsidRPr="003458B1" w:rsidRDefault="00A421A3" w:rsidP="004F0C61">
            <w:pPr>
              <w:jc w:val="left"/>
              <w:rPr>
                <w:bCs/>
                <w:color w:val="000000"/>
                <w:sz w:val="20"/>
                <w:szCs w:val="20"/>
              </w:rPr>
            </w:pPr>
            <w:r>
              <w:rPr>
                <w:bCs/>
                <w:color w:val="000000"/>
                <w:sz w:val="20"/>
                <w:szCs w:val="20"/>
              </w:rPr>
              <w:t>Appliance Turn-I</w:t>
            </w:r>
            <w:r w:rsidRPr="003458B1">
              <w:rPr>
                <w:bCs/>
                <w:color w:val="000000"/>
                <w:sz w:val="20"/>
                <w:szCs w:val="20"/>
              </w:rPr>
              <w:t>n – 1</w:t>
            </w:r>
          </w:p>
        </w:tc>
        <w:tc>
          <w:tcPr>
            <w:tcW w:w="1210" w:type="dxa"/>
            <w:shd w:val="clear" w:color="000000" w:fill="D2EAF1"/>
            <w:noWrap/>
            <w:vAlign w:val="center"/>
          </w:tcPr>
          <w:p w:rsidR="00A421A3" w:rsidRPr="003458B1" w:rsidRDefault="00A421A3" w:rsidP="004F0C61">
            <w:pPr>
              <w:jc w:val="center"/>
              <w:rPr>
                <w:bCs/>
                <w:color w:val="000000"/>
                <w:sz w:val="20"/>
                <w:szCs w:val="20"/>
              </w:rPr>
            </w:pPr>
            <w:r w:rsidRPr="003458B1">
              <w:rPr>
                <w:sz w:val="20"/>
                <w:szCs w:val="20"/>
              </w:rPr>
              <w:t>55</w:t>
            </w:r>
          </w:p>
        </w:tc>
        <w:tc>
          <w:tcPr>
            <w:tcW w:w="1210" w:type="dxa"/>
            <w:shd w:val="clear" w:color="000000" w:fill="D2EAF1"/>
            <w:noWrap/>
            <w:vAlign w:val="center"/>
          </w:tcPr>
          <w:p w:rsidR="00A421A3" w:rsidRPr="003458B1" w:rsidRDefault="00A421A3" w:rsidP="004F0C61">
            <w:pPr>
              <w:jc w:val="center"/>
              <w:rPr>
                <w:bCs/>
                <w:color w:val="000000"/>
                <w:sz w:val="20"/>
                <w:szCs w:val="20"/>
              </w:rPr>
            </w:pPr>
            <w:r w:rsidRPr="003458B1">
              <w:rPr>
                <w:sz w:val="20"/>
                <w:szCs w:val="20"/>
              </w:rPr>
              <w:t>71.3%</w:t>
            </w:r>
          </w:p>
        </w:tc>
        <w:tc>
          <w:tcPr>
            <w:tcW w:w="1211" w:type="dxa"/>
            <w:shd w:val="clear" w:color="000000" w:fill="D2EAF1"/>
            <w:noWrap/>
            <w:vAlign w:val="center"/>
          </w:tcPr>
          <w:p w:rsidR="00A421A3" w:rsidRPr="003458B1" w:rsidRDefault="00A421A3" w:rsidP="004F0C61">
            <w:pPr>
              <w:jc w:val="center"/>
              <w:rPr>
                <w:bCs/>
                <w:color w:val="000000"/>
                <w:sz w:val="20"/>
                <w:szCs w:val="20"/>
              </w:rPr>
            </w:pPr>
            <w:r w:rsidRPr="003458B1">
              <w:rPr>
                <w:sz w:val="20"/>
                <w:szCs w:val="20"/>
              </w:rPr>
              <w:t>1</w:t>
            </w:r>
          </w:p>
        </w:tc>
        <w:tc>
          <w:tcPr>
            <w:tcW w:w="1210" w:type="dxa"/>
            <w:shd w:val="clear" w:color="000000" w:fill="D2EAF1"/>
            <w:noWrap/>
            <w:vAlign w:val="center"/>
          </w:tcPr>
          <w:p w:rsidR="00A421A3" w:rsidRPr="003458B1" w:rsidRDefault="00A421A3" w:rsidP="004F0C61">
            <w:pPr>
              <w:jc w:val="center"/>
              <w:rPr>
                <w:bCs/>
                <w:color w:val="000000"/>
                <w:sz w:val="20"/>
                <w:szCs w:val="20"/>
              </w:rPr>
            </w:pPr>
            <w:r w:rsidRPr="003458B1">
              <w:rPr>
                <w:sz w:val="20"/>
                <w:szCs w:val="20"/>
              </w:rPr>
              <w:t>1</w:t>
            </w:r>
          </w:p>
        </w:tc>
        <w:tc>
          <w:tcPr>
            <w:tcW w:w="1210" w:type="dxa"/>
            <w:shd w:val="clear" w:color="000000" w:fill="D2EAF1"/>
            <w:noWrap/>
            <w:vAlign w:val="center"/>
          </w:tcPr>
          <w:p w:rsidR="00A421A3" w:rsidRPr="003458B1" w:rsidRDefault="00A421A3" w:rsidP="004F0C61">
            <w:pPr>
              <w:jc w:val="center"/>
              <w:rPr>
                <w:bCs/>
                <w:color w:val="000000"/>
                <w:sz w:val="20"/>
                <w:szCs w:val="20"/>
              </w:rPr>
            </w:pPr>
            <w:r w:rsidRPr="003458B1">
              <w:rPr>
                <w:sz w:val="20"/>
                <w:szCs w:val="20"/>
              </w:rPr>
              <w:t>71.3%</w:t>
            </w:r>
          </w:p>
        </w:tc>
        <w:tc>
          <w:tcPr>
            <w:tcW w:w="1211" w:type="dxa"/>
            <w:shd w:val="clear" w:color="000000" w:fill="D2EAF1"/>
            <w:noWrap/>
            <w:vAlign w:val="center"/>
          </w:tcPr>
          <w:p w:rsidR="00A421A3" w:rsidRPr="003458B1" w:rsidRDefault="00A421A3" w:rsidP="004F0C61">
            <w:pPr>
              <w:jc w:val="center"/>
              <w:rPr>
                <w:bCs/>
                <w:color w:val="000000"/>
                <w:sz w:val="20"/>
                <w:szCs w:val="20"/>
              </w:rPr>
            </w:pPr>
            <w:r w:rsidRPr="003458B1">
              <w:rPr>
                <w:sz w:val="20"/>
                <w:szCs w:val="20"/>
              </w:rPr>
              <w:t>71.3%</w:t>
            </w:r>
          </w:p>
        </w:tc>
      </w:tr>
      <w:tr w:rsidR="00E7173E" w:rsidRPr="003458B1" w:rsidTr="00FD4D90">
        <w:trPr>
          <w:trHeight w:val="346"/>
        </w:trPr>
        <w:tc>
          <w:tcPr>
            <w:tcW w:w="2098" w:type="dxa"/>
            <w:shd w:val="clear" w:color="auto" w:fill="auto"/>
            <w:vAlign w:val="center"/>
          </w:tcPr>
          <w:p w:rsidR="00A421A3" w:rsidRPr="003458B1" w:rsidRDefault="00A421A3" w:rsidP="004F0C61">
            <w:pPr>
              <w:jc w:val="left"/>
              <w:rPr>
                <w:bCs/>
                <w:color w:val="000000"/>
                <w:sz w:val="20"/>
                <w:szCs w:val="20"/>
              </w:rPr>
            </w:pPr>
            <w:r>
              <w:rPr>
                <w:bCs/>
                <w:color w:val="000000"/>
                <w:sz w:val="20"/>
                <w:szCs w:val="20"/>
              </w:rPr>
              <w:t xml:space="preserve">Kitchen/appliances – </w:t>
            </w:r>
            <w:r w:rsidRPr="003458B1">
              <w:rPr>
                <w:bCs/>
                <w:color w:val="000000"/>
                <w:sz w:val="20"/>
                <w:szCs w:val="20"/>
              </w:rPr>
              <w:t>1</w:t>
            </w:r>
          </w:p>
        </w:tc>
        <w:tc>
          <w:tcPr>
            <w:tcW w:w="1210" w:type="dxa"/>
            <w:shd w:val="clear" w:color="auto" w:fill="auto"/>
            <w:noWrap/>
            <w:vAlign w:val="center"/>
          </w:tcPr>
          <w:p w:rsidR="00A421A3" w:rsidRPr="003458B1" w:rsidRDefault="00A421A3" w:rsidP="004F0C61">
            <w:pPr>
              <w:jc w:val="center"/>
              <w:rPr>
                <w:bCs/>
                <w:color w:val="000000"/>
                <w:sz w:val="20"/>
                <w:szCs w:val="20"/>
              </w:rPr>
            </w:pPr>
            <w:r w:rsidRPr="003458B1">
              <w:rPr>
                <w:sz w:val="20"/>
                <w:szCs w:val="20"/>
              </w:rPr>
              <w:t>18</w:t>
            </w:r>
          </w:p>
        </w:tc>
        <w:tc>
          <w:tcPr>
            <w:tcW w:w="1210" w:type="dxa"/>
            <w:shd w:val="clear" w:color="auto" w:fill="auto"/>
            <w:noWrap/>
            <w:vAlign w:val="center"/>
          </w:tcPr>
          <w:p w:rsidR="00A421A3" w:rsidRPr="003458B1" w:rsidRDefault="00A421A3" w:rsidP="004F0C61">
            <w:pPr>
              <w:jc w:val="center"/>
              <w:rPr>
                <w:bCs/>
                <w:color w:val="000000"/>
                <w:sz w:val="20"/>
                <w:szCs w:val="20"/>
              </w:rPr>
            </w:pPr>
            <w:r w:rsidRPr="003458B1">
              <w:rPr>
                <w:sz w:val="20"/>
                <w:szCs w:val="20"/>
              </w:rPr>
              <w:t>70.0%</w:t>
            </w:r>
          </w:p>
        </w:tc>
        <w:tc>
          <w:tcPr>
            <w:tcW w:w="1211" w:type="dxa"/>
            <w:shd w:val="clear" w:color="auto" w:fill="auto"/>
            <w:noWrap/>
            <w:vAlign w:val="center"/>
          </w:tcPr>
          <w:p w:rsidR="00A421A3" w:rsidRPr="003458B1" w:rsidRDefault="00A421A3" w:rsidP="004F0C61">
            <w:pPr>
              <w:jc w:val="center"/>
              <w:rPr>
                <w:bCs/>
                <w:color w:val="000000"/>
                <w:sz w:val="20"/>
                <w:szCs w:val="20"/>
              </w:rPr>
            </w:pPr>
            <w:r w:rsidRPr="003458B1">
              <w:rPr>
                <w:sz w:val="20"/>
                <w:szCs w:val="20"/>
              </w:rPr>
              <w:t>1</w:t>
            </w:r>
          </w:p>
        </w:tc>
        <w:tc>
          <w:tcPr>
            <w:tcW w:w="1210" w:type="dxa"/>
            <w:shd w:val="clear" w:color="auto" w:fill="auto"/>
            <w:noWrap/>
            <w:vAlign w:val="center"/>
          </w:tcPr>
          <w:p w:rsidR="00A421A3" w:rsidRPr="003458B1" w:rsidRDefault="00A421A3" w:rsidP="004F0C61">
            <w:pPr>
              <w:jc w:val="center"/>
              <w:rPr>
                <w:bCs/>
                <w:color w:val="000000"/>
                <w:sz w:val="20"/>
                <w:szCs w:val="20"/>
              </w:rPr>
            </w:pPr>
            <w:r w:rsidRPr="003458B1">
              <w:rPr>
                <w:sz w:val="20"/>
                <w:szCs w:val="20"/>
              </w:rPr>
              <w:t>1</w:t>
            </w:r>
          </w:p>
        </w:tc>
        <w:tc>
          <w:tcPr>
            <w:tcW w:w="1210" w:type="dxa"/>
            <w:shd w:val="clear" w:color="auto" w:fill="auto"/>
            <w:noWrap/>
            <w:vAlign w:val="center"/>
          </w:tcPr>
          <w:p w:rsidR="00A421A3" w:rsidRPr="003458B1" w:rsidRDefault="00A421A3" w:rsidP="004F0C61">
            <w:pPr>
              <w:jc w:val="center"/>
              <w:rPr>
                <w:bCs/>
                <w:color w:val="000000"/>
                <w:sz w:val="20"/>
                <w:szCs w:val="20"/>
              </w:rPr>
            </w:pPr>
            <w:r w:rsidRPr="003458B1">
              <w:rPr>
                <w:sz w:val="20"/>
                <w:szCs w:val="20"/>
              </w:rPr>
              <w:t>70.0%</w:t>
            </w:r>
          </w:p>
        </w:tc>
        <w:tc>
          <w:tcPr>
            <w:tcW w:w="1211" w:type="dxa"/>
            <w:shd w:val="clear" w:color="auto" w:fill="auto"/>
            <w:noWrap/>
            <w:vAlign w:val="center"/>
          </w:tcPr>
          <w:p w:rsidR="00A421A3" w:rsidRPr="003458B1" w:rsidRDefault="00A421A3" w:rsidP="004F0C61">
            <w:pPr>
              <w:jc w:val="center"/>
              <w:rPr>
                <w:bCs/>
                <w:color w:val="000000"/>
                <w:sz w:val="20"/>
                <w:szCs w:val="20"/>
              </w:rPr>
            </w:pPr>
            <w:r w:rsidRPr="003458B1">
              <w:rPr>
                <w:sz w:val="20"/>
                <w:szCs w:val="20"/>
              </w:rPr>
              <w:t>70.0%</w:t>
            </w:r>
          </w:p>
        </w:tc>
      </w:tr>
      <w:tr w:rsidR="00A874AC" w:rsidRPr="003458B1" w:rsidTr="00FD4D90">
        <w:trPr>
          <w:trHeight w:val="346"/>
        </w:trPr>
        <w:tc>
          <w:tcPr>
            <w:tcW w:w="2098" w:type="dxa"/>
            <w:shd w:val="clear" w:color="000000" w:fill="D2EAF1"/>
            <w:vAlign w:val="center"/>
          </w:tcPr>
          <w:p w:rsidR="00A421A3" w:rsidRPr="003458B1" w:rsidRDefault="00A421A3" w:rsidP="004F0C61">
            <w:pPr>
              <w:jc w:val="left"/>
              <w:rPr>
                <w:bCs/>
                <w:color w:val="000000"/>
                <w:sz w:val="20"/>
                <w:szCs w:val="20"/>
              </w:rPr>
            </w:pPr>
            <w:r w:rsidRPr="003458B1">
              <w:rPr>
                <w:b/>
                <w:bCs/>
                <w:color w:val="000000"/>
                <w:sz w:val="20"/>
                <w:szCs w:val="20"/>
              </w:rPr>
              <w:t>Program Total</w:t>
            </w:r>
          </w:p>
        </w:tc>
        <w:tc>
          <w:tcPr>
            <w:tcW w:w="1210"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793</w:t>
            </w:r>
          </w:p>
        </w:tc>
        <w:tc>
          <w:tcPr>
            <w:tcW w:w="1210"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13.9%</w:t>
            </w:r>
          </w:p>
        </w:tc>
        <w:tc>
          <w:tcPr>
            <w:tcW w:w="1211"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35</w:t>
            </w:r>
          </w:p>
        </w:tc>
        <w:tc>
          <w:tcPr>
            <w:tcW w:w="1210"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35</w:t>
            </w:r>
          </w:p>
        </w:tc>
        <w:tc>
          <w:tcPr>
            <w:tcW w:w="1210"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14.2%</w:t>
            </w:r>
          </w:p>
        </w:tc>
        <w:tc>
          <w:tcPr>
            <w:tcW w:w="1211"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14.9%</w:t>
            </w:r>
          </w:p>
        </w:tc>
      </w:tr>
    </w:tbl>
    <w:p w:rsidR="00A421A3" w:rsidRPr="003458B1" w:rsidRDefault="00A421A3" w:rsidP="00A421A3"/>
    <w:p w:rsidR="00A421A3" w:rsidRPr="003458B1" w:rsidRDefault="00A421A3" w:rsidP="00A421A3">
      <w:pPr>
        <w:pStyle w:val="AppendixAHeading5"/>
      </w:pPr>
      <w:r w:rsidRPr="003458B1">
        <w:t>Small C/I Energy Efficient Buildings Program</w:t>
      </w:r>
    </w:p>
    <w:p w:rsidR="00A421A3" w:rsidRPr="003458B1" w:rsidRDefault="00A421A3" w:rsidP="00A421A3">
      <w:r w:rsidRPr="003458B1">
        <w:t>This was a new program in Phase II. The program includes two components: energy conservation kits delivered by mail to</w:t>
      </w:r>
      <w:r>
        <w:t xml:space="preserve"> non-residential customers and whole-building</w:t>
      </w:r>
      <w:r w:rsidRPr="003458B1">
        <w:t xml:space="preserve"> projects such as new construction, retro-commissioning, and building envelope improvements. Sampling and project-level gross impact evaluation methodologies for efficient equipment and building upgrade measures are identical to the methodology described for the Small </w:t>
      </w:r>
      <w:r w:rsidR="00B27FAB">
        <w:t xml:space="preserve">C/I </w:t>
      </w:r>
      <w:r>
        <w:t xml:space="preserve">Energy </w:t>
      </w:r>
      <w:r w:rsidRPr="003458B1">
        <w:t xml:space="preserve">Efficient Equipment Program above. The sample design strategy and the achieved precision values for energy and demand are shown in </w:t>
      </w:r>
      <w:r w:rsidRPr="003458B1">
        <w:fldChar w:fldCharType="begin"/>
      </w:r>
      <w:r w:rsidRPr="003458B1">
        <w:instrText xml:space="preserve"> REF _Ref440033099 \h  \* MERGEFORMAT </w:instrText>
      </w:r>
      <w:r w:rsidRPr="003458B1">
        <w:fldChar w:fldCharType="separate"/>
      </w:r>
      <w:r w:rsidR="00A874AC" w:rsidRPr="00A874AC">
        <w:rPr>
          <w:bCs/>
        </w:rPr>
        <w:t>Table A-61</w:t>
      </w:r>
      <w:r w:rsidRPr="003458B1">
        <w:fldChar w:fldCharType="end"/>
      </w:r>
      <w:r w:rsidRPr="003458B1">
        <w:t>. The precision levels for energy</w:t>
      </w:r>
      <w:bookmarkStart w:id="854" w:name="_Toc410199423"/>
      <w:r w:rsidRPr="003458B1">
        <w:t xml:space="preserve"> met the SWE Team requirements detailed in the </w:t>
      </w:r>
      <w:r>
        <w:t>E</w:t>
      </w:r>
      <w:r w:rsidRPr="003458B1">
        <w:t xml:space="preserve">valuation </w:t>
      </w:r>
      <w:r w:rsidRPr="006D55B4">
        <w:t>Framework</w:t>
      </w:r>
      <w:r w:rsidRPr="003458B1">
        <w:t>.</w:t>
      </w:r>
    </w:p>
    <w:p w:rsidR="00A421A3" w:rsidRPr="003458B1" w:rsidRDefault="00A421A3" w:rsidP="00A421A3"/>
    <w:p w:rsidR="00A421A3" w:rsidRPr="003458B1" w:rsidRDefault="00A421A3" w:rsidP="00A421A3">
      <w:pPr>
        <w:spacing w:after="120"/>
        <w:jc w:val="center"/>
        <w:rPr>
          <w:rFonts w:ascii="Century Gothic" w:hAnsi="Century Gothic"/>
          <w:b/>
          <w:bCs/>
          <w:sz w:val="18"/>
          <w:szCs w:val="18"/>
        </w:rPr>
      </w:pPr>
      <w:bookmarkStart w:id="855" w:name="_Ref440033099"/>
      <w:bookmarkStart w:id="856" w:name="_Toc431462343"/>
      <w:bookmarkStart w:id="857" w:name="_Toc444269865"/>
      <w:bookmarkStart w:id="858" w:name="_Toc472472470"/>
      <w:bookmarkStart w:id="859" w:name="_Toc476842176"/>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61</w:t>
      </w:r>
      <w:r w:rsidRPr="003458B1">
        <w:rPr>
          <w:rFonts w:ascii="Century Gothic" w:hAnsi="Century Gothic"/>
          <w:b/>
          <w:bCs/>
          <w:sz w:val="18"/>
          <w:szCs w:val="18"/>
        </w:rPr>
        <w:fldChar w:fldCharType="end"/>
      </w:r>
      <w:bookmarkEnd w:id="855"/>
      <w:r w:rsidRPr="003458B1">
        <w:rPr>
          <w:rFonts w:ascii="Century Gothic" w:hAnsi="Century Gothic"/>
          <w:b/>
          <w:bCs/>
          <w:sz w:val="18"/>
          <w:szCs w:val="18"/>
        </w:rPr>
        <w:t>: Penelec’s PY7 Sampling Strategy and Relative Precision – Small C/I Energy Efficient Buildings Program</w:t>
      </w:r>
      <w:bookmarkEnd w:id="854"/>
      <w:bookmarkEnd w:id="856"/>
      <w:bookmarkEnd w:id="857"/>
      <w:bookmarkEnd w:id="858"/>
      <w:bookmarkEnd w:id="859"/>
    </w:p>
    <w:tbl>
      <w:tblPr>
        <w:tblW w:w="9293"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313"/>
        <w:gridCol w:w="1163"/>
        <w:gridCol w:w="1163"/>
        <w:gridCol w:w="1164"/>
        <w:gridCol w:w="1163"/>
        <w:gridCol w:w="1163"/>
        <w:gridCol w:w="1164"/>
      </w:tblGrid>
      <w:tr w:rsidR="00A874AC" w:rsidRPr="003458B1" w:rsidTr="00FD4D90">
        <w:trPr>
          <w:trHeight w:val="1195"/>
          <w:tblHeader/>
        </w:trPr>
        <w:tc>
          <w:tcPr>
            <w:tcW w:w="2313"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3458B1" w:rsidRDefault="00A421A3" w:rsidP="004F0C61">
            <w:pPr>
              <w:rPr>
                <w:b/>
                <w:color w:val="FFFFFF"/>
                <w:sz w:val="20"/>
                <w:szCs w:val="20"/>
              </w:rPr>
            </w:pPr>
            <w:r w:rsidRPr="003458B1">
              <w:rPr>
                <w:b/>
                <w:color w:val="FFFFFF"/>
                <w:sz w:val="20"/>
                <w:szCs w:val="20"/>
              </w:rPr>
              <w:t>Stratum</w:t>
            </w:r>
          </w:p>
        </w:tc>
        <w:tc>
          <w:tcPr>
            <w:tcW w:w="1163"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3458B1" w:rsidRDefault="00A421A3" w:rsidP="004F0C61">
            <w:pPr>
              <w:jc w:val="center"/>
              <w:rPr>
                <w:b/>
                <w:color w:val="FFFFFF"/>
                <w:sz w:val="20"/>
                <w:szCs w:val="20"/>
              </w:rPr>
            </w:pPr>
            <w:r w:rsidRPr="003458B1">
              <w:rPr>
                <w:b/>
                <w:color w:val="FFFFFF"/>
                <w:sz w:val="20"/>
                <w:szCs w:val="20"/>
              </w:rPr>
              <w:t>Population</w:t>
            </w:r>
          </w:p>
        </w:tc>
        <w:tc>
          <w:tcPr>
            <w:tcW w:w="1163"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3458B1" w:rsidRDefault="00A421A3" w:rsidP="004F0C61">
            <w:pPr>
              <w:jc w:val="center"/>
              <w:rPr>
                <w:b/>
                <w:color w:val="FFFFFF"/>
                <w:sz w:val="20"/>
                <w:szCs w:val="20"/>
              </w:rPr>
            </w:pPr>
            <w:r w:rsidRPr="003458B1">
              <w:rPr>
                <w:b/>
                <w:color w:val="FFFFFF"/>
                <w:sz w:val="20"/>
                <w:szCs w:val="20"/>
              </w:rPr>
              <w:t>Target Levels of Confidence &amp; Precision</w:t>
            </w:r>
          </w:p>
        </w:tc>
        <w:tc>
          <w:tcPr>
            <w:tcW w:w="1164"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3458B1" w:rsidRDefault="00A421A3" w:rsidP="004F0C61">
            <w:pPr>
              <w:jc w:val="center"/>
              <w:rPr>
                <w:b/>
                <w:color w:val="FFFFFF"/>
                <w:sz w:val="20"/>
                <w:szCs w:val="20"/>
              </w:rPr>
            </w:pPr>
            <w:r w:rsidRPr="003458B1">
              <w:rPr>
                <w:b/>
                <w:color w:val="FFFFFF"/>
                <w:sz w:val="20"/>
                <w:szCs w:val="20"/>
              </w:rPr>
              <w:t>Target Sample Size</w:t>
            </w:r>
          </w:p>
        </w:tc>
        <w:tc>
          <w:tcPr>
            <w:tcW w:w="1163"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3458B1" w:rsidRDefault="00A421A3" w:rsidP="004F0C61">
            <w:pPr>
              <w:jc w:val="center"/>
              <w:rPr>
                <w:b/>
                <w:color w:val="FFFFFF"/>
                <w:sz w:val="20"/>
                <w:szCs w:val="20"/>
              </w:rPr>
            </w:pPr>
            <w:r w:rsidRPr="003458B1">
              <w:rPr>
                <w:b/>
                <w:color w:val="FFFFFF"/>
                <w:sz w:val="20"/>
                <w:szCs w:val="20"/>
              </w:rPr>
              <w:t>Achieved Sample Size</w:t>
            </w:r>
          </w:p>
        </w:tc>
        <w:tc>
          <w:tcPr>
            <w:tcW w:w="1163"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3458B1" w:rsidRDefault="00A421A3" w:rsidP="004F0C61">
            <w:pPr>
              <w:jc w:val="center"/>
              <w:rPr>
                <w:b/>
                <w:color w:val="FFFFFF"/>
                <w:sz w:val="20"/>
                <w:szCs w:val="20"/>
              </w:rPr>
            </w:pPr>
            <w:r w:rsidRPr="003458B1">
              <w:rPr>
                <w:b/>
                <w:color w:val="FFFFFF"/>
                <w:sz w:val="20"/>
                <w:szCs w:val="20"/>
              </w:rPr>
              <w:t>Relative Precision at 85% C.L. for Energy</w:t>
            </w:r>
          </w:p>
        </w:tc>
        <w:tc>
          <w:tcPr>
            <w:tcW w:w="1164"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A421A3" w:rsidRPr="003458B1" w:rsidRDefault="00A421A3" w:rsidP="004F0C61">
            <w:pPr>
              <w:jc w:val="center"/>
              <w:rPr>
                <w:b/>
                <w:color w:val="FFFFFF"/>
                <w:sz w:val="20"/>
                <w:szCs w:val="20"/>
              </w:rPr>
            </w:pPr>
            <w:r w:rsidRPr="003458B1">
              <w:rPr>
                <w:b/>
                <w:color w:val="FFFFFF"/>
                <w:sz w:val="20"/>
                <w:szCs w:val="20"/>
              </w:rPr>
              <w:t>Relative Precision at 85% C.L. for Demand</w:t>
            </w:r>
          </w:p>
        </w:tc>
      </w:tr>
      <w:tr w:rsidR="00A874AC" w:rsidRPr="003458B1" w:rsidTr="00FD4D90">
        <w:trPr>
          <w:trHeight w:val="301"/>
        </w:trPr>
        <w:tc>
          <w:tcPr>
            <w:tcW w:w="2313" w:type="dxa"/>
            <w:tcBorders>
              <w:top w:val="single" w:sz="8" w:space="0" w:color="448A99"/>
            </w:tcBorders>
            <w:shd w:val="clear" w:color="auto" w:fill="D2EAF1"/>
            <w:noWrap/>
            <w:vAlign w:val="center"/>
          </w:tcPr>
          <w:p w:rsidR="00A421A3" w:rsidRPr="003458B1" w:rsidRDefault="00A421A3" w:rsidP="004F0C61">
            <w:pPr>
              <w:jc w:val="left"/>
              <w:rPr>
                <w:color w:val="000000"/>
                <w:sz w:val="20"/>
                <w:szCs w:val="20"/>
              </w:rPr>
            </w:pPr>
            <w:r>
              <w:rPr>
                <w:bCs/>
                <w:sz w:val="20"/>
                <w:szCs w:val="20"/>
              </w:rPr>
              <w:t xml:space="preserve">CFL kits – </w:t>
            </w:r>
            <w:r w:rsidRPr="003458B1">
              <w:rPr>
                <w:bCs/>
                <w:sz w:val="20"/>
                <w:szCs w:val="20"/>
              </w:rPr>
              <w:t>1</w:t>
            </w:r>
          </w:p>
        </w:tc>
        <w:tc>
          <w:tcPr>
            <w:tcW w:w="1163" w:type="dxa"/>
            <w:tcBorders>
              <w:top w:val="single" w:sz="8" w:space="0" w:color="448A99"/>
            </w:tcBorders>
            <w:shd w:val="clear" w:color="auto" w:fill="D2EAF1"/>
            <w:noWrap/>
            <w:vAlign w:val="center"/>
          </w:tcPr>
          <w:p w:rsidR="00A421A3" w:rsidRPr="003458B1" w:rsidRDefault="00A421A3" w:rsidP="004F0C61">
            <w:pPr>
              <w:jc w:val="center"/>
              <w:rPr>
                <w:color w:val="000000"/>
                <w:sz w:val="20"/>
                <w:szCs w:val="20"/>
              </w:rPr>
            </w:pPr>
            <w:r w:rsidRPr="003458B1">
              <w:rPr>
                <w:sz w:val="20"/>
                <w:szCs w:val="20"/>
              </w:rPr>
              <w:t>3,934</w:t>
            </w:r>
          </w:p>
        </w:tc>
        <w:tc>
          <w:tcPr>
            <w:tcW w:w="1163" w:type="dxa"/>
            <w:tcBorders>
              <w:top w:val="single" w:sz="8" w:space="0" w:color="448A99"/>
            </w:tcBorders>
            <w:shd w:val="clear" w:color="auto" w:fill="D2EAF1"/>
            <w:noWrap/>
            <w:vAlign w:val="center"/>
          </w:tcPr>
          <w:p w:rsidR="00A421A3" w:rsidRPr="003458B1" w:rsidRDefault="00A421A3" w:rsidP="004F0C61">
            <w:pPr>
              <w:jc w:val="center"/>
              <w:rPr>
                <w:color w:val="000000"/>
                <w:sz w:val="20"/>
                <w:szCs w:val="20"/>
              </w:rPr>
            </w:pPr>
            <w:r w:rsidRPr="003458B1">
              <w:rPr>
                <w:sz w:val="20"/>
                <w:szCs w:val="20"/>
              </w:rPr>
              <w:t>11.3%</w:t>
            </w:r>
          </w:p>
        </w:tc>
        <w:tc>
          <w:tcPr>
            <w:tcW w:w="1164" w:type="dxa"/>
            <w:tcBorders>
              <w:top w:val="single" w:sz="8" w:space="0" w:color="448A99"/>
            </w:tcBorders>
            <w:shd w:val="clear" w:color="auto" w:fill="D2EAF1"/>
            <w:noWrap/>
            <w:vAlign w:val="center"/>
          </w:tcPr>
          <w:p w:rsidR="00A421A3" w:rsidRPr="003458B1" w:rsidRDefault="00A421A3" w:rsidP="004F0C61">
            <w:pPr>
              <w:jc w:val="center"/>
              <w:rPr>
                <w:color w:val="000000"/>
                <w:sz w:val="20"/>
                <w:szCs w:val="20"/>
              </w:rPr>
            </w:pPr>
            <w:r w:rsidRPr="003458B1">
              <w:rPr>
                <w:sz w:val="20"/>
                <w:szCs w:val="20"/>
              </w:rPr>
              <w:t>40</w:t>
            </w:r>
          </w:p>
        </w:tc>
        <w:tc>
          <w:tcPr>
            <w:tcW w:w="1163" w:type="dxa"/>
            <w:tcBorders>
              <w:top w:val="single" w:sz="8" w:space="0" w:color="448A99"/>
            </w:tcBorders>
            <w:shd w:val="clear" w:color="auto" w:fill="D2EAF1"/>
            <w:noWrap/>
            <w:vAlign w:val="center"/>
          </w:tcPr>
          <w:p w:rsidR="00A421A3" w:rsidRPr="003458B1" w:rsidRDefault="00A421A3" w:rsidP="004F0C61">
            <w:pPr>
              <w:jc w:val="center"/>
              <w:rPr>
                <w:color w:val="000000"/>
                <w:sz w:val="20"/>
                <w:szCs w:val="20"/>
              </w:rPr>
            </w:pPr>
            <w:r w:rsidRPr="003458B1">
              <w:rPr>
                <w:sz w:val="20"/>
                <w:szCs w:val="20"/>
              </w:rPr>
              <w:t>65</w:t>
            </w:r>
          </w:p>
        </w:tc>
        <w:tc>
          <w:tcPr>
            <w:tcW w:w="1163" w:type="dxa"/>
            <w:tcBorders>
              <w:top w:val="single" w:sz="8" w:space="0" w:color="448A99"/>
            </w:tcBorders>
            <w:shd w:val="clear" w:color="auto" w:fill="D2EAF1"/>
            <w:noWrap/>
            <w:vAlign w:val="center"/>
          </w:tcPr>
          <w:p w:rsidR="00A421A3" w:rsidRPr="003458B1" w:rsidRDefault="00A421A3" w:rsidP="004F0C61">
            <w:pPr>
              <w:jc w:val="center"/>
              <w:rPr>
                <w:color w:val="000000"/>
                <w:sz w:val="20"/>
                <w:szCs w:val="20"/>
              </w:rPr>
            </w:pPr>
            <w:r w:rsidRPr="003458B1">
              <w:rPr>
                <w:sz w:val="20"/>
                <w:szCs w:val="20"/>
              </w:rPr>
              <w:t>8.9%</w:t>
            </w:r>
          </w:p>
        </w:tc>
        <w:tc>
          <w:tcPr>
            <w:tcW w:w="1164" w:type="dxa"/>
            <w:tcBorders>
              <w:top w:val="single" w:sz="8" w:space="0" w:color="448A99"/>
            </w:tcBorders>
            <w:shd w:val="clear" w:color="auto" w:fill="D2EAF1"/>
            <w:noWrap/>
            <w:vAlign w:val="center"/>
          </w:tcPr>
          <w:p w:rsidR="00A421A3" w:rsidRPr="003458B1" w:rsidRDefault="00A421A3" w:rsidP="004F0C61">
            <w:pPr>
              <w:jc w:val="center"/>
              <w:rPr>
                <w:color w:val="000000"/>
                <w:sz w:val="20"/>
                <w:szCs w:val="20"/>
              </w:rPr>
            </w:pPr>
            <w:r w:rsidRPr="003458B1">
              <w:rPr>
                <w:sz w:val="20"/>
                <w:szCs w:val="20"/>
              </w:rPr>
              <w:t>8.9%</w:t>
            </w:r>
          </w:p>
        </w:tc>
      </w:tr>
      <w:tr w:rsidR="00E7173E" w:rsidRPr="003458B1" w:rsidTr="00FD4D90">
        <w:trPr>
          <w:trHeight w:val="301"/>
        </w:trPr>
        <w:tc>
          <w:tcPr>
            <w:tcW w:w="2313" w:type="dxa"/>
            <w:shd w:val="clear" w:color="auto" w:fill="auto"/>
            <w:vAlign w:val="center"/>
          </w:tcPr>
          <w:p w:rsidR="00A421A3" w:rsidRPr="003458B1" w:rsidRDefault="00A421A3" w:rsidP="004F0C61">
            <w:pPr>
              <w:jc w:val="left"/>
              <w:rPr>
                <w:color w:val="000000"/>
                <w:sz w:val="20"/>
                <w:szCs w:val="20"/>
              </w:rPr>
            </w:pPr>
            <w:r>
              <w:rPr>
                <w:bCs/>
                <w:sz w:val="20"/>
                <w:szCs w:val="20"/>
              </w:rPr>
              <w:t>Lighting – c</w:t>
            </w:r>
            <w:r w:rsidRPr="003458B1">
              <w:rPr>
                <w:bCs/>
                <w:sz w:val="20"/>
                <w:szCs w:val="20"/>
              </w:rPr>
              <w:t>ertainty</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164"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164"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FD4D90">
        <w:trPr>
          <w:trHeight w:val="301"/>
        </w:trPr>
        <w:tc>
          <w:tcPr>
            <w:tcW w:w="2313" w:type="dxa"/>
            <w:shd w:val="clear" w:color="auto" w:fill="D2EAF1"/>
            <w:vAlign w:val="center"/>
          </w:tcPr>
          <w:p w:rsidR="00A421A3" w:rsidRPr="003458B1" w:rsidRDefault="00A421A3" w:rsidP="004F0C61">
            <w:pPr>
              <w:jc w:val="left"/>
              <w:rPr>
                <w:color w:val="000000"/>
                <w:sz w:val="20"/>
                <w:szCs w:val="20"/>
              </w:rPr>
            </w:pPr>
            <w:r w:rsidRPr="003458B1">
              <w:rPr>
                <w:bCs/>
                <w:sz w:val="20"/>
                <w:szCs w:val="20"/>
              </w:rPr>
              <w:t>Li</w:t>
            </w:r>
            <w:r>
              <w:rPr>
                <w:bCs/>
                <w:sz w:val="20"/>
                <w:szCs w:val="20"/>
              </w:rPr>
              <w:t xml:space="preserve">ghting – </w:t>
            </w:r>
            <w:r w:rsidRPr="003458B1">
              <w:rPr>
                <w:bCs/>
                <w:sz w:val="20"/>
                <w:szCs w:val="20"/>
              </w:rPr>
              <w:t>2</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D2EAF1"/>
            <w:noWrap/>
            <w:vAlign w:val="center"/>
          </w:tcPr>
          <w:p w:rsidR="00A421A3" w:rsidRPr="003458B1" w:rsidRDefault="00A421A3" w:rsidP="004F0C61">
            <w:pPr>
              <w:jc w:val="center"/>
              <w:rPr>
                <w:b/>
                <w:bCs/>
                <w:color w:val="000000"/>
                <w:sz w:val="20"/>
                <w:szCs w:val="20"/>
              </w:rPr>
            </w:pPr>
            <w:r>
              <w:rPr>
                <w:sz w:val="20"/>
                <w:szCs w:val="20"/>
              </w:rPr>
              <w:t>N/A</w:t>
            </w:r>
          </w:p>
        </w:tc>
        <w:tc>
          <w:tcPr>
            <w:tcW w:w="1164"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164"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FD4D90">
        <w:trPr>
          <w:trHeight w:val="301"/>
        </w:trPr>
        <w:tc>
          <w:tcPr>
            <w:tcW w:w="2313" w:type="dxa"/>
            <w:shd w:val="clear" w:color="auto" w:fill="auto"/>
            <w:vAlign w:val="center"/>
          </w:tcPr>
          <w:p w:rsidR="00A421A3" w:rsidRPr="003458B1" w:rsidRDefault="00A421A3" w:rsidP="004F0C61">
            <w:pPr>
              <w:jc w:val="left"/>
              <w:rPr>
                <w:color w:val="000000"/>
                <w:sz w:val="20"/>
                <w:szCs w:val="20"/>
              </w:rPr>
            </w:pPr>
            <w:r>
              <w:rPr>
                <w:bCs/>
                <w:sz w:val="20"/>
                <w:szCs w:val="20"/>
              </w:rPr>
              <w:t xml:space="preserve">Lighting – </w:t>
            </w:r>
            <w:r w:rsidRPr="003458B1">
              <w:rPr>
                <w:bCs/>
                <w:sz w:val="20"/>
                <w:szCs w:val="20"/>
              </w:rPr>
              <w:t>3</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164"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164"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FD4D90">
        <w:trPr>
          <w:trHeight w:val="301"/>
        </w:trPr>
        <w:tc>
          <w:tcPr>
            <w:tcW w:w="2313" w:type="dxa"/>
            <w:shd w:val="clear" w:color="auto" w:fill="D2EAF1"/>
            <w:vAlign w:val="center"/>
          </w:tcPr>
          <w:p w:rsidR="00A421A3" w:rsidRPr="003458B1" w:rsidRDefault="00A421A3" w:rsidP="004F0C61">
            <w:pPr>
              <w:jc w:val="left"/>
              <w:rPr>
                <w:color w:val="000000"/>
                <w:sz w:val="20"/>
                <w:szCs w:val="20"/>
              </w:rPr>
            </w:pPr>
            <w:r>
              <w:rPr>
                <w:bCs/>
                <w:sz w:val="20"/>
                <w:szCs w:val="20"/>
              </w:rPr>
              <w:t xml:space="preserve">Lighting – </w:t>
            </w:r>
            <w:r w:rsidRPr="003458B1">
              <w:rPr>
                <w:bCs/>
                <w:sz w:val="20"/>
                <w:szCs w:val="20"/>
              </w:rPr>
              <w:t>4</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D2EAF1"/>
            <w:noWrap/>
            <w:vAlign w:val="center"/>
          </w:tcPr>
          <w:p w:rsidR="00A421A3" w:rsidRPr="003458B1" w:rsidRDefault="00A421A3" w:rsidP="004F0C61">
            <w:pPr>
              <w:jc w:val="center"/>
              <w:rPr>
                <w:b/>
                <w:bCs/>
                <w:color w:val="000000"/>
                <w:sz w:val="20"/>
                <w:szCs w:val="20"/>
              </w:rPr>
            </w:pPr>
            <w:r>
              <w:rPr>
                <w:sz w:val="20"/>
                <w:szCs w:val="20"/>
              </w:rPr>
              <w:t>N/A</w:t>
            </w:r>
          </w:p>
        </w:tc>
        <w:tc>
          <w:tcPr>
            <w:tcW w:w="1164"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164"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FD4D90">
        <w:trPr>
          <w:trHeight w:val="301"/>
        </w:trPr>
        <w:tc>
          <w:tcPr>
            <w:tcW w:w="2313" w:type="dxa"/>
            <w:shd w:val="clear" w:color="auto" w:fill="auto"/>
            <w:vAlign w:val="center"/>
          </w:tcPr>
          <w:p w:rsidR="00A421A3" w:rsidRPr="003458B1" w:rsidRDefault="00A421A3" w:rsidP="004F0C61">
            <w:pPr>
              <w:jc w:val="left"/>
              <w:rPr>
                <w:color w:val="000000"/>
                <w:sz w:val="20"/>
                <w:szCs w:val="20"/>
              </w:rPr>
            </w:pPr>
            <w:r>
              <w:rPr>
                <w:bCs/>
                <w:sz w:val="20"/>
                <w:szCs w:val="20"/>
              </w:rPr>
              <w:t>Custom – c</w:t>
            </w:r>
            <w:r w:rsidRPr="003458B1">
              <w:rPr>
                <w:bCs/>
                <w:sz w:val="20"/>
                <w:szCs w:val="20"/>
              </w:rPr>
              <w:t>ertainty</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164"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164"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FD4D90">
        <w:trPr>
          <w:trHeight w:val="301"/>
        </w:trPr>
        <w:tc>
          <w:tcPr>
            <w:tcW w:w="2313" w:type="dxa"/>
            <w:shd w:val="clear" w:color="auto" w:fill="D2EAF1"/>
            <w:vAlign w:val="center"/>
          </w:tcPr>
          <w:p w:rsidR="00A421A3" w:rsidRPr="003458B1" w:rsidRDefault="00A421A3" w:rsidP="004F0C61">
            <w:pPr>
              <w:jc w:val="left"/>
              <w:rPr>
                <w:color w:val="000000"/>
                <w:sz w:val="20"/>
                <w:szCs w:val="20"/>
              </w:rPr>
            </w:pPr>
            <w:r>
              <w:rPr>
                <w:bCs/>
                <w:sz w:val="20"/>
                <w:szCs w:val="20"/>
              </w:rPr>
              <w:lastRenderedPageBreak/>
              <w:t xml:space="preserve">Custom – </w:t>
            </w:r>
            <w:r w:rsidRPr="003458B1">
              <w:rPr>
                <w:bCs/>
                <w:sz w:val="20"/>
                <w:szCs w:val="20"/>
              </w:rPr>
              <w:t>2</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1</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164"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1</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1</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164"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FD4D90">
        <w:trPr>
          <w:trHeight w:val="301"/>
        </w:trPr>
        <w:tc>
          <w:tcPr>
            <w:tcW w:w="2313" w:type="dxa"/>
            <w:shd w:val="clear" w:color="auto" w:fill="auto"/>
            <w:vAlign w:val="center"/>
          </w:tcPr>
          <w:p w:rsidR="00A421A3" w:rsidRPr="003458B1" w:rsidRDefault="00A421A3" w:rsidP="004F0C61">
            <w:pPr>
              <w:jc w:val="left"/>
              <w:rPr>
                <w:color w:val="000000"/>
                <w:sz w:val="20"/>
                <w:szCs w:val="20"/>
              </w:rPr>
            </w:pPr>
            <w:r>
              <w:rPr>
                <w:bCs/>
                <w:sz w:val="20"/>
                <w:szCs w:val="20"/>
              </w:rPr>
              <w:t xml:space="preserve">Custom – </w:t>
            </w:r>
            <w:r w:rsidRPr="003458B1">
              <w:rPr>
                <w:bCs/>
                <w:sz w:val="20"/>
                <w:szCs w:val="20"/>
              </w:rPr>
              <w:t>3</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13</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36.5%</w:t>
            </w:r>
          </w:p>
        </w:tc>
        <w:tc>
          <w:tcPr>
            <w:tcW w:w="1164"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3</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3</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36.5%</w:t>
            </w:r>
          </w:p>
        </w:tc>
        <w:tc>
          <w:tcPr>
            <w:tcW w:w="1164"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36.5%</w:t>
            </w:r>
          </w:p>
        </w:tc>
      </w:tr>
      <w:tr w:rsidR="00A874AC" w:rsidRPr="003458B1" w:rsidTr="00FD4D90">
        <w:trPr>
          <w:trHeight w:val="301"/>
        </w:trPr>
        <w:tc>
          <w:tcPr>
            <w:tcW w:w="2313" w:type="dxa"/>
            <w:shd w:val="clear" w:color="auto" w:fill="D2EAF1"/>
            <w:vAlign w:val="center"/>
          </w:tcPr>
          <w:p w:rsidR="00A421A3" w:rsidRPr="003458B1" w:rsidRDefault="00A421A3" w:rsidP="004F0C61">
            <w:pPr>
              <w:jc w:val="left"/>
              <w:rPr>
                <w:color w:val="000000"/>
                <w:sz w:val="20"/>
                <w:szCs w:val="20"/>
              </w:rPr>
            </w:pPr>
            <w:r>
              <w:rPr>
                <w:bCs/>
                <w:sz w:val="20"/>
                <w:szCs w:val="20"/>
              </w:rPr>
              <w:t xml:space="preserve">HVAC and DHW – </w:t>
            </w:r>
            <w:r w:rsidRPr="003458B1">
              <w:rPr>
                <w:bCs/>
                <w:sz w:val="20"/>
                <w:szCs w:val="20"/>
              </w:rPr>
              <w:t>1</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D2EAF1"/>
            <w:noWrap/>
            <w:vAlign w:val="center"/>
          </w:tcPr>
          <w:p w:rsidR="00A421A3" w:rsidRPr="003458B1" w:rsidRDefault="00A421A3" w:rsidP="004F0C61">
            <w:pPr>
              <w:jc w:val="center"/>
              <w:rPr>
                <w:b/>
                <w:bCs/>
                <w:color w:val="000000"/>
                <w:sz w:val="20"/>
                <w:szCs w:val="20"/>
              </w:rPr>
            </w:pPr>
            <w:r>
              <w:rPr>
                <w:sz w:val="20"/>
                <w:szCs w:val="20"/>
              </w:rPr>
              <w:t>N/A</w:t>
            </w:r>
          </w:p>
        </w:tc>
        <w:tc>
          <w:tcPr>
            <w:tcW w:w="1164"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164"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FD4D90">
        <w:trPr>
          <w:trHeight w:val="301"/>
        </w:trPr>
        <w:tc>
          <w:tcPr>
            <w:tcW w:w="2313" w:type="dxa"/>
            <w:shd w:val="clear" w:color="auto" w:fill="auto"/>
            <w:vAlign w:val="center"/>
          </w:tcPr>
          <w:p w:rsidR="00A421A3" w:rsidRPr="003458B1" w:rsidRDefault="00A421A3" w:rsidP="004F0C61">
            <w:pPr>
              <w:jc w:val="left"/>
              <w:rPr>
                <w:color w:val="000000"/>
                <w:sz w:val="20"/>
                <w:szCs w:val="20"/>
              </w:rPr>
            </w:pPr>
            <w:r>
              <w:rPr>
                <w:bCs/>
                <w:sz w:val="20"/>
                <w:szCs w:val="20"/>
              </w:rPr>
              <w:t xml:space="preserve">HVAC and DHW – </w:t>
            </w:r>
            <w:r w:rsidRPr="003458B1">
              <w:rPr>
                <w:bCs/>
                <w:sz w:val="20"/>
                <w:szCs w:val="20"/>
              </w:rPr>
              <w:t>2</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164"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164"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FD4D90">
        <w:trPr>
          <w:trHeight w:val="301"/>
        </w:trPr>
        <w:tc>
          <w:tcPr>
            <w:tcW w:w="2313" w:type="dxa"/>
            <w:shd w:val="clear" w:color="auto" w:fill="D2EAF1"/>
            <w:vAlign w:val="center"/>
          </w:tcPr>
          <w:p w:rsidR="00A421A3" w:rsidRPr="003458B1" w:rsidRDefault="00A421A3" w:rsidP="004F0C61">
            <w:pPr>
              <w:jc w:val="left"/>
              <w:rPr>
                <w:color w:val="000000"/>
                <w:sz w:val="20"/>
                <w:szCs w:val="20"/>
              </w:rPr>
            </w:pPr>
            <w:r>
              <w:rPr>
                <w:bCs/>
                <w:sz w:val="20"/>
                <w:szCs w:val="20"/>
              </w:rPr>
              <w:t xml:space="preserve">Appliance Turn-In – </w:t>
            </w:r>
            <w:r w:rsidRPr="003458B1">
              <w:rPr>
                <w:bCs/>
                <w:sz w:val="20"/>
                <w:szCs w:val="20"/>
              </w:rPr>
              <w:t>1</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D2EAF1"/>
            <w:noWrap/>
            <w:vAlign w:val="center"/>
          </w:tcPr>
          <w:p w:rsidR="00A421A3" w:rsidRPr="003458B1" w:rsidRDefault="00A421A3" w:rsidP="004F0C61">
            <w:pPr>
              <w:jc w:val="center"/>
              <w:rPr>
                <w:b/>
                <w:bCs/>
                <w:color w:val="000000"/>
                <w:sz w:val="20"/>
                <w:szCs w:val="20"/>
              </w:rPr>
            </w:pPr>
            <w:r>
              <w:rPr>
                <w:sz w:val="20"/>
                <w:szCs w:val="20"/>
              </w:rPr>
              <w:t>N/A</w:t>
            </w:r>
          </w:p>
        </w:tc>
        <w:tc>
          <w:tcPr>
            <w:tcW w:w="1164"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164"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FD4D90">
        <w:trPr>
          <w:trHeight w:val="301"/>
        </w:trPr>
        <w:tc>
          <w:tcPr>
            <w:tcW w:w="2313" w:type="dxa"/>
            <w:shd w:val="clear" w:color="auto" w:fill="auto"/>
            <w:vAlign w:val="center"/>
          </w:tcPr>
          <w:p w:rsidR="00A421A3" w:rsidRPr="003458B1" w:rsidRDefault="00A421A3" w:rsidP="004F0C61">
            <w:pPr>
              <w:jc w:val="left"/>
              <w:rPr>
                <w:color w:val="000000"/>
                <w:sz w:val="20"/>
                <w:szCs w:val="20"/>
              </w:rPr>
            </w:pPr>
            <w:r>
              <w:rPr>
                <w:bCs/>
                <w:sz w:val="20"/>
                <w:szCs w:val="20"/>
              </w:rPr>
              <w:t xml:space="preserve">Kitchen/appliances – </w:t>
            </w:r>
            <w:r w:rsidRPr="003458B1">
              <w:rPr>
                <w:bCs/>
                <w:sz w:val="20"/>
                <w:szCs w:val="20"/>
              </w:rPr>
              <w:t>1</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164"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16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164"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FD4D90">
        <w:trPr>
          <w:trHeight w:val="301"/>
        </w:trPr>
        <w:tc>
          <w:tcPr>
            <w:tcW w:w="2313" w:type="dxa"/>
            <w:shd w:val="clear" w:color="auto" w:fill="D2EAF1"/>
            <w:vAlign w:val="center"/>
          </w:tcPr>
          <w:p w:rsidR="00A421A3" w:rsidRPr="003458B1" w:rsidRDefault="00A421A3" w:rsidP="004F0C61">
            <w:pPr>
              <w:jc w:val="left"/>
              <w:rPr>
                <w:b/>
                <w:color w:val="000000"/>
                <w:sz w:val="20"/>
                <w:szCs w:val="20"/>
              </w:rPr>
            </w:pPr>
            <w:r w:rsidRPr="003458B1">
              <w:rPr>
                <w:b/>
                <w:bCs/>
                <w:sz w:val="20"/>
                <w:szCs w:val="20"/>
              </w:rPr>
              <w:t>Program Total</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b/>
                <w:sz w:val="20"/>
                <w:szCs w:val="20"/>
              </w:rPr>
              <w:t>3,948</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b/>
                <w:sz w:val="20"/>
                <w:szCs w:val="20"/>
              </w:rPr>
              <w:t>10.4%</w:t>
            </w:r>
          </w:p>
        </w:tc>
        <w:tc>
          <w:tcPr>
            <w:tcW w:w="1164" w:type="dxa"/>
            <w:shd w:val="clear" w:color="auto" w:fill="D2EAF1"/>
            <w:noWrap/>
            <w:vAlign w:val="center"/>
          </w:tcPr>
          <w:p w:rsidR="00A421A3" w:rsidRPr="003458B1" w:rsidRDefault="00A421A3" w:rsidP="004F0C61">
            <w:pPr>
              <w:jc w:val="center"/>
              <w:rPr>
                <w:b/>
                <w:bCs/>
                <w:color w:val="000000"/>
                <w:sz w:val="20"/>
                <w:szCs w:val="20"/>
              </w:rPr>
            </w:pPr>
            <w:r w:rsidRPr="003458B1">
              <w:rPr>
                <w:b/>
                <w:sz w:val="20"/>
                <w:szCs w:val="20"/>
              </w:rPr>
              <w:t>44</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b/>
                <w:sz w:val="20"/>
                <w:szCs w:val="20"/>
              </w:rPr>
              <w:t>69</w:t>
            </w:r>
          </w:p>
        </w:tc>
        <w:tc>
          <w:tcPr>
            <w:tcW w:w="1163" w:type="dxa"/>
            <w:shd w:val="clear" w:color="auto" w:fill="D2EAF1"/>
            <w:noWrap/>
            <w:vAlign w:val="center"/>
          </w:tcPr>
          <w:p w:rsidR="00A421A3" w:rsidRPr="003458B1" w:rsidRDefault="00A421A3" w:rsidP="004F0C61">
            <w:pPr>
              <w:jc w:val="center"/>
              <w:rPr>
                <w:b/>
                <w:bCs/>
                <w:color w:val="000000"/>
                <w:sz w:val="20"/>
                <w:szCs w:val="20"/>
              </w:rPr>
            </w:pPr>
            <w:r w:rsidRPr="003458B1">
              <w:rPr>
                <w:b/>
                <w:sz w:val="20"/>
                <w:szCs w:val="20"/>
              </w:rPr>
              <w:t>8.9%</w:t>
            </w:r>
          </w:p>
        </w:tc>
        <w:tc>
          <w:tcPr>
            <w:tcW w:w="1164" w:type="dxa"/>
            <w:shd w:val="clear" w:color="auto" w:fill="D2EAF1"/>
            <w:noWrap/>
            <w:vAlign w:val="center"/>
          </w:tcPr>
          <w:p w:rsidR="00A421A3" w:rsidRPr="003458B1" w:rsidRDefault="00A421A3" w:rsidP="004F0C61">
            <w:pPr>
              <w:jc w:val="center"/>
              <w:rPr>
                <w:b/>
                <w:bCs/>
                <w:color w:val="000000"/>
                <w:sz w:val="20"/>
                <w:szCs w:val="20"/>
              </w:rPr>
            </w:pPr>
            <w:r w:rsidRPr="003458B1">
              <w:rPr>
                <w:b/>
                <w:sz w:val="20"/>
                <w:szCs w:val="20"/>
              </w:rPr>
              <w:t>8.5%</w:t>
            </w:r>
          </w:p>
        </w:tc>
      </w:tr>
    </w:tbl>
    <w:p w:rsidR="00A421A3" w:rsidRPr="003458B1" w:rsidRDefault="00A421A3" w:rsidP="00A421A3"/>
    <w:p w:rsidR="00A421A3" w:rsidRPr="003458B1" w:rsidRDefault="00A421A3" w:rsidP="00A421A3">
      <w:pPr>
        <w:pStyle w:val="AppendixAHeading5"/>
      </w:pPr>
      <w:r w:rsidRPr="003458B1">
        <w:t>Large C/I Energy Efficient Equipment Program</w:t>
      </w:r>
    </w:p>
    <w:p w:rsidR="00A421A3" w:rsidRPr="003458B1" w:rsidRDefault="00A421A3" w:rsidP="00A421A3">
      <w:r w:rsidRPr="003458B1">
        <w:t xml:space="preserve">In PY7 this program consisted mostly of equipment upgrades and custom at industrial facilities. The evaluation contractor used stratified ratio estimation to estimate savings for the program and stratified random sampling for sample design. All lighting projects that were expected to have more than 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was stratified based on energy savings at the measure level. The Cv used in the sample design was 0.5 for all projects. The detailed sampling strategy for this program in PY7 and the achieved precision values for each stratum are presented in </w:t>
      </w:r>
      <w:r w:rsidRPr="003458B1">
        <w:fldChar w:fldCharType="begin"/>
      </w:r>
      <w:r w:rsidRPr="003458B1">
        <w:instrText xml:space="preserve"> REF _Ref433898312 \h  \* MERGEFORMAT </w:instrText>
      </w:r>
      <w:r w:rsidRPr="003458B1">
        <w:fldChar w:fldCharType="separate"/>
      </w:r>
      <w:r w:rsidR="00A874AC" w:rsidRPr="00A874AC">
        <w:rPr>
          <w:bCs/>
        </w:rPr>
        <w:t>Table A-62</w:t>
      </w:r>
      <w:r w:rsidRPr="003458B1">
        <w:fldChar w:fldCharType="end"/>
      </w:r>
      <w:r w:rsidRPr="003458B1">
        <w:t>. The data show that Penelec met the SWE Team requirements of 85%/15% confidence</w:t>
      </w:r>
      <w:r>
        <w:t>/</w:t>
      </w:r>
      <w:r w:rsidRPr="003458B1">
        <w:t>precision for energy and peak demand for this program.</w:t>
      </w:r>
    </w:p>
    <w:p w:rsidR="00A421A3" w:rsidRPr="003458B1" w:rsidRDefault="00A421A3" w:rsidP="00A421A3"/>
    <w:p w:rsidR="00A421A3" w:rsidRPr="003458B1" w:rsidRDefault="00A421A3" w:rsidP="00A421A3">
      <w:pPr>
        <w:spacing w:after="120"/>
        <w:jc w:val="center"/>
        <w:rPr>
          <w:rFonts w:ascii="Century Gothic" w:hAnsi="Century Gothic"/>
          <w:b/>
          <w:bCs/>
          <w:sz w:val="18"/>
          <w:szCs w:val="18"/>
        </w:rPr>
      </w:pPr>
      <w:bookmarkStart w:id="860" w:name="_Ref433898312"/>
      <w:bookmarkStart w:id="861" w:name="_Toc410199424"/>
      <w:bookmarkStart w:id="862" w:name="_Toc431462344"/>
      <w:bookmarkStart w:id="863" w:name="_Toc444269866"/>
      <w:bookmarkStart w:id="864" w:name="_Toc472472471"/>
      <w:bookmarkStart w:id="865" w:name="_Toc476842177"/>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62</w:t>
      </w:r>
      <w:r w:rsidRPr="003458B1">
        <w:rPr>
          <w:rFonts w:ascii="Century Gothic" w:hAnsi="Century Gothic"/>
          <w:b/>
          <w:bCs/>
          <w:sz w:val="18"/>
          <w:szCs w:val="18"/>
        </w:rPr>
        <w:fldChar w:fldCharType="end"/>
      </w:r>
      <w:bookmarkEnd w:id="860"/>
      <w:r w:rsidRPr="003458B1">
        <w:rPr>
          <w:rFonts w:ascii="Century Gothic" w:hAnsi="Century Gothic"/>
          <w:b/>
          <w:bCs/>
          <w:sz w:val="18"/>
          <w:szCs w:val="18"/>
        </w:rPr>
        <w:t>: Penelec’s PY7 Sampling Strategy and Relative Precision – Large C/I Energy Efficient Equipment Program</w:t>
      </w:r>
      <w:bookmarkEnd w:id="861"/>
      <w:bookmarkEnd w:id="862"/>
      <w:bookmarkEnd w:id="863"/>
      <w:bookmarkEnd w:id="864"/>
      <w:bookmarkEnd w:id="865"/>
    </w:p>
    <w:tbl>
      <w:tblPr>
        <w:tblW w:w="9270" w:type="dxa"/>
        <w:tblInd w:w="-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80"/>
        <w:gridCol w:w="1215"/>
        <w:gridCol w:w="1215"/>
        <w:gridCol w:w="1215"/>
        <w:gridCol w:w="1215"/>
        <w:gridCol w:w="1215"/>
        <w:gridCol w:w="1215"/>
      </w:tblGrid>
      <w:tr w:rsidR="00A874AC" w:rsidRPr="003458B1" w:rsidTr="0014308C">
        <w:trPr>
          <w:trHeight w:val="1025"/>
          <w:tblHeader/>
        </w:trPr>
        <w:tc>
          <w:tcPr>
            <w:tcW w:w="1980" w:type="dxa"/>
            <w:shd w:val="clear" w:color="000000" w:fill="448A99"/>
            <w:vAlign w:val="bottom"/>
            <w:hideMark/>
          </w:tcPr>
          <w:p w:rsidR="00A421A3" w:rsidRPr="003458B1" w:rsidRDefault="00A421A3" w:rsidP="004F0C61">
            <w:pPr>
              <w:rPr>
                <w:b/>
                <w:bCs/>
                <w:color w:val="FFFFFF"/>
                <w:sz w:val="20"/>
                <w:szCs w:val="20"/>
              </w:rPr>
            </w:pPr>
            <w:r w:rsidRPr="003458B1">
              <w:rPr>
                <w:b/>
                <w:bCs/>
                <w:color w:val="FFFFFF"/>
                <w:sz w:val="20"/>
                <w:szCs w:val="20"/>
              </w:rPr>
              <w:t>Stratum</w:t>
            </w:r>
          </w:p>
        </w:tc>
        <w:tc>
          <w:tcPr>
            <w:tcW w:w="1215"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Population</w:t>
            </w:r>
          </w:p>
        </w:tc>
        <w:tc>
          <w:tcPr>
            <w:tcW w:w="1215"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Target Levels of Confidence &amp; Precision</w:t>
            </w:r>
          </w:p>
        </w:tc>
        <w:tc>
          <w:tcPr>
            <w:tcW w:w="1215"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Target Sample Size</w:t>
            </w:r>
          </w:p>
        </w:tc>
        <w:tc>
          <w:tcPr>
            <w:tcW w:w="1215"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Achieved Sample Size</w:t>
            </w:r>
          </w:p>
        </w:tc>
        <w:tc>
          <w:tcPr>
            <w:tcW w:w="1215"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Relative Precision at 85% C.L. for Energy</w:t>
            </w:r>
          </w:p>
        </w:tc>
        <w:tc>
          <w:tcPr>
            <w:tcW w:w="1215"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14308C">
        <w:trPr>
          <w:trHeight w:val="346"/>
        </w:trPr>
        <w:tc>
          <w:tcPr>
            <w:tcW w:w="1980" w:type="dxa"/>
            <w:shd w:val="clear" w:color="000000" w:fill="D2EAF1"/>
            <w:noWrap/>
            <w:vAlign w:val="center"/>
          </w:tcPr>
          <w:p w:rsidR="00A421A3" w:rsidRPr="003458B1" w:rsidRDefault="00A421A3" w:rsidP="004F0C61">
            <w:pPr>
              <w:rPr>
                <w:bCs/>
                <w:color w:val="000000"/>
                <w:sz w:val="20"/>
                <w:szCs w:val="20"/>
              </w:rPr>
            </w:pPr>
            <w:r>
              <w:rPr>
                <w:sz w:val="20"/>
                <w:szCs w:val="20"/>
              </w:rPr>
              <w:t xml:space="preserve">CFL kits – </w:t>
            </w:r>
            <w:r w:rsidRPr="003458B1">
              <w:rPr>
                <w:sz w:val="20"/>
                <w:szCs w:val="20"/>
              </w:rPr>
              <w:t>1</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w:t>
            </w:r>
          </w:p>
        </w:tc>
        <w:tc>
          <w:tcPr>
            <w:tcW w:w="1215" w:type="dxa"/>
            <w:shd w:val="clear" w:color="000000" w:fill="D2EAF1"/>
            <w:noWrap/>
            <w:vAlign w:val="center"/>
          </w:tcPr>
          <w:p w:rsidR="00A421A3" w:rsidRPr="003458B1" w:rsidRDefault="00A421A3" w:rsidP="004F0C61">
            <w:pPr>
              <w:jc w:val="center"/>
              <w:rPr>
                <w:color w:val="000000"/>
                <w:sz w:val="20"/>
                <w:szCs w:val="20"/>
              </w:rPr>
            </w:pPr>
            <w:r>
              <w:rPr>
                <w:sz w:val="20"/>
                <w:szCs w:val="20"/>
              </w:rPr>
              <w:t>N/A</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100.0%</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100.0%</w:t>
            </w:r>
          </w:p>
        </w:tc>
      </w:tr>
      <w:tr w:rsidR="00E7173E" w:rsidRPr="003458B1" w:rsidTr="0081757B">
        <w:trPr>
          <w:trHeight w:val="346"/>
        </w:trPr>
        <w:tc>
          <w:tcPr>
            <w:tcW w:w="1980" w:type="dxa"/>
            <w:shd w:val="clear" w:color="auto" w:fill="auto"/>
            <w:noWrap/>
            <w:vAlign w:val="center"/>
          </w:tcPr>
          <w:p w:rsidR="00A421A3" w:rsidRPr="003458B1" w:rsidRDefault="00A421A3" w:rsidP="004F0C61">
            <w:pPr>
              <w:rPr>
                <w:bCs/>
                <w:color w:val="000000"/>
                <w:sz w:val="20"/>
                <w:szCs w:val="20"/>
              </w:rPr>
            </w:pPr>
            <w:r>
              <w:rPr>
                <w:sz w:val="20"/>
                <w:szCs w:val="20"/>
              </w:rPr>
              <w:t>Lighting – c</w:t>
            </w:r>
            <w:r w:rsidRPr="003458B1">
              <w:rPr>
                <w:sz w:val="20"/>
                <w:szCs w:val="20"/>
              </w:rPr>
              <w:t>ertainty</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4</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0.0%</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4</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4</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0.0%</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0.0%</w:t>
            </w:r>
          </w:p>
        </w:tc>
      </w:tr>
      <w:tr w:rsidR="00A874AC" w:rsidRPr="003458B1" w:rsidTr="0014308C">
        <w:trPr>
          <w:trHeight w:val="346"/>
        </w:trPr>
        <w:tc>
          <w:tcPr>
            <w:tcW w:w="1980" w:type="dxa"/>
            <w:shd w:val="clear" w:color="000000" w:fill="D2EAF1"/>
            <w:noWrap/>
            <w:vAlign w:val="center"/>
          </w:tcPr>
          <w:p w:rsidR="00A421A3" w:rsidRPr="003458B1" w:rsidRDefault="00A421A3" w:rsidP="004F0C61">
            <w:pPr>
              <w:rPr>
                <w:bCs/>
                <w:color w:val="000000"/>
                <w:sz w:val="20"/>
                <w:szCs w:val="20"/>
              </w:rPr>
            </w:pPr>
            <w:r>
              <w:rPr>
                <w:sz w:val="20"/>
                <w:szCs w:val="20"/>
              </w:rPr>
              <w:t xml:space="preserve">Lighting – </w:t>
            </w:r>
            <w:r w:rsidRPr="003458B1">
              <w:rPr>
                <w:sz w:val="20"/>
                <w:szCs w:val="20"/>
              </w:rPr>
              <w:t>2</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5</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64.4%</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1</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1</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64.4%</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64.4%</w:t>
            </w:r>
          </w:p>
        </w:tc>
      </w:tr>
      <w:tr w:rsidR="00E7173E" w:rsidRPr="003458B1" w:rsidTr="0081757B">
        <w:trPr>
          <w:trHeight w:val="346"/>
        </w:trPr>
        <w:tc>
          <w:tcPr>
            <w:tcW w:w="1980" w:type="dxa"/>
            <w:shd w:val="clear" w:color="auto" w:fill="auto"/>
            <w:noWrap/>
            <w:vAlign w:val="center"/>
          </w:tcPr>
          <w:p w:rsidR="00A421A3" w:rsidRPr="003458B1" w:rsidRDefault="00A421A3" w:rsidP="004F0C61">
            <w:pPr>
              <w:rPr>
                <w:bCs/>
                <w:color w:val="000000"/>
                <w:sz w:val="20"/>
                <w:szCs w:val="20"/>
              </w:rPr>
            </w:pPr>
            <w:r>
              <w:rPr>
                <w:sz w:val="20"/>
                <w:szCs w:val="20"/>
              </w:rPr>
              <w:t xml:space="preserve">Lighting – </w:t>
            </w:r>
            <w:r w:rsidRPr="003458B1">
              <w:rPr>
                <w:sz w:val="20"/>
                <w:szCs w:val="20"/>
              </w:rPr>
              <w:t>3</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17</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47.8%</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2</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2</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47.8%</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47.8%</w:t>
            </w:r>
          </w:p>
        </w:tc>
      </w:tr>
      <w:tr w:rsidR="00A874AC" w:rsidRPr="003458B1" w:rsidTr="0014308C">
        <w:trPr>
          <w:trHeight w:val="346"/>
        </w:trPr>
        <w:tc>
          <w:tcPr>
            <w:tcW w:w="1980" w:type="dxa"/>
            <w:shd w:val="clear" w:color="000000" w:fill="D2EAF1"/>
            <w:noWrap/>
            <w:vAlign w:val="center"/>
          </w:tcPr>
          <w:p w:rsidR="00A421A3" w:rsidRPr="003458B1" w:rsidRDefault="00A421A3" w:rsidP="004F0C61">
            <w:pPr>
              <w:rPr>
                <w:bCs/>
                <w:color w:val="000000"/>
                <w:sz w:val="20"/>
                <w:szCs w:val="20"/>
              </w:rPr>
            </w:pPr>
            <w:r>
              <w:rPr>
                <w:sz w:val="20"/>
                <w:szCs w:val="20"/>
              </w:rPr>
              <w:t xml:space="preserve">Lighting – </w:t>
            </w:r>
            <w:r w:rsidRPr="003458B1">
              <w:rPr>
                <w:sz w:val="20"/>
                <w:szCs w:val="20"/>
              </w:rPr>
              <w:t>4</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92</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35.2%</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4</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4</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35.2%</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35.2%</w:t>
            </w:r>
          </w:p>
        </w:tc>
      </w:tr>
      <w:tr w:rsidR="00E7173E" w:rsidRPr="003458B1" w:rsidTr="0081757B">
        <w:trPr>
          <w:trHeight w:val="346"/>
        </w:trPr>
        <w:tc>
          <w:tcPr>
            <w:tcW w:w="1980" w:type="dxa"/>
            <w:shd w:val="clear" w:color="auto" w:fill="auto"/>
            <w:noWrap/>
            <w:vAlign w:val="center"/>
          </w:tcPr>
          <w:p w:rsidR="00A421A3" w:rsidRPr="003458B1" w:rsidRDefault="00A421A3" w:rsidP="004F0C61">
            <w:pPr>
              <w:rPr>
                <w:bCs/>
                <w:color w:val="000000"/>
                <w:sz w:val="20"/>
                <w:szCs w:val="20"/>
              </w:rPr>
            </w:pPr>
            <w:r>
              <w:rPr>
                <w:sz w:val="20"/>
                <w:szCs w:val="20"/>
              </w:rPr>
              <w:t>Custom – c</w:t>
            </w:r>
            <w:r w:rsidRPr="003458B1">
              <w:rPr>
                <w:sz w:val="20"/>
                <w:szCs w:val="20"/>
              </w:rPr>
              <w:t>ertainty</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7</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0.0%</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7</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5</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17.2%</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17.2%</w:t>
            </w:r>
          </w:p>
        </w:tc>
      </w:tr>
      <w:tr w:rsidR="00A874AC" w:rsidRPr="003458B1" w:rsidTr="0014308C">
        <w:trPr>
          <w:trHeight w:val="346"/>
        </w:trPr>
        <w:tc>
          <w:tcPr>
            <w:tcW w:w="1980" w:type="dxa"/>
            <w:shd w:val="clear" w:color="000000" w:fill="D2EAF1"/>
            <w:noWrap/>
            <w:vAlign w:val="center"/>
          </w:tcPr>
          <w:p w:rsidR="00A421A3" w:rsidRPr="003458B1" w:rsidRDefault="00A421A3" w:rsidP="004F0C61">
            <w:pPr>
              <w:rPr>
                <w:bCs/>
                <w:color w:val="000000"/>
                <w:sz w:val="20"/>
                <w:szCs w:val="20"/>
              </w:rPr>
            </w:pPr>
            <w:r w:rsidRPr="003458B1">
              <w:rPr>
                <w:sz w:val="20"/>
                <w:szCs w:val="20"/>
              </w:rPr>
              <w:t>Custom-</w:t>
            </w:r>
            <w:r>
              <w:rPr>
                <w:sz w:val="20"/>
                <w:szCs w:val="20"/>
              </w:rPr>
              <w:t xml:space="preserve"> – </w:t>
            </w:r>
            <w:r w:rsidRPr="003458B1">
              <w:rPr>
                <w:sz w:val="20"/>
                <w:szCs w:val="20"/>
              </w:rPr>
              <w:t>2</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11</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68.6%</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1</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1</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68.6%</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68.6%</w:t>
            </w:r>
          </w:p>
        </w:tc>
      </w:tr>
      <w:tr w:rsidR="00E7173E" w:rsidRPr="003458B1" w:rsidTr="0081757B">
        <w:trPr>
          <w:trHeight w:val="346"/>
        </w:trPr>
        <w:tc>
          <w:tcPr>
            <w:tcW w:w="1980" w:type="dxa"/>
            <w:shd w:val="clear" w:color="auto" w:fill="auto"/>
            <w:noWrap/>
            <w:vAlign w:val="center"/>
          </w:tcPr>
          <w:p w:rsidR="00A421A3" w:rsidRPr="003458B1" w:rsidRDefault="00A421A3" w:rsidP="004F0C61">
            <w:pPr>
              <w:rPr>
                <w:bCs/>
                <w:color w:val="000000"/>
                <w:sz w:val="20"/>
                <w:szCs w:val="20"/>
              </w:rPr>
            </w:pPr>
            <w:r>
              <w:rPr>
                <w:sz w:val="20"/>
                <w:szCs w:val="20"/>
              </w:rPr>
              <w:t xml:space="preserve">Custom – </w:t>
            </w:r>
            <w:r w:rsidRPr="003458B1">
              <w:rPr>
                <w:sz w:val="20"/>
                <w:szCs w:val="20"/>
              </w:rPr>
              <w:t>3</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23</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38.8%</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3</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3</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38.8%</w:t>
            </w:r>
          </w:p>
        </w:tc>
        <w:tc>
          <w:tcPr>
            <w:tcW w:w="1215"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38.8%</w:t>
            </w:r>
          </w:p>
        </w:tc>
      </w:tr>
      <w:tr w:rsidR="00A874AC" w:rsidRPr="003458B1" w:rsidTr="0014308C">
        <w:trPr>
          <w:trHeight w:val="346"/>
        </w:trPr>
        <w:tc>
          <w:tcPr>
            <w:tcW w:w="1980" w:type="dxa"/>
            <w:shd w:val="clear" w:color="000000" w:fill="D2EAF1"/>
            <w:noWrap/>
            <w:vAlign w:val="center"/>
          </w:tcPr>
          <w:p w:rsidR="00A421A3" w:rsidRPr="003458B1" w:rsidRDefault="00A421A3" w:rsidP="004F0C61">
            <w:pPr>
              <w:rPr>
                <w:b/>
                <w:bCs/>
                <w:iCs/>
                <w:color w:val="000000"/>
                <w:sz w:val="20"/>
                <w:szCs w:val="20"/>
              </w:rPr>
            </w:pPr>
            <w:r>
              <w:rPr>
                <w:sz w:val="20"/>
                <w:szCs w:val="20"/>
              </w:rPr>
              <w:t xml:space="preserve">HVAC and DHW – </w:t>
            </w:r>
            <w:r w:rsidRPr="003458B1">
              <w:rPr>
                <w:sz w:val="20"/>
                <w:szCs w:val="20"/>
              </w:rPr>
              <w:t>1</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3</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58.8%</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1</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1</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58.8%</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58.8%</w:t>
            </w:r>
          </w:p>
        </w:tc>
      </w:tr>
      <w:tr w:rsidR="00E7173E" w:rsidRPr="003458B1" w:rsidTr="0081757B">
        <w:trPr>
          <w:trHeight w:val="346"/>
        </w:trPr>
        <w:tc>
          <w:tcPr>
            <w:tcW w:w="1980" w:type="dxa"/>
            <w:shd w:val="clear" w:color="auto" w:fill="auto"/>
            <w:noWrap/>
            <w:vAlign w:val="center"/>
          </w:tcPr>
          <w:p w:rsidR="00A421A3" w:rsidRPr="003458B1" w:rsidRDefault="00A421A3" w:rsidP="004F0C61">
            <w:pPr>
              <w:rPr>
                <w:sz w:val="20"/>
                <w:szCs w:val="20"/>
              </w:rPr>
            </w:pPr>
            <w:r>
              <w:rPr>
                <w:sz w:val="20"/>
                <w:szCs w:val="20"/>
              </w:rPr>
              <w:t xml:space="preserve">HVAC and DHW – </w:t>
            </w:r>
            <w:r w:rsidRPr="003458B1">
              <w:rPr>
                <w:sz w:val="20"/>
                <w:szCs w:val="20"/>
              </w:rPr>
              <w:t>2</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14308C">
        <w:trPr>
          <w:trHeight w:val="346"/>
        </w:trPr>
        <w:tc>
          <w:tcPr>
            <w:tcW w:w="1980" w:type="dxa"/>
            <w:shd w:val="clear" w:color="000000" w:fill="D2EAF1"/>
            <w:noWrap/>
            <w:vAlign w:val="center"/>
          </w:tcPr>
          <w:p w:rsidR="00A421A3" w:rsidRPr="003458B1" w:rsidRDefault="00A421A3" w:rsidP="004F0C61">
            <w:pPr>
              <w:rPr>
                <w:sz w:val="20"/>
                <w:szCs w:val="20"/>
              </w:rPr>
            </w:pPr>
            <w:r>
              <w:rPr>
                <w:sz w:val="20"/>
                <w:szCs w:val="20"/>
              </w:rPr>
              <w:t xml:space="preserve">Appliance Turn-In – </w:t>
            </w:r>
            <w:r w:rsidRPr="003458B1">
              <w:rPr>
                <w:sz w:val="20"/>
                <w:szCs w:val="20"/>
              </w:rPr>
              <w:t>1</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000000" w:fill="D2EAF1"/>
            <w:noWrap/>
            <w:vAlign w:val="center"/>
          </w:tcPr>
          <w:p w:rsidR="00A421A3" w:rsidRPr="003458B1" w:rsidRDefault="00A421A3" w:rsidP="004F0C61">
            <w:pPr>
              <w:jc w:val="center"/>
              <w:rPr>
                <w:b/>
                <w:bCs/>
                <w:color w:val="000000"/>
                <w:sz w:val="20"/>
                <w:szCs w:val="20"/>
              </w:rPr>
            </w:pPr>
            <w:r>
              <w:rPr>
                <w:sz w:val="20"/>
                <w:szCs w:val="20"/>
              </w:rPr>
              <w:t>N/A</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81757B">
        <w:trPr>
          <w:trHeight w:val="346"/>
        </w:trPr>
        <w:tc>
          <w:tcPr>
            <w:tcW w:w="1980" w:type="dxa"/>
            <w:shd w:val="clear" w:color="auto" w:fill="auto"/>
            <w:noWrap/>
            <w:vAlign w:val="center"/>
          </w:tcPr>
          <w:p w:rsidR="00A421A3" w:rsidRPr="003458B1" w:rsidRDefault="00A421A3" w:rsidP="004F0C61">
            <w:pPr>
              <w:rPr>
                <w:sz w:val="20"/>
                <w:szCs w:val="20"/>
              </w:rPr>
            </w:pPr>
            <w:r>
              <w:rPr>
                <w:sz w:val="20"/>
                <w:szCs w:val="20"/>
              </w:rPr>
              <w:lastRenderedPageBreak/>
              <w:t xml:space="preserve">Kitchen/appliances – </w:t>
            </w:r>
            <w:r w:rsidRPr="003458B1">
              <w:rPr>
                <w:sz w:val="20"/>
                <w:szCs w:val="20"/>
              </w:rPr>
              <w:t>1</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14308C">
        <w:trPr>
          <w:trHeight w:val="346"/>
        </w:trPr>
        <w:tc>
          <w:tcPr>
            <w:tcW w:w="1980" w:type="dxa"/>
            <w:shd w:val="clear" w:color="000000" w:fill="D2EAF1"/>
            <w:noWrap/>
            <w:vAlign w:val="center"/>
          </w:tcPr>
          <w:p w:rsidR="00A421A3" w:rsidRPr="003458B1" w:rsidRDefault="00A421A3" w:rsidP="004F0C61">
            <w:pPr>
              <w:rPr>
                <w:sz w:val="20"/>
                <w:szCs w:val="20"/>
              </w:rPr>
            </w:pPr>
            <w:r w:rsidRPr="003458B1">
              <w:rPr>
                <w:b/>
                <w:sz w:val="20"/>
                <w:szCs w:val="20"/>
              </w:rPr>
              <w:t>Program Total</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162</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11.4%</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23</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21</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12.9%</w:t>
            </w:r>
          </w:p>
        </w:tc>
        <w:tc>
          <w:tcPr>
            <w:tcW w:w="1215"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12.9%</w:t>
            </w:r>
          </w:p>
        </w:tc>
      </w:tr>
    </w:tbl>
    <w:p w:rsidR="00A421A3" w:rsidRPr="003458B1" w:rsidRDefault="00A421A3" w:rsidP="00A421A3"/>
    <w:p w:rsidR="00A421A3" w:rsidRPr="003458B1" w:rsidRDefault="00A421A3" w:rsidP="00A421A3">
      <w:pPr>
        <w:pStyle w:val="AppendixAHeading5"/>
      </w:pPr>
      <w:r w:rsidRPr="003458B1">
        <w:t>Large C/I Energy Efficient Buildings Program</w:t>
      </w:r>
    </w:p>
    <w:p w:rsidR="00A421A3" w:rsidRPr="003458B1" w:rsidRDefault="00A421A3" w:rsidP="00A421A3">
      <w:r w:rsidRPr="00192FEC">
        <w:t>This was a new program</w:t>
      </w:r>
      <w:r w:rsidRPr="003458B1">
        <w:t xml:space="preserve"> in Phase II. The program includes two components: energy conservation kits delivered by mail to</w:t>
      </w:r>
      <w:r>
        <w:t xml:space="preserve"> non-residential customers and </w:t>
      </w:r>
      <w:r w:rsidRPr="003458B1">
        <w:t>whole-buildin</w:t>
      </w:r>
      <w:r>
        <w:t>g</w:t>
      </w:r>
      <w:r w:rsidRPr="003458B1">
        <w:t xml:space="preserve"> projects such as new construction, retro-commissioning, and building envelope improvements. However, no kits were distributed in PY7. Sampling and project-level gross impact evaluation methodologies for efficient equipment and building upgrade measures are identical to the methodology described for the Small</w:t>
      </w:r>
      <w:r w:rsidR="00B27FAB">
        <w:t xml:space="preserve"> C/I</w:t>
      </w:r>
      <w:r w:rsidRPr="003458B1">
        <w:t xml:space="preserve"> </w:t>
      </w:r>
      <w:r>
        <w:t xml:space="preserve">Energy </w:t>
      </w:r>
      <w:r w:rsidRPr="003458B1">
        <w:t xml:space="preserve">Efficient Equipment Program above. The sample design strategy and the achieved precision values for energy and demand are shown in </w:t>
      </w:r>
      <w:r w:rsidRPr="003458B1">
        <w:fldChar w:fldCharType="begin"/>
      </w:r>
      <w:r w:rsidRPr="003458B1">
        <w:instrText xml:space="preserve"> REF _Ref440033139 \h  \* MERGEFORMAT </w:instrText>
      </w:r>
      <w:r w:rsidRPr="003458B1">
        <w:fldChar w:fldCharType="separate"/>
      </w:r>
      <w:r w:rsidR="00A874AC" w:rsidRPr="00A874AC">
        <w:rPr>
          <w:bCs/>
        </w:rPr>
        <w:t>Table A-63</w:t>
      </w:r>
      <w:r w:rsidRPr="003458B1">
        <w:fldChar w:fldCharType="end"/>
      </w:r>
      <w:r w:rsidRPr="003458B1">
        <w:t>. The precision levels for energy and for demand met the SWE Team requirements.</w:t>
      </w:r>
    </w:p>
    <w:p w:rsidR="00A421A3" w:rsidRPr="003458B1" w:rsidRDefault="00A421A3" w:rsidP="00A421A3"/>
    <w:p w:rsidR="00A421A3" w:rsidRPr="003458B1" w:rsidRDefault="00A421A3" w:rsidP="00A421A3">
      <w:pPr>
        <w:spacing w:after="120"/>
        <w:jc w:val="center"/>
        <w:rPr>
          <w:rFonts w:ascii="Century Gothic" w:hAnsi="Century Gothic"/>
          <w:b/>
          <w:bCs/>
          <w:sz w:val="18"/>
          <w:szCs w:val="18"/>
        </w:rPr>
      </w:pPr>
      <w:bookmarkStart w:id="866" w:name="_Ref440033139"/>
      <w:bookmarkStart w:id="867" w:name="_Toc410199425"/>
      <w:bookmarkStart w:id="868" w:name="_Toc431462345"/>
      <w:bookmarkStart w:id="869" w:name="_Toc444269867"/>
      <w:bookmarkStart w:id="870" w:name="_Toc472472472"/>
      <w:bookmarkStart w:id="871" w:name="_Toc476842178"/>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63</w:t>
      </w:r>
      <w:r w:rsidRPr="003458B1">
        <w:rPr>
          <w:rFonts w:ascii="Century Gothic" w:hAnsi="Century Gothic"/>
          <w:b/>
          <w:bCs/>
          <w:sz w:val="18"/>
          <w:szCs w:val="18"/>
        </w:rPr>
        <w:fldChar w:fldCharType="end"/>
      </w:r>
      <w:bookmarkEnd w:id="866"/>
      <w:r w:rsidRPr="003458B1">
        <w:rPr>
          <w:rFonts w:ascii="Century Gothic" w:hAnsi="Century Gothic"/>
          <w:b/>
          <w:bCs/>
          <w:sz w:val="18"/>
          <w:szCs w:val="18"/>
        </w:rPr>
        <w:t>: Penelec’s PY7 Sampling Strategy and Relative Precision – Large C/I Energy Efficient Buildings Program</w:t>
      </w:r>
      <w:bookmarkEnd w:id="867"/>
      <w:bookmarkEnd w:id="868"/>
      <w:bookmarkEnd w:id="869"/>
      <w:bookmarkEnd w:id="870"/>
      <w:bookmarkEnd w:id="871"/>
    </w:p>
    <w:tbl>
      <w:tblPr>
        <w:tblW w:w="926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75"/>
        <w:gridCol w:w="1215"/>
        <w:gridCol w:w="1215"/>
        <w:gridCol w:w="1215"/>
        <w:gridCol w:w="1215"/>
        <w:gridCol w:w="1215"/>
        <w:gridCol w:w="1215"/>
      </w:tblGrid>
      <w:tr w:rsidR="00A874AC" w:rsidRPr="003458B1" w:rsidTr="0014308C">
        <w:trPr>
          <w:trHeight w:val="827"/>
          <w:tblHeader/>
        </w:trPr>
        <w:tc>
          <w:tcPr>
            <w:tcW w:w="1975" w:type="dxa"/>
            <w:shd w:val="clear" w:color="000000" w:fill="448A99"/>
            <w:vAlign w:val="bottom"/>
            <w:hideMark/>
          </w:tcPr>
          <w:p w:rsidR="00A421A3" w:rsidRPr="003458B1" w:rsidRDefault="00A421A3" w:rsidP="004F0C61">
            <w:pPr>
              <w:jc w:val="left"/>
              <w:rPr>
                <w:b/>
                <w:bCs/>
                <w:color w:val="FFFFFF"/>
                <w:sz w:val="20"/>
                <w:szCs w:val="20"/>
              </w:rPr>
            </w:pPr>
            <w:r w:rsidRPr="003458B1">
              <w:rPr>
                <w:b/>
                <w:bCs/>
                <w:color w:val="FFFFFF"/>
                <w:sz w:val="20"/>
                <w:szCs w:val="20"/>
              </w:rPr>
              <w:t>Stratum</w:t>
            </w:r>
          </w:p>
        </w:tc>
        <w:tc>
          <w:tcPr>
            <w:tcW w:w="1215"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Population</w:t>
            </w:r>
          </w:p>
        </w:tc>
        <w:tc>
          <w:tcPr>
            <w:tcW w:w="1215"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Target Levels of Confidence &amp; Precision</w:t>
            </w:r>
          </w:p>
        </w:tc>
        <w:tc>
          <w:tcPr>
            <w:tcW w:w="1215"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Target Sample Size</w:t>
            </w:r>
          </w:p>
        </w:tc>
        <w:tc>
          <w:tcPr>
            <w:tcW w:w="1215"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Achieved Sample Size</w:t>
            </w:r>
          </w:p>
        </w:tc>
        <w:tc>
          <w:tcPr>
            <w:tcW w:w="1215"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Relative Precision at 85% C.L. for Energy</w:t>
            </w:r>
          </w:p>
        </w:tc>
        <w:tc>
          <w:tcPr>
            <w:tcW w:w="1215"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14308C">
        <w:trPr>
          <w:trHeight w:val="403"/>
        </w:trPr>
        <w:tc>
          <w:tcPr>
            <w:tcW w:w="1975" w:type="dxa"/>
            <w:shd w:val="clear" w:color="000000" w:fill="D2EAF1"/>
            <w:noWrap/>
            <w:vAlign w:val="center"/>
          </w:tcPr>
          <w:p w:rsidR="00A421A3" w:rsidRPr="003458B1" w:rsidRDefault="00A421A3" w:rsidP="004F0C61">
            <w:pPr>
              <w:rPr>
                <w:bCs/>
                <w:color w:val="000000"/>
                <w:sz w:val="20"/>
                <w:szCs w:val="20"/>
              </w:rPr>
            </w:pPr>
            <w:r>
              <w:rPr>
                <w:sz w:val="20"/>
                <w:szCs w:val="20"/>
              </w:rPr>
              <w:t xml:space="preserve">CFL kits – </w:t>
            </w:r>
            <w:r w:rsidRPr="003458B1">
              <w:rPr>
                <w:sz w:val="20"/>
                <w:szCs w:val="20"/>
              </w:rPr>
              <w:t>1</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w:t>
            </w:r>
          </w:p>
        </w:tc>
        <w:tc>
          <w:tcPr>
            <w:tcW w:w="1215" w:type="dxa"/>
            <w:shd w:val="clear" w:color="000000" w:fill="D2EAF1"/>
            <w:noWrap/>
            <w:vAlign w:val="center"/>
          </w:tcPr>
          <w:p w:rsidR="00A421A3" w:rsidRPr="003458B1" w:rsidRDefault="00A421A3" w:rsidP="004F0C61">
            <w:pPr>
              <w:jc w:val="center"/>
              <w:rPr>
                <w:color w:val="000000"/>
                <w:sz w:val="20"/>
                <w:szCs w:val="20"/>
              </w:rPr>
            </w:pPr>
            <w:r>
              <w:rPr>
                <w:sz w:val="20"/>
                <w:szCs w:val="20"/>
              </w:rPr>
              <w:t>N/A</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0.0%</w:t>
            </w:r>
          </w:p>
        </w:tc>
        <w:tc>
          <w:tcPr>
            <w:tcW w:w="1215"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0.0%</w:t>
            </w:r>
          </w:p>
        </w:tc>
      </w:tr>
      <w:tr w:rsidR="00E7173E" w:rsidRPr="003458B1" w:rsidTr="0081757B">
        <w:trPr>
          <w:trHeight w:val="403"/>
        </w:trPr>
        <w:tc>
          <w:tcPr>
            <w:tcW w:w="1975" w:type="dxa"/>
            <w:shd w:val="clear" w:color="auto" w:fill="auto"/>
            <w:vAlign w:val="center"/>
          </w:tcPr>
          <w:p w:rsidR="00A421A3" w:rsidRPr="003458B1" w:rsidRDefault="00A421A3" w:rsidP="004F0C61">
            <w:pPr>
              <w:rPr>
                <w:b/>
                <w:bCs/>
                <w:color w:val="000000"/>
                <w:sz w:val="20"/>
                <w:szCs w:val="20"/>
              </w:rPr>
            </w:pPr>
            <w:r>
              <w:rPr>
                <w:sz w:val="20"/>
                <w:szCs w:val="20"/>
              </w:rPr>
              <w:t>Lighting – c</w:t>
            </w:r>
            <w:r w:rsidRPr="003458B1">
              <w:rPr>
                <w:sz w:val="20"/>
                <w:szCs w:val="20"/>
              </w:rPr>
              <w:t>ertainty</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14308C">
        <w:trPr>
          <w:trHeight w:val="403"/>
        </w:trPr>
        <w:tc>
          <w:tcPr>
            <w:tcW w:w="1975" w:type="dxa"/>
            <w:shd w:val="clear" w:color="auto" w:fill="D2EAF1"/>
            <w:vAlign w:val="center"/>
          </w:tcPr>
          <w:p w:rsidR="00A421A3" w:rsidRPr="003458B1" w:rsidRDefault="00A421A3" w:rsidP="004F0C61">
            <w:pPr>
              <w:rPr>
                <w:sz w:val="20"/>
                <w:szCs w:val="20"/>
              </w:rPr>
            </w:pPr>
            <w:r>
              <w:rPr>
                <w:sz w:val="20"/>
                <w:szCs w:val="20"/>
              </w:rPr>
              <w:t xml:space="preserve">Lighting – </w:t>
            </w:r>
            <w:r w:rsidRPr="003458B1">
              <w:rPr>
                <w:sz w:val="20"/>
                <w:szCs w:val="20"/>
              </w:rPr>
              <w:t>2</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D2EAF1"/>
            <w:noWrap/>
            <w:vAlign w:val="center"/>
          </w:tcPr>
          <w:p w:rsidR="00A421A3" w:rsidRPr="003458B1" w:rsidRDefault="00A421A3" w:rsidP="004F0C61">
            <w:pPr>
              <w:jc w:val="center"/>
              <w:rPr>
                <w:b/>
                <w:bCs/>
                <w:color w:val="000000"/>
                <w:sz w:val="20"/>
                <w:szCs w:val="20"/>
              </w:rPr>
            </w:pPr>
            <w:r>
              <w:rPr>
                <w:sz w:val="20"/>
                <w:szCs w:val="20"/>
              </w:rPr>
              <w:t>N/A</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81757B">
        <w:trPr>
          <w:trHeight w:val="403"/>
        </w:trPr>
        <w:tc>
          <w:tcPr>
            <w:tcW w:w="1975" w:type="dxa"/>
            <w:shd w:val="clear" w:color="auto" w:fill="auto"/>
            <w:vAlign w:val="center"/>
          </w:tcPr>
          <w:p w:rsidR="00A421A3" w:rsidRPr="003458B1" w:rsidRDefault="00A421A3" w:rsidP="004F0C61">
            <w:pPr>
              <w:rPr>
                <w:sz w:val="20"/>
                <w:szCs w:val="20"/>
              </w:rPr>
            </w:pPr>
            <w:r w:rsidRPr="003458B1">
              <w:rPr>
                <w:sz w:val="20"/>
                <w:szCs w:val="20"/>
              </w:rPr>
              <w:t>Lightin</w:t>
            </w:r>
            <w:r>
              <w:rPr>
                <w:sz w:val="20"/>
                <w:szCs w:val="20"/>
              </w:rPr>
              <w:t xml:space="preserve">g – </w:t>
            </w:r>
            <w:r w:rsidRPr="003458B1">
              <w:rPr>
                <w:sz w:val="20"/>
                <w:szCs w:val="20"/>
              </w:rPr>
              <w:t>3</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14308C">
        <w:trPr>
          <w:trHeight w:val="403"/>
        </w:trPr>
        <w:tc>
          <w:tcPr>
            <w:tcW w:w="1975" w:type="dxa"/>
            <w:shd w:val="clear" w:color="auto" w:fill="D2EAF1"/>
            <w:vAlign w:val="center"/>
          </w:tcPr>
          <w:p w:rsidR="00A421A3" w:rsidRPr="003458B1" w:rsidRDefault="00A421A3" w:rsidP="004F0C61">
            <w:pPr>
              <w:rPr>
                <w:sz w:val="20"/>
                <w:szCs w:val="20"/>
              </w:rPr>
            </w:pPr>
            <w:r>
              <w:rPr>
                <w:sz w:val="20"/>
                <w:szCs w:val="20"/>
              </w:rPr>
              <w:t xml:space="preserve">Lighting – </w:t>
            </w:r>
            <w:r w:rsidRPr="003458B1">
              <w:rPr>
                <w:sz w:val="20"/>
                <w:szCs w:val="20"/>
              </w:rPr>
              <w:t>4</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D2EAF1"/>
            <w:noWrap/>
            <w:vAlign w:val="center"/>
          </w:tcPr>
          <w:p w:rsidR="00A421A3" w:rsidRPr="003458B1" w:rsidRDefault="00A421A3" w:rsidP="004F0C61">
            <w:pPr>
              <w:jc w:val="center"/>
              <w:rPr>
                <w:b/>
                <w:bCs/>
                <w:color w:val="000000"/>
                <w:sz w:val="20"/>
                <w:szCs w:val="20"/>
              </w:rPr>
            </w:pPr>
            <w:r>
              <w:rPr>
                <w:sz w:val="20"/>
                <w:szCs w:val="20"/>
              </w:rPr>
              <w:t>N/A</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81757B">
        <w:trPr>
          <w:trHeight w:val="403"/>
        </w:trPr>
        <w:tc>
          <w:tcPr>
            <w:tcW w:w="1975" w:type="dxa"/>
            <w:shd w:val="clear" w:color="auto" w:fill="auto"/>
            <w:vAlign w:val="center"/>
          </w:tcPr>
          <w:p w:rsidR="00A421A3" w:rsidRPr="003458B1" w:rsidRDefault="00A421A3" w:rsidP="004F0C61">
            <w:pPr>
              <w:rPr>
                <w:sz w:val="20"/>
                <w:szCs w:val="20"/>
              </w:rPr>
            </w:pPr>
            <w:r>
              <w:rPr>
                <w:sz w:val="20"/>
                <w:szCs w:val="20"/>
              </w:rPr>
              <w:t>Custom – c</w:t>
            </w:r>
            <w:r w:rsidRPr="003458B1">
              <w:rPr>
                <w:sz w:val="20"/>
                <w:szCs w:val="20"/>
              </w:rPr>
              <w:t>ertainty</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1</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1</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1</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14308C">
        <w:trPr>
          <w:trHeight w:val="403"/>
        </w:trPr>
        <w:tc>
          <w:tcPr>
            <w:tcW w:w="1975" w:type="dxa"/>
            <w:shd w:val="clear" w:color="auto" w:fill="D2EAF1"/>
            <w:vAlign w:val="center"/>
          </w:tcPr>
          <w:p w:rsidR="00A421A3" w:rsidRPr="003458B1" w:rsidRDefault="00A421A3" w:rsidP="004F0C61">
            <w:pPr>
              <w:rPr>
                <w:sz w:val="20"/>
                <w:szCs w:val="20"/>
              </w:rPr>
            </w:pPr>
            <w:r>
              <w:rPr>
                <w:sz w:val="20"/>
                <w:szCs w:val="20"/>
              </w:rPr>
              <w:t xml:space="preserve">Custom – </w:t>
            </w:r>
            <w:r w:rsidRPr="003458B1">
              <w:rPr>
                <w:sz w:val="20"/>
                <w:szCs w:val="20"/>
              </w:rPr>
              <w:t>2</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2</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50.9%</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1</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1</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50.9%</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50.9%</w:t>
            </w:r>
          </w:p>
        </w:tc>
      </w:tr>
      <w:tr w:rsidR="00E7173E" w:rsidRPr="003458B1" w:rsidTr="0081757B">
        <w:trPr>
          <w:trHeight w:val="403"/>
        </w:trPr>
        <w:tc>
          <w:tcPr>
            <w:tcW w:w="1975" w:type="dxa"/>
            <w:shd w:val="clear" w:color="auto" w:fill="auto"/>
            <w:vAlign w:val="center"/>
          </w:tcPr>
          <w:p w:rsidR="00A421A3" w:rsidRPr="003458B1" w:rsidRDefault="00A421A3" w:rsidP="004F0C61">
            <w:pPr>
              <w:rPr>
                <w:sz w:val="20"/>
                <w:szCs w:val="20"/>
              </w:rPr>
            </w:pPr>
            <w:r>
              <w:rPr>
                <w:sz w:val="20"/>
                <w:szCs w:val="20"/>
              </w:rPr>
              <w:t xml:space="preserve">Custom – </w:t>
            </w:r>
            <w:r w:rsidRPr="003458B1">
              <w:rPr>
                <w:sz w:val="20"/>
                <w:szCs w:val="20"/>
              </w:rPr>
              <w:t>3</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5</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39.4%</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2</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2</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39.4%</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39.4%</w:t>
            </w:r>
          </w:p>
        </w:tc>
      </w:tr>
      <w:tr w:rsidR="00A874AC" w:rsidRPr="003458B1" w:rsidTr="0014308C">
        <w:trPr>
          <w:trHeight w:val="403"/>
        </w:trPr>
        <w:tc>
          <w:tcPr>
            <w:tcW w:w="1975" w:type="dxa"/>
            <w:shd w:val="clear" w:color="auto" w:fill="D2EAF1"/>
            <w:vAlign w:val="center"/>
          </w:tcPr>
          <w:p w:rsidR="00A421A3" w:rsidRPr="003458B1" w:rsidRDefault="00A421A3" w:rsidP="004F0C61">
            <w:pPr>
              <w:rPr>
                <w:sz w:val="20"/>
                <w:szCs w:val="20"/>
              </w:rPr>
            </w:pPr>
            <w:r>
              <w:rPr>
                <w:sz w:val="20"/>
                <w:szCs w:val="20"/>
              </w:rPr>
              <w:t xml:space="preserve">HVAC and DHW – </w:t>
            </w:r>
            <w:r w:rsidRPr="003458B1">
              <w:rPr>
                <w:sz w:val="20"/>
                <w:szCs w:val="20"/>
              </w:rPr>
              <w:t>1</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D2EAF1"/>
            <w:noWrap/>
            <w:vAlign w:val="center"/>
          </w:tcPr>
          <w:p w:rsidR="00A421A3" w:rsidRPr="003458B1" w:rsidRDefault="00A421A3" w:rsidP="004F0C61">
            <w:pPr>
              <w:jc w:val="center"/>
              <w:rPr>
                <w:b/>
                <w:bCs/>
                <w:color w:val="000000"/>
                <w:sz w:val="20"/>
                <w:szCs w:val="20"/>
              </w:rPr>
            </w:pPr>
            <w:r>
              <w:rPr>
                <w:sz w:val="20"/>
                <w:szCs w:val="20"/>
              </w:rPr>
              <w:t>N/A</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81757B">
        <w:trPr>
          <w:trHeight w:val="403"/>
        </w:trPr>
        <w:tc>
          <w:tcPr>
            <w:tcW w:w="1975" w:type="dxa"/>
            <w:shd w:val="clear" w:color="auto" w:fill="auto"/>
            <w:vAlign w:val="center"/>
          </w:tcPr>
          <w:p w:rsidR="00A421A3" w:rsidRPr="003458B1" w:rsidRDefault="00A421A3" w:rsidP="004F0C61">
            <w:pPr>
              <w:rPr>
                <w:sz w:val="20"/>
                <w:szCs w:val="20"/>
              </w:rPr>
            </w:pPr>
            <w:r>
              <w:rPr>
                <w:sz w:val="20"/>
                <w:szCs w:val="20"/>
              </w:rPr>
              <w:t xml:space="preserve">HVAC and DHW – </w:t>
            </w:r>
            <w:r w:rsidRPr="003458B1">
              <w:rPr>
                <w:sz w:val="20"/>
                <w:szCs w:val="20"/>
              </w:rPr>
              <w:t>2</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14308C">
        <w:trPr>
          <w:trHeight w:val="403"/>
        </w:trPr>
        <w:tc>
          <w:tcPr>
            <w:tcW w:w="1975" w:type="dxa"/>
            <w:shd w:val="clear" w:color="auto" w:fill="D2EAF1"/>
            <w:vAlign w:val="center"/>
          </w:tcPr>
          <w:p w:rsidR="00A421A3" w:rsidRPr="003458B1" w:rsidRDefault="00A421A3" w:rsidP="004F0C61">
            <w:pPr>
              <w:rPr>
                <w:sz w:val="20"/>
                <w:szCs w:val="20"/>
              </w:rPr>
            </w:pPr>
            <w:r>
              <w:rPr>
                <w:sz w:val="20"/>
                <w:szCs w:val="20"/>
              </w:rPr>
              <w:t xml:space="preserve">Appliance Turn-In – </w:t>
            </w:r>
            <w:r w:rsidRPr="003458B1">
              <w:rPr>
                <w:sz w:val="20"/>
                <w:szCs w:val="20"/>
              </w:rPr>
              <w:t>1</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D2EAF1"/>
            <w:noWrap/>
            <w:vAlign w:val="center"/>
          </w:tcPr>
          <w:p w:rsidR="00A421A3" w:rsidRPr="003458B1" w:rsidRDefault="00A421A3" w:rsidP="004F0C61">
            <w:pPr>
              <w:jc w:val="center"/>
              <w:rPr>
                <w:b/>
                <w:bCs/>
                <w:color w:val="000000"/>
                <w:sz w:val="20"/>
                <w:szCs w:val="20"/>
              </w:rPr>
            </w:pPr>
            <w:r>
              <w:rPr>
                <w:sz w:val="20"/>
                <w:szCs w:val="20"/>
              </w:rPr>
              <w:t>N/A</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81757B">
        <w:trPr>
          <w:trHeight w:val="403"/>
        </w:trPr>
        <w:tc>
          <w:tcPr>
            <w:tcW w:w="1975" w:type="dxa"/>
            <w:shd w:val="clear" w:color="auto" w:fill="auto"/>
            <w:vAlign w:val="center"/>
          </w:tcPr>
          <w:p w:rsidR="00A421A3" w:rsidRPr="003458B1" w:rsidRDefault="00A421A3" w:rsidP="004F0C61">
            <w:pPr>
              <w:rPr>
                <w:sz w:val="20"/>
                <w:szCs w:val="20"/>
              </w:rPr>
            </w:pPr>
            <w:r>
              <w:rPr>
                <w:sz w:val="20"/>
                <w:szCs w:val="20"/>
              </w:rPr>
              <w:t xml:space="preserve">Kitchen/appliances – </w:t>
            </w:r>
            <w:r w:rsidRPr="003458B1">
              <w:rPr>
                <w:sz w:val="20"/>
                <w:szCs w:val="20"/>
              </w:rPr>
              <w:t>1</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15"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14308C">
        <w:trPr>
          <w:trHeight w:val="403"/>
        </w:trPr>
        <w:tc>
          <w:tcPr>
            <w:tcW w:w="1975" w:type="dxa"/>
            <w:shd w:val="clear" w:color="auto" w:fill="D2EAF1"/>
            <w:vAlign w:val="center"/>
          </w:tcPr>
          <w:p w:rsidR="00A421A3" w:rsidRPr="003458B1" w:rsidRDefault="00A421A3" w:rsidP="004F0C61">
            <w:pPr>
              <w:rPr>
                <w:sz w:val="20"/>
                <w:szCs w:val="20"/>
              </w:rPr>
            </w:pPr>
            <w:r w:rsidRPr="003458B1">
              <w:rPr>
                <w:b/>
                <w:sz w:val="20"/>
                <w:szCs w:val="20"/>
              </w:rPr>
              <w:t>Program Total</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b/>
                <w:sz w:val="20"/>
                <w:szCs w:val="20"/>
              </w:rPr>
              <w:t>8</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b/>
                <w:sz w:val="20"/>
                <w:szCs w:val="20"/>
              </w:rPr>
              <w:t>13.4%</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b/>
                <w:sz w:val="20"/>
                <w:szCs w:val="20"/>
              </w:rPr>
              <w:t>4</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b/>
                <w:sz w:val="20"/>
                <w:szCs w:val="20"/>
              </w:rPr>
              <w:t>4</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b/>
                <w:sz w:val="20"/>
                <w:szCs w:val="20"/>
              </w:rPr>
              <w:t>13.7%</w:t>
            </w:r>
          </w:p>
        </w:tc>
        <w:tc>
          <w:tcPr>
            <w:tcW w:w="1215" w:type="dxa"/>
            <w:shd w:val="clear" w:color="auto" w:fill="D2EAF1"/>
            <w:noWrap/>
            <w:vAlign w:val="center"/>
          </w:tcPr>
          <w:p w:rsidR="00A421A3" w:rsidRPr="003458B1" w:rsidRDefault="00A421A3" w:rsidP="004F0C61">
            <w:pPr>
              <w:jc w:val="center"/>
              <w:rPr>
                <w:b/>
                <w:bCs/>
                <w:color w:val="000000"/>
                <w:sz w:val="20"/>
                <w:szCs w:val="20"/>
              </w:rPr>
            </w:pPr>
            <w:r w:rsidRPr="003458B1">
              <w:rPr>
                <w:b/>
                <w:sz w:val="20"/>
                <w:szCs w:val="20"/>
              </w:rPr>
              <w:t>12.9%</w:t>
            </w:r>
          </w:p>
        </w:tc>
      </w:tr>
    </w:tbl>
    <w:p w:rsidR="00A421A3" w:rsidRDefault="00A421A3" w:rsidP="00A421A3"/>
    <w:p w:rsidR="0014308C" w:rsidRDefault="0014308C" w:rsidP="00A421A3"/>
    <w:p w:rsidR="0014308C" w:rsidRPr="003458B1" w:rsidRDefault="0014308C" w:rsidP="00A421A3"/>
    <w:p w:rsidR="00A421A3" w:rsidRPr="003458B1" w:rsidRDefault="00A421A3" w:rsidP="00A421A3">
      <w:pPr>
        <w:pStyle w:val="AppendixAHeading5"/>
      </w:pPr>
      <w:r w:rsidRPr="003458B1">
        <w:lastRenderedPageBreak/>
        <w:t>Government and Institutional Program</w:t>
      </w:r>
    </w:p>
    <w:p w:rsidR="00A421A3" w:rsidRDefault="00A421A3" w:rsidP="00A421A3">
      <w:pPr>
        <w:rPr>
          <w:rFonts w:ascii="Century Gothic" w:hAnsi="Century Gothic"/>
          <w:b/>
          <w:bCs/>
          <w:sz w:val="18"/>
          <w:szCs w:val="18"/>
        </w:rPr>
      </w:pPr>
      <w:r w:rsidRPr="003458B1">
        <w:t xml:space="preserve">This program had three categorical components in PY7: equipment incentives, appliance recycling (new for Phase II), and conservation kits to multifamily establishments. </w:t>
      </w:r>
      <w:r>
        <w:t>D</w:t>
      </w:r>
      <w:r w:rsidRPr="003458B1">
        <w:t xml:space="preserve">etailed information </w:t>
      </w:r>
      <w:r>
        <w:t>on</w:t>
      </w:r>
      <w:r w:rsidRPr="003458B1">
        <w:t xml:space="preserve"> the sample design and the achieved precision values for each stratum are </w:t>
      </w:r>
      <w:r w:rsidRPr="00B27FAB">
        <w:rPr>
          <w:rFonts w:asciiTheme="minorHAnsi" w:hAnsiTheme="minorHAnsi"/>
        </w:rPr>
        <w:t xml:space="preserve">shown in </w:t>
      </w:r>
      <w:r w:rsidR="00B27FAB" w:rsidRPr="00B27FAB">
        <w:rPr>
          <w:rFonts w:asciiTheme="minorHAnsi" w:hAnsiTheme="minorHAnsi"/>
        </w:rPr>
        <w:fldChar w:fldCharType="begin"/>
      </w:r>
      <w:r w:rsidR="00B27FAB" w:rsidRPr="00B27FAB">
        <w:rPr>
          <w:rFonts w:asciiTheme="minorHAnsi" w:hAnsiTheme="minorHAnsi"/>
        </w:rPr>
        <w:instrText xml:space="preserve"> REF _Ref473458027 \h  \* MERGEFORMAT </w:instrText>
      </w:r>
      <w:r w:rsidR="00B27FAB" w:rsidRPr="00B27FAB">
        <w:rPr>
          <w:rFonts w:asciiTheme="minorHAnsi" w:hAnsiTheme="minorHAnsi"/>
        </w:rPr>
      </w:r>
      <w:r w:rsidR="00B27FAB" w:rsidRPr="00B27FAB">
        <w:rPr>
          <w:rFonts w:asciiTheme="minorHAnsi" w:hAnsiTheme="minorHAnsi"/>
        </w:rPr>
        <w:fldChar w:fldCharType="separate"/>
      </w:r>
      <w:r w:rsidR="00A874AC" w:rsidRPr="00A874AC">
        <w:rPr>
          <w:rFonts w:asciiTheme="minorHAnsi" w:hAnsiTheme="minorHAnsi"/>
          <w:bCs/>
        </w:rPr>
        <w:t>Table A-64</w:t>
      </w:r>
      <w:r w:rsidR="00B27FAB" w:rsidRPr="00B27FAB">
        <w:rPr>
          <w:rFonts w:asciiTheme="minorHAnsi" w:hAnsiTheme="minorHAnsi"/>
        </w:rPr>
        <w:fldChar w:fldCharType="end"/>
      </w:r>
      <w:r w:rsidRPr="003458B1">
        <w:t>. The precision levels for energy met the SWE Team requirements, but demand precision was slightly over 15%. This is permissible in Phase II.</w:t>
      </w:r>
      <w:bookmarkStart w:id="872" w:name="_Ref440266200"/>
      <w:bookmarkStart w:id="873" w:name="_Toc410199426"/>
      <w:bookmarkStart w:id="874" w:name="_Toc431462346"/>
      <w:bookmarkStart w:id="875" w:name="_Toc444269868"/>
    </w:p>
    <w:p w:rsidR="00A421A3" w:rsidRPr="0014308C" w:rsidRDefault="00A421A3" w:rsidP="0014308C"/>
    <w:p w:rsidR="00A421A3" w:rsidRPr="003458B1" w:rsidRDefault="00A421A3" w:rsidP="00A421A3">
      <w:pPr>
        <w:spacing w:after="120"/>
        <w:jc w:val="center"/>
        <w:rPr>
          <w:rFonts w:ascii="Century Gothic" w:hAnsi="Century Gothic"/>
          <w:b/>
          <w:bCs/>
          <w:sz w:val="18"/>
          <w:szCs w:val="18"/>
        </w:rPr>
      </w:pPr>
      <w:bookmarkStart w:id="876" w:name="_Ref473458027"/>
      <w:bookmarkStart w:id="877" w:name="_Toc472472473"/>
      <w:bookmarkStart w:id="878" w:name="_Toc476842179"/>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64</w:t>
      </w:r>
      <w:r w:rsidRPr="003458B1">
        <w:rPr>
          <w:rFonts w:ascii="Century Gothic" w:hAnsi="Century Gothic"/>
          <w:b/>
          <w:bCs/>
          <w:sz w:val="18"/>
          <w:szCs w:val="18"/>
        </w:rPr>
        <w:fldChar w:fldCharType="end"/>
      </w:r>
      <w:bookmarkEnd w:id="872"/>
      <w:bookmarkEnd w:id="876"/>
      <w:r w:rsidRPr="003458B1">
        <w:rPr>
          <w:rFonts w:ascii="Century Gothic" w:hAnsi="Century Gothic"/>
          <w:b/>
          <w:bCs/>
          <w:sz w:val="18"/>
          <w:szCs w:val="18"/>
        </w:rPr>
        <w:t>: Penelec’s PY7 Sampling Strategy and Achieved Precision – Government and Institutional Program</w:t>
      </w:r>
      <w:bookmarkEnd w:id="873"/>
      <w:bookmarkEnd w:id="874"/>
      <w:bookmarkEnd w:id="875"/>
      <w:bookmarkEnd w:id="877"/>
      <w:bookmarkEnd w:id="878"/>
    </w:p>
    <w:tbl>
      <w:tblPr>
        <w:tblW w:w="945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885"/>
        <w:gridCol w:w="1183"/>
        <w:gridCol w:w="1276"/>
        <w:gridCol w:w="1277"/>
        <w:gridCol w:w="1276"/>
        <w:gridCol w:w="1276"/>
        <w:gridCol w:w="1277"/>
      </w:tblGrid>
      <w:tr w:rsidR="00A874AC" w:rsidRPr="003458B1" w:rsidTr="004F0C61">
        <w:trPr>
          <w:trHeight w:val="1007"/>
          <w:tblHeader/>
          <w:jc w:val="center"/>
        </w:trPr>
        <w:tc>
          <w:tcPr>
            <w:tcW w:w="1885" w:type="dxa"/>
            <w:shd w:val="clear" w:color="000000" w:fill="448A99"/>
            <w:vAlign w:val="bottom"/>
            <w:hideMark/>
          </w:tcPr>
          <w:p w:rsidR="00A421A3" w:rsidRPr="003458B1" w:rsidRDefault="00A421A3" w:rsidP="004F0C61">
            <w:pPr>
              <w:rPr>
                <w:b/>
                <w:bCs/>
                <w:color w:val="FFFFFF"/>
                <w:sz w:val="20"/>
                <w:szCs w:val="20"/>
              </w:rPr>
            </w:pPr>
            <w:r w:rsidRPr="003458B1">
              <w:rPr>
                <w:b/>
                <w:bCs/>
                <w:color w:val="FFFFFF"/>
                <w:sz w:val="20"/>
                <w:szCs w:val="20"/>
              </w:rPr>
              <w:t>Stratum</w:t>
            </w:r>
          </w:p>
        </w:tc>
        <w:tc>
          <w:tcPr>
            <w:tcW w:w="1183"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Population</w:t>
            </w:r>
          </w:p>
        </w:tc>
        <w:tc>
          <w:tcPr>
            <w:tcW w:w="1276"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Target Levels of Confidence &amp; Precision</w:t>
            </w:r>
          </w:p>
        </w:tc>
        <w:tc>
          <w:tcPr>
            <w:tcW w:w="1277"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Target Sample Size</w:t>
            </w:r>
          </w:p>
        </w:tc>
        <w:tc>
          <w:tcPr>
            <w:tcW w:w="1276"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Achieved Sample Size</w:t>
            </w:r>
          </w:p>
        </w:tc>
        <w:tc>
          <w:tcPr>
            <w:tcW w:w="1276"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Relative Precision at 85% C.L. for Energy</w:t>
            </w:r>
          </w:p>
        </w:tc>
        <w:tc>
          <w:tcPr>
            <w:tcW w:w="1277" w:type="dxa"/>
            <w:shd w:val="clear" w:color="000000" w:fill="448A99"/>
            <w:vAlign w:val="bottom"/>
            <w:hideMark/>
          </w:tcPr>
          <w:p w:rsidR="00A421A3" w:rsidRPr="003458B1" w:rsidRDefault="00A421A3"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4F0C61">
        <w:trPr>
          <w:trHeight w:val="346"/>
          <w:jc w:val="center"/>
        </w:trPr>
        <w:tc>
          <w:tcPr>
            <w:tcW w:w="1885" w:type="dxa"/>
            <w:shd w:val="clear" w:color="000000" w:fill="D2EAF1"/>
            <w:noWrap/>
            <w:vAlign w:val="center"/>
          </w:tcPr>
          <w:p w:rsidR="00A421A3" w:rsidRPr="003458B1" w:rsidRDefault="00A421A3" w:rsidP="004F0C61">
            <w:pPr>
              <w:rPr>
                <w:bCs/>
                <w:color w:val="000000"/>
                <w:sz w:val="20"/>
                <w:szCs w:val="20"/>
              </w:rPr>
            </w:pPr>
            <w:r>
              <w:rPr>
                <w:sz w:val="20"/>
                <w:szCs w:val="20"/>
              </w:rPr>
              <w:t xml:space="preserve">CFL kits – </w:t>
            </w:r>
            <w:r w:rsidRPr="003458B1">
              <w:rPr>
                <w:sz w:val="20"/>
                <w:szCs w:val="20"/>
              </w:rPr>
              <w:t>1</w:t>
            </w:r>
          </w:p>
        </w:tc>
        <w:tc>
          <w:tcPr>
            <w:tcW w:w="1183"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w:t>
            </w:r>
          </w:p>
        </w:tc>
        <w:tc>
          <w:tcPr>
            <w:tcW w:w="1276" w:type="dxa"/>
            <w:shd w:val="clear" w:color="000000" w:fill="D2EAF1"/>
            <w:noWrap/>
            <w:vAlign w:val="center"/>
          </w:tcPr>
          <w:p w:rsidR="00A421A3" w:rsidRPr="003458B1" w:rsidRDefault="00A421A3" w:rsidP="004F0C61">
            <w:pPr>
              <w:jc w:val="center"/>
              <w:rPr>
                <w:color w:val="000000"/>
                <w:sz w:val="20"/>
                <w:szCs w:val="20"/>
              </w:rPr>
            </w:pPr>
            <w:r>
              <w:rPr>
                <w:sz w:val="20"/>
                <w:szCs w:val="20"/>
              </w:rPr>
              <w:t>N/A</w:t>
            </w:r>
          </w:p>
        </w:tc>
        <w:tc>
          <w:tcPr>
            <w:tcW w:w="1277"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w:t>
            </w:r>
          </w:p>
        </w:tc>
        <w:tc>
          <w:tcPr>
            <w:tcW w:w="1276"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w:t>
            </w:r>
          </w:p>
        </w:tc>
        <w:tc>
          <w:tcPr>
            <w:tcW w:w="1276"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0.0%</w:t>
            </w:r>
          </w:p>
        </w:tc>
        <w:tc>
          <w:tcPr>
            <w:tcW w:w="1277" w:type="dxa"/>
            <w:shd w:val="clear" w:color="000000" w:fill="D2EAF1"/>
            <w:noWrap/>
            <w:vAlign w:val="center"/>
          </w:tcPr>
          <w:p w:rsidR="00A421A3" w:rsidRPr="003458B1" w:rsidRDefault="00A421A3" w:rsidP="004F0C61">
            <w:pPr>
              <w:jc w:val="center"/>
              <w:rPr>
                <w:color w:val="000000"/>
                <w:sz w:val="20"/>
                <w:szCs w:val="20"/>
              </w:rPr>
            </w:pPr>
            <w:r w:rsidRPr="003458B1">
              <w:rPr>
                <w:sz w:val="20"/>
                <w:szCs w:val="20"/>
              </w:rPr>
              <w:t>0.0%</w:t>
            </w:r>
          </w:p>
        </w:tc>
      </w:tr>
      <w:tr w:rsidR="00E7173E" w:rsidRPr="003458B1" w:rsidTr="0081757B">
        <w:trPr>
          <w:trHeight w:val="346"/>
          <w:jc w:val="center"/>
        </w:trPr>
        <w:tc>
          <w:tcPr>
            <w:tcW w:w="1885" w:type="dxa"/>
            <w:shd w:val="clear" w:color="auto" w:fill="auto"/>
            <w:noWrap/>
            <w:vAlign w:val="center"/>
          </w:tcPr>
          <w:p w:rsidR="00A421A3" w:rsidRPr="003458B1" w:rsidRDefault="00A421A3" w:rsidP="004F0C61">
            <w:pPr>
              <w:rPr>
                <w:bCs/>
                <w:color w:val="000000"/>
                <w:sz w:val="20"/>
                <w:szCs w:val="20"/>
              </w:rPr>
            </w:pPr>
            <w:r>
              <w:rPr>
                <w:sz w:val="20"/>
                <w:szCs w:val="20"/>
              </w:rPr>
              <w:t>Lighting – ce</w:t>
            </w:r>
            <w:r w:rsidRPr="003458B1">
              <w:rPr>
                <w:sz w:val="20"/>
                <w:szCs w:val="20"/>
              </w:rPr>
              <w:t>rtainty</w:t>
            </w:r>
          </w:p>
        </w:tc>
        <w:tc>
          <w:tcPr>
            <w:tcW w:w="1183"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color w:val="000000"/>
                <w:sz w:val="20"/>
                <w:szCs w:val="20"/>
              </w:rPr>
            </w:pPr>
            <w:r>
              <w:rPr>
                <w:sz w:val="20"/>
                <w:szCs w:val="20"/>
              </w:rPr>
              <w:t>N/A</w:t>
            </w:r>
          </w:p>
        </w:tc>
        <w:tc>
          <w:tcPr>
            <w:tcW w:w="1277"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0.0%</w:t>
            </w:r>
          </w:p>
        </w:tc>
        <w:tc>
          <w:tcPr>
            <w:tcW w:w="1277" w:type="dxa"/>
            <w:shd w:val="clear" w:color="auto" w:fill="auto"/>
            <w:noWrap/>
            <w:vAlign w:val="center"/>
          </w:tcPr>
          <w:p w:rsidR="00A421A3" w:rsidRPr="003458B1" w:rsidRDefault="00A421A3" w:rsidP="004F0C61">
            <w:pPr>
              <w:jc w:val="center"/>
              <w:rPr>
                <w:color w:val="000000"/>
                <w:sz w:val="20"/>
                <w:szCs w:val="20"/>
              </w:rPr>
            </w:pPr>
            <w:r w:rsidRPr="003458B1">
              <w:rPr>
                <w:sz w:val="20"/>
                <w:szCs w:val="20"/>
              </w:rPr>
              <w:t>0.0%</w:t>
            </w:r>
          </w:p>
        </w:tc>
      </w:tr>
      <w:tr w:rsidR="00A874AC" w:rsidRPr="003458B1" w:rsidTr="004F0C61">
        <w:trPr>
          <w:trHeight w:val="346"/>
          <w:jc w:val="center"/>
        </w:trPr>
        <w:tc>
          <w:tcPr>
            <w:tcW w:w="1885" w:type="dxa"/>
            <w:shd w:val="clear" w:color="000000" w:fill="D2EAF1"/>
            <w:noWrap/>
            <w:vAlign w:val="center"/>
          </w:tcPr>
          <w:p w:rsidR="00A421A3" w:rsidRPr="003458B1" w:rsidRDefault="00A421A3" w:rsidP="004F0C61">
            <w:pPr>
              <w:rPr>
                <w:b/>
                <w:bCs/>
                <w:iCs/>
                <w:color w:val="000000"/>
                <w:sz w:val="20"/>
                <w:szCs w:val="20"/>
              </w:rPr>
            </w:pPr>
            <w:r>
              <w:rPr>
                <w:sz w:val="20"/>
                <w:szCs w:val="20"/>
              </w:rPr>
              <w:t xml:space="preserve">Lighting – </w:t>
            </w:r>
            <w:r w:rsidRPr="003458B1">
              <w:rPr>
                <w:sz w:val="20"/>
                <w:szCs w:val="20"/>
              </w:rPr>
              <w:t>2</w:t>
            </w:r>
          </w:p>
        </w:tc>
        <w:tc>
          <w:tcPr>
            <w:tcW w:w="1183"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1</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77"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1</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1</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77"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81757B">
        <w:trPr>
          <w:trHeight w:val="346"/>
          <w:jc w:val="center"/>
        </w:trPr>
        <w:tc>
          <w:tcPr>
            <w:tcW w:w="1885" w:type="dxa"/>
            <w:shd w:val="clear" w:color="auto" w:fill="auto"/>
            <w:noWrap/>
            <w:vAlign w:val="center"/>
          </w:tcPr>
          <w:p w:rsidR="00A421A3" w:rsidRPr="003458B1" w:rsidRDefault="00A421A3" w:rsidP="004F0C61">
            <w:pPr>
              <w:rPr>
                <w:sz w:val="20"/>
                <w:szCs w:val="20"/>
              </w:rPr>
            </w:pPr>
            <w:r>
              <w:rPr>
                <w:sz w:val="20"/>
                <w:szCs w:val="20"/>
              </w:rPr>
              <w:t xml:space="preserve">Lighting – </w:t>
            </w:r>
            <w:r w:rsidRPr="003458B1">
              <w:rPr>
                <w:sz w:val="20"/>
                <w:szCs w:val="20"/>
              </w:rPr>
              <w:t>3</w:t>
            </w:r>
          </w:p>
        </w:tc>
        <w:tc>
          <w:tcPr>
            <w:tcW w:w="118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2</w:t>
            </w:r>
          </w:p>
        </w:tc>
        <w:tc>
          <w:tcPr>
            <w:tcW w:w="1276"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77"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2</w:t>
            </w:r>
          </w:p>
        </w:tc>
        <w:tc>
          <w:tcPr>
            <w:tcW w:w="1276"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2</w:t>
            </w:r>
          </w:p>
        </w:tc>
        <w:tc>
          <w:tcPr>
            <w:tcW w:w="1276"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77"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4F0C61">
        <w:trPr>
          <w:trHeight w:val="346"/>
          <w:jc w:val="center"/>
        </w:trPr>
        <w:tc>
          <w:tcPr>
            <w:tcW w:w="1885" w:type="dxa"/>
            <w:shd w:val="clear" w:color="000000" w:fill="D2EAF1"/>
            <w:noWrap/>
            <w:vAlign w:val="center"/>
          </w:tcPr>
          <w:p w:rsidR="00A421A3" w:rsidRPr="003458B1" w:rsidRDefault="00A421A3" w:rsidP="004F0C61">
            <w:pPr>
              <w:rPr>
                <w:sz w:val="20"/>
                <w:szCs w:val="20"/>
              </w:rPr>
            </w:pPr>
            <w:r>
              <w:rPr>
                <w:sz w:val="20"/>
                <w:szCs w:val="20"/>
              </w:rPr>
              <w:t xml:space="preserve">Lighting – </w:t>
            </w:r>
            <w:r w:rsidRPr="003458B1">
              <w:rPr>
                <w:sz w:val="20"/>
                <w:szCs w:val="20"/>
              </w:rPr>
              <w:t>4</w:t>
            </w:r>
          </w:p>
        </w:tc>
        <w:tc>
          <w:tcPr>
            <w:tcW w:w="1183"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11</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28.7%</w:t>
            </w:r>
          </w:p>
        </w:tc>
        <w:tc>
          <w:tcPr>
            <w:tcW w:w="1277"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4</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4</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28.7%</w:t>
            </w:r>
          </w:p>
        </w:tc>
        <w:tc>
          <w:tcPr>
            <w:tcW w:w="1277"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28.7%</w:t>
            </w:r>
          </w:p>
        </w:tc>
      </w:tr>
      <w:tr w:rsidR="00E7173E" w:rsidRPr="003458B1" w:rsidTr="0081757B">
        <w:trPr>
          <w:trHeight w:val="346"/>
          <w:jc w:val="center"/>
        </w:trPr>
        <w:tc>
          <w:tcPr>
            <w:tcW w:w="1885" w:type="dxa"/>
            <w:shd w:val="clear" w:color="auto" w:fill="auto"/>
            <w:noWrap/>
            <w:vAlign w:val="center"/>
          </w:tcPr>
          <w:p w:rsidR="00A421A3" w:rsidRPr="003458B1" w:rsidRDefault="00A421A3" w:rsidP="004F0C61">
            <w:pPr>
              <w:rPr>
                <w:sz w:val="20"/>
                <w:szCs w:val="20"/>
              </w:rPr>
            </w:pPr>
            <w:r>
              <w:rPr>
                <w:sz w:val="20"/>
                <w:szCs w:val="20"/>
              </w:rPr>
              <w:t>Custom – c</w:t>
            </w:r>
            <w:r w:rsidRPr="003458B1">
              <w:rPr>
                <w:sz w:val="20"/>
                <w:szCs w:val="20"/>
              </w:rPr>
              <w:t>ertainty</w:t>
            </w:r>
          </w:p>
        </w:tc>
        <w:tc>
          <w:tcPr>
            <w:tcW w:w="118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277"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77"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4F0C61">
        <w:trPr>
          <w:trHeight w:val="346"/>
          <w:jc w:val="center"/>
        </w:trPr>
        <w:tc>
          <w:tcPr>
            <w:tcW w:w="1885" w:type="dxa"/>
            <w:shd w:val="clear" w:color="000000" w:fill="D2EAF1"/>
            <w:noWrap/>
            <w:vAlign w:val="center"/>
          </w:tcPr>
          <w:p w:rsidR="00A421A3" w:rsidRPr="003458B1" w:rsidRDefault="00A421A3" w:rsidP="004F0C61">
            <w:pPr>
              <w:rPr>
                <w:sz w:val="20"/>
                <w:szCs w:val="20"/>
              </w:rPr>
            </w:pPr>
            <w:r>
              <w:rPr>
                <w:sz w:val="20"/>
                <w:szCs w:val="20"/>
              </w:rPr>
              <w:t xml:space="preserve">Custom – </w:t>
            </w:r>
            <w:r w:rsidRPr="003458B1">
              <w:rPr>
                <w:sz w:val="20"/>
                <w:szCs w:val="20"/>
              </w:rPr>
              <w:t>2</w:t>
            </w:r>
          </w:p>
        </w:tc>
        <w:tc>
          <w:tcPr>
            <w:tcW w:w="1183"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000000" w:fill="D2EAF1"/>
            <w:noWrap/>
            <w:vAlign w:val="center"/>
          </w:tcPr>
          <w:p w:rsidR="00A421A3" w:rsidRPr="003458B1" w:rsidRDefault="00A421A3" w:rsidP="004F0C61">
            <w:pPr>
              <w:jc w:val="center"/>
              <w:rPr>
                <w:b/>
                <w:bCs/>
                <w:color w:val="000000"/>
                <w:sz w:val="20"/>
                <w:szCs w:val="20"/>
              </w:rPr>
            </w:pPr>
            <w:r>
              <w:rPr>
                <w:sz w:val="20"/>
                <w:szCs w:val="20"/>
              </w:rPr>
              <w:t>N/A</w:t>
            </w:r>
          </w:p>
        </w:tc>
        <w:tc>
          <w:tcPr>
            <w:tcW w:w="1277"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77"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81757B">
        <w:trPr>
          <w:trHeight w:val="346"/>
          <w:jc w:val="center"/>
        </w:trPr>
        <w:tc>
          <w:tcPr>
            <w:tcW w:w="1885" w:type="dxa"/>
            <w:shd w:val="clear" w:color="auto" w:fill="auto"/>
            <w:noWrap/>
            <w:vAlign w:val="center"/>
          </w:tcPr>
          <w:p w:rsidR="00A421A3" w:rsidRPr="003458B1" w:rsidRDefault="00A421A3" w:rsidP="004F0C61">
            <w:pPr>
              <w:rPr>
                <w:sz w:val="20"/>
                <w:szCs w:val="20"/>
              </w:rPr>
            </w:pPr>
            <w:r>
              <w:rPr>
                <w:sz w:val="20"/>
                <w:szCs w:val="20"/>
              </w:rPr>
              <w:t xml:space="preserve">Custom – </w:t>
            </w:r>
            <w:r w:rsidRPr="003458B1">
              <w:rPr>
                <w:sz w:val="20"/>
                <w:szCs w:val="20"/>
              </w:rPr>
              <w:t>3</w:t>
            </w:r>
          </w:p>
        </w:tc>
        <w:tc>
          <w:tcPr>
            <w:tcW w:w="118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277"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77"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4F0C61">
        <w:trPr>
          <w:trHeight w:val="346"/>
          <w:jc w:val="center"/>
        </w:trPr>
        <w:tc>
          <w:tcPr>
            <w:tcW w:w="1885" w:type="dxa"/>
            <w:shd w:val="clear" w:color="000000" w:fill="D2EAF1"/>
            <w:noWrap/>
            <w:vAlign w:val="center"/>
          </w:tcPr>
          <w:p w:rsidR="00A421A3" w:rsidRPr="003458B1" w:rsidRDefault="00A421A3" w:rsidP="004F0C61">
            <w:pPr>
              <w:rPr>
                <w:sz w:val="20"/>
                <w:szCs w:val="20"/>
              </w:rPr>
            </w:pPr>
            <w:r>
              <w:rPr>
                <w:sz w:val="20"/>
                <w:szCs w:val="20"/>
              </w:rPr>
              <w:t xml:space="preserve">HVAC and DHW – </w:t>
            </w:r>
            <w:r w:rsidRPr="003458B1">
              <w:rPr>
                <w:sz w:val="20"/>
                <w:szCs w:val="20"/>
              </w:rPr>
              <w:t>1</w:t>
            </w:r>
          </w:p>
        </w:tc>
        <w:tc>
          <w:tcPr>
            <w:tcW w:w="1183"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000000" w:fill="D2EAF1"/>
            <w:noWrap/>
            <w:vAlign w:val="center"/>
          </w:tcPr>
          <w:p w:rsidR="00A421A3" w:rsidRPr="003458B1" w:rsidRDefault="00A421A3" w:rsidP="004F0C61">
            <w:pPr>
              <w:jc w:val="center"/>
              <w:rPr>
                <w:b/>
                <w:bCs/>
                <w:color w:val="000000"/>
                <w:sz w:val="20"/>
                <w:szCs w:val="20"/>
              </w:rPr>
            </w:pPr>
            <w:r>
              <w:rPr>
                <w:sz w:val="20"/>
                <w:szCs w:val="20"/>
              </w:rPr>
              <w:t>N/A</w:t>
            </w:r>
          </w:p>
        </w:tc>
        <w:tc>
          <w:tcPr>
            <w:tcW w:w="1277"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77"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81757B">
        <w:trPr>
          <w:trHeight w:val="346"/>
          <w:jc w:val="center"/>
        </w:trPr>
        <w:tc>
          <w:tcPr>
            <w:tcW w:w="1885" w:type="dxa"/>
            <w:shd w:val="clear" w:color="auto" w:fill="auto"/>
            <w:noWrap/>
            <w:vAlign w:val="center"/>
          </w:tcPr>
          <w:p w:rsidR="00A421A3" w:rsidRPr="003458B1" w:rsidRDefault="00A421A3" w:rsidP="004F0C61">
            <w:pPr>
              <w:rPr>
                <w:sz w:val="20"/>
                <w:szCs w:val="20"/>
              </w:rPr>
            </w:pPr>
            <w:r w:rsidRPr="003458B1">
              <w:rPr>
                <w:sz w:val="20"/>
                <w:szCs w:val="20"/>
              </w:rPr>
              <w:t>HVAC and DHW</w:t>
            </w:r>
            <w:r>
              <w:rPr>
                <w:sz w:val="20"/>
                <w:szCs w:val="20"/>
              </w:rPr>
              <w:t xml:space="preserve"> – 2</w:t>
            </w:r>
          </w:p>
        </w:tc>
        <w:tc>
          <w:tcPr>
            <w:tcW w:w="118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277"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77"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458B1" w:rsidTr="004F0C61">
        <w:trPr>
          <w:trHeight w:val="346"/>
          <w:jc w:val="center"/>
        </w:trPr>
        <w:tc>
          <w:tcPr>
            <w:tcW w:w="1885" w:type="dxa"/>
            <w:shd w:val="clear" w:color="000000" w:fill="D2EAF1"/>
            <w:noWrap/>
            <w:vAlign w:val="center"/>
          </w:tcPr>
          <w:p w:rsidR="00A421A3" w:rsidRPr="003458B1" w:rsidRDefault="00A421A3" w:rsidP="004F0C61">
            <w:pPr>
              <w:rPr>
                <w:sz w:val="20"/>
                <w:szCs w:val="20"/>
              </w:rPr>
            </w:pPr>
            <w:r>
              <w:rPr>
                <w:sz w:val="20"/>
                <w:szCs w:val="20"/>
              </w:rPr>
              <w:t xml:space="preserve">Appliance Turn-In – </w:t>
            </w:r>
            <w:r w:rsidRPr="003458B1">
              <w:rPr>
                <w:sz w:val="20"/>
                <w:szCs w:val="20"/>
              </w:rPr>
              <w:t>1</w:t>
            </w:r>
          </w:p>
        </w:tc>
        <w:tc>
          <w:tcPr>
            <w:tcW w:w="1183"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000000" w:fill="D2EAF1"/>
            <w:noWrap/>
            <w:vAlign w:val="center"/>
          </w:tcPr>
          <w:p w:rsidR="00A421A3" w:rsidRPr="003458B1" w:rsidRDefault="00A421A3" w:rsidP="004F0C61">
            <w:pPr>
              <w:jc w:val="center"/>
              <w:rPr>
                <w:b/>
                <w:bCs/>
                <w:color w:val="000000"/>
                <w:sz w:val="20"/>
                <w:szCs w:val="20"/>
              </w:rPr>
            </w:pPr>
            <w:r>
              <w:rPr>
                <w:sz w:val="20"/>
                <w:szCs w:val="20"/>
              </w:rPr>
              <w:t>N/A</w:t>
            </w:r>
          </w:p>
        </w:tc>
        <w:tc>
          <w:tcPr>
            <w:tcW w:w="1277"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77" w:type="dxa"/>
            <w:shd w:val="clear" w:color="000000" w:fill="D2EAF1"/>
            <w:noWrap/>
            <w:vAlign w:val="center"/>
          </w:tcPr>
          <w:p w:rsidR="00A421A3" w:rsidRPr="003458B1" w:rsidRDefault="00A421A3" w:rsidP="004F0C61">
            <w:pPr>
              <w:jc w:val="center"/>
              <w:rPr>
                <w:b/>
                <w:bCs/>
                <w:color w:val="000000"/>
                <w:sz w:val="20"/>
                <w:szCs w:val="20"/>
              </w:rPr>
            </w:pPr>
            <w:r w:rsidRPr="003458B1">
              <w:rPr>
                <w:sz w:val="20"/>
                <w:szCs w:val="20"/>
              </w:rPr>
              <w:t>0.0%</w:t>
            </w:r>
          </w:p>
        </w:tc>
      </w:tr>
      <w:tr w:rsidR="00E7173E" w:rsidRPr="003458B1" w:rsidTr="0081757B">
        <w:trPr>
          <w:trHeight w:val="346"/>
          <w:jc w:val="center"/>
        </w:trPr>
        <w:tc>
          <w:tcPr>
            <w:tcW w:w="1885" w:type="dxa"/>
            <w:shd w:val="clear" w:color="auto" w:fill="auto"/>
            <w:noWrap/>
            <w:vAlign w:val="center"/>
          </w:tcPr>
          <w:p w:rsidR="00A421A3" w:rsidRPr="003458B1" w:rsidRDefault="00A421A3" w:rsidP="004F0C61">
            <w:pPr>
              <w:rPr>
                <w:sz w:val="20"/>
                <w:szCs w:val="20"/>
              </w:rPr>
            </w:pPr>
            <w:r>
              <w:rPr>
                <w:sz w:val="20"/>
                <w:szCs w:val="20"/>
              </w:rPr>
              <w:t xml:space="preserve">Kitchen/appliances – </w:t>
            </w:r>
            <w:r w:rsidRPr="003458B1">
              <w:rPr>
                <w:sz w:val="20"/>
                <w:szCs w:val="20"/>
              </w:rPr>
              <w:t>1</w:t>
            </w:r>
          </w:p>
        </w:tc>
        <w:tc>
          <w:tcPr>
            <w:tcW w:w="1183"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b/>
                <w:bCs/>
                <w:color w:val="000000"/>
                <w:sz w:val="20"/>
                <w:szCs w:val="20"/>
              </w:rPr>
            </w:pPr>
            <w:r>
              <w:rPr>
                <w:sz w:val="20"/>
                <w:szCs w:val="20"/>
              </w:rPr>
              <w:t>N/A</w:t>
            </w:r>
          </w:p>
        </w:tc>
        <w:tc>
          <w:tcPr>
            <w:tcW w:w="1277"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w:t>
            </w:r>
          </w:p>
        </w:tc>
        <w:tc>
          <w:tcPr>
            <w:tcW w:w="1276"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c>
          <w:tcPr>
            <w:tcW w:w="1277" w:type="dxa"/>
            <w:shd w:val="clear" w:color="auto" w:fill="auto"/>
            <w:noWrap/>
            <w:vAlign w:val="center"/>
          </w:tcPr>
          <w:p w:rsidR="00A421A3" w:rsidRPr="003458B1" w:rsidRDefault="00A421A3" w:rsidP="004F0C61">
            <w:pPr>
              <w:jc w:val="center"/>
              <w:rPr>
                <w:b/>
                <w:bCs/>
                <w:color w:val="000000"/>
                <w:sz w:val="20"/>
                <w:szCs w:val="20"/>
              </w:rPr>
            </w:pPr>
            <w:r w:rsidRPr="003458B1">
              <w:rPr>
                <w:sz w:val="20"/>
                <w:szCs w:val="20"/>
              </w:rPr>
              <w:t>0.0%</w:t>
            </w:r>
          </w:p>
        </w:tc>
      </w:tr>
      <w:tr w:rsidR="00A874AC" w:rsidRPr="0033011B" w:rsidTr="004F0C61">
        <w:trPr>
          <w:trHeight w:val="346"/>
          <w:jc w:val="center"/>
        </w:trPr>
        <w:tc>
          <w:tcPr>
            <w:tcW w:w="1885" w:type="dxa"/>
            <w:shd w:val="clear" w:color="000000" w:fill="D2EAF1"/>
            <w:noWrap/>
            <w:vAlign w:val="center"/>
          </w:tcPr>
          <w:p w:rsidR="00A421A3" w:rsidRPr="003458B1" w:rsidRDefault="00A421A3" w:rsidP="004F0C61">
            <w:pPr>
              <w:rPr>
                <w:sz w:val="20"/>
                <w:szCs w:val="20"/>
              </w:rPr>
            </w:pPr>
            <w:r w:rsidRPr="003458B1">
              <w:rPr>
                <w:b/>
                <w:sz w:val="20"/>
                <w:szCs w:val="20"/>
              </w:rPr>
              <w:t>Program Total</w:t>
            </w:r>
          </w:p>
        </w:tc>
        <w:tc>
          <w:tcPr>
            <w:tcW w:w="1183"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14</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14.1%</w:t>
            </w:r>
          </w:p>
        </w:tc>
        <w:tc>
          <w:tcPr>
            <w:tcW w:w="1277"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7</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7</w:t>
            </w:r>
          </w:p>
        </w:tc>
        <w:tc>
          <w:tcPr>
            <w:tcW w:w="1276" w:type="dxa"/>
            <w:shd w:val="clear" w:color="000000" w:fill="D2EAF1"/>
            <w:noWrap/>
            <w:vAlign w:val="center"/>
          </w:tcPr>
          <w:p w:rsidR="00A421A3" w:rsidRPr="003458B1" w:rsidRDefault="00A421A3" w:rsidP="004F0C61">
            <w:pPr>
              <w:jc w:val="center"/>
              <w:rPr>
                <w:b/>
                <w:bCs/>
                <w:color w:val="000000"/>
                <w:sz w:val="20"/>
                <w:szCs w:val="20"/>
              </w:rPr>
            </w:pPr>
            <w:r w:rsidRPr="003458B1">
              <w:rPr>
                <w:b/>
                <w:sz w:val="20"/>
                <w:szCs w:val="20"/>
              </w:rPr>
              <w:t>15.0%</w:t>
            </w:r>
          </w:p>
        </w:tc>
        <w:tc>
          <w:tcPr>
            <w:tcW w:w="1277" w:type="dxa"/>
            <w:shd w:val="clear" w:color="000000" w:fill="D2EAF1"/>
            <w:noWrap/>
            <w:vAlign w:val="center"/>
          </w:tcPr>
          <w:p w:rsidR="00A421A3" w:rsidRPr="0033011B" w:rsidRDefault="00A421A3" w:rsidP="004F0C61">
            <w:pPr>
              <w:jc w:val="center"/>
              <w:rPr>
                <w:b/>
                <w:bCs/>
                <w:color w:val="000000"/>
                <w:sz w:val="20"/>
                <w:szCs w:val="20"/>
              </w:rPr>
            </w:pPr>
            <w:r w:rsidRPr="003458B1">
              <w:rPr>
                <w:b/>
                <w:sz w:val="20"/>
                <w:szCs w:val="20"/>
              </w:rPr>
              <w:t>18.5%</w:t>
            </w:r>
          </w:p>
        </w:tc>
      </w:tr>
    </w:tbl>
    <w:p w:rsidR="00A421A3" w:rsidRPr="0033011B" w:rsidRDefault="00A421A3" w:rsidP="00A421A3">
      <w:pPr>
        <w:rPr>
          <w:rFonts w:eastAsia="Calibri"/>
        </w:rPr>
      </w:pPr>
      <w:bookmarkStart w:id="879" w:name="_Ref408508188"/>
      <w:bookmarkStart w:id="880" w:name="_Toc408557492"/>
    </w:p>
    <w:p w:rsidR="00A421A3" w:rsidRPr="003B2BD3" w:rsidRDefault="00A421A3" w:rsidP="00A421A3">
      <w:pPr>
        <w:pStyle w:val="AppendixAHeading4"/>
        <w:rPr>
          <w:rFonts w:eastAsia="Calibri"/>
        </w:rPr>
      </w:pPr>
      <w:bookmarkStart w:id="881" w:name="_Ref409200039"/>
      <w:r w:rsidRPr="003B2BD3">
        <w:rPr>
          <w:rFonts w:eastAsia="Calibri"/>
        </w:rPr>
        <w:t>Ride-Along Site Inspections</w:t>
      </w:r>
      <w:bookmarkEnd w:id="879"/>
      <w:bookmarkEnd w:id="880"/>
      <w:bookmarkEnd w:id="881"/>
    </w:p>
    <w:p w:rsidR="00A421A3" w:rsidRPr="003B2BD3" w:rsidRDefault="00903627" w:rsidP="00A421A3">
      <w:pPr>
        <w:spacing w:after="120"/>
      </w:pPr>
      <w:r w:rsidRPr="00903627">
        <w:fldChar w:fldCharType="begin"/>
      </w:r>
      <w:r w:rsidRPr="00903627">
        <w:instrText xml:space="preserve"> REF _Ref472468192 \h </w:instrText>
      </w:r>
      <w:r>
        <w:instrText xml:space="preserve"> \* MERGEFORMAT </w:instrText>
      </w:r>
      <w:r w:rsidRPr="00903627">
        <w:fldChar w:fldCharType="separate"/>
      </w:r>
      <w:r w:rsidR="00A874AC" w:rsidRPr="00903627">
        <w:t>Table A-</w:t>
      </w:r>
      <w:r w:rsidR="00A874AC">
        <w:t>65</w:t>
      </w:r>
      <w:r w:rsidRPr="00903627">
        <w:fldChar w:fldCharType="end"/>
      </w:r>
      <w:r w:rsidR="00A421A3" w:rsidRPr="00903627">
        <w:t xml:space="preserve"> summarizes the</w:t>
      </w:r>
      <w:r w:rsidR="00A421A3" w:rsidRPr="003B2BD3">
        <w:t xml:space="preserve"> SWE Team’s PY7 ride-along site inspections of Penelec’s non-residential project installations. </w:t>
      </w:r>
      <w:r w:rsidR="00B27FAB" w:rsidRPr="00B27FAB">
        <w:t xml:space="preserve">For PY7, all </w:t>
      </w:r>
      <w:r w:rsidR="00B27FAB">
        <w:t>Penelec</w:t>
      </w:r>
      <w:r w:rsidR="00B27FAB" w:rsidRPr="00B27FAB">
        <w:t xml:space="preserve"> PY7 site inspection findings are categorized as</w:t>
      </w:r>
      <w:r w:rsidR="00A421A3" w:rsidRPr="003B2BD3">
        <w:t xml:space="preserve">: </w:t>
      </w:r>
    </w:p>
    <w:p w:rsidR="00A421A3" w:rsidRPr="003B2BD3" w:rsidRDefault="00A421A3" w:rsidP="00E646C9">
      <w:pPr>
        <w:numPr>
          <w:ilvl w:val="0"/>
          <w:numId w:val="35"/>
        </w:numPr>
        <w:ind w:left="360"/>
      </w:pPr>
      <w:r w:rsidRPr="003B2BD3">
        <w:t xml:space="preserve">Evaluation (Eval) findings are associated with ride-along site inspections and may reflect site activities or evaluation contractor savings calculations or reports. </w:t>
      </w:r>
    </w:p>
    <w:p w:rsidR="007E0D0D" w:rsidRDefault="007E0D0D" w:rsidP="00903627">
      <w:pPr>
        <w:pStyle w:val="Caption"/>
      </w:pPr>
      <w:bookmarkStart w:id="882" w:name="_Ref472468192"/>
      <w:bookmarkStart w:id="883" w:name="_Toc472472474"/>
    </w:p>
    <w:p w:rsidR="00A421A3" w:rsidRDefault="00903627" w:rsidP="00903627">
      <w:pPr>
        <w:pStyle w:val="Caption"/>
      </w:pPr>
      <w:bookmarkStart w:id="884" w:name="_Toc476842180"/>
      <w:r w:rsidRPr="00903627">
        <w:t>Table A-</w:t>
      </w:r>
      <w:fldSimple w:instr=" SEQ Table_A- \* ARABIC ">
        <w:r w:rsidR="00C301D0">
          <w:rPr>
            <w:noProof/>
          </w:rPr>
          <w:t>65</w:t>
        </w:r>
      </w:fldSimple>
      <w:bookmarkEnd w:id="882"/>
      <w:r w:rsidRPr="00903627">
        <w:t>: Penelec’s PY7 Non-Residential Site Inspection Findings</w:t>
      </w:r>
      <w:bookmarkEnd w:id="883"/>
      <w:bookmarkEnd w:id="884"/>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250"/>
        <w:gridCol w:w="1172"/>
        <w:gridCol w:w="2250"/>
        <w:gridCol w:w="990"/>
        <w:gridCol w:w="3688"/>
      </w:tblGrid>
      <w:tr w:rsidR="00A874AC" w:rsidRPr="004B56B4" w:rsidTr="0014308C">
        <w:trPr>
          <w:trHeight w:val="300"/>
          <w:tblHeader/>
        </w:trPr>
        <w:tc>
          <w:tcPr>
            <w:tcW w:w="1250" w:type="dxa"/>
            <w:shd w:val="clear" w:color="auto" w:fill="448A99"/>
            <w:noWrap/>
            <w:vAlign w:val="bottom"/>
            <w:hideMark/>
          </w:tcPr>
          <w:p w:rsidR="00A421A3" w:rsidRPr="004B56B4" w:rsidRDefault="00A421A3" w:rsidP="004F0C61">
            <w:pPr>
              <w:jc w:val="left"/>
              <w:rPr>
                <w:b/>
                <w:bCs/>
                <w:color w:val="FFFFFF"/>
                <w:sz w:val="20"/>
                <w:szCs w:val="20"/>
              </w:rPr>
            </w:pPr>
            <w:r w:rsidRPr="004B56B4">
              <w:rPr>
                <w:b/>
                <w:bCs/>
                <w:color w:val="FFFFFF"/>
                <w:sz w:val="20"/>
                <w:szCs w:val="20"/>
              </w:rPr>
              <w:t>Project ID</w:t>
            </w:r>
          </w:p>
        </w:tc>
        <w:tc>
          <w:tcPr>
            <w:tcW w:w="1172" w:type="dxa"/>
            <w:shd w:val="clear" w:color="auto" w:fill="448A99"/>
            <w:noWrap/>
            <w:vAlign w:val="bottom"/>
            <w:hideMark/>
          </w:tcPr>
          <w:p w:rsidR="00A421A3" w:rsidRPr="004B56B4" w:rsidRDefault="00A421A3" w:rsidP="004F0C61">
            <w:pPr>
              <w:jc w:val="center"/>
              <w:rPr>
                <w:b/>
                <w:bCs/>
                <w:color w:val="FFFFFF"/>
                <w:sz w:val="20"/>
                <w:szCs w:val="20"/>
              </w:rPr>
            </w:pPr>
            <w:r w:rsidRPr="004B56B4">
              <w:rPr>
                <w:b/>
                <w:bCs/>
                <w:color w:val="FFFFFF"/>
                <w:sz w:val="20"/>
                <w:szCs w:val="20"/>
              </w:rPr>
              <w:t>Technology</w:t>
            </w:r>
          </w:p>
        </w:tc>
        <w:tc>
          <w:tcPr>
            <w:tcW w:w="2250" w:type="dxa"/>
            <w:shd w:val="clear" w:color="auto" w:fill="448A99"/>
            <w:noWrap/>
            <w:vAlign w:val="bottom"/>
            <w:hideMark/>
          </w:tcPr>
          <w:p w:rsidR="00A421A3" w:rsidRPr="004B56B4" w:rsidRDefault="00A421A3" w:rsidP="004F0C61">
            <w:pPr>
              <w:jc w:val="center"/>
              <w:rPr>
                <w:b/>
                <w:bCs/>
                <w:color w:val="FFFFFF"/>
                <w:sz w:val="20"/>
                <w:szCs w:val="20"/>
              </w:rPr>
            </w:pPr>
            <w:r w:rsidRPr="004B56B4">
              <w:rPr>
                <w:b/>
                <w:bCs/>
                <w:color w:val="FFFFFF"/>
                <w:sz w:val="20"/>
                <w:szCs w:val="20"/>
              </w:rPr>
              <w:t>Finding</w:t>
            </w:r>
          </w:p>
        </w:tc>
        <w:tc>
          <w:tcPr>
            <w:tcW w:w="990" w:type="dxa"/>
            <w:shd w:val="clear" w:color="auto" w:fill="448A99"/>
            <w:noWrap/>
            <w:vAlign w:val="bottom"/>
            <w:hideMark/>
          </w:tcPr>
          <w:p w:rsidR="00A421A3" w:rsidRPr="004B56B4" w:rsidRDefault="00A421A3" w:rsidP="004F0C61">
            <w:pPr>
              <w:jc w:val="center"/>
              <w:rPr>
                <w:b/>
                <w:bCs/>
                <w:color w:val="FFFFFF"/>
                <w:sz w:val="20"/>
                <w:szCs w:val="20"/>
              </w:rPr>
            </w:pPr>
            <w:r>
              <w:rPr>
                <w:b/>
                <w:bCs/>
                <w:color w:val="FFFFFF"/>
                <w:sz w:val="20"/>
                <w:szCs w:val="20"/>
              </w:rPr>
              <w:t xml:space="preserve">Finding </w:t>
            </w:r>
            <w:r w:rsidRPr="004B56B4">
              <w:rPr>
                <w:b/>
                <w:bCs/>
                <w:color w:val="FFFFFF"/>
                <w:sz w:val="20"/>
                <w:szCs w:val="20"/>
              </w:rPr>
              <w:t>Type</w:t>
            </w:r>
          </w:p>
        </w:tc>
        <w:tc>
          <w:tcPr>
            <w:tcW w:w="3688" w:type="dxa"/>
            <w:shd w:val="clear" w:color="auto" w:fill="448A99"/>
            <w:noWrap/>
            <w:vAlign w:val="bottom"/>
            <w:hideMark/>
          </w:tcPr>
          <w:p w:rsidR="00A421A3" w:rsidRPr="004B56B4" w:rsidRDefault="00A421A3" w:rsidP="004F0C61">
            <w:pPr>
              <w:jc w:val="center"/>
              <w:rPr>
                <w:b/>
                <w:bCs/>
                <w:color w:val="FFFFFF"/>
                <w:sz w:val="20"/>
                <w:szCs w:val="20"/>
              </w:rPr>
            </w:pPr>
            <w:r w:rsidRPr="004B56B4">
              <w:rPr>
                <w:b/>
                <w:bCs/>
                <w:color w:val="FFFFFF"/>
                <w:sz w:val="20"/>
                <w:szCs w:val="20"/>
              </w:rPr>
              <w:t>Resolution</w:t>
            </w:r>
          </w:p>
        </w:tc>
      </w:tr>
      <w:tr w:rsidR="00A874AC" w:rsidRPr="004B56B4" w:rsidTr="0014308C">
        <w:trPr>
          <w:trHeight w:val="300"/>
        </w:trPr>
        <w:tc>
          <w:tcPr>
            <w:tcW w:w="1250" w:type="dxa"/>
            <w:shd w:val="clear" w:color="auto" w:fill="D2EAF1"/>
            <w:noWrap/>
          </w:tcPr>
          <w:p w:rsidR="00A421A3" w:rsidRPr="00D33037" w:rsidRDefault="00A421A3" w:rsidP="004F0C61">
            <w:pPr>
              <w:jc w:val="left"/>
              <w:rPr>
                <w:bCs/>
                <w:color w:val="000000"/>
                <w:sz w:val="20"/>
                <w:szCs w:val="20"/>
                <w:highlight w:val="yellow"/>
              </w:rPr>
            </w:pPr>
            <w:r w:rsidRPr="00D33037">
              <w:rPr>
                <w:bCs/>
                <w:sz w:val="20"/>
                <w:szCs w:val="20"/>
              </w:rPr>
              <w:t>PRJ-787966</w:t>
            </w:r>
          </w:p>
        </w:tc>
        <w:tc>
          <w:tcPr>
            <w:tcW w:w="1172" w:type="dxa"/>
            <w:shd w:val="clear" w:color="auto" w:fill="D2EAF1"/>
            <w:noWrap/>
          </w:tcPr>
          <w:p w:rsidR="00A421A3" w:rsidRPr="00845537" w:rsidRDefault="00A421A3" w:rsidP="004F0C61">
            <w:pPr>
              <w:jc w:val="center"/>
              <w:rPr>
                <w:color w:val="000000"/>
                <w:sz w:val="20"/>
                <w:szCs w:val="20"/>
                <w:highlight w:val="yellow"/>
              </w:rPr>
            </w:pPr>
            <w:r w:rsidRPr="00A10E5A">
              <w:rPr>
                <w:sz w:val="20"/>
                <w:szCs w:val="20"/>
              </w:rPr>
              <w:t>VFDs</w:t>
            </w:r>
          </w:p>
        </w:tc>
        <w:tc>
          <w:tcPr>
            <w:tcW w:w="2250" w:type="dxa"/>
            <w:shd w:val="clear" w:color="auto" w:fill="D2EAF1"/>
            <w:noWrap/>
          </w:tcPr>
          <w:p w:rsidR="00A421A3" w:rsidRPr="00A10E5A" w:rsidRDefault="00A421A3" w:rsidP="004F0C61">
            <w:pPr>
              <w:jc w:val="center"/>
              <w:rPr>
                <w:sz w:val="20"/>
                <w:szCs w:val="20"/>
              </w:rPr>
            </w:pPr>
            <w:r w:rsidRPr="00A10E5A">
              <w:rPr>
                <w:sz w:val="20"/>
                <w:szCs w:val="20"/>
              </w:rPr>
              <w:t xml:space="preserve">The SWE Team found that the </w:t>
            </w:r>
            <w:r w:rsidRPr="00DE5538">
              <w:rPr>
                <w:sz w:val="20"/>
                <w:szCs w:val="20"/>
              </w:rPr>
              <w:t>evaluation contractor’s</w:t>
            </w:r>
            <w:r>
              <w:rPr>
                <w:sz w:val="20"/>
                <w:szCs w:val="20"/>
              </w:rPr>
              <w:t xml:space="preserve"> </w:t>
            </w:r>
            <w:r w:rsidRPr="00A10E5A">
              <w:rPr>
                <w:sz w:val="20"/>
                <w:szCs w:val="20"/>
              </w:rPr>
              <w:t>review of the project is accurate.</w:t>
            </w:r>
          </w:p>
        </w:tc>
        <w:tc>
          <w:tcPr>
            <w:tcW w:w="990" w:type="dxa"/>
            <w:shd w:val="clear" w:color="auto" w:fill="D2EAF1"/>
            <w:noWrap/>
          </w:tcPr>
          <w:p w:rsidR="00A421A3" w:rsidRPr="00A10E5A" w:rsidRDefault="00A421A3" w:rsidP="004F0C61">
            <w:pPr>
              <w:jc w:val="center"/>
              <w:rPr>
                <w:sz w:val="20"/>
                <w:szCs w:val="20"/>
              </w:rPr>
            </w:pPr>
            <w:r w:rsidRPr="00A10E5A">
              <w:rPr>
                <w:sz w:val="20"/>
                <w:szCs w:val="20"/>
              </w:rPr>
              <w:t>Eval</w:t>
            </w:r>
          </w:p>
        </w:tc>
        <w:tc>
          <w:tcPr>
            <w:tcW w:w="3688" w:type="dxa"/>
            <w:shd w:val="clear" w:color="auto" w:fill="D2EAF1"/>
            <w:noWrap/>
          </w:tcPr>
          <w:p w:rsidR="00A421A3" w:rsidRPr="00A10E5A" w:rsidRDefault="00A421A3" w:rsidP="004F0C61">
            <w:pPr>
              <w:jc w:val="center"/>
              <w:rPr>
                <w:sz w:val="20"/>
                <w:szCs w:val="20"/>
              </w:rPr>
            </w:pPr>
            <w:r w:rsidRPr="00A10E5A">
              <w:rPr>
                <w:sz w:val="20"/>
                <w:szCs w:val="20"/>
              </w:rPr>
              <w:t>The SWE Team had no recommendations based on its review of this project.</w:t>
            </w:r>
          </w:p>
        </w:tc>
      </w:tr>
    </w:tbl>
    <w:p w:rsidR="00A421A3" w:rsidRDefault="00A421A3" w:rsidP="00B9141F"/>
    <w:p w:rsidR="00FD201B" w:rsidRDefault="00FD201B" w:rsidP="00FD201B">
      <w:pPr>
        <w:pStyle w:val="AppendixAHeading4"/>
      </w:pPr>
      <w:r>
        <w:lastRenderedPageBreak/>
        <w:t>Verified Savings Review</w:t>
      </w:r>
    </w:p>
    <w:p w:rsidR="00FD201B" w:rsidRPr="003458B1" w:rsidRDefault="00FD201B" w:rsidP="00FD201B">
      <w:pPr>
        <w:rPr>
          <w:color w:val="000000"/>
        </w:rPr>
      </w:pPr>
      <w:r w:rsidRPr="003458B1">
        <w:rPr>
          <w:color w:val="000000"/>
        </w:rPr>
        <w:t xml:space="preserve">The SWE </w:t>
      </w:r>
      <w:r w:rsidRPr="003458B1">
        <w:rPr>
          <w:color w:val="000000"/>
          <w:sz w:val="20"/>
          <w:szCs w:val="20"/>
        </w:rPr>
        <w:t xml:space="preserve">Team </w:t>
      </w:r>
      <w:r w:rsidRPr="003458B1">
        <w:rPr>
          <w:color w:val="000000"/>
        </w:rPr>
        <w:t>reviewed a subset of Penelec’s sampled sites and found appropriate rigor in the evaluation contractor’s M&amp;V methods. There was significant improvement in the presentation of M&amp;V methodology and results in PY7 with the inclusion of a site</w:t>
      </w:r>
      <w:r>
        <w:rPr>
          <w:color w:val="000000"/>
        </w:rPr>
        <w:t>-</w:t>
      </w:r>
      <w:r w:rsidRPr="003458B1">
        <w:rPr>
          <w:color w:val="000000"/>
        </w:rPr>
        <w:t xml:space="preserve">level report for each project file. </w:t>
      </w:r>
      <w:r w:rsidRPr="003458B1">
        <w:rPr>
          <w:color w:val="000000"/>
        </w:rPr>
        <w:fldChar w:fldCharType="begin"/>
      </w:r>
      <w:r w:rsidRPr="003458B1">
        <w:rPr>
          <w:color w:val="000000"/>
        </w:rPr>
        <w:instrText xml:space="preserve"> REF _Ref433898456 \h  \* MERGEFORMAT </w:instrText>
      </w:r>
      <w:r w:rsidRPr="003458B1">
        <w:rPr>
          <w:color w:val="000000"/>
        </w:rPr>
      </w:r>
      <w:r w:rsidRPr="003458B1">
        <w:rPr>
          <w:color w:val="000000"/>
        </w:rPr>
        <w:fldChar w:fldCharType="separate"/>
      </w:r>
      <w:r w:rsidR="00A874AC" w:rsidRPr="00A874AC">
        <w:t>Table A-66</w:t>
      </w:r>
      <w:r w:rsidRPr="003458B1">
        <w:rPr>
          <w:color w:val="000000"/>
        </w:rPr>
        <w:fldChar w:fldCharType="end"/>
      </w:r>
      <w:r w:rsidRPr="003458B1">
        <w:rPr>
          <w:color w:val="000000"/>
        </w:rPr>
        <w:t xml:space="preserve"> shows the energy and demand savings for projects the SWE Team chose to review, as well as the M&amp;V approach selected for site evaluation.</w:t>
      </w:r>
    </w:p>
    <w:p w:rsidR="00FD201B" w:rsidRPr="003458B1" w:rsidRDefault="00FD201B" w:rsidP="00FD201B">
      <w:pPr>
        <w:rPr>
          <w:color w:val="000000"/>
        </w:rPr>
      </w:pPr>
    </w:p>
    <w:p w:rsidR="00FD201B" w:rsidRPr="003458B1" w:rsidRDefault="00FD201B" w:rsidP="00FD201B">
      <w:pPr>
        <w:spacing w:after="120"/>
        <w:jc w:val="center"/>
        <w:rPr>
          <w:rFonts w:ascii="Century Gothic" w:hAnsi="Century Gothic"/>
          <w:b/>
          <w:bCs/>
          <w:sz w:val="18"/>
          <w:szCs w:val="18"/>
        </w:rPr>
      </w:pPr>
      <w:bookmarkStart w:id="885" w:name="_Ref433898456"/>
      <w:bookmarkStart w:id="886" w:name="_Toc410199428"/>
      <w:bookmarkStart w:id="887" w:name="_Toc431462348"/>
      <w:bookmarkStart w:id="888" w:name="_Toc444269870"/>
      <w:bookmarkStart w:id="889" w:name="_Toc472472475"/>
      <w:bookmarkStart w:id="890" w:name="_Toc476842181"/>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66</w:t>
      </w:r>
      <w:r w:rsidRPr="003458B1">
        <w:rPr>
          <w:rFonts w:ascii="Century Gothic" w:hAnsi="Century Gothic"/>
          <w:b/>
          <w:bCs/>
          <w:sz w:val="18"/>
          <w:szCs w:val="18"/>
        </w:rPr>
        <w:fldChar w:fldCharType="end"/>
      </w:r>
      <w:bookmarkEnd w:id="885"/>
      <w:r w:rsidRPr="003458B1">
        <w:rPr>
          <w:rFonts w:ascii="Century Gothic" w:hAnsi="Century Gothic"/>
          <w:b/>
          <w:bCs/>
          <w:sz w:val="18"/>
          <w:szCs w:val="18"/>
        </w:rPr>
        <w:t>: Verified Savin</w:t>
      </w:r>
      <w:r>
        <w:rPr>
          <w:rFonts w:ascii="Century Gothic" w:hAnsi="Century Gothic"/>
          <w:b/>
          <w:bCs/>
          <w:sz w:val="18"/>
          <w:szCs w:val="18"/>
        </w:rPr>
        <w:t>gs and M&amp;V Methods for SWE Team–S</w:t>
      </w:r>
      <w:r w:rsidRPr="003458B1">
        <w:rPr>
          <w:rFonts w:ascii="Century Gothic" w:hAnsi="Century Gothic"/>
          <w:b/>
          <w:bCs/>
          <w:sz w:val="18"/>
          <w:szCs w:val="18"/>
        </w:rPr>
        <w:t>ampled Penelec Projects</w:t>
      </w:r>
      <w:bookmarkEnd w:id="886"/>
      <w:bookmarkEnd w:id="887"/>
      <w:bookmarkEnd w:id="888"/>
      <w:bookmarkEnd w:id="889"/>
      <w:bookmarkEnd w:id="890"/>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537"/>
        <w:gridCol w:w="1562"/>
        <w:gridCol w:w="1562"/>
        <w:gridCol w:w="1563"/>
        <w:gridCol w:w="1562"/>
        <w:gridCol w:w="1564"/>
      </w:tblGrid>
      <w:tr w:rsidR="00A874AC" w:rsidRPr="003458B1" w:rsidTr="004F0C61">
        <w:trPr>
          <w:jc w:val="center"/>
        </w:trPr>
        <w:tc>
          <w:tcPr>
            <w:tcW w:w="1537" w:type="dxa"/>
            <w:shd w:val="clear" w:color="auto" w:fill="448A99"/>
            <w:vAlign w:val="bottom"/>
          </w:tcPr>
          <w:p w:rsidR="00FD201B" w:rsidRPr="003458B1" w:rsidRDefault="00FD201B" w:rsidP="004F0C61">
            <w:pPr>
              <w:jc w:val="left"/>
              <w:rPr>
                <w:rFonts w:eastAsia="Calibri"/>
                <w:b/>
                <w:color w:val="FFFFFF"/>
                <w:sz w:val="20"/>
                <w:szCs w:val="20"/>
              </w:rPr>
            </w:pPr>
            <w:r w:rsidRPr="003458B1">
              <w:rPr>
                <w:rFonts w:eastAsia="Calibri"/>
                <w:b/>
                <w:color w:val="FFFFFF"/>
                <w:sz w:val="20"/>
                <w:szCs w:val="20"/>
              </w:rPr>
              <w:t>Program</w:t>
            </w:r>
          </w:p>
        </w:tc>
        <w:tc>
          <w:tcPr>
            <w:tcW w:w="1562" w:type="dxa"/>
            <w:shd w:val="clear" w:color="auto" w:fill="448A99"/>
            <w:vAlign w:val="bottom"/>
          </w:tcPr>
          <w:p w:rsidR="00FD201B" w:rsidRPr="003458B1" w:rsidRDefault="00FD201B" w:rsidP="004F0C61">
            <w:pPr>
              <w:jc w:val="center"/>
              <w:rPr>
                <w:rFonts w:eastAsia="Calibri"/>
                <w:b/>
                <w:color w:val="FFFFFF"/>
                <w:sz w:val="20"/>
                <w:szCs w:val="20"/>
              </w:rPr>
            </w:pPr>
            <w:r w:rsidRPr="003458B1">
              <w:rPr>
                <w:rFonts w:eastAsia="Calibri"/>
                <w:b/>
                <w:color w:val="FFFFFF"/>
                <w:sz w:val="20"/>
                <w:szCs w:val="20"/>
              </w:rPr>
              <w:t>Project Number</w:t>
            </w:r>
          </w:p>
        </w:tc>
        <w:tc>
          <w:tcPr>
            <w:tcW w:w="1562" w:type="dxa"/>
            <w:shd w:val="clear" w:color="auto" w:fill="448A99"/>
            <w:vAlign w:val="bottom"/>
          </w:tcPr>
          <w:p w:rsidR="00FD201B" w:rsidRPr="003458B1" w:rsidRDefault="00FD201B" w:rsidP="004F0C61">
            <w:pPr>
              <w:jc w:val="center"/>
              <w:rPr>
                <w:rFonts w:eastAsia="Calibri"/>
                <w:b/>
                <w:color w:val="FFFFFF"/>
                <w:sz w:val="20"/>
                <w:szCs w:val="20"/>
              </w:rPr>
            </w:pPr>
            <w:r w:rsidRPr="003458B1">
              <w:rPr>
                <w:rFonts w:eastAsia="Calibri"/>
                <w:b/>
                <w:color w:val="FFFFFF"/>
                <w:sz w:val="20"/>
                <w:szCs w:val="20"/>
              </w:rPr>
              <w:t>Stratum</w:t>
            </w:r>
          </w:p>
        </w:tc>
        <w:tc>
          <w:tcPr>
            <w:tcW w:w="1563" w:type="dxa"/>
            <w:shd w:val="clear" w:color="auto" w:fill="448A99"/>
            <w:vAlign w:val="bottom"/>
          </w:tcPr>
          <w:p w:rsidR="00FD201B" w:rsidRPr="003458B1" w:rsidRDefault="00FD201B" w:rsidP="004F0C61">
            <w:pPr>
              <w:jc w:val="center"/>
              <w:rPr>
                <w:rFonts w:eastAsia="Calibri"/>
                <w:b/>
                <w:color w:val="FFFFFF"/>
                <w:sz w:val="20"/>
                <w:szCs w:val="20"/>
              </w:rPr>
            </w:pPr>
            <w:r w:rsidRPr="003458B1">
              <w:rPr>
                <w:rFonts w:eastAsia="Calibri"/>
                <w:b/>
                <w:color w:val="FFFFFF"/>
                <w:sz w:val="20"/>
                <w:szCs w:val="20"/>
              </w:rPr>
              <w:t>Verified Energy Savings (kWh)</w:t>
            </w:r>
          </w:p>
        </w:tc>
        <w:tc>
          <w:tcPr>
            <w:tcW w:w="1562" w:type="dxa"/>
            <w:shd w:val="clear" w:color="auto" w:fill="448A99"/>
            <w:vAlign w:val="bottom"/>
          </w:tcPr>
          <w:p w:rsidR="00FD201B" w:rsidRPr="003458B1" w:rsidRDefault="00FD201B" w:rsidP="004F0C61">
            <w:pPr>
              <w:jc w:val="center"/>
              <w:rPr>
                <w:rFonts w:eastAsia="Calibri"/>
                <w:b/>
                <w:color w:val="FFFFFF"/>
                <w:sz w:val="20"/>
                <w:szCs w:val="20"/>
              </w:rPr>
            </w:pPr>
            <w:r w:rsidRPr="003458B1">
              <w:rPr>
                <w:rFonts w:eastAsia="Calibri"/>
                <w:b/>
                <w:color w:val="FFFFFF"/>
                <w:sz w:val="20"/>
                <w:szCs w:val="20"/>
              </w:rPr>
              <w:t>Verified Demand Savings (kW)</w:t>
            </w:r>
          </w:p>
        </w:tc>
        <w:tc>
          <w:tcPr>
            <w:tcW w:w="1564" w:type="dxa"/>
            <w:shd w:val="clear" w:color="auto" w:fill="448A99"/>
            <w:vAlign w:val="bottom"/>
          </w:tcPr>
          <w:p w:rsidR="00FD201B" w:rsidRPr="003458B1" w:rsidRDefault="00FD201B" w:rsidP="004F0C61">
            <w:pPr>
              <w:jc w:val="center"/>
              <w:rPr>
                <w:rFonts w:eastAsia="Calibri"/>
                <w:b/>
                <w:color w:val="FFFFFF"/>
                <w:sz w:val="20"/>
                <w:szCs w:val="20"/>
              </w:rPr>
            </w:pPr>
            <w:r w:rsidRPr="003458B1">
              <w:rPr>
                <w:rFonts w:eastAsia="Calibri"/>
                <w:b/>
                <w:color w:val="FFFFFF"/>
                <w:sz w:val="20"/>
                <w:szCs w:val="20"/>
              </w:rPr>
              <w:t>M&amp;V Method</w:t>
            </w:r>
          </w:p>
        </w:tc>
      </w:tr>
      <w:tr w:rsidR="00A874AC" w:rsidRPr="003458B1" w:rsidTr="004F0C61">
        <w:trPr>
          <w:trHeight w:val="346"/>
          <w:jc w:val="center"/>
        </w:trPr>
        <w:tc>
          <w:tcPr>
            <w:tcW w:w="1537" w:type="dxa"/>
            <w:shd w:val="clear" w:color="auto" w:fill="D2EAF1"/>
            <w:vAlign w:val="center"/>
          </w:tcPr>
          <w:p w:rsidR="00FD201B" w:rsidRPr="003458B1" w:rsidRDefault="00FD201B" w:rsidP="004F0C61">
            <w:pPr>
              <w:jc w:val="left"/>
              <w:rPr>
                <w:rFonts w:eastAsia="Calibri"/>
                <w:sz w:val="20"/>
                <w:szCs w:val="20"/>
              </w:rPr>
            </w:pPr>
            <w:r w:rsidRPr="003458B1">
              <w:rPr>
                <w:rFonts w:eastAsia="Calibri"/>
                <w:sz w:val="20"/>
                <w:szCs w:val="20"/>
              </w:rPr>
              <w:t>Large C/I Equipment</w:t>
            </w:r>
          </w:p>
        </w:tc>
        <w:tc>
          <w:tcPr>
            <w:tcW w:w="1562" w:type="dxa"/>
            <w:shd w:val="clear" w:color="auto" w:fill="D2EAF1"/>
            <w:vAlign w:val="center"/>
          </w:tcPr>
          <w:p w:rsidR="00FD201B" w:rsidRPr="003458B1" w:rsidRDefault="00FD201B" w:rsidP="004F0C61">
            <w:pPr>
              <w:jc w:val="center"/>
              <w:rPr>
                <w:rFonts w:eastAsia="Calibri"/>
                <w:sz w:val="20"/>
                <w:szCs w:val="20"/>
              </w:rPr>
            </w:pPr>
            <w:r w:rsidRPr="003458B1">
              <w:rPr>
                <w:rFonts w:cs="Calibri"/>
                <w:color w:val="000000"/>
                <w:sz w:val="20"/>
                <w:szCs w:val="20"/>
              </w:rPr>
              <w:t>CR_PRJ-350683</w:t>
            </w:r>
          </w:p>
        </w:tc>
        <w:tc>
          <w:tcPr>
            <w:tcW w:w="1562" w:type="dxa"/>
            <w:shd w:val="clear" w:color="auto" w:fill="D2EAF1"/>
            <w:vAlign w:val="center"/>
          </w:tcPr>
          <w:p w:rsidR="00FD201B" w:rsidRPr="003458B1" w:rsidRDefault="00FD201B" w:rsidP="004F0C61">
            <w:pPr>
              <w:jc w:val="center"/>
              <w:rPr>
                <w:rFonts w:eastAsia="Calibri"/>
                <w:sz w:val="20"/>
                <w:szCs w:val="20"/>
              </w:rPr>
            </w:pPr>
            <w:r>
              <w:rPr>
                <w:rFonts w:cs="Calibri"/>
                <w:color w:val="000000"/>
                <w:sz w:val="20"/>
                <w:szCs w:val="20"/>
              </w:rPr>
              <w:t>Custom – c</w:t>
            </w:r>
            <w:r w:rsidRPr="003458B1">
              <w:rPr>
                <w:rFonts w:cs="Calibri"/>
                <w:color w:val="000000"/>
                <w:sz w:val="20"/>
                <w:szCs w:val="20"/>
              </w:rPr>
              <w:t>ertainty</w:t>
            </w:r>
          </w:p>
        </w:tc>
        <w:tc>
          <w:tcPr>
            <w:tcW w:w="1563" w:type="dxa"/>
            <w:shd w:val="clear" w:color="auto" w:fill="D2EAF1"/>
            <w:vAlign w:val="center"/>
          </w:tcPr>
          <w:p w:rsidR="00FD201B" w:rsidRPr="003458B1" w:rsidRDefault="00FD201B" w:rsidP="004F0C61">
            <w:pPr>
              <w:jc w:val="center"/>
              <w:rPr>
                <w:rFonts w:eastAsia="Calibri"/>
                <w:sz w:val="20"/>
                <w:szCs w:val="20"/>
              </w:rPr>
            </w:pPr>
            <w:r w:rsidRPr="003458B1">
              <w:rPr>
                <w:rFonts w:cs="Calibri"/>
                <w:color w:val="000000"/>
                <w:sz w:val="20"/>
                <w:szCs w:val="20"/>
              </w:rPr>
              <w:t>11,462,920</w:t>
            </w:r>
          </w:p>
        </w:tc>
        <w:tc>
          <w:tcPr>
            <w:tcW w:w="1562" w:type="dxa"/>
            <w:shd w:val="clear" w:color="auto" w:fill="D2EAF1"/>
            <w:vAlign w:val="center"/>
          </w:tcPr>
          <w:p w:rsidR="00FD201B" w:rsidRPr="003458B1" w:rsidRDefault="00FD201B" w:rsidP="004F0C61">
            <w:pPr>
              <w:jc w:val="center"/>
              <w:rPr>
                <w:rFonts w:eastAsia="Calibri"/>
                <w:sz w:val="20"/>
                <w:szCs w:val="20"/>
              </w:rPr>
            </w:pPr>
            <w:r w:rsidRPr="003458B1">
              <w:rPr>
                <w:rFonts w:cs="Calibri"/>
                <w:color w:val="000000"/>
                <w:sz w:val="20"/>
                <w:szCs w:val="20"/>
              </w:rPr>
              <w:t>1,417</w:t>
            </w:r>
          </w:p>
        </w:tc>
        <w:tc>
          <w:tcPr>
            <w:tcW w:w="1564" w:type="dxa"/>
            <w:shd w:val="clear" w:color="auto" w:fill="D2EAF1"/>
            <w:vAlign w:val="center"/>
          </w:tcPr>
          <w:p w:rsidR="00FD201B" w:rsidRPr="003458B1" w:rsidRDefault="00FD201B" w:rsidP="004F0C61">
            <w:pPr>
              <w:jc w:val="center"/>
              <w:rPr>
                <w:rFonts w:eastAsia="Calibri"/>
                <w:sz w:val="20"/>
                <w:szCs w:val="20"/>
              </w:rPr>
            </w:pPr>
            <w:r>
              <w:rPr>
                <w:rFonts w:cs="Calibri"/>
                <w:color w:val="000000"/>
                <w:sz w:val="20"/>
                <w:szCs w:val="20"/>
              </w:rPr>
              <w:t>EMS data a</w:t>
            </w:r>
            <w:r w:rsidRPr="003458B1">
              <w:rPr>
                <w:rFonts w:cs="Calibri"/>
                <w:color w:val="000000"/>
                <w:sz w:val="20"/>
                <w:szCs w:val="20"/>
              </w:rPr>
              <w:t>nalysis (CHP)</w:t>
            </w:r>
          </w:p>
        </w:tc>
      </w:tr>
      <w:tr w:rsidR="00E7173E" w:rsidRPr="003458B1" w:rsidTr="0081757B">
        <w:trPr>
          <w:trHeight w:val="346"/>
          <w:jc w:val="center"/>
        </w:trPr>
        <w:tc>
          <w:tcPr>
            <w:tcW w:w="1537" w:type="dxa"/>
            <w:shd w:val="clear" w:color="auto" w:fill="auto"/>
            <w:vAlign w:val="center"/>
          </w:tcPr>
          <w:p w:rsidR="00FD201B" w:rsidRPr="003458B1" w:rsidRDefault="00FD201B" w:rsidP="004F0C61">
            <w:pPr>
              <w:jc w:val="left"/>
              <w:rPr>
                <w:rFonts w:eastAsia="Calibri"/>
                <w:sz w:val="20"/>
                <w:szCs w:val="20"/>
              </w:rPr>
            </w:pPr>
            <w:r w:rsidRPr="003458B1">
              <w:rPr>
                <w:rFonts w:eastAsia="Calibri"/>
                <w:sz w:val="20"/>
                <w:szCs w:val="20"/>
              </w:rPr>
              <w:t>Large C/I Equipment</w:t>
            </w:r>
          </w:p>
        </w:tc>
        <w:tc>
          <w:tcPr>
            <w:tcW w:w="1562" w:type="dxa"/>
            <w:shd w:val="clear" w:color="auto" w:fill="auto"/>
            <w:vAlign w:val="center"/>
          </w:tcPr>
          <w:p w:rsidR="00FD201B" w:rsidRPr="003458B1" w:rsidRDefault="00FD201B" w:rsidP="004F0C61">
            <w:pPr>
              <w:jc w:val="center"/>
              <w:rPr>
                <w:rFonts w:eastAsia="Calibri"/>
                <w:sz w:val="20"/>
                <w:szCs w:val="20"/>
              </w:rPr>
            </w:pPr>
            <w:r w:rsidRPr="003458B1">
              <w:rPr>
                <w:rFonts w:cs="Calibri"/>
                <w:color w:val="000000"/>
                <w:sz w:val="20"/>
                <w:szCs w:val="20"/>
              </w:rPr>
              <w:t>CR_PRJ-364757</w:t>
            </w:r>
          </w:p>
        </w:tc>
        <w:tc>
          <w:tcPr>
            <w:tcW w:w="1562" w:type="dxa"/>
            <w:shd w:val="clear" w:color="auto" w:fill="auto"/>
            <w:vAlign w:val="center"/>
          </w:tcPr>
          <w:p w:rsidR="00FD201B" w:rsidRPr="003458B1" w:rsidRDefault="00FD201B" w:rsidP="004F0C61">
            <w:pPr>
              <w:jc w:val="center"/>
              <w:rPr>
                <w:rFonts w:eastAsia="Calibri"/>
                <w:sz w:val="20"/>
                <w:szCs w:val="20"/>
              </w:rPr>
            </w:pPr>
            <w:r>
              <w:rPr>
                <w:rFonts w:cs="Calibri"/>
                <w:color w:val="000000"/>
                <w:sz w:val="20"/>
                <w:szCs w:val="20"/>
              </w:rPr>
              <w:t xml:space="preserve">Lighting – </w:t>
            </w:r>
            <w:r w:rsidRPr="003458B1">
              <w:rPr>
                <w:rFonts w:cs="Calibri"/>
                <w:color w:val="000000"/>
                <w:sz w:val="20"/>
                <w:szCs w:val="20"/>
              </w:rPr>
              <w:t>4</w:t>
            </w:r>
          </w:p>
        </w:tc>
        <w:tc>
          <w:tcPr>
            <w:tcW w:w="1563" w:type="dxa"/>
            <w:shd w:val="clear" w:color="auto" w:fill="auto"/>
            <w:vAlign w:val="center"/>
          </w:tcPr>
          <w:p w:rsidR="00FD201B" w:rsidRPr="003458B1" w:rsidRDefault="00FD201B" w:rsidP="004F0C61">
            <w:pPr>
              <w:jc w:val="center"/>
              <w:rPr>
                <w:rFonts w:eastAsia="Calibri"/>
                <w:sz w:val="20"/>
                <w:szCs w:val="20"/>
              </w:rPr>
            </w:pPr>
            <w:r w:rsidRPr="003458B1">
              <w:rPr>
                <w:rFonts w:cs="Calibri"/>
                <w:color w:val="000000"/>
                <w:sz w:val="20"/>
                <w:szCs w:val="20"/>
              </w:rPr>
              <w:t>133,467</w:t>
            </w:r>
          </w:p>
        </w:tc>
        <w:tc>
          <w:tcPr>
            <w:tcW w:w="1562" w:type="dxa"/>
            <w:shd w:val="clear" w:color="auto" w:fill="auto"/>
            <w:vAlign w:val="center"/>
          </w:tcPr>
          <w:p w:rsidR="00FD201B" w:rsidRPr="003458B1" w:rsidRDefault="00FD201B" w:rsidP="004F0C61">
            <w:pPr>
              <w:jc w:val="center"/>
              <w:rPr>
                <w:rFonts w:eastAsia="Calibri"/>
                <w:sz w:val="20"/>
                <w:szCs w:val="20"/>
              </w:rPr>
            </w:pPr>
            <w:r w:rsidRPr="003458B1">
              <w:rPr>
                <w:rFonts w:cs="Calibri"/>
                <w:color w:val="000000"/>
                <w:sz w:val="20"/>
                <w:szCs w:val="20"/>
              </w:rPr>
              <w:t>15.24</w:t>
            </w:r>
          </w:p>
        </w:tc>
        <w:tc>
          <w:tcPr>
            <w:tcW w:w="1564" w:type="dxa"/>
            <w:shd w:val="clear" w:color="auto" w:fill="auto"/>
            <w:vAlign w:val="center"/>
          </w:tcPr>
          <w:p w:rsidR="00FD201B" w:rsidRPr="003458B1" w:rsidRDefault="00FD201B" w:rsidP="004F0C61">
            <w:pPr>
              <w:jc w:val="center"/>
              <w:rPr>
                <w:rFonts w:eastAsia="Calibri"/>
                <w:sz w:val="20"/>
                <w:szCs w:val="20"/>
              </w:rPr>
            </w:pPr>
            <w:r>
              <w:rPr>
                <w:rFonts w:cs="Calibri"/>
                <w:color w:val="000000"/>
                <w:sz w:val="20"/>
                <w:szCs w:val="20"/>
              </w:rPr>
              <w:t>On-s</w:t>
            </w:r>
            <w:r w:rsidRPr="003458B1">
              <w:rPr>
                <w:rFonts w:cs="Calibri"/>
                <w:color w:val="000000"/>
                <w:sz w:val="20"/>
                <w:szCs w:val="20"/>
              </w:rPr>
              <w:t xml:space="preserve">ite + </w:t>
            </w:r>
            <w:r>
              <w:rPr>
                <w:rFonts w:cs="Calibri"/>
                <w:color w:val="000000"/>
                <w:sz w:val="20"/>
                <w:szCs w:val="20"/>
              </w:rPr>
              <w:t>l</w:t>
            </w:r>
            <w:r w:rsidRPr="003458B1">
              <w:rPr>
                <w:rFonts w:cs="Calibri"/>
                <w:color w:val="000000"/>
                <w:sz w:val="20"/>
                <w:szCs w:val="20"/>
              </w:rPr>
              <w:t>ogging</w:t>
            </w:r>
          </w:p>
        </w:tc>
      </w:tr>
      <w:tr w:rsidR="00A874AC" w:rsidRPr="003458B1" w:rsidTr="004F0C61">
        <w:trPr>
          <w:trHeight w:val="346"/>
          <w:jc w:val="center"/>
        </w:trPr>
        <w:tc>
          <w:tcPr>
            <w:tcW w:w="1537" w:type="dxa"/>
            <w:shd w:val="clear" w:color="auto" w:fill="D2EAF1"/>
            <w:vAlign w:val="center"/>
          </w:tcPr>
          <w:p w:rsidR="00FD201B" w:rsidRPr="003458B1" w:rsidRDefault="00FD201B" w:rsidP="004F0C61">
            <w:pPr>
              <w:jc w:val="left"/>
              <w:rPr>
                <w:rFonts w:eastAsia="Calibri"/>
                <w:sz w:val="20"/>
                <w:szCs w:val="20"/>
              </w:rPr>
            </w:pPr>
            <w:r w:rsidRPr="003458B1">
              <w:rPr>
                <w:rFonts w:eastAsia="Calibri"/>
                <w:sz w:val="20"/>
                <w:szCs w:val="20"/>
              </w:rPr>
              <w:t>Large C/I Equipment</w:t>
            </w:r>
          </w:p>
        </w:tc>
        <w:tc>
          <w:tcPr>
            <w:tcW w:w="1562" w:type="dxa"/>
            <w:shd w:val="clear" w:color="auto" w:fill="D2EAF1"/>
            <w:vAlign w:val="center"/>
          </w:tcPr>
          <w:p w:rsidR="00FD201B" w:rsidRPr="003458B1" w:rsidRDefault="00FD201B" w:rsidP="004F0C61">
            <w:pPr>
              <w:jc w:val="center"/>
              <w:rPr>
                <w:rFonts w:eastAsia="Calibri"/>
                <w:sz w:val="20"/>
                <w:szCs w:val="20"/>
              </w:rPr>
            </w:pPr>
            <w:r w:rsidRPr="003458B1">
              <w:rPr>
                <w:rFonts w:cs="Calibri"/>
                <w:color w:val="000000"/>
                <w:sz w:val="20"/>
                <w:szCs w:val="20"/>
              </w:rPr>
              <w:t>CR_PRJ-441629</w:t>
            </w:r>
          </w:p>
        </w:tc>
        <w:tc>
          <w:tcPr>
            <w:tcW w:w="1562" w:type="dxa"/>
            <w:shd w:val="clear" w:color="auto" w:fill="D2EAF1"/>
            <w:vAlign w:val="center"/>
          </w:tcPr>
          <w:p w:rsidR="00FD201B" w:rsidRPr="003458B1" w:rsidRDefault="00FD201B" w:rsidP="004F0C61">
            <w:pPr>
              <w:jc w:val="center"/>
              <w:rPr>
                <w:rFonts w:eastAsia="Calibri"/>
                <w:sz w:val="20"/>
                <w:szCs w:val="20"/>
              </w:rPr>
            </w:pPr>
            <w:r>
              <w:rPr>
                <w:rFonts w:cs="Calibri"/>
                <w:color w:val="000000"/>
                <w:sz w:val="20"/>
                <w:szCs w:val="20"/>
              </w:rPr>
              <w:t>Lighting – c</w:t>
            </w:r>
            <w:r w:rsidRPr="003458B1">
              <w:rPr>
                <w:rFonts w:cs="Calibri"/>
                <w:color w:val="000000"/>
                <w:sz w:val="20"/>
                <w:szCs w:val="20"/>
              </w:rPr>
              <w:t>ertainty</w:t>
            </w:r>
          </w:p>
        </w:tc>
        <w:tc>
          <w:tcPr>
            <w:tcW w:w="1563" w:type="dxa"/>
            <w:shd w:val="clear" w:color="auto" w:fill="D2EAF1"/>
            <w:vAlign w:val="center"/>
          </w:tcPr>
          <w:p w:rsidR="00FD201B" w:rsidRPr="003458B1" w:rsidRDefault="00FD201B" w:rsidP="004F0C61">
            <w:pPr>
              <w:jc w:val="center"/>
              <w:rPr>
                <w:rFonts w:eastAsia="Calibri"/>
                <w:sz w:val="20"/>
                <w:szCs w:val="20"/>
              </w:rPr>
            </w:pPr>
            <w:r w:rsidRPr="003458B1">
              <w:rPr>
                <w:rFonts w:cs="Calibri"/>
                <w:color w:val="000000"/>
                <w:sz w:val="20"/>
                <w:szCs w:val="20"/>
              </w:rPr>
              <w:t>1,305,240</w:t>
            </w:r>
          </w:p>
        </w:tc>
        <w:tc>
          <w:tcPr>
            <w:tcW w:w="1562" w:type="dxa"/>
            <w:shd w:val="clear" w:color="auto" w:fill="D2EAF1"/>
            <w:vAlign w:val="center"/>
          </w:tcPr>
          <w:p w:rsidR="00FD201B" w:rsidRPr="003458B1" w:rsidRDefault="00FD201B" w:rsidP="004F0C61">
            <w:pPr>
              <w:jc w:val="center"/>
              <w:rPr>
                <w:rFonts w:eastAsia="Calibri"/>
                <w:sz w:val="20"/>
                <w:szCs w:val="20"/>
              </w:rPr>
            </w:pPr>
            <w:r w:rsidRPr="003458B1">
              <w:rPr>
                <w:rFonts w:cs="Calibri"/>
                <w:color w:val="000000"/>
                <w:sz w:val="20"/>
                <w:szCs w:val="20"/>
              </w:rPr>
              <w:t>149</w:t>
            </w:r>
          </w:p>
        </w:tc>
        <w:tc>
          <w:tcPr>
            <w:tcW w:w="1564" w:type="dxa"/>
            <w:shd w:val="clear" w:color="auto" w:fill="D2EAF1"/>
            <w:vAlign w:val="center"/>
          </w:tcPr>
          <w:p w:rsidR="00FD201B" w:rsidRPr="003458B1" w:rsidRDefault="00FD201B" w:rsidP="004F0C61">
            <w:pPr>
              <w:jc w:val="center"/>
              <w:rPr>
                <w:rFonts w:eastAsia="Calibri"/>
                <w:sz w:val="20"/>
                <w:szCs w:val="20"/>
              </w:rPr>
            </w:pPr>
            <w:r>
              <w:rPr>
                <w:rFonts w:cs="Calibri"/>
                <w:color w:val="000000"/>
                <w:sz w:val="20"/>
                <w:szCs w:val="20"/>
              </w:rPr>
              <w:t>On-s</w:t>
            </w:r>
            <w:r w:rsidRPr="003458B1">
              <w:rPr>
                <w:rFonts w:cs="Calibri"/>
                <w:color w:val="000000"/>
                <w:sz w:val="20"/>
                <w:szCs w:val="20"/>
              </w:rPr>
              <w:t xml:space="preserve">ite + </w:t>
            </w:r>
            <w:r>
              <w:rPr>
                <w:rFonts w:cs="Calibri"/>
                <w:color w:val="000000"/>
                <w:sz w:val="20"/>
                <w:szCs w:val="20"/>
              </w:rPr>
              <w:t>lo</w:t>
            </w:r>
            <w:r w:rsidRPr="003458B1">
              <w:rPr>
                <w:rFonts w:cs="Calibri"/>
                <w:color w:val="000000"/>
                <w:sz w:val="20"/>
                <w:szCs w:val="20"/>
              </w:rPr>
              <w:t>gging</w:t>
            </w:r>
          </w:p>
        </w:tc>
      </w:tr>
    </w:tbl>
    <w:p w:rsidR="00FD201B" w:rsidRPr="003458B1" w:rsidRDefault="00FD201B" w:rsidP="00FD201B"/>
    <w:p w:rsidR="00FD201B" w:rsidRPr="003458B1" w:rsidRDefault="00FD201B" w:rsidP="00FD201B">
      <w:pPr>
        <w:rPr>
          <w:color w:val="000000"/>
        </w:rPr>
      </w:pPr>
      <w:r w:rsidRPr="003458B1">
        <w:rPr>
          <w:color w:val="000000"/>
        </w:rPr>
        <w:t>Project CR_PRJ-350683 was a</w:t>
      </w:r>
      <w:r w:rsidR="000901B7">
        <w:rPr>
          <w:color w:val="000000"/>
        </w:rPr>
        <w:t xml:space="preserve"> combined heat and power</w:t>
      </w:r>
      <w:r w:rsidRPr="003458B1">
        <w:rPr>
          <w:color w:val="000000"/>
        </w:rPr>
        <w:t xml:space="preserve"> </w:t>
      </w:r>
      <w:r w:rsidR="000901B7">
        <w:rPr>
          <w:color w:val="000000"/>
        </w:rPr>
        <w:t>(</w:t>
      </w:r>
      <w:r w:rsidRPr="003458B1">
        <w:rPr>
          <w:color w:val="000000"/>
        </w:rPr>
        <w:t>CHP</w:t>
      </w:r>
      <w:r w:rsidR="000901B7">
        <w:rPr>
          <w:color w:val="000000"/>
        </w:rPr>
        <w:t>)</w:t>
      </w:r>
      <w:r w:rsidRPr="003458B1">
        <w:rPr>
          <w:color w:val="000000"/>
        </w:rPr>
        <w:t xml:space="preserve"> project at a manufacturing facility in Altoona, PA. The old compressors had been oversized for the situ</w:t>
      </w:r>
      <w:r>
        <w:rPr>
          <w:color w:val="000000"/>
        </w:rPr>
        <w:t>ation and were inefficient. As-b</w:t>
      </w:r>
      <w:r w:rsidRPr="003458B1">
        <w:rPr>
          <w:color w:val="000000"/>
        </w:rPr>
        <w:t xml:space="preserve">uilt CHP output from the EMS was provided to the </w:t>
      </w:r>
      <w:r w:rsidRPr="00341F68">
        <w:t>evaluation contractor</w:t>
      </w:r>
      <w:r w:rsidRPr="00E021B2" w:rsidDel="006054DE">
        <w:rPr>
          <w:sz w:val="20"/>
          <w:szCs w:val="20"/>
        </w:rPr>
        <w:t xml:space="preserve"> </w:t>
      </w:r>
      <w:r w:rsidRPr="003458B1">
        <w:rPr>
          <w:color w:val="000000"/>
        </w:rPr>
        <w:t xml:space="preserve">by the site, </w:t>
      </w:r>
      <w:r>
        <w:rPr>
          <w:color w:val="000000"/>
        </w:rPr>
        <w:t>and</w:t>
      </w:r>
      <w:r w:rsidRPr="003458B1">
        <w:rPr>
          <w:color w:val="000000"/>
        </w:rPr>
        <w:t xml:space="preserve"> the total energy and demand savings were determined through statistical analysis.</w:t>
      </w:r>
      <w:r w:rsidRPr="003458B1">
        <w:t xml:space="preserve"> </w:t>
      </w:r>
      <w:r w:rsidRPr="003458B1">
        <w:rPr>
          <w:color w:val="000000"/>
        </w:rPr>
        <w:t xml:space="preserve">ADM performed two site visits and confirmed installation and nameplate specs of the system. The SWE </w:t>
      </w:r>
      <w:r>
        <w:rPr>
          <w:color w:val="000000"/>
        </w:rPr>
        <w:t>T</w:t>
      </w:r>
      <w:r w:rsidRPr="003458B1">
        <w:rPr>
          <w:color w:val="000000"/>
        </w:rPr>
        <w:t>eam agrees with the level of rigor used in evaluating this project.</w:t>
      </w:r>
    </w:p>
    <w:p w:rsidR="00FD201B" w:rsidRPr="003458B1" w:rsidRDefault="00FD201B" w:rsidP="00FD201B">
      <w:pPr>
        <w:rPr>
          <w:color w:val="000000"/>
        </w:rPr>
      </w:pPr>
    </w:p>
    <w:p w:rsidR="00FD201B" w:rsidRPr="003458B1" w:rsidRDefault="00FD201B" w:rsidP="00FD201B">
      <w:pPr>
        <w:rPr>
          <w:color w:val="000000"/>
        </w:rPr>
      </w:pPr>
      <w:r w:rsidRPr="00C63792">
        <w:rPr>
          <w:color w:val="000000"/>
        </w:rPr>
        <w:t>Project</w:t>
      </w:r>
      <w:r w:rsidRPr="003458B1">
        <w:rPr>
          <w:color w:val="000000"/>
        </w:rPr>
        <w:t xml:space="preserve"> CR_PRJ-364757 involved a lighting retrofit of 59 fixtures at an industrial facility in Oil City, PA. Interior, uncooled metal halide fixtures were replaced with T5 fixtures. The </w:t>
      </w:r>
      <w:r w:rsidRPr="005332AC">
        <w:t>evaluation contractor</w:t>
      </w:r>
      <w:r w:rsidRPr="00E021B2" w:rsidDel="006054DE">
        <w:rPr>
          <w:sz w:val="20"/>
          <w:szCs w:val="20"/>
        </w:rPr>
        <w:t xml:space="preserve"> </w:t>
      </w:r>
      <w:r w:rsidRPr="003458B1">
        <w:rPr>
          <w:color w:val="000000"/>
        </w:rPr>
        <w:t xml:space="preserve">deployed </w:t>
      </w:r>
      <w:r>
        <w:rPr>
          <w:color w:val="000000"/>
        </w:rPr>
        <w:t>two</w:t>
      </w:r>
      <w:r w:rsidRPr="003458B1">
        <w:rPr>
          <w:color w:val="000000"/>
        </w:rPr>
        <w:t xml:space="preserve"> lighting loggers that confirmed 8</w:t>
      </w:r>
      <w:r>
        <w:rPr>
          <w:color w:val="000000"/>
        </w:rPr>
        <w:t>,</w:t>
      </w:r>
      <w:r w:rsidRPr="003458B1">
        <w:rPr>
          <w:color w:val="000000"/>
        </w:rPr>
        <w:t xml:space="preserve">760 </w:t>
      </w:r>
      <w:r>
        <w:rPr>
          <w:color w:val="000000"/>
        </w:rPr>
        <w:t>HOU</w:t>
      </w:r>
      <w:r w:rsidRPr="003458B1">
        <w:rPr>
          <w:color w:val="000000"/>
        </w:rPr>
        <w:t>. There were no differences between the ex</w:t>
      </w:r>
      <w:r>
        <w:rPr>
          <w:color w:val="000000"/>
        </w:rPr>
        <w:t xml:space="preserve"> </w:t>
      </w:r>
      <w:r w:rsidRPr="003458B1">
        <w:rPr>
          <w:color w:val="000000"/>
        </w:rPr>
        <w:t>ante and ex</w:t>
      </w:r>
      <w:r>
        <w:rPr>
          <w:color w:val="000000"/>
        </w:rPr>
        <w:t xml:space="preserve"> </w:t>
      </w:r>
      <w:r w:rsidRPr="003458B1">
        <w:rPr>
          <w:color w:val="000000"/>
        </w:rPr>
        <w:t xml:space="preserve">post values. </w:t>
      </w:r>
    </w:p>
    <w:p w:rsidR="00FD201B" w:rsidRPr="003458B1" w:rsidRDefault="00FD201B" w:rsidP="00FD201B">
      <w:pPr>
        <w:rPr>
          <w:color w:val="000000"/>
        </w:rPr>
      </w:pPr>
    </w:p>
    <w:p w:rsidR="00FD201B" w:rsidRPr="003458B1" w:rsidRDefault="00FD201B" w:rsidP="00FD201B">
      <w:pPr>
        <w:rPr>
          <w:color w:val="000000"/>
        </w:rPr>
      </w:pPr>
      <w:r w:rsidRPr="003458B1">
        <w:rPr>
          <w:color w:val="000000"/>
        </w:rPr>
        <w:t xml:space="preserve">Project CR_PRJ-441629 involved a lighting retrofit of 500 fixtures at a manufacturing facility in Erie, PA. Interior, uncooled 400W metal halide fixtures were replaced with 160W LED fixtures. The </w:t>
      </w:r>
      <w:r w:rsidRPr="005332AC">
        <w:t>evaluation contractor</w:t>
      </w:r>
      <w:r w:rsidRPr="005332AC" w:rsidDel="006054DE">
        <w:t xml:space="preserve"> </w:t>
      </w:r>
      <w:r w:rsidRPr="003458B1">
        <w:rPr>
          <w:color w:val="000000"/>
        </w:rPr>
        <w:t xml:space="preserve">deployed </w:t>
      </w:r>
      <w:r>
        <w:rPr>
          <w:color w:val="000000"/>
        </w:rPr>
        <w:t>seven</w:t>
      </w:r>
      <w:r w:rsidRPr="003458B1">
        <w:rPr>
          <w:color w:val="000000"/>
        </w:rPr>
        <w:t xml:space="preserve"> lighting loggers that confirmed 8</w:t>
      </w:r>
      <w:r>
        <w:rPr>
          <w:color w:val="000000"/>
        </w:rPr>
        <w:t>,</w:t>
      </w:r>
      <w:r w:rsidRPr="003458B1">
        <w:rPr>
          <w:color w:val="000000"/>
        </w:rPr>
        <w:t xml:space="preserve">760 </w:t>
      </w:r>
      <w:r>
        <w:rPr>
          <w:color w:val="000000"/>
        </w:rPr>
        <w:t>HOU</w:t>
      </w:r>
      <w:r w:rsidRPr="003458B1">
        <w:rPr>
          <w:color w:val="000000"/>
        </w:rPr>
        <w:t>. There were no differences between the ex</w:t>
      </w:r>
      <w:r>
        <w:rPr>
          <w:color w:val="000000"/>
        </w:rPr>
        <w:t xml:space="preserve"> </w:t>
      </w:r>
      <w:r w:rsidRPr="003458B1">
        <w:rPr>
          <w:color w:val="000000"/>
        </w:rPr>
        <w:t>ante and ex</w:t>
      </w:r>
      <w:r>
        <w:rPr>
          <w:color w:val="000000"/>
        </w:rPr>
        <w:t xml:space="preserve"> </w:t>
      </w:r>
      <w:r w:rsidRPr="003458B1">
        <w:rPr>
          <w:color w:val="000000"/>
        </w:rPr>
        <w:t>post values.</w:t>
      </w:r>
    </w:p>
    <w:p w:rsidR="00903627" w:rsidRDefault="00903627" w:rsidP="00B9141F"/>
    <w:p w:rsidR="00950837" w:rsidRDefault="00950837" w:rsidP="00D34B3E">
      <w:pPr>
        <w:pStyle w:val="AppendixAHeading3"/>
      </w:pPr>
      <w:r>
        <w:t>Net-to-Gross and Process Evaluation Audit Summary</w:t>
      </w:r>
    </w:p>
    <w:p w:rsidR="003E2E20" w:rsidRDefault="003E2E20" w:rsidP="003E2E20">
      <w:r w:rsidRPr="00661E10">
        <w:t>FirstEnergy’s evaluation contractor, ADM</w:t>
      </w:r>
      <w:r w:rsidR="0009501A">
        <w:t>/Tetra Tech</w:t>
      </w:r>
      <w:r w:rsidRPr="00661E10">
        <w:t xml:space="preserve">, took unified process evaluation approaches to these programs across the four FirstEnergy EDCs, including Penelec, and so the annual evaluation reports of the four EDCs report identical information about the process evaluation. Therefore, the SWE Team’s audit summary </w:t>
      </w:r>
      <w:r w:rsidRPr="003E2E20">
        <w:t xml:space="preserve">described in Section </w:t>
      </w:r>
      <w:r w:rsidRPr="003E2E20">
        <w:fldChar w:fldCharType="begin"/>
      </w:r>
      <w:r w:rsidRPr="003E2E20">
        <w:instrText xml:space="preserve"> REF _Ref472452280 \r \h </w:instrText>
      </w:r>
      <w:r>
        <w:instrText xml:space="preserve"> \* MERGEFORMAT </w:instrText>
      </w:r>
      <w:r w:rsidRPr="003E2E20">
        <w:fldChar w:fldCharType="separate"/>
      </w:r>
      <w:r w:rsidR="00C301D0">
        <w:t>A.2.4.4</w:t>
      </w:r>
      <w:r w:rsidRPr="003E2E20">
        <w:fldChar w:fldCharType="end"/>
      </w:r>
      <w:r w:rsidRPr="003E2E20">
        <w:t xml:space="preserve"> pertains</w:t>
      </w:r>
      <w:r w:rsidRPr="00661E10">
        <w:t xml:space="preserve"> to all four FirstEnergy utilities, including Penelec.</w:t>
      </w:r>
    </w:p>
    <w:p w:rsidR="003E2E20" w:rsidRDefault="003E2E20" w:rsidP="003E2E20"/>
    <w:p w:rsidR="003E2E20" w:rsidRPr="006C05B5" w:rsidRDefault="003E2E20" w:rsidP="003E2E20">
      <w:r w:rsidRPr="006C05B5">
        <w:t xml:space="preserve">FirstEnergy implemented a common set of energy efficiency programs across its four Pennsylvania EDCs. FirstEnergy’s evaluation contractors, ADM/Tetra Tech, used the same evaluation methods for all four EDCs. See </w:t>
      </w:r>
      <w:r w:rsidR="00B37A72" w:rsidRPr="003E2E20">
        <w:t xml:space="preserve">Section </w:t>
      </w:r>
      <w:r w:rsidR="00B37A72" w:rsidRPr="003E2E20">
        <w:fldChar w:fldCharType="begin"/>
      </w:r>
      <w:r w:rsidR="00B37A72" w:rsidRPr="003E2E20">
        <w:instrText xml:space="preserve"> REF _Ref472452280 \r \h </w:instrText>
      </w:r>
      <w:r w:rsidR="00B37A72">
        <w:instrText xml:space="preserve"> \* MERGEFORMAT </w:instrText>
      </w:r>
      <w:r w:rsidR="00B37A72" w:rsidRPr="003E2E20">
        <w:fldChar w:fldCharType="separate"/>
      </w:r>
      <w:r w:rsidR="00C301D0">
        <w:t>A.2.4.4</w:t>
      </w:r>
      <w:r w:rsidR="00B37A72" w:rsidRPr="003E2E20">
        <w:fldChar w:fldCharType="end"/>
      </w:r>
      <w:r w:rsidRPr="006C05B5">
        <w:t xml:space="preserve"> for a description of the SWE Team’s review of the FirstEnergy EDC NTG evaluation, which applies to all four of FirstEnergy’s Pennsylvania EDCs.</w:t>
      </w:r>
    </w:p>
    <w:p w:rsidR="007E0D0D" w:rsidRPr="006C05B5" w:rsidRDefault="00B37A72" w:rsidP="003E2E20">
      <w:r>
        <w:fldChar w:fldCharType="begin"/>
      </w:r>
      <w:r>
        <w:instrText xml:space="preserve"> REF _Ref472452797 \h </w:instrText>
      </w:r>
      <w:r>
        <w:fldChar w:fldCharType="separate"/>
      </w:r>
    </w:p>
    <w:p w:rsidR="003E2E20" w:rsidRPr="006C05B5" w:rsidRDefault="007E0D0D" w:rsidP="003E2E20">
      <w:r w:rsidRPr="00B37A72">
        <w:t>Table A-</w:t>
      </w:r>
      <w:r>
        <w:rPr>
          <w:noProof/>
        </w:rPr>
        <w:t>67</w:t>
      </w:r>
      <w:r w:rsidR="00B37A72">
        <w:fldChar w:fldCharType="end"/>
      </w:r>
      <w:r w:rsidR="00B37A72">
        <w:t xml:space="preserve"> </w:t>
      </w:r>
      <w:r w:rsidR="003E2E20" w:rsidRPr="006C05B5">
        <w:t xml:space="preserve">summarizes NTG findings from the Penelec PY7 annual report. </w:t>
      </w:r>
    </w:p>
    <w:p w:rsidR="00CF7914" w:rsidRPr="006C05B5" w:rsidRDefault="00CF7914" w:rsidP="003E2E20">
      <w:bookmarkStart w:id="891" w:name="_Ref472452797"/>
      <w:bookmarkStart w:id="892" w:name="_Toc444269759"/>
      <w:bookmarkStart w:id="893" w:name="_Toc472472476"/>
    </w:p>
    <w:p w:rsidR="003E2E20" w:rsidRPr="00B37A72" w:rsidRDefault="00B37A72" w:rsidP="00B37A72">
      <w:pPr>
        <w:pStyle w:val="Caption"/>
      </w:pPr>
      <w:bookmarkStart w:id="894" w:name="_Toc476842182"/>
      <w:r w:rsidRPr="00B37A72">
        <w:t>Table A-</w:t>
      </w:r>
      <w:fldSimple w:instr=" SEQ Table_A- \* ARABIC ">
        <w:r w:rsidR="00C301D0">
          <w:rPr>
            <w:noProof/>
          </w:rPr>
          <w:t>67</w:t>
        </w:r>
      </w:fldSimple>
      <w:bookmarkEnd w:id="891"/>
      <w:r w:rsidRPr="00B37A72">
        <w:t>:</w:t>
      </w:r>
      <w:r w:rsidR="003E2E20" w:rsidRPr="00B37A72">
        <w:t xml:space="preserve"> Summary of NTG Estimates for Penelec’s Program</w:t>
      </w:r>
      <w:bookmarkEnd w:id="892"/>
      <w:r w:rsidR="003E2E20" w:rsidRPr="00B37A72">
        <w:t>s</w:t>
      </w:r>
      <w:bookmarkEnd w:id="893"/>
      <w:bookmarkEnd w:id="894"/>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417"/>
        <w:gridCol w:w="3294"/>
        <w:gridCol w:w="1144"/>
        <w:gridCol w:w="1212"/>
        <w:gridCol w:w="1209"/>
        <w:gridCol w:w="1074"/>
      </w:tblGrid>
      <w:tr w:rsidR="00A874AC" w:rsidRPr="006C05B5" w:rsidTr="005C1352">
        <w:trPr>
          <w:tblHeader/>
          <w:jc w:val="center"/>
        </w:trPr>
        <w:tc>
          <w:tcPr>
            <w:tcW w:w="1417" w:type="dxa"/>
            <w:tcBorders>
              <w:bottom w:val="single" w:sz="4" w:space="0" w:color="448A99"/>
            </w:tcBorders>
            <w:shd w:val="clear" w:color="auto" w:fill="448A99"/>
            <w:vAlign w:val="bottom"/>
          </w:tcPr>
          <w:p w:rsidR="003E2E20" w:rsidRPr="006C05B5" w:rsidRDefault="003E2E20" w:rsidP="005C1352">
            <w:pPr>
              <w:rPr>
                <w:b/>
                <w:color w:val="FFFFFF"/>
                <w:sz w:val="20"/>
                <w:szCs w:val="20"/>
              </w:rPr>
            </w:pPr>
            <w:r w:rsidRPr="006C05B5">
              <w:rPr>
                <w:b/>
                <w:color w:val="FFFFFF"/>
                <w:sz w:val="20"/>
                <w:szCs w:val="20"/>
              </w:rPr>
              <w:t>Approach</w:t>
            </w:r>
          </w:p>
        </w:tc>
        <w:tc>
          <w:tcPr>
            <w:tcW w:w="3294" w:type="dxa"/>
            <w:tcBorders>
              <w:bottom w:val="single" w:sz="4" w:space="0" w:color="448A99"/>
            </w:tcBorders>
            <w:shd w:val="clear" w:color="auto" w:fill="448A99"/>
            <w:vAlign w:val="bottom"/>
          </w:tcPr>
          <w:p w:rsidR="003E2E20" w:rsidRPr="006C05B5" w:rsidRDefault="003E2E20" w:rsidP="005C1352">
            <w:pPr>
              <w:rPr>
                <w:b/>
                <w:color w:val="FFFFFF"/>
                <w:sz w:val="20"/>
                <w:szCs w:val="20"/>
              </w:rPr>
            </w:pPr>
            <w:r w:rsidRPr="006C05B5">
              <w:rPr>
                <w:b/>
                <w:color w:val="FFFFFF"/>
                <w:sz w:val="20"/>
                <w:szCs w:val="20"/>
              </w:rPr>
              <w:t>Program</w:t>
            </w:r>
          </w:p>
        </w:tc>
        <w:tc>
          <w:tcPr>
            <w:tcW w:w="1144" w:type="dxa"/>
            <w:tcBorders>
              <w:bottom w:val="single" w:sz="4" w:space="0" w:color="448A99"/>
            </w:tcBorders>
            <w:shd w:val="clear" w:color="auto" w:fill="448A99"/>
            <w:vAlign w:val="bottom"/>
          </w:tcPr>
          <w:p w:rsidR="003E2E20" w:rsidRPr="006C05B5" w:rsidRDefault="003E2E20" w:rsidP="005C1352">
            <w:pPr>
              <w:jc w:val="center"/>
              <w:rPr>
                <w:b/>
                <w:color w:val="FFFFFF"/>
                <w:sz w:val="20"/>
                <w:szCs w:val="20"/>
              </w:rPr>
            </w:pPr>
            <w:r w:rsidRPr="006C05B5">
              <w:rPr>
                <w:b/>
                <w:color w:val="FFFFFF"/>
                <w:sz w:val="20"/>
                <w:szCs w:val="20"/>
              </w:rPr>
              <w:t>Free-Ridership</w:t>
            </w:r>
          </w:p>
        </w:tc>
        <w:tc>
          <w:tcPr>
            <w:tcW w:w="1212" w:type="dxa"/>
            <w:tcBorders>
              <w:bottom w:val="single" w:sz="4" w:space="0" w:color="448A99"/>
            </w:tcBorders>
            <w:shd w:val="clear" w:color="auto" w:fill="448A99"/>
            <w:vAlign w:val="bottom"/>
          </w:tcPr>
          <w:p w:rsidR="003E2E20" w:rsidRPr="006C05B5" w:rsidRDefault="003E2E20" w:rsidP="005C1352">
            <w:pPr>
              <w:jc w:val="center"/>
              <w:rPr>
                <w:b/>
                <w:color w:val="FFFFFF"/>
                <w:sz w:val="20"/>
                <w:szCs w:val="20"/>
              </w:rPr>
            </w:pPr>
            <w:r w:rsidRPr="006C05B5">
              <w:rPr>
                <w:b/>
                <w:color w:val="FFFFFF"/>
                <w:sz w:val="20"/>
                <w:szCs w:val="20"/>
              </w:rPr>
              <w:t>Spillover</w:t>
            </w:r>
          </w:p>
        </w:tc>
        <w:tc>
          <w:tcPr>
            <w:tcW w:w="1209" w:type="dxa"/>
            <w:tcBorders>
              <w:bottom w:val="single" w:sz="4" w:space="0" w:color="448A99"/>
            </w:tcBorders>
            <w:shd w:val="clear" w:color="auto" w:fill="448A99"/>
            <w:vAlign w:val="bottom"/>
          </w:tcPr>
          <w:p w:rsidR="003E2E20" w:rsidRPr="006C05B5" w:rsidRDefault="003E2E20" w:rsidP="005C1352">
            <w:pPr>
              <w:jc w:val="center"/>
              <w:rPr>
                <w:b/>
                <w:color w:val="FFFFFF"/>
                <w:sz w:val="20"/>
                <w:szCs w:val="20"/>
              </w:rPr>
            </w:pPr>
            <w:r w:rsidRPr="006C05B5">
              <w:rPr>
                <w:b/>
                <w:color w:val="FFFFFF"/>
                <w:sz w:val="20"/>
                <w:szCs w:val="20"/>
              </w:rPr>
              <w:t>NTGR</w:t>
            </w:r>
            <w:r w:rsidRPr="006C05B5">
              <w:rPr>
                <w:b/>
                <w:color w:val="FFFFFF"/>
                <w:sz w:val="20"/>
                <w:szCs w:val="20"/>
                <w:vertAlign w:val="superscript"/>
              </w:rPr>
              <w:t>[a]</w:t>
            </w:r>
          </w:p>
        </w:tc>
        <w:tc>
          <w:tcPr>
            <w:tcW w:w="1074" w:type="dxa"/>
            <w:tcBorders>
              <w:bottom w:val="single" w:sz="4" w:space="0" w:color="448A99"/>
            </w:tcBorders>
            <w:shd w:val="clear" w:color="auto" w:fill="448A99"/>
            <w:vAlign w:val="bottom"/>
          </w:tcPr>
          <w:p w:rsidR="003E2E20" w:rsidRPr="006C05B5" w:rsidRDefault="003E2E20" w:rsidP="005C1352">
            <w:pPr>
              <w:jc w:val="center"/>
              <w:rPr>
                <w:b/>
                <w:color w:val="FFFFFF"/>
                <w:sz w:val="20"/>
                <w:szCs w:val="20"/>
              </w:rPr>
            </w:pPr>
            <w:r w:rsidRPr="006C05B5">
              <w:rPr>
                <w:b/>
                <w:color w:val="FFFFFF"/>
                <w:sz w:val="20"/>
                <w:szCs w:val="20"/>
              </w:rPr>
              <w:t>Sample Size</w:t>
            </w:r>
            <w:r w:rsidRPr="006C05B5">
              <w:rPr>
                <w:b/>
                <w:color w:val="FFFFFF"/>
                <w:sz w:val="20"/>
                <w:szCs w:val="20"/>
                <w:vertAlign w:val="superscript"/>
              </w:rPr>
              <w:t>[b]</w:t>
            </w:r>
          </w:p>
        </w:tc>
      </w:tr>
      <w:tr w:rsidR="00E7173E" w:rsidRPr="006C05B5" w:rsidTr="0081757B">
        <w:trPr>
          <w:trHeight w:val="288"/>
          <w:jc w:val="center"/>
        </w:trPr>
        <w:tc>
          <w:tcPr>
            <w:tcW w:w="9350" w:type="dxa"/>
            <w:gridSpan w:val="6"/>
            <w:shd w:val="clear" w:color="auto" w:fill="9C9393"/>
          </w:tcPr>
          <w:p w:rsidR="003E2E20" w:rsidRPr="006C05B5" w:rsidRDefault="003E2E20" w:rsidP="005C1352">
            <w:pPr>
              <w:rPr>
                <w:b/>
                <w:color w:val="FFFFFF"/>
                <w:sz w:val="20"/>
                <w:szCs w:val="20"/>
              </w:rPr>
            </w:pPr>
            <w:r w:rsidRPr="006C05B5">
              <w:rPr>
                <w:b/>
                <w:color w:val="FFFFFF"/>
                <w:sz w:val="20"/>
                <w:szCs w:val="20"/>
              </w:rPr>
              <w:t>Residential</w:t>
            </w:r>
          </w:p>
        </w:tc>
      </w:tr>
      <w:tr w:rsidR="00A874AC" w:rsidRPr="006C05B5" w:rsidTr="005C1352">
        <w:trPr>
          <w:trHeight w:val="346"/>
          <w:jc w:val="center"/>
        </w:trPr>
        <w:tc>
          <w:tcPr>
            <w:tcW w:w="1417" w:type="dxa"/>
            <w:vMerge w:val="restart"/>
            <w:shd w:val="clear" w:color="auto" w:fill="D2EAF1"/>
          </w:tcPr>
          <w:p w:rsidR="003E2E20" w:rsidRPr="006C05B5" w:rsidRDefault="003E2E20" w:rsidP="005C1352">
            <w:pPr>
              <w:rPr>
                <w:sz w:val="20"/>
                <w:szCs w:val="20"/>
              </w:rPr>
            </w:pPr>
            <w:r w:rsidRPr="006C05B5">
              <w:rPr>
                <w:sz w:val="20"/>
                <w:szCs w:val="20"/>
              </w:rPr>
              <w:t>Estimated</w:t>
            </w:r>
          </w:p>
        </w:tc>
        <w:tc>
          <w:tcPr>
            <w:tcW w:w="3294" w:type="dxa"/>
            <w:shd w:val="clear" w:color="auto" w:fill="D2EAF1"/>
            <w:vAlign w:val="center"/>
          </w:tcPr>
          <w:p w:rsidR="003E2E20" w:rsidRPr="006C05B5" w:rsidRDefault="003E2E20" w:rsidP="005C1352">
            <w:pPr>
              <w:jc w:val="left"/>
              <w:rPr>
                <w:color w:val="548DD4"/>
                <w:sz w:val="20"/>
                <w:szCs w:val="20"/>
              </w:rPr>
            </w:pPr>
            <w:r w:rsidRPr="006C05B5">
              <w:rPr>
                <w:sz w:val="20"/>
                <w:szCs w:val="20"/>
              </w:rPr>
              <w:t>Appliance Turn-In</w:t>
            </w:r>
            <w:r w:rsidRPr="006C05B5">
              <w:rPr>
                <w:sz w:val="20"/>
                <w:szCs w:val="20"/>
                <w:vertAlign w:val="superscript"/>
              </w:rPr>
              <w:t>[c]</w:t>
            </w:r>
          </w:p>
        </w:tc>
        <w:tc>
          <w:tcPr>
            <w:tcW w:w="1144" w:type="dxa"/>
            <w:shd w:val="clear" w:color="auto" w:fill="D2EAF1"/>
            <w:vAlign w:val="center"/>
          </w:tcPr>
          <w:p w:rsidR="003E2E20" w:rsidRPr="006C05B5" w:rsidRDefault="003E2E20" w:rsidP="005C1352">
            <w:pPr>
              <w:jc w:val="center"/>
              <w:rPr>
                <w:sz w:val="20"/>
                <w:szCs w:val="20"/>
              </w:rPr>
            </w:pPr>
            <w:r w:rsidRPr="006C05B5">
              <w:rPr>
                <w:sz w:val="20"/>
                <w:szCs w:val="20"/>
              </w:rPr>
              <w:t>0.66</w:t>
            </w:r>
          </w:p>
        </w:tc>
        <w:tc>
          <w:tcPr>
            <w:tcW w:w="1212" w:type="dxa"/>
            <w:shd w:val="clear" w:color="auto" w:fill="D2EAF1"/>
            <w:vAlign w:val="center"/>
          </w:tcPr>
          <w:p w:rsidR="003E2E20" w:rsidRPr="006C05B5" w:rsidRDefault="003E2E20" w:rsidP="005C1352">
            <w:pPr>
              <w:jc w:val="center"/>
              <w:rPr>
                <w:sz w:val="20"/>
                <w:szCs w:val="20"/>
              </w:rPr>
            </w:pPr>
            <w:r w:rsidRPr="006C05B5">
              <w:rPr>
                <w:sz w:val="20"/>
                <w:szCs w:val="20"/>
              </w:rPr>
              <w:t>0.00</w:t>
            </w:r>
          </w:p>
        </w:tc>
        <w:tc>
          <w:tcPr>
            <w:tcW w:w="1209" w:type="dxa"/>
            <w:shd w:val="clear" w:color="auto" w:fill="D2EAF1"/>
            <w:vAlign w:val="center"/>
          </w:tcPr>
          <w:p w:rsidR="003E2E20" w:rsidRPr="006C05B5" w:rsidRDefault="003E2E20" w:rsidP="005C1352">
            <w:pPr>
              <w:jc w:val="center"/>
              <w:rPr>
                <w:sz w:val="20"/>
                <w:szCs w:val="20"/>
              </w:rPr>
            </w:pPr>
            <w:r w:rsidRPr="006C05B5">
              <w:rPr>
                <w:sz w:val="20"/>
                <w:szCs w:val="20"/>
              </w:rPr>
              <w:t>0.34</w:t>
            </w:r>
          </w:p>
        </w:tc>
        <w:tc>
          <w:tcPr>
            <w:tcW w:w="1074" w:type="dxa"/>
            <w:shd w:val="clear" w:color="auto" w:fill="D2EAF1"/>
            <w:vAlign w:val="center"/>
          </w:tcPr>
          <w:p w:rsidR="003E2E20" w:rsidRPr="006C05B5" w:rsidRDefault="003E2E20" w:rsidP="005C1352">
            <w:pPr>
              <w:jc w:val="center"/>
              <w:rPr>
                <w:sz w:val="20"/>
                <w:szCs w:val="20"/>
              </w:rPr>
            </w:pPr>
            <w:r w:rsidRPr="006C05B5">
              <w:rPr>
                <w:sz w:val="20"/>
                <w:szCs w:val="20"/>
              </w:rPr>
              <w:t>59</w:t>
            </w:r>
          </w:p>
        </w:tc>
      </w:tr>
      <w:tr w:rsidR="003E2E20" w:rsidRPr="006C05B5" w:rsidTr="0081757B">
        <w:trPr>
          <w:trHeight w:val="346"/>
          <w:jc w:val="center"/>
        </w:trPr>
        <w:tc>
          <w:tcPr>
            <w:tcW w:w="1417" w:type="dxa"/>
            <w:vMerge/>
          </w:tcPr>
          <w:p w:rsidR="003E2E20" w:rsidRPr="006C05B5" w:rsidRDefault="003E2E20" w:rsidP="005C1352">
            <w:pPr>
              <w:rPr>
                <w:sz w:val="20"/>
                <w:szCs w:val="20"/>
              </w:rPr>
            </w:pPr>
          </w:p>
        </w:tc>
        <w:tc>
          <w:tcPr>
            <w:tcW w:w="3294" w:type="dxa"/>
            <w:vAlign w:val="center"/>
          </w:tcPr>
          <w:p w:rsidR="003E2E20" w:rsidRPr="006C05B5" w:rsidRDefault="003E2E20" w:rsidP="005C1352">
            <w:pPr>
              <w:jc w:val="left"/>
              <w:rPr>
                <w:color w:val="548DD4"/>
                <w:sz w:val="20"/>
                <w:szCs w:val="20"/>
              </w:rPr>
            </w:pPr>
            <w:r w:rsidRPr="006C05B5">
              <w:rPr>
                <w:sz w:val="20"/>
                <w:szCs w:val="20"/>
              </w:rPr>
              <w:t>Efficient Products</w:t>
            </w:r>
          </w:p>
        </w:tc>
        <w:tc>
          <w:tcPr>
            <w:tcW w:w="1144" w:type="dxa"/>
          </w:tcPr>
          <w:p w:rsidR="003E2E20" w:rsidRPr="006C05B5" w:rsidRDefault="003E2E20" w:rsidP="005C1352">
            <w:pPr>
              <w:jc w:val="center"/>
              <w:rPr>
                <w:sz w:val="20"/>
                <w:szCs w:val="20"/>
              </w:rPr>
            </w:pPr>
            <w:r w:rsidRPr="006C05B5">
              <w:rPr>
                <w:sz w:val="20"/>
                <w:szCs w:val="20"/>
              </w:rPr>
              <w:t>0.38</w:t>
            </w:r>
          </w:p>
        </w:tc>
        <w:tc>
          <w:tcPr>
            <w:tcW w:w="1212" w:type="dxa"/>
          </w:tcPr>
          <w:p w:rsidR="003E2E20" w:rsidRPr="006C05B5" w:rsidRDefault="003E2E20" w:rsidP="005C1352">
            <w:pPr>
              <w:jc w:val="center"/>
              <w:rPr>
                <w:sz w:val="20"/>
                <w:szCs w:val="20"/>
              </w:rPr>
            </w:pPr>
            <w:r w:rsidRPr="006C05B5">
              <w:rPr>
                <w:sz w:val="20"/>
                <w:szCs w:val="20"/>
              </w:rPr>
              <w:t>0.02</w:t>
            </w:r>
          </w:p>
        </w:tc>
        <w:tc>
          <w:tcPr>
            <w:tcW w:w="1209" w:type="dxa"/>
          </w:tcPr>
          <w:p w:rsidR="003E2E20" w:rsidRPr="006C05B5" w:rsidRDefault="003E2E20" w:rsidP="005C1352">
            <w:pPr>
              <w:jc w:val="center"/>
              <w:rPr>
                <w:sz w:val="20"/>
                <w:szCs w:val="20"/>
              </w:rPr>
            </w:pPr>
            <w:r w:rsidRPr="006C05B5">
              <w:rPr>
                <w:sz w:val="20"/>
                <w:szCs w:val="20"/>
              </w:rPr>
              <w:t>0.65</w:t>
            </w:r>
          </w:p>
        </w:tc>
        <w:tc>
          <w:tcPr>
            <w:tcW w:w="1074" w:type="dxa"/>
            <w:vAlign w:val="center"/>
          </w:tcPr>
          <w:p w:rsidR="003E2E20" w:rsidRPr="006C05B5" w:rsidRDefault="003E2E20" w:rsidP="005C1352">
            <w:pPr>
              <w:jc w:val="center"/>
              <w:rPr>
                <w:sz w:val="20"/>
                <w:szCs w:val="20"/>
              </w:rPr>
            </w:pPr>
            <w:r w:rsidRPr="006C05B5">
              <w:rPr>
                <w:sz w:val="20"/>
                <w:szCs w:val="20"/>
              </w:rPr>
              <w:t>131</w:t>
            </w:r>
          </w:p>
        </w:tc>
      </w:tr>
      <w:tr w:rsidR="00A874AC" w:rsidRPr="006C05B5" w:rsidTr="005C1352">
        <w:trPr>
          <w:trHeight w:val="346"/>
          <w:jc w:val="center"/>
        </w:trPr>
        <w:tc>
          <w:tcPr>
            <w:tcW w:w="1417" w:type="dxa"/>
            <w:vMerge/>
            <w:tcBorders>
              <w:bottom w:val="single" w:sz="4" w:space="0" w:color="448A99"/>
            </w:tcBorders>
          </w:tcPr>
          <w:p w:rsidR="003E2E20" w:rsidRPr="006C05B5" w:rsidRDefault="003E2E20" w:rsidP="005C1352">
            <w:pPr>
              <w:rPr>
                <w:sz w:val="20"/>
                <w:szCs w:val="20"/>
              </w:rPr>
            </w:pPr>
          </w:p>
        </w:tc>
        <w:tc>
          <w:tcPr>
            <w:tcW w:w="3294" w:type="dxa"/>
            <w:tcBorders>
              <w:bottom w:val="single" w:sz="4" w:space="0" w:color="448A99"/>
            </w:tcBorders>
            <w:shd w:val="clear" w:color="auto" w:fill="D2EAF1"/>
            <w:vAlign w:val="center"/>
          </w:tcPr>
          <w:p w:rsidR="003E2E20" w:rsidRPr="006C05B5" w:rsidRDefault="003E2E20" w:rsidP="005C1352">
            <w:pPr>
              <w:jc w:val="left"/>
              <w:rPr>
                <w:color w:val="548DD4"/>
                <w:sz w:val="20"/>
                <w:szCs w:val="20"/>
              </w:rPr>
            </w:pPr>
            <w:r w:rsidRPr="006C05B5">
              <w:rPr>
                <w:sz w:val="20"/>
                <w:szCs w:val="20"/>
              </w:rPr>
              <w:t>Home Performance</w:t>
            </w:r>
          </w:p>
        </w:tc>
        <w:tc>
          <w:tcPr>
            <w:tcW w:w="1144" w:type="dxa"/>
            <w:tcBorders>
              <w:bottom w:val="single" w:sz="4" w:space="0" w:color="448A99"/>
            </w:tcBorders>
            <w:shd w:val="clear" w:color="auto" w:fill="D2EAF1"/>
          </w:tcPr>
          <w:p w:rsidR="003E2E20" w:rsidRPr="006C05B5" w:rsidRDefault="003E2E20" w:rsidP="005C1352">
            <w:pPr>
              <w:jc w:val="center"/>
              <w:rPr>
                <w:sz w:val="20"/>
                <w:szCs w:val="20"/>
              </w:rPr>
            </w:pPr>
            <w:r w:rsidRPr="006C05B5">
              <w:rPr>
                <w:sz w:val="20"/>
                <w:szCs w:val="20"/>
              </w:rPr>
              <w:t>0.34</w:t>
            </w:r>
          </w:p>
        </w:tc>
        <w:tc>
          <w:tcPr>
            <w:tcW w:w="1212" w:type="dxa"/>
            <w:tcBorders>
              <w:bottom w:val="single" w:sz="4" w:space="0" w:color="448A99"/>
            </w:tcBorders>
            <w:shd w:val="clear" w:color="auto" w:fill="D2EAF1"/>
          </w:tcPr>
          <w:p w:rsidR="003E2E20" w:rsidRPr="006C05B5" w:rsidRDefault="003E2E20" w:rsidP="005C1352">
            <w:pPr>
              <w:jc w:val="center"/>
              <w:rPr>
                <w:sz w:val="20"/>
                <w:szCs w:val="20"/>
              </w:rPr>
            </w:pPr>
            <w:r w:rsidRPr="006C05B5">
              <w:rPr>
                <w:sz w:val="20"/>
                <w:szCs w:val="20"/>
              </w:rPr>
              <w:t>0.04</w:t>
            </w:r>
          </w:p>
        </w:tc>
        <w:tc>
          <w:tcPr>
            <w:tcW w:w="1209" w:type="dxa"/>
            <w:tcBorders>
              <w:bottom w:val="single" w:sz="4" w:space="0" w:color="448A99"/>
            </w:tcBorders>
            <w:shd w:val="clear" w:color="auto" w:fill="D2EAF1"/>
          </w:tcPr>
          <w:p w:rsidR="003E2E20" w:rsidRPr="006C05B5" w:rsidRDefault="003E2E20" w:rsidP="005C1352">
            <w:pPr>
              <w:jc w:val="center"/>
              <w:rPr>
                <w:sz w:val="20"/>
                <w:szCs w:val="20"/>
              </w:rPr>
            </w:pPr>
            <w:r w:rsidRPr="006C05B5">
              <w:rPr>
                <w:sz w:val="20"/>
                <w:szCs w:val="20"/>
              </w:rPr>
              <w:t>0.70</w:t>
            </w:r>
          </w:p>
        </w:tc>
        <w:tc>
          <w:tcPr>
            <w:tcW w:w="1074" w:type="dxa"/>
            <w:tcBorders>
              <w:bottom w:val="single" w:sz="4" w:space="0" w:color="448A99"/>
            </w:tcBorders>
            <w:shd w:val="clear" w:color="auto" w:fill="D2EAF1"/>
          </w:tcPr>
          <w:p w:rsidR="003E2E20" w:rsidRPr="006C05B5" w:rsidRDefault="003E2E20" w:rsidP="005C1352">
            <w:pPr>
              <w:jc w:val="center"/>
              <w:rPr>
                <w:sz w:val="20"/>
                <w:szCs w:val="20"/>
              </w:rPr>
            </w:pPr>
            <w:r w:rsidRPr="006C05B5">
              <w:rPr>
                <w:sz w:val="20"/>
                <w:szCs w:val="20"/>
              </w:rPr>
              <w:t>N/A</w:t>
            </w:r>
          </w:p>
        </w:tc>
      </w:tr>
      <w:tr w:rsidR="00E7173E" w:rsidRPr="006C05B5" w:rsidTr="0081757B">
        <w:trPr>
          <w:trHeight w:val="288"/>
          <w:jc w:val="center"/>
        </w:trPr>
        <w:tc>
          <w:tcPr>
            <w:tcW w:w="9350" w:type="dxa"/>
            <w:gridSpan w:val="6"/>
            <w:shd w:val="clear" w:color="auto" w:fill="9C9393"/>
            <w:vAlign w:val="center"/>
          </w:tcPr>
          <w:p w:rsidR="003E2E20" w:rsidRPr="006C05B5" w:rsidRDefault="003E2E20" w:rsidP="005C1352">
            <w:pPr>
              <w:jc w:val="left"/>
              <w:rPr>
                <w:b/>
                <w:color w:val="FFFFFF"/>
                <w:sz w:val="20"/>
                <w:szCs w:val="20"/>
              </w:rPr>
            </w:pPr>
            <w:r w:rsidRPr="006C05B5">
              <w:rPr>
                <w:b/>
                <w:color w:val="FFFFFF"/>
                <w:sz w:val="20"/>
                <w:szCs w:val="20"/>
              </w:rPr>
              <w:t>Low-Income</w:t>
            </w:r>
          </w:p>
        </w:tc>
      </w:tr>
      <w:tr w:rsidR="00E7173E" w:rsidRPr="006C05B5" w:rsidTr="0081757B">
        <w:trPr>
          <w:trHeight w:val="346"/>
          <w:jc w:val="center"/>
        </w:trPr>
        <w:tc>
          <w:tcPr>
            <w:tcW w:w="1417" w:type="dxa"/>
            <w:shd w:val="clear" w:color="auto" w:fill="auto"/>
          </w:tcPr>
          <w:p w:rsidR="003E2E20" w:rsidRPr="006C05B5" w:rsidRDefault="003E2E20" w:rsidP="005C1352">
            <w:pPr>
              <w:rPr>
                <w:b/>
                <w:color w:val="FFFFFF"/>
                <w:sz w:val="20"/>
                <w:szCs w:val="20"/>
              </w:rPr>
            </w:pPr>
            <w:r w:rsidRPr="006C05B5">
              <w:rPr>
                <w:sz w:val="20"/>
                <w:szCs w:val="20"/>
              </w:rPr>
              <w:t>Estimated</w:t>
            </w:r>
          </w:p>
        </w:tc>
        <w:tc>
          <w:tcPr>
            <w:tcW w:w="3294" w:type="dxa"/>
            <w:shd w:val="clear" w:color="auto" w:fill="auto"/>
          </w:tcPr>
          <w:p w:rsidR="003E2E20" w:rsidRPr="006C05B5" w:rsidRDefault="003E2E20" w:rsidP="005C1352">
            <w:pPr>
              <w:jc w:val="left"/>
              <w:rPr>
                <w:sz w:val="20"/>
                <w:szCs w:val="20"/>
              </w:rPr>
            </w:pPr>
            <w:r w:rsidRPr="006C05B5">
              <w:rPr>
                <w:sz w:val="20"/>
                <w:szCs w:val="20"/>
              </w:rPr>
              <w:t>Residential Low-Income Program</w:t>
            </w:r>
          </w:p>
        </w:tc>
        <w:tc>
          <w:tcPr>
            <w:tcW w:w="1144" w:type="dxa"/>
            <w:shd w:val="clear" w:color="auto" w:fill="auto"/>
          </w:tcPr>
          <w:p w:rsidR="003E2E20" w:rsidRPr="006C05B5" w:rsidRDefault="003E2E20" w:rsidP="005C1352">
            <w:pPr>
              <w:jc w:val="center"/>
              <w:rPr>
                <w:sz w:val="20"/>
                <w:szCs w:val="20"/>
              </w:rPr>
            </w:pPr>
            <w:r w:rsidRPr="006C05B5">
              <w:rPr>
                <w:bCs/>
                <w:color w:val="000000"/>
                <w:sz w:val="20"/>
                <w:szCs w:val="20"/>
              </w:rPr>
              <w:t>0.26</w:t>
            </w:r>
          </w:p>
        </w:tc>
        <w:tc>
          <w:tcPr>
            <w:tcW w:w="1212" w:type="dxa"/>
            <w:shd w:val="clear" w:color="auto" w:fill="auto"/>
          </w:tcPr>
          <w:p w:rsidR="003E2E20" w:rsidRPr="006C05B5" w:rsidRDefault="003E2E20" w:rsidP="005C1352">
            <w:pPr>
              <w:jc w:val="center"/>
              <w:rPr>
                <w:sz w:val="20"/>
                <w:szCs w:val="20"/>
              </w:rPr>
            </w:pPr>
            <w:r w:rsidRPr="006C05B5">
              <w:rPr>
                <w:bCs/>
                <w:color w:val="000000"/>
                <w:sz w:val="20"/>
                <w:szCs w:val="20"/>
              </w:rPr>
              <w:t>0.09</w:t>
            </w:r>
          </w:p>
        </w:tc>
        <w:tc>
          <w:tcPr>
            <w:tcW w:w="1209" w:type="dxa"/>
            <w:shd w:val="clear" w:color="auto" w:fill="auto"/>
          </w:tcPr>
          <w:p w:rsidR="003E2E20" w:rsidRPr="006C05B5" w:rsidRDefault="003E2E20" w:rsidP="005C1352">
            <w:pPr>
              <w:jc w:val="center"/>
              <w:rPr>
                <w:sz w:val="20"/>
                <w:szCs w:val="20"/>
              </w:rPr>
            </w:pPr>
            <w:r w:rsidRPr="006C05B5">
              <w:rPr>
                <w:bCs/>
                <w:color w:val="000000"/>
                <w:sz w:val="20"/>
                <w:szCs w:val="20"/>
              </w:rPr>
              <w:t>0.82</w:t>
            </w:r>
          </w:p>
        </w:tc>
        <w:tc>
          <w:tcPr>
            <w:tcW w:w="1074" w:type="dxa"/>
            <w:shd w:val="clear" w:color="auto" w:fill="auto"/>
          </w:tcPr>
          <w:p w:rsidR="003E2E20" w:rsidRPr="006C05B5" w:rsidRDefault="003E2E20" w:rsidP="005C1352">
            <w:pPr>
              <w:jc w:val="center"/>
              <w:rPr>
                <w:sz w:val="20"/>
                <w:szCs w:val="20"/>
              </w:rPr>
            </w:pPr>
            <w:r w:rsidRPr="006C05B5">
              <w:rPr>
                <w:bCs/>
                <w:color w:val="000000"/>
                <w:sz w:val="20"/>
                <w:szCs w:val="20"/>
              </w:rPr>
              <w:t>44</w:t>
            </w:r>
          </w:p>
        </w:tc>
      </w:tr>
      <w:tr w:rsidR="00E7173E" w:rsidRPr="006C05B5" w:rsidTr="0081757B">
        <w:trPr>
          <w:trHeight w:val="288"/>
          <w:jc w:val="center"/>
        </w:trPr>
        <w:tc>
          <w:tcPr>
            <w:tcW w:w="9350" w:type="dxa"/>
            <w:gridSpan w:val="6"/>
            <w:shd w:val="clear" w:color="auto" w:fill="9C9393"/>
            <w:vAlign w:val="center"/>
          </w:tcPr>
          <w:p w:rsidR="003E2E20" w:rsidRPr="006C05B5" w:rsidRDefault="003E2E20" w:rsidP="005C1352">
            <w:pPr>
              <w:jc w:val="left"/>
              <w:rPr>
                <w:b/>
                <w:color w:val="FFFFFF"/>
                <w:sz w:val="20"/>
                <w:szCs w:val="20"/>
              </w:rPr>
            </w:pPr>
            <w:r w:rsidRPr="006C05B5">
              <w:rPr>
                <w:b/>
                <w:color w:val="FFFFFF"/>
                <w:sz w:val="20"/>
                <w:szCs w:val="20"/>
              </w:rPr>
              <w:t>Non-Residential</w:t>
            </w:r>
          </w:p>
        </w:tc>
      </w:tr>
      <w:tr w:rsidR="00A874AC" w:rsidRPr="006C05B5" w:rsidTr="005C1352">
        <w:trPr>
          <w:trHeight w:val="346"/>
          <w:jc w:val="center"/>
        </w:trPr>
        <w:tc>
          <w:tcPr>
            <w:tcW w:w="1417" w:type="dxa"/>
            <w:vMerge w:val="restart"/>
            <w:shd w:val="clear" w:color="auto" w:fill="D2EAF1"/>
          </w:tcPr>
          <w:p w:rsidR="003E2E20" w:rsidRPr="006C05B5" w:rsidRDefault="003E2E20" w:rsidP="005C1352">
            <w:pPr>
              <w:rPr>
                <w:sz w:val="20"/>
                <w:szCs w:val="20"/>
              </w:rPr>
            </w:pPr>
            <w:r w:rsidRPr="006C05B5">
              <w:rPr>
                <w:sz w:val="20"/>
                <w:szCs w:val="20"/>
              </w:rPr>
              <w:t>Estimated</w:t>
            </w:r>
          </w:p>
        </w:tc>
        <w:tc>
          <w:tcPr>
            <w:tcW w:w="3294" w:type="dxa"/>
            <w:tcBorders>
              <w:bottom w:val="single" w:sz="4" w:space="0" w:color="448A99"/>
            </w:tcBorders>
            <w:shd w:val="clear" w:color="auto" w:fill="D2EAF1"/>
            <w:vAlign w:val="center"/>
          </w:tcPr>
          <w:p w:rsidR="003E2E20" w:rsidRPr="006C05B5" w:rsidRDefault="003E2E20" w:rsidP="005C1352">
            <w:pPr>
              <w:jc w:val="left"/>
              <w:rPr>
                <w:sz w:val="20"/>
                <w:szCs w:val="20"/>
              </w:rPr>
            </w:pPr>
            <w:r w:rsidRPr="006C05B5">
              <w:rPr>
                <w:sz w:val="20"/>
                <w:szCs w:val="20"/>
              </w:rPr>
              <w:t>Small C/I Equipment</w:t>
            </w:r>
          </w:p>
        </w:tc>
        <w:tc>
          <w:tcPr>
            <w:tcW w:w="1144" w:type="dxa"/>
            <w:tcBorders>
              <w:bottom w:val="single" w:sz="4" w:space="0" w:color="448A99"/>
            </w:tcBorders>
            <w:shd w:val="clear" w:color="auto" w:fill="D2EAF1"/>
            <w:vAlign w:val="center"/>
          </w:tcPr>
          <w:p w:rsidR="003E2E20" w:rsidRPr="006C05B5" w:rsidRDefault="003E2E20" w:rsidP="005C1352">
            <w:pPr>
              <w:jc w:val="center"/>
              <w:rPr>
                <w:sz w:val="20"/>
                <w:szCs w:val="20"/>
              </w:rPr>
            </w:pPr>
            <w:r w:rsidRPr="006C05B5">
              <w:rPr>
                <w:sz w:val="20"/>
                <w:szCs w:val="20"/>
              </w:rPr>
              <w:t>0.38</w:t>
            </w:r>
          </w:p>
        </w:tc>
        <w:tc>
          <w:tcPr>
            <w:tcW w:w="1212" w:type="dxa"/>
            <w:tcBorders>
              <w:bottom w:val="single" w:sz="4" w:space="0" w:color="448A99"/>
            </w:tcBorders>
            <w:shd w:val="clear" w:color="auto" w:fill="D2EAF1"/>
            <w:vAlign w:val="center"/>
          </w:tcPr>
          <w:p w:rsidR="003E2E20" w:rsidRPr="006C05B5" w:rsidRDefault="003E2E20" w:rsidP="005C1352">
            <w:pPr>
              <w:jc w:val="center"/>
              <w:rPr>
                <w:sz w:val="20"/>
                <w:szCs w:val="20"/>
              </w:rPr>
            </w:pPr>
            <w:r w:rsidRPr="006C05B5">
              <w:rPr>
                <w:sz w:val="20"/>
                <w:szCs w:val="20"/>
              </w:rPr>
              <w:t>0.12</w:t>
            </w:r>
          </w:p>
        </w:tc>
        <w:tc>
          <w:tcPr>
            <w:tcW w:w="1209" w:type="dxa"/>
            <w:tcBorders>
              <w:bottom w:val="single" w:sz="4" w:space="0" w:color="448A99"/>
            </w:tcBorders>
            <w:shd w:val="clear" w:color="auto" w:fill="D2EAF1"/>
            <w:vAlign w:val="center"/>
          </w:tcPr>
          <w:p w:rsidR="003E2E20" w:rsidRPr="006C05B5" w:rsidRDefault="003E2E20" w:rsidP="005C1352">
            <w:pPr>
              <w:jc w:val="center"/>
              <w:rPr>
                <w:sz w:val="20"/>
                <w:szCs w:val="20"/>
              </w:rPr>
            </w:pPr>
            <w:r w:rsidRPr="006C05B5">
              <w:rPr>
                <w:sz w:val="20"/>
                <w:szCs w:val="20"/>
              </w:rPr>
              <w:t>0.75</w:t>
            </w:r>
          </w:p>
        </w:tc>
        <w:tc>
          <w:tcPr>
            <w:tcW w:w="1074" w:type="dxa"/>
            <w:tcBorders>
              <w:bottom w:val="single" w:sz="4" w:space="0" w:color="448A99"/>
            </w:tcBorders>
            <w:shd w:val="clear" w:color="auto" w:fill="D2EAF1"/>
            <w:vAlign w:val="center"/>
          </w:tcPr>
          <w:p w:rsidR="003E2E20" w:rsidRPr="006C05B5" w:rsidRDefault="003E2E20" w:rsidP="005C1352">
            <w:pPr>
              <w:jc w:val="center"/>
              <w:rPr>
                <w:sz w:val="20"/>
                <w:szCs w:val="20"/>
              </w:rPr>
            </w:pPr>
            <w:r w:rsidRPr="006C05B5">
              <w:rPr>
                <w:sz w:val="20"/>
                <w:szCs w:val="20"/>
              </w:rPr>
              <w:t>N/A</w:t>
            </w:r>
          </w:p>
        </w:tc>
      </w:tr>
      <w:tr w:rsidR="00A874AC" w:rsidRPr="006C05B5" w:rsidTr="005C1352">
        <w:trPr>
          <w:trHeight w:val="346"/>
          <w:jc w:val="center"/>
        </w:trPr>
        <w:tc>
          <w:tcPr>
            <w:tcW w:w="1417" w:type="dxa"/>
            <w:vMerge/>
            <w:shd w:val="clear" w:color="auto" w:fill="D2EAF1"/>
          </w:tcPr>
          <w:p w:rsidR="003E2E20" w:rsidRPr="006C05B5" w:rsidRDefault="003E2E20" w:rsidP="005C1352">
            <w:pPr>
              <w:rPr>
                <w:sz w:val="20"/>
                <w:szCs w:val="20"/>
              </w:rPr>
            </w:pPr>
          </w:p>
        </w:tc>
        <w:tc>
          <w:tcPr>
            <w:tcW w:w="3294" w:type="dxa"/>
            <w:tcBorders>
              <w:bottom w:val="single" w:sz="4" w:space="0" w:color="448A99"/>
            </w:tcBorders>
            <w:shd w:val="clear" w:color="auto" w:fill="FFFFFF"/>
            <w:vAlign w:val="center"/>
          </w:tcPr>
          <w:p w:rsidR="003E2E20" w:rsidRPr="006C05B5" w:rsidRDefault="003E2E20" w:rsidP="005C1352">
            <w:pPr>
              <w:jc w:val="left"/>
              <w:rPr>
                <w:sz w:val="20"/>
                <w:szCs w:val="20"/>
              </w:rPr>
            </w:pPr>
            <w:r w:rsidRPr="006C05B5">
              <w:rPr>
                <w:sz w:val="20"/>
                <w:szCs w:val="20"/>
              </w:rPr>
              <w:t>Large C/I Equipment</w:t>
            </w:r>
          </w:p>
        </w:tc>
        <w:tc>
          <w:tcPr>
            <w:tcW w:w="1144" w:type="dxa"/>
            <w:tcBorders>
              <w:bottom w:val="single" w:sz="4" w:space="0" w:color="448A99"/>
            </w:tcBorders>
            <w:shd w:val="clear" w:color="auto" w:fill="FFFFFF"/>
          </w:tcPr>
          <w:p w:rsidR="003E2E20" w:rsidRPr="006C05B5" w:rsidRDefault="003E2E20" w:rsidP="005C1352">
            <w:pPr>
              <w:jc w:val="center"/>
              <w:rPr>
                <w:sz w:val="20"/>
                <w:szCs w:val="20"/>
              </w:rPr>
            </w:pPr>
            <w:r w:rsidRPr="006C05B5">
              <w:rPr>
                <w:sz w:val="20"/>
                <w:szCs w:val="20"/>
              </w:rPr>
              <w:t>0.26</w:t>
            </w:r>
          </w:p>
        </w:tc>
        <w:tc>
          <w:tcPr>
            <w:tcW w:w="1212" w:type="dxa"/>
            <w:tcBorders>
              <w:bottom w:val="single" w:sz="4" w:space="0" w:color="448A99"/>
            </w:tcBorders>
            <w:shd w:val="clear" w:color="auto" w:fill="FFFFFF"/>
          </w:tcPr>
          <w:p w:rsidR="003E2E20" w:rsidRPr="006C05B5" w:rsidRDefault="003E2E20" w:rsidP="005C1352">
            <w:pPr>
              <w:jc w:val="center"/>
              <w:rPr>
                <w:sz w:val="20"/>
                <w:szCs w:val="20"/>
              </w:rPr>
            </w:pPr>
            <w:r w:rsidRPr="006C05B5">
              <w:rPr>
                <w:sz w:val="20"/>
                <w:szCs w:val="20"/>
              </w:rPr>
              <w:t>0.07</w:t>
            </w:r>
          </w:p>
        </w:tc>
        <w:tc>
          <w:tcPr>
            <w:tcW w:w="1209" w:type="dxa"/>
            <w:tcBorders>
              <w:bottom w:val="single" w:sz="4" w:space="0" w:color="448A99"/>
            </w:tcBorders>
            <w:shd w:val="clear" w:color="auto" w:fill="FFFFFF"/>
          </w:tcPr>
          <w:p w:rsidR="003E2E20" w:rsidRPr="006C05B5" w:rsidRDefault="003E2E20" w:rsidP="005C1352">
            <w:pPr>
              <w:jc w:val="center"/>
              <w:rPr>
                <w:sz w:val="20"/>
                <w:szCs w:val="20"/>
              </w:rPr>
            </w:pPr>
            <w:r w:rsidRPr="006C05B5">
              <w:rPr>
                <w:sz w:val="20"/>
                <w:szCs w:val="20"/>
              </w:rPr>
              <w:t>0.81</w:t>
            </w:r>
          </w:p>
        </w:tc>
        <w:tc>
          <w:tcPr>
            <w:tcW w:w="1074" w:type="dxa"/>
            <w:tcBorders>
              <w:bottom w:val="single" w:sz="4" w:space="0" w:color="448A99"/>
            </w:tcBorders>
            <w:shd w:val="clear" w:color="auto" w:fill="FFFFFF"/>
          </w:tcPr>
          <w:p w:rsidR="003E2E20" w:rsidRPr="006C05B5" w:rsidRDefault="003E2E20" w:rsidP="005C1352">
            <w:pPr>
              <w:jc w:val="center"/>
              <w:rPr>
                <w:sz w:val="20"/>
                <w:szCs w:val="20"/>
              </w:rPr>
            </w:pPr>
            <w:r w:rsidRPr="006C05B5">
              <w:rPr>
                <w:sz w:val="20"/>
                <w:szCs w:val="20"/>
              </w:rPr>
              <w:t>N/A</w:t>
            </w:r>
          </w:p>
        </w:tc>
      </w:tr>
      <w:tr w:rsidR="00A874AC" w:rsidRPr="006C05B5" w:rsidTr="005C1352">
        <w:trPr>
          <w:trHeight w:val="346"/>
          <w:jc w:val="center"/>
        </w:trPr>
        <w:tc>
          <w:tcPr>
            <w:tcW w:w="1417" w:type="dxa"/>
            <w:vMerge/>
            <w:shd w:val="clear" w:color="auto" w:fill="D2EAF1"/>
          </w:tcPr>
          <w:p w:rsidR="003E2E20" w:rsidRPr="006C05B5" w:rsidRDefault="003E2E20" w:rsidP="005C1352">
            <w:pPr>
              <w:rPr>
                <w:sz w:val="20"/>
                <w:szCs w:val="20"/>
              </w:rPr>
            </w:pPr>
          </w:p>
        </w:tc>
        <w:tc>
          <w:tcPr>
            <w:tcW w:w="3294" w:type="dxa"/>
            <w:tcBorders>
              <w:bottom w:val="single" w:sz="4" w:space="0" w:color="448A99"/>
            </w:tcBorders>
            <w:shd w:val="clear" w:color="auto" w:fill="D2EAF1"/>
          </w:tcPr>
          <w:p w:rsidR="003E2E20" w:rsidRPr="006C05B5" w:rsidRDefault="003E2E20" w:rsidP="005C1352">
            <w:pPr>
              <w:jc w:val="left"/>
              <w:rPr>
                <w:sz w:val="20"/>
                <w:szCs w:val="20"/>
              </w:rPr>
            </w:pPr>
            <w:r w:rsidRPr="006C05B5">
              <w:rPr>
                <w:sz w:val="20"/>
                <w:szCs w:val="20"/>
              </w:rPr>
              <w:t>Small C/I Buildings</w:t>
            </w:r>
          </w:p>
        </w:tc>
        <w:tc>
          <w:tcPr>
            <w:tcW w:w="1144" w:type="dxa"/>
            <w:tcBorders>
              <w:bottom w:val="single" w:sz="4" w:space="0" w:color="448A99"/>
            </w:tcBorders>
            <w:shd w:val="clear" w:color="auto" w:fill="D2EAF1"/>
          </w:tcPr>
          <w:p w:rsidR="003E2E20" w:rsidRPr="006C05B5" w:rsidRDefault="003E2E20" w:rsidP="005C1352">
            <w:pPr>
              <w:jc w:val="center"/>
              <w:rPr>
                <w:sz w:val="20"/>
                <w:szCs w:val="20"/>
              </w:rPr>
            </w:pPr>
            <w:r w:rsidRPr="006C05B5">
              <w:rPr>
                <w:sz w:val="20"/>
                <w:szCs w:val="20"/>
              </w:rPr>
              <w:t>0.36</w:t>
            </w:r>
          </w:p>
        </w:tc>
        <w:tc>
          <w:tcPr>
            <w:tcW w:w="1212" w:type="dxa"/>
            <w:tcBorders>
              <w:bottom w:val="single" w:sz="4" w:space="0" w:color="448A99"/>
            </w:tcBorders>
            <w:shd w:val="clear" w:color="auto" w:fill="D2EAF1"/>
          </w:tcPr>
          <w:p w:rsidR="003E2E20" w:rsidRPr="006C05B5" w:rsidRDefault="003E2E20" w:rsidP="005C1352">
            <w:pPr>
              <w:jc w:val="center"/>
              <w:rPr>
                <w:sz w:val="20"/>
                <w:szCs w:val="20"/>
              </w:rPr>
            </w:pPr>
            <w:r w:rsidRPr="006C05B5">
              <w:rPr>
                <w:sz w:val="20"/>
                <w:szCs w:val="20"/>
              </w:rPr>
              <w:t>0.00</w:t>
            </w:r>
          </w:p>
        </w:tc>
        <w:tc>
          <w:tcPr>
            <w:tcW w:w="1209" w:type="dxa"/>
            <w:tcBorders>
              <w:bottom w:val="single" w:sz="4" w:space="0" w:color="448A99"/>
            </w:tcBorders>
            <w:shd w:val="clear" w:color="auto" w:fill="D2EAF1"/>
          </w:tcPr>
          <w:p w:rsidR="003E2E20" w:rsidRPr="006C05B5" w:rsidRDefault="003E2E20" w:rsidP="005C1352">
            <w:pPr>
              <w:jc w:val="center"/>
              <w:rPr>
                <w:sz w:val="20"/>
                <w:szCs w:val="20"/>
              </w:rPr>
            </w:pPr>
            <w:r w:rsidRPr="006C05B5">
              <w:rPr>
                <w:sz w:val="20"/>
                <w:szCs w:val="20"/>
              </w:rPr>
              <w:t>0.64</w:t>
            </w:r>
          </w:p>
        </w:tc>
        <w:tc>
          <w:tcPr>
            <w:tcW w:w="1074" w:type="dxa"/>
            <w:tcBorders>
              <w:bottom w:val="single" w:sz="4" w:space="0" w:color="448A99"/>
            </w:tcBorders>
            <w:shd w:val="clear" w:color="auto" w:fill="D2EAF1"/>
          </w:tcPr>
          <w:p w:rsidR="003E2E20" w:rsidRPr="006C05B5" w:rsidRDefault="003E2E20" w:rsidP="005C1352">
            <w:pPr>
              <w:jc w:val="center"/>
              <w:rPr>
                <w:sz w:val="20"/>
                <w:szCs w:val="20"/>
              </w:rPr>
            </w:pPr>
            <w:r w:rsidRPr="006C05B5">
              <w:rPr>
                <w:sz w:val="20"/>
                <w:szCs w:val="20"/>
              </w:rPr>
              <w:t>73</w:t>
            </w:r>
          </w:p>
        </w:tc>
      </w:tr>
      <w:tr w:rsidR="00A874AC" w:rsidRPr="006C05B5" w:rsidTr="005C1352">
        <w:trPr>
          <w:trHeight w:val="346"/>
          <w:jc w:val="center"/>
        </w:trPr>
        <w:tc>
          <w:tcPr>
            <w:tcW w:w="1417" w:type="dxa"/>
            <w:vMerge/>
            <w:shd w:val="clear" w:color="auto" w:fill="D2EAF1"/>
          </w:tcPr>
          <w:p w:rsidR="003E2E20" w:rsidRPr="006C05B5" w:rsidRDefault="003E2E20" w:rsidP="005C1352">
            <w:pPr>
              <w:rPr>
                <w:sz w:val="20"/>
                <w:szCs w:val="20"/>
              </w:rPr>
            </w:pPr>
          </w:p>
        </w:tc>
        <w:tc>
          <w:tcPr>
            <w:tcW w:w="3294" w:type="dxa"/>
            <w:tcBorders>
              <w:bottom w:val="single" w:sz="4" w:space="0" w:color="448A99"/>
            </w:tcBorders>
            <w:shd w:val="clear" w:color="auto" w:fill="FFFFFF"/>
          </w:tcPr>
          <w:p w:rsidR="003E2E20" w:rsidRPr="006C05B5" w:rsidRDefault="003E2E20" w:rsidP="005C1352">
            <w:pPr>
              <w:jc w:val="left"/>
              <w:rPr>
                <w:sz w:val="20"/>
                <w:szCs w:val="20"/>
              </w:rPr>
            </w:pPr>
            <w:r w:rsidRPr="006C05B5">
              <w:rPr>
                <w:sz w:val="20"/>
                <w:szCs w:val="20"/>
              </w:rPr>
              <w:t>Large C/I Buildings</w:t>
            </w:r>
          </w:p>
        </w:tc>
        <w:tc>
          <w:tcPr>
            <w:tcW w:w="1144" w:type="dxa"/>
            <w:tcBorders>
              <w:bottom w:val="single" w:sz="4" w:space="0" w:color="448A99"/>
            </w:tcBorders>
            <w:shd w:val="clear" w:color="auto" w:fill="FFFFFF"/>
          </w:tcPr>
          <w:p w:rsidR="003E2E20" w:rsidRPr="006C05B5" w:rsidRDefault="003E2E20" w:rsidP="005C1352">
            <w:pPr>
              <w:jc w:val="center"/>
              <w:rPr>
                <w:sz w:val="20"/>
                <w:szCs w:val="20"/>
              </w:rPr>
            </w:pPr>
            <w:r w:rsidRPr="006C05B5">
              <w:rPr>
                <w:sz w:val="20"/>
                <w:szCs w:val="20"/>
              </w:rPr>
              <w:t>0.50</w:t>
            </w:r>
          </w:p>
        </w:tc>
        <w:tc>
          <w:tcPr>
            <w:tcW w:w="1212" w:type="dxa"/>
            <w:tcBorders>
              <w:bottom w:val="single" w:sz="4" w:space="0" w:color="448A99"/>
            </w:tcBorders>
            <w:shd w:val="clear" w:color="auto" w:fill="FFFFFF"/>
          </w:tcPr>
          <w:p w:rsidR="003E2E20" w:rsidRPr="006C05B5" w:rsidRDefault="003E2E20" w:rsidP="005C1352">
            <w:pPr>
              <w:jc w:val="center"/>
              <w:rPr>
                <w:sz w:val="20"/>
                <w:szCs w:val="20"/>
              </w:rPr>
            </w:pPr>
            <w:r w:rsidRPr="006C05B5">
              <w:rPr>
                <w:sz w:val="20"/>
                <w:szCs w:val="20"/>
              </w:rPr>
              <w:t>0.00</w:t>
            </w:r>
          </w:p>
        </w:tc>
        <w:tc>
          <w:tcPr>
            <w:tcW w:w="1209" w:type="dxa"/>
            <w:tcBorders>
              <w:bottom w:val="single" w:sz="4" w:space="0" w:color="448A99"/>
            </w:tcBorders>
            <w:shd w:val="clear" w:color="auto" w:fill="FFFFFF"/>
          </w:tcPr>
          <w:p w:rsidR="003E2E20" w:rsidRPr="006C05B5" w:rsidRDefault="003E2E20" w:rsidP="005C1352">
            <w:pPr>
              <w:jc w:val="center"/>
              <w:rPr>
                <w:sz w:val="20"/>
                <w:szCs w:val="20"/>
              </w:rPr>
            </w:pPr>
            <w:r w:rsidRPr="006C05B5">
              <w:rPr>
                <w:sz w:val="20"/>
                <w:szCs w:val="20"/>
              </w:rPr>
              <w:t>0.50</w:t>
            </w:r>
          </w:p>
        </w:tc>
        <w:tc>
          <w:tcPr>
            <w:tcW w:w="1074" w:type="dxa"/>
            <w:tcBorders>
              <w:bottom w:val="single" w:sz="4" w:space="0" w:color="448A99"/>
            </w:tcBorders>
            <w:shd w:val="clear" w:color="auto" w:fill="FFFFFF"/>
          </w:tcPr>
          <w:p w:rsidR="003E2E20" w:rsidRPr="006C05B5" w:rsidRDefault="003E2E20" w:rsidP="005C1352">
            <w:pPr>
              <w:jc w:val="center"/>
              <w:rPr>
                <w:sz w:val="20"/>
                <w:szCs w:val="20"/>
              </w:rPr>
            </w:pPr>
            <w:r w:rsidRPr="006C05B5">
              <w:rPr>
                <w:sz w:val="20"/>
                <w:szCs w:val="20"/>
              </w:rPr>
              <w:t>5</w:t>
            </w:r>
          </w:p>
        </w:tc>
      </w:tr>
      <w:tr w:rsidR="00A874AC" w:rsidRPr="006C05B5" w:rsidTr="005C1352">
        <w:trPr>
          <w:trHeight w:val="346"/>
          <w:jc w:val="center"/>
        </w:trPr>
        <w:tc>
          <w:tcPr>
            <w:tcW w:w="1417" w:type="dxa"/>
            <w:vMerge/>
            <w:tcBorders>
              <w:bottom w:val="single" w:sz="4" w:space="0" w:color="448A99"/>
            </w:tcBorders>
            <w:shd w:val="clear" w:color="auto" w:fill="D2EAF1"/>
          </w:tcPr>
          <w:p w:rsidR="003E2E20" w:rsidRPr="006C05B5" w:rsidRDefault="003E2E20" w:rsidP="005C1352">
            <w:pPr>
              <w:rPr>
                <w:sz w:val="20"/>
                <w:szCs w:val="20"/>
              </w:rPr>
            </w:pPr>
          </w:p>
        </w:tc>
        <w:tc>
          <w:tcPr>
            <w:tcW w:w="3294" w:type="dxa"/>
            <w:tcBorders>
              <w:bottom w:val="single" w:sz="4" w:space="0" w:color="448A99"/>
            </w:tcBorders>
            <w:shd w:val="clear" w:color="auto" w:fill="D2EAF1"/>
            <w:vAlign w:val="center"/>
          </w:tcPr>
          <w:p w:rsidR="003E2E20" w:rsidRPr="006C05B5" w:rsidRDefault="003E2E20" w:rsidP="005C1352">
            <w:pPr>
              <w:jc w:val="left"/>
              <w:rPr>
                <w:sz w:val="20"/>
                <w:szCs w:val="20"/>
              </w:rPr>
            </w:pPr>
            <w:r w:rsidRPr="006C05B5">
              <w:rPr>
                <w:sz w:val="20"/>
                <w:szCs w:val="20"/>
              </w:rPr>
              <w:t>Government and Institutional</w:t>
            </w:r>
          </w:p>
        </w:tc>
        <w:tc>
          <w:tcPr>
            <w:tcW w:w="1144" w:type="dxa"/>
            <w:tcBorders>
              <w:bottom w:val="single" w:sz="4" w:space="0" w:color="448A99"/>
            </w:tcBorders>
            <w:shd w:val="clear" w:color="auto" w:fill="D2EAF1"/>
            <w:vAlign w:val="center"/>
          </w:tcPr>
          <w:p w:rsidR="003E2E20" w:rsidRPr="006C05B5" w:rsidRDefault="003E2E20" w:rsidP="005C1352">
            <w:pPr>
              <w:jc w:val="center"/>
              <w:rPr>
                <w:sz w:val="20"/>
                <w:szCs w:val="20"/>
              </w:rPr>
            </w:pPr>
            <w:r w:rsidRPr="006C05B5">
              <w:rPr>
                <w:sz w:val="20"/>
                <w:szCs w:val="20"/>
              </w:rPr>
              <w:t>0.38</w:t>
            </w:r>
          </w:p>
        </w:tc>
        <w:tc>
          <w:tcPr>
            <w:tcW w:w="1212" w:type="dxa"/>
            <w:tcBorders>
              <w:bottom w:val="single" w:sz="4" w:space="0" w:color="448A99"/>
            </w:tcBorders>
            <w:shd w:val="clear" w:color="auto" w:fill="D2EAF1"/>
            <w:vAlign w:val="center"/>
          </w:tcPr>
          <w:p w:rsidR="003E2E20" w:rsidRPr="006C05B5" w:rsidRDefault="003E2E20" w:rsidP="005C1352">
            <w:pPr>
              <w:jc w:val="center"/>
              <w:rPr>
                <w:sz w:val="20"/>
                <w:szCs w:val="20"/>
              </w:rPr>
            </w:pPr>
            <w:r w:rsidRPr="006C05B5">
              <w:rPr>
                <w:sz w:val="20"/>
                <w:szCs w:val="20"/>
              </w:rPr>
              <w:t>0.11</w:t>
            </w:r>
          </w:p>
        </w:tc>
        <w:tc>
          <w:tcPr>
            <w:tcW w:w="1209" w:type="dxa"/>
            <w:tcBorders>
              <w:bottom w:val="single" w:sz="4" w:space="0" w:color="448A99"/>
            </w:tcBorders>
            <w:shd w:val="clear" w:color="auto" w:fill="D2EAF1"/>
            <w:vAlign w:val="center"/>
          </w:tcPr>
          <w:p w:rsidR="003E2E20" w:rsidRPr="006C05B5" w:rsidRDefault="003E2E20" w:rsidP="005C1352">
            <w:pPr>
              <w:jc w:val="center"/>
              <w:rPr>
                <w:sz w:val="20"/>
                <w:szCs w:val="20"/>
              </w:rPr>
            </w:pPr>
            <w:r w:rsidRPr="006C05B5">
              <w:rPr>
                <w:sz w:val="20"/>
                <w:szCs w:val="20"/>
              </w:rPr>
              <w:t>0.73</w:t>
            </w:r>
          </w:p>
        </w:tc>
        <w:tc>
          <w:tcPr>
            <w:tcW w:w="1074" w:type="dxa"/>
            <w:tcBorders>
              <w:bottom w:val="single" w:sz="4" w:space="0" w:color="448A99"/>
            </w:tcBorders>
            <w:shd w:val="clear" w:color="auto" w:fill="D2EAF1"/>
            <w:vAlign w:val="center"/>
          </w:tcPr>
          <w:p w:rsidR="003E2E20" w:rsidRPr="006C05B5" w:rsidRDefault="003E2E20" w:rsidP="005C1352">
            <w:pPr>
              <w:jc w:val="center"/>
              <w:rPr>
                <w:sz w:val="20"/>
                <w:szCs w:val="20"/>
              </w:rPr>
            </w:pPr>
            <w:r w:rsidRPr="006C05B5">
              <w:rPr>
                <w:sz w:val="20"/>
                <w:szCs w:val="20"/>
              </w:rPr>
              <w:t>N/A</w:t>
            </w:r>
          </w:p>
        </w:tc>
      </w:tr>
      <w:tr w:rsidR="00E7173E" w:rsidRPr="00B97C91" w:rsidTr="0081757B">
        <w:trPr>
          <w:trHeight w:val="215"/>
          <w:jc w:val="center"/>
        </w:trPr>
        <w:tc>
          <w:tcPr>
            <w:tcW w:w="9350" w:type="dxa"/>
            <w:gridSpan w:val="6"/>
            <w:tcBorders>
              <w:bottom w:val="single" w:sz="4" w:space="0" w:color="448A99"/>
            </w:tcBorders>
            <w:shd w:val="clear" w:color="auto" w:fill="448A99"/>
          </w:tcPr>
          <w:p w:rsidR="003E2E20" w:rsidRPr="00B97C91" w:rsidRDefault="003E2E20" w:rsidP="005C1352">
            <w:pPr>
              <w:jc w:val="left"/>
              <w:rPr>
                <w:color w:val="FFFFFF"/>
                <w:sz w:val="18"/>
                <w:szCs w:val="20"/>
              </w:rPr>
            </w:pPr>
            <w:r w:rsidRPr="00B97C91">
              <w:rPr>
                <w:color w:val="FFFFFF"/>
                <w:sz w:val="18"/>
                <w:szCs w:val="20"/>
              </w:rPr>
              <w:t>NOTES</w:t>
            </w:r>
            <w:r w:rsidR="000901B7" w:rsidRPr="00B97C91">
              <w:rPr>
                <w:color w:val="FFFFFF"/>
                <w:sz w:val="18"/>
                <w:szCs w:val="20"/>
              </w:rPr>
              <w:t>:</w:t>
            </w:r>
          </w:p>
          <w:p w:rsidR="003E2E20" w:rsidRPr="00B97C91" w:rsidRDefault="003E2E20" w:rsidP="005C1352">
            <w:pPr>
              <w:jc w:val="left"/>
              <w:rPr>
                <w:color w:val="FFFFFF"/>
                <w:sz w:val="18"/>
                <w:szCs w:val="20"/>
              </w:rPr>
            </w:pPr>
            <w:r w:rsidRPr="00B97C91">
              <w:rPr>
                <w:color w:val="FFFFFF"/>
                <w:sz w:val="18"/>
                <w:szCs w:val="18"/>
              </w:rPr>
              <w:t>[a]</w:t>
            </w:r>
            <w:r w:rsidRPr="00B97C91">
              <w:rPr>
                <w:bCs/>
                <w:color w:val="FFFFFF"/>
                <w:sz w:val="18"/>
                <w:szCs w:val="20"/>
              </w:rPr>
              <w:t xml:space="preserve"> </w:t>
            </w:r>
            <w:r w:rsidRPr="00B97C91">
              <w:rPr>
                <w:color w:val="FFFFFF"/>
                <w:sz w:val="18"/>
                <w:szCs w:val="20"/>
              </w:rPr>
              <w:t xml:space="preserve">NTGR = 1 – free-ridership + spillover. In some cases, the NTGR shown in the table may not equal exactly 1 – </w:t>
            </w:r>
            <w:r w:rsidRPr="00B97C91">
              <w:rPr>
                <w:rFonts w:eastAsia="Calibri"/>
                <w:color w:val="FFFFFF"/>
                <w:sz w:val="18"/>
                <w:szCs w:val="20"/>
              </w:rPr>
              <w:t>free-ridership + spillover</w:t>
            </w:r>
            <w:r w:rsidRPr="00B97C91">
              <w:rPr>
                <w:color w:val="FFFFFF"/>
                <w:sz w:val="18"/>
                <w:szCs w:val="20"/>
              </w:rPr>
              <w:t xml:space="preserve"> because of rounding.</w:t>
            </w:r>
          </w:p>
          <w:p w:rsidR="003E2E20" w:rsidRPr="00B97C91" w:rsidRDefault="003E2E20" w:rsidP="005C1352">
            <w:pPr>
              <w:jc w:val="left"/>
              <w:rPr>
                <w:color w:val="FFFFFF"/>
                <w:sz w:val="18"/>
                <w:szCs w:val="20"/>
              </w:rPr>
            </w:pPr>
            <w:r w:rsidRPr="00B97C91">
              <w:rPr>
                <w:color w:val="FFFFFF"/>
                <w:sz w:val="18"/>
                <w:szCs w:val="18"/>
              </w:rPr>
              <w:t>[b]</w:t>
            </w:r>
            <w:r w:rsidRPr="00B97C91">
              <w:rPr>
                <w:bCs/>
                <w:color w:val="FFFFFF"/>
                <w:sz w:val="18"/>
                <w:szCs w:val="20"/>
              </w:rPr>
              <w:t xml:space="preserve"> </w:t>
            </w:r>
            <w:r w:rsidRPr="00B97C91">
              <w:rPr>
                <w:color w:val="FFFFFF"/>
                <w:sz w:val="18"/>
                <w:szCs w:val="20"/>
              </w:rPr>
              <w:t xml:space="preserve">All sample sizes are for the downstream NTG research using the common method. With the exception of Large C/I Buildings, all sample sizes provided at least 85/15 confidence/precision. </w:t>
            </w:r>
            <w:r w:rsidRPr="00B97C91" w:rsidDel="00A436B6">
              <w:rPr>
                <w:color w:val="FFFFFF"/>
                <w:sz w:val="18"/>
                <w:szCs w:val="20"/>
              </w:rPr>
              <w:t xml:space="preserve"> </w:t>
            </w:r>
          </w:p>
          <w:p w:rsidR="003E2E20" w:rsidRPr="00B97C91" w:rsidRDefault="003E2E20" w:rsidP="005C1352">
            <w:pPr>
              <w:jc w:val="left"/>
              <w:rPr>
                <w:color w:val="FFFFFF"/>
                <w:sz w:val="18"/>
                <w:szCs w:val="20"/>
              </w:rPr>
            </w:pPr>
            <w:r w:rsidRPr="00B97C91">
              <w:rPr>
                <w:color w:val="FFFFFF"/>
                <w:sz w:val="18"/>
                <w:szCs w:val="18"/>
              </w:rPr>
              <w:t>[c]</w:t>
            </w:r>
            <w:r w:rsidRPr="00B97C91">
              <w:rPr>
                <w:bCs/>
                <w:color w:val="FFFFFF"/>
                <w:sz w:val="18"/>
                <w:szCs w:val="20"/>
              </w:rPr>
              <w:t xml:space="preserve"> </w:t>
            </w:r>
            <w:r w:rsidRPr="00B97C91">
              <w:rPr>
                <w:color w:val="FFFFFF"/>
                <w:sz w:val="18"/>
                <w:szCs w:val="20"/>
              </w:rPr>
              <w:t>ADM/Tetra Tech misprinted the program-level FR value in the PY7 annual report. The value reported in this table is the actual FR value.</w:t>
            </w:r>
            <w:r w:rsidRPr="00B97C91" w:rsidDel="008067CD">
              <w:rPr>
                <w:color w:val="FFFFFF"/>
                <w:sz w:val="18"/>
                <w:szCs w:val="20"/>
              </w:rPr>
              <w:t xml:space="preserve"> </w:t>
            </w:r>
          </w:p>
        </w:tc>
      </w:tr>
    </w:tbl>
    <w:p w:rsidR="003E2E20" w:rsidRDefault="003E2E20" w:rsidP="003E2E20"/>
    <w:p w:rsidR="00950837" w:rsidRDefault="00950837" w:rsidP="0043541C">
      <w:pPr>
        <w:pStyle w:val="AppendixAHeading2"/>
      </w:pPr>
      <w:r>
        <w:t>Statewide Evaluator Final Recommendations</w:t>
      </w:r>
    </w:p>
    <w:p w:rsidR="00405346" w:rsidRDefault="00405346" w:rsidP="00405346">
      <w:pPr>
        <w:pStyle w:val="bullettext"/>
      </w:pPr>
      <w:r w:rsidRPr="000475E0">
        <w:t xml:space="preserve">The SWE Team has the following recommendations for </w:t>
      </w:r>
      <w:r>
        <w:t>Penelec</w:t>
      </w:r>
      <w:r w:rsidRPr="000475E0">
        <w:t>’s EE&amp;C programs going forward</w:t>
      </w:r>
      <w:r>
        <w:t>:</w:t>
      </w:r>
    </w:p>
    <w:p w:rsidR="00405346" w:rsidRPr="0014308C" w:rsidRDefault="00405346" w:rsidP="00E646C9">
      <w:pPr>
        <w:pStyle w:val="ListParagraph"/>
        <w:numPr>
          <w:ilvl w:val="0"/>
          <w:numId w:val="77"/>
        </w:numPr>
        <w:ind w:left="360"/>
      </w:pPr>
      <w:r w:rsidRPr="0014308C">
        <w:t>The SWE Team recommends that in the interest of transparency, only the SWE-supplied Appendix C calculator be used for C</w:t>
      </w:r>
      <w:r w:rsidR="0097650B" w:rsidRPr="0014308C">
        <w:t>/</w:t>
      </w:r>
      <w:r w:rsidRPr="0014308C">
        <w:t>I lighting projects moving forward</w:t>
      </w:r>
    </w:p>
    <w:p w:rsidR="00405346" w:rsidRPr="0014308C" w:rsidRDefault="00405346" w:rsidP="00E646C9">
      <w:pPr>
        <w:pStyle w:val="ListParagraph"/>
        <w:numPr>
          <w:ilvl w:val="0"/>
          <w:numId w:val="77"/>
        </w:numPr>
        <w:ind w:left="360"/>
      </w:pPr>
      <w:r w:rsidRPr="0014308C">
        <w:t>Review rebate paperwork processes to identify opportunities to streamline documentation requirements and notify contractors and customers more quickly if project documentation is incomplete.</w:t>
      </w:r>
    </w:p>
    <w:p w:rsidR="00405346" w:rsidRPr="0014308C" w:rsidRDefault="00405346" w:rsidP="00E646C9">
      <w:pPr>
        <w:pStyle w:val="ListParagraph"/>
        <w:numPr>
          <w:ilvl w:val="0"/>
          <w:numId w:val="77"/>
        </w:numPr>
        <w:ind w:left="360"/>
      </w:pPr>
      <w:r w:rsidRPr="0014308C">
        <w:t>As the Home Performance – New Construction measure becomes more streamlined or as incentives change, attempt to attract builders who began with the program but dropped out.</w:t>
      </w:r>
    </w:p>
    <w:p w:rsidR="00405346" w:rsidRPr="00405346" w:rsidRDefault="00405346" w:rsidP="00405346"/>
    <w:p w:rsidR="00950837" w:rsidRDefault="00950837" w:rsidP="00D34B3E">
      <w:pPr>
        <w:pStyle w:val="AppendixAHeading1"/>
      </w:pPr>
      <w:r>
        <w:t>Penn Power</w:t>
      </w:r>
    </w:p>
    <w:p w:rsidR="007724F5" w:rsidRPr="007724F5" w:rsidRDefault="007724F5" w:rsidP="007724F5">
      <w:r w:rsidRPr="00735BA9">
        <w:t xml:space="preserve">This </w:t>
      </w:r>
      <w:r>
        <w:t>section</w:t>
      </w:r>
      <w:r w:rsidRPr="00735BA9">
        <w:t xml:space="preserve"> summarizes </w:t>
      </w:r>
      <w:r>
        <w:t>Penn Power</w:t>
      </w:r>
      <w:r w:rsidRPr="00735BA9">
        <w:t xml:space="preserve">’s program performance </w:t>
      </w:r>
      <w:r>
        <w:t>through PY7</w:t>
      </w:r>
      <w:r w:rsidRPr="00735BA9">
        <w:t xml:space="preserve">. It includes an overview of the cumulative energy savings and demand reductions achieved by </w:t>
      </w:r>
      <w:r>
        <w:t>Penn Power</w:t>
      </w:r>
      <w:r w:rsidRPr="00735BA9">
        <w:t xml:space="preserve">’s Act 129 EE&amp;C programs in Phase II; an overview of the TRC test results for each program and for the portfolio of programs; a discussion of the activities completed by </w:t>
      </w:r>
      <w:r>
        <w:t>Penn Power</w:t>
      </w:r>
      <w:r w:rsidRPr="00735BA9">
        <w:t xml:space="preserve">’s evaluation contractor to conduct M&amp;V of </w:t>
      </w:r>
      <w:r w:rsidR="00CE78B5">
        <w:t>Penn Power</w:t>
      </w:r>
      <w:r w:rsidRPr="00735BA9">
        <w:t xml:space="preserve">’s EE&amp;C programs and to calculate the cost-effectiveness of the portfolio of programs; a description of the work and findings of the SWE Team audits; and the SWE Team’s recommendations of actions to help improve </w:t>
      </w:r>
      <w:r>
        <w:t>Penn Power</w:t>
      </w:r>
      <w:r w:rsidRPr="00735BA9">
        <w:t>’s programs in the future</w:t>
      </w:r>
      <w:r>
        <w:t>.</w:t>
      </w:r>
    </w:p>
    <w:p w:rsidR="007724F5" w:rsidRDefault="007724F5" w:rsidP="0014308C"/>
    <w:p w:rsidR="00950837" w:rsidRDefault="00950837" w:rsidP="0043541C">
      <w:pPr>
        <w:pStyle w:val="AppendixAHeading2"/>
      </w:pPr>
      <w:r>
        <w:t>Summary of Energy and Demand Reductions</w:t>
      </w:r>
    </w:p>
    <w:p w:rsidR="009C5272" w:rsidRDefault="009C5272" w:rsidP="009C5272">
      <w:r>
        <w:lastRenderedPageBreak/>
        <w:t>T</w:t>
      </w:r>
      <w:r w:rsidR="000901B7">
        <w:t>his section lists the programs that</w:t>
      </w:r>
      <w:r>
        <w:t xml:space="preserve"> provided energy savings in PY7 and includes the energy and demand savings contributed by each program offered during Phase II. The sector-level verified gross and net energy savings achieved in PY7 are also provided.</w:t>
      </w:r>
    </w:p>
    <w:p w:rsidR="009C5272" w:rsidRPr="009C5272" w:rsidRDefault="009C5272" w:rsidP="009C5272"/>
    <w:p w:rsidR="00950837" w:rsidRDefault="00950837" w:rsidP="00D34B3E">
      <w:pPr>
        <w:pStyle w:val="AppendixAHeading3"/>
      </w:pPr>
      <w:r>
        <w:t>Phase II Savings by Program</w:t>
      </w:r>
    </w:p>
    <w:p w:rsidR="005A27BE" w:rsidRDefault="00775C70" w:rsidP="005A27BE">
      <w:r>
        <w:fldChar w:fldCharType="begin"/>
      </w:r>
      <w:r>
        <w:instrText xml:space="preserve"> REF _Ref472359269 \h </w:instrText>
      </w:r>
      <w:r>
        <w:fldChar w:fldCharType="separate"/>
      </w:r>
      <w:r w:rsidR="00A874AC" w:rsidRPr="00E41D9C">
        <w:t>Table A-</w:t>
      </w:r>
      <w:r w:rsidR="00A874AC">
        <w:rPr>
          <w:noProof/>
        </w:rPr>
        <w:t>68</w:t>
      </w:r>
      <w:r>
        <w:fldChar w:fldCharType="end"/>
      </w:r>
      <w:r w:rsidR="005A27BE">
        <w:t xml:space="preserve"> </w:t>
      </w:r>
      <w:r w:rsidR="005A27BE" w:rsidRPr="004B480A">
        <w:t>lists</w:t>
      </w:r>
      <w:r w:rsidR="005A27BE">
        <w:t xml:space="preserve"> the</w:t>
      </w:r>
      <w:r w:rsidR="005A27BE" w:rsidRPr="004B480A">
        <w:t xml:space="preserve"> </w:t>
      </w:r>
      <w:r>
        <w:t>Penn Power</w:t>
      </w:r>
      <w:r w:rsidR="005A27BE" w:rsidRPr="004B480A">
        <w:t xml:space="preserve"> EE&amp;C programs</w:t>
      </w:r>
      <w:r w:rsidR="005A27BE">
        <w:t xml:space="preserve"> that yielded reported savings in PY7. </w:t>
      </w:r>
      <w:r>
        <w:fldChar w:fldCharType="begin"/>
      </w:r>
      <w:r>
        <w:instrText xml:space="preserve"> REF _Ref472359275 \h </w:instrText>
      </w:r>
      <w:r>
        <w:fldChar w:fldCharType="separate"/>
      </w:r>
      <w:r w:rsidR="00A874AC" w:rsidRPr="00E41D9C">
        <w:t>Table A-</w:t>
      </w:r>
      <w:r w:rsidR="00A874AC">
        <w:rPr>
          <w:noProof/>
        </w:rPr>
        <w:t>69</w:t>
      </w:r>
      <w:r>
        <w:fldChar w:fldCharType="end"/>
      </w:r>
      <w:r w:rsidR="005A27BE">
        <w:t xml:space="preserve"> shows the verified gross energy and demand savings of each program at the conclusion of Phase II. The </w:t>
      </w:r>
      <w:r w:rsidR="009C633A">
        <w:t>Large C/I Equipment p</w:t>
      </w:r>
      <w:r w:rsidR="005A27BE">
        <w:t>rogram was the largest contributor of both energy and demand savings.</w:t>
      </w:r>
    </w:p>
    <w:p w:rsidR="005A27BE" w:rsidRPr="004B480A" w:rsidRDefault="005A27BE" w:rsidP="005A27BE"/>
    <w:p w:rsidR="005A27BE" w:rsidRDefault="005A27BE" w:rsidP="005A27BE">
      <w:pPr>
        <w:pStyle w:val="Caption"/>
      </w:pPr>
      <w:bookmarkStart w:id="895" w:name="_Ref472359269"/>
      <w:bookmarkStart w:id="896" w:name="_Toc472472477"/>
      <w:bookmarkStart w:id="897" w:name="_Toc476842183"/>
      <w:r w:rsidRPr="00E41D9C">
        <w:t>Table A-</w:t>
      </w:r>
      <w:fldSimple w:instr=" SEQ Table_A- \* ARABIC ">
        <w:r w:rsidR="00C301D0">
          <w:rPr>
            <w:noProof/>
          </w:rPr>
          <w:t>68</w:t>
        </w:r>
      </w:fldSimple>
      <w:bookmarkEnd w:id="895"/>
      <w:r w:rsidRPr="00E41D9C">
        <w:t xml:space="preserve">: </w:t>
      </w:r>
      <w:r w:rsidR="00775C70">
        <w:t>Penn Power</w:t>
      </w:r>
      <w:r w:rsidRPr="00E41D9C">
        <w:t xml:space="preserve"> EE&amp;C Programs wi</w:t>
      </w:r>
      <w:r>
        <w:t>th Reported Gross Savings in PY7</w:t>
      </w:r>
      <w:bookmarkEnd w:id="896"/>
      <w:bookmarkEnd w:id="897"/>
    </w:p>
    <w:tbl>
      <w:tblPr>
        <w:tblW w:w="9350" w:type="dxa"/>
        <w:tblLook w:val="04A0" w:firstRow="1" w:lastRow="0" w:firstColumn="1" w:lastColumn="0" w:noHBand="0" w:noVBand="1"/>
      </w:tblPr>
      <w:tblGrid>
        <w:gridCol w:w="4675"/>
        <w:gridCol w:w="4675"/>
      </w:tblGrid>
      <w:tr w:rsidR="00E7173E" w:rsidRPr="003A21EF" w:rsidTr="0081757B">
        <w:trPr>
          <w:cantSplit/>
          <w:trHeight w:val="223"/>
          <w:tblHeader/>
        </w:trPr>
        <w:tc>
          <w:tcPr>
            <w:tcW w:w="4675" w:type="dxa"/>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3A21EF" w:rsidRPr="003A21EF" w:rsidRDefault="003A21EF" w:rsidP="003A21EF">
            <w:pPr>
              <w:rPr>
                <w:b/>
                <w:bCs/>
                <w:color w:val="FFFFFF"/>
                <w:sz w:val="20"/>
                <w:szCs w:val="20"/>
              </w:rPr>
            </w:pPr>
            <w:r w:rsidRPr="003A21EF">
              <w:rPr>
                <w:b/>
                <w:bCs/>
                <w:color w:val="FFFFFF"/>
                <w:sz w:val="20"/>
                <w:szCs w:val="20"/>
              </w:rPr>
              <w:t>Programs Reporting PY7 Gross Savings</w:t>
            </w:r>
          </w:p>
        </w:tc>
        <w:tc>
          <w:tcPr>
            <w:tcW w:w="4675" w:type="dxa"/>
            <w:tcBorders>
              <w:top w:val="single" w:sz="8" w:space="0" w:color="448A99"/>
              <w:left w:val="nil"/>
              <w:bottom w:val="single" w:sz="8" w:space="0" w:color="448A99"/>
              <w:right w:val="single" w:sz="8" w:space="0" w:color="448A99"/>
            </w:tcBorders>
            <w:shd w:val="clear" w:color="000000" w:fill="448A99"/>
            <w:vAlign w:val="center"/>
            <w:hideMark/>
          </w:tcPr>
          <w:p w:rsidR="003A21EF" w:rsidRPr="003A21EF" w:rsidRDefault="000901B7" w:rsidP="0014308C">
            <w:pPr>
              <w:jc w:val="center"/>
              <w:rPr>
                <w:b/>
                <w:bCs/>
                <w:color w:val="FFFFFF"/>
                <w:sz w:val="20"/>
                <w:szCs w:val="20"/>
              </w:rPr>
            </w:pPr>
            <w:r>
              <w:rPr>
                <w:b/>
                <w:bCs/>
                <w:color w:val="FFFFFF"/>
                <w:sz w:val="20"/>
                <w:szCs w:val="20"/>
              </w:rPr>
              <w:t>Sector</w:t>
            </w:r>
          </w:p>
        </w:tc>
      </w:tr>
      <w:tr w:rsidR="00E7173E" w:rsidRPr="003A21EF"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3A21EF" w:rsidRPr="003A21EF" w:rsidRDefault="003A21EF" w:rsidP="003A21EF">
            <w:pPr>
              <w:rPr>
                <w:color w:val="000000"/>
                <w:sz w:val="20"/>
                <w:szCs w:val="20"/>
              </w:rPr>
            </w:pPr>
            <w:r w:rsidRPr="003A21EF">
              <w:rPr>
                <w:color w:val="000000"/>
                <w:sz w:val="20"/>
                <w:szCs w:val="20"/>
              </w:rPr>
              <w:t>Appliance Turn-In</w:t>
            </w:r>
          </w:p>
        </w:tc>
        <w:tc>
          <w:tcPr>
            <w:tcW w:w="4675" w:type="dxa"/>
            <w:tcBorders>
              <w:top w:val="nil"/>
              <w:left w:val="nil"/>
              <w:bottom w:val="single" w:sz="8" w:space="0" w:color="448A99"/>
              <w:right w:val="single" w:sz="8" w:space="0" w:color="448A99"/>
            </w:tcBorders>
            <w:shd w:val="clear" w:color="auto" w:fill="auto"/>
            <w:vAlign w:val="center"/>
            <w:hideMark/>
          </w:tcPr>
          <w:p w:rsidR="003A21EF" w:rsidRPr="003A21EF" w:rsidRDefault="003A21EF" w:rsidP="0014308C">
            <w:pPr>
              <w:jc w:val="center"/>
              <w:rPr>
                <w:color w:val="000000"/>
                <w:sz w:val="20"/>
                <w:szCs w:val="20"/>
              </w:rPr>
            </w:pPr>
            <w:r w:rsidRPr="003A21EF">
              <w:rPr>
                <w:color w:val="000000"/>
                <w:sz w:val="20"/>
                <w:szCs w:val="20"/>
              </w:rPr>
              <w:t>Residential</w:t>
            </w:r>
          </w:p>
        </w:tc>
      </w:tr>
      <w:tr w:rsidR="00E7173E" w:rsidRPr="003A21EF" w:rsidTr="0081757B">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3A21EF" w:rsidRPr="003A21EF" w:rsidRDefault="003A21EF" w:rsidP="003A21EF">
            <w:pPr>
              <w:rPr>
                <w:color w:val="000000"/>
                <w:sz w:val="20"/>
                <w:szCs w:val="20"/>
              </w:rPr>
            </w:pPr>
            <w:r w:rsidRPr="003A21EF">
              <w:rPr>
                <w:color w:val="000000"/>
                <w:sz w:val="20"/>
                <w:szCs w:val="20"/>
              </w:rPr>
              <w:t>Efficient Products</w:t>
            </w:r>
          </w:p>
        </w:tc>
        <w:tc>
          <w:tcPr>
            <w:tcW w:w="4675" w:type="dxa"/>
            <w:tcBorders>
              <w:top w:val="nil"/>
              <w:left w:val="nil"/>
              <w:bottom w:val="single" w:sz="8" w:space="0" w:color="448A99"/>
              <w:right w:val="single" w:sz="8" w:space="0" w:color="448A99"/>
            </w:tcBorders>
            <w:shd w:val="clear" w:color="000000" w:fill="D2EAF1"/>
            <w:vAlign w:val="center"/>
            <w:hideMark/>
          </w:tcPr>
          <w:p w:rsidR="003A21EF" w:rsidRPr="003A21EF" w:rsidRDefault="003A21EF" w:rsidP="0014308C">
            <w:pPr>
              <w:jc w:val="center"/>
              <w:rPr>
                <w:color w:val="000000"/>
                <w:sz w:val="20"/>
                <w:szCs w:val="20"/>
              </w:rPr>
            </w:pPr>
            <w:r w:rsidRPr="003A21EF">
              <w:rPr>
                <w:color w:val="000000"/>
                <w:sz w:val="20"/>
                <w:szCs w:val="20"/>
              </w:rPr>
              <w:t>Residential</w:t>
            </w:r>
          </w:p>
        </w:tc>
      </w:tr>
      <w:tr w:rsidR="00E7173E" w:rsidRPr="003A21EF"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3A21EF" w:rsidRPr="003A21EF" w:rsidRDefault="003A21EF" w:rsidP="003A21EF">
            <w:pPr>
              <w:rPr>
                <w:color w:val="000000"/>
                <w:sz w:val="20"/>
                <w:szCs w:val="20"/>
              </w:rPr>
            </w:pPr>
            <w:r w:rsidRPr="003A21EF">
              <w:rPr>
                <w:color w:val="000000"/>
                <w:sz w:val="20"/>
                <w:szCs w:val="20"/>
              </w:rPr>
              <w:t>Home Performance</w:t>
            </w:r>
          </w:p>
        </w:tc>
        <w:tc>
          <w:tcPr>
            <w:tcW w:w="4675" w:type="dxa"/>
            <w:tcBorders>
              <w:top w:val="nil"/>
              <w:left w:val="nil"/>
              <w:bottom w:val="single" w:sz="8" w:space="0" w:color="448A99"/>
              <w:right w:val="single" w:sz="8" w:space="0" w:color="448A99"/>
            </w:tcBorders>
            <w:shd w:val="clear" w:color="auto" w:fill="auto"/>
            <w:vAlign w:val="center"/>
            <w:hideMark/>
          </w:tcPr>
          <w:p w:rsidR="003A21EF" w:rsidRPr="003A21EF" w:rsidRDefault="003A21EF" w:rsidP="0014308C">
            <w:pPr>
              <w:jc w:val="center"/>
              <w:rPr>
                <w:color w:val="000000"/>
                <w:sz w:val="20"/>
                <w:szCs w:val="20"/>
              </w:rPr>
            </w:pPr>
            <w:r w:rsidRPr="003A21EF">
              <w:rPr>
                <w:color w:val="000000"/>
                <w:sz w:val="20"/>
                <w:szCs w:val="20"/>
              </w:rPr>
              <w:t>Residential</w:t>
            </w:r>
          </w:p>
        </w:tc>
      </w:tr>
      <w:tr w:rsidR="00E7173E" w:rsidRPr="003A21EF" w:rsidTr="0081757B">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3A21EF" w:rsidRPr="003A21EF" w:rsidRDefault="003A21EF" w:rsidP="003A21EF">
            <w:pPr>
              <w:rPr>
                <w:color w:val="000000"/>
                <w:sz w:val="20"/>
                <w:szCs w:val="20"/>
              </w:rPr>
            </w:pPr>
            <w:r w:rsidRPr="003A21EF">
              <w:rPr>
                <w:color w:val="000000"/>
                <w:sz w:val="20"/>
                <w:szCs w:val="20"/>
              </w:rPr>
              <w:t>Low Income</w:t>
            </w:r>
          </w:p>
        </w:tc>
        <w:tc>
          <w:tcPr>
            <w:tcW w:w="4675" w:type="dxa"/>
            <w:tcBorders>
              <w:top w:val="nil"/>
              <w:left w:val="nil"/>
              <w:bottom w:val="single" w:sz="8" w:space="0" w:color="448A99"/>
              <w:right w:val="single" w:sz="8" w:space="0" w:color="448A99"/>
            </w:tcBorders>
            <w:shd w:val="clear" w:color="000000" w:fill="D2EAF1"/>
            <w:vAlign w:val="center"/>
            <w:hideMark/>
          </w:tcPr>
          <w:p w:rsidR="003A21EF" w:rsidRPr="003A21EF" w:rsidRDefault="003A21EF" w:rsidP="0014308C">
            <w:pPr>
              <w:jc w:val="center"/>
              <w:rPr>
                <w:color w:val="000000"/>
                <w:sz w:val="20"/>
                <w:szCs w:val="20"/>
              </w:rPr>
            </w:pPr>
            <w:r w:rsidRPr="003A21EF">
              <w:rPr>
                <w:color w:val="000000"/>
                <w:sz w:val="20"/>
                <w:szCs w:val="20"/>
              </w:rPr>
              <w:t>Low-Income</w:t>
            </w:r>
          </w:p>
        </w:tc>
      </w:tr>
      <w:tr w:rsidR="00E7173E" w:rsidRPr="003A21EF"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3A21EF" w:rsidRPr="003A21EF" w:rsidRDefault="003A21EF" w:rsidP="003A21EF">
            <w:pPr>
              <w:rPr>
                <w:color w:val="000000"/>
                <w:sz w:val="20"/>
                <w:szCs w:val="20"/>
              </w:rPr>
            </w:pPr>
            <w:r w:rsidRPr="003A21EF">
              <w:rPr>
                <w:color w:val="000000"/>
                <w:sz w:val="20"/>
                <w:szCs w:val="20"/>
              </w:rPr>
              <w:t>Small C/I Equipment</w:t>
            </w:r>
          </w:p>
        </w:tc>
        <w:tc>
          <w:tcPr>
            <w:tcW w:w="4675" w:type="dxa"/>
            <w:tcBorders>
              <w:top w:val="nil"/>
              <w:left w:val="nil"/>
              <w:bottom w:val="single" w:sz="8" w:space="0" w:color="448A99"/>
              <w:right w:val="single" w:sz="8" w:space="0" w:color="448A99"/>
            </w:tcBorders>
            <w:shd w:val="clear" w:color="auto" w:fill="auto"/>
            <w:vAlign w:val="center"/>
            <w:hideMark/>
          </w:tcPr>
          <w:p w:rsidR="003A21EF" w:rsidRPr="003A21EF" w:rsidRDefault="003A21EF" w:rsidP="0014308C">
            <w:pPr>
              <w:jc w:val="center"/>
              <w:rPr>
                <w:color w:val="000000"/>
                <w:sz w:val="20"/>
                <w:szCs w:val="20"/>
              </w:rPr>
            </w:pPr>
            <w:r w:rsidRPr="003A21EF">
              <w:rPr>
                <w:color w:val="000000"/>
                <w:sz w:val="20"/>
                <w:szCs w:val="20"/>
              </w:rPr>
              <w:t>Non-Residential</w:t>
            </w:r>
          </w:p>
        </w:tc>
      </w:tr>
      <w:tr w:rsidR="00E7173E" w:rsidRPr="003A21EF" w:rsidTr="0081757B">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3A21EF" w:rsidRPr="003A21EF" w:rsidRDefault="003A21EF" w:rsidP="003A21EF">
            <w:pPr>
              <w:rPr>
                <w:color w:val="000000"/>
                <w:sz w:val="20"/>
                <w:szCs w:val="20"/>
              </w:rPr>
            </w:pPr>
            <w:r w:rsidRPr="003A21EF">
              <w:rPr>
                <w:color w:val="000000"/>
                <w:sz w:val="20"/>
                <w:szCs w:val="20"/>
              </w:rPr>
              <w:t>Small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3A21EF" w:rsidRPr="003A21EF" w:rsidRDefault="003A21EF" w:rsidP="0014308C">
            <w:pPr>
              <w:jc w:val="center"/>
              <w:rPr>
                <w:color w:val="000000"/>
                <w:sz w:val="20"/>
                <w:szCs w:val="20"/>
              </w:rPr>
            </w:pPr>
            <w:r w:rsidRPr="003A21EF">
              <w:rPr>
                <w:color w:val="000000"/>
                <w:sz w:val="20"/>
                <w:szCs w:val="20"/>
              </w:rPr>
              <w:t>Non-Residential</w:t>
            </w:r>
          </w:p>
        </w:tc>
      </w:tr>
      <w:tr w:rsidR="00E7173E" w:rsidRPr="003A21EF"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3A21EF" w:rsidRPr="003A21EF" w:rsidRDefault="003A21EF" w:rsidP="003A21EF">
            <w:pPr>
              <w:rPr>
                <w:color w:val="000000"/>
                <w:sz w:val="20"/>
                <w:szCs w:val="20"/>
              </w:rPr>
            </w:pPr>
            <w:r w:rsidRPr="003A21EF">
              <w:rPr>
                <w:color w:val="000000"/>
                <w:sz w:val="20"/>
                <w:szCs w:val="20"/>
              </w:rPr>
              <w:t>Large C/I Equipment</w:t>
            </w:r>
          </w:p>
        </w:tc>
        <w:tc>
          <w:tcPr>
            <w:tcW w:w="4675" w:type="dxa"/>
            <w:tcBorders>
              <w:top w:val="nil"/>
              <w:left w:val="nil"/>
              <w:bottom w:val="single" w:sz="8" w:space="0" w:color="448A99"/>
              <w:right w:val="single" w:sz="8" w:space="0" w:color="448A99"/>
            </w:tcBorders>
            <w:shd w:val="clear" w:color="auto" w:fill="auto"/>
            <w:vAlign w:val="center"/>
            <w:hideMark/>
          </w:tcPr>
          <w:p w:rsidR="003A21EF" w:rsidRPr="003A21EF" w:rsidRDefault="003A21EF" w:rsidP="0014308C">
            <w:pPr>
              <w:jc w:val="center"/>
              <w:rPr>
                <w:color w:val="000000"/>
                <w:sz w:val="20"/>
                <w:szCs w:val="20"/>
              </w:rPr>
            </w:pPr>
            <w:r w:rsidRPr="003A21EF">
              <w:rPr>
                <w:color w:val="000000"/>
                <w:sz w:val="20"/>
                <w:szCs w:val="20"/>
              </w:rPr>
              <w:t>Non-Residential</w:t>
            </w:r>
          </w:p>
        </w:tc>
      </w:tr>
      <w:tr w:rsidR="00E7173E" w:rsidRPr="003A21EF" w:rsidTr="0081757B">
        <w:trPr>
          <w:trHeight w:val="315"/>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3A21EF" w:rsidRPr="003A21EF" w:rsidRDefault="003A21EF" w:rsidP="003A21EF">
            <w:pPr>
              <w:rPr>
                <w:color w:val="000000"/>
                <w:sz w:val="20"/>
                <w:szCs w:val="20"/>
              </w:rPr>
            </w:pPr>
            <w:r w:rsidRPr="003A21EF">
              <w:rPr>
                <w:color w:val="000000"/>
                <w:sz w:val="20"/>
                <w:szCs w:val="20"/>
              </w:rPr>
              <w:t>Large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3A21EF" w:rsidRPr="003A21EF" w:rsidRDefault="003A21EF" w:rsidP="0014308C">
            <w:pPr>
              <w:jc w:val="center"/>
              <w:rPr>
                <w:color w:val="000000"/>
                <w:sz w:val="20"/>
                <w:szCs w:val="20"/>
              </w:rPr>
            </w:pPr>
            <w:r w:rsidRPr="003A21EF">
              <w:rPr>
                <w:color w:val="000000"/>
                <w:sz w:val="20"/>
                <w:szCs w:val="20"/>
              </w:rPr>
              <w:t>Non-Residential</w:t>
            </w:r>
          </w:p>
        </w:tc>
      </w:tr>
      <w:tr w:rsidR="00E7173E" w:rsidRPr="003A21EF" w:rsidTr="0081757B">
        <w:trPr>
          <w:trHeight w:val="315"/>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3A21EF" w:rsidRPr="003A21EF" w:rsidRDefault="003A21EF" w:rsidP="003A21EF">
            <w:pPr>
              <w:rPr>
                <w:color w:val="000000"/>
                <w:sz w:val="20"/>
                <w:szCs w:val="20"/>
              </w:rPr>
            </w:pPr>
            <w:r w:rsidRPr="003A21EF">
              <w:rPr>
                <w:color w:val="000000"/>
                <w:sz w:val="20"/>
                <w:szCs w:val="20"/>
              </w:rPr>
              <w:t>Gov./Institutional</w:t>
            </w:r>
          </w:p>
        </w:tc>
        <w:tc>
          <w:tcPr>
            <w:tcW w:w="4675" w:type="dxa"/>
            <w:tcBorders>
              <w:top w:val="nil"/>
              <w:left w:val="nil"/>
              <w:bottom w:val="single" w:sz="8" w:space="0" w:color="448A99"/>
              <w:right w:val="single" w:sz="8" w:space="0" w:color="448A99"/>
            </w:tcBorders>
            <w:shd w:val="clear" w:color="auto" w:fill="auto"/>
            <w:vAlign w:val="center"/>
            <w:hideMark/>
          </w:tcPr>
          <w:p w:rsidR="003A21EF" w:rsidRPr="003A21EF" w:rsidRDefault="003A21EF" w:rsidP="0014308C">
            <w:pPr>
              <w:jc w:val="center"/>
              <w:rPr>
                <w:color w:val="000000"/>
                <w:sz w:val="20"/>
                <w:szCs w:val="20"/>
              </w:rPr>
            </w:pPr>
            <w:r w:rsidRPr="003A21EF">
              <w:rPr>
                <w:color w:val="000000"/>
                <w:sz w:val="20"/>
                <w:szCs w:val="20"/>
              </w:rPr>
              <w:t>GNI</w:t>
            </w:r>
          </w:p>
        </w:tc>
      </w:tr>
    </w:tbl>
    <w:p w:rsidR="005A27BE" w:rsidRDefault="005A27BE" w:rsidP="005A27BE"/>
    <w:p w:rsidR="005A27BE" w:rsidRDefault="005A27BE" w:rsidP="005A27BE">
      <w:pPr>
        <w:pStyle w:val="Caption"/>
      </w:pPr>
      <w:bookmarkStart w:id="898" w:name="_Ref472359275"/>
      <w:bookmarkStart w:id="899" w:name="_Toc472472478"/>
      <w:bookmarkStart w:id="900" w:name="_Toc476842184"/>
      <w:r w:rsidRPr="00E41D9C">
        <w:t>Table A-</w:t>
      </w:r>
      <w:fldSimple w:instr=" SEQ Table_A- \* ARABIC ">
        <w:r w:rsidR="00C301D0">
          <w:rPr>
            <w:noProof/>
          </w:rPr>
          <w:t>69</w:t>
        </w:r>
      </w:fldSimple>
      <w:bookmarkEnd w:id="898"/>
      <w:r w:rsidRPr="00E41D9C">
        <w:t xml:space="preserve">: </w:t>
      </w:r>
      <w:r w:rsidRPr="005A1DB5">
        <w:t xml:space="preserve">Summary of </w:t>
      </w:r>
      <w:r w:rsidR="00775C70">
        <w:t>Penn Power</w:t>
      </w:r>
      <w:r w:rsidRPr="005A1DB5">
        <w:t xml:space="preserve"> EE&amp;C Program Impacts on Verified Gross Portfolio Savings</w:t>
      </w:r>
      <w:bookmarkEnd w:id="899"/>
      <w:bookmarkEnd w:id="900"/>
    </w:p>
    <w:tbl>
      <w:tblPr>
        <w:tblW w:w="9350" w:type="dxa"/>
        <w:tblLayout w:type="fixed"/>
        <w:tblLook w:val="04A0" w:firstRow="1" w:lastRow="0" w:firstColumn="1" w:lastColumn="0" w:noHBand="0" w:noVBand="1"/>
      </w:tblPr>
      <w:tblGrid>
        <w:gridCol w:w="1870"/>
        <w:gridCol w:w="1870"/>
        <w:gridCol w:w="1870"/>
        <w:gridCol w:w="1870"/>
        <w:gridCol w:w="1870"/>
      </w:tblGrid>
      <w:tr w:rsidR="00A874AC" w:rsidRPr="009B4F7B" w:rsidTr="008C15AB">
        <w:trPr>
          <w:trHeight w:val="780"/>
        </w:trPr>
        <w:tc>
          <w:tcPr>
            <w:tcW w:w="187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9B4F7B" w:rsidRPr="009B4F7B" w:rsidRDefault="009B4F7B" w:rsidP="0014308C">
            <w:pPr>
              <w:rPr>
                <w:b/>
                <w:bCs/>
                <w:color w:val="FFFFFF"/>
                <w:sz w:val="20"/>
                <w:szCs w:val="20"/>
              </w:rPr>
            </w:pPr>
            <w:r w:rsidRPr="009B4F7B">
              <w:rPr>
                <w:b/>
                <w:bCs/>
                <w:color w:val="FFFFFF"/>
                <w:sz w:val="20"/>
                <w:szCs w:val="20"/>
              </w:rPr>
              <w:t>Program</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9B4F7B" w:rsidRPr="009B4F7B" w:rsidRDefault="009B4F7B" w:rsidP="0014308C">
            <w:pPr>
              <w:jc w:val="center"/>
              <w:rPr>
                <w:b/>
                <w:bCs/>
                <w:color w:val="FFFFFF"/>
                <w:sz w:val="20"/>
                <w:szCs w:val="20"/>
              </w:rPr>
            </w:pPr>
            <w:r w:rsidRPr="009B4F7B">
              <w:rPr>
                <w:b/>
                <w:bCs/>
                <w:color w:val="FFFFFF"/>
                <w:sz w:val="20"/>
                <w:szCs w:val="20"/>
              </w:rPr>
              <w:t>Phase II VG Savings (MWh)</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9B4F7B" w:rsidRPr="009B4F7B" w:rsidRDefault="009B4F7B" w:rsidP="0014308C">
            <w:pPr>
              <w:jc w:val="center"/>
              <w:rPr>
                <w:b/>
                <w:bCs/>
                <w:color w:val="FFFFFF"/>
                <w:sz w:val="20"/>
                <w:szCs w:val="20"/>
              </w:rPr>
            </w:pPr>
            <w:r w:rsidRPr="009B4F7B">
              <w:rPr>
                <w:b/>
                <w:bCs/>
                <w:color w:val="FFFFFF"/>
                <w:sz w:val="20"/>
                <w:szCs w:val="20"/>
              </w:rPr>
              <w:t>Percent of Portfolio Phase II VG MWh Savings</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9B4F7B" w:rsidRPr="009B4F7B" w:rsidRDefault="009B4F7B" w:rsidP="0014308C">
            <w:pPr>
              <w:jc w:val="center"/>
              <w:rPr>
                <w:b/>
                <w:bCs/>
                <w:color w:val="FFFFFF"/>
                <w:sz w:val="20"/>
                <w:szCs w:val="20"/>
              </w:rPr>
            </w:pPr>
            <w:r w:rsidRPr="009B4F7B">
              <w:rPr>
                <w:b/>
                <w:bCs/>
                <w:color w:val="FFFFFF"/>
                <w:sz w:val="20"/>
                <w:szCs w:val="20"/>
              </w:rPr>
              <w:t>Phase II VG Savings (MW)</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9B4F7B" w:rsidRPr="009B4F7B" w:rsidRDefault="009B4F7B" w:rsidP="0014308C">
            <w:pPr>
              <w:jc w:val="center"/>
              <w:rPr>
                <w:b/>
                <w:bCs/>
                <w:color w:val="FFFFFF"/>
                <w:sz w:val="20"/>
                <w:szCs w:val="20"/>
              </w:rPr>
            </w:pPr>
            <w:r w:rsidRPr="009B4F7B">
              <w:rPr>
                <w:b/>
                <w:bCs/>
                <w:color w:val="FFFFFF"/>
                <w:sz w:val="20"/>
                <w:szCs w:val="20"/>
              </w:rPr>
              <w:t>Percent of Portfolio Phase II VG MW Savings</w:t>
            </w:r>
          </w:p>
        </w:tc>
      </w:tr>
      <w:tr w:rsidR="00E7173E" w:rsidRPr="009B4F7B" w:rsidTr="0081757B">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9B4F7B" w:rsidRPr="009B4F7B" w:rsidRDefault="009B4F7B" w:rsidP="009B4F7B">
            <w:pPr>
              <w:rPr>
                <w:color w:val="000000"/>
                <w:sz w:val="20"/>
                <w:szCs w:val="20"/>
              </w:rPr>
            </w:pPr>
            <w:r w:rsidRPr="009B4F7B">
              <w:rPr>
                <w:color w:val="000000"/>
                <w:sz w:val="20"/>
                <w:szCs w:val="20"/>
              </w:rPr>
              <w:t>Appliance Turn-In</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9B4F7B" w:rsidRDefault="009B4F7B" w:rsidP="009B4F7B">
            <w:pPr>
              <w:jc w:val="center"/>
              <w:rPr>
                <w:color w:val="000000"/>
                <w:sz w:val="20"/>
                <w:szCs w:val="20"/>
              </w:rPr>
            </w:pPr>
            <w:r w:rsidRPr="009B4F7B">
              <w:rPr>
                <w:color w:val="000000"/>
                <w:sz w:val="20"/>
                <w:szCs w:val="20"/>
              </w:rPr>
              <w:t>4,144</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9B4F7B" w:rsidRDefault="009B4F7B" w:rsidP="009B4F7B">
            <w:pPr>
              <w:jc w:val="center"/>
              <w:rPr>
                <w:color w:val="000000"/>
                <w:sz w:val="20"/>
                <w:szCs w:val="20"/>
              </w:rPr>
            </w:pPr>
            <w:r w:rsidRPr="009B4F7B">
              <w:rPr>
                <w:color w:val="000000"/>
                <w:sz w:val="20"/>
                <w:szCs w:val="20"/>
              </w:rPr>
              <w:t>4%</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9B4F7B" w:rsidRDefault="009B4F7B" w:rsidP="009B4F7B">
            <w:pPr>
              <w:jc w:val="center"/>
              <w:rPr>
                <w:color w:val="000000"/>
                <w:sz w:val="20"/>
                <w:szCs w:val="20"/>
              </w:rPr>
            </w:pPr>
            <w:r w:rsidRPr="009B4F7B">
              <w:rPr>
                <w:color w:val="000000"/>
                <w:sz w:val="20"/>
                <w:szCs w:val="20"/>
              </w:rPr>
              <w:t>0.55</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9B4F7B" w:rsidRDefault="009B4F7B" w:rsidP="009B4F7B">
            <w:pPr>
              <w:jc w:val="center"/>
              <w:rPr>
                <w:color w:val="000000"/>
                <w:sz w:val="20"/>
                <w:szCs w:val="20"/>
              </w:rPr>
            </w:pPr>
            <w:r w:rsidRPr="009B4F7B">
              <w:rPr>
                <w:color w:val="000000"/>
                <w:sz w:val="20"/>
                <w:szCs w:val="20"/>
              </w:rPr>
              <w:t>4%</w:t>
            </w:r>
          </w:p>
        </w:tc>
      </w:tr>
      <w:tr w:rsidR="00A874AC" w:rsidRPr="009B4F7B" w:rsidTr="008C15AB">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9B4F7B" w:rsidRPr="009B4F7B" w:rsidRDefault="009B4F7B" w:rsidP="009B4F7B">
            <w:pPr>
              <w:rPr>
                <w:color w:val="000000"/>
                <w:sz w:val="20"/>
                <w:szCs w:val="20"/>
              </w:rPr>
            </w:pPr>
            <w:r w:rsidRPr="009B4F7B">
              <w:rPr>
                <w:color w:val="000000"/>
                <w:sz w:val="20"/>
                <w:szCs w:val="20"/>
              </w:rPr>
              <w:t>Efficient Products</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color w:val="000000"/>
                <w:sz w:val="20"/>
                <w:szCs w:val="20"/>
              </w:rPr>
            </w:pPr>
            <w:r w:rsidRPr="009B4F7B">
              <w:rPr>
                <w:color w:val="000000"/>
                <w:sz w:val="20"/>
                <w:szCs w:val="20"/>
              </w:rPr>
              <w:t>21,719</w:t>
            </w:r>
          </w:p>
        </w:tc>
        <w:tc>
          <w:tcPr>
            <w:tcW w:w="1870" w:type="dxa"/>
            <w:tcBorders>
              <w:top w:val="nil"/>
              <w:left w:val="nil"/>
              <w:bottom w:val="single" w:sz="8" w:space="0" w:color="448A99"/>
              <w:right w:val="single" w:sz="8" w:space="0" w:color="448A99"/>
            </w:tcBorders>
            <w:shd w:val="clear" w:color="000000" w:fill="D2EAF1"/>
            <w:noWrap/>
            <w:vAlign w:val="center"/>
            <w:hideMark/>
          </w:tcPr>
          <w:p w:rsidR="009B4F7B" w:rsidRPr="009B4F7B" w:rsidRDefault="009B4F7B" w:rsidP="009B4F7B">
            <w:pPr>
              <w:jc w:val="center"/>
              <w:rPr>
                <w:color w:val="000000"/>
                <w:sz w:val="20"/>
                <w:szCs w:val="20"/>
              </w:rPr>
            </w:pPr>
            <w:r w:rsidRPr="009B4F7B">
              <w:rPr>
                <w:color w:val="000000"/>
                <w:sz w:val="20"/>
                <w:szCs w:val="20"/>
              </w:rPr>
              <w:t>20%</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color w:val="000000"/>
                <w:sz w:val="20"/>
                <w:szCs w:val="20"/>
              </w:rPr>
            </w:pPr>
            <w:r w:rsidRPr="009B4F7B">
              <w:rPr>
                <w:color w:val="000000"/>
                <w:sz w:val="20"/>
                <w:szCs w:val="20"/>
              </w:rPr>
              <w:t>2.39</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color w:val="000000"/>
                <w:sz w:val="20"/>
                <w:szCs w:val="20"/>
              </w:rPr>
            </w:pPr>
            <w:r w:rsidRPr="009B4F7B">
              <w:rPr>
                <w:color w:val="000000"/>
                <w:sz w:val="20"/>
                <w:szCs w:val="20"/>
              </w:rPr>
              <w:t>18%</w:t>
            </w:r>
          </w:p>
        </w:tc>
      </w:tr>
      <w:tr w:rsidR="00E7173E" w:rsidRPr="009B4F7B" w:rsidTr="0081757B">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9B4F7B" w:rsidRPr="009B4F7B" w:rsidRDefault="009B4F7B" w:rsidP="009B4F7B">
            <w:pPr>
              <w:rPr>
                <w:color w:val="000000"/>
                <w:sz w:val="20"/>
                <w:szCs w:val="20"/>
              </w:rPr>
            </w:pPr>
            <w:r w:rsidRPr="009B4F7B">
              <w:rPr>
                <w:color w:val="000000"/>
                <w:sz w:val="20"/>
                <w:szCs w:val="20"/>
              </w:rPr>
              <w:t>Home Performance</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9B4F7B" w:rsidRDefault="009B4F7B" w:rsidP="009B4F7B">
            <w:pPr>
              <w:jc w:val="center"/>
              <w:rPr>
                <w:color w:val="000000"/>
                <w:sz w:val="20"/>
                <w:szCs w:val="20"/>
              </w:rPr>
            </w:pPr>
            <w:r w:rsidRPr="009B4F7B">
              <w:rPr>
                <w:color w:val="000000"/>
                <w:sz w:val="20"/>
                <w:szCs w:val="20"/>
              </w:rPr>
              <w:t>24,468</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9B4F7B" w:rsidRDefault="009B4F7B" w:rsidP="009B4F7B">
            <w:pPr>
              <w:jc w:val="center"/>
              <w:rPr>
                <w:color w:val="000000"/>
                <w:sz w:val="20"/>
                <w:szCs w:val="20"/>
              </w:rPr>
            </w:pPr>
            <w:r w:rsidRPr="009B4F7B">
              <w:rPr>
                <w:color w:val="000000"/>
                <w:sz w:val="20"/>
                <w:szCs w:val="20"/>
              </w:rPr>
              <w:t>22%</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9B4F7B" w:rsidRDefault="009B4F7B" w:rsidP="009B4F7B">
            <w:pPr>
              <w:jc w:val="center"/>
              <w:rPr>
                <w:color w:val="000000"/>
                <w:sz w:val="20"/>
                <w:szCs w:val="20"/>
              </w:rPr>
            </w:pPr>
            <w:r w:rsidRPr="009B4F7B">
              <w:rPr>
                <w:color w:val="000000"/>
                <w:sz w:val="20"/>
                <w:szCs w:val="20"/>
              </w:rPr>
              <w:t>2.60</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9B4F7B" w:rsidRDefault="009B4F7B" w:rsidP="009B4F7B">
            <w:pPr>
              <w:jc w:val="center"/>
              <w:rPr>
                <w:color w:val="000000"/>
                <w:sz w:val="20"/>
                <w:szCs w:val="20"/>
              </w:rPr>
            </w:pPr>
            <w:r w:rsidRPr="009B4F7B">
              <w:rPr>
                <w:color w:val="000000"/>
                <w:sz w:val="20"/>
                <w:szCs w:val="20"/>
              </w:rPr>
              <w:t>20%</w:t>
            </w:r>
          </w:p>
        </w:tc>
      </w:tr>
      <w:tr w:rsidR="00A874AC" w:rsidRPr="009B4F7B" w:rsidTr="008C15AB">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9B4F7B" w:rsidRPr="009B4F7B" w:rsidRDefault="009B4F7B" w:rsidP="009B4F7B">
            <w:pPr>
              <w:rPr>
                <w:color w:val="000000"/>
                <w:sz w:val="20"/>
                <w:szCs w:val="20"/>
              </w:rPr>
            </w:pPr>
            <w:r w:rsidRPr="009B4F7B">
              <w:rPr>
                <w:color w:val="000000"/>
                <w:sz w:val="20"/>
                <w:szCs w:val="20"/>
              </w:rPr>
              <w:t>Low Income</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color w:val="000000"/>
                <w:sz w:val="20"/>
                <w:szCs w:val="20"/>
              </w:rPr>
            </w:pPr>
            <w:r w:rsidRPr="009B4F7B">
              <w:rPr>
                <w:color w:val="000000"/>
                <w:sz w:val="20"/>
                <w:szCs w:val="20"/>
              </w:rPr>
              <w:t>2,727</w:t>
            </w:r>
          </w:p>
        </w:tc>
        <w:tc>
          <w:tcPr>
            <w:tcW w:w="1870" w:type="dxa"/>
            <w:tcBorders>
              <w:top w:val="nil"/>
              <w:left w:val="nil"/>
              <w:bottom w:val="single" w:sz="8" w:space="0" w:color="448A99"/>
              <w:right w:val="single" w:sz="8" w:space="0" w:color="448A99"/>
            </w:tcBorders>
            <w:shd w:val="clear" w:color="000000" w:fill="D2EAF1"/>
            <w:noWrap/>
            <w:vAlign w:val="center"/>
            <w:hideMark/>
          </w:tcPr>
          <w:p w:rsidR="009B4F7B" w:rsidRPr="009B4F7B" w:rsidRDefault="009B4F7B" w:rsidP="009B4F7B">
            <w:pPr>
              <w:jc w:val="center"/>
              <w:rPr>
                <w:color w:val="000000"/>
                <w:sz w:val="20"/>
                <w:szCs w:val="20"/>
              </w:rPr>
            </w:pPr>
            <w:r w:rsidRPr="009B4F7B">
              <w:rPr>
                <w:color w:val="000000"/>
                <w:sz w:val="20"/>
                <w:szCs w:val="20"/>
              </w:rPr>
              <w:t>2%</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color w:val="000000"/>
                <w:sz w:val="20"/>
                <w:szCs w:val="20"/>
              </w:rPr>
            </w:pPr>
            <w:r w:rsidRPr="009B4F7B">
              <w:rPr>
                <w:color w:val="000000"/>
                <w:sz w:val="20"/>
                <w:szCs w:val="20"/>
              </w:rPr>
              <w:t>0.22</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color w:val="000000"/>
                <w:sz w:val="20"/>
                <w:szCs w:val="20"/>
              </w:rPr>
            </w:pPr>
            <w:r w:rsidRPr="009B4F7B">
              <w:rPr>
                <w:color w:val="000000"/>
                <w:sz w:val="20"/>
                <w:szCs w:val="20"/>
              </w:rPr>
              <w:t>2%</w:t>
            </w:r>
          </w:p>
        </w:tc>
      </w:tr>
      <w:tr w:rsidR="00E7173E" w:rsidRPr="009B4F7B" w:rsidTr="0081757B">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9B4F7B" w:rsidRPr="009B4F7B" w:rsidRDefault="009B4F7B" w:rsidP="009B4F7B">
            <w:pPr>
              <w:rPr>
                <w:color w:val="000000"/>
                <w:sz w:val="20"/>
                <w:szCs w:val="20"/>
              </w:rPr>
            </w:pPr>
            <w:r w:rsidRPr="009B4F7B">
              <w:rPr>
                <w:color w:val="000000"/>
                <w:sz w:val="20"/>
                <w:szCs w:val="20"/>
              </w:rPr>
              <w:t>Small C/I Equipment</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9B4F7B" w:rsidRDefault="009B4F7B" w:rsidP="009B4F7B">
            <w:pPr>
              <w:jc w:val="center"/>
              <w:rPr>
                <w:color w:val="000000"/>
                <w:sz w:val="20"/>
                <w:szCs w:val="20"/>
              </w:rPr>
            </w:pPr>
            <w:r w:rsidRPr="009B4F7B">
              <w:rPr>
                <w:color w:val="000000"/>
                <w:sz w:val="20"/>
                <w:szCs w:val="20"/>
              </w:rPr>
              <w:t>19,164</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9B4F7B" w:rsidRDefault="009B4F7B" w:rsidP="009B4F7B">
            <w:pPr>
              <w:jc w:val="center"/>
              <w:rPr>
                <w:color w:val="000000"/>
                <w:sz w:val="20"/>
                <w:szCs w:val="20"/>
              </w:rPr>
            </w:pPr>
            <w:r w:rsidRPr="009B4F7B">
              <w:rPr>
                <w:color w:val="000000"/>
                <w:sz w:val="20"/>
                <w:szCs w:val="20"/>
              </w:rPr>
              <w:t>18%</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9B4F7B" w:rsidRDefault="009B4F7B" w:rsidP="009B4F7B">
            <w:pPr>
              <w:jc w:val="center"/>
              <w:rPr>
                <w:color w:val="000000"/>
                <w:sz w:val="20"/>
                <w:szCs w:val="20"/>
              </w:rPr>
            </w:pPr>
            <w:r w:rsidRPr="009B4F7B">
              <w:rPr>
                <w:color w:val="000000"/>
                <w:sz w:val="20"/>
                <w:szCs w:val="20"/>
              </w:rPr>
              <w:t>2.98</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9B4F7B" w:rsidRDefault="009B4F7B" w:rsidP="009B4F7B">
            <w:pPr>
              <w:jc w:val="center"/>
              <w:rPr>
                <w:color w:val="000000"/>
                <w:sz w:val="20"/>
                <w:szCs w:val="20"/>
              </w:rPr>
            </w:pPr>
            <w:r w:rsidRPr="009B4F7B">
              <w:rPr>
                <w:color w:val="000000"/>
                <w:sz w:val="20"/>
                <w:szCs w:val="20"/>
              </w:rPr>
              <w:t>23%</w:t>
            </w:r>
          </w:p>
        </w:tc>
      </w:tr>
      <w:tr w:rsidR="00A874AC" w:rsidRPr="009B4F7B" w:rsidTr="008C15AB">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9B4F7B" w:rsidRPr="009B4F7B" w:rsidRDefault="009B4F7B" w:rsidP="009B4F7B">
            <w:pPr>
              <w:rPr>
                <w:color w:val="000000"/>
                <w:sz w:val="20"/>
                <w:szCs w:val="20"/>
              </w:rPr>
            </w:pPr>
            <w:r w:rsidRPr="009B4F7B">
              <w:rPr>
                <w:color w:val="000000"/>
                <w:sz w:val="20"/>
                <w:szCs w:val="20"/>
              </w:rPr>
              <w:t>Small C/I Buildings</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color w:val="000000"/>
                <w:sz w:val="20"/>
                <w:szCs w:val="20"/>
              </w:rPr>
            </w:pPr>
            <w:r w:rsidRPr="009B4F7B">
              <w:rPr>
                <w:color w:val="000000"/>
                <w:sz w:val="20"/>
                <w:szCs w:val="20"/>
              </w:rPr>
              <w:t>4,443</w:t>
            </w:r>
          </w:p>
        </w:tc>
        <w:tc>
          <w:tcPr>
            <w:tcW w:w="1870" w:type="dxa"/>
            <w:tcBorders>
              <w:top w:val="nil"/>
              <w:left w:val="nil"/>
              <w:bottom w:val="single" w:sz="8" w:space="0" w:color="448A99"/>
              <w:right w:val="single" w:sz="8" w:space="0" w:color="448A99"/>
            </w:tcBorders>
            <w:shd w:val="clear" w:color="000000" w:fill="D2EAF1"/>
            <w:noWrap/>
            <w:vAlign w:val="center"/>
            <w:hideMark/>
          </w:tcPr>
          <w:p w:rsidR="009B4F7B" w:rsidRPr="009B4F7B" w:rsidRDefault="009B4F7B" w:rsidP="009B4F7B">
            <w:pPr>
              <w:jc w:val="center"/>
              <w:rPr>
                <w:color w:val="000000"/>
                <w:sz w:val="20"/>
                <w:szCs w:val="20"/>
              </w:rPr>
            </w:pPr>
            <w:r w:rsidRPr="009B4F7B">
              <w:rPr>
                <w:color w:val="000000"/>
                <w:sz w:val="20"/>
                <w:szCs w:val="20"/>
              </w:rPr>
              <w:t>4%</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color w:val="000000"/>
                <w:sz w:val="20"/>
                <w:szCs w:val="20"/>
              </w:rPr>
            </w:pPr>
            <w:r w:rsidRPr="009B4F7B">
              <w:rPr>
                <w:color w:val="000000"/>
                <w:sz w:val="20"/>
                <w:szCs w:val="20"/>
              </w:rPr>
              <w:t>0.70</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color w:val="000000"/>
                <w:sz w:val="20"/>
                <w:szCs w:val="20"/>
              </w:rPr>
            </w:pPr>
            <w:r w:rsidRPr="009B4F7B">
              <w:rPr>
                <w:color w:val="000000"/>
                <w:sz w:val="20"/>
                <w:szCs w:val="20"/>
              </w:rPr>
              <w:t>5%</w:t>
            </w:r>
          </w:p>
        </w:tc>
      </w:tr>
      <w:tr w:rsidR="00E7173E" w:rsidRPr="009B4F7B" w:rsidTr="0081757B">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9B4F7B" w:rsidRPr="009B4F7B" w:rsidRDefault="009B4F7B" w:rsidP="009B4F7B">
            <w:pPr>
              <w:rPr>
                <w:color w:val="000000"/>
                <w:sz w:val="20"/>
                <w:szCs w:val="20"/>
              </w:rPr>
            </w:pPr>
            <w:r w:rsidRPr="009B4F7B">
              <w:rPr>
                <w:color w:val="000000"/>
                <w:sz w:val="20"/>
                <w:szCs w:val="20"/>
              </w:rPr>
              <w:t>Large C/I Equipment</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9B4F7B" w:rsidRDefault="009B4F7B" w:rsidP="009B4F7B">
            <w:pPr>
              <w:jc w:val="center"/>
              <w:rPr>
                <w:color w:val="000000"/>
                <w:sz w:val="20"/>
                <w:szCs w:val="20"/>
              </w:rPr>
            </w:pPr>
            <w:r w:rsidRPr="009B4F7B">
              <w:rPr>
                <w:color w:val="000000"/>
                <w:sz w:val="20"/>
                <w:szCs w:val="20"/>
              </w:rPr>
              <w:t>28,808</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9B4F7B" w:rsidRDefault="009B4F7B" w:rsidP="009B4F7B">
            <w:pPr>
              <w:jc w:val="center"/>
              <w:rPr>
                <w:color w:val="000000"/>
                <w:sz w:val="20"/>
                <w:szCs w:val="20"/>
              </w:rPr>
            </w:pPr>
            <w:r w:rsidRPr="009B4F7B">
              <w:rPr>
                <w:color w:val="000000"/>
                <w:sz w:val="20"/>
                <w:szCs w:val="20"/>
              </w:rPr>
              <w:t>26%</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9B4F7B" w:rsidRDefault="009B4F7B" w:rsidP="009B4F7B">
            <w:pPr>
              <w:jc w:val="center"/>
              <w:rPr>
                <w:color w:val="000000"/>
                <w:sz w:val="20"/>
                <w:szCs w:val="20"/>
              </w:rPr>
            </w:pPr>
            <w:r w:rsidRPr="009B4F7B">
              <w:rPr>
                <w:color w:val="000000"/>
                <w:sz w:val="20"/>
                <w:szCs w:val="20"/>
              </w:rPr>
              <w:t>3.41</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9B4F7B" w:rsidRDefault="009B4F7B" w:rsidP="009B4F7B">
            <w:pPr>
              <w:jc w:val="center"/>
              <w:rPr>
                <w:color w:val="000000"/>
                <w:sz w:val="20"/>
                <w:szCs w:val="20"/>
              </w:rPr>
            </w:pPr>
            <w:r w:rsidRPr="009B4F7B">
              <w:rPr>
                <w:color w:val="000000"/>
                <w:sz w:val="20"/>
                <w:szCs w:val="20"/>
              </w:rPr>
              <w:t>26%</w:t>
            </w:r>
          </w:p>
        </w:tc>
      </w:tr>
      <w:tr w:rsidR="00A874AC" w:rsidRPr="009B4F7B" w:rsidTr="008C15AB">
        <w:trPr>
          <w:trHeight w:val="315"/>
        </w:trPr>
        <w:tc>
          <w:tcPr>
            <w:tcW w:w="1870" w:type="dxa"/>
            <w:tcBorders>
              <w:top w:val="nil"/>
              <w:left w:val="single" w:sz="8" w:space="0" w:color="448A99"/>
              <w:bottom w:val="single" w:sz="8" w:space="0" w:color="448A99"/>
              <w:right w:val="single" w:sz="8" w:space="0" w:color="448A99"/>
            </w:tcBorders>
            <w:shd w:val="clear" w:color="000000" w:fill="D2EAF1"/>
            <w:vAlign w:val="center"/>
            <w:hideMark/>
          </w:tcPr>
          <w:p w:rsidR="009B4F7B" w:rsidRPr="009B4F7B" w:rsidRDefault="009B4F7B" w:rsidP="009B4F7B">
            <w:pPr>
              <w:rPr>
                <w:color w:val="000000"/>
                <w:sz w:val="20"/>
                <w:szCs w:val="20"/>
              </w:rPr>
            </w:pPr>
            <w:r w:rsidRPr="009B4F7B">
              <w:rPr>
                <w:color w:val="000000"/>
                <w:sz w:val="20"/>
                <w:szCs w:val="20"/>
              </w:rPr>
              <w:t>Large C/I Buildings</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color w:val="000000"/>
                <w:sz w:val="20"/>
                <w:szCs w:val="20"/>
              </w:rPr>
            </w:pPr>
            <w:r w:rsidRPr="009B4F7B">
              <w:rPr>
                <w:color w:val="000000"/>
                <w:sz w:val="20"/>
                <w:szCs w:val="20"/>
              </w:rPr>
              <w:t>2,726</w:t>
            </w:r>
          </w:p>
        </w:tc>
        <w:tc>
          <w:tcPr>
            <w:tcW w:w="1870" w:type="dxa"/>
            <w:tcBorders>
              <w:top w:val="nil"/>
              <w:left w:val="nil"/>
              <w:bottom w:val="single" w:sz="8" w:space="0" w:color="448A99"/>
              <w:right w:val="single" w:sz="8" w:space="0" w:color="448A99"/>
            </w:tcBorders>
            <w:shd w:val="clear" w:color="000000" w:fill="D2EAF1"/>
            <w:noWrap/>
            <w:vAlign w:val="center"/>
            <w:hideMark/>
          </w:tcPr>
          <w:p w:rsidR="009B4F7B" w:rsidRPr="009B4F7B" w:rsidRDefault="009B4F7B" w:rsidP="009B4F7B">
            <w:pPr>
              <w:jc w:val="center"/>
              <w:rPr>
                <w:color w:val="000000"/>
                <w:sz w:val="20"/>
                <w:szCs w:val="20"/>
              </w:rPr>
            </w:pPr>
            <w:r w:rsidRPr="009B4F7B">
              <w:rPr>
                <w:color w:val="000000"/>
                <w:sz w:val="20"/>
                <w:szCs w:val="20"/>
              </w:rPr>
              <w:t>2%</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color w:val="000000"/>
                <w:sz w:val="20"/>
                <w:szCs w:val="20"/>
              </w:rPr>
            </w:pPr>
            <w:r w:rsidRPr="009B4F7B">
              <w:rPr>
                <w:color w:val="000000"/>
                <w:sz w:val="20"/>
                <w:szCs w:val="20"/>
              </w:rPr>
              <w:t>0.34</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color w:val="000000"/>
                <w:sz w:val="20"/>
                <w:szCs w:val="20"/>
              </w:rPr>
            </w:pPr>
            <w:r w:rsidRPr="009B4F7B">
              <w:rPr>
                <w:color w:val="000000"/>
                <w:sz w:val="20"/>
                <w:szCs w:val="20"/>
              </w:rPr>
              <w:t>3%</w:t>
            </w:r>
          </w:p>
        </w:tc>
      </w:tr>
      <w:tr w:rsidR="00E7173E" w:rsidRPr="009B4F7B" w:rsidTr="0081757B">
        <w:trPr>
          <w:trHeight w:val="315"/>
        </w:trPr>
        <w:tc>
          <w:tcPr>
            <w:tcW w:w="1870" w:type="dxa"/>
            <w:tcBorders>
              <w:top w:val="nil"/>
              <w:left w:val="single" w:sz="8" w:space="0" w:color="448A99"/>
              <w:bottom w:val="single" w:sz="8" w:space="0" w:color="448A99"/>
              <w:right w:val="single" w:sz="8" w:space="0" w:color="448A99"/>
            </w:tcBorders>
            <w:shd w:val="clear" w:color="auto" w:fill="auto"/>
            <w:vAlign w:val="center"/>
            <w:hideMark/>
          </w:tcPr>
          <w:p w:rsidR="009B4F7B" w:rsidRPr="009B4F7B" w:rsidRDefault="009B4F7B" w:rsidP="009B4F7B">
            <w:pPr>
              <w:rPr>
                <w:color w:val="000000"/>
                <w:sz w:val="20"/>
                <w:szCs w:val="20"/>
              </w:rPr>
            </w:pPr>
            <w:r w:rsidRPr="009B4F7B">
              <w:rPr>
                <w:color w:val="000000"/>
                <w:sz w:val="20"/>
                <w:szCs w:val="20"/>
              </w:rPr>
              <w:t>Gov./Institutional</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9B4F7B" w:rsidRDefault="009B4F7B" w:rsidP="009B4F7B">
            <w:pPr>
              <w:jc w:val="center"/>
              <w:rPr>
                <w:color w:val="000000"/>
                <w:sz w:val="20"/>
                <w:szCs w:val="20"/>
              </w:rPr>
            </w:pPr>
            <w:r w:rsidRPr="009B4F7B">
              <w:rPr>
                <w:color w:val="000000"/>
                <w:sz w:val="20"/>
                <w:szCs w:val="20"/>
              </w:rPr>
              <w:t>1,167</w:t>
            </w:r>
          </w:p>
        </w:tc>
        <w:tc>
          <w:tcPr>
            <w:tcW w:w="1870" w:type="dxa"/>
            <w:tcBorders>
              <w:top w:val="nil"/>
              <w:left w:val="nil"/>
              <w:bottom w:val="single" w:sz="8" w:space="0" w:color="448A99"/>
              <w:right w:val="single" w:sz="8" w:space="0" w:color="448A99"/>
            </w:tcBorders>
            <w:shd w:val="clear" w:color="auto" w:fill="auto"/>
            <w:noWrap/>
            <w:vAlign w:val="center"/>
            <w:hideMark/>
          </w:tcPr>
          <w:p w:rsidR="009B4F7B" w:rsidRPr="009B4F7B" w:rsidRDefault="009B4F7B" w:rsidP="009B4F7B">
            <w:pPr>
              <w:jc w:val="center"/>
              <w:rPr>
                <w:color w:val="000000"/>
                <w:sz w:val="20"/>
                <w:szCs w:val="20"/>
              </w:rPr>
            </w:pPr>
            <w:r w:rsidRPr="009B4F7B">
              <w:rPr>
                <w:color w:val="000000"/>
                <w:sz w:val="20"/>
                <w:szCs w:val="20"/>
              </w:rPr>
              <w:t>1%</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9B4F7B" w:rsidRDefault="009B4F7B" w:rsidP="009B4F7B">
            <w:pPr>
              <w:jc w:val="center"/>
              <w:rPr>
                <w:color w:val="000000"/>
                <w:sz w:val="20"/>
                <w:szCs w:val="20"/>
              </w:rPr>
            </w:pPr>
            <w:r w:rsidRPr="009B4F7B">
              <w:rPr>
                <w:color w:val="000000"/>
                <w:sz w:val="20"/>
                <w:szCs w:val="20"/>
              </w:rPr>
              <w:t>0.01</w:t>
            </w:r>
          </w:p>
        </w:tc>
        <w:tc>
          <w:tcPr>
            <w:tcW w:w="1870" w:type="dxa"/>
            <w:tcBorders>
              <w:top w:val="nil"/>
              <w:left w:val="nil"/>
              <w:bottom w:val="single" w:sz="8" w:space="0" w:color="448A99"/>
              <w:right w:val="single" w:sz="8" w:space="0" w:color="448A99"/>
            </w:tcBorders>
            <w:shd w:val="clear" w:color="auto" w:fill="auto"/>
            <w:vAlign w:val="center"/>
            <w:hideMark/>
          </w:tcPr>
          <w:p w:rsidR="009B4F7B" w:rsidRPr="009B4F7B" w:rsidRDefault="009B4F7B" w:rsidP="009B4F7B">
            <w:pPr>
              <w:jc w:val="center"/>
              <w:rPr>
                <w:color w:val="000000"/>
                <w:sz w:val="20"/>
                <w:szCs w:val="20"/>
              </w:rPr>
            </w:pPr>
            <w:r w:rsidRPr="009B4F7B">
              <w:rPr>
                <w:color w:val="000000"/>
                <w:sz w:val="20"/>
                <w:szCs w:val="20"/>
              </w:rPr>
              <w:t>0%</w:t>
            </w:r>
          </w:p>
        </w:tc>
      </w:tr>
      <w:tr w:rsidR="00A874AC" w:rsidRPr="009B4F7B" w:rsidTr="008C15AB">
        <w:trPr>
          <w:trHeight w:val="315"/>
        </w:trPr>
        <w:tc>
          <w:tcPr>
            <w:tcW w:w="1870" w:type="dxa"/>
            <w:tcBorders>
              <w:top w:val="nil"/>
              <w:left w:val="single" w:sz="8" w:space="0" w:color="448A99"/>
              <w:bottom w:val="single" w:sz="8" w:space="0" w:color="448A99"/>
              <w:right w:val="single" w:sz="8" w:space="0" w:color="448A99"/>
            </w:tcBorders>
            <w:shd w:val="clear" w:color="000000" w:fill="D2EAF1"/>
            <w:noWrap/>
            <w:vAlign w:val="center"/>
            <w:hideMark/>
          </w:tcPr>
          <w:p w:rsidR="009B4F7B" w:rsidRPr="009B4F7B" w:rsidRDefault="009B4F7B" w:rsidP="009B4F7B">
            <w:pPr>
              <w:jc w:val="left"/>
              <w:rPr>
                <w:b/>
                <w:bCs/>
                <w:i/>
                <w:iCs/>
                <w:color w:val="000000"/>
                <w:sz w:val="20"/>
                <w:szCs w:val="20"/>
              </w:rPr>
            </w:pPr>
            <w:r w:rsidRPr="009B4F7B">
              <w:rPr>
                <w:b/>
                <w:bCs/>
                <w:i/>
                <w:iCs/>
                <w:color w:val="000000"/>
                <w:sz w:val="20"/>
                <w:szCs w:val="20"/>
              </w:rPr>
              <w:t>Total Portfolio</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b/>
                <w:bCs/>
                <w:i/>
                <w:iCs/>
                <w:color w:val="000000"/>
                <w:sz w:val="20"/>
                <w:szCs w:val="20"/>
              </w:rPr>
            </w:pPr>
            <w:r w:rsidRPr="009B4F7B">
              <w:rPr>
                <w:b/>
                <w:bCs/>
                <w:i/>
                <w:iCs/>
                <w:color w:val="000000"/>
                <w:sz w:val="20"/>
                <w:szCs w:val="20"/>
              </w:rPr>
              <w:t>109,368</w:t>
            </w:r>
          </w:p>
        </w:tc>
        <w:tc>
          <w:tcPr>
            <w:tcW w:w="1870" w:type="dxa"/>
            <w:tcBorders>
              <w:top w:val="nil"/>
              <w:left w:val="nil"/>
              <w:bottom w:val="single" w:sz="8" w:space="0" w:color="448A99"/>
              <w:right w:val="single" w:sz="8" w:space="0" w:color="448A99"/>
            </w:tcBorders>
            <w:shd w:val="clear" w:color="000000" w:fill="D2EAF1"/>
            <w:noWrap/>
            <w:vAlign w:val="center"/>
            <w:hideMark/>
          </w:tcPr>
          <w:p w:rsidR="009B4F7B" w:rsidRPr="009B4F7B" w:rsidRDefault="009B4F7B" w:rsidP="009B4F7B">
            <w:pPr>
              <w:jc w:val="center"/>
              <w:rPr>
                <w:b/>
                <w:bCs/>
                <w:i/>
                <w:iCs/>
                <w:color w:val="000000"/>
                <w:sz w:val="20"/>
                <w:szCs w:val="20"/>
              </w:rPr>
            </w:pPr>
            <w:r w:rsidRPr="009B4F7B">
              <w:rPr>
                <w:b/>
                <w:bCs/>
                <w:i/>
                <w:iCs/>
                <w:color w:val="000000"/>
                <w:sz w:val="20"/>
                <w:szCs w:val="20"/>
              </w:rPr>
              <w:t>100%</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b/>
                <w:bCs/>
                <w:i/>
                <w:iCs/>
                <w:color w:val="000000"/>
                <w:sz w:val="20"/>
                <w:szCs w:val="20"/>
              </w:rPr>
            </w:pPr>
            <w:r w:rsidRPr="009B4F7B">
              <w:rPr>
                <w:b/>
                <w:bCs/>
                <w:i/>
                <w:iCs/>
                <w:color w:val="000000"/>
                <w:sz w:val="20"/>
                <w:szCs w:val="20"/>
              </w:rPr>
              <w:t>13.21</w:t>
            </w:r>
          </w:p>
        </w:tc>
        <w:tc>
          <w:tcPr>
            <w:tcW w:w="1870" w:type="dxa"/>
            <w:tcBorders>
              <w:top w:val="nil"/>
              <w:left w:val="nil"/>
              <w:bottom w:val="single" w:sz="8" w:space="0" w:color="448A99"/>
              <w:right w:val="single" w:sz="8" w:space="0" w:color="448A99"/>
            </w:tcBorders>
            <w:shd w:val="clear" w:color="000000" w:fill="D2EAF1"/>
            <w:vAlign w:val="center"/>
            <w:hideMark/>
          </w:tcPr>
          <w:p w:rsidR="009B4F7B" w:rsidRPr="009B4F7B" w:rsidRDefault="009B4F7B" w:rsidP="009B4F7B">
            <w:pPr>
              <w:jc w:val="center"/>
              <w:rPr>
                <w:b/>
                <w:bCs/>
                <w:i/>
                <w:iCs/>
                <w:color w:val="000000"/>
                <w:sz w:val="20"/>
                <w:szCs w:val="20"/>
              </w:rPr>
            </w:pPr>
            <w:r w:rsidRPr="009B4F7B">
              <w:rPr>
                <w:b/>
                <w:bCs/>
                <w:i/>
                <w:iCs/>
                <w:color w:val="000000"/>
                <w:sz w:val="20"/>
                <w:szCs w:val="20"/>
              </w:rPr>
              <w:t>100%</w:t>
            </w:r>
          </w:p>
        </w:tc>
      </w:tr>
    </w:tbl>
    <w:p w:rsidR="006D7494" w:rsidRDefault="006D7494" w:rsidP="005A27BE"/>
    <w:p w:rsidR="00735BA9" w:rsidRDefault="00735BA9" w:rsidP="00D34B3E">
      <w:pPr>
        <w:pStyle w:val="AppendixAHeading3"/>
      </w:pPr>
      <w:r>
        <w:t>PY7 Gross and Net Savings by Sector</w:t>
      </w:r>
    </w:p>
    <w:p w:rsidR="00710D47" w:rsidRDefault="00710D47" w:rsidP="00710D47">
      <w:r w:rsidRPr="00C23348">
        <w:t>The sector-level verified gross and net energy savings achieved in PY7 are provided</w:t>
      </w:r>
      <w:r>
        <w:t xml:space="preserve"> in </w:t>
      </w:r>
      <w:r w:rsidR="008F62F5">
        <w:fldChar w:fldCharType="begin"/>
      </w:r>
      <w:r w:rsidR="008F62F5">
        <w:instrText xml:space="preserve"> REF _Ref472360334 \h </w:instrText>
      </w:r>
      <w:r w:rsidR="008F62F5">
        <w:fldChar w:fldCharType="end"/>
      </w:r>
      <w:r>
        <w:t xml:space="preserve"> below. In PY7, the net energy savings were </w:t>
      </w:r>
      <w:r w:rsidRPr="009B4F7B">
        <w:t>approximately 7</w:t>
      </w:r>
      <w:r w:rsidR="009B4F7B" w:rsidRPr="009B4F7B">
        <w:t>0</w:t>
      </w:r>
      <w:r w:rsidRPr="009B4F7B">
        <w:t>% of</w:t>
      </w:r>
      <w:r>
        <w:t xml:space="preserve"> the gross energy savings.</w:t>
      </w:r>
    </w:p>
    <w:p w:rsidR="00710D47" w:rsidRDefault="00710D47" w:rsidP="00710D47">
      <w:pPr>
        <w:pStyle w:val="Caption"/>
      </w:pPr>
      <w:bookmarkStart w:id="901" w:name="_Ref472360334"/>
      <w:bookmarkStart w:id="902" w:name="_Toc472472479"/>
      <w:bookmarkStart w:id="903" w:name="_Toc476842185"/>
      <w:r w:rsidRPr="00E41D9C">
        <w:t>Table A-</w:t>
      </w:r>
      <w:fldSimple w:instr=" SEQ Table_A- \* ARABIC ">
        <w:r w:rsidR="00C301D0">
          <w:rPr>
            <w:noProof/>
          </w:rPr>
          <w:t>70</w:t>
        </w:r>
      </w:fldSimple>
      <w:bookmarkEnd w:id="901"/>
      <w:r w:rsidRPr="00E41D9C">
        <w:t xml:space="preserve">: </w:t>
      </w:r>
      <w:r w:rsidRPr="008B45A8">
        <w:t xml:space="preserve">Summary of </w:t>
      </w:r>
      <w:r>
        <w:t>Pen</w:t>
      </w:r>
      <w:r w:rsidR="008F62F5">
        <w:t>n Power</w:t>
      </w:r>
      <w:r w:rsidRPr="008B45A8">
        <w:t xml:space="preserve"> EE&amp;C Verified Net Savings – by Sector</w:t>
      </w:r>
      <w:bookmarkEnd w:id="902"/>
      <w:bookmarkEnd w:id="903"/>
    </w:p>
    <w:tbl>
      <w:tblPr>
        <w:tblW w:w="9350" w:type="dxa"/>
        <w:tblLook w:val="04A0" w:firstRow="1" w:lastRow="0" w:firstColumn="1" w:lastColumn="0" w:noHBand="0" w:noVBand="1"/>
      </w:tblPr>
      <w:tblGrid>
        <w:gridCol w:w="1870"/>
        <w:gridCol w:w="1870"/>
        <w:gridCol w:w="1870"/>
        <w:gridCol w:w="1870"/>
        <w:gridCol w:w="1870"/>
      </w:tblGrid>
      <w:tr w:rsidR="00A874AC" w:rsidRPr="00C23348" w:rsidTr="008C15AB">
        <w:trPr>
          <w:trHeight w:val="628"/>
        </w:trPr>
        <w:tc>
          <w:tcPr>
            <w:tcW w:w="187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710D47" w:rsidRPr="00C23348" w:rsidRDefault="00710D47" w:rsidP="008C15AB">
            <w:pPr>
              <w:rPr>
                <w:b/>
                <w:bCs/>
                <w:color w:val="FFFFFF"/>
                <w:sz w:val="20"/>
                <w:szCs w:val="20"/>
              </w:rPr>
            </w:pPr>
            <w:r w:rsidRPr="00C23348">
              <w:rPr>
                <w:b/>
                <w:bCs/>
                <w:color w:val="FFFFFF"/>
                <w:sz w:val="20"/>
                <w:szCs w:val="20"/>
              </w:rPr>
              <w:lastRenderedPageBreak/>
              <w:t>Sector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8C15AB">
            <w:pPr>
              <w:jc w:val="center"/>
              <w:rPr>
                <w:b/>
                <w:bCs/>
                <w:color w:val="FFFFFF"/>
                <w:sz w:val="20"/>
                <w:szCs w:val="20"/>
              </w:rPr>
            </w:pPr>
            <w:r w:rsidRPr="00C23348">
              <w:rPr>
                <w:b/>
                <w:bCs/>
                <w:color w:val="FFFFFF"/>
                <w:sz w:val="20"/>
                <w:szCs w:val="20"/>
              </w:rPr>
              <w:t>PY7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8C15AB">
            <w:pPr>
              <w:jc w:val="center"/>
              <w:rPr>
                <w:b/>
                <w:bCs/>
                <w:color w:val="FFFFFF"/>
                <w:sz w:val="20"/>
                <w:szCs w:val="20"/>
              </w:rPr>
            </w:pPr>
            <w:r w:rsidRPr="00C23348">
              <w:rPr>
                <w:b/>
                <w:bCs/>
                <w:color w:val="FFFFFF"/>
                <w:sz w:val="20"/>
                <w:szCs w:val="20"/>
              </w:rPr>
              <w:t>PY7 Verified Net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8C15AB">
            <w:pPr>
              <w:jc w:val="center"/>
              <w:rPr>
                <w:b/>
                <w:bCs/>
                <w:color w:val="FFFFFF"/>
                <w:sz w:val="20"/>
                <w:szCs w:val="20"/>
              </w:rPr>
            </w:pPr>
            <w:r w:rsidRPr="00C23348">
              <w:rPr>
                <w:b/>
                <w:bCs/>
                <w:color w:val="FFFFFF"/>
                <w:sz w:val="20"/>
                <w:szCs w:val="20"/>
              </w:rPr>
              <w:t>Phase II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8C15AB">
            <w:pPr>
              <w:jc w:val="center"/>
              <w:rPr>
                <w:b/>
                <w:bCs/>
                <w:color w:val="FFFFFF"/>
                <w:sz w:val="20"/>
                <w:szCs w:val="20"/>
              </w:rPr>
            </w:pPr>
            <w:r w:rsidRPr="00C23348">
              <w:rPr>
                <w:b/>
                <w:bCs/>
                <w:color w:val="FFFFFF"/>
                <w:sz w:val="20"/>
                <w:szCs w:val="20"/>
              </w:rPr>
              <w:t>Phase II Verified Net Savings (MWh/yr)</w:t>
            </w:r>
          </w:p>
        </w:tc>
      </w:tr>
      <w:tr w:rsidR="00E7173E" w:rsidRPr="00C23348" w:rsidTr="0081757B">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9B4F7B" w:rsidRPr="00C23348" w:rsidRDefault="009B4F7B" w:rsidP="009B4F7B">
            <w:pPr>
              <w:jc w:val="left"/>
              <w:rPr>
                <w:color w:val="000000"/>
                <w:sz w:val="20"/>
                <w:szCs w:val="20"/>
              </w:rPr>
            </w:pPr>
            <w:r>
              <w:rPr>
                <w:color w:val="000000"/>
                <w:sz w:val="20"/>
                <w:szCs w:val="20"/>
              </w:rPr>
              <w:t>Residential</w:t>
            </w:r>
          </w:p>
        </w:tc>
        <w:tc>
          <w:tcPr>
            <w:tcW w:w="1870" w:type="dxa"/>
            <w:tcBorders>
              <w:top w:val="nil"/>
              <w:left w:val="nil"/>
              <w:bottom w:val="single" w:sz="8" w:space="0" w:color="448A99"/>
              <w:right w:val="single" w:sz="8" w:space="0" w:color="448A99"/>
            </w:tcBorders>
            <w:shd w:val="clear" w:color="auto" w:fill="auto"/>
            <w:vAlign w:val="center"/>
          </w:tcPr>
          <w:p w:rsidR="009B4F7B" w:rsidRPr="00C23348" w:rsidRDefault="009B4F7B" w:rsidP="009B4F7B">
            <w:pPr>
              <w:jc w:val="center"/>
              <w:rPr>
                <w:color w:val="000000"/>
                <w:sz w:val="20"/>
                <w:szCs w:val="20"/>
              </w:rPr>
            </w:pPr>
            <w:r>
              <w:rPr>
                <w:color w:val="000000"/>
                <w:sz w:val="20"/>
                <w:szCs w:val="20"/>
              </w:rPr>
              <w:t>12,953</w:t>
            </w:r>
          </w:p>
        </w:tc>
        <w:tc>
          <w:tcPr>
            <w:tcW w:w="1870" w:type="dxa"/>
            <w:tcBorders>
              <w:top w:val="nil"/>
              <w:left w:val="nil"/>
              <w:bottom w:val="single" w:sz="8" w:space="0" w:color="448A99"/>
              <w:right w:val="single" w:sz="8" w:space="0" w:color="448A99"/>
            </w:tcBorders>
            <w:shd w:val="clear" w:color="auto" w:fill="auto"/>
            <w:vAlign w:val="center"/>
          </w:tcPr>
          <w:p w:rsidR="009B4F7B" w:rsidRPr="00C23348" w:rsidRDefault="009B4F7B" w:rsidP="009B4F7B">
            <w:pPr>
              <w:jc w:val="center"/>
              <w:rPr>
                <w:color w:val="000000"/>
                <w:sz w:val="20"/>
                <w:szCs w:val="20"/>
              </w:rPr>
            </w:pPr>
            <w:r>
              <w:rPr>
                <w:color w:val="000000"/>
                <w:sz w:val="20"/>
                <w:szCs w:val="20"/>
              </w:rPr>
              <w:t>11,133</w:t>
            </w:r>
          </w:p>
        </w:tc>
        <w:tc>
          <w:tcPr>
            <w:tcW w:w="1870" w:type="dxa"/>
            <w:tcBorders>
              <w:top w:val="nil"/>
              <w:left w:val="nil"/>
              <w:bottom w:val="single" w:sz="8" w:space="0" w:color="448A99"/>
              <w:right w:val="single" w:sz="8" w:space="0" w:color="448A99"/>
            </w:tcBorders>
            <w:shd w:val="clear" w:color="auto" w:fill="auto"/>
            <w:vAlign w:val="center"/>
          </w:tcPr>
          <w:p w:rsidR="009B4F7B" w:rsidRPr="00C23348" w:rsidRDefault="009B4F7B" w:rsidP="009B4F7B">
            <w:pPr>
              <w:jc w:val="center"/>
              <w:rPr>
                <w:color w:val="000000"/>
                <w:sz w:val="20"/>
                <w:szCs w:val="20"/>
              </w:rPr>
            </w:pPr>
            <w:r>
              <w:rPr>
                <w:color w:val="000000"/>
                <w:sz w:val="20"/>
                <w:szCs w:val="20"/>
              </w:rPr>
              <w:t>51,422</w:t>
            </w:r>
          </w:p>
        </w:tc>
        <w:tc>
          <w:tcPr>
            <w:tcW w:w="1870" w:type="dxa"/>
            <w:tcBorders>
              <w:top w:val="nil"/>
              <w:left w:val="nil"/>
              <w:bottom w:val="single" w:sz="8" w:space="0" w:color="448A99"/>
              <w:right w:val="single" w:sz="8" w:space="0" w:color="448A99"/>
            </w:tcBorders>
            <w:shd w:val="clear" w:color="auto" w:fill="auto"/>
            <w:vAlign w:val="center"/>
          </w:tcPr>
          <w:p w:rsidR="009B4F7B" w:rsidRPr="00C23348" w:rsidRDefault="009B4F7B" w:rsidP="009B4F7B">
            <w:pPr>
              <w:jc w:val="center"/>
              <w:rPr>
                <w:color w:val="000000"/>
                <w:sz w:val="20"/>
                <w:szCs w:val="20"/>
              </w:rPr>
            </w:pPr>
            <w:r>
              <w:rPr>
                <w:color w:val="000000"/>
                <w:sz w:val="20"/>
                <w:szCs w:val="20"/>
              </w:rPr>
              <w:t>36,021</w:t>
            </w:r>
          </w:p>
        </w:tc>
      </w:tr>
      <w:tr w:rsidR="00A874AC" w:rsidRPr="00C23348" w:rsidTr="008C15AB">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9B4F7B" w:rsidRPr="00C23348" w:rsidRDefault="009B4F7B" w:rsidP="0097650B">
            <w:pPr>
              <w:jc w:val="left"/>
              <w:rPr>
                <w:color w:val="000000"/>
                <w:sz w:val="20"/>
                <w:szCs w:val="20"/>
              </w:rPr>
            </w:pPr>
            <w:r>
              <w:rPr>
                <w:color w:val="000000"/>
                <w:sz w:val="20"/>
                <w:szCs w:val="20"/>
              </w:rPr>
              <w:t>C</w:t>
            </w:r>
            <w:r w:rsidR="0097650B">
              <w:rPr>
                <w:color w:val="000000"/>
                <w:sz w:val="20"/>
                <w:szCs w:val="20"/>
              </w:rPr>
              <w:t>/</w:t>
            </w:r>
            <w:r>
              <w:rPr>
                <w:color w:val="000000"/>
                <w:sz w:val="20"/>
                <w:szCs w:val="20"/>
              </w:rPr>
              <w:t>I</w:t>
            </w:r>
          </w:p>
        </w:tc>
        <w:tc>
          <w:tcPr>
            <w:tcW w:w="1870" w:type="dxa"/>
            <w:tcBorders>
              <w:top w:val="nil"/>
              <w:left w:val="nil"/>
              <w:bottom w:val="single" w:sz="8" w:space="0" w:color="448A99"/>
              <w:right w:val="single" w:sz="8" w:space="0" w:color="448A99"/>
            </w:tcBorders>
            <w:shd w:val="clear" w:color="000000" w:fill="D2EAF1"/>
            <w:vAlign w:val="center"/>
          </w:tcPr>
          <w:p w:rsidR="009B4F7B" w:rsidRPr="00C23348" w:rsidRDefault="009B4F7B" w:rsidP="009B4F7B">
            <w:pPr>
              <w:jc w:val="center"/>
              <w:rPr>
                <w:color w:val="000000"/>
                <w:sz w:val="20"/>
                <w:szCs w:val="20"/>
              </w:rPr>
            </w:pPr>
            <w:r>
              <w:rPr>
                <w:color w:val="000000"/>
                <w:sz w:val="20"/>
                <w:szCs w:val="20"/>
              </w:rPr>
              <w:t>7,045</w:t>
            </w:r>
          </w:p>
        </w:tc>
        <w:tc>
          <w:tcPr>
            <w:tcW w:w="1870" w:type="dxa"/>
            <w:tcBorders>
              <w:top w:val="nil"/>
              <w:left w:val="nil"/>
              <w:bottom w:val="single" w:sz="8" w:space="0" w:color="448A99"/>
              <w:right w:val="single" w:sz="8" w:space="0" w:color="448A99"/>
            </w:tcBorders>
            <w:shd w:val="clear" w:color="000000" w:fill="D2EAF1"/>
            <w:vAlign w:val="center"/>
          </w:tcPr>
          <w:p w:rsidR="009B4F7B" w:rsidRPr="00C23348" w:rsidRDefault="009B4F7B" w:rsidP="009B4F7B">
            <w:pPr>
              <w:jc w:val="center"/>
              <w:rPr>
                <w:color w:val="000000"/>
                <w:sz w:val="20"/>
                <w:szCs w:val="20"/>
              </w:rPr>
            </w:pPr>
            <w:r>
              <w:rPr>
                <w:color w:val="000000"/>
                <w:sz w:val="20"/>
                <w:szCs w:val="20"/>
              </w:rPr>
              <w:t>3,870</w:t>
            </w:r>
          </w:p>
        </w:tc>
        <w:tc>
          <w:tcPr>
            <w:tcW w:w="1870" w:type="dxa"/>
            <w:tcBorders>
              <w:top w:val="nil"/>
              <w:left w:val="nil"/>
              <w:bottom w:val="single" w:sz="8" w:space="0" w:color="448A99"/>
              <w:right w:val="single" w:sz="8" w:space="0" w:color="448A99"/>
            </w:tcBorders>
            <w:shd w:val="clear" w:color="000000" w:fill="D2EAF1"/>
            <w:vAlign w:val="center"/>
          </w:tcPr>
          <w:p w:rsidR="009B4F7B" w:rsidRPr="00C23348" w:rsidRDefault="009B4F7B" w:rsidP="009B4F7B">
            <w:pPr>
              <w:jc w:val="center"/>
              <w:rPr>
                <w:color w:val="000000"/>
                <w:sz w:val="20"/>
                <w:szCs w:val="20"/>
              </w:rPr>
            </w:pPr>
            <w:r>
              <w:rPr>
                <w:color w:val="000000"/>
                <w:sz w:val="20"/>
                <w:szCs w:val="20"/>
              </w:rPr>
              <w:t>41,079</w:t>
            </w:r>
          </w:p>
        </w:tc>
        <w:tc>
          <w:tcPr>
            <w:tcW w:w="1870" w:type="dxa"/>
            <w:tcBorders>
              <w:top w:val="nil"/>
              <w:left w:val="nil"/>
              <w:bottom w:val="single" w:sz="8" w:space="0" w:color="448A99"/>
              <w:right w:val="single" w:sz="8" w:space="0" w:color="448A99"/>
            </w:tcBorders>
            <w:shd w:val="clear" w:color="000000" w:fill="D2EAF1"/>
            <w:vAlign w:val="center"/>
          </w:tcPr>
          <w:p w:rsidR="009B4F7B" w:rsidRPr="00C23348" w:rsidRDefault="009B4F7B" w:rsidP="009B4F7B">
            <w:pPr>
              <w:jc w:val="center"/>
              <w:rPr>
                <w:color w:val="000000"/>
                <w:sz w:val="20"/>
                <w:szCs w:val="20"/>
              </w:rPr>
            </w:pPr>
            <w:r>
              <w:rPr>
                <w:color w:val="000000"/>
                <w:sz w:val="20"/>
                <w:szCs w:val="20"/>
              </w:rPr>
              <w:t>26,255</w:t>
            </w:r>
          </w:p>
        </w:tc>
      </w:tr>
      <w:tr w:rsidR="00E7173E" w:rsidRPr="00C23348" w:rsidTr="0081757B">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9B4F7B" w:rsidRPr="00C23348" w:rsidRDefault="009B4F7B" w:rsidP="009B4F7B">
            <w:pPr>
              <w:jc w:val="left"/>
              <w:rPr>
                <w:color w:val="000000"/>
                <w:sz w:val="20"/>
                <w:szCs w:val="20"/>
              </w:rPr>
            </w:pPr>
            <w:r>
              <w:rPr>
                <w:color w:val="000000"/>
                <w:sz w:val="20"/>
                <w:szCs w:val="20"/>
              </w:rPr>
              <w:t>GNI</w:t>
            </w:r>
          </w:p>
        </w:tc>
        <w:tc>
          <w:tcPr>
            <w:tcW w:w="1870" w:type="dxa"/>
            <w:tcBorders>
              <w:top w:val="nil"/>
              <w:left w:val="nil"/>
              <w:bottom w:val="single" w:sz="8" w:space="0" w:color="448A99"/>
              <w:right w:val="single" w:sz="8" w:space="0" w:color="448A99"/>
            </w:tcBorders>
            <w:shd w:val="clear" w:color="auto" w:fill="auto"/>
            <w:vAlign w:val="center"/>
          </w:tcPr>
          <w:p w:rsidR="009B4F7B" w:rsidRPr="00C23348" w:rsidRDefault="009B4F7B" w:rsidP="009B4F7B">
            <w:pPr>
              <w:jc w:val="center"/>
              <w:rPr>
                <w:color w:val="000000"/>
                <w:sz w:val="20"/>
                <w:szCs w:val="20"/>
              </w:rPr>
            </w:pPr>
            <w:r>
              <w:rPr>
                <w:color w:val="000000"/>
                <w:sz w:val="20"/>
                <w:szCs w:val="20"/>
              </w:rPr>
              <w:t>7,283</w:t>
            </w:r>
          </w:p>
        </w:tc>
        <w:tc>
          <w:tcPr>
            <w:tcW w:w="1870" w:type="dxa"/>
            <w:tcBorders>
              <w:top w:val="nil"/>
              <w:left w:val="nil"/>
              <w:bottom w:val="single" w:sz="8" w:space="0" w:color="448A99"/>
              <w:right w:val="single" w:sz="8" w:space="0" w:color="448A99"/>
            </w:tcBorders>
            <w:shd w:val="clear" w:color="auto" w:fill="auto"/>
            <w:vAlign w:val="center"/>
          </w:tcPr>
          <w:p w:rsidR="009B4F7B" w:rsidRPr="00C23348" w:rsidRDefault="009B4F7B" w:rsidP="009B4F7B">
            <w:pPr>
              <w:jc w:val="center"/>
              <w:rPr>
                <w:color w:val="000000"/>
                <w:sz w:val="20"/>
                <w:szCs w:val="20"/>
              </w:rPr>
            </w:pPr>
            <w:r>
              <w:rPr>
                <w:color w:val="000000"/>
                <w:sz w:val="20"/>
                <w:szCs w:val="20"/>
              </w:rPr>
              <w:t>4,184</w:t>
            </w:r>
          </w:p>
        </w:tc>
        <w:tc>
          <w:tcPr>
            <w:tcW w:w="1870" w:type="dxa"/>
            <w:tcBorders>
              <w:top w:val="nil"/>
              <w:left w:val="nil"/>
              <w:bottom w:val="single" w:sz="8" w:space="0" w:color="448A99"/>
              <w:right w:val="single" w:sz="8" w:space="0" w:color="448A99"/>
            </w:tcBorders>
            <w:shd w:val="clear" w:color="auto" w:fill="auto"/>
            <w:vAlign w:val="center"/>
          </w:tcPr>
          <w:p w:rsidR="009B4F7B" w:rsidRPr="00C23348" w:rsidRDefault="009B4F7B" w:rsidP="009B4F7B">
            <w:pPr>
              <w:jc w:val="center"/>
              <w:rPr>
                <w:color w:val="000000"/>
                <w:sz w:val="20"/>
                <w:szCs w:val="20"/>
              </w:rPr>
            </w:pPr>
            <w:r>
              <w:rPr>
                <w:color w:val="000000"/>
                <w:sz w:val="20"/>
                <w:szCs w:val="20"/>
              </w:rPr>
              <w:t>16,866</w:t>
            </w:r>
          </w:p>
        </w:tc>
        <w:tc>
          <w:tcPr>
            <w:tcW w:w="1870" w:type="dxa"/>
            <w:tcBorders>
              <w:top w:val="nil"/>
              <w:left w:val="nil"/>
              <w:bottom w:val="single" w:sz="8" w:space="0" w:color="448A99"/>
              <w:right w:val="single" w:sz="8" w:space="0" w:color="448A99"/>
            </w:tcBorders>
            <w:shd w:val="clear" w:color="auto" w:fill="auto"/>
            <w:vAlign w:val="center"/>
          </w:tcPr>
          <w:p w:rsidR="009B4F7B" w:rsidRPr="00C23348" w:rsidRDefault="009B4F7B" w:rsidP="009B4F7B">
            <w:pPr>
              <w:jc w:val="center"/>
              <w:rPr>
                <w:color w:val="000000"/>
                <w:sz w:val="20"/>
                <w:szCs w:val="20"/>
              </w:rPr>
            </w:pPr>
            <w:r>
              <w:rPr>
                <w:color w:val="000000"/>
                <w:sz w:val="20"/>
                <w:szCs w:val="20"/>
              </w:rPr>
              <w:t>10,499</w:t>
            </w:r>
          </w:p>
        </w:tc>
      </w:tr>
      <w:tr w:rsidR="00A874AC" w:rsidRPr="00C23348" w:rsidTr="008C15AB">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9B4F7B" w:rsidRPr="00C23348" w:rsidRDefault="009B4F7B" w:rsidP="009B4F7B">
            <w:pPr>
              <w:jc w:val="left"/>
              <w:rPr>
                <w:b/>
                <w:bCs/>
                <w:i/>
                <w:iCs/>
                <w:color w:val="000000"/>
                <w:sz w:val="20"/>
                <w:szCs w:val="20"/>
              </w:rPr>
            </w:pPr>
            <w:r>
              <w:rPr>
                <w:b/>
                <w:bCs/>
                <w:i/>
                <w:iCs/>
                <w:color w:val="000000"/>
                <w:sz w:val="20"/>
                <w:szCs w:val="20"/>
              </w:rPr>
              <w:t>Total Portfolio</w:t>
            </w:r>
          </w:p>
        </w:tc>
        <w:tc>
          <w:tcPr>
            <w:tcW w:w="1870" w:type="dxa"/>
            <w:tcBorders>
              <w:top w:val="nil"/>
              <w:left w:val="nil"/>
              <w:bottom w:val="single" w:sz="8" w:space="0" w:color="448A99"/>
              <w:right w:val="single" w:sz="8" w:space="0" w:color="448A99"/>
            </w:tcBorders>
            <w:shd w:val="clear" w:color="000000" w:fill="D2EAF1"/>
            <w:vAlign w:val="center"/>
          </w:tcPr>
          <w:p w:rsidR="009B4F7B" w:rsidRPr="00C23348" w:rsidRDefault="009B4F7B" w:rsidP="009B4F7B">
            <w:pPr>
              <w:jc w:val="center"/>
              <w:rPr>
                <w:b/>
                <w:bCs/>
                <w:i/>
                <w:iCs/>
                <w:color w:val="000000"/>
                <w:sz w:val="20"/>
                <w:szCs w:val="20"/>
              </w:rPr>
            </w:pPr>
            <w:r>
              <w:rPr>
                <w:b/>
                <w:bCs/>
                <w:i/>
                <w:iCs/>
                <w:color w:val="000000"/>
                <w:sz w:val="20"/>
                <w:szCs w:val="20"/>
              </w:rPr>
              <w:t>27,280</w:t>
            </w:r>
          </w:p>
        </w:tc>
        <w:tc>
          <w:tcPr>
            <w:tcW w:w="1870" w:type="dxa"/>
            <w:tcBorders>
              <w:top w:val="nil"/>
              <w:left w:val="nil"/>
              <w:bottom w:val="single" w:sz="8" w:space="0" w:color="448A99"/>
              <w:right w:val="single" w:sz="8" w:space="0" w:color="448A99"/>
            </w:tcBorders>
            <w:shd w:val="clear" w:color="000000" w:fill="D2EAF1"/>
            <w:vAlign w:val="center"/>
          </w:tcPr>
          <w:p w:rsidR="009B4F7B" w:rsidRPr="00C23348" w:rsidRDefault="009B4F7B" w:rsidP="009B4F7B">
            <w:pPr>
              <w:jc w:val="center"/>
              <w:rPr>
                <w:b/>
                <w:bCs/>
                <w:i/>
                <w:iCs/>
                <w:color w:val="000000"/>
                <w:sz w:val="20"/>
                <w:szCs w:val="20"/>
              </w:rPr>
            </w:pPr>
            <w:r>
              <w:rPr>
                <w:b/>
                <w:bCs/>
                <w:i/>
                <w:iCs/>
                <w:color w:val="000000"/>
                <w:sz w:val="20"/>
                <w:szCs w:val="20"/>
              </w:rPr>
              <w:t>19,187</w:t>
            </w:r>
          </w:p>
        </w:tc>
        <w:tc>
          <w:tcPr>
            <w:tcW w:w="1870" w:type="dxa"/>
            <w:tcBorders>
              <w:top w:val="nil"/>
              <w:left w:val="nil"/>
              <w:bottom w:val="single" w:sz="8" w:space="0" w:color="448A99"/>
              <w:right w:val="single" w:sz="8" w:space="0" w:color="448A99"/>
            </w:tcBorders>
            <w:shd w:val="clear" w:color="000000" w:fill="D2EAF1"/>
            <w:vAlign w:val="center"/>
          </w:tcPr>
          <w:p w:rsidR="009B4F7B" w:rsidRPr="00C23348" w:rsidRDefault="009B4F7B" w:rsidP="009B4F7B">
            <w:pPr>
              <w:jc w:val="center"/>
              <w:rPr>
                <w:b/>
                <w:bCs/>
                <w:i/>
                <w:iCs/>
                <w:color w:val="000000"/>
                <w:sz w:val="20"/>
                <w:szCs w:val="20"/>
              </w:rPr>
            </w:pPr>
            <w:r>
              <w:rPr>
                <w:b/>
                <w:bCs/>
                <w:i/>
                <w:iCs/>
                <w:color w:val="000000"/>
                <w:sz w:val="20"/>
                <w:szCs w:val="20"/>
              </w:rPr>
              <w:t>109,368</w:t>
            </w:r>
          </w:p>
        </w:tc>
        <w:tc>
          <w:tcPr>
            <w:tcW w:w="1870" w:type="dxa"/>
            <w:tcBorders>
              <w:top w:val="nil"/>
              <w:left w:val="nil"/>
              <w:bottom w:val="single" w:sz="8" w:space="0" w:color="448A99"/>
              <w:right w:val="single" w:sz="8" w:space="0" w:color="448A99"/>
            </w:tcBorders>
            <w:shd w:val="clear" w:color="000000" w:fill="D2EAF1"/>
            <w:vAlign w:val="center"/>
          </w:tcPr>
          <w:p w:rsidR="009B4F7B" w:rsidRPr="00C23348" w:rsidRDefault="009B4F7B" w:rsidP="009B4F7B">
            <w:pPr>
              <w:jc w:val="center"/>
              <w:rPr>
                <w:b/>
                <w:bCs/>
                <w:i/>
                <w:iCs/>
                <w:color w:val="000000"/>
                <w:sz w:val="20"/>
                <w:szCs w:val="20"/>
              </w:rPr>
            </w:pPr>
            <w:r>
              <w:rPr>
                <w:b/>
                <w:bCs/>
                <w:i/>
                <w:iCs/>
                <w:color w:val="000000"/>
                <w:sz w:val="20"/>
                <w:szCs w:val="20"/>
              </w:rPr>
              <w:t>72,774</w:t>
            </w:r>
          </w:p>
        </w:tc>
      </w:tr>
    </w:tbl>
    <w:p w:rsidR="00710D47" w:rsidRDefault="00710D47" w:rsidP="0043541C">
      <w:pPr>
        <w:pStyle w:val="AppendixAHeading2"/>
        <w:numPr>
          <w:ilvl w:val="0"/>
          <w:numId w:val="0"/>
        </w:numPr>
      </w:pPr>
    </w:p>
    <w:p w:rsidR="00950837" w:rsidRDefault="00950837" w:rsidP="0043541C">
      <w:pPr>
        <w:pStyle w:val="AppendixAHeading2"/>
      </w:pPr>
      <w:r>
        <w:t>Total Resource Cost Test</w:t>
      </w:r>
    </w:p>
    <w:p w:rsidR="001B2044" w:rsidRDefault="001B2044" w:rsidP="001B2044">
      <w:r>
        <w:fldChar w:fldCharType="begin"/>
      </w:r>
      <w:r>
        <w:instrText xml:space="preserve"> REF _Ref472446352 \h </w:instrText>
      </w:r>
      <w:r>
        <w:fldChar w:fldCharType="separate"/>
      </w:r>
      <w:r w:rsidR="00C301D0">
        <w:t>Table A-</w:t>
      </w:r>
      <w:r w:rsidR="00C301D0">
        <w:rPr>
          <w:noProof/>
        </w:rPr>
        <w:t>71</w:t>
      </w:r>
      <w:r>
        <w:fldChar w:fldCharType="end"/>
      </w:r>
      <w:r>
        <w:t xml:space="preserve"> </w:t>
      </w:r>
      <w:r w:rsidRPr="001B2044">
        <w:t>presents TRC NPV benefits, TRC NPV costs, present value of net benefits, and</w:t>
      </w:r>
      <w:r w:rsidR="00C34CDD">
        <w:t xml:space="preserve"> the</w:t>
      </w:r>
      <w:r w:rsidRPr="001B2044">
        <w:t xml:space="preserve"> TRC ratio for Penn Power’s PY7 individual programs and total portfolio. The SWE found no initial inconsistencies between the TRC model outputs and the TRC results shown in the PY7 annual report.</w:t>
      </w:r>
      <w:r w:rsidR="00D40970">
        <w:t xml:space="preserve"> Five programs were not cost effective in PY7. These programs may need to be redesigned in order to maintain viability in Phase III.</w:t>
      </w:r>
    </w:p>
    <w:p w:rsidR="001B2044" w:rsidRDefault="001B2044" w:rsidP="001B2044"/>
    <w:p w:rsidR="001B2044" w:rsidRDefault="001B2044" w:rsidP="001B2044">
      <w:pPr>
        <w:pStyle w:val="Caption"/>
      </w:pPr>
      <w:bookmarkStart w:id="904" w:name="_Ref472446352"/>
      <w:bookmarkStart w:id="905" w:name="_Toc472472480"/>
      <w:bookmarkStart w:id="906" w:name="_Toc476842186"/>
      <w:r>
        <w:t>Table A-</w:t>
      </w:r>
      <w:fldSimple w:instr=" SEQ Table_A- \* ARABIC ">
        <w:r w:rsidR="00C301D0">
          <w:rPr>
            <w:noProof/>
          </w:rPr>
          <w:t>71</w:t>
        </w:r>
      </w:fldSimple>
      <w:bookmarkEnd w:id="904"/>
      <w:r>
        <w:t xml:space="preserve">: </w:t>
      </w:r>
      <w:r w:rsidRPr="001B2044">
        <w:t>Summary of Penn Power’s PY7 TRC Factors and Results</w:t>
      </w:r>
      <w:bookmarkEnd w:id="905"/>
      <w:bookmarkEnd w:id="906"/>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875"/>
        <w:gridCol w:w="1620"/>
        <w:gridCol w:w="1620"/>
        <w:gridCol w:w="1620"/>
        <w:gridCol w:w="1620"/>
      </w:tblGrid>
      <w:tr w:rsidR="00A874AC" w:rsidRPr="001B2044" w:rsidTr="008C15AB">
        <w:trPr>
          <w:trHeight w:val="782"/>
        </w:trPr>
        <w:tc>
          <w:tcPr>
            <w:tcW w:w="2875" w:type="dxa"/>
            <w:shd w:val="clear" w:color="000000" w:fill="448A99"/>
            <w:noWrap/>
            <w:vAlign w:val="bottom"/>
            <w:hideMark/>
          </w:tcPr>
          <w:p w:rsidR="001B2044" w:rsidRPr="001B2044" w:rsidRDefault="001B2044" w:rsidP="001B2044">
            <w:pPr>
              <w:jc w:val="left"/>
              <w:rPr>
                <w:b/>
                <w:bCs/>
                <w:color w:val="FFFFFF"/>
                <w:sz w:val="20"/>
                <w:szCs w:val="20"/>
              </w:rPr>
            </w:pPr>
            <w:r w:rsidRPr="001B2044">
              <w:rPr>
                <w:b/>
                <w:bCs/>
                <w:color w:val="FFFFFF"/>
                <w:sz w:val="20"/>
                <w:szCs w:val="20"/>
              </w:rPr>
              <w:t>Program</w:t>
            </w:r>
          </w:p>
        </w:tc>
        <w:tc>
          <w:tcPr>
            <w:tcW w:w="1620" w:type="dxa"/>
            <w:shd w:val="clear" w:color="000000" w:fill="448A99"/>
            <w:vAlign w:val="bottom"/>
            <w:hideMark/>
          </w:tcPr>
          <w:p w:rsidR="001B2044" w:rsidRPr="001B2044" w:rsidRDefault="001B2044" w:rsidP="001B2044">
            <w:pPr>
              <w:jc w:val="center"/>
              <w:rPr>
                <w:b/>
                <w:bCs/>
                <w:color w:val="FFFFFF"/>
                <w:sz w:val="20"/>
                <w:szCs w:val="20"/>
              </w:rPr>
            </w:pPr>
            <w:r w:rsidRPr="001B2044">
              <w:rPr>
                <w:b/>
                <w:bCs/>
                <w:color w:val="FFFFFF"/>
                <w:sz w:val="20"/>
                <w:szCs w:val="20"/>
              </w:rPr>
              <w:t>TRC NPV Benefits</w:t>
            </w:r>
          </w:p>
          <w:p w:rsidR="001B2044" w:rsidRPr="001B2044" w:rsidRDefault="001B2044" w:rsidP="001B2044">
            <w:pPr>
              <w:jc w:val="center"/>
              <w:rPr>
                <w:rFonts w:eastAsia="Calibri"/>
                <w:b/>
                <w:bCs/>
                <w:color w:val="FFFFFF"/>
                <w:sz w:val="20"/>
                <w:szCs w:val="20"/>
              </w:rPr>
            </w:pPr>
            <w:r w:rsidRPr="001B2044">
              <w:rPr>
                <w:b/>
                <w:bCs/>
                <w:color w:val="FFFFFF"/>
                <w:sz w:val="20"/>
                <w:szCs w:val="20"/>
              </w:rPr>
              <w:t>($)</w:t>
            </w:r>
          </w:p>
        </w:tc>
        <w:tc>
          <w:tcPr>
            <w:tcW w:w="1620" w:type="dxa"/>
            <w:shd w:val="clear" w:color="000000" w:fill="448A99"/>
            <w:vAlign w:val="bottom"/>
            <w:hideMark/>
          </w:tcPr>
          <w:p w:rsidR="001B2044" w:rsidRPr="001B2044" w:rsidRDefault="001B2044" w:rsidP="001B2044">
            <w:pPr>
              <w:jc w:val="center"/>
              <w:rPr>
                <w:rFonts w:eastAsia="Calibri"/>
                <w:b/>
                <w:bCs/>
                <w:color w:val="FFFFFF"/>
                <w:sz w:val="20"/>
                <w:szCs w:val="20"/>
              </w:rPr>
            </w:pPr>
            <w:r w:rsidRPr="001B2044">
              <w:rPr>
                <w:b/>
                <w:bCs/>
                <w:color w:val="FFFFFF"/>
                <w:sz w:val="20"/>
                <w:szCs w:val="20"/>
              </w:rPr>
              <w:t>TRC NPV Costs</w:t>
            </w:r>
          </w:p>
          <w:p w:rsidR="001B2044" w:rsidRPr="001B2044" w:rsidRDefault="001B2044" w:rsidP="001B2044">
            <w:pPr>
              <w:jc w:val="center"/>
              <w:rPr>
                <w:rFonts w:eastAsia="Calibri"/>
                <w:b/>
                <w:bCs/>
                <w:color w:val="FFFFFF"/>
                <w:sz w:val="20"/>
                <w:szCs w:val="20"/>
              </w:rPr>
            </w:pPr>
            <w:r w:rsidRPr="001B2044">
              <w:rPr>
                <w:b/>
                <w:bCs/>
                <w:color w:val="FFFFFF"/>
                <w:sz w:val="20"/>
                <w:szCs w:val="20"/>
              </w:rPr>
              <w:t>($)</w:t>
            </w:r>
          </w:p>
        </w:tc>
        <w:tc>
          <w:tcPr>
            <w:tcW w:w="1620" w:type="dxa"/>
            <w:shd w:val="clear" w:color="000000" w:fill="448A99"/>
            <w:vAlign w:val="bottom"/>
          </w:tcPr>
          <w:p w:rsidR="001B2044" w:rsidRPr="001B2044" w:rsidRDefault="001B2044" w:rsidP="001B2044">
            <w:pPr>
              <w:jc w:val="center"/>
              <w:rPr>
                <w:rFonts w:eastAsia="Calibri"/>
                <w:b/>
                <w:bCs/>
                <w:color w:val="FFFFFF"/>
                <w:sz w:val="20"/>
                <w:szCs w:val="20"/>
              </w:rPr>
            </w:pPr>
            <w:r w:rsidRPr="001B2044">
              <w:rPr>
                <w:b/>
                <w:bCs/>
                <w:color w:val="FFFFFF"/>
                <w:sz w:val="20"/>
                <w:szCs w:val="20"/>
              </w:rPr>
              <w:t>Present Value of Net Benefits</w:t>
            </w:r>
          </w:p>
          <w:p w:rsidR="001B2044" w:rsidRPr="001B2044" w:rsidRDefault="001B2044" w:rsidP="001B2044">
            <w:pPr>
              <w:jc w:val="center"/>
              <w:rPr>
                <w:rFonts w:eastAsia="Calibri"/>
                <w:b/>
                <w:bCs/>
                <w:color w:val="FFFFFF"/>
                <w:sz w:val="20"/>
                <w:szCs w:val="20"/>
              </w:rPr>
            </w:pPr>
            <w:r w:rsidRPr="001B2044">
              <w:rPr>
                <w:b/>
                <w:bCs/>
                <w:color w:val="FFFFFF"/>
                <w:sz w:val="20"/>
                <w:szCs w:val="20"/>
              </w:rPr>
              <w:t>($)</w:t>
            </w:r>
          </w:p>
        </w:tc>
        <w:tc>
          <w:tcPr>
            <w:tcW w:w="1620" w:type="dxa"/>
            <w:shd w:val="clear" w:color="000000" w:fill="448A99"/>
            <w:noWrap/>
            <w:vAlign w:val="bottom"/>
            <w:hideMark/>
          </w:tcPr>
          <w:p w:rsidR="001B2044" w:rsidRPr="001B2044" w:rsidRDefault="001B2044" w:rsidP="001B2044">
            <w:pPr>
              <w:jc w:val="center"/>
              <w:rPr>
                <w:rFonts w:eastAsia="Calibri"/>
                <w:b/>
                <w:bCs/>
                <w:color w:val="FFFFFF"/>
                <w:sz w:val="20"/>
                <w:szCs w:val="20"/>
              </w:rPr>
            </w:pPr>
            <w:r w:rsidRPr="001B2044">
              <w:rPr>
                <w:b/>
                <w:bCs/>
                <w:color w:val="FFFFFF"/>
                <w:sz w:val="20"/>
                <w:szCs w:val="20"/>
              </w:rPr>
              <w:t>TRC Ratio</w:t>
            </w:r>
          </w:p>
        </w:tc>
      </w:tr>
      <w:tr w:rsidR="00A874AC" w:rsidRPr="001B2044" w:rsidTr="008C15AB">
        <w:trPr>
          <w:trHeight w:val="346"/>
        </w:trPr>
        <w:tc>
          <w:tcPr>
            <w:tcW w:w="2875" w:type="dxa"/>
            <w:tcBorders>
              <w:top w:val="nil"/>
              <w:left w:val="single" w:sz="8" w:space="0" w:color="448A99"/>
              <w:bottom w:val="single" w:sz="8" w:space="0" w:color="448A99"/>
              <w:right w:val="single" w:sz="8" w:space="0" w:color="448A99"/>
            </w:tcBorders>
            <w:shd w:val="clear" w:color="auto" w:fill="auto"/>
            <w:noWrap/>
            <w:vAlign w:val="center"/>
            <w:hideMark/>
          </w:tcPr>
          <w:p w:rsidR="001B2044" w:rsidRPr="001B2044" w:rsidRDefault="001B2044" w:rsidP="001B2044">
            <w:pPr>
              <w:jc w:val="left"/>
              <w:rPr>
                <w:bCs/>
                <w:color w:val="000000"/>
                <w:sz w:val="20"/>
                <w:szCs w:val="20"/>
              </w:rPr>
            </w:pPr>
            <w:r w:rsidRPr="001B2044">
              <w:rPr>
                <w:color w:val="000000"/>
                <w:sz w:val="20"/>
                <w:szCs w:val="20"/>
              </w:rPr>
              <w:t>Appliance Turn-In</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rFonts w:cs="Arial"/>
                <w:color w:val="000000"/>
                <w:sz w:val="20"/>
                <w:szCs w:val="20"/>
              </w:rPr>
              <w:t xml:space="preserve">$404,304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rFonts w:cs="Arial"/>
                <w:color w:val="000000"/>
                <w:sz w:val="20"/>
                <w:szCs w:val="20"/>
              </w:rPr>
              <w:t xml:space="preserve">$190,756 </w:t>
            </w:r>
          </w:p>
        </w:tc>
        <w:tc>
          <w:tcPr>
            <w:tcW w:w="1620" w:type="dxa"/>
            <w:tcBorders>
              <w:top w:val="nil"/>
              <w:left w:val="nil"/>
              <w:bottom w:val="single" w:sz="8" w:space="0" w:color="448A99"/>
              <w:right w:val="single" w:sz="8" w:space="0" w:color="448A99"/>
            </w:tcBorders>
            <w:shd w:val="clear" w:color="auto" w:fill="auto"/>
            <w:vAlign w:val="center"/>
          </w:tcPr>
          <w:p w:rsidR="001B2044" w:rsidRPr="001B2044" w:rsidRDefault="001B2044" w:rsidP="001B2044">
            <w:pPr>
              <w:jc w:val="center"/>
              <w:rPr>
                <w:color w:val="000000"/>
                <w:sz w:val="20"/>
                <w:szCs w:val="20"/>
              </w:rPr>
            </w:pPr>
            <w:r w:rsidRPr="001B2044">
              <w:rPr>
                <w:rFonts w:cs="Arial"/>
                <w:color w:val="000000"/>
                <w:sz w:val="20"/>
                <w:szCs w:val="20"/>
              </w:rPr>
              <w:t xml:space="preserve">$213,548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rFonts w:cs="Arial"/>
                <w:color w:val="000000"/>
                <w:sz w:val="20"/>
                <w:szCs w:val="20"/>
              </w:rPr>
              <w:t>2.12</w:t>
            </w:r>
          </w:p>
        </w:tc>
      </w:tr>
      <w:tr w:rsidR="00A874AC" w:rsidRPr="001B2044" w:rsidTr="008C15AB">
        <w:trPr>
          <w:trHeight w:val="346"/>
        </w:trPr>
        <w:tc>
          <w:tcPr>
            <w:tcW w:w="2875" w:type="dxa"/>
            <w:tcBorders>
              <w:top w:val="nil"/>
              <w:left w:val="single" w:sz="8" w:space="0" w:color="448A99"/>
              <w:bottom w:val="single" w:sz="8" w:space="0" w:color="448A99"/>
              <w:right w:val="single" w:sz="8" w:space="0" w:color="448A99"/>
            </w:tcBorders>
            <w:shd w:val="clear" w:color="auto" w:fill="D2EAF1"/>
            <w:noWrap/>
            <w:vAlign w:val="center"/>
            <w:hideMark/>
          </w:tcPr>
          <w:p w:rsidR="001B2044" w:rsidRPr="001B2044" w:rsidRDefault="001B2044" w:rsidP="001B2044">
            <w:pPr>
              <w:jc w:val="left"/>
              <w:rPr>
                <w:bCs/>
                <w:color w:val="000000"/>
                <w:sz w:val="20"/>
                <w:szCs w:val="20"/>
              </w:rPr>
            </w:pPr>
            <w:r w:rsidRPr="001B2044">
              <w:rPr>
                <w:color w:val="000000"/>
                <w:sz w:val="20"/>
                <w:szCs w:val="20"/>
              </w:rPr>
              <w:t>Efficient Products</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color w:val="000000"/>
                <w:sz w:val="20"/>
                <w:szCs w:val="20"/>
              </w:rPr>
            </w:pPr>
            <w:r w:rsidRPr="001B2044">
              <w:rPr>
                <w:color w:val="000000"/>
                <w:sz w:val="20"/>
                <w:szCs w:val="20"/>
              </w:rPr>
              <w:t xml:space="preserve">$751,481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color w:val="000000"/>
                <w:sz w:val="20"/>
                <w:szCs w:val="20"/>
              </w:rPr>
            </w:pPr>
            <w:r w:rsidRPr="001B2044">
              <w:rPr>
                <w:color w:val="000000"/>
                <w:sz w:val="20"/>
                <w:szCs w:val="20"/>
              </w:rPr>
              <w:t xml:space="preserve">$1,513,372 </w:t>
            </w:r>
          </w:p>
        </w:tc>
        <w:tc>
          <w:tcPr>
            <w:tcW w:w="1620" w:type="dxa"/>
            <w:tcBorders>
              <w:top w:val="nil"/>
              <w:left w:val="nil"/>
              <w:bottom w:val="single" w:sz="8" w:space="0" w:color="448A99"/>
              <w:right w:val="single" w:sz="8" w:space="0" w:color="448A99"/>
            </w:tcBorders>
            <w:shd w:val="clear" w:color="000000" w:fill="D2EAF1"/>
            <w:vAlign w:val="center"/>
          </w:tcPr>
          <w:p w:rsidR="001B2044" w:rsidRPr="001B2044" w:rsidRDefault="001B2044" w:rsidP="001B2044">
            <w:pPr>
              <w:jc w:val="center"/>
              <w:rPr>
                <w:color w:val="000000"/>
                <w:sz w:val="20"/>
                <w:szCs w:val="20"/>
              </w:rPr>
            </w:pPr>
            <w:r w:rsidRPr="001B2044">
              <w:rPr>
                <w:rFonts w:cs="Arial"/>
                <w:color w:val="FF0000"/>
                <w:sz w:val="20"/>
                <w:szCs w:val="20"/>
              </w:rPr>
              <w:t>($761,892)</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color w:val="000000"/>
                <w:sz w:val="20"/>
                <w:szCs w:val="20"/>
              </w:rPr>
            </w:pPr>
            <w:r w:rsidRPr="001B2044">
              <w:rPr>
                <w:rFonts w:cs="Arial"/>
                <w:color w:val="000000"/>
                <w:sz w:val="20"/>
                <w:szCs w:val="20"/>
              </w:rPr>
              <w:t>0.50</w:t>
            </w:r>
          </w:p>
        </w:tc>
      </w:tr>
      <w:tr w:rsidR="00A874AC" w:rsidRPr="001B2044" w:rsidTr="008C15AB">
        <w:trPr>
          <w:trHeight w:val="346"/>
        </w:trPr>
        <w:tc>
          <w:tcPr>
            <w:tcW w:w="2875" w:type="dxa"/>
            <w:tcBorders>
              <w:top w:val="nil"/>
              <w:left w:val="single" w:sz="8" w:space="0" w:color="448A99"/>
              <w:bottom w:val="single" w:sz="8" w:space="0" w:color="448A99"/>
              <w:right w:val="single" w:sz="8" w:space="0" w:color="448A99"/>
            </w:tcBorders>
            <w:shd w:val="clear" w:color="auto" w:fill="auto"/>
            <w:noWrap/>
            <w:vAlign w:val="center"/>
            <w:hideMark/>
          </w:tcPr>
          <w:p w:rsidR="001B2044" w:rsidRPr="001B2044" w:rsidRDefault="001B2044" w:rsidP="001B2044">
            <w:pPr>
              <w:jc w:val="left"/>
              <w:rPr>
                <w:bCs/>
                <w:color w:val="000000"/>
                <w:sz w:val="20"/>
                <w:szCs w:val="20"/>
              </w:rPr>
            </w:pPr>
            <w:r w:rsidRPr="001B2044">
              <w:rPr>
                <w:color w:val="000000"/>
                <w:sz w:val="20"/>
                <w:szCs w:val="20"/>
              </w:rPr>
              <w:t>Home Performance</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color w:val="000000"/>
                <w:sz w:val="20"/>
                <w:szCs w:val="20"/>
              </w:rPr>
              <w:t xml:space="preserve">$1,460,667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color w:val="000000"/>
                <w:sz w:val="20"/>
                <w:szCs w:val="20"/>
              </w:rPr>
              <w:t xml:space="preserve">$1,533,645 </w:t>
            </w:r>
          </w:p>
        </w:tc>
        <w:tc>
          <w:tcPr>
            <w:tcW w:w="1620" w:type="dxa"/>
            <w:tcBorders>
              <w:top w:val="nil"/>
              <w:left w:val="nil"/>
              <w:bottom w:val="single" w:sz="8" w:space="0" w:color="448A99"/>
              <w:right w:val="single" w:sz="8" w:space="0" w:color="448A99"/>
            </w:tcBorders>
            <w:shd w:val="clear" w:color="auto" w:fill="auto"/>
            <w:vAlign w:val="center"/>
          </w:tcPr>
          <w:p w:rsidR="001B2044" w:rsidRPr="001B2044" w:rsidRDefault="001B2044" w:rsidP="001B2044">
            <w:pPr>
              <w:jc w:val="center"/>
              <w:rPr>
                <w:color w:val="000000"/>
                <w:sz w:val="20"/>
                <w:szCs w:val="20"/>
              </w:rPr>
            </w:pPr>
            <w:r w:rsidRPr="001B2044">
              <w:rPr>
                <w:color w:val="FF0000"/>
                <w:sz w:val="20"/>
                <w:szCs w:val="20"/>
              </w:rPr>
              <w:t>($72,978)</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color w:val="000000"/>
                <w:sz w:val="20"/>
                <w:szCs w:val="20"/>
              </w:rPr>
              <w:t>0.95</w:t>
            </w:r>
          </w:p>
        </w:tc>
      </w:tr>
      <w:tr w:rsidR="00A874AC" w:rsidRPr="001B2044" w:rsidTr="008C15AB">
        <w:trPr>
          <w:trHeight w:val="346"/>
        </w:trPr>
        <w:tc>
          <w:tcPr>
            <w:tcW w:w="2875" w:type="dxa"/>
            <w:tcBorders>
              <w:top w:val="nil"/>
              <w:left w:val="single" w:sz="8" w:space="0" w:color="448A99"/>
              <w:bottom w:val="single" w:sz="8" w:space="0" w:color="448A99"/>
              <w:right w:val="single" w:sz="8" w:space="0" w:color="448A99"/>
            </w:tcBorders>
            <w:shd w:val="clear" w:color="auto" w:fill="D2EAF1"/>
            <w:noWrap/>
            <w:vAlign w:val="center"/>
            <w:hideMark/>
          </w:tcPr>
          <w:p w:rsidR="001B2044" w:rsidRPr="001B2044" w:rsidRDefault="001B2044" w:rsidP="001B2044">
            <w:pPr>
              <w:jc w:val="left"/>
              <w:rPr>
                <w:bCs/>
                <w:color w:val="000000"/>
                <w:sz w:val="20"/>
                <w:szCs w:val="20"/>
              </w:rPr>
            </w:pPr>
            <w:r w:rsidRPr="001B2044">
              <w:rPr>
                <w:color w:val="000000"/>
                <w:sz w:val="20"/>
                <w:szCs w:val="20"/>
              </w:rPr>
              <w:t>Low Income</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color w:val="000000"/>
                <w:sz w:val="20"/>
                <w:szCs w:val="20"/>
              </w:rPr>
            </w:pPr>
            <w:r w:rsidRPr="001B2044">
              <w:rPr>
                <w:color w:val="000000"/>
                <w:sz w:val="20"/>
                <w:szCs w:val="20"/>
              </w:rPr>
              <w:t xml:space="preserve">$221,601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color w:val="000000"/>
                <w:sz w:val="20"/>
                <w:szCs w:val="20"/>
              </w:rPr>
            </w:pPr>
            <w:r w:rsidRPr="001B2044">
              <w:rPr>
                <w:color w:val="000000"/>
                <w:sz w:val="20"/>
                <w:szCs w:val="20"/>
              </w:rPr>
              <w:t xml:space="preserve">$670,711 </w:t>
            </w:r>
          </w:p>
        </w:tc>
        <w:tc>
          <w:tcPr>
            <w:tcW w:w="1620" w:type="dxa"/>
            <w:tcBorders>
              <w:top w:val="nil"/>
              <w:left w:val="nil"/>
              <w:bottom w:val="single" w:sz="8" w:space="0" w:color="448A99"/>
              <w:right w:val="single" w:sz="8" w:space="0" w:color="448A99"/>
            </w:tcBorders>
            <w:shd w:val="clear" w:color="000000" w:fill="D2EAF1"/>
            <w:vAlign w:val="center"/>
          </w:tcPr>
          <w:p w:rsidR="001B2044" w:rsidRPr="001B2044" w:rsidRDefault="001B2044" w:rsidP="001B2044">
            <w:pPr>
              <w:jc w:val="center"/>
              <w:rPr>
                <w:color w:val="000000"/>
                <w:sz w:val="20"/>
                <w:szCs w:val="20"/>
              </w:rPr>
            </w:pPr>
            <w:r w:rsidRPr="001B2044">
              <w:rPr>
                <w:color w:val="FF0000"/>
                <w:sz w:val="20"/>
                <w:szCs w:val="20"/>
              </w:rPr>
              <w:t>($449,110)</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color w:val="000000"/>
                <w:sz w:val="20"/>
                <w:szCs w:val="20"/>
              </w:rPr>
            </w:pPr>
            <w:r w:rsidRPr="001B2044">
              <w:rPr>
                <w:color w:val="000000"/>
                <w:sz w:val="20"/>
                <w:szCs w:val="20"/>
              </w:rPr>
              <w:t>0.33</w:t>
            </w:r>
          </w:p>
        </w:tc>
      </w:tr>
      <w:tr w:rsidR="00A874AC" w:rsidRPr="001B2044" w:rsidTr="008C15AB">
        <w:trPr>
          <w:trHeight w:val="346"/>
        </w:trPr>
        <w:tc>
          <w:tcPr>
            <w:tcW w:w="2875" w:type="dxa"/>
            <w:tcBorders>
              <w:top w:val="nil"/>
              <w:left w:val="single" w:sz="8" w:space="0" w:color="448A99"/>
              <w:bottom w:val="single" w:sz="8" w:space="0" w:color="448A99"/>
              <w:right w:val="single" w:sz="8" w:space="0" w:color="448A99"/>
            </w:tcBorders>
            <w:shd w:val="clear" w:color="auto" w:fill="auto"/>
            <w:noWrap/>
            <w:vAlign w:val="center"/>
            <w:hideMark/>
          </w:tcPr>
          <w:p w:rsidR="001B2044" w:rsidRPr="001B2044" w:rsidRDefault="001B2044" w:rsidP="001B2044">
            <w:pPr>
              <w:jc w:val="left"/>
              <w:rPr>
                <w:bCs/>
                <w:color w:val="000000"/>
                <w:sz w:val="20"/>
                <w:szCs w:val="20"/>
              </w:rPr>
            </w:pPr>
            <w:r w:rsidRPr="001B2044">
              <w:rPr>
                <w:color w:val="000000"/>
                <w:sz w:val="20"/>
                <w:szCs w:val="20"/>
              </w:rPr>
              <w:t>Small C/I Equipment</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color w:val="000000"/>
                <w:sz w:val="20"/>
                <w:szCs w:val="20"/>
              </w:rPr>
              <w:t xml:space="preserve">$3,577,507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color w:val="000000"/>
                <w:sz w:val="20"/>
                <w:szCs w:val="20"/>
              </w:rPr>
              <w:t xml:space="preserve">$4,521,979 </w:t>
            </w:r>
          </w:p>
        </w:tc>
        <w:tc>
          <w:tcPr>
            <w:tcW w:w="1620" w:type="dxa"/>
            <w:tcBorders>
              <w:top w:val="nil"/>
              <w:left w:val="nil"/>
              <w:bottom w:val="single" w:sz="8" w:space="0" w:color="448A99"/>
              <w:right w:val="single" w:sz="8" w:space="0" w:color="448A99"/>
            </w:tcBorders>
            <w:shd w:val="clear" w:color="auto" w:fill="auto"/>
            <w:vAlign w:val="center"/>
          </w:tcPr>
          <w:p w:rsidR="001B2044" w:rsidRPr="001B2044" w:rsidRDefault="001B2044" w:rsidP="001B2044">
            <w:pPr>
              <w:jc w:val="center"/>
              <w:rPr>
                <w:color w:val="000000"/>
                <w:sz w:val="20"/>
                <w:szCs w:val="20"/>
              </w:rPr>
            </w:pPr>
            <w:r w:rsidRPr="001B2044">
              <w:rPr>
                <w:color w:val="FF0000"/>
                <w:sz w:val="20"/>
                <w:szCs w:val="20"/>
              </w:rPr>
              <w:t>($944,472)</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color w:val="000000"/>
                <w:sz w:val="20"/>
                <w:szCs w:val="20"/>
              </w:rPr>
              <w:t>0.79</w:t>
            </w:r>
          </w:p>
        </w:tc>
      </w:tr>
      <w:tr w:rsidR="00A874AC" w:rsidRPr="001B2044" w:rsidTr="008C15AB">
        <w:trPr>
          <w:trHeight w:val="346"/>
        </w:trPr>
        <w:tc>
          <w:tcPr>
            <w:tcW w:w="2875" w:type="dxa"/>
            <w:tcBorders>
              <w:top w:val="nil"/>
              <w:left w:val="single" w:sz="8" w:space="0" w:color="448A99"/>
              <w:bottom w:val="single" w:sz="8" w:space="0" w:color="448A99"/>
              <w:right w:val="single" w:sz="8" w:space="0" w:color="448A99"/>
            </w:tcBorders>
            <w:shd w:val="clear" w:color="auto" w:fill="D2EAF1"/>
            <w:noWrap/>
            <w:vAlign w:val="center"/>
            <w:hideMark/>
          </w:tcPr>
          <w:p w:rsidR="001B2044" w:rsidRPr="001B2044" w:rsidRDefault="001B2044" w:rsidP="001B2044">
            <w:pPr>
              <w:jc w:val="left"/>
              <w:rPr>
                <w:bCs/>
                <w:color w:val="000000"/>
                <w:sz w:val="20"/>
                <w:szCs w:val="20"/>
              </w:rPr>
            </w:pPr>
            <w:r w:rsidRPr="001B2044">
              <w:rPr>
                <w:color w:val="000000"/>
                <w:sz w:val="20"/>
                <w:szCs w:val="20"/>
              </w:rPr>
              <w:t>Small C/I Buildings</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color w:val="000000"/>
                <w:sz w:val="20"/>
                <w:szCs w:val="20"/>
              </w:rPr>
            </w:pPr>
            <w:r w:rsidRPr="001B2044">
              <w:rPr>
                <w:color w:val="000000"/>
                <w:sz w:val="20"/>
                <w:szCs w:val="20"/>
              </w:rPr>
              <w:t xml:space="preserve">$1,039,908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color w:val="000000"/>
                <w:sz w:val="20"/>
                <w:szCs w:val="20"/>
              </w:rPr>
            </w:pPr>
            <w:r w:rsidRPr="001B2044">
              <w:rPr>
                <w:color w:val="000000"/>
                <w:sz w:val="20"/>
                <w:szCs w:val="20"/>
              </w:rPr>
              <w:t xml:space="preserve">$682,601 </w:t>
            </w:r>
          </w:p>
        </w:tc>
        <w:tc>
          <w:tcPr>
            <w:tcW w:w="1620" w:type="dxa"/>
            <w:tcBorders>
              <w:top w:val="nil"/>
              <w:left w:val="nil"/>
              <w:bottom w:val="single" w:sz="8" w:space="0" w:color="448A99"/>
              <w:right w:val="single" w:sz="8" w:space="0" w:color="448A99"/>
            </w:tcBorders>
            <w:shd w:val="clear" w:color="000000" w:fill="D2EAF1"/>
            <w:vAlign w:val="center"/>
          </w:tcPr>
          <w:p w:rsidR="001B2044" w:rsidRPr="001B2044" w:rsidRDefault="001B2044" w:rsidP="001B2044">
            <w:pPr>
              <w:jc w:val="center"/>
              <w:rPr>
                <w:color w:val="000000"/>
                <w:sz w:val="20"/>
                <w:szCs w:val="20"/>
              </w:rPr>
            </w:pPr>
            <w:r w:rsidRPr="001B2044">
              <w:rPr>
                <w:color w:val="000000"/>
                <w:sz w:val="20"/>
                <w:szCs w:val="20"/>
              </w:rPr>
              <w:t xml:space="preserve">$357,307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color w:val="000000"/>
                <w:sz w:val="20"/>
                <w:szCs w:val="20"/>
              </w:rPr>
            </w:pPr>
            <w:r w:rsidRPr="001B2044">
              <w:rPr>
                <w:color w:val="000000"/>
                <w:sz w:val="20"/>
                <w:szCs w:val="20"/>
              </w:rPr>
              <w:t>1.52</w:t>
            </w:r>
          </w:p>
        </w:tc>
      </w:tr>
      <w:tr w:rsidR="00A874AC" w:rsidRPr="001B2044" w:rsidTr="008C15AB">
        <w:trPr>
          <w:trHeight w:val="346"/>
        </w:trPr>
        <w:tc>
          <w:tcPr>
            <w:tcW w:w="2875" w:type="dxa"/>
            <w:tcBorders>
              <w:top w:val="nil"/>
              <w:left w:val="single" w:sz="8" w:space="0" w:color="448A99"/>
              <w:bottom w:val="single" w:sz="8" w:space="0" w:color="448A99"/>
              <w:right w:val="single" w:sz="8" w:space="0" w:color="448A99"/>
            </w:tcBorders>
            <w:shd w:val="clear" w:color="auto" w:fill="auto"/>
            <w:noWrap/>
            <w:vAlign w:val="center"/>
            <w:hideMark/>
          </w:tcPr>
          <w:p w:rsidR="001B2044" w:rsidRPr="001B2044" w:rsidRDefault="001B2044" w:rsidP="001B2044">
            <w:pPr>
              <w:jc w:val="left"/>
              <w:rPr>
                <w:bCs/>
                <w:color w:val="000000"/>
                <w:sz w:val="20"/>
                <w:szCs w:val="20"/>
              </w:rPr>
            </w:pPr>
            <w:r w:rsidRPr="001B2044">
              <w:rPr>
                <w:color w:val="000000"/>
                <w:sz w:val="20"/>
                <w:szCs w:val="20"/>
              </w:rPr>
              <w:t>Large C/I Equipment</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color w:val="000000"/>
                <w:sz w:val="20"/>
                <w:szCs w:val="20"/>
              </w:rPr>
              <w:t xml:space="preserve">$834,551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color w:val="000000"/>
                <w:sz w:val="20"/>
                <w:szCs w:val="20"/>
              </w:rPr>
              <w:t xml:space="preserve">$804,579 </w:t>
            </w:r>
          </w:p>
        </w:tc>
        <w:tc>
          <w:tcPr>
            <w:tcW w:w="1620" w:type="dxa"/>
            <w:tcBorders>
              <w:top w:val="nil"/>
              <w:left w:val="nil"/>
              <w:bottom w:val="single" w:sz="8" w:space="0" w:color="448A99"/>
              <w:right w:val="single" w:sz="8" w:space="0" w:color="448A99"/>
            </w:tcBorders>
            <w:shd w:val="clear" w:color="auto" w:fill="auto"/>
            <w:vAlign w:val="center"/>
          </w:tcPr>
          <w:p w:rsidR="001B2044" w:rsidRPr="001B2044" w:rsidRDefault="001B2044" w:rsidP="001B2044">
            <w:pPr>
              <w:jc w:val="center"/>
              <w:rPr>
                <w:color w:val="000000"/>
                <w:sz w:val="20"/>
                <w:szCs w:val="20"/>
              </w:rPr>
            </w:pPr>
            <w:r w:rsidRPr="001B2044">
              <w:rPr>
                <w:color w:val="000000"/>
                <w:sz w:val="20"/>
                <w:szCs w:val="20"/>
              </w:rPr>
              <w:t xml:space="preserve">$29,972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color w:val="000000"/>
                <w:sz w:val="20"/>
                <w:szCs w:val="20"/>
              </w:rPr>
              <w:t>1.04</w:t>
            </w:r>
          </w:p>
        </w:tc>
      </w:tr>
      <w:tr w:rsidR="00A874AC" w:rsidRPr="001B2044" w:rsidTr="008C15AB">
        <w:trPr>
          <w:trHeight w:val="346"/>
        </w:trPr>
        <w:tc>
          <w:tcPr>
            <w:tcW w:w="2875" w:type="dxa"/>
            <w:tcBorders>
              <w:top w:val="nil"/>
              <w:left w:val="single" w:sz="8" w:space="0" w:color="448A99"/>
              <w:bottom w:val="single" w:sz="8" w:space="0" w:color="448A99"/>
              <w:right w:val="single" w:sz="8" w:space="0" w:color="448A99"/>
            </w:tcBorders>
            <w:shd w:val="clear" w:color="auto" w:fill="D2EAF1"/>
            <w:vAlign w:val="center"/>
            <w:hideMark/>
          </w:tcPr>
          <w:p w:rsidR="001B2044" w:rsidRPr="001B2044" w:rsidRDefault="001B2044" w:rsidP="001B2044">
            <w:pPr>
              <w:jc w:val="left"/>
              <w:rPr>
                <w:bCs/>
                <w:color w:val="000000"/>
                <w:sz w:val="20"/>
                <w:szCs w:val="20"/>
              </w:rPr>
            </w:pPr>
            <w:r w:rsidRPr="001B2044">
              <w:rPr>
                <w:color w:val="000000"/>
                <w:sz w:val="20"/>
                <w:szCs w:val="20"/>
              </w:rPr>
              <w:t>Large C/I Buildings</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color w:val="000000"/>
                <w:sz w:val="20"/>
                <w:szCs w:val="20"/>
              </w:rPr>
            </w:pPr>
            <w:r w:rsidRPr="001B2044">
              <w:rPr>
                <w:color w:val="000000"/>
                <w:sz w:val="20"/>
                <w:szCs w:val="20"/>
              </w:rPr>
              <w:t xml:space="preserve">$1,610,817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color w:val="000000"/>
                <w:sz w:val="20"/>
                <w:szCs w:val="20"/>
              </w:rPr>
            </w:pPr>
            <w:r w:rsidRPr="001B2044">
              <w:rPr>
                <w:color w:val="000000"/>
                <w:sz w:val="20"/>
                <w:szCs w:val="20"/>
              </w:rPr>
              <w:t xml:space="preserve">$628,980 </w:t>
            </w:r>
          </w:p>
        </w:tc>
        <w:tc>
          <w:tcPr>
            <w:tcW w:w="1620" w:type="dxa"/>
            <w:tcBorders>
              <w:top w:val="nil"/>
              <w:left w:val="nil"/>
              <w:bottom w:val="single" w:sz="8" w:space="0" w:color="448A99"/>
              <w:right w:val="single" w:sz="8" w:space="0" w:color="448A99"/>
            </w:tcBorders>
            <w:shd w:val="clear" w:color="000000" w:fill="D2EAF1"/>
            <w:vAlign w:val="center"/>
          </w:tcPr>
          <w:p w:rsidR="001B2044" w:rsidRPr="001B2044" w:rsidRDefault="001B2044" w:rsidP="001B2044">
            <w:pPr>
              <w:jc w:val="center"/>
              <w:rPr>
                <w:color w:val="000000"/>
                <w:sz w:val="20"/>
                <w:szCs w:val="20"/>
              </w:rPr>
            </w:pPr>
            <w:r w:rsidRPr="001B2044">
              <w:rPr>
                <w:color w:val="000000"/>
                <w:sz w:val="20"/>
                <w:szCs w:val="20"/>
              </w:rPr>
              <w:t xml:space="preserve">$981,837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color w:val="000000"/>
                <w:sz w:val="20"/>
                <w:szCs w:val="20"/>
              </w:rPr>
            </w:pPr>
            <w:r w:rsidRPr="001B2044">
              <w:rPr>
                <w:color w:val="000000"/>
                <w:sz w:val="20"/>
                <w:szCs w:val="20"/>
              </w:rPr>
              <w:t>2.56</w:t>
            </w:r>
          </w:p>
        </w:tc>
      </w:tr>
      <w:tr w:rsidR="00A874AC" w:rsidRPr="001B2044" w:rsidTr="008C15AB">
        <w:trPr>
          <w:trHeight w:val="346"/>
        </w:trPr>
        <w:tc>
          <w:tcPr>
            <w:tcW w:w="2875" w:type="dxa"/>
            <w:tcBorders>
              <w:top w:val="nil"/>
              <w:left w:val="single" w:sz="8" w:space="0" w:color="448A99"/>
              <w:bottom w:val="single" w:sz="8" w:space="0" w:color="448A99"/>
              <w:right w:val="single" w:sz="8" w:space="0" w:color="448A99"/>
            </w:tcBorders>
            <w:shd w:val="clear" w:color="auto" w:fill="auto"/>
            <w:vAlign w:val="center"/>
            <w:hideMark/>
          </w:tcPr>
          <w:p w:rsidR="001B2044" w:rsidRPr="001B2044" w:rsidRDefault="001B2044" w:rsidP="001B2044">
            <w:pPr>
              <w:jc w:val="left"/>
              <w:rPr>
                <w:bCs/>
                <w:color w:val="000000"/>
                <w:sz w:val="20"/>
                <w:szCs w:val="20"/>
              </w:rPr>
            </w:pPr>
            <w:r w:rsidRPr="001B2044">
              <w:rPr>
                <w:color w:val="000000"/>
                <w:sz w:val="20"/>
                <w:szCs w:val="20"/>
              </w:rPr>
              <w:t>Gov./Institutional</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color w:val="000000"/>
                <w:sz w:val="20"/>
                <w:szCs w:val="20"/>
              </w:rPr>
              <w:t xml:space="preserve">$488,685 </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color w:val="000000"/>
                <w:sz w:val="20"/>
                <w:szCs w:val="20"/>
              </w:rPr>
              <w:t xml:space="preserve">$1,137,129 </w:t>
            </w:r>
          </w:p>
        </w:tc>
        <w:tc>
          <w:tcPr>
            <w:tcW w:w="1620" w:type="dxa"/>
            <w:tcBorders>
              <w:top w:val="nil"/>
              <w:left w:val="nil"/>
              <w:bottom w:val="single" w:sz="8" w:space="0" w:color="448A99"/>
              <w:right w:val="single" w:sz="8" w:space="0" w:color="448A99"/>
            </w:tcBorders>
            <w:shd w:val="clear" w:color="auto" w:fill="auto"/>
            <w:vAlign w:val="center"/>
          </w:tcPr>
          <w:p w:rsidR="001B2044" w:rsidRPr="001B2044" w:rsidRDefault="001B2044" w:rsidP="001B2044">
            <w:pPr>
              <w:jc w:val="center"/>
              <w:rPr>
                <w:color w:val="000000"/>
                <w:sz w:val="20"/>
                <w:szCs w:val="20"/>
              </w:rPr>
            </w:pPr>
            <w:r w:rsidRPr="001B2044">
              <w:rPr>
                <w:color w:val="FF0000"/>
                <w:sz w:val="20"/>
                <w:szCs w:val="20"/>
              </w:rPr>
              <w:t>($648,444)</w:t>
            </w:r>
          </w:p>
        </w:tc>
        <w:tc>
          <w:tcPr>
            <w:tcW w:w="1620" w:type="dxa"/>
            <w:tcBorders>
              <w:top w:val="nil"/>
              <w:left w:val="nil"/>
              <w:bottom w:val="single" w:sz="8" w:space="0" w:color="448A99"/>
              <w:right w:val="single" w:sz="8" w:space="0" w:color="448A99"/>
            </w:tcBorders>
            <w:shd w:val="clear" w:color="auto" w:fill="auto"/>
            <w:noWrap/>
            <w:vAlign w:val="center"/>
          </w:tcPr>
          <w:p w:rsidR="001B2044" w:rsidRPr="001B2044" w:rsidRDefault="001B2044" w:rsidP="001B2044">
            <w:pPr>
              <w:jc w:val="center"/>
              <w:rPr>
                <w:color w:val="000000"/>
                <w:sz w:val="20"/>
                <w:szCs w:val="20"/>
              </w:rPr>
            </w:pPr>
            <w:r w:rsidRPr="001B2044">
              <w:rPr>
                <w:color w:val="000000"/>
                <w:sz w:val="20"/>
                <w:szCs w:val="20"/>
              </w:rPr>
              <w:t>0.43</w:t>
            </w:r>
          </w:p>
        </w:tc>
      </w:tr>
      <w:tr w:rsidR="00A874AC" w:rsidRPr="001B2044" w:rsidTr="008C15AB">
        <w:trPr>
          <w:trHeight w:val="346"/>
        </w:trPr>
        <w:tc>
          <w:tcPr>
            <w:tcW w:w="2875" w:type="dxa"/>
            <w:shd w:val="clear" w:color="auto" w:fill="D2EAF1"/>
            <w:vAlign w:val="center"/>
            <w:hideMark/>
          </w:tcPr>
          <w:p w:rsidR="001B2044" w:rsidRPr="001B2044" w:rsidRDefault="001B2044" w:rsidP="001B2044">
            <w:pPr>
              <w:jc w:val="left"/>
              <w:rPr>
                <w:b/>
                <w:bCs/>
                <w:iCs/>
                <w:color w:val="000000"/>
                <w:sz w:val="20"/>
                <w:szCs w:val="20"/>
              </w:rPr>
            </w:pPr>
            <w:r w:rsidRPr="001B2044">
              <w:rPr>
                <w:b/>
                <w:bCs/>
                <w:iCs/>
                <w:color w:val="000000"/>
                <w:sz w:val="20"/>
                <w:szCs w:val="20"/>
              </w:rPr>
              <w:t>Total Portfolio</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b/>
                <w:bCs/>
                <w:color w:val="000000"/>
                <w:sz w:val="20"/>
                <w:szCs w:val="20"/>
              </w:rPr>
            </w:pPr>
            <w:r w:rsidRPr="001B2044">
              <w:rPr>
                <w:rFonts w:cs="Arial"/>
                <w:b/>
                <w:bCs/>
                <w:color w:val="000000"/>
                <w:sz w:val="20"/>
                <w:szCs w:val="20"/>
              </w:rPr>
              <w:t xml:space="preserve">$10,389,522 </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b/>
                <w:bCs/>
                <w:color w:val="000000"/>
                <w:sz w:val="20"/>
                <w:szCs w:val="20"/>
              </w:rPr>
            </w:pPr>
            <w:r w:rsidRPr="001B2044">
              <w:rPr>
                <w:rFonts w:cs="Arial"/>
                <w:b/>
                <w:bCs/>
                <w:color w:val="000000"/>
                <w:sz w:val="20"/>
                <w:szCs w:val="20"/>
              </w:rPr>
              <w:t xml:space="preserve">$11,683,752 </w:t>
            </w:r>
          </w:p>
        </w:tc>
        <w:tc>
          <w:tcPr>
            <w:tcW w:w="1620" w:type="dxa"/>
            <w:tcBorders>
              <w:top w:val="nil"/>
              <w:left w:val="nil"/>
              <w:bottom w:val="single" w:sz="8" w:space="0" w:color="448A99"/>
              <w:right w:val="single" w:sz="8" w:space="0" w:color="448A99"/>
            </w:tcBorders>
            <w:shd w:val="clear" w:color="000000" w:fill="D2EAF1"/>
            <w:vAlign w:val="center"/>
          </w:tcPr>
          <w:p w:rsidR="001B2044" w:rsidRPr="001B2044" w:rsidRDefault="001B2044" w:rsidP="001B2044">
            <w:pPr>
              <w:jc w:val="center"/>
              <w:rPr>
                <w:b/>
                <w:bCs/>
                <w:color w:val="000000"/>
                <w:sz w:val="20"/>
                <w:szCs w:val="20"/>
              </w:rPr>
            </w:pPr>
            <w:r w:rsidRPr="001B2044">
              <w:rPr>
                <w:b/>
                <w:bCs/>
                <w:color w:val="FF0000"/>
                <w:sz w:val="20"/>
                <w:szCs w:val="20"/>
              </w:rPr>
              <w:t>($1,294,230)</w:t>
            </w:r>
          </w:p>
        </w:tc>
        <w:tc>
          <w:tcPr>
            <w:tcW w:w="1620" w:type="dxa"/>
            <w:tcBorders>
              <w:top w:val="nil"/>
              <w:left w:val="nil"/>
              <w:bottom w:val="single" w:sz="8" w:space="0" w:color="448A99"/>
              <w:right w:val="single" w:sz="8" w:space="0" w:color="448A99"/>
            </w:tcBorders>
            <w:shd w:val="clear" w:color="000000" w:fill="D2EAF1"/>
            <w:noWrap/>
            <w:vAlign w:val="center"/>
          </w:tcPr>
          <w:p w:rsidR="001B2044" w:rsidRPr="001B2044" w:rsidRDefault="001B2044" w:rsidP="001B2044">
            <w:pPr>
              <w:jc w:val="center"/>
              <w:rPr>
                <w:b/>
                <w:bCs/>
                <w:color w:val="000000"/>
                <w:sz w:val="20"/>
                <w:szCs w:val="20"/>
              </w:rPr>
            </w:pPr>
            <w:r w:rsidRPr="001B2044">
              <w:rPr>
                <w:b/>
                <w:bCs/>
                <w:color w:val="000000"/>
                <w:sz w:val="20"/>
                <w:szCs w:val="20"/>
              </w:rPr>
              <w:t>0.89</w:t>
            </w:r>
          </w:p>
        </w:tc>
      </w:tr>
    </w:tbl>
    <w:p w:rsidR="00D40970" w:rsidRDefault="00D40970" w:rsidP="00D40970">
      <w:pPr>
        <w:tabs>
          <w:tab w:val="left" w:pos="1803"/>
        </w:tabs>
      </w:pPr>
    </w:p>
    <w:p w:rsidR="00D40970" w:rsidRPr="00D40970" w:rsidRDefault="00D40970" w:rsidP="007E0D0D">
      <w:pPr>
        <w:spacing w:after="120"/>
      </w:pPr>
      <w:r w:rsidRPr="00D40970">
        <w:t xml:space="preserve">In summary, </w:t>
      </w:r>
      <w:r w:rsidR="00C34CDD">
        <w:t>four</w:t>
      </w:r>
      <w:r w:rsidRPr="00D40970">
        <w:t xml:space="preserve"> of Penn Power’s </w:t>
      </w:r>
      <w:r w:rsidR="00C34CDD">
        <w:t>nine</w:t>
      </w:r>
      <w:r w:rsidRPr="00D40970">
        <w:t xml:space="preserve"> programs were found to be cost-effective and </w:t>
      </w:r>
      <w:r w:rsidR="00C34CDD">
        <w:t>five</w:t>
      </w:r>
      <w:r w:rsidRPr="00D40970">
        <w:t xml:space="preserve"> were non-cost-effective. In total, the PY7 portfolio was not cost</w:t>
      </w:r>
      <w:r w:rsidR="00C34CDD">
        <w:t>-</w:t>
      </w:r>
      <w:r w:rsidRPr="00D40970">
        <w:t>effective, with both the residential and non</w:t>
      </w:r>
      <w:r w:rsidR="00C34CDD">
        <w:t>-</w:t>
      </w:r>
      <w:r w:rsidRPr="00D40970">
        <w:t>residential sector costs outweighing the lifetime benefits of the program offerings. The breakout of cost-effective and non-cost-effective programs is shown below.</w:t>
      </w:r>
    </w:p>
    <w:p w:rsidR="00D40970" w:rsidRPr="00D40970" w:rsidRDefault="00D40970" w:rsidP="00D40970">
      <w:pPr>
        <w:rPr>
          <w:rFonts w:ascii="Century Gothic" w:hAnsi="Century Gothic"/>
          <w:b/>
        </w:rPr>
      </w:pPr>
      <w:r w:rsidRPr="00D40970">
        <w:rPr>
          <w:rFonts w:ascii="Century Gothic" w:hAnsi="Century Gothic"/>
          <w:b/>
        </w:rPr>
        <w:t>Cost-Effective Programs</w:t>
      </w:r>
    </w:p>
    <w:p w:rsidR="00D40970" w:rsidRPr="00D40970" w:rsidRDefault="00D40970" w:rsidP="00D40970">
      <w:pPr>
        <w:spacing w:after="60"/>
        <w:rPr>
          <w:b/>
          <w:color w:val="448A99"/>
        </w:rPr>
      </w:pPr>
      <w:r w:rsidRPr="00D40970">
        <w:rPr>
          <w:b/>
          <w:color w:val="448A99"/>
        </w:rPr>
        <w:t>(TRC Ratio &gt; 1.0)</w:t>
      </w:r>
    </w:p>
    <w:p w:rsidR="00D40970" w:rsidRPr="00D40970" w:rsidRDefault="00D40970" w:rsidP="00E646C9">
      <w:pPr>
        <w:numPr>
          <w:ilvl w:val="0"/>
          <w:numId w:val="78"/>
        </w:numPr>
        <w:ind w:left="360"/>
        <w:rPr>
          <w:i/>
        </w:rPr>
      </w:pPr>
      <w:r w:rsidRPr="00D40970">
        <w:rPr>
          <w:i/>
        </w:rPr>
        <w:t>Residential Appliance Turn-In</w:t>
      </w:r>
    </w:p>
    <w:p w:rsidR="00D40970" w:rsidRPr="00D40970" w:rsidRDefault="00D40970" w:rsidP="00E646C9">
      <w:pPr>
        <w:numPr>
          <w:ilvl w:val="0"/>
          <w:numId w:val="78"/>
        </w:numPr>
        <w:ind w:left="360"/>
        <w:rPr>
          <w:i/>
        </w:rPr>
      </w:pPr>
      <w:r w:rsidRPr="00D40970">
        <w:rPr>
          <w:i/>
        </w:rPr>
        <w:t>Small C/I Energy Efficient Buildings</w:t>
      </w:r>
    </w:p>
    <w:p w:rsidR="00D40970" w:rsidRPr="00D40970" w:rsidRDefault="00D40970" w:rsidP="00E646C9">
      <w:pPr>
        <w:numPr>
          <w:ilvl w:val="0"/>
          <w:numId w:val="78"/>
        </w:numPr>
        <w:ind w:left="360"/>
        <w:rPr>
          <w:i/>
        </w:rPr>
      </w:pPr>
      <w:r w:rsidRPr="00D40970">
        <w:rPr>
          <w:i/>
        </w:rPr>
        <w:t>Large C/I Energy Efficient Equipment</w:t>
      </w:r>
    </w:p>
    <w:p w:rsidR="00D40970" w:rsidRPr="00D40970" w:rsidRDefault="00D40970" w:rsidP="00E646C9">
      <w:pPr>
        <w:numPr>
          <w:ilvl w:val="0"/>
          <w:numId w:val="78"/>
        </w:numPr>
        <w:ind w:left="360"/>
        <w:rPr>
          <w:i/>
        </w:rPr>
      </w:pPr>
      <w:r w:rsidRPr="00D40970">
        <w:rPr>
          <w:i/>
        </w:rPr>
        <w:t>Large C/I Energy Efficient Buildings</w:t>
      </w:r>
    </w:p>
    <w:p w:rsidR="00D40970" w:rsidRPr="00D40970" w:rsidRDefault="00D40970" w:rsidP="00D40970">
      <w:pPr>
        <w:rPr>
          <w:rFonts w:ascii="Century Gothic" w:hAnsi="Century Gothic"/>
          <w:b/>
        </w:rPr>
      </w:pPr>
    </w:p>
    <w:p w:rsidR="00D40970" w:rsidRPr="00D40970" w:rsidRDefault="00D40970" w:rsidP="00D40970">
      <w:pPr>
        <w:rPr>
          <w:rFonts w:ascii="Century Gothic" w:hAnsi="Century Gothic"/>
          <w:b/>
        </w:rPr>
      </w:pPr>
      <w:r w:rsidRPr="00D40970">
        <w:rPr>
          <w:rFonts w:ascii="Century Gothic" w:hAnsi="Century Gothic"/>
          <w:b/>
        </w:rPr>
        <w:lastRenderedPageBreak/>
        <w:t>Non-Cost-Effective Programs</w:t>
      </w:r>
    </w:p>
    <w:p w:rsidR="00D40970" w:rsidRPr="00D40970" w:rsidRDefault="00D40970" w:rsidP="00D40970">
      <w:pPr>
        <w:spacing w:after="60"/>
        <w:rPr>
          <w:b/>
          <w:color w:val="448A99"/>
        </w:rPr>
      </w:pPr>
      <w:r w:rsidRPr="00D40970">
        <w:rPr>
          <w:b/>
          <w:color w:val="448A99"/>
        </w:rPr>
        <w:t>(TRC Ratio &lt; 1.0)</w:t>
      </w:r>
    </w:p>
    <w:p w:rsidR="00D40970" w:rsidRPr="00D40970" w:rsidRDefault="00D40970" w:rsidP="00E646C9">
      <w:pPr>
        <w:numPr>
          <w:ilvl w:val="0"/>
          <w:numId w:val="78"/>
        </w:numPr>
        <w:ind w:left="360"/>
        <w:rPr>
          <w:i/>
        </w:rPr>
      </w:pPr>
      <w:r w:rsidRPr="00D40970">
        <w:rPr>
          <w:i/>
        </w:rPr>
        <w:t>Energy Efficient Products</w:t>
      </w:r>
    </w:p>
    <w:p w:rsidR="00D40970" w:rsidRPr="00D40970" w:rsidRDefault="00D40970" w:rsidP="00E646C9">
      <w:pPr>
        <w:numPr>
          <w:ilvl w:val="0"/>
          <w:numId w:val="78"/>
        </w:numPr>
        <w:ind w:left="360"/>
        <w:rPr>
          <w:i/>
        </w:rPr>
      </w:pPr>
      <w:r w:rsidRPr="00D40970">
        <w:rPr>
          <w:i/>
        </w:rPr>
        <w:t>Residential Home Performance</w:t>
      </w:r>
    </w:p>
    <w:p w:rsidR="00D40970" w:rsidRPr="00D40970" w:rsidRDefault="00D40970" w:rsidP="00E646C9">
      <w:pPr>
        <w:numPr>
          <w:ilvl w:val="0"/>
          <w:numId w:val="78"/>
        </w:numPr>
        <w:ind w:left="360"/>
        <w:rPr>
          <w:i/>
        </w:rPr>
      </w:pPr>
      <w:r w:rsidRPr="00D40970">
        <w:rPr>
          <w:i/>
        </w:rPr>
        <w:t>Residential Low-Income</w:t>
      </w:r>
    </w:p>
    <w:p w:rsidR="00D40970" w:rsidRPr="00D40970" w:rsidRDefault="00D40970" w:rsidP="00E646C9">
      <w:pPr>
        <w:numPr>
          <w:ilvl w:val="0"/>
          <w:numId w:val="78"/>
        </w:numPr>
        <w:ind w:left="360"/>
        <w:rPr>
          <w:i/>
        </w:rPr>
      </w:pPr>
      <w:r w:rsidRPr="00D40970">
        <w:rPr>
          <w:i/>
        </w:rPr>
        <w:t>Small C/I Energy Efficient Equipment</w:t>
      </w:r>
    </w:p>
    <w:p w:rsidR="00D40970" w:rsidRPr="00D40970" w:rsidRDefault="00D40970" w:rsidP="00E646C9">
      <w:pPr>
        <w:numPr>
          <w:ilvl w:val="0"/>
          <w:numId w:val="78"/>
        </w:numPr>
        <w:ind w:left="360"/>
        <w:rPr>
          <w:i/>
        </w:rPr>
      </w:pPr>
      <w:r w:rsidRPr="00D40970">
        <w:rPr>
          <w:i/>
        </w:rPr>
        <w:t>Government and Institutional</w:t>
      </w:r>
    </w:p>
    <w:p w:rsidR="001B2044" w:rsidRPr="001B2044" w:rsidRDefault="00D40970" w:rsidP="00D40970">
      <w:pPr>
        <w:tabs>
          <w:tab w:val="left" w:pos="1803"/>
        </w:tabs>
      </w:pPr>
      <w:r>
        <w:tab/>
      </w:r>
    </w:p>
    <w:p w:rsidR="00950837" w:rsidRDefault="00950837" w:rsidP="00D34B3E">
      <w:pPr>
        <w:pStyle w:val="AppendixAHeading3"/>
      </w:pPr>
      <w:r>
        <w:t>Assumptions and Inputs</w:t>
      </w:r>
    </w:p>
    <w:p w:rsidR="00D40970" w:rsidRDefault="00D40970" w:rsidP="00D40970">
      <w:r w:rsidRPr="00B8757D">
        <w:t>One TRC model template was shared across all four FirstEnergy companies. Despite the similar model, the TRC model calculations were handled independently for each of the four ED</w:t>
      </w:r>
      <w:r>
        <w:t xml:space="preserve">Cs. </w:t>
      </w:r>
      <w:r w:rsidRPr="00B8757D">
        <w:t xml:space="preserve">The </w:t>
      </w:r>
      <w:r>
        <w:t>Penn Power</w:t>
      </w:r>
      <w:r w:rsidRPr="00B8757D">
        <w:t xml:space="preserve"> iteration of the FirstEnergy</w:t>
      </w:r>
      <w:r>
        <w:t xml:space="preserve"> </w:t>
      </w:r>
      <w:r w:rsidRPr="00B8757D">
        <w:t>TRC m</w:t>
      </w:r>
      <w:r>
        <w:t>odel used a discount rate of 11.14</w:t>
      </w:r>
      <w:r w:rsidRPr="00B8757D">
        <w:t>% to compare the NPV of program benefits that will occur later in a measure’s lifetime to the up</w:t>
      </w:r>
      <w:r w:rsidR="00C34CDD">
        <w:t>-</w:t>
      </w:r>
      <w:r w:rsidRPr="00B8757D">
        <w:t>front costs of installation of implementation. This value match</w:t>
      </w:r>
      <w:r w:rsidR="00C34CDD">
        <w:t>es the EDC’s EE&amp;C p</w:t>
      </w:r>
      <w:r>
        <w:t xml:space="preserve">lan on file. </w:t>
      </w:r>
      <w:r w:rsidRPr="00276BF4">
        <w:t>Different values of LLF were used for different sectors, as shown in</w:t>
      </w:r>
      <w:r>
        <w:t xml:space="preserve"> </w:t>
      </w:r>
      <w:r>
        <w:fldChar w:fldCharType="begin"/>
      </w:r>
      <w:r>
        <w:instrText xml:space="preserve"> REF _Ref472446511 \h </w:instrText>
      </w:r>
      <w:r>
        <w:fldChar w:fldCharType="separate"/>
      </w:r>
      <w:r w:rsidR="00C301D0">
        <w:t>Table A-</w:t>
      </w:r>
      <w:r w:rsidR="00C301D0">
        <w:rPr>
          <w:noProof/>
        </w:rPr>
        <w:t>72</w:t>
      </w:r>
      <w:r>
        <w:fldChar w:fldCharType="end"/>
      </w:r>
      <w:r>
        <w:t>.</w:t>
      </w:r>
    </w:p>
    <w:p w:rsidR="00D40970" w:rsidRDefault="00D40970" w:rsidP="00D40970"/>
    <w:p w:rsidR="00D40970" w:rsidRDefault="00D40970" w:rsidP="00D40970">
      <w:pPr>
        <w:pStyle w:val="Caption"/>
      </w:pPr>
      <w:bookmarkStart w:id="907" w:name="_Ref472446511"/>
      <w:bookmarkStart w:id="908" w:name="_Toc472472481"/>
      <w:bookmarkStart w:id="909" w:name="_Toc476842187"/>
      <w:r>
        <w:t>Table A-</w:t>
      </w:r>
      <w:fldSimple w:instr=" SEQ Table_A- \* ARABIC ">
        <w:r w:rsidR="00C301D0">
          <w:rPr>
            <w:noProof/>
          </w:rPr>
          <w:t>72</w:t>
        </w:r>
      </w:fldSimple>
      <w:bookmarkEnd w:id="907"/>
      <w:r>
        <w:t>: Penn Power’s PY7</w:t>
      </w:r>
      <w:r w:rsidRPr="00276BF4">
        <w:t xml:space="preserve"> Discount Rates and LLFs</w:t>
      </w:r>
      <w:bookmarkEnd w:id="908"/>
      <w:bookmarkEnd w:id="909"/>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083"/>
        <w:gridCol w:w="1568"/>
        <w:gridCol w:w="1568"/>
        <w:gridCol w:w="1568"/>
        <w:gridCol w:w="1568"/>
      </w:tblGrid>
      <w:tr w:rsidR="00A874AC" w:rsidRPr="00A96C4C" w:rsidTr="008B741E">
        <w:trPr>
          <w:trHeight w:val="332"/>
          <w:tblHeader/>
        </w:trPr>
        <w:tc>
          <w:tcPr>
            <w:tcW w:w="3083" w:type="dxa"/>
            <w:shd w:val="clear" w:color="000000" w:fill="448A99"/>
            <w:noWrap/>
            <w:vAlign w:val="bottom"/>
            <w:hideMark/>
          </w:tcPr>
          <w:p w:rsidR="00D40970" w:rsidRPr="008A5E9E" w:rsidRDefault="00D40970" w:rsidP="005C1352">
            <w:pPr>
              <w:jc w:val="left"/>
              <w:rPr>
                <w:b/>
                <w:bCs/>
                <w:color w:val="FFFFFF"/>
                <w:sz w:val="20"/>
                <w:szCs w:val="20"/>
              </w:rPr>
            </w:pPr>
            <w:r w:rsidRPr="008A5E9E">
              <w:rPr>
                <w:b/>
                <w:bCs/>
                <w:color w:val="FFFFFF"/>
                <w:sz w:val="20"/>
                <w:szCs w:val="20"/>
              </w:rPr>
              <w:t>Program</w:t>
            </w:r>
          </w:p>
        </w:tc>
        <w:tc>
          <w:tcPr>
            <w:tcW w:w="1568" w:type="dxa"/>
            <w:shd w:val="clear" w:color="000000" w:fill="448A99"/>
            <w:noWrap/>
            <w:vAlign w:val="bottom"/>
            <w:hideMark/>
          </w:tcPr>
          <w:p w:rsidR="00D40970" w:rsidRPr="008A5E9E" w:rsidRDefault="00D40970" w:rsidP="005C1352">
            <w:pPr>
              <w:jc w:val="center"/>
              <w:rPr>
                <w:b/>
                <w:bCs/>
                <w:color w:val="FFFFFF"/>
                <w:sz w:val="20"/>
                <w:szCs w:val="20"/>
              </w:rPr>
            </w:pPr>
            <w:r w:rsidRPr="008A5E9E">
              <w:rPr>
                <w:b/>
                <w:bCs/>
                <w:color w:val="FFFFFF"/>
                <w:sz w:val="20"/>
                <w:szCs w:val="20"/>
              </w:rPr>
              <w:t>Sector</w:t>
            </w:r>
          </w:p>
        </w:tc>
        <w:tc>
          <w:tcPr>
            <w:tcW w:w="1568" w:type="dxa"/>
            <w:shd w:val="clear" w:color="000000" w:fill="448A99"/>
            <w:noWrap/>
            <w:vAlign w:val="bottom"/>
            <w:hideMark/>
          </w:tcPr>
          <w:p w:rsidR="00D40970" w:rsidRPr="008A5E9E" w:rsidRDefault="00D40970" w:rsidP="005C1352">
            <w:pPr>
              <w:jc w:val="center"/>
              <w:rPr>
                <w:b/>
                <w:bCs/>
                <w:color w:val="FFFFFF"/>
                <w:sz w:val="20"/>
                <w:szCs w:val="20"/>
              </w:rPr>
            </w:pPr>
            <w:r w:rsidRPr="008A5E9E">
              <w:rPr>
                <w:b/>
                <w:bCs/>
                <w:color w:val="FFFFFF"/>
                <w:sz w:val="20"/>
                <w:szCs w:val="20"/>
              </w:rPr>
              <w:t>Discount Rate</w:t>
            </w:r>
          </w:p>
        </w:tc>
        <w:tc>
          <w:tcPr>
            <w:tcW w:w="1568" w:type="dxa"/>
            <w:shd w:val="clear" w:color="000000" w:fill="448A99"/>
            <w:vAlign w:val="bottom"/>
            <w:hideMark/>
          </w:tcPr>
          <w:p w:rsidR="00D40970" w:rsidRPr="008A5E9E" w:rsidRDefault="00D40970" w:rsidP="005C1352">
            <w:pPr>
              <w:jc w:val="center"/>
              <w:rPr>
                <w:b/>
                <w:bCs/>
                <w:color w:val="FFFFFF"/>
                <w:sz w:val="20"/>
                <w:szCs w:val="20"/>
              </w:rPr>
            </w:pPr>
            <w:r w:rsidRPr="008A5E9E">
              <w:rPr>
                <w:b/>
                <w:bCs/>
                <w:color w:val="FFFFFF"/>
                <w:sz w:val="20"/>
                <w:szCs w:val="20"/>
              </w:rPr>
              <w:t>Energy LLF</w:t>
            </w:r>
          </w:p>
        </w:tc>
        <w:tc>
          <w:tcPr>
            <w:tcW w:w="1568" w:type="dxa"/>
            <w:shd w:val="clear" w:color="000000" w:fill="448A99"/>
            <w:vAlign w:val="bottom"/>
            <w:hideMark/>
          </w:tcPr>
          <w:p w:rsidR="00D40970" w:rsidRPr="008A5E9E" w:rsidRDefault="00D40970" w:rsidP="005C1352">
            <w:pPr>
              <w:jc w:val="center"/>
              <w:rPr>
                <w:b/>
                <w:bCs/>
                <w:color w:val="FFFFFF"/>
                <w:sz w:val="20"/>
                <w:szCs w:val="20"/>
              </w:rPr>
            </w:pPr>
            <w:r w:rsidRPr="008A5E9E">
              <w:rPr>
                <w:b/>
                <w:bCs/>
                <w:color w:val="FFFFFF"/>
                <w:sz w:val="20"/>
                <w:szCs w:val="20"/>
              </w:rPr>
              <w:t>Demand LLF</w:t>
            </w:r>
          </w:p>
        </w:tc>
      </w:tr>
      <w:tr w:rsidR="00E7173E" w:rsidRPr="00A96C4C" w:rsidTr="0081757B">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40970" w:rsidRPr="00A81289" w:rsidRDefault="00D40970" w:rsidP="005C1352">
            <w:pPr>
              <w:jc w:val="left"/>
              <w:rPr>
                <w:bCs/>
                <w:color w:val="000000"/>
                <w:sz w:val="20"/>
                <w:szCs w:val="20"/>
              </w:rPr>
            </w:pPr>
            <w:r w:rsidRPr="00FB6015">
              <w:rPr>
                <w:color w:val="000000"/>
                <w:sz w:val="20"/>
                <w:szCs w:val="20"/>
              </w:rPr>
              <w:t>Appliance Turn-In</w:t>
            </w:r>
          </w:p>
        </w:tc>
        <w:tc>
          <w:tcPr>
            <w:tcW w:w="1568" w:type="dxa"/>
            <w:shd w:val="clear" w:color="auto" w:fill="auto"/>
            <w:noWrap/>
            <w:vAlign w:val="center"/>
          </w:tcPr>
          <w:p w:rsidR="00D40970" w:rsidRPr="00A96C4C" w:rsidRDefault="00D40970" w:rsidP="005C1352">
            <w:pPr>
              <w:jc w:val="center"/>
              <w:rPr>
                <w:color w:val="000000"/>
                <w:sz w:val="20"/>
                <w:szCs w:val="20"/>
              </w:rPr>
            </w:pPr>
            <w:r w:rsidRPr="00A96C4C">
              <w:rPr>
                <w:color w:val="000000"/>
                <w:sz w:val="20"/>
                <w:szCs w:val="20"/>
              </w:rPr>
              <w:t>Residential</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11.14</w:t>
            </w:r>
            <w:r w:rsidRPr="00A96C4C">
              <w:rPr>
                <w:color w:val="000000"/>
                <w:sz w:val="20"/>
                <w:szCs w:val="20"/>
              </w:rPr>
              <w:t>%</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9.49</w:t>
            </w:r>
            <w:r w:rsidRPr="00E764E7">
              <w:rPr>
                <w:color w:val="000000"/>
                <w:sz w:val="20"/>
                <w:szCs w:val="20"/>
              </w:rPr>
              <w:t>%</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9.49</w:t>
            </w:r>
            <w:r w:rsidRPr="00E764E7">
              <w:rPr>
                <w:color w:val="000000"/>
                <w:sz w:val="20"/>
                <w:szCs w:val="20"/>
              </w:rPr>
              <w:t>%</w:t>
            </w:r>
          </w:p>
        </w:tc>
      </w:tr>
      <w:tr w:rsidR="00A874AC" w:rsidRPr="00A96C4C" w:rsidTr="008B741E">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40970" w:rsidRPr="00A81289" w:rsidRDefault="00D40970" w:rsidP="005C1352">
            <w:pPr>
              <w:jc w:val="left"/>
              <w:rPr>
                <w:bCs/>
                <w:color w:val="000000"/>
                <w:sz w:val="20"/>
                <w:szCs w:val="20"/>
              </w:rPr>
            </w:pPr>
            <w:r w:rsidRPr="00FB6015">
              <w:rPr>
                <w:color w:val="000000"/>
                <w:sz w:val="20"/>
                <w:szCs w:val="20"/>
              </w:rPr>
              <w:t>Efficient Products</w:t>
            </w:r>
          </w:p>
        </w:tc>
        <w:tc>
          <w:tcPr>
            <w:tcW w:w="1568" w:type="dxa"/>
            <w:shd w:val="clear" w:color="auto" w:fill="D2EAF1"/>
            <w:noWrap/>
            <w:vAlign w:val="center"/>
          </w:tcPr>
          <w:p w:rsidR="00D40970" w:rsidRPr="00A96C4C" w:rsidRDefault="00D40970" w:rsidP="005C1352">
            <w:pPr>
              <w:jc w:val="center"/>
              <w:rPr>
                <w:color w:val="000000"/>
                <w:sz w:val="20"/>
                <w:szCs w:val="20"/>
              </w:rPr>
            </w:pPr>
            <w:r w:rsidRPr="00A96C4C">
              <w:rPr>
                <w:color w:val="000000"/>
                <w:sz w:val="20"/>
                <w:szCs w:val="20"/>
              </w:rPr>
              <w:t>Residential</w:t>
            </w:r>
          </w:p>
        </w:tc>
        <w:tc>
          <w:tcPr>
            <w:tcW w:w="1568" w:type="dxa"/>
            <w:shd w:val="clear" w:color="auto" w:fill="D2EAF1"/>
            <w:noWrap/>
            <w:vAlign w:val="center"/>
          </w:tcPr>
          <w:p w:rsidR="00D40970" w:rsidRPr="007C7A24" w:rsidRDefault="00D40970" w:rsidP="005C1352">
            <w:pPr>
              <w:jc w:val="center"/>
              <w:rPr>
                <w:color w:val="000000"/>
                <w:sz w:val="20"/>
                <w:szCs w:val="20"/>
              </w:rPr>
            </w:pPr>
            <w:r>
              <w:rPr>
                <w:color w:val="000000"/>
                <w:sz w:val="20"/>
                <w:szCs w:val="20"/>
              </w:rPr>
              <w:t>11.14</w:t>
            </w:r>
            <w:r w:rsidRPr="00A96C4C">
              <w:rPr>
                <w:color w:val="000000"/>
                <w:sz w:val="20"/>
                <w:szCs w:val="20"/>
              </w:rPr>
              <w:t>%</w:t>
            </w:r>
          </w:p>
        </w:tc>
        <w:tc>
          <w:tcPr>
            <w:tcW w:w="1568" w:type="dxa"/>
            <w:shd w:val="clear" w:color="auto" w:fill="D2EAF1"/>
            <w:noWrap/>
            <w:vAlign w:val="center"/>
          </w:tcPr>
          <w:p w:rsidR="00D40970" w:rsidRPr="007C7A24" w:rsidRDefault="00D40970" w:rsidP="005C1352">
            <w:pPr>
              <w:jc w:val="center"/>
              <w:rPr>
                <w:color w:val="000000"/>
                <w:sz w:val="20"/>
                <w:szCs w:val="20"/>
              </w:rPr>
            </w:pPr>
            <w:r>
              <w:rPr>
                <w:color w:val="000000"/>
                <w:sz w:val="20"/>
                <w:szCs w:val="20"/>
              </w:rPr>
              <w:t>9.49</w:t>
            </w:r>
            <w:r w:rsidRPr="00E764E7">
              <w:rPr>
                <w:color w:val="000000"/>
                <w:sz w:val="20"/>
                <w:szCs w:val="20"/>
              </w:rPr>
              <w:t>%</w:t>
            </w:r>
          </w:p>
        </w:tc>
        <w:tc>
          <w:tcPr>
            <w:tcW w:w="1568" w:type="dxa"/>
            <w:shd w:val="clear" w:color="auto" w:fill="D2EAF1"/>
            <w:noWrap/>
            <w:vAlign w:val="center"/>
          </w:tcPr>
          <w:p w:rsidR="00D40970" w:rsidRPr="007C7A24" w:rsidRDefault="00D40970" w:rsidP="005C1352">
            <w:pPr>
              <w:jc w:val="center"/>
              <w:rPr>
                <w:color w:val="000000"/>
                <w:sz w:val="20"/>
                <w:szCs w:val="20"/>
              </w:rPr>
            </w:pPr>
            <w:r>
              <w:rPr>
                <w:color w:val="000000"/>
                <w:sz w:val="20"/>
                <w:szCs w:val="20"/>
              </w:rPr>
              <w:t>9.49</w:t>
            </w:r>
            <w:r w:rsidRPr="00E764E7">
              <w:rPr>
                <w:color w:val="000000"/>
                <w:sz w:val="20"/>
                <w:szCs w:val="20"/>
              </w:rPr>
              <w:t>%</w:t>
            </w:r>
          </w:p>
        </w:tc>
      </w:tr>
      <w:tr w:rsidR="00E7173E" w:rsidRPr="00A96C4C" w:rsidTr="0081757B">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40970" w:rsidRPr="00A81289" w:rsidRDefault="00D40970" w:rsidP="005C1352">
            <w:pPr>
              <w:jc w:val="left"/>
              <w:rPr>
                <w:bCs/>
                <w:color w:val="000000"/>
                <w:sz w:val="20"/>
                <w:szCs w:val="20"/>
              </w:rPr>
            </w:pPr>
            <w:r w:rsidRPr="00FB6015">
              <w:rPr>
                <w:color w:val="000000"/>
                <w:sz w:val="20"/>
                <w:szCs w:val="20"/>
              </w:rPr>
              <w:t>Home Performance</w:t>
            </w:r>
          </w:p>
        </w:tc>
        <w:tc>
          <w:tcPr>
            <w:tcW w:w="1568" w:type="dxa"/>
            <w:shd w:val="clear" w:color="auto" w:fill="auto"/>
            <w:noWrap/>
            <w:vAlign w:val="center"/>
          </w:tcPr>
          <w:p w:rsidR="00D40970" w:rsidRPr="00A96C4C" w:rsidRDefault="00D40970" w:rsidP="005C1352">
            <w:pPr>
              <w:jc w:val="center"/>
              <w:rPr>
                <w:color w:val="000000"/>
                <w:sz w:val="20"/>
                <w:szCs w:val="20"/>
              </w:rPr>
            </w:pPr>
            <w:r w:rsidRPr="00A96C4C">
              <w:rPr>
                <w:color w:val="000000"/>
                <w:sz w:val="20"/>
                <w:szCs w:val="20"/>
              </w:rPr>
              <w:t>Residential</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11.14</w:t>
            </w:r>
            <w:r w:rsidRPr="00A96C4C">
              <w:rPr>
                <w:color w:val="000000"/>
                <w:sz w:val="20"/>
                <w:szCs w:val="20"/>
              </w:rPr>
              <w:t>%</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9.49</w:t>
            </w:r>
            <w:r w:rsidRPr="00E764E7">
              <w:rPr>
                <w:color w:val="000000"/>
                <w:sz w:val="20"/>
                <w:szCs w:val="20"/>
              </w:rPr>
              <w:t>%</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9.49</w:t>
            </w:r>
            <w:r w:rsidRPr="00E764E7">
              <w:rPr>
                <w:color w:val="000000"/>
                <w:sz w:val="20"/>
                <w:szCs w:val="20"/>
              </w:rPr>
              <w:t>%</w:t>
            </w:r>
          </w:p>
        </w:tc>
      </w:tr>
      <w:tr w:rsidR="00A874AC" w:rsidRPr="00A96C4C" w:rsidTr="008B741E">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40970" w:rsidRPr="00A81289" w:rsidRDefault="00D40970" w:rsidP="005C1352">
            <w:pPr>
              <w:jc w:val="left"/>
              <w:rPr>
                <w:bCs/>
                <w:color w:val="000000"/>
                <w:sz w:val="20"/>
                <w:szCs w:val="20"/>
              </w:rPr>
            </w:pPr>
            <w:r w:rsidRPr="00FB6015">
              <w:rPr>
                <w:color w:val="000000"/>
                <w:sz w:val="20"/>
                <w:szCs w:val="20"/>
              </w:rPr>
              <w:t>Low Income</w:t>
            </w:r>
          </w:p>
        </w:tc>
        <w:tc>
          <w:tcPr>
            <w:tcW w:w="1568" w:type="dxa"/>
            <w:shd w:val="clear" w:color="auto" w:fill="D2EAF1"/>
            <w:noWrap/>
            <w:vAlign w:val="center"/>
          </w:tcPr>
          <w:p w:rsidR="00D40970" w:rsidRPr="00A96C4C" w:rsidRDefault="00D40970" w:rsidP="005C1352">
            <w:pPr>
              <w:jc w:val="center"/>
              <w:rPr>
                <w:color w:val="000000"/>
                <w:sz w:val="20"/>
                <w:szCs w:val="20"/>
              </w:rPr>
            </w:pPr>
            <w:r w:rsidRPr="00A96C4C">
              <w:rPr>
                <w:color w:val="000000"/>
                <w:sz w:val="20"/>
                <w:szCs w:val="20"/>
              </w:rPr>
              <w:t>Residential</w:t>
            </w:r>
          </w:p>
        </w:tc>
        <w:tc>
          <w:tcPr>
            <w:tcW w:w="1568" w:type="dxa"/>
            <w:shd w:val="clear" w:color="auto" w:fill="D2EAF1"/>
            <w:noWrap/>
            <w:vAlign w:val="center"/>
          </w:tcPr>
          <w:p w:rsidR="00D40970" w:rsidRPr="007C7A24" w:rsidRDefault="00D40970" w:rsidP="005C1352">
            <w:pPr>
              <w:jc w:val="center"/>
              <w:rPr>
                <w:color w:val="000000"/>
                <w:sz w:val="20"/>
                <w:szCs w:val="20"/>
              </w:rPr>
            </w:pPr>
            <w:r>
              <w:rPr>
                <w:color w:val="000000"/>
                <w:sz w:val="20"/>
                <w:szCs w:val="20"/>
              </w:rPr>
              <w:t>11.14</w:t>
            </w:r>
            <w:r w:rsidRPr="00A96C4C">
              <w:rPr>
                <w:color w:val="000000"/>
                <w:sz w:val="20"/>
                <w:szCs w:val="20"/>
              </w:rPr>
              <w:t>%</w:t>
            </w:r>
          </w:p>
        </w:tc>
        <w:tc>
          <w:tcPr>
            <w:tcW w:w="1568" w:type="dxa"/>
            <w:shd w:val="clear" w:color="auto" w:fill="D2EAF1"/>
            <w:noWrap/>
            <w:vAlign w:val="center"/>
          </w:tcPr>
          <w:p w:rsidR="00D40970" w:rsidRPr="007C7A24" w:rsidRDefault="00D40970" w:rsidP="005C1352">
            <w:pPr>
              <w:jc w:val="center"/>
              <w:rPr>
                <w:color w:val="000000"/>
                <w:sz w:val="20"/>
                <w:szCs w:val="20"/>
              </w:rPr>
            </w:pPr>
            <w:r>
              <w:rPr>
                <w:color w:val="000000"/>
                <w:sz w:val="20"/>
                <w:szCs w:val="20"/>
              </w:rPr>
              <w:t>9.49</w:t>
            </w:r>
            <w:r w:rsidRPr="00E764E7">
              <w:rPr>
                <w:color w:val="000000"/>
                <w:sz w:val="20"/>
                <w:szCs w:val="20"/>
              </w:rPr>
              <w:t>%</w:t>
            </w:r>
          </w:p>
        </w:tc>
        <w:tc>
          <w:tcPr>
            <w:tcW w:w="1568" w:type="dxa"/>
            <w:shd w:val="clear" w:color="auto" w:fill="D2EAF1"/>
            <w:noWrap/>
            <w:vAlign w:val="center"/>
          </w:tcPr>
          <w:p w:rsidR="00D40970" w:rsidRPr="007C7A24" w:rsidRDefault="00D40970" w:rsidP="005C1352">
            <w:pPr>
              <w:jc w:val="center"/>
              <w:rPr>
                <w:color w:val="000000"/>
                <w:sz w:val="20"/>
                <w:szCs w:val="20"/>
              </w:rPr>
            </w:pPr>
            <w:r>
              <w:rPr>
                <w:color w:val="000000"/>
                <w:sz w:val="20"/>
                <w:szCs w:val="20"/>
              </w:rPr>
              <w:t>9.49</w:t>
            </w:r>
            <w:r w:rsidRPr="00E764E7">
              <w:rPr>
                <w:color w:val="000000"/>
                <w:sz w:val="20"/>
                <w:szCs w:val="20"/>
              </w:rPr>
              <w:t>%</w:t>
            </w:r>
          </w:p>
        </w:tc>
      </w:tr>
      <w:tr w:rsidR="00E7173E" w:rsidRPr="00A96C4C" w:rsidTr="0081757B">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40970" w:rsidRPr="00A81289" w:rsidRDefault="00D40970" w:rsidP="005C1352">
            <w:pPr>
              <w:jc w:val="left"/>
              <w:rPr>
                <w:bCs/>
                <w:color w:val="000000"/>
                <w:sz w:val="20"/>
                <w:szCs w:val="20"/>
              </w:rPr>
            </w:pPr>
            <w:r w:rsidRPr="00FB6015">
              <w:rPr>
                <w:color w:val="000000"/>
                <w:sz w:val="20"/>
                <w:szCs w:val="20"/>
              </w:rPr>
              <w:t>Small C/I Equipment</w:t>
            </w:r>
          </w:p>
        </w:tc>
        <w:tc>
          <w:tcPr>
            <w:tcW w:w="1568" w:type="dxa"/>
            <w:shd w:val="clear" w:color="auto" w:fill="auto"/>
            <w:noWrap/>
            <w:vAlign w:val="center"/>
          </w:tcPr>
          <w:p w:rsidR="00D40970" w:rsidRPr="00A96C4C" w:rsidRDefault="00D40970" w:rsidP="005C1352">
            <w:pPr>
              <w:jc w:val="center"/>
              <w:rPr>
                <w:color w:val="000000"/>
                <w:sz w:val="20"/>
                <w:szCs w:val="20"/>
              </w:rPr>
            </w:pPr>
            <w:r>
              <w:rPr>
                <w:color w:val="000000"/>
                <w:sz w:val="20"/>
                <w:szCs w:val="20"/>
              </w:rPr>
              <w:t>Non-residential</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11.14</w:t>
            </w:r>
            <w:r w:rsidRPr="00A96C4C">
              <w:rPr>
                <w:color w:val="000000"/>
                <w:sz w:val="20"/>
                <w:szCs w:val="20"/>
              </w:rPr>
              <w:t>%</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5.45</w:t>
            </w:r>
            <w:r w:rsidRPr="00E764E7">
              <w:rPr>
                <w:color w:val="000000"/>
                <w:sz w:val="20"/>
                <w:szCs w:val="20"/>
              </w:rPr>
              <w:t>%</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5.45</w:t>
            </w:r>
            <w:r w:rsidRPr="00E764E7">
              <w:rPr>
                <w:color w:val="000000"/>
                <w:sz w:val="20"/>
                <w:szCs w:val="20"/>
              </w:rPr>
              <w:t>%</w:t>
            </w:r>
          </w:p>
        </w:tc>
      </w:tr>
      <w:tr w:rsidR="00A874AC" w:rsidRPr="00A96C4C" w:rsidTr="008B741E">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40970" w:rsidRPr="00A81289" w:rsidRDefault="00D40970" w:rsidP="005C1352">
            <w:pPr>
              <w:jc w:val="left"/>
              <w:rPr>
                <w:bCs/>
                <w:color w:val="000000"/>
                <w:sz w:val="20"/>
                <w:szCs w:val="20"/>
              </w:rPr>
            </w:pPr>
            <w:r w:rsidRPr="00FB6015">
              <w:rPr>
                <w:color w:val="000000"/>
                <w:sz w:val="20"/>
                <w:szCs w:val="20"/>
              </w:rPr>
              <w:t>Small C/I Buildings</w:t>
            </w:r>
          </w:p>
        </w:tc>
        <w:tc>
          <w:tcPr>
            <w:tcW w:w="1568" w:type="dxa"/>
            <w:shd w:val="clear" w:color="auto" w:fill="D2EAF1"/>
            <w:noWrap/>
            <w:vAlign w:val="center"/>
          </w:tcPr>
          <w:p w:rsidR="00D40970" w:rsidRPr="00A96C4C" w:rsidRDefault="00D40970" w:rsidP="005C1352">
            <w:pPr>
              <w:jc w:val="center"/>
              <w:rPr>
                <w:color w:val="000000"/>
                <w:sz w:val="20"/>
                <w:szCs w:val="20"/>
              </w:rPr>
            </w:pPr>
            <w:r>
              <w:rPr>
                <w:color w:val="000000"/>
                <w:sz w:val="20"/>
                <w:szCs w:val="20"/>
              </w:rPr>
              <w:t>Non-residential</w:t>
            </w:r>
          </w:p>
        </w:tc>
        <w:tc>
          <w:tcPr>
            <w:tcW w:w="1568" w:type="dxa"/>
            <w:shd w:val="clear" w:color="auto" w:fill="D2EAF1"/>
            <w:noWrap/>
            <w:vAlign w:val="center"/>
          </w:tcPr>
          <w:p w:rsidR="00D40970" w:rsidRPr="007C7A24" w:rsidRDefault="00D40970" w:rsidP="005C1352">
            <w:pPr>
              <w:jc w:val="center"/>
              <w:rPr>
                <w:color w:val="000000"/>
                <w:sz w:val="20"/>
                <w:szCs w:val="20"/>
              </w:rPr>
            </w:pPr>
            <w:r>
              <w:rPr>
                <w:color w:val="000000"/>
                <w:sz w:val="20"/>
                <w:szCs w:val="20"/>
              </w:rPr>
              <w:t>11.14</w:t>
            </w:r>
            <w:r w:rsidRPr="00A96C4C">
              <w:rPr>
                <w:color w:val="000000"/>
                <w:sz w:val="20"/>
                <w:szCs w:val="20"/>
              </w:rPr>
              <w:t>%</w:t>
            </w:r>
          </w:p>
        </w:tc>
        <w:tc>
          <w:tcPr>
            <w:tcW w:w="1568" w:type="dxa"/>
            <w:shd w:val="clear" w:color="auto" w:fill="D2EAF1"/>
            <w:noWrap/>
            <w:vAlign w:val="center"/>
          </w:tcPr>
          <w:p w:rsidR="00D40970" w:rsidRPr="007C7A24" w:rsidRDefault="00D40970" w:rsidP="005C1352">
            <w:pPr>
              <w:jc w:val="center"/>
              <w:rPr>
                <w:color w:val="000000"/>
                <w:sz w:val="20"/>
                <w:szCs w:val="20"/>
              </w:rPr>
            </w:pPr>
            <w:r>
              <w:rPr>
                <w:color w:val="000000"/>
                <w:sz w:val="20"/>
                <w:szCs w:val="20"/>
              </w:rPr>
              <w:t>5.45</w:t>
            </w:r>
            <w:r w:rsidRPr="00E764E7">
              <w:rPr>
                <w:color w:val="000000"/>
                <w:sz w:val="20"/>
                <w:szCs w:val="20"/>
              </w:rPr>
              <w:t>%</w:t>
            </w:r>
          </w:p>
        </w:tc>
        <w:tc>
          <w:tcPr>
            <w:tcW w:w="1568" w:type="dxa"/>
            <w:shd w:val="clear" w:color="auto" w:fill="D2EAF1"/>
            <w:noWrap/>
            <w:vAlign w:val="center"/>
          </w:tcPr>
          <w:p w:rsidR="00D40970" w:rsidRPr="007C7A24" w:rsidRDefault="00D40970" w:rsidP="005C1352">
            <w:pPr>
              <w:jc w:val="center"/>
              <w:rPr>
                <w:color w:val="000000"/>
                <w:sz w:val="20"/>
                <w:szCs w:val="20"/>
              </w:rPr>
            </w:pPr>
            <w:r>
              <w:rPr>
                <w:color w:val="000000"/>
                <w:sz w:val="20"/>
                <w:szCs w:val="20"/>
              </w:rPr>
              <w:t>5.45</w:t>
            </w:r>
            <w:r w:rsidRPr="00E764E7">
              <w:rPr>
                <w:color w:val="000000"/>
                <w:sz w:val="20"/>
                <w:szCs w:val="20"/>
              </w:rPr>
              <w:t>%</w:t>
            </w:r>
          </w:p>
        </w:tc>
      </w:tr>
      <w:tr w:rsidR="00E7173E" w:rsidRPr="00A96C4C" w:rsidTr="0081757B">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40970" w:rsidRPr="00A81289" w:rsidRDefault="00D40970" w:rsidP="005C1352">
            <w:pPr>
              <w:jc w:val="left"/>
              <w:rPr>
                <w:bCs/>
                <w:color w:val="000000"/>
                <w:sz w:val="20"/>
                <w:szCs w:val="20"/>
              </w:rPr>
            </w:pPr>
            <w:r w:rsidRPr="00FB6015">
              <w:rPr>
                <w:color w:val="000000"/>
                <w:sz w:val="20"/>
                <w:szCs w:val="20"/>
              </w:rPr>
              <w:t>Large C/I Equipment</w:t>
            </w:r>
          </w:p>
        </w:tc>
        <w:tc>
          <w:tcPr>
            <w:tcW w:w="1568" w:type="dxa"/>
            <w:shd w:val="clear" w:color="auto" w:fill="auto"/>
            <w:noWrap/>
            <w:vAlign w:val="center"/>
          </w:tcPr>
          <w:p w:rsidR="00D40970" w:rsidRPr="00A96C4C" w:rsidRDefault="00D40970" w:rsidP="005C1352">
            <w:pPr>
              <w:jc w:val="center"/>
              <w:rPr>
                <w:color w:val="000000"/>
                <w:sz w:val="20"/>
                <w:szCs w:val="20"/>
              </w:rPr>
            </w:pPr>
            <w:r>
              <w:rPr>
                <w:color w:val="000000"/>
                <w:sz w:val="20"/>
                <w:szCs w:val="20"/>
              </w:rPr>
              <w:t>Non-residential</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11.14</w:t>
            </w:r>
            <w:r w:rsidRPr="00A96C4C">
              <w:rPr>
                <w:color w:val="000000"/>
                <w:sz w:val="20"/>
                <w:szCs w:val="20"/>
              </w:rPr>
              <w:t>%</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5.45</w:t>
            </w:r>
            <w:r w:rsidRPr="00E764E7">
              <w:rPr>
                <w:color w:val="000000"/>
                <w:sz w:val="20"/>
                <w:szCs w:val="20"/>
              </w:rPr>
              <w:t>%</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5.45</w:t>
            </w:r>
            <w:r w:rsidRPr="00E764E7">
              <w:rPr>
                <w:color w:val="000000"/>
                <w:sz w:val="20"/>
                <w:szCs w:val="20"/>
              </w:rPr>
              <w:t>%</w:t>
            </w:r>
          </w:p>
        </w:tc>
      </w:tr>
      <w:tr w:rsidR="00A874AC" w:rsidRPr="00A96C4C" w:rsidTr="008B741E">
        <w:trPr>
          <w:trHeight w:val="346"/>
        </w:trPr>
        <w:tc>
          <w:tcPr>
            <w:tcW w:w="3083" w:type="dxa"/>
            <w:tcBorders>
              <w:top w:val="nil"/>
              <w:left w:val="single" w:sz="8" w:space="0" w:color="448A99"/>
              <w:bottom w:val="single" w:sz="8" w:space="0" w:color="448A99"/>
              <w:right w:val="single" w:sz="8" w:space="0" w:color="448A99"/>
            </w:tcBorders>
            <w:shd w:val="clear" w:color="auto" w:fill="D2EAF1"/>
            <w:vAlign w:val="center"/>
          </w:tcPr>
          <w:p w:rsidR="00D40970" w:rsidRPr="00A81289" w:rsidRDefault="00D40970" w:rsidP="005C1352">
            <w:pPr>
              <w:jc w:val="left"/>
              <w:rPr>
                <w:bCs/>
                <w:color w:val="000000"/>
                <w:sz w:val="20"/>
                <w:szCs w:val="20"/>
              </w:rPr>
            </w:pPr>
            <w:r w:rsidRPr="00FB6015">
              <w:rPr>
                <w:color w:val="000000"/>
                <w:sz w:val="20"/>
                <w:szCs w:val="20"/>
              </w:rPr>
              <w:t>Large C/I Buildings</w:t>
            </w:r>
          </w:p>
        </w:tc>
        <w:tc>
          <w:tcPr>
            <w:tcW w:w="1568" w:type="dxa"/>
            <w:shd w:val="clear" w:color="auto" w:fill="D2EAF1"/>
            <w:noWrap/>
            <w:vAlign w:val="center"/>
          </w:tcPr>
          <w:p w:rsidR="00D40970" w:rsidRPr="00A96C4C" w:rsidRDefault="00D40970" w:rsidP="005C1352">
            <w:pPr>
              <w:jc w:val="center"/>
              <w:rPr>
                <w:color w:val="000000"/>
                <w:sz w:val="20"/>
                <w:szCs w:val="20"/>
              </w:rPr>
            </w:pPr>
            <w:r>
              <w:rPr>
                <w:color w:val="000000"/>
                <w:sz w:val="20"/>
                <w:szCs w:val="20"/>
              </w:rPr>
              <w:t>Non-residential</w:t>
            </w:r>
          </w:p>
        </w:tc>
        <w:tc>
          <w:tcPr>
            <w:tcW w:w="1568" w:type="dxa"/>
            <w:shd w:val="clear" w:color="auto" w:fill="D2EAF1"/>
            <w:noWrap/>
            <w:vAlign w:val="center"/>
          </w:tcPr>
          <w:p w:rsidR="00D40970" w:rsidRPr="007C7A24" w:rsidRDefault="00D40970" w:rsidP="005C1352">
            <w:pPr>
              <w:jc w:val="center"/>
              <w:rPr>
                <w:color w:val="000000"/>
                <w:sz w:val="20"/>
                <w:szCs w:val="20"/>
              </w:rPr>
            </w:pPr>
            <w:r>
              <w:rPr>
                <w:color w:val="000000"/>
                <w:sz w:val="20"/>
                <w:szCs w:val="20"/>
              </w:rPr>
              <w:t>11.14</w:t>
            </w:r>
            <w:r w:rsidRPr="00A96C4C">
              <w:rPr>
                <w:color w:val="000000"/>
                <w:sz w:val="20"/>
                <w:szCs w:val="20"/>
              </w:rPr>
              <w:t>%</w:t>
            </w:r>
          </w:p>
        </w:tc>
        <w:tc>
          <w:tcPr>
            <w:tcW w:w="1568" w:type="dxa"/>
            <w:shd w:val="clear" w:color="auto" w:fill="D2EAF1"/>
            <w:noWrap/>
            <w:vAlign w:val="center"/>
          </w:tcPr>
          <w:p w:rsidR="00D40970" w:rsidRPr="007C7A24" w:rsidRDefault="00D40970" w:rsidP="005C1352">
            <w:pPr>
              <w:jc w:val="center"/>
              <w:rPr>
                <w:color w:val="000000"/>
                <w:sz w:val="20"/>
                <w:szCs w:val="20"/>
              </w:rPr>
            </w:pPr>
            <w:r>
              <w:rPr>
                <w:color w:val="000000"/>
                <w:sz w:val="20"/>
                <w:szCs w:val="20"/>
              </w:rPr>
              <w:t>5.45</w:t>
            </w:r>
            <w:r w:rsidRPr="00E764E7">
              <w:rPr>
                <w:color w:val="000000"/>
                <w:sz w:val="20"/>
                <w:szCs w:val="20"/>
              </w:rPr>
              <w:t>%</w:t>
            </w:r>
          </w:p>
        </w:tc>
        <w:tc>
          <w:tcPr>
            <w:tcW w:w="1568" w:type="dxa"/>
            <w:shd w:val="clear" w:color="auto" w:fill="D2EAF1"/>
            <w:noWrap/>
            <w:vAlign w:val="center"/>
          </w:tcPr>
          <w:p w:rsidR="00D40970" w:rsidRPr="007C7A24" w:rsidRDefault="00D40970" w:rsidP="005C1352">
            <w:pPr>
              <w:jc w:val="center"/>
              <w:rPr>
                <w:color w:val="000000"/>
                <w:sz w:val="20"/>
                <w:szCs w:val="20"/>
              </w:rPr>
            </w:pPr>
            <w:r>
              <w:rPr>
                <w:color w:val="000000"/>
                <w:sz w:val="20"/>
                <w:szCs w:val="20"/>
              </w:rPr>
              <w:t>5.45</w:t>
            </w:r>
            <w:r w:rsidRPr="00E764E7">
              <w:rPr>
                <w:color w:val="000000"/>
                <w:sz w:val="20"/>
                <w:szCs w:val="20"/>
              </w:rPr>
              <w:t>%</w:t>
            </w:r>
          </w:p>
        </w:tc>
      </w:tr>
      <w:tr w:rsidR="00E7173E" w:rsidRPr="00A96C4C" w:rsidTr="0081757B">
        <w:trPr>
          <w:trHeight w:val="346"/>
        </w:trPr>
        <w:tc>
          <w:tcPr>
            <w:tcW w:w="3083" w:type="dxa"/>
            <w:tcBorders>
              <w:top w:val="nil"/>
              <w:left w:val="single" w:sz="8" w:space="0" w:color="448A99"/>
              <w:bottom w:val="single" w:sz="8" w:space="0" w:color="448A99"/>
              <w:right w:val="single" w:sz="8" w:space="0" w:color="448A99"/>
            </w:tcBorders>
            <w:shd w:val="clear" w:color="auto" w:fill="auto"/>
            <w:vAlign w:val="center"/>
          </w:tcPr>
          <w:p w:rsidR="00D40970" w:rsidRPr="00A81289" w:rsidRDefault="00D40970" w:rsidP="005C1352">
            <w:pPr>
              <w:jc w:val="left"/>
              <w:rPr>
                <w:bCs/>
                <w:color w:val="000000"/>
                <w:sz w:val="20"/>
                <w:szCs w:val="20"/>
              </w:rPr>
            </w:pPr>
            <w:r w:rsidRPr="00FB6015">
              <w:rPr>
                <w:color w:val="000000"/>
                <w:sz w:val="20"/>
                <w:szCs w:val="20"/>
              </w:rPr>
              <w:t>Gov./Institutional</w:t>
            </w:r>
          </w:p>
        </w:tc>
        <w:tc>
          <w:tcPr>
            <w:tcW w:w="1568" w:type="dxa"/>
            <w:shd w:val="clear" w:color="auto" w:fill="auto"/>
            <w:noWrap/>
            <w:vAlign w:val="center"/>
          </w:tcPr>
          <w:p w:rsidR="00D40970" w:rsidRPr="00A96C4C" w:rsidRDefault="00D40970" w:rsidP="005C1352">
            <w:pPr>
              <w:jc w:val="center"/>
              <w:rPr>
                <w:color w:val="000000"/>
                <w:sz w:val="20"/>
                <w:szCs w:val="20"/>
              </w:rPr>
            </w:pPr>
            <w:r>
              <w:rPr>
                <w:color w:val="000000"/>
                <w:sz w:val="20"/>
                <w:szCs w:val="20"/>
              </w:rPr>
              <w:t>Non-residential</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11.14</w:t>
            </w:r>
            <w:r w:rsidRPr="00A96C4C">
              <w:rPr>
                <w:color w:val="000000"/>
                <w:sz w:val="20"/>
                <w:szCs w:val="20"/>
              </w:rPr>
              <w:t>%</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5.45</w:t>
            </w:r>
            <w:r w:rsidRPr="00E764E7">
              <w:rPr>
                <w:color w:val="000000"/>
                <w:sz w:val="20"/>
                <w:szCs w:val="20"/>
              </w:rPr>
              <w:t>%</w:t>
            </w:r>
          </w:p>
        </w:tc>
        <w:tc>
          <w:tcPr>
            <w:tcW w:w="1568" w:type="dxa"/>
            <w:shd w:val="clear" w:color="auto" w:fill="auto"/>
            <w:noWrap/>
            <w:vAlign w:val="center"/>
          </w:tcPr>
          <w:p w:rsidR="00D40970" w:rsidRPr="007C7A24" w:rsidRDefault="00D40970" w:rsidP="005C1352">
            <w:pPr>
              <w:jc w:val="center"/>
              <w:rPr>
                <w:color w:val="000000"/>
                <w:sz w:val="20"/>
                <w:szCs w:val="20"/>
              </w:rPr>
            </w:pPr>
            <w:r>
              <w:rPr>
                <w:color w:val="000000"/>
                <w:sz w:val="20"/>
                <w:szCs w:val="20"/>
              </w:rPr>
              <w:t>5.45</w:t>
            </w:r>
            <w:r w:rsidRPr="00E764E7">
              <w:rPr>
                <w:color w:val="000000"/>
                <w:sz w:val="20"/>
                <w:szCs w:val="20"/>
              </w:rPr>
              <w:t>%</w:t>
            </w:r>
          </w:p>
        </w:tc>
      </w:tr>
    </w:tbl>
    <w:p w:rsidR="00D40970" w:rsidRDefault="00D40970" w:rsidP="00D40970"/>
    <w:p w:rsidR="00D40970" w:rsidRPr="00172671" w:rsidRDefault="00D40970" w:rsidP="00D40970">
      <w:r w:rsidRPr="00172671">
        <w:t>In the residential sector, measure lives were reported on a measure-by-measure basis. The SWE Team spot-checked some of these measure lives and found the</w:t>
      </w:r>
      <w:r>
        <w:t>m to be consistent with the 2015</w:t>
      </w:r>
      <w:r w:rsidRPr="00172671">
        <w:t xml:space="preserve"> TRM</w:t>
      </w:r>
      <w:r w:rsidR="00AA547F">
        <w:t xml:space="preserve">. </w:t>
      </w:r>
      <w:r>
        <w:rPr>
          <w:rStyle w:val="FootnoteReference"/>
        </w:rPr>
        <w:footnoteReference w:id="69"/>
      </w:r>
      <w:r w:rsidRPr="00172671">
        <w:t xml:space="preserve"> In the non-residential sector, the TRC model applied a</w:t>
      </w:r>
      <w:r>
        <w:t xml:space="preserve">n </w:t>
      </w:r>
      <w:r w:rsidRPr="00172671">
        <w:t xml:space="preserve">EUL at the stratum level rather than at the measure level. </w:t>
      </w:r>
    </w:p>
    <w:p w:rsidR="00D40970" w:rsidRPr="00172671" w:rsidRDefault="00D40970" w:rsidP="00D40970"/>
    <w:p w:rsidR="00D40970" w:rsidRPr="00172671" w:rsidRDefault="00D40970" w:rsidP="00D40970">
      <w:r>
        <w:t>Similarly, t</w:t>
      </w:r>
      <w:r w:rsidRPr="00172671">
        <w:t xml:space="preserve">he model assigned incremental costs at the measure level in the residential sector and </w:t>
      </w:r>
      <w:r>
        <w:t xml:space="preserve">at the </w:t>
      </w:r>
      <w:r w:rsidRPr="00172671">
        <w:t>stratum level in the non-residential sector in the model. The residential-sector incremental costs primarily were derived from the SWE incremental cost database</w:t>
      </w:r>
      <w:r>
        <w:t xml:space="preserve">, the </w:t>
      </w:r>
      <w:r w:rsidR="00C34CDD">
        <w:t>Penn Power EE&amp;C p</w:t>
      </w:r>
      <w:r>
        <w:t>lan</w:t>
      </w:r>
      <w:r w:rsidR="00C34CDD">
        <w:t>,</w:t>
      </w:r>
      <w:r w:rsidRPr="00172671">
        <w:t xml:space="preserve"> and the project invoices. The sources for non-residential sector incremental costs included the SWE cost database, sampled project invoices, the</w:t>
      </w:r>
      <w:r>
        <w:t xml:space="preserve"> Database for Energy Efficient Resources</w:t>
      </w:r>
      <w:r w:rsidRPr="00172671">
        <w:t xml:space="preserve"> </w:t>
      </w:r>
      <w:r>
        <w:t>(</w:t>
      </w:r>
      <w:r w:rsidRPr="00172671">
        <w:t>DEER</w:t>
      </w:r>
      <w:r>
        <w:t>)</w:t>
      </w:r>
      <w:r w:rsidRPr="00172671">
        <w:t xml:space="preserve"> 2008 incremental cost database, and the EDC</w:t>
      </w:r>
      <w:r w:rsidR="00C34CDD">
        <w:t xml:space="preserve"> EE&amp;C p</w:t>
      </w:r>
      <w:r w:rsidRPr="00172671">
        <w:t>lan.</w:t>
      </w:r>
      <w:r w:rsidRPr="00172671">
        <w:rPr>
          <w:rStyle w:val="FootnoteReference"/>
        </w:rPr>
        <w:footnoteReference w:id="70"/>
      </w:r>
      <w:r w:rsidRPr="00172671">
        <w:t xml:space="preserve"> </w:t>
      </w:r>
      <w:r>
        <w:t xml:space="preserve">The </w:t>
      </w:r>
      <w:r w:rsidRPr="00172671">
        <w:t xml:space="preserve">FirstEnergy TRC model relied on the evaluation samples as a basis for calculating incremental participant costs for non-residential programs. Those sampled values were </w:t>
      </w:r>
      <w:r w:rsidRPr="00172671">
        <w:lastRenderedPageBreak/>
        <w:t>weighted to apply to the remainder of the program. The SWE Team examined this approach and found it reasonable and appropriate.</w:t>
      </w:r>
    </w:p>
    <w:p w:rsidR="00D40970" w:rsidRPr="008A5E9E" w:rsidRDefault="00D40970" w:rsidP="00D40970">
      <w:pPr>
        <w:rPr>
          <w:highlight w:val="lightGray"/>
        </w:rPr>
      </w:pPr>
    </w:p>
    <w:p w:rsidR="00D40970" w:rsidRPr="00B8757D" w:rsidRDefault="00D40970" w:rsidP="00D40970">
      <w:r w:rsidRPr="00B8757D">
        <w:t>The TRC model drew the energy and demand impacts from the tracking database, which used TRM-specified values and equations to assign ex ante annual savings values to completed measures. The TRC model analysis was based on ex post verified savings, so program impacts were adjusted by an applicable realization rate. Separate realization rates were applied to energy and demand impacts.</w:t>
      </w:r>
    </w:p>
    <w:p w:rsidR="00D40970" w:rsidRPr="008A5E9E" w:rsidRDefault="00D40970" w:rsidP="00D40970">
      <w:pPr>
        <w:rPr>
          <w:highlight w:val="lightGray"/>
        </w:rPr>
      </w:pPr>
    </w:p>
    <w:p w:rsidR="00D40970" w:rsidRPr="002D1FC2" w:rsidRDefault="00D40970" w:rsidP="00D40970">
      <w:r>
        <w:t>T</w:t>
      </w:r>
      <w:r w:rsidRPr="002D1FC2">
        <w:t>he 201</w:t>
      </w:r>
      <w:r>
        <w:t>5</w:t>
      </w:r>
      <w:r w:rsidRPr="002D1FC2">
        <w:t xml:space="preserve"> TRM specifically instruct</w:t>
      </w:r>
      <w:r>
        <w:t>ed</w:t>
      </w:r>
      <w:r w:rsidRPr="002D1FC2">
        <w:t xml:space="preserve"> EDCs to account for dual baselines with regard to T12 linear fluorescent replacements. The dual baseline adjustment impacts the lifetime energy and demand savings of measures</w:t>
      </w:r>
      <w:r>
        <w:t xml:space="preserve"> beginning June 1, 2016</w:t>
      </w:r>
      <w:r w:rsidRPr="002D1FC2">
        <w:t xml:space="preserve">, but </w:t>
      </w:r>
      <w:r>
        <w:t>does</w:t>
      </w:r>
      <w:r w:rsidRPr="002D1FC2">
        <w:t xml:space="preserve"> not i</w:t>
      </w:r>
      <w:r>
        <w:t>mpact first-year savings for PY7</w:t>
      </w:r>
      <w:r w:rsidRPr="002D1FC2">
        <w:t xml:space="preserve">. </w:t>
      </w:r>
      <w:r w:rsidRPr="009D35AA">
        <w:rPr>
          <w:rFonts w:ascii="Arial" w:hAnsi="Arial"/>
          <w:sz w:val="20"/>
        </w:rPr>
        <w:t>EDCs may choose to reflect the dual baseli</w:t>
      </w:r>
      <w:r w:rsidRPr="00B40CEA">
        <w:rPr>
          <w:rFonts w:ascii="Arial" w:hAnsi="Arial"/>
          <w:sz w:val="20"/>
        </w:rPr>
        <w:t>nes either by applying savings adjustment factors or by reducing the EUL to adjust lifetime savings.</w:t>
      </w:r>
      <w:r w:rsidRPr="002D1FC2">
        <w:rPr>
          <w:rFonts w:ascii="Arial" w:hAnsi="Arial"/>
          <w:sz w:val="20"/>
          <w:szCs w:val="20"/>
        </w:rPr>
        <w:t xml:space="preserve"> In the</w:t>
      </w:r>
      <w:r w:rsidRPr="002D1FC2">
        <w:t xml:space="preserve"> </w:t>
      </w:r>
      <w:r>
        <w:t>Penn Power</w:t>
      </w:r>
      <w:r w:rsidRPr="002D1FC2">
        <w:t xml:space="preserve"> TRC</w:t>
      </w:r>
      <w:r>
        <w:t xml:space="preserve"> model</w:t>
      </w:r>
      <w:r w:rsidRPr="002D1FC2">
        <w:t xml:space="preserve">, a measure’s lifetime was separated into two parts: the first </w:t>
      </w:r>
      <w:r>
        <w:t>year</w:t>
      </w:r>
      <w:r w:rsidRPr="002D1FC2">
        <w:t>, and the remaining lifetime. The removed equipment was treated</w:t>
      </w:r>
      <w:r>
        <w:t xml:space="preserve"> as the baseline for the first year</w:t>
      </w:r>
      <w:r w:rsidRPr="002D1FC2">
        <w:t xml:space="preserve">, with the baseline shifting to the code-required baseline for the remainder of the measure’s life. The model calculated the measure’s lifetime savings as the sum of these two parts. </w:t>
      </w:r>
    </w:p>
    <w:p w:rsidR="00D40970" w:rsidRDefault="00D40970" w:rsidP="00D40970"/>
    <w:p w:rsidR="00950837" w:rsidRDefault="00950837" w:rsidP="00D34B3E">
      <w:pPr>
        <w:pStyle w:val="AppendixAHeading3"/>
      </w:pPr>
      <w:r>
        <w:t>Avoided Cost of Capacity</w:t>
      </w:r>
    </w:p>
    <w:p w:rsidR="00D40970" w:rsidRDefault="00D40970" w:rsidP="00D40970">
      <w:r w:rsidRPr="00D40970">
        <w:t xml:space="preserve">Consistent with prior Phase II program years, the PY7 </w:t>
      </w:r>
      <w:r w:rsidR="00E6042C">
        <w:t>FirstEnergy</w:t>
      </w:r>
      <w:r w:rsidRPr="00D40970">
        <w:t xml:space="preserve"> TRC Models use the Phase II approved avoided costs of energy and capacity.  The PY7 models were updated to select the appropriate PY7 stream of avoided costs.  </w:t>
      </w:r>
    </w:p>
    <w:p w:rsidR="00D40970" w:rsidRPr="00D40970" w:rsidRDefault="00D40970" w:rsidP="00D40970"/>
    <w:p w:rsidR="00950837" w:rsidRDefault="00950837" w:rsidP="00D34B3E">
      <w:pPr>
        <w:pStyle w:val="AppendixAHeading3"/>
      </w:pPr>
      <w:r>
        <w:t>Conclusions and Recommendations</w:t>
      </w:r>
    </w:p>
    <w:p w:rsidR="00D40970" w:rsidRDefault="00D40970" w:rsidP="00D40970">
      <w:r w:rsidRPr="00D40970">
        <w:t>The FirstEnergy TRC model is performing all of the B/C calculations in accordance with the 2013 TRC Order. The SWE Team review of the Penn Power TRC model found no calculation errors and believes the PY7 TRC benefits, costs, and ratios to be reasonable and accurate.</w:t>
      </w:r>
    </w:p>
    <w:p w:rsidR="00D40970" w:rsidRPr="00D40970" w:rsidRDefault="00D40970" w:rsidP="00D40970"/>
    <w:p w:rsidR="00950837" w:rsidRDefault="00950837" w:rsidP="0043541C">
      <w:pPr>
        <w:pStyle w:val="AppendixAHeading2"/>
      </w:pPr>
      <w:r>
        <w:t>Status of Evaluation Activities</w:t>
      </w:r>
    </w:p>
    <w:p w:rsidR="001B5BFF" w:rsidRPr="001B5BFF" w:rsidRDefault="001B5BFF" w:rsidP="001B5BFF">
      <w:r w:rsidRPr="001B5BFF">
        <w:t>This section discusses the status of Penn Power’s EM&amp;V plans, M&amp;V activities and findings, and process evaluation activities and findings.</w:t>
      </w:r>
    </w:p>
    <w:p w:rsidR="001B5BFF" w:rsidRPr="001B5BFF" w:rsidRDefault="001B5BFF" w:rsidP="001B5BFF"/>
    <w:p w:rsidR="00950837" w:rsidRDefault="00950837" w:rsidP="00D34B3E">
      <w:pPr>
        <w:pStyle w:val="AppendixAHeading3"/>
      </w:pPr>
      <w:r>
        <w:t>Status of Evaluation, Measurement</w:t>
      </w:r>
      <w:r w:rsidR="00C34CDD">
        <w:t>,</w:t>
      </w:r>
      <w:r>
        <w:t xml:space="preserve"> and Verification Plans</w:t>
      </w:r>
    </w:p>
    <w:p w:rsidR="00496A99" w:rsidRPr="009472F6" w:rsidRDefault="00496A99" w:rsidP="00496A99">
      <w:pPr>
        <w:pStyle w:val="bullettext"/>
      </w:pPr>
      <w:r w:rsidRPr="009472F6">
        <w:t xml:space="preserve">The standardization of evaluation protocols across EDCs was outlined in the Phase II Evaluation Framework in order to create consistency in evaluation practices across EDCs. The SWE Evaluation Framework that was applicable for PY6 evaluation plans was the </w:t>
      </w:r>
      <w:r>
        <w:t>f</w:t>
      </w:r>
      <w:r w:rsidRPr="009472F6">
        <w:t xml:space="preserve">ramework finalized and published on June 28, 2013. This </w:t>
      </w:r>
      <w:r>
        <w:t>f</w:t>
      </w:r>
      <w:r w:rsidRPr="009472F6">
        <w:t xml:space="preserve">ramework required each EDC to complete an initial evaluation plan for each program in </w:t>
      </w:r>
      <w:r>
        <w:t>its</w:t>
      </w:r>
      <w:r w:rsidRPr="009472F6">
        <w:t xml:space="preserve"> portfolio</w:t>
      </w:r>
      <w:r>
        <w:t>,</w:t>
      </w:r>
      <w:r w:rsidRPr="009472F6">
        <w:t xml:space="preserve"> addressing the following objectives:</w:t>
      </w:r>
    </w:p>
    <w:p w:rsidR="00496A99" w:rsidRPr="008A5E9E" w:rsidRDefault="00496A99" w:rsidP="00E646C9">
      <w:pPr>
        <w:numPr>
          <w:ilvl w:val="0"/>
          <w:numId w:val="79"/>
        </w:numPr>
        <w:spacing w:after="200" w:line="276" w:lineRule="auto"/>
        <w:ind w:left="360"/>
        <w:contextualSpacing/>
        <w:rPr>
          <w:color w:val="000000"/>
          <w:szCs w:val="20"/>
        </w:rPr>
      </w:pPr>
      <w:r w:rsidRPr="008A5E9E">
        <w:rPr>
          <w:color w:val="000000"/>
          <w:szCs w:val="20"/>
        </w:rPr>
        <w:t>Outline gross impact evaluation methodology</w:t>
      </w:r>
    </w:p>
    <w:p w:rsidR="00496A99" w:rsidRPr="008A5E9E" w:rsidRDefault="00496A99" w:rsidP="00E646C9">
      <w:pPr>
        <w:numPr>
          <w:ilvl w:val="0"/>
          <w:numId w:val="79"/>
        </w:numPr>
        <w:spacing w:after="200" w:line="276" w:lineRule="auto"/>
        <w:ind w:left="360"/>
        <w:contextualSpacing/>
        <w:rPr>
          <w:color w:val="000000"/>
          <w:szCs w:val="20"/>
        </w:rPr>
      </w:pPr>
      <w:r w:rsidRPr="008A5E9E">
        <w:rPr>
          <w:color w:val="000000"/>
          <w:szCs w:val="20"/>
        </w:rPr>
        <w:t>Outline NTG analysis methodology</w:t>
      </w:r>
    </w:p>
    <w:p w:rsidR="00496A99" w:rsidRPr="008A5E9E" w:rsidRDefault="00496A99" w:rsidP="00E646C9">
      <w:pPr>
        <w:numPr>
          <w:ilvl w:val="0"/>
          <w:numId w:val="79"/>
        </w:numPr>
        <w:spacing w:after="200" w:line="276" w:lineRule="auto"/>
        <w:ind w:left="360"/>
        <w:contextualSpacing/>
        <w:rPr>
          <w:color w:val="000000"/>
          <w:szCs w:val="20"/>
        </w:rPr>
      </w:pPr>
      <w:r w:rsidRPr="008A5E9E">
        <w:rPr>
          <w:color w:val="000000"/>
          <w:szCs w:val="20"/>
        </w:rPr>
        <w:t>Outline process evaluation methodology</w:t>
      </w:r>
    </w:p>
    <w:p w:rsidR="00496A99" w:rsidRPr="008A5E9E" w:rsidRDefault="00496A99" w:rsidP="00E646C9">
      <w:pPr>
        <w:numPr>
          <w:ilvl w:val="0"/>
          <w:numId w:val="79"/>
        </w:numPr>
        <w:spacing w:after="200" w:line="276" w:lineRule="auto"/>
        <w:ind w:left="360"/>
        <w:contextualSpacing/>
        <w:rPr>
          <w:color w:val="000000"/>
          <w:szCs w:val="20"/>
        </w:rPr>
      </w:pPr>
      <w:r w:rsidRPr="008A5E9E">
        <w:rPr>
          <w:color w:val="000000"/>
          <w:szCs w:val="20"/>
        </w:rPr>
        <w:t>Outline cost-effectiveness evaluation methodology</w:t>
      </w:r>
    </w:p>
    <w:p w:rsidR="00496A99" w:rsidRPr="008A5E9E" w:rsidRDefault="00496A99" w:rsidP="00E646C9">
      <w:pPr>
        <w:numPr>
          <w:ilvl w:val="0"/>
          <w:numId w:val="79"/>
        </w:numPr>
        <w:spacing w:after="200" w:line="276" w:lineRule="auto"/>
        <w:ind w:left="360"/>
        <w:contextualSpacing/>
        <w:rPr>
          <w:color w:val="000000"/>
          <w:szCs w:val="20"/>
        </w:rPr>
      </w:pPr>
      <w:r w:rsidRPr="008A5E9E">
        <w:rPr>
          <w:color w:val="000000"/>
          <w:szCs w:val="20"/>
        </w:rPr>
        <w:t>Propose a time</w:t>
      </w:r>
      <w:r>
        <w:rPr>
          <w:color w:val="000000"/>
          <w:szCs w:val="20"/>
        </w:rPr>
        <w:t xml:space="preserve"> </w:t>
      </w:r>
      <w:r w:rsidRPr="008A5E9E">
        <w:rPr>
          <w:color w:val="000000"/>
          <w:szCs w:val="20"/>
        </w:rPr>
        <w:t>line of evaluation activities</w:t>
      </w:r>
    </w:p>
    <w:p w:rsidR="00496A99" w:rsidRPr="008A5E9E" w:rsidRDefault="00496A99" w:rsidP="00E646C9">
      <w:pPr>
        <w:numPr>
          <w:ilvl w:val="0"/>
          <w:numId w:val="79"/>
        </w:numPr>
        <w:ind w:left="360"/>
        <w:rPr>
          <w:color w:val="000000"/>
          <w:szCs w:val="20"/>
        </w:rPr>
      </w:pPr>
      <w:r w:rsidRPr="008A5E9E">
        <w:rPr>
          <w:color w:val="000000"/>
          <w:szCs w:val="20"/>
        </w:rPr>
        <w:t>Establish key program contacts</w:t>
      </w:r>
    </w:p>
    <w:p w:rsidR="00496A99" w:rsidRPr="00401F84" w:rsidRDefault="00496A99" w:rsidP="00496A99"/>
    <w:p w:rsidR="00496A99" w:rsidRDefault="00496A99" w:rsidP="00496A99">
      <w:r w:rsidRPr="009472F6">
        <w:lastRenderedPageBreak/>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DD3B6D" w:rsidRDefault="00DD3B6D" w:rsidP="00DD3B6D"/>
    <w:p w:rsidR="00DD3B6D" w:rsidRPr="00FB6015" w:rsidRDefault="00156868" w:rsidP="00DD3B6D">
      <w:r>
        <w:fldChar w:fldCharType="begin"/>
      </w:r>
      <w:r>
        <w:instrText xml:space="preserve"> REF _Ref472359326 \h </w:instrText>
      </w:r>
      <w:r>
        <w:fldChar w:fldCharType="separate"/>
      </w:r>
      <w:r w:rsidR="00A874AC" w:rsidRPr="00156868">
        <w:t>Table A-</w:t>
      </w:r>
      <w:r w:rsidR="00A874AC">
        <w:rPr>
          <w:noProof/>
        </w:rPr>
        <w:t>73</w:t>
      </w:r>
      <w:r>
        <w:fldChar w:fldCharType="end"/>
      </w:r>
      <w:r w:rsidR="00DD3B6D" w:rsidRPr="006A0F2F">
        <w:t xml:space="preserve"> </w:t>
      </w:r>
      <w:r w:rsidR="00DD3B6D" w:rsidRPr="008A5E9E">
        <w:rPr>
          <w:color w:val="000000"/>
        </w:rPr>
        <w:t>displays key milestones completed</w:t>
      </w:r>
      <w:r w:rsidR="00DD3B6D">
        <w:rPr>
          <w:color w:val="000000"/>
        </w:rPr>
        <w:t xml:space="preserve"> </w:t>
      </w:r>
      <w:r w:rsidR="00DD3B6D" w:rsidRPr="009472F6">
        <w:t xml:space="preserve">by </w:t>
      </w:r>
      <w:r w:rsidR="00DD3B6D">
        <w:t>FirstEnergy</w:t>
      </w:r>
      <w:r w:rsidR="00DD3B6D" w:rsidRPr="009472F6">
        <w:t xml:space="preserve"> and the SWE</w:t>
      </w:r>
      <w:r w:rsidR="00DD3B6D">
        <w:t xml:space="preserve"> </w:t>
      </w:r>
      <w:r w:rsidR="00DD3B6D">
        <w:rPr>
          <w:color w:val="000000"/>
        </w:rPr>
        <w:t>for FirstEnergy’s Phase II EM&amp;V Plan</w:t>
      </w:r>
      <w:r w:rsidR="00DD3B6D" w:rsidRPr="008A5E9E">
        <w:rPr>
          <w:color w:val="000000"/>
        </w:rPr>
        <w:t>.</w:t>
      </w:r>
      <w:r w:rsidR="00DD3B6D" w:rsidRPr="0053259F">
        <w:t xml:space="preserve"> </w:t>
      </w:r>
      <w:r w:rsidR="00DD3B6D" w:rsidRPr="00A145B8">
        <w:t xml:space="preserve">FirstEnergy </w:t>
      </w:r>
      <w:r w:rsidR="00DD3B6D">
        <w:t>EDCs</w:t>
      </w:r>
      <w:r w:rsidR="00DD3B6D" w:rsidRPr="00A145B8">
        <w:t xml:space="preserve"> submitted, and the SWE Team approved, only one EM&amp;V Plan across all four FirstEnergy EDCs.</w:t>
      </w:r>
    </w:p>
    <w:p w:rsidR="00DD3B6D" w:rsidRPr="00FB6015" w:rsidRDefault="00DD3B6D" w:rsidP="00DD3B6D"/>
    <w:p w:rsidR="00DD3B6D" w:rsidRPr="00156868" w:rsidRDefault="00156868" w:rsidP="00156868">
      <w:pPr>
        <w:pStyle w:val="Caption"/>
      </w:pPr>
      <w:bookmarkStart w:id="910" w:name="_Ref472359326"/>
      <w:bookmarkStart w:id="911" w:name="_Toc472472482"/>
      <w:bookmarkStart w:id="912" w:name="_Toc476842188"/>
      <w:r w:rsidRPr="00156868">
        <w:t>Table A-</w:t>
      </w:r>
      <w:fldSimple w:instr=" SEQ Table_A- \* ARABIC ">
        <w:r w:rsidR="00C301D0">
          <w:rPr>
            <w:noProof/>
          </w:rPr>
          <w:t>73</w:t>
        </w:r>
      </w:fldSimple>
      <w:bookmarkEnd w:id="910"/>
      <w:r w:rsidR="00DD3B6D" w:rsidRPr="00156868">
        <w:t>: Key Milestones Reached for Penn Power’s Phase II EM&amp;V Plan</w:t>
      </w:r>
      <w:bookmarkEnd w:id="911"/>
      <w:bookmarkEnd w:id="912"/>
    </w:p>
    <w:tbl>
      <w:tblPr>
        <w:tblW w:w="9355" w:type="dxa"/>
        <w:jc w:val="center"/>
        <w:tblLayout w:type="fixed"/>
        <w:tblLook w:val="04A0" w:firstRow="1" w:lastRow="0" w:firstColumn="1" w:lastColumn="0" w:noHBand="0" w:noVBand="1"/>
      </w:tblPr>
      <w:tblGrid>
        <w:gridCol w:w="1885"/>
        <w:gridCol w:w="7470"/>
      </w:tblGrid>
      <w:tr w:rsidR="00E7173E" w:rsidRPr="00FE0103" w:rsidTr="00AB3C36">
        <w:trPr>
          <w:cantSplit/>
          <w:trHeight w:val="197"/>
          <w:tblHeader/>
          <w:jc w:val="center"/>
        </w:trPr>
        <w:tc>
          <w:tcPr>
            <w:tcW w:w="1885"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DD3B6D" w:rsidRPr="00FE0103" w:rsidRDefault="00DD3B6D" w:rsidP="008C2D5E">
            <w:pPr>
              <w:jc w:val="left"/>
              <w:rPr>
                <w:b/>
                <w:bCs/>
                <w:color w:val="FFFFFF"/>
                <w:sz w:val="20"/>
                <w:szCs w:val="20"/>
              </w:rPr>
            </w:pPr>
            <w:r w:rsidRPr="00FE0103">
              <w:rPr>
                <w:b/>
                <w:bCs/>
                <w:color w:val="FFFFFF"/>
                <w:sz w:val="20"/>
                <w:szCs w:val="20"/>
              </w:rPr>
              <w:t>Date</w:t>
            </w:r>
          </w:p>
        </w:tc>
        <w:tc>
          <w:tcPr>
            <w:tcW w:w="7470" w:type="dxa"/>
            <w:tcBorders>
              <w:top w:val="single" w:sz="4" w:space="0" w:color="448A99"/>
              <w:left w:val="nil"/>
              <w:bottom w:val="single" w:sz="4" w:space="0" w:color="448A99"/>
              <w:right w:val="single" w:sz="4" w:space="0" w:color="448A99"/>
            </w:tcBorders>
            <w:shd w:val="clear" w:color="000000" w:fill="448A99"/>
            <w:vAlign w:val="bottom"/>
          </w:tcPr>
          <w:p w:rsidR="00DD3B6D" w:rsidRPr="00FE0103" w:rsidRDefault="00DD3B6D" w:rsidP="008C2D5E">
            <w:pPr>
              <w:jc w:val="left"/>
              <w:rPr>
                <w:b/>
                <w:bCs/>
                <w:color w:val="FFFFFF"/>
                <w:sz w:val="20"/>
                <w:szCs w:val="20"/>
              </w:rPr>
            </w:pPr>
            <w:r w:rsidRPr="00FE0103">
              <w:rPr>
                <w:b/>
                <w:bCs/>
                <w:color w:val="FFFFFF"/>
                <w:sz w:val="20"/>
                <w:szCs w:val="20"/>
              </w:rPr>
              <w:t>Event</w:t>
            </w:r>
          </w:p>
        </w:tc>
      </w:tr>
      <w:tr w:rsidR="00E7173E" w:rsidRPr="00FE0103" w:rsidTr="00AB3C36">
        <w:trPr>
          <w:trHeight w:val="576"/>
          <w:jc w:val="center"/>
        </w:trPr>
        <w:tc>
          <w:tcPr>
            <w:tcW w:w="1885" w:type="dxa"/>
            <w:tcBorders>
              <w:top w:val="nil"/>
              <w:left w:val="single" w:sz="4" w:space="0" w:color="448A99"/>
              <w:bottom w:val="single" w:sz="4" w:space="0" w:color="448A99"/>
              <w:right w:val="single" w:sz="4" w:space="0" w:color="448A99"/>
            </w:tcBorders>
            <w:shd w:val="clear" w:color="auto" w:fill="D2EAF1"/>
            <w:vAlign w:val="center"/>
          </w:tcPr>
          <w:p w:rsidR="00DD3B6D" w:rsidRPr="00FE0103" w:rsidRDefault="00DD3B6D" w:rsidP="008C2D5E">
            <w:pPr>
              <w:jc w:val="left"/>
              <w:rPr>
                <w:bCs/>
                <w:color w:val="000000"/>
                <w:sz w:val="20"/>
                <w:szCs w:val="20"/>
              </w:rPr>
            </w:pPr>
            <w:r w:rsidRPr="00FE0103">
              <w:rPr>
                <w:sz w:val="20"/>
                <w:szCs w:val="20"/>
              </w:rPr>
              <w:t>September 19, 2013</w:t>
            </w:r>
          </w:p>
        </w:tc>
        <w:tc>
          <w:tcPr>
            <w:tcW w:w="7470" w:type="dxa"/>
            <w:tcBorders>
              <w:top w:val="nil"/>
              <w:left w:val="nil"/>
              <w:bottom w:val="single" w:sz="4" w:space="0" w:color="448A99"/>
              <w:right w:val="single" w:sz="4" w:space="0" w:color="448A99"/>
            </w:tcBorders>
            <w:shd w:val="clear" w:color="auto" w:fill="D2EAF1"/>
            <w:vAlign w:val="center"/>
          </w:tcPr>
          <w:p w:rsidR="00DD3B6D" w:rsidRPr="00FE0103" w:rsidRDefault="00DD3B6D" w:rsidP="008C2D5E">
            <w:pPr>
              <w:jc w:val="left"/>
              <w:rPr>
                <w:color w:val="000000"/>
                <w:sz w:val="20"/>
                <w:szCs w:val="20"/>
              </w:rPr>
            </w:pPr>
            <w:r w:rsidRPr="00FE0103">
              <w:rPr>
                <w:sz w:val="20"/>
                <w:szCs w:val="20"/>
              </w:rPr>
              <w:t xml:space="preserve">FirstEnergy </w:t>
            </w:r>
            <w:r>
              <w:rPr>
                <w:sz w:val="20"/>
                <w:szCs w:val="20"/>
              </w:rPr>
              <w:t xml:space="preserve">EDCs </w:t>
            </w:r>
            <w:r w:rsidRPr="00FE0103">
              <w:rPr>
                <w:sz w:val="20"/>
                <w:szCs w:val="20"/>
              </w:rPr>
              <w:t>submit first draft of Phase II evaluation plan to the PUC and SWE</w:t>
            </w:r>
          </w:p>
        </w:tc>
      </w:tr>
      <w:tr w:rsidR="00E7173E" w:rsidRPr="00FE0103" w:rsidTr="00AB3C36">
        <w:trPr>
          <w:trHeight w:val="576"/>
          <w:jc w:val="center"/>
        </w:trPr>
        <w:tc>
          <w:tcPr>
            <w:tcW w:w="1885" w:type="dxa"/>
            <w:tcBorders>
              <w:top w:val="nil"/>
              <w:left w:val="single" w:sz="4" w:space="0" w:color="448A99"/>
              <w:bottom w:val="single" w:sz="4" w:space="0" w:color="448A99"/>
              <w:right w:val="single" w:sz="4" w:space="0" w:color="448A99"/>
            </w:tcBorders>
            <w:shd w:val="clear" w:color="auto" w:fill="auto"/>
            <w:vAlign w:val="center"/>
          </w:tcPr>
          <w:p w:rsidR="00DD3B6D" w:rsidRPr="00FE0103" w:rsidRDefault="00DD3B6D" w:rsidP="008C2D5E">
            <w:pPr>
              <w:jc w:val="left"/>
              <w:rPr>
                <w:bCs/>
                <w:color w:val="000000"/>
                <w:sz w:val="20"/>
                <w:szCs w:val="20"/>
                <w:lang w:eastAsia="zh-CN"/>
              </w:rPr>
            </w:pPr>
            <w:r w:rsidRPr="00FE0103">
              <w:rPr>
                <w:sz w:val="20"/>
                <w:szCs w:val="20"/>
              </w:rPr>
              <w:t>October 15, 2013</w:t>
            </w:r>
          </w:p>
        </w:tc>
        <w:tc>
          <w:tcPr>
            <w:tcW w:w="7470" w:type="dxa"/>
            <w:tcBorders>
              <w:top w:val="nil"/>
              <w:left w:val="nil"/>
              <w:bottom w:val="single" w:sz="4" w:space="0" w:color="448A99"/>
              <w:right w:val="single" w:sz="4" w:space="0" w:color="448A99"/>
            </w:tcBorders>
            <w:shd w:val="clear" w:color="auto" w:fill="auto"/>
            <w:vAlign w:val="center"/>
          </w:tcPr>
          <w:p w:rsidR="00DD3B6D" w:rsidRPr="00FE0103" w:rsidRDefault="00DD3B6D" w:rsidP="008C2D5E">
            <w:pPr>
              <w:jc w:val="left"/>
              <w:rPr>
                <w:color w:val="000000"/>
                <w:sz w:val="20"/>
                <w:szCs w:val="20"/>
              </w:rPr>
            </w:pPr>
            <w:r w:rsidRPr="00FE0103">
              <w:rPr>
                <w:sz w:val="20"/>
                <w:szCs w:val="20"/>
              </w:rPr>
              <w:t>SWE returns comments on the FirstEnergy evaluation plan to F</w:t>
            </w:r>
            <w:r>
              <w:rPr>
                <w:sz w:val="20"/>
                <w:szCs w:val="20"/>
              </w:rPr>
              <w:t>irst</w:t>
            </w:r>
            <w:r w:rsidRPr="00FE0103">
              <w:rPr>
                <w:sz w:val="20"/>
                <w:szCs w:val="20"/>
              </w:rPr>
              <w:t>E</w:t>
            </w:r>
            <w:r>
              <w:rPr>
                <w:sz w:val="20"/>
                <w:szCs w:val="20"/>
              </w:rPr>
              <w:t>nergy</w:t>
            </w:r>
          </w:p>
        </w:tc>
      </w:tr>
      <w:tr w:rsidR="00E7173E" w:rsidRPr="00FE0103" w:rsidTr="00AB3C36">
        <w:trPr>
          <w:trHeight w:val="576"/>
          <w:jc w:val="center"/>
        </w:trPr>
        <w:tc>
          <w:tcPr>
            <w:tcW w:w="1885" w:type="dxa"/>
            <w:tcBorders>
              <w:top w:val="nil"/>
              <w:left w:val="single" w:sz="4" w:space="0" w:color="448A99"/>
              <w:bottom w:val="single" w:sz="4" w:space="0" w:color="448A99"/>
              <w:right w:val="single" w:sz="4" w:space="0" w:color="448A99"/>
            </w:tcBorders>
            <w:shd w:val="clear" w:color="auto" w:fill="D2EAF1"/>
            <w:vAlign w:val="center"/>
          </w:tcPr>
          <w:p w:rsidR="00DD3B6D" w:rsidRPr="00FE0103" w:rsidRDefault="00DD3B6D" w:rsidP="008C2D5E">
            <w:pPr>
              <w:jc w:val="left"/>
              <w:rPr>
                <w:bCs/>
                <w:color w:val="000000"/>
                <w:sz w:val="20"/>
                <w:szCs w:val="20"/>
                <w:lang w:eastAsia="zh-CN"/>
              </w:rPr>
            </w:pPr>
            <w:r w:rsidRPr="00FE0103">
              <w:rPr>
                <w:sz w:val="20"/>
                <w:szCs w:val="20"/>
              </w:rPr>
              <w:t>November 13, 2013</w:t>
            </w:r>
          </w:p>
        </w:tc>
        <w:tc>
          <w:tcPr>
            <w:tcW w:w="7470" w:type="dxa"/>
            <w:tcBorders>
              <w:top w:val="nil"/>
              <w:left w:val="nil"/>
              <w:bottom w:val="single" w:sz="4" w:space="0" w:color="448A99"/>
              <w:right w:val="single" w:sz="4" w:space="0" w:color="448A99"/>
            </w:tcBorders>
            <w:shd w:val="clear" w:color="auto" w:fill="D2EAF1"/>
            <w:vAlign w:val="center"/>
          </w:tcPr>
          <w:p w:rsidR="00DD3B6D" w:rsidRPr="00FE0103" w:rsidRDefault="00DD3B6D" w:rsidP="008C2D5E">
            <w:pPr>
              <w:jc w:val="left"/>
              <w:rPr>
                <w:color w:val="000000"/>
                <w:sz w:val="20"/>
                <w:szCs w:val="20"/>
              </w:rPr>
            </w:pPr>
            <w:r w:rsidRPr="00FE0103">
              <w:rPr>
                <w:sz w:val="20"/>
                <w:szCs w:val="20"/>
              </w:rPr>
              <w:t>SWE sends a list of “items that be must addressed” to FirstEnergy</w:t>
            </w:r>
            <w:r>
              <w:rPr>
                <w:sz w:val="20"/>
                <w:szCs w:val="20"/>
              </w:rPr>
              <w:t xml:space="preserve"> EDCs</w:t>
            </w:r>
          </w:p>
        </w:tc>
      </w:tr>
      <w:tr w:rsidR="00E7173E" w:rsidRPr="00FE0103" w:rsidTr="00AB3C36">
        <w:trPr>
          <w:trHeight w:val="576"/>
          <w:jc w:val="center"/>
        </w:trPr>
        <w:tc>
          <w:tcPr>
            <w:tcW w:w="1885" w:type="dxa"/>
            <w:tcBorders>
              <w:top w:val="nil"/>
              <w:left w:val="single" w:sz="4" w:space="0" w:color="448A99"/>
              <w:bottom w:val="single" w:sz="4" w:space="0" w:color="448A99"/>
              <w:right w:val="single" w:sz="4" w:space="0" w:color="448A99"/>
            </w:tcBorders>
            <w:shd w:val="clear" w:color="auto" w:fill="auto"/>
            <w:vAlign w:val="center"/>
          </w:tcPr>
          <w:p w:rsidR="00DD3B6D" w:rsidRPr="00FE0103" w:rsidRDefault="00DD3B6D" w:rsidP="008C2D5E">
            <w:pPr>
              <w:jc w:val="left"/>
              <w:rPr>
                <w:bCs/>
                <w:color w:val="000000"/>
                <w:sz w:val="20"/>
                <w:szCs w:val="20"/>
                <w:lang w:eastAsia="zh-CN"/>
              </w:rPr>
            </w:pPr>
            <w:r w:rsidRPr="00FE0103">
              <w:rPr>
                <w:sz w:val="20"/>
                <w:szCs w:val="20"/>
              </w:rPr>
              <w:t>February 19, 2014</w:t>
            </w:r>
          </w:p>
        </w:tc>
        <w:tc>
          <w:tcPr>
            <w:tcW w:w="7470" w:type="dxa"/>
            <w:tcBorders>
              <w:top w:val="nil"/>
              <w:left w:val="nil"/>
              <w:bottom w:val="single" w:sz="4" w:space="0" w:color="448A99"/>
              <w:right w:val="single" w:sz="4" w:space="0" w:color="448A99"/>
            </w:tcBorders>
            <w:shd w:val="clear" w:color="auto" w:fill="auto"/>
            <w:vAlign w:val="center"/>
          </w:tcPr>
          <w:p w:rsidR="00DD3B6D" w:rsidRPr="00FE0103" w:rsidRDefault="00DD3B6D" w:rsidP="008C2D5E">
            <w:pPr>
              <w:jc w:val="left"/>
              <w:rPr>
                <w:color w:val="000000"/>
                <w:sz w:val="20"/>
                <w:szCs w:val="20"/>
              </w:rPr>
            </w:pPr>
            <w:r w:rsidRPr="00FE0103">
              <w:rPr>
                <w:sz w:val="20"/>
                <w:szCs w:val="20"/>
              </w:rPr>
              <w:t xml:space="preserve">FirstEnergy </w:t>
            </w:r>
            <w:r>
              <w:rPr>
                <w:sz w:val="20"/>
                <w:szCs w:val="20"/>
              </w:rPr>
              <w:t xml:space="preserve">EDCs </w:t>
            </w:r>
            <w:r w:rsidRPr="00FE0103">
              <w:rPr>
                <w:sz w:val="20"/>
                <w:szCs w:val="20"/>
              </w:rPr>
              <w:t>submit revised Phase II evaluation plan to the PUC and SWE</w:t>
            </w:r>
          </w:p>
        </w:tc>
      </w:tr>
      <w:tr w:rsidR="00E7173E" w:rsidRPr="00FE0103" w:rsidTr="00AB3C36">
        <w:trPr>
          <w:trHeight w:val="576"/>
          <w:jc w:val="center"/>
        </w:trPr>
        <w:tc>
          <w:tcPr>
            <w:tcW w:w="1885" w:type="dxa"/>
            <w:tcBorders>
              <w:top w:val="nil"/>
              <w:left w:val="single" w:sz="4" w:space="0" w:color="448A99"/>
              <w:bottom w:val="single" w:sz="8" w:space="0" w:color="448A99"/>
              <w:right w:val="single" w:sz="4" w:space="0" w:color="448A99"/>
            </w:tcBorders>
            <w:shd w:val="clear" w:color="auto" w:fill="D2EAF1"/>
            <w:vAlign w:val="center"/>
          </w:tcPr>
          <w:p w:rsidR="00DD3B6D" w:rsidRPr="00FE0103" w:rsidRDefault="00DD3B6D" w:rsidP="008C2D5E">
            <w:pPr>
              <w:jc w:val="left"/>
              <w:rPr>
                <w:bCs/>
                <w:color w:val="000000"/>
                <w:sz w:val="20"/>
                <w:szCs w:val="20"/>
              </w:rPr>
            </w:pPr>
            <w:r w:rsidRPr="00FE0103">
              <w:rPr>
                <w:sz w:val="20"/>
                <w:szCs w:val="20"/>
              </w:rPr>
              <w:t>June 1, 2014</w:t>
            </w:r>
          </w:p>
        </w:tc>
        <w:tc>
          <w:tcPr>
            <w:tcW w:w="7470" w:type="dxa"/>
            <w:tcBorders>
              <w:top w:val="nil"/>
              <w:left w:val="nil"/>
              <w:bottom w:val="single" w:sz="8" w:space="0" w:color="448A99"/>
              <w:right w:val="single" w:sz="4" w:space="0" w:color="448A99"/>
            </w:tcBorders>
            <w:shd w:val="clear" w:color="auto" w:fill="D2EAF1"/>
            <w:vAlign w:val="center"/>
          </w:tcPr>
          <w:p w:rsidR="00DD3B6D" w:rsidRPr="00FE0103" w:rsidRDefault="00DD3B6D" w:rsidP="008C2D5E">
            <w:pPr>
              <w:jc w:val="left"/>
              <w:rPr>
                <w:color w:val="000000"/>
                <w:sz w:val="20"/>
                <w:szCs w:val="20"/>
              </w:rPr>
            </w:pPr>
            <w:r w:rsidRPr="00FE0103">
              <w:rPr>
                <w:sz w:val="20"/>
                <w:szCs w:val="20"/>
              </w:rPr>
              <w:t>PY6 starts</w:t>
            </w:r>
          </w:p>
        </w:tc>
      </w:tr>
      <w:tr w:rsidR="00E7173E" w:rsidRPr="00FE0103" w:rsidTr="00AB3C36">
        <w:trPr>
          <w:trHeight w:val="576"/>
          <w:jc w:val="center"/>
        </w:trPr>
        <w:tc>
          <w:tcPr>
            <w:tcW w:w="1885" w:type="dxa"/>
            <w:tcBorders>
              <w:top w:val="single" w:sz="8" w:space="0" w:color="448A99"/>
              <w:left w:val="single" w:sz="4" w:space="0" w:color="448A99"/>
              <w:bottom w:val="single" w:sz="8" w:space="0" w:color="448A99"/>
              <w:right w:val="single" w:sz="4" w:space="0" w:color="448A99"/>
            </w:tcBorders>
            <w:shd w:val="clear" w:color="auto" w:fill="FFFFFF"/>
            <w:vAlign w:val="center"/>
          </w:tcPr>
          <w:p w:rsidR="00DD3B6D" w:rsidRPr="00FE0103" w:rsidRDefault="00DD3B6D" w:rsidP="008C2D5E">
            <w:pPr>
              <w:jc w:val="left"/>
              <w:rPr>
                <w:sz w:val="20"/>
                <w:szCs w:val="20"/>
              </w:rPr>
            </w:pPr>
            <w:r w:rsidRPr="00FE0103">
              <w:rPr>
                <w:sz w:val="20"/>
                <w:szCs w:val="20"/>
              </w:rPr>
              <w:t>December 17, 2014</w:t>
            </w:r>
          </w:p>
        </w:tc>
        <w:tc>
          <w:tcPr>
            <w:tcW w:w="7470" w:type="dxa"/>
            <w:tcBorders>
              <w:top w:val="single" w:sz="8" w:space="0" w:color="448A99"/>
              <w:left w:val="nil"/>
              <w:bottom w:val="single" w:sz="8" w:space="0" w:color="448A99"/>
              <w:right w:val="single" w:sz="4" w:space="0" w:color="448A99"/>
            </w:tcBorders>
            <w:shd w:val="clear" w:color="auto" w:fill="FFFFFF"/>
            <w:vAlign w:val="center"/>
          </w:tcPr>
          <w:p w:rsidR="00DD3B6D" w:rsidRPr="00FE0103" w:rsidRDefault="00DD3B6D" w:rsidP="008C2D5E">
            <w:pPr>
              <w:jc w:val="left"/>
              <w:rPr>
                <w:sz w:val="20"/>
                <w:szCs w:val="20"/>
              </w:rPr>
            </w:pPr>
            <w:r w:rsidRPr="00FE0103">
              <w:rPr>
                <w:sz w:val="20"/>
                <w:szCs w:val="20"/>
              </w:rPr>
              <w:t xml:space="preserve">FirstEnergy </w:t>
            </w:r>
            <w:r>
              <w:rPr>
                <w:sz w:val="20"/>
                <w:szCs w:val="20"/>
              </w:rPr>
              <w:t>EDCs</w:t>
            </w:r>
            <w:r w:rsidRPr="00FE0103">
              <w:rPr>
                <w:sz w:val="20"/>
                <w:szCs w:val="20"/>
              </w:rPr>
              <w:t xml:space="preserve"> provide email with additional information on the approach used by ADM for the PY6 evaluation of </w:t>
            </w:r>
            <w:r>
              <w:rPr>
                <w:sz w:val="20"/>
                <w:szCs w:val="20"/>
              </w:rPr>
              <w:t>Penn Power’s</w:t>
            </w:r>
            <w:r w:rsidRPr="00FE0103">
              <w:rPr>
                <w:sz w:val="20"/>
                <w:szCs w:val="20"/>
              </w:rPr>
              <w:t xml:space="preserve"> Appliance Turn-In Program</w:t>
            </w:r>
          </w:p>
        </w:tc>
      </w:tr>
      <w:tr w:rsidR="00E7173E" w:rsidRPr="00FE0103" w:rsidTr="00AB3C36">
        <w:trPr>
          <w:trHeight w:val="576"/>
          <w:jc w:val="center"/>
        </w:trPr>
        <w:tc>
          <w:tcPr>
            <w:tcW w:w="1885" w:type="dxa"/>
            <w:tcBorders>
              <w:top w:val="single" w:sz="8" w:space="0" w:color="448A99"/>
              <w:left w:val="single" w:sz="4" w:space="0" w:color="448A99"/>
              <w:bottom w:val="single" w:sz="4" w:space="0" w:color="448A99"/>
              <w:right w:val="single" w:sz="4" w:space="0" w:color="448A99"/>
            </w:tcBorders>
            <w:shd w:val="clear" w:color="auto" w:fill="D2EAF1"/>
            <w:vAlign w:val="center"/>
          </w:tcPr>
          <w:p w:rsidR="00DD3B6D" w:rsidRPr="00FE0103" w:rsidRDefault="00DD3B6D" w:rsidP="008C2D5E">
            <w:pPr>
              <w:jc w:val="left"/>
              <w:rPr>
                <w:sz w:val="20"/>
                <w:szCs w:val="20"/>
              </w:rPr>
            </w:pPr>
            <w:r w:rsidRPr="00FE0103">
              <w:rPr>
                <w:sz w:val="20"/>
                <w:szCs w:val="20"/>
              </w:rPr>
              <w:t>January 5, 2015</w:t>
            </w:r>
          </w:p>
        </w:tc>
        <w:tc>
          <w:tcPr>
            <w:tcW w:w="7470" w:type="dxa"/>
            <w:tcBorders>
              <w:top w:val="single" w:sz="8" w:space="0" w:color="448A99"/>
              <w:left w:val="nil"/>
              <w:bottom w:val="single" w:sz="4" w:space="0" w:color="448A99"/>
              <w:right w:val="single" w:sz="4" w:space="0" w:color="448A99"/>
            </w:tcBorders>
            <w:shd w:val="clear" w:color="auto" w:fill="D2EAF1"/>
            <w:vAlign w:val="center"/>
          </w:tcPr>
          <w:p w:rsidR="00DD3B6D" w:rsidRPr="00FE0103" w:rsidRDefault="00DD3B6D" w:rsidP="008C2D5E">
            <w:pPr>
              <w:jc w:val="left"/>
              <w:rPr>
                <w:sz w:val="20"/>
                <w:szCs w:val="20"/>
              </w:rPr>
            </w:pPr>
            <w:r w:rsidRPr="00FE0103">
              <w:rPr>
                <w:sz w:val="20"/>
                <w:szCs w:val="20"/>
              </w:rPr>
              <w:t xml:space="preserve">FirstEnergy </w:t>
            </w:r>
            <w:r>
              <w:rPr>
                <w:sz w:val="20"/>
                <w:szCs w:val="20"/>
              </w:rPr>
              <w:t>EDCs</w:t>
            </w:r>
            <w:r w:rsidRPr="00FE0103">
              <w:rPr>
                <w:sz w:val="20"/>
                <w:szCs w:val="20"/>
              </w:rPr>
              <w:t xml:space="preserve"> send email to SWE with clarification of sampling approach for the evaluations of the residential low-income program components (direct-install, giveaway, and </w:t>
            </w:r>
            <w:r>
              <w:rPr>
                <w:sz w:val="20"/>
                <w:szCs w:val="20"/>
              </w:rPr>
              <w:t>l</w:t>
            </w:r>
            <w:r w:rsidRPr="00FE0103">
              <w:rPr>
                <w:sz w:val="20"/>
                <w:szCs w:val="20"/>
              </w:rPr>
              <w:t xml:space="preserve">ow </w:t>
            </w:r>
            <w:r>
              <w:rPr>
                <w:sz w:val="20"/>
                <w:szCs w:val="20"/>
              </w:rPr>
              <w:t>i</w:t>
            </w:r>
            <w:r w:rsidRPr="00FE0103">
              <w:rPr>
                <w:sz w:val="20"/>
                <w:szCs w:val="20"/>
              </w:rPr>
              <w:t xml:space="preserve">ncome </w:t>
            </w:r>
            <w:r>
              <w:rPr>
                <w:sz w:val="20"/>
                <w:szCs w:val="20"/>
              </w:rPr>
              <w:t>l</w:t>
            </w:r>
            <w:r w:rsidRPr="00FE0103">
              <w:rPr>
                <w:sz w:val="20"/>
                <w:szCs w:val="20"/>
              </w:rPr>
              <w:t xml:space="preserve">ow </w:t>
            </w:r>
            <w:r>
              <w:rPr>
                <w:sz w:val="20"/>
                <w:szCs w:val="20"/>
              </w:rPr>
              <w:t>u</w:t>
            </w:r>
            <w:r w:rsidRPr="00FE0103">
              <w:rPr>
                <w:sz w:val="20"/>
                <w:szCs w:val="20"/>
              </w:rPr>
              <w:t>se kit component</w:t>
            </w:r>
            <w:r>
              <w:rPr>
                <w:sz w:val="20"/>
                <w:szCs w:val="20"/>
              </w:rPr>
              <w:t>s</w:t>
            </w:r>
            <w:r w:rsidRPr="00FE0103">
              <w:rPr>
                <w:sz w:val="20"/>
                <w:szCs w:val="20"/>
              </w:rPr>
              <w:t>)</w:t>
            </w:r>
          </w:p>
        </w:tc>
      </w:tr>
    </w:tbl>
    <w:p w:rsidR="00DD3B6D" w:rsidRPr="00FB6015" w:rsidRDefault="00DD3B6D" w:rsidP="00DD3B6D"/>
    <w:p w:rsidR="00DD3B6D" w:rsidRPr="00FB6015" w:rsidRDefault="00DD3B6D" w:rsidP="00DD3B6D">
      <w:pPr>
        <w:spacing w:after="120"/>
      </w:pPr>
      <w:r w:rsidRPr="00FB6015">
        <w:t xml:space="preserve">The initial EM&amp;V Plan for all FirstEnergy companies, submitted on September 19, 2013, detailed proposed evaluation objectives and activities for nine programs across two sectors. Key evaluation issues, impact evaluation details, process evaluation details, sampling plans, and key contacts were presented for each of the nine programs. After reviewing the plan, the SWE Team returned 34 comments on October 15, 2013. Many of the SWE Team’s comments demonstrated the SWE Team’s agreement with details of the </w:t>
      </w:r>
      <w:r w:rsidRPr="00126D81">
        <w:t>FirstEnergy EDCs’</w:t>
      </w:r>
      <w:r w:rsidRPr="00FB6015">
        <w:t xml:space="preserve"> plan. Most of the remaining comments concerned report formatting and minor clarifications that did not propose changes to the plan; substantive recommendations for revisions to the plan arose in only two areas:</w:t>
      </w:r>
    </w:p>
    <w:p w:rsidR="00DD3B6D" w:rsidRPr="008A5E9E" w:rsidRDefault="00DD3B6D" w:rsidP="00E646C9">
      <w:pPr>
        <w:numPr>
          <w:ilvl w:val="0"/>
          <w:numId w:val="80"/>
        </w:numPr>
        <w:spacing w:after="120"/>
        <w:ind w:left="360"/>
        <w:rPr>
          <w:color w:val="000000"/>
          <w:szCs w:val="20"/>
        </w:rPr>
      </w:pPr>
      <w:r w:rsidRPr="008A5E9E">
        <w:rPr>
          <w:color w:val="000000"/>
          <w:szCs w:val="20"/>
        </w:rPr>
        <w:t>Frequency of EDC data gathering in partially deemed measures</w:t>
      </w:r>
    </w:p>
    <w:p w:rsidR="00DD3B6D" w:rsidRPr="008A5E9E" w:rsidRDefault="00DD3B6D" w:rsidP="00E646C9">
      <w:pPr>
        <w:numPr>
          <w:ilvl w:val="0"/>
          <w:numId w:val="80"/>
        </w:numPr>
        <w:ind w:left="360"/>
        <w:rPr>
          <w:color w:val="000000"/>
          <w:szCs w:val="20"/>
        </w:rPr>
      </w:pPr>
      <w:r w:rsidRPr="008A5E9E">
        <w:rPr>
          <w:color w:val="000000"/>
          <w:szCs w:val="20"/>
        </w:rPr>
        <w:t>Definition of high-impact measures in C/I programs</w:t>
      </w:r>
    </w:p>
    <w:p w:rsidR="00DD3B6D" w:rsidRPr="008A5E9E" w:rsidRDefault="00DD3B6D" w:rsidP="00DD3B6D">
      <w:pPr>
        <w:rPr>
          <w:color w:val="000000"/>
        </w:rPr>
      </w:pPr>
    </w:p>
    <w:p w:rsidR="00DD3B6D" w:rsidRPr="00FB6015" w:rsidRDefault="00DD3B6D" w:rsidP="00DD3B6D">
      <w:r w:rsidRPr="008A5E9E">
        <w:rPr>
          <w:color w:val="000000"/>
        </w:rPr>
        <w:t xml:space="preserve">FirstEnergy EDCs provided revisions to the plan on February 19, 2014, and the SWE Team approved the revised version as the final Phase II EM&amp;V Plan. The SWE Team’s review of the evaluation activities revealed that the plan was followed appropriately for all PY6 </w:t>
      </w:r>
      <w:r>
        <w:rPr>
          <w:color w:val="000000"/>
        </w:rPr>
        <w:t xml:space="preserve">and PY 7 </w:t>
      </w:r>
      <w:r w:rsidRPr="008A5E9E">
        <w:rPr>
          <w:color w:val="000000"/>
        </w:rPr>
        <w:t>EM&amp;V activities.</w:t>
      </w:r>
    </w:p>
    <w:p w:rsidR="00496A99" w:rsidRPr="009847AC" w:rsidRDefault="00496A99" w:rsidP="009847AC"/>
    <w:p w:rsidR="00950837" w:rsidRDefault="00950837" w:rsidP="00D34B3E">
      <w:pPr>
        <w:pStyle w:val="AppendixAHeading3"/>
      </w:pPr>
      <w:r>
        <w:t>Measurement and Verification Activities and Findings</w:t>
      </w:r>
    </w:p>
    <w:p w:rsidR="00D36180" w:rsidRPr="00EE3A4B" w:rsidRDefault="00D36180" w:rsidP="00D36180">
      <w:r w:rsidRPr="00EE3A4B">
        <w:lastRenderedPageBreak/>
        <w:t xml:space="preserve">Realization rates compare gross savings reported by the EDC </w:t>
      </w:r>
      <w:r w:rsidR="009D6AA9">
        <w:t>with</w:t>
      </w:r>
      <w:r w:rsidRPr="00EE3A4B">
        <w:t xml:space="preserve"> the verified gross savings determined by the EDC evaluation contractor through M&amp;V.</w:t>
      </w:r>
      <w:r>
        <w:t xml:space="preserve"> </w:t>
      </w:r>
      <w:r>
        <w:fldChar w:fldCharType="begin"/>
      </w:r>
      <w:r>
        <w:instrText xml:space="preserve"> REF _Ref472464412 \h </w:instrText>
      </w:r>
      <w:r>
        <w:fldChar w:fldCharType="separate"/>
      </w:r>
      <w:r w:rsidR="00C301D0">
        <w:t>Table A-</w:t>
      </w:r>
      <w:r w:rsidR="00C301D0">
        <w:rPr>
          <w:noProof/>
        </w:rPr>
        <w:t>74</w:t>
      </w:r>
      <w:r>
        <w:fldChar w:fldCharType="end"/>
      </w:r>
      <w:r w:rsidRPr="00EE3A4B">
        <w:t xml:space="preserve"> summarizes M&amp;V findings based on activities conducted by the </w:t>
      </w:r>
      <w:r w:rsidR="003469C3">
        <w:t>Penn Power</w:t>
      </w:r>
      <w:r w:rsidRPr="00EE3A4B">
        <w:t xml:space="preserve"> evaluation contractor. The summary is based on details provided in </w:t>
      </w:r>
      <w:r w:rsidR="003469C3">
        <w:t>Penn Power</w:t>
      </w:r>
      <w:r>
        <w:t>’s</w:t>
      </w:r>
      <w:r w:rsidRPr="00EE3A4B">
        <w:t xml:space="preserve"> PY6 annual report and on information obtained from the SWE Team’s data requests and audits. </w:t>
      </w:r>
      <w:r>
        <w:fldChar w:fldCharType="begin"/>
      </w:r>
      <w:r>
        <w:instrText xml:space="preserve"> REF _Ref472464412 \h </w:instrText>
      </w:r>
      <w:r>
        <w:fldChar w:fldCharType="separate"/>
      </w:r>
      <w:r w:rsidR="00C301D0">
        <w:t>Table A-</w:t>
      </w:r>
      <w:r w:rsidR="00C301D0">
        <w:rPr>
          <w:noProof/>
        </w:rPr>
        <w:t>74</w:t>
      </w:r>
      <w:r>
        <w:fldChar w:fldCharType="end"/>
      </w:r>
      <w:r>
        <w:t xml:space="preserve"> </w:t>
      </w:r>
      <w:r w:rsidRPr="00EE3A4B">
        <w:t xml:space="preserve">presents realization rates and relative precision values for verified energy and demand savings for each of </w:t>
      </w:r>
      <w:r w:rsidR="003469C3">
        <w:t>Penn Power</w:t>
      </w:r>
      <w:r w:rsidRPr="00EE3A4B">
        <w:t>’s residential and non-residential energy efficiency programs in PY</w:t>
      </w:r>
      <w:r>
        <w:t>7</w:t>
      </w:r>
      <w:r w:rsidRPr="00EE3A4B">
        <w:t xml:space="preserve">. </w:t>
      </w:r>
    </w:p>
    <w:p w:rsidR="00D36180" w:rsidRPr="00EE3A4B" w:rsidRDefault="00D36180" w:rsidP="00D36180">
      <w:pPr>
        <w:rPr>
          <w:highlight w:val="lightGray"/>
        </w:rPr>
      </w:pPr>
    </w:p>
    <w:p w:rsidR="00D36180" w:rsidRPr="00EE3A4B" w:rsidRDefault="00D36180" w:rsidP="00D36180">
      <w:pPr>
        <w:pStyle w:val="Caption"/>
      </w:pPr>
      <w:bookmarkStart w:id="913" w:name="_Ref472464412"/>
      <w:bookmarkStart w:id="914" w:name="_Toc472472483"/>
      <w:bookmarkStart w:id="915" w:name="_Toc476842189"/>
      <w:r>
        <w:t>Table A-</w:t>
      </w:r>
      <w:fldSimple w:instr=" SEQ Table_A- \* ARABIC ">
        <w:r w:rsidR="00C301D0">
          <w:rPr>
            <w:noProof/>
          </w:rPr>
          <w:t>74</w:t>
        </w:r>
      </w:fldSimple>
      <w:bookmarkEnd w:id="913"/>
      <w:r>
        <w:t>: Pen</w:t>
      </w:r>
      <w:r w:rsidR="003469C3">
        <w:t>n Power</w:t>
      </w:r>
      <w:r w:rsidRPr="00EE3A4B">
        <w:t xml:space="preserve"> Energy Efficiency Programs – Realization Rates for Energy and Demand Savings in PY</w:t>
      </w:r>
      <w:r>
        <w:t>7</w:t>
      </w:r>
      <w:bookmarkEnd w:id="914"/>
      <w:bookmarkEnd w:id="915"/>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172"/>
        <w:gridCol w:w="1547"/>
        <w:gridCol w:w="1547"/>
        <w:gridCol w:w="1547"/>
        <w:gridCol w:w="1547"/>
      </w:tblGrid>
      <w:tr w:rsidR="00A874AC" w:rsidRPr="00EE3A4B" w:rsidTr="00380FF9">
        <w:trPr>
          <w:trHeight w:val="836"/>
          <w:tblHeader/>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448A99"/>
            <w:noWrap/>
            <w:vAlign w:val="bottom"/>
            <w:hideMark/>
          </w:tcPr>
          <w:p w:rsidR="00D36180" w:rsidRPr="00EE3A4B" w:rsidRDefault="00D36180" w:rsidP="00380FF9">
            <w:pPr>
              <w:rPr>
                <w:rFonts w:eastAsia="Calibri"/>
                <w:b/>
                <w:color w:val="FFFFFF"/>
                <w:sz w:val="20"/>
                <w:szCs w:val="20"/>
              </w:rPr>
            </w:pPr>
            <w:r w:rsidRPr="00EE3A4B">
              <w:rPr>
                <w:rFonts w:eastAsia="Calibri"/>
                <w:b/>
                <w:color w:val="FFFFFF"/>
                <w:sz w:val="20"/>
                <w:szCs w:val="20"/>
              </w:rPr>
              <w:t>Program</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D36180" w:rsidRPr="00EE3A4B" w:rsidRDefault="00D36180" w:rsidP="00380FF9">
            <w:pPr>
              <w:jc w:val="center"/>
              <w:rPr>
                <w:rFonts w:eastAsia="Calibri"/>
                <w:b/>
                <w:color w:val="FFFFFF"/>
                <w:sz w:val="20"/>
                <w:szCs w:val="20"/>
              </w:rPr>
            </w:pPr>
            <w:r w:rsidRPr="00EE3A4B">
              <w:rPr>
                <w:rFonts w:eastAsia="Calibri"/>
                <w:b/>
                <w:color w:val="FFFFFF"/>
                <w:sz w:val="20"/>
                <w:szCs w:val="20"/>
              </w:rPr>
              <w:t>Energy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D36180" w:rsidRPr="00EE3A4B" w:rsidRDefault="00D36180" w:rsidP="00380FF9">
            <w:pPr>
              <w:jc w:val="center"/>
              <w:rPr>
                <w:rFonts w:eastAsia="Calibri"/>
                <w:b/>
                <w:color w:val="FFFFFF"/>
                <w:sz w:val="20"/>
                <w:szCs w:val="20"/>
              </w:rPr>
            </w:pPr>
            <w:r w:rsidRPr="00EE3A4B">
              <w:rPr>
                <w:rFonts w:eastAsia="Calibri"/>
                <w:b/>
                <w:color w:val="FFFFFF"/>
                <w:sz w:val="20"/>
                <w:szCs w:val="20"/>
              </w:rPr>
              <w:t>Relative Precision (Energy)</w:t>
            </w:r>
            <w:r w:rsidRPr="00EE3A4B">
              <w:rPr>
                <w:rFonts w:eastAsia="Calibri"/>
                <w:b/>
                <w:color w:val="FFFFFF"/>
                <w:sz w:val="20"/>
                <w:szCs w:val="20"/>
                <w:vertAlign w:val="superscript"/>
              </w:rPr>
              <w:t>[a]</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D36180" w:rsidRPr="00EE3A4B" w:rsidRDefault="00D36180" w:rsidP="00380FF9">
            <w:pPr>
              <w:jc w:val="center"/>
              <w:rPr>
                <w:rFonts w:eastAsia="Calibri"/>
                <w:b/>
                <w:color w:val="FFFFFF"/>
                <w:sz w:val="20"/>
                <w:szCs w:val="20"/>
              </w:rPr>
            </w:pPr>
            <w:r w:rsidRPr="00EE3A4B">
              <w:rPr>
                <w:rFonts w:eastAsia="Calibri"/>
                <w:b/>
                <w:color w:val="FFFFFF"/>
                <w:sz w:val="20"/>
                <w:szCs w:val="20"/>
              </w:rPr>
              <w:t>Demand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D36180" w:rsidRPr="00EE3A4B" w:rsidRDefault="00D36180" w:rsidP="00380FF9">
            <w:pPr>
              <w:jc w:val="center"/>
              <w:rPr>
                <w:rFonts w:eastAsia="Calibri"/>
                <w:b/>
                <w:color w:val="FFFFFF"/>
                <w:sz w:val="20"/>
                <w:szCs w:val="20"/>
              </w:rPr>
            </w:pPr>
            <w:r w:rsidRPr="00EE3A4B">
              <w:rPr>
                <w:rFonts w:eastAsia="Calibri"/>
                <w:b/>
                <w:color w:val="FFFFFF"/>
                <w:sz w:val="20"/>
                <w:szCs w:val="20"/>
              </w:rPr>
              <w:t>Relative Precision (Demand)</w:t>
            </w:r>
            <w:r w:rsidRPr="00EE3A4B">
              <w:rPr>
                <w:rFonts w:eastAsia="Calibri"/>
                <w:b/>
                <w:color w:val="FFFFFF"/>
                <w:sz w:val="20"/>
                <w:szCs w:val="20"/>
                <w:vertAlign w:val="superscript"/>
              </w:rPr>
              <w:t>[a]</w:t>
            </w:r>
          </w:p>
        </w:tc>
      </w:tr>
      <w:tr w:rsidR="00A874AC" w:rsidRPr="00EE3A4B"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D36180" w:rsidP="00380FF9">
            <w:pPr>
              <w:jc w:val="left"/>
              <w:rPr>
                <w:rFonts w:eastAsia="Calibri"/>
                <w:sz w:val="20"/>
                <w:szCs w:val="20"/>
              </w:rPr>
            </w:pPr>
            <w:r w:rsidRPr="00EE3A4B">
              <w:rPr>
                <w:rFonts w:eastAsia="Calibri"/>
                <w:sz w:val="20"/>
                <w:szCs w:val="20"/>
              </w:rPr>
              <w:t>Appliance Turn-In</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380FF9">
            <w:pPr>
              <w:jc w:val="center"/>
              <w:rPr>
                <w:rFonts w:eastAsia="Calibri"/>
                <w:sz w:val="20"/>
                <w:szCs w:val="20"/>
              </w:rPr>
            </w:pPr>
            <w:r>
              <w:rPr>
                <w:rFonts w:eastAsia="Calibri"/>
                <w:sz w:val="20"/>
                <w:szCs w:val="20"/>
              </w:rPr>
              <w:t>92.0</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380FF9">
            <w:pPr>
              <w:jc w:val="center"/>
              <w:rPr>
                <w:rFonts w:eastAsia="Calibri"/>
                <w:sz w:val="20"/>
                <w:szCs w:val="20"/>
              </w:rPr>
            </w:pPr>
            <w:r>
              <w:rPr>
                <w:rFonts w:eastAsia="Calibri"/>
                <w:sz w:val="20"/>
                <w:szCs w:val="20"/>
              </w:rPr>
              <w:t>7.9</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380FF9">
            <w:pPr>
              <w:jc w:val="center"/>
              <w:rPr>
                <w:rFonts w:eastAsia="Calibri"/>
                <w:sz w:val="20"/>
                <w:szCs w:val="20"/>
              </w:rPr>
            </w:pPr>
            <w:r>
              <w:rPr>
                <w:rFonts w:eastAsia="Calibri"/>
                <w:sz w:val="20"/>
                <w:szCs w:val="20"/>
              </w:rPr>
              <w:t>92.6</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B3573A">
            <w:pPr>
              <w:jc w:val="center"/>
              <w:rPr>
                <w:rFonts w:eastAsia="Calibri"/>
                <w:sz w:val="20"/>
                <w:szCs w:val="20"/>
              </w:rPr>
            </w:pPr>
            <w:r>
              <w:rPr>
                <w:rFonts w:eastAsia="Calibri"/>
                <w:sz w:val="20"/>
                <w:szCs w:val="20"/>
              </w:rPr>
              <w:t>9.3</w:t>
            </w:r>
            <w:r w:rsidR="00D36180" w:rsidRPr="00EE3A4B">
              <w:rPr>
                <w:rFonts w:eastAsia="Calibri"/>
                <w:sz w:val="20"/>
                <w:szCs w:val="20"/>
              </w:rPr>
              <w:t>%</w:t>
            </w:r>
          </w:p>
        </w:tc>
      </w:tr>
      <w:tr w:rsidR="00E7173E" w:rsidRPr="00EE3A4B" w:rsidTr="00AB3C36">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EE3A4B" w:rsidRDefault="00D36180" w:rsidP="00380FF9">
            <w:pPr>
              <w:jc w:val="left"/>
              <w:rPr>
                <w:rFonts w:eastAsia="Calibri"/>
                <w:sz w:val="20"/>
                <w:szCs w:val="20"/>
              </w:rPr>
            </w:pPr>
            <w:r w:rsidRPr="00EE3A4B">
              <w:rPr>
                <w:rFonts w:eastAsia="Calibri"/>
                <w:sz w:val="20"/>
                <w:szCs w:val="20"/>
              </w:rPr>
              <w:t>Efficient Products</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EE3A4B" w:rsidRDefault="00B3573A" w:rsidP="00380FF9">
            <w:pPr>
              <w:jc w:val="center"/>
              <w:rPr>
                <w:rFonts w:eastAsia="Calibri"/>
                <w:sz w:val="20"/>
                <w:szCs w:val="20"/>
              </w:rPr>
            </w:pPr>
            <w:r>
              <w:rPr>
                <w:rFonts w:eastAsia="Calibri"/>
                <w:sz w:val="20"/>
                <w:szCs w:val="20"/>
              </w:rPr>
              <w:t>128.6</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EE3A4B" w:rsidRDefault="00B3573A" w:rsidP="00380FF9">
            <w:pPr>
              <w:jc w:val="center"/>
              <w:rPr>
                <w:rFonts w:eastAsia="Calibri"/>
                <w:sz w:val="20"/>
                <w:szCs w:val="20"/>
              </w:rPr>
            </w:pPr>
            <w:r>
              <w:rPr>
                <w:rFonts w:eastAsia="Calibri"/>
                <w:sz w:val="20"/>
                <w:szCs w:val="20"/>
              </w:rPr>
              <w:t>5.6</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EE3A4B" w:rsidRDefault="00B3573A" w:rsidP="00380FF9">
            <w:pPr>
              <w:jc w:val="center"/>
              <w:rPr>
                <w:rFonts w:eastAsia="Calibri"/>
                <w:sz w:val="20"/>
                <w:szCs w:val="20"/>
              </w:rPr>
            </w:pPr>
            <w:r>
              <w:rPr>
                <w:rFonts w:eastAsia="Calibri"/>
                <w:sz w:val="20"/>
                <w:szCs w:val="20"/>
              </w:rPr>
              <w:t>163.3</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EE3A4B" w:rsidRDefault="00B3573A" w:rsidP="00B3573A">
            <w:pPr>
              <w:jc w:val="center"/>
              <w:rPr>
                <w:rFonts w:eastAsia="Calibri"/>
                <w:sz w:val="20"/>
                <w:szCs w:val="20"/>
              </w:rPr>
            </w:pPr>
            <w:r>
              <w:rPr>
                <w:rFonts w:eastAsia="Calibri"/>
                <w:sz w:val="20"/>
                <w:szCs w:val="20"/>
              </w:rPr>
              <w:t>14.2</w:t>
            </w:r>
            <w:r w:rsidR="00D36180" w:rsidRPr="00EE3A4B">
              <w:rPr>
                <w:rFonts w:eastAsia="Calibri"/>
                <w:sz w:val="20"/>
                <w:szCs w:val="20"/>
              </w:rPr>
              <w:t>%</w:t>
            </w:r>
          </w:p>
        </w:tc>
      </w:tr>
      <w:tr w:rsidR="00A874AC" w:rsidRPr="00EE3A4B"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D36180" w:rsidP="00380FF9">
            <w:pPr>
              <w:jc w:val="left"/>
              <w:rPr>
                <w:rFonts w:eastAsia="Calibri"/>
                <w:sz w:val="20"/>
                <w:szCs w:val="20"/>
              </w:rPr>
            </w:pPr>
            <w:r w:rsidRPr="00EE3A4B">
              <w:rPr>
                <w:rFonts w:eastAsia="Calibri"/>
                <w:sz w:val="20"/>
                <w:szCs w:val="20"/>
              </w:rPr>
              <w:t>Home Performance</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D36180" w:rsidP="00B3573A">
            <w:pPr>
              <w:jc w:val="center"/>
              <w:rPr>
                <w:rFonts w:eastAsia="Calibri"/>
                <w:sz w:val="20"/>
                <w:szCs w:val="20"/>
              </w:rPr>
            </w:pPr>
            <w:r>
              <w:rPr>
                <w:rFonts w:eastAsia="Calibri"/>
                <w:sz w:val="20"/>
                <w:szCs w:val="20"/>
              </w:rPr>
              <w:t>9</w:t>
            </w:r>
            <w:r w:rsidR="00B3573A">
              <w:rPr>
                <w:rFonts w:eastAsia="Calibri"/>
                <w:sz w:val="20"/>
                <w:szCs w:val="20"/>
              </w:rPr>
              <w:t>2.3</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380FF9">
            <w:pPr>
              <w:jc w:val="center"/>
              <w:rPr>
                <w:rFonts w:eastAsia="Calibri"/>
                <w:sz w:val="20"/>
                <w:szCs w:val="20"/>
              </w:rPr>
            </w:pPr>
            <w:r>
              <w:rPr>
                <w:rFonts w:eastAsia="Calibri"/>
                <w:sz w:val="20"/>
                <w:szCs w:val="20"/>
              </w:rPr>
              <w:t>5.5</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B3573A">
            <w:pPr>
              <w:jc w:val="center"/>
              <w:rPr>
                <w:rFonts w:eastAsia="Calibri"/>
                <w:sz w:val="20"/>
                <w:szCs w:val="20"/>
              </w:rPr>
            </w:pPr>
            <w:r>
              <w:rPr>
                <w:rFonts w:eastAsia="Calibri"/>
                <w:sz w:val="20"/>
                <w:szCs w:val="20"/>
              </w:rPr>
              <w:t>83.1</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380FF9">
            <w:pPr>
              <w:jc w:val="center"/>
              <w:rPr>
                <w:rFonts w:eastAsia="Calibri"/>
                <w:sz w:val="20"/>
                <w:szCs w:val="20"/>
              </w:rPr>
            </w:pPr>
            <w:r>
              <w:rPr>
                <w:rFonts w:eastAsia="Calibri"/>
                <w:sz w:val="20"/>
                <w:szCs w:val="20"/>
              </w:rPr>
              <w:t>6.6</w:t>
            </w:r>
            <w:r w:rsidR="00D36180" w:rsidRPr="00EE3A4B">
              <w:rPr>
                <w:rFonts w:eastAsia="Calibri"/>
                <w:sz w:val="20"/>
                <w:szCs w:val="20"/>
              </w:rPr>
              <w:t>%</w:t>
            </w:r>
          </w:p>
        </w:tc>
      </w:tr>
      <w:tr w:rsidR="00E7173E" w:rsidRPr="00EE3A4B" w:rsidTr="00AB3C36">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EE3A4B" w:rsidRDefault="00D36180" w:rsidP="00380FF9">
            <w:pPr>
              <w:jc w:val="left"/>
              <w:rPr>
                <w:rFonts w:eastAsia="Calibri"/>
                <w:sz w:val="20"/>
                <w:szCs w:val="20"/>
              </w:rPr>
            </w:pPr>
            <w:r w:rsidRPr="00EE3A4B">
              <w:rPr>
                <w:rFonts w:eastAsia="Calibri"/>
                <w:sz w:val="20"/>
                <w:szCs w:val="20"/>
              </w:rPr>
              <w:t>Low-Income</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EE3A4B" w:rsidRDefault="00B3573A" w:rsidP="00380FF9">
            <w:pPr>
              <w:jc w:val="center"/>
              <w:rPr>
                <w:rFonts w:eastAsia="Calibri"/>
                <w:sz w:val="20"/>
                <w:szCs w:val="20"/>
              </w:rPr>
            </w:pPr>
            <w:r>
              <w:rPr>
                <w:rFonts w:eastAsia="Calibri"/>
                <w:sz w:val="20"/>
                <w:szCs w:val="20"/>
              </w:rPr>
              <w:t>114.5</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EE3A4B" w:rsidRDefault="00B3573A" w:rsidP="00380FF9">
            <w:pPr>
              <w:jc w:val="center"/>
              <w:rPr>
                <w:rFonts w:eastAsia="Calibri"/>
                <w:sz w:val="20"/>
                <w:szCs w:val="20"/>
              </w:rPr>
            </w:pPr>
            <w:r>
              <w:rPr>
                <w:rFonts w:eastAsia="Calibri"/>
                <w:sz w:val="20"/>
                <w:szCs w:val="20"/>
              </w:rPr>
              <w:t>9.9</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EE3A4B" w:rsidRDefault="00B3573A" w:rsidP="00B3573A">
            <w:pPr>
              <w:jc w:val="center"/>
              <w:rPr>
                <w:rFonts w:eastAsia="Calibri"/>
                <w:sz w:val="20"/>
                <w:szCs w:val="20"/>
              </w:rPr>
            </w:pPr>
            <w:r>
              <w:rPr>
                <w:rFonts w:eastAsia="Calibri"/>
                <w:sz w:val="20"/>
                <w:szCs w:val="20"/>
              </w:rPr>
              <w:t>121.4</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D36180" w:rsidRPr="00EE3A4B" w:rsidRDefault="00B3573A" w:rsidP="00380FF9">
            <w:pPr>
              <w:jc w:val="center"/>
              <w:rPr>
                <w:rFonts w:eastAsia="Calibri"/>
                <w:sz w:val="20"/>
                <w:szCs w:val="20"/>
              </w:rPr>
            </w:pPr>
            <w:r>
              <w:rPr>
                <w:rFonts w:eastAsia="Calibri"/>
                <w:sz w:val="20"/>
                <w:szCs w:val="20"/>
              </w:rPr>
              <w:t>9.9</w:t>
            </w:r>
            <w:r w:rsidR="00D36180" w:rsidRPr="00EE3A4B">
              <w:rPr>
                <w:rFonts w:eastAsia="Calibri"/>
                <w:sz w:val="20"/>
                <w:szCs w:val="20"/>
              </w:rPr>
              <w:t>%</w:t>
            </w:r>
          </w:p>
        </w:tc>
      </w:tr>
      <w:tr w:rsidR="00A874AC" w:rsidRPr="00EE3A4B"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D36180" w:rsidP="00380FF9">
            <w:pPr>
              <w:jc w:val="left"/>
              <w:rPr>
                <w:rFonts w:eastAsia="Calibri"/>
                <w:sz w:val="20"/>
                <w:szCs w:val="20"/>
              </w:rPr>
            </w:pPr>
            <w:r w:rsidRPr="00EE3A4B">
              <w:rPr>
                <w:rFonts w:eastAsia="Calibri"/>
                <w:sz w:val="20"/>
                <w:szCs w:val="20"/>
              </w:rPr>
              <w:t>Small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380FF9">
            <w:pPr>
              <w:jc w:val="center"/>
              <w:rPr>
                <w:rFonts w:eastAsia="Calibri"/>
                <w:sz w:val="20"/>
                <w:szCs w:val="20"/>
              </w:rPr>
            </w:pPr>
            <w:r>
              <w:rPr>
                <w:rFonts w:eastAsia="Calibri"/>
                <w:sz w:val="20"/>
                <w:szCs w:val="20"/>
              </w:rPr>
              <w:t>91.8</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380FF9">
            <w:pPr>
              <w:jc w:val="center"/>
              <w:rPr>
                <w:rFonts w:eastAsia="Calibri"/>
                <w:sz w:val="20"/>
                <w:szCs w:val="20"/>
              </w:rPr>
            </w:pPr>
            <w:r>
              <w:rPr>
                <w:rFonts w:eastAsia="Calibri"/>
                <w:sz w:val="20"/>
                <w:szCs w:val="20"/>
              </w:rPr>
              <w:t>13.3</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B3573A">
            <w:pPr>
              <w:jc w:val="center"/>
              <w:rPr>
                <w:rFonts w:eastAsia="Calibri"/>
                <w:sz w:val="20"/>
                <w:szCs w:val="20"/>
              </w:rPr>
            </w:pPr>
            <w:r>
              <w:rPr>
                <w:rFonts w:eastAsia="Calibri"/>
                <w:sz w:val="20"/>
                <w:szCs w:val="20"/>
              </w:rPr>
              <w:t>100.5</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380FF9">
            <w:pPr>
              <w:jc w:val="center"/>
              <w:rPr>
                <w:rFonts w:eastAsia="Calibri"/>
                <w:sz w:val="20"/>
                <w:szCs w:val="20"/>
              </w:rPr>
            </w:pPr>
            <w:r>
              <w:rPr>
                <w:rFonts w:eastAsia="Calibri"/>
                <w:sz w:val="20"/>
                <w:szCs w:val="20"/>
              </w:rPr>
              <w:t>14.4</w:t>
            </w:r>
            <w:r w:rsidR="00D36180" w:rsidRPr="00EE3A4B">
              <w:rPr>
                <w:rFonts w:eastAsia="Calibri"/>
                <w:sz w:val="20"/>
                <w:szCs w:val="20"/>
              </w:rPr>
              <w:t>%</w:t>
            </w:r>
          </w:p>
        </w:tc>
      </w:tr>
      <w:tr w:rsidR="00A874AC" w:rsidRPr="00EE3A4B"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EE3A4B" w:rsidRDefault="00D36180" w:rsidP="00380FF9">
            <w:pPr>
              <w:jc w:val="left"/>
              <w:rPr>
                <w:rFonts w:eastAsia="Calibri"/>
                <w:sz w:val="20"/>
                <w:szCs w:val="20"/>
              </w:rPr>
            </w:pPr>
            <w:r w:rsidRPr="00EE3A4B">
              <w:rPr>
                <w:rFonts w:eastAsia="Calibri"/>
                <w:sz w:val="20"/>
                <w:szCs w:val="20"/>
              </w:rPr>
              <w:t>Small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EE3A4B" w:rsidRDefault="00D36180" w:rsidP="00B3573A">
            <w:pPr>
              <w:jc w:val="center"/>
              <w:rPr>
                <w:rFonts w:eastAsia="Calibri"/>
                <w:sz w:val="20"/>
                <w:szCs w:val="20"/>
              </w:rPr>
            </w:pPr>
            <w:r>
              <w:rPr>
                <w:rFonts w:eastAsia="Calibri"/>
                <w:sz w:val="20"/>
                <w:szCs w:val="20"/>
              </w:rPr>
              <w:t>99.</w:t>
            </w:r>
            <w:r w:rsidR="00B3573A">
              <w:rPr>
                <w:rFonts w:eastAsia="Calibri"/>
                <w:sz w:val="20"/>
                <w:szCs w:val="20"/>
              </w:rPr>
              <w:t>2</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EE3A4B" w:rsidRDefault="00B3573A" w:rsidP="00380FF9">
            <w:pPr>
              <w:jc w:val="center"/>
              <w:rPr>
                <w:rFonts w:eastAsia="Calibri"/>
                <w:sz w:val="20"/>
                <w:szCs w:val="20"/>
              </w:rPr>
            </w:pPr>
            <w:r>
              <w:rPr>
                <w:rFonts w:eastAsia="Calibri"/>
                <w:sz w:val="20"/>
                <w:szCs w:val="20"/>
              </w:rPr>
              <w:t>11.2</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EE3A4B" w:rsidRDefault="00B3573A" w:rsidP="00380FF9">
            <w:pPr>
              <w:jc w:val="center"/>
              <w:rPr>
                <w:rFonts w:eastAsia="Calibri"/>
                <w:sz w:val="20"/>
                <w:szCs w:val="20"/>
              </w:rPr>
            </w:pPr>
            <w:r>
              <w:rPr>
                <w:rFonts w:eastAsia="Calibri"/>
                <w:sz w:val="20"/>
                <w:szCs w:val="20"/>
              </w:rPr>
              <w:t>101.3</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EE3A4B" w:rsidRDefault="00B3573A" w:rsidP="00380FF9">
            <w:pPr>
              <w:jc w:val="center"/>
              <w:rPr>
                <w:rFonts w:eastAsia="Calibri"/>
                <w:sz w:val="20"/>
                <w:szCs w:val="20"/>
              </w:rPr>
            </w:pPr>
            <w:r>
              <w:rPr>
                <w:rFonts w:eastAsia="Calibri"/>
                <w:sz w:val="20"/>
                <w:szCs w:val="20"/>
              </w:rPr>
              <w:t>9.4</w:t>
            </w:r>
            <w:r w:rsidR="00D36180" w:rsidRPr="00EE3A4B">
              <w:rPr>
                <w:rFonts w:eastAsia="Calibri"/>
                <w:sz w:val="20"/>
                <w:szCs w:val="20"/>
              </w:rPr>
              <w:t>%</w:t>
            </w:r>
          </w:p>
        </w:tc>
      </w:tr>
      <w:tr w:rsidR="00A874AC" w:rsidRPr="00EE3A4B"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D36180" w:rsidP="00380FF9">
            <w:pPr>
              <w:jc w:val="left"/>
              <w:rPr>
                <w:rFonts w:eastAsia="Calibri"/>
                <w:sz w:val="20"/>
                <w:szCs w:val="20"/>
              </w:rPr>
            </w:pPr>
            <w:r w:rsidRPr="00EE3A4B">
              <w:rPr>
                <w:rFonts w:eastAsia="Calibri"/>
                <w:sz w:val="20"/>
                <w:szCs w:val="20"/>
              </w:rPr>
              <w:t>Large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B3573A">
            <w:pPr>
              <w:jc w:val="center"/>
              <w:rPr>
                <w:rFonts w:eastAsia="Calibri"/>
                <w:sz w:val="20"/>
                <w:szCs w:val="20"/>
              </w:rPr>
            </w:pPr>
            <w:r>
              <w:rPr>
                <w:rFonts w:eastAsia="Calibri"/>
                <w:sz w:val="20"/>
                <w:szCs w:val="20"/>
              </w:rPr>
              <w:t>91.9</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380FF9">
            <w:pPr>
              <w:jc w:val="center"/>
              <w:rPr>
                <w:rFonts w:eastAsia="Calibri"/>
                <w:sz w:val="20"/>
                <w:szCs w:val="20"/>
              </w:rPr>
            </w:pPr>
            <w:r>
              <w:rPr>
                <w:rFonts w:eastAsia="Calibri"/>
                <w:sz w:val="20"/>
                <w:szCs w:val="20"/>
              </w:rPr>
              <w:t>11.9</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380FF9">
            <w:pPr>
              <w:jc w:val="center"/>
              <w:rPr>
                <w:rFonts w:eastAsia="Calibri"/>
                <w:sz w:val="20"/>
                <w:szCs w:val="20"/>
              </w:rPr>
            </w:pPr>
            <w:r>
              <w:rPr>
                <w:rFonts w:eastAsia="Calibri"/>
                <w:sz w:val="20"/>
                <w:szCs w:val="20"/>
              </w:rPr>
              <w:t>111.0</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D36180" w:rsidP="00B3573A">
            <w:pPr>
              <w:jc w:val="center"/>
              <w:rPr>
                <w:rFonts w:eastAsia="Calibri"/>
                <w:sz w:val="20"/>
                <w:szCs w:val="20"/>
              </w:rPr>
            </w:pPr>
            <w:r>
              <w:rPr>
                <w:rFonts w:eastAsia="Calibri"/>
                <w:sz w:val="20"/>
                <w:szCs w:val="20"/>
              </w:rPr>
              <w:t>12.</w:t>
            </w:r>
            <w:r w:rsidR="00B3573A">
              <w:rPr>
                <w:rFonts w:eastAsia="Calibri"/>
                <w:sz w:val="20"/>
                <w:szCs w:val="20"/>
              </w:rPr>
              <w:t>4</w:t>
            </w:r>
            <w:r w:rsidRPr="00EE3A4B">
              <w:rPr>
                <w:rFonts w:eastAsia="Calibri"/>
                <w:sz w:val="20"/>
                <w:szCs w:val="20"/>
              </w:rPr>
              <w:t>%</w:t>
            </w:r>
          </w:p>
        </w:tc>
      </w:tr>
      <w:tr w:rsidR="00A874AC" w:rsidRPr="00EE3A4B"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EE3A4B" w:rsidRDefault="00D36180" w:rsidP="00380FF9">
            <w:pPr>
              <w:jc w:val="left"/>
              <w:rPr>
                <w:rFonts w:eastAsia="Calibri"/>
                <w:sz w:val="20"/>
                <w:szCs w:val="20"/>
              </w:rPr>
            </w:pPr>
            <w:r w:rsidRPr="00EE3A4B">
              <w:rPr>
                <w:rFonts w:eastAsia="Calibri"/>
                <w:sz w:val="20"/>
                <w:szCs w:val="20"/>
              </w:rPr>
              <w:t>Large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EE3A4B" w:rsidRDefault="00B3573A" w:rsidP="00B3573A">
            <w:pPr>
              <w:jc w:val="center"/>
              <w:rPr>
                <w:rFonts w:eastAsia="Calibri"/>
                <w:sz w:val="20"/>
                <w:szCs w:val="20"/>
              </w:rPr>
            </w:pPr>
            <w:r>
              <w:rPr>
                <w:rFonts w:eastAsia="Calibri"/>
                <w:sz w:val="20"/>
                <w:szCs w:val="20"/>
              </w:rPr>
              <w:t>100.0</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EE3A4B" w:rsidRDefault="00B3573A" w:rsidP="00380FF9">
            <w:pPr>
              <w:jc w:val="center"/>
              <w:rPr>
                <w:rFonts w:eastAsia="Calibri"/>
                <w:sz w:val="20"/>
                <w:szCs w:val="20"/>
              </w:rPr>
            </w:pPr>
            <w:r>
              <w:rPr>
                <w:rFonts w:eastAsia="Calibri"/>
                <w:sz w:val="20"/>
                <w:szCs w:val="20"/>
              </w:rPr>
              <w:t>2.2</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EE3A4B" w:rsidRDefault="00B3573A" w:rsidP="00380FF9">
            <w:pPr>
              <w:jc w:val="center"/>
              <w:rPr>
                <w:rFonts w:eastAsia="Calibri"/>
                <w:sz w:val="20"/>
                <w:szCs w:val="20"/>
              </w:rPr>
            </w:pPr>
            <w:r>
              <w:rPr>
                <w:rFonts w:eastAsia="Calibri"/>
                <w:sz w:val="20"/>
                <w:szCs w:val="20"/>
              </w:rPr>
              <w:t>100.0</w:t>
            </w:r>
            <w:r w:rsidR="00D36180">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D36180" w:rsidRPr="00EE3A4B" w:rsidRDefault="00B3573A" w:rsidP="00B3573A">
            <w:pPr>
              <w:jc w:val="center"/>
              <w:rPr>
                <w:rFonts w:eastAsia="Calibri"/>
                <w:sz w:val="20"/>
                <w:szCs w:val="20"/>
              </w:rPr>
            </w:pPr>
            <w:r>
              <w:rPr>
                <w:rFonts w:eastAsia="Calibri"/>
                <w:sz w:val="20"/>
                <w:szCs w:val="20"/>
              </w:rPr>
              <w:t>0.0</w:t>
            </w:r>
            <w:r w:rsidR="00D36180" w:rsidRPr="00EE3A4B">
              <w:rPr>
                <w:rFonts w:eastAsia="Calibri"/>
                <w:sz w:val="20"/>
                <w:szCs w:val="20"/>
              </w:rPr>
              <w:t>%</w:t>
            </w:r>
          </w:p>
        </w:tc>
      </w:tr>
      <w:tr w:rsidR="00A874AC" w:rsidRPr="00EE3A4B" w:rsidTr="00380FF9">
        <w:trPr>
          <w:trHeight w:val="346"/>
          <w:jc w:val="center"/>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D36180" w:rsidP="00380FF9">
            <w:pPr>
              <w:jc w:val="left"/>
              <w:rPr>
                <w:rFonts w:eastAsia="Calibri"/>
                <w:sz w:val="20"/>
                <w:szCs w:val="20"/>
              </w:rPr>
            </w:pPr>
            <w:r w:rsidRPr="00EE3A4B">
              <w:rPr>
                <w:rFonts w:eastAsia="Calibri"/>
                <w:sz w:val="20"/>
                <w:szCs w:val="20"/>
              </w:rPr>
              <w:t>Government/Institutional</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D36180" w:rsidP="00B3573A">
            <w:pPr>
              <w:jc w:val="center"/>
              <w:rPr>
                <w:rFonts w:eastAsia="Calibri"/>
                <w:sz w:val="20"/>
                <w:szCs w:val="20"/>
              </w:rPr>
            </w:pPr>
            <w:r>
              <w:rPr>
                <w:rFonts w:eastAsia="Calibri"/>
                <w:sz w:val="20"/>
                <w:szCs w:val="20"/>
              </w:rPr>
              <w:t>9</w:t>
            </w:r>
            <w:r w:rsidR="00B3573A">
              <w:rPr>
                <w:rFonts w:eastAsia="Calibri"/>
                <w:sz w:val="20"/>
                <w:szCs w:val="20"/>
              </w:rPr>
              <w:t>5.8</w:t>
            </w:r>
            <w:r>
              <w:rPr>
                <w:rFonts w:eastAsia="Calibri"/>
                <w:sz w:val="20"/>
                <w:szCs w:val="20"/>
              </w:rPr>
              <w:t>2</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380FF9">
            <w:pPr>
              <w:jc w:val="center"/>
              <w:rPr>
                <w:rFonts w:eastAsia="Calibri"/>
                <w:sz w:val="20"/>
                <w:szCs w:val="20"/>
              </w:rPr>
            </w:pPr>
            <w:r>
              <w:rPr>
                <w:rFonts w:eastAsia="Calibri"/>
                <w:sz w:val="20"/>
                <w:szCs w:val="20"/>
              </w:rPr>
              <w:t>13.7</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380FF9">
            <w:pPr>
              <w:jc w:val="center"/>
              <w:rPr>
                <w:rFonts w:eastAsia="Calibri"/>
                <w:sz w:val="20"/>
                <w:szCs w:val="20"/>
              </w:rPr>
            </w:pPr>
            <w:r>
              <w:rPr>
                <w:rFonts w:eastAsia="Calibri"/>
                <w:sz w:val="20"/>
                <w:szCs w:val="20"/>
              </w:rPr>
              <w:t>0.0</w:t>
            </w:r>
            <w:r w:rsidR="00D36180"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D36180" w:rsidRPr="00EE3A4B" w:rsidRDefault="00B3573A" w:rsidP="00380FF9">
            <w:pPr>
              <w:jc w:val="center"/>
              <w:rPr>
                <w:rFonts w:eastAsia="Calibri"/>
                <w:sz w:val="20"/>
                <w:szCs w:val="20"/>
              </w:rPr>
            </w:pPr>
            <w:r>
              <w:rPr>
                <w:rFonts w:eastAsia="Calibri"/>
                <w:sz w:val="20"/>
                <w:szCs w:val="20"/>
              </w:rPr>
              <w:t>0.0</w:t>
            </w:r>
            <w:r w:rsidR="00D36180" w:rsidRPr="00EE3A4B">
              <w:rPr>
                <w:rFonts w:eastAsia="Calibri"/>
                <w:sz w:val="20"/>
                <w:szCs w:val="20"/>
              </w:rPr>
              <w:t>%</w:t>
            </w:r>
          </w:p>
        </w:tc>
      </w:tr>
      <w:tr w:rsidR="00E7173E" w:rsidRPr="00EE3A4B" w:rsidTr="00AB3C36">
        <w:trPr>
          <w:trHeight w:val="300"/>
          <w:jc w:val="center"/>
        </w:trPr>
        <w:tc>
          <w:tcPr>
            <w:tcW w:w="9360" w:type="dxa"/>
            <w:gridSpan w:val="5"/>
            <w:tcBorders>
              <w:top w:val="single" w:sz="4" w:space="0" w:color="448A99"/>
              <w:left w:val="single" w:sz="4" w:space="0" w:color="448A99"/>
              <w:bottom w:val="single" w:sz="4" w:space="0" w:color="448A99"/>
              <w:right w:val="single" w:sz="4" w:space="0" w:color="448A99"/>
            </w:tcBorders>
            <w:shd w:val="clear" w:color="auto" w:fill="448A99"/>
            <w:noWrap/>
            <w:vAlign w:val="center"/>
          </w:tcPr>
          <w:p w:rsidR="00D36180" w:rsidRPr="00EE3A4B" w:rsidRDefault="009D6AA9" w:rsidP="00380FF9">
            <w:pPr>
              <w:rPr>
                <w:rFonts w:eastAsia="Calibri"/>
                <w:color w:val="FFFFFF"/>
                <w:sz w:val="18"/>
                <w:szCs w:val="18"/>
              </w:rPr>
            </w:pPr>
            <w:r>
              <w:rPr>
                <w:rFonts w:eastAsia="Calibri"/>
                <w:color w:val="FFFFFF"/>
                <w:sz w:val="18"/>
                <w:szCs w:val="18"/>
              </w:rPr>
              <w:t>NOTE:</w:t>
            </w:r>
          </w:p>
          <w:p w:rsidR="00D36180" w:rsidRPr="00EE3A4B" w:rsidRDefault="00D36180" w:rsidP="00380FF9">
            <w:pPr>
              <w:rPr>
                <w:rFonts w:eastAsia="Calibri"/>
                <w:b/>
                <w:color w:val="FFFFFF"/>
                <w:sz w:val="18"/>
                <w:szCs w:val="18"/>
              </w:rPr>
            </w:pPr>
            <w:r w:rsidRPr="00EE3A4B">
              <w:rPr>
                <w:rFonts w:eastAsia="Calibri"/>
                <w:color w:val="FFFFFF"/>
                <w:sz w:val="18"/>
                <w:szCs w:val="18"/>
              </w:rPr>
              <w:t>[a]</w:t>
            </w:r>
            <w:r w:rsidR="00B97C91">
              <w:rPr>
                <w:rFonts w:eastAsia="Calibri"/>
                <w:color w:val="FFFFFF"/>
                <w:sz w:val="18"/>
                <w:szCs w:val="18"/>
              </w:rPr>
              <w:t xml:space="preserve"> </w:t>
            </w:r>
            <w:r w:rsidRPr="00EE3A4B">
              <w:rPr>
                <w:rFonts w:eastAsia="Calibri"/>
                <w:color w:val="FFFFFF"/>
                <w:sz w:val="18"/>
                <w:szCs w:val="18"/>
              </w:rPr>
              <w:t>Relative precision values are at the 85% confidence level.</w:t>
            </w:r>
          </w:p>
        </w:tc>
      </w:tr>
    </w:tbl>
    <w:p w:rsidR="00D36180" w:rsidRPr="008B741E" w:rsidRDefault="00D36180" w:rsidP="008B741E"/>
    <w:p w:rsidR="00361A55" w:rsidRPr="00361A55" w:rsidRDefault="00361A55" w:rsidP="00361A55">
      <w:pPr>
        <w:pStyle w:val="AppendixAHeading4"/>
        <w:rPr>
          <w:rFonts w:eastAsia="Calibri"/>
        </w:rPr>
      </w:pPr>
      <w:r w:rsidRPr="00361A55">
        <w:rPr>
          <w:rFonts w:eastAsia="Calibri"/>
        </w:rPr>
        <w:t>Residential Programs</w:t>
      </w:r>
    </w:p>
    <w:p w:rsidR="00361A55" w:rsidRPr="00361A55" w:rsidRDefault="00361A55" w:rsidP="00361A55">
      <w:pPr>
        <w:rPr>
          <w:rFonts w:eastAsia="Calibri"/>
        </w:rPr>
      </w:pPr>
      <w:r w:rsidRPr="00361A55">
        <w:rPr>
          <w:rFonts w:eastAsia="Calibri"/>
        </w:rPr>
        <w:t>The energy realization rates for Penn Power’s residential programs ranged from 92.0% to 128.6%. The demand realization rates ranged from 83.1% to 163.3%. Penn Power achieved the 15% relative precision requirement at the 85% confidence level for both energy and demand for all residential programs.</w:t>
      </w:r>
    </w:p>
    <w:p w:rsidR="00361A55" w:rsidRPr="00361A55" w:rsidRDefault="00361A55" w:rsidP="00361A55">
      <w:pPr>
        <w:rPr>
          <w:rFonts w:eastAsia="Calibri"/>
        </w:rPr>
      </w:pPr>
    </w:p>
    <w:p w:rsidR="00361A55" w:rsidRPr="00361A55" w:rsidRDefault="00361A55" w:rsidP="00361A55">
      <w:pPr>
        <w:rPr>
          <w:rFonts w:eastAsia="Calibri"/>
        </w:rPr>
      </w:pPr>
      <w:r w:rsidRPr="00361A55">
        <w:rPr>
          <w:rFonts w:eastAsia="Calibri"/>
        </w:rPr>
        <w:t>The Appliance Turn-In Program was evaluated through customer verification surveys to determine the fraction of refrigerators, freezers, and room air conditioners that were drawing power before retirement, as well as the other parameters necessary to determine the EUL from the TRM regression equation. The program realization rate is mostly a function of the difference between the ex ante and ex post EULs, the latter of which used actual PY7 collection data.</w:t>
      </w:r>
    </w:p>
    <w:p w:rsidR="00361A55" w:rsidRPr="00361A55" w:rsidRDefault="00361A55" w:rsidP="00361A55"/>
    <w:p w:rsidR="001E0C98" w:rsidRDefault="00370EE6" w:rsidP="00361A55">
      <w:pPr>
        <w:rPr>
          <w:rFonts w:eastAsia="Calibri"/>
        </w:rPr>
      </w:pPr>
      <w:r w:rsidRPr="0051723C">
        <w:rPr>
          <w:rFonts w:eastAsia="Calibri"/>
        </w:rPr>
        <w:t>The evaluations of the upstream lighting and products portions of the Efficient Products Program involved reviews of sales invoices, a review of the tracking and reporting system, and a detailed review of CSP energy and demand savings calculations. The appliance portion and the HVAC equipment/tune-up portion were evaluated through an invoice review, customer surveys, and a review of the energy and demand calculations with reference to the ENERGY STAR database</w:t>
      </w:r>
      <w:r>
        <w:rPr>
          <w:rFonts w:eastAsia="Calibri"/>
        </w:rPr>
        <w:t>.</w:t>
      </w:r>
    </w:p>
    <w:p w:rsidR="00370EE6" w:rsidRDefault="00370EE6" w:rsidP="00361A55">
      <w:pPr>
        <w:rPr>
          <w:rFonts w:eastAsia="Calibri"/>
        </w:rPr>
      </w:pPr>
    </w:p>
    <w:p w:rsidR="00361A55" w:rsidRPr="00361A55" w:rsidRDefault="00361A55" w:rsidP="00361A55">
      <w:pPr>
        <w:rPr>
          <w:rFonts w:eastAsia="Calibri"/>
        </w:rPr>
      </w:pPr>
      <w:r w:rsidRPr="00361A55">
        <w:rPr>
          <w:rFonts w:eastAsia="Calibri"/>
        </w:rPr>
        <w:t>The evaluation contractor approached the evaluation differently for each branch of the Home Performance Program. The home energy audit kits were evaluated using the T&amp;R</w:t>
      </w:r>
      <w:r w:rsidR="00AB3C36">
        <w:rPr>
          <w:rFonts w:eastAsia="Calibri"/>
        </w:rPr>
        <w:t xml:space="preserve"> </w:t>
      </w:r>
      <w:r w:rsidRPr="00361A55">
        <w:rPr>
          <w:rFonts w:eastAsia="Calibri"/>
        </w:rPr>
        <w:t xml:space="preserve">system as well as online and phone surveys to determine the delivery and installation rates for each measure. The kit receipt rates </w:t>
      </w:r>
      <w:r w:rsidRPr="00361A55">
        <w:rPr>
          <w:rFonts w:eastAsia="Calibri"/>
        </w:rPr>
        <w:lastRenderedPageBreak/>
        <w:t>and measure ISRs have been shown to fluctuate among EDCs, primarily due to statistical variations, and therefore average statewide ISRs are used for all four FirstEnergy companies. The new construction portion of the program was evaluated through an engineering review of a sample of projects in the portfolio. Energy and demand savings for this program were determined through REM/Rate software calculations, and the review focused on whether the modeling was performed correctly (including baseline assumptions) and if the results were reasonable. Th</w:t>
      </w:r>
      <w:r w:rsidR="009D6AA9">
        <w:rPr>
          <w:rFonts w:eastAsia="Calibri"/>
        </w:rPr>
        <w:t>e prescriptive, low-cost direct-</w:t>
      </w:r>
      <w:r w:rsidRPr="00361A55">
        <w:rPr>
          <w:rFonts w:eastAsia="Calibri"/>
        </w:rPr>
        <w:t>install portion was evaluated by reviewing the T&amp;R system and sample invoices to check if the TRM calculations were performed correctly and if the invoices matched the information in the database. For comprehensive weatherization jobs, those that saved more than 2 MWh/yr were evaluated through billing analysis, and those saving under 2 MWh/yr received an invoice review. The HER portion was reviewed and duplicated by the evaluation contractor, producing results consistent with the implementation CSP’s. The contractor then conducted its own full evaluation of the savings using a lagged seasonal regression model and adjusting for dual participation.</w:t>
      </w:r>
    </w:p>
    <w:p w:rsidR="00361A55" w:rsidRPr="00361A55" w:rsidRDefault="00361A55" w:rsidP="00361A55"/>
    <w:p w:rsidR="00361A55" w:rsidRPr="00361A55" w:rsidRDefault="00361A55" w:rsidP="00361A55">
      <w:pPr>
        <w:pStyle w:val="AppendixAHeading4"/>
        <w:rPr>
          <w:rFonts w:eastAsia="Calibri"/>
        </w:rPr>
      </w:pPr>
      <w:r w:rsidRPr="00361A55">
        <w:rPr>
          <w:rFonts w:eastAsia="Calibri"/>
        </w:rPr>
        <w:t>Low-Income Programs</w:t>
      </w:r>
    </w:p>
    <w:p w:rsidR="00361A55" w:rsidRPr="00361A55" w:rsidRDefault="00361A55" w:rsidP="00361A55">
      <w:r w:rsidRPr="00361A55">
        <w:t>The evaluation contractor reviewed the tracking data and on-site verification forms and results to determine ISRs for the WARM direct-install measures. For giveaway events, the evaluation contractor reviewed the tracking database and applied the ISR from the 201</w:t>
      </w:r>
      <w:r w:rsidR="00590018">
        <w:t>5</w:t>
      </w:r>
      <w:r w:rsidRPr="00361A55">
        <w:t xml:space="preserve"> TRM. There were no LILU energy kits distributed in PY7.</w:t>
      </w:r>
    </w:p>
    <w:p w:rsidR="00361A55" w:rsidRPr="00361A55" w:rsidRDefault="00361A55" w:rsidP="00361A55"/>
    <w:p w:rsidR="00361A55" w:rsidRPr="00361A55" w:rsidRDefault="00361A55" w:rsidP="00361A55">
      <w:pPr>
        <w:pStyle w:val="AppendixAHeading4"/>
        <w:rPr>
          <w:rFonts w:eastAsia="Calibri"/>
        </w:rPr>
      </w:pPr>
      <w:r w:rsidRPr="00361A55">
        <w:rPr>
          <w:rFonts w:eastAsia="Calibri"/>
        </w:rPr>
        <w:t>Non-Residential Programs</w:t>
      </w:r>
    </w:p>
    <w:p w:rsidR="00361A55" w:rsidRPr="00361A55" w:rsidRDefault="00361A55" w:rsidP="00361A55">
      <w:r w:rsidRPr="00361A55">
        <w:t>Realization rates for Penn Power’s non-residential programs’ energy savings ranged from 91.</w:t>
      </w:r>
      <w:r w:rsidR="00F21F28">
        <w:t>8</w:t>
      </w:r>
      <w:r w:rsidRPr="00361A55">
        <w:t>% to 100%. Realization rates for demand reductions from these programs ranged from 0.0% to 111.0%. The Government and Institutional Program was responsible for the low realization rate of 0% for demand, but all projects were street lighting, which has a 0 coincidence factor. Penn Power achieved the 15% precision requirement for kWh in all of its non-residential programs. It also achieved better than 15% precision for demand savings, although this is not a requirement for Phase II of Act 129.</w:t>
      </w:r>
    </w:p>
    <w:p w:rsidR="00361A55" w:rsidRPr="00361A55" w:rsidRDefault="00361A55" w:rsidP="00361A55"/>
    <w:p w:rsidR="00361A55" w:rsidRPr="00361A55" w:rsidRDefault="00B97C91" w:rsidP="00361A55">
      <w:r>
        <w:fldChar w:fldCharType="begin"/>
      </w:r>
      <w:r>
        <w:instrText xml:space="preserve"> REF _Ref473732512 \h </w:instrText>
      </w:r>
      <w:r>
        <w:fldChar w:fldCharType="separate"/>
      </w:r>
      <w:r w:rsidR="00C301D0">
        <w:t>Figure A-</w:t>
      </w:r>
      <w:r w:rsidR="00C301D0">
        <w:rPr>
          <w:noProof/>
        </w:rPr>
        <w:t>12</w:t>
      </w:r>
      <w:r>
        <w:fldChar w:fldCharType="end"/>
      </w:r>
      <w:r>
        <w:t xml:space="preserve"> </w:t>
      </w:r>
      <w:r w:rsidR="00361A55" w:rsidRPr="00361A55">
        <w:t>shows the frequency of each M&amp;V approach performed by ADM in PY7 for Penn Power’s Small C/I Equipment Program evaluation sample and the verified energy savings associated with each M&amp;V approach. ADM used both basic and enhanced levels of rigor to evaluate projects in the sample. Basic rigor includes surveys, desk reviews, and simple on-site verification (no logging). Enhanced rigor includes the following options, as recorded by ADM. The first consists of utility billing analysis to determine energy savings. Typically, 12 months of pre- and post-installation billing data are required for this approach. The second general approach is on-site verification with logging. This may be light logger deployment or more robust measurement of the retrofitted system’s continuous energy usage. The third general approach involves modeling energy performance of a facility before and after the efficiency measure is installed with an energy simulation.</w:t>
      </w:r>
    </w:p>
    <w:p w:rsidR="00361A55" w:rsidRPr="00361A55" w:rsidRDefault="00361A55" w:rsidP="00361A55"/>
    <w:p w:rsidR="008B741E" w:rsidRDefault="008B741E" w:rsidP="00361A55">
      <w:pPr>
        <w:pStyle w:val="Caption"/>
      </w:pPr>
      <w:bookmarkStart w:id="916" w:name="_Ref472465448"/>
      <w:bookmarkStart w:id="917" w:name="_Toc444269825"/>
    </w:p>
    <w:p w:rsidR="00361A55" w:rsidRPr="00361A55" w:rsidRDefault="00361A55" w:rsidP="00361A55">
      <w:pPr>
        <w:pStyle w:val="Caption"/>
      </w:pPr>
      <w:bookmarkStart w:id="918" w:name="_Ref473732512"/>
      <w:bookmarkStart w:id="919" w:name="_Toc476842286"/>
      <w:r>
        <w:t>Figure A-</w:t>
      </w:r>
      <w:fldSimple w:instr=" SEQ Figure_A- \* ARABIC ">
        <w:r w:rsidR="00C301D0">
          <w:rPr>
            <w:noProof/>
          </w:rPr>
          <w:t>12</w:t>
        </w:r>
      </w:fldSimple>
      <w:bookmarkEnd w:id="916"/>
      <w:bookmarkEnd w:id="918"/>
      <w:r>
        <w:t xml:space="preserve">: </w:t>
      </w:r>
      <w:r w:rsidRPr="00361A55">
        <w:t>Frequency of and Associated Energy Savings by M&amp;V Approach – Small C/I Equipment Program</w:t>
      </w:r>
      <w:bookmarkEnd w:id="917"/>
      <w:bookmarkEnd w:id="919"/>
    </w:p>
    <w:p w:rsidR="00361A55" w:rsidRPr="00361A55" w:rsidRDefault="00361A55" w:rsidP="00361A55">
      <w:pPr>
        <w:spacing w:before="200"/>
        <w:jc w:val="center"/>
      </w:pPr>
      <w:r w:rsidRPr="00361A55">
        <w:rPr>
          <w:noProof/>
        </w:rPr>
        <w:lastRenderedPageBreak/>
        <w:drawing>
          <wp:inline distT="0" distB="0" distL="0" distR="0" wp14:anchorId="296479E4" wp14:editId="0EA4DEEC">
            <wp:extent cx="5893904" cy="22354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3">
                      <a:extLst>
                        <a:ext uri="{28A0092B-C50C-407E-A947-70E740481C1C}">
                          <a14:useLocalDpi xmlns:a14="http://schemas.microsoft.com/office/drawing/2010/main" val="0"/>
                        </a:ext>
                      </a:extLst>
                    </a:blip>
                    <a:srcRect l="6544" t="5425" r="5730" b="8182"/>
                    <a:stretch/>
                  </pic:blipFill>
                  <pic:spPr bwMode="auto">
                    <a:xfrm>
                      <a:off x="0" y="0"/>
                      <a:ext cx="5906748" cy="2240280"/>
                    </a:xfrm>
                    <a:prstGeom prst="rect">
                      <a:avLst/>
                    </a:prstGeom>
                    <a:noFill/>
                    <a:ln>
                      <a:noFill/>
                    </a:ln>
                    <a:extLst>
                      <a:ext uri="{53640926-AAD7-44D8-BBD7-CCE9431645EC}">
                        <a14:shadowObscured xmlns:a14="http://schemas.microsoft.com/office/drawing/2010/main"/>
                      </a:ext>
                    </a:extLst>
                  </pic:spPr>
                </pic:pic>
              </a:graphicData>
            </a:graphic>
          </wp:inline>
        </w:drawing>
      </w:r>
    </w:p>
    <w:p w:rsidR="00B97C91" w:rsidRDefault="00B97C91" w:rsidP="00361A55">
      <w:pPr>
        <w:rPr>
          <w:rFonts w:ascii="Century Gothic" w:hAnsi="Century Gothic"/>
          <w:b/>
          <w:bCs/>
          <w:sz w:val="18"/>
          <w:szCs w:val="18"/>
        </w:rPr>
      </w:pPr>
    </w:p>
    <w:p w:rsidR="00361A55" w:rsidRPr="00361A55" w:rsidRDefault="00B97C91" w:rsidP="00361A55">
      <w:r>
        <w:rPr>
          <w:rFonts w:ascii="Century Gothic" w:hAnsi="Century Gothic"/>
          <w:b/>
          <w:bCs/>
          <w:sz w:val="18"/>
          <w:szCs w:val="18"/>
        </w:rPr>
        <w:fldChar w:fldCharType="begin"/>
      </w:r>
      <w:r>
        <w:instrText xml:space="preserve"> REF _Ref473732512 \h </w:instrText>
      </w:r>
      <w:r>
        <w:rPr>
          <w:rFonts w:ascii="Century Gothic" w:hAnsi="Century Gothic"/>
          <w:b/>
          <w:bCs/>
          <w:sz w:val="18"/>
          <w:szCs w:val="18"/>
        </w:rPr>
      </w:r>
      <w:r>
        <w:rPr>
          <w:rFonts w:ascii="Century Gothic" w:hAnsi="Century Gothic"/>
          <w:b/>
          <w:bCs/>
          <w:sz w:val="18"/>
          <w:szCs w:val="18"/>
        </w:rPr>
        <w:fldChar w:fldCharType="separate"/>
      </w:r>
      <w:r w:rsidR="00C301D0">
        <w:t>Figure A-</w:t>
      </w:r>
      <w:r w:rsidR="00C301D0">
        <w:rPr>
          <w:noProof/>
        </w:rPr>
        <w:t>12</w:t>
      </w:r>
      <w:r>
        <w:rPr>
          <w:rFonts w:ascii="Century Gothic" w:hAnsi="Century Gothic"/>
          <w:b/>
          <w:bCs/>
          <w:sz w:val="18"/>
          <w:szCs w:val="18"/>
        </w:rPr>
        <w:fldChar w:fldCharType="end"/>
      </w:r>
      <w:r>
        <w:rPr>
          <w:rFonts w:ascii="Century Gothic" w:hAnsi="Century Gothic"/>
          <w:b/>
          <w:bCs/>
          <w:sz w:val="18"/>
          <w:szCs w:val="18"/>
        </w:rPr>
        <w:t xml:space="preserve"> </w:t>
      </w:r>
      <w:r w:rsidR="00F143C0">
        <w:t>i</w:t>
      </w:r>
      <w:r w:rsidR="00361A55" w:rsidRPr="00361A55">
        <w:t>ndicates that 58% of the sampled measures for the Small C/I Equipment Program were evaluated using a basic level of rigor. However, the representative savings for these measures accounted for only 40% of the energy savings. This suggests that basic rigor was appropriately used, predominately for projects with smaller savings. Likewise, the more expensive enhanced rigor methods were reserved for a smaller number of projects, but these projects contributed a majority (60%) of the sample’s energy savings. The SWE Team supports this “value of information” approach, whereby more expensive evaluation techniques are reserved for projects that account for the greatest share of program savings.</w:t>
      </w:r>
    </w:p>
    <w:p w:rsidR="00361A55" w:rsidRPr="00361A55" w:rsidRDefault="00361A55" w:rsidP="00361A55"/>
    <w:p w:rsidR="00361A55" w:rsidRPr="00361A55" w:rsidRDefault="007E0D0D" w:rsidP="00361A55">
      <w:r>
        <w:t xml:space="preserve">Figure A-13 </w:t>
      </w:r>
      <w:r w:rsidR="00361A55" w:rsidRPr="00361A55">
        <w:t>shows the frequency of each M&amp;V method used in the Small C/I Buildings Program and the energy savings associated with each method. Projects evaluated by enhanced rigor approaches accounted for 71% of evaluation sample savings.</w:t>
      </w:r>
      <w:bookmarkStart w:id="920" w:name="_Ref408500533"/>
      <w:bookmarkStart w:id="921" w:name="_Toc408557567"/>
      <w:bookmarkStart w:id="922" w:name="_Toc408999443"/>
      <w:bookmarkStart w:id="923" w:name="_Toc409224968"/>
      <w:bookmarkStart w:id="924" w:name="_Toc409443647"/>
    </w:p>
    <w:p w:rsidR="00FA78C7" w:rsidRPr="00361A55" w:rsidRDefault="00FA78C7" w:rsidP="00361A55">
      <w:bookmarkStart w:id="925" w:name="_Ref472465474"/>
      <w:bookmarkStart w:id="926" w:name="_Ref441162159"/>
      <w:bookmarkStart w:id="927" w:name="_Toc444269826"/>
      <w:bookmarkEnd w:id="920"/>
    </w:p>
    <w:p w:rsidR="00361A55" w:rsidRPr="00361A55" w:rsidRDefault="00361A55" w:rsidP="00361A55">
      <w:pPr>
        <w:pStyle w:val="Caption"/>
      </w:pPr>
      <w:bookmarkStart w:id="928" w:name="_Toc476842287"/>
      <w:r>
        <w:t>Figure A-</w:t>
      </w:r>
      <w:fldSimple w:instr=" SEQ Figure_A- \* ARABIC ">
        <w:r w:rsidR="00C301D0">
          <w:rPr>
            <w:noProof/>
          </w:rPr>
          <w:t>13</w:t>
        </w:r>
      </w:fldSimple>
      <w:bookmarkEnd w:id="925"/>
      <w:r>
        <w:t xml:space="preserve">: </w:t>
      </w:r>
      <w:r w:rsidRPr="00361A55">
        <w:t>Frequency of and Associated Energy Savings by M&amp;V Approach – Small C/I Buildings Program</w:t>
      </w:r>
      <w:bookmarkEnd w:id="921"/>
      <w:bookmarkEnd w:id="922"/>
      <w:bookmarkEnd w:id="923"/>
      <w:bookmarkEnd w:id="924"/>
      <w:bookmarkEnd w:id="926"/>
      <w:bookmarkEnd w:id="927"/>
      <w:bookmarkEnd w:id="928"/>
    </w:p>
    <w:p w:rsidR="00361A55" w:rsidRPr="00361A55" w:rsidRDefault="00361A55" w:rsidP="00361A55">
      <w:pPr>
        <w:jc w:val="center"/>
      </w:pPr>
      <w:r w:rsidRPr="00361A55">
        <w:rPr>
          <w:noProof/>
        </w:rPr>
        <w:drawing>
          <wp:inline distT="0" distB="0" distL="0" distR="0" wp14:anchorId="6608B4F6" wp14:editId="7713282A">
            <wp:extent cx="5923252" cy="2249364"/>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4">
                      <a:extLst>
                        <a:ext uri="{28A0092B-C50C-407E-A947-70E740481C1C}">
                          <a14:useLocalDpi xmlns:a14="http://schemas.microsoft.com/office/drawing/2010/main" val="0"/>
                        </a:ext>
                      </a:extLst>
                    </a:blip>
                    <a:srcRect l="6964" t="5771" r="6140" b="8744"/>
                    <a:stretch/>
                  </pic:blipFill>
                  <pic:spPr bwMode="auto">
                    <a:xfrm>
                      <a:off x="0" y="0"/>
                      <a:ext cx="5936154" cy="2254264"/>
                    </a:xfrm>
                    <a:prstGeom prst="rect">
                      <a:avLst/>
                    </a:prstGeom>
                    <a:noFill/>
                    <a:ln>
                      <a:noFill/>
                    </a:ln>
                    <a:extLst>
                      <a:ext uri="{53640926-AAD7-44D8-BBD7-CCE9431645EC}">
                        <a14:shadowObscured xmlns:a14="http://schemas.microsoft.com/office/drawing/2010/main"/>
                      </a:ext>
                    </a:extLst>
                  </pic:spPr>
                </pic:pic>
              </a:graphicData>
            </a:graphic>
          </wp:inline>
        </w:drawing>
      </w:r>
    </w:p>
    <w:p w:rsidR="00361A55" w:rsidRPr="00361A55" w:rsidRDefault="00361A55" w:rsidP="00361A55"/>
    <w:p w:rsidR="007E0D0D" w:rsidRPr="00361A55" w:rsidRDefault="00361A55" w:rsidP="00361A55">
      <w:r>
        <w:fldChar w:fldCharType="begin"/>
      </w:r>
      <w:r>
        <w:instrText xml:space="preserve"> REF _Ref472465499 \h </w:instrText>
      </w:r>
      <w:r>
        <w:fldChar w:fldCharType="separate"/>
      </w:r>
    </w:p>
    <w:p w:rsidR="00361A55" w:rsidRPr="00361A55" w:rsidRDefault="007E0D0D" w:rsidP="00361A55">
      <w:r>
        <w:t>Figure A-</w:t>
      </w:r>
      <w:r>
        <w:rPr>
          <w:noProof/>
        </w:rPr>
        <w:t>14</w:t>
      </w:r>
      <w:r w:rsidR="00361A55">
        <w:fldChar w:fldCharType="end"/>
      </w:r>
      <w:r w:rsidR="00361A55" w:rsidRPr="00361A55">
        <w:t xml:space="preserve"> shows the frequency of each M&amp;V method used in the Large C/I Equipment Program and the energy savings associated with each method. Enhanced rigor was used for 50% of the projects, and these projects accounted for a majority of the savings. Basic rigor was appropriately limited to those projects with less savings.</w:t>
      </w:r>
    </w:p>
    <w:p w:rsidR="00FA78C7" w:rsidRPr="00361A55" w:rsidRDefault="00FA78C7" w:rsidP="00361A55">
      <w:bookmarkStart w:id="929" w:name="_Ref472465499"/>
      <w:bookmarkStart w:id="930" w:name="_Toc408557568"/>
      <w:bookmarkStart w:id="931" w:name="_Toc408999444"/>
      <w:bookmarkStart w:id="932" w:name="_Toc409224969"/>
      <w:bookmarkStart w:id="933" w:name="_Toc409443648"/>
      <w:bookmarkStart w:id="934" w:name="_Toc444269827"/>
    </w:p>
    <w:p w:rsidR="00361A55" w:rsidRPr="00361A55" w:rsidRDefault="00361A55" w:rsidP="00361A55">
      <w:pPr>
        <w:pStyle w:val="Caption"/>
      </w:pPr>
      <w:bookmarkStart w:id="935" w:name="_Toc476842288"/>
      <w:r>
        <w:lastRenderedPageBreak/>
        <w:t>Figure A-</w:t>
      </w:r>
      <w:fldSimple w:instr=" SEQ Figure_A- \* ARABIC ">
        <w:r w:rsidR="00C301D0">
          <w:rPr>
            <w:noProof/>
          </w:rPr>
          <w:t>14</w:t>
        </w:r>
      </w:fldSimple>
      <w:bookmarkEnd w:id="929"/>
      <w:r>
        <w:t xml:space="preserve">: </w:t>
      </w:r>
      <w:r w:rsidRPr="00361A55">
        <w:t>Frequency of and Associated Energy Savings by M&amp;V Approach – Large C/I Equipment Program</w:t>
      </w:r>
      <w:bookmarkEnd w:id="930"/>
      <w:bookmarkEnd w:id="931"/>
      <w:bookmarkEnd w:id="932"/>
      <w:bookmarkEnd w:id="933"/>
      <w:bookmarkEnd w:id="934"/>
      <w:bookmarkEnd w:id="935"/>
    </w:p>
    <w:p w:rsidR="00361A55" w:rsidRPr="00361A55" w:rsidRDefault="00361A55" w:rsidP="00361A55">
      <w:pPr>
        <w:jc w:val="center"/>
      </w:pPr>
      <w:r w:rsidRPr="00361A55">
        <w:rPr>
          <w:noProof/>
        </w:rPr>
        <w:drawing>
          <wp:inline distT="0" distB="0" distL="0" distR="0" wp14:anchorId="34F8DB8E" wp14:editId="4A0B99A5">
            <wp:extent cx="5849948" cy="2077278"/>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5">
                      <a:extLst>
                        <a:ext uri="{28A0092B-C50C-407E-A947-70E740481C1C}">
                          <a14:useLocalDpi xmlns:a14="http://schemas.microsoft.com/office/drawing/2010/main" val="0"/>
                        </a:ext>
                      </a:extLst>
                    </a:blip>
                    <a:srcRect l="6195" t="5201" b="8506"/>
                    <a:stretch/>
                  </pic:blipFill>
                  <pic:spPr bwMode="auto">
                    <a:xfrm>
                      <a:off x="0" y="0"/>
                      <a:ext cx="5865159" cy="2082680"/>
                    </a:xfrm>
                    <a:prstGeom prst="rect">
                      <a:avLst/>
                    </a:prstGeom>
                    <a:noFill/>
                    <a:ln>
                      <a:noFill/>
                    </a:ln>
                    <a:extLst>
                      <a:ext uri="{53640926-AAD7-44D8-BBD7-CCE9431645EC}">
                        <a14:shadowObscured xmlns:a14="http://schemas.microsoft.com/office/drawing/2010/main"/>
                      </a:ext>
                    </a:extLst>
                  </pic:spPr>
                </pic:pic>
              </a:graphicData>
            </a:graphic>
          </wp:inline>
        </w:drawing>
      </w:r>
    </w:p>
    <w:p w:rsidR="00361A55" w:rsidRPr="00361A55" w:rsidRDefault="00361A55" w:rsidP="00361A55"/>
    <w:p w:rsidR="00361A55" w:rsidRPr="00361A55" w:rsidRDefault="00361A55" w:rsidP="00361A55">
      <w:r w:rsidRPr="00361A55">
        <w:t>The Large Buildings Program had only one project completed in PY7, and it received an enhanced level of rigor in the form of an on-site inspection and building simulation.</w:t>
      </w:r>
    </w:p>
    <w:p w:rsidR="00361A55" w:rsidRPr="00361A55" w:rsidRDefault="00361A55" w:rsidP="00361A55"/>
    <w:p w:rsidR="00361A55" w:rsidRPr="00361A55" w:rsidRDefault="007E0D0D" w:rsidP="00361A55">
      <w:pPr>
        <w:rPr>
          <w:color w:val="000000"/>
        </w:rPr>
      </w:pPr>
      <w:r>
        <w:t>Figure A-15</w:t>
      </w:r>
      <w:r w:rsidR="00361A55" w:rsidRPr="00361A55">
        <w:rPr>
          <w:color w:val="000000"/>
        </w:rPr>
        <w:t xml:space="preserve"> shows the frequency of each M&amp;V method used in the Government and Institutional Program and the energy savings associated with each method. Basic rigor was used for 87% of the projects, and these projects accounted for 78% of the savings.</w:t>
      </w:r>
    </w:p>
    <w:p w:rsidR="00FA78C7" w:rsidRPr="00361A55" w:rsidRDefault="00FA78C7" w:rsidP="00361A55">
      <w:pPr>
        <w:rPr>
          <w:color w:val="000000"/>
        </w:rPr>
      </w:pPr>
      <w:bookmarkStart w:id="936" w:name="_Ref472465521"/>
    </w:p>
    <w:p w:rsidR="00361A55" w:rsidRPr="00361A55" w:rsidRDefault="00361A55" w:rsidP="00361A55">
      <w:pPr>
        <w:pStyle w:val="Caption"/>
      </w:pPr>
      <w:bookmarkStart w:id="937" w:name="_Toc476842289"/>
      <w:r>
        <w:t>Figure A-</w:t>
      </w:r>
      <w:fldSimple w:instr=" SEQ Figure_A- \* ARABIC ">
        <w:r w:rsidR="00C301D0">
          <w:rPr>
            <w:noProof/>
          </w:rPr>
          <w:t>15</w:t>
        </w:r>
      </w:fldSimple>
      <w:bookmarkEnd w:id="936"/>
      <w:r>
        <w:t xml:space="preserve">: </w:t>
      </w:r>
      <w:r w:rsidRPr="00361A55">
        <w:t>Frequency of and Associated Energy Savings by M&amp;V Approach – Government and Institutional Program</w:t>
      </w:r>
      <w:bookmarkEnd w:id="937"/>
    </w:p>
    <w:p w:rsidR="00361A55" w:rsidRPr="00361A55" w:rsidRDefault="00361A55" w:rsidP="00361A55">
      <w:r w:rsidRPr="00361A55">
        <w:rPr>
          <w:noProof/>
        </w:rPr>
        <w:drawing>
          <wp:inline distT="0" distB="0" distL="0" distR="0" wp14:anchorId="3A123E96" wp14:editId="68F7CCB1">
            <wp:extent cx="5747850" cy="2117034"/>
            <wp:effectExtent l="0" t="0" r="571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6">
                      <a:extLst>
                        <a:ext uri="{28A0092B-C50C-407E-A947-70E740481C1C}">
                          <a14:useLocalDpi xmlns:a14="http://schemas.microsoft.com/office/drawing/2010/main" val="0"/>
                        </a:ext>
                      </a:extLst>
                    </a:blip>
                    <a:srcRect l="7007" t="4763" r="1945" b="8163"/>
                    <a:stretch/>
                  </pic:blipFill>
                  <pic:spPr bwMode="auto">
                    <a:xfrm>
                      <a:off x="0" y="0"/>
                      <a:ext cx="5765856" cy="2123666"/>
                    </a:xfrm>
                    <a:prstGeom prst="rect">
                      <a:avLst/>
                    </a:prstGeom>
                    <a:noFill/>
                    <a:ln>
                      <a:noFill/>
                    </a:ln>
                    <a:extLst>
                      <a:ext uri="{53640926-AAD7-44D8-BBD7-CCE9431645EC}">
                        <a14:shadowObscured xmlns:a14="http://schemas.microsoft.com/office/drawing/2010/main"/>
                      </a:ext>
                    </a:extLst>
                  </pic:spPr>
                </pic:pic>
              </a:graphicData>
            </a:graphic>
          </wp:inline>
        </w:drawing>
      </w:r>
    </w:p>
    <w:p w:rsidR="00FA78C7" w:rsidRDefault="00FA78C7" w:rsidP="00361A55"/>
    <w:p w:rsidR="00FA78C7" w:rsidRPr="00361A55" w:rsidRDefault="00FA78C7" w:rsidP="00AB3C36"/>
    <w:p w:rsidR="00950837" w:rsidRDefault="00950837" w:rsidP="00D34B3E">
      <w:pPr>
        <w:pStyle w:val="AppendixAHeading3"/>
      </w:pPr>
      <w:r>
        <w:t>Process Evaluation Activities and Findings</w:t>
      </w:r>
    </w:p>
    <w:p w:rsidR="00C668C9" w:rsidRDefault="00C668C9" w:rsidP="00C668C9">
      <w:r w:rsidRPr="00661E10">
        <w:t>FirstEnergy’s evaluation contractor, ADM</w:t>
      </w:r>
      <w:r w:rsidR="0009501A">
        <w:t>/Tetra Tech</w:t>
      </w:r>
      <w:r w:rsidRPr="00661E10">
        <w:t>, took unified process evaluation approaches to these programs across the four FirstEnergy EDCs, including Pen</w:t>
      </w:r>
      <w:r>
        <w:t>n Power</w:t>
      </w:r>
      <w:r w:rsidRPr="00661E10">
        <w:t>, and so the annual evaluation reports of the four EDCs report identical information about the process evaluation.</w:t>
      </w:r>
      <w:r>
        <w:t xml:space="preserve"> Refer to Section </w:t>
      </w:r>
      <w:r>
        <w:fldChar w:fldCharType="begin"/>
      </w:r>
      <w:r>
        <w:instrText xml:space="preserve"> REF _Ref472450362 \r \h </w:instrText>
      </w:r>
      <w:r>
        <w:fldChar w:fldCharType="separate"/>
      </w:r>
      <w:r w:rsidR="00C301D0">
        <w:t>A.2.3.3</w:t>
      </w:r>
      <w:r>
        <w:fldChar w:fldCharType="end"/>
      </w:r>
      <w:r>
        <w:t xml:space="preserve"> for an overview of ADM</w:t>
      </w:r>
      <w:r w:rsidR="0009501A">
        <w:t>/Tetra Tech</w:t>
      </w:r>
      <w:r>
        <w:t>’s process evaluation activities and findings.</w:t>
      </w:r>
    </w:p>
    <w:p w:rsidR="008B741E" w:rsidRPr="00C668C9" w:rsidRDefault="008B741E" w:rsidP="00C668C9"/>
    <w:p w:rsidR="00950837" w:rsidRDefault="00950837" w:rsidP="0043541C">
      <w:pPr>
        <w:pStyle w:val="AppendixAHeading2"/>
      </w:pPr>
      <w:r>
        <w:t>Statewide Evaluator Audit Activities and Findings</w:t>
      </w:r>
    </w:p>
    <w:p w:rsidR="00C737E8" w:rsidRPr="00C737E8" w:rsidRDefault="00C737E8" w:rsidP="00C737E8">
      <w:r w:rsidRPr="00C737E8">
        <w:lastRenderedPageBreak/>
        <w:t>This section presents the activities of the SWE Team’s audits of Pen</w:t>
      </w:r>
      <w:r>
        <w:t>n Power</w:t>
      </w:r>
      <w:r w:rsidRPr="00C737E8">
        <w:t>’s portfolio of programs. It provides summary information and key findings from the SWE Team’s residential, low-income, non-residential, and NTG and process evaluation audit activities.</w:t>
      </w:r>
    </w:p>
    <w:p w:rsidR="00C737E8" w:rsidRPr="00C737E8" w:rsidRDefault="00C737E8" w:rsidP="00C737E8"/>
    <w:p w:rsidR="00950837" w:rsidRDefault="00950837" w:rsidP="00D34B3E">
      <w:pPr>
        <w:pStyle w:val="AppendixAHeading3"/>
      </w:pPr>
      <w:r>
        <w:t>Residential Program Audit Summary</w:t>
      </w:r>
    </w:p>
    <w:p w:rsidR="00AF66E0" w:rsidRPr="00AF66E0" w:rsidRDefault="00AF66E0" w:rsidP="00AF66E0">
      <w:pPr>
        <w:pStyle w:val="AppendixAHeading4"/>
        <w:rPr>
          <w:rFonts w:eastAsia="Calibri"/>
        </w:rPr>
      </w:pPr>
      <w:r w:rsidRPr="00AF66E0">
        <w:rPr>
          <w:rFonts w:eastAsia="Calibri"/>
        </w:rPr>
        <w:t xml:space="preserve">Residential Lighting Program </w:t>
      </w:r>
    </w:p>
    <w:p w:rsidR="00AF66E0" w:rsidRPr="00AF66E0" w:rsidRDefault="00AF66E0" w:rsidP="00AF66E0">
      <w:pPr>
        <w:rPr>
          <w:rFonts w:eastAsia="Calibri"/>
        </w:rPr>
      </w:pPr>
      <w:r w:rsidRPr="00AF66E0">
        <w:rPr>
          <w:rFonts w:eastAsia="Calibri"/>
        </w:rPr>
        <w:t>For PY7, residential upstream lighting accounted for the largest individual stratum of the reported savings in Penn Power’s Efficient Products Program. The SWE Team reviewed the database and tracking system submitted by Penn Power and its evaluation contractor to verify that the correct savings algorithms and deemed savings values were used in the program. The SWE Team also reviewed 10 invoices and product data sheets covering many different bulb types, from standard CFLs to decorative LEDs and floodlight bulbs. Due to the format of the tracking database, the SWE Team easily confirmed that the 2015 TRM was appropriately used for the calculations to quantify the program savings. The SWE Team also verified that Penn Power’s evaluation contractor correctly noted any discrepancies in the census data and accounted for any adjustments in the verified savings data.</w:t>
      </w:r>
    </w:p>
    <w:p w:rsidR="00AF66E0" w:rsidRPr="00AF66E0" w:rsidRDefault="00AF66E0" w:rsidP="00AF66E0">
      <w:pPr>
        <w:rPr>
          <w:rFonts w:eastAsia="Calibri"/>
        </w:rPr>
      </w:pPr>
    </w:p>
    <w:p w:rsidR="00AF66E0" w:rsidRPr="00AF66E0" w:rsidRDefault="00AF66E0" w:rsidP="00AF66E0">
      <w:pPr>
        <w:pStyle w:val="AppendixAHeading4"/>
        <w:rPr>
          <w:rFonts w:eastAsia="Calibri"/>
        </w:rPr>
      </w:pPr>
      <w:r w:rsidRPr="00AF66E0">
        <w:rPr>
          <w:rFonts w:eastAsia="Calibri"/>
        </w:rPr>
        <w:t>Appliance Turn-In Program</w:t>
      </w:r>
    </w:p>
    <w:p w:rsidR="00AF66E0" w:rsidRPr="00AF66E0" w:rsidRDefault="00AF66E0" w:rsidP="00AF66E0">
      <w:pPr>
        <w:rPr>
          <w:rFonts w:eastAsia="Calibri"/>
        </w:rPr>
      </w:pPr>
      <w:r w:rsidRPr="00AF66E0">
        <w:rPr>
          <w:rFonts w:eastAsia="Calibri"/>
        </w:rPr>
        <w:t>The SWE Team reviewed the spreadsheets and database used to calculate Penn Power’s verified gross savings. Unlike in previous years where the evaluation contractor simply used the deemed UECs from the TRM, in PY7 the contractor calculated a utility-specific UEC from the PY7 appliance recycling customer database. The SWE Team confirmed that the UECs were calculated correctly using the 2015 TRM regression coefficients and PY7 Penn Power customer data and that they were used correctly in determining annual kWh and kW savings. Because of a difference in how gross savings are calculated in the 2015 TRM, it was not necessary to account for refrigerator replacement. This is taken into account only in the net savings calculations. The Excel worksheets documented calculations clearly and were easy to follow.</w:t>
      </w:r>
    </w:p>
    <w:p w:rsidR="00AF66E0" w:rsidRPr="00AF66E0" w:rsidRDefault="00AF66E0" w:rsidP="00AF66E0">
      <w:pPr>
        <w:rPr>
          <w:rFonts w:ascii="Century Gothic" w:eastAsia="Calibri" w:hAnsi="Century Gothic"/>
          <w:i/>
        </w:rPr>
      </w:pPr>
    </w:p>
    <w:p w:rsidR="00AF66E0" w:rsidRPr="00AF66E0" w:rsidRDefault="00AF66E0" w:rsidP="00AF66E0">
      <w:pPr>
        <w:pStyle w:val="AppendixAHeading4"/>
        <w:rPr>
          <w:rFonts w:eastAsia="Calibri"/>
        </w:rPr>
      </w:pPr>
      <w:r w:rsidRPr="00AF66E0">
        <w:rPr>
          <w:rFonts w:eastAsia="Calibri"/>
        </w:rPr>
        <w:t xml:space="preserve">Efficient Products Program </w:t>
      </w:r>
    </w:p>
    <w:p w:rsidR="00AF66E0" w:rsidRPr="00AF66E0" w:rsidRDefault="00AF66E0" w:rsidP="00AF66E0">
      <w:pPr>
        <w:rPr>
          <w:rFonts w:eastAsia="Calibri"/>
        </w:rPr>
      </w:pPr>
      <w:r w:rsidRPr="00AF66E0">
        <w:rPr>
          <w:rFonts w:eastAsia="Calibri"/>
        </w:rPr>
        <w:t>The SWE Team thoroughly reviewed the data-tracking and reporting system containing the savings calculation and rebate invoice information for all of the Efficient Products Program strata. Additionally, it checked the proper use of the 2015 TRM in calculating the savings for each of the product types. The SWE found that the HPWH savings calculations strayed slightly from the TRM, but in an acceptably conservative fashion. According to the TRM, the HVAC interactive effect penalty only needs to be taken into account when the HPWH is installed in conditioned space and not when the default F</w:t>
      </w:r>
      <w:r w:rsidRPr="00AF66E0">
        <w:rPr>
          <w:rFonts w:eastAsia="Calibri"/>
          <w:vertAlign w:val="subscript"/>
        </w:rPr>
        <w:t>derate</w:t>
      </w:r>
      <w:r w:rsidRPr="00AF66E0">
        <w:rPr>
          <w:rFonts w:eastAsia="Calibri"/>
        </w:rPr>
        <w:t xml:space="preserve"> value is used. The evaluation contractor assumed both, which made the kWh estimates slightly conservative.</w:t>
      </w:r>
    </w:p>
    <w:p w:rsidR="00AF66E0" w:rsidRPr="00AF66E0" w:rsidRDefault="00AF66E0" w:rsidP="00AF66E0">
      <w:pPr>
        <w:rPr>
          <w:rFonts w:eastAsia="Calibri"/>
        </w:rPr>
      </w:pPr>
    </w:p>
    <w:p w:rsidR="00AF66E0" w:rsidRPr="00AF66E0" w:rsidRDefault="00AF66E0" w:rsidP="00AF66E0">
      <w:pPr>
        <w:pStyle w:val="AppendixAHeading4"/>
        <w:rPr>
          <w:rFonts w:eastAsia="Calibri"/>
        </w:rPr>
      </w:pPr>
      <w:r w:rsidRPr="00AF66E0">
        <w:rPr>
          <w:rFonts w:eastAsia="Calibri"/>
        </w:rPr>
        <w:t>Home Performance Program</w:t>
      </w:r>
    </w:p>
    <w:p w:rsidR="00AF66E0" w:rsidRPr="00AF66E0" w:rsidRDefault="00AF66E0" w:rsidP="00AF66E0">
      <w:r w:rsidRPr="00AF66E0">
        <w:t>The SWE Team audited each operational component of the Home Performance Program: whole house direct</w:t>
      </w:r>
      <w:r w:rsidR="009D6AA9">
        <w:t>-</w:t>
      </w:r>
      <w:r w:rsidRPr="00AF66E0">
        <w:t>install, home energy audit conservation kits, new homes, and HERs (the school conservation kits component did not operate in PY7). The HERs accounted for a majority (83%) of the Home Performance Program savings in PY7. The SWE Team verified that the correct 2015 TRM savings were used for all measures in the home energy audit conservation kits and that the FirstEnergy statewide receipt rate and ISRs were correctly applied to the items.</w:t>
      </w:r>
    </w:p>
    <w:p w:rsidR="00AF66E0" w:rsidRPr="00AF66E0" w:rsidRDefault="00AF66E0" w:rsidP="00AF66E0">
      <w:pPr>
        <w:spacing w:before="240"/>
      </w:pPr>
      <w:r w:rsidRPr="00AF66E0">
        <w:lastRenderedPageBreak/>
        <w:t>For the whole house direct</w:t>
      </w:r>
      <w:r w:rsidR="009D6AA9">
        <w:t>-</w:t>
      </w:r>
      <w:r w:rsidRPr="00AF66E0">
        <w:t xml:space="preserve">install component, the SWE Team verified that the five highest contributing prescriptive measures and five randomly selected measures were calculated properly per the TRM protocols. The HER component received a full evaluation for the first time in Phase II in PY7. Due to the one-year measure life, it was unnecessary to evaluate this component in the other years. The SWE reviewed the independent analysis performed by the </w:t>
      </w:r>
      <w:r w:rsidRPr="00AF66E0">
        <w:rPr>
          <w:rFonts w:eastAsia="Calibri"/>
        </w:rPr>
        <w:t xml:space="preserve">evaluation contractor </w:t>
      </w:r>
      <w:r w:rsidRPr="00AF66E0">
        <w:t>and verified that it was done correctly. There was good consistency between the results of the three analyses performed (</w:t>
      </w:r>
      <w:r w:rsidR="00A92A46">
        <w:t>OPower</w:t>
      </w:r>
      <w:r w:rsidRPr="00AF66E0">
        <w:t xml:space="preserve">’s, ADM’s replication of </w:t>
      </w:r>
      <w:r w:rsidR="00A92A46">
        <w:t>OPower</w:t>
      </w:r>
      <w:r w:rsidRPr="00AF66E0">
        <w:t>, and ADM’s), and the overall realization rate was 92%.</w:t>
      </w:r>
    </w:p>
    <w:p w:rsidR="004C17DF" w:rsidRPr="004C17DF" w:rsidRDefault="004C17DF" w:rsidP="004C17DF"/>
    <w:p w:rsidR="00950837" w:rsidRDefault="00950837" w:rsidP="00D34B3E">
      <w:pPr>
        <w:pStyle w:val="AppendixAHeading3"/>
      </w:pPr>
      <w:r>
        <w:t>Low-Income Program and Audit Summary</w:t>
      </w:r>
    </w:p>
    <w:p w:rsidR="0078041C" w:rsidRDefault="0078041C" w:rsidP="0078041C">
      <w:r w:rsidRPr="0078041C">
        <w:t>The SWE Team reviewed the two distribution branches of the Low-Income Program operational in PY7 (direct install and giveaway) to ensure that the savings were correctly calculated using the 2015 TRM and that the realization rates were correctly determined and applied appropriately. Penn Power’s evaluation contractor provided a complete database of direct-install measures, which included a pivot table that ranked measures by individual measure contribution to total program kWh savings. Using this, the SWE Team verified the calculations for five measures with the greatest overall impact and verified five randomly selected measures. The SWE Team also confirmed that kWh and kW calculations for the estimations of savings for the giveaway program were implemented per the 2015 TRM.</w:t>
      </w:r>
    </w:p>
    <w:p w:rsidR="009D6AA9" w:rsidRPr="0078041C" w:rsidRDefault="009D6AA9" w:rsidP="0078041C"/>
    <w:p w:rsidR="00AF66E0" w:rsidRDefault="009D6AA9" w:rsidP="0078041C">
      <w:r>
        <w:t>T</w:t>
      </w:r>
      <w:r w:rsidR="0078041C" w:rsidRPr="0078041C">
        <w:t>he SWE Team verified that Penn Power was in compliance with the requirement that the number of energy conservation measures offered to low‐income households be proportionate to those households’ share of the total energy usage in Penn Power’s service territory. Penn Power offered six types of measures to the low‐income sector in PY7, which is 15% of the total number of measures offered across all sectors. This exceeded its goal of 10.6%.</w:t>
      </w:r>
    </w:p>
    <w:p w:rsidR="0078041C" w:rsidRPr="00AF66E0" w:rsidRDefault="0078041C" w:rsidP="0078041C"/>
    <w:p w:rsidR="00950837" w:rsidRDefault="00950837" w:rsidP="00D34B3E">
      <w:pPr>
        <w:pStyle w:val="AppendixAHeading3"/>
      </w:pPr>
      <w:r>
        <w:t>Non-Residential Program Audit Summary</w:t>
      </w:r>
    </w:p>
    <w:p w:rsidR="00B9141F" w:rsidRPr="00D85274" w:rsidRDefault="00B9141F" w:rsidP="00B9141F">
      <w:pPr>
        <w:spacing w:after="120"/>
      </w:pPr>
      <w:r w:rsidRPr="00D85274">
        <w:t>The SWE Team reviewed p</w:t>
      </w:r>
      <w:r w:rsidRPr="00D85274">
        <w:rPr>
          <w:color w:val="000000"/>
        </w:rPr>
        <w:t>roject files to audit the accuracy of the savings values stored in the program</w:t>
      </w:r>
      <w:r>
        <w:rPr>
          <w:color w:val="000000"/>
        </w:rPr>
        <w:t>-</w:t>
      </w:r>
      <w:r w:rsidRPr="00D85274">
        <w:rPr>
          <w:color w:val="000000"/>
        </w:rPr>
        <w:t xml:space="preserve">tracking database and to confirm that calculations were performed in accordance with the applicable TRM, or by another appropriate methodology. </w:t>
      </w:r>
      <w:r w:rsidRPr="00D85274">
        <w:t>The SWE Team reviewed eight projects in Penn Power’s PY7 non-residential program</w:t>
      </w:r>
      <w:r>
        <w:t>s</w:t>
      </w:r>
      <w:r w:rsidRPr="00D85274">
        <w:t xml:space="preserve"> across various measures, including process improvements, ductless heat pumps, industrial process improvement, and interior and exterior lighting. In PY7, the SWE saw marked improvement in the consistency, orderliness, and organization of project files. This was aided by the consistent inclusion of site-specific cover page</w:t>
      </w:r>
      <w:r>
        <w:t>s,</w:t>
      </w:r>
      <w:r w:rsidRPr="00D85274">
        <w:t xml:space="preserve"> which helped the SWE follow the </w:t>
      </w:r>
      <w:r>
        <w:rPr>
          <w:color w:val="000000"/>
        </w:rPr>
        <w:t xml:space="preserve">evaluation contractor’s </w:t>
      </w:r>
      <w:r w:rsidRPr="00D85274">
        <w:t>method and progression. At this time, the SWE Team only recommends that in the interest of transparency, only the SWE-supplied Appendix C calculator be used for lighting projects moving forward.</w:t>
      </w:r>
    </w:p>
    <w:p w:rsidR="00B9141F" w:rsidRPr="00D85274" w:rsidRDefault="00B9141F" w:rsidP="00B9141F"/>
    <w:p w:rsidR="00B9141F" w:rsidRPr="00D85274" w:rsidRDefault="00B9141F" w:rsidP="00B9141F">
      <w:r w:rsidRPr="00D85274">
        <w:t>The SWE Team reviewed Penn Power’s PY7 sample design to ensure its compliance with the Evaluation Framework. The results are displayed in</w:t>
      </w:r>
      <w:r w:rsidR="00DB65BC">
        <w:t xml:space="preserve"> </w:t>
      </w:r>
      <w:r w:rsidR="00DB65BC">
        <w:fldChar w:fldCharType="begin"/>
      </w:r>
      <w:r w:rsidR="00DB65BC">
        <w:instrText xml:space="preserve"> REF _Ref472393181 \h </w:instrText>
      </w:r>
      <w:r w:rsidR="00DB65BC">
        <w:fldChar w:fldCharType="separate"/>
      </w:r>
      <w:r w:rsidR="00C301D0">
        <w:t>Table A-</w:t>
      </w:r>
      <w:r w:rsidR="00C301D0">
        <w:rPr>
          <w:noProof/>
        </w:rPr>
        <w:t>75</w:t>
      </w:r>
      <w:r w:rsidR="00DB65BC">
        <w:fldChar w:fldCharType="end"/>
      </w:r>
      <w:r w:rsidR="00DB65BC">
        <w:t xml:space="preserve">, </w:t>
      </w:r>
      <w:r w:rsidRPr="00D85274">
        <w:t>showing relative precision at the 85% confidence level.</w:t>
      </w:r>
    </w:p>
    <w:p w:rsidR="00B9141F" w:rsidRPr="00D85274" w:rsidRDefault="00B9141F" w:rsidP="00B9141F"/>
    <w:p w:rsidR="00B9141F" w:rsidRPr="00D85274" w:rsidRDefault="00B9141F" w:rsidP="00B9141F">
      <w:pPr>
        <w:pStyle w:val="Caption"/>
      </w:pPr>
      <w:bookmarkStart w:id="938" w:name="_Ref472393181"/>
      <w:bookmarkStart w:id="939" w:name="_Toc409225061"/>
      <w:bookmarkStart w:id="940" w:name="_Toc409443613"/>
      <w:bookmarkStart w:id="941" w:name="_Toc445206228"/>
      <w:bookmarkStart w:id="942" w:name="_Toc472472484"/>
      <w:bookmarkStart w:id="943" w:name="_Toc476842190"/>
      <w:r>
        <w:t>Table A-</w:t>
      </w:r>
      <w:fldSimple w:instr=" SEQ Table_A- \* ARABIC ">
        <w:r w:rsidR="00C301D0">
          <w:rPr>
            <w:noProof/>
          </w:rPr>
          <w:t>75</w:t>
        </w:r>
      </w:fldSimple>
      <w:bookmarkEnd w:id="938"/>
      <w:r w:rsidRPr="00D85274">
        <w:t>: Compliance across Sample Designs for Penn Power’s PY7 Non-Residential Program Groups</w:t>
      </w:r>
      <w:bookmarkEnd w:id="939"/>
      <w:bookmarkEnd w:id="940"/>
      <w:bookmarkEnd w:id="941"/>
      <w:bookmarkEnd w:id="942"/>
      <w:bookmarkEnd w:id="943"/>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700"/>
        <w:gridCol w:w="2220"/>
        <w:gridCol w:w="2220"/>
        <w:gridCol w:w="2220"/>
      </w:tblGrid>
      <w:tr w:rsidR="00A874AC" w:rsidRPr="00D85274" w:rsidTr="008B741E">
        <w:trPr>
          <w:trHeight w:val="610"/>
          <w:tblHeader/>
        </w:trPr>
        <w:tc>
          <w:tcPr>
            <w:tcW w:w="2700" w:type="dxa"/>
            <w:shd w:val="clear" w:color="000000" w:fill="448A99"/>
            <w:vAlign w:val="bottom"/>
            <w:hideMark/>
          </w:tcPr>
          <w:p w:rsidR="00B9141F" w:rsidRPr="00D85274" w:rsidRDefault="00B9141F" w:rsidP="00AC55E9">
            <w:pPr>
              <w:rPr>
                <w:b/>
                <w:bCs/>
                <w:color w:val="FFFFFF"/>
                <w:sz w:val="20"/>
                <w:szCs w:val="20"/>
              </w:rPr>
            </w:pPr>
            <w:r w:rsidRPr="00D85274">
              <w:rPr>
                <w:b/>
                <w:bCs/>
                <w:color w:val="FFFFFF"/>
                <w:sz w:val="20"/>
                <w:szCs w:val="20"/>
              </w:rPr>
              <w:t>Program</w:t>
            </w:r>
          </w:p>
        </w:tc>
        <w:tc>
          <w:tcPr>
            <w:tcW w:w="2220" w:type="dxa"/>
            <w:shd w:val="clear" w:color="000000" w:fill="448A99"/>
            <w:vAlign w:val="bottom"/>
            <w:hideMark/>
          </w:tcPr>
          <w:p w:rsidR="00B9141F" w:rsidRPr="00D85274" w:rsidRDefault="00B9141F" w:rsidP="00AC55E9">
            <w:pPr>
              <w:jc w:val="center"/>
              <w:rPr>
                <w:b/>
                <w:bCs/>
                <w:color w:val="FFFFFF"/>
                <w:sz w:val="20"/>
                <w:szCs w:val="20"/>
              </w:rPr>
            </w:pPr>
            <w:r w:rsidRPr="00D85274">
              <w:rPr>
                <w:b/>
                <w:bCs/>
                <w:color w:val="FFFFFF"/>
                <w:sz w:val="20"/>
                <w:szCs w:val="20"/>
              </w:rPr>
              <w:t>Relative Precision at 85% CL for Energy</w:t>
            </w:r>
          </w:p>
        </w:tc>
        <w:tc>
          <w:tcPr>
            <w:tcW w:w="2220" w:type="dxa"/>
            <w:shd w:val="clear" w:color="000000" w:fill="448A99"/>
            <w:vAlign w:val="bottom"/>
            <w:hideMark/>
          </w:tcPr>
          <w:p w:rsidR="00B9141F" w:rsidRPr="00D85274" w:rsidRDefault="00B9141F" w:rsidP="00AC55E9">
            <w:pPr>
              <w:jc w:val="center"/>
              <w:rPr>
                <w:b/>
                <w:bCs/>
                <w:color w:val="FFFFFF"/>
                <w:sz w:val="20"/>
                <w:szCs w:val="20"/>
              </w:rPr>
            </w:pPr>
            <w:r w:rsidRPr="00D85274">
              <w:rPr>
                <w:b/>
                <w:bCs/>
                <w:color w:val="FFFFFF"/>
                <w:sz w:val="20"/>
                <w:szCs w:val="20"/>
              </w:rPr>
              <w:t>Relative Precision at 85% CL for Demand</w:t>
            </w:r>
          </w:p>
        </w:tc>
        <w:tc>
          <w:tcPr>
            <w:tcW w:w="2220" w:type="dxa"/>
            <w:shd w:val="clear" w:color="000000" w:fill="448A99"/>
            <w:vAlign w:val="bottom"/>
            <w:hideMark/>
          </w:tcPr>
          <w:p w:rsidR="00B9141F" w:rsidRPr="00D85274" w:rsidRDefault="00B9141F" w:rsidP="00AC55E9">
            <w:pPr>
              <w:jc w:val="center"/>
              <w:rPr>
                <w:b/>
                <w:bCs/>
                <w:color w:val="FFFFFF"/>
                <w:sz w:val="20"/>
                <w:szCs w:val="20"/>
              </w:rPr>
            </w:pPr>
            <w:r w:rsidRPr="00D85274">
              <w:rPr>
                <w:b/>
                <w:bCs/>
                <w:color w:val="FFFFFF"/>
                <w:sz w:val="20"/>
                <w:szCs w:val="20"/>
              </w:rPr>
              <w:t>Compliance with Evaluation Framework</w:t>
            </w:r>
          </w:p>
        </w:tc>
      </w:tr>
      <w:tr w:rsidR="00A874AC" w:rsidRPr="00D85274" w:rsidTr="008B741E">
        <w:trPr>
          <w:trHeight w:val="346"/>
        </w:trPr>
        <w:tc>
          <w:tcPr>
            <w:tcW w:w="2700" w:type="dxa"/>
            <w:shd w:val="clear" w:color="000000" w:fill="D2EAF1"/>
            <w:noWrap/>
            <w:vAlign w:val="center"/>
          </w:tcPr>
          <w:p w:rsidR="00B9141F" w:rsidRPr="00D85274" w:rsidRDefault="00B9141F" w:rsidP="00AC55E9">
            <w:pPr>
              <w:rPr>
                <w:bCs/>
                <w:color w:val="000000"/>
                <w:sz w:val="20"/>
                <w:szCs w:val="20"/>
              </w:rPr>
            </w:pPr>
            <w:r w:rsidRPr="00D85274">
              <w:rPr>
                <w:sz w:val="20"/>
                <w:szCs w:val="20"/>
              </w:rPr>
              <w:t>Small C/I Equipment</w:t>
            </w:r>
          </w:p>
        </w:tc>
        <w:tc>
          <w:tcPr>
            <w:tcW w:w="2220" w:type="dxa"/>
            <w:shd w:val="clear" w:color="000000" w:fill="D2EAF1"/>
            <w:noWrap/>
            <w:vAlign w:val="center"/>
          </w:tcPr>
          <w:p w:rsidR="00B9141F" w:rsidRPr="00D85274" w:rsidRDefault="00B9141F" w:rsidP="00AC55E9">
            <w:pPr>
              <w:jc w:val="center"/>
              <w:rPr>
                <w:color w:val="000000"/>
                <w:sz w:val="20"/>
                <w:szCs w:val="20"/>
              </w:rPr>
            </w:pPr>
            <w:r w:rsidRPr="00D85274">
              <w:rPr>
                <w:color w:val="000000"/>
                <w:sz w:val="20"/>
                <w:szCs w:val="20"/>
              </w:rPr>
              <w:t>13.3%</w:t>
            </w:r>
          </w:p>
        </w:tc>
        <w:tc>
          <w:tcPr>
            <w:tcW w:w="2220" w:type="dxa"/>
            <w:shd w:val="clear" w:color="000000" w:fill="D2EAF1"/>
            <w:noWrap/>
            <w:vAlign w:val="center"/>
          </w:tcPr>
          <w:p w:rsidR="00B9141F" w:rsidRPr="00D85274" w:rsidRDefault="00B9141F" w:rsidP="00AC55E9">
            <w:pPr>
              <w:jc w:val="center"/>
              <w:rPr>
                <w:color w:val="000000"/>
                <w:sz w:val="20"/>
                <w:szCs w:val="20"/>
              </w:rPr>
            </w:pPr>
            <w:r w:rsidRPr="00D85274">
              <w:rPr>
                <w:color w:val="000000"/>
                <w:sz w:val="20"/>
                <w:szCs w:val="20"/>
              </w:rPr>
              <w:t>14.4%</w:t>
            </w:r>
          </w:p>
        </w:tc>
        <w:tc>
          <w:tcPr>
            <w:tcW w:w="2220" w:type="dxa"/>
            <w:shd w:val="clear" w:color="000000" w:fill="D2EAF1"/>
            <w:noWrap/>
            <w:vAlign w:val="center"/>
          </w:tcPr>
          <w:p w:rsidR="00B9141F" w:rsidRPr="00D85274" w:rsidRDefault="00B9141F" w:rsidP="00AC55E9">
            <w:pPr>
              <w:jc w:val="center"/>
              <w:rPr>
                <w:color w:val="000000"/>
                <w:sz w:val="28"/>
                <w:szCs w:val="24"/>
              </w:rPr>
            </w:pPr>
            <w:r w:rsidRPr="00D85274">
              <w:rPr>
                <w:color w:val="00B050"/>
                <w:sz w:val="28"/>
                <w:szCs w:val="20"/>
              </w:rPr>
              <w:sym w:font="Wingdings" w:char="F0FC"/>
            </w:r>
          </w:p>
        </w:tc>
      </w:tr>
      <w:tr w:rsidR="00E7173E" w:rsidRPr="00D85274" w:rsidTr="00AB3C36">
        <w:trPr>
          <w:trHeight w:val="346"/>
        </w:trPr>
        <w:tc>
          <w:tcPr>
            <w:tcW w:w="2700" w:type="dxa"/>
            <w:shd w:val="clear" w:color="auto" w:fill="auto"/>
            <w:noWrap/>
            <w:vAlign w:val="center"/>
          </w:tcPr>
          <w:p w:rsidR="00B9141F" w:rsidRPr="00D85274" w:rsidRDefault="00B9141F" w:rsidP="00AC55E9">
            <w:pPr>
              <w:rPr>
                <w:bCs/>
                <w:color w:val="000000"/>
                <w:sz w:val="20"/>
                <w:szCs w:val="20"/>
              </w:rPr>
            </w:pPr>
            <w:r w:rsidRPr="00D85274">
              <w:rPr>
                <w:sz w:val="20"/>
                <w:szCs w:val="20"/>
              </w:rPr>
              <w:t>Small C/I Buildings</w:t>
            </w:r>
          </w:p>
        </w:tc>
        <w:tc>
          <w:tcPr>
            <w:tcW w:w="2220" w:type="dxa"/>
            <w:shd w:val="clear" w:color="auto" w:fill="auto"/>
            <w:noWrap/>
            <w:vAlign w:val="center"/>
          </w:tcPr>
          <w:p w:rsidR="00B9141F" w:rsidRPr="00D85274" w:rsidRDefault="00B9141F" w:rsidP="00AC55E9">
            <w:pPr>
              <w:jc w:val="center"/>
              <w:rPr>
                <w:color w:val="000000"/>
                <w:sz w:val="20"/>
                <w:szCs w:val="20"/>
              </w:rPr>
            </w:pPr>
            <w:r w:rsidRPr="00D85274">
              <w:rPr>
                <w:color w:val="000000"/>
                <w:sz w:val="20"/>
                <w:szCs w:val="20"/>
              </w:rPr>
              <w:t>11.2%</w:t>
            </w:r>
          </w:p>
        </w:tc>
        <w:tc>
          <w:tcPr>
            <w:tcW w:w="2220" w:type="dxa"/>
            <w:shd w:val="clear" w:color="auto" w:fill="auto"/>
            <w:noWrap/>
            <w:vAlign w:val="center"/>
          </w:tcPr>
          <w:p w:rsidR="00B9141F" w:rsidRPr="00D85274" w:rsidRDefault="00B9141F" w:rsidP="00AC55E9">
            <w:pPr>
              <w:jc w:val="center"/>
              <w:rPr>
                <w:color w:val="000000"/>
                <w:sz w:val="20"/>
                <w:szCs w:val="20"/>
              </w:rPr>
            </w:pPr>
            <w:r w:rsidRPr="00D85274">
              <w:rPr>
                <w:color w:val="000000"/>
                <w:sz w:val="20"/>
                <w:szCs w:val="20"/>
              </w:rPr>
              <w:t>9.4%</w:t>
            </w:r>
          </w:p>
        </w:tc>
        <w:tc>
          <w:tcPr>
            <w:tcW w:w="2220" w:type="dxa"/>
            <w:shd w:val="clear" w:color="auto" w:fill="auto"/>
            <w:noWrap/>
            <w:vAlign w:val="center"/>
          </w:tcPr>
          <w:p w:rsidR="00B9141F" w:rsidRPr="00D85274" w:rsidRDefault="00B9141F" w:rsidP="00AC55E9">
            <w:pPr>
              <w:jc w:val="center"/>
              <w:rPr>
                <w:color w:val="FF0000"/>
                <w:sz w:val="28"/>
                <w:szCs w:val="24"/>
              </w:rPr>
            </w:pPr>
            <w:r w:rsidRPr="00D85274">
              <w:rPr>
                <w:color w:val="00B050"/>
                <w:sz w:val="28"/>
                <w:szCs w:val="20"/>
              </w:rPr>
              <w:sym w:font="Wingdings" w:char="F0FC"/>
            </w:r>
          </w:p>
        </w:tc>
      </w:tr>
      <w:tr w:rsidR="00A874AC" w:rsidRPr="00D85274" w:rsidTr="008B741E">
        <w:trPr>
          <w:trHeight w:val="346"/>
        </w:trPr>
        <w:tc>
          <w:tcPr>
            <w:tcW w:w="2700" w:type="dxa"/>
            <w:shd w:val="clear" w:color="000000" w:fill="D2EAF1"/>
            <w:noWrap/>
            <w:vAlign w:val="center"/>
          </w:tcPr>
          <w:p w:rsidR="00B9141F" w:rsidRPr="00D85274" w:rsidRDefault="00B9141F" w:rsidP="00AC55E9">
            <w:pPr>
              <w:rPr>
                <w:bCs/>
                <w:color w:val="000000"/>
                <w:sz w:val="20"/>
                <w:szCs w:val="20"/>
              </w:rPr>
            </w:pPr>
            <w:r w:rsidRPr="00D85274">
              <w:rPr>
                <w:sz w:val="20"/>
                <w:szCs w:val="20"/>
              </w:rPr>
              <w:t>Large C/I Equipment</w:t>
            </w:r>
          </w:p>
        </w:tc>
        <w:tc>
          <w:tcPr>
            <w:tcW w:w="2220" w:type="dxa"/>
            <w:shd w:val="clear" w:color="000000"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11.9%</w:t>
            </w:r>
          </w:p>
        </w:tc>
        <w:tc>
          <w:tcPr>
            <w:tcW w:w="2220" w:type="dxa"/>
            <w:shd w:val="clear" w:color="000000"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12.4%</w:t>
            </w:r>
          </w:p>
        </w:tc>
        <w:tc>
          <w:tcPr>
            <w:tcW w:w="2220" w:type="dxa"/>
            <w:shd w:val="clear" w:color="000000" w:fill="D2EAF1"/>
            <w:noWrap/>
            <w:vAlign w:val="center"/>
          </w:tcPr>
          <w:p w:rsidR="00B9141F" w:rsidRPr="00D85274" w:rsidRDefault="00B9141F" w:rsidP="00AC55E9">
            <w:pPr>
              <w:jc w:val="center"/>
              <w:rPr>
                <w:bCs/>
                <w:color w:val="FF0000"/>
                <w:sz w:val="28"/>
                <w:szCs w:val="24"/>
              </w:rPr>
            </w:pPr>
            <w:r w:rsidRPr="00D85274">
              <w:rPr>
                <w:color w:val="00B050"/>
                <w:sz w:val="28"/>
                <w:szCs w:val="20"/>
              </w:rPr>
              <w:sym w:font="Wingdings" w:char="F0FC"/>
            </w:r>
          </w:p>
        </w:tc>
      </w:tr>
      <w:tr w:rsidR="00E7173E" w:rsidRPr="00D85274" w:rsidTr="00AB3C36">
        <w:trPr>
          <w:trHeight w:val="346"/>
        </w:trPr>
        <w:tc>
          <w:tcPr>
            <w:tcW w:w="2700" w:type="dxa"/>
            <w:shd w:val="clear" w:color="auto" w:fill="auto"/>
            <w:noWrap/>
            <w:vAlign w:val="center"/>
          </w:tcPr>
          <w:p w:rsidR="00B9141F" w:rsidRPr="00D85274" w:rsidRDefault="00B9141F" w:rsidP="00AC55E9">
            <w:pPr>
              <w:rPr>
                <w:bCs/>
                <w:color w:val="000000"/>
                <w:sz w:val="20"/>
                <w:szCs w:val="20"/>
              </w:rPr>
            </w:pPr>
            <w:r w:rsidRPr="00D85274">
              <w:rPr>
                <w:sz w:val="20"/>
                <w:szCs w:val="20"/>
              </w:rPr>
              <w:lastRenderedPageBreak/>
              <w:t>Large C/I Buildings</w:t>
            </w:r>
          </w:p>
        </w:tc>
        <w:tc>
          <w:tcPr>
            <w:tcW w:w="2220" w:type="dxa"/>
            <w:shd w:val="clear" w:color="auto" w:fill="auto"/>
            <w:noWrap/>
            <w:vAlign w:val="center"/>
          </w:tcPr>
          <w:p w:rsidR="00B9141F" w:rsidRPr="00D85274" w:rsidRDefault="00B9141F" w:rsidP="00AC55E9">
            <w:pPr>
              <w:jc w:val="center"/>
              <w:rPr>
                <w:bCs/>
                <w:color w:val="000000"/>
                <w:sz w:val="20"/>
                <w:szCs w:val="20"/>
              </w:rPr>
            </w:pPr>
            <w:r w:rsidRPr="00D85274">
              <w:rPr>
                <w:bCs/>
                <w:color w:val="000000"/>
                <w:sz w:val="20"/>
                <w:szCs w:val="20"/>
              </w:rPr>
              <w:t>2.2%</w:t>
            </w:r>
          </w:p>
        </w:tc>
        <w:tc>
          <w:tcPr>
            <w:tcW w:w="2220" w:type="dxa"/>
            <w:shd w:val="clear" w:color="auto" w:fill="auto"/>
            <w:noWrap/>
            <w:vAlign w:val="center"/>
          </w:tcPr>
          <w:p w:rsidR="00B9141F" w:rsidRPr="00D85274" w:rsidRDefault="00B9141F" w:rsidP="00AC55E9">
            <w:pPr>
              <w:jc w:val="center"/>
              <w:rPr>
                <w:bCs/>
                <w:color w:val="000000"/>
                <w:sz w:val="20"/>
                <w:szCs w:val="20"/>
              </w:rPr>
            </w:pPr>
            <w:r w:rsidRPr="00D85274">
              <w:rPr>
                <w:bCs/>
                <w:color w:val="000000"/>
                <w:sz w:val="20"/>
                <w:szCs w:val="20"/>
              </w:rPr>
              <w:t>0.0%</w:t>
            </w:r>
          </w:p>
        </w:tc>
        <w:tc>
          <w:tcPr>
            <w:tcW w:w="2220" w:type="dxa"/>
            <w:shd w:val="clear" w:color="auto" w:fill="auto"/>
            <w:noWrap/>
            <w:vAlign w:val="center"/>
          </w:tcPr>
          <w:p w:rsidR="00B9141F" w:rsidRPr="00D85274" w:rsidRDefault="00B9141F" w:rsidP="00AC55E9">
            <w:pPr>
              <w:jc w:val="center"/>
              <w:rPr>
                <w:color w:val="00B050"/>
                <w:sz w:val="28"/>
                <w:szCs w:val="24"/>
              </w:rPr>
            </w:pPr>
            <w:r w:rsidRPr="00D85274">
              <w:rPr>
                <w:color w:val="00B050"/>
                <w:sz w:val="28"/>
                <w:szCs w:val="20"/>
              </w:rPr>
              <w:sym w:font="Wingdings" w:char="F0FC"/>
            </w:r>
          </w:p>
        </w:tc>
      </w:tr>
      <w:tr w:rsidR="00A874AC" w:rsidRPr="00D85274" w:rsidTr="008B741E">
        <w:trPr>
          <w:trHeight w:val="346"/>
        </w:trPr>
        <w:tc>
          <w:tcPr>
            <w:tcW w:w="2700" w:type="dxa"/>
            <w:shd w:val="clear" w:color="auto" w:fill="D2EAF1"/>
            <w:noWrap/>
            <w:vAlign w:val="center"/>
          </w:tcPr>
          <w:p w:rsidR="00B9141F" w:rsidRPr="00D85274" w:rsidRDefault="00B9141F" w:rsidP="00AC55E9">
            <w:pPr>
              <w:rPr>
                <w:bCs/>
                <w:color w:val="000000"/>
                <w:sz w:val="20"/>
                <w:szCs w:val="20"/>
              </w:rPr>
            </w:pPr>
            <w:r w:rsidRPr="00D85274">
              <w:rPr>
                <w:sz w:val="20"/>
                <w:szCs w:val="20"/>
              </w:rPr>
              <w:t>Government/Institutional</w:t>
            </w:r>
          </w:p>
        </w:tc>
        <w:tc>
          <w:tcPr>
            <w:tcW w:w="2220" w:type="dxa"/>
            <w:shd w:val="clear" w:color="auto"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13.7%</w:t>
            </w:r>
          </w:p>
        </w:tc>
        <w:tc>
          <w:tcPr>
            <w:tcW w:w="2220" w:type="dxa"/>
            <w:shd w:val="clear" w:color="auto"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100.0%</w:t>
            </w:r>
          </w:p>
        </w:tc>
        <w:tc>
          <w:tcPr>
            <w:tcW w:w="2220" w:type="dxa"/>
            <w:shd w:val="clear" w:color="auto" w:fill="D2EAF1"/>
            <w:noWrap/>
            <w:vAlign w:val="center"/>
          </w:tcPr>
          <w:p w:rsidR="00B9141F" w:rsidRPr="00D85274" w:rsidRDefault="00B9141F" w:rsidP="00AC55E9">
            <w:pPr>
              <w:jc w:val="center"/>
              <w:rPr>
                <w:color w:val="00B050"/>
                <w:sz w:val="28"/>
                <w:szCs w:val="24"/>
              </w:rPr>
            </w:pPr>
            <w:r w:rsidRPr="00D85274">
              <w:rPr>
                <w:color w:val="00B050"/>
                <w:sz w:val="28"/>
                <w:szCs w:val="20"/>
              </w:rPr>
              <w:sym w:font="Wingdings" w:char="F0FC"/>
            </w:r>
          </w:p>
        </w:tc>
      </w:tr>
    </w:tbl>
    <w:p w:rsidR="00B9141F" w:rsidRPr="00D85274" w:rsidRDefault="00B9141F" w:rsidP="00B9141F"/>
    <w:p w:rsidR="00B9141F" w:rsidRPr="00D85274" w:rsidRDefault="00B9141F" w:rsidP="00B9141F">
      <w:pPr>
        <w:rPr>
          <w:color w:val="000000"/>
        </w:rPr>
      </w:pPr>
      <w:r w:rsidRPr="00D85274">
        <w:t xml:space="preserve">Penn Power met the goal of 15% precision at the 85% confidence level for energy for all non-residential program groups. Details concerning each program evaluation sample are provided </w:t>
      </w:r>
      <w:r w:rsidR="006558C9">
        <w:t>below</w:t>
      </w:r>
      <w:r w:rsidRPr="00D85274">
        <w:t>.</w:t>
      </w:r>
    </w:p>
    <w:p w:rsidR="00B9141F" w:rsidRPr="00D85274" w:rsidRDefault="00B9141F" w:rsidP="00B9141F">
      <w:pPr>
        <w:rPr>
          <w:color w:val="000000"/>
        </w:rPr>
      </w:pPr>
    </w:p>
    <w:p w:rsidR="00B9141F" w:rsidRPr="00D85274" w:rsidRDefault="00B9141F" w:rsidP="00B9141F">
      <w:pPr>
        <w:rPr>
          <w:color w:val="000000"/>
        </w:rPr>
      </w:pPr>
      <w:r w:rsidRPr="00D85274">
        <w:rPr>
          <w:color w:val="000000"/>
        </w:rPr>
        <w:t xml:space="preserve">As part of the audit process, the SWE Team performed </w:t>
      </w:r>
      <w:r>
        <w:rPr>
          <w:color w:val="000000"/>
        </w:rPr>
        <w:t>seven</w:t>
      </w:r>
      <w:r w:rsidRPr="00D85274">
        <w:rPr>
          <w:color w:val="000000"/>
        </w:rPr>
        <w:t xml:space="preserve"> ride-along site inspections of non-residential projects to oversee Penn Power’s on-site evaluation practices. The projects included lighting upgrades, VFDs on pumps, and EMS upgrades. The SWE Team approved all of the sampled project inspections</w:t>
      </w:r>
      <w:r>
        <w:rPr>
          <w:color w:val="000000"/>
        </w:rPr>
        <w:t>. H</w:t>
      </w:r>
      <w:r w:rsidRPr="00D85274">
        <w:rPr>
          <w:color w:val="000000"/>
        </w:rPr>
        <w:t>owever</w:t>
      </w:r>
      <w:r>
        <w:rPr>
          <w:color w:val="000000"/>
        </w:rPr>
        <w:t>,</w:t>
      </w:r>
      <w:r w:rsidRPr="00D85274">
        <w:rPr>
          <w:color w:val="000000"/>
        </w:rPr>
        <w:t xml:space="preserve"> the SWE </w:t>
      </w:r>
      <w:r>
        <w:rPr>
          <w:color w:val="000000"/>
        </w:rPr>
        <w:t>T</w:t>
      </w:r>
      <w:r w:rsidRPr="00D85274">
        <w:rPr>
          <w:color w:val="000000"/>
        </w:rPr>
        <w:t xml:space="preserve">eam recommends that </w:t>
      </w:r>
      <w:r>
        <w:rPr>
          <w:color w:val="000000"/>
        </w:rPr>
        <w:t>Penn Power</w:t>
      </w:r>
      <w:r w:rsidRPr="00D85274">
        <w:rPr>
          <w:color w:val="000000"/>
        </w:rPr>
        <w:t xml:space="preserve"> only use the </w:t>
      </w:r>
      <w:r w:rsidRPr="00D85274">
        <w:t xml:space="preserve">SWE-supplied </w:t>
      </w:r>
      <w:r w:rsidRPr="00D85274">
        <w:rPr>
          <w:color w:val="000000"/>
        </w:rPr>
        <w:t xml:space="preserve">Appendix C calculator for lighting projects moving forward. Details of all reviewed projects and associated findings are presented </w:t>
      </w:r>
      <w:r w:rsidR="006558C9">
        <w:rPr>
          <w:color w:val="000000"/>
        </w:rPr>
        <w:t>below</w:t>
      </w:r>
      <w:r w:rsidRPr="00D85274">
        <w:rPr>
          <w:color w:val="000000"/>
        </w:rPr>
        <w:t>.</w:t>
      </w:r>
    </w:p>
    <w:p w:rsidR="00B9141F" w:rsidRPr="00D85274" w:rsidRDefault="00B9141F" w:rsidP="00B9141F"/>
    <w:p w:rsidR="00B9141F" w:rsidRDefault="00B9141F" w:rsidP="00B9141F">
      <w:r w:rsidRPr="00B9141F">
        <w:t>The SWE Team performed a verified savings analysis on three submitted projects, checking the accuracy of the calculations and appropriateness of the evaluation method and level of rigor selections. The SWE Team found the level of rigor chosen by the evaluation contractor to be reasonable, based on project size and uncertainty. There was significant improvement in the presentation of M&amp;V methodology and results in PY7 with the inclusion of a site-level report in each project file. Appendix B presents more detailed results of the verified savings analysis.</w:t>
      </w:r>
    </w:p>
    <w:p w:rsidR="00A35466" w:rsidRDefault="00A35466" w:rsidP="00B9141F"/>
    <w:p w:rsidR="00A35466" w:rsidRDefault="00A35466" w:rsidP="00A35466">
      <w:pPr>
        <w:pStyle w:val="AppendixAHeading4"/>
      </w:pPr>
      <w:r>
        <w:t>Project Files Review</w:t>
      </w:r>
    </w:p>
    <w:p w:rsidR="00A35466" w:rsidRDefault="00A35466" w:rsidP="00A35466">
      <w:pPr>
        <w:rPr>
          <w:color w:val="000000"/>
        </w:rPr>
      </w:pPr>
      <w:r w:rsidRPr="003458B1">
        <w:rPr>
          <w:color w:val="000000"/>
        </w:rPr>
        <w:t xml:space="preserve">The SWE Team reviewed eight projects in Penn Power’s PY7 program across various measures, including process improvements, ductless heat pumps, industrial process improvement, and interior and exterior lighting. The submitted files included project-level savings calculation workbooks, application forms, measure installation confirmation, equipment specification sheets, invoices, post-installation inspection reports, and other supporting documents. In general, the submitted project files provided thorough documentation for SWE Team review. </w:t>
      </w:r>
    </w:p>
    <w:p w:rsidR="00A35466" w:rsidRDefault="00A35466" w:rsidP="00A35466">
      <w:pPr>
        <w:rPr>
          <w:color w:val="000000"/>
        </w:rPr>
      </w:pPr>
    </w:p>
    <w:p w:rsidR="008B741E" w:rsidRDefault="00A35466" w:rsidP="00A35466">
      <w:pPr>
        <w:rPr>
          <w:color w:val="000000"/>
        </w:rPr>
        <w:sectPr w:rsidR="008B741E" w:rsidSect="008B741E">
          <w:headerReference w:type="default" r:id="rId137"/>
          <w:footerReference w:type="default" r:id="rId138"/>
          <w:headerReference w:type="first" r:id="rId139"/>
          <w:footerReference w:type="first" r:id="rId140"/>
          <w:pgSz w:w="12240" w:h="15840"/>
          <w:pgMar w:top="1440" w:right="1440" w:bottom="1440" w:left="1440" w:header="720" w:footer="288" w:gutter="0"/>
          <w:cols w:space="720"/>
          <w:titlePg/>
          <w:docGrid w:linePitch="360"/>
        </w:sectPr>
      </w:pPr>
      <w:r>
        <w:rPr>
          <w:color w:val="000000"/>
        </w:rPr>
        <w:fldChar w:fldCharType="begin"/>
      </w:r>
      <w:r>
        <w:rPr>
          <w:color w:val="000000"/>
        </w:rPr>
        <w:instrText xml:space="preserve"> REF _Ref472468507 \h </w:instrText>
      </w:r>
      <w:r>
        <w:rPr>
          <w:color w:val="000000"/>
        </w:rPr>
      </w:r>
      <w:r>
        <w:rPr>
          <w:color w:val="000000"/>
        </w:rPr>
        <w:fldChar w:fldCharType="separate"/>
      </w:r>
      <w:r w:rsidR="00C301D0">
        <w:t>Table A-</w:t>
      </w:r>
      <w:r w:rsidR="00C301D0">
        <w:rPr>
          <w:noProof/>
        </w:rPr>
        <w:t>76</w:t>
      </w:r>
      <w:r>
        <w:rPr>
          <w:color w:val="000000"/>
        </w:rPr>
        <w:fldChar w:fldCharType="end"/>
      </w:r>
      <w:r>
        <w:rPr>
          <w:color w:val="000000"/>
        </w:rPr>
        <w:t xml:space="preserve"> </w:t>
      </w:r>
      <w:r w:rsidRPr="006E6583">
        <w:rPr>
          <w:color w:val="000000"/>
        </w:rPr>
        <w:t xml:space="preserve">presents an overview of the projects that were reviewed by the SWE </w:t>
      </w:r>
      <w:r>
        <w:rPr>
          <w:color w:val="000000"/>
        </w:rPr>
        <w:t xml:space="preserve">Team </w:t>
      </w:r>
      <w:r w:rsidRPr="006E6583">
        <w:rPr>
          <w:color w:val="000000"/>
        </w:rPr>
        <w:t xml:space="preserve">and </w:t>
      </w:r>
      <w:r>
        <w:rPr>
          <w:color w:val="000000"/>
        </w:rPr>
        <w:t>the</w:t>
      </w:r>
      <w:r w:rsidRPr="006E6583">
        <w:rPr>
          <w:color w:val="000000"/>
        </w:rPr>
        <w:t xml:space="preserve"> findings</w:t>
      </w:r>
      <w:r>
        <w:rPr>
          <w:color w:val="000000"/>
        </w:rPr>
        <w:t>.</w:t>
      </w:r>
    </w:p>
    <w:p w:rsidR="00A35466" w:rsidRPr="00A35466" w:rsidRDefault="00A35466" w:rsidP="00A35466">
      <w:pPr>
        <w:pStyle w:val="Caption"/>
      </w:pPr>
      <w:bookmarkStart w:id="944" w:name="_Ref472468507"/>
      <w:bookmarkStart w:id="945" w:name="_Toc472472485"/>
      <w:bookmarkStart w:id="946" w:name="_Toc476842191"/>
      <w:r>
        <w:lastRenderedPageBreak/>
        <w:t>Table A-</w:t>
      </w:r>
      <w:fldSimple w:instr=" SEQ Table_A- \* ARABIC ">
        <w:r w:rsidR="00C301D0">
          <w:rPr>
            <w:noProof/>
          </w:rPr>
          <w:t>76</w:t>
        </w:r>
      </w:fldSimple>
      <w:bookmarkEnd w:id="944"/>
      <w:r>
        <w:t xml:space="preserve">: </w:t>
      </w:r>
      <w:r w:rsidR="00506C59">
        <w:t>Penn Power</w:t>
      </w:r>
      <w:r w:rsidR="00AA3B54">
        <w:t xml:space="preserve"> </w:t>
      </w:r>
      <w:r>
        <w:t>Project Files Review Summary</w:t>
      </w:r>
      <w:bookmarkEnd w:id="945"/>
      <w:bookmarkEnd w:id="946"/>
    </w:p>
    <w:tbl>
      <w:tblPr>
        <w:tblStyle w:val="AnnualReportTableStyle"/>
        <w:tblW w:w="12955" w:type="dxa"/>
        <w:tblInd w:w="108" w:type="dxa"/>
        <w:tblLook w:val="04A0" w:firstRow="1" w:lastRow="0" w:firstColumn="1" w:lastColumn="0" w:noHBand="0" w:noVBand="1"/>
      </w:tblPr>
      <w:tblGrid>
        <w:gridCol w:w="1075"/>
        <w:gridCol w:w="1107"/>
        <w:gridCol w:w="3573"/>
        <w:gridCol w:w="1021"/>
        <w:gridCol w:w="930"/>
        <w:gridCol w:w="1469"/>
        <w:gridCol w:w="1004"/>
        <w:gridCol w:w="1106"/>
        <w:gridCol w:w="1670"/>
      </w:tblGrid>
      <w:tr w:rsidR="00A874AC" w:rsidRPr="008B741E" w:rsidTr="00FD4D90">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1075" w:type="dxa"/>
            <w:noWrap/>
            <w:vAlign w:val="bottom"/>
            <w:hideMark/>
          </w:tcPr>
          <w:p w:rsidR="00A35466" w:rsidRPr="008B741E" w:rsidRDefault="00A35466" w:rsidP="004F0C61">
            <w:pPr>
              <w:rPr>
                <w:bCs/>
                <w:sz w:val="20"/>
                <w:szCs w:val="20"/>
              </w:rPr>
            </w:pPr>
            <w:r w:rsidRPr="008B741E">
              <w:rPr>
                <w:bCs/>
                <w:sz w:val="20"/>
                <w:szCs w:val="20"/>
              </w:rPr>
              <w:t>Project Number</w:t>
            </w:r>
          </w:p>
        </w:tc>
        <w:tc>
          <w:tcPr>
            <w:tcW w:w="1107" w:type="dxa"/>
            <w:noWrap/>
            <w:vAlign w:val="bottom"/>
            <w:hideMark/>
          </w:tcPr>
          <w:p w:rsidR="00A35466" w:rsidRPr="008B741E"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8B741E">
              <w:rPr>
                <w:bCs/>
                <w:sz w:val="20"/>
                <w:szCs w:val="20"/>
              </w:rPr>
              <w:t>Program</w:t>
            </w:r>
          </w:p>
        </w:tc>
        <w:tc>
          <w:tcPr>
            <w:tcW w:w="3573" w:type="dxa"/>
            <w:vAlign w:val="bottom"/>
            <w:hideMark/>
          </w:tcPr>
          <w:p w:rsidR="00A35466" w:rsidRPr="008B741E"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8B741E">
              <w:rPr>
                <w:bCs/>
                <w:sz w:val="20"/>
                <w:szCs w:val="20"/>
              </w:rPr>
              <w:t>Project Description</w:t>
            </w:r>
          </w:p>
        </w:tc>
        <w:tc>
          <w:tcPr>
            <w:tcW w:w="1021" w:type="dxa"/>
            <w:vAlign w:val="bottom"/>
            <w:hideMark/>
          </w:tcPr>
          <w:p w:rsidR="00A35466" w:rsidRPr="008B741E"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8B741E">
              <w:rPr>
                <w:bCs/>
                <w:sz w:val="20"/>
                <w:szCs w:val="20"/>
              </w:rPr>
              <w:t>Are all files included?</w:t>
            </w:r>
          </w:p>
        </w:tc>
        <w:tc>
          <w:tcPr>
            <w:tcW w:w="930" w:type="dxa"/>
            <w:vAlign w:val="bottom"/>
            <w:hideMark/>
          </w:tcPr>
          <w:p w:rsidR="00A35466" w:rsidRPr="008B741E"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8B741E">
              <w:rPr>
                <w:bCs/>
                <w:sz w:val="20"/>
                <w:szCs w:val="20"/>
              </w:rPr>
              <w:t>Do values match program tracking data?</w:t>
            </w:r>
          </w:p>
        </w:tc>
        <w:tc>
          <w:tcPr>
            <w:tcW w:w="1469" w:type="dxa"/>
            <w:vAlign w:val="bottom"/>
            <w:hideMark/>
          </w:tcPr>
          <w:p w:rsidR="00A35466" w:rsidRPr="008B741E"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8B741E">
              <w:rPr>
                <w:bCs/>
                <w:sz w:val="20"/>
                <w:szCs w:val="20"/>
              </w:rPr>
              <w:t>Equipment discrepancy between invoices and calculations?</w:t>
            </w:r>
          </w:p>
        </w:tc>
        <w:tc>
          <w:tcPr>
            <w:tcW w:w="1004" w:type="dxa"/>
            <w:vAlign w:val="bottom"/>
            <w:hideMark/>
          </w:tcPr>
          <w:p w:rsidR="00A35466" w:rsidRPr="008B741E"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8B741E">
              <w:rPr>
                <w:bCs/>
                <w:sz w:val="20"/>
                <w:szCs w:val="20"/>
              </w:rPr>
              <w:t>Sufficient info for SWE to follow?</w:t>
            </w:r>
          </w:p>
        </w:tc>
        <w:tc>
          <w:tcPr>
            <w:tcW w:w="1106" w:type="dxa"/>
            <w:vAlign w:val="bottom"/>
            <w:hideMark/>
          </w:tcPr>
          <w:p w:rsidR="00A35466" w:rsidRPr="008B741E"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8B741E">
              <w:rPr>
                <w:bCs/>
                <w:sz w:val="20"/>
                <w:szCs w:val="20"/>
              </w:rPr>
              <w:t>For TRM measures, are correct algorithms and HOU values used?</w:t>
            </w:r>
          </w:p>
        </w:tc>
        <w:tc>
          <w:tcPr>
            <w:tcW w:w="1670" w:type="dxa"/>
            <w:vAlign w:val="bottom"/>
            <w:hideMark/>
          </w:tcPr>
          <w:p w:rsidR="00A35466" w:rsidRPr="008B741E" w:rsidRDefault="00A35466"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8B741E">
              <w:rPr>
                <w:bCs/>
                <w:sz w:val="20"/>
                <w:szCs w:val="20"/>
              </w:rPr>
              <w:t>For Custom measures, is the methodology clear and auditable? Is it a sensible approach?</w:t>
            </w:r>
          </w:p>
        </w:tc>
      </w:tr>
      <w:tr w:rsidR="00A874AC" w:rsidRPr="008B741E" w:rsidTr="00FD4D90">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8B741E" w:rsidRDefault="00A35466" w:rsidP="004F0C61">
            <w:pPr>
              <w:jc w:val="left"/>
              <w:rPr>
                <w:b w:val="0"/>
                <w:color w:val="000000"/>
                <w:sz w:val="20"/>
                <w:szCs w:val="20"/>
              </w:rPr>
            </w:pPr>
            <w:r w:rsidRPr="008B741E">
              <w:rPr>
                <w:b w:val="0"/>
                <w:color w:val="000000"/>
                <w:sz w:val="20"/>
                <w:szCs w:val="20"/>
              </w:rPr>
              <w:t>CR_PRJ-360037</w:t>
            </w:r>
          </w:p>
        </w:tc>
        <w:tc>
          <w:tcPr>
            <w:tcW w:w="1107"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Small C/I Equipment</w:t>
            </w:r>
          </w:p>
        </w:tc>
        <w:tc>
          <w:tcPr>
            <w:tcW w:w="3573" w:type="dxa"/>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Fuel canopy, wall pack, and parking lot exterior LED retrofit</w:t>
            </w:r>
          </w:p>
        </w:tc>
        <w:tc>
          <w:tcPr>
            <w:tcW w:w="1021"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930"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1469"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No</w:t>
            </w:r>
          </w:p>
        </w:tc>
        <w:tc>
          <w:tcPr>
            <w:tcW w:w="1004"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1106" w:type="dxa"/>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1670" w:type="dxa"/>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N/A</w:t>
            </w:r>
          </w:p>
        </w:tc>
      </w:tr>
      <w:tr w:rsidR="00A35466" w:rsidRPr="008B741E" w:rsidTr="00FD4D90">
        <w:trPr>
          <w:trHeight w:val="750"/>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8B741E" w:rsidRDefault="00A35466" w:rsidP="004F0C61">
            <w:pPr>
              <w:jc w:val="left"/>
              <w:rPr>
                <w:b w:val="0"/>
                <w:color w:val="000000"/>
                <w:sz w:val="20"/>
                <w:szCs w:val="20"/>
              </w:rPr>
            </w:pPr>
            <w:r w:rsidRPr="008B741E">
              <w:rPr>
                <w:b w:val="0"/>
                <w:color w:val="000000"/>
                <w:sz w:val="20"/>
                <w:szCs w:val="20"/>
              </w:rPr>
              <w:t>CR_PRJ-392093</w:t>
            </w:r>
          </w:p>
        </w:tc>
        <w:tc>
          <w:tcPr>
            <w:tcW w:w="1107"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Large C/I Equipment</w:t>
            </w:r>
          </w:p>
        </w:tc>
        <w:tc>
          <w:tcPr>
            <w:tcW w:w="3573" w:type="dxa"/>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Lighting retrofit: metal halide to LED conversion in manufacturing facility</w:t>
            </w:r>
          </w:p>
        </w:tc>
        <w:tc>
          <w:tcPr>
            <w:tcW w:w="1021"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930"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1469"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No</w:t>
            </w:r>
          </w:p>
        </w:tc>
        <w:tc>
          <w:tcPr>
            <w:tcW w:w="1004"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1106" w:type="dxa"/>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1670" w:type="dxa"/>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N/A</w:t>
            </w:r>
          </w:p>
        </w:tc>
      </w:tr>
      <w:tr w:rsidR="00A874AC" w:rsidRPr="008B741E" w:rsidTr="00FD4D90">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8B741E" w:rsidRDefault="00A35466" w:rsidP="004F0C61">
            <w:pPr>
              <w:jc w:val="left"/>
              <w:rPr>
                <w:b w:val="0"/>
                <w:color w:val="000000"/>
                <w:sz w:val="20"/>
                <w:szCs w:val="20"/>
              </w:rPr>
            </w:pPr>
            <w:r w:rsidRPr="008B741E">
              <w:rPr>
                <w:b w:val="0"/>
                <w:color w:val="000000"/>
                <w:sz w:val="20"/>
                <w:szCs w:val="20"/>
              </w:rPr>
              <w:t>CR_PRJ-321782</w:t>
            </w:r>
          </w:p>
        </w:tc>
        <w:tc>
          <w:tcPr>
            <w:tcW w:w="1107"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Large C/I Equipment</w:t>
            </w:r>
          </w:p>
        </w:tc>
        <w:tc>
          <w:tcPr>
            <w:tcW w:w="3573" w:type="dxa"/>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Interior and exterior LED lighting retrofit</w:t>
            </w:r>
          </w:p>
        </w:tc>
        <w:tc>
          <w:tcPr>
            <w:tcW w:w="1021"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930"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1469"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No</w:t>
            </w:r>
          </w:p>
        </w:tc>
        <w:tc>
          <w:tcPr>
            <w:tcW w:w="1004"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1106" w:type="dxa"/>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1670" w:type="dxa"/>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N/A</w:t>
            </w:r>
          </w:p>
        </w:tc>
      </w:tr>
      <w:tr w:rsidR="00A35466" w:rsidRPr="008B741E" w:rsidTr="00FD4D90">
        <w:trPr>
          <w:trHeight w:val="750"/>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8B741E" w:rsidRDefault="00A35466" w:rsidP="004F0C61">
            <w:pPr>
              <w:jc w:val="left"/>
              <w:rPr>
                <w:b w:val="0"/>
                <w:color w:val="000000"/>
                <w:sz w:val="20"/>
                <w:szCs w:val="20"/>
              </w:rPr>
            </w:pPr>
            <w:r w:rsidRPr="008B741E">
              <w:rPr>
                <w:b w:val="0"/>
                <w:color w:val="000000"/>
                <w:sz w:val="20"/>
                <w:szCs w:val="20"/>
              </w:rPr>
              <w:t>CR_PRJ-264902</w:t>
            </w:r>
          </w:p>
        </w:tc>
        <w:tc>
          <w:tcPr>
            <w:tcW w:w="1107"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Large C/I Buildings</w:t>
            </w:r>
          </w:p>
        </w:tc>
        <w:tc>
          <w:tcPr>
            <w:tcW w:w="3573" w:type="dxa"/>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New Cheese manufacturing line with efficient refrigeration plant to replace old one</w:t>
            </w:r>
          </w:p>
        </w:tc>
        <w:tc>
          <w:tcPr>
            <w:tcW w:w="1021"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930"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1469"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No</w:t>
            </w:r>
          </w:p>
        </w:tc>
        <w:tc>
          <w:tcPr>
            <w:tcW w:w="1004"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1106" w:type="dxa"/>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N/A</w:t>
            </w:r>
          </w:p>
        </w:tc>
        <w:tc>
          <w:tcPr>
            <w:tcW w:w="1670" w:type="dxa"/>
            <w:hideMark/>
          </w:tcPr>
          <w:p w:rsidR="00A35466" w:rsidRPr="008B741E" w:rsidRDefault="00A35466" w:rsidP="00C83389">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 eQ</w:t>
            </w:r>
            <w:r w:rsidR="00C83389" w:rsidRPr="008B741E">
              <w:rPr>
                <w:color w:val="000000"/>
                <w:sz w:val="20"/>
                <w:szCs w:val="20"/>
              </w:rPr>
              <w:t xml:space="preserve">UEST </w:t>
            </w:r>
            <w:r w:rsidRPr="008B741E">
              <w:rPr>
                <w:color w:val="000000"/>
                <w:sz w:val="20"/>
                <w:szCs w:val="20"/>
              </w:rPr>
              <w:t>Model</w:t>
            </w:r>
          </w:p>
        </w:tc>
      </w:tr>
      <w:tr w:rsidR="00A874AC" w:rsidRPr="008B741E" w:rsidTr="00FD4D90">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8B741E" w:rsidRDefault="00A35466" w:rsidP="004F0C61">
            <w:pPr>
              <w:jc w:val="left"/>
              <w:rPr>
                <w:b w:val="0"/>
                <w:color w:val="000000"/>
                <w:sz w:val="20"/>
                <w:szCs w:val="20"/>
              </w:rPr>
            </w:pPr>
            <w:r w:rsidRPr="008B741E">
              <w:rPr>
                <w:b w:val="0"/>
                <w:color w:val="000000"/>
                <w:sz w:val="20"/>
                <w:szCs w:val="20"/>
              </w:rPr>
              <w:t>CR_PRJ-586751</w:t>
            </w:r>
          </w:p>
        </w:tc>
        <w:tc>
          <w:tcPr>
            <w:tcW w:w="1107"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Small C/I Buildings</w:t>
            </w:r>
          </w:p>
        </w:tc>
        <w:tc>
          <w:tcPr>
            <w:tcW w:w="3573" w:type="dxa"/>
            <w:hideMark/>
          </w:tcPr>
          <w:p w:rsidR="00A35466" w:rsidRPr="008B741E" w:rsidRDefault="00A35466" w:rsidP="008B741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Custom</w:t>
            </w:r>
            <w:r w:rsidRPr="008B741E">
              <w:rPr>
                <w:color w:val="000000"/>
                <w:sz w:val="20"/>
                <w:szCs w:val="20"/>
              </w:rPr>
              <w:br/>
            </w:r>
            <w:r w:rsidR="007320F1">
              <w:t xml:space="preserve"> - </w:t>
            </w:r>
            <w:r w:rsidRPr="007320F1">
              <w:rPr>
                <w:sz w:val="20"/>
              </w:rPr>
              <w:t xml:space="preserve">Install anti-sweat heater controls to cycle heaters in response to store dew point temperature </w:t>
            </w:r>
            <w:r w:rsidRPr="007320F1">
              <w:rPr>
                <w:sz w:val="20"/>
              </w:rPr>
              <w:br/>
            </w:r>
            <w:r w:rsidR="007320F1" w:rsidRPr="007320F1">
              <w:rPr>
                <w:sz w:val="20"/>
              </w:rPr>
              <w:t xml:space="preserve"> - </w:t>
            </w:r>
            <w:r w:rsidRPr="007320F1">
              <w:rPr>
                <w:sz w:val="20"/>
              </w:rPr>
              <w:t>Add plastic film wrappers to meat and produce departments</w:t>
            </w:r>
            <w:r w:rsidRPr="007320F1">
              <w:rPr>
                <w:sz w:val="20"/>
              </w:rPr>
              <w:br/>
            </w:r>
            <w:r w:rsidR="007320F1" w:rsidRPr="007320F1">
              <w:rPr>
                <w:sz w:val="20"/>
              </w:rPr>
              <w:t xml:space="preserve"> - </w:t>
            </w:r>
            <w:r w:rsidRPr="007320F1">
              <w:rPr>
                <w:sz w:val="20"/>
              </w:rPr>
              <w:t>Reduced minimum head pressure set points</w:t>
            </w:r>
            <w:r w:rsidRPr="007320F1">
              <w:rPr>
                <w:sz w:val="20"/>
              </w:rPr>
              <w:br/>
            </w:r>
            <w:r w:rsidR="007320F1">
              <w:rPr>
                <w:sz w:val="20"/>
              </w:rPr>
              <w:t xml:space="preserve"> - </w:t>
            </w:r>
            <w:r w:rsidRPr="007320F1">
              <w:rPr>
                <w:sz w:val="20"/>
              </w:rPr>
              <w:t>Optimized suction pressure set points</w:t>
            </w:r>
            <w:r w:rsidRPr="007320F1">
              <w:rPr>
                <w:color w:val="000000"/>
                <w:sz w:val="18"/>
                <w:szCs w:val="20"/>
              </w:rPr>
              <w:br/>
            </w:r>
            <w:r w:rsidRPr="008B741E">
              <w:rPr>
                <w:color w:val="000000"/>
                <w:sz w:val="20"/>
                <w:szCs w:val="20"/>
              </w:rPr>
              <w:t>Reduced liquid temperature leaving Rack A mechanical sub-cooler from 60°F to 50°F</w:t>
            </w:r>
          </w:p>
        </w:tc>
        <w:tc>
          <w:tcPr>
            <w:tcW w:w="1021"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930"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1469"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No</w:t>
            </w:r>
          </w:p>
        </w:tc>
        <w:tc>
          <w:tcPr>
            <w:tcW w:w="1004"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1106" w:type="dxa"/>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N/A</w:t>
            </w:r>
          </w:p>
        </w:tc>
        <w:tc>
          <w:tcPr>
            <w:tcW w:w="1670" w:type="dxa"/>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r>
      <w:tr w:rsidR="00A35466" w:rsidRPr="008B741E" w:rsidTr="00FD4D90">
        <w:trPr>
          <w:trHeight w:val="749"/>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8B741E" w:rsidRDefault="00A35466" w:rsidP="004F0C61">
            <w:pPr>
              <w:jc w:val="left"/>
              <w:rPr>
                <w:b w:val="0"/>
                <w:color w:val="000000"/>
                <w:sz w:val="20"/>
                <w:szCs w:val="20"/>
              </w:rPr>
            </w:pPr>
            <w:r w:rsidRPr="008B741E">
              <w:rPr>
                <w:b w:val="0"/>
                <w:color w:val="000000"/>
                <w:sz w:val="20"/>
                <w:szCs w:val="20"/>
              </w:rPr>
              <w:t>CR_PRJ-651570</w:t>
            </w:r>
          </w:p>
        </w:tc>
        <w:tc>
          <w:tcPr>
            <w:tcW w:w="1107"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Small C/I Equipment</w:t>
            </w:r>
          </w:p>
        </w:tc>
        <w:tc>
          <w:tcPr>
            <w:tcW w:w="3573" w:type="dxa"/>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Lighting (exterior and interior)</w:t>
            </w:r>
          </w:p>
        </w:tc>
        <w:tc>
          <w:tcPr>
            <w:tcW w:w="1021"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930"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1469"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No</w:t>
            </w:r>
          </w:p>
        </w:tc>
        <w:tc>
          <w:tcPr>
            <w:tcW w:w="1004"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1106" w:type="dxa"/>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1670" w:type="dxa"/>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N/A</w:t>
            </w:r>
          </w:p>
        </w:tc>
      </w:tr>
      <w:tr w:rsidR="00A874AC" w:rsidRPr="008B741E" w:rsidTr="00FD4D90">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8B741E" w:rsidRDefault="00A35466" w:rsidP="004F0C61">
            <w:pPr>
              <w:jc w:val="left"/>
              <w:rPr>
                <w:b w:val="0"/>
                <w:color w:val="000000"/>
                <w:sz w:val="20"/>
                <w:szCs w:val="20"/>
              </w:rPr>
            </w:pPr>
            <w:r w:rsidRPr="008B741E">
              <w:rPr>
                <w:b w:val="0"/>
                <w:color w:val="000000"/>
                <w:sz w:val="20"/>
                <w:szCs w:val="20"/>
              </w:rPr>
              <w:lastRenderedPageBreak/>
              <w:t>CR_PRJ-419084</w:t>
            </w:r>
          </w:p>
        </w:tc>
        <w:tc>
          <w:tcPr>
            <w:tcW w:w="1107"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Large C/I Equipment</w:t>
            </w:r>
          </w:p>
        </w:tc>
        <w:tc>
          <w:tcPr>
            <w:tcW w:w="3573" w:type="dxa"/>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Custom (compressed air leak repair)</w:t>
            </w:r>
          </w:p>
        </w:tc>
        <w:tc>
          <w:tcPr>
            <w:tcW w:w="1021"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930"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1469"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No</w:t>
            </w:r>
          </w:p>
        </w:tc>
        <w:tc>
          <w:tcPr>
            <w:tcW w:w="1004" w:type="dxa"/>
            <w:noWrap/>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c>
          <w:tcPr>
            <w:tcW w:w="1106" w:type="dxa"/>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N/A</w:t>
            </w:r>
          </w:p>
        </w:tc>
        <w:tc>
          <w:tcPr>
            <w:tcW w:w="1670" w:type="dxa"/>
            <w:hideMark/>
          </w:tcPr>
          <w:p w:rsidR="00A35466" w:rsidRPr="008B741E" w:rsidRDefault="00A35466"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B741E">
              <w:rPr>
                <w:color w:val="000000"/>
                <w:sz w:val="20"/>
                <w:szCs w:val="20"/>
              </w:rPr>
              <w:t>Yes</w:t>
            </w:r>
          </w:p>
        </w:tc>
      </w:tr>
      <w:tr w:rsidR="00A35466" w:rsidRPr="008B741E" w:rsidTr="00FD4D90">
        <w:trPr>
          <w:trHeight w:val="749"/>
        </w:trPr>
        <w:tc>
          <w:tcPr>
            <w:cnfStyle w:val="001000000000" w:firstRow="0" w:lastRow="0" w:firstColumn="1" w:lastColumn="0" w:oddVBand="0" w:evenVBand="0" w:oddHBand="0" w:evenHBand="0" w:firstRowFirstColumn="0" w:firstRowLastColumn="0" w:lastRowFirstColumn="0" w:lastRowLastColumn="0"/>
            <w:tcW w:w="1075" w:type="dxa"/>
            <w:noWrap/>
            <w:hideMark/>
          </w:tcPr>
          <w:p w:rsidR="00A35466" w:rsidRPr="008B741E" w:rsidRDefault="00A35466" w:rsidP="004F0C61">
            <w:pPr>
              <w:jc w:val="left"/>
              <w:rPr>
                <w:b w:val="0"/>
                <w:color w:val="000000"/>
                <w:sz w:val="20"/>
                <w:szCs w:val="20"/>
              </w:rPr>
            </w:pPr>
            <w:r w:rsidRPr="008B741E">
              <w:rPr>
                <w:b w:val="0"/>
                <w:color w:val="000000"/>
                <w:sz w:val="20"/>
                <w:szCs w:val="20"/>
              </w:rPr>
              <w:t>CR_PRJ-494738</w:t>
            </w:r>
          </w:p>
        </w:tc>
        <w:tc>
          <w:tcPr>
            <w:tcW w:w="1107"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Small C/I Buildings</w:t>
            </w:r>
          </w:p>
        </w:tc>
        <w:tc>
          <w:tcPr>
            <w:tcW w:w="3573" w:type="dxa"/>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Custom (new construction lighting, mini splits, envelope)</w:t>
            </w:r>
          </w:p>
        </w:tc>
        <w:tc>
          <w:tcPr>
            <w:tcW w:w="1021"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930"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1469"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No</w:t>
            </w:r>
          </w:p>
        </w:tc>
        <w:tc>
          <w:tcPr>
            <w:tcW w:w="1004" w:type="dxa"/>
            <w:noWrap/>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c>
          <w:tcPr>
            <w:tcW w:w="1106" w:type="dxa"/>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N/A</w:t>
            </w:r>
          </w:p>
        </w:tc>
        <w:tc>
          <w:tcPr>
            <w:tcW w:w="1670" w:type="dxa"/>
            <w:hideMark/>
          </w:tcPr>
          <w:p w:rsidR="00A35466" w:rsidRPr="008B741E" w:rsidRDefault="00A35466"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B741E">
              <w:rPr>
                <w:color w:val="000000"/>
                <w:sz w:val="20"/>
                <w:szCs w:val="20"/>
              </w:rPr>
              <w:t>Yes</w:t>
            </w:r>
          </w:p>
        </w:tc>
      </w:tr>
    </w:tbl>
    <w:p w:rsidR="00A35466" w:rsidRDefault="00A35466" w:rsidP="00A35466">
      <w:pPr>
        <w:spacing w:after="120"/>
        <w:rPr>
          <w:color w:val="000000"/>
        </w:rPr>
      </w:pPr>
    </w:p>
    <w:p w:rsidR="008B741E" w:rsidRDefault="008B741E" w:rsidP="00A35466">
      <w:pPr>
        <w:spacing w:after="120"/>
        <w:rPr>
          <w:color w:val="000000"/>
        </w:rPr>
        <w:sectPr w:rsidR="008B741E" w:rsidSect="008B741E">
          <w:headerReference w:type="default" r:id="rId141"/>
          <w:footerReference w:type="default" r:id="rId142"/>
          <w:headerReference w:type="first" r:id="rId143"/>
          <w:footerReference w:type="first" r:id="rId144"/>
          <w:pgSz w:w="15840" w:h="12240" w:orient="landscape"/>
          <w:pgMar w:top="1440" w:right="1440" w:bottom="1440" w:left="1440" w:header="720" w:footer="288" w:gutter="0"/>
          <w:cols w:space="720"/>
          <w:titlePg/>
          <w:docGrid w:linePitch="360"/>
        </w:sectPr>
      </w:pPr>
    </w:p>
    <w:p w:rsidR="00A35466" w:rsidRPr="003458B1" w:rsidRDefault="00A35466" w:rsidP="00A35466">
      <w:pPr>
        <w:spacing w:after="120"/>
        <w:rPr>
          <w:color w:val="000000"/>
        </w:rPr>
      </w:pPr>
      <w:r w:rsidRPr="003458B1">
        <w:rPr>
          <w:color w:val="000000"/>
        </w:rPr>
        <w:lastRenderedPageBreak/>
        <w:t>The SWE Team review of Penn Power’s PY6 project files revea</w:t>
      </w:r>
      <w:r>
        <w:rPr>
          <w:color w:val="000000"/>
        </w:rPr>
        <w:t>led cause for concern in regard</w:t>
      </w:r>
      <w:r w:rsidRPr="003458B1">
        <w:rPr>
          <w:color w:val="000000"/>
        </w:rPr>
        <w:t xml:space="preserve"> to clarity of project files and appropriate use of the TRM. The SWE Team provided the following </w:t>
      </w:r>
      <w:r>
        <w:rPr>
          <w:color w:val="000000"/>
        </w:rPr>
        <w:t xml:space="preserve">two </w:t>
      </w:r>
      <w:r w:rsidRPr="003458B1">
        <w:rPr>
          <w:color w:val="000000"/>
        </w:rPr>
        <w:t>recommendations:</w:t>
      </w:r>
    </w:p>
    <w:p w:rsidR="00A35466" w:rsidRPr="003458B1" w:rsidRDefault="00A35466" w:rsidP="00E646C9">
      <w:pPr>
        <w:numPr>
          <w:ilvl w:val="0"/>
          <w:numId w:val="36"/>
        </w:numPr>
        <w:spacing w:after="120"/>
      </w:pPr>
      <w:r w:rsidRPr="003458B1">
        <w:t>SWE Team</w:t>
      </w:r>
      <w:r>
        <w:t>–</w:t>
      </w:r>
      <w:r w:rsidRPr="003458B1">
        <w:t xml:space="preserve">provided calculators should be used properly; if </w:t>
      </w:r>
      <w:r>
        <w:t>they</w:t>
      </w:r>
      <w:r w:rsidRPr="003458B1">
        <w:t xml:space="preserve"> are unavailable for a given measure, custom calculators should be crafted carefully per the governing TRM equations and requirements.</w:t>
      </w:r>
    </w:p>
    <w:p w:rsidR="00A35466" w:rsidRPr="003458B1" w:rsidRDefault="00A35466" w:rsidP="00E646C9">
      <w:pPr>
        <w:numPr>
          <w:ilvl w:val="0"/>
          <w:numId w:val="36"/>
        </w:numPr>
      </w:pPr>
      <w:r w:rsidRPr="003458B1">
        <w:t>More organized documentation should be kept on record to properly capture each project’s full scope of work within its project file.</w:t>
      </w:r>
    </w:p>
    <w:p w:rsidR="00A35466" w:rsidRPr="003458B1" w:rsidRDefault="00A35466" w:rsidP="00A35466"/>
    <w:p w:rsidR="00A35466" w:rsidRPr="00A35466" w:rsidRDefault="00A35466" w:rsidP="00A35466">
      <w:r w:rsidRPr="00A35466">
        <w:t>In PY7, the SWE saw marked improvement in the consistency, orderliness, and organization of project files. This was aided by the consistent inclusion of site-specific cover pages, which helped the SWE follow the evaluation contractor’s method and progression. At this time, the SWE Team only recommends that in the interest of transparency, only the supplied Appendix C calculator be used for lighting projects moving forward.</w:t>
      </w:r>
    </w:p>
    <w:p w:rsidR="00A35466" w:rsidRPr="00A35466" w:rsidRDefault="00A35466" w:rsidP="00A35466"/>
    <w:p w:rsidR="00A35466" w:rsidRPr="00A35466" w:rsidRDefault="00A35466" w:rsidP="00A35466">
      <w:pPr>
        <w:pStyle w:val="AppendixAHeading4"/>
      </w:pPr>
      <w:r w:rsidRPr="00A35466">
        <w:t>Sample Design Review</w:t>
      </w:r>
    </w:p>
    <w:p w:rsidR="00A35466" w:rsidRDefault="00A35466" w:rsidP="00A35466">
      <w:r w:rsidRPr="003458B1">
        <w:t>Penn Power’s PY7 annual report provides detailed information about the sample design of the PY7 gross impact evaluation of non-residential programs. Penn Power’s non-residential programs were the Small C/I Energy Efficient Equipment Program, Small C/I Energy Efficient Buildings Program, Large C/I Energy Efficient Equipment Program, Large C/I Energy Efficient Buildings Program, and Government and Institutional Program.</w:t>
      </w:r>
    </w:p>
    <w:p w:rsidR="00A35466" w:rsidRDefault="00A35466" w:rsidP="00A35466"/>
    <w:p w:rsidR="00A35466" w:rsidRPr="003458B1" w:rsidRDefault="00A35466" w:rsidP="00A35466">
      <w:pPr>
        <w:pStyle w:val="AppendixAHeading5"/>
      </w:pPr>
      <w:r w:rsidRPr="003458B1">
        <w:t>Small C/I Energy Efficient Equipment Program</w:t>
      </w:r>
    </w:p>
    <w:p w:rsidR="00A35466" w:rsidRPr="003458B1" w:rsidRDefault="00A35466" w:rsidP="00A35466">
      <w:r w:rsidRPr="003458B1">
        <w:t xml:space="preserve">In PY7, this program was divided into two components: equipment incentives and appliance recycling. Lighting measures contributed the majority of the gross energy savings for the program. </w:t>
      </w:r>
      <w:r w:rsidRPr="003458B1">
        <w:tab/>
      </w:r>
    </w:p>
    <w:p w:rsidR="00A35466" w:rsidRPr="003458B1" w:rsidRDefault="00A35466" w:rsidP="00A35466"/>
    <w:p w:rsidR="00A35466" w:rsidRPr="00AB3C36" w:rsidRDefault="00A35466" w:rsidP="00A35466">
      <w:pPr>
        <w:rPr>
          <w:bCs/>
        </w:rPr>
      </w:pPr>
      <w:r w:rsidRPr="003458B1">
        <w:t xml:space="preserve">Stratified ratio estimation was used to estimate savings for the program, and stratified random sampling was used for sample design by the evaluation contractor. For large lighting projects in the evaluation sample, Penn Power’s evaluation contractor designed an on-site sampling strategy that targeted ±20% precision at the 90% confidence level for the physical counting of fixtures. All lighting projects that were expected to have more than 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stratified based on energy </w:t>
      </w:r>
      <w:r w:rsidRPr="007E0D0D">
        <w:t xml:space="preserve">savings at the measure level. The assumed Cv used in the sample design was 0.5 for all projects. The detailed sampling strategy for this program in PY7 and the achieved precision values for each stratum are presented in </w:t>
      </w:r>
      <w:r w:rsidR="007E0D0D">
        <w:t>Table A-77</w:t>
      </w:r>
      <w:r w:rsidRPr="007E0D0D">
        <w:t>. The data show that Penn Power met the SWE Team requirements of 85%/15%</w:t>
      </w:r>
      <w:r w:rsidRPr="003458B1">
        <w:t xml:space="preserve"> confidence</w:t>
      </w:r>
      <w:r>
        <w:t>/</w:t>
      </w:r>
      <w:r w:rsidRPr="003458B1">
        <w:t>precision for both energy and peak demand.</w:t>
      </w:r>
    </w:p>
    <w:p w:rsidR="00A35466" w:rsidRPr="003458B1" w:rsidRDefault="00A35466" w:rsidP="00A35466"/>
    <w:p w:rsidR="007320F1" w:rsidRDefault="007320F1" w:rsidP="00A35466">
      <w:pPr>
        <w:spacing w:after="120"/>
        <w:jc w:val="center"/>
        <w:rPr>
          <w:rFonts w:ascii="Century Gothic" w:hAnsi="Century Gothic"/>
          <w:b/>
          <w:bCs/>
          <w:sz w:val="18"/>
          <w:szCs w:val="18"/>
        </w:rPr>
      </w:pPr>
      <w:bookmarkStart w:id="947" w:name="_Ref433898677"/>
      <w:bookmarkStart w:id="948" w:name="_Toc410199432"/>
      <w:bookmarkStart w:id="949" w:name="_Toc431462352"/>
      <w:bookmarkStart w:id="950" w:name="_Toc444269874"/>
      <w:bookmarkStart w:id="951" w:name="_Toc472472486"/>
    </w:p>
    <w:p w:rsidR="007320F1" w:rsidRDefault="007320F1" w:rsidP="00A35466">
      <w:pPr>
        <w:spacing w:after="120"/>
        <w:jc w:val="center"/>
        <w:rPr>
          <w:rFonts w:ascii="Century Gothic" w:hAnsi="Century Gothic"/>
          <w:b/>
          <w:bCs/>
          <w:sz w:val="18"/>
          <w:szCs w:val="18"/>
        </w:rPr>
      </w:pPr>
    </w:p>
    <w:p w:rsidR="007320F1" w:rsidRDefault="007320F1" w:rsidP="00A35466">
      <w:pPr>
        <w:spacing w:after="120"/>
        <w:jc w:val="center"/>
        <w:rPr>
          <w:rFonts w:ascii="Century Gothic" w:hAnsi="Century Gothic"/>
          <w:b/>
          <w:bCs/>
          <w:sz w:val="18"/>
          <w:szCs w:val="18"/>
        </w:rPr>
      </w:pPr>
    </w:p>
    <w:p w:rsidR="007320F1" w:rsidRDefault="007320F1" w:rsidP="00A35466">
      <w:pPr>
        <w:spacing w:after="120"/>
        <w:jc w:val="center"/>
        <w:rPr>
          <w:rFonts w:ascii="Century Gothic" w:hAnsi="Century Gothic"/>
          <w:b/>
          <w:bCs/>
          <w:sz w:val="18"/>
          <w:szCs w:val="18"/>
        </w:rPr>
      </w:pPr>
    </w:p>
    <w:p w:rsidR="007320F1" w:rsidRDefault="007320F1" w:rsidP="00A35466">
      <w:pPr>
        <w:spacing w:after="120"/>
        <w:jc w:val="center"/>
        <w:rPr>
          <w:rFonts w:ascii="Century Gothic" w:hAnsi="Century Gothic"/>
          <w:b/>
          <w:bCs/>
          <w:sz w:val="18"/>
          <w:szCs w:val="18"/>
        </w:rPr>
      </w:pPr>
    </w:p>
    <w:p w:rsidR="007320F1" w:rsidRDefault="007320F1" w:rsidP="00A35466">
      <w:pPr>
        <w:spacing w:after="120"/>
        <w:jc w:val="center"/>
        <w:rPr>
          <w:rFonts w:ascii="Century Gothic" w:hAnsi="Century Gothic"/>
          <w:b/>
          <w:bCs/>
          <w:sz w:val="18"/>
          <w:szCs w:val="18"/>
        </w:rPr>
      </w:pPr>
    </w:p>
    <w:p w:rsidR="00A35466" w:rsidRPr="003458B1" w:rsidRDefault="00A35466" w:rsidP="00A35466">
      <w:pPr>
        <w:spacing w:after="120"/>
        <w:jc w:val="center"/>
        <w:rPr>
          <w:rFonts w:ascii="Century Gothic" w:hAnsi="Century Gothic"/>
          <w:b/>
          <w:bCs/>
          <w:sz w:val="18"/>
          <w:szCs w:val="18"/>
        </w:rPr>
      </w:pPr>
      <w:bookmarkStart w:id="952" w:name="_Toc476842192"/>
      <w:r w:rsidRPr="003458B1">
        <w:rPr>
          <w:rFonts w:ascii="Century Gothic" w:hAnsi="Century Gothic"/>
          <w:b/>
          <w:bCs/>
          <w:sz w:val="18"/>
          <w:szCs w:val="18"/>
        </w:rPr>
        <w:lastRenderedPageBreak/>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77</w:t>
      </w:r>
      <w:r w:rsidRPr="003458B1">
        <w:rPr>
          <w:rFonts w:ascii="Century Gothic" w:hAnsi="Century Gothic"/>
          <w:b/>
          <w:bCs/>
          <w:sz w:val="18"/>
          <w:szCs w:val="18"/>
        </w:rPr>
        <w:fldChar w:fldCharType="end"/>
      </w:r>
      <w:bookmarkEnd w:id="947"/>
      <w:r w:rsidRPr="003458B1">
        <w:rPr>
          <w:rFonts w:ascii="Century Gothic" w:hAnsi="Century Gothic"/>
          <w:b/>
          <w:bCs/>
          <w:sz w:val="18"/>
          <w:szCs w:val="18"/>
        </w:rPr>
        <w:t>: Penn Power’s PY7 Sampling Strategy and Relative Precision – Small C/I Energy Efficient Equipment Program</w:t>
      </w:r>
      <w:bookmarkEnd w:id="948"/>
      <w:bookmarkEnd w:id="949"/>
      <w:bookmarkEnd w:id="950"/>
      <w:bookmarkEnd w:id="951"/>
      <w:bookmarkEnd w:id="952"/>
    </w:p>
    <w:tbl>
      <w:tblPr>
        <w:tblW w:w="9360" w:type="dxa"/>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75"/>
        <w:gridCol w:w="1180"/>
        <w:gridCol w:w="1241"/>
        <w:gridCol w:w="1241"/>
        <w:gridCol w:w="1241"/>
        <w:gridCol w:w="1241"/>
        <w:gridCol w:w="1241"/>
      </w:tblGrid>
      <w:tr w:rsidR="00A874AC" w:rsidRPr="003458B1" w:rsidTr="00FD4D90">
        <w:trPr>
          <w:trHeight w:val="1007"/>
          <w:tblHeader/>
        </w:trPr>
        <w:tc>
          <w:tcPr>
            <w:tcW w:w="1975" w:type="dxa"/>
            <w:shd w:val="clear" w:color="000000" w:fill="448A99"/>
            <w:vAlign w:val="bottom"/>
            <w:hideMark/>
          </w:tcPr>
          <w:p w:rsidR="00A35466" w:rsidRPr="003458B1" w:rsidRDefault="00A35466" w:rsidP="004F0C61">
            <w:pPr>
              <w:jc w:val="left"/>
              <w:rPr>
                <w:b/>
                <w:bCs/>
                <w:color w:val="FFFFFF"/>
                <w:sz w:val="20"/>
                <w:szCs w:val="20"/>
              </w:rPr>
            </w:pPr>
            <w:r w:rsidRPr="003458B1">
              <w:rPr>
                <w:b/>
                <w:bCs/>
                <w:color w:val="FFFFFF"/>
                <w:sz w:val="20"/>
                <w:szCs w:val="20"/>
              </w:rPr>
              <w:t>Stratum</w:t>
            </w:r>
          </w:p>
        </w:tc>
        <w:tc>
          <w:tcPr>
            <w:tcW w:w="1180"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Population</w:t>
            </w:r>
          </w:p>
        </w:tc>
        <w:tc>
          <w:tcPr>
            <w:tcW w:w="1241"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Target Levels of Confidence &amp; Precision</w:t>
            </w:r>
          </w:p>
        </w:tc>
        <w:tc>
          <w:tcPr>
            <w:tcW w:w="1241"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Target Sample Size</w:t>
            </w:r>
          </w:p>
        </w:tc>
        <w:tc>
          <w:tcPr>
            <w:tcW w:w="1241"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Achieved Sample Size</w:t>
            </w:r>
          </w:p>
        </w:tc>
        <w:tc>
          <w:tcPr>
            <w:tcW w:w="1241"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Relative Precision at 85% C.L. for Energy</w:t>
            </w:r>
          </w:p>
        </w:tc>
        <w:tc>
          <w:tcPr>
            <w:tcW w:w="1241"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FD4D90">
        <w:trPr>
          <w:trHeight w:val="488"/>
        </w:trPr>
        <w:tc>
          <w:tcPr>
            <w:tcW w:w="1975" w:type="dxa"/>
            <w:shd w:val="clear" w:color="000000" w:fill="D2EAF1"/>
            <w:noWrap/>
            <w:vAlign w:val="center"/>
          </w:tcPr>
          <w:p w:rsidR="00A35466" w:rsidRPr="003458B1" w:rsidRDefault="00A35466" w:rsidP="004F0C61">
            <w:pPr>
              <w:jc w:val="left"/>
              <w:rPr>
                <w:bCs/>
                <w:color w:val="000000"/>
                <w:sz w:val="20"/>
                <w:szCs w:val="20"/>
              </w:rPr>
            </w:pPr>
            <w:r>
              <w:rPr>
                <w:bCs/>
                <w:color w:val="000000"/>
                <w:sz w:val="20"/>
                <w:szCs w:val="20"/>
              </w:rPr>
              <w:t xml:space="preserve">CFL kits – </w:t>
            </w:r>
            <w:r w:rsidRPr="003458B1">
              <w:rPr>
                <w:bCs/>
                <w:color w:val="000000"/>
                <w:sz w:val="20"/>
                <w:szCs w:val="20"/>
              </w:rPr>
              <w:t>1</w:t>
            </w:r>
          </w:p>
        </w:tc>
        <w:tc>
          <w:tcPr>
            <w:tcW w:w="1180"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w:t>
            </w:r>
          </w:p>
        </w:tc>
        <w:tc>
          <w:tcPr>
            <w:tcW w:w="1241" w:type="dxa"/>
            <w:shd w:val="clear" w:color="000000" w:fill="D2EAF1"/>
            <w:noWrap/>
            <w:vAlign w:val="center"/>
          </w:tcPr>
          <w:p w:rsidR="00A35466" w:rsidRPr="003458B1" w:rsidRDefault="00A35466" w:rsidP="004F0C61">
            <w:pPr>
              <w:jc w:val="center"/>
              <w:rPr>
                <w:color w:val="000000"/>
                <w:sz w:val="20"/>
                <w:szCs w:val="20"/>
              </w:rPr>
            </w:pPr>
            <w:r>
              <w:rPr>
                <w:sz w:val="20"/>
                <w:szCs w:val="20"/>
              </w:rPr>
              <w:t>N/A</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100.0%</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100.0%</w:t>
            </w:r>
          </w:p>
        </w:tc>
      </w:tr>
      <w:tr w:rsidR="00E7173E" w:rsidRPr="003458B1" w:rsidTr="00FD4D90">
        <w:trPr>
          <w:trHeight w:val="488"/>
        </w:trPr>
        <w:tc>
          <w:tcPr>
            <w:tcW w:w="1975" w:type="dxa"/>
            <w:shd w:val="clear" w:color="auto" w:fill="auto"/>
            <w:noWrap/>
            <w:vAlign w:val="center"/>
          </w:tcPr>
          <w:p w:rsidR="00A35466" w:rsidRPr="003458B1" w:rsidRDefault="00A35466" w:rsidP="004F0C61">
            <w:pPr>
              <w:jc w:val="left"/>
              <w:rPr>
                <w:bCs/>
                <w:color w:val="000000"/>
                <w:sz w:val="20"/>
                <w:szCs w:val="20"/>
              </w:rPr>
            </w:pPr>
            <w:r>
              <w:rPr>
                <w:bCs/>
                <w:color w:val="000000"/>
                <w:sz w:val="20"/>
                <w:szCs w:val="20"/>
              </w:rPr>
              <w:t>Lighting – c</w:t>
            </w:r>
            <w:r w:rsidRPr="003458B1">
              <w:rPr>
                <w:bCs/>
                <w:color w:val="000000"/>
                <w:sz w:val="20"/>
                <w:szCs w:val="20"/>
              </w:rPr>
              <w:t>ertainty</w:t>
            </w:r>
          </w:p>
        </w:tc>
        <w:tc>
          <w:tcPr>
            <w:tcW w:w="1180"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w:t>
            </w:r>
          </w:p>
        </w:tc>
        <w:tc>
          <w:tcPr>
            <w:tcW w:w="1241" w:type="dxa"/>
            <w:shd w:val="clear" w:color="auto" w:fill="auto"/>
            <w:noWrap/>
            <w:vAlign w:val="center"/>
          </w:tcPr>
          <w:p w:rsidR="00A35466" w:rsidRPr="003458B1" w:rsidRDefault="00A35466" w:rsidP="004F0C61">
            <w:pPr>
              <w:jc w:val="center"/>
              <w:rPr>
                <w:color w:val="000000"/>
                <w:sz w:val="20"/>
                <w:szCs w:val="20"/>
              </w:rPr>
            </w:pPr>
            <w:r>
              <w:rPr>
                <w:sz w:val="20"/>
                <w:szCs w:val="20"/>
              </w:rPr>
              <w:t>N/A</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0.0%</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0.0%</w:t>
            </w:r>
          </w:p>
        </w:tc>
      </w:tr>
      <w:tr w:rsidR="00A874AC" w:rsidRPr="003458B1" w:rsidTr="00FD4D90">
        <w:trPr>
          <w:trHeight w:val="488"/>
        </w:trPr>
        <w:tc>
          <w:tcPr>
            <w:tcW w:w="1975" w:type="dxa"/>
            <w:shd w:val="clear" w:color="000000" w:fill="D2EAF1"/>
            <w:noWrap/>
            <w:vAlign w:val="center"/>
          </w:tcPr>
          <w:p w:rsidR="00A35466" w:rsidRPr="003458B1" w:rsidRDefault="00A35466" w:rsidP="004F0C61">
            <w:pPr>
              <w:jc w:val="left"/>
              <w:rPr>
                <w:bCs/>
                <w:color w:val="000000"/>
                <w:sz w:val="20"/>
                <w:szCs w:val="20"/>
              </w:rPr>
            </w:pPr>
            <w:r w:rsidRPr="003458B1">
              <w:rPr>
                <w:bCs/>
                <w:color w:val="000000"/>
                <w:sz w:val="20"/>
                <w:szCs w:val="20"/>
              </w:rPr>
              <w:t>Lighting – 2</w:t>
            </w:r>
          </w:p>
        </w:tc>
        <w:tc>
          <w:tcPr>
            <w:tcW w:w="1180"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7</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31.4%</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3</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3</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31.4%</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31.4%</w:t>
            </w:r>
          </w:p>
        </w:tc>
      </w:tr>
      <w:tr w:rsidR="00E7173E" w:rsidRPr="003458B1" w:rsidTr="00FD4D90">
        <w:trPr>
          <w:trHeight w:val="488"/>
        </w:trPr>
        <w:tc>
          <w:tcPr>
            <w:tcW w:w="1975" w:type="dxa"/>
            <w:shd w:val="clear" w:color="auto" w:fill="auto"/>
            <w:noWrap/>
            <w:vAlign w:val="center"/>
          </w:tcPr>
          <w:p w:rsidR="00A35466" w:rsidRPr="003458B1" w:rsidRDefault="00A35466" w:rsidP="004F0C61">
            <w:pPr>
              <w:jc w:val="left"/>
              <w:rPr>
                <w:bCs/>
                <w:color w:val="000000"/>
                <w:sz w:val="20"/>
                <w:szCs w:val="20"/>
              </w:rPr>
            </w:pPr>
            <w:r w:rsidRPr="003458B1">
              <w:rPr>
                <w:bCs/>
                <w:color w:val="000000"/>
                <w:sz w:val="20"/>
                <w:szCs w:val="20"/>
              </w:rPr>
              <w:t>Lighting – 3</w:t>
            </w:r>
          </w:p>
        </w:tc>
        <w:tc>
          <w:tcPr>
            <w:tcW w:w="1180"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18</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27.4%</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5</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5</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27.4%</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27.4%</w:t>
            </w:r>
          </w:p>
        </w:tc>
      </w:tr>
      <w:tr w:rsidR="00A874AC" w:rsidRPr="003458B1" w:rsidTr="00FD4D90">
        <w:trPr>
          <w:trHeight w:val="488"/>
        </w:trPr>
        <w:tc>
          <w:tcPr>
            <w:tcW w:w="1975" w:type="dxa"/>
            <w:shd w:val="clear" w:color="000000" w:fill="D2EAF1"/>
            <w:noWrap/>
            <w:vAlign w:val="center"/>
          </w:tcPr>
          <w:p w:rsidR="00A35466" w:rsidRPr="003458B1" w:rsidRDefault="00A35466" w:rsidP="004F0C61">
            <w:pPr>
              <w:jc w:val="left"/>
              <w:rPr>
                <w:bCs/>
                <w:color w:val="000000"/>
                <w:sz w:val="20"/>
                <w:szCs w:val="20"/>
              </w:rPr>
            </w:pPr>
            <w:r w:rsidRPr="003458B1">
              <w:rPr>
                <w:bCs/>
                <w:color w:val="000000"/>
                <w:sz w:val="20"/>
                <w:szCs w:val="20"/>
              </w:rPr>
              <w:t>Lighting – 4</w:t>
            </w:r>
          </w:p>
        </w:tc>
        <w:tc>
          <w:tcPr>
            <w:tcW w:w="1180"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105</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24.5%</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8</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8</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24.5%</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24.5%</w:t>
            </w:r>
          </w:p>
        </w:tc>
      </w:tr>
      <w:tr w:rsidR="00E7173E" w:rsidRPr="003458B1" w:rsidTr="00FD4D90">
        <w:trPr>
          <w:trHeight w:val="488"/>
        </w:trPr>
        <w:tc>
          <w:tcPr>
            <w:tcW w:w="1975" w:type="dxa"/>
            <w:shd w:val="clear" w:color="auto" w:fill="auto"/>
            <w:noWrap/>
            <w:vAlign w:val="center"/>
          </w:tcPr>
          <w:p w:rsidR="00A35466" w:rsidRPr="003458B1" w:rsidRDefault="00A35466" w:rsidP="004F0C61">
            <w:pPr>
              <w:jc w:val="left"/>
              <w:rPr>
                <w:bCs/>
                <w:color w:val="000000"/>
                <w:sz w:val="20"/>
                <w:szCs w:val="20"/>
              </w:rPr>
            </w:pPr>
            <w:r>
              <w:rPr>
                <w:bCs/>
                <w:color w:val="000000"/>
                <w:sz w:val="20"/>
                <w:szCs w:val="20"/>
              </w:rPr>
              <w:t>Custom – c</w:t>
            </w:r>
            <w:r w:rsidRPr="003458B1">
              <w:rPr>
                <w:bCs/>
                <w:color w:val="000000"/>
                <w:sz w:val="20"/>
                <w:szCs w:val="20"/>
              </w:rPr>
              <w:t>ertainty</w:t>
            </w:r>
          </w:p>
        </w:tc>
        <w:tc>
          <w:tcPr>
            <w:tcW w:w="1180"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1</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0.0%</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1</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1</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0.0%</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0.0%</w:t>
            </w:r>
          </w:p>
        </w:tc>
      </w:tr>
      <w:tr w:rsidR="00A874AC" w:rsidRPr="003458B1" w:rsidTr="00FD4D90">
        <w:trPr>
          <w:trHeight w:val="488"/>
        </w:trPr>
        <w:tc>
          <w:tcPr>
            <w:tcW w:w="1975" w:type="dxa"/>
            <w:shd w:val="clear" w:color="000000" w:fill="D2EAF1"/>
            <w:noWrap/>
            <w:vAlign w:val="center"/>
          </w:tcPr>
          <w:p w:rsidR="00A35466" w:rsidRPr="003458B1" w:rsidRDefault="00A35466" w:rsidP="004F0C61">
            <w:pPr>
              <w:jc w:val="left"/>
              <w:rPr>
                <w:bCs/>
                <w:color w:val="000000"/>
                <w:sz w:val="20"/>
                <w:szCs w:val="20"/>
              </w:rPr>
            </w:pPr>
            <w:r w:rsidRPr="003458B1">
              <w:rPr>
                <w:bCs/>
                <w:color w:val="000000"/>
                <w:sz w:val="20"/>
                <w:szCs w:val="20"/>
              </w:rPr>
              <w:t>Custom – 2</w:t>
            </w:r>
          </w:p>
        </w:tc>
        <w:tc>
          <w:tcPr>
            <w:tcW w:w="1180"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3</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29.4%</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2</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2</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29.4%</w:t>
            </w:r>
          </w:p>
        </w:tc>
        <w:tc>
          <w:tcPr>
            <w:tcW w:w="124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29.4%</w:t>
            </w:r>
          </w:p>
        </w:tc>
      </w:tr>
      <w:tr w:rsidR="00E7173E" w:rsidRPr="003458B1" w:rsidTr="00FD4D90">
        <w:trPr>
          <w:trHeight w:val="488"/>
        </w:trPr>
        <w:tc>
          <w:tcPr>
            <w:tcW w:w="1975" w:type="dxa"/>
            <w:shd w:val="clear" w:color="auto" w:fill="auto"/>
            <w:noWrap/>
            <w:vAlign w:val="center"/>
          </w:tcPr>
          <w:p w:rsidR="00A35466" w:rsidRPr="003458B1" w:rsidRDefault="00A35466" w:rsidP="004F0C61">
            <w:pPr>
              <w:jc w:val="left"/>
              <w:rPr>
                <w:bCs/>
                <w:color w:val="000000"/>
                <w:sz w:val="20"/>
                <w:szCs w:val="20"/>
              </w:rPr>
            </w:pPr>
            <w:r w:rsidRPr="003458B1">
              <w:rPr>
                <w:bCs/>
                <w:color w:val="000000"/>
                <w:sz w:val="20"/>
                <w:szCs w:val="20"/>
              </w:rPr>
              <w:t>Custom – 3</w:t>
            </w:r>
          </w:p>
        </w:tc>
        <w:tc>
          <w:tcPr>
            <w:tcW w:w="1180"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14</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30.4%</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4</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4</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30.4%</w:t>
            </w:r>
          </w:p>
        </w:tc>
        <w:tc>
          <w:tcPr>
            <w:tcW w:w="124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30.4%</w:t>
            </w:r>
          </w:p>
        </w:tc>
      </w:tr>
      <w:tr w:rsidR="00A874AC" w:rsidRPr="003458B1" w:rsidTr="00FD4D90">
        <w:trPr>
          <w:trHeight w:val="488"/>
        </w:trPr>
        <w:tc>
          <w:tcPr>
            <w:tcW w:w="1975" w:type="dxa"/>
            <w:shd w:val="clear" w:color="000000" w:fill="D2EAF1"/>
            <w:noWrap/>
            <w:vAlign w:val="center"/>
          </w:tcPr>
          <w:p w:rsidR="00A35466" w:rsidRPr="003458B1" w:rsidRDefault="00A35466" w:rsidP="004F0C61">
            <w:pPr>
              <w:jc w:val="left"/>
              <w:rPr>
                <w:b/>
                <w:bCs/>
                <w:iCs/>
                <w:color w:val="000000"/>
                <w:sz w:val="20"/>
                <w:szCs w:val="20"/>
              </w:rPr>
            </w:pPr>
            <w:r>
              <w:rPr>
                <w:bCs/>
                <w:color w:val="000000"/>
                <w:sz w:val="20"/>
                <w:szCs w:val="20"/>
              </w:rPr>
              <w:t xml:space="preserve">HVAC and DHW – </w:t>
            </w:r>
            <w:r w:rsidRPr="003458B1">
              <w:rPr>
                <w:bCs/>
                <w:color w:val="000000"/>
                <w:sz w:val="20"/>
                <w:szCs w:val="20"/>
              </w:rPr>
              <w:t>1</w:t>
            </w:r>
          </w:p>
        </w:tc>
        <w:tc>
          <w:tcPr>
            <w:tcW w:w="1180"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3</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58.8%</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1</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1</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58.8%</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58.8%</w:t>
            </w:r>
          </w:p>
        </w:tc>
      </w:tr>
      <w:tr w:rsidR="00E7173E" w:rsidRPr="003458B1" w:rsidTr="00FD4D90">
        <w:trPr>
          <w:trHeight w:val="488"/>
        </w:trPr>
        <w:tc>
          <w:tcPr>
            <w:tcW w:w="1975" w:type="dxa"/>
            <w:shd w:val="clear" w:color="auto" w:fill="auto"/>
            <w:noWrap/>
            <w:vAlign w:val="center"/>
          </w:tcPr>
          <w:p w:rsidR="00A35466" w:rsidRPr="003458B1" w:rsidRDefault="00A35466" w:rsidP="004F0C61">
            <w:pPr>
              <w:jc w:val="left"/>
              <w:rPr>
                <w:bCs/>
                <w:color w:val="000000"/>
                <w:sz w:val="20"/>
                <w:szCs w:val="20"/>
              </w:rPr>
            </w:pPr>
            <w:r>
              <w:rPr>
                <w:bCs/>
                <w:color w:val="000000"/>
                <w:sz w:val="20"/>
                <w:szCs w:val="20"/>
              </w:rPr>
              <w:t xml:space="preserve">HVAC and DHW – </w:t>
            </w:r>
            <w:r w:rsidRPr="003458B1">
              <w:rPr>
                <w:bCs/>
                <w:color w:val="000000"/>
                <w:sz w:val="20"/>
                <w:szCs w:val="20"/>
              </w:rPr>
              <w:t>2</w:t>
            </w:r>
          </w:p>
        </w:tc>
        <w:tc>
          <w:tcPr>
            <w:tcW w:w="118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11</w:t>
            </w:r>
          </w:p>
        </w:tc>
        <w:tc>
          <w:tcPr>
            <w:tcW w:w="124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68.6%</w:t>
            </w:r>
          </w:p>
        </w:tc>
        <w:tc>
          <w:tcPr>
            <w:tcW w:w="124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1</w:t>
            </w:r>
          </w:p>
        </w:tc>
        <w:tc>
          <w:tcPr>
            <w:tcW w:w="124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1</w:t>
            </w:r>
          </w:p>
        </w:tc>
        <w:tc>
          <w:tcPr>
            <w:tcW w:w="124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68.6%</w:t>
            </w:r>
          </w:p>
        </w:tc>
        <w:tc>
          <w:tcPr>
            <w:tcW w:w="124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68.6%</w:t>
            </w:r>
          </w:p>
        </w:tc>
      </w:tr>
      <w:tr w:rsidR="00A874AC" w:rsidRPr="003458B1" w:rsidTr="00FD4D90">
        <w:trPr>
          <w:trHeight w:val="488"/>
        </w:trPr>
        <w:tc>
          <w:tcPr>
            <w:tcW w:w="1975" w:type="dxa"/>
            <w:shd w:val="clear" w:color="000000" w:fill="D2EAF1"/>
            <w:noWrap/>
            <w:vAlign w:val="center"/>
          </w:tcPr>
          <w:p w:rsidR="00A35466" w:rsidRPr="003458B1" w:rsidRDefault="00A35466" w:rsidP="004F0C61">
            <w:pPr>
              <w:jc w:val="left"/>
              <w:rPr>
                <w:bCs/>
                <w:color w:val="000000"/>
                <w:sz w:val="20"/>
                <w:szCs w:val="20"/>
              </w:rPr>
            </w:pPr>
            <w:r>
              <w:rPr>
                <w:bCs/>
                <w:color w:val="000000"/>
                <w:sz w:val="20"/>
                <w:szCs w:val="20"/>
              </w:rPr>
              <w:t>Appliance Turn-I</w:t>
            </w:r>
            <w:r w:rsidRPr="003458B1">
              <w:rPr>
                <w:bCs/>
                <w:color w:val="000000"/>
                <w:sz w:val="20"/>
                <w:szCs w:val="20"/>
              </w:rPr>
              <w:t>n – 1</w:t>
            </w:r>
          </w:p>
        </w:tc>
        <w:tc>
          <w:tcPr>
            <w:tcW w:w="1180"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9</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67.9%</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1</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1</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67.9%</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67.9%</w:t>
            </w:r>
          </w:p>
        </w:tc>
      </w:tr>
      <w:tr w:rsidR="00E7173E" w:rsidRPr="003458B1" w:rsidTr="00FD4D90">
        <w:trPr>
          <w:trHeight w:val="488"/>
        </w:trPr>
        <w:tc>
          <w:tcPr>
            <w:tcW w:w="1975" w:type="dxa"/>
            <w:shd w:val="clear" w:color="auto" w:fill="auto"/>
            <w:noWrap/>
            <w:vAlign w:val="center"/>
          </w:tcPr>
          <w:p w:rsidR="00A35466" w:rsidRPr="003458B1" w:rsidRDefault="00A35466" w:rsidP="004F0C61">
            <w:pPr>
              <w:jc w:val="left"/>
              <w:rPr>
                <w:bCs/>
                <w:color w:val="000000"/>
                <w:sz w:val="20"/>
                <w:szCs w:val="20"/>
              </w:rPr>
            </w:pPr>
            <w:r>
              <w:rPr>
                <w:bCs/>
                <w:color w:val="000000"/>
                <w:sz w:val="20"/>
                <w:szCs w:val="20"/>
              </w:rPr>
              <w:t xml:space="preserve">Kitchen/appliances – </w:t>
            </w:r>
            <w:r w:rsidRPr="003458B1">
              <w:rPr>
                <w:bCs/>
                <w:color w:val="000000"/>
                <w:sz w:val="20"/>
                <w:szCs w:val="20"/>
              </w:rPr>
              <w:t>1</w:t>
            </w:r>
          </w:p>
        </w:tc>
        <w:tc>
          <w:tcPr>
            <w:tcW w:w="118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2</w:t>
            </w:r>
          </w:p>
        </w:tc>
        <w:tc>
          <w:tcPr>
            <w:tcW w:w="1241" w:type="dxa"/>
            <w:shd w:val="clear" w:color="auto" w:fill="auto"/>
            <w:noWrap/>
            <w:vAlign w:val="center"/>
          </w:tcPr>
          <w:p w:rsidR="00A35466" w:rsidRPr="003458B1" w:rsidRDefault="00A35466" w:rsidP="004F0C61">
            <w:pPr>
              <w:jc w:val="center"/>
              <w:rPr>
                <w:b/>
                <w:bCs/>
                <w:color w:val="000000"/>
                <w:sz w:val="20"/>
                <w:szCs w:val="20"/>
              </w:rPr>
            </w:pPr>
            <w:r>
              <w:rPr>
                <w:sz w:val="20"/>
                <w:szCs w:val="20"/>
              </w:rPr>
              <w:t>N/A</w:t>
            </w:r>
          </w:p>
        </w:tc>
        <w:tc>
          <w:tcPr>
            <w:tcW w:w="124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4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4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4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FD4D90">
        <w:trPr>
          <w:trHeight w:val="488"/>
        </w:trPr>
        <w:tc>
          <w:tcPr>
            <w:tcW w:w="1975" w:type="dxa"/>
            <w:shd w:val="clear" w:color="000000" w:fill="D2EAF1"/>
            <w:noWrap/>
            <w:vAlign w:val="center"/>
          </w:tcPr>
          <w:p w:rsidR="00A35466" w:rsidRPr="003458B1" w:rsidRDefault="00A35466" w:rsidP="004F0C61">
            <w:pPr>
              <w:jc w:val="left"/>
              <w:rPr>
                <w:bCs/>
                <w:color w:val="000000"/>
                <w:sz w:val="20"/>
                <w:szCs w:val="20"/>
              </w:rPr>
            </w:pPr>
            <w:r w:rsidRPr="003458B1">
              <w:rPr>
                <w:b/>
                <w:bCs/>
                <w:color w:val="000000"/>
                <w:sz w:val="20"/>
                <w:szCs w:val="20"/>
              </w:rPr>
              <w:t>Program Total</w:t>
            </w:r>
          </w:p>
        </w:tc>
        <w:tc>
          <w:tcPr>
            <w:tcW w:w="1180" w:type="dxa"/>
            <w:shd w:val="clear" w:color="000000" w:fill="D2EAF1"/>
            <w:noWrap/>
            <w:vAlign w:val="center"/>
          </w:tcPr>
          <w:p w:rsidR="00A35466" w:rsidRPr="003458B1" w:rsidRDefault="00A35466" w:rsidP="004F0C61">
            <w:pPr>
              <w:jc w:val="center"/>
              <w:rPr>
                <w:b/>
                <w:bCs/>
                <w:color w:val="000000"/>
                <w:sz w:val="20"/>
                <w:szCs w:val="20"/>
              </w:rPr>
            </w:pPr>
            <w:r w:rsidRPr="003458B1">
              <w:rPr>
                <w:b/>
                <w:sz w:val="20"/>
                <w:szCs w:val="20"/>
              </w:rPr>
              <w:t>173</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b/>
                <w:sz w:val="20"/>
                <w:szCs w:val="20"/>
              </w:rPr>
              <w:t>13.6%</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b/>
                <w:sz w:val="20"/>
                <w:szCs w:val="20"/>
              </w:rPr>
              <w:t>26</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b/>
                <w:sz w:val="20"/>
                <w:szCs w:val="20"/>
              </w:rPr>
              <w:t>26</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b/>
                <w:sz w:val="20"/>
                <w:szCs w:val="20"/>
              </w:rPr>
              <w:t>13.3%</w:t>
            </w:r>
          </w:p>
        </w:tc>
        <w:tc>
          <w:tcPr>
            <w:tcW w:w="1241" w:type="dxa"/>
            <w:shd w:val="clear" w:color="000000" w:fill="D2EAF1"/>
            <w:noWrap/>
            <w:vAlign w:val="center"/>
          </w:tcPr>
          <w:p w:rsidR="00A35466" w:rsidRPr="003458B1" w:rsidRDefault="00A35466" w:rsidP="004F0C61">
            <w:pPr>
              <w:jc w:val="center"/>
              <w:rPr>
                <w:b/>
                <w:bCs/>
                <w:color w:val="000000"/>
                <w:sz w:val="20"/>
                <w:szCs w:val="20"/>
              </w:rPr>
            </w:pPr>
            <w:r w:rsidRPr="003458B1">
              <w:rPr>
                <w:b/>
                <w:sz w:val="20"/>
                <w:szCs w:val="20"/>
              </w:rPr>
              <w:t>14.4%</w:t>
            </w:r>
          </w:p>
        </w:tc>
      </w:tr>
    </w:tbl>
    <w:p w:rsidR="00A35466" w:rsidRPr="003458B1" w:rsidRDefault="00A35466" w:rsidP="00A35466"/>
    <w:p w:rsidR="00A35466" w:rsidRPr="003458B1" w:rsidRDefault="00A35466" w:rsidP="00A35466">
      <w:pPr>
        <w:pStyle w:val="AppendixAHeading5"/>
      </w:pPr>
      <w:r w:rsidRPr="003458B1">
        <w:t>Small C/I Energy Efficient Buildings Program</w:t>
      </w:r>
    </w:p>
    <w:p w:rsidR="00A35466" w:rsidRPr="00AB3C36" w:rsidRDefault="00A35466" w:rsidP="00A35466">
      <w:pPr>
        <w:rPr>
          <w:bCs/>
        </w:rPr>
      </w:pPr>
      <w:r w:rsidRPr="003458B1">
        <w:t>This was a new program in Phase II. The program includes two components: energy conservation kits delivered by mail to</w:t>
      </w:r>
      <w:r>
        <w:t xml:space="preserve"> non-residential customers and </w:t>
      </w:r>
      <w:r w:rsidRPr="003458B1">
        <w:t>whol</w:t>
      </w:r>
      <w:r>
        <w:t>e-building</w:t>
      </w:r>
      <w:r w:rsidRPr="003458B1">
        <w:t xml:space="preserve"> projects such as new construction, retro-commissioning, and building envelope improvements. Sampling and project-level gross impact evaluation methodologies for efficient equipment and building upgrade measures are identical to the</w:t>
      </w:r>
      <w:r w:rsidR="009D6AA9">
        <w:t xml:space="preserve"> methodology described for the </w:t>
      </w:r>
      <w:r w:rsidRPr="003458B1">
        <w:t xml:space="preserve">Small </w:t>
      </w:r>
      <w:r w:rsidR="009D6AA9">
        <w:t xml:space="preserve">C/I </w:t>
      </w:r>
      <w:r>
        <w:t xml:space="preserve">Energy </w:t>
      </w:r>
      <w:r w:rsidRPr="003458B1">
        <w:t xml:space="preserve">Efficient Equipment Program above. The sample design strategy and the achieved precision values for energy and demand are shown in </w:t>
      </w:r>
      <w:r w:rsidR="007E0D0D">
        <w:t>Table A-78</w:t>
      </w:r>
      <w:r w:rsidRPr="003458B1">
        <w:t>. The precision levels for energy and for demand met the SWE Team requirements.</w:t>
      </w:r>
    </w:p>
    <w:p w:rsidR="00A35466" w:rsidRPr="003458B1" w:rsidRDefault="00A35466" w:rsidP="00A35466"/>
    <w:p w:rsidR="007320F1" w:rsidRDefault="007320F1" w:rsidP="00AB3C36">
      <w:pPr>
        <w:spacing w:after="120"/>
        <w:rPr>
          <w:rFonts w:ascii="Century Gothic" w:hAnsi="Century Gothic"/>
          <w:b/>
          <w:bCs/>
          <w:sz w:val="18"/>
          <w:szCs w:val="18"/>
        </w:rPr>
      </w:pPr>
      <w:bookmarkStart w:id="953" w:name="_Ref433898714"/>
      <w:bookmarkStart w:id="954" w:name="_Toc410199433"/>
      <w:bookmarkStart w:id="955" w:name="_Toc431462353"/>
      <w:bookmarkStart w:id="956" w:name="_Toc444269875"/>
      <w:bookmarkStart w:id="957" w:name="_Toc472472487"/>
    </w:p>
    <w:p w:rsidR="007320F1" w:rsidRDefault="007320F1" w:rsidP="00A35466">
      <w:pPr>
        <w:spacing w:after="120"/>
        <w:jc w:val="center"/>
        <w:rPr>
          <w:rFonts w:ascii="Century Gothic" w:hAnsi="Century Gothic"/>
          <w:b/>
          <w:bCs/>
          <w:sz w:val="18"/>
          <w:szCs w:val="18"/>
        </w:rPr>
      </w:pPr>
    </w:p>
    <w:p w:rsidR="00AB3C36" w:rsidRDefault="00AB3C36" w:rsidP="00A35466">
      <w:pPr>
        <w:spacing w:after="120"/>
        <w:jc w:val="center"/>
        <w:rPr>
          <w:rFonts w:ascii="Century Gothic" w:hAnsi="Century Gothic"/>
          <w:b/>
          <w:bCs/>
          <w:sz w:val="18"/>
          <w:szCs w:val="18"/>
        </w:rPr>
      </w:pPr>
    </w:p>
    <w:p w:rsidR="00AB3C36" w:rsidRDefault="00AB3C36" w:rsidP="00A35466">
      <w:pPr>
        <w:spacing w:after="120"/>
        <w:jc w:val="center"/>
        <w:rPr>
          <w:rFonts w:ascii="Century Gothic" w:hAnsi="Century Gothic"/>
          <w:b/>
          <w:bCs/>
          <w:sz w:val="18"/>
          <w:szCs w:val="18"/>
        </w:rPr>
      </w:pPr>
    </w:p>
    <w:p w:rsidR="00AB3C36" w:rsidRDefault="00AB3C36" w:rsidP="00A35466">
      <w:pPr>
        <w:spacing w:after="120"/>
        <w:jc w:val="center"/>
        <w:rPr>
          <w:rFonts w:ascii="Century Gothic" w:hAnsi="Century Gothic"/>
          <w:b/>
          <w:bCs/>
          <w:sz w:val="18"/>
          <w:szCs w:val="18"/>
        </w:rPr>
      </w:pPr>
    </w:p>
    <w:p w:rsidR="00A35466" w:rsidRPr="003458B1" w:rsidRDefault="00A35466" w:rsidP="00A35466">
      <w:pPr>
        <w:spacing w:after="120"/>
        <w:jc w:val="center"/>
        <w:rPr>
          <w:rFonts w:ascii="Century Gothic" w:hAnsi="Century Gothic"/>
          <w:b/>
          <w:bCs/>
          <w:sz w:val="18"/>
          <w:szCs w:val="18"/>
        </w:rPr>
      </w:pPr>
      <w:bookmarkStart w:id="958" w:name="_Toc476842193"/>
      <w:r w:rsidRPr="003458B1">
        <w:rPr>
          <w:rFonts w:ascii="Century Gothic" w:hAnsi="Century Gothic"/>
          <w:b/>
          <w:bCs/>
          <w:sz w:val="18"/>
          <w:szCs w:val="18"/>
        </w:rPr>
        <w:lastRenderedPageBreak/>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78</w:t>
      </w:r>
      <w:r w:rsidRPr="003458B1">
        <w:rPr>
          <w:rFonts w:ascii="Century Gothic" w:hAnsi="Century Gothic"/>
          <w:b/>
          <w:bCs/>
          <w:sz w:val="18"/>
          <w:szCs w:val="18"/>
        </w:rPr>
        <w:fldChar w:fldCharType="end"/>
      </w:r>
      <w:bookmarkEnd w:id="953"/>
      <w:r w:rsidRPr="003458B1">
        <w:rPr>
          <w:rFonts w:ascii="Century Gothic" w:hAnsi="Century Gothic"/>
          <w:b/>
          <w:bCs/>
          <w:sz w:val="18"/>
          <w:szCs w:val="18"/>
        </w:rPr>
        <w:t>: Penn Power’s PY7 Sampling Strategy and Relative Precision – Small C/I Energy Efficient Buildings Program</w:t>
      </w:r>
      <w:bookmarkEnd w:id="954"/>
      <w:bookmarkEnd w:id="955"/>
      <w:bookmarkEnd w:id="956"/>
      <w:bookmarkEnd w:id="957"/>
      <w:bookmarkEnd w:id="958"/>
    </w:p>
    <w:tbl>
      <w:tblPr>
        <w:tblW w:w="9248" w:type="dxa"/>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070"/>
        <w:gridCol w:w="1072"/>
        <w:gridCol w:w="1350"/>
        <w:gridCol w:w="1170"/>
        <w:gridCol w:w="1115"/>
        <w:gridCol w:w="1294"/>
        <w:gridCol w:w="1177"/>
      </w:tblGrid>
      <w:tr w:rsidR="00A874AC" w:rsidRPr="003458B1" w:rsidTr="00FD4D90">
        <w:trPr>
          <w:trHeight w:val="872"/>
          <w:tblHeader/>
        </w:trPr>
        <w:tc>
          <w:tcPr>
            <w:tcW w:w="2070" w:type="dxa"/>
            <w:shd w:val="clear" w:color="000000" w:fill="448A99"/>
            <w:vAlign w:val="bottom"/>
            <w:hideMark/>
          </w:tcPr>
          <w:p w:rsidR="00A35466" w:rsidRPr="003458B1" w:rsidRDefault="00A35466" w:rsidP="004F0C61">
            <w:pPr>
              <w:jc w:val="left"/>
              <w:rPr>
                <w:b/>
                <w:bCs/>
                <w:color w:val="FFFFFF"/>
                <w:sz w:val="19"/>
                <w:szCs w:val="19"/>
              </w:rPr>
            </w:pPr>
            <w:r w:rsidRPr="003458B1">
              <w:rPr>
                <w:b/>
                <w:bCs/>
                <w:color w:val="FFFFFF"/>
                <w:sz w:val="19"/>
                <w:szCs w:val="19"/>
              </w:rPr>
              <w:t>Stratum</w:t>
            </w:r>
          </w:p>
        </w:tc>
        <w:tc>
          <w:tcPr>
            <w:tcW w:w="1072" w:type="dxa"/>
            <w:shd w:val="clear" w:color="000000" w:fill="448A99"/>
            <w:vAlign w:val="bottom"/>
            <w:hideMark/>
          </w:tcPr>
          <w:p w:rsidR="00A35466" w:rsidRPr="003458B1" w:rsidRDefault="00A35466" w:rsidP="004F0C61">
            <w:pPr>
              <w:jc w:val="center"/>
              <w:rPr>
                <w:b/>
                <w:bCs/>
                <w:color w:val="FFFFFF"/>
                <w:sz w:val="19"/>
                <w:szCs w:val="19"/>
              </w:rPr>
            </w:pPr>
            <w:r w:rsidRPr="003458B1">
              <w:rPr>
                <w:b/>
                <w:bCs/>
                <w:color w:val="FFFFFF"/>
                <w:sz w:val="18"/>
                <w:szCs w:val="19"/>
              </w:rPr>
              <w:t>Population</w:t>
            </w:r>
          </w:p>
        </w:tc>
        <w:tc>
          <w:tcPr>
            <w:tcW w:w="1350" w:type="dxa"/>
            <w:shd w:val="clear" w:color="000000" w:fill="448A99"/>
            <w:vAlign w:val="bottom"/>
            <w:hideMark/>
          </w:tcPr>
          <w:p w:rsidR="00A35466" w:rsidRPr="003458B1" w:rsidRDefault="00A35466" w:rsidP="004F0C61">
            <w:pPr>
              <w:jc w:val="center"/>
              <w:rPr>
                <w:b/>
                <w:bCs/>
                <w:color w:val="FFFFFF"/>
                <w:sz w:val="19"/>
                <w:szCs w:val="19"/>
              </w:rPr>
            </w:pPr>
            <w:r w:rsidRPr="003458B1">
              <w:rPr>
                <w:b/>
                <w:bCs/>
                <w:color w:val="FFFFFF"/>
                <w:sz w:val="19"/>
                <w:szCs w:val="19"/>
              </w:rPr>
              <w:t>Target Levels of Confidence &amp; Precision</w:t>
            </w:r>
          </w:p>
        </w:tc>
        <w:tc>
          <w:tcPr>
            <w:tcW w:w="1170" w:type="dxa"/>
            <w:shd w:val="clear" w:color="000000" w:fill="448A99"/>
            <w:vAlign w:val="bottom"/>
            <w:hideMark/>
          </w:tcPr>
          <w:p w:rsidR="00A35466" w:rsidRPr="003458B1" w:rsidRDefault="00A35466" w:rsidP="004F0C61">
            <w:pPr>
              <w:jc w:val="center"/>
              <w:rPr>
                <w:b/>
                <w:bCs/>
                <w:color w:val="FFFFFF"/>
                <w:sz w:val="19"/>
                <w:szCs w:val="19"/>
              </w:rPr>
            </w:pPr>
            <w:r w:rsidRPr="003458B1">
              <w:rPr>
                <w:b/>
                <w:bCs/>
                <w:color w:val="FFFFFF"/>
                <w:sz w:val="19"/>
                <w:szCs w:val="19"/>
              </w:rPr>
              <w:t>Target Sample Size</w:t>
            </w:r>
          </w:p>
        </w:tc>
        <w:tc>
          <w:tcPr>
            <w:tcW w:w="1115" w:type="dxa"/>
            <w:shd w:val="clear" w:color="000000" w:fill="448A99"/>
            <w:vAlign w:val="bottom"/>
            <w:hideMark/>
          </w:tcPr>
          <w:p w:rsidR="00A35466" w:rsidRPr="003458B1" w:rsidRDefault="00A35466" w:rsidP="004F0C61">
            <w:pPr>
              <w:jc w:val="center"/>
              <w:rPr>
                <w:b/>
                <w:bCs/>
                <w:color w:val="FFFFFF"/>
                <w:sz w:val="19"/>
                <w:szCs w:val="19"/>
              </w:rPr>
            </w:pPr>
            <w:r w:rsidRPr="003458B1">
              <w:rPr>
                <w:b/>
                <w:bCs/>
                <w:color w:val="FFFFFF"/>
                <w:sz w:val="19"/>
                <w:szCs w:val="19"/>
              </w:rPr>
              <w:t>Achieved Sample Size</w:t>
            </w:r>
          </w:p>
        </w:tc>
        <w:tc>
          <w:tcPr>
            <w:tcW w:w="1294" w:type="dxa"/>
            <w:shd w:val="clear" w:color="000000" w:fill="448A99"/>
            <w:vAlign w:val="bottom"/>
            <w:hideMark/>
          </w:tcPr>
          <w:p w:rsidR="00A35466" w:rsidRPr="003458B1" w:rsidRDefault="00A35466" w:rsidP="004F0C61">
            <w:pPr>
              <w:jc w:val="center"/>
              <w:rPr>
                <w:b/>
                <w:bCs/>
                <w:color w:val="FFFFFF"/>
                <w:sz w:val="19"/>
                <w:szCs w:val="19"/>
              </w:rPr>
            </w:pPr>
            <w:r w:rsidRPr="003458B1">
              <w:rPr>
                <w:b/>
                <w:bCs/>
                <w:color w:val="FFFFFF"/>
                <w:sz w:val="19"/>
                <w:szCs w:val="19"/>
              </w:rPr>
              <w:t>Relative Precision at 85% C.L. for Energy</w:t>
            </w:r>
          </w:p>
        </w:tc>
        <w:tc>
          <w:tcPr>
            <w:tcW w:w="1177" w:type="dxa"/>
            <w:shd w:val="clear" w:color="000000" w:fill="448A99"/>
            <w:vAlign w:val="bottom"/>
            <w:hideMark/>
          </w:tcPr>
          <w:p w:rsidR="00A35466" w:rsidRPr="003458B1" w:rsidRDefault="00A35466" w:rsidP="004F0C61">
            <w:pPr>
              <w:jc w:val="center"/>
              <w:rPr>
                <w:b/>
                <w:bCs/>
                <w:color w:val="FFFFFF"/>
                <w:sz w:val="19"/>
                <w:szCs w:val="19"/>
              </w:rPr>
            </w:pPr>
            <w:r w:rsidRPr="003458B1">
              <w:rPr>
                <w:b/>
                <w:bCs/>
                <w:color w:val="FFFFFF"/>
                <w:sz w:val="19"/>
                <w:szCs w:val="19"/>
              </w:rPr>
              <w:t>Relative Precision at 85% C.L. for Demand</w:t>
            </w:r>
          </w:p>
        </w:tc>
      </w:tr>
      <w:tr w:rsidR="00A874AC" w:rsidRPr="003458B1" w:rsidTr="00FD4D90">
        <w:trPr>
          <w:trHeight w:val="399"/>
        </w:trPr>
        <w:tc>
          <w:tcPr>
            <w:tcW w:w="2070" w:type="dxa"/>
            <w:shd w:val="clear" w:color="000000" w:fill="D2EAF1"/>
            <w:noWrap/>
            <w:vAlign w:val="center"/>
          </w:tcPr>
          <w:p w:rsidR="00A35466" w:rsidRPr="003458B1" w:rsidRDefault="00A35466" w:rsidP="004F0C61">
            <w:pPr>
              <w:jc w:val="left"/>
              <w:rPr>
                <w:bCs/>
                <w:color w:val="000000"/>
                <w:sz w:val="20"/>
                <w:szCs w:val="20"/>
              </w:rPr>
            </w:pPr>
            <w:r>
              <w:rPr>
                <w:sz w:val="20"/>
                <w:szCs w:val="20"/>
              </w:rPr>
              <w:t xml:space="preserve">CFL kits – </w:t>
            </w:r>
            <w:r w:rsidRPr="003458B1">
              <w:rPr>
                <w:sz w:val="20"/>
                <w:szCs w:val="20"/>
              </w:rPr>
              <w:t>1</w:t>
            </w:r>
          </w:p>
        </w:tc>
        <w:tc>
          <w:tcPr>
            <w:tcW w:w="1072"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53</w:t>
            </w:r>
          </w:p>
        </w:tc>
        <w:tc>
          <w:tcPr>
            <w:tcW w:w="1350"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30.6%</w:t>
            </w:r>
          </w:p>
        </w:tc>
        <w:tc>
          <w:tcPr>
            <w:tcW w:w="1170"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5</w:t>
            </w:r>
          </w:p>
        </w:tc>
        <w:tc>
          <w:tcPr>
            <w:tcW w:w="1115"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6</w:t>
            </w:r>
          </w:p>
        </w:tc>
        <w:tc>
          <w:tcPr>
            <w:tcW w:w="1294"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27.7%</w:t>
            </w:r>
          </w:p>
        </w:tc>
        <w:tc>
          <w:tcPr>
            <w:tcW w:w="1177"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27.7%</w:t>
            </w:r>
          </w:p>
        </w:tc>
      </w:tr>
      <w:tr w:rsidR="00E7173E" w:rsidRPr="003458B1" w:rsidTr="00FD4D90">
        <w:trPr>
          <w:trHeight w:val="399"/>
        </w:trPr>
        <w:tc>
          <w:tcPr>
            <w:tcW w:w="2070" w:type="dxa"/>
            <w:shd w:val="clear" w:color="auto" w:fill="auto"/>
            <w:noWrap/>
            <w:vAlign w:val="center"/>
          </w:tcPr>
          <w:p w:rsidR="00A35466" w:rsidRPr="003458B1" w:rsidRDefault="00A35466" w:rsidP="004F0C61">
            <w:pPr>
              <w:jc w:val="left"/>
              <w:rPr>
                <w:bCs/>
                <w:color w:val="000000"/>
                <w:sz w:val="20"/>
                <w:szCs w:val="20"/>
              </w:rPr>
            </w:pPr>
            <w:r>
              <w:rPr>
                <w:sz w:val="20"/>
                <w:szCs w:val="20"/>
              </w:rPr>
              <w:t>Lighting – c</w:t>
            </w:r>
            <w:r w:rsidRPr="003458B1">
              <w:rPr>
                <w:sz w:val="20"/>
                <w:szCs w:val="20"/>
              </w:rPr>
              <w:t>ertainty</w:t>
            </w:r>
          </w:p>
        </w:tc>
        <w:tc>
          <w:tcPr>
            <w:tcW w:w="1072"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w:t>
            </w:r>
          </w:p>
        </w:tc>
        <w:tc>
          <w:tcPr>
            <w:tcW w:w="1350" w:type="dxa"/>
            <w:shd w:val="clear" w:color="auto" w:fill="auto"/>
            <w:noWrap/>
            <w:vAlign w:val="center"/>
          </w:tcPr>
          <w:p w:rsidR="00A35466" w:rsidRPr="003458B1" w:rsidRDefault="00A35466" w:rsidP="004F0C61">
            <w:pPr>
              <w:jc w:val="center"/>
              <w:rPr>
                <w:color w:val="000000"/>
                <w:sz w:val="20"/>
                <w:szCs w:val="20"/>
              </w:rPr>
            </w:pPr>
            <w:r>
              <w:rPr>
                <w:sz w:val="20"/>
                <w:szCs w:val="20"/>
              </w:rPr>
              <w:t>N/A</w:t>
            </w:r>
          </w:p>
        </w:tc>
        <w:tc>
          <w:tcPr>
            <w:tcW w:w="1170"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w:t>
            </w:r>
          </w:p>
        </w:tc>
        <w:tc>
          <w:tcPr>
            <w:tcW w:w="1115"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w:t>
            </w:r>
          </w:p>
        </w:tc>
        <w:tc>
          <w:tcPr>
            <w:tcW w:w="1294"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0.0%</w:t>
            </w:r>
          </w:p>
        </w:tc>
        <w:tc>
          <w:tcPr>
            <w:tcW w:w="1177"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0.0%</w:t>
            </w:r>
          </w:p>
        </w:tc>
      </w:tr>
      <w:tr w:rsidR="00A874AC" w:rsidRPr="003458B1" w:rsidTr="00FD4D90">
        <w:trPr>
          <w:trHeight w:val="400"/>
        </w:trPr>
        <w:tc>
          <w:tcPr>
            <w:tcW w:w="2070" w:type="dxa"/>
            <w:shd w:val="clear" w:color="000000" w:fill="D2EAF1"/>
            <w:noWrap/>
            <w:vAlign w:val="center"/>
          </w:tcPr>
          <w:p w:rsidR="00A35466" w:rsidRPr="003458B1" w:rsidRDefault="00A35466" w:rsidP="004F0C61">
            <w:pPr>
              <w:jc w:val="left"/>
              <w:rPr>
                <w:b/>
                <w:bCs/>
                <w:color w:val="000000"/>
                <w:sz w:val="20"/>
                <w:szCs w:val="20"/>
              </w:rPr>
            </w:pPr>
            <w:r>
              <w:rPr>
                <w:sz w:val="20"/>
                <w:szCs w:val="20"/>
              </w:rPr>
              <w:t xml:space="preserve">Lighting – </w:t>
            </w:r>
            <w:r w:rsidRPr="003458B1">
              <w:rPr>
                <w:sz w:val="20"/>
                <w:szCs w:val="20"/>
              </w:rPr>
              <w:t>2</w:t>
            </w:r>
          </w:p>
        </w:tc>
        <w:tc>
          <w:tcPr>
            <w:tcW w:w="1072"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350" w:type="dxa"/>
            <w:shd w:val="clear" w:color="000000" w:fill="D2EAF1"/>
            <w:noWrap/>
            <w:vAlign w:val="center"/>
          </w:tcPr>
          <w:p w:rsidR="00A35466" w:rsidRPr="003458B1" w:rsidRDefault="00A35466" w:rsidP="004F0C61">
            <w:pPr>
              <w:jc w:val="center"/>
              <w:rPr>
                <w:b/>
                <w:bCs/>
                <w:color w:val="000000"/>
                <w:sz w:val="20"/>
                <w:szCs w:val="20"/>
              </w:rPr>
            </w:pPr>
            <w:r>
              <w:rPr>
                <w:sz w:val="20"/>
                <w:szCs w:val="20"/>
              </w:rPr>
              <w:t>N/A</w:t>
            </w:r>
          </w:p>
        </w:tc>
        <w:tc>
          <w:tcPr>
            <w:tcW w:w="1170"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15"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94"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177"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0.0%</w:t>
            </w:r>
          </w:p>
        </w:tc>
      </w:tr>
      <w:tr w:rsidR="00E7173E" w:rsidRPr="003458B1" w:rsidTr="00FD4D90">
        <w:trPr>
          <w:trHeight w:val="400"/>
        </w:trPr>
        <w:tc>
          <w:tcPr>
            <w:tcW w:w="2070" w:type="dxa"/>
            <w:shd w:val="clear" w:color="auto" w:fill="auto"/>
            <w:noWrap/>
            <w:vAlign w:val="center"/>
          </w:tcPr>
          <w:p w:rsidR="00A35466" w:rsidRPr="003458B1" w:rsidRDefault="00A35466" w:rsidP="004F0C61">
            <w:pPr>
              <w:jc w:val="left"/>
              <w:rPr>
                <w:sz w:val="20"/>
                <w:szCs w:val="20"/>
              </w:rPr>
            </w:pPr>
            <w:r>
              <w:rPr>
                <w:sz w:val="20"/>
                <w:szCs w:val="20"/>
              </w:rPr>
              <w:t xml:space="preserve">Lighting – </w:t>
            </w:r>
            <w:r w:rsidRPr="003458B1">
              <w:rPr>
                <w:sz w:val="20"/>
                <w:szCs w:val="20"/>
              </w:rPr>
              <w:t>3</w:t>
            </w:r>
          </w:p>
        </w:tc>
        <w:tc>
          <w:tcPr>
            <w:tcW w:w="1072"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350" w:type="dxa"/>
            <w:shd w:val="clear" w:color="auto" w:fill="auto"/>
            <w:noWrap/>
            <w:vAlign w:val="center"/>
          </w:tcPr>
          <w:p w:rsidR="00A35466" w:rsidRPr="003458B1" w:rsidRDefault="00A35466" w:rsidP="004F0C61">
            <w:pPr>
              <w:jc w:val="center"/>
              <w:rPr>
                <w:b/>
                <w:bCs/>
                <w:color w:val="000000"/>
                <w:sz w:val="20"/>
                <w:szCs w:val="20"/>
              </w:rPr>
            </w:pPr>
            <w:r>
              <w:rPr>
                <w:sz w:val="20"/>
                <w:szCs w:val="20"/>
              </w:rPr>
              <w:t>N/A</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1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94"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177"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FD4D90">
        <w:trPr>
          <w:trHeight w:val="400"/>
        </w:trPr>
        <w:tc>
          <w:tcPr>
            <w:tcW w:w="2070" w:type="dxa"/>
            <w:shd w:val="clear" w:color="000000" w:fill="D2EAF1"/>
            <w:noWrap/>
            <w:vAlign w:val="center"/>
          </w:tcPr>
          <w:p w:rsidR="00A35466" w:rsidRPr="003458B1" w:rsidRDefault="00A35466" w:rsidP="004F0C61">
            <w:pPr>
              <w:jc w:val="left"/>
              <w:rPr>
                <w:sz w:val="20"/>
                <w:szCs w:val="20"/>
              </w:rPr>
            </w:pPr>
            <w:r>
              <w:rPr>
                <w:sz w:val="20"/>
                <w:szCs w:val="20"/>
              </w:rPr>
              <w:t xml:space="preserve">Lighting – </w:t>
            </w:r>
            <w:r w:rsidRPr="003458B1">
              <w:rPr>
                <w:sz w:val="20"/>
                <w:szCs w:val="20"/>
              </w:rPr>
              <w:t>4</w:t>
            </w:r>
          </w:p>
        </w:tc>
        <w:tc>
          <w:tcPr>
            <w:tcW w:w="1072"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350" w:type="dxa"/>
            <w:shd w:val="clear" w:color="000000" w:fill="D2EAF1"/>
            <w:noWrap/>
            <w:vAlign w:val="center"/>
          </w:tcPr>
          <w:p w:rsidR="00A35466" w:rsidRPr="003458B1" w:rsidRDefault="00A35466" w:rsidP="004F0C61">
            <w:pPr>
              <w:jc w:val="center"/>
              <w:rPr>
                <w:b/>
                <w:bCs/>
                <w:color w:val="000000"/>
                <w:sz w:val="20"/>
                <w:szCs w:val="20"/>
              </w:rPr>
            </w:pPr>
            <w:r>
              <w:rPr>
                <w:sz w:val="20"/>
                <w:szCs w:val="20"/>
              </w:rPr>
              <w:t>N/A</w:t>
            </w:r>
          </w:p>
        </w:tc>
        <w:tc>
          <w:tcPr>
            <w:tcW w:w="1170"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15"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94"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177"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0.0%</w:t>
            </w:r>
          </w:p>
        </w:tc>
      </w:tr>
      <w:tr w:rsidR="00E7173E" w:rsidRPr="003458B1" w:rsidTr="00FD4D90">
        <w:trPr>
          <w:trHeight w:val="400"/>
        </w:trPr>
        <w:tc>
          <w:tcPr>
            <w:tcW w:w="2070" w:type="dxa"/>
            <w:shd w:val="clear" w:color="auto" w:fill="auto"/>
            <w:noWrap/>
            <w:vAlign w:val="center"/>
          </w:tcPr>
          <w:p w:rsidR="00A35466" w:rsidRPr="003458B1" w:rsidRDefault="00A35466" w:rsidP="004F0C61">
            <w:pPr>
              <w:jc w:val="left"/>
              <w:rPr>
                <w:sz w:val="20"/>
                <w:szCs w:val="20"/>
              </w:rPr>
            </w:pPr>
            <w:r>
              <w:rPr>
                <w:sz w:val="20"/>
                <w:szCs w:val="20"/>
              </w:rPr>
              <w:t>Custom – c</w:t>
            </w:r>
            <w:r w:rsidRPr="003458B1">
              <w:rPr>
                <w:sz w:val="20"/>
                <w:szCs w:val="20"/>
              </w:rPr>
              <w:t>ertainty</w:t>
            </w:r>
          </w:p>
        </w:tc>
        <w:tc>
          <w:tcPr>
            <w:tcW w:w="1072"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1</w:t>
            </w:r>
          </w:p>
        </w:tc>
        <w:tc>
          <w:tcPr>
            <w:tcW w:w="135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1</w:t>
            </w:r>
          </w:p>
        </w:tc>
        <w:tc>
          <w:tcPr>
            <w:tcW w:w="111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1</w:t>
            </w:r>
          </w:p>
        </w:tc>
        <w:tc>
          <w:tcPr>
            <w:tcW w:w="1294"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177"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FD4D90">
        <w:trPr>
          <w:trHeight w:val="400"/>
        </w:trPr>
        <w:tc>
          <w:tcPr>
            <w:tcW w:w="2070" w:type="dxa"/>
            <w:shd w:val="clear" w:color="000000" w:fill="D2EAF1"/>
            <w:noWrap/>
            <w:vAlign w:val="center"/>
          </w:tcPr>
          <w:p w:rsidR="00A35466" w:rsidRPr="003458B1" w:rsidRDefault="00A35466" w:rsidP="004F0C61">
            <w:pPr>
              <w:jc w:val="left"/>
              <w:rPr>
                <w:sz w:val="20"/>
                <w:szCs w:val="20"/>
              </w:rPr>
            </w:pPr>
            <w:r>
              <w:rPr>
                <w:sz w:val="20"/>
                <w:szCs w:val="20"/>
              </w:rPr>
              <w:t xml:space="preserve">Custom – </w:t>
            </w:r>
            <w:r w:rsidRPr="003458B1">
              <w:rPr>
                <w:sz w:val="20"/>
                <w:szCs w:val="20"/>
              </w:rPr>
              <w:t>2</w:t>
            </w:r>
          </w:p>
        </w:tc>
        <w:tc>
          <w:tcPr>
            <w:tcW w:w="1072"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2</w:t>
            </w:r>
          </w:p>
        </w:tc>
        <w:tc>
          <w:tcPr>
            <w:tcW w:w="1350"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170"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2</w:t>
            </w:r>
          </w:p>
        </w:tc>
        <w:tc>
          <w:tcPr>
            <w:tcW w:w="1115"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2</w:t>
            </w:r>
          </w:p>
        </w:tc>
        <w:tc>
          <w:tcPr>
            <w:tcW w:w="1294"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177"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0.0%</w:t>
            </w:r>
          </w:p>
        </w:tc>
      </w:tr>
      <w:tr w:rsidR="00E7173E" w:rsidRPr="003458B1" w:rsidTr="00FD4D90">
        <w:trPr>
          <w:trHeight w:val="400"/>
        </w:trPr>
        <w:tc>
          <w:tcPr>
            <w:tcW w:w="2070" w:type="dxa"/>
            <w:shd w:val="clear" w:color="auto" w:fill="auto"/>
            <w:noWrap/>
            <w:vAlign w:val="center"/>
          </w:tcPr>
          <w:p w:rsidR="00A35466" w:rsidRPr="003458B1" w:rsidRDefault="00A35466" w:rsidP="004F0C61">
            <w:pPr>
              <w:jc w:val="left"/>
              <w:rPr>
                <w:sz w:val="20"/>
                <w:szCs w:val="20"/>
              </w:rPr>
            </w:pPr>
            <w:r>
              <w:rPr>
                <w:sz w:val="20"/>
                <w:szCs w:val="20"/>
              </w:rPr>
              <w:t xml:space="preserve">Custom – </w:t>
            </w:r>
            <w:r w:rsidRPr="003458B1">
              <w:rPr>
                <w:sz w:val="20"/>
                <w:szCs w:val="20"/>
              </w:rPr>
              <w:t>3</w:t>
            </w:r>
          </w:p>
        </w:tc>
        <w:tc>
          <w:tcPr>
            <w:tcW w:w="1072"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9</w:t>
            </w:r>
          </w:p>
        </w:tc>
        <w:tc>
          <w:tcPr>
            <w:tcW w:w="135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26.8%</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4</w:t>
            </w:r>
          </w:p>
        </w:tc>
        <w:tc>
          <w:tcPr>
            <w:tcW w:w="111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4</w:t>
            </w:r>
          </w:p>
        </w:tc>
        <w:tc>
          <w:tcPr>
            <w:tcW w:w="1294"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26.8%</w:t>
            </w:r>
          </w:p>
        </w:tc>
        <w:tc>
          <w:tcPr>
            <w:tcW w:w="1177"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26.8%</w:t>
            </w:r>
          </w:p>
        </w:tc>
      </w:tr>
      <w:tr w:rsidR="00A874AC" w:rsidRPr="003458B1" w:rsidTr="00FD4D90">
        <w:trPr>
          <w:trHeight w:val="400"/>
        </w:trPr>
        <w:tc>
          <w:tcPr>
            <w:tcW w:w="2070" w:type="dxa"/>
            <w:shd w:val="clear" w:color="000000" w:fill="D2EAF1"/>
            <w:noWrap/>
            <w:vAlign w:val="center"/>
          </w:tcPr>
          <w:p w:rsidR="00A35466" w:rsidRPr="003458B1" w:rsidRDefault="00A35466" w:rsidP="004F0C61">
            <w:pPr>
              <w:jc w:val="left"/>
              <w:rPr>
                <w:sz w:val="20"/>
                <w:szCs w:val="20"/>
              </w:rPr>
            </w:pPr>
            <w:r>
              <w:rPr>
                <w:sz w:val="20"/>
                <w:szCs w:val="20"/>
              </w:rPr>
              <w:t xml:space="preserve">HVAC and DHW – </w:t>
            </w:r>
            <w:r w:rsidRPr="003458B1">
              <w:rPr>
                <w:sz w:val="20"/>
                <w:szCs w:val="20"/>
              </w:rPr>
              <w:t>1</w:t>
            </w:r>
          </w:p>
        </w:tc>
        <w:tc>
          <w:tcPr>
            <w:tcW w:w="1072"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350" w:type="dxa"/>
            <w:shd w:val="clear" w:color="000000" w:fill="D2EAF1"/>
            <w:noWrap/>
            <w:vAlign w:val="center"/>
          </w:tcPr>
          <w:p w:rsidR="00A35466" w:rsidRPr="003458B1" w:rsidRDefault="00A35466" w:rsidP="004F0C61">
            <w:pPr>
              <w:jc w:val="center"/>
              <w:rPr>
                <w:b/>
                <w:bCs/>
                <w:color w:val="000000"/>
                <w:sz w:val="20"/>
                <w:szCs w:val="20"/>
              </w:rPr>
            </w:pPr>
            <w:r>
              <w:rPr>
                <w:sz w:val="20"/>
                <w:szCs w:val="20"/>
              </w:rPr>
              <w:t>N/A</w:t>
            </w:r>
          </w:p>
        </w:tc>
        <w:tc>
          <w:tcPr>
            <w:tcW w:w="1170"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15"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94"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177"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0.0%</w:t>
            </w:r>
          </w:p>
        </w:tc>
      </w:tr>
      <w:tr w:rsidR="00E7173E" w:rsidRPr="003458B1" w:rsidTr="00FD4D90">
        <w:trPr>
          <w:trHeight w:val="400"/>
        </w:trPr>
        <w:tc>
          <w:tcPr>
            <w:tcW w:w="2070" w:type="dxa"/>
            <w:shd w:val="clear" w:color="auto" w:fill="auto"/>
            <w:noWrap/>
            <w:vAlign w:val="center"/>
          </w:tcPr>
          <w:p w:rsidR="00A35466" w:rsidRPr="003458B1" w:rsidRDefault="00A35466" w:rsidP="004F0C61">
            <w:pPr>
              <w:jc w:val="left"/>
              <w:rPr>
                <w:sz w:val="20"/>
                <w:szCs w:val="20"/>
              </w:rPr>
            </w:pPr>
            <w:r>
              <w:rPr>
                <w:sz w:val="20"/>
                <w:szCs w:val="20"/>
              </w:rPr>
              <w:t xml:space="preserve">HVAC and DHW – </w:t>
            </w:r>
            <w:r w:rsidRPr="003458B1">
              <w:rPr>
                <w:sz w:val="20"/>
                <w:szCs w:val="20"/>
              </w:rPr>
              <w:t>2</w:t>
            </w:r>
          </w:p>
        </w:tc>
        <w:tc>
          <w:tcPr>
            <w:tcW w:w="1072"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350" w:type="dxa"/>
            <w:shd w:val="clear" w:color="auto" w:fill="auto"/>
            <w:noWrap/>
            <w:vAlign w:val="center"/>
          </w:tcPr>
          <w:p w:rsidR="00A35466" w:rsidRPr="003458B1" w:rsidRDefault="00A35466" w:rsidP="004F0C61">
            <w:pPr>
              <w:jc w:val="center"/>
              <w:rPr>
                <w:b/>
                <w:bCs/>
                <w:color w:val="000000"/>
                <w:sz w:val="20"/>
                <w:szCs w:val="20"/>
              </w:rPr>
            </w:pPr>
            <w:r>
              <w:rPr>
                <w:sz w:val="20"/>
                <w:szCs w:val="20"/>
              </w:rPr>
              <w:t>N/A</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1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94"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177"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FD4D90">
        <w:trPr>
          <w:trHeight w:val="400"/>
        </w:trPr>
        <w:tc>
          <w:tcPr>
            <w:tcW w:w="2070" w:type="dxa"/>
            <w:shd w:val="clear" w:color="000000" w:fill="D2EAF1"/>
            <w:noWrap/>
            <w:vAlign w:val="center"/>
          </w:tcPr>
          <w:p w:rsidR="00A35466" w:rsidRPr="003458B1" w:rsidRDefault="00A35466" w:rsidP="004F0C61">
            <w:pPr>
              <w:jc w:val="left"/>
              <w:rPr>
                <w:sz w:val="20"/>
                <w:szCs w:val="20"/>
              </w:rPr>
            </w:pPr>
            <w:r>
              <w:rPr>
                <w:sz w:val="20"/>
                <w:szCs w:val="20"/>
              </w:rPr>
              <w:t xml:space="preserve">Appliance Turn-In – </w:t>
            </w:r>
            <w:r w:rsidRPr="003458B1">
              <w:rPr>
                <w:sz w:val="20"/>
                <w:szCs w:val="20"/>
              </w:rPr>
              <w:t>1</w:t>
            </w:r>
          </w:p>
        </w:tc>
        <w:tc>
          <w:tcPr>
            <w:tcW w:w="1072"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350" w:type="dxa"/>
            <w:shd w:val="clear" w:color="000000" w:fill="D2EAF1"/>
            <w:noWrap/>
            <w:vAlign w:val="center"/>
          </w:tcPr>
          <w:p w:rsidR="00A35466" w:rsidRPr="003458B1" w:rsidRDefault="00A35466" w:rsidP="004F0C61">
            <w:pPr>
              <w:jc w:val="center"/>
              <w:rPr>
                <w:b/>
                <w:bCs/>
                <w:color w:val="000000"/>
                <w:sz w:val="20"/>
                <w:szCs w:val="20"/>
              </w:rPr>
            </w:pPr>
            <w:r>
              <w:rPr>
                <w:sz w:val="20"/>
                <w:szCs w:val="20"/>
              </w:rPr>
              <w:t>N/A</w:t>
            </w:r>
          </w:p>
        </w:tc>
        <w:tc>
          <w:tcPr>
            <w:tcW w:w="1170"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15"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94"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177" w:type="dxa"/>
            <w:shd w:val="clear" w:color="000000" w:fill="D2EAF1"/>
            <w:noWrap/>
            <w:vAlign w:val="center"/>
          </w:tcPr>
          <w:p w:rsidR="00A35466" w:rsidRPr="003458B1" w:rsidRDefault="00A35466" w:rsidP="004F0C61">
            <w:pPr>
              <w:jc w:val="center"/>
              <w:rPr>
                <w:b/>
                <w:bCs/>
                <w:color w:val="000000"/>
                <w:sz w:val="20"/>
                <w:szCs w:val="20"/>
              </w:rPr>
            </w:pPr>
            <w:r w:rsidRPr="003458B1">
              <w:rPr>
                <w:sz w:val="20"/>
                <w:szCs w:val="20"/>
              </w:rPr>
              <w:t>0.0%</w:t>
            </w:r>
          </w:p>
        </w:tc>
      </w:tr>
      <w:tr w:rsidR="00E7173E" w:rsidRPr="003458B1" w:rsidTr="00FD4D90">
        <w:trPr>
          <w:trHeight w:val="400"/>
        </w:trPr>
        <w:tc>
          <w:tcPr>
            <w:tcW w:w="2070" w:type="dxa"/>
            <w:shd w:val="clear" w:color="auto" w:fill="auto"/>
            <w:noWrap/>
            <w:vAlign w:val="center"/>
          </w:tcPr>
          <w:p w:rsidR="00A35466" w:rsidRPr="003458B1" w:rsidRDefault="00A35466" w:rsidP="004F0C61">
            <w:pPr>
              <w:jc w:val="left"/>
              <w:rPr>
                <w:sz w:val="20"/>
                <w:szCs w:val="20"/>
              </w:rPr>
            </w:pPr>
            <w:r w:rsidRPr="003458B1">
              <w:rPr>
                <w:sz w:val="20"/>
                <w:szCs w:val="20"/>
              </w:rPr>
              <w:t>Kitchen</w:t>
            </w:r>
            <w:r>
              <w:rPr>
                <w:sz w:val="20"/>
                <w:szCs w:val="20"/>
              </w:rPr>
              <w:t xml:space="preserve">/appliances – </w:t>
            </w:r>
            <w:r w:rsidRPr="003458B1">
              <w:rPr>
                <w:sz w:val="20"/>
                <w:szCs w:val="20"/>
              </w:rPr>
              <w:t>1</w:t>
            </w:r>
          </w:p>
        </w:tc>
        <w:tc>
          <w:tcPr>
            <w:tcW w:w="1072"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350" w:type="dxa"/>
            <w:shd w:val="clear" w:color="auto" w:fill="auto"/>
            <w:noWrap/>
            <w:vAlign w:val="center"/>
          </w:tcPr>
          <w:p w:rsidR="00A35466" w:rsidRPr="003458B1" w:rsidRDefault="00A35466" w:rsidP="004F0C61">
            <w:pPr>
              <w:jc w:val="center"/>
              <w:rPr>
                <w:b/>
                <w:bCs/>
                <w:color w:val="000000"/>
                <w:sz w:val="20"/>
                <w:szCs w:val="20"/>
              </w:rPr>
            </w:pPr>
            <w:r>
              <w:rPr>
                <w:sz w:val="20"/>
                <w:szCs w:val="20"/>
              </w:rPr>
              <w:t>N/A</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1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94"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177"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FD4D90">
        <w:trPr>
          <w:trHeight w:val="400"/>
        </w:trPr>
        <w:tc>
          <w:tcPr>
            <w:tcW w:w="2070" w:type="dxa"/>
            <w:shd w:val="clear" w:color="000000" w:fill="D2EAF1"/>
            <w:noWrap/>
            <w:vAlign w:val="center"/>
          </w:tcPr>
          <w:p w:rsidR="00A35466" w:rsidRPr="003458B1" w:rsidRDefault="00A35466" w:rsidP="004F0C61">
            <w:pPr>
              <w:jc w:val="left"/>
              <w:rPr>
                <w:sz w:val="20"/>
                <w:szCs w:val="20"/>
              </w:rPr>
            </w:pPr>
            <w:r w:rsidRPr="003458B1">
              <w:rPr>
                <w:b/>
                <w:sz w:val="20"/>
                <w:szCs w:val="20"/>
              </w:rPr>
              <w:t>Program Total</w:t>
            </w:r>
          </w:p>
        </w:tc>
        <w:tc>
          <w:tcPr>
            <w:tcW w:w="1072" w:type="dxa"/>
            <w:shd w:val="clear" w:color="000000" w:fill="D2EAF1"/>
            <w:noWrap/>
            <w:vAlign w:val="center"/>
          </w:tcPr>
          <w:p w:rsidR="00A35466" w:rsidRPr="003458B1" w:rsidRDefault="00A35466" w:rsidP="004F0C61">
            <w:pPr>
              <w:jc w:val="center"/>
              <w:rPr>
                <w:b/>
                <w:bCs/>
                <w:color w:val="000000"/>
                <w:sz w:val="20"/>
                <w:szCs w:val="20"/>
              </w:rPr>
            </w:pPr>
            <w:r w:rsidRPr="003458B1">
              <w:rPr>
                <w:b/>
                <w:sz w:val="20"/>
                <w:szCs w:val="20"/>
              </w:rPr>
              <w:t>65</w:t>
            </w:r>
          </w:p>
        </w:tc>
        <w:tc>
          <w:tcPr>
            <w:tcW w:w="1350" w:type="dxa"/>
            <w:shd w:val="clear" w:color="000000" w:fill="D2EAF1"/>
            <w:noWrap/>
            <w:vAlign w:val="center"/>
          </w:tcPr>
          <w:p w:rsidR="00A35466" w:rsidRPr="003458B1" w:rsidRDefault="00A35466" w:rsidP="004F0C61">
            <w:pPr>
              <w:jc w:val="center"/>
              <w:rPr>
                <w:b/>
                <w:bCs/>
                <w:color w:val="000000"/>
                <w:sz w:val="20"/>
                <w:szCs w:val="20"/>
              </w:rPr>
            </w:pPr>
            <w:r w:rsidRPr="003458B1">
              <w:rPr>
                <w:b/>
                <w:sz w:val="20"/>
                <w:szCs w:val="20"/>
              </w:rPr>
              <w:t>11.5%</w:t>
            </w:r>
          </w:p>
        </w:tc>
        <w:tc>
          <w:tcPr>
            <w:tcW w:w="1170" w:type="dxa"/>
            <w:shd w:val="clear" w:color="000000" w:fill="D2EAF1"/>
            <w:noWrap/>
            <w:vAlign w:val="center"/>
          </w:tcPr>
          <w:p w:rsidR="00A35466" w:rsidRPr="003458B1" w:rsidRDefault="00A35466" w:rsidP="004F0C61">
            <w:pPr>
              <w:jc w:val="center"/>
              <w:rPr>
                <w:b/>
                <w:bCs/>
                <w:color w:val="000000"/>
                <w:sz w:val="20"/>
                <w:szCs w:val="20"/>
              </w:rPr>
            </w:pPr>
            <w:r w:rsidRPr="003458B1">
              <w:rPr>
                <w:b/>
                <w:sz w:val="20"/>
                <w:szCs w:val="20"/>
              </w:rPr>
              <w:t>12</w:t>
            </w:r>
          </w:p>
        </w:tc>
        <w:tc>
          <w:tcPr>
            <w:tcW w:w="1115" w:type="dxa"/>
            <w:shd w:val="clear" w:color="000000" w:fill="D2EAF1"/>
            <w:noWrap/>
            <w:vAlign w:val="center"/>
          </w:tcPr>
          <w:p w:rsidR="00A35466" w:rsidRPr="003458B1" w:rsidRDefault="00A35466" w:rsidP="004F0C61">
            <w:pPr>
              <w:jc w:val="center"/>
              <w:rPr>
                <w:b/>
                <w:bCs/>
                <w:color w:val="000000"/>
                <w:sz w:val="20"/>
                <w:szCs w:val="20"/>
              </w:rPr>
            </w:pPr>
            <w:r w:rsidRPr="003458B1">
              <w:rPr>
                <w:b/>
                <w:sz w:val="20"/>
                <w:szCs w:val="20"/>
              </w:rPr>
              <w:t>13</w:t>
            </w:r>
          </w:p>
        </w:tc>
        <w:tc>
          <w:tcPr>
            <w:tcW w:w="1294" w:type="dxa"/>
            <w:shd w:val="clear" w:color="000000" w:fill="D2EAF1"/>
            <w:noWrap/>
            <w:vAlign w:val="center"/>
          </w:tcPr>
          <w:p w:rsidR="00A35466" w:rsidRPr="003458B1" w:rsidRDefault="00A35466" w:rsidP="004F0C61">
            <w:pPr>
              <w:jc w:val="center"/>
              <w:rPr>
                <w:b/>
                <w:bCs/>
                <w:color w:val="000000"/>
                <w:sz w:val="20"/>
                <w:szCs w:val="20"/>
              </w:rPr>
            </w:pPr>
            <w:r w:rsidRPr="003458B1">
              <w:rPr>
                <w:b/>
                <w:sz w:val="20"/>
                <w:szCs w:val="20"/>
              </w:rPr>
              <w:t>11.2%</w:t>
            </w:r>
          </w:p>
        </w:tc>
        <w:tc>
          <w:tcPr>
            <w:tcW w:w="1177" w:type="dxa"/>
            <w:shd w:val="clear" w:color="000000" w:fill="D2EAF1"/>
            <w:noWrap/>
            <w:vAlign w:val="center"/>
          </w:tcPr>
          <w:p w:rsidR="00A35466" w:rsidRPr="003458B1" w:rsidRDefault="00A35466" w:rsidP="004F0C61">
            <w:pPr>
              <w:jc w:val="center"/>
              <w:rPr>
                <w:b/>
                <w:bCs/>
                <w:color w:val="000000"/>
                <w:sz w:val="20"/>
                <w:szCs w:val="20"/>
              </w:rPr>
            </w:pPr>
            <w:r w:rsidRPr="003458B1">
              <w:rPr>
                <w:b/>
                <w:sz w:val="20"/>
                <w:szCs w:val="20"/>
              </w:rPr>
              <w:t>9.4%</w:t>
            </w:r>
          </w:p>
        </w:tc>
      </w:tr>
    </w:tbl>
    <w:p w:rsidR="00A35466" w:rsidRPr="003458B1" w:rsidRDefault="00A35466" w:rsidP="00A35466"/>
    <w:p w:rsidR="00A35466" w:rsidRPr="003458B1" w:rsidRDefault="00A35466" w:rsidP="00A35466">
      <w:pPr>
        <w:pStyle w:val="AppendixAHeading5"/>
      </w:pPr>
      <w:r w:rsidRPr="003458B1">
        <w:t xml:space="preserve"> Large C/I Energy Efficient Equipment Program</w:t>
      </w:r>
    </w:p>
    <w:p w:rsidR="00AB3C36" w:rsidRDefault="00A35466" w:rsidP="00AB3C36">
      <w:r w:rsidRPr="003458B1">
        <w:t>In PY7 this program consisted mostly of equipment upgrades and custom at industrial facilities. The evaluation contractor used stratified ratio estimation to estimate savings for the program and stratified random sampling for sample design. All lighting projects that were expected to have more than 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was stratified based on energy savings at the measure level. The Cv used in the sample d</w:t>
      </w:r>
      <w:r w:rsidR="00AB3C36">
        <w:t xml:space="preserve">esign was 0.5 for all projects. </w:t>
      </w:r>
    </w:p>
    <w:p w:rsidR="00AB3C36" w:rsidRDefault="00AB3C36" w:rsidP="00AB3C36"/>
    <w:p w:rsidR="00A35466" w:rsidRPr="00AB3C36" w:rsidRDefault="00A35466" w:rsidP="00A35466">
      <w:pPr>
        <w:rPr>
          <w:bCs/>
        </w:rPr>
      </w:pPr>
      <w:r w:rsidRPr="003458B1">
        <w:t xml:space="preserve">The detailed sampling strategy for this program in PY7 and the achieved precision values for each stratum are presented in </w:t>
      </w:r>
      <w:r w:rsidR="007E0D0D">
        <w:t>Table A-79</w:t>
      </w:r>
      <w:r w:rsidRPr="003458B1">
        <w:t>. The data show that Penn Power met the SWE Team require</w:t>
      </w:r>
      <w:r>
        <w:t>ments of 85%/15% confidence/</w:t>
      </w:r>
      <w:r w:rsidRPr="003458B1">
        <w:t>precision for energy and peak demand for this program.</w:t>
      </w:r>
    </w:p>
    <w:p w:rsidR="00995A55" w:rsidRDefault="00995A55" w:rsidP="00AB3C36">
      <w:pPr>
        <w:spacing w:after="120"/>
        <w:rPr>
          <w:rFonts w:ascii="Century Gothic" w:hAnsi="Century Gothic"/>
          <w:b/>
          <w:bCs/>
          <w:sz w:val="18"/>
          <w:szCs w:val="18"/>
        </w:rPr>
      </w:pPr>
      <w:bookmarkStart w:id="959" w:name="_Ref440266544"/>
      <w:bookmarkStart w:id="960" w:name="_Toc410199434"/>
      <w:bookmarkStart w:id="961" w:name="_Toc431462354"/>
      <w:bookmarkStart w:id="962" w:name="_Toc444269876"/>
      <w:bookmarkStart w:id="963" w:name="_Toc472472488"/>
    </w:p>
    <w:p w:rsidR="00AB3C36" w:rsidRDefault="00AB3C36" w:rsidP="00AB3C36">
      <w:pPr>
        <w:spacing w:after="120"/>
        <w:rPr>
          <w:rFonts w:ascii="Century Gothic" w:hAnsi="Century Gothic"/>
          <w:b/>
          <w:bCs/>
          <w:sz w:val="18"/>
          <w:szCs w:val="18"/>
        </w:rPr>
      </w:pPr>
    </w:p>
    <w:p w:rsidR="00AB3C36" w:rsidRDefault="00AB3C36" w:rsidP="00AB3C36">
      <w:pPr>
        <w:spacing w:after="120"/>
        <w:rPr>
          <w:rFonts w:ascii="Century Gothic" w:hAnsi="Century Gothic"/>
          <w:b/>
          <w:bCs/>
          <w:sz w:val="18"/>
          <w:szCs w:val="18"/>
        </w:rPr>
      </w:pPr>
    </w:p>
    <w:p w:rsidR="00AB3C36" w:rsidRDefault="00AB3C36" w:rsidP="00AB3C36">
      <w:pPr>
        <w:spacing w:after="120"/>
        <w:rPr>
          <w:rFonts w:ascii="Century Gothic" w:hAnsi="Century Gothic"/>
          <w:b/>
          <w:bCs/>
          <w:sz w:val="18"/>
          <w:szCs w:val="18"/>
        </w:rPr>
      </w:pPr>
    </w:p>
    <w:p w:rsidR="00AB3C36" w:rsidRDefault="00AB3C36" w:rsidP="00AB3C36">
      <w:pPr>
        <w:spacing w:after="120"/>
        <w:rPr>
          <w:rFonts w:ascii="Century Gothic" w:hAnsi="Century Gothic"/>
          <w:b/>
          <w:bCs/>
          <w:sz w:val="18"/>
          <w:szCs w:val="18"/>
        </w:rPr>
      </w:pPr>
    </w:p>
    <w:p w:rsidR="00995A55" w:rsidRDefault="00995A55" w:rsidP="00A35466">
      <w:pPr>
        <w:spacing w:after="120"/>
        <w:jc w:val="center"/>
        <w:rPr>
          <w:rFonts w:ascii="Century Gothic" w:hAnsi="Century Gothic"/>
          <w:b/>
          <w:bCs/>
          <w:sz w:val="18"/>
          <w:szCs w:val="18"/>
        </w:rPr>
      </w:pPr>
    </w:p>
    <w:p w:rsidR="00A35466" w:rsidRPr="003458B1" w:rsidRDefault="00A35466" w:rsidP="00A35466">
      <w:pPr>
        <w:spacing w:after="120"/>
        <w:jc w:val="center"/>
        <w:rPr>
          <w:rFonts w:ascii="Century Gothic" w:hAnsi="Century Gothic"/>
          <w:b/>
          <w:bCs/>
          <w:sz w:val="18"/>
          <w:szCs w:val="18"/>
        </w:rPr>
      </w:pPr>
      <w:bookmarkStart w:id="964" w:name="_Toc476842194"/>
      <w:r w:rsidRPr="003458B1">
        <w:rPr>
          <w:rFonts w:ascii="Century Gothic" w:hAnsi="Century Gothic"/>
          <w:b/>
          <w:bCs/>
          <w:sz w:val="18"/>
          <w:szCs w:val="18"/>
        </w:rPr>
        <w:lastRenderedPageBreak/>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79</w:t>
      </w:r>
      <w:r w:rsidRPr="003458B1">
        <w:rPr>
          <w:rFonts w:ascii="Century Gothic" w:hAnsi="Century Gothic"/>
          <w:b/>
          <w:bCs/>
          <w:sz w:val="18"/>
          <w:szCs w:val="18"/>
        </w:rPr>
        <w:fldChar w:fldCharType="end"/>
      </w:r>
      <w:bookmarkEnd w:id="959"/>
      <w:r w:rsidRPr="003458B1">
        <w:rPr>
          <w:rFonts w:ascii="Century Gothic" w:hAnsi="Century Gothic"/>
          <w:b/>
          <w:bCs/>
          <w:sz w:val="18"/>
          <w:szCs w:val="18"/>
        </w:rPr>
        <w:t>: Penn Power’s PY7 Sampling Strategy and Relative Precision – Large C/I Energy Efficient Equipment Program</w:t>
      </w:r>
      <w:bookmarkEnd w:id="960"/>
      <w:bookmarkEnd w:id="961"/>
      <w:bookmarkEnd w:id="962"/>
      <w:bookmarkEnd w:id="963"/>
      <w:bookmarkEnd w:id="964"/>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75"/>
        <w:gridCol w:w="1170"/>
        <w:gridCol w:w="1169"/>
        <w:gridCol w:w="1262"/>
        <w:gridCol w:w="1261"/>
        <w:gridCol w:w="1261"/>
        <w:gridCol w:w="1262"/>
      </w:tblGrid>
      <w:tr w:rsidR="00A874AC" w:rsidRPr="003458B1" w:rsidTr="00FD4D90">
        <w:trPr>
          <w:trHeight w:val="1034"/>
          <w:tblHeader/>
          <w:jc w:val="center"/>
        </w:trPr>
        <w:tc>
          <w:tcPr>
            <w:tcW w:w="1975" w:type="dxa"/>
            <w:shd w:val="clear" w:color="000000" w:fill="448A99"/>
            <w:vAlign w:val="bottom"/>
            <w:hideMark/>
          </w:tcPr>
          <w:p w:rsidR="00A35466" w:rsidRPr="003458B1" w:rsidRDefault="00A35466" w:rsidP="004F0C61">
            <w:pPr>
              <w:jc w:val="left"/>
              <w:rPr>
                <w:b/>
                <w:bCs/>
                <w:color w:val="FFFFFF"/>
                <w:sz w:val="20"/>
                <w:szCs w:val="20"/>
              </w:rPr>
            </w:pPr>
            <w:r w:rsidRPr="003458B1">
              <w:rPr>
                <w:b/>
                <w:bCs/>
                <w:color w:val="FFFFFF"/>
                <w:sz w:val="20"/>
                <w:szCs w:val="20"/>
              </w:rPr>
              <w:t>Stratum</w:t>
            </w:r>
          </w:p>
        </w:tc>
        <w:tc>
          <w:tcPr>
            <w:tcW w:w="1170"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Population</w:t>
            </w:r>
          </w:p>
        </w:tc>
        <w:tc>
          <w:tcPr>
            <w:tcW w:w="1169"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Target Levels of Confidence &amp; Precision</w:t>
            </w:r>
          </w:p>
        </w:tc>
        <w:tc>
          <w:tcPr>
            <w:tcW w:w="1262"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Target Sample Size</w:t>
            </w:r>
          </w:p>
        </w:tc>
        <w:tc>
          <w:tcPr>
            <w:tcW w:w="1261"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Achieved Sample Size</w:t>
            </w:r>
          </w:p>
        </w:tc>
        <w:tc>
          <w:tcPr>
            <w:tcW w:w="1261"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Relative Precision at 85% C.L. for Energy</w:t>
            </w:r>
          </w:p>
        </w:tc>
        <w:tc>
          <w:tcPr>
            <w:tcW w:w="1262"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FD4D90">
        <w:trPr>
          <w:trHeight w:val="488"/>
          <w:jc w:val="center"/>
        </w:trPr>
        <w:tc>
          <w:tcPr>
            <w:tcW w:w="1975" w:type="dxa"/>
            <w:shd w:val="clear" w:color="000000" w:fill="D2EAF1"/>
            <w:noWrap/>
            <w:vAlign w:val="center"/>
          </w:tcPr>
          <w:p w:rsidR="00A35466" w:rsidRPr="003458B1" w:rsidRDefault="00A35466" w:rsidP="004F0C61">
            <w:pPr>
              <w:jc w:val="left"/>
              <w:rPr>
                <w:bCs/>
                <w:color w:val="000000"/>
                <w:sz w:val="20"/>
                <w:szCs w:val="20"/>
              </w:rPr>
            </w:pPr>
            <w:r>
              <w:rPr>
                <w:sz w:val="20"/>
                <w:szCs w:val="20"/>
              </w:rPr>
              <w:t xml:space="preserve">CFL kits – </w:t>
            </w:r>
            <w:r w:rsidRPr="003458B1">
              <w:rPr>
                <w:sz w:val="20"/>
                <w:szCs w:val="20"/>
              </w:rPr>
              <w:t>1</w:t>
            </w:r>
          </w:p>
        </w:tc>
        <w:tc>
          <w:tcPr>
            <w:tcW w:w="1170"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w:t>
            </w:r>
          </w:p>
        </w:tc>
        <w:tc>
          <w:tcPr>
            <w:tcW w:w="1169" w:type="dxa"/>
            <w:shd w:val="clear" w:color="000000" w:fill="D2EAF1"/>
            <w:noWrap/>
            <w:vAlign w:val="center"/>
          </w:tcPr>
          <w:p w:rsidR="00A35466" w:rsidRPr="003458B1" w:rsidRDefault="00A35466" w:rsidP="004F0C61">
            <w:pPr>
              <w:jc w:val="center"/>
              <w:rPr>
                <w:color w:val="000000"/>
                <w:sz w:val="20"/>
                <w:szCs w:val="20"/>
              </w:rPr>
            </w:pPr>
            <w:r>
              <w:rPr>
                <w:sz w:val="20"/>
                <w:szCs w:val="20"/>
              </w:rPr>
              <w:t>N/A</w:t>
            </w:r>
          </w:p>
        </w:tc>
        <w:tc>
          <w:tcPr>
            <w:tcW w:w="1262"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w:t>
            </w:r>
          </w:p>
        </w:tc>
        <w:tc>
          <w:tcPr>
            <w:tcW w:w="126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w:t>
            </w:r>
          </w:p>
        </w:tc>
        <w:tc>
          <w:tcPr>
            <w:tcW w:w="126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100.0%</w:t>
            </w:r>
          </w:p>
        </w:tc>
        <w:tc>
          <w:tcPr>
            <w:tcW w:w="1262"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100.0%</w:t>
            </w:r>
          </w:p>
        </w:tc>
      </w:tr>
      <w:tr w:rsidR="00E7173E" w:rsidRPr="003458B1" w:rsidTr="00FD4D90">
        <w:trPr>
          <w:trHeight w:val="488"/>
          <w:jc w:val="center"/>
        </w:trPr>
        <w:tc>
          <w:tcPr>
            <w:tcW w:w="1975" w:type="dxa"/>
            <w:shd w:val="clear" w:color="auto" w:fill="auto"/>
            <w:noWrap/>
            <w:vAlign w:val="center"/>
          </w:tcPr>
          <w:p w:rsidR="00A35466" w:rsidRPr="003458B1" w:rsidRDefault="00A35466" w:rsidP="004F0C61">
            <w:pPr>
              <w:jc w:val="left"/>
              <w:rPr>
                <w:bCs/>
                <w:color w:val="000000"/>
                <w:sz w:val="20"/>
                <w:szCs w:val="20"/>
              </w:rPr>
            </w:pPr>
            <w:r>
              <w:rPr>
                <w:sz w:val="20"/>
                <w:szCs w:val="20"/>
              </w:rPr>
              <w:t>Lighting – c</w:t>
            </w:r>
            <w:r w:rsidRPr="003458B1">
              <w:rPr>
                <w:sz w:val="20"/>
                <w:szCs w:val="20"/>
              </w:rPr>
              <w:t>ertainty</w:t>
            </w:r>
          </w:p>
        </w:tc>
        <w:tc>
          <w:tcPr>
            <w:tcW w:w="1170"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w:t>
            </w:r>
          </w:p>
        </w:tc>
        <w:tc>
          <w:tcPr>
            <w:tcW w:w="1169" w:type="dxa"/>
            <w:shd w:val="clear" w:color="auto" w:fill="auto"/>
            <w:noWrap/>
            <w:vAlign w:val="center"/>
          </w:tcPr>
          <w:p w:rsidR="00A35466" w:rsidRPr="003458B1" w:rsidRDefault="00A35466" w:rsidP="004F0C61">
            <w:pPr>
              <w:jc w:val="center"/>
              <w:rPr>
                <w:color w:val="000000"/>
                <w:sz w:val="20"/>
                <w:szCs w:val="20"/>
              </w:rPr>
            </w:pPr>
            <w:r>
              <w:rPr>
                <w:sz w:val="20"/>
                <w:szCs w:val="20"/>
              </w:rPr>
              <w:t>N/A</w:t>
            </w:r>
          </w:p>
        </w:tc>
        <w:tc>
          <w:tcPr>
            <w:tcW w:w="1262"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w:t>
            </w:r>
          </w:p>
        </w:tc>
        <w:tc>
          <w:tcPr>
            <w:tcW w:w="126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w:t>
            </w:r>
          </w:p>
        </w:tc>
        <w:tc>
          <w:tcPr>
            <w:tcW w:w="126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0.0%</w:t>
            </w:r>
          </w:p>
        </w:tc>
        <w:tc>
          <w:tcPr>
            <w:tcW w:w="1262"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0.0%</w:t>
            </w:r>
          </w:p>
        </w:tc>
      </w:tr>
      <w:tr w:rsidR="00A874AC" w:rsidRPr="003458B1" w:rsidTr="00FD4D90">
        <w:trPr>
          <w:trHeight w:val="488"/>
          <w:jc w:val="center"/>
        </w:trPr>
        <w:tc>
          <w:tcPr>
            <w:tcW w:w="1975" w:type="dxa"/>
            <w:shd w:val="clear" w:color="000000" w:fill="D2EAF1"/>
            <w:noWrap/>
            <w:vAlign w:val="center"/>
          </w:tcPr>
          <w:p w:rsidR="00A35466" w:rsidRPr="003458B1" w:rsidRDefault="00A35466" w:rsidP="004F0C61">
            <w:pPr>
              <w:jc w:val="left"/>
              <w:rPr>
                <w:bCs/>
                <w:color w:val="000000"/>
                <w:sz w:val="20"/>
                <w:szCs w:val="20"/>
              </w:rPr>
            </w:pPr>
            <w:r w:rsidRPr="003458B1">
              <w:rPr>
                <w:sz w:val="20"/>
                <w:szCs w:val="20"/>
              </w:rPr>
              <w:t>Lighting</w:t>
            </w:r>
            <w:r>
              <w:rPr>
                <w:sz w:val="20"/>
                <w:szCs w:val="20"/>
              </w:rPr>
              <w:t xml:space="preserve"> – </w:t>
            </w:r>
            <w:r w:rsidRPr="003458B1">
              <w:rPr>
                <w:sz w:val="20"/>
                <w:szCs w:val="20"/>
              </w:rPr>
              <w:t>2</w:t>
            </w:r>
          </w:p>
        </w:tc>
        <w:tc>
          <w:tcPr>
            <w:tcW w:w="1170"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1</w:t>
            </w:r>
          </w:p>
        </w:tc>
        <w:tc>
          <w:tcPr>
            <w:tcW w:w="1169"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0.0%</w:t>
            </w:r>
          </w:p>
        </w:tc>
        <w:tc>
          <w:tcPr>
            <w:tcW w:w="1262"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1</w:t>
            </w:r>
          </w:p>
        </w:tc>
        <w:tc>
          <w:tcPr>
            <w:tcW w:w="126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1</w:t>
            </w:r>
          </w:p>
        </w:tc>
        <w:tc>
          <w:tcPr>
            <w:tcW w:w="126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0.0%</w:t>
            </w:r>
          </w:p>
        </w:tc>
        <w:tc>
          <w:tcPr>
            <w:tcW w:w="1262"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0.0%</w:t>
            </w:r>
          </w:p>
        </w:tc>
      </w:tr>
      <w:tr w:rsidR="00E7173E" w:rsidRPr="003458B1" w:rsidTr="00FD4D90">
        <w:trPr>
          <w:trHeight w:val="488"/>
          <w:jc w:val="center"/>
        </w:trPr>
        <w:tc>
          <w:tcPr>
            <w:tcW w:w="1975" w:type="dxa"/>
            <w:shd w:val="clear" w:color="auto" w:fill="auto"/>
            <w:noWrap/>
            <w:vAlign w:val="center"/>
          </w:tcPr>
          <w:p w:rsidR="00A35466" w:rsidRPr="003458B1" w:rsidRDefault="00A35466" w:rsidP="004F0C61">
            <w:pPr>
              <w:jc w:val="left"/>
              <w:rPr>
                <w:bCs/>
                <w:color w:val="000000"/>
                <w:sz w:val="20"/>
                <w:szCs w:val="20"/>
              </w:rPr>
            </w:pPr>
            <w:r>
              <w:rPr>
                <w:sz w:val="20"/>
                <w:szCs w:val="20"/>
              </w:rPr>
              <w:t xml:space="preserve">Lighting – </w:t>
            </w:r>
            <w:r w:rsidRPr="003458B1">
              <w:rPr>
                <w:sz w:val="20"/>
                <w:szCs w:val="20"/>
              </w:rPr>
              <w:t>3</w:t>
            </w:r>
          </w:p>
        </w:tc>
        <w:tc>
          <w:tcPr>
            <w:tcW w:w="1170"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2</w:t>
            </w:r>
          </w:p>
        </w:tc>
        <w:tc>
          <w:tcPr>
            <w:tcW w:w="1169"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0.0%</w:t>
            </w:r>
          </w:p>
        </w:tc>
        <w:tc>
          <w:tcPr>
            <w:tcW w:w="1262"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2</w:t>
            </w:r>
          </w:p>
        </w:tc>
        <w:tc>
          <w:tcPr>
            <w:tcW w:w="126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2</w:t>
            </w:r>
          </w:p>
        </w:tc>
        <w:tc>
          <w:tcPr>
            <w:tcW w:w="1261"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0.0%</w:t>
            </w:r>
          </w:p>
        </w:tc>
        <w:tc>
          <w:tcPr>
            <w:tcW w:w="1262" w:type="dxa"/>
            <w:shd w:val="clear" w:color="auto" w:fill="auto"/>
            <w:noWrap/>
            <w:vAlign w:val="center"/>
          </w:tcPr>
          <w:p w:rsidR="00A35466" w:rsidRPr="003458B1" w:rsidRDefault="00A35466" w:rsidP="004F0C61">
            <w:pPr>
              <w:jc w:val="center"/>
              <w:rPr>
                <w:color w:val="000000"/>
                <w:sz w:val="20"/>
                <w:szCs w:val="20"/>
              </w:rPr>
            </w:pPr>
            <w:r w:rsidRPr="003458B1">
              <w:rPr>
                <w:sz w:val="20"/>
                <w:szCs w:val="20"/>
              </w:rPr>
              <w:t>0.0%</w:t>
            </w:r>
          </w:p>
        </w:tc>
      </w:tr>
      <w:tr w:rsidR="00A874AC" w:rsidRPr="003458B1" w:rsidTr="00FD4D90">
        <w:trPr>
          <w:trHeight w:val="488"/>
          <w:jc w:val="center"/>
        </w:trPr>
        <w:tc>
          <w:tcPr>
            <w:tcW w:w="1975" w:type="dxa"/>
            <w:shd w:val="clear" w:color="000000" w:fill="D2EAF1"/>
            <w:noWrap/>
            <w:vAlign w:val="center"/>
          </w:tcPr>
          <w:p w:rsidR="00A35466" w:rsidRPr="003458B1" w:rsidRDefault="00A35466" w:rsidP="004F0C61">
            <w:pPr>
              <w:jc w:val="left"/>
              <w:rPr>
                <w:bCs/>
                <w:color w:val="000000"/>
                <w:sz w:val="20"/>
                <w:szCs w:val="20"/>
              </w:rPr>
            </w:pPr>
            <w:r>
              <w:rPr>
                <w:sz w:val="20"/>
                <w:szCs w:val="20"/>
              </w:rPr>
              <w:t xml:space="preserve">Lighting – </w:t>
            </w:r>
            <w:r w:rsidRPr="003458B1">
              <w:rPr>
                <w:sz w:val="20"/>
                <w:szCs w:val="20"/>
              </w:rPr>
              <w:t>4</w:t>
            </w:r>
          </w:p>
        </w:tc>
        <w:tc>
          <w:tcPr>
            <w:tcW w:w="1170"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8</w:t>
            </w:r>
          </w:p>
        </w:tc>
        <w:tc>
          <w:tcPr>
            <w:tcW w:w="1169"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44.1%</w:t>
            </w:r>
          </w:p>
        </w:tc>
        <w:tc>
          <w:tcPr>
            <w:tcW w:w="1262"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2</w:t>
            </w:r>
          </w:p>
        </w:tc>
        <w:tc>
          <w:tcPr>
            <w:tcW w:w="126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2</w:t>
            </w:r>
          </w:p>
        </w:tc>
        <w:tc>
          <w:tcPr>
            <w:tcW w:w="1261"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44.1%</w:t>
            </w:r>
          </w:p>
        </w:tc>
        <w:tc>
          <w:tcPr>
            <w:tcW w:w="1262"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44.1%</w:t>
            </w:r>
          </w:p>
        </w:tc>
      </w:tr>
      <w:tr w:rsidR="00E7173E" w:rsidRPr="003458B1" w:rsidTr="00FD4D90">
        <w:trPr>
          <w:trHeight w:val="488"/>
          <w:jc w:val="center"/>
        </w:trPr>
        <w:tc>
          <w:tcPr>
            <w:tcW w:w="1975" w:type="dxa"/>
            <w:shd w:val="clear" w:color="auto" w:fill="auto"/>
            <w:noWrap/>
            <w:vAlign w:val="center"/>
          </w:tcPr>
          <w:p w:rsidR="00A35466" w:rsidRPr="003458B1" w:rsidRDefault="00A35466" w:rsidP="004F0C61">
            <w:pPr>
              <w:jc w:val="left"/>
              <w:rPr>
                <w:b/>
                <w:bCs/>
                <w:color w:val="000000"/>
                <w:sz w:val="20"/>
                <w:szCs w:val="20"/>
              </w:rPr>
            </w:pPr>
            <w:r>
              <w:rPr>
                <w:sz w:val="20"/>
                <w:szCs w:val="20"/>
              </w:rPr>
              <w:t>Custom – c</w:t>
            </w:r>
            <w:r w:rsidRPr="003458B1">
              <w:rPr>
                <w:sz w:val="20"/>
                <w:szCs w:val="20"/>
              </w:rPr>
              <w:t>ertainty</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69" w:type="dxa"/>
            <w:shd w:val="clear" w:color="auto" w:fill="auto"/>
            <w:noWrap/>
            <w:vAlign w:val="center"/>
          </w:tcPr>
          <w:p w:rsidR="00A35466" w:rsidRPr="003458B1" w:rsidRDefault="00A35466" w:rsidP="004F0C61">
            <w:pPr>
              <w:jc w:val="center"/>
              <w:rPr>
                <w:b/>
                <w:bCs/>
                <w:color w:val="000000"/>
                <w:sz w:val="20"/>
                <w:szCs w:val="20"/>
              </w:rPr>
            </w:pPr>
            <w:r>
              <w:rPr>
                <w:sz w:val="20"/>
                <w:szCs w:val="20"/>
              </w:rPr>
              <w:t>N/A</w:t>
            </w:r>
          </w:p>
        </w:tc>
        <w:tc>
          <w:tcPr>
            <w:tcW w:w="1262"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2"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FD4D90">
        <w:trPr>
          <w:trHeight w:val="488"/>
          <w:jc w:val="center"/>
        </w:trPr>
        <w:tc>
          <w:tcPr>
            <w:tcW w:w="1975" w:type="dxa"/>
            <w:shd w:val="clear" w:color="auto" w:fill="D2EAF1"/>
            <w:noWrap/>
            <w:vAlign w:val="center"/>
          </w:tcPr>
          <w:p w:rsidR="00A35466" w:rsidRPr="003458B1" w:rsidRDefault="00A35466" w:rsidP="004F0C61">
            <w:pPr>
              <w:jc w:val="left"/>
              <w:rPr>
                <w:sz w:val="20"/>
                <w:szCs w:val="20"/>
              </w:rPr>
            </w:pPr>
            <w:r>
              <w:rPr>
                <w:sz w:val="20"/>
                <w:szCs w:val="20"/>
              </w:rPr>
              <w:t xml:space="preserve">Custom – </w:t>
            </w:r>
            <w:r w:rsidRPr="003458B1">
              <w:rPr>
                <w:sz w:val="20"/>
                <w:szCs w:val="20"/>
              </w:rPr>
              <w:t>2</w:t>
            </w:r>
          </w:p>
        </w:tc>
        <w:tc>
          <w:tcPr>
            <w:tcW w:w="1170"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69" w:type="dxa"/>
            <w:shd w:val="clear" w:color="auto" w:fill="D2EAF1"/>
            <w:noWrap/>
            <w:vAlign w:val="center"/>
          </w:tcPr>
          <w:p w:rsidR="00A35466" w:rsidRPr="003458B1" w:rsidRDefault="00A35466" w:rsidP="004F0C61">
            <w:pPr>
              <w:jc w:val="center"/>
              <w:rPr>
                <w:b/>
                <w:bCs/>
                <w:color w:val="000000"/>
                <w:sz w:val="20"/>
                <w:szCs w:val="20"/>
              </w:rPr>
            </w:pPr>
            <w:r>
              <w:rPr>
                <w:sz w:val="20"/>
                <w:szCs w:val="20"/>
              </w:rPr>
              <w:t>N/A</w:t>
            </w:r>
          </w:p>
        </w:tc>
        <w:tc>
          <w:tcPr>
            <w:tcW w:w="1262"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1"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1"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2"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r>
      <w:tr w:rsidR="00E7173E" w:rsidRPr="003458B1" w:rsidTr="00FD4D90">
        <w:trPr>
          <w:trHeight w:val="488"/>
          <w:jc w:val="center"/>
        </w:trPr>
        <w:tc>
          <w:tcPr>
            <w:tcW w:w="1975" w:type="dxa"/>
            <w:shd w:val="clear" w:color="auto" w:fill="auto"/>
            <w:noWrap/>
            <w:vAlign w:val="center"/>
          </w:tcPr>
          <w:p w:rsidR="00A35466" w:rsidRPr="003458B1" w:rsidRDefault="00A35466" w:rsidP="004F0C61">
            <w:pPr>
              <w:jc w:val="left"/>
              <w:rPr>
                <w:sz w:val="20"/>
                <w:szCs w:val="20"/>
              </w:rPr>
            </w:pPr>
            <w:r>
              <w:rPr>
                <w:sz w:val="20"/>
                <w:szCs w:val="20"/>
              </w:rPr>
              <w:t xml:space="preserve">Custom – </w:t>
            </w:r>
            <w:r w:rsidRPr="003458B1">
              <w:rPr>
                <w:sz w:val="20"/>
                <w:szCs w:val="20"/>
              </w:rPr>
              <w:t>3</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4</w:t>
            </w:r>
          </w:p>
        </w:tc>
        <w:tc>
          <w:tcPr>
            <w:tcW w:w="1169"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36.0%</w:t>
            </w:r>
          </w:p>
        </w:tc>
        <w:tc>
          <w:tcPr>
            <w:tcW w:w="1262"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2</w:t>
            </w:r>
          </w:p>
        </w:tc>
        <w:tc>
          <w:tcPr>
            <w:tcW w:w="126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3</w:t>
            </w:r>
          </w:p>
        </w:tc>
        <w:tc>
          <w:tcPr>
            <w:tcW w:w="126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20.8%</w:t>
            </w:r>
          </w:p>
        </w:tc>
        <w:tc>
          <w:tcPr>
            <w:tcW w:w="1262"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20.8%</w:t>
            </w:r>
          </w:p>
        </w:tc>
      </w:tr>
      <w:tr w:rsidR="00A874AC" w:rsidRPr="003458B1" w:rsidTr="00FD4D90">
        <w:trPr>
          <w:trHeight w:val="488"/>
          <w:jc w:val="center"/>
        </w:trPr>
        <w:tc>
          <w:tcPr>
            <w:tcW w:w="1975" w:type="dxa"/>
            <w:shd w:val="clear" w:color="auto" w:fill="D2EAF1"/>
            <w:noWrap/>
            <w:vAlign w:val="center"/>
          </w:tcPr>
          <w:p w:rsidR="00A35466" w:rsidRPr="003458B1" w:rsidRDefault="00A35466" w:rsidP="004F0C61">
            <w:pPr>
              <w:jc w:val="left"/>
              <w:rPr>
                <w:sz w:val="20"/>
                <w:szCs w:val="20"/>
              </w:rPr>
            </w:pPr>
            <w:r>
              <w:rPr>
                <w:sz w:val="20"/>
                <w:szCs w:val="20"/>
              </w:rPr>
              <w:t xml:space="preserve">HVAC and DHW – </w:t>
            </w:r>
            <w:r w:rsidRPr="003458B1">
              <w:rPr>
                <w:sz w:val="20"/>
                <w:szCs w:val="20"/>
              </w:rPr>
              <w:t>1</w:t>
            </w:r>
          </w:p>
        </w:tc>
        <w:tc>
          <w:tcPr>
            <w:tcW w:w="1170"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69" w:type="dxa"/>
            <w:shd w:val="clear" w:color="auto" w:fill="D2EAF1"/>
            <w:noWrap/>
            <w:vAlign w:val="center"/>
          </w:tcPr>
          <w:p w:rsidR="00A35466" w:rsidRPr="003458B1" w:rsidRDefault="00A35466" w:rsidP="004F0C61">
            <w:pPr>
              <w:jc w:val="center"/>
              <w:rPr>
                <w:b/>
                <w:bCs/>
                <w:color w:val="000000"/>
                <w:sz w:val="20"/>
                <w:szCs w:val="20"/>
              </w:rPr>
            </w:pPr>
            <w:r>
              <w:rPr>
                <w:sz w:val="20"/>
                <w:szCs w:val="20"/>
              </w:rPr>
              <w:t>N/A</w:t>
            </w:r>
          </w:p>
        </w:tc>
        <w:tc>
          <w:tcPr>
            <w:tcW w:w="1262"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1"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1"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2"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r>
      <w:tr w:rsidR="00E7173E" w:rsidRPr="003458B1" w:rsidTr="00FD4D90">
        <w:trPr>
          <w:trHeight w:val="488"/>
          <w:jc w:val="center"/>
        </w:trPr>
        <w:tc>
          <w:tcPr>
            <w:tcW w:w="1975" w:type="dxa"/>
            <w:shd w:val="clear" w:color="auto" w:fill="auto"/>
            <w:noWrap/>
            <w:vAlign w:val="center"/>
          </w:tcPr>
          <w:p w:rsidR="00A35466" w:rsidRPr="003458B1" w:rsidRDefault="00A35466" w:rsidP="004F0C61">
            <w:pPr>
              <w:jc w:val="left"/>
              <w:rPr>
                <w:sz w:val="20"/>
                <w:szCs w:val="20"/>
              </w:rPr>
            </w:pPr>
            <w:r>
              <w:rPr>
                <w:sz w:val="20"/>
                <w:szCs w:val="20"/>
              </w:rPr>
              <w:t xml:space="preserve">HVAC and DHW – </w:t>
            </w:r>
            <w:r w:rsidRPr="003458B1">
              <w:rPr>
                <w:sz w:val="20"/>
                <w:szCs w:val="20"/>
              </w:rPr>
              <w:t>2</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69" w:type="dxa"/>
            <w:shd w:val="clear" w:color="auto" w:fill="auto"/>
            <w:noWrap/>
            <w:vAlign w:val="center"/>
          </w:tcPr>
          <w:p w:rsidR="00A35466" w:rsidRPr="003458B1" w:rsidRDefault="00A35466" w:rsidP="004F0C61">
            <w:pPr>
              <w:jc w:val="center"/>
              <w:rPr>
                <w:b/>
                <w:bCs/>
                <w:color w:val="000000"/>
                <w:sz w:val="20"/>
                <w:szCs w:val="20"/>
              </w:rPr>
            </w:pPr>
            <w:r>
              <w:rPr>
                <w:sz w:val="20"/>
                <w:szCs w:val="20"/>
              </w:rPr>
              <w:t>N/A</w:t>
            </w:r>
          </w:p>
        </w:tc>
        <w:tc>
          <w:tcPr>
            <w:tcW w:w="1262"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2"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FD4D90">
        <w:trPr>
          <w:trHeight w:val="488"/>
          <w:jc w:val="center"/>
        </w:trPr>
        <w:tc>
          <w:tcPr>
            <w:tcW w:w="1975" w:type="dxa"/>
            <w:shd w:val="clear" w:color="auto" w:fill="D2EAF1"/>
            <w:noWrap/>
            <w:vAlign w:val="center"/>
          </w:tcPr>
          <w:p w:rsidR="00A35466" w:rsidRPr="003458B1" w:rsidRDefault="00A35466" w:rsidP="004F0C61">
            <w:pPr>
              <w:jc w:val="left"/>
              <w:rPr>
                <w:sz w:val="20"/>
                <w:szCs w:val="20"/>
              </w:rPr>
            </w:pPr>
            <w:r>
              <w:rPr>
                <w:sz w:val="20"/>
                <w:szCs w:val="20"/>
              </w:rPr>
              <w:t xml:space="preserve">Appliance Turn-In – </w:t>
            </w:r>
            <w:r w:rsidRPr="003458B1">
              <w:rPr>
                <w:sz w:val="20"/>
                <w:szCs w:val="20"/>
              </w:rPr>
              <w:t>1</w:t>
            </w:r>
          </w:p>
        </w:tc>
        <w:tc>
          <w:tcPr>
            <w:tcW w:w="1170"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69" w:type="dxa"/>
            <w:shd w:val="clear" w:color="auto" w:fill="D2EAF1"/>
            <w:noWrap/>
            <w:vAlign w:val="center"/>
          </w:tcPr>
          <w:p w:rsidR="00A35466" w:rsidRPr="003458B1" w:rsidRDefault="00A35466" w:rsidP="004F0C61">
            <w:pPr>
              <w:jc w:val="center"/>
              <w:rPr>
                <w:b/>
                <w:bCs/>
                <w:color w:val="000000"/>
                <w:sz w:val="20"/>
                <w:szCs w:val="20"/>
              </w:rPr>
            </w:pPr>
            <w:r>
              <w:rPr>
                <w:sz w:val="20"/>
                <w:szCs w:val="20"/>
              </w:rPr>
              <w:t>N/A</w:t>
            </w:r>
          </w:p>
        </w:tc>
        <w:tc>
          <w:tcPr>
            <w:tcW w:w="1262"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1"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1"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2"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r>
      <w:tr w:rsidR="00E7173E" w:rsidRPr="003458B1" w:rsidTr="00FD4D90">
        <w:trPr>
          <w:trHeight w:val="488"/>
          <w:jc w:val="center"/>
        </w:trPr>
        <w:tc>
          <w:tcPr>
            <w:tcW w:w="1975" w:type="dxa"/>
            <w:shd w:val="clear" w:color="auto" w:fill="auto"/>
            <w:noWrap/>
            <w:vAlign w:val="center"/>
          </w:tcPr>
          <w:p w:rsidR="00A35466" w:rsidRPr="003458B1" w:rsidRDefault="00A35466" w:rsidP="004F0C61">
            <w:pPr>
              <w:jc w:val="left"/>
              <w:rPr>
                <w:sz w:val="20"/>
                <w:szCs w:val="20"/>
              </w:rPr>
            </w:pPr>
            <w:r>
              <w:rPr>
                <w:sz w:val="20"/>
                <w:szCs w:val="20"/>
              </w:rPr>
              <w:t>Kitchen/appliances – 1</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69" w:type="dxa"/>
            <w:shd w:val="clear" w:color="auto" w:fill="auto"/>
            <w:noWrap/>
            <w:vAlign w:val="center"/>
          </w:tcPr>
          <w:p w:rsidR="00A35466" w:rsidRPr="003458B1" w:rsidRDefault="00A35466" w:rsidP="004F0C61">
            <w:pPr>
              <w:jc w:val="center"/>
              <w:rPr>
                <w:b/>
                <w:bCs/>
                <w:color w:val="000000"/>
                <w:sz w:val="20"/>
                <w:szCs w:val="20"/>
              </w:rPr>
            </w:pPr>
            <w:r>
              <w:rPr>
                <w:sz w:val="20"/>
                <w:szCs w:val="20"/>
              </w:rPr>
              <w:t>N/A</w:t>
            </w:r>
          </w:p>
        </w:tc>
        <w:tc>
          <w:tcPr>
            <w:tcW w:w="1262"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1"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2"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FD4D90">
        <w:trPr>
          <w:trHeight w:val="488"/>
          <w:jc w:val="center"/>
        </w:trPr>
        <w:tc>
          <w:tcPr>
            <w:tcW w:w="1975" w:type="dxa"/>
            <w:shd w:val="clear" w:color="auto" w:fill="D2EAF1"/>
            <w:noWrap/>
            <w:vAlign w:val="center"/>
          </w:tcPr>
          <w:p w:rsidR="00A35466" w:rsidRPr="003458B1" w:rsidRDefault="00A35466" w:rsidP="004F0C61">
            <w:pPr>
              <w:jc w:val="left"/>
              <w:rPr>
                <w:sz w:val="20"/>
                <w:szCs w:val="20"/>
              </w:rPr>
            </w:pPr>
            <w:r w:rsidRPr="003458B1">
              <w:rPr>
                <w:b/>
                <w:sz w:val="20"/>
                <w:szCs w:val="20"/>
              </w:rPr>
              <w:t>Program Total</w:t>
            </w:r>
          </w:p>
        </w:tc>
        <w:tc>
          <w:tcPr>
            <w:tcW w:w="1170" w:type="dxa"/>
            <w:shd w:val="clear" w:color="auto" w:fill="D2EAF1"/>
            <w:noWrap/>
            <w:vAlign w:val="center"/>
          </w:tcPr>
          <w:p w:rsidR="00A35466" w:rsidRPr="003458B1" w:rsidRDefault="00A35466" w:rsidP="004F0C61">
            <w:pPr>
              <w:jc w:val="center"/>
              <w:rPr>
                <w:b/>
                <w:bCs/>
                <w:color w:val="000000"/>
                <w:sz w:val="20"/>
                <w:szCs w:val="20"/>
              </w:rPr>
            </w:pPr>
            <w:r w:rsidRPr="003458B1">
              <w:rPr>
                <w:b/>
                <w:sz w:val="20"/>
                <w:szCs w:val="20"/>
              </w:rPr>
              <w:t>15</w:t>
            </w:r>
          </w:p>
        </w:tc>
        <w:tc>
          <w:tcPr>
            <w:tcW w:w="1169" w:type="dxa"/>
            <w:shd w:val="clear" w:color="auto" w:fill="D2EAF1"/>
            <w:noWrap/>
            <w:vAlign w:val="center"/>
          </w:tcPr>
          <w:p w:rsidR="00A35466" w:rsidRPr="003458B1" w:rsidRDefault="00A35466" w:rsidP="004F0C61">
            <w:pPr>
              <w:jc w:val="center"/>
              <w:rPr>
                <w:b/>
                <w:bCs/>
                <w:color w:val="000000"/>
                <w:sz w:val="20"/>
                <w:szCs w:val="20"/>
              </w:rPr>
            </w:pPr>
            <w:r w:rsidRPr="003458B1">
              <w:rPr>
                <w:b/>
                <w:sz w:val="20"/>
                <w:szCs w:val="20"/>
              </w:rPr>
              <w:t>13.0%</w:t>
            </w:r>
          </w:p>
        </w:tc>
        <w:tc>
          <w:tcPr>
            <w:tcW w:w="1262" w:type="dxa"/>
            <w:shd w:val="clear" w:color="auto" w:fill="D2EAF1"/>
            <w:noWrap/>
            <w:vAlign w:val="center"/>
          </w:tcPr>
          <w:p w:rsidR="00A35466" w:rsidRPr="003458B1" w:rsidRDefault="00A35466" w:rsidP="004F0C61">
            <w:pPr>
              <w:jc w:val="center"/>
              <w:rPr>
                <w:b/>
                <w:bCs/>
                <w:color w:val="000000"/>
                <w:sz w:val="20"/>
                <w:szCs w:val="20"/>
              </w:rPr>
            </w:pPr>
            <w:r w:rsidRPr="003458B1">
              <w:rPr>
                <w:b/>
                <w:sz w:val="20"/>
                <w:szCs w:val="20"/>
              </w:rPr>
              <w:t>7</w:t>
            </w:r>
          </w:p>
        </w:tc>
        <w:tc>
          <w:tcPr>
            <w:tcW w:w="1261" w:type="dxa"/>
            <w:shd w:val="clear" w:color="auto" w:fill="D2EAF1"/>
            <w:noWrap/>
            <w:vAlign w:val="center"/>
          </w:tcPr>
          <w:p w:rsidR="00A35466" w:rsidRPr="003458B1" w:rsidRDefault="00A35466" w:rsidP="004F0C61">
            <w:pPr>
              <w:jc w:val="center"/>
              <w:rPr>
                <w:b/>
                <w:bCs/>
                <w:color w:val="000000"/>
                <w:sz w:val="20"/>
                <w:szCs w:val="20"/>
              </w:rPr>
            </w:pPr>
            <w:r w:rsidRPr="003458B1">
              <w:rPr>
                <w:b/>
                <w:sz w:val="20"/>
                <w:szCs w:val="20"/>
              </w:rPr>
              <w:t>8</w:t>
            </w:r>
          </w:p>
        </w:tc>
        <w:tc>
          <w:tcPr>
            <w:tcW w:w="1261" w:type="dxa"/>
            <w:shd w:val="clear" w:color="auto" w:fill="D2EAF1"/>
            <w:noWrap/>
            <w:vAlign w:val="center"/>
          </w:tcPr>
          <w:p w:rsidR="00A35466" w:rsidRPr="003458B1" w:rsidRDefault="00A35466" w:rsidP="004F0C61">
            <w:pPr>
              <w:jc w:val="center"/>
              <w:rPr>
                <w:b/>
                <w:bCs/>
                <w:color w:val="000000"/>
                <w:sz w:val="20"/>
                <w:szCs w:val="20"/>
              </w:rPr>
            </w:pPr>
            <w:r w:rsidRPr="003458B1">
              <w:rPr>
                <w:b/>
                <w:sz w:val="20"/>
                <w:szCs w:val="20"/>
              </w:rPr>
              <w:t>11.9%</w:t>
            </w:r>
          </w:p>
        </w:tc>
        <w:tc>
          <w:tcPr>
            <w:tcW w:w="1262" w:type="dxa"/>
            <w:shd w:val="clear" w:color="auto" w:fill="D2EAF1"/>
            <w:noWrap/>
            <w:vAlign w:val="center"/>
          </w:tcPr>
          <w:p w:rsidR="00A35466" w:rsidRPr="003458B1" w:rsidRDefault="00A35466" w:rsidP="004F0C61">
            <w:pPr>
              <w:jc w:val="center"/>
              <w:rPr>
                <w:b/>
                <w:bCs/>
                <w:color w:val="000000"/>
                <w:sz w:val="20"/>
                <w:szCs w:val="20"/>
              </w:rPr>
            </w:pPr>
            <w:r w:rsidRPr="003458B1">
              <w:rPr>
                <w:b/>
                <w:sz w:val="20"/>
                <w:szCs w:val="20"/>
              </w:rPr>
              <w:t>12.4%</w:t>
            </w:r>
          </w:p>
        </w:tc>
      </w:tr>
    </w:tbl>
    <w:p w:rsidR="00A35466" w:rsidRPr="003458B1" w:rsidRDefault="00A35466" w:rsidP="00A35466">
      <w:pPr>
        <w:rPr>
          <w:b/>
          <w:i/>
        </w:rPr>
      </w:pPr>
    </w:p>
    <w:p w:rsidR="00A35466" w:rsidRPr="003458B1" w:rsidRDefault="00A35466" w:rsidP="00A35466">
      <w:pPr>
        <w:pStyle w:val="AppendixAHeading5"/>
      </w:pPr>
      <w:r w:rsidRPr="003458B1">
        <w:t>Large C/I Energy Efficient Buildings Program</w:t>
      </w:r>
    </w:p>
    <w:p w:rsidR="00A35466" w:rsidRPr="00AB3C36" w:rsidRDefault="00A35466" w:rsidP="00A35466">
      <w:pPr>
        <w:rPr>
          <w:bCs/>
        </w:rPr>
      </w:pPr>
      <w:r w:rsidRPr="003458B1">
        <w:t>This was a new program in Phase II. The program includes two components: energy conservation kits delivered by mail to</w:t>
      </w:r>
      <w:r>
        <w:t xml:space="preserve"> non-residential customers and whole-building</w:t>
      </w:r>
      <w:r w:rsidRPr="003458B1">
        <w:t xml:space="preserve"> projects such as new construction, retro-commissioning, and building envelope improvements. However, no kits were distributed in PY7. Sampling and project-level gross impact evaluation methodologies for efficient equipment and building upgrade measures are identical to the</w:t>
      </w:r>
      <w:r w:rsidR="00502F2B">
        <w:t xml:space="preserve"> methodology described for the </w:t>
      </w:r>
      <w:r w:rsidRPr="003458B1">
        <w:t>Small</w:t>
      </w:r>
      <w:r w:rsidR="00502F2B">
        <w:t xml:space="preserve"> C/I</w:t>
      </w:r>
      <w:r w:rsidRPr="003458B1">
        <w:t xml:space="preserve"> </w:t>
      </w:r>
      <w:r>
        <w:t xml:space="preserve">Energy </w:t>
      </w:r>
      <w:r w:rsidRPr="003458B1">
        <w:t xml:space="preserve">Efficient Equipment Program above. The sample design strategy and the achieved precision values for energy and demand are shown in </w:t>
      </w:r>
      <w:r w:rsidR="007E0D0D">
        <w:t>Table A-80</w:t>
      </w:r>
      <w:r w:rsidRPr="003458B1">
        <w:t>. The achieved precision for energy and demand satisfied the SWE Team requirements.</w:t>
      </w:r>
    </w:p>
    <w:p w:rsidR="00A35466" w:rsidRPr="003458B1" w:rsidRDefault="00A35466" w:rsidP="00A35466"/>
    <w:p w:rsidR="00995A55" w:rsidRDefault="00995A55" w:rsidP="00AB3C36">
      <w:pPr>
        <w:spacing w:after="120"/>
        <w:rPr>
          <w:rFonts w:ascii="Century Gothic" w:hAnsi="Century Gothic"/>
          <w:b/>
          <w:bCs/>
          <w:sz w:val="18"/>
          <w:szCs w:val="18"/>
        </w:rPr>
      </w:pPr>
      <w:bookmarkStart w:id="965" w:name="_Ref440033272"/>
      <w:bookmarkStart w:id="966" w:name="_Toc444269877"/>
      <w:bookmarkStart w:id="967" w:name="_Toc472472489"/>
    </w:p>
    <w:p w:rsidR="00AB3C36" w:rsidRDefault="00AB3C36" w:rsidP="00AB3C36">
      <w:pPr>
        <w:spacing w:after="120"/>
        <w:rPr>
          <w:rFonts w:ascii="Century Gothic" w:hAnsi="Century Gothic"/>
          <w:b/>
          <w:bCs/>
          <w:sz w:val="18"/>
          <w:szCs w:val="18"/>
        </w:rPr>
      </w:pPr>
    </w:p>
    <w:p w:rsidR="00AB3C36" w:rsidRDefault="00AB3C36" w:rsidP="00AB3C36">
      <w:pPr>
        <w:spacing w:after="120"/>
        <w:rPr>
          <w:rFonts w:ascii="Century Gothic" w:hAnsi="Century Gothic"/>
          <w:b/>
          <w:bCs/>
          <w:sz w:val="18"/>
          <w:szCs w:val="18"/>
        </w:rPr>
      </w:pPr>
    </w:p>
    <w:p w:rsidR="00AB3C36" w:rsidRDefault="00AB3C36" w:rsidP="00AB3C36">
      <w:pPr>
        <w:spacing w:after="120"/>
        <w:rPr>
          <w:rFonts w:ascii="Century Gothic" w:hAnsi="Century Gothic"/>
          <w:b/>
          <w:bCs/>
          <w:sz w:val="18"/>
          <w:szCs w:val="18"/>
        </w:rPr>
      </w:pPr>
    </w:p>
    <w:p w:rsidR="00A35466" w:rsidRPr="003458B1" w:rsidRDefault="00A35466" w:rsidP="00A35466">
      <w:pPr>
        <w:spacing w:after="120"/>
        <w:jc w:val="center"/>
        <w:rPr>
          <w:rFonts w:ascii="Century Gothic" w:hAnsi="Century Gothic"/>
          <w:b/>
          <w:bCs/>
          <w:sz w:val="18"/>
          <w:szCs w:val="18"/>
        </w:rPr>
      </w:pPr>
      <w:bookmarkStart w:id="968" w:name="_Toc476842195"/>
      <w:r w:rsidRPr="003458B1">
        <w:rPr>
          <w:rFonts w:ascii="Century Gothic" w:hAnsi="Century Gothic"/>
          <w:b/>
          <w:bCs/>
          <w:sz w:val="18"/>
          <w:szCs w:val="18"/>
        </w:rPr>
        <w:lastRenderedPageBreak/>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80</w:t>
      </w:r>
      <w:r w:rsidRPr="003458B1">
        <w:rPr>
          <w:rFonts w:ascii="Century Gothic" w:hAnsi="Century Gothic"/>
          <w:b/>
          <w:bCs/>
          <w:sz w:val="18"/>
          <w:szCs w:val="18"/>
        </w:rPr>
        <w:fldChar w:fldCharType="end"/>
      </w:r>
      <w:bookmarkEnd w:id="965"/>
      <w:r w:rsidRPr="003458B1">
        <w:rPr>
          <w:rFonts w:ascii="Century Gothic" w:hAnsi="Century Gothic"/>
          <w:b/>
          <w:bCs/>
          <w:sz w:val="18"/>
          <w:szCs w:val="18"/>
        </w:rPr>
        <w:t>: Penn Power PY7 Sampling Strategy and Relative Precision – Large C/I Energy Efficient Buildings Program</w:t>
      </w:r>
      <w:bookmarkEnd w:id="966"/>
      <w:bookmarkEnd w:id="967"/>
      <w:bookmarkEnd w:id="968"/>
    </w:p>
    <w:tbl>
      <w:tblPr>
        <w:tblW w:w="9360" w:type="dxa"/>
        <w:tblInd w:w="-5" w:type="dxa"/>
        <w:tblBorders>
          <w:top w:val="single" w:sz="4" w:space="0" w:color="448A99"/>
          <w:left w:val="single" w:sz="4" w:space="0" w:color="448A99"/>
          <w:bottom w:val="single" w:sz="4" w:space="0" w:color="448A99"/>
          <w:right w:val="single" w:sz="4" w:space="0" w:color="448A99"/>
          <w:insideH w:val="single" w:sz="6" w:space="0" w:color="448A99"/>
          <w:insideV w:val="single" w:sz="6" w:space="0" w:color="448A99"/>
        </w:tblBorders>
        <w:tblLayout w:type="fixed"/>
        <w:tblLook w:val="04A0" w:firstRow="1" w:lastRow="0" w:firstColumn="1" w:lastColumn="0" w:noHBand="0" w:noVBand="1"/>
      </w:tblPr>
      <w:tblGrid>
        <w:gridCol w:w="2070"/>
        <w:gridCol w:w="1170"/>
        <w:gridCol w:w="1187"/>
        <w:gridCol w:w="6"/>
        <w:gridCol w:w="1256"/>
        <w:gridCol w:w="1261"/>
        <w:gridCol w:w="1150"/>
        <w:gridCol w:w="1260"/>
      </w:tblGrid>
      <w:tr w:rsidR="00A874AC" w:rsidRPr="00995A55" w:rsidTr="004F0C61">
        <w:trPr>
          <w:trHeight w:val="1052"/>
          <w:tblHeader/>
        </w:trPr>
        <w:tc>
          <w:tcPr>
            <w:tcW w:w="2070" w:type="dxa"/>
            <w:shd w:val="clear" w:color="000000" w:fill="448A99"/>
            <w:vAlign w:val="bottom"/>
            <w:hideMark/>
          </w:tcPr>
          <w:p w:rsidR="00A35466" w:rsidRPr="00995A55" w:rsidRDefault="00A35466" w:rsidP="004F0C61">
            <w:pPr>
              <w:rPr>
                <w:b/>
                <w:bCs/>
                <w:color w:val="FFFFFF"/>
                <w:sz w:val="20"/>
                <w:szCs w:val="20"/>
              </w:rPr>
            </w:pPr>
            <w:r w:rsidRPr="00995A55">
              <w:rPr>
                <w:b/>
                <w:bCs/>
                <w:color w:val="FFFFFF"/>
                <w:sz w:val="20"/>
                <w:szCs w:val="20"/>
              </w:rPr>
              <w:t>Stratum</w:t>
            </w:r>
          </w:p>
        </w:tc>
        <w:tc>
          <w:tcPr>
            <w:tcW w:w="1170" w:type="dxa"/>
            <w:shd w:val="clear" w:color="000000" w:fill="448A99"/>
            <w:vAlign w:val="bottom"/>
            <w:hideMark/>
          </w:tcPr>
          <w:p w:rsidR="00A35466" w:rsidRPr="00995A55" w:rsidRDefault="00A35466" w:rsidP="004F0C61">
            <w:pPr>
              <w:jc w:val="center"/>
              <w:rPr>
                <w:b/>
                <w:bCs/>
                <w:color w:val="FFFFFF"/>
                <w:sz w:val="20"/>
                <w:szCs w:val="20"/>
              </w:rPr>
            </w:pPr>
            <w:r w:rsidRPr="00995A55">
              <w:rPr>
                <w:b/>
                <w:bCs/>
                <w:color w:val="FFFFFF"/>
                <w:sz w:val="20"/>
                <w:szCs w:val="20"/>
              </w:rPr>
              <w:t>Population</w:t>
            </w:r>
          </w:p>
        </w:tc>
        <w:tc>
          <w:tcPr>
            <w:tcW w:w="1187" w:type="dxa"/>
            <w:shd w:val="clear" w:color="000000" w:fill="448A99"/>
            <w:vAlign w:val="bottom"/>
            <w:hideMark/>
          </w:tcPr>
          <w:p w:rsidR="00A35466" w:rsidRPr="00995A55" w:rsidRDefault="00A35466" w:rsidP="004F0C61">
            <w:pPr>
              <w:jc w:val="center"/>
              <w:rPr>
                <w:b/>
                <w:bCs/>
                <w:color w:val="FFFFFF"/>
                <w:sz w:val="20"/>
                <w:szCs w:val="20"/>
              </w:rPr>
            </w:pPr>
            <w:r w:rsidRPr="00995A55">
              <w:rPr>
                <w:b/>
                <w:bCs/>
                <w:color w:val="FFFFFF"/>
                <w:sz w:val="20"/>
                <w:szCs w:val="20"/>
              </w:rPr>
              <w:t>Target Levels of Confidence &amp; Precision</w:t>
            </w:r>
          </w:p>
        </w:tc>
        <w:tc>
          <w:tcPr>
            <w:tcW w:w="1262" w:type="dxa"/>
            <w:gridSpan w:val="2"/>
            <w:shd w:val="clear" w:color="000000" w:fill="448A99"/>
            <w:vAlign w:val="bottom"/>
            <w:hideMark/>
          </w:tcPr>
          <w:p w:rsidR="00A35466" w:rsidRPr="00995A55" w:rsidRDefault="00A35466" w:rsidP="004F0C61">
            <w:pPr>
              <w:jc w:val="center"/>
              <w:rPr>
                <w:b/>
                <w:bCs/>
                <w:color w:val="FFFFFF"/>
                <w:sz w:val="20"/>
                <w:szCs w:val="20"/>
              </w:rPr>
            </w:pPr>
            <w:r w:rsidRPr="00995A55">
              <w:rPr>
                <w:b/>
                <w:bCs/>
                <w:color w:val="FFFFFF"/>
                <w:sz w:val="20"/>
                <w:szCs w:val="20"/>
              </w:rPr>
              <w:t>Target Sample Size</w:t>
            </w:r>
          </w:p>
        </w:tc>
        <w:tc>
          <w:tcPr>
            <w:tcW w:w="1261" w:type="dxa"/>
            <w:shd w:val="clear" w:color="000000" w:fill="448A99"/>
            <w:vAlign w:val="bottom"/>
            <w:hideMark/>
          </w:tcPr>
          <w:p w:rsidR="00A35466" w:rsidRPr="00995A55" w:rsidRDefault="00A35466" w:rsidP="004F0C61">
            <w:pPr>
              <w:jc w:val="center"/>
              <w:rPr>
                <w:b/>
                <w:bCs/>
                <w:color w:val="FFFFFF"/>
                <w:sz w:val="20"/>
                <w:szCs w:val="20"/>
              </w:rPr>
            </w:pPr>
            <w:r w:rsidRPr="00995A55">
              <w:rPr>
                <w:b/>
                <w:bCs/>
                <w:color w:val="FFFFFF"/>
                <w:sz w:val="20"/>
                <w:szCs w:val="20"/>
              </w:rPr>
              <w:t>Achieved Sample Size</w:t>
            </w:r>
          </w:p>
        </w:tc>
        <w:tc>
          <w:tcPr>
            <w:tcW w:w="1150" w:type="dxa"/>
            <w:shd w:val="clear" w:color="000000" w:fill="448A99"/>
            <w:vAlign w:val="bottom"/>
            <w:hideMark/>
          </w:tcPr>
          <w:p w:rsidR="00A35466" w:rsidRPr="00995A55" w:rsidRDefault="00A35466" w:rsidP="004F0C61">
            <w:pPr>
              <w:jc w:val="center"/>
              <w:rPr>
                <w:b/>
                <w:bCs/>
                <w:color w:val="FFFFFF"/>
                <w:sz w:val="20"/>
                <w:szCs w:val="20"/>
              </w:rPr>
            </w:pPr>
            <w:r w:rsidRPr="00995A55">
              <w:rPr>
                <w:b/>
                <w:bCs/>
                <w:color w:val="FFFFFF"/>
                <w:sz w:val="20"/>
                <w:szCs w:val="20"/>
              </w:rPr>
              <w:t>Relative Precision at 85% C.L. for Energy</w:t>
            </w:r>
          </w:p>
        </w:tc>
        <w:tc>
          <w:tcPr>
            <w:tcW w:w="1260" w:type="dxa"/>
            <w:shd w:val="clear" w:color="000000" w:fill="448A99"/>
            <w:vAlign w:val="bottom"/>
            <w:hideMark/>
          </w:tcPr>
          <w:p w:rsidR="00A35466" w:rsidRPr="00995A55" w:rsidRDefault="00A35466" w:rsidP="004F0C61">
            <w:pPr>
              <w:jc w:val="center"/>
              <w:rPr>
                <w:b/>
                <w:bCs/>
                <w:color w:val="FFFFFF"/>
                <w:sz w:val="20"/>
                <w:szCs w:val="20"/>
              </w:rPr>
            </w:pPr>
            <w:r w:rsidRPr="00995A55">
              <w:rPr>
                <w:b/>
                <w:bCs/>
                <w:color w:val="FFFFFF"/>
                <w:sz w:val="20"/>
                <w:szCs w:val="20"/>
              </w:rPr>
              <w:t>Relative Precision at 85% C.L. for Demand</w:t>
            </w:r>
          </w:p>
        </w:tc>
      </w:tr>
      <w:tr w:rsidR="00A874AC" w:rsidRPr="00995A55" w:rsidTr="004F0C61">
        <w:trPr>
          <w:trHeight w:val="346"/>
        </w:trPr>
        <w:tc>
          <w:tcPr>
            <w:tcW w:w="2070" w:type="dxa"/>
            <w:shd w:val="clear" w:color="000000" w:fill="D2EAF1"/>
            <w:noWrap/>
            <w:vAlign w:val="center"/>
          </w:tcPr>
          <w:p w:rsidR="00A35466" w:rsidRPr="00995A55" w:rsidRDefault="00A35466" w:rsidP="004F0C61">
            <w:pPr>
              <w:rPr>
                <w:bCs/>
                <w:color w:val="000000"/>
                <w:sz w:val="20"/>
                <w:szCs w:val="20"/>
              </w:rPr>
            </w:pPr>
            <w:r w:rsidRPr="00995A55">
              <w:rPr>
                <w:sz w:val="20"/>
                <w:szCs w:val="20"/>
              </w:rPr>
              <w:t>CFL kits – 1</w:t>
            </w:r>
          </w:p>
        </w:tc>
        <w:tc>
          <w:tcPr>
            <w:tcW w:w="1170" w:type="dxa"/>
            <w:shd w:val="clear" w:color="000000" w:fill="D2EAF1"/>
            <w:noWrap/>
          </w:tcPr>
          <w:p w:rsidR="00A35466" w:rsidRPr="00995A55" w:rsidRDefault="00A35466" w:rsidP="004F0C61">
            <w:pPr>
              <w:jc w:val="center"/>
              <w:rPr>
                <w:color w:val="000000"/>
                <w:sz w:val="20"/>
                <w:szCs w:val="20"/>
              </w:rPr>
            </w:pPr>
            <w:r w:rsidRPr="00995A55">
              <w:rPr>
                <w:sz w:val="20"/>
                <w:szCs w:val="20"/>
              </w:rPr>
              <w:t>0</w:t>
            </w:r>
          </w:p>
        </w:tc>
        <w:tc>
          <w:tcPr>
            <w:tcW w:w="1193" w:type="dxa"/>
            <w:gridSpan w:val="2"/>
            <w:shd w:val="clear" w:color="000000" w:fill="D2EAF1"/>
            <w:noWrap/>
          </w:tcPr>
          <w:p w:rsidR="00A35466" w:rsidRPr="00995A55" w:rsidRDefault="00A35466" w:rsidP="004F0C61">
            <w:pPr>
              <w:jc w:val="center"/>
              <w:rPr>
                <w:color w:val="000000"/>
                <w:sz w:val="20"/>
                <w:szCs w:val="20"/>
              </w:rPr>
            </w:pPr>
            <w:r w:rsidRPr="00995A55">
              <w:rPr>
                <w:sz w:val="20"/>
                <w:szCs w:val="20"/>
              </w:rPr>
              <w:t>N/A</w:t>
            </w:r>
          </w:p>
        </w:tc>
        <w:tc>
          <w:tcPr>
            <w:tcW w:w="1256" w:type="dxa"/>
            <w:shd w:val="clear" w:color="000000" w:fill="D2EAF1"/>
            <w:noWrap/>
          </w:tcPr>
          <w:p w:rsidR="00A35466" w:rsidRPr="00995A55" w:rsidRDefault="00A35466" w:rsidP="004F0C61">
            <w:pPr>
              <w:jc w:val="center"/>
              <w:rPr>
                <w:color w:val="000000"/>
                <w:sz w:val="20"/>
                <w:szCs w:val="20"/>
              </w:rPr>
            </w:pPr>
            <w:r w:rsidRPr="00995A55">
              <w:rPr>
                <w:sz w:val="20"/>
                <w:szCs w:val="20"/>
              </w:rPr>
              <w:t>0</w:t>
            </w:r>
          </w:p>
        </w:tc>
        <w:tc>
          <w:tcPr>
            <w:tcW w:w="1261" w:type="dxa"/>
            <w:shd w:val="clear" w:color="000000" w:fill="D2EAF1"/>
            <w:noWrap/>
          </w:tcPr>
          <w:p w:rsidR="00A35466" w:rsidRPr="00995A55" w:rsidRDefault="00A35466" w:rsidP="004F0C61">
            <w:pPr>
              <w:jc w:val="center"/>
              <w:rPr>
                <w:color w:val="000000"/>
                <w:sz w:val="20"/>
                <w:szCs w:val="20"/>
              </w:rPr>
            </w:pPr>
            <w:r w:rsidRPr="00995A55">
              <w:rPr>
                <w:sz w:val="20"/>
                <w:szCs w:val="20"/>
              </w:rPr>
              <w:t>0</w:t>
            </w:r>
          </w:p>
        </w:tc>
        <w:tc>
          <w:tcPr>
            <w:tcW w:w="1150" w:type="dxa"/>
            <w:shd w:val="clear" w:color="000000" w:fill="D2EAF1"/>
            <w:noWrap/>
          </w:tcPr>
          <w:p w:rsidR="00A35466" w:rsidRPr="00995A55" w:rsidRDefault="00A35466" w:rsidP="004F0C61">
            <w:pPr>
              <w:jc w:val="center"/>
              <w:rPr>
                <w:color w:val="000000"/>
                <w:sz w:val="20"/>
                <w:szCs w:val="20"/>
              </w:rPr>
            </w:pPr>
            <w:r w:rsidRPr="00995A55">
              <w:rPr>
                <w:sz w:val="20"/>
                <w:szCs w:val="20"/>
              </w:rPr>
              <w:t>0.0%</w:t>
            </w:r>
          </w:p>
        </w:tc>
        <w:tc>
          <w:tcPr>
            <w:tcW w:w="1260" w:type="dxa"/>
            <w:shd w:val="clear" w:color="000000" w:fill="D2EAF1"/>
            <w:noWrap/>
          </w:tcPr>
          <w:p w:rsidR="00A35466" w:rsidRPr="00995A55" w:rsidRDefault="00A35466" w:rsidP="004F0C61">
            <w:pPr>
              <w:jc w:val="center"/>
              <w:rPr>
                <w:color w:val="000000"/>
                <w:sz w:val="20"/>
                <w:szCs w:val="20"/>
              </w:rPr>
            </w:pPr>
            <w:r w:rsidRPr="00995A55">
              <w:rPr>
                <w:sz w:val="20"/>
                <w:szCs w:val="20"/>
              </w:rPr>
              <w:t>0.0%</w:t>
            </w:r>
          </w:p>
        </w:tc>
      </w:tr>
      <w:tr w:rsidR="00E7173E" w:rsidRPr="00995A55" w:rsidTr="00AB3C36">
        <w:trPr>
          <w:trHeight w:val="346"/>
        </w:trPr>
        <w:tc>
          <w:tcPr>
            <w:tcW w:w="2070" w:type="dxa"/>
            <w:shd w:val="clear" w:color="auto" w:fill="auto"/>
            <w:noWrap/>
            <w:vAlign w:val="center"/>
          </w:tcPr>
          <w:p w:rsidR="00A35466" w:rsidRPr="00995A55" w:rsidRDefault="00A35466" w:rsidP="004F0C61">
            <w:pPr>
              <w:rPr>
                <w:bCs/>
                <w:color w:val="000000"/>
                <w:sz w:val="20"/>
                <w:szCs w:val="20"/>
              </w:rPr>
            </w:pPr>
            <w:r w:rsidRPr="00995A55">
              <w:rPr>
                <w:sz w:val="20"/>
                <w:szCs w:val="20"/>
              </w:rPr>
              <w:t>Lighting – certainty</w:t>
            </w:r>
          </w:p>
        </w:tc>
        <w:tc>
          <w:tcPr>
            <w:tcW w:w="1170" w:type="dxa"/>
            <w:shd w:val="clear" w:color="auto" w:fill="auto"/>
            <w:noWrap/>
          </w:tcPr>
          <w:p w:rsidR="00A35466" w:rsidRPr="00995A55" w:rsidRDefault="00A35466" w:rsidP="004F0C61">
            <w:pPr>
              <w:jc w:val="center"/>
              <w:rPr>
                <w:color w:val="000000"/>
                <w:sz w:val="20"/>
                <w:szCs w:val="20"/>
              </w:rPr>
            </w:pPr>
            <w:r w:rsidRPr="00995A55">
              <w:rPr>
                <w:sz w:val="20"/>
                <w:szCs w:val="20"/>
              </w:rPr>
              <w:t>0</w:t>
            </w:r>
          </w:p>
        </w:tc>
        <w:tc>
          <w:tcPr>
            <w:tcW w:w="1193" w:type="dxa"/>
            <w:gridSpan w:val="2"/>
            <w:shd w:val="clear" w:color="auto" w:fill="auto"/>
            <w:noWrap/>
          </w:tcPr>
          <w:p w:rsidR="00A35466" w:rsidRPr="00995A55" w:rsidRDefault="00A35466" w:rsidP="004F0C61">
            <w:pPr>
              <w:jc w:val="center"/>
              <w:rPr>
                <w:color w:val="000000"/>
                <w:sz w:val="20"/>
                <w:szCs w:val="20"/>
              </w:rPr>
            </w:pPr>
            <w:r w:rsidRPr="00995A55">
              <w:rPr>
                <w:sz w:val="20"/>
                <w:szCs w:val="20"/>
              </w:rPr>
              <w:t>N/A</w:t>
            </w:r>
          </w:p>
        </w:tc>
        <w:tc>
          <w:tcPr>
            <w:tcW w:w="1256" w:type="dxa"/>
            <w:shd w:val="clear" w:color="auto" w:fill="auto"/>
            <w:noWrap/>
          </w:tcPr>
          <w:p w:rsidR="00A35466" w:rsidRPr="00995A55" w:rsidRDefault="00A35466" w:rsidP="004F0C61">
            <w:pPr>
              <w:jc w:val="center"/>
              <w:rPr>
                <w:color w:val="000000"/>
                <w:sz w:val="20"/>
                <w:szCs w:val="20"/>
              </w:rPr>
            </w:pPr>
            <w:r w:rsidRPr="00995A55">
              <w:rPr>
                <w:sz w:val="20"/>
                <w:szCs w:val="20"/>
              </w:rPr>
              <w:t>0</w:t>
            </w:r>
          </w:p>
        </w:tc>
        <w:tc>
          <w:tcPr>
            <w:tcW w:w="1261" w:type="dxa"/>
            <w:shd w:val="clear" w:color="auto" w:fill="auto"/>
            <w:noWrap/>
          </w:tcPr>
          <w:p w:rsidR="00A35466" w:rsidRPr="00995A55" w:rsidRDefault="00A35466" w:rsidP="004F0C61">
            <w:pPr>
              <w:jc w:val="center"/>
              <w:rPr>
                <w:color w:val="000000"/>
                <w:sz w:val="20"/>
                <w:szCs w:val="20"/>
              </w:rPr>
            </w:pPr>
            <w:r w:rsidRPr="00995A55">
              <w:rPr>
                <w:sz w:val="20"/>
                <w:szCs w:val="20"/>
              </w:rPr>
              <w:t>0</w:t>
            </w:r>
          </w:p>
        </w:tc>
        <w:tc>
          <w:tcPr>
            <w:tcW w:w="1150" w:type="dxa"/>
            <w:shd w:val="clear" w:color="auto" w:fill="auto"/>
            <w:noWrap/>
          </w:tcPr>
          <w:p w:rsidR="00A35466" w:rsidRPr="00995A55" w:rsidRDefault="00A35466" w:rsidP="004F0C61">
            <w:pPr>
              <w:jc w:val="center"/>
              <w:rPr>
                <w:color w:val="000000"/>
                <w:sz w:val="20"/>
                <w:szCs w:val="20"/>
              </w:rPr>
            </w:pPr>
            <w:r w:rsidRPr="00995A55">
              <w:rPr>
                <w:sz w:val="20"/>
                <w:szCs w:val="20"/>
              </w:rPr>
              <w:t>0.0%</w:t>
            </w:r>
          </w:p>
        </w:tc>
        <w:tc>
          <w:tcPr>
            <w:tcW w:w="1260" w:type="dxa"/>
            <w:shd w:val="clear" w:color="auto" w:fill="auto"/>
            <w:noWrap/>
          </w:tcPr>
          <w:p w:rsidR="00A35466" w:rsidRPr="00995A55" w:rsidRDefault="00A35466" w:rsidP="004F0C61">
            <w:pPr>
              <w:jc w:val="center"/>
              <w:rPr>
                <w:color w:val="000000"/>
                <w:sz w:val="20"/>
                <w:szCs w:val="20"/>
              </w:rPr>
            </w:pPr>
            <w:r w:rsidRPr="00995A55">
              <w:rPr>
                <w:sz w:val="20"/>
                <w:szCs w:val="20"/>
              </w:rPr>
              <w:t>0.0%</w:t>
            </w:r>
          </w:p>
        </w:tc>
      </w:tr>
      <w:tr w:rsidR="00A874AC" w:rsidRPr="00995A55" w:rsidTr="004F0C61">
        <w:trPr>
          <w:trHeight w:val="346"/>
        </w:trPr>
        <w:tc>
          <w:tcPr>
            <w:tcW w:w="2070" w:type="dxa"/>
            <w:shd w:val="clear" w:color="000000" w:fill="D2EAF1"/>
            <w:noWrap/>
            <w:vAlign w:val="center"/>
          </w:tcPr>
          <w:p w:rsidR="00A35466" w:rsidRPr="00995A55" w:rsidRDefault="00A35466" w:rsidP="004F0C61">
            <w:pPr>
              <w:rPr>
                <w:bCs/>
                <w:color w:val="000000"/>
                <w:sz w:val="20"/>
                <w:szCs w:val="20"/>
              </w:rPr>
            </w:pPr>
            <w:r w:rsidRPr="00995A55">
              <w:rPr>
                <w:sz w:val="20"/>
                <w:szCs w:val="20"/>
              </w:rPr>
              <w:t>Lighting – 2</w:t>
            </w:r>
          </w:p>
        </w:tc>
        <w:tc>
          <w:tcPr>
            <w:tcW w:w="1170" w:type="dxa"/>
            <w:shd w:val="clear" w:color="000000" w:fill="D2EAF1"/>
            <w:noWrap/>
          </w:tcPr>
          <w:p w:rsidR="00A35466" w:rsidRPr="00995A55" w:rsidRDefault="00A35466" w:rsidP="004F0C61">
            <w:pPr>
              <w:jc w:val="center"/>
              <w:rPr>
                <w:color w:val="000000"/>
                <w:sz w:val="20"/>
                <w:szCs w:val="20"/>
              </w:rPr>
            </w:pPr>
            <w:r w:rsidRPr="00995A55">
              <w:rPr>
                <w:sz w:val="20"/>
                <w:szCs w:val="20"/>
              </w:rPr>
              <w:t>0</w:t>
            </w:r>
          </w:p>
        </w:tc>
        <w:tc>
          <w:tcPr>
            <w:tcW w:w="1193" w:type="dxa"/>
            <w:gridSpan w:val="2"/>
            <w:shd w:val="clear" w:color="000000" w:fill="D2EAF1"/>
            <w:noWrap/>
          </w:tcPr>
          <w:p w:rsidR="00A35466" w:rsidRPr="00995A55" w:rsidRDefault="00A35466" w:rsidP="004F0C61">
            <w:pPr>
              <w:jc w:val="center"/>
              <w:rPr>
                <w:color w:val="000000"/>
                <w:sz w:val="20"/>
                <w:szCs w:val="20"/>
              </w:rPr>
            </w:pPr>
            <w:r w:rsidRPr="00995A55">
              <w:rPr>
                <w:sz w:val="20"/>
                <w:szCs w:val="20"/>
              </w:rPr>
              <w:t>N/A</w:t>
            </w:r>
          </w:p>
        </w:tc>
        <w:tc>
          <w:tcPr>
            <w:tcW w:w="1256" w:type="dxa"/>
            <w:shd w:val="clear" w:color="000000" w:fill="D2EAF1"/>
            <w:noWrap/>
          </w:tcPr>
          <w:p w:rsidR="00A35466" w:rsidRPr="00995A55" w:rsidRDefault="00A35466" w:rsidP="004F0C61">
            <w:pPr>
              <w:jc w:val="center"/>
              <w:rPr>
                <w:color w:val="000000"/>
                <w:sz w:val="20"/>
                <w:szCs w:val="20"/>
              </w:rPr>
            </w:pPr>
            <w:r w:rsidRPr="00995A55">
              <w:rPr>
                <w:sz w:val="20"/>
                <w:szCs w:val="20"/>
              </w:rPr>
              <w:t>0</w:t>
            </w:r>
          </w:p>
        </w:tc>
        <w:tc>
          <w:tcPr>
            <w:tcW w:w="1261" w:type="dxa"/>
            <w:shd w:val="clear" w:color="000000" w:fill="D2EAF1"/>
            <w:noWrap/>
          </w:tcPr>
          <w:p w:rsidR="00A35466" w:rsidRPr="00995A55" w:rsidRDefault="00A35466" w:rsidP="004F0C61">
            <w:pPr>
              <w:jc w:val="center"/>
              <w:rPr>
                <w:color w:val="000000"/>
                <w:sz w:val="20"/>
                <w:szCs w:val="20"/>
              </w:rPr>
            </w:pPr>
            <w:r w:rsidRPr="00995A55">
              <w:rPr>
                <w:sz w:val="20"/>
                <w:szCs w:val="20"/>
              </w:rPr>
              <w:t>0</w:t>
            </w:r>
          </w:p>
        </w:tc>
        <w:tc>
          <w:tcPr>
            <w:tcW w:w="1150" w:type="dxa"/>
            <w:shd w:val="clear" w:color="000000" w:fill="D2EAF1"/>
            <w:noWrap/>
          </w:tcPr>
          <w:p w:rsidR="00A35466" w:rsidRPr="00995A55" w:rsidRDefault="00A35466" w:rsidP="004F0C61">
            <w:pPr>
              <w:jc w:val="center"/>
              <w:rPr>
                <w:color w:val="000000"/>
                <w:sz w:val="20"/>
                <w:szCs w:val="20"/>
              </w:rPr>
            </w:pPr>
            <w:r w:rsidRPr="00995A55">
              <w:rPr>
                <w:sz w:val="20"/>
                <w:szCs w:val="20"/>
              </w:rPr>
              <w:t>0.0%</w:t>
            </w:r>
          </w:p>
        </w:tc>
        <w:tc>
          <w:tcPr>
            <w:tcW w:w="1260" w:type="dxa"/>
            <w:shd w:val="clear" w:color="000000" w:fill="D2EAF1"/>
            <w:noWrap/>
          </w:tcPr>
          <w:p w:rsidR="00A35466" w:rsidRPr="00995A55" w:rsidRDefault="00A35466" w:rsidP="004F0C61">
            <w:pPr>
              <w:jc w:val="center"/>
              <w:rPr>
                <w:color w:val="000000"/>
                <w:sz w:val="20"/>
                <w:szCs w:val="20"/>
              </w:rPr>
            </w:pPr>
            <w:r w:rsidRPr="00995A55">
              <w:rPr>
                <w:sz w:val="20"/>
                <w:szCs w:val="20"/>
              </w:rPr>
              <w:t>0.0%</w:t>
            </w:r>
          </w:p>
        </w:tc>
      </w:tr>
      <w:tr w:rsidR="00E7173E" w:rsidRPr="00995A55" w:rsidTr="00AB3C36">
        <w:trPr>
          <w:trHeight w:val="346"/>
        </w:trPr>
        <w:tc>
          <w:tcPr>
            <w:tcW w:w="2070" w:type="dxa"/>
            <w:shd w:val="clear" w:color="auto" w:fill="auto"/>
            <w:noWrap/>
            <w:vAlign w:val="center"/>
          </w:tcPr>
          <w:p w:rsidR="00A35466" w:rsidRPr="00995A55" w:rsidRDefault="00A35466" w:rsidP="004F0C61">
            <w:pPr>
              <w:rPr>
                <w:bCs/>
                <w:color w:val="000000"/>
                <w:sz w:val="20"/>
                <w:szCs w:val="20"/>
              </w:rPr>
            </w:pPr>
            <w:r w:rsidRPr="00995A55">
              <w:rPr>
                <w:sz w:val="20"/>
                <w:szCs w:val="20"/>
              </w:rPr>
              <w:t>Lighting – 3</w:t>
            </w:r>
          </w:p>
        </w:tc>
        <w:tc>
          <w:tcPr>
            <w:tcW w:w="1170" w:type="dxa"/>
            <w:shd w:val="clear" w:color="auto" w:fill="auto"/>
            <w:noWrap/>
          </w:tcPr>
          <w:p w:rsidR="00A35466" w:rsidRPr="00995A55" w:rsidRDefault="00A35466" w:rsidP="004F0C61">
            <w:pPr>
              <w:jc w:val="center"/>
              <w:rPr>
                <w:color w:val="000000"/>
                <w:sz w:val="20"/>
                <w:szCs w:val="20"/>
              </w:rPr>
            </w:pPr>
            <w:r w:rsidRPr="00995A55">
              <w:rPr>
                <w:sz w:val="20"/>
                <w:szCs w:val="20"/>
              </w:rPr>
              <w:t>0</w:t>
            </w:r>
          </w:p>
        </w:tc>
        <w:tc>
          <w:tcPr>
            <w:tcW w:w="1193" w:type="dxa"/>
            <w:gridSpan w:val="2"/>
            <w:shd w:val="clear" w:color="auto" w:fill="auto"/>
            <w:noWrap/>
          </w:tcPr>
          <w:p w:rsidR="00A35466" w:rsidRPr="00995A55" w:rsidRDefault="00A35466" w:rsidP="004F0C61">
            <w:pPr>
              <w:jc w:val="center"/>
              <w:rPr>
                <w:color w:val="000000"/>
                <w:sz w:val="20"/>
                <w:szCs w:val="20"/>
              </w:rPr>
            </w:pPr>
            <w:r w:rsidRPr="00995A55">
              <w:rPr>
                <w:sz w:val="20"/>
                <w:szCs w:val="20"/>
              </w:rPr>
              <w:t>N/A</w:t>
            </w:r>
          </w:p>
        </w:tc>
        <w:tc>
          <w:tcPr>
            <w:tcW w:w="1256" w:type="dxa"/>
            <w:shd w:val="clear" w:color="auto" w:fill="auto"/>
            <w:noWrap/>
          </w:tcPr>
          <w:p w:rsidR="00A35466" w:rsidRPr="00995A55" w:rsidRDefault="00A35466" w:rsidP="004F0C61">
            <w:pPr>
              <w:jc w:val="center"/>
              <w:rPr>
                <w:color w:val="000000"/>
                <w:sz w:val="20"/>
                <w:szCs w:val="20"/>
              </w:rPr>
            </w:pPr>
            <w:r w:rsidRPr="00995A55">
              <w:rPr>
                <w:sz w:val="20"/>
                <w:szCs w:val="20"/>
              </w:rPr>
              <w:t>0</w:t>
            </w:r>
          </w:p>
        </w:tc>
        <w:tc>
          <w:tcPr>
            <w:tcW w:w="1261" w:type="dxa"/>
            <w:shd w:val="clear" w:color="auto" w:fill="auto"/>
            <w:noWrap/>
          </w:tcPr>
          <w:p w:rsidR="00A35466" w:rsidRPr="00995A55" w:rsidRDefault="00A35466" w:rsidP="004F0C61">
            <w:pPr>
              <w:jc w:val="center"/>
              <w:rPr>
                <w:color w:val="000000"/>
                <w:sz w:val="20"/>
                <w:szCs w:val="20"/>
              </w:rPr>
            </w:pPr>
            <w:r w:rsidRPr="00995A55">
              <w:rPr>
                <w:sz w:val="20"/>
                <w:szCs w:val="20"/>
              </w:rPr>
              <w:t>0</w:t>
            </w:r>
          </w:p>
        </w:tc>
        <w:tc>
          <w:tcPr>
            <w:tcW w:w="1150" w:type="dxa"/>
            <w:shd w:val="clear" w:color="auto" w:fill="auto"/>
            <w:noWrap/>
          </w:tcPr>
          <w:p w:rsidR="00A35466" w:rsidRPr="00995A55" w:rsidRDefault="00A35466" w:rsidP="004F0C61">
            <w:pPr>
              <w:jc w:val="center"/>
              <w:rPr>
                <w:color w:val="000000"/>
                <w:sz w:val="20"/>
                <w:szCs w:val="20"/>
              </w:rPr>
            </w:pPr>
            <w:r w:rsidRPr="00995A55">
              <w:rPr>
                <w:sz w:val="20"/>
                <w:szCs w:val="20"/>
              </w:rPr>
              <w:t>0.0%</w:t>
            </w:r>
          </w:p>
        </w:tc>
        <w:tc>
          <w:tcPr>
            <w:tcW w:w="1260" w:type="dxa"/>
            <w:shd w:val="clear" w:color="auto" w:fill="auto"/>
            <w:noWrap/>
          </w:tcPr>
          <w:p w:rsidR="00A35466" w:rsidRPr="00995A55" w:rsidRDefault="00A35466" w:rsidP="004F0C61">
            <w:pPr>
              <w:jc w:val="center"/>
              <w:rPr>
                <w:color w:val="000000"/>
                <w:sz w:val="20"/>
                <w:szCs w:val="20"/>
              </w:rPr>
            </w:pPr>
            <w:r w:rsidRPr="00995A55">
              <w:rPr>
                <w:sz w:val="20"/>
                <w:szCs w:val="20"/>
              </w:rPr>
              <w:t>0.0%</w:t>
            </w:r>
          </w:p>
        </w:tc>
      </w:tr>
      <w:tr w:rsidR="00A874AC" w:rsidRPr="00995A55" w:rsidTr="004F0C61">
        <w:trPr>
          <w:trHeight w:val="346"/>
        </w:trPr>
        <w:tc>
          <w:tcPr>
            <w:tcW w:w="2070" w:type="dxa"/>
            <w:shd w:val="clear" w:color="000000" w:fill="D2EAF1"/>
            <w:noWrap/>
            <w:vAlign w:val="center"/>
          </w:tcPr>
          <w:p w:rsidR="00A35466" w:rsidRPr="00995A55" w:rsidRDefault="00A35466" w:rsidP="004F0C61">
            <w:pPr>
              <w:rPr>
                <w:bCs/>
                <w:color w:val="000000"/>
                <w:sz w:val="20"/>
                <w:szCs w:val="20"/>
              </w:rPr>
            </w:pPr>
            <w:r w:rsidRPr="00995A55">
              <w:rPr>
                <w:sz w:val="20"/>
                <w:szCs w:val="20"/>
              </w:rPr>
              <w:t>Lighting – 4</w:t>
            </w:r>
          </w:p>
        </w:tc>
        <w:tc>
          <w:tcPr>
            <w:tcW w:w="1170" w:type="dxa"/>
            <w:shd w:val="clear" w:color="000000" w:fill="D2EAF1"/>
            <w:noWrap/>
          </w:tcPr>
          <w:p w:rsidR="00A35466" w:rsidRPr="00995A55" w:rsidRDefault="00A35466" w:rsidP="004F0C61">
            <w:pPr>
              <w:jc w:val="center"/>
              <w:rPr>
                <w:color w:val="000000"/>
                <w:sz w:val="20"/>
                <w:szCs w:val="20"/>
              </w:rPr>
            </w:pPr>
            <w:r w:rsidRPr="00995A55">
              <w:rPr>
                <w:sz w:val="20"/>
                <w:szCs w:val="20"/>
              </w:rPr>
              <w:t>0</w:t>
            </w:r>
          </w:p>
        </w:tc>
        <w:tc>
          <w:tcPr>
            <w:tcW w:w="1193" w:type="dxa"/>
            <w:gridSpan w:val="2"/>
            <w:shd w:val="clear" w:color="000000" w:fill="D2EAF1"/>
            <w:noWrap/>
          </w:tcPr>
          <w:p w:rsidR="00A35466" w:rsidRPr="00995A55" w:rsidRDefault="00A35466" w:rsidP="004F0C61">
            <w:pPr>
              <w:jc w:val="center"/>
              <w:rPr>
                <w:color w:val="000000"/>
                <w:sz w:val="20"/>
                <w:szCs w:val="20"/>
              </w:rPr>
            </w:pPr>
            <w:r w:rsidRPr="00995A55">
              <w:rPr>
                <w:sz w:val="20"/>
                <w:szCs w:val="20"/>
              </w:rPr>
              <w:t>N/A</w:t>
            </w:r>
          </w:p>
        </w:tc>
        <w:tc>
          <w:tcPr>
            <w:tcW w:w="1256" w:type="dxa"/>
            <w:shd w:val="clear" w:color="000000" w:fill="D2EAF1"/>
            <w:noWrap/>
          </w:tcPr>
          <w:p w:rsidR="00A35466" w:rsidRPr="00995A55" w:rsidRDefault="00A35466" w:rsidP="004F0C61">
            <w:pPr>
              <w:jc w:val="center"/>
              <w:rPr>
                <w:color w:val="000000"/>
                <w:sz w:val="20"/>
                <w:szCs w:val="20"/>
              </w:rPr>
            </w:pPr>
            <w:r w:rsidRPr="00995A55">
              <w:rPr>
                <w:sz w:val="20"/>
                <w:szCs w:val="20"/>
              </w:rPr>
              <w:t>0</w:t>
            </w:r>
          </w:p>
        </w:tc>
        <w:tc>
          <w:tcPr>
            <w:tcW w:w="1261" w:type="dxa"/>
            <w:shd w:val="clear" w:color="000000" w:fill="D2EAF1"/>
            <w:noWrap/>
          </w:tcPr>
          <w:p w:rsidR="00A35466" w:rsidRPr="00995A55" w:rsidRDefault="00A35466" w:rsidP="004F0C61">
            <w:pPr>
              <w:jc w:val="center"/>
              <w:rPr>
                <w:color w:val="000000"/>
                <w:sz w:val="20"/>
                <w:szCs w:val="20"/>
              </w:rPr>
            </w:pPr>
            <w:r w:rsidRPr="00995A55">
              <w:rPr>
                <w:sz w:val="20"/>
                <w:szCs w:val="20"/>
              </w:rPr>
              <w:t>0</w:t>
            </w:r>
          </w:p>
        </w:tc>
        <w:tc>
          <w:tcPr>
            <w:tcW w:w="1150" w:type="dxa"/>
            <w:shd w:val="clear" w:color="000000" w:fill="D2EAF1"/>
            <w:noWrap/>
          </w:tcPr>
          <w:p w:rsidR="00A35466" w:rsidRPr="00995A55" w:rsidRDefault="00A35466" w:rsidP="004F0C61">
            <w:pPr>
              <w:jc w:val="center"/>
              <w:rPr>
                <w:color w:val="000000"/>
                <w:sz w:val="20"/>
                <w:szCs w:val="20"/>
              </w:rPr>
            </w:pPr>
            <w:r w:rsidRPr="00995A55">
              <w:rPr>
                <w:sz w:val="20"/>
                <w:szCs w:val="20"/>
              </w:rPr>
              <w:t>0.0%</w:t>
            </w:r>
          </w:p>
        </w:tc>
        <w:tc>
          <w:tcPr>
            <w:tcW w:w="1260" w:type="dxa"/>
            <w:shd w:val="clear" w:color="000000" w:fill="D2EAF1"/>
            <w:noWrap/>
          </w:tcPr>
          <w:p w:rsidR="00A35466" w:rsidRPr="00995A55" w:rsidRDefault="00A35466" w:rsidP="004F0C61">
            <w:pPr>
              <w:jc w:val="center"/>
              <w:rPr>
                <w:color w:val="000000"/>
                <w:sz w:val="20"/>
                <w:szCs w:val="20"/>
              </w:rPr>
            </w:pPr>
            <w:r w:rsidRPr="00995A55">
              <w:rPr>
                <w:sz w:val="20"/>
                <w:szCs w:val="20"/>
              </w:rPr>
              <w:t>0.0%</w:t>
            </w:r>
          </w:p>
        </w:tc>
      </w:tr>
      <w:tr w:rsidR="00E7173E" w:rsidRPr="00995A55" w:rsidTr="00AB3C36">
        <w:trPr>
          <w:trHeight w:val="346"/>
        </w:trPr>
        <w:tc>
          <w:tcPr>
            <w:tcW w:w="2070" w:type="dxa"/>
            <w:shd w:val="clear" w:color="auto" w:fill="auto"/>
            <w:noWrap/>
            <w:vAlign w:val="center"/>
          </w:tcPr>
          <w:p w:rsidR="00A35466" w:rsidRPr="00995A55" w:rsidRDefault="00A35466" w:rsidP="004F0C61">
            <w:pPr>
              <w:rPr>
                <w:bCs/>
                <w:color w:val="000000"/>
                <w:sz w:val="20"/>
                <w:szCs w:val="20"/>
              </w:rPr>
            </w:pPr>
            <w:r w:rsidRPr="00995A55">
              <w:rPr>
                <w:sz w:val="20"/>
                <w:szCs w:val="20"/>
              </w:rPr>
              <w:t>Custom – certainty</w:t>
            </w:r>
          </w:p>
        </w:tc>
        <w:tc>
          <w:tcPr>
            <w:tcW w:w="1170" w:type="dxa"/>
            <w:shd w:val="clear" w:color="auto" w:fill="auto"/>
            <w:noWrap/>
          </w:tcPr>
          <w:p w:rsidR="00A35466" w:rsidRPr="00995A55" w:rsidRDefault="00A35466" w:rsidP="004F0C61">
            <w:pPr>
              <w:jc w:val="center"/>
              <w:rPr>
                <w:color w:val="000000"/>
                <w:sz w:val="20"/>
                <w:szCs w:val="20"/>
              </w:rPr>
            </w:pPr>
            <w:r w:rsidRPr="00995A55">
              <w:rPr>
                <w:sz w:val="20"/>
                <w:szCs w:val="20"/>
              </w:rPr>
              <w:t>4</w:t>
            </w:r>
          </w:p>
        </w:tc>
        <w:tc>
          <w:tcPr>
            <w:tcW w:w="1193" w:type="dxa"/>
            <w:gridSpan w:val="2"/>
            <w:shd w:val="clear" w:color="auto" w:fill="auto"/>
            <w:noWrap/>
          </w:tcPr>
          <w:p w:rsidR="00A35466" w:rsidRPr="00995A55" w:rsidRDefault="00A35466" w:rsidP="004F0C61">
            <w:pPr>
              <w:jc w:val="center"/>
              <w:rPr>
                <w:color w:val="000000"/>
                <w:sz w:val="20"/>
                <w:szCs w:val="20"/>
              </w:rPr>
            </w:pPr>
            <w:r w:rsidRPr="00995A55">
              <w:rPr>
                <w:sz w:val="20"/>
                <w:szCs w:val="20"/>
              </w:rPr>
              <w:t>15.0%</w:t>
            </w:r>
          </w:p>
        </w:tc>
        <w:tc>
          <w:tcPr>
            <w:tcW w:w="1256" w:type="dxa"/>
            <w:shd w:val="clear" w:color="auto" w:fill="auto"/>
            <w:noWrap/>
          </w:tcPr>
          <w:p w:rsidR="00A35466" w:rsidRPr="00995A55" w:rsidRDefault="00A35466" w:rsidP="004F0C61">
            <w:pPr>
              <w:jc w:val="center"/>
              <w:rPr>
                <w:color w:val="000000"/>
                <w:sz w:val="20"/>
                <w:szCs w:val="20"/>
              </w:rPr>
            </w:pPr>
            <w:r w:rsidRPr="00995A55">
              <w:rPr>
                <w:sz w:val="20"/>
                <w:szCs w:val="20"/>
              </w:rPr>
              <w:t>1</w:t>
            </w:r>
          </w:p>
        </w:tc>
        <w:tc>
          <w:tcPr>
            <w:tcW w:w="1261" w:type="dxa"/>
            <w:shd w:val="clear" w:color="auto" w:fill="auto"/>
            <w:noWrap/>
          </w:tcPr>
          <w:p w:rsidR="00A35466" w:rsidRPr="00995A55" w:rsidRDefault="00A35466" w:rsidP="004F0C61">
            <w:pPr>
              <w:jc w:val="center"/>
              <w:rPr>
                <w:color w:val="000000"/>
                <w:sz w:val="20"/>
                <w:szCs w:val="20"/>
              </w:rPr>
            </w:pPr>
            <w:r w:rsidRPr="00995A55">
              <w:rPr>
                <w:sz w:val="20"/>
                <w:szCs w:val="20"/>
              </w:rPr>
              <w:t>1</w:t>
            </w:r>
          </w:p>
        </w:tc>
        <w:tc>
          <w:tcPr>
            <w:tcW w:w="1150" w:type="dxa"/>
            <w:shd w:val="clear" w:color="auto" w:fill="auto"/>
            <w:noWrap/>
          </w:tcPr>
          <w:p w:rsidR="00A35466" w:rsidRPr="00995A55" w:rsidRDefault="00A35466" w:rsidP="004F0C61">
            <w:pPr>
              <w:jc w:val="center"/>
              <w:rPr>
                <w:color w:val="000000"/>
                <w:sz w:val="20"/>
                <w:szCs w:val="20"/>
              </w:rPr>
            </w:pPr>
            <w:r w:rsidRPr="00995A55">
              <w:rPr>
                <w:sz w:val="20"/>
                <w:szCs w:val="20"/>
              </w:rPr>
              <w:t>2.2%*</w:t>
            </w:r>
          </w:p>
        </w:tc>
        <w:tc>
          <w:tcPr>
            <w:tcW w:w="1260" w:type="dxa"/>
            <w:shd w:val="clear" w:color="auto" w:fill="auto"/>
            <w:noWrap/>
          </w:tcPr>
          <w:p w:rsidR="00A35466" w:rsidRPr="00995A55" w:rsidRDefault="00A35466" w:rsidP="004F0C61">
            <w:pPr>
              <w:jc w:val="center"/>
              <w:rPr>
                <w:color w:val="000000"/>
                <w:sz w:val="20"/>
                <w:szCs w:val="20"/>
              </w:rPr>
            </w:pPr>
            <w:r w:rsidRPr="00995A55">
              <w:rPr>
                <w:sz w:val="20"/>
                <w:szCs w:val="20"/>
              </w:rPr>
              <w:t>0.0%</w:t>
            </w:r>
          </w:p>
        </w:tc>
      </w:tr>
      <w:tr w:rsidR="00A874AC" w:rsidRPr="00995A55" w:rsidTr="004F0C61">
        <w:trPr>
          <w:trHeight w:val="346"/>
        </w:trPr>
        <w:tc>
          <w:tcPr>
            <w:tcW w:w="2070" w:type="dxa"/>
            <w:shd w:val="clear" w:color="000000" w:fill="D2EAF1"/>
            <w:noWrap/>
            <w:vAlign w:val="center"/>
          </w:tcPr>
          <w:p w:rsidR="00A35466" w:rsidRPr="00995A55" w:rsidRDefault="00A35466" w:rsidP="004F0C61">
            <w:pPr>
              <w:rPr>
                <w:bCs/>
                <w:color w:val="000000"/>
                <w:sz w:val="20"/>
                <w:szCs w:val="20"/>
              </w:rPr>
            </w:pPr>
            <w:r w:rsidRPr="00995A55">
              <w:rPr>
                <w:sz w:val="20"/>
                <w:szCs w:val="20"/>
              </w:rPr>
              <w:t>Custom – 2</w:t>
            </w:r>
          </w:p>
        </w:tc>
        <w:tc>
          <w:tcPr>
            <w:tcW w:w="1170" w:type="dxa"/>
            <w:shd w:val="clear" w:color="000000" w:fill="D2EAF1"/>
            <w:noWrap/>
          </w:tcPr>
          <w:p w:rsidR="00A35466" w:rsidRPr="00995A55" w:rsidRDefault="00A35466" w:rsidP="004F0C61">
            <w:pPr>
              <w:jc w:val="center"/>
              <w:rPr>
                <w:color w:val="000000"/>
                <w:sz w:val="20"/>
                <w:szCs w:val="20"/>
              </w:rPr>
            </w:pPr>
            <w:r w:rsidRPr="00995A55">
              <w:rPr>
                <w:sz w:val="20"/>
                <w:szCs w:val="20"/>
              </w:rPr>
              <w:t>0</w:t>
            </w:r>
          </w:p>
        </w:tc>
        <w:tc>
          <w:tcPr>
            <w:tcW w:w="1193" w:type="dxa"/>
            <w:gridSpan w:val="2"/>
            <w:shd w:val="clear" w:color="000000" w:fill="D2EAF1"/>
            <w:noWrap/>
          </w:tcPr>
          <w:p w:rsidR="00A35466" w:rsidRPr="00995A55" w:rsidRDefault="00A35466" w:rsidP="004F0C61">
            <w:pPr>
              <w:jc w:val="center"/>
              <w:rPr>
                <w:color w:val="000000"/>
                <w:sz w:val="20"/>
                <w:szCs w:val="20"/>
              </w:rPr>
            </w:pPr>
            <w:r w:rsidRPr="00995A55">
              <w:rPr>
                <w:sz w:val="20"/>
                <w:szCs w:val="20"/>
              </w:rPr>
              <w:t>N/A</w:t>
            </w:r>
          </w:p>
        </w:tc>
        <w:tc>
          <w:tcPr>
            <w:tcW w:w="1256" w:type="dxa"/>
            <w:shd w:val="clear" w:color="000000" w:fill="D2EAF1"/>
            <w:noWrap/>
          </w:tcPr>
          <w:p w:rsidR="00A35466" w:rsidRPr="00995A55" w:rsidRDefault="00A35466" w:rsidP="004F0C61">
            <w:pPr>
              <w:jc w:val="center"/>
              <w:rPr>
                <w:color w:val="000000"/>
                <w:sz w:val="20"/>
                <w:szCs w:val="20"/>
              </w:rPr>
            </w:pPr>
            <w:r w:rsidRPr="00995A55">
              <w:rPr>
                <w:sz w:val="20"/>
                <w:szCs w:val="20"/>
              </w:rPr>
              <w:t>0</w:t>
            </w:r>
          </w:p>
        </w:tc>
        <w:tc>
          <w:tcPr>
            <w:tcW w:w="1261" w:type="dxa"/>
            <w:shd w:val="clear" w:color="000000" w:fill="D2EAF1"/>
            <w:noWrap/>
          </w:tcPr>
          <w:p w:rsidR="00A35466" w:rsidRPr="00995A55" w:rsidRDefault="00A35466" w:rsidP="004F0C61">
            <w:pPr>
              <w:jc w:val="center"/>
              <w:rPr>
                <w:color w:val="000000"/>
                <w:sz w:val="20"/>
                <w:szCs w:val="20"/>
              </w:rPr>
            </w:pPr>
            <w:r w:rsidRPr="00995A55">
              <w:rPr>
                <w:sz w:val="20"/>
                <w:szCs w:val="20"/>
              </w:rPr>
              <w:t>0</w:t>
            </w:r>
          </w:p>
        </w:tc>
        <w:tc>
          <w:tcPr>
            <w:tcW w:w="1150" w:type="dxa"/>
            <w:shd w:val="clear" w:color="000000" w:fill="D2EAF1"/>
            <w:noWrap/>
          </w:tcPr>
          <w:p w:rsidR="00A35466" w:rsidRPr="00995A55" w:rsidRDefault="00A35466" w:rsidP="004F0C61">
            <w:pPr>
              <w:jc w:val="center"/>
              <w:rPr>
                <w:color w:val="000000"/>
                <w:sz w:val="20"/>
                <w:szCs w:val="20"/>
              </w:rPr>
            </w:pPr>
            <w:r w:rsidRPr="00995A55">
              <w:rPr>
                <w:sz w:val="20"/>
                <w:szCs w:val="20"/>
              </w:rPr>
              <w:t>0.0%</w:t>
            </w:r>
          </w:p>
        </w:tc>
        <w:tc>
          <w:tcPr>
            <w:tcW w:w="1260" w:type="dxa"/>
            <w:shd w:val="clear" w:color="000000" w:fill="D2EAF1"/>
            <w:noWrap/>
          </w:tcPr>
          <w:p w:rsidR="00A35466" w:rsidRPr="00995A55" w:rsidRDefault="00A35466" w:rsidP="004F0C61">
            <w:pPr>
              <w:jc w:val="center"/>
              <w:rPr>
                <w:color w:val="000000"/>
                <w:sz w:val="20"/>
                <w:szCs w:val="20"/>
              </w:rPr>
            </w:pPr>
            <w:r w:rsidRPr="00995A55">
              <w:rPr>
                <w:sz w:val="20"/>
                <w:szCs w:val="20"/>
              </w:rPr>
              <w:t>0.0%</w:t>
            </w:r>
          </w:p>
        </w:tc>
      </w:tr>
      <w:tr w:rsidR="00E7173E" w:rsidRPr="00995A55" w:rsidTr="00AB3C36">
        <w:trPr>
          <w:trHeight w:val="346"/>
        </w:trPr>
        <w:tc>
          <w:tcPr>
            <w:tcW w:w="2070" w:type="dxa"/>
            <w:shd w:val="clear" w:color="auto" w:fill="auto"/>
            <w:noWrap/>
            <w:vAlign w:val="center"/>
          </w:tcPr>
          <w:p w:rsidR="00A35466" w:rsidRPr="00995A55" w:rsidRDefault="00A35466" w:rsidP="004F0C61">
            <w:pPr>
              <w:rPr>
                <w:bCs/>
                <w:color w:val="000000"/>
                <w:sz w:val="20"/>
                <w:szCs w:val="20"/>
              </w:rPr>
            </w:pPr>
            <w:r w:rsidRPr="00995A55">
              <w:rPr>
                <w:sz w:val="20"/>
                <w:szCs w:val="20"/>
              </w:rPr>
              <w:t>Custom – 3</w:t>
            </w:r>
          </w:p>
        </w:tc>
        <w:tc>
          <w:tcPr>
            <w:tcW w:w="1170" w:type="dxa"/>
            <w:shd w:val="clear" w:color="auto" w:fill="auto"/>
            <w:noWrap/>
          </w:tcPr>
          <w:p w:rsidR="00A35466" w:rsidRPr="00995A55" w:rsidRDefault="00A35466" w:rsidP="004F0C61">
            <w:pPr>
              <w:jc w:val="center"/>
              <w:rPr>
                <w:color w:val="000000"/>
                <w:sz w:val="20"/>
                <w:szCs w:val="20"/>
              </w:rPr>
            </w:pPr>
            <w:r w:rsidRPr="00995A55">
              <w:rPr>
                <w:sz w:val="20"/>
                <w:szCs w:val="20"/>
              </w:rPr>
              <w:t>0</w:t>
            </w:r>
          </w:p>
        </w:tc>
        <w:tc>
          <w:tcPr>
            <w:tcW w:w="1193" w:type="dxa"/>
            <w:gridSpan w:val="2"/>
            <w:shd w:val="clear" w:color="auto" w:fill="auto"/>
            <w:noWrap/>
          </w:tcPr>
          <w:p w:rsidR="00A35466" w:rsidRPr="00995A55" w:rsidRDefault="00A35466" w:rsidP="004F0C61">
            <w:pPr>
              <w:jc w:val="center"/>
              <w:rPr>
                <w:color w:val="000000"/>
                <w:sz w:val="20"/>
                <w:szCs w:val="20"/>
              </w:rPr>
            </w:pPr>
            <w:r w:rsidRPr="00995A55">
              <w:rPr>
                <w:sz w:val="20"/>
                <w:szCs w:val="20"/>
              </w:rPr>
              <w:t>N/A</w:t>
            </w:r>
          </w:p>
        </w:tc>
        <w:tc>
          <w:tcPr>
            <w:tcW w:w="1256" w:type="dxa"/>
            <w:shd w:val="clear" w:color="auto" w:fill="auto"/>
            <w:noWrap/>
          </w:tcPr>
          <w:p w:rsidR="00A35466" w:rsidRPr="00995A55" w:rsidRDefault="00A35466" w:rsidP="004F0C61">
            <w:pPr>
              <w:jc w:val="center"/>
              <w:rPr>
                <w:color w:val="000000"/>
                <w:sz w:val="20"/>
                <w:szCs w:val="20"/>
              </w:rPr>
            </w:pPr>
            <w:r w:rsidRPr="00995A55">
              <w:rPr>
                <w:sz w:val="20"/>
                <w:szCs w:val="20"/>
              </w:rPr>
              <w:t>0</w:t>
            </w:r>
          </w:p>
        </w:tc>
        <w:tc>
          <w:tcPr>
            <w:tcW w:w="1261" w:type="dxa"/>
            <w:shd w:val="clear" w:color="auto" w:fill="auto"/>
            <w:noWrap/>
          </w:tcPr>
          <w:p w:rsidR="00A35466" w:rsidRPr="00995A55" w:rsidRDefault="00A35466" w:rsidP="004F0C61">
            <w:pPr>
              <w:jc w:val="center"/>
              <w:rPr>
                <w:color w:val="000000"/>
                <w:sz w:val="20"/>
                <w:szCs w:val="20"/>
              </w:rPr>
            </w:pPr>
            <w:r w:rsidRPr="00995A55">
              <w:rPr>
                <w:sz w:val="20"/>
                <w:szCs w:val="20"/>
              </w:rPr>
              <w:t>0</w:t>
            </w:r>
          </w:p>
        </w:tc>
        <w:tc>
          <w:tcPr>
            <w:tcW w:w="1150" w:type="dxa"/>
            <w:shd w:val="clear" w:color="auto" w:fill="auto"/>
            <w:noWrap/>
          </w:tcPr>
          <w:p w:rsidR="00A35466" w:rsidRPr="00995A55" w:rsidRDefault="00A35466" w:rsidP="004F0C61">
            <w:pPr>
              <w:jc w:val="center"/>
              <w:rPr>
                <w:color w:val="000000"/>
                <w:sz w:val="20"/>
                <w:szCs w:val="20"/>
              </w:rPr>
            </w:pPr>
            <w:r w:rsidRPr="00995A55">
              <w:rPr>
                <w:sz w:val="20"/>
                <w:szCs w:val="20"/>
              </w:rPr>
              <w:t>0.0%</w:t>
            </w:r>
          </w:p>
        </w:tc>
        <w:tc>
          <w:tcPr>
            <w:tcW w:w="1260" w:type="dxa"/>
            <w:shd w:val="clear" w:color="auto" w:fill="auto"/>
            <w:noWrap/>
          </w:tcPr>
          <w:p w:rsidR="00A35466" w:rsidRPr="00995A55" w:rsidRDefault="00A35466" w:rsidP="004F0C61">
            <w:pPr>
              <w:jc w:val="center"/>
              <w:rPr>
                <w:color w:val="000000"/>
                <w:sz w:val="20"/>
                <w:szCs w:val="20"/>
              </w:rPr>
            </w:pPr>
            <w:r w:rsidRPr="00995A55">
              <w:rPr>
                <w:sz w:val="20"/>
                <w:szCs w:val="20"/>
              </w:rPr>
              <w:t>0.0%</w:t>
            </w:r>
          </w:p>
        </w:tc>
      </w:tr>
      <w:tr w:rsidR="00A874AC" w:rsidRPr="00995A55" w:rsidTr="004F0C61">
        <w:trPr>
          <w:trHeight w:val="346"/>
        </w:trPr>
        <w:tc>
          <w:tcPr>
            <w:tcW w:w="2070" w:type="dxa"/>
            <w:shd w:val="clear" w:color="000000" w:fill="D2EAF1"/>
            <w:noWrap/>
            <w:vAlign w:val="center"/>
          </w:tcPr>
          <w:p w:rsidR="00A35466" w:rsidRPr="00995A55" w:rsidRDefault="00A35466" w:rsidP="004F0C61">
            <w:pPr>
              <w:rPr>
                <w:b/>
                <w:bCs/>
                <w:iCs/>
                <w:color w:val="000000"/>
                <w:sz w:val="20"/>
                <w:szCs w:val="20"/>
              </w:rPr>
            </w:pPr>
            <w:r w:rsidRPr="00995A55">
              <w:rPr>
                <w:sz w:val="20"/>
                <w:szCs w:val="20"/>
              </w:rPr>
              <w:t>HVAC and DHW – 1</w:t>
            </w:r>
          </w:p>
        </w:tc>
        <w:tc>
          <w:tcPr>
            <w:tcW w:w="1170" w:type="dxa"/>
            <w:shd w:val="clear" w:color="000000" w:fill="D2EAF1"/>
            <w:noWrap/>
          </w:tcPr>
          <w:p w:rsidR="00A35466" w:rsidRPr="00995A55" w:rsidRDefault="00A35466" w:rsidP="004F0C61">
            <w:pPr>
              <w:jc w:val="center"/>
              <w:rPr>
                <w:b/>
                <w:bCs/>
                <w:color w:val="000000"/>
                <w:sz w:val="20"/>
                <w:szCs w:val="20"/>
              </w:rPr>
            </w:pPr>
            <w:r w:rsidRPr="00995A55">
              <w:rPr>
                <w:sz w:val="20"/>
                <w:szCs w:val="20"/>
              </w:rPr>
              <w:t>0</w:t>
            </w:r>
          </w:p>
        </w:tc>
        <w:tc>
          <w:tcPr>
            <w:tcW w:w="1193" w:type="dxa"/>
            <w:gridSpan w:val="2"/>
            <w:shd w:val="clear" w:color="000000" w:fill="D2EAF1"/>
            <w:noWrap/>
          </w:tcPr>
          <w:p w:rsidR="00A35466" w:rsidRPr="00995A55" w:rsidRDefault="00A35466" w:rsidP="004F0C61">
            <w:pPr>
              <w:jc w:val="center"/>
              <w:rPr>
                <w:b/>
                <w:bCs/>
                <w:color w:val="000000"/>
                <w:sz w:val="20"/>
                <w:szCs w:val="20"/>
              </w:rPr>
            </w:pPr>
            <w:r w:rsidRPr="00995A55">
              <w:rPr>
                <w:sz w:val="20"/>
                <w:szCs w:val="20"/>
              </w:rPr>
              <w:t>N/A</w:t>
            </w:r>
          </w:p>
        </w:tc>
        <w:tc>
          <w:tcPr>
            <w:tcW w:w="1256" w:type="dxa"/>
            <w:shd w:val="clear" w:color="000000" w:fill="D2EAF1"/>
            <w:noWrap/>
          </w:tcPr>
          <w:p w:rsidR="00A35466" w:rsidRPr="00995A55" w:rsidRDefault="00A35466" w:rsidP="004F0C61">
            <w:pPr>
              <w:jc w:val="center"/>
              <w:rPr>
                <w:b/>
                <w:bCs/>
                <w:color w:val="000000"/>
                <w:sz w:val="20"/>
                <w:szCs w:val="20"/>
              </w:rPr>
            </w:pPr>
            <w:r w:rsidRPr="00995A55">
              <w:rPr>
                <w:sz w:val="20"/>
                <w:szCs w:val="20"/>
              </w:rPr>
              <w:t>0</w:t>
            </w:r>
          </w:p>
        </w:tc>
        <w:tc>
          <w:tcPr>
            <w:tcW w:w="1261" w:type="dxa"/>
            <w:shd w:val="clear" w:color="000000" w:fill="D2EAF1"/>
            <w:noWrap/>
          </w:tcPr>
          <w:p w:rsidR="00A35466" w:rsidRPr="00995A55" w:rsidRDefault="00A35466" w:rsidP="004F0C61">
            <w:pPr>
              <w:jc w:val="center"/>
              <w:rPr>
                <w:b/>
                <w:bCs/>
                <w:color w:val="000000"/>
                <w:sz w:val="20"/>
                <w:szCs w:val="20"/>
              </w:rPr>
            </w:pPr>
            <w:r w:rsidRPr="00995A55">
              <w:rPr>
                <w:sz w:val="20"/>
                <w:szCs w:val="20"/>
              </w:rPr>
              <w:t>0</w:t>
            </w:r>
          </w:p>
        </w:tc>
        <w:tc>
          <w:tcPr>
            <w:tcW w:w="1150" w:type="dxa"/>
            <w:shd w:val="clear" w:color="000000" w:fill="D2EAF1"/>
            <w:noWrap/>
          </w:tcPr>
          <w:p w:rsidR="00A35466" w:rsidRPr="00995A55" w:rsidRDefault="00A35466" w:rsidP="004F0C61">
            <w:pPr>
              <w:jc w:val="center"/>
              <w:rPr>
                <w:b/>
                <w:bCs/>
                <w:color w:val="000000"/>
                <w:sz w:val="20"/>
                <w:szCs w:val="20"/>
              </w:rPr>
            </w:pPr>
            <w:r w:rsidRPr="00995A55">
              <w:rPr>
                <w:sz w:val="20"/>
                <w:szCs w:val="20"/>
              </w:rPr>
              <w:t>0.0%</w:t>
            </w:r>
          </w:p>
        </w:tc>
        <w:tc>
          <w:tcPr>
            <w:tcW w:w="1260" w:type="dxa"/>
            <w:shd w:val="clear" w:color="000000" w:fill="D2EAF1"/>
            <w:noWrap/>
          </w:tcPr>
          <w:p w:rsidR="00A35466" w:rsidRPr="00995A55" w:rsidRDefault="00A35466" w:rsidP="004F0C61">
            <w:pPr>
              <w:jc w:val="center"/>
              <w:rPr>
                <w:b/>
                <w:bCs/>
                <w:color w:val="000000"/>
                <w:sz w:val="20"/>
                <w:szCs w:val="20"/>
              </w:rPr>
            </w:pPr>
            <w:r w:rsidRPr="00995A55">
              <w:rPr>
                <w:sz w:val="20"/>
                <w:szCs w:val="20"/>
              </w:rPr>
              <w:t>0.0%</w:t>
            </w:r>
          </w:p>
        </w:tc>
      </w:tr>
      <w:tr w:rsidR="00E7173E" w:rsidRPr="00995A55" w:rsidTr="00AB3C36">
        <w:trPr>
          <w:trHeight w:val="346"/>
        </w:trPr>
        <w:tc>
          <w:tcPr>
            <w:tcW w:w="2070" w:type="dxa"/>
            <w:shd w:val="clear" w:color="auto" w:fill="auto"/>
            <w:noWrap/>
            <w:vAlign w:val="center"/>
          </w:tcPr>
          <w:p w:rsidR="00A35466" w:rsidRPr="00995A55" w:rsidRDefault="00A35466" w:rsidP="004F0C61">
            <w:pPr>
              <w:rPr>
                <w:b/>
                <w:bCs/>
                <w:iCs/>
                <w:color w:val="000000"/>
                <w:sz w:val="20"/>
                <w:szCs w:val="20"/>
              </w:rPr>
            </w:pPr>
            <w:r w:rsidRPr="00995A55">
              <w:rPr>
                <w:sz w:val="20"/>
                <w:szCs w:val="20"/>
              </w:rPr>
              <w:t>HVAC and DHW – 2</w:t>
            </w:r>
          </w:p>
        </w:tc>
        <w:tc>
          <w:tcPr>
            <w:tcW w:w="1170" w:type="dxa"/>
            <w:shd w:val="clear" w:color="auto" w:fill="auto"/>
            <w:noWrap/>
          </w:tcPr>
          <w:p w:rsidR="00A35466" w:rsidRPr="00995A55" w:rsidRDefault="00A35466" w:rsidP="004F0C61">
            <w:pPr>
              <w:jc w:val="center"/>
              <w:rPr>
                <w:b/>
                <w:bCs/>
                <w:color w:val="000000"/>
                <w:sz w:val="20"/>
                <w:szCs w:val="20"/>
              </w:rPr>
            </w:pPr>
            <w:r w:rsidRPr="00995A55">
              <w:rPr>
                <w:sz w:val="20"/>
                <w:szCs w:val="20"/>
              </w:rPr>
              <w:t>0</w:t>
            </w:r>
          </w:p>
        </w:tc>
        <w:tc>
          <w:tcPr>
            <w:tcW w:w="1193" w:type="dxa"/>
            <w:gridSpan w:val="2"/>
            <w:shd w:val="clear" w:color="auto" w:fill="auto"/>
            <w:noWrap/>
          </w:tcPr>
          <w:p w:rsidR="00A35466" w:rsidRPr="00995A55" w:rsidRDefault="00A35466" w:rsidP="004F0C61">
            <w:pPr>
              <w:jc w:val="center"/>
              <w:rPr>
                <w:b/>
                <w:bCs/>
                <w:color w:val="000000"/>
                <w:sz w:val="20"/>
                <w:szCs w:val="20"/>
              </w:rPr>
            </w:pPr>
            <w:r w:rsidRPr="00995A55">
              <w:rPr>
                <w:sz w:val="20"/>
                <w:szCs w:val="20"/>
              </w:rPr>
              <w:t>N/A</w:t>
            </w:r>
          </w:p>
        </w:tc>
        <w:tc>
          <w:tcPr>
            <w:tcW w:w="1256" w:type="dxa"/>
            <w:shd w:val="clear" w:color="auto" w:fill="auto"/>
            <w:noWrap/>
          </w:tcPr>
          <w:p w:rsidR="00A35466" w:rsidRPr="00995A55" w:rsidRDefault="00A35466" w:rsidP="004F0C61">
            <w:pPr>
              <w:jc w:val="center"/>
              <w:rPr>
                <w:b/>
                <w:bCs/>
                <w:color w:val="000000"/>
                <w:sz w:val="20"/>
                <w:szCs w:val="20"/>
              </w:rPr>
            </w:pPr>
            <w:r w:rsidRPr="00995A55">
              <w:rPr>
                <w:sz w:val="20"/>
                <w:szCs w:val="20"/>
              </w:rPr>
              <w:t>0</w:t>
            </w:r>
          </w:p>
        </w:tc>
        <w:tc>
          <w:tcPr>
            <w:tcW w:w="1261" w:type="dxa"/>
            <w:shd w:val="clear" w:color="auto" w:fill="auto"/>
            <w:noWrap/>
          </w:tcPr>
          <w:p w:rsidR="00A35466" w:rsidRPr="00995A55" w:rsidRDefault="00A35466" w:rsidP="004F0C61">
            <w:pPr>
              <w:jc w:val="center"/>
              <w:rPr>
                <w:b/>
                <w:bCs/>
                <w:color w:val="000000"/>
                <w:sz w:val="20"/>
                <w:szCs w:val="20"/>
              </w:rPr>
            </w:pPr>
            <w:r w:rsidRPr="00995A55">
              <w:rPr>
                <w:sz w:val="20"/>
                <w:szCs w:val="20"/>
              </w:rPr>
              <w:t>0</w:t>
            </w:r>
          </w:p>
        </w:tc>
        <w:tc>
          <w:tcPr>
            <w:tcW w:w="1150" w:type="dxa"/>
            <w:shd w:val="clear" w:color="auto" w:fill="auto"/>
            <w:noWrap/>
          </w:tcPr>
          <w:p w:rsidR="00A35466" w:rsidRPr="00995A55" w:rsidRDefault="00A35466" w:rsidP="004F0C61">
            <w:pPr>
              <w:jc w:val="center"/>
              <w:rPr>
                <w:b/>
                <w:bCs/>
                <w:color w:val="000000"/>
                <w:sz w:val="20"/>
                <w:szCs w:val="20"/>
              </w:rPr>
            </w:pPr>
            <w:r w:rsidRPr="00995A55">
              <w:rPr>
                <w:sz w:val="20"/>
                <w:szCs w:val="20"/>
              </w:rPr>
              <w:t>0.0%</w:t>
            </w:r>
          </w:p>
        </w:tc>
        <w:tc>
          <w:tcPr>
            <w:tcW w:w="1260" w:type="dxa"/>
            <w:shd w:val="clear" w:color="auto" w:fill="auto"/>
            <w:noWrap/>
          </w:tcPr>
          <w:p w:rsidR="00A35466" w:rsidRPr="00995A55" w:rsidRDefault="00A35466" w:rsidP="004F0C61">
            <w:pPr>
              <w:jc w:val="center"/>
              <w:rPr>
                <w:b/>
                <w:bCs/>
                <w:color w:val="000000"/>
                <w:sz w:val="20"/>
                <w:szCs w:val="20"/>
              </w:rPr>
            </w:pPr>
            <w:r w:rsidRPr="00995A55">
              <w:rPr>
                <w:sz w:val="20"/>
                <w:szCs w:val="20"/>
              </w:rPr>
              <w:t>0.0%</w:t>
            </w:r>
          </w:p>
        </w:tc>
      </w:tr>
      <w:tr w:rsidR="00A874AC" w:rsidRPr="00995A55" w:rsidTr="004F0C61">
        <w:trPr>
          <w:trHeight w:val="346"/>
        </w:trPr>
        <w:tc>
          <w:tcPr>
            <w:tcW w:w="2070" w:type="dxa"/>
            <w:shd w:val="clear" w:color="000000" w:fill="D2EAF1"/>
            <w:noWrap/>
            <w:vAlign w:val="center"/>
          </w:tcPr>
          <w:p w:rsidR="00A35466" w:rsidRPr="00995A55" w:rsidRDefault="00A35466" w:rsidP="004F0C61">
            <w:pPr>
              <w:rPr>
                <w:b/>
                <w:bCs/>
                <w:iCs/>
                <w:color w:val="000000"/>
                <w:sz w:val="20"/>
                <w:szCs w:val="20"/>
              </w:rPr>
            </w:pPr>
            <w:r w:rsidRPr="00995A55">
              <w:rPr>
                <w:sz w:val="20"/>
                <w:szCs w:val="20"/>
              </w:rPr>
              <w:t>Appliance Turn-In – 1</w:t>
            </w:r>
          </w:p>
        </w:tc>
        <w:tc>
          <w:tcPr>
            <w:tcW w:w="1170" w:type="dxa"/>
            <w:shd w:val="clear" w:color="000000" w:fill="D2EAF1"/>
            <w:noWrap/>
          </w:tcPr>
          <w:p w:rsidR="00A35466" w:rsidRPr="00995A55" w:rsidRDefault="00A35466" w:rsidP="004F0C61">
            <w:pPr>
              <w:jc w:val="center"/>
              <w:rPr>
                <w:b/>
                <w:bCs/>
                <w:color w:val="000000"/>
                <w:sz w:val="20"/>
                <w:szCs w:val="20"/>
              </w:rPr>
            </w:pPr>
            <w:r w:rsidRPr="00995A55">
              <w:rPr>
                <w:sz w:val="20"/>
                <w:szCs w:val="20"/>
              </w:rPr>
              <w:t>0</w:t>
            </w:r>
          </w:p>
        </w:tc>
        <w:tc>
          <w:tcPr>
            <w:tcW w:w="1193" w:type="dxa"/>
            <w:gridSpan w:val="2"/>
            <w:shd w:val="clear" w:color="000000" w:fill="D2EAF1"/>
            <w:noWrap/>
          </w:tcPr>
          <w:p w:rsidR="00A35466" w:rsidRPr="00995A55" w:rsidRDefault="00A35466" w:rsidP="004F0C61">
            <w:pPr>
              <w:jc w:val="center"/>
              <w:rPr>
                <w:b/>
                <w:bCs/>
                <w:color w:val="000000"/>
                <w:sz w:val="20"/>
                <w:szCs w:val="20"/>
              </w:rPr>
            </w:pPr>
            <w:r w:rsidRPr="00995A55">
              <w:rPr>
                <w:sz w:val="20"/>
                <w:szCs w:val="20"/>
              </w:rPr>
              <w:t>N/A</w:t>
            </w:r>
          </w:p>
        </w:tc>
        <w:tc>
          <w:tcPr>
            <w:tcW w:w="1256" w:type="dxa"/>
            <w:shd w:val="clear" w:color="000000" w:fill="D2EAF1"/>
            <w:noWrap/>
          </w:tcPr>
          <w:p w:rsidR="00A35466" w:rsidRPr="00995A55" w:rsidRDefault="00A35466" w:rsidP="004F0C61">
            <w:pPr>
              <w:jc w:val="center"/>
              <w:rPr>
                <w:b/>
                <w:bCs/>
                <w:color w:val="000000"/>
                <w:sz w:val="20"/>
                <w:szCs w:val="20"/>
              </w:rPr>
            </w:pPr>
            <w:r w:rsidRPr="00995A55">
              <w:rPr>
                <w:sz w:val="20"/>
                <w:szCs w:val="20"/>
              </w:rPr>
              <w:t>0</w:t>
            </w:r>
          </w:p>
        </w:tc>
        <w:tc>
          <w:tcPr>
            <w:tcW w:w="1261" w:type="dxa"/>
            <w:shd w:val="clear" w:color="000000" w:fill="D2EAF1"/>
            <w:noWrap/>
          </w:tcPr>
          <w:p w:rsidR="00A35466" w:rsidRPr="00995A55" w:rsidRDefault="00A35466" w:rsidP="004F0C61">
            <w:pPr>
              <w:jc w:val="center"/>
              <w:rPr>
                <w:b/>
                <w:bCs/>
                <w:color w:val="000000"/>
                <w:sz w:val="20"/>
                <w:szCs w:val="20"/>
              </w:rPr>
            </w:pPr>
            <w:r w:rsidRPr="00995A55">
              <w:rPr>
                <w:sz w:val="20"/>
                <w:szCs w:val="20"/>
              </w:rPr>
              <w:t>0</w:t>
            </w:r>
          </w:p>
        </w:tc>
        <w:tc>
          <w:tcPr>
            <w:tcW w:w="1150" w:type="dxa"/>
            <w:shd w:val="clear" w:color="000000" w:fill="D2EAF1"/>
            <w:noWrap/>
          </w:tcPr>
          <w:p w:rsidR="00A35466" w:rsidRPr="00995A55" w:rsidRDefault="00A35466" w:rsidP="004F0C61">
            <w:pPr>
              <w:jc w:val="center"/>
              <w:rPr>
                <w:b/>
                <w:bCs/>
                <w:color w:val="000000"/>
                <w:sz w:val="20"/>
                <w:szCs w:val="20"/>
              </w:rPr>
            </w:pPr>
            <w:r w:rsidRPr="00995A55">
              <w:rPr>
                <w:sz w:val="20"/>
                <w:szCs w:val="20"/>
              </w:rPr>
              <w:t>0.0%</w:t>
            </w:r>
          </w:p>
        </w:tc>
        <w:tc>
          <w:tcPr>
            <w:tcW w:w="1260" w:type="dxa"/>
            <w:shd w:val="clear" w:color="000000" w:fill="D2EAF1"/>
            <w:noWrap/>
          </w:tcPr>
          <w:p w:rsidR="00A35466" w:rsidRPr="00995A55" w:rsidRDefault="00A35466" w:rsidP="004F0C61">
            <w:pPr>
              <w:jc w:val="center"/>
              <w:rPr>
                <w:b/>
                <w:bCs/>
                <w:color w:val="000000"/>
                <w:sz w:val="20"/>
                <w:szCs w:val="20"/>
              </w:rPr>
            </w:pPr>
            <w:r w:rsidRPr="00995A55">
              <w:rPr>
                <w:sz w:val="20"/>
                <w:szCs w:val="20"/>
              </w:rPr>
              <w:t>0.0%</w:t>
            </w:r>
          </w:p>
        </w:tc>
      </w:tr>
      <w:tr w:rsidR="00E7173E" w:rsidRPr="00995A55" w:rsidTr="00AB3C36">
        <w:trPr>
          <w:trHeight w:val="346"/>
        </w:trPr>
        <w:tc>
          <w:tcPr>
            <w:tcW w:w="2070" w:type="dxa"/>
            <w:shd w:val="clear" w:color="auto" w:fill="auto"/>
            <w:noWrap/>
            <w:vAlign w:val="center"/>
          </w:tcPr>
          <w:p w:rsidR="00A35466" w:rsidRPr="00995A55" w:rsidRDefault="00A35466" w:rsidP="004F0C61">
            <w:pPr>
              <w:rPr>
                <w:b/>
                <w:bCs/>
                <w:iCs/>
                <w:color w:val="000000"/>
                <w:sz w:val="20"/>
                <w:szCs w:val="20"/>
              </w:rPr>
            </w:pPr>
            <w:r w:rsidRPr="00995A55">
              <w:rPr>
                <w:sz w:val="20"/>
                <w:szCs w:val="20"/>
              </w:rPr>
              <w:t>Kitchen/appliances – 1</w:t>
            </w:r>
          </w:p>
        </w:tc>
        <w:tc>
          <w:tcPr>
            <w:tcW w:w="1170" w:type="dxa"/>
            <w:shd w:val="clear" w:color="auto" w:fill="auto"/>
            <w:noWrap/>
          </w:tcPr>
          <w:p w:rsidR="00A35466" w:rsidRPr="00995A55" w:rsidRDefault="00A35466" w:rsidP="004F0C61">
            <w:pPr>
              <w:jc w:val="center"/>
              <w:rPr>
                <w:b/>
                <w:bCs/>
                <w:color w:val="000000"/>
                <w:sz w:val="20"/>
                <w:szCs w:val="20"/>
              </w:rPr>
            </w:pPr>
            <w:r w:rsidRPr="00995A55">
              <w:rPr>
                <w:sz w:val="20"/>
                <w:szCs w:val="20"/>
              </w:rPr>
              <w:t>0</w:t>
            </w:r>
          </w:p>
        </w:tc>
        <w:tc>
          <w:tcPr>
            <w:tcW w:w="1193" w:type="dxa"/>
            <w:gridSpan w:val="2"/>
            <w:shd w:val="clear" w:color="auto" w:fill="auto"/>
            <w:noWrap/>
          </w:tcPr>
          <w:p w:rsidR="00A35466" w:rsidRPr="00995A55" w:rsidRDefault="00A35466" w:rsidP="004F0C61">
            <w:pPr>
              <w:jc w:val="center"/>
              <w:rPr>
                <w:b/>
                <w:bCs/>
                <w:color w:val="000000"/>
                <w:sz w:val="20"/>
                <w:szCs w:val="20"/>
              </w:rPr>
            </w:pPr>
            <w:r w:rsidRPr="00995A55">
              <w:rPr>
                <w:sz w:val="20"/>
                <w:szCs w:val="20"/>
              </w:rPr>
              <w:t>N/A</w:t>
            </w:r>
          </w:p>
        </w:tc>
        <w:tc>
          <w:tcPr>
            <w:tcW w:w="1256" w:type="dxa"/>
            <w:shd w:val="clear" w:color="auto" w:fill="auto"/>
            <w:noWrap/>
          </w:tcPr>
          <w:p w:rsidR="00A35466" w:rsidRPr="00995A55" w:rsidRDefault="00A35466" w:rsidP="004F0C61">
            <w:pPr>
              <w:jc w:val="center"/>
              <w:rPr>
                <w:b/>
                <w:bCs/>
                <w:color w:val="000000"/>
                <w:sz w:val="20"/>
                <w:szCs w:val="20"/>
              </w:rPr>
            </w:pPr>
            <w:r w:rsidRPr="00995A55">
              <w:rPr>
                <w:sz w:val="20"/>
                <w:szCs w:val="20"/>
              </w:rPr>
              <w:t>0</w:t>
            </w:r>
          </w:p>
        </w:tc>
        <w:tc>
          <w:tcPr>
            <w:tcW w:w="1261" w:type="dxa"/>
            <w:shd w:val="clear" w:color="auto" w:fill="auto"/>
            <w:noWrap/>
          </w:tcPr>
          <w:p w:rsidR="00A35466" w:rsidRPr="00995A55" w:rsidRDefault="00A35466" w:rsidP="004F0C61">
            <w:pPr>
              <w:jc w:val="center"/>
              <w:rPr>
                <w:b/>
                <w:bCs/>
                <w:color w:val="000000"/>
                <w:sz w:val="20"/>
                <w:szCs w:val="20"/>
              </w:rPr>
            </w:pPr>
            <w:r w:rsidRPr="00995A55">
              <w:rPr>
                <w:sz w:val="20"/>
                <w:szCs w:val="20"/>
              </w:rPr>
              <w:t>0</w:t>
            </w:r>
          </w:p>
        </w:tc>
        <w:tc>
          <w:tcPr>
            <w:tcW w:w="1150" w:type="dxa"/>
            <w:shd w:val="clear" w:color="auto" w:fill="auto"/>
            <w:noWrap/>
          </w:tcPr>
          <w:p w:rsidR="00A35466" w:rsidRPr="00995A55" w:rsidRDefault="00A35466" w:rsidP="004F0C61">
            <w:pPr>
              <w:jc w:val="center"/>
              <w:rPr>
                <w:b/>
                <w:bCs/>
                <w:color w:val="000000"/>
                <w:sz w:val="20"/>
                <w:szCs w:val="20"/>
              </w:rPr>
            </w:pPr>
            <w:r w:rsidRPr="00995A55">
              <w:rPr>
                <w:sz w:val="20"/>
                <w:szCs w:val="20"/>
              </w:rPr>
              <w:t>0.0%</w:t>
            </w:r>
          </w:p>
        </w:tc>
        <w:tc>
          <w:tcPr>
            <w:tcW w:w="1260" w:type="dxa"/>
            <w:shd w:val="clear" w:color="auto" w:fill="auto"/>
            <w:noWrap/>
          </w:tcPr>
          <w:p w:rsidR="00A35466" w:rsidRPr="00995A55" w:rsidRDefault="00A35466" w:rsidP="004F0C61">
            <w:pPr>
              <w:jc w:val="center"/>
              <w:rPr>
                <w:b/>
                <w:bCs/>
                <w:color w:val="000000"/>
                <w:sz w:val="20"/>
                <w:szCs w:val="20"/>
              </w:rPr>
            </w:pPr>
            <w:r w:rsidRPr="00995A55">
              <w:rPr>
                <w:sz w:val="20"/>
                <w:szCs w:val="20"/>
              </w:rPr>
              <w:t>0.0%</w:t>
            </w:r>
          </w:p>
        </w:tc>
      </w:tr>
      <w:tr w:rsidR="00A874AC" w:rsidRPr="00995A55" w:rsidTr="004F0C61">
        <w:trPr>
          <w:trHeight w:val="346"/>
        </w:trPr>
        <w:tc>
          <w:tcPr>
            <w:tcW w:w="2070" w:type="dxa"/>
            <w:shd w:val="clear" w:color="000000" w:fill="D2EAF1"/>
            <w:noWrap/>
            <w:vAlign w:val="center"/>
          </w:tcPr>
          <w:p w:rsidR="00A35466" w:rsidRPr="00995A55" w:rsidRDefault="00A35466" w:rsidP="004F0C61">
            <w:pPr>
              <w:rPr>
                <w:b/>
                <w:bCs/>
                <w:iCs/>
                <w:color w:val="000000"/>
                <w:sz w:val="20"/>
                <w:szCs w:val="20"/>
              </w:rPr>
            </w:pPr>
            <w:r w:rsidRPr="00995A55">
              <w:rPr>
                <w:b/>
                <w:sz w:val="20"/>
                <w:szCs w:val="20"/>
              </w:rPr>
              <w:t>Program Total</w:t>
            </w:r>
          </w:p>
        </w:tc>
        <w:tc>
          <w:tcPr>
            <w:tcW w:w="1170" w:type="dxa"/>
            <w:shd w:val="clear" w:color="000000" w:fill="D2EAF1"/>
            <w:noWrap/>
          </w:tcPr>
          <w:p w:rsidR="00A35466" w:rsidRPr="00995A55" w:rsidRDefault="00A35466" w:rsidP="004F0C61">
            <w:pPr>
              <w:jc w:val="center"/>
              <w:rPr>
                <w:b/>
                <w:bCs/>
                <w:color w:val="000000"/>
                <w:sz w:val="20"/>
                <w:szCs w:val="20"/>
              </w:rPr>
            </w:pPr>
            <w:r w:rsidRPr="00995A55">
              <w:rPr>
                <w:sz w:val="20"/>
                <w:szCs w:val="20"/>
              </w:rPr>
              <w:t>4</w:t>
            </w:r>
          </w:p>
        </w:tc>
        <w:tc>
          <w:tcPr>
            <w:tcW w:w="1193" w:type="dxa"/>
            <w:gridSpan w:val="2"/>
            <w:shd w:val="clear" w:color="000000" w:fill="D2EAF1"/>
            <w:noWrap/>
          </w:tcPr>
          <w:p w:rsidR="00A35466" w:rsidRPr="00995A55" w:rsidRDefault="00A35466" w:rsidP="004F0C61">
            <w:pPr>
              <w:jc w:val="center"/>
              <w:rPr>
                <w:b/>
                <w:bCs/>
                <w:color w:val="000000"/>
                <w:sz w:val="20"/>
                <w:szCs w:val="20"/>
              </w:rPr>
            </w:pPr>
            <w:r w:rsidRPr="00995A55">
              <w:rPr>
                <w:sz w:val="20"/>
                <w:szCs w:val="20"/>
              </w:rPr>
              <w:t>15.0%</w:t>
            </w:r>
          </w:p>
        </w:tc>
        <w:tc>
          <w:tcPr>
            <w:tcW w:w="1256" w:type="dxa"/>
            <w:shd w:val="clear" w:color="000000" w:fill="D2EAF1"/>
            <w:noWrap/>
          </w:tcPr>
          <w:p w:rsidR="00A35466" w:rsidRPr="00995A55" w:rsidRDefault="00A35466" w:rsidP="004F0C61">
            <w:pPr>
              <w:jc w:val="center"/>
              <w:rPr>
                <w:b/>
                <w:bCs/>
                <w:color w:val="000000"/>
                <w:sz w:val="20"/>
                <w:szCs w:val="20"/>
              </w:rPr>
            </w:pPr>
            <w:r w:rsidRPr="00995A55">
              <w:rPr>
                <w:sz w:val="20"/>
                <w:szCs w:val="20"/>
              </w:rPr>
              <w:t>1</w:t>
            </w:r>
          </w:p>
        </w:tc>
        <w:tc>
          <w:tcPr>
            <w:tcW w:w="1261" w:type="dxa"/>
            <w:shd w:val="clear" w:color="000000" w:fill="D2EAF1"/>
            <w:noWrap/>
          </w:tcPr>
          <w:p w:rsidR="00A35466" w:rsidRPr="00995A55" w:rsidRDefault="00A35466" w:rsidP="004F0C61">
            <w:pPr>
              <w:jc w:val="center"/>
              <w:rPr>
                <w:b/>
                <w:bCs/>
                <w:color w:val="000000"/>
                <w:sz w:val="20"/>
                <w:szCs w:val="20"/>
              </w:rPr>
            </w:pPr>
            <w:r w:rsidRPr="00995A55">
              <w:rPr>
                <w:sz w:val="20"/>
                <w:szCs w:val="20"/>
              </w:rPr>
              <w:t>1</w:t>
            </w:r>
          </w:p>
        </w:tc>
        <w:tc>
          <w:tcPr>
            <w:tcW w:w="1150" w:type="dxa"/>
            <w:shd w:val="clear" w:color="000000" w:fill="D2EAF1"/>
            <w:noWrap/>
          </w:tcPr>
          <w:p w:rsidR="00A35466" w:rsidRPr="00995A55" w:rsidRDefault="00A35466" w:rsidP="004F0C61">
            <w:pPr>
              <w:jc w:val="center"/>
              <w:rPr>
                <w:b/>
                <w:bCs/>
                <w:color w:val="000000"/>
                <w:sz w:val="20"/>
                <w:szCs w:val="20"/>
              </w:rPr>
            </w:pPr>
            <w:r w:rsidRPr="00995A55">
              <w:rPr>
                <w:sz w:val="20"/>
                <w:szCs w:val="20"/>
              </w:rPr>
              <w:t>2.2%</w:t>
            </w:r>
          </w:p>
        </w:tc>
        <w:tc>
          <w:tcPr>
            <w:tcW w:w="1260" w:type="dxa"/>
            <w:shd w:val="clear" w:color="000000" w:fill="D2EAF1"/>
            <w:noWrap/>
          </w:tcPr>
          <w:p w:rsidR="00A35466" w:rsidRPr="00995A55" w:rsidRDefault="00A35466" w:rsidP="004F0C61">
            <w:pPr>
              <w:jc w:val="center"/>
              <w:rPr>
                <w:b/>
                <w:bCs/>
                <w:color w:val="000000"/>
                <w:sz w:val="20"/>
                <w:szCs w:val="20"/>
              </w:rPr>
            </w:pPr>
            <w:r w:rsidRPr="00995A55">
              <w:rPr>
                <w:sz w:val="20"/>
                <w:szCs w:val="20"/>
              </w:rPr>
              <w:t>0.0%</w:t>
            </w:r>
          </w:p>
        </w:tc>
      </w:tr>
    </w:tbl>
    <w:p w:rsidR="00A35466" w:rsidRPr="00995A55" w:rsidRDefault="00A35466" w:rsidP="00995A55"/>
    <w:p w:rsidR="00A35466" w:rsidRPr="003458B1" w:rsidRDefault="00A35466" w:rsidP="00A35466">
      <w:pPr>
        <w:pStyle w:val="AppendixAHeading5"/>
      </w:pPr>
      <w:r w:rsidRPr="003458B1">
        <w:t>Government and Institutional Program</w:t>
      </w:r>
    </w:p>
    <w:p w:rsidR="00A35466" w:rsidRPr="003458B1" w:rsidRDefault="00A35466" w:rsidP="00A35466">
      <w:r w:rsidRPr="003458B1">
        <w:t xml:space="preserve">This program had three categorical components in PY7: equipment incentives, appliance recycling (new for Phase II), and conservation kits to multifamily establishments. </w:t>
      </w:r>
      <w:r>
        <w:t>D</w:t>
      </w:r>
      <w:r w:rsidRPr="003458B1">
        <w:t xml:space="preserve">etailed information </w:t>
      </w:r>
      <w:r>
        <w:t>on</w:t>
      </w:r>
      <w:r w:rsidRPr="003458B1">
        <w:t xml:space="preserve"> the sample design and the achieved precision values for each stratum are shown in </w:t>
      </w:r>
      <w:r w:rsidRPr="003458B1">
        <w:fldChar w:fldCharType="begin"/>
      </w:r>
      <w:r w:rsidRPr="003458B1">
        <w:instrText xml:space="preserve"> REF _Ref440266784 \h  \* MERGEFORMAT </w:instrText>
      </w:r>
      <w:r w:rsidRPr="003458B1">
        <w:fldChar w:fldCharType="separate"/>
      </w:r>
      <w:r w:rsidR="007E0D0D" w:rsidRPr="003458B1">
        <w:t>Table A-</w:t>
      </w:r>
      <w:r w:rsidR="007E0D0D">
        <w:t>81</w:t>
      </w:r>
      <w:r w:rsidRPr="003458B1">
        <w:fldChar w:fldCharType="end"/>
      </w:r>
      <w:r w:rsidRPr="003458B1">
        <w:t>. The GNI projects in PY7 were almost entirely street lighting projects</w:t>
      </w:r>
      <w:r>
        <w:t>,</w:t>
      </w:r>
      <w:r w:rsidRPr="003458B1">
        <w:t xml:space="preserve"> which have peak demand savings of 0, thus skewing the demand precision results.</w:t>
      </w:r>
    </w:p>
    <w:p w:rsidR="00A35466" w:rsidRPr="003458B1" w:rsidRDefault="00A35466" w:rsidP="00A35466"/>
    <w:p w:rsidR="00A35466" w:rsidRPr="003458B1" w:rsidRDefault="00A35466" w:rsidP="00A35466">
      <w:pPr>
        <w:pStyle w:val="Caption"/>
        <w:keepNext/>
        <w:rPr>
          <w:bCs w:val="0"/>
        </w:rPr>
      </w:pPr>
      <w:bookmarkStart w:id="969" w:name="_Ref440266784"/>
      <w:bookmarkStart w:id="970" w:name="_Toc410199435"/>
      <w:bookmarkStart w:id="971" w:name="_Toc431462355"/>
      <w:bookmarkStart w:id="972" w:name="_Toc444269878"/>
      <w:bookmarkStart w:id="973" w:name="_Toc472472490"/>
      <w:bookmarkStart w:id="974" w:name="_Toc476842196"/>
      <w:r w:rsidRPr="003458B1">
        <w:t>Table A-</w:t>
      </w:r>
      <w:fldSimple w:instr=" SEQ Table_A- \* ARABIC ">
        <w:r w:rsidR="00C301D0">
          <w:rPr>
            <w:noProof/>
          </w:rPr>
          <w:t>81</w:t>
        </w:r>
      </w:fldSimple>
      <w:bookmarkEnd w:id="969"/>
      <w:r w:rsidRPr="003458B1">
        <w:t>:</w:t>
      </w:r>
      <w:r w:rsidRPr="003458B1">
        <w:rPr>
          <w:bCs w:val="0"/>
        </w:rPr>
        <w:t xml:space="preserve"> Penn Power’s PY7 Sampling Strategy and Achieved Precision – Government and Institutional Program</w:t>
      </w:r>
      <w:bookmarkEnd w:id="970"/>
      <w:bookmarkEnd w:id="971"/>
      <w:bookmarkEnd w:id="972"/>
      <w:bookmarkEnd w:id="973"/>
      <w:bookmarkEnd w:id="974"/>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75"/>
        <w:gridCol w:w="1170"/>
        <w:gridCol w:w="1156"/>
        <w:gridCol w:w="1265"/>
        <w:gridCol w:w="1264"/>
        <w:gridCol w:w="1265"/>
        <w:gridCol w:w="1265"/>
      </w:tblGrid>
      <w:tr w:rsidR="00A874AC" w:rsidRPr="003458B1" w:rsidTr="004F0C61">
        <w:trPr>
          <w:trHeight w:val="1115"/>
          <w:tblHeader/>
          <w:jc w:val="center"/>
        </w:trPr>
        <w:tc>
          <w:tcPr>
            <w:tcW w:w="1975" w:type="dxa"/>
            <w:shd w:val="clear" w:color="000000" w:fill="448A99"/>
            <w:vAlign w:val="bottom"/>
            <w:hideMark/>
          </w:tcPr>
          <w:p w:rsidR="00A35466" w:rsidRPr="003458B1" w:rsidRDefault="00A35466" w:rsidP="004F0C61">
            <w:pPr>
              <w:rPr>
                <w:b/>
                <w:bCs/>
                <w:color w:val="FFFFFF"/>
                <w:sz w:val="20"/>
                <w:szCs w:val="20"/>
              </w:rPr>
            </w:pPr>
            <w:r w:rsidRPr="003458B1">
              <w:rPr>
                <w:b/>
                <w:bCs/>
                <w:color w:val="FFFFFF"/>
                <w:sz w:val="20"/>
                <w:szCs w:val="20"/>
              </w:rPr>
              <w:t>Stratum</w:t>
            </w:r>
          </w:p>
        </w:tc>
        <w:tc>
          <w:tcPr>
            <w:tcW w:w="1170"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Population</w:t>
            </w:r>
          </w:p>
        </w:tc>
        <w:tc>
          <w:tcPr>
            <w:tcW w:w="1156"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Target Levels of Confidence &amp; Precision</w:t>
            </w:r>
          </w:p>
        </w:tc>
        <w:tc>
          <w:tcPr>
            <w:tcW w:w="1265"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Target Sample Size</w:t>
            </w:r>
          </w:p>
        </w:tc>
        <w:tc>
          <w:tcPr>
            <w:tcW w:w="1264"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Achieved Sample Size</w:t>
            </w:r>
          </w:p>
        </w:tc>
        <w:tc>
          <w:tcPr>
            <w:tcW w:w="1265"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Relative Precision at 85% C.L. for Energy</w:t>
            </w:r>
          </w:p>
        </w:tc>
        <w:tc>
          <w:tcPr>
            <w:tcW w:w="1265" w:type="dxa"/>
            <w:shd w:val="clear" w:color="000000" w:fill="448A99"/>
            <w:vAlign w:val="bottom"/>
            <w:hideMark/>
          </w:tcPr>
          <w:p w:rsidR="00A35466" w:rsidRPr="003458B1" w:rsidRDefault="00A35466"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995A55">
        <w:trPr>
          <w:trHeight w:val="488"/>
          <w:jc w:val="center"/>
        </w:trPr>
        <w:tc>
          <w:tcPr>
            <w:tcW w:w="1975" w:type="dxa"/>
            <w:shd w:val="clear" w:color="000000" w:fill="D2EAF1"/>
            <w:noWrap/>
            <w:vAlign w:val="center"/>
          </w:tcPr>
          <w:p w:rsidR="00A35466" w:rsidRPr="003458B1" w:rsidRDefault="00A35466" w:rsidP="004F0C61">
            <w:pPr>
              <w:rPr>
                <w:bCs/>
                <w:color w:val="000000"/>
                <w:sz w:val="20"/>
                <w:szCs w:val="20"/>
              </w:rPr>
            </w:pPr>
            <w:r>
              <w:rPr>
                <w:sz w:val="20"/>
                <w:szCs w:val="20"/>
              </w:rPr>
              <w:t xml:space="preserve">CFL kits – </w:t>
            </w:r>
            <w:r w:rsidRPr="003458B1">
              <w:rPr>
                <w:sz w:val="20"/>
                <w:szCs w:val="20"/>
              </w:rPr>
              <w:t>1</w:t>
            </w:r>
          </w:p>
        </w:tc>
        <w:tc>
          <w:tcPr>
            <w:tcW w:w="1170"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w:t>
            </w:r>
          </w:p>
        </w:tc>
        <w:tc>
          <w:tcPr>
            <w:tcW w:w="1156" w:type="dxa"/>
            <w:shd w:val="clear" w:color="000000" w:fill="D2EAF1"/>
            <w:noWrap/>
            <w:vAlign w:val="center"/>
          </w:tcPr>
          <w:p w:rsidR="00A35466" w:rsidRPr="003458B1" w:rsidRDefault="00A35466" w:rsidP="004F0C61">
            <w:pPr>
              <w:jc w:val="center"/>
              <w:rPr>
                <w:color w:val="000000"/>
                <w:sz w:val="20"/>
                <w:szCs w:val="20"/>
              </w:rPr>
            </w:pPr>
            <w:r>
              <w:rPr>
                <w:sz w:val="20"/>
                <w:szCs w:val="20"/>
              </w:rPr>
              <w:t>N/A</w:t>
            </w:r>
          </w:p>
        </w:tc>
        <w:tc>
          <w:tcPr>
            <w:tcW w:w="1265"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w:t>
            </w:r>
          </w:p>
        </w:tc>
        <w:tc>
          <w:tcPr>
            <w:tcW w:w="1264"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w:t>
            </w:r>
          </w:p>
        </w:tc>
        <w:tc>
          <w:tcPr>
            <w:tcW w:w="1265"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0.0%</w:t>
            </w:r>
          </w:p>
        </w:tc>
        <w:tc>
          <w:tcPr>
            <w:tcW w:w="1265" w:type="dxa"/>
            <w:shd w:val="clear" w:color="000000" w:fill="D2EAF1"/>
            <w:noWrap/>
            <w:vAlign w:val="center"/>
          </w:tcPr>
          <w:p w:rsidR="00A35466" w:rsidRPr="003458B1" w:rsidRDefault="00A35466" w:rsidP="004F0C61">
            <w:pPr>
              <w:jc w:val="center"/>
              <w:rPr>
                <w:color w:val="000000"/>
                <w:sz w:val="20"/>
                <w:szCs w:val="20"/>
              </w:rPr>
            </w:pPr>
            <w:r w:rsidRPr="003458B1">
              <w:rPr>
                <w:sz w:val="20"/>
                <w:szCs w:val="20"/>
              </w:rPr>
              <w:t>0.0%</w:t>
            </w:r>
          </w:p>
        </w:tc>
      </w:tr>
      <w:tr w:rsidR="00E7173E" w:rsidRPr="003458B1" w:rsidTr="00AB3C36">
        <w:trPr>
          <w:trHeight w:val="488"/>
          <w:jc w:val="center"/>
        </w:trPr>
        <w:tc>
          <w:tcPr>
            <w:tcW w:w="1975" w:type="dxa"/>
            <w:shd w:val="clear" w:color="auto" w:fill="auto"/>
            <w:noWrap/>
            <w:vAlign w:val="center"/>
          </w:tcPr>
          <w:p w:rsidR="00A35466" w:rsidRPr="003458B1" w:rsidRDefault="00A35466" w:rsidP="004F0C61">
            <w:pPr>
              <w:rPr>
                <w:b/>
                <w:bCs/>
                <w:iCs/>
                <w:color w:val="000000"/>
                <w:sz w:val="20"/>
                <w:szCs w:val="20"/>
              </w:rPr>
            </w:pPr>
            <w:r>
              <w:rPr>
                <w:sz w:val="20"/>
                <w:szCs w:val="20"/>
              </w:rPr>
              <w:t>Lighting – c</w:t>
            </w:r>
            <w:r w:rsidRPr="003458B1">
              <w:rPr>
                <w:sz w:val="20"/>
                <w:szCs w:val="20"/>
              </w:rPr>
              <w:t>ertainty</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56" w:type="dxa"/>
            <w:shd w:val="clear" w:color="auto" w:fill="auto"/>
            <w:noWrap/>
            <w:vAlign w:val="center"/>
          </w:tcPr>
          <w:p w:rsidR="00A35466" w:rsidRPr="003458B1" w:rsidRDefault="00A35466" w:rsidP="004F0C61">
            <w:pPr>
              <w:jc w:val="center"/>
              <w:rPr>
                <w:b/>
                <w:bCs/>
                <w:color w:val="000000"/>
                <w:sz w:val="20"/>
                <w:szCs w:val="20"/>
              </w:rPr>
            </w:pPr>
            <w:r>
              <w:rPr>
                <w:sz w:val="20"/>
                <w:szCs w:val="20"/>
              </w:rPr>
              <w:t>N/A</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4"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995A55">
        <w:trPr>
          <w:trHeight w:val="488"/>
          <w:jc w:val="center"/>
        </w:trPr>
        <w:tc>
          <w:tcPr>
            <w:tcW w:w="1975" w:type="dxa"/>
            <w:shd w:val="clear" w:color="auto" w:fill="D2EAF1"/>
            <w:noWrap/>
            <w:vAlign w:val="center"/>
          </w:tcPr>
          <w:p w:rsidR="00A35466" w:rsidRPr="003458B1" w:rsidRDefault="00A35466" w:rsidP="004F0C61">
            <w:pPr>
              <w:rPr>
                <w:sz w:val="20"/>
                <w:szCs w:val="20"/>
              </w:rPr>
            </w:pPr>
            <w:r w:rsidRPr="003458B1">
              <w:rPr>
                <w:sz w:val="20"/>
                <w:szCs w:val="20"/>
              </w:rPr>
              <w:t>Lighting</w:t>
            </w:r>
            <w:r>
              <w:rPr>
                <w:sz w:val="20"/>
                <w:szCs w:val="20"/>
              </w:rPr>
              <w:t xml:space="preserve"> – </w:t>
            </w:r>
            <w:r w:rsidRPr="003458B1">
              <w:rPr>
                <w:sz w:val="20"/>
                <w:szCs w:val="20"/>
              </w:rPr>
              <w:t>2</w:t>
            </w:r>
          </w:p>
        </w:tc>
        <w:tc>
          <w:tcPr>
            <w:tcW w:w="1170"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56" w:type="dxa"/>
            <w:shd w:val="clear" w:color="auto" w:fill="D2EAF1"/>
            <w:noWrap/>
            <w:vAlign w:val="center"/>
          </w:tcPr>
          <w:p w:rsidR="00A35466" w:rsidRPr="003458B1" w:rsidRDefault="00A35466" w:rsidP="004F0C61">
            <w:pPr>
              <w:jc w:val="center"/>
              <w:rPr>
                <w:b/>
                <w:bCs/>
                <w:color w:val="000000"/>
                <w:sz w:val="20"/>
                <w:szCs w:val="20"/>
              </w:rPr>
            </w:pPr>
            <w:r>
              <w:rPr>
                <w:sz w:val="20"/>
                <w:szCs w:val="20"/>
              </w:rPr>
              <w:t>N/A</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4"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r>
      <w:tr w:rsidR="00E7173E" w:rsidRPr="003458B1" w:rsidTr="00AB3C36">
        <w:trPr>
          <w:trHeight w:val="488"/>
          <w:jc w:val="center"/>
        </w:trPr>
        <w:tc>
          <w:tcPr>
            <w:tcW w:w="1975" w:type="dxa"/>
            <w:shd w:val="clear" w:color="auto" w:fill="auto"/>
            <w:noWrap/>
            <w:vAlign w:val="center"/>
          </w:tcPr>
          <w:p w:rsidR="00A35466" w:rsidRPr="003458B1" w:rsidRDefault="00A35466" w:rsidP="004F0C61">
            <w:pPr>
              <w:rPr>
                <w:sz w:val="20"/>
                <w:szCs w:val="20"/>
              </w:rPr>
            </w:pPr>
            <w:r>
              <w:rPr>
                <w:sz w:val="20"/>
                <w:szCs w:val="20"/>
              </w:rPr>
              <w:t xml:space="preserve">Lighting – </w:t>
            </w:r>
            <w:r w:rsidRPr="003458B1">
              <w:rPr>
                <w:sz w:val="20"/>
                <w:szCs w:val="20"/>
              </w:rPr>
              <w:t>3</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35</w:t>
            </w:r>
          </w:p>
        </w:tc>
        <w:tc>
          <w:tcPr>
            <w:tcW w:w="1156"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22.4%</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8</w:t>
            </w:r>
          </w:p>
        </w:tc>
        <w:tc>
          <w:tcPr>
            <w:tcW w:w="1264"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8</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22.4%</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995A55">
        <w:trPr>
          <w:trHeight w:val="488"/>
          <w:jc w:val="center"/>
        </w:trPr>
        <w:tc>
          <w:tcPr>
            <w:tcW w:w="1975" w:type="dxa"/>
            <w:shd w:val="clear" w:color="auto" w:fill="D2EAF1"/>
            <w:noWrap/>
            <w:vAlign w:val="center"/>
          </w:tcPr>
          <w:p w:rsidR="00A35466" w:rsidRPr="003458B1" w:rsidRDefault="00A35466" w:rsidP="004F0C61">
            <w:pPr>
              <w:rPr>
                <w:sz w:val="20"/>
                <w:szCs w:val="20"/>
              </w:rPr>
            </w:pPr>
            <w:r>
              <w:rPr>
                <w:sz w:val="20"/>
                <w:szCs w:val="20"/>
              </w:rPr>
              <w:t xml:space="preserve">Lighting – </w:t>
            </w:r>
            <w:r w:rsidRPr="003458B1">
              <w:rPr>
                <w:sz w:val="20"/>
                <w:szCs w:val="20"/>
              </w:rPr>
              <w:t>4</w:t>
            </w:r>
          </w:p>
        </w:tc>
        <w:tc>
          <w:tcPr>
            <w:tcW w:w="1170"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112</w:t>
            </w:r>
          </w:p>
        </w:tc>
        <w:tc>
          <w:tcPr>
            <w:tcW w:w="1156"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17.3%</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15</w:t>
            </w:r>
          </w:p>
        </w:tc>
        <w:tc>
          <w:tcPr>
            <w:tcW w:w="1264"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15</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17.3%</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r>
      <w:tr w:rsidR="00E7173E" w:rsidRPr="003458B1" w:rsidTr="00AB3C36">
        <w:trPr>
          <w:trHeight w:val="488"/>
          <w:jc w:val="center"/>
        </w:trPr>
        <w:tc>
          <w:tcPr>
            <w:tcW w:w="1975" w:type="dxa"/>
            <w:shd w:val="clear" w:color="auto" w:fill="auto"/>
            <w:noWrap/>
            <w:vAlign w:val="center"/>
          </w:tcPr>
          <w:p w:rsidR="00A35466" w:rsidRPr="003458B1" w:rsidRDefault="00A35466" w:rsidP="004F0C61">
            <w:pPr>
              <w:rPr>
                <w:sz w:val="20"/>
                <w:szCs w:val="20"/>
              </w:rPr>
            </w:pPr>
            <w:r>
              <w:rPr>
                <w:sz w:val="20"/>
                <w:szCs w:val="20"/>
              </w:rPr>
              <w:lastRenderedPageBreak/>
              <w:t>Custom – c</w:t>
            </w:r>
            <w:r w:rsidRPr="003458B1">
              <w:rPr>
                <w:sz w:val="20"/>
                <w:szCs w:val="20"/>
              </w:rPr>
              <w:t>ertainty</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56" w:type="dxa"/>
            <w:shd w:val="clear" w:color="auto" w:fill="auto"/>
            <w:noWrap/>
            <w:vAlign w:val="center"/>
          </w:tcPr>
          <w:p w:rsidR="00A35466" w:rsidRPr="003458B1" w:rsidRDefault="00A35466" w:rsidP="004F0C61">
            <w:pPr>
              <w:jc w:val="center"/>
              <w:rPr>
                <w:b/>
                <w:bCs/>
                <w:color w:val="000000"/>
                <w:sz w:val="20"/>
                <w:szCs w:val="20"/>
              </w:rPr>
            </w:pPr>
            <w:r>
              <w:rPr>
                <w:sz w:val="20"/>
                <w:szCs w:val="20"/>
              </w:rPr>
              <w:t>N/A</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4"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995A55">
        <w:trPr>
          <w:trHeight w:val="488"/>
          <w:jc w:val="center"/>
        </w:trPr>
        <w:tc>
          <w:tcPr>
            <w:tcW w:w="1975" w:type="dxa"/>
            <w:shd w:val="clear" w:color="auto" w:fill="D2EAF1"/>
            <w:noWrap/>
            <w:vAlign w:val="center"/>
          </w:tcPr>
          <w:p w:rsidR="00A35466" w:rsidRPr="003458B1" w:rsidRDefault="00A35466" w:rsidP="004F0C61">
            <w:pPr>
              <w:rPr>
                <w:sz w:val="20"/>
                <w:szCs w:val="20"/>
              </w:rPr>
            </w:pPr>
            <w:r>
              <w:rPr>
                <w:sz w:val="20"/>
                <w:szCs w:val="20"/>
              </w:rPr>
              <w:t xml:space="preserve">Custom – </w:t>
            </w:r>
            <w:r w:rsidRPr="003458B1">
              <w:rPr>
                <w:sz w:val="20"/>
                <w:szCs w:val="20"/>
              </w:rPr>
              <w:t>2</w:t>
            </w:r>
          </w:p>
        </w:tc>
        <w:tc>
          <w:tcPr>
            <w:tcW w:w="1170"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56" w:type="dxa"/>
            <w:shd w:val="clear" w:color="auto" w:fill="D2EAF1"/>
            <w:noWrap/>
            <w:vAlign w:val="center"/>
          </w:tcPr>
          <w:p w:rsidR="00A35466" w:rsidRPr="003458B1" w:rsidRDefault="00A35466" w:rsidP="004F0C61">
            <w:pPr>
              <w:jc w:val="center"/>
              <w:rPr>
                <w:b/>
                <w:bCs/>
                <w:color w:val="000000"/>
                <w:sz w:val="20"/>
                <w:szCs w:val="20"/>
              </w:rPr>
            </w:pPr>
            <w:r>
              <w:rPr>
                <w:sz w:val="20"/>
                <w:szCs w:val="20"/>
              </w:rPr>
              <w:t>N/A</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4"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r>
      <w:tr w:rsidR="00E7173E" w:rsidRPr="003458B1" w:rsidTr="00AB3C36">
        <w:trPr>
          <w:trHeight w:val="488"/>
          <w:jc w:val="center"/>
        </w:trPr>
        <w:tc>
          <w:tcPr>
            <w:tcW w:w="1975" w:type="dxa"/>
            <w:shd w:val="clear" w:color="auto" w:fill="auto"/>
            <w:noWrap/>
            <w:vAlign w:val="center"/>
          </w:tcPr>
          <w:p w:rsidR="00A35466" w:rsidRPr="003458B1" w:rsidRDefault="00A35466" w:rsidP="004F0C61">
            <w:pPr>
              <w:rPr>
                <w:sz w:val="20"/>
                <w:szCs w:val="20"/>
              </w:rPr>
            </w:pPr>
            <w:r>
              <w:rPr>
                <w:sz w:val="20"/>
                <w:szCs w:val="20"/>
              </w:rPr>
              <w:t xml:space="preserve">Custom – </w:t>
            </w:r>
            <w:r w:rsidRPr="003458B1">
              <w:rPr>
                <w:sz w:val="20"/>
                <w:szCs w:val="20"/>
              </w:rPr>
              <w:t>3</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56" w:type="dxa"/>
            <w:shd w:val="clear" w:color="auto" w:fill="auto"/>
            <w:noWrap/>
            <w:vAlign w:val="center"/>
          </w:tcPr>
          <w:p w:rsidR="00A35466" w:rsidRPr="003458B1" w:rsidRDefault="00A35466" w:rsidP="004F0C61">
            <w:pPr>
              <w:jc w:val="center"/>
              <w:rPr>
                <w:b/>
                <w:bCs/>
                <w:color w:val="000000"/>
                <w:sz w:val="20"/>
                <w:szCs w:val="20"/>
              </w:rPr>
            </w:pPr>
            <w:r>
              <w:rPr>
                <w:sz w:val="20"/>
                <w:szCs w:val="20"/>
              </w:rPr>
              <w:t>N/A</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4"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995A55">
        <w:trPr>
          <w:trHeight w:val="488"/>
          <w:jc w:val="center"/>
        </w:trPr>
        <w:tc>
          <w:tcPr>
            <w:tcW w:w="1975" w:type="dxa"/>
            <w:shd w:val="clear" w:color="auto" w:fill="D2EAF1"/>
            <w:noWrap/>
            <w:vAlign w:val="center"/>
          </w:tcPr>
          <w:p w:rsidR="00A35466" w:rsidRPr="003458B1" w:rsidRDefault="00A35466" w:rsidP="004F0C61">
            <w:pPr>
              <w:rPr>
                <w:sz w:val="20"/>
                <w:szCs w:val="20"/>
              </w:rPr>
            </w:pPr>
            <w:r>
              <w:rPr>
                <w:sz w:val="20"/>
                <w:szCs w:val="20"/>
              </w:rPr>
              <w:t xml:space="preserve">HVAC and DHW – </w:t>
            </w:r>
            <w:r w:rsidRPr="003458B1">
              <w:rPr>
                <w:sz w:val="20"/>
                <w:szCs w:val="20"/>
              </w:rPr>
              <w:t>1</w:t>
            </w:r>
          </w:p>
        </w:tc>
        <w:tc>
          <w:tcPr>
            <w:tcW w:w="1170"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56" w:type="dxa"/>
            <w:shd w:val="clear" w:color="auto" w:fill="D2EAF1"/>
            <w:noWrap/>
            <w:vAlign w:val="center"/>
          </w:tcPr>
          <w:p w:rsidR="00A35466" w:rsidRPr="003458B1" w:rsidRDefault="00A35466" w:rsidP="004F0C61">
            <w:pPr>
              <w:jc w:val="center"/>
              <w:rPr>
                <w:b/>
                <w:bCs/>
                <w:color w:val="000000"/>
                <w:sz w:val="20"/>
                <w:szCs w:val="20"/>
              </w:rPr>
            </w:pPr>
            <w:r>
              <w:rPr>
                <w:sz w:val="20"/>
                <w:szCs w:val="20"/>
              </w:rPr>
              <w:t>N/A</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4"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r>
      <w:tr w:rsidR="00E7173E" w:rsidRPr="003458B1" w:rsidTr="00AB3C36">
        <w:trPr>
          <w:trHeight w:val="488"/>
          <w:jc w:val="center"/>
        </w:trPr>
        <w:tc>
          <w:tcPr>
            <w:tcW w:w="1975" w:type="dxa"/>
            <w:shd w:val="clear" w:color="auto" w:fill="auto"/>
            <w:noWrap/>
            <w:vAlign w:val="center"/>
          </w:tcPr>
          <w:p w:rsidR="00A35466" w:rsidRPr="003458B1" w:rsidRDefault="00A35466" w:rsidP="004F0C61">
            <w:pPr>
              <w:rPr>
                <w:sz w:val="20"/>
                <w:szCs w:val="20"/>
              </w:rPr>
            </w:pPr>
            <w:r>
              <w:rPr>
                <w:sz w:val="20"/>
                <w:szCs w:val="20"/>
              </w:rPr>
              <w:t xml:space="preserve">HVAC and DHW – </w:t>
            </w:r>
            <w:r w:rsidRPr="003458B1">
              <w:rPr>
                <w:sz w:val="20"/>
                <w:szCs w:val="20"/>
              </w:rPr>
              <w:t>2</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56" w:type="dxa"/>
            <w:shd w:val="clear" w:color="auto" w:fill="auto"/>
            <w:noWrap/>
            <w:vAlign w:val="center"/>
          </w:tcPr>
          <w:p w:rsidR="00A35466" w:rsidRPr="003458B1" w:rsidRDefault="00A35466" w:rsidP="004F0C61">
            <w:pPr>
              <w:jc w:val="center"/>
              <w:rPr>
                <w:b/>
                <w:bCs/>
                <w:color w:val="000000"/>
                <w:sz w:val="20"/>
                <w:szCs w:val="20"/>
              </w:rPr>
            </w:pPr>
            <w:r>
              <w:rPr>
                <w:sz w:val="20"/>
                <w:szCs w:val="20"/>
              </w:rPr>
              <w:t>N/A</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4"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995A55">
        <w:trPr>
          <w:trHeight w:val="488"/>
          <w:jc w:val="center"/>
        </w:trPr>
        <w:tc>
          <w:tcPr>
            <w:tcW w:w="1975" w:type="dxa"/>
            <w:shd w:val="clear" w:color="auto" w:fill="D2EAF1"/>
            <w:noWrap/>
            <w:vAlign w:val="center"/>
          </w:tcPr>
          <w:p w:rsidR="00A35466" w:rsidRPr="003458B1" w:rsidRDefault="00A35466" w:rsidP="004F0C61">
            <w:pPr>
              <w:rPr>
                <w:sz w:val="20"/>
                <w:szCs w:val="20"/>
              </w:rPr>
            </w:pPr>
            <w:r>
              <w:rPr>
                <w:sz w:val="20"/>
                <w:szCs w:val="20"/>
              </w:rPr>
              <w:t xml:space="preserve">Appliance Turn-In – </w:t>
            </w:r>
            <w:r w:rsidRPr="003458B1">
              <w:rPr>
                <w:sz w:val="20"/>
                <w:szCs w:val="20"/>
              </w:rPr>
              <w:t>1</w:t>
            </w:r>
          </w:p>
        </w:tc>
        <w:tc>
          <w:tcPr>
            <w:tcW w:w="1170"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56" w:type="dxa"/>
            <w:shd w:val="clear" w:color="auto" w:fill="D2EAF1"/>
            <w:noWrap/>
            <w:vAlign w:val="center"/>
          </w:tcPr>
          <w:p w:rsidR="00A35466" w:rsidRPr="003458B1" w:rsidRDefault="00A35466" w:rsidP="004F0C61">
            <w:pPr>
              <w:jc w:val="center"/>
              <w:rPr>
                <w:b/>
                <w:bCs/>
                <w:color w:val="000000"/>
                <w:sz w:val="20"/>
                <w:szCs w:val="20"/>
              </w:rPr>
            </w:pPr>
            <w:r>
              <w:rPr>
                <w:sz w:val="20"/>
                <w:szCs w:val="20"/>
              </w:rPr>
              <w:t>N/A</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4"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sz w:val="20"/>
                <w:szCs w:val="20"/>
              </w:rPr>
              <w:t>0.0%</w:t>
            </w:r>
          </w:p>
        </w:tc>
      </w:tr>
      <w:tr w:rsidR="00E7173E" w:rsidRPr="003458B1" w:rsidTr="00AB3C36">
        <w:trPr>
          <w:trHeight w:val="488"/>
          <w:jc w:val="center"/>
        </w:trPr>
        <w:tc>
          <w:tcPr>
            <w:tcW w:w="1975" w:type="dxa"/>
            <w:shd w:val="clear" w:color="auto" w:fill="auto"/>
            <w:noWrap/>
            <w:vAlign w:val="center"/>
          </w:tcPr>
          <w:p w:rsidR="00A35466" w:rsidRPr="003458B1" w:rsidRDefault="00A35466" w:rsidP="004F0C61">
            <w:pPr>
              <w:rPr>
                <w:sz w:val="20"/>
                <w:szCs w:val="20"/>
              </w:rPr>
            </w:pPr>
            <w:r>
              <w:rPr>
                <w:sz w:val="20"/>
                <w:szCs w:val="20"/>
              </w:rPr>
              <w:t>Kitchen/appliances – 1</w:t>
            </w:r>
          </w:p>
        </w:tc>
        <w:tc>
          <w:tcPr>
            <w:tcW w:w="1170"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156" w:type="dxa"/>
            <w:shd w:val="clear" w:color="auto" w:fill="auto"/>
            <w:noWrap/>
            <w:vAlign w:val="center"/>
          </w:tcPr>
          <w:p w:rsidR="00A35466" w:rsidRPr="003458B1" w:rsidRDefault="00A35466" w:rsidP="004F0C61">
            <w:pPr>
              <w:jc w:val="center"/>
              <w:rPr>
                <w:b/>
                <w:bCs/>
                <w:color w:val="000000"/>
                <w:sz w:val="20"/>
                <w:szCs w:val="20"/>
              </w:rPr>
            </w:pPr>
            <w:r>
              <w:rPr>
                <w:sz w:val="20"/>
                <w:szCs w:val="20"/>
              </w:rPr>
              <w:t>N/A</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4"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c>
          <w:tcPr>
            <w:tcW w:w="1265" w:type="dxa"/>
            <w:shd w:val="clear" w:color="auto" w:fill="auto"/>
            <w:noWrap/>
            <w:vAlign w:val="center"/>
          </w:tcPr>
          <w:p w:rsidR="00A35466" w:rsidRPr="003458B1" w:rsidRDefault="00A35466" w:rsidP="004F0C61">
            <w:pPr>
              <w:jc w:val="center"/>
              <w:rPr>
                <w:b/>
                <w:bCs/>
                <w:color w:val="000000"/>
                <w:sz w:val="20"/>
                <w:szCs w:val="20"/>
              </w:rPr>
            </w:pPr>
            <w:r w:rsidRPr="003458B1">
              <w:rPr>
                <w:sz w:val="20"/>
                <w:szCs w:val="20"/>
              </w:rPr>
              <w:t>0.0%</w:t>
            </w:r>
          </w:p>
        </w:tc>
      </w:tr>
      <w:tr w:rsidR="00A874AC" w:rsidRPr="003458B1" w:rsidTr="00995A55">
        <w:trPr>
          <w:trHeight w:val="488"/>
          <w:jc w:val="center"/>
        </w:trPr>
        <w:tc>
          <w:tcPr>
            <w:tcW w:w="1975" w:type="dxa"/>
            <w:shd w:val="clear" w:color="auto" w:fill="D2EAF1"/>
            <w:noWrap/>
            <w:vAlign w:val="center"/>
          </w:tcPr>
          <w:p w:rsidR="00A35466" w:rsidRPr="003458B1" w:rsidRDefault="00A35466" w:rsidP="004F0C61">
            <w:pPr>
              <w:rPr>
                <w:sz w:val="20"/>
                <w:szCs w:val="20"/>
              </w:rPr>
            </w:pPr>
            <w:r w:rsidRPr="003458B1">
              <w:rPr>
                <w:b/>
                <w:sz w:val="20"/>
                <w:szCs w:val="20"/>
              </w:rPr>
              <w:t>Program Total</w:t>
            </w:r>
          </w:p>
        </w:tc>
        <w:tc>
          <w:tcPr>
            <w:tcW w:w="1170" w:type="dxa"/>
            <w:shd w:val="clear" w:color="auto" w:fill="D2EAF1"/>
            <w:noWrap/>
            <w:vAlign w:val="center"/>
          </w:tcPr>
          <w:p w:rsidR="00A35466" w:rsidRPr="003458B1" w:rsidRDefault="00A35466" w:rsidP="004F0C61">
            <w:pPr>
              <w:jc w:val="center"/>
              <w:rPr>
                <w:b/>
                <w:bCs/>
                <w:color w:val="000000"/>
                <w:sz w:val="20"/>
                <w:szCs w:val="20"/>
              </w:rPr>
            </w:pPr>
            <w:r w:rsidRPr="003458B1">
              <w:rPr>
                <w:b/>
                <w:sz w:val="20"/>
                <w:szCs w:val="20"/>
              </w:rPr>
              <w:t>147</w:t>
            </w:r>
          </w:p>
        </w:tc>
        <w:tc>
          <w:tcPr>
            <w:tcW w:w="1156" w:type="dxa"/>
            <w:shd w:val="clear" w:color="auto" w:fill="D2EAF1"/>
            <w:noWrap/>
            <w:vAlign w:val="center"/>
          </w:tcPr>
          <w:p w:rsidR="00A35466" w:rsidRPr="003458B1" w:rsidRDefault="00A35466" w:rsidP="004F0C61">
            <w:pPr>
              <w:jc w:val="center"/>
              <w:rPr>
                <w:b/>
                <w:bCs/>
                <w:color w:val="000000"/>
                <w:sz w:val="20"/>
                <w:szCs w:val="20"/>
              </w:rPr>
            </w:pPr>
            <w:r w:rsidRPr="003458B1">
              <w:rPr>
                <w:b/>
                <w:sz w:val="20"/>
                <w:szCs w:val="20"/>
              </w:rPr>
              <w:t>13.7%</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b/>
                <w:sz w:val="20"/>
                <w:szCs w:val="20"/>
              </w:rPr>
              <w:t>23</w:t>
            </w:r>
          </w:p>
        </w:tc>
        <w:tc>
          <w:tcPr>
            <w:tcW w:w="1264" w:type="dxa"/>
            <w:shd w:val="clear" w:color="auto" w:fill="D2EAF1"/>
            <w:noWrap/>
            <w:vAlign w:val="center"/>
          </w:tcPr>
          <w:p w:rsidR="00A35466" w:rsidRPr="003458B1" w:rsidRDefault="00A35466" w:rsidP="004F0C61">
            <w:pPr>
              <w:jc w:val="center"/>
              <w:rPr>
                <w:b/>
                <w:bCs/>
                <w:color w:val="000000"/>
                <w:sz w:val="20"/>
                <w:szCs w:val="20"/>
              </w:rPr>
            </w:pPr>
            <w:r w:rsidRPr="003458B1">
              <w:rPr>
                <w:b/>
                <w:sz w:val="20"/>
                <w:szCs w:val="20"/>
              </w:rPr>
              <w:t>23</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b/>
                <w:sz w:val="20"/>
                <w:szCs w:val="20"/>
              </w:rPr>
              <w:t>13.7%</w:t>
            </w:r>
          </w:p>
        </w:tc>
        <w:tc>
          <w:tcPr>
            <w:tcW w:w="1265" w:type="dxa"/>
            <w:shd w:val="clear" w:color="auto" w:fill="D2EAF1"/>
            <w:noWrap/>
            <w:vAlign w:val="center"/>
          </w:tcPr>
          <w:p w:rsidR="00A35466" w:rsidRPr="003458B1" w:rsidRDefault="00A35466" w:rsidP="004F0C61">
            <w:pPr>
              <w:jc w:val="center"/>
              <w:rPr>
                <w:b/>
                <w:bCs/>
                <w:color w:val="000000"/>
                <w:sz w:val="20"/>
                <w:szCs w:val="20"/>
              </w:rPr>
            </w:pPr>
            <w:r w:rsidRPr="003458B1">
              <w:rPr>
                <w:b/>
                <w:sz w:val="20"/>
                <w:szCs w:val="20"/>
              </w:rPr>
              <w:t>100.0%</w:t>
            </w:r>
          </w:p>
        </w:tc>
      </w:tr>
    </w:tbl>
    <w:p w:rsidR="00A35466" w:rsidRPr="003458B1" w:rsidRDefault="00A35466" w:rsidP="00A35466"/>
    <w:p w:rsidR="00A35466" w:rsidRPr="003B2BD3" w:rsidRDefault="00A35466" w:rsidP="00A35466">
      <w:pPr>
        <w:pStyle w:val="AppendixAHeading4"/>
        <w:rPr>
          <w:rFonts w:eastAsia="Calibri"/>
        </w:rPr>
      </w:pPr>
      <w:bookmarkStart w:id="975" w:name="_Ref408508592"/>
      <w:bookmarkStart w:id="976" w:name="_Toc408557498"/>
      <w:r w:rsidRPr="003B2BD3">
        <w:rPr>
          <w:rFonts w:eastAsia="Calibri"/>
        </w:rPr>
        <w:t>Ride-Along Site Inspections</w:t>
      </w:r>
      <w:bookmarkEnd w:id="975"/>
      <w:bookmarkEnd w:id="976"/>
    </w:p>
    <w:p w:rsidR="00A35466" w:rsidRPr="003B2BD3" w:rsidRDefault="00301BD7" w:rsidP="00A35466">
      <w:pPr>
        <w:spacing w:after="120"/>
      </w:pPr>
      <w:r>
        <w:rPr>
          <w:highlight w:val="yellow"/>
        </w:rPr>
        <w:fldChar w:fldCharType="begin"/>
      </w:r>
      <w:r>
        <w:instrText xml:space="preserve"> REF _Ref440266973 \h </w:instrText>
      </w:r>
      <w:r>
        <w:rPr>
          <w:highlight w:val="yellow"/>
        </w:rPr>
      </w:r>
      <w:r>
        <w:rPr>
          <w:highlight w:val="yellow"/>
        </w:rPr>
        <w:fldChar w:fldCharType="separate"/>
      </w:r>
      <w:r w:rsidR="00A874AC" w:rsidRPr="00561ABC">
        <w:t>Table A-</w:t>
      </w:r>
      <w:r w:rsidR="00A874AC">
        <w:rPr>
          <w:noProof/>
        </w:rPr>
        <w:t>82</w:t>
      </w:r>
      <w:r>
        <w:rPr>
          <w:highlight w:val="yellow"/>
        </w:rPr>
        <w:fldChar w:fldCharType="end"/>
      </w:r>
      <w:r w:rsidR="00A35466" w:rsidRPr="003B2BD3">
        <w:t xml:space="preserve"> summarizes the SWE </w:t>
      </w:r>
      <w:r w:rsidR="00A35466" w:rsidRPr="003B2BD3">
        <w:rPr>
          <w:color w:val="000000"/>
        </w:rPr>
        <w:t xml:space="preserve">Team’s </w:t>
      </w:r>
      <w:r w:rsidR="00A35466" w:rsidRPr="003B2BD3">
        <w:t xml:space="preserve">PY7 ride-along site inspections of Penn Power’s non-residential project installations. </w:t>
      </w:r>
      <w:r w:rsidR="00B27FAB">
        <w:t>For PY7, all Penn Power</w:t>
      </w:r>
      <w:r w:rsidR="00B27FAB" w:rsidRPr="003B2BD3">
        <w:t xml:space="preserve"> PY7 site inspection findings are categorized </w:t>
      </w:r>
      <w:r w:rsidR="00B27FAB">
        <w:t>as</w:t>
      </w:r>
      <w:r w:rsidR="00A35466" w:rsidRPr="003B2BD3">
        <w:t xml:space="preserve">: </w:t>
      </w:r>
    </w:p>
    <w:p w:rsidR="00A35466" w:rsidRPr="003B2BD3" w:rsidRDefault="00A35466" w:rsidP="00E646C9">
      <w:pPr>
        <w:numPr>
          <w:ilvl w:val="0"/>
          <w:numId w:val="37"/>
        </w:numPr>
        <w:autoSpaceDE w:val="0"/>
        <w:autoSpaceDN w:val="0"/>
        <w:adjustRightInd w:val="0"/>
        <w:ind w:left="360"/>
        <w:rPr>
          <w:rFonts w:cs="Calibri"/>
          <w:color w:val="000000"/>
          <w:szCs w:val="20"/>
        </w:rPr>
      </w:pPr>
      <w:r w:rsidRPr="003B2BD3">
        <w:rPr>
          <w:rFonts w:cs="Calibri"/>
          <w:color w:val="000000"/>
          <w:szCs w:val="20"/>
        </w:rPr>
        <w:t xml:space="preserve">Evaluation (Eval) findings are associated with ride-along site inspections and may reflect site activities or the evaluation contractor’s savings calculations or reports. </w:t>
      </w:r>
    </w:p>
    <w:p w:rsidR="00A35466" w:rsidRDefault="00A35466" w:rsidP="00995A55">
      <w:pPr>
        <w:autoSpaceDE w:val="0"/>
        <w:autoSpaceDN w:val="0"/>
        <w:adjustRightInd w:val="0"/>
        <w:rPr>
          <w:rFonts w:cs="Calibri"/>
          <w:color w:val="000000"/>
          <w:szCs w:val="20"/>
        </w:rPr>
      </w:pPr>
    </w:p>
    <w:p w:rsidR="00561ABC" w:rsidRPr="00561ABC" w:rsidRDefault="00561ABC" w:rsidP="00561ABC">
      <w:pPr>
        <w:pStyle w:val="Caption"/>
        <w:rPr>
          <w:bCs w:val="0"/>
        </w:rPr>
      </w:pPr>
      <w:bookmarkStart w:id="977" w:name="_Ref440266973"/>
      <w:bookmarkStart w:id="978" w:name="_Toc410199436"/>
      <w:bookmarkStart w:id="979" w:name="_Toc431462356"/>
      <w:bookmarkStart w:id="980" w:name="_Toc444269879"/>
      <w:bookmarkStart w:id="981" w:name="_Toc472472491"/>
      <w:bookmarkStart w:id="982" w:name="_Toc476842197"/>
      <w:r w:rsidRPr="00561ABC">
        <w:t>Table A-</w:t>
      </w:r>
      <w:fldSimple w:instr=" SEQ Table_A- \* ARABIC ">
        <w:r w:rsidR="00C301D0">
          <w:rPr>
            <w:noProof/>
          </w:rPr>
          <w:t>82</w:t>
        </w:r>
      </w:fldSimple>
      <w:bookmarkEnd w:id="977"/>
      <w:r w:rsidRPr="00561ABC">
        <w:t>:</w:t>
      </w:r>
      <w:r w:rsidRPr="00561ABC">
        <w:rPr>
          <w:bCs w:val="0"/>
        </w:rPr>
        <w:t xml:space="preserve"> Penn Power’s PY7 Non-Residential Site Inspection Findings</w:t>
      </w:r>
      <w:bookmarkEnd w:id="978"/>
      <w:bookmarkEnd w:id="979"/>
      <w:bookmarkEnd w:id="980"/>
      <w:bookmarkEnd w:id="981"/>
      <w:bookmarkEnd w:id="982"/>
    </w:p>
    <w:tbl>
      <w:tblPr>
        <w:tblW w:w="9350" w:type="dxa"/>
        <w:tblInd w:w="10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070"/>
        <w:gridCol w:w="1198"/>
        <w:gridCol w:w="2492"/>
        <w:gridCol w:w="990"/>
        <w:gridCol w:w="3600"/>
      </w:tblGrid>
      <w:tr w:rsidR="00A874AC" w:rsidRPr="004B56B4" w:rsidTr="00FD4D90">
        <w:trPr>
          <w:trHeight w:val="300"/>
          <w:tblHeader/>
        </w:trPr>
        <w:tc>
          <w:tcPr>
            <w:tcW w:w="1070" w:type="dxa"/>
            <w:shd w:val="clear" w:color="auto" w:fill="448A99"/>
            <w:noWrap/>
            <w:vAlign w:val="bottom"/>
            <w:hideMark/>
          </w:tcPr>
          <w:p w:rsidR="00561ABC" w:rsidRPr="004B56B4" w:rsidRDefault="00561ABC" w:rsidP="004F0C61">
            <w:pPr>
              <w:jc w:val="left"/>
              <w:rPr>
                <w:b/>
                <w:bCs/>
                <w:color w:val="FFFFFF"/>
                <w:sz w:val="20"/>
                <w:szCs w:val="18"/>
              </w:rPr>
            </w:pPr>
            <w:r w:rsidRPr="004B56B4">
              <w:rPr>
                <w:b/>
                <w:bCs/>
                <w:color w:val="FFFFFF"/>
                <w:sz w:val="20"/>
                <w:szCs w:val="18"/>
              </w:rPr>
              <w:t>Project ID</w:t>
            </w:r>
          </w:p>
        </w:tc>
        <w:tc>
          <w:tcPr>
            <w:tcW w:w="1198" w:type="dxa"/>
            <w:shd w:val="clear" w:color="auto" w:fill="448A99"/>
            <w:noWrap/>
            <w:vAlign w:val="bottom"/>
            <w:hideMark/>
          </w:tcPr>
          <w:p w:rsidR="00561ABC" w:rsidRPr="004B56B4" w:rsidRDefault="00561ABC" w:rsidP="004F0C61">
            <w:pPr>
              <w:jc w:val="center"/>
              <w:rPr>
                <w:b/>
                <w:bCs/>
                <w:color w:val="FFFFFF"/>
                <w:sz w:val="20"/>
                <w:szCs w:val="18"/>
              </w:rPr>
            </w:pPr>
            <w:r w:rsidRPr="004B56B4">
              <w:rPr>
                <w:b/>
                <w:bCs/>
                <w:color w:val="FFFFFF"/>
                <w:sz w:val="20"/>
                <w:szCs w:val="18"/>
              </w:rPr>
              <w:t>Technology</w:t>
            </w:r>
          </w:p>
        </w:tc>
        <w:tc>
          <w:tcPr>
            <w:tcW w:w="2492" w:type="dxa"/>
            <w:shd w:val="clear" w:color="auto" w:fill="448A99"/>
            <w:noWrap/>
            <w:vAlign w:val="bottom"/>
            <w:hideMark/>
          </w:tcPr>
          <w:p w:rsidR="00561ABC" w:rsidRPr="004B56B4" w:rsidRDefault="00561ABC" w:rsidP="004F0C61">
            <w:pPr>
              <w:jc w:val="center"/>
              <w:rPr>
                <w:b/>
                <w:bCs/>
                <w:color w:val="FFFFFF"/>
                <w:sz w:val="20"/>
                <w:szCs w:val="18"/>
              </w:rPr>
            </w:pPr>
            <w:r w:rsidRPr="004B56B4">
              <w:rPr>
                <w:b/>
                <w:bCs/>
                <w:color w:val="FFFFFF"/>
                <w:sz w:val="20"/>
                <w:szCs w:val="18"/>
              </w:rPr>
              <w:t>Finding</w:t>
            </w:r>
          </w:p>
        </w:tc>
        <w:tc>
          <w:tcPr>
            <w:tcW w:w="990" w:type="dxa"/>
            <w:shd w:val="clear" w:color="auto" w:fill="448A99"/>
            <w:noWrap/>
            <w:vAlign w:val="bottom"/>
            <w:hideMark/>
          </w:tcPr>
          <w:p w:rsidR="00561ABC" w:rsidRPr="004B56B4" w:rsidRDefault="00561ABC" w:rsidP="004F0C61">
            <w:pPr>
              <w:jc w:val="center"/>
              <w:rPr>
                <w:b/>
                <w:bCs/>
                <w:color w:val="FFFFFF"/>
                <w:sz w:val="20"/>
                <w:szCs w:val="18"/>
              </w:rPr>
            </w:pPr>
            <w:r w:rsidRPr="004B56B4">
              <w:rPr>
                <w:b/>
                <w:bCs/>
                <w:color w:val="FFFFFF"/>
                <w:sz w:val="20"/>
                <w:szCs w:val="18"/>
              </w:rPr>
              <w:t>Finding Type</w:t>
            </w:r>
          </w:p>
        </w:tc>
        <w:tc>
          <w:tcPr>
            <w:tcW w:w="3600" w:type="dxa"/>
            <w:shd w:val="clear" w:color="auto" w:fill="448A99"/>
            <w:noWrap/>
            <w:vAlign w:val="bottom"/>
            <w:hideMark/>
          </w:tcPr>
          <w:p w:rsidR="00561ABC" w:rsidRPr="004B56B4" w:rsidRDefault="00561ABC" w:rsidP="004F0C61">
            <w:pPr>
              <w:jc w:val="center"/>
              <w:rPr>
                <w:b/>
                <w:bCs/>
                <w:color w:val="FFFFFF"/>
                <w:sz w:val="20"/>
                <w:szCs w:val="18"/>
              </w:rPr>
            </w:pPr>
            <w:r w:rsidRPr="004B56B4">
              <w:rPr>
                <w:b/>
                <w:bCs/>
                <w:color w:val="FFFFFF"/>
                <w:sz w:val="20"/>
                <w:szCs w:val="18"/>
              </w:rPr>
              <w:t>Resolution</w:t>
            </w:r>
          </w:p>
        </w:tc>
      </w:tr>
      <w:tr w:rsidR="00A874AC" w:rsidRPr="004B56B4" w:rsidTr="00FD4D90">
        <w:trPr>
          <w:trHeight w:val="592"/>
        </w:trPr>
        <w:tc>
          <w:tcPr>
            <w:tcW w:w="1070" w:type="dxa"/>
            <w:shd w:val="clear" w:color="auto" w:fill="D2EAF1"/>
            <w:noWrap/>
          </w:tcPr>
          <w:p w:rsidR="00561ABC" w:rsidRPr="00726B81" w:rsidRDefault="00561ABC" w:rsidP="004F0C61">
            <w:pPr>
              <w:jc w:val="left"/>
              <w:rPr>
                <w:sz w:val="20"/>
                <w:szCs w:val="20"/>
              </w:rPr>
            </w:pPr>
            <w:r w:rsidRPr="00726B81">
              <w:rPr>
                <w:sz w:val="20"/>
                <w:szCs w:val="20"/>
              </w:rPr>
              <w:t>PRJ-712773</w:t>
            </w:r>
          </w:p>
        </w:tc>
        <w:tc>
          <w:tcPr>
            <w:tcW w:w="1198" w:type="dxa"/>
            <w:shd w:val="clear" w:color="auto" w:fill="D2EAF1"/>
            <w:noWrap/>
          </w:tcPr>
          <w:p w:rsidR="00561ABC" w:rsidRPr="00726B81" w:rsidRDefault="00561ABC" w:rsidP="004F0C61">
            <w:pPr>
              <w:jc w:val="center"/>
              <w:rPr>
                <w:sz w:val="20"/>
                <w:szCs w:val="20"/>
              </w:rPr>
            </w:pPr>
            <w:r>
              <w:rPr>
                <w:sz w:val="20"/>
                <w:szCs w:val="20"/>
              </w:rPr>
              <w:t xml:space="preserve">HVAC (pump </w:t>
            </w:r>
            <w:r w:rsidRPr="00726B81">
              <w:rPr>
                <w:sz w:val="20"/>
                <w:szCs w:val="20"/>
              </w:rPr>
              <w:t>VFDs)</w:t>
            </w:r>
          </w:p>
        </w:tc>
        <w:tc>
          <w:tcPr>
            <w:tcW w:w="2492" w:type="dxa"/>
            <w:tcBorders>
              <w:right w:val="single" w:sz="4" w:space="0" w:color="365F91"/>
            </w:tcBorders>
            <w:shd w:val="clear" w:color="auto" w:fill="D2EAF1"/>
            <w:noWrap/>
          </w:tcPr>
          <w:p w:rsidR="00561ABC" w:rsidRPr="00DF5627" w:rsidRDefault="00561ABC" w:rsidP="004F0C61">
            <w:pPr>
              <w:jc w:val="center"/>
              <w:rPr>
                <w:color w:val="000000"/>
                <w:sz w:val="20"/>
                <w:szCs w:val="20"/>
                <w:highlight w:val="yellow"/>
              </w:rPr>
            </w:pPr>
            <w:r w:rsidRPr="00185E94">
              <w:rPr>
                <w:sz w:val="20"/>
                <w:szCs w:val="20"/>
              </w:rPr>
              <w:t xml:space="preserve">The SWE Team found that the </w:t>
            </w:r>
            <w:r>
              <w:rPr>
                <w:sz w:val="20"/>
                <w:szCs w:val="20"/>
              </w:rPr>
              <w:t>evaluation contractor’s</w:t>
            </w:r>
            <w:r w:rsidRPr="00185E94">
              <w:rPr>
                <w:sz w:val="20"/>
                <w:szCs w:val="20"/>
              </w:rPr>
              <w:t xml:space="preserve"> review of the project is accurate.</w:t>
            </w:r>
          </w:p>
        </w:tc>
        <w:tc>
          <w:tcPr>
            <w:tcW w:w="990" w:type="dxa"/>
            <w:tcBorders>
              <w:left w:val="single" w:sz="4" w:space="0" w:color="365F91"/>
            </w:tcBorders>
            <w:shd w:val="clear" w:color="auto" w:fill="D2EAF1"/>
            <w:noWrap/>
          </w:tcPr>
          <w:p w:rsidR="00561ABC" w:rsidRPr="00726B81" w:rsidRDefault="00561ABC" w:rsidP="004F0C61">
            <w:pPr>
              <w:jc w:val="center"/>
              <w:rPr>
                <w:color w:val="000000"/>
                <w:sz w:val="20"/>
                <w:szCs w:val="20"/>
              </w:rPr>
            </w:pPr>
            <w:r w:rsidRPr="00726B81">
              <w:rPr>
                <w:color w:val="000000"/>
                <w:sz w:val="20"/>
                <w:szCs w:val="20"/>
              </w:rPr>
              <w:t>Eval</w:t>
            </w:r>
          </w:p>
        </w:tc>
        <w:tc>
          <w:tcPr>
            <w:tcW w:w="3600" w:type="dxa"/>
            <w:shd w:val="clear" w:color="auto" w:fill="D2EAF1"/>
            <w:noWrap/>
          </w:tcPr>
          <w:p w:rsidR="00561ABC" w:rsidRPr="00DF5627" w:rsidRDefault="00561ABC" w:rsidP="004F0C61">
            <w:pPr>
              <w:jc w:val="center"/>
              <w:rPr>
                <w:color w:val="000000"/>
                <w:sz w:val="20"/>
                <w:szCs w:val="20"/>
                <w:highlight w:val="yellow"/>
              </w:rPr>
            </w:pPr>
            <w:r w:rsidRPr="00185E94">
              <w:rPr>
                <w:sz w:val="20"/>
                <w:szCs w:val="20"/>
              </w:rPr>
              <w:t>The SWE Team had no recommendations based on its review of this project.</w:t>
            </w:r>
          </w:p>
        </w:tc>
      </w:tr>
      <w:tr w:rsidR="00E7173E" w:rsidRPr="004B56B4" w:rsidTr="00FD4D90">
        <w:trPr>
          <w:trHeight w:val="565"/>
        </w:trPr>
        <w:tc>
          <w:tcPr>
            <w:tcW w:w="1070" w:type="dxa"/>
            <w:shd w:val="clear" w:color="auto" w:fill="auto"/>
            <w:noWrap/>
          </w:tcPr>
          <w:p w:rsidR="00561ABC" w:rsidRPr="00726B81" w:rsidRDefault="00561ABC" w:rsidP="004F0C61">
            <w:pPr>
              <w:jc w:val="left"/>
              <w:rPr>
                <w:sz w:val="20"/>
                <w:szCs w:val="20"/>
              </w:rPr>
            </w:pPr>
            <w:r w:rsidRPr="00726B81">
              <w:rPr>
                <w:sz w:val="20"/>
                <w:szCs w:val="20"/>
              </w:rPr>
              <w:t>PRJ-711668</w:t>
            </w:r>
          </w:p>
        </w:tc>
        <w:tc>
          <w:tcPr>
            <w:tcW w:w="1198" w:type="dxa"/>
            <w:shd w:val="clear" w:color="auto" w:fill="auto"/>
            <w:noWrap/>
          </w:tcPr>
          <w:p w:rsidR="00561ABC" w:rsidRPr="00726B81" w:rsidRDefault="00561ABC" w:rsidP="004F0C61">
            <w:pPr>
              <w:jc w:val="center"/>
              <w:rPr>
                <w:sz w:val="20"/>
                <w:szCs w:val="20"/>
              </w:rPr>
            </w:pPr>
            <w:r w:rsidRPr="00726B81">
              <w:rPr>
                <w:sz w:val="20"/>
                <w:szCs w:val="20"/>
              </w:rPr>
              <w:t>Lighting</w:t>
            </w:r>
          </w:p>
        </w:tc>
        <w:tc>
          <w:tcPr>
            <w:tcW w:w="2492" w:type="dxa"/>
            <w:tcBorders>
              <w:right w:val="single" w:sz="4" w:space="0" w:color="365F91"/>
            </w:tcBorders>
            <w:shd w:val="clear" w:color="auto" w:fill="auto"/>
            <w:noWrap/>
          </w:tcPr>
          <w:p w:rsidR="00561ABC" w:rsidRPr="00DF5627" w:rsidRDefault="00561ABC" w:rsidP="004F0C61">
            <w:pPr>
              <w:jc w:val="center"/>
              <w:rPr>
                <w:sz w:val="20"/>
                <w:szCs w:val="20"/>
                <w:highlight w:val="yellow"/>
              </w:rPr>
            </w:pPr>
            <w:r w:rsidRPr="003B62C5">
              <w:rPr>
                <w:sz w:val="20"/>
                <w:szCs w:val="20"/>
              </w:rPr>
              <w:t>Although the final verified savings is correct, the Appendix C calculator was not used in its original form.</w:t>
            </w:r>
          </w:p>
        </w:tc>
        <w:tc>
          <w:tcPr>
            <w:tcW w:w="990" w:type="dxa"/>
            <w:tcBorders>
              <w:left w:val="single" w:sz="4" w:space="0" w:color="365F91"/>
            </w:tcBorders>
            <w:shd w:val="clear" w:color="auto" w:fill="auto"/>
            <w:noWrap/>
          </w:tcPr>
          <w:p w:rsidR="00561ABC" w:rsidRPr="00726B81" w:rsidRDefault="00561ABC" w:rsidP="004F0C61">
            <w:pPr>
              <w:jc w:val="center"/>
              <w:rPr>
                <w:sz w:val="20"/>
                <w:szCs w:val="20"/>
              </w:rPr>
            </w:pPr>
            <w:r w:rsidRPr="00726B81">
              <w:rPr>
                <w:sz w:val="20"/>
                <w:szCs w:val="20"/>
              </w:rPr>
              <w:t>Eval</w:t>
            </w:r>
          </w:p>
        </w:tc>
        <w:tc>
          <w:tcPr>
            <w:tcW w:w="3600" w:type="dxa"/>
            <w:shd w:val="clear" w:color="auto" w:fill="auto"/>
            <w:noWrap/>
          </w:tcPr>
          <w:p w:rsidR="00561ABC" w:rsidRPr="00DF5627" w:rsidRDefault="00561ABC" w:rsidP="004F0C61">
            <w:pPr>
              <w:jc w:val="center"/>
              <w:rPr>
                <w:sz w:val="20"/>
                <w:szCs w:val="20"/>
                <w:highlight w:val="yellow"/>
              </w:rPr>
            </w:pPr>
            <w:r w:rsidRPr="00651E8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651E86">
              <w:rPr>
                <w:sz w:val="20"/>
                <w:szCs w:val="20"/>
              </w:rPr>
              <w:t>use only the Appendix C calculator for lighting projects moving forward.</w:t>
            </w:r>
          </w:p>
        </w:tc>
      </w:tr>
      <w:tr w:rsidR="00A874AC" w:rsidRPr="004B56B4" w:rsidTr="00FD4D90">
        <w:trPr>
          <w:trHeight w:val="448"/>
        </w:trPr>
        <w:tc>
          <w:tcPr>
            <w:tcW w:w="1070" w:type="dxa"/>
            <w:shd w:val="clear" w:color="auto" w:fill="D2EAF1"/>
            <w:noWrap/>
          </w:tcPr>
          <w:p w:rsidR="00561ABC" w:rsidRPr="00726B81" w:rsidRDefault="00561ABC" w:rsidP="004F0C61">
            <w:pPr>
              <w:jc w:val="left"/>
              <w:rPr>
                <w:sz w:val="20"/>
                <w:szCs w:val="20"/>
              </w:rPr>
            </w:pPr>
            <w:r w:rsidRPr="00726B81">
              <w:rPr>
                <w:sz w:val="20"/>
                <w:szCs w:val="20"/>
              </w:rPr>
              <w:t>PRJ-586424</w:t>
            </w:r>
          </w:p>
        </w:tc>
        <w:tc>
          <w:tcPr>
            <w:tcW w:w="1198" w:type="dxa"/>
            <w:shd w:val="clear" w:color="auto" w:fill="D2EAF1"/>
            <w:noWrap/>
          </w:tcPr>
          <w:p w:rsidR="00561ABC" w:rsidRPr="00726B81" w:rsidRDefault="00561ABC" w:rsidP="004F0C61">
            <w:pPr>
              <w:jc w:val="center"/>
              <w:rPr>
                <w:sz w:val="20"/>
                <w:szCs w:val="20"/>
              </w:rPr>
            </w:pPr>
            <w:r w:rsidRPr="00726B81">
              <w:rPr>
                <w:sz w:val="20"/>
                <w:szCs w:val="20"/>
              </w:rPr>
              <w:t>EMS system</w:t>
            </w:r>
          </w:p>
        </w:tc>
        <w:tc>
          <w:tcPr>
            <w:tcW w:w="2492" w:type="dxa"/>
            <w:tcBorders>
              <w:right w:val="single" w:sz="4" w:space="0" w:color="365F91"/>
            </w:tcBorders>
            <w:shd w:val="clear" w:color="auto" w:fill="D2EAF1"/>
            <w:noWrap/>
          </w:tcPr>
          <w:p w:rsidR="00561ABC" w:rsidRPr="00DF5627" w:rsidRDefault="00561ABC" w:rsidP="004F0C61">
            <w:pPr>
              <w:jc w:val="center"/>
              <w:rPr>
                <w:sz w:val="20"/>
                <w:szCs w:val="20"/>
                <w:highlight w:val="yellow"/>
              </w:rPr>
            </w:pPr>
            <w:r w:rsidRPr="00185E94">
              <w:rPr>
                <w:sz w:val="20"/>
                <w:szCs w:val="20"/>
              </w:rPr>
              <w:t xml:space="preserve">The SWE Team found that the </w:t>
            </w:r>
            <w:r>
              <w:rPr>
                <w:sz w:val="20"/>
                <w:szCs w:val="20"/>
              </w:rPr>
              <w:t>evaluation contractor’s</w:t>
            </w:r>
            <w:r w:rsidRPr="00185E94">
              <w:rPr>
                <w:sz w:val="20"/>
                <w:szCs w:val="20"/>
              </w:rPr>
              <w:t xml:space="preserve"> review of the project is accurate.</w:t>
            </w:r>
          </w:p>
        </w:tc>
        <w:tc>
          <w:tcPr>
            <w:tcW w:w="990" w:type="dxa"/>
            <w:tcBorders>
              <w:left w:val="single" w:sz="4" w:space="0" w:color="365F91"/>
            </w:tcBorders>
            <w:shd w:val="clear" w:color="auto" w:fill="D2EAF1"/>
            <w:noWrap/>
          </w:tcPr>
          <w:p w:rsidR="00561ABC" w:rsidRPr="00726B81" w:rsidRDefault="00561ABC" w:rsidP="004F0C61">
            <w:pPr>
              <w:jc w:val="center"/>
              <w:rPr>
                <w:sz w:val="20"/>
                <w:szCs w:val="20"/>
              </w:rPr>
            </w:pPr>
            <w:r w:rsidRPr="00726B81">
              <w:rPr>
                <w:sz w:val="20"/>
                <w:szCs w:val="20"/>
              </w:rPr>
              <w:t>Eval</w:t>
            </w:r>
          </w:p>
        </w:tc>
        <w:tc>
          <w:tcPr>
            <w:tcW w:w="3600" w:type="dxa"/>
            <w:shd w:val="clear" w:color="auto" w:fill="D2EAF1"/>
            <w:noWrap/>
          </w:tcPr>
          <w:p w:rsidR="00561ABC" w:rsidRPr="00DF5627" w:rsidRDefault="00561ABC" w:rsidP="004F0C61">
            <w:pPr>
              <w:jc w:val="center"/>
              <w:rPr>
                <w:sz w:val="20"/>
                <w:szCs w:val="20"/>
                <w:highlight w:val="yellow"/>
              </w:rPr>
            </w:pPr>
            <w:r w:rsidRPr="00185E94">
              <w:rPr>
                <w:sz w:val="20"/>
                <w:szCs w:val="20"/>
              </w:rPr>
              <w:t>The SWE Team had no recommendations based on its review of this project.</w:t>
            </w:r>
          </w:p>
        </w:tc>
      </w:tr>
      <w:tr w:rsidR="00E7173E" w:rsidRPr="004B56B4" w:rsidTr="00FD4D90">
        <w:trPr>
          <w:trHeight w:val="565"/>
        </w:trPr>
        <w:tc>
          <w:tcPr>
            <w:tcW w:w="1070" w:type="dxa"/>
            <w:shd w:val="clear" w:color="auto" w:fill="auto"/>
            <w:noWrap/>
          </w:tcPr>
          <w:p w:rsidR="00561ABC" w:rsidRPr="00726B81" w:rsidRDefault="00561ABC" w:rsidP="004F0C61">
            <w:pPr>
              <w:jc w:val="left"/>
              <w:rPr>
                <w:sz w:val="20"/>
                <w:szCs w:val="20"/>
              </w:rPr>
            </w:pPr>
            <w:r w:rsidRPr="00726B81">
              <w:rPr>
                <w:sz w:val="20"/>
                <w:szCs w:val="20"/>
              </w:rPr>
              <w:t>PRJ-745376</w:t>
            </w:r>
          </w:p>
        </w:tc>
        <w:tc>
          <w:tcPr>
            <w:tcW w:w="1198" w:type="dxa"/>
            <w:shd w:val="clear" w:color="auto" w:fill="auto"/>
            <w:noWrap/>
          </w:tcPr>
          <w:p w:rsidR="00561ABC" w:rsidRPr="00726B81" w:rsidRDefault="00561ABC" w:rsidP="004F0C61">
            <w:pPr>
              <w:jc w:val="center"/>
              <w:rPr>
                <w:sz w:val="20"/>
                <w:szCs w:val="20"/>
              </w:rPr>
            </w:pPr>
            <w:r w:rsidRPr="00726B81">
              <w:rPr>
                <w:sz w:val="20"/>
                <w:szCs w:val="20"/>
              </w:rPr>
              <w:t>Lighting</w:t>
            </w:r>
          </w:p>
        </w:tc>
        <w:tc>
          <w:tcPr>
            <w:tcW w:w="2492" w:type="dxa"/>
            <w:tcBorders>
              <w:right w:val="single" w:sz="4" w:space="0" w:color="365F91"/>
            </w:tcBorders>
            <w:shd w:val="clear" w:color="auto" w:fill="auto"/>
            <w:noWrap/>
          </w:tcPr>
          <w:p w:rsidR="00561ABC" w:rsidRPr="00DF5627" w:rsidRDefault="00561ABC" w:rsidP="004F0C61">
            <w:pPr>
              <w:jc w:val="center"/>
              <w:rPr>
                <w:sz w:val="20"/>
                <w:szCs w:val="20"/>
                <w:highlight w:val="yellow"/>
              </w:rPr>
            </w:pPr>
            <w:r w:rsidRPr="00AD5A73">
              <w:rPr>
                <w:sz w:val="20"/>
                <w:szCs w:val="20"/>
              </w:rPr>
              <w:t>Although the final verified savings is correct, the Appendix C calculator was not</w:t>
            </w:r>
            <w:r>
              <w:rPr>
                <w:sz w:val="20"/>
                <w:szCs w:val="20"/>
              </w:rPr>
              <w:t xml:space="preserve"> used in its original form.</w:t>
            </w:r>
          </w:p>
        </w:tc>
        <w:tc>
          <w:tcPr>
            <w:tcW w:w="990" w:type="dxa"/>
            <w:tcBorders>
              <w:left w:val="single" w:sz="4" w:space="0" w:color="365F91"/>
            </w:tcBorders>
            <w:shd w:val="clear" w:color="auto" w:fill="auto"/>
            <w:noWrap/>
          </w:tcPr>
          <w:p w:rsidR="00561ABC" w:rsidRPr="00726B81" w:rsidRDefault="00561ABC" w:rsidP="004F0C61">
            <w:pPr>
              <w:jc w:val="center"/>
              <w:rPr>
                <w:sz w:val="20"/>
                <w:szCs w:val="20"/>
              </w:rPr>
            </w:pPr>
            <w:r w:rsidRPr="00726B81">
              <w:rPr>
                <w:sz w:val="20"/>
                <w:szCs w:val="20"/>
              </w:rPr>
              <w:t>Eval</w:t>
            </w:r>
          </w:p>
        </w:tc>
        <w:tc>
          <w:tcPr>
            <w:tcW w:w="3600" w:type="dxa"/>
            <w:shd w:val="clear" w:color="auto" w:fill="auto"/>
            <w:noWrap/>
          </w:tcPr>
          <w:p w:rsidR="00561ABC" w:rsidRPr="00DF5627" w:rsidRDefault="00561ABC" w:rsidP="004F0C61">
            <w:pPr>
              <w:jc w:val="center"/>
              <w:rPr>
                <w:sz w:val="20"/>
                <w:szCs w:val="20"/>
                <w:highlight w:val="yellow"/>
              </w:rPr>
            </w:pPr>
            <w:r w:rsidRPr="00651E8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651E86">
              <w:rPr>
                <w:sz w:val="20"/>
                <w:szCs w:val="20"/>
              </w:rPr>
              <w:t>use only the Appendix C calculator for lighting projects moving forward.</w:t>
            </w:r>
          </w:p>
        </w:tc>
      </w:tr>
      <w:tr w:rsidR="00A874AC" w:rsidRPr="004B56B4" w:rsidTr="00FD4D90">
        <w:trPr>
          <w:trHeight w:val="448"/>
        </w:trPr>
        <w:tc>
          <w:tcPr>
            <w:tcW w:w="1070" w:type="dxa"/>
            <w:shd w:val="clear" w:color="auto" w:fill="D2EAF1"/>
            <w:noWrap/>
          </w:tcPr>
          <w:p w:rsidR="00561ABC" w:rsidRPr="00726B81" w:rsidRDefault="00561ABC" w:rsidP="004F0C61">
            <w:pPr>
              <w:jc w:val="left"/>
              <w:rPr>
                <w:sz w:val="20"/>
                <w:szCs w:val="20"/>
              </w:rPr>
            </w:pPr>
            <w:r w:rsidRPr="00726B81">
              <w:rPr>
                <w:sz w:val="20"/>
                <w:szCs w:val="20"/>
              </w:rPr>
              <w:lastRenderedPageBreak/>
              <w:t>PRJ-747119</w:t>
            </w:r>
          </w:p>
        </w:tc>
        <w:tc>
          <w:tcPr>
            <w:tcW w:w="1198" w:type="dxa"/>
            <w:shd w:val="clear" w:color="auto" w:fill="D2EAF1"/>
            <w:noWrap/>
          </w:tcPr>
          <w:p w:rsidR="00561ABC" w:rsidRPr="00726B81" w:rsidRDefault="00561ABC" w:rsidP="004F0C61">
            <w:pPr>
              <w:jc w:val="center"/>
              <w:rPr>
                <w:sz w:val="20"/>
                <w:szCs w:val="20"/>
              </w:rPr>
            </w:pPr>
            <w:r w:rsidRPr="00726B81">
              <w:rPr>
                <w:sz w:val="20"/>
                <w:szCs w:val="20"/>
              </w:rPr>
              <w:t>Lighting</w:t>
            </w:r>
          </w:p>
        </w:tc>
        <w:tc>
          <w:tcPr>
            <w:tcW w:w="2492" w:type="dxa"/>
            <w:tcBorders>
              <w:right w:val="single" w:sz="4" w:space="0" w:color="365F91"/>
            </w:tcBorders>
            <w:shd w:val="clear" w:color="auto" w:fill="D2EAF1"/>
            <w:noWrap/>
          </w:tcPr>
          <w:p w:rsidR="00561ABC" w:rsidRPr="00DF5627" w:rsidRDefault="00561ABC" w:rsidP="004F0C61">
            <w:pPr>
              <w:jc w:val="center"/>
              <w:rPr>
                <w:sz w:val="20"/>
                <w:szCs w:val="20"/>
                <w:highlight w:val="yellow"/>
              </w:rPr>
            </w:pPr>
            <w:r w:rsidRPr="003B62C5">
              <w:rPr>
                <w:sz w:val="20"/>
                <w:szCs w:val="20"/>
              </w:rPr>
              <w:t>Although the final verified savings is correct, the Appendix C calculator was not used in its original form.</w:t>
            </w:r>
          </w:p>
        </w:tc>
        <w:tc>
          <w:tcPr>
            <w:tcW w:w="990" w:type="dxa"/>
            <w:tcBorders>
              <w:left w:val="single" w:sz="4" w:space="0" w:color="365F91"/>
            </w:tcBorders>
            <w:shd w:val="clear" w:color="auto" w:fill="D2EAF1"/>
            <w:noWrap/>
          </w:tcPr>
          <w:p w:rsidR="00561ABC" w:rsidRPr="00726B81" w:rsidRDefault="00561ABC" w:rsidP="004F0C61">
            <w:pPr>
              <w:jc w:val="center"/>
              <w:rPr>
                <w:sz w:val="20"/>
                <w:szCs w:val="20"/>
              </w:rPr>
            </w:pPr>
            <w:r w:rsidRPr="00726B81">
              <w:rPr>
                <w:sz w:val="20"/>
                <w:szCs w:val="20"/>
              </w:rPr>
              <w:t>Eval</w:t>
            </w:r>
          </w:p>
        </w:tc>
        <w:tc>
          <w:tcPr>
            <w:tcW w:w="3600" w:type="dxa"/>
            <w:shd w:val="clear" w:color="auto" w:fill="D2EAF1"/>
            <w:noWrap/>
          </w:tcPr>
          <w:p w:rsidR="00561ABC" w:rsidRPr="00DF5627" w:rsidRDefault="00561ABC" w:rsidP="004F0C61">
            <w:pPr>
              <w:jc w:val="center"/>
              <w:rPr>
                <w:sz w:val="20"/>
                <w:szCs w:val="20"/>
                <w:highlight w:val="yellow"/>
              </w:rPr>
            </w:pPr>
            <w:r w:rsidRPr="00651E8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651E86">
              <w:rPr>
                <w:sz w:val="20"/>
                <w:szCs w:val="20"/>
              </w:rPr>
              <w:t>use only the Appendix C calculator for lighting projects moving forward.</w:t>
            </w:r>
          </w:p>
        </w:tc>
      </w:tr>
      <w:tr w:rsidR="00E7173E" w:rsidRPr="004B56B4" w:rsidTr="00FD4D90">
        <w:trPr>
          <w:trHeight w:val="412"/>
        </w:trPr>
        <w:tc>
          <w:tcPr>
            <w:tcW w:w="1070" w:type="dxa"/>
            <w:shd w:val="clear" w:color="auto" w:fill="auto"/>
            <w:noWrap/>
          </w:tcPr>
          <w:p w:rsidR="00561ABC" w:rsidRPr="00726B81" w:rsidRDefault="00561ABC" w:rsidP="004F0C61">
            <w:pPr>
              <w:jc w:val="left"/>
              <w:rPr>
                <w:sz w:val="20"/>
                <w:szCs w:val="20"/>
              </w:rPr>
            </w:pPr>
            <w:r w:rsidRPr="00726B81">
              <w:rPr>
                <w:sz w:val="20"/>
                <w:szCs w:val="20"/>
              </w:rPr>
              <w:t>PRJ-394776</w:t>
            </w:r>
          </w:p>
        </w:tc>
        <w:tc>
          <w:tcPr>
            <w:tcW w:w="1198" w:type="dxa"/>
            <w:shd w:val="clear" w:color="auto" w:fill="auto"/>
            <w:noWrap/>
          </w:tcPr>
          <w:p w:rsidR="00561ABC" w:rsidRPr="00726B81" w:rsidRDefault="00561ABC" w:rsidP="004F0C61">
            <w:pPr>
              <w:jc w:val="center"/>
              <w:rPr>
                <w:sz w:val="20"/>
                <w:szCs w:val="20"/>
              </w:rPr>
            </w:pPr>
            <w:r w:rsidRPr="00726B81">
              <w:rPr>
                <w:sz w:val="20"/>
                <w:szCs w:val="20"/>
              </w:rPr>
              <w:t>Lighting</w:t>
            </w:r>
          </w:p>
        </w:tc>
        <w:tc>
          <w:tcPr>
            <w:tcW w:w="2492" w:type="dxa"/>
            <w:tcBorders>
              <w:right w:val="single" w:sz="4" w:space="0" w:color="365F91"/>
            </w:tcBorders>
            <w:shd w:val="clear" w:color="auto" w:fill="auto"/>
            <w:noWrap/>
          </w:tcPr>
          <w:p w:rsidR="00561ABC" w:rsidRPr="00DF5627" w:rsidRDefault="00561ABC" w:rsidP="004F0C61">
            <w:pPr>
              <w:jc w:val="center"/>
              <w:rPr>
                <w:sz w:val="20"/>
                <w:szCs w:val="20"/>
                <w:highlight w:val="yellow"/>
              </w:rPr>
            </w:pPr>
            <w:r w:rsidRPr="00185E94">
              <w:rPr>
                <w:sz w:val="20"/>
                <w:szCs w:val="20"/>
              </w:rPr>
              <w:t xml:space="preserve">The SWE Team found that the </w:t>
            </w:r>
            <w:r>
              <w:rPr>
                <w:sz w:val="20"/>
                <w:szCs w:val="20"/>
              </w:rPr>
              <w:t>evaluation contractor’s</w:t>
            </w:r>
            <w:r w:rsidRPr="00185E94">
              <w:rPr>
                <w:sz w:val="20"/>
                <w:szCs w:val="20"/>
              </w:rPr>
              <w:t xml:space="preserve"> review of the project is accurate.</w:t>
            </w:r>
          </w:p>
        </w:tc>
        <w:tc>
          <w:tcPr>
            <w:tcW w:w="990" w:type="dxa"/>
            <w:tcBorders>
              <w:left w:val="single" w:sz="4" w:space="0" w:color="365F91"/>
            </w:tcBorders>
            <w:shd w:val="clear" w:color="auto" w:fill="auto"/>
            <w:noWrap/>
          </w:tcPr>
          <w:p w:rsidR="00561ABC" w:rsidRPr="00726B81" w:rsidRDefault="00561ABC" w:rsidP="004F0C61">
            <w:pPr>
              <w:jc w:val="center"/>
              <w:rPr>
                <w:sz w:val="20"/>
                <w:szCs w:val="20"/>
              </w:rPr>
            </w:pPr>
            <w:r w:rsidRPr="00726B81">
              <w:rPr>
                <w:sz w:val="20"/>
                <w:szCs w:val="20"/>
              </w:rPr>
              <w:t>Eval</w:t>
            </w:r>
          </w:p>
        </w:tc>
        <w:tc>
          <w:tcPr>
            <w:tcW w:w="3600" w:type="dxa"/>
            <w:shd w:val="clear" w:color="auto" w:fill="auto"/>
            <w:noWrap/>
          </w:tcPr>
          <w:p w:rsidR="00561ABC" w:rsidRPr="00DF5627" w:rsidRDefault="00561ABC" w:rsidP="004F0C61">
            <w:pPr>
              <w:jc w:val="center"/>
              <w:rPr>
                <w:sz w:val="20"/>
                <w:szCs w:val="20"/>
                <w:highlight w:val="yellow"/>
              </w:rPr>
            </w:pPr>
            <w:r w:rsidRPr="00185E94">
              <w:rPr>
                <w:sz w:val="20"/>
                <w:szCs w:val="20"/>
              </w:rPr>
              <w:t>The SWE Team had no recommendations based on its review of this project.</w:t>
            </w:r>
          </w:p>
        </w:tc>
      </w:tr>
      <w:tr w:rsidR="00A874AC" w:rsidRPr="004B56B4" w:rsidTr="00FD4D90">
        <w:trPr>
          <w:trHeight w:val="538"/>
        </w:trPr>
        <w:tc>
          <w:tcPr>
            <w:tcW w:w="1070" w:type="dxa"/>
            <w:shd w:val="clear" w:color="auto" w:fill="D2EAF1"/>
            <w:noWrap/>
          </w:tcPr>
          <w:p w:rsidR="00561ABC" w:rsidRPr="00726B81" w:rsidRDefault="00561ABC" w:rsidP="004F0C61">
            <w:pPr>
              <w:jc w:val="left"/>
              <w:rPr>
                <w:sz w:val="20"/>
                <w:szCs w:val="20"/>
              </w:rPr>
            </w:pPr>
            <w:r w:rsidRPr="00726B81">
              <w:rPr>
                <w:sz w:val="20"/>
                <w:szCs w:val="20"/>
              </w:rPr>
              <w:t>PRJ-394780</w:t>
            </w:r>
          </w:p>
        </w:tc>
        <w:tc>
          <w:tcPr>
            <w:tcW w:w="1198" w:type="dxa"/>
            <w:shd w:val="clear" w:color="auto" w:fill="D2EAF1"/>
            <w:noWrap/>
          </w:tcPr>
          <w:p w:rsidR="00561ABC" w:rsidRPr="00726B81" w:rsidRDefault="00561ABC" w:rsidP="004F0C61">
            <w:pPr>
              <w:jc w:val="center"/>
              <w:rPr>
                <w:sz w:val="20"/>
                <w:szCs w:val="20"/>
              </w:rPr>
            </w:pPr>
            <w:r w:rsidRPr="00726B81">
              <w:rPr>
                <w:sz w:val="20"/>
                <w:szCs w:val="20"/>
              </w:rPr>
              <w:t>Lighting</w:t>
            </w:r>
          </w:p>
        </w:tc>
        <w:tc>
          <w:tcPr>
            <w:tcW w:w="2492" w:type="dxa"/>
            <w:tcBorders>
              <w:right w:val="single" w:sz="4" w:space="0" w:color="365F91"/>
            </w:tcBorders>
            <w:shd w:val="clear" w:color="auto" w:fill="D2EAF1"/>
            <w:noWrap/>
          </w:tcPr>
          <w:p w:rsidR="00561ABC" w:rsidRPr="00DF5627" w:rsidRDefault="00561ABC" w:rsidP="004F0C61">
            <w:pPr>
              <w:jc w:val="center"/>
              <w:rPr>
                <w:sz w:val="20"/>
                <w:szCs w:val="20"/>
                <w:highlight w:val="yellow"/>
              </w:rPr>
            </w:pPr>
            <w:r w:rsidRPr="00185E94">
              <w:rPr>
                <w:sz w:val="20"/>
                <w:szCs w:val="20"/>
              </w:rPr>
              <w:t xml:space="preserve">The SWE Team found that the </w:t>
            </w:r>
            <w:r>
              <w:rPr>
                <w:sz w:val="20"/>
                <w:szCs w:val="20"/>
              </w:rPr>
              <w:t>evaluation contractor’s</w:t>
            </w:r>
            <w:r w:rsidRPr="00185E94">
              <w:rPr>
                <w:sz w:val="20"/>
                <w:szCs w:val="20"/>
              </w:rPr>
              <w:t xml:space="preserve"> review of the project is accurate.</w:t>
            </w:r>
          </w:p>
        </w:tc>
        <w:tc>
          <w:tcPr>
            <w:tcW w:w="990" w:type="dxa"/>
            <w:tcBorders>
              <w:left w:val="single" w:sz="4" w:space="0" w:color="365F91"/>
            </w:tcBorders>
            <w:shd w:val="clear" w:color="auto" w:fill="D2EAF1"/>
          </w:tcPr>
          <w:p w:rsidR="00561ABC" w:rsidRPr="00726B81" w:rsidRDefault="00561ABC" w:rsidP="004F0C61">
            <w:pPr>
              <w:jc w:val="center"/>
              <w:rPr>
                <w:sz w:val="20"/>
                <w:szCs w:val="20"/>
              </w:rPr>
            </w:pPr>
            <w:r w:rsidRPr="00726B81">
              <w:rPr>
                <w:sz w:val="20"/>
                <w:szCs w:val="20"/>
              </w:rPr>
              <w:t>Eval</w:t>
            </w:r>
          </w:p>
        </w:tc>
        <w:tc>
          <w:tcPr>
            <w:tcW w:w="3600" w:type="dxa"/>
            <w:shd w:val="clear" w:color="auto" w:fill="D2EAF1"/>
            <w:noWrap/>
          </w:tcPr>
          <w:p w:rsidR="00561ABC" w:rsidRPr="00DF5627" w:rsidRDefault="00561ABC" w:rsidP="004F0C61">
            <w:pPr>
              <w:jc w:val="center"/>
              <w:rPr>
                <w:sz w:val="20"/>
                <w:szCs w:val="20"/>
                <w:highlight w:val="yellow"/>
              </w:rPr>
            </w:pPr>
            <w:r w:rsidRPr="00185E94">
              <w:rPr>
                <w:sz w:val="20"/>
                <w:szCs w:val="20"/>
              </w:rPr>
              <w:t>The SWE Team had no recommendations based on its review of this project.</w:t>
            </w:r>
          </w:p>
        </w:tc>
      </w:tr>
    </w:tbl>
    <w:p w:rsidR="00561ABC" w:rsidRPr="003B2BD3" w:rsidRDefault="00561ABC" w:rsidP="00A35466">
      <w:pPr>
        <w:autoSpaceDE w:val="0"/>
        <w:autoSpaceDN w:val="0"/>
        <w:adjustRightInd w:val="0"/>
        <w:contextualSpacing/>
        <w:rPr>
          <w:rFonts w:cs="Calibri"/>
          <w:color w:val="000000"/>
          <w:szCs w:val="20"/>
        </w:rPr>
      </w:pPr>
    </w:p>
    <w:p w:rsidR="008C0054" w:rsidRPr="003458B1" w:rsidRDefault="008C0054" w:rsidP="008C0054">
      <w:pPr>
        <w:pStyle w:val="AppendixAHeading4"/>
        <w:rPr>
          <w:rFonts w:eastAsia="Calibri"/>
        </w:rPr>
      </w:pPr>
      <w:bookmarkStart w:id="983" w:name="_Toc408557499"/>
      <w:bookmarkStart w:id="984" w:name="_Ref440444150"/>
      <w:r w:rsidRPr="003458B1">
        <w:rPr>
          <w:rFonts w:eastAsia="Calibri"/>
        </w:rPr>
        <w:t>Verified Savings Review</w:t>
      </w:r>
      <w:bookmarkEnd w:id="983"/>
      <w:bookmarkEnd w:id="984"/>
    </w:p>
    <w:p w:rsidR="008C0054" w:rsidRPr="003458B1" w:rsidRDefault="008C0054" w:rsidP="008C0054">
      <w:r w:rsidRPr="003458B1">
        <w:t xml:space="preserve">The SWE </w:t>
      </w:r>
      <w:r w:rsidRPr="003458B1">
        <w:rPr>
          <w:color w:val="000000"/>
        </w:rPr>
        <w:t>Team</w:t>
      </w:r>
      <w:r w:rsidRPr="003458B1">
        <w:rPr>
          <w:color w:val="000000"/>
          <w:sz w:val="20"/>
          <w:szCs w:val="20"/>
        </w:rPr>
        <w:t xml:space="preserve"> </w:t>
      </w:r>
      <w:r w:rsidRPr="003458B1">
        <w:t>reviewed a subset of Penn Power’s sampled sites and found appropriate rigor in the evaluation contractor’s M&amp;V methods as well as good organization and clear presentation.</w:t>
      </w:r>
      <w:r w:rsidRPr="003458B1">
        <w:rPr>
          <w:color w:val="000000"/>
        </w:rPr>
        <w:t xml:space="preserve"> There was significant improvement in the presentation of M&amp;V methodology and results in PY7 wi</w:t>
      </w:r>
      <w:r>
        <w:rPr>
          <w:color w:val="000000"/>
        </w:rPr>
        <w:t>th the inclusion of a site-</w:t>
      </w:r>
      <w:r w:rsidRPr="003458B1">
        <w:rPr>
          <w:color w:val="000000"/>
        </w:rPr>
        <w:t>level report in each project file.</w:t>
      </w:r>
      <w:r w:rsidRPr="003458B1">
        <w:t xml:space="preserve"> </w:t>
      </w:r>
      <w:r w:rsidRPr="003458B1">
        <w:fldChar w:fldCharType="begin"/>
      </w:r>
      <w:r w:rsidRPr="003458B1">
        <w:instrText xml:space="preserve"> REF _Ref440267001 \h  \* MERGEFORMAT </w:instrText>
      </w:r>
      <w:r w:rsidRPr="003458B1">
        <w:fldChar w:fldCharType="separate"/>
      </w:r>
      <w:r w:rsidR="00A874AC" w:rsidRPr="003458B1">
        <w:t>Table A-</w:t>
      </w:r>
      <w:r w:rsidR="00A874AC">
        <w:t>83</w:t>
      </w:r>
      <w:r w:rsidRPr="003458B1">
        <w:fldChar w:fldCharType="end"/>
      </w:r>
      <w:r w:rsidRPr="003458B1">
        <w:t xml:space="preserve"> shows the energy and demand savings for projects chosen for review by the SWE </w:t>
      </w:r>
      <w:r w:rsidRPr="003458B1">
        <w:rPr>
          <w:color w:val="000000"/>
        </w:rPr>
        <w:t>Team</w:t>
      </w:r>
      <w:r w:rsidRPr="003458B1">
        <w:t>, as well as the M&amp;V approach selected for site evaluation.</w:t>
      </w:r>
    </w:p>
    <w:p w:rsidR="008C0054" w:rsidRPr="003458B1" w:rsidRDefault="008C0054" w:rsidP="008C0054"/>
    <w:p w:rsidR="008C0054" w:rsidRPr="003458B1" w:rsidRDefault="008C0054" w:rsidP="008C0054">
      <w:pPr>
        <w:pStyle w:val="Caption"/>
        <w:rPr>
          <w:bCs w:val="0"/>
        </w:rPr>
      </w:pPr>
      <w:bookmarkStart w:id="985" w:name="_Ref440267001"/>
      <w:bookmarkStart w:id="986" w:name="_Ref409167672"/>
      <w:bookmarkStart w:id="987" w:name="_Ref410121714"/>
      <w:bookmarkStart w:id="988" w:name="_Toc410199437"/>
      <w:bookmarkStart w:id="989" w:name="_Toc431462357"/>
      <w:bookmarkStart w:id="990" w:name="_Toc444269880"/>
      <w:bookmarkStart w:id="991" w:name="_Toc472472492"/>
      <w:bookmarkStart w:id="992" w:name="_Toc476842198"/>
      <w:r w:rsidRPr="003458B1">
        <w:t>Table A-</w:t>
      </w:r>
      <w:fldSimple w:instr=" SEQ Table_A- \* ARABIC ">
        <w:r w:rsidR="00C301D0">
          <w:rPr>
            <w:noProof/>
          </w:rPr>
          <w:t>83</w:t>
        </w:r>
      </w:fldSimple>
      <w:bookmarkEnd w:id="985"/>
      <w:r w:rsidRPr="003458B1">
        <w:t xml:space="preserve">: </w:t>
      </w:r>
      <w:bookmarkEnd w:id="986"/>
      <w:bookmarkEnd w:id="987"/>
      <w:r w:rsidRPr="003458B1">
        <w:rPr>
          <w:bCs w:val="0"/>
        </w:rPr>
        <w:t>Verified Savings and M&amp;V Methods for SWE Team</w:t>
      </w:r>
      <w:r>
        <w:rPr>
          <w:bCs w:val="0"/>
        </w:rPr>
        <w:t>–S</w:t>
      </w:r>
      <w:r w:rsidRPr="003458B1">
        <w:rPr>
          <w:bCs w:val="0"/>
        </w:rPr>
        <w:t>ampled Penn Power Projects</w:t>
      </w:r>
      <w:bookmarkEnd w:id="988"/>
      <w:bookmarkEnd w:id="989"/>
      <w:bookmarkEnd w:id="990"/>
      <w:bookmarkEnd w:id="991"/>
      <w:bookmarkEnd w:id="992"/>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555"/>
        <w:gridCol w:w="1246"/>
        <w:gridCol w:w="1585"/>
        <w:gridCol w:w="1585"/>
        <w:gridCol w:w="1566"/>
        <w:gridCol w:w="1813"/>
      </w:tblGrid>
      <w:tr w:rsidR="00A874AC" w:rsidRPr="003458B1" w:rsidTr="004F0C61">
        <w:trPr>
          <w:jc w:val="center"/>
        </w:trPr>
        <w:tc>
          <w:tcPr>
            <w:tcW w:w="1555" w:type="dxa"/>
            <w:shd w:val="clear" w:color="auto" w:fill="448A99"/>
            <w:vAlign w:val="bottom"/>
          </w:tcPr>
          <w:p w:rsidR="008C0054" w:rsidRPr="003458B1" w:rsidRDefault="008C0054" w:rsidP="004F0C61">
            <w:pPr>
              <w:jc w:val="left"/>
              <w:rPr>
                <w:rFonts w:eastAsia="Calibri"/>
                <w:b/>
                <w:color w:val="FFFFFF"/>
                <w:sz w:val="20"/>
              </w:rPr>
            </w:pPr>
            <w:r w:rsidRPr="003458B1">
              <w:rPr>
                <w:rFonts w:eastAsia="Calibri"/>
                <w:b/>
                <w:color w:val="FFFFFF"/>
                <w:sz w:val="20"/>
              </w:rPr>
              <w:t>Program</w:t>
            </w:r>
          </w:p>
        </w:tc>
        <w:tc>
          <w:tcPr>
            <w:tcW w:w="1246" w:type="dxa"/>
            <w:shd w:val="clear" w:color="auto" w:fill="448A99"/>
            <w:vAlign w:val="bottom"/>
          </w:tcPr>
          <w:p w:rsidR="008C0054" w:rsidRPr="003458B1" w:rsidRDefault="008C0054" w:rsidP="004F0C61">
            <w:pPr>
              <w:jc w:val="center"/>
              <w:rPr>
                <w:rFonts w:eastAsia="Calibri"/>
                <w:b/>
                <w:color w:val="FFFFFF"/>
                <w:sz w:val="20"/>
              </w:rPr>
            </w:pPr>
            <w:r w:rsidRPr="003458B1">
              <w:rPr>
                <w:rFonts w:eastAsia="Calibri"/>
                <w:b/>
                <w:color w:val="FFFFFF"/>
                <w:sz w:val="20"/>
              </w:rPr>
              <w:t>Project Number</w:t>
            </w:r>
          </w:p>
        </w:tc>
        <w:tc>
          <w:tcPr>
            <w:tcW w:w="1585" w:type="dxa"/>
            <w:shd w:val="clear" w:color="auto" w:fill="448A99"/>
            <w:vAlign w:val="bottom"/>
          </w:tcPr>
          <w:p w:rsidR="008C0054" w:rsidRPr="003458B1" w:rsidRDefault="008C0054" w:rsidP="004F0C61">
            <w:pPr>
              <w:jc w:val="center"/>
              <w:rPr>
                <w:rFonts w:eastAsia="Calibri"/>
                <w:b/>
                <w:color w:val="FFFFFF"/>
                <w:sz w:val="20"/>
              </w:rPr>
            </w:pPr>
            <w:r w:rsidRPr="003458B1">
              <w:rPr>
                <w:rFonts w:eastAsia="Calibri"/>
                <w:b/>
                <w:color w:val="FFFFFF"/>
                <w:sz w:val="20"/>
              </w:rPr>
              <w:t>Stratum</w:t>
            </w:r>
          </w:p>
        </w:tc>
        <w:tc>
          <w:tcPr>
            <w:tcW w:w="1585" w:type="dxa"/>
            <w:shd w:val="clear" w:color="auto" w:fill="448A99"/>
            <w:vAlign w:val="bottom"/>
          </w:tcPr>
          <w:p w:rsidR="008C0054" w:rsidRPr="003458B1" w:rsidRDefault="008C0054" w:rsidP="004F0C61">
            <w:pPr>
              <w:jc w:val="center"/>
              <w:rPr>
                <w:rFonts w:eastAsia="Calibri"/>
                <w:b/>
                <w:color w:val="FFFFFF"/>
                <w:sz w:val="20"/>
              </w:rPr>
            </w:pPr>
            <w:r w:rsidRPr="003458B1">
              <w:rPr>
                <w:rFonts w:eastAsia="Calibri"/>
                <w:b/>
                <w:color w:val="FFFFFF"/>
                <w:sz w:val="20"/>
              </w:rPr>
              <w:t>Verified Energy Savings (kWh)</w:t>
            </w:r>
          </w:p>
        </w:tc>
        <w:tc>
          <w:tcPr>
            <w:tcW w:w="1566" w:type="dxa"/>
            <w:shd w:val="clear" w:color="auto" w:fill="448A99"/>
            <w:vAlign w:val="bottom"/>
          </w:tcPr>
          <w:p w:rsidR="008C0054" w:rsidRPr="003458B1" w:rsidRDefault="008C0054" w:rsidP="004F0C61">
            <w:pPr>
              <w:jc w:val="center"/>
              <w:rPr>
                <w:rFonts w:eastAsia="Calibri"/>
                <w:b/>
                <w:color w:val="FFFFFF"/>
                <w:sz w:val="20"/>
              </w:rPr>
            </w:pPr>
            <w:r w:rsidRPr="003458B1">
              <w:rPr>
                <w:rFonts w:eastAsia="Calibri"/>
                <w:b/>
                <w:color w:val="FFFFFF"/>
                <w:sz w:val="20"/>
              </w:rPr>
              <w:t>Verified Demand Savings (kW)</w:t>
            </w:r>
          </w:p>
        </w:tc>
        <w:tc>
          <w:tcPr>
            <w:tcW w:w="1813" w:type="dxa"/>
            <w:shd w:val="clear" w:color="auto" w:fill="448A99"/>
            <w:vAlign w:val="bottom"/>
          </w:tcPr>
          <w:p w:rsidR="008C0054" w:rsidRPr="003458B1" w:rsidRDefault="008C0054" w:rsidP="004F0C61">
            <w:pPr>
              <w:jc w:val="center"/>
              <w:rPr>
                <w:rFonts w:eastAsia="Calibri"/>
                <w:b/>
                <w:color w:val="FFFFFF"/>
                <w:sz w:val="20"/>
              </w:rPr>
            </w:pPr>
            <w:r w:rsidRPr="003458B1">
              <w:rPr>
                <w:rFonts w:eastAsia="Calibri"/>
                <w:b/>
                <w:color w:val="FFFFFF"/>
                <w:sz w:val="20"/>
              </w:rPr>
              <w:t>M&amp;V Method</w:t>
            </w:r>
          </w:p>
        </w:tc>
      </w:tr>
      <w:tr w:rsidR="00A874AC" w:rsidRPr="003458B1" w:rsidTr="004F0C61">
        <w:trPr>
          <w:trHeight w:val="346"/>
          <w:jc w:val="center"/>
        </w:trPr>
        <w:tc>
          <w:tcPr>
            <w:tcW w:w="1555" w:type="dxa"/>
            <w:shd w:val="clear" w:color="auto" w:fill="D2EAF1"/>
            <w:vAlign w:val="center"/>
          </w:tcPr>
          <w:p w:rsidR="008C0054" w:rsidRPr="003458B1" w:rsidRDefault="008C0054" w:rsidP="004F0C61">
            <w:pPr>
              <w:jc w:val="left"/>
              <w:rPr>
                <w:rFonts w:eastAsia="Calibri"/>
                <w:sz w:val="20"/>
              </w:rPr>
            </w:pPr>
            <w:r w:rsidRPr="003458B1">
              <w:rPr>
                <w:rFonts w:eastAsia="Calibri"/>
                <w:sz w:val="20"/>
                <w:szCs w:val="20"/>
              </w:rPr>
              <w:t>Small C/I Buildings</w:t>
            </w:r>
          </w:p>
        </w:tc>
        <w:tc>
          <w:tcPr>
            <w:tcW w:w="1246" w:type="dxa"/>
            <w:shd w:val="clear" w:color="auto" w:fill="D2EAF1"/>
            <w:vAlign w:val="center"/>
          </w:tcPr>
          <w:p w:rsidR="008C0054" w:rsidRPr="003458B1" w:rsidRDefault="008C0054" w:rsidP="004F0C61">
            <w:pPr>
              <w:jc w:val="center"/>
              <w:rPr>
                <w:rFonts w:eastAsia="Calibri"/>
                <w:sz w:val="20"/>
                <w:szCs w:val="20"/>
              </w:rPr>
            </w:pPr>
            <w:r w:rsidRPr="003458B1">
              <w:rPr>
                <w:rFonts w:cs="Calibri"/>
                <w:color w:val="000000"/>
                <w:sz w:val="20"/>
                <w:szCs w:val="20"/>
              </w:rPr>
              <w:t>CR_PRJ-289552</w:t>
            </w:r>
          </w:p>
        </w:tc>
        <w:tc>
          <w:tcPr>
            <w:tcW w:w="1585" w:type="dxa"/>
            <w:shd w:val="clear" w:color="auto" w:fill="D2EAF1"/>
            <w:vAlign w:val="center"/>
          </w:tcPr>
          <w:p w:rsidR="008C0054" w:rsidRPr="003458B1" w:rsidRDefault="008C0054" w:rsidP="004F0C61">
            <w:pPr>
              <w:jc w:val="center"/>
              <w:rPr>
                <w:rFonts w:eastAsia="Calibri"/>
                <w:sz w:val="20"/>
                <w:szCs w:val="20"/>
              </w:rPr>
            </w:pPr>
            <w:r w:rsidRPr="003458B1">
              <w:rPr>
                <w:rFonts w:cs="Calibri"/>
                <w:color w:val="000000"/>
                <w:sz w:val="20"/>
                <w:szCs w:val="20"/>
              </w:rPr>
              <w:t>Custo</w:t>
            </w:r>
            <w:r>
              <w:rPr>
                <w:rFonts w:cs="Calibri"/>
                <w:color w:val="000000"/>
                <w:sz w:val="20"/>
                <w:szCs w:val="20"/>
              </w:rPr>
              <w:t>m – c</w:t>
            </w:r>
            <w:r w:rsidRPr="003458B1">
              <w:rPr>
                <w:rFonts w:cs="Calibri"/>
                <w:color w:val="000000"/>
                <w:sz w:val="20"/>
                <w:szCs w:val="20"/>
              </w:rPr>
              <w:t>ertainty</w:t>
            </w:r>
          </w:p>
        </w:tc>
        <w:tc>
          <w:tcPr>
            <w:tcW w:w="1585" w:type="dxa"/>
            <w:shd w:val="clear" w:color="auto" w:fill="D2EAF1"/>
            <w:vAlign w:val="center"/>
          </w:tcPr>
          <w:p w:rsidR="008C0054" w:rsidRPr="003458B1" w:rsidRDefault="008C0054" w:rsidP="004F0C61">
            <w:pPr>
              <w:jc w:val="center"/>
              <w:rPr>
                <w:rFonts w:eastAsia="Calibri"/>
                <w:sz w:val="20"/>
                <w:szCs w:val="20"/>
              </w:rPr>
            </w:pPr>
            <w:r w:rsidRPr="003458B1">
              <w:rPr>
                <w:rFonts w:cs="Calibri"/>
                <w:color w:val="000000"/>
                <w:sz w:val="20"/>
                <w:szCs w:val="20"/>
              </w:rPr>
              <w:t>415,913</w:t>
            </w:r>
          </w:p>
        </w:tc>
        <w:tc>
          <w:tcPr>
            <w:tcW w:w="1566" w:type="dxa"/>
            <w:shd w:val="clear" w:color="auto" w:fill="D2EAF1"/>
            <w:vAlign w:val="center"/>
          </w:tcPr>
          <w:p w:rsidR="008C0054" w:rsidRPr="003458B1" w:rsidRDefault="008C0054" w:rsidP="004F0C61">
            <w:pPr>
              <w:jc w:val="center"/>
              <w:rPr>
                <w:rFonts w:eastAsia="Calibri"/>
                <w:sz w:val="20"/>
                <w:szCs w:val="20"/>
              </w:rPr>
            </w:pPr>
            <w:r w:rsidRPr="003458B1">
              <w:rPr>
                <w:rFonts w:cs="Calibri"/>
                <w:color w:val="000000"/>
                <w:sz w:val="20"/>
                <w:szCs w:val="20"/>
              </w:rPr>
              <w:t>131.68</w:t>
            </w:r>
          </w:p>
        </w:tc>
        <w:tc>
          <w:tcPr>
            <w:tcW w:w="1813" w:type="dxa"/>
            <w:shd w:val="clear" w:color="auto" w:fill="D2EAF1"/>
            <w:vAlign w:val="center"/>
          </w:tcPr>
          <w:p w:rsidR="008C0054" w:rsidRPr="003458B1" w:rsidRDefault="008C0054" w:rsidP="004F0C61">
            <w:pPr>
              <w:jc w:val="center"/>
              <w:rPr>
                <w:rFonts w:eastAsia="Calibri"/>
                <w:sz w:val="20"/>
                <w:szCs w:val="20"/>
              </w:rPr>
            </w:pPr>
            <w:r w:rsidRPr="003458B1">
              <w:rPr>
                <w:rFonts w:cs="Calibri"/>
                <w:color w:val="000000"/>
                <w:sz w:val="20"/>
                <w:szCs w:val="20"/>
              </w:rPr>
              <w:t>Verify by interview, apply TRM</w:t>
            </w:r>
          </w:p>
        </w:tc>
      </w:tr>
      <w:tr w:rsidR="00E7173E" w:rsidRPr="003458B1" w:rsidTr="001D479D">
        <w:trPr>
          <w:trHeight w:val="346"/>
          <w:jc w:val="center"/>
        </w:trPr>
        <w:tc>
          <w:tcPr>
            <w:tcW w:w="1555" w:type="dxa"/>
            <w:shd w:val="clear" w:color="auto" w:fill="auto"/>
            <w:vAlign w:val="center"/>
          </w:tcPr>
          <w:p w:rsidR="008C0054" w:rsidRPr="003458B1" w:rsidRDefault="008C0054" w:rsidP="004F0C61">
            <w:pPr>
              <w:jc w:val="left"/>
              <w:rPr>
                <w:rFonts w:eastAsia="Calibri"/>
                <w:sz w:val="20"/>
              </w:rPr>
            </w:pPr>
            <w:r w:rsidRPr="003458B1">
              <w:rPr>
                <w:rFonts w:eastAsia="Calibri"/>
                <w:sz w:val="20"/>
                <w:szCs w:val="20"/>
              </w:rPr>
              <w:t>Small C/I Equipment</w:t>
            </w:r>
          </w:p>
        </w:tc>
        <w:tc>
          <w:tcPr>
            <w:tcW w:w="1246" w:type="dxa"/>
            <w:shd w:val="clear" w:color="auto" w:fill="auto"/>
            <w:vAlign w:val="center"/>
          </w:tcPr>
          <w:p w:rsidR="008C0054" w:rsidRPr="003458B1" w:rsidRDefault="008C0054" w:rsidP="004F0C61">
            <w:pPr>
              <w:jc w:val="center"/>
              <w:rPr>
                <w:rFonts w:eastAsia="Calibri"/>
                <w:sz w:val="20"/>
                <w:szCs w:val="20"/>
              </w:rPr>
            </w:pPr>
            <w:r w:rsidRPr="003458B1">
              <w:rPr>
                <w:rFonts w:cs="Calibri"/>
                <w:color w:val="000000"/>
                <w:sz w:val="20"/>
                <w:szCs w:val="20"/>
              </w:rPr>
              <w:t>CR_PRJ-386168</w:t>
            </w:r>
          </w:p>
        </w:tc>
        <w:tc>
          <w:tcPr>
            <w:tcW w:w="1585" w:type="dxa"/>
            <w:shd w:val="clear" w:color="auto" w:fill="auto"/>
            <w:vAlign w:val="center"/>
          </w:tcPr>
          <w:p w:rsidR="008C0054" w:rsidRPr="003458B1" w:rsidRDefault="008C0054" w:rsidP="004F0C61">
            <w:pPr>
              <w:jc w:val="center"/>
              <w:rPr>
                <w:rFonts w:eastAsia="Calibri"/>
                <w:sz w:val="20"/>
                <w:szCs w:val="20"/>
              </w:rPr>
            </w:pPr>
            <w:r>
              <w:rPr>
                <w:rFonts w:cs="Calibri"/>
                <w:color w:val="000000"/>
                <w:sz w:val="20"/>
                <w:szCs w:val="20"/>
              </w:rPr>
              <w:t xml:space="preserve">Lighting – </w:t>
            </w:r>
            <w:r w:rsidRPr="003458B1">
              <w:rPr>
                <w:rFonts w:cs="Calibri"/>
                <w:color w:val="000000"/>
                <w:sz w:val="20"/>
                <w:szCs w:val="20"/>
              </w:rPr>
              <w:t>3</w:t>
            </w:r>
          </w:p>
        </w:tc>
        <w:tc>
          <w:tcPr>
            <w:tcW w:w="1585" w:type="dxa"/>
            <w:shd w:val="clear" w:color="auto" w:fill="auto"/>
            <w:vAlign w:val="center"/>
          </w:tcPr>
          <w:p w:rsidR="008C0054" w:rsidRPr="003458B1" w:rsidRDefault="008C0054" w:rsidP="004F0C61">
            <w:pPr>
              <w:jc w:val="center"/>
              <w:rPr>
                <w:rFonts w:eastAsia="Calibri"/>
                <w:sz w:val="20"/>
                <w:szCs w:val="20"/>
              </w:rPr>
            </w:pPr>
            <w:r w:rsidRPr="003458B1">
              <w:rPr>
                <w:rFonts w:cs="Calibri"/>
                <w:color w:val="000000"/>
                <w:sz w:val="20"/>
                <w:szCs w:val="20"/>
              </w:rPr>
              <w:t>122,454</w:t>
            </w:r>
          </w:p>
        </w:tc>
        <w:tc>
          <w:tcPr>
            <w:tcW w:w="1566" w:type="dxa"/>
            <w:shd w:val="clear" w:color="auto" w:fill="auto"/>
            <w:vAlign w:val="center"/>
          </w:tcPr>
          <w:p w:rsidR="008C0054" w:rsidRPr="003458B1" w:rsidRDefault="008C0054" w:rsidP="004F0C61">
            <w:pPr>
              <w:jc w:val="center"/>
              <w:rPr>
                <w:rFonts w:eastAsia="Calibri"/>
                <w:sz w:val="20"/>
                <w:szCs w:val="20"/>
              </w:rPr>
            </w:pPr>
            <w:r w:rsidRPr="003458B1">
              <w:rPr>
                <w:rFonts w:cs="Calibri"/>
                <w:color w:val="000000"/>
                <w:sz w:val="20"/>
                <w:szCs w:val="20"/>
              </w:rPr>
              <w:t>28.47</w:t>
            </w:r>
          </w:p>
        </w:tc>
        <w:tc>
          <w:tcPr>
            <w:tcW w:w="1813" w:type="dxa"/>
            <w:shd w:val="clear" w:color="auto" w:fill="auto"/>
            <w:vAlign w:val="center"/>
          </w:tcPr>
          <w:p w:rsidR="008C0054" w:rsidRPr="003458B1" w:rsidRDefault="008C0054" w:rsidP="004F0C61">
            <w:pPr>
              <w:jc w:val="center"/>
              <w:rPr>
                <w:rFonts w:eastAsia="Calibri"/>
                <w:sz w:val="20"/>
                <w:szCs w:val="20"/>
              </w:rPr>
            </w:pPr>
            <w:r>
              <w:rPr>
                <w:rFonts w:cs="Calibri"/>
                <w:color w:val="000000"/>
                <w:sz w:val="20"/>
                <w:szCs w:val="20"/>
              </w:rPr>
              <w:t>On-s</w:t>
            </w:r>
            <w:r w:rsidRPr="003458B1">
              <w:rPr>
                <w:rFonts w:cs="Calibri"/>
                <w:color w:val="000000"/>
                <w:sz w:val="20"/>
                <w:szCs w:val="20"/>
              </w:rPr>
              <w:t xml:space="preserve">ite + </w:t>
            </w:r>
            <w:r>
              <w:rPr>
                <w:rFonts w:cs="Calibri"/>
                <w:color w:val="000000"/>
                <w:sz w:val="20"/>
                <w:szCs w:val="20"/>
              </w:rPr>
              <w:t>l</w:t>
            </w:r>
            <w:r w:rsidRPr="003458B1">
              <w:rPr>
                <w:rFonts w:cs="Calibri"/>
                <w:color w:val="000000"/>
                <w:sz w:val="20"/>
                <w:szCs w:val="20"/>
              </w:rPr>
              <w:t>ogging</w:t>
            </w:r>
          </w:p>
        </w:tc>
      </w:tr>
      <w:tr w:rsidR="00A874AC" w:rsidRPr="003458B1" w:rsidTr="004F0C61">
        <w:trPr>
          <w:trHeight w:val="346"/>
          <w:jc w:val="center"/>
        </w:trPr>
        <w:tc>
          <w:tcPr>
            <w:tcW w:w="1555" w:type="dxa"/>
            <w:shd w:val="clear" w:color="auto" w:fill="D2EAF1"/>
            <w:vAlign w:val="center"/>
          </w:tcPr>
          <w:p w:rsidR="008C0054" w:rsidRPr="003458B1" w:rsidRDefault="008C0054" w:rsidP="004F0C61">
            <w:pPr>
              <w:jc w:val="left"/>
              <w:rPr>
                <w:rFonts w:eastAsia="Calibri"/>
                <w:sz w:val="20"/>
              </w:rPr>
            </w:pPr>
            <w:r w:rsidRPr="003458B1">
              <w:rPr>
                <w:rFonts w:eastAsia="Calibri"/>
                <w:sz w:val="20"/>
                <w:szCs w:val="20"/>
              </w:rPr>
              <w:t>Small C/I Buildings</w:t>
            </w:r>
          </w:p>
        </w:tc>
        <w:tc>
          <w:tcPr>
            <w:tcW w:w="1246" w:type="dxa"/>
            <w:shd w:val="clear" w:color="auto" w:fill="D2EAF1"/>
            <w:vAlign w:val="center"/>
          </w:tcPr>
          <w:p w:rsidR="008C0054" w:rsidRPr="003458B1" w:rsidRDefault="008C0054" w:rsidP="004F0C61">
            <w:pPr>
              <w:jc w:val="center"/>
              <w:rPr>
                <w:rFonts w:eastAsia="Calibri"/>
                <w:sz w:val="20"/>
                <w:szCs w:val="20"/>
              </w:rPr>
            </w:pPr>
            <w:r w:rsidRPr="003458B1">
              <w:rPr>
                <w:rFonts w:cs="Calibri"/>
                <w:color w:val="000000"/>
                <w:sz w:val="20"/>
                <w:szCs w:val="20"/>
              </w:rPr>
              <w:t>CR_PRJ-468193</w:t>
            </w:r>
          </w:p>
        </w:tc>
        <w:tc>
          <w:tcPr>
            <w:tcW w:w="1585" w:type="dxa"/>
            <w:shd w:val="clear" w:color="auto" w:fill="D2EAF1"/>
            <w:vAlign w:val="center"/>
          </w:tcPr>
          <w:p w:rsidR="008C0054" w:rsidRPr="003458B1" w:rsidRDefault="008C0054" w:rsidP="004F0C61">
            <w:pPr>
              <w:jc w:val="center"/>
              <w:rPr>
                <w:rFonts w:eastAsia="Calibri"/>
                <w:sz w:val="20"/>
                <w:szCs w:val="20"/>
              </w:rPr>
            </w:pPr>
            <w:r>
              <w:rPr>
                <w:rFonts w:cs="Calibri"/>
                <w:color w:val="000000"/>
                <w:sz w:val="20"/>
                <w:szCs w:val="20"/>
              </w:rPr>
              <w:t xml:space="preserve">Custom – </w:t>
            </w:r>
            <w:r w:rsidRPr="003458B1">
              <w:rPr>
                <w:rFonts w:cs="Calibri"/>
                <w:color w:val="000000"/>
                <w:sz w:val="20"/>
                <w:szCs w:val="20"/>
              </w:rPr>
              <w:t>2</w:t>
            </w:r>
          </w:p>
        </w:tc>
        <w:tc>
          <w:tcPr>
            <w:tcW w:w="1585" w:type="dxa"/>
            <w:shd w:val="clear" w:color="auto" w:fill="D2EAF1"/>
            <w:vAlign w:val="center"/>
          </w:tcPr>
          <w:p w:rsidR="008C0054" w:rsidRPr="003458B1" w:rsidRDefault="008C0054" w:rsidP="004F0C61">
            <w:pPr>
              <w:jc w:val="center"/>
              <w:rPr>
                <w:rFonts w:eastAsia="Calibri"/>
                <w:sz w:val="20"/>
                <w:szCs w:val="20"/>
              </w:rPr>
            </w:pPr>
            <w:r w:rsidRPr="003458B1">
              <w:rPr>
                <w:rFonts w:cs="Calibri"/>
                <w:color w:val="000000"/>
                <w:sz w:val="20"/>
                <w:szCs w:val="20"/>
              </w:rPr>
              <w:t>528,054</w:t>
            </w:r>
          </w:p>
        </w:tc>
        <w:tc>
          <w:tcPr>
            <w:tcW w:w="1566" w:type="dxa"/>
            <w:shd w:val="clear" w:color="auto" w:fill="D2EAF1"/>
            <w:vAlign w:val="center"/>
          </w:tcPr>
          <w:p w:rsidR="008C0054" w:rsidRPr="003458B1" w:rsidRDefault="008C0054" w:rsidP="004F0C61">
            <w:pPr>
              <w:jc w:val="center"/>
              <w:rPr>
                <w:rFonts w:eastAsia="Calibri"/>
                <w:sz w:val="20"/>
                <w:szCs w:val="20"/>
              </w:rPr>
            </w:pPr>
            <w:r w:rsidRPr="003458B1">
              <w:rPr>
                <w:rFonts w:cs="Calibri"/>
                <w:color w:val="000000"/>
                <w:sz w:val="20"/>
                <w:szCs w:val="20"/>
              </w:rPr>
              <w:t>43.72</w:t>
            </w:r>
          </w:p>
        </w:tc>
        <w:tc>
          <w:tcPr>
            <w:tcW w:w="1813" w:type="dxa"/>
            <w:shd w:val="clear" w:color="auto" w:fill="D2EAF1"/>
            <w:vAlign w:val="center"/>
          </w:tcPr>
          <w:p w:rsidR="008C0054" w:rsidRPr="003458B1" w:rsidRDefault="008C0054" w:rsidP="004F0C61">
            <w:pPr>
              <w:jc w:val="center"/>
              <w:rPr>
                <w:rFonts w:eastAsia="Calibri"/>
                <w:sz w:val="20"/>
                <w:szCs w:val="20"/>
              </w:rPr>
            </w:pPr>
            <w:r>
              <w:rPr>
                <w:rFonts w:cs="Calibri"/>
                <w:color w:val="000000"/>
                <w:sz w:val="20"/>
                <w:szCs w:val="20"/>
              </w:rPr>
              <w:t>Billing a</w:t>
            </w:r>
            <w:r w:rsidRPr="003458B1">
              <w:rPr>
                <w:rFonts w:cs="Calibri"/>
                <w:color w:val="000000"/>
                <w:sz w:val="20"/>
                <w:szCs w:val="20"/>
              </w:rPr>
              <w:t>nalysis</w:t>
            </w:r>
          </w:p>
        </w:tc>
      </w:tr>
    </w:tbl>
    <w:p w:rsidR="008C0054" w:rsidRPr="003458B1" w:rsidRDefault="008C0054" w:rsidP="008C0054"/>
    <w:p w:rsidR="008C0054" w:rsidRPr="003458B1" w:rsidRDefault="008C0054" w:rsidP="008C0054">
      <w:r w:rsidRPr="003458B1">
        <w:t>Project CR_PRJ-289552 involved the new construction installation of high</w:t>
      </w:r>
      <w:r>
        <w:t>-</w:t>
      </w:r>
      <w:r w:rsidRPr="003458B1">
        <w:t>efficiency</w:t>
      </w:r>
      <w:r w:rsidR="00E141E5">
        <w:t xml:space="preserve"> rooftop units</w:t>
      </w:r>
      <w:r w:rsidRPr="003458B1">
        <w:t xml:space="preserve"> </w:t>
      </w:r>
      <w:r w:rsidR="00E141E5">
        <w:t>(</w:t>
      </w:r>
      <w:r w:rsidRPr="003458B1">
        <w:t>RTU</w:t>
      </w:r>
      <w:r w:rsidR="00E141E5">
        <w:t>s)</w:t>
      </w:r>
      <w:r w:rsidRPr="003458B1">
        <w:t xml:space="preserve"> and mini-splits as well as LED and T5 fixtures at an indoor sports facility in Cranberry Township, PA. </w:t>
      </w:r>
      <w:r>
        <w:t xml:space="preserve">A total of </w:t>
      </w:r>
      <w:r w:rsidRPr="003458B1">
        <w:t>18</w:t>
      </w:r>
      <w:r w:rsidR="00502F2B">
        <w:t xml:space="preserve"> direct exchange</w:t>
      </w:r>
      <w:r w:rsidRPr="003458B1">
        <w:t xml:space="preserve"> </w:t>
      </w:r>
      <w:r w:rsidR="00502F2B">
        <w:t>(</w:t>
      </w:r>
      <w:r w:rsidRPr="003458B1">
        <w:t>DX</w:t>
      </w:r>
      <w:r w:rsidR="00502F2B">
        <w:t>)</w:t>
      </w:r>
      <w:r w:rsidRPr="003458B1">
        <w:t xml:space="preserve"> HVAC units were installed with savings calculated through TRM algorithms using data inputs from cut sheets. Over 2</w:t>
      </w:r>
      <w:r>
        <w:t>,</w:t>
      </w:r>
      <w:r w:rsidRPr="003458B1">
        <w:t>000 light fixtures were installed and analyzed with the Appendix E calculator using the space-by-space method. HOU were confirmed by the implementer and through posted operating hours for certain sections of the facility. The SWE agrees with the level of rigor and methods used for the analysis.</w:t>
      </w:r>
    </w:p>
    <w:p w:rsidR="008C0054" w:rsidRPr="003458B1" w:rsidRDefault="008C0054" w:rsidP="008C0054"/>
    <w:p w:rsidR="008C0054" w:rsidRPr="003458B1" w:rsidRDefault="008C0054" w:rsidP="008C0054">
      <w:r w:rsidRPr="003458B1">
        <w:t>Project CR_PRJ-386168 involved the replacement of halogen fixtures with LED fixtures, conversion of T12</w:t>
      </w:r>
      <w:r>
        <w:t>s</w:t>
      </w:r>
      <w:r w:rsidRPr="003458B1">
        <w:t xml:space="preserve"> to T8</w:t>
      </w:r>
      <w:r>
        <w:t>s</w:t>
      </w:r>
      <w:r w:rsidRPr="003458B1">
        <w:t>, and metal halide</w:t>
      </w:r>
      <w:r w:rsidR="00EB11A8">
        <w:t xml:space="preserve"> (MH)</w:t>
      </w:r>
      <w:r w:rsidRPr="003458B1">
        <w:t xml:space="preserve"> to pulse start</w:t>
      </w:r>
      <w:r w:rsidR="00EB11A8">
        <w:t xml:space="preserve"> </w:t>
      </w:r>
      <w:r w:rsidRPr="003458B1">
        <w:t>in a retail store in Cranberry Township, PA. Two light loggers were deployed during a site visit</w:t>
      </w:r>
      <w:r>
        <w:t>,</w:t>
      </w:r>
      <w:r w:rsidRPr="003458B1">
        <w:t xml:space="preserve"> and all light fixtures were verified as installed. In addition to higher than ex</w:t>
      </w:r>
      <w:r>
        <w:t xml:space="preserve"> </w:t>
      </w:r>
      <w:r w:rsidRPr="003458B1">
        <w:t>ante HOU, the metering also resulted in higher CF. This resulted in the 135% realization rate for kWh and 137% for kW.</w:t>
      </w:r>
    </w:p>
    <w:p w:rsidR="008C0054" w:rsidRPr="003458B1" w:rsidRDefault="008C0054" w:rsidP="008C0054"/>
    <w:p w:rsidR="008C0054" w:rsidRDefault="008C0054" w:rsidP="008C0054">
      <w:r w:rsidRPr="003458B1">
        <w:lastRenderedPageBreak/>
        <w:t>Project CR_PRJ-468193 involved the installation of anti-sweat heater controls and refrigeration system retro-commissioning at a grocery store in New Castle, PA. The savings were verified through a statistical billing analysis. The 173% realization rate is a result of the lack of long-term, pre-retrofit billing data available for the ex</w:t>
      </w:r>
      <w:r>
        <w:t xml:space="preserve"> </w:t>
      </w:r>
      <w:r w:rsidRPr="003458B1">
        <w:t>ante analysis. The SWE agrees with the level of rigor and method used for the analysis.</w:t>
      </w:r>
    </w:p>
    <w:p w:rsidR="008C0054" w:rsidRDefault="008C0054" w:rsidP="008C0054"/>
    <w:p w:rsidR="00950837" w:rsidRDefault="00950837" w:rsidP="00D34B3E">
      <w:pPr>
        <w:pStyle w:val="AppendixAHeading3"/>
      </w:pPr>
      <w:r>
        <w:t>Net-to-Gross and Process Evaluation Audit Summary</w:t>
      </w:r>
    </w:p>
    <w:p w:rsidR="003351A0" w:rsidRDefault="003351A0" w:rsidP="003351A0">
      <w:r w:rsidRPr="00661E10">
        <w:t>FirstEnergy’s evaluation contractor, ADM</w:t>
      </w:r>
      <w:r w:rsidR="0009501A">
        <w:t>/Tetra Tech</w:t>
      </w:r>
      <w:r w:rsidRPr="00661E10">
        <w:t>, took unified process evaluation approaches to these programs across the four FirstEnergy EDCs, including Pen</w:t>
      </w:r>
      <w:r>
        <w:t>n Power</w:t>
      </w:r>
      <w:r w:rsidRPr="00661E10">
        <w:t xml:space="preserve">, and so the annual evaluation reports of the four EDCs report identical information about the process evaluation. Therefore, the SWE Team’s audit summary </w:t>
      </w:r>
      <w:r w:rsidRPr="003E2E20">
        <w:t xml:space="preserve">described in Section </w:t>
      </w:r>
      <w:r w:rsidRPr="003E2E20">
        <w:fldChar w:fldCharType="begin"/>
      </w:r>
      <w:r w:rsidRPr="003E2E20">
        <w:instrText xml:space="preserve"> REF _Ref472452280 \r \h </w:instrText>
      </w:r>
      <w:r>
        <w:instrText xml:space="preserve"> \* MERGEFORMAT </w:instrText>
      </w:r>
      <w:r w:rsidRPr="003E2E20">
        <w:fldChar w:fldCharType="separate"/>
      </w:r>
      <w:r w:rsidR="00C301D0">
        <w:t>A.2.4.4</w:t>
      </w:r>
      <w:r w:rsidRPr="003E2E20">
        <w:fldChar w:fldCharType="end"/>
      </w:r>
      <w:r w:rsidRPr="003E2E20">
        <w:t xml:space="preserve"> pertains</w:t>
      </w:r>
      <w:r w:rsidRPr="00661E10">
        <w:t xml:space="preserve"> to all four FirstEnergy utilities, including </w:t>
      </w:r>
      <w:r>
        <w:t>Penn Power</w:t>
      </w:r>
      <w:r w:rsidRPr="00661E10">
        <w:t>.</w:t>
      </w:r>
    </w:p>
    <w:p w:rsidR="003351A0" w:rsidRDefault="003351A0" w:rsidP="003351A0"/>
    <w:p w:rsidR="003351A0" w:rsidRPr="006C05B5" w:rsidRDefault="003351A0" w:rsidP="003351A0">
      <w:pPr>
        <w:rPr>
          <w:highlight w:val="lightGray"/>
        </w:rPr>
      </w:pPr>
      <w:r w:rsidRPr="006C05B5">
        <w:t>This</w:t>
      </w:r>
      <w:r>
        <w:t xml:space="preserve"> remainder of this</w:t>
      </w:r>
      <w:r w:rsidRPr="006C05B5">
        <w:t xml:space="preserve"> section summarizes the activities and key findings of the SWE Team’s NTG audits of Penn Power’s PY7 programs. </w:t>
      </w:r>
    </w:p>
    <w:p w:rsidR="003351A0" w:rsidRPr="006C05B5" w:rsidRDefault="003351A0" w:rsidP="003351A0"/>
    <w:p w:rsidR="003351A0" w:rsidRPr="006C05B5" w:rsidRDefault="003351A0" w:rsidP="003351A0">
      <w:r w:rsidRPr="006C05B5">
        <w:t xml:space="preserve">FirstEnergy implemented a common set of energy efficiency programs across its four Pennsylvania EDCs. FirstEnergy’s evaluation contractors, ADM/Tetra Tech, used the same evaluation methods for all four EDCs. See </w:t>
      </w:r>
      <w:r w:rsidRPr="003E2E20">
        <w:t xml:space="preserve">Section </w:t>
      </w:r>
      <w:r w:rsidRPr="003E2E20">
        <w:fldChar w:fldCharType="begin"/>
      </w:r>
      <w:r w:rsidRPr="003E2E20">
        <w:instrText xml:space="preserve"> REF _Ref472452280 \r \h </w:instrText>
      </w:r>
      <w:r>
        <w:instrText xml:space="preserve"> \* MERGEFORMAT </w:instrText>
      </w:r>
      <w:r w:rsidRPr="003E2E20">
        <w:fldChar w:fldCharType="separate"/>
      </w:r>
      <w:r w:rsidR="00C301D0">
        <w:t>A.2.4.4</w:t>
      </w:r>
      <w:r w:rsidRPr="003E2E20">
        <w:fldChar w:fldCharType="end"/>
      </w:r>
      <w:r w:rsidRPr="006C05B5">
        <w:t xml:space="preserve"> for a description of the SWE Team’s review of the FirstEnergy EDC NTG evaluation, which applies to all four of FirstEnergy’s Pennsylvania EDCs.</w:t>
      </w:r>
    </w:p>
    <w:p w:rsidR="003351A0" w:rsidRPr="006C05B5" w:rsidRDefault="003351A0" w:rsidP="003351A0"/>
    <w:p w:rsidR="003351A0" w:rsidRPr="006C05B5" w:rsidRDefault="003351A0" w:rsidP="003351A0">
      <w:r>
        <w:fldChar w:fldCharType="begin"/>
      </w:r>
      <w:r>
        <w:instrText xml:space="preserve"> REF _Ref472453113 \h </w:instrText>
      </w:r>
      <w:r>
        <w:fldChar w:fldCharType="separate"/>
      </w:r>
      <w:r w:rsidR="00A874AC" w:rsidRPr="003351A0">
        <w:t>Table A-</w:t>
      </w:r>
      <w:r w:rsidR="00A874AC">
        <w:rPr>
          <w:noProof/>
        </w:rPr>
        <w:t>84</w:t>
      </w:r>
      <w:r>
        <w:fldChar w:fldCharType="end"/>
      </w:r>
      <w:r w:rsidRPr="006C05B5">
        <w:t xml:space="preserve"> summarizes NTG findings from the Penn Power PY7 annual report. </w:t>
      </w:r>
    </w:p>
    <w:p w:rsidR="003351A0" w:rsidRPr="006C05B5" w:rsidRDefault="003351A0" w:rsidP="003351A0"/>
    <w:p w:rsidR="003351A0" w:rsidRPr="003351A0" w:rsidRDefault="003351A0" w:rsidP="003351A0">
      <w:pPr>
        <w:pStyle w:val="Caption"/>
      </w:pPr>
      <w:bookmarkStart w:id="993" w:name="_Ref472453113"/>
      <w:bookmarkStart w:id="994" w:name="_Toc472472493"/>
      <w:bookmarkStart w:id="995" w:name="_Toc476842199"/>
      <w:r w:rsidRPr="003351A0">
        <w:t>Table A-</w:t>
      </w:r>
      <w:fldSimple w:instr=" SEQ Table_A- \* ARABIC ">
        <w:r w:rsidR="00C301D0">
          <w:rPr>
            <w:noProof/>
          </w:rPr>
          <w:t>84</w:t>
        </w:r>
      </w:fldSimple>
      <w:bookmarkEnd w:id="993"/>
      <w:r w:rsidRPr="003351A0">
        <w:t>: Summary of NTG Estimates for Penn Power’s Programs</w:t>
      </w:r>
      <w:bookmarkEnd w:id="994"/>
      <w:bookmarkEnd w:id="995"/>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417"/>
        <w:gridCol w:w="3294"/>
        <w:gridCol w:w="1144"/>
        <w:gridCol w:w="1212"/>
        <w:gridCol w:w="1209"/>
        <w:gridCol w:w="1074"/>
      </w:tblGrid>
      <w:tr w:rsidR="00A874AC" w:rsidRPr="006C05B5" w:rsidTr="005C1352">
        <w:trPr>
          <w:tblHeader/>
          <w:jc w:val="center"/>
        </w:trPr>
        <w:tc>
          <w:tcPr>
            <w:tcW w:w="1417" w:type="dxa"/>
            <w:tcBorders>
              <w:bottom w:val="single" w:sz="4" w:space="0" w:color="448A99"/>
            </w:tcBorders>
            <w:shd w:val="clear" w:color="auto" w:fill="448A99"/>
            <w:vAlign w:val="bottom"/>
          </w:tcPr>
          <w:p w:rsidR="003351A0" w:rsidRPr="006C05B5" w:rsidRDefault="003351A0" w:rsidP="005C1352">
            <w:pPr>
              <w:rPr>
                <w:b/>
                <w:color w:val="FFFFFF"/>
                <w:sz w:val="20"/>
                <w:szCs w:val="20"/>
              </w:rPr>
            </w:pPr>
            <w:r w:rsidRPr="006C05B5">
              <w:rPr>
                <w:b/>
                <w:color w:val="FFFFFF"/>
                <w:sz w:val="20"/>
                <w:szCs w:val="20"/>
              </w:rPr>
              <w:t>Approach</w:t>
            </w:r>
          </w:p>
        </w:tc>
        <w:tc>
          <w:tcPr>
            <w:tcW w:w="3294" w:type="dxa"/>
            <w:tcBorders>
              <w:bottom w:val="single" w:sz="4" w:space="0" w:color="448A99"/>
            </w:tcBorders>
            <w:shd w:val="clear" w:color="auto" w:fill="448A99"/>
            <w:vAlign w:val="bottom"/>
          </w:tcPr>
          <w:p w:rsidR="003351A0" w:rsidRPr="006C05B5" w:rsidRDefault="003351A0" w:rsidP="005C1352">
            <w:pPr>
              <w:rPr>
                <w:b/>
                <w:color w:val="FFFFFF"/>
                <w:sz w:val="20"/>
                <w:szCs w:val="20"/>
              </w:rPr>
            </w:pPr>
            <w:r w:rsidRPr="006C05B5">
              <w:rPr>
                <w:b/>
                <w:color w:val="FFFFFF"/>
                <w:sz w:val="20"/>
                <w:szCs w:val="20"/>
              </w:rPr>
              <w:t>Program</w:t>
            </w:r>
          </w:p>
        </w:tc>
        <w:tc>
          <w:tcPr>
            <w:tcW w:w="1144" w:type="dxa"/>
            <w:tcBorders>
              <w:bottom w:val="single" w:sz="4" w:space="0" w:color="448A99"/>
            </w:tcBorders>
            <w:shd w:val="clear" w:color="auto" w:fill="448A99"/>
            <w:vAlign w:val="bottom"/>
          </w:tcPr>
          <w:p w:rsidR="003351A0" w:rsidRPr="006C05B5" w:rsidRDefault="003351A0" w:rsidP="005C1352">
            <w:pPr>
              <w:jc w:val="center"/>
              <w:rPr>
                <w:b/>
                <w:color w:val="FFFFFF"/>
                <w:sz w:val="20"/>
                <w:szCs w:val="20"/>
              </w:rPr>
            </w:pPr>
            <w:r w:rsidRPr="006C05B5">
              <w:rPr>
                <w:b/>
                <w:color w:val="FFFFFF"/>
                <w:sz w:val="20"/>
                <w:szCs w:val="20"/>
              </w:rPr>
              <w:t>Free-Ridership</w:t>
            </w:r>
          </w:p>
        </w:tc>
        <w:tc>
          <w:tcPr>
            <w:tcW w:w="1212" w:type="dxa"/>
            <w:tcBorders>
              <w:bottom w:val="single" w:sz="4" w:space="0" w:color="448A99"/>
            </w:tcBorders>
            <w:shd w:val="clear" w:color="auto" w:fill="448A99"/>
            <w:vAlign w:val="bottom"/>
          </w:tcPr>
          <w:p w:rsidR="003351A0" w:rsidRPr="006C05B5" w:rsidRDefault="003351A0" w:rsidP="005C1352">
            <w:pPr>
              <w:jc w:val="center"/>
              <w:rPr>
                <w:b/>
                <w:color w:val="FFFFFF"/>
                <w:sz w:val="20"/>
                <w:szCs w:val="20"/>
              </w:rPr>
            </w:pPr>
            <w:r w:rsidRPr="006C05B5">
              <w:rPr>
                <w:b/>
                <w:color w:val="FFFFFF"/>
                <w:sz w:val="20"/>
                <w:szCs w:val="20"/>
              </w:rPr>
              <w:t>Spillover</w:t>
            </w:r>
          </w:p>
        </w:tc>
        <w:tc>
          <w:tcPr>
            <w:tcW w:w="1209" w:type="dxa"/>
            <w:tcBorders>
              <w:bottom w:val="single" w:sz="4" w:space="0" w:color="448A99"/>
            </w:tcBorders>
            <w:shd w:val="clear" w:color="auto" w:fill="448A99"/>
            <w:vAlign w:val="bottom"/>
          </w:tcPr>
          <w:p w:rsidR="003351A0" w:rsidRPr="006C05B5" w:rsidRDefault="003351A0" w:rsidP="005C1352">
            <w:pPr>
              <w:jc w:val="center"/>
              <w:rPr>
                <w:b/>
                <w:color w:val="FFFFFF"/>
                <w:sz w:val="20"/>
                <w:szCs w:val="20"/>
              </w:rPr>
            </w:pPr>
            <w:r w:rsidRPr="006C05B5">
              <w:rPr>
                <w:b/>
                <w:color w:val="FFFFFF"/>
                <w:sz w:val="20"/>
                <w:szCs w:val="20"/>
              </w:rPr>
              <w:t>NTGR</w:t>
            </w:r>
            <w:r w:rsidRPr="006C05B5">
              <w:rPr>
                <w:b/>
                <w:color w:val="FFFFFF"/>
                <w:sz w:val="20"/>
                <w:szCs w:val="20"/>
                <w:vertAlign w:val="superscript"/>
              </w:rPr>
              <w:t>[a]</w:t>
            </w:r>
          </w:p>
        </w:tc>
        <w:tc>
          <w:tcPr>
            <w:tcW w:w="1074" w:type="dxa"/>
            <w:tcBorders>
              <w:bottom w:val="single" w:sz="4" w:space="0" w:color="448A99"/>
            </w:tcBorders>
            <w:shd w:val="clear" w:color="auto" w:fill="448A99"/>
            <w:vAlign w:val="bottom"/>
          </w:tcPr>
          <w:p w:rsidR="003351A0" w:rsidRPr="006C05B5" w:rsidRDefault="003351A0" w:rsidP="005C1352">
            <w:pPr>
              <w:jc w:val="center"/>
              <w:rPr>
                <w:b/>
                <w:color w:val="FFFFFF"/>
                <w:sz w:val="20"/>
                <w:szCs w:val="20"/>
              </w:rPr>
            </w:pPr>
            <w:r w:rsidRPr="006C05B5">
              <w:rPr>
                <w:b/>
                <w:color w:val="FFFFFF"/>
                <w:sz w:val="20"/>
                <w:szCs w:val="20"/>
              </w:rPr>
              <w:t>Sample Size</w:t>
            </w:r>
            <w:r w:rsidRPr="006C05B5">
              <w:rPr>
                <w:b/>
                <w:color w:val="FFFFFF"/>
                <w:sz w:val="20"/>
                <w:szCs w:val="20"/>
                <w:vertAlign w:val="superscript"/>
              </w:rPr>
              <w:t>[b]</w:t>
            </w:r>
          </w:p>
        </w:tc>
      </w:tr>
      <w:tr w:rsidR="00E7173E" w:rsidRPr="006C05B5" w:rsidTr="001D479D">
        <w:trPr>
          <w:trHeight w:val="288"/>
          <w:jc w:val="center"/>
        </w:trPr>
        <w:tc>
          <w:tcPr>
            <w:tcW w:w="9350" w:type="dxa"/>
            <w:gridSpan w:val="6"/>
            <w:shd w:val="clear" w:color="auto" w:fill="9C9393"/>
          </w:tcPr>
          <w:p w:rsidR="003351A0" w:rsidRPr="006C05B5" w:rsidRDefault="003351A0" w:rsidP="005C1352">
            <w:pPr>
              <w:rPr>
                <w:b/>
                <w:color w:val="FFFFFF"/>
                <w:sz w:val="20"/>
                <w:szCs w:val="20"/>
              </w:rPr>
            </w:pPr>
            <w:r w:rsidRPr="006C05B5">
              <w:rPr>
                <w:b/>
                <w:color w:val="FFFFFF"/>
                <w:sz w:val="20"/>
                <w:szCs w:val="20"/>
              </w:rPr>
              <w:t>Residential</w:t>
            </w:r>
          </w:p>
        </w:tc>
      </w:tr>
      <w:tr w:rsidR="00A874AC" w:rsidRPr="006C05B5" w:rsidTr="005C1352">
        <w:trPr>
          <w:trHeight w:val="346"/>
          <w:jc w:val="center"/>
        </w:trPr>
        <w:tc>
          <w:tcPr>
            <w:tcW w:w="1417" w:type="dxa"/>
            <w:vMerge w:val="restart"/>
            <w:shd w:val="clear" w:color="auto" w:fill="D2EAF1"/>
          </w:tcPr>
          <w:p w:rsidR="003351A0" w:rsidRPr="006C05B5" w:rsidRDefault="003351A0" w:rsidP="005C1352">
            <w:pPr>
              <w:rPr>
                <w:sz w:val="20"/>
                <w:szCs w:val="20"/>
              </w:rPr>
            </w:pPr>
            <w:r w:rsidRPr="006C05B5">
              <w:rPr>
                <w:sz w:val="20"/>
                <w:szCs w:val="20"/>
              </w:rPr>
              <w:t>Estimated</w:t>
            </w:r>
          </w:p>
        </w:tc>
        <w:tc>
          <w:tcPr>
            <w:tcW w:w="3294" w:type="dxa"/>
            <w:shd w:val="clear" w:color="auto" w:fill="D2EAF1"/>
            <w:vAlign w:val="center"/>
          </w:tcPr>
          <w:p w:rsidR="003351A0" w:rsidRPr="006C05B5" w:rsidRDefault="003351A0" w:rsidP="005C1352">
            <w:pPr>
              <w:jc w:val="left"/>
              <w:rPr>
                <w:color w:val="548DD4"/>
                <w:sz w:val="20"/>
                <w:szCs w:val="20"/>
              </w:rPr>
            </w:pPr>
            <w:r w:rsidRPr="006C05B5">
              <w:rPr>
                <w:sz w:val="20"/>
                <w:szCs w:val="20"/>
              </w:rPr>
              <w:t>Appliance Turn-In</w:t>
            </w:r>
            <w:r w:rsidRPr="006C05B5">
              <w:rPr>
                <w:sz w:val="20"/>
                <w:szCs w:val="20"/>
                <w:vertAlign w:val="superscript"/>
              </w:rPr>
              <w:t>[c]</w:t>
            </w:r>
          </w:p>
        </w:tc>
        <w:tc>
          <w:tcPr>
            <w:tcW w:w="1144" w:type="dxa"/>
            <w:shd w:val="clear" w:color="auto" w:fill="D2EAF1"/>
            <w:vAlign w:val="center"/>
          </w:tcPr>
          <w:p w:rsidR="003351A0" w:rsidRPr="006C05B5" w:rsidRDefault="003351A0" w:rsidP="005C1352">
            <w:pPr>
              <w:jc w:val="center"/>
              <w:rPr>
                <w:sz w:val="20"/>
                <w:szCs w:val="20"/>
              </w:rPr>
            </w:pPr>
            <w:r w:rsidRPr="006C05B5">
              <w:rPr>
                <w:sz w:val="20"/>
                <w:szCs w:val="20"/>
              </w:rPr>
              <w:t>0.59</w:t>
            </w:r>
          </w:p>
        </w:tc>
        <w:tc>
          <w:tcPr>
            <w:tcW w:w="1212" w:type="dxa"/>
            <w:shd w:val="clear" w:color="auto" w:fill="D2EAF1"/>
            <w:vAlign w:val="center"/>
          </w:tcPr>
          <w:p w:rsidR="003351A0" w:rsidRPr="006C05B5" w:rsidRDefault="003351A0" w:rsidP="005C1352">
            <w:pPr>
              <w:jc w:val="center"/>
              <w:rPr>
                <w:sz w:val="20"/>
                <w:szCs w:val="20"/>
              </w:rPr>
            </w:pPr>
            <w:r w:rsidRPr="006C05B5">
              <w:rPr>
                <w:sz w:val="20"/>
                <w:szCs w:val="20"/>
              </w:rPr>
              <w:t>0.00</w:t>
            </w:r>
          </w:p>
        </w:tc>
        <w:tc>
          <w:tcPr>
            <w:tcW w:w="1209" w:type="dxa"/>
            <w:shd w:val="clear" w:color="auto" w:fill="D2EAF1"/>
            <w:vAlign w:val="center"/>
          </w:tcPr>
          <w:p w:rsidR="003351A0" w:rsidRPr="006C05B5" w:rsidRDefault="003351A0" w:rsidP="005C1352">
            <w:pPr>
              <w:jc w:val="center"/>
              <w:rPr>
                <w:sz w:val="20"/>
                <w:szCs w:val="20"/>
              </w:rPr>
            </w:pPr>
            <w:r w:rsidRPr="006C05B5">
              <w:rPr>
                <w:sz w:val="20"/>
                <w:szCs w:val="20"/>
              </w:rPr>
              <w:t>0.42</w:t>
            </w:r>
          </w:p>
        </w:tc>
        <w:tc>
          <w:tcPr>
            <w:tcW w:w="1074" w:type="dxa"/>
            <w:shd w:val="clear" w:color="auto" w:fill="D2EAF1"/>
            <w:vAlign w:val="center"/>
          </w:tcPr>
          <w:p w:rsidR="003351A0" w:rsidRPr="006C05B5" w:rsidRDefault="003351A0" w:rsidP="005C1352">
            <w:pPr>
              <w:jc w:val="center"/>
              <w:rPr>
                <w:sz w:val="20"/>
                <w:szCs w:val="20"/>
              </w:rPr>
            </w:pPr>
            <w:r w:rsidRPr="006C05B5">
              <w:rPr>
                <w:sz w:val="20"/>
                <w:szCs w:val="20"/>
              </w:rPr>
              <w:t>52</w:t>
            </w:r>
          </w:p>
        </w:tc>
      </w:tr>
      <w:tr w:rsidR="003351A0" w:rsidRPr="006C05B5" w:rsidTr="001D479D">
        <w:trPr>
          <w:trHeight w:val="346"/>
          <w:jc w:val="center"/>
        </w:trPr>
        <w:tc>
          <w:tcPr>
            <w:tcW w:w="1417" w:type="dxa"/>
            <w:vMerge/>
          </w:tcPr>
          <w:p w:rsidR="003351A0" w:rsidRPr="006C05B5" w:rsidRDefault="003351A0" w:rsidP="005C1352">
            <w:pPr>
              <w:rPr>
                <w:sz w:val="20"/>
                <w:szCs w:val="20"/>
              </w:rPr>
            </w:pPr>
          </w:p>
        </w:tc>
        <w:tc>
          <w:tcPr>
            <w:tcW w:w="3294" w:type="dxa"/>
            <w:vAlign w:val="center"/>
          </w:tcPr>
          <w:p w:rsidR="003351A0" w:rsidRPr="006C05B5" w:rsidRDefault="003351A0" w:rsidP="005C1352">
            <w:pPr>
              <w:jc w:val="left"/>
              <w:rPr>
                <w:color w:val="548DD4"/>
                <w:sz w:val="20"/>
                <w:szCs w:val="20"/>
              </w:rPr>
            </w:pPr>
            <w:r w:rsidRPr="006C05B5">
              <w:rPr>
                <w:sz w:val="20"/>
                <w:szCs w:val="20"/>
              </w:rPr>
              <w:t>Efficient Products</w:t>
            </w:r>
          </w:p>
        </w:tc>
        <w:tc>
          <w:tcPr>
            <w:tcW w:w="1144" w:type="dxa"/>
          </w:tcPr>
          <w:p w:rsidR="003351A0" w:rsidRPr="006C05B5" w:rsidRDefault="003351A0" w:rsidP="005C1352">
            <w:pPr>
              <w:jc w:val="center"/>
              <w:rPr>
                <w:sz w:val="20"/>
                <w:szCs w:val="20"/>
              </w:rPr>
            </w:pPr>
            <w:r w:rsidRPr="006C05B5">
              <w:rPr>
                <w:sz w:val="20"/>
                <w:szCs w:val="20"/>
              </w:rPr>
              <w:t>0.36</w:t>
            </w:r>
          </w:p>
        </w:tc>
        <w:tc>
          <w:tcPr>
            <w:tcW w:w="1212" w:type="dxa"/>
          </w:tcPr>
          <w:p w:rsidR="003351A0" w:rsidRPr="006C05B5" w:rsidRDefault="003351A0" w:rsidP="005C1352">
            <w:pPr>
              <w:jc w:val="center"/>
              <w:rPr>
                <w:sz w:val="20"/>
                <w:szCs w:val="20"/>
              </w:rPr>
            </w:pPr>
            <w:r w:rsidRPr="006C05B5">
              <w:rPr>
                <w:sz w:val="20"/>
                <w:szCs w:val="20"/>
              </w:rPr>
              <w:t>0.02</w:t>
            </w:r>
          </w:p>
        </w:tc>
        <w:tc>
          <w:tcPr>
            <w:tcW w:w="1209" w:type="dxa"/>
          </w:tcPr>
          <w:p w:rsidR="003351A0" w:rsidRPr="006C05B5" w:rsidRDefault="003351A0" w:rsidP="005C1352">
            <w:pPr>
              <w:jc w:val="center"/>
              <w:rPr>
                <w:sz w:val="20"/>
                <w:szCs w:val="20"/>
              </w:rPr>
            </w:pPr>
            <w:r w:rsidRPr="006C05B5">
              <w:rPr>
                <w:sz w:val="20"/>
                <w:szCs w:val="20"/>
              </w:rPr>
              <w:t>0.67</w:t>
            </w:r>
          </w:p>
        </w:tc>
        <w:tc>
          <w:tcPr>
            <w:tcW w:w="1074" w:type="dxa"/>
            <w:vAlign w:val="center"/>
          </w:tcPr>
          <w:p w:rsidR="003351A0" w:rsidRPr="006C05B5" w:rsidRDefault="003351A0" w:rsidP="005C1352">
            <w:pPr>
              <w:jc w:val="center"/>
              <w:rPr>
                <w:sz w:val="20"/>
                <w:szCs w:val="20"/>
              </w:rPr>
            </w:pPr>
            <w:r w:rsidRPr="006C05B5">
              <w:rPr>
                <w:sz w:val="20"/>
                <w:szCs w:val="20"/>
              </w:rPr>
              <w:t>101</w:t>
            </w:r>
          </w:p>
        </w:tc>
      </w:tr>
      <w:tr w:rsidR="00A874AC" w:rsidRPr="006C05B5" w:rsidTr="005C1352">
        <w:trPr>
          <w:trHeight w:val="346"/>
          <w:jc w:val="center"/>
        </w:trPr>
        <w:tc>
          <w:tcPr>
            <w:tcW w:w="1417" w:type="dxa"/>
            <w:vMerge/>
            <w:tcBorders>
              <w:bottom w:val="single" w:sz="4" w:space="0" w:color="448A99"/>
            </w:tcBorders>
          </w:tcPr>
          <w:p w:rsidR="003351A0" w:rsidRPr="006C05B5" w:rsidRDefault="003351A0" w:rsidP="005C1352">
            <w:pPr>
              <w:rPr>
                <w:sz w:val="20"/>
                <w:szCs w:val="20"/>
              </w:rPr>
            </w:pPr>
          </w:p>
        </w:tc>
        <w:tc>
          <w:tcPr>
            <w:tcW w:w="3294" w:type="dxa"/>
            <w:tcBorders>
              <w:bottom w:val="single" w:sz="4" w:space="0" w:color="448A99"/>
            </w:tcBorders>
            <w:shd w:val="clear" w:color="auto" w:fill="D2EAF1"/>
            <w:vAlign w:val="center"/>
          </w:tcPr>
          <w:p w:rsidR="003351A0" w:rsidRPr="006C05B5" w:rsidRDefault="003351A0" w:rsidP="005C1352">
            <w:pPr>
              <w:jc w:val="left"/>
              <w:rPr>
                <w:color w:val="548DD4"/>
                <w:sz w:val="20"/>
                <w:szCs w:val="20"/>
              </w:rPr>
            </w:pPr>
            <w:r w:rsidRPr="006C05B5">
              <w:rPr>
                <w:sz w:val="20"/>
                <w:szCs w:val="20"/>
              </w:rPr>
              <w:t>Home Performance</w:t>
            </w:r>
          </w:p>
        </w:tc>
        <w:tc>
          <w:tcPr>
            <w:tcW w:w="1144" w:type="dxa"/>
            <w:tcBorders>
              <w:bottom w:val="single" w:sz="4" w:space="0" w:color="448A99"/>
            </w:tcBorders>
            <w:shd w:val="clear" w:color="auto" w:fill="D2EAF1"/>
          </w:tcPr>
          <w:p w:rsidR="003351A0" w:rsidRPr="006C05B5" w:rsidRDefault="003351A0" w:rsidP="005C1352">
            <w:pPr>
              <w:jc w:val="center"/>
              <w:rPr>
                <w:sz w:val="20"/>
                <w:szCs w:val="20"/>
              </w:rPr>
            </w:pPr>
            <w:r w:rsidRPr="006C05B5">
              <w:rPr>
                <w:sz w:val="20"/>
                <w:szCs w:val="20"/>
              </w:rPr>
              <w:t>0.40</w:t>
            </w:r>
          </w:p>
        </w:tc>
        <w:tc>
          <w:tcPr>
            <w:tcW w:w="1212" w:type="dxa"/>
            <w:tcBorders>
              <w:bottom w:val="single" w:sz="4" w:space="0" w:color="448A99"/>
            </w:tcBorders>
            <w:shd w:val="clear" w:color="auto" w:fill="D2EAF1"/>
          </w:tcPr>
          <w:p w:rsidR="003351A0" w:rsidRPr="006C05B5" w:rsidRDefault="003351A0" w:rsidP="005C1352">
            <w:pPr>
              <w:jc w:val="center"/>
              <w:rPr>
                <w:sz w:val="20"/>
                <w:szCs w:val="20"/>
              </w:rPr>
            </w:pPr>
            <w:r w:rsidRPr="006C05B5">
              <w:rPr>
                <w:sz w:val="20"/>
                <w:szCs w:val="20"/>
              </w:rPr>
              <w:t>0.10</w:t>
            </w:r>
          </w:p>
        </w:tc>
        <w:tc>
          <w:tcPr>
            <w:tcW w:w="1209" w:type="dxa"/>
            <w:tcBorders>
              <w:bottom w:val="single" w:sz="4" w:space="0" w:color="448A99"/>
            </w:tcBorders>
            <w:shd w:val="clear" w:color="auto" w:fill="D2EAF1"/>
          </w:tcPr>
          <w:p w:rsidR="003351A0" w:rsidRPr="006C05B5" w:rsidRDefault="003351A0" w:rsidP="005C1352">
            <w:pPr>
              <w:jc w:val="center"/>
              <w:rPr>
                <w:sz w:val="20"/>
                <w:szCs w:val="20"/>
              </w:rPr>
            </w:pPr>
            <w:r w:rsidRPr="006C05B5">
              <w:rPr>
                <w:sz w:val="20"/>
                <w:szCs w:val="20"/>
              </w:rPr>
              <w:t>0.70</w:t>
            </w:r>
          </w:p>
        </w:tc>
        <w:tc>
          <w:tcPr>
            <w:tcW w:w="1074" w:type="dxa"/>
            <w:tcBorders>
              <w:bottom w:val="single" w:sz="4" w:space="0" w:color="448A99"/>
            </w:tcBorders>
            <w:shd w:val="clear" w:color="auto" w:fill="D2EAF1"/>
          </w:tcPr>
          <w:p w:rsidR="003351A0" w:rsidRPr="006C05B5" w:rsidRDefault="003351A0" w:rsidP="005C1352">
            <w:pPr>
              <w:jc w:val="center"/>
              <w:rPr>
                <w:sz w:val="20"/>
                <w:szCs w:val="20"/>
              </w:rPr>
            </w:pPr>
            <w:r w:rsidRPr="006C05B5">
              <w:rPr>
                <w:sz w:val="20"/>
                <w:szCs w:val="20"/>
              </w:rPr>
              <w:t>N/A</w:t>
            </w:r>
          </w:p>
        </w:tc>
      </w:tr>
      <w:tr w:rsidR="00E7173E" w:rsidRPr="006C05B5" w:rsidTr="001D479D">
        <w:trPr>
          <w:trHeight w:val="288"/>
          <w:jc w:val="center"/>
        </w:trPr>
        <w:tc>
          <w:tcPr>
            <w:tcW w:w="9350" w:type="dxa"/>
            <w:gridSpan w:val="6"/>
            <w:shd w:val="clear" w:color="auto" w:fill="9C9393"/>
            <w:vAlign w:val="center"/>
          </w:tcPr>
          <w:p w:rsidR="003351A0" w:rsidRPr="006C05B5" w:rsidRDefault="003351A0" w:rsidP="005C1352">
            <w:pPr>
              <w:jc w:val="left"/>
              <w:rPr>
                <w:b/>
                <w:color w:val="FFFFFF"/>
                <w:sz w:val="20"/>
                <w:szCs w:val="20"/>
              </w:rPr>
            </w:pPr>
            <w:r w:rsidRPr="006C05B5">
              <w:rPr>
                <w:b/>
                <w:color w:val="FFFFFF"/>
                <w:sz w:val="20"/>
                <w:szCs w:val="20"/>
              </w:rPr>
              <w:t>Low-Income</w:t>
            </w:r>
          </w:p>
        </w:tc>
      </w:tr>
      <w:tr w:rsidR="00E7173E" w:rsidRPr="006C05B5" w:rsidTr="001D479D">
        <w:trPr>
          <w:trHeight w:val="346"/>
          <w:jc w:val="center"/>
        </w:trPr>
        <w:tc>
          <w:tcPr>
            <w:tcW w:w="1417" w:type="dxa"/>
            <w:shd w:val="clear" w:color="auto" w:fill="auto"/>
          </w:tcPr>
          <w:p w:rsidR="003351A0" w:rsidRPr="006C05B5" w:rsidRDefault="003351A0" w:rsidP="005C1352">
            <w:pPr>
              <w:rPr>
                <w:b/>
                <w:color w:val="FFFFFF"/>
                <w:sz w:val="20"/>
                <w:szCs w:val="20"/>
              </w:rPr>
            </w:pPr>
            <w:r w:rsidRPr="006C05B5">
              <w:rPr>
                <w:sz w:val="20"/>
                <w:szCs w:val="20"/>
              </w:rPr>
              <w:t>Estimated</w:t>
            </w:r>
          </w:p>
        </w:tc>
        <w:tc>
          <w:tcPr>
            <w:tcW w:w="3294" w:type="dxa"/>
            <w:shd w:val="clear" w:color="auto" w:fill="auto"/>
            <w:vAlign w:val="center"/>
          </w:tcPr>
          <w:p w:rsidR="003351A0" w:rsidRPr="006C05B5" w:rsidRDefault="003351A0" w:rsidP="005C1352">
            <w:pPr>
              <w:jc w:val="left"/>
              <w:rPr>
                <w:sz w:val="20"/>
                <w:szCs w:val="20"/>
              </w:rPr>
            </w:pPr>
            <w:r w:rsidRPr="006C05B5">
              <w:rPr>
                <w:sz w:val="20"/>
                <w:szCs w:val="20"/>
              </w:rPr>
              <w:t>Residential Low-Income Program</w:t>
            </w:r>
          </w:p>
        </w:tc>
        <w:tc>
          <w:tcPr>
            <w:tcW w:w="1144" w:type="dxa"/>
            <w:shd w:val="clear" w:color="auto" w:fill="auto"/>
            <w:vAlign w:val="center"/>
          </w:tcPr>
          <w:p w:rsidR="003351A0" w:rsidRPr="006C05B5" w:rsidRDefault="003351A0" w:rsidP="005C1352">
            <w:pPr>
              <w:jc w:val="center"/>
              <w:rPr>
                <w:sz w:val="20"/>
                <w:szCs w:val="20"/>
              </w:rPr>
            </w:pPr>
            <w:r w:rsidRPr="006C05B5">
              <w:rPr>
                <w:sz w:val="20"/>
                <w:szCs w:val="20"/>
              </w:rPr>
              <w:t>0.28</w:t>
            </w:r>
          </w:p>
        </w:tc>
        <w:tc>
          <w:tcPr>
            <w:tcW w:w="1212" w:type="dxa"/>
            <w:shd w:val="clear" w:color="auto" w:fill="auto"/>
            <w:vAlign w:val="center"/>
          </w:tcPr>
          <w:p w:rsidR="003351A0" w:rsidRPr="006C05B5" w:rsidRDefault="003351A0" w:rsidP="005C1352">
            <w:pPr>
              <w:jc w:val="center"/>
              <w:rPr>
                <w:sz w:val="20"/>
                <w:szCs w:val="20"/>
              </w:rPr>
            </w:pPr>
            <w:r w:rsidRPr="006C05B5">
              <w:rPr>
                <w:sz w:val="20"/>
                <w:szCs w:val="20"/>
              </w:rPr>
              <w:t>0.17</w:t>
            </w:r>
          </w:p>
        </w:tc>
        <w:tc>
          <w:tcPr>
            <w:tcW w:w="1209" w:type="dxa"/>
            <w:shd w:val="clear" w:color="auto" w:fill="auto"/>
            <w:vAlign w:val="center"/>
          </w:tcPr>
          <w:p w:rsidR="003351A0" w:rsidRPr="006C05B5" w:rsidRDefault="003351A0" w:rsidP="005C1352">
            <w:pPr>
              <w:jc w:val="center"/>
              <w:rPr>
                <w:sz w:val="20"/>
                <w:szCs w:val="20"/>
              </w:rPr>
            </w:pPr>
            <w:r w:rsidRPr="006C05B5">
              <w:rPr>
                <w:sz w:val="20"/>
                <w:szCs w:val="20"/>
              </w:rPr>
              <w:t>0.89</w:t>
            </w:r>
          </w:p>
        </w:tc>
        <w:tc>
          <w:tcPr>
            <w:tcW w:w="1074" w:type="dxa"/>
            <w:shd w:val="clear" w:color="auto" w:fill="auto"/>
            <w:vAlign w:val="center"/>
          </w:tcPr>
          <w:p w:rsidR="003351A0" w:rsidRPr="006C05B5" w:rsidRDefault="003351A0" w:rsidP="005C1352">
            <w:pPr>
              <w:jc w:val="center"/>
              <w:rPr>
                <w:sz w:val="20"/>
                <w:szCs w:val="20"/>
              </w:rPr>
            </w:pPr>
            <w:r w:rsidRPr="006C05B5">
              <w:rPr>
                <w:sz w:val="20"/>
                <w:szCs w:val="20"/>
              </w:rPr>
              <w:t>46</w:t>
            </w:r>
          </w:p>
        </w:tc>
      </w:tr>
      <w:tr w:rsidR="00E7173E" w:rsidRPr="006C05B5" w:rsidTr="001D479D">
        <w:trPr>
          <w:trHeight w:val="288"/>
          <w:jc w:val="center"/>
        </w:trPr>
        <w:tc>
          <w:tcPr>
            <w:tcW w:w="9350" w:type="dxa"/>
            <w:gridSpan w:val="6"/>
            <w:shd w:val="clear" w:color="auto" w:fill="9C9393"/>
            <w:vAlign w:val="center"/>
          </w:tcPr>
          <w:p w:rsidR="003351A0" w:rsidRPr="006C05B5" w:rsidRDefault="003351A0" w:rsidP="005C1352">
            <w:pPr>
              <w:jc w:val="left"/>
              <w:rPr>
                <w:b/>
                <w:color w:val="FFFFFF"/>
                <w:sz w:val="20"/>
                <w:szCs w:val="20"/>
              </w:rPr>
            </w:pPr>
            <w:r w:rsidRPr="006C05B5">
              <w:rPr>
                <w:b/>
                <w:color w:val="FFFFFF"/>
                <w:sz w:val="20"/>
                <w:szCs w:val="20"/>
              </w:rPr>
              <w:t>Non-Residential</w:t>
            </w:r>
          </w:p>
        </w:tc>
      </w:tr>
      <w:tr w:rsidR="00A874AC" w:rsidRPr="006C05B5" w:rsidTr="005C1352">
        <w:trPr>
          <w:trHeight w:val="346"/>
          <w:jc w:val="center"/>
        </w:trPr>
        <w:tc>
          <w:tcPr>
            <w:tcW w:w="1417" w:type="dxa"/>
            <w:vMerge w:val="restart"/>
            <w:shd w:val="clear" w:color="auto" w:fill="D2EAF1"/>
          </w:tcPr>
          <w:p w:rsidR="003351A0" w:rsidRPr="006C05B5" w:rsidRDefault="003351A0" w:rsidP="005C1352">
            <w:pPr>
              <w:rPr>
                <w:sz w:val="20"/>
                <w:szCs w:val="20"/>
              </w:rPr>
            </w:pPr>
            <w:r w:rsidRPr="006C05B5">
              <w:rPr>
                <w:sz w:val="20"/>
                <w:szCs w:val="20"/>
              </w:rPr>
              <w:t>Estimated</w:t>
            </w:r>
          </w:p>
        </w:tc>
        <w:tc>
          <w:tcPr>
            <w:tcW w:w="3294" w:type="dxa"/>
            <w:tcBorders>
              <w:bottom w:val="single" w:sz="4" w:space="0" w:color="448A99"/>
            </w:tcBorders>
            <w:shd w:val="clear" w:color="auto" w:fill="D2EAF1"/>
            <w:vAlign w:val="center"/>
          </w:tcPr>
          <w:p w:rsidR="003351A0" w:rsidRPr="006C05B5" w:rsidRDefault="003351A0" w:rsidP="005C1352">
            <w:pPr>
              <w:jc w:val="left"/>
              <w:rPr>
                <w:sz w:val="20"/>
                <w:szCs w:val="20"/>
              </w:rPr>
            </w:pPr>
            <w:r w:rsidRPr="006C05B5">
              <w:rPr>
                <w:sz w:val="20"/>
                <w:szCs w:val="20"/>
              </w:rPr>
              <w:t>Small C/I Equipment</w:t>
            </w:r>
          </w:p>
        </w:tc>
        <w:tc>
          <w:tcPr>
            <w:tcW w:w="1144" w:type="dxa"/>
            <w:tcBorders>
              <w:bottom w:val="single" w:sz="4" w:space="0" w:color="448A99"/>
            </w:tcBorders>
            <w:shd w:val="clear" w:color="auto" w:fill="D2EAF1"/>
            <w:vAlign w:val="center"/>
          </w:tcPr>
          <w:p w:rsidR="003351A0" w:rsidRPr="006C05B5" w:rsidRDefault="003351A0" w:rsidP="005C1352">
            <w:pPr>
              <w:jc w:val="center"/>
              <w:rPr>
                <w:sz w:val="20"/>
                <w:szCs w:val="20"/>
              </w:rPr>
            </w:pPr>
            <w:r w:rsidRPr="006C05B5">
              <w:rPr>
                <w:sz w:val="20"/>
                <w:szCs w:val="20"/>
              </w:rPr>
              <w:t>0.68</w:t>
            </w:r>
          </w:p>
        </w:tc>
        <w:tc>
          <w:tcPr>
            <w:tcW w:w="1212" w:type="dxa"/>
            <w:tcBorders>
              <w:bottom w:val="single" w:sz="4" w:space="0" w:color="448A99"/>
            </w:tcBorders>
            <w:shd w:val="clear" w:color="auto" w:fill="D2EAF1"/>
            <w:vAlign w:val="center"/>
          </w:tcPr>
          <w:p w:rsidR="003351A0" w:rsidRPr="006C05B5" w:rsidRDefault="003351A0" w:rsidP="005C1352">
            <w:pPr>
              <w:jc w:val="center"/>
              <w:rPr>
                <w:sz w:val="20"/>
                <w:szCs w:val="20"/>
              </w:rPr>
            </w:pPr>
            <w:r w:rsidRPr="006C05B5">
              <w:rPr>
                <w:sz w:val="20"/>
                <w:szCs w:val="20"/>
              </w:rPr>
              <w:t>0.13</w:t>
            </w:r>
          </w:p>
        </w:tc>
        <w:tc>
          <w:tcPr>
            <w:tcW w:w="1209" w:type="dxa"/>
            <w:tcBorders>
              <w:bottom w:val="single" w:sz="4" w:space="0" w:color="448A99"/>
            </w:tcBorders>
            <w:shd w:val="clear" w:color="auto" w:fill="D2EAF1"/>
            <w:vAlign w:val="center"/>
          </w:tcPr>
          <w:p w:rsidR="003351A0" w:rsidRPr="006C05B5" w:rsidRDefault="003351A0" w:rsidP="005C1352">
            <w:pPr>
              <w:jc w:val="center"/>
              <w:rPr>
                <w:sz w:val="20"/>
                <w:szCs w:val="20"/>
              </w:rPr>
            </w:pPr>
            <w:r w:rsidRPr="006C05B5">
              <w:rPr>
                <w:sz w:val="20"/>
                <w:szCs w:val="20"/>
              </w:rPr>
              <w:t>0.44</w:t>
            </w:r>
          </w:p>
        </w:tc>
        <w:tc>
          <w:tcPr>
            <w:tcW w:w="1074" w:type="dxa"/>
            <w:tcBorders>
              <w:bottom w:val="single" w:sz="4" w:space="0" w:color="448A99"/>
            </w:tcBorders>
            <w:shd w:val="clear" w:color="auto" w:fill="D2EAF1"/>
            <w:vAlign w:val="center"/>
          </w:tcPr>
          <w:p w:rsidR="003351A0" w:rsidRPr="006C05B5" w:rsidRDefault="003351A0" w:rsidP="005C1352">
            <w:pPr>
              <w:jc w:val="center"/>
              <w:rPr>
                <w:sz w:val="20"/>
                <w:szCs w:val="20"/>
              </w:rPr>
            </w:pPr>
            <w:r w:rsidRPr="006C05B5">
              <w:rPr>
                <w:sz w:val="20"/>
                <w:szCs w:val="20"/>
              </w:rPr>
              <w:t>N/A</w:t>
            </w:r>
          </w:p>
        </w:tc>
      </w:tr>
      <w:tr w:rsidR="00A874AC" w:rsidRPr="006C05B5" w:rsidTr="005C1352">
        <w:trPr>
          <w:trHeight w:val="346"/>
          <w:jc w:val="center"/>
        </w:trPr>
        <w:tc>
          <w:tcPr>
            <w:tcW w:w="1417" w:type="dxa"/>
            <w:vMerge/>
            <w:shd w:val="clear" w:color="auto" w:fill="D2EAF1"/>
          </w:tcPr>
          <w:p w:rsidR="003351A0" w:rsidRPr="006C05B5" w:rsidRDefault="003351A0" w:rsidP="005C1352">
            <w:pPr>
              <w:rPr>
                <w:sz w:val="20"/>
                <w:szCs w:val="20"/>
              </w:rPr>
            </w:pPr>
          </w:p>
        </w:tc>
        <w:tc>
          <w:tcPr>
            <w:tcW w:w="3294" w:type="dxa"/>
            <w:tcBorders>
              <w:bottom w:val="single" w:sz="4" w:space="0" w:color="448A99"/>
            </w:tcBorders>
            <w:shd w:val="clear" w:color="auto" w:fill="FFFFFF"/>
            <w:vAlign w:val="center"/>
          </w:tcPr>
          <w:p w:rsidR="003351A0" w:rsidRPr="006C05B5" w:rsidRDefault="003351A0" w:rsidP="005C1352">
            <w:pPr>
              <w:jc w:val="left"/>
              <w:rPr>
                <w:sz w:val="20"/>
                <w:szCs w:val="20"/>
              </w:rPr>
            </w:pPr>
            <w:r w:rsidRPr="006C05B5">
              <w:rPr>
                <w:sz w:val="20"/>
                <w:szCs w:val="20"/>
              </w:rPr>
              <w:t>Large C/I Equipment</w:t>
            </w:r>
          </w:p>
        </w:tc>
        <w:tc>
          <w:tcPr>
            <w:tcW w:w="1144" w:type="dxa"/>
            <w:tcBorders>
              <w:bottom w:val="single" w:sz="4" w:space="0" w:color="448A99"/>
            </w:tcBorders>
            <w:shd w:val="clear" w:color="auto" w:fill="FFFFFF"/>
            <w:vAlign w:val="center"/>
          </w:tcPr>
          <w:p w:rsidR="003351A0" w:rsidRPr="006C05B5" w:rsidRDefault="003351A0" w:rsidP="005C1352">
            <w:pPr>
              <w:jc w:val="center"/>
              <w:rPr>
                <w:sz w:val="20"/>
                <w:szCs w:val="20"/>
              </w:rPr>
            </w:pPr>
            <w:r w:rsidRPr="006C05B5">
              <w:rPr>
                <w:sz w:val="20"/>
                <w:szCs w:val="20"/>
              </w:rPr>
              <w:t>0.33</w:t>
            </w:r>
          </w:p>
        </w:tc>
        <w:tc>
          <w:tcPr>
            <w:tcW w:w="1212" w:type="dxa"/>
            <w:tcBorders>
              <w:bottom w:val="single" w:sz="4" w:space="0" w:color="448A99"/>
            </w:tcBorders>
            <w:shd w:val="clear" w:color="auto" w:fill="FFFFFF"/>
            <w:vAlign w:val="center"/>
          </w:tcPr>
          <w:p w:rsidR="003351A0" w:rsidRPr="006C05B5" w:rsidRDefault="003351A0" w:rsidP="005C1352">
            <w:pPr>
              <w:jc w:val="center"/>
              <w:rPr>
                <w:sz w:val="20"/>
                <w:szCs w:val="20"/>
              </w:rPr>
            </w:pPr>
            <w:r w:rsidRPr="006C05B5">
              <w:rPr>
                <w:sz w:val="20"/>
                <w:szCs w:val="20"/>
              </w:rPr>
              <w:t>0.11</w:t>
            </w:r>
          </w:p>
        </w:tc>
        <w:tc>
          <w:tcPr>
            <w:tcW w:w="1209" w:type="dxa"/>
            <w:tcBorders>
              <w:bottom w:val="single" w:sz="4" w:space="0" w:color="448A99"/>
            </w:tcBorders>
            <w:shd w:val="clear" w:color="auto" w:fill="FFFFFF"/>
            <w:vAlign w:val="center"/>
          </w:tcPr>
          <w:p w:rsidR="003351A0" w:rsidRPr="006C05B5" w:rsidRDefault="003351A0" w:rsidP="005C1352">
            <w:pPr>
              <w:jc w:val="center"/>
              <w:rPr>
                <w:sz w:val="20"/>
                <w:szCs w:val="20"/>
              </w:rPr>
            </w:pPr>
            <w:r w:rsidRPr="006C05B5">
              <w:rPr>
                <w:sz w:val="20"/>
                <w:szCs w:val="20"/>
              </w:rPr>
              <w:t>0.78</w:t>
            </w:r>
          </w:p>
        </w:tc>
        <w:tc>
          <w:tcPr>
            <w:tcW w:w="1074" w:type="dxa"/>
            <w:tcBorders>
              <w:bottom w:val="single" w:sz="4" w:space="0" w:color="448A99"/>
            </w:tcBorders>
            <w:shd w:val="clear" w:color="auto" w:fill="FFFFFF"/>
            <w:vAlign w:val="center"/>
          </w:tcPr>
          <w:p w:rsidR="003351A0" w:rsidRPr="006C05B5" w:rsidRDefault="003351A0" w:rsidP="005C1352">
            <w:pPr>
              <w:jc w:val="center"/>
              <w:rPr>
                <w:sz w:val="20"/>
                <w:szCs w:val="20"/>
              </w:rPr>
            </w:pPr>
            <w:r w:rsidRPr="006C05B5">
              <w:rPr>
                <w:sz w:val="20"/>
                <w:szCs w:val="20"/>
              </w:rPr>
              <w:t>N/A</w:t>
            </w:r>
          </w:p>
        </w:tc>
      </w:tr>
      <w:tr w:rsidR="00A874AC" w:rsidRPr="006C05B5" w:rsidTr="005C1352">
        <w:trPr>
          <w:trHeight w:val="346"/>
          <w:jc w:val="center"/>
        </w:trPr>
        <w:tc>
          <w:tcPr>
            <w:tcW w:w="1417" w:type="dxa"/>
            <w:vMerge/>
            <w:shd w:val="clear" w:color="auto" w:fill="D2EAF1"/>
          </w:tcPr>
          <w:p w:rsidR="003351A0" w:rsidRPr="006C05B5" w:rsidRDefault="003351A0" w:rsidP="005C1352">
            <w:pPr>
              <w:rPr>
                <w:sz w:val="20"/>
                <w:szCs w:val="20"/>
              </w:rPr>
            </w:pPr>
          </w:p>
        </w:tc>
        <w:tc>
          <w:tcPr>
            <w:tcW w:w="3294" w:type="dxa"/>
            <w:tcBorders>
              <w:bottom w:val="single" w:sz="4" w:space="0" w:color="448A99"/>
            </w:tcBorders>
            <w:shd w:val="clear" w:color="auto" w:fill="D2EAF1"/>
            <w:vAlign w:val="center"/>
          </w:tcPr>
          <w:p w:rsidR="003351A0" w:rsidRPr="006C05B5" w:rsidRDefault="003351A0" w:rsidP="005C1352">
            <w:pPr>
              <w:jc w:val="left"/>
              <w:rPr>
                <w:sz w:val="20"/>
                <w:szCs w:val="20"/>
              </w:rPr>
            </w:pPr>
            <w:r w:rsidRPr="006C05B5">
              <w:rPr>
                <w:sz w:val="20"/>
                <w:szCs w:val="20"/>
              </w:rPr>
              <w:t>Small C/I Buildings</w:t>
            </w:r>
          </w:p>
        </w:tc>
        <w:tc>
          <w:tcPr>
            <w:tcW w:w="1144" w:type="dxa"/>
            <w:tcBorders>
              <w:bottom w:val="single" w:sz="4" w:space="0" w:color="448A99"/>
            </w:tcBorders>
            <w:shd w:val="clear" w:color="auto" w:fill="D2EAF1"/>
            <w:vAlign w:val="center"/>
          </w:tcPr>
          <w:p w:rsidR="003351A0" w:rsidRPr="006C05B5" w:rsidRDefault="003351A0" w:rsidP="005C1352">
            <w:pPr>
              <w:jc w:val="center"/>
              <w:rPr>
                <w:sz w:val="20"/>
                <w:szCs w:val="20"/>
              </w:rPr>
            </w:pPr>
            <w:r w:rsidRPr="006C05B5">
              <w:rPr>
                <w:sz w:val="20"/>
                <w:szCs w:val="20"/>
              </w:rPr>
              <w:t>0.55</w:t>
            </w:r>
          </w:p>
        </w:tc>
        <w:tc>
          <w:tcPr>
            <w:tcW w:w="1212" w:type="dxa"/>
            <w:tcBorders>
              <w:bottom w:val="single" w:sz="4" w:space="0" w:color="448A99"/>
            </w:tcBorders>
            <w:shd w:val="clear" w:color="auto" w:fill="D2EAF1"/>
            <w:vAlign w:val="center"/>
          </w:tcPr>
          <w:p w:rsidR="003351A0" w:rsidRPr="006C05B5" w:rsidRDefault="003351A0" w:rsidP="005C1352">
            <w:pPr>
              <w:jc w:val="center"/>
              <w:rPr>
                <w:sz w:val="20"/>
                <w:szCs w:val="20"/>
              </w:rPr>
            </w:pPr>
            <w:r w:rsidRPr="006C05B5">
              <w:rPr>
                <w:sz w:val="20"/>
                <w:szCs w:val="20"/>
              </w:rPr>
              <w:t>0.00</w:t>
            </w:r>
          </w:p>
        </w:tc>
        <w:tc>
          <w:tcPr>
            <w:tcW w:w="1209" w:type="dxa"/>
            <w:tcBorders>
              <w:bottom w:val="single" w:sz="4" w:space="0" w:color="448A99"/>
            </w:tcBorders>
            <w:shd w:val="clear" w:color="auto" w:fill="D2EAF1"/>
            <w:vAlign w:val="center"/>
          </w:tcPr>
          <w:p w:rsidR="003351A0" w:rsidRPr="006C05B5" w:rsidRDefault="003351A0" w:rsidP="005C1352">
            <w:pPr>
              <w:jc w:val="center"/>
              <w:rPr>
                <w:sz w:val="20"/>
                <w:szCs w:val="20"/>
              </w:rPr>
            </w:pPr>
            <w:r w:rsidRPr="006C05B5">
              <w:rPr>
                <w:sz w:val="20"/>
                <w:szCs w:val="20"/>
              </w:rPr>
              <w:t>0.45</w:t>
            </w:r>
          </w:p>
        </w:tc>
        <w:tc>
          <w:tcPr>
            <w:tcW w:w="1074" w:type="dxa"/>
            <w:tcBorders>
              <w:bottom w:val="single" w:sz="4" w:space="0" w:color="448A99"/>
            </w:tcBorders>
            <w:shd w:val="clear" w:color="auto" w:fill="D2EAF1"/>
            <w:vAlign w:val="center"/>
          </w:tcPr>
          <w:p w:rsidR="003351A0" w:rsidRPr="006C05B5" w:rsidRDefault="003351A0" w:rsidP="005C1352">
            <w:pPr>
              <w:jc w:val="center"/>
              <w:rPr>
                <w:sz w:val="20"/>
                <w:szCs w:val="20"/>
              </w:rPr>
            </w:pPr>
            <w:r w:rsidRPr="006C05B5">
              <w:rPr>
                <w:sz w:val="20"/>
                <w:szCs w:val="20"/>
              </w:rPr>
              <w:t>16</w:t>
            </w:r>
          </w:p>
        </w:tc>
      </w:tr>
      <w:tr w:rsidR="00A874AC" w:rsidRPr="006C05B5" w:rsidTr="005C1352">
        <w:trPr>
          <w:trHeight w:val="346"/>
          <w:jc w:val="center"/>
        </w:trPr>
        <w:tc>
          <w:tcPr>
            <w:tcW w:w="1417" w:type="dxa"/>
            <w:vMerge/>
            <w:shd w:val="clear" w:color="auto" w:fill="D2EAF1"/>
          </w:tcPr>
          <w:p w:rsidR="003351A0" w:rsidRPr="006C05B5" w:rsidRDefault="003351A0" w:rsidP="005C1352">
            <w:pPr>
              <w:rPr>
                <w:sz w:val="20"/>
                <w:szCs w:val="20"/>
              </w:rPr>
            </w:pPr>
          </w:p>
        </w:tc>
        <w:tc>
          <w:tcPr>
            <w:tcW w:w="3294" w:type="dxa"/>
            <w:tcBorders>
              <w:bottom w:val="single" w:sz="4" w:space="0" w:color="448A99"/>
            </w:tcBorders>
            <w:shd w:val="clear" w:color="auto" w:fill="FFFFFF"/>
            <w:vAlign w:val="center"/>
          </w:tcPr>
          <w:p w:rsidR="003351A0" w:rsidRPr="006C05B5" w:rsidRDefault="003351A0" w:rsidP="005C1352">
            <w:pPr>
              <w:jc w:val="left"/>
              <w:rPr>
                <w:sz w:val="20"/>
                <w:szCs w:val="20"/>
              </w:rPr>
            </w:pPr>
            <w:r w:rsidRPr="006C05B5">
              <w:rPr>
                <w:sz w:val="20"/>
                <w:szCs w:val="20"/>
              </w:rPr>
              <w:t>Large C/I Buildings</w:t>
            </w:r>
          </w:p>
        </w:tc>
        <w:tc>
          <w:tcPr>
            <w:tcW w:w="1144" w:type="dxa"/>
            <w:tcBorders>
              <w:bottom w:val="single" w:sz="4" w:space="0" w:color="448A99"/>
            </w:tcBorders>
            <w:shd w:val="clear" w:color="auto" w:fill="FFFFFF"/>
            <w:vAlign w:val="center"/>
          </w:tcPr>
          <w:p w:rsidR="003351A0" w:rsidRPr="006C05B5" w:rsidRDefault="003351A0" w:rsidP="005C1352">
            <w:pPr>
              <w:jc w:val="center"/>
              <w:rPr>
                <w:sz w:val="20"/>
                <w:szCs w:val="20"/>
              </w:rPr>
            </w:pPr>
            <w:r w:rsidRPr="006C05B5">
              <w:rPr>
                <w:sz w:val="20"/>
                <w:szCs w:val="20"/>
              </w:rPr>
              <w:t>0.50</w:t>
            </w:r>
          </w:p>
        </w:tc>
        <w:tc>
          <w:tcPr>
            <w:tcW w:w="1212" w:type="dxa"/>
            <w:tcBorders>
              <w:bottom w:val="single" w:sz="4" w:space="0" w:color="448A99"/>
            </w:tcBorders>
            <w:shd w:val="clear" w:color="auto" w:fill="FFFFFF"/>
            <w:vAlign w:val="center"/>
          </w:tcPr>
          <w:p w:rsidR="003351A0" w:rsidRPr="006C05B5" w:rsidRDefault="003351A0" w:rsidP="005C1352">
            <w:pPr>
              <w:jc w:val="center"/>
              <w:rPr>
                <w:sz w:val="20"/>
                <w:szCs w:val="20"/>
              </w:rPr>
            </w:pPr>
            <w:r w:rsidRPr="006C05B5">
              <w:rPr>
                <w:sz w:val="20"/>
                <w:szCs w:val="20"/>
              </w:rPr>
              <w:t>0.00</w:t>
            </w:r>
          </w:p>
        </w:tc>
        <w:tc>
          <w:tcPr>
            <w:tcW w:w="1209" w:type="dxa"/>
            <w:tcBorders>
              <w:bottom w:val="single" w:sz="4" w:space="0" w:color="448A99"/>
            </w:tcBorders>
            <w:shd w:val="clear" w:color="auto" w:fill="FFFFFF"/>
            <w:vAlign w:val="center"/>
          </w:tcPr>
          <w:p w:rsidR="003351A0" w:rsidRPr="006C05B5" w:rsidRDefault="003351A0" w:rsidP="005C1352">
            <w:pPr>
              <w:jc w:val="center"/>
              <w:rPr>
                <w:sz w:val="20"/>
                <w:szCs w:val="20"/>
              </w:rPr>
            </w:pPr>
            <w:r w:rsidRPr="006C05B5">
              <w:rPr>
                <w:sz w:val="20"/>
                <w:szCs w:val="20"/>
              </w:rPr>
              <w:t>0.50</w:t>
            </w:r>
          </w:p>
        </w:tc>
        <w:tc>
          <w:tcPr>
            <w:tcW w:w="1074" w:type="dxa"/>
            <w:tcBorders>
              <w:bottom w:val="single" w:sz="4" w:space="0" w:color="448A99"/>
            </w:tcBorders>
            <w:shd w:val="clear" w:color="auto" w:fill="FFFFFF"/>
            <w:vAlign w:val="center"/>
          </w:tcPr>
          <w:p w:rsidR="003351A0" w:rsidRPr="006C05B5" w:rsidRDefault="003351A0" w:rsidP="005C1352">
            <w:pPr>
              <w:jc w:val="center"/>
              <w:rPr>
                <w:sz w:val="20"/>
                <w:szCs w:val="20"/>
              </w:rPr>
            </w:pPr>
            <w:r w:rsidRPr="006C05B5">
              <w:rPr>
                <w:sz w:val="20"/>
                <w:szCs w:val="20"/>
              </w:rPr>
              <w:t>1</w:t>
            </w:r>
          </w:p>
        </w:tc>
      </w:tr>
      <w:tr w:rsidR="00A874AC" w:rsidRPr="006C05B5" w:rsidTr="005C1352">
        <w:trPr>
          <w:trHeight w:val="346"/>
          <w:jc w:val="center"/>
        </w:trPr>
        <w:tc>
          <w:tcPr>
            <w:tcW w:w="1417" w:type="dxa"/>
            <w:vMerge/>
            <w:tcBorders>
              <w:bottom w:val="single" w:sz="4" w:space="0" w:color="448A99"/>
            </w:tcBorders>
            <w:shd w:val="clear" w:color="auto" w:fill="D2EAF1"/>
          </w:tcPr>
          <w:p w:rsidR="003351A0" w:rsidRPr="006C05B5" w:rsidRDefault="003351A0" w:rsidP="005C1352">
            <w:pPr>
              <w:rPr>
                <w:sz w:val="20"/>
                <w:szCs w:val="20"/>
              </w:rPr>
            </w:pPr>
          </w:p>
        </w:tc>
        <w:tc>
          <w:tcPr>
            <w:tcW w:w="3294" w:type="dxa"/>
            <w:tcBorders>
              <w:bottom w:val="single" w:sz="4" w:space="0" w:color="448A99"/>
            </w:tcBorders>
            <w:shd w:val="clear" w:color="auto" w:fill="D2EAF1"/>
            <w:vAlign w:val="center"/>
          </w:tcPr>
          <w:p w:rsidR="003351A0" w:rsidRPr="006C05B5" w:rsidRDefault="003351A0" w:rsidP="005C1352">
            <w:pPr>
              <w:jc w:val="left"/>
              <w:rPr>
                <w:sz w:val="20"/>
                <w:szCs w:val="20"/>
              </w:rPr>
            </w:pPr>
            <w:r w:rsidRPr="006C05B5">
              <w:rPr>
                <w:sz w:val="20"/>
                <w:szCs w:val="20"/>
              </w:rPr>
              <w:t>Government and Institutional</w:t>
            </w:r>
          </w:p>
        </w:tc>
        <w:tc>
          <w:tcPr>
            <w:tcW w:w="1144" w:type="dxa"/>
            <w:tcBorders>
              <w:bottom w:val="single" w:sz="4" w:space="0" w:color="448A99"/>
            </w:tcBorders>
            <w:shd w:val="clear" w:color="auto" w:fill="D2EAF1"/>
            <w:vAlign w:val="center"/>
          </w:tcPr>
          <w:p w:rsidR="003351A0" w:rsidRPr="006C05B5" w:rsidRDefault="003351A0" w:rsidP="005C1352">
            <w:pPr>
              <w:jc w:val="center"/>
              <w:rPr>
                <w:sz w:val="20"/>
                <w:szCs w:val="20"/>
              </w:rPr>
            </w:pPr>
            <w:r w:rsidRPr="006C05B5">
              <w:rPr>
                <w:sz w:val="20"/>
                <w:szCs w:val="20"/>
              </w:rPr>
              <w:t>0.38</w:t>
            </w:r>
          </w:p>
        </w:tc>
        <w:tc>
          <w:tcPr>
            <w:tcW w:w="1212" w:type="dxa"/>
            <w:tcBorders>
              <w:bottom w:val="single" w:sz="4" w:space="0" w:color="448A99"/>
            </w:tcBorders>
            <w:shd w:val="clear" w:color="auto" w:fill="D2EAF1"/>
            <w:vAlign w:val="center"/>
          </w:tcPr>
          <w:p w:rsidR="003351A0" w:rsidRPr="006C05B5" w:rsidRDefault="003351A0" w:rsidP="005C1352">
            <w:pPr>
              <w:jc w:val="center"/>
              <w:rPr>
                <w:sz w:val="20"/>
                <w:szCs w:val="20"/>
              </w:rPr>
            </w:pPr>
            <w:r w:rsidRPr="006C05B5">
              <w:rPr>
                <w:sz w:val="20"/>
                <w:szCs w:val="20"/>
              </w:rPr>
              <w:t>0.11</w:t>
            </w:r>
          </w:p>
        </w:tc>
        <w:tc>
          <w:tcPr>
            <w:tcW w:w="1209" w:type="dxa"/>
            <w:tcBorders>
              <w:bottom w:val="single" w:sz="4" w:space="0" w:color="448A99"/>
            </w:tcBorders>
            <w:shd w:val="clear" w:color="auto" w:fill="D2EAF1"/>
            <w:vAlign w:val="center"/>
          </w:tcPr>
          <w:p w:rsidR="003351A0" w:rsidRPr="006C05B5" w:rsidRDefault="003351A0" w:rsidP="005C1352">
            <w:pPr>
              <w:jc w:val="center"/>
              <w:rPr>
                <w:sz w:val="20"/>
                <w:szCs w:val="20"/>
              </w:rPr>
            </w:pPr>
            <w:r w:rsidRPr="006C05B5">
              <w:rPr>
                <w:sz w:val="20"/>
                <w:szCs w:val="20"/>
              </w:rPr>
              <w:t>0.73</w:t>
            </w:r>
          </w:p>
        </w:tc>
        <w:tc>
          <w:tcPr>
            <w:tcW w:w="1074" w:type="dxa"/>
            <w:tcBorders>
              <w:bottom w:val="single" w:sz="4" w:space="0" w:color="448A99"/>
            </w:tcBorders>
            <w:shd w:val="clear" w:color="auto" w:fill="D2EAF1"/>
            <w:vAlign w:val="center"/>
          </w:tcPr>
          <w:p w:rsidR="003351A0" w:rsidRPr="006C05B5" w:rsidRDefault="003351A0" w:rsidP="005C1352">
            <w:pPr>
              <w:jc w:val="center"/>
              <w:rPr>
                <w:sz w:val="20"/>
                <w:szCs w:val="20"/>
              </w:rPr>
            </w:pPr>
            <w:r w:rsidRPr="006C05B5">
              <w:rPr>
                <w:sz w:val="20"/>
                <w:szCs w:val="20"/>
              </w:rPr>
              <w:t>N/A</w:t>
            </w:r>
          </w:p>
        </w:tc>
      </w:tr>
      <w:tr w:rsidR="00E7173E" w:rsidRPr="00B97C91" w:rsidTr="001D479D">
        <w:trPr>
          <w:trHeight w:val="346"/>
          <w:jc w:val="center"/>
        </w:trPr>
        <w:tc>
          <w:tcPr>
            <w:tcW w:w="9350" w:type="dxa"/>
            <w:gridSpan w:val="6"/>
            <w:tcBorders>
              <w:bottom w:val="single" w:sz="4" w:space="0" w:color="448A99"/>
            </w:tcBorders>
            <w:shd w:val="clear" w:color="auto" w:fill="448A99"/>
          </w:tcPr>
          <w:p w:rsidR="003351A0" w:rsidRPr="00B97C91" w:rsidRDefault="003351A0" w:rsidP="005C1352">
            <w:pPr>
              <w:jc w:val="left"/>
              <w:rPr>
                <w:color w:val="FFFFFF"/>
                <w:sz w:val="18"/>
                <w:szCs w:val="20"/>
              </w:rPr>
            </w:pPr>
            <w:r w:rsidRPr="00B97C91">
              <w:rPr>
                <w:color w:val="FFFFFF"/>
                <w:sz w:val="18"/>
                <w:szCs w:val="20"/>
              </w:rPr>
              <w:t>NOTES</w:t>
            </w:r>
            <w:r w:rsidR="00EB11A8" w:rsidRPr="00B97C91">
              <w:rPr>
                <w:color w:val="FFFFFF"/>
                <w:sz w:val="18"/>
                <w:szCs w:val="20"/>
              </w:rPr>
              <w:t>:</w:t>
            </w:r>
          </w:p>
          <w:p w:rsidR="003351A0" w:rsidRPr="00B97C91" w:rsidRDefault="003351A0" w:rsidP="005C1352">
            <w:pPr>
              <w:jc w:val="left"/>
              <w:rPr>
                <w:color w:val="FFFFFF"/>
                <w:sz w:val="18"/>
                <w:szCs w:val="20"/>
              </w:rPr>
            </w:pPr>
            <w:r w:rsidRPr="00B97C91">
              <w:rPr>
                <w:color w:val="FFFFFF"/>
                <w:sz w:val="18"/>
                <w:szCs w:val="18"/>
              </w:rPr>
              <w:t>[a]</w:t>
            </w:r>
            <w:r w:rsidRPr="00B97C91">
              <w:rPr>
                <w:bCs/>
                <w:color w:val="FFFFFF"/>
                <w:sz w:val="18"/>
                <w:szCs w:val="20"/>
              </w:rPr>
              <w:t xml:space="preserve"> </w:t>
            </w:r>
            <w:r w:rsidRPr="00B97C91">
              <w:rPr>
                <w:color w:val="FFFFFF"/>
                <w:sz w:val="18"/>
                <w:szCs w:val="20"/>
              </w:rPr>
              <w:t xml:space="preserve">NTGR = 1 – free-ridership + spillover. In some cases, the NTGR shown in the table may not equal exactly 1 – </w:t>
            </w:r>
            <w:r w:rsidRPr="00B97C91">
              <w:rPr>
                <w:rFonts w:eastAsia="Calibri"/>
                <w:color w:val="FFFFFF"/>
                <w:sz w:val="18"/>
                <w:szCs w:val="20"/>
              </w:rPr>
              <w:t>free-ridership + spillover</w:t>
            </w:r>
            <w:r w:rsidRPr="00B97C91">
              <w:rPr>
                <w:color w:val="FFFFFF"/>
                <w:sz w:val="18"/>
                <w:szCs w:val="20"/>
              </w:rPr>
              <w:t xml:space="preserve"> because of rounding.</w:t>
            </w:r>
          </w:p>
          <w:p w:rsidR="003351A0" w:rsidRPr="00B97C91" w:rsidRDefault="003351A0" w:rsidP="005C1352">
            <w:pPr>
              <w:jc w:val="left"/>
              <w:rPr>
                <w:color w:val="FFFFFF"/>
                <w:sz w:val="18"/>
                <w:szCs w:val="20"/>
              </w:rPr>
            </w:pPr>
            <w:r w:rsidRPr="00B97C91">
              <w:rPr>
                <w:color w:val="FFFFFF"/>
                <w:sz w:val="18"/>
                <w:szCs w:val="18"/>
              </w:rPr>
              <w:t>[b]</w:t>
            </w:r>
            <w:r w:rsidRPr="00B97C91">
              <w:rPr>
                <w:color w:val="FFFFFF"/>
                <w:sz w:val="18"/>
                <w:szCs w:val="20"/>
              </w:rPr>
              <w:t xml:space="preserve"> All sample sizes are for the downstream NTG research using the common method. With the exception of Small C/I Buildings and Large C/I Buildings, all sample sizes provided at least 85/15 confidence/precision. </w:t>
            </w:r>
            <w:r w:rsidRPr="00B97C91" w:rsidDel="00A436B6">
              <w:rPr>
                <w:color w:val="FFFFFF"/>
                <w:sz w:val="18"/>
                <w:szCs w:val="20"/>
              </w:rPr>
              <w:t xml:space="preserve"> </w:t>
            </w:r>
          </w:p>
          <w:p w:rsidR="003351A0" w:rsidRPr="00B97C91" w:rsidRDefault="003351A0" w:rsidP="005C1352">
            <w:pPr>
              <w:jc w:val="left"/>
              <w:rPr>
                <w:color w:val="FFFFFF"/>
                <w:sz w:val="18"/>
                <w:szCs w:val="20"/>
              </w:rPr>
            </w:pPr>
            <w:r w:rsidRPr="00B97C91">
              <w:rPr>
                <w:color w:val="FFFFFF"/>
                <w:sz w:val="18"/>
                <w:szCs w:val="18"/>
              </w:rPr>
              <w:t>[c]</w:t>
            </w:r>
            <w:r w:rsidRPr="00B97C91">
              <w:rPr>
                <w:color w:val="FFFFFF"/>
                <w:sz w:val="18"/>
                <w:szCs w:val="20"/>
              </w:rPr>
              <w:t xml:space="preserve"> ADM/Tetra Tech misprinted the program-level FR value in the PY7 annual report. The value reported in this table is the actual FR value.</w:t>
            </w:r>
          </w:p>
        </w:tc>
      </w:tr>
    </w:tbl>
    <w:p w:rsidR="00950837" w:rsidRDefault="00950837" w:rsidP="0043541C">
      <w:pPr>
        <w:pStyle w:val="AppendixAHeading2"/>
      </w:pPr>
      <w:r>
        <w:t>Statewide Evaluator Final Recommendations</w:t>
      </w:r>
    </w:p>
    <w:p w:rsidR="00405346" w:rsidRDefault="00405346" w:rsidP="00405346">
      <w:pPr>
        <w:pStyle w:val="bullettext"/>
      </w:pPr>
      <w:r w:rsidRPr="000475E0">
        <w:t xml:space="preserve">The SWE Team has the following recommendations for </w:t>
      </w:r>
      <w:r>
        <w:t>Penn Power’s</w:t>
      </w:r>
      <w:r w:rsidRPr="000475E0">
        <w:t xml:space="preserve"> EE&amp;C programs going forward</w:t>
      </w:r>
      <w:r>
        <w:t>:</w:t>
      </w:r>
    </w:p>
    <w:p w:rsidR="00405346" w:rsidRPr="00995A55" w:rsidRDefault="00405346" w:rsidP="00E646C9">
      <w:pPr>
        <w:pStyle w:val="ListParagraph"/>
        <w:numPr>
          <w:ilvl w:val="0"/>
          <w:numId w:val="81"/>
        </w:numPr>
        <w:spacing w:after="120"/>
        <w:ind w:left="360"/>
        <w:contextualSpacing w:val="0"/>
      </w:pPr>
      <w:r w:rsidRPr="00995A55">
        <w:lastRenderedPageBreak/>
        <w:t>The SWE Team recommends that in the interest of transparency, only the SWE-supplied Appendix C calculator be used for C</w:t>
      </w:r>
      <w:r w:rsidR="0097650B" w:rsidRPr="00995A55">
        <w:t>/</w:t>
      </w:r>
      <w:r w:rsidRPr="00995A55">
        <w:t>I lighting projects moving forward</w:t>
      </w:r>
    </w:p>
    <w:p w:rsidR="00405346" w:rsidRPr="00995A55" w:rsidRDefault="00405346" w:rsidP="00E646C9">
      <w:pPr>
        <w:pStyle w:val="ListParagraph"/>
        <w:numPr>
          <w:ilvl w:val="0"/>
          <w:numId w:val="81"/>
        </w:numPr>
        <w:spacing w:after="120"/>
        <w:ind w:left="360"/>
        <w:contextualSpacing w:val="0"/>
      </w:pPr>
      <w:r w:rsidRPr="00995A55">
        <w:t>Review rebate paperwork processes to identify opportunities to streamline documentation requirements and notify contractors and customers more quickly if project documentation is incomplete.</w:t>
      </w:r>
    </w:p>
    <w:p w:rsidR="00405346" w:rsidRPr="00995A55" w:rsidRDefault="00405346" w:rsidP="00E646C9">
      <w:pPr>
        <w:pStyle w:val="ListParagraph"/>
        <w:numPr>
          <w:ilvl w:val="0"/>
          <w:numId w:val="81"/>
        </w:numPr>
        <w:ind w:left="360"/>
      </w:pPr>
      <w:r w:rsidRPr="00995A55">
        <w:t>As the Home Performance – New Construction measure becomes more streamlined or as incentives change, attempt to attract builders who began with the program but dropped out.</w:t>
      </w:r>
    </w:p>
    <w:p w:rsidR="00405346" w:rsidRPr="00405346" w:rsidRDefault="00405346" w:rsidP="00405346"/>
    <w:p w:rsidR="00950837" w:rsidRDefault="00950837" w:rsidP="00D34B3E">
      <w:pPr>
        <w:pStyle w:val="AppendixAHeading1"/>
      </w:pPr>
      <w:r>
        <w:t>West Penn Power</w:t>
      </w:r>
    </w:p>
    <w:p w:rsidR="007724F5" w:rsidRPr="007724F5" w:rsidRDefault="007724F5" w:rsidP="007724F5">
      <w:r w:rsidRPr="00735BA9">
        <w:t xml:space="preserve">This </w:t>
      </w:r>
      <w:r>
        <w:t>section</w:t>
      </w:r>
      <w:r w:rsidRPr="00735BA9">
        <w:t xml:space="preserve"> summarizes </w:t>
      </w:r>
      <w:r>
        <w:t>West Penn</w:t>
      </w:r>
      <w:r w:rsidRPr="00735BA9">
        <w:t xml:space="preserve">’s program performance </w:t>
      </w:r>
      <w:r>
        <w:t>through PY7</w:t>
      </w:r>
      <w:r w:rsidRPr="00735BA9">
        <w:t xml:space="preserve">. It includes an overview of the cumulative energy savings and demand reductions achieved by </w:t>
      </w:r>
      <w:r>
        <w:t>West Penn</w:t>
      </w:r>
      <w:r w:rsidRPr="00735BA9">
        <w:t xml:space="preserve">’s Act 129 EE&amp;C programs in Phase II; an overview of the TRC test results for each program and for the portfolio of programs; a discussion of the activities completed by </w:t>
      </w:r>
      <w:r>
        <w:t>West Penn</w:t>
      </w:r>
      <w:r w:rsidRPr="00735BA9">
        <w:t xml:space="preserve">’s evaluation contractor to conduct M&amp;V of </w:t>
      </w:r>
      <w:r w:rsidR="00CE78B5">
        <w:t>West Penn</w:t>
      </w:r>
      <w:r w:rsidRPr="00735BA9">
        <w:t xml:space="preserve">’s EE&amp;C programs and to calculate the cost-effectiveness of the portfolio of programs; a description of the work and findings of the SWE Team audits; and the SWE Team’s recommendations of actions to help improve </w:t>
      </w:r>
      <w:r>
        <w:t>West Penn</w:t>
      </w:r>
      <w:r w:rsidRPr="00735BA9">
        <w:t>’s programs in the future</w:t>
      </w:r>
      <w:r>
        <w:t>.</w:t>
      </w:r>
    </w:p>
    <w:p w:rsidR="007724F5" w:rsidRPr="00405346" w:rsidRDefault="007724F5" w:rsidP="00405346"/>
    <w:p w:rsidR="00950837" w:rsidRDefault="00950837" w:rsidP="0043541C">
      <w:pPr>
        <w:pStyle w:val="AppendixAHeading2"/>
      </w:pPr>
      <w:r>
        <w:t>Summary of Energy and Demand Reductions</w:t>
      </w:r>
    </w:p>
    <w:p w:rsidR="009C5272" w:rsidRDefault="009C5272" w:rsidP="009C5272">
      <w:r>
        <w:t xml:space="preserve">This section lists the programs </w:t>
      </w:r>
      <w:r w:rsidR="00F850BF">
        <w:t>that</w:t>
      </w:r>
      <w:r>
        <w:t xml:space="preserve"> provided energy savings in PY7 and includes the energy and demand savings contributed by each program offered during Phase II. The sector-level verified gross and net energy savings achieved in PY7 are also provided.</w:t>
      </w:r>
    </w:p>
    <w:p w:rsidR="009C5272" w:rsidRPr="009C5272" w:rsidRDefault="009C5272" w:rsidP="009C5272"/>
    <w:p w:rsidR="00950837" w:rsidRDefault="00950837" w:rsidP="00D34B3E">
      <w:pPr>
        <w:pStyle w:val="AppendixAHeading3"/>
      </w:pPr>
      <w:r>
        <w:t>Phase II Savings by Program</w:t>
      </w:r>
    </w:p>
    <w:p w:rsidR="005A27BE" w:rsidRDefault="00F427B0" w:rsidP="005A27BE">
      <w:r>
        <w:fldChar w:fldCharType="begin"/>
      </w:r>
      <w:r>
        <w:instrText xml:space="preserve"> REF _Ref472359366 \h </w:instrText>
      </w:r>
      <w:r>
        <w:fldChar w:fldCharType="separate"/>
      </w:r>
      <w:r w:rsidR="00A874AC" w:rsidRPr="00E41D9C">
        <w:t>Table A-</w:t>
      </w:r>
      <w:r w:rsidR="00A874AC">
        <w:rPr>
          <w:noProof/>
        </w:rPr>
        <w:t>85</w:t>
      </w:r>
      <w:r>
        <w:fldChar w:fldCharType="end"/>
      </w:r>
      <w:r w:rsidR="005A27BE">
        <w:t xml:space="preserve"> </w:t>
      </w:r>
      <w:r w:rsidR="005A27BE" w:rsidRPr="004B480A">
        <w:t>lists</w:t>
      </w:r>
      <w:r w:rsidR="005A27BE">
        <w:t xml:space="preserve"> the</w:t>
      </w:r>
      <w:r w:rsidR="005A27BE" w:rsidRPr="004B480A">
        <w:t xml:space="preserve"> </w:t>
      </w:r>
      <w:r>
        <w:t>West Penn</w:t>
      </w:r>
      <w:r w:rsidR="005A27BE" w:rsidRPr="004B480A">
        <w:t xml:space="preserve"> EE&amp;C programs</w:t>
      </w:r>
      <w:r w:rsidR="005A27BE">
        <w:t xml:space="preserve"> that yielded reported savings in PY7. </w:t>
      </w:r>
      <w:r>
        <w:fldChar w:fldCharType="begin"/>
      </w:r>
      <w:r>
        <w:instrText xml:space="preserve"> REF _Ref472359371 \h </w:instrText>
      </w:r>
      <w:r>
        <w:fldChar w:fldCharType="separate"/>
      </w:r>
      <w:r w:rsidR="00A874AC" w:rsidRPr="00E41D9C">
        <w:t>Table A-</w:t>
      </w:r>
      <w:r w:rsidR="00A874AC">
        <w:rPr>
          <w:noProof/>
        </w:rPr>
        <w:t>86</w:t>
      </w:r>
      <w:r>
        <w:fldChar w:fldCharType="end"/>
      </w:r>
      <w:r w:rsidR="005A27BE">
        <w:t xml:space="preserve"> shows the verified gross energy and demand savings of each program at the conclusion of Phase II. The </w:t>
      </w:r>
      <w:r w:rsidR="009C633A">
        <w:t>Large C/I Equipment p</w:t>
      </w:r>
      <w:r w:rsidR="005A27BE">
        <w:t>rogram was the largest contributor of both energy and demand savings.</w:t>
      </w:r>
    </w:p>
    <w:p w:rsidR="005A27BE" w:rsidRPr="004B480A" w:rsidRDefault="005A27BE" w:rsidP="005A27BE"/>
    <w:p w:rsidR="005A27BE" w:rsidRDefault="005A27BE" w:rsidP="005A27BE">
      <w:pPr>
        <w:pStyle w:val="Caption"/>
      </w:pPr>
      <w:bookmarkStart w:id="996" w:name="_Ref472359366"/>
      <w:bookmarkStart w:id="997" w:name="_Toc472472494"/>
      <w:bookmarkStart w:id="998" w:name="_Toc476842200"/>
      <w:r w:rsidRPr="00E41D9C">
        <w:t>Table A-</w:t>
      </w:r>
      <w:fldSimple w:instr=" SEQ Table_A- \* ARABIC ">
        <w:r w:rsidR="00C301D0">
          <w:rPr>
            <w:noProof/>
          </w:rPr>
          <w:t>85</w:t>
        </w:r>
      </w:fldSimple>
      <w:bookmarkEnd w:id="996"/>
      <w:r w:rsidRPr="00E41D9C">
        <w:t xml:space="preserve">: </w:t>
      </w:r>
      <w:r w:rsidR="00F427B0">
        <w:t>West Penn</w:t>
      </w:r>
      <w:r w:rsidRPr="00E41D9C">
        <w:t xml:space="preserve"> EE&amp;C Programs wi</w:t>
      </w:r>
      <w:r>
        <w:t>th Reported Gross Savings in PY7</w:t>
      </w:r>
      <w:bookmarkEnd w:id="997"/>
      <w:bookmarkEnd w:id="998"/>
    </w:p>
    <w:tbl>
      <w:tblPr>
        <w:tblW w:w="9350" w:type="dxa"/>
        <w:tblLook w:val="04A0" w:firstRow="1" w:lastRow="0" w:firstColumn="1" w:lastColumn="0" w:noHBand="0" w:noVBand="1"/>
      </w:tblPr>
      <w:tblGrid>
        <w:gridCol w:w="4675"/>
        <w:gridCol w:w="4675"/>
      </w:tblGrid>
      <w:tr w:rsidR="00E7173E" w:rsidRPr="009C633A" w:rsidTr="001D479D">
        <w:trPr>
          <w:trHeight w:val="309"/>
          <w:tblHeader/>
        </w:trPr>
        <w:tc>
          <w:tcPr>
            <w:tcW w:w="4675" w:type="dxa"/>
            <w:tcBorders>
              <w:top w:val="single" w:sz="8" w:space="0" w:color="448A99"/>
              <w:left w:val="single" w:sz="8" w:space="0" w:color="448A99"/>
              <w:bottom w:val="single" w:sz="8" w:space="0" w:color="448A99"/>
              <w:right w:val="single" w:sz="8" w:space="0" w:color="448A99"/>
            </w:tcBorders>
            <w:shd w:val="clear" w:color="000000" w:fill="448A99"/>
            <w:vAlign w:val="center"/>
            <w:hideMark/>
          </w:tcPr>
          <w:p w:rsidR="009C633A" w:rsidRPr="009C633A" w:rsidRDefault="009C633A" w:rsidP="009C633A">
            <w:pPr>
              <w:rPr>
                <w:b/>
                <w:bCs/>
                <w:color w:val="FFFFFF"/>
                <w:sz w:val="20"/>
                <w:szCs w:val="20"/>
              </w:rPr>
            </w:pPr>
            <w:r w:rsidRPr="009C633A">
              <w:rPr>
                <w:b/>
                <w:bCs/>
                <w:color w:val="FFFFFF"/>
                <w:sz w:val="20"/>
                <w:szCs w:val="20"/>
              </w:rPr>
              <w:t>Programs Reporting PY7 Gross Savings</w:t>
            </w:r>
          </w:p>
        </w:tc>
        <w:tc>
          <w:tcPr>
            <w:tcW w:w="4675" w:type="dxa"/>
            <w:tcBorders>
              <w:top w:val="single" w:sz="8" w:space="0" w:color="448A99"/>
              <w:left w:val="nil"/>
              <w:bottom w:val="single" w:sz="8" w:space="0" w:color="448A99"/>
              <w:right w:val="single" w:sz="8" w:space="0" w:color="448A99"/>
            </w:tcBorders>
            <w:shd w:val="clear" w:color="000000" w:fill="448A99"/>
            <w:vAlign w:val="center"/>
            <w:hideMark/>
          </w:tcPr>
          <w:p w:rsidR="009C633A" w:rsidRPr="009C633A" w:rsidRDefault="00F850BF" w:rsidP="00995A55">
            <w:pPr>
              <w:jc w:val="center"/>
              <w:rPr>
                <w:b/>
                <w:bCs/>
                <w:color w:val="FFFFFF"/>
                <w:sz w:val="20"/>
                <w:szCs w:val="20"/>
              </w:rPr>
            </w:pPr>
            <w:r>
              <w:rPr>
                <w:b/>
                <w:bCs/>
                <w:color w:val="FFFFFF"/>
                <w:sz w:val="20"/>
                <w:szCs w:val="20"/>
              </w:rPr>
              <w:t>Sector</w:t>
            </w:r>
          </w:p>
        </w:tc>
      </w:tr>
      <w:tr w:rsidR="00E7173E" w:rsidRPr="009C633A" w:rsidTr="001D479D">
        <w:trPr>
          <w:trHeight w:val="309"/>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Appliance Turn-In</w:t>
            </w:r>
          </w:p>
        </w:tc>
        <w:tc>
          <w:tcPr>
            <w:tcW w:w="4675"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95A55">
            <w:pPr>
              <w:jc w:val="center"/>
              <w:rPr>
                <w:color w:val="000000"/>
                <w:sz w:val="20"/>
                <w:szCs w:val="20"/>
              </w:rPr>
            </w:pPr>
            <w:r w:rsidRPr="009C633A">
              <w:rPr>
                <w:color w:val="000000"/>
                <w:sz w:val="20"/>
                <w:szCs w:val="20"/>
              </w:rPr>
              <w:t>Residential</w:t>
            </w:r>
          </w:p>
        </w:tc>
      </w:tr>
      <w:tr w:rsidR="00E7173E" w:rsidRPr="009C633A" w:rsidTr="001D479D">
        <w:trPr>
          <w:trHeight w:val="309"/>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9C633A" w:rsidRDefault="009C633A" w:rsidP="009C633A">
            <w:pPr>
              <w:rPr>
                <w:color w:val="000000"/>
                <w:sz w:val="20"/>
                <w:szCs w:val="20"/>
              </w:rPr>
            </w:pPr>
            <w:r w:rsidRPr="009C633A">
              <w:rPr>
                <w:color w:val="000000"/>
                <w:sz w:val="20"/>
                <w:szCs w:val="20"/>
              </w:rPr>
              <w:t>Efficient Products</w:t>
            </w:r>
          </w:p>
        </w:tc>
        <w:tc>
          <w:tcPr>
            <w:tcW w:w="4675"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95A55">
            <w:pPr>
              <w:jc w:val="center"/>
              <w:rPr>
                <w:color w:val="000000"/>
                <w:sz w:val="20"/>
                <w:szCs w:val="20"/>
              </w:rPr>
            </w:pPr>
            <w:r w:rsidRPr="009C633A">
              <w:rPr>
                <w:color w:val="000000"/>
                <w:sz w:val="20"/>
                <w:szCs w:val="20"/>
              </w:rPr>
              <w:t>Residential</w:t>
            </w:r>
          </w:p>
        </w:tc>
      </w:tr>
      <w:tr w:rsidR="00E7173E" w:rsidRPr="009C633A" w:rsidTr="001D479D">
        <w:trPr>
          <w:trHeight w:val="309"/>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Home Performance</w:t>
            </w:r>
          </w:p>
        </w:tc>
        <w:tc>
          <w:tcPr>
            <w:tcW w:w="4675"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95A55">
            <w:pPr>
              <w:jc w:val="center"/>
              <w:rPr>
                <w:color w:val="000000"/>
                <w:sz w:val="20"/>
                <w:szCs w:val="20"/>
              </w:rPr>
            </w:pPr>
            <w:r w:rsidRPr="009C633A">
              <w:rPr>
                <w:color w:val="000000"/>
                <w:sz w:val="20"/>
                <w:szCs w:val="20"/>
              </w:rPr>
              <w:t>Residential</w:t>
            </w:r>
          </w:p>
        </w:tc>
      </w:tr>
      <w:tr w:rsidR="00E7173E" w:rsidRPr="009C633A" w:rsidTr="001D479D">
        <w:trPr>
          <w:trHeight w:val="309"/>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9C633A" w:rsidRDefault="009C633A" w:rsidP="009C633A">
            <w:pPr>
              <w:rPr>
                <w:color w:val="000000"/>
                <w:sz w:val="20"/>
                <w:szCs w:val="20"/>
              </w:rPr>
            </w:pPr>
            <w:r w:rsidRPr="009C633A">
              <w:rPr>
                <w:color w:val="000000"/>
                <w:sz w:val="20"/>
                <w:szCs w:val="20"/>
              </w:rPr>
              <w:t>Low Income</w:t>
            </w:r>
          </w:p>
        </w:tc>
        <w:tc>
          <w:tcPr>
            <w:tcW w:w="4675"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95A55">
            <w:pPr>
              <w:jc w:val="center"/>
              <w:rPr>
                <w:color w:val="000000"/>
                <w:sz w:val="20"/>
                <w:szCs w:val="20"/>
              </w:rPr>
            </w:pPr>
            <w:r w:rsidRPr="009C633A">
              <w:rPr>
                <w:color w:val="000000"/>
                <w:sz w:val="20"/>
                <w:szCs w:val="20"/>
              </w:rPr>
              <w:t>Low-Income</w:t>
            </w:r>
          </w:p>
        </w:tc>
      </w:tr>
      <w:tr w:rsidR="00E7173E" w:rsidRPr="009C633A" w:rsidTr="001D479D">
        <w:trPr>
          <w:trHeight w:val="309"/>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Small C/I Equipment</w:t>
            </w:r>
          </w:p>
        </w:tc>
        <w:tc>
          <w:tcPr>
            <w:tcW w:w="4675"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95A55">
            <w:pPr>
              <w:jc w:val="center"/>
              <w:rPr>
                <w:color w:val="000000"/>
                <w:sz w:val="20"/>
                <w:szCs w:val="20"/>
              </w:rPr>
            </w:pPr>
            <w:r w:rsidRPr="009C633A">
              <w:rPr>
                <w:color w:val="000000"/>
                <w:sz w:val="20"/>
                <w:szCs w:val="20"/>
              </w:rPr>
              <w:t>Non-Residential</w:t>
            </w:r>
          </w:p>
        </w:tc>
      </w:tr>
      <w:tr w:rsidR="00E7173E" w:rsidRPr="009C633A" w:rsidTr="001D479D">
        <w:trPr>
          <w:trHeight w:val="309"/>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9C633A" w:rsidRDefault="009C633A" w:rsidP="009C633A">
            <w:pPr>
              <w:rPr>
                <w:color w:val="000000"/>
                <w:sz w:val="20"/>
                <w:szCs w:val="20"/>
              </w:rPr>
            </w:pPr>
            <w:r w:rsidRPr="009C633A">
              <w:rPr>
                <w:color w:val="000000"/>
                <w:sz w:val="20"/>
                <w:szCs w:val="20"/>
              </w:rPr>
              <w:t>Small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95A55">
            <w:pPr>
              <w:jc w:val="center"/>
              <w:rPr>
                <w:color w:val="000000"/>
                <w:sz w:val="20"/>
                <w:szCs w:val="20"/>
              </w:rPr>
            </w:pPr>
            <w:r w:rsidRPr="009C633A">
              <w:rPr>
                <w:color w:val="000000"/>
                <w:sz w:val="20"/>
                <w:szCs w:val="20"/>
              </w:rPr>
              <w:t>Non-Residential</w:t>
            </w:r>
          </w:p>
        </w:tc>
      </w:tr>
      <w:tr w:rsidR="00E7173E" w:rsidRPr="009C633A" w:rsidTr="001D479D">
        <w:trPr>
          <w:trHeight w:val="309"/>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Large C/I Equipment</w:t>
            </w:r>
          </w:p>
        </w:tc>
        <w:tc>
          <w:tcPr>
            <w:tcW w:w="4675"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95A55">
            <w:pPr>
              <w:jc w:val="center"/>
              <w:rPr>
                <w:color w:val="000000"/>
                <w:sz w:val="20"/>
                <w:szCs w:val="20"/>
              </w:rPr>
            </w:pPr>
            <w:r w:rsidRPr="009C633A">
              <w:rPr>
                <w:color w:val="000000"/>
                <w:sz w:val="20"/>
                <w:szCs w:val="20"/>
              </w:rPr>
              <w:t>Non-Residential</w:t>
            </w:r>
          </w:p>
        </w:tc>
      </w:tr>
      <w:tr w:rsidR="00E7173E" w:rsidRPr="009C633A" w:rsidTr="001D479D">
        <w:trPr>
          <w:trHeight w:val="309"/>
        </w:trPr>
        <w:tc>
          <w:tcPr>
            <w:tcW w:w="4675"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9C633A" w:rsidRDefault="009C633A" w:rsidP="009C633A">
            <w:pPr>
              <w:rPr>
                <w:color w:val="000000"/>
                <w:sz w:val="20"/>
                <w:szCs w:val="20"/>
              </w:rPr>
            </w:pPr>
            <w:r w:rsidRPr="009C633A">
              <w:rPr>
                <w:color w:val="000000"/>
                <w:sz w:val="20"/>
                <w:szCs w:val="20"/>
              </w:rPr>
              <w:t>Large C/I Buildings</w:t>
            </w:r>
          </w:p>
        </w:tc>
        <w:tc>
          <w:tcPr>
            <w:tcW w:w="4675"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95A55">
            <w:pPr>
              <w:jc w:val="center"/>
              <w:rPr>
                <w:color w:val="000000"/>
                <w:sz w:val="20"/>
                <w:szCs w:val="20"/>
              </w:rPr>
            </w:pPr>
            <w:r w:rsidRPr="009C633A">
              <w:rPr>
                <w:color w:val="000000"/>
                <w:sz w:val="20"/>
                <w:szCs w:val="20"/>
              </w:rPr>
              <w:t>Non-Residential</w:t>
            </w:r>
          </w:p>
        </w:tc>
      </w:tr>
      <w:tr w:rsidR="00E7173E" w:rsidRPr="009C633A" w:rsidTr="001D479D">
        <w:trPr>
          <w:trHeight w:val="309"/>
        </w:trPr>
        <w:tc>
          <w:tcPr>
            <w:tcW w:w="4675"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Gov./Institutional</w:t>
            </w:r>
          </w:p>
        </w:tc>
        <w:tc>
          <w:tcPr>
            <w:tcW w:w="4675"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95A55">
            <w:pPr>
              <w:jc w:val="center"/>
              <w:rPr>
                <w:color w:val="000000"/>
                <w:sz w:val="20"/>
                <w:szCs w:val="20"/>
              </w:rPr>
            </w:pPr>
            <w:r w:rsidRPr="009C633A">
              <w:rPr>
                <w:color w:val="000000"/>
                <w:sz w:val="20"/>
                <w:szCs w:val="20"/>
              </w:rPr>
              <w:t>GNI</w:t>
            </w:r>
          </w:p>
        </w:tc>
      </w:tr>
    </w:tbl>
    <w:p w:rsidR="005A27BE" w:rsidRDefault="005A27BE" w:rsidP="005A27BE"/>
    <w:p w:rsidR="005A27BE" w:rsidRDefault="005A27BE" w:rsidP="005A27BE"/>
    <w:p w:rsidR="005A27BE" w:rsidRDefault="005A27BE" w:rsidP="005A27BE">
      <w:pPr>
        <w:pStyle w:val="Caption"/>
      </w:pPr>
      <w:bookmarkStart w:id="999" w:name="_Ref472359371"/>
      <w:bookmarkStart w:id="1000" w:name="_Toc472472495"/>
      <w:bookmarkStart w:id="1001" w:name="_Toc476842201"/>
      <w:r w:rsidRPr="00E41D9C">
        <w:t>Table A-</w:t>
      </w:r>
      <w:fldSimple w:instr=" SEQ Table_A- \* ARABIC ">
        <w:r w:rsidR="00C301D0">
          <w:rPr>
            <w:noProof/>
          </w:rPr>
          <w:t>86</w:t>
        </w:r>
      </w:fldSimple>
      <w:bookmarkEnd w:id="999"/>
      <w:r w:rsidRPr="00E41D9C">
        <w:t xml:space="preserve">: </w:t>
      </w:r>
      <w:r w:rsidRPr="005A1DB5">
        <w:t xml:space="preserve">Summary of </w:t>
      </w:r>
      <w:r w:rsidR="00F427B0">
        <w:t>West Penn</w:t>
      </w:r>
      <w:r w:rsidRPr="005A1DB5">
        <w:t xml:space="preserve"> EE&amp;C Program Impacts on Verified Gross Portfolio Savings</w:t>
      </w:r>
      <w:bookmarkEnd w:id="1000"/>
      <w:bookmarkEnd w:id="1001"/>
    </w:p>
    <w:tbl>
      <w:tblPr>
        <w:tblW w:w="9350" w:type="dxa"/>
        <w:tblLook w:val="04A0" w:firstRow="1" w:lastRow="0" w:firstColumn="1" w:lastColumn="0" w:noHBand="0" w:noVBand="1"/>
      </w:tblPr>
      <w:tblGrid>
        <w:gridCol w:w="2120"/>
        <w:gridCol w:w="1660"/>
        <w:gridCol w:w="1660"/>
        <w:gridCol w:w="1660"/>
        <w:gridCol w:w="2250"/>
      </w:tblGrid>
      <w:tr w:rsidR="00A874AC" w:rsidRPr="009C633A" w:rsidTr="00995A55">
        <w:trPr>
          <w:trHeight w:val="718"/>
        </w:trPr>
        <w:tc>
          <w:tcPr>
            <w:tcW w:w="212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9C633A" w:rsidRPr="009C633A" w:rsidRDefault="009C633A" w:rsidP="00995A55">
            <w:pPr>
              <w:rPr>
                <w:b/>
                <w:bCs/>
                <w:color w:val="FFFFFF"/>
                <w:sz w:val="20"/>
                <w:szCs w:val="20"/>
              </w:rPr>
            </w:pPr>
            <w:r w:rsidRPr="009C633A">
              <w:rPr>
                <w:b/>
                <w:bCs/>
                <w:color w:val="FFFFFF"/>
                <w:sz w:val="20"/>
                <w:szCs w:val="20"/>
              </w:rPr>
              <w:lastRenderedPageBreak/>
              <w:t>Program</w:t>
            </w:r>
          </w:p>
        </w:tc>
        <w:tc>
          <w:tcPr>
            <w:tcW w:w="1660" w:type="dxa"/>
            <w:tcBorders>
              <w:top w:val="single" w:sz="8" w:space="0" w:color="448A99"/>
              <w:left w:val="nil"/>
              <w:bottom w:val="single" w:sz="8" w:space="0" w:color="448A99"/>
              <w:right w:val="single" w:sz="8" w:space="0" w:color="448A99"/>
            </w:tcBorders>
            <w:shd w:val="clear" w:color="000000" w:fill="448A99"/>
            <w:vAlign w:val="bottom"/>
            <w:hideMark/>
          </w:tcPr>
          <w:p w:rsidR="009C633A" w:rsidRPr="009C633A" w:rsidRDefault="009C633A" w:rsidP="00995A55">
            <w:pPr>
              <w:jc w:val="center"/>
              <w:rPr>
                <w:b/>
                <w:bCs/>
                <w:color w:val="FFFFFF"/>
                <w:sz w:val="20"/>
                <w:szCs w:val="20"/>
              </w:rPr>
            </w:pPr>
            <w:r w:rsidRPr="009C633A">
              <w:rPr>
                <w:b/>
                <w:bCs/>
                <w:color w:val="FFFFFF"/>
                <w:sz w:val="20"/>
                <w:szCs w:val="20"/>
              </w:rPr>
              <w:t>Phase II VG Savings (MWh)</w:t>
            </w:r>
          </w:p>
        </w:tc>
        <w:tc>
          <w:tcPr>
            <w:tcW w:w="1660" w:type="dxa"/>
            <w:tcBorders>
              <w:top w:val="single" w:sz="8" w:space="0" w:color="448A99"/>
              <w:left w:val="nil"/>
              <w:bottom w:val="single" w:sz="8" w:space="0" w:color="448A99"/>
              <w:right w:val="single" w:sz="8" w:space="0" w:color="448A99"/>
            </w:tcBorders>
            <w:shd w:val="clear" w:color="000000" w:fill="448A99"/>
            <w:vAlign w:val="bottom"/>
            <w:hideMark/>
          </w:tcPr>
          <w:p w:rsidR="009C633A" w:rsidRPr="009C633A" w:rsidRDefault="009C633A" w:rsidP="00995A55">
            <w:pPr>
              <w:jc w:val="center"/>
              <w:rPr>
                <w:b/>
                <w:bCs/>
                <w:color w:val="FFFFFF"/>
                <w:sz w:val="20"/>
                <w:szCs w:val="20"/>
              </w:rPr>
            </w:pPr>
            <w:r w:rsidRPr="009C633A">
              <w:rPr>
                <w:b/>
                <w:bCs/>
                <w:color w:val="FFFFFF"/>
                <w:sz w:val="20"/>
                <w:szCs w:val="20"/>
              </w:rPr>
              <w:t>Percent of Portfolio Phase II VG MWh Savings</w:t>
            </w:r>
          </w:p>
        </w:tc>
        <w:tc>
          <w:tcPr>
            <w:tcW w:w="1660" w:type="dxa"/>
            <w:tcBorders>
              <w:top w:val="single" w:sz="8" w:space="0" w:color="448A99"/>
              <w:left w:val="nil"/>
              <w:bottom w:val="single" w:sz="8" w:space="0" w:color="448A99"/>
              <w:right w:val="single" w:sz="8" w:space="0" w:color="448A99"/>
            </w:tcBorders>
            <w:shd w:val="clear" w:color="000000" w:fill="448A99"/>
            <w:vAlign w:val="bottom"/>
            <w:hideMark/>
          </w:tcPr>
          <w:p w:rsidR="009C633A" w:rsidRPr="009C633A" w:rsidRDefault="009C633A" w:rsidP="00995A55">
            <w:pPr>
              <w:jc w:val="center"/>
              <w:rPr>
                <w:b/>
                <w:bCs/>
                <w:color w:val="FFFFFF"/>
                <w:sz w:val="20"/>
                <w:szCs w:val="20"/>
              </w:rPr>
            </w:pPr>
            <w:r w:rsidRPr="009C633A">
              <w:rPr>
                <w:b/>
                <w:bCs/>
                <w:color w:val="FFFFFF"/>
                <w:sz w:val="20"/>
                <w:szCs w:val="20"/>
              </w:rPr>
              <w:t>Phase II VG Savings (MW)</w:t>
            </w:r>
          </w:p>
        </w:tc>
        <w:tc>
          <w:tcPr>
            <w:tcW w:w="2250" w:type="dxa"/>
            <w:tcBorders>
              <w:top w:val="single" w:sz="8" w:space="0" w:color="448A99"/>
              <w:left w:val="nil"/>
              <w:bottom w:val="single" w:sz="8" w:space="0" w:color="448A99"/>
              <w:right w:val="single" w:sz="8" w:space="0" w:color="448A99"/>
            </w:tcBorders>
            <w:shd w:val="clear" w:color="000000" w:fill="448A99"/>
            <w:vAlign w:val="bottom"/>
            <w:hideMark/>
          </w:tcPr>
          <w:p w:rsidR="009C633A" w:rsidRPr="009C633A" w:rsidRDefault="009C633A" w:rsidP="00995A55">
            <w:pPr>
              <w:jc w:val="center"/>
              <w:rPr>
                <w:b/>
                <w:bCs/>
                <w:color w:val="FFFFFF"/>
                <w:sz w:val="20"/>
                <w:szCs w:val="20"/>
              </w:rPr>
            </w:pPr>
            <w:r w:rsidRPr="009C633A">
              <w:rPr>
                <w:b/>
                <w:bCs/>
                <w:color w:val="FFFFFF"/>
                <w:sz w:val="20"/>
                <w:szCs w:val="20"/>
              </w:rPr>
              <w:t>Percent of Portfolio Phase II VG MW Savings</w:t>
            </w:r>
          </w:p>
        </w:tc>
      </w:tr>
      <w:tr w:rsidR="00E7173E" w:rsidRPr="009C633A" w:rsidTr="001D479D">
        <w:trPr>
          <w:trHeight w:val="315"/>
        </w:trPr>
        <w:tc>
          <w:tcPr>
            <w:tcW w:w="2120"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Appliance Turn-In</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16,445</w:t>
            </w:r>
          </w:p>
        </w:tc>
        <w:tc>
          <w:tcPr>
            <w:tcW w:w="166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5%</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2.31</w:t>
            </w:r>
          </w:p>
        </w:tc>
        <w:tc>
          <w:tcPr>
            <w:tcW w:w="225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5%</w:t>
            </w:r>
          </w:p>
        </w:tc>
      </w:tr>
      <w:tr w:rsidR="00A874AC" w:rsidRPr="009C633A" w:rsidTr="00995A55">
        <w:trPr>
          <w:trHeight w:val="315"/>
        </w:trPr>
        <w:tc>
          <w:tcPr>
            <w:tcW w:w="2120"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9C633A" w:rsidRDefault="009C633A" w:rsidP="009C633A">
            <w:pPr>
              <w:rPr>
                <w:color w:val="000000"/>
                <w:sz w:val="20"/>
                <w:szCs w:val="20"/>
              </w:rPr>
            </w:pPr>
            <w:r w:rsidRPr="009C633A">
              <w:rPr>
                <w:color w:val="000000"/>
                <w:sz w:val="20"/>
                <w:szCs w:val="20"/>
              </w:rPr>
              <w:t>Efficient Products</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99,402</w:t>
            </w:r>
          </w:p>
        </w:tc>
        <w:tc>
          <w:tcPr>
            <w:tcW w:w="1660" w:type="dxa"/>
            <w:tcBorders>
              <w:top w:val="nil"/>
              <w:left w:val="nil"/>
              <w:bottom w:val="single" w:sz="8" w:space="0" w:color="448A99"/>
              <w:right w:val="single" w:sz="8" w:space="0" w:color="448A99"/>
            </w:tcBorders>
            <w:shd w:val="clear" w:color="000000" w:fill="D2EAF1"/>
            <w:noWrap/>
            <w:vAlign w:val="center"/>
            <w:hideMark/>
          </w:tcPr>
          <w:p w:rsidR="009C633A" w:rsidRPr="009C633A" w:rsidRDefault="009C633A" w:rsidP="009C633A">
            <w:pPr>
              <w:jc w:val="center"/>
              <w:rPr>
                <w:color w:val="000000"/>
                <w:sz w:val="20"/>
                <w:szCs w:val="20"/>
              </w:rPr>
            </w:pPr>
            <w:r w:rsidRPr="009C633A">
              <w:rPr>
                <w:color w:val="000000"/>
                <w:sz w:val="20"/>
                <w:szCs w:val="20"/>
              </w:rPr>
              <w:t>28%</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11.55</w:t>
            </w:r>
          </w:p>
        </w:tc>
        <w:tc>
          <w:tcPr>
            <w:tcW w:w="225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26%</w:t>
            </w:r>
          </w:p>
        </w:tc>
      </w:tr>
      <w:tr w:rsidR="00E7173E" w:rsidRPr="009C633A" w:rsidTr="001D479D">
        <w:trPr>
          <w:trHeight w:val="315"/>
        </w:trPr>
        <w:tc>
          <w:tcPr>
            <w:tcW w:w="2120"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Home Performance</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63,984</w:t>
            </w:r>
          </w:p>
        </w:tc>
        <w:tc>
          <w:tcPr>
            <w:tcW w:w="166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18%</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6.64</w:t>
            </w:r>
          </w:p>
        </w:tc>
        <w:tc>
          <w:tcPr>
            <w:tcW w:w="225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15%</w:t>
            </w:r>
          </w:p>
        </w:tc>
      </w:tr>
      <w:tr w:rsidR="00A874AC" w:rsidRPr="009C633A" w:rsidTr="00995A55">
        <w:trPr>
          <w:trHeight w:val="315"/>
        </w:trPr>
        <w:tc>
          <w:tcPr>
            <w:tcW w:w="2120"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9C633A" w:rsidRDefault="009C633A" w:rsidP="009C633A">
            <w:pPr>
              <w:rPr>
                <w:color w:val="000000"/>
                <w:sz w:val="20"/>
                <w:szCs w:val="20"/>
              </w:rPr>
            </w:pPr>
            <w:r w:rsidRPr="009C633A">
              <w:rPr>
                <w:color w:val="000000"/>
                <w:sz w:val="20"/>
                <w:szCs w:val="20"/>
              </w:rPr>
              <w:t>Low Income</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4,725</w:t>
            </w:r>
          </w:p>
        </w:tc>
        <w:tc>
          <w:tcPr>
            <w:tcW w:w="1660" w:type="dxa"/>
            <w:tcBorders>
              <w:top w:val="nil"/>
              <w:left w:val="nil"/>
              <w:bottom w:val="single" w:sz="8" w:space="0" w:color="448A99"/>
              <w:right w:val="single" w:sz="8" w:space="0" w:color="448A99"/>
            </w:tcBorders>
            <w:shd w:val="clear" w:color="000000" w:fill="D2EAF1"/>
            <w:noWrap/>
            <w:vAlign w:val="center"/>
            <w:hideMark/>
          </w:tcPr>
          <w:p w:rsidR="009C633A" w:rsidRPr="009C633A" w:rsidRDefault="009C633A" w:rsidP="009C633A">
            <w:pPr>
              <w:jc w:val="center"/>
              <w:rPr>
                <w:color w:val="000000"/>
                <w:sz w:val="20"/>
                <w:szCs w:val="20"/>
              </w:rPr>
            </w:pPr>
            <w:r w:rsidRPr="009C633A">
              <w:rPr>
                <w:color w:val="000000"/>
                <w:sz w:val="20"/>
                <w:szCs w:val="20"/>
              </w:rPr>
              <w:t>1%</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0.47</w:t>
            </w:r>
          </w:p>
        </w:tc>
        <w:tc>
          <w:tcPr>
            <w:tcW w:w="225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1%</w:t>
            </w:r>
          </w:p>
        </w:tc>
      </w:tr>
      <w:tr w:rsidR="00E7173E" w:rsidRPr="009C633A" w:rsidTr="001D479D">
        <w:trPr>
          <w:trHeight w:val="315"/>
        </w:trPr>
        <w:tc>
          <w:tcPr>
            <w:tcW w:w="2120"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Small C/I Equipment</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54,098</w:t>
            </w:r>
          </w:p>
        </w:tc>
        <w:tc>
          <w:tcPr>
            <w:tcW w:w="166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15%</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8.96</w:t>
            </w:r>
          </w:p>
        </w:tc>
        <w:tc>
          <w:tcPr>
            <w:tcW w:w="225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20%</w:t>
            </w:r>
          </w:p>
        </w:tc>
      </w:tr>
      <w:tr w:rsidR="00A874AC" w:rsidRPr="009C633A" w:rsidTr="00995A55">
        <w:trPr>
          <w:trHeight w:val="315"/>
        </w:trPr>
        <w:tc>
          <w:tcPr>
            <w:tcW w:w="2120"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9C633A" w:rsidRDefault="009C633A" w:rsidP="009C633A">
            <w:pPr>
              <w:rPr>
                <w:color w:val="000000"/>
                <w:sz w:val="20"/>
                <w:szCs w:val="20"/>
              </w:rPr>
            </w:pPr>
            <w:r w:rsidRPr="009C633A">
              <w:rPr>
                <w:color w:val="000000"/>
                <w:sz w:val="20"/>
                <w:szCs w:val="20"/>
              </w:rPr>
              <w:t>Small C/I Buildings</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8,161</w:t>
            </w:r>
          </w:p>
        </w:tc>
        <w:tc>
          <w:tcPr>
            <w:tcW w:w="1660" w:type="dxa"/>
            <w:tcBorders>
              <w:top w:val="nil"/>
              <w:left w:val="nil"/>
              <w:bottom w:val="single" w:sz="8" w:space="0" w:color="448A99"/>
              <w:right w:val="single" w:sz="8" w:space="0" w:color="448A99"/>
            </w:tcBorders>
            <w:shd w:val="clear" w:color="000000" w:fill="D2EAF1"/>
            <w:noWrap/>
            <w:vAlign w:val="center"/>
            <w:hideMark/>
          </w:tcPr>
          <w:p w:rsidR="009C633A" w:rsidRPr="009C633A" w:rsidRDefault="009C633A" w:rsidP="009C633A">
            <w:pPr>
              <w:jc w:val="center"/>
              <w:rPr>
                <w:color w:val="000000"/>
                <w:sz w:val="20"/>
                <w:szCs w:val="20"/>
              </w:rPr>
            </w:pPr>
            <w:r w:rsidRPr="009C633A">
              <w:rPr>
                <w:color w:val="000000"/>
                <w:sz w:val="20"/>
                <w:szCs w:val="20"/>
              </w:rPr>
              <w:t>2%</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1.22</w:t>
            </w:r>
          </w:p>
        </w:tc>
        <w:tc>
          <w:tcPr>
            <w:tcW w:w="225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3%</w:t>
            </w:r>
          </w:p>
        </w:tc>
      </w:tr>
      <w:tr w:rsidR="00E7173E" w:rsidRPr="009C633A" w:rsidTr="001D479D">
        <w:trPr>
          <w:trHeight w:val="315"/>
        </w:trPr>
        <w:tc>
          <w:tcPr>
            <w:tcW w:w="2120"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Large C/I Equipment</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103,535</w:t>
            </w:r>
          </w:p>
        </w:tc>
        <w:tc>
          <w:tcPr>
            <w:tcW w:w="166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29%</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12.27</w:t>
            </w:r>
          </w:p>
        </w:tc>
        <w:tc>
          <w:tcPr>
            <w:tcW w:w="225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28%</w:t>
            </w:r>
          </w:p>
        </w:tc>
      </w:tr>
      <w:tr w:rsidR="00A874AC" w:rsidRPr="009C633A" w:rsidTr="00995A55">
        <w:trPr>
          <w:trHeight w:val="315"/>
        </w:trPr>
        <w:tc>
          <w:tcPr>
            <w:tcW w:w="2120" w:type="dxa"/>
            <w:tcBorders>
              <w:top w:val="nil"/>
              <w:left w:val="single" w:sz="8" w:space="0" w:color="448A99"/>
              <w:bottom w:val="single" w:sz="8" w:space="0" w:color="448A99"/>
              <w:right w:val="single" w:sz="8" w:space="0" w:color="448A99"/>
            </w:tcBorders>
            <w:shd w:val="clear" w:color="000000" w:fill="D2EAF1"/>
            <w:vAlign w:val="center"/>
            <w:hideMark/>
          </w:tcPr>
          <w:p w:rsidR="009C633A" w:rsidRPr="009C633A" w:rsidRDefault="009C633A" w:rsidP="009C633A">
            <w:pPr>
              <w:rPr>
                <w:color w:val="000000"/>
                <w:sz w:val="20"/>
                <w:szCs w:val="20"/>
              </w:rPr>
            </w:pPr>
            <w:r w:rsidRPr="009C633A">
              <w:rPr>
                <w:color w:val="000000"/>
                <w:sz w:val="20"/>
                <w:szCs w:val="20"/>
              </w:rPr>
              <w:t>Large C/I Buildings</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5,396</w:t>
            </w:r>
          </w:p>
        </w:tc>
        <w:tc>
          <w:tcPr>
            <w:tcW w:w="1660" w:type="dxa"/>
            <w:tcBorders>
              <w:top w:val="nil"/>
              <w:left w:val="nil"/>
              <w:bottom w:val="single" w:sz="8" w:space="0" w:color="448A99"/>
              <w:right w:val="single" w:sz="8" w:space="0" w:color="448A99"/>
            </w:tcBorders>
            <w:shd w:val="clear" w:color="000000" w:fill="D2EAF1"/>
            <w:noWrap/>
            <w:vAlign w:val="center"/>
            <w:hideMark/>
          </w:tcPr>
          <w:p w:rsidR="009C633A" w:rsidRPr="009C633A" w:rsidRDefault="009C633A" w:rsidP="009C633A">
            <w:pPr>
              <w:jc w:val="center"/>
              <w:rPr>
                <w:color w:val="000000"/>
                <w:sz w:val="20"/>
                <w:szCs w:val="20"/>
              </w:rPr>
            </w:pPr>
            <w:r w:rsidRPr="009C633A">
              <w:rPr>
                <w:color w:val="000000"/>
                <w:sz w:val="20"/>
                <w:szCs w:val="20"/>
              </w:rPr>
              <w:t>2%</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0.85</w:t>
            </w:r>
          </w:p>
        </w:tc>
        <w:tc>
          <w:tcPr>
            <w:tcW w:w="225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color w:val="000000"/>
                <w:sz w:val="20"/>
                <w:szCs w:val="20"/>
              </w:rPr>
            </w:pPr>
            <w:r w:rsidRPr="009C633A">
              <w:rPr>
                <w:color w:val="000000"/>
                <w:sz w:val="20"/>
                <w:szCs w:val="20"/>
              </w:rPr>
              <w:t>2%</w:t>
            </w:r>
          </w:p>
        </w:tc>
      </w:tr>
      <w:tr w:rsidR="00E7173E" w:rsidRPr="009C633A" w:rsidTr="001D479D">
        <w:trPr>
          <w:trHeight w:val="315"/>
        </w:trPr>
        <w:tc>
          <w:tcPr>
            <w:tcW w:w="2120" w:type="dxa"/>
            <w:tcBorders>
              <w:top w:val="nil"/>
              <w:left w:val="single" w:sz="8" w:space="0" w:color="448A99"/>
              <w:bottom w:val="single" w:sz="8" w:space="0" w:color="448A99"/>
              <w:right w:val="single" w:sz="8" w:space="0" w:color="448A99"/>
            </w:tcBorders>
            <w:shd w:val="clear" w:color="auto" w:fill="auto"/>
            <w:vAlign w:val="center"/>
            <w:hideMark/>
          </w:tcPr>
          <w:p w:rsidR="009C633A" w:rsidRPr="009C633A" w:rsidRDefault="009C633A" w:rsidP="009C633A">
            <w:pPr>
              <w:rPr>
                <w:color w:val="000000"/>
                <w:sz w:val="20"/>
                <w:szCs w:val="20"/>
              </w:rPr>
            </w:pPr>
            <w:r w:rsidRPr="009C633A">
              <w:rPr>
                <w:color w:val="000000"/>
                <w:sz w:val="20"/>
                <w:szCs w:val="20"/>
              </w:rPr>
              <w:t>Gov./Institutional</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2,327</w:t>
            </w:r>
          </w:p>
        </w:tc>
        <w:tc>
          <w:tcPr>
            <w:tcW w:w="1660" w:type="dxa"/>
            <w:tcBorders>
              <w:top w:val="nil"/>
              <w:left w:val="nil"/>
              <w:bottom w:val="single" w:sz="8" w:space="0" w:color="448A99"/>
              <w:right w:val="single" w:sz="8" w:space="0" w:color="448A99"/>
            </w:tcBorders>
            <w:shd w:val="clear" w:color="auto" w:fill="auto"/>
            <w:noWrap/>
            <w:vAlign w:val="center"/>
            <w:hideMark/>
          </w:tcPr>
          <w:p w:rsidR="009C633A" w:rsidRPr="009C633A" w:rsidRDefault="009C633A" w:rsidP="009C633A">
            <w:pPr>
              <w:jc w:val="center"/>
              <w:rPr>
                <w:color w:val="000000"/>
                <w:sz w:val="20"/>
                <w:szCs w:val="20"/>
              </w:rPr>
            </w:pPr>
            <w:r w:rsidRPr="009C633A">
              <w:rPr>
                <w:color w:val="000000"/>
                <w:sz w:val="20"/>
                <w:szCs w:val="20"/>
              </w:rPr>
              <w:t>1%</w:t>
            </w:r>
          </w:p>
        </w:tc>
        <w:tc>
          <w:tcPr>
            <w:tcW w:w="166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0.11</w:t>
            </w:r>
          </w:p>
        </w:tc>
        <w:tc>
          <w:tcPr>
            <w:tcW w:w="2250" w:type="dxa"/>
            <w:tcBorders>
              <w:top w:val="nil"/>
              <w:left w:val="nil"/>
              <w:bottom w:val="single" w:sz="8" w:space="0" w:color="448A99"/>
              <w:right w:val="single" w:sz="8" w:space="0" w:color="448A99"/>
            </w:tcBorders>
            <w:shd w:val="clear" w:color="auto" w:fill="auto"/>
            <w:vAlign w:val="center"/>
            <w:hideMark/>
          </w:tcPr>
          <w:p w:rsidR="009C633A" w:rsidRPr="009C633A" w:rsidRDefault="009C633A" w:rsidP="009C633A">
            <w:pPr>
              <w:jc w:val="center"/>
              <w:rPr>
                <w:color w:val="000000"/>
                <w:sz w:val="20"/>
                <w:szCs w:val="20"/>
              </w:rPr>
            </w:pPr>
            <w:r w:rsidRPr="009C633A">
              <w:rPr>
                <w:color w:val="000000"/>
                <w:sz w:val="20"/>
                <w:szCs w:val="20"/>
              </w:rPr>
              <w:t>0%</w:t>
            </w:r>
          </w:p>
        </w:tc>
      </w:tr>
      <w:tr w:rsidR="00A874AC" w:rsidRPr="009C633A" w:rsidTr="00995A55">
        <w:trPr>
          <w:trHeight w:val="315"/>
        </w:trPr>
        <w:tc>
          <w:tcPr>
            <w:tcW w:w="2120" w:type="dxa"/>
            <w:tcBorders>
              <w:top w:val="nil"/>
              <w:left w:val="single" w:sz="8" w:space="0" w:color="448A99"/>
              <w:bottom w:val="single" w:sz="8" w:space="0" w:color="448A99"/>
              <w:right w:val="single" w:sz="8" w:space="0" w:color="448A99"/>
            </w:tcBorders>
            <w:shd w:val="clear" w:color="000000" w:fill="D2EAF1"/>
            <w:noWrap/>
            <w:vAlign w:val="center"/>
            <w:hideMark/>
          </w:tcPr>
          <w:p w:rsidR="009C633A" w:rsidRPr="009C633A" w:rsidRDefault="009C633A" w:rsidP="009C633A">
            <w:pPr>
              <w:jc w:val="left"/>
              <w:rPr>
                <w:b/>
                <w:bCs/>
                <w:i/>
                <w:iCs/>
                <w:color w:val="000000"/>
                <w:sz w:val="20"/>
                <w:szCs w:val="20"/>
              </w:rPr>
            </w:pPr>
            <w:r w:rsidRPr="009C633A">
              <w:rPr>
                <w:b/>
                <w:bCs/>
                <w:i/>
                <w:iCs/>
                <w:color w:val="000000"/>
                <w:sz w:val="20"/>
                <w:szCs w:val="20"/>
              </w:rPr>
              <w:t>Total Portfolio</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b/>
                <w:bCs/>
                <w:i/>
                <w:iCs/>
                <w:color w:val="000000"/>
                <w:sz w:val="20"/>
                <w:szCs w:val="20"/>
              </w:rPr>
            </w:pPr>
            <w:r w:rsidRPr="009C633A">
              <w:rPr>
                <w:b/>
                <w:bCs/>
                <w:i/>
                <w:iCs/>
                <w:color w:val="000000"/>
                <w:sz w:val="20"/>
                <w:szCs w:val="20"/>
              </w:rPr>
              <w:t>358,073</w:t>
            </w:r>
          </w:p>
        </w:tc>
        <w:tc>
          <w:tcPr>
            <w:tcW w:w="1660" w:type="dxa"/>
            <w:tcBorders>
              <w:top w:val="nil"/>
              <w:left w:val="nil"/>
              <w:bottom w:val="single" w:sz="8" w:space="0" w:color="448A99"/>
              <w:right w:val="single" w:sz="8" w:space="0" w:color="448A99"/>
            </w:tcBorders>
            <w:shd w:val="clear" w:color="000000" w:fill="D2EAF1"/>
            <w:noWrap/>
            <w:vAlign w:val="center"/>
            <w:hideMark/>
          </w:tcPr>
          <w:p w:rsidR="009C633A" w:rsidRPr="009C633A" w:rsidRDefault="009C633A" w:rsidP="009C633A">
            <w:pPr>
              <w:jc w:val="center"/>
              <w:rPr>
                <w:b/>
                <w:bCs/>
                <w:i/>
                <w:iCs/>
                <w:color w:val="000000"/>
                <w:sz w:val="20"/>
                <w:szCs w:val="20"/>
              </w:rPr>
            </w:pPr>
            <w:r w:rsidRPr="009C633A">
              <w:rPr>
                <w:b/>
                <w:bCs/>
                <w:i/>
                <w:iCs/>
                <w:color w:val="000000"/>
                <w:sz w:val="20"/>
                <w:szCs w:val="20"/>
              </w:rPr>
              <w:t>100%</w:t>
            </w:r>
          </w:p>
        </w:tc>
        <w:tc>
          <w:tcPr>
            <w:tcW w:w="166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b/>
                <w:bCs/>
                <w:i/>
                <w:iCs/>
                <w:color w:val="000000"/>
                <w:sz w:val="20"/>
                <w:szCs w:val="20"/>
              </w:rPr>
            </w:pPr>
            <w:r w:rsidRPr="009C633A">
              <w:rPr>
                <w:b/>
                <w:bCs/>
                <w:i/>
                <w:iCs/>
                <w:color w:val="000000"/>
                <w:sz w:val="20"/>
                <w:szCs w:val="20"/>
              </w:rPr>
              <w:t>44.37</w:t>
            </w:r>
          </w:p>
        </w:tc>
        <w:tc>
          <w:tcPr>
            <w:tcW w:w="2250" w:type="dxa"/>
            <w:tcBorders>
              <w:top w:val="nil"/>
              <w:left w:val="nil"/>
              <w:bottom w:val="single" w:sz="8" w:space="0" w:color="448A99"/>
              <w:right w:val="single" w:sz="8" w:space="0" w:color="448A99"/>
            </w:tcBorders>
            <w:shd w:val="clear" w:color="000000" w:fill="D2EAF1"/>
            <w:vAlign w:val="center"/>
            <w:hideMark/>
          </w:tcPr>
          <w:p w:rsidR="009C633A" w:rsidRPr="009C633A" w:rsidRDefault="009C633A" w:rsidP="009C633A">
            <w:pPr>
              <w:jc w:val="center"/>
              <w:rPr>
                <w:b/>
                <w:bCs/>
                <w:i/>
                <w:iCs/>
                <w:color w:val="000000"/>
                <w:sz w:val="20"/>
                <w:szCs w:val="20"/>
              </w:rPr>
            </w:pPr>
            <w:r w:rsidRPr="009C633A">
              <w:rPr>
                <w:b/>
                <w:bCs/>
                <w:i/>
                <w:iCs/>
                <w:color w:val="000000"/>
                <w:sz w:val="20"/>
                <w:szCs w:val="20"/>
              </w:rPr>
              <w:t>100%</w:t>
            </w:r>
          </w:p>
        </w:tc>
      </w:tr>
    </w:tbl>
    <w:p w:rsidR="005A27BE" w:rsidRDefault="005A27BE" w:rsidP="005A27BE"/>
    <w:p w:rsidR="00735BA9" w:rsidRDefault="00735BA9" w:rsidP="00D34B3E">
      <w:pPr>
        <w:pStyle w:val="AppendixAHeading3"/>
      </w:pPr>
      <w:r>
        <w:t>PY7 Gross and Net Savings by Sector</w:t>
      </w:r>
    </w:p>
    <w:p w:rsidR="00710D47" w:rsidRDefault="00710D47" w:rsidP="00710D47">
      <w:r w:rsidRPr="00C23348">
        <w:t>The sector-level verified gross and net energy savings achieved in PY7 are provided</w:t>
      </w:r>
      <w:r>
        <w:t xml:space="preserve"> in </w:t>
      </w:r>
      <w:r w:rsidR="008F62F5">
        <w:fldChar w:fldCharType="begin"/>
      </w:r>
      <w:r w:rsidR="008F62F5">
        <w:instrText xml:space="preserve"> REF _Ref472360371 \h </w:instrText>
      </w:r>
      <w:r w:rsidR="008F62F5">
        <w:fldChar w:fldCharType="separate"/>
      </w:r>
      <w:r w:rsidR="00A874AC" w:rsidRPr="00E41D9C">
        <w:t>Table A-</w:t>
      </w:r>
      <w:r w:rsidR="00A874AC">
        <w:rPr>
          <w:noProof/>
        </w:rPr>
        <w:t>87</w:t>
      </w:r>
      <w:r w:rsidR="008F62F5">
        <w:fldChar w:fldCharType="end"/>
      </w:r>
      <w:r>
        <w:t xml:space="preserve"> below. In PY7, the net energy savings were </w:t>
      </w:r>
      <w:r w:rsidRPr="009C633A">
        <w:t>approximately 75% of the gross energy savings.</w:t>
      </w:r>
    </w:p>
    <w:p w:rsidR="00710D47" w:rsidRPr="00C23348" w:rsidRDefault="00710D47" w:rsidP="00710D47"/>
    <w:p w:rsidR="00710D47" w:rsidRDefault="00710D47" w:rsidP="00710D47">
      <w:pPr>
        <w:pStyle w:val="Caption"/>
      </w:pPr>
      <w:bookmarkStart w:id="1002" w:name="_Ref472360371"/>
      <w:bookmarkStart w:id="1003" w:name="_Toc472472496"/>
      <w:bookmarkStart w:id="1004" w:name="_Toc476842202"/>
      <w:r w:rsidRPr="00E41D9C">
        <w:t>Table A-</w:t>
      </w:r>
      <w:fldSimple w:instr=" SEQ Table_A- \* ARABIC ">
        <w:r w:rsidR="00C301D0">
          <w:rPr>
            <w:noProof/>
          </w:rPr>
          <w:t>87</w:t>
        </w:r>
      </w:fldSimple>
      <w:bookmarkEnd w:id="1002"/>
      <w:r w:rsidRPr="00E41D9C">
        <w:t xml:space="preserve">: </w:t>
      </w:r>
      <w:r w:rsidRPr="008B45A8">
        <w:t xml:space="preserve">Summary of </w:t>
      </w:r>
      <w:r w:rsidR="008F62F5">
        <w:t>West Penn</w:t>
      </w:r>
      <w:r w:rsidRPr="008B45A8">
        <w:t xml:space="preserve"> EE&amp;C Verified Net Savings – by Sector</w:t>
      </w:r>
      <w:bookmarkEnd w:id="1003"/>
      <w:bookmarkEnd w:id="1004"/>
    </w:p>
    <w:tbl>
      <w:tblPr>
        <w:tblW w:w="9350" w:type="dxa"/>
        <w:tblLook w:val="04A0" w:firstRow="1" w:lastRow="0" w:firstColumn="1" w:lastColumn="0" w:noHBand="0" w:noVBand="1"/>
      </w:tblPr>
      <w:tblGrid>
        <w:gridCol w:w="1870"/>
        <w:gridCol w:w="1870"/>
        <w:gridCol w:w="1870"/>
        <w:gridCol w:w="1870"/>
        <w:gridCol w:w="1870"/>
      </w:tblGrid>
      <w:tr w:rsidR="00A874AC" w:rsidRPr="00C23348" w:rsidTr="00995A55">
        <w:trPr>
          <w:trHeight w:val="376"/>
        </w:trPr>
        <w:tc>
          <w:tcPr>
            <w:tcW w:w="187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710D47" w:rsidRPr="00C23348" w:rsidRDefault="00710D47" w:rsidP="00995A55">
            <w:pPr>
              <w:rPr>
                <w:b/>
                <w:bCs/>
                <w:color w:val="FFFFFF"/>
                <w:sz w:val="20"/>
                <w:szCs w:val="20"/>
              </w:rPr>
            </w:pPr>
            <w:r w:rsidRPr="00C23348">
              <w:rPr>
                <w:b/>
                <w:bCs/>
                <w:color w:val="FFFFFF"/>
                <w:sz w:val="20"/>
                <w:szCs w:val="20"/>
              </w:rPr>
              <w:t>Sector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995A55">
            <w:pPr>
              <w:jc w:val="center"/>
              <w:rPr>
                <w:b/>
                <w:bCs/>
                <w:color w:val="FFFFFF"/>
                <w:sz w:val="20"/>
                <w:szCs w:val="20"/>
              </w:rPr>
            </w:pPr>
            <w:r w:rsidRPr="00C23348">
              <w:rPr>
                <w:b/>
                <w:bCs/>
                <w:color w:val="FFFFFF"/>
                <w:sz w:val="20"/>
                <w:szCs w:val="20"/>
              </w:rPr>
              <w:t>PY7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995A55">
            <w:pPr>
              <w:jc w:val="center"/>
              <w:rPr>
                <w:b/>
                <w:bCs/>
                <w:color w:val="FFFFFF"/>
                <w:sz w:val="20"/>
                <w:szCs w:val="20"/>
              </w:rPr>
            </w:pPr>
            <w:r w:rsidRPr="00C23348">
              <w:rPr>
                <w:b/>
                <w:bCs/>
                <w:color w:val="FFFFFF"/>
                <w:sz w:val="20"/>
                <w:szCs w:val="20"/>
              </w:rPr>
              <w:t>PY7 Verified Net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995A55">
            <w:pPr>
              <w:jc w:val="center"/>
              <w:rPr>
                <w:b/>
                <w:bCs/>
                <w:color w:val="FFFFFF"/>
                <w:sz w:val="20"/>
                <w:szCs w:val="20"/>
              </w:rPr>
            </w:pPr>
            <w:r w:rsidRPr="00C23348">
              <w:rPr>
                <w:b/>
                <w:bCs/>
                <w:color w:val="FFFFFF"/>
                <w:sz w:val="20"/>
                <w:szCs w:val="20"/>
              </w:rPr>
              <w:t>Phase II VG Savings (MWh/yr)</w:t>
            </w:r>
          </w:p>
        </w:tc>
        <w:tc>
          <w:tcPr>
            <w:tcW w:w="187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995A55">
            <w:pPr>
              <w:jc w:val="center"/>
              <w:rPr>
                <w:b/>
                <w:bCs/>
                <w:color w:val="FFFFFF"/>
                <w:sz w:val="20"/>
                <w:szCs w:val="20"/>
              </w:rPr>
            </w:pPr>
            <w:r w:rsidRPr="00C23348">
              <w:rPr>
                <w:b/>
                <w:bCs/>
                <w:color w:val="FFFFFF"/>
                <w:sz w:val="20"/>
                <w:szCs w:val="20"/>
              </w:rPr>
              <w:t>Phase II Verified Net Savings (MWh/yr)</w:t>
            </w:r>
          </w:p>
        </w:tc>
      </w:tr>
      <w:tr w:rsidR="00E7173E" w:rsidRPr="00C23348" w:rsidTr="001D479D">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9C633A" w:rsidRPr="00C23348" w:rsidRDefault="009C633A" w:rsidP="009C633A">
            <w:pPr>
              <w:jc w:val="left"/>
              <w:rPr>
                <w:color w:val="000000"/>
                <w:sz w:val="20"/>
                <w:szCs w:val="20"/>
              </w:rPr>
            </w:pPr>
            <w:r>
              <w:rPr>
                <w:color w:val="000000"/>
                <w:sz w:val="20"/>
                <w:szCs w:val="20"/>
              </w:rPr>
              <w:t>Residential</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83,684</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68,347</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176,463</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125,922</w:t>
            </w:r>
          </w:p>
        </w:tc>
      </w:tr>
      <w:tr w:rsidR="00A874AC" w:rsidRPr="00C23348" w:rsidTr="00995A55">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9C633A" w:rsidRPr="00C23348" w:rsidRDefault="009C633A" w:rsidP="0097650B">
            <w:pPr>
              <w:jc w:val="left"/>
              <w:rPr>
                <w:color w:val="000000"/>
                <w:sz w:val="20"/>
                <w:szCs w:val="20"/>
              </w:rPr>
            </w:pPr>
            <w:r>
              <w:rPr>
                <w:color w:val="000000"/>
                <w:sz w:val="20"/>
                <w:szCs w:val="20"/>
              </w:rPr>
              <w:t>C</w:t>
            </w:r>
            <w:r w:rsidR="0097650B">
              <w:rPr>
                <w:color w:val="000000"/>
                <w:sz w:val="20"/>
                <w:szCs w:val="20"/>
              </w:rPr>
              <w:t>/</w:t>
            </w:r>
            <w:r>
              <w:rPr>
                <w:color w:val="000000"/>
                <w:sz w:val="20"/>
                <w:szCs w:val="20"/>
              </w:rPr>
              <w:t>I</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color w:val="000000"/>
                <w:sz w:val="20"/>
                <w:szCs w:val="20"/>
              </w:rPr>
            </w:pPr>
            <w:r>
              <w:rPr>
                <w:color w:val="000000"/>
                <w:sz w:val="20"/>
                <w:szCs w:val="20"/>
              </w:rPr>
              <w:t>61,391</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color w:val="000000"/>
                <w:sz w:val="20"/>
                <w:szCs w:val="20"/>
              </w:rPr>
            </w:pPr>
            <w:r>
              <w:rPr>
                <w:color w:val="000000"/>
                <w:sz w:val="20"/>
                <w:szCs w:val="20"/>
              </w:rPr>
              <w:t>42,411</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color w:val="000000"/>
                <w:sz w:val="20"/>
                <w:szCs w:val="20"/>
              </w:rPr>
            </w:pPr>
            <w:r>
              <w:rPr>
                <w:color w:val="000000"/>
                <w:sz w:val="20"/>
                <w:szCs w:val="20"/>
              </w:rPr>
              <w:t>147,885</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color w:val="000000"/>
                <w:sz w:val="20"/>
                <w:szCs w:val="20"/>
              </w:rPr>
            </w:pPr>
            <w:r>
              <w:rPr>
                <w:color w:val="000000"/>
                <w:sz w:val="20"/>
                <w:szCs w:val="20"/>
              </w:rPr>
              <w:t>105,815</w:t>
            </w:r>
          </w:p>
        </w:tc>
      </w:tr>
      <w:tr w:rsidR="00E7173E" w:rsidRPr="00C23348" w:rsidTr="001D479D">
        <w:trPr>
          <w:trHeight w:val="360"/>
        </w:trPr>
        <w:tc>
          <w:tcPr>
            <w:tcW w:w="1870" w:type="dxa"/>
            <w:tcBorders>
              <w:top w:val="nil"/>
              <w:left w:val="single" w:sz="8" w:space="0" w:color="448A99"/>
              <w:bottom w:val="single" w:sz="8" w:space="0" w:color="448A99"/>
              <w:right w:val="single" w:sz="8" w:space="0" w:color="448A99"/>
            </w:tcBorders>
            <w:shd w:val="clear" w:color="auto" w:fill="auto"/>
            <w:noWrap/>
            <w:vAlign w:val="center"/>
          </w:tcPr>
          <w:p w:rsidR="009C633A" w:rsidRPr="00C23348" w:rsidRDefault="009C633A" w:rsidP="009C633A">
            <w:pPr>
              <w:jc w:val="left"/>
              <w:rPr>
                <w:color w:val="000000"/>
                <w:sz w:val="20"/>
                <w:szCs w:val="20"/>
              </w:rPr>
            </w:pPr>
            <w:r>
              <w:rPr>
                <w:color w:val="000000"/>
                <w:sz w:val="20"/>
                <w:szCs w:val="20"/>
              </w:rPr>
              <w:t>GNI</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13,685</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9,577</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33,726</w:t>
            </w:r>
          </w:p>
        </w:tc>
        <w:tc>
          <w:tcPr>
            <w:tcW w:w="1870" w:type="dxa"/>
            <w:tcBorders>
              <w:top w:val="nil"/>
              <w:left w:val="nil"/>
              <w:bottom w:val="single" w:sz="8" w:space="0" w:color="448A99"/>
              <w:right w:val="single" w:sz="8" w:space="0" w:color="448A99"/>
            </w:tcBorders>
            <w:shd w:val="clear" w:color="auto" w:fill="auto"/>
            <w:vAlign w:val="center"/>
          </w:tcPr>
          <w:p w:rsidR="009C633A" w:rsidRPr="00C23348" w:rsidRDefault="009C633A" w:rsidP="009C633A">
            <w:pPr>
              <w:jc w:val="center"/>
              <w:rPr>
                <w:color w:val="000000"/>
                <w:sz w:val="20"/>
                <w:szCs w:val="20"/>
              </w:rPr>
            </w:pPr>
            <w:r>
              <w:rPr>
                <w:color w:val="000000"/>
                <w:sz w:val="20"/>
                <w:szCs w:val="20"/>
              </w:rPr>
              <w:t>22,525</w:t>
            </w:r>
          </w:p>
        </w:tc>
      </w:tr>
      <w:tr w:rsidR="00A874AC" w:rsidRPr="00C23348" w:rsidTr="00995A55">
        <w:trPr>
          <w:trHeight w:val="360"/>
        </w:trPr>
        <w:tc>
          <w:tcPr>
            <w:tcW w:w="1870" w:type="dxa"/>
            <w:tcBorders>
              <w:top w:val="nil"/>
              <w:left w:val="single" w:sz="8" w:space="0" w:color="448A99"/>
              <w:bottom w:val="single" w:sz="8" w:space="0" w:color="448A99"/>
              <w:right w:val="single" w:sz="8" w:space="0" w:color="448A99"/>
            </w:tcBorders>
            <w:shd w:val="clear" w:color="000000" w:fill="D2EAF1"/>
            <w:noWrap/>
            <w:vAlign w:val="center"/>
          </w:tcPr>
          <w:p w:rsidR="009C633A" w:rsidRPr="00C23348" w:rsidRDefault="009C633A" w:rsidP="009C633A">
            <w:pPr>
              <w:jc w:val="left"/>
              <w:rPr>
                <w:b/>
                <w:bCs/>
                <w:i/>
                <w:iCs/>
                <w:color w:val="000000"/>
                <w:sz w:val="20"/>
                <w:szCs w:val="20"/>
              </w:rPr>
            </w:pPr>
            <w:r>
              <w:rPr>
                <w:b/>
                <w:bCs/>
                <w:i/>
                <w:iCs/>
                <w:color w:val="000000"/>
                <w:sz w:val="20"/>
                <w:szCs w:val="20"/>
              </w:rPr>
              <w:t>Total Portfolio</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b/>
                <w:bCs/>
                <w:i/>
                <w:iCs/>
                <w:color w:val="000000"/>
                <w:sz w:val="20"/>
                <w:szCs w:val="20"/>
              </w:rPr>
            </w:pPr>
            <w:r>
              <w:rPr>
                <w:b/>
                <w:bCs/>
                <w:i/>
                <w:iCs/>
                <w:color w:val="000000"/>
                <w:sz w:val="20"/>
                <w:szCs w:val="20"/>
              </w:rPr>
              <w:t>158,760</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b/>
                <w:bCs/>
                <w:i/>
                <w:iCs/>
                <w:color w:val="000000"/>
                <w:sz w:val="20"/>
                <w:szCs w:val="20"/>
              </w:rPr>
            </w:pPr>
            <w:r>
              <w:rPr>
                <w:b/>
                <w:bCs/>
                <w:i/>
                <w:iCs/>
                <w:color w:val="000000"/>
                <w:sz w:val="20"/>
                <w:szCs w:val="20"/>
              </w:rPr>
              <w:t>120,335</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b/>
                <w:bCs/>
                <w:i/>
                <w:iCs/>
                <w:color w:val="000000"/>
                <w:sz w:val="20"/>
                <w:szCs w:val="20"/>
              </w:rPr>
            </w:pPr>
            <w:r>
              <w:rPr>
                <w:b/>
                <w:bCs/>
                <w:i/>
                <w:iCs/>
                <w:color w:val="000000"/>
                <w:sz w:val="20"/>
                <w:szCs w:val="20"/>
              </w:rPr>
              <w:t>358,073</w:t>
            </w:r>
          </w:p>
        </w:tc>
        <w:tc>
          <w:tcPr>
            <w:tcW w:w="1870" w:type="dxa"/>
            <w:tcBorders>
              <w:top w:val="nil"/>
              <w:left w:val="nil"/>
              <w:bottom w:val="single" w:sz="8" w:space="0" w:color="448A99"/>
              <w:right w:val="single" w:sz="8" w:space="0" w:color="448A99"/>
            </w:tcBorders>
            <w:shd w:val="clear" w:color="000000" w:fill="D2EAF1"/>
            <w:vAlign w:val="center"/>
          </w:tcPr>
          <w:p w:rsidR="009C633A" w:rsidRPr="00C23348" w:rsidRDefault="009C633A" w:rsidP="009C633A">
            <w:pPr>
              <w:jc w:val="center"/>
              <w:rPr>
                <w:b/>
                <w:bCs/>
                <w:i/>
                <w:iCs/>
                <w:color w:val="000000"/>
                <w:sz w:val="20"/>
                <w:szCs w:val="20"/>
              </w:rPr>
            </w:pPr>
            <w:r>
              <w:rPr>
                <w:b/>
                <w:bCs/>
                <w:i/>
                <w:iCs/>
                <w:color w:val="000000"/>
                <w:sz w:val="20"/>
                <w:szCs w:val="20"/>
              </w:rPr>
              <w:t>254,263</w:t>
            </w:r>
          </w:p>
        </w:tc>
      </w:tr>
    </w:tbl>
    <w:p w:rsidR="00710D47" w:rsidRPr="00CC0B37" w:rsidRDefault="00710D47" w:rsidP="00CC0B37"/>
    <w:p w:rsidR="00950837" w:rsidRDefault="00950837" w:rsidP="0043541C">
      <w:pPr>
        <w:pStyle w:val="AppendixAHeading2"/>
      </w:pPr>
      <w:r>
        <w:t>Total Resource Cost Test</w:t>
      </w:r>
    </w:p>
    <w:p w:rsidR="00DB2DF9" w:rsidRDefault="00DB2DF9" w:rsidP="00DB2DF9">
      <w:r>
        <w:fldChar w:fldCharType="begin"/>
      </w:r>
      <w:r>
        <w:instrText xml:space="preserve"> REF _Ref472446708 \h </w:instrText>
      </w:r>
      <w:r>
        <w:fldChar w:fldCharType="separate"/>
      </w:r>
      <w:r w:rsidR="00C301D0">
        <w:t>Table A-</w:t>
      </w:r>
      <w:r w:rsidR="00C301D0">
        <w:rPr>
          <w:noProof/>
        </w:rPr>
        <w:t>88</w:t>
      </w:r>
      <w:r>
        <w:fldChar w:fldCharType="end"/>
      </w:r>
      <w:r>
        <w:t xml:space="preserve"> </w:t>
      </w:r>
      <w:r w:rsidRPr="00DB2DF9">
        <w:t>presents TRC NPV benefits, TRC NPV costs, present value of net benefits, and</w:t>
      </w:r>
      <w:r w:rsidR="00F850BF">
        <w:t xml:space="preserve"> the</w:t>
      </w:r>
      <w:r w:rsidRPr="00DB2DF9">
        <w:t xml:space="preserve"> TRC ratio for West Penn’s PY7 individual programs and total portfolio. The SWE found no initial inconsistencies between the TRC model outputs and the TRC results shown in the PY7 annual report.</w:t>
      </w:r>
    </w:p>
    <w:p w:rsidR="00DB2DF9" w:rsidRPr="00DB2DF9" w:rsidRDefault="00DB2DF9" w:rsidP="00DB2DF9"/>
    <w:p w:rsidR="00DB2DF9" w:rsidRDefault="00DB2DF9" w:rsidP="00DB2DF9">
      <w:pPr>
        <w:pStyle w:val="Caption"/>
      </w:pPr>
      <w:bookmarkStart w:id="1005" w:name="_Ref472446708"/>
      <w:bookmarkStart w:id="1006" w:name="_Toc472472497"/>
      <w:bookmarkStart w:id="1007" w:name="_Toc476842203"/>
      <w:r>
        <w:t>Table A-</w:t>
      </w:r>
      <w:fldSimple w:instr=" SEQ Table_A- \* ARABIC ">
        <w:r w:rsidR="00C301D0">
          <w:rPr>
            <w:noProof/>
          </w:rPr>
          <w:t>88</w:t>
        </w:r>
      </w:fldSimple>
      <w:bookmarkEnd w:id="1005"/>
      <w:r>
        <w:t>:</w:t>
      </w:r>
      <w:r w:rsidRPr="00DB2DF9">
        <w:t xml:space="preserve"> </w:t>
      </w:r>
      <w:r w:rsidR="00F850BF">
        <w:t>Summary of West Penn</w:t>
      </w:r>
      <w:r w:rsidRPr="00F54C27">
        <w:t>’s PY</w:t>
      </w:r>
      <w:r>
        <w:t>7</w:t>
      </w:r>
      <w:r w:rsidRPr="00F54C27">
        <w:t xml:space="preserve"> TRC Factors and Results</w:t>
      </w:r>
      <w:bookmarkEnd w:id="1006"/>
      <w:bookmarkEnd w:id="1007"/>
    </w:p>
    <w:tbl>
      <w:tblPr>
        <w:tblW w:w="9355"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532"/>
        <w:gridCol w:w="1457"/>
        <w:gridCol w:w="1457"/>
        <w:gridCol w:w="1654"/>
        <w:gridCol w:w="1255"/>
      </w:tblGrid>
      <w:tr w:rsidR="00A874AC" w:rsidRPr="00A96C4C" w:rsidTr="00CC0B37">
        <w:trPr>
          <w:trHeight w:val="782"/>
          <w:tblHeader/>
          <w:jc w:val="center"/>
        </w:trPr>
        <w:tc>
          <w:tcPr>
            <w:tcW w:w="3532" w:type="dxa"/>
            <w:shd w:val="clear" w:color="000000" w:fill="448A99"/>
            <w:noWrap/>
            <w:vAlign w:val="bottom"/>
            <w:hideMark/>
          </w:tcPr>
          <w:p w:rsidR="00DB2DF9" w:rsidRPr="008A5E9E" w:rsidRDefault="00DB2DF9" w:rsidP="005C1352">
            <w:pPr>
              <w:jc w:val="left"/>
              <w:rPr>
                <w:b/>
                <w:bCs/>
                <w:color w:val="FFFFFF"/>
                <w:sz w:val="20"/>
                <w:szCs w:val="20"/>
              </w:rPr>
            </w:pPr>
            <w:r w:rsidRPr="008A5E9E">
              <w:rPr>
                <w:b/>
                <w:bCs/>
                <w:color w:val="FFFFFF"/>
                <w:sz w:val="20"/>
                <w:szCs w:val="20"/>
              </w:rPr>
              <w:t>Program</w:t>
            </w:r>
          </w:p>
        </w:tc>
        <w:tc>
          <w:tcPr>
            <w:tcW w:w="1457" w:type="dxa"/>
            <w:shd w:val="clear" w:color="000000" w:fill="448A99"/>
            <w:vAlign w:val="bottom"/>
            <w:hideMark/>
          </w:tcPr>
          <w:p w:rsidR="00DB2DF9" w:rsidRPr="008A5E9E" w:rsidRDefault="00DB2DF9" w:rsidP="005C1352">
            <w:pPr>
              <w:jc w:val="center"/>
              <w:rPr>
                <w:b/>
                <w:bCs/>
                <w:color w:val="FFFFFF"/>
                <w:sz w:val="20"/>
                <w:szCs w:val="20"/>
              </w:rPr>
            </w:pPr>
            <w:r w:rsidRPr="008A5E9E">
              <w:rPr>
                <w:b/>
                <w:bCs/>
                <w:color w:val="FFFFFF"/>
                <w:sz w:val="20"/>
                <w:szCs w:val="20"/>
              </w:rPr>
              <w:t>TRC NPV Benefits</w:t>
            </w:r>
          </w:p>
          <w:p w:rsidR="00DB2DF9" w:rsidRPr="008A5E9E" w:rsidRDefault="00DB2DF9" w:rsidP="005C1352">
            <w:pPr>
              <w:jc w:val="center"/>
              <w:rPr>
                <w:rFonts w:eastAsia="Calibri"/>
                <w:b/>
                <w:bCs/>
                <w:color w:val="FFFFFF"/>
                <w:sz w:val="20"/>
                <w:szCs w:val="20"/>
              </w:rPr>
            </w:pPr>
            <w:r w:rsidRPr="008A5E9E">
              <w:rPr>
                <w:b/>
                <w:bCs/>
                <w:color w:val="FFFFFF"/>
                <w:sz w:val="20"/>
                <w:szCs w:val="20"/>
              </w:rPr>
              <w:t>($)</w:t>
            </w:r>
          </w:p>
        </w:tc>
        <w:tc>
          <w:tcPr>
            <w:tcW w:w="1457" w:type="dxa"/>
            <w:shd w:val="clear" w:color="000000" w:fill="448A99"/>
            <w:vAlign w:val="bottom"/>
            <w:hideMark/>
          </w:tcPr>
          <w:p w:rsidR="00DB2DF9" w:rsidRPr="008A5E9E" w:rsidRDefault="00DB2DF9" w:rsidP="005C1352">
            <w:pPr>
              <w:jc w:val="center"/>
              <w:rPr>
                <w:rFonts w:eastAsia="Calibri"/>
                <w:b/>
                <w:bCs/>
                <w:color w:val="FFFFFF"/>
                <w:sz w:val="20"/>
                <w:szCs w:val="20"/>
              </w:rPr>
            </w:pPr>
            <w:r w:rsidRPr="008A5E9E">
              <w:rPr>
                <w:b/>
                <w:bCs/>
                <w:color w:val="FFFFFF"/>
                <w:sz w:val="20"/>
                <w:szCs w:val="20"/>
              </w:rPr>
              <w:t>TRC NPV Costs</w:t>
            </w:r>
          </w:p>
          <w:p w:rsidR="00DB2DF9" w:rsidRPr="008A5E9E" w:rsidRDefault="00DB2DF9" w:rsidP="005C1352">
            <w:pPr>
              <w:jc w:val="center"/>
              <w:rPr>
                <w:rFonts w:eastAsia="Calibri"/>
                <w:b/>
                <w:bCs/>
                <w:color w:val="FFFFFF"/>
                <w:sz w:val="20"/>
                <w:szCs w:val="20"/>
              </w:rPr>
            </w:pPr>
            <w:r w:rsidRPr="008A5E9E">
              <w:rPr>
                <w:b/>
                <w:bCs/>
                <w:color w:val="FFFFFF"/>
                <w:sz w:val="20"/>
                <w:szCs w:val="20"/>
              </w:rPr>
              <w:t>($)</w:t>
            </w:r>
          </w:p>
        </w:tc>
        <w:tc>
          <w:tcPr>
            <w:tcW w:w="1654" w:type="dxa"/>
            <w:shd w:val="clear" w:color="000000" w:fill="448A99"/>
            <w:vAlign w:val="bottom"/>
          </w:tcPr>
          <w:p w:rsidR="00DB2DF9" w:rsidRPr="008A5E9E" w:rsidRDefault="00DB2DF9" w:rsidP="005C1352">
            <w:pPr>
              <w:jc w:val="center"/>
              <w:rPr>
                <w:rFonts w:eastAsia="Calibri"/>
                <w:b/>
                <w:bCs/>
                <w:color w:val="FFFFFF"/>
                <w:sz w:val="20"/>
                <w:szCs w:val="20"/>
              </w:rPr>
            </w:pPr>
            <w:r w:rsidRPr="008A5E9E">
              <w:rPr>
                <w:b/>
                <w:bCs/>
                <w:color w:val="FFFFFF"/>
                <w:sz w:val="20"/>
                <w:szCs w:val="20"/>
              </w:rPr>
              <w:t>Present Value of Net Benefits</w:t>
            </w:r>
          </w:p>
          <w:p w:rsidR="00DB2DF9" w:rsidRPr="008A5E9E" w:rsidRDefault="00DB2DF9" w:rsidP="005C1352">
            <w:pPr>
              <w:jc w:val="center"/>
              <w:rPr>
                <w:rFonts w:eastAsia="Calibri"/>
                <w:b/>
                <w:bCs/>
                <w:color w:val="FFFFFF"/>
                <w:sz w:val="20"/>
                <w:szCs w:val="20"/>
              </w:rPr>
            </w:pPr>
            <w:r w:rsidRPr="008A5E9E">
              <w:rPr>
                <w:b/>
                <w:bCs/>
                <w:color w:val="FFFFFF"/>
                <w:sz w:val="20"/>
                <w:szCs w:val="20"/>
              </w:rPr>
              <w:t>($)</w:t>
            </w:r>
          </w:p>
        </w:tc>
        <w:tc>
          <w:tcPr>
            <w:tcW w:w="1255" w:type="dxa"/>
            <w:shd w:val="clear" w:color="000000" w:fill="448A99"/>
            <w:noWrap/>
            <w:vAlign w:val="bottom"/>
            <w:hideMark/>
          </w:tcPr>
          <w:p w:rsidR="00DB2DF9" w:rsidRPr="008A5E9E" w:rsidRDefault="00DB2DF9" w:rsidP="005C1352">
            <w:pPr>
              <w:jc w:val="center"/>
              <w:rPr>
                <w:rFonts w:eastAsia="Calibri"/>
                <w:b/>
                <w:bCs/>
                <w:color w:val="FFFFFF"/>
                <w:sz w:val="20"/>
                <w:szCs w:val="20"/>
              </w:rPr>
            </w:pPr>
            <w:r w:rsidRPr="008A5E9E">
              <w:rPr>
                <w:b/>
                <w:bCs/>
                <w:color w:val="FFFFFF"/>
                <w:sz w:val="20"/>
                <w:szCs w:val="20"/>
              </w:rPr>
              <w:t>TRC Ratio</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DB2DF9" w:rsidRPr="00A81289" w:rsidRDefault="00DB2DF9" w:rsidP="005C1352">
            <w:pPr>
              <w:jc w:val="left"/>
              <w:rPr>
                <w:bCs/>
                <w:color w:val="000000"/>
                <w:sz w:val="20"/>
                <w:szCs w:val="20"/>
              </w:rPr>
            </w:pPr>
            <w:r w:rsidRPr="00FB6015">
              <w:rPr>
                <w:color w:val="000000"/>
                <w:sz w:val="20"/>
                <w:szCs w:val="20"/>
              </w:rPr>
              <w:t>Appliance Turn-In</w:t>
            </w:r>
          </w:p>
        </w:tc>
        <w:tc>
          <w:tcPr>
            <w:tcW w:w="1457"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rFonts w:cs="Arial"/>
                <w:color w:val="000000"/>
                <w:sz w:val="20"/>
                <w:szCs w:val="20"/>
              </w:rPr>
              <w:t xml:space="preserve">$1,927,839 </w:t>
            </w:r>
          </w:p>
        </w:tc>
        <w:tc>
          <w:tcPr>
            <w:tcW w:w="1457"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rFonts w:cs="Arial"/>
                <w:color w:val="000000"/>
                <w:sz w:val="20"/>
                <w:szCs w:val="20"/>
              </w:rPr>
              <w:t xml:space="preserve">$812,695 </w:t>
            </w:r>
          </w:p>
        </w:tc>
        <w:tc>
          <w:tcPr>
            <w:tcW w:w="1654" w:type="dxa"/>
            <w:tcBorders>
              <w:top w:val="nil"/>
              <w:left w:val="nil"/>
              <w:bottom w:val="single" w:sz="8" w:space="0" w:color="448A99"/>
              <w:right w:val="single" w:sz="8" w:space="0" w:color="448A99"/>
            </w:tcBorders>
            <w:shd w:val="clear" w:color="auto" w:fill="auto"/>
            <w:vAlign w:val="center"/>
          </w:tcPr>
          <w:p w:rsidR="00DB2DF9" w:rsidRDefault="00DB2DF9" w:rsidP="005C1352">
            <w:pPr>
              <w:jc w:val="center"/>
              <w:rPr>
                <w:color w:val="000000"/>
                <w:sz w:val="20"/>
                <w:szCs w:val="20"/>
              </w:rPr>
            </w:pPr>
            <w:r>
              <w:rPr>
                <w:rFonts w:cs="Arial"/>
                <w:color w:val="000000"/>
                <w:sz w:val="20"/>
                <w:szCs w:val="20"/>
              </w:rPr>
              <w:t xml:space="preserve">$1,115,144 </w:t>
            </w:r>
          </w:p>
        </w:tc>
        <w:tc>
          <w:tcPr>
            <w:tcW w:w="1255"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rFonts w:cs="Arial"/>
                <w:color w:val="000000"/>
                <w:sz w:val="20"/>
                <w:szCs w:val="20"/>
              </w:rPr>
              <w:t>2.37</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D2EAF1"/>
            <w:noWrap/>
            <w:vAlign w:val="center"/>
            <w:hideMark/>
          </w:tcPr>
          <w:p w:rsidR="00DB2DF9" w:rsidRPr="00A81289" w:rsidRDefault="00DB2DF9" w:rsidP="005C1352">
            <w:pPr>
              <w:jc w:val="left"/>
              <w:rPr>
                <w:bCs/>
                <w:color w:val="000000"/>
                <w:sz w:val="20"/>
                <w:szCs w:val="20"/>
              </w:rPr>
            </w:pPr>
            <w:r w:rsidRPr="00FB6015">
              <w:rPr>
                <w:color w:val="000000"/>
                <w:sz w:val="20"/>
                <w:szCs w:val="20"/>
              </w:rPr>
              <w:t>Efficient Products</w:t>
            </w:r>
          </w:p>
        </w:tc>
        <w:tc>
          <w:tcPr>
            <w:tcW w:w="1457"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color w:val="000000"/>
                <w:sz w:val="20"/>
                <w:szCs w:val="20"/>
              </w:rPr>
            </w:pPr>
            <w:r>
              <w:rPr>
                <w:color w:val="000000"/>
                <w:sz w:val="20"/>
                <w:szCs w:val="20"/>
              </w:rPr>
              <w:t xml:space="preserve">$15,250,919 </w:t>
            </w:r>
          </w:p>
        </w:tc>
        <w:tc>
          <w:tcPr>
            <w:tcW w:w="1457"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color w:val="000000"/>
                <w:sz w:val="20"/>
                <w:szCs w:val="20"/>
              </w:rPr>
            </w:pPr>
            <w:r>
              <w:rPr>
                <w:color w:val="000000"/>
                <w:sz w:val="20"/>
                <w:szCs w:val="20"/>
              </w:rPr>
              <w:t xml:space="preserve">$8,604,628 </w:t>
            </w:r>
          </w:p>
        </w:tc>
        <w:tc>
          <w:tcPr>
            <w:tcW w:w="1654" w:type="dxa"/>
            <w:tcBorders>
              <w:top w:val="nil"/>
              <w:left w:val="nil"/>
              <w:bottom w:val="single" w:sz="8" w:space="0" w:color="448A99"/>
              <w:right w:val="single" w:sz="8" w:space="0" w:color="448A99"/>
            </w:tcBorders>
            <w:shd w:val="clear" w:color="000000" w:fill="D2EAF1"/>
            <w:vAlign w:val="center"/>
          </w:tcPr>
          <w:p w:rsidR="00DB2DF9" w:rsidRDefault="00DB2DF9" w:rsidP="005C1352">
            <w:pPr>
              <w:jc w:val="center"/>
              <w:rPr>
                <w:color w:val="000000"/>
                <w:sz w:val="20"/>
                <w:szCs w:val="20"/>
              </w:rPr>
            </w:pPr>
            <w:r>
              <w:rPr>
                <w:rFonts w:cs="Arial"/>
                <w:color w:val="000000"/>
                <w:sz w:val="20"/>
                <w:szCs w:val="20"/>
              </w:rPr>
              <w:t xml:space="preserve">$6,646,290 </w:t>
            </w:r>
          </w:p>
        </w:tc>
        <w:tc>
          <w:tcPr>
            <w:tcW w:w="1255"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color w:val="000000"/>
                <w:sz w:val="20"/>
                <w:szCs w:val="20"/>
              </w:rPr>
            </w:pPr>
            <w:r>
              <w:rPr>
                <w:rFonts w:cs="Arial"/>
                <w:color w:val="000000"/>
                <w:sz w:val="20"/>
                <w:szCs w:val="20"/>
              </w:rPr>
              <w:t>1.77</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DB2DF9" w:rsidRPr="00A81289" w:rsidRDefault="00DB2DF9" w:rsidP="005C1352">
            <w:pPr>
              <w:jc w:val="left"/>
              <w:rPr>
                <w:bCs/>
                <w:color w:val="000000"/>
                <w:sz w:val="20"/>
                <w:szCs w:val="20"/>
              </w:rPr>
            </w:pPr>
            <w:r w:rsidRPr="00FB6015">
              <w:rPr>
                <w:color w:val="000000"/>
                <w:sz w:val="20"/>
                <w:szCs w:val="20"/>
              </w:rPr>
              <w:t>Home Performance</w:t>
            </w:r>
          </w:p>
        </w:tc>
        <w:tc>
          <w:tcPr>
            <w:tcW w:w="1457"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color w:val="000000"/>
                <w:sz w:val="20"/>
                <w:szCs w:val="20"/>
              </w:rPr>
              <w:t xml:space="preserve">$6,218,817 </w:t>
            </w:r>
          </w:p>
        </w:tc>
        <w:tc>
          <w:tcPr>
            <w:tcW w:w="1457"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color w:val="000000"/>
                <w:sz w:val="20"/>
                <w:szCs w:val="20"/>
              </w:rPr>
              <w:t xml:space="preserve">$3,772,136 </w:t>
            </w:r>
          </w:p>
        </w:tc>
        <w:tc>
          <w:tcPr>
            <w:tcW w:w="1654" w:type="dxa"/>
            <w:tcBorders>
              <w:top w:val="nil"/>
              <w:left w:val="nil"/>
              <w:bottom w:val="single" w:sz="8" w:space="0" w:color="448A99"/>
              <w:right w:val="single" w:sz="8" w:space="0" w:color="448A99"/>
            </w:tcBorders>
            <w:shd w:val="clear" w:color="auto" w:fill="auto"/>
            <w:vAlign w:val="center"/>
          </w:tcPr>
          <w:p w:rsidR="00DB2DF9" w:rsidRDefault="00DB2DF9" w:rsidP="005C1352">
            <w:pPr>
              <w:jc w:val="center"/>
              <w:rPr>
                <w:color w:val="000000"/>
                <w:sz w:val="20"/>
                <w:szCs w:val="20"/>
              </w:rPr>
            </w:pPr>
            <w:r>
              <w:rPr>
                <w:color w:val="000000"/>
                <w:sz w:val="20"/>
                <w:szCs w:val="20"/>
              </w:rPr>
              <w:t xml:space="preserve">$2,446,680 </w:t>
            </w:r>
          </w:p>
        </w:tc>
        <w:tc>
          <w:tcPr>
            <w:tcW w:w="1255"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color w:val="000000"/>
                <w:sz w:val="20"/>
                <w:szCs w:val="20"/>
              </w:rPr>
              <w:t>1.65</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D2EAF1"/>
            <w:noWrap/>
            <w:vAlign w:val="center"/>
            <w:hideMark/>
          </w:tcPr>
          <w:p w:rsidR="00DB2DF9" w:rsidRPr="00A81289" w:rsidRDefault="00DB2DF9" w:rsidP="005C1352">
            <w:pPr>
              <w:jc w:val="left"/>
              <w:rPr>
                <w:bCs/>
                <w:color w:val="000000"/>
                <w:sz w:val="20"/>
                <w:szCs w:val="20"/>
              </w:rPr>
            </w:pPr>
            <w:r w:rsidRPr="00FB6015">
              <w:rPr>
                <w:color w:val="000000"/>
                <w:sz w:val="20"/>
                <w:szCs w:val="20"/>
              </w:rPr>
              <w:t>Low Income</w:t>
            </w:r>
          </w:p>
        </w:tc>
        <w:tc>
          <w:tcPr>
            <w:tcW w:w="1457"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color w:val="000000"/>
                <w:sz w:val="20"/>
                <w:szCs w:val="20"/>
              </w:rPr>
            </w:pPr>
            <w:r>
              <w:rPr>
                <w:color w:val="000000"/>
                <w:sz w:val="20"/>
                <w:szCs w:val="20"/>
              </w:rPr>
              <w:t xml:space="preserve">$640,722 </w:t>
            </w:r>
          </w:p>
        </w:tc>
        <w:tc>
          <w:tcPr>
            <w:tcW w:w="1457"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color w:val="000000"/>
                <w:sz w:val="20"/>
                <w:szCs w:val="20"/>
              </w:rPr>
            </w:pPr>
            <w:r>
              <w:rPr>
                <w:color w:val="000000"/>
                <w:sz w:val="20"/>
                <w:szCs w:val="20"/>
              </w:rPr>
              <w:t xml:space="preserve">$2,561,108 </w:t>
            </w:r>
          </w:p>
        </w:tc>
        <w:tc>
          <w:tcPr>
            <w:tcW w:w="1654" w:type="dxa"/>
            <w:tcBorders>
              <w:top w:val="nil"/>
              <w:left w:val="nil"/>
              <w:bottom w:val="single" w:sz="8" w:space="0" w:color="448A99"/>
              <w:right w:val="single" w:sz="8" w:space="0" w:color="448A99"/>
            </w:tcBorders>
            <w:shd w:val="clear" w:color="000000" w:fill="D2EAF1"/>
            <w:vAlign w:val="center"/>
          </w:tcPr>
          <w:p w:rsidR="00DB2DF9" w:rsidRDefault="00DB2DF9" w:rsidP="005C1352">
            <w:pPr>
              <w:jc w:val="center"/>
              <w:rPr>
                <w:color w:val="000000"/>
                <w:sz w:val="20"/>
                <w:szCs w:val="20"/>
              </w:rPr>
            </w:pPr>
            <w:r>
              <w:rPr>
                <w:color w:val="FF0000"/>
                <w:sz w:val="20"/>
                <w:szCs w:val="20"/>
              </w:rPr>
              <w:t>($1,920,386)</w:t>
            </w:r>
          </w:p>
        </w:tc>
        <w:tc>
          <w:tcPr>
            <w:tcW w:w="1255"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color w:val="000000"/>
                <w:sz w:val="20"/>
                <w:szCs w:val="20"/>
              </w:rPr>
            </w:pPr>
            <w:r>
              <w:rPr>
                <w:color w:val="000000"/>
                <w:sz w:val="20"/>
                <w:szCs w:val="20"/>
              </w:rPr>
              <w:t>0.25</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DB2DF9" w:rsidRPr="00A81289" w:rsidRDefault="00DB2DF9" w:rsidP="005C1352">
            <w:pPr>
              <w:jc w:val="left"/>
              <w:rPr>
                <w:bCs/>
                <w:color w:val="000000"/>
                <w:sz w:val="20"/>
                <w:szCs w:val="20"/>
              </w:rPr>
            </w:pPr>
            <w:r w:rsidRPr="00FB6015">
              <w:rPr>
                <w:color w:val="000000"/>
                <w:sz w:val="20"/>
                <w:szCs w:val="20"/>
              </w:rPr>
              <w:t>Small C/I Equipment</w:t>
            </w:r>
          </w:p>
        </w:tc>
        <w:tc>
          <w:tcPr>
            <w:tcW w:w="1457"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color w:val="000000"/>
                <w:sz w:val="20"/>
                <w:szCs w:val="20"/>
              </w:rPr>
              <w:t xml:space="preserve">$15,427,982 </w:t>
            </w:r>
          </w:p>
        </w:tc>
        <w:tc>
          <w:tcPr>
            <w:tcW w:w="1457"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color w:val="000000"/>
                <w:sz w:val="20"/>
                <w:szCs w:val="20"/>
              </w:rPr>
              <w:t xml:space="preserve">$3,153,707 </w:t>
            </w:r>
          </w:p>
        </w:tc>
        <w:tc>
          <w:tcPr>
            <w:tcW w:w="1654" w:type="dxa"/>
            <w:tcBorders>
              <w:top w:val="nil"/>
              <w:left w:val="nil"/>
              <w:bottom w:val="single" w:sz="8" w:space="0" w:color="448A99"/>
              <w:right w:val="single" w:sz="8" w:space="0" w:color="448A99"/>
            </w:tcBorders>
            <w:shd w:val="clear" w:color="auto" w:fill="auto"/>
            <w:vAlign w:val="center"/>
          </w:tcPr>
          <w:p w:rsidR="00DB2DF9" w:rsidRDefault="00DB2DF9" w:rsidP="005C1352">
            <w:pPr>
              <w:jc w:val="center"/>
              <w:rPr>
                <w:color w:val="000000"/>
                <w:sz w:val="20"/>
                <w:szCs w:val="20"/>
              </w:rPr>
            </w:pPr>
            <w:r>
              <w:rPr>
                <w:color w:val="000000"/>
                <w:sz w:val="20"/>
                <w:szCs w:val="20"/>
              </w:rPr>
              <w:t xml:space="preserve">$12,274,274 </w:t>
            </w:r>
          </w:p>
        </w:tc>
        <w:tc>
          <w:tcPr>
            <w:tcW w:w="1255"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color w:val="000000"/>
                <w:sz w:val="20"/>
                <w:szCs w:val="20"/>
              </w:rPr>
              <w:t>4.89</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D2EAF1"/>
            <w:noWrap/>
            <w:vAlign w:val="center"/>
            <w:hideMark/>
          </w:tcPr>
          <w:p w:rsidR="00DB2DF9" w:rsidRPr="00A81289" w:rsidRDefault="00DB2DF9" w:rsidP="005C1352">
            <w:pPr>
              <w:jc w:val="left"/>
              <w:rPr>
                <w:bCs/>
                <w:color w:val="000000"/>
                <w:sz w:val="20"/>
                <w:szCs w:val="20"/>
              </w:rPr>
            </w:pPr>
            <w:r w:rsidRPr="00FB6015">
              <w:rPr>
                <w:color w:val="000000"/>
                <w:sz w:val="20"/>
                <w:szCs w:val="20"/>
              </w:rPr>
              <w:lastRenderedPageBreak/>
              <w:t>Small C/I Buildings</w:t>
            </w:r>
          </w:p>
        </w:tc>
        <w:tc>
          <w:tcPr>
            <w:tcW w:w="1457"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color w:val="000000"/>
                <w:sz w:val="20"/>
                <w:szCs w:val="20"/>
              </w:rPr>
            </w:pPr>
            <w:r>
              <w:rPr>
                <w:color w:val="000000"/>
                <w:sz w:val="20"/>
                <w:szCs w:val="20"/>
              </w:rPr>
              <w:t xml:space="preserve">$1,419,428 </w:t>
            </w:r>
          </w:p>
        </w:tc>
        <w:tc>
          <w:tcPr>
            <w:tcW w:w="1457"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color w:val="000000"/>
                <w:sz w:val="20"/>
                <w:szCs w:val="20"/>
              </w:rPr>
            </w:pPr>
            <w:r>
              <w:rPr>
                <w:color w:val="000000"/>
                <w:sz w:val="20"/>
                <w:szCs w:val="20"/>
              </w:rPr>
              <w:t xml:space="preserve">$1,700,604 </w:t>
            </w:r>
          </w:p>
        </w:tc>
        <w:tc>
          <w:tcPr>
            <w:tcW w:w="1654" w:type="dxa"/>
            <w:tcBorders>
              <w:top w:val="nil"/>
              <w:left w:val="nil"/>
              <w:bottom w:val="single" w:sz="8" w:space="0" w:color="448A99"/>
              <w:right w:val="single" w:sz="8" w:space="0" w:color="448A99"/>
            </w:tcBorders>
            <w:shd w:val="clear" w:color="000000" w:fill="D2EAF1"/>
            <w:vAlign w:val="center"/>
          </w:tcPr>
          <w:p w:rsidR="00DB2DF9" w:rsidRDefault="00DB2DF9" w:rsidP="005C1352">
            <w:pPr>
              <w:jc w:val="center"/>
              <w:rPr>
                <w:color w:val="000000"/>
                <w:sz w:val="20"/>
                <w:szCs w:val="20"/>
              </w:rPr>
            </w:pPr>
            <w:r>
              <w:rPr>
                <w:color w:val="FF0000"/>
                <w:sz w:val="20"/>
                <w:szCs w:val="20"/>
              </w:rPr>
              <w:t>($281,176)</w:t>
            </w:r>
          </w:p>
        </w:tc>
        <w:tc>
          <w:tcPr>
            <w:tcW w:w="1255"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color w:val="000000"/>
                <w:sz w:val="20"/>
                <w:szCs w:val="20"/>
              </w:rPr>
            </w:pPr>
            <w:r>
              <w:rPr>
                <w:color w:val="000000"/>
                <w:sz w:val="20"/>
                <w:szCs w:val="20"/>
              </w:rPr>
              <w:t>0.83</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auto"/>
            <w:noWrap/>
            <w:vAlign w:val="center"/>
            <w:hideMark/>
          </w:tcPr>
          <w:p w:rsidR="00DB2DF9" w:rsidRPr="00A81289" w:rsidRDefault="00DB2DF9" w:rsidP="005C1352">
            <w:pPr>
              <w:jc w:val="left"/>
              <w:rPr>
                <w:bCs/>
                <w:color w:val="000000"/>
                <w:sz w:val="20"/>
                <w:szCs w:val="20"/>
              </w:rPr>
            </w:pPr>
            <w:r w:rsidRPr="00FB6015">
              <w:rPr>
                <w:color w:val="000000"/>
                <w:sz w:val="20"/>
                <w:szCs w:val="20"/>
              </w:rPr>
              <w:t>Large C/I Equipment</w:t>
            </w:r>
          </w:p>
        </w:tc>
        <w:tc>
          <w:tcPr>
            <w:tcW w:w="1457"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color w:val="000000"/>
                <w:sz w:val="20"/>
                <w:szCs w:val="20"/>
              </w:rPr>
              <w:t xml:space="preserve">$25,929,747 </w:t>
            </w:r>
          </w:p>
        </w:tc>
        <w:tc>
          <w:tcPr>
            <w:tcW w:w="1457"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color w:val="000000"/>
                <w:sz w:val="20"/>
                <w:szCs w:val="20"/>
              </w:rPr>
              <w:t xml:space="preserve">$15,387,523 </w:t>
            </w:r>
          </w:p>
        </w:tc>
        <w:tc>
          <w:tcPr>
            <w:tcW w:w="1654" w:type="dxa"/>
            <w:tcBorders>
              <w:top w:val="nil"/>
              <w:left w:val="nil"/>
              <w:bottom w:val="single" w:sz="8" w:space="0" w:color="448A99"/>
              <w:right w:val="single" w:sz="8" w:space="0" w:color="448A99"/>
            </w:tcBorders>
            <w:shd w:val="clear" w:color="auto" w:fill="auto"/>
            <w:vAlign w:val="center"/>
          </w:tcPr>
          <w:p w:rsidR="00DB2DF9" w:rsidRDefault="00DB2DF9" w:rsidP="005C1352">
            <w:pPr>
              <w:jc w:val="center"/>
              <w:rPr>
                <w:color w:val="000000"/>
                <w:sz w:val="20"/>
                <w:szCs w:val="20"/>
              </w:rPr>
            </w:pPr>
            <w:r>
              <w:rPr>
                <w:color w:val="000000"/>
                <w:sz w:val="20"/>
                <w:szCs w:val="20"/>
              </w:rPr>
              <w:t xml:space="preserve">$10,542,224 </w:t>
            </w:r>
          </w:p>
        </w:tc>
        <w:tc>
          <w:tcPr>
            <w:tcW w:w="1255"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color w:val="000000"/>
                <w:sz w:val="20"/>
                <w:szCs w:val="20"/>
              </w:rPr>
              <w:t>1.69</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D2EAF1"/>
            <w:vAlign w:val="center"/>
            <w:hideMark/>
          </w:tcPr>
          <w:p w:rsidR="00DB2DF9" w:rsidRPr="00A81289" w:rsidRDefault="00DB2DF9" w:rsidP="005C1352">
            <w:pPr>
              <w:jc w:val="left"/>
              <w:rPr>
                <w:bCs/>
                <w:color w:val="000000"/>
                <w:sz w:val="20"/>
                <w:szCs w:val="20"/>
              </w:rPr>
            </w:pPr>
            <w:r w:rsidRPr="00FB6015">
              <w:rPr>
                <w:color w:val="000000"/>
                <w:sz w:val="20"/>
                <w:szCs w:val="20"/>
              </w:rPr>
              <w:t>Large C/I Buildings</w:t>
            </w:r>
          </w:p>
        </w:tc>
        <w:tc>
          <w:tcPr>
            <w:tcW w:w="1457"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color w:val="000000"/>
                <w:sz w:val="20"/>
                <w:szCs w:val="20"/>
              </w:rPr>
            </w:pPr>
            <w:r>
              <w:rPr>
                <w:color w:val="000000"/>
                <w:sz w:val="20"/>
                <w:szCs w:val="20"/>
              </w:rPr>
              <w:t xml:space="preserve">$2,579,485 </w:t>
            </w:r>
          </w:p>
        </w:tc>
        <w:tc>
          <w:tcPr>
            <w:tcW w:w="1457"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color w:val="000000"/>
                <w:sz w:val="20"/>
                <w:szCs w:val="20"/>
              </w:rPr>
            </w:pPr>
            <w:r>
              <w:rPr>
                <w:color w:val="000000"/>
                <w:sz w:val="20"/>
                <w:szCs w:val="20"/>
              </w:rPr>
              <w:t xml:space="preserve">$1,650,412 </w:t>
            </w:r>
          </w:p>
        </w:tc>
        <w:tc>
          <w:tcPr>
            <w:tcW w:w="1654" w:type="dxa"/>
            <w:tcBorders>
              <w:top w:val="nil"/>
              <w:left w:val="nil"/>
              <w:bottom w:val="single" w:sz="8" w:space="0" w:color="448A99"/>
              <w:right w:val="single" w:sz="8" w:space="0" w:color="448A99"/>
            </w:tcBorders>
            <w:shd w:val="clear" w:color="000000" w:fill="D2EAF1"/>
            <w:vAlign w:val="center"/>
          </w:tcPr>
          <w:p w:rsidR="00DB2DF9" w:rsidRDefault="00DB2DF9" w:rsidP="005C1352">
            <w:pPr>
              <w:jc w:val="center"/>
              <w:rPr>
                <w:color w:val="000000"/>
                <w:sz w:val="20"/>
                <w:szCs w:val="20"/>
              </w:rPr>
            </w:pPr>
            <w:r>
              <w:rPr>
                <w:color w:val="000000"/>
                <w:sz w:val="20"/>
                <w:szCs w:val="20"/>
              </w:rPr>
              <w:t xml:space="preserve">$929,073 </w:t>
            </w:r>
          </w:p>
        </w:tc>
        <w:tc>
          <w:tcPr>
            <w:tcW w:w="1255"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color w:val="000000"/>
                <w:sz w:val="20"/>
                <w:szCs w:val="20"/>
              </w:rPr>
            </w:pPr>
            <w:r>
              <w:rPr>
                <w:color w:val="000000"/>
                <w:sz w:val="20"/>
                <w:szCs w:val="20"/>
              </w:rPr>
              <w:t>1.56</w:t>
            </w:r>
          </w:p>
        </w:tc>
      </w:tr>
      <w:tr w:rsidR="00A874AC" w:rsidRPr="00A96C4C" w:rsidTr="005C1352">
        <w:trPr>
          <w:trHeight w:val="346"/>
          <w:jc w:val="center"/>
        </w:trPr>
        <w:tc>
          <w:tcPr>
            <w:tcW w:w="3532" w:type="dxa"/>
            <w:tcBorders>
              <w:top w:val="nil"/>
              <w:left w:val="single" w:sz="8" w:space="0" w:color="448A99"/>
              <w:bottom w:val="single" w:sz="8" w:space="0" w:color="448A99"/>
              <w:right w:val="single" w:sz="8" w:space="0" w:color="448A99"/>
            </w:tcBorders>
            <w:shd w:val="clear" w:color="auto" w:fill="auto"/>
            <w:vAlign w:val="center"/>
            <w:hideMark/>
          </w:tcPr>
          <w:p w:rsidR="00DB2DF9" w:rsidRPr="00A81289" w:rsidRDefault="00DB2DF9" w:rsidP="005C1352">
            <w:pPr>
              <w:jc w:val="left"/>
              <w:rPr>
                <w:bCs/>
                <w:color w:val="000000"/>
                <w:sz w:val="20"/>
                <w:szCs w:val="20"/>
              </w:rPr>
            </w:pPr>
            <w:r w:rsidRPr="00FB6015">
              <w:rPr>
                <w:color w:val="000000"/>
                <w:sz w:val="20"/>
                <w:szCs w:val="20"/>
              </w:rPr>
              <w:t>Gov./Institutional</w:t>
            </w:r>
          </w:p>
        </w:tc>
        <w:tc>
          <w:tcPr>
            <w:tcW w:w="1457"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color w:val="000000"/>
                <w:sz w:val="20"/>
                <w:szCs w:val="20"/>
              </w:rPr>
              <w:t xml:space="preserve">$818,911 </w:t>
            </w:r>
          </w:p>
        </w:tc>
        <w:tc>
          <w:tcPr>
            <w:tcW w:w="1457"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color w:val="000000"/>
                <w:sz w:val="20"/>
                <w:szCs w:val="20"/>
              </w:rPr>
              <w:t xml:space="preserve">$1,299,894 </w:t>
            </w:r>
          </w:p>
        </w:tc>
        <w:tc>
          <w:tcPr>
            <w:tcW w:w="1654" w:type="dxa"/>
            <w:tcBorders>
              <w:top w:val="nil"/>
              <w:left w:val="nil"/>
              <w:bottom w:val="single" w:sz="8" w:space="0" w:color="448A99"/>
              <w:right w:val="single" w:sz="8" w:space="0" w:color="448A99"/>
            </w:tcBorders>
            <w:shd w:val="clear" w:color="auto" w:fill="auto"/>
            <w:vAlign w:val="center"/>
          </w:tcPr>
          <w:p w:rsidR="00DB2DF9" w:rsidRDefault="00DB2DF9" w:rsidP="005C1352">
            <w:pPr>
              <w:jc w:val="center"/>
              <w:rPr>
                <w:color w:val="000000"/>
                <w:sz w:val="20"/>
                <w:szCs w:val="20"/>
              </w:rPr>
            </w:pPr>
            <w:r>
              <w:rPr>
                <w:color w:val="FF0000"/>
                <w:sz w:val="20"/>
                <w:szCs w:val="20"/>
              </w:rPr>
              <w:t>($480,983)</w:t>
            </w:r>
          </w:p>
        </w:tc>
        <w:tc>
          <w:tcPr>
            <w:tcW w:w="1255" w:type="dxa"/>
            <w:tcBorders>
              <w:top w:val="nil"/>
              <w:left w:val="nil"/>
              <w:bottom w:val="single" w:sz="8" w:space="0" w:color="448A99"/>
              <w:right w:val="single" w:sz="8" w:space="0" w:color="448A99"/>
            </w:tcBorders>
            <w:shd w:val="clear" w:color="auto" w:fill="auto"/>
            <w:noWrap/>
            <w:vAlign w:val="center"/>
          </w:tcPr>
          <w:p w:rsidR="00DB2DF9" w:rsidRDefault="00DB2DF9" w:rsidP="005C1352">
            <w:pPr>
              <w:jc w:val="center"/>
              <w:rPr>
                <w:color w:val="000000"/>
                <w:sz w:val="20"/>
                <w:szCs w:val="20"/>
              </w:rPr>
            </w:pPr>
            <w:r>
              <w:rPr>
                <w:color w:val="000000"/>
                <w:sz w:val="20"/>
                <w:szCs w:val="20"/>
              </w:rPr>
              <w:t>0.63</w:t>
            </w:r>
          </w:p>
        </w:tc>
      </w:tr>
      <w:tr w:rsidR="00A874AC" w:rsidRPr="00A81289" w:rsidTr="005C1352">
        <w:trPr>
          <w:trHeight w:val="346"/>
          <w:jc w:val="center"/>
        </w:trPr>
        <w:tc>
          <w:tcPr>
            <w:tcW w:w="3532" w:type="dxa"/>
            <w:shd w:val="clear" w:color="auto" w:fill="D2EAF1"/>
            <w:vAlign w:val="center"/>
            <w:hideMark/>
          </w:tcPr>
          <w:p w:rsidR="00DB2DF9" w:rsidRPr="00A81289" w:rsidRDefault="00DB2DF9" w:rsidP="005C1352">
            <w:pPr>
              <w:jc w:val="left"/>
              <w:rPr>
                <w:b/>
                <w:bCs/>
                <w:iCs/>
                <w:color w:val="000000"/>
                <w:sz w:val="20"/>
                <w:szCs w:val="20"/>
              </w:rPr>
            </w:pPr>
            <w:r w:rsidRPr="00A81289">
              <w:rPr>
                <w:b/>
                <w:bCs/>
                <w:iCs/>
                <w:color w:val="000000"/>
                <w:sz w:val="20"/>
                <w:szCs w:val="20"/>
              </w:rPr>
              <w:t>Total Portfolio</w:t>
            </w:r>
          </w:p>
        </w:tc>
        <w:tc>
          <w:tcPr>
            <w:tcW w:w="1457"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b/>
                <w:bCs/>
                <w:color w:val="000000"/>
                <w:sz w:val="20"/>
                <w:szCs w:val="20"/>
              </w:rPr>
            </w:pPr>
            <w:r>
              <w:rPr>
                <w:rFonts w:cs="Arial"/>
                <w:b/>
                <w:bCs/>
                <w:color w:val="000000"/>
                <w:sz w:val="20"/>
                <w:szCs w:val="20"/>
              </w:rPr>
              <w:t xml:space="preserve">$70,213,849 </w:t>
            </w:r>
          </w:p>
        </w:tc>
        <w:tc>
          <w:tcPr>
            <w:tcW w:w="1457"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b/>
                <w:bCs/>
                <w:color w:val="000000"/>
                <w:sz w:val="20"/>
                <w:szCs w:val="20"/>
              </w:rPr>
            </w:pPr>
            <w:r>
              <w:rPr>
                <w:rFonts w:cs="Arial"/>
                <w:b/>
                <w:bCs/>
                <w:color w:val="000000"/>
                <w:sz w:val="20"/>
                <w:szCs w:val="20"/>
              </w:rPr>
              <w:t xml:space="preserve">$38,942,708 </w:t>
            </w:r>
          </w:p>
        </w:tc>
        <w:tc>
          <w:tcPr>
            <w:tcW w:w="1654" w:type="dxa"/>
            <w:tcBorders>
              <w:top w:val="nil"/>
              <w:left w:val="nil"/>
              <w:bottom w:val="single" w:sz="8" w:space="0" w:color="448A99"/>
              <w:right w:val="single" w:sz="8" w:space="0" w:color="448A99"/>
            </w:tcBorders>
            <w:shd w:val="clear" w:color="000000" w:fill="D2EAF1"/>
            <w:vAlign w:val="center"/>
          </w:tcPr>
          <w:p w:rsidR="00DB2DF9" w:rsidRDefault="00DB2DF9" w:rsidP="005C1352">
            <w:pPr>
              <w:jc w:val="center"/>
              <w:rPr>
                <w:b/>
                <w:bCs/>
                <w:color w:val="000000"/>
                <w:sz w:val="20"/>
                <w:szCs w:val="20"/>
              </w:rPr>
            </w:pPr>
            <w:r>
              <w:rPr>
                <w:b/>
                <w:bCs/>
                <w:color w:val="000000"/>
                <w:sz w:val="20"/>
                <w:szCs w:val="20"/>
              </w:rPr>
              <w:t xml:space="preserve">$31,271,141 </w:t>
            </w:r>
          </w:p>
        </w:tc>
        <w:tc>
          <w:tcPr>
            <w:tcW w:w="1255" w:type="dxa"/>
            <w:tcBorders>
              <w:top w:val="nil"/>
              <w:left w:val="nil"/>
              <w:bottom w:val="single" w:sz="8" w:space="0" w:color="448A99"/>
              <w:right w:val="single" w:sz="8" w:space="0" w:color="448A99"/>
            </w:tcBorders>
            <w:shd w:val="clear" w:color="000000" w:fill="D2EAF1"/>
            <w:noWrap/>
            <w:vAlign w:val="center"/>
          </w:tcPr>
          <w:p w:rsidR="00DB2DF9" w:rsidRDefault="00DB2DF9" w:rsidP="005C1352">
            <w:pPr>
              <w:jc w:val="center"/>
              <w:rPr>
                <w:b/>
                <w:bCs/>
                <w:color w:val="000000"/>
                <w:sz w:val="20"/>
                <w:szCs w:val="20"/>
              </w:rPr>
            </w:pPr>
            <w:r>
              <w:rPr>
                <w:b/>
                <w:bCs/>
                <w:color w:val="000000"/>
                <w:sz w:val="20"/>
                <w:szCs w:val="20"/>
              </w:rPr>
              <w:t>1.80</w:t>
            </w:r>
          </w:p>
        </w:tc>
      </w:tr>
    </w:tbl>
    <w:p w:rsidR="00DB2DF9" w:rsidRPr="00CC0B37" w:rsidRDefault="00DB2DF9" w:rsidP="00CC0B37"/>
    <w:p w:rsidR="00DB2DF9" w:rsidRDefault="00DB2DF9" w:rsidP="007E0D0D">
      <w:pPr>
        <w:pStyle w:val="bullettext"/>
      </w:pPr>
      <w:r w:rsidRPr="00B8757D">
        <w:t xml:space="preserve">In summary, </w:t>
      </w:r>
      <w:r w:rsidR="00F850BF">
        <w:t>six</w:t>
      </w:r>
      <w:r>
        <w:t xml:space="preserve"> of West Penn’s </w:t>
      </w:r>
      <w:r w:rsidR="00F850BF">
        <w:t>nine</w:t>
      </w:r>
      <w:r w:rsidRPr="00B8757D">
        <w:t xml:space="preserve"> programs offered were found to be cost-effective</w:t>
      </w:r>
      <w:r>
        <w:t xml:space="preserve"> and</w:t>
      </w:r>
      <w:r w:rsidRPr="00B8757D">
        <w:t xml:space="preserve"> </w:t>
      </w:r>
      <w:r w:rsidR="00F850BF">
        <w:t>three</w:t>
      </w:r>
      <w:r w:rsidRPr="00B8757D">
        <w:t xml:space="preserve"> were non-cost-effective. The breakout of cost-effective and non-cost-effective programs is </w:t>
      </w:r>
      <w:r>
        <w:t>shown</w:t>
      </w:r>
      <w:r w:rsidRPr="00B8757D">
        <w:t xml:space="preserve"> below.</w:t>
      </w:r>
    </w:p>
    <w:p w:rsidR="00DB2DF9" w:rsidRPr="00B8757D" w:rsidRDefault="00DB2DF9" w:rsidP="00DB2DF9">
      <w:pPr>
        <w:rPr>
          <w:rFonts w:ascii="Century Gothic" w:hAnsi="Century Gothic"/>
          <w:b/>
        </w:rPr>
      </w:pPr>
      <w:r w:rsidRPr="00B8757D">
        <w:rPr>
          <w:rFonts w:ascii="Century Gothic" w:hAnsi="Century Gothic"/>
          <w:b/>
        </w:rPr>
        <w:t>Cost-Effective Programs</w:t>
      </w:r>
    </w:p>
    <w:p w:rsidR="00DB2DF9" w:rsidRPr="00B8757D" w:rsidRDefault="00DB2DF9" w:rsidP="00DB2DF9">
      <w:pPr>
        <w:spacing w:after="60"/>
        <w:rPr>
          <w:b/>
          <w:color w:val="448A99"/>
        </w:rPr>
      </w:pPr>
      <w:r w:rsidRPr="00B8757D">
        <w:rPr>
          <w:b/>
          <w:color w:val="448A99"/>
        </w:rPr>
        <w:t>(TRC Ratio &gt; 1.0)</w:t>
      </w:r>
    </w:p>
    <w:p w:rsidR="00DB2DF9" w:rsidRDefault="00DB2DF9" w:rsidP="00E646C9">
      <w:pPr>
        <w:numPr>
          <w:ilvl w:val="0"/>
          <w:numId w:val="82"/>
        </w:numPr>
        <w:ind w:left="360"/>
        <w:rPr>
          <w:i/>
        </w:rPr>
      </w:pPr>
      <w:r w:rsidRPr="00B8757D">
        <w:rPr>
          <w:i/>
        </w:rPr>
        <w:t>Residential Appliance Turn-In</w:t>
      </w:r>
    </w:p>
    <w:p w:rsidR="00DB2DF9" w:rsidRPr="00B8757D" w:rsidRDefault="00DB2DF9" w:rsidP="00E646C9">
      <w:pPr>
        <w:numPr>
          <w:ilvl w:val="0"/>
          <w:numId w:val="82"/>
        </w:numPr>
        <w:ind w:left="360"/>
        <w:rPr>
          <w:i/>
        </w:rPr>
      </w:pPr>
      <w:r w:rsidRPr="00B8757D">
        <w:rPr>
          <w:i/>
        </w:rPr>
        <w:t>Energy Efficient Products</w:t>
      </w:r>
    </w:p>
    <w:p w:rsidR="00DB2DF9" w:rsidRPr="00752B3D" w:rsidRDefault="00DB2DF9" w:rsidP="00E646C9">
      <w:pPr>
        <w:numPr>
          <w:ilvl w:val="0"/>
          <w:numId w:val="82"/>
        </w:numPr>
        <w:ind w:left="360"/>
        <w:rPr>
          <w:i/>
        </w:rPr>
      </w:pPr>
      <w:r w:rsidRPr="00B8757D">
        <w:rPr>
          <w:i/>
        </w:rPr>
        <w:t>Residential Home Performance</w:t>
      </w:r>
    </w:p>
    <w:p w:rsidR="00DB2DF9" w:rsidRPr="00656082" w:rsidRDefault="00DB2DF9" w:rsidP="00E646C9">
      <w:pPr>
        <w:numPr>
          <w:ilvl w:val="0"/>
          <w:numId w:val="82"/>
        </w:numPr>
        <w:ind w:left="360"/>
        <w:rPr>
          <w:i/>
        </w:rPr>
      </w:pPr>
      <w:r w:rsidRPr="00B8757D">
        <w:rPr>
          <w:i/>
        </w:rPr>
        <w:t>Small C/I Energy Efficient Buildings</w:t>
      </w:r>
    </w:p>
    <w:p w:rsidR="00DB2DF9" w:rsidRDefault="00DB2DF9" w:rsidP="00E646C9">
      <w:pPr>
        <w:numPr>
          <w:ilvl w:val="0"/>
          <w:numId w:val="82"/>
        </w:numPr>
        <w:ind w:left="360"/>
        <w:rPr>
          <w:i/>
        </w:rPr>
      </w:pPr>
      <w:r w:rsidRPr="00B8757D">
        <w:rPr>
          <w:i/>
        </w:rPr>
        <w:t>Large C/I Energy Efficient Equipment</w:t>
      </w:r>
    </w:p>
    <w:p w:rsidR="00DB2DF9" w:rsidRPr="00B8757D" w:rsidRDefault="00DB2DF9" w:rsidP="00E646C9">
      <w:pPr>
        <w:numPr>
          <w:ilvl w:val="0"/>
          <w:numId w:val="82"/>
        </w:numPr>
        <w:ind w:left="360"/>
        <w:rPr>
          <w:i/>
        </w:rPr>
      </w:pPr>
      <w:r w:rsidRPr="00B8757D">
        <w:rPr>
          <w:i/>
        </w:rPr>
        <w:t>Large C/I Energy Efficient Buildings</w:t>
      </w:r>
    </w:p>
    <w:p w:rsidR="00DB2DF9" w:rsidRPr="00B8757D" w:rsidRDefault="00DB2DF9" w:rsidP="00DB2DF9">
      <w:pPr>
        <w:rPr>
          <w:rFonts w:ascii="Century Gothic" w:hAnsi="Century Gothic"/>
          <w:b/>
        </w:rPr>
      </w:pPr>
    </w:p>
    <w:p w:rsidR="00DB2DF9" w:rsidRPr="00B8757D" w:rsidRDefault="00DB2DF9" w:rsidP="00DB2DF9">
      <w:pPr>
        <w:rPr>
          <w:rFonts w:ascii="Century Gothic" w:hAnsi="Century Gothic"/>
          <w:b/>
        </w:rPr>
      </w:pPr>
      <w:r w:rsidRPr="00B8757D">
        <w:rPr>
          <w:rFonts w:ascii="Century Gothic" w:hAnsi="Century Gothic"/>
          <w:b/>
        </w:rPr>
        <w:t>Non-Cost-Effective Programs</w:t>
      </w:r>
    </w:p>
    <w:p w:rsidR="00DB2DF9" w:rsidRPr="00B8757D" w:rsidRDefault="00DB2DF9" w:rsidP="00DB2DF9">
      <w:pPr>
        <w:spacing w:after="60"/>
        <w:rPr>
          <w:b/>
          <w:color w:val="448A99"/>
        </w:rPr>
      </w:pPr>
      <w:r w:rsidRPr="00B8757D">
        <w:rPr>
          <w:b/>
          <w:color w:val="448A99"/>
        </w:rPr>
        <w:t>(TRC Ratio &lt; 1.0)</w:t>
      </w:r>
    </w:p>
    <w:p w:rsidR="00DB2DF9" w:rsidRDefault="00DB2DF9" w:rsidP="00E646C9">
      <w:pPr>
        <w:numPr>
          <w:ilvl w:val="0"/>
          <w:numId w:val="82"/>
        </w:numPr>
        <w:ind w:left="360"/>
        <w:rPr>
          <w:i/>
        </w:rPr>
      </w:pPr>
      <w:r w:rsidRPr="00B8757D">
        <w:rPr>
          <w:i/>
        </w:rPr>
        <w:t>Residential Low-Income</w:t>
      </w:r>
    </w:p>
    <w:p w:rsidR="00DB2DF9" w:rsidRPr="00656082" w:rsidRDefault="00DB2DF9" w:rsidP="00E646C9">
      <w:pPr>
        <w:numPr>
          <w:ilvl w:val="0"/>
          <w:numId w:val="82"/>
        </w:numPr>
        <w:ind w:left="360"/>
        <w:rPr>
          <w:i/>
        </w:rPr>
      </w:pPr>
      <w:r w:rsidRPr="00B8757D">
        <w:rPr>
          <w:i/>
        </w:rPr>
        <w:t>Small C/I Energy Efficient Buildings</w:t>
      </w:r>
    </w:p>
    <w:p w:rsidR="00DB2DF9" w:rsidRPr="00B8757D" w:rsidRDefault="00DB2DF9" w:rsidP="00E646C9">
      <w:pPr>
        <w:numPr>
          <w:ilvl w:val="0"/>
          <w:numId w:val="82"/>
        </w:numPr>
        <w:ind w:left="360"/>
        <w:rPr>
          <w:i/>
        </w:rPr>
      </w:pPr>
      <w:r w:rsidRPr="00B8757D">
        <w:rPr>
          <w:i/>
        </w:rPr>
        <w:t xml:space="preserve">Government </w:t>
      </w:r>
      <w:r>
        <w:rPr>
          <w:i/>
        </w:rPr>
        <w:t>and</w:t>
      </w:r>
      <w:r w:rsidRPr="00B8757D">
        <w:rPr>
          <w:i/>
        </w:rPr>
        <w:t xml:space="preserve"> Institutional</w:t>
      </w:r>
    </w:p>
    <w:p w:rsidR="00DB2DF9" w:rsidRPr="008A5E9E" w:rsidRDefault="00DB2DF9" w:rsidP="00DB2DF9">
      <w:pPr>
        <w:rPr>
          <w:highlight w:val="lightGray"/>
        </w:rPr>
      </w:pPr>
    </w:p>
    <w:p w:rsidR="00DB2DF9" w:rsidRDefault="00DB2DF9" w:rsidP="00DB2DF9">
      <w:r>
        <w:t>In PY7, the Home Performance and Large C/I Buildings programs screened as cost-effective</w:t>
      </w:r>
      <w:r w:rsidR="00F850BF">
        <w:t xml:space="preserve">. </w:t>
      </w:r>
      <w:r>
        <w:t xml:space="preserve">Overall, </w:t>
      </w:r>
      <w:r w:rsidRPr="0006691A">
        <w:t>programs with large amounts of energy and demand savings generally had high TRC ratios. This signifies that the programs garnering the most savings were also the most cost-effective programs in PY</w:t>
      </w:r>
      <w:r>
        <w:t>7</w:t>
      </w:r>
      <w:r w:rsidRPr="0006691A">
        <w:t>.</w:t>
      </w:r>
    </w:p>
    <w:p w:rsidR="00DB2DF9" w:rsidRDefault="00DB2DF9" w:rsidP="00DB2DF9">
      <w:pPr>
        <w:pStyle w:val="AppendixAHeading1"/>
        <w:numPr>
          <w:ilvl w:val="0"/>
          <w:numId w:val="0"/>
        </w:numPr>
      </w:pPr>
    </w:p>
    <w:p w:rsidR="00950837" w:rsidRDefault="00950837" w:rsidP="00D34B3E">
      <w:pPr>
        <w:pStyle w:val="AppendixAHeading3"/>
      </w:pPr>
      <w:r>
        <w:t>Assumptions and Inputs</w:t>
      </w:r>
    </w:p>
    <w:p w:rsidR="00DB2DF9" w:rsidRDefault="00DB2DF9" w:rsidP="00DB2DF9">
      <w:r w:rsidRPr="00DB2DF9">
        <w:t xml:space="preserve">One TRC model template was shared across all four FirstEnergy companies. Despite the similar model, the TRC model calculations were handled independently for each of the four EDCs. The West Penn iteration of the FirstEnergy TRC model used a discount rate of </w:t>
      </w:r>
      <w:r w:rsidR="00397FF8">
        <w:t>9.15</w:t>
      </w:r>
      <w:r w:rsidRPr="00DB2DF9">
        <w:t>% to compare the NPV of program benefits that will occur later in a measure’s lifetime to the up</w:t>
      </w:r>
      <w:r w:rsidR="00540FD5">
        <w:t>-</w:t>
      </w:r>
      <w:r w:rsidRPr="00DB2DF9">
        <w:t xml:space="preserve">front costs of installation of implementation. This value matches the EDC’s EE&amp;C </w:t>
      </w:r>
      <w:r w:rsidR="00540FD5">
        <w:t>p</w:t>
      </w:r>
      <w:r w:rsidRPr="00DB2DF9">
        <w:t>lan on file. Different values of LLF were used for different sectors, as shown in</w:t>
      </w:r>
      <w:r>
        <w:t xml:space="preserve"> </w:t>
      </w:r>
      <w:r>
        <w:fldChar w:fldCharType="begin"/>
      </w:r>
      <w:r>
        <w:instrText xml:space="preserve"> REF _Ref472446794 \h </w:instrText>
      </w:r>
      <w:r>
        <w:fldChar w:fldCharType="separate"/>
      </w:r>
      <w:r w:rsidR="00C301D0">
        <w:t>Table A-</w:t>
      </w:r>
      <w:r w:rsidR="00C301D0">
        <w:rPr>
          <w:noProof/>
        </w:rPr>
        <w:t>89</w:t>
      </w:r>
      <w:r>
        <w:fldChar w:fldCharType="end"/>
      </w:r>
      <w:r>
        <w:t>.</w:t>
      </w:r>
    </w:p>
    <w:p w:rsidR="00DB2DF9" w:rsidRDefault="00DB2DF9" w:rsidP="00DB2DF9"/>
    <w:p w:rsidR="00CC0B37" w:rsidRDefault="00CC0B37" w:rsidP="00DB2DF9"/>
    <w:p w:rsidR="007E0D0D" w:rsidRDefault="007E0D0D" w:rsidP="00DB2DF9"/>
    <w:p w:rsidR="00CC0B37" w:rsidRDefault="00CC0B37" w:rsidP="00DB2DF9"/>
    <w:p w:rsidR="00CC0B37" w:rsidRDefault="00CC0B37" w:rsidP="00DB2DF9"/>
    <w:p w:rsidR="00CC0B37" w:rsidRDefault="00CC0B37" w:rsidP="00DB2DF9"/>
    <w:p w:rsidR="00DB2DF9" w:rsidRDefault="00DB2DF9" w:rsidP="00DB2DF9">
      <w:pPr>
        <w:pStyle w:val="Caption"/>
      </w:pPr>
      <w:bookmarkStart w:id="1008" w:name="_Ref472446794"/>
      <w:bookmarkStart w:id="1009" w:name="_Toc472472498"/>
      <w:bookmarkStart w:id="1010" w:name="_Toc476842204"/>
      <w:r>
        <w:t>Table A-</w:t>
      </w:r>
      <w:fldSimple w:instr=" SEQ Table_A- \* ARABIC ">
        <w:r w:rsidR="00C301D0">
          <w:rPr>
            <w:noProof/>
          </w:rPr>
          <w:t>89</w:t>
        </w:r>
      </w:fldSimple>
      <w:bookmarkEnd w:id="1008"/>
      <w:r>
        <w:t xml:space="preserve">: </w:t>
      </w:r>
      <w:r w:rsidR="00540FD5">
        <w:t>West Penn</w:t>
      </w:r>
      <w:r w:rsidRPr="00DB2DF9">
        <w:t>’s PY7 Discount Rates and LLFs</w:t>
      </w:r>
      <w:bookmarkEnd w:id="1009"/>
      <w:bookmarkEnd w:id="1010"/>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083"/>
        <w:gridCol w:w="1568"/>
        <w:gridCol w:w="1568"/>
        <w:gridCol w:w="1568"/>
        <w:gridCol w:w="1568"/>
      </w:tblGrid>
      <w:tr w:rsidR="00A874AC" w:rsidRPr="00A96C4C" w:rsidTr="00CC0B37">
        <w:trPr>
          <w:trHeight w:val="278"/>
          <w:tblHeader/>
        </w:trPr>
        <w:tc>
          <w:tcPr>
            <w:tcW w:w="3083" w:type="dxa"/>
            <w:shd w:val="clear" w:color="000000" w:fill="448A99"/>
            <w:noWrap/>
            <w:vAlign w:val="bottom"/>
            <w:hideMark/>
          </w:tcPr>
          <w:p w:rsidR="00DB2DF9" w:rsidRPr="008A5E9E" w:rsidRDefault="00DB2DF9" w:rsidP="005C1352">
            <w:pPr>
              <w:jc w:val="left"/>
              <w:rPr>
                <w:b/>
                <w:bCs/>
                <w:color w:val="FFFFFF"/>
                <w:sz w:val="20"/>
                <w:szCs w:val="20"/>
              </w:rPr>
            </w:pPr>
            <w:r w:rsidRPr="008A5E9E">
              <w:rPr>
                <w:b/>
                <w:bCs/>
                <w:color w:val="FFFFFF"/>
                <w:sz w:val="20"/>
                <w:szCs w:val="20"/>
              </w:rPr>
              <w:lastRenderedPageBreak/>
              <w:t>Program</w:t>
            </w:r>
          </w:p>
        </w:tc>
        <w:tc>
          <w:tcPr>
            <w:tcW w:w="1568" w:type="dxa"/>
            <w:shd w:val="clear" w:color="000000" w:fill="448A99"/>
            <w:noWrap/>
            <w:vAlign w:val="bottom"/>
            <w:hideMark/>
          </w:tcPr>
          <w:p w:rsidR="00DB2DF9" w:rsidRPr="008A5E9E" w:rsidRDefault="00DB2DF9" w:rsidP="005C1352">
            <w:pPr>
              <w:jc w:val="center"/>
              <w:rPr>
                <w:b/>
                <w:bCs/>
                <w:color w:val="FFFFFF"/>
                <w:sz w:val="20"/>
                <w:szCs w:val="20"/>
              </w:rPr>
            </w:pPr>
            <w:r w:rsidRPr="008A5E9E">
              <w:rPr>
                <w:b/>
                <w:bCs/>
                <w:color w:val="FFFFFF"/>
                <w:sz w:val="20"/>
                <w:szCs w:val="20"/>
              </w:rPr>
              <w:t>Sector</w:t>
            </w:r>
          </w:p>
        </w:tc>
        <w:tc>
          <w:tcPr>
            <w:tcW w:w="1568" w:type="dxa"/>
            <w:shd w:val="clear" w:color="000000" w:fill="448A99"/>
            <w:noWrap/>
            <w:vAlign w:val="bottom"/>
            <w:hideMark/>
          </w:tcPr>
          <w:p w:rsidR="00DB2DF9" w:rsidRPr="008A5E9E" w:rsidRDefault="00DB2DF9" w:rsidP="005C1352">
            <w:pPr>
              <w:jc w:val="center"/>
              <w:rPr>
                <w:b/>
                <w:bCs/>
                <w:color w:val="FFFFFF"/>
                <w:sz w:val="20"/>
                <w:szCs w:val="20"/>
              </w:rPr>
            </w:pPr>
            <w:r w:rsidRPr="008A5E9E">
              <w:rPr>
                <w:b/>
                <w:bCs/>
                <w:color w:val="FFFFFF"/>
                <w:sz w:val="20"/>
                <w:szCs w:val="20"/>
              </w:rPr>
              <w:t>Discount Rate</w:t>
            </w:r>
          </w:p>
        </w:tc>
        <w:tc>
          <w:tcPr>
            <w:tcW w:w="1568" w:type="dxa"/>
            <w:shd w:val="clear" w:color="000000" w:fill="448A99"/>
            <w:vAlign w:val="bottom"/>
            <w:hideMark/>
          </w:tcPr>
          <w:p w:rsidR="00DB2DF9" w:rsidRPr="008A5E9E" w:rsidRDefault="00DB2DF9" w:rsidP="005C1352">
            <w:pPr>
              <w:jc w:val="center"/>
              <w:rPr>
                <w:b/>
                <w:bCs/>
                <w:color w:val="FFFFFF"/>
                <w:sz w:val="20"/>
                <w:szCs w:val="20"/>
              </w:rPr>
            </w:pPr>
            <w:r w:rsidRPr="008A5E9E">
              <w:rPr>
                <w:b/>
                <w:bCs/>
                <w:color w:val="FFFFFF"/>
                <w:sz w:val="20"/>
                <w:szCs w:val="20"/>
              </w:rPr>
              <w:t>Energy LLF</w:t>
            </w:r>
          </w:p>
        </w:tc>
        <w:tc>
          <w:tcPr>
            <w:tcW w:w="1568" w:type="dxa"/>
            <w:shd w:val="clear" w:color="000000" w:fill="448A99"/>
            <w:vAlign w:val="bottom"/>
            <w:hideMark/>
          </w:tcPr>
          <w:p w:rsidR="00DB2DF9" w:rsidRPr="008A5E9E" w:rsidRDefault="00DB2DF9" w:rsidP="005C1352">
            <w:pPr>
              <w:jc w:val="center"/>
              <w:rPr>
                <w:b/>
                <w:bCs/>
                <w:color w:val="FFFFFF"/>
                <w:sz w:val="20"/>
                <w:szCs w:val="20"/>
              </w:rPr>
            </w:pPr>
            <w:r w:rsidRPr="008A5E9E">
              <w:rPr>
                <w:b/>
                <w:bCs/>
                <w:color w:val="FFFFFF"/>
                <w:sz w:val="20"/>
                <w:szCs w:val="20"/>
              </w:rPr>
              <w:t>Demand LLF</w:t>
            </w:r>
          </w:p>
        </w:tc>
      </w:tr>
      <w:tr w:rsidR="00E7173E" w:rsidRPr="00A96C4C" w:rsidTr="001D479D">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B2DF9" w:rsidRPr="00A81289" w:rsidRDefault="00DB2DF9" w:rsidP="005C1352">
            <w:pPr>
              <w:jc w:val="left"/>
              <w:rPr>
                <w:bCs/>
                <w:color w:val="000000"/>
                <w:sz w:val="20"/>
                <w:szCs w:val="20"/>
              </w:rPr>
            </w:pPr>
            <w:r w:rsidRPr="00FB6015">
              <w:rPr>
                <w:color w:val="000000"/>
                <w:sz w:val="20"/>
                <w:szCs w:val="20"/>
              </w:rPr>
              <w:t>Appliance Turn-In</w:t>
            </w:r>
          </w:p>
        </w:tc>
        <w:tc>
          <w:tcPr>
            <w:tcW w:w="1568" w:type="dxa"/>
            <w:shd w:val="clear" w:color="auto" w:fill="auto"/>
            <w:noWrap/>
            <w:vAlign w:val="center"/>
          </w:tcPr>
          <w:p w:rsidR="00DB2DF9" w:rsidRPr="00A96C4C" w:rsidRDefault="00DB2DF9" w:rsidP="005C1352">
            <w:pPr>
              <w:jc w:val="center"/>
              <w:rPr>
                <w:color w:val="000000"/>
                <w:sz w:val="20"/>
                <w:szCs w:val="20"/>
              </w:rPr>
            </w:pPr>
            <w:r w:rsidRPr="00A96C4C">
              <w:rPr>
                <w:color w:val="000000"/>
                <w:sz w:val="20"/>
                <w:szCs w:val="20"/>
              </w:rPr>
              <w:t>Residential</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9.15</w:t>
            </w:r>
            <w:r w:rsidRPr="00A96C4C">
              <w:rPr>
                <w:color w:val="000000"/>
                <w:sz w:val="20"/>
                <w:szCs w:val="20"/>
              </w:rPr>
              <w:t>%</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9.10</w:t>
            </w:r>
            <w:r w:rsidRPr="00E764E7">
              <w:rPr>
                <w:color w:val="000000"/>
                <w:sz w:val="20"/>
                <w:szCs w:val="20"/>
              </w:rPr>
              <w:t>%</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9.10</w:t>
            </w:r>
            <w:r w:rsidRPr="00E764E7">
              <w:rPr>
                <w:color w:val="000000"/>
                <w:sz w:val="20"/>
                <w:szCs w:val="20"/>
              </w:rPr>
              <w:t>%</w:t>
            </w:r>
          </w:p>
        </w:tc>
      </w:tr>
      <w:tr w:rsidR="00A874AC" w:rsidRPr="00A96C4C" w:rsidTr="00CC0B37">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B2DF9" w:rsidRPr="00A81289" w:rsidRDefault="00DB2DF9" w:rsidP="005C1352">
            <w:pPr>
              <w:jc w:val="left"/>
              <w:rPr>
                <w:bCs/>
                <w:color w:val="000000"/>
                <w:sz w:val="20"/>
                <w:szCs w:val="20"/>
              </w:rPr>
            </w:pPr>
            <w:r w:rsidRPr="00FB6015">
              <w:rPr>
                <w:color w:val="000000"/>
                <w:sz w:val="20"/>
                <w:szCs w:val="20"/>
              </w:rPr>
              <w:t>Efficient Products</w:t>
            </w:r>
          </w:p>
        </w:tc>
        <w:tc>
          <w:tcPr>
            <w:tcW w:w="1568" w:type="dxa"/>
            <w:shd w:val="clear" w:color="auto" w:fill="D2EAF1"/>
            <w:noWrap/>
            <w:vAlign w:val="center"/>
          </w:tcPr>
          <w:p w:rsidR="00DB2DF9" w:rsidRPr="00A96C4C" w:rsidRDefault="00DB2DF9" w:rsidP="005C1352">
            <w:pPr>
              <w:jc w:val="center"/>
              <w:rPr>
                <w:color w:val="000000"/>
                <w:sz w:val="20"/>
                <w:szCs w:val="20"/>
              </w:rPr>
            </w:pPr>
            <w:r w:rsidRPr="00A96C4C">
              <w:rPr>
                <w:color w:val="000000"/>
                <w:sz w:val="20"/>
                <w:szCs w:val="20"/>
              </w:rPr>
              <w:t>Residential</w:t>
            </w:r>
          </w:p>
        </w:tc>
        <w:tc>
          <w:tcPr>
            <w:tcW w:w="1568" w:type="dxa"/>
            <w:shd w:val="clear" w:color="auto" w:fill="D2EAF1"/>
            <w:noWrap/>
            <w:vAlign w:val="center"/>
          </w:tcPr>
          <w:p w:rsidR="00DB2DF9" w:rsidRPr="00450DED" w:rsidRDefault="00DB2DF9" w:rsidP="005C1352">
            <w:pPr>
              <w:jc w:val="center"/>
              <w:rPr>
                <w:color w:val="000000"/>
                <w:sz w:val="20"/>
                <w:szCs w:val="20"/>
              </w:rPr>
            </w:pPr>
            <w:r>
              <w:rPr>
                <w:color w:val="000000"/>
                <w:sz w:val="20"/>
                <w:szCs w:val="20"/>
              </w:rPr>
              <w:t>9.15</w:t>
            </w:r>
            <w:r w:rsidRPr="00A96C4C">
              <w:rPr>
                <w:color w:val="000000"/>
                <w:sz w:val="20"/>
                <w:szCs w:val="20"/>
              </w:rPr>
              <w:t>%</w:t>
            </w:r>
          </w:p>
        </w:tc>
        <w:tc>
          <w:tcPr>
            <w:tcW w:w="1568" w:type="dxa"/>
            <w:shd w:val="clear" w:color="auto" w:fill="D2EAF1"/>
            <w:noWrap/>
            <w:vAlign w:val="center"/>
          </w:tcPr>
          <w:p w:rsidR="00DB2DF9" w:rsidRPr="00450DED" w:rsidRDefault="00DB2DF9" w:rsidP="005C1352">
            <w:pPr>
              <w:jc w:val="center"/>
              <w:rPr>
                <w:color w:val="000000"/>
                <w:sz w:val="20"/>
                <w:szCs w:val="20"/>
              </w:rPr>
            </w:pPr>
            <w:r>
              <w:rPr>
                <w:color w:val="000000"/>
                <w:sz w:val="20"/>
                <w:szCs w:val="20"/>
              </w:rPr>
              <w:t>9.10</w:t>
            </w:r>
            <w:r w:rsidRPr="00E764E7">
              <w:rPr>
                <w:color w:val="000000"/>
                <w:sz w:val="20"/>
                <w:szCs w:val="20"/>
              </w:rPr>
              <w:t>%</w:t>
            </w:r>
          </w:p>
        </w:tc>
        <w:tc>
          <w:tcPr>
            <w:tcW w:w="1568" w:type="dxa"/>
            <w:shd w:val="clear" w:color="auto" w:fill="D2EAF1"/>
            <w:noWrap/>
            <w:vAlign w:val="center"/>
          </w:tcPr>
          <w:p w:rsidR="00DB2DF9" w:rsidRPr="00450DED" w:rsidRDefault="00DB2DF9" w:rsidP="005C1352">
            <w:pPr>
              <w:jc w:val="center"/>
              <w:rPr>
                <w:color w:val="000000"/>
                <w:sz w:val="20"/>
                <w:szCs w:val="20"/>
              </w:rPr>
            </w:pPr>
            <w:r>
              <w:rPr>
                <w:color w:val="000000"/>
                <w:sz w:val="20"/>
                <w:szCs w:val="20"/>
              </w:rPr>
              <w:t>9.10</w:t>
            </w:r>
            <w:r w:rsidRPr="00E764E7">
              <w:rPr>
                <w:color w:val="000000"/>
                <w:sz w:val="20"/>
                <w:szCs w:val="20"/>
              </w:rPr>
              <w:t>%</w:t>
            </w:r>
          </w:p>
        </w:tc>
      </w:tr>
      <w:tr w:rsidR="00E7173E" w:rsidRPr="00A96C4C" w:rsidTr="001D479D">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B2DF9" w:rsidRPr="00A81289" w:rsidRDefault="00DB2DF9" w:rsidP="005C1352">
            <w:pPr>
              <w:jc w:val="left"/>
              <w:rPr>
                <w:bCs/>
                <w:color w:val="000000"/>
                <w:sz w:val="20"/>
                <w:szCs w:val="20"/>
              </w:rPr>
            </w:pPr>
            <w:r w:rsidRPr="00FB6015">
              <w:rPr>
                <w:color w:val="000000"/>
                <w:sz w:val="20"/>
                <w:szCs w:val="20"/>
              </w:rPr>
              <w:t>Home Performance</w:t>
            </w:r>
          </w:p>
        </w:tc>
        <w:tc>
          <w:tcPr>
            <w:tcW w:w="1568" w:type="dxa"/>
            <w:shd w:val="clear" w:color="auto" w:fill="auto"/>
            <w:noWrap/>
            <w:vAlign w:val="center"/>
          </w:tcPr>
          <w:p w:rsidR="00DB2DF9" w:rsidRPr="00A96C4C" w:rsidRDefault="00DB2DF9" w:rsidP="005C1352">
            <w:pPr>
              <w:jc w:val="center"/>
              <w:rPr>
                <w:color w:val="000000"/>
                <w:sz w:val="20"/>
                <w:szCs w:val="20"/>
              </w:rPr>
            </w:pPr>
            <w:r w:rsidRPr="00A96C4C">
              <w:rPr>
                <w:color w:val="000000"/>
                <w:sz w:val="20"/>
                <w:szCs w:val="20"/>
              </w:rPr>
              <w:t>Residential</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9.15</w:t>
            </w:r>
            <w:r w:rsidRPr="00A96C4C">
              <w:rPr>
                <w:color w:val="000000"/>
                <w:sz w:val="20"/>
                <w:szCs w:val="20"/>
              </w:rPr>
              <w:t>%</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9.10</w:t>
            </w:r>
            <w:r w:rsidRPr="00E764E7">
              <w:rPr>
                <w:color w:val="000000"/>
                <w:sz w:val="20"/>
                <w:szCs w:val="20"/>
              </w:rPr>
              <w:t>%</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9.10</w:t>
            </w:r>
            <w:r w:rsidRPr="00E764E7">
              <w:rPr>
                <w:color w:val="000000"/>
                <w:sz w:val="20"/>
                <w:szCs w:val="20"/>
              </w:rPr>
              <w:t>%</w:t>
            </w:r>
          </w:p>
        </w:tc>
      </w:tr>
      <w:tr w:rsidR="00A874AC" w:rsidRPr="00A96C4C" w:rsidTr="00CC0B37">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B2DF9" w:rsidRPr="00A81289" w:rsidRDefault="00DB2DF9" w:rsidP="005C1352">
            <w:pPr>
              <w:jc w:val="left"/>
              <w:rPr>
                <w:bCs/>
                <w:color w:val="000000"/>
                <w:sz w:val="20"/>
                <w:szCs w:val="20"/>
              </w:rPr>
            </w:pPr>
            <w:r w:rsidRPr="00FB6015">
              <w:rPr>
                <w:color w:val="000000"/>
                <w:sz w:val="20"/>
                <w:szCs w:val="20"/>
              </w:rPr>
              <w:t>Low Income</w:t>
            </w:r>
          </w:p>
        </w:tc>
        <w:tc>
          <w:tcPr>
            <w:tcW w:w="1568" w:type="dxa"/>
            <w:shd w:val="clear" w:color="auto" w:fill="D2EAF1"/>
            <w:noWrap/>
            <w:vAlign w:val="center"/>
          </w:tcPr>
          <w:p w:rsidR="00DB2DF9" w:rsidRPr="00A96C4C" w:rsidRDefault="00DB2DF9" w:rsidP="005C1352">
            <w:pPr>
              <w:jc w:val="center"/>
              <w:rPr>
                <w:color w:val="000000"/>
                <w:sz w:val="20"/>
                <w:szCs w:val="20"/>
              </w:rPr>
            </w:pPr>
            <w:r w:rsidRPr="00A96C4C">
              <w:rPr>
                <w:color w:val="000000"/>
                <w:sz w:val="20"/>
                <w:szCs w:val="20"/>
              </w:rPr>
              <w:t>Residential</w:t>
            </w:r>
          </w:p>
        </w:tc>
        <w:tc>
          <w:tcPr>
            <w:tcW w:w="1568" w:type="dxa"/>
            <w:shd w:val="clear" w:color="auto" w:fill="D2EAF1"/>
            <w:noWrap/>
            <w:vAlign w:val="center"/>
          </w:tcPr>
          <w:p w:rsidR="00DB2DF9" w:rsidRPr="00450DED" w:rsidRDefault="00DB2DF9" w:rsidP="005C1352">
            <w:pPr>
              <w:jc w:val="center"/>
              <w:rPr>
                <w:color w:val="000000"/>
                <w:sz w:val="20"/>
                <w:szCs w:val="20"/>
              </w:rPr>
            </w:pPr>
            <w:r>
              <w:rPr>
                <w:color w:val="000000"/>
                <w:sz w:val="20"/>
                <w:szCs w:val="20"/>
              </w:rPr>
              <w:t>9.15</w:t>
            </w:r>
            <w:r w:rsidRPr="00A96C4C">
              <w:rPr>
                <w:color w:val="000000"/>
                <w:sz w:val="20"/>
                <w:szCs w:val="20"/>
              </w:rPr>
              <w:t>%</w:t>
            </w:r>
          </w:p>
        </w:tc>
        <w:tc>
          <w:tcPr>
            <w:tcW w:w="1568" w:type="dxa"/>
            <w:shd w:val="clear" w:color="auto" w:fill="D2EAF1"/>
            <w:noWrap/>
            <w:vAlign w:val="center"/>
          </w:tcPr>
          <w:p w:rsidR="00DB2DF9" w:rsidRPr="00450DED" w:rsidRDefault="00DB2DF9" w:rsidP="005C1352">
            <w:pPr>
              <w:jc w:val="center"/>
              <w:rPr>
                <w:color w:val="000000"/>
                <w:sz w:val="20"/>
                <w:szCs w:val="20"/>
              </w:rPr>
            </w:pPr>
            <w:r>
              <w:rPr>
                <w:color w:val="000000"/>
                <w:sz w:val="20"/>
                <w:szCs w:val="20"/>
              </w:rPr>
              <w:t>9.10</w:t>
            </w:r>
            <w:r w:rsidRPr="00E764E7">
              <w:rPr>
                <w:color w:val="000000"/>
                <w:sz w:val="20"/>
                <w:szCs w:val="20"/>
              </w:rPr>
              <w:t>%</w:t>
            </w:r>
          </w:p>
        </w:tc>
        <w:tc>
          <w:tcPr>
            <w:tcW w:w="1568" w:type="dxa"/>
            <w:shd w:val="clear" w:color="auto" w:fill="D2EAF1"/>
            <w:noWrap/>
            <w:vAlign w:val="center"/>
          </w:tcPr>
          <w:p w:rsidR="00DB2DF9" w:rsidRPr="00450DED" w:rsidRDefault="00DB2DF9" w:rsidP="005C1352">
            <w:pPr>
              <w:jc w:val="center"/>
              <w:rPr>
                <w:color w:val="000000"/>
                <w:sz w:val="20"/>
                <w:szCs w:val="20"/>
              </w:rPr>
            </w:pPr>
            <w:r>
              <w:rPr>
                <w:color w:val="000000"/>
                <w:sz w:val="20"/>
                <w:szCs w:val="20"/>
              </w:rPr>
              <w:t>9.10</w:t>
            </w:r>
            <w:r w:rsidRPr="00E764E7">
              <w:rPr>
                <w:color w:val="000000"/>
                <w:sz w:val="20"/>
                <w:szCs w:val="20"/>
              </w:rPr>
              <w:t>%</w:t>
            </w:r>
          </w:p>
        </w:tc>
      </w:tr>
      <w:tr w:rsidR="00E7173E" w:rsidRPr="00A96C4C" w:rsidTr="008F60E1">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B2DF9" w:rsidRPr="00A81289" w:rsidRDefault="00DB2DF9" w:rsidP="005C1352">
            <w:pPr>
              <w:jc w:val="left"/>
              <w:rPr>
                <w:bCs/>
                <w:color w:val="000000"/>
                <w:sz w:val="20"/>
                <w:szCs w:val="20"/>
              </w:rPr>
            </w:pPr>
            <w:r w:rsidRPr="00FB6015">
              <w:rPr>
                <w:color w:val="000000"/>
                <w:sz w:val="20"/>
                <w:szCs w:val="20"/>
              </w:rPr>
              <w:t>Small C/I Equipment</w:t>
            </w:r>
          </w:p>
        </w:tc>
        <w:tc>
          <w:tcPr>
            <w:tcW w:w="1568" w:type="dxa"/>
            <w:shd w:val="clear" w:color="auto" w:fill="auto"/>
            <w:noWrap/>
            <w:vAlign w:val="center"/>
          </w:tcPr>
          <w:p w:rsidR="00DB2DF9" w:rsidRPr="00A96C4C" w:rsidRDefault="00DB2DF9" w:rsidP="005C1352">
            <w:pPr>
              <w:jc w:val="center"/>
              <w:rPr>
                <w:color w:val="000000"/>
                <w:sz w:val="20"/>
                <w:szCs w:val="20"/>
              </w:rPr>
            </w:pPr>
            <w:r>
              <w:rPr>
                <w:color w:val="000000"/>
                <w:sz w:val="20"/>
                <w:szCs w:val="20"/>
              </w:rPr>
              <w:t>Non-</w:t>
            </w:r>
            <w:r w:rsidR="008F60E1">
              <w:rPr>
                <w:color w:val="000000"/>
                <w:sz w:val="20"/>
                <w:szCs w:val="20"/>
              </w:rPr>
              <w:t>R</w:t>
            </w:r>
            <w:r>
              <w:rPr>
                <w:color w:val="000000"/>
                <w:sz w:val="20"/>
                <w:szCs w:val="20"/>
              </w:rPr>
              <w:t>esidential</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9.15</w:t>
            </w:r>
            <w:r w:rsidRPr="00A96C4C">
              <w:rPr>
                <w:color w:val="000000"/>
                <w:sz w:val="20"/>
                <w:szCs w:val="20"/>
              </w:rPr>
              <w:t>%</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7.90</w:t>
            </w:r>
            <w:r w:rsidRPr="00E764E7">
              <w:rPr>
                <w:color w:val="000000"/>
                <w:sz w:val="20"/>
                <w:szCs w:val="20"/>
              </w:rPr>
              <w:t>%</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7.90</w:t>
            </w:r>
            <w:r w:rsidRPr="00E764E7">
              <w:rPr>
                <w:color w:val="000000"/>
                <w:sz w:val="20"/>
                <w:szCs w:val="20"/>
              </w:rPr>
              <w:t>%</w:t>
            </w:r>
          </w:p>
        </w:tc>
      </w:tr>
      <w:tr w:rsidR="00A874AC" w:rsidRPr="00A96C4C" w:rsidTr="00CC0B37">
        <w:trPr>
          <w:trHeight w:val="346"/>
        </w:trPr>
        <w:tc>
          <w:tcPr>
            <w:tcW w:w="3083" w:type="dxa"/>
            <w:tcBorders>
              <w:top w:val="nil"/>
              <w:left w:val="single" w:sz="8" w:space="0" w:color="448A99"/>
              <w:bottom w:val="single" w:sz="8" w:space="0" w:color="448A99"/>
              <w:right w:val="single" w:sz="8" w:space="0" w:color="448A99"/>
            </w:tcBorders>
            <w:shd w:val="clear" w:color="auto" w:fill="D2EAF1"/>
            <w:noWrap/>
            <w:vAlign w:val="center"/>
          </w:tcPr>
          <w:p w:rsidR="00DB2DF9" w:rsidRPr="00A81289" w:rsidRDefault="00DB2DF9" w:rsidP="005C1352">
            <w:pPr>
              <w:jc w:val="left"/>
              <w:rPr>
                <w:bCs/>
                <w:color w:val="000000"/>
                <w:sz w:val="20"/>
                <w:szCs w:val="20"/>
              </w:rPr>
            </w:pPr>
            <w:r w:rsidRPr="00FB6015">
              <w:rPr>
                <w:color w:val="000000"/>
                <w:sz w:val="20"/>
                <w:szCs w:val="20"/>
              </w:rPr>
              <w:t>Small C/I Buildings</w:t>
            </w:r>
          </w:p>
        </w:tc>
        <w:tc>
          <w:tcPr>
            <w:tcW w:w="1568" w:type="dxa"/>
            <w:shd w:val="clear" w:color="auto" w:fill="D2EAF1"/>
            <w:noWrap/>
            <w:vAlign w:val="center"/>
          </w:tcPr>
          <w:p w:rsidR="00DB2DF9" w:rsidRPr="00A96C4C" w:rsidRDefault="00DB2DF9" w:rsidP="005C1352">
            <w:pPr>
              <w:jc w:val="center"/>
              <w:rPr>
                <w:color w:val="000000"/>
                <w:sz w:val="20"/>
                <w:szCs w:val="20"/>
              </w:rPr>
            </w:pPr>
            <w:r>
              <w:rPr>
                <w:color w:val="000000"/>
                <w:sz w:val="20"/>
                <w:szCs w:val="20"/>
              </w:rPr>
              <w:t>Non-</w:t>
            </w:r>
            <w:r w:rsidR="008F60E1">
              <w:rPr>
                <w:color w:val="000000"/>
                <w:sz w:val="20"/>
                <w:szCs w:val="20"/>
              </w:rPr>
              <w:t>R</w:t>
            </w:r>
            <w:r>
              <w:rPr>
                <w:color w:val="000000"/>
                <w:sz w:val="20"/>
                <w:szCs w:val="20"/>
              </w:rPr>
              <w:t>esidential</w:t>
            </w:r>
          </w:p>
        </w:tc>
        <w:tc>
          <w:tcPr>
            <w:tcW w:w="1568" w:type="dxa"/>
            <w:shd w:val="clear" w:color="auto" w:fill="D2EAF1"/>
            <w:noWrap/>
            <w:vAlign w:val="center"/>
          </w:tcPr>
          <w:p w:rsidR="00DB2DF9" w:rsidRPr="00450DED" w:rsidRDefault="00DB2DF9" w:rsidP="005C1352">
            <w:pPr>
              <w:jc w:val="center"/>
              <w:rPr>
                <w:color w:val="000000"/>
                <w:sz w:val="20"/>
                <w:szCs w:val="20"/>
              </w:rPr>
            </w:pPr>
            <w:r>
              <w:rPr>
                <w:color w:val="000000"/>
                <w:sz w:val="20"/>
                <w:szCs w:val="20"/>
              </w:rPr>
              <w:t>9.15</w:t>
            </w:r>
            <w:r w:rsidRPr="00A96C4C">
              <w:rPr>
                <w:color w:val="000000"/>
                <w:sz w:val="20"/>
                <w:szCs w:val="20"/>
              </w:rPr>
              <w:t>%</w:t>
            </w:r>
          </w:p>
        </w:tc>
        <w:tc>
          <w:tcPr>
            <w:tcW w:w="1568" w:type="dxa"/>
            <w:shd w:val="clear" w:color="auto" w:fill="D2EAF1"/>
            <w:noWrap/>
            <w:vAlign w:val="center"/>
          </w:tcPr>
          <w:p w:rsidR="00DB2DF9" w:rsidRPr="00450DED" w:rsidRDefault="00DB2DF9" w:rsidP="005C1352">
            <w:pPr>
              <w:jc w:val="center"/>
              <w:rPr>
                <w:color w:val="000000"/>
                <w:sz w:val="20"/>
                <w:szCs w:val="20"/>
              </w:rPr>
            </w:pPr>
            <w:r>
              <w:rPr>
                <w:color w:val="000000"/>
                <w:sz w:val="20"/>
                <w:szCs w:val="20"/>
              </w:rPr>
              <w:t>7.90</w:t>
            </w:r>
            <w:r w:rsidRPr="00E764E7">
              <w:rPr>
                <w:color w:val="000000"/>
                <w:sz w:val="20"/>
                <w:szCs w:val="20"/>
              </w:rPr>
              <w:t>%</w:t>
            </w:r>
          </w:p>
        </w:tc>
        <w:tc>
          <w:tcPr>
            <w:tcW w:w="1568" w:type="dxa"/>
            <w:shd w:val="clear" w:color="auto" w:fill="D2EAF1"/>
            <w:noWrap/>
            <w:vAlign w:val="center"/>
          </w:tcPr>
          <w:p w:rsidR="00DB2DF9" w:rsidRPr="00450DED" w:rsidRDefault="00DB2DF9" w:rsidP="005C1352">
            <w:pPr>
              <w:jc w:val="center"/>
              <w:rPr>
                <w:color w:val="000000"/>
                <w:sz w:val="20"/>
                <w:szCs w:val="20"/>
              </w:rPr>
            </w:pPr>
            <w:r>
              <w:rPr>
                <w:color w:val="000000"/>
                <w:sz w:val="20"/>
                <w:szCs w:val="20"/>
              </w:rPr>
              <w:t>7.90</w:t>
            </w:r>
            <w:r w:rsidRPr="00E764E7">
              <w:rPr>
                <w:color w:val="000000"/>
                <w:sz w:val="20"/>
                <w:szCs w:val="20"/>
              </w:rPr>
              <w:t>%</w:t>
            </w:r>
          </w:p>
        </w:tc>
      </w:tr>
      <w:tr w:rsidR="00E7173E" w:rsidRPr="00A96C4C" w:rsidTr="008F60E1">
        <w:trPr>
          <w:trHeight w:val="346"/>
        </w:trPr>
        <w:tc>
          <w:tcPr>
            <w:tcW w:w="3083" w:type="dxa"/>
            <w:tcBorders>
              <w:top w:val="nil"/>
              <w:left w:val="single" w:sz="8" w:space="0" w:color="448A99"/>
              <w:bottom w:val="single" w:sz="8" w:space="0" w:color="448A99"/>
              <w:right w:val="single" w:sz="8" w:space="0" w:color="448A99"/>
            </w:tcBorders>
            <w:shd w:val="clear" w:color="auto" w:fill="auto"/>
            <w:noWrap/>
            <w:vAlign w:val="center"/>
          </w:tcPr>
          <w:p w:rsidR="00DB2DF9" w:rsidRPr="00A81289" w:rsidRDefault="00DB2DF9" w:rsidP="005C1352">
            <w:pPr>
              <w:jc w:val="left"/>
              <w:rPr>
                <w:bCs/>
                <w:color w:val="000000"/>
                <w:sz w:val="20"/>
                <w:szCs w:val="20"/>
              </w:rPr>
            </w:pPr>
            <w:r w:rsidRPr="00FB6015">
              <w:rPr>
                <w:color w:val="000000"/>
                <w:sz w:val="20"/>
                <w:szCs w:val="20"/>
              </w:rPr>
              <w:t>Large C/I Equipment</w:t>
            </w:r>
          </w:p>
        </w:tc>
        <w:tc>
          <w:tcPr>
            <w:tcW w:w="1568" w:type="dxa"/>
            <w:shd w:val="clear" w:color="auto" w:fill="auto"/>
            <w:noWrap/>
            <w:vAlign w:val="center"/>
          </w:tcPr>
          <w:p w:rsidR="00DB2DF9" w:rsidRPr="00A96C4C" w:rsidRDefault="00DB2DF9" w:rsidP="005C1352">
            <w:pPr>
              <w:jc w:val="center"/>
              <w:rPr>
                <w:color w:val="000000"/>
                <w:sz w:val="20"/>
                <w:szCs w:val="20"/>
              </w:rPr>
            </w:pPr>
            <w:r>
              <w:rPr>
                <w:color w:val="000000"/>
                <w:sz w:val="20"/>
                <w:szCs w:val="20"/>
              </w:rPr>
              <w:t>Non-</w:t>
            </w:r>
            <w:r w:rsidR="008F60E1">
              <w:rPr>
                <w:color w:val="000000"/>
                <w:sz w:val="20"/>
                <w:szCs w:val="20"/>
              </w:rPr>
              <w:t>R</w:t>
            </w:r>
            <w:r>
              <w:rPr>
                <w:color w:val="000000"/>
                <w:sz w:val="20"/>
                <w:szCs w:val="20"/>
              </w:rPr>
              <w:t>esidential</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9.15</w:t>
            </w:r>
            <w:r w:rsidRPr="00A96C4C">
              <w:rPr>
                <w:color w:val="000000"/>
                <w:sz w:val="20"/>
                <w:szCs w:val="20"/>
              </w:rPr>
              <w:t>%</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7.90</w:t>
            </w:r>
            <w:r w:rsidRPr="00E764E7">
              <w:rPr>
                <w:color w:val="000000"/>
                <w:sz w:val="20"/>
                <w:szCs w:val="20"/>
              </w:rPr>
              <w:t>%</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7.90</w:t>
            </w:r>
            <w:r w:rsidRPr="00E764E7">
              <w:rPr>
                <w:color w:val="000000"/>
                <w:sz w:val="20"/>
                <w:szCs w:val="20"/>
              </w:rPr>
              <w:t>%</w:t>
            </w:r>
          </w:p>
        </w:tc>
      </w:tr>
      <w:tr w:rsidR="00A874AC" w:rsidRPr="00A96C4C" w:rsidTr="00CC0B37">
        <w:trPr>
          <w:trHeight w:val="346"/>
        </w:trPr>
        <w:tc>
          <w:tcPr>
            <w:tcW w:w="3083" w:type="dxa"/>
            <w:tcBorders>
              <w:top w:val="nil"/>
              <w:left w:val="single" w:sz="8" w:space="0" w:color="448A99"/>
              <w:bottom w:val="single" w:sz="8" w:space="0" w:color="448A99"/>
              <w:right w:val="single" w:sz="8" w:space="0" w:color="448A99"/>
            </w:tcBorders>
            <w:shd w:val="clear" w:color="auto" w:fill="D2EAF1"/>
            <w:vAlign w:val="center"/>
          </w:tcPr>
          <w:p w:rsidR="00DB2DF9" w:rsidRPr="00A81289" w:rsidRDefault="00DB2DF9" w:rsidP="005C1352">
            <w:pPr>
              <w:jc w:val="left"/>
              <w:rPr>
                <w:bCs/>
                <w:color w:val="000000"/>
                <w:sz w:val="20"/>
                <w:szCs w:val="20"/>
              </w:rPr>
            </w:pPr>
            <w:r w:rsidRPr="00FB6015">
              <w:rPr>
                <w:color w:val="000000"/>
                <w:sz w:val="20"/>
                <w:szCs w:val="20"/>
              </w:rPr>
              <w:t>Large C/I Buildings</w:t>
            </w:r>
          </w:p>
        </w:tc>
        <w:tc>
          <w:tcPr>
            <w:tcW w:w="1568" w:type="dxa"/>
            <w:shd w:val="clear" w:color="auto" w:fill="D2EAF1"/>
            <w:noWrap/>
            <w:vAlign w:val="center"/>
          </w:tcPr>
          <w:p w:rsidR="00DB2DF9" w:rsidRPr="00A96C4C" w:rsidRDefault="00DB2DF9" w:rsidP="005C1352">
            <w:pPr>
              <w:jc w:val="center"/>
              <w:rPr>
                <w:color w:val="000000"/>
                <w:sz w:val="20"/>
                <w:szCs w:val="20"/>
              </w:rPr>
            </w:pPr>
            <w:r>
              <w:rPr>
                <w:color w:val="000000"/>
                <w:sz w:val="20"/>
                <w:szCs w:val="20"/>
              </w:rPr>
              <w:t>Non-</w:t>
            </w:r>
            <w:r w:rsidR="008F60E1">
              <w:rPr>
                <w:color w:val="000000"/>
                <w:sz w:val="20"/>
                <w:szCs w:val="20"/>
              </w:rPr>
              <w:t>R</w:t>
            </w:r>
            <w:r>
              <w:rPr>
                <w:color w:val="000000"/>
                <w:sz w:val="20"/>
                <w:szCs w:val="20"/>
              </w:rPr>
              <w:t>esidential</w:t>
            </w:r>
          </w:p>
        </w:tc>
        <w:tc>
          <w:tcPr>
            <w:tcW w:w="1568" w:type="dxa"/>
            <w:shd w:val="clear" w:color="auto" w:fill="D2EAF1"/>
            <w:noWrap/>
            <w:vAlign w:val="center"/>
          </w:tcPr>
          <w:p w:rsidR="00DB2DF9" w:rsidRPr="00450DED" w:rsidRDefault="00DB2DF9" w:rsidP="005C1352">
            <w:pPr>
              <w:jc w:val="center"/>
              <w:rPr>
                <w:color w:val="000000"/>
                <w:sz w:val="20"/>
                <w:szCs w:val="20"/>
              </w:rPr>
            </w:pPr>
            <w:r>
              <w:rPr>
                <w:color w:val="000000"/>
                <w:sz w:val="20"/>
                <w:szCs w:val="20"/>
              </w:rPr>
              <w:t>9.15</w:t>
            </w:r>
            <w:r w:rsidRPr="00A96C4C">
              <w:rPr>
                <w:color w:val="000000"/>
                <w:sz w:val="20"/>
                <w:szCs w:val="20"/>
              </w:rPr>
              <w:t>%</w:t>
            </w:r>
          </w:p>
        </w:tc>
        <w:tc>
          <w:tcPr>
            <w:tcW w:w="1568" w:type="dxa"/>
            <w:shd w:val="clear" w:color="auto" w:fill="D2EAF1"/>
            <w:noWrap/>
            <w:vAlign w:val="center"/>
          </w:tcPr>
          <w:p w:rsidR="00DB2DF9" w:rsidRPr="00450DED" w:rsidRDefault="00DB2DF9" w:rsidP="005C1352">
            <w:pPr>
              <w:jc w:val="center"/>
              <w:rPr>
                <w:color w:val="000000"/>
                <w:sz w:val="20"/>
                <w:szCs w:val="20"/>
              </w:rPr>
            </w:pPr>
            <w:r>
              <w:rPr>
                <w:color w:val="000000"/>
                <w:sz w:val="20"/>
                <w:szCs w:val="20"/>
              </w:rPr>
              <w:t>7.90</w:t>
            </w:r>
            <w:r w:rsidRPr="00E764E7">
              <w:rPr>
                <w:color w:val="000000"/>
                <w:sz w:val="20"/>
                <w:szCs w:val="20"/>
              </w:rPr>
              <w:t>%</w:t>
            </w:r>
          </w:p>
        </w:tc>
        <w:tc>
          <w:tcPr>
            <w:tcW w:w="1568" w:type="dxa"/>
            <w:shd w:val="clear" w:color="auto" w:fill="D2EAF1"/>
            <w:noWrap/>
            <w:vAlign w:val="center"/>
          </w:tcPr>
          <w:p w:rsidR="00DB2DF9" w:rsidRPr="00450DED" w:rsidRDefault="00DB2DF9" w:rsidP="005C1352">
            <w:pPr>
              <w:jc w:val="center"/>
              <w:rPr>
                <w:color w:val="000000"/>
                <w:sz w:val="20"/>
                <w:szCs w:val="20"/>
              </w:rPr>
            </w:pPr>
            <w:r>
              <w:rPr>
                <w:color w:val="000000"/>
                <w:sz w:val="20"/>
                <w:szCs w:val="20"/>
              </w:rPr>
              <w:t>7.90</w:t>
            </w:r>
            <w:r w:rsidRPr="00E764E7">
              <w:rPr>
                <w:color w:val="000000"/>
                <w:sz w:val="20"/>
                <w:szCs w:val="20"/>
              </w:rPr>
              <w:t>%</w:t>
            </w:r>
          </w:p>
        </w:tc>
      </w:tr>
      <w:tr w:rsidR="00E7173E" w:rsidRPr="00A96C4C" w:rsidTr="008F60E1">
        <w:trPr>
          <w:trHeight w:val="346"/>
        </w:trPr>
        <w:tc>
          <w:tcPr>
            <w:tcW w:w="3083" w:type="dxa"/>
            <w:tcBorders>
              <w:top w:val="nil"/>
              <w:left w:val="single" w:sz="8" w:space="0" w:color="448A99"/>
              <w:bottom w:val="single" w:sz="8" w:space="0" w:color="448A99"/>
              <w:right w:val="single" w:sz="8" w:space="0" w:color="448A99"/>
            </w:tcBorders>
            <w:shd w:val="clear" w:color="auto" w:fill="auto"/>
            <w:vAlign w:val="center"/>
          </w:tcPr>
          <w:p w:rsidR="00DB2DF9" w:rsidRPr="00A81289" w:rsidRDefault="00DB2DF9" w:rsidP="005C1352">
            <w:pPr>
              <w:jc w:val="left"/>
              <w:rPr>
                <w:bCs/>
                <w:color w:val="000000"/>
                <w:sz w:val="20"/>
                <w:szCs w:val="20"/>
              </w:rPr>
            </w:pPr>
            <w:r w:rsidRPr="00FB6015">
              <w:rPr>
                <w:color w:val="000000"/>
                <w:sz w:val="20"/>
                <w:szCs w:val="20"/>
              </w:rPr>
              <w:t>Gov./Institutional</w:t>
            </w:r>
          </w:p>
        </w:tc>
        <w:tc>
          <w:tcPr>
            <w:tcW w:w="1568" w:type="dxa"/>
            <w:shd w:val="clear" w:color="auto" w:fill="auto"/>
            <w:noWrap/>
            <w:vAlign w:val="center"/>
          </w:tcPr>
          <w:p w:rsidR="00DB2DF9" w:rsidRPr="00A96C4C" w:rsidRDefault="00DB2DF9" w:rsidP="005C1352">
            <w:pPr>
              <w:jc w:val="center"/>
              <w:rPr>
                <w:color w:val="000000"/>
                <w:sz w:val="20"/>
                <w:szCs w:val="20"/>
              </w:rPr>
            </w:pPr>
            <w:r>
              <w:rPr>
                <w:color w:val="000000"/>
                <w:sz w:val="20"/>
                <w:szCs w:val="20"/>
              </w:rPr>
              <w:t>Non-</w:t>
            </w:r>
            <w:r w:rsidR="008F60E1">
              <w:rPr>
                <w:color w:val="000000"/>
                <w:sz w:val="20"/>
                <w:szCs w:val="20"/>
              </w:rPr>
              <w:t>R</w:t>
            </w:r>
            <w:r>
              <w:rPr>
                <w:color w:val="000000"/>
                <w:sz w:val="20"/>
                <w:szCs w:val="20"/>
              </w:rPr>
              <w:t>esidential</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9.15</w:t>
            </w:r>
            <w:r w:rsidRPr="00A96C4C">
              <w:rPr>
                <w:color w:val="000000"/>
                <w:sz w:val="20"/>
                <w:szCs w:val="20"/>
              </w:rPr>
              <w:t>%</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7.90</w:t>
            </w:r>
            <w:r w:rsidRPr="00E764E7">
              <w:rPr>
                <w:color w:val="000000"/>
                <w:sz w:val="20"/>
                <w:szCs w:val="20"/>
              </w:rPr>
              <w:t>%</w:t>
            </w:r>
          </w:p>
        </w:tc>
        <w:tc>
          <w:tcPr>
            <w:tcW w:w="1568" w:type="dxa"/>
            <w:shd w:val="clear" w:color="auto" w:fill="auto"/>
            <w:noWrap/>
            <w:vAlign w:val="center"/>
          </w:tcPr>
          <w:p w:rsidR="00DB2DF9" w:rsidRPr="00450DED" w:rsidRDefault="00DB2DF9" w:rsidP="005C1352">
            <w:pPr>
              <w:jc w:val="center"/>
              <w:rPr>
                <w:color w:val="000000"/>
                <w:sz w:val="20"/>
                <w:szCs w:val="20"/>
              </w:rPr>
            </w:pPr>
            <w:r>
              <w:rPr>
                <w:color w:val="000000"/>
                <w:sz w:val="20"/>
                <w:szCs w:val="20"/>
              </w:rPr>
              <w:t>7.90</w:t>
            </w:r>
            <w:r w:rsidRPr="00E764E7">
              <w:rPr>
                <w:color w:val="000000"/>
                <w:sz w:val="20"/>
                <w:szCs w:val="20"/>
              </w:rPr>
              <w:t>%</w:t>
            </w:r>
          </w:p>
        </w:tc>
      </w:tr>
    </w:tbl>
    <w:p w:rsidR="00DB2DF9" w:rsidRPr="00DB2DF9" w:rsidRDefault="00DB2DF9" w:rsidP="00DB2DF9"/>
    <w:p w:rsidR="00DB2DF9" w:rsidRDefault="00DB2DF9" w:rsidP="00DB2DF9">
      <w:r>
        <w:t xml:space="preserve">In the residential sector, measure lives were reported on a measure-by-measure basis. The SWE Team spot-checked some of these measure lives and found them to be consistent with the 2015 </w:t>
      </w:r>
      <w:r w:rsidR="00C45E9A">
        <w:t>TRM.</w:t>
      </w:r>
      <w:r>
        <w:t xml:space="preserve"> In the non-residential sector, the TRC model applied an EUL at the stratum level rather than at the measure level. </w:t>
      </w:r>
    </w:p>
    <w:p w:rsidR="00DB2DF9" w:rsidRDefault="00DB2DF9" w:rsidP="00DB2DF9"/>
    <w:p w:rsidR="00DB2DF9" w:rsidRDefault="00DB2DF9" w:rsidP="00DB2DF9">
      <w:r>
        <w:t xml:space="preserve">Similarly, the model assigned incremental costs at the measure level in the residential sector and at the stratum level in the non-residential sector in the model. The residential-sector incremental costs primarily were derived from the SWE incremental cost database, the </w:t>
      </w:r>
      <w:r w:rsidR="00540FD5">
        <w:t>West Penn EE&amp;C p</w:t>
      </w:r>
      <w:r>
        <w:t>lan</w:t>
      </w:r>
      <w:r w:rsidR="00540FD5">
        <w:t>,</w:t>
      </w:r>
      <w:r>
        <w:t xml:space="preserve"> and the project invoices. The sources for non-residential sector incremental costs included the SWE cost database, sampled project invoices, the Database for Energy Efficient Resources (DEER) 2008 incremental cost database, and the EDC EE&amp;C </w:t>
      </w:r>
      <w:r w:rsidR="00540FD5">
        <w:t>p</w:t>
      </w:r>
      <w:r>
        <w:t>lan.  The FirstEnergy TRC model relied on the evaluation samples as a basis for calculating incremental participant costs for non-residential programs. Those sampled values were weighted to apply to the remainder of the program. The SWE Team examined this approach and found it reasonable and appropriate.</w:t>
      </w:r>
    </w:p>
    <w:p w:rsidR="00DB2DF9" w:rsidRDefault="00DB2DF9" w:rsidP="00DB2DF9"/>
    <w:p w:rsidR="00DB2DF9" w:rsidRDefault="00DB2DF9" w:rsidP="00DB2DF9">
      <w:r>
        <w:t>The TRC model drew the energy and demand impacts from the tracking database, which used TRM-specified values and equations to assign ex ante annual savings values to completed measures. The TRC model analysis was based on ex post verified savings, so program impacts were adjusted by an applicable realization rate. Separate realization rates were applied to energy and demand impacts.</w:t>
      </w:r>
    </w:p>
    <w:p w:rsidR="00DB2DF9" w:rsidRDefault="00DB2DF9" w:rsidP="00DB2DF9"/>
    <w:p w:rsidR="00DB2DF9" w:rsidRDefault="00DB2DF9" w:rsidP="00DB2DF9">
      <w:r>
        <w:t>The 2015 TRM specifically instructed EDCs to account for dual baselines with regard to T12 linear fluorescent replacements. The dual baseline adjustment impacts the lifetime energy and demand savings of measures beginning June 1, 2016, but does not impact first-year savings for PY7. EDCs may choose to reflect the dual baselines either by applying savings adjustment factors or by reducing the EUL to adjust life</w:t>
      </w:r>
      <w:r w:rsidR="00540FD5">
        <w:t xml:space="preserve">time savings. In the West Penn </w:t>
      </w:r>
      <w:r>
        <w:t>TRC model, a measure’s lifetime was separated into two parts: the first year, and the remaining lifetime. The removed equipment was treated as the baseline for the first year, with the baseline shifting to the code-required baseline for the remainder of the measure’s life. The model calculated the measure’s lifetime savings as the sum of these two parts.</w:t>
      </w:r>
    </w:p>
    <w:p w:rsidR="00DB2DF9" w:rsidRDefault="00DB2DF9" w:rsidP="00DB2DF9"/>
    <w:p w:rsidR="00CC0B37" w:rsidRDefault="00CC0B37" w:rsidP="00DB2DF9"/>
    <w:p w:rsidR="00CC0B37" w:rsidRDefault="00CC0B37" w:rsidP="00DB2DF9"/>
    <w:p w:rsidR="00CC0B37" w:rsidRPr="00DB2DF9" w:rsidRDefault="00CC0B37" w:rsidP="00DB2DF9"/>
    <w:p w:rsidR="00DB2DF9" w:rsidRDefault="00DB2DF9" w:rsidP="00DB2DF9">
      <w:pPr>
        <w:pStyle w:val="AppendixAHeading3"/>
      </w:pPr>
      <w:r>
        <w:t>Avoided Cost of Capacity</w:t>
      </w:r>
    </w:p>
    <w:p w:rsidR="00DB2DF9" w:rsidRDefault="00DB2DF9" w:rsidP="00DB2DF9">
      <w:r w:rsidRPr="00DB2DF9">
        <w:lastRenderedPageBreak/>
        <w:t xml:space="preserve">Consistent with prior Phase II program years, the PY7 </w:t>
      </w:r>
      <w:r w:rsidR="00E6042C">
        <w:t>FirstEnergy</w:t>
      </w:r>
      <w:r w:rsidRPr="00DB2DF9">
        <w:t xml:space="preserve"> TRC Models use the Phase II approved avoided costs of energy and capacity.  The PY7 models were updated to select the appropriate PY7 stream of avoided costs.</w:t>
      </w:r>
    </w:p>
    <w:p w:rsidR="00DB2DF9" w:rsidRPr="00DB2DF9" w:rsidRDefault="00DB2DF9" w:rsidP="00DB2DF9">
      <w:r w:rsidRPr="00DB2DF9">
        <w:t xml:space="preserve">  </w:t>
      </w:r>
    </w:p>
    <w:p w:rsidR="00950837" w:rsidRDefault="00950837" w:rsidP="00D34B3E">
      <w:pPr>
        <w:pStyle w:val="AppendixAHeading3"/>
      </w:pPr>
      <w:r>
        <w:t>Conclusions and Recommendations</w:t>
      </w:r>
    </w:p>
    <w:p w:rsidR="00DB2DF9" w:rsidRDefault="00DB2DF9" w:rsidP="00DB2DF9">
      <w:r w:rsidRPr="00DB2DF9">
        <w:t>The FirstEnergy TRC model is performing all of the B/C calculations in accordance with the 2013 TRC Order. The SWE Team review of the West Penn TRC model found no calculation errors and believes the PY7 TRC benefits, costs, and ratios to be reasonable and accurate.</w:t>
      </w:r>
    </w:p>
    <w:p w:rsidR="00DB2DF9" w:rsidRPr="00DB2DF9" w:rsidRDefault="00DB2DF9" w:rsidP="00DB2DF9"/>
    <w:p w:rsidR="00950837" w:rsidRDefault="00950837" w:rsidP="0043541C">
      <w:pPr>
        <w:pStyle w:val="AppendixAHeading2"/>
      </w:pPr>
      <w:r>
        <w:t>Status of Evaluation Activities</w:t>
      </w:r>
    </w:p>
    <w:p w:rsidR="001B5BFF" w:rsidRPr="001B5BFF" w:rsidRDefault="001B5BFF" w:rsidP="001B5BFF">
      <w:r w:rsidRPr="001B5BFF">
        <w:t>This section discusses the status of West Penn’s EM&amp;V plans, M&amp;V activities and findings, and process evaluation activities and findings.</w:t>
      </w:r>
    </w:p>
    <w:p w:rsidR="001B5BFF" w:rsidRPr="001B5BFF" w:rsidRDefault="001B5BFF" w:rsidP="001B5BFF"/>
    <w:p w:rsidR="009847AC" w:rsidRDefault="00950837" w:rsidP="00D34B3E">
      <w:pPr>
        <w:pStyle w:val="AppendixAHeading3"/>
      </w:pPr>
      <w:r>
        <w:t>Status of Evaluation, Mea</w:t>
      </w:r>
      <w:r w:rsidR="009847AC">
        <w:t>surement</w:t>
      </w:r>
      <w:r w:rsidR="00540FD5">
        <w:t>,</w:t>
      </w:r>
      <w:r w:rsidR="009847AC">
        <w:t xml:space="preserve"> and Verification Plans</w:t>
      </w:r>
    </w:p>
    <w:p w:rsidR="00496A99" w:rsidRPr="009472F6" w:rsidRDefault="00496A99" w:rsidP="00496A99">
      <w:pPr>
        <w:pStyle w:val="bullettext"/>
      </w:pPr>
      <w:r w:rsidRPr="009472F6">
        <w:t xml:space="preserve">The standardization of evaluation protocols across EDCs was outlined in the Phase II Evaluation Framework in order to create consistency in evaluation practices across EDCs. The SWE Evaluation Framework that was applicable for PY6 evaluation plans was the </w:t>
      </w:r>
      <w:r>
        <w:t>f</w:t>
      </w:r>
      <w:r w:rsidRPr="009472F6">
        <w:t xml:space="preserve">ramework finalized and published on June 28, 2013. This </w:t>
      </w:r>
      <w:r>
        <w:t>f</w:t>
      </w:r>
      <w:r w:rsidRPr="009472F6">
        <w:t xml:space="preserve">ramework required each EDC to complete an initial evaluation plan for each program in </w:t>
      </w:r>
      <w:r>
        <w:t>its</w:t>
      </w:r>
      <w:r w:rsidRPr="009472F6">
        <w:t xml:space="preserve"> portfolio</w:t>
      </w:r>
      <w:r>
        <w:t>,</w:t>
      </w:r>
      <w:r w:rsidRPr="009472F6">
        <w:t xml:space="preserve"> addressing the following objectives:</w:t>
      </w:r>
    </w:p>
    <w:p w:rsidR="00496A99" w:rsidRPr="008A5E9E" w:rsidRDefault="00496A99" w:rsidP="00E646C9">
      <w:pPr>
        <w:numPr>
          <w:ilvl w:val="0"/>
          <w:numId w:val="83"/>
        </w:numPr>
        <w:spacing w:after="200" w:line="276" w:lineRule="auto"/>
        <w:ind w:left="360"/>
        <w:contextualSpacing/>
        <w:rPr>
          <w:color w:val="000000"/>
          <w:szCs w:val="20"/>
        </w:rPr>
      </w:pPr>
      <w:r w:rsidRPr="008A5E9E">
        <w:rPr>
          <w:color w:val="000000"/>
          <w:szCs w:val="20"/>
        </w:rPr>
        <w:t>Outline gross impact evaluation methodology</w:t>
      </w:r>
    </w:p>
    <w:p w:rsidR="00496A99" w:rsidRPr="008A5E9E" w:rsidRDefault="00496A99" w:rsidP="00E646C9">
      <w:pPr>
        <w:numPr>
          <w:ilvl w:val="0"/>
          <w:numId w:val="83"/>
        </w:numPr>
        <w:spacing w:after="200" w:line="276" w:lineRule="auto"/>
        <w:ind w:left="360"/>
        <w:contextualSpacing/>
        <w:rPr>
          <w:color w:val="000000"/>
          <w:szCs w:val="20"/>
        </w:rPr>
      </w:pPr>
      <w:r w:rsidRPr="008A5E9E">
        <w:rPr>
          <w:color w:val="000000"/>
          <w:szCs w:val="20"/>
        </w:rPr>
        <w:t>Outline NTG analysis methodology</w:t>
      </w:r>
    </w:p>
    <w:p w:rsidR="00496A99" w:rsidRPr="008A5E9E" w:rsidRDefault="00496A99" w:rsidP="00E646C9">
      <w:pPr>
        <w:numPr>
          <w:ilvl w:val="0"/>
          <w:numId w:val="83"/>
        </w:numPr>
        <w:spacing w:after="200" w:line="276" w:lineRule="auto"/>
        <w:ind w:left="360"/>
        <w:contextualSpacing/>
        <w:rPr>
          <w:color w:val="000000"/>
          <w:szCs w:val="20"/>
        </w:rPr>
      </w:pPr>
      <w:r w:rsidRPr="008A5E9E">
        <w:rPr>
          <w:color w:val="000000"/>
          <w:szCs w:val="20"/>
        </w:rPr>
        <w:t>Outline process evaluation methodology</w:t>
      </w:r>
    </w:p>
    <w:p w:rsidR="00496A99" w:rsidRPr="008A5E9E" w:rsidRDefault="00496A99" w:rsidP="00E646C9">
      <w:pPr>
        <w:numPr>
          <w:ilvl w:val="0"/>
          <w:numId w:val="83"/>
        </w:numPr>
        <w:spacing w:after="200" w:line="276" w:lineRule="auto"/>
        <w:ind w:left="360"/>
        <w:contextualSpacing/>
        <w:rPr>
          <w:color w:val="000000"/>
          <w:szCs w:val="20"/>
        </w:rPr>
      </w:pPr>
      <w:r w:rsidRPr="008A5E9E">
        <w:rPr>
          <w:color w:val="000000"/>
          <w:szCs w:val="20"/>
        </w:rPr>
        <w:t>Outline cost-effectiveness evaluation methodology</w:t>
      </w:r>
    </w:p>
    <w:p w:rsidR="00496A99" w:rsidRPr="008A5E9E" w:rsidRDefault="00496A99" w:rsidP="00E646C9">
      <w:pPr>
        <w:numPr>
          <w:ilvl w:val="0"/>
          <w:numId w:val="83"/>
        </w:numPr>
        <w:spacing w:after="200" w:line="276" w:lineRule="auto"/>
        <w:ind w:left="360"/>
        <w:contextualSpacing/>
        <w:rPr>
          <w:color w:val="000000"/>
          <w:szCs w:val="20"/>
        </w:rPr>
      </w:pPr>
      <w:r w:rsidRPr="008A5E9E">
        <w:rPr>
          <w:color w:val="000000"/>
          <w:szCs w:val="20"/>
        </w:rPr>
        <w:t>Propose a time</w:t>
      </w:r>
      <w:r>
        <w:rPr>
          <w:color w:val="000000"/>
          <w:szCs w:val="20"/>
        </w:rPr>
        <w:t xml:space="preserve"> </w:t>
      </w:r>
      <w:r w:rsidRPr="008A5E9E">
        <w:rPr>
          <w:color w:val="000000"/>
          <w:szCs w:val="20"/>
        </w:rPr>
        <w:t>line of evaluation activities</w:t>
      </w:r>
    </w:p>
    <w:p w:rsidR="00496A99" w:rsidRPr="008A5E9E" w:rsidRDefault="00496A99" w:rsidP="00E646C9">
      <w:pPr>
        <w:numPr>
          <w:ilvl w:val="0"/>
          <w:numId w:val="83"/>
        </w:numPr>
        <w:ind w:left="360"/>
        <w:rPr>
          <w:color w:val="000000"/>
          <w:szCs w:val="20"/>
        </w:rPr>
      </w:pPr>
      <w:r w:rsidRPr="008A5E9E">
        <w:rPr>
          <w:color w:val="000000"/>
          <w:szCs w:val="20"/>
        </w:rPr>
        <w:t>Establish key program contacts</w:t>
      </w:r>
    </w:p>
    <w:p w:rsidR="00496A99" w:rsidRPr="00401F84" w:rsidRDefault="00496A99" w:rsidP="00496A99"/>
    <w:p w:rsidR="00496A99" w:rsidRDefault="00496A99" w:rsidP="00496A99">
      <w:r w:rsidRPr="009472F6">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DD3B6D" w:rsidRDefault="00DD3B6D" w:rsidP="00496A99"/>
    <w:p w:rsidR="00DD3B6D" w:rsidRPr="00FB6015" w:rsidRDefault="00791B40" w:rsidP="00DD3B6D">
      <w:r>
        <w:fldChar w:fldCharType="begin"/>
      </w:r>
      <w:r>
        <w:instrText xml:space="preserve"> REF _Ref472359416 \h </w:instrText>
      </w:r>
      <w:r>
        <w:fldChar w:fldCharType="separate"/>
      </w:r>
      <w:r w:rsidR="00A874AC" w:rsidRPr="00791B40">
        <w:t>Table A-</w:t>
      </w:r>
      <w:r w:rsidR="00A874AC">
        <w:rPr>
          <w:noProof/>
        </w:rPr>
        <w:t>90</w:t>
      </w:r>
      <w:r>
        <w:fldChar w:fldCharType="end"/>
      </w:r>
      <w:r w:rsidR="00DD3B6D" w:rsidRPr="006A0F2F">
        <w:t xml:space="preserve"> </w:t>
      </w:r>
      <w:r w:rsidR="00DD3B6D" w:rsidRPr="008A5E9E">
        <w:rPr>
          <w:color w:val="000000"/>
        </w:rPr>
        <w:t>displays key milestones completed</w:t>
      </w:r>
      <w:r w:rsidR="00DD3B6D">
        <w:rPr>
          <w:color w:val="000000"/>
        </w:rPr>
        <w:t xml:space="preserve"> </w:t>
      </w:r>
      <w:r w:rsidR="00DD3B6D" w:rsidRPr="009472F6">
        <w:t xml:space="preserve">by </w:t>
      </w:r>
      <w:r w:rsidR="00DD3B6D">
        <w:t>FirstEnergy</w:t>
      </w:r>
      <w:r w:rsidR="00DD3B6D" w:rsidRPr="009472F6">
        <w:t xml:space="preserve"> and the SWE</w:t>
      </w:r>
      <w:r w:rsidR="00DD3B6D">
        <w:t xml:space="preserve"> </w:t>
      </w:r>
      <w:r w:rsidR="00DD3B6D">
        <w:rPr>
          <w:color w:val="000000"/>
        </w:rPr>
        <w:t>for FirstEnergy’s Phase II EM&amp;V Plan</w:t>
      </w:r>
      <w:r w:rsidR="00DD3B6D" w:rsidRPr="008A5E9E">
        <w:rPr>
          <w:color w:val="000000"/>
        </w:rPr>
        <w:t>.</w:t>
      </w:r>
      <w:r w:rsidR="00DD3B6D" w:rsidRPr="0053259F">
        <w:t xml:space="preserve"> </w:t>
      </w:r>
      <w:r w:rsidR="00DD3B6D" w:rsidRPr="00A145B8">
        <w:t xml:space="preserve">FirstEnergy </w:t>
      </w:r>
      <w:r w:rsidR="00DD3B6D">
        <w:t>EDCs</w:t>
      </w:r>
      <w:r w:rsidR="00DD3B6D" w:rsidRPr="00A145B8">
        <w:t xml:space="preserve"> submitted, and the SWE Team approved, only one EM&amp;V Plan across all four FirstEnergy EDCs.</w:t>
      </w:r>
    </w:p>
    <w:p w:rsidR="00DD3B6D" w:rsidRDefault="00DD3B6D" w:rsidP="00DD3B6D"/>
    <w:p w:rsidR="00CC0B37" w:rsidRDefault="00CC0B37" w:rsidP="00DD3B6D"/>
    <w:p w:rsidR="00CC0B37" w:rsidRDefault="00CC0B37" w:rsidP="00DD3B6D"/>
    <w:p w:rsidR="00CC0B37" w:rsidRDefault="00CC0B37" w:rsidP="00DD3B6D"/>
    <w:p w:rsidR="00CC0B37" w:rsidRDefault="00CC0B37" w:rsidP="00DD3B6D"/>
    <w:p w:rsidR="00CC0B37" w:rsidRDefault="00CC0B37" w:rsidP="00DD3B6D"/>
    <w:p w:rsidR="00CC0B37" w:rsidRPr="00FB6015" w:rsidRDefault="00CC0B37" w:rsidP="00DD3B6D"/>
    <w:p w:rsidR="00DD3B6D" w:rsidRPr="00791B40" w:rsidRDefault="00791B40" w:rsidP="00791B40">
      <w:pPr>
        <w:pStyle w:val="Caption"/>
      </w:pPr>
      <w:bookmarkStart w:id="1011" w:name="_Ref472359416"/>
      <w:bookmarkStart w:id="1012" w:name="_Toc472472499"/>
      <w:bookmarkStart w:id="1013" w:name="_Toc476842205"/>
      <w:r w:rsidRPr="00791B40">
        <w:t>Table A-</w:t>
      </w:r>
      <w:fldSimple w:instr=" SEQ Table_A- \* ARABIC ">
        <w:r w:rsidR="00C301D0">
          <w:rPr>
            <w:noProof/>
          </w:rPr>
          <w:t>90</w:t>
        </w:r>
      </w:fldSimple>
      <w:bookmarkEnd w:id="1011"/>
      <w:r w:rsidRPr="00791B40">
        <w:t xml:space="preserve">: </w:t>
      </w:r>
      <w:r w:rsidR="00DD3B6D" w:rsidRPr="00791B40">
        <w:t>Key Milestones Reached for West Penn’s Phase II EM&amp;V Plan</w:t>
      </w:r>
      <w:bookmarkEnd w:id="1012"/>
      <w:bookmarkEnd w:id="1013"/>
    </w:p>
    <w:tbl>
      <w:tblPr>
        <w:tblW w:w="9355" w:type="dxa"/>
        <w:jc w:val="center"/>
        <w:tblLayout w:type="fixed"/>
        <w:tblLook w:val="04A0" w:firstRow="1" w:lastRow="0" w:firstColumn="1" w:lastColumn="0" w:noHBand="0" w:noVBand="1"/>
      </w:tblPr>
      <w:tblGrid>
        <w:gridCol w:w="1975"/>
        <w:gridCol w:w="7380"/>
      </w:tblGrid>
      <w:tr w:rsidR="00E7173E" w:rsidRPr="00FE0103" w:rsidTr="008F60E1">
        <w:trPr>
          <w:cantSplit/>
          <w:trHeight w:val="197"/>
          <w:tblHeader/>
          <w:jc w:val="center"/>
        </w:trPr>
        <w:tc>
          <w:tcPr>
            <w:tcW w:w="1975"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DD3B6D" w:rsidRPr="00FE0103" w:rsidRDefault="00DD3B6D" w:rsidP="008C2D5E">
            <w:pPr>
              <w:jc w:val="left"/>
              <w:rPr>
                <w:b/>
                <w:bCs/>
                <w:color w:val="FFFFFF"/>
                <w:sz w:val="20"/>
                <w:szCs w:val="20"/>
              </w:rPr>
            </w:pPr>
            <w:r w:rsidRPr="00FE0103">
              <w:rPr>
                <w:b/>
                <w:bCs/>
                <w:color w:val="FFFFFF"/>
                <w:sz w:val="20"/>
                <w:szCs w:val="20"/>
              </w:rPr>
              <w:lastRenderedPageBreak/>
              <w:t>Date</w:t>
            </w:r>
          </w:p>
        </w:tc>
        <w:tc>
          <w:tcPr>
            <w:tcW w:w="7380" w:type="dxa"/>
            <w:tcBorders>
              <w:top w:val="single" w:sz="4" w:space="0" w:color="448A99"/>
              <w:left w:val="nil"/>
              <w:bottom w:val="single" w:sz="4" w:space="0" w:color="448A99"/>
              <w:right w:val="single" w:sz="4" w:space="0" w:color="448A99"/>
            </w:tcBorders>
            <w:shd w:val="clear" w:color="000000" w:fill="448A99"/>
            <w:vAlign w:val="bottom"/>
          </w:tcPr>
          <w:p w:rsidR="00DD3B6D" w:rsidRPr="00FE0103" w:rsidRDefault="00DD3B6D" w:rsidP="008C2D5E">
            <w:pPr>
              <w:jc w:val="left"/>
              <w:rPr>
                <w:b/>
                <w:bCs/>
                <w:color w:val="FFFFFF"/>
                <w:sz w:val="20"/>
                <w:szCs w:val="20"/>
              </w:rPr>
            </w:pPr>
            <w:r w:rsidRPr="00FE0103">
              <w:rPr>
                <w:b/>
                <w:bCs/>
                <w:color w:val="FFFFFF"/>
                <w:sz w:val="20"/>
                <w:szCs w:val="20"/>
              </w:rPr>
              <w:t>Event</w:t>
            </w:r>
          </w:p>
        </w:tc>
      </w:tr>
      <w:tr w:rsidR="00E7173E" w:rsidRPr="00FE0103" w:rsidTr="008F60E1">
        <w:trPr>
          <w:trHeight w:val="576"/>
          <w:jc w:val="center"/>
        </w:trPr>
        <w:tc>
          <w:tcPr>
            <w:tcW w:w="1975" w:type="dxa"/>
            <w:tcBorders>
              <w:top w:val="nil"/>
              <w:left w:val="single" w:sz="4" w:space="0" w:color="448A99"/>
              <w:bottom w:val="single" w:sz="4" w:space="0" w:color="448A99"/>
              <w:right w:val="single" w:sz="4" w:space="0" w:color="448A99"/>
            </w:tcBorders>
            <w:shd w:val="clear" w:color="auto" w:fill="D2EAF1"/>
            <w:vAlign w:val="center"/>
          </w:tcPr>
          <w:p w:rsidR="00DD3B6D" w:rsidRPr="00FE0103" w:rsidRDefault="00DD3B6D" w:rsidP="008C2D5E">
            <w:pPr>
              <w:jc w:val="left"/>
              <w:rPr>
                <w:bCs/>
                <w:color w:val="000000"/>
                <w:sz w:val="20"/>
                <w:szCs w:val="20"/>
              </w:rPr>
            </w:pPr>
            <w:r w:rsidRPr="00FE0103">
              <w:rPr>
                <w:sz w:val="20"/>
                <w:szCs w:val="20"/>
              </w:rPr>
              <w:t>September 19, 2013</w:t>
            </w:r>
          </w:p>
        </w:tc>
        <w:tc>
          <w:tcPr>
            <w:tcW w:w="7380" w:type="dxa"/>
            <w:tcBorders>
              <w:top w:val="nil"/>
              <w:left w:val="nil"/>
              <w:bottom w:val="single" w:sz="4" w:space="0" w:color="448A99"/>
              <w:right w:val="single" w:sz="4" w:space="0" w:color="448A99"/>
            </w:tcBorders>
            <w:shd w:val="clear" w:color="auto" w:fill="D2EAF1"/>
            <w:vAlign w:val="center"/>
          </w:tcPr>
          <w:p w:rsidR="00DD3B6D" w:rsidRPr="00FE0103" w:rsidRDefault="00DD3B6D" w:rsidP="008C2D5E">
            <w:pPr>
              <w:jc w:val="left"/>
              <w:rPr>
                <w:color w:val="000000"/>
                <w:sz w:val="20"/>
                <w:szCs w:val="20"/>
              </w:rPr>
            </w:pPr>
            <w:r w:rsidRPr="00FE0103">
              <w:rPr>
                <w:sz w:val="20"/>
                <w:szCs w:val="20"/>
              </w:rPr>
              <w:t xml:space="preserve">FirstEnergy </w:t>
            </w:r>
            <w:r>
              <w:rPr>
                <w:sz w:val="20"/>
                <w:szCs w:val="20"/>
              </w:rPr>
              <w:t xml:space="preserve">EDCs </w:t>
            </w:r>
            <w:r w:rsidRPr="00FE0103">
              <w:rPr>
                <w:sz w:val="20"/>
                <w:szCs w:val="20"/>
              </w:rPr>
              <w:t>submit first draft of Phase II evaluation plan to the PUC and SWE</w:t>
            </w:r>
          </w:p>
        </w:tc>
      </w:tr>
      <w:tr w:rsidR="00E7173E" w:rsidRPr="00FE0103" w:rsidTr="008F60E1">
        <w:trPr>
          <w:trHeight w:val="576"/>
          <w:jc w:val="center"/>
        </w:trPr>
        <w:tc>
          <w:tcPr>
            <w:tcW w:w="1975" w:type="dxa"/>
            <w:tcBorders>
              <w:top w:val="nil"/>
              <w:left w:val="single" w:sz="4" w:space="0" w:color="448A99"/>
              <w:bottom w:val="single" w:sz="4" w:space="0" w:color="448A99"/>
              <w:right w:val="single" w:sz="4" w:space="0" w:color="448A99"/>
            </w:tcBorders>
            <w:shd w:val="clear" w:color="auto" w:fill="auto"/>
            <w:vAlign w:val="center"/>
          </w:tcPr>
          <w:p w:rsidR="00DD3B6D" w:rsidRPr="00FE0103" w:rsidRDefault="00DD3B6D" w:rsidP="008C2D5E">
            <w:pPr>
              <w:jc w:val="left"/>
              <w:rPr>
                <w:bCs/>
                <w:color w:val="000000"/>
                <w:sz w:val="20"/>
                <w:szCs w:val="20"/>
                <w:lang w:eastAsia="zh-CN"/>
              </w:rPr>
            </w:pPr>
            <w:r w:rsidRPr="00FE0103">
              <w:rPr>
                <w:sz w:val="20"/>
                <w:szCs w:val="20"/>
              </w:rPr>
              <w:t>October 15, 2013</w:t>
            </w:r>
          </w:p>
        </w:tc>
        <w:tc>
          <w:tcPr>
            <w:tcW w:w="7380" w:type="dxa"/>
            <w:tcBorders>
              <w:top w:val="nil"/>
              <w:left w:val="nil"/>
              <w:bottom w:val="single" w:sz="4" w:space="0" w:color="448A99"/>
              <w:right w:val="single" w:sz="4" w:space="0" w:color="448A99"/>
            </w:tcBorders>
            <w:shd w:val="clear" w:color="auto" w:fill="auto"/>
            <w:vAlign w:val="center"/>
          </w:tcPr>
          <w:p w:rsidR="00DD3B6D" w:rsidRPr="00FE0103" w:rsidRDefault="00DD3B6D" w:rsidP="008C2D5E">
            <w:pPr>
              <w:jc w:val="left"/>
              <w:rPr>
                <w:color w:val="000000"/>
                <w:sz w:val="20"/>
                <w:szCs w:val="20"/>
              </w:rPr>
            </w:pPr>
            <w:r w:rsidRPr="00FE0103">
              <w:rPr>
                <w:sz w:val="20"/>
                <w:szCs w:val="20"/>
              </w:rPr>
              <w:t>SWE returns comments on the FirstEnergy evaluation plan to F</w:t>
            </w:r>
            <w:r>
              <w:rPr>
                <w:sz w:val="20"/>
                <w:szCs w:val="20"/>
              </w:rPr>
              <w:t>irst</w:t>
            </w:r>
            <w:r w:rsidRPr="00FE0103">
              <w:rPr>
                <w:sz w:val="20"/>
                <w:szCs w:val="20"/>
              </w:rPr>
              <w:t>E</w:t>
            </w:r>
            <w:r>
              <w:rPr>
                <w:sz w:val="20"/>
                <w:szCs w:val="20"/>
              </w:rPr>
              <w:t>nergy</w:t>
            </w:r>
          </w:p>
        </w:tc>
      </w:tr>
      <w:tr w:rsidR="00E7173E" w:rsidRPr="00FE0103" w:rsidTr="008F60E1">
        <w:trPr>
          <w:trHeight w:val="576"/>
          <w:jc w:val="center"/>
        </w:trPr>
        <w:tc>
          <w:tcPr>
            <w:tcW w:w="1975" w:type="dxa"/>
            <w:tcBorders>
              <w:top w:val="nil"/>
              <w:left w:val="single" w:sz="4" w:space="0" w:color="448A99"/>
              <w:bottom w:val="single" w:sz="4" w:space="0" w:color="448A99"/>
              <w:right w:val="single" w:sz="4" w:space="0" w:color="448A99"/>
            </w:tcBorders>
            <w:shd w:val="clear" w:color="auto" w:fill="D2EAF1"/>
            <w:vAlign w:val="center"/>
          </w:tcPr>
          <w:p w:rsidR="00DD3B6D" w:rsidRPr="00FE0103" w:rsidRDefault="00DD3B6D" w:rsidP="008C2D5E">
            <w:pPr>
              <w:jc w:val="left"/>
              <w:rPr>
                <w:bCs/>
                <w:color w:val="000000"/>
                <w:sz w:val="20"/>
                <w:szCs w:val="20"/>
                <w:lang w:eastAsia="zh-CN"/>
              </w:rPr>
            </w:pPr>
            <w:r w:rsidRPr="00FE0103">
              <w:rPr>
                <w:sz w:val="20"/>
                <w:szCs w:val="20"/>
              </w:rPr>
              <w:t>November 13, 2013</w:t>
            </w:r>
          </w:p>
        </w:tc>
        <w:tc>
          <w:tcPr>
            <w:tcW w:w="7380" w:type="dxa"/>
            <w:tcBorders>
              <w:top w:val="nil"/>
              <w:left w:val="nil"/>
              <w:bottom w:val="single" w:sz="4" w:space="0" w:color="448A99"/>
              <w:right w:val="single" w:sz="4" w:space="0" w:color="448A99"/>
            </w:tcBorders>
            <w:shd w:val="clear" w:color="auto" w:fill="D2EAF1"/>
            <w:vAlign w:val="center"/>
          </w:tcPr>
          <w:p w:rsidR="00DD3B6D" w:rsidRPr="00FE0103" w:rsidRDefault="00DD3B6D" w:rsidP="008C2D5E">
            <w:pPr>
              <w:jc w:val="left"/>
              <w:rPr>
                <w:color w:val="000000"/>
                <w:sz w:val="20"/>
                <w:szCs w:val="20"/>
              </w:rPr>
            </w:pPr>
            <w:r w:rsidRPr="00FE0103">
              <w:rPr>
                <w:sz w:val="20"/>
                <w:szCs w:val="20"/>
              </w:rPr>
              <w:t>SWE sends a list of “items that be must addressed” to FirstEnergy</w:t>
            </w:r>
            <w:r>
              <w:rPr>
                <w:sz w:val="20"/>
                <w:szCs w:val="20"/>
              </w:rPr>
              <w:t xml:space="preserve"> EDCs</w:t>
            </w:r>
          </w:p>
        </w:tc>
      </w:tr>
      <w:tr w:rsidR="00E7173E" w:rsidRPr="00FE0103" w:rsidTr="008F60E1">
        <w:trPr>
          <w:trHeight w:val="576"/>
          <w:jc w:val="center"/>
        </w:trPr>
        <w:tc>
          <w:tcPr>
            <w:tcW w:w="1975" w:type="dxa"/>
            <w:tcBorders>
              <w:top w:val="nil"/>
              <w:left w:val="single" w:sz="4" w:space="0" w:color="448A99"/>
              <w:bottom w:val="single" w:sz="4" w:space="0" w:color="448A99"/>
              <w:right w:val="single" w:sz="4" w:space="0" w:color="448A99"/>
            </w:tcBorders>
            <w:shd w:val="clear" w:color="auto" w:fill="auto"/>
            <w:vAlign w:val="center"/>
          </w:tcPr>
          <w:p w:rsidR="00DD3B6D" w:rsidRPr="00FE0103" w:rsidRDefault="00DD3B6D" w:rsidP="008C2D5E">
            <w:pPr>
              <w:jc w:val="left"/>
              <w:rPr>
                <w:bCs/>
                <w:color w:val="000000"/>
                <w:sz w:val="20"/>
                <w:szCs w:val="20"/>
                <w:lang w:eastAsia="zh-CN"/>
              </w:rPr>
            </w:pPr>
            <w:r w:rsidRPr="00FE0103">
              <w:rPr>
                <w:sz w:val="20"/>
                <w:szCs w:val="20"/>
              </w:rPr>
              <w:t>February 19, 2014</w:t>
            </w:r>
          </w:p>
        </w:tc>
        <w:tc>
          <w:tcPr>
            <w:tcW w:w="7380" w:type="dxa"/>
            <w:tcBorders>
              <w:top w:val="nil"/>
              <w:left w:val="nil"/>
              <w:bottom w:val="single" w:sz="4" w:space="0" w:color="448A99"/>
              <w:right w:val="single" w:sz="4" w:space="0" w:color="448A99"/>
            </w:tcBorders>
            <w:shd w:val="clear" w:color="auto" w:fill="auto"/>
            <w:vAlign w:val="center"/>
          </w:tcPr>
          <w:p w:rsidR="00DD3B6D" w:rsidRPr="00FE0103" w:rsidRDefault="00DD3B6D" w:rsidP="008C2D5E">
            <w:pPr>
              <w:jc w:val="left"/>
              <w:rPr>
                <w:color w:val="000000"/>
                <w:sz w:val="20"/>
                <w:szCs w:val="20"/>
              </w:rPr>
            </w:pPr>
            <w:r w:rsidRPr="00FE0103">
              <w:rPr>
                <w:sz w:val="20"/>
                <w:szCs w:val="20"/>
              </w:rPr>
              <w:t xml:space="preserve">FirstEnergy </w:t>
            </w:r>
            <w:r>
              <w:rPr>
                <w:sz w:val="20"/>
                <w:szCs w:val="20"/>
              </w:rPr>
              <w:t xml:space="preserve">EDCs </w:t>
            </w:r>
            <w:r w:rsidRPr="00FE0103">
              <w:rPr>
                <w:sz w:val="20"/>
                <w:szCs w:val="20"/>
              </w:rPr>
              <w:t>submit revised Phase II evaluation plan to the PUC and SWE</w:t>
            </w:r>
          </w:p>
        </w:tc>
      </w:tr>
      <w:tr w:rsidR="00E7173E" w:rsidRPr="00FE0103" w:rsidTr="008F60E1">
        <w:trPr>
          <w:trHeight w:val="576"/>
          <w:jc w:val="center"/>
        </w:trPr>
        <w:tc>
          <w:tcPr>
            <w:tcW w:w="1975" w:type="dxa"/>
            <w:tcBorders>
              <w:top w:val="nil"/>
              <w:left w:val="single" w:sz="4" w:space="0" w:color="448A99"/>
              <w:bottom w:val="single" w:sz="8" w:space="0" w:color="448A99"/>
              <w:right w:val="single" w:sz="4" w:space="0" w:color="448A99"/>
            </w:tcBorders>
            <w:shd w:val="clear" w:color="auto" w:fill="D2EAF1"/>
            <w:vAlign w:val="center"/>
          </w:tcPr>
          <w:p w:rsidR="00DD3B6D" w:rsidRPr="00FE0103" w:rsidRDefault="00DD3B6D" w:rsidP="008C2D5E">
            <w:pPr>
              <w:jc w:val="left"/>
              <w:rPr>
                <w:bCs/>
                <w:color w:val="000000"/>
                <w:sz w:val="20"/>
                <w:szCs w:val="20"/>
              </w:rPr>
            </w:pPr>
            <w:r w:rsidRPr="00FE0103">
              <w:rPr>
                <w:sz w:val="20"/>
                <w:szCs w:val="20"/>
              </w:rPr>
              <w:t>June 1, 2014</w:t>
            </w:r>
          </w:p>
        </w:tc>
        <w:tc>
          <w:tcPr>
            <w:tcW w:w="7380" w:type="dxa"/>
            <w:tcBorders>
              <w:top w:val="nil"/>
              <w:left w:val="nil"/>
              <w:bottom w:val="single" w:sz="8" w:space="0" w:color="448A99"/>
              <w:right w:val="single" w:sz="4" w:space="0" w:color="448A99"/>
            </w:tcBorders>
            <w:shd w:val="clear" w:color="auto" w:fill="D2EAF1"/>
            <w:vAlign w:val="center"/>
          </w:tcPr>
          <w:p w:rsidR="00DD3B6D" w:rsidRPr="00FE0103" w:rsidRDefault="00DD3B6D" w:rsidP="008C2D5E">
            <w:pPr>
              <w:jc w:val="left"/>
              <w:rPr>
                <w:color w:val="000000"/>
                <w:sz w:val="20"/>
                <w:szCs w:val="20"/>
              </w:rPr>
            </w:pPr>
            <w:r w:rsidRPr="00FE0103">
              <w:rPr>
                <w:sz w:val="20"/>
                <w:szCs w:val="20"/>
              </w:rPr>
              <w:t>PY6 starts</w:t>
            </w:r>
          </w:p>
        </w:tc>
      </w:tr>
      <w:tr w:rsidR="00E7173E" w:rsidRPr="00FE0103" w:rsidTr="008F60E1">
        <w:trPr>
          <w:trHeight w:val="576"/>
          <w:jc w:val="center"/>
        </w:trPr>
        <w:tc>
          <w:tcPr>
            <w:tcW w:w="1975" w:type="dxa"/>
            <w:tcBorders>
              <w:top w:val="single" w:sz="8" w:space="0" w:color="448A99"/>
              <w:left w:val="single" w:sz="4" w:space="0" w:color="448A99"/>
              <w:bottom w:val="single" w:sz="8" w:space="0" w:color="448A99"/>
              <w:right w:val="single" w:sz="4" w:space="0" w:color="448A99"/>
            </w:tcBorders>
            <w:shd w:val="clear" w:color="auto" w:fill="FFFFFF"/>
            <w:vAlign w:val="center"/>
          </w:tcPr>
          <w:p w:rsidR="00DD3B6D" w:rsidRPr="00FE0103" w:rsidRDefault="00DD3B6D" w:rsidP="008C2D5E">
            <w:pPr>
              <w:jc w:val="left"/>
              <w:rPr>
                <w:sz w:val="20"/>
                <w:szCs w:val="20"/>
              </w:rPr>
            </w:pPr>
            <w:r w:rsidRPr="00FE0103">
              <w:rPr>
                <w:sz w:val="20"/>
                <w:szCs w:val="20"/>
              </w:rPr>
              <w:t>December 17, 2014</w:t>
            </w:r>
          </w:p>
        </w:tc>
        <w:tc>
          <w:tcPr>
            <w:tcW w:w="7380" w:type="dxa"/>
            <w:tcBorders>
              <w:top w:val="single" w:sz="8" w:space="0" w:color="448A99"/>
              <w:left w:val="nil"/>
              <w:bottom w:val="single" w:sz="8" w:space="0" w:color="448A99"/>
              <w:right w:val="single" w:sz="4" w:space="0" w:color="448A99"/>
            </w:tcBorders>
            <w:shd w:val="clear" w:color="auto" w:fill="FFFFFF"/>
            <w:vAlign w:val="center"/>
          </w:tcPr>
          <w:p w:rsidR="00DD3B6D" w:rsidRPr="00FE0103" w:rsidRDefault="00DD3B6D" w:rsidP="008C2D5E">
            <w:pPr>
              <w:jc w:val="left"/>
              <w:rPr>
                <w:sz w:val="20"/>
                <w:szCs w:val="20"/>
              </w:rPr>
            </w:pPr>
            <w:r w:rsidRPr="00FE0103">
              <w:rPr>
                <w:sz w:val="20"/>
                <w:szCs w:val="20"/>
              </w:rPr>
              <w:t xml:space="preserve">FirstEnergy </w:t>
            </w:r>
            <w:r>
              <w:rPr>
                <w:sz w:val="20"/>
                <w:szCs w:val="20"/>
              </w:rPr>
              <w:t>EDCs</w:t>
            </w:r>
            <w:r w:rsidRPr="00FE0103">
              <w:rPr>
                <w:sz w:val="20"/>
                <w:szCs w:val="20"/>
              </w:rPr>
              <w:t xml:space="preserve"> provide email with additional information on the approach used by ADM for the PY6 evaluation of </w:t>
            </w:r>
            <w:r>
              <w:rPr>
                <w:sz w:val="20"/>
                <w:szCs w:val="20"/>
              </w:rPr>
              <w:t>West Penn’s</w:t>
            </w:r>
            <w:r w:rsidRPr="00FE0103">
              <w:rPr>
                <w:sz w:val="20"/>
                <w:szCs w:val="20"/>
              </w:rPr>
              <w:t xml:space="preserve"> Appliance Turn-In Program</w:t>
            </w:r>
          </w:p>
        </w:tc>
      </w:tr>
      <w:tr w:rsidR="00E7173E" w:rsidRPr="00FE0103" w:rsidTr="008F60E1">
        <w:trPr>
          <w:trHeight w:val="576"/>
          <w:jc w:val="center"/>
        </w:trPr>
        <w:tc>
          <w:tcPr>
            <w:tcW w:w="1975" w:type="dxa"/>
            <w:tcBorders>
              <w:top w:val="single" w:sz="8" w:space="0" w:color="448A99"/>
              <w:left w:val="single" w:sz="4" w:space="0" w:color="448A99"/>
              <w:bottom w:val="single" w:sz="4" w:space="0" w:color="448A99"/>
              <w:right w:val="single" w:sz="4" w:space="0" w:color="448A99"/>
            </w:tcBorders>
            <w:shd w:val="clear" w:color="auto" w:fill="D2EAF1"/>
            <w:vAlign w:val="center"/>
          </w:tcPr>
          <w:p w:rsidR="00DD3B6D" w:rsidRPr="00FE0103" w:rsidRDefault="00DD3B6D" w:rsidP="008C2D5E">
            <w:pPr>
              <w:jc w:val="left"/>
              <w:rPr>
                <w:sz w:val="20"/>
                <w:szCs w:val="20"/>
              </w:rPr>
            </w:pPr>
            <w:r w:rsidRPr="00FE0103">
              <w:rPr>
                <w:sz w:val="20"/>
                <w:szCs w:val="20"/>
              </w:rPr>
              <w:t>January 5, 2015</w:t>
            </w:r>
          </w:p>
        </w:tc>
        <w:tc>
          <w:tcPr>
            <w:tcW w:w="7380" w:type="dxa"/>
            <w:tcBorders>
              <w:top w:val="single" w:sz="8" w:space="0" w:color="448A99"/>
              <w:left w:val="nil"/>
              <w:bottom w:val="single" w:sz="4" w:space="0" w:color="448A99"/>
              <w:right w:val="single" w:sz="4" w:space="0" w:color="448A99"/>
            </w:tcBorders>
            <w:shd w:val="clear" w:color="auto" w:fill="D2EAF1"/>
            <w:vAlign w:val="center"/>
          </w:tcPr>
          <w:p w:rsidR="00DD3B6D" w:rsidRPr="00FE0103" w:rsidRDefault="00DD3B6D" w:rsidP="008C2D5E">
            <w:pPr>
              <w:jc w:val="left"/>
              <w:rPr>
                <w:sz w:val="20"/>
                <w:szCs w:val="20"/>
              </w:rPr>
            </w:pPr>
            <w:r w:rsidRPr="00FE0103">
              <w:rPr>
                <w:sz w:val="20"/>
                <w:szCs w:val="20"/>
              </w:rPr>
              <w:t xml:space="preserve">FirstEnergy </w:t>
            </w:r>
            <w:r>
              <w:rPr>
                <w:sz w:val="20"/>
                <w:szCs w:val="20"/>
              </w:rPr>
              <w:t>EDCs</w:t>
            </w:r>
            <w:r w:rsidRPr="00FE0103">
              <w:rPr>
                <w:sz w:val="20"/>
                <w:szCs w:val="20"/>
              </w:rPr>
              <w:t xml:space="preserve"> send email to SWE with clarification of sampling approach for the evaluations of the residential low-income program components (direct-install, giveaway, and </w:t>
            </w:r>
            <w:r>
              <w:rPr>
                <w:sz w:val="20"/>
                <w:szCs w:val="20"/>
              </w:rPr>
              <w:t>l</w:t>
            </w:r>
            <w:r w:rsidRPr="00FE0103">
              <w:rPr>
                <w:sz w:val="20"/>
                <w:szCs w:val="20"/>
              </w:rPr>
              <w:t xml:space="preserve">ow </w:t>
            </w:r>
            <w:r>
              <w:rPr>
                <w:sz w:val="20"/>
                <w:szCs w:val="20"/>
              </w:rPr>
              <w:t>i</w:t>
            </w:r>
            <w:r w:rsidRPr="00FE0103">
              <w:rPr>
                <w:sz w:val="20"/>
                <w:szCs w:val="20"/>
              </w:rPr>
              <w:t xml:space="preserve">ncome </w:t>
            </w:r>
            <w:r>
              <w:rPr>
                <w:sz w:val="20"/>
                <w:szCs w:val="20"/>
              </w:rPr>
              <w:t>l</w:t>
            </w:r>
            <w:r w:rsidRPr="00FE0103">
              <w:rPr>
                <w:sz w:val="20"/>
                <w:szCs w:val="20"/>
              </w:rPr>
              <w:t xml:space="preserve">ow </w:t>
            </w:r>
            <w:r>
              <w:rPr>
                <w:sz w:val="20"/>
                <w:szCs w:val="20"/>
              </w:rPr>
              <w:t>u</w:t>
            </w:r>
            <w:r w:rsidRPr="00FE0103">
              <w:rPr>
                <w:sz w:val="20"/>
                <w:szCs w:val="20"/>
              </w:rPr>
              <w:t>se kit component</w:t>
            </w:r>
            <w:r>
              <w:rPr>
                <w:sz w:val="20"/>
                <w:szCs w:val="20"/>
              </w:rPr>
              <w:t>s</w:t>
            </w:r>
            <w:r w:rsidRPr="00FE0103">
              <w:rPr>
                <w:sz w:val="20"/>
                <w:szCs w:val="20"/>
              </w:rPr>
              <w:t>)</w:t>
            </w:r>
          </w:p>
        </w:tc>
      </w:tr>
    </w:tbl>
    <w:p w:rsidR="00DD3B6D" w:rsidRPr="00FB6015" w:rsidRDefault="00DD3B6D" w:rsidP="00DD3B6D"/>
    <w:p w:rsidR="00DD3B6D" w:rsidRPr="00FB6015" w:rsidRDefault="00DD3B6D" w:rsidP="00DD3B6D">
      <w:pPr>
        <w:spacing w:after="120"/>
      </w:pPr>
      <w:r w:rsidRPr="00FB6015">
        <w:t xml:space="preserve">The initial EM&amp;V Plan for all FirstEnergy companies, submitted on September 19, 2013, detailed proposed evaluation objectives and activities for nine programs across two sectors. Key evaluation issues, impact evaluation details, process evaluation details, sampling plans, and key contacts were presented for each of the nine programs. After reviewing the plan, the SWE Team returned 34 comments on October 15, 2013. Many of the SWE Team’s comments demonstrated the SWE Team’s agreement with details of the </w:t>
      </w:r>
      <w:r w:rsidRPr="00126D81">
        <w:t>FirstEnergy EDCs’</w:t>
      </w:r>
      <w:r w:rsidRPr="00FB6015">
        <w:t xml:space="preserve"> plan. Most of the remaining comments concerned report formatting and minor clarifications that did not propose changes to the plan; substantive recommendations for revisions to the plan arose in only two areas:</w:t>
      </w:r>
    </w:p>
    <w:p w:rsidR="00DD3B6D" w:rsidRPr="008A5E9E" w:rsidRDefault="00DD3B6D" w:rsidP="00E646C9">
      <w:pPr>
        <w:numPr>
          <w:ilvl w:val="0"/>
          <w:numId w:val="84"/>
        </w:numPr>
        <w:spacing w:after="120"/>
        <w:ind w:left="360"/>
        <w:rPr>
          <w:color w:val="000000"/>
          <w:szCs w:val="20"/>
        </w:rPr>
      </w:pPr>
      <w:r w:rsidRPr="008A5E9E">
        <w:rPr>
          <w:color w:val="000000"/>
          <w:szCs w:val="20"/>
        </w:rPr>
        <w:t>Frequency of EDC data gathering in partially deemed measures</w:t>
      </w:r>
    </w:p>
    <w:p w:rsidR="00DD3B6D" w:rsidRPr="008A5E9E" w:rsidRDefault="00DD3B6D" w:rsidP="00E646C9">
      <w:pPr>
        <w:numPr>
          <w:ilvl w:val="0"/>
          <w:numId w:val="84"/>
        </w:numPr>
        <w:ind w:left="360"/>
        <w:rPr>
          <w:color w:val="000000"/>
          <w:szCs w:val="20"/>
        </w:rPr>
      </w:pPr>
      <w:r w:rsidRPr="008A5E9E">
        <w:rPr>
          <w:color w:val="000000"/>
          <w:szCs w:val="20"/>
        </w:rPr>
        <w:t>Definition of high-impact measures in C/I programs</w:t>
      </w:r>
    </w:p>
    <w:p w:rsidR="00DD3B6D" w:rsidRPr="008A5E9E" w:rsidRDefault="00DD3B6D" w:rsidP="00DD3B6D">
      <w:pPr>
        <w:rPr>
          <w:color w:val="000000"/>
        </w:rPr>
      </w:pPr>
    </w:p>
    <w:p w:rsidR="00DD3B6D" w:rsidRPr="00FB6015" w:rsidRDefault="00DD3B6D" w:rsidP="00DD3B6D">
      <w:r w:rsidRPr="008A5E9E">
        <w:rPr>
          <w:color w:val="000000"/>
        </w:rPr>
        <w:t>FirstEnergy EDCs provided revisions to the plan on February 19, 2014, and the SWE Team approved the revised version as the final Phase II EM&amp;V Plan. The SWE Team’s review of the evaluation activities revealed that the plan was followed appropriately for all PY6 EM&amp;V activities.</w:t>
      </w:r>
    </w:p>
    <w:p w:rsidR="00496A99" w:rsidRDefault="00496A99" w:rsidP="009847AC"/>
    <w:p w:rsidR="00950837" w:rsidRDefault="00950837" w:rsidP="00D34B3E">
      <w:pPr>
        <w:pStyle w:val="AppendixAHeading3"/>
      </w:pPr>
      <w:r>
        <w:t>Measurement and Verification Activities and Findings</w:t>
      </w:r>
    </w:p>
    <w:p w:rsidR="00281D04" w:rsidRPr="00EE3A4B" w:rsidRDefault="00281D04" w:rsidP="00281D04">
      <w:r w:rsidRPr="00EE3A4B">
        <w:t>Realization rates compare gro</w:t>
      </w:r>
      <w:r w:rsidR="006722FB">
        <w:t>ss savings reported by the EDC with</w:t>
      </w:r>
      <w:r w:rsidRPr="00EE3A4B">
        <w:t xml:space="preserve"> the verified gross savings determined by the EDC evaluation contractor through M&amp;V.</w:t>
      </w:r>
      <w:r>
        <w:t xml:space="preserve"> </w:t>
      </w:r>
      <w:r>
        <w:fldChar w:fldCharType="begin"/>
      </w:r>
      <w:r>
        <w:instrText xml:space="preserve"> REF _Ref472464782 \h </w:instrText>
      </w:r>
      <w:r>
        <w:fldChar w:fldCharType="separate"/>
      </w:r>
      <w:r w:rsidR="00C301D0">
        <w:t>Table A-</w:t>
      </w:r>
      <w:r w:rsidR="00C301D0">
        <w:rPr>
          <w:noProof/>
        </w:rPr>
        <w:t>91</w:t>
      </w:r>
      <w:r>
        <w:fldChar w:fldCharType="end"/>
      </w:r>
      <w:r w:rsidRPr="00EE3A4B">
        <w:t xml:space="preserve"> summarizes M&amp;V findings based on activities conducted by the </w:t>
      </w:r>
      <w:r>
        <w:t>West Penn</w:t>
      </w:r>
      <w:r w:rsidRPr="00EE3A4B">
        <w:t xml:space="preserve"> evaluation contractor. The summary is based on details provided in </w:t>
      </w:r>
      <w:r>
        <w:t>West Penn’s</w:t>
      </w:r>
      <w:r w:rsidRPr="00EE3A4B">
        <w:t xml:space="preserve"> PY6 annual report and on information obtained from the SWE Team’s data requests and audits. </w:t>
      </w:r>
      <w:r>
        <w:fldChar w:fldCharType="begin"/>
      </w:r>
      <w:r>
        <w:instrText xml:space="preserve"> REF _Ref472464782 \h </w:instrText>
      </w:r>
      <w:r>
        <w:fldChar w:fldCharType="separate"/>
      </w:r>
      <w:r w:rsidR="00C301D0">
        <w:t>Table A-</w:t>
      </w:r>
      <w:r w:rsidR="00C301D0">
        <w:rPr>
          <w:noProof/>
        </w:rPr>
        <w:t>91</w:t>
      </w:r>
      <w:r>
        <w:fldChar w:fldCharType="end"/>
      </w:r>
      <w:r>
        <w:t xml:space="preserve"> </w:t>
      </w:r>
      <w:r w:rsidRPr="00EE3A4B">
        <w:t xml:space="preserve">presents realization rates and relative precision values for verified energy and demand savings for each of </w:t>
      </w:r>
      <w:r>
        <w:t>West Penn</w:t>
      </w:r>
      <w:r w:rsidRPr="00EE3A4B">
        <w:t>’s residential and non-residential energy efficiency programs in PY</w:t>
      </w:r>
      <w:r>
        <w:t>7</w:t>
      </w:r>
      <w:r w:rsidRPr="00EE3A4B">
        <w:t xml:space="preserve">. </w:t>
      </w:r>
    </w:p>
    <w:p w:rsidR="00281D04" w:rsidRDefault="00281D04" w:rsidP="00281D04">
      <w:pPr>
        <w:rPr>
          <w:highlight w:val="lightGray"/>
        </w:rPr>
      </w:pPr>
    </w:p>
    <w:p w:rsidR="008C1098" w:rsidRDefault="008C1098" w:rsidP="00281D04">
      <w:pPr>
        <w:rPr>
          <w:highlight w:val="lightGray"/>
        </w:rPr>
      </w:pPr>
    </w:p>
    <w:p w:rsidR="008C1098" w:rsidRDefault="008C1098" w:rsidP="00281D04">
      <w:pPr>
        <w:rPr>
          <w:highlight w:val="lightGray"/>
        </w:rPr>
      </w:pPr>
    </w:p>
    <w:p w:rsidR="008C1098" w:rsidRDefault="008C1098" w:rsidP="00281D04">
      <w:pPr>
        <w:rPr>
          <w:highlight w:val="lightGray"/>
        </w:rPr>
      </w:pPr>
    </w:p>
    <w:p w:rsidR="00281D04" w:rsidRPr="00EE3A4B" w:rsidRDefault="00281D04" w:rsidP="00281D04">
      <w:pPr>
        <w:pStyle w:val="Caption"/>
      </w:pPr>
      <w:bookmarkStart w:id="1014" w:name="_Ref472464782"/>
      <w:bookmarkStart w:id="1015" w:name="_Toc472472500"/>
      <w:bookmarkStart w:id="1016" w:name="_Toc476842206"/>
      <w:r>
        <w:t>Table A-</w:t>
      </w:r>
      <w:fldSimple w:instr=" SEQ Table_A- \* ARABIC ">
        <w:r w:rsidR="00C301D0">
          <w:rPr>
            <w:noProof/>
          </w:rPr>
          <w:t>91</w:t>
        </w:r>
      </w:fldSimple>
      <w:bookmarkEnd w:id="1014"/>
      <w:r>
        <w:t xml:space="preserve">: West Penn </w:t>
      </w:r>
      <w:r w:rsidRPr="00EE3A4B">
        <w:t>Energy Efficiency Programs – Realization Rates for Energy and Demand Savings in PY</w:t>
      </w:r>
      <w:r>
        <w:t>7</w:t>
      </w:r>
      <w:bookmarkEnd w:id="1015"/>
      <w:bookmarkEnd w:id="1016"/>
    </w:p>
    <w:tbl>
      <w:tblPr>
        <w:tblW w:w="9347"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172"/>
        <w:gridCol w:w="1547"/>
        <w:gridCol w:w="1547"/>
        <w:gridCol w:w="1547"/>
        <w:gridCol w:w="1534"/>
      </w:tblGrid>
      <w:tr w:rsidR="00A874AC" w:rsidRPr="00EE3A4B" w:rsidTr="008C1098">
        <w:trPr>
          <w:trHeight w:val="683"/>
          <w:tblHeader/>
        </w:trPr>
        <w:tc>
          <w:tcPr>
            <w:tcW w:w="3172" w:type="dxa"/>
            <w:tcBorders>
              <w:top w:val="single" w:sz="4" w:space="0" w:color="448A99"/>
              <w:left w:val="single" w:sz="4" w:space="0" w:color="448A99"/>
              <w:bottom w:val="single" w:sz="4" w:space="0" w:color="448A99"/>
              <w:right w:val="single" w:sz="4" w:space="0" w:color="448A99"/>
            </w:tcBorders>
            <w:shd w:val="clear" w:color="auto" w:fill="448A99"/>
            <w:noWrap/>
            <w:vAlign w:val="bottom"/>
            <w:hideMark/>
          </w:tcPr>
          <w:p w:rsidR="00281D04" w:rsidRPr="00EE3A4B" w:rsidRDefault="00281D04" w:rsidP="00380FF9">
            <w:pPr>
              <w:rPr>
                <w:rFonts w:eastAsia="Calibri"/>
                <w:b/>
                <w:color w:val="FFFFFF"/>
                <w:sz w:val="20"/>
                <w:szCs w:val="20"/>
              </w:rPr>
            </w:pPr>
            <w:r w:rsidRPr="00EE3A4B">
              <w:rPr>
                <w:rFonts w:eastAsia="Calibri"/>
                <w:b/>
                <w:color w:val="FFFFFF"/>
                <w:sz w:val="20"/>
                <w:szCs w:val="20"/>
              </w:rPr>
              <w:lastRenderedPageBreak/>
              <w:t>Program</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281D04" w:rsidRPr="00EE3A4B" w:rsidRDefault="00281D04" w:rsidP="00380FF9">
            <w:pPr>
              <w:jc w:val="center"/>
              <w:rPr>
                <w:rFonts w:eastAsia="Calibri"/>
                <w:b/>
                <w:color w:val="FFFFFF"/>
                <w:sz w:val="20"/>
                <w:szCs w:val="20"/>
              </w:rPr>
            </w:pPr>
            <w:r w:rsidRPr="00EE3A4B">
              <w:rPr>
                <w:rFonts w:eastAsia="Calibri"/>
                <w:b/>
                <w:color w:val="FFFFFF"/>
                <w:sz w:val="20"/>
                <w:szCs w:val="20"/>
              </w:rPr>
              <w:t>Energy Realization Rate</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281D04" w:rsidRPr="00EE3A4B" w:rsidRDefault="00281D04" w:rsidP="00380FF9">
            <w:pPr>
              <w:jc w:val="center"/>
              <w:rPr>
                <w:rFonts w:eastAsia="Calibri"/>
                <w:b/>
                <w:color w:val="FFFFFF"/>
                <w:sz w:val="20"/>
                <w:szCs w:val="20"/>
              </w:rPr>
            </w:pPr>
            <w:r w:rsidRPr="00EE3A4B">
              <w:rPr>
                <w:rFonts w:eastAsia="Calibri"/>
                <w:b/>
                <w:color w:val="FFFFFF"/>
                <w:sz w:val="20"/>
                <w:szCs w:val="20"/>
              </w:rPr>
              <w:t>Relative Precision (Energy)</w:t>
            </w:r>
            <w:r w:rsidRPr="00EE3A4B">
              <w:rPr>
                <w:rFonts w:eastAsia="Calibri"/>
                <w:b/>
                <w:color w:val="FFFFFF"/>
                <w:sz w:val="20"/>
                <w:szCs w:val="20"/>
                <w:vertAlign w:val="superscript"/>
              </w:rPr>
              <w:t>[a]</w:t>
            </w:r>
          </w:p>
        </w:tc>
        <w:tc>
          <w:tcPr>
            <w:tcW w:w="1547"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281D04" w:rsidRPr="00EE3A4B" w:rsidRDefault="00281D04" w:rsidP="00380FF9">
            <w:pPr>
              <w:jc w:val="center"/>
              <w:rPr>
                <w:rFonts w:eastAsia="Calibri"/>
                <w:b/>
                <w:color w:val="FFFFFF"/>
                <w:sz w:val="20"/>
                <w:szCs w:val="20"/>
              </w:rPr>
            </w:pPr>
            <w:r w:rsidRPr="00EE3A4B">
              <w:rPr>
                <w:rFonts w:eastAsia="Calibri"/>
                <w:b/>
                <w:color w:val="FFFFFF"/>
                <w:sz w:val="20"/>
                <w:szCs w:val="20"/>
              </w:rPr>
              <w:t>Demand Realization Rate</w:t>
            </w:r>
          </w:p>
        </w:tc>
        <w:tc>
          <w:tcPr>
            <w:tcW w:w="1534" w:type="dxa"/>
            <w:tcBorders>
              <w:top w:val="single" w:sz="4" w:space="0" w:color="448A99"/>
              <w:left w:val="single" w:sz="4" w:space="0" w:color="448A99"/>
              <w:bottom w:val="single" w:sz="4" w:space="0" w:color="448A99"/>
              <w:right w:val="single" w:sz="4" w:space="0" w:color="448A99"/>
            </w:tcBorders>
            <w:shd w:val="clear" w:color="auto" w:fill="448A99"/>
            <w:vAlign w:val="bottom"/>
            <w:hideMark/>
          </w:tcPr>
          <w:p w:rsidR="00281D04" w:rsidRPr="00EE3A4B" w:rsidRDefault="00281D04" w:rsidP="00380FF9">
            <w:pPr>
              <w:jc w:val="center"/>
              <w:rPr>
                <w:rFonts w:eastAsia="Calibri"/>
                <w:b/>
                <w:color w:val="FFFFFF"/>
                <w:sz w:val="20"/>
                <w:szCs w:val="20"/>
              </w:rPr>
            </w:pPr>
            <w:r w:rsidRPr="00EE3A4B">
              <w:rPr>
                <w:rFonts w:eastAsia="Calibri"/>
                <w:b/>
                <w:color w:val="FFFFFF"/>
                <w:sz w:val="20"/>
                <w:szCs w:val="20"/>
              </w:rPr>
              <w:t>Relative Precision (Demand)</w:t>
            </w:r>
            <w:r w:rsidRPr="00EE3A4B">
              <w:rPr>
                <w:rFonts w:eastAsia="Calibri"/>
                <w:b/>
                <w:color w:val="FFFFFF"/>
                <w:sz w:val="20"/>
                <w:szCs w:val="20"/>
                <w:vertAlign w:val="superscript"/>
              </w:rPr>
              <w:t>[a]</w:t>
            </w:r>
          </w:p>
        </w:tc>
      </w:tr>
      <w:tr w:rsidR="00A874AC" w:rsidRPr="00EE3A4B" w:rsidTr="008C1098">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380FF9">
            <w:pPr>
              <w:jc w:val="left"/>
              <w:rPr>
                <w:rFonts w:eastAsia="Calibri"/>
                <w:sz w:val="20"/>
                <w:szCs w:val="20"/>
              </w:rPr>
            </w:pPr>
            <w:r w:rsidRPr="00EE3A4B">
              <w:rPr>
                <w:rFonts w:eastAsia="Calibri"/>
                <w:sz w:val="20"/>
                <w:szCs w:val="20"/>
              </w:rPr>
              <w:t>Appliance Turn-In</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380FF9">
            <w:pPr>
              <w:jc w:val="center"/>
              <w:rPr>
                <w:rFonts w:eastAsia="Calibri"/>
                <w:sz w:val="20"/>
                <w:szCs w:val="20"/>
              </w:rPr>
            </w:pPr>
            <w:r>
              <w:rPr>
                <w:rFonts w:eastAsia="Calibri"/>
                <w:sz w:val="20"/>
                <w:szCs w:val="20"/>
              </w:rPr>
              <w:t>92.0</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281D04">
            <w:pPr>
              <w:jc w:val="center"/>
              <w:rPr>
                <w:rFonts w:eastAsia="Calibri"/>
                <w:sz w:val="20"/>
                <w:szCs w:val="20"/>
              </w:rPr>
            </w:pPr>
            <w:r>
              <w:rPr>
                <w:rFonts w:eastAsia="Calibri"/>
                <w:sz w:val="20"/>
                <w:szCs w:val="20"/>
              </w:rPr>
              <w:t>7.6</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067077">
            <w:pPr>
              <w:jc w:val="center"/>
              <w:rPr>
                <w:rFonts w:eastAsia="Calibri"/>
                <w:sz w:val="20"/>
                <w:szCs w:val="20"/>
              </w:rPr>
            </w:pPr>
            <w:r>
              <w:rPr>
                <w:rFonts w:eastAsia="Calibri"/>
                <w:sz w:val="20"/>
                <w:szCs w:val="20"/>
              </w:rPr>
              <w:t>92.</w:t>
            </w:r>
            <w:r w:rsidR="00067077">
              <w:rPr>
                <w:rFonts w:eastAsia="Calibri"/>
                <w:sz w:val="20"/>
                <w:szCs w:val="20"/>
              </w:rPr>
              <w:t>7</w:t>
            </w:r>
            <w:r w:rsidRPr="00EE3A4B">
              <w:rPr>
                <w:rFonts w:eastAsia="Calibri"/>
                <w:sz w:val="20"/>
                <w:szCs w:val="20"/>
              </w:rPr>
              <w:t>%</w:t>
            </w:r>
          </w:p>
        </w:tc>
        <w:tc>
          <w:tcPr>
            <w:tcW w:w="1534"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067077" w:rsidP="00380FF9">
            <w:pPr>
              <w:jc w:val="center"/>
              <w:rPr>
                <w:rFonts w:eastAsia="Calibri"/>
                <w:sz w:val="20"/>
                <w:szCs w:val="20"/>
              </w:rPr>
            </w:pPr>
            <w:r>
              <w:rPr>
                <w:rFonts w:eastAsia="Calibri"/>
                <w:sz w:val="20"/>
                <w:szCs w:val="20"/>
              </w:rPr>
              <w:t>7.9</w:t>
            </w:r>
            <w:r w:rsidR="00281D04" w:rsidRPr="00EE3A4B">
              <w:rPr>
                <w:rFonts w:eastAsia="Calibri"/>
                <w:sz w:val="20"/>
                <w:szCs w:val="20"/>
              </w:rPr>
              <w:t>%</w:t>
            </w:r>
          </w:p>
        </w:tc>
      </w:tr>
      <w:tr w:rsidR="00E7173E" w:rsidRPr="00EE3A4B" w:rsidTr="008F60E1">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EE3A4B" w:rsidRDefault="00281D04" w:rsidP="00380FF9">
            <w:pPr>
              <w:jc w:val="left"/>
              <w:rPr>
                <w:rFonts w:eastAsia="Calibri"/>
                <w:sz w:val="20"/>
                <w:szCs w:val="20"/>
              </w:rPr>
            </w:pPr>
            <w:r w:rsidRPr="00EE3A4B">
              <w:rPr>
                <w:rFonts w:eastAsia="Calibri"/>
                <w:sz w:val="20"/>
                <w:szCs w:val="20"/>
              </w:rPr>
              <w:t>Efficient Products</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EE3A4B" w:rsidRDefault="00281D04" w:rsidP="00380FF9">
            <w:pPr>
              <w:jc w:val="center"/>
              <w:rPr>
                <w:rFonts w:eastAsia="Calibri"/>
                <w:sz w:val="20"/>
                <w:szCs w:val="20"/>
              </w:rPr>
            </w:pPr>
            <w:r>
              <w:rPr>
                <w:rFonts w:eastAsia="Calibri"/>
                <w:sz w:val="20"/>
                <w:szCs w:val="20"/>
              </w:rPr>
              <w:t>135.1</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EE3A4B" w:rsidRDefault="00281D04" w:rsidP="00380FF9">
            <w:pPr>
              <w:jc w:val="center"/>
              <w:rPr>
                <w:rFonts w:eastAsia="Calibri"/>
                <w:sz w:val="20"/>
                <w:szCs w:val="20"/>
              </w:rPr>
            </w:pPr>
            <w:r>
              <w:rPr>
                <w:rFonts w:eastAsia="Calibri"/>
                <w:sz w:val="20"/>
                <w:szCs w:val="20"/>
              </w:rPr>
              <w:t>1.7</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EE3A4B" w:rsidRDefault="00281D04" w:rsidP="00067077">
            <w:pPr>
              <w:jc w:val="center"/>
              <w:rPr>
                <w:rFonts w:eastAsia="Calibri"/>
                <w:sz w:val="20"/>
                <w:szCs w:val="20"/>
              </w:rPr>
            </w:pPr>
            <w:r>
              <w:rPr>
                <w:rFonts w:eastAsia="Calibri"/>
                <w:sz w:val="20"/>
                <w:szCs w:val="20"/>
              </w:rPr>
              <w:t>1</w:t>
            </w:r>
            <w:r w:rsidR="00067077">
              <w:rPr>
                <w:rFonts w:eastAsia="Calibri"/>
                <w:sz w:val="20"/>
                <w:szCs w:val="20"/>
              </w:rPr>
              <w:t>12</w:t>
            </w:r>
            <w:r>
              <w:rPr>
                <w:rFonts w:eastAsia="Calibri"/>
                <w:sz w:val="20"/>
                <w:szCs w:val="20"/>
              </w:rPr>
              <w:t>.</w:t>
            </w:r>
            <w:r w:rsidR="00067077">
              <w:rPr>
                <w:rFonts w:eastAsia="Calibri"/>
                <w:sz w:val="20"/>
                <w:szCs w:val="20"/>
              </w:rPr>
              <w:t>6</w:t>
            </w:r>
            <w:r w:rsidRPr="00EE3A4B">
              <w:rPr>
                <w:rFonts w:eastAsia="Calibri"/>
                <w:sz w:val="20"/>
                <w:szCs w:val="20"/>
              </w:rPr>
              <w:t>%</w:t>
            </w:r>
          </w:p>
        </w:tc>
        <w:tc>
          <w:tcPr>
            <w:tcW w:w="1534"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EE3A4B" w:rsidRDefault="00067077" w:rsidP="00380FF9">
            <w:pPr>
              <w:jc w:val="center"/>
              <w:rPr>
                <w:rFonts w:eastAsia="Calibri"/>
                <w:sz w:val="20"/>
                <w:szCs w:val="20"/>
              </w:rPr>
            </w:pPr>
            <w:r>
              <w:rPr>
                <w:rFonts w:eastAsia="Calibri"/>
                <w:sz w:val="20"/>
                <w:szCs w:val="20"/>
              </w:rPr>
              <w:t>5.</w:t>
            </w:r>
            <w:r w:rsidR="00281D04">
              <w:rPr>
                <w:rFonts w:eastAsia="Calibri"/>
                <w:sz w:val="20"/>
                <w:szCs w:val="20"/>
              </w:rPr>
              <w:t>2</w:t>
            </w:r>
            <w:r w:rsidR="00281D04" w:rsidRPr="00EE3A4B">
              <w:rPr>
                <w:rFonts w:eastAsia="Calibri"/>
                <w:sz w:val="20"/>
                <w:szCs w:val="20"/>
              </w:rPr>
              <w:t>%</w:t>
            </w:r>
          </w:p>
        </w:tc>
      </w:tr>
      <w:tr w:rsidR="00A874AC" w:rsidRPr="00EE3A4B" w:rsidTr="008C1098">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380FF9">
            <w:pPr>
              <w:jc w:val="left"/>
              <w:rPr>
                <w:rFonts w:eastAsia="Calibri"/>
                <w:sz w:val="20"/>
                <w:szCs w:val="20"/>
              </w:rPr>
            </w:pPr>
            <w:r w:rsidRPr="00EE3A4B">
              <w:rPr>
                <w:rFonts w:eastAsia="Calibri"/>
                <w:sz w:val="20"/>
                <w:szCs w:val="20"/>
              </w:rPr>
              <w:t>Home Performance</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380FF9">
            <w:pPr>
              <w:jc w:val="center"/>
              <w:rPr>
                <w:rFonts w:eastAsia="Calibri"/>
                <w:sz w:val="20"/>
                <w:szCs w:val="20"/>
              </w:rPr>
            </w:pPr>
            <w:r>
              <w:rPr>
                <w:rFonts w:eastAsia="Calibri"/>
                <w:sz w:val="20"/>
                <w:szCs w:val="20"/>
              </w:rPr>
              <w:t>87.6</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281D04">
            <w:pPr>
              <w:jc w:val="center"/>
              <w:rPr>
                <w:rFonts w:eastAsia="Calibri"/>
                <w:sz w:val="20"/>
                <w:szCs w:val="20"/>
              </w:rPr>
            </w:pPr>
            <w:r>
              <w:rPr>
                <w:rFonts w:eastAsia="Calibri"/>
                <w:sz w:val="20"/>
                <w:szCs w:val="20"/>
              </w:rPr>
              <w:t>5.2</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067077" w:rsidP="00380FF9">
            <w:pPr>
              <w:jc w:val="center"/>
              <w:rPr>
                <w:rFonts w:eastAsia="Calibri"/>
                <w:sz w:val="20"/>
                <w:szCs w:val="20"/>
              </w:rPr>
            </w:pPr>
            <w:r>
              <w:rPr>
                <w:rFonts w:eastAsia="Calibri"/>
                <w:sz w:val="20"/>
                <w:szCs w:val="20"/>
              </w:rPr>
              <w:t>69.6</w:t>
            </w:r>
            <w:r w:rsidR="00281D04" w:rsidRPr="00EE3A4B">
              <w:rPr>
                <w:rFonts w:eastAsia="Calibri"/>
                <w:sz w:val="20"/>
                <w:szCs w:val="20"/>
              </w:rPr>
              <w:t>%</w:t>
            </w:r>
          </w:p>
        </w:tc>
        <w:tc>
          <w:tcPr>
            <w:tcW w:w="1534"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067077" w:rsidP="00067077">
            <w:pPr>
              <w:jc w:val="center"/>
              <w:rPr>
                <w:rFonts w:eastAsia="Calibri"/>
                <w:sz w:val="20"/>
                <w:szCs w:val="20"/>
              </w:rPr>
            </w:pPr>
            <w:r>
              <w:rPr>
                <w:rFonts w:eastAsia="Calibri"/>
                <w:sz w:val="20"/>
                <w:szCs w:val="20"/>
              </w:rPr>
              <w:t>5.1</w:t>
            </w:r>
            <w:r w:rsidR="00281D04" w:rsidRPr="00EE3A4B">
              <w:rPr>
                <w:rFonts w:eastAsia="Calibri"/>
                <w:sz w:val="20"/>
                <w:szCs w:val="20"/>
              </w:rPr>
              <w:t>%</w:t>
            </w:r>
          </w:p>
        </w:tc>
      </w:tr>
      <w:tr w:rsidR="00E7173E" w:rsidRPr="00EE3A4B" w:rsidTr="008F60E1">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EE3A4B" w:rsidRDefault="00281D04" w:rsidP="00380FF9">
            <w:pPr>
              <w:jc w:val="left"/>
              <w:rPr>
                <w:rFonts w:eastAsia="Calibri"/>
                <w:sz w:val="20"/>
                <w:szCs w:val="20"/>
              </w:rPr>
            </w:pPr>
            <w:r w:rsidRPr="00EE3A4B">
              <w:rPr>
                <w:rFonts w:eastAsia="Calibri"/>
                <w:sz w:val="20"/>
                <w:szCs w:val="20"/>
              </w:rPr>
              <w:t>Low-Income</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EE3A4B" w:rsidRDefault="00281D04" w:rsidP="00380FF9">
            <w:pPr>
              <w:jc w:val="center"/>
              <w:rPr>
                <w:rFonts w:eastAsia="Calibri"/>
                <w:sz w:val="20"/>
                <w:szCs w:val="20"/>
              </w:rPr>
            </w:pPr>
            <w:r>
              <w:rPr>
                <w:rFonts w:eastAsia="Calibri"/>
                <w:sz w:val="20"/>
                <w:szCs w:val="20"/>
              </w:rPr>
              <w:t>99.3</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EE3A4B" w:rsidRDefault="00281D04" w:rsidP="00380FF9">
            <w:pPr>
              <w:jc w:val="center"/>
              <w:rPr>
                <w:rFonts w:eastAsia="Calibri"/>
                <w:sz w:val="20"/>
                <w:szCs w:val="20"/>
              </w:rPr>
            </w:pPr>
            <w:r>
              <w:rPr>
                <w:rFonts w:eastAsia="Calibri"/>
                <w:sz w:val="20"/>
                <w:szCs w:val="20"/>
              </w:rPr>
              <w:t>9.9</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EE3A4B" w:rsidRDefault="00067077" w:rsidP="00067077">
            <w:pPr>
              <w:jc w:val="center"/>
              <w:rPr>
                <w:rFonts w:eastAsia="Calibri"/>
                <w:sz w:val="20"/>
                <w:szCs w:val="20"/>
              </w:rPr>
            </w:pPr>
            <w:r>
              <w:rPr>
                <w:rFonts w:eastAsia="Calibri"/>
                <w:sz w:val="20"/>
                <w:szCs w:val="20"/>
              </w:rPr>
              <w:t>131.4</w:t>
            </w:r>
            <w:r w:rsidR="00281D04" w:rsidRPr="00EE3A4B">
              <w:rPr>
                <w:rFonts w:eastAsia="Calibri"/>
                <w:sz w:val="20"/>
                <w:szCs w:val="20"/>
              </w:rPr>
              <w:t>%</w:t>
            </w:r>
          </w:p>
        </w:tc>
        <w:tc>
          <w:tcPr>
            <w:tcW w:w="1534" w:type="dxa"/>
            <w:tcBorders>
              <w:top w:val="single" w:sz="4" w:space="0" w:color="448A99"/>
              <w:left w:val="single" w:sz="4" w:space="0" w:color="448A99"/>
              <w:bottom w:val="single" w:sz="4" w:space="0" w:color="448A99"/>
              <w:right w:val="single" w:sz="4" w:space="0" w:color="448A99"/>
            </w:tcBorders>
            <w:shd w:val="clear" w:color="auto" w:fill="auto"/>
            <w:noWrap/>
            <w:vAlign w:val="center"/>
          </w:tcPr>
          <w:p w:rsidR="00281D04" w:rsidRPr="00EE3A4B" w:rsidRDefault="00281D04" w:rsidP="00380FF9">
            <w:pPr>
              <w:jc w:val="center"/>
              <w:rPr>
                <w:rFonts w:eastAsia="Calibri"/>
                <w:sz w:val="20"/>
                <w:szCs w:val="20"/>
              </w:rPr>
            </w:pPr>
            <w:r>
              <w:rPr>
                <w:rFonts w:eastAsia="Calibri"/>
                <w:sz w:val="20"/>
                <w:szCs w:val="20"/>
              </w:rPr>
              <w:t>9.9</w:t>
            </w:r>
            <w:r w:rsidRPr="00EE3A4B">
              <w:rPr>
                <w:rFonts w:eastAsia="Calibri"/>
                <w:sz w:val="20"/>
                <w:szCs w:val="20"/>
              </w:rPr>
              <w:t>%</w:t>
            </w:r>
          </w:p>
        </w:tc>
      </w:tr>
      <w:tr w:rsidR="00A874AC" w:rsidRPr="00EE3A4B" w:rsidTr="008C1098">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380FF9">
            <w:pPr>
              <w:jc w:val="left"/>
              <w:rPr>
                <w:rFonts w:eastAsia="Calibri"/>
                <w:sz w:val="20"/>
                <w:szCs w:val="20"/>
              </w:rPr>
            </w:pPr>
            <w:r w:rsidRPr="00EE3A4B">
              <w:rPr>
                <w:rFonts w:eastAsia="Calibri"/>
                <w:sz w:val="20"/>
                <w:szCs w:val="20"/>
              </w:rPr>
              <w:t>Small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380FF9">
            <w:pPr>
              <w:jc w:val="center"/>
              <w:rPr>
                <w:rFonts w:eastAsia="Calibri"/>
                <w:sz w:val="20"/>
                <w:szCs w:val="20"/>
              </w:rPr>
            </w:pPr>
            <w:r>
              <w:rPr>
                <w:rFonts w:eastAsia="Calibri"/>
                <w:sz w:val="20"/>
                <w:szCs w:val="20"/>
              </w:rPr>
              <w:t>93.5</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281D04">
            <w:pPr>
              <w:jc w:val="center"/>
              <w:rPr>
                <w:rFonts w:eastAsia="Calibri"/>
                <w:sz w:val="20"/>
                <w:szCs w:val="20"/>
              </w:rPr>
            </w:pPr>
            <w:r>
              <w:rPr>
                <w:rFonts w:eastAsia="Calibri"/>
                <w:sz w:val="20"/>
                <w:szCs w:val="20"/>
              </w:rPr>
              <w:t>13.1</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067077" w:rsidP="00067077">
            <w:pPr>
              <w:jc w:val="center"/>
              <w:rPr>
                <w:rFonts w:eastAsia="Calibri"/>
                <w:sz w:val="20"/>
                <w:szCs w:val="20"/>
              </w:rPr>
            </w:pPr>
            <w:r>
              <w:rPr>
                <w:rFonts w:eastAsia="Calibri"/>
                <w:sz w:val="20"/>
                <w:szCs w:val="20"/>
              </w:rPr>
              <w:t>131.3</w:t>
            </w:r>
            <w:r w:rsidR="00281D04" w:rsidRPr="00EE3A4B">
              <w:rPr>
                <w:rFonts w:eastAsia="Calibri"/>
                <w:sz w:val="20"/>
                <w:szCs w:val="20"/>
              </w:rPr>
              <w:t>%</w:t>
            </w:r>
          </w:p>
        </w:tc>
        <w:tc>
          <w:tcPr>
            <w:tcW w:w="1534"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067077">
            <w:pPr>
              <w:jc w:val="center"/>
              <w:rPr>
                <w:rFonts w:eastAsia="Calibri"/>
                <w:sz w:val="20"/>
                <w:szCs w:val="20"/>
              </w:rPr>
            </w:pPr>
            <w:r>
              <w:rPr>
                <w:rFonts w:eastAsia="Calibri"/>
                <w:sz w:val="20"/>
                <w:szCs w:val="20"/>
              </w:rPr>
              <w:t>1</w:t>
            </w:r>
            <w:r w:rsidR="00067077">
              <w:rPr>
                <w:rFonts w:eastAsia="Calibri"/>
                <w:sz w:val="20"/>
                <w:szCs w:val="20"/>
              </w:rPr>
              <w:t>5</w:t>
            </w:r>
            <w:r>
              <w:rPr>
                <w:rFonts w:eastAsia="Calibri"/>
                <w:sz w:val="20"/>
                <w:szCs w:val="20"/>
              </w:rPr>
              <w:t>.4</w:t>
            </w:r>
            <w:r w:rsidRPr="00EE3A4B">
              <w:rPr>
                <w:rFonts w:eastAsia="Calibri"/>
                <w:sz w:val="20"/>
                <w:szCs w:val="20"/>
              </w:rPr>
              <w:t>%</w:t>
            </w:r>
          </w:p>
        </w:tc>
      </w:tr>
      <w:tr w:rsidR="00A874AC" w:rsidRPr="00EE3A4B" w:rsidTr="008C1098">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EE3A4B" w:rsidRDefault="00281D04" w:rsidP="00380FF9">
            <w:pPr>
              <w:jc w:val="left"/>
              <w:rPr>
                <w:rFonts w:eastAsia="Calibri"/>
                <w:sz w:val="20"/>
                <w:szCs w:val="20"/>
              </w:rPr>
            </w:pPr>
            <w:r w:rsidRPr="00EE3A4B">
              <w:rPr>
                <w:rFonts w:eastAsia="Calibri"/>
                <w:sz w:val="20"/>
                <w:szCs w:val="20"/>
              </w:rPr>
              <w:t>Small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EE3A4B" w:rsidRDefault="00281D04" w:rsidP="00380FF9">
            <w:pPr>
              <w:jc w:val="center"/>
              <w:rPr>
                <w:rFonts w:eastAsia="Calibri"/>
                <w:sz w:val="20"/>
                <w:szCs w:val="20"/>
              </w:rPr>
            </w:pPr>
            <w:r>
              <w:rPr>
                <w:rFonts w:eastAsia="Calibri"/>
                <w:sz w:val="20"/>
                <w:szCs w:val="20"/>
              </w:rPr>
              <w:t>79.0</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EE3A4B" w:rsidRDefault="00281D04" w:rsidP="00281D04">
            <w:pPr>
              <w:jc w:val="center"/>
              <w:rPr>
                <w:rFonts w:eastAsia="Calibri"/>
                <w:sz w:val="20"/>
                <w:szCs w:val="20"/>
              </w:rPr>
            </w:pPr>
            <w:r>
              <w:rPr>
                <w:rFonts w:eastAsia="Calibri"/>
                <w:sz w:val="20"/>
                <w:szCs w:val="20"/>
              </w:rPr>
              <w:t>13.4</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EE3A4B" w:rsidRDefault="00067077" w:rsidP="00067077">
            <w:pPr>
              <w:jc w:val="center"/>
              <w:rPr>
                <w:rFonts w:eastAsia="Calibri"/>
                <w:sz w:val="20"/>
                <w:szCs w:val="20"/>
              </w:rPr>
            </w:pPr>
            <w:r>
              <w:rPr>
                <w:rFonts w:eastAsia="Calibri"/>
                <w:sz w:val="20"/>
                <w:szCs w:val="20"/>
              </w:rPr>
              <w:t>104.0</w:t>
            </w:r>
            <w:r w:rsidR="00281D04" w:rsidRPr="00EE3A4B">
              <w:rPr>
                <w:rFonts w:eastAsia="Calibri"/>
                <w:sz w:val="20"/>
                <w:szCs w:val="20"/>
              </w:rPr>
              <w:t>%</w:t>
            </w:r>
          </w:p>
        </w:tc>
        <w:tc>
          <w:tcPr>
            <w:tcW w:w="1534"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EE3A4B" w:rsidRDefault="00281D04" w:rsidP="00380FF9">
            <w:pPr>
              <w:jc w:val="center"/>
              <w:rPr>
                <w:rFonts w:eastAsia="Calibri"/>
                <w:sz w:val="20"/>
                <w:szCs w:val="20"/>
              </w:rPr>
            </w:pPr>
            <w:r>
              <w:rPr>
                <w:rFonts w:eastAsia="Calibri"/>
                <w:sz w:val="20"/>
                <w:szCs w:val="20"/>
              </w:rPr>
              <w:t>9.4</w:t>
            </w:r>
            <w:r w:rsidRPr="00EE3A4B">
              <w:rPr>
                <w:rFonts w:eastAsia="Calibri"/>
                <w:sz w:val="20"/>
                <w:szCs w:val="20"/>
              </w:rPr>
              <w:t>%</w:t>
            </w:r>
          </w:p>
        </w:tc>
      </w:tr>
      <w:tr w:rsidR="00A874AC" w:rsidRPr="00EE3A4B" w:rsidTr="008C1098">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380FF9">
            <w:pPr>
              <w:jc w:val="left"/>
              <w:rPr>
                <w:rFonts w:eastAsia="Calibri"/>
                <w:sz w:val="20"/>
                <w:szCs w:val="20"/>
              </w:rPr>
            </w:pPr>
            <w:r w:rsidRPr="00EE3A4B">
              <w:rPr>
                <w:rFonts w:eastAsia="Calibri"/>
                <w:sz w:val="20"/>
                <w:szCs w:val="20"/>
              </w:rPr>
              <w:t>Large C/I Equipment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380FF9">
            <w:pPr>
              <w:jc w:val="center"/>
              <w:rPr>
                <w:rFonts w:eastAsia="Calibri"/>
                <w:sz w:val="20"/>
                <w:szCs w:val="20"/>
              </w:rPr>
            </w:pPr>
            <w:r>
              <w:rPr>
                <w:rFonts w:eastAsia="Calibri"/>
                <w:sz w:val="20"/>
                <w:szCs w:val="20"/>
              </w:rPr>
              <w:t>99.8</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380FF9">
            <w:pPr>
              <w:jc w:val="center"/>
              <w:rPr>
                <w:rFonts w:eastAsia="Calibri"/>
                <w:sz w:val="20"/>
                <w:szCs w:val="20"/>
              </w:rPr>
            </w:pPr>
            <w:r>
              <w:rPr>
                <w:rFonts w:eastAsia="Calibri"/>
                <w:sz w:val="20"/>
                <w:szCs w:val="20"/>
              </w:rPr>
              <w:t>8.1</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067077" w:rsidP="00067077">
            <w:pPr>
              <w:jc w:val="center"/>
              <w:rPr>
                <w:rFonts w:eastAsia="Calibri"/>
                <w:sz w:val="20"/>
                <w:szCs w:val="20"/>
              </w:rPr>
            </w:pPr>
            <w:r>
              <w:rPr>
                <w:rFonts w:eastAsia="Calibri"/>
                <w:sz w:val="20"/>
                <w:szCs w:val="20"/>
              </w:rPr>
              <w:t>97.9</w:t>
            </w:r>
            <w:r w:rsidR="00281D04" w:rsidRPr="00EE3A4B">
              <w:rPr>
                <w:rFonts w:eastAsia="Calibri"/>
                <w:sz w:val="20"/>
                <w:szCs w:val="20"/>
              </w:rPr>
              <w:t>%</w:t>
            </w:r>
          </w:p>
        </w:tc>
        <w:tc>
          <w:tcPr>
            <w:tcW w:w="1534"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067077" w:rsidP="00380FF9">
            <w:pPr>
              <w:jc w:val="center"/>
              <w:rPr>
                <w:rFonts w:eastAsia="Calibri"/>
                <w:sz w:val="20"/>
                <w:szCs w:val="20"/>
              </w:rPr>
            </w:pPr>
            <w:r>
              <w:rPr>
                <w:rFonts w:eastAsia="Calibri"/>
                <w:sz w:val="20"/>
                <w:szCs w:val="20"/>
              </w:rPr>
              <w:t>9.5</w:t>
            </w:r>
            <w:r w:rsidR="00281D04" w:rsidRPr="00EE3A4B">
              <w:rPr>
                <w:rFonts w:eastAsia="Calibri"/>
                <w:sz w:val="20"/>
                <w:szCs w:val="20"/>
              </w:rPr>
              <w:t>%</w:t>
            </w:r>
          </w:p>
        </w:tc>
      </w:tr>
      <w:tr w:rsidR="00A874AC" w:rsidRPr="00EE3A4B" w:rsidTr="008C1098">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EE3A4B" w:rsidRDefault="00281D04" w:rsidP="00380FF9">
            <w:pPr>
              <w:jc w:val="left"/>
              <w:rPr>
                <w:rFonts w:eastAsia="Calibri"/>
                <w:sz w:val="20"/>
                <w:szCs w:val="20"/>
              </w:rPr>
            </w:pPr>
            <w:r w:rsidRPr="00EE3A4B">
              <w:rPr>
                <w:rFonts w:eastAsia="Calibri"/>
                <w:sz w:val="20"/>
                <w:szCs w:val="20"/>
              </w:rPr>
              <w:t>Large C/I Buildings</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EE3A4B" w:rsidRDefault="00281D04" w:rsidP="00380FF9">
            <w:pPr>
              <w:jc w:val="center"/>
              <w:rPr>
                <w:rFonts w:eastAsia="Calibri"/>
                <w:sz w:val="20"/>
                <w:szCs w:val="20"/>
              </w:rPr>
            </w:pPr>
            <w:r>
              <w:rPr>
                <w:rFonts w:eastAsia="Calibri"/>
                <w:sz w:val="20"/>
                <w:szCs w:val="20"/>
              </w:rPr>
              <w:t>74.7</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EE3A4B" w:rsidRDefault="00281D04" w:rsidP="00281D04">
            <w:pPr>
              <w:jc w:val="center"/>
              <w:rPr>
                <w:rFonts w:eastAsia="Calibri"/>
                <w:sz w:val="20"/>
                <w:szCs w:val="20"/>
              </w:rPr>
            </w:pPr>
            <w:r>
              <w:rPr>
                <w:rFonts w:eastAsia="Calibri"/>
                <w:sz w:val="20"/>
                <w:szCs w:val="20"/>
              </w:rPr>
              <w:t>12.5</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EE3A4B" w:rsidRDefault="00067077" w:rsidP="00067077">
            <w:pPr>
              <w:jc w:val="center"/>
              <w:rPr>
                <w:rFonts w:eastAsia="Calibri"/>
                <w:sz w:val="20"/>
                <w:szCs w:val="20"/>
              </w:rPr>
            </w:pPr>
            <w:r>
              <w:rPr>
                <w:rFonts w:eastAsia="Calibri"/>
                <w:sz w:val="20"/>
                <w:szCs w:val="20"/>
              </w:rPr>
              <w:t>79.7</w:t>
            </w:r>
            <w:r w:rsidR="00281D04">
              <w:rPr>
                <w:rFonts w:eastAsia="Calibri"/>
                <w:sz w:val="20"/>
                <w:szCs w:val="20"/>
              </w:rPr>
              <w:t>%</w:t>
            </w:r>
          </w:p>
        </w:tc>
        <w:tc>
          <w:tcPr>
            <w:tcW w:w="1534" w:type="dxa"/>
            <w:tcBorders>
              <w:top w:val="single" w:sz="4" w:space="0" w:color="448A99"/>
              <w:left w:val="single" w:sz="4" w:space="0" w:color="448A99"/>
              <w:bottom w:val="single" w:sz="4" w:space="0" w:color="448A99"/>
              <w:right w:val="single" w:sz="4" w:space="0" w:color="448A99"/>
            </w:tcBorders>
            <w:shd w:val="clear" w:color="auto" w:fill="FFFFFF" w:themeFill="background1"/>
            <w:noWrap/>
            <w:vAlign w:val="center"/>
          </w:tcPr>
          <w:p w:rsidR="00281D04" w:rsidRPr="00EE3A4B" w:rsidRDefault="00067077" w:rsidP="00067077">
            <w:pPr>
              <w:jc w:val="center"/>
              <w:rPr>
                <w:rFonts w:eastAsia="Calibri"/>
                <w:sz w:val="20"/>
                <w:szCs w:val="20"/>
              </w:rPr>
            </w:pPr>
            <w:r>
              <w:rPr>
                <w:rFonts w:eastAsia="Calibri"/>
                <w:sz w:val="20"/>
                <w:szCs w:val="20"/>
              </w:rPr>
              <w:t>12.2</w:t>
            </w:r>
            <w:r w:rsidR="00281D04" w:rsidRPr="00EE3A4B">
              <w:rPr>
                <w:rFonts w:eastAsia="Calibri"/>
                <w:sz w:val="20"/>
                <w:szCs w:val="20"/>
              </w:rPr>
              <w:t>%</w:t>
            </w:r>
          </w:p>
        </w:tc>
      </w:tr>
      <w:tr w:rsidR="00A874AC" w:rsidRPr="00EE3A4B" w:rsidTr="008C1098">
        <w:trPr>
          <w:trHeight w:val="346"/>
        </w:trPr>
        <w:tc>
          <w:tcPr>
            <w:tcW w:w="3172"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380FF9">
            <w:pPr>
              <w:jc w:val="left"/>
              <w:rPr>
                <w:rFonts w:eastAsia="Calibri"/>
                <w:sz w:val="20"/>
                <w:szCs w:val="20"/>
              </w:rPr>
            </w:pPr>
            <w:r w:rsidRPr="00EE3A4B">
              <w:rPr>
                <w:rFonts w:eastAsia="Calibri"/>
                <w:sz w:val="20"/>
                <w:szCs w:val="20"/>
              </w:rPr>
              <w:t>Government/Institutional</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F21F28">
            <w:pPr>
              <w:jc w:val="center"/>
              <w:rPr>
                <w:rFonts w:eastAsia="Calibri"/>
                <w:sz w:val="20"/>
                <w:szCs w:val="20"/>
              </w:rPr>
            </w:pPr>
            <w:r>
              <w:rPr>
                <w:rFonts w:eastAsia="Calibri"/>
                <w:sz w:val="20"/>
                <w:szCs w:val="20"/>
              </w:rPr>
              <w:t>95.8</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281D04" w:rsidP="00281D04">
            <w:pPr>
              <w:jc w:val="center"/>
              <w:rPr>
                <w:rFonts w:eastAsia="Calibri"/>
                <w:sz w:val="20"/>
                <w:szCs w:val="20"/>
              </w:rPr>
            </w:pPr>
            <w:r>
              <w:rPr>
                <w:rFonts w:eastAsia="Calibri"/>
                <w:sz w:val="20"/>
                <w:szCs w:val="20"/>
              </w:rPr>
              <w:t>14.4</w:t>
            </w:r>
            <w:r w:rsidRPr="00EE3A4B">
              <w:rPr>
                <w:rFonts w:eastAsia="Calibri"/>
                <w:sz w:val="20"/>
                <w:szCs w:val="20"/>
              </w:rPr>
              <w:t>%</w:t>
            </w:r>
          </w:p>
        </w:tc>
        <w:tc>
          <w:tcPr>
            <w:tcW w:w="1547"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067077" w:rsidP="00380FF9">
            <w:pPr>
              <w:jc w:val="center"/>
              <w:rPr>
                <w:rFonts w:eastAsia="Calibri"/>
                <w:sz w:val="20"/>
                <w:szCs w:val="20"/>
              </w:rPr>
            </w:pPr>
            <w:r>
              <w:rPr>
                <w:rFonts w:eastAsia="Calibri"/>
                <w:sz w:val="20"/>
                <w:szCs w:val="20"/>
              </w:rPr>
              <w:t>8.3</w:t>
            </w:r>
            <w:r w:rsidR="00281D04" w:rsidRPr="00EE3A4B">
              <w:rPr>
                <w:rFonts w:eastAsia="Calibri"/>
                <w:sz w:val="20"/>
                <w:szCs w:val="20"/>
              </w:rPr>
              <w:t>%</w:t>
            </w:r>
          </w:p>
        </w:tc>
        <w:tc>
          <w:tcPr>
            <w:tcW w:w="1534" w:type="dxa"/>
            <w:tcBorders>
              <w:top w:val="single" w:sz="4" w:space="0" w:color="448A99"/>
              <w:left w:val="single" w:sz="4" w:space="0" w:color="448A99"/>
              <w:bottom w:val="single" w:sz="4" w:space="0" w:color="448A99"/>
              <w:right w:val="single" w:sz="4" w:space="0" w:color="448A99"/>
            </w:tcBorders>
            <w:shd w:val="clear" w:color="auto" w:fill="D2EAF1"/>
            <w:noWrap/>
            <w:vAlign w:val="center"/>
          </w:tcPr>
          <w:p w:rsidR="00281D04" w:rsidRPr="00EE3A4B" w:rsidRDefault="00067077" w:rsidP="00067077">
            <w:pPr>
              <w:jc w:val="center"/>
              <w:rPr>
                <w:rFonts w:eastAsia="Calibri"/>
                <w:sz w:val="20"/>
                <w:szCs w:val="20"/>
              </w:rPr>
            </w:pPr>
            <w:r>
              <w:rPr>
                <w:rFonts w:eastAsia="Calibri"/>
                <w:sz w:val="20"/>
                <w:szCs w:val="20"/>
              </w:rPr>
              <w:t>19.6</w:t>
            </w:r>
            <w:r w:rsidR="00281D04" w:rsidRPr="00EE3A4B">
              <w:rPr>
                <w:rFonts w:eastAsia="Calibri"/>
                <w:sz w:val="20"/>
                <w:szCs w:val="20"/>
              </w:rPr>
              <w:t>%</w:t>
            </w:r>
          </w:p>
        </w:tc>
      </w:tr>
      <w:tr w:rsidR="00E7173E" w:rsidRPr="00EE3A4B" w:rsidTr="008F60E1">
        <w:trPr>
          <w:trHeight w:val="300"/>
        </w:trPr>
        <w:tc>
          <w:tcPr>
            <w:tcW w:w="9347" w:type="dxa"/>
            <w:gridSpan w:val="5"/>
            <w:tcBorders>
              <w:top w:val="single" w:sz="4" w:space="0" w:color="448A99"/>
              <w:left w:val="single" w:sz="4" w:space="0" w:color="448A99"/>
              <w:bottom w:val="single" w:sz="4" w:space="0" w:color="448A99"/>
              <w:right w:val="single" w:sz="4" w:space="0" w:color="448A99"/>
            </w:tcBorders>
            <w:shd w:val="clear" w:color="auto" w:fill="448A99"/>
            <w:noWrap/>
            <w:vAlign w:val="center"/>
          </w:tcPr>
          <w:p w:rsidR="00281D04" w:rsidRPr="00EE3A4B" w:rsidRDefault="006722FB" w:rsidP="00380FF9">
            <w:pPr>
              <w:rPr>
                <w:rFonts w:eastAsia="Calibri"/>
                <w:color w:val="FFFFFF"/>
                <w:sz w:val="18"/>
                <w:szCs w:val="18"/>
              </w:rPr>
            </w:pPr>
            <w:r>
              <w:rPr>
                <w:rFonts w:eastAsia="Calibri"/>
                <w:color w:val="FFFFFF"/>
                <w:sz w:val="18"/>
                <w:szCs w:val="18"/>
              </w:rPr>
              <w:t>NOTE:</w:t>
            </w:r>
          </w:p>
          <w:p w:rsidR="00281D04" w:rsidRPr="00EE3A4B" w:rsidRDefault="00281D04" w:rsidP="00380FF9">
            <w:pPr>
              <w:rPr>
                <w:rFonts w:eastAsia="Calibri"/>
                <w:b/>
                <w:color w:val="FFFFFF"/>
                <w:sz w:val="18"/>
                <w:szCs w:val="18"/>
              </w:rPr>
            </w:pPr>
            <w:r w:rsidRPr="00EE3A4B">
              <w:rPr>
                <w:rFonts w:eastAsia="Calibri"/>
                <w:color w:val="FFFFFF"/>
                <w:sz w:val="18"/>
                <w:szCs w:val="18"/>
              </w:rPr>
              <w:t>[a]</w:t>
            </w:r>
            <w:r w:rsidR="00B97C91">
              <w:rPr>
                <w:rFonts w:eastAsia="Calibri"/>
                <w:color w:val="FFFFFF"/>
                <w:sz w:val="18"/>
                <w:szCs w:val="18"/>
              </w:rPr>
              <w:t xml:space="preserve"> </w:t>
            </w:r>
            <w:r w:rsidRPr="00EE3A4B">
              <w:rPr>
                <w:rFonts w:eastAsia="Calibri"/>
                <w:color w:val="FFFFFF"/>
                <w:sz w:val="18"/>
                <w:szCs w:val="18"/>
              </w:rPr>
              <w:t>Relative precision values are at the 85% confidence level.</w:t>
            </w:r>
          </w:p>
        </w:tc>
      </w:tr>
    </w:tbl>
    <w:p w:rsidR="00281D04" w:rsidRPr="00891F4B" w:rsidRDefault="00281D04" w:rsidP="00281D04"/>
    <w:p w:rsidR="00AD7467" w:rsidRPr="00AD7467" w:rsidRDefault="00AD7467" w:rsidP="00AD7467">
      <w:pPr>
        <w:pStyle w:val="AppendixAHeading4"/>
        <w:rPr>
          <w:rFonts w:eastAsia="Calibri"/>
        </w:rPr>
      </w:pPr>
      <w:r w:rsidRPr="00AD7467">
        <w:rPr>
          <w:rFonts w:eastAsia="Calibri"/>
        </w:rPr>
        <w:t>Residential Programs</w:t>
      </w:r>
    </w:p>
    <w:p w:rsidR="00AD7467" w:rsidRPr="00AD7467" w:rsidRDefault="00AD7467" w:rsidP="00AD7467">
      <w:pPr>
        <w:rPr>
          <w:rFonts w:eastAsia="Calibri"/>
        </w:rPr>
      </w:pPr>
      <w:r w:rsidRPr="00AD7467">
        <w:rPr>
          <w:rFonts w:eastAsia="Calibri"/>
        </w:rPr>
        <w:t>The energy realization rates for West Penn’s residential programs ranged from 87.6% to 135.1%. The demand realization rates ranged from 69.6% to 131.4%. West Penn achieved the 15% relative precision requirement at the 85% confidence level for both energy and demand for all residential programs.</w:t>
      </w:r>
    </w:p>
    <w:p w:rsidR="00AD7467" w:rsidRPr="00AD7467" w:rsidRDefault="00AD7467" w:rsidP="00AD7467">
      <w:pPr>
        <w:rPr>
          <w:rFonts w:eastAsia="Calibri"/>
        </w:rPr>
      </w:pPr>
    </w:p>
    <w:p w:rsidR="00AD7467" w:rsidRPr="00AD7467" w:rsidRDefault="00AD7467" w:rsidP="00AD7467">
      <w:pPr>
        <w:rPr>
          <w:rFonts w:eastAsia="Calibri"/>
        </w:rPr>
      </w:pPr>
      <w:r w:rsidRPr="00AD7467">
        <w:rPr>
          <w:rFonts w:eastAsia="Calibri"/>
        </w:rPr>
        <w:t>The Appliance Turn-In Program was evaluated through customer verification surveys to determine the fraction of refrigerators, freezers, and room air conditioners that were drawing power before retirement, as well as the other parameters necessary to determine the EUL from the TRM regression equation. The program realization rate is mostly a function of the difference between the ex ante and ex post EULs, the latter of which used actual PY7 collection data.</w:t>
      </w:r>
    </w:p>
    <w:p w:rsidR="00AD7467" w:rsidRPr="00AD7467" w:rsidRDefault="00AD7467" w:rsidP="00AD7467"/>
    <w:p w:rsidR="001E0C98" w:rsidRPr="0051723C" w:rsidRDefault="001E0C98" w:rsidP="001E0C98">
      <w:pPr>
        <w:rPr>
          <w:rFonts w:eastAsia="Calibri"/>
        </w:rPr>
      </w:pPr>
      <w:r w:rsidRPr="0051723C">
        <w:rPr>
          <w:rFonts w:eastAsia="Calibri"/>
        </w:rPr>
        <w:t>The evaluations of the upstream lighting and products portions of the Efficient Products Program involved reviews of sales invoices, a review of the tracking and reporting system, and a detailed review of CSP energy and demand savings calculations. The appliance portion and the HVAC equipment/tune-up portion were evaluated through an invoice review, customer surveys, and a review of the energy and demand calculations with reference to the ENERGY STAR database.</w:t>
      </w:r>
    </w:p>
    <w:p w:rsidR="001E0C98" w:rsidRDefault="001E0C98" w:rsidP="00AD7467">
      <w:pPr>
        <w:rPr>
          <w:rFonts w:eastAsia="Calibri"/>
        </w:rPr>
      </w:pPr>
    </w:p>
    <w:p w:rsidR="00AD7467" w:rsidRPr="00AD7467" w:rsidRDefault="00AD7467" w:rsidP="00AD7467">
      <w:pPr>
        <w:rPr>
          <w:rFonts w:eastAsia="Calibri"/>
        </w:rPr>
      </w:pPr>
      <w:r w:rsidRPr="00AD7467">
        <w:rPr>
          <w:rFonts w:eastAsia="Calibri"/>
        </w:rPr>
        <w:t>The evaluation contractor approached the evaluation differently for each branch of the Home Performance Program. The home energy audit kits were evaluated using the T&amp;R</w:t>
      </w:r>
      <w:r w:rsidR="008F60E1">
        <w:rPr>
          <w:rFonts w:eastAsia="Calibri"/>
        </w:rPr>
        <w:t xml:space="preserve"> </w:t>
      </w:r>
      <w:r w:rsidRPr="00AD7467">
        <w:rPr>
          <w:rFonts w:eastAsia="Calibri"/>
        </w:rPr>
        <w:t>system as well as online and phone surveys to determine the delivery and installation rates for each measure. The kit receipt rates and measure ISRs have been shown to fluctuate among EDCs, primarily due to statistical variations, and therefore average statewide ISRs are used for all four FirstEnergy companies. The new construction portion of the program was evaluated through an engineering review of a sample of projects in the portfolio. Energy and demand savings for this program were determined through REM/Rate software calculations, and the review focused on whether the modeling was performed correctly (including baseline assumptions) and if the results were reasonable. The prescriptive, low-cost direct</w:t>
      </w:r>
      <w:r w:rsidR="006722FB">
        <w:rPr>
          <w:rFonts w:eastAsia="Calibri"/>
        </w:rPr>
        <w:t>-</w:t>
      </w:r>
      <w:r w:rsidRPr="00AD7467">
        <w:rPr>
          <w:rFonts w:eastAsia="Calibri"/>
        </w:rPr>
        <w:t xml:space="preserve">install portion was evaluated by reviewing the T&amp;R system and sample invoices to check if the TRM calculations were performed correctly and if the invoices matched the information in the database. For comprehensive weatherization jobs, those that saved more than 2 MWh/yr were evaluated through billing analysis, and those saving under 2 MWh/yr received an invoice review. The HER portion was reviewed and duplicated </w:t>
      </w:r>
      <w:r w:rsidRPr="00AD7467">
        <w:rPr>
          <w:rFonts w:eastAsia="Calibri"/>
        </w:rPr>
        <w:lastRenderedPageBreak/>
        <w:t>by the evaluation contractor, producing results consistent with the implementation CSP’s. The contractor then conducted its own full evaluation of the savings using a lagged seasonal regression model and adjusting for dual participation.</w:t>
      </w:r>
    </w:p>
    <w:p w:rsidR="00AD7467" w:rsidRPr="00AD7467" w:rsidRDefault="00AD7467" w:rsidP="00AD7467"/>
    <w:p w:rsidR="00AD7467" w:rsidRPr="00AD7467" w:rsidRDefault="00AD7467" w:rsidP="00AD7467">
      <w:pPr>
        <w:pStyle w:val="AppendixAHeading4"/>
        <w:rPr>
          <w:rFonts w:eastAsia="Calibri"/>
        </w:rPr>
      </w:pPr>
      <w:r w:rsidRPr="00AD7467">
        <w:rPr>
          <w:rFonts w:eastAsia="Calibri"/>
        </w:rPr>
        <w:t>Low-Income Programs</w:t>
      </w:r>
    </w:p>
    <w:p w:rsidR="00AD7467" w:rsidRPr="00AD7467" w:rsidRDefault="00AD7467" w:rsidP="00AD7467">
      <w:r w:rsidRPr="00AD7467">
        <w:t>The evaluation contractor reviewed the tracking data and on-site verification forms and results to determine ISRs for the WARM direct-install measures. For giveaway events, the evaluation contractor reviewed the tracking database and applied the ISR from the 201</w:t>
      </w:r>
      <w:r w:rsidR="00590018">
        <w:t>5</w:t>
      </w:r>
      <w:r w:rsidRPr="00AD7467">
        <w:t xml:space="preserve"> TRM. There were no LILU energy kits distributed in PY7.</w:t>
      </w:r>
    </w:p>
    <w:p w:rsidR="00AD7467" w:rsidRPr="00AD7467" w:rsidRDefault="00AD7467" w:rsidP="00AD7467"/>
    <w:p w:rsidR="00AD7467" w:rsidRPr="00AD7467" w:rsidRDefault="00AD7467" w:rsidP="00AD7467">
      <w:pPr>
        <w:pStyle w:val="AppendixAHeading4"/>
        <w:rPr>
          <w:rFonts w:eastAsia="Calibri"/>
        </w:rPr>
      </w:pPr>
      <w:r w:rsidRPr="00AD7467">
        <w:rPr>
          <w:rFonts w:eastAsia="Calibri"/>
        </w:rPr>
        <w:t>Non-Residential Programs</w:t>
      </w:r>
    </w:p>
    <w:p w:rsidR="00AD7467" w:rsidRPr="00AD7467" w:rsidRDefault="00AD7467" w:rsidP="00AD7467">
      <w:r w:rsidRPr="00AD7467">
        <w:t xml:space="preserve">Realization rates for West Penn’s non-residential programs’ energy savings ranged from 74.7% to </w:t>
      </w:r>
      <w:r w:rsidR="00F21F28">
        <w:t>99.8</w:t>
      </w:r>
      <w:r w:rsidRPr="00AD7467">
        <w:t>%. Realization rates for demand reductions from these programs ranged from 8.3% to 131.</w:t>
      </w:r>
      <w:r w:rsidR="00F21F28">
        <w:t>4</w:t>
      </w:r>
      <w:r w:rsidRPr="00AD7467">
        <w:t>%. The Government and Institutional Program was responsible for the low realization rate of 8.3% for demand, but most projects were street lighting, which has a 0 coincidence factor. West Penn achieved the 15% precision requirement for kWh in all of its non-residential programs. It also achieved better than 15% precision for demand savings, although this is not a requirement for Phase II of Act 129.</w:t>
      </w:r>
    </w:p>
    <w:p w:rsidR="00AD7467" w:rsidRPr="00AD7467" w:rsidRDefault="00AD7467" w:rsidP="00AD7467">
      <w:r>
        <w:fldChar w:fldCharType="begin"/>
      </w:r>
      <w:r>
        <w:instrText xml:space="preserve"> REF _Ref472465723 \h </w:instrText>
      </w:r>
      <w:r>
        <w:fldChar w:fldCharType="end"/>
      </w:r>
      <w:r w:rsidR="007E0D0D">
        <w:t>Figure A-16</w:t>
      </w:r>
      <w:r w:rsidRPr="00AD7467">
        <w:t xml:space="preserve"> shows the frequency of each M&amp;V approach performed by ADM in PY7 for West Penn’s Small C/I Equipment Program evaluation sample and the verified energy savings associated with each M&amp;V approach. ADM used both basic and enhanced levels of rigor to evaluate projects in the sample. Basic rigor includes surveys, desk reviews, and simple on-site verification (no logging). Enhanced rigor includes the following options, as recorded by ADM. The first consists of utility billing analysis to determine energy savings. Typically, 12 months of pre- and post-installation billing data are required for this approach. The second general approach is on-site verification with logging. This may be light logger deployment or more robust measurement of the retrofitted system’s continuous energy usage. The third general approach involves modeling energy performance of a facility before and after the efficiency measure is installed with an energy simulation.</w:t>
      </w:r>
    </w:p>
    <w:p w:rsidR="007E0D0D" w:rsidRDefault="007E0D0D" w:rsidP="001F39E1">
      <w:pPr>
        <w:jc w:val="center"/>
        <w:rPr>
          <w:rStyle w:val="CaptionChar1"/>
        </w:rPr>
      </w:pPr>
      <w:bookmarkStart w:id="1017" w:name="_Ref472465723"/>
      <w:bookmarkStart w:id="1018" w:name="_Toc408557570"/>
      <w:bookmarkStart w:id="1019" w:name="_Toc408999446"/>
      <w:bookmarkStart w:id="1020" w:name="_Toc409224971"/>
      <w:bookmarkStart w:id="1021" w:name="_Toc409443650"/>
      <w:bookmarkStart w:id="1022" w:name="_Toc444269828"/>
    </w:p>
    <w:p w:rsidR="001F39E1" w:rsidRDefault="00AD7467" w:rsidP="001F39E1">
      <w:pPr>
        <w:jc w:val="center"/>
        <w:rPr>
          <w:rStyle w:val="CaptionChar1"/>
        </w:rPr>
      </w:pPr>
      <w:bookmarkStart w:id="1023" w:name="_Toc476842290"/>
      <w:r w:rsidRPr="001F39E1">
        <w:rPr>
          <w:rStyle w:val="CaptionChar1"/>
        </w:rPr>
        <w:t>Figure A-</w:t>
      </w:r>
      <w:r w:rsidR="008D7800" w:rsidRPr="001F39E1">
        <w:rPr>
          <w:rStyle w:val="CaptionChar1"/>
        </w:rPr>
        <w:fldChar w:fldCharType="begin"/>
      </w:r>
      <w:r w:rsidR="008D7800" w:rsidRPr="001F39E1">
        <w:rPr>
          <w:rStyle w:val="CaptionChar1"/>
        </w:rPr>
        <w:instrText xml:space="preserve"> SEQ Figure_A- \* ARABIC </w:instrText>
      </w:r>
      <w:r w:rsidR="008D7800" w:rsidRPr="001F39E1">
        <w:rPr>
          <w:rStyle w:val="CaptionChar1"/>
        </w:rPr>
        <w:fldChar w:fldCharType="separate"/>
      </w:r>
      <w:r w:rsidR="00C301D0">
        <w:rPr>
          <w:rStyle w:val="CaptionChar1"/>
          <w:noProof/>
        </w:rPr>
        <w:t>16</w:t>
      </w:r>
      <w:r w:rsidR="008D7800" w:rsidRPr="001F39E1">
        <w:rPr>
          <w:rStyle w:val="CaptionChar1"/>
        </w:rPr>
        <w:fldChar w:fldCharType="end"/>
      </w:r>
      <w:bookmarkEnd w:id="1017"/>
      <w:r w:rsidRPr="001F39E1">
        <w:rPr>
          <w:rStyle w:val="CaptionChar1"/>
        </w:rPr>
        <w:t xml:space="preserve">: Frequency of and Associated Energy Savings by M&amp;V Approach – Small C/I Equipment </w:t>
      </w:r>
      <w:bookmarkEnd w:id="1018"/>
      <w:bookmarkEnd w:id="1019"/>
      <w:bookmarkEnd w:id="1020"/>
      <w:bookmarkEnd w:id="1021"/>
      <w:r w:rsidRPr="001F39E1">
        <w:rPr>
          <w:rStyle w:val="CaptionChar1"/>
        </w:rPr>
        <w:t>Program</w:t>
      </w:r>
      <w:bookmarkEnd w:id="1022"/>
      <w:bookmarkEnd w:id="1023"/>
    </w:p>
    <w:p w:rsidR="00AD7467" w:rsidRPr="00AD7467" w:rsidRDefault="00AD7467" w:rsidP="001F39E1">
      <w:pPr>
        <w:jc w:val="center"/>
      </w:pPr>
      <w:r w:rsidRPr="001F39E1">
        <w:rPr>
          <w:noProof/>
        </w:rPr>
        <w:drawing>
          <wp:inline distT="0" distB="0" distL="0" distR="0" wp14:anchorId="05749818" wp14:editId="64FB7282">
            <wp:extent cx="5785951" cy="2186608"/>
            <wp:effectExtent l="0" t="0" r="5715" b="444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5">
                      <a:extLst>
                        <a:ext uri="{28A0092B-C50C-407E-A947-70E740481C1C}">
                          <a14:useLocalDpi xmlns:a14="http://schemas.microsoft.com/office/drawing/2010/main" val="0"/>
                        </a:ext>
                      </a:extLst>
                    </a:blip>
                    <a:srcRect l="7431" t="5423" r="6287" b="8902"/>
                    <a:stretch/>
                  </pic:blipFill>
                  <pic:spPr bwMode="auto">
                    <a:xfrm>
                      <a:off x="0" y="0"/>
                      <a:ext cx="5809213" cy="2195399"/>
                    </a:xfrm>
                    <a:prstGeom prst="rect">
                      <a:avLst/>
                    </a:prstGeom>
                    <a:noFill/>
                    <a:ln>
                      <a:noFill/>
                    </a:ln>
                    <a:extLst>
                      <a:ext uri="{53640926-AAD7-44D8-BBD7-CCE9431645EC}">
                        <a14:shadowObscured xmlns:a14="http://schemas.microsoft.com/office/drawing/2010/main"/>
                      </a:ext>
                    </a:extLst>
                  </pic:spPr>
                </pic:pic>
              </a:graphicData>
            </a:graphic>
          </wp:inline>
        </w:drawing>
      </w:r>
    </w:p>
    <w:p w:rsidR="00AD7467" w:rsidRPr="00AD7467" w:rsidRDefault="00AD7467" w:rsidP="00AD7467"/>
    <w:p w:rsidR="00AD7467" w:rsidRPr="00AD7467" w:rsidRDefault="007E0D0D" w:rsidP="00AD7467">
      <w:r>
        <w:t>Figure A-16</w:t>
      </w:r>
      <w:r w:rsidR="00AD7467" w:rsidRPr="00AD7467">
        <w:t xml:space="preserve"> indicates that 42% of the sampled measures for the Small C/I Equipment Program were evaluated using a basic level of rigor. However, the representative savings for these measures accounted for 12% of the energy savings. This suggests that basic rigor was used appropriately, predominately for </w:t>
      </w:r>
      <w:r w:rsidR="00AD7467" w:rsidRPr="00AD7467">
        <w:lastRenderedPageBreak/>
        <w:t>projects with smaller savings. Likewise, the more expensive enhanced rigor methods were reserved for a smaller number of projects, but these projects contributed a majority (88%) of the sample’s energy savings. The SWE Team supports this “value of information” approach, whereby more expensive evaluation techniques are reserved for projects that account for the greatest share of program savings.</w:t>
      </w:r>
    </w:p>
    <w:p w:rsidR="00AD7467" w:rsidRPr="00AD7467" w:rsidRDefault="00AD7467" w:rsidP="00AD7467"/>
    <w:p w:rsidR="00AD7467" w:rsidRPr="00AD7467" w:rsidRDefault="00AD7467" w:rsidP="00AD7467">
      <w:r>
        <w:fldChar w:fldCharType="begin"/>
      </w:r>
      <w:r>
        <w:instrText xml:space="preserve"> REF _Ref472465689 \h </w:instrText>
      </w:r>
      <w:r>
        <w:fldChar w:fldCharType="separate"/>
      </w:r>
      <w:r w:rsidR="00C301D0">
        <w:t>Figure A-</w:t>
      </w:r>
      <w:r w:rsidR="00C301D0">
        <w:rPr>
          <w:noProof/>
        </w:rPr>
        <w:t>17</w:t>
      </w:r>
      <w:r>
        <w:fldChar w:fldCharType="end"/>
      </w:r>
      <w:r w:rsidRPr="00AD7467">
        <w:t xml:space="preserve"> shows the frequency of each M&amp;V method used in the Small C/I Buildings Program and the energy savings associated with each method. Basic rigor was used to evaluate 79% of projects, and these projects made up 52% of the savings.</w:t>
      </w:r>
    </w:p>
    <w:p w:rsidR="008F60E1" w:rsidRPr="00AD7467" w:rsidRDefault="008F60E1" w:rsidP="00AD7467"/>
    <w:p w:rsidR="00AD7467" w:rsidRPr="00AD7467" w:rsidRDefault="00AD7467" w:rsidP="00AD7467">
      <w:pPr>
        <w:pStyle w:val="Caption"/>
      </w:pPr>
      <w:bookmarkStart w:id="1024" w:name="_Ref472465689"/>
      <w:bookmarkStart w:id="1025" w:name="_Toc444269829"/>
      <w:bookmarkStart w:id="1026" w:name="_Toc476842291"/>
      <w:r>
        <w:t>Figure A-</w:t>
      </w:r>
      <w:fldSimple w:instr=" SEQ Figure_A- \* ARABIC ">
        <w:r w:rsidR="00C301D0">
          <w:rPr>
            <w:noProof/>
          </w:rPr>
          <w:t>17</w:t>
        </w:r>
      </w:fldSimple>
      <w:bookmarkEnd w:id="1024"/>
      <w:r>
        <w:t xml:space="preserve">: </w:t>
      </w:r>
      <w:r w:rsidRPr="00AD7467">
        <w:t>Frequency of and Associated Energy Savings by M&amp;V Approach – Small C/I Buildings Program</w:t>
      </w:r>
      <w:bookmarkEnd w:id="1025"/>
      <w:bookmarkEnd w:id="1026"/>
    </w:p>
    <w:p w:rsidR="00AD7467" w:rsidRPr="00AD7467" w:rsidRDefault="00AD7467" w:rsidP="00AD7467">
      <w:pPr>
        <w:jc w:val="center"/>
      </w:pPr>
      <w:r w:rsidRPr="00AD7467">
        <w:rPr>
          <w:noProof/>
        </w:rPr>
        <w:drawing>
          <wp:inline distT="0" distB="0" distL="0" distR="0" wp14:anchorId="1D64E25C" wp14:editId="424CA3EF">
            <wp:extent cx="5893904" cy="2215936"/>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6">
                      <a:extLst>
                        <a:ext uri="{28A0092B-C50C-407E-A947-70E740481C1C}">
                          <a14:useLocalDpi xmlns:a14="http://schemas.microsoft.com/office/drawing/2010/main" val="0"/>
                        </a:ext>
                      </a:extLst>
                    </a:blip>
                    <a:srcRect l="7705" t="5410" r="6298" b="9833"/>
                    <a:stretch/>
                  </pic:blipFill>
                  <pic:spPr bwMode="auto">
                    <a:xfrm>
                      <a:off x="0" y="0"/>
                      <a:ext cx="5908275" cy="2221339"/>
                    </a:xfrm>
                    <a:prstGeom prst="rect">
                      <a:avLst/>
                    </a:prstGeom>
                    <a:noFill/>
                    <a:ln>
                      <a:noFill/>
                    </a:ln>
                    <a:extLst>
                      <a:ext uri="{53640926-AAD7-44D8-BBD7-CCE9431645EC}">
                        <a14:shadowObscured xmlns:a14="http://schemas.microsoft.com/office/drawing/2010/main"/>
                      </a:ext>
                    </a:extLst>
                  </pic:spPr>
                </pic:pic>
              </a:graphicData>
            </a:graphic>
          </wp:inline>
        </w:drawing>
      </w:r>
    </w:p>
    <w:p w:rsidR="00AD7467" w:rsidRPr="00AD7467" w:rsidRDefault="00AD7467" w:rsidP="00AD7467"/>
    <w:p w:rsidR="00AD7467" w:rsidRPr="00AD7467" w:rsidRDefault="00AD7467" w:rsidP="00AD7467">
      <w:r>
        <w:fldChar w:fldCharType="begin"/>
      </w:r>
      <w:r>
        <w:instrText xml:space="preserve"> REF _Ref472465671 \h </w:instrText>
      </w:r>
      <w:r>
        <w:fldChar w:fldCharType="separate"/>
      </w:r>
      <w:r w:rsidR="00C301D0">
        <w:t>Figure A-</w:t>
      </w:r>
      <w:r w:rsidR="00C301D0">
        <w:rPr>
          <w:noProof/>
        </w:rPr>
        <w:t>18</w:t>
      </w:r>
      <w:r>
        <w:fldChar w:fldCharType="end"/>
      </w:r>
      <w:r w:rsidRPr="00AD7467">
        <w:t xml:space="preserve"> shows the frequency of each M&amp;V method used in the Large C/I Equipment Program and the energy savings associated with each method. Enhanced rigor was used for a majority of the projects (85%), and these projects accounted for the vast majority of the savings. Basic rigor was appropriately limited to those projects with less savings.</w:t>
      </w:r>
    </w:p>
    <w:p w:rsidR="00AD7467" w:rsidRDefault="00AD7467" w:rsidP="00AD7467"/>
    <w:p w:rsidR="00FD4D90" w:rsidRDefault="00FD4D90" w:rsidP="00AD7467"/>
    <w:p w:rsidR="00FD4D90" w:rsidRDefault="00FD4D90" w:rsidP="00AD7467"/>
    <w:p w:rsidR="00FD4D90" w:rsidRDefault="00FD4D90" w:rsidP="00AD7467"/>
    <w:p w:rsidR="00FD4D90" w:rsidRDefault="00FD4D90" w:rsidP="00AD7467"/>
    <w:p w:rsidR="00FD4D90" w:rsidRDefault="00FD4D90" w:rsidP="00AD7467"/>
    <w:p w:rsidR="00FD4D90" w:rsidRDefault="00FD4D90" w:rsidP="00AD7467"/>
    <w:p w:rsidR="00FD4D90" w:rsidRDefault="00FD4D90" w:rsidP="00AD7467"/>
    <w:p w:rsidR="00FD4D90" w:rsidRDefault="00FD4D90" w:rsidP="00AD7467"/>
    <w:p w:rsidR="00FD4D90" w:rsidRDefault="00FD4D90" w:rsidP="00AD7467"/>
    <w:p w:rsidR="00FD4D90" w:rsidRDefault="00FD4D90" w:rsidP="00AD7467"/>
    <w:p w:rsidR="00FD4D90" w:rsidRDefault="00FD4D90" w:rsidP="00AD7467"/>
    <w:p w:rsidR="00FD4D90" w:rsidRDefault="00FD4D90" w:rsidP="00AD7467"/>
    <w:p w:rsidR="00FD4D90" w:rsidRDefault="00FD4D90" w:rsidP="00AD7467"/>
    <w:p w:rsidR="00FD4D90" w:rsidRDefault="00FD4D90" w:rsidP="00AD7467"/>
    <w:p w:rsidR="00AD7467" w:rsidRPr="00AD7467" w:rsidRDefault="00AD7467" w:rsidP="00AD7467">
      <w:pPr>
        <w:pStyle w:val="Caption"/>
      </w:pPr>
      <w:bookmarkStart w:id="1027" w:name="_Ref472465671"/>
      <w:bookmarkStart w:id="1028" w:name="_Toc444269830"/>
      <w:bookmarkStart w:id="1029" w:name="_Toc476842292"/>
      <w:r>
        <w:t>Figure A-</w:t>
      </w:r>
      <w:fldSimple w:instr=" SEQ Figure_A- \* ARABIC ">
        <w:r w:rsidR="00C301D0">
          <w:rPr>
            <w:noProof/>
          </w:rPr>
          <w:t>18</w:t>
        </w:r>
      </w:fldSimple>
      <w:bookmarkEnd w:id="1027"/>
      <w:r>
        <w:t xml:space="preserve">: </w:t>
      </w:r>
      <w:r w:rsidRPr="00AD7467">
        <w:t>Frequency of and Associated Energy Savings by M&amp;V Approach – Large C/I Equipment Program</w:t>
      </w:r>
      <w:bookmarkEnd w:id="1028"/>
      <w:bookmarkEnd w:id="1029"/>
    </w:p>
    <w:p w:rsidR="00AD7467" w:rsidRPr="00AD7467" w:rsidRDefault="00AD7467" w:rsidP="00AD7467">
      <w:pPr>
        <w:jc w:val="center"/>
      </w:pPr>
      <w:r w:rsidRPr="00AD7467">
        <w:rPr>
          <w:noProof/>
        </w:rPr>
        <w:drawing>
          <wp:inline distT="0" distB="0" distL="0" distR="0" wp14:anchorId="1139F0BA" wp14:editId="76D4CE6F">
            <wp:extent cx="5923252" cy="2244654"/>
            <wp:effectExtent l="0" t="0" r="1905"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7">
                      <a:extLst>
                        <a:ext uri="{28A0092B-C50C-407E-A947-70E740481C1C}">
                          <a14:useLocalDpi xmlns:a14="http://schemas.microsoft.com/office/drawing/2010/main" val="0"/>
                        </a:ext>
                      </a:extLst>
                    </a:blip>
                    <a:srcRect l="7568" t="5049" r="6009" b="9098"/>
                    <a:stretch/>
                  </pic:blipFill>
                  <pic:spPr bwMode="auto">
                    <a:xfrm>
                      <a:off x="0" y="0"/>
                      <a:ext cx="5938730" cy="2250519"/>
                    </a:xfrm>
                    <a:prstGeom prst="rect">
                      <a:avLst/>
                    </a:prstGeom>
                    <a:noFill/>
                    <a:ln>
                      <a:noFill/>
                    </a:ln>
                    <a:extLst>
                      <a:ext uri="{53640926-AAD7-44D8-BBD7-CCE9431645EC}">
                        <a14:shadowObscured xmlns:a14="http://schemas.microsoft.com/office/drawing/2010/main"/>
                      </a:ext>
                    </a:extLst>
                  </pic:spPr>
                </pic:pic>
              </a:graphicData>
            </a:graphic>
          </wp:inline>
        </w:drawing>
      </w:r>
    </w:p>
    <w:p w:rsidR="00AD7467" w:rsidRPr="00AD7467" w:rsidRDefault="00AD7467" w:rsidP="00AD7467">
      <w:r>
        <w:fldChar w:fldCharType="begin"/>
      </w:r>
      <w:r>
        <w:instrText xml:space="preserve"> REF _Ref472465648 \h </w:instrText>
      </w:r>
      <w:r>
        <w:fldChar w:fldCharType="separate"/>
      </w:r>
      <w:r w:rsidR="00C301D0">
        <w:t>Figure A-</w:t>
      </w:r>
      <w:r w:rsidR="00C301D0">
        <w:rPr>
          <w:noProof/>
        </w:rPr>
        <w:t>19</w:t>
      </w:r>
      <w:r>
        <w:fldChar w:fldCharType="end"/>
      </w:r>
      <w:r w:rsidRPr="00AD7467">
        <w:t xml:space="preserve"> shows the frequency of each M&amp;V method used in the Large C/I Buildings Program and the energy savings associated with each method. Enhanced rigor was used for a majority of the projects (56%), and these projects accounted for most of the savings (83%). </w:t>
      </w:r>
    </w:p>
    <w:p w:rsidR="00AD7467" w:rsidRPr="00AD7467" w:rsidRDefault="00AD7467" w:rsidP="00AD7467"/>
    <w:p w:rsidR="00AD7467" w:rsidRPr="00AD7467" w:rsidRDefault="00AD7467" w:rsidP="00AD7467">
      <w:pPr>
        <w:pStyle w:val="Caption"/>
      </w:pPr>
      <w:bookmarkStart w:id="1030" w:name="_Ref472465648"/>
      <w:bookmarkStart w:id="1031" w:name="_Toc476842293"/>
      <w:r>
        <w:t>Figure A-</w:t>
      </w:r>
      <w:fldSimple w:instr=" SEQ Figure_A- \* ARABIC ">
        <w:r w:rsidR="00C301D0">
          <w:rPr>
            <w:noProof/>
          </w:rPr>
          <w:t>19</w:t>
        </w:r>
      </w:fldSimple>
      <w:bookmarkEnd w:id="1030"/>
      <w:r>
        <w:t xml:space="preserve">: </w:t>
      </w:r>
      <w:r w:rsidRPr="00AD7467">
        <w:t>Frequency of and Associated Energy Savings by M&amp;V Approach – Large C/I Buildings Program</w:t>
      </w:r>
      <w:bookmarkEnd w:id="1031"/>
    </w:p>
    <w:p w:rsidR="00AD7467" w:rsidRPr="00AD7467" w:rsidRDefault="00AD7467" w:rsidP="00AD7467">
      <w:pPr>
        <w:jc w:val="center"/>
      </w:pPr>
      <w:r w:rsidRPr="00AD7467">
        <w:rPr>
          <w:noProof/>
        </w:rPr>
        <w:drawing>
          <wp:inline distT="0" distB="0" distL="0" distR="0" wp14:anchorId="5D00615F" wp14:editId="72A46CD3">
            <wp:extent cx="5963285" cy="2289559"/>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8">
                      <a:extLst>
                        <a:ext uri="{28A0092B-C50C-407E-A947-70E740481C1C}">
                          <a14:useLocalDpi xmlns:a14="http://schemas.microsoft.com/office/drawing/2010/main" val="0"/>
                        </a:ext>
                      </a:extLst>
                    </a:blip>
                    <a:srcRect l="7569" t="4699" r="6422" b="8534"/>
                    <a:stretch/>
                  </pic:blipFill>
                  <pic:spPr bwMode="auto">
                    <a:xfrm>
                      <a:off x="0" y="0"/>
                      <a:ext cx="5979472" cy="2295774"/>
                    </a:xfrm>
                    <a:prstGeom prst="rect">
                      <a:avLst/>
                    </a:prstGeom>
                    <a:noFill/>
                    <a:ln>
                      <a:noFill/>
                    </a:ln>
                    <a:extLst>
                      <a:ext uri="{53640926-AAD7-44D8-BBD7-CCE9431645EC}">
                        <a14:shadowObscured xmlns:a14="http://schemas.microsoft.com/office/drawing/2010/main"/>
                      </a:ext>
                    </a:extLst>
                  </pic:spPr>
                </pic:pic>
              </a:graphicData>
            </a:graphic>
          </wp:inline>
        </w:drawing>
      </w:r>
    </w:p>
    <w:p w:rsidR="00AD7467" w:rsidRPr="00AD7467" w:rsidRDefault="00AD7467" w:rsidP="00AD7467"/>
    <w:p w:rsidR="00A874AC" w:rsidRPr="00AD7467" w:rsidRDefault="00AD7467" w:rsidP="00AD7467">
      <w:r>
        <w:fldChar w:fldCharType="begin"/>
      </w:r>
      <w:r>
        <w:instrText xml:space="preserve"> REF _Ref472465622 \h </w:instrText>
      </w:r>
      <w:r>
        <w:fldChar w:fldCharType="separate"/>
      </w:r>
    </w:p>
    <w:p w:rsidR="00AD7467" w:rsidRPr="00AD7467" w:rsidRDefault="00A874AC" w:rsidP="00AD7467">
      <w:r>
        <w:t>Figure A-</w:t>
      </w:r>
      <w:r>
        <w:rPr>
          <w:noProof/>
        </w:rPr>
        <w:t>20</w:t>
      </w:r>
      <w:r w:rsidR="00AD7467">
        <w:fldChar w:fldCharType="end"/>
      </w:r>
      <w:r w:rsidR="00AD7467" w:rsidRPr="00AD7467">
        <w:t xml:space="preserve"> shows the frequency of each M&amp;V method used in the Government and Institutional Program and the energy savings associated with each method. Basic rigor was used for 65% of the projects, but these projects accounted for only 44% of the savings.</w:t>
      </w:r>
    </w:p>
    <w:p w:rsidR="00FA78C7" w:rsidRDefault="00FA78C7" w:rsidP="00AD7467">
      <w:bookmarkStart w:id="1032" w:name="_Ref472465622"/>
      <w:bookmarkStart w:id="1033" w:name="_Toc408557573"/>
      <w:bookmarkStart w:id="1034" w:name="_Toc408999449"/>
      <w:bookmarkStart w:id="1035" w:name="_Toc409224974"/>
      <w:bookmarkStart w:id="1036" w:name="_Toc409443653"/>
      <w:bookmarkStart w:id="1037" w:name="_Toc444269831"/>
    </w:p>
    <w:p w:rsidR="00FD4D90" w:rsidRDefault="00FD4D90" w:rsidP="00AD7467"/>
    <w:p w:rsidR="00FD4D90" w:rsidRDefault="00FD4D90" w:rsidP="00AD7467"/>
    <w:p w:rsidR="00FD4D90" w:rsidRDefault="00FD4D90" w:rsidP="00AD7467"/>
    <w:p w:rsidR="00FD4D90" w:rsidRDefault="00FD4D90" w:rsidP="00AD7467"/>
    <w:p w:rsidR="00FD4D90" w:rsidRDefault="00FD4D90" w:rsidP="00AD7467"/>
    <w:p w:rsidR="00FD4D90" w:rsidRDefault="00FD4D90" w:rsidP="00AD7467"/>
    <w:p w:rsidR="00FD4D90" w:rsidRPr="00AD7467" w:rsidRDefault="00FD4D90" w:rsidP="00AD7467"/>
    <w:p w:rsidR="00AD7467" w:rsidRPr="00AD7467" w:rsidRDefault="00AD7467" w:rsidP="00AD7467">
      <w:pPr>
        <w:pStyle w:val="Caption"/>
      </w:pPr>
      <w:bookmarkStart w:id="1038" w:name="_Toc476842294"/>
      <w:r>
        <w:t>Figure A-</w:t>
      </w:r>
      <w:fldSimple w:instr=" SEQ Figure_A- \* ARABIC ">
        <w:r w:rsidR="00C301D0">
          <w:rPr>
            <w:noProof/>
          </w:rPr>
          <w:t>20</w:t>
        </w:r>
      </w:fldSimple>
      <w:bookmarkEnd w:id="1032"/>
      <w:r>
        <w:t xml:space="preserve">: </w:t>
      </w:r>
      <w:r w:rsidRPr="00AD7467">
        <w:t>Frequency of and Associated Energy Savings by M&amp;V Approach – Government and Institutional Program</w:t>
      </w:r>
      <w:bookmarkEnd w:id="1033"/>
      <w:bookmarkEnd w:id="1034"/>
      <w:bookmarkEnd w:id="1035"/>
      <w:bookmarkEnd w:id="1036"/>
      <w:bookmarkEnd w:id="1037"/>
      <w:bookmarkEnd w:id="1038"/>
    </w:p>
    <w:p w:rsidR="00AD7467" w:rsidRPr="00AD7467" w:rsidRDefault="00AD7467" w:rsidP="00AD7467">
      <w:pPr>
        <w:jc w:val="center"/>
      </w:pPr>
      <w:r w:rsidRPr="00AD7467">
        <w:rPr>
          <w:noProof/>
        </w:rPr>
        <w:drawing>
          <wp:inline distT="0" distB="0" distL="0" distR="0" wp14:anchorId="28EFC966" wp14:editId="120E1384">
            <wp:extent cx="5794513" cy="219694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9">
                      <a:extLst>
                        <a:ext uri="{28A0092B-C50C-407E-A947-70E740481C1C}">
                          <a14:useLocalDpi xmlns:a14="http://schemas.microsoft.com/office/drawing/2010/main" val="0"/>
                        </a:ext>
                      </a:extLst>
                    </a:blip>
                    <a:srcRect l="7464" t="5049" r="6155" b="9458"/>
                    <a:stretch/>
                  </pic:blipFill>
                  <pic:spPr bwMode="auto">
                    <a:xfrm>
                      <a:off x="0" y="0"/>
                      <a:ext cx="5823875" cy="2208073"/>
                    </a:xfrm>
                    <a:prstGeom prst="rect">
                      <a:avLst/>
                    </a:prstGeom>
                    <a:noFill/>
                    <a:ln>
                      <a:noFill/>
                    </a:ln>
                    <a:extLst>
                      <a:ext uri="{53640926-AAD7-44D8-BBD7-CCE9431645EC}">
                        <a14:shadowObscured xmlns:a14="http://schemas.microsoft.com/office/drawing/2010/main"/>
                      </a:ext>
                    </a:extLst>
                  </pic:spPr>
                </pic:pic>
              </a:graphicData>
            </a:graphic>
          </wp:inline>
        </w:drawing>
      </w:r>
    </w:p>
    <w:p w:rsidR="00AD7467" w:rsidRPr="00AD7467" w:rsidRDefault="00AD7467" w:rsidP="00AD7467"/>
    <w:p w:rsidR="00950837" w:rsidRDefault="00950837" w:rsidP="00D34B3E">
      <w:pPr>
        <w:pStyle w:val="AppendixAHeading3"/>
      </w:pPr>
      <w:r>
        <w:t>Process Evaluation Activities and Findings</w:t>
      </w:r>
    </w:p>
    <w:p w:rsidR="00C668C9" w:rsidRDefault="00C668C9" w:rsidP="00C668C9">
      <w:r w:rsidRPr="00661E10">
        <w:t>FirstEnergy’s evaluation contractor, ADM</w:t>
      </w:r>
      <w:r w:rsidR="0009501A">
        <w:t>/Tetra Tech</w:t>
      </w:r>
      <w:r w:rsidRPr="00661E10">
        <w:t xml:space="preserve">, took unified process evaluation approaches to these programs across the four FirstEnergy EDCs, including </w:t>
      </w:r>
      <w:r>
        <w:t>West Penn</w:t>
      </w:r>
      <w:r w:rsidRPr="00661E10">
        <w:t>, and so the annual evaluation reports of the four EDCs report identical information about the process evaluation.</w:t>
      </w:r>
      <w:r>
        <w:t xml:space="preserve"> Refer to Section </w:t>
      </w:r>
      <w:r>
        <w:fldChar w:fldCharType="begin"/>
      </w:r>
      <w:r>
        <w:instrText xml:space="preserve"> REF _Ref472450362 \r \h </w:instrText>
      </w:r>
      <w:r>
        <w:fldChar w:fldCharType="separate"/>
      </w:r>
      <w:r w:rsidR="00C301D0">
        <w:t>A.2.3.3</w:t>
      </w:r>
      <w:r>
        <w:fldChar w:fldCharType="end"/>
      </w:r>
      <w:r>
        <w:t xml:space="preserve"> for an overview of ADM</w:t>
      </w:r>
      <w:r w:rsidR="0009501A">
        <w:t>/Tetra Tech</w:t>
      </w:r>
      <w:r>
        <w:t>’s process evaluation activities and findings.</w:t>
      </w:r>
    </w:p>
    <w:p w:rsidR="00C668C9" w:rsidRDefault="00C668C9" w:rsidP="00C668C9"/>
    <w:p w:rsidR="006D710B" w:rsidRDefault="006D710B" w:rsidP="00C668C9"/>
    <w:p w:rsidR="00950837" w:rsidRDefault="00950837" w:rsidP="0043541C">
      <w:pPr>
        <w:pStyle w:val="AppendixAHeading2"/>
      </w:pPr>
      <w:r>
        <w:t>Statewide Evaluator Audit Activities and Findings</w:t>
      </w:r>
    </w:p>
    <w:p w:rsidR="00C737E8" w:rsidRPr="00C737E8" w:rsidRDefault="00C737E8" w:rsidP="00C737E8">
      <w:r w:rsidRPr="00C737E8">
        <w:t xml:space="preserve">This section presents the activities of the SWE Team’s audits of </w:t>
      </w:r>
      <w:r>
        <w:t xml:space="preserve">West </w:t>
      </w:r>
      <w:r w:rsidRPr="00C737E8">
        <w:t>Pen</w:t>
      </w:r>
      <w:r>
        <w:t>n‘s</w:t>
      </w:r>
      <w:r w:rsidRPr="00C737E8">
        <w:t xml:space="preserve"> portfolio of programs. It provides summary information and key findings from the SWE Team’s residential, low-income, non-residential, and NTG and process evaluation audit activities.</w:t>
      </w:r>
    </w:p>
    <w:p w:rsidR="00C737E8" w:rsidRPr="00C737E8" w:rsidRDefault="00C737E8" w:rsidP="00C737E8"/>
    <w:p w:rsidR="00950837" w:rsidRDefault="00950837" w:rsidP="00D34B3E">
      <w:pPr>
        <w:pStyle w:val="AppendixAHeading3"/>
      </w:pPr>
      <w:r>
        <w:t>Residential Program Audit Summary</w:t>
      </w:r>
    </w:p>
    <w:p w:rsidR="00A476EB" w:rsidRPr="00A476EB" w:rsidRDefault="00A476EB" w:rsidP="00A476EB">
      <w:pPr>
        <w:pStyle w:val="AppendixAHeading4"/>
        <w:rPr>
          <w:rFonts w:eastAsia="Calibri"/>
        </w:rPr>
      </w:pPr>
      <w:r w:rsidRPr="00A476EB">
        <w:rPr>
          <w:rFonts w:eastAsia="Calibri"/>
        </w:rPr>
        <w:t>Residential Lighting</w:t>
      </w:r>
    </w:p>
    <w:p w:rsidR="00A476EB" w:rsidRPr="00A476EB" w:rsidRDefault="00A476EB" w:rsidP="00A476EB">
      <w:pPr>
        <w:rPr>
          <w:rFonts w:eastAsia="Calibri"/>
        </w:rPr>
      </w:pPr>
      <w:r w:rsidRPr="00A476EB">
        <w:rPr>
          <w:rFonts w:eastAsia="Calibri"/>
        </w:rPr>
        <w:t>For PY7, residential upstream lighting accounted for a majority of the reported savings in West Penn’s Efficient Products Program. The SWE Team reviewed the database and tracking system submitted by West Penn and its evaluation contractor to verify that the correct savings algorithms and deemed savings values were used in the program. The SWE Team also reviewed 10 invoices and product data sheets covering many different bulb types, from standard CFLs to decorative LEDs and floodlight bulbs. Due to the format of the tracking database, the SWE Team easily confirmed that the 2015 TRM was appropriately used for the calculations to quantify the program savings. The SWE Team also verified that FirstEnergy’s evaluation contractor correctly noted any discrepancies in the census data and accounted for any adjustments in the verified savings data.</w:t>
      </w:r>
    </w:p>
    <w:p w:rsidR="00A476EB" w:rsidRPr="00A476EB" w:rsidRDefault="00A476EB" w:rsidP="00A476EB">
      <w:pPr>
        <w:rPr>
          <w:rFonts w:eastAsia="Calibri"/>
        </w:rPr>
      </w:pPr>
    </w:p>
    <w:p w:rsidR="00A476EB" w:rsidRPr="00A476EB" w:rsidRDefault="00A476EB" w:rsidP="00A476EB">
      <w:pPr>
        <w:pStyle w:val="AppendixAHeading4"/>
        <w:rPr>
          <w:rFonts w:eastAsia="Calibri"/>
        </w:rPr>
      </w:pPr>
      <w:r w:rsidRPr="00A476EB">
        <w:rPr>
          <w:rFonts w:eastAsia="Calibri"/>
        </w:rPr>
        <w:t>Appliance Turn-In Program</w:t>
      </w:r>
    </w:p>
    <w:p w:rsidR="00A476EB" w:rsidRPr="00A476EB" w:rsidRDefault="00A476EB" w:rsidP="00A476EB">
      <w:pPr>
        <w:rPr>
          <w:rFonts w:eastAsia="Calibri"/>
        </w:rPr>
      </w:pPr>
      <w:r w:rsidRPr="00A476EB">
        <w:rPr>
          <w:rFonts w:eastAsia="Calibri"/>
        </w:rPr>
        <w:t>The SWE Team reviewed the spreadsheets and database used to calculate West Penn’s verified gross savings. Unlike in previous years where the evaluation contractor simply used the deemed UECs from the TRM, in PY7 the contractor calculated a utility-specific UEC from the PY7 appliance recycling customer database. The SWE Team confirmed that the UECs were calculated correctly using the 2015 TRM regression coefficients and PY7 West Penn customer data and that they were used correctly in determining annual kWh and kW savings. Because of a difference in how gross savings are calculated in the 2015 TRM, it was not necessary to account for refrigerator replacement. This is taken into account only in the net savings calculations. The Excel worksheets documented calculations clearly and were easy to follow.</w:t>
      </w:r>
    </w:p>
    <w:p w:rsidR="00A476EB" w:rsidRPr="00A476EB" w:rsidRDefault="00A476EB" w:rsidP="00A476EB">
      <w:pPr>
        <w:rPr>
          <w:rFonts w:eastAsia="Calibri"/>
        </w:rPr>
      </w:pPr>
    </w:p>
    <w:p w:rsidR="00A476EB" w:rsidRPr="00A476EB" w:rsidRDefault="00A476EB" w:rsidP="00A476EB">
      <w:pPr>
        <w:pStyle w:val="AppendixAHeading4"/>
        <w:rPr>
          <w:rFonts w:eastAsia="Calibri"/>
        </w:rPr>
      </w:pPr>
      <w:r w:rsidRPr="00A476EB">
        <w:rPr>
          <w:rFonts w:eastAsia="Calibri"/>
        </w:rPr>
        <w:t>Efficient Products Program</w:t>
      </w:r>
    </w:p>
    <w:p w:rsidR="00A476EB" w:rsidRPr="00A476EB" w:rsidRDefault="00A476EB" w:rsidP="00A476EB">
      <w:pPr>
        <w:rPr>
          <w:rFonts w:eastAsia="Calibri"/>
        </w:rPr>
      </w:pPr>
      <w:r w:rsidRPr="00A476EB">
        <w:rPr>
          <w:rFonts w:eastAsia="Calibri"/>
        </w:rPr>
        <w:t>The SWE Team thoroughly reviewed the data-tracking and reporting system containing the savings calculation and rebate invoice information for all of the Efficient Products Program strata. Additionally, it checked the proper use of the 2015 TRM in calculating the savings for each of the product types. The SWE found that the HPWH savings calculations strayed slightly from the TRM, but in an acceptably conservative fashion. According to the TRM, the HVAC interactive effect penalty only needs to be taken into account when the HPWH is installed in conditioned space and not when the default F</w:t>
      </w:r>
      <w:r w:rsidRPr="00A476EB">
        <w:rPr>
          <w:rFonts w:eastAsia="Calibri"/>
          <w:vertAlign w:val="subscript"/>
        </w:rPr>
        <w:t>derate</w:t>
      </w:r>
      <w:r w:rsidRPr="00A476EB">
        <w:rPr>
          <w:rFonts w:eastAsia="Calibri"/>
        </w:rPr>
        <w:t xml:space="preserve"> value is used. The evaluation contractor assumed both, which made the kWh estimates slightly conservative.</w:t>
      </w:r>
    </w:p>
    <w:p w:rsidR="00A476EB" w:rsidRPr="00A476EB" w:rsidRDefault="00A476EB" w:rsidP="00A476EB">
      <w:pPr>
        <w:rPr>
          <w:rFonts w:eastAsia="Calibri"/>
        </w:rPr>
      </w:pPr>
    </w:p>
    <w:p w:rsidR="00A476EB" w:rsidRPr="00A476EB" w:rsidRDefault="00A476EB" w:rsidP="00A476EB">
      <w:pPr>
        <w:pStyle w:val="AppendixAHeading4"/>
        <w:rPr>
          <w:rFonts w:eastAsia="Calibri"/>
        </w:rPr>
      </w:pPr>
      <w:r w:rsidRPr="00A476EB">
        <w:rPr>
          <w:rFonts w:eastAsia="Calibri"/>
        </w:rPr>
        <w:t>Home Performance</w:t>
      </w:r>
    </w:p>
    <w:p w:rsidR="00A476EB" w:rsidRPr="00A476EB" w:rsidRDefault="00A476EB" w:rsidP="00A476EB">
      <w:r w:rsidRPr="00A476EB">
        <w:t>The SWE Team audited each operational component of the Home Performance Program: whole house direct install, home energy audit conservation kits, new homes, and HERs (the school conservation kits component did not operate in PY7). The HERs accounted for a majority (86%) of the Home Performance Program savings in PY7. The SWE Team verified that the correct 2015 TRM savings were used for all measures in the home energy audit conservation kits and that the FirstEnergy statewide receipt rate and ISRs were correctly applied to the items.</w:t>
      </w:r>
    </w:p>
    <w:p w:rsidR="00A476EB" w:rsidRPr="00A476EB" w:rsidRDefault="00A476EB" w:rsidP="00A476EB">
      <w:pPr>
        <w:spacing w:before="240"/>
      </w:pPr>
      <w:r w:rsidRPr="00A476EB">
        <w:t>For the whole house direct</w:t>
      </w:r>
      <w:r w:rsidR="006722FB">
        <w:t>-</w:t>
      </w:r>
      <w:r w:rsidRPr="00A476EB">
        <w:t xml:space="preserve">install component, the SWE Team verified that the five highest contributing prescriptive measures and five randomly selected measures were calculated properly per the TRM protocols. The HER component received a full evaluation for the first time in Phase II in PY7. Due to the one-year measure life, it was unnecessary to evaluate this component in the other years. The SWE reviewed the independent analysis performed by the </w:t>
      </w:r>
      <w:r w:rsidRPr="00A476EB">
        <w:rPr>
          <w:rFonts w:eastAsia="Calibri"/>
        </w:rPr>
        <w:t xml:space="preserve">evaluation contractor </w:t>
      </w:r>
      <w:r w:rsidRPr="00A476EB">
        <w:t>and verified that it was done correctly. There was good consistency between the results of the three analyses performed (</w:t>
      </w:r>
      <w:r w:rsidR="00A92A46">
        <w:t>OPower</w:t>
      </w:r>
      <w:r w:rsidRPr="00A476EB">
        <w:t xml:space="preserve">’s, ADM’s replication of </w:t>
      </w:r>
      <w:r w:rsidR="00A92A46">
        <w:t>OPower</w:t>
      </w:r>
      <w:r w:rsidRPr="00A476EB">
        <w:t>, and ADM’s), and the overall realization rate was 86%.</w:t>
      </w:r>
    </w:p>
    <w:p w:rsidR="00A476EB" w:rsidRPr="00A476EB" w:rsidRDefault="00A476EB" w:rsidP="00A476EB"/>
    <w:p w:rsidR="00950837" w:rsidRDefault="00950837" w:rsidP="00D34B3E">
      <w:pPr>
        <w:pStyle w:val="AppendixAHeading3"/>
      </w:pPr>
      <w:r>
        <w:t>Low-Income Program and Audit Summary</w:t>
      </w:r>
    </w:p>
    <w:p w:rsidR="00A476EB" w:rsidRPr="00A476EB" w:rsidRDefault="00A476EB" w:rsidP="00A476EB">
      <w:pPr>
        <w:spacing w:after="240"/>
      </w:pPr>
      <w:r w:rsidRPr="00A476EB">
        <w:t xml:space="preserve">The SWE Team reviewed the two distribution branches of the Low-Income Program operational in PY7 (direct install and giveaway) to ensure that the savings were correctly calculated using the 2015 TRM and that the realization rates were correctly determined and applied appropriately. West Penn’s </w:t>
      </w:r>
      <w:r w:rsidRPr="00A476EB">
        <w:rPr>
          <w:rFonts w:eastAsia="Calibri"/>
        </w:rPr>
        <w:t xml:space="preserve">evaluation contractor </w:t>
      </w:r>
      <w:r w:rsidRPr="00A476EB">
        <w:t>provided a complete database of direct-install measures, which included a pivot table that ranked measures by individual measure contribution to total program kWh savings. Using this, the SWE Team verified the calculations for five measures with the greatest overall impact and verified five randomly selected measures. The SWE Team also confirmed that kWh and kW calculations for the estimations of savings for the giveaway program were implemented per the 2015 TRM.</w:t>
      </w:r>
    </w:p>
    <w:p w:rsidR="00A476EB" w:rsidRPr="00A476EB" w:rsidRDefault="006722FB" w:rsidP="00A476EB">
      <w:r>
        <w:t>The</w:t>
      </w:r>
      <w:r w:rsidR="00A476EB" w:rsidRPr="00A476EB">
        <w:t xml:space="preserve"> SWE Team verified that West Penn was in compliance with the requirement that the number of energy conservation measures offered to low‐income households be proportionate to those households’ share of the total energy usage in West Penn’s service territory. West Penn offered six types of measures to the low‐income sector in PY7, which is 15% of the total number of measures offered across all sectors. This exceeded its goal of 8.8%.</w:t>
      </w:r>
    </w:p>
    <w:p w:rsidR="00950837" w:rsidRDefault="00950837" w:rsidP="00D34B3E">
      <w:pPr>
        <w:pStyle w:val="AppendixAHeading3"/>
      </w:pPr>
      <w:r>
        <w:t>Non-Residential Program Audit Summary</w:t>
      </w:r>
    </w:p>
    <w:p w:rsidR="00B9141F" w:rsidRPr="00D85274" w:rsidRDefault="00B9141F" w:rsidP="00B9141F">
      <w:r w:rsidRPr="00D85274">
        <w:t>The SWE Team reviewed p</w:t>
      </w:r>
      <w:r w:rsidRPr="00D85274">
        <w:rPr>
          <w:color w:val="000000"/>
        </w:rPr>
        <w:t>roject files to audit the accuracy of the savings values stored in the program</w:t>
      </w:r>
      <w:r>
        <w:rPr>
          <w:color w:val="000000"/>
        </w:rPr>
        <w:t>-</w:t>
      </w:r>
      <w:r w:rsidRPr="00D85274">
        <w:rPr>
          <w:color w:val="000000"/>
        </w:rPr>
        <w:t xml:space="preserve">tracking database and to confirm that calculations were being performed in accordance with the applicable TRM, or by some other reasonable methodology. </w:t>
      </w:r>
      <w:r w:rsidRPr="00D85274">
        <w:t>The SWE Team reviewed nine projects in West Penn’s PY7 program across various measures, including EMSs, VSDs, interior and exterior lighting, and retro-commissioning. In PY7, the SWE saw marked improvement in the consistency, orderliness, and organization of project files. This was aided by the consistent inclusion of site-specific cover page</w:t>
      </w:r>
      <w:r>
        <w:t>s,</w:t>
      </w:r>
      <w:r w:rsidRPr="00D85274">
        <w:t xml:space="preserve"> which helped the SWE follow the </w:t>
      </w:r>
      <w:r>
        <w:rPr>
          <w:color w:val="000000"/>
        </w:rPr>
        <w:t xml:space="preserve">evaluation contractor’s </w:t>
      </w:r>
      <w:r w:rsidRPr="00D85274">
        <w:t>method and progression. At this time, the SWE Team only recommends that in the interest of transparency, only the SWE-supplied Appendix C calculator be used for lighting projects moving forward.</w:t>
      </w:r>
    </w:p>
    <w:p w:rsidR="00B9141F" w:rsidRPr="00D85274" w:rsidRDefault="00B9141F" w:rsidP="00B9141F"/>
    <w:p w:rsidR="00B9141F" w:rsidRPr="00D85274" w:rsidRDefault="00B9141F" w:rsidP="00B9141F">
      <w:r w:rsidRPr="00D85274">
        <w:t>The SWE Team reviewed West Penn’s PY7 sample design to ensure its compliance with the Evaluation Framework. The results are displayed in</w:t>
      </w:r>
      <w:r>
        <w:t xml:space="preserve"> </w:t>
      </w:r>
      <w:r>
        <w:fldChar w:fldCharType="begin"/>
      </w:r>
      <w:r>
        <w:instrText xml:space="preserve"> REF _Ref472393303 \h </w:instrText>
      </w:r>
      <w:r>
        <w:fldChar w:fldCharType="separate"/>
      </w:r>
      <w:r w:rsidR="00C301D0">
        <w:t>Table A-</w:t>
      </w:r>
      <w:r w:rsidR="00C301D0">
        <w:rPr>
          <w:noProof/>
        </w:rPr>
        <w:t>92</w:t>
      </w:r>
      <w:r>
        <w:fldChar w:fldCharType="end"/>
      </w:r>
      <w:r w:rsidRPr="00D85274">
        <w:t xml:space="preserve">, showing relative precision at the 85% confidence level. </w:t>
      </w:r>
    </w:p>
    <w:p w:rsidR="00B9141F" w:rsidRPr="00D85274" w:rsidRDefault="00B9141F" w:rsidP="00B9141F"/>
    <w:p w:rsidR="00B9141F" w:rsidRPr="00D85274" w:rsidRDefault="00B9141F" w:rsidP="00B9141F">
      <w:pPr>
        <w:pStyle w:val="Caption"/>
      </w:pPr>
      <w:bookmarkStart w:id="1039" w:name="_Ref472393303"/>
      <w:bookmarkStart w:id="1040" w:name="_Toc409225069"/>
      <w:bookmarkStart w:id="1041" w:name="_Toc409443621"/>
      <w:bookmarkStart w:id="1042" w:name="_Toc445206237"/>
      <w:bookmarkStart w:id="1043" w:name="_Toc472472501"/>
      <w:bookmarkStart w:id="1044" w:name="_Toc476842207"/>
      <w:r>
        <w:t>Table A-</w:t>
      </w:r>
      <w:fldSimple w:instr=" SEQ Table_A- \* ARABIC ">
        <w:r w:rsidR="00C301D0">
          <w:rPr>
            <w:noProof/>
          </w:rPr>
          <w:t>92</w:t>
        </w:r>
      </w:fldSimple>
      <w:bookmarkEnd w:id="1039"/>
      <w:r w:rsidRPr="00D85274">
        <w:t>: Compliance across Sample Designs for West Penn’s PY7 Non-Residential Program Groups</w:t>
      </w:r>
      <w:bookmarkEnd w:id="1040"/>
      <w:bookmarkEnd w:id="1041"/>
      <w:bookmarkEnd w:id="1042"/>
      <w:bookmarkEnd w:id="1043"/>
      <w:bookmarkEnd w:id="1044"/>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060"/>
        <w:gridCol w:w="2100"/>
        <w:gridCol w:w="2100"/>
        <w:gridCol w:w="2100"/>
      </w:tblGrid>
      <w:tr w:rsidR="00A874AC" w:rsidRPr="00D85274" w:rsidTr="006D710B">
        <w:trPr>
          <w:trHeight w:val="376"/>
          <w:tblHeader/>
          <w:jc w:val="center"/>
        </w:trPr>
        <w:tc>
          <w:tcPr>
            <w:tcW w:w="3060" w:type="dxa"/>
            <w:shd w:val="clear" w:color="000000" w:fill="448A99"/>
            <w:vAlign w:val="bottom"/>
            <w:hideMark/>
          </w:tcPr>
          <w:p w:rsidR="00B9141F" w:rsidRPr="00D85274" w:rsidRDefault="00B9141F" w:rsidP="00AC55E9">
            <w:pPr>
              <w:jc w:val="left"/>
              <w:rPr>
                <w:b/>
                <w:bCs/>
                <w:color w:val="FFFFFF"/>
                <w:sz w:val="20"/>
                <w:szCs w:val="20"/>
              </w:rPr>
            </w:pPr>
            <w:r w:rsidRPr="00D85274">
              <w:rPr>
                <w:b/>
                <w:bCs/>
                <w:color w:val="FFFFFF"/>
                <w:sz w:val="20"/>
                <w:szCs w:val="20"/>
              </w:rPr>
              <w:t>Program</w:t>
            </w:r>
          </w:p>
        </w:tc>
        <w:tc>
          <w:tcPr>
            <w:tcW w:w="2100" w:type="dxa"/>
            <w:shd w:val="clear" w:color="000000" w:fill="448A99"/>
            <w:vAlign w:val="bottom"/>
            <w:hideMark/>
          </w:tcPr>
          <w:p w:rsidR="00B9141F" w:rsidRPr="00D85274" w:rsidRDefault="00B9141F" w:rsidP="00AC55E9">
            <w:pPr>
              <w:jc w:val="center"/>
              <w:rPr>
                <w:b/>
                <w:bCs/>
                <w:color w:val="FFFFFF"/>
                <w:sz w:val="20"/>
                <w:szCs w:val="20"/>
              </w:rPr>
            </w:pPr>
            <w:r w:rsidRPr="00D85274">
              <w:rPr>
                <w:b/>
                <w:bCs/>
                <w:color w:val="FFFFFF"/>
                <w:sz w:val="20"/>
                <w:szCs w:val="20"/>
              </w:rPr>
              <w:t>Relative Precision at 85% CL for Energy</w:t>
            </w:r>
          </w:p>
        </w:tc>
        <w:tc>
          <w:tcPr>
            <w:tcW w:w="2100" w:type="dxa"/>
            <w:shd w:val="clear" w:color="000000" w:fill="448A99"/>
            <w:vAlign w:val="bottom"/>
            <w:hideMark/>
          </w:tcPr>
          <w:p w:rsidR="00B9141F" w:rsidRPr="00D85274" w:rsidRDefault="00B9141F" w:rsidP="00AC55E9">
            <w:pPr>
              <w:jc w:val="center"/>
              <w:rPr>
                <w:b/>
                <w:bCs/>
                <w:color w:val="FFFFFF"/>
                <w:sz w:val="20"/>
                <w:szCs w:val="20"/>
              </w:rPr>
            </w:pPr>
            <w:r w:rsidRPr="00D85274">
              <w:rPr>
                <w:b/>
                <w:bCs/>
                <w:color w:val="FFFFFF"/>
                <w:sz w:val="20"/>
                <w:szCs w:val="20"/>
              </w:rPr>
              <w:t>Relative Precision at 85% CL for Demand</w:t>
            </w:r>
          </w:p>
        </w:tc>
        <w:tc>
          <w:tcPr>
            <w:tcW w:w="2100" w:type="dxa"/>
            <w:shd w:val="clear" w:color="000000" w:fill="448A99"/>
            <w:vAlign w:val="bottom"/>
            <w:hideMark/>
          </w:tcPr>
          <w:p w:rsidR="00B9141F" w:rsidRPr="00D85274" w:rsidRDefault="00B9141F" w:rsidP="00AC55E9">
            <w:pPr>
              <w:jc w:val="center"/>
              <w:rPr>
                <w:b/>
                <w:bCs/>
                <w:color w:val="FFFFFF"/>
                <w:sz w:val="20"/>
                <w:szCs w:val="20"/>
              </w:rPr>
            </w:pPr>
            <w:r w:rsidRPr="00D85274">
              <w:rPr>
                <w:b/>
                <w:bCs/>
                <w:color w:val="FFFFFF"/>
                <w:sz w:val="20"/>
                <w:szCs w:val="20"/>
              </w:rPr>
              <w:t>Compliance with Evaluation Framework</w:t>
            </w:r>
          </w:p>
        </w:tc>
      </w:tr>
      <w:tr w:rsidR="00A874AC" w:rsidRPr="00D85274" w:rsidTr="0017534C">
        <w:trPr>
          <w:trHeight w:val="346"/>
          <w:jc w:val="center"/>
        </w:trPr>
        <w:tc>
          <w:tcPr>
            <w:tcW w:w="3060" w:type="dxa"/>
            <w:shd w:val="clear" w:color="000000" w:fill="D2EAF1"/>
            <w:noWrap/>
            <w:vAlign w:val="center"/>
          </w:tcPr>
          <w:p w:rsidR="00B9141F" w:rsidRPr="00D85274" w:rsidRDefault="00B9141F" w:rsidP="00AC55E9">
            <w:pPr>
              <w:jc w:val="left"/>
              <w:rPr>
                <w:bCs/>
                <w:color w:val="000000"/>
                <w:sz w:val="20"/>
                <w:szCs w:val="20"/>
              </w:rPr>
            </w:pPr>
            <w:r w:rsidRPr="00D85274">
              <w:rPr>
                <w:sz w:val="20"/>
                <w:szCs w:val="20"/>
              </w:rPr>
              <w:t>Small C/I Equipment</w:t>
            </w:r>
          </w:p>
        </w:tc>
        <w:tc>
          <w:tcPr>
            <w:tcW w:w="2100" w:type="dxa"/>
            <w:shd w:val="clear" w:color="000000" w:fill="D2EAF1"/>
            <w:noWrap/>
            <w:vAlign w:val="center"/>
          </w:tcPr>
          <w:p w:rsidR="00B9141F" w:rsidRPr="00D85274" w:rsidRDefault="00B9141F" w:rsidP="00AC55E9">
            <w:pPr>
              <w:jc w:val="center"/>
              <w:rPr>
                <w:color w:val="000000"/>
                <w:sz w:val="20"/>
                <w:szCs w:val="20"/>
              </w:rPr>
            </w:pPr>
            <w:r w:rsidRPr="00D85274">
              <w:rPr>
                <w:color w:val="000000"/>
                <w:sz w:val="20"/>
                <w:szCs w:val="20"/>
              </w:rPr>
              <w:t>13.1%</w:t>
            </w:r>
          </w:p>
        </w:tc>
        <w:tc>
          <w:tcPr>
            <w:tcW w:w="2100" w:type="dxa"/>
            <w:shd w:val="clear" w:color="000000" w:fill="D2EAF1"/>
            <w:noWrap/>
            <w:vAlign w:val="center"/>
          </w:tcPr>
          <w:p w:rsidR="00B9141F" w:rsidRPr="00D85274" w:rsidRDefault="00B9141F" w:rsidP="00AC55E9">
            <w:pPr>
              <w:jc w:val="center"/>
              <w:rPr>
                <w:color w:val="000000"/>
                <w:sz w:val="20"/>
                <w:szCs w:val="20"/>
              </w:rPr>
            </w:pPr>
            <w:r w:rsidRPr="00D85274">
              <w:rPr>
                <w:color w:val="000000"/>
                <w:sz w:val="20"/>
                <w:szCs w:val="20"/>
              </w:rPr>
              <w:t>15.4%</w:t>
            </w:r>
          </w:p>
        </w:tc>
        <w:tc>
          <w:tcPr>
            <w:tcW w:w="2100" w:type="dxa"/>
            <w:shd w:val="clear" w:color="000000" w:fill="D2EAF1"/>
            <w:noWrap/>
            <w:vAlign w:val="center"/>
          </w:tcPr>
          <w:p w:rsidR="00B9141F" w:rsidRPr="00D85274" w:rsidRDefault="00B9141F" w:rsidP="00AC55E9">
            <w:pPr>
              <w:jc w:val="center"/>
              <w:rPr>
                <w:color w:val="000000"/>
                <w:sz w:val="28"/>
                <w:szCs w:val="20"/>
              </w:rPr>
            </w:pPr>
            <w:r w:rsidRPr="00D85274">
              <w:rPr>
                <w:color w:val="00B050"/>
                <w:sz w:val="28"/>
                <w:szCs w:val="20"/>
              </w:rPr>
              <w:sym w:font="Wingdings" w:char="F0FC"/>
            </w:r>
          </w:p>
        </w:tc>
      </w:tr>
      <w:tr w:rsidR="00E7173E" w:rsidRPr="00D85274" w:rsidTr="008F60E1">
        <w:trPr>
          <w:trHeight w:val="346"/>
          <w:jc w:val="center"/>
        </w:trPr>
        <w:tc>
          <w:tcPr>
            <w:tcW w:w="3060" w:type="dxa"/>
            <w:shd w:val="clear" w:color="auto" w:fill="auto"/>
            <w:noWrap/>
            <w:vAlign w:val="center"/>
          </w:tcPr>
          <w:p w:rsidR="00B9141F" w:rsidRPr="00D85274" w:rsidRDefault="00B9141F" w:rsidP="00AC55E9">
            <w:pPr>
              <w:jc w:val="left"/>
              <w:rPr>
                <w:bCs/>
                <w:color w:val="000000"/>
                <w:sz w:val="20"/>
                <w:szCs w:val="20"/>
              </w:rPr>
            </w:pPr>
            <w:r w:rsidRPr="00D85274">
              <w:rPr>
                <w:sz w:val="20"/>
                <w:szCs w:val="20"/>
              </w:rPr>
              <w:t>Small C/I Buildings</w:t>
            </w:r>
          </w:p>
        </w:tc>
        <w:tc>
          <w:tcPr>
            <w:tcW w:w="2100" w:type="dxa"/>
            <w:shd w:val="clear" w:color="auto" w:fill="auto"/>
            <w:noWrap/>
            <w:vAlign w:val="center"/>
          </w:tcPr>
          <w:p w:rsidR="00B9141F" w:rsidRPr="00D85274" w:rsidRDefault="00B9141F" w:rsidP="00AC55E9">
            <w:pPr>
              <w:jc w:val="center"/>
              <w:rPr>
                <w:color w:val="000000"/>
                <w:sz w:val="20"/>
                <w:szCs w:val="20"/>
              </w:rPr>
            </w:pPr>
            <w:r w:rsidRPr="00D85274">
              <w:rPr>
                <w:color w:val="000000"/>
                <w:sz w:val="20"/>
                <w:szCs w:val="20"/>
              </w:rPr>
              <w:t>13.4%</w:t>
            </w:r>
          </w:p>
        </w:tc>
        <w:tc>
          <w:tcPr>
            <w:tcW w:w="2100" w:type="dxa"/>
            <w:shd w:val="clear" w:color="auto" w:fill="auto"/>
            <w:noWrap/>
            <w:vAlign w:val="center"/>
          </w:tcPr>
          <w:p w:rsidR="00B9141F" w:rsidRPr="00D85274" w:rsidRDefault="00B9141F" w:rsidP="00AC55E9">
            <w:pPr>
              <w:jc w:val="center"/>
              <w:rPr>
                <w:color w:val="000000"/>
                <w:sz w:val="20"/>
                <w:szCs w:val="20"/>
              </w:rPr>
            </w:pPr>
            <w:r w:rsidRPr="00D85274">
              <w:rPr>
                <w:color w:val="000000"/>
                <w:sz w:val="20"/>
                <w:szCs w:val="20"/>
              </w:rPr>
              <w:t>9.4%</w:t>
            </w:r>
          </w:p>
        </w:tc>
        <w:tc>
          <w:tcPr>
            <w:tcW w:w="2100" w:type="dxa"/>
            <w:shd w:val="clear" w:color="auto" w:fill="auto"/>
            <w:noWrap/>
            <w:vAlign w:val="center"/>
          </w:tcPr>
          <w:p w:rsidR="00B9141F" w:rsidRPr="00D85274" w:rsidRDefault="00B9141F" w:rsidP="00AC55E9">
            <w:pPr>
              <w:jc w:val="center"/>
              <w:rPr>
                <w:color w:val="FF0000"/>
                <w:sz w:val="28"/>
                <w:szCs w:val="20"/>
              </w:rPr>
            </w:pPr>
            <w:r w:rsidRPr="00D85274">
              <w:rPr>
                <w:color w:val="00B050"/>
                <w:sz w:val="28"/>
                <w:szCs w:val="20"/>
              </w:rPr>
              <w:sym w:font="Wingdings" w:char="F0FC"/>
            </w:r>
          </w:p>
        </w:tc>
      </w:tr>
      <w:tr w:rsidR="00A874AC" w:rsidRPr="00D85274" w:rsidTr="0017534C">
        <w:trPr>
          <w:trHeight w:val="346"/>
          <w:jc w:val="center"/>
        </w:trPr>
        <w:tc>
          <w:tcPr>
            <w:tcW w:w="3060" w:type="dxa"/>
            <w:shd w:val="clear" w:color="000000" w:fill="D2EAF1"/>
            <w:noWrap/>
            <w:vAlign w:val="center"/>
          </w:tcPr>
          <w:p w:rsidR="00B9141F" w:rsidRPr="00D85274" w:rsidRDefault="00B9141F" w:rsidP="00AC55E9">
            <w:pPr>
              <w:jc w:val="left"/>
              <w:rPr>
                <w:bCs/>
                <w:color w:val="000000"/>
                <w:sz w:val="20"/>
                <w:szCs w:val="20"/>
              </w:rPr>
            </w:pPr>
            <w:r w:rsidRPr="00D85274">
              <w:rPr>
                <w:sz w:val="20"/>
                <w:szCs w:val="20"/>
              </w:rPr>
              <w:t>Large C/I Equipment</w:t>
            </w:r>
          </w:p>
        </w:tc>
        <w:tc>
          <w:tcPr>
            <w:tcW w:w="2100" w:type="dxa"/>
            <w:shd w:val="clear" w:color="000000" w:fill="D2EAF1"/>
            <w:noWrap/>
            <w:vAlign w:val="center"/>
          </w:tcPr>
          <w:p w:rsidR="00B9141F" w:rsidRPr="00D85274" w:rsidRDefault="00B9141F" w:rsidP="00AC55E9">
            <w:pPr>
              <w:jc w:val="center"/>
              <w:rPr>
                <w:bCs/>
                <w:color w:val="000000"/>
                <w:sz w:val="20"/>
                <w:szCs w:val="20"/>
              </w:rPr>
            </w:pPr>
            <w:r w:rsidRPr="00D85274">
              <w:rPr>
                <w:bCs/>
                <w:color w:val="000000"/>
                <w:sz w:val="20"/>
                <w:szCs w:val="20"/>
              </w:rPr>
              <w:t>8.1%</w:t>
            </w:r>
          </w:p>
        </w:tc>
        <w:tc>
          <w:tcPr>
            <w:tcW w:w="2100" w:type="dxa"/>
            <w:shd w:val="clear" w:color="000000" w:fill="D2EAF1"/>
            <w:noWrap/>
            <w:vAlign w:val="center"/>
          </w:tcPr>
          <w:p w:rsidR="00B9141F" w:rsidRPr="00D85274" w:rsidRDefault="00B9141F" w:rsidP="00AC55E9">
            <w:pPr>
              <w:jc w:val="center"/>
              <w:rPr>
                <w:bCs/>
                <w:color w:val="000000"/>
                <w:sz w:val="20"/>
                <w:szCs w:val="20"/>
              </w:rPr>
            </w:pPr>
            <w:r w:rsidRPr="00D85274">
              <w:rPr>
                <w:bCs/>
                <w:color w:val="000000"/>
                <w:sz w:val="20"/>
                <w:szCs w:val="20"/>
              </w:rPr>
              <w:t>9.5%</w:t>
            </w:r>
          </w:p>
        </w:tc>
        <w:tc>
          <w:tcPr>
            <w:tcW w:w="2100" w:type="dxa"/>
            <w:shd w:val="clear" w:color="000000" w:fill="D2EAF1"/>
            <w:noWrap/>
            <w:vAlign w:val="center"/>
          </w:tcPr>
          <w:p w:rsidR="00B9141F" w:rsidRPr="00D85274" w:rsidRDefault="00B9141F" w:rsidP="00AC55E9">
            <w:pPr>
              <w:jc w:val="center"/>
              <w:rPr>
                <w:bCs/>
                <w:color w:val="FF0000"/>
                <w:sz w:val="28"/>
                <w:szCs w:val="20"/>
              </w:rPr>
            </w:pPr>
            <w:r w:rsidRPr="00D85274">
              <w:rPr>
                <w:color w:val="00B050"/>
                <w:sz w:val="28"/>
                <w:szCs w:val="20"/>
              </w:rPr>
              <w:sym w:font="Wingdings" w:char="F0FC"/>
            </w:r>
          </w:p>
        </w:tc>
      </w:tr>
      <w:tr w:rsidR="00E7173E" w:rsidRPr="00D85274" w:rsidTr="008F60E1">
        <w:trPr>
          <w:trHeight w:val="346"/>
          <w:jc w:val="center"/>
        </w:trPr>
        <w:tc>
          <w:tcPr>
            <w:tcW w:w="3060" w:type="dxa"/>
            <w:shd w:val="clear" w:color="auto" w:fill="auto"/>
            <w:noWrap/>
            <w:vAlign w:val="center"/>
          </w:tcPr>
          <w:p w:rsidR="00B9141F" w:rsidRPr="00D85274" w:rsidRDefault="00B9141F" w:rsidP="00AC55E9">
            <w:pPr>
              <w:jc w:val="left"/>
              <w:rPr>
                <w:bCs/>
                <w:color w:val="000000"/>
                <w:sz w:val="20"/>
                <w:szCs w:val="20"/>
              </w:rPr>
            </w:pPr>
            <w:r w:rsidRPr="00D85274">
              <w:rPr>
                <w:sz w:val="20"/>
                <w:szCs w:val="20"/>
              </w:rPr>
              <w:t>Large C/I Buildings</w:t>
            </w:r>
          </w:p>
        </w:tc>
        <w:tc>
          <w:tcPr>
            <w:tcW w:w="2100" w:type="dxa"/>
            <w:shd w:val="clear" w:color="auto" w:fill="auto"/>
            <w:noWrap/>
            <w:vAlign w:val="center"/>
          </w:tcPr>
          <w:p w:rsidR="00B9141F" w:rsidRPr="00D85274" w:rsidRDefault="00B9141F" w:rsidP="00AC55E9">
            <w:pPr>
              <w:jc w:val="center"/>
              <w:rPr>
                <w:bCs/>
                <w:color w:val="000000"/>
                <w:sz w:val="20"/>
                <w:szCs w:val="20"/>
              </w:rPr>
            </w:pPr>
            <w:r w:rsidRPr="00D85274">
              <w:rPr>
                <w:bCs/>
                <w:color w:val="000000"/>
                <w:sz w:val="20"/>
                <w:szCs w:val="20"/>
              </w:rPr>
              <w:t>12.5%</w:t>
            </w:r>
          </w:p>
        </w:tc>
        <w:tc>
          <w:tcPr>
            <w:tcW w:w="2100" w:type="dxa"/>
            <w:shd w:val="clear" w:color="auto" w:fill="auto"/>
            <w:noWrap/>
            <w:vAlign w:val="center"/>
          </w:tcPr>
          <w:p w:rsidR="00B9141F" w:rsidRPr="00D85274" w:rsidRDefault="00B9141F" w:rsidP="00AC55E9">
            <w:pPr>
              <w:jc w:val="center"/>
              <w:rPr>
                <w:bCs/>
                <w:color w:val="000000"/>
                <w:sz w:val="20"/>
                <w:szCs w:val="20"/>
              </w:rPr>
            </w:pPr>
            <w:r w:rsidRPr="00D85274">
              <w:rPr>
                <w:bCs/>
                <w:color w:val="000000"/>
                <w:sz w:val="20"/>
                <w:szCs w:val="20"/>
              </w:rPr>
              <w:t>12.2%</w:t>
            </w:r>
          </w:p>
        </w:tc>
        <w:tc>
          <w:tcPr>
            <w:tcW w:w="2100" w:type="dxa"/>
            <w:shd w:val="clear" w:color="auto" w:fill="auto"/>
            <w:noWrap/>
            <w:vAlign w:val="center"/>
          </w:tcPr>
          <w:p w:rsidR="00B9141F" w:rsidRPr="00D85274" w:rsidRDefault="00B9141F" w:rsidP="00AC55E9">
            <w:pPr>
              <w:jc w:val="center"/>
              <w:rPr>
                <w:color w:val="00B050"/>
                <w:sz w:val="28"/>
                <w:szCs w:val="20"/>
              </w:rPr>
            </w:pPr>
            <w:r w:rsidRPr="00D85274">
              <w:rPr>
                <w:color w:val="00B050"/>
                <w:sz w:val="28"/>
                <w:szCs w:val="20"/>
              </w:rPr>
              <w:sym w:font="Wingdings" w:char="F0FC"/>
            </w:r>
          </w:p>
        </w:tc>
      </w:tr>
      <w:tr w:rsidR="00A874AC" w:rsidRPr="00D85274" w:rsidTr="0017534C">
        <w:trPr>
          <w:trHeight w:val="346"/>
          <w:jc w:val="center"/>
        </w:trPr>
        <w:tc>
          <w:tcPr>
            <w:tcW w:w="3060" w:type="dxa"/>
            <w:shd w:val="clear" w:color="auto" w:fill="D2EAF1"/>
            <w:noWrap/>
            <w:vAlign w:val="center"/>
          </w:tcPr>
          <w:p w:rsidR="00B9141F" w:rsidRPr="00D85274" w:rsidRDefault="00B9141F" w:rsidP="00AC55E9">
            <w:pPr>
              <w:jc w:val="left"/>
              <w:rPr>
                <w:bCs/>
                <w:color w:val="000000"/>
                <w:sz w:val="20"/>
                <w:szCs w:val="20"/>
              </w:rPr>
            </w:pPr>
            <w:r w:rsidRPr="00D85274">
              <w:rPr>
                <w:sz w:val="20"/>
                <w:szCs w:val="20"/>
              </w:rPr>
              <w:t>Government/Institutional</w:t>
            </w:r>
          </w:p>
        </w:tc>
        <w:tc>
          <w:tcPr>
            <w:tcW w:w="2100" w:type="dxa"/>
            <w:shd w:val="clear" w:color="auto"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14.4%</w:t>
            </w:r>
          </w:p>
        </w:tc>
        <w:tc>
          <w:tcPr>
            <w:tcW w:w="2100" w:type="dxa"/>
            <w:shd w:val="clear" w:color="auto" w:fill="D2EAF1"/>
            <w:noWrap/>
            <w:vAlign w:val="center"/>
          </w:tcPr>
          <w:p w:rsidR="00B9141F" w:rsidRPr="00D85274" w:rsidRDefault="00B9141F" w:rsidP="00AC55E9">
            <w:pPr>
              <w:jc w:val="center"/>
              <w:rPr>
                <w:bCs/>
                <w:color w:val="000000"/>
                <w:sz w:val="20"/>
                <w:szCs w:val="20"/>
              </w:rPr>
            </w:pPr>
            <w:r w:rsidRPr="00D85274">
              <w:rPr>
                <w:bCs/>
                <w:color w:val="000000"/>
                <w:sz w:val="20"/>
                <w:szCs w:val="20"/>
              </w:rPr>
              <w:t>19.6%</w:t>
            </w:r>
          </w:p>
        </w:tc>
        <w:tc>
          <w:tcPr>
            <w:tcW w:w="2100" w:type="dxa"/>
            <w:shd w:val="clear" w:color="auto" w:fill="D2EAF1"/>
            <w:noWrap/>
            <w:vAlign w:val="center"/>
          </w:tcPr>
          <w:p w:rsidR="00B9141F" w:rsidRPr="00D85274" w:rsidRDefault="00B9141F" w:rsidP="00AC55E9">
            <w:pPr>
              <w:jc w:val="center"/>
              <w:rPr>
                <w:color w:val="00B050"/>
                <w:sz w:val="28"/>
                <w:szCs w:val="20"/>
              </w:rPr>
            </w:pPr>
            <w:r w:rsidRPr="00D85274">
              <w:rPr>
                <w:color w:val="00B050"/>
                <w:sz w:val="28"/>
                <w:szCs w:val="20"/>
              </w:rPr>
              <w:sym w:font="Wingdings" w:char="F0FC"/>
            </w:r>
          </w:p>
        </w:tc>
      </w:tr>
    </w:tbl>
    <w:p w:rsidR="00B9141F" w:rsidRPr="00D85274" w:rsidRDefault="00B9141F" w:rsidP="00B9141F"/>
    <w:p w:rsidR="00B9141F" w:rsidRDefault="00B9141F" w:rsidP="00B9141F">
      <w:r w:rsidRPr="00D85274">
        <w:t xml:space="preserve">West Penn met the goal of 15% precision at the 85% confidence level for energy for all non-residential program groups. Details concerning each program evaluation sample </w:t>
      </w:r>
      <w:r w:rsidR="00093F73">
        <w:t>are provided below.</w:t>
      </w:r>
    </w:p>
    <w:p w:rsidR="002A5279" w:rsidRPr="00D85274" w:rsidRDefault="002A5279" w:rsidP="00B9141F">
      <w:pPr>
        <w:rPr>
          <w:color w:val="000000"/>
        </w:rPr>
      </w:pPr>
    </w:p>
    <w:p w:rsidR="00B9141F" w:rsidRPr="00D85274" w:rsidRDefault="00B9141F" w:rsidP="00B9141F">
      <w:pPr>
        <w:rPr>
          <w:color w:val="000000"/>
        </w:rPr>
      </w:pPr>
      <w:r w:rsidRPr="00D85274">
        <w:rPr>
          <w:color w:val="000000"/>
        </w:rPr>
        <w:t>As part of the audit process, the SWE Team performed 10 ride-along site inspections of non-residential projects to oversee West Penn’s on-site evaluation practices. All of these projects were lighting upgrades. The SWE Team approved all of the sampled project inspections</w:t>
      </w:r>
      <w:r>
        <w:rPr>
          <w:color w:val="000000"/>
        </w:rPr>
        <w:t>. H</w:t>
      </w:r>
      <w:r w:rsidRPr="00D85274">
        <w:rPr>
          <w:color w:val="000000"/>
        </w:rPr>
        <w:t>owever</w:t>
      </w:r>
      <w:r>
        <w:rPr>
          <w:color w:val="000000"/>
        </w:rPr>
        <w:t>,</w:t>
      </w:r>
      <w:r w:rsidRPr="00D85274">
        <w:rPr>
          <w:color w:val="000000"/>
        </w:rPr>
        <w:t xml:space="preserve"> the SWE </w:t>
      </w:r>
      <w:r>
        <w:rPr>
          <w:color w:val="000000"/>
        </w:rPr>
        <w:t>T</w:t>
      </w:r>
      <w:r w:rsidRPr="00D85274">
        <w:rPr>
          <w:color w:val="000000"/>
        </w:rPr>
        <w:t xml:space="preserve">eam recommends that </w:t>
      </w:r>
      <w:r>
        <w:rPr>
          <w:color w:val="000000"/>
        </w:rPr>
        <w:t>West Penn</w:t>
      </w:r>
      <w:r w:rsidRPr="00D85274">
        <w:rPr>
          <w:color w:val="000000"/>
        </w:rPr>
        <w:t xml:space="preserve"> only use the </w:t>
      </w:r>
      <w:r w:rsidRPr="00D85274">
        <w:t xml:space="preserve">SWE-supplied </w:t>
      </w:r>
      <w:r w:rsidRPr="00D85274">
        <w:rPr>
          <w:color w:val="000000"/>
        </w:rPr>
        <w:t xml:space="preserve">Appendix C calculator for lighting projects moving forward. Appendix </w:t>
      </w:r>
      <w:r>
        <w:t>B</w:t>
      </w:r>
      <w:r w:rsidRPr="00D85274">
        <w:rPr>
          <w:color w:val="000000"/>
        </w:rPr>
        <w:t xml:space="preserve"> provides detailed information about all reviewed projects and their associated findings.</w:t>
      </w:r>
    </w:p>
    <w:p w:rsidR="00B9141F" w:rsidRPr="00D85274" w:rsidRDefault="00B9141F" w:rsidP="00B9141F"/>
    <w:p w:rsidR="00B9141F" w:rsidRDefault="00B9141F" w:rsidP="00B9141F">
      <w:pPr>
        <w:rPr>
          <w:color w:val="000000"/>
        </w:rPr>
      </w:pPr>
      <w:r w:rsidRPr="00D85274">
        <w:t>The SWE Team performed a verified savings analysis on five submitted projects, checking the accuracy of the calculations, appropriateness</w:t>
      </w:r>
      <w:r w:rsidRPr="00D85274">
        <w:rPr>
          <w:color w:val="000000"/>
        </w:rPr>
        <w:t xml:space="preserve"> of the evaluation method, and level of rigor selections.</w:t>
      </w:r>
      <w:r w:rsidRPr="00D85274">
        <w:t xml:space="preserve"> </w:t>
      </w:r>
      <w:r w:rsidRPr="00D85274">
        <w:rPr>
          <w:color w:val="000000"/>
        </w:rPr>
        <w:t>The SWE Team found the level of rigor chosen by the evaluation contractor to be reasonable, based on project size and uncertainty. There was significant improvement in the presentation of M&amp;V methodology and results in PY7 with the inclusion of a site</w:t>
      </w:r>
      <w:r>
        <w:rPr>
          <w:color w:val="000000"/>
        </w:rPr>
        <w:t>-</w:t>
      </w:r>
      <w:r w:rsidRPr="00D85274">
        <w:rPr>
          <w:color w:val="000000"/>
        </w:rPr>
        <w:t xml:space="preserve">level report in each project file. Appendix </w:t>
      </w:r>
      <w:r>
        <w:t>B</w:t>
      </w:r>
      <w:r w:rsidRPr="00D85274">
        <w:rPr>
          <w:color w:val="000000"/>
        </w:rPr>
        <w:t xml:space="preserve"> presents more detailed results of the verified savings analysis.</w:t>
      </w:r>
    </w:p>
    <w:p w:rsidR="00081A8B" w:rsidRDefault="00081A8B" w:rsidP="00B9141F">
      <w:pPr>
        <w:rPr>
          <w:color w:val="000000"/>
        </w:rPr>
      </w:pPr>
    </w:p>
    <w:p w:rsidR="00EC02CE" w:rsidRDefault="00EC02CE" w:rsidP="00EC02CE">
      <w:pPr>
        <w:pStyle w:val="AppendixAHeading4"/>
      </w:pPr>
      <w:r>
        <w:t>Project Files Review</w:t>
      </w:r>
    </w:p>
    <w:p w:rsidR="00EC02CE" w:rsidRDefault="00EC02CE" w:rsidP="00EC02CE">
      <w:pPr>
        <w:rPr>
          <w:color w:val="000000"/>
        </w:rPr>
      </w:pPr>
      <w:r w:rsidRPr="003458B1">
        <w:rPr>
          <w:color w:val="000000"/>
        </w:rPr>
        <w:t>The SWE Team reviewed nine projects in West Penn’s PY7 program across various measures, including EMSs, VSDs, interior and exterior lighting, and retro</w:t>
      </w:r>
      <w:r>
        <w:rPr>
          <w:color w:val="000000"/>
        </w:rPr>
        <w:t>-</w:t>
      </w:r>
      <w:r w:rsidRPr="003458B1">
        <w:rPr>
          <w:color w:val="000000"/>
        </w:rPr>
        <w:t xml:space="preserve">commissioning. The submitted files included project-level savings calculation workbooks, application forms, measure installation confirmation, equipment specification sheets, invoices, post-installation inspection reports, and other supporting documents. In general, the submitted project files provided thorough documentation for SWE Team review, and showed early involvement by the evaluation contractor. </w:t>
      </w:r>
    </w:p>
    <w:p w:rsidR="00EC02CE" w:rsidRDefault="00EC02CE" w:rsidP="00EC02CE">
      <w:pPr>
        <w:rPr>
          <w:color w:val="000000"/>
        </w:rPr>
      </w:pPr>
    </w:p>
    <w:p w:rsidR="006D710B" w:rsidRDefault="005C649A" w:rsidP="00EC02CE">
      <w:pPr>
        <w:rPr>
          <w:color w:val="000000"/>
        </w:rPr>
        <w:sectPr w:rsidR="006D710B" w:rsidSect="008B741E">
          <w:headerReference w:type="default" r:id="rId150"/>
          <w:footerReference w:type="default" r:id="rId151"/>
          <w:headerReference w:type="first" r:id="rId152"/>
          <w:footerReference w:type="first" r:id="rId153"/>
          <w:pgSz w:w="12240" w:h="15840"/>
          <w:pgMar w:top="1440" w:right="1440" w:bottom="1440" w:left="1440" w:header="720" w:footer="288" w:gutter="0"/>
          <w:cols w:space="720"/>
          <w:titlePg/>
          <w:docGrid w:linePitch="360"/>
        </w:sectPr>
      </w:pPr>
      <w:r>
        <w:rPr>
          <w:color w:val="000000"/>
        </w:rPr>
        <w:fldChar w:fldCharType="begin"/>
      </w:r>
      <w:r>
        <w:rPr>
          <w:color w:val="000000"/>
        </w:rPr>
        <w:instrText xml:space="preserve"> REF _Ref472469154 \h </w:instrText>
      </w:r>
      <w:r>
        <w:rPr>
          <w:color w:val="000000"/>
        </w:rPr>
      </w:r>
      <w:r>
        <w:rPr>
          <w:color w:val="000000"/>
        </w:rPr>
        <w:fldChar w:fldCharType="separate"/>
      </w:r>
      <w:r w:rsidR="00C301D0">
        <w:t>Table A-</w:t>
      </w:r>
      <w:r w:rsidR="00C301D0">
        <w:rPr>
          <w:noProof/>
        </w:rPr>
        <w:t>93</w:t>
      </w:r>
      <w:r>
        <w:rPr>
          <w:color w:val="000000"/>
        </w:rPr>
        <w:fldChar w:fldCharType="end"/>
      </w:r>
      <w:r w:rsidR="00EC02CE">
        <w:rPr>
          <w:color w:val="000000"/>
        </w:rPr>
        <w:t xml:space="preserve"> </w:t>
      </w:r>
      <w:r w:rsidR="00EC02CE" w:rsidRPr="006E6583">
        <w:rPr>
          <w:color w:val="000000"/>
        </w:rPr>
        <w:t xml:space="preserve">presents an overview of the projects that were reviewed by the SWE </w:t>
      </w:r>
      <w:r w:rsidR="00EC02CE">
        <w:rPr>
          <w:color w:val="000000"/>
        </w:rPr>
        <w:t xml:space="preserve">Team </w:t>
      </w:r>
      <w:r w:rsidR="00EC02CE" w:rsidRPr="006E6583">
        <w:rPr>
          <w:color w:val="000000"/>
        </w:rPr>
        <w:t xml:space="preserve">and </w:t>
      </w:r>
      <w:r w:rsidR="00EC02CE">
        <w:rPr>
          <w:color w:val="000000"/>
        </w:rPr>
        <w:t>the</w:t>
      </w:r>
      <w:r w:rsidR="00EC02CE" w:rsidRPr="006E6583">
        <w:rPr>
          <w:color w:val="000000"/>
        </w:rPr>
        <w:t xml:space="preserve"> findings</w:t>
      </w:r>
      <w:r w:rsidR="00EC02CE">
        <w:rPr>
          <w:color w:val="000000"/>
        </w:rPr>
        <w:t>.</w:t>
      </w:r>
    </w:p>
    <w:p w:rsidR="00EC02CE" w:rsidRDefault="00EC02CE" w:rsidP="00EC02CE">
      <w:pPr>
        <w:pStyle w:val="Caption"/>
      </w:pPr>
      <w:bookmarkStart w:id="1045" w:name="_Ref472469154"/>
      <w:bookmarkStart w:id="1046" w:name="_Toc472472502"/>
      <w:bookmarkStart w:id="1047" w:name="_Toc476842208"/>
      <w:r>
        <w:t>Table A-</w:t>
      </w:r>
      <w:fldSimple w:instr=" SEQ Table_A- \* ARABIC ">
        <w:r w:rsidR="00C301D0">
          <w:rPr>
            <w:noProof/>
          </w:rPr>
          <w:t>93</w:t>
        </w:r>
      </w:fldSimple>
      <w:bookmarkEnd w:id="1045"/>
      <w:r>
        <w:t>: West Penn Project File Summary</w:t>
      </w:r>
      <w:bookmarkEnd w:id="1046"/>
      <w:bookmarkEnd w:id="1047"/>
      <w:r>
        <w:t xml:space="preserve"> </w:t>
      </w:r>
    </w:p>
    <w:tbl>
      <w:tblPr>
        <w:tblStyle w:val="AnnualReportTableStyle"/>
        <w:tblW w:w="13016" w:type="dxa"/>
        <w:tblLook w:val="04A0" w:firstRow="1" w:lastRow="0" w:firstColumn="1" w:lastColumn="0" w:noHBand="0" w:noVBand="1"/>
      </w:tblPr>
      <w:tblGrid>
        <w:gridCol w:w="985"/>
        <w:gridCol w:w="1440"/>
        <w:gridCol w:w="3481"/>
        <w:gridCol w:w="1021"/>
        <w:gridCol w:w="930"/>
        <w:gridCol w:w="1293"/>
        <w:gridCol w:w="1004"/>
        <w:gridCol w:w="1106"/>
        <w:gridCol w:w="1756"/>
      </w:tblGrid>
      <w:tr w:rsidR="00A874AC" w:rsidRPr="006D710B" w:rsidTr="006D710B">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985" w:type="dxa"/>
            <w:noWrap/>
            <w:vAlign w:val="bottom"/>
            <w:hideMark/>
          </w:tcPr>
          <w:p w:rsidR="00EC02CE" w:rsidRPr="006D710B" w:rsidRDefault="00EC02CE" w:rsidP="004F0C61">
            <w:pPr>
              <w:rPr>
                <w:bCs/>
                <w:sz w:val="20"/>
                <w:szCs w:val="20"/>
              </w:rPr>
            </w:pPr>
            <w:r w:rsidRPr="006D710B">
              <w:rPr>
                <w:bCs/>
                <w:sz w:val="20"/>
                <w:szCs w:val="20"/>
              </w:rPr>
              <w:t>Project Number</w:t>
            </w:r>
          </w:p>
        </w:tc>
        <w:tc>
          <w:tcPr>
            <w:tcW w:w="1440" w:type="dxa"/>
            <w:noWrap/>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Program</w:t>
            </w:r>
          </w:p>
        </w:tc>
        <w:tc>
          <w:tcPr>
            <w:tcW w:w="3481"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Project Description</w:t>
            </w:r>
          </w:p>
        </w:tc>
        <w:tc>
          <w:tcPr>
            <w:tcW w:w="1021"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Are all files included?</w:t>
            </w:r>
          </w:p>
        </w:tc>
        <w:tc>
          <w:tcPr>
            <w:tcW w:w="930"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Do values match program tracking data?</w:t>
            </w:r>
          </w:p>
        </w:tc>
        <w:tc>
          <w:tcPr>
            <w:tcW w:w="1293"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Equipment discrepancy between invoices and calculations?</w:t>
            </w:r>
          </w:p>
        </w:tc>
        <w:tc>
          <w:tcPr>
            <w:tcW w:w="1004"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Sufficient info for SWE to follow?</w:t>
            </w:r>
          </w:p>
        </w:tc>
        <w:tc>
          <w:tcPr>
            <w:tcW w:w="1106"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For TRM measures, are correct algorithms and HOU values used?</w:t>
            </w:r>
          </w:p>
        </w:tc>
        <w:tc>
          <w:tcPr>
            <w:tcW w:w="1756" w:type="dxa"/>
            <w:vAlign w:val="bottom"/>
            <w:hideMark/>
          </w:tcPr>
          <w:p w:rsidR="00EC02CE" w:rsidRPr="006D710B" w:rsidRDefault="00EC02CE"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6D710B">
              <w:rPr>
                <w:bCs/>
                <w:sz w:val="20"/>
                <w:szCs w:val="20"/>
              </w:rPr>
              <w:t>For Custom measures, is the methodology clear and auditable? Is it a sensible approach?</w:t>
            </w:r>
          </w:p>
        </w:tc>
      </w:tr>
      <w:tr w:rsidR="00A874AC" w:rsidRPr="006D710B" w:rsidTr="006D710B">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85" w:type="dxa"/>
            <w:noWrap/>
            <w:hideMark/>
          </w:tcPr>
          <w:p w:rsidR="00EC02CE" w:rsidRPr="006D710B" w:rsidRDefault="00EC02CE" w:rsidP="004F0C61">
            <w:pPr>
              <w:rPr>
                <w:b w:val="0"/>
                <w:color w:val="000000"/>
                <w:sz w:val="20"/>
                <w:szCs w:val="20"/>
              </w:rPr>
            </w:pPr>
            <w:r w:rsidRPr="006D710B">
              <w:rPr>
                <w:b w:val="0"/>
                <w:color w:val="000000"/>
                <w:sz w:val="20"/>
                <w:szCs w:val="20"/>
              </w:rPr>
              <w:t>CR_PRJ-349930</w:t>
            </w:r>
          </w:p>
        </w:tc>
        <w:tc>
          <w:tcPr>
            <w:tcW w:w="144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Small C/I Equipment</w:t>
            </w:r>
          </w:p>
        </w:tc>
        <w:tc>
          <w:tcPr>
            <w:tcW w:w="3481"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Interior and exterior lighting retrofit, linear fluorescent and CFL</w:t>
            </w:r>
          </w:p>
        </w:tc>
        <w:tc>
          <w:tcPr>
            <w:tcW w:w="1021"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93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293"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No</w:t>
            </w:r>
          </w:p>
        </w:tc>
        <w:tc>
          <w:tcPr>
            <w:tcW w:w="1004"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10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75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N/A</w:t>
            </w:r>
          </w:p>
        </w:tc>
      </w:tr>
      <w:tr w:rsidR="00EC02CE" w:rsidRPr="006D710B" w:rsidTr="008F60E1">
        <w:trPr>
          <w:trHeight w:val="732"/>
        </w:trPr>
        <w:tc>
          <w:tcPr>
            <w:cnfStyle w:val="001000000000" w:firstRow="0" w:lastRow="0" w:firstColumn="1" w:lastColumn="0" w:oddVBand="0" w:evenVBand="0" w:oddHBand="0" w:evenHBand="0" w:firstRowFirstColumn="0" w:firstRowLastColumn="0" w:lastRowFirstColumn="0" w:lastRowLastColumn="0"/>
            <w:tcW w:w="0" w:type="dxa"/>
            <w:noWrap/>
            <w:hideMark/>
          </w:tcPr>
          <w:p w:rsidR="00EC02CE" w:rsidRPr="006D710B" w:rsidRDefault="00EC02CE" w:rsidP="004F0C61">
            <w:pPr>
              <w:rPr>
                <w:b w:val="0"/>
                <w:color w:val="000000"/>
                <w:sz w:val="20"/>
                <w:szCs w:val="20"/>
              </w:rPr>
            </w:pPr>
            <w:r w:rsidRPr="006D710B">
              <w:rPr>
                <w:b w:val="0"/>
                <w:color w:val="000000"/>
                <w:sz w:val="20"/>
                <w:szCs w:val="20"/>
              </w:rPr>
              <w:t>CR_PRJ-307444</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Small C/I Buildings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Building automation system upgrade/retro-commissioning</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No</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N/A</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r>
      <w:tr w:rsidR="00A874AC" w:rsidRPr="006D710B" w:rsidTr="006D710B">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85" w:type="dxa"/>
            <w:noWrap/>
            <w:hideMark/>
          </w:tcPr>
          <w:p w:rsidR="00EC02CE" w:rsidRPr="006D710B" w:rsidRDefault="00EC02CE" w:rsidP="004F0C61">
            <w:pPr>
              <w:rPr>
                <w:b w:val="0"/>
                <w:color w:val="000000"/>
                <w:sz w:val="20"/>
                <w:szCs w:val="20"/>
              </w:rPr>
            </w:pPr>
            <w:r w:rsidRPr="006D710B">
              <w:rPr>
                <w:b w:val="0"/>
                <w:color w:val="000000"/>
                <w:sz w:val="20"/>
                <w:szCs w:val="20"/>
              </w:rPr>
              <w:t>CR_PRJ-331196</w:t>
            </w:r>
          </w:p>
        </w:tc>
        <w:tc>
          <w:tcPr>
            <w:tcW w:w="144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Large C/I Equipment</w:t>
            </w:r>
          </w:p>
        </w:tc>
        <w:tc>
          <w:tcPr>
            <w:tcW w:w="3481"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Exterior lighting retrofit HPS to LED</w:t>
            </w:r>
          </w:p>
        </w:tc>
        <w:tc>
          <w:tcPr>
            <w:tcW w:w="1021"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93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293"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No</w:t>
            </w:r>
          </w:p>
        </w:tc>
        <w:tc>
          <w:tcPr>
            <w:tcW w:w="1004"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10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75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N/A</w:t>
            </w:r>
          </w:p>
        </w:tc>
      </w:tr>
      <w:tr w:rsidR="00EC02CE" w:rsidRPr="006D710B" w:rsidTr="008F60E1">
        <w:trPr>
          <w:trHeight w:val="732"/>
        </w:trPr>
        <w:tc>
          <w:tcPr>
            <w:cnfStyle w:val="001000000000" w:firstRow="0" w:lastRow="0" w:firstColumn="1" w:lastColumn="0" w:oddVBand="0" w:evenVBand="0" w:oddHBand="0" w:evenHBand="0" w:firstRowFirstColumn="0" w:firstRowLastColumn="0" w:lastRowFirstColumn="0" w:lastRowLastColumn="0"/>
            <w:tcW w:w="0" w:type="dxa"/>
            <w:noWrap/>
            <w:hideMark/>
          </w:tcPr>
          <w:p w:rsidR="00EC02CE" w:rsidRPr="006D710B" w:rsidRDefault="00EC02CE" w:rsidP="004F0C61">
            <w:pPr>
              <w:rPr>
                <w:b w:val="0"/>
                <w:color w:val="000000"/>
                <w:sz w:val="20"/>
                <w:szCs w:val="20"/>
              </w:rPr>
            </w:pPr>
            <w:r w:rsidRPr="006D710B">
              <w:rPr>
                <w:b w:val="0"/>
                <w:color w:val="000000"/>
                <w:sz w:val="20"/>
                <w:szCs w:val="20"/>
              </w:rPr>
              <w:t>CR_PRJ-349353</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Large C/I Buildings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VSD compressor and recycling refrigerated dryer on compressed air system</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No</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N/A</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r>
      <w:tr w:rsidR="00A874AC" w:rsidRPr="006D710B" w:rsidTr="006D710B">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85" w:type="dxa"/>
            <w:noWrap/>
            <w:hideMark/>
          </w:tcPr>
          <w:p w:rsidR="00EC02CE" w:rsidRPr="006D710B" w:rsidRDefault="00EC02CE" w:rsidP="004F0C61">
            <w:pPr>
              <w:rPr>
                <w:b w:val="0"/>
                <w:color w:val="000000"/>
                <w:sz w:val="20"/>
                <w:szCs w:val="20"/>
              </w:rPr>
            </w:pPr>
            <w:r w:rsidRPr="006D710B">
              <w:rPr>
                <w:b w:val="0"/>
                <w:color w:val="000000"/>
                <w:sz w:val="20"/>
                <w:szCs w:val="20"/>
              </w:rPr>
              <w:t>CR_PRJ-444825</w:t>
            </w:r>
          </w:p>
        </w:tc>
        <w:tc>
          <w:tcPr>
            <w:tcW w:w="144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Small C/I Equipment</w:t>
            </w:r>
          </w:p>
        </w:tc>
        <w:tc>
          <w:tcPr>
            <w:tcW w:w="3481"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Lighting (controls)</w:t>
            </w:r>
          </w:p>
        </w:tc>
        <w:tc>
          <w:tcPr>
            <w:tcW w:w="1021"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93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293"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No</w:t>
            </w:r>
          </w:p>
        </w:tc>
        <w:tc>
          <w:tcPr>
            <w:tcW w:w="1004"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10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75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N/A</w:t>
            </w:r>
          </w:p>
        </w:tc>
      </w:tr>
      <w:tr w:rsidR="00EC02CE" w:rsidRPr="006D710B" w:rsidTr="008F60E1">
        <w:trPr>
          <w:trHeight w:val="732"/>
        </w:trPr>
        <w:tc>
          <w:tcPr>
            <w:cnfStyle w:val="001000000000" w:firstRow="0" w:lastRow="0" w:firstColumn="1" w:lastColumn="0" w:oddVBand="0" w:evenVBand="0" w:oddHBand="0" w:evenHBand="0" w:firstRowFirstColumn="0" w:firstRowLastColumn="0" w:lastRowFirstColumn="0" w:lastRowLastColumn="0"/>
            <w:tcW w:w="0" w:type="dxa"/>
            <w:noWrap/>
            <w:hideMark/>
          </w:tcPr>
          <w:p w:rsidR="00EC02CE" w:rsidRPr="006D710B" w:rsidRDefault="00EC02CE" w:rsidP="004F0C61">
            <w:pPr>
              <w:rPr>
                <w:b w:val="0"/>
                <w:color w:val="000000"/>
                <w:sz w:val="20"/>
                <w:szCs w:val="20"/>
              </w:rPr>
            </w:pPr>
            <w:r w:rsidRPr="006D710B">
              <w:rPr>
                <w:b w:val="0"/>
                <w:color w:val="000000"/>
                <w:sz w:val="20"/>
                <w:szCs w:val="20"/>
              </w:rPr>
              <w:t>CR_PRJ-502567</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Small C/I Equipment</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Lighting (LED)</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No</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N/A</w:t>
            </w:r>
          </w:p>
        </w:tc>
      </w:tr>
      <w:tr w:rsidR="00A874AC" w:rsidRPr="006D710B" w:rsidTr="006D710B">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85" w:type="dxa"/>
            <w:noWrap/>
            <w:hideMark/>
          </w:tcPr>
          <w:p w:rsidR="00EC02CE" w:rsidRPr="006D710B" w:rsidRDefault="00EC02CE" w:rsidP="004F0C61">
            <w:pPr>
              <w:rPr>
                <w:b w:val="0"/>
                <w:color w:val="000000"/>
                <w:sz w:val="20"/>
                <w:szCs w:val="20"/>
              </w:rPr>
            </w:pPr>
            <w:r w:rsidRPr="006D710B">
              <w:rPr>
                <w:b w:val="0"/>
                <w:color w:val="000000"/>
                <w:sz w:val="20"/>
                <w:szCs w:val="20"/>
              </w:rPr>
              <w:t>CR_PRJ-628342</w:t>
            </w:r>
          </w:p>
        </w:tc>
        <w:tc>
          <w:tcPr>
            <w:tcW w:w="144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Small C/I Equipment</w:t>
            </w:r>
          </w:p>
        </w:tc>
        <w:tc>
          <w:tcPr>
            <w:tcW w:w="3481"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Lighting (refrigerated LED)</w:t>
            </w:r>
          </w:p>
        </w:tc>
        <w:tc>
          <w:tcPr>
            <w:tcW w:w="1021"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93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293"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No</w:t>
            </w:r>
          </w:p>
        </w:tc>
        <w:tc>
          <w:tcPr>
            <w:tcW w:w="1004"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10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75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N/A</w:t>
            </w:r>
          </w:p>
        </w:tc>
      </w:tr>
      <w:tr w:rsidR="00EC02CE" w:rsidRPr="006D710B" w:rsidTr="008F60E1">
        <w:trPr>
          <w:trHeight w:val="732"/>
        </w:trPr>
        <w:tc>
          <w:tcPr>
            <w:cnfStyle w:val="001000000000" w:firstRow="0" w:lastRow="0" w:firstColumn="1" w:lastColumn="0" w:oddVBand="0" w:evenVBand="0" w:oddHBand="0" w:evenHBand="0" w:firstRowFirstColumn="0" w:firstRowLastColumn="0" w:lastRowFirstColumn="0" w:lastRowLastColumn="0"/>
            <w:tcW w:w="0" w:type="dxa"/>
            <w:noWrap/>
            <w:hideMark/>
          </w:tcPr>
          <w:p w:rsidR="00EC02CE" w:rsidRPr="006D710B" w:rsidRDefault="00EC02CE" w:rsidP="004F0C61">
            <w:pPr>
              <w:rPr>
                <w:b w:val="0"/>
                <w:color w:val="000000"/>
                <w:sz w:val="20"/>
                <w:szCs w:val="20"/>
              </w:rPr>
            </w:pPr>
            <w:r w:rsidRPr="006D710B">
              <w:rPr>
                <w:b w:val="0"/>
                <w:color w:val="000000"/>
                <w:sz w:val="20"/>
                <w:szCs w:val="20"/>
              </w:rPr>
              <w:t>CR_PRJ-478690</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Large C/I Equipment</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Lighting (interior and exterior LED)</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No</w:t>
            </w:r>
          </w:p>
        </w:tc>
        <w:tc>
          <w:tcPr>
            <w:tcW w:w="0" w:type="dxa"/>
            <w:noWrap/>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Yes</w:t>
            </w:r>
          </w:p>
        </w:tc>
        <w:tc>
          <w:tcPr>
            <w:tcW w:w="0" w:type="dxa"/>
            <w:hideMark/>
          </w:tcPr>
          <w:p w:rsidR="00EC02CE" w:rsidRPr="006D710B" w:rsidRDefault="00EC02CE"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6D710B">
              <w:rPr>
                <w:color w:val="000000"/>
                <w:sz w:val="20"/>
                <w:szCs w:val="20"/>
              </w:rPr>
              <w:t>N/A</w:t>
            </w:r>
          </w:p>
        </w:tc>
      </w:tr>
      <w:tr w:rsidR="00A874AC" w:rsidRPr="006D710B" w:rsidTr="006D710B">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85" w:type="dxa"/>
            <w:noWrap/>
            <w:hideMark/>
          </w:tcPr>
          <w:p w:rsidR="00EC02CE" w:rsidRPr="006D710B" w:rsidRDefault="00EC02CE" w:rsidP="004F0C61">
            <w:pPr>
              <w:rPr>
                <w:b w:val="0"/>
                <w:color w:val="000000"/>
                <w:sz w:val="20"/>
                <w:szCs w:val="20"/>
              </w:rPr>
            </w:pPr>
            <w:r w:rsidRPr="006D710B">
              <w:rPr>
                <w:b w:val="0"/>
                <w:color w:val="000000"/>
                <w:sz w:val="20"/>
                <w:szCs w:val="20"/>
              </w:rPr>
              <w:t>CR_PRJ-723119</w:t>
            </w:r>
          </w:p>
        </w:tc>
        <w:tc>
          <w:tcPr>
            <w:tcW w:w="144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Small C/I Equipment</w:t>
            </w:r>
          </w:p>
        </w:tc>
        <w:tc>
          <w:tcPr>
            <w:tcW w:w="3481"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Lighting (interior and exterior LED)</w:t>
            </w:r>
          </w:p>
        </w:tc>
        <w:tc>
          <w:tcPr>
            <w:tcW w:w="1021"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930"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293"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No</w:t>
            </w:r>
          </w:p>
        </w:tc>
        <w:tc>
          <w:tcPr>
            <w:tcW w:w="1004" w:type="dxa"/>
            <w:noWrap/>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10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Yes</w:t>
            </w:r>
          </w:p>
        </w:tc>
        <w:tc>
          <w:tcPr>
            <w:tcW w:w="1756" w:type="dxa"/>
            <w:hideMark/>
          </w:tcPr>
          <w:p w:rsidR="00EC02CE" w:rsidRPr="006D710B" w:rsidRDefault="00EC02CE"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D710B">
              <w:rPr>
                <w:color w:val="000000"/>
                <w:sz w:val="20"/>
                <w:szCs w:val="20"/>
              </w:rPr>
              <w:t>N/A</w:t>
            </w:r>
          </w:p>
        </w:tc>
      </w:tr>
    </w:tbl>
    <w:p w:rsidR="00EC02CE" w:rsidRDefault="00EC02CE" w:rsidP="00EC02CE"/>
    <w:p w:rsidR="006D710B" w:rsidRDefault="006D710B" w:rsidP="005C649A">
      <w:pPr>
        <w:sectPr w:rsidR="006D710B" w:rsidSect="006D710B">
          <w:headerReference w:type="first" r:id="rId154"/>
          <w:footerReference w:type="first" r:id="rId155"/>
          <w:pgSz w:w="15840" w:h="12240" w:orient="landscape"/>
          <w:pgMar w:top="1440" w:right="1440" w:bottom="1440" w:left="1440" w:header="720" w:footer="288" w:gutter="0"/>
          <w:cols w:space="720"/>
          <w:titlePg/>
          <w:docGrid w:linePitch="360"/>
        </w:sectPr>
      </w:pPr>
    </w:p>
    <w:p w:rsidR="005C649A" w:rsidRPr="003458B1" w:rsidRDefault="005C649A" w:rsidP="005C649A">
      <w:pPr>
        <w:rPr>
          <w:color w:val="000000"/>
        </w:rPr>
      </w:pPr>
      <w:r w:rsidRPr="003458B1">
        <w:t>In PY7, the SWE saw marked improvement in the consistency, orderliness, and organization of project files. This was aided by the consistent inclusion of site-specific cover page</w:t>
      </w:r>
      <w:r>
        <w:t>s,</w:t>
      </w:r>
      <w:r w:rsidRPr="003458B1">
        <w:t xml:space="preserve"> which helped the SWE follow the </w:t>
      </w:r>
      <w:r w:rsidRPr="000431B6">
        <w:t>evaluation contractor’s</w:t>
      </w:r>
      <w:r w:rsidRPr="00185E94">
        <w:rPr>
          <w:sz w:val="20"/>
          <w:szCs w:val="20"/>
        </w:rPr>
        <w:t xml:space="preserve"> </w:t>
      </w:r>
      <w:r w:rsidRPr="003458B1">
        <w:t>method and progression.</w:t>
      </w:r>
      <w:r w:rsidRPr="003458B1">
        <w:rPr>
          <w:color w:val="000000"/>
        </w:rPr>
        <w:t xml:space="preserve"> At this time, the SWE Team only recommends </w:t>
      </w:r>
      <w:r>
        <w:rPr>
          <w:color w:val="000000"/>
        </w:rPr>
        <w:t>that i</w:t>
      </w:r>
      <w:r w:rsidRPr="009B0EAD">
        <w:rPr>
          <w:color w:val="000000"/>
        </w:rPr>
        <w:t>n the interest of transparency, only the</w:t>
      </w:r>
      <w:r>
        <w:rPr>
          <w:color w:val="000000"/>
        </w:rPr>
        <w:t xml:space="preserve"> supplied</w:t>
      </w:r>
      <w:r w:rsidRPr="009B0EAD">
        <w:rPr>
          <w:color w:val="000000"/>
        </w:rPr>
        <w:t xml:space="preserve"> Appendix C calculator</w:t>
      </w:r>
      <w:r>
        <w:rPr>
          <w:color w:val="000000"/>
        </w:rPr>
        <w:t xml:space="preserve"> be used</w:t>
      </w:r>
      <w:r w:rsidRPr="009B0EAD">
        <w:rPr>
          <w:color w:val="000000"/>
        </w:rPr>
        <w:t xml:space="preserve"> for lighting projects moving forward.</w:t>
      </w:r>
    </w:p>
    <w:p w:rsidR="005C649A" w:rsidRDefault="005C649A" w:rsidP="00EC02CE"/>
    <w:p w:rsidR="005C649A" w:rsidRDefault="005C649A" w:rsidP="005C649A">
      <w:pPr>
        <w:pStyle w:val="AppendixAHeading4"/>
      </w:pPr>
      <w:r>
        <w:t>Sample Design Review</w:t>
      </w:r>
    </w:p>
    <w:p w:rsidR="005C649A" w:rsidRPr="003458B1" w:rsidRDefault="005C649A" w:rsidP="005C649A">
      <w:r w:rsidRPr="003458B1">
        <w:t>West Penn’s PY7 final annual report provides detailed information about the sample design of the PY7 gross impact evaluation of non-residential programs. West Penn’s non-residential programs were the Small C/I Energy Efficient Equipment Program, Small C/I Energy Efficient Buildings Program, Large C/I Energy Efficient Equipment Program, Large C/I Energy Efficient Buildings Program, and Government and Institutional Program.</w:t>
      </w:r>
    </w:p>
    <w:p w:rsidR="005C649A" w:rsidRPr="003458B1" w:rsidRDefault="005C649A" w:rsidP="005C649A"/>
    <w:p w:rsidR="005C649A" w:rsidRPr="003458B1" w:rsidRDefault="005C649A" w:rsidP="005C649A">
      <w:pPr>
        <w:pStyle w:val="AppendixAHeading5"/>
      </w:pPr>
      <w:r w:rsidRPr="003458B1">
        <w:t>Small C/I Energy Efficient Equipment Program</w:t>
      </w:r>
    </w:p>
    <w:p w:rsidR="005C649A" w:rsidRPr="003458B1" w:rsidRDefault="005C649A" w:rsidP="005C649A">
      <w:r w:rsidRPr="003458B1">
        <w:t xml:space="preserve">In PY7, this program was divided into two components: equipment incentives and appliance recycling. Lighting measures contributed the majority of the gross energy savings for the program. </w:t>
      </w:r>
      <w:r w:rsidRPr="003458B1">
        <w:tab/>
      </w:r>
    </w:p>
    <w:p w:rsidR="005C649A" w:rsidRPr="003458B1" w:rsidRDefault="005C649A" w:rsidP="005C649A"/>
    <w:p w:rsidR="005C649A" w:rsidRPr="003458B1" w:rsidRDefault="005C649A" w:rsidP="005C649A">
      <w:r w:rsidRPr="003458B1">
        <w:t xml:space="preserve">Stratified ratio estimation was used to estimate savings for the program, and stratified random sampling was used for sample design by the evaluation contractor. For large lighting projects in the evaluation sample, West Penn’s evaluation contractor designed an on-site sampling strategy that targeted ±20% precision at the 90% confidence level for the physical counting of fixtures. All lighting projects that were expected to have more than 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stratified based on energy savings at the measure level. The assumed Cv used in the sample design was 0.5 for all projects. The detailed sampling strategy for this program in PY7 and the achieved precision values for each stratum are presented in </w:t>
      </w:r>
      <w:r w:rsidRPr="003458B1">
        <w:fldChar w:fldCharType="begin"/>
      </w:r>
      <w:r w:rsidRPr="003458B1">
        <w:instrText xml:space="preserve"> REF _Ref440267308 \h  \* MERGEFORMAT </w:instrText>
      </w:r>
      <w:r w:rsidRPr="003458B1">
        <w:fldChar w:fldCharType="separate"/>
      </w:r>
      <w:r w:rsidR="00A874AC" w:rsidRPr="003458B1">
        <w:t>Table A-</w:t>
      </w:r>
      <w:r w:rsidR="00A874AC">
        <w:t>94</w:t>
      </w:r>
      <w:r w:rsidRPr="003458B1">
        <w:fldChar w:fldCharType="end"/>
      </w:r>
      <w:r w:rsidRPr="003458B1">
        <w:t>. The data show that West Penn met the SWE Team require</w:t>
      </w:r>
      <w:r>
        <w:t>ments of 85%/15% confidence/</w:t>
      </w:r>
      <w:r w:rsidRPr="003458B1">
        <w:t>precision for both energy and peak demand.</w:t>
      </w:r>
    </w:p>
    <w:p w:rsidR="005C649A" w:rsidRPr="003458B1" w:rsidRDefault="005C649A" w:rsidP="005C649A"/>
    <w:p w:rsidR="005C649A" w:rsidRPr="003458B1" w:rsidRDefault="005C649A" w:rsidP="005C649A">
      <w:pPr>
        <w:pStyle w:val="Caption"/>
        <w:rPr>
          <w:bCs w:val="0"/>
        </w:rPr>
      </w:pPr>
      <w:bookmarkStart w:id="1048" w:name="_Ref440267308"/>
      <w:bookmarkStart w:id="1049" w:name="_Toc410199441"/>
      <w:bookmarkStart w:id="1050" w:name="_Toc431462361"/>
      <w:bookmarkStart w:id="1051" w:name="_Toc444269886"/>
      <w:bookmarkStart w:id="1052" w:name="_Toc472472503"/>
      <w:bookmarkStart w:id="1053" w:name="_Toc476842209"/>
      <w:r w:rsidRPr="003458B1">
        <w:t>Table A-</w:t>
      </w:r>
      <w:fldSimple w:instr=" SEQ Table_A- \* ARABIC ">
        <w:r w:rsidR="00C301D0">
          <w:rPr>
            <w:noProof/>
          </w:rPr>
          <w:t>94</w:t>
        </w:r>
      </w:fldSimple>
      <w:bookmarkEnd w:id="1048"/>
      <w:r w:rsidRPr="003458B1">
        <w:t>:</w:t>
      </w:r>
      <w:r w:rsidRPr="003458B1">
        <w:rPr>
          <w:bCs w:val="0"/>
        </w:rPr>
        <w:t xml:space="preserve"> West Penn’s PY7 Sampling Strategy and Relative Precision – Small C/I Energy Efficient Equipment Program</w:t>
      </w:r>
      <w:bookmarkEnd w:id="1049"/>
      <w:bookmarkEnd w:id="1050"/>
      <w:bookmarkEnd w:id="1051"/>
      <w:bookmarkEnd w:id="1052"/>
      <w:bookmarkEnd w:id="1053"/>
    </w:p>
    <w:tbl>
      <w:tblPr>
        <w:tblW w:w="9360"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75"/>
        <w:gridCol w:w="1213"/>
        <w:gridCol w:w="1234"/>
        <w:gridCol w:w="1235"/>
        <w:gridCol w:w="1234"/>
        <w:gridCol w:w="1234"/>
        <w:gridCol w:w="1235"/>
      </w:tblGrid>
      <w:tr w:rsidR="00A874AC" w:rsidRPr="003458B1" w:rsidTr="006D710B">
        <w:trPr>
          <w:trHeight w:val="962"/>
          <w:tblHeader/>
        </w:trPr>
        <w:tc>
          <w:tcPr>
            <w:tcW w:w="1975" w:type="dxa"/>
            <w:shd w:val="clear" w:color="auto" w:fill="448A99"/>
            <w:vAlign w:val="bottom"/>
            <w:hideMark/>
          </w:tcPr>
          <w:p w:rsidR="005C649A" w:rsidRPr="003458B1" w:rsidRDefault="005C649A" w:rsidP="004F0C61">
            <w:pPr>
              <w:rPr>
                <w:rFonts w:eastAsia="Calibri"/>
                <w:b/>
                <w:bCs/>
                <w:color w:val="FFFFFF"/>
                <w:sz w:val="20"/>
                <w:szCs w:val="20"/>
              </w:rPr>
            </w:pPr>
            <w:r w:rsidRPr="003458B1">
              <w:rPr>
                <w:rFonts w:eastAsia="Calibri"/>
                <w:b/>
                <w:bCs/>
                <w:color w:val="FFFFFF"/>
                <w:sz w:val="20"/>
                <w:szCs w:val="20"/>
              </w:rPr>
              <w:t>Stratum</w:t>
            </w:r>
          </w:p>
        </w:tc>
        <w:tc>
          <w:tcPr>
            <w:tcW w:w="1213"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Population</w:t>
            </w:r>
          </w:p>
        </w:tc>
        <w:tc>
          <w:tcPr>
            <w:tcW w:w="1234"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Target Levels of Confidence &amp; Precision</w:t>
            </w:r>
          </w:p>
        </w:tc>
        <w:tc>
          <w:tcPr>
            <w:tcW w:w="1235"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Target Sample Size</w:t>
            </w:r>
          </w:p>
        </w:tc>
        <w:tc>
          <w:tcPr>
            <w:tcW w:w="1234"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Achieved Sample Size</w:t>
            </w:r>
          </w:p>
        </w:tc>
        <w:tc>
          <w:tcPr>
            <w:tcW w:w="1234"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Relative Precision at 85% C.L. for Energy</w:t>
            </w:r>
          </w:p>
        </w:tc>
        <w:tc>
          <w:tcPr>
            <w:tcW w:w="1235"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Relative Precision at 85% C.L. for Demand</w:t>
            </w:r>
          </w:p>
        </w:tc>
      </w:tr>
      <w:tr w:rsidR="00A874AC" w:rsidRPr="003458B1" w:rsidTr="006D710B">
        <w:trPr>
          <w:trHeight w:val="346"/>
        </w:trPr>
        <w:tc>
          <w:tcPr>
            <w:tcW w:w="1975" w:type="dxa"/>
            <w:shd w:val="clear" w:color="auto" w:fill="D2EAF1"/>
            <w:noWrap/>
            <w:vAlign w:val="center"/>
          </w:tcPr>
          <w:p w:rsidR="005C649A" w:rsidRPr="003458B1" w:rsidRDefault="005C649A" w:rsidP="004F0C61">
            <w:pPr>
              <w:rPr>
                <w:rFonts w:eastAsia="Calibri"/>
                <w:bCs/>
                <w:color w:val="000000"/>
                <w:sz w:val="20"/>
                <w:szCs w:val="20"/>
              </w:rPr>
            </w:pPr>
            <w:r>
              <w:rPr>
                <w:sz w:val="20"/>
                <w:szCs w:val="20"/>
              </w:rPr>
              <w:t xml:space="preserve">CFL kits – </w:t>
            </w:r>
            <w:r w:rsidRPr="003458B1">
              <w:rPr>
                <w:sz w:val="20"/>
                <w:szCs w:val="20"/>
              </w:rPr>
              <w:t>1</w:t>
            </w:r>
          </w:p>
        </w:tc>
        <w:tc>
          <w:tcPr>
            <w:tcW w:w="1213"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Pr>
                <w:sz w:val="20"/>
                <w:szCs w:val="20"/>
              </w:rPr>
              <w:t>N/A</w:t>
            </w:r>
          </w:p>
        </w:tc>
        <w:tc>
          <w:tcPr>
            <w:tcW w:w="123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100.0%</w:t>
            </w:r>
          </w:p>
        </w:tc>
        <w:tc>
          <w:tcPr>
            <w:tcW w:w="123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100.0%</w:t>
            </w:r>
          </w:p>
        </w:tc>
      </w:tr>
      <w:tr w:rsidR="00E7173E" w:rsidRPr="003458B1" w:rsidTr="008F60E1">
        <w:trPr>
          <w:trHeight w:val="346"/>
        </w:trPr>
        <w:tc>
          <w:tcPr>
            <w:tcW w:w="1975" w:type="dxa"/>
            <w:shd w:val="clear" w:color="auto" w:fill="auto"/>
            <w:noWrap/>
            <w:vAlign w:val="center"/>
          </w:tcPr>
          <w:p w:rsidR="005C649A" w:rsidRPr="003458B1" w:rsidRDefault="005C649A" w:rsidP="004F0C61">
            <w:pPr>
              <w:rPr>
                <w:rFonts w:eastAsia="Calibri"/>
                <w:bCs/>
                <w:color w:val="000000"/>
                <w:sz w:val="20"/>
                <w:szCs w:val="20"/>
              </w:rPr>
            </w:pPr>
            <w:r>
              <w:rPr>
                <w:sz w:val="20"/>
                <w:szCs w:val="20"/>
              </w:rPr>
              <w:t>Lighting – c</w:t>
            </w:r>
            <w:r w:rsidRPr="003458B1">
              <w:rPr>
                <w:sz w:val="20"/>
                <w:szCs w:val="20"/>
              </w:rPr>
              <w:t>ertainty</w:t>
            </w:r>
          </w:p>
        </w:tc>
        <w:tc>
          <w:tcPr>
            <w:tcW w:w="1213"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w:t>
            </w:r>
          </w:p>
        </w:tc>
        <w:tc>
          <w:tcPr>
            <w:tcW w:w="1234" w:type="dxa"/>
            <w:shd w:val="clear" w:color="auto" w:fill="auto"/>
            <w:noWrap/>
            <w:vAlign w:val="center"/>
          </w:tcPr>
          <w:p w:rsidR="005C649A" w:rsidRPr="003458B1" w:rsidRDefault="005C649A" w:rsidP="004F0C61">
            <w:pPr>
              <w:jc w:val="center"/>
              <w:rPr>
                <w:rFonts w:eastAsia="Calibri"/>
                <w:color w:val="000000"/>
                <w:sz w:val="20"/>
                <w:szCs w:val="20"/>
              </w:rPr>
            </w:pPr>
            <w:r>
              <w:rPr>
                <w:sz w:val="20"/>
                <w:szCs w:val="20"/>
              </w:rPr>
              <w:t>N/A</w:t>
            </w:r>
          </w:p>
        </w:tc>
        <w:tc>
          <w:tcPr>
            <w:tcW w:w="1235"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w:t>
            </w:r>
          </w:p>
        </w:tc>
        <w:tc>
          <w:tcPr>
            <w:tcW w:w="12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w:t>
            </w:r>
          </w:p>
        </w:tc>
        <w:tc>
          <w:tcPr>
            <w:tcW w:w="12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c>
          <w:tcPr>
            <w:tcW w:w="1235"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r>
      <w:tr w:rsidR="00A874AC" w:rsidRPr="003458B1" w:rsidTr="006D710B">
        <w:trPr>
          <w:trHeight w:val="346"/>
        </w:trPr>
        <w:tc>
          <w:tcPr>
            <w:tcW w:w="1975" w:type="dxa"/>
            <w:shd w:val="clear" w:color="auto" w:fill="D2EAF1"/>
            <w:noWrap/>
            <w:vAlign w:val="center"/>
          </w:tcPr>
          <w:p w:rsidR="005C649A" w:rsidRPr="003458B1" w:rsidRDefault="005C649A" w:rsidP="004F0C61">
            <w:pPr>
              <w:rPr>
                <w:rFonts w:eastAsia="Calibri"/>
                <w:bCs/>
                <w:color w:val="000000"/>
                <w:sz w:val="20"/>
                <w:szCs w:val="20"/>
              </w:rPr>
            </w:pPr>
            <w:r w:rsidRPr="003458B1">
              <w:rPr>
                <w:sz w:val="20"/>
                <w:szCs w:val="20"/>
              </w:rPr>
              <w:t>Lighting</w:t>
            </w:r>
            <w:r>
              <w:rPr>
                <w:sz w:val="20"/>
                <w:szCs w:val="20"/>
              </w:rPr>
              <w:t xml:space="preserve"> – </w:t>
            </w:r>
            <w:r w:rsidRPr="003458B1">
              <w:rPr>
                <w:sz w:val="20"/>
                <w:szCs w:val="20"/>
              </w:rPr>
              <w:t>2</w:t>
            </w:r>
          </w:p>
        </w:tc>
        <w:tc>
          <w:tcPr>
            <w:tcW w:w="1213"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32</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26.5%</w:t>
            </w:r>
          </w:p>
        </w:tc>
        <w:tc>
          <w:tcPr>
            <w:tcW w:w="123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6</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6</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26.5%</w:t>
            </w:r>
          </w:p>
        </w:tc>
        <w:tc>
          <w:tcPr>
            <w:tcW w:w="123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26.5%</w:t>
            </w:r>
          </w:p>
        </w:tc>
      </w:tr>
      <w:tr w:rsidR="00E7173E" w:rsidRPr="003458B1" w:rsidTr="008F60E1">
        <w:trPr>
          <w:trHeight w:val="346"/>
        </w:trPr>
        <w:tc>
          <w:tcPr>
            <w:tcW w:w="1975" w:type="dxa"/>
            <w:shd w:val="clear" w:color="auto" w:fill="auto"/>
            <w:noWrap/>
            <w:vAlign w:val="center"/>
          </w:tcPr>
          <w:p w:rsidR="005C649A" w:rsidRPr="003458B1" w:rsidRDefault="005C649A" w:rsidP="004F0C61">
            <w:pPr>
              <w:rPr>
                <w:rFonts w:eastAsia="Calibri"/>
                <w:bCs/>
                <w:color w:val="000000"/>
                <w:sz w:val="20"/>
                <w:szCs w:val="20"/>
              </w:rPr>
            </w:pPr>
            <w:r>
              <w:rPr>
                <w:sz w:val="20"/>
                <w:szCs w:val="20"/>
              </w:rPr>
              <w:t xml:space="preserve">Lighting – </w:t>
            </w:r>
            <w:r w:rsidRPr="003458B1">
              <w:rPr>
                <w:sz w:val="20"/>
                <w:szCs w:val="20"/>
              </w:rPr>
              <w:t>3</w:t>
            </w:r>
          </w:p>
        </w:tc>
        <w:tc>
          <w:tcPr>
            <w:tcW w:w="1213"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82</w:t>
            </w:r>
          </w:p>
        </w:tc>
        <w:tc>
          <w:tcPr>
            <w:tcW w:w="12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28.3%</w:t>
            </w:r>
          </w:p>
        </w:tc>
        <w:tc>
          <w:tcPr>
            <w:tcW w:w="1235"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6</w:t>
            </w:r>
          </w:p>
        </w:tc>
        <w:tc>
          <w:tcPr>
            <w:tcW w:w="12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6</w:t>
            </w:r>
          </w:p>
        </w:tc>
        <w:tc>
          <w:tcPr>
            <w:tcW w:w="12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28.3%</w:t>
            </w:r>
          </w:p>
        </w:tc>
        <w:tc>
          <w:tcPr>
            <w:tcW w:w="1235"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28.3%</w:t>
            </w:r>
          </w:p>
        </w:tc>
      </w:tr>
      <w:tr w:rsidR="00A874AC" w:rsidRPr="003458B1" w:rsidTr="006D710B">
        <w:trPr>
          <w:trHeight w:val="346"/>
        </w:trPr>
        <w:tc>
          <w:tcPr>
            <w:tcW w:w="1975" w:type="dxa"/>
            <w:shd w:val="clear" w:color="auto" w:fill="D2EAF1"/>
            <w:noWrap/>
            <w:vAlign w:val="center"/>
          </w:tcPr>
          <w:p w:rsidR="005C649A" w:rsidRPr="003458B1" w:rsidRDefault="005C649A" w:rsidP="004F0C61">
            <w:pPr>
              <w:rPr>
                <w:rFonts w:eastAsia="Calibri"/>
                <w:bCs/>
                <w:color w:val="000000"/>
                <w:sz w:val="20"/>
                <w:szCs w:val="20"/>
              </w:rPr>
            </w:pPr>
            <w:r>
              <w:rPr>
                <w:sz w:val="20"/>
                <w:szCs w:val="20"/>
              </w:rPr>
              <w:t xml:space="preserve">Lighting – </w:t>
            </w:r>
            <w:r w:rsidRPr="003458B1">
              <w:rPr>
                <w:sz w:val="20"/>
                <w:szCs w:val="20"/>
              </w:rPr>
              <w:t>4</w:t>
            </w:r>
          </w:p>
        </w:tc>
        <w:tc>
          <w:tcPr>
            <w:tcW w:w="1213"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371</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22.5%</w:t>
            </w:r>
          </w:p>
        </w:tc>
        <w:tc>
          <w:tcPr>
            <w:tcW w:w="123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10</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10</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22.5%</w:t>
            </w:r>
          </w:p>
        </w:tc>
        <w:tc>
          <w:tcPr>
            <w:tcW w:w="123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22.5%</w:t>
            </w:r>
          </w:p>
        </w:tc>
      </w:tr>
      <w:tr w:rsidR="00E7173E" w:rsidRPr="003458B1" w:rsidTr="008F60E1">
        <w:trPr>
          <w:trHeight w:val="346"/>
        </w:trPr>
        <w:tc>
          <w:tcPr>
            <w:tcW w:w="1975" w:type="dxa"/>
            <w:shd w:val="clear" w:color="auto" w:fill="auto"/>
            <w:noWrap/>
            <w:vAlign w:val="center"/>
          </w:tcPr>
          <w:p w:rsidR="005C649A" w:rsidRPr="003458B1" w:rsidRDefault="005C649A" w:rsidP="004F0C61">
            <w:pPr>
              <w:rPr>
                <w:rFonts w:eastAsia="Calibri"/>
                <w:bCs/>
                <w:color w:val="000000"/>
                <w:sz w:val="20"/>
                <w:szCs w:val="20"/>
              </w:rPr>
            </w:pPr>
            <w:r>
              <w:rPr>
                <w:sz w:val="20"/>
                <w:szCs w:val="20"/>
              </w:rPr>
              <w:t>Custom – c</w:t>
            </w:r>
            <w:r w:rsidRPr="003458B1">
              <w:rPr>
                <w:sz w:val="20"/>
                <w:szCs w:val="20"/>
              </w:rPr>
              <w:t>ertainty</w:t>
            </w:r>
          </w:p>
        </w:tc>
        <w:tc>
          <w:tcPr>
            <w:tcW w:w="1213"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2</w:t>
            </w:r>
          </w:p>
        </w:tc>
        <w:tc>
          <w:tcPr>
            <w:tcW w:w="12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c>
          <w:tcPr>
            <w:tcW w:w="1235"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2</w:t>
            </w:r>
          </w:p>
        </w:tc>
        <w:tc>
          <w:tcPr>
            <w:tcW w:w="12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2</w:t>
            </w:r>
          </w:p>
        </w:tc>
        <w:tc>
          <w:tcPr>
            <w:tcW w:w="12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c>
          <w:tcPr>
            <w:tcW w:w="1235"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r>
      <w:tr w:rsidR="00A874AC" w:rsidRPr="003458B1" w:rsidTr="006D710B">
        <w:trPr>
          <w:trHeight w:val="346"/>
        </w:trPr>
        <w:tc>
          <w:tcPr>
            <w:tcW w:w="1975" w:type="dxa"/>
            <w:shd w:val="clear" w:color="auto" w:fill="D2EAF1"/>
            <w:noWrap/>
            <w:vAlign w:val="center"/>
          </w:tcPr>
          <w:p w:rsidR="005C649A" w:rsidRPr="003458B1" w:rsidRDefault="005C649A" w:rsidP="004F0C61">
            <w:pPr>
              <w:rPr>
                <w:rFonts w:eastAsia="Calibri"/>
                <w:bCs/>
                <w:color w:val="000000"/>
                <w:sz w:val="20"/>
                <w:szCs w:val="20"/>
              </w:rPr>
            </w:pPr>
            <w:r>
              <w:rPr>
                <w:sz w:val="20"/>
                <w:szCs w:val="20"/>
              </w:rPr>
              <w:t xml:space="preserve">Custom – </w:t>
            </w:r>
            <w:r w:rsidRPr="003458B1">
              <w:rPr>
                <w:sz w:val="20"/>
                <w:szCs w:val="20"/>
              </w:rPr>
              <w:t>2</w:t>
            </w:r>
          </w:p>
        </w:tc>
        <w:tc>
          <w:tcPr>
            <w:tcW w:w="1213"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2</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50.9%</w:t>
            </w:r>
          </w:p>
        </w:tc>
        <w:tc>
          <w:tcPr>
            <w:tcW w:w="123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1</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1</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50.9%</w:t>
            </w:r>
          </w:p>
        </w:tc>
        <w:tc>
          <w:tcPr>
            <w:tcW w:w="123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50.9%</w:t>
            </w:r>
          </w:p>
        </w:tc>
      </w:tr>
      <w:tr w:rsidR="00E7173E" w:rsidRPr="003458B1" w:rsidTr="008F60E1">
        <w:trPr>
          <w:trHeight w:val="346"/>
        </w:trPr>
        <w:tc>
          <w:tcPr>
            <w:tcW w:w="1975" w:type="dxa"/>
            <w:shd w:val="clear" w:color="auto" w:fill="auto"/>
            <w:noWrap/>
            <w:vAlign w:val="center"/>
          </w:tcPr>
          <w:p w:rsidR="005C649A" w:rsidRPr="003458B1" w:rsidRDefault="005C649A" w:rsidP="004F0C61">
            <w:pPr>
              <w:rPr>
                <w:rFonts w:eastAsia="Calibri"/>
                <w:bCs/>
                <w:color w:val="000000"/>
                <w:sz w:val="20"/>
                <w:szCs w:val="20"/>
              </w:rPr>
            </w:pPr>
            <w:r>
              <w:rPr>
                <w:sz w:val="20"/>
                <w:szCs w:val="20"/>
              </w:rPr>
              <w:t xml:space="preserve">Custom – </w:t>
            </w:r>
            <w:r w:rsidRPr="003458B1">
              <w:rPr>
                <w:sz w:val="20"/>
                <w:szCs w:val="20"/>
              </w:rPr>
              <w:t>3</w:t>
            </w:r>
          </w:p>
        </w:tc>
        <w:tc>
          <w:tcPr>
            <w:tcW w:w="1213"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54</w:t>
            </w:r>
          </w:p>
        </w:tc>
        <w:tc>
          <w:tcPr>
            <w:tcW w:w="12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30.7%</w:t>
            </w:r>
          </w:p>
        </w:tc>
        <w:tc>
          <w:tcPr>
            <w:tcW w:w="1235"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5</w:t>
            </w:r>
          </w:p>
        </w:tc>
        <w:tc>
          <w:tcPr>
            <w:tcW w:w="12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5</w:t>
            </w:r>
          </w:p>
        </w:tc>
        <w:tc>
          <w:tcPr>
            <w:tcW w:w="12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30.7%</w:t>
            </w:r>
          </w:p>
        </w:tc>
        <w:tc>
          <w:tcPr>
            <w:tcW w:w="1235"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30.7%</w:t>
            </w:r>
          </w:p>
        </w:tc>
      </w:tr>
      <w:tr w:rsidR="00A874AC" w:rsidRPr="003458B1" w:rsidTr="006D710B">
        <w:trPr>
          <w:trHeight w:val="488"/>
        </w:trPr>
        <w:tc>
          <w:tcPr>
            <w:tcW w:w="1975" w:type="dxa"/>
            <w:shd w:val="clear" w:color="auto" w:fill="D2EAF1"/>
            <w:noWrap/>
            <w:vAlign w:val="center"/>
          </w:tcPr>
          <w:p w:rsidR="005C649A" w:rsidRPr="003458B1" w:rsidRDefault="005C649A" w:rsidP="004F0C61">
            <w:pPr>
              <w:rPr>
                <w:rFonts w:eastAsia="Calibri"/>
                <w:bCs/>
                <w:color w:val="000000"/>
                <w:sz w:val="20"/>
                <w:szCs w:val="20"/>
              </w:rPr>
            </w:pPr>
            <w:r>
              <w:rPr>
                <w:sz w:val="20"/>
                <w:szCs w:val="20"/>
              </w:rPr>
              <w:t xml:space="preserve">HVAC and DHW – </w:t>
            </w:r>
            <w:r w:rsidRPr="003458B1">
              <w:rPr>
                <w:sz w:val="20"/>
                <w:szCs w:val="20"/>
              </w:rPr>
              <w:t>1</w:t>
            </w:r>
          </w:p>
        </w:tc>
        <w:tc>
          <w:tcPr>
            <w:tcW w:w="1213"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Pr>
                <w:sz w:val="20"/>
                <w:szCs w:val="20"/>
              </w:rPr>
              <w:t>N/A</w:t>
            </w:r>
          </w:p>
        </w:tc>
        <w:tc>
          <w:tcPr>
            <w:tcW w:w="123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w:t>
            </w:r>
          </w:p>
        </w:tc>
        <w:tc>
          <w:tcPr>
            <w:tcW w:w="12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c>
          <w:tcPr>
            <w:tcW w:w="123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r>
      <w:tr w:rsidR="00E7173E" w:rsidRPr="003458B1" w:rsidTr="008F60E1">
        <w:trPr>
          <w:trHeight w:val="488"/>
        </w:trPr>
        <w:tc>
          <w:tcPr>
            <w:tcW w:w="1975" w:type="dxa"/>
            <w:shd w:val="clear" w:color="auto" w:fill="auto"/>
            <w:noWrap/>
            <w:vAlign w:val="center"/>
          </w:tcPr>
          <w:p w:rsidR="005C649A" w:rsidRPr="003458B1" w:rsidRDefault="005C649A" w:rsidP="004F0C61">
            <w:pPr>
              <w:rPr>
                <w:rFonts w:eastAsia="Calibri"/>
                <w:bCs/>
                <w:iCs/>
                <w:color w:val="000000"/>
                <w:sz w:val="20"/>
                <w:szCs w:val="20"/>
              </w:rPr>
            </w:pPr>
            <w:r>
              <w:rPr>
                <w:sz w:val="20"/>
                <w:szCs w:val="20"/>
              </w:rPr>
              <w:t xml:space="preserve">HVAC and DHW – </w:t>
            </w:r>
            <w:r w:rsidRPr="003458B1">
              <w:rPr>
                <w:sz w:val="20"/>
                <w:szCs w:val="20"/>
              </w:rPr>
              <w:t>2</w:t>
            </w:r>
          </w:p>
        </w:tc>
        <w:tc>
          <w:tcPr>
            <w:tcW w:w="1213"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32</w:t>
            </w:r>
          </w:p>
        </w:tc>
        <w:tc>
          <w:tcPr>
            <w:tcW w:w="123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70.9%</w:t>
            </w:r>
          </w:p>
        </w:tc>
        <w:tc>
          <w:tcPr>
            <w:tcW w:w="1235"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1</w:t>
            </w:r>
          </w:p>
        </w:tc>
        <w:tc>
          <w:tcPr>
            <w:tcW w:w="123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1</w:t>
            </w:r>
          </w:p>
        </w:tc>
        <w:tc>
          <w:tcPr>
            <w:tcW w:w="123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70.9%</w:t>
            </w:r>
          </w:p>
        </w:tc>
        <w:tc>
          <w:tcPr>
            <w:tcW w:w="1235"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70.9%</w:t>
            </w:r>
          </w:p>
        </w:tc>
      </w:tr>
      <w:tr w:rsidR="00A874AC" w:rsidRPr="003458B1" w:rsidTr="006D710B">
        <w:trPr>
          <w:trHeight w:val="488"/>
        </w:trPr>
        <w:tc>
          <w:tcPr>
            <w:tcW w:w="1975" w:type="dxa"/>
            <w:shd w:val="clear" w:color="auto" w:fill="D2EAF1"/>
            <w:noWrap/>
            <w:vAlign w:val="center"/>
          </w:tcPr>
          <w:p w:rsidR="005C649A" w:rsidRPr="003458B1" w:rsidRDefault="005C649A" w:rsidP="004F0C61">
            <w:pPr>
              <w:rPr>
                <w:rFonts w:eastAsia="Calibri"/>
                <w:bCs/>
                <w:color w:val="000000"/>
                <w:sz w:val="20"/>
                <w:szCs w:val="20"/>
              </w:rPr>
            </w:pPr>
            <w:r>
              <w:rPr>
                <w:sz w:val="20"/>
                <w:szCs w:val="20"/>
              </w:rPr>
              <w:t xml:space="preserve">Appliance Turn-In – </w:t>
            </w:r>
            <w:r w:rsidRPr="003458B1">
              <w:rPr>
                <w:sz w:val="20"/>
                <w:szCs w:val="20"/>
              </w:rPr>
              <w:t>1</w:t>
            </w:r>
          </w:p>
        </w:tc>
        <w:tc>
          <w:tcPr>
            <w:tcW w:w="1213"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106</w:t>
            </w:r>
          </w:p>
        </w:tc>
        <w:tc>
          <w:tcPr>
            <w:tcW w:w="123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71.7%</w:t>
            </w:r>
          </w:p>
        </w:tc>
        <w:tc>
          <w:tcPr>
            <w:tcW w:w="1235"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1</w:t>
            </w:r>
          </w:p>
        </w:tc>
        <w:tc>
          <w:tcPr>
            <w:tcW w:w="123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1</w:t>
            </w:r>
          </w:p>
        </w:tc>
        <w:tc>
          <w:tcPr>
            <w:tcW w:w="123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71.7%</w:t>
            </w:r>
          </w:p>
        </w:tc>
        <w:tc>
          <w:tcPr>
            <w:tcW w:w="1235"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71.7%</w:t>
            </w:r>
          </w:p>
        </w:tc>
      </w:tr>
      <w:tr w:rsidR="00E7173E" w:rsidRPr="003458B1" w:rsidTr="008F60E1">
        <w:trPr>
          <w:trHeight w:val="488"/>
        </w:trPr>
        <w:tc>
          <w:tcPr>
            <w:tcW w:w="1975" w:type="dxa"/>
            <w:shd w:val="clear" w:color="auto" w:fill="auto"/>
            <w:noWrap/>
            <w:vAlign w:val="center"/>
          </w:tcPr>
          <w:p w:rsidR="005C649A" w:rsidRPr="003458B1" w:rsidRDefault="005C649A" w:rsidP="004F0C61">
            <w:pPr>
              <w:rPr>
                <w:rFonts w:eastAsia="Calibri"/>
                <w:bCs/>
                <w:color w:val="000000"/>
                <w:sz w:val="20"/>
                <w:szCs w:val="20"/>
              </w:rPr>
            </w:pPr>
            <w:r>
              <w:rPr>
                <w:sz w:val="20"/>
                <w:szCs w:val="20"/>
              </w:rPr>
              <w:t>Kitchen/appliances – 1</w:t>
            </w:r>
          </w:p>
        </w:tc>
        <w:tc>
          <w:tcPr>
            <w:tcW w:w="1213"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16</w:t>
            </w:r>
          </w:p>
        </w:tc>
        <w:tc>
          <w:tcPr>
            <w:tcW w:w="123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69.7%</w:t>
            </w:r>
          </w:p>
        </w:tc>
        <w:tc>
          <w:tcPr>
            <w:tcW w:w="1235"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1</w:t>
            </w:r>
          </w:p>
        </w:tc>
        <w:tc>
          <w:tcPr>
            <w:tcW w:w="123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1</w:t>
            </w:r>
          </w:p>
        </w:tc>
        <w:tc>
          <w:tcPr>
            <w:tcW w:w="123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69.7%</w:t>
            </w:r>
          </w:p>
        </w:tc>
        <w:tc>
          <w:tcPr>
            <w:tcW w:w="1235"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69.7%</w:t>
            </w:r>
          </w:p>
        </w:tc>
      </w:tr>
      <w:tr w:rsidR="00A874AC" w:rsidRPr="003458B1" w:rsidTr="006D710B">
        <w:trPr>
          <w:trHeight w:val="488"/>
        </w:trPr>
        <w:tc>
          <w:tcPr>
            <w:tcW w:w="1975" w:type="dxa"/>
            <w:shd w:val="clear" w:color="auto" w:fill="D2EAF1"/>
            <w:noWrap/>
            <w:vAlign w:val="center"/>
          </w:tcPr>
          <w:p w:rsidR="005C649A" w:rsidRPr="003458B1" w:rsidRDefault="005C649A" w:rsidP="004F0C61">
            <w:pPr>
              <w:rPr>
                <w:rFonts w:eastAsia="Calibri"/>
                <w:b/>
                <w:bCs/>
                <w:color w:val="000000"/>
                <w:sz w:val="20"/>
                <w:szCs w:val="20"/>
              </w:rPr>
            </w:pPr>
            <w:r w:rsidRPr="003458B1">
              <w:rPr>
                <w:rFonts w:eastAsia="Calibri"/>
                <w:b/>
                <w:bCs/>
                <w:color w:val="000000"/>
                <w:sz w:val="20"/>
                <w:szCs w:val="20"/>
              </w:rPr>
              <w:t>Program Total</w:t>
            </w:r>
          </w:p>
        </w:tc>
        <w:tc>
          <w:tcPr>
            <w:tcW w:w="1213"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697</w:t>
            </w:r>
          </w:p>
        </w:tc>
        <w:tc>
          <w:tcPr>
            <w:tcW w:w="123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13.0%</w:t>
            </w:r>
          </w:p>
        </w:tc>
        <w:tc>
          <w:tcPr>
            <w:tcW w:w="1235"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33</w:t>
            </w:r>
          </w:p>
        </w:tc>
        <w:tc>
          <w:tcPr>
            <w:tcW w:w="123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33</w:t>
            </w:r>
          </w:p>
        </w:tc>
        <w:tc>
          <w:tcPr>
            <w:tcW w:w="123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13.1%</w:t>
            </w:r>
          </w:p>
        </w:tc>
        <w:tc>
          <w:tcPr>
            <w:tcW w:w="1235"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15.4%</w:t>
            </w:r>
          </w:p>
        </w:tc>
      </w:tr>
    </w:tbl>
    <w:p w:rsidR="005C649A" w:rsidRDefault="005C649A" w:rsidP="005C649A"/>
    <w:p w:rsidR="005C649A" w:rsidRPr="003458B1" w:rsidRDefault="005C649A" w:rsidP="005C649A">
      <w:pPr>
        <w:pStyle w:val="AppendixAHeading5"/>
      </w:pPr>
      <w:r w:rsidRPr="003458B1">
        <w:t>Small C/I Energy Efficient Buildings Program</w:t>
      </w:r>
    </w:p>
    <w:p w:rsidR="005C649A" w:rsidRPr="003458B1" w:rsidRDefault="005C649A" w:rsidP="005C649A">
      <w:r w:rsidRPr="003458B1">
        <w:t>This was a new program in Phase II. The program includes two components: energy conservation kits delivered by mail to non-resi</w:t>
      </w:r>
      <w:r>
        <w:t>dential customers and whole-building</w:t>
      </w:r>
      <w:r w:rsidRPr="003458B1">
        <w:t xml:space="preserve"> projects such as new construction, retro-commissioning, and building envelope improvements. Sampling and project-level gross impact evaluation methodologies for efficient equipment and building upgrade measures are identical to the m</w:t>
      </w:r>
      <w:r w:rsidR="006722FB">
        <w:t>ethodology described for the</w:t>
      </w:r>
      <w:r w:rsidRPr="003458B1">
        <w:t xml:space="preserve"> Small</w:t>
      </w:r>
      <w:r w:rsidR="006722FB">
        <w:t xml:space="preserve"> C/I</w:t>
      </w:r>
      <w:r w:rsidRPr="003458B1">
        <w:t xml:space="preserve"> </w:t>
      </w:r>
      <w:r>
        <w:t xml:space="preserve">Energy </w:t>
      </w:r>
      <w:r w:rsidRPr="003458B1">
        <w:t xml:space="preserve">Efficient Equipment Program above. The sample design strategy and the achieved precision values for energy and demand are shown in </w:t>
      </w:r>
      <w:r w:rsidRPr="003458B1">
        <w:fldChar w:fldCharType="begin"/>
      </w:r>
      <w:r w:rsidRPr="003458B1">
        <w:instrText xml:space="preserve"> REF _Ref440033523 \h  \* MERGEFORMAT </w:instrText>
      </w:r>
      <w:r w:rsidRPr="003458B1">
        <w:fldChar w:fldCharType="separate"/>
      </w:r>
      <w:r w:rsidR="00A874AC" w:rsidRPr="003458B1">
        <w:t>Table A-</w:t>
      </w:r>
      <w:r w:rsidR="00A874AC">
        <w:t>95</w:t>
      </w:r>
      <w:r w:rsidRPr="003458B1">
        <w:fldChar w:fldCharType="end"/>
      </w:r>
      <w:r w:rsidRPr="003458B1">
        <w:t>. The precision levels for energy and for demand met the SWE Team requirements.</w:t>
      </w:r>
    </w:p>
    <w:p w:rsidR="005C649A" w:rsidRPr="003458B1" w:rsidRDefault="005C649A" w:rsidP="005C649A"/>
    <w:p w:rsidR="005C649A" w:rsidRPr="003458B1" w:rsidRDefault="005C649A" w:rsidP="005C649A">
      <w:pPr>
        <w:pStyle w:val="Caption"/>
        <w:keepNext/>
      </w:pPr>
      <w:bookmarkStart w:id="1054" w:name="_Ref440033523"/>
      <w:bookmarkStart w:id="1055" w:name="_Toc410199442"/>
      <w:bookmarkStart w:id="1056" w:name="_Toc431462362"/>
      <w:bookmarkStart w:id="1057" w:name="_Toc444269887"/>
      <w:bookmarkStart w:id="1058" w:name="_Toc472472504"/>
      <w:bookmarkStart w:id="1059" w:name="_Toc476842210"/>
      <w:r w:rsidRPr="003458B1">
        <w:t>Table A-</w:t>
      </w:r>
      <w:fldSimple w:instr=" SEQ Table_A- \* ARABIC ">
        <w:r w:rsidR="00C301D0">
          <w:rPr>
            <w:noProof/>
          </w:rPr>
          <w:t>95</w:t>
        </w:r>
      </w:fldSimple>
      <w:bookmarkEnd w:id="1054"/>
      <w:r w:rsidRPr="003458B1">
        <w:rPr>
          <w:bCs w:val="0"/>
        </w:rPr>
        <w:t>: West Penn’s PY7 Sampling Strategy and Relative Precision – Small C/I Energy Efficient Buildings Program</w:t>
      </w:r>
      <w:bookmarkEnd w:id="1055"/>
      <w:bookmarkEnd w:id="1056"/>
      <w:bookmarkEnd w:id="1057"/>
      <w:bookmarkEnd w:id="1058"/>
      <w:bookmarkEnd w:id="1059"/>
    </w:p>
    <w:tbl>
      <w:tblPr>
        <w:tblW w:w="9360"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975"/>
        <w:gridCol w:w="1170"/>
        <w:gridCol w:w="1170"/>
        <w:gridCol w:w="1085"/>
        <w:gridCol w:w="1224"/>
        <w:gridCol w:w="1368"/>
        <w:gridCol w:w="1368"/>
      </w:tblGrid>
      <w:tr w:rsidR="00A874AC" w:rsidRPr="003458B1" w:rsidTr="006D710B">
        <w:trPr>
          <w:trHeight w:val="894"/>
          <w:tblHeader/>
        </w:trPr>
        <w:tc>
          <w:tcPr>
            <w:tcW w:w="1975" w:type="dxa"/>
            <w:shd w:val="clear" w:color="auto" w:fill="448A99"/>
            <w:vAlign w:val="bottom"/>
            <w:hideMark/>
          </w:tcPr>
          <w:p w:rsidR="005C649A" w:rsidRPr="003458B1" w:rsidRDefault="005C649A" w:rsidP="004F0C61">
            <w:pPr>
              <w:rPr>
                <w:rFonts w:eastAsia="Calibri"/>
                <w:b/>
                <w:bCs/>
                <w:color w:val="FFFFFF"/>
                <w:sz w:val="20"/>
                <w:szCs w:val="20"/>
              </w:rPr>
            </w:pPr>
            <w:r w:rsidRPr="003458B1">
              <w:rPr>
                <w:rFonts w:eastAsia="Calibri"/>
                <w:b/>
                <w:bCs/>
                <w:color w:val="FFFFFF"/>
                <w:sz w:val="20"/>
                <w:szCs w:val="20"/>
              </w:rPr>
              <w:t>Stratum</w:t>
            </w:r>
          </w:p>
        </w:tc>
        <w:tc>
          <w:tcPr>
            <w:tcW w:w="1170"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Population</w:t>
            </w:r>
          </w:p>
        </w:tc>
        <w:tc>
          <w:tcPr>
            <w:tcW w:w="1170"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Target Levels of Confidence &amp; Precision</w:t>
            </w:r>
          </w:p>
        </w:tc>
        <w:tc>
          <w:tcPr>
            <w:tcW w:w="1085"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Target Sample Size</w:t>
            </w:r>
          </w:p>
        </w:tc>
        <w:tc>
          <w:tcPr>
            <w:tcW w:w="1224"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Achieved Sample Size</w:t>
            </w:r>
          </w:p>
        </w:tc>
        <w:tc>
          <w:tcPr>
            <w:tcW w:w="1368"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Relative Precision at 85% C.L. for Energy</w:t>
            </w:r>
          </w:p>
        </w:tc>
        <w:tc>
          <w:tcPr>
            <w:tcW w:w="1368"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Relative Precision at 85% C.L. for Demand</w:t>
            </w:r>
          </w:p>
        </w:tc>
      </w:tr>
      <w:tr w:rsidR="00A874AC" w:rsidRPr="003458B1" w:rsidTr="006D710B">
        <w:trPr>
          <w:trHeight w:val="488"/>
        </w:trPr>
        <w:tc>
          <w:tcPr>
            <w:tcW w:w="1975" w:type="dxa"/>
            <w:shd w:val="clear" w:color="auto" w:fill="D2EAF1"/>
            <w:noWrap/>
            <w:vAlign w:val="center"/>
          </w:tcPr>
          <w:p w:rsidR="005C649A" w:rsidRPr="003458B1" w:rsidRDefault="005C649A" w:rsidP="004F0C61">
            <w:pPr>
              <w:jc w:val="left"/>
              <w:rPr>
                <w:rFonts w:eastAsia="Calibri"/>
                <w:bCs/>
                <w:color w:val="000000"/>
                <w:sz w:val="20"/>
                <w:szCs w:val="20"/>
              </w:rPr>
            </w:pPr>
            <w:r>
              <w:rPr>
                <w:sz w:val="20"/>
                <w:szCs w:val="20"/>
              </w:rPr>
              <w:t xml:space="preserve">CFL kits – </w:t>
            </w:r>
            <w:r w:rsidRPr="003458B1">
              <w:rPr>
                <w:sz w:val="20"/>
                <w:szCs w:val="20"/>
              </w:rPr>
              <w:t>1</w:t>
            </w:r>
          </w:p>
        </w:tc>
        <w:tc>
          <w:tcPr>
            <w:tcW w:w="1170"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3,179</w:t>
            </w:r>
          </w:p>
        </w:tc>
        <w:tc>
          <w:tcPr>
            <w:tcW w:w="1170"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11.3%</w:t>
            </w:r>
          </w:p>
        </w:tc>
        <w:tc>
          <w:tcPr>
            <w:tcW w:w="108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40</w:t>
            </w:r>
          </w:p>
        </w:tc>
        <w:tc>
          <w:tcPr>
            <w:tcW w:w="122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64</w:t>
            </w:r>
          </w:p>
        </w:tc>
        <w:tc>
          <w:tcPr>
            <w:tcW w:w="1368"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8.9%</w:t>
            </w:r>
          </w:p>
        </w:tc>
        <w:tc>
          <w:tcPr>
            <w:tcW w:w="1368"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8.9%</w:t>
            </w:r>
          </w:p>
        </w:tc>
      </w:tr>
      <w:tr w:rsidR="00E7173E" w:rsidRPr="003458B1" w:rsidTr="008F60E1">
        <w:trPr>
          <w:trHeight w:val="488"/>
        </w:trPr>
        <w:tc>
          <w:tcPr>
            <w:tcW w:w="1975" w:type="dxa"/>
            <w:shd w:val="clear" w:color="auto" w:fill="auto"/>
            <w:noWrap/>
            <w:vAlign w:val="center"/>
          </w:tcPr>
          <w:p w:rsidR="005C649A" w:rsidRPr="003458B1" w:rsidRDefault="005C649A" w:rsidP="004F0C61">
            <w:pPr>
              <w:jc w:val="left"/>
              <w:rPr>
                <w:rFonts w:eastAsia="Calibri"/>
                <w:bCs/>
                <w:color w:val="000000"/>
                <w:sz w:val="20"/>
                <w:szCs w:val="20"/>
              </w:rPr>
            </w:pPr>
            <w:r>
              <w:rPr>
                <w:sz w:val="20"/>
                <w:szCs w:val="20"/>
              </w:rPr>
              <w:t>Lighting – c</w:t>
            </w:r>
            <w:r w:rsidRPr="003458B1">
              <w:rPr>
                <w:sz w:val="20"/>
                <w:szCs w:val="20"/>
              </w:rPr>
              <w:t>ertainty</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Pr>
                <w:sz w:val="20"/>
                <w:szCs w:val="20"/>
              </w:rPr>
              <w:t>N/A</w:t>
            </w:r>
          </w:p>
        </w:tc>
        <w:tc>
          <w:tcPr>
            <w:tcW w:w="1085"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2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368"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368"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r>
      <w:tr w:rsidR="00A874AC" w:rsidRPr="003458B1" w:rsidTr="006D710B">
        <w:trPr>
          <w:trHeight w:val="488"/>
        </w:trPr>
        <w:tc>
          <w:tcPr>
            <w:tcW w:w="1975" w:type="dxa"/>
            <w:shd w:val="clear" w:color="auto" w:fill="D2EAF1"/>
            <w:noWrap/>
            <w:vAlign w:val="center"/>
          </w:tcPr>
          <w:p w:rsidR="005C649A" w:rsidRPr="003458B1" w:rsidRDefault="005C649A" w:rsidP="004F0C61">
            <w:pPr>
              <w:jc w:val="left"/>
              <w:rPr>
                <w:rFonts w:eastAsia="Calibri"/>
                <w:sz w:val="20"/>
                <w:szCs w:val="20"/>
              </w:rPr>
            </w:pPr>
            <w:r w:rsidRPr="003458B1">
              <w:rPr>
                <w:sz w:val="20"/>
                <w:szCs w:val="20"/>
              </w:rPr>
              <w:t>Lighting</w:t>
            </w:r>
            <w:r>
              <w:rPr>
                <w:sz w:val="20"/>
                <w:szCs w:val="20"/>
              </w:rPr>
              <w:t xml:space="preserve"> – </w:t>
            </w:r>
            <w:r w:rsidRPr="003458B1">
              <w:rPr>
                <w:sz w:val="20"/>
                <w:szCs w:val="20"/>
              </w:rPr>
              <w:t>2</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Pr>
                <w:sz w:val="20"/>
                <w:szCs w:val="20"/>
              </w:rPr>
              <w:t>N/A</w:t>
            </w:r>
          </w:p>
        </w:tc>
        <w:tc>
          <w:tcPr>
            <w:tcW w:w="1085"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2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368"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368"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r>
      <w:tr w:rsidR="00E7173E" w:rsidRPr="003458B1" w:rsidTr="008F60E1">
        <w:trPr>
          <w:trHeight w:val="488"/>
        </w:trPr>
        <w:tc>
          <w:tcPr>
            <w:tcW w:w="1975" w:type="dxa"/>
            <w:shd w:val="clear" w:color="auto" w:fill="auto"/>
            <w:noWrap/>
            <w:vAlign w:val="center"/>
          </w:tcPr>
          <w:p w:rsidR="005C649A" w:rsidRPr="003458B1" w:rsidRDefault="005C649A" w:rsidP="004F0C61">
            <w:pPr>
              <w:jc w:val="left"/>
              <w:rPr>
                <w:rFonts w:eastAsia="Calibri"/>
                <w:sz w:val="20"/>
                <w:szCs w:val="20"/>
              </w:rPr>
            </w:pPr>
            <w:r>
              <w:rPr>
                <w:sz w:val="20"/>
                <w:szCs w:val="20"/>
              </w:rPr>
              <w:t xml:space="preserve">Lighting – </w:t>
            </w:r>
            <w:r w:rsidRPr="003458B1">
              <w:rPr>
                <w:sz w:val="20"/>
                <w:szCs w:val="20"/>
              </w:rPr>
              <w:t>3</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Pr>
                <w:sz w:val="20"/>
                <w:szCs w:val="20"/>
              </w:rPr>
              <w:t>N/A</w:t>
            </w:r>
          </w:p>
        </w:tc>
        <w:tc>
          <w:tcPr>
            <w:tcW w:w="1085"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2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368"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368"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r>
      <w:tr w:rsidR="00A874AC" w:rsidRPr="003458B1" w:rsidTr="006D710B">
        <w:trPr>
          <w:trHeight w:val="488"/>
        </w:trPr>
        <w:tc>
          <w:tcPr>
            <w:tcW w:w="1975" w:type="dxa"/>
            <w:shd w:val="clear" w:color="auto" w:fill="D2EAF1"/>
            <w:noWrap/>
            <w:vAlign w:val="center"/>
          </w:tcPr>
          <w:p w:rsidR="005C649A" w:rsidRPr="003458B1" w:rsidRDefault="005C649A" w:rsidP="004F0C61">
            <w:pPr>
              <w:jc w:val="left"/>
              <w:rPr>
                <w:rFonts w:eastAsia="Calibri"/>
                <w:sz w:val="20"/>
                <w:szCs w:val="20"/>
              </w:rPr>
            </w:pPr>
            <w:r>
              <w:rPr>
                <w:sz w:val="20"/>
                <w:szCs w:val="20"/>
              </w:rPr>
              <w:t xml:space="preserve">Lighting – </w:t>
            </w:r>
            <w:r w:rsidRPr="003458B1">
              <w:rPr>
                <w:sz w:val="20"/>
                <w:szCs w:val="20"/>
              </w:rPr>
              <w:t>4</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Pr>
                <w:sz w:val="20"/>
                <w:szCs w:val="20"/>
              </w:rPr>
              <w:t>N/A</w:t>
            </w:r>
          </w:p>
        </w:tc>
        <w:tc>
          <w:tcPr>
            <w:tcW w:w="1085"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2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368"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368"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r>
      <w:tr w:rsidR="00E7173E" w:rsidRPr="003458B1" w:rsidTr="008F60E1">
        <w:trPr>
          <w:trHeight w:val="488"/>
        </w:trPr>
        <w:tc>
          <w:tcPr>
            <w:tcW w:w="1975" w:type="dxa"/>
            <w:shd w:val="clear" w:color="auto" w:fill="auto"/>
            <w:noWrap/>
            <w:vAlign w:val="center"/>
          </w:tcPr>
          <w:p w:rsidR="005C649A" w:rsidRPr="003458B1" w:rsidRDefault="005C649A" w:rsidP="004F0C61">
            <w:pPr>
              <w:jc w:val="left"/>
              <w:rPr>
                <w:rFonts w:eastAsia="Calibri"/>
                <w:sz w:val="20"/>
                <w:szCs w:val="20"/>
              </w:rPr>
            </w:pPr>
            <w:r>
              <w:rPr>
                <w:sz w:val="20"/>
                <w:szCs w:val="20"/>
              </w:rPr>
              <w:t>Custom – c</w:t>
            </w:r>
            <w:r w:rsidRPr="003458B1">
              <w:rPr>
                <w:sz w:val="20"/>
                <w:szCs w:val="20"/>
              </w:rPr>
              <w:t>ertainty</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12</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085"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12</w:t>
            </w:r>
          </w:p>
        </w:tc>
        <w:tc>
          <w:tcPr>
            <w:tcW w:w="122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11</w:t>
            </w:r>
          </w:p>
        </w:tc>
        <w:tc>
          <w:tcPr>
            <w:tcW w:w="1368"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6.3%</w:t>
            </w:r>
          </w:p>
        </w:tc>
        <w:tc>
          <w:tcPr>
            <w:tcW w:w="1368"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6.3%</w:t>
            </w:r>
          </w:p>
        </w:tc>
      </w:tr>
      <w:tr w:rsidR="00A874AC" w:rsidRPr="003458B1" w:rsidTr="006D710B">
        <w:trPr>
          <w:trHeight w:val="488"/>
        </w:trPr>
        <w:tc>
          <w:tcPr>
            <w:tcW w:w="1975" w:type="dxa"/>
            <w:shd w:val="clear" w:color="auto" w:fill="D2EAF1"/>
            <w:noWrap/>
            <w:vAlign w:val="center"/>
          </w:tcPr>
          <w:p w:rsidR="005C649A" w:rsidRPr="003458B1" w:rsidRDefault="005C649A" w:rsidP="004F0C61">
            <w:pPr>
              <w:jc w:val="left"/>
              <w:rPr>
                <w:rFonts w:eastAsia="Calibri"/>
                <w:sz w:val="20"/>
                <w:szCs w:val="20"/>
              </w:rPr>
            </w:pPr>
            <w:r>
              <w:rPr>
                <w:sz w:val="20"/>
                <w:szCs w:val="20"/>
              </w:rPr>
              <w:t xml:space="preserve">Custom – </w:t>
            </w:r>
            <w:r w:rsidRPr="003458B1">
              <w:rPr>
                <w:sz w:val="20"/>
                <w:szCs w:val="20"/>
              </w:rPr>
              <w:t>2</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1</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085"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1</w:t>
            </w:r>
          </w:p>
        </w:tc>
        <w:tc>
          <w:tcPr>
            <w:tcW w:w="122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1</w:t>
            </w:r>
          </w:p>
        </w:tc>
        <w:tc>
          <w:tcPr>
            <w:tcW w:w="1368"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368"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r>
      <w:tr w:rsidR="00E7173E" w:rsidRPr="003458B1" w:rsidTr="008F60E1">
        <w:trPr>
          <w:trHeight w:val="488"/>
        </w:trPr>
        <w:tc>
          <w:tcPr>
            <w:tcW w:w="1975" w:type="dxa"/>
            <w:shd w:val="clear" w:color="auto" w:fill="auto"/>
            <w:noWrap/>
            <w:vAlign w:val="center"/>
          </w:tcPr>
          <w:p w:rsidR="005C649A" w:rsidRPr="003458B1" w:rsidRDefault="005C649A" w:rsidP="004F0C61">
            <w:pPr>
              <w:jc w:val="left"/>
              <w:rPr>
                <w:rFonts w:eastAsia="Calibri"/>
                <w:sz w:val="20"/>
                <w:szCs w:val="20"/>
              </w:rPr>
            </w:pPr>
            <w:r>
              <w:rPr>
                <w:sz w:val="20"/>
                <w:szCs w:val="20"/>
              </w:rPr>
              <w:t xml:space="preserve">Custom – </w:t>
            </w:r>
            <w:r w:rsidRPr="003458B1">
              <w:rPr>
                <w:sz w:val="20"/>
                <w:szCs w:val="20"/>
              </w:rPr>
              <w:t>3</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25</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48.8%</w:t>
            </w:r>
          </w:p>
        </w:tc>
        <w:tc>
          <w:tcPr>
            <w:tcW w:w="1085"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2</w:t>
            </w:r>
          </w:p>
        </w:tc>
        <w:tc>
          <w:tcPr>
            <w:tcW w:w="122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2</w:t>
            </w:r>
          </w:p>
        </w:tc>
        <w:tc>
          <w:tcPr>
            <w:tcW w:w="1368"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48.8%</w:t>
            </w:r>
          </w:p>
        </w:tc>
        <w:tc>
          <w:tcPr>
            <w:tcW w:w="1368"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48.8%</w:t>
            </w:r>
          </w:p>
        </w:tc>
      </w:tr>
      <w:tr w:rsidR="00A874AC" w:rsidRPr="003458B1" w:rsidTr="006D710B">
        <w:trPr>
          <w:trHeight w:val="488"/>
        </w:trPr>
        <w:tc>
          <w:tcPr>
            <w:tcW w:w="1975" w:type="dxa"/>
            <w:shd w:val="clear" w:color="auto" w:fill="D2EAF1"/>
            <w:noWrap/>
            <w:vAlign w:val="center"/>
          </w:tcPr>
          <w:p w:rsidR="005C649A" w:rsidRPr="003458B1" w:rsidRDefault="005C649A" w:rsidP="004F0C61">
            <w:pPr>
              <w:jc w:val="left"/>
              <w:rPr>
                <w:rFonts w:eastAsia="Calibri"/>
                <w:sz w:val="20"/>
                <w:szCs w:val="20"/>
              </w:rPr>
            </w:pPr>
            <w:r>
              <w:rPr>
                <w:sz w:val="20"/>
                <w:szCs w:val="20"/>
              </w:rPr>
              <w:t xml:space="preserve">HVAC and DHW – </w:t>
            </w:r>
            <w:r w:rsidRPr="003458B1">
              <w:rPr>
                <w:sz w:val="20"/>
                <w:szCs w:val="20"/>
              </w:rPr>
              <w:t>1</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Pr>
                <w:sz w:val="20"/>
                <w:szCs w:val="20"/>
              </w:rPr>
              <w:t>N/A</w:t>
            </w:r>
          </w:p>
        </w:tc>
        <w:tc>
          <w:tcPr>
            <w:tcW w:w="1085"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2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368"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368"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r>
      <w:tr w:rsidR="00E7173E" w:rsidRPr="003458B1" w:rsidTr="008F60E1">
        <w:trPr>
          <w:trHeight w:val="488"/>
        </w:trPr>
        <w:tc>
          <w:tcPr>
            <w:tcW w:w="1975" w:type="dxa"/>
            <w:shd w:val="clear" w:color="auto" w:fill="auto"/>
            <w:noWrap/>
            <w:vAlign w:val="center"/>
          </w:tcPr>
          <w:p w:rsidR="005C649A" w:rsidRPr="003458B1" w:rsidRDefault="005C649A" w:rsidP="004F0C61">
            <w:pPr>
              <w:jc w:val="left"/>
              <w:rPr>
                <w:rFonts w:eastAsia="Calibri"/>
                <w:sz w:val="20"/>
                <w:szCs w:val="20"/>
              </w:rPr>
            </w:pPr>
            <w:r>
              <w:rPr>
                <w:sz w:val="20"/>
                <w:szCs w:val="20"/>
              </w:rPr>
              <w:t xml:space="preserve">HVAC and DHW – </w:t>
            </w:r>
            <w:r w:rsidRPr="003458B1">
              <w:rPr>
                <w:sz w:val="20"/>
                <w:szCs w:val="20"/>
              </w:rPr>
              <w:t>2</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Pr>
                <w:sz w:val="20"/>
                <w:szCs w:val="20"/>
              </w:rPr>
              <w:t>N/A</w:t>
            </w:r>
          </w:p>
        </w:tc>
        <w:tc>
          <w:tcPr>
            <w:tcW w:w="1085"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2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368"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368"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r>
      <w:tr w:rsidR="00A874AC" w:rsidRPr="003458B1" w:rsidTr="006D710B">
        <w:trPr>
          <w:trHeight w:val="488"/>
        </w:trPr>
        <w:tc>
          <w:tcPr>
            <w:tcW w:w="1975" w:type="dxa"/>
            <w:shd w:val="clear" w:color="auto" w:fill="D2EAF1"/>
            <w:noWrap/>
            <w:vAlign w:val="center"/>
          </w:tcPr>
          <w:p w:rsidR="005C649A" w:rsidRPr="003458B1" w:rsidRDefault="005C649A" w:rsidP="004F0C61">
            <w:pPr>
              <w:jc w:val="left"/>
              <w:rPr>
                <w:rFonts w:eastAsia="Calibri"/>
                <w:sz w:val="20"/>
                <w:szCs w:val="20"/>
              </w:rPr>
            </w:pPr>
            <w:r>
              <w:rPr>
                <w:sz w:val="20"/>
                <w:szCs w:val="20"/>
              </w:rPr>
              <w:t xml:space="preserve">Appliance Turn-In – </w:t>
            </w:r>
            <w:r w:rsidRPr="003458B1">
              <w:rPr>
                <w:sz w:val="20"/>
                <w:szCs w:val="20"/>
              </w:rPr>
              <w:t>1</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Pr>
                <w:sz w:val="20"/>
                <w:szCs w:val="20"/>
              </w:rPr>
              <w:t>N/A</w:t>
            </w:r>
          </w:p>
        </w:tc>
        <w:tc>
          <w:tcPr>
            <w:tcW w:w="1085"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2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368"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368"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r>
      <w:tr w:rsidR="00E7173E" w:rsidRPr="003458B1" w:rsidTr="008F60E1">
        <w:trPr>
          <w:trHeight w:val="488"/>
        </w:trPr>
        <w:tc>
          <w:tcPr>
            <w:tcW w:w="1975" w:type="dxa"/>
            <w:shd w:val="clear" w:color="auto" w:fill="auto"/>
            <w:noWrap/>
            <w:vAlign w:val="center"/>
          </w:tcPr>
          <w:p w:rsidR="005C649A" w:rsidRPr="003458B1" w:rsidRDefault="005C649A" w:rsidP="004F0C61">
            <w:pPr>
              <w:jc w:val="left"/>
              <w:rPr>
                <w:rFonts w:eastAsia="Calibri"/>
                <w:sz w:val="20"/>
                <w:szCs w:val="20"/>
              </w:rPr>
            </w:pPr>
            <w:r>
              <w:rPr>
                <w:sz w:val="20"/>
                <w:szCs w:val="20"/>
              </w:rPr>
              <w:t>Kitchen/appliances – 1</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Pr>
                <w:sz w:val="20"/>
                <w:szCs w:val="20"/>
              </w:rPr>
              <w:t>N/A</w:t>
            </w:r>
          </w:p>
        </w:tc>
        <w:tc>
          <w:tcPr>
            <w:tcW w:w="1085"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2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368"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368"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r>
      <w:tr w:rsidR="00A874AC" w:rsidRPr="003458B1" w:rsidTr="006D710B">
        <w:trPr>
          <w:trHeight w:val="488"/>
        </w:trPr>
        <w:tc>
          <w:tcPr>
            <w:tcW w:w="1975" w:type="dxa"/>
            <w:shd w:val="clear" w:color="auto" w:fill="D2EAF1"/>
            <w:noWrap/>
            <w:vAlign w:val="center"/>
          </w:tcPr>
          <w:p w:rsidR="005C649A" w:rsidRPr="003458B1" w:rsidRDefault="005C649A" w:rsidP="004F0C61">
            <w:pPr>
              <w:jc w:val="left"/>
              <w:rPr>
                <w:rFonts w:eastAsia="Calibri"/>
                <w:b/>
                <w:sz w:val="20"/>
                <w:szCs w:val="20"/>
              </w:rPr>
            </w:pPr>
            <w:r w:rsidRPr="003458B1">
              <w:rPr>
                <w:rFonts w:eastAsia="Calibri"/>
                <w:b/>
                <w:sz w:val="20"/>
                <w:szCs w:val="20"/>
              </w:rPr>
              <w:t>Program Total</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3,217</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14.4%</w:t>
            </w:r>
          </w:p>
        </w:tc>
        <w:tc>
          <w:tcPr>
            <w:tcW w:w="1085"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55</w:t>
            </w:r>
          </w:p>
        </w:tc>
        <w:tc>
          <w:tcPr>
            <w:tcW w:w="122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78</w:t>
            </w:r>
          </w:p>
        </w:tc>
        <w:tc>
          <w:tcPr>
            <w:tcW w:w="1368"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13.4%</w:t>
            </w:r>
          </w:p>
        </w:tc>
        <w:tc>
          <w:tcPr>
            <w:tcW w:w="1368"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9.4%</w:t>
            </w:r>
          </w:p>
        </w:tc>
      </w:tr>
    </w:tbl>
    <w:p w:rsidR="005C649A" w:rsidRPr="003458B1" w:rsidRDefault="005C649A" w:rsidP="005C649A"/>
    <w:p w:rsidR="005C649A" w:rsidRPr="003458B1" w:rsidRDefault="005C649A" w:rsidP="005C649A">
      <w:pPr>
        <w:pStyle w:val="AppendixAHeading5"/>
      </w:pPr>
      <w:r w:rsidRPr="003458B1">
        <w:t xml:space="preserve"> Large C/I Energy Efficient Equipment Program</w:t>
      </w:r>
    </w:p>
    <w:p w:rsidR="005C649A" w:rsidRDefault="005C649A" w:rsidP="005C649A">
      <w:r w:rsidRPr="003458B1">
        <w:t xml:space="preserve">In PY7 this program consisted mostly of equipment upgrades and custom at industrial facilities. The evaluation contractor used stratified ratio estimation to estimate savings for the program and stratified random sampling for sample design. All lighting projects that were expected to have more than 800 MWh/yr in savings and other projects that were expected to have more than 400 MWh/yr in savings were automatically selected for the evaluation. At the end of Q2 and Q4, the evaluation contractor reviewed the tracking data to draw a sample population for that quarter. The sample population was separated by company and programs first, and then was stratified based on energy savings at the measure level. The Cv used in the sample design was 0.5 for all projects. The detailed sampling strategy for this program in PY7 and the achieved precision values for each stratum are presented in </w:t>
      </w:r>
      <w:r w:rsidRPr="003458B1">
        <w:fldChar w:fldCharType="begin"/>
      </w:r>
      <w:r w:rsidRPr="003458B1">
        <w:instrText xml:space="preserve"> REF _Ref440267379 \h  \* MERGEFORMAT </w:instrText>
      </w:r>
      <w:r w:rsidRPr="003458B1">
        <w:fldChar w:fldCharType="separate"/>
      </w:r>
      <w:r w:rsidR="00A874AC" w:rsidRPr="003458B1">
        <w:t>Table A-</w:t>
      </w:r>
      <w:r w:rsidR="00A874AC">
        <w:t>96</w:t>
      </w:r>
      <w:r w:rsidRPr="003458B1">
        <w:fldChar w:fldCharType="end"/>
      </w:r>
      <w:r w:rsidRPr="003458B1">
        <w:t>. The data show that West Penn met the SWE Team require</w:t>
      </w:r>
      <w:r>
        <w:t>ments of 85%/15% confidence/</w:t>
      </w:r>
      <w:r w:rsidRPr="003458B1">
        <w:t>precision for energy and peak demand for this program.</w:t>
      </w:r>
    </w:p>
    <w:p w:rsidR="005C649A" w:rsidRPr="003458B1" w:rsidRDefault="005C649A" w:rsidP="005C649A"/>
    <w:p w:rsidR="005C649A" w:rsidRPr="003458B1" w:rsidRDefault="005C649A" w:rsidP="005C649A">
      <w:pPr>
        <w:pStyle w:val="Caption"/>
        <w:rPr>
          <w:bCs w:val="0"/>
        </w:rPr>
      </w:pPr>
      <w:bookmarkStart w:id="1060" w:name="_Ref440267379"/>
      <w:bookmarkStart w:id="1061" w:name="_Toc410199443"/>
      <w:bookmarkStart w:id="1062" w:name="_Toc431462363"/>
      <w:bookmarkStart w:id="1063" w:name="_Toc444269888"/>
      <w:bookmarkStart w:id="1064" w:name="_Toc472472505"/>
      <w:bookmarkStart w:id="1065" w:name="_Toc476842211"/>
      <w:r w:rsidRPr="003458B1">
        <w:t>Table A-</w:t>
      </w:r>
      <w:fldSimple w:instr=" SEQ Table_A- \* ARABIC ">
        <w:r w:rsidR="00C301D0">
          <w:rPr>
            <w:noProof/>
          </w:rPr>
          <w:t>96</w:t>
        </w:r>
      </w:fldSimple>
      <w:bookmarkEnd w:id="1060"/>
      <w:r w:rsidRPr="003458B1">
        <w:t>:</w:t>
      </w:r>
      <w:r w:rsidRPr="003458B1">
        <w:rPr>
          <w:bCs w:val="0"/>
        </w:rPr>
        <w:t xml:space="preserve"> West Penn’s PY7 Sampling Strategy and Relative Precision – Large C/I Energy Efficient Equipment Program</w:t>
      </w:r>
      <w:bookmarkEnd w:id="1061"/>
      <w:bookmarkEnd w:id="1062"/>
      <w:bookmarkEnd w:id="1063"/>
      <w:bookmarkEnd w:id="1064"/>
      <w:bookmarkEnd w:id="1065"/>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885"/>
        <w:gridCol w:w="1170"/>
        <w:gridCol w:w="1265"/>
        <w:gridCol w:w="1134"/>
        <w:gridCol w:w="1134"/>
        <w:gridCol w:w="1206"/>
        <w:gridCol w:w="1561"/>
      </w:tblGrid>
      <w:tr w:rsidR="00A874AC" w:rsidRPr="003458B1" w:rsidTr="006D710B">
        <w:trPr>
          <w:trHeight w:val="1061"/>
          <w:tblHeader/>
        </w:trPr>
        <w:tc>
          <w:tcPr>
            <w:tcW w:w="1885" w:type="dxa"/>
            <w:shd w:val="clear" w:color="auto" w:fill="448A99"/>
            <w:vAlign w:val="bottom"/>
            <w:hideMark/>
          </w:tcPr>
          <w:p w:rsidR="005C649A" w:rsidRPr="003458B1" w:rsidRDefault="005C649A" w:rsidP="004F0C61">
            <w:pPr>
              <w:rPr>
                <w:rFonts w:eastAsia="Calibri"/>
                <w:b/>
                <w:bCs/>
                <w:color w:val="FFFFFF"/>
                <w:sz w:val="20"/>
                <w:szCs w:val="20"/>
              </w:rPr>
            </w:pPr>
            <w:r w:rsidRPr="003458B1">
              <w:rPr>
                <w:rFonts w:eastAsia="Calibri"/>
                <w:b/>
                <w:bCs/>
                <w:color w:val="FFFFFF"/>
                <w:sz w:val="20"/>
                <w:szCs w:val="20"/>
              </w:rPr>
              <w:t>Stratum</w:t>
            </w:r>
          </w:p>
        </w:tc>
        <w:tc>
          <w:tcPr>
            <w:tcW w:w="1170"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Population</w:t>
            </w:r>
          </w:p>
        </w:tc>
        <w:tc>
          <w:tcPr>
            <w:tcW w:w="1265"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Target Levels of Confidence &amp; Precision</w:t>
            </w:r>
          </w:p>
        </w:tc>
        <w:tc>
          <w:tcPr>
            <w:tcW w:w="1134"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Target Sample Size</w:t>
            </w:r>
          </w:p>
        </w:tc>
        <w:tc>
          <w:tcPr>
            <w:tcW w:w="1134"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Achieved Sample Size</w:t>
            </w:r>
          </w:p>
        </w:tc>
        <w:tc>
          <w:tcPr>
            <w:tcW w:w="1206"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Relative Precision at 85% C.L. for Energy</w:t>
            </w:r>
          </w:p>
        </w:tc>
        <w:tc>
          <w:tcPr>
            <w:tcW w:w="1561" w:type="dxa"/>
            <w:shd w:val="clear" w:color="auto" w:fill="448A99"/>
            <w:vAlign w:val="bottom"/>
            <w:hideMark/>
          </w:tcPr>
          <w:p w:rsidR="005C649A" w:rsidRPr="003458B1" w:rsidRDefault="005C649A" w:rsidP="004F0C61">
            <w:pPr>
              <w:jc w:val="center"/>
              <w:rPr>
                <w:rFonts w:eastAsia="Calibri"/>
                <w:b/>
                <w:bCs/>
                <w:color w:val="FFFFFF"/>
                <w:sz w:val="20"/>
                <w:szCs w:val="20"/>
              </w:rPr>
            </w:pPr>
            <w:r w:rsidRPr="003458B1">
              <w:rPr>
                <w:rFonts w:eastAsia="Calibri"/>
                <w:b/>
                <w:bCs/>
                <w:color w:val="FFFFFF"/>
                <w:sz w:val="20"/>
                <w:szCs w:val="20"/>
              </w:rPr>
              <w:t>Relative Precision at 85% C.L. for Demand</w:t>
            </w:r>
          </w:p>
        </w:tc>
      </w:tr>
      <w:tr w:rsidR="00A874AC" w:rsidRPr="003458B1" w:rsidTr="006D710B">
        <w:trPr>
          <w:trHeight w:val="488"/>
        </w:trPr>
        <w:tc>
          <w:tcPr>
            <w:tcW w:w="1885" w:type="dxa"/>
            <w:shd w:val="clear" w:color="auto" w:fill="D2EAF1"/>
            <w:noWrap/>
            <w:vAlign w:val="center"/>
          </w:tcPr>
          <w:p w:rsidR="005C649A" w:rsidRPr="003458B1" w:rsidRDefault="005C649A" w:rsidP="004F0C61">
            <w:pPr>
              <w:rPr>
                <w:rFonts w:eastAsia="Calibri"/>
                <w:bCs/>
                <w:color w:val="000000"/>
                <w:sz w:val="20"/>
                <w:szCs w:val="20"/>
              </w:rPr>
            </w:pPr>
            <w:r>
              <w:rPr>
                <w:sz w:val="20"/>
                <w:szCs w:val="20"/>
              </w:rPr>
              <w:t xml:space="preserve">CFL kits – </w:t>
            </w:r>
            <w:r w:rsidRPr="003458B1">
              <w:rPr>
                <w:sz w:val="20"/>
                <w:szCs w:val="20"/>
              </w:rPr>
              <w:t>1</w:t>
            </w:r>
          </w:p>
        </w:tc>
        <w:tc>
          <w:tcPr>
            <w:tcW w:w="1170"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w:t>
            </w:r>
          </w:p>
        </w:tc>
        <w:tc>
          <w:tcPr>
            <w:tcW w:w="1265" w:type="dxa"/>
            <w:shd w:val="clear" w:color="auto" w:fill="D2EAF1"/>
            <w:noWrap/>
            <w:vAlign w:val="center"/>
          </w:tcPr>
          <w:p w:rsidR="005C649A" w:rsidRPr="003458B1" w:rsidRDefault="005C649A" w:rsidP="004F0C61">
            <w:pPr>
              <w:jc w:val="center"/>
              <w:rPr>
                <w:rFonts w:eastAsia="Calibri"/>
                <w:color w:val="000000"/>
                <w:sz w:val="20"/>
                <w:szCs w:val="20"/>
              </w:rPr>
            </w:pPr>
            <w:r>
              <w:rPr>
                <w:sz w:val="20"/>
                <w:szCs w:val="20"/>
              </w:rPr>
              <w:t>N/A</w:t>
            </w:r>
          </w:p>
        </w:tc>
        <w:tc>
          <w:tcPr>
            <w:tcW w:w="11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w:t>
            </w:r>
          </w:p>
        </w:tc>
        <w:tc>
          <w:tcPr>
            <w:tcW w:w="11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w:t>
            </w:r>
          </w:p>
        </w:tc>
        <w:tc>
          <w:tcPr>
            <w:tcW w:w="1206"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100.0%</w:t>
            </w:r>
          </w:p>
        </w:tc>
        <w:tc>
          <w:tcPr>
            <w:tcW w:w="1561"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100.0%</w:t>
            </w:r>
          </w:p>
        </w:tc>
      </w:tr>
      <w:tr w:rsidR="00E7173E" w:rsidRPr="003458B1" w:rsidTr="008F60E1">
        <w:trPr>
          <w:trHeight w:val="488"/>
        </w:trPr>
        <w:tc>
          <w:tcPr>
            <w:tcW w:w="1885" w:type="dxa"/>
            <w:shd w:val="clear" w:color="auto" w:fill="auto"/>
            <w:noWrap/>
            <w:vAlign w:val="center"/>
          </w:tcPr>
          <w:p w:rsidR="005C649A" w:rsidRPr="003458B1" w:rsidRDefault="005C649A" w:rsidP="004F0C61">
            <w:pPr>
              <w:rPr>
                <w:rFonts w:eastAsia="Calibri"/>
                <w:bCs/>
                <w:color w:val="000000"/>
                <w:sz w:val="20"/>
                <w:szCs w:val="20"/>
              </w:rPr>
            </w:pPr>
            <w:r>
              <w:rPr>
                <w:sz w:val="20"/>
                <w:szCs w:val="20"/>
              </w:rPr>
              <w:t>Lighting – c</w:t>
            </w:r>
            <w:r w:rsidRPr="003458B1">
              <w:rPr>
                <w:sz w:val="20"/>
                <w:szCs w:val="20"/>
              </w:rPr>
              <w:t>ertainty</w:t>
            </w:r>
          </w:p>
        </w:tc>
        <w:tc>
          <w:tcPr>
            <w:tcW w:w="1170"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5</w:t>
            </w:r>
          </w:p>
        </w:tc>
        <w:tc>
          <w:tcPr>
            <w:tcW w:w="1265"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c>
          <w:tcPr>
            <w:tcW w:w="11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5</w:t>
            </w:r>
          </w:p>
        </w:tc>
        <w:tc>
          <w:tcPr>
            <w:tcW w:w="11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5</w:t>
            </w:r>
          </w:p>
        </w:tc>
        <w:tc>
          <w:tcPr>
            <w:tcW w:w="1206"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c>
          <w:tcPr>
            <w:tcW w:w="1561"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r>
      <w:tr w:rsidR="00A874AC" w:rsidRPr="003458B1" w:rsidTr="006D710B">
        <w:trPr>
          <w:trHeight w:val="488"/>
        </w:trPr>
        <w:tc>
          <w:tcPr>
            <w:tcW w:w="1885" w:type="dxa"/>
            <w:shd w:val="clear" w:color="auto" w:fill="D2EAF1"/>
            <w:noWrap/>
            <w:vAlign w:val="center"/>
          </w:tcPr>
          <w:p w:rsidR="005C649A" w:rsidRPr="003458B1" w:rsidRDefault="005C649A" w:rsidP="004F0C61">
            <w:pPr>
              <w:rPr>
                <w:rFonts w:eastAsia="Calibri"/>
                <w:bCs/>
                <w:color w:val="000000"/>
                <w:sz w:val="20"/>
                <w:szCs w:val="20"/>
              </w:rPr>
            </w:pPr>
            <w:r w:rsidRPr="003458B1">
              <w:rPr>
                <w:sz w:val="20"/>
                <w:szCs w:val="20"/>
              </w:rPr>
              <w:t>Lighting</w:t>
            </w:r>
            <w:r>
              <w:rPr>
                <w:sz w:val="20"/>
                <w:szCs w:val="20"/>
              </w:rPr>
              <w:t xml:space="preserve"> – </w:t>
            </w:r>
            <w:r w:rsidRPr="003458B1">
              <w:rPr>
                <w:sz w:val="20"/>
                <w:szCs w:val="20"/>
              </w:rPr>
              <w:t>2</w:t>
            </w:r>
          </w:p>
        </w:tc>
        <w:tc>
          <w:tcPr>
            <w:tcW w:w="1170"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6</w:t>
            </w:r>
          </w:p>
        </w:tc>
        <w:tc>
          <w:tcPr>
            <w:tcW w:w="126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65.7%</w:t>
            </w:r>
          </w:p>
        </w:tc>
        <w:tc>
          <w:tcPr>
            <w:tcW w:w="11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1</w:t>
            </w:r>
          </w:p>
        </w:tc>
        <w:tc>
          <w:tcPr>
            <w:tcW w:w="11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2</w:t>
            </w:r>
          </w:p>
        </w:tc>
        <w:tc>
          <w:tcPr>
            <w:tcW w:w="1206"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41.6%</w:t>
            </w:r>
          </w:p>
        </w:tc>
        <w:tc>
          <w:tcPr>
            <w:tcW w:w="1561"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41.6%</w:t>
            </w:r>
          </w:p>
        </w:tc>
      </w:tr>
      <w:tr w:rsidR="00E7173E" w:rsidRPr="003458B1" w:rsidTr="008F60E1">
        <w:trPr>
          <w:trHeight w:val="488"/>
        </w:trPr>
        <w:tc>
          <w:tcPr>
            <w:tcW w:w="1885" w:type="dxa"/>
            <w:shd w:val="clear" w:color="auto" w:fill="auto"/>
            <w:noWrap/>
            <w:vAlign w:val="center"/>
          </w:tcPr>
          <w:p w:rsidR="005C649A" w:rsidRPr="003458B1" w:rsidRDefault="005C649A" w:rsidP="004F0C61">
            <w:pPr>
              <w:rPr>
                <w:rFonts w:eastAsia="Calibri"/>
                <w:bCs/>
                <w:color w:val="000000"/>
                <w:sz w:val="20"/>
                <w:szCs w:val="20"/>
              </w:rPr>
            </w:pPr>
            <w:r>
              <w:rPr>
                <w:sz w:val="20"/>
                <w:szCs w:val="20"/>
              </w:rPr>
              <w:t xml:space="preserve">Lighting – </w:t>
            </w:r>
            <w:r w:rsidRPr="003458B1">
              <w:rPr>
                <w:sz w:val="20"/>
                <w:szCs w:val="20"/>
              </w:rPr>
              <w:t>3</w:t>
            </w:r>
          </w:p>
        </w:tc>
        <w:tc>
          <w:tcPr>
            <w:tcW w:w="1170"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8</w:t>
            </w:r>
          </w:p>
        </w:tc>
        <w:tc>
          <w:tcPr>
            <w:tcW w:w="1265"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67.3%</w:t>
            </w:r>
          </w:p>
        </w:tc>
        <w:tc>
          <w:tcPr>
            <w:tcW w:w="11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1</w:t>
            </w:r>
          </w:p>
        </w:tc>
        <w:tc>
          <w:tcPr>
            <w:tcW w:w="11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1</w:t>
            </w:r>
          </w:p>
        </w:tc>
        <w:tc>
          <w:tcPr>
            <w:tcW w:w="1206"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67.3%</w:t>
            </w:r>
          </w:p>
        </w:tc>
        <w:tc>
          <w:tcPr>
            <w:tcW w:w="1561"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67.3%</w:t>
            </w:r>
          </w:p>
        </w:tc>
      </w:tr>
      <w:tr w:rsidR="00A874AC" w:rsidRPr="003458B1" w:rsidTr="006D710B">
        <w:trPr>
          <w:trHeight w:val="488"/>
        </w:trPr>
        <w:tc>
          <w:tcPr>
            <w:tcW w:w="1885" w:type="dxa"/>
            <w:shd w:val="clear" w:color="auto" w:fill="D2EAF1"/>
            <w:noWrap/>
            <w:vAlign w:val="center"/>
          </w:tcPr>
          <w:p w:rsidR="005C649A" w:rsidRPr="003458B1" w:rsidRDefault="005C649A" w:rsidP="004F0C61">
            <w:pPr>
              <w:rPr>
                <w:rFonts w:eastAsia="Calibri"/>
                <w:bCs/>
                <w:color w:val="000000"/>
                <w:sz w:val="20"/>
                <w:szCs w:val="20"/>
              </w:rPr>
            </w:pPr>
            <w:r>
              <w:rPr>
                <w:sz w:val="20"/>
                <w:szCs w:val="20"/>
              </w:rPr>
              <w:t xml:space="preserve">Lighting – </w:t>
            </w:r>
            <w:r w:rsidRPr="003458B1">
              <w:rPr>
                <w:sz w:val="20"/>
                <w:szCs w:val="20"/>
              </w:rPr>
              <w:t>4</w:t>
            </w:r>
          </w:p>
        </w:tc>
        <w:tc>
          <w:tcPr>
            <w:tcW w:w="1170"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50</w:t>
            </w:r>
          </w:p>
        </w:tc>
        <w:tc>
          <w:tcPr>
            <w:tcW w:w="126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30.5%</w:t>
            </w:r>
          </w:p>
        </w:tc>
        <w:tc>
          <w:tcPr>
            <w:tcW w:w="11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5</w:t>
            </w:r>
          </w:p>
        </w:tc>
        <w:tc>
          <w:tcPr>
            <w:tcW w:w="11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5</w:t>
            </w:r>
          </w:p>
        </w:tc>
        <w:tc>
          <w:tcPr>
            <w:tcW w:w="1206"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30.5%</w:t>
            </w:r>
          </w:p>
        </w:tc>
        <w:tc>
          <w:tcPr>
            <w:tcW w:w="1561"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30.5%</w:t>
            </w:r>
          </w:p>
        </w:tc>
      </w:tr>
      <w:tr w:rsidR="00E7173E" w:rsidRPr="003458B1" w:rsidTr="008F60E1">
        <w:trPr>
          <w:trHeight w:val="488"/>
        </w:trPr>
        <w:tc>
          <w:tcPr>
            <w:tcW w:w="1885" w:type="dxa"/>
            <w:shd w:val="clear" w:color="auto" w:fill="auto"/>
            <w:noWrap/>
            <w:vAlign w:val="center"/>
          </w:tcPr>
          <w:p w:rsidR="005C649A" w:rsidRPr="003458B1" w:rsidRDefault="005C649A" w:rsidP="004F0C61">
            <w:pPr>
              <w:rPr>
                <w:rFonts w:eastAsia="Calibri"/>
                <w:bCs/>
                <w:color w:val="000000"/>
                <w:sz w:val="20"/>
                <w:szCs w:val="20"/>
              </w:rPr>
            </w:pPr>
            <w:r>
              <w:rPr>
                <w:sz w:val="20"/>
                <w:szCs w:val="20"/>
              </w:rPr>
              <w:t>Custom – c</w:t>
            </w:r>
            <w:r w:rsidRPr="003458B1">
              <w:rPr>
                <w:sz w:val="20"/>
                <w:szCs w:val="20"/>
              </w:rPr>
              <w:t>ertainty</w:t>
            </w:r>
          </w:p>
        </w:tc>
        <w:tc>
          <w:tcPr>
            <w:tcW w:w="1170"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9</w:t>
            </w:r>
          </w:p>
        </w:tc>
        <w:tc>
          <w:tcPr>
            <w:tcW w:w="1265"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c>
          <w:tcPr>
            <w:tcW w:w="11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9</w:t>
            </w:r>
          </w:p>
        </w:tc>
        <w:tc>
          <w:tcPr>
            <w:tcW w:w="1134"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9</w:t>
            </w:r>
          </w:p>
        </w:tc>
        <w:tc>
          <w:tcPr>
            <w:tcW w:w="1206"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c>
          <w:tcPr>
            <w:tcW w:w="1561" w:type="dxa"/>
            <w:shd w:val="clear" w:color="auto" w:fill="auto"/>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r>
      <w:tr w:rsidR="00A874AC" w:rsidRPr="003458B1" w:rsidTr="006D710B">
        <w:trPr>
          <w:trHeight w:val="488"/>
        </w:trPr>
        <w:tc>
          <w:tcPr>
            <w:tcW w:w="1885" w:type="dxa"/>
            <w:shd w:val="clear" w:color="auto" w:fill="D2EAF1"/>
            <w:noWrap/>
            <w:vAlign w:val="center"/>
          </w:tcPr>
          <w:p w:rsidR="005C649A" w:rsidRPr="003458B1" w:rsidRDefault="005C649A" w:rsidP="004F0C61">
            <w:pPr>
              <w:rPr>
                <w:rFonts w:eastAsia="Calibri"/>
                <w:bCs/>
                <w:color w:val="000000"/>
                <w:sz w:val="20"/>
                <w:szCs w:val="20"/>
              </w:rPr>
            </w:pPr>
            <w:r>
              <w:rPr>
                <w:sz w:val="20"/>
                <w:szCs w:val="20"/>
              </w:rPr>
              <w:t xml:space="preserve">Custom – </w:t>
            </w:r>
            <w:r w:rsidRPr="003458B1">
              <w:rPr>
                <w:sz w:val="20"/>
                <w:szCs w:val="20"/>
              </w:rPr>
              <w:t>2</w:t>
            </w:r>
          </w:p>
        </w:tc>
        <w:tc>
          <w:tcPr>
            <w:tcW w:w="1170"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1</w:t>
            </w:r>
          </w:p>
        </w:tc>
        <w:tc>
          <w:tcPr>
            <w:tcW w:w="1265"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c>
          <w:tcPr>
            <w:tcW w:w="11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1</w:t>
            </w:r>
          </w:p>
        </w:tc>
        <w:tc>
          <w:tcPr>
            <w:tcW w:w="1134"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1</w:t>
            </w:r>
          </w:p>
        </w:tc>
        <w:tc>
          <w:tcPr>
            <w:tcW w:w="1206"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c>
          <w:tcPr>
            <w:tcW w:w="1561" w:type="dxa"/>
            <w:shd w:val="clear" w:color="auto" w:fill="D2EAF1"/>
            <w:noWrap/>
            <w:vAlign w:val="center"/>
          </w:tcPr>
          <w:p w:rsidR="005C649A" w:rsidRPr="003458B1" w:rsidRDefault="005C649A" w:rsidP="004F0C61">
            <w:pPr>
              <w:jc w:val="center"/>
              <w:rPr>
                <w:rFonts w:eastAsia="Calibri"/>
                <w:color w:val="000000"/>
                <w:sz w:val="20"/>
                <w:szCs w:val="20"/>
              </w:rPr>
            </w:pPr>
            <w:r w:rsidRPr="003458B1">
              <w:rPr>
                <w:sz w:val="20"/>
                <w:szCs w:val="20"/>
              </w:rPr>
              <w:t>0.0%</w:t>
            </w:r>
          </w:p>
        </w:tc>
      </w:tr>
      <w:tr w:rsidR="00E7173E" w:rsidRPr="003458B1" w:rsidTr="008F60E1">
        <w:trPr>
          <w:trHeight w:val="488"/>
        </w:trPr>
        <w:tc>
          <w:tcPr>
            <w:tcW w:w="1885" w:type="dxa"/>
            <w:shd w:val="clear" w:color="auto" w:fill="auto"/>
            <w:noWrap/>
            <w:vAlign w:val="center"/>
          </w:tcPr>
          <w:p w:rsidR="005C649A" w:rsidRPr="003458B1" w:rsidRDefault="005C649A" w:rsidP="004F0C61">
            <w:pPr>
              <w:rPr>
                <w:rFonts w:eastAsia="Calibri"/>
                <w:bCs/>
                <w:color w:val="000000"/>
                <w:sz w:val="20"/>
                <w:szCs w:val="20"/>
              </w:rPr>
            </w:pPr>
            <w:r>
              <w:rPr>
                <w:sz w:val="20"/>
                <w:szCs w:val="20"/>
              </w:rPr>
              <w:t xml:space="preserve">Custom – </w:t>
            </w:r>
            <w:r w:rsidRPr="003458B1">
              <w:rPr>
                <w:sz w:val="20"/>
                <w:szCs w:val="20"/>
              </w:rPr>
              <w:t>3</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16</w:t>
            </w:r>
          </w:p>
        </w:tc>
        <w:tc>
          <w:tcPr>
            <w:tcW w:w="1265"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31.2%</w:t>
            </w:r>
          </w:p>
        </w:tc>
        <w:tc>
          <w:tcPr>
            <w:tcW w:w="113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4</w:t>
            </w:r>
          </w:p>
        </w:tc>
        <w:tc>
          <w:tcPr>
            <w:tcW w:w="113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4</w:t>
            </w:r>
          </w:p>
        </w:tc>
        <w:tc>
          <w:tcPr>
            <w:tcW w:w="1206"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31.2%</w:t>
            </w:r>
          </w:p>
        </w:tc>
        <w:tc>
          <w:tcPr>
            <w:tcW w:w="1561"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31.2%</w:t>
            </w:r>
          </w:p>
        </w:tc>
      </w:tr>
      <w:tr w:rsidR="00A874AC" w:rsidRPr="003458B1" w:rsidTr="006D710B">
        <w:trPr>
          <w:trHeight w:val="488"/>
        </w:trPr>
        <w:tc>
          <w:tcPr>
            <w:tcW w:w="1885" w:type="dxa"/>
            <w:shd w:val="clear" w:color="auto" w:fill="D2EAF1"/>
            <w:noWrap/>
            <w:vAlign w:val="center"/>
          </w:tcPr>
          <w:p w:rsidR="005C649A" w:rsidRPr="003458B1" w:rsidRDefault="005C649A" w:rsidP="004F0C61">
            <w:pPr>
              <w:rPr>
                <w:rFonts w:eastAsia="Calibri"/>
                <w:sz w:val="20"/>
                <w:szCs w:val="20"/>
              </w:rPr>
            </w:pPr>
            <w:r>
              <w:rPr>
                <w:sz w:val="20"/>
                <w:szCs w:val="20"/>
              </w:rPr>
              <w:t xml:space="preserve">HVAC and DHW – </w:t>
            </w:r>
            <w:r w:rsidRPr="003458B1">
              <w:rPr>
                <w:sz w:val="20"/>
                <w:szCs w:val="20"/>
              </w:rPr>
              <w:t>1</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65" w:type="dxa"/>
            <w:shd w:val="clear" w:color="auto" w:fill="D2EAF1"/>
            <w:noWrap/>
            <w:vAlign w:val="center"/>
          </w:tcPr>
          <w:p w:rsidR="005C649A" w:rsidRPr="003458B1" w:rsidRDefault="005C649A" w:rsidP="004F0C61">
            <w:pPr>
              <w:jc w:val="center"/>
              <w:rPr>
                <w:rFonts w:eastAsia="Calibri"/>
                <w:b/>
                <w:bCs/>
                <w:color w:val="000000"/>
                <w:sz w:val="20"/>
                <w:szCs w:val="20"/>
              </w:rPr>
            </w:pPr>
            <w:r>
              <w:rPr>
                <w:sz w:val="20"/>
                <w:szCs w:val="20"/>
              </w:rPr>
              <w:t>N/A</w:t>
            </w:r>
          </w:p>
        </w:tc>
        <w:tc>
          <w:tcPr>
            <w:tcW w:w="113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13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06"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561"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r>
      <w:tr w:rsidR="00E7173E" w:rsidRPr="003458B1" w:rsidTr="008F60E1">
        <w:trPr>
          <w:trHeight w:val="488"/>
        </w:trPr>
        <w:tc>
          <w:tcPr>
            <w:tcW w:w="1885" w:type="dxa"/>
            <w:shd w:val="clear" w:color="auto" w:fill="auto"/>
            <w:noWrap/>
            <w:vAlign w:val="center"/>
          </w:tcPr>
          <w:p w:rsidR="005C649A" w:rsidRPr="003458B1" w:rsidRDefault="005C649A" w:rsidP="004F0C61">
            <w:pPr>
              <w:rPr>
                <w:rFonts w:eastAsia="Calibri"/>
                <w:sz w:val="20"/>
                <w:szCs w:val="20"/>
              </w:rPr>
            </w:pPr>
            <w:r>
              <w:rPr>
                <w:sz w:val="20"/>
                <w:szCs w:val="20"/>
              </w:rPr>
              <w:t xml:space="preserve">HVAC and DHW – </w:t>
            </w:r>
            <w:r w:rsidRPr="003458B1">
              <w:rPr>
                <w:sz w:val="20"/>
                <w:szCs w:val="20"/>
              </w:rPr>
              <w:t>2</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65" w:type="dxa"/>
            <w:shd w:val="clear" w:color="auto" w:fill="auto"/>
            <w:noWrap/>
            <w:vAlign w:val="center"/>
          </w:tcPr>
          <w:p w:rsidR="005C649A" w:rsidRPr="003458B1" w:rsidRDefault="005C649A" w:rsidP="004F0C61">
            <w:pPr>
              <w:jc w:val="center"/>
              <w:rPr>
                <w:rFonts w:eastAsia="Calibri"/>
                <w:b/>
                <w:bCs/>
                <w:color w:val="000000"/>
                <w:sz w:val="20"/>
                <w:szCs w:val="20"/>
              </w:rPr>
            </w:pPr>
            <w:r>
              <w:rPr>
                <w:sz w:val="20"/>
                <w:szCs w:val="20"/>
              </w:rPr>
              <w:t>N/A</w:t>
            </w:r>
          </w:p>
        </w:tc>
        <w:tc>
          <w:tcPr>
            <w:tcW w:w="113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13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06"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561"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r>
      <w:tr w:rsidR="00A874AC" w:rsidRPr="003458B1" w:rsidTr="006D710B">
        <w:trPr>
          <w:trHeight w:val="488"/>
        </w:trPr>
        <w:tc>
          <w:tcPr>
            <w:tcW w:w="1885" w:type="dxa"/>
            <w:shd w:val="clear" w:color="auto" w:fill="D2EAF1"/>
            <w:noWrap/>
            <w:vAlign w:val="center"/>
          </w:tcPr>
          <w:p w:rsidR="005C649A" w:rsidRPr="003458B1" w:rsidRDefault="005C649A" w:rsidP="004F0C61">
            <w:pPr>
              <w:rPr>
                <w:rFonts w:eastAsia="Calibri"/>
                <w:sz w:val="20"/>
                <w:szCs w:val="20"/>
              </w:rPr>
            </w:pPr>
            <w:r>
              <w:rPr>
                <w:sz w:val="20"/>
                <w:szCs w:val="20"/>
              </w:rPr>
              <w:t xml:space="preserve">Appliance Turn-In – </w:t>
            </w:r>
            <w:r w:rsidRPr="003458B1">
              <w:rPr>
                <w:sz w:val="20"/>
                <w:szCs w:val="20"/>
              </w:rPr>
              <w:t>1</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65" w:type="dxa"/>
            <w:shd w:val="clear" w:color="auto" w:fill="D2EAF1"/>
            <w:noWrap/>
            <w:vAlign w:val="center"/>
          </w:tcPr>
          <w:p w:rsidR="005C649A" w:rsidRPr="003458B1" w:rsidRDefault="005C649A" w:rsidP="004F0C61">
            <w:pPr>
              <w:jc w:val="center"/>
              <w:rPr>
                <w:rFonts w:eastAsia="Calibri"/>
                <w:b/>
                <w:bCs/>
                <w:color w:val="000000"/>
                <w:sz w:val="20"/>
                <w:szCs w:val="20"/>
              </w:rPr>
            </w:pPr>
            <w:r>
              <w:rPr>
                <w:sz w:val="20"/>
                <w:szCs w:val="20"/>
              </w:rPr>
              <w:t>N/A</w:t>
            </w:r>
          </w:p>
        </w:tc>
        <w:tc>
          <w:tcPr>
            <w:tcW w:w="113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13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06"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561"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r>
      <w:tr w:rsidR="00E7173E" w:rsidRPr="003458B1" w:rsidTr="008F60E1">
        <w:trPr>
          <w:trHeight w:val="488"/>
        </w:trPr>
        <w:tc>
          <w:tcPr>
            <w:tcW w:w="1885" w:type="dxa"/>
            <w:shd w:val="clear" w:color="auto" w:fill="auto"/>
            <w:noWrap/>
            <w:vAlign w:val="center"/>
          </w:tcPr>
          <w:p w:rsidR="005C649A" w:rsidRPr="003458B1" w:rsidRDefault="005C649A" w:rsidP="004F0C61">
            <w:pPr>
              <w:rPr>
                <w:rFonts w:eastAsia="Calibri"/>
                <w:sz w:val="20"/>
                <w:szCs w:val="20"/>
              </w:rPr>
            </w:pPr>
            <w:r>
              <w:rPr>
                <w:sz w:val="20"/>
                <w:szCs w:val="20"/>
              </w:rPr>
              <w:t>Kitchen/appliances –  1</w:t>
            </w:r>
          </w:p>
        </w:tc>
        <w:tc>
          <w:tcPr>
            <w:tcW w:w="1170"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65" w:type="dxa"/>
            <w:shd w:val="clear" w:color="auto" w:fill="auto"/>
            <w:noWrap/>
            <w:vAlign w:val="center"/>
          </w:tcPr>
          <w:p w:rsidR="005C649A" w:rsidRPr="003458B1" w:rsidRDefault="005C649A" w:rsidP="004F0C61">
            <w:pPr>
              <w:jc w:val="center"/>
              <w:rPr>
                <w:rFonts w:eastAsia="Calibri"/>
                <w:b/>
                <w:bCs/>
                <w:color w:val="000000"/>
                <w:sz w:val="20"/>
                <w:szCs w:val="20"/>
              </w:rPr>
            </w:pPr>
            <w:r>
              <w:rPr>
                <w:sz w:val="20"/>
                <w:szCs w:val="20"/>
              </w:rPr>
              <w:t>N/A</w:t>
            </w:r>
          </w:p>
        </w:tc>
        <w:tc>
          <w:tcPr>
            <w:tcW w:w="113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134"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w:t>
            </w:r>
          </w:p>
        </w:tc>
        <w:tc>
          <w:tcPr>
            <w:tcW w:w="1206"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c>
          <w:tcPr>
            <w:tcW w:w="1561" w:type="dxa"/>
            <w:shd w:val="clear" w:color="auto" w:fill="auto"/>
            <w:noWrap/>
            <w:vAlign w:val="center"/>
          </w:tcPr>
          <w:p w:rsidR="005C649A" w:rsidRPr="003458B1" w:rsidRDefault="005C649A" w:rsidP="004F0C61">
            <w:pPr>
              <w:jc w:val="center"/>
              <w:rPr>
                <w:rFonts w:eastAsia="Calibri"/>
                <w:b/>
                <w:bCs/>
                <w:color w:val="000000"/>
                <w:sz w:val="20"/>
                <w:szCs w:val="20"/>
              </w:rPr>
            </w:pPr>
            <w:r w:rsidRPr="003458B1">
              <w:rPr>
                <w:sz w:val="20"/>
                <w:szCs w:val="20"/>
              </w:rPr>
              <w:t>0.0%</w:t>
            </w:r>
          </w:p>
        </w:tc>
      </w:tr>
      <w:tr w:rsidR="00A874AC" w:rsidRPr="003458B1" w:rsidTr="006D710B">
        <w:trPr>
          <w:trHeight w:val="489"/>
        </w:trPr>
        <w:tc>
          <w:tcPr>
            <w:tcW w:w="1885" w:type="dxa"/>
            <w:shd w:val="clear" w:color="auto" w:fill="D2EAF1"/>
            <w:noWrap/>
            <w:vAlign w:val="center"/>
          </w:tcPr>
          <w:p w:rsidR="005C649A" w:rsidRPr="003458B1" w:rsidRDefault="005C649A" w:rsidP="004F0C61">
            <w:pPr>
              <w:rPr>
                <w:rFonts w:eastAsia="Calibri"/>
                <w:b/>
                <w:sz w:val="20"/>
                <w:szCs w:val="20"/>
              </w:rPr>
            </w:pPr>
            <w:r w:rsidRPr="003458B1">
              <w:rPr>
                <w:rFonts w:eastAsia="Calibri"/>
                <w:b/>
                <w:sz w:val="20"/>
                <w:szCs w:val="20"/>
              </w:rPr>
              <w:t>Program Total</w:t>
            </w:r>
          </w:p>
        </w:tc>
        <w:tc>
          <w:tcPr>
            <w:tcW w:w="1170"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95</w:t>
            </w:r>
          </w:p>
        </w:tc>
        <w:tc>
          <w:tcPr>
            <w:tcW w:w="1265"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10.1%</w:t>
            </w:r>
          </w:p>
        </w:tc>
        <w:tc>
          <w:tcPr>
            <w:tcW w:w="113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26</w:t>
            </w:r>
          </w:p>
        </w:tc>
        <w:tc>
          <w:tcPr>
            <w:tcW w:w="1134"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27</w:t>
            </w:r>
          </w:p>
        </w:tc>
        <w:tc>
          <w:tcPr>
            <w:tcW w:w="1206"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8.1%</w:t>
            </w:r>
          </w:p>
        </w:tc>
        <w:tc>
          <w:tcPr>
            <w:tcW w:w="1561" w:type="dxa"/>
            <w:shd w:val="clear" w:color="auto" w:fill="D2EAF1"/>
            <w:noWrap/>
            <w:vAlign w:val="center"/>
          </w:tcPr>
          <w:p w:rsidR="005C649A" w:rsidRPr="003458B1" w:rsidRDefault="005C649A" w:rsidP="004F0C61">
            <w:pPr>
              <w:jc w:val="center"/>
              <w:rPr>
                <w:rFonts w:eastAsia="Calibri"/>
                <w:b/>
                <w:bCs/>
                <w:color w:val="000000"/>
                <w:sz w:val="20"/>
                <w:szCs w:val="20"/>
              </w:rPr>
            </w:pPr>
            <w:r w:rsidRPr="003458B1">
              <w:rPr>
                <w:b/>
                <w:sz w:val="20"/>
                <w:szCs w:val="20"/>
              </w:rPr>
              <w:t>9.5%</w:t>
            </w:r>
          </w:p>
        </w:tc>
      </w:tr>
    </w:tbl>
    <w:p w:rsidR="005C649A" w:rsidRPr="003458B1" w:rsidRDefault="005C649A" w:rsidP="005C649A"/>
    <w:p w:rsidR="005C649A" w:rsidRPr="003458B1" w:rsidRDefault="005C649A" w:rsidP="005C649A">
      <w:pPr>
        <w:pStyle w:val="AppendixAHeading5"/>
      </w:pPr>
      <w:r w:rsidRPr="003458B1">
        <w:t>C/I Large Energy Efficient Buildings Program</w:t>
      </w:r>
    </w:p>
    <w:p w:rsidR="005C649A" w:rsidRPr="003458B1" w:rsidRDefault="005C649A" w:rsidP="005C649A">
      <w:r w:rsidRPr="003458B1">
        <w:t>This was a new program in Phase II. The program includes two components: energy conservation kits delivered by mail to</w:t>
      </w:r>
      <w:r>
        <w:t xml:space="preserve"> non-residential customers and whole-building</w:t>
      </w:r>
      <w:r w:rsidRPr="003458B1">
        <w:t xml:space="preserve"> projects such as new construction, retro-commissioning, and building envelope improvements. Sampling and project-level gross impact evaluation methodologies for efficient equipment and building upgrade measures are identical to the</w:t>
      </w:r>
      <w:r w:rsidR="006722FB">
        <w:t xml:space="preserve"> methodology described for the </w:t>
      </w:r>
      <w:r w:rsidRPr="003458B1">
        <w:t xml:space="preserve">Small </w:t>
      </w:r>
      <w:r w:rsidR="006722FB">
        <w:t xml:space="preserve">C/I </w:t>
      </w:r>
      <w:r>
        <w:t xml:space="preserve">Energy </w:t>
      </w:r>
      <w:r w:rsidRPr="003458B1">
        <w:t xml:space="preserve">Efficient Equipment Program above. The sample design strategy and the achieved precision values for energy and demand are shown in </w:t>
      </w:r>
      <w:r w:rsidRPr="003458B1">
        <w:fldChar w:fldCharType="begin"/>
      </w:r>
      <w:r w:rsidRPr="003458B1">
        <w:instrText xml:space="preserve"> REF _Ref440033578 \h  \* MERGEFORMAT </w:instrText>
      </w:r>
      <w:r w:rsidRPr="003458B1">
        <w:fldChar w:fldCharType="separate"/>
      </w:r>
      <w:r w:rsidR="00A874AC" w:rsidRPr="00A874AC">
        <w:rPr>
          <w:bCs/>
        </w:rPr>
        <w:t>Table A-97</w:t>
      </w:r>
      <w:r w:rsidRPr="003458B1">
        <w:fldChar w:fldCharType="end"/>
      </w:r>
      <w:r w:rsidRPr="003458B1">
        <w:t>. The precision levels for energy and for demand met the SWE Team requirements.</w:t>
      </w:r>
    </w:p>
    <w:p w:rsidR="005C649A" w:rsidRPr="003458B1" w:rsidRDefault="005C649A" w:rsidP="005C649A"/>
    <w:p w:rsidR="005C649A" w:rsidRPr="003458B1" w:rsidRDefault="005C649A" w:rsidP="005C649A">
      <w:pPr>
        <w:spacing w:after="120"/>
        <w:jc w:val="center"/>
        <w:rPr>
          <w:rFonts w:ascii="Century Gothic" w:hAnsi="Century Gothic"/>
          <w:b/>
          <w:bCs/>
          <w:sz w:val="18"/>
          <w:szCs w:val="18"/>
        </w:rPr>
      </w:pPr>
      <w:bookmarkStart w:id="1066" w:name="_Ref440033578"/>
      <w:bookmarkStart w:id="1067" w:name="_Toc444269889"/>
      <w:bookmarkStart w:id="1068" w:name="_Toc472472506"/>
      <w:bookmarkStart w:id="1069" w:name="_Toc476842212"/>
      <w:r w:rsidRPr="003458B1">
        <w:rPr>
          <w:rFonts w:ascii="Century Gothic" w:hAnsi="Century Gothic"/>
          <w:b/>
          <w:bCs/>
          <w:sz w:val="18"/>
          <w:szCs w:val="18"/>
        </w:rPr>
        <w:t>Table A-</w:t>
      </w:r>
      <w:r w:rsidRPr="003458B1">
        <w:rPr>
          <w:rFonts w:ascii="Century Gothic" w:hAnsi="Century Gothic"/>
          <w:b/>
          <w:bCs/>
          <w:sz w:val="18"/>
          <w:szCs w:val="18"/>
        </w:rPr>
        <w:fldChar w:fldCharType="begin"/>
      </w:r>
      <w:r w:rsidRPr="003458B1">
        <w:rPr>
          <w:rFonts w:ascii="Century Gothic" w:hAnsi="Century Gothic"/>
          <w:b/>
          <w:bCs/>
          <w:sz w:val="18"/>
          <w:szCs w:val="18"/>
        </w:rPr>
        <w:instrText xml:space="preserve"> SEQ Table_A- \* ARABIC </w:instrText>
      </w:r>
      <w:r w:rsidRPr="003458B1">
        <w:rPr>
          <w:rFonts w:ascii="Century Gothic" w:hAnsi="Century Gothic"/>
          <w:b/>
          <w:bCs/>
          <w:sz w:val="18"/>
          <w:szCs w:val="18"/>
        </w:rPr>
        <w:fldChar w:fldCharType="separate"/>
      </w:r>
      <w:r w:rsidR="00C301D0">
        <w:rPr>
          <w:rFonts w:ascii="Century Gothic" w:hAnsi="Century Gothic"/>
          <w:b/>
          <w:bCs/>
          <w:noProof/>
          <w:sz w:val="18"/>
          <w:szCs w:val="18"/>
        </w:rPr>
        <w:t>97</w:t>
      </w:r>
      <w:r w:rsidRPr="003458B1">
        <w:rPr>
          <w:rFonts w:ascii="Century Gothic" w:hAnsi="Century Gothic"/>
          <w:b/>
          <w:bCs/>
          <w:sz w:val="18"/>
          <w:szCs w:val="18"/>
        </w:rPr>
        <w:fldChar w:fldCharType="end"/>
      </w:r>
      <w:bookmarkEnd w:id="1066"/>
      <w:r w:rsidRPr="003458B1">
        <w:rPr>
          <w:rFonts w:ascii="Century Gothic" w:hAnsi="Century Gothic"/>
          <w:b/>
          <w:bCs/>
          <w:sz w:val="18"/>
          <w:szCs w:val="18"/>
        </w:rPr>
        <w:t>: West Penn PY7 Sampling Strategy and Relative Precision – Large C/I Energy Efficient Buildings Program</w:t>
      </w:r>
      <w:bookmarkEnd w:id="1067"/>
      <w:bookmarkEnd w:id="1068"/>
      <w:bookmarkEnd w:id="1069"/>
    </w:p>
    <w:tbl>
      <w:tblPr>
        <w:tblW w:w="9359" w:type="dxa"/>
        <w:tblBorders>
          <w:top w:val="single" w:sz="4" w:space="0" w:color="448A99"/>
          <w:left w:val="single" w:sz="4" w:space="0" w:color="448A99"/>
          <w:bottom w:val="single" w:sz="4" w:space="0" w:color="448A99"/>
          <w:right w:val="single" w:sz="4" w:space="0" w:color="448A99"/>
          <w:insideH w:val="single" w:sz="6" w:space="0" w:color="448A99"/>
          <w:insideV w:val="single" w:sz="6" w:space="0" w:color="448A99"/>
        </w:tblBorders>
        <w:tblLayout w:type="fixed"/>
        <w:tblLook w:val="04A0" w:firstRow="1" w:lastRow="0" w:firstColumn="1" w:lastColumn="0" w:noHBand="0" w:noVBand="1"/>
      </w:tblPr>
      <w:tblGrid>
        <w:gridCol w:w="2070"/>
        <w:gridCol w:w="1170"/>
        <w:gridCol w:w="1260"/>
        <w:gridCol w:w="1075"/>
        <w:gridCol w:w="1261"/>
        <w:gridCol w:w="1261"/>
        <w:gridCol w:w="1262"/>
      </w:tblGrid>
      <w:tr w:rsidR="00A874AC" w:rsidRPr="003458B1" w:rsidTr="006F4CC7">
        <w:trPr>
          <w:trHeight w:val="1052"/>
          <w:tblHeader/>
        </w:trPr>
        <w:tc>
          <w:tcPr>
            <w:tcW w:w="2070" w:type="dxa"/>
            <w:shd w:val="clear" w:color="000000" w:fill="448A99"/>
            <w:vAlign w:val="bottom"/>
            <w:hideMark/>
          </w:tcPr>
          <w:p w:rsidR="005C649A" w:rsidRPr="003458B1" w:rsidRDefault="005C649A" w:rsidP="004F0C61">
            <w:pPr>
              <w:rPr>
                <w:b/>
                <w:bCs/>
                <w:color w:val="FFFFFF"/>
                <w:sz w:val="20"/>
                <w:szCs w:val="20"/>
              </w:rPr>
            </w:pPr>
            <w:r w:rsidRPr="003458B1">
              <w:rPr>
                <w:b/>
                <w:bCs/>
                <w:color w:val="FFFFFF"/>
                <w:sz w:val="20"/>
                <w:szCs w:val="20"/>
              </w:rPr>
              <w:t>Stratum</w:t>
            </w:r>
          </w:p>
        </w:tc>
        <w:tc>
          <w:tcPr>
            <w:tcW w:w="1170" w:type="dxa"/>
            <w:shd w:val="clear" w:color="000000" w:fill="448A99"/>
            <w:vAlign w:val="bottom"/>
            <w:hideMark/>
          </w:tcPr>
          <w:p w:rsidR="005C649A" w:rsidRPr="003458B1" w:rsidRDefault="005C649A" w:rsidP="004F0C61">
            <w:pPr>
              <w:jc w:val="center"/>
              <w:rPr>
                <w:b/>
                <w:bCs/>
                <w:color w:val="FFFFFF"/>
                <w:sz w:val="20"/>
                <w:szCs w:val="20"/>
              </w:rPr>
            </w:pPr>
            <w:r w:rsidRPr="003458B1">
              <w:rPr>
                <w:b/>
                <w:bCs/>
                <w:color w:val="FFFFFF"/>
                <w:sz w:val="20"/>
                <w:szCs w:val="20"/>
              </w:rPr>
              <w:t>Population</w:t>
            </w:r>
          </w:p>
        </w:tc>
        <w:tc>
          <w:tcPr>
            <w:tcW w:w="1260" w:type="dxa"/>
            <w:shd w:val="clear" w:color="000000" w:fill="448A99"/>
            <w:vAlign w:val="bottom"/>
            <w:hideMark/>
          </w:tcPr>
          <w:p w:rsidR="005C649A" w:rsidRPr="003458B1" w:rsidRDefault="005C649A" w:rsidP="004F0C61">
            <w:pPr>
              <w:jc w:val="center"/>
              <w:rPr>
                <w:b/>
                <w:bCs/>
                <w:color w:val="FFFFFF"/>
                <w:sz w:val="20"/>
                <w:szCs w:val="20"/>
              </w:rPr>
            </w:pPr>
            <w:r w:rsidRPr="003458B1">
              <w:rPr>
                <w:b/>
                <w:bCs/>
                <w:color w:val="FFFFFF"/>
                <w:sz w:val="20"/>
                <w:szCs w:val="20"/>
              </w:rPr>
              <w:t>Target Levels of Confidence &amp; Precision</w:t>
            </w:r>
          </w:p>
        </w:tc>
        <w:tc>
          <w:tcPr>
            <w:tcW w:w="1075" w:type="dxa"/>
            <w:shd w:val="clear" w:color="000000" w:fill="448A99"/>
            <w:vAlign w:val="bottom"/>
            <w:hideMark/>
          </w:tcPr>
          <w:p w:rsidR="005C649A" w:rsidRPr="003458B1" w:rsidRDefault="005C649A" w:rsidP="004F0C61">
            <w:pPr>
              <w:jc w:val="center"/>
              <w:rPr>
                <w:b/>
                <w:bCs/>
                <w:color w:val="FFFFFF"/>
                <w:sz w:val="20"/>
                <w:szCs w:val="20"/>
              </w:rPr>
            </w:pPr>
            <w:r w:rsidRPr="003458B1">
              <w:rPr>
                <w:b/>
                <w:bCs/>
                <w:color w:val="FFFFFF"/>
                <w:sz w:val="20"/>
                <w:szCs w:val="20"/>
              </w:rPr>
              <w:t>Target Sample Size</w:t>
            </w:r>
          </w:p>
        </w:tc>
        <w:tc>
          <w:tcPr>
            <w:tcW w:w="1261" w:type="dxa"/>
            <w:shd w:val="clear" w:color="000000" w:fill="448A99"/>
            <w:vAlign w:val="bottom"/>
            <w:hideMark/>
          </w:tcPr>
          <w:p w:rsidR="005C649A" w:rsidRPr="003458B1" w:rsidRDefault="005C649A" w:rsidP="004F0C61">
            <w:pPr>
              <w:jc w:val="center"/>
              <w:rPr>
                <w:b/>
                <w:bCs/>
                <w:color w:val="FFFFFF"/>
                <w:sz w:val="20"/>
                <w:szCs w:val="20"/>
              </w:rPr>
            </w:pPr>
            <w:r w:rsidRPr="003458B1">
              <w:rPr>
                <w:b/>
                <w:bCs/>
                <w:color w:val="FFFFFF"/>
                <w:sz w:val="20"/>
                <w:szCs w:val="20"/>
              </w:rPr>
              <w:t>Achieved Sample Size</w:t>
            </w:r>
          </w:p>
        </w:tc>
        <w:tc>
          <w:tcPr>
            <w:tcW w:w="1261" w:type="dxa"/>
            <w:shd w:val="clear" w:color="000000" w:fill="448A99"/>
            <w:vAlign w:val="bottom"/>
            <w:hideMark/>
          </w:tcPr>
          <w:p w:rsidR="005C649A" w:rsidRPr="003458B1" w:rsidRDefault="005C649A" w:rsidP="004F0C61">
            <w:pPr>
              <w:jc w:val="center"/>
              <w:rPr>
                <w:b/>
                <w:bCs/>
                <w:color w:val="FFFFFF"/>
                <w:sz w:val="20"/>
                <w:szCs w:val="20"/>
              </w:rPr>
            </w:pPr>
            <w:r w:rsidRPr="003458B1">
              <w:rPr>
                <w:b/>
                <w:bCs/>
                <w:color w:val="FFFFFF"/>
                <w:sz w:val="20"/>
                <w:szCs w:val="20"/>
              </w:rPr>
              <w:t>Relative Precision at 85% C.L. for Energy</w:t>
            </w:r>
          </w:p>
        </w:tc>
        <w:tc>
          <w:tcPr>
            <w:tcW w:w="1262" w:type="dxa"/>
            <w:shd w:val="clear" w:color="000000" w:fill="448A99"/>
            <w:vAlign w:val="bottom"/>
            <w:hideMark/>
          </w:tcPr>
          <w:p w:rsidR="005C649A" w:rsidRPr="003458B1" w:rsidRDefault="005C649A"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6F4CC7">
        <w:trPr>
          <w:trHeight w:val="346"/>
        </w:trPr>
        <w:tc>
          <w:tcPr>
            <w:tcW w:w="2070" w:type="dxa"/>
            <w:shd w:val="clear" w:color="000000" w:fill="D2EAF1"/>
            <w:noWrap/>
            <w:vAlign w:val="center"/>
          </w:tcPr>
          <w:p w:rsidR="005C649A" w:rsidRPr="003458B1" w:rsidRDefault="005C649A" w:rsidP="004F0C61">
            <w:pPr>
              <w:rPr>
                <w:bCs/>
                <w:color w:val="000000"/>
                <w:sz w:val="20"/>
                <w:szCs w:val="20"/>
              </w:rPr>
            </w:pPr>
            <w:r>
              <w:rPr>
                <w:sz w:val="20"/>
                <w:szCs w:val="20"/>
              </w:rPr>
              <w:t xml:space="preserve">CFL kits – </w:t>
            </w:r>
            <w:r w:rsidRPr="003458B1">
              <w:rPr>
                <w:sz w:val="20"/>
                <w:szCs w:val="20"/>
              </w:rPr>
              <w:t>1</w:t>
            </w:r>
          </w:p>
        </w:tc>
        <w:tc>
          <w:tcPr>
            <w:tcW w:w="1170"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1</w:t>
            </w:r>
          </w:p>
        </w:tc>
        <w:tc>
          <w:tcPr>
            <w:tcW w:w="1260" w:type="dxa"/>
            <w:shd w:val="clear" w:color="000000" w:fill="D2EAF1"/>
            <w:noWrap/>
            <w:vAlign w:val="center"/>
          </w:tcPr>
          <w:p w:rsidR="005C649A" w:rsidRPr="003458B1" w:rsidRDefault="005C649A" w:rsidP="004F0C61">
            <w:pPr>
              <w:jc w:val="center"/>
              <w:rPr>
                <w:color w:val="000000"/>
                <w:sz w:val="20"/>
                <w:szCs w:val="20"/>
              </w:rPr>
            </w:pPr>
            <w:r>
              <w:rPr>
                <w:sz w:val="20"/>
                <w:szCs w:val="20"/>
              </w:rPr>
              <w:t>N/A</w:t>
            </w:r>
          </w:p>
        </w:tc>
        <w:tc>
          <w:tcPr>
            <w:tcW w:w="1075"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w:t>
            </w:r>
          </w:p>
        </w:tc>
        <w:tc>
          <w:tcPr>
            <w:tcW w:w="1261"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w:t>
            </w:r>
          </w:p>
        </w:tc>
        <w:tc>
          <w:tcPr>
            <w:tcW w:w="1261"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100.0%</w:t>
            </w:r>
          </w:p>
        </w:tc>
        <w:tc>
          <w:tcPr>
            <w:tcW w:w="1262"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100.0%</w:t>
            </w:r>
          </w:p>
        </w:tc>
      </w:tr>
      <w:tr w:rsidR="00E7173E" w:rsidRPr="003458B1" w:rsidTr="008F60E1">
        <w:trPr>
          <w:trHeight w:val="346"/>
        </w:trPr>
        <w:tc>
          <w:tcPr>
            <w:tcW w:w="2070" w:type="dxa"/>
            <w:shd w:val="clear" w:color="auto" w:fill="auto"/>
            <w:noWrap/>
            <w:vAlign w:val="center"/>
          </w:tcPr>
          <w:p w:rsidR="005C649A" w:rsidRPr="003458B1" w:rsidRDefault="005C649A" w:rsidP="004F0C61">
            <w:pPr>
              <w:rPr>
                <w:bCs/>
                <w:color w:val="000000"/>
                <w:sz w:val="20"/>
                <w:szCs w:val="20"/>
              </w:rPr>
            </w:pPr>
            <w:r>
              <w:rPr>
                <w:sz w:val="20"/>
                <w:szCs w:val="20"/>
              </w:rPr>
              <w:t>Lighting – c</w:t>
            </w:r>
            <w:r w:rsidRPr="003458B1">
              <w:rPr>
                <w:sz w:val="20"/>
                <w:szCs w:val="20"/>
              </w:rPr>
              <w:t>ertainty</w:t>
            </w:r>
          </w:p>
        </w:tc>
        <w:tc>
          <w:tcPr>
            <w:tcW w:w="1170"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w:t>
            </w:r>
          </w:p>
        </w:tc>
        <w:tc>
          <w:tcPr>
            <w:tcW w:w="1260" w:type="dxa"/>
            <w:shd w:val="clear" w:color="auto" w:fill="auto"/>
            <w:noWrap/>
            <w:vAlign w:val="center"/>
          </w:tcPr>
          <w:p w:rsidR="005C649A" w:rsidRPr="003458B1" w:rsidRDefault="005C649A" w:rsidP="004F0C61">
            <w:pPr>
              <w:jc w:val="center"/>
              <w:rPr>
                <w:color w:val="000000"/>
                <w:sz w:val="20"/>
                <w:szCs w:val="20"/>
              </w:rPr>
            </w:pPr>
            <w:r>
              <w:rPr>
                <w:sz w:val="20"/>
                <w:szCs w:val="20"/>
              </w:rPr>
              <w:t>N/A</w:t>
            </w:r>
          </w:p>
        </w:tc>
        <w:tc>
          <w:tcPr>
            <w:tcW w:w="1075"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w:t>
            </w:r>
          </w:p>
        </w:tc>
        <w:tc>
          <w:tcPr>
            <w:tcW w:w="1261"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w:t>
            </w:r>
          </w:p>
        </w:tc>
        <w:tc>
          <w:tcPr>
            <w:tcW w:w="1261"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0.0%</w:t>
            </w:r>
          </w:p>
        </w:tc>
        <w:tc>
          <w:tcPr>
            <w:tcW w:w="1262"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0.0%</w:t>
            </w:r>
          </w:p>
        </w:tc>
      </w:tr>
      <w:tr w:rsidR="00A874AC" w:rsidRPr="003458B1" w:rsidTr="006F4CC7">
        <w:trPr>
          <w:trHeight w:val="346"/>
        </w:trPr>
        <w:tc>
          <w:tcPr>
            <w:tcW w:w="2070" w:type="dxa"/>
            <w:shd w:val="clear" w:color="000000" w:fill="D2EAF1"/>
            <w:noWrap/>
            <w:vAlign w:val="center"/>
          </w:tcPr>
          <w:p w:rsidR="005C649A" w:rsidRPr="003458B1" w:rsidRDefault="005C649A" w:rsidP="004F0C61">
            <w:pPr>
              <w:rPr>
                <w:bCs/>
                <w:color w:val="000000"/>
                <w:sz w:val="20"/>
                <w:szCs w:val="20"/>
              </w:rPr>
            </w:pPr>
            <w:r w:rsidRPr="003458B1">
              <w:rPr>
                <w:sz w:val="20"/>
                <w:szCs w:val="20"/>
              </w:rPr>
              <w:t>Lighting</w:t>
            </w:r>
            <w:r>
              <w:rPr>
                <w:sz w:val="20"/>
                <w:szCs w:val="20"/>
              </w:rPr>
              <w:t xml:space="preserve"> – </w:t>
            </w:r>
            <w:r w:rsidRPr="003458B1">
              <w:rPr>
                <w:sz w:val="20"/>
                <w:szCs w:val="20"/>
              </w:rPr>
              <w:t>2</w:t>
            </w:r>
          </w:p>
        </w:tc>
        <w:tc>
          <w:tcPr>
            <w:tcW w:w="1170"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w:t>
            </w:r>
          </w:p>
        </w:tc>
        <w:tc>
          <w:tcPr>
            <w:tcW w:w="1260" w:type="dxa"/>
            <w:shd w:val="clear" w:color="000000" w:fill="D2EAF1"/>
            <w:noWrap/>
            <w:vAlign w:val="center"/>
          </w:tcPr>
          <w:p w:rsidR="005C649A" w:rsidRPr="003458B1" w:rsidRDefault="005C649A" w:rsidP="004F0C61">
            <w:pPr>
              <w:jc w:val="center"/>
              <w:rPr>
                <w:color w:val="000000"/>
                <w:sz w:val="20"/>
                <w:szCs w:val="20"/>
              </w:rPr>
            </w:pPr>
            <w:r>
              <w:rPr>
                <w:sz w:val="20"/>
                <w:szCs w:val="20"/>
              </w:rPr>
              <w:t>N/A</w:t>
            </w:r>
          </w:p>
        </w:tc>
        <w:tc>
          <w:tcPr>
            <w:tcW w:w="1075"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w:t>
            </w:r>
          </w:p>
        </w:tc>
        <w:tc>
          <w:tcPr>
            <w:tcW w:w="1261"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w:t>
            </w:r>
          </w:p>
        </w:tc>
        <w:tc>
          <w:tcPr>
            <w:tcW w:w="1261"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0.0%</w:t>
            </w:r>
          </w:p>
        </w:tc>
        <w:tc>
          <w:tcPr>
            <w:tcW w:w="1262"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0.0%</w:t>
            </w:r>
          </w:p>
        </w:tc>
      </w:tr>
      <w:tr w:rsidR="00E7173E" w:rsidRPr="003458B1" w:rsidTr="008F60E1">
        <w:trPr>
          <w:trHeight w:val="346"/>
        </w:trPr>
        <w:tc>
          <w:tcPr>
            <w:tcW w:w="2070" w:type="dxa"/>
            <w:shd w:val="clear" w:color="auto" w:fill="auto"/>
            <w:noWrap/>
            <w:vAlign w:val="center"/>
          </w:tcPr>
          <w:p w:rsidR="005C649A" w:rsidRPr="003458B1" w:rsidRDefault="005C649A" w:rsidP="004F0C61">
            <w:pPr>
              <w:rPr>
                <w:bCs/>
                <w:color w:val="000000"/>
                <w:sz w:val="20"/>
                <w:szCs w:val="20"/>
              </w:rPr>
            </w:pPr>
            <w:r>
              <w:rPr>
                <w:sz w:val="20"/>
                <w:szCs w:val="20"/>
              </w:rPr>
              <w:t xml:space="preserve">Lighting – </w:t>
            </w:r>
            <w:r w:rsidRPr="003458B1">
              <w:rPr>
                <w:sz w:val="20"/>
                <w:szCs w:val="20"/>
              </w:rPr>
              <w:t>3</w:t>
            </w:r>
          </w:p>
        </w:tc>
        <w:tc>
          <w:tcPr>
            <w:tcW w:w="1170"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w:t>
            </w:r>
          </w:p>
        </w:tc>
        <w:tc>
          <w:tcPr>
            <w:tcW w:w="1260" w:type="dxa"/>
            <w:shd w:val="clear" w:color="auto" w:fill="auto"/>
            <w:noWrap/>
            <w:vAlign w:val="center"/>
          </w:tcPr>
          <w:p w:rsidR="005C649A" w:rsidRPr="003458B1" w:rsidRDefault="005C649A" w:rsidP="004F0C61">
            <w:pPr>
              <w:jc w:val="center"/>
              <w:rPr>
                <w:color w:val="000000"/>
                <w:sz w:val="20"/>
                <w:szCs w:val="20"/>
              </w:rPr>
            </w:pPr>
            <w:r>
              <w:rPr>
                <w:sz w:val="20"/>
                <w:szCs w:val="20"/>
              </w:rPr>
              <w:t>N/A</w:t>
            </w:r>
          </w:p>
        </w:tc>
        <w:tc>
          <w:tcPr>
            <w:tcW w:w="1075"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w:t>
            </w:r>
          </w:p>
        </w:tc>
        <w:tc>
          <w:tcPr>
            <w:tcW w:w="1261"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w:t>
            </w:r>
          </w:p>
        </w:tc>
        <w:tc>
          <w:tcPr>
            <w:tcW w:w="1261"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0.0%</w:t>
            </w:r>
          </w:p>
        </w:tc>
        <w:tc>
          <w:tcPr>
            <w:tcW w:w="1262"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0.0%</w:t>
            </w:r>
          </w:p>
        </w:tc>
      </w:tr>
      <w:tr w:rsidR="00A874AC" w:rsidRPr="003458B1" w:rsidTr="006F4CC7">
        <w:trPr>
          <w:trHeight w:val="346"/>
        </w:trPr>
        <w:tc>
          <w:tcPr>
            <w:tcW w:w="2070" w:type="dxa"/>
            <w:shd w:val="clear" w:color="000000" w:fill="D2EAF1"/>
            <w:noWrap/>
            <w:vAlign w:val="center"/>
          </w:tcPr>
          <w:p w:rsidR="005C649A" w:rsidRPr="003458B1" w:rsidRDefault="005C649A" w:rsidP="004F0C61">
            <w:pPr>
              <w:rPr>
                <w:bCs/>
                <w:color w:val="000000"/>
                <w:sz w:val="20"/>
                <w:szCs w:val="20"/>
              </w:rPr>
            </w:pPr>
            <w:r>
              <w:rPr>
                <w:sz w:val="20"/>
                <w:szCs w:val="20"/>
              </w:rPr>
              <w:t xml:space="preserve">Lighting – </w:t>
            </w:r>
            <w:r w:rsidRPr="003458B1">
              <w:rPr>
                <w:sz w:val="20"/>
                <w:szCs w:val="20"/>
              </w:rPr>
              <w:t>4</w:t>
            </w:r>
          </w:p>
        </w:tc>
        <w:tc>
          <w:tcPr>
            <w:tcW w:w="1170"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w:t>
            </w:r>
          </w:p>
        </w:tc>
        <w:tc>
          <w:tcPr>
            <w:tcW w:w="1260" w:type="dxa"/>
            <w:shd w:val="clear" w:color="000000" w:fill="D2EAF1"/>
            <w:noWrap/>
            <w:vAlign w:val="center"/>
          </w:tcPr>
          <w:p w:rsidR="005C649A" w:rsidRPr="003458B1" w:rsidRDefault="005C649A" w:rsidP="004F0C61">
            <w:pPr>
              <w:jc w:val="center"/>
              <w:rPr>
                <w:color w:val="000000"/>
                <w:sz w:val="20"/>
                <w:szCs w:val="20"/>
              </w:rPr>
            </w:pPr>
            <w:r>
              <w:rPr>
                <w:sz w:val="20"/>
                <w:szCs w:val="20"/>
              </w:rPr>
              <w:t>N/A</w:t>
            </w:r>
          </w:p>
        </w:tc>
        <w:tc>
          <w:tcPr>
            <w:tcW w:w="1075"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w:t>
            </w:r>
          </w:p>
        </w:tc>
        <w:tc>
          <w:tcPr>
            <w:tcW w:w="1261"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w:t>
            </w:r>
          </w:p>
        </w:tc>
        <w:tc>
          <w:tcPr>
            <w:tcW w:w="1261"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0.0%</w:t>
            </w:r>
          </w:p>
        </w:tc>
        <w:tc>
          <w:tcPr>
            <w:tcW w:w="1262"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0.0%</w:t>
            </w:r>
          </w:p>
        </w:tc>
      </w:tr>
      <w:tr w:rsidR="00E7173E" w:rsidRPr="003458B1" w:rsidTr="008F60E1">
        <w:trPr>
          <w:trHeight w:val="346"/>
        </w:trPr>
        <w:tc>
          <w:tcPr>
            <w:tcW w:w="2070" w:type="dxa"/>
            <w:shd w:val="clear" w:color="auto" w:fill="auto"/>
            <w:noWrap/>
            <w:vAlign w:val="center"/>
          </w:tcPr>
          <w:p w:rsidR="005C649A" w:rsidRPr="003458B1" w:rsidRDefault="005C649A" w:rsidP="004F0C61">
            <w:pPr>
              <w:rPr>
                <w:bCs/>
                <w:color w:val="000000"/>
                <w:sz w:val="20"/>
                <w:szCs w:val="20"/>
              </w:rPr>
            </w:pPr>
            <w:r>
              <w:rPr>
                <w:sz w:val="20"/>
                <w:szCs w:val="20"/>
              </w:rPr>
              <w:t>Custom – c</w:t>
            </w:r>
            <w:r w:rsidRPr="003458B1">
              <w:rPr>
                <w:sz w:val="20"/>
                <w:szCs w:val="20"/>
              </w:rPr>
              <w:t>ertainty</w:t>
            </w:r>
          </w:p>
        </w:tc>
        <w:tc>
          <w:tcPr>
            <w:tcW w:w="1170"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2</w:t>
            </w:r>
          </w:p>
        </w:tc>
        <w:tc>
          <w:tcPr>
            <w:tcW w:w="1260"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0.0%</w:t>
            </w:r>
          </w:p>
        </w:tc>
        <w:tc>
          <w:tcPr>
            <w:tcW w:w="1075"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2</w:t>
            </w:r>
          </w:p>
        </w:tc>
        <w:tc>
          <w:tcPr>
            <w:tcW w:w="1261"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2</w:t>
            </w:r>
          </w:p>
        </w:tc>
        <w:tc>
          <w:tcPr>
            <w:tcW w:w="1261"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0.0%</w:t>
            </w:r>
          </w:p>
        </w:tc>
        <w:tc>
          <w:tcPr>
            <w:tcW w:w="1262"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0.0%</w:t>
            </w:r>
          </w:p>
        </w:tc>
      </w:tr>
      <w:tr w:rsidR="00A874AC" w:rsidRPr="003458B1" w:rsidTr="006F4CC7">
        <w:trPr>
          <w:trHeight w:val="346"/>
        </w:trPr>
        <w:tc>
          <w:tcPr>
            <w:tcW w:w="2070" w:type="dxa"/>
            <w:shd w:val="clear" w:color="000000" w:fill="D2EAF1"/>
            <w:noWrap/>
            <w:vAlign w:val="center"/>
          </w:tcPr>
          <w:p w:rsidR="005C649A" w:rsidRPr="003458B1" w:rsidRDefault="005C649A" w:rsidP="004F0C61">
            <w:pPr>
              <w:rPr>
                <w:bCs/>
                <w:color w:val="000000"/>
                <w:sz w:val="20"/>
                <w:szCs w:val="20"/>
              </w:rPr>
            </w:pPr>
            <w:r>
              <w:rPr>
                <w:sz w:val="20"/>
                <w:szCs w:val="20"/>
              </w:rPr>
              <w:t xml:space="preserve">Custom – </w:t>
            </w:r>
            <w:r w:rsidRPr="003458B1">
              <w:rPr>
                <w:sz w:val="20"/>
                <w:szCs w:val="20"/>
              </w:rPr>
              <w:t>2</w:t>
            </w:r>
          </w:p>
        </w:tc>
        <w:tc>
          <w:tcPr>
            <w:tcW w:w="1170"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2</w:t>
            </w:r>
          </w:p>
        </w:tc>
        <w:tc>
          <w:tcPr>
            <w:tcW w:w="1260"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0.0%</w:t>
            </w:r>
          </w:p>
        </w:tc>
        <w:tc>
          <w:tcPr>
            <w:tcW w:w="1075"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2</w:t>
            </w:r>
          </w:p>
        </w:tc>
        <w:tc>
          <w:tcPr>
            <w:tcW w:w="1261"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2</w:t>
            </w:r>
          </w:p>
        </w:tc>
        <w:tc>
          <w:tcPr>
            <w:tcW w:w="1261"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0.0%</w:t>
            </w:r>
          </w:p>
        </w:tc>
        <w:tc>
          <w:tcPr>
            <w:tcW w:w="1262"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0.0%</w:t>
            </w:r>
          </w:p>
        </w:tc>
      </w:tr>
      <w:tr w:rsidR="00E7173E" w:rsidRPr="003458B1" w:rsidTr="008F60E1">
        <w:trPr>
          <w:trHeight w:val="346"/>
        </w:trPr>
        <w:tc>
          <w:tcPr>
            <w:tcW w:w="2070" w:type="dxa"/>
            <w:shd w:val="clear" w:color="auto" w:fill="auto"/>
            <w:noWrap/>
            <w:vAlign w:val="center"/>
          </w:tcPr>
          <w:p w:rsidR="005C649A" w:rsidRPr="003458B1" w:rsidRDefault="005C649A" w:rsidP="004F0C61">
            <w:pPr>
              <w:rPr>
                <w:bCs/>
                <w:color w:val="000000"/>
                <w:sz w:val="20"/>
                <w:szCs w:val="20"/>
              </w:rPr>
            </w:pPr>
            <w:r>
              <w:rPr>
                <w:sz w:val="20"/>
                <w:szCs w:val="20"/>
              </w:rPr>
              <w:t xml:space="preserve">Custom – </w:t>
            </w:r>
            <w:r w:rsidRPr="003458B1">
              <w:rPr>
                <w:sz w:val="20"/>
                <w:szCs w:val="20"/>
              </w:rPr>
              <w:t>3</w:t>
            </w:r>
          </w:p>
        </w:tc>
        <w:tc>
          <w:tcPr>
            <w:tcW w:w="1170"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11</w:t>
            </w:r>
          </w:p>
        </w:tc>
        <w:tc>
          <w:tcPr>
            <w:tcW w:w="1260"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28.7%</w:t>
            </w:r>
          </w:p>
        </w:tc>
        <w:tc>
          <w:tcPr>
            <w:tcW w:w="1075"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4</w:t>
            </w:r>
          </w:p>
        </w:tc>
        <w:tc>
          <w:tcPr>
            <w:tcW w:w="1261"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4</w:t>
            </w:r>
          </w:p>
        </w:tc>
        <w:tc>
          <w:tcPr>
            <w:tcW w:w="1261"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28.7%</w:t>
            </w:r>
          </w:p>
        </w:tc>
        <w:tc>
          <w:tcPr>
            <w:tcW w:w="1262"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28.7%</w:t>
            </w:r>
          </w:p>
        </w:tc>
      </w:tr>
      <w:tr w:rsidR="00A874AC" w:rsidRPr="003458B1" w:rsidTr="006F4CC7">
        <w:trPr>
          <w:trHeight w:val="346"/>
        </w:trPr>
        <w:tc>
          <w:tcPr>
            <w:tcW w:w="2070" w:type="dxa"/>
            <w:shd w:val="clear" w:color="000000" w:fill="D2EAF1"/>
            <w:noWrap/>
            <w:vAlign w:val="center"/>
          </w:tcPr>
          <w:p w:rsidR="005C649A" w:rsidRPr="003458B1" w:rsidRDefault="005C649A" w:rsidP="004F0C61">
            <w:pPr>
              <w:rPr>
                <w:b/>
                <w:bCs/>
                <w:iCs/>
                <w:color w:val="000000"/>
                <w:sz w:val="20"/>
                <w:szCs w:val="20"/>
              </w:rPr>
            </w:pPr>
            <w:r>
              <w:rPr>
                <w:sz w:val="20"/>
                <w:szCs w:val="20"/>
              </w:rPr>
              <w:t xml:space="preserve">HVAC and DHW – </w:t>
            </w:r>
            <w:r w:rsidRPr="003458B1">
              <w:rPr>
                <w:sz w:val="20"/>
                <w:szCs w:val="20"/>
              </w:rPr>
              <w:t>1</w:t>
            </w:r>
          </w:p>
        </w:tc>
        <w:tc>
          <w:tcPr>
            <w:tcW w:w="1170"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1260" w:type="dxa"/>
            <w:shd w:val="clear" w:color="000000" w:fill="D2EAF1"/>
            <w:noWrap/>
            <w:vAlign w:val="center"/>
          </w:tcPr>
          <w:p w:rsidR="005C649A" w:rsidRPr="003458B1" w:rsidRDefault="005C649A" w:rsidP="004F0C61">
            <w:pPr>
              <w:jc w:val="center"/>
              <w:rPr>
                <w:b/>
                <w:bCs/>
                <w:color w:val="000000"/>
                <w:sz w:val="20"/>
                <w:szCs w:val="20"/>
              </w:rPr>
            </w:pPr>
            <w:r>
              <w:rPr>
                <w:sz w:val="20"/>
                <w:szCs w:val="20"/>
              </w:rPr>
              <w:t>N/A</w:t>
            </w:r>
          </w:p>
        </w:tc>
        <w:tc>
          <w:tcPr>
            <w:tcW w:w="1075"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1261"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1261"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0.0%</w:t>
            </w:r>
          </w:p>
        </w:tc>
        <w:tc>
          <w:tcPr>
            <w:tcW w:w="1262"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0.0%</w:t>
            </w:r>
          </w:p>
        </w:tc>
      </w:tr>
      <w:tr w:rsidR="00E7173E" w:rsidRPr="003458B1" w:rsidTr="008F60E1">
        <w:trPr>
          <w:trHeight w:val="346"/>
        </w:trPr>
        <w:tc>
          <w:tcPr>
            <w:tcW w:w="2070" w:type="dxa"/>
            <w:shd w:val="clear" w:color="auto" w:fill="auto"/>
            <w:noWrap/>
            <w:vAlign w:val="center"/>
          </w:tcPr>
          <w:p w:rsidR="005C649A" w:rsidRPr="003458B1" w:rsidRDefault="005C649A" w:rsidP="004F0C61">
            <w:pPr>
              <w:rPr>
                <w:b/>
                <w:bCs/>
                <w:iCs/>
                <w:color w:val="000000"/>
                <w:sz w:val="20"/>
                <w:szCs w:val="20"/>
              </w:rPr>
            </w:pPr>
            <w:r>
              <w:rPr>
                <w:sz w:val="20"/>
                <w:szCs w:val="20"/>
              </w:rPr>
              <w:t xml:space="preserve">HVAC and DHW – </w:t>
            </w:r>
            <w:r w:rsidRPr="003458B1">
              <w:rPr>
                <w:sz w:val="20"/>
                <w:szCs w:val="20"/>
              </w:rPr>
              <w:t>2</w:t>
            </w:r>
          </w:p>
        </w:tc>
        <w:tc>
          <w:tcPr>
            <w:tcW w:w="1170"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260" w:type="dxa"/>
            <w:shd w:val="clear" w:color="auto" w:fill="auto"/>
            <w:noWrap/>
            <w:vAlign w:val="center"/>
          </w:tcPr>
          <w:p w:rsidR="005C649A" w:rsidRPr="003458B1" w:rsidRDefault="005C649A" w:rsidP="004F0C61">
            <w:pPr>
              <w:jc w:val="center"/>
              <w:rPr>
                <w:b/>
                <w:bCs/>
                <w:color w:val="000000"/>
                <w:sz w:val="20"/>
                <w:szCs w:val="20"/>
              </w:rPr>
            </w:pPr>
            <w:r>
              <w:rPr>
                <w:sz w:val="20"/>
                <w:szCs w:val="20"/>
              </w:rPr>
              <w:t>N/A</w:t>
            </w:r>
          </w:p>
        </w:tc>
        <w:tc>
          <w:tcPr>
            <w:tcW w:w="1075"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261"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261"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0.0%</w:t>
            </w:r>
          </w:p>
        </w:tc>
        <w:tc>
          <w:tcPr>
            <w:tcW w:w="1262"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0.0%</w:t>
            </w:r>
          </w:p>
        </w:tc>
      </w:tr>
      <w:tr w:rsidR="00A874AC" w:rsidRPr="003458B1" w:rsidTr="006F4CC7">
        <w:trPr>
          <w:trHeight w:val="346"/>
        </w:trPr>
        <w:tc>
          <w:tcPr>
            <w:tcW w:w="2070" w:type="dxa"/>
            <w:shd w:val="clear" w:color="000000" w:fill="D2EAF1"/>
            <w:noWrap/>
            <w:vAlign w:val="center"/>
          </w:tcPr>
          <w:p w:rsidR="005C649A" w:rsidRPr="003458B1" w:rsidRDefault="005C649A" w:rsidP="004F0C61">
            <w:pPr>
              <w:rPr>
                <w:b/>
                <w:bCs/>
                <w:iCs/>
                <w:color w:val="000000"/>
                <w:sz w:val="20"/>
                <w:szCs w:val="20"/>
              </w:rPr>
            </w:pPr>
            <w:r>
              <w:rPr>
                <w:sz w:val="20"/>
                <w:szCs w:val="20"/>
              </w:rPr>
              <w:t xml:space="preserve">Appliance Turn-In – </w:t>
            </w:r>
            <w:r w:rsidRPr="003458B1">
              <w:rPr>
                <w:sz w:val="20"/>
                <w:szCs w:val="20"/>
              </w:rPr>
              <w:t>1</w:t>
            </w:r>
          </w:p>
        </w:tc>
        <w:tc>
          <w:tcPr>
            <w:tcW w:w="1170"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1260" w:type="dxa"/>
            <w:shd w:val="clear" w:color="000000" w:fill="D2EAF1"/>
            <w:noWrap/>
            <w:vAlign w:val="center"/>
          </w:tcPr>
          <w:p w:rsidR="005C649A" w:rsidRPr="003458B1" w:rsidRDefault="005C649A" w:rsidP="004F0C61">
            <w:pPr>
              <w:jc w:val="center"/>
              <w:rPr>
                <w:b/>
                <w:bCs/>
                <w:color w:val="000000"/>
                <w:sz w:val="20"/>
                <w:szCs w:val="20"/>
              </w:rPr>
            </w:pPr>
            <w:r>
              <w:rPr>
                <w:sz w:val="20"/>
                <w:szCs w:val="20"/>
              </w:rPr>
              <w:t>N/A</w:t>
            </w:r>
          </w:p>
        </w:tc>
        <w:tc>
          <w:tcPr>
            <w:tcW w:w="1075"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1261"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1261"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0.0%</w:t>
            </w:r>
          </w:p>
        </w:tc>
        <w:tc>
          <w:tcPr>
            <w:tcW w:w="1262"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0.0%</w:t>
            </w:r>
          </w:p>
        </w:tc>
      </w:tr>
      <w:tr w:rsidR="00E7173E" w:rsidRPr="003458B1" w:rsidTr="008F60E1">
        <w:trPr>
          <w:trHeight w:val="346"/>
        </w:trPr>
        <w:tc>
          <w:tcPr>
            <w:tcW w:w="2070" w:type="dxa"/>
            <w:shd w:val="clear" w:color="auto" w:fill="auto"/>
            <w:noWrap/>
            <w:vAlign w:val="center"/>
          </w:tcPr>
          <w:p w:rsidR="005C649A" w:rsidRPr="003458B1" w:rsidRDefault="005C649A" w:rsidP="004F0C61">
            <w:pPr>
              <w:rPr>
                <w:b/>
                <w:bCs/>
                <w:iCs/>
                <w:color w:val="000000"/>
                <w:sz w:val="20"/>
                <w:szCs w:val="20"/>
              </w:rPr>
            </w:pPr>
            <w:r>
              <w:rPr>
                <w:sz w:val="20"/>
                <w:szCs w:val="20"/>
              </w:rPr>
              <w:t>Kitchen/appliances – 1</w:t>
            </w:r>
          </w:p>
        </w:tc>
        <w:tc>
          <w:tcPr>
            <w:tcW w:w="1170"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260" w:type="dxa"/>
            <w:shd w:val="clear" w:color="auto" w:fill="auto"/>
            <w:noWrap/>
            <w:vAlign w:val="center"/>
          </w:tcPr>
          <w:p w:rsidR="005C649A" w:rsidRPr="003458B1" w:rsidRDefault="005C649A" w:rsidP="004F0C61">
            <w:pPr>
              <w:jc w:val="center"/>
              <w:rPr>
                <w:b/>
                <w:bCs/>
                <w:color w:val="000000"/>
                <w:sz w:val="20"/>
                <w:szCs w:val="20"/>
              </w:rPr>
            </w:pPr>
            <w:r>
              <w:rPr>
                <w:sz w:val="20"/>
                <w:szCs w:val="20"/>
              </w:rPr>
              <w:t>N/A</w:t>
            </w:r>
          </w:p>
        </w:tc>
        <w:tc>
          <w:tcPr>
            <w:tcW w:w="1075"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261"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261"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0.0%</w:t>
            </w:r>
          </w:p>
        </w:tc>
        <w:tc>
          <w:tcPr>
            <w:tcW w:w="1262"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0.0%</w:t>
            </w:r>
          </w:p>
        </w:tc>
      </w:tr>
      <w:tr w:rsidR="00A874AC" w:rsidRPr="003458B1" w:rsidTr="006F4CC7">
        <w:trPr>
          <w:trHeight w:val="346"/>
        </w:trPr>
        <w:tc>
          <w:tcPr>
            <w:tcW w:w="2070" w:type="dxa"/>
            <w:shd w:val="clear" w:color="000000" w:fill="D2EAF1"/>
            <w:noWrap/>
            <w:vAlign w:val="center"/>
          </w:tcPr>
          <w:p w:rsidR="005C649A" w:rsidRPr="003458B1" w:rsidRDefault="005C649A" w:rsidP="004F0C61">
            <w:pPr>
              <w:rPr>
                <w:b/>
                <w:bCs/>
                <w:iCs/>
                <w:color w:val="000000"/>
                <w:sz w:val="20"/>
                <w:szCs w:val="20"/>
              </w:rPr>
            </w:pPr>
            <w:r w:rsidRPr="003458B1">
              <w:rPr>
                <w:b/>
                <w:sz w:val="20"/>
                <w:szCs w:val="20"/>
              </w:rPr>
              <w:t>Program Total</w:t>
            </w:r>
          </w:p>
        </w:tc>
        <w:tc>
          <w:tcPr>
            <w:tcW w:w="1170" w:type="dxa"/>
            <w:shd w:val="clear" w:color="000000" w:fill="D2EAF1"/>
            <w:noWrap/>
            <w:vAlign w:val="center"/>
          </w:tcPr>
          <w:p w:rsidR="005C649A" w:rsidRPr="003458B1" w:rsidRDefault="005C649A" w:rsidP="004F0C61">
            <w:pPr>
              <w:jc w:val="center"/>
              <w:rPr>
                <w:b/>
                <w:bCs/>
                <w:color w:val="000000"/>
                <w:sz w:val="20"/>
                <w:szCs w:val="20"/>
              </w:rPr>
            </w:pPr>
            <w:r w:rsidRPr="003458B1">
              <w:rPr>
                <w:b/>
                <w:sz w:val="20"/>
                <w:szCs w:val="20"/>
              </w:rPr>
              <w:t>16</w:t>
            </w:r>
          </w:p>
        </w:tc>
        <w:tc>
          <w:tcPr>
            <w:tcW w:w="1260" w:type="dxa"/>
            <w:shd w:val="clear" w:color="000000" w:fill="D2EAF1"/>
            <w:noWrap/>
            <w:vAlign w:val="center"/>
          </w:tcPr>
          <w:p w:rsidR="005C649A" w:rsidRPr="003458B1" w:rsidRDefault="005C649A" w:rsidP="004F0C61">
            <w:pPr>
              <w:jc w:val="center"/>
              <w:rPr>
                <w:b/>
                <w:bCs/>
                <w:color w:val="000000"/>
                <w:sz w:val="20"/>
                <w:szCs w:val="20"/>
              </w:rPr>
            </w:pPr>
            <w:r w:rsidRPr="003458B1">
              <w:rPr>
                <w:b/>
                <w:sz w:val="20"/>
                <w:szCs w:val="20"/>
              </w:rPr>
              <w:t>12.6%</w:t>
            </w:r>
          </w:p>
        </w:tc>
        <w:tc>
          <w:tcPr>
            <w:tcW w:w="1075" w:type="dxa"/>
            <w:shd w:val="clear" w:color="000000" w:fill="D2EAF1"/>
            <w:noWrap/>
            <w:vAlign w:val="center"/>
          </w:tcPr>
          <w:p w:rsidR="005C649A" w:rsidRPr="003458B1" w:rsidRDefault="005C649A" w:rsidP="004F0C61">
            <w:pPr>
              <w:jc w:val="center"/>
              <w:rPr>
                <w:b/>
                <w:bCs/>
                <w:color w:val="000000"/>
                <w:sz w:val="20"/>
                <w:szCs w:val="20"/>
              </w:rPr>
            </w:pPr>
            <w:r w:rsidRPr="003458B1">
              <w:rPr>
                <w:b/>
                <w:sz w:val="20"/>
                <w:szCs w:val="20"/>
              </w:rPr>
              <w:t>8</w:t>
            </w:r>
          </w:p>
        </w:tc>
        <w:tc>
          <w:tcPr>
            <w:tcW w:w="1261" w:type="dxa"/>
            <w:shd w:val="clear" w:color="000000" w:fill="D2EAF1"/>
            <w:noWrap/>
            <w:vAlign w:val="center"/>
          </w:tcPr>
          <w:p w:rsidR="005C649A" w:rsidRPr="003458B1" w:rsidRDefault="005C649A" w:rsidP="004F0C61">
            <w:pPr>
              <w:jc w:val="center"/>
              <w:rPr>
                <w:b/>
                <w:bCs/>
                <w:color w:val="000000"/>
                <w:sz w:val="20"/>
                <w:szCs w:val="20"/>
              </w:rPr>
            </w:pPr>
            <w:r w:rsidRPr="003458B1">
              <w:rPr>
                <w:b/>
                <w:sz w:val="20"/>
                <w:szCs w:val="20"/>
              </w:rPr>
              <w:t>8</w:t>
            </w:r>
          </w:p>
        </w:tc>
        <w:tc>
          <w:tcPr>
            <w:tcW w:w="1261" w:type="dxa"/>
            <w:shd w:val="clear" w:color="000000" w:fill="D2EAF1"/>
            <w:noWrap/>
            <w:vAlign w:val="center"/>
          </w:tcPr>
          <w:p w:rsidR="005C649A" w:rsidRPr="003458B1" w:rsidRDefault="005C649A" w:rsidP="004F0C61">
            <w:pPr>
              <w:jc w:val="center"/>
              <w:rPr>
                <w:b/>
                <w:bCs/>
                <w:color w:val="000000"/>
                <w:sz w:val="20"/>
                <w:szCs w:val="20"/>
              </w:rPr>
            </w:pPr>
            <w:r w:rsidRPr="003458B1">
              <w:rPr>
                <w:b/>
                <w:sz w:val="20"/>
                <w:szCs w:val="20"/>
              </w:rPr>
              <w:t>12.5%</w:t>
            </w:r>
          </w:p>
        </w:tc>
        <w:tc>
          <w:tcPr>
            <w:tcW w:w="1262" w:type="dxa"/>
            <w:shd w:val="clear" w:color="000000" w:fill="D2EAF1"/>
            <w:noWrap/>
            <w:vAlign w:val="center"/>
          </w:tcPr>
          <w:p w:rsidR="005C649A" w:rsidRPr="003458B1" w:rsidRDefault="005C649A" w:rsidP="004F0C61">
            <w:pPr>
              <w:jc w:val="center"/>
              <w:rPr>
                <w:b/>
                <w:bCs/>
                <w:color w:val="000000"/>
                <w:sz w:val="20"/>
                <w:szCs w:val="20"/>
              </w:rPr>
            </w:pPr>
            <w:r w:rsidRPr="003458B1">
              <w:rPr>
                <w:b/>
                <w:sz w:val="20"/>
                <w:szCs w:val="20"/>
              </w:rPr>
              <w:t>12.2%</w:t>
            </w:r>
          </w:p>
        </w:tc>
      </w:tr>
    </w:tbl>
    <w:p w:rsidR="005C649A" w:rsidRDefault="005C649A" w:rsidP="005C649A"/>
    <w:p w:rsidR="006F4CC7" w:rsidRPr="003458B1" w:rsidRDefault="006F4CC7" w:rsidP="005C649A"/>
    <w:p w:rsidR="005C649A" w:rsidRPr="003458B1" w:rsidRDefault="005C649A" w:rsidP="005C649A">
      <w:pPr>
        <w:pStyle w:val="AppendixAHeading5"/>
      </w:pPr>
      <w:r w:rsidRPr="003458B1">
        <w:t>Government and Institutional Program</w:t>
      </w:r>
    </w:p>
    <w:p w:rsidR="005C649A" w:rsidRPr="003458B1" w:rsidRDefault="005C649A" w:rsidP="005C649A">
      <w:r w:rsidRPr="003458B1">
        <w:t xml:space="preserve">This program had three components in PY7: equipment incentives, appliance recycling, and conservation kits to multifamily establishments. Information about the sample design and achieved precision values for each stratum is provided in </w:t>
      </w:r>
      <w:r w:rsidRPr="003458B1">
        <w:fldChar w:fldCharType="begin"/>
      </w:r>
      <w:r w:rsidRPr="003458B1">
        <w:instrText xml:space="preserve"> REF _Ref440267460 \h  \* MERGEFORMAT </w:instrText>
      </w:r>
      <w:r w:rsidRPr="003458B1">
        <w:fldChar w:fldCharType="separate"/>
      </w:r>
      <w:r w:rsidR="00A874AC" w:rsidRPr="003458B1">
        <w:t>Table A-</w:t>
      </w:r>
      <w:r w:rsidR="00A874AC">
        <w:t>98</w:t>
      </w:r>
      <w:r w:rsidRPr="003458B1">
        <w:fldChar w:fldCharType="end"/>
      </w:r>
      <w:r w:rsidRPr="003458B1">
        <w:t>. The achieved precision value for energy met the SWE Team requirements of 85%/15% confidence</w:t>
      </w:r>
      <w:r>
        <w:t>/</w:t>
      </w:r>
      <w:r w:rsidRPr="003458B1">
        <w:t>precision, but for demand it was slightly higher, at 19.6%.</w:t>
      </w:r>
    </w:p>
    <w:p w:rsidR="005C649A" w:rsidRPr="003458B1" w:rsidRDefault="005C649A" w:rsidP="005C649A"/>
    <w:p w:rsidR="005C649A" w:rsidRPr="003458B1" w:rsidRDefault="005C649A" w:rsidP="005C649A">
      <w:pPr>
        <w:pStyle w:val="Caption"/>
        <w:rPr>
          <w:bCs w:val="0"/>
        </w:rPr>
      </w:pPr>
      <w:bookmarkStart w:id="1070" w:name="_Ref440267460"/>
      <w:bookmarkStart w:id="1071" w:name="_Toc410199444"/>
      <w:bookmarkStart w:id="1072" w:name="_Toc431462364"/>
      <w:bookmarkStart w:id="1073" w:name="_Toc444269890"/>
      <w:bookmarkStart w:id="1074" w:name="_Toc472472507"/>
      <w:bookmarkStart w:id="1075" w:name="_Toc476842213"/>
      <w:r w:rsidRPr="003458B1">
        <w:t>Table A-</w:t>
      </w:r>
      <w:fldSimple w:instr=" SEQ Table_A- \* ARABIC ">
        <w:r w:rsidR="00C301D0">
          <w:rPr>
            <w:noProof/>
          </w:rPr>
          <w:t>98</w:t>
        </w:r>
      </w:fldSimple>
      <w:bookmarkEnd w:id="1070"/>
      <w:r w:rsidRPr="003458B1">
        <w:t>:</w:t>
      </w:r>
      <w:r w:rsidRPr="003458B1">
        <w:rPr>
          <w:bCs w:val="0"/>
        </w:rPr>
        <w:t xml:space="preserve"> West Penn’s PY7 Sampling Strategy and Achieved Precision – Government and Institutional Program</w:t>
      </w:r>
      <w:bookmarkEnd w:id="1071"/>
      <w:bookmarkEnd w:id="1072"/>
      <w:bookmarkEnd w:id="1073"/>
      <w:bookmarkEnd w:id="1074"/>
      <w:bookmarkEnd w:id="1075"/>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065"/>
        <w:gridCol w:w="1170"/>
        <w:gridCol w:w="1350"/>
        <w:gridCol w:w="927"/>
        <w:gridCol w:w="981"/>
        <w:gridCol w:w="1476"/>
        <w:gridCol w:w="1386"/>
      </w:tblGrid>
      <w:tr w:rsidR="00A874AC" w:rsidRPr="003458B1" w:rsidTr="006F4CC7">
        <w:trPr>
          <w:trHeight w:val="1275"/>
        </w:trPr>
        <w:tc>
          <w:tcPr>
            <w:tcW w:w="2065" w:type="dxa"/>
            <w:shd w:val="clear" w:color="000000" w:fill="448A99"/>
            <w:vAlign w:val="bottom"/>
            <w:hideMark/>
          </w:tcPr>
          <w:p w:rsidR="005C649A" w:rsidRPr="003458B1" w:rsidRDefault="005C649A" w:rsidP="004F0C61">
            <w:pPr>
              <w:rPr>
                <w:b/>
                <w:bCs/>
                <w:color w:val="FFFFFF"/>
                <w:sz w:val="20"/>
                <w:szCs w:val="20"/>
              </w:rPr>
            </w:pPr>
            <w:r w:rsidRPr="003458B1">
              <w:rPr>
                <w:b/>
                <w:bCs/>
                <w:color w:val="FFFFFF"/>
                <w:sz w:val="20"/>
                <w:szCs w:val="20"/>
              </w:rPr>
              <w:t>Stratum</w:t>
            </w:r>
          </w:p>
        </w:tc>
        <w:tc>
          <w:tcPr>
            <w:tcW w:w="1170" w:type="dxa"/>
            <w:shd w:val="clear" w:color="000000" w:fill="448A99"/>
            <w:vAlign w:val="bottom"/>
            <w:hideMark/>
          </w:tcPr>
          <w:p w:rsidR="005C649A" w:rsidRPr="003458B1" w:rsidRDefault="005C649A" w:rsidP="004F0C61">
            <w:pPr>
              <w:jc w:val="center"/>
              <w:rPr>
                <w:b/>
                <w:bCs/>
                <w:color w:val="FFFFFF"/>
                <w:sz w:val="20"/>
                <w:szCs w:val="20"/>
              </w:rPr>
            </w:pPr>
            <w:r w:rsidRPr="003458B1">
              <w:rPr>
                <w:b/>
                <w:bCs/>
                <w:color w:val="FFFFFF"/>
                <w:sz w:val="20"/>
                <w:szCs w:val="20"/>
              </w:rPr>
              <w:t>Population</w:t>
            </w:r>
          </w:p>
        </w:tc>
        <w:tc>
          <w:tcPr>
            <w:tcW w:w="1350" w:type="dxa"/>
            <w:shd w:val="clear" w:color="000000" w:fill="448A99"/>
            <w:vAlign w:val="bottom"/>
            <w:hideMark/>
          </w:tcPr>
          <w:p w:rsidR="005C649A" w:rsidRPr="003458B1" w:rsidRDefault="005C649A" w:rsidP="004F0C61">
            <w:pPr>
              <w:jc w:val="center"/>
              <w:rPr>
                <w:b/>
                <w:bCs/>
                <w:color w:val="FFFFFF"/>
                <w:sz w:val="20"/>
                <w:szCs w:val="20"/>
              </w:rPr>
            </w:pPr>
            <w:r w:rsidRPr="003458B1">
              <w:rPr>
                <w:b/>
                <w:bCs/>
                <w:color w:val="FFFFFF"/>
                <w:sz w:val="20"/>
                <w:szCs w:val="20"/>
              </w:rPr>
              <w:t>Target Levels of Confidence &amp; Precision</w:t>
            </w:r>
          </w:p>
        </w:tc>
        <w:tc>
          <w:tcPr>
            <w:tcW w:w="927" w:type="dxa"/>
            <w:shd w:val="clear" w:color="000000" w:fill="448A99"/>
            <w:vAlign w:val="bottom"/>
            <w:hideMark/>
          </w:tcPr>
          <w:p w:rsidR="005C649A" w:rsidRPr="003458B1" w:rsidRDefault="005C649A" w:rsidP="004F0C61">
            <w:pPr>
              <w:jc w:val="center"/>
              <w:rPr>
                <w:b/>
                <w:bCs/>
                <w:color w:val="FFFFFF"/>
                <w:sz w:val="20"/>
                <w:szCs w:val="20"/>
              </w:rPr>
            </w:pPr>
            <w:r w:rsidRPr="003458B1">
              <w:rPr>
                <w:b/>
                <w:bCs/>
                <w:color w:val="FFFFFF"/>
                <w:sz w:val="20"/>
                <w:szCs w:val="20"/>
              </w:rPr>
              <w:t>Target Sample Size</w:t>
            </w:r>
          </w:p>
        </w:tc>
        <w:tc>
          <w:tcPr>
            <w:tcW w:w="981" w:type="dxa"/>
            <w:shd w:val="clear" w:color="000000" w:fill="448A99"/>
            <w:vAlign w:val="bottom"/>
            <w:hideMark/>
          </w:tcPr>
          <w:p w:rsidR="005C649A" w:rsidRPr="003458B1" w:rsidRDefault="005C649A" w:rsidP="004F0C61">
            <w:pPr>
              <w:jc w:val="center"/>
              <w:rPr>
                <w:b/>
                <w:bCs/>
                <w:color w:val="FFFFFF"/>
                <w:sz w:val="20"/>
                <w:szCs w:val="20"/>
              </w:rPr>
            </w:pPr>
            <w:r w:rsidRPr="003458B1">
              <w:rPr>
                <w:b/>
                <w:bCs/>
                <w:color w:val="FFFFFF"/>
                <w:sz w:val="20"/>
                <w:szCs w:val="20"/>
              </w:rPr>
              <w:t>Achieved Sample Size</w:t>
            </w:r>
          </w:p>
        </w:tc>
        <w:tc>
          <w:tcPr>
            <w:tcW w:w="1476" w:type="dxa"/>
            <w:shd w:val="clear" w:color="000000" w:fill="448A99"/>
            <w:vAlign w:val="bottom"/>
            <w:hideMark/>
          </w:tcPr>
          <w:p w:rsidR="005C649A" w:rsidRPr="003458B1" w:rsidRDefault="005C649A" w:rsidP="004F0C61">
            <w:pPr>
              <w:jc w:val="center"/>
              <w:rPr>
                <w:b/>
                <w:bCs/>
                <w:color w:val="FFFFFF"/>
                <w:sz w:val="20"/>
                <w:szCs w:val="20"/>
              </w:rPr>
            </w:pPr>
            <w:r w:rsidRPr="003458B1">
              <w:rPr>
                <w:b/>
                <w:bCs/>
                <w:color w:val="FFFFFF"/>
                <w:sz w:val="20"/>
                <w:szCs w:val="20"/>
              </w:rPr>
              <w:t>Relative Precision at 85% C.L. for Energy</w:t>
            </w:r>
          </w:p>
        </w:tc>
        <w:tc>
          <w:tcPr>
            <w:tcW w:w="1386" w:type="dxa"/>
            <w:shd w:val="clear" w:color="000000" w:fill="448A99"/>
            <w:vAlign w:val="bottom"/>
            <w:hideMark/>
          </w:tcPr>
          <w:p w:rsidR="005C649A" w:rsidRPr="003458B1" w:rsidRDefault="005C649A"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6F4CC7">
        <w:trPr>
          <w:trHeight w:val="346"/>
        </w:trPr>
        <w:tc>
          <w:tcPr>
            <w:tcW w:w="2065" w:type="dxa"/>
            <w:shd w:val="clear" w:color="000000" w:fill="D2EAF1"/>
            <w:noWrap/>
            <w:vAlign w:val="center"/>
          </w:tcPr>
          <w:p w:rsidR="005C649A" w:rsidRPr="003458B1" w:rsidRDefault="005C649A" w:rsidP="004F0C61">
            <w:pPr>
              <w:rPr>
                <w:bCs/>
                <w:color w:val="000000"/>
                <w:sz w:val="20"/>
                <w:szCs w:val="20"/>
              </w:rPr>
            </w:pPr>
            <w:r>
              <w:rPr>
                <w:sz w:val="20"/>
                <w:szCs w:val="20"/>
              </w:rPr>
              <w:t xml:space="preserve">CFL kits – </w:t>
            </w:r>
            <w:r w:rsidRPr="003458B1">
              <w:rPr>
                <w:sz w:val="20"/>
                <w:szCs w:val="20"/>
              </w:rPr>
              <w:t>1</w:t>
            </w:r>
          </w:p>
        </w:tc>
        <w:tc>
          <w:tcPr>
            <w:tcW w:w="1170"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w:t>
            </w:r>
          </w:p>
        </w:tc>
        <w:tc>
          <w:tcPr>
            <w:tcW w:w="1350" w:type="dxa"/>
            <w:shd w:val="clear" w:color="000000" w:fill="D2EAF1"/>
            <w:noWrap/>
            <w:vAlign w:val="center"/>
          </w:tcPr>
          <w:p w:rsidR="005C649A" w:rsidRPr="003458B1" w:rsidRDefault="005C649A" w:rsidP="004F0C61">
            <w:pPr>
              <w:jc w:val="center"/>
              <w:rPr>
                <w:color w:val="000000"/>
                <w:sz w:val="20"/>
                <w:szCs w:val="20"/>
              </w:rPr>
            </w:pPr>
            <w:r>
              <w:rPr>
                <w:sz w:val="20"/>
                <w:szCs w:val="20"/>
              </w:rPr>
              <w:t>N/A</w:t>
            </w:r>
          </w:p>
        </w:tc>
        <w:tc>
          <w:tcPr>
            <w:tcW w:w="927"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w:t>
            </w:r>
          </w:p>
        </w:tc>
        <w:tc>
          <w:tcPr>
            <w:tcW w:w="981"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w:t>
            </w:r>
          </w:p>
        </w:tc>
        <w:tc>
          <w:tcPr>
            <w:tcW w:w="1476"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0.0%</w:t>
            </w:r>
          </w:p>
        </w:tc>
        <w:tc>
          <w:tcPr>
            <w:tcW w:w="1386" w:type="dxa"/>
            <w:shd w:val="clear" w:color="000000" w:fill="D2EAF1"/>
            <w:noWrap/>
            <w:vAlign w:val="center"/>
          </w:tcPr>
          <w:p w:rsidR="005C649A" w:rsidRPr="003458B1" w:rsidRDefault="005C649A" w:rsidP="004F0C61">
            <w:pPr>
              <w:jc w:val="center"/>
              <w:rPr>
                <w:color w:val="000000"/>
                <w:sz w:val="20"/>
                <w:szCs w:val="20"/>
              </w:rPr>
            </w:pPr>
            <w:r w:rsidRPr="003458B1">
              <w:rPr>
                <w:sz w:val="20"/>
                <w:szCs w:val="20"/>
              </w:rPr>
              <w:t>0.0%</w:t>
            </w:r>
          </w:p>
        </w:tc>
      </w:tr>
      <w:tr w:rsidR="00E7173E" w:rsidRPr="003458B1" w:rsidTr="008F60E1">
        <w:trPr>
          <w:trHeight w:val="346"/>
        </w:trPr>
        <w:tc>
          <w:tcPr>
            <w:tcW w:w="2065" w:type="dxa"/>
            <w:shd w:val="clear" w:color="auto" w:fill="auto"/>
            <w:noWrap/>
            <w:vAlign w:val="center"/>
          </w:tcPr>
          <w:p w:rsidR="005C649A" w:rsidRPr="003458B1" w:rsidRDefault="005C649A" w:rsidP="004F0C61">
            <w:pPr>
              <w:rPr>
                <w:bCs/>
                <w:color w:val="000000"/>
                <w:sz w:val="20"/>
                <w:szCs w:val="20"/>
              </w:rPr>
            </w:pPr>
            <w:r>
              <w:rPr>
                <w:sz w:val="20"/>
                <w:szCs w:val="20"/>
              </w:rPr>
              <w:t>Lighting – c</w:t>
            </w:r>
            <w:r w:rsidRPr="003458B1">
              <w:rPr>
                <w:sz w:val="20"/>
                <w:szCs w:val="20"/>
              </w:rPr>
              <w:t>ertainty</w:t>
            </w:r>
          </w:p>
        </w:tc>
        <w:tc>
          <w:tcPr>
            <w:tcW w:w="1170"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w:t>
            </w:r>
          </w:p>
        </w:tc>
        <w:tc>
          <w:tcPr>
            <w:tcW w:w="1350" w:type="dxa"/>
            <w:shd w:val="clear" w:color="auto" w:fill="auto"/>
            <w:noWrap/>
            <w:vAlign w:val="center"/>
          </w:tcPr>
          <w:p w:rsidR="005C649A" w:rsidRPr="003458B1" w:rsidRDefault="005C649A" w:rsidP="004F0C61">
            <w:pPr>
              <w:jc w:val="center"/>
              <w:rPr>
                <w:color w:val="000000"/>
                <w:sz w:val="20"/>
                <w:szCs w:val="20"/>
              </w:rPr>
            </w:pPr>
            <w:r>
              <w:rPr>
                <w:sz w:val="20"/>
                <w:szCs w:val="20"/>
              </w:rPr>
              <w:t>N/A</w:t>
            </w:r>
          </w:p>
        </w:tc>
        <w:tc>
          <w:tcPr>
            <w:tcW w:w="927"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w:t>
            </w:r>
          </w:p>
        </w:tc>
        <w:tc>
          <w:tcPr>
            <w:tcW w:w="981"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w:t>
            </w:r>
          </w:p>
        </w:tc>
        <w:tc>
          <w:tcPr>
            <w:tcW w:w="1476"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0.0%</w:t>
            </w:r>
          </w:p>
        </w:tc>
        <w:tc>
          <w:tcPr>
            <w:tcW w:w="1386" w:type="dxa"/>
            <w:shd w:val="clear" w:color="auto" w:fill="auto"/>
            <w:noWrap/>
            <w:vAlign w:val="center"/>
          </w:tcPr>
          <w:p w:rsidR="005C649A" w:rsidRPr="003458B1" w:rsidRDefault="005C649A" w:rsidP="004F0C61">
            <w:pPr>
              <w:jc w:val="center"/>
              <w:rPr>
                <w:color w:val="000000"/>
                <w:sz w:val="20"/>
                <w:szCs w:val="20"/>
              </w:rPr>
            </w:pPr>
            <w:r w:rsidRPr="003458B1">
              <w:rPr>
                <w:sz w:val="20"/>
                <w:szCs w:val="20"/>
              </w:rPr>
              <w:t>0.0%</w:t>
            </w:r>
          </w:p>
        </w:tc>
      </w:tr>
      <w:tr w:rsidR="00A874AC" w:rsidRPr="003458B1" w:rsidTr="006F4CC7">
        <w:trPr>
          <w:trHeight w:val="346"/>
        </w:trPr>
        <w:tc>
          <w:tcPr>
            <w:tcW w:w="2065" w:type="dxa"/>
            <w:shd w:val="clear" w:color="000000" w:fill="D2EAF1"/>
            <w:noWrap/>
            <w:vAlign w:val="center"/>
          </w:tcPr>
          <w:p w:rsidR="005C649A" w:rsidRPr="003458B1" w:rsidRDefault="005C649A" w:rsidP="004F0C61">
            <w:pPr>
              <w:rPr>
                <w:b/>
                <w:bCs/>
                <w:iCs/>
                <w:color w:val="000000"/>
                <w:sz w:val="20"/>
                <w:szCs w:val="20"/>
              </w:rPr>
            </w:pPr>
            <w:r w:rsidRPr="003458B1">
              <w:rPr>
                <w:sz w:val="20"/>
                <w:szCs w:val="20"/>
              </w:rPr>
              <w:t>Lighting</w:t>
            </w:r>
            <w:r>
              <w:rPr>
                <w:sz w:val="20"/>
                <w:szCs w:val="20"/>
              </w:rPr>
              <w:t xml:space="preserve"> – </w:t>
            </w:r>
            <w:r w:rsidRPr="003458B1">
              <w:rPr>
                <w:sz w:val="20"/>
                <w:szCs w:val="20"/>
              </w:rPr>
              <w:t>2</w:t>
            </w:r>
          </w:p>
        </w:tc>
        <w:tc>
          <w:tcPr>
            <w:tcW w:w="1170"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4</w:t>
            </w:r>
          </w:p>
        </w:tc>
        <w:tc>
          <w:tcPr>
            <w:tcW w:w="1350"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0.0%</w:t>
            </w:r>
          </w:p>
        </w:tc>
        <w:tc>
          <w:tcPr>
            <w:tcW w:w="927"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4</w:t>
            </w:r>
          </w:p>
        </w:tc>
        <w:tc>
          <w:tcPr>
            <w:tcW w:w="981"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3</w:t>
            </w:r>
          </w:p>
        </w:tc>
        <w:tc>
          <w:tcPr>
            <w:tcW w:w="1476"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20.8%</w:t>
            </w:r>
          </w:p>
        </w:tc>
        <w:tc>
          <w:tcPr>
            <w:tcW w:w="1386"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0.0%</w:t>
            </w:r>
          </w:p>
        </w:tc>
      </w:tr>
      <w:tr w:rsidR="00E7173E" w:rsidRPr="003458B1" w:rsidTr="008F60E1">
        <w:trPr>
          <w:trHeight w:val="346"/>
        </w:trPr>
        <w:tc>
          <w:tcPr>
            <w:tcW w:w="2065" w:type="dxa"/>
            <w:shd w:val="clear" w:color="auto" w:fill="auto"/>
            <w:noWrap/>
            <w:vAlign w:val="center"/>
          </w:tcPr>
          <w:p w:rsidR="005C649A" w:rsidRPr="003458B1" w:rsidRDefault="005C649A" w:rsidP="004F0C61">
            <w:pPr>
              <w:rPr>
                <w:sz w:val="20"/>
                <w:szCs w:val="20"/>
              </w:rPr>
            </w:pPr>
            <w:r>
              <w:rPr>
                <w:sz w:val="20"/>
                <w:szCs w:val="20"/>
              </w:rPr>
              <w:t xml:space="preserve">Lighting – </w:t>
            </w:r>
            <w:r w:rsidRPr="003458B1">
              <w:rPr>
                <w:sz w:val="20"/>
                <w:szCs w:val="20"/>
              </w:rPr>
              <w:t>3</w:t>
            </w:r>
          </w:p>
        </w:tc>
        <w:tc>
          <w:tcPr>
            <w:tcW w:w="1170"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22</w:t>
            </w:r>
          </w:p>
        </w:tc>
        <w:tc>
          <w:tcPr>
            <w:tcW w:w="1350"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28.3%</w:t>
            </w:r>
          </w:p>
        </w:tc>
        <w:tc>
          <w:tcPr>
            <w:tcW w:w="927"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5</w:t>
            </w:r>
          </w:p>
        </w:tc>
        <w:tc>
          <w:tcPr>
            <w:tcW w:w="981"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4</w:t>
            </w:r>
          </w:p>
        </w:tc>
        <w:tc>
          <w:tcPr>
            <w:tcW w:w="1476"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32.6%</w:t>
            </w:r>
          </w:p>
        </w:tc>
        <w:tc>
          <w:tcPr>
            <w:tcW w:w="1386"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32.6%</w:t>
            </w:r>
          </w:p>
        </w:tc>
      </w:tr>
      <w:tr w:rsidR="00A874AC" w:rsidRPr="003458B1" w:rsidTr="006F4CC7">
        <w:trPr>
          <w:trHeight w:val="346"/>
        </w:trPr>
        <w:tc>
          <w:tcPr>
            <w:tcW w:w="2065" w:type="dxa"/>
            <w:shd w:val="clear" w:color="000000" w:fill="D2EAF1"/>
            <w:noWrap/>
            <w:vAlign w:val="center"/>
          </w:tcPr>
          <w:p w:rsidR="005C649A" w:rsidRPr="003458B1" w:rsidRDefault="005C649A" w:rsidP="004F0C61">
            <w:pPr>
              <w:rPr>
                <w:sz w:val="20"/>
                <w:szCs w:val="20"/>
              </w:rPr>
            </w:pPr>
            <w:r>
              <w:rPr>
                <w:sz w:val="20"/>
                <w:szCs w:val="20"/>
              </w:rPr>
              <w:t xml:space="preserve">Lighting – </w:t>
            </w:r>
            <w:r w:rsidRPr="003458B1">
              <w:rPr>
                <w:sz w:val="20"/>
                <w:szCs w:val="20"/>
              </w:rPr>
              <w:t>4</w:t>
            </w:r>
          </w:p>
        </w:tc>
        <w:tc>
          <w:tcPr>
            <w:tcW w:w="1170"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112</w:t>
            </w:r>
          </w:p>
        </w:tc>
        <w:tc>
          <w:tcPr>
            <w:tcW w:w="1350"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18.8%</w:t>
            </w:r>
          </w:p>
        </w:tc>
        <w:tc>
          <w:tcPr>
            <w:tcW w:w="927"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13</w:t>
            </w:r>
          </w:p>
        </w:tc>
        <w:tc>
          <w:tcPr>
            <w:tcW w:w="981"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13</w:t>
            </w:r>
          </w:p>
        </w:tc>
        <w:tc>
          <w:tcPr>
            <w:tcW w:w="1476"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18.8%</w:t>
            </w:r>
          </w:p>
        </w:tc>
        <w:tc>
          <w:tcPr>
            <w:tcW w:w="1386"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18.8%</w:t>
            </w:r>
          </w:p>
        </w:tc>
      </w:tr>
      <w:tr w:rsidR="00E7173E" w:rsidRPr="003458B1" w:rsidTr="008F60E1">
        <w:trPr>
          <w:trHeight w:val="346"/>
        </w:trPr>
        <w:tc>
          <w:tcPr>
            <w:tcW w:w="2065" w:type="dxa"/>
            <w:shd w:val="clear" w:color="auto" w:fill="auto"/>
            <w:noWrap/>
            <w:vAlign w:val="center"/>
          </w:tcPr>
          <w:p w:rsidR="005C649A" w:rsidRPr="003458B1" w:rsidRDefault="005C649A" w:rsidP="004F0C61">
            <w:pPr>
              <w:rPr>
                <w:sz w:val="20"/>
                <w:szCs w:val="20"/>
              </w:rPr>
            </w:pPr>
            <w:r>
              <w:rPr>
                <w:sz w:val="20"/>
                <w:szCs w:val="20"/>
              </w:rPr>
              <w:t>Custom – c</w:t>
            </w:r>
            <w:r w:rsidRPr="003458B1">
              <w:rPr>
                <w:sz w:val="20"/>
                <w:szCs w:val="20"/>
              </w:rPr>
              <w:t>ertainty</w:t>
            </w:r>
          </w:p>
        </w:tc>
        <w:tc>
          <w:tcPr>
            <w:tcW w:w="1170"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350" w:type="dxa"/>
            <w:shd w:val="clear" w:color="auto" w:fill="auto"/>
            <w:noWrap/>
            <w:vAlign w:val="center"/>
          </w:tcPr>
          <w:p w:rsidR="005C649A" w:rsidRPr="003458B1" w:rsidRDefault="005C649A" w:rsidP="004F0C61">
            <w:pPr>
              <w:jc w:val="center"/>
              <w:rPr>
                <w:b/>
                <w:bCs/>
                <w:color w:val="000000"/>
                <w:sz w:val="20"/>
                <w:szCs w:val="20"/>
              </w:rPr>
            </w:pPr>
            <w:r>
              <w:rPr>
                <w:sz w:val="20"/>
                <w:szCs w:val="20"/>
              </w:rPr>
              <w:t>N/A</w:t>
            </w:r>
          </w:p>
        </w:tc>
        <w:tc>
          <w:tcPr>
            <w:tcW w:w="927"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981"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476"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0.0%</w:t>
            </w:r>
          </w:p>
        </w:tc>
        <w:tc>
          <w:tcPr>
            <w:tcW w:w="1386"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0.0%</w:t>
            </w:r>
          </w:p>
        </w:tc>
      </w:tr>
      <w:tr w:rsidR="00A874AC" w:rsidRPr="003458B1" w:rsidTr="006F4CC7">
        <w:trPr>
          <w:trHeight w:val="346"/>
        </w:trPr>
        <w:tc>
          <w:tcPr>
            <w:tcW w:w="2065" w:type="dxa"/>
            <w:shd w:val="clear" w:color="000000" w:fill="D2EAF1"/>
            <w:noWrap/>
            <w:vAlign w:val="center"/>
          </w:tcPr>
          <w:p w:rsidR="005C649A" w:rsidRPr="003458B1" w:rsidRDefault="005C649A" w:rsidP="004F0C61">
            <w:pPr>
              <w:rPr>
                <w:sz w:val="20"/>
                <w:szCs w:val="20"/>
              </w:rPr>
            </w:pPr>
            <w:r>
              <w:rPr>
                <w:sz w:val="20"/>
                <w:szCs w:val="20"/>
              </w:rPr>
              <w:t xml:space="preserve">Custom – </w:t>
            </w:r>
            <w:r w:rsidRPr="003458B1">
              <w:rPr>
                <w:sz w:val="20"/>
                <w:szCs w:val="20"/>
              </w:rPr>
              <w:t>2</w:t>
            </w:r>
          </w:p>
        </w:tc>
        <w:tc>
          <w:tcPr>
            <w:tcW w:w="1170"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1350" w:type="dxa"/>
            <w:shd w:val="clear" w:color="000000" w:fill="D2EAF1"/>
            <w:noWrap/>
            <w:vAlign w:val="center"/>
          </w:tcPr>
          <w:p w:rsidR="005C649A" w:rsidRPr="003458B1" w:rsidRDefault="005C649A" w:rsidP="004F0C61">
            <w:pPr>
              <w:jc w:val="center"/>
              <w:rPr>
                <w:b/>
                <w:bCs/>
                <w:color w:val="000000"/>
                <w:sz w:val="20"/>
                <w:szCs w:val="20"/>
              </w:rPr>
            </w:pPr>
            <w:r>
              <w:rPr>
                <w:sz w:val="20"/>
                <w:szCs w:val="20"/>
              </w:rPr>
              <w:t>N/A</w:t>
            </w:r>
          </w:p>
        </w:tc>
        <w:tc>
          <w:tcPr>
            <w:tcW w:w="927"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981"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1476"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0.0%</w:t>
            </w:r>
          </w:p>
        </w:tc>
        <w:tc>
          <w:tcPr>
            <w:tcW w:w="1386"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0.0%</w:t>
            </w:r>
          </w:p>
        </w:tc>
      </w:tr>
      <w:tr w:rsidR="00E7173E" w:rsidRPr="003458B1" w:rsidTr="008F60E1">
        <w:trPr>
          <w:trHeight w:val="346"/>
        </w:trPr>
        <w:tc>
          <w:tcPr>
            <w:tcW w:w="2065" w:type="dxa"/>
            <w:shd w:val="clear" w:color="auto" w:fill="auto"/>
            <w:noWrap/>
            <w:vAlign w:val="center"/>
          </w:tcPr>
          <w:p w:rsidR="005C649A" w:rsidRPr="003458B1" w:rsidRDefault="005C649A" w:rsidP="004F0C61">
            <w:pPr>
              <w:rPr>
                <w:sz w:val="20"/>
                <w:szCs w:val="20"/>
              </w:rPr>
            </w:pPr>
            <w:r>
              <w:rPr>
                <w:sz w:val="20"/>
                <w:szCs w:val="20"/>
              </w:rPr>
              <w:t xml:space="preserve">Custom – </w:t>
            </w:r>
            <w:r w:rsidRPr="003458B1">
              <w:rPr>
                <w:sz w:val="20"/>
                <w:szCs w:val="20"/>
              </w:rPr>
              <w:t>3</w:t>
            </w:r>
          </w:p>
        </w:tc>
        <w:tc>
          <w:tcPr>
            <w:tcW w:w="1170"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350" w:type="dxa"/>
            <w:shd w:val="clear" w:color="auto" w:fill="auto"/>
            <w:noWrap/>
            <w:vAlign w:val="center"/>
          </w:tcPr>
          <w:p w:rsidR="005C649A" w:rsidRPr="003458B1" w:rsidRDefault="005C649A" w:rsidP="004F0C61">
            <w:pPr>
              <w:jc w:val="center"/>
              <w:rPr>
                <w:b/>
                <w:bCs/>
                <w:color w:val="000000"/>
                <w:sz w:val="20"/>
                <w:szCs w:val="20"/>
              </w:rPr>
            </w:pPr>
            <w:r>
              <w:rPr>
                <w:sz w:val="20"/>
                <w:szCs w:val="20"/>
              </w:rPr>
              <w:t>N/A</w:t>
            </w:r>
          </w:p>
        </w:tc>
        <w:tc>
          <w:tcPr>
            <w:tcW w:w="927"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981"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476"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0.0%</w:t>
            </w:r>
          </w:p>
        </w:tc>
        <w:tc>
          <w:tcPr>
            <w:tcW w:w="1386"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0.0%</w:t>
            </w:r>
          </w:p>
        </w:tc>
      </w:tr>
      <w:tr w:rsidR="00A874AC" w:rsidRPr="003458B1" w:rsidTr="006F4CC7">
        <w:trPr>
          <w:trHeight w:val="346"/>
        </w:trPr>
        <w:tc>
          <w:tcPr>
            <w:tcW w:w="2065" w:type="dxa"/>
            <w:shd w:val="clear" w:color="000000" w:fill="D2EAF1"/>
            <w:noWrap/>
            <w:vAlign w:val="center"/>
          </w:tcPr>
          <w:p w:rsidR="005C649A" w:rsidRPr="003458B1" w:rsidRDefault="005C649A" w:rsidP="004F0C61">
            <w:pPr>
              <w:rPr>
                <w:sz w:val="20"/>
                <w:szCs w:val="20"/>
              </w:rPr>
            </w:pPr>
            <w:r>
              <w:rPr>
                <w:sz w:val="20"/>
                <w:szCs w:val="20"/>
              </w:rPr>
              <w:t xml:space="preserve">HVAC and DHW – </w:t>
            </w:r>
            <w:r w:rsidRPr="003458B1">
              <w:rPr>
                <w:sz w:val="20"/>
                <w:szCs w:val="20"/>
              </w:rPr>
              <w:t>1</w:t>
            </w:r>
          </w:p>
        </w:tc>
        <w:tc>
          <w:tcPr>
            <w:tcW w:w="1170"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1350" w:type="dxa"/>
            <w:shd w:val="clear" w:color="000000" w:fill="D2EAF1"/>
            <w:noWrap/>
            <w:vAlign w:val="center"/>
          </w:tcPr>
          <w:p w:rsidR="005C649A" w:rsidRPr="003458B1" w:rsidRDefault="005C649A" w:rsidP="004F0C61">
            <w:pPr>
              <w:jc w:val="center"/>
              <w:rPr>
                <w:b/>
                <w:bCs/>
                <w:color w:val="000000"/>
                <w:sz w:val="20"/>
                <w:szCs w:val="20"/>
              </w:rPr>
            </w:pPr>
            <w:r>
              <w:rPr>
                <w:sz w:val="20"/>
                <w:szCs w:val="20"/>
              </w:rPr>
              <w:t>N/A</w:t>
            </w:r>
          </w:p>
        </w:tc>
        <w:tc>
          <w:tcPr>
            <w:tcW w:w="927"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981"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1476"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0.0%</w:t>
            </w:r>
          </w:p>
        </w:tc>
        <w:tc>
          <w:tcPr>
            <w:tcW w:w="1386"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0.0%</w:t>
            </w:r>
          </w:p>
        </w:tc>
      </w:tr>
      <w:tr w:rsidR="00E7173E" w:rsidRPr="003458B1" w:rsidTr="008F60E1">
        <w:trPr>
          <w:trHeight w:val="346"/>
        </w:trPr>
        <w:tc>
          <w:tcPr>
            <w:tcW w:w="2065" w:type="dxa"/>
            <w:shd w:val="clear" w:color="auto" w:fill="auto"/>
            <w:noWrap/>
            <w:vAlign w:val="center"/>
          </w:tcPr>
          <w:p w:rsidR="005C649A" w:rsidRPr="003458B1" w:rsidRDefault="005C649A" w:rsidP="004F0C61">
            <w:pPr>
              <w:rPr>
                <w:sz w:val="20"/>
                <w:szCs w:val="20"/>
              </w:rPr>
            </w:pPr>
            <w:r>
              <w:rPr>
                <w:sz w:val="20"/>
                <w:szCs w:val="20"/>
              </w:rPr>
              <w:t xml:space="preserve">HVAC and DHW – </w:t>
            </w:r>
            <w:r w:rsidRPr="003458B1">
              <w:rPr>
                <w:sz w:val="20"/>
                <w:szCs w:val="20"/>
              </w:rPr>
              <w:t>2</w:t>
            </w:r>
          </w:p>
        </w:tc>
        <w:tc>
          <w:tcPr>
            <w:tcW w:w="1170"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350" w:type="dxa"/>
            <w:shd w:val="clear" w:color="auto" w:fill="auto"/>
            <w:noWrap/>
            <w:vAlign w:val="center"/>
          </w:tcPr>
          <w:p w:rsidR="005C649A" w:rsidRPr="003458B1" w:rsidRDefault="005C649A" w:rsidP="004F0C61">
            <w:pPr>
              <w:jc w:val="center"/>
              <w:rPr>
                <w:b/>
                <w:bCs/>
                <w:color w:val="000000"/>
                <w:sz w:val="20"/>
                <w:szCs w:val="20"/>
              </w:rPr>
            </w:pPr>
            <w:r>
              <w:rPr>
                <w:sz w:val="20"/>
                <w:szCs w:val="20"/>
              </w:rPr>
              <w:t>N/A</w:t>
            </w:r>
          </w:p>
        </w:tc>
        <w:tc>
          <w:tcPr>
            <w:tcW w:w="927"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981"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476"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0.0%</w:t>
            </w:r>
          </w:p>
        </w:tc>
        <w:tc>
          <w:tcPr>
            <w:tcW w:w="1386"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0.0%</w:t>
            </w:r>
          </w:p>
        </w:tc>
      </w:tr>
      <w:tr w:rsidR="00A874AC" w:rsidRPr="003458B1" w:rsidTr="006F4CC7">
        <w:trPr>
          <w:trHeight w:val="346"/>
        </w:trPr>
        <w:tc>
          <w:tcPr>
            <w:tcW w:w="2065" w:type="dxa"/>
            <w:shd w:val="clear" w:color="000000" w:fill="D2EAF1"/>
            <w:noWrap/>
            <w:vAlign w:val="center"/>
          </w:tcPr>
          <w:p w:rsidR="005C649A" w:rsidRPr="003458B1" w:rsidRDefault="005C649A" w:rsidP="004F0C61">
            <w:pPr>
              <w:rPr>
                <w:sz w:val="20"/>
                <w:szCs w:val="20"/>
              </w:rPr>
            </w:pPr>
            <w:r>
              <w:rPr>
                <w:sz w:val="20"/>
                <w:szCs w:val="20"/>
              </w:rPr>
              <w:t xml:space="preserve">Appliance Turn-In – </w:t>
            </w:r>
            <w:r w:rsidRPr="003458B1">
              <w:rPr>
                <w:sz w:val="20"/>
                <w:szCs w:val="20"/>
              </w:rPr>
              <w:t>1</w:t>
            </w:r>
          </w:p>
        </w:tc>
        <w:tc>
          <w:tcPr>
            <w:tcW w:w="1170"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1350" w:type="dxa"/>
            <w:shd w:val="clear" w:color="000000" w:fill="D2EAF1"/>
            <w:noWrap/>
            <w:vAlign w:val="center"/>
          </w:tcPr>
          <w:p w:rsidR="005C649A" w:rsidRPr="003458B1" w:rsidRDefault="005C649A" w:rsidP="004F0C61">
            <w:pPr>
              <w:jc w:val="center"/>
              <w:rPr>
                <w:b/>
                <w:bCs/>
                <w:color w:val="000000"/>
                <w:sz w:val="20"/>
                <w:szCs w:val="20"/>
              </w:rPr>
            </w:pPr>
            <w:r>
              <w:rPr>
                <w:sz w:val="20"/>
                <w:szCs w:val="20"/>
              </w:rPr>
              <w:t>N/A</w:t>
            </w:r>
          </w:p>
        </w:tc>
        <w:tc>
          <w:tcPr>
            <w:tcW w:w="927"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981"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w:t>
            </w:r>
          </w:p>
        </w:tc>
        <w:tc>
          <w:tcPr>
            <w:tcW w:w="1476"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0.0%</w:t>
            </w:r>
          </w:p>
        </w:tc>
        <w:tc>
          <w:tcPr>
            <w:tcW w:w="1386" w:type="dxa"/>
            <w:shd w:val="clear" w:color="000000" w:fill="D2EAF1"/>
            <w:noWrap/>
            <w:vAlign w:val="center"/>
          </w:tcPr>
          <w:p w:rsidR="005C649A" w:rsidRPr="003458B1" w:rsidRDefault="005C649A" w:rsidP="004F0C61">
            <w:pPr>
              <w:jc w:val="center"/>
              <w:rPr>
                <w:b/>
                <w:bCs/>
                <w:color w:val="000000"/>
                <w:sz w:val="20"/>
                <w:szCs w:val="20"/>
              </w:rPr>
            </w:pPr>
            <w:r w:rsidRPr="003458B1">
              <w:rPr>
                <w:sz w:val="20"/>
                <w:szCs w:val="20"/>
              </w:rPr>
              <w:t>0.0%</w:t>
            </w:r>
          </w:p>
        </w:tc>
      </w:tr>
      <w:tr w:rsidR="00E7173E" w:rsidRPr="003458B1" w:rsidTr="008F60E1">
        <w:trPr>
          <w:trHeight w:val="346"/>
        </w:trPr>
        <w:tc>
          <w:tcPr>
            <w:tcW w:w="2065" w:type="dxa"/>
            <w:shd w:val="clear" w:color="auto" w:fill="auto"/>
            <w:noWrap/>
            <w:vAlign w:val="center"/>
          </w:tcPr>
          <w:p w:rsidR="005C649A" w:rsidRPr="003458B1" w:rsidRDefault="005C649A" w:rsidP="004F0C61">
            <w:pPr>
              <w:rPr>
                <w:sz w:val="20"/>
                <w:szCs w:val="20"/>
              </w:rPr>
            </w:pPr>
            <w:r>
              <w:rPr>
                <w:sz w:val="20"/>
                <w:szCs w:val="20"/>
              </w:rPr>
              <w:t>Kitchen/appliances – 1</w:t>
            </w:r>
          </w:p>
        </w:tc>
        <w:tc>
          <w:tcPr>
            <w:tcW w:w="1170"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350" w:type="dxa"/>
            <w:shd w:val="clear" w:color="auto" w:fill="auto"/>
            <w:noWrap/>
            <w:vAlign w:val="center"/>
          </w:tcPr>
          <w:p w:rsidR="005C649A" w:rsidRPr="003458B1" w:rsidRDefault="005C649A" w:rsidP="004F0C61">
            <w:pPr>
              <w:jc w:val="center"/>
              <w:rPr>
                <w:b/>
                <w:bCs/>
                <w:color w:val="000000"/>
                <w:sz w:val="20"/>
                <w:szCs w:val="20"/>
              </w:rPr>
            </w:pPr>
            <w:r>
              <w:rPr>
                <w:sz w:val="20"/>
                <w:szCs w:val="20"/>
              </w:rPr>
              <w:t>N/A</w:t>
            </w:r>
          </w:p>
        </w:tc>
        <w:tc>
          <w:tcPr>
            <w:tcW w:w="927"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981"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w:t>
            </w:r>
          </w:p>
        </w:tc>
        <w:tc>
          <w:tcPr>
            <w:tcW w:w="1476"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0.0%</w:t>
            </w:r>
          </w:p>
        </w:tc>
        <w:tc>
          <w:tcPr>
            <w:tcW w:w="1386" w:type="dxa"/>
            <w:shd w:val="clear" w:color="auto" w:fill="auto"/>
            <w:noWrap/>
            <w:vAlign w:val="center"/>
          </w:tcPr>
          <w:p w:rsidR="005C649A" w:rsidRPr="003458B1" w:rsidRDefault="005C649A" w:rsidP="004F0C61">
            <w:pPr>
              <w:jc w:val="center"/>
              <w:rPr>
                <w:b/>
                <w:bCs/>
                <w:color w:val="000000"/>
                <w:sz w:val="20"/>
                <w:szCs w:val="20"/>
              </w:rPr>
            </w:pPr>
            <w:r w:rsidRPr="003458B1">
              <w:rPr>
                <w:sz w:val="20"/>
                <w:szCs w:val="20"/>
              </w:rPr>
              <w:t>0.0%</w:t>
            </w:r>
          </w:p>
        </w:tc>
      </w:tr>
      <w:tr w:rsidR="00A874AC" w:rsidRPr="004B56B4" w:rsidTr="006F4CC7">
        <w:trPr>
          <w:trHeight w:val="346"/>
        </w:trPr>
        <w:tc>
          <w:tcPr>
            <w:tcW w:w="2065" w:type="dxa"/>
            <w:shd w:val="clear" w:color="000000" w:fill="D2EAF1"/>
            <w:noWrap/>
            <w:vAlign w:val="center"/>
          </w:tcPr>
          <w:p w:rsidR="005C649A" w:rsidRPr="003458B1" w:rsidRDefault="005C649A" w:rsidP="004F0C61">
            <w:pPr>
              <w:rPr>
                <w:sz w:val="20"/>
                <w:szCs w:val="20"/>
              </w:rPr>
            </w:pPr>
            <w:r w:rsidRPr="003458B1">
              <w:rPr>
                <w:b/>
                <w:sz w:val="20"/>
                <w:szCs w:val="20"/>
              </w:rPr>
              <w:t>Program Total</w:t>
            </w:r>
          </w:p>
        </w:tc>
        <w:tc>
          <w:tcPr>
            <w:tcW w:w="1170" w:type="dxa"/>
            <w:shd w:val="clear" w:color="000000" w:fill="D2EAF1"/>
            <w:noWrap/>
            <w:vAlign w:val="center"/>
          </w:tcPr>
          <w:p w:rsidR="005C649A" w:rsidRPr="003458B1" w:rsidRDefault="005C649A" w:rsidP="004F0C61">
            <w:pPr>
              <w:jc w:val="center"/>
              <w:rPr>
                <w:b/>
                <w:bCs/>
                <w:color w:val="000000"/>
                <w:sz w:val="20"/>
                <w:szCs w:val="20"/>
              </w:rPr>
            </w:pPr>
            <w:r w:rsidRPr="003458B1">
              <w:rPr>
                <w:b/>
                <w:sz w:val="20"/>
                <w:szCs w:val="20"/>
              </w:rPr>
              <w:t>138</w:t>
            </w:r>
          </w:p>
        </w:tc>
        <w:tc>
          <w:tcPr>
            <w:tcW w:w="1350" w:type="dxa"/>
            <w:shd w:val="clear" w:color="000000" w:fill="D2EAF1"/>
            <w:noWrap/>
            <w:vAlign w:val="center"/>
          </w:tcPr>
          <w:p w:rsidR="005C649A" w:rsidRPr="003458B1" w:rsidRDefault="005C649A" w:rsidP="004F0C61">
            <w:pPr>
              <w:jc w:val="center"/>
              <w:rPr>
                <w:b/>
                <w:bCs/>
                <w:color w:val="000000"/>
                <w:sz w:val="20"/>
                <w:szCs w:val="20"/>
              </w:rPr>
            </w:pPr>
            <w:r w:rsidRPr="003458B1">
              <w:rPr>
                <w:b/>
                <w:sz w:val="20"/>
                <w:szCs w:val="20"/>
              </w:rPr>
              <w:t>11.8%</w:t>
            </w:r>
          </w:p>
        </w:tc>
        <w:tc>
          <w:tcPr>
            <w:tcW w:w="927" w:type="dxa"/>
            <w:shd w:val="clear" w:color="000000" w:fill="D2EAF1"/>
            <w:noWrap/>
            <w:vAlign w:val="center"/>
          </w:tcPr>
          <w:p w:rsidR="005C649A" w:rsidRPr="003458B1" w:rsidRDefault="005C649A" w:rsidP="004F0C61">
            <w:pPr>
              <w:jc w:val="center"/>
              <w:rPr>
                <w:b/>
                <w:bCs/>
                <w:color w:val="000000"/>
                <w:sz w:val="20"/>
                <w:szCs w:val="20"/>
              </w:rPr>
            </w:pPr>
            <w:r w:rsidRPr="003458B1">
              <w:rPr>
                <w:b/>
                <w:sz w:val="20"/>
                <w:szCs w:val="20"/>
              </w:rPr>
              <w:t>22</w:t>
            </w:r>
          </w:p>
        </w:tc>
        <w:tc>
          <w:tcPr>
            <w:tcW w:w="981" w:type="dxa"/>
            <w:shd w:val="clear" w:color="000000" w:fill="D2EAF1"/>
            <w:noWrap/>
            <w:vAlign w:val="center"/>
          </w:tcPr>
          <w:p w:rsidR="005C649A" w:rsidRPr="003458B1" w:rsidRDefault="005C649A" w:rsidP="004F0C61">
            <w:pPr>
              <w:jc w:val="center"/>
              <w:rPr>
                <w:b/>
                <w:bCs/>
                <w:color w:val="000000"/>
                <w:sz w:val="20"/>
                <w:szCs w:val="20"/>
              </w:rPr>
            </w:pPr>
            <w:r w:rsidRPr="003458B1">
              <w:rPr>
                <w:b/>
                <w:sz w:val="20"/>
                <w:szCs w:val="20"/>
              </w:rPr>
              <w:t>20</w:t>
            </w:r>
          </w:p>
        </w:tc>
        <w:tc>
          <w:tcPr>
            <w:tcW w:w="1476" w:type="dxa"/>
            <w:shd w:val="clear" w:color="000000" w:fill="D2EAF1"/>
            <w:noWrap/>
            <w:vAlign w:val="center"/>
          </w:tcPr>
          <w:p w:rsidR="005C649A" w:rsidRPr="003458B1" w:rsidRDefault="005C649A" w:rsidP="004F0C61">
            <w:pPr>
              <w:jc w:val="center"/>
              <w:rPr>
                <w:b/>
                <w:bCs/>
                <w:color w:val="000000"/>
                <w:sz w:val="20"/>
                <w:szCs w:val="20"/>
              </w:rPr>
            </w:pPr>
            <w:r w:rsidRPr="003458B1">
              <w:rPr>
                <w:b/>
                <w:sz w:val="20"/>
                <w:szCs w:val="20"/>
              </w:rPr>
              <w:t>14.4%</w:t>
            </w:r>
          </w:p>
        </w:tc>
        <w:tc>
          <w:tcPr>
            <w:tcW w:w="1386" w:type="dxa"/>
            <w:shd w:val="clear" w:color="000000" w:fill="D2EAF1"/>
            <w:noWrap/>
            <w:vAlign w:val="center"/>
          </w:tcPr>
          <w:p w:rsidR="005C649A" w:rsidRPr="003458B1" w:rsidRDefault="005C649A" w:rsidP="004F0C61">
            <w:pPr>
              <w:jc w:val="center"/>
              <w:rPr>
                <w:b/>
                <w:bCs/>
                <w:color w:val="000000"/>
                <w:sz w:val="20"/>
                <w:szCs w:val="20"/>
              </w:rPr>
            </w:pPr>
            <w:r w:rsidRPr="003458B1">
              <w:rPr>
                <w:b/>
                <w:sz w:val="20"/>
                <w:szCs w:val="20"/>
              </w:rPr>
              <w:t>19.6%</w:t>
            </w:r>
          </w:p>
        </w:tc>
      </w:tr>
    </w:tbl>
    <w:p w:rsidR="005C649A" w:rsidRPr="004B56B4" w:rsidRDefault="005C649A" w:rsidP="005C649A"/>
    <w:p w:rsidR="005C649A" w:rsidRPr="003B2BD3" w:rsidRDefault="005C649A" w:rsidP="005C649A">
      <w:pPr>
        <w:pStyle w:val="AppendixAHeading4"/>
        <w:rPr>
          <w:rFonts w:eastAsia="Calibri"/>
        </w:rPr>
      </w:pPr>
      <w:bookmarkStart w:id="1076" w:name="_Ref408507963"/>
      <w:bookmarkStart w:id="1077" w:name="_Toc408557504"/>
      <w:r w:rsidRPr="003B2BD3">
        <w:rPr>
          <w:rFonts w:eastAsia="Calibri"/>
        </w:rPr>
        <w:t>Ride-Along Site Inspections</w:t>
      </w:r>
      <w:bookmarkEnd w:id="1076"/>
      <w:bookmarkEnd w:id="1077"/>
    </w:p>
    <w:p w:rsidR="005C649A" w:rsidRPr="003B2BD3" w:rsidRDefault="006F4CC7" w:rsidP="005C649A">
      <w:pPr>
        <w:spacing w:after="120"/>
      </w:pPr>
      <w:r>
        <w:fldChar w:fldCharType="begin"/>
      </w:r>
      <w:r>
        <w:instrText xml:space="preserve"> REF _Ref473720497 \h </w:instrText>
      </w:r>
      <w:r>
        <w:fldChar w:fldCharType="separate"/>
      </w:r>
      <w:r w:rsidR="00A874AC" w:rsidRPr="00F467C0">
        <w:t>Table A-</w:t>
      </w:r>
      <w:r w:rsidR="00A874AC">
        <w:rPr>
          <w:noProof/>
        </w:rPr>
        <w:t>99</w:t>
      </w:r>
      <w:r>
        <w:fldChar w:fldCharType="end"/>
      </w:r>
      <w:r>
        <w:t xml:space="preserve"> </w:t>
      </w:r>
      <w:r w:rsidR="005C649A" w:rsidRPr="00F467C0">
        <w:t>summarizes the</w:t>
      </w:r>
      <w:r w:rsidR="005C649A" w:rsidRPr="003B2BD3">
        <w:t xml:space="preserve"> SWE </w:t>
      </w:r>
      <w:r w:rsidR="005C649A" w:rsidRPr="003B2BD3">
        <w:rPr>
          <w:color w:val="000000"/>
        </w:rPr>
        <w:t>Team’s</w:t>
      </w:r>
      <w:r w:rsidR="005C649A" w:rsidRPr="003B2BD3">
        <w:t xml:space="preserve"> PY7 ride-along site inspections of West Penn’s non-residential project installations. </w:t>
      </w:r>
      <w:r w:rsidR="00B27FAB">
        <w:t>For PY7, all West Penn</w:t>
      </w:r>
      <w:r w:rsidR="00B27FAB" w:rsidRPr="003B2BD3">
        <w:t xml:space="preserve"> PY7 site inspection findings are categorized </w:t>
      </w:r>
      <w:r w:rsidR="00B27FAB">
        <w:t>as</w:t>
      </w:r>
      <w:r w:rsidR="005C649A" w:rsidRPr="003B2BD3">
        <w:t xml:space="preserve">: </w:t>
      </w:r>
    </w:p>
    <w:p w:rsidR="005C649A" w:rsidRPr="003B2BD3" w:rsidRDefault="005C649A" w:rsidP="00E646C9">
      <w:pPr>
        <w:numPr>
          <w:ilvl w:val="0"/>
          <w:numId w:val="38"/>
        </w:numPr>
        <w:autoSpaceDE w:val="0"/>
        <w:autoSpaceDN w:val="0"/>
        <w:adjustRightInd w:val="0"/>
        <w:ind w:left="360"/>
        <w:rPr>
          <w:rFonts w:cs="Calibri"/>
          <w:color w:val="000000"/>
          <w:szCs w:val="20"/>
        </w:rPr>
      </w:pPr>
      <w:r w:rsidRPr="003B2BD3">
        <w:rPr>
          <w:rFonts w:cs="Calibri"/>
          <w:color w:val="000000"/>
          <w:szCs w:val="20"/>
        </w:rPr>
        <w:t xml:space="preserve">Evaluation (Eval) findings are associated with ride-along site inspections and may reflect site activities or the evaluation contractor’s savings calculations or reports. </w:t>
      </w:r>
    </w:p>
    <w:p w:rsidR="00B27FAB" w:rsidRDefault="00B27FAB" w:rsidP="006F4CC7">
      <w:pPr>
        <w:pStyle w:val="Caption"/>
        <w:spacing w:after="0"/>
      </w:pPr>
      <w:bookmarkStart w:id="1078" w:name="_Ref472469352"/>
      <w:bookmarkStart w:id="1079" w:name="_Toc472472508"/>
    </w:p>
    <w:p w:rsidR="005C649A" w:rsidRPr="003B2BD3" w:rsidRDefault="00F467C0" w:rsidP="00F467C0">
      <w:pPr>
        <w:pStyle w:val="Caption"/>
        <w:rPr>
          <w:rFonts w:cs="Calibri"/>
          <w:color w:val="000000"/>
          <w:szCs w:val="20"/>
        </w:rPr>
      </w:pPr>
      <w:bookmarkStart w:id="1080" w:name="_Ref473720497"/>
      <w:bookmarkStart w:id="1081" w:name="_Toc476842214"/>
      <w:r w:rsidRPr="00F467C0">
        <w:t>Table A-</w:t>
      </w:r>
      <w:fldSimple w:instr=" SEQ Table_A- \* ARABIC ">
        <w:r w:rsidR="00C301D0">
          <w:rPr>
            <w:noProof/>
          </w:rPr>
          <w:t>99</w:t>
        </w:r>
      </w:fldSimple>
      <w:bookmarkEnd w:id="1078"/>
      <w:bookmarkEnd w:id="1080"/>
      <w:r w:rsidR="005C649A" w:rsidRPr="00F467C0">
        <w:rPr>
          <w:rFonts w:cs="Calibri"/>
          <w:color w:val="000000"/>
          <w:szCs w:val="20"/>
        </w:rPr>
        <w:t xml:space="preserve"> </w:t>
      </w:r>
      <w:r w:rsidRPr="00F467C0">
        <w:rPr>
          <w:rFonts w:cs="Calibri"/>
          <w:color w:val="000000"/>
          <w:szCs w:val="20"/>
        </w:rPr>
        <w:t xml:space="preserve">: West Penn </w:t>
      </w:r>
      <w:r w:rsidRPr="00F467C0">
        <w:rPr>
          <w:bCs w:val="0"/>
        </w:rPr>
        <w:t>PY7 Non-Residential Site Inspection Findings</w:t>
      </w:r>
      <w:bookmarkEnd w:id="1079"/>
      <w:bookmarkEnd w:id="1081"/>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160"/>
        <w:gridCol w:w="1260"/>
        <w:gridCol w:w="2312"/>
        <w:gridCol w:w="1170"/>
        <w:gridCol w:w="3448"/>
      </w:tblGrid>
      <w:tr w:rsidR="00A874AC" w:rsidRPr="004B56B4" w:rsidTr="006F4CC7">
        <w:trPr>
          <w:trHeight w:val="300"/>
          <w:tblHeader/>
        </w:trPr>
        <w:tc>
          <w:tcPr>
            <w:tcW w:w="1160" w:type="dxa"/>
            <w:shd w:val="clear" w:color="auto" w:fill="448A99"/>
            <w:noWrap/>
            <w:vAlign w:val="bottom"/>
            <w:hideMark/>
          </w:tcPr>
          <w:p w:rsidR="00F467C0" w:rsidRPr="004B56B4" w:rsidRDefault="00F467C0" w:rsidP="004F0C61">
            <w:pPr>
              <w:jc w:val="left"/>
              <w:rPr>
                <w:b/>
                <w:bCs/>
                <w:color w:val="FFFFFF"/>
                <w:sz w:val="20"/>
                <w:szCs w:val="20"/>
              </w:rPr>
            </w:pPr>
            <w:r w:rsidRPr="004B56B4">
              <w:rPr>
                <w:b/>
                <w:bCs/>
                <w:color w:val="FFFFFF"/>
                <w:sz w:val="20"/>
                <w:szCs w:val="20"/>
              </w:rPr>
              <w:t>Project ID</w:t>
            </w:r>
          </w:p>
        </w:tc>
        <w:tc>
          <w:tcPr>
            <w:tcW w:w="1260" w:type="dxa"/>
            <w:shd w:val="clear" w:color="auto" w:fill="448A99"/>
            <w:noWrap/>
            <w:vAlign w:val="bottom"/>
            <w:hideMark/>
          </w:tcPr>
          <w:p w:rsidR="00F467C0" w:rsidRPr="004B56B4" w:rsidRDefault="00F467C0" w:rsidP="004F0C61">
            <w:pPr>
              <w:jc w:val="center"/>
              <w:rPr>
                <w:b/>
                <w:bCs/>
                <w:color w:val="FFFFFF"/>
                <w:sz w:val="20"/>
                <w:szCs w:val="20"/>
              </w:rPr>
            </w:pPr>
            <w:r w:rsidRPr="004B56B4">
              <w:rPr>
                <w:b/>
                <w:bCs/>
                <w:color w:val="FFFFFF"/>
                <w:sz w:val="20"/>
                <w:szCs w:val="20"/>
              </w:rPr>
              <w:t>Technology</w:t>
            </w:r>
          </w:p>
        </w:tc>
        <w:tc>
          <w:tcPr>
            <w:tcW w:w="2312" w:type="dxa"/>
            <w:shd w:val="clear" w:color="auto" w:fill="448A99"/>
            <w:noWrap/>
            <w:vAlign w:val="bottom"/>
            <w:hideMark/>
          </w:tcPr>
          <w:p w:rsidR="00F467C0" w:rsidRPr="004B56B4" w:rsidRDefault="00F467C0" w:rsidP="004F0C61">
            <w:pPr>
              <w:jc w:val="center"/>
              <w:rPr>
                <w:b/>
                <w:bCs/>
                <w:color w:val="FFFFFF"/>
                <w:sz w:val="20"/>
                <w:szCs w:val="20"/>
              </w:rPr>
            </w:pPr>
            <w:r w:rsidRPr="004B56B4">
              <w:rPr>
                <w:b/>
                <w:bCs/>
                <w:color w:val="FFFFFF"/>
                <w:sz w:val="20"/>
                <w:szCs w:val="20"/>
              </w:rPr>
              <w:t>Finding</w:t>
            </w:r>
          </w:p>
        </w:tc>
        <w:tc>
          <w:tcPr>
            <w:tcW w:w="1170" w:type="dxa"/>
            <w:shd w:val="clear" w:color="auto" w:fill="448A99"/>
            <w:noWrap/>
            <w:vAlign w:val="bottom"/>
            <w:hideMark/>
          </w:tcPr>
          <w:p w:rsidR="00F467C0" w:rsidRPr="004B56B4" w:rsidRDefault="00F467C0" w:rsidP="004F0C61">
            <w:pPr>
              <w:jc w:val="center"/>
              <w:rPr>
                <w:b/>
                <w:bCs/>
                <w:color w:val="FFFFFF"/>
                <w:sz w:val="20"/>
                <w:szCs w:val="20"/>
              </w:rPr>
            </w:pPr>
            <w:r w:rsidRPr="004B56B4">
              <w:rPr>
                <w:b/>
                <w:bCs/>
                <w:color w:val="FFFFFF"/>
                <w:sz w:val="20"/>
                <w:szCs w:val="20"/>
              </w:rPr>
              <w:t>Finding Type</w:t>
            </w:r>
          </w:p>
        </w:tc>
        <w:tc>
          <w:tcPr>
            <w:tcW w:w="3448" w:type="dxa"/>
            <w:shd w:val="clear" w:color="auto" w:fill="448A99"/>
            <w:noWrap/>
            <w:vAlign w:val="bottom"/>
            <w:hideMark/>
          </w:tcPr>
          <w:p w:rsidR="00F467C0" w:rsidRPr="004B56B4" w:rsidRDefault="00F467C0" w:rsidP="004F0C61">
            <w:pPr>
              <w:jc w:val="center"/>
              <w:rPr>
                <w:b/>
                <w:bCs/>
                <w:color w:val="FFFFFF"/>
                <w:sz w:val="20"/>
                <w:szCs w:val="20"/>
              </w:rPr>
            </w:pPr>
            <w:r w:rsidRPr="004B56B4">
              <w:rPr>
                <w:b/>
                <w:bCs/>
                <w:color w:val="FFFFFF"/>
                <w:sz w:val="20"/>
                <w:szCs w:val="20"/>
              </w:rPr>
              <w:t>Resolution</w:t>
            </w:r>
          </w:p>
        </w:tc>
      </w:tr>
      <w:tr w:rsidR="00A874AC" w:rsidRPr="004B56B4" w:rsidTr="006F4CC7">
        <w:trPr>
          <w:trHeight w:val="300"/>
        </w:trPr>
        <w:tc>
          <w:tcPr>
            <w:tcW w:w="1160" w:type="dxa"/>
            <w:shd w:val="clear" w:color="auto" w:fill="D2EAF1"/>
            <w:noWrap/>
          </w:tcPr>
          <w:p w:rsidR="00F467C0" w:rsidRPr="008856BD" w:rsidRDefault="00F467C0" w:rsidP="004F0C61">
            <w:pPr>
              <w:jc w:val="left"/>
              <w:rPr>
                <w:sz w:val="20"/>
                <w:szCs w:val="20"/>
              </w:rPr>
            </w:pPr>
            <w:r w:rsidRPr="008856BD">
              <w:rPr>
                <w:sz w:val="20"/>
                <w:szCs w:val="20"/>
              </w:rPr>
              <w:t>PRJ-427502</w:t>
            </w:r>
          </w:p>
        </w:tc>
        <w:tc>
          <w:tcPr>
            <w:tcW w:w="1260" w:type="dxa"/>
            <w:shd w:val="clear" w:color="auto" w:fill="D2EAF1"/>
            <w:noWrap/>
          </w:tcPr>
          <w:p w:rsidR="00F467C0" w:rsidRPr="004B56B4" w:rsidRDefault="00F467C0" w:rsidP="004F0C61">
            <w:pPr>
              <w:jc w:val="center"/>
              <w:rPr>
                <w:color w:val="000000"/>
                <w:sz w:val="20"/>
                <w:szCs w:val="20"/>
              </w:rPr>
            </w:pPr>
            <w:r>
              <w:rPr>
                <w:color w:val="000000"/>
                <w:sz w:val="20"/>
                <w:szCs w:val="20"/>
              </w:rPr>
              <w:t>Lighting</w:t>
            </w:r>
          </w:p>
        </w:tc>
        <w:tc>
          <w:tcPr>
            <w:tcW w:w="2312" w:type="dxa"/>
            <w:shd w:val="clear" w:color="auto" w:fill="D2EAF1"/>
            <w:noWrap/>
          </w:tcPr>
          <w:p w:rsidR="00F467C0" w:rsidRPr="004B56B4" w:rsidRDefault="00F467C0" w:rsidP="004F0C61">
            <w:pPr>
              <w:jc w:val="center"/>
              <w:rPr>
                <w:color w:val="000000"/>
                <w:sz w:val="20"/>
                <w:szCs w:val="20"/>
              </w:rPr>
            </w:pPr>
            <w:r w:rsidRPr="00D80704">
              <w:rPr>
                <w:color w:val="000000"/>
                <w:sz w:val="20"/>
                <w:szCs w:val="20"/>
              </w:rPr>
              <w:t>Although the final verified savings is correct, the Appendix C calculator was not used in its original form.</w:t>
            </w:r>
          </w:p>
        </w:tc>
        <w:tc>
          <w:tcPr>
            <w:tcW w:w="1170" w:type="dxa"/>
            <w:shd w:val="clear" w:color="auto" w:fill="D2EAF1"/>
          </w:tcPr>
          <w:p w:rsidR="00F467C0" w:rsidRPr="004B56B4" w:rsidRDefault="00F467C0" w:rsidP="004F0C61">
            <w:pPr>
              <w:jc w:val="center"/>
              <w:rPr>
                <w:color w:val="000000"/>
                <w:sz w:val="20"/>
                <w:szCs w:val="20"/>
              </w:rPr>
            </w:pPr>
            <w:r>
              <w:rPr>
                <w:color w:val="000000"/>
                <w:sz w:val="20"/>
                <w:szCs w:val="20"/>
              </w:rPr>
              <w:t>Eval</w:t>
            </w:r>
          </w:p>
        </w:tc>
        <w:tc>
          <w:tcPr>
            <w:tcW w:w="3448" w:type="dxa"/>
            <w:shd w:val="clear" w:color="auto" w:fill="D2EAF1"/>
            <w:noWrap/>
          </w:tcPr>
          <w:p w:rsidR="00F467C0" w:rsidRPr="004B56B4" w:rsidRDefault="00F467C0" w:rsidP="004F0C61">
            <w:pPr>
              <w:jc w:val="center"/>
              <w:rPr>
                <w:color w:val="000000"/>
                <w:sz w:val="20"/>
                <w:szCs w:val="20"/>
              </w:rPr>
            </w:pPr>
            <w:r w:rsidRPr="00651E8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651E86">
              <w:rPr>
                <w:sz w:val="20"/>
                <w:szCs w:val="20"/>
              </w:rPr>
              <w:t>use only the Appendix C calculator for lighting projects moving forward.</w:t>
            </w:r>
          </w:p>
        </w:tc>
      </w:tr>
      <w:tr w:rsidR="00E7173E" w:rsidRPr="004B56B4" w:rsidTr="008F60E1">
        <w:trPr>
          <w:trHeight w:val="300"/>
        </w:trPr>
        <w:tc>
          <w:tcPr>
            <w:tcW w:w="1160" w:type="dxa"/>
            <w:shd w:val="clear" w:color="auto" w:fill="auto"/>
            <w:noWrap/>
          </w:tcPr>
          <w:p w:rsidR="00F467C0" w:rsidRPr="008856BD" w:rsidRDefault="00F467C0" w:rsidP="004F0C61">
            <w:pPr>
              <w:jc w:val="left"/>
              <w:rPr>
                <w:sz w:val="20"/>
                <w:szCs w:val="20"/>
              </w:rPr>
            </w:pPr>
            <w:r w:rsidRPr="008856BD">
              <w:rPr>
                <w:sz w:val="20"/>
                <w:szCs w:val="20"/>
              </w:rPr>
              <w:t>PRJ-424573</w:t>
            </w:r>
          </w:p>
        </w:tc>
        <w:tc>
          <w:tcPr>
            <w:tcW w:w="1260" w:type="dxa"/>
            <w:shd w:val="clear" w:color="auto" w:fill="auto"/>
            <w:noWrap/>
          </w:tcPr>
          <w:p w:rsidR="00F467C0" w:rsidRDefault="00F467C0" w:rsidP="004F0C61">
            <w:pPr>
              <w:jc w:val="center"/>
            </w:pPr>
            <w:r w:rsidRPr="007B3057">
              <w:rPr>
                <w:color w:val="000000"/>
                <w:sz w:val="20"/>
                <w:szCs w:val="20"/>
              </w:rPr>
              <w:t>Lighting</w:t>
            </w:r>
          </w:p>
        </w:tc>
        <w:tc>
          <w:tcPr>
            <w:tcW w:w="2312" w:type="dxa"/>
            <w:shd w:val="clear" w:color="auto" w:fill="auto"/>
            <w:noWrap/>
          </w:tcPr>
          <w:p w:rsidR="00F467C0" w:rsidRPr="004B56B4" w:rsidRDefault="00F467C0" w:rsidP="004F0C61">
            <w:pPr>
              <w:jc w:val="center"/>
              <w:rPr>
                <w:color w:val="000000"/>
                <w:sz w:val="20"/>
                <w:szCs w:val="20"/>
              </w:rPr>
            </w:pPr>
            <w:r w:rsidRPr="00D80704">
              <w:rPr>
                <w:color w:val="000000"/>
                <w:sz w:val="20"/>
                <w:szCs w:val="20"/>
              </w:rPr>
              <w:t>Although the final verified savings is correct, the Appendix C calculator was not used in its original form.</w:t>
            </w:r>
          </w:p>
        </w:tc>
        <w:tc>
          <w:tcPr>
            <w:tcW w:w="1170" w:type="dxa"/>
            <w:shd w:val="clear" w:color="auto" w:fill="auto"/>
            <w:noWrap/>
          </w:tcPr>
          <w:p w:rsidR="00F467C0" w:rsidRDefault="00F467C0" w:rsidP="004F0C61">
            <w:pPr>
              <w:jc w:val="center"/>
            </w:pPr>
            <w:r w:rsidRPr="009149FA">
              <w:rPr>
                <w:color w:val="000000"/>
                <w:sz w:val="20"/>
                <w:szCs w:val="20"/>
              </w:rPr>
              <w:t>Eval</w:t>
            </w:r>
          </w:p>
        </w:tc>
        <w:tc>
          <w:tcPr>
            <w:tcW w:w="3448" w:type="dxa"/>
            <w:shd w:val="clear" w:color="auto" w:fill="auto"/>
            <w:noWrap/>
          </w:tcPr>
          <w:p w:rsidR="00F467C0" w:rsidRDefault="00F467C0" w:rsidP="004F0C61">
            <w:pPr>
              <w:jc w:val="center"/>
            </w:pPr>
            <w:r w:rsidRPr="0015364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153646">
              <w:rPr>
                <w:sz w:val="20"/>
                <w:szCs w:val="20"/>
              </w:rPr>
              <w:t>use only the Appendix C calculator for lighting projects moving forward.</w:t>
            </w:r>
          </w:p>
        </w:tc>
      </w:tr>
      <w:tr w:rsidR="00A874AC" w:rsidRPr="004B56B4" w:rsidTr="006F4CC7">
        <w:trPr>
          <w:trHeight w:val="300"/>
        </w:trPr>
        <w:tc>
          <w:tcPr>
            <w:tcW w:w="1160" w:type="dxa"/>
            <w:shd w:val="clear" w:color="auto" w:fill="D2EAF1"/>
            <w:noWrap/>
          </w:tcPr>
          <w:p w:rsidR="00F467C0" w:rsidRPr="008856BD" w:rsidRDefault="00F467C0" w:rsidP="004F0C61">
            <w:pPr>
              <w:jc w:val="left"/>
              <w:rPr>
                <w:sz w:val="20"/>
                <w:szCs w:val="20"/>
              </w:rPr>
            </w:pPr>
            <w:r w:rsidRPr="008856BD">
              <w:rPr>
                <w:sz w:val="20"/>
                <w:szCs w:val="20"/>
              </w:rPr>
              <w:t>PRJ-412295</w:t>
            </w:r>
          </w:p>
        </w:tc>
        <w:tc>
          <w:tcPr>
            <w:tcW w:w="1260" w:type="dxa"/>
            <w:shd w:val="clear" w:color="auto" w:fill="D2EAF1"/>
            <w:noWrap/>
          </w:tcPr>
          <w:p w:rsidR="00F467C0" w:rsidRDefault="00F467C0" w:rsidP="004F0C61">
            <w:pPr>
              <w:jc w:val="center"/>
            </w:pPr>
            <w:r w:rsidRPr="007B3057">
              <w:rPr>
                <w:color w:val="000000"/>
                <w:sz w:val="20"/>
                <w:szCs w:val="20"/>
              </w:rPr>
              <w:t>Lighting</w:t>
            </w:r>
          </w:p>
        </w:tc>
        <w:tc>
          <w:tcPr>
            <w:tcW w:w="2312" w:type="dxa"/>
            <w:shd w:val="clear" w:color="auto" w:fill="D2EAF1"/>
            <w:noWrap/>
          </w:tcPr>
          <w:p w:rsidR="00F467C0" w:rsidRPr="004B56B4" w:rsidRDefault="00F467C0" w:rsidP="004F0C61">
            <w:pPr>
              <w:jc w:val="center"/>
              <w:rPr>
                <w:color w:val="000000"/>
                <w:sz w:val="20"/>
                <w:szCs w:val="20"/>
              </w:rPr>
            </w:pPr>
            <w:r>
              <w:rPr>
                <w:color w:val="000000"/>
                <w:sz w:val="20"/>
                <w:szCs w:val="20"/>
              </w:rPr>
              <w:t>Minor discrepancies in the fixture count were noted.</w:t>
            </w:r>
          </w:p>
        </w:tc>
        <w:tc>
          <w:tcPr>
            <w:tcW w:w="1170" w:type="dxa"/>
            <w:shd w:val="clear" w:color="auto" w:fill="D2EAF1"/>
            <w:noWrap/>
          </w:tcPr>
          <w:p w:rsidR="00F467C0" w:rsidRDefault="00F467C0" w:rsidP="004F0C61">
            <w:pPr>
              <w:jc w:val="center"/>
            </w:pPr>
            <w:r w:rsidRPr="009149FA">
              <w:rPr>
                <w:color w:val="000000"/>
                <w:sz w:val="20"/>
                <w:szCs w:val="20"/>
              </w:rPr>
              <w:t>Eval</w:t>
            </w:r>
          </w:p>
        </w:tc>
        <w:tc>
          <w:tcPr>
            <w:tcW w:w="3448" w:type="dxa"/>
            <w:shd w:val="clear" w:color="auto" w:fill="D2EAF1"/>
            <w:noWrap/>
          </w:tcPr>
          <w:p w:rsidR="00F467C0" w:rsidRDefault="00F467C0" w:rsidP="004F0C61">
            <w:pPr>
              <w:jc w:val="center"/>
            </w:pPr>
            <w:r w:rsidRPr="0015364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153646">
              <w:rPr>
                <w:sz w:val="20"/>
                <w:szCs w:val="20"/>
              </w:rPr>
              <w:t>use only the Appendix C calculator for lighting projects moving forward.</w:t>
            </w:r>
          </w:p>
        </w:tc>
      </w:tr>
      <w:tr w:rsidR="00E7173E" w:rsidRPr="004B56B4" w:rsidTr="008F60E1">
        <w:trPr>
          <w:trHeight w:val="300"/>
        </w:trPr>
        <w:tc>
          <w:tcPr>
            <w:tcW w:w="1160" w:type="dxa"/>
            <w:shd w:val="clear" w:color="auto" w:fill="auto"/>
            <w:noWrap/>
          </w:tcPr>
          <w:p w:rsidR="00F467C0" w:rsidRPr="008856BD" w:rsidRDefault="00F467C0" w:rsidP="004F0C61">
            <w:pPr>
              <w:jc w:val="left"/>
              <w:rPr>
                <w:sz w:val="20"/>
                <w:szCs w:val="20"/>
              </w:rPr>
            </w:pPr>
            <w:r w:rsidRPr="008856BD">
              <w:rPr>
                <w:sz w:val="20"/>
                <w:szCs w:val="20"/>
              </w:rPr>
              <w:t>PRJ-331545</w:t>
            </w:r>
          </w:p>
        </w:tc>
        <w:tc>
          <w:tcPr>
            <w:tcW w:w="1260" w:type="dxa"/>
            <w:shd w:val="clear" w:color="auto" w:fill="auto"/>
            <w:noWrap/>
          </w:tcPr>
          <w:p w:rsidR="00F467C0" w:rsidRDefault="00F467C0" w:rsidP="004F0C61">
            <w:pPr>
              <w:jc w:val="center"/>
            </w:pPr>
            <w:r w:rsidRPr="007B3057">
              <w:rPr>
                <w:color w:val="000000"/>
                <w:sz w:val="20"/>
                <w:szCs w:val="20"/>
              </w:rPr>
              <w:t>Lighting</w:t>
            </w:r>
          </w:p>
        </w:tc>
        <w:tc>
          <w:tcPr>
            <w:tcW w:w="2312" w:type="dxa"/>
            <w:shd w:val="clear" w:color="auto" w:fill="auto"/>
            <w:noWrap/>
          </w:tcPr>
          <w:p w:rsidR="00F467C0" w:rsidRPr="004B56B4" w:rsidRDefault="00F467C0" w:rsidP="004F0C61">
            <w:pPr>
              <w:jc w:val="center"/>
              <w:rPr>
                <w:color w:val="000000"/>
                <w:sz w:val="20"/>
                <w:szCs w:val="20"/>
              </w:rPr>
            </w:pPr>
            <w:r w:rsidRPr="00D80704">
              <w:rPr>
                <w:color w:val="000000"/>
                <w:sz w:val="20"/>
                <w:szCs w:val="20"/>
              </w:rPr>
              <w:t>Although the final verified savings is correct, the Appendix C calculator was not used in its original form.</w:t>
            </w:r>
          </w:p>
        </w:tc>
        <w:tc>
          <w:tcPr>
            <w:tcW w:w="1170" w:type="dxa"/>
            <w:shd w:val="clear" w:color="auto" w:fill="auto"/>
            <w:noWrap/>
          </w:tcPr>
          <w:p w:rsidR="00F467C0" w:rsidRDefault="00F467C0" w:rsidP="004F0C61">
            <w:pPr>
              <w:jc w:val="center"/>
            </w:pPr>
            <w:r w:rsidRPr="009149FA">
              <w:rPr>
                <w:color w:val="000000"/>
                <w:sz w:val="20"/>
                <w:szCs w:val="20"/>
              </w:rPr>
              <w:t>Eval</w:t>
            </w:r>
          </w:p>
        </w:tc>
        <w:tc>
          <w:tcPr>
            <w:tcW w:w="3448" w:type="dxa"/>
            <w:shd w:val="clear" w:color="auto" w:fill="auto"/>
            <w:noWrap/>
          </w:tcPr>
          <w:p w:rsidR="00F467C0" w:rsidRDefault="00F467C0" w:rsidP="004F0C61">
            <w:pPr>
              <w:jc w:val="center"/>
            </w:pPr>
            <w:r w:rsidRPr="0015364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153646">
              <w:rPr>
                <w:sz w:val="20"/>
                <w:szCs w:val="20"/>
              </w:rPr>
              <w:t>use only the Appendix C calculator for lighting projects moving forward.</w:t>
            </w:r>
          </w:p>
        </w:tc>
      </w:tr>
      <w:tr w:rsidR="00A874AC" w:rsidRPr="004B56B4" w:rsidTr="006F4CC7">
        <w:trPr>
          <w:trHeight w:val="300"/>
        </w:trPr>
        <w:tc>
          <w:tcPr>
            <w:tcW w:w="1160" w:type="dxa"/>
            <w:shd w:val="clear" w:color="auto" w:fill="D2EAF1"/>
            <w:noWrap/>
          </w:tcPr>
          <w:p w:rsidR="00F467C0" w:rsidRPr="008856BD" w:rsidRDefault="00F467C0" w:rsidP="004F0C61">
            <w:pPr>
              <w:jc w:val="left"/>
              <w:rPr>
                <w:sz w:val="20"/>
                <w:szCs w:val="20"/>
              </w:rPr>
            </w:pPr>
            <w:r w:rsidRPr="008856BD">
              <w:rPr>
                <w:sz w:val="20"/>
                <w:szCs w:val="20"/>
              </w:rPr>
              <w:t>PRJ-383035</w:t>
            </w:r>
          </w:p>
        </w:tc>
        <w:tc>
          <w:tcPr>
            <w:tcW w:w="1260" w:type="dxa"/>
            <w:shd w:val="clear" w:color="auto" w:fill="D2EAF1"/>
            <w:noWrap/>
          </w:tcPr>
          <w:p w:rsidR="00F467C0" w:rsidRDefault="00F467C0" w:rsidP="004F0C61">
            <w:pPr>
              <w:jc w:val="center"/>
            </w:pPr>
            <w:r w:rsidRPr="007B3057">
              <w:rPr>
                <w:color w:val="000000"/>
                <w:sz w:val="20"/>
                <w:szCs w:val="20"/>
              </w:rPr>
              <w:t>Lighting</w:t>
            </w:r>
          </w:p>
        </w:tc>
        <w:tc>
          <w:tcPr>
            <w:tcW w:w="2312" w:type="dxa"/>
            <w:shd w:val="clear" w:color="auto" w:fill="D2EAF1"/>
            <w:noWrap/>
          </w:tcPr>
          <w:p w:rsidR="00F467C0" w:rsidRPr="004B56B4" w:rsidRDefault="00F467C0" w:rsidP="004F0C61">
            <w:pPr>
              <w:jc w:val="center"/>
              <w:rPr>
                <w:color w:val="000000"/>
                <w:sz w:val="20"/>
                <w:szCs w:val="20"/>
              </w:rPr>
            </w:pPr>
            <w:r>
              <w:rPr>
                <w:color w:val="000000"/>
                <w:sz w:val="20"/>
                <w:szCs w:val="20"/>
              </w:rPr>
              <w:t>Minor discrepancies in the fixture count and wattages were noted.</w:t>
            </w:r>
          </w:p>
        </w:tc>
        <w:tc>
          <w:tcPr>
            <w:tcW w:w="1170" w:type="dxa"/>
            <w:shd w:val="clear" w:color="auto" w:fill="D2EAF1"/>
          </w:tcPr>
          <w:p w:rsidR="00F467C0" w:rsidRDefault="00F467C0" w:rsidP="004F0C61">
            <w:pPr>
              <w:jc w:val="center"/>
            </w:pPr>
            <w:r w:rsidRPr="009149FA">
              <w:rPr>
                <w:color w:val="000000"/>
                <w:sz w:val="20"/>
                <w:szCs w:val="20"/>
              </w:rPr>
              <w:t>Eval</w:t>
            </w:r>
          </w:p>
        </w:tc>
        <w:tc>
          <w:tcPr>
            <w:tcW w:w="3448" w:type="dxa"/>
            <w:shd w:val="clear" w:color="auto" w:fill="D2EAF1"/>
            <w:noWrap/>
          </w:tcPr>
          <w:p w:rsidR="00F467C0" w:rsidRDefault="00F467C0" w:rsidP="004F0C61">
            <w:pPr>
              <w:jc w:val="center"/>
            </w:pPr>
            <w:r w:rsidRPr="0015364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153646">
              <w:rPr>
                <w:sz w:val="20"/>
                <w:szCs w:val="20"/>
              </w:rPr>
              <w:t>use only the Appendix C calculator for lighting projects moving forward.</w:t>
            </w:r>
          </w:p>
        </w:tc>
      </w:tr>
      <w:tr w:rsidR="00E7173E" w:rsidRPr="004B56B4" w:rsidTr="008F60E1">
        <w:trPr>
          <w:trHeight w:val="300"/>
        </w:trPr>
        <w:tc>
          <w:tcPr>
            <w:tcW w:w="1160" w:type="dxa"/>
            <w:shd w:val="clear" w:color="auto" w:fill="auto"/>
            <w:noWrap/>
          </w:tcPr>
          <w:p w:rsidR="00F467C0" w:rsidRPr="008856BD" w:rsidRDefault="00F467C0" w:rsidP="004F0C61">
            <w:pPr>
              <w:jc w:val="left"/>
              <w:rPr>
                <w:sz w:val="20"/>
                <w:szCs w:val="20"/>
              </w:rPr>
            </w:pPr>
            <w:r w:rsidRPr="008856BD">
              <w:rPr>
                <w:sz w:val="20"/>
                <w:szCs w:val="20"/>
              </w:rPr>
              <w:t>PRJ-384530</w:t>
            </w:r>
          </w:p>
        </w:tc>
        <w:tc>
          <w:tcPr>
            <w:tcW w:w="1260" w:type="dxa"/>
            <w:shd w:val="clear" w:color="auto" w:fill="auto"/>
            <w:noWrap/>
          </w:tcPr>
          <w:p w:rsidR="00F467C0" w:rsidRDefault="00F467C0" w:rsidP="004F0C61">
            <w:pPr>
              <w:jc w:val="center"/>
            </w:pPr>
            <w:r w:rsidRPr="007B3057">
              <w:rPr>
                <w:color w:val="000000"/>
                <w:sz w:val="20"/>
                <w:szCs w:val="20"/>
              </w:rPr>
              <w:t>Lighting</w:t>
            </w:r>
          </w:p>
        </w:tc>
        <w:tc>
          <w:tcPr>
            <w:tcW w:w="2312" w:type="dxa"/>
            <w:shd w:val="clear" w:color="auto" w:fill="auto"/>
            <w:noWrap/>
          </w:tcPr>
          <w:p w:rsidR="00F467C0" w:rsidRPr="004B56B4" w:rsidRDefault="00F467C0" w:rsidP="004F0C61">
            <w:pPr>
              <w:jc w:val="center"/>
              <w:rPr>
                <w:color w:val="000000"/>
                <w:sz w:val="20"/>
                <w:szCs w:val="20"/>
              </w:rPr>
            </w:pPr>
            <w:r w:rsidRPr="00D80704">
              <w:rPr>
                <w:color w:val="000000"/>
                <w:sz w:val="20"/>
                <w:szCs w:val="20"/>
              </w:rPr>
              <w:t>Although the final verified savings is correct, the Appendix C calculator was not used in its original form.</w:t>
            </w:r>
          </w:p>
        </w:tc>
        <w:tc>
          <w:tcPr>
            <w:tcW w:w="1170" w:type="dxa"/>
            <w:shd w:val="clear" w:color="auto" w:fill="auto"/>
          </w:tcPr>
          <w:p w:rsidR="00F467C0" w:rsidRDefault="00F467C0" w:rsidP="004F0C61">
            <w:pPr>
              <w:jc w:val="center"/>
            </w:pPr>
            <w:r w:rsidRPr="009149FA">
              <w:rPr>
                <w:color w:val="000000"/>
                <w:sz w:val="20"/>
                <w:szCs w:val="20"/>
              </w:rPr>
              <w:t>Eval</w:t>
            </w:r>
          </w:p>
        </w:tc>
        <w:tc>
          <w:tcPr>
            <w:tcW w:w="3448" w:type="dxa"/>
            <w:shd w:val="clear" w:color="auto" w:fill="auto"/>
            <w:noWrap/>
          </w:tcPr>
          <w:p w:rsidR="00F467C0" w:rsidRDefault="00F467C0" w:rsidP="004F0C61">
            <w:pPr>
              <w:jc w:val="center"/>
            </w:pPr>
            <w:r w:rsidRPr="0015364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153646">
              <w:rPr>
                <w:sz w:val="20"/>
                <w:szCs w:val="20"/>
              </w:rPr>
              <w:t>use only the Appendix C calculator for lighting projects moving forward.</w:t>
            </w:r>
          </w:p>
        </w:tc>
      </w:tr>
      <w:tr w:rsidR="00A874AC" w:rsidRPr="004B56B4" w:rsidTr="006F4CC7">
        <w:trPr>
          <w:trHeight w:val="300"/>
        </w:trPr>
        <w:tc>
          <w:tcPr>
            <w:tcW w:w="1160" w:type="dxa"/>
            <w:shd w:val="clear" w:color="auto" w:fill="D2EAF1"/>
            <w:noWrap/>
          </w:tcPr>
          <w:p w:rsidR="00F467C0" w:rsidRPr="008856BD" w:rsidRDefault="00F467C0" w:rsidP="004F0C61">
            <w:pPr>
              <w:jc w:val="left"/>
              <w:rPr>
                <w:sz w:val="20"/>
                <w:szCs w:val="20"/>
              </w:rPr>
            </w:pPr>
            <w:r w:rsidRPr="008856BD">
              <w:rPr>
                <w:sz w:val="20"/>
                <w:szCs w:val="20"/>
              </w:rPr>
              <w:t>PRJ-378994</w:t>
            </w:r>
          </w:p>
        </w:tc>
        <w:tc>
          <w:tcPr>
            <w:tcW w:w="1260" w:type="dxa"/>
            <w:shd w:val="clear" w:color="auto" w:fill="D2EAF1"/>
            <w:noWrap/>
          </w:tcPr>
          <w:p w:rsidR="00F467C0" w:rsidRDefault="00F467C0" w:rsidP="004F0C61">
            <w:pPr>
              <w:jc w:val="center"/>
            </w:pPr>
            <w:r w:rsidRPr="007B3057">
              <w:rPr>
                <w:color w:val="000000"/>
                <w:sz w:val="20"/>
                <w:szCs w:val="20"/>
              </w:rPr>
              <w:t>Lighting</w:t>
            </w:r>
          </w:p>
        </w:tc>
        <w:tc>
          <w:tcPr>
            <w:tcW w:w="2312" w:type="dxa"/>
            <w:shd w:val="clear" w:color="auto" w:fill="D2EAF1"/>
            <w:noWrap/>
          </w:tcPr>
          <w:p w:rsidR="00F467C0" w:rsidRPr="004B56B4" w:rsidRDefault="00F467C0" w:rsidP="004F0C61">
            <w:pPr>
              <w:jc w:val="center"/>
              <w:rPr>
                <w:color w:val="000000"/>
                <w:sz w:val="20"/>
                <w:szCs w:val="20"/>
              </w:rPr>
            </w:pPr>
            <w:r>
              <w:rPr>
                <w:color w:val="000000"/>
                <w:sz w:val="20"/>
                <w:szCs w:val="20"/>
              </w:rPr>
              <w:t>Minor discrepancies in the fixture count were noted.</w:t>
            </w:r>
          </w:p>
        </w:tc>
        <w:tc>
          <w:tcPr>
            <w:tcW w:w="1170" w:type="dxa"/>
            <w:shd w:val="clear" w:color="auto" w:fill="D2EAF1"/>
            <w:noWrap/>
          </w:tcPr>
          <w:p w:rsidR="00F467C0" w:rsidRDefault="00F467C0" w:rsidP="004F0C61">
            <w:pPr>
              <w:jc w:val="center"/>
            </w:pPr>
            <w:r w:rsidRPr="009149FA">
              <w:rPr>
                <w:color w:val="000000"/>
                <w:sz w:val="20"/>
                <w:szCs w:val="20"/>
              </w:rPr>
              <w:t>Eval</w:t>
            </w:r>
          </w:p>
        </w:tc>
        <w:tc>
          <w:tcPr>
            <w:tcW w:w="3448" w:type="dxa"/>
            <w:shd w:val="clear" w:color="auto" w:fill="D2EAF1"/>
            <w:noWrap/>
          </w:tcPr>
          <w:p w:rsidR="00F467C0" w:rsidRDefault="00F467C0" w:rsidP="004F0C61">
            <w:pPr>
              <w:jc w:val="center"/>
            </w:pPr>
            <w:r w:rsidRPr="0015364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153646">
              <w:rPr>
                <w:sz w:val="20"/>
                <w:szCs w:val="20"/>
              </w:rPr>
              <w:t>use only the Appendix C calculator for lighting projects moving forward.</w:t>
            </w:r>
          </w:p>
        </w:tc>
      </w:tr>
      <w:tr w:rsidR="00E7173E" w:rsidRPr="004B56B4" w:rsidTr="008F60E1">
        <w:trPr>
          <w:trHeight w:val="300"/>
        </w:trPr>
        <w:tc>
          <w:tcPr>
            <w:tcW w:w="1160" w:type="dxa"/>
            <w:shd w:val="clear" w:color="auto" w:fill="auto"/>
            <w:noWrap/>
          </w:tcPr>
          <w:p w:rsidR="00F467C0" w:rsidRPr="008856BD" w:rsidRDefault="00F467C0" w:rsidP="004F0C61">
            <w:pPr>
              <w:jc w:val="left"/>
              <w:rPr>
                <w:sz w:val="20"/>
                <w:szCs w:val="20"/>
              </w:rPr>
            </w:pPr>
            <w:r w:rsidRPr="008856BD">
              <w:rPr>
                <w:sz w:val="20"/>
                <w:szCs w:val="20"/>
              </w:rPr>
              <w:t>PRJ-388066</w:t>
            </w:r>
          </w:p>
        </w:tc>
        <w:tc>
          <w:tcPr>
            <w:tcW w:w="1260" w:type="dxa"/>
            <w:shd w:val="clear" w:color="auto" w:fill="auto"/>
            <w:noWrap/>
          </w:tcPr>
          <w:p w:rsidR="00F467C0" w:rsidRDefault="00F467C0" w:rsidP="004F0C61">
            <w:pPr>
              <w:jc w:val="center"/>
            </w:pPr>
            <w:r w:rsidRPr="007B3057">
              <w:rPr>
                <w:color w:val="000000"/>
                <w:sz w:val="20"/>
                <w:szCs w:val="20"/>
              </w:rPr>
              <w:t>Lighting</w:t>
            </w:r>
          </w:p>
        </w:tc>
        <w:tc>
          <w:tcPr>
            <w:tcW w:w="2312" w:type="dxa"/>
            <w:shd w:val="clear" w:color="auto" w:fill="auto"/>
            <w:noWrap/>
          </w:tcPr>
          <w:p w:rsidR="00F467C0" w:rsidRPr="004B56B4" w:rsidRDefault="00F467C0" w:rsidP="004F0C61">
            <w:pPr>
              <w:jc w:val="center"/>
              <w:rPr>
                <w:color w:val="000000"/>
                <w:sz w:val="20"/>
                <w:szCs w:val="20"/>
              </w:rPr>
            </w:pPr>
            <w:r w:rsidRPr="00D80704">
              <w:rPr>
                <w:color w:val="000000"/>
                <w:sz w:val="20"/>
                <w:szCs w:val="20"/>
              </w:rPr>
              <w:t>Although the final verified savings is correct, the Appendix C calculator was not used in its original form.</w:t>
            </w:r>
          </w:p>
        </w:tc>
        <w:tc>
          <w:tcPr>
            <w:tcW w:w="1170" w:type="dxa"/>
            <w:shd w:val="clear" w:color="auto" w:fill="auto"/>
            <w:noWrap/>
          </w:tcPr>
          <w:p w:rsidR="00F467C0" w:rsidRDefault="00F467C0" w:rsidP="004F0C61">
            <w:pPr>
              <w:jc w:val="center"/>
            </w:pPr>
            <w:r w:rsidRPr="009149FA">
              <w:rPr>
                <w:color w:val="000000"/>
                <w:sz w:val="20"/>
                <w:szCs w:val="20"/>
              </w:rPr>
              <w:t>Eval</w:t>
            </w:r>
          </w:p>
        </w:tc>
        <w:tc>
          <w:tcPr>
            <w:tcW w:w="3448" w:type="dxa"/>
            <w:shd w:val="clear" w:color="auto" w:fill="auto"/>
            <w:noWrap/>
          </w:tcPr>
          <w:p w:rsidR="00F467C0" w:rsidRDefault="00F467C0" w:rsidP="004F0C61">
            <w:pPr>
              <w:jc w:val="center"/>
            </w:pPr>
            <w:r w:rsidRPr="0015364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153646">
              <w:rPr>
                <w:sz w:val="20"/>
                <w:szCs w:val="20"/>
              </w:rPr>
              <w:t>use only the Appendix C calculator for lighting projects moving forward.</w:t>
            </w:r>
          </w:p>
        </w:tc>
      </w:tr>
      <w:tr w:rsidR="00A874AC" w:rsidRPr="004B56B4" w:rsidTr="006F4CC7">
        <w:trPr>
          <w:trHeight w:val="300"/>
        </w:trPr>
        <w:tc>
          <w:tcPr>
            <w:tcW w:w="1160" w:type="dxa"/>
            <w:shd w:val="clear" w:color="auto" w:fill="D2EAF1"/>
            <w:noWrap/>
          </w:tcPr>
          <w:p w:rsidR="00F467C0" w:rsidRPr="008856BD" w:rsidRDefault="00F467C0" w:rsidP="004F0C61">
            <w:pPr>
              <w:jc w:val="left"/>
              <w:rPr>
                <w:sz w:val="20"/>
                <w:szCs w:val="20"/>
              </w:rPr>
            </w:pPr>
            <w:r w:rsidRPr="008856BD">
              <w:rPr>
                <w:sz w:val="20"/>
                <w:szCs w:val="20"/>
              </w:rPr>
              <w:t>PRJ-387812</w:t>
            </w:r>
          </w:p>
        </w:tc>
        <w:tc>
          <w:tcPr>
            <w:tcW w:w="1260" w:type="dxa"/>
            <w:shd w:val="clear" w:color="auto" w:fill="D2EAF1"/>
            <w:noWrap/>
          </w:tcPr>
          <w:p w:rsidR="00F467C0" w:rsidRDefault="00F467C0" w:rsidP="004F0C61">
            <w:pPr>
              <w:jc w:val="center"/>
            </w:pPr>
            <w:r w:rsidRPr="007B3057">
              <w:rPr>
                <w:color w:val="000000"/>
                <w:sz w:val="20"/>
                <w:szCs w:val="20"/>
              </w:rPr>
              <w:t>Lighting</w:t>
            </w:r>
          </w:p>
        </w:tc>
        <w:tc>
          <w:tcPr>
            <w:tcW w:w="2312" w:type="dxa"/>
            <w:shd w:val="clear" w:color="auto" w:fill="D2EAF1"/>
            <w:noWrap/>
          </w:tcPr>
          <w:p w:rsidR="00F467C0" w:rsidRPr="004B56B4" w:rsidRDefault="00F467C0" w:rsidP="004F0C61">
            <w:pPr>
              <w:jc w:val="center"/>
              <w:rPr>
                <w:sz w:val="20"/>
                <w:szCs w:val="20"/>
              </w:rPr>
            </w:pPr>
            <w:r w:rsidRPr="00D80704">
              <w:rPr>
                <w:sz w:val="20"/>
                <w:szCs w:val="20"/>
              </w:rPr>
              <w:t>Although the final verified savings is correct, the Appendix C calculator was not used in its original form.</w:t>
            </w:r>
          </w:p>
        </w:tc>
        <w:tc>
          <w:tcPr>
            <w:tcW w:w="1170" w:type="dxa"/>
            <w:shd w:val="clear" w:color="auto" w:fill="D2EAF1"/>
            <w:noWrap/>
          </w:tcPr>
          <w:p w:rsidR="00F467C0" w:rsidRDefault="00F467C0" w:rsidP="004F0C61">
            <w:pPr>
              <w:jc w:val="center"/>
            </w:pPr>
            <w:r w:rsidRPr="009149FA">
              <w:rPr>
                <w:color w:val="000000"/>
                <w:sz w:val="20"/>
                <w:szCs w:val="20"/>
              </w:rPr>
              <w:t>Eval</w:t>
            </w:r>
          </w:p>
        </w:tc>
        <w:tc>
          <w:tcPr>
            <w:tcW w:w="3448" w:type="dxa"/>
            <w:shd w:val="clear" w:color="auto" w:fill="D2EAF1"/>
            <w:noWrap/>
          </w:tcPr>
          <w:p w:rsidR="00F467C0" w:rsidRDefault="00F467C0" w:rsidP="004F0C61">
            <w:pPr>
              <w:jc w:val="center"/>
            </w:pPr>
            <w:r w:rsidRPr="0015364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153646">
              <w:rPr>
                <w:sz w:val="20"/>
                <w:szCs w:val="20"/>
              </w:rPr>
              <w:t>use only the Appendix C calculator for lighting projects moving forward.</w:t>
            </w:r>
          </w:p>
        </w:tc>
      </w:tr>
      <w:tr w:rsidR="00E7173E" w:rsidRPr="004B56B4" w:rsidTr="008F60E1">
        <w:trPr>
          <w:trHeight w:val="300"/>
        </w:trPr>
        <w:tc>
          <w:tcPr>
            <w:tcW w:w="1160" w:type="dxa"/>
            <w:shd w:val="clear" w:color="auto" w:fill="auto"/>
            <w:noWrap/>
          </w:tcPr>
          <w:p w:rsidR="00F467C0" w:rsidRPr="008856BD" w:rsidRDefault="00F467C0" w:rsidP="004F0C61">
            <w:pPr>
              <w:jc w:val="left"/>
              <w:rPr>
                <w:sz w:val="20"/>
                <w:szCs w:val="20"/>
              </w:rPr>
            </w:pPr>
            <w:r w:rsidRPr="008856BD">
              <w:rPr>
                <w:sz w:val="20"/>
                <w:szCs w:val="20"/>
              </w:rPr>
              <w:t>PRJ-387842</w:t>
            </w:r>
          </w:p>
        </w:tc>
        <w:tc>
          <w:tcPr>
            <w:tcW w:w="1260" w:type="dxa"/>
            <w:shd w:val="clear" w:color="auto" w:fill="auto"/>
            <w:noWrap/>
          </w:tcPr>
          <w:p w:rsidR="00F467C0" w:rsidRDefault="00F467C0" w:rsidP="004F0C61">
            <w:pPr>
              <w:jc w:val="center"/>
            </w:pPr>
            <w:r w:rsidRPr="007B3057">
              <w:rPr>
                <w:color w:val="000000"/>
                <w:sz w:val="20"/>
                <w:szCs w:val="20"/>
              </w:rPr>
              <w:t>Lighting</w:t>
            </w:r>
          </w:p>
        </w:tc>
        <w:tc>
          <w:tcPr>
            <w:tcW w:w="2312" w:type="dxa"/>
            <w:shd w:val="clear" w:color="auto" w:fill="auto"/>
            <w:noWrap/>
          </w:tcPr>
          <w:p w:rsidR="00F467C0" w:rsidRPr="004B56B4" w:rsidRDefault="00F467C0" w:rsidP="004F0C61">
            <w:pPr>
              <w:jc w:val="center"/>
              <w:rPr>
                <w:sz w:val="20"/>
                <w:szCs w:val="20"/>
              </w:rPr>
            </w:pPr>
            <w:r w:rsidRPr="00D80704">
              <w:rPr>
                <w:sz w:val="20"/>
                <w:szCs w:val="20"/>
              </w:rPr>
              <w:t>Although the final verified savings is correct, the Appendix C calculator was not used in its original form.</w:t>
            </w:r>
          </w:p>
        </w:tc>
        <w:tc>
          <w:tcPr>
            <w:tcW w:w="1170" w:type="dxa"/>
            <w:shd w:val="clear" w:color="auto" w:fill="auto"/>
            <w:noWrap/>
          </w:tcPr>
          <w:p w:rsidR="00F467C0" w:rsidRDefault="00F467C0" w:rsidP="004F0C61">
            <w:pPr>
              <w:jc w:val="center"/>
            </w:pPr>
            <w:r w:rsidRPr="009149FA">
              <w:rPr>
                <w:color w:val="000000"/>
                <w:sz w:val="20"/>
                <w:szCs w:val="20"/>
              </w:rPr>
              <w:t>Eval</w:t>
            </w:r>
          </w:p>
        </w:tc>
        <w:tc>
          <w:tcPr>
            <w:tcW w:w="3448" w:type="dxa"/>
            <w:shd w:val="clear" w:color="auto" w:fill="auto"/>
            <w:noWrap/>
          </w:tcPr>
          <w:p w:rsidR="00F467C0" w:rsidRDefault="00F467C0" w:rsidP="004F0C61">
            <w:pPr>
              <w:jc w:val="center"/>
            </w:pPr>
            <w:r w:rsidRPr="00153646">
              <w:rPr>
                <w:sz w:val="20"/>
                <w:szCs w:val="20"/>
              </w:rPr>
              <w:t xml:space="preserve">In the interest of transparency, the SWE Team recommends that the </w:t>
            </w:r>
            <w:r>
              <w:rPr>
                <w:sz w:val="20"/>
                <w:szCs w:val="20"/>
              </w:rPr>
              <w:t>evaluation contractor</w:t>
            </w:r>
            <w:r w:rsidRPr="00E021B2" w:rsidDel="006054DE">
              <w:rPr>
                <w:sz w:val="20"/>
                <w:szCs w:val="20"/>
              </w:rPr>
              <w:t xml:space="preserve"> </w:t>
            </w:r>
            <w:r w:rsidRPr="00153646">
              <w:rPr>
                <w:sz w:val="20"/>
                <w:szCs w:val="20"/>
              </w:rPr>
              <w:t>use only the Appendix C calculator for lighting projects moving forward.</w:t>
            </w:r>
          </w:p>
        </w:tc>
      </w:tr>
    </w:tbl>
    <w:p w:rsidR="00F467C0" w:rsidRDefault="00F467C0" w:rsidP="00EC02CE"/>
    <w:p w:rsidR="005C649A" w:rsidRDefault="00F467C0" w:rsidP="00F467C0">
      <w:pPr>
        <w:pStyle w:val="AppendixAHeading4"/>
      </w:pPr>
      <w:r>
        <w:t>Verified Savings Review</w:t>
      </w:r>
    </w:p>
    <w:p w:rsidR="00F467C0" w:rsidRPr="003458B1" w:rsidRDefault="00F467C0" w:rsidP="00F467C0">
      <w:pPr>
        <w:rPr>
          <w:color w:val="000000"/>
        </w:rPr>
      </w:pPr>
      <w:r w:rsidRPr="003458B1">
        <w:rPr>
          <w:color w:val="000000"/>
        </w:rPr>
        <w:t>The SWE Team reviewed a subset of West Penn’s sampled sites and found appropriate use of rigor in the evaluation contractor’s M&amp;V methods. There was significant improvement in the presentation of M&amp;V methodology and results in P</w:t>
      </w:r>
      <w:r>
        <w:rPr>
          <w:color w:val="000000"/>
        </w:rPr>
        <w:t>Y7 with the inclusion of a site-</w:t>
      </w:r>
      <w:r w:rsidRPr="003458B1">
        <w:rPr>
          <w:color w:val="000000"/>
        </w:rPr>
        <w:t xml:space="preserve">level report in each project file. </w:t>
      </w:r>
      <w:r w:rsidRPr="003458B1">
        <w:fldChar w:fldCharType="begin"/>
      </w:r>
      <w:r w:rsidRPr="003458B1">
        <w:rPr>
          <w:color w:val="000000"/>
        </w:rPr>
        <w:instrText xml:space="preserve"> REF _Ref440267998 \h </w:instrText>
      </w:r>
      <w:r w:rsidRPr="003458B1">
        <w:instrText xml:space="preserve"> \* MERGEFORMAT </w:instrText>
      </w:r>
      <w:r w:rsidRPr="003458B1">
        <w:fldChar w:fldCharType="separate"/>
      </w:r>
      <w:r w:rsidR="00A874AC" w:rsidRPr="003458B1">
        <w:t>Table A-</w:t>
      </w:r>
      <w:r w:rsidR="00A874AC">
        <w:t>100</w:t>
      </w:r>
      <w:r w:rsidRPr="003458B1">
        <w:fldChar w:fldCharType="end"/>
      </w:r>
      <w:r w:rsidRPr="003458B1">
        <w:t xml:space="preserve"> </w:t>
      </w:r>
      <w:r w:rsidRPr="003458B1">
        <w:rPr>
          <w:color w:val="000000"/>
        </w:rPr>
        <w:t>shows the energy and demand savings for projects the SWE Team chose to review, as well as the M&amp;V approach selected for site evaluation.</w:t>
      </w:r>
    </w:p>
    <w:p w:rsidR="00F467C0" w:rsidRPr="003458B1" w:rsidRDefault="00F467C0" w:rsidP="00F467C0">
      <w:pPr>
        <w:rPr>
          <w:color w:val="000000"/>
        </w:rPr>
      </w:pPr>
    </w:p>
    <w:p w:rsidR="00F467C0" w:rsidRPr="003458B1" w:rsidRDefault="00F467C0" w:rsidP="00F467C0">
      <w:pPr>
        <w:pStyle w:val="Caption"/>
        <w:rPr>
          <w:bCs w:val="0"/>
        </w:rPr>
      </w:pPr>
      <w:bookmarkStart w:id="1082" w:name="_Ref440267998"/>
      <w:bookmarkStart w:id="1083" w:name="_Ref431396420"/>
      <w:bookmarkStart w:id="1084" w:name="_Toc431462366"/>
      <w:bookmarkStart w:id="1085" w:name="_Toc444269892"/>
      <w:bookmarkStart w:id="1086" w:name="_Toc472472509"/>
      <w:bookmarkStart w:id="1087" w:name="_Toc476842215"/>
      <w:r w:rsidRPr="003458B1">
        <w:t>Table A-</w:t>
      </w:r>
      <w:fldSimple w:instr=" SEQ Table_A- \* ARABIC ">
        <w:r w:rsidR="00C301D0">
          <w:rPr>
            <w:noProof/>
          </w:rPr>
          <w:t>100</w:t>
        </w:r>
      </w:fldSimple>
      <w:bookmarkEnd w:id="1082"/>
      <w:r w:rsidRPr="003458B1">
        <w:t>:</w:t>
      </w:r>
      <w:r w:rsidRPr="003458B1">
        <w:rPr>
          <w:bCs w:val="0"/>
        </w:rPr>
        <w:t xml:space="preserve"> Verified Saving</w:t>
      </w:r>
      <w:r>
        <w:rPr>
          <w:bCs w:val="0"/>
        </w:rPr>
        <w:t>s and M&amp;V Methods for SWE Team–S</w:t>
      </w:r>
      <w:r w:rsidRPr="003458B1">
        <w:rPr>
          <w:bCs w:val="0"/>
        </w:rPr>
        <w:t>ampled West Penn Projects</w:t>
      </w:r>
      <w:bookmarkEnd w:id="1083"/>
      <w:bookmarkEnd w:id="1084"/>
      <w:bookmarkEnd w:id="1085"/>
      <w:bookmarkEnd w:id="1086"/>
      <w:bookmarkEnd w:id="1087"/>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601"/>
        <w:gridCol w:w="1118"/>
        <w:gridCol w:w="1594"/>
        <w:gridCol w:w="1594"/>
        <w:gridCol w:w="1572"/>
        <w:gridCol w:w="1871"/>
      </w:tblGrid>
      <w:tr w:rsidR="00A874AC" w:rsidRPr="003458B1" w:rsidTr="004F0C61">
        <w:trPr>
          <w:jc w:val="center"/>
        </w:trPr>
        <w:tc>
          <w:tcPr>
            <w:tcW w:w="1601" w:type="dxa"/>
            <w:shd w:val="clear" w:color="auto" w:fill="448A99"/>
            <w:vAlign w:val="bottom"/>
          </w:tcPr>
          <w:p w:rsidR="00F467C0" w:rsidRPr="003458B1" w:rsidRDefault="00F467C0" w:rsidP="004F0C61">
            <w:pPr>
              <w:jc w:val="left"/>
              <w:rPr>
                <w:rFonts w:eastAsia="Calibri"/>
                <w:b/>
                <w:color w:val="FFFFFF"/>
                <w:sz w:val="20"/>
                <w:szCs w:val="20"/>
              </w:rPr>
            </w:pPr>
            <w:r w:rsidRPr="003458B1">
              <w:rPr>
                <w:rFonts w:eastAsia="Calibri"/>
                <w:b/>
                <w:color w:val="FFFFFF"/>
                <w:sz w:val="20"/>
                <w:szCs w:val="20"/>
              </w:rPr>
              <w:t>Program</w:t>
            </w:r>
          </w:p>
        </w:tc>
        <w:tc>
          <w:tcPr>
            <w:tcW w:w="1118" w:type="dxa"/>
            <w:shd w:val="clear" w:color="auto" w:fill="448A99"/>
            <w:vAlign w:val="bottom"/>
          </w:tcPr>
          <w:p w:rsidR="00F467C0" w:rsidRPr="003458B1" w:rsidRDefault="00F467C0" w:rsidP="004F0C61">
            <w:pPr>
              <w:jc w:val="center"/>
              <w:rPr>
                <w:rFonts w:eastAsia="Calibri"/>
                <w:b/>
                <w:color w:val="FFFFFF"/>
                <w:sz w:val="20"/>
                <w:szCs w:val="20"/>
              </w:rPr>
            </w:pPr>
            <w:r w:rsidRPr="003458B1">
              <w:rPr>
                <w:rFonts w:eastAsia="Calibri"/>
                <w:b/>
                <w:color w:val="FFFFFF"/>
                <w:sz w:val="20"/>
                <w:szCs w:val="20"/>
              </w:rPr>
              <w:t>Project Number</w:t>
            </w:r>
          </w:p>
        </w:tc>
        <w:tc>
          <w:tcPr>
            <w:tcW w:w="1594" w:type="dxa"/>
            <w:shd w:val="clear" w:color="auto" w:fill="448A99"/>
            <w:vAlign w:val="bottom"/>
          </w:tcPr>
          <w:p w:rsidR="00F467C0" w:rsidRPr="003458B1" w:rsidRDefault="00F467C0" w:rsidP="004F0C61">
            <w:pPr>
              <w:jc w:val="center"/>
              <w:rPr>
                <w:rFonts w:eastAsia="Calibri"/>
                <w:b/>
                <w:color w:val="FFFFFF"/>
                <w:sz w:val="20"/>
                <w:szCs w:val="20"/>
              </w:rPr>
            </w:pPr>
            <w:r w:rsidRPr="003458B1">
              <w:rPr>
                <w:rFonts w:eastAsia="Calibri"/>
                <w:b/>
                <w:color w:val="FFFFFF"/>
                <w:sz w:val="20"/>
                <w:szCs w:val="20"/>
              </w:rPr>
              <w:t>Stratum</w:t>
            </w:r>
          </w:p>
        </w:tc>
        <w:tc>
          <w:tcPr>
            <w:tcW w:w="1594" w:type="dxa"/>
            <w:shd w:val="clear" w:color="auto" w:fill="448A99"/>
            <w:vAlign w:val="bottom"/>
          </w:tcPr>
          <w:p w:rsidR="00F467C0" w:rsidRPr="003458B1" w:rsidRDefault="00F467C0" w:rsidP="004F0C61">
            <w:pPr>
              <w:jc w:val="center"/>
              <w:rPr>
                <w:rFonts w:eastAsia="Calibri"/>
                <w:b/>
                <w:color w:val="FFFFFF"/>
                <w:sz w:val="20"/>
                <w:szCs w:val="20"/>
              </w:rPr>
            </w:pPr>
            <w:r w:rsidRPr="003458B1">
              <w:rPr>
                <w:rFonts w:eastAsia="Calibri"/>
                <w:b/>
                <w:color w:val="FFFFFF"/>
                <w:sz w:val="20"/>
                <w:szCs w:val="20"/>
              </w:rPr>
              <w:t>Verified Energy Savings (kWh)</w:t>
            </w:r>
          </w:p>
        </w:tc>
        <w:tc>
          <w:tcPr>
            <w:tcW w:w="1572" w:type="dxa"/>
            <w:shd w:val="clear" w:color="auto" w:fill="448A99"/>
            <w:vAlign w:val="bottom"/>
          </w:tcPr>
          <w:p w:rsidR="00F467C0" w:rsidRPr="003458B1" w:rsidRDefault="00F467C0" w:rsidP="004F0C61">
            <w:pPr>
              <w:jc w:val="center"/>
              <w:rPr>
                <w:rFonts w:eastAsia="Calibri"/>
                <w:b/>
                <w:color w:val="FFFFFF"/>
                <w:sz w:val="20"/>
                <w:szCs w:val="20"/>
              </w:rPr>
            </w:pPr>
            <w:r w:rsidRPr="003458B1">
              <w:rPr>
                <w:rFonts w:eastAsia="Calibri"/>
                <w:b/>
                <w:color w:val="FFFFFF"/>
                <w:sz w:val="20"/>
                <w:szCs w:val="20"/>
              </w:rPr>
              <w:t>Verified Demand Savings (kW)</w:t>
            </w:r>
          </w:p>
        </w:tc>
        <w:tc>
          <w:tcPr>
            <w:tcW w:w="1871" w:type="dxa"/>
            <w:shd w:val="clear" w:color="auto" w:fill="448A99"/>
            <w:vAlign w:val="bottom"/>
          </w:tcPr>
          <w:p w:rsidR="00F467C0" w:rsidRPr="003458B1" w:rsidRDefault="00F467C0" w:rsidP="004F0C61">
            <w:pPr>
              <w:jc w:val="center"/>
              <w:rPr>
                <w:rFonts w:eastAsia="Calibri"/>
                <w:b/>
                <w:color w:val="FFFFFF"/>
                <w:sz w:val="20"/>
                <w:szCs w:val="20"/>
              </w:rPr>
            </w:pPr>
            <w:r w:rsidRPr="003458B1">
              <w:rPr>
                <w:rFonts w:eastAsia="Calibri"/>
                <w:b/>
                <w:color w:val="FFFFFF"/>
                <w:sz w:val="20"/>
                <w:szCs w:val="20"/>
              </w:rPr>
              <w:t>M&amp;V Method</w:t>
            </w:r>
          </w:p>
        </w:tc>
      </w:tr>
      <w:tr w:rsidR="00A874AC" w:rsidRPr="003458B1" w:rsidTr="004F0C61">
        <w:trPr>
          <w:trHeight w:val="346"/>
          <w:jc w:val="center"/>
        </w:trPr>
        <w:tc>
          <w:tcPr>
            <w:tcW w:w="1601" w:type="dxa"/>
            <w:shd w:val="clear" w:color="auto" w:fill="D2EAF1"/>
            <w:vAlign w:val="center"/>
          </w:tcPr>
          <w:p w:rsidR="00F467C0" w:rsidRPr="003458B1" w:rsidRDefault="00F467C0" w:rsidP="004F0C61">
            <w:pPr>
              <w:jc w:val="left"/>
              <w:rPr>
                <w:rFonts w:eastAsia="Calibri"/>
                <w:sz w:val="20"/>
                <w:szCs w:val="20"/>
              </w:rPr>
            </w:pPr>
            <w:r w:rsidRPr="003458B1">
              <w:rPr>
                <w:rFonts w:eastAsia="Calibri"/>
                <w:sz w:val="20"/>
                <w:szCs w:val="20"/>
              </w:rPr>
              <w:t>Large C/I Equipment</w:t>
            </w:r>
          </w:p>
        </w:tc>
        <w:tc>
          <w:tcPr>
            <w:tcW w:w="1118" w:type="dxa"/>
            <w:shd w:val="clear" w:color="auto" w:fill="D2EAF1"/>
            <w:vAlign w:val="center"/>
          </w:tcPr>
          <w:p w:rsidR="00F467C0" w:rsidRPr="003458B1" w:rsidRDefault="00F467C0" w:rsidP="004F0C61">
            <w:pPr>
              <w:jc w:val="center"/>
              <w:rPr>
                <w:rFonts w:eastAsia="Calibri"/>
                <w:sz w:val="20"/>
                <w:szCs w:val="20"/>
              </w:rPr>
            </w:pPr>
            <w:r w:rsidRPr="003458B1">
              <w:rPr>
                <w:rFonts w:cs="Calibri"/>
                <w:color w:val="000000"/>
                <w:sz w:val="20"/>
                <w:szCs w:val="20"/>
              </w:rPr>
              <w:t>CR_PRJ-632496</w:t>
            </w:r>
          </w:p>
        </w:tc>
        <w:tc>
          <w:tcPr>
            <w:tcW w:w="1594" w:type="dxa"/>
            <w:shd w:val="clear" w:color="auto" w:fill="D2EAF1"/>
            <w:vAlign w:val="center"/>
          </w:tcPr>
          <w:p w:rsidR="00F467C0" w:rsidRPr="003458B1" w:rsidRDefault="00F467C0" w:rsidP="004F0C61">
            <w:pPr>
              <w:jc w:val="center"/>
              <w:rPr>
                <w:rFonts w:eastAsia="Calibri"/>
                <w:sz w:val="20"/>
                <w:szCs w:val="20"/>
              </w:rPr>
            </w:pPr>
            <w:r>
              <w:rPr>
                <w:rFonts w:cs="Calibri"/>
                <w:color w:val="000000"/>
                <w:sz w:val="20"/>
                <w:szCs w:val="20"/>
              </w:rPr>
              <w:t>Lighting – c</w:t>
            </w:r>
            <w:r w:rsidRPr="003458B1">
              <w:rPr>
                <w:rFonts w:cs="Calibri"/>
                <w:color w:val="000000"/>
                <w:sz w:val="20"/>
                <w:szCs w:val="20"/>
              </w:rPr>
              <w:t>ertainty</w:t>
            </w:r>
          </w:p>
        </w:tc>
        <w:tc>
          <w:tcPr>
            <w:tcW w:w="1594" w:type="dxa"/>
            <w:shd w:val="clear" w:color="auto" w:fill="D2EAF1"/>
            <w:vAlign w:val="center"/>
          </w:tcPr>
          <w:p w:rsidR="00F467C0" w:rsidRPr="003458B1" w:rsidRDefault="00F467C0" w:rsidP="004F0C61">
            <w:pPr>
              <w:jc w:val="center"/>
              <w:rPr>
                <w:rFonts w:eastAsia="Calibri"/>
                <w:sz w:val="20"/>
                <w:szCs w:val="20"/>
              </w:rPr>
            </w:pPr>
            <w:r w:rsidRPr="003458B1">
              <w:rPr>
                <w:rFonts w:cs="Calibri"/>
                <w:color w:val="000000"/>
                <w:sz w:val="20"/>
                <w:szCs w:val="20"/>
              </w:rPr>
              <w:t>2,248,623</w:t>
            </w:r>
          </w:p>
        </w:tc>
        <w:tc>
          <w:tcPr>
            <w:tcW w:w="1572" w:type="dxa"/>
            <w:shd w:val="clear" w:color="auto" w:fill="D2EAF1"/>
            <w:vAlign w:val="center"/>
          </w:tcPr>
          <w:p w:rsidR="00F467C0" w:rsidRPr="003458B1" w:rsidRDefault="00F467C0" w:rsidP="004F0C61">
            <w:pPr>
              <w:jc w:val="center"/>
              <w:rPr>
                <w:rFonts w:eastAsia="Calibri"/>
                <w:sz w:val="20"/>
                <w:szCs w:val="20"/>
              </w:rPr>
            </w:pPr>
            <w:r w:rsidRPr="003458B1">
              <w:rPr>
                <w:rFonts w:cs="Calibri"/>
                <w:color w:val="000000"/>
                <w:sz w:val="20"/>
                <w:szCs w:val="20"/>
              </w:rPr>
              <w:t>376.95</w:t>
            </w:r>
          </w:p>
        </w:tc>
        <w:tc>
          <w:tcPr>
            <w:tcW w:w="1871" w:type="dxa"/>
            <w:shd w:val="clear" w:color="auto" w:fill="D2EAF1"/>
            <w:vAlign w:val="center"/>
          </w:tcPr>
          <w:p w:rsidR="00F467C0" w:rsidRPr="003458B1" w:rsidRDefault="00F467C0" w:rsidP="004F0C61">
            <w:pPr>
              <w:jc w:val="center"/>
              <w:rPr>
                <w:rFonts w:eastAsia="Calibri"/>
                <w:sz w:val="20"/>
                <w:szCs w:val="20"/>
              </w:rPr>
            </w:pPr>
            <w:r>
              <w:rPr>
                <w:rFonts w:cs="Calibri"/>
                <w:color w:val="000000"/>
                <w:sz w:val="20"/>
                <w:szCs w:val="20"/>
              </w:rPr>
              <w:t>On-s</w:t>
            </w:r>
            <w:r w:rsidRPr="003458B1">
              <w:rPr>
                <w:rFonts w:cs="Calibri"/>
                <w:color w:val="000000"/>
                <w:sz w:val="20"/>
                <w:szCs w:val="20"/>
              </w:rPr>
              <w:t xml:space="preserve">ite + </w:t>
            </w:r>
            <w:r>
              <w:rPr>
                <w:rFonts w:cs="Calibri"/>
                <w:color w:val="000000"/>
                <w:sz w:val="20"/>
                <w:szCs w:val="20"/>
              </w:rPr>
              <w:t>l</w:t>
            </w:r>
            <w:r w:rsidRPr="003458B1">
              <w:rPr>
                <w:rFonts w:cs="Calibri"/>
                <w:color w:val="000000"/>
                <w:sz w:val="20"/>
                <w:szCs w:val="20"/>
              </w:rPr>
              <w:t>ogging</w:t>
            </w:r>
          </w:p>
        </w:tc>
      </w:tr>
      <w:tr w:rsidR="00E7173E" w:rsidRPr="003458B1" w:rsidTr="008F60E1">
        <w:trPr>
          <w:trHeight w:val="346"/>
          <w:jc w:val="center"/>
        </w:trPr>
        <w:tc>
          <w:tcPr>
            <w:tcW w:w="1601" w:type="dxa"/>
            <w:shd w:val="clear" w:color="auto" w:fill="auto"/>
            <w:vAlign w:val="center"/>
          </w:tcPr>
          <w:p w:rsidR="00F467C0" w:rsidRPr="003458B1" w:rsidRDefault="00F467C0" w:rsidP="004F0C61">
            <w:pPr>
              <w:jc w:val="left"/>
              <w:rPr>
                <w:rFonts w:eastAsia="Calibri"/>
                <w:sz w:val="20"/>
                <w:szCs w:val="20"/>
              </w:rPr>
            </w:pPr>
            <w:r w:rsidRPr="003458B1">
              <w:rPr>
                <w:rFonts w:eastAsia="Calibri"/>
                <w:sz w:val="20"/>
                <w:szCs w:val="20"/>
              </w:rPr>
              <w:t>Large C/I Equipment</w:t>
            </w:r>
          </w:p>
        </w:tc>
        <w:tc>
          <w:tcPr>
            <w:tcW w:w="1118" w:type="dxa"/>
            <w:shd w:val="clear" w:color="auto" w:fill="auto"/>
            <w:vAlign w:val="center"/>
          </w:tcPr>
          <w:p w:rsidR="00F467C0" w:rsidRPr="003458B1" w:rsidRDefault="00F467C0" w:rsidP="004F0C61">
            <w:pPr>
              <w:jc w:val="center"/>
              <w:rPr>
                <w:rFonts w:eastAsia="Calibri"/>
                <w:sz w:val="20"/>
                <w:szCs w:val="20"/>
              </w:rPr>
            </w:pPr>
            <w:r w:rsidRPr="003458B1">
              <w:rPr>
                <w:rFonts w:cs="Calibri"/>
                <w:color w:val="000000"/>
                <w:sz w:val="20"/>
                <w:szCs w:val="20"/>
              </w:rPr>
              <w:t>CR_PRJ-641534</w:t>
            </w:r>
          </w:p>
        </w:tc>
        <w:tc>
          <w:tcPr>
            <w:tcW w:w="1594" w:type="dxa"/>
            <w:shd w:val="clear" w:color="auto" w:fill="auto"/>
            <w:vAlign w:val="center"/>
          </w:tcPr>
          <w:p w:rsidR="00F467C0" w:rsidRPr="003458B1" w:rsidRDefault="00F467C0" w:rsidP="004F0C61">
            <w:pPr>
              <w:jc w:val="center"/>
              <w:rPr>
                <w:rFonts w:eastAsia="Calibri"/>
                <w:sz w:val="20"/>
                <w:szCs w:val="20"/>
              </w:rPr>
            </w:pPr>
            <w:r>
              <w:rPr>
                <w:rFonts w:cs="Calibri"/>
                <w:color w:val="000000"/>
                <w:sz w:val="20"/>
                <w:szCs w:val="20"/>
              </w:rPr>
              <w:t>Custom – c</w:t>
            </w:r>
            <w:r w:rsidRPr="003458B1">
              <w:rPr>
                <w:rFonts w:cs="Calibri"/>
                <w:color w:val="000000"/>
                <w:sz w:val="20"/>
                <w:szCs w:val="20"/>
              </w:rPr>
              <w:t>ertainty</w:t>
            </w:r>
          </w:p>
        </w:tc>
        <w:tc>
          <w:tcPr>
            <w:tcW w:w="1594" w:type="dxa"/>
            <w:shd w:val="clear" w:color="auto" w:fill="auto"/>
            <w:vAlign w:val="center"/>
          </w:tcPr>
          <w:p w:rsidR="00F467C0" w:rsidRPr="003458B1" w:rsidRDefault="00F467C0" w:rsidP="004F0C61">
            <w:pPr>
              <w:jc w:val="center"/>
              <w:rPr>
                <w:rFonts w:eastAsia="Calibri"/>
                <w:sz w:val="20"/>
                <w:szCs w:val="20"/>
              </w:rPr>
            </w:pPr>
            <w:r w:rsidRPr="003458B1">
              <w:rPr>
                <w:rFonts w:cs="Calibri"/>
                <w:color w:val="000000"/>
                <w:sz w:val="20"/>
                <w:szCs w:val="20"/>
              </w:rPr>
              <w:t>616,850</w:t>
            </w:r>
          </w:p>
        </w:tc>
        <w:tc>
          <w:tcPr>
            <w:tcW w:w="1572" w:type="dxa"/>
            <w:shd w:val="clear" w:color="auto" w:fill="auto"/>
            <w:vAlign w:val="center"/>
          </w:tcPr>
          <w:p w:rsidR="00F467C0" w:rsidRPr="003458B1" w:rsidRDefault="00F467C0" w:rsidP="004F0C61">
            <w:pPr>
              <w:jc w:val="center"/>
              <w:rPr>
                <w:rFonts w:eastAsia="Calibri"/>
                <w:sz w:val="20"/>
                <w:szCs w:val="20"/>
              </w:rPr>
            </w:pPr>
            <w:r w:rsidRPr="003458B1">
              <w:rPr>
                <w:rFonts w:cs="Calibri"/>
                <w:color w:val="000000"/>
                <w:sz w:val="20"/>
                <w:szCs w:val="20"/>
              </w:rPr>
              <w:t>70.42</w:t>
            </w:r>
          </w:p>
        </w:tc>
        <w:tc>
          <w:tcPr>
            <w:tcW w:w="1871" w:type="dxa"/>
            <w:shd w:val="clear" w:color="auto" w:fill="auto"/>
            <w:vAlign w:val="center"/>
          </w:tcPr>
          <w:p w:rsidR="00F467C0" w:rsidRPr="003458B1" w:rsidRDefault="00F467C0" w:rsidP="004F0C61">
            <w:pPr>
              <w:jc w:val="center"/>
              <w:rPr>
                <w:rFonts w:eastAsia="Calibri"/>
                <w:sz w:val="20"/>
                <w:szCs w:val="20"/>
              </w:rPr>
            </w:pPr>
            <w:r>
              <w:rPr>
                <w:rFonts w:cs="Calibri"/>
                <w:color w:val="000000"/>
                <w:sz w:val="20"/>
                <w:szCs w:val="20"/>
              </w:rPr>
              <w:t>Option B r</w:t>
            </w:r>
            <w:r w:rsidRPr="003458B1">
              <w:rPr>
                <w:rFonts w:cs="Calibri"/>
                <w:color w:val="000000"/>
                <w:sz w:val="20"/>
                <w:szCs w:val="20"/>
              </w:rPr>
              <w:t>egression</w:t>
            </w:r>
          </w:p>
        </w:tc>
      </w:tr>
      <w:tr w:rsidR="00A874AC" w:rsidRPr="003458B1" w:rsidTr="004F0C61">
        <w:trPr>
          <w:trHeight w:val="346"/>
          <w:jc w:val="center"/>
        </w:trPr>
        <w:tc>
          <w:tcPr>
            <w:tcW w:w="1601" w:type="dxa"/>
            <w:shd w:val="clear" w:color="auto" w:fill="D2EAF1"/>
            <w:vAlign w:val="center"/>
          </w:tcPr>
          <w:p w:rsidR="00F467C0" w:rsidRPr="003458B1" w:rsidRDefault="00F467C0" w:rsidP="004F0C61">
            <w:pPr>
              <w:jc w:val="left"/>
              <w:rPr>
                <w:rFonts w:eastAsia="Calibri"/>
                <w:sz w:val="20"/>
                <w:szCs w:val="20"/>
              </w:rPr>
            </w:pPr>
            <w:r w:rsidRPr="003458B1">
              <w:rPr>
                <w:rFonts w:eastAsia="Calibri"/>
                <w:sz w:val="20"/>
                <w:szCs w:val="20"/>
              </w:rPr>
              <w:t>Government</w:t>
            </w:r>
          </w:p>
        </w:tc>
        <w:tc>
          <w:tcPr>
            <w:tcW w:w="1118" w:type="dxa"/>
            <w:shd w:val="clear" w:color="auto" w:fill="D2EAF1"/>
            <w:vAlign w:val="center"/>
          </w:tcPr>
          <w:p w:rsidR="00F467C0" w:rsidRPr="003458B1" w:rsidRDefault="00F467C0" w:rsidP="004F0C61">
            <w:pPr>
              <w:jc w:val="center"/>
              <w:rPr>
                <w:rFonts w:eastAsia="Calibri"/>
                <w:sz w:val="20"/>
                <w:szCs w:val="20"/>
              </w:rPr>
            </w:pPr>
            <w:r w:rsidRPr="003458B1">
              <w:rPr>
                <w:rFonts w:cs="Calibri"/>
                <w:color w:val="000000"/>
                <w:sz w:val="20"/>
                <w:szCs w:val="20"/>
              </w:rPr>
              <w:t>CR_PRJ-754676</w:t>
            </w:r>
          </w:p>
        </w:tc>
        <w:tc>
          <w:tcPr>
            <w:tcW w:w="1594" w:type="dxa"/>
            <w:shd w:val="clear" w:color="auto" w:fill="D2EAF1"/>
            <w:vAlign w:val="center"/>
          </w:tcPr>
          <w:p w:rsidR="00F467C0" w:rsidRPr="003458B1" w:rsidRDefault="00F467C0" w:rsidP="004F0C61">
            <w:pPr>
              <w:jc w:val="center"/>
              <w:rPr>
                <w:rFonts w:eastAsia="Calibri"/>
                <w:sz w:val="20"/>
                <w:szCs w:val="20"/>
              </w:rPr>
            </w:pPr>
            <w:r>
              <w:rPr>
                <w:rFonts w:cs="Calibri"/>
                <w:color w:val="000000"/>
                <w:sz w:val="20"/>
                <w:szCs w:val="20"/>
              </w:rPr>
              <w:t xml:space="preserve">Lighting – </w:t>
            </w:r>
            <w:r w:rsidRPr="003458B1">
              <w:rPr>
                <w:rFonts w:cs="Calibri"/>
                <w:color w:val="000000"/>
                <w:sz w:val="20"/>
                <w:szCs w:val="20"/>
              </w:rPr>
              <w:t>3</w:t>
            </w:r>
          </w:p>
        </w:tc>
        <w:tc>
          <w:tcPr>
            <w:tcW w:w="1594" w:type="dxa"/>
            <w:shd w:val="clear" w:color="auto" w:fill="D2EAF1"/>
            <w:vAlign w:val="center"/>
          </w:tcPr>
          <w:p w:rsidR="00F467C0" w:rsidRPr="003458B1" w:rsidRDefault="00F467C0" w:rsidP="004F0C61">
            <w:pPr>
              <w:jc w:val="center"/>
              <w:rPr>
                <w:rFonts w:eastAsia="Calibri"/>
                <w:sz w:val="20"/>
                <w:szCs w:val="20"/>
              </w:rPr>
            </w:pPr>
            <w:r w:rsidRPr="003458B1">
              <w:rPr>
                <w:rFonts w:cs="Calibri"/>
                <w:color w:val="000000"/>
                <w:sz w:val="20"/>
                <w:szCs w:val="20"/>
              </w:rPr>
              <w:t>22,323</w:t>
            </w:r>
          </w:p>
        </w:tc>
        <w:tc>
          <w:tcPr>
            <w:tcW w:w="1572" w:type="dxa"/>
            <w:shd w:val="clear" w:color="auto" w:fill="D2EAF1"/>
            <w:vAlign w:val="center"/>
          </w:tcPr>
          <w:p w:rsidR="00F467C0" w:rsidRPr="003458B1" w:rsidRDefault="00F467C0" w:rsidP="004F0C61">
            <w:pPr>
              <w:jc w:val="center"/>
              <w:rPr>
                <w:rFonts w:eastAsia="Calibri"/>
                <w:sz w:val="20"/>
                <w:szCs w:val="20"/>
              </w:rPr>
            </w:pPr>
            <w:r w:rsidRPr="003458B1">
              <w:rPr>
                <w:rFonts w:cs="Calibri"/>
                <w:color w:val="000000"/>
                <w:sz w:val="20"/>
                <w:szCs w:val="20"/>
              </w:rPr>
              <w:t>0</w:t>
            </w:r>
          </w:p>
        </w:tc>
        <w:tc>
          <w:tcPr>
            <w:tcW w:w="1871" w:type="dxa"/>
            <w:shd w:val="clear" w:color="auto" w:fill="D2EAF1"/>
            <w:vAlign w:val="center"/>
          </w:tcPr>
          <w:p w:rsidR="00F467C0" w:rsidRPr="003458B1" w:rsidRDefault="00F467C0" w:rsidP="004F0C61">
            <w:pPr>
              <w:jc w:val="center"/>
              <w:rPr>
                <w:rFonts w:eastAsia="Calibri"/>
                <w:sz w:val="20"/>
                <w:szCs w:val="20"/>
              </w:rPr>
            </w:pPr>
            <w:r>
              <w:rPr>
                <w:rFonts w:cs="Calibri"/>
                <w:color w:val="000000"/>
                <w:sz w:val="20"/>
                <w:szCs w:val="20"/>
              </w:rPr>
              <w:t>On-site verification (exterior l</w:t>
            </w:r>
            <w:r w:rsidRPr="003458B1">
              <w:rPr>
                <w:rFonts w:cs="Calibri"/>
                <w:color w:val="000000"/>
                <w:sz w:val="20"/>
                <w:szCs w:val="20"/>
              </w:rPr>
              <w:t>ighting)</w:t>
            </w:r>
          </w:p>
        </w:tc>
      </w:tr>
      <w:tr w:rsidR="00E7173E" w:rsidRPr="003458B1" w:rsidTr="008F60E1">
        <w:trPr>
          <w:trHeight w:val="346"/>
          <w:jc w:val="center"/>
        </w:trPr>
        <w:tc>
          <w:tcPr>
            <w:tcW w:w="1601" w:type="dxa"/>
            <w:shd w:val="clear" w:color="auto" w:fill="auto"/>
            <w:vAlign w:val="center"/>
          </w:tcPr>
          <w:p w:rsidR="00F467C0" w:rsidRPr="003458B1" w:rsidRDefault="00F467C0" w:rsidP="004F0C61">
            <w:pPr>
              <w:jc w:val="left"/>
              <w:rPr>
                <w:rFonts w:eastAsia="Calibri"/>
                <w:sz w:val="20"/>
                <w:szCs w:val="20"/>
              </w:rPr>
            </w:pPr>
            <w:r w:rsidRPr="003458B1">
              <w:rPr>
                <w:rFonts w:eastAsia="Calibri"/>
                <w:sz w:val="20"/>
                <w:szCs w:val="20"/>
              </w:rPr>
              <w:t>Large C/I Equipment</w:t>
            </w:r>
          </w:p>
        </w:tc>
        <w:tc>
          <w:tcPr>
            <w:tcW w:w="1118" w:type="dxa"/>
            <w:shd w:val="clear" w:color="auto" w:fill="auto"/>
            <w:vAlign w:val="center"/>
          </w:tcPr>
          <w:p w:rsidR="00F467C0" w:rsidRPr="003458B1" w:rsidRDefault="00F467C0" w:rsidP="004F0C61">
            <w:pPr>
              <w:jc w:val="center"/>
              <w:rPr>
                <w:rFonts w:eastAsia="Calibri"/>
                <w:sz w:val="20"/>
                <w:szCs w:val="20"/>
              </w:rPr>
            </w:pPr>
            <w:r w:rsidRPr="003458B1">
              <w:rPr>
                <w:rFonts w:cs="Calibri"/>
                <w:color w:val="000000"/>
                <w:sz w:val="20"/>
                <w:szCs w:val="20"/>
              </w:rPr>
              <w:t>CR_PRJ-465810</w:t>
            </w:r>
          </w:p>
        </w:tc>
        <w:tc>
          <w:tcPr>
            <w:tcW w:w="1594" w:type="dxa"/>
            <w:shd w:val="clear" w:color="auto" w:fill="auto"/>
            <w:vAlign w:val="center"/>
          </w:tcPr>
          <w:p w:rsidR="00F467C0" w:rsidRPr="003458B1" w:rsidRDefault="00F467C0" w:rsidP="004F0C61">
            <w:pPr>
              <w:jc w:val="center"/>
              <w:rPr>
                <w:rFonts w:eastAsia="Calibri"/>
                <w:sz w:val="20"/>
                <w:szCs w:val="20"/>
              </w:rPr>
            </w:pPr>
            <w:r>
              <w:rPr>
                <w:rFonts w:cs="Calibri"/>
                <w:color w:val="000000"/>
                <w:sz w:val="20"/>
                <w:szCs w:val="20"/>
              </w:rPr>
              <w:t>Custom – c</w:t>
            </w:r>
            <w:r w:rsidRPr="003458B1">
              <w:rPr>
                <w:rFonts w:cs="Calibri"/>
                <w:color w:val="000000"/>
                <w:sz w:val="20"/>
                <w:szCs w:val="20"/>
              </w:rPr>
              <w:t>ertainty</w:t>
            </w:r>
          </w:p>
        </w:tc>
        <w:tc>
          <w:tcPr>
            <w:tcW w:w="1594" w:type="dxa"/>
            <w:shd w:val="clear" w:color="auto" w:fill="auto"/>
            <w:vAlign w:val="center"/>
          </w:tcPr>
          <w:p w:rsidR="00F467C0" w:rsidRPr="003458B1" w:rsidRDefault="00F467C0" w:rsidP="004F0C61">
            <w:pPr>
              <w:jc w:val="center"/>
              <w:rPr>
                <w:rFonts w:eastAsia="Calibri"/>
                <w:sz w:val="20"/>
                <w:szCs w:val="20"/>
              </w:rPr>
            </w:pPr>
            <w:r w:rsidRPr="003458B1">
              <w:rPr>
                <w:rFonts w:cs="Calibri"/>
                <w:color w:val="000000"/>
                <w:sz w:val="20"/>
                <w:szCs w:val="20"/>
              </w:rPr>
              <w:t>10,144,860</w:t>
            </w:r>
          </w:p>
        </w:tc>
        <w:tc>
          <w:tcPr>
            <w:tcW w:w="1572" w:type="dxa"/>
            <w:shd w:val="clear" w:color="auto" w:fill="auto"/>
            <w:vAlign w:val="center"/>
          </w:tcPr>
          <w:p w:rsidR="00F467C0" w:rsidRPr="003458B1" w:rsidRDefault="00F467C0" w:rsidP="004F0C61">
            <w:pPr>
              <w:jc w:val="center"/>
              <w:rPr>
                <w:rFonts w:eastAsia="Calibri"/>
                <w:sz w:val="20"/>
                <w:szCs w:val="20"/>
              </w:rPr>
            </w:pPr>
            <w:r w:rsidRPr="003458B1">
              <w:rPr>
                <w:rFonts w:cs="Calibri"/>
                <w:color w:val="000000"/>
                <w:sz w:val="20"/>
                <w:szCs w:val="20"/>
              </w:rPr>
              <w:t>1,211.4</w:t>
            </w:r>
          </w:p>
        </w:tc>
        <w:tc>
          <w:tcPr>
            <w:tcW w:w="1871" w:type="dxa"/>
            <w:shd w:val="clear" w:color="auto" w:fill="auto"/>
            <w:vAlign w:val="center"/>
          </w:tcPr>
          <w:p w:rsidR="00F467C0" w:rsidRPr="003458B1" w:rsidRDefault="00F467C0" w:rsidP="004F0C61">
            <w:pPr>
              <w:jc w:val="center"/>
              <w:rPr>
                <w:rFonts w:eastAsia="Calibri"/>
                <w:sz w:val="20"/>
                <w:szCs w:val="20"/>
              </w:rPr>
            </w:pPr>
            <w:r>
              <w:rPr>
                <w:rFonts w:cs="Calibri"/>
                <w:color w:val="000000"/>
                <w:sz w:val="20"/>
                <w:szCs w:val="20"/>
              </w:rPr>
              <w:t>Billing analysis; EMS data a</w:t>
            </w:r>
            <w:r w:rsidRPr="003458B1">
              <w:rPr>
                <w:rFonts w:cs="Calibri"/>
                <w:color w:val="000000"/>
                <w:sz w:val="20"/>
                <w:szCs w:val="20"/>
              </w:rPr>
              <w:t>nalysis</w:t>
            </w:r>
          </w:p>
        </w:tc>
      </w:tr>
      <w:tr w:rsidR="00A874AC" w:rsidRPr="003458B1" w:rsidTr="004F0C61">
        <w:trPr>
          <w:trHeight w:val="346"/>
          <w:jc w:val="center"/>
        </w:trPr>
        <w:tc>
          <w:tcPr>
            <w:tcW w:w="1601" w:type="dxa"/>
            <w:shd w:val="clear" w:color="auto" w:fill="D2EAF1"/>
            <w:vAlign w:val="center"/>
          </w:tcPr>
          <w:p w:rsidR="00F467C0" w:rsidRPr="003458B1" w:rsidRDefault="00F467C0" w:rsidP="004F0C61">
            <w:pPr>
              <w:jc w:val="left"/>
              <w:rPr>
                <w:rFonts w:eastAsia="Calibri"/>
                <w:sz w:val="20"/>
                <w:szCs w:val="20"/>
              </w:rPr>
            </w:pPr>
            <w:r w:rsidRPr="003458B1">
              <w:rPr>
                <w:rFonts w:eastAsia="Calibri"/>
                <w:sz w:val="20"/>
                <w:szCs w:val="20"/>
              </w:rPr>
              <w:t>Large C/I Equipment</w:t>
            </w:r>
          </w:p>
        </w:tc>
        <w:tc>
          <w:tcPr>
            <w:tcW w:w="1118" w:type="dxa"/>
            <w:shd w:val="clear" w:color="auto" w:fill="D2EAF1"/>
            <w:vAlign w:val="center"/>
          </w:tcPr>
          <w:p w:rsidR="00F467C0" w:rsidRPr="003458B1" w:rsidRDefault="00F467C0" w:rsidP="004F0C61">
            <w:pPr>
              <w:jc w:val="center"/>
              <w:rPr>
                <w:rFonts w:eastAsia="Calibri"/>
                <w:sz w:val="20"/>
                <w:szCs w:val="20"/>
              </w:rPr>
            </w:pPr>
            <w:r w:rsidRPr="003458B1">
              <w:rPr>
                <w:rFonts w:cs="Calibri"/>
                <w:color w:val="000000"/>
                <w:sz w:val="20"/>
                <w:szCs w:val="20"/>
              </w:rPr>
              <w:t>CR_PRJ-565154</w:t>
            </w:r>
          </w:p>
        </w:tc>
        <w:tc>
          <w:tcPr>
            <w:tcW w:w="1594" w:type="dxa"/>
            <w:shd w:val="clear" w:color="auto" w:fill="D2EAF1"/>
            <w:vAlign w:val="center"/>
          </w:tcPr>
          <w:p w:rsidR="00F467C0" w:rsidRPr="003458B1" w:rsidRDefault="00F467C0" w:rsidP="004F0C61">
            <w:pPr>
              <w:jc w:val="center"/>
              <w:rPr>
                <w:rFonts w:eastAsia="Calibri"/>
                <w:sz w:val="20"/>
                <w:szCs w:val="20"/>
              </w:rPr>
            </w:pPr>
            <w:r>
              <w:rPr>
                <w:rFonts w:cs="Calibri"/>
                <w:color w:val="000000"/>
                <w:sz w:val="20"/>
                <w:szCs w:val="20"/>
              </w:rPr>
              <w:t xml:space="preserve">Lighting – </w:t>
            </w:r>
            <w:r w:rsidRPr="003458B1">
              <w:rPr>
                <w:rFonts w:cs="Calibri"/>
                <w:color w:val="000000"/>
                <w:sz w:val="20"/>
                <w:szCs w:val="20"/>
              </w:rPr>
              <w:t>2</w:t>
            </w:r>
          </w:p>
        </w:tc>
        <w:tc>
          <w:tcPr>
            <w:tcW w:w="1594" w:type="dxa"/>
            <w:shd w:val="clear" w:color="auto" w:fill="D2EAF1"/>
            <w:vAlign w:val="center"/>
          </w:tcPr>
          <w:p w:rsidR="00F467C0" w:rsidRPr="003458B1" w:rsidRDefault="00F467C0" w:rsidP="004F0C61">
            <w:pPr>
              <w:jc w:val="center"/>
              <w:rPr>
                <w:rFonts w:eastAsia="Calibri"/>
                <w:sz w:val="20"/>
                <w:szCs w:val="20"/>
              </w:rPr>
            </w:pPr>
            <w:r w:rsidRPr="003458B1">
              <w:rPr>
                <w:rFonts w:cs="Calibri"/>
                <w:color w:val="000000"/>
                <w:sz w:val="20"/>
                <w:szCs w:val="20"/>
              </w:rPr>
              <w:t>1,063,151</w:t>
            </w:r>
          </w:p>
        </w:tc>
        <w:tc>
          <w:tcPr>
            <w:tcW w:w="1572" w:type="dxa"/>
            <w:shd w:val="clear" w:color="auto" w:fill="D2EAF1"/>
            <w:vAlign w:val="center"/>
          </w:tcPr>
          <w:p w:rsidR="00F467C0" w:rsidRPr="003458B1" w:rsidRDefault="00F467C0" w:rsidP="004F0C61">
            <w:pPr>
              <w:jc w:val="center"/>
              <w:rPr>
                <w:rFonts w:eastAsia="Calibri"/>
                <w:sz w:val="20"/>
                <w:szCs w:val="20"/>
              </w:rPr>
            </w:pPr>
            <w:r w:rsidRPr="003458B1">
              <w:rPr>
                <w:rFonts w:cs="Calibri"/>
                <w:color w:val="000000"/>
                <w:sz w:val="20"/>
                <w:szCs w:val="20"/>
              </w:rPr>
              <w:t>94.55</w:t>
            </w:r>
          </w:p>
        </w:tc>
        <w:tc>
          <w:tcPr>
            <w:tcW w:w="1871" w:type="dxa"/>
            <w:shd w:val="clear" w:color="auto" w:fill="D2EAF1"/>
            <w:vAlign w:val="center"/>
          </w:tcPr>
          <w:p w:rsidR="00F467C0" w:rsidRPr="003458B1" w:rsidRDefault="00F467C0" w:rsidP="004F0C61">
            <w:pPr>
              <w:jc w:val="center"/>
              <w:rPr>
                <w:rFonts w:eastAsia="Calibri"/>
                <w:sz w:val="20"/>
                <w:szCs w:val="20"/>
              </w:rPr>
            </w:pPr>
            <w:r>
              <w:rPr>
                <w:rFonts w:cs="Calibri"/>
                <w:color w:val="000000"/>
                <w:sz w:val="20"/>
                <w:szCs w:val="20"/>
              </w:rPr>
              <w:t>On-s</w:t>
            </w:r>
            <w:r w:rsidRPr="003458B1">
              <w:rPr>
                <w:rFonts w:cs="Calibri"/>
                <w:color w:val="000000"/>
                <w:sz w:val="20"/>
                <w:szCs w:val="20"/>
              </w:rPr>
              <w:t xml:space="preserve">ite + </w:t>
            </w:r>
            <w:r>
              <w:rPr>
                <w:rFonts w:cs="Calibri"/>
                <w:color w:val="000000"/>
                <w:sz w:val="20"/>
                <w:szCs w:val="20"/>
              </w:rPr>
              <w:t>logging; EMS data a</w:t>
            </w:r>
            <w:r w:rsidRPr="003458B1">
              <w:rPr>
                <w:rFonts w:cs="Calibri"/>
                <w:color w:val="000000"/>
                <w:sz w:val="20"/>
                <w:szCs w:val="20"/>
              </w:rPr>
              <w:t>nalysis</w:t>
            </w:r>
          </w:p>
        </w:tc>
      </w:tr>
    </w:tbl>
    <w:p w:rsidR="00F467C0" w:rsidRPr="003458B1" w:rsidRDefault="00F467C0" w:rsidP="00F467C0"/>
    <w:p w:rsidR="00F467C0" w:rsidRPr="003458B1" w:rsidRDefault="00F467C0" w:rsidP="00F467C0">
      <w:r w:rsidRPr="003458B1">
        <w:t xml:space="preserve">Project CR_PRJ-632496 involved </w:t>
      </w:r>
      <w:r>
        <w:t>replacing</w:t>
      </w:r>
      <w:r w:rsidRPr="003458B1">
        <w:t xml:space="preserve"> fluorescent and incandescent fixtures with LED fixtures in an industrial manufacturing facility in Waynesboro, PA. Twelve light loggers were deployed during a site visit</w:t>
      </w:r>
      <w:r>
        <w:t>,</w:t>
      </w:r>
      <w:r w:rsidRPr="003458B1">
        <w:t xml:space="preserve"> and all light fixtures were verified as installed. Metering revealed a lower HOU and higher CF than </w:t>
      </w:r>
      <w:r>
        <w:t>those</w:t>
      </w:r>
      <w:r w:rsidRPr="003458B1">
        <w:t xml:space="preserve"> used in the ex</w:t>
      </w:r>
      <w:r>
        <w:t xml:space="preserve"> </w:t>
      </w:r>
      <w:r w:rsidRPr="003458B1">
        <w:t>ante analysis. This resulted in the 96% realization rate for kWh and 156% for kW.</w:t>
      </w:r>
    </w:p>
    <w:p w:rsidR="00F467C0" w:rsidRPr="003458B1" w:rsidRDefault="00F467C0" w:rsidP="00F467C0"/>
    <w:p w:rsidR="00F467C0" w:rsidRPr="003458B1" w:rsidRDefault="00F467C0" w:rsidP="00F467C0">
      <w:r w:rsidRPr="003458B1">
        <w:t>Project CR_PRJ-641534 involved install</w:t>
      </w:r>
      <w:r>
        <w:t>ing</w:t>
      </w:r>
      <w:r w:rsidRPr="003458B1">
        <w:t xml:space="preserve"> a master flow controller and a 2,000-gallon storage tank to improve the efficiency of the compressed air system at a manufacturing facility in Houston, PA. Pre</w:t>
      </w:r>
      <w:r>
        <w:t>-</w:t>
      </w:r>
      <w:r w:rsidRPr="003458B1">
        <w:t xml:space="preserve"> and post</w:t>
      </w:r>
      <w:r>
        <w:t>-</w:t>
      </w:r>
      <w:r w:rsidRPr="003458B1">
        <w:t xml:space="preserve">trend data, including kW and CFM, </w:t>
      </w:r>
      <w:r>
        <w:t>were</w:t>
      </w:r>
      <w:r w:rsidRPr="003458B1">
        <w:t xml:space="preserve"> supplied </w:t>
      </w:r>
      <w:r>
        <w:t>and were</w:t>
      </w:r>
      <w:r w:rsidRPr="003458B1">
        <w:t xml:space="preserve"> correlated </w:t>
      </w:r>
      <w:r>
        <w:t>with</w:t>
      </w:r>
      <w:r w:rsidRPr="003458B1">
        <w:t xml:space="preserve"> daily production. </w:t>
      </w:r>
      <w:r>
        <w:t>These were</w:t>
      </w:r>
      <w:r w:rsidRPr="003458B1">
        <w:t xml:space="preserve"> then used to calculate energy and demand savings. The energy realization rate of 127% is due to a difference in analyzing daily production.</w:t>
      </w:r>
    </w:p>
    <w:p w:rsidR="00F467C0" w:rsidRPr="003458B1" w:rsidRDefault="00F467C0" w:rsidP="00F467C0"/>
    <w:p w:rsidR="00F467C0" w:rsidRPr="003458B1" w:rsidRDefault="00F467C0" w:rsidP="00F467C0">
      <w:r w:rsidRPr="003458B1">
        <w:t>Project CR_PRJ-754676 involved streetlight retrofits</w:t>
      </w:r>
      <w:r w:rsidR="006722FB">
        <w:t xml:space="preserve"> of</w:t>
      </w:r>
      <w:r w:rsidRPr="003458B1">
        <w:t xml:space="preserve"> </w:t>
      </w:r>
      <w:r w:rsidR="008A03CE">
        <w:t xml:space="preserve">high pressure sodium </w:t>
      </w:r>
      <w:r w:rsidR="006722FB">
        <w:t>(</w:t>
      </w:r>
      <w:r w:rsidR="006722FB" w:rsidRPr="003458B1">
        <w:t>HPS</w:t>
      </w:r>
      <w:r w:rsidR="006722FB">
        <w:t>)</w:t>
      </w:r>
      <w:r w:rsidR="008A03CE">
        <w:t xml:space="preserve"> bulbs</w:t>
      </w:r>
      <w:r w:rsidR="006722FB" w:rsidRPr="003458B1">
        <w:t xml:space="preserve"> to </w:t>
      </w:r>
      <w:r w:rsidRPr="003458B1">
        <w:t xml:space="preserve">LED fixtures in Greensburg, PA. The </w:t>
      </w:r>
      <w:r w:rsidRPr="003E10CC">
        <w:t>evaluation contractor</w:t>
      </w:r>
      <w:r w:rsidRPr="00E021B2" w:rsidDel="006054DE">
        <w:rPr>
          <w:sz w:val="20"/>
          <w:szCs w:val="20"/>
        </w:rPr>
        <w:t xml:space="preserve"> </w:t>
      </w:r>
      <w:r w:rsidRPr="003458B1">
        <w:t>performed a site visit and verified the installation of all fixtures. The installed fixtures, however, were determined to be 257W instead of the 260W used in the ex</w:t>
      </w:r>
      <w:r>
        <w:t xml:space="preserve"> </w:t>
      </w:r>
      <w:r w:rsidRPr="003458B1">
        <w:t>ante analysis. This resulted in the energy realization rate of 101%. The demand realization rate of 0% is due to the dawn-to-dusk operating hours.</w:t>
      </w:r>
    </w:p>
    <w:p w:rsidR="00F467C0" w:rsidRPr="003458B1" w:rsidRDefault="00F467C0" w:rsidP="00F467C0"/>
    <w:p w:rsidR="00F467C0" w:rsidRPr="003458B1" w:rsidRDefault="00F467C0" w:rsidP="00F467C0">
      <w:pPr>
        <w:rPr>
          <w:color w:val="000000"/>
        </w:rPr>
      </w:pPr>
      <w:r w:rsidRPr="003458B1">
        <w:t xml:space="preserve">Project CR_PRJ-465810 was a new construction project of an efficient-process hot rolling steel mill outside Pittsburgh, PA. There are no TRM baselines, measures, or building codes governing steel mills, so the approach taken was to determine an “industry standard” efficiency for hot rolling mills and compare that </w:t>
      </w:r>
      <w:r>
        <w:t>with</w:t>
      </w:r>
      <w:r w:rsidRPr="003458B1">
        <w:t xml:space="preserve"> the “as</w:t>
      </w:r>
      <w:r>
        <w:t>-</w:t>
      </w:r>
      <w:r w:rsidRPr="003458B1">
        <w:t>built” condition. The industry standard energy use was determined from a report titled “The Energy Use in the Steel Industry</w:t>
      </w:r>
      <w:r>
        <w:t>,</w:t>
      </w:r>
      <w:r w:rsidRPr="003458B1">
        <w:t>” which provided an average kWh/metric ton figure. This was then used in conjunction with meter data from the new mill as well as production data to determine annual energy savings over an industry standard mill. The SWE agrees with the approach and the rigor used.</w:t>
      </w:r>
    </w:p>
    <w:p w:rsidR="00F467C0" w:rsidRPr="003458B1" w:rsidRDefault="00F467C0" w:rsidP="00F467C0">
      <w:pPr>
        <w:rPr>
          <w:color w:val="000000"/>
        </w:rPr>
      </w:pPr>
    </w:p>
    <w:p w:rsidR="00F467C0" w:rsidRPr="003458B1" w:rsidRDefault="00F467C0" w:rsidP="00F467C0">
      <w:pPr>
        <w:rPr>
          <w:color w:val="000000"/>
        </w:rPr>
      </w:pPr>
      <w:r w:rsidRPr="003458B1">
        <w:t>Project CR_PRJ-565154 involved lighting retrofit at an industrial manufacturing facility in Youngwood, PA. Over 300 T8 and MH fixtures were retrofitted with LEDs.  All fixtures were verified during a site inspection</w:t>
      </w:r>
      <w:r>
        <w:t>,</w:t>
      </w:r>
      <w:r w:rsidRPr="003458B1">
        <w:t xml:space="preserve"> and the HOU, CF, and controls factor were determined from EMS data. The difference in these metered values accounts for the 99% kWh and 89% kW realization rates. </w:t>
      </w:r>
    </w:p>
    <w:p w:rsidR="00F467C0" w:rsidRDefault="00F467C0" w:rsidP="00EC02CE"/>
    <w:p w:rsidR="00950837" w:rsidRDefault="00950837" w:rsidP="00D34B3E">
      <w:pPr>
        <w:pStyle w:val="AppendixAHeading3"/>
      </w:pPr>
      <w:r>
        <w:t>Net-to-Gross and Process Evaluation Audit Summary</w:t>
      </w:r>
    </w:p>
    <w:p w:rsidR="003351A0" w:rsidRDefault="003351A0" w:rsidP="003351A0">
      <w:r w:rsidRPr="00661E10">
        <w:t>FirstEnergy’s evaluation contractor, ADM</w:t>
      </w:r>
      <w:r w:rsidR="0009501A">
        <w:t>/Tetra Tech</w:t>
      </w:r>
      <w:r w:rsidRPr="00661E10">
        <w:t xml:space="preserve">, took unified process evaluation approaches to these programs across the four FirstEnergy EDCs, including </w:t>
      </w:r>
      <w:r>
        <w:t xml:space="preserve">West </w:t>
      </w:r>
      <w:r w:rsidRPr="00661E10">
        <w:t>Pen</w:t>
      </w:r>
      <w:r>
        <w:t>n</w:t>
      </w:r>
      <w:r w:rsidRPr="00661E10">
        <w:t xml:space="preserve">, and so the annual evaluation reports of the four EDCs report identical information about the process evaluation. Therefore, the SWE Team’s audit summary </w:t>
      </w:r>
      <w:r w:rsidRPr="003E2E20">
        <w:t xml:space="preserve">described in Section </w:t>
      </w:r>
      <w:r w:rsidRPr="003E2E20">
        <w:fldChar w:fldCharType="begin"/>
      </w:r>
      <w:r w:rsidRPr="003E2E20">
        <w:instrText xml:space="preserve"> REF _Ref472452280 \r \h </w:instrText>
      </w:r>
      <w:r>
        <w:instrText xml:space="preserve"> \* MERGEFORMAT </w:instrText>
      </w:r>
      <w:r w:rsidRPr="003E2E20">
        <w:fldChar w:fldCharType="separate"/>
      </w:r>
      <w:r w:rsidR="00C301D0">
        <w:t>A.2.4.4</w:t>
      </w:r>
      <w:r w:rsidRPr="003E2E20">
        <w:fldChar w:fldCharType="end"/>
      </w:r>
      <w:r w:rsidRPr="003E2E20">
        <w:t xml:space="preserve"> pertains</w:t>
      </w:r>
      <w:r w:rsidRPr="00661E10">
        <w:t xml:space="preserve"> to all four FirstEnergy utilities, including </w:t>
      </w:r>
      <w:r>
        <w:t>West Penn</w:t>
      </w:r>
      <w:r w:rsidRPr="00661E10">
        <w:t>.</w:t>
      </w:r>
    </w:p>
    <w:p w:rsidR="003351A0" w:rsidRDefault="003351A0" w:rsidP="003351A0"/>
    <w:p w:rsidR="003351A0" w:rsidRPr="006C05B5" w:rsidRDefault="003351A0" w:rsidP="003351A0">
      <w:pPr>
        <w:rPr>
          <w:highlight w:val="lightGray"/>
        </w:rPr>
      </w:pPr>
      <w:r w:rsidRPr="006C05B5">
        <w:t>This</w:t>
      </w:r>
      <w:r>
        <w:t xml:space="preserve"> remainder of this</w:t>
      </w:r>
      <w:r w:rsidRPr="006C05B5">
        <w:t xml:space="preserve"> section summarizes the activities and key findings of the SWE Team’s NTG audits of </w:t>
      </w:r>
      <w:r>
        <w:t>West Penn</w:t>
      </w:r>
      <w:r w:rsidRPr="006C05B5">
        <w:t xml:space="preserve">’s PY7 programs. </w:t>
      </w:r>
    </w:p>
    <w:p w:rsidR="003351A0" w:rsidRPr="006C05B5" w:rsidRDefault="003351A0" w:rsidP="003351A0"/>
    <w:p w:rsidR="003351A0" w:rsidRDefault="003351A0" w:rsidP="003351A0">
      <w:r w:rsidRPr="006C05B5">
        <w:t xml:space="preserve">FirstEnergy implemented a common set of energy efficiency programs across its four Pennsylvania EDCs. FirstEnergy’s evaluation contractors, ADM/Tetra Tech, used the same evaluation methods for all four EDCs. See </w:t>
      </w:r>
      <w:r w:rsidRPr="003E2E20">
        <w:t xml:space="preserve">Section </w:t>
      </w:r>
      <w:r w:rsidRPr="003E2E20">
        <w:fldChar w:fldCharType="begin"/>
      </w:r>
      <w:r w:rsidRPr="003E2E20">
        <w:instrText xml:space="preserve"> REF _Ref472452280 \r \h </w:instrText>
      </w:r>
      <w:r>
        <w:instrText xml:space="preserve"> \* MERGEFORMAT </w:instrText>
      </w:r>
      <w:r w:rsidRPr="003E2E20">
        <w:fldChar w:fldCharType="separate"/>
      </w:r>
      <w:r w:rsidR="00C301D0">
        <w:t>A.2.4.4</w:t>
      </w:r>
      <w:r w:rsidRPr="003E2E20">
        <w:fldChar w:fldCharType="end"/>
      </w:r>
      <w:r w:rsidRPr="006C05B5">
        <w:t xml:space="preserve"> for a description of the SWE Team’s review of the FirstEnergy EDC NTG evaluation, which applies to all four of FirstEnergy’s Pennsylvania EDCs.</w:t>
      </w:r>
    </w:p>
    <w:p w:rsidR="003351A0" w:rsidRDefault="003351A0" w:rsidP="003351A0"/>
    <w:p w:rsidR="003351A0" w:rsidRDefault="003351A0" w:rsidP="003351A0">
      <w:r>
        <w:fldChar w:fldCharType="begin"/>
      </w:r>
      <w:r>
        <w:instrText xml:space="preserve"> REF _Ref472453267 \h </w:instrText>
      </w:r>
      <w:r>
        <w:fldChar w:fldCharType="separate"/>
      </w:r>
      <w:r w:rsidR="00A874AC" w:rsidRPr="003351A0">
        <w:t>Table A-</w:t>
      </w:r>
      <w:r w:rsidR="00A874AC">
        <w:rPr>
          <w:noProof/>
        </w:rPr>
        <w:t>101</w:t>
      </w:r>
      <w:r>
        <w:fldChar w:fldCharType="end"/>
      </w:r>
      <w:r>
        <w:t xml:space="preserve"> </w:t>
      </w:r>
      <w:r w:rsidRPr="006C05B5">
        <w:t>summarizes NTG findings from the</w:t>
      </w:r>
      <w:r w:rsidR="006722FB">
        <w:t xml:space="preserve"> West </w:t>
      </w:r>
      <w:r w:rsidRPr="006C05B5">
        <w:t>Penn PY7 annual report.</w:t>
      </w:r>
    </w:p>
    <w:p w:rsidR="003351A0" w:rsidRDefault="003351A0" w:rsidP="003351A0"/>
    <w:p w:rsidR="003351A0" w:rsidRPr="003351A0" w:rsidRDefault="003351A0" w:rsidP="003351A0">
      <w:pPr>
        <w:pStyle w:val="Caption"/>
      </w:pPr>
      <w:bookmarkStart w:id="1088" w:name="_Ref472453267"/>
      <w:bookmarkStart w:id="1089" w:name="_Toc472472510"/>
      <w:bookmarkStart w:id="1090" w:name="_Toc476842216"/>
      <w:r w:rsidRPr="003351A0">
        <w:t>Table A-</w:t>
      </w:r>
      <w:fldSimple w:instr=" SEQ Table_A- \* ARABIC ">
        <w:r w:rsidR="00C301D0">
          <w:rPr>
            <w:noProof/>
          </w:rPr>
          <w:t>101</w:t>
        </w:r>
      </w:fldSimple>
      <w:bookmarkEnd w:id="1088"/>
      <w:r w:rsidR="006722FB">
        <w:rPr>
          <w:noProof/>
        </w:rPr>
        <w:t>:</w:t>
      </w:r>
      <w:r w:rsidRPr="003351A0">
        <w:t xml:space="preserve"> Summary of NTG Estimates for</w:t>
      </w:r>
      <w:r w:rsidR="00F366E8">
        <w:t xml:space="preserve"> West P</w:t>
      </w:r>
      <w:r w:rsidRPr="003351A0">
        <w:t>enn</w:t>
      </w:r>
      <w:r w:rsidR="00F366E8">
        <w:t>’s</w:t>
      </w:r>
      <w:r w:rsidRPr="003351A0">
        <w:t xml:space="preserve"> Programs</w:t>
      </w:r>
      <w:bookmarkEnd w:id="1089"/>
      <w:bookmarkEnd w:id="1090"/>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417"/>
        <w:gridCol w:w="3294"/>
        <w:gridCol w:w="1144"/>
        <w:gridCol w:w="1212"/>
        <w:gridCol w:w="1209"/>
        <w:gridCol w:w="1074"/>
      </w:tblGrid>
      <w:tr w:rsidR="00A874AC" w:rsidRPr="006C05B5" w:rsidTr="005C1352">
        <w:trPr>
          <w:tblHeader/>
          <w:jc w:val="center"/>
        </w:trPr>
        <w:tc>
          <w:tcPr>
            <w:tcW w:w="1417" w:type="dxa"/>
            <w:tcBorders>
              <w:bottom w:val="single" w:sz="4" w:space="0" w:color="448A99"/>
            </w:tcBorders>
            <w:shd w:val="clear" w:color="auto" w:fill="448A99"/>
            <w:vAlign w:val="bottom"/>
          </w:tcPr>
          <w:p w:rsidR="00F366E8" w:rsidRPr="006C05B5" w:rsidRDefault="00F366E8" w:rsidP="005C1352">
            <w:pPr>
              <w:rPr>
                <w:b/>
                <w:color w:val="FFFFFF"/>
                <w:sz w:val="20"/>
                <w:szCs w:val="20"/>
              </w:rPr>
            </w:pPr>
            <w:r w:rsidRPr="006C05B5">
              <w:rPr>
                <w:b/>
                <w:color w:val="FFFFFF"/>
                <w:sz w:val="20"/>
                <w:szCs w:val="20"/>
              </w:rPr>
              <w:t>Approach</w:t>
            </w:r>
          </w:p>
        </w:tc>
        <w:tc>
          <w:tcPr>
            <w:tcW w:w="3294" w:type="dxa"/>
            <w:tcBorders>
              <w:bottom w:val="single" w:sz="4" w:space="0" w:color="448A99"/>
            </w:tcBorders>
            <w:shd w:val="clear" w:color="auto" w:fill="448A99"/>
            <w:vAlign w:val="bottom"/>
          </w:tcPr>
          <w:p w:rsidR="00F366E8" w:rsidRPr="006C05B5" w:rsidRDefault="00F366E8" w:rsidP="005C1352">
            <w:pPr>
              <w:rPr>
                <w:b/>
                <w:color w:val="FFFFFF"/>
                <w:sz w:val="20"/>
                <w:szCs w:val="20"/>
              </w:rPr>
            </w:pPr>
            <w:r w:rsidRPr="006C05B5">
              <w:rPr>
                <w:b/>
                <w:color w:val="FFFFFF"/>
                <w:sz w:val="20"/>
                <w:szCs w:val="20"/>
              </w:rPr>
              <w:t>Program</w:t>
            </w:r>
          </w:p>
        </w:tc>
        <w:tc>
          <w:tcPr>
            <w:tcW w:w="1144" w:type="dxa"/>
            <w:tcBorders>
              <w:bottom w:val="single" w:sz="4" w:space="0" w:color="448A99"/>
            </w:tcBorders>
            <w:shd w:val="clear" w:color="auto" w:fill="448A99"/>
            <w:vAlign w:val="bottom"/>
          </w:tcPr>
          <w:p w:rsidR="00F366E8" w:rsidRPr="006C05B5" w:rsidRDefault="00F366E8" w:rsidP="005C1352">
            <w:pPr>
              <w:jc w:val="center"/>
              <w:rPr>
                <w:b/>
                <w:color w:val="FFFFFF"/>
                <w:sz w:val="20"/>
                <w:szCs w:val="20"/>
              </w:rPr>
            </w:pPr>
            <w:r w:rsidRPr="006C05B5">
              <w:rPr>
                <w:b/>
                <w:color w:val="FFFFFF"/>
                <w:sz w:val="20"/>
                <w:szCs w:val="20"/>
              </w:rPr>
              <w:t>Free-Ridership</w:t>
            </w:r>
          </w:p>
        </w:tc>
        <w:tc>
          <w:tcPr>
            <w:tcW w:w="1212" w:type="dxa"/>
            <w:tcBorders>
              <w:bottom w:val="single" w:sz="4" w:space="0" w:color="448A99"/>
            </w:tcBorders>
            <w:shd w:val="clear" w:color="auto" w:fill="448A99"/>
            <w:vAlign w:val="bottom"/>
          </w:tcPr>
          <w:p w:rsidR="00F366E8" w:rsidRPr="006C05B5" w:rsidRDefault="00F366E8" w:rsidP="005C1352">
            <w:pPr>
              <w:jc w:val="center"/>
              <w:rPr>
                <w:b/>
                <w:color w:val="FFFFFF"/>
                <w:sz w:val="20"/>
                <w:szCs w:val="20"/>
              </w:rPr>
            </w:pPr>
            <w:r w:rsidRPr="006C05B5">
              <w:rPr>
                <w:b/>
                <w:color w:val="FFFFFF"/>
                <w:sz w:val="20"/>
                <w:szCs w:val="20"/>
              </w:rPr>
              <w:t>Spillover</w:t>
            </w:r>
          </w:p>
        </w:tc>
        <w:tc>
          <w:tcPr>
            <w:tcW w:w="1209" w:type="dxa"/>
            <w:tcBorders>
              <w:bottom w:val="single" w:sz="4" w:space="0" w:color="448A99"/>
            </w:tcBorders>
            <w:shd w:val="clear" w:color="auto" w:fill="448A99"/>
            <w:vAlign w:val="bottom"/>
          </w:tcPr>
          <w:p w:rsidR="00F366E8" w:rsidRPr="006C05B5" w:rsidRDefault="00F366E8" w:rsidP="005C1352">
            <w:pPr>
              <w:jc w:val="center"/>
              <w:rPr>
                <w:b/>
                <w:color w:val="FFFFFF"/>
                <w:sz w:val="20"/>
                <w:szCs w:val="20"/>
              </w:rPr>
            </w:pPr>
            <w:r w:rsidRPr="006C05B5">
              <w:rPr>
                <w:b/>
                <w:color w:val="FFFFFF"/>
                <w:sz w:val="20"/>
                <w:szCs w:val="20"/>
              </w:rPr>
              <w:t>NTGR</w:t>
            </w:r>
            <w:r w:rsidRPr="006C05B5">
              <w:rPr>
                <w:b/>
                <w:color w:val="FFFFFF"/>
                <w:sz w:val="20"/>
                <w:szCs w:val="20"/>
                <w:vertAlign w:val="superscript"/>
              </w:rPr>
              <w:t>[a]</w:t>
            </w:r>
          </w:p>
        </w:tc>
        <w:tc>
          <w:tcPr>
            <w:tcW w:w="1074" w:type="dxa"/>
            <w:tcBorders>
              <w:bottom w:val="single" w:sz="4" w:space="0" w:color="448A99"/>
            </w:tcBorders>
            <w:shd w:val="clear" w:color="auto" w:fill="448A99"/>
            <w:vAlign w:val="bottom"/>
          </w:tcPr>
          <w:p w:rsidR="00F366E8" w:rsidRPr="006C05B5" w:rsidRDefault="00F366E8" w:rsidP="005C1352">
            <w:pPr>
              <w:jc w:val="center"/>
              <w:rPr>
                <w:b/>
                <w:color w:val="FFFFFF"/>
                <w:sz w:val="20"/>
                <w:szCs w:val="20"/>
              </w:rPr>
            </w:pPr>
            <w:r w:rsidRPr="006C05B5">
              <w:rPr>
                <w:b/>
                <w:color w:val="FFFFFF"/>
                <w:sz w:val="20"/>
                <w:szCs w:val="20"/>
              </w:rPr>
              <w:t>Sample Size</w:t>
            </w:r>
            <w:r w:rsidRPr="006C05B5">
              <w:rPr>
                <w:b/>
                <w:color w:val="FFFFFF"/>
                <w:sz w:val="20"/>
                <w:szCs w:val="20"/>
                <w:vertAlign w:val="superscript"/>
              </w:rPr>
              <w:t>[b]</w:t>
            </w:r>
          </w:p>
        </w:tc>
      </w:tr>
      <w:tr w:rsidR="00E7173E" w:rsidRPr="006C05B5" w:rsidTr="008F60E1">
        <w:trPr>
          <w:trHeight w:val="288"/>
          <w:jc w:val="center"/>
        </w:trPr>
        <w:tc>
          <w:tcPr>
            <w:tcW w:w="9350" w:type="dxa"/>
            <w:gridSpan w:val="6"/>
            <w:shd w:val="clear" w:color="auto" w:fill="9C9393"/>
          </w:tcPr>
          <w:p w:rsidR="00F366E8" w:rsidRPr="006C05B5" w:rsidRDefault="00F366E8" w:rsidP="005C1352">
            <w:pPr>
              <w:rPr>
                <w:b/>
                <w:color w:val="FFFFFF"/>
                <w:sz w:val="20"/>
                <w:szCs w:val="20"/>
              </w:rPr>
            </w:pPr>
            <w:r w:rsidRPr="006C05B5">
              <w:rPr>
                <w:b/>
                <w:color w:val="FFFFFF"/>
                <w:sz w:val="20"/>
                <w:szCs w:val="20"/>
              </w:rPr>
              <w:t>Residential</w:t>
            </w:r>
          </w:p>
        </w:tc>
      </w:tr>
      <w:tr w:rsidR="00A874AC" w:rsidRPr="006C05B5" w:rsidTr="005C1352">
        <w:trPr>
          <w:trHeight w:val="346"/>
          <w:jc w:val="center"/>
        </w:trPr>
        <w:tc>
          <w:tcPr>
            <w:tcW w:w="1417" w:type="dxa"/>
            <w:vMerge w:val="restart"/>
            <w:shd w:val="clear" w:color="auto" w:fill="D2EAF1"/>
          </w:tcPr>
          <w:p w:rsidR="00F366E8" w:rsidRPr="006C05B5" w:rsidRDefault="00F366E8" w:rsidP="005C1352">
            <w:pPr>
              <w:rPr>
                <w:sz w:val="20"/>
                <w:szCs w:val="20"/>
              </w:rPr>
            </w:pPr>
            <w:r w:rsidRPr="006C05B5">
              <w:rPr>
                <w:sz w:val="20"/>
                <w:szCs w:val="20"/>
              </w:rPr>
              <w:t>Estimated</w:t>
            </w:r>
          </w:p>
        </w:tc>
        <w:tc>
          <w:tcPr>
            <w:tcW w:w="3294" w:type="dxa"/>
            <w:shd w:val="clear" w:color="auto" w:fill="D2EAF1"/>
            <w:vAlign w:val="center"/>
          </w:tcPr>
          <w:p w:rsidR="00F366E8" w:rsidRPr="006C05B5" w:rsidRDefault="00F366E8" w:rsidP="005C1352">
            <w:pPr>
              <w:jc w:val="left"/>
              <w:rPr>
                <w:color w:val="548DD4"/>
                <w:sz w:val="20"/>
                <w:szCs w:val="20"/>
              </w:rPr>
            </w:pPr>
            <w:r w:rsidRPr="006C05B5">
              <w:rPr>
                <w:sz w:val="20"/>
                <w:szCs w:val="20"/>
              </w:rPr>
              <w:t>Appliance Turn-In</w:t>
            </w:r>
            <w:r w:rsidRPr="006C05B5">
              <w:rPr>
                <w:sz w:val="20"/>
                <w:szCs w:val="20"/>
                <w:vertAlign w:val="superscript"/>
              </w:rPr>
              <w:t>[c]</w:t>
            </w:r>
          </w:p>
        </w:tc>
        <w:tc>
          <w:tcPr>
            <w:tcW w:w="1144" w:type="dxa"/>
            <w:shd w:val="clear" w:color="auto" w:fill="D2EAF1"/>
            <w:vAlign w:val="center"/>
          </w:tcPr>
          <w:p w:rsidR="00F366E8" w:rsidRPr="006C05B5" w:rsidRDefault="00F366E8" w:rsidP="005C1352">
            <w:pPr>
              <w:jc w:val="center"/>
              <w:rPr>
                <w:sz w:val="20"/>
                <w:szCs w:val="20"/>
              </w:rPr>
            </w:pPr>
            <w:r w:rsidRPr="006C05B5">
              <w:rPr>
                <w:sz w:val="20"/>
                <w:szCs w:val="20"/>
              </w:rPr>
              <w:t>0.69</w:t>
            </w:r>
          </w:p>
        </w:tc>
        <w:tc>
          <w:tcPr>
            <w:tcW w:w="1212" w:type="dxa"/>
            <w:shd w:val="clear" w:color="auto" w:fill="D2EAF1"/>
            <w:vAlign w:val="center"/>
          </w:tcPr>
          <w:p w:rsidR="00F366E8" w:rsidRPr="006C05B5" w:rsidRDefault="00F366E8" w:rsidP="005C1352">
            <w:pPr>
              <w:jc w:val="center"/>
              <w:rPr>
                <w:sz w:val="20"/>
                <w:szCs w:val="20"/>
              </w:rPr>
            </w:pPr>
            <w:r w:rsidRPr="006C05B5">
              <w:rPr>
                <w:sz w:val="20"/>
                <w:szCs w:val="20"/>
              </w:rPr>
              <w:t>0.00</w:t>
            </w:r>
          </w:p>
        </w:tc>
        <w:tc>
          <w:tcPr>
            <w:tcW w:w="1209" w:type="dxa"/>
            <w:shd w:val="clear" w:color="auto" w:fill="D2EAF1"/>
            <w:vAlign w:val="center"/>
          </w:tcPr>
          <w:p w:rsidR="00F366E8" w:rsidRPr="006C05B5" w:rsidRDefault="00F366E8" w:rsidP="005C1352">
            <w:pPr>
              <w:jc w:val="center"/>
              <w:rPr>
                <w:sz w:val="20"/>
                <w:szCs w:val="20"/>
              </w:rPr>
            </w:pPr>
            <w:r w:rsidRPr="006C05B5">
              <w:rPr>
                <w:sz w:val="20"/>
                <w:szCs w:val="20"/>
              </w:rPr>
              <w:t>0.31</w:t>
            </w:r>
          </w:p>
        </w:tc>
        <w:tc>
          <w:tcPr>
            <w:tcW w:w="1074" w:type="dxa"/>
            <w:shd w:val="clear" w:color="auto" w:fill="D2EAF1"/>
            <w:vAlign w:val="center"/>
          </w:tcPr>
          <w:p w:rsidR="00F366E8" w:rsidRPr="006C05B5" w:rsidRDefault="00F366E8" w:rsidP="005C1352">
            <w:pPr>
              <w:jc w:val="center"/>
              <w:rPr>
                <w:sz w:val="20"/>
                <w:szCs w:val="20"/>
              </w:rPr>
            </w:pPr>
            <w:r w:rsidRPr="006C05B5">
              <w:rPr>
                <w:sz w:val="20"/>
                <w:szCs w:val="20"/>
              </w:rPr>
              <w:t>66</w:t>
            </w:r>
          </w:p>
        </w:tc>
      </w:tr>
      <w:tr w:rsidR="00F366E8" w:rsidRPr="006C05B5" w:rsidTr="008F60E1">
        <w:trPr>
          <w:trHeight w:val="346"/>
          <w:jc w:val="center"/>
        </w:trPr>
        <w:tc>
          <w:tcPr>
            <w:tcW w:w="1417" w:type="dxa"/>
            <w:vMerge/>
          </w:tcPr>
          <w:p w:rsidR="00F366E8" w:rsidRPr="006C05B5" w:rsidRDefault="00F366E8" w:rsidP="005C1352">
            <w:pPr>
              <w:rPr>
                <w:sz w:val="20"/>
                <w:szCs w:val="20"/>
              </w:rPr>
            </w:pPr>
          </w:p>
        </w:tc>
        <w:tc>
          <w:tcPr>
            <w:tcW w:w="3294" w:type="dxa"/>
            <w:vAlign w:val="center"/>
          </w:tcPr>
          <w:p w:rsidR="00F366E8" w:rsidRPr="006C05B5" w:rsidRDefault="00F366E8" w:rsidP="005C1352">
            <w:pPr>
              <w:jc w:val="left"/>
              <w:rPr>
                <w:color w:val="548DD4"/>
                <w:sz w:val="20"/>
                <w:szCs w:val="20"/>
              </w:rPr>
            </w:pPr>
            <w:r w:rsidRPr="006C05B5">
              <w:rPr>
                <w:sz w:val="20"/>
                <w:szCs w:val="20"/>
              </w:rPr>
              <w:t>Efficient Products</w:t>
            </w:r>
          </w:p>
        </w:tc>
        <w:tc>
          <w:tcPr>
            <w:tcW w:w="1144" w:type="dxa"/>
            <w:vAlign w:val="center"/>
          </w:tcPr>
          <w:p w:rsidR="00F366E8" w:rsidRPr="006C05B5" w:rsidRDefault="00F366E8" w:rsidP="005C1352">
            <w:pPr>
              <w:jc w:val="center"/>
              <w:rPr>
                <w:sz w:val="20"/>
                <w:szCs w:val="20"/>
              </w:rPr>
            </w:pPr>
            <w:r w:rsidRPr="006C05B5">
              <w:rPr>
                <w:sz w:val="20"/>
                <w:szCs w:val="20"/>
              </w:rPr>
              <w:t>0.38</w:t>
            </w:r>
          </w:p>
        </w:tc>
        <w:tc>
          <w:tcPr>
            <w:tcW w:w="1212" w:type="dxa"/>
            <w:vAlign w:val="center"/>
          </w:tcPr>
          <w:p w:rsidR="00F366E8" w:rsidRPr="006C05B5" w:rsidRDefault="00F366E8" w:rsidP="005C1352">
            <w:pPr>
              <w:jc w:val="center"/>
              <w:rPr>
                <w:sz w:val="20"/>
                <w:szCs w:val="20"/>
              </w:rPr>
            </w:pPr>
            <w:r w:rsidRPr="006C05B5">
              <w:rPr>
                <w:sz w:val="20"/>
                <w:szCs w:val="20"/>
              </w:rPr>
              <w:t>0.01</w:t>
            </w:r>
          </w:p>
        </w:tc>
        <w:tc>
          <w:tcPr>
            <w:tcW w:w="1209" w:type="dxa"/>
            <w:vAlign w:val="center"/>
          </w:tcPr>
          <w:p w:rsidR="00F366E8" w:rsidRPr="006C05B5" w:rsidRDefault="00F366E8" w:rsidP="005C1352">
            <w:pPr>
              <w:jc w:val="center"/>
              <w:rPr>
                <w:sz w:val="20"/>
                <w:szCs w:val="20"/>
              </w:rPr>
            </w:pPr>
            <w:r w:rsidRPr="006C05B5">
              <w:rPr>
                <w:sz w:val="20"/>
                <w:szCs w:val="20"/>
              </w:rPr>
              <w:t>0.63</w:t>
            </w:r>
          </w:p>
        </w:tc>
        <w:tc>
          <w:tcPr>
            <w:tcW w:w="1074" w:type="dxa"/>
            <w:vAlign w:val="center"/>
          </w:tcPr>
          <w:p w:rsidR="00F366E8" w:rsidRPr="006C05B5" w:rsidRDefault="00F366E8" w:rsidP="005C1352">
            <w:pPr>
              <w:jc w:val="center"/>
              <w:rPr>
                <w:sz w:val="20"/>
                <w:szCs w:val="20"/>
              </w:rPr>
            </w:pPr>
            <w:r w:rsidRPr="006C05B5">
              <w:rPr>
                <w:sz w:val="20"/>
                <w:szCs w:val="20"/>
              </w:rPr>
              <w:t>131</w:t>
            </w:r>
          </w:p>
        </w:tc>
      </w:tr>
      <w:tr w:rsidR="00A874AC" w:rsidRPr="006C05B5" w:rsidTr="005C1352">
        <w:trPr>
          <w:trHeight w:val="346"/>
          <w:jc w:val="center"/>
        </w:trPr>
        <w:tc>
          <w:tcPr>
            <w:tcW w:w="1417" w:type="dxa"/>
            <w:vMerge/>
            <w:tcBorders>
              <w:bottom w:val="single" w:sz="4" w:space="0" w:color="448A99"/>
            </w:tcBorders>
          </w:tcPr>
          <w:p w:rsidR="00F366E8" w:rsidRPr="006C05B5" w:rsidRDefault="00F366E8" w:rsidP="005C1352">
            <w:pPr>
              <w:rPr>
                <w:sz w:val="20"/>
                <w:szCs w:val="20"/>
              </w:rPr>
            </w:pPr>
          </w:p>
        </w:tc>
        <w:tc>
          <w:tcPr>
            <w:tcW w:w="3294" w:type="dxa"/>
            <w:tcBorders>
              <w:bottom w:val="single" w:sz="4" w:space="0" w:color="448A99"/>
            </w:tcBorders>
            <w:shd w:val="clear" w:color="auto" w:fill="D2EAF1"/>
            <w:vAlign w:val="center"/>
          </w:tcPr>
          <w:p w:rsidR="00F366E8" w:rsidRPr="006C05B5" w:rsidRDefault="00F366E8" w:rsidP="005C1352">
            <w:pPr>
              <w:jc w:val="left"/>
              <w:rPr>
                <w:color w:val="548DD4"/>
                <w:sz w:val="20"/>
                <w:szCs w:val="20"/>
              </w:rPr>
            </w:pPr>
            <w:r w:rsidRPr="006C05B5">
              <w:rPr>
                <w:sz w:val="20"/>
                <w:szCs w:val="20"/>
              </w:rPr>
              <w:t>Home Performance</w:t>
            </w:r>
          </w:p>
        </w:tc>
        <w:tc>
          <w:tcPr>
            <w:tcW w:w="1144"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0.24</w:t>
            </w:r>
          </w:p>
        </w:tc>
        <w:tc>
          <w:tcPr>
            <w:tcW w:w="1212"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0.06</w:t>
            </w:r>
          </w:p>
        </w:tc>
        <w:tc>
          <w:tcPr>
            <w:tcW w:w="1209"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0.82</w:t>
            </w:r>
          </w:p>
        </w:tc>
        <w:tc>
          <w:tcPr>
            <w:tcW w:w="1074"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N/A</w:t>
            </w:r>
          </w:p>
        </w:tc>
      </w:tr>
      <w:tr w:rsidR="00E7173E" w:rsidRPr="006C05B5" w:rsidTr="008F60E1">
        <w:trPr>
          <w:trHeight w:val="288"/>
          <w:jc w:val="center"/>
        </w:trPr>
        <w:tc>
          <w:tcPr>
            <w:tcW w:w="9350" w:type="dxa"/>
            <w:gridSpan w:val="6"/>
            <w:shd w:val="clear" w:color="auto" w:fill="9C9393"/>
            <w:vAlign w:val="center"/>
          </w:tcPr>
          <w:p w:rsidR="00F366E8" w:rsidRPr="006C05B5" w:rsidRDefault="00F366E8" w:rsidP="005C1352">
            <w:pPr>
              <w:jc w:val="left"/>
              <w:rPr>
                <w:b/>
                <w:color w:val="FFFFFF"/>
                <w:sz w:val="20"/>
                <w:szCs w:val="20"/>
              </w:rPr>
            </w:pPr>
            <w:r w:rsidRPr="006C05B5">
              <w:rPr>
                <w:b/>
                <w:color w:val="FFFFFF"/>
                <w:sz w:val="20"/>
                <w:szCs w:val="20"/>
              </w:rPr>
              <w:t>Low-Income</w:t>
            </w:r>
          </w:p>
        </w:tc>
      </w:tr>
      <w:tr w:rsidR="00E7173E" w:rsidRPr="006C05B5" w:rsidTr="008F60E1">
        <w:trPr>
          <w:trHeight w:val="346"/>
          <w:jc w:val="center"/>
        </w:trPr>
        <w:tc>
          <w:tcPr>
            <w:tcW w:w="1417" w:type="dxa"/>
            <w:shd w:val="clear" w:color="auto" w:fill="auto"/>
            <w:vAlign w:val="center"/>
          </w:tcPr>
          <w:p w:rsidR="00F366E8" w:rsidRPr="006C05B5" w:rsidRDefault="00F366E8" w:rsidP="005C1352">
            <w:pPr>
              <w:jc w:val="left"/>
              <w:rPr>
                <w:b/>
                <w:color w:val="FFFFFF"/>
                <w:sz w:val="20"/>
                <w:szCs w:val="20"/>
              </w:rPr>
            </w:pPr>
            <w:r w:rsidRPr="006C05B5">
              <w:rPr>
                <w:sz w:val="20"/>
                <w:szCs w:val="20"/>
              </w:rPr>
              <w:t>Estimated</w:t>
            </w:r>
          </w:p>
        </w:tc>
        <w:tc>
          <w:tcPr>
            <w:tcW w:w="3294" w:type="dxa"/>
            <w:shd w:val="clear" w:color="auto" w:fill="auto"/>
            <w:vAlign w:val="center"/>
          </w:tcPr>
          <w:p w:rsidR="00F366E8" w:rsidRPr="006C05B5" w:rsidRDefault="00F366E8" w:rsidP="005C1352">
            <w:pPr>
              <w:jc w:val="left"/>
              <w:rPr>
                <w:sz w:val="20"/>
                <w:szCs w:val="20"/>
              </w:rPr>
            </w:pPr>
            <w:r w:rsidRPr="006C05B5">
              <w:rPr>
                <w:sz w:val="20"/>
                <w:szCs w:val="20"/>
              </w:rPr>
              <w:t>Residential Low-Income Program</w:t>
            </w:r>
          </w:p>
        </w:tc>
        <w:tc>
          <w:tcPr>
            <w:tcW w:w="1144" w:type="dxa"/>
            <w:shd w:val="clear" w:color="auto" w:fill="auto"/>
            <w:vAlign w:val="center"/>
          </w:tcPr>
          <w:p w:rsidR="00F366E8" w:rsidRPr="006C05B5" w:rsidRDefault="00F366E8" w:rsidP="005C1352">
            <w:pPr>
              <w:jc w:val="center"/>
              <w:rPr>
                <w:sz w:val="20"/>
                <w:szCs w:val="20"/>
              </w:rPr>
            </w:pPr>
            <w:r w:rsidRPr="006C05B5">
              <w:rPr>
                <w:sz w:val="20"/>
                <w:szCs w:val="20"/>
              </w:rPr>
              <w:t>0.27</w:t>
            </w:r>
          </w:p>
        </w:tc>
        <w:tc>
          <w:tcPr>
            <w:tcW w:w="1212" w:type="dxa"/>
            <w:shd w:val="clear" w:color="auto" w:fill="auto"/>
            <w:vAlign w:val="center"/>
          </w:tcPr>
          <w:p w:rsidR="00F366E8" w:rsidRPr="006C05B5" w:rsidRDefault="00F366E8" w:rsidP="005C1352">
            <w:pPr>
              <w:jc w:val="center"/>
              <w:rPr>
                <w:sz w:val="20"/>
                <w:szCs w:val="20"/>
              </w:rPr>
            </w:pPr>
            <w:r w:rsidRPr="006C05B5">
              <w:rPr>
                <w:sz w:val="20"/>
                <w:szCs w:val="20"/>
              </w:rPr>
              <w:t>0.17</w:t>
            </w:r>
          </w:p>
        </w:tc>
        <w:tc>
          <w:tcPr>
            <w:tcW w:w="1209" w:type="dxa"/>
            <w:shd w:val="clear" w:color="auto" w:fill="auto"/>
            <w:vAlign w:val="center"/>
          </w:tcPr>
          <w:p w:rsidR="00F366E8" w:rsidRPr="006C05B5" w:rsidRDefault="00F366E8" w:rsidP="005C1352">
            <w:pPr>
              <w:jc w:val="center"/>
              <w:rPr>
                <w:sz w:val="20"/>
                <w:szCs w:val="20"/>
              </w:rPr>
            </w:pPr>
            <w:r w:rsidRPr="006C05B5">
              <w:rPr>
                <w:sz w:val="20"/>
                <w:szCs w:val="20"/>
              </w:rPr>
              <w:t>0.90</w:t>
            </w:r>
          </w:p>
        </w:tc>
        <w:tc>
          <w:tcPr>
            <w:tcW w:w="1074" w:type="dxa"/>
            <w:shd w:val="clear" w:color="auto" w:fill="auto"/>
            <w:vAlign w:val="center"/>
          </w:tcPr>
          <w:p w:rsidR="00F366E8" w:rsidRPr="006C05B5" w:rsidRDefault="00F366E8" w:rsidP="005C1352">
            <w:pPr>
              <w:jc w:val="center"/>
              <w:rPr>
                <w:sz w:val="20"/>
                <w:szCs w:val="20"/>
              </w:rPr>
            </w:pPr>
            <w:r w:rsidRPr="006C05B5">
              <w:rPr>
                <w:sz w:val="20"/>
                <w:szCs w:val="20"/>
              </w:rPr>
              <w:t>46</w:t>
            </w:r>
          </w:p>
        </w:tc>
      </w:tr>
      <w:tr w:rsidR="00E7173E" w:rsidRPr="006C05B5" w:rsidTr="008F60E1">
        <w:trPr>
          <w:trHeight w:val="288"/>
          <w:jc w:val="center"/>
        </w:trPr>
        <w:tc>
          <w:tcPr>
            <w:tcW w:w="9350" w:type="dxa"/>
            <w:gridSpan w:val="6"/>
            <w:shd w:val="clear" w:color="auto" w:fill="9C9393"/>
            <w:vAlign w:val="center"/>
          </w:tcPr>
          <w:p w:rsidR="00F366E8" w:rsidRPr="006C05B5" w:rsidRDefault="00F366E8" w:rsidP="005C1352">
            <w:pPr>
              <w:jc w:val="left"/>
              <w:rPr>
                <w:b/>
                <w:color w:val="FFFFFF"/>
                <w:sz w:val="20"/>
                <w:szCs w:val="20"/>
              </w:rPr>
            </w:pPr>
            <w:r w:rsidRPr="006C05B5">
              <w:rPr>
                <w:b/>
                <w:color w:val="FFFFFF"/>
                <w:sz w:val="20"/>
                <w:szCs w:val="20"/>
              </w:rPr>
              <w:t>Non-Residential</w:t>
            </w:r>
          </w:p>
        </w:tc>
      </w:tr>
      <w:tr w:rsidR="00A874AC" w:rsidRPr="006C05B5" w:rsidTr="005C1352">
        <w:trPr>
          <w:trHeight w:val="346"/>
          <w:jc w:val="center"/>
        </w:trPr>
        <w:tc>
          <w:tcPr>
            <w:tcW w:w="1417" w:type="dxa"/>
            <w:vMerge w:val="restart"/>
            <w:shd w:val="clear" w:color="auto" w:fill="D2EAF1"/>
          </w:tcPr>
          <w:p w:rsidR="00F366E8" w:rsidRPr="006C05B5" w:rsidRDefault="00F366E8" w:rsidP="005C1352">
            <w:pPr>
              <w:rPr>
                <w:sz w:val="20"/>
                <w:szCs w:val="20"/>
              </w:rPr>
            </w:pPr>
            <w:r w:rsidRPr="006C05B5">
              <w:rPr>
                <w:sz w:val="20"/>
                <w:szCs w:val="20"/>
              </w:rPr>
              <w:t>Estimated</w:t>
            </w:r>
          </w:p>
        </w:tc>
        <w:tc>
          <w:tcPr>
            <w:tcW w:w="3294" w:type="dxa"/>
            <w:tcBorders>
              <w:bottom w:val="single" w:sz="4" w:space="0" w:color="448A99"/>
            </w:tcBorders>
            <w:shd w:val="clear" w:color="auto" w:fill="D2EAF1"/>
            <w:vAlign w:val="center"/>
          </w:tcPr>
          <w:p w:rsidR="00F366E8" w:rsidRPr="006C05B5" w:rsidRDefault="00F366E8" w:rsidP="005C1352">
            <w:pPr>
              <w:jc w:val="left"/>
              <w:rPr>
                <w:sz w:val="20"/>
                <w:szCs w:val="20"/>
              </w:rPr>
            </w:pPr>
            <w:r w:rsidRPr="006C05B5">
              <w:rPr>
                <w:sz w:val="20"/>
                <w:szCs w:val="20"/>
              </w:rPr>
              <w:t>Small C/I Equipment</w:t>
            </w:r>
          </w:p>
        </w:tc>
        <w:tc>
          <w:tcPr>
            <w:tcW w:w="1144"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0.39</w:t>
            </w:r>
          </w:p>
        </w:tc>
        <w:tc>
          <w:tcPr>
            <w:tcW w:w="1212"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0.10</w:t>
            </w:r>
          </w:p>
        </w:tc>
        <w:tc>
          <w:tcPr>
            <w:tcW w:w="1209"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0.72</w:t>
            </w:r>
          </w:p>
        </w:tc>
        <w:tc>
          <w:tcPr>
            <w:tcW w:w="1074"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N/A</w:t>
            </w:r>
          </w:p>
        </w:tc>
      </w:tr>
      <w:tr w:rsidR="00A874AC" w:rsidRPr="006C05B5" w:rsidTr="005C1352">
        <w:trPr>
          <w:trHeight w:val="346"/>
          <w:jc w:val="center"/>
        </w:trPr>
        <w:tc>
          <w:tcPr>
            <w:tcW w:w="1417" w:type="dxa"/>
            <w:vMerge/>
            <w:shd w:val="clear" w:color="auto" w:fill="D2EAF1"/>
          </w:tcPr>
          <w:p w:rsidR="00F366E8" w:rsidRPr="006C05B5" w:rsidRDefault="00F366E8" w:rsidP="005C1352">
            <w:pPr>
              <w:rPr>
                <w:sz w:val="20"/>
                <w:szCs w:val="20"/>
              </w:rPr>
            </w:pPr>
          </w:p>
        </w:tc>
        <w:tc>
          <w:tcPr>
            <w:tcW w:w="3294" w:type="dxa"/>
            <w:tcBorders>
              <w:bottom w:val="single" w:sz="4" w:space="0" w:color="448A99"/>
            </w:tcBorders>
            <w:shd w:val="clear" w:color="auto" w:fill="FFFFFF"/>
            <w:vAlign w:val="center"/>
          </w:tcPr>
          <w:p w:rsidR="00F366E8" w:rsidRPr="006C05B5" w:rsidRDefault="00F366E8" w:rsidP="005C1352">
            <w:pPr>
              <w:jc w:val="left"/>
              <w:rPr>
                <w:sz w:val="20"/>
                <w:szCs w:val="20"/>
              </w:rPr>
            </w:pPr>
            <w:r w:rsidRPr="006C05B5">
              <w:rPr>
                <w:sz w:val="20"/>
                <w:szCs w:val="20"/>
              </w:rPr>
              <w:t>Large C/I Equipment</w:t>
            </w:r>
          </w:p>
        </w:tc>
        <w:tc>
          <w:tcPr>
            <w:tcW w:w="1144" w:type="dxa"/>
            <w:tcBorders>
              <w:bottom w:val="single" w:sz="4" w:space="0" w:color="448A99"/>
            </w:tcBorders>
            <w:shd w:val="clear" w:color="auto" w:fill="FFFFFF"/>
            <w:vAlign w:val="center"/>
          </w:tcPr>
          <w:p w:rsidR="00F366E8" w:rsidRPr="006C05B5" w:rsidRDefault="00F366E8" w:rsidP="005C1352">
            <w:pPr>
              <w:jc w:val="center"/>
              <w:rPr>
                <w:sz w:val="20"/>
                <w:szCs w:val="20"/>
              </w:rPr>
            </w:pPr>
            <w:r w:rsidRPr="006C05B5">
              <w:rPr>
                <w:sz w:val="20"/>
                <w:szCs w:val="20"/>
              </w:rPr>
              <w:t>0.35</w:t>
            </w:r>
          </w:p>
        </w:tc>
        <w:tc>
          <w:tcPr>
            <w:tcW w:w="1212" w:type="dxa"/>
            <w:tcBorders>
              <w:bottom w:val="single" w:sz="4" w:space="0" w:color="448A99"/>
            </w:tcBorders>
            <w:shd w:val="clear" w:color="auto" w:fill="FFFFFF"/>
            <w:vAlign w:val="center"/>
          </w:tcPr>
          <w:p w:rsidR="00F366E8" w:rsidRPr="006C05B5" w:rsidRDefault="00F366E8" w:rsidP="005C1352">
            <w:pPr>
              <w:jc w:val="center"/>
              <w:rPr>
                <w:sz w:val="20"/>
                <w:szCs w:val="20"/>
              </w:rPr>
            </w:pPr>
            <w:r w:rsidRPr="006C05B5">
              <w:rPr>
                <w:sz w:val="20"/>
                <w:szCs w:val="20"/>
              </w:rPr>
              <w:t>0.08</w:t>
            </w:r>
          </w:p>
        </w:tc>
        <w:tc>
          <w:tcPr>
            <w:tcW w:w="1209" w:type="dxa"/>
            <w:tcBorders>
              <w:bottom w:val="single" w:sz="4" w:space="0" w:color="448A99"/>
            </w:tcBorders>
            <w:shd w:val="clear" w:color="auto" w:fill="FFFFFF"/>
            <w:vAlign w:val="center"/>
          </w:tcPr>
          <w:p w:rsidR="00F366E8" w:rsidRPr="006C05B5" w:rsidRDefault="00F366E8" w:rsidP="005C1352">
            <w:pPr>
              <w:jc w:val="center"/>
              <w:rPr>
                <w:sz w:val="20"/>
                <w:szCs w:val="20"/>
              </w:rPr>
            </w:pPr>
            <w:r w:rsidRPr="006C05B5">
              <w:rPr>
                <w:sz w:val="20"/>
                <w:szCs w:val="20"/>
              </w:rPr>
              <w:t>0.73</w:t>
            </w:r>
          </w:p>
        </w:tc>
        <w:tc>
          <w:tcPr>
            <w:tcW w:w="1074" w:type="dxa"/>
            <w:tcBorders>
              <w:bottom w:val="single" w:sz="4" w:space="0" w:color="448A99"/>
            </w:tcBorders>
            <w:shd w:val="clear" w:color="auto" w:fill="FFFFFF"/>
            <w:vAlign w:val="center"/>
          </w:tcPr>
          <w:p w:rsidR="00F366E8" w:rsidRPr="006C05B5" w:rsidRDefault="00F366E8" w:rsidP="005C1352">
            <w:pPr>
              <w:jc w:val="center"/>
              <w:rPr>
                <w:sz w:val="20"/>
                <w:szCs w:val="20"/>
              </w:rPr>
            </w:pPr>
            <w:r w:rsidRPr="006C05B5">
              <w:rPr>
                <w:sz w:val="20"/>
                <w:szCs w:val="20"/>
              </w:rPr>
              <w:t>N/A</w:t>
            </w:r>
          </w:p>
        </w:tc>
      </w:tr>
      <w:tr w:rsidR="00A874AC" w:rsidRPr="006C05B5" w:rsidTr="005C1352">
        <w:trPr>
          <w:trHeight w:val="346"/>
          <w:jc w:val="center"/>
        </w:trPr>
        <w:tc>
          <w:tcPr>
            <w:tcW w:w="1417" w:type="dxa"/>
            <w:vMerge/>
            <w:shd w:val="clear" w:color="auto" w:fill="D2EAF1"/>
          </w:tcPr>
          <w:p w:rsidR="00F366E8" w:rsidRPr="006C05B5" w:rsidRDefault="00F366E8" w:rsidP="005C1352">
            <w:pPr>
              <w:rPr>
                <w:sz w:val="20"/>
                <w:szCs w:val="20"/>
              </w:rPr>
            </w:pPr>
          </w:p>
        </w:tc>
        <w:tc>
          <w:tcPr>
            <w:tcW w:w="3294" w:type="dxa"/>
            <w:tcBorders>
              <w:bottom w:val="single" w:sz="4" w:space="0" w:color="448A99"/>
            </w:tcBorders>
            <w:shd w:val="clear" w:color="auto" w:fill="D2EAF1"/>
            <w:vAlign w:val="center"/>
          </w:tcPr>
          <w:p w:rsidR="00F366E8" w:rsidRPr="006C05B5" w:rsidRDefault="00F366E8" w:rsidP="005C1352">
            <w:pPr>
              <w:jc w:val="left"/>
              <w:rPr>
                <w:sz w:val="20"/>
                <w:szCs w:val="20"/>
              </w:rPr>
            </w:pPr>
            <w:r w:rsidRPr="006C05B5">
              <w:rPr>
                <w:sz w:val="20"/>
                <w:szCs w:val="20"/>
              </w:rPr>
              <w:t>Small C/I Buildings</w:t>
            </w:r>
          </w:p>
        </w:tc>
        <w:tc>
          <w:tcPr>
            <w:tcW w:w="1144"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0.40</w:t>
            </w:r>
          </w:p>
        </w:tc>
        <w:tc>
          <w:tcPr>
            <w:tcW w:w="1212"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0.00</w:t>
            </w:r>
          </w:p>
        </w:tc>
        <w:tc>
          <w:tcPr>
            <w:tcW w:w="1209"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0.60</w:t>
            </w:r>
          </w:p>
        </w:tc>
        <w:tc>
          <w:tcPr>
            <w:tcW w:w="1074"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83</w:t>
            </w:r>
          </w:p>
        </w:tc>
      </w:tr>
      <w:tr w:rsidR="00A874AC" w:rsidRPr="006C05B5" w:rsidTr="005C1352">
        <w:trPr>
          <w:trHeight w:val="346"/>
          <w:jc w:val="center"/>
        </w:trPr>
        <w:tc>
          <w:tcPr>
            <w:tcW w:w="1417" w:type="dxa"/>
            <w:vMerge/>
            <w:shd w:val="clear" w:color="auto" w:fill="D2EAF1"/>
          </w:tcPr>
          <w:p w:rsidR="00F366E8" w:rsidRPr="006C05B5" w:rsidRDefault="00F366E8" w:rsidP="005C1352">
            <w:pPr>
              <w:rPr>
                <w:sz w:val="20"/>
                <w:szCs w:val="20"/>
              </w:rPr>
            </w:pPr>
          </w:p>
        </w:tc>
        <w:tc>
          <w:tcPr>
            <w:tcW w:w="3294" w:type="dxa"/>
            <w:tcBorders>
              <w:bottom w:val="single" w:sz="4" w:space="0" w:color="448A99"/>
            </w:tcBorders>
            <w:shd w:val="clear" w:color="auto" w:fill="FFFFFF"/>
            <w:vAlign w:val="center"/>
          </w:tcPr>
          <w:p w:rsidR="00F366E8" w:rsidRPr="006C05B5" w:rsidRDefault="00F366E8" w:rsidP="005C1352">
            <w:pPr>
              <w:jc w:val="left"/>
              <w:rPr>
                <w:sz w:val="20"/>
                <w:szCs w:val="20"/>
              </w:rPr>
            </w:pPr>
            <w:r w:rsidRPr="006C05B5">
              <w:rPr>
                <w:sz w:val="20"/>
                <w:szCs w:val="20"/>
              </w:rPr>
              <w:t>Large C/I Buildings</w:t>
            </w:r>
          </w:p>
        </w:tc>
        <w:tc>
          <w:tcPr>
            <w:tcW w:w="1144" w:type="dxa"/>
            <w:tcBorders>
              <w:bottom w:val="single" w:sz="4" w:space="0" w:color="448A99"/>
            </w:tcBorders>
            <w:shd w:val="clear" w:color="auto" w:fill="FFFFFF"/>
            <w:vAlign w:val="center"/>
          </w:tcPr>
          <w:p w:rsidR="00F366E8" w:rsidRPr="006C05B5" w:rsidRDefault="00F366E8" w:rsidP="005C1352">
            <w:pPr>
              <w:jc w:val="center"/>
              <w:rPr>
                <w:sz w:val="20"/>
                <w:szCs w:val="20"/>
              </w:rPr>
            </w:pPr>
            <w:r w:rsidRPr="006C05B5">
              <w:rPr>
                <w:sz w:val="20"/>
                <w:szCs w:val="20"/>
              </w:rPr>
              <w:t>0.52</w:t>
            </w:r>
          </w:p>
        </w:tc>
        <w:tc>
          <w:tcPr>
            <w:tcW w:w="1212" w:type="dxa"/>
            <w:tcBorders>
              <w:bottom w:val="single" w:sz="4" w:space="0" w:color="448A99"/>
            </w:tcBorders>
            <w:shd w:val="clear" w:color="auto" w:fill="FFFFFF"/>
            <w:vAlign w:val="center"/>
          </w:tcPr>
          <w:p w:rsidR="00F366E8" w:rsidRPr="006C05B5" w:rsidRDefault="00F366E8" w:rsidP="005C1352">
            <w:pPr>
              <w:jc w:val="center"/>
              <w:rPr>
                <w:sz w:val="20"/>
                <w:szCs w:val="20"/>
              </w:rPr>
            </w:pPr>
            <w:r w:rsidRPr="006C05B5">
              <w:rPr>
                <w:sz w:val="20"/>
                <w:szCs w:val="20"/>
              </w:rPr>
              <w:t>0.00</w:t>
            </w:r>
          </w:p>
        </w:tc>
        <w:tc>
          <w:tcPr>
            <w:tcW w:w="1209" w:type="dxa"/>
            <w:tcBorders>
              <w:bottom w:val="single" w:sz="4" w:space="0" w:color="448A99"/>
            </w:tcBorders>
            <w:shd w:val="clear" w:color="auto" w:fill="FFFFFF"/>
            <w:vAlign w:val="center"/>
          </w:tcPr>
          <w:p w:rsidR="00F366E8" w:rsidRPr="006C05B5" w:rsidRDefault="00F366E8" w:rsidP="005C1352">
            <w:pPr>
              <w:jc w:val="center"/>
              <w:rPr>
                <w:sz w:val="20"/>
                <w:szCs w:val="20"/>
              </w:rPr>
            </w:pPr>
            <w:r w:rsidRPr="006C05B5">
              <w:rPr>
                <w:sz w:val="20"/>
                <w:szCs w:val="20"/>
              </w:rPr>
              <w:t>0.48</w:t>
            </w:r>
          </w:p>
        </w:tc>
        <w:tc>
          <w:tcPr>
            <w:tcW w:w="1074" w:type="dxa"/>
            <w:tcBorders>
              <w:bottom w:val="single" w:sz="4" w:space="0" w:color="448A99"/>
            </w:tcBorders>
            <w:shd w:val="clear" w:color="auto" w:fill="FFFFFF"/>
            <w:vAlign w:val="center"/>
          </w:tcPr>
          <w:p w:rsidR="00F366E8" w:rsidRPr="006C05B5" w:rsidRDefault="00F366E8" w:rsidP="005C1352">
            <w:pPr>
              <w:jc w:val="center"/>
              <w:rPr>
                <w:sz w:val="20"/>
                <w:szCs w:val="20"/>
              </w:rPr>
            </w:pPr>
            <w:r w:rsidRPr="006C05B5">
              <w:rPr>
                <w:sz w:val="20"/>
                <w:szCs w:val="20"/>
              </w:rPr>
              <w:t>9</w:t>
            </w:r>
          </w:p>
        </w:tc>
      </w:tr>
      <w:tr w:rsidR="00A874AC" w:rsidRPr="006C05B5" w:rsidTr="005C1352">
        <w:trPr>
          <w:trHeight w:val="346"/>
          <w:jc w:val="center"/>
        </w:trPr>
        <w:tc>
          <w:tcPr>
            <w:tcW w:w="1417" w:type="dxa"/>
            <w:vMerge/>
            <w:tcBorders>
              <w:bottom w:val="single" w:sz="4" w:space="0" w:color="448A99"/>
            </w:tcBorders>
            <w:shd w:val="clear" w:color="auto" w:fill="D2EAF1"/>
          </w:tcPr>
          <w:p w:rsidR="00F366E8" w:rsidRPr="006C05B5" w:rsidRDefault="00F366E8" w:rsidP="005C1352">
            <w:pPr>
              <w:rPr>
                <w:sz w:val="20"/>
                <w:szCs w:val="20"/>
              </w:rPr>
            </w:pPr>
          </w:p>
        </w:tc>
        <w:tc>
          <w:tcPr>
            <w:tcW w:w="3294" w:type="dxa"/>
            <w:tcBorders>
              <w:bottom w:val="single" w:sz="4" w:space="0" w:color="448A99"/>
            </w:tcBorders>
            <w:shd w:val="clear" w:color="auto" w:fill="D2EAF1"/>
            <w:vAlign w:val="center"/>
          </w:tcPr>
          <w:p w:rsidR="00F366E8" w:rsidRPr="006C05B5" w:rsidRDefault="00F366E8" w:rsidP="005C1352">
            <w:pPr>
              <w:jc w:val="left"/>
              <w:rPr>
                <w:sz w:val="20"/>
                <w:szCs w:val="20"/>
              </w:rPr>
            </w:pPr>
            <w:r w:rsidRPr="006C05B5">
              <w:rPr>
                <w:sz w:val="20"/>
                <w:szCs w:val="20"/>
              </w:rPr>
              <w:t>Government and Institutional</w:t>
            </w:r>
          </w:p>
        </w:tc>
        <w:tc>
          <w:tcPr>
            <w:tcW w:w="1144"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0.38</w:t>
            </w:r>
          </w:p>
        </w:tc>
        <w:tc>
          <w:tcPr>
            <w:tcW w:w="1212"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0.11</w:t>
            </w:r>
          </w:p>
        </w:tc>
        <w:tc>
          <w:tcPr>
            <w:tcW w:w="1209"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0.73</w:t>
            </w:r>
          </w:p>
        </w:tc>
        <w:tc>
          <w:tcPr>
            <w:tcW w:w="1074" w:type="dxa"/>
            <w:tcBorders>
              <w:bottom w:val="single" w:sz="4" w:space="0" w:color="448A99"/>
            </w:tcBorders>
            <w:shd w:val="clear" w:color="auto" w:fill="D2EAF1"/>
            <w:vAlign w:val="center"/>
          </w:tcPr>
          <w:p w:rsidR="00F366E8" w:rsidRPr="006C05B5" w:rsidRDefault="00F366E8" w:rsidP="005C1352">
            <w:pPr>
              <w:jc w:val="center"/>
              <w:rPr>
                <w:sz w:val="20"/>
                <w:szCs w:val="20"/>
              </w:rPr>
            </w:pPr>
            <w:r w:rsidRPr="006C05B5">
              <w:rPr>
                <w:sz w:val="20"/>
                <w:szCs w:val="20"/>
              </w:rPr>
              <w:t>N/A</w:t>
            </w:r>
          </w:p>
        </w:tc>
      </w:tr>
      <w:tr w:rsidR="00E7173E" w:rsidRPr="00B97C91" w:rsidTr="008F60E1">
        <w:trPr>
          <w:trHeight w:val="346"/>
          <w:jc w:val="center"/>
        </w:trPr>
        <w:tc>
          <w:tcPr>
            <w:tcW w:w="9350" w:type="dxa"/>
            <w:gridSpan w:val="6"/>
            <w:tcBorders>
              <w:bottom w:val="single" w:sz="4" w:space="0" w:color="448A99"/>
            </w:tcBorders>
            <w:shd w:val="clear" w:color="auto" w:fill="448A99"/>
          </w:tcPr>
          <w:p w:rsidR="00F366E8" w:rsidRPr="00B97C91" w:rsidRDefault="00F366E8" w:rsidP="005C1352">
            <w:pPr>
              <w:jc w:val="left"/>
              <w:rPr>
                <w:color w:val="FFFFFF"/>
                <w:sz w:val="18"/>
                <w:szCs w:val="20"/>
              </w:rPr>
            </w:pPr>
            <w:r w:rsidRPr="00B97C91">
              <w:rPr>
                <w:color w:val="FFFFFF"/>
                <w:sz w:val="18"/>
                <w:szCs w:val="20"/>
              </w:rPr>
              <w:t>NOTES</w:t>
            </w:r>
          </w:p>
          <w:p w:rsidR="00F366E8" w:rsidRPr="00B97C91" w:rsidRDefault="00F366E8" w:rsidP="005C1352">
            <w:pPr>
              <w:jc w:val="left"/>
              <w:rPr>
                <w:color w:val="FFFFFF"/>
                <w:sz w:val="18"/>
                <w:szCs w:val="20"/>
              </w:rPr>
            </w:pPr>
            <w:r w:rsidRPr="00B97C91">
              <w:rPr>
                <w:color w:val="FFFFFF"/>
                <w:sz w:val="18"/>
                <w:szCs w:val="18"/>
              </w:rPr>
              <w:t>[a]</w:t>
            </w:r>
            <w:r w:rsidRPr="00B97C91">
              <w:rPr>
                <w:bCs/>
                <w:color w:val="FFFFFF"/>
                <w:sz w:val="18"/>
                <w:szCs w:val="20"/>
              </w:rPr>
              <w:t xml:space="preserve"> </w:t>
            </w:r>
            <w:r w:rsidRPr="00B97C91">
              <w:rPr>
                <w:color w:val="FFFFFF"/>
                <w:sz w:val="18"/>
                <w:szCs w:val="20"/>
              </w:rPr>
              <w:t xml:space="preserve">NTGR = 1 – free-ridership + spillover. In some cases, the NTGR shown in the table may not equal exactly 1 – </w:t>
            </w:r>
            <w:r w:rsidRPr="00B97C91">
              <w:rPr>
                <w:rFonts w:eastAsia="Calibri"/>
                <w:color w:val="FFFFFF"/>
                <w:sz w:val="18"/>
                <w:szCs w:val="20"/>
              </w:rPr>
              <w:t>free-ridership + spillover</w:t>
            </w:r>
            <w:r w:rsidRPr="00B97C91">
              <w:rPr>
                <w:color w:val="FFFFFF"/>
                <w:sz w:val="18"/>
                <w:szCs w:val="20"/>
              </w:rPr>
              <w:t xml:space="preserve"> because of rounding.</w:t>
            </w:r>
          </w:p>
          <w:p w:rsidR="00F366E8" w:rsidRPr="00B97C91" w:rsidRDefault="00F366E8" w:rsidP="005C1352">
            <w:pPr>
              <w:jc w:val="left"/>
              <w:rPr>
                <w:color w:val="FFFFFF"/>
                <w:sz w:val="18"/>
                <w:szCs w:val="20"/>
              </w:rPr>
            </w:pPr>
            <w:r w:rsidRPr="00B97C91">
              <w:rPr>
                <w:color w:val="FFFFFF"/>
                <w:sz w:val="18"/>
                <w:szCs w:val="18"/>
              </w:rPr>
              <w:t>[b]</w:t>
            </w:r>
            <w:r w:rsidRPr="00B97C91">
              <w:rPr>
                <w:color w:val="FFFFFF"/>
                <w:sz w:val="18"/>
                <w:szCs w:val="20"/>
              </w:rPr>
              <w:t xml:space="preserve"> All sample sizes are for the downstream NTG research using the common method. All sample sizes provided at least 85/15 confidence/precision. </w:t>
            </w:r>
            <w:r w:rsidRPr="00B97C91" w:rsidDel="00A436B6">
              <w:rPr>
                <w:color w:val="FFFFFF"/>
                <w:sz w:val="18"/>
                <w:szCs w:val="20"/>
              </w:rPr>
              <w:t xml:space="preserve"> </w:t>
            </w:r>
          </w:p>
          <w:p w:rsidR="00F366E8" w:rsidRPr="00B97C91" w:rsidRDefault="00F366E8" w:rsidP="005C1352">
            <w:pPr>
              <w:jc w:val="left"/>
              <w:rPr>
                <w:color w:val="FFFFFF"/>
                <w:sz w:val="18"/>
                <w:szCs w:val="20"/>
              </w:rPr>
            </w:pPr>
            <w:r w:rsidRPr="00B97C91">
              <w:rPr>
                <w:color w:val="FFFFFF"/>
                <w:sz w:val="18"/>
                <w:szCs w:val="18"/>
              </w:rPr>
              <w:t>[c]</w:t>
            </w:r>
            <w:r w:rsidRPr="00B97C91">
              <w:rPr>
                <w:color w:val="FFFFFF"/>
                <w:sz w:val="18"/>
                <w:szCs w:val="20"/>
              </w:rPr>
              <w:t xml:space="preserve"> ADM/Tetra Tech misprinted the program-level FR value in the PY7 annual report. The value reported in this table is the actual FR value.</w:t>
            </w:r>
          </w:p>
        </w:tc>
      </w:tr>
    </w:tbl>
    <w:p w:rsidR="003351A0" w:rsidRPr="006C05B5" w:rsidRDefault="003351A0" w:rsidP="003351A0"/>
    <w:p w:rsidR="00950837" w:rsidRDefault="00950837" w:rsidP="0043541C">
      <w:pPr>
        <w:pStyle w:val="AppendixAHeading2"/>
      </w:pPr>
      <w:r>
        <w:t>Statewide Evaluator Final Recommendations</w:t>
      </w:r>
    </w:p>
    <w:p w:rsidR="00405346" w:rsidRDefault="00405346" w:rsidP="00405346">
      <w:pPr>
        <w:pStyle w:val="bullettext"/>
      </w:pPr>
      <w:r w:rsidRPr="000475E0">
        <w:t xml:space="preserve">The SWE Team has the following recommendations for </w:t>
      </w:r>
      <w:r>
        <w:t>West Penn</w:t>
      </w:r>
      <w:r w:rsidRPr="000475E0">
        <w:t>’s EE&amp;C programs going forward</w:t>
      </w:r>
      <w:r>
        <w:t>:</w:t>
      </w:r>
    </w:p>
    <w:p w:rsidR="00405346" w:rsidRDefault="00405346" w:rsidP="00E646C9">
      <w:pPr>
        <w:pStyle w:val="bullettext"/>
        <w:numPr>
          <w:ilvl w:val="0"/>
          <w:numId w:val="85"/>
        </w:numPr>
        <w:ind w:left="360"/>
      </w:pPr>
      <w:r>
        <w:t>T</w:t>
      </w:r>
      <w:r w:rsidRPr="00372E42">
        <w:t>he SWE Team recommends that in the interest of transparency, only the SWE-supplied Appendix C calculator be used for C</w:t>
      </w:r>
      <w:r w:rsidR="0097650B">
        <w:t>/</w:t>
      </w:r>
      <w:r w:rsidRPr="00372E42">
        <w:t>I lighting projects moving forward</w:t>
      </w:r>
    </w:p>
    <w:p w:rsidR="00405346" w:rsidRDefault="00405346" w:rsidP="00E646C9">
      <w:pPr>
        <w:pStyle w:val="bullettext"/>
        <w:numPr>
          <w:ilvl w:val="0"/>
          <w:numId w:val="85"/>
        </w:numPr>
        <w:ind w:left="360"/>
      </w:pPr>
      <w:r w:rsidRPr="00372E42">
        <w:t>Review rebate paperwork processes to identify opportunities to streamline documentation requirements and notify contractors and customers more quickly if project documentation is incomplete.</w:t>
      </w:r>
    </w:p>
    <w:p w:rsidR="00405346" w:rsidRDefault="00405346" w:rsidP="00E646C9">
      <w:pPr>
        <w:pStyle w:val="bullettext"/>
        <w:numPr>
          <w:ilvl w:val="0"/>
          <w:numId w:val="85"/>
        </w:numPr>
        <w:spacing w:after="0"/>
        <w:ind w:left="360"/>
      </w:pPr>
      <w:r w:rsidRPr="00372E42">
        <w:t>As the Home Performance – New Construction measure becomes more streamlined or as incentives change, attempt to attract builders who began with the program but dropped out.</w:t>
      </w:r>
    </w:p>
    <w:p w:rsidR="00405346" w:rsidRPr="00405346" w:rsidRDefault="00405346" w:rsidP="00405346"/>
    <w:p w:rsidR="00950837" w:rsidRDefault="00950837" w:rsidP="00D34B3E">
      <w:pPr>
        <w:pStyle w:val="AppendixAHeading1"/>
      </w:pPr>
      <w:r>
        <w:t>PECO</w:t>
      </w:r>
    </w:p>
    <w:p w:rsidR="007724F5" w:rsidRPr="007724F5" w:rsidRDefault="007724F5" w:rsidP="007724F5">
      <w:r w:rsidRPr="00735BA9">
        <w:t xml:space="preserve">This </w:t>
      </w:r>
      <w:r>
        <w:t>section</w:t>
      </w:r>
      <w:r w:rsidRPr="00735BA9">
        <w:t xml:space="preserve"> summarizes </w:t>
      </w:r>
      <w:r>
        <w:t>PECO</w:t>
      </w:r>
      <w:r w:rsidRPr="00735BA9">
        <w:t xml:space="preserve">’s program performance </w:t>
      </w:r>
      <w:r>
        <w:t>through PY7</w:t>
      </w:r>
      <w:r w:rsidRPr="00735BA9">
        <w:t xml:space="preserve">. It includes an overview of the cumulative energy savings and demand reductions achieved by </w:t>
      </w:r>
      <w:r>
        <w:t>PECO</w:t>
      </w:r>
      <w:r w:rsidRPr="00735BA9">
        <w:t xml:space="preserve">’s Act 129 EE&amp;C programs in Phase II; an overview of the TRC test results for each program and for the portfolio of programs; a discussion of the activities completed by </w:t>
      </w:r>
      <w:r>
        <w:t>PECO</w:t>
      </w:r>
      <w:r w:rsidRPr="00735BA9">
        <w:t xml:space="preserve">’s evaluation contractor to conduct M&amp;V of </w:t>
      </w:r>
      <w:r w:rsidR="00CE78B5">
        <w:t>PECO</w:t>
      </w:r>
      <w:r w:rsidRPr="00735BA9">
        <w:t xml:space="preserve">’s EE&amp;C programs and to calculate the cost-effectiveness of the portfolio of programs; a description of the work and findings of the SWE Team audits; and the SWE Team’s recommendations of actions to help improve </w:t>
      </w:r>
      <w:r>
        <w:t>PECO</w:t>
      </w:r>
      <w:r w:rsidRPr="00735BA9">
        <w:t>’s programs in the future</w:t>
      </w:r>
      <w:r>
        <w:t>.</w:t>
      </w:r>
    </w:p>
    <w:p w:rsidR="007724F5" w:rsidRPr="006F4CC7" w:rsidRDefault="007724F5" w:rsidP="006F4CC7"/>
    <w:p w:rsidR="00950837" w:rsidRDefault="00950837" w:rsidP="0043541C">
      <w:pPr>
        <w:pStyle w:val="AppendixAHeading2"/>
      </w:pPr>
      <w:r>
        <w:t>Summary of Energy and Demand Reductions</w:t>
      </w:r>
    </w:p>
    <w:p w:rsidR="009C5272" w:rsidRDefault="009C5272" w:rsidP="009C5272">
      <w:r>
        <w:t xml:space="preserve">This section lists the programs </w:t>
      </w:r>
      <w:r w:rsidR="00804EA4">
        <w:t>that</w:t>
      </w:r>
      <w:r>
        <w:t xml:space="preserve"> provided energy savings in PY7 and includes the energy and demand savings contributed by each program offered during Phase II. The sector-level verified gross and net energy savings achieved in PY7 are also provided.</w:t>
      </w:r>
    </w:p>
    <w:p w:rsidR="009C5272" w:rsidRPr="009C5272" w:rsidRDefault="009C5272" w:rsidP="009C5272"/>
    <w:p w:rsidR="00950837" w:rsidRDefault="00950837" w:rsidP="00D34B3E">
      <w:pPr>
        <w:pStyle w:val="AppendixAHeading3"/>
      </w:pPr>
      <w:r>
        <w:t>Phase II Savings by Program</w:t>
      </w:r>
    </w:p>
    <w:p w:rsidR="005A27BE" w:rsidRDefault="00791B40" w:rsidP="005A27BE">
      <w:r>
        <w:fldChar w:fldCharType="begin"/>
      </w:r>
      <w:r>
        <w:instrText xml:space="preserve"> REF _Ref472359475 \h </w:instrText>
      </w:r>
      <w:r>
        <w:fldChar w:fldCharType="separate"/>
      </w:r>
      <w:r w:rsidR="00A874AC" w:rsidRPr="00E41D9C">
        <w:t>Table A-</w:t>
      </w:r>
      <w:r w:rsidR="00A874AC">
        <w:rPr>
          <w:noProof/>
        </w:rPr>
        <w:t>102</w:t>
      </w:r>
      <w:r>
        <w:fldChar w:fldCharType="end"/>
      </w:r>
      <w:r w:rsidR="005A27BE">
        <w:t xml:space="preserve"> </w:t>
      </w:r>
      <w:r w:rsidR="005A27BE" w:rsidRPr="004B480A">
        <w:t>lists</w:t>
      </w:r>
      <w:r w:rsidR="005A27BE">
        <w:t xml:space="preserve"> the</w:t>
      </w:r>
      <w:r w:rsidR="005A27BE" w:rsidRPr="004B480A">
        <w:t xml:space="preserve"> </w:t>
      </w:r>
      <w:r>
        <w:t>PECO</w:t>
      </w:r>
      <w:r w:rsidR="005A27BE" w:rsidRPr="004B480A">
        <w:t xml:space="preserve"> EE&amp;C programs</w:t>
      </w:r>
      <w:r w:rsidR="005A27BE">
        <w:t xml:space="preserve"> that yielded reported savings in PY7. </w:t>
      </w:r>
      <w:r>
        <w:fldChar w:fldCharType="begin"/>
      </w:r>
      <w:r>
        <w:instrText xml:space="preserve"> REF _Ref472359485 \h </w:instrText>
      </w:r>
      <w:r>
        <w:fldChar w:fldCharType="separate"/>
      </w:r>
      <w:r w:rsidR="00A874AC" w:rsidRPr="00E41D9C">
        <w:t>Table A-</w:t>
      </w:r>
      <w:r w:rsidR="00A874AC">
        <w:rPr>
          <w:noProof/>
        </w:rPr>
        <w:t>103</w:t>
      </w:r>
      <w:r>
        <w:fldChar w:fldCharType="end"/>
      </w:r>
      <w:r w:rsidR="005A27BE">
        <w:t xml:space="preserve"> shows the verified gross energy and demand savings of each program at the conclusion of Phase II. The </w:t>
      </w:r>
      <w:r w:rsidR="00A2654F">
        <w:t>Smart Home Rebates program</w:t>
      </w:r>
      <w:r w:rsidR="005A27BE">
        <w:t xml:space="preserve"> was the largest contributor of both energy and demand savings.</w:t>
      </w:r>
    </w:p>
    <w:p w:rsidR="005A27BE" w:rsidRPr="004B480A" w:rsidRDefault="005A27BE" w:rsidP="005A27BE"/>
    <w:p w:rsidR="005A27BE" w:rsidRDefault="005A27BE" w:rsidP="005A27BE">
      <w:pPr>
        <w:pStyle w:val="Caption"/>
      </w:pPr>
      <w:bookmarkStart w:id="1091" w:name="_Ref472359475"/>
      <w:bookmarkStart w:id="1092" w:name="_Toc472472511"/>
      <w:bookmarkStart w:id="1093" w:name="_Toc476842217"/>
      <w:r w:rsidRPr="00E41D9C">
        <w:t>Table A-</w:t>
      </w:r>
      <w:fldSimple w:instr=" SEQ Table_A- \* ARABIC ">
        <w:r w:rsidR="00C301D0">
          <w:rPr>
            <w:noProof/>
          </w:rPr>
          <w:t>102</w:t>
        </w:r>
      </w:fldSimple>
      <w:bookmarkEnd w:id="1091"/>
      <w:r w:rsidRPr="00E41D9C">
        <w:t xml:space="preserve">: </w:t>
      </w:r>
      <w:r w:rsidR="00791B40">
        <w:t>PECO</w:t>
      </w:r>
      <w:r w:rsidRPr="00E41D9C">
        <w:t xml:space="preserve"> EE&amp;C Programs wi</w:t>
      </w:r>
      <w:r>
        <w:t>th Reported Gross Savings in PY7</w:t>
      </w:r>
      <w:bookmarkEnd w:id="1092"/>
      <w:bookmarkEnd w:id="1093"/>
    </w:p>
    <w:tbl>
      <w:tblPr>
        <w:tblW w:w="9350" w:type="dxa"/>
        <w:tblLook w:val="04A0" w:firstRow="1" w:lastRow="0" w:firstColumn="1" w:lastColumn="0" w:noHBand="0" w:noVBand="1"/>
      </w:tblPr>
      <w:tblGrid>
        <w:gridCol w:w="7010"/>
        <w:gridCol w:w="2340"/>
      </w:tblGrid>
      <w:tr w:rsidR="00E7173E" w:rsidRPr="00A2654F" w:rsidTr="008F60E1">
        <w:trPr>
          <w:trHeight w:val="268"/>
          <w:tblHeader/>
        </w:trPr>
        <w:tc>
          <w:tcPr>
            <w:tcW w:w="701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A2654F" w:rsidRPr="00A2654F" w:rsidRDefault="00A2654F" w:rsidP="006F4CC7">
            <w:pPr>
              <w:rPr>
                <w:b/>
                <w:bCs/>
                <w:color w:val="FFFFFF"/>
                <w:sz w:val="20"/>
                <w:szCs w:val="20"/>
              </w:rPr>
            </w:pPr>
            <w:r w:rsidRPr="00A2654F">
              <w:rPr>
                <w:b/>
                <w:bCs/>
                <w:color w:val="FFFFFF"/>
                <w:sz w:val="20"/>
                <w:szCs w:val="20"/>
              </w:rPr>
              <w:t>Programs Reporting PY7 Gross Savings</w:t>
            </w:r>
          </w:p>
        </w:tc>
        <w:tc>
          <w:tcPr>
            <w:tcW w:w="2340" w:type="dxa"/>
            <w:tcBorders>
              <w:top w:val="single" w:sz="8" w:space="0" w:color="448A99"/>
              <w:left w:val="nil"/>
              <w:bottom w:val="single" w:sz="8" w:space="0" w:color="448A99"/>
              <w:right w:val="single" w:sz="8" w:space="0" w:color="448A99"/>
            </w:tcBorders>
            <w:shd w:val="clear" w:color="000000" w:fill="448A99"/>
            <w:vAlign w:val="bottom"/>
            <w:hideMark/>
          </w:tcPr>
          <w:p w:rsidR="00A2654F" w:rsidRPr="00A2654F" w:rsidRDefault="00804EA4" w:rsidP="006F4CC7">
            <w:pPr>
              <w:jc w:val="center"/>
              <w:rPr>
                <w:b/>
                <w:bCs/>
                <w:color w:val="FFFFFF"/>
                <w:sz w:val="20"/>
                <w:szCs w:val="20"/>
              </w:rPr>
            </w:pPr>
            <w:r>
              <w:rPr>
                <w:b/>
                <w:bCs/>
                <w:color w:val="FFFFFF"/>
                <w:sz w:val="20"/>
                <w:szCs w:val="20"/>
              </w:rPr>
              <w:t>Sector</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A2654F" w:rsidRDefault="00A2654F" w:rsidP="00A2654F">
            <w:pPr>
              <w:jc w:val="left"/>
              <w:rPr>
                <w:color w:val="000000"/>
                <w:sz w:val="20"/>
                <w:szCs w:val="20"/>
              </w:rPr>
            </w:pPr>
            <w:r w:rsidRPr="00A2654F">
              <w:rPr>
                <w:color w:val="000000"/>
                <w:sz w:val="20"/>
                <w:szCs w:val="20"/>
              </w:rPr>
              <w:t>Smart Appliance Recycling</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6F4CC7">
            <w:pPr>
              <w:jc w:val="center"/>
              <w:rPr>
                <w:color w:val="000000"/>
                <w:sz w:val="20"/>
                <w:szCs w:val="20"/>
              </w:rPr>
            </w:pPr>
            <w:r w:rsidRPr="00A2654F">
              <w:rPr>
                <w:color w:val="000000"/>
                <w:sz w:val="20"/>
                <w:szCs w:val="20"/>
              </w:rPr>
              <w:t>Residential</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A2654F" w:rsidRDefault="00A2654F" w:rsidP="00A2654F">
            <w:pPr>
              <w:jc w:val="left"/>
              <w:rPr>
                <w:color w:val="000000"/>
                <w:sz w:val="20"/>
                <w:szCs w:val="20"/>
              </w:rPr>
            </w:pPr>
            <w:r w:rsidRPr="00A2654F">
              <w:rPr>
                <w:color w:val="000000"/>
                <w:sz w:val="20"/>
                <w:szCs w:val="20"/>
              </w:rPr>
              <w:t>Smart Builder Rebates</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6F4CC7">
            <w:pPr>
              <w:jc w:val="center"/>
              <w:rPr>
                <w:color w:val="000000"/>
                <w:sz w:val="20"/>
                <w:szCs w:val="20"/>
              </w:rPr>
            </w:pPr>
            <w:r w:rsidRPr="00A2654F">
              <w:rPr>
                <w:color w:val="000000"/>
                <w:sz w:val="20"/>
                <w:szCs w:val="20"/>
              </w:rPr>
              <w:t>Residential</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A2654F" w:rsidRDefault="00A2654F" w:rsidP="00A2654F">
            <w:pPr>
              <w:jc w:val="left"/>
              <w:rPr>
                <w:color w:val="000000"/>
                <w:sz w:val="20"/>
                <w:szCs w:val="20"/>
              </w:rPr>
            </w:pPr>
            <w:r w:rsidRPr="00A2654F">
              <w:rPr>
                <w:color w:val="000000"/>
                <w:sz w:val="20"/>
                <w:szCs w:val="20"/>
              </w:rPr>
              <w:t>Smart Energy Saver</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6F4CC7">
            <w:pPr>
              <w:jc w:val="center"/>
              <w:rPr>
                <w:color w:val="000000"/>
                <w:sz w:val="20"/>
                <w:szCs w:val="20"/>
              </w:rPr>
            </w:pPr>
            <w:r w:rsidRPr="00A2654F">
              <w:rPr>
                <w:color w:val="000000"/>
                <w:sz w:val="20"/>
                <w:szCs w:val="20"/>
              </w:rPr>
              <w:t>Residential</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A2654F" w:rsidRDefault="00A2654F" w:rsidP="00A2654F">
            <w:pPr>
              <w:jc w:val="left"/>
              <w:rPr>
                <w:color w:val="000000"/>
                <w:sz w:val="20"/>
                <w:szCs w:val="20"/>
              </w:rPr>
            </w:pPr>
            <w:r w:rsidRPr="00A2654F">
              <w:rPr>
                <w:color w:val="000000"/>
                <w:sz w:val="20"/>
                <w:szCs w:val="20"/>
              </w:rPr>
              <w:t>Smart Home Rebates</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6F4CC7">
            <w:pPr>
              <w:jc w:val="center"/>
              <w:rPr>
                <w:color w:val="000000"/>
                <w:sz w:val="20"/>
                <w:szCs w:val="20"/>
              </w:rPr>
            </w:pPr>
            <w:r w:rsidRPr="00A2654F">
              <w:rPr>
                <w:color w:val="000000"/>
                <w:sz w:val="20"/>
                <w:szCs w:val="20"/>
              </w:rPr>
              <w:t>Residential</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A2654F" w:rsidRDefault="00A2654F" w:rsidP="00A2654F">
            <w:pPr>
              <w:jc w:val="left"/>
              <w:rPr>
                <w:color w:val="000000"/>
                <w:sz w:val="20"/>
                <w:szCs w:val="20"/>
              </w:rPr>
            </w:pPr>
            <w:r w:rsidRPr="00A2654F">
              <w:rPr>
                <w:color w:val="000000"/>
                <w:sz w:val="20"/>
                <w:szCs w:val="20"/>
              </w:rPr>
              <w:t>Smart House Call</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6F4CC7">
            <w:pPr>
              <w:jc w:val="center"/>
              <w:rPr>
                <w:color w:val="000000"/>
                <w:sz w:val="20"/>
                <w:szCs w:val="20"/>
              </w:rPr>
            </w:pPr>
            <w:r w:rsidRPr="00A2654F">
              <w:rPr>
                <w:color w:val="000000"/>
                <w:sz w:val="20"/>
                <w:szCs w:val="20"/>
              </w:rPr>
              <w:t>Residential</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A2654F" w:rsidRDefault="00A2654F" w:rsidP="00A2654F">
            <w:pPr>
              <w:jc w:val="left"/>
              <w:rPr>
                <w:color w:val="000000"/>
                <w:sz w:val="20"/>
                <w:szCs w:val="20"/>
              </w:rPr>
            </w:pPr>
            <w:r w:rsidRPr="00A2654F">
              <w:rPr>
                <w:color w:val="000000"/>
                <w:sz w:val="20"/>
                <w:szCs w:val="20"/>
              </w:rPr>
              <w:t>Smart Multi-Family Solutions - Residential</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6F4CC7">
            <w:pPr>
              <w:jc w:val="center"/>
              <w:rPr>
                <w:color w:val="000000"/>
                <w:sz w:val="20"/>
                <w:szCs w:val="20"/>
              </w:rPr>
            </w:pPr>
            <w:r w:rsidRPr="00A2654F">
              <w:rPr>
                <w:color w:val="000000"/>
                <w:sz w:val="20"/>
                <w:szCs w:val="20"/>
              </w:rPr>
              <w:t>Residential</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A2654F" w:rsidRDefault="00A2654F" w:rsidP="00A2654F">
            <w:pPr>
              <w:jc w:val="left"/>
              <w:rPr>
                <w:color w:val="000000"/>
                <w:sz w:val="20"/>
                <w:szCs w:val="20"/>
              </w:rPr>
            </w:pPr>
            <w:r w:rsidRPr="00A2654F">
              <w:rPr>
                <w:color w:val="000000"/>
                <w:sz w:val="20"/>
                <w:szCs w:val="20"/>
              </w:rPr>
              <w:t>Smart Usage Profile</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6F4CC7">
            <w:pPr>
              <w:jc w:val="center"/>
              <w:rPr>
                <w:color w:val="000000"/>
                <w:sz w:val="20"/>
                <w:szCs w:val="20"/>
              </w:rPr>
            </w:pPr>
            <w:r w:rsidRPr="00A2654F">
              <w:rPr>
                <w:color w:val="000000"/>
                <w:sz w:val="20"/>
                <w:szCs w:val="20"/>
              </w:rPr>
              <w:t>Residential</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A2654F" w:rsidRDefault="00A2654F" w:rsidP="00A2654F">
            <w:pPr>
              <w:jc w:val="left"/>
              <w:rPr>
                <w:color w:val="000000"/>
                <w:sz w:val="20"/>
                <w:szCs w:val="20"/>
              </w:rPr>
            </w:pPr>
            <w:r w:rsidRPr="00A2654F">
              <w:rPr>
                <w:color w:val="000000"/>
                <w:sz w:val="20"/>
                <w:szCs w:val="20"/>
              </w:rPr>
              <w:t>Low-Income Energy Efficiency Program</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6F4CC7">
            <w:pPr>
              <w:jc w:val="center"/>
              <w:rPr>
                <w:color w:val="000000"/>
                <w:sz w:val="20"/>
                <w:szCs w:val="20"/>
              </w:rPr>
            </w:pPr>
            <w:r w:rsidRPr="00A2654F">
              <w:rPr>
                <w:color w:val="000000"/>
                <w:sz w:val="20"/>
                <w:szCs w:val="20"/>
              </w:rPr>
              <w:t>Low-Income</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A2654F" w:rsidRDefault="00A2654F" w:rsidP="00A2654F">
            <w:pPr>
              <w:jc w:val="left"/>
              <w:rPr>
                <w:color w:val="000000"/>
                <w:sz w:val="20"/>
                <w:szCs w:val="20"/>
              </w:rPr>
            </w:pPr>
            <w:r w:rsidRPr="00A2654F">
              <w:rPr>
                <w:color w:val="000000"/>
                <w:sz w:val="20"/>
                <w:szCs w:val="20"/>
              </w:rPr>
              <w:t>Residential Smart AC Saver Program</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6F4CC7">
            <w:pPr>
              <w:jc w:val="center"/>
              <w:rPr>
                <w:color w:val="000000"/>
                <w:sz w:val="20"/>
                <w:szCs w:val="20"/>
              </w:rPr>
            </w:pPr>
            <w:r w:rsidRPr="00A2654F">
              <w:rPr>
                <w:color w:val="000000"/>
                <w:sz w:val="20"/>
                <w:szCs w:val="20"/>
              </w:rPr>
              <w:t>Residential</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A2654F" w:rsidRDefault="00A2654F" w:rsidP="00A2654F">
            <w:pPr>
              <w:jc w:val="left"/>
              <w:rPr>
                <w:color w:val="000000"/>
                <w:sz w:val="20"/>
                <w:szCs w:val="20"/>
              </w:rPr>
            </w:pPr>
            <w:r w:rsidRPr="00A2654F">
              <w:rPr>
                <w:color w:val="000000"/>
                <w:sz w:val="20"/>
                <w:szCs w:val="20"/>
              </w:rPr>
              <w:t>Smart Business Solutions</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6F4CC7">
            <w:pPr>
              <w:jc w:val="center"/>
              <w:rPr>
                <w:color w:val="000000"/>
                <w:sz w:val="20"/>
                <w:szCs w:val="20"/>
              </w:rPr>
            </w:pPr>
            <w:r w:rsidRPr="00A2654F">
              <w:rPr>
                <w:color w:val="000000"/>
                <w:sz w:val="20"/>
                <w:szCs w:val="20"/>
              </w:rPr>
              <w:t>Non-Residential</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A2654F" w:rsidRDefault="00A2654F" w:rsidP="00A2654F">
            <w:pPr>
              <w:jc w:val="left"/>
              <w:rPr>
                <w:color w:val="000000"/>
                <w:sz w:val="20"/>
                <w:szCs w:val="20"/>
              </w:rPr>
            </w:pPr>
            <w:r w:rsidRPr="00A2654F">
              <w:rPr>
                <w:color w:val="000000"/>
                <w:sz w:val="20"/>
                <w:szCs w:val="20"/>
              </w:rPr>
              <w:t>Smart Construction Incentives</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6F4CC7">
            <w:pPr>
              <w:jc w:val="center"/>
              <w:rPr>
                <w:color w:val="000000"/>
                <w:sz w:val="20"/>
                <w:szCs w:val="20"/>
              </w:rPr>
            </w:pPr>
            <w:r w:rsidRPr="00A2654F">
              <w:rPr>
                <w:color w:val="000000"/>
                <w:sz w:val="20"/>
                <w:szCs w:val="20"/>
              </w:rPr>
              <w:t>Non-Residential</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A2654F" w:rsidRDefault="00A2654F" w:rsidP="00A2654F">
            <w:pPr>
              <w:jc w:val="left"/>
              <w:rPr>
                <w:color w:val="000000"/>
                <w:sz w:val="20"/>
                <w:szCs w:val="20"/>
              </w:rPr>
            </w:pPr>
            <w:r w:rsidRPr="00A2654F">
              <w:rPr>
                <w:color w:val="000000"/>
                <w:sz w:val="20"/>
                <w:szCs w:val="20"/>
              </w:rPr>
              <w:t>Smart Equipment Incentives - Commercial and Industrial</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6F4CC7">
            <w:pPr>
              <w:jc w:val="center"/>
              <w:rPr>
                <w:color w:val="000000"/>
                <w:sz w:val="20"/>
                <w:szCs w:val="20"/>
              </w:rPr>
            </w:pPr>
            <w:r w:rsidRPr="00A2654F">
              <w:rPr>
                <w:color w:val="000000"/>
                <w:sz w:val="20"/>
                <w:szCs w:val="20"/>
              </w:rPr>
              <w:t>Non-Residential</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A2654F" w:rsidRDefault="00A2654F" w:rsidP="00A2654F">
            <w:pPr>
              <w:jc w:val="left"/>
              <w:rPr>
                <w:color w:val="000000"/>
                <w:sz w:val="20"/>
                <w:szCs w:val="20"/>
              </w:rPr>
            </w:pPr>
            <w:r w:rsidRPr="00A2654F">
              <w:rPr>
                <w:color w:val="000000"/>
                <w:sz w:val="20"/>
                <w:szCs w:val="20"/>
              </w:rPr>
              <w:t>Smart Equipment Incentives - Government, Nonprofit and Institutional</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6F4CC7">
            <w:pPr>
              <w:jc w:val="center"/>
              <w:rPr>
                <w:color w:val="000000"/>
                <w:sz w:val="20"/>
                <w:szCs w:val="20"/>
              </w:rPr>
            </w:pPr>
            <w:r w:rsidRPr="00A2654F">
              <w:rPr>
                <w:color w:val="000000"/>
                <w:sz w:val="20"/>
                <w:szCs w:val="20"/>
              </w:rPr>
              <w:t>GNI</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000000" w:fill="D2EAF1"/>
            <w:vAlign w:val="center"/>
            <w:hideMark/>
          </w:tcPr>
          <w:p w:rsidR="00A2654F" w:rsidRPr="00A2654F" w:rsidRDefault="00A2654F" w:rsidP="00A2654F">
            <w:pPr>
              <w:jc w:val="left"/>
              <w:rPr>
                <w:color w:val="000000"/>
                <w:sz w:val="20"/>
                <w:szCs w:val="20"/>
              </w:rPr>
            </w:pPr>
            <w:r w:rsidRPr="00A2654F">
              <w:rPr>
                <w:color w:val="000000"/>
                <w:sz w:val="20"/>
                <w:szCs w:val="20"/>
              </w:rPr>
              <w:t>Smart On-Site</w:t>
            </w:r>
          </w:p>
        </w:tc>
        <w:tc>
          <w:tcPr>
            <w:tcW w:w="234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6F4CC7">
            <w:pPr>
              <w:jc w:val="center"/>
              <w:rPr>
                <w:color w:val="000000"/>
                <w:sz w:val="20"/>
                <w:szCs w:val="20"/>
              </w:rPr>
            </w:pPr>
            <w:r w:rsidRPr="00A2654F">
              <w:rPr>
                <w:color w:val="000000"/>
                <w:sz w:val="20"/>
                <w:szCs w:val="20"/>
              </w:rPr>
              <w:t>Non-Residential</w:t>
            </w:r>
          </w:p>
        </w:tc>
      </w:tr>
      <w:tr w:rsidR="00E7173E" w:rsidRPr="00A2654F" w:rsidTr="008F60E1">
        <w:trPr>
          <w:trHeight w:val="343"/>
        </w:trPr>
        <w:tc>
          <w:tcPr>
            <w:tcW w:w="7010" w:type="dxa"/>
            <w:tcBorders>
              <w:top w:val="nil"/>
              <w:left w:val="single" w:sz="8" w:space="0" w:color="448A99"/>
              <w:bottom w:val="single" w:sz="8" w:space="0" w:color="448A99"/>
              <w:right w:val="single" w:sz="8" w:space="0" w:color="448A99"/>
            </w:tcBorders>
            <w:shd w:val="clear" w:color="auto" w:fill="auto"/>
            <w:vAlign w:val="center"/>
            <w:hideMark/>
          </w:tcPr>
          <w:p w:rsidR="00A2654F" w:rsidRPr="00A2654F" w:rsidRDefault="00A2654F" w:rsidP="00A2654F">
            <w:pPr>
              <w:jc w:val="left"/>
              <w:rPr>
                <w:color w:val="000000"/>
                <w:sz w:val="20"/>
                <w:szCs w:val="20"/>
              </w:rPr>
            </w:pPr>
            <w:r w:rsidRPr="00A2654F">
              <w:rPr>
                <w:color w:val="000000"/>
                <w:sz w:val="20"/>
                <w:szCs w:val="20"/>
              </w:rPr>
              <w:t>Commercial Smart AC Saver</w:t>
            </w:r>
          </w:p>
        </w:tc>
        <w:tc>
          <w:tcPr>
            <w:tcW w:w="234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6F4CC7">
            <w:pPr>
              <w:jc w:val="center"/>
              <w:rPr>
                <w:color w:val="000000"/>
                <w:sz w:val="20"/>
                <w:szCs w:val="20"/>
              </w:rPr>
            </w:pPr>
            <w:r w:rsidRPr="00A2654F">
              <w:rPr>
                <w:color w:val="000000"/>
                <w:sz w:val="20"/>
                <w:szCs w:val="20"/>
              </w:rPr>
              <w:t>Non-Residential</w:t>
            </w:r>
          </w:p>
        </w:tc>
      </w:tr>
    </w:tbl>
    <w:p w:rsidR="005A27BE" w:rsidRPr="006F4CC7" w:rsidRDefault="005A27BE" w:rsidP="006F4CC7"/>
    <w:p w:rsidR="005A27BE" w:rsidRDefault="005A27BE" w:rsidP="005A27BE">
      <w:pPr>
        <w:pStyle w:val="Caption"/>
      </w:pPr>
      <w:bookmarkStart w:id="1094" w:name="_Ref472359485"/>
      <w:bookmarkStart w:id="1095" w:name="_Toc472472512"/>
      <w:bookmarkStart w:id="1096" w:name="_Toc476842218"/>
      <w:r w:rsidRPr="00E41D9C">
        <w:t>Table A-</w:t>
      </w:r>
      <w:fldSimple w:instr=" SEQ Table_A- \* ARABIC ">
        <w:r w:rsidR="00C301D0">
          <w:rPr>
            <w:noProof/>
          </w:rPr>
          <w:t>103</w:t>
        </w:r>
      </w:fldSimple>
      <w:bookmarkEnd w:id="1094"/>
      <w:r w:rsidRPr="00E41D9C">
        <w:t xml:space="preserve">: </w:t>
      </w:r>
      <w:r w:rsidRPr="005A1DB5">
        <w:t xml:space="preserve">Summary of </w:t>
      </w:r>
      <w:r w:rsidR="00791B40">
        <w:t>PECO</w:t>
      </w:r>
      <w:r w:rsidRPr="005A1DB5">
        <w:t xml:space="preserve"> EE&amp;C Program Impacts on Verified Gross Portfolio Savings</w:t>
      </w:r>
      <w:bookmarkEnd w:id="1095"/>
      <w:bookmarkEnd w:id="1096"/>
    </w:p>
    <w:tbl>
      <w:tblPr>
        <w:tblW w:w="9398" w:type="dxa"/>
        <w:tblLayout w:type="fixed"/>
        <w:tblLook w:val="04A0" w:firstRow="1" w:lastRow="0" w:firstColumn="1" w:lastColumn="0" w:noHBand="0" w:noVBand="1"/>
      </w:tblPr>
      <w:tblGrid>
        <w:gridCol w:w="4220"/>
        <w:gridCol w:w="1350"/>
        <w:gridCol w:w="1350"/>
        <w:gridCol w:w="1170"/>
        <w:gridCol w:w="1308"/>
      </w:tblGrid>
      <w:tr w:rsidR="00A874AC" w:rsidRPr="00A2654F" w:rsidTr="006F4CC7">
        <w:trPr>
          <w:trHeight w:val="673"/>
        </w:trPr>
        <w:tc>
          <w:tcPr>
            <w:tcW w:w="422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A2654F" w:rsidRPr="00A2654F" w:rsidRDefault="00A2654F" w:rsidP="006F4CC7">
            <w:pPr>
              <w:rPr>
                <w:b/>
                <w:bCs/>
                <w:color w:val="FFFFFF"/>
                <w:sz w:val="20"/>
                <w:szCs w:val="20"/>
              </w:rPr>
            </w:pPr>
            <w:r w:rsidRPr="00A2654F">
              <w:rPr>
                <w:b/>
                <w:bCs/>
                <w:color w:val="FFFFFF"/>
                <w:sz w:val="20"/>
                <w:szCs w:val="20"/>
              </w:rPr>
              <w:t>Program</w:t>
            </w:r>
            <w:r w:rsidRPr="00504627">
              <w:rPr>
                <w:b/>
                <w:bCs/>
                <w:color w:val="FFFFFF"/>
                <w:sz w:val="20"/>
                <w:szCs w:val="20"/>
                <w:vertAlign w:val="superscript"/>
              </w:rPr>
              <w:t>[a]</w:t>
            </w:r>
          </w:p>
        </w:tc>
        <w:tc>
          <w:tcPr>
            <w:tcW w:w="1350" w:type="dxa"/>
            <w:tcBorders>
              <w:top w:val="single" w:sz="8" w:space="0" w:color="448A99"/>
              <w:left w:val="nil"/>
              <w:bottom w:val="single" w:sz="8" w:space="0" w:color="448A99"/>
              <w:right w:val="single" w:sz="8" w:space="0" w:color="448A99"/>
            </w:tcBorders>
            <w:shd w:val="clear" w:color="000000" w:fill="448A99"/>
            <w:vAlign w:val="bottom"/>
            <w:hideMark/>
          </w:tcPr>
          <w:p w:rsidR="00A2654F" w:rsidRPr="00A2654F" w:rsidRDefault="00A2654F" w:rsidP="006F4CC7">
            <w:pPr>
              <w:jc w:val="center"/>
              <w:rPr>
                <w:b/>
                <w:bCs/>
                <w:color w:val="FFFFFF"/>
                <w:sz w:val="20"/>
                <w:szCs w:val="20"/>
              </w:rPr>
            </w:pPr>
            <w:r w:rsidRPr="00A2654F">
              <w:rPr>
                <w:b/>
                <w:bCs/>
                <w:color w:val="FFFFFF"/>
                <w:sz w:val="20"/>
                <w:szCs w:val="20"/>
              </w:rPr>
              <w:t>Phase II VG Savings (MWh)</w:t>
            </w:r>
          </w:p>
        </w:tc>
        <w:tc>
          <w:tcPr>
            <w:tcW w:w="1350" w:type="dxa"/>
            <w:tcBorders>
              <w:top w:val="single" w:sz="8" w:space="0" w:color="448A99"/>
              <w:left w:val="nil"/>
              <w:bottom w:val="single" w:sz="8" w:space="0" w:color="448A99"/>
              <w:right w:val="single" w:sz="8" w:space="0" w:color="448A99"/>
            </w:tcBorders>
            <w:shd w:val="clear" w:color="000000" w:fill="448A99"/>
            <w:vAlign w:val="bottom"/>
            <w:hideMark/>
          </w:tcPr>
          <w:p w:rsidR="00A2654F" w:rsidRPr="00A2654F" w:rsidRDefault="00A2654F" w:rsidP="006F4CC7">
            <w:pPr>
              <w:jc w:val="center"/>
              <w:rPr>
                <w:b/>
                <w:bCs/>
                <w:color w:val="FFFFFF"/>
                <w:sz w:val="20"/>
                <w:szCs w:val="20"/>
              </w:rPr>
            </w:pPr>
            <w:r w:rsidRPr="00A2654F">
              <w:rPr>
                <w:b/>
                <w:bCs/>
                <w:color w:val="FFFFFF"/>
                <w:sz w:val="20"/>
                <w:szCs w:val="20"/>
              </w:rPr>
              <w:t>Percent of Portfolio Phase II VG MWh Savings</w:t>
            </w:r>
          </w:p>
        </w:tc>
        <w:tc>
          <w:tcPr>
            <w:tcW w:w="1170" w:type="dxa"/>
            <w:tcBorders>
              <w:top w:val="single" w:sz="8" w:space="0" w:color="448A99"/>
              <w:left w:val="nil"/>
              <w:bottom w:val="single" w:sz="8" w:space="0" w:color="448A99"/>
              <w:right w:val="single" w:sz="8" w:space="0" w:color="448A99"/>
            </w:tcBorders>
            <w:shd w:val="clear" w:color="000000" w:fill="448A99"/>
            <w:vAlign w:val="bottom"/>
            <w:hideMark/>
          </w:tcPr>
          <w:p w:rsidR="00A2654F" w:rsidRPr="00A2654F" w:rsidRDefault="00A2654F" w:rsidP="006F4CC7">
            <w:pPr>
              <w:jc w:val="center"/>
              <w:rPr>
                <w:b/>
                <w:bCs/>
                <w:color w:val="FFFFFF"/>
                <w:sz w:val="20"/>
                <w:szCs w:val="20"/>
              </w:rPr>
            </w:pPr>
            <w:r w:rsidRPr="00A2654F">
              <w:rPr>
                <w:b/>
                <w:bCs/>
                <w:color w:val="FFFFFF"/>
                <w:sz w:val="20"/>
                <w:szCs w:val="20"/>
              </w:rPr>
              <w:t>Phase II VG Savings (MW)</w:t>
            </w:r>
            <w:r w:rsidRPr="00504627">
              <w:rPr>
                <w:b/>
                <w:bCs/>
                <w:color w:val="FFFFFF"/>
                <w:sz w:val="20"/>
                <w:szCs w:val="20"/>
                <w:vertAlign w:val="superscript"/>
              </w:rPr>
              <w:t>[b]</w:t>
            </w:r>
          </w:p>
        </w:tc>
        <w:tc>
          <w:tcPr>
            <w:tcW w:w="1308" w:type="dxa"/>
            <w:tcBorders>
              <w:top w:val="single" w:sz="8" w:space="0" w:color="448A99"/>
              <w:left w:val="nil"/>
              <w:bottom w:val="single" w:sz="8" w:space="0" w:color="448A99"/>
              <w:right w:val="single" w:sz="8" w:space="0" w:color="448A99"/>
            </w:tcBorders>
            <w:shd w:val="clear" w:color="000000" w:fill="448A99"/>
            <w:vAlign w:val="bottom"/>
            <w:hideMark/>
          </w:tcPr>
          <w:p w:rsidR="00A2654F" w:rsidRPr="00A2654F" w:rsidRDefault="00A2654F" w:rsidP="006F4CC7">
            <w:pPr>
              <w:jc w:val="center"/>
              <w:rPr>
                <w:b/>
                <w:bCs/>
                <w:color w:val="FFFFFF"/>
                <w:sz w:val="20"/>
                <w:szCs w:val="20"/>
              </w:rPr>
            </w:pPr>
            <w:r w:rsidRPr="00A2654F">
              <w:rPr>
                <w:b/>
                <w:bCs/>
                <w:color w:val="FFFFFF"/>
                <w:sz w:val="20"/>
                <w:szCs w:val="20"/>
              </w:rPr>
              <w:t>Percent of Portfolio Phase II VG MW Savings</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A2654F" w:rsidRDefault="00A2654F" w:rsidP="00A2654F">
            <w:pPr>
              <w:jc w:val="left"/>
              <w:rPr>
                <w:color w:val="000000"/>
                <w:sz w:val="20"/>
                <w:szCs w:val="20"/>
              </w:rPr>
            </w:pPr>
            <w:r w:rsidRPr="00A2654F">
              <w:rPr>
                <w:color w:val="000000"/>
                <w:sz w:val="20"/>
                <w:szCs w:val="20"/>
              </w:rPr>
              <w:t>Smart Appliance Recycling - Residential</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24,212</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A2654F" w:rsidRDefault="00A2654F" w:rsidP="00A2654F">
            <w:pPr>
              <w:jc w:val="center"/>
              <w:rPr>
                <w:color w:val="000000"/>
                <w:sz w:val="20"/>
                <w:szCs w:val="20"/>
              </w:rPr>
            </w:pPr>
            <w:r w:rsidRPr="00A2654F">
              <w:rPr>
                <w:color w:val="000000"/>
                <w:sz w:val="20"/>
                <w:szCs w:val="20"/>
              </w:rPr>
              <w:t>2%</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3.4</w:t>
            </w:r>
          </w:p>
        </w:tc>
        <w:tc>
          <w:tcPr>
            <w:tcW w:w="1308" w:type="dxa"/>
            <w:tcBorders>
              <w:top w:val="nil"/>
              <w:left w:val="nil"/>
              <w:bottom w:val="single" w:sz="8" w:space="0" w:color="448A99"/>
              <w:right w:val="single" w:sz="8" w:space="0" w:color="448A99"/>
            </w:tcBorders>
            <w:shd w:val="clear" w:color="auto" w:fill="auto"/>
            <w:noWrap/>
            <w:vAlign w:val="center"/>
            <w:hideMark/>
          </w:tcPr>
          <w:p w:rsidR="00A2654F" w:rsidRPr="00A2654F" w:rsidRDefault="00A2654F" w:rsidP="00A2654F">
            <w:pPr>
              <w:jc w:val="center"/>
              <w:rPr>
                <w:color w:val="000000"/>
                <w:sz w:val="20"/>
                <w:szCs w:val="20"/>
              </w:rPr>
            </w:pPr>
            <w:r w:rsidRPr="00A2654F">
              <w:rPr>
                <w:color w:val="000000"/>
                <w:sz w:val="20"/>
                <w:szCs w:val="20"/>
              </w:rPr>
              <w:t>2%</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A2654F" w:rsidRDefault="00A2654F" w:rsidP="00A2654F">
            <w:pPr>
              <w:jc w:val="left"/>
              <w:rPr>
                <w:color w:val="000000"/>
                <w:sz w:val="20"/>
                <w:szCs w:val="20"/>
              </w:rPr>
            </w:pPr>
            <w:r w:rsidRPr="00A2654F">
              <w:rPr>
                <w:color w:val="000000"/>
                <w:sz w:val="20"/>
                <w:szCs w:val="20"/>
              </w:rPr>
              <w:t>Smart Builder Rebates</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592</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A2654F" w:rsidRDefault="00A2654F" w:rsidP="00A2654F">
            <w:pPr>
              <w:jc w:val="center"/>
              <w:rPr>
                <w:color w:val="000000"/>
                <w:sz w:val="20"/>
                <w:szCs w:val="20"/>
              </w:rPr>
            </w:pPr>
            <w:r w:rsidRPr="00A2654F">
              <w:rPr>
                <w:color w:val="000000"/>
                <w:sz w:val="20"/>
                <w:szCs w:val="20"/>
              </w:rPr>
              <w:t>0%</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0.2</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0%</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A2654F" w:rsidRDefault="00A2654F" w:rsidP="00A2654F">
            <w:pPr>
              <w:jc w:val="left"/>
              <w:rPr>
                <w:color w:val="000000"/>
                <w:sz w:val="20"/>
                <w:szCs w:val="20"/>
              </w:rPr>
            </w:pPr>
            <w:r w:rsidRPr="00A2654F">
              <w:rPr>
                <w:color w:val="000000"/>
                <w:sz w:val="20"/>
                <w:szCs w:val="20"/>
              </w:rPr>
              <w:t>Smart Energy Saver</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7,219</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A2654F" w:rsidRDefault="00A2654F" w:rsidP="00A2654F">
            <w:pPr>
              <w:jc w:val="center"/>
              <w:rPr>
                <w:color w:val="000000"/>
                <w:sz w:val="20"/>
                <w:szCs w:val="20"/>
              </w:rPr>
            </w:pPr>
            <w:r w:rsidRPr="00A2654F">
              <w:rPr>
                <w:color w:val="000000"/>
                <w:sz w:val="20"/>
                <w:szCs w:val="20"/>
              </w:rPr>
              <w:t>1%</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0.8</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0%</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A2654F" w:rsidRDefault="00A2654F" w:rsidP="00A2654F">
            <w:pPr>
              <w:jc w:val="left"/>
              <w:rPr>
                <w:color w:val="000000"/>
                <w:sz w:val="20"/>
                <w:szCs w:val="20"/>
              </w:rPr>
            </w:pPr>
            <w:r w:rsidRPr="00A2654F">
              <w:rPr>
                <w:color w:val="000000"/>
                <w:sz w:val="20"/>
                <w:szCs w:val="20"/>
              </w:rPr>
              <w:t>Smart Home Rebates - Residential</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403,631</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A2654F" w:rsidRDefault="00A2654F" w:rsidP="00A2654F">
            <w:pPr>
              <w:jc w:val="center"/>
              <w:rPr>
                <w:color w:val="000000"/>
                <w:sz w:val="20"/>
                <w:szCs w:val="20"/>
              </w:rPr>
            </w:pPr>
            <w:r w:rsidRPr="00A2654F">
              <w:rPr>
                <w:color w:val="000000"/>
                <w:sz w:val="20"/>
                <w:szCs w:val="20"/>
              </w:rPr>
              <w:t>37%</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63.5</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28%</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A2654F" w:rsidRDefault="00A2654F" w:rsidP="00A2654F">
            <w:pPr>
              <w:jc w:val="left"/>
              <w:rPr>
                <w:color w:val="000000"/>
                <w:sz w:val="20"/>
                <w:szCs w:val="20"/>
              </w:rPr>
            </w:pPr>
            <w:r w:rsidRPr="00A2654F">
              <w:rPr>
                <w:color w:val="000000"/>
                <w:sz w:val="20"/>
                <w:szCs w:val="20"/>
              </w:rPr>
              <w:t>Smart House Call</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10,566</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A2654F" w:rsidRDefault="00A2654F" w:rsidP="00A2654F">
            <w:pPr>
              <w:jc w:val="center"/>
              <w:rPr>
                <w:color w:val="000000"/>
                <w:sz w:val="20"/>
                <w:szCs w:val="20"/>
              </w:rPr>
            </w:pPr>
            <w:r w:rsidRPr="00A2654F">
              <w:rPr>
                <w:color w:val="000000"/>
                <w:sz w:val="20"/>
                <w:szCs w:val="20"/>
              </w:rPr>
              <w:t>1%</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1.5</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1%</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A2654F" w:rsidRDefault="00A2654F" w:rsidP="00A2654F">
            <w:pPr>
              <w:jc w:val="left"/>
              <w:rPr>
                <w:color w:val="000000"/>
                <w:sz w:val="20"/>
                <w:szCs w:val="20"/>
              </w:rPr>
            </w:pPr>
            <w:r w:rsidRPr="00A2654F">
              <w:rPr>
                <w:color w:val="000000"/>
                <w:sz w:val="20"/>
                <w:szCs w:val="20"/>
              </w:rPr>
              <w:t>Smart Multi-Family Solutions - Residential</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16,835</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A2654F" w:rsidRDefault="00A2654F" w:rsidP="00A2654F">
            <w:pPr>
              <w:jc w:val="center"/>
              <w:rPr>
                <w:color w:val="000000"/>
                <w:sz w:val="20"/>
                <w:szCs w:val="20"/>
              </w:rPr>
            </w:pPr>
            <w:r w:rsidRPr="00A2654F">
              <w:rPr>
                <w:color w:val="000000"/>
                <w:sz w:val="20"/>
                <w:szCs w:val="20"/>
              </w:rPr>
              <w:t>2%</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1.8</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1%</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A2654F" w:rsidRDefault="00C45E9A" w:rsidP="00A2654F">
            <w:pPr>
              <w:jc w:val="left"/>
              <w:rPr>
                <w:color w:val="000000"/>
                <w:sz w:val="20"/>
                <w:szCs w:val="20"/>
              </w:rPr>
            </w:pPr>
            <w:r w:rsidRPr="00A2654F">
              <w:rPr>
                <w:color w:val="000000"/>
                <w:sz w:val="20"/>
                <w:szCs w:val="20"/>
              </w:rPr>
              <w:t>Smart</w:t>
            </w:r>
            <w:r w:rsidR="00A2654F" w:rsidRPr="00A2654F">
              <w:rPr>
                <w:color w:val="000000"/>
                <w:sz w:val="20"/>
                <w:szCs w:val="20"/>
              </w:rPr>
              <w:t xml:space="preserve"> Usage Profile</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39,041</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A2654F" w:rsidRDefault="00A2654F" w:rsidP="00A2654F">
            <w:pPr>
              <w:jc w:val="center"/>
              <w:rPr>
                <w:color w:val="000000"/>
                <w:sz w:val="20"/>
                <w:szCs w:val="20"/>
              </w:rPr>
            </w:pPr>
            <w:r w:rsidRPr="00A2654F">
              <w:rPr>
                <w:color w:val="000000"/>
                <w:sz w:val="20"/>
                <w:szCs w:val="20"/>
              </w:rPr>
              <w:t>4%</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0</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0%</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A2654F" w:rsidRDefault="00A2654F" w:rsidP="00A2654F">
            <w:pPr>
              <w:jc w:val="left"/>
              <w:rPr>
                <w:color w:val="000000"/>
                <w:sz w:val="20"/>
                <w:szCs w:val="20"/>
              </w:rPr>
            </w:pPr>
            <w:r w:rsidRPr="00A2654F">
              <w:rPr>
                <w:color w:val="000000"/>
                <w:sz w:val="20"/>
                <w:szCs w:val="20"/>
              </w:rPr>
              <w:t>Low-Income Energy Efficiency Program</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54,607</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A2654F" w:rsidRDefault="00A2654F" w:rsidP="00A2654F">
            <w:pPr>
              <w:jc w:val="center"/>
              <w:rPr>
                <w:color w:val="000000"/>
                <w:sz w:val="20"/>
                <w:szCs w:val="20"/>
              </w:rPr>
            </w:pPr>
            <w:r w:rsidRPr="00A2654F">
              <w:rPr>
                <w:color w:val="000000"/>
                <w:sz w:val="20"/>
                <w:szCs w:val="20"/>
              </w:rPr>
              <w:t>5%</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6.2</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3%</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A2654F" w:rsidRDefault="00A2654F" w:rsidP="00A2654F">
            <w:pPr>
              <w:jc w:val="left"/>
              <w:rPr>
                <w:color w:val="000000"/>
                <w:sz w:val="20"/>
                <w:szCs w:val="20"/>
              </w:rPr>
            </w:pPr>
            <w:r w:rsidRPr="00A2654F">
              <w:rPr>
                <w:color w:val="000000"/>
                <w:sz w:val="20"/>
                <w:szCs w:val="20"/>
              </w:rPr>
              <w:t>Residential Smart AC Saver Program</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0</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A2654F" w:rsidRDefault="00A2654F" w:rsidP="00A2654F">
            <w:pPr>
              <w:jc w:val="center"/>
              <w:rPr>
                <w:color w:val="000000"/>
                <w:sz w:val="20"/>
                <w:szCs w:val="20"/>
              </w:rPr>
            </w:pPr>
            <w:r w:rsidRPr="00A2654F">
              <w:rPr>
                <w:color w:val="000000"/>
                <w:sz w:val="20"/>
                <w:szCs w:val="20"/>
              </w:rPr>
              <w:t>0%</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55.5</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25%</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A2654F" w:rsidRDefault="00A2654F" w:rsidP="00A2654F">
            <w:pPr>
              <w:jc w:val="left"/>
              <w:rPr>
                <w:color w:val="000000"/>
                <w:sz w:val="20"/>
                <w:szCs w:val="20"/>
              </w:rPr>
            </w:pPr>
            <w:r w:rsidRPr="00A2654F">
              <w:rPr>
                <w:color w:val="000000"/>
                <w:sz w:val="20"/>
                <w:szCs w:val="20"/>
              </w:rPr>
              <w:t>Smart Business Solutions</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29,004</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A2654F" w:rsidRDefault="00A2654F" w:rsidP="00A2654F">
            <w:pPr>
              <w:jc w:val="center"/>
              <w:rPr>
                <w:color w:val="000000"/>
                <w:sz w:val="20"/>
                <w:szCs w:val="20"/>
              </w:rPr>
            </w:pPr>
            <w:r w:rsidRPr="00A2654F">
              <w:rPr>
                <w:color w:val="000000"/>
                <w:sz w:val="20"/>
                <w:szCs w:val="20"/>
              </w:rPr>
              <w:t>3%</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7.6</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3%</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A2654F" w:rsidRDefault="00A2654F" w:rsidP="00A2654F">
            <w:pPr>
              <w:jc w:val="left"/>
              <w:rPr>
                <w:color w:val="000000"/>
                <w:sz w:val="20"/>
                <w:szCs w:val="20"/>
              </w:rPr>
            </w:pPr>
            <w:r w:rsidRPr="00A2654F">
              <w:rPr>
                <w:color w:val="000000"/>
                <w:sz w:val="20"/>
                <w:szCs w:val="20"/>
              </w:rPr>
              <w:t>Smart Construction Incentives</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43,348</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A2654F" w:rsidRDefault="00A2654F" w:rsidP="00A2654F">
            <w:pPr>
              <w:jc w:val="center"/>
              <w:rPr>
                <w:color w:val="000000"/>
                <w:sz w:val="20"/>
                <w:szCs w:val="20"/>
              </w:rPr>
            </w:pPr>
            <w:r w:rsidRPr="00A2654F">
              <w:rPr>
                <w:color w:val="000000"/>
                <w:sz w:val="20"/>
                <w:szCs w:val="20"/>
              </w:rPr>
              <w:t>4%</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6.6</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3%</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A2654F" w:rsidRDefault="00A2654F" w:rsidP="00A2654F">
            <w:pPr>
              <w:jc w:val="left"/>
              <w:rPr>
                <w:color w:val="000000"/>
                <w:sz w:val="20"/>
                <w:szCs w:val="20"/>
              </w:rPr>
            </w:pPr>
            <w:r w:rsidRPr="00A2654F">
              <w:rPr>
                <w:color w:val="000000"/>
                <w:sz w:val="20"/>
                <w:szCs w:val="20"/>
              </w:rPr>
              <w:t>Smart Equipment Incentives - Commercial and Industrial</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238,518</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A2654F" w:rsidRDefault="00A2654F" w:rsidP="00A2654F">
            <w:pPr>
              <w:jc w:val="center"/>
              <w:rPr>
                <w:color w:val="000000"/>
                <w:sz w:val="20"/>
                <w:szCs w:val="20"/>
              </w:rPr>
            </w:pPr>
            <w:r w:rsidRPr="00A2654F">
              <w:rPr>
                <w:color w:val="000000"/>
                <w:sz w:val="20"/>
                <w:szCs w:val="20"/>
              </w:rPr>
              <w:t>22%</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39.1</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17%</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A2654F" w:rsidRDefault="00A2654F" w:rsidP="00A2654F">
            <w:pPr>
              <w:jc w:val="left"/>
              <w:rPr>
                <w:color w:val="000000"/>
                <w:sz w:val="20"/>
                <w:szCs w:val="20"/>
              </w:rPr>
            </w:pPr>
            <w:r w:rsidRPr="00A2654F">
              <w:rPr>
                <w:color w:val="000000"/>
                <w:sz w:val="20"/>
                <w:szCs w:val="20"/>
              </w:rPr>
              <w:t>Smart Equipment Incentives - Government, Nonprofit and Institutional</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132,883</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A2654F" w:rsidRDefault="00A2654F" w:rsidP="00A2654F">
            <w:pPr>
              <w:jc w:val="center"/>
              <w:rPr>
                <w:color w:val="000000"/>
                <w:sz w:val="20"/>
                <w:szCs w:val="20"/>
              </w:rPr>
            </w:pPr>
            <w:r w:rsidRPr="00A2654F">
              <w:rPr>
                <w:color w:val="000000"/>
                <w:sz w:val="20"/>
                <w:szCs w:val="20"/>
              </w:rPr>
              <w:t>12%</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25.5</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11%</w:t>
            </w:r>
          </w:p>
        </w:tc>
      </w:tr>
      <w:tr w:rsidR="00A874AC" w:rsidRPr="00A2654F" w:rsidTr="006F4CC7">
        <w:trPr>
          <w:trHeight w:val="488"/>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A2654F" w:rsidRDefault="00A2654F" w:rsidP="00A2654F">
            <w:pPr>
              <w:jc w:val="left"/>
              <w:rPr>
                <w:color w:val="000000"/>
                <w:sz w:val="20"/>
                <w:szCs w:val="20"/>
              </w:rPr>
            </w:pPr>
            <w:r w:rsidRPr="00A2654F">
              <w:rPr>
                <w:color w:val="000000"/>
                <w:sz w:val="20"/>
                <w:szCs w:val="20"/>
              </w:rPr>
              <w:t>Smart On-Site</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90,049</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A2654F" w:rsidRDefault="00A2654F" w:rsidP="00A2654F">
            <w:pPr>
              <w:jc w:val="center"/>
              <w:rPr>
                <w:color w:val="000000"/>
                <w:sz w:val="20"/>
                <w:szCs w:val="20"/>
              </w:rPr>
            </w:pPr>
            <w:r w:rsidRPr="00A2654F">
              <w:rPr>
                <w:color w:val="000000"/>
                <w:sz w:val="20"/>
                <w:szCs w:val="20"/>
              </w:rPr>
              <w:t>8%</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11.6</w:t>
            </w:r>
          </w:p>
        </w:tc>
        <w:tc>
          <w:tcPr>
            <w:tcW w:w="1308"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color w:val="000000"/>
                <w:sz w:val="20"/>
                <w:szCs w:val="20"/>
              </w:rPr>
            </w:pPr>
            <w:r w:rsidRPr="00A2654F">
              <w:rPr>
                <w:color w:val="000000"/>
                <w:sz w:val="20"/>
                <w:szCs w:val="20"/>
              </w:rPr>
              <w:t>5%</w:t>
            </w:r>
          </w:p>
        </w:tc>
      </w:tr>
      <w:tr w:rsidR="00E7173E" w:rsidRPr="00A2654F" w:rsidTr="008F60E1">
        <w:trPr>
          <w:trHeight w:val="488"/>
        </w:trPr>
        <w:tc>
          <w:tcPr>
            <w:tcW w:w="4220" w:type="dxa"/>
            <w:tcBorders>
              <w:top w:val="nil"/>
              <w:left w:val="single" w:sz="8" w:space="0" w:color="448A99"/>
              <w:bottom w:val="single" w:sz="8" w:space="0" w:color="448A99"/>
              <w:right w:val="single" w:sz="8" w:space="0" w:color="448A99"/>
            </w:tcBorders>
            <w:shd w:val="clear" w:color="auto" w:fill="auto"/>
            <w:noWrap/>
            <w:vAlign w:val="center"/>
            <w:hideMark/>
          </w:tcPr>
          <w:p w:rsidR="00A2654F" w:rsidRPr="00A2654F" w:rsidRDefault="00A2654F" w:rsidP="00A2654F">
            <w:pPr>
              <w:jc w:val="left"/>
              <w:rPr>
                <w:color w:val="000000"/>
                <w:sz w:val="20"/>
                <w:szCs w:val="20"/>
              </w:rPr>
            </w:pPr>
            <w:r w:rsidRPr="00A2654F">
              <w:rPr>
                <w:color w:val="000000"/>
                <w:sz w:val="20"/>
                <w:szCs w:val="20"/>
              </w:rPr>
              <w:t>Commercial Smart AC Saver</w:t>
            </w:r>
          </w:p>
        </w:tc>
        <w:tc>
          <w:tcPr>
            <w:tcW w:w="135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0</w:t>
            </w:r>
          </w:p>
        </w:tc>
        <w:tc>
          <w:tcPr>
            <w:tcW w:w="1350" w:type="dxa"/>
            <w:tcBorders>
              <w:top w:val="nil"/>
              <w:left w:val="nil"/>
              <w:bottom w:val="single" w:sz="8" w:space="0" w:color="448A99"/>
              <w:right w:val="single" w:sz="8" w:space="0" w:color="448A99"/>
            </w:tcBorders>
            <w:shd w:val="clear" w:color="auto" w:fill="auto"/>
            <w:noWrap/>
            <w:vAlign w:val="center"/>
            <w:hideMark/>
          </w:tcPr>
          <w:p w:rsidR="00A2654F" w:rsidRPr="00A2654F" w:rsidRDefault="00A2654F" w:rsidP="00A2654F">
            <w:pPr>
              <w:jc w:val="center"/>
              <w:rPr>
                <w:color w:val="000000"/>
                <w:sz w:val="20"/>
                <w:szCs w:val="20"/>
              </w:rPr>
            </w:pPr>
            <w:r w:rsidRPr="00A2654F">
              <w:rPr>
                <w:color w:val="000000"/>
                <w:sz w:val="20"/>
                <w:szCs w:val="20"/>
              </w:rPr>
              <w:t>0%</w:t>
            </w:r>
          </w:p>
        </w:tc>
        <w:tc>
          <w:tcPr>
            <w:tcW w:w="1170"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1.5</w:t>
            </w:r>
          </w:p>
        </w:tc>
        <w:tc>
          <w:tcPr>
            <w:tcW w:w="1308" w:type="dxa"/>
            <w:tcBorders>
              <w:top w:val="nil"/>
              <w:left w:val="nil"/>
              <w:bottom w:val="single" w:sz="8" w:space="0" w:color="448A99"/>
              <w:right w:val="single" w:sz="8" w:space="0" w:color="448A99"/>
            </w:tcBorders>
            <w:shd w:val="clear" w:color="auto" w:fill="auto"/>
            <w:vAlign w:val="center"/>
            <w:hideMark/>
          </w:tcPr>
          <w:p w:rsidR="00A2654F" w:rsidRPr="00A2654F" w:rsidRDefault="00A2654F" w:rsidP="00A2654F">
            <w:pPr>
              <w:jc w:val="center"/>
              <w:rPr>
                <w:color w:val="000000"/>
                <w:sz w:val="20"/>
                <w:szCs w:val="20"/>
              </w:rPr>
            </w:pPr>
            <w:r w:rsidRPr="00A2654F">
              <w:rPr>
                <w:color w:val="000000"/>
                <w:sz w:val="20"/>
                <w:szCs w:val="20"/>
              </w:rPr>
              <w:t>1%</w:t>
            </w:r>
          </w:p>
        </w:tc>
      </w:tr>
      <w:tr w:rsidR="00A874AC" w:rsidRPr="00A2654F" w:rsidTr="006F4CC7">
        <w:trPr>
          <w:trHeight w:val="489"/>
        </w:trPr>
        <w:tc>
          <w:tcPr>
            <w:tcW w:w="4220" w:type="dxa"/>
            <w:tcBorders>
              <w:top w:val="nil"/>
              <w:left w:val="single" w:sz="8" w:space="0" w:color="448A99"/>
              <w:bottom w:val="single" w:sz="8" w:space="0" w:color="448A99"/>
              <w:right w:val="single" w:sz="8" w:space="0" w:color="448A99"/>
            </w:tcBorders>
            <w:shd w:val="clear" w:color="000000" w:fill="D2EAF1"/>
            <w:noWrap/>
            <w:vAlign w:val="center"/>
            <w:hideMark/>
          </w:tcPr>
          <w:p w:rsidR="00A2654F" w:rsidRPr="00A2654F" w:rsidRDefault="00A2654F" w:rsidP="00A2654F">
            <w:pPr>
              <w:jc w:val="left"/>
              <w:rPr>
                <w:b/>
                <w:bCs/>
                <w:color w:val="000000"/>
                <w:sz w:val="20"/>
                <w:szCs w:val="20"/>
              </w:rPr>
            </w:pPr>
            <w:r w:rsidRPr="00A2654F">
              <w:rPr>
                <w:b/>
                <w:bCs/>
                <w:color w:val="000000"/>
                <w:sz w:val="20"/>
                <w:szCs w:val="20"/>
              </w:rPr>
              <w:t>Total Portfolio</w:t>
            </w:r>
          </w:p>
        </w:tc>
        <w:tc>
          <w:tcPr>
            <w:tcW w:w="135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b/>
                <w:bCs/>
                <w:color w:val="000000"/>
                <w:sz w:val="20"/>
                <w:szCs w:val="20"/>
              </w:rPr>
            </w:pPr>
            <w:r w:rsidRPr="00A2654F">
              <w:rPr>
                <w:b/>
                <w:bCs/>
                <w:color w:val="000000"/>
                <w:sz w:val="20"/>
                <w:szCs w:val="20"/>
              </w:rPr>
              <w:t>1,090,505</w:t>
            </w:r>
          </w:p>
        </w:tc>
        <w:tc>
          <w:tcPr>
            <w:tcW w:w="1350" w:type="dxa"/>
            <w:tcBorders>
              <w:top w:val="nil"/>
              <w:left w:val="nil"/>
              <w:bottom w:val="single" w:sz="8" w:space="0" w:color="448A99"/>
              <w:right w:val="single" w:sz="8" w:space="0" w:color="448A99"/>
            </w:tcBorders>
            <w:shd w:val="clear" w:color="000000" w:fill="D2EAF1"/>
            <w:noWrap/>
            <w:vAlign w:val="center"/>
            <w:hideMark/>
          </w:tcPr>
          <w:p w:rsidR="00A2654F" w:rsidRPr="00A2654F" w:rsidRDefault="00A2654F" w:rsidP="00A2654F">
            <w:pPr>
              <w:jc w:val="center"/>
              <w:rPr>
                <w:b/>
                <w:bCs/>
                <w:color w:val="000000"/>
                <w:sz w:val="20"/>
                <w:szCs w:val="20"/>
              </w:rPr>
            </w:pPr>
            <w:r w:rsidRPr="00A2654F">
              <w:rPr>
                <w:b/>
                <w:bCs/>
                <w:color w:val="000000"/>
                <w:sz w:val="20"/>
                <w:szCs w:val="20"/>
              </w:rPr>
              <w:t>100%</w:t>
            </w:r>
          </w:p>
        </w:tc>
        <w:tc>
          <w:tcPr>
            <w:tcW w:w="1170" w:type="dxa"/>
            <w:tcBorders>
              <w:top w:val="nil"/>
              <w:left w:val="nil"/>
              <w:bottom w:val="single" w:sz="8" w:space="0" w:color="448A99"/>
              <w:right w:val="single" w:sz="8" w:space="0" w:color="448A99"/>
            </w:tcBorders>
            <w:shd w:val="clear" w:color="000000" w:fill="D2EAF1"/>
            <w:vAlign w:val="center"/>
            <w:hideMark/>
          </w:tcPr>
          <w:p w:rsidR="00A2654F" w:rsidRPr="00A2654F" w:rsidRDefault="00A2654F" w:rsidP="00A2654F">
            <w:pPr>
              <w:jc w:val="center"/>
              <w:rPr>
                <w:b/>
                <w:bCs/>
                <w:color w:val="000000"/>
                <w:sz w:val="20"/>
                <w:szCs w:val="20"/>
              </w:rPr>
            </w:pPr>
            <w:r w:rsidRPr="00A2654F">
              <w:rPr>
                <w:b/>
                <w:bCs/>
                <w:color w:val="000000"/>
                <w:sz w:val="20"/>
                <w:szCs w:val="20"/>
              </w:rPr>
              <w:t>224.8</w:t>
            </w:r>
          </w:p>
        </w:tc>
        <w:tc>
          <w:tcPr>
            <w:tcW w:w="1308" w:type="dxa"/>
            <w:tcBorders>
              <w:top w:val="nil"/>
              <w:left w:val="nil"/>
              <w:bottom w:val="single" w:sz="8" w:space="0" w:color="448A99"/>
              <w:right w:val="single" w:sz="8" w:space="0" w:color="448A99"/>
            </w:tcBorders>
            <w:shd w:val="clear" w:color="000000" w:fill="D2EAF1"/>
            <w:noWrap/>
            <w:vAlign w:val="center"/>
            <w:hideMark/>
          </w:tcPr>
          <w:p w:rsidR="00A2654F" w:rsidRPr="00A2654F" w:rsidRDefault="00A2654F" w:rsidP="00A2654F">
            <w:pPr>
              <w:jc w:val="center"/>
              <w:rPr>
                <w:b/>
                <w:bCs/>
                <w:color w:val="000000"/>
                <w:sz w:val="20"/>
                <w:szCs w:val="20"/>
              </w:rPr>
            </w:pPr>
            <w:r w:rsidRPr="00A2654F">
              <w:rPr>
                <w:b/>
                <w:bCs/>
                <w:color w:val="000000"/>
                <w:sz w:val="20"/>
                <w:szCs w:val="20"/>
              </w:rPr>
              <w:t>100%</w:t>
            </w:r>
          </w:p>
        </w:tc>
      </w:tr>
      <w:tr w:rsidR="00A874AC" w:rsidRPr="00A2654F" w:rsidTr="006F4CC7">
        <w:trPr>
          <w:trHeight w:val="300"/>
        </w:trPr>
        <w:tc>
          <w:tcPr>
            <w:tcW w:w="4220" w:type="dxa"/>
            <w:tcBorders>
              <w:top w:val="nil"/>
              <w:left w:val="single" w:sz="8" w:space="0" w:color="448A99"/>
              <w:bottom w:val="nil"/>
              <w:right w:val="nil"/>
            </w:tcBorders>
            <w:shd w:val="clear" w:color="000000" w:fill="448A99"/>
            <w:vAlign w:val="center"/>
            <w:hideMark/>
          </w:tcPr>
          <w:p w:rsidR="00A2654F" w:rsidRPr="006F4CC7" w:rsidRDefault="006F4CC7" w:rsidP="00A2654F">
            <w:pPr>
              <w:jc w:val="left"/>
              <w:rPr>
                <w:color w:val="FFFFFF"/>
                <w:sz w:val="18"/>
                <w:szCs w:val="20"/>
              </w:rPr>
            </w:pPr>
            <w:r>
              <w:rPr>
                <w:color w:val="FFFFFF"/>
                <w:sz w:val="18"/>
                <w:szCs w:val="20"/>
              </w:rPr>
              <w:t>NOTES</w:t>
            </w:r>
          </w:p>
        </w:tc>
        <w:tc>
          <w:tcPr>
            <w:tcW w:w="1350" w:type="dxa"/>
            <w:tcBorders>
              <w:top w:val="nil"/>
              <w:left w:val="nil"/>
              <w:bottom w:val="nil"/>
              <w:right w:val="nil"/>
            </w:tcBorders>
            <w:shd w:val="clear" w:color="000000" w:fill="448A99"/>
            <w:vAlign w:val="center"/>
            <w:hideMark/>
          </w:tcPr>
          <w:p w:rsidR="00A2654F" w:rsidRPr="00A2654F" w:rsidRDefault="00A2654F" w:rsidP="00A2654F">
            <w:pPr>
              <w:jc w:val="left"/>
              <w:rPr>
                <w:b/>
                <w:bCs/>
                <w:color w:val="FFFFFF"/>
              </w:rPr>
            </w:pPr>
            <w:r w:rsidRPr="00A2654F">
              <w:rPr>
                <w:b/>
                <w:bCs/>
                <w:color w:val="FFFFFF"/>
              </w:rPr>
              <w:t> </w:t>
            </w:r>
          </w:p>
        </w:tc>
        <w:tc>
          <w:tcPr>
            <w:tcW w:w="1350" w:type="dxa"/>
            <w:tcBorders>
              <w:top w:val="nil"/>
              <w:left w:val="nil"/>
              <w:bottom w:val="nil"/>
              <w:right w:val="nil"/>
            </w:tcBorders>
            <w:shd w:val="clear" w:color="000000" w:fill="448A99"/>
            <w:vAlign w:val="center"/>
            <w:hideMark/>
          </w:tcPr>
          <w:p w:rsidR="00A2654F" w:rsidRPr="00A2654F" w:rsidRDefault="00A2654F" w:rsidP="00A2654F">
            <w:pPr>
              <w:jc w:val="left"/>
              <w:rPr>
                <w:b/>
                <w:bCs/>
                <w:color w:val="FFFFFF"/>
              </w:rPr>
            </w:pPr>
            <w:r w:rsidRPr="00A2654F">
              <w:rPr>
                <w:b/>
                <w:bCs/>
                <w:color w:val="FFFFFF"/>
              </w:rPr>
              <w:t> </w:t>
            </w:r>
          </w:p>
        </w:tc>
        <w:tc>
          <w:tcPr>
            <w:tcW w:w="1170" w:type="dxa"/>
            <w:tcBorders>
              <w:top w:val="nil"/>
              <w:left w:val="nil"/>
              <w:bottom w:val="nil"/>
              <w:right w:val="nil"/>
            </w:tcBorders>
            <w:shd w:val="clear" w:color="000000" w:fill="448A99"/>
            <w:vAlign w:val="center"/>
            <w:hideMark/>
          </w:tcPr>
          <w:p w:rsidR="00A2654F" w:rsidRPr="00A2654F" w:rsidRDefault="00A2654F" w:rsidP="00A2654F">
            <w:pPr>
              <w:jc w:val="left"/>
              <w:rPr>
                <w:b/>
                <w:bCs/>
                <w:color w:val="FFFFFF"/>
              </w:rPr>
            </w:pPr>
            <w:r w:rsidRPr="00A2654F">
              <w:rPr>
                <w:b/>
                <w:bCs/>
                <w:color w:val="FFFFFF"/>
              </w:rPr>
              <w:t> </w:t>
            </w:r>
          </w:p>
        </w:tc>
        <w:tc>
          <w:tcPr>
            <w:tcW w:w="1308" w:type="dxa"/>
            <w:tcBorders>
              <w:top w:val="nil"/>
              <w:left w:val="nil"/>
              <w:bottom w:val="nil"/>
              <w:right w:val="single" w:sz="8" w:space="0" w:color="448A99"/>
            </w:tcBorders>
            <w:shd w:val="clear" w:color="000000" w:fill="448A99"/>
            <w:vAlign w:val="center"/>
            <w:hideMark/>
          </w:tcPr>
          <w:p w:rsidR="00A2654F" w:rsidRPr="00A2654F" w:rsidRDefault="00A2654F" w:rsidP="00A2654F">
            <w:pPr>
              <w:jc w:val="left"/>
              <w:rPr>
                <w:b/>
                <w:bCs/>
                <w:color w:val="FFFFFF"/>
              </w:rPr>
            </w:pPr>
            <w:r w:rsidRPr="00A2654F">
              <w:rPr>
                <w:b/>
                <w:bCs/>
                <w:color w:val="FFFFFF"/>
              </w:rPr>
              <w:t> </w:t>
            </w:r>
          </w:p>
        </w:tc>
      </w:tr>
      <w:tr w:rsidR="00504627" w:rsidRPr="00A2654F" w:rsidTr="008F60E1">
        <w:trPr>
          <w:trHeight w:val="513"/>
        </w:trPr>
        <w:tc>
          <w:tcPr>
            <w:tcW w:w="9398" w:type="dxa"/>
            <w:gridSpan w:val="5"/>
            <w:tcBorders>
              <w:top w:val="nil"/>
              <w:left w:val="single" w:sz="8" w:space="0" w:color="448A99"/>
              <w:bottom w:val="nil"/>
              <w:right w:val="single" w:sz="8" w:space="0" w:color="448A99"/>
            </w:tcBorders>
            <w:shd w:val="clear" w:color="000000" w:fill="448A99"/>
            <w:vAlign w:val="center"/>
            <w:hideMark/>
          </w:tcPr>
          <w:p w:rsidR="00504627" w:rsidRPr="00A2654F" w:rsidRDefault="00504627" w:rsidP="00504627">
            <w:pPr>
              <w:jc w:val="left"/>
              <w:rPr>
                <w:color w:val="FFFFFF"/>
                <w:sz w:val="18"/>
                <w:szCs w:val="18"/>
              </w:rPr>
            </w:pPr>
            <w:r w:rsidRPr="00A2654F">
              <w:rPr>
                <w:color w:val="FFFFFF"/>
                <w:sz w:val="18"/>
                <w:szCs w:val="18"/>
              </w:rPr>
              <w:t>[a] This table lists multiple line-item breakouts for programs that are offered across multiple sectors. Therefore, the table has more rows than unique programs. </w:t>
            </w:r>
          </w:p>
        </w:tc>
      </w:tr>
      <w:tr w:rsidR="00A874AC" w:rsidRPr="00A2654F" w:rsidTr="006F4CC7">
        <w:trPr>
          <w:trHeight w:val="315"/>
        </w:trPr>
        <w:tc>
          <w:tcPr>
            <w:tcW w:w="4220" w:type="dxa"/>
            <w:tcBorders>
              <w:top w:val="nil"/>
              <w:left w:val="single" w:sz="8" w:space="0" w:color="448A99"/>
              <w:bottom w:val="single" w:sz="8" w:space="0" w:color="448A99"/>
              <w:right w:val="nil"/>
            </w:tcBorders>
            <w:shd w:val="clear" w:color="000000" w:fill="448A99"/>
            <w:vAlign w:val="center"/>
            <w:hideMark/>
          </w:tcPr>
          <w:p w:rsidR="00A2654F" w:rsidRPr="00A2654F" w:rsidRDefault="00A2654F" w:rsidP="00A2654F">
            <w:pPr>
              <w:jc w:val="left"/>
              <w:rPr>
                <w:color w:val="FFFFFF"/>
                <w:sz w:val="18"/>
                <w:szCs w:val="18"/>
              </w:rPr>
            </w:pPr>
            <w:r w:rsidRPr="00A2654F">
              <w:rPr>
                <w:color w:val="FFFFFF"/>
                <w:sz w:val="18"/>
                <w:szCs w:val="18"/>
              </w:rPr>
              <w:t>[b] All demand values include a</w:t>
            </w:r>
            <w:r w:rsidR="00804EA4">
              <w:rPr>
                <w:color w:val="FFFFFF"/>
                <w:sz w:val="18"/>
                <w:szCs w:val="18"/>
              </w:rPr>
              <w:t>n</w:t>
            </w:r>
            <w:r w:rsidRPr="00A2654F">
              <w:rPr>
                <w:color w:val="FFFFFF"/>
                <w:sz w:val="18"/>
                <w:szCs w:val="18"/>
              </w:rPr>
              <w:t xml:space="preserve"> LLF.</w:t>
            </w:r>
          </w:p>
        </w:tc>
        <w:tc>
          <w:tcPr>
            <w:tcW w:w="1350" w:type="dxa"/>
            <w:tcBorders>
              <w:top w:val="nil"/>
              <w:left w:val="nil"/>
              <w:bottom w:val="single" w:sz="8" w:space="0" w:color="448A99"/>
              <w:right w:val="nil"/>
            </w:tcBorders>
            <w:shd w:val="clear" w:color="000000" w:fill="448A99"/>
            <w:vAlign w:val="center"/>
            <w:hideMark/>
          </w:tcPr>
          <w:p w:rsidR="00A2654F" w:rsidRPr="00A2654F" w:rsidRDefault="00A2654F" w:rsidP="00A2654F">
            <w:pPr>
              <w:jc w:val="left"/>
              <w:rPr>
                <w:color w:val="FFFFFF"/>
                <w:sz w:val="18"/>
                <w:szCs w:val="18"/>
              </w:rPr>
            </w:pPr>
            <w:r w:rsidRPr="00A2654F">
              <w:rPr>
                <w:color w:val="FFFFFF"/>
                <w:sz w:val="18"/>
                <w:szCs w:val="18"/>
              </w:rPr>
              <w:t> </w:t>
            </w:r>
          </w:p>
        </w:tc>
        <w:tc>
          <w:tcPr>
            <w:tcW w:w="1350" w:type="dxa"/>
            <w:tcBorders>
              <w:top w:val="nil"/>
              <w:left w:val="nil"/>
              <w:bottom w:val="single" w:sz="8" w:space="0" w:color="448A99"/>
              <w:right w:val="nil"/>
            </w:tcBorders>
            <w:shd w:val="clear" w:color="000000" w:fill="448A99"/>
            <w:vAlign w:val="center"/>
            <w:hideMark/>
          </w:tcPr>
          <w:p w:rsidR="00A2654F" w:rsidRPr="00A2654F" w:rsidRDefault="00A2654F" w:rsidP="00A2654F">
            <w:pPr>
              <w:jc w:val="left"/>
              <w:rPr>
                <w:color w:val="FFFFFF"/>
                <w:sz w:val="18"/>
                <w:szCs w:val="18"/>
              </w:rPr>
            </w:pPr>
            <w:r w:rsidRPr="00A2654F">
              <w:rPr>
                <w:color w:val="FFFFFF"/>
                <w:sz w:val="18"/>
                <w:szCs w:val="18"/>
              </w:rPr>
              <w:t> </w:t>
            </w:r>
          </w:p>
        </w:tc>
        <w:tc>
          <w:tcPr>
            <w:tcW w:w="1170" w:type="dxa"/>
            <w:tcBorders>
              <w:top w:val="nil"/>
              <w:left w:val="nil"/>
              <w:bottom w:val="single" w:sz="8" w:space="0" w:color="448A99"/>
              <w:right w:val="nil"/>
            </w:tcBorders>
            <w:shd w:val="clear" w:color="000000" w:fill="448A99"/>
            <w:vAlign w:val="center"/>
            <w:hideMark/>
          </w:tcPr>
          <w:p w:rsidR="00A2654F" w:rsidRPr="00A2654F" w:rsidRDefault="00A2654F" w:rsidP="00A2654F">
            <w:pPr>
              <w:jc w:val="left"/>
              <w:rPr>
                <w:color w:val="FFFFFF"/>
                <w:sz w:val="18"/>
                <w:szCs w:val="18"/>
              </w:rPr>
            </w:pPr>
            <w:r w:rsidRPr="00A2654F">
              <w:rPr>
                <w:color w:val="FFFFFF"/>
                <w:sz w:val="18"/>
                <w:szCs w:val="18"/>
              </w:rPr>
              <w:t> </w:t>
            </w:r>
          </w:p>
        </w:tc>
        <w:tc>
          <w:tcPr>
            <w:tcW w:w="1308" w:type="dxa"/>
            <w:tcBorders>
              <w:top w:val="nil"/>
              <w:left w:val="nil"/>
              <w:bottom w:val="single" w:sz="8" w:space="0" w:color="448A99"/>
              <w:right w:val="single" w:sz="8" w:space="0" w:color="448A99"/>
            </w:tcBorders>
            <w:shd w:val="clear" w:color="000000" w:fill="448A99"/>
            <w:vAlign w:val="center"/>
            <w:hideMark/>
          </w:tcPr>
          <w:p w:rsidR="00A2654F" w:rsidRPr="00A2654F" w:rsidRDefault="00A2654F" w:rsidP="00A2654F">
            <w:pPr>
              <w:jc w:val="left"/>
              <w:rPr>
                <w:color w:val="FFFFFF"/>
                <w:sz w:val="18"/>
                <w:szCs w:val="18"/>
              </w:rPr>
            </w:pPr>
            <w:r w:rsidRPr="00A2654F">
              <w:rPr>
                <w:color w:val="FFFFFF"/>
                <w:sz w:val="18"/>
                <w:szCs w:val="18"/>
              </w:rPr>
              <w:t> </w:t>
            </w:r>
          </w:p>
        </w:tc>
      </w:tr>
    </w:tbl>
    <w:p w:rsidR="005A27BE" w:rsidRDefault="005A27BE" w:rsidP="005A27BE"/>
    <w:p w:rsidR="00FD4D90" w:rsidRPr="005A27BE" w:rsidRDefault="00FD4D90" w:rsidP="005A27BE"/>
    <w:p w:rsidR="00735BA9" w:rsidRDefault="00735BA9" w:rsidP="00D34B3E">
      <w:pPr>
        <w:pStyle w:val="AppendixAHeading3"/>
      </w:pPr>
      <w:r>
        <w:t>PY7 Gross and Net Savings by Sector</w:t>
      </w:r>
    </w:p>
    <w:p w:rsidR="00A874AC" w:rsidRDefault="00710D47" w:rsidP="00710D47">
      <w:r w:rsidRPr="00C23348">
        <w:t>The sector-level verified gross and net energy savings achieved in PY7 are provided</w:t>
      </w:r>
      <w:r>
        <w:t xml:space="preserve"> in </w:t>
      </w:r>
      <w:r w:rsidR="008F62F5">
        <w:fldChar w:fldCharType="begin"/>
      </w:r>
      <w:r w:rsidR="008F62F5">
        <w:instrText xml:space="preserve"> REF _Ref472360407 \h </w:instrText>
      </w:r>
      <w:r w:rsidR="008F62F5">
        <w:fldChar w:fldCharType="separate"/>
      </w:r>
    </w:p>
    <w:p w:rsidR="00710D47" w:rsidRDefault="00A874AC" w:rsidP="00710D47">
      <w:r w:rsidRPr="00E41D9C">
        <w:t>Table A-</w:t>
      </w:r>
      <w:r>
        <w:rPr>
          <w:noProof/>
        </w:rPr>
        <w:t>104</w:t>
      </w:r>
      <w:r w:rsidR="008F62F5">
        <w:fldChar w:fldCharType="end"/>
      </w:r>
      <w:r w:rsidR="00710D47">
        <w:t xml:space="preserve">. In PY7, the net energy savings were </w:t>
      </w:r>
      <w:r w:rsidR="00710D47" w:rsidRPr="00A2654F">
        <w:t xml:space="preserve">approximately </w:t>
      </w:r>
      <w:r w:rsidR="00155977">
        <w:t>60</w:t>
      </w:r>
      <w:r w:rsidR="00710D47" w:rsidRPr="00A2654F">
        <w:t>% of</w:t>
      </w:r>
      <w:r w:rsidR="00710D47">
        <w:t xml:space="preserve"> the gross energy savings.</w:t>
      </w:r>
    </w:p>
    <w:p w:rsidR="00710D47" w:rsidRDefault="00710D47" w:rsidP="00710D47">
      <w:pPr>
        <w:pStyle w:val="Caption"/>
      </w:pPr>
      <w:bookmarkStart w:id="1097" w:name="_Ref472360407"/>
      <w:bookmarkStart w:id="1098" w:name="_Toc472472513"/>
      <w:bookmarkStart w:id="1099" w:name="_Toc476842219"/>
      <w:r w:rsidRPr="00E41D9C">
        <w:t>Table A-</w:t>
      </w:r>
      <w:fldSimple w:instr=" SEQ Table_A- \* ARABIC ">
        <w:r w:rsidR="00C301D0">
          <w:rPr>
            <w:noProof/>
          </w:rPr>
          <w:t>104</w:t>
        </w:r>
      </w:fldSimple>
      <w:bookmarkEnd w:id="1097"/>
      <w:r w:rsidRPr="00E41D9C">
        <w:t xml:space="preserve">: </w:t>
      </w:r>
      <w:r w:rsidRPr="008B45A8">
        <w:t xml:space="preserve">Summary of </w:t>
      </w:r>
      <w:r>
        <w:t>P</w:t>
      </w:r>
      <w:r w:rsidR="008F62F5">
        <w:t>ECO</w:t>
      </w:r>
      <w:r w:rsidRPr="008B45A8">
        <w:t xml:space="preserve"> EE&amp;C Verified Net Savings – by Sector</w:t>
      </w:r>
      <w:bookmarkEnd w:id="1098"/>
      <w:bookmarkEnd w:id="1099"/>
    </w:p>
    <w:tbl>
      <w:tblPr>
        <w:tblW w:w="9350" w:type="dxa"/>
        <w:tblLook w:val="04A0" w:firstRow="1" w:lastRow="0" w:firstColumn="1" w:lastColumn="0" w:noHBand="0" w:noVBand="1"/>
      </w:tblPr>
      <w:tblGrid>
        <w:gridCol w:w="1540"/>
        <w:gridCol w:w="1952"/>
        <w:gridCol w:w="1953"/>
        <w:gridCol w:w="1952"/>
        <w:gridCol w:w="1953"/>
      </w:tblGrid>
      <w:tr w:rsidR="00A874AC" w:rsidRPr="00C23348" w:rsidTr="006F4CC7">
        <w:trPr>
          <w:trHeight w:val="358"/>
        </w:trPr>
        <w:tc>
          <w:tcPr>
            <w:tcW w:w="154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710D47" w:rsidRPr="00C23348" w:rsidRDefault="00710D47" w:rsidP="006F4CC7">
            <w:pPr>
              <w:rPr>
                <w:b/>
                <w:bCs/>
                <w:color w:val="FFFFFF"/>
                <w:sz w:val="20"/>
                <w:szCs w:val="20"/>
              </w:rPr>
            </w:pPr>
            <w:r w:rsidRPr="00C23348">
              <w:rPr>
                <w:b/>
                <w:bCs/>
                <w:color w:val="FFFFFF"/>
                <w:sz w:val="20"/>
                <w:szCs w:val="20"/>
              </w:rPr>
              <w:t>Sector</w:t>
            </w:r>
          </w:p>
        </w:tc>
        <w:tc>
          <w:tcPr>
            <w:tcW w:w="1952"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6F4CC7">
            <w:pPr>
              <w:jc w:val="center"/>
              <w:rPr>
                <w:b/>
                <w:bCs/>
                <w:color w:val="FFFFFF"/>
                <w:sz w:val="20"/>
                <w:szCs w:val="20"/>
              </w:rPr>
            </w:pPr>
            <w:r w:rsidRPr="00C23348">
              <w:rPr>
                <w:b/>
                <w:bCs/>
                <w:color w:val="FFFFFF"/>
                <w:sz w:val="20"/>
                <w:szCs w:val="20"/>
              </w:rPr>
              <w:t>PY7 VG Savings (MWh/yr)</w:t>
            </w:r>
          </w:p>
        </w:tc>
        <w:tc>
          <w:tcPr>
            <w:tcW w:w="1953"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6F4CC7">
            <w:pPr>
              <w:jc w:val="center"/>
              <w:rPr>
                <w:b/>
                <w:bCs/>
                <w:color w:val="FFFFFF"/>
                <w:sz w:val="20"/>
                <w:szCs w:val="20"/>
              </w:rPr>
            </w:pPr>
            <w:r w:rsidRPr="00C23348">
              <w:rPr>
                <w:b/>
                <w:bCs/>
                <w:color w:val="FFFFFF"/>
                <w:sz w:val="20"/>
                <w:szCs w:val="20"/>
              </w:rPr>
              <w:t>PY7 Verified Net Savings (MWh/yr)</w:t>
            </w:r>
          </w:p>
        </w:tc>
        <w:tc>
          <w:tcPr>
            <w:tcW w:w="1952"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6F4CC7">
            <w:pPr>
              <w:jc w:val="center"/>
              <w:rPr>
                <w:b/>
                <w:bCs/>
                <w:color w:val="FFFFFF"/>
                <w:sz w:val="20"/>
                <w:szCs w:val="20"/>
              </w:rPr>
            </w:pPr>
            <w:r w:rsidRPr="00C23348">
              <w:rPr>
                <w:b/>
                <w:bCs/>
                <w:color w:val="FFFFFF"/>
                <w:sz w:val="20"/>
                <w:szCs w:val="20"/>
              </w:rPr>
              <w:t>Phase II VG Savings (MWh/yr)</w:t>
            </w:r>
          </w:p>
        </w:tc>
        <w:tc>
          <w:tcPr>
            <w:tcW w:w="1953"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6F4CC7">
            <w:pPr>
              <w:jc w:val="center"/>
              <w:rPr>
                <w:b/>
                <w:bCs/>
                <w:color w:val="FFFFFF"/>
                <w:sz w:val="20"/>
                <w:szCs w:val="20"/>
              </w:rPr>
            </w:pPr>
            <w:r w:rsidRPr="00C23348">
              <w:rPr>
                <w:b/>
                <w:bCs/>
                <w:color w:val="FFFFFF"/>
                <w:sz w:val="20"/>
                <w:szCs w:val="20"/>
              </w:rPr>
              <w:t>Phase II Verified Net Savings (MWh/yr)</w:t>
            </w:r>
          </w:p>
        </w:tc>
      </w:tr>
      <w:tr w:rsidR="00E7173E" w:rsidRPr="00C23348" w:rsidTr="008F60E1">
        <w:trPr>
          <w:trHeight w:val="360"/>
        </w:trPr>
        <w:tc>
          <w:tcPr>
            <w:tcW w:w="1540" w:type="dxa"/>
            <w:tcBorders>
              <w:top w:val="nil"/>
              <w:left w:val="single" w:sz="8" w:space="0" w:color="448A99"/>
              <w:bottom w:val="single" w:sz="8" w:space="0" w:color="448A99"/>
              <w:right w:val="single" w:sz="8" w:space="0" w:color="448A99"/>
            </w:tcBorders>
            <w:shd w:val="clear" w:color="auto" w:fill="auto"/>
            <w:noWrap/>
            <w:vAlign w:val="center"/>
          </w:tcPr>
          <w:p w:rsidR="00A2654F" w:rsidRPr="00C23348" w:rsidRDefault="00A2654F" w:rsidP="00A2654F">
            <w:pPr>
              <w:jc w:val="left"/>
              <w:rPr>
                <w:color w:val="000000"/>
                <w:sz w:val="20"/>
                <w:szCs w:val="20"/>
              </w:rPr>
            </w:pPr>
            <w:r>
              <w:rPr>
                <w:color w:val="000000"/>
                <w:sz w:val="20"/>
                <w:szCs w:val="20"/>
              </w:rPr>
              <w:t>Residential</w:t>
            </w:r>
          </w:p>
        </w:tc>
        <w:tc>
          <w:tcPr>
            <w:tcW w:w="1952" w:type="dxa"/>
            <w:tcBorders>
              <w:top w:val="nil"/>
              <w:left w:val="nil"/>
              <w:bottom w:val="single" w:sz="8" w:space="0" w:color="448A99"/>
              <w:right w:val="single" w:sz="8" w:space="0" w:color="448A99"/>
            </w:tcBorders>
            <w:shd w:val="clear" w:color="auto" w:fill="auto"/>
            <w:vAlign w:val="center"/>
          </w:tcPr>
          <w:p w:rsidR="00A2654F" w:rsidRPr="00C23348" w:rsidRDefault="00A2654F" w:rsidP="00A2654F">
            <w:pPr>
              <w:jc w:val="center"/>
              <w:rPr>
                <w:color w:val="000000"/>
                <w:sz w:val="20"/>
                <w:szCs w:val="20"/>
              </w:rPr>
            </w:pPr>
            <w:r>
              <w:rPr>
                <w:color w:val="000000"/>
                <w:sz w:val="20"/>
                <w:szCs w:val="20"/>
              </w:rPr>
              <w:t>250,696</w:t>
            </w:r>
          </w:p>
        </w:tc>
        <w:tc>
          <w:tcPr>
            <w:tcW w:w="1953" w:type="dxa"/>
            <w:tcBorders>
              <w:top w:val="nil"/>
              <w:left w:val="nil"/>
              <w:bottom w:val="single" w:sz="8" w:space="0" w:color="448A99"/>
              <w:right w:val="single" w:sz="8" w:space="0" w:color="448A99"/>
            </w:tcBorders>
            <w:shd w:val="clear" w:color="auto" w:fill="auto"/>
            <w:vAlign w:val="center"/>
          </w:tcPr>
          <w:p w:rsidR="00A2654F" w:rsidRPr="00C23348" w:rsidRDefault="00A2654F" w:rsidP="00A2654F">
            <w:pPr>
              <w:jc w:val="center"/>
              <w:rPr>
                <w:color w:val="000000"/>
                <w:sz w:val="20"/>
                <w:szCs w:val="20"/>
              </w:rPr>
            </w:pPr>
            <w:r>
              <w:rPr>
                <w:color w:val="000000"/>
                <w:sz w:val="20"/>
                <w:szCs w:val="20"/>
              </w:rPr>
              <w:t>161,106</w:t>
            </w:r>
          </w:p>
        </w:tc>
        <w:tc>
          <w:tcPr>
            <w:tcW w:w="1952" w:type="dxa"/>
            <w:tcBorders>
              <w:top w:val="nil"/>
              <w:left w:val="nil"/>
              <w:bottom w:val="single" w:sz="8" w:space="0" w:color="448A99"/>
              <w:right w:val="single" w:sz="8" w:space="0" w:color="448A99"/>
            </w:tcBorders>
            <w:shd w:val="clear" w:color="auto" w:fill="auto"/>
            <w:vAlign w:val="center"/>
          </w:tcPr>
          <w:p w:rsidR="00A2654F" w:rsidRPr="00C23348" w:rsidRDefault="00A2654F" w:rsidP="00A2654F">
            <w:pPr>
              <w:jc w:val="center"/>
              <w:rPr>
                <w:color w:val="000000"/>
                <w:sz w:val="20"/>
                <w:szCs w:val="20"/>
              </w:rPr>
            </w:pPr>
            <w:r>
              <w:rPr>
                <w:color w:val="000000"/>
                <w:sz w:val="20"/>
                <w:szCs w:val="20"/>
              </w:rPr>
              <w:t>485,743</w:t>
            </w:r>
          </w:p>
        </w:tc>
        <w:tc>
          <w:tcPr>
            <w:tcW w:w="1953" w:type="dxa"/>
            <w:tcBorders>
              <w:top w:val="nil"/>
              <w:left w:val="nil"/>
              <w:bottom w:val="single" w:sz="8" w:space="0" w:color="448A99"/>
              <w:right w:val="single" w:sz="8" w:space="0" w:color="448A99"/>
            </w:tcBorders>
            <w:shd w:val="clear" w:color="auto" w:fill="auto"/>
            <w:vAlign w:val="center"/>
          </w:tcPr>
          <w:p w:rsidR="00A2654F" w:rsidRPr="00C23348" w:rsidRDefault="00A2654F" w:rsidP="00A2654F">
            <w:pPr>
              <w:jc w:val="center"/>
              <w:rPr>
                <w:color w:val="000000"/>
                <w:sz w:val="20"/>
                <w:szCs w:val="20"/>
              </w:rPr>
            </w:pPr>
            <w:r>
              <w:rPr>
                <w:color w:val="000000"/>
                <w:sz w:val="20"/>
                <w:szCs w:val="20"/>
              </w:rPr>
              <w:t>298,899</w:t>
            </w:r>
          </w:p>
        </w:tc>
      </w:tr>
      <w:tr w:rsidR="00A874AC" w:rsidRPr="00C23348" w:rsidTr="006F4CC7">
        <w:trPr>
          <w:trHeight w:val="360"/>
        </w:trPr>
        <w:tc>
          <w:tcPr>
            <w:tcW w:w="1540" w:type="dxa"/>
            <w:tcBorders>
              <w:top w:val="nil"/>
              <w:left w:val="single" w:sz="8" w:space="0" w:color="448A99"/>
              <w:bottom w:val="single" w:sz="8" w:space="0" w:color="448A99"/>
              <w:right w:val="single" w:sz="8" w:space="0" w:color="448A99"/>
            </w:tcBorders>
            <w:shd w:val="clear" w:color="000000" w:fill="D2EAF1"/>
            <w:noWrap/>
            <w:vAlign w:val="center"/>
          </w:tcPr>
          <w:p w:rsidR="00A2654F" w:rsidRPr="00C23348" w:rsidRDefault="00A2654F" w:rsidP="0097650B">
            <w:pPr>
              <w:jc w:val="left"/>
              <w:rPr>
                <w:color w:val="000000"/>
                <w:sz w:val="20"/>
                <w:szCs w:val="20"/>
              </w:rPr>
            </w:pPr>
            <w:r>
              <w:rPr>
                <w:color w:val="000000"/>
                <w:sz w:val="20"/>
                <w:szCs w:val="20"/>
              </w:rPr>
              <w:t>C</w:t>
            </w:r>
            <w:r w:rsidR="0097650B">
              <w:rPr>
                <w:color w:val="000000"/>
                <w:sz w:val="20"/>
                <w:szCs w:val="20"/>
              </w:rPr>
              <w:t>/</w:t>
            </w:r>
            <w:r>
              <w:rPr>
                <w:color w:val="000000"/>
                <w:sz w:val="20"/>
                <w:szCs w:val="20"/>
              </w:rPr>
              <w:t>I</w:t>
            </w:r>
          </w:p>
        </w:tc>
        <w:tc>
          <w:tcPr>
            <w:tcW w:w="1952" w:type="dxa"/>
            <w:tcBorders>
              <w:top w:val="nil"/>
              <w:left w:val="nil"/>
              <w:bottom w:val="single" w:sz="8" w:space="0" w:color="448A99"/>
              <w:right w:val="single" w:sz="8" w:space="0" w:color="448A99"/>
            </w:tcBorders>
            <w:shd w:val="clear" w:color="000000" w:fill="D2EAF1"/>
            <w:vAlign w:val="center"/>
          </w:tcPr>
          <w:p w:rsidR="00A2654F" w:rsidRPr="00C23348" w:rsidRDefault="00A2654F" w:rsidP="00A2654F">
            <w:pPr>
              <w:jc w:val="center"/>
              <w:rPr>
                <w:color w:val="000000"/>
                <w:sz w:val="20"/>
                <w:szCs w:val="20"/>
              </w:rPr>
            </w:pPr>
            <w:r>
              <w:rPr>
                <w:color w:val="000000"/>
                <w:sz w:val="20"/>
                <w:szCs w:val="20"/>
              </w:rPr>
              <w:t>152,203</w:t>
            </w:r>
          </w:p>
        </w:tc>
        <w:tc>
          <w:tcPr>
            <w:tcW w:w="1953" w:type="dxa"/>
            <w:tcBorders>
              <w:top w:val="nil"/>
              <w:left w:val="nil"/>
              <w:bottom w:val="single" w:sz="8" w:space="0" w:color="448A99"/>
              <w:right w:val="single" w:sz="8" w:space="0" w:color="448A99"/>
            </w:tcBorders>
            <w:shd w:val="clear" w:color="000000" w:fill="D2EAF1"/>
            <w:vAlign w:val="center"/>
          </w:tcPr>
          <w:p w:rsidR="00A2654F" w:rsidRPr="00C23348" w:rsidRDefault="00A2654F" w:rsidP="00A2654F">
            <w:pPr>
              <w:jc w:val="center"/>
              <w:rPr>
                <w:color w:val="000000"/>
                <w:sz w:val="20"/>
                <w:szCs w:val="20"/>
              </w:rPr>
            </w:pPr>
            <w:r>
              <w:rPr>
                <w:color w:val="000000"/>
                <w:sz w:val="20"/>
                <w:szCs w:val="20"/>
              </w:rPr>
              <w:t>99,321</w:t>
            </w:r>
          </w:p>
        </w:tc>
        <w:tc>
          <w:tcPr>
            <w:tcW w:w="1952" w:type="dxa"/>
            <w:tcBorders>
              <w:top w:val="nil"/>
              <w:left w:val="nil"/>
              <w:bottom w:val="single" w:sz="8" w:space="0" w:color="448A99"/>
              <w:right w:val="single" w:sz="8" w:space="0" w:color="448A99"/>
            </w:tcBorders>
            <w:shd w:val="clear" w:color="000000" w:fill="D2EAF1"/>
            <w:vAlign w:val="center"/>
          </w:tcPr>
          <w:p w:rsidR="00A2654F" w:rsidRPr="00C23348" w:rsidRDefault="00A2654F" w:rsidP="00A2654F">
            <w:pPr>
              <w:jc w:val="center"/>
              <w:rPr>
                <w:color w:val="000000"/>
                <w:sz w:val="20"/>
                <w:szCs w:val="20"/>
              </w:rPr>
            </w:pPr>
            <w:r>
              <w:rPr>
                <w:color w:val="000000"/>
                <w:sz w:val="20"/>
                <w:szCs w:val="20"/>
              </w:rPr>
              <w:t>376,776</w:t>
            </w:r>
          </w:p>
        </w:tc>
        <w:tc>
          <w:tcPr>
            <w:tcW w:w="1953" w:type="dxa"/>
            <w:tcBorders>
              <w:top w:val="nil"/>
              <w:left w:val="nil"/>
              <w:bottom w:val="single" w:sz="8" w:space="0" w:color="448A99"/>
              <w:right w:val="single" w:sz="8" w:space="0" w:color="448A99"/>
            </w:tcBorders>
            <w:shd w:val="clear" w:color="000000" w:fill="D2EAF1"/>
            <w:vAlign w:val="center"/>
          </w:tcPr>
          <w:p w:rsidR="00A2654F" w:rsidRPr="00C23348" w:rsidRDefault="00A2654F" w:rsidP="00A2654F">
            <w:pPr>
              <w:jc w:val="center"/>
              <w:rPr>
                <w:color w:val="000000"/>
                <w:sz w:val="20"/>
                <w:szCs w:val="20"/>
              </w:rPr>
            </w:pPr>
            <w:r>
              <w:rPr>
                <w:color w:val="000000"/>
                <w:sz w:val="20"/>
                <w:szCs w:val="20"/>
              </w:rPr>
              <w:t>301,597</w:t>
            </w:r>
          </w:p>
        </w:tc>
      </w:tr>
      <w:tr w:rsidR="00E7173E" w:rsidRPr="00C23348" w:rsidTr="008F60E1">
        <w:trPr>
          <w:trHeight w:val="360"/>
        </w:trPr>
        <w:tc>
          <w:tcPr>
            <w:tcW w:w="1540" w:type="dxa"/>
            <w:tcBorders>
              <w:top w:val="nil"/>
              <w:left w:val="single" w:sz="8" w:space="0" w:color="448A99"/>
              <w:bottom w:val="single" w:sz="8" w:space="0" w:color="448A99"/>
              <w:right w:val="single" w:sz="8" w:space="0" w:color="448A99"/>
            </w:tcBorders>
            <w:shd w:val="clear" w:color="auto" w:fill="auto"/>
            <w:noWrap/>
            <w:vAlign w:val="center"/>
          </w:tcPr>
          <w:p w:rsidR="00A2654F" w:rsidRPr="00C23348" w:rsidRDefault="00A2654F" w:rsidP="00A2654F">
            <w:pPr>
              <w:jc w:val="left"/>
              <w:rPr>
                <w:color w:val="000000"/>
                <w:sz w:val="20"/>
                <w:szCs w:val="20"/>
              </w:rPr>
            </w:pPr>
            <w:r>
              <w:rPr>
                <w:color w:val="000000"/>
                <w:sz w:val="20"/>
                <w:szCs w:val="20"/>
              </w:rPr>
              <w:t>GNI</w:t>
            </w:r>
          </w:p>
        </w:tc>
        <w:tc>
          <w:tcPr>
            <w:tcW w:w="1952" w:type="dxa"/>
            <w:tcBorders>
              <w:top w:val="nil"/>
              <w:left w:val="nil"/>
              <w:bottom w:val="single" w:sz="8" w:space="0" w:color="448A99"/>
              <w:right w:val="single" w:sz="8" w:space="0" w:color="448A99"/>
            </w:tcBorders>
            <w:shd w:val="clear" w:color="auto" w:fill="auto"/>
            <w:vAlign w:val="center"/>
          </w:tcPr>
          <w:p w:rsidR="00A2654F" w:rsidRPr="00C23348" w:rsidRDefault="00A2654F" w:rsidP="00A2654F">
            <w:pPr>
              <w:jc w:val="center"/>
              <w:rPr>
                <w:color w:val="000000"/>
                <w:sz w:val="20"/>
                <w:szCs w:val="20"/>
              </w:rPr>
            </w:pPr>
            <w:r>
              <w:rPr>
                <w:color w:val="000000"/>
                <w:sz w:val="20"/>
                <w:szCs w:val="20"/>
              </w:rPr>
              <w:t>125,402</w:t>
            </w:r>
          </w:p>
        </w:tc>
        <w:tc>
          <w:tcPr>
            <w:tcW w:w="1953" w:type="dxa"/>
            <w:tcBorders>
              <w:top w:val="nil"/>
              <w:left w:val="nil"/>
              <w:bottom w:val="single" w:sz="8" w:space="0" w:color="448A99"/>
              <w:right w:val="single" w:sz="8" w:space="0" w:color="448A99"/>
            </w:tcBorders>
            <w:shd w:val="clear" w:color="auto" w:fill="auto"/>
            <w:vAlign w:val="center"/>
          </w:tcPr>
          <w:p w:rsidR="00A2654F" w:rsidRPr="00C23348" w:rsidRDefault="00A2654F" w:rsidP="00A2654F">
            <w:pPr>
              <w:jc w:val="center"/>
              <w:rPr>
                <w:color w:val="000000"/>
                <w:sz w:val="20"/>
                <w:szCs w:val="20"/>
              </w:rPr>
            </w:pPr>
            <w:r>
              <w:rPr>
                <w:color w:val="000000"/>
                <w:sz w:val="20"/>
                <w:szCs w:val="20"/>
              </w:rPr>
              <w:t>64,145</w:t>
            </w:r>
          </w:p>
        </w:tc>
        <w:tc>
          <w:tcPr>
            <w:tcW w:w="1952" w:type="dxa"/>
            <w:tcBorders>
              <w:top w:val="nil"/>
              <w:left w:val="nil"/>
              <w:bottom w:val="single" w:sz="8" w:space="0" w:color="448A99"/>
              <w:right w:val="single" w:sz="8" w:space="0" w:color="448A99"/>
            </w:tcBorders>
            <w:shd w:val="clear" w:color="auto" w:fill="auto"/>
            <w:vAlign w:val="center"/>
          </w:tcPr>
          <w:p w:rsidR="00A2654F" w:rsidRPr="00C23348" w:rsidRDefault="00A2654F" w:rsidP="00A2654F">
            <w:pPr>
              <w:jc w:val="center"/>
              <w:rPr>
                <w:color w:val="000000"/>
                <w:sz w:val="20"/>
                <w:szCs w:val="20"/>
              </w:rPr>
            </w:pPr>
            <w:r>
              <w:rPr>
                <w:color w:val="000000"/>
                <w:sz w:val="20"/>
                <w:szCs w:val="20"/>
              </w:rPr>
              <w:t>227,985</w:t>
            </w:r>
          </w:p>
        </w:tc>
        <w:tc>
          <w:tcPr>
            <w:tcW w:w="1953" w:type="dxa"/>
            <w:tcBorders>
              <w:top w:val="nil"/>
              <w:left w:val="nil"/>
              <w:bottom w:val="single" w:sz="8" w:space="0" w:color="448A99"/>
              <w:right w:val="single" w:sz="8" w:space="0" w:color="448A99"/>
            </w:tcBorders>
            <w:shd w:val="clear" w:color="auto" w:fill="auto"/>
            <w:vAlign w:val="center"/>
          </w:tcPr>
          <w:p w:rsidR="00A2654F" w:rsidRPr="00C23348" w:rsidRDefault="00A2654F" w:rsidP="00A2654F">
            <w:pPr>
              <w:jc w:val="center"/>
              <w:rPr>
                <w:color w:val="000000"/>
                <w:sz w:val="20"/>
                <w:szCs w:val="20"/>
              </w:rPr>
            </w:pPr>
            <w:r>
              <w:rPr>
                <w:color w:val="000000"/>
                <w:sz w:val="20"/>
                <w:szCs w:val="20"/>
              </w:rPr>
              <w:t>143,250</w:t>
            </w:r>
          </w:p>
        </w:tc>
      </w:tr>
      <w:tr w:rsidR="00A874AC" w:rsidRPr="00C23348" w:rsidTr="006F4CC7">
        <w:trPr>
          <w:trHeight w:val="360"/>
        </w:trPr>
        <w:tc>
          <w:tcPr>
            <w:tcW w:w="1540" w:type="dxa"/>
            <w:tcBorders>
              <w:top w:val="nil"/>
              <w:left w:val="single" w:sz="8" w:space="0" w:color="448A99"/>
              <w:bottom w:val="single" w:sz="8" w:space="0" w:color="448A99"/>
              <w:right w:val="single" w:sz="8" w:space="0" w:color="448A99"/>
            </w:tcBorders>
            <w:shd w:val="clear" w:color="000000" w:fill="D2EAF1"/>
            <w:noWrap/>
            <w:vAlign w:val="center"/>
          </w:tcPr>
          <w:p w:rsidR="00A2654F" w:rsidRPr="00C23348" w:rsidRDefault="00A2654F" w:rsidP="00A2654F">
            <w:pPr>
              <w:jc w:val="left"/>
              <w:rPr>
                <w:b/>
                <w:bCs/>
                <w:i/>
                <w:iCs/>
                <w:color w:val="000000"/>
                <w:sz w:val="20"/>
                <w:szCs w:val="20"/>
              </w:rPr>
            </w:pPr>
            <w:r>
              <w:rPr>
                <w:b/>
                <w:bCs/>
                <w:i/>
                <w:iCs/>
                <w:color w:val="000000"/>
                <w:sz w:val="20"/>
                <w:szCs w:val="20"/>
              </w:rPr>
              <w:t>Total Portfolio</w:t>
            </w:r>
          </w:p>
        </w:tc>
        <w:tc>
          <w:tcPr>
            <w:tcW w:w="1952" w:type="dxa"/>
            <w:tcBorders>
              <w:top w:val="nil"/>
              <w:left w:val="nil"/>
              <w:bottom w:val="single" w:sz="8" w:space="0" w:color="448A99"/>
              <w:right w:val="single" w:sz="8" w:space="0" w:color="448A99"/>
            </w:tcBorders>
            <w:shd w:val="clear" w:color="000000" w:fill="D2EAF1"/>
            <w:vAlign w:val="center"/>
          </w:tcPr>
          <w:p w:rsidR="00A2654F" w:rsidRPr="00C23348" w:rsidRDefault="00A2654F" w:rsidP="00A2654F">
            <w:pPr>
              <w:jc w:val="center"/>
              <w:rPr>
                <w:b/>
                <w:bCs/>
                <w:i/>
                <w:iCs/>
                <w:color w:val="000000"/>
                <w:sz w:val="20"/>
                <w:szCs w:val="20"/>
              </w:rPr>
            </w:pPr>
            <w:r>
              <w:rPr>
                <w:b/>
                <w:bCs/>
                <w:i/>
                <w:iCs/>
                <w:color w:val="000000"/>
                <w:sz w:val="20"/>
                <w:szCs w:val="20"/>
              </w:rPr>
              <w:t>528,301</w:t>
            </w:r>
          </w:p>
        </w:tc>
        <w:tc>
          <w:tcPr>
            <w:tcW w:w="1953" w:type="dxa"/>
            <w:tcBorders>
              <w:top w:val="nil"/>
              <w:left w:val="nil"/>
              <w:bottom w:val="single" w:sz="8" w:space="0" w:color="448A99"/>
              <w:right w:val="single" w:sz="8" w:space="0" w:color="448A99"/>
            </w:tcBorders>
            <w:shd w:val="clear" w:color="000000" w:fill="D2EAF1"/>
            <w:vAlign w:val="center"/>
          </w:tcPr>
          <w:p w:rsidR="00A2654F" w:rsidRPr="00C23348" w:rsidRDefault="00A2654F" w:rsidP="00A2654F">
            <w:pPr>
              <w:jc w:val="center"/>
              <w:rPr>
                <w:b/>
                <w:bCs/>
                <w:i/>
                <w:iCs/>
                <w:color w:val="000000"/>
                <w:sz w:val="20"/>
                <w:szCs w:val="20"/>
              </w:rPr>
            </w:pPr>
            <w:r>
              <w:rPr>
                <w:b/>
                <w:bCs/>
                <w:i/>
                <w:iCs/>
                <w:color w:val="000000"/>
                <w:sz w:val="20"/>
                <w:szCs w:val="20"/>
              </w:rPr>
              <w:t>324,572</w:t>
            </w:r>
          </w:p>
        </w:tc>
        <w:tc>
          <w:tcPr>
            <w:tcW w:w="1952" w:type="dxa"/>
            <w:tcBorders>
              <w:top w:val="nil"/>
              <w:left w:val="nil"/>
              <w:bottom w:val="single" w:sz="8" w:space="0" w:color="448A99"/>
              <w:right w:val="single" w:sz="8" w:space="0" w:color="448A99"/>
            </w:tcBorders>
            <w:shd w:val="clear" w:color="000000" w:fill="D2EAF1"/>
            <w:vAlign w:val="center"/>
          </w:tcPr>
          <w:p w:rsidR="00A2654F" w:rsidRPr="00C23348" w:rsidRDefault="00A2654F" w:rsidP="00A2654F">
            <w:pPr>
              <w:jc w:val="center"/>
              <w:rPr>
                <w:b/>
                <w:bCs/>
                <w:i/>
                <w:iCs/>
                <w:color w:val="000000"/>
                <w:sz w:val="20"/>
                <w:szCs w:val="20"/>
              </w:rPr>
            </w:pPr>
            <w:r>
              <w:rPr>
                <w:b/>
                <w:bCs/>
                <w:i/>
                <w:iCs/>
                <w:color w:val="000000"/>
                <w:sz w:val="20"/>
                <w:szCs w:val="20"/>
              </w:rPr>
              <w:t>1,090,505</w:t>
            </w:r>
          </w:p>
        </w:tc>
        <w:tc>
          <w:tcPr>
            <w:tcW w:w="1953" w:type="dxa"/>
            <w:tcBorders>
              <w:top w:val="nil"/>
              <w:left w:val="nil"/>
              <w:bottom w:val="single" w:sz="8" w:space="0" w:color="448A99"/>
              <w:right w:val="single" w:sz="8" w:space="0" w:color="448A99"/>
            </w:tcBorders>
            <w:shd w:val="clear" w:color="000000" w:fill="D2EAF1"/>
            <w:vAlign w:val="center"/>
          </w:tcPr>
          <w:p w:rsidR="00A2654F" w:rsidRPr="00C23348" w:rsidRDefault="00A2654F" w:rsidP="00A2654F">
            <w:pPr>
              <w:jc w:val="center"/>
              <w:rPr>
                <w:b/>
                <w:bCs/>
                <w:i/>
                <w:iCs/>
                <w:color w:val="000000"/>
                <w:sz w:val="20"/>
                <w:szCs w:val="20"/>
              </w:rPr>
            </w:pPr>
            <w:r>
              <w:rPr>
                <w:b/>
                <w:bCs/>
                <w:i/>
                <w:iCs/>
                <w:color w:val="000000"/>
                <w:sz w:val="20"/>
                <w:szCs w:val="20"/>
              </w:rPr>
              <w:t>743,746</w:t>
            </w:r>
          </w:p>
        </w:tc>
      </w:tr>
    </w:tbl>
    <w:p w:rsidR="00710D47" w:rsidRPr="006F4CC7" w:rsidRDefault="00710D47" w:rsidP="006F4CC7"/>
    <w:p w:rsidR="00950837" w:rsidRDefault="00950837" w:rsidP="0043541C">
      <w:pPr>
        <w:pStyle w:val="AppendixAHeading2"/>
      </w:pPr>
      <w:r>
        <w:t>Total Resource Cost Test</w:t>
      </w:r>
    </w:p>
    <w:p w:rsidR="00756E99" w:rsidRDefault="00756E99" w:rsidP="00756E99">
      <w:r>
        <w:fldChar w:fldCharType="begin"/>
      </w:r>
      <w:r>
        <w:instrText xml:space="preserve"> REF _Ref472446964 \h </w:instrText>
      </w:r>
      <w:r>
        <w:fldChar w:fldCharType="separate"/>
      </w:r>
      <w:r w:rsidR="00C301D0">
        <w:t>Table A-</w:t>
      </w:r>
      <w:r w:rsidR="00C301D0">
        <w:rPr>
          <w:noProof/>
        </w:rPr>
        <w:t>105</w:t>
      </w:r>
      <w:r>
        <w:fldChar w:fldCharType="end"/>
      </w:r>
      <w:r>
        <w:t xml:space="preserve"> </w:t>
      </w:r>
      <w:r w:rsidRPr="00756E99">
        <w:t>presents TRC NPV benefits, TRC NPV costs, present value of net benefits, and</w:t>
      </w:r>
      <w:r w:rsidR="00804EA4">
        <w:t xml:space="preserve"> the</w:t>
      </w:r>
      <w:r w:rsidRPr="00756E99">
        <w:t xml:space="preserve"> TRC ratio for PECO’s PY7 individual programs and total portfolio. The SWE found no initial inconsistencies between the TRC model outputs and the TRC results shown in the PY7 annual report.</w:t>
      </w:r>
    </w:p>
    <w:p w:rsidR="00756E99" w:rsidRDefault="00756E99" w:rsidP="00756E99"/>
    <w:p w:rsidR="00756E99" w:rsidRDefault="00756E99" w:rsidP="00756E99">
      <w:pPr>
        <w:pStyle w:val="Caption"/>
      </w:pPr>
      <w:bookmarkStart w:id="1100" w:name="_Ref472446964"/>
      <w:bookmarkStart w:id="1101" w:name="_Toc472472514"/>
      <w:bookmarkStart w:id="1102" w:name="_Toc476842220"/>
      <w:r>
        <w:t>Table A-</w:t>
      </w:r>
      <w:fldSimple w:instr=" SEQ Table_A- \* ARABIC ">
        <w:r w:rsidR="00C301D0">
          <w:rPr>
            <w:noProof/>
          </w:rPr>
          <w:t>105</w:t>
        </w:r>
      </w:fldSimple>
      <w:bookmarkEnd w:id="1100"/>
      <w:r>
        <w:t xml:space="preserve">: </w:t>
      </w:r>
      <w:r w:rsidRPr="00FA3E0D">
        <w:t>Summary of PECO’s PY6 TRC Factors and Results</w:t>
      </w:r>
      <w:bookmarkEnd w:id="1101"/>
      <w:bookmarkEnd w:id="1102"/>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4050"/>
        <w:gridCol w:w="1530"/>
        <w:gridCol w:w="1530"/>
        <w:gridCol w:w="1530"/>
        <w:gridCol w:w="715"/>
      </w:tblGrid>
      <w:tr w:rsidR="00A874AC" w:rsidRPr="00FF20ED" w:rsidTr="0016230D">
        <w:trPr>
          <w:trHeight w:val="765"/>
          <w:tblHeader/>
        </w:trPr>
        <w:tc>
          <w:tcPr>
            <w:tcW w:w="4050" w:type="dxa"/>
            <w:shd w:val="clear" w:color="000000" w:fill="448A99"/>
            <w:noWrap/>
            <w:vAlign w:val="bottom"/>
            <w:hideMark/>
          </w:tcPr>
          <w:p w:rsidR="00756E99" w:rsidRPr="008A5E9E" w:rsidRDefault="00756E99" w:rsidP="005C1352">
            <w:pPr>
              <w:jc w:val="left"/>
              <w:rPr>
                <w:b/>
                <w:bCs/>
                <w:color w:val="FFFFFF"/>
                <w:sz w:val="20"/>
                <w:szCs w:val="18"/>
              </w:rPr>
            </w:pPr>
            <w:r w:rsidRPr="008A5E9E">
              <w:rPr>
                <w:b/>
                <w:bCs/>
                <w:color w:val="FFFFFF"/>
                <w:sz w:val="20"/>
                <w:szCs w:val="18"/>
              </w:rPr>
              <w:t>Program</w:t>
            </w:r>
          </w:p>
        </w:tc>
        <w:tc>
          <w:tcPr>
            <w:tcW w:w="1530" w:type="dxa"/>
            <w:shd w:val="clear" w:color="000000" w:fill="448A99"/>
            <w:vAlign w:val="bottom"/>
            <w:hideMark/>
          </w:tcPr>
          <w:p w:rsidR="00756E99" w:rsidRPr="008A5E9E" w:rsidRDefault="00756E99" w:rsidP="005C1352">
            <w:pPr>
              <w:jc w:val="center"/>
              <w:rPr>
                <w:b/>
                <w:bCs/>
                <w:color w:val="FFFFFF"/>
                <w:sz w:val="20"/>
                <w:szCs w:val="20"/>
              </w:rPr>
            </w:pPr>
            <w:r w:rsidRPr="008A5E9E">
              <w:rPr>
                <w:b/>
                <w:bCs/>
                <w:color w:val="FFFFFF"/>
                <w:sz w:val="20"/>
                <w:szCs w:val="20"/>
              </w:rPr>
              <w:t>TRC NPV Benefits</w:t>
            </w:r>
          </w:p>
          <w:p w:rsidR="00756E99" w:rsidRPr="008A5E9E" w:rsidRDefault="00756E99" w:rsidP="005C1352">
            <w:pPr>
              <w:jc w:val="center"/>
              <w:rPr>
                <w:rFonts w:eastAsia="Calibri"/>
                <w:b/>
                <w:bCs/>
                <w:color w:val="FFFFFF"/>
                <w:sz w:val="20"/>
                <w:szCs w:val="18"/>
              </w:rPr>
            </w:pPr>
            <w:r w:rsidRPr="008A5E9E">
              <w:rPr>
                <w:b/>
                <w:bCs/>
                <w:color w:val="FFFFFF"/>
                <w:sz w:val="20"/>
                <w:szCs w:val="20"/>
              </w:rPr>
              <w:t>($)</w:t>
            </w:r>
          </w:p>
        </w:tc>
        <w:tc>
          <w:tcPr>
            <w:tcW w:w="1530" w:type="dxa"/>
            <w:shd w:val="clear" w:color="000000" w:fill="448A99"/>
            <w:vAlign w:val="bottom"/>
            <w:hideMark/>
          </w:tcPr>
          <w:p w:rsidR="00756E99" w:rsidRPr="008A5E9E" w:rsidRDefault="00756E99" w:rsidP="005C1352">
            <w:pPr>
              <w:jc w:val="center"/>
              <w:rPr>
                <w:rFonts w:eastAsia="Calibri"/>
                <w:b/>
                <w:bCs/>
                <w:color w:val="FFFFFF"/>
                <w:sz w:val="20"/>
                <w:szCs w:val="20"/>
              </w:rPr>
            </w:pPr>
            <w:r w:rsidRPr="008A5E9E">
              <w:rPr>
                <w:b/>
                <w:bCs/>
                <w:color w:val="FFFFFF"/>
                <w:sz w:val="20"/>
                <w:szCs w:val="20"/>
              </w:rPr>
              <w:t>TRC NPV Costs</w:t>
            </w:r>
          </w:p>
          <w:p w:rsidR="00756E99" w:rsidRPr="008A5E9E" w:rsidRDefault="00756E99" w:rsidP="005C1352">
            <w:pPr>
              <w:jc w:val="center"/>
              <w:rPr>
                <w:rFonts w:eastAsia="Calibri"/>
                <w:b/>
                <w:bCs/>
                <w:color w:val="FFFFFF"/>
                <w:sz w:val="20"/>
                <w:szCs w:val="18"/>
              </w:rPr>
            </w:pPr>
            <w:r w:rsidRPr="008A5E9E">
              <w:rPr>
                <w:b/>
                <w:bCs/>
                <w:color w:val="FFFFFF"/>
                <w:sz w:val="20"/>
                <w:szCs w:val="20"/>
              </w:rPr>
              <w:t>($)</w:t>
            </w:r>
          </w:p>
        </w:tc>
        <w:tc>
          <w:tcPr>
            <w:tcW w:w="1530" w:type="dxa"/>
            <w:shd w:val="clear" w:color="000000" w:fill="448A99"/>
            <w:vAlign w:val="bottom"/>
          </w:tcPr>
          <w:p w:rsidR="00756E99" w:rsidRPr="008A5E9E" w:rsidRDefault="00756E99" w:rsidP="005C1352">
            <w:pPr>
              <w:jc w:val="center"/>
              <w:rPr>
                <w:rFonts w:eastAsia="Calibri"/>
                <w:b/>
                <w:bCs/>
                <w:color w:val="FFFFFF"/>
                <w:sz w:val="20"/>
                <w:szCs w:val="20"/>
              </w:rPr>
            </w:pPr>
            <w:r w:rsidRPr="008A5E9E">
              <w:rPr>
                <w:b/>
                <w:bCs/>
                <w:color w:val="FFFFFF"/>
                <w:sz w:val="20"/>
                <w:szCs w:val="20"/>
              </w:rPr>
              <w:t>Present Value of Net Benefits</w:t>
            </w:r>
          </w:p>
          <w:p w:rsidR="00756E99" w:rsidRPr="008A5E9E" w:rsidRDefault="00756E99" w:rsidP="005C1352">
            <w:pPr>
              <w:jc w:val="center"/>
              <w:rPr>
                <w:rFonts w:eastAsia="Calibri"/>
                <w:b/>
                <w:bCs/>
                <w:color w:val="FFFFFF"/>
                <w:sz w:val="20"/>
                <w:szCs w:val="18"/>
              </w:rPr>
            </w:pPr>
            <w:r w:rsidRPr="008A5E9E">
              <w:rPr>
                <w:b/>
                <w:bCs/>
                <w:color w:val="FFFFFF"/>
                <w:sz w:val="20"/>
                <w:szCs w:val="20"/>
              </w:rPr>
              <w:t>($)</w:t>
            </w:r>
          </w:p>
        </w:tc>
        <w:tc>
          <w:tcPr>
            <w:tcW w:w="715" w:type="dxa"/>
            <w:shd w:val="clear" w:color="000000" w:fill="448A99"/>
            <w:noWrap/>
            <w:vAlign w:val="bottom"/>
            <w:hideMark/>
          </w:tcPr>
          <w:p w:rsidR="00756E99" w:rsidRPr="008A5E9E" w:rsidRDefault="00756E99" w:rsidP="005C1352">
            <w:pPr>
              <w:jc w:val="center"/>
              <w:rPr>
                <w:rFonts w:eastAsia="Calibri"/>
                <w:b/>
                <w:bCs/>
                <w:color w:val="FFFFFF"/>
                <w:sz w:val="20"/>
                <w:szCs w:val="18"/>
              </w:rPr>
            </w:pPr>
            <w:r w:rsidRPr="008A5E9E">
              <w:rPr>
                <w:b/>
                <w:bCs/>
                <w:color w:val="FFFFFF"/>
                <w:sz w:val="20"/>
                <w:szCs w:val="20"/>
              </w:rPr>
              <w:t>TRC Ratio</w:t>
            </w:r>
          </w:p>
        </w:tc>
      </w:tr>
      <w:tr w:rsidR="00A874AC" w:rsidRPr="005D7350" w:rsidTr="0016230D">
        <w:trPr>
          <w:trHeight w:val="346"/>
        </w:trPr>
        <w:tc>
          <w:tcPr>
            <w:tcW w:w="4050" w:type="dxa"/>
            <w:shd w:val="clear" w:color="000000" w:fill="D2EAF1"/>
            <w:noWrap/>
            <w:vAlign w:val="center"/>
          </w:tcPr>
          <w:p w:rsidR="002B2C7A" w:rsidRPr="006A594B" w:rsidRDefault="002B2C7A" w:rsidP="002B2C7A">
            <w:pPr>
              <w:jc w:val="left"/>
              <w:rPr>
                <w:bCs/>
                <w:color w:val="000000"/>
                <w:sz w:val="20"/>
                <w:szCs w:val="20"/>
              </w:rPr>
            </w:pPr>
            <w:r>
              <w:rPr>
                <w:rFonts w:cs="Arial"/>
                <w:bCs/>
                <w:color w:val="000000"/>
                <w:sz w:val="20"/>
                <w:szCs w:val="20"/>
              </w:rPr>
              <w:t>Smart AC Saver (Residential)</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$15,430,738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$6,753,738 </w:t>
            </w:r>
          </w:p>
        </w:tc>
        <w:tc>
          <w:tcPr>
            <w:tcW w:w="1530" w:type="dxa"/>
            <w:tcBorders>
              <w:top w:val="nil"/>
              <w:left w:val="nil"/>
              <w:bottom w:val="single" w:sz="8" w:space="0" w:color="448A99"/>
              <w:right w:val="single" w:sz="8" w:space="0" w:color="448A99"/>
            </w:tcBorders>
            <w:shd w:val="clear" w:color="000000" w:fill="D2EAF1"/>
            <w:vAlign w:val="center"/>
          </w:tcPr>
          <w:p w:rsidR="002B2C7A" w:rsidRDefault="002B2C7A" w:rsidP="002B2C7A">
            <w:pPr>
              <w:jc w:val="center"/>
              <w:rPr>
                <w:rFonts w:cs="Arial"/>
                <w:color w:val="000000"/>
                <w:sz w:val="20"/>
                <w:szCs w:val="20"/>
              </w:rPr>
            </w:pPr>
            <w:r>
              <w:rPr>
                <w:rFonts w:cs="Arial"/>
                <w:color w:val="000000"/>
                <w:sz w:val="20"/>
                <w:szCs w:val="20"/>
              </w:rPr>
              <w:t xml:space="preserve">$8,677,000 </w:t>
            </w:r>
          </w:p>
        </w:tc>
        <w:tc>
          <w:tcPr>
            <w:tcW w:w="715"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2.28</w:t>
            </w:r>
          </w:p>
        </w:tc>
      </w:tr>
      <w:tr w:rsidR="002B2C7A" w:rsidRPr="005D7350" w:rsidTr="008F60E1">
        <w:trPr>
          <w:trHeight w:val="346"/>
        </w:trPr>
        <w:tc>
          <w:tcPr>
            <w:tcW w:w="4050" w:type="dxa"/>
            <w:shd w:val="clear" w:color="auto" w:fill="auto"/>
            <w:noWrap/>
            <w:vAlign w:val="center"/>
          </w:tcPr>
          <w:p w:rsidR="002B2C7A" w:rsidRDefault="002B2C7A" w:rsidP="002B2C7A">
            <w:pPr>
              <w:jc w:val="left"/>
              <w:rPr>
                <w:rFonts w:cs="Arial"/>
                <w:bCs/>
                <w:color w:val="000000"/>
                <w:sz w:val="20"/>
                <w:szCs w:val="20"/>
              </w:rPr>
            </w:pPr>
            <w:r>
              <w:rPr>
                <w:rFonts w:cs="Arial"/>
                <w:bCs/>
                <w:color w:val="000000"/>
                <w:sz w:val="20"/>
                <w:szCs w:val="20"/>
              </w:rPr>
              <w:t>Smart Appliance Recycling</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$6,605,619 </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$1,380,653 </w:t>
            </w:r>
          </w:p>
        </w:tc>
        <w:tc>
          <w:tcPr>
            <w:tcW w:w="1530" w:type="dxa"/>
            <w:tcBorders>
              <w:top w:val="nil"/>
              <w:left w:val="nil"/>
              <w:bottom w:val="single" w:sz="8" w:space="0" w:color="448A99"/>
              <w:right w:val="single" w:sz="8" w:space="0" w:color="448A99"/>
            </w:tcBorders>
            <w:shd w:val="clear" w:color="auto" w:fill="auto"/>
            <w:vAlign w:val="center"/>
          </w:tcPr>
          <w:p w:rsidR="002B2C7A" w:rsidRDefault="002B2C7A" w:rsidP="002B2C7A">
            <w:pPr>
              <w:jc w:val="center"/>
              <w:rPr>
                <w:rFonts w:cs="Arial"/>
                <w:color w:val="000000"/>
                <w:sz w:val="20"/>
                <w:szCs w:val="20"/>
              </w:rPr>
            </w:pPr>
            <w:r>
              <w:rPr>
                <w:rFonts w:cs="Arial"/>
                <w:color w:val="000000"/>
                <w:sz w:val="20"/>
                <w:szCs w:val="20"/>
              </w:rPr>
              <w:t xml:space="preserve">$5,224,966 </w:t>
            </w:r>
          </w:p>
        </w:tc>
        <w:tc>
          <w:tcPr>
            <w:tcW w:w="715"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4.78</w:t>
            </w:r>
          </w:p>
        </w:tc>
      </w:tr>
      <w:tr w:rsidR="00A874AC" w:rsidRPr="005D7350" w:rsidTr="0016230D">
        <w:trPr>
          <w:trHeight w:val="346"/>
        </w:trPr>
        <w:tc>
          <w:tcPr>
            <w:tcW w:w="4050" w:type="dxa"/>
            <w:shd w:val="clear" w:color="000000" w:fill="D2EAF1"/>
            <w:noWrap/>
            <w:vAlign w:val="center"/>
          </w:tcPr>
          <w:p w:rsidR="002B2C7A" w:rsidRPr="006A594B" w:rsidRDefault="002B2C7A" w:rsidP="002B2C7A">
            <w:pPr>
              <w:jc w:val="left"/>
              <w:rPr>
                <w:bCs/>
                <w:color w:val="000000"/>
                <w:sz w:val="20"/>
                <w:szCs w:val="20"/>
              </w:rPr>
            </w:pPr>
            <w:r>
              <w:rPr>
                <w:rFonts w:cs="Arial"/>
                <w:bCs/>
                <w:color w:val="000000"/>
                <w:sz w:val="20"/>
                <w:szCs w:val="20"/>
              </w:rPr>
              <w:t>Smart Builder Rebates</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$432,956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$840,198 </w:t>
            </w:r>
          </w:p>
        </w:tc>
        <w:tc>
          <w:tcPr>
            <w:tcW w:w="1530" w:type="dxa"/>
            <w:tcBorders>
              <w:top w:val="nil"/>
              <w:left w:val="nil"/>
              <w:bottom w:val="single" w:sz="8" w:space="0" w:color="448A99"/>
              <w:right w:val="single" w:sz="8" w:space="0" w:color="448A99"/>
            </w:tcBorders>
            <w:shd w:val="clear" w:color="000000" w:fill="D2EAF1"/>
            <w:vAlign w:val="center"/>
          </w:tcPr>
          <w:p w:rsidR="002B2C7A" w:rsidRDefault="002B2C7A" w:rsidP="002B2C7A">
            <w:pPr>
              <w:jc w:val="center"/>
              <w:rPr>
                <w:rFonts w:cs="Arial"/>
                <w:color w:val="000000"/>
                <w:sz w:val="20"/>
                <w:szCs w:val="20"/>
              </w:rPr>
            </w:pPr>
            <w:r>
              <w:rPr>
                <w:rFonts w:cs="Arial"/>
                <w:color w:val="FF0000"/>
                <w:sz w:val="20"/>
                <w:szCs w:val="20"/>
              </w:rPr>
              <w:t>($407,242)</w:t>
            </w:r>
          </w:p>
        </w:tc>
        <w:tc>
          <w:tcPr>
            <w:tcW w:w="715"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0.52</w:t>
            </w:r>
          </w:p>
        </w:tc>
      </w:tr>
      <w:tr w:rsidR="002B2C7A" w:rsidRPr="005D7350" w:rsidTr="008F60E1">
        <w:trPr>
          <w:trHeight w:val="346"/>
        </w:trPr>
        <w:tc>
          <w:tcPr>
            <w:tcW w:w="4050" w:type="dxa"/>
            <w:shd w:val="clear" w:color="auto" w:fill="auto"/>
            <w:noWrap/>
            <w:vAlign w:val="center"/>
          </w:tcPr>
          <w:p w:rsidR="002B2C7A" w:rsidRPr="006A594B" w:rsidRDefault="002B2C7A" w:rsidP="002B2C7A">
            <w:pPr>
              <w:jc w:val="left"/>
              <w:rPr>
                <w:bCs/>
                <w:color w:val="000000"/>
                <w:sz w:val="20"/>
                <w:szCs w:val="20"/>
              </w:rPr>
            </w:pPr>
            <w:r>
              <w:rPr>
                <w:rFonts w:cs="Arial"/>
                <w:bCs/>
                <w:color w:val="000000"/>
                <w:sz w:val="20"/>
                <w:szCs w:val="20"/>
              </w:rPr>
              <w:t>Smart Energy Saver</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$1,775,349 </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$450,255 </w:t>
            </w:r>
          </w:p>
        </w:tc>
        <w:tc>
          <w:tcPr>
            <w:tcW w:w="1530" w:type="dxa"/>
            <w:tcBorders>
              <w:top w:val="nil"/>
              <w:left w:val="nil"/>
              <w:bottom w:val="single" w:sz="8" w:space="0" w:color="448A99"/>
              <w:right w:val="single" w:sz="8" w:space="0" w:color="448A99"/>
            </w:tcBorders>
            <w:shd w:val="clear" w:color="auto" w:fill="auto"/>
            <w:vAlign w:val="center"/>
          </w:tcPr>
          <w:p w:rsidR="002B2C7A" w:rsidRDefault="002B2C7A" w:rsidP="002B2C7A">
            <w:pPr>
              <w:jc w:val="center"/>
              <w:rPr>
                <w:rFonts w:cs="Arial"/>
                <w:color w:val="000000"/>
                <w:sz w:val="20"/>
                <w:szCs w:val="20"/>
              </w:rPr>
            </w:pPr>
            <w:r>
              <w:rPr>
                <w:rFonts w:cs="Arial"/>
                <w:color w:val="000000"/>
                <w:sz w:val="20"/>
                <w:szCs w:val="20"/>
              </w:rPr>
              <w:t xml:space="preserve">$1,325,094 </w:t>
            </w:r>
          </w:p>
        </w:tc>
        <w:tc>
          <w:tcPr>
            <w:tcW w:w="715"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3.94</w:t>
            </w:r>
          </w:p>
        </w:tc>
      </w:tr>
      <w:tr w:rsidR="00A874AC" w:rsidRPr="005D7350" w:rsidTr="0016230D">
        <w:trPr>
          <w:trHeight w:val="346"/>
        </w:trPr>
        <w:tc>
          <w:tcPr>
            <w:tcW w:w="4050" w:type="dxa"/>
            <w:shd w:val="clear" w:color="000000" w:fill="D2EAF1"/>
            <w:noWrap/>
            <w:vAlign w:val="center"/>
          </w:tcPr>
          <w:p w:rsidR="002B2C7A" w:rsidRPr="006A594B" w:rsidRDefault="002B2C7A" w:rsidP="002B2C7A">
            <w:pPr>
              <w:jc w:val="left"/>
              <w:rPr>
                <w:bCs/>
                <w:color w:val="000000"/>
                <w:sz w:val="20"/>
                <w:szCs w:val="20"/>
              </w:rPr>
            </w:pPr>
            <w:r>
              <w:rPr>
                <w:rFonts w:cs="Arial"/>
                <w:bCs/>
                <w:color w:val="000000"/>
                <w:sz w:val="20"/>
                <w:szCs w:val="20"/>
              </w:rPr>
              <w:t>Smart Home Rebates</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$187,504,780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$74,069,365 </w:t>
            </w:r>
          </w:p>
        </w:tc>
        <w:tc>
          <w:tcPr>
            <w:tcW w:w="1530" w:type="dxa"/>
            <w:tcBorders>
              <w:top w:val="nil"/>
              <w:left w:val="nil"/>
              <w:bottom w:val="single" w:sz="8" w:space="0" w:color="448A99"/>
              <w:right w:val="single" w:sz="8" w:space="0" w:color="448A99"/>
            </w:tcBorders>
            <w:shd w:val="clear" w:color="000000" w:fill="D2EAF1"/>
            <w:vAlign w:val="center"/>
          </w:tcPr>
          <w:p w:rsidR="002B2C7A" w:rsidRDefault="002B2C7A" w:rsidP="002B2C7A">
            <w:pPr>
              <w:jc w:val="center"/>
              <w:rPr>
                <w:rFonts w:cs="Arial"/>
                <w:color w:val="000000"/>
                <w:sz w:val="20"/>
                <w:szCs w:val="20"/>
              </w:rPr>
            </w:pPr>
            <w:r>
              <w:rPr>
                <w:rFonts w:cs="Arial"/>
                <w:color w:val="000000"/>
                <w:sz w:val="20"/>
                <w:szCs w:val="20"/>
              </w:rPr>
              <w:t xml:space="preserve">$113,435,414 </w:t>
            </w:r>
          </w:p>
        </w:tc>
        <w:tc>
          <w:tcPr>
            <w:tcW w:w="715"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2.53</w:t>
            </w:r>
          </w:p>
        </w:tc>
      </w:tr>
      <w:tr w:rsidR="002B2C7A" w:rsidRPr="005D7350" w:rsidTr="008F60E1">
        <w:trPr>
          <w:trHeight w:val="346"/>
        </w:trPr>
        <w:tc>
          <w:tcPr>
            <w:tcW w:w="4050" w:type="dxa"/>
            <w:shd w:val="clear" w:color="auto" w:fill="auto"/>
            <w:noWrap/>
            <w:vAlign w:val="center"/>
          </w:tcPr>
          <w:p w:rsidR="002B2C7A" w:rsidRPr="006A594B" w:rsidRDefault="002B2C7A" w:rsidP="002B2C7A">
            <w:pPr>
              <w:jc w:val="left"/>
              <w:rPr>
                <w:bCs/>
                <w:color w:val="000000"/>
                <w:sz w:val="20"/>
                <w:szCs w:val="20"/>
              </w:rPr>
            </w:pPr>
            <w:r>
              <w:rPr>
                <w:rFonts w:cs="Arial"/>
                <w:bCs/>
                <w:color w:val="000000"/>
                <w:sz w:val="20"/>
                <w:szCs w:val="20"/>
              </w:rPr>
              <w:t>Smart House Call</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$7,033,639 </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$7,503,388 </w:t>
            </w:r>
          </w:p>
        </w:tc>
        <w:tc>
          <w:tcPr>
            <w:tcW w:w="1530" w:type="dxa"/>
            <w:tcBorders>
              <w:top w:val="nil"/>
              <w:left w:val="nil"/>
              <w:bottom w:val="single" w:sz="8" w:space="0" w:color="448A99"/>
              <w:right w:val="single" w:sz="8" w:space="0" w:color="448A99"/>
            </w:tcBorders>
            <w:shd w:val="clear" w:color="auto" w:fill="auto"/>
            <w:vAlign w:val="center"/>
          </w:tcPr>
          <w:p w:rsidR="002B2C7A" w:rsidRDefault="002B2C7A" w:rsidP="002B2C7A">
            <w:pPr>
              <w:jc w:val="center"/>
              <w:rPr>
                <w:rFonts w:cs="Arial"/>
                <w:color w:val="000000"/>
                <w:sz w:val="20"/>
                <w:szCs w:val="20"/>
              </w:rPr>
            </w:pPr>
            <w:r>
              <w:rPr>
                <w:rFonts w:cs="Arial"/>
                <w:color w:val="FF0000"/>
                <w:sz w:val="20"/>
                <w:szCs w:val="20"/>
              </w:rPr>
              <w:t>($469,749)</w:t>
            </w:r>
          </w:p>
        </w:tc>
        <w:tc>
          <w:tcPr>
            <w:tcW w:w="715"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0.94</w:t>
            </w:r>
          </w:p>
        </w:tc>
      </w:tr>
      <w:tr w:rsidR="00A874AC" w:rsidRPr="005D7350" w:rsidTr="0016230D">
        <w:trPr>
          <w:trHeight w:val="346"/>
        </w:trPr>
        <w:tc>
          <w:tcPr>
            <w:tcW w:w="4050" w:type="dxa"/>
            <w:shd w:val="clear" w:color="000000" w:fill="D2EAF1"/>
            <w:vAlign w:val="center"/>
          </w:tcPr>
          <w:p w:rsidR="002B2C7A" w:rsidRPr="006A594B" w:rsidRDefault="002B2C7A" w:rsidP="002B2C7A">
            <w:pPr>
              <w:jc w:val="left"/>
              <w:rPr>
                <w:bCs/>
                <w:color w:val="000000"/>
                <w:sz w:val="20"/>
                <w:szCs w:val="20"/>
              </w:rPr>
            </w:pPr>
            <w:r>
              <w:rPr>
                <w:rFonts w:cs="Arial"/>
                <w:color w:val="000000"/>
                <w:sz w:val="20"/>
                <w:szCs w:val="20"/>
              </w:rPr>
              <w:t>Smart Multi-Family Solutions (Residential)</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$1,317,267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$787,186 </w:t>
            </w:r>
          </w:p>
        </w:tc>
        <w:tc>
          <w:tcPr>
            <w:tcW w:w="1530" w:type="dxa"/>
            <w:tcBorders>
              <w:top w:val="nil"/>
              <w:left w:val="nil"/>
              <w:bottom w:val="single" w:sz="8" w:space="0" w:color="448A99"/>
              <w:right w:val="single" w:sz="8" w:space="0" w:color="448A99"/>
            </w:tcBorders>
            <w:shd w:val="clear" w:color="000000" w:fill="D2EAF1"/>
            <w:vAlign w:val="center"/>
          </w:tcPr>
          <w:p w:rsidR="002B2C7A" w:rsidRDefault="002B2C7A" w:rsidP="002B2C7A">
            <w:pPr>
              <w:jc w:val="center"/>
              <w:rPr>
                <w:rFonts w:cs="Arial"/>
                <w:color w:val="000000"/>
                <w:sz w:val="20"/>
                <w:szCs w:val="20"/>
              </w:rPr>
            </w:pPr>
            <w:r>
              <w:rPr>
                <w:rFonts w:cs="Arial"/>
                <w:color w:val="000000"/>
                <w:sz w:val="20"/>
                <w:szCs w:val="20"/>
              </w:rPr>
              <w:t xml:space="preserve">$530,082 </w:t>
            </w:r>
          </w:p>
        </w:tc>
        <w:tc>
          <w:tcPr>
            <w:tcW w:w="715"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1.67</w:t>
            </w:r>
          </w:p>
        </w:tc>
      </w:tr>
      <w:tr w:rsidR="002B2C7A" w:rsidRPr="005D7350" w:rsidTr="008F60E1">
        <w:trPr>
          <w:trHeight w:val="346"/>
        </w:trPr>
        <w:tc>
          <w:tcPr>
            <w:tcW w:w="4050" w:type="dxa"/>
            <w:shd w:val="clear" w:color="auto" w:fill="auto"/>
            <w:vAlign w:val="center"/>
          </w:tcPr>
          <w:p w:rsidR="002B2C7A" w:rsidRPr="006A594B" w:rsidRDefault="002B2C7A" w:rsidP="002B2C7A">
            <w:pPr>
              <w:jc w:val="left"/>
              <w:rPr>
                <w:color w:val="000000"/>
                <w:sz w:val="20"/>
                <w:szCs w:val="20"/>
              </w:rPr>
            </w:pPr>
            <w:r>
              <w:rPr>
                <w:rFonts w:cs="Arial"/>
                <w:bCs/>
                <w:color w:val="000000"/>
                <w:sz w:val="20"/>
                <w:szCs w:val="20"/>
              </w:rPr>
              <w:t>Smart Usage Profile</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$4,143,465 </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$540,399 </w:t>
            </w:r>
          </w:p>
        </w:tc>
        <w:tc>
          <w:tcPr>
            <w:tcW w:w="1530" w:type="dxa"/>
            <w:tcBorders>
              <w:top w:val="nil"/>
              <w:left w:val="nil"/>
              <w:bottom w:val="single" w:sz="8" w:space="0" w:color="448A99"/>
              <w:right w:val="single" w:sz="8" w:space="0" w:color="448A99"/>
            </w:tcBorders>
            <w:shd w:val="clear" w:color="auto" w:fill="auto"/>
            <w:vAlign w:val="center"/>
          </w:tcPr>
          <w:p w:rsidR="002B2C7A" w:rsidRDefault="002B2C7A" w:rsidP="002B2C7A">
            <w:pPr>
              <w:jc w:val="center"/>
              <w:rPr>
                <w:rFonts w:cs="Arial"/>
                <w:color w:val="000000"/>
                <w:sz w:val="20"/>
                <w:szCs w:val="20"/>
              </w:rPr>
            </w:pPr>
            <w:r>
              <w:rPr>
                <w:rFonts w:cs="Arial"/>
                <w:color w:val="000000"/>
                <w:sz w:val="20"/>
                <w:szCs w:val="20"/>
              </w:rPr>
              <w:t xml:space="preserve">$3,603,067 </w:t>
            </w:r>
          </w:p>
        </w:tc>
        <w:tc>
          <w:tcPr>
            <w:tcW w:w="715"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7.67</w:t>
            </w:r>
          </w:p>
        </w:tc>
      </w:tr>
      <w:tr w:rsidR="00A874AC" w:rsidRPr="005D7350" w:rsidTr="0016230D">
        <w:trPr>
          <w:trHeight w:val="346"/>
        </w:trPr>
        <w:tc>
          <w:tcPr>
            <w:tcW w:w="4050" w:type="dxa"/>
            <w:shd w:val="clear" w:color="000000" w:fill="D2EAF1"/>
            <w:vAlign w:val="center"/>
          </w:tcPr>
          <w:p w:rsidR="002B2C7A" w:rsidRPr="006A594B" w:rsidRDefault="002B2C7A" w:rsidP="002B2C7A">
            <w:pPr>
              <w:jc w:val="left"/>
              <w:rPr>
                <w:bCs/>
                <w:color w:val="000000"/>
                <w:sz w:val="20"/>
                <w:szCs w:val="20"/>
              </w:rPr>
            </w:pPr>
            <w:r>
              <w:rPr>
                <w:rFonts w:cs="Arial"/>
                <w:bCs/>
                <w:color w:val="000000"/>
                <w:sz w:val="20"/>
                <w:szCs w:val="20"/>
              </w:rPr>
              <w:t>Low-Income Energy Efficiency Program</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$12,434,554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$8,088,046 </w:t>
            </w:r>
          </w:p>
        </w:tc>
        <w:tc>
          <w:tcPr>
            <w:tcW w:w="1530" w:type="dxa"/>
            <w:tcBorders>
              <w:top w:val="nil"/>
              <w:left w:val="nil"/>
              <w:bottom w:val="single" w:sz="8" w:space="0" w:color="448A99"/>
              <w:right w:val="single" w:sz="8" w:space="0" w:color="448A99"/>
            </w:tcBorders>
            <w:shd w:val="clear" w:color="000000" w:fill="D2EAF1"/>
            <w:vAlign w:val="center"/>
          </w:tcPr>
          <w:p w:rsidR="002B2C7A" w:rsidRDefault="002B2C7A" w:rsidP="002B2C7A">
            <w:pPr>
              <w:jc w:val="center"/>
              <w:rPr>
                <w:rFonts w:cs="Arial"/>
                <w:color w:val="000000"/>
                <w:sz w:val="20"/>
                <w:szCs w:val="20"/>
              </w:rPr>
            </w:pPr>
            <w:r>
              <w:rPr>
                <w:rFonts w:cs="Arial"/>
                <w:color w:val="000000"/>
                <w:sz w:val="20"/>
                <w:szCs w:val="20"/>
              </w:rPr>
              <w:t xml:space="preserve">$4,346,508 </w:t>
            </w:r>
          </w:p>
        </w:tc>
        <w:tc>
          <w:tcPr>
            <w:tcW w:w="715"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1.54</w:t>
            </w:r>
          </w:p>
        </w:tc>
      </w:tr>
      <w:tr w:rsidR="002B2C7A" w:rsidRPr="005D7350" w:rsidTr="008F60E1">
        <w:trPr>
          <w:trHeight w:val="346"/>
        </w:trPr>
        <w:tc>
          <w:tcPr>
            <w:tcW w:w="4050" w:type="dxa"/>
            <w:shd w:val="clear" w:color="auto" w:fill="auto"/>
            <w:vAlign w:val="center"/>
          </w:tcPr>
          <w:p w:rsidR="002B2C7A" w:rsidRPr="006A594B" w:rsidRDefault="002B2C7A" w:rsidP="002B2C7A">
            <w:pPr>
              <w:jc w:val="left"/>
              <w:rPr>
                <w:bCs/>
                <w:color w:val="000000"/>
                <w:sz w:val="20"/>
                <w:szCs w:val="20"/>
              </w:rPr>
            </w:pPr>
            <w:r>
              <w:rPr>
                <w:rFonts w:cs="Arial"/>
                <w:bCs/>
                <w:color w:val="000000"/>
                <w:sz w:val="20"/>
                <w:szCs w:val="20"/>
              </w:rPr>
              <w:t>Smart AC Saver (Commercial)</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$210,266 </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$312,936 </w:t>
            </w:r>
          </w:p>
        </w:tc>
        <w:tc>
          <w:tcPr>
            <w:tcW w:w="1530" w:type="dxa"/>
            <w:tcBorders>
              <w:top w:val="nil"/>
              <w:left w:val="nil"/>
              <w:bottom w:val="single" w:sz="8" w:space="0" w:color="448A99"/>
              <w:right w:val="single" w:sz="8" w:space="0" w:color="448A99"/>
            </w:tcBorders>
            <w:shd w:val="clear" w:color="auto" w:fill="auto"/>
            <w:vAlign w:val="center"/>
          </w:tcPr>
          <w:p w:rsidR="002B2C7A" w:rsidRDefault="002B2C7A" w:rsidP="002B2C7A">
            <w:pPr>
              <w:jc w:val="center"/>
              <w:rPr>
                <w:rFonts w:cs="Arial"/>
                <w:color w:val="000000"/>
                <w:sz w:val="20"/>
                <w:szCs w:val="20"/>
              </w:rPr>
            </w:pPr>
            <w:r>
              <w:rPr>
                <w:rFonts w:cs="Arial"/>
                <w:color w:val="FF0000"/>
                <w:sz w:val="20"/>
                <w:szCs w:val="20"/>
              </w:rPr>
              <w:t>($102,699)</w:t>
            </w:r>
          </w:p>
        </w:tc>
        <w:tc>
          <w:tcPr>
            <w:tcW w:w="715"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0.67</w:t>
            </w:r>
          </w:p>
        </w:tc>
      </w:tr>
      <w:tr w:rsidR="00A874AC" w:rsidRPr="005D7350" w:rsidTr="0016230D">
        <w:trPr>
          <w:trHeight w:val="346"/>
        </w:trPr>
        <w:tc>
          <w:tcPr>
            <w:tcW w:w="4050" w:type="dxa"/>
            <w:shd w:val="clear" w:color="000000" w:fill="D2EAF1"/>
            <w:noWrap/>
            <w:vAlign w:val="center"/>
          </w:tcPr>
          <w:p w:rsidR="002B2C7A" w:rsidRPr="006A594B" w:rsidRDefault="002B2C7A" w:rsidP="002B2C7A">
            <w:pPr>
              <w:jc w:val="left"/>
              <w:rPr>
                <w:bCs/>
                <w:color w:val="000000"/>
                <w:sz w:val="20"/>
                <w:szCs w:val="20"/>
              </w:rPr>
            </w:pPr>
            <w:r>
              <w:rPr>
                <w:rFonts w:cs="Arial"/>
                <w:bCs/>
                <w:color w:val="000000"/>
                <w:sz w:val="20"/>
                <w:szCs w:val="20"/>
              </w:rPr>
              <w:t>Smart Business Solutions</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$3,409,739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$1,779,019 </w:t>
            </w:r>
          </w:p>
        </w:tc>
        <w:tc>
          <w:tcPr>
            <w:tcW w:w="1530" w:type="dxa"/>
            <w:tcBorders>
              <w:top w:val="nil"/>
              <w:left w:val="nil"/>
              <w:bottom w:val="single" w:sz="8" w:space="0" w:color="448A99"/>
              <w:right w:val="single" w:sz="8" w:space="0" w:color="448A99"/>
            </w:tcBorders>
            <w:shd w:val="clear" w:color="000000" w:fill="D2EAF1"/>
            <w:vAlign w:val="center"/>
          </w:tcPr>
          <w:p w:rsidR="002B2C7A" w:rsidRDefault="002B2C7A" w:rsidP="002B2C7A">
            <w:pPr>
              <w:jc w:val="center"/>
              <w:rPr>
                <w:rFonts w:cs="Arial"/>
                <w:color w:val="000000"/>
                <w:sz w:val="20"/>
                <w:szCs w:val="20"/>
              </w:rPr>
            </w:pPr>
            <w:r>
              <w:rPr>
                <w:rFonts w:cs="Arial"/>
                <w:color w:val="000000"/>
                <w:sz w:val="20"/>
                <w:szCs w:val="20"/>
              </w:rPr>
              <w:t xml:space="preserve">$1,630,720 </w:t>
            </w:r>
          </w:p>
        </w:tc>
        <w:tc>
          <w:tcPr>
            <w:tcW w:w="715"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1.92</w:t>
            </w:r>
          </w:p>
        </w:tc>
      </w:tr>
      <w:tr w:rsidR="002B2C7A" w:rsidRPr="005D7350" w:rsidTr="008F60E1">
        <w:trPr>
          <w:trHeight w:val="346"/>
        </w:trPr>
        <w:tc>
          <w:tcPr>
            <w:tcW w:w="4050" w:type="dxa"/>
            <w:shd w:val="clear" w:color="auto" w:fill="auto"/>
            <w:vAlign w:val="center"/>
          </w:tcPr>
          <w:p w:rsidR="002B2C7A" w:rsidRPr="006A594B" w:rsidRDefault="002B2C7A" w:rsidP="002B2C7A">
            <w:pPr>
              <w:jc w:val="left"/>
              <w:rPr>
                <w:bCs/>
                <w:color w:val="000000"/>
                <w:sz w:val="20"/>
                <w:szCs w:val="20"/>
              </w:rPr>
            </w:pPr>
            <w:r>
              <w:rPr>
                <w:rFonts w:cs="Arial"/>
                <w:bCs/>
                <w:color w:val="000000"/>
                <w:sz w:val="20"/>
                <w:szCs w:val="20"/>
              </w:rPr>
              <w:t>Smart Equipment Incentives (C/I)</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$94,325,461 </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$34,165,074 </w:t>
            </w:r>
          </w:p>
        </w:tc>
        <w:tc>
          <w:tcPr>
            <w:tcW w:w="1530" w:type="dxa"/>
            <w:tcBorders>
              <w:top w:val="nil"/>
              <w:left w:val="nil"/>
              <w:bottom w:val="single" w:sz="8" w:space="0" w:color="448A99"/>
              <w:right w:val="single" w:sz="8" w:space="0" w:color="448A99"/>
            </w:tcBorders>
            <w:shd w:val="clear" w:color="auto" w:fill="auto"/>
            <w:vAlign w:val="center"/>
          </w:tcPr>
          <w:p w:rsidR="002B2C7A" w:rsidRDefault="002B2C7A" w:rsidP="002B2C7A">
            <w:pPr>
              <w:jc w:val="center"/>
              <w:rPr>
                <w:rFonts w:cs="Arial"/>
                <w:color w:val="000000"/>
                <w:sz w:val="20"/>
                <w:szCs w:val="20"/>
              </w:rPr>
            </w:pPr>
            <w:r>
              <w:rPr>
                <w:rFonts w:cs="Arial"/>
                <w:color w:val="000000"/>
                <w:sz w:val="20"/>
                <w:szCs w:val="20"/>
              </w:rPr>
              <w:t xml:space="preserve">$60,160,387 </w:t>
            </w:r>
          </w:p>
        </w:tc>
        <w:tc>
          <w:tcPr>
            <w:tcW w:w="715"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2.76</w:t>
            </w:r>
          </w:p>
        </w:tc>
      </w:tr>
      <w:tr w:rsidR="00A874AC" w:rsidRPr="005D7350" w:rsidTr="0016230D">
        <w:trPr>
          <w:trHeight w:val="346"/>
        </w:trPr>
        <w:tc>
          <w:tcPr>
            <w:tcW w:w="4050" w:type="dxa"/>
            <w:shd w:val="clear" w:color="000000" w:fill="D2EAF1"/>
            <w:noWrap/>
            <w:vAlign w:val="center"/>
          </w:tcPr>
          <w:p w:rsidR="002B2C7A" w:rsidRPr="006A594B" w:rsidRDefault="002B2C7A" w:rsidP="002B2C7A">
            <w:pPr>
              <w:jc w:val="left"/>
              <w:rPr>
                <w:bCs/>
                <w:color w:val="000000"/>
                <w:sz w:val="20"/>
                <w:szCs w:val="20"/>
              </w:rPr>
            </w:pPr>
            <w:r>
              <w:rPr>
                <w:rFonts w:cs="Arial"/>
                <w:bCs/>
                <w:color w:val="000000"/>
                <w:sz w:val="20"/>
                <w:szCs w:val="20"/>
              </w:rPr>
              <w:t>Smart Construction Incentives</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$18,311,993 </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 xml:space="preserve">$13,316,100 </w:t>
            </w:r>
          </w:p>
        </w:tc>
        <w:tc>
          <w:tcPr>
            <w:tcW w:w="1530" w:type="dxa"/>
            <w:tcBorders>
              <w:top w:val="nil"/>
              <w:left w:val="nil"/>
              <w:bottom w:val="single" w:sz="8" w:space="0" w:color="448A99"/>
              <w:right w:val="single" w:sz="8" w:space="0" w:color="448A99"/>
            </w:tcBorders>
            <w:shd w:val="clear" w:color="000000" w:fill="D2EAF1"/>
            <w:vAlign w:val="center"/>
          </w:tcPr>
          <w:p w:rsidR="002B2C7A" w:rsidRDefault="002B2C7A" w:rsidP="002B2C7A">
            <w:pPr>
              <w:jc w:val="center"/>
              <w:rPr>
                <w:rFonts w:cs="Arial"/>
                <w:color w:val="000000"/>
                <w:sz w:val="20"/>
                <w:szCs w:val="20"/>
              </w:rPr>
            </w:pPr>
            <w:r>
              <w:rPr>
                <w:rFonts w:cs="Arial"/>
                <w:color w:val="000000"/>
                <w:sz w:val="20"/>
                <w:szCs w:val="20"/>
              </w:rPr>
              <w:t xml:space="preserve">$4,995,893 </w:t>
            </w:r>
          </w:p>
        </w:tc>
        <w:tc>
          <w:tcPr>
            <w:tcW w:w="715"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1.38</w:t>
            </w:r>
          </w:p>
        </w:tc>
      </w:tr>
      <w:tr w:rsidR="002B2C7A" w:rsidRPr="005D7350" w:rsidTr="008F60E1">
        <w:trPr>
          <w:trHeight w:val="346"/>
        </w:trPr>
        <w:tc>
          <w:tcPr>
            <w:tcW w:w="4050" w:type="dxa"/>
            <w:shd w:val="clear" w:color="auto" w:fill="auto"/>
            <w:noWrap/>
            <w:vAlign w:val="center"/>
          </w:tcPr>
          <w:p w:rsidR="002B2C7A" w:rsidRPr="006A594B" w:rsidRDefault="002B2C7A" w:rsidP="002B2C7A">
            <w:pPr>
              <w:jc w:val="left"/>
              <w:rPr>
                <w:bCs/>
                <w:color w:val="000000"/>
                <w:sz w:val="20"/>
                <w:szCs w:val="20"/>
              </w:rPr>
            </w:pPr>
            <w:r>
              <w:rPr>
                <w:rFonts w:cs="Arial"/>
                <w:bCs/>
                <w:color w:val="000000"/>
                <w:sz w:val="20"/>
                <w:szCs w:val="20"/>
              </w:rPr>
              <w:t>Smart Multi-Family Solutions (Nonresidential)</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$1,381,862 </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$794,257 </w:t>
            </w:r>
          </w:p>
        </w:tc>
        <w:tc>
          <w:tcPr>
            <w:tcW w:w="1530" w:type="dxa"/>
            <w:tcBorders>
              <w:top w:val="nil"/>
              <w:left w:val="nil"/>
              <w:bottom w:val="single" w:sz="8" w:space="0" w:color="448A99"/>
              <w:right w:val="single" w:sz="8" w:space="0" w:color="448A99"/>
            </w:tcBorders>
            <w:shd w:val="clear" w:color="auto" w:fill="auto"/>
            <w:vAlign w:val="center"/>
          </w:tcPr>
          <w:p w:rsidR="002B2C7A" w:rsidRDefault="002B2C7A" w:rsidP="002B2C7A">
            <w:pPr>
              <w:jc w:val="center"/>
              <w:rPr>
                <w:rFonts w:cs="Arial"/>
                <w:color w:val="000000"/>
                <w:sz w:val="20"/>
                <w:szCs w:val="20"/>
              </w:rPr>
            </w:pPr>
            <w:r>
              <w:rPr>
                <w:rFonts w:cs="Arial"/>
                <w:color w:val="000000"/>
                <w:sz w:val="20"/>
                <w:szCs w:val="20"/>
              </w:rPr>
              <w:t xml:space="preserve">$587,604 </w:t>
            </w:r>
          </w:p>
        </w:tc>
        <w:tc>
          <w:tcPr>
            <w:tcW w:w="715"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1.74</w:t>
            </w:r>
          </w:p>
        </w:tc>
      </w:tr>
      <w:tr w:rsidR="00A874AC" w:rsidRPr="00CD01A9" w:rsidTr="0016230D">
        <w:trPr>
          <w:trHeight w:val="346"/>
        </w:trPr>
        <w:tc>
          <w:tcPr>
            <w:tcW w:w="4050" w:type="dxa"/>
            <w:tcBorders>
              <w:bottom w:val="single" w:sz="4" w:space="0" w:color="448A99"/>
            </w:tcBorders>
            <w:shd w:val="clear" w:color="000000" w:fill="D2EAF1"/>
            <w:noWrap/>
            <w:vAlign w:val="center"/>
          </w:tcPr>
          <w:p w:rsidR="002B2C7A" w:rsidRPr="00CD01A9" w:rsidRDefault="002B2C7A" w:rsidP="002B2C7A">
            <w:pPr>
              <w:jc w:val="left"/>
              <w:rPr>
                <w:b/>
                <w:bCs/>
                <w:iCs/>
                <w:color w:val="000000"/>
                <w:sz w:val="20"/>
                <w:szCs w:val="20"/>
              </w:rPr>
            </w:pPr>
            <w:r>
              <w:rPr>
                <w:rFonts w:cs="Arial"/>
                <w:bCs/>
                <w:iCs/>
                <w:color w:val="000000"/>
                <w:sz w:val="20"/>
                <w:szCs w:val="20"/>
              </w:rPr>
              <w:t>Smart On-Site</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$22,861,343</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$30,570,834</w:t>
            </w:r>
          </w:p>
        </w:tc>
        <w:tc>
          <w:tcPr>
            <w:tcW w:w="1530" w:type="dxa"/>
            <w:tcBorders>
              <w:top w:val="nil"/>
              <w:left w:val="nil"/>
              <w:bottom w:val="single" w:sz="8" w:space="0" w:color="448A99"/>
              <w:right w:val="single" w:sz="8" w:space="0" w:color="448A99"/>
            </w:tcBorders>
            <w:shd w:val="clear" w:color="000000" w:fill="D2EAF1"/>
            <w:vAlign w:val="center"/>
          </w:tcPr>
          <w:p w:rsidR="002B2C7A" w:rsidRDefault="002B2C7A" w:rsidP="002B2C7A">
            <w:pPr>
              <w:jc w:val="center"/>
              <w:rPr>
                <w:rFonts w:cs="Arial"/>
                <w:color w:val="000000"/>
                <w:sz w:val="20"/>
                <w:szCs w:val="20"/>
              </w:rPr>
            </w:pPr>
            <w:r>
              <w:rPr>
                <w:rFonts w:cs="Arial"/>
                <w:color w:val="FF0000"/>
                <w:sz w:val="20"/>
                <w:szCs w:val="20"/>
              </w:rPr>
              <w:t>($7,709,491)</w:t>
            </w:r>
          </w:p>
        </w:tc>
        <w:tc>
          <w:tcPr>
            <w:tcW w:w="715"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color w:val="000000"/>
                <w:sz w:val="20"/>
                <w:szCs w:val="20"/>
              </w:rPr>
            </w:pPr>
            <w:r>
              <w:rPr>
                <w:rFonts w:cs="Arial"/>
                <w:color w:val="000000"/>
                <w:sz w:val="20"/>
                <w:szCs w:val="20"/>
              </w:rPr>
              <w:t>0.75</w:t>
            </w:r>
          </w:p>
        </w:tc>
      </w:tr>
      <w:tr w:rsidR="002B2C7A" w:rsidRPr="00CD01A9" w:rsidTr="008F60E1">
        <w:trPr>
          <w:trHeight w:val="346"/>
        </w:trPr>
        <w:tc>
          <w:tcPr>
            <w:tcW w:w="4050" w:type="dxa"/>
            <w:tcBorders>
              <w:bottom w:val="single" w:sz="4" w:space="0" w:color="448A99"/>
            </w:tcBorders>
            <w:shd w:val="clear" w:color="auto" w:fill="auto"/>
            <w:noWrap/>
            <w:vAlign w:val="center"/>
          </w:tcPr>
          <w:p w:rsidR="002B2C7A" w:rsidRPr="00CD01A9" w:rsidRDefault="002B2C7A" w:rsidP="002B2C7A">
            <w:pPr>
              <w:jc w:val="left"/>
              <w:rPr>
                <w:b/>
                <w:bCs/>
                <w:iCs/>
                <w:color w:val="000000"/>
                <w:sz w:val="20"/>
                <w:szCs w:val="20"/>
              </w:rPr>
            </w:pPr>
            <w:r>
              <w:rPr>
                <w:rFonts w:cs="Arial"/>
                <w:bCs/>
                <w:iCs/>
                <w:color w:val="000000"/>
                <w:sz w:val="20"/>
                <w:szCs w:val="20"/>
              </w:rPr>
              <w:t>Smart Equipment Incentives (GNI)</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$69,659,041 </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 xml:space="preserve">$26,963,995 </w:t>
            </w:r>
          </w:p>
        </w:tc>
        <w:tc>
          <w:tcPr>
            <w:tcW w:w="1530" w:type="dxa"/>
            <w:tcBorders>
              <w:top w:val="nil"/>
              <w:left w:val="nil"/>
              <w:bottom w:val="single" w:sz="8" w:space="0" w:color="448A99"/>
              <w:right w:val="single" w:sz="8" w:space="0" w:color="448A99"/>
            </w:tcBorders>
            <w:shd w:val="clear" w:color="auto" w:fill="auto"/>
            <w:vAlign w:val="center"/>
          </w:tcPr>
          <w:p w:rsidR="002B2C7A" w:rsidRDefault="002B2C7A" w:rsidP="002B2C7A">
            <w:pPr>
              <w:jc w:val="center"/>
              <w:rPr>
                <w:rFonts w:cs="Arial"/>
                <w:color w:val="000000"/>
                <w:sz w:val="20"/>
                <w:szCs w:val="20"/>
              </w:rPr>
            </w:pPr>
            <w:r>
              <w:rPr>
                <w:rFonts w:cs="Arial"/>
                <w:color w:val="000000"/>
                <w:sz w:val="20"/>
                <w:szCs w:val="20"/>
              </w:rPr>
              <w:t xml:space="preserve">$42,695,045 </w:t>
            </w:r>
          </w:p>
        </w:tc>
        <w:tc>
          <w:tcPr>
            <w:tcW w:w="715"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color w:val="000000"/>
                <w:sz w:val="20"/>
                <w:szCs w:val="20"/>
              </w:rPr>
            </w:pPr>
            <w:r>
              <w:rPr>
                <w:rFonts w:cs="Arial"/>
                <w:color w:val="000000"/>
                <w:sz w:val="20"/>
                <w:szCs w:val="20"/>
              </w:rPr>
              <w:t>2.58</w:t>
            </w:r>
          </w:p>
        </w:tc>
      </w:tr>
      <w:tr w:rsidR="00A874AC" w:rsidRPr="00CD01A9" w:rsidTr="0016230D">
        <w:trPr>
          <w:trHeight w:val="346"/>
        </w:trPr>
        <w:tc>
          <w:tcPr>
            <w:tcW w:w="4050" w:type="dxa"/>
            <w:shd w:val="clear" w:color="auto" w:fill="D2EAF1"/>
            <w:noWrap/>
            <w:vAlign w:val="center"/>
          </w:tcPr>
          <w:p w:rsidR="002B2C7A" w:rsidRPr="00485F75" w:rsidRDefault="002B2C7A" w:rsidP="002B2C7A">
            <w:pPr>
              <w:jc w:val="left"/>
              <w:rPr>
                <w:b/>
                <w:bCs/>
                <w:i/>
                <w:iCs/>
                <w:color w:val="000000"/>
                <w:sz w:val="20"/>
                <w:szCs w:val="20"/>
              </w:rPr>
            </w:pPr>
            <w:r w:rsidRPr="00485F75">
              <w:rPr>
                <w:rFonts w:cs="Arial"/>
                <w:bCs/>
                <w:i/>
                <w:color w:val="000000"/>
                <w:sz w:val="20"/>
                <w:szCs w:val="20"/>
              </w:rPr>
              <w:t>Common Costs</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i/>
                <w:iCs/>
                <w:color w:val="000000"/>
                <w:sz w:val="20"/>
                <w:szCs w:val="20"/>
              </w:rPr>
            </w:pPr>
            <w:r>
              <w:rPr>
                <w:rFonts w:cs="Arial"/>
                <w:i/>
                <w:iCs/>
                <w:color w:val="000000"/>
                <w:sz w:val="20"/>
                <w:szCs w:val="20"/>
              </w:rPr>
              <w:t>-</w:t>
            </w:r>
          </w:p>
        </w:tc>
        <w:tc>
          <w:tcPr>
            <w:tcW w:w="1530"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i/>
                <w:iCs/>
                <w:color w:val="000000"/>
                <w:sz w:val="20"/>
                <w:szCs w:val="20"/>
              </w:rPr>
            </w:pPr>
            <w:r>
              <w:rPr>
                <w:rFonts w:cs="Arial"/>
                <w:i/>
                <w:iCs/>
                <w:color w:val="000000"/>
                <w:sz w:val="20"/>
                <w:szCs w:val="20"/>
              </w:rPr>
              <w:t xml:space="preserve">$11,027,484 </w:t>
            </w:r>
          </w:p>
        </w:tc>
        <w:tc>
          <w:tcPr>
            <w:tcW w:w="1530" w:type="dxa"/>
            <w:tcBorders>
              <w:top w:val="nil"/>
              <w:left w:val="nil"/>
              <w:bottom w:val="single" w:sz="8" w:space="0" w:color="448A99"/>
              <w:right w:val="single" w:sz="8" w:space="0" w:color="448A99"/>
            </w:tcBorders>
            <w:shd w:val="clear" w:color="000000" w:fill="D2EAF1"/>
            <w:vAlign w:val="center"/>
          </w:tcPr>
          <w:p w:rsidR="002B2C7A" w:rsidRDefault="002B2C7A" w:rsidP="002B2C7A">
            <w:pPr>
              <w:jc w:val="center"/>
              <w:rPr>
                <w:rFonts w:cs="Arial"/>
                <w:i/>
                <w:iCs/>
                <w:color w:val="000000"/>
                <w:sz w:val="20"/>
                <w:szCs w:val="20"/>
              </w:rPr>
            </w:pPr>
            <w:r>
              <w:rPr>
                <w:rFonts w:cs="Arial"/>
                <w:i/>
                <w:iCs/>
                <w:color w:val="000000"/>
                <w:sz w:val="20"/>
                <w:szCs w:val="20"/>
              </w:rPr>
              <w:t>-</w:t>
            </w:r>
          </w:p>
        </w:tc>
        <w:tc>
          <w:tcPr>
            <w:tcW w:w="715" w:type="dxa"/>
            <w:tcBorders>
              <w:top w:val="nil"/>
              <w:left w:val="nil"/>
              <w:bottom w:val="single" w:sz="8" w:space="0" w:color="448A99"/>
              <w:right w:val="single" w:sz="8" w:space="0" w:color="448A99"/>
            </w:tcBorders>
            <w:shd w:val="clear" w:color="000000" w:fill="D2EAF1"/>
            <w:noWrap/>
            <w:vAlign w:val="center"/>
          </w:tcPr>
          <w:p w:rsidR="002B2C7A" w:rsidRDefault="002B2C7A" w:rsidP="002B2C7A">
            <w:pPr>
              <w:jc w:val="center"/>
              <w:rPr>
                <w:rFonts w:cs="Arial"/>
                <w:i/>
                <w:iCs/>
                <w:color w:val="000000"/>
                <w:sz w:val="20"/>
                <w:szCs w:val="20"/>
              </w:rPr>
            </w:pPr>
            <w:r>
              <w:rPr>
                <w:rFonts w:cs="Arial"/>
                <w:i/>
                <w:iCs/>
                <w:color w:val="000000"/>
                <w:sz w:val="20"/>
                <w:szCs w:val="20"/>
              </w:rPr>
              <w:t>-</w:t>
            </w:r>
          </w:p>
        </w:tc>
      </w:tr>
      <w:tr w:rsidR="002B2C7A" w:rsidRPr="00CD01A9" w:rsidTr="008F60E1">
        <w:trPr>
          <w:trHeight w:val="346"/>
        </w:trPr>
        <w:tc>
          <w:tcPr>
            <w:tcW w:w="4050" w:type="dxa"/>
            <w:shd w:val="clear" w:color="auto" w:fill="auto"/>
            <w:noWrap/>
            <w:vAlign w:val="center"/>
          </w:tcPr>
          <w:p w:rsidR="002B2C7A" w:rsidRPr="00023F25" w:rsidRDefault="002B2C7A" w:rsidP="002B2C7A">
            <w:pPr>
              <w:jc w:val="left"/>
              <w:rPr>
                <w:b/>
                <w:bCs/>
                <w:iCs/>
                <w:color w:val="000000"/>
                <w:sz w:val="20"/>
                <w:szCs w:val="20"/>
              </w:rPr>
            </w:pPr>
            <w:r w:rsidRPr="00023F25">
              <w:rPr>
                <w:rFonts w:cs="Arial"/>
                <w:b/>
                <w:bCs/>
                <w:iCs/>
                <w:color w:val="000000"/>
                <w:sz w:val="20"/>
                <w:szCs w:val="20"/>
              </w:rPr>
              <w:t>Total Portfolio</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b/>
                <w:bCs/>
                <w:color w:val="000000"/>
                <w:sz w:val="20"/>
                <w:szCs w:val="20"/>
              </w:rPr>
            </w:pPr>
            <w:r>
              <w:rPr>
                <w:rFonts w:cs="Arial"/>
                <w:b/>
                <w:bCs/>
                <w:color w:val="000000"/>
                <w:sz w:val="20"/>
                <w:szCs w:val="20"/>
              </w:rPr>
              <w:t xml:space="preserve">$466,838,072 </w:t>
            </w:r>
          </w:p>
        </w:tc>
        <w:tc>
          <w:tcPr>
            <w:tcW w:w="1530"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b/>
                <w:bCs/>
                <w:color w:val="000000"/>
                <w:sz w:val="20"/>
                <w:szCs w:val="20"/>
              </w:rPr>
            </w:pPr>
            <w:r>
              <w:rPr>
                <w:rFonts w:cs="Arial"/>
                <w:b/>
                <w:bCs/>
                <w:color w:val="000000"/>
                <w:sz w:val="20"/>
                <w:szCs w:val="20"/>
              </w:rPr>
              <w:t xml:space="preserve">$219,342,927 </w:t>
            </w:r>
          </w:p>
        </w:tc>
        <w:tc>
          <w:tcPr>
            <w:tcW w:w="1530" w:type="dxa"/>
            <w:tcBorders>
              <w:top w:val="nil"/>
              <w:left w:val="nil"/>
              <w:bottom w:val="single" w:sz="8" w:space="0" w:color="448A99"/>
              <w:right w:val="single" w:sz="8" w:space="0" w:color="448A99"/>
            </w:tcBorders>
            <w:shd w:val="clear" w:color="auto" w:fill="auto"/>
            <w:vAlign w:val="center"/>
          </w:tcPr>
          <w:p w:rsidR="002B2C7A" w:rsidRDefault="002B2C7A" w:rsidP="002B2C7A">
            <w:pPr>
              <w:jc w:val="center"/>
              <w:rPr>
                <w:rFonts w:cs="Arial"/>
                <w:b/>
                <w:bCs/>
                <w:color w:val="000000"/>
                <w:sz w:val="20"/>
                <w:szCs w:val="20"/>
              </w:rPr>
            </w:pPr>
            <w:r>
              <w:rPr>
                <w:rFonts w:cs="Arial"/>
                <w:b/>
                <w:bCs/>
                <w:color w:val="000000"/>
                <w:sz w:val="20"/>
                <w:szCs w:val="20"/>
              </w:rPr>
              <w:t xml:space="preserve">$227,495,145 </w:t>
            </w:r>
          </w:p>
        </w:tc>
        <w:tc>
          <w:tcPr>
            <w:tcW w:w="715" w:type="dxa"/>
            <w:tcBorders>
              <w:top w:val="nil"/>
              <w:left w:val="nil"/>
              <w:bottom w:val="single" w:sz="8" w:space="0" w:color="448A99"/>
              <w:right w:val="single" w:sz="8" w:space="0" w:color="448A99"/>
            </w:tcBorders>
            <w:shd w:val="clear" w:color="auto" w:fill="auto"/>
            <w:noWrap/>
            <w:vAlign w:val="center"/>
          </w:tcPr>
          <w:p w:rsidR="002B2C7A" w:rsidRDefault="002B2C7A" w:rsidP="002B2C7A">
            <w:pPr>
              <w:jc w:val="center"/>
              <w:rPr>
                <w:rFonts w:cs="Arial"/>
                <w:b/>
                <w:bCs/>
                <w:color w:val="000000"/>
                <w:sz w:val="20"/>
                <w:szCs w:val="20"/>
              </w:rPr>
            </w:pPr>
            <w:r>
              <w:rPr>
                <w:rFonts w:cs="Arial"/>
                <w:b/>
                <w:bCs/>
                <w:color w:val="000000"/>
                <w:sz w:val="20"/>
                <w:szCs w:val="20"/>
              </w:rPr>
              <w:t>2.04</w:t>
            </w:r>
          </w:p>
        </w:tc>
      </w:tr>
    </w:tbl>
    <w:p w:rsidR="00756E99" w:rsidRDefault="00756E99" w:rsidP="00EE3086">
      <w:pPr>
        <w:spacing w:after="120"/>
      </w:pPr>
      <w:r w:rsidRPr="00D13221">
        <w:t xml:space="preserve">In summary, 12 of the 16 programs offered </w:t>
      </w:r>
      <w:r>
        <w:t xml:space="preserve">were found to be cost-effective and </w:t>
      </w:r>
      <w:r w:rsidR="00905D02">
        <w:t>4</w:t>
      </w:r>
      <w:r w:rsidRPr="00D13221">
        <w:t xml:space="preserve"> were </w:t>
      </w:r>
      <w:r>
        <w:t>found to be non-cost-effective in PY7</w:t>
      </w:r>
      <w:r w:rsidRPr="00D13221">
        <w:t xml:space="preserve">. </w:t>
      </w:r>
      <w:r>
        <w:t xml:space="preserve">IN PY7, all programs that were cost-effective in PY6 remained cost-effective.  Similarly, all programs that were not cost-effective or had no participation in PY6 were not cost-effective in PY7. The breakout of cost-effective and </w:t>
      </w:r>
      <w:r w:rsidRPr="00D13221">
        <w:t>non-cost-effective</w:t>
      </w:r>
      <w:r>
        <w:t xml:space="preserve"> programs</w:t>
      </w:r>
      <w:r w:rsidRPr="00D13221">
        <w:t xml:space="preserve"> is shown below</w:t>
      </w:r>
      <w:r w:rsidRPr="00E65C44">
        <w:t>.</w:t>
      </w:r>
    </w:p>
    <w:p w:rsidR="00756E99" w:rsidRPr="00023F25" w:rsidRDefault="00756E99" w:rsidP="00756E99">
      <w:pPr>
        <w:rPr>
          <w:rFonts w:ascii="Century Gothic" w:hAnsi="Century Gothic"/>
          <w:b/>
        </w:rPr>
      </w:pPr>
      <w:r w:rsidRPr="00023F25">
        <w:rPr>
          <w:rFonts w:ascii="Century Gothic" w:hAnsi="Century Gothic"/>
          <w:b/>
        </w:rPr>
        <w:t>Cost-Effective Programs</w:t>
      </w:r>
    </w:p>
    <w:p w:rsidR="00756E99" w:rsidRPr="00023F25" w:rsidRDefault="00756E99" w:rsidP="00756E99">
      <w:pPr>
        <w:spacing w:after="60"/>
        <w:rPr>
          <w:b/>
          <w:color w:val="448A99"/>
        </w:rPr>
      </w:pPr>
      <w:r w:rsidRPr="00023F25">
        <w:rPr>
          <w:b/>
          <w:color w:val="448A99"/>
        </w:rPr>
        <w:t>(TRC Ratio &gt; 1.0)</w:t>
      </w:r>
    </w:p>
    <w:p w:rsidR="00756E99" w:rsidRPr="00023F25" w:rsidRDefault="00756E99" w:rsidP="00E646C9">
      <w:pPr>
        <w:numPr>
          <w:ilvl w:val="0"/>
          <w:numId w:val="86"/>
        </w:numPr>
        <w:ind w:left="360"/>
        <w:rPr>
          <w:i/>
        </w:rPr>
      </w:pPr>
      <w:r w:rsidRPr="00023F25">
        <w:rPr>
          <w:i/>
        </w:rPr>
        <w:t>Smart AC Saver (Residential)</w:t>
      </w:r>
    </w:p>
    <w:p w:rsidR="00756E99" w:rsidRPr="00023F25" w:rsidRDefault="00756E99" w:rsidP="00E646C9">
      <w:pPr>
        <w:numPr>
          <w:ilvl w:val="0"/>
          <w:numId w:val="86"/>
        </w:numPr>
        <w:ind w:left="360"/>
        <w:rPr>
          <w:i/>
        </w:rPr>
      </w:pPr>
      <w:r w:rsidRPr="00023F25">
        <w:rPr>
          <w:i/>
        </w:rPr>
        <w:t>Lo</w:t>
      </w:r>
      <w:r>
        <w:rPr>
          <w:i/>
        </w:rPr>
        <w:t>w</w:t>
      </w:r>
      <w:r w:rsidRPr="00023F25">
        <w:rPr>
          <w:i/>
        </w:rPr>
        <w:t>-Income Energy Efficiency Program</w:t>
      </w:r>
    </w:p>
    <w:p w:rsidR="00756E99" w:rsidRPr="00023F25" w:rsidRDefault="00756E99" w:rsidP="00E646C9">
      <w:pPr>
        <w:numPr>
          <w:ilvl w:val="0"/>
          <w:numId w:val="86"/>
        </w:numPr>
        <w:ind w:left="360"/>
        <w:rPr>
          <w:i/>
        </w:rPr>
      </w:pPr>
      <w:r w:rsidRPr="00023F25">
        <w:rPr>
          <w:i/>
        </w:rPr>
        <w:t>Smart Appliance Recycling</w:t>
      </w:r>
    </w:p>
    <w:p w:rsidR="00756E99" w:rsidRPr="00023F25" w:rsidRDefault="00756E99" w:rsidP="00E646C9">
      <w:pPr>
        <w:numPr>
          <w:ilvl w:val="0"/>
          <w:numId w:val="86"/>
        </w:numPr>
        <w:ind w:left="360"/>
        <w:rPr>
          <w:i/>
        </w:rPr>
      </w:pPr>
      <w:r w:rsidRPr="00023F25">
        <w:rPr>
          <w:i/>
        </w:rPr>
        <w:t>Smart Home Rebates</w:t>
      </w:r>
    </w:p>
    <w:p w:rsidR="00756E99" w:rsidRPr="00023F25" w:rsidRDefault="00756E99" w:rsidP="00E646C9">
      <w:pPr>
        <w:numPr>
          <w:ilvl w:val="0"/>
          <w:numId w:val="86"/>
        </w:numPr>
        <w:ind w:left="360"/>
        <w:rPr>
          <w:i/>
        </w:rPr>
      </w:pPr>
      <w:r w:rsidRPr="00023F25">
        <w:rPr>
          <w:i/>
        </w:rPr>
        <w:t>Smart Energy Saver</w:t>
      </w:r>
    </w:p>
    <w:p w:rsidR="00756E99" w:rsidRDefault="00756E99" w:rsidP="00E646C9">
      <w:pPr>
        <w:numPr>
          <w:ilvl w:val="0"/>
          <w:numId w:val="86"/>
        </w:numPr>
        <w:ind w:left="360"/>
        <w:rPr>
          <w:i/>
        </w:rPr>
      </w:pPr>
      <w:r w:rsidRPr="00023F25">
        <w:rPr>
          <w:i/>
        </w:rPr>
        <w:t>Smart Multi-Family Solutions (Residential)</w:t>
      </w:r>
    </w:p>
    <w:p w:rsidR="00756E99" w:rsidRPr="00023F25" w:rsidRDefault="00756E99" w:rsidP="00E646C9">
      <w:pPr>
        <w:numPr>
          <w:ilvl w:val="0"/>
          <w:numId w:val="86"/>
        </w:numPr>
        <w:ind w:left="360"/>
        <w:rPr>
          <w:i/>
        </w:rPr>
      </w:pPr>
      <w:r>
        <w:rPr>
          <w:i/>
        </w:rPr>
        <w:t>Smart Usage Profile</w:t>
      </w:r>
    </w:p>
    <w:p w:rsidR="00756E99" w:rsidRPr="00023F25" w:rsidRDefault="00756E99" w:rsidP="00E646C9">
      <w:pPr>
        <w:numPr>
          <w:ilvl w:val="0"/>
          <w:numId w:val="86"/>
        </w:numPr>
        <w:ind w:left="360"/>
        <w:rPr>
          <w:i/>
        </w:rPr>
      </w:pPr>
      <w:r w:rsidRPr="00023F25">
        <w:rPr>
          <w:i/>
        </w:rPr>
        <w:t>Smart Business Solutions</w:t>
      </w:r>
    </w:p>
    <w:p w:rsidR="00756E99" w:rsidRPr="00023F25" w:rsidRDefault="00756E99" w:rsidP="00E646C9">
      <w:pPr>
        <w:numPr>
          <w:ilvl w:val="0"/>
          <w:numId w:val="86"/>
        </w:numPr>
        <w:ind w:left="360"/>
        <w:rPr>
          <w:i/>
        </w:rPr>
      </w:pPr>
      <w:r w:rsidRPr="00023F25">
        <w:rPr>
          <w:i/>
        </w:rPr>
        <w:t>Smart Equipment Incentives (C/I)</w:t>
      </w:r>
    </w:p>
    <w:p w:rsidR="00756E99" w:rsidRPr="00023F25" w:rsidRDefault="00756E99" w:rsidP="00E646C9">
      <w:pPr>
        <w:numPr>
          <w:ilvl w:val="0"/>
          <w:numId w:val="86"/>
        </w:numPr>
        <w:ind w:left="360"/>
        <w:rPr>
          <w:i/>
        </w:rPr>
      </w:pPr>
      <w:r w:rsidRPr="00023F25">
        <w:rPr>
          <w:i/>
        </w:rPr>
        <w:t>Smart Construction Incentives</w:t>
      </w:r>
    </w:p>
    <w:p w:rsidR="00756E99" w:rsidRPr="00023F25" w:rsidRDefault="00756E99" w:rsidP="00E646C9">
      <w:pPr>
        <w:numPr>
          <w:ilvl w:val="0"/>
          <w:numId w:val="86"/>
        </w:numPr>
        <w:ind w:left="360"/>
        <w:rPr>
          <w:i/>
        </w:rPr>
      </w:pPr>
      <w:r w:rsidRPr="00023F25">
        <w:rPr>
          <w:i/>
        </w:rPr>
        <w:t>Smart Multi-Family Solutions (Non-Residential)</w:t>
      </w:r>
    </w:p>
    <w:p w:rsidR="00756E99" w:rsidRPr="00023F25" w:rsidRDefault="00756E99" w:rsidP="00E646C9">
      <w:pPr>
        <w:numPr>
          <w:ilvl w:val="0"/>
          <w:numId w:val="86"/>
        </w:numPr>
        <w:ind w:left="360"/>
        <w:rPr>
          <w:i/>
        </w:rPr>
      </w:pPr>
      <w:r w:rsidRPr="00023F25">
        <w:rPr>
          <w:i/>
        </w:rPr>
        <w:t>Smart Equipment Incentives (GNI)</w:t>
      </w:r>
    </w:p>
    <w:p w:rsidR="00756E99" w:rsidRPr="00023F25" w:rsidRDefault="00756E99" w:rsidP="00756E99"/>
    <w:p w:rsidR="00756E99" w:rsidRPr="00023F25" w:rsidRDefault="00756E99" w:rsidP="00756E99">
      <w:pPr>
        <w:rPr>
          <w:rFonts w:ascii="Century Gothic" w:hAnsi="Century Gothic"/>
          <w:b/>
        </w:rPr>
      </w:pPr>
      <w:r w:rsidRPr="00023F25">
        <w:rPr>
          <w:rFonts w:ascii="Century Gothic" w:hAnsi="Century Gothic"/>
          <w:b/>
        </w:rPr>
        <w:t>Non-Cost-Effective Programs</w:t>
      </w:r>
    </w:p>
    <w:p w:rsidR="00756E99" w:rsidRPr="00023F25" w:rsidRDefault="00756E99" w:rsidP="00756E99">
      <w:pPr>
        <w:spacing w:after="60"/>
        <w:jc w:val="left"/>
        <w:rPr>
          <w:b/>
          <w:color w:val="448A99"/>
        </w:rPr>
      </w:pPr>
      <w:r w:rsidRPr="00023F25">
        <w:rPr>
          <w:b/>
          <w:color w:val="448A99"/>
        </w:rPr>
        <w:t>(TRC Ratio &lt; 1.0)</w:t>
      </w:r>
    </w:p>
    <w:p w:rsidR="00756E99" w:rsidRPr="00023F25" w:rsidRDefault="00756E99" w:rsidP="00E646C9">
      <w:pPr>
        <w:numPr>
          <w:ilvl w:val="0"/>
          <w:numId w:val="86"/>
        </w:numPr>
        <w:ind w:left="360"/>
        <w:jc w:val="left"/>
        <w:rPr>
          <w:i/>
        </w:rPr>
      </w:pPr>
      <w:r w:rsidRPr="00023F25">
        <w:rPr>
          <w:i/>
        </w:rPr>
        <w:t>Smart Builder Rebates</w:t>
      </w:r>
    </w:p>
    <w:p w:rsidR="00756E99" w:rsidRPr="00023F25" w:rsidRDefault="00756E99" w:rsidP="00E646C9">
      <w:pPr>
        <w:numPr>
          <w:ilvl w:val="0"/>
          <w:numId w:val="86"/>
        </w:numPr>
        <w:ind w:left="360"/>
        <w:jc w:val="left"/>
        <w:rPr>
          <w:i/>
        </w:rPr>
      </w:pPr>
      <w:r w:rsidRPr="00023F25">
        <w:rPr>
          <w:i/>
        </w:rPr>
        <w:t>Smart House Call</w:t>
      </w:r>
    </w:p>
    <w:p w:rsidR="00756E99" w:rsidRDefault="00756E99" w:rsidP="00E646C9">
      <w:pPr>
        <w:numPr>
          <w:ilvl w:val="0"/>
          <w:numId w:val="86"/>
        </w:numPr>
        <w:ind w:left="360"/>
        <w:jc w:val="left"/>
        <w:rPr>
          <w:i/>
        </w:rPr>
      </w:pPr>
      <w:r w:rsidRPr="00023F25">
        <w:rPr>
          <w:i/>
        </w:rPr>
        <w:t>Smart AC Saver (Commercial)</w:t>
      </w:r>
    </w:p>
    <w:p w:rsidR="00756E99" w:rsidRPr="006A46A3" w:rsidRDefault="00756E99" w:rsidP="00E646C9">
      <w:pPr>
        <w:numPr>
          <w:ilvl w:val="0"/>
          <w:numId w:val="86"/>
        </w:numPr>
        <w:ind w:left="360"/>
        <w:jc w:val="left"/>
      </w:pPr>
      <w:r w:rsidRPr="005D77A3">
        <w:rPr>
          <w:i/>
        </w:rPr>
        <w:t>Smart On-Site</w:t>
      </w:r>
    </w:p>
    <w:p w:rsidR="00756E99" w:rsidRPr="00756E99" w:rsidRDefault="00756E99" w:rsidP="00756E99"/>
    <w:p w:rsidR="00950837" w:rsidRDefault="00950837" w:rsidP="00D34B3E">
      <w:pPr>
        <w:pStyle w:val="AppendixAHeading3"/>
      </w:pPr>
      <w:r>
        <w:t>Assumptions and Inputs</w:t>
      </w:r>
    </w:p>
    <w:p w:rsidR="00756E99" w:rsidRPr="008A5E9E" w:rsidRDefault="00756E99" w:rsidP="00756E99">
      <w:pPr>
        <w:rPr>
          <w:highlight w:val="lightGray"/>
        </w:rPr>
      </w:pPr>
      <w:r w:rsidRPr="00EB36CB">
        <w:t>PECO used the same</w:t>
      </w:r>
      <w:r>
        <w:t xml:space="preserve"> discount rate (7.6%) in its PY7</w:t>
      </w:r>
      <w:r w:rsidRPr="00EB36CB">
        <w:t xml:space="preserve"> TRC model to discount program benefits and costs for all programs</w:t>
      </w:r>
      <w:r>
        <w:t>,</w:t>
      </w:r>
      <w:r w:rsidRPr="00EB36CB">
        <w:t xml:space="preserve"> as was </w:t>
      </w:r>
      <w:r>
        <w:t>done</w:t>
      </w:r>
      <w:r w:rsidRPr="00EB36CB">
        <w:t xml:space="preserve"> in </w:t>
      </w:r>
      <w:r>
        <w:t>the prior Phase II years</w:t>
      </w:r>
      <w:r w:rsidRPr="00EB36CB">
        <w:t>. This rate was used to compare the NPV of program benefits that will occur later in a measure’s lifetime to the up</w:t>
      </w:r>
      <w:r w:rsidR="007A15C5">
        <w:t>-</w:t>
      </w:r>
      <w:r w:rsidRPr="00EB36CB">
        <w:t xml:space="preserve">front installation and implementation costs. </w:t>
      </w:r>
      <w:r w:rsidRPr="00485F75">
        <w:t>The value used in the TRC model does</w:t>
      </w:r>
      <w:r w:rsidR="007A15C5">
        <w:t xml:space="preserve"> not agree with the EDC’s EE&amp;C p</w:t>
      </w:r>
      <w:r w:rsidRPr="00485F75">
        <w:t xml:space="preserve">lan </w:t>
      </w:r>
      <w:r w:rsidRPr="00D06BF3">
        <w:t xml:space="preserve">submitted in January 2013, </w:t>
      </w:r>
      <w:r w:rsidRPr="00CE50FE">
        <w:t xml:space="preserve">which specifies a discount rate of 7.4%. Consistent with our recommendation in </w:t>
      </w:r>
      <w:r>
        <w:t>the prior Phase II years</w:t>
      </w:r>
      <w:r w:rsidRPr="00CE50FE">
        <w:t xml:space="preserve">, the SWE requests that PECO’s subsequent Phase II reports rely on the discount rate that was approved in its latest EE&amp;C </w:t>
      </w:r>
      <w:r w:rsidR="007A15C5">
        <w:t>p</w:t>
      </w:r>
      <w:r w:rsidRPr="00CE50FE">
        <w:t>lan.</w:t>
      </w:r>
      <w:r>
        <w:rPr>
          <w:rStyle w:val="FootnoteReference"/>
        </w:rPr>
        <w:footnoteReference w:id="71"/>
      </w:r>
    </w:p>
    <w:p w:rsidR="00756E99" w:rsidRPr="008A5E9E" w:rsidRDefault="00756E99" w:rsidP="00756E99">
      <w:pPr>
        <w:rPr>
          <w:highlight w:val="lightGray"/>
        </w:rPr>
      </w:pPr>
    </w:p>
    <w:p w:rsidR="00756E99" w:rsidRDefault="00756E99" w:rsidP="00756E99">
      <w:r w:rsidRPr="0069732A">
        <w:t>PECO used different LLFs for calculating the programs’ energy and demand savings. For all programs, a universal energy LLF of 7.</w:t>
      </w:r>
      <w:r>
        <w:t>1</w:t>
      </w:r>
      <w:r w:rsidRPr="0069732A">
        <w:t xml:space="preserve">% was used. Demand LLF values from 10.0% to 16.1 % were used for different sectors. </w:t>
      </w:r>
      <w:r>
        <w:fldChar w:fldCharType="begin"/>
      </w:r>
      <w:r>
        <w:instrText xml:space="preserve"> REF _Ref472447049 \h </w:instrText>
      </w:r>
      <w:r>
        <w:fldChar w:fldCharType="separate"/>
      </w:r>
      <w:r w:rsidR="00C301D0">
        <w:t>Table A-</w:t>
      </w:r>
      <w:r w:rsidR="00C301D0">
        <w:rPr>
          <w:noProof/>
        </w:rPr>
        <w:t>106</w:t>
      </w:r>
      <w:r>
        <w:fldChar w:fldCharType="end"/>
      </w:r>
      <w:r>
        <w:t xml:space="preserve"> </w:t>
      </w:r>
      <w:r w:rsidRPr="0069732A">
        <w:t xml:space="preserve">shows details about the discount rates and </w:t>
      </w:r>
      <w:r>
        <w:t xml:space="preserve">the </w:t>
      </w:r>
      <w:r w:rsidRPr="0069732A">
        <w:t>energy and demand LLF values PECO used for each program.</w:t>
      </w:r>
    </w:p>
    <w:p w:rsidR="00756E99" w:rsidRDefault="00756E99" w:rsidP="00756E99"/>
    <w:p w:rsidR="0016230D" w:rsidRDefault="0016230D" w:rsidP="00756E99"/>
    <w:p w:rsidR="00EE3086" w:rsidRDefault="00EE3086" w:rsidP="00756E99"/>
    <w:p w:rsidR="00756E99" w:rsidRDefault="00756E99" w:rsidP="00756E99">
      <w:pPr>
        <w:pStyle w:val="Caption"/>
      </w:pPr>
      <w:bookmarkStart w:id="1103" w:name="_Ref472447049"/>
      <w:bookmarkStart w:id="1104" w:name="_Toc472472515"/>
      <w:bookmarkStart w:id="1105" w:name="_Toc476842221"/>
      <w:r>
        <w:t>Table A-</w:t>
      </w:r>
      <w:fldSimple w:instr=" SEQ Table_A- \* ARABIC ">
        <w:r w:rsidR="00C301D0">
          <w:rPr>
            <w:noProof/>
          </w:rPr>
          <w:t>106</w:t>
        </w:r>
      </w:fldSimple>
      <w:bookmarkEnd w:id="1103"/>
      <w:r>
        <w:t xml:space="preserve">: </w:t>
      </w:r>
      <w:r w:rsidRPr="0069732A">
        <w:t>PECO’s Discount Rates and LLFs</w:t>
      </w:r>
      <w:bookmarkEnd w:id="1104"/>
      <w:bookmarkEnd w:id="1105"/>
    </w:p>
    <w:tbl>
      <w:tblPr>
        <w:tblW w:w="9342"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051"/>
        <w:gridCol w:w="1440"/>
        <w:gridCol w:w="1617"/>
        <w:gridCol w:w="1617"/>
        <w:gridCol w:w="1617"/>
      </w:tblGrid>
      <w:tr w:rsidR="00A874AC" w:rsidRPr="00D84824" w:rsidTr="005C1352">
        <w:trPr>
          <w:trHeight w:val="395"/>
          <w:tblHeader/>
          <w:jc w:val="center"/>
        </w:trPr>
        <w:tc>
          <w:tcPr>
            <w:tcW w:w="3051" w:type="dxa"/>
            <w:shd w:val="clear" w:color="000000" w:fill="448A99"/>
            <w:noWrap/>
            <w:vAlign w:val="bottom"/>
            <w:hideMark/>
          </w:tcPr>
          <w:p w:rsidR="00756E99" w:rsidRPr="008A5E9E" w:rsidRDefault="00756E99" w:rsidP="005C1352">
            <w:pPr>
              <w:jc w:val="left"/>
              <w:rPr>
                <w:b/>
                <w:bCs/>
                <w:color w:val="FFFFFF"/>
                <w:sz w:val="20"/>
                <w:szCs w:val="20"/>
              </w:rPr>
            </w:pPr>
            <w:r w:rsidRPr="008A5E9E">
              <w:rPr>
                <w:b/>
                <w:bCs/>
                <w:color w:val="FFFFFF"/>
                <w:sz w:val="20"/>
                <w:szCs w:val="20"/>
              </w:rPr>
              <w:t>Program</w:t>
            </w:r>
          </w:p>
        </w:tc>
        <w:tc>
          <w:tcPr>
            <w:tcW w:w="1440" w:type="dxa"/>
            <w:shd w:val="clear" w:color="000000" w:fill="448A99"/>
            <w:noWrap/>
            <w:vAlign w:val="bottom"/>
            <w:hideMark/>
          </w:tcPr>
          <w:p w:rsidR="00756E99" w:rsidRPr="008A5E9E" w:rsidRDefault="00756E99" w:rsidP="005C1352">
            <w:pPr>
              <w:jc w:val="center"/>
              <w:rPr>
                <w:b/>
                <w:bCs/>
                <w:color w:val="FFFFFF"/>
                <w:sz w:val="20"/>
                <w:szCs w:val="20"/>
              </w:rPr>
            </w:pPr>
            <w:r w:rsidRPr="008A5E9E">
              <w:rPr>
                <w:b/>
                <w:bCs/>
                <w:color w:val="FFFFFF"/>
                <w:sz w:val="20"/>
                <w:szCs w:val="20"/>
              </w:rPr>
              <w:t>Sector</w:t>
            </w:r>
          </w:p>
        </w:tc>
        <w:tc>
          <w:tcPr>
            <w:tcW w:w="1617" w:type="dxa"/>
            <w:shd w:val="clear" w:color="000000" w:fill="448A99"/>
            <w:noWrap/>
            <w:vAlign w:val="bottom"/>
            <w:hideMark/>
          </w:tcPr>
          <w:p w:rsidR="00756E99" w:rsidRPr="008A5E9E" w:rsidRDefault="00756E99" w:rsidP="005C1352">
            <w:pPr>
              <w:jc w:val="center"/>
              <w:rPr>
                <w:b/>
                <w:bCs/>
                <w:color w:val="FFFFFF"/>
                <w:sz w:val="20"/>
                <w:szCs w:val="20"/>
              </w:rPr>
            </w:pPr>
            <w:r w:rsidRPr="008A5E9E">
              <w:rPr>
                <w:b/>
                <w:bCs/>
                <w:color w:val="FFFFFF"/>
                <w:sz w:val="20"/>
                <w:szCs w:val="20"/>
              </w:rPr>
              <w:t>Discount Rate</w:t>
            </w:r>
          </w:p>
        </w:tc>
        <w:tc>
          <w:tcPr>
            <w:tcW w:w="1617" w:type="dxa"/>
            <w:shd w:val="clear" w:color="000000" w:fill="448A99"/>
            <w:vAlign w:val="bottom"/>
            <w:hideMark/>
          </w:tcPr>
          <w:p w:rsidR="00756E99" w:rsidRPr="008A5E9E" w:rsidRDefault="00756E99" w:rsidP="005C1352">
            <w:pPr>
              <w:jc w:val="center"/>
              <w:rPr>
                <w:b/>
                <w:bCs/>
                <w:color w:val="FFFFFF"/>
                <w:sz w:val="20"/>
                <w:szCs w:val="20"/>
              </w:rPr>
            </w:pPr>
            <w:r w:rsidRPr="008A5E9E">
              <w:rPr>
                <w:b/>
                <w:bCs/>
                <w:color w:val="FFFFFF"/>
                <w:sz w:val="20"/>
                <w:szCs w:val="20"/>
              </w:rPr>
              <w:t>Energy LLF</w:t>
            </w:r>
            <w:r w:rsidRPr="008A5E9E">
              <w:rPr>
                <w:b/>
                <w:bCs/>
                <w:color w:val="FFFFFF"/>
                <w:sz w:val="20"/>
                <w:szCs w:val="20"/>
                <w:vertAlign w:val="superscript"/>
              </w:rPr>
              <w:t>[a]</w:t>
            </w:r>
          </w:p>
        </w:tc>
        <w:tc>
          <w:tcPr>
            <w:tcW w:w="1617" w:type="dxa"/>
            <w:shd w:val="clear" w:color="000000" w:fill="448A99"/>
            <w:vAlign w:val="bottom"/>
            <w:hideMark/>
          </w:tcPr>
          <w:p w:rsidR="00756E99" w:rsidRPr="008A5E9E" w:rsidRDefault="00756E99" w:rsidP="005C1352">
            <w:pPr>
              <w:jc w:val="center"/>
              <w:rPr>
                <w:b/>
                <w:bCs/>
                <w:color w:val="FFFFFF"/>
                <w:sz w:val="20"/>
                <w:szCs w:val="20"/>
              </w:rPr>
            </w:pPr>
            <w:r w:rsidRPr="008A5E9E">
              <w:rPr>
                <w:b/>
                <w:bCs/>
                <w:color w:val="FFFFFF"/>
                <w:sz w:val="20"/>
                <w:szCs w:val="20"/>
              </w:rPr>
              <w:t>Demand LLF</w:t>
            </w:r>
            <w:r w:rsidRPr="008A5E9E">
              <w:rPr>
                <w:b/>
                <w:bCs/>
                <w:color w:val="FFFFFF"/>
                <w:sz w:val="20"/>
                <w:szCs w:val="20"/>
                <w:vertAlign w:val="superscript"/>
              </w:rPr>
              <w:t>[a]</w:t>
            </w:r>
          </w:p>
        </w:tc>
      </w:tr>
      <w:tr w:rsidR="00A874AC" w:rsidRPr="007834A3" w:rsidTr="005C1352">
        <w:trPr>
          <w:trHeight w:val="432"/>
          <w:jc w:val="center"/>
        </w:trPr>
        <w:tc>
          <w:tcPr>
            <w:tcW w:w="3051" w:type="dxa"/>
            <w:shd w:val="clear" w:color="000000" w:fill="D2EAF1"/>
            <w:vAlign w:val="center"/>
          </w:tcPr>
          <w:p w:rsidR="00756E99" w:rsidRPr="006A594B" w:rsidRDefault="00756E99" w:rsidP="005C1352">
            <w:pPr>
              <w:jc w:val="left"/>
              <w:rPr>
                <w:color w:val="000000"/>
                <w:sz w:val="20"/>
                <w:szCs w:val="20"/>
              </w:rPr>
            </w:pPr>
            <w:r>
              <w:rPr>
                <w:rFonts w:cs="Arial"/>
                <w:bCs/>
                <w:color w:val="000000"/>
                <w:sz w:val="20"/>
                <w:szCs w:val="20"/>
              </w:rPr>
              <w:t>Smart AC Saver (Residential)</w:t>
            </w:r>
          </w:p>
        </w:tc>
        <w:tc>
          <w:tcPr>
            <w:tcW w:w="1440"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Residential</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16.1%</w:t>
            </w:r>
          </w:p>
        </w:tc>
      </w:tr>
      <w:tr w:rsidR="00E7173E" w:rsidRPr="007834A3" w:rsidTr="008F60E1">
        <w:trPr>
          <w:trHeight w:val="432"/>
          <w:jc w:val="center"/>
        </w:trPr>
        <w:tc>
          <w:tcPr>
            <w:tcW w:w="3051" w:type="dxa"/>
            <w:shd w:val="clear" w:color="auto" w:fill="auto"/>
            <w:vAlign w:val="center"/>
          </w:tcPr>
          <w:p w:rsidR="00756E99" w:rsidRDefault="00756E99" w:rsidP="005C1352">
            <w:pPr>
              <w:jc w:val="left"/>
              <w:rPr>
                <w:rFonts w:cs="Arial"/>
                <w:bCs/>
                <w:color w:val="000000"/>
                <w:sz w:val="20"/>
                <w:szCs w:val="20"/>
              </w:rPr>
            </w:pPr>
            <w:r>
              <w:rPr>
                <w:rFonts w:cs="Arial"/>
                <w:bCs/>
                <w:color w:val="000000"/>
                <w:sz w:val="20"/>
                <w:szCs w:val="20"/>
              </w:rPr>
              <w:t>Smart Appliance Recycling</w:t>
            </w:r>
          </w:p>
        </w:tc>
        <w:tc>
          <w:tcPr>
            <w:tcW w:w="1440" w:type="dxa"/>
            <w:shd w:val="clear" w:color="auto" w:fill="auto"/>
            <w:noWrap/>
            <w:vAlign w:val="center"/>
          </w:tcPr>
          <w:p w:rsidR="00756E99" w:rsidRDefault="00756E99" w:rsidP="005C1352">
            <w:pPr>
              <w:jc w:val="center"/>
              <w:rPr>
                <w:color w:val="000000"/>
                <w:sz w:val="20"/>
                <w:szCs w:val="20"/>
              </w:rPr>
            </w:pPr>
            <w:r>
              <w:rPr>
                <w:color w:val="000000"/>
                <w:sz w:val="20"/>
                <w:szCs w:val="20"/>
              </w:rPr>
              <w:t>Residential</w:t>
            </w:r>
          </w:p>
        </w:tc>
        <w:tc>
          <w:tcPr>
            <w:tcW w:w="1617" w:type="dxa"/>
            <w:shd w:val="clear" w:color="auto" w:fill="auto"/>
            <w:noWrap/>
            <w:vAlign w:val="center"/>
          </w:tcPr>
          <w:p w:rsidR="00756E99" w:rsidRDefault="00756E99" w:rsidP="005C1352">
            <w:pPr>
              <w:jc w:val="center"/>
              <w:rPr>
                <w:color w:val="000000"/>
                <w:sz w:val="20"/>
                <w:szCs w:val="20"/>
              </w:rPr>
            </w:pPr>
            <w:r>
              <w:rPr>
                <w:color w:val="000000"/>
                <w:sz w:val="20"/>
                <w:szCs w:val="20"/>
              </w:rPr>
              <w:t>7.6%</w:t>
            </w:r>
          </w:p>
        </w:tc>
        <w:tc>
          <w:tcPr>
            <w:tcW w:w="1617" w:type="dxa"/>
            <w:shd w:val="clear" w:color="auto" w:fill="auto"/>
            <w:noWrap/>
            <w:vAlign w:val="center"/>
          </w:tcPr>
          <w:p w:rsidR="00756E99" w:rsidRDefault="00756E99" w:rsidP="005C1352">
            <w:pPr>
              <w:jc w:val="center"/>
              <w:rPr>
                <w:color w:val="000000"/>
                <w:sz w:val="20"/>
                <w:szCs w:val="20"/>
              </w:rPr>
            </w:pPr>
            <w:r>
              <w:rPr>
                <w:color w:val="000000"/>
                <w:sz w:val="20"/>
                <w:szCs w:val="20"/>
              </w:rPr>
              <w:t>7.1%</w:t>
            </w:r>
          </w:p>
        </w:tc>
        <w:tc>
          <w:tcPr>
            <w:tcW w:w="1617" w:type="dxa"/>
            <w:shd w:val="clear" w:color="auto" w:fill="auto"/>
            <w:noWrap/>
            <w:vAlign w:val="center"/>
          </w:tcPr>
          <w:p w:rsidR="00756E99" w:rsidRDefault="00756E99" w:rsidP="005C1352">
            <w:pPr>
              <w:jc w:val="center"/>
              <w:rPr>
                <w:color w:val="000000"/>
                <w:sz w:val="20"/>
                <w:szCs w:val="20"/>
              </w:rPr>
            </w:pPr>
            <w:r>
              <w:rPr>
                <w:color w:val="000000"/>
                <w:sz w:val="20"/>
                <w:szCs w:val="20"/>
              </w:rPr>
              <w:t>16.1%</w:t>
            </w:r>
          </w:p>
        </w:tc>
      </w:tr>
      <w:tr w:rsidR="00A874AC" w:rsidRPr="007834A3" w:rsidTr="005C1352">
        <w:trPr>
          <w:trHeight w:val="432"/>
          <w:jc w:val="center"/>
        </w:trPr>
        <w:tc>
          <w:tcPr>
            <w:tcW w:w="3051" w:type="dxa"/>
            <w:shd w:val="clear" w:color="000000" w:fill="D2EAF1"/>
            <w:vAlign w:val="center"/>
          </w:tcPr>
          <w:p w:rsidR="00756E99" w:rsidRPr="006A594B" w:rsidRDefault="00756E99" w:rsidP="005C1352">
            <w:pPr>
              <w:jc w:val="left"/>
              <w:rPr>
                <w:color w:val="000000"/>
                <w:sz w:val="20"/>
                <w:szCs w:val="20"/>
              </w:rPr>
            </w:pPr>
            <w:r>
              <w:rPr>
                <w:rFonts w:cs="Arial"/>
                <w:bCs/>
                <w:color w:val="000000"/>
                <w:sz w:val="20"/>
                <w:szCs w:val="20"/>
              </w:rPr>
              <w:t>Smart Builder Rebates</w:t>
            </w:r>
          </w:p>
        </w:tc>
        <w:tc>
          <w:tcPr>
            <w:tcW w:w="1440"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Residential</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16.1%</w:t>
            </w:r>
          </w:p>
        </w:tc>
      </w:tr>
      <w:tr w:rsidR="00E7173E" w:rsidRPr="007834A3" w:rsidTr="008F60E1">
        <w:trPr>
          <w:trHeight w:val="432"/>
          <w:jc w:val="center"/>
        </w:trPr>
        <w:tc>
          <w:tcPr>
            <w:tcW w:w="3051" w:type="dxa"/>
            <w:shd w:val="clear" w:color="auto" w:fill="auto"/>
            <w:vAlign w:val="center"/>
          </w:tcPr>
          <w:p w:rsidR="00756E99" w:rsidRPr="006A594B" w:rsidRDefault="00756E99" w:rsidP="005C1352">
            <w:pPr>
              <w:jc w:val="left"/>
              <w:rPr>
                <w:color w:val="000000"/>
                <w:sz w:val="20"/>
                <w:szCs w:val="20"/>
              </w:rPr>
            </w:pPr>
            <w:r>
              <w:rPr>
                <w:rFonts w:cs="Arial"/>
                <w:bCs/>
                <w:color w:val="000000"/>
                <w:sz w:val="20"/>
                <w:szCs w:val="20"/>
              </w:rPr>
              <w:t>Smart Energy Saver</w:t>
            </w:r>
          </w:p>
        </w:tc>
        <w:tc>
          <w:tcPr>
            <w:tcW w:w="1440"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Residential</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16.1%</w:t>
            </w:r>
          </w:p>
        </w:tc>
      </w:tr>
      <w:tr w:rsidR="00A874AC" w:rsidRPr="007834A3" w:rsidTr="005C1352">
        <w:trPr>
          <w:trHeight w:val="432"/>
          <w:jc w:val="center"/>
        </w:trPr>
        <w:tc>
          <w:tcPr>
            <w:tcW w:w="3051" w:type="dxa"/>
            <w:shd w:val="clear" w:color="000000" w:fill="D2EAF1"/>
            <w:vAlign w:val="center"/>
          </w:tcPr>
          <w:p w:rsidR="00756E99" w:rsidRPr="006A594B" w:rsidRDefault="00756E99" w:rsidP="005C1352">
            <w:pPr>
              <w:jc w:val="left"/>
              <w:rPr>
                <w:color w:val="000000"/>
                <w:sz w:val="20"/>
                <w:szCs w:val="20"/>
              </w:rPr>
            </w:pPr>
            <w:r>
              <w:rPr>
                <w:rFonts w:cs="Arial"/>
                <w:bCs/>
                <w:color w:val="000000"/>
                <w:sz w:val="20"/>
                <w:szCs w:val="20"/>
              </w:rPr>
              <w:t>Smart Home Rebates</w:t>
            </w:r>
          </w:p>
        </w:tc>
        <w:tc>
          <w:tcPr>
            <w:tcW w:w="1440"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Residential</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16.1%</w:t>
            </w:r>
          </w:p>
        </w:tc>
      </w:tr>
      <w:tr w:rsidR="00E7173E" w:rsidRPr="007834A3" w:rsidTr="008F60E1">
        <w:trPr>
          <w:trHeight w:val="432"/>
          <w:jc w:val="center"/>
        </w:trPr>
        <w:tc>
          <w:tcPr>
            <w:tcW w:w="3051" w:type="dxa"/>
            <w:shd w:val="clear" w:color="auto" w:fill="auto"/>
            <w:vAlign w:val="center"/>
          </w:tcPr>
          <w:p w:rsidR="00756E99" w:rsidRPr="006A594B" w:rsidRDefault="00756E99" w:rsidP="005C1352">
            <w:pPr>
              <w:jc w:val="left"/>
              <w:rPr>
                <w:color w:val="000000"/>
                <w:sz w:val="20"/>
                <w:szCs w:val="20"/>
              </w:rPr>
            </w:pPr>
            <w:r>
              <w:rPr>
                <w:rFonts w:cs="Arial"/>
                <w:bCs/>
                <w:color w:val="000000"/>
                <w:sz w:val="20"/>
                <w:szCs w:val="20"/>
              </w:rPr>
              <w:t>Smart House Call</w:t>
            </w:r>
          </w:p>
        </w:tc>
        <w:tc>
          <w:tcPr>
            <w:tcW w:w="1440"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Residential</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16.1%</w:t>
            </w:r>
          </w:p>
        </w:tc>
      </w:tr>
      <w:tr w:rsidR="00A874AC" w:rsidRPr="007834A3" w:rsidTr="005C1352">
        <w:trPr>
          <w:trHeight w:val="432"/>
          <w:jc w:val="center"/>
        </w:trPr>
        <w:tc>
          <w:tcPr>
            <w:tcW w:w="3051" w:type="dxa"/>
            <w:shd w:val="clear" w:color="000000" w:fill="D2EAF1"/>
            <w:vAlign w:val="center"/>
          </w:tcPr>
          <w:p w:rsidR="00756E99" w:rsidRPr="006A594B" w:rsidRDefault="00756E99" w:rsidP="005C1352">
            <w:pPr>
              <w:jc w:val="left"/>
              <w:rPr>
                <w:color w:val="000000"/>
                <w:sz w:val="20"/>
                <w:szCs w:val="20"/>
              </w:rPr>
            </w:pPr>
            <w:r>
              <w:rPr>
                <w:rFonts w:cs="Arial"/>
                <w:color w:val="000000"/>
                <w:sz w:val="20"/>
                <w:szCs w:val="20"/>
              </w:rPr>
              <w:t>Smart Multi-Family Solutions (Residential)</w:t>
            </w:r>
          </w:p>
        </w:tc>
        <w:tc>
          <w:tcPr>
            <w:tcW w:w="1440"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Residential</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16.1%</w:t>
            </w:r>
          </w:p>
        </w:tc>
      </w:tr>
      <w:tr w:rsidR="00E7173E" w:rsidRPr="007834A3" w:rsidTr="008F60E1">
        <w:trPr>
          <w:trHeight w:val="432"/>
          <w:jc w:val="center"/>
        </w:trPr>
        <w:tc>
          <w:tcPr>
            <w:tcW w:w="3051" w:type="dxa"/>
            <w:shd w:val="clear" w:color="auto" w:fill="auto"/>
            <w:vAlign w:val="center"/>
          </w:tcPr>
          <w:p w:rsidR="00756E99" w:rsidRPr="006A594B" w:rsidRDefault="00756E99" w:rsidP="005C1352">
            <w:pPr>
              <w:jc w:val="left"/>
              <w:rPr>
                <w:color w:val="000000"/>
                <w:sz w:val="20"/>
                <w:szCs w:val="20"/>
              </w:rPr>
            </w:pPr>
            <w:r>
              <w:rPr>
                <w:rFonts w:cs="Arial"/>
                <w:bCs/>
                <w:color w:val="000000"/>
                <w:sz w:val="20"/>
                <w:szCs w:val="20"/>
              </w:rPr>
              <w:t>Smart Usage Profile</w:t>
            </w:r>
          </w:p>
        </w:tc>
        <w:tc>
          <w:tcPr>
            <w:tcW w:w="1440"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Residential</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16.1%</w:t>
            </w:r>
          </w:p>
        </w:tc>
      </w:tr>
      <w:tr w:rsidR="00A874AC" w:rsidRPr="007834A3" w:rsidTr="005C1352">
        <w:trPr>
          <w:trHeight w:val="432"/>
          <w:jc w:val="center"/>
        </w:trPr>
        <w:tc>
          <w:tcPr>
            <w:tcW w:w="3051" w:type="dxa"/>
            <w:shd w:val="clear" w:color="000000" w:fill="D2EAF1"/>
            <w:vAlign w:val="center"/>
          </w:tcPr>
          <w:p w:rsidR="00756E99" w:rsidRPr="006A594B" w:rsidRDefault="00756E99" w:rsidP="005C1352">
            <w:pPr>
              <w:jc w:val="left"/>
              <w:rPr>
                <w:color w:val="000000"/>
                <w:sz w:val="20"/>
                <w:szCs w:val="20"/>
              </w:rPr>
            </w:pPr>
            <w:r>
              <w:rPr>
                <w:rFonts w:cs="Arial"/>
                <w:bCs/>
                <w:color w:val="000000"/>
                <w:sz w:val="20"/>
                <w:szCs w:val="20"/>
              </w:rPr>
              <w:t>Low-Income Energy Efficiency Program</w:t>
            </w:r>
          </w:p>
        </w:tc>
        <w:tc>
          <w:tcPr>
            <w:tcW w:w="1440"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Residential</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16.1%</w:t>
            </w:r>
          </w:p>
        </w:tc>
      </w:tr>
      <w:tr w:rsidR="00E7173E" w:rsidRPr="007834A3" w:rsidTr="008F60E1">
        <w:trPr>
          <w:trHeight w:val="432"/>
          <w:jc w:val="center"/>
        </w:trPr>
        <w:tc>
          <w:tcPr>
            <w:tcW w:w="3051" w:type="dxa"/>
            <w:shd w:val="clear" w:color="auto" w:fill="auto"/>
            <w:vAlign w:val="center"/>
          </w:tcPr>
          <w:p w:rsidR="00756E99" w:rsidRPr="006A594B" w:rsidRDefault="00756E99" w:rsidP="005C1352">
            <w:pPr>
              <w:jc w:val="left"/>
              <w:rPr>
                <w:color w:val="000000"/>
                <w:sz w:val="20"/>
                <w:szCs w:val="20"/>
              </w:rPr>
            </w:pPr>
            <w:r>
              <w:rPr>
                <w:rFonts w:cs="Arial"/>
                <w:bCs/>
                <w:color w:val="000000"/>
                <w:sz w:val="20"/>
                <w:szCs w:val="20"/>
              </w:rPr>
              <w:t>Smart AC Saver (Commercial)</w:t>
            </w:r>
          </w:p>
        </w:tc>
        <w:tc>
          <w:tcPr>
            <w:tcW w:w="1440"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C/I</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auto" w:fill="auto"/>
            <w:vAlign w:val="center"/>
          </w:tcPr>
          <w:p w:rsidR="00756E99" w:rsidRPr="002E6FF8" w:rsidRDefault="00756E99" w:rsidP="005C1352">
            <w:pPr>
              <w:jc w:val="center"/>
              <w:rPr>
                <w:color w:val="000000"/>
                <w:sz w:val="20"/>
                <w:szCs w:val="20"/>
              </w:rPr>
            </w:pPr>
            <w:r>
              <w:rPr>
                <w:color w:val="000000"/>
                <w:sz w:val="20"/>
                <w:szCs w:val="20"/>
              </w:rPr>
              <w:t>10.0%</w:t>
            </w:r>
          </w:p>
        </w:tc>
      </w:tr>
      <w:tr w:rsidR="00A874AC" w:rsidRPr="007834A3" w:rsidTr="005C1352">
        <w:trPr>
          <w:trHeight w:val="432"/>
          <w:jc w:val="center"/>
        </w:trPr>
        <w:tc>
          <w:tcPr>
            <w:tcW w:w="3051" w:type="dxa"/>
            <w:shd w:val="clear" w:color="000000" w:fill="D2EAF1"/>
            <w:vAlign w:val="center"/>
          </w:tcPr>
          <w:p w:rsidR="00756E99" w:rsidRPr="006A594B" w:rsidRDefault="00756E99" w:rsidP="005C1352">
            <w:pPr>
              <w:jc w:val="left"/>
              <w:rPr>
                <w:color w:val="000000"/>
                <w:sz w:val="20"/>
                <w:szCs w:val="20"/>
              </w:rPr>
            </w:pPr>
            <w:r>
              <w:rPr>
                <w:rFonts w:cs="Arial"/>
                <w:bCs/>
                <w:color w:val="000000"/>
                <w:sz w:val="20"/>
                <w:szCs w:val="20"/>
              </w:rPr>
              <w:t>Smart Business Solutions</w:t>
            </w:r>
          </w:p>
        </w:tc>
        <w:tc>
          <w:tcPr>
            <w:tcW w:w="1440"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C/I</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000000" w:fill="D2EAF1"/>
            <w:vAlign w:val="center"/>
          </w:tcPr>
          <w:p w:rsidR="00756E99" w:rsidRPr="002E6FF8" w:rsidRDefault="00756E99" w:rsidP="005C1352">
            <w:pPr>
              <w:jc w:val="center"/>
              <w:rPr>
                <w:color w:val="000000"/>
                <w:sz w:val="20"/>
                <w:szCs w:val="20"/>
              </w:rPr>
            </w:pPr>
            <w:r>
              <w:rPr>
                <w:color w:val="000000"/>
                <w:sz w:val="20"/>
                <w:szCs w:val="20"/>
              </w:rPr>
              <w:t>10.0%</w:t>
            </w:r>
          </w:p>
        </w:tc>
      </w:tr>
      <w:tr w:rsidR="00E7173E" w:rsidRPr="007834A3" w:rsidTr="008F60E1">
        <w:trPr>
          <w:trHeight w:val="432"/>
          <w:jc w:val="center"/>
        </w:trPr>
        <w:tc>
          <w:tcPr>
            <w:tcW w:w="3051" w:type="dxa"/>
            <w:shd w:val="clear" w:color="auto" w:fill="auto"/>
            <w:vAlign w:val="center"/>
          </w:tcPr>
          <w:p w:rsidR="00756E99" w:rsidRPr="006A594B" w:rsidRDefault="00756E99" w:rsidP="005C1352">
            <w:pPr>
              <w:jc w:val="left"/>
              <w:rPr>
                <w:color w:val="000000"/>
                <w:sz w:val="20"/>
                <w:szCs w:val="20"/>
              </w:rPr>
            </w:pPr>
            <w:r>
              <w:rPr>
                <w:rFonts w:cs="Arial"/>
                <w:bCs/>
                <w:color w:val="000000"/>
                <w:sz w:val="20"/>
                <w:szCs w:val="20"/>
              </w:rPr>
              <w:t>Smart Equipment Incentives (C/I)</w:t>
            </w:r>
          </w:p>
        </w:tc>
        <w:tc>
          <w:tcPr>
            <w:tcW w:w="1440"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C/I</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auto" w:fill="auto"/>
            <w:vAlign w:val="center"/>
          </w:tcPr>
          <w:p w:rsidR="00756E99" w:rsidRPr="002E6FF8" w:rsidRDefault="00756E99" w:rsidP="005C1352">
            <w:pPr>
              <w:jc w:val="center"/>
              <w:rPr>
                <w:color w:val="000000"/>
                <w:sz w:val="20"/>
                <w:szCs w:val="20"/>
              </w:rPr>
            </w:pPr>
            <w:r>
              <w:rPr>
                <w:color w:val="000000"/>
                <w:sz w:val="20"/>
                <w:szCs w:val="20"/>
              </w:rPr>
              <w:t>10.0%</w:t>
            </w:r>
          </w:p>
        </w:tc>
      </w:tr>
      <w:tr w:rsidR="00A874AC" w:rsidRPr="007834A3" w:rsidTr="005C1352">
        <w:trPr>
          <w:trHeight w:val="432"/>
          <w:jc w:val="center"/>
        </w:trPr>
        <w:tc>
          <w:tcPr>
            <w:tcW w:w="3051" w:type="dxa"/>
            <w:shd w:val="clear" w:color="000000" w:fill="D2EAF1"/>
            <w:vAlign w:val="center"/>
          </w:tcPr>
          <w:p w:rsidR="00756E99" w:rsidRPr="006A594B" w:rsidRDefault="00756E99" w:rsidP="005C1352">
            <w:pPr>
              <w:jc w:val="left"/>
              <w:rPr>
                <w:color w:val="000000"/>
                <w:sz w:val="20"/>
                <w:szCs w:val="20"/>
              </w:rPr>
            </w:pPr>
            <w:r>
              <w:rPr>
                <w:rFonts w:cs="Arial"/>
                <w:bCs/>
                <w:color w:val="000000"/>
                <w:sz w:val="20"/>
                <w:szCs w:val="20"/>
              </w:rPr>
              <w:t>Smart Construction Incentives</w:t>
            </w:r>
          </w:p>
        </w:tc>
        <w:tc>
          <w:tcPr>
            <w:tcW w:w="1440"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C/I</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000000" w:fill="D2EAF1"/>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000000" w:fill="D2EAF1"/>
            <w:vAlign w:val="center"/>
          </w:tcPr>
          <w:p w:rsidR="00756E99" w:rsidRPr="002E6FF8" w:rsidRDefault="00756E99" w:rsidP="005C1352">
            <w:pPr>
              <w:jc w:val="center"/>
              <w:rPr>
                <w:color w:val="000000"/>
                <w:sz w:val="20"/>
                <w:szCs w:val="20"/>
              </w:rPr>
            </w:pPr>
            <w:r>
              <w:rPr>
                <w:color w:val="000000"/>
                <w:sz w:val="20"/>
                <w:szCs w:val="20"/>
              </w:rPr>
              <w:t>10.0%</w:t>
            </w:r>
          </w:p>
        </w:tc>
      </w:tr>
      <w:tr w:rsidR="00E7173E" w:rsidRPr="007834A3" w:rsidTr="008F60E1">
        <w:trPr>
          <w:trHeight w:val="432"/>
          <w:jc w:val="center"/>
        </w:trPr>
        <w:tc>
          <w:tcPr>
            <w:tcW w:w="3051" w:type="dxa"/>
            <w:shd w:val="clear" w:color="auto" w:fill="auto"/>
            <w:vAlign w:val="center"/>
          </w:tcPr>
          <w:p w:rsidR="00756E99" w:rsidRPr="006A594B" w:rsidRDefault="00756E99" w:rsidP="005C1352">
            <w:pPr>
              <w:jc w:val="left"/>
              <w:rPr>
                <w:color w:val="000000"/>
                <w:sz w:val="20"/>
                <w:szCs w:val="20"/>
              </w:rPr>
            </w:pPr>
            <w:r>
              <w:rPr>
                <w:rFonts w:cs="Arial"/>
                <w:bCs/>
                <w:color w:val="000000"/>
                <w:sz w:val="20"/>
                <w:szCs w:val="20"/>
              </w:rPr>
              <w:t>Smart Multi-Family Solutions (Nonresidential)</w:t>
            </w:r>
          </w:p>
        </w:tc>
        <w:tc>
          <w:tcPr>
            <w:tcW w:w="1440"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C/I</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10.0%</w:t>
            </w:r>
          </w:p>
        </w:tc>
      </w:tr>
      <w:tr w:rsidR="00A874AC" w:rsidRPr="007834A3" w:rsidTr="005C1352">
        <w:trPr>
          <w:trHeight w:val="432"/>
          <w:jc w:val="center"/>
        </w:trPr>
        <w:tc>
          <w:tcPr>
            <w:tcW w:w="3051" w:type="dxa"/>
            <w:shd w:val="clear" w:color="auto" w:fill="DAEEF3"/>
            <w:vAlign w:val="center"/>
          </w:tcPr>
          <w:p w:rsidR="00756E99" w:rsidRDefault="00756E99" w:rsidP="005C1352">
            <w:pPr>
              <w:jc w:val="left"/>
              <w:rPr>
                <w:rFonts w:cs="Arial"/>
                <w:bCs/>
                <w:color w:val="000000"/>
                <w:sz w:val="20"/>
                <w:szCs w:val="20"/>
              </w:rPr>
            </w:pPr>
            <w:r>
              <w:rPr>
                <w:rFonts w:cs="Arial"/>
                <w:bCs/>
                <w:iCs/>
                <w:color w:val="000000"/>
                <w:sz w:val="20"/>
                <w:szCs w:val="20"/>
              </w:rPr>
              <w:t>Smart On-Site</w:t>
            </w:r>
          </w:p>
        </w:tc>
        <w:tc>
          <w:tcPr>
            <w:tcW w:w="1440" w:type="dxa"/>
            <w:shd w:val="clear" w:color="auto" w:fill="DAEEF3"/>
            <w:noWrap/>
            <w:vAlign w:val="center"/>
          </w:tcPr>
          <w:p w:rsidR="00756E99" w:rsidRPr="002E6FF8" w:rsidRDefault="00756E99" w:rsidP="005C1352">
            <w:pPr>
              <w:jc w:val="center"/>
              <w:rPr>
                <w:color w:val="000000"/>
                <w:sz w:val="20"/>
                <w:szCs w:val="20"/>
              </w:rPr>
            </w:pPr>
            <w:r>
              <w:rPr>
                <w:color w:val="000000"/>
                <w:sz w:val="20"/>
                <w:szCs w:val="20"/>
              </w:rPr>
              <w:t>C/I</w:t>
            </w:r>
          </w:p>
        </w:tc>
        <w:tc>
          <w:tcPr>
            <w:tcW w:w="1617" w:type="dxa"/>
            <w:shd w:val="clear" w:color="auto" w:fill="DAEEF3"/>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auto" w:fill="DAEEF3"/>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auto" w:fill="DAEEF3"/>
            <w:noWrap/>
            <w:vAlign w:val="center"/>
          </w:tcPr>
          <w:p w:rsidR="00756E99" w:rsidRPr="002E6FF8" w:rsidRDefault="00756E99" w:rsidP="005C1352">
            <w:pPr>
              <w:jc w:val="center"/>
              <w:rPr>
                <w:color w:val="000000"/>
                <w:sz w:val="20"/>
                <w:szCs w:val="20"/>
              </w:rPr>
            </w:pPr>
            <w:r>
              <w:rPr>
                <w:color w:val="000000"/>
                <w:sz w:val="20"/>
                <w:szCs w:val="20"/>
              </w:rPr>
              <w:t>10.0%</w:t>
            </w:r>
          </w:p>
        </w:tc>
      </w:tr>
      <w:tr w:rsidR="00E7173E" w:rsidRPr="007834A3" w:rsidTr="008F60E1">
        <w:trPr>
          <w:trHeight w:val="432"/>
          <w:jc w:val="center"/>
        </w:trPr>
        <w:tc>
          <w:tcPr>
            <w:tcW w:w="3051" w:type="dxa"/>
            <w:shd w:val="clear" w:color="auto" w:fill="auto"/>
            <w:vAlign w:val="center"/>
          </w:tcPr>
          <w:p w:rsidR="00756E99" w:rsidRDefault="00756E99" w:rsidP="005C1352">
            <w:pPr>
              <w:jc w:val="left"/>
              <w:rPr>
                <w:rFonts w:cs="Arial"/>
                <w:bCs/>
                <w:color w:val="000000"/>
                <w:sz w:val="20"/>
                <w:szCs w:val="20"/>
              </w:rPr>
            </w:pPr>
            <w:r>
              <w:rPr>
                <w:rFonts w:cs="Arial"/>
                <w:bCs/>
                <w:iCs/>
                <w:color w:val="000000"/>
                <w:sz w:val="20"/>
                <w:szCs w:val="20"/>
              </w:rPr>
              <w:t>Smart Equipment Incentives (GNI)</w:t>
            </w:r>
          </w:p>
        </w:tc>
        <w:tc>
          <w:tcPr>
            <w:tcW w:w="1440"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GNI</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7.6%</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7.1%</w:t>
            </w:r>
          </w:p>
        </w:tc>
        <w:tc>
          <w:tcPr>
            <w:tcW w:w="1617" w:type="dxa"/>
            <w:shd w:val="clear" w:color="auto" w:fill="auto"/>
            <w:noWrap/>
            <w:vAlign w:val="center"/>
          </w:tcPr>
          <w:p w:rsidR="00756E99" w:rsidRPr="002E6FF8" w:rsidRDefault="00756E99" w:rsidP="005C1352">
            <w:pPr>
              <w:jc w:val="center"/>
              <w:rPr>
                <w:color w:val="000000"/>
                <w:sz w:val="20"/>
                <w:szCs w:val="20"/>
              </w:rPr>
            </w:pPr>
            <w:r>
              <w:rPr>
                <w:color w:val="000000"/>
                <w:sz w:val="20"/>
                <w:szCs w:val="20"/>
              </w:rPr>
              <w:t>10.5%</w:t>
            </w:r>
          </w:p>
        </w:tc>
      </w:tr>
      <w:tr w:rsidR="00E7173E" w:rsidRPr="00E65C44" w:rsidTr="008F60E1">
        <w:trPr>
          <w:trHeight w:val="302"/>
          <w:jc w:val="center"/>
        </w:trPr>
        <w:tc>
          <w:tcPr>
            <w:tcW w:w="9342" w:type="dxa"/>
            <w:gridSpan w:val="5"/>
            <w:shd w:val="clear" w:color="auto" w:fill="448A99"/>
            <w:vAlign w:val="center"/>
          </w:tcPr>
          <w:p w:rsidR="00756E99" w:rsidRPr="008A5E9E" w:rsidRDefault="00756E99" w:rsidP="005C1352">
            <w:pPr>
              <w:jc w:val="left"/>
              <w:rPr>
                <w:color w:val="FFFFFF"/>
                <w:sz w:val="18"/>
                <w:szCs w:val="20"/>
              </w:rPr>
            </w:pPr>
            <w:r w:rsidRPr="008A5E9E">
              <w:rPr>
                <w:color w:val="FFFFFF"/>
                <w:sz w:val="18"/>
                <w:szCs w:val="20"/>
              </w:rPr>
              <w:t>NOTES</w:t>
            </w:r>
          </w:p>
          <w:p w:rsidR="00756E99" w:rsidRPr="00E65C44" w:rsidRDefault="00756E99" w:rsidP="005C1352">
            <w:pPr>
              <w:jc w:val="left"/>
              <w:rPr>
                <w:color w:val="000000"/>
                <w:sz w:val="18"/>
                <w:szCs w:val="20"/>
              </w:rPr>
            </w:pPr>
            <w:r w:rsidRPr="008A5E9E">
              <w:rPr>
                <w:color w:val="FFFFFF"/>
                <w:sz w:val="18"/>
                <w:szCs w:val="20"/>
              </w:rPr>
              <w:t>[a] PECO’s PY6 annual report shows line losses as a multiplier. SWE has converted to a</w:t>
            </w:r>
            <w:r w:rsidR="00905D02">
              <w:rPr>
                <w:color w:val="FFFFFF"/>
                <w:sz w:val="18"/>
                <w:szCs w:val="20"/>
              </w:rPr>
              <w:t>n</w:t>
            </w:r>
            <w:r w:rsidRPr="008A5E9E">
              <w:rPr>
                <w:color w:val="FFFFFF"/>
                <w:sz w:val="18"/>
                <w:szCs w:val="20"/>
              </w:rPr>
              <w:t xml:space="preserve"> LLF for consistency in reporting across EDCs.</w:t>
            </w:r>
          </w:p>
        </w:tc>
      </w:tr>
    </w:tbl>
    <w:p w:rsidR="00756E99" w:rsidRDefault="00756E99" w:rsidP="00756E99"/>
    <w:p w:rsidR="00756E99" w:rsidRPr="008A5E9E" w:rsidRDefault="00756E99" w:rsidP="00756E99">
      <w:pPr>
        <w:rPr>
          <w:highlight w:val="lightGray"/>
        </w:rPr>
      </w:pPr>
      <w:r w:rsidRPr="00830ECF">
        <w:t>PECO’s TRC model assigned a</w:t>
      </w:r>
      <w:r>
        <w:t>n</w:t>
      </w:r>
      <w:r w:rsidRPr="00830ECF">
        <w:t xml:space="preserve"> EUL to each measure listed in the TRC model. The </w:t>
      </w:r>
      <w:r>
        <w:t>PA</w:t>
      </w:r>
      <w:r w:rsidRPr="00830ECF">
        <w:t xml:space="preserve"> TRM is provided as the direct source for </w:t>
      </w:r>
      <w:r>
        <w:t>a large majority</w:t>
      </w:r>
      <w:r w:rsidRPr="00830ECF">
        <w:t xml:space="preserve"> of the measures. </w:t>
      </w:r>
      <w:r w:rsidRPr="00485F75">
        <w:t xml:space="preserve">For the remaining measures, measure lives were </w:t>
      </w:r>
      <w:r>
        <w:t xml:space="preserve">typically </w:t>
      </w:r>
      <w:r w:rsidR="00905D02">
        <w:t>cited from the PECO EE&amp;C p</w:t>
      </w:r>
      <w:r w:rsidRPr="00485F75">
        <w:t>lan</w:t>
      </w:r>
      <w:r w:rsidRPr="00353917">
        <w:t>. The SWE Team spot-checked the measure lives in the PECO TRC model</w:t>
      </w:r>
      <w:r>
        <w:t>. While no new inconsistencies were found, the SWE notes that a previous deviation from the TRM</w:t>
      </w:r>
      <w:r w:rsidRPr="00353917">
        <w:t xml:space="preserve"> identified </w:t>
      </w:r>
      <w:r>
        <w:t>in the SWE PY6 annual report remains in the PECO PY7 TRC model</w:t>
      </w:r>
      <w:r w:rsidRPr="00353917">
        <w:t xml:space="preserve">. “Refrigeration – Floating Head Pressure Controls” </w:t>
      </w:r>
      <w:r>
        <w:t>is</w:t>
      </w:r>
      <w:r w:rsidRPr="00353917">
        <w:t xml:space="preserve"> included in </w:t>
      </w:r>
      <w:r>
        <w:t>S</w:t>
      </w:r>
      <w:r w:rsidRPr="00353917">
        <w:t>ection 3.5</w:t>
      </w:r>
      <w:r>
        <w:t>.5</w:t>
      </w:r>
      <w:r w:rsidRPr="00353917">
        <w:t xml:space="preserve"> </w:t>
      </w:r>
      <w:r>
        <w:t>of the 2015</w:t>
      </w:r>
      <w:r w:rsidRPr="00353917">
        <w:t xml:space="preserve"> TRM with a deemed EUL of 15 years. The </w:t>
      </w:r>
      <w:r>
        <w:t xml:space="preserve">PECO </w:t>
      </w:r>
      <w:r w:rsidRPr="00353917">
        <w:t>TRC model applies a 10</w:t>
      </w:r>
      <w:r>
        <w:t>-</w:t>
      </w:r>
      <w:r w:rsidRPr="00353917">
        <w:t xml:space="preserve">year EUL for the same measure. The SWE recommends that PECO </w:t>
      </w:r>
      <w:r>
        <w:t xml:space="preserve">continue to </w:t>
      </w:r>
      <w:r w:rsidRPr="00353917">
        <w:t xml:space="preserve">update the TRC </w:t>
      </w:r>
      <w:r>
        <w:t xml:space="preserve">model </w:t>
      </w:r>
      <w:r w:rsidRPr="00353917">
        <w:t>annually to accurately align with the appropriate TRM</w:t>
      </w:r>
      <w:r>
        <w:t xml:space="preserve"> and prior year SWE recommendations</w:t>
      </w:r>
      <w:r w:rsidRPr="00353917">
        <w:t>, where applicable.</w:t>
      </w:r>
    </w:p>
    <w:p w:rsidR="00756E99" w:rsidRPr="008A5E9E" w:rsidRDefault="00756E99" w:rsidP="00756E99">
      <w:pPr>
        <w:rPr>
          <w:highlight w:val="lightGray"/>
        </w:rPr>
      </w:pPr>
    </w:p>
    <w:p w:rsidR="00756E99" w:rsidRPr="008A5E9E" w:rsidRDefault="00756E99" w:rsidP="00756E99">
      <w:pPr>
        <w:rPr>
          <w:highlight w:val="lightGray"/>
        </w:rPr>
      </w:pPr>
      <w:r w:rsidRPr="00830ECF">
        <w:t>The model applied incremental costs at the measure level, listi</w:t>
      </w:r>
      <w:r>
        <w:t xml:space="preserve">ng sources clearly in the model. </w:t>
      </w:r>
      <w:r w:rsidRPr="00830ECF">
        <w:t xml:space="preserve">The majority of the </w:t>
      </w:r>
      <w:r w:rsidR="00905D02">
        <w:t>values came from the PECO EE&amp;C p</w:t>
      </w:r>
      <w:r w:rsidRPr="00830ECF">
        <w:t xml:space="preserve">lan, with supplemental data sourced from the SWE </w:t>
      </w:r>
      <w:r>
        <w:t xml:space="preserve">measure </w:t>
      </w:r>
      <w:r w:rsidRPr="00830ECF">
        <w:t>cost database and PECO’s tracking data</w:t>
      </w:r>
      <w:r w:rsidRPr="00BC0CAC">
        <w:t>. Appendix B of</w:t>
      </w:r>
      <w:r>
        <w:t xml:space="preserve"> the PECO PY7 annual report provided detailed cost and source information for instances where the measure costs were not derived from the SWE incremental cost database or the PECO EE&amp;C </w:t>
      </w:r>
      <w:r w:rsidR="00905D02">
        <w:t>p</w:t>
      </w:r>
      <w:r>
        <w:t>lan.</w:t>
      </w:r>
    </w:p>
    <w:p w:rsidR="00756E99" w:rsidRPr="008A5E9E" w:rsidRDefault="00756E99" w:rsidP="00756E99">
      <w:pPr>
        <w:rPr>
          <w:highlight w:val="lightGray"/>
        </w:rPr>
      </w:pPr>
    </w:p>
    <w:p w:rsidR="00756E99" w:rsidRDefault="00756E99" w:rsidP="00756E99">
      <w:r w:rsidRPr="002867F2">
        <w:t xml:space="preserve">The PECO TRC model drew the energy and demand impacts from </w:t>
      </w:r>
      <w:r>
        <w:t xml:space="preserve">PECO’s </w:t>
      </w:r>
      <w:r w:rsidRPr="002867F2">
        <w:t>tracking database, which used TRM-specified values and equations to assign ex ante annual savings values to completed measures. The TRC model analysis was based on ex post verified savings, and program impacts were adjusted by an applicable realization rate. Navigant determined realization rates at the program level, with separate realization rates applied to energy and demand impacts. The TRC model extends the ex post verified savings over the effective measure life and summed, by year, for each program</w:t>
      </w:r>
      <w:r w:rsidRPr="0065134E">
        <w:t xml:space="preserve">. </w:t>
      </w:r>
    </w:p>
    <w:p w:rsidR="00756E99" w:rsidRDefault="00756E99" w:rsidP="00756E99"/>
    <w:p w:rsidR="00756E99" w:rsidRPr="00756E99" w:rsidRDefault="002B2C7A" w:rsidP="00756E99">
      <w:r w:rsidRPr="00315229">
        <w:t>The SWE found small differences in verified energy and demand savings in the PECO TRC model and the verified energy and demand savings by program in progra</w:t>
      </w:r>
      <w:r>
        <w:t>m tracking databases and the PY7</w:t>
      </w:r>
      <w:r w:rsidRPr="00315229">
        <w:t xml:space="preserve"> annual report. There were small differences between verified </w:t>
      </w:r>
      <w:r>
        <w:t xml:space="preserve">energy </w:t>
      </w:r>
      <w:r w:rsidRPr="00315229">
        <w:t xml:space="preserve">savings in the PECO TRC and the verified </w:t>
      </w:r>
      <w:r>
        <w:t xml:space="preserve">energy </w:t>
      </w:r>
      <w:r w:rsidRPr="00315229">
        <w:t xml:space="preserve">savings from program tracking databases in </w:t>
      </w:r>
      <w:r>
        <w:t>two programs:</w:t>
      </w:r>
      <w:r w:rsidRPr="00315229">
        <w:t xml:space="preserve"> Smart Home Rebates and Smart </w:t>
      </w:r>
      <w:r>
        <w:t>Appliance Recycling</w:t>
      </w:r>
      <w:r w:rsidRPr="00315229">
        <w:t xml:space="preserve">.  </w:t>
      </w:r>
      <w:r>
        <w:t>Overall, the modeled portfolio energy savings in the TRC model were approximately 200 MWh/yr less than the PY7 verified energy savings from the annual report. For demand savings, there was a 0.6 MW difference between the demand savings for Smart Multi-Family Solutions in the PECO PY7 Annual Report compared to the PECO TRC model. These differences are less than 1% of the total portfolio verified energy savings and have an insignificant impact on the portfolio benefits and TRC ratios.</w:t>
      </w:r>
      <w:r w:rsidR="00756E99" w:rsidRPr="00756E99">
        <w:t xml:space="preserve"> </w:t>
      </w:r>
    </w:p>
    <w:p w:rsidR="00756E99" w:rsidRPr="00756E99" w:rsidRDefault="00756E99" w:rsidP="00756E99"/>
    <w:p w:rsidR="00756E99" w:rsidRDefault="00756E99" w:rsidP="00756E99">
      <w:r>
        <w:t>In PY7, the 2015 TRM instructs</w:t>
      </w:r>
      <w:r w:rsidRPr="00A05319">
        <w:t xml:space="preserve"> EDCs to account for dual baselines with regard to T12 linear fluorescent replacements. The dual baseline adjustment impacts the lifetime energy and demand savings of measures but </w:t>
      </w:r>
      <w:r>
        <w:t>did</w:t>
      </w:r>
      <w:r w:rsidRPr="00A05319">
        <w:t xml:space="preserve"> not i</w:t>
      </w:r>
      <w:r>
        <w:t>mpact first-year savings for PY7</w:t>
      </w:r>
      <w:r w:rsidRPr="00A05319">
        <w:t>. EDCs may choose to reflect the dual baselines either by applying savings adjustment factors or by reducing the EUL to adjust lifetime savings.</w:t>
      </w:r>
      <w:r>
        <w:t xml:space="preserve"> The PECO TRC model uses an adjusted EUL to account for the dual baseline measures and is consistent with the 2015 PA TRM guidance on the issue of dual baselines.</w:t>
      </w:r>
    </w:p>
    <w:p w:rsidR="00756E99" w:rsidRDefault="00756E99" w:rsidP="00756E99"/>
    <w:p w:rsidR="00950837" w:rsidRDefault="00950837" w:rsidP="00D34B3E">
      <w:pPr>
        <w:pStyle w:val="AppendixAHeading3"/>
      </w:pPr>
      <w:r>
        <w:t>Avoided Cost of Capacity</w:t>
      </w:r>
    </w:p>
    <w:p w:rsidR="00756E99" w:rsidRDefault="00756E99" w:rsidP="00756E99">
      <w:r w:rsidRPr="00756E99">
        <w:t>Consistent with prior Phase II p</w:t>
      </w:r>
      <w:r w:rsidR="00905D02">
        <w:t>rogram years, the PY7 PECO TRC m</w:t>
      </w:r>
      <w:r w:rsidRPr="00756E99">
        <w:t>odels use the Phase II approved avoided costs of energy and capacity.  The PY7 models were updated to select the appropriate PY7 stream of avoided costs.</w:t>
      </w:r>
    </w:p>
    <w:p w:rsidR="00756E99" w:rsidRPr="00756E99" w:rsidRDefault="00756E99" w:rsidP="00756E99">
      <w:r w:rsidRPr="00756E99">
        <w:t xml:space="preserve">  </w:t>
      </w:r>
    </w:p>
    <w:p w:rsidR="00950837" w:rsidRDefault="00950837" w:rsidP="00D34B3E">
      <w:pPr>
        <w:pStyle w:val="AppendixAHeading3"/>
      </w:pPr>
      <w:r>
        <w:t>Conclusions and Recommendations</w:t>
      </w:r>
    </w:p>
    <w:p w:rsidR="00756E99" w:rsidRDefault="00756E99" w:rsidP="00756E99">
      <w:r w:rsidRPr="00C92999">
        <w:t>The PECO TRC model was transparent</w:t>
      </w:r>
      <w:r>
        <w:t>,</w:t>
      </w:r>
      <w:r w:rsidRPr="00C92999">
        <w:t xml:space="preserve"> and the SWE observed no significant changes in the TRC model </w:t>
      </w:r>
      <w:r>
        <w:t>during Phase II</w:t>
      </w:r>
      <w:r w:rsidRPr="00C92999">
        <w:t>. The SWE Team determined that the PECO TRC model provided</w:t>
      </w:r>
      <w:r>
        <w:t xml:space="preserve"> the requested</w:t>
      </w:r>
      <w:r w:rsidRPr="00C92999">
        <w:t xml:space="preserve"> details regarding the determination of financial benefits from energy and demand impacts. </w:t>
      </w:r>
      <w:r w:rsidRPr="0065134E">
        <w:t xml:space="preserve">The SWE review determined that there were </w:t>
      </w:r>
      <w:r>
        <w:t>minor</w:t>
      </w:r>
      <w:r w:rsidRPr="0065134E">
        <w:t xml:space="preserve"> differences (</w:t>
      </w:r>
      <w:r>
        <w:t>less than 1%</w:t>
      </w:r>
      <w:r w:rsidRPr="0065134E">
        <w:t>) between the modeled energy and demand savings and the verified ener</w:t>
      </w:r>
      <w:r>
        <w:t>gy and demand savings in the PY7</w:t>
      </w:r>
      <w:r w:rsidR="00905D02">
        <w:t xml:space="preserve"> annual</w:t>
      </w:r>
      <w:r w:rsidRPr="0065134E">
        <w:t xml:space="preserve"> report</w:t>
      </w:r>
      <w:r>
        <w:t>.</w:t>
      </w:r>
    </w:p>
    <w:p w:rsidR="00756E99" w:rsidRDefault="00756E99" w:rsidP="00756E99"/>
    <w:p w:rsidR="00756E99" w:rsidRDefault="00756E99" w:rsidP="00756E99">
      <w:r w:rsidRPr="00927DF3">
        <w:t>The SWE Team also requests that PECO use the discount rate</w:t>
      </w:r>
      <w:r w:rsidR="00905D02">
        <w:t xml:space="preserve"> approved in its Phase II EE&amp;C p</w:t>
      </w:r>
      <w:r w:rsidRPr="00927DF3">
        <w:t xml:space="preserve">lan </w:t>
      </w:r>
      <w:r>
        <w:t xml:space="preserve">unless an updated factor was </w:t>
      </w:r>
      <w:r w:rsidRPr="00927DF3">
        <w:t xml:space="preserve">approved through an amended plan filing. Although the difference in TRC ratio at the portfolio level is slight, using a 7.6% discount rate rather than the 7.4% discount </w:t>
      </w:r>
      <w:r w:rsidR="00905D02">
        <w:t>rate approved in the PECO EE&amp;C p</w:t>
      </w:r>
      <w:r w:rsidRPr="00927DF3">
        <w:t xml:space="preserve">lan lowers the </w:t>
      </w:r>
      <w:r>
        <w:t>TRC benefits associated with PY7</w:t>
      </w:r>
      <w:r w:rsidRPr="00927DF3">
        <w:t xml:space="preserve"> offerings by approximately $</w:t>
      </w:r>
      <w:r>
        <w:t>5</w:t>
      </w:r>
      <w:r w:rsidRPr="00927DF3">
        <w:t xml:space="preserve"> million</w:t>
      </w:r>
      <w:r>
        <w:t>.</w:t>
      </w:r>
    </w:p>
    <w:p w:rsidR="00756E99" w:rsidRDefault="00756E99" w:rsidP="00756E99"/>
    <w:p w:rsidR="00280EAE" w:rsidRDefault="00280EAE" w:rsidP="00756E99"/>
    <w:p w:rsidR="00280EAE" w:rsidRDefault="00280EAE" w:rsidP="00756E99"/>
    <w:p w:rsidR="00950837" w:rsidRDefault="00950837" w:rsidP="0043541C">
      <w:pPr>
        <w:pStyle w:val="AppendixAHeading2"/>
      </w:pPr>
      <w:r>
        <w:t>Status of Evaluation Activities</w:t>
      </w:r>
    </w:p>
    <w:p w:rsidR="001B5BFF" w:rsidRPr="001B5BFF" w:rsidRDefault="001B5BFF" w:rsidP="001B5BFF">
      <w:r w:rsidRPr="001B5BFF">
        <w:t xml:space="preserve">This section discusses the status of </w:t>
      </w:r>
      <w:r>
        <w:t>PECO’s</w:t>
      </w:r>
      <w:r w:rsidRPr="001B5BFF">
        <w:t xml:space="preserve"> EM&amp;V plans, M&amp;V activities and findings, and process evaluation activities and findings.</w:t>
      </w:r>
    </w:p>
    <w:p w:rsidR="001B5BFF" w:rsidRPr="00280EAE" w:rsidRDefault="001B5BFF" w:rsidP="00280EAE"/>
    <w:p w:rsidR="00950837" w:rsidRDefault="00950837" w:rsidP="00D34B3E">
      <w:pPr>
        <w:pStyle w:val="AppendixAHeading3"/>
      </w:pPr>
      <w:r>
        <w:t>Status of Evaluation, Measurement</w:t>
      </w:r>
      <w:r w:rsidR="00905D02">
        <w:t>,</w:t>
      </w:r>
      <w:r>
        <w:t xml:space="preserve"> and Verification Plans</w:t>
      </w:r>
    </w:p>
    <w:p w:rsidR="009847AC" w:rsidRDefault="009847AC" w:rsidP="009847AC">
      <w:r w:rsidRPr="009847AC">
        <w:t xml:space="preserve">This section discusses the status of </w:t>
      </w:r>
      <w:r>
        <w:t>PECO’s</w:t>
      </w:r>
      <w:r w:rsidRPr="009847AC">
        <w:t xml:space="preserve"> EM&amp;V plans, M&amp;V activities and findings, and process evaluation activities and findings.</w:t>
      </w:r>
    </w:p>
    <w:p w:rsidR="00496A99" w:rsidRDefault="00496A99" w:rsidP="009847AC"/>
    <w:p w:rsidR="00496A99" w:rsidRPr="009472F6" w:rsidRDefault="00496A99" w:rsidP="00496A99">
      <w:pPr>
        <w:pStyle w:val="bullettext"/>
      </w:pPr>
      <w:r w:rsidRPr="009472F6">
        <w:t xml:space="preserve">The standardization of evaluation protocols across EDCs was outlined in the Phase II Evaluation Framework in order to create consistency in evaluation practices across EDCs. The SWE Evaluation Framework that was applicable for PY6 evaluation plans was the </w:t>
      </w:r>
      <w:r>
        <w:t>f</w:t>
      </w:r>
      <w:r w:rsidRPr="009472F6">
        <w:t xml:space="preserve">ramework finalized and published on June 28, 2013. This </w:t>
      </w:r>
      <w:r>
        <w:t>f</w:t>
      </w:r>
      <w:r w:rsidRPr="009472F6">
        <w:t xml:space="preserve">ramework required each EDC to complete an initial evaluation plan for each program in </w:t>
      </w:r>
      <w:r>
        <w:t>its</w:t>
      </w:r>
      <w:r w:rsidRPr="009472F6">
        <w:t xml:space="preserve"> portfolio</w:t>
      </w:r>
      <w:r>
        <w:t>,</w:t>
      </w:r>
      <w:r w:rsidRPr="009472F6">
        <w:t xml:space="preserve"> addressing the following objectives:</w:t>
      </w:r>
    </w:p>
    <w:p w:rsidR="00496A99" w:rsidRPr="008A5E9E" w:rsidRDefault="00496A99" w:rsidP="00E646C9">
      <w:pPr>
        <w:numPr>
          <w:ilvl w:val="0"/>
          <w:numId w:val="87"/>
        </w:numPr>
        <w:spacing w:after="200" w:line="276" w:lineRule="auto"/>
        <w:ind w:left="360"/>
        <w:contextualSpacing/>
        <w:rPr>
          <w:color w:val="000000"/>
          <w:szCs w:val="20"/>
        </w:rPr>
      </w:pPr>
      <w:r w:rsidRPr="008A5E9E">
        <w:rPr>
          <w:color w:val="000000"/>
          <w:szCs w:val="20"/>
        </w:rPr>
        <w:t>Outline gross impact evaluation methodology</w:t>
      </w:r>
    </w:p>
    <w:p w:rsidR="00496A99" w:rsidRPr="008A5E9E" w:rsidRDefault="00496A99" w:rsidP="00E646C9">
      <w:pPr>
        <w:numPr>
          <w:ilvl w:val="0"/>
          <w:numId w:val="87"/>
        </w:numPr>
        <w:spacing w:after="200" w:line="276" w:lineRule="auto"/>
        <w:ind w:left="360"/>
        <w:contextualSpacing/>
        <w:rPr>
          <w:color w:val="000000"/>
          <w:szCs w:val="20"/>
        </w:rPr>
      </w:pPr>
      <w:r w:rsidRPr="008A5E9E">
        <w:rPr>
          <w:color w:val="000000"/>
          <w:szCs w:val="20"/>
        </w:rPr>
        <w:t>Outline NTG analysis methodology</w:t>
      </w:r>
    </w:p>
    <w:p w:rsidR="00496A99" w:rsidRPr="008A5E9E" w:rsidRDefault="00496A99" w:rsidP="00E646C9">
      <w:pPr>
        <w:numPr>
          <w:ilvl w:val="0"/>
          <w:numId w:val="87"/>
        </w:numPr>
        <w:spacing w:after="200" w:line="276" w:lineRule="auto"/>
        <w:ind w:left="360"/>
        <w:contextualSpacing/>
        <w:rPr>
          <w:color w:val="000000"/>
          <w:szCs w:val="20"/>
        </w:rPr>
      </w:pPr>
      <w:r w:rsidRPr="008A5E9E">
        <w:rPr>
          <w:color w:val="000000"/>
          <w:szCs w:val="20"/>
        </w:rPr>
        <w:t>Outline process evaluation methodology</w:t>
      </w:r>
    </w:p>
    <w:p w:rsidR="00496A99" w:rsidRPr="008A5E9E" w:rsidRDefault="00496A99" w:rsidP="00E646C9">
      <w:pPr>
        <w:numPr>
          <w:ilvl w:val="0"/>
          <w:numId w:val="87"/>
        </w:numPr>
        <w:spacing w:after="200" w:line="276" w:lineRule="auto"/>
        <w:ind w:left="360"/>
        <w:contextualSpacing/>
        <w:rPr>
          <w:color w:val="000000"/>
          <w:szCs w:val="20"/>
        </w:rPr>
      </w:pPr>
      <w:r w:rsidRPr="008A5E9E">
        <w:rPr>
          <w:color w:val="000000"/>
          <w:szCs w:val="20"/>
        </w:rPr>
        <w:t>Outline cost-effectiveness evaluation methodology</w:t>
      </w:r>
    </w:p>
    <w:p w:rsidR="00496A99" w:rsidRPr="008A5E9E" w:rsidRDefault="00496A99" w:rsidP="00E646C9">
      <w:pPr>
        <w:numPr>
          <w:ilvl w:val="0"/>
          <w:numId w:val="87"/>
        </w:numPr>
        <w:spacing w:after="200" w:line="276" w:lineRule="auto"/>
        <w:ind w:left="360"/>
        <w:contextualSpacing/>
        <w:rPr>
          <w:color w:val="000000"/>
          <w:szCs w:val="20"/>
        </w:rPr>
      </w:pPr>
      <w:r w:rsidRPr="008A5E9E">
        <w:rPr>
          <w:color w:val="000000"/>
          <w:szCs w:val="20"/>
        </w:rPr>
        <w:t>Propose a time</w:t>
      </w:r>
      <w:r>
        <w:rPr>
          <w:color w:val="000000"/>
          <w:szCs w:val="20"/>
        </w:rPr>
        <w:t xml:space="preserve"> </w:t>
      </w:r>
      <w:r w:rsidRPr="008A5E9E">
        <w:rPr>
          <w:color w:val="000000"/>
          <w:szCs w:val="20"/>
        </w:rPr>
        <w:t>line of evaluation activities</w:t>
      </w:r>
    </w:p>
    <w:p w:rsidR="00496A99" w:rsidRPr="008A5E9E" w:rsidRDefault="00496A99" w:rsidP="00E646C9">
      <w:pPr>
        <w:numPr>
          <w:ilvl w:val="0"/>
          <w:numId w:val="87"/>
        </w:numPr>
        <w:ind w:left="360"/>
        <w:rPr>
          <w:color w:val="000000"/>
          <w:szCs w:val="20"/>
        </w:rPr>
      </w:pPr>
      <w:r w:rsidRPr="008A5E9E">
        <w:rPr>
          <w:color w:val="000000"/>
          <w:szCs w:val="20"/>
        </w:rPr>
        <w:t>Establish key program contacts</w:t>
      </w:r>
    </w:p>
    <w:p w:rsidR="00496A99" w:rsidRPr="00401F84" w:rsidRDefault="00496A99" w:rsidP="00496A99"/>
    <w:p w:rsidR="00496A99" w:rsidRDefault="00496A99" w:rsidP="00496A99">
      <w:r w:rsidRPr="009472F6">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DD3B6D" w:rsidRDefault="00DD3B6D" w:rsidP="00DD3B6D">
      <w:pPr>
        <w:pStyle w:val="bullettext"/>
        <w:spacing w:after="0"/>
      </w:pPr>
    </w:p>
    <w:p w:rsidR="00DD3B6D" w:rsidRPr="008A5E9E" w:rsidRDefault="00791B40" w:rsidP="00DD3B6D">
      <w:pPr>
        <w:pStyle w:val="bullettext"/>
        <w:spacing w:after="0"/>
        <w:rPr>
          <w:color w:val="000000"/>
        </w:rPr>
      </w:pPr>
      <w:r>
        <w:rPr>
          <w:color w:val="000000"/>
        </w:rPr>
        <w:fldChar w:fldCharType="begin"/>
      </w:r>
      <w:r>
        <w:rPr>
          <w:color w:val="000000"/>
        </w:rPr>
        <w:instrText xml:space="preserve"> REF _Ref472359518 \h </w:instrText>
      </w:r>
      <w:r>
        <w:rPr>
          <w:color w:val="000000"/>
        </w:rPr>
      </w:r>
      <w:r>
        <w:rPr>
          <w:color w:val="000000"/>
        </w:rPr>
        <w:fldChar w:fldCharType="separate"/>
      </w:r>
      <w:r w:rsidR="00C301D0">
        <w:t>Table A-</w:t>
      </w:r>
      <w:r w:rsidR="00C301D0">
        <w:rPr>
          <w:noProof/>
        </w:rPr>
        <w:t>107</w:t>
      </w:r>
      <w:r>
        <w:rPr>
          <w:color w:val="000000"/>
        </w:rPr>
        <w:fldChar w:fldCharType="end"/>
      </w:r>
      <w:r>
        <w:rPr>
          <w:color w:val="000000"/>
        </w:rPr>
        <w:t xml:space="preserve"> </w:t>
      </w:r>
      <w:r w:rsidR="00DD3B6D" w:rsidRPr="008A5E9E">
        <w:rPr>
          <w:color w:val="000000"/>
        </w:rPr>
        <w:t>displays key milestones completed</w:t>
      </w:r>
      <w:r w:rsidR="00DD3B6D">
        <w:rPr>
          <w:color w:val="000000"/>
        </w:rPr>
        <w:t xml:space="preserve"> </w:t>
      </w:r>
      <w:r w:rsidR="00DD3B6D" w:rsidRPr="009472F6">
        <w:t xml:space="preserve">by </w:t>
      </w:r>
      <w:r w:rsidR="00DD3B6D">
        <w:t>PECO</w:t>
      </w:r>
      <w:r w:rsidR="00DD3B6D" w:rsidRPr="009472F6">
        <w:t xml:space="preserve"> and the SWE</w:t>
      </w:r>
      <w:r w:rsidR="00DD3B6D">
        <w:rPr>
          <w:color w:val="000000"/>
        </w:rPr>
        <w:t xml:space="preserve"> for the company’s Phase II EM&amp;V Plan</w:t>
      </w:r>
      <w:r w:rsidR="00DD3B6D" w:rsidRPr="008A5E9E">
        <w:rPr>
          <w:color w:val="000000"/>
        </w:rPr>
        <w:t>.</w:t>
      </w:r>
    </w:p>
    <w:p w:rsidR="00DD3B6D" w:rsidRPr="008A5E9E" w:rsidRDefault="00DD3B6D" w:rsidP="00DD3B6D">
      <w:pPr>
        <w:pStyle w:val="bullettext"/>
        <w:spacing w:after="0"/>
        <w:rPr>
          <w:color w:val="000000"/>
          <w:highlight w:val="cyan"/>
        </w:rPr>
      </w:pPr>
    </w:p>
    <w:p w:rsidR="00DD3B6D" w:rsidRPr="00362FC4" w:rsidRDefault="00791B40" w:rsidP="00DD3B6D">
      <w:pPr>
        <w:pStyle w:val="Caption"/>
      </w:pPr>
      <w:bookmarkStart w:id="1106" w:name="_Ref472359518"/>
      <w:bookmarkStart w:id="1107" w:name="_Toc445206245"/>
      <w:bookmarkStart w:id="1108" w:name="_Toc472472516"/>
      <w:bookmarkStart w:id="1109" w:name="_Toc476842222"/>
      <w:r>
        <w:t>Table A-</w:t>
      </w:r>
      <w:fldSimple w:instr=" SEQ Table_A- \* ARABIC ">
        <w:r w:rsidR="00C301D0">
          <w:rPr>
            <w:noProof/>
          </w:rPr>
          <w:t>107</w:t>
        </w:r>
      </w:fldSimple>
      <w:bookmarkEnd w:id="1106"/>
      <w:r>
        <w:t xml:space="preserve">: </w:t>
      </w:r>
      <w:r w:rsidR="00DD3B6D" w:rsidRPr="006624AC">
        <w:t>Key</w:t>
      </w:r>
      <w:r w:rsidR="00DD3B6D">
        <w:t xml:space="preserve"> Milestones Reached for PECO’s Phase II EM&amp;V Plan</w:t>
      </w:r>
      <w:bookmarkEnd w:id="1107"/>
      <w:bookmarkEnd w:id="1108"/>
      <w:bookmarkEnd w:id="1109"/>
    </w:p>
    <w:tbl>
      <w:tblPr>
        <w:tblW w:w="9355" w:type="dxa"/>
        <w:jc w:val="center"/>
        <w:tblLayout w:type="fixed"/>
        <w:tblLook w:val="04A0" w:firstRow="1" w:lastRow="0" w:firstColumn="1" w:lastColumn="0" w:noHBand="0" w:noVBand="1"/>
      </w:tblPr>
      <w:tblGrid>
        <w:gridCol w:w="2065"/>
        <w:gridCol w:w="7290"/>
      </w:tblGrid>
      <w:tr w:rsidR="00E7173E" w:rsidRPr="009A65FD" w:rsidTr="008F60E1">
        <w:trPr>
          <w:cantSplit/>
          <w:trHeight w:val="197"/>
          <w:tblHeader/>
          <w:jc w:val="center"/>
        </w:trPr>
        <w:tc>
          <w:tcPr>
            <w:tcW w:w="2065"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DD3B6D" w:rsidRPr="009A65FD" w:rsidRDefault="00DD3B6D" w:rsidP="008C2D5E">
            <w:pPr>
              <w:jc w:val="left"/>
              <w:rPr>
                <w:b/>
                <w:bCs/>
                <w:color w:val="FFFFFF"/>
                <w:sz w:val="20"/>
                <w:szCs w:val="20"/>
              </w:rPr>
            </w:pPr>
            <w:r>
              <w:rPr>
                <w:b/>
                <w:bCs/>
                <w:color w:val="FFFFFF"/>
                <w:sz w:val="20"/>
                <w:szCs w:val="20"/>
              </w:rPr>
              <w:t>Date</w:t>
            </w:r>
          </w:p>
        </w:tc>
        <w:tc>
          <w:tcPr>
            <w:tcW w:w="7290" w:type="dxa"/>
            <w:tcBorders>
              <w:top w:val="single" w:sz="4" w:space="0" w:color="448A99"/>
              <w:left w:val="nil"/>
              <w:bottom w:val="single" w:sz="4" w:space="0" w:color="448A99"/>
              <w:right w:val="single" w:sz="4" w:space="0" w:color="448A99"/>
            </w:tcBorders>
            <w:shd w:val="clear" w:color="000000" w:fill="448A99"/>
            <w:vAlign w:val="bottom"/>
          </w:tcPr>
          <w:p w:rsidR="00DD3B6D" w:rsidRPr="009A65FD" w:rsidRDefault="00DD3B6D" w:rsidP="008C2D5E">
            <w:pPr>
              <w:jc w:val="left"/>
              <w:rPr>
                <w:b/>
                <w:bCs/>
                <w:color w:val="FFFFFF"/>
                <w:sz w:val="20"/>
                <w:szCs w:val="20"/>
              </w:rPr>
            </w:pPr>
            <w:r>
              <w:rPr>
                <w:b/>
                <w:bCs/>
                <w:color w:val="FFFFFF"/>
                <w:sz w:val="20"/>
                <w:szCs w:val="20"/>
              </w:rPr>
              <w:t>Event</w:t>
            </w:r>
          </w:p>
        </w:tc>
      </w:tr>
      <w:tr w:rsidR="00E7173E" w:rsidRPr="009A65FD" w:rsidTr="008F60E1">
        <w:trPr>
          <w:trHeight w:val="374"/>
          <w:jc w:val="center"/>
        </w:trPr>
        <w:tc>
          <w:tcPr>
            <w:tcW w:w="2065" w:type="dxa"/>
            <w:tcBorders>
              <w:top w:val="nil"/>
              <w:left w:val="single" w:sz="4" w:space="0" w:color="448A99"/>
              <w:bottom w:val="single" w:sz="4" w:space="0" w:color="448A99"/>
              <w:right w:val="single" w:sz="4" w:space="0" w:color="448A99"/>
            </w:tcBorders>
            <w:shd w:val="clear" w:color="auto" w:fill="D2EAF1"/>
            <w:vAlign w:val="center"/>
          </w:tcPr>
          <w:p w:rsidR="00DD3B6D" w:rsidRPr="00234B95" w:rsidRDefault="00DD3B6D" w:rsidP="008C2D5E">
            <w:pPr>
              <w:jc w:val="left"/>
              <w:rPr>
                <w:bCs/>
                <w:color w:val="000000"/>
                <w:sz w:val="20"/>
                <w:szCs w:val="20"/>
              </w:rPr>
            </w:pPr>
            <w:r w:rsidRPr="00234B95">
              <w:rPr>
                <w:sz w:val="20"/>
                <w:szCs w:val="20"/>
              </w:rPr>
              <w:t>August 30, 2013</w:t>
            </w:r>
          </w:p>
        </w:tc>
        <w:tc>
          <w:tcPr>
            <w:tcW w:w="7290" w:type="dxa"/>
            <w:tcBorders>
              <w:top w:val="nil"/>
              <w:left w:val="nil"/>
              <w:bottom w:val="single" w:sz="4" w:space="0" w:color="448A99"/>
              <w:right w:val="single" w:sz="4" w:space="0" w:color="448A99"/>
            </w:tcBorders>
            <w:shd w:val="clear" w:color="auto" w:fill="D2EAF1"/>
            <w:vAlign w:val="center"/>
          </w:tcPr>
          <w:p w:rsidR="00DD3B6D" w:rsidRPr="00234B95" w:rsidRDefault="00DD3B6D" w:rsidP="008C2D5E">
            <w:pPr>
              <w:jc w:val="left"/>
              <w:rPr>
                <w:color w:val="000000"/>
                <w:sz w:val="20"/>
                <w:szCs w:val="20"/>
              </w:rPr>
            </w:pPr>
            <w:r w:rsidRPr="00234B95">
              <w:rPr>
                <w:sz w:val="20"/>
                <w:szCs w:val="20"/>
              </w:rPr>
              <w:t xml:space="preserve">PECO submits first draft of Phase II </w:t>
            </w:r>
            <w:r>
              <w:rPr>
                <w:sz w:val="20"/>
                <w:szCs w:val="20"/>
              </w:rPr>
              <w:t>e</w:t>
            </w:r>
            <w:r w:rsidRPr="00234B95">
              <w:rPr>
                <w:sz w:val="20"/>
                <w:szCs w:val="20"/>
              </w:rPr>
              <w:t xml:space="preserve">valuation </w:t>
            </w:r>
            <w:r>
              <w:rPr>
                <w:sz w:val="20"/>
                <w:szCs w:val="20"/>
              </w:rPr>
              <w:t>p</w:t>
            </w:r>
            <w:r w:rsidRPr="00234B95">
              <w:rPr>
                <w:sz w:val="20"/>
                <w:szCs w:val="20"/>
              </w:rPr>
              <w:t>lan to the PUC and SWE</w:t>
            </w:r>
          </w:p>
        </w:tc>
      </w:tr>
      <w:tr w:rsidR="00E7173E" w:rsidRPr="009A65FD" w:rsidTr="008F60E1">
        <w:trPr>
          <w:trHeight w:val="374"/>
          <w:jc w:val="center"/>
        </w:trPr>
        <w:tc>
          <w:tcPr>
            <w:tcW w:w="2065" w:type="dxa"/>
            <w:tcBorders>
              <w:top w:val="nil"/>
              <w:left w:val="single" w:sz="4" w:space="0" w:color="448A99"/>
              <w:bottom w:val="single" w:sz="4" w:space="0" w:color="448A99"/>
              <w:right w:val="single" w:sz="4" w:space="0" w:color="448A99"/>
            </w:tcBorders>
            <w:shd w:val="clear" w:color="auto" w:fill="auto"/>
            <w:vAlign w:val="center"/>
          </w:tcPr>
          <w:p w:rsidR="00DD3B6D" w:rsidRPr="00234B95" w:rsidRDefault="00DD3B6D" w:rsidP="008C2D5E">
            <w:pPr>
              <w:jc w:val="left"/>
              <w:rPr>
                <w:bCs/>
                <w:color w:val="000000"/>
                <w:sz w:val="20"/>
                <w:szCs w:val="20"/>
                <w:lang w:eastAsia="zh-CN"/>
              </w:rPr>
            </w:pPr>
            <w:r w:rsidRPr="00234B95">
              <w:rPr>
                <w:sz w:val="20"/>
                <w:szCs w:val="20"/>
              </w:rPr>
              <w:t>October 15, 2013</w:t>
            </w:r>
          </w:p>
        </w:tc>
        <w:tc>
          <w:tcPr>
            <w:tcW w:w="7290" w:type="dxa"/>
            <w:tcBorders>
              <w:top w:val="nil"/>
              <w:left w:val="nil"/>
              <w:bottom w:val="single" w:sz="4" w:space="0" w:color="448A99"/>
              <w:right w:val="single" w:sz="4" w:space="0" w:color="448A99"/>
            </w:tcBorders>
            <w:shd w:val="clear" w:color="auto" w:fill="auto"/>
            <w:vAlign w:val="center"/>
          </w:tcPr>
          <w:p w:rsidR="00DD3B6D" w:rsidRPr="00234B95" w:rsidRDefault="00DD3B6D" w:rsidP="008C2D5E">
            <w:pPr>
              <w:jc w:val="left"/>
              <w:rPr>
                <w:color w:val="000000"/>
                <w:sz w:val="20"/>
                <w:szCs w:val="20"/>
              </w:rPr>
            </w:pPr>
            <w:r w:rsidRPr="00234B95">
              <w:rPr>
                <w:sz w:val="20"/>
                <w:szCs w:val="20"/>
              </w:rPr>
              <w:t xml:space="preserve">SWE returns comments on PECO </w:t>
            </w:r>
            <w:r>
              <w:rPr>
                <w:sz w:val="20"/>
                <w:szCs w:val="20"/>
              </w:rPr>
              <w:t>e</w:t>
            </w:r>
            <w:r w:rsidRPr="00234B95">
              <w:rPr>
                <w:sz w:val="20"/>
                <w:szCs w:val="20"/>
              </w:rPr>
              <w:t xml:space="preserve">valuation </w:t>
            </w:r>
            <w:r>
              <w:rPr>
                <w:sz w:val="20"/>
                <w:szCs w:val="20"/>
              </w:rPr>
              <w:t>p</w:t>
            </w:r>
            <w:r w:rsidRPr="00234B95">
              <w:rPr>
                <w:sz w:val="20"/>
                <w:szCs w:val="20"/>
              </w:rPr>
              <w:t>lan to PECO</w:t>
            </w:r>
          </w:p>
        </w:tc>
      </w:tr>
      <w:tr w:rsidR="00E7173E" w:rsidRPr="009A65FD" w:rsidTr="008F60E1">
        <w:trPr>
          <w:trHeight w:val="374"/>
          <w:jc w:val="center"/>
        </w:trPr>
        <w:tc>
          <w:tcPr>
            <w:tcW w:w="2065" w:type="dxa"/>
            <w:tcBorders>
              <w:top w:val="nil"/>
              <w:left w:val="single" w:sz="4" w:space="0" w:color="448A99"/>
              <w:bottom w:val="single" w:sz="4" w:space="0" w:color="448A99"/>
              <w:right w:val="single" w:sz="4" w:space="0" w:color="448A99"/>
            </w:tcBorders>
            <w:shd w:val="clear" w:color="auto" w:fill="D2EAF1"/>
            <w:vAlign w:val="center"/>
          </w:tcPr>
          <w:p w:rsidR="00DD3B6D" w:rsidRPr="00234B95" w:rsidRDefault="00DD3B6D" w:rsidP="008C2D5E">
            <w:pPr>
              <w:jc w:val="left"/>
              <w:rPr>
                <w:bCs/>
                <w:color w:val="000000"/>
                <w:sz w:val="20"/>
                <w:szCs w:val="20"/>
                <w:lang w:eastAsia="zh-CN"/>
              </w:rPr>
            </w:pPr>
            <w:r w:rsidRPr="00234B95">
              <w:rPr>
                <w:sz w:val="20"/>
                <w:szCs w:val="20"/>
              </w:rPr>
              <w:t>November 7, 2013</w:t>
            </w:r>
          </w:p>
        </w:tc>
        <w:tc>
          <w:tcPr>
            <w:tcW w:w="7290" w:type="dxa"/>
            <w:tcBorders>
              <w:top w:val="nil"/>
              <w:left w:val="nil"/>
              <w:bottom w:val="single" w:sz="4" w:space="0" w:color="448A99"/>
              <w:right w:val="single" w:sz="4" w:space="0" w:color="448A99"/>
            </w:tcBorders>
            <w:shd w:val="clear" w:color="auto" w:fill="D2EAF1"/>
            <w:vAlign w:val="center"/>
          </w:tcPr>
          <w:p w:rsidR="00DD3B6D" w:rsidRPr="00234B95" w:rsidRDefault="00DD3B6D" w:rsidP="008C2D5E">
            <w:pPr>
              <w:jc w:val="left"/>
              <w:rPr>
                <w:color w:val="000000"/>
                <w:sz w:val="20"/>
                <w:szCs w:val="20"/>
              </w:rPr>
            </w:pPr>
            <w:r w:rsidRPr="00234B95">
              <w:rPr>
                <w:sz w:val="20"/>
                <w:szCs w:val="20"/>
              </w:rPr>
              <w:t>PECO submits revised EM&amp;V Plan to the PUC and SWE</w:t>
            </w:r>
          </w:p>
        </w:tc>
      </w:tr>
      <w:tr w:rsidR="00E7173E" w:rsidRPr="009A65FD" w:rsidTr="008F60E1">
        <w:trPr>
          <w:trHeight w:val="374"/>
          <w:jc w:val="center"/>
        </w:trPr>
        <w:tc>
          <w:tcPr>
            <w:tcW w:w="2065" w:type="dxa"/>
            <w:tcBorders>
              <w:top w:val="nil"/>
              <w:left w:val="single" w:sz="4" w:space="0" w:color="448A99"/>
              <w:bottom w:val="single" w:sz="4" w:space="0" w:color="448A99"/>
              <w:right w:val="single" w:sz="4" w:space="0" w:color="448A99"/>
            </w:tcBorders>
            <w:shd w:val="clear" w:color="auto" w:fill="auto"/>
            <w:vAlign w:val="center"/>
          </w:tcPr>
          <w:p w:rsidR="00DD3B6D" w:rsidRPr="00234B95" w:rsidRDefault="00DD3B6D" w:rsidP="008C2D5E">
            <w:pPr>
              <w:jc w:val="left"/>
              <w:rPr>
                <w:bCs/>
                <w:color w:val="000000"/>
                <w:sz w:val="20"/>
                <w:szCs w:val="20"/>
                <w:lang w:eastAsia="zh-CN"/>
              </w:rPr>
            </w:pPr>
            <w:r w:rsidRPr="00234B95">
              <w:rPr>
                <w:sz w:val="20"/>
                <w:szCs w:val="20"/>
              </w:rPr>
              <w:t>November 7, 2013</w:t>
            </w:r>
          </w:p>
        </w:tc>
        <w:tc>
          <w:tcPr>
            <w:tcW w:w="7290" w:type="dxa"/>
            <w:tcBorders>
              <w:top w:val="nil"/>
              <w:left w:val="nil"/>
              <w:bottom w:val="single" w:sz="4" w:space="0" w:color="448A99"/>
              <w:right w:val="single" w:sz="4" w:space="0" w:color="448A99"/>
            </w:tcBorders>
            <w:shd w:val="clear" w:color="auto" w:fill="auto"/>
            <w:vAlign w:val="center"/>
          </w:tcPr>
          <w:p w:rsidR="00DD3B6D" w:rsidRPr="00234B95" w:rsidRDefault="00DD3B6D" w:rsidP="008C2D5E">
            <w:pPr>
              <w:jc w:val="left"/>
              <w:rPr>
                <w:color w:val="000000"/>
                <w:sz w:val="20"/>
                <w:szCs w:val="20"/>
              </w:rPr>
            </w:pPr>
            <w:r w:rsidRPr="00234B95">
              <w:rPr>
                <w:sz w:val="20"/>
                <w:szCs w:val="20"/>
              </w:rPr>
              <w:t>SWE approves the revised PECO EM&amp;V Plan</w:t>
            </w:r>
          </w:p>
        </w:tc>
      </w:tr>
      <w:tr w:rsidR="00E7173E" w:rsidRPr="009A65FD" w:rsidTr="008F60E1">
        <w:trPr>
          <w:trHeight w:val="374"/>
          <w:jc w:val="center"/>
        </w:trPr>
        <w:tc>
          <w:tcPr>
            <w:tcW w:w="2065" w:type="dxa"/>
            <w:tcBorders>
              <w:top w:val="nil"/>
              <w:left w:val="single" w:sz="4" w:space="0" w:color="448A99"/>
              <w:bottom w:val="single" w:sz="8" w:space="0" w:color="448A99"/>
              <w:right w:val="single" w:sz="4" w:space="0" w:color="448A99"/>
            </w:tcBorders>
            <w:shd w:val="clear" w:color="auto" w:fill="D2EAF1"/>
            <w:vAlign w:val="center"/>
          </w:tcPr>
          <w:p w:rsidR="00DD3B6D" w:rsidRPr="006624AC" w:rsidRDefault="00DD3B6D" w:rsidP="008C2D5E">
            <w:pPr>
              <w:jc w:val="left"/>
              <w:rPr>
                <w:bCs/>
                <w:color w:val="000000"/>
                <w:sz w:val="20"/>
                <w:szCs w:val="20"/>
              </w:rPr>
            </w:pPr>
            <w:r w:rsidRPr="006624AC">
              <w:rPr>
                <w:sz w:val="20"/>
                <w:szCs w:val="20"/>
              </w:rPr>
              <w:t>June 1, 2014</w:t>
            </w:r>
          </w:p>
        </w:tc>
        <w:tc>
          <w:tcPr>
            <w:tcW w:w="7290" w:type="dxa"/>
            <w:tcBorders>
              <w:top w:val="nil"/>
              <w:left w:val="nil"/>
              <w:bottom w:val="single" w:sz="8" w:space="0" w:color="448A99"/>
              <w:right w:val="single" w:sz="4" w:space="0" w:color="448A99"/>
            </w:tcBorders>
            <w:shd w:val="clear" w:color="auto" w:fill="D2EAF1"/>
            <w:vAlign w:val="center"/>
          </w:tcPr>
          <w:p w:rsidR="00DD3B6D" w:rsidRPr="006624AC" w:rsidRDefault="00DD3B6D" w:rsidP="008C2D5E">
            <w:pPr>
              <w:jc w:val="left"/>
              <w:rPr>
                <w:color w:val="000000"/>
                <w:sz w:val="20"/>
                <w:szCs w:val="20"/>
              </w:rPr>
            </w:pPr>
            <w:r>
              <w:rPr>
                <w:sz w:val="20"/>
                <w:szCs w:val="20"/>
              </w:rPr>
              <w:t>PY</w:t>
            </w:r>
            <w:r w:rsidRPr="006624AC">
              <w:rPr>
                <w:sz w:val="20"/>
                <w:szCs w:val="20"/>
              </w:rPr>
              <w:t>6 starts</w:t>
            </w:r>
          </w:p>
        </w:tc>
      </w:tr>
      <w:tr w:rsidR="00E7173E" w:rsidRPr="009A65FD" w:rsidTr="008F60E1">
        <w:trPr>
          <w:trHeight w:val="374"/>
          <w:jc w:val="center"/>
        </w:trPr>
        <w:tc>
          <w:tcPr>
            <w:tcW w:w="2065" w:type="dxa"/>
            <w:tcBorders>
              <w:top w:val="single" w:sz="8" w:space="0" w:color="448A99"/>
              <w:left w:val="single" w:sz="4" w:space="0" w:color="448A99"/>
              <w:bottom w:val="single" w:sz="4" w:space="0" w:color="448A99"/>
              <w:right w:val="single" w:sz="4" w:space="0" w:color="448A99"/>
            </w:tcBorders>
            <w:shd w:val="clear" w:color="auto" w:fill="FFFFFF"/>
            <w:vAlign w:val="center"/>
          </w:tcPr>
          <w:p w:rsidR="00DD3B6D" w:rsidRPr="006624AC" w:rsidRDefault="00DD3B6D" w:rsidP="008C2D5E">
            <w:pPr>
              <w:jc w:val="left"/>
              <w:rPr>
                <w:sz w:val="20"/>
                <w:szCs w:val="20"/>
              </w:rPr>
            </w:pPr>
            <w:r>
              <w:rPr>
                <w:sz w:val="20"/>
                <w:szCs w:val="20"/>
              </w:rPr>
              <w:t>January 7, 2015</w:t>
            </w:r>
          </w:p>
        </w:tc>
        <w:tc>
          <w:tcPr>
            <w:tcW w:w="7290" w:type="dxa"/>
            <w:tcBorders>
              <w:top w:val="single" w:sz="8" w:space="0" w:color="448A99"/>
              <w:left w:val="nil"/>
              <w:bottom w:val="single" w:sz="4" w:space="0" w:color="448A99"/>
              <w:right w:val="single" w:sz="4" w:space="0" w:color="448A99"/>
            </w:tcBorders>
            <w:shd w:val="clear" w:color="auto" w:fill="FFFFFF"/>
            <w:vAlign w:val="center"/>
          </w:tcPr>
          <w:p w:rsidR="00DD3B6D" w:rsidRPr="006624AC" w:rsidRDefault="00DD3B6D" w:rsidP="008C2D5E">
            <w:pPr>
              <w:jc w:val="left"/>
              <w:rPr>
                <w:sz w:val="20"/>
                <w:szCs w:val="20"/>
              </w:rPr>
            </w:pPr>
            <w:r>
              <w:rPr>
                <w:sz w:val="20"/>
                <w:szCs w:val="20"/>
              </w:rPr>
              <w:t>PECO submits revisions to PECO PY6 EM&amp;V Plans</w:t>
            </w:r>
          </w:p>
        </w:tc>
      </w:tr>
    </w:tbl>
    <w:p w:rsidR="00DD3B6D" w:rsidRPr="008A5E9E" w:rsidRDefault="00DD3B6D" w:rsidP="00DD3B6D">
      <w:pPr>
        <w:pStyle w:val="bullettext"/>
        <w:spacing w:after="0"/>
        <w:rPr>
          <w:color w:val="000000"/>
          <w:highlight w:val="cyan"/>
        </w:rPr>
      </w:pPr>
    </w:p>
    <w:p w:rsidR="00DD3B6D" w:rsidRDefault="00DD3B6D" w:rsidP="00DD3B6D">
      <w:r w:rsidRPr="00E65C44">
        <w:t xml:space="preserve">PECO’s initial EM&amp;V Plan, submitted August 30, 2013, detailed proposed evaluation objectives and activities for 15 programs across two sectors. Key evaluation issues, impact evaluation details, process evaluation details, sampling plans, and key contacts were presented for each of the 15 programs. After reviewing the plan, the SWE Team returned 89 comments to PECO. The SWE’s substantive recommended revisions to the plan are described in Section 5.3.1 of the </w:t>
      </w:r>
      <w:r>
        <w:t>SWE’s PY5 an</w:t>
      </w:r>
      <w:r w:rsidRPr="00E65C44">
        <w:t xml:space="preserve">nual </w:t>
      </w:r>
      <w:r>
        <w:t>r</w:t>
      </w:r>
      <w:r w:rsidRPr="00E65C44">
        <w:t xml:space="preserve">eport to the PUC. </w:t>
      </w:r>
    </w:p>
    <w:p w:rsidR="00DD3B6D" w:rsidRPr="00E65C44" w:rsidRDefault="00DD3B6D" w:rsidP="00DD3B6D"/>
    <w:p w:rsidR="00DD3B6D" w:rsidRDefault="00DD3B6D" w:rsidP="00DD3B6D">
      <w:r w:rsidRPr="00E65C44">
        <w:t xml:space="preserve">The SWE Team reviewed </w:t>
      </w:r>
      <w:r>
        <w:t xml:space="preserve">the </w:t>
      </w:r>
      <w:r w:rsidRPr="00E65C44">
        <w:t>revisions provided by PECO on November 7, 2013 and approved the final Phase II EM&amp;V Plan. The SWE Team’s review of the evaluation activities revealed that the plan was followed appropriately for all EM&amp;V activities occurring in PY5.</w:t>
      </w:r>
    </w:p>
    <w:p w:rsidR="00DD3B6D" w:rsidRPr="00E65C44" w:rsidRDefault="00DD3B6D" w:rsidP="00DD3B6D"/>
    <w:p w:rsidR="00DD3B6D" w:rsidRPr="00324BBD" w:rsidRDefault="00DD3B6D" w:rsidP="00DD3B6D">
      <w:pPr>
        <w:spacing w:after="120"/>
      </w:pPr>
      <w:r w:rsidRPr="00324BBD">
        <w:t xml:space="preserve">PECO submitted </w:t>
      </w:r>
      <w:r>
        <w:t>11</w:t>
      </w:r>
      <w:r w:rsidRPr="00324BBD">
        <w:t xml:space="preserve"> changes to the evaluation plan for PY6</w:t>
      </w:r>
      <w:r>
        <w:t>:</w:t>
      </w:r>
      <w:r w:rsidRPr="00324BBD">
        <w:t xml:space="preserve"> </w:t>
      </w:r>
    </w:p>
    <w:p w:rsidR="00DD3B6D" w:rsidRDefault="00DD3B6D" w:rsidP="00D405A7">
      <w:pPr>
        <w:pStyle w:val="ListParagraph"/>
        <w:numPr>
          <w:ilvl w:val="0"/>
          <w:numId w:val="25"/>
        </w:numPr>
        <w:spacing w:after="120"/>
        <w:contextualSpacing w:val="0"/>
      </w:pPr>
      <w:r>
        <w:t>For the Smart Appliance Recycling program, telephone surveys of secondary market actors were performed as part of the secondary market research.</w:t>
      </w:r>
    </w:p>
    <w:p w:rsidR="00DD3B6D" w:rsidRDefault="00DD3B6D" w:rsidP="00D405A7">
      <w:pPr>
        <w:pStyle w:val="ListParagraph"/>
        <w:numPr>
          <w:ilvl w:val="0"/>
          <w:numId w:val="25"/>
        </w:numPr>
        <w:spacing w:after="120"/>
        <w:contextualSpacing w:val="0"/>
      </w:pPr>
      <w:r w:rsidRPr="00411362">
        <w:t>For the Smart AC Saver program, participant surveys and a gross impact load study were moved from PY6 to PY7. Additionally, a new task of exploring NTG was added to the PY7 activities</w:t>
      </w:r>
      <w:r>
        <w:t>.</w:t>
      </w:r>
    </w:p>
    <w:p w:rsidR="00DD3B6D" w:rsidRDefault="00DD3B6D" w:rsidP="00D405A7">
      <w:pPr>
        <w:pStyle w:val="ListParagraph"/>
        <w:numPr>
          <w:ilvl w:val="0"/>
          <w:numId w:val="25"/>
        </w:numPr>
        <w:spacing w:after="120"/>
        <w:contextualSpacing w:val="0"/>
      </w:pPr>
      <w:r>
        <w:t xml:space="preserve">Four program evaluation tasks for lighting measures and one task for non-lighting measures were added to the evaluation plan for the Smart Home Rebates Program. Project data for this program were not examined from a randomly selected set of records to confirm installations of tracking systems in PY6, but were to be examined in PY7. Two additional evaluation activities were conducted for this program in PY6: a web-based survey instrument and price elasticity modeling on sales data. </w:t>
      </w:r>
    </w:p>
    <w:p w:rsidR="00DD3B6D" w:rsidRDefault="00DD3B6D" w:rsidP="00D405A7">
      <w:pPr>
        <w:pStyle w:val="ListParagraph"/>
        <w:numPr>
          <w:ilvl w:val="0"/>
          <w:numId w:val="25"/>
        </w:numPr>
        <w:spacing w:after="120"/>
        <w:contextualSpacing w:val="0"/>
      </w:pPr>
      <w:r>
        <w:t xml:space="preserve">Three program evaluation tasks were added to the Smart House Call (SHC) Program. </w:t>
      </w:r>
      <w:r w:rsidRPr="00493F6B">
        <w:t xml:space="preserve">The PECO evaluation plan submitted to the SWE </w:t>
      </w:r>
      <w:r w:rsidRPr="00C87A3C">
        <w:t xml:space="preserve">before the PY6 program evaluation began </w:t>
      </w:r>
      <w:r w:rsidRPr="00493F6B">
        <w:t>provided that “I</w:t>
      </w:r>
      <w:r>
        <w:t>n PY6 and PY7, the evaluation team will analyze the frequency in which participants have subsequently participated in additional Smart Ideas programs.” Sampling for SHC was changed from an 85/15 to a 90/10 confidence/precision interval for NTG estimation.</w:t>
      </w:r>
    </w:p>
    <w:p w:rsidR="00DD3B6D" w:rsidRDefault="00DD3B6D" w:rsidP="00D405A7">
      <w:pPr>
        <w:pStyle w:val="ListParagraph"/>
        <w:numPr>
          <w:ilvl w:val="0"/>
          <w:numId w:val="25"/>
        </w:numPr>
        <w:spacing w:after="120"/>
        <w:contextualSpacing w:val="0"/>
      </w:pPr>
      <w:r>
        <w:t xml:space="preserve">The evaluation team eliminated on-site verification as an evaluation activity for the Low-Income Energy Efficiency Program. </w:t>
      </w:r>
    </w:p>
    <w:p w:rsidR="00DD3B6D" w:rsidRDefault="00DD3B6D" w:rsidP="00D405A7">
      <w:pPr>
        <w:pStyle w:val="ListParagraph"/>
        <w:numPr>
          <w:ilvl w:val="0"/>
          <w:numId w:val="25"/>
        </w:numPr>
        <w:spacing w:after="120"/>
        <w:contextualSpacing w:val="0"/>
      </w:pPr>
      <w:r>
        <w:t xml:space="preserve">The evaluation team will no longer assess student awareness of energy efficiency for the Smart Energy Saver Program. </w:t>
      </w:r>
      <w:r w:rsidRPr="00C87A3C">
        <w:t>The PECO evaluation plan submitted to the SWE before the PY6 program evaluation began provided that “Teachers will now be interviewed by phone in PY6 for this program.”</w:t>
      </w:r>
    </w:p>
    <w:p w:rsidR="00DD3B6D" w:rsidRDefault="00DD3B6D" w:rsidP="00D405A7">
      <w:pPr>
        <w:pStyle w:val="ListParagraph"/>
        <w:numPr>
          <w:ilvl w:val="0"/>
          <w:numId w:val="25"/>
        </w:numPr>
        <w:spacing w:after="120"/>
        <w:contextualSpacing w:val="0"/>
      </w:pPr>
      <w:r w:rsidRPr="00411362">
        <w:t xml:space="preserve">Three program evaluation activities were added to the Smart Equipment Incentives </w:t>
      </w:r>
      <w:r>
        <w:t xml:space="preserve">Program </w:t>
      </w:r>
      <w:r w:rsidRPr="00411362">
        <w:t>(</w:t>
      </w:r>
      <w:r>
        <w:t>C/I</w:t>
      </w:r>
      <w:r w:rsidRPr="00411362">
        <w:t xml:space="preserve"> and GNI)</w:t>
      </w:r>
      <w:r>
        <w:t>:</w:t>
      </w:r>
      <w:r w:rsidRPr="00411362">
        <w:t xml:space="preserve"> PECO account representative interviews, distributor/supplier in-depth interviews</w:t>
      </w:r>
      <w:r>
        <w:t>,</w:t>
      </w:r>
      <w:r w:rsidRPr="00411362">
        <w:t xml:space="preserve"> and industry</w:t>
      </w:r>
      <w:r>
        <w:t>-</w:t>
      </w:r>
      <w:r w:rsidRPr="00411362">
        <w:t>specific representative organization interviews</w:t>
      </w:r>
      <w:r>
        <w:t>.</w:t>
      </w:r>
    </w:p>
    <w:p w:rsidR="00DD3B6D" w:rsidRDefault="00DD3B6D" w:rsidP="00D405A7">
      <w:pPr>
        <w:pStyle w:val="ListParagraph"/>
        <w:numPr>
          <w:ilvl w:val="0"/>
          <w:numId w:val="25"/>
        </w:numPr>
        <w:spacing w:after="120"/>
        <w:contextualSpacing w:val="0"/>
      </w:pPr>
      <w:r w:rsidRPr="00411362">
        <w:t>In the Smart Business Solutio</w:t>
      </w:r>
      <w:r w:rsidR="00905D02">
        <w:t>ns (SBS) Program, PECO’s EE&amp;C p</w:t>
      </w:r>
      <w:r w:rsidRPr="00411362">
        <w:t xml:space="preserve">lan was revised in March 2014 to change program expenditures to $4.4 million from $8.4 million through Phase II. As a result, the total projected energy savings decreased from 43,867 </w:t>
      </w:r>
      <w:r>
        <w:t>MWh/yr</w:t>
      </w:r>
      <w:r w:rsidRPr="00411362">
        <w:t xml:space="preserve"> to 37,483 </w:t>
      </w:r>
      <w:r>
        <w:t>MWh/yr</w:t>
      </w:r>
      <w:r w:rsidRPr="00411362">
        <w:t xml:space="preserve"> through the end of Phase II</w:t>
      </w:r>
      <w:r>
        <w:t xml:space="preserve">. </w:t>
      </w:r>
    </w:p>
    <w:p w:rsidR="00DD3B6D" w:rsidRDefault="00DD3B6D" w:rsidP="00D405A7">
      <w:pPr>
        <w:pStyle w:val="ListParagraph"/>
        <w:numPr>
          <w:ilvl w:val="0"/>
          <w:numId w:val="25"/>
        </w:numPr>
        <w:spacing w:after="120"/>
        <w:contextualSpacing w:val="0"/>
      </w:pPr>
      <w:r w:rsidRPr="00411362">
        <w:t>A survey of a sample of program participants was completed in PY5 as planned</w:t>
      </w:r>
      <w:r>
        <w:t>,</w:t>
      </w:r>
      <w:r w:rsidRPr="00411362">
        <w:t xml:space="preserve"> and survey results were presented in PECO’s PY5 </w:t>
      </w:r>
      <w:r>
        <w:t>a</w:t>
      </w:r>
      <w:r w:rsidRPr="00411362">
        <w:t xml:space="preserve">nnual </w:t>
      </w:r>
      <w:r>
        <w:t>r</w:t>
      </w:r>
      <w:r w:rsidRPr="00411362">
        <w:t>eport to the PUC. PECO’s original evaluation plan called for a survey of non-participants. In PY6 PECO field</w:t>
      </w:r>
      <w:r>
        <w:t>ed</w:t>
      </w:r>
      <w:r w:rsidRPr="00411362">
        <w:t xml:space="preserve"> an online survey for partial participants (partial participants received an audit but didn’t install measures) and non-participants (refused the audit) to understand their barriers. However, due to changes in program implementation </w:t>
      </w:r>
      <w:r>
        <w:t>that</w:t>
      </w:r>
      <w:r w:rsidRPr="00411362">
        <w:t xml:space="preserve"> provided services only to customers requesting to participate, there was no participation in those surveys</w:t>
      </w:r>
      <w:r>
        <w:t>.</w:t>
      </w:r>
    </w:p>
    <w:p w:rsidR="00DD3B6D" w:rsidRDefault="00DD3B6D" w:rsidP="00D405A7">
      <w:pPr>
        <w:numPr>
          <w:ilvl w:val="0"/>
          <w:numId w:val="25"/>
        </w:numPr>
        <w:rPr>
          <w:szCs w:val="20"/>
        </w:rPr>
      </w:pPr>
      <w:r w:rsidRPr="00411362">
        <w:rPr>
          <w:szCs w:val="20"/>
        </w:rPr>
        <w:t>Two of the program evaluation tasks for SBS were changed in PY6 from PY5.</w:t>
      </w:r>
    </w:p>
    <w:p w:rsidR="00DD3B6D" w:rsidRPr="00411362" w:rsidRDefault="00DD3B6D" w:rsidP="00DD3B6D">
      <w:pPr>
        <w:ind w:left="360"/>
        <w:rPr>
          <w:szCs w:val="20"/>
        </w:rPr>
      </w:pPr>
      <w:r w:rsidRPr="00411362">
        <w:rPr>
          <w:szCs w:val="20"/>
        </w:rPr>
        <w:t xml:space="preserve"> </w:t>
      </w:r>
    </w:p>
    <w:p w:rsidR="00DD3B6D" w:rsidRPr="00EF5064" w:rsidRDefault="00DD3B6D" w:rsidP="00D405A7">
      <w:pPr>
        <w:pStyle w:val="ListParagraph"/>
        <w:numPr>
          <w:ilvl w:val="0"/>
          <w:numId w:val="25"/>
        </w:numPr>
      </w:pPr>
      <w:r w:rsidRPr="00EF5064">
        <w:t xml:space="preserve">New tasks were added to PECO’s PY6 evaluation plan. Telephone verifications were added as a data-collection method for SBS. A meta-review of similar projects across the country was added as a program evaluation task for PY6 to the Smart Multi-Family (SMF) Solutions Program. The categories for SMF </w:t>
      </w:r>
      <w:r>
        <w:t>Solutions changed from SMF, SMF – GNI, and SMF – C/I</w:t>
      </w:r>
      <w:r w:rsidRPr="00EF5064">
        <w:t xml:space="preserve"> to </w:t>
      </w:r>
      <w:r>
        <w:t>r</w:t>
      </w:r>
      <w:r w:rsidRPr="00EF5064">
        <w:t xml:space="preserve">esidential and </w:t>
      </w:r>
      <w:r>
        <w:t>n</w:t>
      </w:r>
      <w:r w:rsidRPr="00EF5064">
        <w:t>on-</w:t>
      </w:r>
      <w:r>
        <w:t>r</w:t>
      </w:r>
      <w:r w:rsidRPr="00EF5064">
        <w:t>esidential. The sample sizes changed along with these changes to the categories. Market research for PY6 was added as a program evaluation task for the Smart On-Site Program.</w:t>
      </w:r>
    </w:p>
    <w:p w:rsidR="00496A99" w:rsidRPr="00280EAE" w:rsidRDefault="00496A99" w:rsidP="00280EAE"/>
    <w:p w:rsidR="00950837" w:rsidRDefault="00950837" w:rsidP="00D34B3E">
      <w:pPr>
        <w:pStyle w:val="AppendixAHeading3"/>
      </w:pPr>
      <w:r>
        <w:t>Measurement and Verification Activities and Findings</w:t>
      </w:r>
    </w:p>
    <w:p w:rsidR="001F2B97" w:rsidRPr="001F2B97" w:rsidRDefault="001F2B97" w:rsidP="001F2B97">
      <w:pPr>
        <w:keepLines/>
        <w:rPr>
          <w:rFonts w:eastAsia="Calibri"/>
        </w:rPr>
      </w:pPr>
      <w:r>
        <w:rPr>
          <w:rFonts w:eastAsia="Calibri"/>
        </w:rPr>
        <w:fldChar w:fldCharType="begin"/>
      </w:r>
      <w:r>
        <w:rPr>
          <w:rFonts w:eastAsia="Calibri"/>
        </w:rPr>
        <w:instrText xml:space="preserve"> REF _Ref472466186 \h </w:instrText>
      </w:r>
      <w:r>
        <w:rPr>
          <w:rFonts w:eastAsia="Calibri"/>
        </w:rPr>
      </w:r>
      <w:r>
        <w:rPr>
          <w:rFonts w:eastAsia="Calibri"/>
        </w:rPr>
        <w:fldChar w:fldCharType="separate"/>
      </w:r>
      <w:r w:rsidR="00C301D0">
        <w:t>Table A-</w:t>
      </w:r>
      <w:r w:rsidR="00C301D0">
        <w:rPr>
          <w:noProof/>
        </w:rPr>
        <w:t>108</w:t>
      </w:r>
      <w:r>
        <w:rPr>
          <w:rFonts w:eastAsia="Calibri"/>
        </w:rPr>
        <w:fldChar w:fldCharType="end"/>
      </w:r>
      <w:r w:rsidRPr="001F2B97">
        <w:rPr>
          <w:rFonts w:eastAsia="Calibri"/>
        </w:rPr>
        <w:t xml:space="preserve"> provides a summary of M&amp;V findings based on activities conducted by Navigant. The summary is based on details provided in PECO’s PY7 annual report and on information obtained from the SWE Team’s data requests and audits. </w:t>
      </w:r>
      <w:r>
        <w:rPr>
          <w:rFonts w:eastAsia="Calibri"/>
        </w:rPr>
        <w:fldChar w:fldCharType="begin"/>
      </w:r>
      <w:r>
        <w:rPr>
          <w:rFonts w:eastAsia="Calibri"/>
        </w:rPr>
        <w:instrText xml:space="preserve"> REF _Ref472466186 \h </w:instrText>
      </w:r>
      <w:r>
        <w:rPr>
          <w:rFonts w:eastAsia="Calibri"/>
        </w:rPr>
      </w:r>
      <w:r>
        <w:rPr>
          <w:rFonts w:eastAsia="Calibri"/>
        </w:rPr>
        <w:fldChar w:fldCharType="separate"/>
      </w:r>
      <w:r w:rsidR="00C301D0">
        <w:t>Table A-</w:t>
      </w:r>
      <w:r w:rsidR="00C301D0">
        <w:rPr>
          <w:noProof/>
        </w:rPr>
        <w:t>108</w:t>
      </w:r>
      <w:r>
        <w:rPr>
          <w:rFonts w:eastAsia="Calibri"/>
        </w:rPr>
        <w:fldChar w:fldCharType="end"/>
      </w:r>
      <w:r w:rsidRPr="001F2B97">
        <w:rPr>
          <w:rFonts w:eastAsia="Calibri"/>
        </w:rPr>
        <w:t xml:space="preserve"> presents realization rates and relative precision values for verified energy and demand savings for each of PECO’s residential and non-residential </w:t>
      </w:r>
      <w:r w:rsidR="00905D02">
        <w:rPr>
          <w:rFonts w:eastAsia="Calibri"/>
        </w:rPr>
        <w:t>energy efficiency</w:t>
      </w:r>
      <w:r w:rsidRPr="001F2B97">
        <w:rPr>
          <w:rFonts w:eastAsia="Calibri"/>
        </w:rPr>
        <w:t xml:space="preserve"> programs for PY7.</w:t>
      </w:r>
    </w:p>
    <w:p w:rsidR="001F2B97" w:rsidRPr="001F2B97" w:rsidRDefault="001F2B97" w:rsidP="001F2B97"/>
    <w:p w:rsidR="001F2B97" w:rsidRPr="001F2B97" w:rsidRDefault="001F2B97" w:rsidP="001F2B97">
      <w:pPr>
        <w:pStyle w:val="Caption"/>
      </w:pPr>
      <w:bookmarkStart w:id="1110" w:name="_Ref472466186"/>
      <w:bookmarkStart w:id="1111" w:name="_Toc472472517"/>
      <w:bookmarkStart w:id="1112" w:name="_Toc476842223"/>
      <w:r>
        <w:t>Table A-</w:t>
      </w:r>
      <w:fldSimple w:instr=" SEQ Table_A- \* ARABIC ">
        <w:r w:rsidR="00C301D0">
          <w:rPr>
            <w:noProof/>
          </w:rPr>
          <w:t>108</w:t>
        </w:r>
      </w:fldSimple>
      <w:bookmarkEnd w:id="1110"/>
      <w:r>
        <w:t xml:space="preserve">: </w:t>
      </w:r>
      <w:r w:rsidRPr="001F2B97">
        <w:t>Realization Rates and Relative Precisions for PECO’s Programs in PY7</w:t>
      </w:r>
      <w:bookmarkEnd w:id="1111"/>
      <w:bookmarkEnd w:id="1112"/>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780"/>
        <w:gridCol w:w="1395"/>
        <w:gridCol w:w="1395"/>
        <w:gridCol w:w="1395"/>
        <w:gridCol w:w="1395"/>
      </w:tblGrid>
      <w:tr w:rsidR="00A874AC" w:rsidRPr="001F2B97" w:rsidTr="00380FF9">
        <w:trPr>
          <w:trHeight w:val="808"/>
          <w:tblHeader/>
          <w:jc w:val="center"/>
        </w:trPr>
        <w:tc>
          <w:tcPr>
            <w:tcW w:w="3780" w:type="dxa"/>
            <w:shd w:val="clear" w:color="auto" w:fill="448A99"/>
            <w:noWrap/>
            <w:vAlign w:val="bottom"/>
            <w:hideMark/>
          </w:tcPr>
          <w:p w:rsidR="00905D02" w:rsidRPr="001F2B97" w:rsidRDefault="00905D02" w:rsidP="00905D02">
            <w:pPr>
              <w:jc w:val="left"/>
              <w:rPr>
                <w:rFonts w:eastAsia="Calibri"/>
                <w:b/>
                <w:color w:val="FFFFFF"/>
                <w:sz w:val="20"/>
                <w:szCs w:val="20"/>
              </w:rPr>
            </w:pPr>
            <w:r w:rsidRPr="001F2B97">
              <w:rPr>
                <w:rFonts w:eastAsia="Calibri"/>
                <w:b/>
                <w:color w:val="FFFFFF"/>
                <w:sz w:val="20"/>
                <w:szCs w:val="20"/>
              </w:rPr>
              <w:t>Program</w:t>
            </w:r>
          </w:p>
        </w:tc>
        <w:tc>
          <w:tcPr>
            <w:tcW w:w="1395" w:type="dxa"/>
            <w:shd w:val="clear" w:color="auto" w:fill="448A99"/>
            <w:vAlign w:val="bottom"/>
            <w:hideMark/>
          </w:tcPr>
          <w:p w:rsidR="00905D02" w:rsidRPr="001F2B97" w:rsidRDefault="00905D02" w:rsidP="00905D02">
            <w:pPr>
              <w:jc w:val="center"/>
              <w:rPr>
                <w:rFonts w:eastAsia="Calibri"/>
                <w:b/>
                <w:color w:val="FFFFFF"/>
                <w:sz w:val="20"/>
                <w:szCs w:val="20"/>
              </w:rPr>
            </w:pPr>
            <w:r w:rsidRPr="001F2B97">
              <w:rPr>
                <w:rFonts w:eastAsia="Calibri"/>
                <w:b/>
                <w:color w:val="FFFFFF"/>
                <w:sz w:val="20"/>
                <w:szCs w:val="20"/>
              </w:rPr>
              <w:t>Energy Realization Rate</w:t>
            </w:r>
          </w:p>
        </w:tc>
        <w:tc>
          <w:tcPr>
            <w:tcW w:w="1395" w:type="dxa"/>
            <w:shd w:val="clear" w:color="auto" w:fill="448A99"/>
            <w:vAlign w:val="bottom"/>
            <w:hideMark/>
          </w:tcPr>
          <w:p w:rsidR="00905D02" w:rsidRPr="001F2B97" w:rsidRDefault="00905D02" w:rsidP="00F21F28">
            <w:pPr>
              <w:jc w:val="center"/>
              <w:rPr>
                <w:rFonts w:eastAsia="Calibri"/>
                <w:b/>
                <w:color w:val="FFFFFF"/>
                <w:sz w:val="20"/>
                <w:szCs w:val="20"/>
              </w:rPr>
            </w:pPr>
            <w:r w:rsidRPr="001F2B97">
              <w:rPr>
                <w:rFonts w:eastAsia="Calibri"/>
                <w:b/>
                <w:color w:val="FFFFFF"/>
                <w:sz w:val="20"/>
                <w:szCs w:val="20"/>
              </w:rPr>
              <w:t>Relative Precision (Energy)</w:t>
            </w:r>
          </w:p>
        </w:tc>
        <w:tc>
          <w:tcPr>
            <w:tcW w:w="1395" w:type="dxa"/>
            <w:shd w:val="clear" w:color="auto" w:fill="448A99"/>
            <w:vAlign w:val="bottom"/>
            <w:hideMark/>
          </w:tcPr>
          <w:p w:rsidR="00905D02" w:rsidRPr="001F2B97" w:rsidRDefault="00905D02" w:rsidP="00905D02">
            <w:pPr>
              <w:jc w:val="center"/>
              <w:rPr>
                <w:rFonts w:eastAsia="Calibri"/>
                <w:b/>
                <w:color w:val="FFFFFF"/>
                <w:sz w:val="20"/>
                <w:szCs w:val="20"/>
              </w:rPr>
            </w:pPr>
            <w:r w:rsidRPr="001F2B97">
              <w:rPr>
                <w:rFonts w:eastAsia="Calibri"/>
                <w:b/>
                <w:color w:val="FFFFFF"/>
                <w:sz w:val="20"/>
                <w:szCs w:val="20"/>
              </w:rPr>
              <w:t>Demand Realization Rate</w:t>
            </w:r>
          </w:p>
        </w:tc>
        <w:tc>
          <w:tcPr>
            <w:tcW w:w="1395" w:type="dxa"/>
            <w:shd w:val="clear" w:color="auto" w:fill="448A99"/>
            <w:vAlign w:val="bottom"/>
            <w:hideMark/>
          </w:tcPr>
          <w:p w:rsidR="00905D02" w:rsidRPr="001F2B97" w:rsidRDefault="00905D02" w:rsidP="00F21F28">
            <w:pPr>
              <w:jc w:val="center"/>
              <w:rPr>
                <w:rFonts w:eastAsia="Calibri"/>
                <w:b/>
                <w:color w:val="FFFFFF"/>
                <w:sz w:val="20"/>
                <w:szCs w:val="20"/>
              </w:rPr>
            </w:pPr>
            <w:r w:rsidRPr="001F2B97">
              <w:rPr>
                <w:rFonts w:eastAsia="Calibri"/>
                <w:b/>
                <w:color w:val="FFFFFF"/>
                <w:sz w:val="20"/>
                <w:szCs w:val="20"/>
              </w:rPr>
              <w:t>Relative Precision (Demand)</w:t>
            </w:r>
          </w:p>
        </w:tc>
      </w:tr>
      <w:tr w:rsidR="00A874AC" w:rsidRPr="001F2B97" w:rsidTr="00280EAE">
        <w:trPr>
          <w:trHeight w:val="432"/>
          <w:jc w:val="center"/>
        </w:trPr>
        <w:tc>
          <w:tcPr>
            <w:tcW w:w="3780" w:type="dxa"/>
            <w:shd w:val="clear" w:color="auto" w:fill="D2EAF1"/>
            <w:noWrap/>
          </w:tcPr>
          <w:p w:rsidR="00F21F28" w:rsidRPr="001F2B97" w:rsidRDefault="00F21F28" w:rsidP="00F21F28">
            <w:pPr>
              <w:jc w:val="left"/>
              <w:rPr>
                <w:rFonts w:eastAsia="Calibri"/>
                <w:color w:val="000000"/>
                <w:sz w:val="20"/>
                <w:szCs w:val="20"/>
              </w:rPr>
            </w:pPr>
            <w:r w:rsidRPr="001F2B97">
              <w:rPr>
                <w:rFonts w:eastAsia="Calibri"/>
                <w:sz w:val="20"/>
                <w:szCs w:val="20"/>
              </w:rPr>
              <w:t>Low-Income Energy Efficiency Program</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92%</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0%</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92%</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0%</w:t>
            </w:r>
          </w:p>
        </w:tc>
      </w:tr>
      <w:tr w:rsidR="00F21F28" w:rsidRPr="001F2B97" w:rsidTr="008F60E1">
        <w:trPr>
          <w:trHeight w:val="432"/>
          <w:jc w:val="center"/>
        </w:trPr>
        <w:tc>
          <w:tcPr>
            <w:tcW w:w="3780" w:type="dxa"/>
            <w:shd w:val="clear" w:color="auto" w:fill="auto"/>
            <w:noWrap/>
          </w:tcPr>
          <w:p w:rsidR="00F21F28" w:rsidRPr="001F2B97" w:rsidRDefault="00F21F28" w:rsidP="00F21F28">
            <w:pPr>
              <w:jc w:val="left"/>
              <w:rPr>
                <w:rFonts w:eastAsia="Calibri"/>
                <w:color w:val="000000"/>
                <w:sz w:val="20"/>
                <w:szCs w:val="20"/>
              </w:rPr>
            </w:pPr>
            <w:r w:rsidRPr="001F2B97">
              <w:rPr>
                <w:rFonts w:eastAsia="Calibri"/>
                <w:sz w:val="20"/>
                <w:szCs w:val="20"/>
              </w:rPr>
              <w:t>Smart Appliance Recycling</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95%</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0%</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95%</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0%</w:t>
            </w:r>
          </w:p>
        </w:tc>
      </w:tr>
      <w:tr w:rsidR="00A874AC" w:rsidRPr="001F2B97" w:rsidTr="00280EAE">
        <w:trPr>
          <w:trHeight w:val="432"/>
          <w:jc w:val="center"/>
        </w:trPr>
        <w:tc>
          <w:tcPr>
            <w:tcW w:w="3780" w:type="dxa"/>
            <w:shd w:val="clear" w:color="auto" w:fill="D2EAF1"/>
            <w:noWrap/>
          </w:tcPr>
          <w:p w:rsidR="00F21F28" w:rsidRPr="001F2B97" w:rsidRDefault="00F21F28" w:rsidP="00F21F28">
            <w:pPr>
              <w:jc w:val="left"/>
              <w:rPr>
                <w:rFonts w:eastAsia="Calibri"/>
                <w:color w:val="000000"/>
                <w:sz w:val="20"/>
                <w:szCs w:val="20"/>
              </w:rPr>
            </w:pPr>
            <w:r w:rsidRPr="001F2B97">
              <w:rPr>
                <w:rFonts w:eastAsia="Calibri"/>
                <w:sz w:val="20"/>
                <w:szCs w:val="20"/>
              </w:rPr>
              <w:t>Smart Builder Rebates</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99%</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2%</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76%</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22%</w:t>
            </w:r>
          </w:p>
        </w:tc>
      </w:tr>
      <w:tr w:rsidR="00F21F28" w:rsidRPr="001F2B97" w:rsidTr="008F60E1">
        <w:trPr>
          <w:trHeight w:val="432"/>
          <w:jc w:val="center"/>
        </w:trPr>
        <w:tc>
          <w:tcPr>
            <w:tcW w:w="3780" w:type="dxa"/>
            <w:shd w:val="clear" w:color="auto" w:fill="auto"/>
            <w:noWrap/>
          </w:tcPr>
          <w:p w:rsidR="00F21F28" w:rsidRPr="001F2B97" w:rsidRDefault="00F21F28" w:rsidP="00F21F28">
            <w:pPr>
              <w:jc w:val="left"/>
              <w:rPr>
                <w:rFonts w:eastAsia="Calibri"/>
                <w:color w:val="000000"/>
                <w:sz w:val="20"/>
                <w:szCs w:val="20"/>
              </w:rPr>
            </w:pPr>
            <w:r w:rsidRPr="001F2B97">
              <w:rPr>
                <w:rFonts w:eastAsia="Calibri"/>
                <w:sz w:val="20"/>
                <w:szCs w:val="20"/>
              </w:rPr>
              <w:t>Smart Energy Saver</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87%</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90%</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w:t>
            </w:r>
          </w:p>
        </w:tc>
      </w:tr>
      <w:tr w:rsidR="00A874AC" w:rsidRPr="001F2B97" w:rsidTr="00280EAE">
        <w:trPr>
          <w:trHeight w:val="432"/>
          <w:jc w:val="center"/>
        </w:trPr>
        <w:tc>
          <w:tcPr>
            <w:tcW w:w="3780" w:type="dxa"/>
            <w:shd w:val="clear" w:color="auto" w:fill="D2EAF1"/>
            <w:noWrap/>
          </w:tcPr>
          <w:p w:rsidR="00F21F28" w:rsidRPr="001F2B97" w:rsidRDefault="00F21F28" w:rsidP="00F21F28">
            <w:pPr>
              <w:jc w:val="left"/>
              <w:rPr>
                <w:rFonts w:eastAsia="Calibri"/>
                <w:color w:val="000000"/>
                <w:sz w:val="20"/>
                <w:szCs w:val="20"/>
              </w:rPr>
            </w:pPr>
            <w:r w:rsidRPr="001F2B97">
              <w:rPr>
                <w:rFonts w:eastAsia="Calibri"/>
                <w:sz w:val="20"/>
                <w:szCs w:val="20"/>
              </w:rPr>
              <w:t>Smart Home Rebates</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122%</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4%</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136%</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4%</w:t>
            </w:r>
          </w:p>
        </w:tc>
      </w:tr>
      <w:tr w:rsidR="00F21F28" w:rsidRPr="001F2B97" w:rsidTr="00276F1A">
        <w:trPr>
          <w:trHeight w:val="432"/>
          <w:jc w:val="center"/>
        </w:trPr>
        <w:tc>
          <w:tcPr>
            <w:tcW w:w="3780" w:type="dxa"/>
            <w:shd w:val="clear" w:color="auto" w:fill="auto"/>
            <w:noWrap/>
          </w:tcPr>
          <w:p w:rsidR="00F21F28" w:rsidRPr="001F2B97" w:rsidRDefault="00F21F28" w:rsidP="00F21F28">
            <w:pPr>
              <w:jc w:val="left"/>
              <w:rPr>
                <w:rFonts w:eastAsia="Calibri"/>
                <w:color w:val="000000"/>
                <w:sz w:val="20"/>
                <w:szCs w:val="20"/>
              </w:rPr>
            </w:pPr>
            <w:r w:rsidRPr="001F2B97">
              <w:rPr>
                <w:rFonts w:eastAsia="Calibri"/>
                <w:sz w:val="20"/>
                <w:szCs w:val="20"/>
              </w:rPr>
              <w:t>Smart House Call</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98%</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99%</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w:t>
            </w:r>
          </w:p>
        </w:tc>
      </w:tr>
      <w:tr w:rsidR="00A874AC" w:rsidRPr="001F2B97" w:rsidTr="00280EAE">
        <w:trPr>
          <w:trHeight w:val="432"/>
          <w:jc w:val="center"/>
        </w:trPr>
        <w:tc>
          <w:tcPr>
            <w:tcW w:w="3780" w:type="dxa"/>
            <w:shd w:val="clear" w:color="auto" w:fill="D2EAF1"/>
            <w:noWrap/>
          </w:tcPr>
          <w:p w:rsidR="00F21F28" w:rsidRPr="001F2B97" w:rsidRDefault="00F21F28" w:rsidP="00F21F28">
            <w:pPr>
              <w:jc w:val="left"/>
              <w:rPr>
                <w:rFonts w:eastAsia="Calibri"/>
                <w:color w:val="000000"/>
                <w:sz w:val="20"/>
                <w:szCs w:val="20"/>
              </w:rPr>
            </w:pPr>
            <w:r w:rsidRPr="001F2B97">
              <w:rPr>
                <w:rFonts w:eastAsia="Calibri"/>
                <w:sz w:val="20"/>
                <w:szCs w:val="20"/>
              </w:rPr>
              <w:t xml:space="preserve">Smart Multi-Family Solutions </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90%</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3%</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180%</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3%</w:t>
            </w:r>
          </w:p>
        </w:tc>
      </w:tr>
      <w:tr w:rsidR="00F21F28" w:rsidRPr="001F2B97" w:rsidTr="00276F1A">
        <w:trPr>
          <w:trHeight w:val="432"/>
          <w:jc w:val="center"/>
        </w:trPr>
        <w:tc>
          <w:tcPr>
            <w:tcW w:w="3780" w:type="dxa"/>
            <w:shd w:val="clear" w:color="auto" w:fill="auto"/>
            <w:noWrap/>
          </w:tcPr>
          <w:p w:rsidR="00F21F28" w:rsidRPr="001F2B97" w:rsidRDefault="00F21F28" w:rsidP="00F21F28">
            <w:pPr>
              <w:jc w:val="left"/>
              <w:rPr>
                <w:rFonts w:eastAsia="Calibri"/>
                <w:color w:val="000000"/>
                <w:sz w:val="20"/>
                <w:szCs w:val="20"/>
              </w:rPr>
            </w:pPr>
            <w:r w:rsidRPr="001F2B97">
              <w:rPr>
                <w:rFonts w:eastAsia="Calibri"/>
                <w:sz w:val="20"/>
                <w:szCs w:val="20"/>
              </w:rPr>
              <w:t>Smart Usage Profile</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106%</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0%</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N/A</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N/A</w:t>
            </w:r>
          </w:p>
        </w:tc>
      </w:tr>
      <w:tr w:rsidR="00A874AC" w:rsidRPr="001F2B97" w:rsidTr="00280EAE">
        <w:trPr>
          <w:trHeight w:val="432"/>
          <w:jc w:val="center"/>
        </w:trPr>
        <w:tc>
          <w:tcPr>
            <w:tcW w:w="3780" w:type="dxa"/>
            <w:shd w:val="clear" w:color="auto" w:fill="D2EAF1"/>
            <w:noWrap/>
          </w:tcPr>
          <w:p w:rsidR="00F21F28" w:rsidRPr="001F2B97" w:rsidRDefault="00F21F28" w:rsidP="00F21F28">
            <w:pPr>
              <w:jc w:val="left"/>
              <w:rPr>
                <w:rFonts w:eastAsia="Calibri"/>
                <w:color w:val="000000"/>
                <w:sz w:val="20"/>
                <w:szCs w:val="20"/>
              </w:rPr>
            </w:pPr>
            <w:r w:rsidRPr="001F2B97">
              <w:rPr>
                <w:rFonts w:eastAsia="Calibri"/>
                <w:sz w:val="20"/>
                <w:szCs w:val="20"/>
              </w:rPr>
              <w:t>Smart Business Solutions</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97%</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11%</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97%</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8%</w:t>
            </w:r>
          </w:p>
        </w:tc>
      </w:tr>
      <w:tr w:rsidR="00F21F28" w:rsidRPr="001F2B97" w:rsidTr="00276F1A">
        <w:trPr>
          <w:trHeight w:val="432"/>
          <w:jc w:val="center"/>
        </w:trPr>
        <w:tc>
          <w:tcPr>
            <w:tcW w:w="3780" w:type="dxa"/>
            <w:shd w:val="clear" w:color="auto" w:fill="auto"/>
            <w:noWrap/>
          </w:tcPr>
          <w:p w:rsidR="00F21F28" w:rsidRPr="001F2B97" w:rsidRDefault="00F21F28" w:rsidP="00F21F28">
            <w:pPr>
              <w:jc w:val="left"/>
              <w:rPr>
                <w:rFonts w:eastAsia="Calibri"/>
                <w:color w:val="000000"/>
                <w:sz w:val="20"/>
                <w:szCs w:val="20"/>
              </w:rPr>
            </w:pPr>
            <w:r w:rsidRPr="001F2B97">
              <w:rPr>
                <w:rFonts w:eastAsia="Calibri"/>
                <w:sz w:val="20"/>
                <w:szCs w:val="20"/>
              </w:rPr>
              <w:t>Smart Equipment Incentives - Commercial and Industrial</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100%</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11%</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107%</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17%</w:t>
            </w:r>
          </w:p>
        </w:tc>
      </w:tr>
      <w:tr w:rsidR="00A874AC" w:rsidRPr="001F2B97" w:rsidTr="00280EAE">
        <w:trPr>
          <w:trHeight w:val="432"/>
          <w:jc w:val="center"/>
        </w:trPr>
        <w:tc>
          <w:tcPr>
            <w:tcW w:w="3780" w:type="dxa"/>
            <w:shd w:val="clear" w:color="auto" w:fill="D2EAF1"/>
            <w:noWrap/>
          </w:tcPr>
          <w:p w:rsidR="00F21F28" w:rsidRPr="001F2B97" w:rsidRDefault="00F21F28" w:rsidP="00F21F28">
            <w:pPr>
              <w:jc w:val="left"/>
              <w:rPr>
                <w:rFonts w:eastAsia="Calibri"/>
                <w:color w:val="000000"/>
                <w:sz w:val="20"/>
                <w:szCs w:val="20"/>
              </w:rPr>
            </w:pPr>
            <w:r w:rsidRPr="001F2B97">
              <w:rPr>
                <w:rFonts w:eastAsia="Calibri"/>
                <w:sz w:val="20"/>
                <w:szCs w:val="20"/>
              </w:rPr>
              <w:t>Smart Construction Incentives</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87%</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29%</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72%</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22%</w:t>
            </w:r>
          </w:p>
        </w:tc>
      </w:tr>
      <w:tr w:rsidR="00F21F28" w:rsidRPr="001F2B97" w:rsidTr="00276F1A">
        <w:trPr>
          <w:trHeight w:val="432"/>
          <w:jc w:val="center"/>
        </w:trPr>
        <w:tc>
          <w:tcPr>
            <w:tcW w:w="3780" w:type="dxa"/>
            <w:shd w:val="clear" w:color="auto" w:fill="auto"/>
            <w:noWrap/>
          </w:tcPr>
          <w:p w:rsidR="00F21F28" w:rsidRPr="001F2B97" w:rsidRDefault="00F21F28" w:rsidP="00F21F28">
            <w:pPr>
              <w:jc w:val="left"/>
              <w:rPr>
                <w:rFonts w:eastAsia="Calibri"/>
                <w:color w:val="000000"/>
                <w:sz w:val="20"/>
                <w:szCs w:val="20"/>
              </w:rPr>
            </w:pPr>
            <w:r w:rsidRPr="001F2B97">
              <w:rPr>
                <w:rFonts w:eastAsia="Calibri"/>
                <w:sz w:val="20"/>
                <w:szCs w:val="20"/>
              </w:rPr>
              <w:t>Smart On-Site</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87%</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0%</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86%</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0%</w:t>
            </w:r>
          </w:p>
        </w:tc>
      </w:tr>
      <w:tr w:rsidR="00A874AC" w:rsidRPr="001F2B97" w:rsidTr="00280EAE">
        <w:trPr>
          <w:trHeight w:val="432"/>
          <w:jc w:val="center"/>
        </w:trPr>
        <w:tc>
          <w:tcPr>
            <w:tcW w:w="3780" w:type="dxa"/>
            <w:shd w:val="clear" w:color="auto" w:fill="D2EAF1"/>
            <w:noWrap/>
          </w:tcPr>
          <w:p w:rsidR="00F21F28" w:rsidRPr="001F2B97" w:rsidRDefault="00F21F28" w:rsidP="00F21F28">
            <w:pPr>
              <w:jc w:val="left"/>
              <w:rPr>
                <w:rFonts w:eastAsia="Calibri"/>
                <w:color w:val="000000"/>
                <w:sz w:val="20"/>
                <w:szCs w:val="20"/>
              </w:rPr>
            </w:pPr>
            <w:r w:rsidRPr="001F2B97">
              <w:rPr>
                <w:rFonts w:eastAsia="Calibri"/>
                <w:sz w:val="20"/>
                <w:szCs w:val="20"/>
              </w:rPr>
              <w:t>Smart Equipment Incentives - Government, Nonprofit and Institutional</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99%</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7%</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104%</w:t>
            </w:r>
          </w:p>
        </w:tc>
        <w:tc>
          <w:tcPr>
            <w:tcW w:w="1395" w:type="dxa"/>
            <w:tcBorders>
              <w:top w:val="nil"/>
              <w:left w:val="nil"/>
              <w:bottom w:val="single" w:sz="8" w:space="0" w:color="448A99"/>
              <w:right w:val="single" w:sz="8" w:space="0" w:color="448A99"/>
            </w:tcBorders>
            <w:shd w:val="clear" w:color="000000" w:fill="D2EAF1"/>
            <w:noWrap/>
            <w:vAlign w:val="center"/>
          </w:tcPr>
          <w:p w:rsidR="00F21F28" w:rsidRPr="001F2B97" w:rsidRDefault="00F21F28" w:rsidP="00F21F28">
            <w:pPr>
              <w:jc w:val="center"/>
              <w:rPr>
                <w:rFonts w:eastAsia="Calibri"/>
                <w:color w:val="000000"/>
                <w:sz w:val="20"/>
                <w:szCs w:val="20"/>
              </w:rPr>
            </w:pPr>
            <w:r>
              <w:rPr>
                <w:rFonts w:eastAsia="Calibri"/>
                <w:color w:val="000000"/>
                <w:sz w:val="20"/>
                <w:szCs w:val="20"/>
              </w:rPr>
              <w:t>6%</w:t>
            </w:r>
          </w:p>
        </w:tc>
      </w:tr>
      <w:tr w:rsidR="00F21F28" w:rsidRPr="001F2B97" w:rsidTr="00276F1A">
        <w:trPr>
          <w:trHeight w:val="432"/>
          <w:jc w:val="center"/>
        </w:trPr>
        <w:tc>
          <w:tcPr>
            <w:tcW w:w="3780" w:type="dxa"/>
            <w:shd w:val="clear" w:color="auto" w:fill="auto"/>
            <w:noWrap/>
            <w:vAlign w:val="center"/>
          </w:tcPr>
          <w:p w:rsidR="00F21F28" w:rsidRPr="001F2B97" w:rsidRDefault="00F21F28" w:rsidP="00F21F28">
            <w:pPr>
              <w:jc w:val="left"/>
              <w:rPr>
                <w:rFonts w:eastAsia="Calibri"/>
                <w:sz w:val="20"/>
                <w:szCs w:val="20"/>
              </w:rPr>
            </w:pPr>
            <w:r w:rsidRPr="001F2B97">
              <w:rPr>
                <w:rFonts w:eastAsia="Calibri"/>
                <w:sz w:val="20"/>
                <w:szCs w:val="20"/>
              </w:rPr>
              <w:t>Residential Smart AC Saver</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bCs/>
                <w:iCs/>
                <w:color w:val="000000"/>
                <w:sz w:val="20"/>
                <w:szCs w:val="20"/>
              </w:rPr>
            </w:pPr>
            <w:r>
              <w:rPr>
                <w:color w:val="000000"/>
                <w:sz w:val="20"/>
                <w:szCs w:val="20"/>
              </w:rPr>
              <w:t>0%</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bCs/>
                <w:iCs/>
                <w:color w:val="000000"/>
                <w:sz w:val="20"/>
                <w:szCs w:val="20"/>
              </w:rPr>
            </w:pPr>
            <w:r>
              <w:rPr>
                <w:color w:val="000000"/>
                <w:sz w:val="20"/>
                <w:szCs w:val="20"/>
              </w:rPr>
              <w:t>N/A</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bCs/>
                <w:iCs/>
                <w:color w:val="000000"/>
                <w:sz w:val="20"/>
                <w:szCs w:val="20"/>
              </w:rPr>
            </w:pPr>
            <w:r>
              <w:rPr>
                <w:color w:val="000000"/>
                <w:sz w:val="20"/>
                <w:szCs w:val="20"/>
              </w:rPr>
              <w:t>82%</w:t>
            </w:r>
          </w:p>
        </w:tc>
        <w:tc>
          <w:tcPr>
            <w:tcW w:w="1395" w:type="dxa"/>
            <w:tcBorders>
              <w:top w:val="nil"/>
              <w:left w:val="nil"/>
              <w:bottom w:val="single" w:sz="8" w:space="0" w:color="448A99"/>
              <w:right w:val="single" w:sz="8" w:space="0" w:color="448A99"/>
            </w:tcBorders>
            <w:shd w:val="clear" w:color="auto" w:fill="auto"/>
            <w:noWrap/>
            <w:vAlign w:val="center"/>
          </w:tcPr>
          <w:p w:rsidR="00F21F28" w:rsidRPr="001F2B97" w:rsidRDefault="00F21F28" w:rsidP="00F21F28">
            <w:pPr>
              <w:jc w:val="center"/>
              <w:rPr>
                <w:rFonts w:eastAsia="Calibri"/>
                <w:bCs/>
                <w:iCs/>
                <w:color w:val="000000"/>
                <w:sz w:val="20"/>
                <w:szCs w:val="20"/>
              </w:rPr>
            </w:pPr>
            <w:r>
              <w:rPr>
                <w:color w:val="000000"/>
                <w:sz w:val="20"/>
                <w:szCs w:val="20"/>
              </w:rPr>
              <w:t>0%</w:t>
            </w:r>
          </w:p>
        </w:tc>
      </w:tr>
      <w:tr w:rsidR="00A874AC" w:rsidRPr="001F2B97" w:rsidTr="00280EAE">
        <w:trPr>
          <w:trHeight w:val="432"/>
          <w:jc w:val="center"/>
        </w:trPr>
        <w:tc>
          <w:tcPr>
            <w:tcW w:w="3780" w:type="dxa"/>
            <w:shd w:val="clear" w:color="auto" w:fill="D2EAF1"/>
            <w:noWrap/>
            <w:vAlign w:val="center"/>
          </w:tcPr>
          <w:p w:rsidR="00F21F28" w:rsidRPr="001F2B97" w:rsidRDefault="00F21F28" w:rsidP="00F21F28">
            <w:pPr>
              <w:jc w:val="left"/>
              <w:rPr>
                <w:rFonts w:eastAsia="Calibri"/>
                <w:sz w:val="20"/>
                <w:szCs w:val="20"/>
              </w:rPr>
            </w:pPr>
            <w:r w:rsidRPr="001F2B97">
              <w:rPr>
                <w:rFonts w:eastAsia="Calibri"/>
                <w:sz w:val="20"/>
                <w:szCs w:val="20"/>
              </w:rPr>
              <w:t>Commercial Smart AC Saver</w:t>
            </w:r>
          </w:p>
        </w:tc>
        <w:tc>
          <w:tcPr>
            <w:tcW w:w="1395" w:type="dxa"/>
            <w:tcBorders>
              <w:top w:val="nil"/>
              <w:left w:val="nil"/>
              <w:bottom w:val="nil"/>
              <w:right w:val="single" w:sz="8" w:space="0" w:color="448A99"/>
            </w:tcBorders>
            <w:shd w:val="clear" w:color="000000" w:fill="D2EAF1"/>
            <w:noWrap/>
            <w:vAlign w:val="center"/>
          </w:tcPr>
          <w:p w:rsidR="00F21F28" w:rsidRPr="001F2B97" w:rsidRDefault="00F21F28" w:rsidP="00F21F28">
            <w:pPr>
              <w:jc w:val="center"/>
              <w:rPr>
                <w:rFonts w:eastAsia="Calibri"/>
                <w:bCs/>
                <w:iCs/>
                <w:color w:val="000000"/>
                <w:sz w:val="20"/>
                <w:szCs w:val="20"/>
              </w:rPr>
            </w:pPr>
            <w:r>
              <w:rPr>
                <w:color w:val="000000"/>
                <w:sz w:val="20"/>
                <w:szCs w:val="20"/>
              </w:rPr>
              <w:t>0%</w:t>
            </w:r>
          </w:p>
        </w:tc>
        <w:tc>
          <w:tcPr>
            <w:tcW w:w="1395" w:type="dxa"/>
            <w:tcBorders>
              <w:top w:val="nil"/>
              <w:left w:val="nil"/>
              <w:bottom w:val="nil"/>
              <w:right w:val="single" w:sz="8" w:space="0" w:color="448A99"/>
            </w:tcBorders>
            <w:shd w:val="clear" w:color="000000" w:fill="D2EAF1"/>
            <w:noWrap/>
            <w:vAlign w:val="center"/>
          </w:tcPr>
          <w:p w:rsidR="00F21F28" w:rsidRPr="001F2B97" w:rsidRDefault="00F21F28" w:rsidP="00F21F28">
            <w:pPr>
              <w:jc w:val="center"/>
              <w:rPr>
                <w:rFonts w:eastAsia="Calibri"/>
                <w:bCs/>
                <w:iCs/>
                <w:color w:val="000000"/>
                <w:sz w:val="20"/>
                <w:szCs w:val="20"/>
              </w:rPr>
            </w:pPr>
            <w:r>
              <w:rPr>
                <w:color w:val="000000"/>
                <w:sz w:val="20"/>
                <w:szCs w:val="20"/>
              </w:rPr>
              <w:t>N/A</w:t>
            </w:r>
          </w:p>
        </w:tc>
        <w:tc>
          <w:tcPr>
            <w:tcW w:w="1395" w:type="dxa"/>
            <w:tcBorders>
              <w:top w:val="nil"/>
              <w:left w:val="nil"/>
              <w:bottom w:val="nil"/>
              <w:right w:val="single" w:sz="8" w:space="0" w:color="448A99"/>
            </w:tcBorders>
            <w:shd w:val="clear" w:color="000000" w:fill="D2EAF1"/>
            <w:noWrap/>
            <w:vAlign w:val="center"/>
          </w:tcPr>
          <w:p w:rsidR="00F21F28" w:rsidRPr="001F2B97" w:rsidRDefault="00F21F28" w:rsidP="00F21F28">
            <w:pPr>
              <w:jc w:val="center"/>
              <w:rPr>
                <w:rFonts w:eastAsia="Calibri"/>
                <w:bCs/>
                <w:iCs/>
                <w:color w:val="000000"/>
                <w:sz w:val="20"/>
                <w:szCs w:val="20"/>
              </w:rPr>
            </w:pPr>
            <w:r>
              <w:rPr>
                <w:color w:val="000000"/>
                <w:sz w:val="20"/>
                <w:szCs w:val="20"/>
              </w:rPr>
              <w:t>18%</w:t>
            </w:r>
          </w:p>
        </w:tc>
        <w:tc>
          <w:tcPr>
            <w:tcW w:w="1395" w:type="dxa"/>
            <w:tcBorders>
              <w:top w:val="nil"/>
              <w:left w:val="nil"/>
              <w:bottom w:val="nil"/>
              <w:right w:val="single" w:sz="8" w:space="0" w:color="448A99"/>
            </w:tcBorders>
            <w:shd w:val="clear" w:color="000000" w:fill="D2EAF1"/>
            <w:noWrap/>
            <w:vAlign w:val="center"/>
          </w:tcPr>
          <w:p w:rsidR="00F21F28" w:rsidRPr="001F2B97" w:rsidRDefault="00F21F28" w:rsidP="00F21F28">
            <w:pPr>
              <w:jc w:val="center"/>
              <w:rPr>
                <w:rFonts w:eastAsia="Calibri"/>
                <w:bCs/>
                <w:iCs/>
                <w:color w:val="000000"/>
                <w:sz w:val="20"/>
                <w:szCs w:val="20"/>
              </w:rPr>
            </w:pPr>
            <w:r>
              <w:rPr>
                <w:color w:val="000000"/>
                <w:sz w:val="20"/>
                <w:szCs w:val="20"/>
              </w:rPr>
              <w:t>0%</w:t>
            </w:r>
          </w:p>
        </w:tc>
      </w:tr>
      <w:tr w:rsidR="00A874AC" w:rsidRPr="00B97C91" w:rsidTr="00F21F28">
        <w:trPr>
          <w:trHeight w:val="346"/>
          <w:jc w:val="center"/>
        </w:trPr>
        <w:tc>
          <w:tcPr>
            <w:tcW w:w="3780" w:type="dxa"/>
            <w:shd w:val="clear" w:color="auto" w:fill="448A99"/>
            <w:noWrap/>
            <w:vAlign w:val="center"/>
          </w:tcPr>
          <w:p w:rsidR="00F21F28" w:rsidRPr="00B97C91" w:rsidRDefault="00F21F28" w:rsidP="00F21F28">
            <w:pPr>
              <w:jc w:val="left"/>
              <w:rPr>
                <w:rFonts w:eastAsia="Calibri"/>
                <w:color w:val="FFFFFF" w:themeColor="background1"/>
                <w:sz w:val="20"/>
                <w:szCs w:val="20"/>
              </w:rPr>
            </w:pPr>
            <w:r w:rsidRPr="00B97C91">
              <w:rPr>
                <w:rFonts w:eastAsia="Calibri"/>
                <w:color w:val="FFFFFF" w:themeColor="background1"/>
                <w:sz w:val="20"/>
                <w:szCs w:val="20"/>
              </w:rPr>
              <w:t>NOTE</w:t>
            </w:r>
            <w:r w:rsidR="00B97C91">
              <w:rPr>
                <w:rFonts w:eastAsia="Calibri"/>
                <w:color w:val="FFFFFF" w:themeColor="background1"/>
                <w:sz w:val="20"/>
                <w:szCs w:val="20"/>
              </w:rPr>
              <w:t>S:</w:t>
            </w:r>
          </w:p>
          <w:p w:rsidR="00F21F28" w:rsidRPr="00B97C91" w:rsidRDefault="00F21F28" w:rsidP="00F21F28">
            <w:pPr>
              <w:jc w:val="left"/>
              <w:rPr>
                <w:rFonts w:eastAsia="Calibri"/>
                <w:color w:val="FFFFFF" w:themeColor="background1"/>
                <w:sz w:val="20"/>
                <w:szCs w:val="20"/>
              </w:rPr>
            </w:pPr>
            <w:r w:rsidRPr="00B97C91">
              <w:rPr>
                <w:rFonts w:eastAsia="Calibri"/>
                <w:color w:val="FFFFFF" w:themeColor="background1"/>
                <w:sz w:val="20"/>
                <w:szCs w:val="20"/>
              </w:rPr>
              <w:t>[a] At the 85% precision level</w:t>
            </w:r>
          </w:p>
        </w:tc>
        <w:tc>
          <w:tcPr>
            <w:tcW w:w="1395" w:type="dxa"/>
            <w:tcBorders>
              <w:top w:val="nil"/>
              <w:left w:val="nil"/>
              <w:bottom w:val="single" w:sz="8" w:space="0" w:color="448A99"/>
              <w:right w:val="single" w:sz="8" w:space="0" w:color="448A99"/>
            </w:tcBorders>
            <w:shd w:val="clear" w:color="auto" w:fill="448A99"/>
            <w:noWrap/>
            <w:vAlign w:val="center"/>
          </w:tcPr>
          <w:p w:rsidR="00F21F28" w:rsidRPr="00B97C91" w:rsidRDefault="00F21F28" w:rsidP="00F21F28">
            <w:pPr>
              <w:jc w:val="center"/>
              <w:rPr>
                <w:color w:val="000000"/>
                <w:sz w:val="20"/>
                <w:szCs w:val="20"/>
              </w:rPr>
            </w:pPr>
          </w:p>
        </w:tc>
        <w:tc>
          <w:tcPr>
            <w:tcW w:w="1395" w:type="dxa"/>
            <w:tcBorders>
              <w:top w:val="nil"/>
              <w:left w:val="nil"/>
              <w:bottom w:val="single" w:sz="8" w:space="0" w:color="448A99"/>
              <w:right w:val="single" w:sz="8" w:space="0" w:color="448A99"/>
            </w:tcBorders>
            <w:shd w:val="clear" w:color="auto" w:fill="448A99"/>
            <w:noWrap/>
            <w:vAlign w:val="center"/>
          </w:tcPr>
          <w:p w:rsidR="00F21F28" w:rsidRPr="00B97C91" w:rsidRDefault="00F21F28" w:rsidP="00F21F28">
            <w:pPr>
              <w:jc w:val="center"/>
              <w:rPr>
                <w:color w:val="000000"/>
                <w:sz w:val="20"/>
                <w:szCs w:val="20"/>
              </w:rPr>
            </w:pPr>
          </w:p>
        </w:tc>
        <w:tc>
          <w:tcPr>
            <w:tcW w:w="1395" w:type="dxa"/>
            <w:tcBorders>
              <w:top w:val="nil"/>
              <w:left w:val="nil"/>
              <w:bottom w:val="single" w:sz="8" w:space="0" w:color="448A99"/>
              <w:right w:val="single" w:sz="8" w:space="0" w:color="448A99"/>
            </w:tcBorders>
            <w:shd w:val="clear" w:color="auto" w:fill="448A99"/>
            <w:noWrap/>
            <w:vAlign w:val="center"/>
          </w:tcPr>
          <w:p w:rsidR="00F21F28" w:rsidRPr="00B97C91" w:rsidRDefault="00F21F28" w:rsidP="00F21F28">
            <w:pPr>
              <w:jc w:val="center"/>
              <w:rPr>
                <w:color w:val="000000"/>
                <w:sz w:val="20"/>
                <w:szCs w:val="20"/>
              </w:rPr>
            </w:pPr>
          </w:p>
        </w:tc>
        <w:tc>
          <w:tcPr>
            <w:tcW w:w="1395" w:type="dxa"/>
            <w:tcBorders>
              <w:top w:val="nil"/>
              <w:left w:val="nil"/>
              <w:bottom w:val="single" w:sz="8" w:space="0" w:color="448A99"/>
              <w:right w:val="single" w:sz="8" w:space="0" w:color="448A99"/>
            </w:tcBorders>
            <w:shd w:val="clear" w:color="auto" w:fill="448A99"/>
            <w:noWrap/>
            <w:vAlign w:val="center"/>
          </w:tcPr>
          <w:p w:rsidR="00F21F28" w:rsidRPr="00B97C91" w:rsidRDefault="00F21F28" w:rsidP="00F21F28">
            <w:pPr>
              <w:jc w:val="center"/>
              <w:rPr>
                <w:color w:val="000000"/>
                <w:sz w:val="20"/>
                <w:szCs w:val="20"/>
              </w:rPr>
            </w:pPr>
          </w:p>
        </w:tc>
      </w:tr>
    </w:tbl>
    <w:p w:rsidR="001F2B97" w:rsidRDefault="001F2B97" w:rsidP="001F2B97"/>
    <w:p w:rsidR="00F364D9" w:rsidRDefault="00F364D9" w:rsidP="00F364D9">
      <w:pPr>
        <w:pStyle w:val="AppendixAHeading4"/>
      </w:pPr>
      <w:r>
        <w:t>Residential Energy Efficiency Programs</w:t>
      </w:r>
    </w:p>
    <w:p w:rsidR="00F364D9" w:rsidRDefault="00F364D9" w:rsidP="00F364D9">
      <w:r>
        <w:t>Realization rates for PECO’s residential programs’ energy savings ranged from 87% to 122%. Realization rates for demand reductions from these programs ranged from 76% to 180%. All residential programs met the relative precision requirement established in the Evaluation Framework.</w:t>
      </w:r>
    </w:p>
    <w:p w:rsidR="00F364D9" w:rsidRDefault="00F364D9" w:rsidP="00F364D9"/>
    <w:p w:rsidR="00F364D9" w:rsidRDefault="00F364D9" w:rsidP="00F364D9">
      <w:r>
        <w:t>The Smart AC Saver program uses Digital Control Units (DCU’s) to control a participant’s air conditioning compressor for a pre-determined amount of time during June to September, while allowing the air handler blower to continue to function normally. While Act 129 had no demand target requirements in PY7, PECO maintained the program and achieved a MW reduction of 40.5 MW. Navigant used a per-switch savings calculated from a load study conducted by Comverge in PY5, weather adjusting the results for the PY7 test event days.</w:t>
      </w:r>
    </w:p>
    <w:p w:rsidR="00F364D9" w:rsidRDefault="00F364D9" w:rsidP="00F364D9"/>
    <w:p w:rsidR="00F364D9" w:rsidRDefault="00F364D9" w:rsidP="00F364D9">
      <w:r>
        <w:t>For the Smart Appliance Recycling program, Navigant first completed a census review of the residential units in the program tracking database to verify that the reported savings used the correct 2015 TRM deemed savings for recycled refrigerators and freezers. For verified savings, Navigant applied the PY7 appliance characteristics of age, cubic feet, etc. to the TRM UEC equation to get a more accurate UEC estimation for PY7.</w:t>
      </w:r>
    </w:p>
    <w:p w:rsidR="00F364D9" w:rsidRDefault="00F364D9" w:rsidP="00F364D9"/>
    <w:p w:rsidR="00F364D9" w:rsidRDefault="00F364D9" w:rsidP="00F364D9">
      <w:r>
        <w:t xml:space="preserve">Navigant’s evaluation of the Smart Builder Rebate program involved desk reviews and whole-building modeling. Desk reviews consisted of a review of REM/Rate models and prescriptive measures for compliance with the 2015 TRM. Through the whole-building modeling, Navigant independently calculated energy and demand savings for project homes. </w:t>
      </w:r>
    </w:p>
    <w:p w:rsidR="00F364D9" w:rsidRDefault="00F364D9" w:rsidP="00F364D9"/>
    <w:p w:rsidR="00F364D9" w:rsidRDefault="00F364D9" w:rsidP="00F364D9">
      <w:r>
        <w:t xml:space="preserve">The Smart Home Rebates program consists of both efficient products and upstream lighting. Navigant completed a census review of the program tracking system by comparing the data to savings calculation algorithms in the TRM. For lighting measures, Navigant performed 530 intercept surveys in PY7 to develop estimates of cross-sector sales. The overall realization rates for the program (across all sectors) were 122% for energy savings and 136% for demand savings. </w:t>
      </w:r>
    </w:p>
    <w:p w:rsidR="00F364D9" w:rsidRDefault="00F364D9" w:rsidP="00F364D9"/>
    <w:p w:rsidR="00F364D9" w:rsidRDefault="00F364D9" w:rsidP="00F364D9">
      <w:r>
        <w:t xml:space="preserve">For the evaluation of the Smart House Call program, Navigant used a census review of implementer invoices and the program tracking system to reconstruct energy and demand savings calculations consistent with the 2015 TRM, conducted phone surveys to verify measure installations, and conducted desk audits of a census of participants to verify the accuracy of the program tracking system. The impact evaluation found and corrected small calculation errors in the tracking system associated with air sealing and LED nightlight measures. The adjusted savings, coupled with installation verification telephone surveys, yielded overall program realization rates of 98% for energy and 99% for demand.  </w:t>
      </w:r>
    </w:p>
    <w:p w:rsidR="00F364D9" w:rsidRDefault="00F364D9" w:rsidP="00F364D9"/>
    <w:p w:rsidR="00F364D9" w:rsidRDefault="00F364D9" w:rsidP="00F364D9">
      <w:r>
        <w:t>The Smart Energy Saver program, which provides take-home kits to students, was evaluated via student installation surveys. Using this information, Navigant quantified installation rates for each measure and calculated savings for each measure based on the algorithms in the 2015 TRM. Navigant only updated TRM-defined variables based on installation survey data where permitted by the 2015 TRM.</w:t>
      </w:r>
    </w:p>
    <w:p w:rsidR="00F364D9" w:rsidRDefault="00F364D9" w:rsidP="00F364D9"/>
    <w:p w:rsidR="00F364D9" w:rsidRDefault="00F364D9" w:rsidP="00F364D9">
      <w:r>
        <w:t>Navigant assessed projects from PECO’s Smart Multi-Family Solutions (Residential) Program using a combination of simple file reviews and telephone surveys for a sample of program participants. The evaluation team then conducted on-site visits for a subset of the telephoned sample for enhanced verification. Last, the evaluation team performed a record-by-record review of projects by recalculating the savings estimates using the 2015 TRM guidance.</w:t>
      </w:r>
    </w:p>
    <w:p w:rsidR="00F364D9" w:rsidRDefault="00F364D9" w:rsidP="00F364D9">
      <w:r>
        <w:t>Finally, the Smart Usage Profile (SUP) program savings were evaluated via billing regression analysis. The program used a randomized control trial (RCT) experimental design, and Navigant estimated program savings through the use of a linear fixed-effect regression analysis.  Navigant also investigated the effect of the SUP Program on increasing participation in the other residential energy efficiency programs and netted these savings out of the SUP Program to account for the possibility of double-counting savings.</w:t>
      </w:r>
    </w:p>
    <w:p w:rsidR="00F364D9" w:rsidRDefault="00F364D9" w:rsidP="00F364D9"/>
    <w:p w:rsidR="00F364D9" w:rsidRDefault="00F364D9" w:rsidP="00F364D9">
      <w:pPr>
        <w:pStyle w:val="AppendixAHeading4"/>
      </w:pPr>
      <w:r>
        <w:t>Low-Income Energy Efficiency Programs</w:t>
      </w:r>
    </w:p>
    <w:p w:rsidR="00F364D9" w:rsidRDefault="00F364D9" w:rsidP="00F364D9">
      <w:r w:rsidRPr="00F364D9">
        <w:t>For LEEP, Navigant conducted a TRM-based engineering review of the program tracking database, coupled with information gathered from telephone survey verifications on a sample of participants, to calculate verified gross savings values. Navigant conducted the simple engineering review using the entire population of projects in the tracking database. Navigant also conducted on-site inspections for 19 projects. They accompanied the CSP on 5 Component 1 comprehensive home ride-along audits and 14 Component 1 follow-up site visits to verify measure installation. In nearly all cases, the onsite activities verified that equipment was installed and in operation.</w:t>
      </w:r>
    </w:p>
    <w:p w:rsidR="00F364D9" w:rsidRPr="001F2B97" w:rsidRDefault="00F364D9" w:rsidP="00F364D9"/>
    <w:p w:rsidR="00FA1550" w:rsidRDefault="00FA1550" w:rsidP="00FA1550">
      <w:pPr>
        <w:pStyle w:val="AppendixAHeading4"/>
      </w:pPr>
      <w:r>
        <w:t>Non-Residential Energy Efficiency Programs</w:t>
      </w:r>
    </w:p>
    <w:p w:rsidR="00FA1550" w:rsidRPr="00FA1550" w:rsidRDefault="00FA1550" w:rsidP="00FA1550">
      <w:pPr>
        <w:rPr>
          <w:color w:val="000000"/>
        </w:rPr>
      </w:pPr>
      <w:r w:rsidRPr="00FA1550">
        <w:rPr>
          <w:color w:val="000000"/>
        </w:rPr>
        <w:t>Realization rates for PECO’s non-residential programs’ energy savings ranged from 87% to 100%. Realization rates for demand reductions from these programs ranged from 18% to 107%. The low reali</w:t>
      </w:r>
      <w:r w:rsidR="00905D02">
        <w:rPr>
          <w:color w:val="000000"/>
        </w:rPr>
        <w:t>zation rate of 18% was for the Commercial</w:t>
      </w:r>
      <w:r w:rsidRPr="00FA1550">
        <w:rPr>
          <w:color w:val="000000"/>
        </w:rPr>
        <w:t xml:space="preserve"> Smart AC Saver Program. PECO achieved better than the 15% precision requirement for kWh and kW in all of its non-residential programs except for the Smart Construction Incentives (SCI) Program, which had 29% and 22% relative precisions for energy and demand, respectively. This was a result of the </w:t>
      </w:r>
      <w:r w:rsidRPr="00FA1550">
        <w:rPr>
          <w:rFonts w:eastAsia="Calibri"/>
        </w:rPr>
        <w:t xml:space="preserve">evaluation contractor’s </w:t>
      </w:r>
      <w:r w:rsidRPr="00FA1550">
        <w:rPr>
          <w:color w:val="000000"/>
        </w:rPr>
        <w:t>decision to restratify the population after 10 incomplete projects were discovered in Q4. The SWE agrees that this was the best course of action given the circumstances and notes that, despite this missed target, PECO did achieve Phase</w:t>
      </w:r>
      <w:r w:rsidR="00905D02">
        <w:rPr>
          <w:color w:val="000000"/>
        </w:rPr>
        <w:t xml:space="preserve"> II </w:t>
      </w:r>
      <w:r w:rsidRPr="00FA1550">
        <w:rPr>
          <w:color w:val="000000"/>
        </w:rPr>
        <w:t>total precisions of 6% and 8% for energy and demand for the SCI Program.</w:t>
      </w:r>
    </w:p>
    <w:p w:rsidR="00FA1550" w:rsidRPr="00FA1550" w:rsidRDefault="00FA1550" w:rsidP="00FA1550">
      <w:pPr>
        <w:rPr>
          <w:color w:val="000000"/>
        </w:rPr>
      </w:pPr>
    </w:p>
    <w:p w:rsidR="00FA1550" w:rsidRPr="00FA1550" w:rsidRDefault="00FA1550" w:rsidP="00FA1550">
      <w:pPr>
        <w:rPr>
          <w:color w:val="000000"/>
        </w:rPr>
      </w:pPr>
      <w:r>
        <w:fldChar w:fldCharType="begin"/>
      </w:r>
      <w:r>
        <w:rPr>
          <w:color w:val="000000"/>
        </w:rPr>
        <w:instrText xml:space="preserve"> REF _Ref472465918 \h </w:instrText>
      </w:r>
      <w:r>
        <w:fldChar w:fldCharType="separate"/>
      </w:r>
      <w:r w:rsidR="00C301D0">
        <w:t>Figure A-</w:t>
      </w:r>
      <w:r w:rsidR="00C301D0">
        <w:rPr>
          <w:noProof/>
        </w:rPr>
        <w:t>21</w:t>
      </w:r>
      <w:r>
        <w:fldChar w:fldCharType="end"/>
      </w:r>
      <w:r w:rsidRPr="00FA1550">
        <w:rPr>
          <w:color w:val="000000"/>
        </w:rPr>
        <w:t xml:space="preserve"> shows the frequency of each M&amp;V approach performed by Navigant in PY7 for PECO’s Smart Equipment Incentives (SEI) Program evaluation sample and the verified energy savings associated with each M&amp;V approach. Navigant used both basic and enhanced levels of rigor to evaluate projects in the sample. Basic rigor includes surveys, desk reviews, and simple on-site verification (no logging). In the 2014 Pennsylvania Evaluation Framework, Basic Rigor Option 1 consists of verification of the number of installations and the selection of the proper deemed savings value from the TRM. Basic Rigor Option 2 consists of verification of appropriate application of the TRM savings algorithms for TRM partially deemed measures using gathered site data that typically are limited to performance specification data and do not need to be measured on-site. Enhanced rigor includes IPMVP Options A, B, C, and D. Option A combines the measurement of key parameters of retrofitted equipment with the use of stipulated values for other measurement parameters. Option B involves more robust measurement of the retrofitted system’s continuous energy usage, typically through short-term power metering. Option C consists of utility billing analysis to determine energy savings. Typically, 12 months of pre- and post-installation billing data are required for this approach. Option D involves modeling energy performance of a facility before and after the efficiency measure is installed. The frequencies and savings presented in </w:t>
      </w:r>
      <w:r>
        <w:rPr>
          <w:color w:val="000000"/>
        </w:rPr>
        <w:fldChar w:fldCharType="begin"/>
      </w:r>
      <w:r>
        <w:rPr>
          <w:color w:val="000000"/>
        </w:rPr>
        <w:instrText xml:space="preserve"> REF _Ref472465918 \h </w:instrText>
      </w:r>
      <w:r>
        <w:rPr>
          <w:color w:val="000000"/>
        </w:rPr>
      </w:r>
      <w:r>
        <w:rPr>
          <w:color w:val="000000"/>
        </w:rPr>
        <w:fldChar w:fldCharType="separate"/>
      </w:r>
      <w:r w:rsidR="00C301D0">
        <w:t>Figure A-</w:t>
      </w:r>
      <w:r w:rsidR="00C301D0">
        <w:rPr>
          <w:noProof/>
        </w:rPr>
        <w:t>21</w:t>
      </w:r>
      <w:r>
        <w:rPr>
          <w:color w:val="000000"/>
        </w:rPr>
        <w:fldChar w:fldCharType="end"/>
      </w:r>
      <w:r w:rsidRPr="00FA1550">
        <w:rPr>
          <w:color w:val="000000"/>
        </w:rPr>
        <w:t xml:space="preserve"> include C/I and GNI measures within the SEI Program.</w:t>
      </w:r>
    </w:p>
    <w:p w:rsidR="00FA1550" w:rsidRPr="00FA1550" w:rsidRDefault="00FA1550" w:rsidP="00FA1550">
      <w:pPr>
        <w:pStyle w:val="Caption"/>
      </w:pPr>
      <w:bookmarkStart w:id="1113" w:name="_Ref472465918"/>
      <w:bookmarkStart w:id="1114" w:name="_Toc431462295"/>
      <w:bookmarkStart w:id="1115" w:name="_Toc444269832"/>
      <w:bookmarkStart w:id="1116" w:name="_Toc476842295"/>
      <w:r>
        <w:t>Figure A-</w:t>
      </w:r>
      <w:fldSimple w:instr=" SEQ Figure_A- \* ARABIC ">
        <w:r w:rsidR="00C301D0">
          <w:rPr>
            <w:noProof/>
          </w:rPr>
          <w:t>21</w:t>
        </w:r>
      </w:fldSimple>
      <w:bookmarkEnd w:id="1113"/>
      <w:r>
        <w:t xml:space="preserve">: </w:t>
      </w:r>
      <w:r w:rsidRPr="00FA1550">
        <w:t>Frequency of and Associated Energy Savings by M&amp;V Approach – SEI Program</w:t>
      </w:r>
      <w:bookmarkEnd w:id="1114"/>
      <w:bookmarkEnd w:id="1115"/>
      <w:bookmarkEnd w:id="1116"/>
    </w:p>
    <w:p w:rsidR="00FA1550" w:rsidRPr="00FA1550" w:rsidRDefault="00FA1550" w:rsidP="00FA1550">
      <w:pPr>
        <w:spacing w:before="200"/>
        <w:jc w:val="center"/>
        <w:rPr>
          <w:rFonts w:eastAsia="MS Mincho"/>
        </w:rPr>
      </w:pPr>
      <w:r w:rsidRPr="00FA1550">
        <w:rPr>
          <w:rFonts w:eastAsia="MS Mincho"/>
          <w:noProof/>
        </w:rPr>
        <w:drawing>
          <wp:inline distT="0" distB="0" distL="0" distR="0" wp14:anchorId="410F710A" wp14:editId="08706E6B">
            <wp:extent cx="5804452" cy="2194681"/>
            <wp:effectExtent l="0" t="0" r="635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6">
                      <a:extLst>
                        <a:ext uri="{28A0092B-C50C-407E-A947-70E740481C1C}">
                          <a14:useLocalDpi xmlns:a14="http://schemas.microsoft.com/office/drawing/2010/main" val="0"/>
                        </a:ext>
                      </a:extLst>
                    </a:blip>
                    <a:srcRect l="6982" t="5083" r="5880" b="9212"/>
                    <a:stretch/>
                  </pic:blipFill>
                  <pic:spPr bwMode="auto">
                    <a:xfrm>
                      <a:off x="0" y="0"/>
                      <a:ext cx="5826265" cy="2202929"/>
                    </a:xfrm>
                    <a:prstGeom prst="rect">
                      <a:avLst/>
                    </a:prstGeom>
                    <a:noFill/>
                    <a:ln>
                      <a:noFill/>
                    </a:ln>
                    <a:extLst>
                      <a:ext uri="{53640926-AAD7-44D8-BBD7-CCE9431645EC}">
                        <a14:shadowObscured xmlns:a14="http://schemas.microsoft.com/office/drawing/2010/main"/>
                      </a:ext>
                    </a:extLst>
                  </pic:spPr>
                </pic:pic>
              </a:graphicData>
            </a:graphic>
          </wp:inline>
        </w:drawing>
      </w:r>
    </w:p>
    <w:p w:rsidR="00FA1550" w:rsidRPr="00FA1550" w:rsidRDefault="00FA1550" w:rsidP="00FA1550">
      <w:pPr>
        <w:rPr>
          <w:color w:val="000000"/>
        </w:rPr>
      </w:pPr>
    </w:p>
    <w:p w:rsidR="00FA1550" w:rsidRDefault="007553D7" w:rsidP="00FA1550">
      <w:pPr>
        <w:rPr>
          <w:color w:val="000000"/>
        </w:rPr>
      </w:pPr>
      <w:r>
        <w:rPr>
          <w:color w:val="000000"/>
        </w:rPr>
        <w:fldChar w:fldCharType="begin"/>
      </w:r>
      <w:r>
        <w:rPr>
          <w:color w:val="000000"/>
        </w:rPr>
        <w:instrText xml:space="preserve"> REF _Ref472465918 \h </w:instrText>
      </w:r>
      <w:r>
        <w:rPr>
          <w:color w:val="000000"/>
        </w:rPr>
      </w:r>
      <w:r>
        <w:rPr>
          <w:color w:val="000000"/>
        </w:rPr>
        <w:fldChar w:fldCharType="separate"/>
      </w:r>
      <w:r w:rsidR="00C301D0">
        <w:t>Figure A-</w:t>
      </w:r>
      <w:r w:rsidR="00C301D0">
        <w:rPr>
          <w:noProof/>
        </w:rPr>
        <w:t>21</w:t>
      </w:r>
      <w:r>
        <w:rPr>
          <w:color w:val="000000"/>
        </w:rPr>
        <w:fldChar w:fldCharType="end"/>
      </w:r>
      <w:r w:rsidR="00FA1550" w:rsidRPr="00FA1550">
        <w:rPr>
          <w:color w:val="000000"/>
        </w:rPr>
        <w:t xml:space="preserve"> </w:t>
      </w:r>
      <w:r w:rsidR="00370EE6" w:rsidRPr="00FA1550">
        <w:rPr>
          <w:color w:val="000000"/>
        </w:rPr>
        <w:t>indicates t</w:t>
      </w:r>
      <w:r w:rsidR="00370EE6">
        <w:rPr>
          <w:color w:val="000000"/>
        </w:rPr>
        <w:t>hat 31</w:t>
      </w:r>
      <w:r w:rsidR="00370EE6" w:rsidRPr="00FA1550">
        <w:rPr>
          <w:color w:val="000000"/>
        </w:rPr>
        <w:t xml:space="preserve">% of the sampled measures for the SEI Program were evaluated using a basic level of rigor. However, the representative savings for these measures accounted for only </w:t>
      </w:r>
      <w:r w:rsidR="00370EE6">
        <w:rPr>
          <w:color w:val="000000"/>
        </w:rPr>
        <w:t>3</w:t>
      </w:r>
      <w:r w:rsidR="00370EE6" w:rsidRPr="00FA1550">
        <w:rPr>
          <w:color w:val="000000"/>
        </w:rPr>
        <w:t>% of the energy savings. This suggests that basic rigor was appropriately used, predominately for measures with smaller savings. Likewise, the more expensive methods were reserved for a smaller number of projects, but these projects contributed a large m</w:t>
      </w:r>
      <w:r w:rsidR="00370EE6">
        <w:rPr>
          <w:color w:val="000000"/>
        </w:rPr>
        <w:t>ajority (97</w:t>
      </w:r>
      <w:r w:rsidR="00370EE6" w:rsidRPr="00FA1550">
        <w:rPr>
          <w:color w:val="000000"/>
        </w:rPr>
        <w:t>%) of the program’s energy savings.</w:t>
      </w:r>
      <w:r w:rsidR="00370EE6" w:rsidRPr="00FA1550">
        <w:t xml:space="preserve"> </w:t>
      </w:r>
      <w:r w:rsidR="00370EE6" w:rsidRPr="00FA1550">
        <w:rPr>
          <w:color w:val="000000"/>
        </w:rPr>
        <w:t>The SWE Team supports this “value of information” approach, whereby more expensive evaluation techniques are reserved for projects that account for the greatest share of program savings</w:t>
      </w:r>
      <w:r w:rsidR="00FA1550" w:rsidRPr="00FA1550">
        <w:rPr>
          <w:color w:val="000000"/>
        </w:rPr>
        <w:t>.</w:t>
      </w:r>
    </w:p>
    <w:p w:rsidR="001738D6" w:rsidRDefault="001738D6" w:rsidP="00FA1550">
      <w:pPr>
        <w:rPr>
          <w:color w:val="000000"/>
        </w:rPr>
      </w:pPr>
    </w:p>
    <w:p w:rsidR="001738D6" w:rsidRPr="00FA1550" w:rsidRDefault="001738D6" w:rsidP="001738D6">
      <w:pPr>
        <w:rPr>
          <w:color w:val="000000"/>
        </w:rPr>
      </w:pPr>
      <w:r>
        <w:rPr>
          <w:color w:val="000000"/>
          <w:highlight w:val="yellow"/>
        </w:rPr>
        <w:fldChar w:fldCharType="begin"/>
      </w:r>
      <w:r>
        <w:rPr>
          <w:color w:val="000000"/>
        </w:rPr>
        <w:instrText xml:space="preserve"> REF _Ref472466055 \h </w:instrText>
      </w:r>
      <w:r>
        <w:rPr>
          <w:color w:val="000000"/>
          <w:highlight w:val="yellow"/>
        </w:rPr>
      </w:r>
      <w:r>
        <w:rPr>
          <w:color w:val="000000"/>
          <w:highlight w:val="yellow"/>
        </w:rPr>
        <w:fldChar w:fldCharType="separate"/>
      </w:r>
      <w:r w:rsidR="00C301D0">
        <w:t>Figure A-</w:t>
      </w:r>
      <w:r w:rsidR="00C301D0">
        <w:rPr>
          <w:noProof/>
        </w:rPr>
        <w:t>22</w:t>
      </w:r>
      <w:r>
        <w:rPr>
          <w:color w:val="000000"/>
          <w:highlight w:val="yellow"/>
        </w:rPr>
        <w:fldChar w:fldCharType="end"/>
      </w:r>
      <w:r>
        <w:rPr>
          <w:color w:val="000000"/>
        </w:rPr>
        <w:t xml:space="preserve"> </w:t>
      </w:r>
      <w:r w:rsidR="00370EE6" w:rsidRPr="00FA1550">
        <w:rPr>
          <w:color w:val="000000"/>
        </w:rPr>
        <w:t>shows the frequency of each M&amp;V method used in the SCI Program and the energy savings associated with each method. Basic rigor was used for a majority of t</w:t>
      </w:r>
      <w:r w:rsidR="00370EE6">
        <w:rPr>
          <w:color w:val="000000"/>
        </w:rPr>
        <w:t>he projects (62</w:t>
      </w:r>
      <w:r w:rsidR="00370EE6" w:rsidRPr="00FA1550">
        <w:rPr>
          <w:color w:val="000000"/>
        </w:rPr>
        <w:t xml:space="preserve">%), but these projects accounted for only </w:t>
      </w:r>
      <w:r w:rsidR="00370EE6">
        <w:rPr>
          <w:color w:val="000000"/>
        </w:rPr>
        <w:t>37</w:t>
      </w:r>
      <w:r w:rsidR="00370EE6" w:rsidRPr="00FA1550">
        <w:rPr>
          <w:color w:val="000000"/>
        </w:rPr>
        <w:t>% of the savings. Enhanced rigor was appropriately used for fewer proj</w:t>
      </w:r>
      <w:r w:rsidR="00370EE6">
        <w:rPr>
          <w:color w:val="000000"/>
        </w:rPr>
        <w:t>ects, but these accounted for 63</w:t>
      </w:r>
      <w:r w:rsidR="00370EE6" w:rsidRPr="00FA1550">
        <w:rPr>
          <w:color w:val="000000"/>
        </w:rPr>
        <w:t>% of the savings. Additionally, PECO’s annual report noted that Navigant paid close attention to baseline choices, which are not always obvious for new construction measures</w:t>
      </w:r>
      <w:r w:rsidRPr="00FA1550">
        <w:rPr>
          <w:color w:val="000000"/>
        </w:rPr>
        <w:t>.</w:t>
      </w:r>
    </w:p>
    <w:p w:rsidR="005D61A3" w:rsidRPr="00FA1550" w:rsidRDefault="005D61A3" w:rsidP="001738D6">
      <w:pPr>
        <w:rPr>
          <w:color w:val="000000"/>
        </w:rPr>
      </w:pPr>
    </w:p>
    <w:p w:rsidR="005D61A3" w:rsidRDefault="007553D7" w:rsidP="00FD4D90">
      <w:pPr>
        <w:pStyle w:val="Caption"/>
      </w:pPr>
      <w:bookmarkStart w:id="1117" w:name="_Ref472466055"/>
      <w:bookmarkStart w:id="1118" w:name="_Toc444269833"/>
      <w:bookmarkStart w:id="1119" w:name="_Toc476842296"/>
      <w:r>
        <w:t>Figure A-</w:t>
      </w:r>
      <w:fldSimple w:instr=" SEQ Figure_A- \* ARABIC ">
        <w:r w:rsidR="00C301D0">
          <w:rPr>
            <w:noProof/>
          </w:rPr>
          <w:t>22</w:t>
        </w:r>
      </w:fldSimple>
      <w:bookmarkEnd w:id="1117"/>
      <w:r>
        <w:t xml:space="preserve">: </w:t>
      </w:r>
      <w:r w:rsidR="00FA1550" w:rsidRPr="00FA1550">
        <w:t>Frequency of and Associated Energy Savings by M&amp;V Approach – SCI Program</w:t>
      </w:r>
      <w:bookmarkEnd w:id="1118"/>
      <w:bookmarkEnd w:id="1119"/>
    </w:p>
    <w:p w:rsidR="00FA1550" w:rsidRPr="00FA1550" w:rsidRDefault="00FA1550" w:rsidP="00FA1550">
      <w:pPr>
        <w:rPr>
          <w:color w:val="000000"/>
        </w:rPr>
      </w:pPr>
      <w:r w:rsidRPr="00FA1550">
        <w:rPr>
          <w:noProof/>
          <w:color w:val="000000"/>
        </w:rPr>
        <w:drawing>
          <wp:inline distT="0" distB="0" distL="0" distR="0" wp14:anchorId="5C48B3EB" wp14:editId="6C2B2F49">
            <wp:extent cx="6182139" cy="2335334"/>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7">
                      <a:extLst>
                        <a:ext uri="{28A0092B-C50C-407E-A947-70E740481C1C}">
                          <a14:useLocalDpi xmlns:a14="http://schemas.microsoft.com/office/drawing/2010/main" val="0"/>
                        </a:ext>
                      </a:extLst>
                    </a:blip>
                    <a:srcRect l="6841" t="5073" r="6310" b="9764"/>
                    <a:stretch/>
                  </pic:blipFill>
                  <pic:spPr bwMode="auto">
                    <a:xfrm>
                      <a:off x="0" y="0"/>
                      <a:ext cx="6184404" cy="2336190"/>
                    </a:xfrm>
                    <a:prstGeom prst="rect">
                      <a:avLst/>
                    </a:prstGeom>
                    <a:noFill/>
                    <a:ln>
                      <a:noFill/>
                    </a:ln>
                    <a:extLst>
                      <a:ext uri="{53640926-AAD7-44D8-BBD7-CCE9431645EC}">
                        <a14:shadowObscured xmlns:a14="http://schemas.microsoft.com/office/drawing/2010/main"/>
                      </a:ext>
                    </a:extLst>
                  </pic:spPr>
                </pic:pic>
              </a:graphicData>
            </a:graphic>
          </wp:inline>
        </w:drawing>
      </w:r>
    </w:p>
    <w:p w:rsidR="00FA1550" w:rsidRPr="00FA1550" w:rsidRDefault="00FA1550" w:rsidP="00FA1550">
      <w:pPr>
        <w:rPr>
          <w:color w:val="000000"/>
        </w:rPr>
      </w:pPr>
    </w:p>
    <w:p w:rsidR="00FA1550" w:rsidRPr="00FA1550" w:rsidRDefault="00FA1550" w:rsidP="00FA1550">
      <w:pPr>
        <w:rPr>
          <w:color w:val="000000"/>
        </w:rPr>
      </w:pPr>
      <w:r w:rsidRPr="00FA1550">
        <w:rPr>
          <w:color w:val="000000"/>
        </w:rPr>
        <w:t xml:space="preserve">Navigant performed verification on a stratified sample of 13 projects from PECO’s </w:t>
      </w:r>
      <w:r w:rsidR="004827C2">
        <w:rPr>
          <w:color w:val="000000"/>
        </w:rPr>
        <w:t>Smart Business Solutions</w:t>
      </w:r>
      <w:r w:rsidRPr="00FA1550">
        <w:rPr>
          <w:color w:val="000000"/>
        </w:rPr>
        <w:t xml:space="preserve"> (SBS) Program in PY7. Enhanced rigor Option A was used for all projects. </w:t>
      </w:r>
    </w:p>
    <w:p w:rsidR="00FA1550" w:rsidRPr="00FA1550" w:rsidRDefault="00FA1550" w:rsidP="00FA1550">
      <w:pPr>
        <w:rPr>
          <w:color w:val="000000"/>
        </w:rPr>
      </w:pPr>
      <w:r w:rsidRPr="00FA1550">
        <w:rPr>
          <w:color w:val="000000"/>
        </w:rPr>
        <w:t>The Smart On-Site (SOS) Program had six projects completed in PY7. All projects were evaluated with enhanced rigor Option B.</w:t>
      </w:r>
    </w:p>
    <w:p w:rsidR="00FA1550" w:rsidRPr="00FA1550" w:rsidRDefault="00FA1550" w:rsidP="00FA1550">
      <w:pPr>
        <w:rPr>
          <w:color w:val="000000"/>
        </w:rPr>
      </w:pPr>
    </w:p>
    <w:p w:rsidR="00FA1550" w:rsidRPr="00FA1550" w:rsidRDefault="00FA1550" w:rsidP="00FA1550">
      <w:pPr>
        <w:rPr>
          <w:color w:val="000000"/>
        </w:rPr>
      </w:pPr>
      <w:r w:rsidRPr="00FA1550">
        <w:rPr>
          <w:color w:val="000000"/>
        </w:rPr>
        <w:t xml:space="preserve">Navigant assessed projects from PECO’s Smart Multi-Family Solutions Non-Residential Program using file reviews and telephone surveys as the evaluation activity for all projects sampled. Additionally, the </w:t>
      </w:r>
      <w:r w:rsidRPr="00FA1550">
        <w:rPr>
          <w:rFonts w:eastAsia="Calibri"/>
        </w:rPr>
        <w:t xml:space="preserve">evaluation contractor </w:t>
      </w:r>
      <w:r w:rsidRPr="00FA1550">
        <w:rPr>
          <w:color w:val="000000"/>
        </w:rPr>
        <w:t>conducted on-site visits for a subset of telephone survey participants for enhanced verification.</w:t>
      </w:r>
    </w:p>
    <w:p w:rsidR="00FA1550" w:rsidRPr="00280EAE" w:rsidRDefault="00FA1550" w:rsidP="00280EAE"/>
    <w:p w:rsidR="00950837" w:rsidRDefault="00950837" w:rsidP="00D34B3E">
      <w:pPr>
        <w:pStyle w:val="AppendixAHeading3"/>
      </w:pPr>
      <w:r>
        <w:t>Process Evaluation Activities and Findings</w:t>
      </w:r>
    </w:p>
    <w:p w:rsidR="00183636" w:rsidRPr="00661E10" w:rsidRDefault="00183636" w:rsidP="00183636">
      <w:r w:rsidRPr="00661E10">
        <w:t xml:space="preserve">The process evaluation that Navigant conducted for PECO included a review of key program documents and databases; surveys of participants and nonparticipants; and interviews with utility program staff, implementation staff, and market actors affiliated with the program—although not every </w:t>
      </w:r>
      <w:r w:rsidR="00E4553A">
        <w:t xml:space="preserve">program’s process </w:t>
      </w:r>
      <w:r w:rsidRPr="00661E10">
        <w:t xml:space="preserve">evaluation included all of these elements. </w:t>
      </w:r>
      <w:r>
        <w:fldChar w:fldCharType="begin"/>
      </w:r>
      <w:r>
        <w:instrText xml:space="preserve"> REF _Ref472450658 \h </w:instrText>
      </w:r>
      <w:r>
        <w:fldChar w:fldCharType="separate"/>
      </w:r>
      <w:r w:rsidR="00C301D0">
        <w:t>Table A-</w:t>
      </w:r>
      <w:r w:rsidR="00C301D0">
        <w:rPr>
          <w:noProof/>
        </w:rPr>
        <w:t>109</w:t>
      </w:r>
      <w:r>
        <w:fldChar w:fldCharType="end"/>
      </w:r>
      <w:r w:rsidRPr="00661E10">
        <w:t xml:space="preserve"> summarizes the data sources Navigant used and its key findings for each program.</w:t>
      </w:r>
    </w:p>
    <w:p w:rsidR="00183636" w:rsidRPr="00661E10" w:rsidRDefault="00183636" w:rsidP="00183636"/>
    <w:p w:rsidR="00183636" w:rsidRPr="006361F5" w:rsidRDefault="00183636" w:rsidP="00183636">
      <w:pPr>
        <w:pStyle w:val="Caption"/>
      </w:pPr>
      <w:bookmarkStart w:id="1120" w:name="_Ref472450658"/>
      <w:bookmarkStart w:id="1121" w:name="_Toc472472518"/>
      <w:bookmarkStart w:id="1122" w:name="_Toc476842224"/>
      <w:r>
        <w:t>Table A-</w:t>
      </w:r>
      <w:fldSimple w:instr=" SEQ Table_A- \* ARABIC ">
        <w:r w:rsidR="00C301D0">
          <w:rPr>
            <w:noProof/>
          </w:rPr>
          <w:t>109</w:t>
        </w:r>
      </w:fldSimple>
      <w:bookmarkEnd w:id="1120"/>
      <w:r>
        <w:t>:</w:t>
      </w:r>
      <w:r w:rsidRPr="006361F5">
        <w:t xml:space="preserve"> Summary of Key Findings and Data Sources – PECO</w:t>
      </w:r>
      <w:bookmarkEnd w:id="1121"/>
      <w:bookmarkEnd w:id="1122"/>
    </w:p>
    <w:tbl>
      <w:tblPr>
        <w:tblW w:w="9371"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447"/>
        <w:gridCol w:w="5293"/>
        <w:gridCol w:w="2631"/>
      </w:tblGrid>
      <w:tr w:rsidR="00A874AC" w:rsidRPr="00661E10" w:rsidTr="0017534C">
        <w:trPr>
          <w:cantSplit/>
          <w:trHeight w:val="141"/>
          <w:tblHeader/>
          <w:jc w:val="center"/>
        </w:trPr>
        <w:tc>
          <w:tcPr>
            <w:tcW w:w="1447" w:type="dxa"/>
            <w:shd w:val="clear" w:color="auto" w:fill="448A99"/>
            <w:vAlign w:val="bottom"/>
            <w:hideMark/>
          </w:tcPr>
          <w:p w:rsidR="00183636" w:rsidRPr="00661E10" w:rsidRDefault="00183636" w:rsidP="005C1352">
            <w:pPr>
              <w:jc w:val="left"/>
              <w:rPr>
                <w:b/>
                <w:color w:val="FFFFFF"/>
                <w:sz w:val="20"/>
                <w:szCs w:val="20"/>
              </w:rPr>
            </w:pPr>
            <w:r w:rsidRPr="00661E10">
              <w:rPr>
                <w:b/>
                <w:color w:val="FFFFFF"/>
                <w:sz w:val="20"/>
                <w:szCs w:val="20"/>
              </w:rPr>
              <w:t>Program</w:t>
            </w:r>
          </w:p>
        </w:tc>
        <w:tc>
          <w:tcPr>
            <w:tcW w:w="5293" w:type="dxa"/>
            <w:shd w:val="clear" w:color="auto" w:fill="448A99"/>
            <w:vAlign w:val="bottom"/>
            <w:hideMark/>
          </w:tcPr>
          <w:p w:rsidR="00183636" w:rsidRPr="00661E10" w:rsidRDefault="00183636" w:rsidP="005C1352">
            <w:pPr>
              <w:jc w:val="center"/>
              <w:rPr>
                <w:b/>
                <w:color w:val="FFFFFF"/>
                <w:sz w:val="20"/>
                <w:szCs w:val="20"/>
              </w:rPr>
            </w:pPr>
            <w:r w:rsidRPr="00661E10">
              <w:rPr>
                <w:b/>
                <w:color w:val="FFFFFF"/>
                <w:sz w:val="20"/>
                <w:szCs w:val="20"/>
              </w:rPr>
              <w:t>Key Findings</w:t>
            </w:r>
          </w:p>
        </w:tc>
        <w:tc>
          <w:tcPr>
            <w:tcW w:w="2631" w:type="dxa"/>
            <w:shd w:val="clear" w:color="auto" w:fill="448A99"/>
            <w:vAlign w:val="bottom"/>
            <w:hideMark/>
          </w:tcPr>
          <w:p w:rsidR="00183636" w:rsidRPr="00661E10" w:rsidRDefault="00183636" w:rsidP="005C1352">
            <w:pPr>
              <w:jc w:val="center"/>
              <w:rPr>
                <w:b/>
                <w:color w:val="FFFFFF"/>
                <w:sz w:val="20"/>
                <w:szCs w:val="20"/>
              </w:rPr>
            </w:pPr>
            <w:r w:rsidRPr="00661E10">
              <w:rPr>
                <w:b/>
                <w:color w:val="FFFFFF"/>
                <w:sz w:val="20"/>
                <w:szCs w:val="20"/>
              </w:rPr>
              <w:t>Data Sources</w:t>
            </w:r>
          </w:p>
        </w:tc>
      </w:tr>
      <w:tr w:rsidR="00E7173E" w:rsidRPr="00661E10" w:rsidTr="00276F1A">
        <w:trPr>
          <w:trHeight w:val="141"/>
          <w:jc w:val="center"/>
        </w:trPr>
        <w:tc>
          <w:tcPr>
            <w:tcW w:w="9371" w:type="dxa"/>
            <w:gridSpan w:val="3"/>
            <w:shd w:val="clear" w:color="auto" w:fill="9C9393"/>
            <w:hideMark/>
          </w:tcPr>
          <w:p w:rsidR="00183636" w:rsidRPr="00661E10" w:rsidRDefault="00183636" w:rsidP="005C1352">
            <w:pPr>
              <w:jc w:val="left"/>
              <w:rPr>
                <w:b/>
                <w:i/>
                <w:color w:val="FFFFFF"/>
                <w:sz w:val="20"/>
                <w:szCs w:val="20"/>
              </w:rPr>
            </w:pPr>
            <w:r w:rsidRPr="00661E10">
              <w:rPr>
                <w:b/>
                <w:color w:val="FFFFFF"/>
                <w:sz w:val="20"/>
                <w:szCs w:val="20"/>
              </w:rPr>
              <w:t>Residential Sector</w:t>
            </w:r>
          </w:p>
        </w:tc>
      </w:tr>
      <w:tr w:rsidR="00E7173E" w:rsidRPr="00661E10" w:rsidTr="00276F1A">
        <w:trPr>
          <w:trHeight w:val="141"/>
          <w:jc w:val="center"/>
        </w:trPr>
        <w:tc>
          <w:tcPr>
            <w:tcW w:w="1447" w:type="dxa"/>
            <w:shd w:val="clear" w:color="auto" w:fill="D2EAF1"/>
          </w:tcPr>
          <w:p w:rsidR="00183636" w:rsidRPr="00661E10" w:rsidRDefault="00183636" w:rsidP="005C1352">
            <w:pPr>
              <w:jc w:val="left"/>
              <w:rPr>
                <w:sz w:val="20"/>
              </w:rPr>
            </w:pPr>
            <w:r>
              <w:rPr>
                <w:sz w:val="20"/>
              </w:rPr>
              <w:t>Smart Home Rebates (</w:t>
            </w:r>
            <w:r w:rsidRPr="00661E10">
              <w:rPr>
                <w:sz w:val="20"/>
              </w:rPr>
              <w:t>SHR</w:t>
            </w:r>
            <w:r>
              <w:rPr>
                <w:sz w:val="20"/>
              </w:rPr>
              <w:t>)</w:t>
            </w:r>
          </w:p>
        </w:tc>
        <w:tc>
          <w:tcPr>
            <w:tcW w:w="5293" w:type="dxa"/>
            <w:shd w:val="clear" w:color="auto" w:fill="D2EAF1"/>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Discrepancies existed between reported and verified air conditioner savings due to gaps in program data.</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71% of surveyed customers reported being aware of PECO’s LED store discounts in PY7.</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12% of those who bought PECO discounted bulbs were low income; savings from these participants were not claimed as low-income savings.</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Increasing LED shelf space corresponded with decreasing CFL shelf space.</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Satisfaction with PECO has remained high since PY5.</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71% of HVAC participant respondents learned of the program from contractors, installers, or builders.</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 xml:space="preserve">Seasonal shifts and scaling back of the program affected smaller </w:t>
            </w:r>
            <w:r w:rsidR="00E4553A">
              <w:rPr>
                <w:sz w:val="20"/>
                <w:szCs w:val="20"/>
              </w:rPr>
              <w:t>HVAC</w:t>
            </w:r>
            <w:r w:rsidRPr="00661E10">
              <w:rPr>
                <w:sz w:val="20"/>
                <w:szCs w:val="20"/>
              </w:rPr>
              <w:t xml:space="preserve"> contractor firms more than larger firms.</w:t>
            </w:r>
          </w:p>
        </w:tc>
        <w:tc>
          <w:tcPr>
            <w:tcW w:w="2631" w:type="dxa"/>
            <w:shd w:val="clear" w:color="auto" w:fill="D2EAF1"/>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In-store intercept survey (</w:t>
            </w:r>
            <w:r>
              <w:rPr>
                <w:sz w:val="20"/>
                <w:szCs w:val="20"/>
              </w:rPr>
              <w:t>n=</w:t>
            </w:r>
            <w:r w:rsidRPr="00661E10">
              <w:rPr>
                <w:sz w:val="20"/>
                <w:szCs w:val="20"/>
              </w:rPr>
              <w:t>530)</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Shelf surveys of 17 stores</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11 HVAC installer interviews</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HVAC rebate participants (</w:t>
            </w:r>
            <w:r>
              <w:rPr>
                <w:sz w:val="20"/>
                <w:szCs w:val="20"/>
              </w:rPr>
              <w:t>n</w:t>
            </w:r>
            <w:r w:rsidRPr="00661E10">
              <w:rPr>
                <w:sz w:val="20"/>
                <w:szCs w:val="20"/>
              </w:rPr>
              <w:t>=100)</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Appliance rebate participants (</w:t>
            </w:r>
            <w:r>
              <w:rPr>
                <w:sz w:val="20"/>
                <w:szCs w:val="20"/>
              </w:rPr>
              <w:t>n</w:t>
            </w:r>
            <w:r w:rsidRPr="00661E10">
              <w:rPr>
                <w:sz w:val="20"/>
                <w:szCs w:val="20"/>
              </w:rPr>
              <w:t>=100)</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Interview with program manager and implementer</w:t>
            </w:r>
          </w:p>
          <w:p w:rsidR="00183636" w:rsidRPr="00661E10" w:rsidRDefault="00183636" w:rsidP="005C1352">
            <w:pPr>
              <w:autoSpaceDE w:val="0"/>
              <w:autoSpaceDN w:val="0"/>
              <w:adjustRightInd w:val="0"/>
              <w:contextualSpacing/>
              <w:jc w:val="left"/>
              <w:rPr>
                <w:sz w:val="20"/>
                <w:szCs w:val="20"/>
              </w:rPr>
            </w:pPr>
          </w:p>
        </w:tc>
      </w:tr>
      <w:tr w:rsidR="00183636" w:rsidRPr="00661E10" w:rsidTr="00276F1A">
        <w:trPr>
          <w:trHeight w:val="141"/>
          <w:jc w:val="center"/>
        </w:trPr>
        <w:tc>
          <w:tcPr>
            <w:tcW w:w="1447" w:type="dxa"/>
          </w:tcPr>
          <w:p w:rsidR="00183636" w:rsidRPr="00661E10" w:rsidRDefault="00183636" w:rsidP="005C1352">
            <w:pPr>
              <w:jc w:val="left"/>
              <w:rPr>
                <w:sz w:val="20"/>
              </w:rPr>
            </w:pPr>
            <w:r>
              <w:rPr>
                <w:sz w:val="20"/>
              </w:rPr>
              <w:t>Smart House Call (</w:t>
            </w:r>
            <w:r w:rsidRPr="00661E10">
              <w:rPr>
                <w:sz w:val="20"/>
              </w:rPr>
              <w:t>SHC</w:t>
            </w:r>
            <w:r>
              <w:rPr>
                <w:sz w:val="20"/>
              </w:rPr>
              <w:t>)</w:t>
            </w:r>
          </w:p>
        </w:tc>
        <w:tc>
          <w:tcPr>
            <w:tcW w:w="5293" w:type="dxa"/>
          </w:tcPr>
          <w:p w:rsidR="00183636" w:rsidRPr="00661E10" w:rsidRDefault="00183636" w:rsidP="009349F1">
            <w:pPr>
              <w:numPr>
                <w:ilvl w:val="0"/>
                <w:numId w:val="12"/>
              </w:numPr>
              <w:autoSpaceDE w:val="0"/>
              <w:autoSpaceDN w:val="0"/>
              <w:adjustRightInd w:val="0"/>
              <w:ind w:left="245" w:hanging="187"/>
              <w:contextualSpacing/>
              <w:jc w:val="left"/>
              <w:rPr>
                <w:sz w:val="20"/>
              </w:rPr>
            </w:pPr>
            <w:r w:rsidRPr="00661E10">
              <w:rPr>
                <w:sz w:val="20"/>
              </w:rPr>
              <w:t>Participant satisfaction was high in PY7.</w:t>
            </w:r>
          </w:p>
          <w:p w:rsidR="00183636" w:rsidRPr="00661E10" w:rsidRDefault="00183636" w:rsidP="009349F1">
            <w:pPr>
              <w:numPr>
                <w:ilvl w:val="0"/>
                <w:numId w:val="12"/>
              </w:numPr>
              <w:autoSpaceDE w:val="0"/>
              <w:autoSpaceDN w:val="0"/>
              <w:adjustRightInd w:val="0"/>
              <w:ind w:left="245" w:hanging="187"/>
              <w:contextualSpacing/>
              <w:jc w:val="left"/>
              <w:rPr>
                <w:sz w:val="20"/>
              </w:rPr>
            </w:pPr>
            <w:r w:rsidRPr="00661E10">
              <w:rPr>
                <w:sz w:val="20"/>
              </w:rPr>
              <w:t>Participants did not commonly cite being referred to other PECO programs for which they may be eligible.</w:t>
            </w:r>
          </w:p>
          <w:p w:rsidR="00183636" w:rsidRPr="00661E10" w:rsidRDefault="00183636" w:rsidP="009349F1">
            <w:pPr>
              <w:numPr>
                <w:ilvl w:val="0"/>
                <w:numId w:val="12"/>
              </w:numPr>
              <w:autoSpaceDE w:val="0"/>
              <w:autoSpaceDN w:val="0"/>
              <w:adjustRightInd w:val="0"/>
              <w:ind w:left="245" w:hanging="187"/>
              <w:contextualSpacing/>
              <w:jc w:val="left"/>
              <w:rPr>
                <w:sz w:val="20"/>
              </w:rPr>
            </w:pPr>
            <w:r w:rsidRPr="00661E10">
              <w:rPr>
                <w:sz w:val="20"/>
              </w:rPr>
              <w:t xml:space="preserve">Participants generally scheduled an audit once they learned of the program. </w:t>
            </w:r>
          </w:p>
          <w:p w:rsidR="00183636" w:rsidRPr="00661E10" w:rsidRDefault="00183636" w:rsidP="009349F1">
            <w:pPr>
              <w:numPr>
                <w:ilvl w:val="0"/>
                <w:numId w:val="12"/>
              </w:numPr>
              <w:autoSpaceDE w:val="0"/>
              <w:autoSpaceDN w:val="0"/>
              <w:adjustRightInd w:val="0"/>
              <w:ind w:left="245" w:hanging="187"/>
              <w:contextualSpacing/>
              <w:jc w:val="left"/>
              <w:rPr>
                <w:sz w:val="20"/>
              </w:rPr>
            </w:pPr>
            <w:r w:rsidRPr="00661E10">
              <w:rPr>
                <w:sz w:val="20"/>
              </w:rPr>
              <w:t xml:space="preserve">Participants heard of the program via bill inserts, mailers, and word of mouth. </w:t>
            </w:r>
          </w:p>
          <w:p w:rsidR="00183636" w:rsidRPr="00661E10" w:rsidRDefault="00183636" w:rsidP="009349F1">
            <w:pPr>
              <w:numPr>
                <w:ilvl w:val="0"/>
                <w:numId w:val="12"/>
              </w:numPr>
              <w:autoSpaceDE w:val="0"/>
              <w:autoSpaceDN w:val="0"/>
              <w:adjustRightInd w:val="0"/>
              <w:ind w:left="245" w:hanging="187"/>
              <w:contextualSpacing/>
              <w:jc w:val="left"/>
              <w:rPr>
                <w:sz w:val="20"/>
              </w:rPr>
            </w:pPr>
            <w:r w:rsidRPr="00661E10">
              <w:rPr>
                <w:sz w:val="20"/>
              </w:rPr>
              <w:t>Limited-time discount offers by PECO were successful in increasing customer participation.</w:t>
            </w:r>
          </w:p>
        </w:tc>
        <w:tc>
          <w:tcPr>
            <w:tcW w:w="2631" w:type="dxa"/>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sz w:val="20"/>
              </w:rPr>
            </w:pPr>
            <w:r w:rsidRPr="00661E10">
              <w:rPr>
                <w:sz w:val="20"/>
                <w:szCs w:val="20"/>
              </w:rPr>
              <w:t>Participant survey (</w:t>
            </w:r>
            <w:r>
              <w:rPr>
                <w:sz w:val="20"/>
                <w:szCs w:val="20"/>
              </w:rPr>
              <w:t>n</w:t>
            </w:r>
            <w:r w:rsidRPr="00661E10">
              <w:rPr>
                <w:sz w:val="20"/>
                <w:szCs w:val="20"/>
              </w:rPr>
              <w:t>=130)</w:t>
            </w:r>
          </w:p>
          <w:p w:rsidR="00183636" w:rsidRPr="00661E10" w:rsidRDefault="00183636" w:rsidP="009349F1">
            <w:pPr>
              <w:numPr>
                <w:ilvl w:val="0"/>
                <w:numId w:val="12"/>
              </w:numPr>
              <w:autoSpaceDE w:val="0"/>
              <w:autoSpaceDN w:val="0"/>
              <w:adjustRightInd w:val="0"/>
              <w:ind w:left="232" w:hanging="180"/>
              <w:contextualSpacing/>
              <w:jc w:val="left"/>
              <w:rPr>
                <w:sz w:val="20"/>
              </w:rPr>
            </w:pPr>
            <w:r w:rsidRPr="00661E10">
              <w:rPr>
                <w:sz w:val="20"/>
                <w:szCs w:val="20"/>
              </w:rPr>
              <w:t>Interview with program manager and implementer</w:t>
            </w:r>
          </w:p>
        </w:tc>
      </w:tr>
      <w:tr w:rsidR="00E7173E" w:rsidRPr="00661E10" w:rsidTr="00276F1A">
        <w:trPr>
          <w:trHeight w:val="141"/>
          <w:jc w:val="center"/>
        </w:trPr>
        <w:tc>
          <w:tcPr>
            <w:tcW w:w="1447" w:type="dxa"/>
            <w:shd w:val="clear" w:color="auto" w:fill="D2EAF1"/>
          </w:tcPr>
          <w:p w:rsidR="00183636" w:rsidRPr="00661E10" w:rsidRDefault="00183636" w:rsidP="005C1352">
            <w:pPr>
              <w:jc w:val="left"/>
              <w:rPr>
                <w:sz w:val="20"/>
              </w:rPr>
            </w:pPr>
            <w:r>
              <w:rPr>
                <w:sz w:val="20"/>
              </w:rPr>
              <w:t>Smart Appliance Recycling (</w:t>
            </w:r>
            <w:r w:rsidRPr="00661E10">
              <w:rPr>
                <w:sz w:val="20"/>
              </w:rPr>
              <w:t>SAR</w:t>
            </w:r>
            <w:r>
              <w:rPr>
                <w:sz w:val="20"/>
              </w:rPr>
              <w:t>)</w:t>
            </w:r>
          </w:p>
        </w:tc>
        <w:tc>
          <w:tcPr>
            <w:tcW w:w="5293" w:type="dxa"/>
            <w:shd w:val="clear" w:color="auto" w:fill="D2EAF1"/>
          </w:tcPr>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 xml:space="preserve">JACO’s bankruptcy was likely responsible for SAR failing to reach its PY7 and Phase II </w:t>
            </w:r>
            <w:r w:rsidR="004A1C17">
              <w:rPr>
                <w:sz w:val="20"/>
              </w:rPr>
              <w:t xml:space="preserve">energy savings </w:t>
            </w:r>
            <w:r w:rsidRPr="00661E10">
              <w:rPr>
                <w:sz w:val="20"/>
              </w:rPr>
              <w:t>goals.</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JACO’s closure interfered with the delivery of rebates.</w:t>
            </w:r>
          </w:p>
          <w:p w:rsidR="00183636" w:rsidRPr="00661E10" w:rsidRDefault="008F60D2" w:rsidP="009349F1">
            <w:pPr>
              <w:numPr>
                <w:ilvl w:val="0"/>
                <w:numId w:val="12"/>
              </w:numPr>
              <w:autoSpaceDE w:val="0"/>
              <w:autoSpaceDN w:val="0"/>
              <w:adjustRightInd w:val="0"/>
              <w:ind w:left="245" w:hanging="187"/>
              <w:contextualSpacing/>
              <w:jc w:val="left"/>
              <w:rPr>
                <w:color w:val="365F91"/>
                <w:sz w:val="20"/>
                <w:szCs w:val="20"/>
              </w:rPr>
            </w:pPr>
            <w:r w:rsidRPr="008F60D2">
              <w:rPr>
                <w:sz w:val="20"/>
              </w:rPr>
              <w:t>Program satisfaction among customers who were affected by the JACO closure dropped, but this had a minor impact on overall program satisfaction.</w:t>
            </w:r>
          </w:p>
        </w:tc>
        <w:tc>
          <w:tcPr>
            <w:tcW w:w="2631" w:type="dxa"/>
            <w:shd w:val="clear" w:color="auto" w:fill="D2EAF1"/>
          </w:tcPr>
          <w:p w:rsidR="00183636" w:rsidRPr="00661E10" w:rsidRDefault="00183636" w:rsidP="009349F1">
            <w:pPr>
              <w:numPr>
                <w:ilvl w:val="0"/>
                <w:numId w:val="11"/>
              </w:numPr>
              <w:autoSpaceDE w:val="0"/>
              <w:autoSpaceDN w:val="0"/>
              <w:adjustRightInd w:val="0"/>
              <w:ind w:left="232" w:hanging="180"/>
              <w:contextualSpacing/>
              <w:jc w:val="left"/>
              <w:rPr>
                <w:rFonts w:cs="Calibri"/>
                <w:sz w:val="20"/>
                <w:szCs w:val="20"/>
              </w:rPr>
            </w:pPr>
            <w:r w:rsidRPr="00661E10">
              <w:rPr>
                <w:rFonts w:cs="Calibri"/>
                <w:sz w:val="20"/>
                <w:szCs w:val="20"/>
              </w:rPr>
              <w:t>PY7 Q1–Q4 tracking data</w:t>
            </w:r>
          </w:p>
          <w:p w:rsidR="00183636" w:rsidRPr="00661E10" w:rsidRDefault="00183636" w:rsidP="009349F1">
            <w:pPr>
              <w:numPr>
                <w:ilvl w:val="0"/>
                <w:numId w:val="11"/>
              </w:numPr>
              <w:autoSpaceDE w:val="0"/>
              <w:autoSpaceDN w:val="0"/>
              <w:adjustRightInd w:val="0"/>
              <w:ind w:left="232" w:hanging="180"/>
              <w:contextualSpacing/>
              <w:jc w:val="left"/>
              <w:rPr>
                <w:rFonts w:cs="Calibri"/>
                <w:sz w:val="20"/>
                <w:szCs w:val="20"/>
              </w:rPr>
            </w:pPr>
            <w:r w:rsidRPr="00661E10">
              <w:rPr>
                <w:rFonts w:cs="Calibri"/>
                <w:sz w:val="20"/>
                <w:szCs w:val="20"/>
              </w:rPr>
              <w:t>Participant survey (</w:t>
            </w:r>
            <w:r>
              <w:rPr>
                <w:rFonts w:cs="Calibri"/>
                <w:sz w:val="20"/>
                <w:szCs w:val="20"/>
              </w:rPr>
              <w:t>n</w:t>
            </w:r>
            <w:r w:rsidRPr="00661E10">
              <w:rPr>
                <w:sz w:val="20"/>
                <w:szCs w:val="20"/>
              </w:rPr>
              <w:t>=</w:t>
            </w:r>
            <w:r w:rsidRPr="00661E10">
              <w:rPr>
                <w:rFonts w:cs="Calibri"/>
                <w:sz w:val="20"/>
                <w:szCs w:val="20"/>
              </w:rPr>
              <w:t>130)</w:t>
            </w:r>
          </w:p>
          <w:p w:rsidR="00183636" w:rsidRPr="00661E10" w:rsidRDefault="00183636" w:rsidP="009349F1">
            <w:pPr>
              <w:numPr>
                <w:ilvl w:val="0"/>
                <w:numId w:val="11"/>
              </w:numPr>
              <w:autoSpaceDE w:val="0"/>
              <w:autoSpaceDN w:val="0"/>
              <w:adjustRightInd w:val="0"/>
              <w:ind w:left="232" w:hanging="180"/>
              <w:contextualSpacing/>
              <w:jc w:val="left"/>
              <w:rPr>
                <w:rFonts w:cs="Calibri"/>
                <w:sz w:val="20"/>
                <w:szCs w:val="20"/>
              </w:rPr>
            </w:pPr>
            <w:r w:rsidRPr="00661E10">
              <w:rPr>
                <w:sz w:val="20"/>
                <w:szCs w:val="20"/>
              </w:rPr>
              <w:t>Interview with program manager</w:t>
            </w:r>
          </w:p>
        </w:tc>
      </w:tr>
      <w:tr w:rsidR="00183636" w:rsidRPr="00661E10" w:rsidTr="00276F1A">
        <w:trPr>
          <w:trHeight w:val="141"/>
          <w:jc w:val="center"/>
        </w:trPr>
        <w:tc>
          <w:tcPr>
            <w:tcW w:w="1447" w:type="dxa"/>
          </w:tcPr>
          <w:p w:rsidR="00183636" w:rsidRPr="00661E10" w:rsidRDefault="00183636" w:rsidP="005C1352">
            <w:pPr>
              <w:jc w:val="left"/>
              <w:rPr>
                <w:sz w:val="20"/>
              </w:rPr>
            </w:pPr>
            <w:r>
              <w:rPr>
                <w:sz w:val="20"/>
              </w:rPr>
              <w:t>Smart Usage Profile (</w:t>
            </w:r>
            <w:r w:rsidRPr="00661E10">
              <w:rPr>
                <w:sz w:val="20"/>
              </w:rPr>
              <w:t>SUP</w:t>
            </w:r>
            <w:r>
              <w:rPr>
                <w:sz w:val="20"/>
              </w:rPr>
              <w:t>)</w:t>
            </w:r>
          </w:p>
        </w:tc>
        <w:tc>
          <w:tcPr>
            <w:tcW w:w="5293" w:type="dxa"/>
          </w:tcPr>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Program savings will likely increase in Phase III since more households will receive HERs in Phase III.</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 xml:space="preserve">SUP participants were successfully channeled into the </w:t>
            </w:r>
            <w:r w:rsidR="004A1C17" w:rsidRPr="00661E10">
              <w:rPr>
                <w:sz w:val="20"/>
              </w:rPr>
              <w:t>S</w:t>
            </w:r>
            <w:r w:rsidR="004A1C17">
              <w:rPr>
                <w:sz w:val="20"/>
              </w:rPr>
              <w:t>HC</w:t>
            </w:r>
            <w:r w:rsidRPr="00661E10">
              <w:rPr>
                <w:sz w:val="20"/>
              </w:rPr>
              <w:t xml:space="preserve"> program.</w:t>
            </w:r>
          </w:p>
          <w:p w:rsidR="00183636" w:rsidRPr="00661E10" w:rsidRDefault="004A1C17" w:rsidP="009349F1">
            <w:pPr>
              <w:numPr>
                <w:ilvl w:val="0"/>
                <w:numId w:val="11"/>
              </w:numPr>
              <w:autoSpaceDE w:val="0"/>
              <w:autoSpaceDN w:val="0"/>
              <w:adjustRightInd w:val="0"/>
              <w:ind w:left="232" w:hanging="180"/>
              <w:contextualSpacing/>
              <w:jc w:val="left"/>
              <w:rPr>
                <w:sz w:val="20"/>
              </w:rPr>
            </w:pPr>
            <w:r>
              <w:rPr>
                <w:sz w:val="20"/>
              </w:rPr>
              <w:t>Relatively</w:t>
            </w:r>
            <w:r w:rsidR="00183636" w:rsidRPr="00661E10">
              <w:rPr>
                <w:sz w:val="20"/>
              </w:rPr>
              <w:t xml:space="preserve"> few household characteristics </w:t>
            </w:r>
            <w:r>
              <w:rPr>
                <w:sz w:val="20"/>
              </w:rPr>
              <w:t xml:space="preserve">specific to each customer </w:t>
            </w:r>
            <w:r w:rsidR="00183636" w:rsidRPr="00661E10">
              <w:rPr>
                <w:sz w:val="20"/>
              </w:rPr>
              <w:t>were used to tailor program messaging or reports.</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A low percentage of customers received electronic HERs; those who did had a lower rate of customer complaints and a higher rate of customer engagement.</w:t>
            </w:r>
          </w:p>
        </w:tc>
        <w:tc>
          <w:tcPr>
            <w:tcW w:w="2631" w:type="dxa"/>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rFonts w:cs="Calibri"/>
                <w:sz w:val="20"/>
                <w:szCs w:val="20"/>
              </w:rPr>
            </w:pPr>
            <w:r w:rsidRPr="00661E10">
              <w:rPr>
                <w:sz w:val="20"/>
                <w:szCs w:val="20"/>
              </w:rPr>
              <w:t>Interview with program manager and implementer</w:t>
            </w:r>
          </w:p>
        </w:tc>
      </w:tr>
      <w:tr w:rsidR="00E7173E" w:rsidRPr="00661E10" w:rsidTr="00276F1A">
        <w:trPr>
          <w:trHeight w:val="141"/>
          <w:jc w:val="center"/>
        </w:trPr>
        <w:tc>
          <w:tcPr>
            <w:tcW w:w="1447" w:type="dxa"/>
            <w:shd w:val="clear" w:color="auto" w:fill="DAEEF3" w:themeFill="accent5" w:themeFillTint="33"/>
          </w:tcPr>
          <w:p w:rsidR="00183636" w:rsidRPr="00661E10" w:rsidRDefault="00183636" w:rsidP="005C1352">
            <w:pPr>
              <w:jc w:val="left"/>
              <w:rPr>
                <w:sz w:val="20"/>
              </w:rPr>
            </w:pPr>
            <w:r>
              <w:rPr>
                <w:sz w:val="20"/>
              </w:rPr>
              <w:t>Smart Energy Saver (</w:t>
            </w:r>
            <w:r w:rsidRPr="00661E10">
              <w:rPr>
                <w:sz w:val="20"/>
              </w:rPr>
              <w:t>SES</w:t>
            </w:r>
            <w:r>
              <w:rPr>
                <w:sz w:val="20"/>
              </w:rPr>
              <w:t>)</w:t>
            </w:r>
          </w:p>
        </w:tc>
        <w:tc>
          <w:tcPr>
            <w:tcW w:w="5293" w:type="dxa"/>
            <w:shd w:val="clear" w:color="auto" w:fill="DAEEF3" w:themeFill="accent5" w:themeFillTint="33"/>
          </w:tcPr>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 xml:space="preserve">TRM assumed that kit nightlights were replacing existing nightlights; in two-thirds of cases the kit nightlights did not replace existing nightlights. </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SES implementation deviated from the plan; more than half of student installation surveys were filled out in the classroom rather than at home, and not all unused kits made it back to the program.</w:t>
            </w:r>
          </w:p>
        </w:tc>
        <w:tc>
          <w:tcPr>
            <w:tcW w:w="2631" w:type="dxa"/>
            <w:shd w:val="clear" w:color="auto" w:fill="DAEEF3" w:themeFill="accent5" w:themeFillTint="33"/>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rFonts w:cs="Calibri"/>
                <w:sz w:val="20"/>
                <w:szCs w:val="20"/>
              </w:rPr>
            </w:pPr>
            <w:r>
              <w:rPr>
                <w:rFonts w:cs="Calibri"/>
                <w:sz w:val="20"/>
                <w:szCs w:val="20"/>
              </w:rPr>
              <w:t>R</w:t>
            </w:r>
            <w:r w:rsidRPr="00661E10">
              <w:rPr>
                <w:rFonts w:cs="Calibri"/>
                <w:sz w:val="20"/>
                <w:szCs w:val="20"/>
              </w:rPr>
              <w:t>eturned student installation surveys</w:t>
            </w:r>
          </w:p>
        </w:tc>
      </w:tr>
      <w:tr w:rsidR="00183636" w:rsidRPr="00661E10" w:rsidTr="00276F1A">
        <w:trPr>
          <w:trHeight w:val="141"/>
          <w:jc w:val="center"/>
        </w:trPr>
        <w:tc>
          <w:tcPr>
            <w:tcW w:w="1447" w:type="dxa"/>
          </w:tcPr>
          <w:p w:rsidR="00183636" w:rsidRPr="00661E10" w:rsidRDefault="00183636" w:rsidP="005C1352">
            <w:pPr>
              <w:jc w:val="left"/>
              <w:rPr>
                <w:sz w:val="20"/>
              </w:rPr>
            </w:pPr>
            <w:r>
              <w:rPr>
                <w:sz w:val="20"/>
              </w:rPr>
              <w:t>Smart Builder Rebates (</w:t>
            </w:r>
            <w:r w:rsidRPr="00661E10">
              <w:rPr>
                <w:sz w:val="20"/>
              </w:rPr>
              <w:t>SBR</w:t>
            </w:r>
            <w:r>
              <w:rPr>
                <w:sz w:val="20"/>
              </w:rPr>
              <w:t>)</w:t>
            </w:r>
          </w:p>
        </w:tc>
        <w:tc>
          <w:tcPr>
            <w:tcW w:w="5293" w:type="dxa"/>
          </w:tcPr>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All interviewed builders were satisfied with the rater and program implementation staff; builders reported lower satisfaction with marketing and training assistance.</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It took an average of 131 days for builders to receive incentive; prompt payment of the incentive was a high priority for builders.</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Additional cost and lack of educated HVAC contractors were the key challenges for builders when building ENERGY STAR (ES) homes.</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 xml:space="preserve">84% of the homes built by interviewed builders received a rebate via the program; thus there was little room for increasing ES home market penetration among </w:t>
            </w:r>
            <w:r w:rsidR="00374126">
              <w:rPr>
                <w:sz w:val="20"/>
              </w:rPr>
              <w:t xml:space="preserve">existing </w:t>
            </w:r>
            <w:r w:rsidRPr="00661E10">
              <w:rPr>
                <w:sz w:val="20"/>
              </w:rPr>
              <w:t>participating builders.</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PY7 ES home market penetration ranged from 1% to 14% across counties in PECO territory.</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Implementer outreach efforts suggest that incentives for ES homes are not sufficient to overcome cost barriers to participation.</w:t>
            </w:r>
          </w:p>
        </w:tc>
        <w:tc>
          <w:tcPr>
            <w:tcW w:w="2631" w:type="dxa"/>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rFonts w:cs="Calibri"/>
                <w:sz w:val="20"/>
                <w:szCs w:val="20"/>
              </w:rPr>
            </w:pPr>
            <w:r w:rsidRPr="00661E10">
              <w:rPr>
                <w:sz w:val="20"/>
                <w:szCs w:val="20"/>
              </w:rPr>
              <w:t>Interview with program manager and implementer</w:t>
            </w:r>
          </w:p>
          <w:p w:rsidR="00183636" w:rsidRPr="00661E10" w:rsidRDefault="00183636" w:rsidP="009349F1">
            <w:pPr>
              <w:numPr>
                <w:ilvl w:val="0"/>
                <w:numId w:val="12"/>
              </w:numPr>
              <w:autoSpaceDE w:val="0"/>
              <w:autoSpaceDN w:val="0"/>
              <w:adjustRightInd w:val="0"/>
              <w:ind w:left="232" w:hanging="180"/>
              <w:contextualSpacing/>
              <w:jc w:val="left"/>
              <w:rPr>
                <w:rFonts w:cs="Calibri"/>
                <w:sz w:val="20"/>
                <w:szCs w:val="20"/>
              </w:rPr>
            </w:pPr>
            <w:r w:rsidRPr="00661E10">
              <w:rPr>
                <w:sz w:val="20"/>
                <w:szCs w:val="20"/>
              </w:rPr>
              <w:t>7 interviews with participating builders</w:t>
            </w:r>
          </w:p>
        </w:tc>
      </w:tr>
      <w:tr w:rsidR="00E7173E" w:rsidRPr="00661E10" w:rsidTr="00276F1A">
        <w:trPr>
          <w:trHeight w:val="141"/>
          <w:jc w:val="center"/>
        </w:trPr>
        <w:tc>
          <w:tcPr>
            <w:tcW w:w="1447" w:type="dxa"/>
            <w:shd w:val="clear" w:color="auto" w:fill="DAEEF3" w:themeFill="accent5" w:themeFillTint="33"/>
          </w:tcPr>
          <w:p w:rsidR="00183636" w:rsidRPr="00661E10" w:rsidRDefault="00183636" w:rsidP="005C1352">
            <w:pPr>
              <w:jc w:val="left"/>
              <w:rPr>
                <w:sz w:val="20"/>
              </w:rPr>
            </w:pPr>
            <w:r>
              <w:rPr>
                <w:sz w:val="20"/>
              </w:rPr>
              <w:t>Smart AC Saver (</w:t>
            </w:r>
            <w:r w:rsidRPr="00661E10">
              <w:rPr>
                <w:sz w:val="20"/>
              </w:rPr>
              <w:t>SACS</w:t>
            </w:r>
            <w:r>
              <w:rPr>
                <w:sz w:val="20"/>
              </w:rPr>
              <w:t>) – Residential</w:t>
            </w:r>
          </w:p>
        </w:tc>
        <w:tc>
          <w:tcPr>
            <w:tcW w:w="5293" w:type="dxa"/>
            <w:shd w:val="clear" w:color="auto" w:fill="DAEEF3" w:themeFill="accent5" w:themeFillTint="33"/>
          </w:tcPr>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Evaluation contractor received Insufficient AMI data for the level of impact analysis needed in PY8 and beyond.</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Over 90% of surveyed participants were satisfied with the program.</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Participants generally are not aware of events.</w:t>
            </w:r>
          </w:p>
          <w:p w:rsidR="00183636" w:rsidRPr="00661E10" w:rsidRDefault="00183636" w:rsidP="009349F1">
            <w:pPr>
              <w:numPr>
                <w:ilvl w:val="0"/>
                <w:numId w:val="11"/>
              </w:numPr>
              <w:autoSpaceDE w:val="0"/>
              <w:autoSpaceDN w:val="0"/>
              <w:adjustRightInd w:val="0"/>
              <w:ind w:left="232" w:hanging="180"/>
              <w:contextualSpacing/>
              <w:jc w:val="left"/>
              <w:rPr>
                <w:rFonts w:cs="Calibri"/>
                <w:color w:val="000000"/>
              </w:rPr>
            </w:pPr>
            <w:r w:rsidRPr="00661E10">
              <w:rPr>
                <w:sz w:val="20"/>
              </w:rPr>
              <w:t>One-third of surveyed participants noted they would not participate if the incentives were cut by half. Note that prior participants also reported unwillingness to accept a lower incentive; yet when the incentive was cut from $120 to $80 per summer, very few participants dropped out of the program.</w:t>
            </w:r>
          </w:p>
        </w:tc>
        <w:tc>
          <w:tcPr>
            <w:tcW w:w="2631" w:type="dxa"/>
            <w:shd w:val="clear" w:color="auto" w:fill="DAEEF3" w:themeFill="accent5" w:themeFillTint="33"/>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Participant survey (</w:t>
            </w:r>
            <w:r>
              <w:rPr>
                <w:sz w:val="20"/>
                <w:szCs w:val="20"/>
              </w:rPr>
              <w:t>n</w:t>
            </w:r>
            <w:r w:rsidRPr="00661E10">
              <w:rPr>
                <w:sz w:val="20"/>
                <w:szCs w:val="20"/>
              </w:rPr>
              <w:t>=70)</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 xml:space="preserve">Interview with program manager </w:t>
            </w:r>
          </w:p>
        </w:tc>
      </w:tr>
      <w:tr w:rsidR="00E7173E" w:rsidRPr="00661E10" w:rsidTr="00276F1A">
        <w:trPr>
          <w:trHeight w:val="141"/>
          <w:jc w:val="center"/>
        </w:trPr>
        <w:tc>
          <w:tcPr>
            <w:tcW w:w="1447" w:type="dxa"/>
            <w:shd w:val="clear" w:color="auto" w:fill="auto"/>
          </w:tcPr>
          <w:p w:rsidR="00183636" w:rsidRPr="00661E10" w:rsidRDefault="00183636" w:rsidP="005C1352">
            <w:pPr>
              <w:jc w:val="left"/>
              <w:rPr>
                <w:sz w:val="20"/>
              </w:rPr>
            </w:pPr>
            <w:r>
              <w:rPr>
                <w:sz w:val="20"/>
              </w:rPr>
              <w:t>Smart Multi-Family Solutions (</w:t>
            </w:r>
            <w:r w:rsidRPr="00661E10">
              <w:rPr>
                <w:sz w:val="20"/>
              </w:rPr>
              <w:t>SMF</w:t>
            </w:r>
            <w:r>
              <w:rPr>
                <w:sz w:val="20"/>
              </w:rPr>
              <w:t>) – Residential</w:t>
            </w:r>
          </w:p>
        </w:tc>
        <w:tc>
          <w:tcPr>
            <w:tcW w:w="5293" w:type="dxa"/>
            <w:shd w:val="clear" w:color="auto" w:fill="auto"/>
          </w:tcPr>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Free-ridership in PY7 increased over PY6 (from 0.25 to 0.43 in the residential sector).</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Most participants (71%) were contacted about the program by the implementer.</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 xml:space="preserve">The majority of landlords were not aware of or able to recall offerings through the program’s prescriptive channel. </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50% of participating landlords recalled receiving an audit report, and of those, 25% reported that the program representative did not review the report with them.</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Participants were satisfied with the program.</w:t>
            </w:r>
          </w:p>
        </w:tc>
        <w:tc>
          <w:tcPr>
            <w:tcW w:w="2631" w:type="dxa"/>
            <w:shd w:val="clear" w:color="auto" w:fill="auto"/>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Participant survey (</w:t>
            </w:r>
            <w:r>
              <w:rPr>
                <w:sz w:val="20"/>
                <w:szCs w:val="20"/>
              </w:rPr>
              <w:t>n</w:t>
            </w:r>
            <w:r w:rsidRPr="00661E10">
              <w:rPr>
                <w:sz w:val="20"/>
                <w:szCs w:val="20"/>
              </w:rPr>
              <w:t>=48)</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Interview with program manager and implementer</w:t>
            </w:r>
          </w:p>
        </w:tc>
      </w:tr>
      <w:tr w:rsidR="00E7173E" w:rsidRPr="00661E10" w:rsidTr="00276F1A">
        <w:trPr>
          <w:trHeight w:val="141"/>
          <w:jc w:val="center"/>
        </w:trPr>
        <w:tc>
          <w:tcPr>
            <w:tcW w:w="9371" w:type="dxa"/>
            <w:gridSpan w:val="3"/>
            <w:shd w:val="clear" w:color="auto" w:fill="9C9393"/>
            <w:hideMark/>
          </w:tcPr>
          <w:p w:rsidR="00183636" w:rsidRPr="00661E10" w:rsidRDefault="00183636" w:rsidP="005C1352">
            <w:pPr>
              <w:ind w:left="139" w:hanging="180"/>
              <w:jc w:val="left"/>
              <w:rPr>
                <w:b/>
                <w:i/>
                <w:sz w:val="20"/>
              </w:rPr>
            </w:pPr>
            <w:r w:rsidRPr="00661E10">
              <w:rPr>
                <w:b/>
                <w:color w:val="FFFFFF"/>
                <w:sz w:val="20"/>
              </w:rPr>
              <w:t xml:space="preserve">Low-Income </w:t>
            </w:r>
            <w:r w:rsidRPr="00661E10">
              <w:rPr>
                <w:b/>
                <w:color w:val="FFFFFF"/>
                <w:sz w:val="20"/>
                <w:szCs w:val="20"/>
              </w:rPr>
              <w:t>Sector</w:t>
            </w:r>
          </w:p>
        </w:tc>
      </w:tr>
      <w:tr w:rsidR="00E7173E" w:rsidRPr="00661E10" w:rsidTr="00276F1A">
        <w:trPr>
          <w:trHeight w:val="141"/>
          <w:jc w:val="center"/>
        </w:trPr>
        <w:tc>
          <w:tcPr>
            <w:tcW w:w="1447" w:type="dxa"/>
            <w:shd w:val="clear" w:color="auto" w:fill="D2EAF1"/>
            <w:vAlign w:val="center"/>
          </w:tcPr>
          <w:p w:rsidR="00183636" w:rsidRPr="00661E10" w:rsidRDefault="00183636" w:rsidP="005C1352">
            <w:pPr>
              <w:jc w:val="left"/>
              <w:rPr>
                <w:color w:val="000000"/>
                <w:sz w:val="20"/>
              </w:rPr>
            </w:pPr>
            <w:r>
              <w:rPr>
                <w:color w:val="000000"/>
                <w:sz w:val="20"/>
              </w:rPr>
              <w:t>Low-Income Energy Efficiency (LEEP)</w:t>
            </w:r>
          </w:p>
        </w:tc>
        <w:tc>
          <w:tcPr>
            <w:tcW w:w="5293" w:type="dxa"/>
            <w:shd w:val="clear" w:color="auto" w:fill="D2EAF1"/>
          </w:tcPr>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The majority of participants (89%) were satisfied with the program.</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CFL socke</w:t>
            </w:r>
            <w:r>
              <w:rPr>
                <w:sz w:val="20"/>
              </w:rPr>
              <w:t>t</w:t>
            </w:r>
            <w:r w:rsidRPr="00661E10">
              <w:rPr>
                <w:sz w:val="20"/>
              </w:rPr>
              <w:t xml:space="preserve"> saturation increased in the low-income community.</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The educational materials provided to participants did not have a clear call to action. Additionally, more than half of Component 3 survey respondents reported not receiving or not remembering receiving the materials.</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Defining customers through the CAP rate tariff (applies to Components 1 and 2) has the potential to miss eligible participants.</w:t>
            </w:r>
          </w:p>
          <w:p w:rsidR="00183636" w:rsidRPr="00661E10" w:rsidRDefault="00183636" w:rsidP="009349F1">
            <w:pPr>
              <w:numPr>
                <w:ilvl w:val="0"/>
                <w:numId w:val="11"/>
              </w:numPr>
              <w:autoSpaceDE w:val="0"/>
              <w:autoSpaceDN w:val="0"/>
              <w:adjustRightInd w:val="0"/>
              <w:ind w:left="232" w:hanging="180"/>
              <w:contextualSpacing/>
              <w:jc w:val="left"/>
              <w:rPr>
                <w:sz w:val="20"/>
              </w:rPr>
            </w:pPr>
            <w:r w:rsidRPr="00661E10">
              <w:rPr>
                <w:sz w:val="20"/>
              </w:rPr>
              <w:t>The majority of LEEP customers (55%) were served through Component 3 (free CFL giveaways).</w:t>
            </w:r>
          </w:p>
        </w:tc>
        <w:tc>
          <w:tcPr>
            <w:tcW w:w="2631" w:type="dxa"/>
            <w:shd w:val="clear" w:color="auto" w:fill="D2EAF1"/>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Participant survey (</w:t>
            </w:r>
            <w:r>
              <w:rPr>
                <w:sz w:val="20"/>
                <w:szCs w:val="20"/>
              </w:rPr>
              <w:t>n</w:t>
            </w:r>
            <w:r w:rsidRPr="00661E10">
              <w:rPr>
                <w:sz w:val="20"/>
                <w:szCs w:val="20"/>
              </w:rPr>
              <w:t>=90)</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19 site visits</w:t>
            </w:r>
          </w:p>
          <w:p w:rsidR="00183636" w:rsidRPr="00661E10" w:rsidRDefault="00183636" w:rsidP="009349F1">
            <w:pPr>
              <w:numPr>
                <w:ilvl w:val="0"/>
                <w:numId w:val="12"/>
              </w:numPr>
              <w:autoSpaceDE w:val="0"/>
              <w:autoSpaceDN w:val="0"/>
              <w:adjustRightInd w:val="0"/>
              <w:ind w:left="232" w:hanging="180"/>
              <w:contextualSpacing/>
              <w:jc w:val="left"/>
              <w:rPr>
                <w:sz w:val="20"/>
              </w:rPr>
            </w:pPr>
            <w:r w:rsidRPr="00661E10">
              <w:rPr>
                <w:sz w:val="20"/>
                <w:szCs w:val="20"/>
              </w:rPr>
              <w:t>Interview with program manager and implementer</w:t>
            </w:r>
          </w:p>
        </w:tc>
      </w:tr>
      <w:tr w:rsidR="00E7173E" w:rsidRPr="00661E10" w:rsidTr="00276F1A">
        <w:trPr>
          <w:trHeight w:val="141"/>
          <w:jc w:val="center"/>
        </w:trPr>
        <w:tc>
          <w:tcPr>
            <w:tcW w:w="9371" w:type="dxa"/>
            <w:gridSpan w:val="3"/>
            <w:shd w:val="clear" w:color="auto" w:fill="9C9393"/>
            <w:hideMark/>
          </w:tcPr>
          <w:p w:rsidR="00183636" w:rsidRPr="00661E10" w:rsidRDefault="00183636" w:rsidP="005C1352">
            <w:pPr>
              <w:ind w:left="139" w:hanging="180"/>
              <w:jc w:val="left"/>
              <w:rPr>
                <w:b/>
                <w:i/>
                <w:sz w:val="20"/>
              </w:rPr>
            </w:pPr>
            <w:r w:rsidRPr="00661E10">
              <w:rPr>
                <w:b/>
                <w:color w:val="FFFFFF"/>
                <w:sz w:val="20"/>
              </w:rPr>
              <w:t xml:space="preserve">Non-Residential </w:t>
            </w:r>
            <w:r w:rsidRPr="00661E10">
              <w:rPr>
                <w:b/>
                <w:color w:val="FFFFFF"/>
                <w:sz w:val="20"/>
                <w:szCs w:val="20"/>
              </w:rPr>
              <w:t>Sector</w:t>
            </w:r>
          </w:p>
        </w:tc>
      </w:tr>
      <w:tr w:rsidR="00183636" w:rsidRPr="00661E10" w:rsidTr="00276F1A">
        <w:trPr>
          <w:trHeight w:val="141"/>
          <w:jc w:val="center"/>
        </w:trPr>
        <w:tc>
          <w:tcPr>
            <w:tcW w:w="1447" w:type="dxa"/>
          </w:tcPr>
          <w:p w:rsidR="00183636" w:rsidRPr="00661E10" w:rsidRDefault="00183636" w:rsidP="005C1352">
            <w:pPr>
              <w:jc w:val="left"/>
              <w:rPr>
                <w:sz w:val="20"/>
              </w:rPr>
            </w:pPr>
            <w:r>
              <w:rPr>
                <w:sz w:val="20"/>
              </w:rPr>
              <w:t>Smart AC Saver (</w:t>
            </w:r>
            <w:r w:rsidRPr="00661E10">
              <w:rPr>
                <w:sz w:val="20"/>
              </w:rPr>
              <w:t>SACS</w:t>
            </w:r>
            <w:r>
              <w:rPr>
                <w:sz w:val="20"/>
              </w:rPr>
              <w:t>)</w:t>
            </w:r>
            <w:r w:rsidRPr="00661E10">
              <w:rPr>
                <w:sz w:val="20"/>
              </w:rPr>
              <w:t xml:space="preserve"> – </w:t>
            </w:r>
            <w:r>
              <w:rPr>
                <w:sz w:val="20"/>
              </w:rPr>
              <w:t>Commercial</w:t>
            </w:r>
          </w:p>
        </w:tc>
        <w:tc>
          <w:tcPr>
            <w:tcW w:w="5293" w:type="dxa"/>
          </w:tcPr>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Same findings as reported for SACS</w:t>
            </w:r>
            <w:r>
              <w:rPr>
                <w:rFonts w:cs="Calibri"/>
                <w:sz w:val="20"/>
                <w:szCs w:val="20"/>
              </w:rPr>
              <w:t xml:space="preserve"> - Residential</w:t>
            </w:r>
            <w:r w:rsidRPr="00661E10">
              <w:rPr>
                <w:rFonts w:cs="Calibri"/>
                <w:sz w:val="20"/>
                <w:szCs w:val="20"/>
              </w:rPr>
              <w:t xml:space="preserve"> above</w:t>
            </w:r>
          </w:p>
        </w:tc>
        <w:tc>
          <w:tcPr>
            <w:tcW w:w="2631" w:type="dxa"/>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Participant survey (</w:t>
            </w:r>
            <w:r>
              <w:rPr>
                <w:sz w:val="20"/>
                <w:szCs w:val="20"/>
              </w:rPr>
              <w:t>n</w:t>
            </w:r>
            <w:r w:rsidRPr="00661E10">
              <w:rPr>
                <w:sz w:val="20"/>
                <w:szCs w:val="20"/>
              </w:rPr>
              <w:t>=70)</w:t>
            </w:r>
          </w:p>
          <w:p w:rsidR="00183636" w:rsidRPr="00661E10" w:rsidRDefault="00183636" w:rsidP="009349F1">
            <w:pPr>
              <w:numPr>
                <w:ilvl w:val="0"/>
                <w:numId w:val="12"/>
              </w:numPr>
              <w:autoSpaceDE w:val="0"/>
              <w:autoSpaceDN w:val="0"/>
              <w:adjustRightInd w:val="0"/>
              <w:ind w:left="232" w:hanging="180"/>
              <w:contextualSpacing/>
              <w:jc w:val="left"/>
              <w:rPr>
                <w:sz w:val="20"/>
              </w:rPr>
            </w:pPr>
            <w:r w:rsidRPr="00661E10">
              <w:rPr>
                <w:sz w:val="20"/>
                <w:szCs w:val="20"/>
              </w:rPr>
              <w:t>Interview with program manager</w:t>
            </w:r>
          </w:p>
        </w:tc>
      </w:tr>
      <w:tr w:rsidR="00E7173E" w:rsidRPr="00661E10" w:rsidTr="00276F1A">
        <w:trPr>
          <w:trHeight w:val="141"/>
          <w:jc w:val="center"/>
        </w:trPr>
        <w:tc>
          <w:tcPr>
            <w:tcW w:w="1447" w:type="dxa"/>
            <w:shd w:val="clear" w:color="auto" w:fill="D2EAF1"/>
          </w:tcPr>
          <w:p w:rsidR="00183636" w:rsidRPr="00661E10" w:rsidRDefault="00183636" w:rsidP="005C1352">
            <w:pPr>
              <w:jc w:val="left"/>
              <w:rPr>
                <w:sz w:val="20"/>
              </w:rPr>
            </w:pPr>
            <w:r>
              <w:rPr>
                <w:sz w:val="20"/>
              </w:rPr>
              <w:t>Smart Equipment Incentives (</w:t>
            </w:r>
            <w:r w:rsidRPr="00661E10">
              <w:rPr>
                <w:sz w:val="20"/>
              </w:rPr>
              <w:t>SEI</w:t>
            </w:r>
            <w:r>
              <w:rPr>
                <w:sz w:val="20"/>
              </w:rPr>
              <w:t>)</w:t>
            </w:r>
          </w:p>
        </w:tc>
        <w:tc>
          <w:tcPr>
            <w:tcW w:w="5293" w:type="dxa"/>
            <w:shd w:val="clear" w:color="auto" w:fill="D2EAF1"/>
          </w:tcPr>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Trade allies reported that the trade ally incentive (introduced in PY6) encouraged them to deliver more projects through the program.</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 xml:space="preserve">Program succeeded at reducing the percentage of lighting projects from PY5 to PY7. </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 xml:space="preserve">Interviews and survey responses indicated that in some cases PY7 incentives barely covered the cost of the engineering requirements in the rebate application. </w:t>
            </w:r>
          </w:p>
          <w:p w:rsidR="00183636" w:rsidRPr="00661E10" w:rsidRDefault="00183636" w:rsidP="009349F1">
            <w:pPr>
              <w:numPr>
                <w:ilvl w:val="0"/>
                <w:numId w:val="10"/>
              </w:numPr>
              <w:autoSpaceDE w:val="0"/>
              <w:autoSpaceDN w:val="0"/>
              <w:adjustRightInd w:val="0"/>
              <w:ind w:left="142" w:hanging="180"/>
              <w:contextualSpacing/>
              <w:jc w:val="left"/>
              <w:rPr>
                <w:rFonts w:cs="Calibri"/>
              </w:rPr>
            </w:pPr>
            <w:r w:rsidRPr="00661E10">
              <w:rPr>
                <w:rFonts w:cs="Calibri"/>
                <w:sz w:val="20"/>
                <w:szCs w:val="20"/>
              </w:rPr>
              <w:t>The “limited time offer” marketing campaign brought in more projects in February and March than in May and June.</w:t>
            </w:r>
          </w:p>
        </w:tc>
        <w:tc>
          <w:tcPr>
            <w:tcW w:w="2631" w:type="dxa"/>
            <w:shd w:val="clear" w:color="auto" w:fill="D2EAF1"/>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Pr>
                <w:sz w:val="20"/>
                <w:szCs w:val="20"/>
              </w:rPr>
              <w:t>Participant online survey (n</w:t>
            </w:r>
            <w:r w:rsidRPr="00661E10">
              <w:rPr>
                <w:sz w:val="20"/>
                <w:szCs w:val="20"/>
              </w:rPr>
              <w:t>=86: 51 C/I, 35 GNI)</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Interview with program manager and implementer</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7 trade ally interviews</w:t>
            </w:r>
          </w:p>
        </w:tc>
      </w:tr>
      <w:tr w:rsidR="00183636" w:rsidRPr="00661E10" w:rsidTr="00276F1A">
        <w:trPr>
          <w:trHeight w:val="141"/>
          <w:jc w:val="center"/>
        </w:trPr>
        <w:tc>
          <w:tcPr>
            <w:tcW w:w="1447" w:type="dxa"/>
          </w:tcPr>
          <w:p w:rsidR="00183636" w:rsidRPr="00661E10" w:rsidRDefault="00183636" w:rsidP="005C1352">
            <w:pPr>
              <w:jc w:val="left"/>
              <w:rPr>
                <w:sz w:val="20"/>
              </w:rPr>
            </w:pPr>
            <w:r>
              <w:rPr>
                <w:sz w:val="20"/>
              </w:rPr>
              <w:t>Smart Construction Incentives (</w:t>
            </w:r>
            <w:r w:rsidRPr="00661E10">
              <w:rPr>
                <w:sz w:val="20"/>
              </w:rPr>
              <w:t>SCI</w:t>
            </w:r>
            <w:r>
              <w:rPr>
                <w:sz w:val="20"/>
              </w:rPr>
              <w:t>)</w:t>
            </w:r>
          </w:p>
        </w:tc>
        <w:tc>
          <w:tcPr>
            <w:tcW w:w="5293" w:type="dxa"/>
          </w:tcPr>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 xml:space="preserve">There were several incomplete projects due to: (1) the overzealous pursuit of projects </w:t>
            </w:r>
            <w:r w:rsidR="00374126">
              <w:rPr>
                <w:rFonts w:cs="Calibri"/>
                <w:sz w:val="20"/>
                <w:szCs w:val="20"/>
              </w:rPr>
              <w:t>by the implementer,</w:t>
            </w:r>
            <w:r w:rsidRPr="00661E10">
              <w:rPr>
                <w:rFonts w:cs="Calibri"/>
                <w:sz w:val="20"/>
                <w:szCs w:val="20"/>
              </w:rPr>
              <w:t xml:space="preserve"> despite tight deadlines; (2) empathy for customers rushing to be included in Phase II; (3) implementer confusion about TRM rules for completion and occupancy; and (4) ambiguous language in the program application about certificates of occupancy.</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Energy savings realization rates dropped from over 112% (had the buildings been fully complete and occupied) to 87%.</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 xml:space="preserve">The post-installation inspection reports (which would have alerted staff of a project’s completion status) were often not reviewed in detail by program and implementation staff.  </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 xml:space="preserve">The program improved in PY7 due to the program’s PY6 efforts to identify and requalify committed trade allies. </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 xml:space="preserve">The new construction projects in the program have long lead times. </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Over 75% of portfolio savings are coming from either lighting or custom projects. The majority of savings from custom projects come from lighting measures.</w:t>
            </w:r>
          </w:p>
        </w:tc>
        <w:tc>
          <w:tcPr>
            <w:tcW w:w="2631" w:type="dxa"/>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On-site visits (</w:t>
            </w:r>
            <w:r>
              <w:rPr>
                <w:sz w:val="20"/>
                <w:szCs w:val="20"/>
              </w:rPr>
              <w:t>n</w:t>
            </w:r>
            <w:r w:rsidRPr="00661E10">
              <w:rPr>
                <w:sz w:val="20"/>
                <w:szCs w:val="20"/>
              </w:rPr>
              <w:t>=43)</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Interview with program manager and implementer</w:t>
            </w:r>
          </w:p>
        </w:tc>
      </w:tr>
      <w:tr w:rsidR="00E7173E" w:rsidRPr="00661E10" w:rsidTr="00276F1A">
        <w:trPr>
          <w:trHeight w:val="141"/>
          <w:jc w:val="center"/>
        </w:trPr>
        <w:tc>
          <w:tcPr>
            <w:tcW w:w="1447" w:type="dxa"/>
            <w:shd w:val="clear" w:color="auto" w:fill="DAEEF3" w:themeFill="accent5" w:themeFillTint="33"/>
          </w:tcPr>
          <w:p w:rsidR="00183636" w:rsidRPr="00661E10" w:rsidRDefault="00183636" w:rsidP="005C1352">
            <w:pPr>
              <w:jc w:val="left"/>
              <w:rPr>
                <w:sz w:val="20"/>
              </w:rPr>
            </w:pPr>
            <w:r>
              <w:rPr>
                <w:sz w:val="20"/>
              </w:rPr>
              <w:t>Smart Multifamily Solutions (</w:t>
            </w:r>
            <w:r w:rsidRPr="00661E10">
              <w:rPr>
                <w:sz w:val="20"/>
              </w:rPr>
              <w:t>SMF</w:t>
            </w:r>
            <w:r>
              <w:rPr>
                <w:sz w:val="20"/>
              </w:rPr>
              <w:t>) – Commercial</w:t>
            </w:r>
          </w:p>
        </w:tc>
        <w:tc>
          <w:tcPr>
            <w:tcW w:w="5293" w:type="dxa"/>
            <w:shd w:val="clear" w:color="auto" w:fill="DAEEF3" w:themeFill="accent5" w:themeFillTint="33"/>
          </w:tcPr>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Same findings as reported for SMF</w:t>
            </w:r>
            <w:r>
              <w:rPr>
                <w:rFonts w:cs="Calibri"/>
                <w:sz w:val="20"/>
                <w:szCs w:val="20"/>
              </w:rPr>
              <w:t xml:space="preserve"> – Residential </w:t>
            </w:r>
            <w:r w:rsidRPr="00661E10">
              <w:rPr>
                <w:rFonts w:cs="Calibri"/>
                <w:sz w:val="20"/>
                <w:szCs w:val="20"/>
              </w:rPr>
              <w:t>above</w:t>
            </w:r>
          </w:p>
        </w:tc>
        <w:tc>
          <w:tcPr>
            <w:tcW w:w="2631" w:type="dxa"/>
            <w:shd w:val="clear" w:color="auto" w:fill="DAEEF3" w:themeFill="accent5" w:themeFillTint="33"/>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Participant survey (</w:t>
            </w:r>
            <w:r>
              <w:rPr>
                <w:sz w:val="20"/>
                <w:szCs w:val="20"/>
              </w:rPr>
              <w:t>n</w:t>
            </w:r>
            <w:r w:rsidRPr="00661E10">
              <w:rPr>
                <w:sz w:val="20"/>
                <w:szCs w:val="20"/>
              </w:rPr>
              <w:t>=24)</w:t>
            </w:r>
          </w:p>
          <w:p w:rsidR="00183636" w:rsidRPr="00661E10" w:rsidRDefault="00183636" w:rsidP="009349F1">
            <w:pPr>
              <w:numPr>
                <w:ilvl w:val="0"/>
                <w:numId w:val="12"/>
              </w:numPr>
              <w:autoSpaceDE w:val="0"/>
              <w:autoSpaceDN w:val="0"/>
              <w:adjustRightInd w:val="0"/>
              <w:ind w:left="232" w:hanging="180"/>
              <w:contextualSpacing/>
              <w:jc w:val="left"/>
              <w:rPr>
                <w:rFonts w:cs="Calibri"/>
                <w:sz w:val="20"/>
                <w:szCs w:val="20"/>
              </w:rPr>
            </w:pPr>
            <w:r w:rsidRPr="00661E10">
              <w:rPr>
                <w:sz w:val="20"/>
                <w:szCs w:val="20"/>
              </w:rPr>
              <w:t>Interview with program manager and implementer</w:t>
            </w:r>
          </w:p>
        </w:tc>
      </w:tr>
      <w:tr w:rsidR="00183636" w:rsidRPr="00661E10" w:rsidTr="00276F1A">
        <w:trPr>
          <w:trHeight w:val="141"/>
          <w:jc w:val="center"/>
        </w:trPr>
        <w:tc>
          <w:tcPr>
            <w:tcW w:w="1447" w:type="dxa"/>
          </w:tcPr>
          <w:p w:rsidR="00183636" w:rsidRPr="00661E10" w:rsidRDefault="00183636" w:rsidP="005C1352">
            <w:pPr>
              <w:jc w:val="left"/>
              <w:rPr>
                <w:sz w:val="20"/>
              </w:rPr>
            </w:pPr>
            <w:r>
              <w:rPr>
                <w:sz w:val="20"/>
              </w:rPr>
              <w:t>Smart On-Site (</w:t>
            </w:r>
            <w:r w:rsidRPr="00661E10">
              <w:rPr>
                <w:sz w:val="20"/>
              </w:rPr>
              <w:t>SOS</w:t>
            </w:r>
            <w:r>
              <w:rPr>
                <w:sz w:val="20"/>
              </w:rPr>
              <w:t>)</w:t>
            </w:r>
          </w:p>
        </w:tc>
        <w:tc>
          <w:tcPr>
            <w:tcW w:w="5293" w:type="dxa"/>
          </w:tcPr>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17% of the Phase II MWh savings goal was completed in the last two days of the phase, and projects making up 7% of the Phase II MWh goal did not get completed during the phase.</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 xml:space="preserve">Projects that did not finish took between 15 and 28 months from the time of application to completion, making it difficult for PECO to react to any need to adjust its plan to meet the portfolio savings goals. </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 xml:space="preserve">Developers unanimously oppose restrictions on participation based on system size and Phase deadline. </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 xml:space="preserve">One developer suggested that the move toward containerized systems for systems as large as 1.5 MW can shorten the development cycle. Further analysis of program data revealed that containerized systems did not complete faster than two traditional projects completed in PY5. </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All developers pointed to obtaining an operating permit from the Pennsylvania Dept. of Environmental Protection as the source of considerable delay and uncertainty.</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Three developers said they had issues with the interconnection agreement.</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Some participants noted issues with customer service, including responsiveness and consistency of messages.</w:t>
            </w:r>
          </w:p>
        </w:tc>
        <w:tc>
          <w:tcPr>
            <w:tcW w:w="2631" w:type="dxa"/>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rFonts w:cs="Calibri"/>
                <w:sz w:val="20"/>
                <w:szCs w:val="20"/>
              </w:rPr>
            </w:pPr>
            <w:r w:rsidRPr="00661E10">
              <w:rPr>
                <w:sz w:val="20"/>
                <w:szCs w:val="20"/>
              </w:rPr>
              <w:t>Interview with program manager and implementer</w:t>
            </w:r>
          </w:p>
          <w:p w:rsidR="00183636" w:rsidRPr="00661E10" w:rsidRDefault="00183636" w:rsidP="009349F1">
            <w:pPr>
              <w:numPr>
                <w:ilvl w:val="0"/>
                <w:numId w:val="12"/>
              </w:numPr>
              <w:autoSpaceDE w:val="0"/>
              <w:autoSpaceDN w:val="0"/>
              <w:adjustRightInd w:val="0"/>
              <w:ind w:left="232" w:hanging="180"/>
              <w:contextualSpacing/>
              <w:jc w:val="left"/>
              <w:rPr>
                <w:rFonts w:cs="Calibri"/>
                <w:sz w:val="20"/>
                <w:szCs w:val="20"/>
              </w:rPr>
            </w:pPr>
            <w:r w:rsidRPr="00661E10">
              <w:rPr>
                <w:sz w:val="20"/>
                <w:szCs w:val="20"/>
              </w:rPr>
              <w:t>Interviews with all participants and project developers (</w:t>
            </w:r>
            <w:r>
              <w:rPr>
                <w:sz w:val="20"/>
                <w:szCs w:val="20"/>
              </w:rPr>
              <w:t>n</w:t>
            </w:r>
            <w:r w:rsidRPr="00661E10">
              <w:rPr>
                <w:sz w:val="20"/>
                <w:szCs w:val="20"/>
              </w:rPr>
              <w:t>=6)</w:t>
            </w:r>
          </w:p>
        </w:tc>
      </w:tr>
      <w:tr w:rsidR="00E7173E" w:rsidRPr="00661E10" w:rsidTr="00276F1A">
        <w:trPr>
          <w:trHeight w:val="141"/>
          <w:jc w:val="center"/>
        </w:trPr>
        <w:tc>
          <w:tcPr>
            <w:tcW w:w="1447" w:type="dxa"/>
            <w:shd w:val="clear" w:color="auto" w:fill="DAEEF3" w:themeFill="accent5" w:themeFillTint="33"/>
          </w:tcPr>
          <w:p w:rsidR="00183636" w:rsidRPr="00661E10" w:rsidRDefault="00183636" w:rsidP="005C1352">
            <w:pPr>
              <w:jc w:val="left"/>
              <w:rPr>
                <w:sz w:val="20"/>
              </w:rPr>
            </w:pPr>
            <w:r>
              <w:rPr>
                <w:sz w:val="20"/>
              </w:rPr>
              <w:t>Smart Business Solutions (</w:t>
            </w:r>
            <w:r w:rsidRPr="00661E10">
              <w:rPr>
                <w:sz w:val="20"/>
              </w:rPr>
              <w:t>SBS</w:t>
            </w:r>
            <w:r>
              <w:rPr>
                <w:sz w:val="20"/>
              </w:rPr>
              <w:t>)</w:t>
            </w:r>
          </w:p>
        </w:tc>
        <w:tc>
          <w:tcPr>
            <w:tcW w:w="5293" w:type="dxa"/>
            <w:shd w:val="clear" w:color="auto" w:fill="DAEEF3" w:themeFill="accent5" w:themeFillTint="33"/>
          </w:tcPr>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 xml:space="preserve">Program fell short of the Phase II </w:t>
            </w:r>
            <w:r w:rsidR="000D7316">
              <w:rPr>
                <w:rFonts w:cs="Calibri"/>
                <w:sz w:val="20"/>
                <w:szCs w:val="20"/>
              </w:rPr>
              <w:t>objectives</w:t>
            </w:r>
            <w:r w:rsidR="000D7316" w:rsidRPr="00661E10">
              <w:rPr>
                <w:rFonts w:cs="Calibri"/>
                <w:sz w:val="20"/>
                <w:szCs w:val="20"/>
              </w:rPr>
              <w:t xml:space="preserve"> </w:t>
            </w:r>
            <w:r w:rsidRPr="00661E10">
              <w:rPr>
                <w:rFonts w:cs="Calibri"/>
                <w:sz w:val="20"/>
                <w:szCs w:val="20"/>
              </w:rPr>
              <w:t>by about 15% and overspent the budget by about $1 million.</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The program was able to ramp up and down easily.</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Linear fluorescent upgrades of T12s to T8 and T5s accounted for 76% of program savings. The TRM in Phase III will shift the baseline for linear fluorescent upgrades from T12s to T8s, drastically reducing the amount of savings PECO can claim for T12 upgrades.</w:t>
            </w:r>
          </w:p>
          <w:p w:rsidR="00183636" w:rsidRPr="00661E10" w:rsidRDefault="00183636" w:rsidP="009349F1">
            <w:pPr>
              <w:numPr>
                <w:ilvl w:val="0"/>
                <w:numId w:val="10"/>
              </w:numPr>
              <w:autoSpaceDE w:val="0"/>
              <w:autoSpaceDN w:val="0"/>
              <w:adjustRightInd w:val="0"/>
              <w:ind w:left="142" w:hanging="180"/>
              <w:contextualSpacing/>
              <w:jc w:val="left"/>
              <w:rPr>
                <w:rFonts w:cs="Calibri"/>
                <w:sz w:val="20"/>
                <w:szCs w:val="20"/>
              </w:rPr>
            </w:pPr>
            <w:r w:rsidRPr="00661E10">
              <w:rPr>
                <w:rFonts w:cs="Calibri"/>
                <w:sz w:val="20"/>
                <w:szCs w:val="20"/>
              </w:rPr>
              <w:t>There may be a missed opportunity for PECO to offer customers a more comprehensive approach to energy savings. On-site visits offer the sales auditor an opportunity to review and propose more efficiency options than those incentivized through SBS.</w:t>
            </w:r>
          </w:p>
        </w:tc>
        <w:tc>
          <w:tcPr>
            <w:tcW w:w="2631" w:type="dxa"/>
            <w:shd w:val="clear" w:color="auto" w:fill="DAEEF3" w:themeFill="accent5" w:themeFillTint="33"/>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tracking data</w:t>
            </w:r>
          </w:p>
          <w:p w:rsidR="00183636" w:rsidRPr="00661E10" w:rsidRDefault="00183636" w:rsidP="009349F1">
            <w:pPr>
              <w:numPr>
                <w:ilvl w:val="0"/>
                <w:numId w:val="12"/>
              </w:numPr>
              <w:autoSpaceDE w:val="0"/>
              <w:autoSpaceDN w:val="0"/>
              <w:adjustRightInd w:val="0"/>
              <w:ind w:left="232" w:hanging="180"/>
              <w:contextualSpacing/>
              <w:jc w:val="left"/>
              <w:rPr>
                <w:rFonts w:cs="Calibri"/>
                <w:sz w:val="20"/>
                <w:szCs w:val="20"/>
              </w:rPr>
            </w:pPr>
            <w:r w:rsidRPr="00661E10">
              <w:rPr>
                <w:sz w:val="20"/>
                <w:szCs w:val="20"/>
              </w:rPr>
              <w:t>Interview with program manager and implementer</w:t>
            </w:r>
          </w:p>
        </w:tc>
      </w:tr>
    </w:tbl>
    <w:p w:rsidR="00183636" w:rsidRPr="00661E10" w:rsidRDefault="00183636" w:rsidP="00183636"/>
    <w:p w:rsidR="00950837" w:rsidRDefault="00950837" w:rsidP="0043541C">
      <w:pPr>
        <w:pStyle w:val="AppendixAHeading2"/>
      </w:pPr>
      <w:r>
        <w:t>Statewide Evaluator Audit Activities and Findings</w:t>
      </w:r>
    </w:p>
    <w:p w:rsidR="00C737E8" w:rsidRPr="00C737E8" w:rsidRDefault="00C737E8" w:rsidP="00C737E8">
      <w:r w:rsidRPr="00C737E8">
        <w:t>This section presents the activitie</w:t>
      </w:r>
      <w:r>
        <w:t>s of the SWE Team’s audits of PECO</w:t>
      </w:r>
      <w:r w:rsidRPr="00C737E8">
        <w:t>’s portfolio of programs. It provides summary information and key findings from the SWE Team’s residential, low-income, non-residential, and NTG and process evaluation audit activities.</w:t>
      </w:r>
    </w:p>
    <w:p w:rsidR="00C737E8" w:rsidRDefault="00C737E8" w:rsidP="00C737E8"/>
    <w:p w:rsidR="00280EAE" w:rsidRDefault="00280EAE" w:rsidP="00C737E8"/>
    <w:p w:rsidR="00280EAE" w:rsidRPr="00C737E8" w:rsidRDefault="00280EAE" w:rsidP="00C737E8"/>
    <w:p w:rsidR="00950837" w:rsidRDefault="00950837" w:rsidP="00D34B3E">
      <w:pPr>
        <w:pStyle w:val="AppendixAHeading3"/>
      </w:pPr>
      <w:r>
        <w:t>Residential Program Audit Summary</w:t>
      </w:r>
    </w:p>
    <w:p w:rsidR="0064689F" w:rsidRDefault="0064689F" w:rsidP="0064689F">
      <w:pPr>
        <w:pStyle w:val="AppendixAHeading4"/>
      </w:pPr>
      <w:r>
        <w:t>Smart saver AC – Residential</w:t>
      </w:r>
    </w:p>
    <w:p w:rsidR="0064689F" w:rsidRDefault="0064689F" w:rsidP="0064689F">
      <w:r w:rsidRPr="0064689F">
        <w:t>For this audit effort, the SWE Team verified the analysis used to determine the combined demand savings</w:t>
      </w:r>
      <w:r w:rsidR="001738D6">
        <w:t xml:space="preserve"> and its alignment with PECO’s evaluation p</w:t>
      </w:r>
      <w:r w:rsidRPr="0064689F">
        <w:t>lan. The SWE Team verified that the deemed savings approach was reasonable and applied correctly to the number of DCU’s receiving signals. Further, the SWE Team reviewed the applicability of the CSP research and found that Navigant’s adjustments to the total MW reported for PY7 is an accurate representation of verified savings for the program.</w:t>
      </w:r>
    </w:p>
    <w:p w:rsidR="0064689F" w:rsidRDefault="0064689F" w:rsidP="0064689F"/>
    <w:p w:rsidR="0064689F" w:rsidRPr="0064689F" w:rsidRDefault="0064689F" w:rsidP="0064689F">
      <w:pPr>
        <w:pStyle w:val="AppendixAHeading4"/>
      </w:pPr>
      <w:r w:rsidRPr="0064689F">
        <w:t>Smart Appliance Recycling</w:t>
      </w:r>
    </w:p>
    <w:p w:rsidR="0064689F" w:rsidRPr="00280EAE" w:rsidRDefault="0064689F" w:rsidP="00280EAE">
      <w:r w:rsidRPr="00280EAE">
        <w:t>The SWE Team performed a review of reported and verified gross energy and demand savings for recycled refrigerators and freezers. The SWE confirmed the appropriate use of 2015 TRM deemed savings estimates for the reported savings as well accurate use of the regression coefficients and the UEC factors calculated in the derivation of verified gross savings.</w:t>
      </w:r>
    </w:p>
    <w:p w:rsidR="0064689F" w:rsidRPr="00280EAE" w:rsidRDefault="0064689F" w:rsidP="00280EAE"/>
    <w:p w:rsidR="0064689F" w:rsidRPr="0064689F" w:rsidRDefault="0064689F" w:rsidP="0064689F">
      <w:pPr>
        <w:pStyle w:val="AppendixAHeading4"/>
      </w:pPr>
      <w:r w:rsidRPr="0064689F">
        <w:t>Smart Builder Rebates</w:t>
      </w:r>
    </w:p>
    <w:p w:rsidR="0064689F" w:rsidRDefault="0064689F" w:rsidP="00280EAE">
      <w:r w:rsidRPr="00280EAE">
        <w:t xml:space="preserve">The SWE Team reviewed Navigant’s use of the 2015 TRM algorithms for calculating energy and demand savings for lighting. The SWE Team noted that the evaluator-verified savings for all Q1 and Q2 new homes appeared to use an ISR, interactive effect, and </w:t>
      </w:r>
      <w:r w:rsidR="001738D6" w:rsidRPr="00280EAE">
        <w:t>CF</w:t>
      </w:r>
      <w:r w:rsidRPr="00280EAE">
        <w:t xml:space="preserve"> that are inconsistent with those in the 2015 TRM. The program evaluator confirmed that all Q1 and Q2 new homes were permitted during PY5 and therefore should comply with the 2013 TRM. The SWE confirmed that all Q1 and Q2 lighting algorithms are consistent with the 2013 TRM but recommends that the evaluator include the permitted date in future Smart Builder program data responses to the SWE. There were no Q3 new homes, and all calculated savings in PY6 correctly align with the 2014 TRM.</w:t>
      </w:r>
    </w:p>
    <w:p w:rsidR="00280EAE" w:rsidRPr="00280EAE" w:rsidRDefault="00280EAE" w:rsidP="00280EAE"/>
    <w:p w:rsidR="0064689F" w:rsidRPr="0064689F" w:rsidRDefault="0064689F" w:rsidP="00280EAE">
      <w:pPr>
        <w:rPr>
          <w:rFonts w:cs="Calibri"/>
          <w:color w:val="000000"/>
        </w:rPr>
      </w:pPr>
      <w:r w:rsidRPr="00280EAE">
        <w:t>Savings for non-lighting measures were estimated using hourly energy simulation models. The SWE Team verified that the non-lighting component of the Smart Builder Rebates Program was evaluated according to PECO’s evaluation plan and that the realization rates determined by the evaluation contractor from the independent modeling had been correctly applied to the ex ante savings. The SWE used the REM/Rate files from the evaluation sample and confirmed that the reported and verified savings were reasonable by creating independent building energy simulation models using the BeOpt</w:t>
      </w:r>
      <w:r w:rsidRPr="0064689F">
        <w:rPr>
          <w:rFonts w:cs="Calibri"/>
          <w:color w:val="000000"/>
        </w:rPr>
        <w:t xml:space="preserve"> software. </w:t>
      </w:r>
    </w:p>
    <w:p w:rsidR="0064689F" w:rsidRPr="00280EAE" w:rsidRDefault="0064689F" w:rsidP="00280EAE"/>
    <w:p w:rsidR="0064689F" w:rsidRPr="00280EAE" w:rsidRDefault="0064689F" w:rsidP="00280EAE">
      <w:r w:rsidRPr="00280EAE">
        <w:t>The SWE believes Navigant’s approach to estimating verified energy and demand savings to be reasonable and accurate.</w:t>
      </w:r>
    </w:p>
    <w:p w:rsidR="0064689F" w:rsidRPr="00280EAE" w:rsidRDefault="0064689F" w:rsidP="00280EAE"/>
    <w:p w:rsidR="0064689F" w:rsidRPr="0064689F" w:rsidRDefault="0064689F" w:rsidP="0064689F">
      <w:pPr>
        <w:pStyle w:val="AppendixAHeading4"/>
      </w:pPr>
      <w:r w:rsidRPr="0064689F">
        <w:t>Smart Energy Saver</w:t>
      </w:r>
    </w:p>
    <w:p w:rsidR="0064689F" w:rsidRPr="00280EAE" w:rsidRDefault="0064689F" w:rsidP="00280EAE">
      <w:r w:rsidRPr="00280EAE">
        <w:t xml:space="preserve">This program provides school-based energy efficiency education and take-home energy efficiency kits that include low-cost items to install at home. For the initial verification effort, the SWE Team verified that the program evaluation activities were consistent with PECO’s evaluation plan. Navigant used a combination of database review and installation surveys to calculate verified gross savings. </w:t>
      </w:r>
    </w:p>
    <w:p w:rsidR="0064689F" w:rsidRPr="00280EAE" w:rsidRDefault="0064689F" w:rsidP="00280EAE"/>
    <w:p w:rsidR="0064689F" w:rsidRDefault="0064689F" w:rsidP="00280EAE">
      <w:r w:rsidRPr="00280EAE">
        <w:t xml:space="preserve">The SWE Team verified that, for each measure type, savings were properly calculated and aligned with TRM savings and algorithms. The SWE Team also reviewed the survey data files and confirmed the calculation of ISRs for the various technologies, where appropriate. </w:t>
      </w:r>
    </w:p>
    <w:p w:rsidR="00280EAE" w:rsidRPr="00280EAE" w:rsidRDefault="00280EAE" w:rsidP="00280EAE"/>
    <w:p w:rsidR="0064689F" w:rsidRPr="00280EAE" w:rsidRDefault="0064689F" w:rsidP="00280EAE">
      <w:r w:rsidRPr="00280EAE">
        <w:t xml:space="preserve">The SWE believes Navigant’s approach to estimating verified energy and demand savings to be reasonable. </w:t>
      </w:r>
    </w:p>
    <w:p w:rsidR="0064689F" w:rsidRPr="00280EAE" w:rsidRDefault="0064689F" w:rsidP="00280EAE"/>
    <w:p w:rsidR="0064689F" w:rsidRPr="0064689F" w:rsidRDefault="0064689F" w:rsidP="0064689F">
      <w:pPr>
        <w:pStyle w:val="AppendixAHeading4"/>
      </w:pPr>
      <w:r w:rsidRPr="0064689F">
        <w:t>Smart Home Rebates</w:t>
      </w:r>
    </w:p>
    <w:p w:rsidR="0064689F" w:rsidRPr="00280EAE" w:rsidRDefault="0064689F" w:rsidP="00280EAE">
      <w:r w:rsidRPr="00280EAE">
        <w:t>PECO’s Smart Home Rebates</w:t>
      </w:r>
      <w:r w:rsidR="001738D6" w:rsidRPr="00280EAE">
        <w:t xml:space="preserve"> (SHR)</w:t>
      </w:r>
      <w:r w:rsidRPr="00280EAE">
        <w:t xml:space="preserve"> Program includes both an upstream lighting component and rebates for energy efficient HVAC equipment and other household appliances. </w:t>
      </w:r>
    </w:p>
    <w:p w:rsidR="0064689F" w:rsidRPr="00280EAE" w:rsidRDefault="0064689F" w:rsidP="00280EAE"/>
    <w:p w:rsidR="0064689F" w:rsidRDefault="0064689F" w:rsidP="00280EAE">
      <w:r w:rsidRPr="00280EAE">
        <w:t>For the upstream lighting component of the program, the SWE Team reviewed the database and tracking system to verify that PECO was using the appropriate savings values and algorithms from the 2015 TRM. As Navigant had performed a census audit of the lighting database, following almost the exact routine that the SWE Team follows for the annual-based audit, the SWE Team selected a small subsample of the tracking system records to confirm proper assignment of baseline wattage and efficient wattage. The SWE found no discrepancies and believes Navigant and PECO correctly compared baseline and efficient wattages based on the bulb lumens and the 2015 TRM guidance tables. The SWE also confirmed the appropriate use of 2014 TRM algorithms for both residential and cross-sector sales bulbs. The TRM allows EDCs to gather EDC-specific data with regard to bulb and HVAC interactive effects, and Navigant applied interactive effects factors specific to PECO’s service territory based on interactive effects modeling that the Navigant team conducted as part of the PY4 Smart Lighting Discounts evaluation.</w:t>
      </w:r>
    </w:p>
    <w:p w:rsidR="00280EAE" w:rsidRPr="00280EAE" w:rsidRDefault="00280EAE" w:rsidP="00280EAE"/>
    <w:p w:rsidR="0064689F" w:rsidRPr="00280EAE" w:rsidRDefault="0064689F" w:rsidP="00280EAE">
      <w:r w:rsidRPr="00280EAE">
        <w:t>For the rebated equipment subsection of the SHR Program, the SWE Team reviewed the data tracking system as well as the desk reviews completed by Navigant. The SWE Team confirmed that PECO’s tracking system was using the correct 2014 TRM deemed savings values or savings algorithm calculations, where appropriate, to calculate the verified energy and demand saving, with</w:t>
      </w:r>
      <w:r w:rsidR="001738D6" w:rsidRPr="00280EAE">
        <w:t xml:space="preserve"> one exception. In the PY5 SWE a</w:t>
      </w:r>
      <w:r w:rsidRPr="00280EAE">
        <w:t>nnu</w:t>
      </w:r>
      <w:r w:rsidR="001738D6" w:rsidRPr="00280EAE">
        <w:t>al r</w:t>
      </w:r>
      <w:r w:rsidRPr="00280EAE">
        <w:t>eport, the SWE Team noted that “For fuel-switching measures, the 2013 TRM algorithm requires the electric savings to be calculated using the heating capacity of the electric system being replaced. Instead, it appears PECO has used the capacity of the gas unit being installed, which is often two times (2x) greater than the electric system.” The savings attributed to fuel switching in PY6 appears to continue to be calculated based on the heating capacity of the gas unit being installed rather than the heating capacity of the removed electric system. Similar to</w:t>
      </w:r>
      <w:r w:rsidR="001738D6" w:rsidRPr="00280EAE">
        <w:t xml:space="preserve"> in</w:t>
      </w:r>
      <w:r w:rsidRPr="00280EAE">
        <w:t xml:space="preserve"> PY5, the SWE again noted that although the overall impact of this modification is significant at the individual project level, fuel-switching savings continues to be small relative to the program and portfolio as a whole. </w:t>
      </w:r>
    </w:p>
    <w:p w:rsidR="0064689F" w:rsidRPr="00280EAE" w:rsidRDefault="0064689F" w:rsidP="00280EAE"/>
    <w:p w:rsidR="0064689F" w:rsidRPr="00280EAE" w:rsidRDefault="0064689F" w:rsidP="00280EAE">
      <w:r w:rsidRPr="00280EAE">
        <w:t>Overall, the SWE believes Navigant’s approach to estimating verified energy and demand savings to be reasonable, with the small exception of the fuel-switching measures.</w:t>
      </w:r>
    </w:p>
    <w:p w:rsidR="0064689F" w:rsidRPr="00280EAE" w:rsidRDefault="0064689F" w:rsidP="00280EAE">
      <w:r w:rsidRPr="00280EAE">
        <w:t xml:space="preserve"> </w:t>
      </w:r>
    </w:p>
    <w:p w:rsidR="0064689F" w:rsidRPr="00280EAE" w:rsidRDefault="0064689F" w:rsidP="00280EAE">
      <w:r w:rsidRPr="00280EAE">
        <w:t>Last, the SWE Team continues to recommend that PECO use its evaluated cross-sector sales adjustment in the future calculation of reported savings in order to allow for more accuracy in reported savings, and to reduce variation between reported and verified savings. Although not a specific requirement for reported savings, EDCs should use the best available data on cross-sector sales at the time of their quarterly and annual reports. PECO had previously conducted cross-sector sales research in PY5 but did not incorporate these findings in its calculation of reported gross savings.</w:t>
      </w:r>
    </w:p>
    <w:p w:rsidR="0064689F" w:rsidRPr="00280EAE" w:rsidRDefault="0064689F" w:rsidP="00280EAE"/>
    <w:p w:rsidR="0064689F" w:rsidRPr="0064689F" w:rsidRDefault="0064689F" w:rsidP="0064689F">
      <w:pPr>
        <w:pStyle w:val="AppendixAHeading4"/>
      </w:pPr>
      <w:r w:rsidRPr="0064689F">
        <w:t>Smart House Call</w:t>
      </w:r>
    </w:p>
    <w:p w:rsidR="0064689F" w:rsidRPr="00280EAE" w:rsidRDefault="0064689F" w:rsidP="00280EAE">
      <w:r w:rsidRPr="00280EAE">
        <w:t xml:space="preserve">PECO’s SHC Program focuses on the direct installation of energy efficiency measures in participants’ homes as well as further rebate opportunities for additional HVAC and building shell measures. For PY7, the SWE Team confirmed that each unique measure in the program tracking database used the correct 2015 TRM algorithm or approved IMP. The SWE Team agrees with the calculation of gross verified savings for this program. </w:t>
      </w:r>
    </w:p>
    <w:p w:rsidR="0064689F" w:rsidRPr="00280EAE" w:rsidRDefault="0064689F" w:rsidP="00280EAE"/>
    <w:p w:rsidR="0064689F" w:rsidRPr="00280EAE" w:rsidRDefault="0064689F" w:rsidP="00280EAE">
      <w:r w:rsidRPr="00280EAE">
        <w:t xml:space="preserve">During the review, the SWE noted that the tracking system database had, for the air source heat pump </w:t>
      </w:r>
      <w:r w:rsidR="001738D6" w:rsidRPr="00280EAE">
        <w:t xml:space="preserve">(ASHP) </w:t>
      </w:r>
      <w:r w:rsidRPr="00280EAE">
        <w:t xml:space="preserve">maintenance measure, populated SEER_e and HSPF_e data fields. While these fields are not applicable to the ASHP maintenance measure, the SWE posits that the collected data may represent the existing efficiency of the HVAC equipment and was populated as an incorrect data field. Given PECO’s preference to use EDC-specific values for other TRM variables in the </w:t>
      </w:r>
      <w:r w:rsidR="001738D6" w:rsidRPr="00280EAE">
        <w:t>SHC</w:t>
      </w:r>
      <w:r w:rsidRPr="00280EAE">
        <w:t xml:space="preserve"> </w:t>
      </w:r>
      <w:r w:rsidR="001738D6" w:rsidRPr="00280EAE">
        <w:t>P</w:t>
      </w:r>
      <w:r w:rsidRPr="00280EAE">
        <w:t>rogram, the SWE recommends</w:t>
      </w:r>
      <w:r w:rsidR="001738D6" w:rsidRPr="00280EAE">
        <w:t xml:space="preserve"> that</w:t>
      </w:r>
      <w:r w:rsidRPr="00280EAE">
        <w:t xml:space="preserve"> the existing equipment efficiency for the ASHP maintenance measure be collected and tracked accordingly in the database. In the interim the SWE agrees with the use of the deemed value from the 2015 TRM as reasonable. </w:t>
      </w:r>
    </w:p>
    <w:p w:rsidR="0064689F" w:rsidRPr="00280EAE" w:rsidRDefault="0064689F" w:rsidP="00280EAE"/>
    <w:p w:rsidR="0064689F" w:rsidRPr="00280EAE" w:rsidRDefault="0064689F" w:rsidP="00280EAE">
      <w:r w:rsidRPr="00280EAE">
        <w:t xml:space="preserve">The SWE Team reviewed the results of Navigant’s records review and phone survey on a sample of participants, and found an incorrect calculation of the realization for the records review and phone survey. The SWE Team coordinated with the evaluator to recalculate the verified energy and demand totals. The corrected verified energy and demand savings are 2,852 MWh/yr and </w:t>
      </w:r>
      <w:r w:rsidR="001738D6" w:rsidRPr="00280EAE">
        <w:t>0</w:t>
      </w:r>
      <w:r w:rsidRPr="00280EAE">
        <w:t>.412 MW, respectively. These corrections change the PY6 portfolio ve</w:t>
      </w:r>
      <w:r w:rsidR="001738D6" w:rsidRPr="00280EAE">
        <w:t>rified gross energy savings by less than</w:t>
      </w:r>
      <w:r w:rsidRPr="00280EAE">
        <w:t xml:space="preserve"> 1%. </w:t>
      </w:r>
    </w:p>
    <w:p w:rsidR="0064689F" w:rsidRPr="00280EAE" w:rsidRDefault="0064689F" w:rsidP="00280EAE"/>
    <w:p w:rsidR="0064689F" w:rsidRPr="0064689F" w:rsidRDefault="0064689F" w:rsidP="0064689F">
      <w:pPr>
        <w:pStyle w:val="AppendixAHeading4"/>
      </w:pPr>
      <w:r w:rsidRPr="0064689F">
        <w:t>Smart Multi-Family Solutions (Residential)</w:t>
      </w:r>
    </w:p>
    <w:p w:rsidR="0064689F" w:rsidRPr="00280EAE" w:rsidRDefault="0064689F" w:rsidP="00280EAE">
      <w:r w:rsidRPr="00280EAE">
        <w:t xml:space="preserve">For the residential component of the Smart Multi-Family Solution program, the SWE reviewed the quarterly database of customers, projects, and measures and confirmed the accurate use of the 2015 TRM for lighting and low-flow devices. Next the SWE reviewed the calculation of ISRs from the telephone survey and on-site verification efforts from eight projects and affirmed the correct application of the sample realization rate to the program’s population. The SWE notes that the on-site verification data logs are detailed, clean, and easy to follow. </w:t>
      </w:r>
    </w:p>
    <w:p w:rsidR="0064689F" w:rsidRPr="00280EAE" w:rsidRDefault="0064689F" w:rsidP="00280EAE"/>
    <w:p w:rsidR="0064689F" w:rsidRDefault="0064689F" w:rsidP="00280EAE">
      <w:r w:rsidRPr="00280EAE">
        <w:t xml:space="preserve">The SWE agrees with the calculation of gross verified savings for this program. </w:t>
      </w:r>
    </w:p>
    <w:p w:rsidR="003855B5" w:rsidRDefault="003855B5" w:rsidP="00280EAE"/>
    <w:p w:rsidR="0064689F" w:rsidRPr="0064689F" w:rsidRDefault="0064689F" w:rsidP="0064689F">
      <w:pPr>
        <w:pStyle w:val="AppendixAHeading4"/>
      </w:pPr>
      <w:r w:rsidRPr="0064689F">
        <w:t>Smart Usage Profile</w:t>
      </w:r>
    </w:p>
    <w:p w:rsidR="0064689F" w:rsidRPr="00280EAE" w:rsidRDefault="0064689F" w:rsidP="00280EAE">
      <w:r w:rsidRPr="00280EAE">
        <w:t xml:space="preserve">The SWE Team confirmed that the billing analysis followed PECO’s program evaluation plan and the Pennsylvania Mass Market protocol. The SWE Team also reviewed the billing analysis output, equations, and statistics and confirmed that the approach is sound and the conclusions reasonable. Program savings were estimated using </w:t>
      </w:r>
      <w:r w:rsidR="00A71E7A" w:rsidRPr="00280EAE">
        <w:t>a</w:t>
      </w:r>
      <w:r w:rsidRPr="00280EAE">
        <w:t xml:space="preserve"> linear fixed-effects regression (LFER) analysis. To evaluate the robustness of the savings estimates, PECO also estimated SUP program savings using a post-only model, referred to by Navigant in PECO’s PY7 annual report as a post-program regression model. This approach is one used by Allcott and Rogers. The SWE reviewed the alternative models and concluded that the secondary analysis produced savings estimates that are statistically equivalent with the LFER approach.</w:t>
      </w:r>
    </w:p>
    <w:p w:rsidR="0064689F" w:rsidRPr="00280EAE" w:rsidRDefault="0064689F" w:rsidP="00280EAE"/>
    <w:p w:rsidR="0064689F" w:rsidRPr="00280EAE" w:rsidRDefault="0064689F" w:rsidP="00280EAE">
      <w:r w:rsidRPr="00280EAE">
        <w:t>PECO performed a difference</w:t>
      </w:r>
      <w:r w:rsidR="001738D6" w:rsidRPr="00280EAE">
        <w:t>-</w:t>
      </w:r>
      <w:r w:rsidRPr="00280EAE">
        <w:t>in</w:t>
      </w:r>
      <w:r w:rsidR="001738D6" w:rsidRPr="00280EAE">
        <w:t>-</w:t>
      </w:r>
      <w:r w:rsidRPr="00280EAE">
        <w:t>difference (DID) analysis to estimate the potential for double-counting of SUP effects versus effects from other residential programs. Estimated savings that could be attributed to SUP and another PECO program were subtracted from the reported savings for the SUP program. The SWE reviewed the DID approach and results and concluded that the approach is reasonable and that PECO appropriately nets out savings that can be attributed to other programs.</w:t>
      </w:r>
    </w:p>
    <w:p w:rsidR="0064689F" w:rsidRPr="00280EAE" w:rsidRDefault="0064689F" w:rsidP="00280EAE"/>
    <w:p w:rsidR="0064689F" w:rsidRPr="00280EAE" w:rsidRDefault="0064689F" w:rsidP="00280EAE">
      <w:r w:rsidRPr="00280EAE">
        <w:t>The SWE Team agrees with PECO’s verified gross savings findings for SUP.</w:t>
      </w:r>
    </w:p>
    <w:p w:rsidR="0064689F" w:rsidRDefault="0064689F" w:rsidP="0064689F"/>
    <w:p w:rsidR="00280EAE" w:rsidRPr="0064689F" w:rsidRDefault="00280EAE" w:rsidP="0064689F"/>
    <w:p w:rsidR="00950837" w:rsidRDefault="00950837" w:rsidP="00D34B3E">
      <w:pPr>
        <w:pStyle w:val="AppendixAHeading3"/>
      </w:pPr>
      <w:r>
        <w:t>Low-Income Program and Audit Summary</w:t>
      </w:r>
    </w:p>
    <w:p w:rsidR="0064689F" w:rsidRPr="00280EAE" w:rsidRDefault="0064689F" w:rsidP="00280EAE">
      <w:r w:rsidRPr="00280EAE">
        <w:t>The SWE Team confirmed that all four components of PECO’s LEEP were evaluated consistent</w:t>
      </w:r>
      <w:r w:rsidR="001738D6" w:rsidRPr="00280EAE">
        <w:t>ly</w:t>
      </w:r>
      <w:r w:rsidRPr="00280EAE">
        <w:t xml:space="preserve"> with the</w:t>
      </w:r>
      <w:r w:rsidR="001738D6" w:rsidRPr="00280EAE">
        <w:t xml:space="preserve"> approaches in PECO’s Phase II evaluation p</w:t>
      </w:r>
      <w:r w:rsidRPr="00280EAE">
        <w:t xml:space="preserve">lan. The SWE Team reviewed the calculated savings for each measure type in the LEEP to ensure accuracy and consistency with the 2015 TRM. The SWE Team found that the tracking database had accurate data fields and that the algorithms were in general agreement with the TRM. </w:t>
      </w:r>
    </w:p>
    <w:p w:rsidR="0064689F" w:rsidRPr="00280EAE" w:rsidRDefault="0064689F" w:rsidP="00280EAE"/>
    <w:p w:rsidR="0064689F" w:rsidRPr="00280EAE" w:rsidRDefault="0064689F" w:rsidP="00280EAE">
      <w:r w:rsidRPr="00280EAE">
        <w:t>Navigant provided the SWE Team with a sample of project supporting data. The SWE Team reviewed these files and found no inconsistencies with their application in the determination of gross savings.</w:t>
      </w:r>
    </w:p>
    <w:p w:rsidR="0064689F" w:rsidRPr="00280EAE" w:rsidRDefault="0064689F" w:rsidP="00280EAE"/>
    <w:p w:rsidR="0064689F" w:rsidRPr="00280EAE" w:rsidRDefault="0064689F" w:rsidP="00280EAE">
      <w:r w:rsidRPr="00280EAE">
        <w:t>Last, the SWE Team verified that PECO was in compliance with the Act 129 requirement for the number of energy conservation measures offered to low‐income households. PECO offered 19 measures to the low-income sector in PY7, which was 17% of the total number of measures offered across all sectors, compared with its Act 129 compliance target of 8.8%.</w:t>
      </w:r>
    </w:p>
    <w:p w:rsidR="0064689F" w:rsidRPr="00280EAE" w:rsidRDefault="0064689F" w:rsidP="00280EAE"/>
    <w:p w:rsidR="0064689F" w:rsidRPr="00280EAE" w:rsidRDefault="0064689F" w:rsidP="00280EAE">
      <w:r w:rsidRPr="00280EAE">
        <w:t>The SWE believes Navigant’s approach to estimating verified energy and demand savings for LEEP to be reasonable.</w:t>
      </w:r>
    </w:p>
    <w:p w:rsidR="00803C3E" w:rsidRPr="0064689F" w:rsidRDefault="00803C3E" w:rsidP="0064689F"/>
    <w:p w:rsidR="00950837" w:rsidRDefault="00950837" w:rsidP="00D34B3E">
      <w:pPr>
        <w:pStyle w:val="AppendixAHeading3"/>
      </w:pPr>
      <w:r>
        <w:t>Non-Residential Program Audit Summary</w:t>
      </w:r>
    </w:p>
    <w:p w:rsidR="0025240A" w:rsidRPr="00280EAE" w:rsidRDefault="0025240A" w:rsidP="00280EAE">
      <w:r w:rsidRPr="00280EAE">
        <w:t xml:space="preserve">The SWE Team reviewed project files to audit the accuracy of the savings values stored in the program-tracking database and to confirm that calculations were being performed in accordance with the applicable TRM, or by some other reasonable methodology. During PY7, the SWE Team reviewed project documentation from PECO’s Smart Equipment Incentives, Smart Construction Rebates, Smart Business Solutions, and Smart Multifamily programs. Several projects were selected from each quarter within each program, for a total of 21 projects. For the most part, PECO’s project documentation was complete, well organized, and clearly labeled. Only one small inconsistency in kWh (&lt;0.5%) was found between a single project file and the tracking database. The details of the review can be found </w:t>
      </w:r>
      <w:r w:rsidR="001738D6" w:rsidRPr="00280EAE">
        <w:t>below</w:t>
      </w:r>
      <w:r w:rsidRPr="00280EAE">
        <w:t>.</w:t>
      </w:r>
    </w:p>
    <w:p w:rsidR="0025240A" w:rsidRPr="00280EAE" w:rsidRDefault="0025240A" w:rsidP="00280EAE"/>
    <w:p w:rsidR="0025240A" w:rsidRPr="00280EAE" w:rsidRDefault="0025240A" w:rsidP="00280EAE">
      <w:r w:rsidRPr="00280EAE">
        <w:t xml:space="preserve">The SWE Team reviewed PECO’s PY7 sample design to ensure its compliance with the Evaluation Framework. The results are displayed in </w:t>
      </w:r>
      <w:r w:rsidRPr="00280EAE">
        <w:fldChar w:fldCharType="begin"/>
      </w:r>
      <w:r w:rsidRPr="00280EAE">
        <w:instrText xml:space="preserve"> REF _Ref472393425 \h </w:instrText>
      </w:r>
      <w:r w:rsidRPr="00280EAE">
        <w:fldChar w:fldCharType="separate"/>
      </w:r>
      <w:r w:rsidR="00C301D0">
        <w:t>Table A-</w:t>
      </w:r>
      <w:r w:rsidR="00C301D0">
        <w:rPr>
          <w:noProof/>
        </w:rPr>
        <w:t>110</w:t>
      </w:r>
      <w:r w:rsidRPr="00280EAE">
        <w:fldChar w:fldCharType="end"/>
      </w:r>
      <w:r w:rsidRPr="00280EAE">
        <w:t>, showing relative precision at the 85% confidence level.</w:t>
      </w:r>
    </w:p>
    <w:p w:rsidR="0025240A" w:rsidRPr="00D85274" w:rsidRDefault="0025240A" w:rsidP="0025240A"/>
    <w:p w:rsidR="0025240A" w:rsidRPr="00D85274" w:rsidRDefault="0025240A" w:rsidP="0025240A">
      <w:pPr>
        <w:pStyle w:val="Caption"/>
      </w:pPr>
      <w:bookmarkStart w:id="1123" w:name="_Ref472393425"/>
      <w:bookmarkStart w:id="1124" w:name="_Toc409225018"/>
      <w:bookmarkStart w:id="1125" w:name="_Toc409443570"/>
      <w:bookmarkStart w:id="1126" w:name="_Toc445206251"/>
      <w:bookmarkStart w:id="1127" w:name="_Toc472472519"/>
      <w:bookmarkStart w:id="1128" w:name="_Toc476842225"/>
      <w:r>
        <w:t>Table A-</w:t>
      </w:r>
      <w:fldSimple w:instr=" SEQ Table_A- \* ARABIC ">
        <w:r w:rsidR="00C301D0">
          <w:rPr>
            <w:noProof/>
          </w:rPr>
          <w:t>110</w:t>
        </w:r>
      </w:fldSimple>
      <w:bookmarkEnd w:id="1123"/>
      <w:r w:rsidRPr="00D85274">
        <w:t>: Compliance across Sample Designs for PECO’s PY7 Non-Residential Program Groups</w:t>
      </w:r>
      <w:bookmarkEnd w:id="1124"/>
      <w:bookmarkEnd w:id="1125"/>
      <w:bookmarkEnd w:id="1126"/>
      <w:bookmarkEnd w:id="1127"/>
      <w:bookmarkEnd w:id="1128"/>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870"/>
        <w:gridCol w:w="1830"/>
        <w:gridCol w:w="1830"/>
        <w:gridCol w:w="1830"/>
      </w:tblGrid>
      <w:tr w:rsidR="00A874AC" w:rsidRPr="00D85274" w:rsidTr="00BE4EB1">
        <w:trPr>
          <w:trHeight w:val="826"/>
          <w:tblHeader/>
          <w:jc w:val="center"/>
        </w:trPr>
        <w:tc>
          <w:tcPr>
            <w:tcW w:w="3870" w:type="dxa"/>
            <w:shd w:val="clear" w:color="000000" w:fill="448A99"/>
            <w:vAlign w:val="bottom"/>
            <w:hideMark/>
          </w:tcPr>
          <w:p w:rsidR="0025240A" w:rsidRPr="00D85274" w:rsidRDefault="0025240A" w:rsidP="00AC55E9">
            <w:pPr>
              <w:jc w:val="left"/>
              <w:rPr>
                <w:b/>
                <w:bCs/>
                <w:color w:val="FFFFFF"/>
                <w:sz w:val="20"/>
                <w:szCs w:val="20"/>
              </w:rPr>
            </w:pPr>
            <w:r w:rsidRPr="00D85274">
              <w:rPr>
                <w:b/>
                <w:bCs/>
                <w:color w:val="FFFFFF"/>
                <w:sz w:val="20"/>
                <w:szCs w:val="20"/>
              </w:rPr>
              <w:t>Program</w:t>
            </w:r>
          </w:p>
        </w:tc>
        <w:tc>
          <w:tcPr>
            <w:tcW w:w="1830" w:type="dxa"/>
            <w:shd w:val="clear" w:color="000000" w:fill="448A99"/>
            <w:vAlign w:val="bottom"/>
            <w:hideMark/>
          </w:tcPr>
          <w:p w:rsidR="0025240A" w:rsidRPr="00D85274" w:rsidRDefault="0025240A" w:rsidP="00AC55E9">
            <w:pPr>
              <w:jc w:val="center"/>
              <w:rPr>
                <w:b/>
                <w:bCs/>
                <w:color w:val="FFFFFF"/>
                <w:sz w:val="20"/>
                <w:szCs w:val="20"/>
              </w:rPr>
            </w:pPr>
            <w:r w:rsidRPr="00D85274">
              <w:rPr>
                <w:b/>
                <w:bCs/>
                <w:color w:val="FFFFFF"/>
                <w:sz w:val="20"/>
                <w:szCs w:val="20"/>
              </w:rPr>
              <w:t>Relative Precision at 85% CL for Energy</w:t>
            </w:r>
          </w:p>
        </w:tc>
        <w:tc>
          <w:tcPr>
            <w:tcW w:w="1830" w:type="dxa"/>
            <w:shd w:val="clear" w:color="000000" w:fill="448A99"/>
            <w:vAlign w:val="bottom"/>
            <w:hideMark/>
          </w:tcPr>
          <w:p w:rsidR="0025240A" w:rsidRPr="00D85274" w:rsidRDefault="0025240A" w:rsidP="00AC55E9">
            <w:pPr>
              <w:jc w:val="center"/>
              <w:rPr>
                <w:b/>
                <w:bCs/>
                <w:color w:val="FFFFFF"/>
                <w:sz w:val="20"/>
                <w:szCs w:val="20"/>
              </w:rPr>
            </w:pPr>
            <w:r w:rsidRPr="00D85274">
              <w:rPr>
                <w:b/>
                <w:bCs/>
                <w:color w:val="FFFFFF"/>
                <w:sz w:val="20"/>
                <w:szCs w:val="20"/>
              </w:rPr>
              <w:t>Relative Precision at 85% CL for Demand</w:t>
            </w:r>
          </w:p>
        </w:tc>
        <w:tc>
          <w:tcPr>
            <w:tcW w:w="1830" w:type="dxa"/>
            <w:shd w:val="clear" w:color="000000" w:fill="448A99"/>
            <w:vAlign w:val="bottom"/>
            <w:hideMark/>
          </w:tcPr>
          <w:p w:rsidR="0025240A" w:rsidRPr="00D85274" w:rsidRDefault="0025240A" w:rsidP="00AC55E9">
            <w:pPr>
              <w:jc w:val="center"/>
              <w:rPr>
                <w:b/>
                <w:bCs/>
                <w:color w:val="FFFFFF"/>
                <w:sz w:val="20"/>
                <w:szCs w:val="20"/>
              </w:rPr>
            </w:pPr>
            <w:r w:rsidRPr="00D85274">
              <w:rPr>
                <w:b/>
                <w:bCs/>
                <w:color w:val="FFFFFF"/>
                <w:sz w:val="20"/>
                <w:szCs w:val="20"/>
              </w:rPr>
              <w:t>Compliance with Evaluation Framework</w:t>
            </w:r>
          </w:p>
        </w:tc>
      </w:tr>
      <w:tr w:rsidR="00A874AC" w:rsidRPr="00D85274" w:rsidTr="00BE4EB1">
        <w:trPr>
          <w:trHeight w:val="488"/>
          <w:jc w:val="center"/>
        </w:trPr>
        <w:tc>
          <w:tcPr>
            <w:tcW w:w="3870" w:type="dxa"/>
            <w:shd w:val="clear" w:color="000000" w:fill="D2EAF1"/>
            <w:noWrap/>
            <w:vAlign w:val="center"/>
          </w:tcPr>
          <w:p w:rsidR="0025240A" w:rsidRPr="00D85274" w:rsidRDefault="0025240A" w:rsidP="00AC55E9">
            <w:pPr>
              <w:jc w:val="left"/>
              <w:rPr>
                <w:color w:val="000000"/>
                <w:sz w:val="20"/>
                <w:szCs w:val="20"/>
              </w:rPr>
            </w:pPr>
            <w:r w:rsidRPr="00D85274">
              <w:rPr>
                <w:color w:val="000000"/>
                <w:sz w:val="20"/>
                <w:szCs w:val="20"/>
              </w:rPr>
              <w:t>Smart Equipment Incentives (C/I)</w:t>
            </w:r>
          </w:p>
        </w:tc>
        <w:tc>
          <w:tcPr>
            <w:tcW w:w="1830" w:type="dxa"/>
            <w:shd w:val="clear" w:color="000000" w:fill="D2EAF1"/>
            <w:noWrap/>
            <w:vAlign w:val="center"/>
          </w:tcPr>
          <w:p w:rsidR="0025240A" w:rsidRPr="00D85274" w:rsidRDefault="0025240A" w:rsidP="00AC55E9">
            <w:pPr>
              <w:jc w:val="center"/>
              <w:rPr>
                <w:color w:val="000000"/>
                <w:sz w:val="20"/>
                <w:szCs w:val="20"/>
              </w:rPr>
            </w:pPr>
            <w:r w:rsidRPr="00D85274">
              <w:rPr>
                <w:color w:val="000000"/>
                <w:sz w:val="20"/>
                <w:szCs w:val="20"/>
              </w:rPr>
              <w:t>11%</w:t>
            </w:r>
          </w:p>
        </w:tc>
        <w:tc>
          <w:tcPr>
            <w:tcW w:w="1830" w:type="dxa"/>
            <w:shd w:val="clear" w:color="000000" w:fill="D2EAF1"/>
            <w:noWrap/>
            <w:vAlign w:val="center"/>
          </w:tcPr>
          <w:p w:rsidR="0025240A" w:rsidRPr="00D85274" w:rsidRDefault="0025240A" w:rsidP="00AC55E9">
            <w:pPr>
              <w:jc w:val="center"/>
              <w:rPr>
                <w:color w:val="000000"/>
                <w:sz w:val="20"/>
                <w:szCs w:val="20"/>
              </w:rPr>
            </w:pPr>
            <w:r w:rsidRPr="00D85274">
              <w:rPr>
                <w:color w:val="000000"/>
                <w:sz w:val="20"/>
                <w:szCs w:val="20"/>
              </w:rPr>
              <w:t>17%</w:t>
            </w:r>
          </w:p>
        </w:tc>
        <w:tc>
          <w:tcPr>
            <w:tcW w:w="1830" w:type="dxa"/>
            <w:shd w:val="clear" w:color="000000" w:fill="D2EAF1"/>
            <w:noWrap/>
            <w:vAlign w:val="center"/>
          </w:tcPr>
          <w:p w:rsidR="0025240A" w:rsidRPr="00D85274" w:rsidRDefault="0025240A" w:rsidP="00AC55E9">
            <w:pPr>
              <w:jc w:val="center"/>
              <w:rPr>
                <w:sz w:val="28"/>
                <w:szCs w:val="20"/>
              </w:rPr>
            </w:pPr>
            <w:r w:rsidRPr="00D85274">
              <w:rPr>
                <w:color w:val="00B050"/>
                <w:sz w:val="28"/>
                <w:szCs w:val="20"/>
              </w:rPr>
              <w:sym w:font="Wingdings" w:char="F0FC"/>
            </w:r>
          </w:p>
        </w:tc>
      </w:tr>
      <w:tr w:rsidR="00E7173E" w:rsidRPr="00D85274" w:rsidTr="00AF6BD2">
        <w:trPr>
          <w:trHeight w:val="488"/>
          <w:jc w:val="center"/>
        </w:trPr>
        <w:tc>
          <w:tcPr>
            <w:tcW w:w="3870" w:type="dxa"/>
            <w:shd w:val="clear" w:color="auto" w:fill="auto"/>
            <w:noWrap/>
            <w:vAlign w:val="center"/>
          </w:tcPr>
          <w:p w:rsidR="0025240A" w:rsidRPr="00D85274" w:rsidRDefault="0025240A" w:rsidP="00AC55E9">
            <w:pPr>
              <w:jc w:val="left"/>
              <w:rPr>
                <w:color w:val="000000"/>
                <w:sz w:val="20"/>
                <w:szCs w:val="20"/>
              </w:rPr>
            </w:pPr>
            <w:r w:rsidRPr="00D85274">
              <w:rPr>
                <w:color w:val="000000"/>
                <w:sz w:val="20"/>
                <w:szCs w:val="20"/>
              </w:rPr>
              <w:t>Smart Construction Incentives</w:t>
            </w:r>
          </w:p>
        </w:tc>
        <w:tc>
          <w:tcPr>
            <w:tcW w:w="1830" w:type="dxa"/>
            <w:shd w:val="clear" w:color="auto" w:fill="auto"/>
            <w:noWrap/>
            <w:vAlign w:val="center"/>
          </w:tcPr>
          <w:p w:rsidR="0025240A" w:rsidRPr="00D85274" w:rsidRDefault="0025240A" w:rsidP="00AC55E9">
            <w:pPr>
              <w:jc w:val="center"/>
              <w:rPr>
                <w:color w:val="000000"/>
                <w:sz w:val="20"/>
                <w:szCs w:val="20"/>
              </w:rPr>
            </w:pPr>
            <w:r w:rsidRPr="00D85274">
              <w:rPr>
                <w:color w:val="000000"/>
                <w:sz w:val="20"/>
                <w:szCs w:val="20"/>
              </w:rPr>
              <w:t>29%</w:t>
            </w:r>
          </w:p>
        </w:tc>
        <w:tc>
          <w:tcPr>
            <w:tcW w:w="1830" w:type="dxa"/>
            <w:shd w:val="clear" w:color="auto" w:fill="auto"/>
            <w:noWrap/>
            <w:vAlign w:val="center"/>
          </w:tcPr>
          <w:p w:rsidR="0025240A" w:rsidRPr="00D85274" w:rsidRDefault="0025240A" w:rsidP="00AC55E9">
            <w:pPr>
              <w:jc w:val="center"/>
              <w:rPr>
                <w:color w:val="000000"/>
                <w:sz w:val="20"/>
                <w:szCs w:val="20"/>
              </w:rPr>
            </w:pPr>
            <w:r w:rsidRPr="00D85274">
              <w:rPr>
                <w:color w:val="000000"/>
                <w:sz w:val="20"/>
                <w:szCs w:val="20"/>
              </w:rPr>
              <w:t>22%</w:t>
            </w:r>
          </w:p>
        </w:tc>
        <w:tc>
          <w:tcPr>
            <w:tcW w:w="1830" w:type="dxa"/>
            <w:shd w:val="clear" w:color="auto" w:fill="auto"/>
            <w:noWrap/>
            <w:vAlign w:val="center"/>
          </w:tcPr>
          <w:p w:rsidR="0025240A" w:rsidRPr="00D85274" w:rsidRDefault="0025240A" w:rsidP="00AC55E9">
            <w:pPr>
              <w:jc w:val="center"/>
              <w:rPr>
                <w:sz w:val="28"/>
                <w:szCs w:val="20"/>
              </w:rPr>
            </w:pPr>
            <w:r w:rsidRPr="00D85274">
              <w:rPr>
                <w:color w:val="FF0000"/>
                <w:sz w:val="28"/>
                <w:szCs w:val="24"/>
              </w:rPr>
              <w:sym w:font="Wingdings" w:char="F0FB"/>
            </w:r>
          </w:p>
        </w:tc>
      </w:tr>
      <w:tr w:rsidR="00A874AC" w:rsidRPr="00D85274" w:rsidTr="00BE4EB1">
        <w:trPr>
          <w:trHeight w:val="488"/>
          <w:jc w:val="center"/>
        </w:trPr>
        <w:tc>
          <w:tcPr>
            <w:tcW w:w="3870" w:type="dxa"/>
            <w:shd w:val="clear" w:color="000000" w:fill="D2EAF1"/>
            <w:noWrap/>
            <w:vAlign w:val="center"/>
          </w:tcPr>
          <w:p w:rsidR="0025240A" w:rsidRPr="00D85274" w:rsidRDefault="0025240A" w:rsidP="00AC55E9">
            <w:pPr>
              <w:jc w:val="left"/>
              <w:rPr>
                <w:color w:val="000000"/>
                <w:sz w:val="20"/>
                <w:szCs w:val="20"/>
              </w:rPr>
            </w:pPr>
            <w:r w:rsidRPr="00D85274">
              <w:rPr>
                <w:color w:val="000000"/>
                <w:sz w:val="20"/>
                <w:szCs w:val="20"/>
              </w:rPr>
              <w:t>Small Business Solutions</w:t>
            </w:r>
          </w:p>
        </w:tc>
        <w:tc>
          <w:tcPr>
            <w:tcW w:w="1830" w:type="dxa"/>
            <w:shd w:val="clear" w:color="000000" w:fill="D2EAF1"/>
            <w:noWrap/>
            <w:vAlign w:val="center"/>
          </w:tcPr>
          <w:p w:rsidR="0025240A" w:rsidRPr="00D85274" w:rsidRDefault="0025240A" w:rsidP="00AC55E9">
            <w:pPr>
              <w:jc w:val="center"/>
              <w:rPr>
                <w:color w:val="000000"/>
                <w:sz w:val="20"/>
                <w:szCs w:val="20"/>
              </w:rPr>
            </w:pPr>
            <w:r w:rsidRPr="00D85274">
              <w:rPr>
                <w:color w:val="000000"/>
                <w:sz w:val="20"/>
                <w:szCs w:val="20"/>
              </w:rPr>
              <w:t>11%</w:t>
            </w:r>
          </w:p>
        </w:tc>
        <w:tc>
          <w:tcPr>
            <w:tcW w:w="1830" w:type="dxa"/>
            <w:shd w:val="clear" w:color="000000" w:fill="D2EAF1"/>
            <w:noWrap/>
            <w:vAlign w:val="center"/>
          </w:tcPr>
          <w:p w:rsidR="0025240A" w:rsidRPr="00D85274" w:rsidRDefault="0025240A" w:rsidP="00AC55E9">
            <w:pPr>
              <w:jc w:val="center"/>
              <w:rPr>
                <w:color w:val="000000"/>
                <w:sz w:val="20"/>
                <w:szCs w:val="20"/>
              </w:rPr>
            </w:pPr>
            <w:r w:rsidRPr="00D85274">
              <w:rPr>
                <w:color w:val="000000"/>
                <w:sz w:val="20"/>
                <w:szCs w:val="20"/>
              </w:rPr>
              <w:t>8%</w:t>
            </w:r>
          </w:p>
        </w:tc>
        <w:tc>
          <w:tcPr>
            <w:tcW w:w="1830" w:type="dxa"/>
            <w:shd w:val="clear" w:color="000000" w:fill="D2EAF1"/>
            <w:noWrap/>
            <w:vAlign w:val="center"/>
          </w:tcPr>
          <w:p w:rsidR="0025240A" w:rsidRPr="00D85274" w:rsidRDefault="0025240A" w:rsidP="00AC55E9">
            <w:pPr>
              <w:jc w:val="center"/>
              <w:rPr>
                <w:bCs/>
                <w:color w:val="00B050"/>
                <w:sz w:val="28"/>
                <w:szCs w:val="20"/>
              </w:rPr>
            </w:pPr>
            <w:r w:rsidRPr="00D85274">
              <w:rPr>
                <w:color w:val="00B050"/>
                <w:sz w:val="28"/>
                <w:szCs w:val="20"/>
              </w:rPr>
              <w:sym w:font="Wingdings" w:char="F0FC"/>
            </w:r>
          </w:p>
        </w:tc>
      </w:tr>
      <w:tr w:rsidR="00E7173E" w:rsidRPr="00D85274" w:rsidTr="00AF6BD2">
        <w:trPr>
          <w:trHeight w:val="488"/>
          <w:jc w:val="center"/>
        </w:trPr>
        <w:tc>
          <w:tcPr>
            <w:tcW w:w="3870" w:type="dxa"/>
            <w:shd w:val="clear" w:color="auto" w:fill="auto"/>
            <w:noWrap/>
            <w:vAlign w:val="center"/>
          </w:tcPr>
          <w:p w:rsidR="0025240A" w:rsidRPr="00D85274" w:rsidRDefault="0025240A" w:rsidP="00AC55E9">
            <w:pPr>
              <w:jc w:val="left"/>
              <w:rPr>
                <w:color w:val="000000"/>
                <w:sz w:val="20"/>
                <w:szCs w:val="20"/>
              </w:rPr>
            </w:pPr>
            <w:r w:rsidRPr="00D85274">
              <w:rPr>
                <w:color w:val="000000"/>
                <w:sz w:val="20"/>
                <w:szCs w:val="20"/>
              </w:rPr>
              <w:t>Smart Multi-Family Solutions ‒ Non-residential</w:t>
            </w:r>
          </w:p>
        </w:tc>
        <w:tc>
          <w:tcPr>
            <w:tcW w:w="1830" w:type="dxa"/>
            <w:shd w:val="clear" w:color="auto" w:fill="auto"/>
            <w:noWrap/>
            <w:vAlign w:val="center"/>
          </w:tcPr>
          <w:p w:rsidR="0025240A" w:rsidRPr="00D85274" w:rsidRDefault="0025240A" w:rsidP="00AC55E9">
            <w:pPr>
              <w:jc w:val="center"/>
              <w:rPr>
                <w:color w:val="000000"/>
                <w:sz w:val="20"/>
                <w:szCs w:val="20"/>
              </w:rPr>
            </w:pPr>
            <w:r w:rsidRPr="00D85274">
              <w:rPr>
                <w:color w:val="000000"/>
                <w:sz w:val="20"/>
                <w:szCs w:val="20"/>
              </w:rPr>
              <w:t>4%</w:t>
            </w:r>
          </w:p>
        </w:tc>
        <w:tc>
          <w:tcPr>
            <w:tcW w:w="1830" w:type="dxa"/>
            <w:shd w:val="clear" w:color="auto" w:fill="auto"/>
            <w:noWrap/>
            <w:vAlign w:val="center"/>
          </w:tcPr>
          <w:p w:rsidR="0025240A" w:rsidRPr="00D85274" w:rsidRDefault="0025240A" w:rsidP="00AC55E9">
            <w:pPr>
              <w:jc w:val="center"/>
              <w:rPr>
                <w:color w:val="000000"/>
                <w:sz w:val="20"/>
                <w:szCs w:val="20"/>
              </w:rPr>
            </w:pPr>
            <w:r w:rsidRPr="00D85274">
              <w:rPr>
                <w:color w:val="000000"/>
                <w:sz w:val="20"/>
                <w:szCs w:val="20"/>
              </w:rPr>
              <w:t>4%</w:t>
            </w:r>
          </w:p>
        </w:tc>
        <w:tc>
          <w:tcPr>
            <w:tcW w:w="1830" w:type="dxa"/>
            <w:shd w:val="clear" w:color="auto" w:fill="auto"/>
            <w:noWrap/>
            <w:vAlign w:val="center"/>
          </w:tcPr>
          <w:p w:rsidR="0025240A" w:rsidRPr="00D85274" w:rsidRDefault="0025240A" w:rsidP="00AC55E9">
            <w:pPr>
              <w:jc w:val="center"/>
              <w:rPr>
                <w:color w:val="00B050"/>
                <w:sz w:val="28"/>
                <w:szCs w:val="20"/>
              </w:rPr>
            </w:pPr>
            <w:r w:rsidRPr="00D85274">
              <w:rPr>
                <w:color w:val="00B050"/>
                <w:sz w:val="28"/>
                <w:szCs w:val="20"/>
              </w:rPr>
              <w:sym w:font="Wingdings" w:char="F0FC"/>
            </w:r>
          </w:p>
        </w:tc>
      </w:tr>
      <w:tr w:rsidR="00A874AC" w:rsidRPr="00D85274" w:rsidTr="00BE4EB1">
        <w:trPr>
          <w:trHeight w:val="488"/>
          <w:jc w:val="center"/>
        </w:trPr>
        <w:tc>
          <w:tcPr>
            <w:tcW w:w="3870" w:type="dxa"/>
            <w:shd w:val="clear" w:color="000000" w:fill="D2EAF1"/>
            <w:noWrap/>
            <w:vAlign w:val="center"/>
          </w:tcPr>
          <w:p w:rsidR="0025240A" w:rsidRPr="00D85274" w:rsidRDefault="0025240A" w:rsidP="00AC55E9">
            <w:pPr>
              <w:jc w:val="left"/>
              <w:rPr>
                <w:color w:val="000000"/>
                <w:sz w:val="20"/>
                <w:szCs w:val="20"/>
              </w:rPr>
            </w:pPr>
            <w:r w:rsidRPr="00D85274">
              <w:rPr>
                <w:color w:val="000000"/>
                <w:sz w:val="20"/>
                <w:szCs w:val="20"/>
              </w:rPr>
              <w:t>Smart Equipment Incentives (GNI)</w:t>
            </w:r>
          </w:p>
        </w:tc>
        <w:tc>
          <w:tcPr>
            <w:tcW w:w="1830" w:type="dxa"/>
            <w:shd w:val="clear" w:color="000000" w:fill="D2EAF1"/>
            <w:noWrap/>
            <w:vAlign w:val="center"/>
          </w:tcPr>
          <w:p w:rsidR="0025240A" w:rsidRPr="00D85274" w:rsidRDefault="0025240A" w:rsidP="00AC55E9">
            <w:pPr>
              <w:jc w:val="center"/>
              <w:rPr>
                <w:color w:val="000000"/>
                <w:sz w:val="20"/>
                <w:szCs w:val="20"/>
              </w:rPr>
            </w:pPr>
            <w:r w:rsidRPr="00D85274">
              <w:rPr>
                <w:color w:val="000000"/>
                <w:sz w:val="20"/>
                <w:szCs w:val="20"/>
              </w:rPr>
              <w:t>7%</w:t>
            </w:r>
          </w:p>
        </w:tc>
        <w:tc>
          <w:tcPr>
            <w:tcW w:w="1830" w:type="dxa"/>
            <w:shd w:val="clear" w:color="000000" w:fill="D2EAF1"/>
            <w:noWrap/>
            <w:vAlign w:val="center"/>
          </w:tcPr>
          <w:p w:rsidR="0025240A" w:rsidRPr="00D85274" w:rsidRDefault="0025240A" w:rsidP="00AC55E9">
            <w:pPr>
              <w:jc w:val="center"/>
              <w:rPr>
                <w:color w:val="000000"/>
                <w:sz w:val="20"/>
                <w:szCs w:val="20"/>
              </w:rPr>
            </w:pPr>
            <w:r w:rsidRPr="00D85274">
              <w:rPr>
                <w:color w:val="000000"/>
                <w:sz w:val="20"/>
                <w:szCs w:val="20"/>
              </w:rPr>
              <w:t>6%</w:t>
            </w:r>
          </w:p>
        </w:tc>
        <w:tc>
          <w:tcPr>
            <w:tcW w:w="1830" w:type="dxa"/>
            <w:shd w:val="clear" w:color="000000" w:fill="D2EAF1"/>
            <w:noWrap/>
            <w:vAlign w:val="center"/>
          </w:tcPr>
          <w:p w:rsidR="0025240A" w:rsidRPr="00D85274" w:rsidRDefault="0025240A" w:rsidP="00AC55E9">
            <w:pPr>
              <w:jc w:val="center"/>
              <w:rPr>
                <w:sz w:val="28"/>
                <w:szCs w:val="20"/>
              </w:rPr>
            </w:pPr>
            <w:r w:rsidRPr="00D85274">
              <w:rPr>
                <w:color w:val="00B050"/>
                <w:sz w:val="28"/>
                <w:szCs w:val="20"/>
              </w:rPr>
              <w:sym w:font="Wingdings" w:char="F0FC"/>
            </w:r>
          </w:p>
        </w:tc>
      </w:tr>
      <w:tr w:rsidR="00E7173E" w:rsidRPr="00D85274" w:rsidTr="00AF6BD2">
        <w:trPr>
          <w:trHeight w:val="488"/>
          <w:jc w:val="center"/>
        </w:trPr>
        <w:tc>
          <w:tcPr>
            <w:tcW w:w="3870" w:type="dxa"/>
            <w:shd w:val="clear" w:color="auto" w:fill="auto"/>
            <w:noWrap/>
            <w:vAlign w:val="center"/>
          </w:tcPr>
          <w:p w:rsidR="0025240A" w:rsidRPr="00D85274" w:rsidRDefault="0025240A" w:rsidP="00AC55E9">
            <w:pPr>
              <w:jc w:val="left"/>
              <w:rPr>
                <w:color w:val="000000"/>
                <w:sz w:val="20"/>
                <w:szCs w:val="20"/>
              </w:rPr>
            </w:pPr>
            <w:r w:rsidRPr="00D85274">
              <w:rPr>
                <w:color w:val="000000"/>
                <w:sz w:val="20"/>
                <w:szCs w:val="20"/>
              </w:rPr>
              <w:t>Smart On-Site (SOS)</w:t>
            </w:r>
          </w:p>
        </w:tc>
        <w:tc>
          <w:tcPr>
            <w:tcW w:w="1830" w:type="dxa"/>
            <w:shd w:val="clear" w:color="auto" w:fill="auto"/>
            <w:noWrap/>
            <w:vAlign w:val="center"/>
          </w:tcPr>
          <w:p w:rsidR="0025240A" w:rsidRPr="00D85274" w:rsidRDefault="0025240A" w:rsidP="00AC55E9">
            <w:pPr>
              <w:jc w:val="center"/>
              <w:rPr>
                <w:color w:val="000000"/>
                <w:sz w:val="20"/>
                <w:szCs w:val="20"/>
              </w:rPr>
            </w:pPr>
            <w:r w:rsidRPr="00D85274">
              <w:rPr>
                <w:color w:val="000000"/>
                <w:sz w:val="20"/>
                <w:szCs w:val="20"/>
              </w:rPr>
              <w:t>0%</w:t>
            </w:r>
          </w:p>
        </w:tc>
        <w:tc>
          <w:tcPr>
            <w:tcW w:w="1830" w:type="dxa"/>
            <w:shd w:val="clear" w:color="auto" w:fill="auto"/>
            <w:noWrap/>
            <w:vAlign w:val="center"/>
          </w:tcPr>
          <w:p w:rsidR="0025240A" w:rsidRPr="00D85274" w:rsidRDefault="0025240A" w:rsidP="00AC55E9">
            <w:pPr>
              <w:jc w:val="center"/>
              <w:rPr>
                <w:color w:val="000000"/>
                <w:sz w:val="20"/>
                <w:szCs w:val="20"/>
              </w:rPr>
            </w:pPr>
            <w:r w:rsidRPr="00D85274">
              <w:rPr>
                <w:color w:val="000000"/>
                <w:sz w:val="20"/>
                <w:szCs w:val="20"/>
              </w:rPr>
              <w:t>0%</w:t>
            </w:r>
          </w:p>
        </w:tc>
        <w:tc>
          <w:tcPr>
            <w:tcW w:w="1830" w:type="dxa"/>
            <w:shd w:val="clear" w:color="auto" w:fill="auto"/>
            <w:noWrap/>
            <w:vAlign w:val="center"/>
          </w:tcPr>
          <w:p w:rsidR="0025240A" w:rsidRPr="00D85274" w:rsidRDefault="0025240A" w:rsidP="00AC55E9">
            <w:pPr>
              <w:jc w:val="center"/>
              <w:rPr>
                <w:color w:val="00B050"/>
                <w:sz w:val="28"/>
                <w:szCs w:val="20"/>
              </w:rPr>
            </w:pPr>
            <w:r w:rsidRPr="00D85274">
              <w:rPr>
                <w:color w:val="00B050"/>
                <w:sz w:val="28"/>
                <w:szCs w:val="20"/>
              </w:rPr>
              <w:sym w:font="Wingdings" w:char="F0FC"/>
            </w:r>
          </w:p>
        </w:tc>
      </w:tr>
    </w:tbl>
    <w:p w:rsidR="0025240A" w:rsidRPr="00D85274" w:rsidRDefault="0025240A" w:rsidP="0025240A"/>
    <w:p w:rsidR="0025240A" w:rsidRPr="00EA70B3" w:rsidRDefault="0025240A" w:rsidP="00EA70B3">
      <w:r w:rsidRPr="00EA70B3">
        <w:t xml:space="preserve">The goal of 15% precision at the 85% confidence level for energy was reached for all non-residential program groups except SCI in PY7. Navigant was forced to modify its initial sampling approach for SCI due to issues with several Q4 projects. Details about each program </w:t>
      </w:r>
      <w:r w:rsidR="009845FB" w:rsidRPr="00EA70B3">
        <w:t xml:space="preserve">evaluation sample are provided </w:t>
      </w:r>
      <w:r w:rsidR="00F4351F" w:rsidRPr="00EA70B3">
        <w:t>below</w:t>
      </w:r>
      <w:r w:rsidRPr="00EA70B3">
        <w:t>.</w:t>
      </w:r>
    </w:p>
    <w:p w:rsidR="0025240A" w:rsidRPr="00EA70B3" w:rsidRDefault="0025240A" w:rsidP="00EA70B3"/>
    <w:p w:rsidR="0025240A" w:rsidRPr="00EA70B3" w:rsidRDefault="0025240A" w:rsidP="00EA70B3">
      <w:r w:rsidRPr="00EA70B3">
        <w:t xml:space="preserve">As part of the audit process, the SWE Team performed 10 ride-along site inspections of non-residential projects to observe PECO’s on-site evaluation practices. The projects selected for ride-along inspection encompassed lighting, chiller, and motor upgrades and HVAC occupancy sensors. The SWE Team approved all 10 sampled projects and had no further recommendations. Details of all 10 projects and their associated findings are presented </w:t>
      </w:r>
      <w:r w:rsidR="00F4351F" w:rsidRPr="00EA70B3">
        <w:t>below</w:t>
      </w:r>
      <w:r w:rsidRPr="00EA70B3">
        <w:t>.</w:t>
      </w:r>
    </w:p>
    <w:p w:rsidR="0025240A" w:rsidRPr="00EA70B3" w:rsidRDefault="0025240A" w:rsidP="00EA70B3"/>
    <w:p w:rsidR="00B9141F" w:rsidRPr="00EA70B3" w:rsidRDefault="0025240A" w:rsidP="00EA70B3">
      <w:r w:rsidRPr="00EA70B3">
        <w:t xml:space="preserve">The SWE Team performed a verified savings analysis on six submitted projects, checking the accuracy of the calculations and the appropriateness of the evaluation method and level of rigor. The SWE Team was generally pleased with the orderliness of the project files and reports and the level of rigor used in the evaluations. However, there was one discrepancy between the verified savings reported in the site-level report for one project and the verified savings reported in the tracking system. The detailed results of the verified savings analysis are provided </w:t>
      </w:r>
      <w:r w:rsidR="00F4351F" w:rsidRPr="00EA70B3">
        <w:t>below</w:t>
      </w:r>
      <w:r w:rsidRPr="00EA70B3">
        <w:t>.</w:t>
      </w:r>
    </w:p>
    <w:p w:rsidR="00014BAF" w:rsidRDefault="00014BAF" w:rsidP="0025240A"/>
    <w:p w:rsidR="00014BAF" w:rsidRDefault="00014BAF" w:rsidP="00014BAF">
      <w:pPr>
        <w:pStyle w:val="AppendixAHeading4"/>
      </w:pPr>
      <w:r>
        <w:t>Project Files Review</w:t>
      </w:r>
    </w:p>
    <w:p w:rsidR="00014BAF" w:rsidRPr="00EA70B3" w:rsidRDefault="00014BAF" w:rsidP="00EA70B3">
      <w:r w:rsidRPr="00EA70B3">
        <w:t xml:space="preserve">During PY7, the SWE Team reviewed project documentation from PECO’s Smart Equipment Incentives (SEI), Smart Construction </w:t>
      </w:r>
      <w:r w:rsidR="00E1624A" w:rsidRPr="00EA70B3">
        <w:t xml:space="preserve">Incentives </w:t>
      </w:r>
      <w:r w:rsidRPr="00EA70B3">
        <w:t>(</w:t>
      </w:r>
      <w:r w:rsidR="00E1624A" w:rsidRPr="00EA70B3">
        <w:t>SCI</w:t>
      </w:r>
      <w:r w:rsidRPr="00EA70B3">
        <w:t xml:space="preserve">), Smart Business Solutions (SBS), and Smart Multifamily (SMF) programs. Several projects were selected from each quarter within each program, for a total of 21 projects. For the most part, PECO’s project documentation was complete, well organized, and clearly labeled. </w:t>
      </w:r>
    </w:p>
    <w:p w:rsidR="00014BAF" w:rsidRPr="00EA70B3" w:rsidRDefault="00014BAF" w:rsidP="00EA70B3"/>
    <w:p w:rsidR="00EA70B3" w:rsidRDefault="00014BAF" w:rsidP="00EA70B3">
      <w:pPr>
        <w:sectPr w:rsidR="00EA70B3" w:rsidSect="008B741E">
          <w:headerReference w:type="default" r:id="rId158"/>
          <w:footerReference w:type="default" r:id="rId159"/>
          <w:headerReference w:type="first" r:id="rId160"/>
          <w:footerReference w:type="first" r:id="rId161"/>
          <w:pgSz w:w="12240" w:h="15840"/>
          <w:pgMar w:top="1440" w:right="1440" w:bottom="1440" w:left="1440" w:header="720" w:footer="288" w:gutter="0"/>
          <w:cols w:space="720"/>
          <w:titlePg/>
          <w:docGrid w:linePitch="360"/>
        </w:sectPr>
      </w:pPr>
      <w:r w:rsidRPr="00EA70B3">
        <w:fldChar w:fldCharType="begin"/>
      </w:r>
      <w:r w:rsidRPr="00EA70B3">
        <w:instrText xml:space="preserve"> REF _Ref472469782 \h </w:instrText>
      </w:r>
      <w:r w:rsidRPr="00EA70B3">
        <w:fldChar w:fldCharType="separate"/>
      </w:r>
      <w:r w:rsidR="00C301D0">
        <w:t>Table A-</w:t>
      </w:r>
      <w:r w:rsidR="00C301D0">
        <w:rPr>
          <w:noProof/>
        </w:rPr>
        <w:t>111</w:t>
      </w:r>
      <w:r w:rsidRPr="00EA70B3">
        <w:fldChar w:fldCharType="end"/>
      </w:r>
      <w:r w:rsidRPr="00EA70B3">
        <w:t xml:space="preserve"> presents an overview of the projects that were reviewed by the SWE Team and the findings.</w:t>
      </w:r>
    </w:p>
    <w:p w:rsidR="0025240A" w:rsidRDefault="00014BAF" w:rsidP="00014BAF">
      <w:pPr>
        <w:pStyle w:val="Caption"/>
      </w:pPr>
      <w:bookmarkStart w:id="1129" w:name="_Ref472469782"/>
      <w:bookmarkStart w:id="1130" w:name="_Toc472472520"/>
      <w:bookmarkStart w:id="1131" w:name="_Toc476842226"/>
      <w:r>
        <w:t>Table A-</w:t>
      </w:r>
      <w:fldSimple w:instr=" SEQ Table_A- \* ARABIC ">
        <w:r w:rsidR="00C301D0">
          <w:rPr>
            <w:noProof/>
          </w:rPr>
          <w:t>111</w:t>
        </w:r>
      </w:fldSimple>
      <w:bookmarkEnd w:id="1129"/>
      <w:r>
        <w:t>: PECO PY7 Project Files Review</w:t>
      </w:r>
      <w:bookmarkEnd w:id="1130"/>
      <w:bookmarkEnd w:id="1131"/>
    </w:p>
    <w:tbl>
      <w:tblPr>
        <w:tblStyle w:val="AnnualReportTableStyle"/>
        <w:tblW w:w="13038" w:type="dxa"/>
        <w:tblLook w:val="04A0" w:firstRow="1" w:lastRow="0" w:firstColumn="1" w:lastColumn="0" w:noHBand="0" w:noVBand="1"/>
      </w:tblPr>
      <w:tblGrid>
        <w:gridCol w:w="872"/>
        <w:gridCol w:w="1193"/>
        <w:gridCol w:w="929"/>
        <w:gridCol w:w="2401"/>
        <w:gridCol w:w="1021"/>
        <w:gridCol w:w="1319"/>
        <w:gridCol w:w="1293"/>
        <w:gridCol w:w="1004"/>
        <w:gridCol w:w="1426"/>
        <w:gridCol w:w="1580"/>
      </w:tblGrid>
      <w:tr w:rsidR="00A874AC" w:rsidRPr="00EA70B3" w:rsidTr="000641D7">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872" w:type="dxa"/>
            <w:noWrap/>
            <w:vAlign w:val="bottom"/>
            <w:hideMark/>
          </w:tcPr>
          <w:p w:rsidR="00014BAF" w:rsidRPr="00EA70B3" w:rsidRDefault="00014BAF" w:rsidP="004F0C61">
            <w:pPr>
              <w:rPr>
                <w:bCs/>
                <w:sz w:val="20"/>
                <w:szCs w:val="20"/>
              </w:rPr>
            </w:pPr>
            <w:r w:rsidRPr="00EA70B3">
              <w:rPr>
                <w:bCs/>
                <w:sz w:val="20"/>
                <w:szCs w:val="20"/>
              </w:rPr>
              <w:t>Quarter</w:t>
            </w:r>
          </w:p>
        </w:tc>
        <w:tc>
          <w:tcPr>
            <w:tcW w:w="1193" w:type="dxa"/>
            <w:noWrap/>
            <w:vAlign w:val="bottom"/>
            <w:hideMark/>
          </w:tcPr>
          <w:p w:rsidR="00014BAF" w:rsidRPr="00EA70B3"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EA70B3">
              <w:rPr>
                <w:bCs/>
                <w:sz w:val="20"/>
                <w:szCs w:val="20"/>
              </w:rPr>
              <w:t>Project Number</w:t>
            </w:r>
          </w:p>
        </w:tc>
        <w:tc>
          <w:tcPr>
            <w:tcW w:w="929" w:type="dxa"/>
            <w:noWrap/>
            <w:vAlign w:val="bottom"/>
            <w:hideMark/>
          </w:tcPr>
          <w:p w:rsidR="00014BAF" w:rsidRPr="00EA70B3"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EA70B3">
              <w:rPr>
                <w:bCs/>
                <w:sz w:val="20"/>
                <w:szCs w:val="20"/>
              </w:rPr>
              <w:t>Program</w:t>
            </w:r>
          </w:p>
        </w:tc>
        <w:tc>
          <w:tcPr>
            <w:tcW w:w="2401" w:type="dxa"/>
            <w:vAlign w:val="bottom"/>
            <w:hideMark/>
          </w:tcPr>
          <w:p w:rsidR="00014BAF" w:rsidRPr="00EA70B3"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EA70B3">
              <w:rPr>
                <w:bCs/>
                <w:sz w:val="20"/>
                <w:szCs w:val="20"/>
              </w:rPr>
              <w:t>Project Description</w:t>
            </w:r>
          </w:p>
        </w:tc>
        <w:tc>
          <w:tcPr>
            <w:tcW w:w="1021" w:type="dxa"/>
            <w:vAlign w:val="bottom"/>
            <w:hideMark/>
          </w:tcPr>
          <w:p w:rsidR="00014BAF" w:rsidRPr="00EA70B3"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EA70B3">
              <w:rPr>
                <w:bCs/>
                <w:sz w:val="20"/>
                <w:szCs w:val="20"/>
              </w:rPr>
              <w:t>Are all files included?</w:t>
            </w:r>
          </w:p>
        </w:tc>
        <w:tc>
          <w:tcPr>
            <w:tcW w:w="1319" w:type="dxa"/>
            <w:vAlign w:val="bottom"/>
            <w:hideMark/>
          </w:tcPr>
          <w:p w:rsidR="00014BAF" w:rsidRPr="00EA70B3"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EA70B3">
              <w:rPr>
                <w:bCs/>
                <w:sz w:val="20"/>
                <w:szCs w:val="20"/>
              </w:rPr>
              <w:t>Do values match program tracking data?</w:t>
            </w:r>
          </w:p>
        </w:tc>
        <w:tc>
          <w:tcPr>
            <w:tcW w:w="1293" w:type="dxa"/>
            <w:vAlign w:val="bottom"/>
            <w:hideMark/>
          </w:tcPr>
          <w:p w:rsidR="00014BAF" w:rsidRPr="00EA70B3"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EA70B3">
              <w:rPr>
                <w:bCs/>
                <w:sz w:val="20"/>
                <w:szCs w:val="20"/>
              </w:rPr>
              <w:t>Equipment discrepancy between invoices and calculations?</w:t>
            </w:r>
          </w:p>
        </w:tc>
        <w:tc>
          <w:tcPr>
            <w:tcW w:w="1004" w:type="dxa"/>
            <w:vAlign w:val="bottom"/>
            <w:hideMark/>
          </w:tcPr>
          <w:p w:rsidR="00014BAF" w:rsidRPr="00EA70B3"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EA70B3">
              <w:rPr>
                <w:bCs/>
                <w:sz w:val="20"/>
                <w:szCs w:val="20"/>
              </w:rPr>
              <w:t>Sufficient info for SWE to follow?</w:t>
            </w:r>
          </w:p>
        </w:tc>
        <w:tc>
          <w:tcPr>
            <w:tcW w:w="1426" w:type="dxa"/>
            <w:vAlign w:val="bottom"/>
            <w:hideMark/>
          </w:tcPr>
          <w:p w:rsidR="00014BAF" w:rsidRPr="00EA70B3"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EA70B3">
              <w:rPr>
                <w:bCs/>
                <w:sz w:val="20"/>
                <w:szCs w:val="20"/>
              </w:rPr>
              <w:t>For TRM measures, are correct algorithms and HOU values used?</w:t>
            </w:r>
          </w:p>
        </w:tc>
        <w:tc>
          <w:tcPr>
            <w:tcW w:w="1580" w:type="dxa"/>
            <w:vAlign w:val="bottom"/>
            <w:hideMark/>
          </w:tcPr>
          <w:p w:rsidR="00014BAF" w:rsidRPr="00EA70B3" w:rsidRDefault="00014BAF" w:rsidP="004F0C61">
            <w:pPr>
              <w:jc w:val="center"/>
              <w:cnfStyle w:val="100000000000" w:firstRow="1" w:lastRow="0" w:firstColumn="0" w:lastColumn="0" w:oddVBand="0" w:evenVBand="0" w:oddHBand="0" w:evenHBand="0" w:firstRowFirstColumn="0" w:firstRowLastColumn="0" w:lastRowFirstColumn="0" w:lastRowLastColumn="0"/>
              <w:rPr>
                <w:bCs/>
                <w:sz w:val="20"/>
                <w:szCs w:val="20"/>
              </w:rPr>
            </w:pPr>
            <w:r w:rsidRPr="00EA70B3">
              <w:rPr>
                <w:bCs/>
                <w:sz w:val="20"/>
                <w:szCs w:val="20"/>
              </w:rPr>
              <w:t>For Custom measures, is the methodology clear and auditable? Is it a sensible approach?</w:t>
            </w:r>
          </w:p>
        </w:tc>
      </w:tr>
      <w:tr w:rsidR="00A874AC" w:rsidRPr="00EA70B3"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PY7Q1</w:t>
            </w:r>
          </w:p>
        </w:tc>
        <w:tc>
          <w:tcPr>
            <w:tcW w:w="11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PECO-15-07164</w:t>
            </w:r>
          </w:p>
        </w:tc>
        <w:tc>
          <w:tcPr>
            <w:tcW w:w="92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SEI GNI</w:t>
            </w:r>
          </w:p>
        </w:tc>
        <w:tc>
          <w:tcPr>
            <w:tcW w:w="2401"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T12 to T8 retrofit</w:t>
            </w:r>
          </w:p>
        </w:tc>
        <w:tc>
          <w:tcPr>
            <w:tcW w:w="1021"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31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2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No</w:t>
            </w:r>
          </w:p>
        </w:tc>
        <w:tc>
          <w:tcPr>
            <w:tcW w:w="1004"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426"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580"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N/A</w:t>
            </w:r>
          </w:p>
        </w:tc>
      </w:tr>
      <w:tr w:rsidR="00014BAF" w:rsidRPr="00EA70B3"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PY7Q1</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PECO-15-07757</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SEI GNI</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LED streetlight retrofit</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No</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N/A</w:t>
            </w:r>
          </w:p>
        </w:tc>
      </w:tr>
      <w:tr w:rsidR="00A874AC" w:rsidRPr="00EA70B3"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PY7Q3</w:t>
            </w:r>
          </w:p>
        </w:tc>
        <w:tc>
          <w:tcPr>
            <w:tcW w:w="11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PECO-15-08680</w:t>
            </w:r>
          </w:p>
        </w:tc>
        <w:tc>
          <w:tcPr>
            <w:tcW w:w="92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SEI GNI</w:t>
            </w:r>
          </w:p>
        </w:tc>
        <w:tc>
          <w:tcPr>
            <w:tcW w:w="2401"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Lighting retrofit (CFL and inc. to LED)</w:t>
            </w:r>
          </w:p>
        </w:tc>
        <w:tc>
          <w:tcPr>
            <w:tcW w:w="1021"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31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2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No</w:t>
            </w:r>
          </w:p>
        </w:tc>
        <w:tc>
          <w:tcPr>
            <w:tcW w:w="1004"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426"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580"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N/A</w:t>
            </w:r>
          </w:p>
        </w:tc>
      </w:tr>
      <w:tr w:rsidR="00014BAF" w:rsidRPr="00EA70B3"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PY7Q3</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PECO-16-09043</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SEI GNI</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PC Power management (x 161 computers)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No</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N/A</w:t>
            </w:r>
          </w:p>
        </w:tc>
      </w:tr>
      <w:tr w:rsidR="00A874AC" w:rsidRPr="00EA70B3"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PY7Q4</w:t>
            </w:r>
          </w:p>
        </w:tc>
        <w:tc>
          <w:tcPr>
            <w:tcW w:w="11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PECO-15-08917</w:t>
            </w:r>
          </w:p>
        </w:tc>
        <w:tc>
          <w:tcPr>
            <w:tcW w:w="92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SEI GNI</w:t>
            </w:r>
          </w:p>
        </w:tc>
        <w:tc>
          <w:tcPr>
            <w:tcW w:w="2401"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Lighting retrofit</w:t>
            </w:r>
          </w:p>
        </w:tc>
        <w:tc>
          <w:tcPr>
            <w:tcW w:w="1021"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319"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2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No</w:t>
            </w:r>
          </w:p>
        </w:tc>
        <w:tc>
          <w:tcPr>
            <w:tcW w:w="1004"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426"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580"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N/A</w:t>
            </w:r>
          </w:p>
        </w:tc>
      </w:tr>
      <w:tr w:rsidR="00014BAF" w:rsidRPr="00EA70B3"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PY7Q1</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PECO-15-07395</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SEI C/I</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EMS system installation (automated logic)</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No</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N/A</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r>
      <w:tr w:rsidR="00A874AC" w:rsidRPr="00EA70B3"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PY7Q1</w:t>
            </w:r>
          </w:p>
        </w:tc>
        <w:tc>
          <w:tcPr>
            <w:tcW w:w="11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PECO-15-07810</w:t>
            </w:r>
          </w:p>
        </w:tc>
        <w:tc>
          <w:tcPr>
            <w:tcW w:w="92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SEI C/I</w:t>
            </w:r>
          </w:p>
        </w:tc>
        <w:tc>
          <w:tcPr>
            <w:tcW w:w="2401"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Corridor and exterior 8760 light LED retrofit</w:t>
            </w:r>
          </w:p>
        </w:tc>
        <w:tc>
          <w:tcPr>
            <w:tcW w:w="1021"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31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2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No</w:t>
            </w:r>
          </w:p>
        </w:tc>
        <w:tc>
          <w:tcPr>
            <w:tcW w:w="1004"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426"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580"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N/A</w:t>
            </w:r>
          </w:p>
        </w:tc>
      </w:tr>
      <w:tr w:rsidR="00014BAF" w:rsidRPr="00EA70B3"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PY7Q3</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PECO-14-06855</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SEI C/I</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Lighting retrofit (T8 to HPT8)</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No</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N/A</w:t>
            </w:r>
          </w:p>
        </w:tc>
      </w:tr>
      <w:tr w:rsidR="00A874AC" w:rsidRPr="00EA70B3"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PY7Q3</w:t>
            </w:r>
          </w:p>
        </w:tc>
        <w:tc>
          <w:tcPr>
            <w:tcW w:w="11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PECO-15-08636</w:t>
            </w:r>
          </w:p>
        </w:tc>
        <w:tc>
          <w:tcPr>
            <w:tcW w:w="92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SEI C/I</w:t>
            </w:r>
          </w:p>
        </w:tc>
        <w:tc>
          <w:tcPr>
            <w:tcW w:w="2401"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Lighting retrofit (T8 to LED and MH to LED)</w:t>
            </w:r>
          </w:p>
        </w:tc>
        <w:tc>
          <w:tcPr>
            <w:tcW w:w="1021"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31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2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No</w:t>
            </w:r>
          </w:p>
        </w:tc>
        <w:tc>
          <w:tcPr>
            <w:tcW w:w="1004"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426"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580"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N/A</w:t>
            </w:r>
          </w:p>
        </w:tc>
      </w:tr>
      <w:tr w:rsidR="00014BAF" w:rsidRPr="00EA70B3"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PY7Q1</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PECO-14-06367</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SCI</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New construction lighting</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No</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N/A</w:t>
            </w:r>
          </w:p>
        </w:tc>
      </w:tr>
      <w:tr w:rsidR="00A874AC" w:rsidRPr="00EA70B3"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PY7Q1</w:t>
            </w:r>
          </w:p>
        </w:tc>
        <w:tc>
          <w:tcPr>
            <w:tcW w:w="11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PECO-14-06932</w:t>
            </w:r>
          </w:p>
        </w:tc>
        <w:tc>
          <w:tcPr>
            <w:tcW w:w="92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SCI</w:t>
            </w:r>
          </w:p>
        </w:tc>
        <w:tc>
          <w:tcPr>
            <w:tcW w:w="2401"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New construction lighting LED, and HVAC RTU</w:t>
            </w:r>
          </w:p>
        </w:tc>
        <w:tc>
          <w:tcPr>
            <w:tcW w:w="1021"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31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2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No</w:t>
            </w:r>
          </w:p>
        </w:tc>
        <w:tc>
          <w:tcPr>
            <w:tcW w:w="1004"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426"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580"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N/A</w:t>
            </w:r>
          </w:p>
        </w:tc>
      </w:tr>
      <w:tr w:rsidR="00014BAF" w:rsidRPr="00EA70B3"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PY7Q2</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PECO-14-06473</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SCI</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New construction lighting</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No</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N/A</w:t>
            </w:r>
          </w:p>
        </w:tc>
      </w:tr>
      <w:tr w:rsidR="00A874AC" w:rsidRPr="00EA70B3"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PY7Q2</w:t>
            </w:r>
          </w:p>
        </w:tc>
        <w:tc>
          <w:tcPr>
            <w:tcW w:w="11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PECO-15-07122</w:t>
            </w:r>
          </w:p>
        </w:tc>
        <w:tc>
          <w:tcPr>
            <w:tcW w:w="92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SCI</w:t>
            </w:r>
          </w:p>
        </w:tc>
        <w:tc>
          <w:tcPr>
            <w:tcW w:w="2401"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New construction lighting, ASHP, and AC</w:t>
            </w:r>
          </w:p>
        </w:tc>
        <w:tc>
          <w:tcPr>
            <w:tcW w:w="1021"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31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2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No</w:t>
            </w:r>
          </w:p>
        </w:tc>
        <w:tc>
          <w:tcPr>
            <w:tcW w:w="1004"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426"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580"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N/A</w:t>
            </w:r>
          </w:p>
        </w:tc>
      </w:tr>
      <w:tr w:rsidR="00014BAF" w:rsidRPr="00EA70B3"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PY7Q4</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PECO-14-06279</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SCI</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Custom HVAC (row-based data center cooling)</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No</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N/A</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r>
      <w:tr w:rsidR="00A874AC" w:rsidRPr="00EA70B3"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PY7Q4</w:t>
            </w:r>
          </w:p>
        </w:tc>
        <w:tc>
          <w:tcPr>
            <w:tcW w:w="11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PECO-15-08974</w:t>
            </w:r>
          </w:p>
        </w:tc>
        <w:tc>
          <w:tcPr>
            <w:tcW w:w="92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SCI</w:t>
            </w:r>
          </w:p>
        </w:tc>
        <w:tc>
          <w:tcPr>
            <w:tcW w:w="2401"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HVAC (efficient RTUs)</w:t>
            </w:r>
          </w:p>
        </w:tc>
        <w:tc>
          <w:tcPr>
            <w:tcW w:w="1021"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31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2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No</w:t>
            </w:r>
          </w:p>
        </w:tc>
        <w:tc>
          <w:tcPr>
            <w:tcW w:w="1004"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426"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580"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N/A</w:t>
            </w:r>
          </w:p>
        </w:tc>
      </w:tr>
      <w:tr w:rsidR="00014BAF" w:rsidRPr="00EA70B3"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PY7Q4</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PECO-16-09572</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SCI</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Custom (LEED new construction)</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No</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N/A</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r>
      <w:tr w:rsidR="00A874AC" w:rsidRPr="00EA70B3" w:rsidTr="000641D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PY7Q1</w:t>
            </w:r>
          </w:p>
        </w:tc>
        <w:tc>
          <w:tcPr>
            <w:tcW w:w="11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2484</w:t>
            </w:r>
          </w:p>
        </w:tc>
        <w:tc>
          <w:tcPr>
            <w:tcW w:w="92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SBS</w:t>
            </w:r>
          </w:p>
        </w:tc>
        <w:tc>
          <w:tcPr>
            <w:tcW w:w="2401"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Lighting retrofit</w:t>
            </w:r>
          </w:p>
        </w:tc>
        <w:tc>
          <w:tcPr>
            <w:tcW w:w="1021"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319"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No: 14,865 kWh in calculator and 14,925 kWh in tracker</w:t>
            </w:r>
          </w:p>
        </w:tc>
        <w:tc>
          <w:tcPr>
            <w:tcW w:w="12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No</w:t>
            </w:r>
          </w:p>
        </w:tc>
        <w:tc>
          <w:tcPr>
            <w:tcW w:w="1004"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426"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580"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N/A</w:t>
            </w:r>
          </w:p>
        </w:tc>
      </w:tr>
      <w:tr w:rsidR="00014BAF" w:rsidRPr="00EA70B3"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PY7Q1</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2868</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SBS</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Lighting retrofit</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No</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N/A</w:t>
            </w:r>
          </w:p>
        </w:tc>
      </w:tr>
      <w:tr w:rsidR="00A874AC" w:rsidRPr="00EA70B3"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PY7Q2</w:t>
            </w:r>
          </w:p>
        </w:tc>
        <w:tc>
          <w:tcPr>
            <w:tcW w:w="11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PECO-14-06473</w:t>
            </w:r>
          </w:p>
        </w:tc>
        <w:tc>
          <w:tcPr>
            <w:tcW w:w="92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SCI</w:t>
            </w:r>
          </w:p>
        </w:tc>
        <w:tc>
          <w:tcPr>
            <w:tcW w:w="2401"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New construction lighting</w:t>
            </w:r>
          </w:p>
        </w:tc>
        <w:tc>
          <w:tcPr>
            <w:tcW w:w="1021"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31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2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No</w:t>
            </w:r>
          </w:p>
        </w:tc>
        <w:tc>
          <w:tcPr>
            <w:tcW w:w="1004"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426"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580"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N/A</w:t>
            </w:r>
          </w:p>
        </w:tc>
      </w:tr>
      <w:tr w:rsidR="00014BAF" w:rsidRPr="00EA70B3" w:rsidTr="00AF6BD2">
        <w:trPr>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PY7Q2</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PECO-15-07122</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SCI</w:t>
            </w:r>
          </w:p>
        </w:tc>
        <w:tc>
          <w:tcPr>
            <w:tcW w:w="0" w:type="dxa"/>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New construction lighting, ASHP, and AC</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No</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Yes</w:t>
            </w:r>
          </w:p>
        </w:tc>
        <w:tc>
          <w:tcPr>
            <w:tcW w:w="0" w:type="dxa"/>
            <w:noWrap/>
            <w:hideMark/>
          </w:tcPr>
          <w:p w:rsidR="00014BAF" w:rsidRPr="00EA70B3" w:rsidRDefault="00014BAF" w:rsidP="004F0C61">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EA70B3">
              <w:rPr>
                <w:color w:val="000000"/>
                <w:sz w:val="20"/>
                <w:szCs w:val="20"/>
              </w:rPr>
              <w:t>N/A</w:t>
            </w:r>
          </w:p>
        </w:tc>
      </w:tr>
      <w:tr w:rsidR="00A874AC" w:rsidRPr="00EA70B3" w:rsidTr="000641D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72" w:type="dxa"/>
            <w:noWrap/>
            <w:hideMark/>
          </w:tcPr>
          <w:p w:rsidR="00014BAF" w:rsidRPr="00EA70B3" w:rsidRDefault="00014BAF" w:rsidP="004F0C61">
            <w:pPr>
              <w:rPr>
                <w:b w:val="0"/>
                <w:bCs/>
                <w:i/>
                <w:iCs/>
                <w:color w:val="000000"/>
                <w:sz w:val="20"/>
                <w:szCs w:val="20"/>
              </w:rPr>
            </w:pPr>
            <w:r w:rsidRPr="00EA70B3">
              <w:rPr>
                <w:b w:val="0"/>
                <w:bCs/>
                <w:i/>
                <w:iCs/>
                <w:color w:val="000000"/>
                <w:sz w:val="20"/>
                <w:szCs w:val="20"/>
              </w:rPr>
              <w:t>PY7Q4</w:t>
            </w:r>
          </w:p>
        </w:tc>
        <w:tc>
          <w:tcPr>
            <w:tcW w:w="11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PECO-13-05362</w:t>
            </w:r>
          </w:p>
        </w:tc>
        <w:tc>
          <w:tcPr>
            <w:tcW w:w="929"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SOS</w:t>
            </w:r>
          </w:p>
        </w:tc>
        <w:tc>
          <w:tcPr>
            <w:tcW w:w="2401"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CHP</w:t>
            </w:r>
          </w:p>
        </w:tc>
        <w:tc>
          <w:tcPr>
            <w:tcW w:w="1021"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319" w:type="dxa"/>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293"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No</w:t>
            </w:r>
          </w:p>
        </w:tc>
        <w:tc>
          <w:tcPr>
            <w:tcW w:w="1004"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c>
          <w:tcPr>
            <w:tcW w:w="1426"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N/A</w:t>
            </w:r>
          </w:p>
        </w:tc>
        <w:tc>
          <w:tcPr>
            <w:tcW w:w="1580" w:type="dxa"/>
            <w:noWrap/>
            <w:hideMark/>
          </w:tcPr>
          <w:p w:rsidR="00014BAF" w:rsidRPr="00EA70B3" w:rsidRDefault="00014BAF" w:rsidP="004F0C61">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EA70B3">
              <w:rPr>
                <w:color w:val="000000"/>
                <w:sz w:val="20"/>
                <w:szCs w:val="20"/>
              </w:rPr>
              <w:t>Yes</w:t>
            </w:r>
          </w:p>
        </w:tc>
      </w:tr>
    </w:tbl>
    <w:p w:rsidR="00014BAF" w:rsidRDefault="00014BAF" w:rsidP="00014BAF"/>
    <w:p w:rsidR="00EA70B3" w:rsidRDefault="00EA70B3" w:rsidP="00AB1682">
      <w:pPr>
        <w:rPr>
          <w:rFonts w:eastAsia="Calibri"/>
        </w:rPr>
        <w:sectPr w:rsidR="00EA70B3" w:rsidSect="00EA70B3">
          <w:headerReference w:type="default" r:id="rId162"/>
          <w:footerReference w:type="default" r:id="rId163"/>
          <w:headerReference w:type="first" r:id="rId164"/>
          <w:footerReference w:type="first" r:id="rId165"/>
          <w:pgSz w:w="15840" w:h="12240" w:orient="landscape"/>
          <w:pgMar w:top="1440" w:right="1440" w:bottom="1440" w:left="1440" w:header="720" w:footer="288" w:gutter="0"/>
          <w:cols w:space="720"/>
          <w:titlePg/>
          <w:docGrid w:linePitch="360"/>
        </w:sectPr>
      </w:pPr>
    </w:p>
    <w:p w:rsidR="00AB1682" w:rsidRPr="003458B1" w:rsidRDefault="00AB1682" w:rsidP="00AB1682">
      <w:pPr>
        <w:rPr>
          <w:rFonts w:eastAsia="Calibri"/>
        </w:rPr>
      </w:pPr>
      <w:r w:rsidRPr="003458B1">
        <w:rPr>
          <w:rFonts w:eastAsia="Calibri"/>
        </w:rPr>
        <w:t xml:space="preserve">The only issue encountered </w:t>
      </w:r>
      <w:r>
        <w:rPr>
          <w:rFonts w:eastAsia="Calibri"/>
        </w:rPr>
        <w:t>in</w:t>
      </w:r>
      <w:r w:rsidRPr="003458B1">
        <w:rPr>
          <w:rFonts w:eastAsia="Calibri"/>
        </w:rPr>
        <w:t xml:space="preserve"> the SWE’s PY7 project file reviews was an inconsistency between the kWh savings in the Appendix C calculator and the tracking database for </w:t>
      </w:r>
      <w:r>
        <w:rPr>
          <w:rFonts w:eastAsia="Calibri"/>
        </w:rPr>
        <w:t>project number 2484 in the SBS P</w:t>
      </w:r>
      <w:r w:rsidRPr="003458B1">
        <w:rPr>
          <w:rFonts w:eastAsia="Calibri"/>
        </w:rPr>
        <w:t>rogram. The calculator records that 14,865 kWh were saved</w:t>
      </w:r>
      <w:r>
        <w:rPr>
          <w:rFonts w:eastAsia="Calibri"/>
        </w:rPr>
        <w:t>,</w:t>
      </w:r>
      <w:r w:rsidRPr="003458B1">
        <w:rPr>
          <w:rFonts w:eastAsia="Calibri"/>
        </w:rPr>
        <w:t xml:space="preserve"> but </w:t>
      </w:r>
      <w:r>
        <w:rPr>
          <w:rFonts w:eastAsia="Calibri"/>
        </w:rPr>
        <w:t>the database records 14,925 kWh</w:t>
      </w:r>
      <w:r w:rsidRPr="003458B1">
        <w:rPr>
          <w:rFonts w:eastAsia="Calibri"/>
        </w:rPr>
        <w:t>.</w:t>
      </w:r>
      <w:r>
        <w:rPr>
          <w:rFonts w:eastAsia="Calibri"/>
        </w:rPr>
        <w:t xml:space="preserve"> After discussion with</w:t>
      </w:r>
      <w:r w:rsidRPr="00046DD0">
        <w:t xml:space="preserve"> </w:t>
      </w:r>
      <w:r w:rsidRPr="00046DD0">
        <w:rPr>
          <w:rFonts w:eastAsia="Calibri"/>
        </w:rPr>
        <w:t>Navigant</w:t>
      </w:r>
      <w:r>
        <w:rPr>
          <w:rFonts w:eastAsia="Calibri"/>
        </w:rPr>
        <w:t>, they</w:t>
      </w:r>
      <w:r w:rsidRPr="00046DD0">
        <w:rPr>
          <w:rFonts w:eastAsia="Calibri"/>
        </w:rPr>
        <w:t xml:space="preserve"> found this same discrepancy in </w:t>
      </w:r>
      <w:r>
        <w:rPr>
          <w:rFonts w:eastAsia="Calibri"/>
        </w:rPr>
        <w:t>their</w:t>
      </w:r>
      <w:r w:rsidRPr="00046DD0">
        <w:rPr>
          <w:rFonts w:eastAsia="Calibri"/>
        </w:rPr>
        <w:t xml:space="preserve"> evaluation of the program and confirmed the savings recorded in the database is the correct value. </w:t>
      </w:r>
      <w:r>
        <w:rPr>
          <w:rFonts w:eastAsia="Calibri"/>
        </w:rPr>
        <w:t>They stated that t</w:t>
      </w:r>
      <w:r w:rsidRPr="00046DD0">
        <w:rPr>
          <w:rFonts w:eastAsia="Calibri"/>
        </w:rPr>
        <w:t>his is likely due to the file containing a preli</w:t>
      </w:r>
      <w:r>
        <w:rPr>
          <w:rFonts w:eastAsia="Calibri"/>
        </w:rPr>
        <w:t>minary calculation of savings versus</w:t>
      </w:r>
      <w:r w:rsidRPr="00046DD0">
        <w:rPr>
          <w:rFonts w:eastAsia="Calibri"/>
        </w:rPr>
        <w:t xml:space="preserve"> the database recording the final ex ante savings per the TRM.</w:t>
      </w:r>
    </w:p>
    <w:p w:rsidR="00014BAF" w:rsidRPr="003458B1" w:rsidRDefault="00014BAF" w:rsidP="00014BAF">
      <w:pPr>
        <w:rPr>
          <w:rFonts w:eastAsia="Calibri"/>
        </w:rPr>
      </w:pPr>
    </w:p>
    <w:p w:rsidR="00014BAF" w:rsidRPr="003458B1" w:rsidRDefault="00014BAF" w:rsidP="00014BAF">
      <w:pPr>
        <w:pStyle w:val="AppendixAHeading4"/>
        <w:rPr>
          <w:rFonts w:eastAsia="Calibri"/>
        </w:rPr>
      </w:pPr>
      <w:bookmarkStart w:id="1132" w:name="_Toc408557473"/>
      <w:bookmarkStart w:id="1133" w:name="_Ref440444390"/>
      <w:r w:rsidRPr="003458B1">
        <w:rPr>
          <w:rFonts w:eastAsia="Calibri"/>
        </w:rPr>
        <w:t>Sample Design Review</w:t>
      </w:r>
      <w:bookmarkEnd w:id="1132"/>
      <w:bookmarkEnd w:id="1133"/>
    </w:p>
    <w:p w:rsidR="00014BAF" w:rsidRPr="003458B1" w:rsidRDefault="00014BAF" w:rsidP="00014BAF">
      <w:r w:rsidRPr="003458B1">
        <w:t xml:space="preserve">PECO’s PY7 annual report provided detailed information about the sample design for the PY7 gross impact evaluation of non-residential programs: SEI (C/I), SEI (GNI), SCI, SBS, SMFS – Non-Residential, and </w:t>
      </w:r>
      <w:r w:rsidR="009845FB">
        <w:t>SOS</w:t>
      </w:r>
      <w:r w:rsidRPr="003458B1">
        <w:t>. The following sections summarize the sampling approaches used by</w:t>
      </w:r>
      <w:r w:rsidR="009845FB">
        <w:t xml:space="preserve"> Navigant</w:t>
      </w:r>
      <w:r w:rsidRPr="003458B1">
        <w:t xml:space="preserve"> to develop verified savings estimates</w:t>
      </w:r>
      <w:r>
        <w:t>,</w:t>
      </w:r>
      <w:r w:rsidRPr="003458B1">
        <w:t xml:space="preserve"> as well as the SWE Team’s audit of the approach.</w:t>
      </w:r>
    </w:p>
    <w:p w:rsidR="00014BAF" w:rsidRPr="003458B1" w:rsidRDefault="00014BAF" w:rsidP="00014BAF"/>
    <w:p w:rsidR="00014BAF" w:rsidRPr="003458B1" w:rsidRDefault="00014BAF" w:rsidP="00014BAF">
      <w:pPr>
        <w:pStyle w:val="AppendixAHeading5"/>
      </w:pPr>
      <w:r w:rsidRPr="003458B1">
        <w:t xml:space="preserve">Smart Equipment Incentives Program </w:t>
      </w:r>
      <w:r>
        <w:t xml:space="preserve">– </w:t>
      </w:r>
      <w:r w:rsidRPr="003458B1">
        <w:t xml:space="preserve">C/I </w:t>
      </w:r>
    </w:p>
    <w:p w:rsidR="00014BAF" w:rsidRPr="003458B1" w:rsidRDefault="00014BAF" w:rsidP="00014BAF">
      <w:pPr>
        <w:spacing w:after="120"/>
      </w:pPr>
      <w:r w:rsidRPr="003458B1">
        <w:t>This program was launched in Phase I and has been continued in Phase II. The sample designed by Navigant was aimed at exceeding the required 85%/15% confidence</w:t>
      </w:r>
      <w:r>
        <w:t>/</w:t>
      </w:r>
      <w:r w:rsidRPr="003458B1">
        <w:t xml:space="preserve">precision at the program level and used a similar method </w:t>
      </w:r>
      <w:r>
        <w:t>as in</w:t>
      </w:r>
      <w:r w:rsidRPr="003458B1">
        <w:t xml:space="preserve"> PY5 and PY6. However, based on PY6 and PY5 evaluations where a Cv of </w:t>
      </w:r>
      <w:r>
        <w:t>0</w:t>
      </w:r>
      <w:r w:rsidRPr="003458B1">
        <w:t>.5 was assumed for a</w:t>
      </w:r>
      <w:r w:rsidR="009845FB">
        <w:t>ll strata, Navigant assumed a Cv</w:t>
      </w:r>
      <w:r w:rsidRPr="003458B1">
        <w:t xml:space="preserve"> of 0.4 for </w:t>
      </w:r>
      <w:r>
        <w:t xml:space="preserve">the </w:t>
      </w:r>
      <w:r w:rsidRPr="003458B1">
        <w:t>large</w:t>
      </w:r>
      <w:r>
        <w:t xml:space="preserve"> stratum</w:t>
      </w:r>
      <w:r w:rsidR="009845FB">
        <w:t>,</w:t>
      </w:r>
      <w:r w:rsidRPr="003458B1">
        <w:t xml:space="preserve"> 0.5 for </w:t>
      </w:r>
      <w:r>
        <w:t xml:space="preserve">the </w:t>
      </w:r>
      <w:r w:rsidRPr="003458B1">
        <w:t>medium</w:t>
      </w:r>
      <w:r>
        <w:t xml:space="preserve"> stratum</w:t>
      </w:r>
      <w:r w:rsidRPr="003458B1">
        <w:t xml:space="preserve">, and 0.7 for </w:t>
      </w:r>
      <w:r>
        <w:t xml:space="preserve">the </w:t>
      </w:r>
      <w:r w:rsidRPr="003458B1">
        <w:t>small</w:t>
      </w:r>
      <w:r>
        <w:t xml:space="preserve"> stratum</w:t>
      </w:r>
      <w:r w:rsidRPr="003458B1">
        <w:t>. Additionally, Navigant followed the SWE Team’s request to design the sample to exceed 90/10 and included extra sites in the analysis. This was requested to ensure a program total of 85/15, which was not achieved in PY5. As it did in PY5 and PY6, Navigant used stratified ratio estimation to produce verified savings for the SEI Program. Based on participation data, the strata boundaries were defined as follows:</w:t>
      </w:r>
    </w:p>
    <w:p w:rsidR="00014BAF" w:rsidRPr="00727B1F" w:rsidRDefault="00014BAF" w:rsidP="00E646C9">
      <w:pPr>
        <w:pStyle w:val="ListParagraph"/>
        <w:numPr>
          <w:ilvl w:val="0"/>
          <w:numId w:val="39"/>
        </w:numPr>
        <w:ind w:left="360"/>
      </w:pPr>
      <w:r w:rsidRPr="00727B1F">
        <w:t xml:space="preserve">Stratum 1 - </w:t>
      </w:r>
      <w:r>
        <w:t>l</w:t>
      </w:r>
      <w:r w:rsidRPr="00727B1F">
        <w:t xml:space="preserve">arge </w:t>
      </w:r>
      <w:r>
        <w:t>s</w:t>
      </w:r>
      <w:r w:rsidRPr="00727B1F">
        <w:t>tratum: top 33% of reported kWh savings</w:t>
      </w:r>
    </w:p>
    <w:p w:rsidR="00014BAF" w:rsidRPr="00727B1F" w:rsidRDefault="00014BAF" w:rsidP="00E646C9">
      <w:pPr>
        <w:pStyle w:val="ListParagraph"/>
        <w:numPr>
          <w:ilvl w:val="0"/>
          <w:numId w:val="39"/>
        </w:numPr>
        <w:ind w:left="360"/>
      </w:pPr>
      <w:r w:rsidRPr="00727B1F">
        <w:t xml:space="preserve">Stratum 2 - </w:t>
      </w:r>
      <w:r>
        <w:t>m</w:t>
      </w:r>
      <w:r w:rsidRPr="00727B1F">
        <w:t xml:space="preserve">edium </w:t>
      </w:r>
      <w:r>
        <w:t>s</w:t>
      </w:r>
      <w:r w:rsidRPr="00727B1F">
        <w:t>tratum: middle 33% of reported kWh savings</w:t>
      </w:r>
    </w:p>
    <w:p w:rsidR="00014BAF" w:rsidRPr="00727B1F" w:rsidRDefault="00014BAF" w:rsidP="00E646C9">
      <w:pPr>
        <w:pStyle w:val="ListParagraph"/>
        <w:numPr>
          <w:ilvl w:val="0"/>
          <w:numId w:val="39"/>
        </w:numPr>
        <w:ind w:left="360"/>
      </w:pPr>
      <w:r w:rsidRPr="00727B1F">
        <w:t xml:space="preserve">Stratum 3 - </w:t>
      </w:r>
      <w:r>
        <w:t>s</w:t>
      </w:r>
      <w:r w:rsidRPr="00727B1F">
        <w:t xml:space="preserve">mall </w:t>
      </w:r>
      <w:r>
        <w:t>s</w:t>
      </w:r>
      <w:r w:rsidRPr="00727B1F">
        <w:t>tratum: lower 33% of reported kWh savings</w:t>
      </w:r>
    </w:p>
    <w:p w:rsidR="00014BAF" w:rsidRPr="003458B1" w:rsidRDefault="00014BAF" w:rsidP="00014BAF"/>
    <w:p w:rsidR="00014BAF" w:rsidRPr="003458B1" w:rsidRDefault="00014BAF" w:rsidP="00014BAF">
      <w:r w:rsidRPr="003458B1">
        <w:t>Navigant drew samples in three stages: after Q2, after Q3, and after Q4. Both Q1 and Q2 data were used at the first stage of sampling. Finally, Navigant used the pool of all projects as the population, and sampled only from the projects that represented the top 98% of aggregate program savings. Navigant stated that the projects representing the bottom 2% of aggregate program savings did not represent the entire population, so it did not sample from them. The sampling strategy for the SEI</w:t>
      </w:r>
      <w:r w:rsidR="009845FB">
        <w:t xml:space="preserve"> C/I</w:t>
      </w:r>
      <w:r w:rsidRPr="003458B1">
        <w:t xml:space="preserve"> Program is shown in </w:t>
      </w:r>
      <w:r w:rsidRPr="003458B1">
        <w:fldChar w:fldCharType="begin"/>
      </w:r>
      <w:r w:rsidRPr="003458B1">
        <w:instrText xml:space="preserve"> REF _Ref440033703 \h  \* MERGEFORMAT </w:instrText>
      </w:r>
      <w:r w:rsidRPr="003458B1">
        <w:fldChar w:fldCharType="separate"/>
      </w:r>
      <w:r w:rsidR="00DD797D" w:rsidRPr="003458B1">
        <w:t>Table A-</w:t>
      </w:r>
      <w:r w:rsidR="00DD797D">
        <w:t>112</w:t>
      </w:r>
      <w:r w:rsidRPr="003458B1">
        <w:fldChar w:fldCharType="end"/>
      </w:r>
      <w:r w:rsidRPr="003458B1">
        <w:t>.</w:t>
      </w:r>
    </w:p>
    <w:p w:rsidR="00014BAF" w:rsidRPr="003458B1" w:rsidRDefault="00014BAF" w:rsidP="00014BAF"/>
    <w:p w:rsidR="00014BAF" w:rsidRPr="003458B1" w:rsidRDefault="00014BAF" w:rsidP="00014BAF">
      <w:pPr>
        <w:pStyle w:val="Caption"/>
        <w:keepNext/>
      </w:pPr>
      <w:bookmarkStart w:id="1134" w:name="_Ref440033703"/>
      <w:bookmarkStart w:id="1135" w:name="_Toc410199388"/>
      <w:bookmarkStart w:id="1136" w:name="_Toc431462370"/>
      <w:bookmarkStart w:id="1137" w:name="_Toc444269896"/>
      <w:bookmarkStart w:id="1138" w:name="_Toc472472521"/>
      <w:bookmarkStart w:id="1139" w:name="_Toc476842227"/>
      <w:r w:rsidRPr="003458B1">
        <w:t>Table A-</w:t>
      </w:r>
      <w:fldSimple w:instr=" SEQ Table_A- \* ARABIC ">
        <w:r w:rsidR="00C301D0">
          <w:rPr>
            <w:noProof/>
          </w:rPr>
          <w:t>112</w:t>
        </w:r>
      </w:fldSimple>
      <w:bookmarkEnd w:id="1134"/>
      <w:r w:rsidRPr="003458B1">
        <w:t xml:space="preserve">: </w:t>
      </w:r>
      <w:r w:rsidRPr="003458B1">
        <w:rPr>
          <w:bCs w:val="0"/>
        </w:rPr>
        <w:t>PECO’s</w:t>
      </w:r>
      <w:r w:rsidR="009845FB">
        <w:rPr>
          <w:bCs w:val="0"/>
        </w:rPr>
        <w:t xml:space="preserve"> PY7 Sample Design Strategy – </w:t>
      </w:r>
      <w:r w:rsidRPr="003458B1">
        <w:rPr>
          <w:bCs w:val="0"/>
        </w:rPr>
        <w:t xml:space="preserve">SEI </w:t>
      </w:r>
      <w:r w:rsidR="009845FB">
        <w:rPr>
          <w:bCs w:val="0"/>
        </w:rPr>
        <w:t xml:space="preserve">C/I </w:t>
      </w:r>
      <w:r w:rsidRPr="003458B1">
        <w:rPr>
          <w:bCs w:val="0"/>
        </w:rPr>
        <w:t>Program</w:t>
      </w:r>
      <w:bookmarkEnd w:id="1135"/>
      <w:bookmarkEnd w:id="1136"/>
      <w:bookmarkEnd w:id="1137"/>
      <w:bookmarkEnd w:id="1138"/>
      <w:bookmarkEnd w:id="1139"/>
    </w:p>
    <w:tbl>
      <w:tblPr>
        <w:tblW w:w="9356"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671"/>
        <w:gridCol w:w="1379"/>
        <w:gridCol w:w="2520"/>
        <w:gridCol w:w="1952"/>
        <w:gridCol w:w="1834"/>
      </w:tblGrid>
      <w:tr w:rsidR="00A874AC" w:rsidRPr="003458B1" w:rsidTr="00DC3249">
        <w:trPr>
          <w:trHeight w:val="20"/>
        </w:trPr>
        <w:tc>
          <w:tcPr>
            <w:tcW w:w="1671" w:type="dxa"/>
            <w:shd w:val="clear" w:color="auto" w:fill="448A99"/>
            <w:vAlign w:val="bottom"/>
            <w:hideMark/>
          </w:tcPr>
          <w:p w:rsidR="00014BAF" w:rsidRPr="003458B1" w:rsidRDefault="00014BAF" w:rsidP="004F0C61">
            <w:pPr>
              <w:jc w:val="left"/>
              <w:rPr>
                <w:color w:val="FFFFFF"/>
                <w:sz w:val="20"/>
                <w:szCs w:val="20"/>
              </w:rPr>
            </w:pPr>
            <w:r w:rsidRPr="003458B1">
              <w:rPr>
                <w:b/>
                <w:bCs/>
                <w:color w:val="FFFFFF"/>
                <w:sz w:val="20"/>
                <w:szCs w:val="20"/>
              </w:rPr>
              <w:t>Stratum</w:t>
            </w:r>
          </w:p>
        </w:tc>
        <w:tc>
          <w:tcPr>
            <w:tcW w:w="1379" w:type="dxa"/>
            <w:shd w:val="clear" w:color="auto" w:fill="448A99"/>
            <w:vAlign w:val="bottom"/>
            <w:hideMark/>
          </w:tcPr>
          <w:p w:rsidR="00014BAF" w:rsidRPr="003458B1" w:rsidRDefault="00014BAF" w:rsidP="004F0C61">
            <w:pPr>
              <w:jc w:val="center"/>
              <w:rPr>
                <w:color w:val="FFFFFF"/>
                <w:sz w:val="20"/>
                <w:szCs w:val="20"/>
              </w:rPr>
            </w:pPr>
            <w:r w:rsidRPr="003458B1">
              <w:rPr>
                <w:b/>
                <w:bCs/>
                <w:color w:val="FFFFFF"/>
                <w:sz w:val="20"/>
                <w:szCs w:val="20"/>
              </w:rPr>
              <w:t>Population</w:t>
            </w:r>
          </w:p>
        </w:tc>
        <w:tc>
          <w:tcPr>
            <w:tcW w:w="2520" w:type="dxa"/>
            <w:shd w:val="clear" w:color="auto" w:fill="448A99"/>
            <w:vAlign w:val="bottom"/>
            <w:hideMark/>
          </w:tcPr>
          <w:p w:rsidR="00014BAF" w:rsidRPr="003458B1" w:rsidRDefault="00014BAF" w:rsidP="004F0C61">
            <w:pPr>
              <w:jc w:val="center"/>
              <w:rPr>
                <w:color w:val="FFFFFF"/>
                <w:sz w:val="20"/>
                <w:szCs w:val="20"/>
              </w:rPr>
            </w:pPr>
            <w:r w:rsidRPr="003458B1">
              <w:rPr>
                <w:b/>
                <w:bCs/>
                <w:color w:val="FFFFFF"/>
                <w:sz w:val="20"/>
                <w:szCs w:val="20"/>
              </w:rPr>
              <w:t>Target Levels of Confidence &amp; Precision</w:t>
            </w:r>
          </w:p>
        </w:tc>
        <w:tc>
          <w:tcPr>
            <w:tcW w:w="1952" w:type="dxa"/>
            <w:shd w:val="clear" w:color="auto" w:fill="448A99"/>
            <w:vAlign w:val="bottom"/>
            <w:hideMark/>
          </w:tcPr>
          <w:p w:rsidR="00014BAF" w:rsidRPr="003458B1" w:rsidRDefault="00014BAF" w:rsidP="004F0C61">
            <w:pPr>
              <w:jc w:val="center"/>
              <w:rPr>
                <w:color w:val="FFFFFF"/>
                <w:sz w:val="20"/>
                <w:szCs w:val="20"/>
              </w:rPr>
            </w:pPr>
            <w:r w:rsidRPr="003458B1">
              <w:rPr>
                <w:b/>
                <w:bCs/>
                <w:color w:val="FFFFFF"/>
                <w:sz w:val="20"/>
                <w:szCs w:val="20"/>
              </w:rPr>
              <w:t>Target Sample Size</w:t>
            </w:r>
          </w:p>
        </w:tc>
        <w:tc>
          <w:tcPr>
            <w:tcW w:w="1834" w:type="dxa"/>
            <w:shd w:val="clear" w:color="auto" w:fill="448A99"/>
            <w:vAlign w:val="bottom"/>
            <w:hideMark/>
          </w:tcPr>
          <w:p w:rsidR="00014BAF" w:rsidRPr="003458B1" w:rsidRDefault="00014BAF" w:rsidP="004F0C61">
            <w:pPr>
              <w:jc w:val="center"/>
              <w:rPr>
                <w:color w:val="FFFFFF"/>
                <w:sz w:val="20"/>
                <w:szCs w:val="20"/>
              </w:rPr>
            </w:pPr>
            <w:r w:rsidRPr="003458B1">
              <w:rPr>
                <w:b/>
                <w:bCs/>
                <w:color w:val="FFFFFF"/>
                <w:sz w:val="20"/>
                <w:szCs w:val="20"/>
              </w:rPr>
              <w:t>Achieved Sample Size</w:t>
            </w:r>
          </w:p>
        </w:tc>
      </w:tr>
      <w:tr w:rsidR="00A874AC" w:rsidRPr="003458B1" w:rsidTr="00DC3249">
        <w:trPr>
          <w:trHeight w:val="346"/>
        </w:trPr>
        <w:tc>
          <w:tcPr>
            <w:tcW w:w="1671" w:type="dxa"/>
            <w:shd w:val="clear" w:color="auto" w:fill="D2EAF1"/>
            <w:vAlign w:val="center"/>
          </w:tcPr>
          <w:p w:rsidR="00014BAF" w:rsidRPr="003458B1" w:rsidRDefault="00014BAF" w:rsidP="004F0C61">
            <w:pPr>
              <w:jc w:val="left"/>
              <w:rPr>
                <w:bCs/>
                <w:color w:val="000000"/>
                <w:sz w:val="20"/>
                <w:szCs w:val="20"/>
              </w:rPr>
            </w:pPr>
            <w:r w:rsidRPr="003458B1">
              <w:rPr>
                <w:bCs/>
                <w:color w:val="000000"/>
                <w:sz w:val="20"/>
                <w:szCs w:val="20"/>
              </w:rPr>
              <w:t>Large</w:t>
            </w:r>
          </w:p>
        </w:tc>
        <w:tc>
          <w:tcPr>
            <w:tcW w:w="1379" w:type="dxa"/>
            <w:shd w:val="clear" w:color="auto" w:fill="D2EAF1"/>
            <w:noWrap/>
            <w:vAlign w:val="center"/>
          </w:tcPr>
          <w:p w:rsidR="00014BAF" w:rsidRPr="003458B1" w:rsidRDefault="00014BAF" w:rsidP="004F0C61">
            <w:pPr>
              <w:jc w:val="center"/>
              <w:rPr>
                <w:color w:val="000000"/>
                <w:sz w:val="20"/>
                <w:szCs w:val="20"/>
              </w:rPr>
            </w:pPr>
            <w:r w:rsidRPr="003458B1">
              <w:rPr>
                <w:sz w:val="20"/>
                <w:szCs w:val="20"/>
              </w:rPr>
              <w:t>16</w:t>
            </w:r>
          </w:p>
        </w:tc>
        <w:tc>
          <w:tcPr>
            <w:tcW w:w="2520" w:type="dxa"/>
            <w:shd w:val="clear" w:color="auto" w:fill="D2EAF1"/>
            <w:noWrap/>
            <w:vAlign w:val="center"/>
          </w:tcPr>
          <w:p w:rsidR="00014BAF" w:rsidRPr="003458B1" w:rsidRDefault="00014BAF" w:rsidP="004F0C61">
            <w:pPr>
              <w:jc w:val="center"/>
              <w:rPr>
                <w:sz w:val="20"/>
                <w:szCs w:val="20"/>
              </w:rPr>
            </w:pPr>
            <w:r>
              <w:rPr>
                <w:sz w:val="20"/>
                <w:szCs w:val="20"/>
              </w:rPr>
              <w:t>85%/1</w:t>
            </w:r>
            <w:r w:rsidRPr="003458B1">
              <w:rPr>
                <w:sz w:val="20"/>
                <w:szCs w:val="20"/>
              </w:rPr>
              <w:t>5%</w:t>
            </w:r>
          </w:p>
        </w:tc>
        <w:tc>
          <w:tcPr>
            <w:tcW w:w="1952" w:type="dxa"/>
            <w:shd w:val="clear" w:color="auto" w:fill="D2EAF1"/>
            <w:noWrap/>
            <w:vAlign w:val="center"/>
          </w:tcPr>
          <w:p w:rsidR="00014BAF" w:rsidRPr="003458B1" w:rsidRDefault="00014BAF" w:rsidP="004F0C61">
            <w:pPr>
              <w:jc w:val="center"/>
              <w:rPr>
                <w:sz w:val="20"/>
                <w:szCs w:val="20"/>
              </w:rPr>
            </w:pPr>
            <w:r w:rsidRPr="003458B1">
              <w:rPr>
                <w:sz w:val="20"/>
                <w:szCs w:val="20"/>
              </w:rPr>
              <w:t>11</w:t>
            </w:r>
          </w:p>
        </w:tc>
        <w:tc>
          <w:tcPr>
            <w:tcW w:w="1834" w:type="dxa"/>
            <w:shd w:val="clear" w:color="auto" w:fill="D2EAF1"/>
            <w:noWrap/>
            <w:vAlign w:val="center"/>
          </w:tcPr>
          <w:p w:rsidR="00014BAF" w:rsidRPr="003458B1" w:rsidRDefault="00014BAF" w:rsidP="004F0C61">
            <w:pPr>
              <w:jc w:val="center"/>
              <w:rPr>
                <w:sz w:val="20"/>
                <w:szCs w:val="20"/>
              </w:rPr>
            </w:pPr>
            <w:r w:rsidRPr="003458B1">
              <w:rPr>
                <w:sz w:val="20"/>
                <w:szCs w:val="20"/>
              </w:rPr>
              <w:t>11</w:t>
            </w:r>
          </w:p>
        </w:tc>
      </w:tr>
      <w:tr w:rsidR="00E7173E" w:rsidRPr="003458B1" w:rsidTr="00AF6BD2">
        <w:trPr>
          <w:trHeight w:val="346"/>
        </w:trPr>
        <w:tc>
          <w:tcPr>
            <w:tcW w:w="1671" w:type="dxa"/>
            <w:shd w:val="clear" w:color="auto" w:fill="auto"/>
            <w:vAlign w:val="center"/>
          </w:tcPr>
          <w:p w:rsidR="00014BAF" w:rsidRPr="003458B1" w:rsidRDefault="00014BAF" w:rsidP="004F0C61">
            <w:pPr>
              <w:jc w:val="left"/>
              <w:rPr>
                <w:bCs/>
                <w:color w:val="000000"/>
                <w:sz w:val="20"/>
                <w:szCs w:val="20"/>
              </w:rPr>
            </w:pPr>
            <w:r w:rsidRPr="003458B1">
              <w:rPr>
                <w:bCs/>
                <w:color w:val="000000"/>
                <w:sz w:val="20"/>
                <w:szCs w:val="20"/>
              </w:rPr>
              <w:t>Medium</w:t>
            </w:r>
          </w:p>
        </w:tc>
        <w:tc>
          <w:tcPr>
            <w:tcW w:w="1379" w:type="dxa"/>
            <w:shd w:val="clear" w:color="auto" w:fill="auto"/>
            <w:noWrap/>
            <w:vAlign w:val="center"/>
          </w:tcPr>
          <w:p w:rsidR="00014BAF" w:rsidRPr="003458B1" w:rsidRDefault="00014BAF" w:rsidP="004F0C61">
            <w:pPr>
              <w:jc w:val="center"/>
              <w:rPr>
                <w:sz w:val="20"/>
                <w:szCs w:val="20"/>
              </w:rPr>
            </w:pPr>
            <w:r w:rsidRPr="003458B1">
              <w:rPr>
                <w:sz w:val="20"/>
                <w:szCs w:val="20"/>
              </w:rPr>
              <w:t>84</w:t>
            </w:r>
          </w:p>
        </w:tc>
        <w:tc>
          <w:tcPr>
            <w:tcW w:w="2520" w:type="dxa"/>
            <w:shd w:val="clear" w:color="auto" w:fill="auto"/>
            <w:noWrap/>
            <w:vAlign w:val="center"/>
          </w:tcPr>
          <w:p w:rsidR="00014BAF" w:rsidRPr="003458B1" w:rsidRDefault="00014BAF" w:rsidP="004F0C61">
            <w:pPr>
              <w:jc w:val="center"/>
              <w:rPr>
                <w:sz w:val="20"/>
                <w:szCs w:val="20"/>
              </w:rPr>
            </w:pPr>
            <w:r>
              <w:rPr>
                <w:sz w:val="20"/>
                <w:szCs w:val="20"/>
              </w:rPr>
              <w:t>85%/1</w:t>
            </w:r>
            <w:r w:rsidRPr="003458B1">
              <w:rPr>
                <w:sz w:val="20"/>
                <w:szCs w:val="20"/>
              </w:rPr>
              <w:t>5%</w:t>
            </w:r>
          </w:p>
        </w:tc>
        <w:tc>
          <w:tcPr>
            <w:tcW w:w="1952" w:type="dxa"/>
            <w:shd w:val="clear" w:color="auto" w:fill="auto"/>
            <w:noWrap/>
            <w:vAlign w:val="center"/>
          </w:tcPr>
          <w:p w:rsidR="00014BAF" w:rsidRPr="003458B1" w:rsidRDefault="00014BAF" w:rsidP="004F0C61">
            <w:pPr>
              <w:jc w:val="center"/>
              <w:rPr>
                <w:sz w:val="20"/>
                <w:szCs w:val="20"/>
              </w:rPr>
            </w:pPr>
            <w:r w:rsidRPr="003458B1">
              <w:rPr>
                <w:sz w:val="20"/>
                <w:szCs w:val="20"/>
              </w:rPr>
              <w:t>24</w:t>
            </w:r>
          </w:p>
        </w:tc>
        <w:tc>
          <w:tcPr>
            <w:tcW w:w="1834" w:type="dxa"/>
            <w:shd w:val="clear" w:color="auto" w:fill="auto"/>
            <w:noWrap/>
            <w:vAlign w:val="center"/>
          </w:tcPr>
          <w:p w:rsidR="00014BAF" w:rsidRPr="003458B1" w:rsidRDefault="00014BAF" w:rsidP="004F0C61">
            <w:pPr>
              <w:jc w:val="center"/>
              <w:rPr>
                <w:sz w:val="20"/>
                <w:szCs w:val="20"/>
              </w:rPr>
            </w:pPr>
            <w:r w:rsidRPr="003458B1">
              <w:rPr>
                <w:sz w:val="20"/>
                <w:szCs w:val="20"/>
              </w:rPr>
              <w:t>31</w:t>
            </w:r>
          </w:p>
        </w:tc>
      </w:tr>
      <w:tr w:rsidR="00A874AC" w:rsidRPr="003458B1" w:rsidTr="00DC3249">
        <w:trPr>
          <w:trHeight w:val="346"/>
        </w:trPr>
        <w:tc>
          <w:tcPr>
            <w:tcW w:w="1671" w:type="dxa"/>
            <w:shd w:val="clear" w:color="auto" w:fill="D2EAF1"/>
            <w:vAlign w:val="center"/>
          </w:tcPr>
          <w:p w:rsidR="00014BAF" w:rsidRPr="003458B1" w:rsidRDefault="00014BAF" w:rsidP="004F0C61">
            <w:pPr>
              <w:jc w:val="left"/>
              <w:rPr>
                <w:bCs/>
                <w:color w:val="000000"/>
                <w:sz w:val="20"/>
                <w:szCs w:val="20"/>
              </w:rPr>
            </w:pPr>
            <w:r w:rsidRPr="003458B1">
              <w:rPr>
                <w:bCs/>
                <w:color w:val="000000"/>
                <w:sz w:val="20"/>
                <w:szCs w:val="20"/>
              </w:rPr>
              <w:t>Small</w:t>
            </w:r>
          </w:p>
        </w:tc>
        <w:tc>
          <w:tcPr>
            <w:tcW w:w="1379" w:type="dxa"/>
            <w:shd w:val="clear" w:color="auto" w:fill="D2EAF1"/>
            <w:noWrap/>
            <w:vAlign w:val="center"/>
          </w:tcPr>
          <w:p w:rsidR="00014BAF" w:rsidRPr="003458B1" w:rsidRDefault="00014BAF" w:rsidP="004F0C61">
            <w:pPr>
              <w:jc w:val="center"/>
              <w:rPr>
                <w:sz w:val="20"/>
                <w:szCs w:val="20"/>
              </w:rPr>
            </w:pPr>
            <w:r w:rsidRPr="003458B1">
              <w:rPr>
                <w:sz w:val="20"/>
                <w:szCs w:val="20"/>
              </w:rPr>
              <w:t>1,229</w:t>
            </w:r>
          </w:p>
        </w:tc>
        <w:tc>
          <w:tcPr>
            <w:tcW w:w="2520" w:type="dxa"/>
            <w:shd w:val="clear" w:color="auto" w:fill="D2EAF1"/>
            <w:noWrap/>
            <w:vAlign w:val="center"/>
          </w:tcPr>
          <w:p w:rsidR="00014BAF" w:rsidRPr="003458B1" w:rsidRDefault="00014BAF" w:rsidP="004F0C61">
            <w:pPr>
              <w:jc w:val="center"/>
              <w:rPr>
                <w:sz w:val="20"/>
                <w:szCs w:val="20"/>
              </w:rPr>
            </w:pPr>
            <w:r>
              <w:rPr>
                <w:sz w:val="20"/>
                <w:szCs w:val="20"/>
              </w:rPr>
              <w:t>85%/1</w:t>
            </w:r>
            <w:r w:rsidRPr="003458B1">
              <w:rPr>
                <w:sz w:val="20"/>
                <w:szCs w:val="20"/>
              </w:rPr>
              <w:t>5%</w:t>
            </w:r>
          </w:p>
        </w:tc>
        <w:tc>
          <w:tcPr>
            <w:tcW w:w="1952" w:type="dxa"/>
            <w:shd w:val="clear" w:color="auto" w:fill="D2EAF1"/>
            <w:noWrap/>
            <w:vAlign w:val="center"/>
          </w:tcPr>
          <w:p w:rsidR="00014BAF" w:rsidRPr="003458B1" w:rsidRDefault="00014BAF" w:rsidP="004F0C61">
            <w:pPr>
              <w:jc w:val="center"/>
              <w:rPr>
                <w:sz w:val="20"/>
                <w:szCs w:val="20"/>
              </w:rPr>
            </w:pPr>
            <w:r w:rsidRPr="003458B1">
              <w:rPr>
                <w:sz w:val="20"/>
                <w:szCs w:val="20"/>
              </w:rPr>
              <w:t>32</w:t>
            </w:r>
          </w:p>
        </w:tc>
        <w:tc>
          <w:tcPr>
            <w:tcW w:w="1834" w:type="dxa"/>
            <w:shd w:val="clear" w:color="auto" w:fill="D2EAF1"/>
            <w:noWrap/>
            <w:vAlign w:val="center"/>
          </w:tcPr>
          <w:p w:rsidR="00014BAF" w:rsidRPr="003458B1" w:rsidRDefault="00014BAF" w:rsidP="004F0C61">
            <w:pPr>
              <w:jc w:val="center"/>
              <w:rPr>
                <w:sz w:val="20"/>
                <w:szCs w:val="20"/>
              </w:rPr>
            </w:pPr>
            <w:r w:rsidRPr="003458B1">
              <w:rPr>
                <w:sz w:val="20"/>
                <w:szCs w:val="20"/>
              </w:rPr>
              <w:t>32</w:t>
            </w:r>
          </w:p>
        </w:tc>
      </w:tr>
      <w:tr w:rsidR="00E7173E" w:rsidRPr="003458B1" w:rsidTr="00AF6BD2">
        <w:trPr>
          <w:trHeight w:val="346"/>
        </w:trPr>
        <w:tc>
          <w:tcPr>
            <w:tcW w:w="1671" w:type="dxa"/>
            <w:shd w:val="clear" w:color="auto" w:fill="auto"/>
            <w:vAlign w:val="center"/>
          </w:tcPr>
          <w:p w:rsidR="00014BAF" w:rsidRPr="003458B1" w:rsidRDefault="00014BAF" w:rsidP="004F0C61">
            <w:pPr>
              <w:jc w:val="left"/>
              <w:rPr>
                <w:b/>
                <w:bCs/>
                <w:color w:val="000000"/>
                <w:sz w:val="20"/>
                <w:szCs w:val="20"/>
              </w:rPr>
            </w:pPr>
            <w:r w:rsidRPr="003458B1">
              <w:rPr>
                <w:b/>
                <w:bCs/>
                <w:color w:val="000000"/>
                <w:sz w:val="20"/>
                <w:szCs w:val="20"/>
              </w:rPr>
              <w:t>Program Total</w:t>
            </w:r>
          </w:p>
        </w:tc>
        <w:tc>
          <w:tcPr>
            <w:tcW w:w="1379" w:type="dxa"/>
            <w:shd w:val="clear" w:color="auto" w:fill="auto"/>
            <w:noWrap/>
            <w:vAlign w:val="center"/>
          </w:tcPr>
          <w:p w:rsidR="00014BAF" w:rsidRPr="003458B1" w:rsidRDefault="00014BAF" w:rsidP="004F0C61">
            <w:pPr>
              <w:jc w:val="center"/>
              <w:rPr>
                <w:b/>
                <w:bCs/>
                <w:color w:val="000000"/>
                <w:sz w:val="20"/>
                <w:szCs w:val="20"/>
              </w:rPr>
            </w:pPr>
            <w:r w:rsidRPr="003458B1">
              <w:rPr>
                <w:b/>
                <w:sz w:val="20"/>
                <w:szCs w:val="20"/>
              </w:rPr>
              <w:t>1,329</w:t>
            </w:r>
          </w:p>
        </w:tc>
        <w:tc>
          <w:tcPr>
            <w:tcW w:w="2520" w:type="dxa"/>
            <w:shd w:val="clear" w:color="auto" w:fill="auto"/>
            <w:noWrap/>
            <w:vAlign w:val="center"/>
          </w:tcPr>
          <w:p w:rsidR="00014BAF" w:rsidRPr="005E1589" w:rsidRDefault="00014BAF" w:rsidP="004F0C61">
            <w:pPr>
              <w:jc w:val="center"/>
              <w:rPr>
                <w:b/>
                <w:bCs/>
                <w:color w:val="000000"/>
                <w:sz w:val="20"/>
                <w:szCs w:val="20"/>
              </w:rPr>
            </w:pPr>
            <w:r w:rsidRPr="005E1589">
              <w:rPr>
                <w:b/>
                <w:sz w:val="20"/>
                <w:szCs w:val="20"/>
              </w:rPr>
              <w:t>85%/15%</w:t>
            </w:r>
          </w:p>
        </w:tc>
        <w:tc>
          <w:tcPr>
            <w:tcW w:w="1952" w:type="dxa"/>
            <w:shd w:val="clear" w:color="auto" w:fill="auto"/>
            <w:noWrap/>
            <w:vAlign w:val="center"/>
          </w:tcPr>
          <w:p w:rsidR="00014BAF" w:rsidRPr="003458B1" w:rsidRDefault="00014BAF" w:rsidP="004F0C61">
            <w:pPr>
              <w:jc w:val="center"/>
              <w:rPr>
                <w:b/>
                <w:bCs/>
                <w:color w:val="000000"/>
                <w:sz w:val="20"/>
                <w:szCs w:val="20"/>
              </w:rPr>
            </w:pPr>
            <w:r w:rsidRPr="003458B1">
              <w:rPr>
                <w:b/>
                <w:sz w:val="20"/>
                <w:szCs w:val="20"/>
              </w:rPr>
              <w:t>67</w:t>
            </w:r>
          </w:p>
        </w:tc>
        <w:tc>
          <w:tcPr>
            <w:tcW w:w="1834" w:type="dxa"/>
            <w:shd w:val="clear" w:color="auto" w:fill="auto"/>
            <w:noWrap/>
            <w:vAlign w:val="center"/>
          </w:tcPr>
          <w:p w:rsidR="00014BAF" w:rsidRPr="003458B1" w:rsidRDefault="00014BAF" w:rsidP="004F0C61">
            <w:pPr>
              <w:jc w:val="center"/>
              <w:rPr>
                <w:b/>
                <w:bCs/>
                <w:color w:val="000000"/>
                <w:sz w:val="20"/>
                <w:szCs w:val="20"/>
              </w:rPr>
            </w:pPr>
            <w:r w:rsidRPr="003458B1">
              <w:rPr>
                <w:b/>
                <w:sz w:val="20"/>
                <w:szCs w:val="20"/>
              </w:rPr>
              <w:t>74</w:t>
            </w:r>
          </w:p>
        </w:tc>
      </w:tr>
    </w:tbl>
    <w:p w:rsidR="00014BAF" w:rsidRPr="003458B1" w:rsidRDefault="00014BAF" w:rsidP="00014BAF"/>
    <w:p w:rsidR="00014BAF" w:rsidRPr="003458B1" w:rsidRDefault="00014BAF" w:rsidP="00014BAF">
      <w:r w:rsidRPr="00056CF7">
        <w:t>The achieved</w:t>
      </w:r>
      <w:r w:rsidRPr="003458B1">
        <w:t xml:space="preserve"> precision values at </w:t>
      </w:r>
      <w:r>
        <w:t xml:space="preserve">the </w:t>
      </w:r>
      <w:r w:rsidRPr="003458B1">
        <w:t xml:space="preserve">85% confidence level for both energy and peak demand are shown in </w:t>
      </w:r>
      <w:r w:rsidRPr="003458B1">
        <w:fldChar w:fldCharType="begin"/>
      </w:r>
      <w:r w:rsidRPr="003458B1">
        <w:instrText xml:space="preserve"> REF _Ref440268407 \h  \* MERGEFORMAT </w:instrText>
      </w:r>
      <w:r w:rsidRPr="003458B1">
        <w:fldChar w:fldCharType="separate"/>
      </w:r>
      <w:r w:rsidR="00DD797D" w:rsidRPr="003458B1">
        <w:t>Table A-</w:t>
      </w:r>
      <w:r w:rsidR="00DD797D">
        <w:t>113</w:t>
      </w:r>
      <w:r w:rsidRPr="003458B1">
        <w:fldChar w:fldCharType="end"/>
      </w:r>
      <w:r w:rsidRPr="003458B1">
        <w:t>.</w:t>
      </w:r>
    </w:p>
    <w:p w:rsidR="00014BAF" w:rsidRPr="003458B1" w:rsidRDefault="00014BAF" w:rsidP="00014BAF">
      <w:pPr>
        <w:pStyle w:val="Caption"/>
        <w:rPr>
          <w:bCs w:val="0"/>
        </w:rPr>
      </w:pPr>
      <w:bookmarkStart w:id="1140" w:name="_Ref440268407"/>
      <w:bookmarkStart w:id="1141" w:name="_Toc410199389"/>
      <w:bookmarkStart w:id="1142" w:name="_Toc431462371"/>
      <w:bookmarkStart w:id="1143" w:name="_Toc444269897"/>
      <w:bookmarkStart w:id="1144" w:name="_Toc472472522"/>
      <w:bookmarkStart w:id="1145" w:name="_Toc476842228"/>
      <w:r w:rsidRPr="003458B1">
        <w:t>Table A-</w:t>
      </w:r>
      <w:fldSimple w:instr=" SEQ Table_A- \* ARABIC ">
        <w:r w:rsidR="00C301D0">
          <w:rPr>
            <w:noProof/>
          </w:rPr>
          <w:t>113</w:t>
        </w:r>
      </w:fldSimple>
      <w:bookmarkEnd w:id="1140"/>
      <w:r w:rsidRPr="003458B1">
        <w:t>:</w:t>
      </w:r>
      <w:r w:rsidRPr="003458B1">
        <w:rPr>
          <w:bCs w:val="0"/>
        </w:rPr>
        <w:t xml:space="preserve"> Observed Coefficients of Variation and Relative Precisions – PECO’s </w:t>
      </w:r>
      <w:r w:rsidR="009845FB">
        <w:rPr>
          <w:bCs w:val="0"/>
        </w:rPr>
        <w:t>SEI C/I</w:t>
      </w:r>
      <w:r w:rsidRPr="003458B1">
        <w:rPr>
          <w:bCs w:val="0"/>
        </w:rPr>
        <w:t xml:space="preserve"> Program</w:t>
      </w:r>
      <w:bookmarkEnd w:id="1141"/>
      <w:bookmarkEnd w:id="1142"/>
      <w:bookmarkEnd w:id="1143"/>
      <w:bookmarkEnd w:id="1144"/>
      <w:bookmarkEnd w:id="1145"/>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592"/>
        <w:gridCol w:w="2358"/>
        <w:gridCol w:w="1526"/>
        <w:gridCol w:w="2164"/>
        <w:gridCol w:w="1720"/>
      </w:tblGrid>
      <w:tr w:rsidR="00A874AC" w:rsidRPr="003458B1" w:rsidTr="004F0C61">
        <w:trPr>
          <w:trHeight w:val="1024"/>
          <w:tblHeader/>
          <w:jc w:val="center"/>
        </w:trPr>
        <w:tc>
          <w:tcPr>
            <w:tcW w:w="1592" w:type="dxa"/>
            <w:shd w:val="clear" w:color="000000" w:fill="448A99"/>
            <w:vAlign w:val="bottom"/>
            <w:hideMark/>
          </w:tcPr>
          <w:p w:rsidR="00014BAF" w:rsidRPr="003458B1" w:rsidRDefault="00014BAF" w:rsidP="004F0C61">
            <w:pPr>
              <w:jc w:val="left"/>
              <w:rPr>
                <w:b/>
                <w:bCs/>
                <w:color w:val="FFFFFF"/>
                <w:sz w:val="20"/>
                <w:szCs w:val="20"/>
              </w:rPr>
            </w:pPr>
            <w:r w:rsidRPr="003458B1">
              <w:rPr>
                <w:b/>
                <w:bCs/>
                <w:color w:val="FFFFFF"/>
                <w:sz w:val="20"/>
                <w:szCs w:val="20"/>
              </w:rPr>
              <w:t>Stratum</w:t>
            </w:r>
          </w:p>
        </w:tc>
        <w:tc>
          <w:tcPr>
            <w:tcW w:w="2358"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Energy</w:t>
            </w:r>
          </w:p>
        </w:tc>
        <w:tc>
          <w:tcPr>
            <w:tcW w:w="1526"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Energy</w:t>
            </w:r>
          </w:p>
        </w:tc>
        <w:tc>
          <w:tcPr>
            <w:tcW w:w="2164"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Demand</w:t>
            </w:r>
          </w:p>
        </w:tc>
        <w:tc>
          <w:tcPr>
            <w:tcW w:w="172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DC3249">
        <w:trPr>
          <w:trHeight w:val="360"/>
          <w:jc w:val="center"/>
        </w:trPr>
        <w:tc>
          <w:tcPr>
            <w:tcW w:w="1592" w:type="dxa"/>
            <w:shd w:val="clear" w:color="000000" w:fill="D2EAF1"/>
            <w:noWrap/>
          </w:tcPr>
          <w:p w:rsidR="00014BAF" w:rsidRPr="003458B1" w:rsidRDefault="00014BAF" w:rsidP="004F0C61">
            <w:pPr>
              <w:jc w:val="left"/>
              <w:rPr>
                <w:bCs/>
                <w:color w:val="000000"/>
                <w:sz w:val="20"/>
                <w:szCs w:val="20"/>
              </w:rPr>
            </w:pPr>
            <w:r w:rsidRPr="003458B1">
              <w:rPr>
                <w:color w:val="000000"/>
                <w:sz w:val="20"/>
                <w:szCs w:val="20"/>
              </w:rPr>
              <w:t>Large</w:t>
            </w:r>
          </w:p>
        </w:tc>
        <w:tc>
          <w:tcPr>
            <w:tcW w:w="2358"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0.90</w:t>
            </w:r>
          </w:p>
        </w:tc>
        <w:tc>
          <w:tcPr>
            <w:tcW w:w="1526"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24%</w:t>
            </w:r>
          </w:p>
        </w:tc>
        <w:tc>
          <w:tcPr>
            <w:tcW w:w="2164"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1.18</w:t>
            </w:r>
          </w:p>
        </w:tc>
        <w:tc>
          <w:tcPr>
            <w:tcW w:w="172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31%</w:t>
            </w:r>
          </w:p>
        </w:tc>
      </w:tr>
      <w:tr w:rsidR="00E7173E" w:rsidRPr="003458B1" w:rsidTr="00AF6BD2">
        <w:trPr>
          <w:trHeight w:val="360"/>
          <w:jc w:val="center"/>
        </w:trPr>
        <w:tc>
          <w:tcPr>
            <w:tcW w:w="1592" w:type="dxa"/>
            <w:shd w:val="clear" w:color="auto" w:fill="auto"/>
            <w:noWrap/>
          </w:tcPr>
          <w:p w:rsidR="00014BAF" w:rsidRPr="003458B1" w:rsidRDefault="00014BAF" w:rsidP="004F0C61">
            <w:pPr>
              <w:jc w:val="left"/>
              <w:rPr>
                <w:bCs/>
                <w:color w:val="000000"/>
                <w:sz w:val="20"/>
                <w:szCs w:val="20"/>
              </w:rPr>
            </w:pPr>
            <w:r w:rsidRPr="003458B1">
              <w:rPr>
                <w:color w:val="000000"/>
                <w:sz w:val="20"/>
                <w:szCs w:val="20"/>
              </w:rPr>
              <w:t>Medium</w:t>
            </w:r>
          </w:p>
        </w:tc>
        <w:tc>
          <w:tcPr>
            <w:tcW w:w="2358"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1.40</w:t>
            </w:r>
          </w:p>
        </w:tc>
        <w:tc>
          <w:tcPr>
            <w:tcW w:w="1526"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30%</w:t>
            </w:r>
          </w:p>
        </w:tc>
        <w:tc>
          <w:tcPr>
            <w:tcW w:w="2164"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1.56</w:t>
            </w:r>
          </w:p>
        </w:tc>
        <w:tc>
          <w:tcPr>
            <w:tcW w:w="172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33%</w:t>
            </w:r>
          </w:p>
        </w:tc>
      </w:tr>
      <w:tr w:rsidR="00A874AC" w:rsidRPr="003458B1" w:rsidTr="00DC3249">
        <w:trPr>
          <w:trHeight w:val="360"/>
          <w:jc w:val="center"/>
        </w:trPr>
        <w:tc>
          <w:tcPr>
            <w:tcW w:w="1592" w:type="dxa"/>
            <w:shd w:val="clear" w:color="000000" w:fill="D2EAF1"/>
            <w:noWrap/>
          </w:tcPr>
          <w:p w:rsidR="00014BAF" w:rsidRPr="003458B1" w:rsidRDefault="00014BAF" w:rsidP="004F0C61">
            <w:pPr>
              <w:jc w:val="left"/>
              <w:rPr>
                <w:bCs/>
                <w:color w:val="000000"/>
                <w:sz w:val="20"/>
                <w:szCs w:val="20"/>
              </w:rPr>
            </w:pPr>
            <w:r w:rsidRPr="003458B1">
              <w:rPr>
                <w:color w:val="000000"/>
                <w:sz w:val="20"/>
                <w:szCs w:val="20"/>
              </w:rPr>
              <w:t>Small</w:t>
            </w:r>
          </w:p>
        </w:tc>
        <w:tc>
          <w:tcPr>
            <w:tcW w:w="2358"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0.34</w:t>
            </w:r>
          </w:p>
        </w:tc>
        <w:tc>
          <w:tcPr>
            <w:tcW w:w="1526"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9%</w:t>
            </w:r>
          </w:p>
        </w:tc>
        <w:tc>
          <w:tcPr>
            <w:tcW w:w="2164"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1.02</w:t>
            </w:r>
          </w:p>
        </w:tc>
        <w:tc>
          <w:tcPr>
            <w:tcW w:w="172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26%</w:t>
            </w:r>
          </w:p>
        </w:tc>
      </w:tr>
      <w:tr w:rsidR="00E7173E" w:rsidRPr="003458B1" w:rsidTr="00AF6BD2">
        <w:trPr>
          <w:trHeight w:val="360"/>
          <w:jc w:val="center"/>
        </w:trPr>
        <w:tc>
          <w:tcPr>
            <w:tcW w:w="1592" w:type="dxa"/>
            <w:shd w:val="clear" w:color="auto" w:fill="auto"/>
            <w:noWrap/>
            <w:vAlign w:val="center"/>
          </w:tcPr>
          <w:p w:rsidR="00014BAF" w:rsidRPr="003458B1" w:rsidRDefault="00014BAF" w:rsidP="004F0C61">
            <w:pPr>
              <w:jc w:val="left"/>
              <w:rPr>
                <w:b/>
                <w:bCs/>
                <w:color w:val="000000"/>
                <w:sz w:val="20"/>
                <w:szCs w:val="20"/>
              </w:rPr>
            </w:pPr>
            <w:r w:rsidRPr="003458B1">
              <w:rPr>
                <w:b/>
                <w:bCs/>
                <w:color w:val="000000"/>
                <w:sz w:val="20"/>
                <w:szCs w:val="20"/>
              </w:rPr>
              <w:t>Program Total</w:t>
            </w:r>
          </w:p>
        </w:tc>
        <w:tc>
          <w:tcPr>
            <w:tcW w:w="2358" w:type="dxa"/>
            <w:shd w:val="clear" w:color="auto" w:fill="auto"/>
            <w:noWrap/>
            <w:vAlign w:val="center"/>
          </w:tcPr>
          <w:p w:rsidR="00014BAF" w:rsidRPr="003458B1" w:rsidRDefault="00014BAF" w:rsidP="004F0C61">
            <w:pPr>
              <w:jc w:val="center"/>
              <w:rPr>
                <w:b/>
                <w:bCs/>
                <w:color w:val="000000"/>
                <w:sz w:val="20"/>
                <w:szCs w:val="20"/>
              </w:rPr>
            </w:pPr>
          </w:p>
        </w:tc>
        <w:tc>
          <w:tcPr>
            <w:tcW w:w="1526" w:type="dxa"/>
            <w:shd w:val="clear" w:color="auto" w:fill="auto"/>
            <w:noWrap/>
            <w:vAlign w:val="center"/>
          </w:tcPr>
          <w:p w:rsidR="00014BAF" w:rsidRPr="003458B1" w:rsidRDefault="00014BAF" w:rsidP="004F0C61">
            <w:pPr>
              <w:jc w:val="center"/>
              <w:rPr>
                <w:b/>
                <w:bCs/>
                <w:color w:val="000000"/>
                <w:sz w:val="20"/>
                <w:szCs w:val="20"/>
              </w:rPr>
            </w:pPr>
            <w:r w:rsidRPr="003458B1">
              <w:rPr>
                <w:b/>
                <w:sz w:val="20"/>
                <w:szCs w:val="20"/>
              </w:rPr>
              <w:t>11%</w:t>
            </w:r>
          </w:p>
        </w:tc>
        <w:tc>
          <w:tcPr>
            <w:tcW w:w="2164" w:type="dxa"/>
            <w:shd w:val="clear" w:color="auto" w:fill="auto"/>
            <w:noWrap/>
            <w:vAlign w:val="center"/>
          </w:tcPr>
          <w:p w:rsidR="00014BAF" w:rsidRPr="003458B1" w:rsidRDefault="00014BAF" w:rsidP="004F0C61">
            <w:pPr>
              <w:jc w:val="center"/>
              <w:rPr>
                <w:b/>
                <w:bCs/>
                <w:color w:val="000000"/>
                <w:sz w:val="20"/>
                <w:szCs w:val="20"/>
              </w:rPr>
            </w:pPr>
          </w:p>
        </w:tc>
        <w:tc>
          <w:tcPr>
            <w:tcW w:w="1720" w:type="dxa"/>
            <w:shd w:val="clear" w:color="auto" w:fill="auto"/>
            <w:noWrap/>
            <w:vAlign w:val="center"/>
          </w:tcPr>
          <w:p w:rsidR="00014BAF" w:rsidRPr="003458B1" w:rsidRDefault="00014BAF" w:rsidP="004F0C61">
            <w:pPr>
              <w:spacing w:line="360" w:lineRule="auto"/>
              <w:jc w:val="center"/>
              <w:rPr>
                <w:b/>
                <w:bCs/>
                <w:color w:val="000000"/>
                <w:sz w:val="20"/>
                <w:szCs w:val="20"/>
              </w:rPr>
            </w:pPr>
            <w:r w:rsidRPr="003458B1">
              <w:rPr>
                <w:b/>
                <w:color w:val="000000"/>
                <w:sz w:val="20"/>
                <w:szCs w:val="20"/>
              </w:rPr>
              <w:t>17%</w:t>
            </w:r>
          </w:p>
        </w:tc>
      </w:tr>
    </w:tbl>
    <w:p w:rsidR="00014BAF" w:rsidRPr="003458B1" w:rsidRDefault="00014BAF" w:rsidP="00014BAF"/>
    <w:p w:rsidR="00014BAF" w:rsidRPr="003458B1" w:rsidRDefault="00014BAF" w:rsidP="00014BAF">
      <w:r w:rsidRPr="003458B1">
        <w:t xml:space="preserve">In PY5 audit activities, the SWE Team found that PECO failed to meet the requirements of </w:t>
      </w:r>
      <w:r>
        <w:t>+/–</w:t>
      </w:r>
      <w:r w:rsidRPr="003458B1">
        <w:t>15% precision at the 85% confidence level for both peak demand and energy savings. The achieved precision for savings and demand were about 15.7% and 15.1%, respectively, at the 85% confidence level. In PY6, however, PECO made vast improvement in precision for energy and appropriate improvement for peak demand. This continued in PY7</w:t>
      </w:r>
      <w:r>
        <w:t>,</w:t>
      </w:r>
      <w:r w:rsidRPr="003458B1">
        <w:t xml:space="preserve"> with an achievement of 11% for energy and 17% for demand. Only targets for energy need to be met in Phase II.</w:t>
      </w:r>
    </w:p>
    <w:p w:rsidR="00014BAF" w:rsidRPr="003458B1" w:rsidRDefault="00014BAF" w:rsidP="00014BAF"/>
    <w:p w:rsidR="00014BAF" w:rsidRPr="003458B1" w:rsidRDefault="00014BAF" w:rsidP="00014BAF">
      <w:pPr>
        <w:pStyle w:val="AppendixAHeading5"/>
      </w:pPr>
      <w:r w:rsidRPr="003458B1">
        <w:t xml:space="preserve">Smart Equipment Incentives Program </w:t>
      </w:r>
      <w:r>
        <w:t xml:space="preserve">– </w:t>
      </w:r>
      <w:r w:rsidRPr="003458B1">
        <w:t xml:space="preserve">GNI </w:t>
      </w:r>
    </w:p>
    <w:p w:rsidR="00014BAF" w:rsidRPr="003458B1" w:rsidRDefault="009845FB" w:rsidP="00014BAF">
      <w:r>
        <w:t xml:space="preserve">Similar to the </w:t>
      </w:r>
      <w:r w:rsidR="00014BAF" w:rsidRPr="003458B1">
        <w:t>SEI</w:t>
      </w:r>
      <w:r>
        <w:t xml:space="preserve"> C/I</w:t>
      </w:r>
      <w:r w:rsidR="00014BAF" w:rsidRPr="003458B1">
        <w:t xml:space="preserve"> Program, this program was launched in Phase I and has been continued in Phase II. Navigant used stratified ratio estimation to develop verified savings for the program. The projects were stratified into four groups: large, medium, small, and municipal lighting. Based on PY6 and PY5 evaluations where a Cv of </w:t>
      </w:r>
      <w:r w:rsidR="00014BAF">
        <w:t>0</w:t>
      </w:r>
      <w:r w:rsidR="00014BAF" w:rsidRPr="003458B1">
        <w:t>.5 was assumed for all strata, Navigant assumed a C</w:t>
      </w:r>
      <w:r w:rsidR="00014BAF">
        <w:t>v</w:t>
      </w:r>
      <w:r w:rsidR="00014BAF" w:rsidRPr="003458B1">
        <w:t xml:space="preserve"> of 0.4 for </w:t>
      </w:r>
      <w:r w:rsidR="00014BAF">
        <w:t xml:space="preserve">the </w:t>
      </w:r>
      <w:r w:rsidR="00014BAF" w:rsidRPr="003458B1">
        <w:t>large</w:t>
      </w:r>
      <w:r w:rsidR="00014BAF">
        <w:t xml:space="preserve"> stratum</w:t>
      </w:r>
      <w:r w:rsidR="00014BAF" w:rsidRPr="003458B1">
        <w:t xml:space="preserve">, 0.5 for </w:t>
      </w:r>
      <w:r w:rsidR="00014BAF">
        <w:t xml:space="preserve">the </w:t>
      </w:r>
      <w:r w:rsidR="00014BAF" w:rsidRPr="003458B1">
        <w:t>medium</w:t>
      </w:r>
      <w:r w:rsidR="00014BAF">
        <w:t xml:space="preserve"> stratum</w:t>
      </w:r>
      <w:r w:rsidR="00014BAF" w:rsidRPr="003458B1">
        <w:t xml:space="preserve">, 0.7 for </w:t>
      </w:r>
      <w:r w:rsidR="00014BAF">
        <w:t xml:space="preserve">the </w:t>
      </w:r>
      <w:r w:rsidR="00014BAF" w:rsidRPr="003458B1">
        <w:t>small</w:t>
      </w:r>
      <w:r w:rsidR="00014BAF">
        <w:t xml:space="preserve"> stratum</w:t>
      </w:r>
      <w:r w:rsidR="00014BAF" w:rsidRPr="003458B1">
        <w:t>, and 0.3 for municipal lighting projects. The sa</w:t>
      </w:r>
      <w:r>
        <w:t xml:space="preserve">mpling strategy for the PY7 </w:t>
      </w:r>
      <w:r w:rsidR="00014BAF" w:rsidRPr="003458B1">
        <w:t xml:space="preserve">SEI </w:t>
      </w:r>
      <w:r>
        <w:t xml:space="preserve">GNI </w:t>
      </w:r>
      <w:r w:rsidR="00014BAF" w:rsidRPr="003458B1">
        <w:t xml:space="preserve">Program is presented in </w:t>
      </w:r>
      <w:r w:rsidR="00014BAF" w:rsidRPr="003458B1">
        <w:fldChar w:fldCharType="begin"/>
      </w:r>
      <w:r w:rsidR="00014BAF" w:rsidRPr="003458B1">
        <w:instrText xml:space="preserve"> REF _Ref440268733 \h  \* MERGEFORMAT </w:instrText>
      </w:r>
      <w:r w:rsidR="00014BAF" w:rsidRPr="003458B1">
        <w:fldChar w:fldCharType="separate"/>
      </w:r>
      <w:r w:rsidR="00A874AC" w:rsidRPr="003458B1">
        <w:t>Table A-</w:t>
      </w:r>
      <w:r w:rsidR="00A874AC">
        <w:t>114</w:t>
      </w:r>
      <w:r w:rsidR="00014BAF" w:rsidRPr="003458B1">
        <w:fldChar w:fldCharType="end"/>
      </w:r>
      <w:r w:rsidR="00014BAF" w:rsidRPr="003458B1">
        <w:t>. In each of the three stages—after Q2, Q3, and Q4—samples were pulled and the sample design was reviewed and adjusted to make sure it would achi</w:t>
      </w:r>
      <w:r w:rsidR="00014BAF">
        <w:t>eve the targeted confidence/</w:t>
      </w:r>
      <w:r w:rsidR="00014BAF" w:rsidRPr="003458B1">
        <w:t>precision levels. Finally, samples were selected only from projects that represented the top 98% of overall program savings.</w:t>
      </w:r>
    </w:p>
    <w:p w:rsidR="00014BAF" w:rsidRPr="003458B1" w:rsidRDefault="00014BAF" w:rsidP="00014BAF">
      <w:bookmarkStart w:id="1146" w:name="_Ref409165741"/>
      <w:bookmarkStart w:id="1147" w:name="_Ref410119009"/>
      <w:bookmarkStart w:id="1148" w:name="_Toc410199396"/>
    </w:p>
    <w:p w:rsidR="00014BAF" w:rsidRPr="003458B1" w:rsidRDefault="00014BAF" w:rsidP="00014BAF">
      <w:pPr>
        <w:pStyle w:val="Caption"/>
        <w:rPr>
          <w:bCs w:val="0"/>
        </w:rPr>
      </w:pPr>
      <w:bookmarkStart w:id="1149" w:name="_Ref440268733"/>
      <w:bookmarkStart w:id="1150" w:name="_Toc431462378"/>
      <w:bookmarkStart w:id="1151" w:name="_Toc444269904"/>
      <w:bookmarkStart w:id="1152" w:name="_Toc472472523"/>
      <w:bookmarkStart w:id="1153" w:name="_Toc476842229"/>
      <w:bookmarkEnd w:id="1146"/>
      <w:bookmarkEnd w:id="1147"/>
      <w:r w:rsidRPr="003458B1">
        <w:t>Table A-</w:t>
      </w:r>
      <w:fldSimple w:instr=" SEQ Table_A- \* ARABIC ">
        <w:r w:rsidR="00C301D0">
          <w:rPr>
            <w:noProof/>
          </w:rPr>
          <w:t>114</w:t>
        </w:r>
      </w:fldSimple>
      <w:bookmarkEnd w:id="1149"/>
      <w:r w:rsidRPr="003458B1">
        <w:t>:</w:t>
      </w:r>
      <w:r w:rsidRPr="003458B1">
        <w:rPr>
          <w:bCs w:val="0"/>
        </w:rPr>
        <w:t xml:space="preserve"> PE</w:t>
      </w:r>
      <w:r w:rsidR="009845FB">
        <w:rPr>
          <w:bCs w:val="0"/>
        </w:rPr>
        <w:t xml:space="preserve">CO’s PY7 Sampling Strategy – </w:t>
      </w:r>
      <w:r w:rsidRPr="003458B1">
        <w:rPr>
          <w:bCs w:val="0"/>
        </w:rPr>
        <w:t xml:space="preserve">SEI </w:t>
      </w:r>
      <w:r w:rsidR="009845FB">
        <w:rPr>
          <w:bCs w:val="0"/>
        </w:rPr>
        <w:t xml:space="preserve">GNI </w:t>
      </w:r>
      <w:r w:rsidRPr="003458B1">
        <w:rPr>
          <w:bCs w:val="0"/>
        </w:rPr>
        <w:t>Program</w:t>
      </w:r>
      <w:bookmarkEnd w:id="1148"/>
      <w:bookmarkEnd w:id="1150"/>
      <w:bookmarkEnd w:id="1151"/>
      <w:bookmarkEnd w:id="1152"/>
      <w:bookmarkEnd w:id="1153"/>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00"/>
        <w:gridCol w:w="1350"/>
        <w:gridCol w:w="2520"/>
        <w:gridCol w:w="1980"/>
        <w:gridCol w:w="1800"/>
      </w:tblGrid>
      <w:tr w:rsidR="00A874AC" w:rsidRPr="003458B1" w:rsidTr="00DC3249">
        <w:trPr>
          <w:trHeight w:val="765"/>
        </w:trPr>
        <w:tc>
          <w:tcPr>
            <w:tcW w:w="1700" w:type="dxa"/>
            <w:shd w:val="clear" w:color="000000" w:fill="448A99"/>
            <w:vAlign w:val="bottom"/>
            <w:hideMark/>
          </w:tcPr>
          <w:p w:rsidR="00014BAF" w:rsidRPr="003458B1" w:rsidRDefault="00014BAF" w:rsidP="004F0C61">
            <w:pPr>
              <w:jc w:val="left"/>
              <w:rPr>
                <w:b/>
                <w:bCs/>
                <w:color w:val="FFFFFF"/>
                <w:sz w:val="20"/>
                <w:szCs w:val="20"/>
              </w:rPr>
            </w:pPr>
            <w:r w:rsidRPr="003458B1">
              <w:rPr>
                <w:b/>
                <w:bCs/>
                <w:color w:val="FFFFFF"/>
                <w:sz w:val="20"/>
                <w:szCs w:val="20"/>
              </w:rPr>
              <w:t>Stratum</w:t>
            </w:r>
          </w:p>
        </w:tc>
        <w:tc>
          <w:tcPr>
            <w:tcW w:w="135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Population</w:t>
            </w:r>
          </w:p>
        </w:tc>
        <w:tc>
          <w:tcPr>
            <w:tcW w:w="252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Target Levels of Confidence &amp; Precision</w:t>
            </w:r>
          </w:p>
        </w:tc>
        <w:tc>
          <w:tcPr>
            <w:tcW w:w="198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Target Sample Size</w:t>
            </w:r>
          </w:p>
        </w:tc>
        <w:tc>
          <w:tcPr>
            <w:tcW w:w="180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Achieved Sample Size</w:t>
            </w:r>
          </w:p>
        </w:tc>
      </w:tr>
      <w:tr w:rsidR="00A874AC" w:rsidRPr="003458B1" w:rsidTr="00DC3249">
        <w:trPr>
          <w:trHeight w:val="360"/>
        </w:trPr>
        <w:tc>
          <w:tcPr>
            <w:tcW w:w="1700" w:type="dxa"/>
            <w:shd w:val="clear" w:color="000000" w:fill="D2EAF1"/>
            <w:noWrap/>
            <w:vAlign w:val="center"/>
          </w:tcPr>
          <w:p w:rsidR="00014BAF" w:rsidRPr="003458B1" w:rsidRDefault="00014BAF" w:rsidP="004F0C61">
            <w:pPr>
              <w:jc w:val="left"/>
              <w:rPr>
                <w:bCs/>
                <w:color w:val="000000"/>
                <w:sz w:val="20"/>
                <w:szCs w:val="20"/>
              </w:rPr>
            </w:pPr>
            <w:r w:rsidRPr="003458B1">
              <w:rPr>
                <w:bCs/>
                <w:color w:val="000000"/>
                <w:sz w:val="20"/>
                <w:szCs w:val="20"/>
              </w:rPr>
              <w:t>Large</w:t>
            </w:r>
          </w:p>
        </w:tc>
        <w:tc>
          <w:tcPr>
            <w:tcW w:w="135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7</w:t>
            </w:r>
          </w:p>
        </w:tc>
        <w:tc>
          <w:tcPr>
            <w:tcW w:w="2520" w:type="dxa"/>
            <w:shd w:val="clear" w:color="000000" w:fill="D2EAF1"/>
            <w:noWrap/>
            <w:vAlign w:val="center"/>
          </w:tcPr>
          <w:p w:rsidR="00014BAF" w:rsidRPr="003458B1" w:rsidRDefault="00014BAF" w:rsidP="004F0C61">
            <w:pPr>
              <w:jc w:val="center"/>
              <w:rPr>
                <w:color w:val="000000"/>
                <w:sz w:val="20"/>
                <w:szCs w:val="20"/>
              </w:rPr>
            </w:pPr>
            <w:r>
              <w:rPr>
                <w:color w:val="000000"/>
                <w:sz w:val="20"/>
                <w:szCs w:val="20"/>
              </w:rPr>
              <w:t>85%/</w:t>
            </w:r>
            <w:r w:rsidRPr="003458B1">
              <w:rPr>
                <w:color w:val="000000"/>
                <w:sz w:val="20"/>
                <w:szCs w:val="20"/>
              </w:rPr>
              <w:t>15%</w:t>
            </w:r>
          </w:p>
        </w:tc>
        <w:tc>
          <w:tcPr>
            <w:tcW w:w="198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7</w:t>
            </w:r>
          </w:p>
        </w:tc>
        <w:tc>
          <w:tcPr>
            <w:tcW w:w="180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7</w:t>
            </w:r>
          </w:p>
        </w:tc>
      </w:tr>
      <w:tr w:rsidR="00E7173E" w:rsidRPr="003458B1" w:rsidTr="00AF6BD2">
        <w:trPr>
          <w:trHeight w:val="360"/>
        </w:trPr>
        <w:tc>
          <w:tcPr>
            <w:tcW w:w="1700" w:type="dxa"/>
            <w:shd w:val="clear" w:color="auto" w:fill="auto"/>
            <w:noWrap/>
            <w:vAlign w:val="center"/>
          </w:tcPr>
          <w:p w:rsidR="00014BAF" w:rsidRPr="003458B1" w:rsidRDefault="00014BAF" w:rsidP="004F0C61">
            <w:pPr>
              <w:jc w:val="left"/>
              <w:rPr>
                <w:bCs/>
                <w:color w:val="000000"/>
                <w:sz w:val="20"/>
                <w:szCs w:val="20"/>
              </w:rPr>
            </w:pPr>
            <w:r w:rsidRPr="003458B1">
              <w:rPr>
                <w:bCs/>
                <w:color w:val="000000"/>
                <w:sz w:val="20"/>
                <w:szCs w:val="20"/>
              </w:rPr>
              <w:t>Medium</w:t>
            </w:r>
          </w:p>
        </w:tc>
        <w:tc>
          <w:tcPr>
            <w:tcW w:w="135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65</w:t>
            </w:r>
          </w:p>
        </w:tc>
        <w:tc>
          <w:tcPr>
            <w:tcW w:w="2520" w:type="dxa"/>
            <w:shd w:val="clear" w:color="auto" w:fill="auto"/>
            <w:noWrap/>
            <w:vAlign w:val="center"/>
          </w:tcPr>
          <w:p w:rsidR="00014BAF" w:rsidRPr="003458B1" w:rsidRDefault="00014BAF" w:rsidP="004F0C61">
            <w:pPr>
              <w:jc w:val="center"/>
              <w:rPr>
                <w:color w:val="000000"/>
                <w:sz w:val="20"/>
                <w:szCs w:val="20"/>
              </w:rPr>
            </w:pPr>
            <w:r>
              <w:rPr>
                <w:color w:val="000000"/>
                <w:sz w:val="20"/>
                <w:szCs w:val="20"/>
              </w:rPr>
              <w:t>85%/</w:t>
            </w:r>
            <w:r w:rsidRPr="003458B1">
              <w:rPr>
                <w:color w:val="000000"/>
                <w:sz w:val="20"/>
                <w:szCs w:val="20"/>
              </w:rPr>
              <w:t>15%</w:t>
            </w:r>
          </w:p>
        </w:tc>
        <w:tc>
          <w:tcPr>
            <w:tcW w:w="198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14</w:t>
            </w:r>
          </w:p>
        </w:tc>
        <w:tc>
          <w:tcPr>
            <w:tcW w:w="180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32</w:t>
            </w:r>
          </w:p>
        </w:tc>
      </w:tr>
      <w:tr w:rsidR="00A874AC" w:rsidRPr="003458B1" w:rsidTr="00DC3249">
        <w:trPr>
          <w:trHeight w:val="360"/>
        </w:trPr>
        <w:tc>
          <w:tcPr>
            <w:tcW w:w="1700" w:type="dxa"/>
            <w:shd w:val="clear" w:color="000000" w:fill="D2EAF1"/>
            <w:noWrap/>
            <w:vAlign w:val="center"/>
          </w:tcPr>
          <w:p w:rsidR="00014BAF" w:rsidRPr="003458B1" w:rsidRDefault="00014BAF" w:rsidP="004F0C61">
            <w:pPr>
              <w:jc w:val="left"/>
              <w:rPr>
                <w:bCs/>
                <w:color w:val="000000"/>
                <w:sz w:val="20"/>
                <w:szCs w:val="20"/>
              </w:rPr>
            </w:pPr>
            <w:r w:rsidRPr="003458B1">
              <w:rPr>
                <w:bCs/>
                <w:color w:val="000000"/>
                <w:sz w:val="20"/>
                <w:szCs w:val="20"/>
              </w:rPr>
              <w:t>Small</w:t>
            </w:r>
          </w:p>
        </w:tc>
        <w:tc>
          <w:tcPr>
            <w:tcW w:w="135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371</w:t>
            </w:r>
          </w:p>
        </w:tc>
        <w:tc>
          <w:tcPr>
            <w:tcW w:w="2520" w:type="dxa"/>
            <w:shd w:val="clear" w:color="000000" w:fill="D2EAF1"/>
            <w:noWrap/>
            <w:vAlign w:val="center"/>
          </w:tcPr>
          <w:p w:rsidR="00014BAF" w:rsidRPr="003458B1" w:rsidRDefault="00014BAF" w:rsidP="004F0C61">
            <w:pPr>
              <w:jc w:val="center"/>
              <w:rPr>
                <w:color w:val="000000"/>
                <w:sz w:val="20"/>
                <w:szCs w:val="20"/>
              </w:rPr>
            </w:pPr>
            <w:r>
              <w:rPr>
                <w:color w:val="000000"/>
                <w:sz w:val="20"/>
                <w:szCs w:val="20"/>
              </w:rPr>
              <w:t>85%/</w:t>
            </w:r>
            <w:r w:rsidRPr="003458B1">
              <w:rPr>
                <w:color w:val="000000"/>
                <w:sz w:val="20"/>
                <w:szCs w:val="20"/>
              </w:rPr>
              <w:t>15%</w:t>
            </w:r>
          </w:p>
        </w:tc>
        <w:tc>
          <w:tcPr>
            <w:tcW w:w="198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14</w:t>
            </w:r>
          </w:p>
        </w:tc>
        <w:tc>
          <w:tcPr>
            <w:tcW w:w="180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14</w:t>
            </w:r>
          </w:p>
        </w:tc>
      </w:tr>
      <w:tr w:rsidR="00E7173E" w:rsidRPr="003458B1" w:rsidTr="00AF6BD2">
        <w:trPr>
          <w:trHeight w:val="360"/>
        </w:trPr>
        <w:tc>
          <w:tcPr>
            <w:tcW w:w="1700" w:type="dxa"/>
            <w:shd w:val="clear" w:color="auto" w:fill="auto"/>
            <w:vAlign w:val="center"/>
          </w:tcPr>
          <w:p w:rsidR="00014BAF" w:rsidRPr="003458B1" w:rsidRDefault="00014BAF" w:rsidP="004F0C61">
            <w:pPr>
              <w:jc w:val="left"/>
              <w:rPr>
                <w:bCs/>
                <w:color w:val="000000"/>
                <w:sz w:val="20"/>
                <w:szCs w:val="20"/>
              </w:rPr>
            </w:pPr>
            <w:r w:rsidRPr="00B3570E">
              <w:rPr>
                <w:bCs/>
                <w:color w:val="000000"/>
                <w:sz w:val="20"/>
                <w:szCs w:val="20"/>
              </w:rPr>
              <w:t>Municipal lighting</w:t>
            </w:r>
          </w:p>
        </w:tc>
        <w:tc>
          <w:tcPr>
            <w:tcW w:w="135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27</w:t>
            </w:r>
          </w:p>
        </w:tc>
        <w:tc>
          <w:tcPr>
            <w:tcW w:w="2520" w:type="dxa"/>
            <w:shd w:val="clear" w:color="auto" w:fill="auto"/>
            <w:noWrap/>
            <w:vAlign w:val="center"/>
          </w:tcPr>
          <w:p w:rsidR="00014BAF" w:rsidRPr="003458B1" w:rsidRDefault="00014BAF" w:rsidP="004F0C61">
            <w:pPr>
              <w:jc w:val="center"/>
              <w:rPr>
                <w:color w:val="000000"/>
                <w:sz w:val="20"/>
                <w:szCs w:val="20"/>
              </w:rPr>
            </w:pPr>
            <w:r>
              <w:rPr>
                <w:color w:val="000000"/>
                <w:sz w:val="20"/>
                <w:szCs w:val="20"/>
              </w:rPr>
              <w:t>85%/</w:t>
            </w:r>
            <w:r w:rsidRPr="003458B1">
              <w:rPr>
                <w:color w:val="000000"/>
                <w:sz w:val="20"/>
                <w:szCs w:val="20"/>
              </w:rPr>
              <w:t>15%</w:t>
            </w:r>
          </w:p>
        </w:tc>
        <w:tc>
          <w:tcPr>
            <w:tcW w:w="198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4</w:t>
            </w:r>
          </w:p>
        </w:tc>
        <w:tc>
          <w:tcPr>
            <w:tcW w:w="180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5</w:t>
            </w:r>
          </w:p>
        </w:tc>
      </w:tr>
      <w:tr w:rsidR="00A874AC" w:rsidRPr="003458B1" w:rsidTr="00DC3249">
        <w:trPr>
          <w:trHeight w:val="360"/>
        </w:trPr>
        <w:tc>
          <w:tcPr>
            <w:tcW w:w="1700" w:type="dxa"/>
            <w:shd w:val="clear" w:color="000000" w:fill="D2EAF1"/>
            <w:noWrap/>
            <w:vAlign w:val="center"/>
          </w:tcPr>
          <w:p w:rsidR="00014BAF" w:rsidRPr="003458B1" w:rsidRDefault="00014BAF" w:rsidP="004F0C61">
            <w:pPr>
              <w:jc w:val="left"/>
              <w:rPr>
                <w:b/>
                <w:bCs/>
                <w:color w:val="000000"/>
                <w:sz w:val="20"/>
                <w:szCs w:val="20"/>
              </w:rPr>
            </w:pPr>
            <w:r w:rsidRPr="003458B1">
              <w:rPr>
                <w:b/>
                <w:bCs/>
                <w:color w:val="000000"/>
                <w:sz w:val="20"/>
                <w:szCs w:val="20"/>
              </w:rPr>
              <w:t>Program Total</w:t>
            </w:r>
          </w:p>
        </w:tc>
        <w:tc>
          <w:tcPr>
            <w:tcW w:w="1350" w:type="dxa"/>
            <w:shd w:val="clear" w:color="000000" w:fill="D2EAF1"/>
            <w:noWrap/>
            <w:vAlign w:val="center"/>
          </w:tcPr>
          <w:p w:rsidR="00014BAF" w:rsidRPr="003458B1" w:rsidRDefault="00014BAF" w:rsidP="004F0C61">
            <w:pPr>
              <w:jc w:val="center"/>
              <w:rPr>
                <w:b/>
                <w:bCs/>
                <w:color w:val="000000"/>
                <w:sz w:val="20"/>
                <w:szCs w:val="20"/>
              </w:rPr>
            </w:pPr>
            <w:r w:rsidRPr="003458B1">
              <w:rPr>
                <w:b/>
                <w:sz w:val="20"/>
                <w:szCs w:val="20"/>
              </w:rPr>
              <w:t>470</w:t>
            </w:r>
          </w:p>
        </w:tc>
        <w:tc>
          <w:tcPr>
            <w:tcW w:w="2520" w:type="dxa"/>
            <w:shd w:val="clear" w:color="000000" w:fill="D2EAF1"/>
            <w:noWrap/>
            <w:vAlign w:val="center"/>
          </w:tcPr>
          <w:p w:rsidR="00014BAF" w:rsidRPr="00217CA6" w:rsidRDefault="00014BAF" w:rsidP="004F0C61">
            <w:pPr>
              <w:jc w:val="center"/>
              <w:rPr>
                <w:b/>
                <w:bCs/>
                <w:color w:val="000000"/>
                <w:sz w:val="20"/>
                <w:szCs w:val="20"/>
              </w:rPr>
            </w:pPr>
            <w:r w:rsidRPr="00217CA6">
              <w:rPr>
                <w:b/>
                <w:color w:val="000000"/>
                <w:sz w:val="20"/>
                <w:szCs w:val="20"/>
              </w:rPr>
              <w:t>85%/15%</w:t>
            </w:r>
          </w:p>
        </w:tc>
        <w:tc>
          <w:tcPr>
            <w:tcW w:w="1980" w:type="dxa"/>
            <w:shd w:val="clear" w:color="000000" w:fill="D2EAF1"/>
            <w:noWrap/>
            <w:vAlign w:val="center"/>
          </w:tcPr>
          <w:p w:rsidR="00014BAF" w:rsidRPr="003458B1" w:rsidRDefault="00014BAF" w:rsidP="004F0C61">
            <w:pPr>
              <w:jc w:val="center"/>
              <w:rPr>
                <w:b/>
                <w:bCs/>
                <w:color w:val="000000"/>
                <w:sz w:val="20"/>
                <w:szCs w:val="20"/>
              </w:rPr>
            </w:pPr>
            <w:r w:rsidRPr="003458B1">
              <w:rPr>
                <w:b/>
                <w:sz w:val="20"/>
                <w:szCs w:val="20"/>
              </w:rPr>
              <w:t>39</w:t>
            </w:r>
          </w:p>
        </w:tc>
        <w:tc>
          <w:tcPr>
            <w:tcW w:w="1800" w:type="dxa"/>
            <w:shd w:val="clear" w:color="000000" w:fill="D2EAF1"/>
            <w:noWrap/>
            <w:vAlign w:val="center"/>
          </w:tcPr>
          <w:p w:rsidR="00014BAF" w:rsidRPr="003458B1" w:rsidRDefault="00014BAF" w:rsidP="004F0C61">
            <w:pPr>
              <w:jc w:val="center"/>
              <w:rPr>
                <w:b/>
                <w:bCs/>
                <w:color w:val="000000"/>
                <w:sz w:val="20"/>
                <w:szCs w:val="20"/>
              </w:rPr>
            </w:pPr>
            <w:r w:rsidRPr="003458B1">
              <w:rPr>
                <w:b/>
                <w:sz w:val="20"/>
                <w:szCs w:val="20"/>
              </w:rPr>
              <w:t>58</w:t>
            </w:r>
          </w:p>
        </w:tc>
      </w:tr>
    </w:tbl>
    <w:p w:rsidR="00014BAF" w:rsidRPr="003458B1" w:rsidRDefault="00014BAF" w:rsidP="00014BAF"/>
    <w:p w:rsidR="00014BAF" w:rsidRPr="003458B1" w:rsidRDefault="00014BAF" w:rsidP="00014BAF">
      <w:r w:rsidRPr="003458B1">
        <w:t xml:space="preserve">The achieved precision values for both energy and demand are listed in </w:t>
      </w:r>
      <w:r w:rsidRPr="003458B1">
        <w:fldChar w:fldCharType="begin"/>
      </w:r>
      <w:r w:rsidRPr="003458B1">
        <w:instrText xml:space="preserve"> REF _Ref441830816 \h  \* MERGEFORMAT </w:instrText>
      </w:r>
      <w:r w:rsidRPr="003458B1">
        <w:fldChar w:fldCharType="separate"/>
      </w:r>
      <w:r w:rsidR="00A874AC" w:rsidRPr="003458B1">
        <w:t>Table A-</w:t>
      </w:r>
      <w:r w:rsidR="00A874AC">
        <w:t>115</w:t>
      </w:r>
      <w:r w:rsidRPr="003458B1">
        <w:fldChar w:fldCharType="end"/>
      </w:r>
      <w:r w:rsidRPr="003458B1">
        <w:t>. The results show that the samples represented the population in this program effectively and that the precision target was met.</w:t>
      </w:r>
    </w:p>
    <w:p w:rsidR="00014BAF" w:rsidRDefault="00014BAF" w:rsidP="00014BAF">
      <w:bookmarkStart w:id="1154" w:name="_Ref440268790"/>
      <w:bookmarkStart w:id="1155" w:name="_Toc410199397"/>
      <w:bookmarkStart w:id="1156" w:name="_Toc431462379"/>
    </w:p>
    <w:p w:rsidR="00DC3249" w:rsidRPr="003458B1" w:rsidRDefault="00DC3249" w:rsidP="00014BAF"/>
    <w:p w:rsidR="00014BAF" w:rsidRPr="003458B1" w:rsidRDefault="00014BAF" w:rsidP="00014BAF">
      <w:pPr>
        <w:pStyle w:val="Caption"/>
        <w:rPr>
          <w:bCs w:val="0"/>
        </w:rPr>
      </w:pPr>
      <w:bookmarkStart w:id="1157" w:name="_Ref441830816"/>
      <w:bookmarkStart w:id="1158" w:name="_Toc444269905"/>
      <w:bookmarkStart w:id="1159" w:name="_Toc472472524"/>
      <w:bookmarkStart w:id="1160" w:name="_Toc476842230"/>
      <w:r w:rsidRPr="003458B1">
        <w:t>Table A-</w:t>
      </w:r>
      <w:fldSimple w:instr=" SEQ Table_A- \* ARABIC ">
        <w:r w:rsidR="00C301D0">
          <w:rPr>
            <w:noProof/>
          </w:rPr>
          <w:t>115</w:t>
        </w:r>
      </w:fldSimple>
      <w:bookmarkEnd w:id="1154"/>
      <w:bookmarkEnd w:id="1157"/>
      <w:r w:rsidRPr="003458B1">
        <w:t>:</w:t>
      </w:r>
      <w:r w:rsidRPr="003458B1">
        <w:rPr>
          <w:bCs w:val="0"/>
        </w:rPr>
        <w:t xml:space="preserve"> Observed Coefficients of Variation and Relative Precisions – PECO’s </w:t>
      </w:r>
      <w:r w:rsidR="009845FB">
        <w:rPr>
          <w:bCs w:val="0"/>
        </w:rPr>
        <w:t xml:space="preserve">SEI </w:t>
      </w:r>
      <w:r w:rsidRPr="003458B1">
        <w:rPr>
          <w:bCs w:val="0"/>
        </w:rPr>
        <w:t>GNI Program</w:t>
      </w:r>
      <w:bookmarkEnd w:id="1155"/>
      <w:bookmarkEnd w:id="1156"/>
      <w:bookmarkEnd w:id="1158"/>
      <w:bookmarkEnd w:id="1159"/>
      <w:bookmarkEnd w:id="1160"/>
    </w:p>
    <w:tbl>
      <w:tblPr>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530"/>
        <w:gridCol w:w="2430"/>
        <w:gridCol w:w="1440"/>
        <w:gridCol w:w="2250"/>
        <w:gridCol w:w="1710"/>
      </w:tblGrid>
      <w:tr w:rsidR="00A874AC" w:rsidRPr="003458B1" w:rsidTr="00DC3249">
        <w:trPr>
          <w:trHeight w:val="1015"/>
        </w:trPr>
        <w:tc>
          <w:tcPr>
            <w:tcW w:w="1530" w:type="dxa"/>
            <w:shd w:val="clear" w:color="000000" w:fill="448A99"/>
            <w:vAlign w:val="bottom"/>
            <w:hideMark/>
          </w:tcPr>
          <w:p w:rsidR="00014BAF" w:rsidRPr="003458B1" w:rsidRDefault="00014BAF" w:rsidP="004F0C61">
            <w:pPr>
              <w:jc w:val="left"/>
              <w:rPr>
                <w:b/>
                <w:bCs/>
                <w:color w:val="FFFFFF"/>
                <w:sz w:val="20"/>
                <w:szCs w:val="20"/>
              </w:rPr>
            </w:pPr>
            <w:r w:rsidRPr="003458B1">
              <w:rPr>
                <w:b/>
                <w:bCs/>
                <w:color w:val="FFFFFF"/>
                <w:sz w:val="20"/>
                <w:szCs w:val="20"/>
              </w:rPr>
              <w:t>Stratum</w:t>
            </w:r>
          </w:p>
        </w:tc>
        <w:tc>
          <w:tcPr>
            <w:tcW w:w="243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Energy</w:t>
            </w:r>
          </w:p>
        </w:tc>
        <w:tc>
          <w:tcPr>
            <w:tcW w:w="144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Energy</w:t>
            </w:r>
          </w:p>
        </w:tc>
        <w:tc>
          <w:tcPr>
            <w:tcW w:w="225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Demand</w:t>
            </w:r>
          </w:p>
        </w:tc>
        <w:tc>
          <w:tcPr>
            <w:tcW w:w="171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DC3249">
        <w:trPr>
          <w:trHeight w:val="360"/>
        </w:trPr>
        <w:tc>
          <w:tcPr>
            <w:tcW w:w="1530" w:type="dxa"/>
            <w:shd w:val="clear" w:color="000000" w:fill="D2EAF1"/>
            <w:noWrap/>
            <w:vAlign w:val="center"/>
          </w:tcPr>
          <w:p w:rsidR="00014BAF" w:rsidRPr="003458B1" w:rsidRDefault="00014BAF" w:rsidP="004F0C61">
            <w:pPr>
              <w:jc w:val="left"/>
              <w:rPr>
                <w:bCs/>
                <w:color w:val="000000"/>
                <w:sz w:val="20"/>
                <w:szCs w:val="20"/>
              </w:rPr>
            </w:pPr>
            <w:r w:rsidRPr="003458B1">
              <w:rPr>
                <w:bCs/>
                <w:color w:val="000000"/>
                <w:sz w:val="20"/>
                <w:szCs w:val="20"/>
              </w:rPr>
              <w:t>Large</w:t>
            </w:r>
          </w:p>
        </w:tc>
        <w:tc>
          <w:tcPr>
            <w:tcW w:w="243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0.10</w:t>
            </w:r>
          </w:p>
        </w:tc>
        <w:tc>
          <w:tcPr>
            <w:tcW w:w="144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0%</w:t>
            </w:r>
          </w:p>
        </w:tc>
        <w:tc>
          <w:tcPr>
            <w:tcW w:w="225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0.19</w:t>
            </w:r>
          </w:p>
        </w:tc>
        <w:tc>
          <w:tcPr>
            <w:tcW w:w="171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0%</w:t>
            </w:r>
          </w:p>
        </w:tc>
      </w:tr>
      <w:tr w:rsidR="00E7173E" w:rsidRPr="003458B1" w:rsidTr="00AF6BD2">
        <w:trPr>
          <w:trHeight w:val="360"/>
        </w:trPr>
        <w:tc>
          <w:tcPr>
            <w:tcW w:w="1530" w:type="dxa"/>
            <w:shd w:val="clear" w:color="auto" w:fill="auto"/>
            <w:noWrap/>
            <w:vAlign w:val="center"/>
          </w:tcPr>
          <w:p w:rsidR="00014BAF" w:rsidRPr="003458B1" w:rsidRDefault="00014BAF" w:rsidP="004F0C61">
            <w:pPr>
              <w:jc w:val="left"/>
              <w:rPr>
                <w:bCs/>
                <w:color w:val="000000"/>
                <w:sz w:val="20"/>
                <w:szCs w:val="20"/>
              </w:rPr>
            </w:pPr>
            <w:r w:rsidRPr="003458B1">
              <w:rPr>
                <w:bCs/>
                <w:color w:val="000000"/>
                <w:sz w:val="20"/>
                <w:szCs w:val="20"/>
              </w:rPr>
              <w:t>Medium</w:t>
            </w:r>
          </w:p>
        </w:tc>
        <w:tc>
          <w:tcPr>
            <w:tcW w:w="243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0.20</w:t>
            </w:r>
          </w:p>
        </w:tc>
        <w:tc>
          <w:tcPr>
            <w:tcW w:w="144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4%</w:t>
            </w:r>
          </w:p>
        </w:tc>
        <w:tc>
          <w:tcPr>
            <w:tcW w:w="225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0.71</w:t>
            </w:r>
          </w:p>
        </w:tc>
        <w:tc>
          <w:tcPr>
            <w:tcW w:w="171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13%</w:t>
            </w:r>
          </w:p>
        </w:tc>
      </w:tr>
      <w:tr w:rsidR="00A874AC" w:rsidRPr="003458B1" w:rsidTr="00DC3249">
        <w:trPr>
          <w:trHeight w:val="360"/>
        </w:trPr>
        <w:tc>
          <w:tcPr>
            <w:tcW w:w="1530" w:type="dxa"/>
            <w:shd w:val="clear" w:color="000000" w:fill="D2EAF1"/>
            <w:noWrap/>
            <w:vAlign w:val="center"/>
          </w:tcPr>
          <w:p w:rsidR="00014BAF" w:rsidRPr="003458B1" w:rsidRDefault="00014BAF" w:rsidP="004F0C61">
            <w:pPr>
              <w:jc w:val="left"/>
              <w:rPr>
                <w:bCs/>
                <w:color w:val="000000"/>
                <w:sz w:val="20"/>
                <w:szCs w:val="20"/>
              </w:rPr>
            </w:pPr>
            <w:r w:rsidRPr="003458B1">
              <w:rPr>
                <w:bCs/>
                <w:color w:val="000000"/>
                <w:sz w:val="20"/>
                <w:szCs w:val="20"/>
              </w:rPr>
              <w:t>Small</w:t>
            </w:r>
          </w:p>
        </w:tc>
        <w:tc>
          <w:tcPr>
            <w:tcW w:w="243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0.84</w:t>
            </w:r>
          </w:p>
        </w:tc>
        <w:tc>
          <w:tcPr>
            <w:tcW w:w="144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34%</w:t>
            </w:r>
          </w:p>
        </w:tc>
        <w:tc>
          <w:tcPr>
            <w:tcW w:w="225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0.50</w:t>
            </w:r>
          </w:p>
        </w:tc>
        <w:tc>
          <w:tcPr>
            <w:tcW w:w="171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21%</w:t>
            </w:r>
          </w:p>
        </w:tc>
      </w:tr>
      <w:tr w:rsidR="00E7173E" w:rsidRPr="003458B1" w:rsidTr="00AF6BD2">
        <w:trPr>
          <w:trHeight w:val="360"/>
        </w:trPr>
        <w:tc>
          <w:tcPr>
            <w:tcW w:w="1530" w:type="dxa"/>
            <w:shd w:val="clear" w:color="auto" w:fill="auto"/>
            <w:vAlign w:val="center"/>
          </w:tcPr>
          <w:p w:rsidR="00014BAF" w:rsidRPr="003458B1" w:rsidRDefault="00014BAF" w:rsidP="004F0C61">
            <w:pPr>
              <w:jc w:val="left"/>
              <w:rPr>
                <w:bCs/>
                <w:color w:val="000000"/>
                <w:sz w:val="20"/>
                <w:szCs w:val="20"/>
              </w:rPr>
            </w:pPr>
            <w:r>
              <w:rPr>
                <w:bCs/>
                <w:color w:val="000000"/>
                <w:sz w:val="20"/>
                <w:szCs w:val="20"/>
              </w:rPr>
              <w:t>Municipal l</w:t>
            </w:r>
            <w:r w:rsidRPr="003458B1">
              <w:rPr>
                <w:bCs/>
                <w:color w:val="000000"/>
                <w:sz w:val="20"/>
                <w:szCs w:val="20"/>
              </w:rPr>
              <w:t>ighting</w:t>
            </w:r>
          </w:p>
        </w:tc>
        <w:tc>
          <w:tcPr>
            <w:tcW w:w="243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0.00</w:t>
            </w:r>
          </w:p>
        </w:tc>
        <w:tc>
          <w:tcPr>
            <w:tcW w:w="144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0%</w:t>
            </w:r>
          </w:p>
        </w:tc>
        <w:tc>
          <w:tcPr>
            <w:tcW w:w="225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N/A</w:t>
            </w:r>
          </w:p>
        </w:tc>
        <w:tc>
          <w:tcPr>
            <w:tcW w:w="171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0%</w:t>
            </w:r>
          </w:p>
        </w:tc>
      </w:tr>
      <w:tr w:rsidR="00A874AC" w:rsidRPr="003458B1" w:rsidTr="00DC3249">
        <w:trPr>
          <w:trHeight w:val="360"/>
        </w:trPr>
        <w:tc>
          <w:tcPr>
            <w:tcW w:w="1530" w:type="dxa"/>
            <w:shd w:val="clear" w:color="000000" w:fill="D2EAF1"/>
            <w:noWrap/>
            <w:vAlign w:val="center"/>
          </w:tcPr>
          <w:p w:rsidR="00014BAF" w:rsidRPr="003458B1" w:rsidRDefault="00014BAF" w:rsidP="004F0C61">
            <w:pPr>
              <w:jc w:val="left"/>
              <w:rPr>
                <w:b/>
                <w:bCs/>
                <w:color w:val="000000"/>
                <w:sz w:val="20"/>
                <w:szCs w:val="20"/>
              </w:rPr>
            </w:pPr>
            <w:r w:rsidRPr="003458B1">
              <w:rPr>
                <w:b/>
                <w:bCs/>
                <w:color w:val="000000"/>
                <w:sz w:val="20"/>
                <w:szCs w:val="20"/>
              </w:rPr>
              <w:t>Program Total</w:t>
            </w:r>
          </w:p>
        </w:tc>
        <w:tc>
          <w:tcPr>
            <w:tcW w:w="2430" w:type="dxa"/>
            <w:shd w:val="clear" w:color="000000" w:fill="D2EAF1"/>
            <w:noWrap/>
            <w:vAlign w:val="center"/>
          </w:tcPr>
          <w:p w:rsidR="00014BAF" w:rsidRPr="003458B1" w:rsidRDefault="00014BAF" w:rsidP="004F0C61">
            <w:pPr>
              <w:jc w:val="center"/>
              <w:rPr>
                <w:b/>
                <w:bCs/>
                <w:color w:val="000000"/>
                <w:sz w:val="20"/>
                <w:szCs w:val="20"/>
              </w:rPr>
            </w:pPr>
          </w:p>
        </w:tc>
        <w:tc>
          <w:tcPr>
            <w:tcW w:w="1440" w:type="dxa"/>
            <w:shd w:val="clear" w:color="000000" w:fill="D2EAF1"/>
            <w:noWrap/>
            <w:vAlign w:val="center"/>
          </w:tcPr>
          <w:p w:rsidR="00014BAF" w:rsidRPr="003458B1" w:rsidRDefault="00014BAF" w:rsidP="004F0C61">
            <w:pPr>
              <w:jc w:val="center"/>
              <w:rPr>
                <w:b/>
                <w:bCs/>
                <w:color w:val="000000"/>
                <w:sz w:val="20"/>
                <w:szCs w:val="20"/>
              </w:rPr>
            </w:pPr>
            <w:r w:rsidRPr="003458B1">
              <w:rPr>
                <w:b/>
                <w:sz w:val="20"/>
                <w:szCs w:val="20"/>
              </w:rPr>
              <w:t>7%</w:t>
            </w:r>
          </w:p>
        </w:tc>
        <w:tc>
          <w:tcPr>
            <w:tcW w:w="2250" w:type="dxa"/>
            <w:shd w:val="clear" w:color="000000" w:fill="D2EAF1"/>
            <w:noWrap/>
            <w:vAlign w:val="center"/>
          </w:tcPr>
          <w:p w:rsidR="00014BAF" w:rsidRPr="003458B1" w:rsidRDefault="00014BAF" w:rsidP="004F0C61">
            <w:pPr>
              <w:jc w:val="center"/>
              <w:rPr>
                <w:b/>
                <w:bCs/>
                <w:color w:val="000000"/>
                <w:sz w:val="20"/>
                <w:szCs w:val="20"/>
              </w:rPr>
            </w:pPr>
          </w:p>
        </w:tc>
        <w:tc>
          <w:tcPr>
            <w:tcW w:w="1710" w:type="dxa"/>
            <w:shd w:val="clear" w:color="000000" w:fill="D2EAF1"/>
            <w:noWrap/>
            <w:vAlign w:val="center"/>
          </w:tcPr>
          <w:p w:rsidR="00014BAF" w:rsidRPr="003458B1" w:rsidRDefault="00014BAF" w:rsidP="004F0C61">
            <w:pPr>
              <w:jc w:val="center"/>
              <w:rPr>
                <w:b/>
                <w:bCs/>
                <w:color w:val="000000"/>
                <w:sz w:val="20"/>
                <w:szCs w:val="20"/>
              </w:rPr>
            </w:pPr>
            <w:r w:rsidRPr="003458B1">
              <w:rPr>
                <w:b/>
                <w:color w:val="000000"/>
                <w:sz w:val="20"/>
                <w:szCs w:val="20"/>
              </w:rPr>
              <w:t>6%</w:t>
            </w:r>
          </w:p>
        </w:tc>
      </w:tr>
    </w:tbl>
    <w:p w:rsidR="00014BAF" w:rsidRPr="003458B1" w:rsidRDefault="00014BAF" w:rsidP="00014BAF"/>
    <w:p w:rsidR="00014BAF" w:rsidRPr="003458B1" w:rsidRDefault="00014BAF" w:rsidP="00014BAF">
      <w:pPr>
        <w:pStyle w:val="AppendixAHeading5"/>
      </w:pPr>
      <w:r w:rsidRPr="003458B1">
        <w:t>Smart Construction Incentives Program</w:t>
      </w:r>
    </w:p>
    <w:p w:rsidR="00014BAF" w:rsidRPr="003458B1" w:rsidRDefault="00014BAF" w:rsidP="00014BAF">
      <w:r w:rsidRPr="003458B1">
        <w:t>The sample design for this program used a stratified random sampling approach at the project level. Samples were pulled from the population of prog</w:t>
      </w:r>
      <w:r>
        <w:t>ram participants in the program-</w:t>
      </w:r>
      <w:r w:rsidRPr="003458B1">
        <w:t xml:space="preserve">tracking database. Navigant was forced to modify </w:t>
      </w:r>
      <w:r>
        <w:t>its</w:t>
      </w:r>
      <w:r w:rsidRPr="003458B1">
        <w:t xml:space="preserve"> initial sampling approach due to issues with several Q4 projects. According to PECO’s PY7 </w:t>
      </w:r>
      <w:r>
        <w:t>a</w:t>
      </w:r>
      <w:r w:rsidRPr="003458B1">
        <w:t xml:space="preserve">nnual </w:t>
      </w:r>
      <w:r>
        <w:t>r</w:t>
      </w:r>
      <w:r w:rsidRPr="003458B1">
        <w:t>eport</w:t>
      </w:r>
      <w:r>
        <w:t>,</w:t>
      </w:r>
      <w:r w:rsidRPr="003458B1">
        <w:t xml:space="preserve"> “While conducting site visits on several Q4 projects, Navigant found that five of 10 visited sites were either not fully complete or not fully occupied, despite having passed the TRM-mandated deadline for completion and occupancy to be counted towards Phase II… Navigant determined that the best course of action for extrapolating the realization rates related to this finding to the entire PY7 population would be to create separate strata for Q4 and dead-zone (DZ) projects, as project incompletion was not an issue in any of the visited Q1, Q2, or Q3 sites. DZ projects are those that were completed in Q4, but too late to be included in the standard final program quarterly data extract for sampling.</w:t>
      </w:r>
      <w:r>
        <w:t>”</w:t>
      </w:r>
      <w:r w:rsidRPr="003458B1">
        <w:t xml:space="preserve"> The modified sampling strategy used in PY7 for this program is shown in </w:t>
      </w:r>
      <w:r w:rsidRPr="003458B1">
        <w:fldChar w:fldCharType="begin"/>
      </w:r>
      <w:r w:rsidRPr="003458B1">
        <w:instrText xml:space="preserve"> REF _Ref440268450 \h  \* MERGEFORMAT </w:instrText>
      </w:r>
      <w:r w:rsidRPr="003458B1">
        <w:fldChar w:fldCharType="separate"/>
      </w:r>
      <w:r w:rsidR="00DD797D" w:rsidRPr="003458B1">
        <w:t>Table A-</w:t>
      </w:r>
      <w:r w:rsidR="00DD797D">
        <w:t>116</w:t>
      </w:r>
      <w:r w:rsidRPr="003458B1">
        <w:fldChar w:fldCharType="end"/>
      </w:r>
      <w:r w:rsidRPr="003458B1">
        <w:t>.</w:t>
      </w:r>
    </w:p>
    <w:p w:rsidR="00014BAF" w:rsidRPr="003458B1" w:rsidRDefault="00014BAF" w:rsidP="00014BAF"/>
    <w:p w:rsidR="00014BAF" w:rsidRPr="003458B1" w:rsidRDefault="00014BAF" w:rsidP="00014BAF">
      <w:pPr>
        <w:pStyle w:val="Caption"/>
        <w:rPr>
          <w:bCs w:val="0"/>
        </w:rPr>
      </w:pPr>
      <w:bookmarkStart w:id="1161" w:name="_Ref440268450"/>
      <w:bookmarkStart w:id="1162" w:name="_Toc410199390"/>
      <w:bookmarkStart w:id="1163" w:name="_Toc431462372"/>
      <w:bookmarkStart w:id="1164" w:name="_Toc444269898"/>
      <w:bookmarkStart w:id="1165" w:name="_Toc472472525"/>
      <w:bookmarkStart w:id="1166" w:name="_Toc476842231"/>
      <w:r w:rsidRPr="003458B1">
        <w:t>Table A-</w:t>
      </w:r>
      <w:fldSimple w:instr=" SEQ Table_A- \* ARABIC ">
        <w:r w:rsidR="00C301D0">
          <w:rPr>
            <w:noProof/>
          </w:rPr>
          <w:t>116</w:t>
        </w:r>
      </w:fldSimple>
      <w:bookmarkEnd w:id="1161"/>
      <w:r w:rsidRPr="003458B1">
        <w:t>:</w:t>
      </w:r>
      <w:r w:rsidRPr="003458B1">
        <w:rPr>
          <w:bCs w:val="0"/>
        </w:rPr>
        <w:t xml:space="preserve"> PECO’s PY7 Sampling Strategy – SCI Program</w:t>
      </w:r>
      <w:bookmarkEnd w:id="1162"/>
      <w:bookmarkEnd w:id="1163"/>
      <w:bookmarkEnd w:id="1164"/>
      <w:bookmarkEnd w:id="1165"/>
      <w:bookmarkEnd w:id="1166"/>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00"/>
        <w:gridCol w:w="1350"/>
        <w:gridCol w:w="2610"/>
        <w:gridCol w:w="1894"/>
        <w:gridCol w:w="1796"/>
      </w:tblGrid>
      <w:tr w:rsidR="00A874AC" w:rsidRPr="003458B1" w:rsidTr="00DC3249">
        <w:trPr>
          <w:trHeight w:val="765"/>
        </w:trPr>
        <w:tc>
          <w:tcPr>
            <w:tcW w:w="1700" w:type="dxa"/>
            <w:shd w:val="clear" w:color="000000" w:fill="448A99"/>
            <w:vAlign w:val="bottom"/>
            <w:hideMark/>
          </w:tcPr>
          <w:p w:rsidR="00014BAF" w:rsidRPr="003458B1" w:rsidRDefault="00014BAF" w:rsidP="004F0C61">
            <w:pPr>
              <w:jc w:val="left"/>
              <w:rPr>
                <w:b/>
                <w:bCs/>
                <w:color w:val="FFFFFF"/>
                <w:sz w:val="20"/>
                <w:szCs w:val="20"/>
              </w:rPr>
            </w:pPr>
            <w:r w:rsidRPr="003458B1">
              <w:rPr>
                <w:b/>
                <w:bCs/>
                <w:color w:val="FFFFFF"/>
                <w:sz w:val="20"/>
                <w:szCs w:val="20"/>
              </w:rPr>
              <w:t>Stratum</w:t>
            </w:r>
          </w:p>
        </w:tc>
        <w:tc>
          <w:tcPr>
            <w:tcW w:w="135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Population</w:t>
            </w:r>
          </w:p>
        </w:tc>
        <w:tc>
          <w:tcPr>
            <w:tcW w:w="261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Target Levels of Confidence &amp; Precision</w:t>
            </w:r>
            <w:r>
              <w:rPr>
                <w:b/>
                <w:bCs/>
                <w:color w:val="FFFFFF"/>
                <w:sz w:val="20"/>
                <w:szCs w:val="20"/>
              </w:rPr>
              <w:t xml:space="preserve"> (before breaking out DZ)</w:t>
            </w:r>
          </w:p>
        </w:tc>
        <w:tc>
          <w:tcPr>
            <w:tcW w:w="1894"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Target Sample Size</w:t>
            </w:r>
            <w:r>
              <w:rPr>
                <w:b/>
                <w:bCs/>
                <w:color w:val="FFFFFF"/>
                <w:sz w:val="20"/>
                <w:szCs w:val="20"/>
              </w:rPr>
              <w:t xml:space="preserve"> (before breaking out DZ)</w:t>
            </w:r>
          </w:p>
        </w:tc>
        <w:tc>
          <w:tcPr>
            <w:tcW w:w="1796"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Achieved Sample Size</w:t>
            </w:r>
          </w:p>
        </w:tc>
      </w:tr>
      <w:tr w:rsidR="00A874AC" w:rsidRPr="003458B1" w:rsidTr="00DC3249">
        <w:trPr>
          <w:trHeight w:val="346"/>
        </w:trPr>
        <w:tc>
          <w:tcPr>
            <w:tcW w:w="1700" w:type="dxa"/>
            <w:shd w:val="clear" w:color="000000" w:fill="D2EAF1"/>
            <w:noWrap/>
            <w:vAlign w:val="center"/>
          </w:tcPr>
          <w:p w:rsidR="00014BAF" w:rsidRPr="003458B1" w:rsidRDefault="00014BAF" w:rsidP="004F0C61">
            <w:pPr>
              <w:jc w:val="left"/>
              <w:rPr>
                <w:bCs/>
                <w:color w:val="000000"/>
                <w:sz w:val="20"/>
                <w:szCs w:val="20"/>
              </w:rPr>
            </w:pPr>
            <w:r>
              <w:rPr>
                <w:sz w:val="20"/>
                <w:szCs w:val="20"/>
              </w:rPr>
              <w:t>Large Q1–</w:t>
            </w:r>
            <w:r w:rsidRPr="003458B1">
              <w:rPr>
                <w:sz w:val="20"/>
                <w:szCs w:val="20"/>
              </w:rPr>
              <w:t>Q3</w:t>
            </w:r>
          </w:p>
        </w:tc>
        <w:tc>
          <w:tcPr>
            <w:tcW w:w="135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13</w:t>
            </w:r>
          </w:p>
        </w:tc>
        <w:tc>
          <w:tcPr>
            <w:tcW w:w="2610" w:type="dxa"/>
            <w:vMerge w:val="restart"/>
            <w:shd w:val="clear" w:color="auto" w:fill="auto"/>
            <w:noWrap/>
            <w:vAlign w:val="center"/>
          </w:tcPr>
          <w:p w:rsidR="00014BAF" w:rsidRPr="003458B1" w:rsidRDefault="00014BAF" w:rsidP="004F0C61">
            <w:pPr>
              <w:jc w:val="center"/>
              <w:rPr>
                <w:color w:val="000000"/>
                <w:sz w:val="20"/>
                <w:szCs w:val="20"/>
              </w:rPr>
            </w:pPr>
            <w:r>
              <w:rPr>
                <w:color w:val="000000"/>
                <w:sz w:val="20"/>
                <w:szCs w:val="20"/>
              </w:rPr>
              <w:t>85%/</w:t>
            </w:r>
            <w:r w:rsidRPr="003458B1">
              <w:rPr>
                <w:color w:val="000000"/>
                <w:sz w:val="20"/>
                <w:szCs w:val="20"/>
              </w:rPr>
              <w:t>15%</w:t>
            </w:r>
          </w:p>
        </w:tc>
        <w:tc>
          <w:tcPr>
            <w:tcW w:w="1894" w:type="dxa"/>
            <w:vMerge w:val="restart"/>
            <w:shd w:val="clear" w:color="auto" w:fill="auto"/>
            <w:noWrap/>
            <w:vAlign w:val="center"/>
          </w:tcPr>
          <w:p w:rsidR="00014BAF" w:rsidRPr="003458B1" w:rsidRDefault="00014BAF" w:rsidP="004F0C61">
            <w:pPr>
              <w:jc w:val="center"/>
              <w:rPr>
                <w:color w:val="000000"/>
                <w:sz w:val="20"/>
                <w:szCs w:val="20"/>
              </w:rPr>
            </w:pPr>
            <w:r>
              <w:rPr>
                <w:sz w:val="20"/>
                <w:szCs w:val="20"/>
              </w:rPr>
              <w:t>11</w:t>
            </w:r>
          </w:p>
        </w:tc>
        <w:tc>
          <w:tcPr>
            <w:tcW w:w="1796"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7</w:t>
            </w:r>
          </w:p>
        </w:tc>
      </w:tr>
      <w:tr w:rsidR="00E7173E" w:rsidRPr="003458B1" w:rsidTr="00AF6BD2">
        <w:trPr>
          <w:trHeight w:val="346"/>
        </w:trPr>
        <w:tc>
          <w:tcPr>
            <w:tcW w:w="1700" w:type="dxa"/>
            <w:shd w:val="clear" w:color="auto" w:fill="auto"/>
            <w:noWrap/>
            <w:vAlign w:val="center"/>
          </w:tcPr>
          <w:p w:rsidR="00014BAF" w:rsidRPr="003458B1" w:rsidRDefault="00014BAF" w:rsidP="004F0C61">
            <w:pPr>
              <w:jc w:val="left"/>
              <w:rPr>
                <w:bCs/>
                <w:color w:val="000000"/>
                <w:sz w:val="20"/>
                <w:szCs w:val="20"/>
              </w:rPr>
            </w:pPr>
            <w:r>
              <w:rPr>
                <w:sz w:val="20"/>
                <w:szCs w:val="20"/>
              </w:rPr>
              <w:t>Large Q4–</w:t>
            </w:r>
            <w:r w:rsidRPr="003458B1">
              <w:rPr>
                <w:sz w:val="20"/>
                <w:szCs w:val="20"/>
              </w:rPr>
              <w:t>DZ</w:t>
            </w:r>
          </w:p>
        </w:tc>
        <w:tc>
          <w:tcPr>
            <w:tcW w:w="1350"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13</w:t>
            </w:r>
          </w:p>
        </w:tc>
        <w:tc>
          <w:tcPr>
            <w:tcW w:w="2610" w:type="dxa"/>
            <w:vMerge/>
            <w:shd w:val="clear" w:color="auto" w:fill="auto"/>
            <w:noWrap/>
            <w:vAlign w:val="center"/>
          </w:tcPr>
          <w:p w:rsidR="00014BAF" w:rsidRPr="003458B1" w:rsidRDefault="00014BAF" w:rsidP="004F0C61">
            <w:pPr>
              <w:jc w:val="center"/>
              <w:rPr>
                <w:color w:val="000000"/>
                <w:sz w:val="20"/>
                <w:szCs w:val="20"/>
              </w:rPr>
            </w:pPr>
          </w:p>
        </w:tc>
        <w:tc>
          <w:tcPr>
            <w:tcW w:w="1894" w:type="dxa"/>
            <w:vMerge/>
            <w:shd w:val="clear" w:color="auto" w:fill="auto"/>
            <w:noWrap/>
            <w:vAlign w:val="center"/>
          </w:tcPr>
          <w:p w:rsidR="00014BAF" w:rsidRPr="003458B1" w:rsidRDefault="00014BAF" w:rsidP="004F0C61">
            <w:pPr>
              <w:jc w:val="center"/>
              <w:rPr>
                <w:color w:val="000000"/>
                <w:sz w:val="20"/>
                <w:szCs w:val="20"/>
              </w:rPr>
            </w:pPr>
          </w:p>
        </w:tc>
        <w:tc>
          <w:tcPr>
            <w:tcW w:w="1796" w:type="dxa"/>
            <w:shd w:val="clear" w:color="auto" w:fill="auto"/>
            <w:noWrap/>
            <w:vAlign w:val="center"/>
          </w:tcPr>
          <w:p w:rsidR="00014BAF" w:rsidRPr="003458B1" w:rsidRDefault="00014BAF" w:rsidP="004F0C61">
            <w:pPr>
              <w:jc w:val="center"/>
              <w:rPr>
                <w:color w:val="000000"/>
                <w:sz w:val="20"/>
                <w:szCs w:val="20"/>
              </w:rPr>
            </w:pPr>
            <w:r w:rsidRPr="003458B1">
              <w:rPr>
                <w:sz w:val="20"/>
                <w:szCs w:val="20"/>
              </w:rPr>
              <w:t>3</w:t>
            </w:r>
          </w:p>
        </w:tc>
      </w:tr>
      <w:tr w:rsidR="00A874AC" w:rsidRPr="003458B1" w:rsidTr="00DC3249">
        <w:trPr>
          <w:trHeight w:val="346"/>
        </w:trPr>
        <w:tc>
          <w:tcPr>
            <w:tcW w:w="1700" w:type="dxa"/>
            <w:shd w:val="clear" w:color="000000" w:fill="D2EAF1"/>
            <w:noWrap/>
            <w:vAlign w:val="center"/>
          </w:tcPr>
          <w:p w:rsidR="00014BAF" w:rsidRPr="003458B1" w:rsidRDefault="00014BAF" w:rsidP="004F0C61">
            <w:pPr>
              <w:jc w:val="left"/>
              <w:rPr>
                <w:bCs/>
                <w:color w:val="000000"/>
                <w:sz w:val="20"/>
                <w:szCs w:val="20"/>
              </w:rPr>
            </w:pPr>
            <w:r>
              <w:rPr>
                <w:sz w:val="20"/>
                <w:szCs w:val="20"/>
              </w:rPr>
              <w:t>Small Q1–</w:t>
            </w:r>
            <w:r w:rsidRPr="003458B1">
              <w:rPr>
                <w:sz w:val="20"/>
                <w:szCs w:val="20"/>
              </w:rPr>
              <w:t>Q3</w:t>
            </w:r>
          </w:p>
        </w:tc>
        <w:tc>
          <w:tcPr>
            <w:tcW w:w="1350"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80</w:t>
            </w:r>
          </w:p>
        </w:tc>
        <w:tc>
          <w:tcPr>
            <w:tcW w:w="2610" w:type="dxa"/>
            <w:vMerge w:val="restart"/>
            <w:shd w:val="clear" w:color="auto" w:fill="auto"/>
            <w:noWrap/>
            <w:vAlign w:val="center"/>
          </w:tcPr>
          <w:p w:rsidR="00014BAF" w:rsidRPr="003458B1" w:rsidRDefault="00014BAF" w:rsidP="004F0C61">
            <w:pPr>
              <w:jc w:val="center"/>
              <w:rPr>
                <w:color w:val="000000"/>
                <w:sz w:val="20"/>
                <w:szCs w:val="20"/>
              </w:rPr>
            </w:pPr>
            <w:r>
              <w:rPr>
                <w:color w:val="000000"/>
                <w:sz w:val="20"/>
                <w:szCs w:val="20"/>
              </w:rPr>
              <w:t>85%/</w:t>
            </w:r>
            <w:r w:rsidRPr="003458B1">
              <w:rPr>
                <w:color w:val="000000"/>
                <w:sz w:val="20"/>
                <w:szCs w:val="20"/>
              </w:rPr>
              <w:t>15%</w:t>
            </w:r>
          </w:p>
        </w:tc>
        <w:tc>
          <w:tcPr>
            <w:tcW w:w="1894" w:type="dxa"/>
            <w:vMerge w:val="restart"/>
            <w:shd w:val="clear" w:color="auto" w:fill="auto"/>
            <w:noWrap/>
            <w:vAlign w:val="center"/>
          </w:tcPr>
          <w:p w:rsidR="00014BAF" w:rsidRPr="003458B1" w:rsidRDefault="00014BAF" w:rsidP="004F0C61">
            <w:pPr>
              <w:jc w:val="center"/>
              <w:rPr>
                <w:color w:val="000000"/>
                <w:sz w:val="20"/>
                <w:szCs w:val="20"/>
              </w:rPr>
            </w:pPr>
            <w:r>
              <w:rPr>
                <w:sz w:val="20"/>
                <w:szCs w:val="20"/>
              </w:rPr>
              <w:t>13</w:t>
            </w:r>
          </w:p>
        </w:tc>
        <w:tc>
          <w:tcPr>
            <w:tcW w:w="1796" w:type="dxa"/>
            <w:shd w:val="clear" w:color="000000" w:fill="D2EAF1"/>
            <w:noWrap/>
            <w:vAlign w:val="center"/>
          </w:tcPr>
          <w:p w:rsidR="00014BAF" w:rsidRPr="003458B1" w:rsidRDefault="00014BAF" w:rsidP="004F0C61">
            <w:pPr>
              <w:jc w:val="center"/>
              <w:rPr>
                <w:color w:val="000000"/>
                <w:sz w:val="20"/>
                <w:szCs w:val="20"/>
              </w:rPr>
            </w:pPr>
            <w:r w:rsidRPr="003458B1">
              <w:rPr>
                <w:sz w:val="20"/>
                <w:szCs w:val="20"/>
              </w:rPr>
              <w:t>8</w:t>
            </w:r>
          </w:p>
        </w:tc>
      </w:tr>
      <w:tr w:rsidR="00E7173E" w:rsidRPr="003458B1" w:rsidTr="00AF6BD2">
        <w:trPr>
          <w:trHeight w:val="346"/>
        </w:trPr>
        <w:tc>
          <w:tcPr>
            <w:tcW w:w="1700" w:type="dxa"/>
            <w:shd w:val="clear" w:color="auto" w:fill="auto"/>
            <w:noWrap/>
            <w:vAlign w:val="center"/>
          </w:tcPr>
          <w:p w:rsidR="00014BAF" w:rsidRPr="003458B1" w:rsidRDefault="00014BAF" w:rsidP="004F0C61">
            <w:pPr>
              <w:jc w:val="left"/>
              <w:rPr>
                <w:bCs/>
                <w:color w:val="000000"/>
                <w:sz w:val="20"/>
                <w:szCs w:val="20"/>
              </w:rPr>
            </w:pPr>
            <w:r>
              <w:rPr>
                <w:sz w:val="20"/>
                <w:szCs w:val="20"/>
              </w:rPr>
              <w:t>Small Q4–</w:t>
            </w:r>
            <w:r w:rsidRPr="003458B1">
              <w:rPr>
                <w:sz w:val="20"/>
                <w:szCs w:val="20"/>
              </w:rPr>
              <w:t>DZ</w:t>
            </w:r>
          </w:p>
        </w:tc>
        <w:tc>
          <w:tcPr>
            <w:tcW w:w="1350" w:type="dxa"/>
            <w:shd w:val="clear" w:color="auto" w:fill="auto"/>
            <w:noWrap/>
            <w:vAlign w:val="center"/>
          </w:tcPr>
          <w:p w:rsidR="00014BAF" w:rsidRPr="003458B1" w:rsidRDefault="00014BAF" w:rsidP="004F0C61">
            <w:pPr>
              <w:jc w:val="center"/>
              <w:rPr>
                <w:bCs/>
                <w:color w:val="000000"/>
                <w:sz w:val="20"/>
                <w:szCs w:val="20"/>
              </w:rPr>
            </w:pPr>
            <w:r w:rsidRPr="003458B1">
              <w:rPr>
                <w:sz w:val="20"/>
                <w:szCs w:val="20"/>
              </w:rPr>
              <w:t>62</w:t>
            </w:r>
          </w:p>
        </w:tc>
        <w:tc>
          <w:tcPr>
            <w:tcW w:w="2610" w:type="dxa"/>
            <w:vMerge/>
            <w:shd w:val="clear" w:color="auto" w:fill="auto"/>
            <w:noWrap/>
            <w:vAlign w:val="center"/>
          </w:tcPr>
          <w:p w:rsidR="00014BAF" w:rsidRPr="003458B1" w:rsidRDefault="00014BAF" w:rsidP="004F0C61">
            <w:pPr>
              <w:jc w:val="center"/>
              <w:rPr>
                <w:bCs/>
                <w:color w:val="000000"/>
                <w:sz w:val="20"/>
                <w:szCs w:val="20"/>
              </w:rPr>
            </w:pPr>
          </w:p>
        </w:tc>
        <w:tc>
          <w:tcPr>
            <w:tcW w:w="1894" w:type="dxa"/>
            <w:vMerge/>
            <w:shd w:val="clear" w:color="auto" w:fill="auto"/>
            <w:noWrap/>
            <w:vAlign w:val="center"/>
          </w:tcPr>
          <w:p w:rsidR="00014BAF" w:rsidRPr="003458B1" w:rsidRDefault="00014BAF" w:rsidP="004F0C61">
            <w:pPr>
              <w:jc w:val="center"/>
              <w:rPr>
                <w:bCs/>
                <w:color w:val="000000"/>
                <w:sz w:val="20"/>
                <w:szCs w:val="20"/>
              </w:rPr>
            </w:pPr>
          </w:p>
        </w:tc>
        <w:tc>
          <w:tcPr>
            <w:tcW w:w="1796" w:type="dxa"/>
            <w:shd w:val="clear" w:color="auto" w:fill="auto"/>
            <w:noWrap/>
            <w:vAlign w:val="center"/>
          </w:tcPr>
          <w:p w:rsidR="00014BAF" w:rsidRPr="003458B1" w:rsidRDefault="00014BAF" w:rsidP="004F0C61">
            <w:pPr>
              <w:jc w:val="center"/>
              <w:rPr>
                <w:bCs/>
                <w:color w:val="000000"/>
                <w:sz w:val="20"/>
                <w:szCs w:val="20"/>
              </w:rPr>
            </w:pPr>
            <w:r w:rsidRPr="003458B1">
              <w:rPr>
                <w:sz w:val="20"/>
                <w:szCs w:val="20"/>
              </w:rPr>
              <w:t>5</w:t>
            </w:r>
          </w:p>
        </w:tc>
      </w:tr>
      <w:tr w:rsidR="00A874AC" w:rsidRPr="003458B1" w:rsidTr="00DC3249">
        <w:trPr>
          <w:trHeight w:val="346"/>
        </w:trPr>
        <w:tc>
          <w:tcPr>
            <w:tcW w:w="1700" w:type="dxa"/>
            <w:shd w:val="clear" w:color="auto" w:fill="D2EAF1"/>
            <w:noWrap/>
            <w:vAlign w:val="center"/>
          </w:tcPr>
          <w:p w:rsidR="00014BAF" w:rsidRPr="003458B1" w:rsidRDefault="00014BAF" w:rsidP="004F0C61">
            <w:pPr>
              <w:jc w:val="left"/>
              <w:rPr>
                <w:b/>
                <w:bCs/>
                <w:color w:val="000000"/>
                <w:sz w:val="20"/>
                <w:szCs w:val="20"/>
              </w:rPr>
            </w:pPr>
            <w:r>
              <w:rPr>
                <w:sz w:val="20"/>
                <w:szCs w:val="20"/>
              </w:rPr>
              <w:t>Large whole-building Q1–</w:t>
            </w:r>
            <w:r w:rsidRPr="003458B1">
              <w:rPr>
                <w:sz w:val="20"/>
                <w:szCs w:val="20"/>
              </w:rPr>
              <w:t>Q3</w:t>
            </w:r>
          </w:p>
        </w:tc>
        <w:tc>
          <w:tcPr>
            <w:tcW w:w="1350" w:type="dxa"/>
            <w:shd w:val="clear" w:color="auto" w:fill="D2EAF1"/>
            <w:noWrap/>
            <w:vAlign w:val="center"/>
          </w:tcPr>
          <w:p w:rsidR="00014BAF" w:rsidRPr="003458B1" w:rsidRDefault="00014BAF" w:rsidP="004F0C61">
            <w:pPr>
              <w:jc w:val="center"/>
              <w:rPr>
                <w:b/>
                <w:bCs/>
                <w:color w:val="000000"/>
                <w:sz w:val="20"/>
                <w:szCs w:val="20"/>
              </w:rPr>
            </w:pPr>
            <w:r w:rsidRPr="003458B1">
              <w:rPr>
                <w:sz w:val="20"/>
                <w:szCs w:val="20"/>
              </w:rPr>
              <w:t>7</w:t>
            </w:r>
          </w:p>
        </w:tc>
        <w:tc>
          <w:tcPr>
            <w:tcW w:w="2610" w:type="dxa"/>
            <w:vMerge w:val="restart"/>
            <w:shd w:val="clear" w:color="auto" w:fill="auto"/>
            <w:noWrap/>
            <w:vAlign w:val="center"/>
          </w:tcPr>
          <w:p w:rsidR="00014BAF" w:rsidRPr="003458B1" w:rsidRDefault="00014BAF" w:rsidP="004F0C61">
            <w:pPr>
              <w:jc w:val="center"/>
              <w:rPr>
                <w:b/>
                <w:bCs/>
                <w:color w:val="000000"/>
                <w:sz w:val="20"/>
                <w:szCs w:val="20"/>
              </w:rPr>
            </w:pPr>
            <w:r>
              <w:rPr>
                <w:color w:val="000000"/>
                <w:sz w:val="20"/>
                <w:szCs w:val="20"/>
              </w:rPr>
              <w:t>85%/</w:t>
            </w:r>
            <w:r w:rsidRPr="003458B1">
              <w:rPr>
                <w:color w:val="000000"/>
                <w:sz w:val="20"/>
                <w:szCs w:val="20"/>
              </w:rPr>
              <w:t>15%</w:t>
            </w:r>
          </w:p>
        </w:tc>
        <w:tc>
          <w:tcPr>
            <w:tcW w:w="1894" w:type="dxa"/>
            <w:vMerge w:val="restart"/>
            <w:shd w:val="clear" w:color="auto" w:fill="auto"/>
            <w:noWrap/>
            <w:vAlign w:val="center"/>
          </w:tcPr>
          <w:p w:rsidR="00014BAF" w:rsidRPr="003458B1" w:rsidRDefault="00014BAF" w:rsidP="004F0C61">
            <w:pPr>
              <w:jc w:val="center"/>
              <w:rPr>
                <w:bCs/>
                <w:color w:val="000000"/>
                <w:sz w:val="20"/>
                <w:szCs w:val="20"/>
              </w:rPr>
            </w:pPr>
            <w:r>
              <w:rPr>
                <w:sz w:val="20"/>
                <w:szCs w:val="20"/>
              </w:rPr>
              <w:t>4</w:t>
            </w:r>
          </w:p>
        </w:tc>
        <w:tc>
          <w:tcPr>
            <w:tcW w:w="1796" w:type="dxa"/>
            <w:shd w:val="clear" w:color="auto" w:fill="D2EAF1"/>
            <w:noWrap/>
            <w:vAlign w:val="center"/>
          </w:tcPr>
          <w:p w:rsidR="00014BAF" w:rsidRPr="003458B1" w:rsidRDefault="00014BAF" w:rsidP="004F0C61">
            <w:pPr>
              <w:jc w:val="center"/>
              <w:rPr>
                <w:b/>
                <w:bCs/>
                <w:color w:val="000000"/>
                <w:sz w:val="20"/>
                <w:szCs w:val="20"/>
              </w:rPr>
            </w:pPr>
            <w:r w:rsidRPr="003458B1">
              <w:rPr>
                <w:sz w:val="20"/>
                <w:szCs w:val="20"/>
              </w:rPr>
              <w:t>5</w:t>
            </w:r>
          </w:p>
        </w:tc>
      </w:tr>
      <w:tr w:rsidR="00E7173E" w:rsidRPr="003458B1" w:rsidTr="00AF6BD2">
        <w:trPr>
          <w:trHeight w:val="346"/>
        </w:trPr>
        <w:tc>
          <w:tcPr>
            <w:tcW w:w="1700" w:type="dxa"/>
            <w:shd w:val="clear" w:color="auto" w:fill="auto"/>
            <w:noWrap/>
            <w:vAlign w:val="center"/>
          </w:tcPr>
          <w:p w:rsidR="00014BAF" w:rsidRPr="003458B1" w:rsidRDefault="00014BAF" w:rsidP="004F0C61">
            <w:pPr>
              <w:jc w:val="left"/>
              <w:rPr>
                <w:b/>
                <w:bCs/>
                <w:color w:val="000000"/>
                <w:sz w:val="20"/>
                <w:szCs w:val="20"/>
              </w:rPr>
            </w:pPr>
            <w:r>
              <w:rPr>
                <w:sz w:val="20"/>
                <w:szCs w:val="20"/>
              </w:rPr>
              <w:t>Large w</w:t>
            </w:r>
            <w:r w:rsidRPr="003458B1">
              <w:rPr>
                <w:sz w:val="20"/>
                <w:szCs w:val="20"/>
              </w:rPr>
              <w:t>hol</w:t>
            </w:r>
            <w:r>
              <w:rPr>
                <w:sz w:val="20"/>
                <w:szCs w:val="20"/>
              </w:rPr>
              <w:t>e-building Q4–</w:t>
            </w:r>
            <w:r w:rsidRPr="003458B1">
              <w:rPr>
                <w:sz w:val="20"/>
                <w:szCs w:val="20"/>
              </w:rPr>
              <w:t>DZ</w:t>
            </w:r>
          </w:p>
        </w:tc>
        <w:tc>
          <w:tcPr>
            <w:tcW w:w="1350" w:type="dxa"/>
            <w:shd w:val="clear" w:color="auto" w:fill="auto"/>
            <w:noWrap/>
            <w:vAlign w:val="center"/>
          </w:tcPr>
          <w:p w:rsidR="00014BAF" w:rsidRPr="003458B1" w:rsidRDefault="00014BAF" w:rsidP="004F0C61">
            <w:pPr>
              <w:jc w:val="center"/>
              <w:rPr>
                <w:b/>
                <w:sz w:val="20"/>
                <w:szCs w:val="20"/>
              </w:rPr>
            </w:pPr>
            <w:r w:rsidRPr="003458B1">
              <w:rPr>
                <w:sz w:val="20"/>
                <w:szCs w:val="20"/>
              </w:rPr>
              <w:t>4</w:t>
            </w:r>
          </w:p>
        </w:tc>
        <w:tc>
          <w:tcPr>
            <w:tcW w:w="2610" w:type="dxa"/>
            <w:vMerge/>
            <w:shd w:val="clear" w:color="auto" w:fill="auto"/>
            <w:noWrap/>
            <w:vAlign w:val="center"/>
          </w:tcPr>
          <w:p w:rsidR="00014BAF" w:rsidRPr="003458B1" w:rsidRDefault="00014BAF" w:rsidP="004F0C61">
            <w:pPr>
              <w:jc w:val="center"/>
              <w:rPr>
                <w:b/>
                <w:bCs/>
                <w:color w:val="000000"/>
                <w:sz w:val="20"/>
                <w:szCs w:val="20"/>
              </w:rPr>
            </w:pPr>
          </w:p>
        </w:tc>
        <w:tc>
          <w:tcPr>
            <w:tcW w:w="1894" w:type="dxa"/>
            <w:vMerge/>
            <w:shd w:val="clear" w:color="auto" w:fill="auto"/>
            <w:noWrap/>
            <w:vAlign w:val="center"/>
          </w:tcPr>
          <w:p w:rsidR="00014BAF" w:rsidRPr="003458B1" w:rsidRDefault="00014BAF" w:rsidP="004F0C61">
            <w:pPr>
              <w:jc w:val="center"/>
              <w:rPr>
                <w:sz w:val="20"/>
                <w:szCs w:val="20"/>
              </w:rPr>
            </w:pPr>
          </w:p>
        </w:tc>
        <w:tc>
          <w:tcPr>
            <w:tcW w:w="1796" w:type="dxa"/>
            <w:shd w:val="clear" w:color="auto" w:fill="auto"/>
            <w:noWrap/>
            <w:vAlign w:val="center"/>
          </w:tcPr>
          <w:p w:rsidR="00014BAF" w:rsidRPr="003458B1" w:rsidRDefault="00014BAF" w:rsidP="004F0C61">
            <w:pPr>
              <w:jc w:val="center"/>
              <w:rPr>
                <w:b/>
                <w:sz w:val="20"/>
                <w:szCs w:val="20"/>
              </w:rPr>
            </w:pPr>
            <w:r w:rsidRPr="003458B1">
              <w:rPr>
                <w:sz w:val="20"/>
                <w:szCs w:val="20"/>
              </w:rPr>
              <w:t>2</w:t>
            </w:r>
          </w:p>
        </w:tc>
      </w:tr>
      <w:tr w:rsidR="00A874AC" w:rsidRPr="003458B1" w:rsidTr="00DC3249">
        <w:trPr>
          <w:trHeight w:val="346"/>
        </w:trPr>
        <w:tc>
          <w:tcPr>
            <w:tcW w:w="1700" w:type="dxa"/>
            <w:shd w:val="clear" w:color="auto" w:fill="D2EAF1"/>
            <w:noWrap/>
            <w:vAlign w:val="center"/>
          </w:tcPr>
          <w:p w:rsidR="00014BAF" w:rsidRPr="003458B1" w:rsidRDefault="00014BAF" w:rsidP="004F0C61">
            <w:pPr>
              <w:jc w:val="left"/>
              <w:rPr>
                <w:b/>
                <w:bCs/>
                <w:color w:val="000000"/>
                <w:sz w:val="20"/>
                <w:szCs w:val="20"/>
              </w:rPr>
            </w:pPr>
            <w:r>
              <w:rPr>
                <w:sz w:val="20"/>
                <w:szCs w:val="20"/>
              </w:rPr>
              <w:t>Small w</w:t>
            </w:r>
            <w:r w:rsidRPr="003458B1">
              <w:rPr>
                <w:sz w:val="20"/>
                <w:szCs w:val="20"/>
              </w:rPr>
              <w:t>hole-</w:t>
            </w:r>
            <w:r>
              <w:rPr>
                <w:sz w:val="20"/>
                <w:szCs w:val="20"/>
              </w:rPr>
              <w:t>building Q1–</w:t>
            </w:r>
            <w:r w:rsidRPr="003458B1">
              <w:rPr>
                <w:sz w:val="20"/>
                <w:szCs w:val="20"/>
              </w:rPr>
              <w:t>Q3</w:t>
            </w:r>
          </w:p>
        </w:tc>
        <w:tc>
          <w:tcPr>
            <w:tcW w:w="1350" w:type="dxa"/>
            <w:shd w:val="clear" w:color="auto" w:fill="D2EAF1"/>
            <w:noWrap/>
            <w:vAlign w:val="center"/>
          </w:tcPr>
          <w:p w:rsidR="00014BAF" w:rsidRPr="003458B1" w:rsidRDefault="00014BAF" w:rsidP="004F0C61">
            <w:pPr>
              <w:jc w:val="center"/>
              <w:rPr>
                <w:b/>
                <w:sz w:val="20"/>
                <w:szCs w:val="20"/>
              </w:rPr>
            </w:pPr>
            <w:r w:rsidRPr="003458B1">
              <w:rPr>
                <w:sz w:val="20"/>
                <w:szCs w:val="20"/>
              </w:rPr>
              <w:t>3</w:t>
            </w:r>
          </w:p>
        </w:tc>
        <w:tc>
          <w:tcPr>
            <w:tcW w:w="2610" w:type="dxa"/>
            <w:shd w:val="clear" w:color="auto" w:fill="D2EAF1"/>
            <w:noWrap/>
            <w:vAlign w:val="center"/>
          </w:tcPr>
          <w:p w:rsidR="00014BAF" w:rsidRPr="003458B1" w:rsidRDefault="00014BAF" w:rsidP="004F0C61">
            <w:pPr>
              <w:jc w:val="center"/>
              <w:rPr>
                <w:b/>
                <w:bCs/>
                <w:color w:val="000000"/>
                <w:sz w:val="20"/>
                <w:szCs w:val="20"/>
              </w:rPr>
            </w:pPr>
            <w:r>
              <w:rPr>
                <w:color w:val="000000"/>
                <w:sz w:val="20"/>
                <w:szCs w:val="20"/>
              </w:rPr>
              <w:t>85%/</w:t>
            </w:r>
            <w:r w:rsidRPr="003458B1">
              <w:rPr>
                <w:color w:val="000000"/>
                <w:sz w:val="20"/>
                <w:szCs w:val="20"/>
              </w:rPr>
              <w:t>15%</w:t>
            </w:r>
          </w:p>
        </w:tc>
        <w:tc>
          <w:tcPr>
            <w:tcW w:w="1894" w:type="dxa"/>
            <w:shd w:val="clear" w:color="auto" w:fill="D2EAF1"/>
            <w:noWrap/>
            <w:vAlign w:val="center"/>
          </w:tcPr>
          <w:p w:rsidR="00014BAF" w:rsidRPr="003458B1" w:rsidRDefault="00014BAF" w:rsidP="004F0C61">
            <w:pPr>
              <w:jc w:val="center"/>
              <w:rPr>
                <w:sz w:val="20"/>
                <w:szCs w:val="20"/>
              </w:rPr>
            </w:pPr>
            <w:r>
              <w:rPr>
                <w:sz w:val="20"/>
                <w:szCs w:val="20"/>
              </w:rPr>
              <w:t>2</w:t>
            </w:r>
          </w:p>
        </w:tc>
        <w:tc>
          <w:tcPr>
            <w:tcW w:w="1796" w:type="dxa"/>
            <w:shd w:val="clear" w:color="auto" w:fill="D2EAF1"/>
            <w:noWrap/>
            <w:vAlign w:val="center"/>
          </w:tcPr>
          <w:p w:rsidR="00014BAF" w:rsidRPr="003458B1" w:rsidRDefault="00014BAF" w:rsidP="004F0C61">
            <w:pPr>
              <w:jc w:val="center"/>
              <w:rPr>
                <w:b/>
                <w:sz w:val="20"/>
                <w:szCs w:val="20"/>
              </w:rPr>
            </w:pPr>
            <w:r w:rsidRPr="003458B1">
              <w:rPr>
                <w:sz w:val="20"/>
                <w:szCs w:val="20"/>
              </w:rPr>
              <w:t>2</w:t>
            </w:r>
          </w:p>
        </w:tc>
      </w:tr>
      <w:tr w:rsidR="00E7173E" w:rsidRPr="003458B1" w:rsidTr="00AF6BD2">
        <w:trPr>
          <w:trHeight w:val="346"/>
        </w:trPr>
        <w:tc>
          <w:tcPr>
            <w:tcW w:w="1700" w:type="dxa"/>
            <w:shd w:val="clear" w:color="auto" w:fill="auto"/>
            <w:noWrap/>
            <w:vAlign w:val="center"/>
          </w:tcPr>
          <w:p w:rsidR="00014BAF" w:rsidRPr="003458B1" w:rsidRDefault="00014BAF" w:rsidP="004F0C61">
            <w:pPr>
              <w:jc w:val="left"/>
              <w:rPr>
                <w:b/>
                <w:bCs/>
                <w:color w:val="000000"/>
                <w:sz w:val="20"/>
                <w:szCs w:val="20"/>
              </w:rPr>
            </w:pPr>
            <w:r>
              <w:rPr>
                <w:b/>
                <w:sz w:val="20"/>
                <w:szCs w:val="20"/>
              </w:rPr>
              <w:t>Program Total</w:t>
            </w:r>
          </w:p>
        </w:tc>
        <w:tc>
          <w:tcPr>
            <w:tcW w:w="1350" w:type="dxa"/>
            <w:shd w:val="clear" w:color="auto" w:fill="auto"/>
            <w:noWrap/>
            <w:vAlign w:val="center"/>
          </w:tcPr>
          <w:p w:rsidR="00014BAF" w:rsidRPr="003458B1" w:rsidRDefault="00014BAF" w:rsidP="004F0C61">
            <w:pPr>
              <w:jc w:val="center"/>
              <w:rPr>
                <w:b/>
                <w:sz w:val="20"/>
                <w:szCs w:val="20"/>
              </w:rPr>
            </w:pPr>
            <w:r w:rsidRPr="003458B1">
              <w:rPr>
                <w:b/>
                <w:sz w:val="20"/>
                <w:szCs w:val="20"/>
              </w:rPr>
              <w:t>182</w:t>
            </w:r>
          </w:p>
        </w:tc>
        <w:tc>
          <w:tcPr>
            <w:tcW w:w="2610" w:type="dxa"/>
            <w:shd w:val="clear" w:color="auto" w:fill="auto"/>
            <w:noWrap/>
            <w:vAlign w:val="center"/>
          </w:tcPr>
          <w:p w:rsidR="00014BAF" w:rsidRPr="00217CA6" w:rsidRDefault="00014BAF" w:rsidP="004F0C61">
            <w:pPr>
              <w:jc w:val="center"/>
              <w:rPr>
                <w:b/>
                <w:bCs/>
                <w:color w:val="000000"/>
                <w:sz w:val="20"/>
                <w:szCs w:val="20"/>
              </w:rPr>
            </w:pPr>
            <w:r w:rsidRPr="00217CA6">
              <w:rPr>
                <w:b/>
                <w:color w:val="000000"/>
                <w:sz w:val="20"/>
                <w:szCs w:val="20"/>
              </w:rPr>
              <w:t>85%/15%</w:t>
            </w:r>
          </w:p>
        </w:tc>
        <w:tc>
          <w:tcPr>
            <w:tcW w:w="1894" w:type="dxa"/>
            <w:shd w:val="clear" w:color="auto" w:fill="auto"/>
            <w:noWrap/>
            <w:vAlign w:val="center"/>
          </w:tcPr>
          <w:p w:rsidR="00014BAF" w:rsidRPr="003458B1" w:rsidRDefault="00014BAF" w:rsidP="004F0C61">
            <w:pPr>
              <w:jc w:val="center"/>
              <w:rPr>
                <w:b/>
                <w:sz w:val="20"/>
                <w:szCs w:val="20"/>
              </w:rPr>
            </w:pPr>
            <w:r w:rsidRPr="003458B1">
              <w:rPr>
                <w:b/>
                <w:sz w:val="20"/>
                <w:szCs w:val="20"/>
              </w:rPr>
              <w:t>30</w:t>
            </w:r>
          </w:p>
        </w:tc>
        <w:tc>
          <w:tcPr>
            <w:tcW w:w="1796" w:type="dxa"/>
            <w:shd w:val="clear" w:color="auto" w:fill="auto"/>
            <w:noWrap/>
            <w:vAlign w:val="center"/>
          </w:tcPr>
          <w:p w:rsidR="00014BAF" w:rsidRPr="003458B1" w:rsidRDefault="00014BAF" w:rsidP="004F0C61">
            <w:pPr>
              <w:jc w:val="center"/>
              <w:rPr>
                <w:b/>
                <w:sz w:val="20"/>
                <w:szCs w:val="20"/>
              </w:rPr>
            </w:pPr>
            <w:r w:rsidRPr="003458B1">
              <w:rPr>
                <w:b/>
                <w:sz w:val="20"/>
                <w:szCs w:val="20"/>
              </w:rPr>
              <w:t>32</w:t>
            </w:r>
          </w:p>
        </w:tc>
      </w:tr>
    </w:tbl>
    <w:p w:rsidR="00014BAF" w:rsidRPr="003458B1" w:rsidRDefault="00014BAF" w:rsidP="00014BAF"/>
    <w:p w:rsidR="00014BAF" w:rsidRPr="003458B1" w:rsidRDefault="00014BAF" w:rsidP="00014BAF">
      <w:r w:rsidRPr="003458B1">
        <w:t xml:space="preserve">The achieved precision values for energy and demand are presented in </w:t>
      </w:r>
      <w:r w:rsidRPr="003458B1">
        <w:fldChar w:fldCharType="begin"/>
      </w:r>
      <w:r w:rsidRPr="003458B1">
        <w:instrText xml:space="preserve"> REF _Ref440268486 \h  \* MERGEFORMAT </w:instrText>
      </w:r>
      <w:r w:rsidRPr="003458B1">
        <w:fldChar w:fldCharType="separate"/>
      </w:r>
      <w:r w:rsidR="00DD797D" w:rsidRPr="003458B1">
        <w:t>Table A-</w:t>
      </w:r>
      <w:r w:rsidR="00DD797D">
        <w:t>117</w:t>
      </w:r>
      <w:r w:rsidRPr="003458B1">
        <w:fldChar w:fldCharType="end"/>
      </w:r>
      <w:r w:rsidRPr="003458B1">
        <w:t>.</w:t>
      </w:r>
    </w:p>
    <w:p w:rsidR="00014BAF" w:rsidRPr="003458B1" w:rsidRDefault="00014BAF" w:rsidP="00014BAF"/>
    <w:p w:rsidR="00014BAF" w:rsidRPr="003458B1" w:rsidRDefault="00014BAF" w:rsidP="00014BAF">
      <w:pPr>
        <w:pStyle w:val="Caption"/>
        <w:rPr>
          <w:bCs w:val="0"/>
        </w:rPr>
      </w:pPr>
      <w:bookmarkStart w:id="1167" w:name="_Ref440268486"/>
      <w:bookmarkStart w:id="1168" w:name="_Toc410199391"/>
      <w:bookmarkStart w:id="1169" w:name="_Toc431462373"/>
      <w:bookmarkStart w:id="1170" w:name="_Toc444269899"/>
      <w:bookmarkStart w:id="1171" w:name="_Toc472472526"/>
      <w:bookmarkStart w:id="1172" w:name="_Toc476842232"/>
      <w:r w:rsidRPr="003458B1">
        <w:t>Table A-</w:t>
      </w:r>
      <w:fldSimple w:instr=" SEQ Table_A- \* ARABIC ">
        <w:r w:rsidR="00C301D0">
          <w:rPr>
            <w:noProof/>
          </w:rPr>
          <w:t>117</w:t>
        </w:r>
      </w:fldSimple>
      <w:bookmarkEnd w:id="1167"/>
      <w:r w:rsidRPr="003458B1">
        <w:t>:</w:t>
      </w:r>
      <w:r w:rsidRPr="003458B1">
        <w:rPr>
          <w:bCs w:val="0"/>
        </w:rPr>
        <w:t xml:space="preserve"> Observed Coefficients of Variation and Relative Precisions – PECO’s SCI Program</w:t>
      </w:r>
      <w:bookmarkEnd w:id="1168"/>
      <w:bookmarkEnd w:id="1169"/>
      <w:bookmarkEnd w:id="1170"/>
      <w:bookmarkEnd w:id="1171"/>
      <w:bookmarkEnd w:id="1172"/>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520"/>
        <w:gridCol w:w="2430"/>
        <w:gridCol w:w="1440"/>
        <w:gridCol w:w="2250"/>
        <w:gridCol w:w="1710"/>
      </w:tblGrid>
      <w:tr w:rsidR="00A874AC" w:rsidRPr="003458B1" w:rsidTr="00DC3249">
        <w:trPr>
          <w:trHeight w:val="1159"/>
        </w:trPr>
        <w:tc>
          <w:tcPr>
            <w:tcW w:w="1520" w:type="dxa"/>
            <w:shd w:val="clear" w:color="000000" w:fill="448A99"/>
            <w:vAlign w:val="bottom"/>
            <w:hideMark/>
          </w:tcPr>
          <w:p w:rsidR="00014BAF" w:rsidRPr="003458B1" w:rsidRDefault="00014BAF" w:rsidP="00DC3249">
            <w:pPr>
              <w:jc w:val="left"/>
              <w:rPr>
                <w:b/>
                <w:bCs/>
                <w:color w:val="FFFFFF"/>
                <w:sz w:val="20"/>
                <w:szCs w:val="20"/>
              </w:rPr>
            </w:pPr>
            <w:r w:rsidRPr="003458B1">
              <w:rPr>
                <w:b/>
                <w:bCs/>
                <w:color w:val="FFFFFF"/>
                <w:sz w:val="20"/>
                <w:szCs w:val="20"/>
              </w:rPr>
              <w:t>Stratum</w:t>
            </w:r>
          </w:p>
        </w:tc>
        <w:tc>
          <w:tcPr>
            <w:tcW w:w="243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Energy</w:t>
            </w:r>
          </w:p>
        </w:tc>
        <w:tc>
          <w:tcPr>
            <w:tcW w:w="144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Energy</w:t>
            </w:r>
          </w:p>
        </w:tc>
        <w:tc>
          <w:tcPr>
            <w:tcW w:w="225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Demand</w:t>
            </w:r>
          </w:p>
        </w:tc>
        <w:tc>
          <w:tcPr>
            <w:tcW w:w="171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DC3249">
        <w:trPr>
          <w:trHeight w:val="488"/>
        </w:trPr>
        <w:tc>
          <w:tcPr>
            <w:tcW w:w="1520" w:type="dxa"/>
            <w:shd w:val="clear" w:color="000000" w:fill="D2EAF1"/>
            <w:noWrap/>
            <w:vAlign w:val="center"/>
          </w:tcPr>
          <w:p w:rsidR="00014BAF" w:rsidRPr="003458B1" w:rsidRDefault="00014BAF" w:rsidP="00DC3249">
            <w:pPr>
              <w:jc w:val="left"/>
              <w:rPr>
                <w:bCs/>
                <w:color w:val="000000"/>
                <w:sz w:val="20"/>
                <w:szCs w:val="20"/>
              </w:rPr>
            </w:pPr>
            <w:r>
              <w:rPr>
                <w:sz w:val="20"/>
                <w:szCs w:val="20"/>
              </w:rPr>
              <w:t>Large Q1–</w:t>
            </w:r>
            <w:r w:rsidRPr="003458B1">
              <w:rPr>
                <w:sz w:val="20"/>
                <w:szCs w:val="20"/>
              </w:rPr>
              <w:t>Q3</w:t>
            </w:r>
          </w:p>
        </w:tc>
        <w:tc>
          <w:tcPr>
            <w:tcW w:w="243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0.55</w:t>
            </w:r>
          </w:p>
        </w:tc>
        <w:tc>
          <w:tcPr>
            <w:tcW w:w="144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23%</w:t>
            </w:r>
          </w:p>
        </w:tc>
        <w:tc>
          <w:tcPr>
            <w:tcW w:w="225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0.46</w:t>
            </w:r>
          </w:p>
        </w:tc>
        <w:tc>
          <w:tcPr>
            <w:tcW w:w="171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19%</w:t>
            </w:r>
          </w:p>
        </w:tc>
      </w:tr>
      <w:tr w:rsidR="00E7173E" w:rsidRPr="003458B1" w:rsidTr="00AF6BD2">
        <w:trPr>
          <w:trHeight w:val="488"/>
        </w:trPr>
        <w:tc>
          <w:tcPr>
            <w:tcW w:w="1520" w:type="dxa"/>
            <w:shd w:val="clear" w:color="auto" w:fill="auto"/>
            <w:noWrap/>
            <w:vAlign w:val="center"/>
          </w:tcPr>
          <w:p w:rsidR="00014BAF" w:rsidRPr="003458B1" w:rsidRDefault="00014BAF" w:rsidP="00DC3249">
            <w:pPr>
              <w:jc w:val="left"/>
              <w:rPr>
                <w:bCs/>
                <w:color w:val="000000"/>
                <w:sz w:val="20"/>
                <w:szCs w:val="20"/>
              </w:rPr>
            </w:pPr>
            <w:r>
              <w:rPr>
                <w:sz w:val="20"/>
                <w:szCs w:val="20"/>
              </w:rPr>
              <w:t>Large Q4–</w:t>
            </w:r>
            <w:r w:rsidRPr="003458B1">
              <w:rPr>
                <w:sz w:val="20"/>
                <w:szCs w:val="20"/>
              </w:rPr>
              <w:t>DZ</w:t>
            </w:r>
          </w:p>
        </w:tc>
        <w:tc>
          <w:tcPr>
            <w:tcW w:w="2430"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1.03</w:t>
            </w:r>
          </w:p>
        </w:tc>
        <w:tc>
          <w:tcPr>
            <w:tcW w:w="1440"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118%</w:t>
            </w:r>
          </w:p>
        </w:tc>
        <w:tc>
          <w:tcPr>
            <w:tcW w:w="2250"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0.72</w:t>
            </w:r>
          </w:p>
        </w:tc>
        <w:tc>
          <w:tcPr>
            <w:tcW w:w="1710"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83%</w:t>
            </w:r>
          </w:p>
        </w:tc>
      </w:tr>
      <w:tr w:rsidR="00A874AC" w:rsidRPr="003458B1" w:rsidTr="00DC3249">
        <w:trPr>
          <w:trHeight w:val="488"/>
        </w:trPr>
        <w:tc>
          <w:tcPr>
            <w:tcW w:w="1520" w:type="dxa"/>
            <w:shd w:val="clear" w:color="000000" w:fill="D2EAF1"/>
            <w:noWrap/>
            <w:vAlign w:val="center"/>
          </w:tcPr>
          <w:p w:rsidR="00014BAF" w:rsidRPr="003458B1" w:rsidRDefault="00014BAF" w:rsidP="00DC3249">
            <w:pPr>
              <w:jc w:val="left"/>
              <w:rPr>
                <w:bCs/>
                <w:color w:val="000000"/>
                <w:sz w:val="20"/>
                <w:szCs w:val="20"/>
              </w:rPr>
            </w:pPr>
            <w:r>
              <w:rPr>
                <w:sz w:val="20"/>
                <w:szCs w:val="20"/>
              </w:rPr>
              <w:t>Small Q1–</w:t>
            </w:r>
            <w:r w:rsidRPr="003458B1">
              <w:rPr>
                <w:sz w:val="20"/>
                <w:szCs w:val="20"/>
              </w:rPr>
              <w:t>Q3</w:t>
            </w:r>
          </w:p>
        </w:tc>
        <w:tc>
          <w:tcPr>
            <w:tcW w:w="243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0.32</w:t>
            </w:r>
          </w:p>
        </w:tc>
        <w:tc>
          <w:tcPr>
            <w:tcW w:w="144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17%</w:t>
            </w:r>
          </w:p>
        </w:tc>
        <w:tc>
          <w:tcPr>
            <w:tcW w:w="225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0.29</w:t>
            </w:r>
          </w:p>
        </w:tc>
        <w:tc>
          <w:tcPr>
            <w:tcW w:w="171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16%</w:t>
            </w:r>
          </w:p>
        </w:tc>
      </w:tr>
      <w:tr w:rsidR="00E7173E" w:rsidRPr="003458B1" w:rsidTr="00AF6BD2">
        <w:trPr>
          <w:trHeight w:val="488"/>
        </w:trPr>
        <w:tc>
          <w:tcPr>
            <w:tcW w:w="1520" w:type="dxa"/>
            <w:shd w:val="clear" w:color="auto" w:fill="auto"/>
            <w:noWrap/>
            <w:vAlign w:val="center"/>
          </w:tcPr>
          <w:p w:rsidR="00014BAF" w:rsidRPr="003458B1" w:rsidRDefault="00014BAF" w:rsidP="00DC3249">
            <w:pPr>
              <w:jc w:val="left"/>
              <w:rPr>
                <w:b/>
                <w:bCs/>
                <w:color w:val="000000"/>
                <w:sz w:val="20"/>
                <w:szCs w:val="20"/>
              </w:rPr>
            </w:pPr>
            <w:r>
              <w:rPr>
                <w:sz w:val="20"/>
                <w:szCs w:val="20"/>
              </w:rPr>
              <w:t>Small Q4–</w:t>
            </w:r>
            <w:r w:rsidRPr="003458B1">
              <w:rPr>
                <w:sz w:val="20"/>
                <w:szCs w:val="20"/>
              </w:rPr>
              <w:t>DZ</w:t>
            </w:r>
          </w:p>
        </w:tc>
        <w:tc>
          <w:tcPr>
            <w:tcW w:w="2430" w:type="dxa"/>
            <w:shd w:val="clear" w:color="auto" w:fill="auto"/>
            <w:noWrap/>
            <w:vAlign w:val="center"/>
          </w:tcPr>
          <w:p w:rsidR="00014BAF" w:rsidRPr="003458B1" w:rsidRDefault="00014BAF" w:rsidP="004F0C61">
            <w:pPr>
              <w:jc w:val="center"/>
              <w:rPr>
                <w:bCs/>
                <w:color w:val="000000"/>
                <w:sz w:val="20"/>
                <w:szCs w:val="20"/>
              </w:rPr>
            </w:pPr>
            <w:r w:rsidRPr="003458B1">
              <w:rPr>
                <w:color w:val="000000"/>
                <w:sz w:val="20"/>
                <w:szCs w:val="20"/>
              </w:rPr>
              <w:t>0.36</w:t>
            </w:r>
          </w:p>
        </w:tc>
        <w:tc>
          <w:tcPr>
            <w:tcW w:w="1440" w:type="dxa"/>
            <w:shd w:val="clear" w:color="auto" w:fill="auto"/>
            <w:noWrap/>
            <w:vAlign w:val="center"/>
          </w:tcPr>
          <w:p w:rsidR="00014BAF" w:rsidRPr="003458B1" w:rsidRDefault="00014BAF" w:rsidP="004F0C61">
            <w:pPr>
              <w:jc w:val="center"/>
              <w:rPr>
                <w:bCs/>
                <w:color w:val="000000"/>
                <w:sz w:val="20"/>
                <w:szCs w:val="20"/>
              </w:rPr>
            </w:pPr>
            <w:r w:rsidRPr="003458B1">
              <w:rPr>
                <w:color w:val="000000"/>
                <w:sz w:val="20"/>
                <w:szCs w:val="20"/>
              </w:rPr>
              <w:t>28%</w:t>
            </w:r>
          </w:p>
        </w:tc>
        <w:tc>
          <w:tcPr>
            <w:tcW w:w="2250" w:type="dxa"/>
            <w:shd w:val="clear" w:color="auto" w:fill="auto"/>
            <w:noWrap/>
            <w:vAlign w:val="center"/>
          </w:tcPr>
          <w:p w:rsidR="00014BAF" w:rsidRPr="003458B1" w:rsidRDefault="00014BAF" w:rsidP="004F0C61">
            <w:pPr>
              <w:jc w:val="center"/>
              <w:rPr>
                <w:bCs/>
                <w:color w:val="000000"/>
                <w:sz w:val="20"/>
                <w:szCs w:val="20"/>
              </w:rPr>
            </w:pPr>
            <w:r w:rsidRPr="003458B1">
              <w:rPr>
                <w:color w:val="000000"/>
                <w:sz w:val="20"/>
                <w:szCs w:val="20"/>
              </w:rPr>
              <w:t>0.46</w:t>
            </w:r>
          </w:p>
        </w:tc>
        <w:tc>
          <w:tcPr>
            <w:tcW w:w="1710" w:type="dxa"/>
            <w:shd w:val="clear" w:color="auto" w:fill="auto"/>
            <w:noWrap/>
            <w:vAlign w:val="center"/>
          </w:tcPr>
          <w:p w:rsidR="00014BAF" w:rsidRPr="003458B1" w:rsidRDefault="00014BAF" w:rsidP="004F0C61">
            <w:pPr>
              <w:jc w:val="center"/>
              <w:rPr>
                <w:bCs/>
                <w:color w:val="000000"/>
                <w:sz w:val="20"/>
                <w:szCs w:val="20"/>
              </w:rPr>
            </w:pPr>
            <w:r w:rsidRPr="003458B1">
              <w:rPr>
                <w:color w:val="000000"/>
                <w:sz w:val="20"/>
                <w:szCs w:val="20"/>
              </w:rPr>
              <w:t>35%</w:t>
            </w:r>
          </w:p>
        </w:tc>
      </w:tr>
      <w:tr w:rsidR="00A874AC" w:rsidRPr="003458B1" w:rsidTr="00DC3249">
        <w:trPr>
          <w:trHeight w:val="488"/>
        </w:trPr>
        <w:tc>
          <w:tcPr>
            <w:tcW w:w="1520" w:type="dxa"/>
            <w:shd w:val="clear" w:color="auto" w:fill="D2EAF1"/>
            <w:noWrap/>
            <w:vAlign w:val="center"/>
          </w:tcPr>
          <w:p w:rsidR="00014BAF" w:rsidRPr="003458B1" w:rsidRDefault="00014BAF" w:rsidP="00DC3249">
            <w:pPr>
              <w:jc w:val="left"/>
              <w:rPr>
                <w:b/>
                <w:bCs/>
                <w:color w:val="000000"/>
                <w:sz w:val="20"/>
                <w:szCs w:val="20"/>
              </w:rPr>
            </w:pPr>
            <w:r>
              <w:rPr>
                <w:sz w:val="20"/>
                <w:szCs w:val="20"/>
              </w:rPr>
              <w:t>Large whole-building Q1–</w:t>
            </w:r>
            <w:r w:rsidRPr="003458B1">
              <w:rPr>
                <w:sz w:val="20"/>
                <w:szCs w:val="20"/>
              </w:rPr>
              <w:t>Q3</w:t>
            </w:r>
          </w:p>
        </w:tc>
        <w:tc>
          <w:tcPr>
            <w:tcW w:w="2430" w:type="dxa"/>
            <w:shd w:val="clear" w:color="auto" w:fill="D2EAF1"/>
            <w:noWrap/>
            <w:vAlign w:val="center"/>
          </w:tcPr>
          <w:p w:rsidR="00014BAF" w:rsidRPr="003458B1" w:rsidRDefault="00014BAF" w:rsidP="004F0C61">
            <w:pPr>
              <w:jc w:val="center"/>
              <w:rPr>
                <w:b/>
                <w:bCs/>
                <w:color w:val="000000"/>
                <w:sz w:val="20"/>
                <w:szCs w:val="20"/>
              </w:rPr>
            </w:pPr>
            <w:r w:rsidRPr="003458B1">
              <w:rPr>
                <w:color w:val="000000"/>
                <w:sz w:val="20"/>
                <w:szCs w:val="20"/>
              </w:rPr>
              <w:t>0.36</w:t>
            </w:r>
          </w:p>
        </w:tc>
        <w:tc>
          <w:tcPr>
            <w:tcW w:w="1440" w:type="dxa"/>
            <w:shd w:val="clear" w:color="auto" w:fill="D2EAF1"/>
            <w:noWrap/>
            <w:vAlign w:val="center"/>
          </w:tcPr>
          <w:p w:rsidR="00014BAF" w:rsidRPr="003458B1" w:rsidRDefault="00014BAF" w:rsidP="004F0C61">
            <w:pPr>
              <w:jc w:val="center"/>
              <w:rPr>
                <w:b/>
                <w:bCs/>
                <w:color w:val="000000"/>
                <w:sz w:val="20"/>
                <w:szCs w:val="20"/>
              </w:rPr>
            </w:pPr>
            <w:r w:rsidRPr="003458B1">
              <w:rPr>
                <w:color w:val="000000"/>
                <w:sz w:val="20"/>
                <w:szCs w:val="20"/>
              </w:rPr>
              <w:t>15%</w:t>
            </w:r>
          </w:p>
        </w:tc>
        <w:tc>
          <w:tcPr>
            <w:tcW w:w="2250" w:type="dxa"/>
            <w:shd w:val="clear" w:color="auto" w:fill="D2EAF1"/>
            <w:noWrap/>
            <w:vAlign w:val="center"/>
          </w:tcPr>
          <w:p w:rsidR="00014BAF" w:rsidRPr="003458B1" w:rsidRDefault="00014BAF" w:rsidP="004F0C61">
            <w:pPr>
              <w:jc w:val="center"/>
              <w:rPr>
                <w:b/>
                <w:bCs/>
                <w:color w:val="000000"/>
                <w:sz w:val="20"/>
                <w:szCs w:val="20"/>
              </w:rPr>
            </w:pPr>
            <w:r w:rsidRPr="003458B1">
              <w:rPr>
                <w:color w:val="000000"/>
                <w:sz w:val="20"/>
                <w:szCs w:val="20"/>
              </w:rPr>
              <w:t>0.45</w:t>
            </w:r>
          </w:p>
        </w:tc>
        <w:tc>
          <w:tcPr>
            <w:tcW w:w="1710" w:type="dxa"/>
            <w:shd w:val="clear" w:color="auto" w:fill="D2EAF1"/>
            <w:noWrap/>
            <w:vAlign w:val="center"/>
          </w:tcPr>
          <w:p w:rsidR="00014BAF" w:rsidRPr="003458B1" w:rsidRDefault="00014BAF" w:rsidP="004F0C61">
            <w:pPr>
              <w:jc w:val="center"/>
              <w:rPr>
                <w:b/>
                <w:bCs/>
                <w:color w:val="000000"/>
                <w:sz w:val="20"/>
                <w:szCs w:val="20"/>
              </w:rPr>
            </w:pPr>
            <w:r w:rsidRPr="003458B1">
              <w:rPr>
                <w:color w:val="000000"/>
                <w:sz w:val="20"/>
                <w:szCs w:val="20"/>
              </w:rPr>
              <w:t>19%</w:t>
            </w:r>
          </w:p>
        </w:tc>
      </w:tr>
      <w:tr w:rsidR="00E7173E" w:rsidRPr="003458B1" w:rsidTr="00AF6BD2">
        <w:trPr>
          <w:trHeight w:val="488"/>
        </w:trPr>
        <w:tc>
          <w:tcPr>
            <w:tcW w:w="1520" w:type="dxa"/>
            <w:shd w:val="clear" w:color="auto" w:fill="auto"/>
            <w:noWrap/>
            <w:vAlign w:val="center"/>
          </w:tcPr>
          <w:p w:rsidR="00014BAF" w:rsidRPr="003458B1" w:rsidRDefault="00014BAF" w:rsidP="00DC3249">
            <w:pPr>
              <w:jc w:val="left"/>
              <w:rPr>
                <w:b/>
                <w:bCs/>
                <w:color w:val="000000"/>
                <w:sz w:val="20"/>
                <w:szCs w:val="20"/>
              </w:rPr>
            </w:pPr>
            <w:r>
              <w:rPr>
                <w:sz w:val="20"/>
                <w:szCs w:val="20"/>
              </w:rPr>
              <w:t>Large w</w:t>
            </w:r>
            <w:r w:rsidRPr="003458B1">
              <w:rPr>
                <w:sz w:val="20"/>
                <w:szCs w:val="20"/>
              </w:rPr>
              <w:t>hol</w:t>
            </w:r>
            <w:r>
              <w:rPr>
                <w:sz w:val="20"/>
                <w:szCs w:val="20"/>
              </w:rPr>
              <w:t>e-building Q4–</w:t>
            </w:r>
            <w:r w:rsidRPr="003458B1">
              <w:rPr>
                <w:sz w:val="20"/>
                <w:szCs w:val="20"/>
              </w:rPr>
              <w:t>DZ</w:t>
            </w:r>
          </w:p>
        </w:tc>
        <w:tc>
          <w:tcPr>
            <w:tcW w:w="2430" w:type="dxa"/>
            <w:shd w:val="clear" w:color="auto" w:fill="auto"/>
            <w:noWrap/>
            <w:vAlign w:val="center"/>
          </w:tcPr>
          <w:p w:rsidR="00014BAF" w:rsidRPr="003458B1" w:rsidRDefault="00014BAF" w:rsidP="004F0C61">
            <w:pPr>
              <w:jc w:val="center"/>
              <w:rPr>
                <w:b/>
                <w:bCs/>
                <w:color w:val="000000"/>
                <w:sz w:val="20"/>
                <w:szCs w:val="20"/>
              </w:rPr>
            </w:pPr>
            <w:r w:rsidRPr="003458B1">
              <w:rPr>
                <w:color w:val="000000"/>
                <w:sz w:val="20"/>
                <w:szCs w:val="20"/>
              </w:rPr>
              <w:t>0.76</w:t>
            </w:r>
          </w:p>
        </w:tc>
        <w:tc>
          <w:tcPr>
            <w:tcW w:w="1440" w:type="dxa"/>
            <w:shd w:val="clear" w:color="auto" w:fill="auto"/>
            <w:noWrap/>
            <w:vAlign w:val="center"/>
          </w:tcPr>
          <w:p w:rsidR="00014BAF" w:rsidRPr="003458B1" w:rsidRDefault="00014BAF" w:rsidP="004F0C61">
            <w:pPr>
              <w:jc w:val="center"/>
              <w:rPr>
                <w:b/>
                <w:bCs/>
                <w:color w:val="000000"/>
                <w:sz w:val="20"/>
                <w:szCs w:val="20"/>
              </w:rPr>
            </w:pPr>
            <w:r w:rsidRPr="003458B1">
              <w:rPr>
                <w:color w:val="000000"/>
                <w:sz w:val="20"/>
                <w:szCs w:val="20"/>
              </w:rPr>
              <w:t>159%</w:t>
            </w:r>
          </w:p>
        </w:tc>
        <w:tc>
          <w:tcPr>
            <w:tcW w:w="2250" w:type="dxa"/>
            <w:shd w:val="clear" w:color="auto" w:fill="auto"/>
            <w:noWrap/>
            <w:vAlign w:val="center"/>
          </w:tcPr>
          <w:p w:rsidR="00014BAF" w:rsidRPr="003458B1" w:rsidRDefault="00014BAF" w:rsidP="004F0C61">
            <w:pPr>
              <w:jc w:val="center"/>
              <w:rPr>
                <w:b/>
                <w:bCs/>
                <w:color w:val="000000"/>
                <w:sz w:val="20"/>
                <w:szCs w:val="20"/>
              </w:rPr>
            </w:pPr>
            <w:r w:rsidRPr="003458B1">
              <w:rPr>
                <w:color w:val="000000"/>
                <w:sz w:val="20"/>
                <w:szCs w:val="20"/>
              </w:rPr>
              <w:t>0.61</w:t>
            </w:r>
          </w:p>
        </w:tc>
        <w:tc>
          <w:tcPr>
            <w:tcW w:w="1710" w:type="dxa"/>
            <w:shd w:val="clear" w:color="auto" w:fill="auto"/>
            <w:noWrap/>
            <w:vAlign w:val="center"/>
          </w:tcPr>
          <w:p w:rsidR="00014BAF" w:rsidRPr="003458B1" w:rsidRDefault="00014BAF" w:rsidP="004F0C61">
            <w:pPr>
              <w:jc w:val="center"/>
              <w:rPr>
                <w:b/>
                <w:bCs/>
                <w:color w:val="000000"/>
                <w:sz w:val="20"/>
                <w:szCs w:val="20"/>
              </w:rPr>
            </w:pPr>
            <w:r w:rsidRPr="003458B1">
              <w:rPr>
                <w:color w:val="000000"/>
                <w:sz w:val="20"/>
                <w:szCs w:val="20"/>
              </w:rPr>
              <w:t>127%</w:t>
            </w:r>
          </w:p>
        </w:tc>
      </w:tr>
      <w:tr w:rsidR="00A874AC" w:rsidRPr="003458B1" w:rsidTr="00DC3249">
        <w:trPr>
          <w:trHeight w:val="488"/>
        </w:trPr>
        <w:tc>
          <w:tcPr>
            <w:tcW w:w="1520" w:type="dxa"/>
            <w:shd w:val="clear" w:color="auto" w:fill="D2EAF1"/>
            <w:noWrap/>
            <w:vAlign w:val="center"/>
          </w:tcPr>
          <w:p w:rsidR="00014BAF" w:rsidRPr="003458B1" w:rsidRDefault="00014BAF" w:rsidP="00DC3249">
            <w:pPr>
              <w:jc w:val="left"/>
              <w:rPr>
                <w:b/>
                <w:bCs/>
                <w:color w:val="000000"/>
                <w:sz w:val="20"/>
                <w:szCs w:val="20"/>
              </w:rPr>
            </w:pPr>
            <w:r>
              <w:rPr>
                <w:sz w:val="20"/>
                <w:szCs w:val="20"/>
              </w:rPr>
              <w:t>Small w</w:t>
            </w:r>
            <w:r w:rsidRPr="003458B1">
              <w:rPr>
                <w:sz w:val="20"/>
                <w:szCs w:val="20"/>
              </w:rPr>
              <w:t>hole-</w:t>
            </w:r>
            <w:r>
              <w:rPr>
                <w:sz w:val="20"/>
                <w:szCs w:val="20"/>
              </w:rPr>
              <w:t>building Q1–</w:t>
            </w:r>
            <w:r w:rsidRPr="003458B1">
              <w:rPr>
                <w:sz w:val="20"/>
                <w:szCs w:val="20"/>
              </w:rPr>
              <w:t>Q3</w:t>
            </w:r>
          </w:p>
        </w:tc>
        <w:tc>
          <w:tcPr>
            <w:tcW w:w="2430" w:type="dxa"/>
            <w:shd w:val="clear" w:color="auto" w:fill="D2EAF1"/>
            <w:noWrap/>
            <w:vAlign w:val="center"/>
          </w:tcPr>
          <w:p w:rsidR="00014BAF" w:rsidRPr="003458B1" w:rsidRDefault="00014BAF" w:rsidP="004F0C61">
            <w:pPr>
              <w:jc w:val="center"/>
              <w:rPr>
                <w:b/>
                <w:bCs/>
                <w:color w:val="000000"/>
                <w:sz w:val="20"/>
                <w:szCs w:val="20"/>
              </w:rPr>
            </w:pPr>
            <w:r w:rsidRPr="003458B1">
              <w:rPr>
                <w:sz w:val="20"/>
                <w:szCs w:val="20"/>
              </w:rPr>
              <w:t>0.00</w:t>
            </w:r>
          </w:p>
        </w:tc>
        <w:tc>
          <w:tcPr>
            <w:tcW w:w="1440" w:type="dxa"/>
            <w:shd w:val="clear" w:color="auto" w:fill="D2EAF1"/>
            <w:noWrap/>
            <w:vAlign w:val="center"/>
          </w:tcPr>
          <w:p w:rsidR="00014BAF" w:rsidRPr="003458B1" w:rsidRDefault="00014BAF" w:rsidP="004F0C61">
            <w:pPr>
              <w:jc w:val="center"/>
              <w:rPr>
                <w:b/>
                <w:bCs/>
                <w:color w:val="000000"/>
                <w:sz w:val="20"/>
                <w:szCs w:val="20"/>
              </w:rPr>
            </w:pPr>
            <w:r w:rsidRPr="003458B1">
              <w:rPr>
                <w:sz w:val="20"/>
                <w:szCs w:val="20"/>
              </w:rPr>
              <w:t>0%</w:t>
            </w:r>
          </w:p>
        </w:tc>
        <w:tc>
          <w:tcPr>
            <w:tcW w:w="2250" w:type="dxa"/>
            <w:shd w:val="clear" w:color="auto" w:fill="D2EAF1"/>
            <w:noWrap/>
            <w:vAlign w:val="center"/>
          </w:tcPr>
          <w:p w:rsidR="00014BAF" w:rsidRPr="003458B1" w:rsidRDefault="00014BAF" w:rsidP="004F0C61">
            <w:pPr>
              <w:jc w:val="center"/>
              <w:rPr>
                <w:b/>
                <w:bCs/>
                <w:color w:val="000000"/>
                <w:sz w:val="20"/>
                <w:szCs w:val="20"/>
              </w:rPr>
            </w:pPr>
            <w:r w:rsidRPr="003458B1">
              <w:rPr>
                <w:sz w:val="20"/>
                <w:szCs w:val="20"/>
              </w:rPr>
              <w:t>0.46</w:t>
            </w:r>
          </w:p>
        </w:tc>
        <w:tc>
          <w:tcPr>
            <w:tcW w:w="1710" w:type="dxa"/>
            <w:shd w:val="clear" w:color="auto" w:fill="D2EAF1"/>
            <w:noWrap/>
            <w:vAlign w:val="center"/>
          </w:tcPr>
          <w:p w:rsidR="00014BAF" w:rsidRPr="003458B1" w:rsidRDefault="00014BAF" w:rsidP="004F0C61">
            <w:pPr>
              <w:jc w:val="center"/>
              <w:rPr>
                <w:b/>
                <w:bCs/>
                <w:color w:val="000000"/>
                <w:sz w:val="20"/>
                <w:szCs w:val="20"/>
              </w:rPr>
            </w:pPr>
            <w:r w:rsidRPr="003458B1">
              <w:rPr>
                <w:sz w:val="20"/>
                <w:szCs w:val="20"/>
              </w:rPr>
              <w:t>78%</w:t>
            </w:r>
          </w:p>
        </w:tc>
      </w:tr>
      <w:tr w:rsidR="00E7173E" w:rsidRPr="003458B1" w:rsidTr="00AF6BD2">
        <w:trPr>
          <w:trHeight w:val="489"/>
        </w:trPr>
        <w:tc>
          <w:tcPr>
            <w:tcW w:w="1520" w:type="dxa"/>
            <w:shd w:val="clear" w:color="auto" w:fill="auto"/>
            <w:noWrap/>
            <w:vAlign w:val="center"/>
          </w:tcPr>
          <w:p w:rsidR="00014BAF" w:rsidRPr="003458B1" w:rsidRDefault="00014BAF" w:rsidP="00DC3249">
            <w:pPr>
              <w:jc w:val="left"/>
              <w:rPr>
                <w:b/>
                <w:bCs/>
                <w:color w:val="000000"/>
                <w:sz w:val="20"/>
                <w:szCs w:val="20"/>
              </w:rPr>
            </w:pPr>
            <w:r>
              <w:rPr>
                <w:b/>
                <w:sz w:val="20"/>
                <w:szCs w:val="20"/>
              </w:rPr>
              <w:t>Program Total</w:t>
            </w:r>
          </w:p>
        </w:tc>
        <w:tc>
          <w:tcPr>
            <w:tcW w:w="2430" w:type="dxa"/>
            <w:shd w:val="clear" w:color="auto" w:fill="auto"/>
            <w:noWrap/>
            <w:vAlign w:val="center"/>
          </w:tcPr>
          <w:p w:rsidR="00014BAF" w:rsidRPr="003458B1" w:rsidRDefault="00014BAF" w:rsidP="004F0C61">
            <w:pPr>
              <w:jc w:val="center"/>
              <w:rPr>
                <w:b/>
                <w:bCs/>
                <w:color w:val="000000"/>
                <w:sz w:val="20"/>
                <w:szCs w:val="20"/>
              </w:rPr>
            </w:pPr>
          </w:p>
        </w:tc>
        <w:tc>
          <w:tcPr>
            <w:tcW w:w="1440" w:type="dxa"/>
            <w:shd w:val="clear" w:color="auto" w:fill="auto"/>
            <w:noWrap/>
            <w:vAlign w:val="center"/>
          </w:tcPr>
          <w:p w:rsidR="00014BAF" w:rsidRPr="003458B1" w:rsidRDefault="00014BAF" w:rsidP="004F0C61">
            <w:pPr>
              <w:jc w:val="center"/>
              <w:rPr>
                <w:b/>
                <w:bCs/>
                <w:color w:val="000000"/>
                <w:sz w:val="20"/>
                <w:szCs w:val="20"/>
              </w:rPr>
            </w:pPr>
            <w:r w:rsidRPr="003458B1">
              <w:rPr>
                <w:b/>
                <w:sz w:val="20"/>
                <w:szCs w:val="20"/>
              </w:rPr>
              <w:t>29%</w:t>
            </w:r>
          </w:p>
        </w:tc>
        <w:tc>
          <w:tcPr>
            <w:tcW w:w="2250" w:type="dxa"/>
            <w:shd w:val="clear" w:color="auto" w:fill="auto"/>
            <w:noWrap/>
            <w:vAlign w:val="center"/>
          </w:tcPr>
          <w:p w:rsidR="00014BAF" w:rsidRPr="003458B1" w:rsidRDefault="00014BAF" w:rsidP="004F0C61">
            <w:pPr>
              <w:rPr>
                <w:b/>
                <w:bCs/>
                <w:color w:val="000000"/>
                <w:sz w:val="20"/>
                <w:szCs w:val="20"/>
              </w:rPr>
            </w:pPr>
          </w:p>
        </w:tc>
        <w:tc>
          <w:tcPr>
            <w:tcW w:w="1710" w:type="dxa"/>
            <w:shd w:val="clear" w:color="auto" w:fill="auto"/>
            <w:noWrap/>
            <w:vAlign w:val="center"/>
          </w:tcPr>
          <w:p w:rsidR="00014BAF" w:rsidRPr="003458B1" w:rsidRDefault="00014BAF" w:rsidP="004F0C61">
            <w:pPr>
              <w:jc w:val="center"/>
              <w:rPr>
                <w:b/>
                <w:bCs/>
                <w:color w:val="000000"/>
                <w:sz w:val="20"/>
                <w:szCs w:val="20"/>
              </w:rPr>
            </w:pPr>
            <w:r w:rsidRPr="003458B1">
              <w:rPr>
                <w:b/>
                <w:sz w:val="20"/>
                <w:szCs w:val="20"/>
              </w:rPr>
              <w:t>22%</w:t>
            </w:r>
          </w:p>
        </w:tc>
      </w:tr>
    </w:tbl>
    <w:p w:rsidR="00014BAF" w:rsidRPr="003458B1" w:rsidRDefault="00014BAF" w:rsidP="00014BAF"/>
    <w:p w:rsidR="00014BAF" w:rsidRDefault="00014BAF" w:rsidP="00014BAF">
      <w:r w:rsidRPr="003458B1">
        <w:t xml:space="preserve">The adjustments made to the sampling strategy were not sufficient </w:t>
      </w:r>
      <w:r>
        <w:t>to</w:t>
      </w:r>
      <w:r w:rsidRPr="003458B1">
        <w:t xml:space="preserve"> exceed the SWE Team requirements of confidence</w:t>
      </w:r>
      <w:r>
        <w:t>/</w:t>
      </w:r>
      <w:r w:rsidRPr="003458B1">
        <w:t xml:space="preserve">precision levels as specified in the Evaluation Framework. </w:t>
      </w:r>
      <w:r>
        <w:t xml:space="preserve">The SWE inquired with PECO as to what the results would be if the evaluator had adhered to the original sampling strategy and was provided the alternative coefficients of variation and relative precision seen in </w:t>
      </w:r>
      <w:r>
        <w:rPr>
          <w:highlight w:val="yellow"/>
        </w:rPr>
        <w:fldChar w:fldCharType="begin"/>
      </w:r>
      <w:r>
        <w:instrText xml:space="preserve"> REF _Ref472469935 \h </w:instrText>
      </w:r>
      <w:r>
        <w:rPr>
          <w:highlight w:val="yellow"/>
        </w:rPr>
      </w:r>
      <w:r>
        <w:rPr>
          <w:highlight w:val="yellow"/>
        </w:rPr>
        <w:fldChar w:fldCharType="separate"/>
      </w:r>
      <w:r w:rsidR="00A874AC" w:rsidRPr="003458B1">
        <w:t>Table A-</w:t>
      </w:r>
      <w:r w:rsidR="00A874AC">
        <w:rPr>
          <w:noProof/>
        </w:rPr>
        <w:t>118</w:t>
      </w:r>
      <w:r>
        <w:rPr>
          <w:highlight w:val="yellow"/>
        </w:rPr>
        <w:fldChar w:fldCharType="end"/>
      </w:r>
      <w:r>
        <w:t>. The SWE approves the modified sampling approach used by PECO.</w:t>
      </w:r>
    </w:p>
    <w:p w:rsidR="00014BAF" w:rsidRDefault="00014BAF" w:rsidP="00014BAF"/>
    <w:p w:rsidR="00014BAF" w:rsidRPr="003458B1" w:rsidRDefault="00014BAF" w:rsidP="00014BAF">
      <w:pPr>
        <w:pStyle w:val="Caption"/>
        <w:rPr>
          <w:bCs w:val="0"/>
        </w:rPr>
      </w:pPr>
      <w:bookmarkStart w:id="1173" w:name="_Ref472469935"/>
      <w:bookmarkStart w:id="1174" w:name="_Toc472472527"/>
      <w:bookmarkStart w:id="1175" w:name="_Toc476842233"/>
      <w:r w:rsidRPr="003458B1">
        <w:t>Table A-</w:t>
      </w:r>
      <w:fldSimple w:instr=" SEQ Table_A- \* ARABIC ">
        <w:r w:rsidR="00C301D0">
          <w:rPr>
            <w:noProof/>
          </w:rPr>
          <w:t>118</w:t>
        </w:r>
      </w:fldSimple>
      <w:bookmarkEnd w:id="1173"/>
      <w:r w:rsidRPr="003458B1">
        <w:t>:</w:t>
      </w:r>
      <w:r w:rsidRPr="003458B1">
        <w:rPr>
          <w:bCs w:val="0"/>
        </w:rPr>
        <w:t xml:space="preserve"> Observed Coefficients of Variation and Relative Precisions – PECO’s SCI Program</w:t>
      </w:r>
      <w:r>
        <w:rPr>
          <w:bCs w:val="0"/>
        </w:rPr>
        <w:t xml:space="preserve"> (Original Sampling Approach, Results Not Used)</w:t>
      </w:r>
      <w:bookmarkEnd w:id="1174"/>
      <w:bookmarkEnd w:id="1175"/>
    </w:p>
    <w:tbl>
      <w:tblPr>
        <w:tblW w:w="944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00"/>
        <w:gridCol w:w="2250"/>
        <w:gridCol w:w="1440"/>
        <w:gridCol w:w="2250"/>
        <w:gridCol w:w="1800"/>
      </w:tblGrid>
      <w:tr w:rsidR="00A874AC" w:rsidRPr="003458B1" w:rsidTr="00DC3249">
        <w:trPr>
          <w:trHeight w:val="844"/>
        </w:trPr>
        <w:tc>
          <w:tcPr>
            <w:tcW w:w="1700" w:type="dxa"/>
            <w:shd w:val="clear" w:color="000000" w:fill="448A99"/>
            <w:vAlign w:val="bottom"/>
            <w:hideMark/>
          </w:tcPr>
          <w:p w:rsidR="00014BAF" w:rsidRPr="003458B1" w:rsidRDefault="00014BAF" w:rsidP="004F0C61">
            <w:pPr>
              <w:rPr>
                <w:b/>
                <w:bCs/>
                <w:color w:val="FFFFFF"/>
                <w:sz w:val="20"/>
                <w:szCs w:val="20"/>
              </w:rPr>
            </w:pPr>
            <w:r w:rsidRPr="003458B1">
              <w:rPr>
                <w:b/>
                <w:bCs/>
                <w:color w:val="FFFFFF"/>
                <w:sz w:val="20"/>
                <w:szCs w:val="20"/>
              </w:rPr>
              <w:t>Stratum</w:t>
            </w:r>
          </w:p>
        </w:tc>
        <w:tc>
          <w:tcPr>
            <w:tcW w:w="225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Energy</w:t>
            </w:r>
          </w:p>
        </w:tc>
        <w:tc>
          <w:tcPr>
            <w:tcW w:w="144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Energy</w:t>
            </w:r>
          </w:p>
        </w:tc>
        <w:tc>
          <w:tcPr>
            <w:tcW w:w="225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Demand</w:t>
            </w:r>
          </w:p>
        </w:tc>
        <w:tc>
          <w:tcPr>
            <w:tcW w:w="180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DC3249">
        <w:trPr>
          <w:trHeight w:val="488"/>
        </w:trPr>
        <w:tc>
          <w:tcPr>
            <w:tcW w:w="1700" w:type="dxa"/>
            <w:shd w:val="clear" w:color="000000" w:fill="D2EAF1"/>
            <w:noWrap/>
            <w:vAlign w:val="center"/>
          </w:tcPr>
          <w:p w:rsidR="00014BAF" w:rsidRPr="00686E7B" w:rsidRDefault="00014BAF" w:rsidP="004F0C61">
            <w:pPr>
              <w:jc w:val="left"/>
              <w:rPr>
                <w:bCs/>
                <w:color w:val="000000"/>
                <w:sz w:val="20"/>
                <w:szCs w:val="20"/>
              </w:rPr>
            </w:pPr>
            <w:r w:rsidRPr="00686E7B">
              <w:rPr>
                <w:sz w:val="20"/>
                <w:szCs w:val="20"/>
              </w:rPr>
              <w:t>Large</w:t>
            </w:r>
          </w:p>
        </w:tc>
        <w:tc>
          <w:tcPr>
            <w:tcW w:w="2250" w:type="dxa"/>
            <w:shd w:val="clear" w:color="000000" w:fill="D2EAF1"/>
            <w:noWrap/>
            <w:vAlign w:val="center"/>
          </w:tcPr>
          <w:p w:rsidR="00014BAF" w:rsidRPr="00686E7B" w:rsidRDefault="00014BAF" w:rsidP="004F0C61">
            <w:pPr>
              <w:jc w:val="center"/>
              <w:rPr>
                <w:color w:val="000000"/>
                <w:sz w:val="20"/>
                <w:szCs w:val="20"/>
              </w:rPr>
            </w:pPr>
            <w:r w:rsidRPr="00686E7B">
              <w:rPr>
                <w:sz w:val="20"/>
                <w:szCs w:val="20"/>
              </w:rPr>
              <w:t>1.07</w:t>
            </w:r>
          </w:p>
        </w:tc>
        <w:tc>
          <w:tcPr>
            <w:tcW w:w="1440" w:type="dxa"/>
            <w:shd w:val="clear" w:color="000000" w:fill="D2EAF1"/>
            <w:noWrap/>
            <w:vAlign w:val="center"/>
          </w:tcPr>
          <w:p w:rsidR="00014BAF" w:rsidRPr="00686E7B" w:rsidRDefault="00014BAF" w:rsidP="004F0C61">
            <w:pPr>
              <w:jc w:val="center"/>
              <w:rPr>
                <w:color w:val="000000"/>
                <w:sz w:val="20"/>
                <w:szCs w:val="20"/>
              </w:rPr>
            </w:pPr>
            <w:r w:rsidRPr="00686E7B">
              <w:rPr>
                <w:sz w:val="20"/>
                <w:szCs w:val="20"/>
              </w:rPr>
              <w:t>42%</w:t>
            </w:r>
          </w:p>
        </w:tc>
        <w:tc>
          <w:tcPr>
            <w:tcW w:w="2250" w:type="dxa"/>
            <w:shd w:val="clear" w:color="000000" w:fill="D2EAF1"/>
            <w:noWrap/>
            <w:vAlign w:val="center"/>
          </w:tcPr>
          <w:p w:rsidR="00014BAF" w:rsidRPr="00686E7B" w:rsidRDefault="00014BAF" w:rsidP="004F0C61">
            <w:pPr>
              <w:jc w:val="center"/>
              <w:rPr>
                <w:color w:val="000000"/>
                <w:sz w:val="20"/>
                <w:szCs w:val="20"/>
              </w:rPr>
            </w:pPr>
            <w:r w:rsidRPr="00686E7B">
              <w:rPr>
                <w:sz w:val="20"/>
                <w:szCs w:val="20"/>
              </w:rPr>
              <w:t>0.91</w:t>
            </w:r>
          </w:p>
        </w:tc>
        <w:tc>
          <w:tcPr>
            <w:tcW w:w="1800" w:type="dxa"/>
            <w:shd w:val="clear" w:color="000000" w:fill="D2EAF1"/>
            <w:noWrap/>
            <w:vAlign w:val="center"/>
          </w:tcPr>
          <w:p w:rsidR="00014BAF" w:rsidRPr="00686E7B" w:rsidRDefault="00014BAF" w:rsidP="004F0C61">
            <w:pPr>
              <w:jc w:val="center"/>
              <w:rPr>
                <w:color w:val="000000"/>
                <w:sz w:val="20"/>
                <w:szCs w:val="20"/>
              </w:rPr>
            </w:pPr>
            <w:r w:rsidRPr="00686E7B">
              <w:rPr>
                <w:sz w:val="20"/>
                <w:szCs w:val="20"/>
              </w:rPr>
              <w:t>36%</w:t>
            </w:r>
          </w:p>
        </w:tc>
      </w:tr>
      <w:tr w:rsidR="00E7173E" w:rsidRPr="003458B1" w:rsidTr="00AF6BD2">
        <w:trPr>
          <w:trHeight w:val="488"/>
        </w:trPr>
        <w:tc>
          <w:tcPr>
            <w:tcW w:w="1700" w:type="dxa"/>
            <w:shd w:val="clear" w:color="auto" w:fill="auto"/>
            <w:noWrap/>
            <w:vAlign w:val="center"/>
          </w:tcPr>
          <w:p w:rsidR="00014BAF" w:rsidRPr="00686E7B" w:rsidRDefault="00014BAF" w:rsidP="004F0C61">
            <w:pPr>
              <w:jc w:val="left"/>
              <w:rPr>
                <w:bCs/>
                <w:color w:val="000000"/>
                <w:sz w:val="20"/>
                <w:szCs w:val="20"/>
              </w:rPr>
            </w:pPr>
            <w:r w:rsidRPr="00686E7B">
              <w:rPr>
                <w:sz w:val="20"/>
                <w:szCs w:val="20"/>
              </w:rPr>
              <w:t>Small</w:t>
            </w:r>
          </w:p>
        </w:tc>
        <w:tc>
          <w:tcPr>
            <w:tcW w:w="2250" w:type="dxa"/>
            <w:shd w:val="clear" w:color="auto" w:fill="auto"/>
            <w:noWrap/>
            <w:vAlign w:val="center"/>
          </w:tcPr>
          <w:p w:rsidR="00014BAF" w:rsidRPr="00686E7B" w:rsidRDefault="00014BAF" w:rsidP="004F0C61">
            <w:pPr>
              <w:jc w:val="center"/>
              <w:rPr>
                <w:color w:val="000000"/>
                <w:sz w:val="20"/>
                <w:szCs w:val="20"/>
              </w:rPr>
            </w:pPr>
            <w:r w:rsidRPr="00686E7B">
              <w:rPr>
                <w:sz w:val="20"/>
                <w:szCs w:val="20"/>
              </w:rPr>
              <w:t>0.36</w:t>
            </w:r>
          </w:p>
        </w:tc>
        <w:tc>
          <w:tcPr>
            <w:tcW w:w="1440" w:type="dxa"/>
            <w:shd w:val="clear" w:color="auto" w:fill="auto"/>
            <w:noWrap/>
            <w:vAlign w:val="center"/>
          </w:tcPr>
          <w:p w:rsidR="00014BAF" w:rsidRPr="00686E7B" w:rsidRDefault="00014BAF" w:rsidP="004F0C61">
            <w:pPr>
              <w:jc w:val="center"/>
              <w:rPr>
                <w:color w:val="000000"/>
                <w:sz w:val="20"/>
                <w:szCs w:val="20"/>
              </w:rPr>
            </w:pPr>
            <w:r w:rsidRPr="00686E7B">
              <w:rPr>
                <w:sz w:val="20"/>
                <w:szCs w:val="20"/>
              </w:rPr>
              <w:t>15%</w:t>
            </w:r>
          </w:p>
        </w:tc>
        <w:tc>
          <w:tcPr>
            <w:tcW w:w="2250" w:type="dxa"/>
            <w:shd w:val="clear" w:color="auto" w:fill="auto"/>
            <w:noWrap/>
            <w:vAlign w:val="center"/>
          </w:tcPr>
          <w:p w:rsidR="00014BAF" w:rsidRPr="00686E7B" w:rsidRDefault="00014BAF" w:rsidP="004F0C61">
            <w:pPr>
              <w:jc w:val="center"/>
              <w:rPr>
                <w:color w:val="000000"/>
                <w:sz w:val="20"/>
                <w:szCs w:val="20"/>
              </w:rPr>
            </w:pPr>
            <w:r w:rsidRPr="00686E7B">
              <w:rPr>
                <w:sz w:val="20"/>
                <w:szCs w:val="20"/>
              </w:rPr>
              <w:t>0.48</w:t>
            </w:r>
          </w:p>
        </w:tc>
        <w:tc>
          <w:tcPr>
            <w:tcW w:w="1800" w:type="dxa"/>
            <w:shd w:val="clear" w:color="auto" w:fill="auto"/>
            <w:noWrap/>
            <w:vAlign w:val="center"/>
          </w:tcPr>
          <w:p w:rsidR="00014BAF" w:rsidRPr="00686E7B" w:rsidRDefault="00014BAF" w:rsidP="004F0C61">
            <w:pPr>
              <w:jc w:val="center"/>
              <w:rPr>
                <w:color w:val="000000"/>
                <w:sz w:val="20"/>
                <w:szCs w:val="20"/>
              </w:rPr>
            </w:pPr>
            <w:r w:rsidRPr="00686E7B">
              <w:rPr>
                <w:sz w:val="20"/>
                <w:szCs w:val="20"/>
              </w:rPr>
              <w:t>19%</w:t>
            </w:r>
          </w:p>
        </w:tc>
      </w:tr>
      <w:tr w:rsidR="00A874AC" w:rsidRPr="003458B1" w:rsidTr="00DC3249">
        <w:trPr>
          <w:trHeight w:val="488"/>
        </w:trPr>
        <w:tc>
          <w:tcPr>
            <w:tcW w:w="1700" w:type="dxa"/>
            <w:shd w:val="clear" w:color="000000" w:fill="D2EAF1"/>
            <w:noWrap/>
            <w:vAlign w:val="center"/>
          </w:tcPr>
          <w:p w:rsidR="00014BAF" w:rsidRPr="00686E7B" w:rsidRDefault="00014BAF" w:rsidP="004F0C61">
            <w:pPr>
              <w:jc w:val="left"/>
              <w:rPr>
                <w:bCs/>
                <w:color w:val="000000"/>
                <w:sz w:val="20"/>
                <w:szCs w:val="20"/>
              </w:rPr>
            </w:pPr>
            <w:r w:rsidRPr="00686E7B">
              <w:rPr>
                <w:sz w:val="20"/>
                <w:szCs w:val="20"/>
              </w:rPr>
              <w:t>Large Whole Building</w:t>
            </w:r>
          </w:p>
        </w:tc>
        <w:tc>
          <w:tcPr>
            <w:tcW w:w="2250" w:type="dxa"/>
            <w:shd w:val="clear" w:color="000000" w:fill="D2EAF1"/>
            <w:noWrap/>
            <w:vAlign w:val="center"/>
          </w:tcPr>
          <w:p w:rsidR="00014BAF" w:rsidRPr="00686E7B" w:rsidRDefault="00014BAF" w:rsidP="004F0C61">
            <w:pPr>
              <w:jc w:val="center"/>
              <w:rPr>
                <w:color w:val="000000"/>
                <w:sz w:val="20"/>
                <w:szCs w:val="20"/>
              </w:rPr>
            </w:pPr>
            <w:r w:rsidRPr="00686E7B">
              <w:rPr>
                <w:sz w:val="20"/>
                <w:szCs w:val="20"/>
              </w:rPr>
              <w:t>0.51</w:t>
            </w:r>
          </w:p>
        </w:tc>
        <w:tc>
          <w:tcPr>
            <w:tcW w:w="1440" w:type="dxa"/>
            <w:shd w:val="clear" w:color="000000" w:fill="D2EAF1"/>
            <w:noWrap/>
            <w:vAlign w:val="center"/>
          </w:tcPr>
          <w:p w:rsidR="00014BAF" w:rsidRPr="00686E7B" w:rsidRDefault="00014BAF" w:rsidP="004F0C61">
            <w:pPr>
              <w:jc w:val="center"/>
              <w:rPr>
                <w:color w:val="000000"/>
                <w:sz w:val="20"/>
                <w:szCs w:val="20"/>
              </w:rPr>
            </w:pPr>
            <w:r w:rsidRPr="00686E7B">
              <w:rPr>
                <w:sz w:val="20"/>
                <w:szCs w:val="20"/>
              </w:rPr>
              <w:t>19%</w:t>
            </w:r>
          </w:p>
        </w:tc>
        <w:tc>
          <w:tcPr>
            <w:tcW w:w="2250" w:type="dxa"/>
            <w:shd w:val="clear" w:color="000000" w:fill="D2EAF1"/>
            <w:noWrap/>
            <w:vAlign w:val="center"/>
          </w:tcPr>
          <w:p w:rsidR="00014BAF" w:rsidRPr="00686E7B" w:rsidRDefault="00014BAF" w:rsidP="004F0C61">
            <w:pPr>
              <w:jc w:val="center"/>
              <w:rPr>
                <w:color w:val="000000"/>
                <w:sz w:val="20"/>
                <w:szCs w:val="20"/>
              </w:rPr>
            </w:pPr>
            <w:r w:rsidRPr="00686E7B">
              <w:rPr>
                <w:sz w:val="20"/>
                <w:szCs w:val="20"/>
              </w:rPr>
              <w:t>0.56</w:t>
            </w:r>
          </w:p>
        </w:tc>
        <w:tc>
          <w:tcPr>
            <w:tcW w:w="1800" w:type="dxa"/>
            <w:shd w:val="clear" w:color="000000" w:fill="D2EAF1"/>
            <w:noWrap/>
            <w:vAlign w:val="center"/>
          </w:tcPr>
          <w:p w:rsidR="00014BAF" w:rsidRPr="00686E7B" w:rsidRDefault="00014BAF" w:rsidP="004F0C61">
            <w:pPr>
              <w:jc w:val="center"/>
              <w:rPr>
                <w:color w:val="000000"/>
                <w:sz w:val="20"/>
                <w:szCs w:val="20"/>
              </w:rPr>
            </w:pPr>
            <w:r w:rsidRPr="00686E7B">
              <w:rPr>
                <w:sz w:val="20"/>
                <w:szCs w:val="20"/>
              </w:rPr>
              <w:t>21%</w:t>
            </w:r>
          </w:p>
        </w:tc>
      </w:tr>
      <w:tr w:rsidR="00E7173E" w:rsidRPr="003458B1" w:rsidTr="00AF6BD2">
        <w:trPr>
          <w:trHeight w:val="488"/>
        </w:trPr>
        <w:tc>
          <w:tcPr>
            <w:tcW w:w="1700" w:type="dxa"/>
            <w:shd w:val="clear" w:color="auto" w:fill="auto"/>
            <w:noWrap/>
            <w:vAlign w:val="center"/>
          </w:tcPr>
          <w:p w:rsidR="00014BAF" w:rsidRPr="00686E7B" w:rsidRDefault="00014BAF" w:rsidP="004F0C61">
            <w:pPr>
              <w:jc w:val="left"/>
              <w:rPr>
                <w:b/>
                <w:bCs/>
                <w:color w:val="000000"/>
                <w:sz w:val="20"/>
                <w:szCs w:val="20"/>
              </w:rPr>
            </w:pPr>
            <w:r w:rsidRPr="00686E7B">
              <w:rPr>
                <w:sz w:val="20"/>
                <w:szCs w:val="20"/>
              </w:rPr>
              <w:t>Small Whole Building</w:t>
            </w:r>
          </w:p>
        </w:tc>
        <w:tc>
          <w:tcPr>
            <w:tcW w:w="2250" w:type="dxa"/>
            <w:shd w:val="clear" w:color="auto" w:fill="auto"/>
            <w:noWrap/>
            <w:vAlign w:val="center"/>
          </w:tcPr>
          <w:p w:rsidR="00014BAF" w:rsidRPr="00686E7B" w:rsidRDefault="00014BAF" w:rsidP="004F0C61">
            <w:pPr>
              <w:jc w:val="center"/>
              <w:rPr>
                <w:bCs/>
                <w:color w:val="000000"/>
                <w:sz w:val="20"/>
                <w:szCs w:val="20"/>
              </w:rPr>
            </w:pPr>
            <w:r w:rsidRPr="00686E7B">
              <w:rPr>
                <w:sz w:val="20"/>
                <w:szCs w:val="20"/>
              </w:rPr>
              <w:t>0.00</w:t>
            </w:r>
          </w:p>
        </w:tc>
        <w:tc>
          <w:tcPr>
            <w:tcW w:w="1440" w:type="dxa"/>
            <w:shd w:val="clear" w:color="auto" w:fill="auto"/>
            <w:noWrap/>
            <w:vAlign w:val="center"/>
          </w:tcPr>
          <w:p w:rsidR="00014BAF" w:rsidRPr="00686E7B" w:rsidRDefault="00014BAF" w:rsidP="004F0C61">
            <w:pPr>
              <w:jc w:val="center"/>
              <w:rPr>
                <w:bCs/>
                <w:color w:val="000000"/>
                <w:sz w:val="20"/>
                <w:szCs w:val="20"/>
              </w:rPr>
            </w:pPr>
            <w:r w:rsidRPr="00686E7B">
              <w:rPr>
                <w:sz w:val="20"/>
                <w:szCs w:val="20"/>
              </w:rPr>
              <w:t>0%</w:t>
            </w:r>
          </w:p>
        </w:tc>
        <w:tc>
          <w:tcPr>
            <w:tcW w:w="2250" w:type="dxa"/>
            <w:shd w:val="clear" w:color="auto" w:fill="auto"/>
            <w:noWrap/>
            <w:vAlign w:val="center"/>
          </w:tcPr>
          <w:p w:rsidR="00014BAF" w:rsidRPr="00686E7B" w:rsidRDefault="00014BAF" w:rsidP="004F0C61">
            <w:pPr>
              <w:jc w:val="center"/>
              <w:rPr>
                <w:bCs/>
                <w:color w:val="000000"/>
                <w:sz w:val="20"/>
                <w:szCs w:val="20"/>
              </w:rPr>
            </w:pPr>
            <w:r w:rsidRPr="00686E7B">
              <w:rPr>
                <w:sz w:val="20"/>
                <w:szCs w:val="20"/>
              </w:rPr>
              <w:t>0.46</w:t>
            </w:r>
          </w:p>
        </w:tc>
        <w:tc>
          <w:tcPr>
            <w:tcW w:w="1800" w:type="dxa"/>
            <w:shd w:val="clear" w:color="auto" w:fill="auto"/>
            <w:noWrap/>
            <w:vAlign w:val="center"/>
          </w:tcPr>
          <w:p w:rsidR="00014BAF" w:rsidRPr="00686E7B" w:rsidRDefault="00014BAF" w:rsidP="004F0C61">
            <w:pPr>
              <w:jc w:val="center"/>
              <w:rPr>
                <w:bCs/>
                <w:color w:val="000000"/>
                <w:sz w:val="20"/>
                <w:szCs w:val="20"/>
              </w:rPr>
            </w:pPr>
            <w:r w:rsidRPr="00686E7B">
              <w:rPr>
                <w:sz w:val="20"/>
                <w:szCs w:val="20"/>
              </w:rPr>
              <w:t>78%</w:t>
            </w:r>
          </w:p>
        </w:tc>
      </w:tr>
      <w:tr w:rsidR="00A874AC" w:rsidRPr="003458B1" w:rsidTr="00DC3249">
        <w:trPr>
          <w:trHeight w:val="489"/>
        </w:trPr>
        <w:tc>
          <w:tcPr>
            <w:tcW w:w="1700" w:type="dxa"/>
            <w:shd w:val="clear" w:color="auto" w:fill="D2EAF1"/>
            <w:noWrap/>
            <w:vAlign w:val="center"/>
          </w:tcPr>
          <w:p w:rsidR="00014BAF" w:rsidRPr="003458B1" w:rsidRDefault="00014BAF" w:rsidP="004F0C61">
            <w:pPr>
              <w:rPr>
                <w:b/>
                <w:bCs/>
                <w:color w:val="000000"/>
                <w:sz w:val="20"/>
                <w:szCs w:val="20"/>
              </w:rPr>
            </w:pPr>
            <w:r>
              <w:rPr>
                <w:b/>
                <w:sz w:val="20"/>
                <w:szCs w:val="20"/>
              </w:rPr>
              <w:t>Program Total</w:t>
            </w:r>
          </w:p>
        </w:tc>
        <w:tc>
          <w:tcPr>
            <w:tcW w:w="2250" w:type="dxa"/>
            <w:shd w:val="clear" w:color="auto" w:fill="D2EAF1"/>
            <w:noWrap/>
            <w:vAlign w:val="center"/>
          </w:tcPr>
          <w:p w:rsidR="00014BAF" w:rsidRPr="00686E7B" w:rsidRDefault="00014BAF" w:rsidP="004F0C61">
            <w:pPr>
              <w:jc w:val="center"/>
              <w:rPr>
                <w:b/>
                <w:bCs/>
                <w:color w:val="000000"/>
                <w:sz w:val="20"/>
                <w:szCs w:val="20"/>
              </w:rPr>
            </w:pPr>
          </w:p>
        </w:tc>
        <w:tc>
          <w:tcPr>
            <w:tcW w:w="1440" w:type="dxa"/>
            <w:shd w:val="clear" w:color="auto" w:fill="D2EAF1"/>
            <w:noWrap/>
            <w:vAlign w:val="center"/>
          </w:tcPr>
          <w:p w:rsidR="00014BAF" w:rsidRPr="00686E7B" w:rsidRDefault="00014BAF" w:rsidP="004F0C61">
            <w:pPr>
              <w:jc w:val="center"/>
              <w:rPr>
                <w:b/>
                <w:bCs/>
                <w:color w:val="000000"/>
                <w:sz w:val="20"/>
                <w:szCs w:val="20"/>
              </w:rPr>
            </w:pPr>
            <w:r w:rsidRPr="00686E7B">
              <w:rPr>
                <w:b/>
                <w:sz w:val="20"/>
                <w:szCs w:val="20"/>
              </w:rPr>
              <w:t>20%</w:t>
            </w:r>
          </w:p>
        </w:tc>
        <w:tc>
          <w:tcPr>
            <w:tcW w:w="2250" w:type="dxa"/>
            <w:shd w:val="clear" w:color="auto" w:fill="D2EAF1"/>
            <w:noWrap/>
            <w:vAlign w:val="center"/>
          </w:tcPr>
          <w:p w:rsidR="00014BAF" w:rsidRPr="00686E7B" w:rsidRDefault="00014BAF" w:rsidP="004F0C61">
            <w:pPr>
              <w:jc w:val="center"/>
              <w:rPr>
                <w:b/>
                <w:bCs/>
                <w:color w:val="000000"/>
                <w:sz w:val="20"/>
                <w:szCs w:val="20"/>
              </w:rPr>
            </w:pPr>
          </w:p>
        </w:tc>
        <w:tc>
          <w:tcPr>
            <w:tcW w:w="1800" w:type="dxa"/>
            <w:shd w:val="clear" w:color="auto" w:fill="D2EAF1"/>
            <w:noWrap/>
            <w:vAlign w:val="center"/>
          </w:tcPr>
          <w:p w:rsidR="00014BAF" w:rsidRPr="00686E7B" w:rsidRDefault="00014BAF" w:rsidP="004F0C61">
            <w:pPr>
              <w:jc w:val="center"/>
              <w:rPr>
                <w:b/>
                <w:bCs/>
                <w:color w:val="000000"/>
                <w:sz w:val="20"/>
                <w:szCs w:val="20"/>
              </w:rPr>
            </w:pPr>
            <w:r w:rsidRPr="00686E7B">
              <w:rPr>
                <w:b/>
                <w:sz w:val="20"/>
                <w:szCs w:val="20"/>
              </w:rPr>
              <w:t>19%</w:t>
            </w:r>
          </w:p>
        </w:tc>
      </w:tr>
    </w:tbl>
    <w:p w:rsidR="00014BAF" w:rsidRDefault="00014BAF" w:rsidP="00014BAF"/>
    <w:p w:rsidR="00014BAF" w:rsidRPr="003458B1" w:rsidRDefault="00014BAF" w:rsidP="00014BAF">
      <w:pPr>
        <w:pStyle w:val="AppendixAHeading5"/>
      </w:pPr>
      <w:r w:rsidRPr="003458B1">
        <w:t>Smart Business Solutions Program</w:t>
      </w:r>
    </w:p>
    <w:p w:rsidR="00014BAF" w:rsidRPr="003458B1" w:rsidRDefault="00014BAF" w:rsidP="00014BAF">
      <w:r w:rsidRPr="003458B1">
        <w:t>The SBS Program was launched in PY5. The participant sample design is at the project level. The method used was stratified random sampling, with samples being pulled from the population of participants in the PY6 tr</w:t>
      </w:r>
      <w:r w:rsidR="009845FB">
        <w:t>acking database. There were</w:t>
      </w:r>
      <w:r w:rsidRPr="003458B1">
        <w:t xml:space="preserve"> fewer projects in PY7 due to cost overruns in PY6, and </w:t>
      </w:r>
      <w:r>
        <w:t>about</w:t>
      </w:r>
      <w:r w:rsidRPr="003458B1">
        <w:t xml:space="preserve"> 3% were GNI projects. The lower project count allowed for stratification of only two groups instead of the four used in prior years. The details of the sampling strategy for this program are shown in </w:t>
      </w:r>
      <w:r w:rsidRPr="003458B1">
        <w:fldChar w:fldCharType="begin"/>
      </w:r>
      <w:r w:rsidRPr="003458B1">
        <w:instrText xml:space="preserve"> REF _Ref440268542 \h  \* MERGEFORMAT </w:instrText>
      </w:r>
      <w:r w:rsidRPr="003458B1">
        <w:fldChar w:fldCharType="separate"/>
      </w:r>
      <w:r w:rsidR="00DD797D" w:rsidRPr="003458B1">
        <w:t>Table A-</w:t>
      </w:r>
      <w:r w:rsidR="00DD797D">
        <w:t>119</w:t>
      </w:r>
      <w:r w:rsidRPr="003458B1">
        <w:fldChar w:fldCharType="end"/>
      </w:r>
      <w:r w:rsidRPr="003458B1">
        <w:t>.</w:t>
      </w:r>
    </w:p>
    <w:p w:rsidR="00014BAF" w:rsidRPr="003458B1" w:rsidRDefault="00014BAF" w:rsidP="00014BAF"/>
    <w:p w:rsidR="00014BAF" w:rsidRPr="003458B1" w:rsidRDefault="00014BAF" w:rsidP="00014BAF">
      <w:pPr>
        <w:pStyle w:val="Caption"/>
        <w:rPr>
          <w:bCs w:val="0"/>
        </w:rPr>
      </w:pPr>
      <w:bookmarkStart w:id="1176" w:name="_Ref440268542"/>
      <w:bookmarkStart w:id="1177" w:name="_Toc410199392"/>
      <w:bookmarkStart w:id="1178" w:name="_Toc431462374"/>
      <w:bookmarkStart w:id="1179" w:name="_Toc444269900"/>
      <w:bookmarkStart w:id="1180" w:name="_Toc472472528"/>
      <w:bookmarkStart w:id="1181" w:name="_Toc476842234"/>
      <w:r w:rsidRPr="003458B1">
        <w:t>Table A-</w:t>
      </w:r>
      <w:fldSimple w:instr=" SEQ Table_A- \* ARABIC ">
        <w:r w:rsidR="00C301D0">
          <w:rPr>
            <w:noProof/>
          </w:rPr>
          <w:t>119</w:t>
        </w:r>
      </w:fldSimple>
      <w:bookmarkEnd w:id="1176"/>
      <w:r w:rsidRPr="003458B1">
        <w:t>:</w:t>
      </w:r>
      <w:r w:rsidRPr="003458B1">
        <w:rPr>
          <w:bCs w:val="0"/>
        </w:rPr>
        <w:t xml:space="preserve"> PECO’s PY7 Sampling Strategy – SBS Program</w:t>
      </w:r>
      <w:bookmarkEnd w:id="1177"/>
      <w:bookmarkEnd w:id="1178"/>
      <w:bookmarkEnd w:id="1179"/>
      <w:bookmarkEnd w:id="1180"/>
      <w:bookmarkEnd w:id="1181"/>
    </w:p>
    <w:tbl>
      <w:tblPr>
        <w:tblW w:w="9362"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00"/>
        <w:gridCol w:w="1260"/>
        <w:gridCol w:w="2610"/>
        <w:gridCol w:w="1867"/>
        <w:gridCol w:w="1925"/>
      </w:tblGrid>
      <w:tr w:rsidR="00A874AC" w:rsidRPr="003458B1" w:rsidTr="00DC3249">
        <w:trPr>
          <w:trHeight w:val="457"/>
        </w:trPr>
        <w:tc>
          <w:tcPr>
            <w:tcW w:w="1700" w:type="dxa"/>
            <w:shd w:val="clear" w:color="000000" w:fill="448A99"/>
            <w:vAlign w:val="bottom"/>
            <w:hideMark/>
          </w:tcPr>
          <w:p w:rsidR="00014BAF" w:rsidRPr="003458B1" w:rsidRDefault="00014BAF" w:rsidP="004F0C61">
            <w:pPr>
              <w:jc w:val="left"/>
              <w:rPr>
                <w:b/>
                <w:bCs/>
                <w:color w:val="FFFFFF"/>
                <w:sz w:val="20"/>
                <w:szCs w:val="20"/>
              </w:rPr>
            </w:pPr>
            <w:r w:rsidRPr="003458B1">
              <w:rPr>
                <w:b/>
                <w:bCs/>
                <w:color w:val="FFFFFF"/>
                <w:sz w:val="20"/>
                <w:szCs w:val="20"/>
              </w:rPr>
              <w:t>Stratum</w:t>
            </w:r>
          </w:p>
        </w:tc>
        <w:tc>
          <w:tcPr>
            <w:tcW w:w="126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Population</w:t>
            </w:r>
          </w:p>
        </w:tc>
        <w:tc>
          <w:tcPr>
            <w:tcW w:w="261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Target Levels of Confidence &amp; Precision</w:t>
            </w:r>
          </w:p>
        </w:tc>
        <w:tc>
          <w:tcPr>
            <w:tcW w:w="1867"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Target Sample Size</w:t>
            </w:r>
          </w:p>
        </w:tc>
        <w:tc>
          <w:tcPr>
            <w:tcW w:w="1925"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Achieved Sample Size</w:t>
            </w:r>
          </w:p>
        </w:tc>
      </w:tr>
      <w:tr w:rsidR="00A874AC" w:rsidRPr="003458B1" w:rsidTr="00DC3249">
        <w:trPr>
          <w:trHeight w:val="346"/>
        </w:trPr>
        <w:tc>
          <w:tcPr>
            <w:tcW w:w="1700" w:type="dxa"/>
            <w:shd w:val="clear" w:color="000000" w:fill="D2EAF1"/>
            <w:noWrap/>
            <w:vAlign w:val="center"/>
          </w:tcPr>
          <w:p w:rsidR="00014BAF" w:rsidRPr="003458B1" w:rsidRDefault="00014BAF" w:rsidP="004F0C61">
            <w:pPr>
              <w:jc w:val="left"/>
              <w:rPr>
                <w:bCs/>
                <w:color w:val="000000"/>
                <w:sz w:val="20"/>
                <w:szCs w:val="20"/>
              </w:rPr>
            </w:pPr>
            <w:r w:rsidRPr="003458B1">
              <w:rPr>
                <w:bCs/>
                <w:color w:val="000000"/>
                <w:sz w:val="20"/>
                <w:szCs w:val="20"/>
              </w:rPr>
              <w:t>Large</w:t>
            </w:r>
          </w:p>
        </w:tc>
        <w:tc>
          <w:tcPr>
            <w:tcW w:w="126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42</w:t>
            </w:r>
          </w:p>
        </w:tc>
        <w:tc>
          <w:tcPr>
            <w:tcW w:w="2610" w:type="dxa"/>
            <w:shd w:val="clear" w:color="000000" w:fill="D2EAF1"/>
            <w:noWrap/>
            <w:vAlign w:val="center"/>
          </w:tcPr>
          <w:p w:rsidR="00014BAF" w:rsidRPr="003458B1" w:rsidRDefault="00014BAF" w:rsidP="004F0C61">
            <w:pPr>
              <w:jc w:val="center"/>
              <w:rPr>
                <w:color w:val="000000"/>
                <w:sz w:val="20"/>
                <w:szCs w:val="20"/>
              </w:rPr>
            </w:pPr>
            <w:r>
              <w:rPr>
                <w:color w:val="000000"/>
                <w:sz w:val="20"/>
                <w:szCs w:val="20"/>
              </w:rPr>
              <w:t>85%/</w:t>
            </w:r>
            <w:r w:rsidRPr="003458B1">
              <w:rPr>
                <w:color w:val="000000"/>
                <w:sz w:val="20"/>
                <w:szCs w:val="20"/>
              </w:rPr>
              <w:t>60%</w:t>
            </w:r>
          </w:p>
        </w:tc>
        <w:tc>
          <w:tcPr>
            <w:tcW w:w="1867"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11</w:t>
            </w:r>
          </w:p>
        </w:tc>
        <w:tc>
          <w:tcPr>
            <w:tcW w:w="1925"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7</w:t>
            </w:r>
          </w:p>
        </w:tc>
      </w:tr>
      <w:tr w:rsidR="00E7173E" w:rsidRPr="003458B1" w:rsidTr="00AF6BD2">
        <w:trPr>
          <w:trHeight w:val="346"/>
        </w:trPr>
        <w:tc>
          <w:tcPr>
            <w:tcW w:w="1700" w:type="dxa"/>
            <w:shd w:val="clear" w:color="auto" w:fill="auto"/>
            <w:noWrap/>
            <w:vAlign w:val="center"/>
          </w:tcPr>
          <w:p w:rsidR="00014BAF" w:rsidRPr="003458B1" w:rsidRDefault="00014BAF" w:rsidP="004F0C61">
            <w:pPr>
              <w:jc w:val="left"/>
              <w:rPr>
                <w:bCs/>
                <w:color w:val="000000"/>
                <w:sz w:val="20"/>
                <w:szCs w:val="20"/>
              </w:rPr>
            </w:pPr>
            <w:r w:rsidRPr="003458B1">
              <w:rPr>
                <w:bCs/>
                <w:color w:val="000000"/>
                <w:sz w:val="20"/>
                <w:szCs w:val="20"/>
              </w:rPr>
              <w:t>Small</w:t>
            </w:r>
          </w:p>
        </w:tc>
        <w:tc>
          <w:tcPr>
            <w:tcW w:w="1260"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147</w:t>
            </w:r>
          </w:p>
        </w:tc>
        <w:tc>
          <w:tcPr>
            <w:tcW w:w="2610" w:type="dxa"/>
            <w:shd w:val="clear" w:color="auto" w:fill="auto"/>
            <w:noWrap/>
            <w:vAlign w:val="center"/>
          </w:tcPr>
          <w:p w:rsidR="00014BAF" w:rsidRPr="003458B1" w:rsidRDefault="00014BAF" w:rsidP="004F0C61">
            <w:pPr>
              <w:jc w:val="center"/>
              <w:rPr>
                <w:color w:val="000000"/>
                <w:sz w:val="20"/>
                <w:szCs w:val="20"/>
              </w:rPr>
            </w:pPr>
            <w:r>
              <w:rPr>
                <w:color w:val="000000"/>
                <w:sz w:val="20"/>
                <w:szCs w:val="20"/>
              </w:rPr>
              <w:t>85%/</w:t>
            </w:r>
            <w:r w:rsidRPr="003458B1">
              <w:rPr>
                <w:color w:val="000000"/>
                <w:sz w:val="20"/>
                <w:szCs w:val="20"/>
              </w:rPr>
              <w:t>60%</w:t>
            </w:r>
          </w:p>
        </w:tc>
        <w:tc>
          <w:tcPr>
            <w:tcW w:w="1867"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5</w:t>
            </w:r>
          </w:p>
        </w:tc>
        <w:tc>
          <w:tcPr>
            <w:tcW w:w="1925"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6</w:t>
            </w:r>
          </w:p>
        </w:tc>
      </w:tr>
      <w:tr w:rsidR="00A874AC" w:rsidRPr="003458B1" w:rsidTr="00DC3249">
        <w:trPr>
          <w:trHeight w:val="346"/>
        </w:trPr>
        <w:tc>
          <w:tcPr>
            <w:tcW w:w="1700" w:type="dxa"/>
            <w:shd w:val="clear" w:color="000000" w:fill="D2EAF1"/>
            <w:noWrap/>
            <w:vAlign w:val="center"/>
          </w:tcPr>
          <w:p w:rsidR="00014BAF" w:rsidRPr="003458B1" w:rsidRDefault="00014BAF" w:rsidP="004F0C61">
            <w:pPr>
              <w:jc w:val="left"/>
              <w:rPr>
                <w:b/>
                <w:bCs/>
                <w:color w:val="000000"/>
                <w:sz w:val="20"/>
                <w:szCs w:val="20"/>
              </w:rPr>
            </w:pPr>
            <w:r w:rsidRPr="003458B1">
              <w:rPr>
                <w:b/>
                <w:bCs/>
                <w:color w:val="000000"/>
                <w:sz w:val="20"/>
                <w:szCs w:val="20"/>
              </w:rPr>
              <w:t>Program Total</w:t>
            </w:r>
          </w:p>
        </w:tc>
        <w:tc>
          <w:tcPr>
            <w:tcW w:w="1260" w:type="dxa"/>
            <w:shd w:val="clear" w:color="000000" w:fill="D2EAF1"/>
            <w:noWrap/>
            <w:vAlign w:val="center"/>
          </w:tcPr>
          <w:p w:rsidR="00014BAF" w:rsidRPr="003458B1" w:rsidRDefault="00014BAF" w:rsidP="004F0C61">
            <w:pPr>
              <w:jc w:val="center"/>
              <w:rPr>
                <w:b/>
                <w:bCs/>
                <w:color w:val="000000"/>
                <w:sz w:val="20"/>
                <w:szCs w:val="20"/>
              </w:rPr>
            </w:pPr>
            <w:r w:rsidRPr="003458B1">
              <w:rPr>
                <w:b/>
                <w:color w:val="000000"/>
                <w:sz w:val="20"/>
                <w:szCs w:val="20"/>
              </w:rPr>
              <w:t>189</w:t>
            </w:r>
          </w:p>
        </w:tc>
        <w:tc>
          <w:tcPr>
            <w:tcW w:w="2610" w:type="dxa"/>
            <w:shd w:val="clear" w:color="000000" w:fill="D2EAF1"/>
            <w:noWrap/>
            <w:vAlign w:val="center"/>
          </w:tcPr>
          <w:p w:rsidR="00014BAF" w:rsidRPr="003458B1" w:rsidRDefault="00014BAF" w:rsidP="004F0C61">
            <w:pPr>
              <w:jc w:val="center"/>
              <w:rPr>
                <w:b/>
                <w:bCs/>
                <w:color w:val="000000"/>
                <w:sz w:val="20"/>
                <w:szCs w:val="20"/>
              </w:rPr>
            </w:pPr>
            <w:r>
              <w:rPr>
                <w:b/>
                <w:bCs/>
                <w:color w:val="000000"/>
                <w:sz w:val="20"/>
                <w:szCs w:val="20"/>
              </w:rPr>
              <w:t>85%/</w:t>
            </w:r>
            <w:r w:rsidRPr="003458B1">
              <w:rPr>
                <w:b/>
                <w:bCs/>
                <w:color w:val="000000"/>
                <w:sz w:val="20"/>
                <w:szCs w:val="20"/>
              </w:rPr>
              <w:t>15%</w:t>
            </w:r>
          </w:p>
        </w:tc>
        <w:tc>
          <w:tcPr>
            <w:tcW w:w="1867" w:type="dxa"/>
            <w:shd w:val="clear" w:color="000000" w:fill="D2EAF1"/>
            <w:noWrap/>
            <w:vAlign w:val="center"/>
          </w:tcPr>
          <w:p w:rsidR="00014BAF" w:rsidRPr="003458B1" w:rsidRDefault="00014BAF" w:rsidP="004F0C61">
            <w:pPr>
              <w:jc w:val="center"/>
              <w:rPr>
                <w:b/>
                <w:bCs/>
                <w:color w:val="000000"/>
                <w:sz w:val="20"/>
                <w:szCs w:val="20"/>
              </w:rPr>
            </w:pPr>
            <w:r w:rsidRPr="003458B1">
              <w:rPr>
                <w:b/>
                <w:color w:val="000000"/>
                <w:sz w:val="20"/>
                <w:szCs w:val="20"/>
              </w:rPr>
              <w:t>16</w:t>
            </w:r>
          </w:p>
        </w:tc>
        <w:tc>
          <w:tcPr>
            <w:tcW w:w="1925" w:type="dxa"/>
            <w:shd w:val="clear" w:color="000000" w:fill="D2EAF1"/>
            <w:noWrap/>
            <w:vAlign w:val="center"/>
          </w:tcPr>
          <w:p w:rsidR="00014BAF" w:rsidRPr="003458B1" w:rsidRDefault="00014BAF" w:rsidP="004F0C61">
            <w:pPr>
              <w:jc w:val="center"/>
              <w:rPr>
                <w:b/>
                <w:bCs/>
                <w:color w:val="000000"/>
                <w:sz w:val="20"/>
                <w:szCs w:val="20"/>
              </w:rPr>
            </w:pPr>
            <w:r w:rsidRPr="003458B1">
              <w:rPr>
                <w:b/>
                <w:color w:val="000000"/>
                <w:sz w:val="20"/>
                <w:szCs w:val="20"/>
              </w:rPr>
              <w:t>13</w:t>
            </w:r>
          </w:p>
        </w:tc>
      </w:tr>
    </w:tbl>
    <w:p w:rsidR="00014BAF" w:rsidRPr="003458B1" w:rsidRDefault="00014BAF" w:rsidP="00014BAF"/>
    <w:p w:rsidR="00014BAF" w:rsidRPr="003458B1" w:rsidRDefault="00014BAF" w:rsidP="00014BAF">
      <w:r w:rsidRPr="003458B1">
        <w:t xml:space="preserve">The achieved precision values for energy and demand are presented in </w:t>
      </w:r>
      <w:r w:rsidRPr="003458B1">
        <w:fldChar w:fldCharType="begin"/>
      </w:r>
      <w:r w:rsidRPr="003458B1">
        <w:instrText xml:space="preserve"> REF _Ref440268589 \h  \* MERGEFORMAT </w:instrText>
      </w:r>
      <w:r w:rsidRPr="003458B1">
        <w:fldChar w:fldCharType="separate"/>
      </w:r>
      <w:r w:rsidR="00DD797D" w:rsidRPr="003458B1">
        <w:t>Table A-</w:t>
      </w:r>
      <w:r w:rsidR="00DD797D">
        <w:t>120</w:t>
      </w:r>
      <w:r w:rsidRPr="003458B1">
        <w:fldChar w:fldCharType="end"/>
      </w:r>
      <w:r w:rsidRPr="003458B1">
        <w:t>.</w:t>
      </w:r>
    </w:p>
    <w:p w:rsidR="00014BAF" w:rsidRPr="003458B1" w:rsidRDefault="00014BAF" w:rsidP="00014BAF"/>
    <w:p w:rsidR="00014BAF" w:rsidRPr="003458B1" w:rsidRDefault="00014BAF" w:rsidP="00014BAF">
      <w:pPr>
        <w:pStyle w:val="Caption"/>
        <w:rPr>
          <w:bCs w:val="0"/>
        </w:rPr>
      </w:pPr>
      <w:bookmarkStart w:id="1182" w:name="_Ref440268589"/>
      <w:bookmarkStart w:id="1183" w:name="_Toc410199393"/>
      <w:bookmarkStart w:id="1184" w:name="_Toc431462375"/>
      <w:bookmarkStart w:id="1185" w:name="_Toc444269901"/>
      <w:bookmarkStart w:id="1186" w:name="_Toc472472529"/>
      <w:bookmarkStart w:id="1187" w:name="_Toc476842235"/>
      <w:r w:rsidRPr="003458B1">
        <w:t>Table A-</w:t>
      </w:r>
      <w:fldSimple w:instr=" SEQ Table_A- \* ARABIC ">
        <w:r w:rsidR="00C301D0">
          <w:rPr>
            <w:noProof/>
          </w:rPr>
          <w:t>120</w:t>
        </w:r>
      </w:fldSimple>
      <w:bookmarkEnd w:id="1182"/>
      <w:r w:rsidRPr="003458B1">
        <w:t>:</w:t>
      </w:r>
      <w:r w:rsidRPr="003458B1">
        <w:rPr>
          <w:bCs w:val="0"/>
        </w:rPr>
        <w:t xml:space="preserve"> Observed Coefficients of Variation and Relative Precisions –</w:t>
      </w:r>
      <w:r>
        <w:rPr>
          <w:bCs w:val="0"/>
        </w:rPr>
        <w:t xml:space="preserve"> </w:t>
      </w:r>
      <w:r w:rsidRPr="003458B1">
        <w:rPr>
          <w:bCs w:val="0"/>
        </w:rPr>
        <w:t>PECO SBS Program</w:t>
      </w:r>
      <w:bookmarkEnd w:id="1183"/>
      <w:bookmarkEnd w:id="1184"/>
      <w:bookmarkEnd w:id="1185"/>
      <w:bookmarkEnd w:id="1186"/>
      <w:bookmarkEnd w:id="1187"/>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00"/>
        <w:gridCol w:w="2222"/>
        <w:gridCol w:w="1918"/>
        <w:gridCol w:w="2042"/>
        <w:gridCol w:w="1468"/>
      </w:tblGrid>
      <w:tr w:rsidR="00A874AC" w:rsidRPr="003458B1" w:rsidTr="00DC3249">
        <w:trPr>
          <w:trHeight w:val="826"/>
          <w:tblHeader/>
        </w:trPr>
        <w:tc>
          <w:tcPr>
            <w:tcW w:w="1700" w:type="dxa"/>
            <w:shd w:val="clear" w:color="000000" w:fill="448A99"/>
            <w:vAlign w:val="bottom"/>
            <w:hideMark/>
          </w:tcPr>
          <w:p w:rsidR="00014BAF" w:rsidRPr="003458B1" w:rsidRDefault="00014BAF" w:rsidP="004F0C61">
            <w:pPr>
              <w:rPr>
                <w:b/>
                <w:bCs/>
                <w:color w:val="FFFFFF"/>
                <w:sz w:val="20"/>
                <w:szCs w:val="20"/>
              </w:rPr>
            </w:pPr>
            <w:r w:rsidRPr="003458B1">
              <w:rPr>
                <w:b/>
                <w:bCs/>
                <w:color w:val="FFFFFF"/>
                <w:sz w:val="20"/>
                <w:szCs w:val="20"/>
              </w:rPr>
              <w:t>Stratum</w:t>
            </w:r>
          </w:p>
        </w:tc>
        <w:tc>
          <w:tcPr>
            <w:tcW w:w="2222"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Energy</w:t>
            </w:r>
          </w:p>
        </w:tc>
        <w:tc>
          <w:tcPr>
            <w:tcW w:w="1918"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Energy</w:t>
            </w:r>
          </w:p>
        </w:tc>
        <w:tc>
          <w:tcPr>
            <w:tcW w:w="2042"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Demand</w:t>
            </w:r>
          </w:p>
        </w:tc>
        <w:tc>
          <w:tcPr>
            <w:tcW w:w="1468"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DC3249">
        <w:trPr>
          <w:trHeight w:val="346"/>
        </w:trPr>
        <w:tc>
          <w:tcPr>
            <w:tcW w:w="1700" w:type="dxa"/>
            <w:shd w:val="clear" w:color="000000" w:fill="D2EAF1"/>
            <w:noWrap/>
            <w:vAlign w:val="center"/>
          </w:tcPr>
          <w:p w:rsidR="00014BAF" w:rsidRPr="003458B1" w:rsidRDefault="00014BAF" w:rsidP="004F0C61">
            <w:pPr>
              <w:rPr>
                <w:bCs/>
                <w:color w:val="000000"/>
                <w:sz w:val="20"/>
                <w:szCs w:val="20"/>
              </w:rPr>
            </w:pPr>
            <w:r w:rsidRPr="003458B1">
              <w:rPr>
                <w:bCs/>
                <w:color w:val="000000"/>
                <w:sz w:val="20"/>
                <w:szCs w:val="20"/>
              </w:rPr>
              <w:t>Large</w:t>
            </w:r>
          </w:p>
        </w:tc>
        <w:tc>
          <w:tcPr>
            <w:tcW w:w="2222"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0.23</w:t>
            </w:r>
          </w:p>
        </w:tc>
        <w:tc>
          <w:tcPr>
            <w:tcW w:w="1918" w:type="dxa"/>
            <w:shd w:val="clear" w:color="000000" w:fill="D2EAF1"/>
            <w:noWrap/>
            <w:vAlign w:val="center"/>
          </w:tcPr>
          <w:p w:rsidR="00014BAF" w:rsidRPr="003458B1" w:rsidRDefault="00014BAF" w:rsidP="004F0C61">
            <w:pPr>
              <w:jc w:val="center"/>
              <w:rPr>
                <w:color w:val="000000"/>
                <w:sz w:val="20"/>
                <w:szCs w:val="20"/>
              </w:rPr>
            </w:pPr>
            <w:bookmarkStart w:id="1188" w:name="RANGE!G36:G37"/>
            <w:r w:rsidRPr="003458B1">
              <w:rPr>
                <w:color w:val="000000"/>
                <w:sz w:val="20"/>
                <w:szCs w:val="20"/>
              </w:rPr>
              <w:t>13%</w:t>
            </w:r>
            <w:bookmarkEnd w:id="1188"/>
          </w:p>
        </w:tc>
        <w:tc>
          <w:tcPr>
            <w:tcW w:w="2042"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0.16</w:t>
            </w:r>
          </w:p>
        </w:tc>
        <w:tc>
          <w:tcPr>
            <w:tcW w:w="1468" w:type="dxa"/>
            <w:shd w:val="clear" w:color="000000" w:fill="D2EAF1"/>
            <w:noWrap/>
            <w:vAlign w:val="center"/>
          </w:tcPr>
          <w:p w:rsidR="00014BAF" w:rsidRPr="003458B1" w:rsidRDefault="00014BAF" w:rsidP="004F0C61">
            <w:pPr>
              <w:jc w:val="center"/>
              <w:rPr>
                <w:color w:val="000000"/>
                <w:sz w:val="20"/>
                <w:szCs w:val="20"/>
              </w:rPr>
            </w:pPr>
            <w:bookmarkStart w:id="1189" w:name="RANGE!G47:G48"/>
            <w:r w:rsidRPr="003458B1">
              <w:rPr>
                <w:color w:val="000000"/>
                <w:sz w:val="20"/>
                <w:szCs w:val="20"/>
              </w:rPr>
              <w:t>9%</w:t>
            </w:r>
            <w:bookmarkEnd w:id="1189"/>
          </w:p>
        </w:tc>
      </w:tr>
      <w:tr w:rsidR="00E7173E" w:rsidRPr="003458B1" w:rsidTr="00AF6BD2">
        <w:trPr>
          <w:trHeight w:val="346"/>
        </w:trPr>
        <w:tc>
          <w:tcPr>
            <w:tcW w:w="1700" w:type="dxa"/>
            <w:shd w:val="clear" w:color="auto" w:fill="auto"/>
            <w:noWrap/>
            <w:vAlign w:val="center"/>
          </w:tcPr>
          <w:p w:rsidR="00014BAF" w:rsidRPr="003458B1" w:rsidRDefault="00014BAF" w:rsidP="004F0C61">
            <w:pPr>
              <w:rPr>
                <w:bCs/>
                <w:color w:val="000000"/>
                <w:sz w:val="20"/>
                <w:szCs w:val="20"/>
              </w:rPr>
            </w:pPr>
            <w:r w:rsidRPr="003458B1">
              <w:rPr>
                <w:bCs/>
                <w:color w:val="000000"/>
                <w:sz w:val="20"/>
                <w:szCs w:val="20"/>
              </w:rPr>
              <w:t>Small</w:t>
            </w:r>
          </w:p>
        </w:tc>
        <w:tc>
          <w:tcPr>
            <w:tcW w:w="2222"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0.29</w:t>
            </w:r>
          </w:p>
        </w:tc>
        <w:tc>
          <w:tcPr>
            <w:tcW w:w="1918"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20%</w:t>
            </w:r>
          </w:p>
        </w:tc>
        <w:tc>
          <w:tcPr>
            <w:tcW w:w="2042"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0.19</w:t>
            </w:r>
          </w:p>
        </w:tc>
        <w:tc>
          <w:tcPr>
            <w:tcW w:w="1468"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13%</w:t>
            </w:r>
          </w:p>
        </w:tc>
      </w:tr>
      <w:tr w:rsidR="00A874AC" w:rsidRPr="003458B1" w:rsidTr="00DC3249">
        <w:trPr>
          <w:trHeight w:val="346"/>
        </w:trPr>
        <w:tc>
          <w:tcPr>
            <w:tcW w:w="1700" w:type="dxa"/>
            <w:shd w:val="clear" w:color="000000" w:fill="D2EAF1"/>
            <w:noWrap/>
            <w:vAlign w:val="center"/>
          </w:tcPr>
          <w:p w:rsidR="00014BAF" w:rsidRPr="003458B1" w:rsidRDefault="00014BAF" w:rsidP="004F0C61">
            <w:pPr>
              <w:rPr>
                <w:b/>
                <w:bCs/>
                <w:color w:val="000000"/>
                <w:sz w:val="20"/>
                <w:szCs w:val="20"/>
              </w:rPr>
            </w:pPr>
            <w:r w:rsidRPr="003458B1">
              <w:rPr>
                <w:b/>
                <w:bCs/>
                <w:color w:val="000000"/>
                <w:sz w:val="20"/>
                <w:szCs w:val="20"/>
              </w:rPr>
              <w:t>Program Total</w:t>
            </w:r>
          </w:p>
        </w:tc>
        <w:tc>
          <w:tcPr>
            <w:tcW w:w="2222" w:type="dxa"/>
            <w:shd w:val="clear" w:color="000000" w:fill="D2EAF1"/>
            <w:noWrap/>
            <w:vAlign w:val="center"/>
          </w:tcPr>
          <w:p w:rsidR="00014BAF" w:rsidRPr="003458B1" w:rsidRDefault="00014BAF" w:rsidP="004F0C61">
            <w:pPr>
              <w:jc w:val="center"/>
              <w:rPr>
                <w:b/>
                <w:bCs/>
                <w:color w:val="000000"/>
                <w:sz w:val="20"/>
                <w:szCs w:val="20"/>
              </w:rPr>
            </w:pPr>
          </w:p>
        </w:tc>
        <w:tc>
          <w:tcPr>
            <w:tcW w:w="1918" w:type="dxa"/>
            <w:shd w:val="clear" w:color="000000" w:fill="D2EAF1"/>
            <w:noWrap/>
            <w:vAlign w:val="center"/>
          </w:tcPr>
          <w:p w:rsidR="00014BAF" w:rsidRPr="003458B1" w:rsidRDefault="00014BAF" w:rsidP="004F0C61">
            <w:pPr>
              <w:jc w:val="center"/>
              <w:rPr>
                <w:b/>
                <w:bCs/>
                <w:color w:val="000000"/>
                <w:sz w:val="20"/>
                <w:szCs w:val="20"/>
              </w:rPr>
            </w:pPr>
            <w:r w:rsidRPr="003458B1">
              <w:rPr>
                <w:b/>
                <w:color w:val="000000"/>
                <w:sz w:val="20"/>
                <w:szCs w:val="20"/>
              </w:rPr>
              <w:t>11%</w:t>
            </w:r>
          </w:p>
        </w:tc>
        <w:tc>
          <w:tcPr>
            <w:tcW w:w="2042" w:type="dxa"/>
            <w:shd w:val="clear" w:color="000000" w:fill="D2EAF1"/>
            <w:noWrap/>
            <w:vAlign w:val="center"/>
          </w:tcPr>
          <w:p w:rsidR="00014BAF" w:rsidRPr="003458B1" w:rsidRDefault="00014BAF" w:rsidP="004F0C61">
            <w:pPr>
              <w:jc w:val="center"/>
              <w:rPr>
                <w:b/>
                <w:bCs/>
                <w:color w:val="000000"/>
                <w:sz w:val="20"/>
                <w:szCs w:val="20"/>
              </w:rPr>
            </w:pPr>
          </w:p>
        </w:tc>
        <w:tc>
          <w:tcPr>
            <w:tcW w:w="1468" w:type="dxa"/>
            <w:shd w:val="clear" w:color="000000" w:fill="D2EAF1"/>
            <w:noWrap/>
            <w:vAlign w:val="center"/>
          </w:tcPr>
          <w:p w:rsidR="00014BAF" w:rsidRPr="003458B1" w:rsidRDefault="00014BAF" w:rsidP="004F0C61">
            <w:pPr>
              <w:jc w:val="center"/>
              <w:rPr>
                <w:b/>
                <w:bCs/>
                <w:color w:val="000000"/>
                <w:sz w:val="20"/>
                <w:szCs w:val="20"/>
              </w:rPr>
            </w:pPr>
            <w:r w:rsidRPr="003458B1">
              <w:rPr>
                <w:b/>
                <w:color w:val="000000"/>
                <w:sz w:val="20"/>
                <w:szCs w:val="20"/>
              </w:rPr>
              <w:t>8%</w:t>
            </w:r>
          </w:p>
        </w:tc>
      </w:tr>
    </w:tbl>
    <w:p w:rsidR="00014BAF" w:rsidRPr="003458B1" w:rsidRDefault="00014BAF" w:rsidP="00014BAF"/>
    <w:p w:rsidR="00014BAF" w:rsidRPr="003458B1" w:rsidRDefault="00014BAF" w:rsidP="00014BAF">
      <w:r w:rsidRPr="003458B1">
        <w:t>The program total achieved precision was 11% for energy and 8%</w:t>
      </w:r>
      <w:r>
        <w:t xml:space="preserve"> </w:t>
      </w:r>
      <w:r w:rsidRPr="003458B1">
        <w:t xml:space="preserve">for demand, </w:t>
      </w:r>
      <w:r>
        <w:t xml:space="preserve">both of </w:t>
      </w:r>
      <w:r w:rsidRPr="003458B1">
        <w:t xml:space="preserve">which exceed the SWE Team requirements </w:t>
      </w:r>
      <w:r>
        <w:t>for</w:t>
      </w:r>
      <w:r w:rsidRPr="003458B1">
        <w:t xml:space="preserve"> confidence</w:t>
      </w:r>
      <w:r>
        <w:t>/</w:t>
      </w:r>
      <w:r w:rsidRPr="003458B1">
        <w:t>precision as specified in the Evaluation Framework.</w:t>
      </w:r>
    </w:p>
    <w:p w:rsidR="00014BAF" w:rsidRPr="003458B1" w:rsidRDefault="00014BAF" w:rsidP="00014BAF"/>
    <w:p w:rsidR="00014BAF" w:rsidRPr="003458B1" w:rsidRDefault="00014BAF" w:rsidP="00014BAF">
      <w:pPr>
        <w:pStyle w:val="AppendixAHeading5"/>
      </w:pPr>
      <w:r w:rsidRPr="003458B1">
        <w:t>Smart Multi-Family Solutions Program – Non-Residential</w:t>
      </w:r>
    </w:p>
    <w:p w:rsidR="00014BAF" w:rsidRPr="003458B1" w:rsidRDefault="00014BAF" w:rsidP="00014BAF">
      <w:r w:rsidRPr="003458B1">
        <w:t xml:space="preserve">This program was new for Phase II. Stratified ratio estimation was used to estimate savings for the program, and the sample was designed accordingly. </w:t>
      </w:r>
      <w:r w:rsidR="009845FB" w:rsidRPr="003458B1">
        <w:t>The projects were stratified into two groups: medium/large and small</w:t>
      </w:r>
      <w:r w:rsidRPr="003458B1">
        <w:t>. The stratification was based on the ex ante kWh savings recorded in the program</w:t>
      </w:r>
      <w:r>
        <w:t>-</w:t>
      </w:r>
      <w:r w:rsidRPr="003458B1">
        <w:t xml:space="preserve">tracking database. </w:t>
      </w:r>
      <w:r w:rsidRPr="003458B1">
        <w:fldChar w:fldCharType="begin"/>
      </w:r>
      <w:r w:rsidRPr="003458B1">
        <w:instrText xml:space="preserve"> REF _Ref440268654 \h  \* MERGEFORMAT </w:instrText>
      </w:r>
      <w:r w:rsidRPr="003458B1">
        <w:fldChar w:fldCharType="separate"/>
      </w:r>
      <w:r w:rsidR="00A874AC" w:rsidRPr="003458B1">
        <w:t>Table A-</w:t>
      </w:r>
      <w:r w:rsidR="00A874AC">
        <w:t>121</w:t>
      </w:r>
      <w:r w:rsidRPr="003458B1">
        <w:fldChar w:fldCharType="end"/>
      </w:r>
      <w:r w:rsidRPr="003458B1">
        <w:t xml:space="preserve"> lists the details of the sampling strategy for this program in PY</w:t>
      </w:r>
      <w:r>
        <w:t>7</w:t>
      </w:r>
      <w:r w:rsidRPr="003458B1">
        <w:t>.</w:t>
      </w:r>
    </w:p>
    <w:p w:rsidR="00014BAF" w:rsidRPr="003458B1" w:rsidRDefault="00014BAF" w:rsidP="00014BAF">
      <w:bookmarkStart w:id="1190" w:name="_Ref409165683"/>
      <w:bookmarkStart w:id="1191" w:name="_Ref410118932"/>
      <w:bookmarkStart w:id="1192" w:name="_Toc410199394"/>
    </w:p>
    <w:p w:rsidR="00014BAF" w:rsidRPr="003458B1" w:rsidRDefault="00014BAF" w:rsidP="00014BAF">
      <w:pPr>
        <w:pStyle w:val="Caption"/>
        <w:rPr>
          <w:bCs w:val="0"/>
        </w:rPr>
      </w:pPr>
      <w:bookmarkStart w:id="1193" w:name="_Ref440268654"/>
      <w:bookmarkStart w:id="1194" w:name="_Toc431462376"/>
      <w:bookmarkStart w:id="1195" w:name="_Toc444269902"/>
      <w:bookmarkStart w:id="1196" w:name="_Toc472472530"/>
      <w:bookmarkStart w:id="1197" w:name="_Toc476842236"/>
      <w:bookmarkEnd w:id="1190"/>
      <w:bookmarkEnd w:id="1191"/>
      <w:r w:rsidRPr="003458B1">
        <w:t>Table A-</w:t>
      </w:r>
      <w:fldSimple w:instr=" SEQ Table_A- \* ARABIC ">
        <w:r w:rsidR="00C301D0">
          <w:rPr>
            <w:noProof/>
          </w:rPr>
          <w:t>121</w:t>
        </w:r>
      </w:fldSimple>
      <w:bookmarkEnd w:id="1193"/>
      <w:r w:rsidRPr="003458B1">
        <w:t>:</w:t>
      </w:r>
      <w:r w:rsidRPr="003458B1">
        <w:rPr>
          <w:bCs w:val="0"/>
        </w:rPr>
        <w:t xml:space="preserve"> PECO’s PY7 Sampling Strategy - SMF Non-Residential Program</w:t>
      </w:r>
      <w:bookmarkEnd w:id="1192"/>
      <w:bookmarkEnd w:id="1194"/>
      <w:bookmarkEnd w:id="1195"/>
      <w:bookmarkEnd w:id="1196"/>
      <w:bookmarkEnd w:id="1197"/>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098"/>
        <w:gridCol w:w="1620"/>
        <w:gridCol w:w="1800"/>
        <w:gridCol w:w="1890"/>
        <w:gridCol w:w="1952"/>
      </w:tblGrid>
      <w:tr w:rsidR="00A874AC" w:rsidRPr="003458B1" w:rsidTr="004F0C61">
        <w:trPr>
          <w:trHeight w:val="765"/>
          <w:jc w:val="center"/>
        </w:trPr>
        <w:tc>
          <w:tcPr>
            <w:tcW w:w="2098" w:type="dxa"/>
            <w:shd w:val="clear" w:color="000000" w:fill="448A99"/>
            <w:vAlign w:val="bottom"/>
            <w:hideMark/>
          </w:tcPr>
          <w:p w:rsidR="00014BAF" w:rsidRPr="003458B1" w:rsidRDefault="00014BAF" w:rsidP="004F0C61">
            <w:pPr>
              <w:jc w:val="left"/>
              <w:rPr>
                <w:b/>
                <w:bCs/>
                <w:color w:val="FFFFFF"/>
                <w:sz w:val="20"/>
                <w:szCs w:val="20"/>
              </w:rPr>
            </w:pPr>
            <w:r w:rsidRPr="003458B1">
              <w:rPr>
                <w:b/>
                <w:bCs/>
                <w:color w:val="FFFFFF"/>
                <w:sz w:val="20"/>
                <w:szCs w:val="20"/>
              </w:rPr>
              <w:t>Stratum</w:t>
            </w:r>
          </w:p>
        </w:tc>
        <w:tc>
          <w:tcPr>
            <w:tcW w:w="162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Population</w:t>
            </w:r>
          </w:p>
        </w:tc>
        <w:tc>
          <w:tcPr>
            <w:tcW w:w="180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Target Levels of Confidence &amp; Precision</w:t>
            </w:r>
          </w:p>
        </w:tc>
        <w:tc>
          <w:tcPr>
            <w:tcW w:w="189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Target Sample Size</w:t>
            </w:r>
          </w:p>
        </w:tc>
        <w:tc>
          <w:tcPr>
            <w:tcW w:w="1952"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Achieved Sample Size</w:t>
            </w:r>
          </w:p>
        </w:tc>
      </w:tr>
      <w:tr w:rsidR="00A874AC" w:rsidRPr="003458B1" w:rsidTr="004F0C61">
        <w:trPr>
          <w:trHeight w:val="346"/>
          <w:jc w:val="center"/>
        </w:trPr>
        <w:tc>
          <w:tcPr>
            <w:tcW w:w="2098" w:type="dxa"/>
            <w:shd w:val="clear" w:color="000000" w:fill="D2EAF1"/>
            <w:noWrap/>
            <w:vAlign w:val="center"/>
          </w:tcPr>
          <w:p w:rsidR="00014BAF" w:rsidRPr="003458B1" w:rsidRDefault="00014BAF" w:rsidP="004F0C61">
            <w:pPr>
              <w:jc w:val="left"/>
              <w:rPr>
                <w:bCs/>
                <w:color w:val="000000"/>
                <w:sz w:val="20"/>
                <w:szCs w:val="20"/>
              </w:rPr>
            </w:pPr>
            <w:r w:rsidRPr="003458B1">
              <w:rPr>
                <w:bCs/>
                <w:color w:val="000000"/>
                <w:sz w:val="20"/>
                <w:szCs w:val="20"/>
              </w:rPr>
              <w:t>Non-residential Participants</w:t>
            </w:r>
          </w:p>
        </w:tc>
        <w:tc>
          <w:tcPr>
            <w:tcW w:w="162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122</w:t>
            </w:r>
          </w:p>
        </w:tc>
        <w:tc>
          <w:tcPr>
            <w:tcW w:w="1800" w:type="dxa"/>
            <w:shd w:val="clear" w:color="000000" w:fill="D2EAF1"/>
            <w:noWrap/>
            <w:vAlign w:val="center"/>
          </w:tcPr>
          <w:p w:rsidR="00014BAF" w:rsidRPr="003458B1" w:rsidRDefault="00014BAF" w:rsidP="004F0C61">
            <w:pPr>
              <w:jc w:val="center"/>
              <w:rPr>
                <w:color w:val="000000"/>
                <w:sz w:val="20"/>
                <w:szCs w:val="20"/>
              </w:rPr>
            </w:pPr>
            <w:r>
              <w:rPr>
                <w:color w:val="000000"/>
                <w:sz w:val="20"/>
                <w:szCs w:val="20"/>
              </w:rPr>
              <w:t>85%/</w:t>
            </w:r>
            <w:r w:rsidRPr="003458B1">
              <w:rPr>
                <w:color w:val="000000"/>
                <w:sz w:val="20"/>
                <w:szCs w:val="20"/>
              </w:rPr>
              <w:t>15%</w:t>
            </w:r>
          </w:p>
        </w:tc>
        <w:tc>
          <w:tcPr>
            <w:tcW w:w="189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24</w:t>
            </w:r>
          </w:p>
        </w:tc>
        <w:tc>
          <w:tcPr>
            <w:tcW w:w="1952"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24</w:t>
            </w:r>
          </w:p>
        </w:tc>
      </w:tr>
    </w:tbl>
    <w:p w:rsidR="00014BAF" w:rsidRPr="003458B1" w:rsidRDefault="00014BAF" w:rsidP="00014BAF"/>
    <w:p w:rsidR="00014BAF" w:rsidRPr="003458B1" w:rsidRDefault="00014BAF" w:rsidP="00014BAF">
      <w:r w:rsidRPr="003458B1">
        <w:t xml:space="preserve">The achieved precision levels for both energy and peak demand are shown in </w:t>
      </w:r>
      <w:r w:rsidRPr="003458B1">
        <w:fldChar w:fldCharType="begin"/>
      </w:r>
      <w:r w:rsidRPr="003458B1">
        <w:instrText xml:space="preserve"> REF _Ref440268698 \h  \* MERGEFORMAT </w:instrText>
      </w:r>
      <w:r w:rsidRPr="003458B1">
        <w:fldChar w:fldCharType="separate"/>
      </w:r>
      <w:r w:rsidR="00A874AC" w:rsidRPr="003458B1">
        <w:t>Table A-</w:t>
      </w:r>
      <w:r w:rsidR="00A874AC">
        <w:t>122</w:t>
      </w:r>
      <w:r w:rsidRPr="003458B1">
        <w:fldChar w:fldCharType="end"/>
      </w:r>
      <w:r w:rsidRPr="003458B1">
        <w:t>. The results show that the samples represented the populat</w:t>
      </w:r>
      <w:bookmarkStart w:id="1198" w:name="_Ref409165705"/>
      <w:bookmarkStart w:id="1199" w:name="_Ref410118981"/>
      <w:bookmarkStart w:id="1200" w:name="_Toc410199395"/>
      <w:r w:rsidRPr="003458B1">
        <w:t>ion in this program effectively and that the precision target was met.</w:t>
      </w:r>
    </w:p>
    <w:p w:rsidR="00014BAF" w:rsidRDefault="00014BAF" w:rsidP="00014BAF"/>
    <w:p w:rsidR="00DC3249" w:rsidRDefault="00DC3249" w:rsidP="00014BAF"/>
    <w:p w:rsidR="00DC3249" w:rsidRPr="003458B1" w:rsidRDefault="00DC3249" w:rsidP="00014BAF"/>
    <w:p w:rsidR="00014BAF" w:rsidRPr="003458B1" w:rsidRDefault="00014BAF" w:rsidP="00014BAF">
      <w:pPr>
        <w:pStyle w:val="Caption"/>
        <w:rPr>
          <w:bCs w:val="0"/>
        </w:rPr>
      </w:pPr>
      <w:bookmarkStart w:id="1201" w:name="_Ref440268698"/>
      <w:bookmarkStart w:id="1202" w:name="_Toc431462377"/>
      <w:bookmarkStart w:id="1203" w:name="_Toc444269903"/>
      <w:bookmarkStart w:id="1204" w:name="_Toc472472531"/>
      <w:bookmarkStart w:id="1205" w:name="_Toc476842237"/>
      <w:bookmarkEnd w:id="1198"/>
      <w:bookmarkEnd w:id="1199"/>
      <w:r w:rsidRPr="003458B1">
        <w:t>Table A-</w:t>
      </w:r>
      <w:fldSimple w:instr=" SEQ Table_A- \* ARABIC ">
        <w:r w:rsidR="00C301D0">
          <w:rPr>
            <w:noProof/>
          </w:rPr>
          <w:t>122</w:t>
        </w:r>
      </w:fldSimple>
      <w:bookmarkEnd w:id="1201"/>
      <w:r w:rsidRPr="003458B1">
        <w:t>:</w:t>
      </w:r>
      <w:r w:rsidRPr="003458B1">
        <w:rPr>
          <w:bCs w:val="0"/>
        </w:rPr>
        <w:t xml:space="preserve"> Observed Coefficients of Variation and Relative Precisions – PECO’s SMF</w:t>
      </w:r>
      <w:r>
        <w:rPr>
          <w:bCs w:val="0"/>
        </w:rPr>
        <w:t xml:space="preserve"> </w:t>
      </w:r>
      <w:r w:rsidRPr="003458B1">
        <w:rPr>
          <w:bCs w:val="0"/>
        </w:rPr>
        <w:t>Non-Residential Program</w:t>
      </w:r>
      <w:bookmarkEnd w:id="1200"/>
      <w:bookmarkEnd w:id="1202"/>
      <w:bookmarkEnd w:id="1203"/>
      <w:bookmarkEnd w:id="1204"/>
      <w:bookmarkEnd w:id="1205"/>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250"/>
        <w:gridCol w:w="2160"/>
        <w:gridCol w:w="1288"/>
        <w:gridCol w:w="2132"/>
        <w:gridCol w:w="1530"/>
      </w:tblGrid>
      <w:tr w:rsidR="00A874AC" w:rsidRPr="003458B1" w:rsidTr="004F0C61">
        <w:trPr>
          <w:trHeight w:val="1078"/>
          <w:jc w:val="center"/>
        </w:trPr>
        <w:tc>
          <w:tcPr>
            <w:tcW w:w="2250" w:type="dxa"/>
            <w:shd w:val="clear" w:color="000000" w:fill="448A99"/>
            <w:vAlign w:val="bottom"/>
            <w:hideMark/>
          </w:tcPr>
          <w:p w:rsidR="00014BAF" w:rsidRPr="003458B1" w:rsidRDefault="00014BAF" w:rsidP="004F0C61">
            <w:pPr>
              <w:jc w:val="left"/>
              <w:rPr>
                <w:b/>
                <w:bCs/>
                <w:color w:val="FFFFFF"/>
                <w:sz w:val="20"/>
                <w:szCs w:val="20"/>
              </w:rPr>
            </w:pPr>
            <w:r w:rsidRPr="003458B1">
              <w:rPr>
                <w:b/>
                <w:bCs/>
                <w:color w:val="FFFFFF"/>
                <w:sz w:val="20"/>
                <w:szCs w:val="20"/>
              </w:rPr>
              <w:t>Stratum</w:t>
            </w:r>
          </w:p>
        </w:tc>
        <w:tc>
          <w:tcPr>
            <w:tcW w:w="216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Energy</w:t>
            </w:r>
          </w:p>
        </w:tc>
        <w:tc>
          <w:tcPr>
            <w:tcW w:w="1288"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Energy</w:t>
            </w:r>
          </w:p>
        </w:tc>
        <w:tc>
          <w:tcPr>
            <w:tcW w:w="2132"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Demand</w:t>
            </w:r>
          </w:p>
        </w:tc>
        <w:tc>
          <w:tcPr>
            <w:tcW w:w="153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Demand</w:t>
            </w:r>
          </w:p>
        </w:tc>
      </w:tr>
      <w:tr w:rsidR="00A874AC" w:rsidRPr="003458B1" w:rsidTr="00DC3249">
        <w:trPr>
          <w:trHeight w:val="360"/>
          <w:jc w:val="center"/>
        </w:trPr>
        <w:tc>
          <w:tcPr>
            <w:tcW w:w="2250" w:type="dxa"/>
            <w:shd w:val="clear" w:color="000000" w:fill="D2EAF1"/>
            <w:noWrap/>
            <w:vAlign w:val="center"/>
          </w:tcPr>
          <w:p w:rsidR="00014BAF" w:rsidRPr="003458B1" w:rsidRDefault="00014BAF" w:rsidP="004F0C61">
            <w:pPr>
              <w:jc w:val="left"/>
              <w:rPr>
                <w:bCs/>
                <w:color w:val="000000"/>
                <w:sz w:val="20"/>
                <w:szCs w:val="20"/>
              </w:rPr>
            </w:pPr>
            <w:r w:rsidRPr="003458B1">
              <w:rPr>
                <w:bCs/>
                <w:color w:val="000000"/>
                <w:sz w:val="20"/>
                <w:szCs w:val="20"/>
              </w:rPr>
              <w:t>Small</w:t>
            </w:r>
          </w:p>
        </w:tc>
        <w:tc>
          <w:tcPr>
            <w:tcW w:w="216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0.23</w:t>
            </w:r>
          </w:p>
        </w:tc>
        <w:tc>
          <w:tcPr>
            <w:tcW w:w="1288"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7%</w:t>
            </w:r>
          </w:p>
        </w:tc>
        <w:tc>
          <w:tcPr>
            <w:tcW w:w="2132"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0.23</w:t>
            </w:r>
          </w:p>
        </w:tc>
        <w:tc>
          <w:tcPr>
            <w:tcW w:w="153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7%</w:t>
            </w:r>
          </w:p>
        </w:tc>
      </w:tr>
      <w:tr w:rsidR="00E7173E" w:rsidRPr="003458B1" w:rsidTr="00AF6BD2">
        <w:trPr>
          <w:trHeight w:val="360"/>
          <w:jc w:val="center"/>
        </w:trPr>
        <w:tc>
          <w:tcPr>
            <w:tcW w:w="2250" w:type="dxa"/>
            <w:shd w:val="clear" w:color="auto" w:fill="auto"/>
            <w:noWrap/>
            <w:vAlign w:val="center"/>
          </w:tcPr>
          <w:p w:rsidR="00014BAF" w:rsidRPr="003458B1" w:rsidRDefault="00014BAF" w:rsidP="004F0C61">
            <w:pPr>
              <w:jc w:val="left"/>
              <w:rPr>
                <w:bCs/>
                <w:color w:val="000000"/>
                <w:sz w:val="20"/>
                <w:szCs w:val="20"/>
              </w:rPr>
            </w:pPr>
            <w:r w:rsidRPr="003458B1">
              <w:rPr>
                <w:bCs/>
                <w:color w:val="000000"/>
                <w:sz w:val="20"/>
                <w:szCs w:val="20"/>
              </w:rPr>
              <w:t>Medium/</w:t>
            </w:r>
            <w:r>
              <w:rPr>
                <w:bCs/>
                <w:color w:val="000000"/>
                <w:sz w:val="20"/>
                <w:szCs w:val="20"/>
              </w:rPr>
              <w:t>l</w:t>
            </w:r>
            <w:r w:rsidRPr="003458B1">
              <w:rPr>
                <w:bCs/>
                <w:color w:val="000000"/>
                <w:sz w:val="20"/>
                <w:szCs w:val="20"/>
              </w:rPr>
              <w:t>arge</w:t>
            </w:r>
          </w:p>
        </w:tc>
        <w:tc>
          <w:tcPr>
            <w:tcW w:w="2160"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0.10</w:t>
            </w:r>
          </w:p>
        </w:tc>
        <w:tc>
          <w:tcPr>
            <w:tcW w:w="1288"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5%</w:t>
            </w:r>
          </w:p>
        </w:tc>
        <w:tc>
          <w:tcPr>
            <w:tcW w:w="2132"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0.10</w:t>
            </w:r>
          </w:p>
        </w:tc>
        <w:tc>
          <w:tcPr>
            <w:tcW w:w="1530"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5%</w:t>
            </w:r>
          </w:p>
        </w:tc>
      </w:tr>
      <w:tr w:rsidR="00A874AC" w:rsidRPr="003458B1" w:rsidTr="00DC3249">
        <w:trPr>
          <w:trHeight w:val="360"/>
          <w:jc w:val="center"/>
        </w:trPr>
        <w:tc>
          <w:tcPr>
            <w:tcW w:w="2250" w:type="dxa"/>
            <w:shd w:val="clear" w:color="000000" w:fill="D2EAF1"/>
            <w:noWrap/>
            <w:vAlign w:val="center"/>
          </w:tcPr>
          <w:p w:rsidR="00014BAF" w:rsidRPr="003458B1" w:rsidRDefault="00014BAF" w:rsidP="004F0C61">
            <w:pPr>
              <w:jc w:val="left"/>
              <w:rPr>
                <w:bCs/>
                <w:color w:val="000000"/>
                <w:sz w:val="20"/>
                <w:szCs w:val="20"/>
              </w:rPr>
            </w:pPr>
            <w:r w:rsidRPr="003458B1">
              <w:rPr>
                <w:b/>
                <w:bCs/>
                <w:color w:val="000000"/>
                <w:sz w:val="20"/>
                <w:szCs w:val="20"/>
              </w:rPr>
              <w:t>Participant Total</w:t>
            </w:r>
          </w:p>
        </w:tc>
        <w:tc>
          <w:tcPr>
            <w:tcW w:w="2160" w:type="dxa"/>
            <w:shd w:val="clear" w:color="000000" w:fill="D2EAF1"/>
            <w:noWrap/>
            <w:vAlign w:val="center"/>
          </w:tcPr>
          <w:p w:rsidR="00014BAF" w:rsidRPr="003458B1" w:rsidRDefault="00014BAF" w:rsidP="004F0C61">
            <w:pPr>
              <w:jc w:val="center"/>
              <w:rPr>
                <w:color w:val="000000"/>
                <w:sz w:val="20"/>
                <w:szCs w:val="20"/>
              </w:rPr>
            </w:pPr>
            <w:r w:rsidRPr="003458B1">
              <w:rPr>
                <w:b/>
                <w:color w:val="000000"/>
                <w:sz w:val="20"/>
                <w:szCs w:val="20"/>
              </w:rPr>
              <w:t>0.16</w:t>
            </w:r>
          </w:p>
        </w:tc>
        <w:tc>
          <w:tcPr>
            <w:tcW w:w="1288" w:type="dxa"/>
            <w:shd w:val="clear" w:color="000000" w:fill="D2EAF1"/>
            <w:noWrap/>
            <w:vAlign w:val="center"/>
          </w:tcPr>
          <w:p w:rsidR="00014BAF" w:rsidRPr="003458B1" w:rsidRDefault="00014BAF" w:rsidP="004F0C61">
            <w:pPr>
              <w:jc w:val="center"/>
              <w:rPr>
                <w:color w:val="000000"/>
                <w:sz w:val="20"/>
                <w:szCs w:val="20"/>
              </w:rPr>
            </w:pPr>
            <w:r w:rsidRPr="003458B1">
              <w:rPr>
                <w:b/>
                <w:color w:val="000000"/>
                <w:sz w:val="20"/>
                <w:szCs w:val="20"/>
              </w:rPr>
              <w:t>4%</w:t>
            </w:r>
          </w:p>
        </w:tc>
        <w:tc>
          <w:tcPr>
            <w:tcW w:w="2132" w:type="dxa"/>
            <w:shd w:val="clear" w:color="000000" w:fill="D2EAF1"/>
            <w:noWrap/>
            <w:vAlign w:val="center"/>
          </w:tcPr>
          <w:p w:rsidR="00014BAF" w:rsidRPr="003458B1" w:rsidRDefault="00014BAF" w:rsidP="004F0C61">
            <w:pPr>
              <w:jc w:val="center"/>
              <w:rPr>
                <w:color w:val="000000"/>
                <w:sz w:val="20"/>
                <w:szCs w:val="20"/>
              </w:rPr>
            </w:pPr>
            <w:r w:rsidRPr="003458B1">
              <w:rPr>
                <w:b/>
                <w:color w:val="000000"/>
                <w:sz w:val="20"/>
                <w:szCs w:val="20"/>
              </w:rPr>
              <w:t>0.16</w:t>
            </w:r>
          </w:p>
        </w:tc>
        <w:tc>
          <w:tcPr>
            <w:tcW w:w="1530" w:type="dxa"/>
            <w:shd w:val="clear" w:color="000000" w:fill="D2EAF1"/>
            <w:noWrap/>
            <w:vAlign w:val="center"/>
          </w:tcPr>
          <w:p w:rsidR="00014BAF" w:rsidRPr="003458B1" w:rsidRDefault="00014BAF" w:rsidP="004F0C61">
            <w:pPr>
              <w:jc w:val="center"/>
              <w:rPr>
                <w:color w:val="000000"/>
                <w:sz w:val="20"/>
                <w:szCs w:val="20"/>
              </w:rPr>
            </w:pPr>
            <w:r w:rsidRPr="003458B1">
              <w:rPr>
                <w:b/>
                <w:color w:val="000000"/>
                <w:sz w:val="20"/>
                <w:szCs w:val="20"/>
              </w:rPr>
              <w:t>4%</w:t>
            </w:r>
          </w:p>
        </w:tc>
      </w:tr>
    </w:tbl>
    <w:p w:rsidR="00014BAF" w:rsidRPr="003458B1" w:rsidRDefault="00014BAF" w:rsidP="00014BAF"/>
    <w:p w:rsidR="00014BAF" w:rsidRPr="003458B1" w:rsidRDefault="00014BAF" w:rsidP="00014BAF">
      <w:pPr>
        <w:pStyle w:val="AppendixAHeading5"/>
      </w:pPr>
      <w:r w:rsidRPr="003458B1">
        <w:t>Smart On-Site Program</w:t>
      </w:r>
    </w:p>
    <w:p w:rsidR="00014BAF" w:rsidRPr="003458B1" w:rsidRDefault="00014BAF" w:rsidP="00014BAF">
      <w:r w:rsidRPr="003458B1">
        <w:t xml:space="preserve">All </w:t>
      </w:r>
      <w:r>
        <w:t>six</w:t>
      </w:r>
      <w:r w:rsidRPr="003458B1">
        <w:t xml:space="preserve"> projects completed in PY7 were sampled for evaluation, resulting in relative precisions of 0% for both energy and demand.</w:t>
      </w:r>
      <w:r>
        <w:t xml:space="preserve"> </w:t>
      </w:r>
      <w:r w:rsidR="009D17D5">
        <w:fldChar w:fldCharType="begin"/>
      </w:r>
      <w:r w:rsidR="009D17D5">
        <w:instrText xml:space="preserve"> REF _Ref473466208 \h </w:instrText>
      </w:r>
      <w:r w:rsidR="009D17D5">
        <w:fldChar w:fldCharType="separate"/>
      </w:r>
      <w:r w:rsidR="00A874AC" w:rsidRPr="003458B1">
        <w:t>Table A-</w:t>
      </w:r>
      <w:r w:rsidR="00A874AC">
        <w:rPr>
          <w:noProof/>
        </w:rPr>
        <w:t>123</w:t>
      </w:r>
      <w:r w:rsidR="009D17D5">
        <w:fldChar w:fldCharType="end"/>
      </w:r>
      <w:r w:rsidR="009D17D5">
        <w:t xml:space="preserve"> </w:t>
      </w:r>
      <w:r w:rsidRPr="003458B1">
        <w:t>lists the details of the sampling strategy for this program in PY</w:t>
      </w:r>
      <w:r>
        <w:t>7</w:t>
      </w:r>
      <w:r w:rsidRPr="003458B1">
        <w:t>.</w:t>
      </w:r>
    </w:p>
    <w:p w:rsidR="00014BAF" w:rsidRPr="00727B1F" w:rsidRDefault="00014BAF" w:rsidP="00014BAF"/>
    <w:p w:rsidR="00014BAF" w:rsidRPr="003458B1" w:rsidRDefault="00014BAF" w:rsidP="00014BAF">
      <w:pPr>
        <w:pStyle w:val="Caption"/>
        <w:rPr>
          <w:bCs w:val="0"/>
        </w:rPr>
      </w:pPr>
      <w:bookmarkStart w:id="1206" w:name="_Ref473466208"/>
      <w:bookmarkStart w:id="1207" w:name="_Toc472472532"/>
      <w:bookmarkStart w:id="1208" w:name="_Toc476842238"/>
      <w:r w:rsidRPr="003458B1">
        <w:t>Table A-</w:t>
      </w:r>
      <w:fldSimple w:instr=" SEQ Table_A- \* ARABIC ">
        <w:r w:rsidR="00C301D0">
          <w:rPr>
            <w:noProof/>
          </w:rPr>
          <w:t>123</w:t>
        </w:r>
      </w:fldSimple>
      <w:bookmarkEnd w:id="1206"/>
      <w:r w:rsidRPr="003458B1">
        <w:t>:</w:t>
      </w:r>
      <w:r w:rsidRPr="003458B1">
        <w:rPr>
          <w:bCs w:val="0"/>
        </w:rPr>
        <w:t xml:space="preserve"> PECO’s PY7 Sampling Strategy – Smart On-Site Program</w:t>
      </w:r>
      <w:bookmarkEnd w:id="1207"/>
      <w:bookmarkEnd w:id="1208"/>
    </w:p>
    <w:tbl>
      <w:tblPr>
        <w:tblW w:w="917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2060"/>
        <w:gridCol w:w="1620"/>
        <w:gridCol w:w="1800"/>
        <w:gridCol w:w="1890"/>
        <w:gridCol w:w="1800"/>
      </w:tblGrid>
      <w:tr w:rsidR="00A874AC" w:rsidRPr="003458B1" w:rsidTr="00DC3249">
        <w:trPr>
          <w:trHeight w:val="765"/>
        </w:trPr>
        <w:tc>
          <w:tcPr>
            <w:tcW w:w="2060" w:type="dxa"/>
            <w:shd w:val="clear" w:color="000000" w:fill="448A99"/>
            <w:vAlign w:val="bottom"/>
            <w:hideMark/>
          </w:tcPr>
          <w:p w:rsidR="00014BAF" w:rsidRPr="003458B1" w:rsidRDefault="00014BAF" w:rsidP="004F0C61">
            <w:pPr>
              <w:jc w:val="left"/>
              <w:rPr>
                <w:b/>
                <w:bCs/>
                <w:color w:val="FFFFFF"/>
                <w:sz w:val="20"/>
                <w:szCs w:val="20"/>
              </w:rPr>
            </w:pPr>
            <w:r w:rsidRPr="003458B1">
              <w:rPr>
                <w:b/>
                <w:bCs/>
                <w:color w:val="FFFFFF"/>
                <w:sz w:val="20"/>
                <w:szCs w:val="20"/>
              </w:rPr>
              <w:t>Stratum</w:t>
            </w:r>
          </w:p>
        </w:tc>
        <w:tc>
          <w:tcPr>
            <w:tcW w:w="162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Population</w:t>
            </w:r>
          </w:p>
        </w:tc>
        <w:tc>
          <w:tcPr>
            <w:tcW w:w="180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Target Levels of Confidence &amp; Precision</w:t>
            </w:r>
          </w:p>
        </w:tc>
        <w:tc>
          <w:tcPr>
            <w:tcW w:w="189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Target Sample Size</w:t>
            </w:r>
          </w:p>
        </w:tc>
        <w:tc>
          <w:tcPr>
            <w:tcW w:w="180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Achieved Sample Size</w:t>
            </w:r>
          </w:p>
        </w:tc>
      </w:tr>
      <w:tr w:rsidR="00A874AC" w:rsidRPr="003458B1" w:rsidTr="00DC3249">
        <w:trPr>
          <w:trHeight w:val="346"/>
        </w:trPr>
        <w:tc>
          <w:tcPr>
            <w:tcW w:w="2060" w:type="dxa"/>
            <w:shd w:val="clear" w:color="000000" w:fill="D2EAF1"/>
            <w:noWrap/>
            <w:vAlign w:val="center"/>
          </w:tcPr>
          <w:p w:rsidR="00014BAF" w:rsidRPr="003458B1" w:rsidRDefault="00014BAF" w:rsidP="004F0C61">
            <w:pPr>
              <w:jc w:val="left"/>
              <w:rPr>
                <w:bCs/>
                <w:color w:val="000000"/>
                <w:sz w:val="20"/>
                <w:szCs w:val="20"/>
              </w:rPr>
            </w:pPr>
            <w:r w:rsidRPr="003458B1">
              <w:rPr>
                <w:bCs/>
                <w:color w:val="000000"/>
                <w:sz w:val="20"/>
                <w:szCs w:val="20"/>
              </w:rPr>
              <w:t>All</w:t>
            </w:r>
          </w:p>
        </w:tc>
        <w:tc>
          <w:tcPr>
            <w:tcW w:w="162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6</w:t>
            </w:r>
          </w:p>
        </w:tc>
        <w:tc>
          <w:tcPr>
            <w:tcW w:w="1800" w:type="dxa"/>
            <w:shd w:val="clear" w:color="000000" w:fill="D2EAF1"/>
            <w:noWrap/>
            <w:vAlign w:val="center"/>
          </w:tcPr>
          <w:p w:rsidR="00014BAF" w:rsidRPr="003458B1" w:rsidRDefault="00014BAF" w:rsidP="004F0C61">
            <w:pPr>
              <w:jc w:val="center"/>
              <w:rPr>
                <w:color w:val="000000"/>
                <w:sz w:val="20"/>
                <w:szCs w:val="20"/>
              </w:rPr>
            </w:pPr>
            <w:r>
              <w:rPr>
                <w:color w:val="000000"/>
                <w:sz w:val="20"/>
                <w:szCs w:val="20"/>
              </w:rPr>
              <w:t>85%/</w:t>
            </w:r>
            <w:r w:rsidRPr="003458B1">
              <w:rPr>
                <w:color w:val="000000"/>
                <w:sz w:val="20"/>
                <w:szCs w:val="20"/>
              </w:rPr>
              <w:t>15%</w:t>
            </w:r>
          </w:p>
        </w:tc>
        <w:tc>
          <w:tcPr>
            <w:tcW w:w="189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6</w:t>
            </w:r>
          </w:p>
        </w:tc>
        <w:tc>
          <w:tcPr>
            <w:tcW w:w="1800" w:type="dxa"/>
            <w:shd w:val="clear" w:color="000000" w:fill="D2EAF1"/>
            <w:noWrap/>
            <w:vAlign w:val="center"/>
          </w:tcPr>
          <w:p w:rsidR="00014BAF" w:rsidRPr="003458B1" w:rsidRDefault="00014BAF" w:rsidP="004F0C61">
            <w:pPr>
              <w:jc w:val="center"/>
              <w:rPr>
                <w:color w:val="000000"/>
                <w:sz w:val="20"/>
                <w:szCs w:val="20"/>
              </w:rPr>
            </w:pPr>
            <w:r w:rsidRPr="003458B1">
              <w:rPr>
                <w:color w:val="000000"/>
                <w:sz w:val="20"/>
                <w:szCs w:val="20"/>
              </w:rPr>
              <w:t>6</w:t>
            </w:r>
          </w:p>
        </w:tc>
      </w:tr>
    </w:tbl>
    <w:p w:rsidR="00014BAF" w:rsidRPr="003458B1" w:rsidRDefault="00014BAF" w:rsidP="00014BAF"/>
    <w:p w:rsidR="00014BAF" w:rsidRPr="003458B1" w:rsidRDefault="00014BAF" w:rsidP="00014BAF">
      <w:r w:rsidRPr="003458B1">
        <w:t xml:space="preserve">The achieved precision levels for both energy and peak demand are shown in </w:t>
      </w:r>
      <w:r w:rsidR="009D17D5">
        <w:fldChar w:fldCharType="begin"/>
      </w:r>
      <w:r w:rsidR="009D17D5">
        <w:instrText xml:space="preserve"> REF _Ref473466238 \h </w:instrText>
      </w:r>
      <w:r w:rsidR="009D17D5">
        <w:fldChar w:fldCharType="separate"/>
      </w:r>
      <w:r w:rsidR="00A874AC" w:rsidRPr="003458B1">
        <w:t>Table A-</w:t>
      </w:r>
      <w:r w:rsidR="00A874AC">
        <w:rPr>
          <w:noProof/>
        </w:rPr>
        <w:t>124</w:t>
      </w:r>
      <w:r w:rsidR="009D17D5">
        <w:fldChar w:fldCharType="end"/>
      </w:r>
      <w:r w:rsidRPr="003458B1">
        <w:t>. The results show that the samples represented the population in this program effectively and that the precision target was met.</w:t>
      </w:r>
    </w:p>
    <w:p w:rsidR="00014BAF" w:rsidRPr="003458B1" w:rsidRDefault="00014BAF" w:rsidP="00014BAF"/>
    <w:p w:rsidR="00014BAF" w:rsidRPr="003458B1" w:rsidRDefault="00014BAF" w:rsidP="00014BAF">
      <w:pPr>
        <w:pStyle w:val="Caption"/>
        <w:rPr>
          <w:bCs w:val="0"/>
        </w:rPr>
      </w:pPr>
      <w:bookmarkStart w:id="1209" w:name="_Ref473466238"/>
      <w:bookmarkStart w:id="1210" w:name="_Toc472472533"/>
      <w:bookmarkStart w:id="1211" w:name="_Toc476842239"/>
      <w:r w:rsidRPr="003458B1">
        <w:t>Table A-</w:t>
      </w:r>
      <w:fldSimple w:instr=" SEQ Table_A- \* ARABIC ">
        <w:r w:rsidR="00C301D0">
          <w:rPr>
            <w:noProof/>
          </w:rPr>
          <w:t>124</w:t>
        </w:r>
      </w:fldSimple>
      <w:bookmarkEnd w:id="1209"/>
      <w:r w:rsidRPr="003458B1">
        <w:t>:</w:t>
      </w:r>
      <w:r w:rsidRPr="003458B1">
        <w:rPr>
          <w:bCs w:val="0"/>
        </w:rPr>
        <w:t xml:space="preserve"> Observed Coefficients of Variation and Relative Precisions – PECO’s SOS Program</w:t>
      </w:r>
      <w:bookmarkEnd w:id="1210"/>
      <w:bookmarkEnd w:id="1211"/>
    </w:p>
    <w:tbl>
      <w:tblPr>
        <w:tblW w:w="9360"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2250"/>
        <w:gridCol w:w="2160"/>
        <w:gridCol w:w="1288"/>
        <w:gridCol w:w="2132"/>
        <w:gridCol w:w="1530"/>
      </w:tblGrid>
      <w:tr w:rsidR="00A874AC" w:rsidRPr="003458B1" w:rsidTr="004F0C61">
        <w:trPr>
          <w:trHeight w:val="1078"/>
          <w:jc w:val="center"/>
        </w:trPr>
        <w:tc>
          <w:tcPr>
            <w:tcW w:w="2250" w:type="dxa"/>
            <w:shd w:val="clear" w:color="000000" w:fill="448A99"/>
            <w:vAlign w:val="bottom"/>
            <w:hideMark/>
          </w:tcPr>
          <w:p w:rsidR="00014BAF" w:rsidRPr="003458B1" w:rsidRDefault="00014BAF" w:rsidP="004F0C61">
            <w:pPr>
              <w:jc w:val="left"/>
              <w:rPr>
                <w:b/>
                <w:bCs/>
                <w:color w:val="FFFFFF"/>
                <w:sz w:val="20"/>
                <w:szCs w:val="20"/>
              </w:rPr>
            </w:pPr>
            <w:r w:rsidRPr="003458B1">
              <w:rPr>
                <w:b/>
                <w:bCs/>
                <w:color w:val="FFFFFF"/>
                <w:sz w:val="20"/>
                <w:szCs w:val="20"/>
              </w:rPr>
              <w:t>Stratum</w:t>
            </w:r>
          </w:p>
        </w:tc>
        <w:tc>
          <w:tcPr>
            <w:tcW w:w="216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Energy</w:t>
            </w:r>
          </w:p>
        </w:tc>
        <w:tc>
          <w:tcPr>
            <w:tcW w:w="1288"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Energy</w:t>
            </w:r>
          </w:p>
        </w:tc>
        <w:tc>
          <w:tcPr>
            <w:tcW w:w="2132"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Observed Coefficient of Variation (Cv) or Proportion in Sample Design for Demand</w:t>
            </w:r>
          </w:p>
        </w:tc>
        <w:tc>
          <w:tcPr>
            <w:tcW w:w="1530" w:type="dxa"/>
            <w:shd w:val="clear" w:color="000000" w:fill="448A99"/>
            <w:vAlign w:val="bottom"/>
            <w:hideMark/>
          </w:tcPr>
          <w:p w:rsidR="00014BAF" w:rsidRPr="003458B1" w:rsidRDefault="00014BAF" w:rsidP="004F0C61">
            <w:pPr>
              <w:jc w:val="center"/>
              <w:rPr>
                <w:b/>
                <w:bCs/>
                <w:color w:val="FFFFFF"/>
                <w:sz w:val="20"/>
                <w:szCs w:val="20"/>
              </w:rPr>
            </w:pPr>
            <w:r w:rsidRPr="003458B1">
              <w:rPr>
                <w:b/>
                <w:bCs/>
                <w:color w:val="FFFFFF"/>
                <w:sz w:val="20"/>
                <w:szCs w:val="20"/>
              </w:rPr>
              <w:t>Relative Precision at 85% C.L. for Demand</w:t>
            </w:r>
          </w:p>
        </w:tc>
      </w:tr>
      <w:tr w:rsidR="00E7173E" w:rsidRPr="003458B1" w:rsidTr="00AF6BD2">
        <w:trPr>
          <w:trHeight w:val="360"/>
          <w:jc w:val="center"/>
        </w:trPr>
        <w:tc>
          <w:tcPr>
            <w:tcW w:w="2250" w:type="dxa"/>
            <w:shd w:val="clear" w:color="auto" w:fill="auto"/>
            <w:noWrap/>
            <w:vAlign w:val="center"/>
          </w:tcPr>
          <w:p w:rsidR="00014BAF" w:rsidRPr="003458B1" w:rsidRDefault="00014BAF" w:rsidP="004F0C61">
            <w:pPr>
              <w:jc w:val="left"/>
              <w:rPr>
                <w:bCs/>
                <w:color w:val="000000"/>
                <w:sz w:val="20"/>
                <w:szCs w:val="20"/>
              </w:rPr>
            </w:pPr>
            <w:r w:rsidRPr="003458B1">
              <w:rPr>
                <w:bCs/>
                <w:color w:val="000000"/>
                <w:sz w:val="20"/>
                <w:szCs w:val="20"/>
              </w:rPr>
              <w:t>All</w:t>
            </w:r>
          </w:p>
        </w:tc>
        <w:tc>
          <w:tcPr>
            <w:tcW w:w="2160"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0.23</w:t>
            </w:r>
          </w:p>
        </w:tc>
        <w:tc>
          <w:tcPr>
            <w:tcW w:w="1288"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0%</w:t>
            </w:r>
          </w:p>
        </w:tc>
        <w:tc>
          <w:tcPr>
            <w:tcW w:w="2132"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0.26</w:t>
            </w:r>
          </w:p>
        </w:tc>
        <w:tc>
          <w:tcPr>
            <w:tcW w:w="1530" w:type="dxa"/>
            <w:shd w:val="clear" w:color="auto" w:fill="auto"/>
            <w:noWrap/>
            <w:vAlign w:val="center"/>
          </w:tcPr>
          <w:p w:rsidR="00014BAF" w:rsidRPr="003458B1" w:rsidRDefault="00014BAF" w:rsidP="004F0C61">
            <w:pPr>
              <w:jc w:val="center"/>
              <w:rPr>
                <w:color w:val="000000"/>
                <w:sz w:val="20"/>
                <w:szCs w:val="20"/>
              </w:rPr>
            </w:pPr>
            <w:r w:rsidRPr="003458B1">
              <w:rPr>
                <w:color w:val="000000"/>
                <w:sz w:val="20"/>
                <w:szCs w:val="20"/>
              </w:rPr>
              <w:t>0%</w:t>
            </w:r>
          </w:p>
        </w:tc>
      </w:tr>
      <w:tr w:rsidR="00A874AC" w:rsidRPr="003458B1" w:rsidTr="00DC3249">
        <w:trPr>
          <w:trHeight w:val="360"/>
          <w:jc w:val="center"/>
        </w:trPr>
        <w:tc>
          <w:tcPr>
            <w:tcW w:w="2250" w:type="dxa"/>
            <w:shd w:val="clear" w:color="000000" w:fill="D2EAF1"/>
            <w:noWrap/>
            <w:vAlign w:val="center"/>
          </w:tcPr>
          <w:p w:rsidR="00014BAF" w:rsidRPr="003458B1" w:rsidRDefault="00014BAF" w:rsidP="004F0C61">
            <w:pPr>
              <w:jc w:val="left"/>
              <w:rPr>
                <w:bCs/>
                <w:color w:val="000000"/>
                <w:sz w:val="20"/>
                <w:szCs w:val="20"/>
              </w:rPr>
            </w:pPr>
            <w:r w:rsidRPr="003458B1">
              <w:rPr>
                <w:b/>
                <w:bCs/>
                <w:color w:val="000000"/>
                <w:sz w:val="20"/>
                <w:szCs w:val="20"/>
              </w:rPr>
              <w:t>Program Total</w:t>
            </w:r>
          </w:p>
        </w:tc>
        <w:tc>
          <w:tcPr>
            <w:tcW w:w="2160" w:type="dxa"/>
            <w:shd w:val="clear" w:color="000000" w:fill="D2EAF1"/>
            <w:noWrap/>
            <w:vAlign w:val="center"/>
          </w:tcPr>
          <w:p w:rsidR="00014BAF" w:rsidRPr="003458B1" w:rsidRDefault="00014BAF" w:rsidP="004F0C61">
            <w:pPr>
              <w:jc w:val="center"/>
              <w:rPr>
                <w:color w:val="000000"/>
                <w:sz w:val="20"/>
                <w:szCs w:val="20"/>
              </w:rPr>
            </w:pPr>
            <w:r w:rsidRPr="003458B1">
              <w:rPr>
                <w:b/>
                <w:color w:val="000000"/>
                <w:sz w:val="20"/>
                <w:szCs w:val="20"/>
              </w:rPr>
              <w:t>0.23</w:t>
            </w:r>
          </w:p>
        </w:tc>
        <w:tc>
          <w:tcPr>
            <w:tcW w:w="1288" w:type="dxa"/>
            <w:shd w:val="clear" w:color="000000" w:fill="D2EAF1"/>
            <w:noWrap/>
            <w:vAlign w:val="center"/>
          </w:tcPr>
          <w:p w:rsidR="00014BAF" w:rsidRPr="003458B1" w:rsidRDefault="00014BAF" w:rsidP="004F0C61">
            <w:pPr>
              <w:jc w:val="center"/>
              <w:rPr>
                <w:color w:val="000000"/>
                <w:sz w:val="20"/>
                <w:szCs w:val="20"/>
              </w:rPr>
            </w:pPr>
            <w:r w:rsidRPr="003458B1">
              <w:rPr>
                <w:b/>
                <w:color w:val="000000"/>
                <w:sz w:val="20"/>
                <w:szCs w:val="20"/>
              </w:rPr>
              <w:t>0%</w:t>
            </w:r>
          </w:p>
        </w:tc>
        <w:tc>
          <w:tcPr>
            <w:tcW w:w="2132" w:type="dxa"/>
            <w:shd w:val="clear" w:color="000000" w:fill="D2EAF1"/>
            <w:noWrap/>
            <w:vAlign w:val="center"/>
          </w:tcPr>
          <w:p w:rsidR="00014BAF" w:rsidRPr="003458B1" w:rsidRDefault="00014BAF" w:rsidP="004F0C61">
            <w:pPr>
              <w:jc w:val="center"/>
              <w:rPr>
                <w:color w:val="000000"/>
                <w:sz w:val="20"/>
                <w:szCs w:val="20"/>
              </w:rPr>
            </w:pPr>
            <w:r w:rsidRPr="003458B1">
              <w:rPr>
                <w:b/>
                <w:color w:val="000000"/>
                <w:sz w:val="20"/>
                <w:szCs w:val="20"/>
              </w:rPr>
              <w:t>0.26</w:t>
            </w:r>
          </w:p>
        </w:tc>
        <w:tc>
          <w:tcPr>
            <w:tcW w:w="1530" w:type="dxa"/>
            <w:shd w:val="clear" w:color="000000" w:fill="D2EAF1"/>
            <w:noWrap/>
            <w:vAlign w:val="center"/>
          </w:tcPr>
          <w:p w:rsidR="00014BAF" w:rsidRPr="003458B1" w:rsidRDefault="00014BAF" w:rsidP="004F0C61">
            <w:pPr>
              <w:jc w:val="center"/>
              <w:rPr>
                <w:color w:val="000000"/>
                <w:sz w:val="20"/>
                <w:szCs w:val="20"/>
              </w:rPr>
            </w:pPr>
            <w:r w:rsidRPr="003458B1">
              <w:rPr>
                <w:b/>
                <w:color w:val="000000"/>
                <w:sz w:val="20"/>
                <w:szCs w:val="20"/>
              </w:rPr>
              <w:t>0%</w:t>
            </w:r>
          </w:p>
        </w:tc>
      </w:tr>
    </w:tbl>
    <w:p w:rsidR="00014BAF" w:rsidRPr="004B56B4" w:rsidRDefault="00014BAF" w:rsidP="00014BAF"/>
    <w:p w:rsidR="00014BAF" w:rsidRPr="00DB1865" w:rsidRDefault="00014BAF" w:rsidP="00014BAF">
      <w:pPr>
        <w:pStyle w:val="AppendixAHeading4"/>
        <w:rPr>
          <w:rFonts w:eastAsia="Calibri"/>
        </w:rPr>
      </w:pPr>
      <w:bookmarkStart w:id="1212" w:name="_Ref408503296"/>
      <w:bookmarkStart w:id="1213" w:name="_Toc408557474"/>
      <w:r w:rsidRPr="00DB1865">
        <w:rPr>
          <w:rFonts w:eastAsia="Calibri"/>
        </w:rPr>
        <w:t>Ride-Along Site Inspections</w:t>
      </w:r>
      <w:bookmarkEnd w:id="1212"/>
      <w:bookmarkEnd w:id="1213"/>
    </w:p>
    <w:p w:rsidR="00014BAF" w:rsidRPr="00DB1865" w:rsidRDefault="008111EC" w:rsidP="00014BAF">
      <w:pPr>
        <w:spacing w:after="120"/>
      </w:pPr>
      <w:r>
        <w:fldChar w:fldCharType="begin"/>
      </w:r>
      <w:r>
        <w:instrText xml:space="preserve"> REF _Ref473722436 \h </w:instrText>
      </w:r>
      <w:r>
        <w:fldChar w:fldCharType="separate"/>
      </w:r>
      <w:r w:rsidR="00A874AC" w:rsidRPr="004F0C61">
        <w:t>Table A-</w:t>
      </w:r>
      <w:r w:rsidR="00A874AC">
        <w:rPr>
          <w:noProof/>
        </w:rPr>
        <w:t>125</w:t>
      </w:r>
      <w:r>
        <w:fldChar w:fldCharType="end"/>
      </w:r>
      <w:r>
        <w:t xml:space="preserve"> </w:t>
      </w:r>
      <w:r w:rsidR="00014BAF" w:rsidRPr="00DB1865">
        <w:t xml:space="preserve">summarizes the SWE Team’s PY7 ride-along site inspections of PECO non-residential project installations. </w:t>
      </w:r>
      <w:r w:rsidR="00B27FAB">
        <w:t>For PY7, all PECO</w:t>
      </w:r>
      <w:r w:rsidR="00B27FAB" w:rsidRPr="003B2BD3">
        <w:t xml:space="preserve"> PY7 site inspection findings are categorized </w:t>
      </w:r>
      <w:r w:rsidR="00B27FAB">
        <w:t>as</w:t>
      </w:r>
      <w:r w:rsidR="00014BAF" w:rsidRPr="00DB1865">
        <w:t xml:space="preserve">: </w:t>
      </w:r>
    </w:p>
    <w:p w:rsidR="00014BAF" w:rsidRPr="00DB1865" w:rsidRDefault="00014BAF" w:rsidP="00E646C9">
      <w:pPr>
        <w:numPr>
          <w:ilvl w:val="0"/>
          <w:numId w:val="40"/>
        </w:numPr>
        <w:ind w:left="360"/>
      </w:pPr>
      <w:r w:rsidRPr="00DB1865">
        <w:t xml:space="preserve">Evaluation (Eval) findings are associated with ride-along site inspections and may reflect site activities or evaluation contractor savings calculations or reports. </w:t>
      </w:r>
    </w:p>
    <w:p w:rsidR="00014BAF" w:rsidRDefault="00014BAF" w:rsidP="00DC3249"/>
    <w:p w:rsidR="00DC3249" w:rsidRDefault="00DC3249" w:rsidP="004F0C61">
      <w:pPr>
        <w:pStyle w:val="Caption"/>
        <w:sectPr w:rsidR="00DC3249" w:rsidSect="008B741E">
          <w:headerReference w:type="default" r:id="rId166"/>
          <w:footerReference w:type="default" r:id="rId167"/>
          <w:headerReference w:type="first" r:id="rId168"/>
          <w:footerReference w:type="first" r:id="rId169"/>
          <w:pgSz w:w="12240" w:h="15840"/>
          <w:pgMar w:top="1440" w:right="1440" w:bottom="1440" w:left="1440" w:header="720" w:footer="288" w:gutter="0"/>
          <w:cols w:space="720"/>
          <w:titlePg/>
          <w:docGrid w:linePitch="360"/>
        </w:sectPr>
      </w:pPr>
      <w:bookmarkStart w:id="1214" w:name="_Ref472470014"/>
      <w:bookmarkStart w:id="1215" w:name="_Toc472472534"/>
    </w:p>
    <w:p w:rsidR="00014BAF" w:rsidRPr="00DB1865" w:rsidRDefault="004F0C61" w:rsidP="004F0C61">
      <w:pPr>
        <w:pStyle w:val="Caption"/>
      </w:pPr>
      <w:bookmarkStart w:id="1216" w:name="_Ref473722436"/>
      <w:bookmarkStart w:id="1217" w:name="_Toc476842240"/>
      <w:r w:rsidRPr="004F0C61">
        <w:t>Table A-</w:t>
      </w:r>
      <w:fldSimple w:instr=" SEQ Table_A- \* ARABIC ">
        <w:r w:rsidR="00C301D0">
          <w:rPr>
            <w:noProof/>
          </w:rPr>
          <w:t>125</w:t>
        </w:r>
      </w:fldSimple>
      <w:bookmarkEnd w:id="1214"/>
      <w:bookmarkEnd w:id="1216"/>
      <w:r w:rsidRPr="004F0C61">
        <w:t xml:space="preserve">: </w:t>
      </w:r>
      <w:r w:rsidRPr="004F0C61">
        <w:rPr>
          <w:bCs w:val="0"/>
        </w:rPr>
        <w:t>PECO’s PY7 Non-Residential Site Inspection Findings</w:t>
      </w:r>
      <w:bookmarkEnd w:id="1215"/>
      <w:bookmarkEnd w:id="1217"/>
    </w:p>
    <w:tbl>
      <w:tblPr>
        <w:tblW w:w="129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520"/>
        <w:gridCol w:w="1440"/>
        <w:gridCol w:w="4590"/>
        <w:gridCol w:w="900"/>
        <w:gridCol w:w="4500"/>
      </w:tblGrid>
      <w:tr w:rsidR="00A874AC" w:rsidRPr="00DC3249" w:rsidTr="00DC3249">
        <w:trPr>
          <w:trHeight w:val="300"/>
          <w:tblHeader/>
        </w:trPr>
        <w:tc>
          <w:tcPr>
            <w:tcW w:w="1520" w:type="dxa"/>
            <w:shd w:val="clear" w:color="auto" w:fill="448A99"/>
            <w:noWrap/>
            <w:vAlign w:val="bottom"/>
            <w:hideMark/>
          </w:tcPr>
          <w:p w:rsidR="004F0C61" w:rsidRPr="00DC3249" w:rsidRDefault="004F0C61" w:rsidP="004F0C61">
            <w:pPr>
              <w:jc w:val="left"/>
              <w:rPr>
                <w:b/>
                <w:bCs/>
                <w:color w:val="FFFFFF"/>
                <w:sz w:val="20"/>
                <w:szCs w:val="20"/>
              </w:rPr>
            </w:pPr>
            <w:r w:rsidRPr="00DC3249">
              <w:rPr>
                <w:b/>
                <w:bCs/>
                <w:color w:val="FFFFFF"/>
                <w:sz w:val="20"/>
                <w:szCs w:val="20"/>
              </w:rPr>
              <w:t>Project ID</w:t>
            </w:r>
          </w:p>
        </w:tc>
        <w:tc>
          <w:tcPr>
            <w:tcW w:w="1440" w:type="dxa"/>
            <w:shd w:val="clear" w:color="auto" w:fill="448A99"/>
            <w:noWrap/>
            <w:vAlign w:val="bottom"/>
            <w:hideMark/>
          </w:tcPr>
          <w:p w:rsidR="004F0C61" w:rsidRPr="00DC3249" w:rsidRDefault="004F0C61" w:rsidP="00DC3249">
            <w:pPr>
              <w:jc w:val="center"/>
              <w:rPr>
                <w:b/>
                <w:bCs/>
                <w:color w:val="FFFFFF"/>
                <w:sz w:val="20"/>
                <w:szCs w:val="20"/>
              </w:rPr>
            </w:pPr>
            <w:r w:rsidRPr="00DC3249">
              <w:rPr>
                <w:b/>
                <w:bCs/>
                <w:color w:val="FFFFFF"/>
                <w:sz w:val="20"/>
                <w:szCs w:val="20"/>
              </w:rPr>
              <w:t>Technology</w:t>
            </w:r>
          </w:p>
        </w:tc>
        <w:tc>
          <w:tcPr>
            <w:tcW w:w="4590" w:type="dxa"/>
            <w:shd w:val="clear" w:color="auto" w:fill="448A99"/>
            <w:noWrap/>
            <w:vAlign w:val="bottom"/>
            <w:hideMark/>
          </w:tcPr>
          <w:p w:rsidR="004F0C61" w:rsidRPr="00DC3249" w:rsidRDefault="004F0C61" w:rsidP="00DC3249">
            <w:pPr>
              <w:jc w:val="center"/>
              <w:rPr>
                <w:b/>
                <w:bCs/>
                <w:color w:val="FFFFFF"/>
                <w:sz w:val="20"/>
                <w:szCs w:val="20"/>
              </w:rPr>
            </w:pPr>
            <w:r w:rsidRPr="00DC3249">
              <w:rPr>
                <w:b/>
                <w:bCs/>
                <w:color w:val="FFFFFF"/>
                <w:sz w:val="20"/>
                <w:szCs w:val="20"/>
              </w:rPr>
              <w:t>Finding</w:t>
            </w:r>
          </w:p>
        </w:tc>
        <w:tc>
          <w:tcPr>
            <w:tcW w:w="900" w:type="dxa"/>
            <w:shd w:val="clear" w:color="auto" w:fill="448A99"/>
            <w:noWrap/>
            <w:vAlign w:val="bottom"/>
            <w:hideMark/>
          </w:tcPr>
          <w:p w:rsidR="004F0C61" w:rsidRPr="00DC3249" w:rsidRDefault="004F0C61" w:rsidP="00DC3249">
            <w:pPr>
              <w:jc w:val="center"/>
              <w:rPr>
                <w:b/>
                <w:bCs/>
                <w:color w:val="FFFFFF"/>
                <w:sz w:val="20"/>
                <w:szCs w:val="20"/>
              </w:rPr>
            </w:pPr>
            <w:r w:rsidRPr="00DC3249">
              <w:rPr>
                <w:b/>
                <w:bCs/>
                <w:color w:val="FFFFFF"/>
                <w:sz w:val="20"/>
                <w:szCs w:val="20"/>
              </w:rPr>
              <w:t>Finding Type</w:t>
            </w:r>
          </w:p>
        </w:tc>
        <w:tc>
          <w:tcPr>
            <w:tcW w:w="4500" w:type="dxa"/>
            <w:shd w:val="clear" w:color="auto" w:fill="448A99"/>
            <w:noWrap/>
            <w:vAlign w:val="bottom"/>
            <w:hideMark/>
          </w:tcPr>
          <w:p w:rsidR="004F0C61" w:rsidRPr="00DC3249" w:rsidRDefault="004F0C61" w:rsidP="00DC3249">
            <w:pPr>
              <w:jc w:val="center"/>
              <w:rPr>
                <w:b/>
                <w:bCs/>
                <w:color w:val="FFFFFF"/>
                <w:sz w:val="20"/>
                <w:szCs w:val="20"/>
              </w:rPr>
            </w:pPr>
            <w:r w:rsidRPr="00DC3249">
              <w:rPr>
                <w:b/>
                <w:bCs/>
                <w:color w:val="FFFFFF"/>
                <w:sz w:val="20"/>
                <w:szCs w:val="20"/>
              </w:rPr>
              <w:t>Resolution</w:t>
            </w:r>
          </w:p>
        </w:tc>
      </w:tr>
      <w:tr w:rsidR="00A874AC" w:rsidRPr="00DC3249" w:rsidTr="00DC3249">
        <w:trPr>
          <w:trHeight w:val="732"/>
        </w:trPr>
        <w:tc>
          <w:tcPr>
            <w:tcW w:w="1520" w:type="dxa"/>
            <w:shd w:val="clear" w:color="auto" w:fill="D2EAF1"/>
            <w:noWrap/>
          </w:tcPr>
          <w:p w:rsidR="004F0C61" w:rsidRPr="00DC3249" w:rsidRDefault="004F0C61" w:rsidP="004F0C61">
            <w:pPr>
              <w:rPr>
                <w:sz w:val="20"/>
                <w:szCs w:val="20"/>
              </w:rPr>
            </w:pPr>
            <w:r w:rsidRPr="00DC3249">
              <w:rPr>
                <w:sz w:val="20"/>
                <w:szCs w:val="20"/>
              </w:rPr>
              <w:t>PECO-14-06375</w:t>
            </w:r>
          </w:p>
        </w:tc>
        <w:tc>
          <w:tcPr>
            <w:tcW w:w="1440" w:type="dxa"/>
            <w:shd w:val="clear" w:color="auto" w:fill="D2EAF1"/>
            <w:noWrap/>
          </w:tcPr>
          <w:p w:rsidR="004F0C61" w:rsidRPr="00DC3249" w:rsidRDefault="004F0C61" w:rsidP="00DC3249">
            <w:pPr>
              <w:jc w:val="center"/>
              <w:rPr>
                <w:sz w:val="20"/>
                <w:szCs w:val="20"/>
              </w:rPr>
            </w:pPr>
            <w:r w:rsidRPr="00DC3249">
              <w:rPr>
                <w:sz w:val="20"/>
                <w:szCs w:val="20"/>
              </w:rPr>
              <w:t>HVAC</w:t>
            </w:r>
          </w:p>
        </w:tc>
        <w:tc>
          <w:tcPr>
            <w:tcW w:w="4590" w:type="dxa"/>
            <w:shd w:val="clear" w:color="auto" w:fill="D2EAF1"/>
            <w:noWrap/>
          </w:tcPr>
          <w:p w:rsidR="004F0C61" w:rsidRPr="00DC3249" w:rsidRDefault="004F0C61" w:rsidP="00DC3249">
            <w:pPr>
              <w:jc w:val="center"/>
              <w:rPr>
                <w:color w:val="000000"/>
                <w:sz w:val="20"/>
                <w:szCs w:val="20"/>
              </w:rPr>
            </w:pPr>
            <w:r w:rsidRPr="00DC3249">
              <w:rPr>
                <w:color w:val="000000"/>
                <w:sz w:val="20"/>
                <w:szCs w:val="20"/>
              </w:rPr>
              <w:t xml:space="preserve">The SWE Team found that the </w:t>
            </w:r>
            <w:r w:rsidRPr="00DC3249">
              <w:rPr>
                <w:sz w:val="20"/>
                <w:szCs w:val="20"/>
              </w:rPr>
              <w:t>evaluation contractor’s</w:t>
            </w:r>
            <w:r w:rsidRPr="00DC3249">
              <w:rPr>
                <w:color w:val="000000"/>
                <w:sz w:val="20"/>
                <w:szCs w:val="20"/>
              </w:rPr>
              <w:t xml:space="preserve"> review of the project is accurate.</w:t>
            </w:r>
          </w:p>
        </w:tc>
        <w:tc>
          <w:tcPr>
            <w:tcW w:w="900" w:type="dxa"/>
            <w:shd w:val="clear" w:color="auto" w:fill="D2EAF1"/>
            <w:noWrap/>
          </w:tcPr>
          <w:p w:rsidR="004F0C61" w:rsidRPr="00DC3249" w:rsidRDefault="004F0C61" w:rsidP="00DC3249">
            <w:pPr>
              <w:jc w:val="center"/>
              <w:rPr>
                <w:color w:val="000000"/>
                <w:sz w:val="20"/>
                <w:szCs w:val="20"/>
              </w:rPr>
            </w:pPr>
            <w:r w:rsidRPr="00DC3249">
              <w:rPr>
                <w:color w:val="000000"/>
                <w:sz w:val="20"/>
                <w:szCs w:val="20"/>
              </w:rPr>
              <w:t>Eval</w:t>
            </w:r>
          </w:p>
        </w:tc>
        <w:tc>
          <w:tcPr>
            <w:tcW w:w="4500" w:type="dxa"/>
            <w:shd w:val="clear" w:color="auto" w:fill="D2EAF1"/>
            <w:noWrap/>
          </w:tcPr>
          <w:p w:rsidR="004F0C61" w:rsidRPr="00DC3249" w:rsidRDefault="004F0C61" w:rsidP="00DC3249">
            <w:pPr>
              <w:jc w:val="center"/>
              <w:rPr>
                <w:sz w:val="20"/>
                <w:szCs w:val="20"/>
              </w:rPr>
            </w:pPr>
            <w:r w:rsidRPr="00DC3249">
              <w:rPr>
                <w:sz w:val="20"/>
                <w:szCs w:val="20"/>
              </w:rPr>
              <w:t>The SWE Team had no recommendations based on its review of this project.</w:t>
            </w:r>
          </w:p>
        </w:tc>
      </w:tr>
      <w:tr w:rsidR="00E7173E" w:rsidRPr="00DC3249" w:rsidTr="00AF6BD2">
        <w:trPr>
          <w:trHeight w:val="732"/>
        </w:trPr>
        <w:tc>
          <w:tcPr>
            <w:tcW w:w="1520" w:type="dxa"/>
            <w:shd w:val="clear" w:color="auto" w:fill="auto"/>
            <w:noWrap/>
          </w:tcPr>
          <w:p w:rsidR="004F0C61" w:rsidRPr="00DC3249" w:rsidRDefault="004F0C61" w:rsidP="004F0C61">
            <w:pPr>
              <w:rPr>
                <w:sz w:val="20"/>
                <w:szCs w:val="20"/>
              </w:rPr>
            </w:pPr>
            <w:r w:rsidRPr="00DC3249">
              <w:rPr>
                <w:sz w:val="20"/>
                <w:szCs w:val="20"/>
              </w:rPr>
              <w:t>PECO-14-06458</w:t>
            </w:r>
          </w:p>
        </w:tc>
        <w:tc>
          <w:tcPr>
            <w:tcW w:w="1440" w:type="dxa"/>
            <w:shd w:val="clear" w:color="auto" w:fill="auto"/>
            <w:noWrap/>
          </w:tcPr>
          <w:p w:rsidR="004F0C61" w:rsidRPr="00DC3249" w:rsidRDefault="004F0C61" w:rsidP="00DC3249">
            <w:pPr>
              <w:jc w:val="center"/>
              <w:rPr>
                <w:sz w:val="20"/>
                <w:szCs w:val="20"/>
              </w:rPr>
            </w:pPr>
            <w:r w:rsidRPr="00DC3249">
              <w:rPr>
                <w:sz w:val="20"/>
                <w:szCs w:val="20"/>
              </w:rPr>
              <w:t>HVAC</w:t>
            </w:r>
          </w:p>
        </w:tc>
        <w:tc>
          <w:tcPr>
            <w:tcW w:w="4590" w:type="dxa"/>
            <w:shd w:val="clear" w:color="auto" w:fill="auto"/>
            <w:noWrap/>
          </w:tcPr>
          <w:p w:rsidR="004F0C61" w:rsidRPr="00DC3249" w:rsidRDefault="004F0C61" w:rsidP="00DC3249">
            <w:pPr>
              <w:jc w:val="center"/>
              <w:rPr>
                <w:sz w:val="20"/>
                <w:szCs w:val="20"/>
              </w:rPr>
            </w:pPr>
            <w:r w:rsidRPr="00DC3249">
              <w:rPr>
                <w:sz w:val="20"/>
                <w:szCs w:val="20"/>
              </w:rPr>
              <w:t>The SWE Team found that the evaluation contractor’s review of the project is accurate.</w:t>
            </w:r>
          </w:p>
        </w:tc>
        <w:tc>
          <w:tcPr>
            <w:tcW w:w="900" w:type="dxa"/>
            <w:shd w:val="clear" w:color="auto" w:fill="auto"/>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auto"/>
            <w:noWrap/>
          </w:tcPr>
          <w:p w:rsidR="004F0C61" w:rsidRPr="00DC3249" w:rsidRDefault="004F0C61" w:rsidP="00DC3249">
            <w:pPr>
              <w:jc w:val="center"/>
              <w:rPr>
                <w:sz w:val="20"/>
                <w:szCs w:val="20"/>
              </w:rPr>
            </w:pPr>
            <w:r w:rsidRPr="00DC3249">
              <w:rPr>
                <w:sz w:val="20"/>
                <w:szCs w:val="20"/>
              </w:rPr>
              <w:t>The SWE Team had no recommendations based on its review of this project.</w:t>
            </w:r>
          </w:p>
        </w:tc>
      </w:tr>
      <w:tr w:rsidR="00A874AC" w:rsidRPr="00DC3249" w:rsidTr="00DC3249">
        <w:trPr>
          <w:trHeight w:val="732"/>
        </w:trPr>
        <w:tc>
          <w:tcPr>
            <w:tcW w:w="1520" w:type="dxa"/>
            <w:shd w:val="clear" w:color="auto" w:fill="D2EAF1"/>
            <w:noWrap/>
          </w:tcPr>
          <w:p w:rsidR="004F0C61" w:rsidRPr="00DC3249" w:rsidRDefault="004F0C61" w:rsidP="004F0C61">
            <w:pPr>
              <w:rPr>
                <w:sz w:val="20"/>
                <w:szCs w:val="20"/>
              </w:rPr>
            </w:pPr>
            <w:r w:rsidRPr="00DC3249">
              <w:rPr>
                <w:sz w:val="20"/>
                <w:szCs w:val="20"/>
              </w:rPr>
              <w:t>PECO-14-06778</w:t>
            </w:r>
          </w:p>
        </w:tc>
        <w:tc>
          <w:tcPr>
            <w:tcW w:w="1440" w:type="dxa"/>
            <w:shd w:val="clear" w:color="auto" w:fill="D2EAF1"/>
            <w:noWrap/>
          </w:tcPr>
          <w:p w:rsidR="004F0C61" w:rsidRPr="00DC3249" w:rsidRDefault="004F0C61" w:rsidP="00DC3249">
            <w:pPr>
              <w:jc w:val="center"/>
              <w:rPr>
                <w:sz w:val="20"/>
                <w:szCs w:val="20"/>
              </w:rPr>
            </w:pPr>
            <w:r w:rsidRPr="00DC3249">
              <w:rPr>
                <w:sz w:val="20"/>
                <w:szCs w:val="20"/>
              </w:rPr>
              <w:t>Lighting</w:t>
            </w:r>
          </w:p>
        </w:tc>
        <w:tc>
          <w:tcPr>
            <w:tcW w:w="4590" w:type="dxa"/>
            <w:shd w:val="clear" w:color="auto" w:fill="D2EAF1"/>
            <w:noWrap/>
          </w:tcPr>
          <w:p w:rsidR="004F0C61" w:rsidRPr="00DC3249" w:rsidRDefault="004F0C61" w:rsidP="00DC3249">
            <w:pPr>
              <w:jc w:val="center"/>
              <w:rPr>
                <w:sz w:val="20"/>
                <w:szCs w:val="20"/>
              </w:rPr>
            </w:pPr>
            <w:r w:rsidRPr="00DC3249">
              <w:rPr>
                <w:sz w:val="20"/>
                <w:szCs w:val="20"/>
              </w:rPr>
              <w:t>The SWE Team found that the evaluation contractor’s review of the project is accurate.</w:t>
            </w:r>
          </w:p>
        </w:tc>
        <w:tc>
          <w:tcPr>
            <w:tcW w:w="900" w:type="dxa"/>
            <w:shd w:val="clear" w:color="auto" w:fill="D2EAF1"/>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D2EAF1"/>
            <w:noWrap/>
          </w:tcPr>
          <w:p w:rsidR="004F0C61" w:rsidRPr="00DC3249" w:rsidRDefault="004F0C61" w:rsidP="00DC3249">
            <w:pPr>
              <w:jc w:val="center"/>
              <w:rPr>
                <w:sz w:val="20"/>
                <w:szCs w:val="20"/>
              </w:rPr>
            </w:pPr>
            <w:r w:rsidRPr="00DC3249">
              <w:rPr>
                <w:sz w:val="20"/>
                <w:szCs w:val="20"/>
              </w:rPr>
              <w:t>The SWE Team had no recommendations based on its review of this project.</w:t>
            </w:r>
          </w:p>
        </w:tc>
      </w:tr>
      <w:tr w:rsidR="00E7173E" w:rsidRPr="00DC3249" w:rsidTr="00706E5F">
        <w:trPr>
          <w:trHeight w:val="732"/>
        </w:trPr>
        <w:tc>
          <w:tcPr>
            <w:tcW w:w="1520" w:type="dxa"/>
            <w:shd w:val="clear" w:color="auto" w:fill="auto"/>
            <w:noWrap/>
          </w:tcPr>
          <w:p w:rsidR="004F0C61" w:rsidRPr="00DC3249" w:rsidRDefault="004F0C61" w:rsidP="004F0C61">
            <w:pPr>
              <w:rPr>
                <w:sz w:val="20"/>
                <w:szCs w:val="20"/>
              </w:rPr>
            </w:pPr>
            <w:r w:rsidRPr="00DC3249">
              <w:rPr>
                <w:sz w:val="20"/>
                <w:szCs w:val="20"/>
              </w:rPr>
              <w:t>PECO-14-06963</w:t>
            </w:r>
          </w:p>
        </w:tc>
        <w:tc>
          <w:tcPr>
            <w:tcW w:w="1440" w:type="dxa"/>
            <w:shd w:val="clear" w:color="auto" w:fill="auto"/>
            <w:noWrap/>
          </w:tcPr>
          <w:p w:rsidR="004F0C61" w:rsidRPr="00DC3249" w:rsidRDefault="004F0C61" w:rsidP="00DC3249">
            <w:pPr>
              <w:jc w:val="center"/>
              <w:rPr>
                <w:sz w:val="20"/>
                <w:szCs w:val="20"/>
              </w:rPr>
            </w:pPr>
            <w:r w:rsidRPr="00DC3249">
              <w:rPr>
                <w:sz w:val="20"/>
                <w:szCs w:val="20"/>
              </w:rPr>
              <w:t>HVAC</w:t>
            </w:r>
          </w:p>
        </w:tc>
        <w:tc>
          <w:tcPr>
            <w:tcW w:w="4590" w:type="dxa"/>
            <w:shd w:val="clear" w:color="auto" w:fill="auto"/>
            <w:noWrap/>
          </w:tcPr>
          <w:p w:rsidR="004F0C61" w:rsidRPr="00DC3249" w:rsidRDefault="004F0C61" w:rsidP="00DC3249">
            <w:pPr>
              <w:jc w:val="center"/>
              <w:rPr>
                <w:sz w:val="20"/>
                <w:szCs w:val="20"/>
              </w:rPr>
            </w:pPr>
            <w:r w:rsidRPr="00DC3249">
              <w:rPr>
                <w:sz w:val="20"/>
                <w:szCs w:val="20"/>
              </w:rPr>
              <w:t>The SWE Team found that the evaluation contractor’s review of the project is accurate.</w:t>
            </w:r>
          </w:p>
        </w:tc>
        <w:tc>
          <w:tcPr>
            <w:tcW w:w="900" w:type="dxa"/>
            <w:shd w:val="clear" w:color="auto" w:fill="auto"/>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auto"/>
            <w:noWrap/>
          </w:tcPr>
          <w:p w:rsidR="004F0C61" w:rsidRPr="00DC3249" w:rsidRDefault="004F0C61" w:rsidP="00DC3249">
            <w:pPr>
              <w:jc w:val="center"/>
              <w:rPr>
                <w:sz w:val="20"/>
                <w:szCs w:val="20"/>
              </w:rPr>
            </w:pPr>
            <w:r w:rsidRPr="00DC3249">
              <w:rPr>
                <w:sz w:val="20"/>
                <w:szCs w:val="20"/>
              </w:rPr>
              <w:t>The SWE Team had no recommendations based on its review of this project.</w:t>
            </w:r>
          </w:p>
        </w:tc>
      </w:tr>
      <w:tr w:rsidR="00A874AC" w:rsidRPr="00DC3249" w:rsidTr="00DC3249">
        <w:trPr>
          <w:trHeight w:val="732"/>
        </w:trPr>
        <w:tc>
          <w:tcPr>
            <w:tcW w:w="1520" w:type="dxa"/>
            <w:shd w:val="clear" w:color="auto" w:fill="D2EAF1"/>
            <w:noWrap/>
          </w:tcPr>
          <w:p w:rsidR="004F0C61" w:rsidRPr="00DC3249" w:rsidRDefault="004F0C61" w:rsidP="004F0C61">
            <w:pPr>
              <w:rPr>
                <w:sz w:val="20"/>
                <w:szCs w:val="20"/>
              </w:rPr>
            </w:pPr>
            <w:r w:rsidRPr="00DC3249">
              <w:rPr>
                <w:sz w:val="20"/>
                <w:szCs w:val="20"/>
              </w:rPr>
              <w:t>PECO-15-08208</w:t>
            </w:r>
          </w:p>
        </w:tc>
        <w:tc>
          <w:tcPr>
            <w:tcW w:w="1440" w:type="dxa"/>
            <w:shd w:val="clear" w:color="auto" w:fill="D2EAF1"/>
            <w:noWrap/>
          </w:tcPr>
          <w:p w:rsidR="004F0C61" w:rsidRPr="00DC3249" w:rsidRDefault="004F0C61" w:rsidP="00DC3249">
            <w:pPr>
              <w:jc w:val="center"/>
              <w:rPr>
                <w:sz w:val="20"/>
                <w:szCs w:val="20"/>
              </w:rPr>
            </w:pPr>
            <w:r w:rsidRPr="00DC3249">
              <w:rPr>
                <w:sz w:val="20"/>
                <w:szCs w:val="20"/>
              </w:rPr>
              <w:t>Lighting</w:t>
            </w:r>
          </w:p>
        </w:tc>
        <w:tc>
          <w:tcPr>
            <w:tcW w:w="4590" w:type="dxa"/>
            <w:shd w:val="clear" w:color="auto" w:fill="D2EAF1"/>
            <w:noWrap/>
          </w:tcPr>
          <w:p w:rsidR="004F0C61" w:rsidRPr="00DC3249" w:rsidRDefault="004F0C61" w:rsidP="00DC3249">
            <w:pPr>
              <w:jc w:val="center"/>
              <w:rPr>
                <w:sz w:val="20"/>
                <w:szCs w:val="20"/>
              </w:rPr>
            </w:pPr>
            <w:r w:rsidRPr="00DC3249">
              <w:rPr>
                <w:sz w:val="20"/>
                <w:szCs w:val="20"/>
              </w:rPr>
              <w:t>The SWE Team found that the evaluation contractor’s review of the project is accurate.</w:t>
            </w:r>
          </w:p>
        </w:tc>
        <w:tc>
          <w:tcPr>
            <w:tcW w:w="900" w:type="dxa"/>
            <w:shd w:val="clear" w:color="auto" w:fill="D2EAF1"/>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D2EAF1"/>
            <w:noWrap/>
          </w:tcPr>
          <w:p w:rsidR="004F0C61" w:rsidRPr="00DC3249" w:rsidRDefault="004F0C61" w:rsidP="00DC3249">
            <w:pPr>
              <w:jc w:val="center"/>
              <w:rPr>
                <w:sz w:val="20"/>
                <w:szCs w:val="20"/>
              </w:rPr>
            </w:pPr>
            <w:r w:rsidRPr="00DC3249">
              <w:rPr>
                <w:sz w:val="20"/>
                <w:szCs w:val="20"/>
              </w:rPr>
              <w:t>The SWE Team had no recommendations based on its review of this project.</w:t>
            </w:r>
          </w:p>
        </w:tc>
      </w:tr>
      <w:tr w:rsidR="00E7173E" w:rsidRPr="00DC3249" w:rsidTr="00706E5F">
        <w:trPr>
          <w:trHeight w:val="732"/>
        </w:trPr>
        <w:tc>
          <w:tcPr>
            <w:tcW w:w="1520" w:type="dxa"/>
            <w:shd w:val="clear" w:color="auto" w:fill="auto"/>
            <w:noWrap/>
          </w:tcPr>
          <w:p w:rsidR="004F0C61" w:rsidRPr="00DC3249" w:rsidRDefault="004F0C61" w:rsidP="004F0C61">
            <w:pPr>
              <w:rPr>
                <w:sz w:val="20"/>
                <w:szCs w:val="20"/>
              </w:rPr>
            </w:pPr>
            <w:r w:rsidRPr="00DC3249">
              <w:rPr>
                <w:sz w:val="20"/>
                <w:szCs w:val="20"/>
              </w:rPr>
              <w:t>PECO-15-07120</w:t>
            </w:r>
          </w:p>
        </w:tc>
        <w:tc>
          <w:tcPr>
            <w:tcW w:w="1440" w:type="dxa"/>
            <w:shd w:val="clear" w:color="auto" w:fill="auto"/>
            <w:noWrap/>
          </w:tcPr>
          <w:p w:rsidR="004F0C61" w:rsidRPr="00DC3249" w:rsidRDefault="004F0C61" w:rsidP="00DC3249">
            <w:pPr>
              <w:jc w:val="center"/>
              <w:rPr>
                <w:sz w:val="20"/>
                <w:szCs w:val="20"/>
              </w:rPr>
            </w:pPr>
            <w:r w:rsidRPr="00DC3249">
              <w:rPr>
                <w:sz w:val="20"/>
                <w:szCs w:val="20"/>
              </w:rPr>
              <w:t>Lighting</w:t>
            </w:r>
          </w:p>
        </w:tc>
        <w:tc>
          <w:tcPr>
            <w:tcW w:w="4590" w:type="dxa"/>
            <w:shd w:val="clear" w:color="auto" w:fill="auto"/>
            <w:noWrap/>
          </w:tcPr>
          <w:p w:rsidR="004F0C61" w:rsidRPr="00DC3249" w:rsidRDefault="004F0C61" w:rsidP="00DC3249">
            <w:pPr>
              <w:jc w:val="center"/>
              <w:rPr>
                <w:color w:val="000000"/>
                <w:sz w:val="20"/>
                <w:szCs w:val="20"/>
              </w:rPr>
            </w:pPr>
            <w:r w:rsidRPr="00DC3249">
              <w:rPr>
                <w:color w:val="000000"/>
                <w:sz w:val="20"/>
                <w:szCs w:val="20"/>
              </w:rPr>
              <w:t>Minor variations in the fixture counts were discovered on-site.</w:t>
            </w:r>
          </w:p>
        </w:tc>
        <w:tc>
          <w:tcPr>
            <w:tcW w:w="900" w:type="dxa"/>
            <w:shd w:val="clear" w:color="auto" w:fill="auto"/>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auto"/>
            <w:noWrap/>
          </w:tcPr>
          <w:p w:rsidR="004F0C61" w:rsidRPr="00DC3249" w:rsidRDefault="004F0C61" w:rsidP="00DC3249">
            <w:pPr>
              <w:jc w:val="center"/>
              <w:rPr>
                <w:color w:val="000000"/>
                <w:sz w:val="20"/>
                <w:szCs w:val="20"/>
              </w:rPr>
            </w:pPr>
            <w:r w:rsidRPr="00DC3249">
              <w:rPr>
                <w:color w:val="000000"/>
                <w:sz w:val="20"/>
                <w:szCs w:val="20"/>
              </w:rPr>
              <w:t>The verified savings evaluation did account for the site findings and the SWE Team had no further recommendations for this project.</w:t>
            </w:r>
          </w:p>
        </w:tc>
      </w:tr>
      <w:tr w:rsidR="00A874AC" w:rsidRPr="00DC3249" w:rsidTr="00DC3249">
        <w:trPr>
          <w:trHeight w:val="732"/>
        </w:trPr>
        <w:tc>
          <w:tcPr>
            <w:tcW w:w="1520" w:type="dxa"/>
            <w:shd w:val="clear" w:color="auto" w:fill="D2EAF1"/>
            <w:noWrap/>
          </w:tcPr>
          <w:p w:rsidR="004F0C61" w:rsidRPr="00DC3249" w:rsidRDefault="004F0C61" w:rsidP="004F0C61">
            <w:pPr>
              <w:rPr>
                <w:sz w:val="20"/>
                <w:szCs w:val="20"/>
              </w:rPr>
            </w:pPr>
            <w:r w:rsidRPr="00DC3249">
              <w:rPr>
                <w:sz w:val="20"/>
                <w:szCs w:val="20"/>
              </w:rPr>
              <w:t>PECO-13-05437</w:t>
            </w:r>
          </w:p>
        </w:tc>
        <w:tc>
          <w:tcPr>
            <w:tcW w:w="1440" w:type="dxa"/>
            <w:shd w:val="clear" w:color="auto" w:fill="D2EAF1"/>
            <w:noWrap/>
          </w:tcPr>
          <w:p w:rsidR="004F0C61" w:rsidRPr="00DC3249" w:rsidRDefault="004F0C61" w:rsidP="00DC3249">
            <w:pPr>
              <w:jc w:val="center"/>
              <w:rPr>
                <w:sz w:val="20"/>
                <w:szCs w:val="20"/>
              </w:rPr>
            </w:pPr>
            <w:r w:rsidRPr="00DC3249">
              <w:rPr>
                <w:sz w:val="20"/>
                <w:szCs w:val="20"/>
              </w:rPr>
              <w:t>HVAC (chillers)</w:t>
            </w:r>
          </w:p>
        </w:tc>
        <w:tc>
          <w:tcPr>
            <w:tcW w:w="4590" w:type="dxa"/>
            <w:shd w:val="clear" w:color="auto" w:fill="D2EAF1"/>
            <w:noWrap/>
          </w:tcPr>
          <w:p w:rsidR="004F0C61" w:rsidRPr="00DC3249" w:rsidRDefault="004F0C61" w:rsidP="00DC3249">
            <w:pPr>
              <w:jc w:val="center"/>
              <w:rPr>
                <w:color w:val="000000"/>
                <w:sz w:val="20"/>
                <w:szCs w:val="20"/>
              </w:rPr>
            </w:pPr>
            <w:r w:rsidRPr="00DC3249">
              <w:rPr>
                <w:color w:val="000000"/>
                <w:sz w:val="20"/>
                <w:szCs w:val="20"/>
              </w:rPr>
              <w:t>Equipment discovered on-site did not match the application; additional lighting project was discovered.</w:t>
            </w:r>
          </w:p>
        </w:tc>
        <w:tc>
          <w:tcPr>
            <w:tcW w:w="900" w:type="dxa"/>
            <w:shd w:val="clear" w:color="auto" w:fill="D2EAF1"/>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D2EAF1"/>
            <w:noWrap/>
          </w:tcPr>
          <w:p w:rsidR="004F0C61" w:rsidRPr="00DC3249" w:rsidRDefault="004F0C61" w:rsidP="00DC3249">
            <w:pPr>
              <w:jc w:val="center"/>
              <w:rPr>
                <w:color w:val="000000"/>
                <w:sz w:val="20"/>
                <w:szCs w:val="20"/>
              </w:rPr>
            </w:pPr>
            <w:r w:rsidRPr="00DC3249">
              <w:rPr>
                <w:color w:val="000000"/>
                <w:sz w:val="20"/>
                <w:szCs w:val="20"/>
              </w:rPr>
              <w:t>The verified savings evaluation did account for the site findings and the SWE Team had no further recommendations for this project.</w:t>
            </w:r>
          </w:p>
        </w:tc>
      </w:tr>
      <w:tr w:rsidR="00E7173E" w:rsidRPr="00DC3249" w:rsidTr="00706E5F">
        <w:trPr>
          <w:trHeight w:val="732"/>
        </w:trPr>
        <w:tc>
          <w:tcPr>
            <w:tcW w:w="1520" w:type="dxa"/>
            <w:shd w:val="clear" w:color="auto" w:fill="auto"/>
            <w:noWrap/>
          </w:tcPr>
          <w:p w:rsidR="004F0C61" w:rsidRPr="00DC3249" w:rsidRDefault="004F0C61" w:rsidP="004F0C61">
            <w:pPr>
              <w:rPr>
                <w:sz w:val="20"/>
                <w:szCs w:val="20"/>
              </w:rPr>
            </w:pPr>
            <w:r w:rsidRPr="00DC3249">
              <w:rPr>
                <w:sz w:val="20"/>
                <w:szCs w:val="20"/>
              </w:rPr>
              <w:t>PECO-15-07594</w:t>
            </w:r>
          </w:p>
        </w:tc>
        <w:tc>
          <w:tcPr>
            <w:tcW w:w="1440" w:type="dxa"/>
            <w:shd w:val="clear" w:color="auto" w:fill="auto"/>
            <w:noWrap/>
          </w:tcPr>
          <w:p w:rsidR="004F0C61" w:rsidRPr="00DC3249" w:rsidRDefault="004F0C61" w:rsidP="00DC3249">
            <w:pPr>
              <w:jc w:val="center"/>
              <w:rPr>
                <w:sz w:val="20"/>
                <w:szCs w:val="20"/>
              </w:rPr>
            </w:pPr>
            <w:r w:rsidRPr="00DC3249">
              <w:rPr>
                <w:sz w:val="20"/>
                <w:szCs w:val="20"/>
              </w:rPr>
              <w:t>HVAC, lighting</w:t>
            </w:r>
          </w:p>
        </w:tc>
        <w:tc>
          <w:tcPr>
            <w:tcW w:w="4590" w:type="dxa"/>
            <w:shd w:val="clear" w:color="auto" w:fill="auto"/>
            <w:noWrap/>
          </w:tcPr>
          <w:p w:rsidR="004F0C61" w:rsidRPr="00DC3249" w:rsidRDefault="004F0C61" w:rsidP="00DC3249">
            <w:pPr>
              <w:jc w:val="center"/>
              <w:rPr>
                <w:color w:val="000000"/>
                <w:sz w:val="20"/>
                <w:szCs w:val="20"/>
              </w:rPr>
            </w:pPr>
            <w:r w:rsidRPr="00DC3249">
              <w:rPr>
                <w:color w:val="000000"/>
                <w:sz w:val="20"/>
                <w:szCs w:val="20"/>
              </w:rPr>
              <w:t xml:space="preserve">The SWE Team found that the </w:t>
            </w:r>
            <w:r w:rsidRPr="00DC3249">
              <w:rPr>
                <w:sz w:val="20"/>
                <w:szCs w:val="20"/>
              </w:rPr>
              <w:t>evaluation contractor’s</w:t>
            </w:r>
            <w:r w:rsidRPr="00DC3249">
              <w:rPr>
                <w:color w:val="000000"/>
                <w:sz w:val="20"/>
                <w:szCs w:val="20"/>
              </w:rPr>
              <w:t xml:space="preserve"> review of the project is accurate.</w:t>
            </w:r>
          </w:p>
        </w:tc>
        <w:tc>
          <w:tcPr>
            <w:tcW w:w="900" w:type="dxa"/>
            <w:shd w:val="clear" w:color="auto" w:fill="auto"/>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auto"/>
            <w:noWrap/>
          </w:tcPr>
          <w:p w:rsidR="004F0C61" w:rsidRPr="00DC3249" w:rsidRDefault="004F0C61" w:rsidP="00DC3249">
            <w:pPr>
              <w:jc w:val="center"/>
              <w:rPr>
                <w:color w:val="000000"/>
                <w:sz w:val="20"/>
                <w:szCs w:val="20"/>
              </w:rPr>
            </w:pPr>
            <w:r w:rsidRPr="00DC3249">
              <w:rPr>
                <w:color w:val="000000"/>
                <w:sz w:val="20"/>
                <w:szCs w:val="20"/>
              </w:rPr>
              <w:t>The SWE Team had no recommendations based on its review of this project.</w:t>
            </w:r>
          </w:p>
        </w:tc>
      </w:tr>
      <w:tr w:rsidR="00A874AC" w:rsidRPr="00DC3249" w:rsidTr="00DC3249">
        <w:trPr>
          <w:trHeight w:val="732"/>
        </w:trPr>
        <w:tc>
          <w:tcPr>
            <w:tcW w:w="1520" w:type="dxa"/>
            <w:shd w:val="clear" w:color="auto" w:fill="D2EAF1"/>
            <w:noWrap/>
          </w:tcPr>
          <w:p w:rsidR="004F0C61" w:rsidRPr="00DC3249" w:rsidRDefault="004F0C61" w:rsidP="004F0C61">
            <w:pPr>
              <w:rPr>
                <w:sz w:val="20"/>
                <w:szCs w:val="20"/>
              </w:rPr>
            </w:pPr>
            <w:r w:rsidRPr="00DC3249">
              <w:rPr>
                <w:sz w:val="20"/>
                <w:szCs w:val="20"/>
              </w:rPr>
              <w:t>PECO-14-06805</w:t>
            </w:r>
          </w:p>
        </w:tc>
        <w:tc>
          <w:tcPr>
            <w:tcW w:w="1440" w:type="dxa"/>
            <w:shd w:val="clear" w:color="auto" w:fill="D2EAF1"/>
            <w:noWrap/>
          </w:tcPr>
          <w:p w:rsidR="004F0C61" w:rsidRPr="00DC3249" w:rsidRDefault="004F0C61" w:rsidP="00DC3249">
            <w:pPr>
              <w:jc w:val="center"/>
              <w:rPr>
                <w:sz w:val="20"/>
                <w:szCs w:val="20"/>
              </w:rPr>
            </w:pPr>
            <w:r w:rsidRPr="00DC3249">
              <w:rPr>
                <w:sz w:val="20"/>
                <w:szCs w:val="20"/>
              </w:rPr>
              <w:t>Recommissioning HVAC</w:t>
            </w:r>
          </w:p>
        </w:tc>
        <w:tc>
          <w:tcPr>
            <w:tcW w:w="4590" w:type="dxa"/>
            <w:shd w:val="clear" w:color="auto" w:fill="D2EAF1"/>
            <w:noWrap/>
          </w:tcPr>
          <w:p w:rsidR="004F0C61" w:rsidRPr="00DC3249" w:rsidRDefault="004F0C61" w:rsidP="00DC3249">
            <w:pPr>
              <w:jc w:val="center"/>
              <w:rPr>
                <w:color w:val="000000"/>
                <w:sz w:val="20"/>
                <w:szCs w:val="20"/>
              </w:rPr>
            </w:pPr>
            <w:r w:rsidRPr="00DC3249">
              <w:rPr>
                <w:color w:val="000000"/>
                <w:sz w:val="20"/>
                <w:szCs w:val="20"/>
              </w:rPr>
              <w:t>The operating hours and VFD settings were found to be different on-site.</w:t>
            </w:r>
          </w:p>
        </w:tc>
        <w:tc>
          <w:tcPr>
            <w:tcW w:w="900" w:type="dxa"/>
            <w:shd w:val="clear" w:color="auto" w:fill="D2EAF1"/>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D2EAF1"/>
            <w:noWrap/>
          </w:tcPr>
          <w:p w:rsidR="004F0C61" w:rsidRPr="00DC3249" w:rsidRDefault="004F0C61" w:rsidP="00DC3249">
            <w:pPr>
              <w:jc w:val="center"/>
              <w:rPr>
                <w:color w:val="000000"/>
                <w:sz w:val="20"/>
                <w:szCs w:val="20"/>
              </w:rPr>
            </w:pPr>
            <w:r w:rsidRPr="00DC3249">
              <w:rPr>
                <w:color w:val="000000"/>
                <w:sz w:val="20"/>
                <w:szCs w:val="20"/>
              </w:rPr>
              <w:t>The verified savings evaluation did account for the site findings and the SWE Team had no further recommendations for this project.</w:t>
            </w:r>
          </w:p>
        </w:tc>
      </w:tr>
      <w:tr w:rsidR="00E7173E" w:rsidRPr="00DC3249" w:rsidTr="00706E5F">
        <w:trPr>
          <w:trHeight w:val="733"/>
        </w:trPr>
        <w:tc>
          <w:tcPr>
            <w:tcW w:w="1520" w:type="dxa"/>
            <w:shd w:val="clear" w:color="auto" w:fill="auto"/>
            <w:noWrap/>
          </w:tcPr>
          <w:p w:rsidR="004F0C61" w:rsidRPr="00DC3249" w:rsidRDefault="004F0C61" w:rsidP="004F0C61">
            <w:pPr>
              <w:rPr>
                <w:sz w:val="20"/>
                <w:szCs w:val="20"/>
              </w:rPr>
            </w:pPr>
            <w:r w:rsidRPr="00DC3249">
              <w:rPr>
                <w:sz w:val="20"/>
                <w:szCs w:val="20"/>
              </w:rPr>
              <w:t>PECO-15-08497</w:t>
            </w:r>
          </w:p>
        </w:tc>
        <w:tc>
          <w:tcPr>
            <w:tcW w:w="1440" w:type="dxa"/>
            <w:shd w:val="clear" w:color="auto" w:fill="auto"/>
            <w:noWrap/>
          </w:tcPr>
          <w:p w:rsidR="004F0C61" w:rsidRPr="00DC3249" w:rsidRDefault="004F0C61" w:rsidP="00DC3249">
            <w:pPr>
              <w:jc w:val="center"/>
              <w:rPr>
                <w:sz w:val="20"/>
                <w:szCs w:val="20"/>
              </w:rPr>
            </w:pPr>
            <w:r w:rsidRPr="00DC3249">
              <w:rPr>
                <w:sz w:val="20"/>
                <w:szCs w:val="20"/>
              </w:rPr>
              <w:t>Lighting</w:t>
            </w:r>
          </w:p>
        </w:tc>
        <w:tc>
          <w:tcPr>
            <w:tcW w:w="4590" w:type="dxa"/>
            <w:shd w:val="clear" w:color="auto" w:fill="auto"/>
            <w:noWrap/>
          </w:tcPr>
          <w:p w:rsidR="004F0C61" w:rsidRPr="00DC3249" w:rsidRDefault="004F0C61" w:rsidP="00DC3249">
            <w:pPr>
              <w:jc w:val="center"/>
              <w:rPr>
                <w:color w:val="000000"/>
                <w:sz w:val="20"/>
                <w:szCs w:val="20"/>
              </w:rPr>
            </w:pPr>
            <w:r w:rsidRPr="00DC3249">
              <w:rPr>
                <w:color w:val="000000"/>
                <w:sz w:val="20"/>
                <w:szCs w:val="20"/>
              </w:rPr>
              <w:t xml:space="preserve">The SWE Team found that the </w:t>
            </w:r>
            <w:r w:rsidRPr="00DC3249">
              <w:rPr>
                <w:sz w:val="20"/>
                <w:szCs w:val="20"/>
              </w:rPr>
              <w:t>evaluation contractor’s</w:t>
            </w:r>
            <w:r w:rsidRPr="00DC3249">
              <w:rPr>
                <w:color w:val="000000"/>
                <w:sz w:val="20"/>
                <w:szCs w:val="20"/>
              </w:rPr>
              <w:t xml:space="preserve"> review of the project is accurate.</w:t>
            </w:r>
          </w:p>
        </w:tc>
        <w:tc>
          <w:tcPr>
            <w:tcW w:w="900" w:type="dxa"/>
            <w:shd w:val="clear" w:color="auto" w:fill="auto"/>
            <w:noWrap/>
          </w:tcPr>
          <w:p w:rsidR="004F0C61" w:rsidRPr="00DC3249" w:rsidRDefault="004F0C61" w:rsidP="00DC3249">
            <w:pPr>
              <w:jc w:val="center"/>
              <w:rPr>
                <w:sz w:val="20"/>
                <w:szCs w:val="20"/>
              </w:rPr>
            </w:pPr>
            <w:r w:rsidRPr="00DC3249">
              <w:rPr>
                <w:sz w:val="20"/>
                <w:szCs w:val="20"/>
              </w:rPr>
              <w:t>Eval</w:t>
            </w:r>
          </w:p>
        </w:tc>
        <w:tc>
          <w:tcPr>
            <w:tcW w:w="4500" w:type="dxa"/>
            <w:shd w:val="clear" w:color="auto" w:fill="auto"/>
            <w:noWrap/>
          </w:tcPr>
          <w:p w:rsidR="004F0C61" w:rsidRPr="00DC3249" w:rsidRDefault="004F0C61" w:rsidP="00DC3249">
            <w:pPr>
              <w:jc w:val="center"/>
              <w:rPr>
                <w:color w:val="000000"/>
                <w:sz w:val="20"/>
                <w:szCs w:val="20"/>
              </w:rPr>
            </w:pPr>
            <w:r w:rsidRPr="00DC3249">
              <w:rPr>
                <w:color w:val="000000"/>
                <w:sz w:val="20"/>
                <w:szCs w:val="20"/>
              </w:rPr>
              <w:t>The SWE Team had no recommendations based on its review of this project.</w:t>
            </w:r>
          </w:p>
        </w:tc>
      </w:tr>
    </w:tbl>
    <w:p w:rsidR="00014BAF" w:rsidRDefault="00014BAF" w:rsidP="00014BAF"/>
    <w:p w:rsidR="00DC3249" w:rsidRDefault="00DC3249" w:rsidP="0016779B">
      <w:pPr>
        <w:pStyle w:val="AppendixAHeading4"/>
        <w:rPr>
          <w:rFonts w:eastAsia="Calibri"/>
        </w:rPr>
        <w:sectPr w:rsidR="00DC3249" w:rsidSect="00DC3249">
          <w:headerReference w:type="first" r:id="rId170"/>
          <w:footerReference w:type="first" r:id="rId171"/>
          <w:pgSz w:w="15840" w:h="12240" w:orient="landscape"/>
          <w:pgMar w:top="1440" w:right="1440" w:bottom="1440" w:left="1440" w:header="720" w:footer="288" w:gutter="0"/>
          <w:cols w:space="720"/>
          <w:titlePg/>
          <w:docGrid w:linePitch="360"/>
        </w:sectPr>
      </w:pPr>
      <w:bookmarkStart w:id="1218" w:name="_Toc408557475"/>
      <w:bookmarkStart w:id="1219" w:name="_Ref440444412"/>
    </w:p>
    <w:p w:rsidR="0016779B" w:rsidRPr="00EB5DD8" w:rsidRDefault="0016779B" w:rsidP="0016779B">
      <w:pPr>
        <w:pStyle w:val="AppendixAHeading4"/>
        <w:rPr>
          <w:rFonts w:eastAsia="Calibri"/>
        </w:rPr>
      </w:pPr>
      <w:r w:rsidRPr="00EB5DD8">
        <w:rPr>
          <w:rFonts w:eastAsia="Calibri"/>
        </w:rPr>
        <w:t>Verified Savings Review</w:t>
      </w:r>
      <w:bookmarkEnd w:id="1218"/>
      <w:bookmarkEnd w:id="1219"/>
    </w:p>
    <w:p w:rsidR="0016779B" w:rsidRPr="00EB5DD8" w:rsidRDefault="0016779B" w:rsidP="0016779B">
      <w:r w:rsidRPr="00EB5DD8">
        <w:t xml:space="preserve">The SWE Team requested a subset of Navigant’s sample for review. </w:t>
      </w:r>
      <w:r w:rsidRPr="00EB5DD8">
        <w:fldChar w:fldCharType="begin"/>
      </w:r>
      <w:r w:rsidRPr="00EB5DD8">
        <w:instrText xml:space="preserve"> REF _Ref440268882 \h  \* MERGEFORMAT </w:instrText>
      </w:r>
      <w:r w:rsidRPr="00EB5DD8">
        <w:fldChar w:fldCharType="separate"/>
      </w:r>
      <w:r w:rsidR="00A874AC" w:rsidRPr="00EB5DD8">
        <w:t>Table A-</w:t>
      </w:r>
      <w:r w:rsidR="00A874AC">
        <w:t>126</w:t>
      </w:r>
      <w:r w:rsidRPr="00EB5DD8">
        <w:fldChar w:fldCharType="end"/>
      </w:r>
      <w:r w:rsidRPr="00EB5DD8">
        <w:t xml:space="preserve"> shows the energy and demand savings for the projects chosen for SWE </w:t>
      </w:r>
      <w:r w:rsidRPr="00EB5DD8">
        <w:rPr>
          <w:color w:val="000000"/>
        </w:rPr>
        <w:t xml:space="preserve">Team </w:t>
      </w:r>
      <w:r w:rsidRPr="00EB5DD8">
        <w:t>review, as well as the M&amp;V method selected for each project evaluation. The SWE Team was generally pleased with the orderliness of the project files and reports and the level of rigor used in the evaluations. However, there was one discrepancy between the</w:t>
      </w:r>
      <w:r>
        <w:t xml:space="preserve"> verified</w:t>
      </w:r>
      <w:r w:rsidRPr="00EB5DD8">
        <w:t xml:space="preserve"> savings reported in the site-level report for project number PECO-15-08298 and the</w:t>
      </w:r>
      <w:r>
        <w:t xml:space="preserve"> verified</w:t>
      </w:r>
      <w:r w:rsidRPr="00EB5DD8">
        <w:t xml:space="preserve"> savings reported in the tracking system.</w:t>
      </w:r>
    </w:p>
    <w:p w:rsidR="0016779B" w:rsidRPr="00EB5DD8" w:rsidRDefault="0016779B" w:rsidP="0016779B"/>
    <w:p w:rsidR="0016779B" w:rsidRPr="00EB5DD8" w:rsidRDefault="0016779B" w:rsidP="0016779B">
      <w:pPr>
        <w:pStyle w:val="Caption"/>
        <w:rPr>
          <w:bCs w:val="0"/>
        </w:rPr>
      </w:pPr>
      <w:bookmarkStart w:id="1220" w:name="_Ref440268882"/>
      <w:bookmarkStart w:id="1221" w:name="_Toc410199399"/>
      <w:bookmarkStart w:id="1222" w:name="_Toc431462381"/>
      <w:bookmarkStart w:id="1223" w:name="_Toc444269907"/>
      <w:bookmarkStart w:id="1224" w:name="_Toc472472535"/>
      <w:bookmarkStart w:id="1225" w:name="_Toc476842241"/>
      <w:r w:rsidRPr="00EB5DD8">
        <w:t>Table A-</w:t>
      </w:r>
      <w:fldSimple w:instr=" SEQ Table_A- \* ARABIC ">
        <w:r w:rsidR="00C301D0">
          <w:rPr>
            <w:noProof/>
          </w:rPr>
          <w:t>126</w:t>
        </w:r>
      </w:fldSimple>
      <w:bookmarkEnd w:id="1220"/>
      <w:r w:rsidRPr="00EB5DD8">
        <w:t>:</w:t>
      </w:r>
      <w:r w:rsidRPr="00EB5DD8">
        <w:rPr>
          <w:bCs w:val="0"/>
        </w:rPr>
        <w:t xml:space="preserve"> Verified Savings </w:t>
      </w:r>
      <w:r>
        <w:rPr>
          <w:bCs w:val="0"/>
        </w:rPr>
        <w:t xml:space="preserve">and </w:t>
      </w:r>
      <w:r w:rsidRPr="00AE2046">
        <w:rPr>
          <w:bCs w:val="0"/>
        </w:rPr>
        <w:t>M&amp;V Methods</w:t>
      </w:r>
      <w:r>
        <w:rPr>
          <w:bCs w:val="0"/>
        </w:rPr>
        <w:t xml:space="preserve"> </w:t>
      </w:r>
      <w:r w:rsidRPr="00EB5DD8">
        <w:rPr>
          <w:bCs w:val="0"/>
        </w:rPr>
        <w:t>for SWE Team</w:t>
      </w:r>
      <w:r>
        <w:rPr>
          <w:bCs w:val="0"/>
        </w:rPr>
        <w:t>–</w:t>
      </w:r>
      <w:r w:rsidRPr="00EB5DD8">
        <w:rPr>
          <w:bCs w:val="0"/>
        </w:rPr>
        <w:t>Sample</w:t>
      </w:r>
      <w:bookmarkEnd w:id="1221"/>
      <w:bookmarkEnd w:id="1222"/>
      <w:bookmarkEnd w:id="1223"/>
      <w:r>
        <w:rPr>
          <w:bCs w:val="0"/>
        </w:rPr>
        <w:t>d PECO Projects</w:t>
      </w:r>
      <w:bookmarkEnd w:id="1224"/>
      <w:bookmarkEnd w:id="1225"/>
    </w:p>
    <w:tbl>
      <w:tblPr>
        <w:tblStyle w:val="MediumShading1-Accent51"/>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989"/>
        <w:gridCol w:w="1438"/>
        <w:gridCol w:w="1556"/>
        <w:gridCol w:w="1577"/>
        <w:gridCol w:w="1328"/>
        <w:gridCol w:w="2452"/>
      </w:tblGrid>
      <w:tr w:rsidR="00A874AC" w:rsidRPr="008111EC" w:rsidTr="00EE3086">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990" w:type="dxa"/>
            <w:shd w:val="clear" w:color="auto" w:fill="448A99"/>
            <w:vAlign w:val="bottom"/>
          </w:tcPr>
          <w:p w:rsidR="0016779B" w:rsidRPr="008111EC" w:rsidRDefault="0016779B" w:rsidP="00FC4E62">
            <w:pPr>
              <w:rPr>
                <w:rFonts w:eastAsia="Calibri"/>
                <w:noProof/>
                <w:sz w:val="20"/>
              </w:rPr>
            </w:pPr>
            <w:r w:rsidRPr="008111EC">
              <w:rPr>
                <w:rFonts w:eastAsia="Calibri"/>
                <w:noProof/>
                <w:sz w:val="20"/>
              </w:rPr>
              <w:t>Program</w:t>
            </w:r>
          </w:p>
        </w:tc>
        <w:tc>
          <w:tcPr>
            <w:tcW w:w="1440" w:type="dxa"/>
            <w:shd w:val="clear" w:color="auto" w:fill="448A99"/>
            <w:vAlign w:val="bottom"/>
          </w:tcPr>
          <w:p w:rsidR="0016779B" w:rsidRPr="008111EC" w:rsidRDefault="0016779B" w:rsidP="00FC4E62">
            <w:pPr>
              <w:jc w:val="center"/>
              <w:cnfStyle w:val="100000000000" w:firstRow="1" w:lastRow="0" w:firstColumn="0" w:lastColumn="0" w:oddVBand="0" w:evenVBand="0" w:oddHBand="0" w:evenHBand="0" w:firstRowFirstColumn="0" w:firstRowLastColumn="0" w:lastRowFirstColumn="0" w:lastRowLastColumn="0"/>
              <w:rPr>
                <w:rFonts w:eastAsia="Calibri"/>
                <w:noProof/>
                <w:sz w:val="20"/>
              </w:rPr>
            </w:pPr>
            <w:r w:rsidRPr="008111EC">
              <w:rPr>
                <w:rFonts w:eastAsia="Calibri"/>
                <w:noProof/>
                <w:sz w:val="20"/>
              </w:rPr>
              <w:t>Stratum</w:t>
            </w:r>
          </w:p>
        </w:tc>
        <w:tc>
          <w:tcPr>
            <w:tcW w:w="1559" w:type="dxa"/>
            <w:shd w:val="clear" w:color="auto" w:fill="448A99"/>
            <w:vAlign w:val="bottom"/>
          </w:tcPr>
          <w:p w:rsidR="0016779B" w:rsidRPr="008111EC" w:rsidRDefault="0016779B" w:rsidP="00FC4E62">
            <w:pPr>
              <w:jc w:val="center"/>
              <w:cnfStyle w:val="100000000000" w:firstRow="1" w:lastRow="0" w:firstColumn="0" w:lastColumn="0" w:oddVBand="0" w:evenVBand="0" w:oddHBand="0" w:evenHBand="0" w:firstRowFirstColumn="0" w:firstRowLastColumn="0" w:lastRowFirstColumn="0" w:lastRowLastColumn="0"/>
              <w:rPr>
                <w:rFonts w:eastAsia="Calibri"/>
                <w:noProof/>
                <w:sz w:val="20"/>
              </w:rPr>
            </w:pPr>
            <w:r w:rsidRPr="008111EC">
              <w:rPr>
                <w:rFonts w:eastAsia="Calibri"/>
                <w:noProof/>
                <w:sz w:val="20"/>
              </w:rPr>
              <w:t>Project Number</w:t>
            </w:r>
          </w:p>
        </w:tc>
        <w:tc>
          <w:tcPr>
            <w:tcW w:w="1579" w:type="dxa"/>
            <w:shd w:val="clear" w:color="auto" w:fill="448A99"/>
            <w:vAlign w:val="bottom"/>
          </w:tcPr>
          <w:p w:rsidR="0016779B" w:rsidRPr="008111EC" w:rsidRDefault="0016779B" w:rsidP="00FC4E62">
            <w:pPr>
              <w:jc w:val="center"/>
              <w:cnfStyle w:val="100000000000" w:firstRow="1" w:lastRow="0" w:firstColumn="0" w:lastColumn="0" w:oddVBand="0" w:evenVBand="0" w:oddHBand="0" w:evenHBand="0" w:firstRowFirstColumn="0" w:firstRowLastColumn="0" w:lastRowFirstColumn="0" w:lastRowLastColumn="0"/>
              <w:rPr>
                <w:rFonts w:eastAsia="Calibri"/>
                <w:noProof/>
                <w:sz w:val="20"/>
              </w:rPr>
            </w:pPr>
            <w:r w:rsidRPr="008111EC">
              <w:rPr>
                <w:rFonts w:eastAsia="Calibri"/>
                <w:noProof/>
                <w:sz w:val="20"/>
              </w:rPr>
              <w:t>Verified Energy Savings (kWh)</w:t>
            </w:r>
          </w:p>
        </w:tc>
        <w:tc>
          <w:tcPr>
            <w:tcW w:w="1330" w:type="dxa"/>
            <w:shd w:val="clear" w:color="auto" w:fill="448A99"/>
            <w:vAlign w:val="bottom"/>
          </w:tcPr>
          <w:p w:rsidR="0016779B" w:rsidRPr="008111EC" w:rsidRDefault="0016779B" w:rsidP="00FC4E62">
            <w:pPr>
              <w:jc w:val="center"/>
              <w:cnfStyle w:val="100000000000" w:firstRow="1" w:lastRow="0" w:firstColumn="0" w:lastColumn="0" w:oddVBand="0" w:evenVBand="0" w:oddHBand="0" w:evenHBand="0" w:firstRowFirstColumn="0" w:firstRowLastColumn="0" w:lastRowFirstColumn="0" w:lastRowLastColumn="0"/>
              <w:rPr>
                <w:rFonts w:eastAsia="Calibri"/>
                <w:noProof/>
                <w:sz w:val="20"/>
              </w:rPr>
            </w:pPr>
            <w:r w:rsidRPr="008111EC">
              <w:rPr>
                <w:rFonts w:eastAsia="Calibri"/>
                <w:noProof/>
                <w:sz w:val="20"/>
              </w:rPr>
              <w:t>Verified Demand Savings (kW)</w:t>
            </w:r>
          </w:p>
        </w:tc>
        <w:tc>
          <w:tcPr>
            <w:tcW w:w="2457" w:type="dxa"/>
            <w:shd w:val="clear" w:color="auto" w:fill="448A99"/>
            <w:vAlign w:val="bottom"/>
          </w:tcPr>
          <w:p w:rsidR="0016779B" w:rsidRPr="008111EC" w:rsidRDefault="0016779B" w:rsidP="00FC4E62">
            <w:pPr>
              <w:jc w:val="center"/>
              <w:cnfStyle w:val="100000000000" w:firstRow="1" w:lastRow="0" w:firstColumn="0" w:lastColumn="0" w:oddVBand="0" w:evenVBand="0" w:oddHBand="0" w:evenHBand="0" w:firstRowFirstColumn="0" w:firstRowLastColumn="0" w:lastRowFirstColumn="0" w:lastRowLastColumn="0"/>
              <w:rPr>
                <w:rFonts w:eastAsia="Calibri"/>
                <w:noProof/>
                <w:sz w:val="20"/>
              </w:rPr>
            </w:pPr>
            <w:r w:rsidRPr="008111EC">
              <w:rPr>
                <w:rFonts w:eastAsia="Calibri"/>
                <w:noProof/>
                <w:sz w:val="20"/>
              </w:rPr>
              <w:t>M&amp;V Method</w:t>
            </w:r>
          </w:p>
        </w:tc>
      </w:tr>
      <w:tr w:rsidR="00A874AC" w:rsidRPr="008111EC" w:rsidTr="00EE308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0" w:type="dxa"/>
          </w:tcPr>
          <w:p w:rsidR="0016779B" w:rsidRPr="008111EC" w:rsidRDefault="0016779B" w:rsidP="00FC4E62">
            <w:pPr>
              <w:jc w:val="left"/>
              <w:rPr>
                <w:rFonts w:eastAsia="Calibri"/>
                <w:b w:val="0"/>
                <w:noProof/>
                <w:sz w:val="20"/>
              </w:rPr>
            </w:pPr>
            <w:r w:rsidRPr="008111EC">
              <w:rPr>
                <w:rFonts w:eastAsia="Calibri"/>
                <w:b w:val="0"/>
                <w:noProof/>
                <w:sz w:val="20"/>
              </w:rPr>
              <w:t>SEI</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rFonts w:eastAsia="Calibri"/>
                <w:noProof/>
                <w:sz w:val="20"/>
              </w:rPr>
              <w:t>C/I – large</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rFonts w:eastAsia="Calibri"/>
                <w:noProof/>
                <w:sz w:val="20"/>
              </w:rPr>
              <w:t>PECO-15-08298</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sz w:val="20"/>
              </w:rPr>
              <w:t>208,641</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sz w:val="20"/>
              </w:rPr>
              <w:t>18.00</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sz w:val="20"/>
              </w:rPr>
              <w:t>Enhanced rigor option 3: billing regression analysis</w:t>
            </w:r>
          </w:p>
        </w:tc>
      </w:tr>
      <w:tr w:rsidR="005E6D04" w:rsidRPr="008111EC" w:rsidTr="00EE3086">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0" w:type="dxa"/>
          </w:tcPr>
          <w:p w:rsidR="0016779B" w:rsidRPr="008111EC" w:rsidRDefault="0016779B" w:rsidP="00FC4E62">
            <w:pPr>
              <w:jc w:val="left"/>
              <w:rPr>
                <w:rFonts w:eastAsia="Calibri"/>
                <w:b w:val="0"/>
                <w:noProof/>
                <w:sz w:val="20"/>
              </w:rPr>
            </w:pPr>
            <w:r w:rsidRPr="008111EC">
              <w:rPr>
                <w:rFonts w:eastAsia="Calibri"/>
                <w:b w:val="0"/>
                <w:noProof/>
                <w:sz w:val="20"/>
              </w:rPr>
              <w:t>SEI</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20"/>
              </w:rPr>
            </w:pPr>
            <w:r w:rsidRPr="008111EC">
              <w:rPr>
                <w:rFonts w:eastAsia="Calibri"/>
                <w:noProof/>
                <w:sz w:val="20"/>
              </w:rPr>
              <w:t>C/I – medium</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20"/>
              </w:rPr>
            </w:pPr>
            <w:r w:rsidRPr="008111EC">
              <w:rPr>
                <w:rFonts w:eastAsia="Calibri"/>
                <w:noProof/>
                <w:sz w:val="20"/>
              </w:rPr>
              <w:t>PECO-14-06363</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20"/>
              </w:rPr>
            </w:pPr>
            <w:r w:rsidRPr="008111EC">
              <w:rPr>
                <w:sz w:val="20"/>
              </w:rPr>
              <w:t>676,160</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20"/>
              </w:rPr>
            </w:pPr>
            <w:r w:rsidRPr="008111EC">
              <w:rPr>
                <w:sz w:val="20"/>
              </w:rPr>
              <w:t>56.10</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20"/>
              </w:rPr>
            </w:pPr>
            <w:r w:rsidRPr="008111EC">
              <w:rPr>
                <w:sz w:val="20"/>
              </w:rPr>
              <w:t>Enhanced rigor option 2: retrofit isolation engineering models</w:t>
            </w:r>
          </w:p>
        </w:tc>
      </w:tr>
      <w:tr w:rsidR="00A874AC" w:rsidRPr="008111EC" w:rsidTr="00EE308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0" w:type="dxa"/>
          </w:tcPr>
          <w:p w:rsidR="0016779B" w:rsidRPr="008111EC" w:rsidRDefault="0016779B" w:rsidP="00FC4E62">
            <w:pPr>
              <w:jc w:val="left"/>
              <w:rPr>
                <w:rFonts w:eastAsia="Calibri"/>
                <w:b w:val="0"/>
                <w:noProof/>
                <w:sz w:val="20"/>
              </w:rPr>
            </w:pPr>
            <w:r w:rsidRPr="008111EC">
              <w:rPr>
                <w:rFonts w:eastAsia="Calibri"/>
                <w:b w:val="0"/>
                <w:noProof/>
                <w:sz w:val="20"/>
              </w:rPr>
              <w:t>SEI</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rFonts w:eastAsia="Calibri"/>
                <w:noProof/>
                <w:sz w:val="20"/>
              </w:rPr>
              <w:t>C/I – medium</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rFonts w:eastAsia="Calibri"/>
                <w:noProof/>
                <w:sz w:val="20"/>
              </w:rPr>
              <w:t>PECO-15-07770</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sz w:val="20"/>
              </w:rPr>
              <w:t>439,199</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sz w:val="20"/>
              </w:rPr>
              <w:t>34.10</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sz w:val="20"/>
              </w:rPr>
              <w:t>Enhanced rigor option 1: simple engineering model with measurement</w:t>
            </w:r>
          </w:p>
        </w:tc>
      </w:tr>
      <w:tr w:rsidR="005E6D04" w:rsidRPr="008111EC" w:rsidTr="00EE3086">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0" w:type="dxa"/>
          </w:tcPr>
          <w:p w:rsidR="0016779B" w:rsidRPr="008111EC" w:rsidRDefault="0016779B" w:rsidP="00FC4E62">
            <w:pPr>
              <w:jc w:val="left"/>
              <w:rPr>
                <w:rFonts w:eastAsia="Calibri"/>
                <w:b w:val="0"/>
                <w:noProof/>
                <w:sz w:val="20"/>
              </w:rPr>
            </w:pPr>
            <w:r w:rsidRPr="008111EC">
              <w:rPr>
                <w:rFonts w:eastAsia="Calibri"/>
                <w:b w:val="0"/>
                <w:noProof/>
                <w:sz w:val="20"/>
              </w:rPr>
              <w:t>SCI</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20"/>
              </w:rPr>
            </w:pPr>
            <w:r w:rsidRPr="008111EC">
              <w:rPr>
                <w:sz w:val="20"/>
              </w:rPr>
              <w:t xml:space="preserve">Large </w:t>
            </w:r>
            <w:r w:rsidRPr="008111EC">
              <w:rPr>
                <w:rFonts w:eastAsia="Calibri"/>
                <w:noProof/>
                <w:sz w:val="20"/>
              </w:rPr>
              <w:t xml:space="preserve">– </w:t>
            </w:r>
            <w:r w:rsidRPr="008111EC">
              <w:rPr>
                <w:sz w:val="20"/>
              </w:rPr>
              <w:t>Q1–Q3</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20"/>
              </w:rPr>
            </w:pPr>
            <w:r w:rsidRPr="008111EC">
              <w:rPr>
                <w:sz w:val="20"/>
              </w:rPr>
              <w:t>PECO-15-07437</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20"/>
              </w:rPr>
            </w:pPr>
            <w:r w:rsidRPr="008111EC">
              <w:rPr>
                <w:sz w:val="20"/>
              </w:rPr>
              <w:t>1,571,972</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20"/>
              </w:rPr>
            </w:pPr>
            <w:r w:rsidRPr="008111EC">
              <w:rPr>
                <w:sz w:val="20"/>
              </w:rPr>
              <w:t>191.86</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20"/>
              </w:rPr>
            </w:pPr>
            <w:r w:rsidRPr="008111EC">
              <w:rPr>
                <w:sz w:val="20"/>
              </w:rPr>
              <w:t>IPMVP Option A</w:t>
            </w:r>
          </w:p>
        </w:tc>
      </w:tr>
      <w:tr w:rsidR="00A874AC" w:rsidRPr="008111EC" w:rsidTr="00EE3086">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0" w:type="dxa"/>
          </w:tcPr>
          <w:p w:rsidR="0016779B" w:rsidRPr="008111EC" w:rsidRDefault="0016779B" w:rsidP="00FC4E62">
            <w:pPr>
              <w:jc w:val="left"/>
              <w:rPr>
                <w:rFonts w:eastAsia="Calibri"/>
                <w:b w:val="0"/>
                <w:noProof/>
                <w:sz w:val="20"/>
              </w:rPr>
            </w:pPr>
            <w:r w:rsidRPr="008111EC">
              <w:rPr>
                <w:rFonts w:eastAsia="Calibri"/>
                <w:b w:val="0"/>
                <w:noProof/>
                <w:sz w:val="20"/>
              </w:rPr>
              <w:t>SCI</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sz w:val="20"/>
              </w:rPr>
              <w:t>Large whole- building – Q1–Q3</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sz w:val="20"/>
              </w:rPr>
              <w:t>PECO-14-06642</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sz w:val="20"/>
              </w:rPr>
              <w:t>337,690</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sz w:val="20"/>
              </w:rPr>
              <w:t>41.55</w:t>
            </w:r>
          </w:p>
        </w:tc>
        <w:tc>
          <w:tcPr>
            <w:tcW w:w="0" w:type="dxa"/>
          </w:tcPr>
          <w:p w:rsidR="0016779B" w:rsidRPr="008111EC" w:rsidRDefault="0016779B" w:rsidP="00FC4E62">
            <w:pPr>
              <w:jc w:val="center"/>
              <w:cnfStyle w:val="000000100000" w:firstRow="0" w:lastRow="0" w:firstColumn="0" w:lastColumn="0" w:oddVBand="0" w:evenVBand="0" w:oddHBand="1" w:evenHBand="0" w:firstRowFirstColumn="0" w:firstRowLastColumn="0" w:lastRowFirstColumn="0" w:lastRowLastColumn="0"/>
              <w:rPr>
                <w:rFonts w:eastAsia="Calibri"/>
                <w:noProof/>
                <w:sz w:val="20"/>
              </w:rPr>
            </w:pPr>
            <w:r w:rsidRPr="008111EC">
              <w:rPr>
                <w:sz w:val="20"/>
              </w:rPr>
              <w:t>IPMVP Option D</w:t>
            </w:r>
          </w:p>
        </w:tc>
      </w:tr>
      <w:tr w:rsidR="005E6D04" w:rsidRPr="008111EC" w:rsidTr="00EE3086">
        <w:trPr>
          <w:cnfStyle w:val="000000010000" w:firstRow="0" w:lastRow="0" w:firstColumn="0" w:lastColumn="0" w:oddVBand="0" w:evenVBand="0" w:oddHBand="0" w:evenHBand="1"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0" w:type="dxa"/>
          </w:tcPr>
          <w:p w:rsidR="0016779B" w:rsidRPr="008111EC" w:rsidRDefault="0016779B" w:rsidP="00FC4E62">
            <w:pPr>
              <w:jc w:val="left"/>
              <w:rPr>
                <w:rFonts w:eastAsia="Calibri"/>
                <w:b w:val="0"/>
                <w:noProof/>
                <w:sz w:val="20"/>
              </w:rPr>
            </w:pPr>
            <w:r w:rsidRPr="008111EC">
              <w:rPr>
                <w:rFonts w:eastAsia="Calibri"/>
                <w:b w:val="0"/>
                <w:noProof/>
                <w:sz w:val="20"/>
              </w:rPr>
              <w:t>SOS</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20"/>
              </w:rPr>
            </w:pPr>
            <w:r w:rsidRPr="008111EC">
              <w:rPr>
                <w:rFonts w:eastAsia="Calibri"/>
                <w:noProof/>
                <w:sz w:val="20"/>
              </w:rPr>
              <w:t>All</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20"/>
              </w:rPr>
            </w:pPr>
            <w:r w:rsidRPr="008111EC">
              <w:rPr>
                <w:rFonts w:eastAsia="Calibri"/>
                <w:noProof/>
                <w:sz w:val="20"/>
              </w:rPr>
              <w:t>3</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cs="Calibri"/>
                <w:sz w:val="20"/>
              </w:rPr>
            </w:pPr>
            <w:r w:rsidRPr="008111EC">
              <w:rPr>
                <w:rFonts w:cs="Calibri"/>
                <w:sz w:val="20"/>
              </w:rPr>
              <w:t>941,823</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cs="Calibri"/>
                <w:sz w:val="20"/>
              </w:rPr>
            </w:pPr>
            <w:r w:rsidRPr="008111EC">
              <w:rPr>
                <w:rFonts w:cs="Calibri"/>
                <w:sz w:val="20"/>
              </w:rPr>
              <w:t>122.26</w:t>
            </w:r>
          </w:p>
        </w:tc>
        <w:tc>
          <w:tcPr>
            <w:tcW w:w="0" w:type="dxa"/>
          </w:tcPr>
          <w:p w:rsidR="0016779B" w:rsidRPr="008111EC" w:rsidRDefault="0016779B" w:rsidP="00FC4E62">
            <w:pPr>
              <w:jc w:val="center"/>
              <w:cnfStyle w:val="000000010000" w:firstRow="0" w:lastRow="0" w:firstColumn="0" w:lastColumn="0" w:oddVBand="0" w:evenVBand="0" w:oddHBand="0" w:evenHBand="1" w:firstRowFirstColumn="0" w:firstRowLastColumn="0" w:lastRowFirstColumn="0" w:lastRowLastColumn="0"/>
              <w:rPr>
                <w:rFonts w:eastAsia="Calibri"/>
                <w:noProof/>
                <w:sz w:val="20"/>
              </w:rPr>
            </w:pPr>
            <w:r w:rsidRPr="008111EC">
              <w:rPr>
                <w:sz w:val="20"/>
              </w:rPr>
              <w:t>IPMVP Option B</w:t>
            </w:r>
          </w:p>
        </w:tc>
      </w:tr>
    </w:tbl>
    <w:p w:rsidR="0016779B" w:rsidRPr="00EB5DD8" w:rsidRDefault="0016779B" w:rsidP="0016779B"/>
    <w:p w:rsidR="0016779B" w:rsidRPr="00EB5DD8" w:rsidRDefault="0016779B" w:rsidP="0016779B">
      <w:r w:rsidRPr="00EB5DD8">
        <w:t xml:space="preserve">Project number PECO 15-08298 involved </w:t>
      </w:r>
      <w:r>
        <w:t>replacing</w:t>
      </w:r>
      <w:r w:rsidRPr="00EB5DD8">
        <w:t xml:space="preserve"> 152</w:t>
      </w:r>
      <w:r w:rsidR="00EF7546">
        <w:t xml:space="preserve"> packaged terminal heat pumps</w:t>
      </w:r>
      <w:r w:rsidRPr="00EB5DD8">
        <w:t xml:space="preserve"> </w:t>
      </w:r>
      <w:r w:rsidR="00EF7546">
        <w:t>(</w:t>
      </w:r>
      <w:r w:rsidRPr="00EB5DD8">
        <w:t>PTHPs</w:t>
      </w:r>
      <w:r w:rsidR="00EF7546">
        <w:t>)</w:t>
      </w:r>
      <w:r w:rsidRPr="00EB5DD8">
        <w:t xml:space="preserve"> and install</w:t>
      </w:r>
      <w:r>
        <w:t>ing</w:t>
      </w:r>
      <w:r w:rsidRPr="00EB5DD8">
        <w:t xml:space="preserve"> guest occupancy sensors at a hotel in Philadelphia, PA. Navigant performed a site visit to confirm installation and acquired pre- and post-installation billing data from </w:t>
      </w:r>
      <w:r w:rsidR="00E1624A">
        <w:t>PECO</w:t>
      </w:r>
      <w:r>
        <w:t xml:space="preserve"> </w:t>
      </w:r>
      <w:r w:rsidRPr="00EB5DD8">
        <w:t>and used a regression to determine verified savings</w:t>
      </w:r>
      <w:r w:rsidR="003855B5">
        <w:t xml:space="preserve">. </w:t>
      </w:r>
      <w:r w:rsidR="00AB1682">
        <w:t>T</w:t>
      </w:r>
      <w:r w:rsidR="00AB1682" w:rsidRPr="00EB5DD8">
        <w:t>he resulting realization rate was 63%. The verified savings listed in the site report are 158,247 kWh and 0 kW, but the tracking system records</w:t>
      </w:r>
      <w:r w:rsidR="00AB1682">
        <w:t xml:space="preserve"> the verified savings as</w:t>
      </w:r>
      <w:r w:rsidR="00AB1682" w:rsidRPr="00EB5DD8">
        <w:t xml:space="preserve"> 208,641 kWh and 18 kW.</w:t>
      </w:r>
    </w:p>
    <w:p w:rsidR="0016779B" w:rsidRPr="00EB5DD8" w:rsidRDefault="0016779B" w:rsidP="0016779B"/>
    <w:p w:rsidR="0016779B" w:rsidRPr="00EB5DD8" w:rsidRDefault="0016779B" w:rsidP="0016779B">
      <w:r w:rsidRPr="00EB5DD8">
        <w:t>Project number PECO-14-06363 involved install</w:t>
      </w:r>
      <w:r>
        <w:t>ing</w:t>
      </w:r>
      <w:r w:rsidRPr="00EB5DD8">
        <w:t xml:space="preserve"> a </w:t>
      </w:r>
      <w:r>
        <w:t>d</w:t>
      </w:r>
      <w:r w:rsidRPr="00EB5DD8">
        <w:t xml:space="preserve">irect </w:t>
      </w:r>
      <w:r>
        <w:t>d</w:t>
      </w:r>
      <w:r w:rsidRPr="00EB5DD8">
        <w:t>igital HVAC control system and install</w:t>
      </w:r>
      <w:r>
        <w:t>ing</w:t>
      </w:r>
      <w:r w:rsidRPr="00EB5DD8">
        <w:t xml:space="preserve"> VFDs on</w:t>
      </w:r>
      <w:r w:rsidR="009D17D5">
        <w:t xml:space="preserve"> air handler unit</w:t>
      </w:r>
      <w:r w:rsidRPr="00EB5DD8">
        <w:t xml:space="preserve"> </w:t>
      </w:r>
      <w:r w:rsidR="009D17D5">
        <w:t>(</w:t>
      </w:r>
      <w:r w:rsidRPr="00EB5DD8">
        <w:t>AHU</w:t>
      </w:r>
      <w:r w:rsidR="009D17D5">
        <w:t>)</w:t>
      </w:r>
      <w:r w:rsidRPr="00EB5DD8">
        <w:t xml:space="preserve"> supply fan motors in a government building in Norristown, PA. Navigant acquired pre- and post-installation billing data from </w:t>
      </w:r>
      <w:r w:rsidR="00E1624A">
        <w:t>PECO</w:t>
      </w:r>
      <w:r>
        <w:t xml:space="preserve"> </w:t>
      </w:r>
      <w:r w:rsidRPr="00EB5DD8">
        <w:t>and used a regression to determine verified savings. The realization rates were 100%.</w:t>
      </w:r>
    </w:p>
    <w:p w:rsidR="0016779B" w:rsidRPr="00EB5DD8" w:rsidRDefault="0016779B" w:rsidP="0016779B"/>
    <w:p w:rsidR="0016779B" w:rsidRPr="00EB5DD8" w:rsidRDefault="0016779B" w:rsidP="0016779B">
      <w:r w:rsidRPr="00EB5DD8">
        <w:t>Project number PECO-15-07770 involved an interior and exterior LED lighting retrofit at a water treatment plant in Levittown, PA. Several fixtures were discovered to still be in storage and not yet installed, which reduced the ex</w:t>
      </w:r>
      <w:r>
        <w:t xml:space="preserve"> </w:t>
      </w:r>
      <w:r w:rsidRPr="00EB5DD8">
        <w:t>post savings slightly and resulted in realization rates of 95% and 98%</w:t>
      </w:r>
      <w:r>
        <w:t>, respectively,</w:t>
      </w:r>
      <w:r w:rsidRPr="00EB5DD8">
        <w:t xml:space="preserve"> for energy and demand.</w:t>
      </w:r>
    </w:p>
    <w:p w:rsidR="0016779B" w:rsidRPr="00EB5DD8" w:rsidRDefault="0016779B" w:rsidP="0016779B"/>
    <w:p w:rsidR="0016779B" w:rsidRPr="00EB5DD8" w:rsidRDefault="0016779B" w:rsidP="0016779B">
      <w:r w:rsidRPr="00EB5DD8">
        <w:t>Project number PECO-15-07437 involved a new construction interior and exterior lighting, efficient RTU, anti-sweat heater control, and freezer/cooler</w:t>
      </w:r>
      <w:r w:rsidR="000C3B79">
        <w:t xml:space="preserve"> electronically commutated motor</w:t>
      </w:r>
      <w:r w:rsidRPr="00EB5DD8">
        <w:t xml:space="preserve"> </w:t>
      </w:r>
      <w:r w:rsidR="000C3B79">
        <w:t>(</w:t>
      </w:r>
      <w:r w:rsidRPr="00EB5DD8">
        <w:t>ECM</w:t>
      </w:r>
      <w:r w:rsidR="000C3B79">
        <w:t>)</w:t>
      </w:r>
      <w:r w:rsidRPr="00EB5DD8">
        <w:t xml:space="preserve"> project at a retail store in Warrington, PA. Navigant performed a site inspection and metering to reveal 24/7 operation of interior fixtures and dusk-to-dawn operation of exterior fixtures. The original lighting HOU were based on the much lower </w:t>
      </w:r>
      <w:r>
        <w:t>g</w:t>
      </w:r>
      <w:r w:rsidRPr="00EB5DD8">
        <w:t>rocery default, so the realization rates for energy and demand were 167% and 122%, respectively.</w:t>
      </w:r>
    </w:p>
    <w:p w:rsidR="0016779B" w:rsidRPr="00EB5DD8" w:rsidRDefault="0016779B" w:rsidP="0016779B"/>
    <w:p w:rsidR="0016779B" w:rsidRPr="00EB5DD8" w:rsidRDefault="0016779B" w:rsidP="0016779B">
      <w:pPr>
        <w:rPr>
          <w:noProof/>
        </w:rPr>
      </w:pPr>
      <w:r w:rsidRPr="00EB5DD8">
        <w:rPr>
          <w:noProof/>
        </w:rPr>
        <w:t>Project number PECO-14-06642 involved a new construction lighting and HVAC project at a government building in Philadelphia, PA. An on</w:t>
      </w:r>
      <w:r>
        <w:rPr>
          <w:noProof/>
        </w:rPr>
        <w:t>-</w:t>
      </w:r>
      <w:r w:rsidRPr="00EB5DD8">
        <w:rPr>
          <w:noProof/>
        </w:rPr>
        <w:t>site verification was performed to verify installation of equipment</w:t>
      </w:r>
      <w:r>
        <w:rPr>
          <w:noProof/>
        </w:rPr>
        <w:t>,</w:t>
      </w:r>
      <w:r w:rsidRPr="00EB5DD8">
        <w:rPr>
          <w:noProof/>
        </w:rPr>
        <w:t xml:space="preserve"> and trend data </w:t>
      </w:r>
      <w:r>
        <w:rPr>
          <w:noProof/>
        </w:rPr>
        <w:t>were</w:t>
      </w:r>
      <w:r w:rsidRPr="00EB5DD8">
        <w:rPr>
          <w:noProof/>
        </w:rPr>
        <w:t xml:space="preserve"> collected from the EMS system. Th</w:t>
      </w:r>
      <w:r>
        <w:rPr>
          <w:noProof/>
        </w:rPr>
        <w:t>ese</w:t>
      </w:r>
      <w:r w:rsidRPr="00EB5DD8">
        <w:rPr>
          <w:noProof/>
        </w:rPr>
        <w:t xml:space="preserve"> data </w:t>
      </w:r>
      <w:r>
        <w:rPr>
          <w:noProof/>
        </w:rPr>
        <w:t>were</w:t>
      </w:r>
      <w:r w:rsidRPr="00EB5DD8">
        <w:rPr>
          <w:noProof/>
        </w:rPr>
        <w:t xml:space="preserve"> used to update the IPMVP Option D energy simulation model. Savings realization rates </w:t>
      </w:r>
      <w:r>
        <w:rPr>
          <w:noProof/>
        </w:rPr>
        <w:t>were</w:t>
      </w:r>
      <w:r w:rsidRPr="00EB5DD8">
        <w:rPr>
          <w:noProof/>
        </w:rPr>
        <w:t xml:space="preserve"> less than 100% for both energy and demand due to </w:t>
      </w:r>
      <w:r>
        <w:rPr>
          <w:noProof/>
        </w:rPr>
        <w:t xml:space="preserve">the </w:t>
      </w:r>
      <w:r w:rsidRPr="00EB5DD8">
        <w:rPr>
          <w:noProof/>
        </w:rPr>
        <w:t>inclusion of exterior lighting savings and an electric heating penalty in ex post savings.</w:t>
      </w:r>
    </w:p>
    <w:p w:rsidR="0016779B" w:rsidRPr="00EB5DD8" w:rsidRDefault="0016779B" w:rsidP="0016779B">
      <w:pPr>
        <w:rPr>
          <w:noProof/>
        </w:rPr>
      </w:pPr>
    </w:p>
    <w:p w:rsidR="0016779B" w:rsidRPr="00EB5DD8" w:rsidRDefault="0016779B" w:rsidP="0016779B">
      <w:r>
        <w:t>Project</w:t>
      </w:r>
      <w:r w:rsidRPr="00EB5DD8">
        <w:t xml:space="preserve"> 3 involved install</w:t>
      </w:r>
      <w:r>
        <w:t>ing</w:t>
      </w:r>
      <w:r w:rsidRPr="00EB5DD8">
        <w:t xml:space="preserve"> a CHP system at a nursing home in Philadelphia, PA. Navigant performed an on-site inspection to verify installation of equipment and </w:t>
      </w:r>
      <w:r>
        <w:t xml:space="preserve">to </w:t>
      </w:r>
      <w:r w:rsidRPr="00EB5DD8">
        <w:t>review the gas train supplying the engine, electric meters, and thermal monitoring equipment to confirm that IPMVP Option B was the appropriate M&amp;V method. Reviewing trend data revealed that the engine had significant downtime due to oversizing of the system. Therefore, ex</w:t>
      </w:r>
      <w:r>
        <w:t xml:space="preserve"> </w:t>
      </w:r>
      <w:r w:rsidRPr="00EB5DD8">
        <w:t xml:space="preserve">post energy and demand savings </w:t>
      </w:r>
      <w:r>
        <w:t>were</w:t>
      </w:r>
      <w:r w:rsidRPr="00EB5DD8">
        <w:t xml:space="preserve"> significantly below the ex</w:t>
      </w:r>
      <w:r>
        <w:t xml:space="preserve"> </w:t>
      </w:r>
      <w:r w:rsidRPr="00EB5DD8">
        <w:t>ante estimates due to the inclusion of engine downtime hours in the ex</w:t>
      </w:r>
      <w:r>
        <w:t xml:space="preserve"> </w:t>
      </w:r>
      <w:r w:rsidRPr="00EB5DD8">
        <w:t xml:space="preserve">post analysis. Realization rates for energy and demand </w:t>
      </w:r>
      <w:r>
        <w:t>were</w:t>
      </w:r>
      <w:r w:rsidRPr="00EB5DD8">
        <w:t xml:space="preserve"> 48% and 52%, respectively. The SWE agrees with the rigor and approach used in the analysis. </w:t>
      </w:r>
    </w:p>
    <w:p w:rsidR="00014BAF" w:rsidRPr="00014BAF" w:rsidRDefault="00014BAF" w:rsidP="00014BAF"/>
    <w:p w:rsidR="00950837" w:rsidRDefault="00950837" w:rsidP="00D34B3E">
      <w:pPr>
        <w:pStyle w:val="AppendixAHeading3"/>
      </w:pPr>
      <w:r>
        <w:t>Net-to-Gross and Process Evaluation Audit Summary</w:t>
      </w:r>
    </w:p>
    <w:p w:rsidR="00F366E8" w:rsidRPr="00661E10" w:rsidRDefault="00F366E8" w:rsidP="00F366E8">
      <w:r w:rsidRPr="00661E10">
        <w:t xml:space="preserve">The SWE Team’s audit included a review of the process evaluation methods, findings, conclusions, and recommendations in Navigant’s PECO PY7 annual report to determine whether they were consistent with the reporting template provided by the SWE. The SWE Team’s audit of the process reports also included a review of process-related methods and research activities to determine whether they were consistent with the approved evaluation plan, and a review of the linkage between findings, conclusions, and recommendations. </w:t>
      </w:r>
    </w:p>
    <w:p w:rsidR="00F366E8" w:rsidRPr="00661E10" w:rsidRDefault="00F366E8" w:rsidP="00F366E8">
      <w:pPr>
        <w:rPr>
          <w:shd w:val="clear" w:color="auto" w:fill="D9D9D9"/>
        </w:rPr>
      </w:pPr>
    </w:p>
    <w:p w:rsidR="00F366E8" w:rsidRPr="00661E10" w:rsidRDefault="00F366E8" w:rsidP="00F366E8">
      <w:r w:rsidRPr="00661E10">
        <w:t xml:space="preserve">Overall, the process evaluations were consistent with the PY7 evaluation plan. </w:t>
      </w:r>
    </w:p>
    <w:p w:rsidR="00F366E8" w:rsidRPr="00661E10" w:rsidRDefault="00F366E8" w:rsidP="00F366E8"/>
    <w:p w:rsidR="00F366E8" w:rsidRPr="00661E10" w:rsidRDefault="00F366E8" w:rsidP="00F366E8">
      <w:r w:rsidRPr="00661E10">
        <w:t xml:space="preserve">The sampling approaches for the process evaluation activities were appropriate. The participant and customer surveys either attempted a census or used a simple or stratified random sampling approach. All samples had enough cases to achieve at least 85/15 confidence/precision per program. Some samples achieved 90/10 confidence/precision per program. For other non-survey research activities—the in-depth interviews with program staff, implementers, or other program actors—the sampling was purposive. </w:t>
      </w:r>
    </w:p>
    <w:p w:rsidR="00F366E8" w:rsidRPr="00661E10" w:rsidRDefault="00F366E8" w:rsidP="00F366E8">
      <w:pPr>
        <w:rPr>
          <w:color w:val="548DD4"/>
        </w:rPr>
      </w:pPr>
    </w:p>
    <w:p w:rsidR="00F366E8" w:rsidRPr="00661E10" w:rsidRDefault="00F366E8" w:rsidP="008111EC">
      <w:pPr>
        <w:spacing w:after="120"/>
        <w:rPr>
          <w:szCs w:val="20"/>
        </w:rPr>
      </w:pPr>
      <w:r w:rsidRPr="00661E10">
        <w:t xml:space="preserve">The report provided a comprehensive overview of the process evaluation key findings and recommendations. Two areas could be improved: </w:t>
      </w:r>
    </w:p>
    <w:p w:rsidR="00F366E8" w:rsidRPr="008111EC" w:rsidRDefault="00F366E8" w:rsidP="00E646C9">
      <w:pPr>
        <w:pStyle w:val="ListParagraph"/>
        <w:numPr>
          <w:ilvl w:val="0"/>
          <w:numId w:val="88"/>
        </w:numPr>
        <w:ind w:left="360"/>
      </w:pPr>
      <w:r w:rsidRPr="008111EC">
        <w:t>Comparisons between PY7 and PY5 or PY6 data lacked references to the statistical test(s) or variability statistics to determine the significance of the reported differences. The SWE Team recommends reporting this additional level of detail to clarify for the reader that the reported differences were statistically significant.</w:t>
      </w:r>
    </w:p>
    <w:p w:rsidR="00F366E8" w:rsidRPr="008111EC" w:rsidRDefault="00F366E8" w:rsidP="00E646C9">
      <w:pPr>
        <w:pStyle w:val="ListParagraph"/>
        <w:numPr>
          <w:ilvl w:val="0"/>
          <w:numId w:val="88"/>
        </w:numPr>
        <w:ind w:left="360"/>
      </w:pPr>
      <w:r w:rsidRPr="008111EC">
        <w:t xml:space="preserve">The report drew residential program recommendations from key findings rather than from conclusions. The SWE Team recommends connecting findings to conclusions and then to recommendations, to help readers better judge the quality of the recommendations. </w:t>
      </w:r>
    </w:p>
    <w:p w:rsidR="003855B5" w:rsidRPr="008111EC" w:rsidRDefault="003855B5" w:rsidP="003855B5">
      <w:pPr>
        <w:pStyle w:val="ListParagraph"/>
        <w:ind w:left="360"/>
      </w:pPr>
    </w:p>
    <w:p w:rsidR="00F366E8" w:rsidRPr="00661E10" w:rsidRDefault="00F366E8" w:rsidP="00F366E8">
      <w:r w:rsidRPr="00661E10">
        <w:t xml:space="preserve">The report documents included a summary of methods and findings, a table of recommendations, and a description of whether or not the EDC was implementing or considering the recommendations. </w:t>
      </w:r>
    </w:p>
    <w:p w:rsidR="00F366E8" w:rsidRPr="00661E10" w:rsidRDefault="00F366E8" w:rsidP="00F366E8"/>
    <w:p w:rsidR="00F366E8" w:rsidRPr="00661E10" w:rsidRDefault="00F366E8" w:rsidP="00F366E8">
      <w:r w:rsidRPr="00661E10">
        <w:t>The report generally included sufficient detail for the SWE Team and others to assess the methods, findings, conclusions, and recommendations.</w:t>
      </w:r>
    </w:p>
    <w:p w:rsidR="00F366E8" w:rsidRPr="00661E10" w:rsidRDefault="00F366E8" w:rsidP="00F366E8"/>
    <w:p w:rsidR="00F366E8" w:rsidRPr="00661E10" w:rsidRDefault="00F366E8" w:rsidP="00F366E8">
      <w:r w:rsidRPr="00661E10">
        <w:rPr>
          <w:szCs w:val="20"/>
          <w:lang w:val="x-none" w:eastAsia="x-none"/>
        </w:rPr>
        <w:t xml:space="preserve">Detailed summaries </w:t>
      </w:r>
      <w:r w:rsidRPr="00661E10">
        <w:rPr>
          <w:szCs w:val="20"/>
          <w:lang w:eastAsia="x-none"/>
        </w:rPr>
        <w:t xml:space="preserve">of </w:t>
      </w:r>
      <w:r w:rsidRPr="00661E10">
        <w:rPr>
          <w:szCs w:val="20"/>
          <w:lang w:val="x-none" w:eastAsia="x-none"/>
        </w:rPr>
        <w:t>the SWE Team</w:t>
      </w:r>
      <w:r w:rsidRPr="00661E10">
        <w:rPr>
          <w:szCs w:val="20"/>
          <w:lang w:eastAsia="x-none"/>
        </w:rPr>
        <w:t>’s</w:t>
      </w:r>
      <w:r w:rsidRPr="00661E10">
        <w:rPr>
          <w:szCs w:val="20"/>
          <w:lang w:val="x-none" w:eastAsia="x-none"/>
        </w:rPr>
        <w:t xml:space="preserve"> review of the process evaluation by program are in Appendix </w:t>
      </w:r>
      <w:r w:rsidR="00573907">
        <w:rPr>
          <w:szCs w:val="20"/>
          <w:lang w:eastAsia="x-none"/>
        </w:rPr>
        <w:t>B</w:t>
      </w:r>
      <w:r w:rsidRPr="00661E10">
        <w:rPr>
          <w:szCs w:val="20"/>
          <w:lang w:val="x-none" w:eastAsia="x-none"/>
        </w:rPr>
        <w:t>.</w:t>
      </w:r>
    </w:p>
    <w:p w:rsidR="00F366E8" w:rsidRDefault="00F366E8" w:rsidP="00803C3E"/>
    <w:p w:rsidR="00F366E8" w:rsidRPr="006C05B5" w:rsidRDefault="00F366E8" w:rsidP="00F366E8">
      <w:r w:rsidRPr="006C05B5">
        <w:t>Th</w:t>
      </w:r>
      <w:r w:rsidR="00573907">
        <w:t>e remainder of this</w:t>
      </w:r>
      <w:r w:rsidRPr="006C05B5">
        <w:t xml:space="preserve"> section summarizes the activities and key findings of the SWE Team’s NTG audits of PECO’s programs. </w:t>
      </w:r>
    </w:p>
    <w:p w:rsidR="00F366E8" w:rsidRPr="006C05B5" w:rsidRDefault="00F366E8" w:rsidP="00F366E8"/>
    <w:p w:rsidR="00F366E8" w:rsidRPr="006C05B5" w:rsidRDefault="00573907" w:rsidP="00F366E8">
      <w:r>
        <w:fldChar w:fldCharType="begin"/>
      </w:r>
      <w:r>
        <w:instrText xml:space="preserve"> REF _Ref472453697 \h </w:instrText>
      </w:r>
      <w:r>
        <w:fldChar w:fldCharType="separate"/>
      </w:r>
      <w:r w:rsidR="00A874AC" w:rsidRPr="00573907">
        <w:t>Table A-</w:t>
      </w:r>
      <w:r w:rsidR="00A874AC">
        <w:rPr>
          <w:noProof/>
        </w:rPr>
        <w:t>127</w:t>
      </w:r>
      <w:r>
        <w:fldChar w:fldCharType="end"/>
      </w:r>
      <w:r w:rsidR="00F366E8" w:rsidRPr="006C05B5">
        <w:t xml:space="preserve"> summarizes the results of the SWE Team’s audit of Navigant’s NTG assessment of the PECO programs. </w:t>
      </w:r>
    </w:p>
    <w:p w:rsidR="00F366E8" w:rsidRPr="006C05B5" w:rsidRDefault="00F366E8" w:rsidP="00F366E8">
      <w:bookmarkStart w:id="1226" w:name="_Ref409020910"/>
      <w:bookmarkStart w:id="1227" w:name="_Toc409225019"/>
      <w:bookmarkStart w:id="1228" w:name="_Toc409443571"/>
    </w:p>
    <w:p w:rsidR="00F366E8" w:rsidRPr="00573907" w:rsidRDefault="00573907" w:rsidP="00573907">
      <w:pPr>
        <w:pStyle w:val="Caption"/>
      </w:pPr>
      <w:bookmarkStart w:id="1229" w:name="_Ref472453697"/>
      <w:bookmarkStart w:id="1230" w:name="_Toc444269791"/>
      <w:bookmarkStart w:id="1231" w:name="_Toc472472536"/>
      <w:bookmarkStart w:id="1232" w:name="_Toc476842242"/>
      <w:bookmarkEnd w:id="1226"/>
      <w:r w:rsidRPr="00573907">
        <w:t>Table A-</w:t>
      </w:r>
      <w:fldSimple w:instr=" SEQ Table_A- \* ARABIC ">
        <w:r w:rsidR="00C301D0">
          <w:rPr>
            <w:noProof/>
          </w:rPr>
          <w:t>127</w:t>
        </w:r>
      </w:fldSimple>
      <w:bookmarkEnd w:id="1229"/>
      <w:r w:rsidRPr="00573907">
        <w:t>:</w:t>
      </w:r>
      <w:r w:rsidR="00F366E8" w:rsidRPr="00573907">
        <w:t xml:space="preserve"> Summary of SWE Team Review of PECO NTG Evaluations</w:t>
      </w:r>
      <w:bookmarkEnd w:id="1227"/>
      <w:bookmarkEnd w:id="1228"/>
      <w:bookmarkEnd w:id="1230"/>
      <w:bookmarkEnd w:id="1231"/>
      <w:bookmarkEnd w:id="1232"/>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4765"/>
        <w:gridCol w:w="4590"/>
      </w:tblGrid>
      <w:tr w:rsidR="00E7173E" w:rsidRPr="006C05B5" w:rsidTr="005A33A4">
        <w:trPr>
          <w:trHeight w:val="206"/>
          <w:tblHeader/>
        </w:trPr>
        <w:tc>
          <w:tcPr>
            <w:tcW w:w="4765" w:type="dxa"/>
            <w:shd w:val="clear" w:color="auto" w:fill="448A99"/>
            <w:vAlign w:val="bottom"/>
          </w:tcPr>
          <w:p w:rsidR="00F366E8" w:rsidRPr="006C05B5" w:rsidRDefault="00F366E8" w:rsidP="005C1352">
            <w:pPr>
              <w:rPr>
                <w:b/>
                <w:color w:val="FFFFFF"/>
                <w:sz w:val="20"/>
                <w:szCs w:val="20"/>
              </w:rPr>
            </w:pPr>
            <w:r w:rsidRPr="006C05B5">
              <w:rPr>
                <w:b/>
                <w:color w:val="FFFFFF"/>
                <w:sz w:val="20"/>
                <w:szCs w:val="20"/>
              </w:rPr>
              <w:t>Elements Reviewed in PECO Annual Report</w:t>
            </w:r>
          </w:p>
        </w:tc>
        <w:tc>
          <w:tcPr>
            <w:tcW w:w="4590" w:type="dxa"/>
            <w:shd w:val="clear" w:color="auto" w:fill="448A99"/>
            <w:vAlign w:val="bottom"/>
          </w:tcPr>
          <w:p w:rsidR="00F366E8" w:rsidRPr="006C05B5" w:rsidRDefault="00F366E8" w:rsidP="005C1352">
            <w:pPr>
              <w:jc w:val="center"/>
              <w:rPr>
                <w:b/>
                <w:color w:val="FFFFFF"/>
                <w:sz w:val="20"/>
                <w:szCs w:val="20"/>
              </w:rPr>
            </w:pPr>
            <w:r w:rsidRPr="006C05B5">
              <w:rPr>
                <w:b/>
                <w:color w:val="FFFFFF"/>
                <w:sz w:val="20"/>
                <w:szCs w:val="20"/>
              </w:rPr>
              <w:t>SWE Findings</w:t>
            </w:r>
          </w:p>
        </w:tc>
      </w:tr>
      <w:tr w:rsidR="00E7173E" w:rsidRPr="006C05B5" w:rsidTr="005A33A4">
        <w:trPr>
          <w:trHeight w:val="288"/>
        </w:trPr>
        <w:tc>
          <w:tcPr>
            <w:tcW w:w="9355" w:type="dxa"/>
            <w:gridSpan w:val="2"/>
            <w:shd w:val="clear" w:color="auto" w:fill="9C9393"/>
            <w:vAlign w:val="center"/>
          </w:tcPr>
          <w:p w:rsidR="00F366E8" w:rsidRPr="006C05B5" w:rsidRDefault="00F366E8" w:rsidP="005C1352">
            <w:pPr>
              <w:jc w:val="left"/>
              <w:rPr>
                <w:b/>
                <w:color w:val="FFFFFF"/>
                <w:sz w:val="20"/>
                <w:szCs w:val="20"/>
              </w:rPr>
            </w:pPr>
            <w:r w:rsidRPr="006C05B5">
              <w:rPr>
                <w:b/>
                <w:color w:val="FFFFFF"/>
                <w:sz w:val="20"/>
                <w:szCs w:val="20"/>
              </w:rPr>
              <w:t>Use of NTG Common Method or Explanation for Alternate Method</w:t>
            </w:r>
          </w:p>
        </w:tc>
      </w:tr>
      <w:tr w:rsidR="00E7173E" w:rsidRPr="006C05B5" w:rsidTr="005A33A4">
        <w:trPr>
          <w:trHeight w:val="346"/>
        </w:trPr>
        <w:tc>
          <w:tcPr>
            <w:tcW w:w="4765" w:type="dxa"/>
            <w:shd w:val="clear" w:color="auto" w:fill="FFFFFF"/>
            <w:vAlign w:val="center"/>
          </w:tcPr>
          <w:p w:rsidR="00F366E8" w:rsidRPr="006C05B5" w:rsidRDefault="00F366E8" w:rsidP="005C1352">
            <w:pPr>
              <w:jc w:val="left"/>
              <w:rPr>
                <w:sz w:val="20"/>
                <w:szCs w:val="20"/>
              </w:rPr>
            </w:pPr>
            <w:r w:rsidRPr="006C05B5">
              <w:rPr>
                <w:sz w:val="20"/>
                <w:szCs w:val="20"/>
              </w:rPr>
              <w:t>Availability of NTG data files and documents</w:t>
            </w:r>
          </w:p>
        </w:tc>
        <w:tc>
          <w:tcPr>
            <w:tcW w:w="4590" w:type="dxa"/>
            <w:shd w:val="clear" w:color="auto" w:fill="FFFFFF"/>
            <w:vAlign w:val="center"/>
          </w:tcPr>
          <w:p w:rsidR="00F366E8" w:rsidRPr="006C05B5" w:rsidRDefault="00F366E8" w:rsidP="008111EC">
            <w:pPr>
              <w:jc w:val="center"/>
              <w:rPr>
                <w:sz w:val="20"/>
                <w:szCs w:val="20"/>
              </w:rPr>
            </w:pPr>
            <w:r w:rsidRPr="006C05B5">
              <w:rPr>
                <w:sz w:val="20"/>
                <w:szCs w:val="20"/>
              </w:rPr>
              <w:t>Yes, with exceptions noted</w:t>
            </w:r>
          </w:p>
        </w:tc>
      </w:tr>
      <w:tr w:rsidR="00E7173E" w:rsidRPr="006C05B5" w:rsidTr="005A33A4">
        <w:trPr>
          <w:trHeight w:val="346"/>
        </w:trPr>
        <w:tc>
          <w:tcPr>
            <w:tcW w:w="4765" w:type="dxa"/>
            <w:shd w:val="clear" w:color="auto" w:fill="D2EAF1"/>
            <w:vAlign w:val="center"/>
          </w:tcPr>
          <w:p w:rsidR="00F366E8" w:rsidRPr="006C05B5" w:rsidRDefault="00F366E8" w:rsidP="005C1352">
            <w:pPr>
              <w:jc w:val="left"/>
              <w:rPr>
                <w:sz w:val="20"/>
                <w:szCs w:val="20"/>
              </w:rPr>
            </w:pPr>
            <w:r w:rsidRPr="006C05B5">
              <w:rPr>
                <w:sz w:val="20"/>
                <w:szCs w:val="20"/>
              </w:rPr>
              <w:t>NTG method used – the common method or another</w:t>
            </w:r>
          </w:p>
        </w:tc>
        <w:tc>
          <w:tcPr>
            <w:tcW w:w="4590" w:type="dxa"/>
            <w:shd w:val="clear" w:color="auto" w:fill="D2EAF1"/>
            <w:vAlign w:val="center"/>
          </w:tcPr>
          <w:p w:rsidR="00F366E8" w:rsidRPr="006C05B5" w:rsidRDefault="00F366E8" w:rsidP="008111EC">
            <w:pPr>
              <w:jc w:val="center"/>
              <w:rPr>
                <w:sz w:val="20"/>
                <w:szCs w:val="20"/>
              </w:rPr>
            </w:pPr>
            <w:r w:rsidRPr="006C05B5">
              <w:rPr>
                <w:sz w:val="20"/>
                <w:szCs w:val="20"/>
              </w:rPr>
              <w:t>Common method</w:t>
            </w:r>
          </w:p>
        </w:tc>
      </w:tr>
      <w:tr w:rsidR="00E7173E" w:rsidRPr="006C05B5" w:rsidTr="005A33A4">
        <w:trPr>
          <w:trHeight w:val="346"/>
        </w:trPr>
        <w:tc>
          <w:tcPr>
            <w:tcW w:w="4765" w:type="dxa"/>
            <w:shd w:val="clear" w:color="auto" w:fill="FFFFFF"/>
            <w:vAlign w:val="center"/>
          </w:tcPr>
          <w:p w:rsidR="00F366E8" w:rsidRPr="006C05B5" w:rsidRDefault="00F366E8" w:rsidP="005C1352">
            <w:pPr>
              <w:jc w:val="left"/>
              <w:rPr>
                <w:sz w:val="20"/>
                <w:szCs w:val="20"/>
              </w:rPr>
            </w:pPr>
            <w:r w:rsidRPr="006C05B5">
              <w:rPr>
                <w:sz w:val="20"/>
                <w:szCs w:val="20"/>
              </w:rPr>
              <w:t>NTG common method applied correctly</w:t>
            </w:r>
          </w:p>
        </w:tc>
        <w:tc>
          <w:tcPr>
            <w:tcW w:w="4590" w:type="dxa"/>
            <w:shd w:val="clear" w:color="auto" w:fill="FFFFFF"/>
          </w:tcPr>
          <w:p w:rsidR="00F366E8" w:rsidRPr="006C05B5" w:rsidRDefault="00F366E8" w:rsidP="008111EC">
            <w:pPr>
              <w:jc w:val="center"/>
              <w:rPr>
                <w:sz w:val="20"/>
                <w:szCs w:val="20"/>
              </w:rPr>
            </w:pPr>
            <w:r w:rsidRPr="006C05B5">
              <w:rPr>
                <w:sz w:val="20"/>
                <w:szCs w:val="20"/>
              </w:rPr>
              <w:t>Yes</w:t>
            </w:r>
          </w:p>
        </w:tc>
      </w:tr>
    </w:tbl>
    <w:p w:rsidR="00F366E8" w:rsidRPr="006C05B5" w:rsidRDefault="00F366E8" w:rsidP="00F366E8"/>
    <w:p w:rsidR="00F366E8" w:rsidRPr="006C05B5" w:rsidRDefault="00F366E8" w:rsidP="00F366E8">
      <w:pPr>
        <w:rPr>
          <w:rFonts w:eastAsia="Calibri"/>
        </w:rPr>
      </w:pPr>
      <w:r w:rsidRPr="006C05B5">
        <w:t xml:space="preserve">The following subsections </w:t>
      </w:r>
      <w:r w:rsidRPr="006C05B5">
        <w:rPr>
          <w:rFonts w:cs="Calibri"/>
        </w:rPr>
        <w:t>present detailed discussions</w:t>
      </w:r>
      <w:r w:rsidRPr="006C05B5">
        <w:t xml:space="preserve"> of the SWE Team’s NTG audits of PECO’s programs in PY7, including a summary of the program-level NTG values that PECO’s evaluation contractor reported. The results are provided for residential, low-income, and non-residential programs.</w:t>
      </w:r>
    </w:p>
    <w:p w:rsidR="00F366E8" w:rsidRPr="006C05B5" w:rsidRDefault="00F366E8" w:rsidP="00F366E8">
      <w:pPr>
        <w:rPr>
          <w:rFonts w:eastAsia="Calibri"/>
          <w:highlight w:val="lightGray"/>
        </w:rPr>
      </w:pPr>
    </w:p>
    <w:p w:rsidR="00F366E8" w:rsidRPr="006C05B5" w:rsidRDefault="00F366E8" w:rsidP="00573907">
      <w:pPr>
        <w:pStyle w:val="AppendixAHeading4"/>
      </w:pPr>
      <w:r w:rsidRPr="006C05B5">
        <w:t>Residential Programs</w:t>
      </w:r>
    </w:p>
    <w:p w:rsidR="00F366E8" w:rsidRPr="006C05B5" w:rsidRDefault="00F366E8" w:rsidP="00F366E8">
      <w:r w:rsidRPr="006C05B5">
        <w:t xml:space="preserve">Navigant estimated NTGR for Smart Home Rebates (SHR), Smart House Call (SHC), Smart Builder Rebates (SBR), Smart Appliance Recycling (SAR), and Smart Multifamily (SMF) Solutions programs. Navigant did not estimate NTGR for the Smart Usage Profile (SUP) Program, since </w:t>
      </w:r>
      <w:r w:rsidRPr="006C05B5">
        <w:rPr>
          <w:rFonts w:cs="Calibri"/>
        </w:rPr>
        <w:t>free-ridership and participant spillover are already incorporated in the impact analysis.</w:t>
      </w:r>
      <w:r w:rsidRPr="006C05B5">
        <w:t xml:space="preserve"> Navigant assumed NTGR to be 1.0 for the residential Smart A/C Saver (SACS) Program. For Smart Energy Saver (SES), Navigant did not estimate NTG impacts in PY7 because the program will not continue in Phase III.</w:t>
      </w:r>
    </w:p>
    <w:p w:rsidR="00F366E8" w:rsidRPr="006C05B5" w:rsidRDefault="00F366E8" w:rsidP="00F366E8"/>
    <w:p w:rsidR="00F366E8" w:rsidRPr="006C05B5" w:rsidRDefault="00F366E8" w:rsidP="00F366E8">
      <w:r w:rsidRPr="006C05B5">
        <w:t xml:space="preserve">Navigant cited using the SWE Team’s common approach for estimating NTGR and provided detailed descriptions of the common method, but it did not explain how it combined strata NTG values into program-level estimates. Assessment of Navigant’s NTG Excel files confirmed that Navigant used the SWE Team’s common approach for NTGR estimation.  </w:t>
      </w:r>
    </w:p>
    <w:p w:rsidR="00F366E8" w:rsidRPr="006C05B5" w:rsidRDefault="00F366E8" w:rsidP="00F366E8"/>
    <w:p w:rsidR="00F366E8" w:rsidRPr="006C05B5" w:rsidRDefault="00F366E8" w:rsidP="00F366E8">
      <w:r w:rsidRPr="006C05B5">
        <w:t>Navigant provided the SWE Team with all of its NTG and net savings calculations, together with the raw survey data, in Excel workbooks. In reviewing these Excel workbooks, the SWE Team found that all NTG and net savings Excel calculations were correct. However, the workbooks provided did not include the calculations that combined strata estimates into program-level estimates.</w:t>
      </w:r>
    </w:p>
    <w:p w:rsidR="00F366E8" w:rsidRPr="006C05B5" w:rsidRDefault="00F366E8" w:rsidP="00F366E8">
      <w:pPr>
        <w:rPr>
          <w:highlight w:val="lightGray"/>
        </w:rPr>
      </w:pPr>
    </w:p>
    <w:p w:rsidR="00F366E8" w:rsidRPr="006C05B5" w:rsidRDefault="00573907" w:rsidP="00F366E8">
      <w:r>
        <w:fldChar w:fldCharType="begin"/>
      </w:r>
      <w:r>
        <w:instrText xml:space="preserve"> REF _Ref472453730 \h </w:instrText>
      </w:r>
      <w:r>
        <w:fldChar w:fldCharType="separate"/>
      </w:r>
      <w:r w:rsidR="00A874AC" w:rsidRPr="00573907">
        <w:t>Table A-</w:t>
      </w:r>
      <w:r w:rsidR="00A874AC">
        <w:rPr>
          <w:noProof/>
        </w:rPr>
        <w:t>128</w:t>
      </w:r>
      <w:r>
        <w:fldChar w:fldCharType="end"/>
      </w:r>
      <w:r w:rsidR="00F366E8" w:rsidRPr="006C05B5">
        <w:t xml:space="preserve"> summarizes the SWE Team’s review of the NTG activities by program.  </w:t>
      </w:r>
    </w:p>
    <w:p w:rsidR="00F366E8" w:rsidRDefault="00F366E8" w:rsidP="00F366E8">
      <w:pPr>
        <w:rPr>
          <w:highlight w:val="lightGray"/>
        </w:rPr>
      </w:pPr>
    </w:p>
    <w:p w:rsidR="00F366E8" w:rsidRPr="00573907" w:rsidRDefault="00573907" w:rsidP="00573907">
      <w:pPr>
        <w:pStyle w:val="Caption"/>
      </w:pPr>
      <w:bookmarkStart w:id="1233" w:name="_Ref472453730"/>
      <w:bookmarkStart w:id="1234" w:name="_Toc409225020"/>
      <w:bookmarkStart w:id="1235" w:name="_Toc409443572"/>
      <w:bookmarkStart w:id="1236" w:name="_Toc444269792"/>
      <w:bookmarkStart w:id="1237" w:name="_Toc472472537"/>
      <w:bookmarkStart w:id="1238" w:name="_Toc476842243"/>
      <w:r w:rsidRPr="00573907">
        <w:t>Table A-</w:t>
      </w:r>
      <w:fldSimple w:instr=" SEQ Table_A- \* ARABIC ">
        <w:r w:rsidR="00C301D0">
          <w:rPr>
            <w:noProof/>
          </w:rPr>
          <w:t>128</w:t>
        </w:r>
      </w:fldSimple>
      <w:bookmarkEnd w:id="1233"/>
      <w:r>
        <w:t>:</w:t>
      </w:r>
      <w:r w:rsidR="00F366E8" w:rsidRPr="00573907">
        <w:t xml:space="preserve"> Summary of NTG Audit of PECO’s Residential Programs</w:t>
      </w:r>
      <w:bookmarkEnd w:id="1234"/>
      <w:bookmarkEnd w:id="1235"/>
      <w:bookmarkEnd w:id="1236"/>
      <w:bookmarkEnd w:id="1237"/>
      <w:bookmarkEnd w:id="1238"/>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15"/>
        <w:gridCol w:w="2559"/>
        <w:gridCol w:w="5181"/>
      </w:tblGrid>
      <w:tr w:rsidR="00A874AC" w:rsidRPr="006C05B5" w:rsidTr="008111EC">
        <w:trPr>
          <w:cantSplit/>
          <w:tblHeader/>
        </w:trPr>
        <w:tc>
          <w:tcPr>
            <w:tcW w:w="1615" w:type="dxa"/>
            <w:shd w:val="clear" w:color="auto" w:fill="448A99"/>
            <w:vAlign w:val="bottom"/>
          </w:tcPr>
          <w:p w:rsidR="00F366E8" w:rsidRPr="006C05B5" w:rsidRDefault="00F366E8" w:rsidP="005C1352">
            <w:pPr>
              <w:rPr>
                <w:b/>
                <w:color w:val="FFFFFF"/>
                <w:sz w:val="20"/>
                <w:szCs w:val="20"/>
              </w:rPr>
            </w:pPr>
            <w:r w:rsidRPr="006C05B5">
              <w:rPr>
                <w:b/>
                <w:color w:val="FFFFFF"/>
                <w:sz w:val="20"/>
                <w:szCs w:val="20"/>
              </w:rPr>
              <w:t>Program</w:t>
            </w:r>
          </w:p>
        </w:tc>
        <w:tc>
          <w:tcPr>
            <w:tcW w:w="2559" w:type="dxa"/>
            <w:shd w:val="clear" w:color="auto" w:fill="448A99"/>
            <w:vAlign w:val="bottom"/>
          </w:tcPr>
          <w:p w:rsidR="00F366E8" w:rsidRPr="006C05B5" w:rsidRDefault="00F366E8" w:rsidP="008111EC">
            <w:pPr>
              <w:jc w:val="center"/>
              <w:rPr>
                <w:b/>
                <w:color w:val="FFFFFF"/>
                <w:sz w:val="20"/>
                <w:szCs w:val="20"/>
              </w:rPr>
            </w:pPr>
            <w:r w:rsidRPr="006C05B5">
              <w:rPr>
                <w:b/>
                <w:color w:val="FFFFFF"/>
                <w:sz w:val="20"/>
                <w:szCs w:val="20"/>
              </w:rPr>
              <w:t>NTG Method</w:t>
            </w:r>
          </w:p>
        </w:tc>
        <w:tc>
          <w:tcPr>
            <w:tcW w:w="5181" w:type="dxa"/>
            <w:shd w:val="clear" w:color="auto" w:fill="448A99"/>
            <w:vAlign w:val="bottom"/>
          </w:tcPr>
          <w:p w:rsidR="00F366E8" w:rsidRPr="006C05B5" w:rsidRDefault="00F366E8" w:rsidP="008111EC">
            <w:pPr>
              <w:jc w:val="center"/>
              <w:rPr>
                <w:b/>
                <w:color w:val="FFFFFF"/>
                <w:sz w:val="20"/>
                <w:szCs w:val="20"/>
              </w:rPr>
            </w:pPr>
            <w:r w:rsidRPr="006C05B5">
              <w:rPr>
                <w:b/>
                <w:color w:val="FFFFFF"/>
                <w:sz w:val="20"/>
                <w:szCs w:val="20"/>
              </w:rPr>
              <w:t>Review Comments</w:t>
            </w:r>
          </w:p>
        </w:tc>
      </w:tr>
      <w:tr w:rsidR="00E7173E" w:rsidRPr="006C05B5" w:rsidTr="005A33A4">
        <w:trPr>
          <w:trHeight w:val="864"/>
        </w:trPr>
        <w:tc>
          <w:tcPr>
            <w:tcW w:w="1615" w:type="dxa"/>
            <w:shd w:val="clear" w:color="auto" w:fill="D2EAF1"/>
          </w:tcPr>
          <w:p w:rsidR="00F366E8" w:rsidRPr="006C05B5" w:rsidRDefault="00F366E8" w:rsidP="005C1352">
            <w:pPr>
              <w:jc w:val="left"/>
              <w:rPr>
                <w:color w:val="548DD4"/>
                <w:sz w:val="20"/>
                <w:szCs w:val="20"/>
              </w:rPr>
            </w:pPr>
            <w:r w:rsidRPr="006C05B5">
              <w:rPr>
                <w:sz w:val="20"/>
                <w:szCs w:val="20"/>
              </w:rPr>
              <w:t>Smart Home Rebates (SHR)</w:t>
            </w:r>
          </w:p>
        </w:tc>
        <w:tc>
          <w:tcPr>
            <w:tcW w:w="2559" w:type="dxa"/>
            <w:shd w:val="clear" w:color="auto" w:fill="D2EAF1"/>
          </w:tcPr>
          <w:p w:rsidR="00F366E8" w:rsidRPr="006C05B5" w:rsidRDefault="00F366E8" w:rsidP="008111EC">
            <w:pPr>
              <w:jc w:val="center"/>
              <w:rPr>
                <w:color w:val="548DD4"/>
              </w:rPr>
            </w:pPr>
            <w:r w:rsidRPr="006C05B5">
              <w:rPr>
                <w:sz w:val="20"/>
                <w:szCs w:val="20"/>
              </w:rPr>
              <w:t>The common method was used.</w:t>
            </w:r>
          </w:p>
        </w:tc>
        <w:tc>
          <w:tcPr>
            <w:tcW w:w="5181" w:type="dxa"/>
            <w:shd w:val="clear" w:color="auto" w:fill="D2EAF1"/>
          </w:tcPr>
          <w:p w:rsidR="00F366E8" w:rsidRPr="006C05B5" w:rsidRDefault="00F366E8" w:rsidP="008111EC">
            <w:pPr>
              <w:jc w:val="center"/>
              <w:rPr>
                <w:color w:val="548DD4"/>
              </w:rPr>
            </w:pPr>
            <w:r w:rsidRPr="006C05B5">
              <w:rPr>
                <w:sz w:val="20"/>
                <w:szCs w:val="20"/>
              </w:rPr>
              <w:t>Navigant used the common approach for NTG but did not explain how it combined strata NTG values into program-level values.</w:t>
            </w:r>
          </w:p>
        </w:tc>
      </w:tr>
      <w:tr w:rsidR="00F366E8" w:rsidRPr="006C05B5" w:rsidTr="005A33A4">
        <w:trPr>
          <w:trHeight w:val="864"/>
        </w:trPr>
        <w:tc>
          <w:tcPr>
            <w:tcW w:w="1615" w:type="dxa"/>
          </w:tcPr>
          <w:p w:rsidR="00F366E8" w:rsidRPr="006C05B5" w:rsidRDefault="00F366E8" w:rsidP="005C1352">
            <w:pPr>
              <w:jc w:val="left"/>
              <w:rPr>
                <w:color w:val="548DD4"/>
                <w:sz w:val="20"/>
                <w:szCs w:val="20"/>
              </w:rPr>
            </w:pPr>
            <w:r w:rsidRPr="006C05B5">
              <w:rPr>
                <w:sz w:val="20"/>
                <w:szCs w:val="20"/>
              </w:rPr>
              <w:t>Smart Appliance Recycling (SAR)</w:t>
            </w:r>
          </w:p>
        </w:tc>
        <w:tc>
          <w:tcPr>
            <w:tcW w:w="2559" w:type="dxa"/>
          </w:tcPr>
          <w:p w:rsidR="00F366E8" w:rsidRPr="006C05B5" w:rsidRDefault="00F366E8" w:rsidP="008111EC">
            <w:pPr>
              <w:jc w:val="center"/>
            </w:pPr>
            <w:r w:rsidRPr="006C05B5">
              <w:rPr>
                <w:sz w:val="20"/>
                <w:szCs w:val="20"/>
              </w:rPr>
              <w:t>The common method was used.</w:t>
            </w:r>
          </w:p>
        </w:tc>
        <w:tc>
          <w:tcPr>
            <w:tcW w:w="5181" w:type="dxa"/>
          </w:tcPr>
          <w:p w:rsidR="00F366E8" w:rsidRPr="006C05B5" w:rsidRDefault="00F366E8" w:rsidP="008111EC">
            <w:pPr>
              <w:jc w:val="center"/>
              <w:rPr>
                <w:color w:val="548DD4"/>
              </w:rPr>
            </w:pPr>
            <w:r w:rsidRPr="006C05B5">
              <w:rPr>
                <w:sz w:val="20"/>
                <w:szCs w:val="20"/>
              </w:rPr>
              <w:t>Net savings for various appliance recycling counterfactual scenarios were estimated. Navigant did not explain how it combined strata NTG values into program-level NTGR.</w:t>
            </w:r>
          </w:p>
        </w:tc>
      </w:tr>
      <w:tr w:rsidR="00E7173E" w:rsidRPr="006C05B5" w:rsidTr="005A33A4">
        <w:trPr>
          <w:trHeight w:val="864"/>
        </w:trPr>
        <w:tc>
          <w:tcPr>
            <w:tcW w:w="1615" w:type="dxa"/>
            <w:shd w:val="clear" w:color="auto" w:fill="D2EAF1"/>
          </w:tcPr>
          <w:p w:rsidR="00F366E8" w:rsidRPr="006C05B5" w:rsidRDefault="00F366E8" w:rsidP="005C1352">
            <w:pPr>
              <w:jc w:val="left"/>
              <w:rPr>
                <w:color w:val="548DD4"/>
                <w:sz w:val="20"/>
                <w:szCs w:val="20"/>
              </w:rPr>
            </w:pPr>
            <w:r w:rsidRPr="006C05B5">
              <w:rPr>
                <w:sz w:val="20"/>
                <w:szCs w:val="20"/>
              </w:rPr>
              <w:t>Smart House Call (SHC)</w:t>
            </w:r>
          </w:p>
        </w:tc>
        <w:tc>
          <w:tcPr>
            <w:tcW w:w="2559" w:type="dxa"/>
            <w:shd w:val="clear" w:color="auto" w:fill="D2EAF1"/>
          </w:tcPr>
          <w:p w:rsidR="00F366E8" w:rsidRPr="006C05B5" w:rsidRDefault="00F366E8" w:rsidP="008111EC">
            <w:pPr>
              <w:jc w:val="center"/>
              <w:rPr>
                <w:color w:val="548DD4"/>
              </w:rPr>
            </w:pPr>
            <w:r w:rsidRPr="006C05B5">
              <w:rPr>
                <w:sz w:val="20"/>
                <w:szCs w:val="20"/>
              </w:rPr>
              <w:t>The common method was used.</w:t>
            </w:r>
          </w:p>
        </w:tc>
        <w:tc>
          <w:tcPr>
            <w:tcW w:w="5181" w:type="dxa"/>
            <w:shd w:val="clear" w:color="auto" w:fill="D2EAF1"/>
          </w:tcPr>
          <w:p w:rsidR="00F366E8" w:rsidRPr="006C05B5" w:rsidRDefault="00F366E8" w:rsidP="008111EC">
            <w:pPr>
              <w:jc w:val="center"/>
              <w:rPr>
                <w:color w:val="548DD4"/>
              </w:rPr>
            </w:pPr>
            <w:r w:rsidRPr="006C05B5">
              <w:rPr>
                <w:sz w:val="20"/>
                <w:szCs w:val="20"/>
              </w:rPr>
              <w:t>Navigant used the common approach for NTG but did not explain how it combined strata NTG values into program-level values.</w:t>
            </w:r>
          </w:p>
        </w:tc>
      </w:tr>
      <w:tr w:rsidR="00E7173E" w:rsidRPr="006C05B5" w:rsidTr="005A33A4">
        <w:trPr>
          <w:trHeight w:val="864"/>
        </w:trPr>
        <w:tc>
          <w:tcPr>
            <w:tcW w:w="1615" w:type="dxa"/>
            <w:shd w:val="clear" w:color="auto" w:fill="auto"/>
          </w:tcPr>
          <w:p w:rsidR="00F366E8" w:rsidRPr="006C05B5" w:rsidRDefault="00F366E8" w:rsidP="005C1352">
            <w:pPr>
              <w:jc w:val="left"/>
              <w:rPr>
                <w:sz w:val="20"/>
                <w:szCs w:val="20"/>
              </w:rPr>
            </w:pPr>
            <w:r w:rsidRPr="006C05B5">
              <w:rPr>
                <w:sz w:val="20"/>
                <w:szCs w:val="20"/>
              </w:rPr>
              <w:t>Smart Usage Profile (SUP)</w:t>
            </w:r>
          </w:p>
        </w:tc>
        <w:tc>
          <w:tcPr>
            <w:tcW w:w="2559" w:type="dxa"/>
            <w:shd w:val="clear" w:color="auto" w:fill="auto"/>
          </w:tcPr>
          <w:p w:rsidR="00F366E8" w:rsidRPr="006C05B5" w:rsidRDefault="00F366E8" w:rsidP="008111EC">
            <w:pPr>
              <w:jc w:val="center"/>
              <w:rPr>
                <w:sz w:val="20"/>
                <w:szCs w:val="20"/>
              </w:rPr>
            </w:pPr>
            <w:r w:rsidRPr="006C05B5">
              <w:rPr>
                <w:sz w:val="20"/>
                <w:szCs w:val="20"/>
              </w:rPr>
              <w:t>Not estimated; impact analysis accounts for FR and SO.</w:t>
            </w:r>
          </w:p>
        </w:tc>
        <w:tc>
          <w:tcPr>
            <w:tcW w:w="5181" w:type="dxa"/>
            <w:shd w:val="clear" w:color="auto" w:fill="auto"/>
          </w:tcPr>
          <w:p w:rsidR="00F366E8" w:rsidRPr="006C05B5" w:rsidRDefault="00F366E8" w:rsidP="008111EC">
            <w:pPr>
              <w:jc w:val="center"/>
              <w:rPr>
                <w:sz w:val="20"/>
                <w:szCs w:val="20"/>
              </w:rPr>
            </w:pPr>
            <w:r w:rsidRPr="006C05B5">
              <w:rPr>
                <w:sz w:val="20"/>
                <w:szCs w:val="20"/>
              </w:rPr>
              <w:t>Navigant did not estimate NTGR, as the randomized control trial (RCT) approach to impact analysis results in net savings.</w:t>
            </w:r>
          </w:p>
        </w:tc>
      </w:tr>
      <w:tr w:rsidR="00E7173E" w:rsidRPr="006C05B5" w:rsidTr="005A33A4">
        <w:trPr>
          <w:trHeight w:val="864"/>
        </w:trPr>
        <w:tc>
          <w:tcPr>
            <w:tcW w:w="1615" w:type="dxa"/>
            <w:shd w:val="clear" w:color="auto" w:fill="D2EAF1"/>
          </w:tcPr>
          <w:p w:rsidR="00F366E8" w:rsidRPr="006C05B5" w:rsidRDefault="00F366E8" w:rsidP="005C1352">
            <w:pPr>
              <w:jc w:val="left"/>
              <w:rPr>
                <w:sz w:val="20"/>
                <w:szCs w:val="20"/>
              </w:rPr>
            </w:pPr>
            <w:r w:rsidRPr="006C05B5">
              <w:rPr>
                <w:sz w:val="20"/>
                <w:szCs w:val="20"/>
              </w:rPr>
              <w:t>Smart Energy Saver (SES)</w:t>
            </w:r>
          </w:p>
        </w:tc>
        <w:tc>
          <w:tcPr>
            <w:tcW w:w="2559" w:type="dxa"/>
            <w:shd w:val="clear" w:color="auto" w:fill="D2EAF1"/>
          </w:tcPr>
          <w:p w:rsidR="00F366E8" w:rsidRPr="006C05B5" w:rsidRDefault="00F366E8" w:rsidP="008111EC">
            <w:pPr>
              <w:jc w:val="center"/>
              <w:rPr>
                <w:sz w:val="20"/>
                <w:szCs w:val="20"/>
              </w:rPr>
            </w:pPr>
            <w:r w:rsidRPr="006C05B5">
              <w:rPr>
                <w:sz w:val="20"/>
                <w:szCs w:val="20"/>
              </w:rPr>
              <w:t>No NTGR estimation in PY7.</w:t>
            </w:r>
          </w:p>
        </w:tc>
        <w:tc>
          <w:tcPr>
            <w:tcW w:w="5181" w:type="dxa"/>
            <w:shd w:val="clear" w:color="auto" w:fill="D2EAF1"/>
          </w:tcPr>
          <w:p w:rsidR="00F366E8" w:rsidRPr="006C05B5" w:rsidRDefault="00F366E8" w:rsidP="008111EC">
            <w:pPr>
              <w:jc w:val="center"/>
              <w:rPr>
                <w:sz w:val="20"/>
                <w:szCs w:val="20"/>
              </w:rPr>
            </w:pPr>
            <w:r w:rsidRPr="006C05B5">
              <w:rPr>
                <w:sz w:val="20"/>
                <w:szCs w:val="20"/>
              </w:rPr>
              <w:t>Navigant did not estimate NTG in PY7 since this program is being terminated at the end of PY7.</w:t>
            </w:r>
          </w:p>
        </w:tc>
      </w:tr>
      <w:tr w:rsidR="00E7173E" w:rsidRPr="006C05B5" w:rsidTr="005A33A4">
        <w:trPr>
          <w:trHeight w:val="864"/>
        </w:trPr>
        <w:tc>
          <w:tcPr>
            <w:tcW w:w="1615" w:type="dxa"/>
            <w:shd w:val="clear" w:color="auto" w:fill="auto"/>
          </w:tcPr>
          <w:p w:rsidR="00F366E8" w:rsidRPr="006C05B5" w:rsidRDefault="00F366E8" w:rsidP="005C1352">
            <w:pPr>
              <w:jc w:val="left"/>
              <w:rPr>
                <w:sz w:val="20"/>
                <w:szCs w:val="20"/>
              </w:rPr>
            </w:pPr>
            <w:r w:rsidRPr="006C05B5">
              <w:rPr>
                <w:sz w:val="20"/>
                <w:szCs w:val="20"/>
              </w:rPr>
              <w:t>Smart Builder Rebates (SBR)</w:t>
            </w:r>
          </w:p>
        </w:tc>
        <w:tc>
          <w:tcPr>
            <w:tcW w:w="2559" w:type="dxa"/>
            <w:shd w:val="clear" w:color="auto" w:fill="auto"/>
          </w:tcPr>
          <w:p w:rsidR="00F366E8" w:rsidRPr="006C05B5" w:rsidRDefault="00F366E8" w:rsidP="008111EC">
            <w:pPr>
              <w:jc w:val="center"/>
              <w:rPr>
                <w:sz w:val="20"/>
                <w:szCs w:val="20"/>
              </w:rPr>
            </w:pPr>
            <w:r w:rsidRPr="006C05B5">
              <w:rPr>
                <w:sz w:val="20"/>
                <w:szCs w:val="20"/>
              </w:rPr>
              <w:t>The common method was used.</w:t>
            </w:r>
          </w:p>
        </w:tc>
        <w:tc>
          <w:tcPr>
            <w:tcW w:w="5181" w:type="dxa"/>
            <w:shd w:val="clear" w:color="auto" w:fill="auto"/>
          </w:tcPr>
          <w:p w:rsidR="00F366E8" w:rsidRPr="006C05B5" w:rsidRDefault="00F366E8" w:rsidP="008111EC">
            <w:pPr>
              <w:jc w:val="center"/>
              <w:rPr>
                <w:sz w:val="20"/>
                <w:szCs w:val="20"/>
              </w:rPr>
            </w:pPr>
            <w:r w:rsidRPr="006C05B5">
              <w:rPr>
                <w:sz w:val="20"/>
                <w:szCs w:val="20"/>
              </w:rPr>
              <w:t>Navigant used the common approach for NTG, relying on interviews with participating builders.</w:t>
            </w:r>
          </w:p>
        </w:tc>
      </w:tr>
      <w:tr w:rsidR="00E7173E" w:rsidRPr="006C05B5" w:rsidTr="005A33A4">
        <w:tc>
          <w:tcPr>
            <w:tcW w:w="1615" w:type="dxa"/>
            <w:shd w:val="clear" w:color="auto" w:fill="D2EAF1"/>
          </w:tcPr>
          <w:p w:rsidR="00F366E8" w:rsidRPr="006C05B5" w:rsidRDefault="00F366E8" w:rsidP="005C1352">
            <w:pPr>
              <w:jc w:val="left"/>
              <w:rPr>
                <w:sz w:val="20"/>
                <w:szCs w:val="20"/>
              </w:rPr>
            </w:pPr>
            <w:r w:rsidRPr="006C05B5">
              <w:rPr>
                <w:sz w:val="20"/>
                <w:szCs w:val="20"/>
              </w:rPr>
              <w:t>Smart A/C Saver (SACS) –  Residential</w:t>
            </w:r>
          </w:p>
        </w:tc>
        <w:tc>
          <w:tcPr>
            <w:tcW w:w="2559" w:type="dxa"/>
            <w:shd w:val="clear" w:color="auto" w:fill="D2EAF1"/>
          </w:tcPr>
          <w:p w:rsidR="00F366E8" w:rsidRPr="006C05B5" w:rsidRDefault="00F366E8" w:rsidP="008111EC">
            <w:pPr>
              <w:jc w:val="center"/>
              <w:rPr>
                <w:sz w:val="20"/>
                <w:szCs w:val="20"/>
              </w:rPr>
            </w:pPr>
            <w:r w:rsidRPr="006C05B5">
              <w:rPr>
                <w:sz w:val="20"/>
                <w:szCs w:val="20"/>
              </w:rPr>
              <w:t>NTGR assumed to be 1.0.</w:t>
            </w:r>
          </w:p>
        </w:tc>
        <w:tc>
          <w:tcPr>
            <w:tcW w:w="5181" w:type="dxa"/>
            <w:shd w:val="clear" w:color="auto" w:fill="D2EAF1"/>
          </w:tcPr>
          <w:p w:rsidR="00F366E8" w:rsidRPr="006C05B5" w:rsidRDefault="00F366E8" w:rsidP="008111EC">
            <w:pPr>
              <w:jc w:val="center"/>
              <w:rPr>
                <w:sz w:val="20"/>
                <w:szCs w:val="20"/>
              </w:rPr>
            </w:pPr>
            <w:r w:rsidRPr="006C05B5">
              <w:rPr>
                <w:sz w:val="20"/>
                <w:szCs w:val="20"/>
              </w:rPr>
              <w:t>Navigant did not conduct NTG research to determine FR. Navigant assumed that none of the program participants would have curtailed load at the times PECO dispatched the program without the incentives the conservation service provider paid them for their load curtailment. This reasonable assumption also was stated in the evaluation plan.</w:t>
            </w:r>
          </w:p>
        </w:tc>
      </w:tr>
      <w:tr w:rsidR="00E7173E" w:rsidRPr="006C05B5" w:rsidTr="005A33A4">
        <w:trPr>
          <w:trHeight w:val="864"/>
        </w:trPr>
        <w:tc>
          <w:tcPr>
            <w:tcW w:w="1615" w:type="dxa"/>
            <w:shd w:val="clear" w:color="auto" w:fill="auto"/>
          </w:tcPr>
          <w:p w:rsidR="00F366E8" w:rsidRPr="006C05B5" w:rsidRDefault="00F366E8" w:rsidP="005C1352">
            <w:pPr>
              <w:jc w:val="left"/>
              <w:rPr>
                <w:sz w:val="20"/>
                <w:szCs w:val="20"/>
              </w:rPr>
            </w:pPr>
            <w:r w:rsidRPr="006C05B5">
              <w:rPr>
                <w:sz w:val="20"/>
                <w:szCs w:val="20"/>
              </w:rPr>
              <w:t>Smart Multi-Family (SMF) Solutions Program</w:t>
            </w:r>
          </w:p>
        </w:tc>
        <w:tc>
          <w:tcPr>
            <w:tcW w:w="2559" w:type="dxa"/>
            <w:shd w:val="clear" w:color="auto" w:fill="auto"/>
          </w:tcPr>
          <w:p w:rsidR="00F366E8" w:rsidRPr="006C05B5" w:rsidRDefault="00F366E8" w:rsidP="008111EC">
            <w:pPr>
              <w:jc w:val="center"/>
              <w:rPr>
                <w:sz w:val="20"/>
                <w:szCs w:val="20"/>
              </w:rPr>
            </w:pPr>
            <w:r w:rsidRPr="006C05B5">
              <w:rPr>
                <w:sz w:val="20"/>
                <w:szCs w:val="20"/>
              </w:rPr>
              <w:t>The common method was used.</w:t>
            </w:r>
          </w:p>
        </w:tc>
        <w:tc>
          <w:tcPr>
            <w:tcW w:w="5181" w:type="dxa"/>
            <w:shd w:val="clear" w:color="auto" w:fill="auto"/>
          </w:tcPr>
          <w:p w:rsidR="00F366E8" w:rsidRPr="006C05B5" w:rsidRDefault="00F366E8" w:rsidP="008111EC">
            <w:pPr>
              <w:jc w:val="center"/>
              <w:rPr>
                <w:sz w:val="20"/>
                <w:szCs w:val="20"/>
              </w:rPr>
            </w:pPr>
            <w:r w:rsidRPr="006C05B5">
              <w:rPr>
                <w:sz w:val="20"/>
                <w:szCs w:val="20"/>
              </w:rPr>
              <w:t>Navigant used the common approach for NTG but did not explain how it combined strata NTG values into program-level values.</w:t>
            </w:r>
          </w:p>
        </w:tc>
      </w:tr>
    </w:tbl>
    <w:p w:rsidR="00F366E8" w:rsidRPr="006C05B5" w:rsidRDefault="00F366E8" w:rsidP="00F366E8"/>
    <w:p w:rsidR="00F366E8" w:rsidRPr="006C05B5" w:rsidRDefault="00573907" w:rsidP="00F366E8">
      <w:r>
        <w:fldChar w:fldCharType="begin"/>
      </w:r>
      <w:r>
        <w:instrText xml:space="preserve"> REF _Ref472453751 \h </w:instrText>
      </w:r>
      <w:r>
        <w:fldChar w:fldCharType="separate"/>
      </w:r>
      <w:r w:rsidR="00A874AC" w:rsidRPr="00573907">
        <w:t>Table A-</w:t>
      </w:r>
      <w:r w:rsidR="00A874AC">
        <w:rPr>
          <w:noProof/>
        </w:rPr>
        <w:t>129</w:t>
      </w:r>
      <w:r>
        <w:fldChar w:fldCharType="end"/>
      </w:r>
      <w:r w:rsidR="00F366E8" w:rsidRPr="006C05B5">
        <w:t xml:space="preserve"> summarizes NTG values from the PECO PY7 annual report. </w:t>
      </w:r>
    </w:p>
    <w:p w:rsidR="008111EC" w:rsidRPr="006C05B5" w:rsidRDefault="008111EC" w:rsidP="00F366E8">
      <w:pPr>
        <w:rPr>
          <w:highlight w:val="lightGray"/>
        </w:rPr>
      </w:pPr>
    </w:p>
    <w:p w:rsidR="00F366E8" w:rsidRPr="00573907" w:rsidRDefault="00573907" w:rsidP="00573907">
      <w:pPr>
        <w:pStyle w:val="Caption"/>
      </w:pPr>
      <w:bookmarkStart w:id="1239" w:name="_Ref472453751"/>
      <w:bookmarkStart w:id="1240" w:name="_Toc409225021"/>
      <w:bookmarkStart w:id="1241" w:name="_Toc409443573"/>
      <w:bookmarkStart w:id="1242" w:name="_Toc444269793"/>
      <w:bookmarkStart w:id="1243" w:name="_Toc472472538"/>
      <w:bookmarkStart w:id="1244" w:name="_Toc476842244"/>
      <w:r w:rsidRPr="00573907">
        <w:t>Table A-</w:t>
      </w:r>
      <w:fldSimple w:instr=" SEQ Table_A- \* ARABIC ">
        <w:r w:rsidR="00C301D0">
          <w:rPr>
            <w:noProof/>
          </w:rPr>
          <w:t>129</w:t>
        </w:r>
      </w:fldSimple>
      <w:bookmarkEnd w:id="1239"/>
      <w:r w:rsidRPr="00573907">
        <w:t>:</w:t>
      </w:r>
      <w:r w:rsidR="00F366E8" w:rsidRPr="00573907">
        <w:t xml:space="preserve"> Summary of NTG Estimates for PECO’s Residential Program</w:t>
      </w:r>
      <w:bookmarkEnd w:id="1240"/>
      <w:bookmarkEnd w:id="1241"/>
      <w:bookmarkEnd w:id="1242"/>
      <w:r w:rsidR="00F366E8" w:rsidRPr="00573907">
        <w:t>s</w:t>
      </w:r>
      <w:bookmarkEnd w:id="1243"/>
      <w:bookmarkEnd w:id="1244"/>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260"/>
        <w:gridCol w:w="3240"/>
        <w:gridCol w:w="1350"/>
        <w:gridCol w:w="1350"/>
        <w:gridCol w:w="1170"/>
        <w:gridCol w:w="990"/>
      </w:tblGrid>
      <w:tr w:rsidR="00A874AC" w:rsidRPr="006C05B5" w:rsidTr="00EE3086">
        <w:trPr>
          <w:trHeight w:val="20"/>
        </w:trPr>
        <w:tc>
          <w:tcPr>
            <w:tcW w:w="1260" w:type="dxa"/>
            <w:shd w:val="clear" w:color="auto" w:fill="448A99"/>
            <w:vAlign w:val="bottom"/>
            <w:hideMark/>
          </w:tcPr>
          <w:p w:rsidR="00F366E8" w:rsidRPr="006C05B5" w:rsidRDefault="00F366E8" w:rsidP="005C1352">
            <w:pPr>
              <w:jc w:val="left"/>
              <w:rPr>
                <w:b/>
                <w:bCs/>
                <w:color w:val="FFFFFF"/>
                <w:sz w:val="20"/>
                <w:szCs w:val="20"/>
              </w:rPr>
            </w:pPr>
            <w:r w:rsidRPr="006C05B5">
              <w:rPr>
                <w:b/>
                <w:bCs/>
                <w:color w:val="FFFFFF"/>
                <w:sz w:val="20"/>
                <w:szCs w:val="20"/>
              </w:rPr>
              <w:t>Approach</w:t>
            </w:r>
          </w:p>
        </w:tc>
        <w:tc>
          <w:tcPr>
            <w:tcW w:w="3240" w:type="dxa"/>
            <w:shd w:val="clear" w:color="auto" w:fill="448A99"/>
            <w:vAlign w:val="bottom"/>
            <w:hideMark/>
          </w:tcPr>
          <w:p w:rsidR="00F366E8" w:rsidRPr="006C05B5" w:rsidRDefault="00F366E8" w:rsidP="005C1352">
            <w:pPr>
              <w:jc w:val="center"/>
              <w:rPr>
                <w:b/>
                <w:bCs/>
                <w:color w:val="FFFFFF"/>
                <w:sz w:val="20"/>
                <w:szCs w:val="20"/>
              </w:rPr>
            </w:pPr>
            <w:r w:rsidRPr="006C05B5">
              <w:rPr>
                <w:b/>
                <w:bCs/>
                <w:color w:val="FFFFFF"/>
                <w:sz w:val="20"/>
                <w:szCs w:val="20"/>
              </w:rPr>
              <w:t>Program</w:t>
            </w:r>
          </w:p>
        </w:tc>
        <w:tc>
          <w:tcPr>
            <w:tcW w:w="1350" w:type="dxa"/>
            <w:shd w:val="clear" w:color="auto" w:fill="448A99"/>
            <w:vAlign w:val="bottom"/>
            <w:hideMark/>
          </w:tcPr>
          <w:p w:rsidR="00F366E8" w:rsidRPr="006C05B5" w:rsidRDefault="00F366E8" w:rsidP="005C1352">
            <w:pPr>
              <w:jc w:val="center"/>
              <w:rPr>
                <w:b/>
                <w:bCs/>
                <w:color w:val="FFFFFF"/>
                <w:sz w:val="20"/>
                <w:szCs w:val="20"/>
              </w:rPr>
            </w:pPr>
            <w:r w:rsidRPr="006C05B5">
              <w:rPr>
                <w:b/>
                <w:bCs/>
                <w:color w:val="FFFFFF"/>
                <w:sz w:val="20"/>
                <w:szCs w:val="20"/>
              </w:rPr>
              <w:t>Free-Ridership</w:t>
            </w:r>
          </w:p>
        </w:tc>
        <w:tc>
          <w:tcPr>
            <w:tcW w:w="1350" w:type="dxa"/>
            <w:shd w:val="clear" w:color="auto" w:fill="448A99"/>
            <w:vAlign w:val="bottom"/>
            <w:hideMark/>
          </w:tcPr>
          <w:p w:rsidR="00F366E8" w:rsidRPr="006C05B5" w:rsidRDefault="00F366E8" w:rsidP="005C1352">
            <w:pPr>
              <w:jc w:val="center"/>
              <w:rPr>
                <w:b/>
                <w:bCs/>
                <w:color w:val="FFFFFF"/>
                <w:sz w:val="20"/>
                <w:szCs w:val="20"/>
              </w:rPr>
            </w:pPr>
            <w:r w:rsidRPr="006C05B5">
              <w:rPr>
                <w:b/>
                <w:bCs/>
                <w:color w:val="FFFFFF"/>
                <w:sz w:val="20"/>
                <w:szCs w:val="20"/>
              </w:rPr>
              <w:t>Spillover</w:t>
            </w:r>
          </w:p>
        </w:tc>
        <w:tc>
          <w:tcPr>
            <w:tcW w:w="1170" w:type="dxa"/>
            <w:shd w:val="clear" w:color="auto" w:fill="448A99"/>
            <w:vAlign w:val="bottom"/>
            <w:hideMark/>
          </w:tcPr>
          <w:p w:rsidR="00F366E8" w:rsidRPr="006C05B5" w:rsidRDefault="00F366E8" w:rsidP="005C1352">
            <w:pPr>
              <w:jc w:val="center"/>
              <w:rPr>
                <w:b/>
                <w:bCs/>
                <w:color w:val="FFFFFF"/>
                <w:sz w:val="20"/>
                <w:szCs w:val="20"/>
              </w:rPr>
            </w:pPr>
            <w:r w:rsidRPr="006C05B5">
              <w:rPr>
                <w:b/>
                <w:bCs/>
                <w:color w:val="FFFFFF"/>
                <w:sz w:val="20"/>
                <w:szCs w:val="20"/>
              </w:rPr>
              <w:t>NTGR</w:t>
            </w:r>
            <w:r w:rsidRPr="006C05B5">
              <w:rPr>
                <w:b/>
                <w:bCs/>
                <w:color w:val="FFFFFF"/>
                <w:sz w:val="20"/>
                <w:szCs w:val="20"/>
                <w:vertAlign w:val="superscript"/>
              </w:rPr>
              <w:t>[a]</w:t>
            </w:r>
          </w:p>
        </w:tc>
        <w:tc>
          <w:tcPr>
            <w:tcW w:w="990" w:type="dxa"/>
            <w:shd w:val="clear" w:color="auto" w:fill="448A99"/>
            <w:vAlign w:val="bottom"/>
          </w:tcPr>
          <w:p w:rsidR="00F366E8" w:rsidRPr="006C05B5" w:rsidRDefault="00F366E8" w:rsidP="005C1352">
            <w:pPr>
              <w:jc w:val="center"/>
              <w:rPr>
                <w:b/>
                <w:bCs/>
                <w:color w:val="FFFFFF"/>
                <w:sz w:val="20"/>
                <w:szCs w:val="20"/>
              </w:rPr>
            </w:pPr>
            <w:r w:rsidRPr="006C05B5">
              <w:rPr>
                <w:b/>
                <w:bCs/>
                <w:color w:val="FFFFFF"/>
                <w:sz w:val="20"/>
                <w:szCs w:val="20"/>
              </w:rPr>
              <w:t>Sample Size</w:t>
            </w:r>
            <w:r w:rsidRPr="006C05B5">
              <w:rPr>
                <w:b/>
                <w:bCs/>
                <w:color w:val="FFFFFF"/>
                <w:sz w:val="20"/>
                <w:szCs w:val="20"/>
                <w:vertAlign w:val="superscript"/>
              </w:rPr>
              <w:t>[b]</w:t>
            </w:r>
          </w:p>
        </w:tc>
      </w:tr>
      <w:tr w:rsidR="00A874AC" w:rsidRPr="006C05B5" w:rsidTr="008111EC">
        <w:trPr>
          <w:trHeight w:val="346"/>
        </w:trPr>
        <w:tc>
          <w:tcPr>
            <w:tcW w:w="1260" w:type="dxa"/>
            <w:vMerge w:val="restart"/>
            <w:shd w:val="clear" w:color="auto" w:fill="D2EAF1"/>
          </w:tcPr>
          <w:p w:rsidR="00F366E8" w:rsidRPr="006C05B5" w:rsidRDefault="00F366E8" w:rsidP="005C1352">
            <w:pPr>
              <w:jc w:val="left"/>
              <w:rPr>
                <w:bCs/>
                <w:sz w:val="20"/>
                <w:szCs w:val="20"/>
              </w:rPr>
            </w:pPr>
            <w:r w:rsidRPr="006C05B5">
              <w:rPr>
                <w:bCs/>
                <w:sz w:val="20"/>
                <w:szCs w:val="20"/>
              </w:rPr>
              <w:t>Estimated</w:t>
            </w:r>
          </w:p>
        </w:tc>
        <w:tc>
          <w:tcPr>
            <w:tcW w:w="3240" w:type="dxa"/>
            <w:shd w:val="clear" w:color="auto" w:fill="D2EAF1"/>
            <w:noWrap/>
            <w:vAlign w:val="center"/>
          </w:tcPr>
          <w:p w:rsidR="00F366E8" w:rsidRPr="006C05B5" w:rsidRDefault="00F366E8" w:rsidP="005C1352">
            <w:pPr>
              <w:jc w:val="left"/>
              <w:rPr>
                <w:sz w:val="20"/>
                <w:szCs w:val="20"/>
              </w:rPr>
            </w:pPr>
            <w:r w:rsidRPr="006C05B5">
              <w:rPr>
                <w:sz w:val="20"/>
                <w:szCs w:val="20"/>
              </w:rPr>
              <w:t xml:space="preserve">Smart Home Rebates (SHR) </w:t>
            </w:r>
          </w:p>
        </w:tc>
        <w:tc>
          <w:tcPr>
            <w:tcW w:w="1350" w:type="dxa"/>
            <w:shd w:val="clear" w:color="auto" w:fill="D2EAF1"/>
            <w:noWrap/>
            <w:vAlign w:val="center"/>
          </w:tcPr>
          <w:p w:rsidR="00F366E8" w:rsidRPr="006C05B5" w:rsidRDefault="00F366E8" w:rsidP="005C1352">
            <w:pPr>
              <w:jc w:val="center"/>
              <w:rPr>
                <w:sz w:val="20"/>
                <w:szCs w:val="20"/>
              </w:rPr>
            </w:pPr>
            <w:r w:rsidRPr="006C05B5">
              <w:rPr>
                <w:sz w:val="20"/>
                <w:szCs w:val="20"/>
              </w:rPr>
              <w:t>0.49</w:t>
            </w:r>
          </w:p>
        </w:tc>
        <w:tc>
          <w:tcPr>
            <w:tcW w:w="1350" w:type="dxa"/>
            <w:shd w:val="clear" w:color="auto" w:fill="D2EAF1"/>
            <w:noWrap/>
            <w:vAlign w:val="center"/>
          </w:tcPr>
          <w:p w:rsidR="00F366E8" w:rsidRPr="006C05B5" w:rsidRDefault="00F366E8" w:rsidP="005C1352">
            <w:pPr>
              <w:jc w:val="center"/>
              <w:rPr>
                <w:sz w:val="20"/>
                <w:szCs w:val="20"/>
              </w:rPr>
            </w:pPr>
            <w:r w:rsidRPr="006C05B5">
              <w:rPr>
                <w:sz w:val="20"/>
                <w:szCs w:val="20"/>
              </w:rPr>
              <w:t>0.03</w:t>
            </w:r>
          </w:p>
        </w:tc>
        <w:tc>
          <w:tcPr>
            <w:tcW w:w="1170" w:type="dxa"/>
            <w:shd w:val="clear" w:color="auto" w:fill="D2EAF1"/>
            <w:noWrap/>
            <w:vAlign w:val="center"/>
          </w:tcPr>
          <w:p w:rsidR="00F366E8" w:rsidRPr="006C05B5" w:rsidRDefault="006E54AF" w:rsidP="005C1352">
            <w:pPr>
              <w:jc w:val="center"/>
              <w:rPr>
                <w:sz w:val="20"/>
                <w:szCs w:val="20"/>
              </w:rPr>
            </w:pPr>
            <w:r>
              <w:rPr>
                <w:sz w:val="20"/>
                <w:szCs w:val="20"/>
              </w:rPr>
              <w:t>0.54</w:t>
            </w:r>
          </w:p>
        </w:tc>
        <w:tc>
          <w:tcPr>
            <w:tcW w:w="990" w:type="dxa"/>
            <w:shd w:val="clear" w:color="auto" w:fill="D2EAF1"/>
            <w:vAlign w:val="center"/>
          </w:tcPr>
          <w:p w:rsidR="00F366E8" w:rsidRPr="006C05B5" w:rsidRDefault="00F366E8" w:rsidP="005C1352">
            <w:pPr>
              <w:jc w:val="center"/>
              <w:rPr>
                <w:sz w:val="20"/>
                <w:szCs w:val="20"/>
              </w:rPr>
            </w:pPr>
            <w:r w:rsidRPr="006C05B5">
              <w:rPr>
                <w:sz w:val="20"/>
                <w:szCs w:val="20"/>
              </w:rPr>
              <w:t>542</w:t>
            </w:r>
          </w:p>
        </w:tc>
      </w:tr>
      <w:tr w:rsidR="00E7173E" w:rsidRPr="006C05B5" w:rsidTr="005A33A4">
        <w:trPr>
          <w:trHeight w:val="346"/>
        </w:trPr>
        <w:tc>
          <w:tcPr>
            <w:tcW w:w="1260" w:type="dxa"/>
            <w:vMerge/>
            <w:shd w:val="clear" w:color="auto" w:fill="D2EAF1"/>
          </w:tcPr>
          <w:p w:rsidR="00F366E8" w:rsidRPr="006C05B5" w:rsidRDefault="00F366E8" w:rsidP="005C1352">
            <w:pPr>
              <w:jc w:val="left"/>
              <w:rPr>
                <w:bCs/>
                <w:sz w:val="20"/>
                <w:szCs w:val="20"/>
              </w:rPr>
            </w:pPr>
          </w:p>
        </w:tc>
        <w:tc>
          <w:tcPr>
            <w:tcW w:w="3240" w:type="dxa"/>
            <w:shd w:val="clear" w:color="auto" w:fill="auto"/>
            <w:noWrap/>
            <w:vAlign w:val="center"/>
          </w:tcPr>
          <w:p w:rsidR="00F366E8" w:rsidRPr="006C05B5" w:rsidRDefault="00F366E8" w:rsidP="005C1352">
            <w:pPr>
              <w:jc w:val="left"/>
              <w:rPr>
                <w:sz w:val="20"/>
                <w:szCs w:val="20"/>
              </w:rPr>
            </w:pPr>
            <w:r w:rsidRPr="006C05B5">
              <w:rPr>
                <w:sz w:val="20"/>
                <w:szCs w:val="20"/>
              </w:rPr>
              <w:t>Smart House Call (SHC)</w:t>
            </w:r>
          </w:p>
        </w:tc>
        <w:tc>
          <w:tcPr>
            <w:tcW w:w="1350" w:type="dxa"/>
            <w:shd w:val="clear" w:color="auto" w:fill="auto"/>
            <w:noWrap/>
            <w:vAlign w:val="center"/>
          </w:tcPr>
          <w:p w:rsidR="00F366E8" w:rsidRPr="006C05B5" w:rsidRDefault="00F366E8" w:rsidP="005C1352">
            <w:pPr>
              <w:jc w:val="center"/>
              <w:rPr>
                <w:sz w:val="20"/>
                <w:szCs w:val="20"/>
              </w:rPr>
            </w:pPr>
            <w:r w:rsidRPr="006C05B5">
              <w:rPr>
                <w:sz w:val="20"/>
                <w:szCs w:val="20"/>
              </w:rPr>
              <w:t>0.13</w:t>
            </w:r>
          </w:p>
        </w:tc>
        <w:tc>
          <w:tcPr>
            <w:tcW w:w="1350" w:type="dxa"/>
            <w:shd w:val="clear" w:color="auto" w:fill="auto"/>
            <w:noWrap/>
            <w:vAlign w:val="center"/>
          </w:tcPr>
          <w:p w:rsidR="00F366E8" w:rsidRPr="006C05B5" w:rsidRDefault="00F366E8" w:rsidP="005C1352">
            <w:pPr>
              <w:jc w:val="center"/>
              <w:rPr>
                <w:sz w:val="20"/>
                <w:szCs w:val="20"/>
              </w:rPr>
            </w:pPr>
            <w:r w:rsidRPr="006C05B5">
              <w:rPr>
                <w:sz w:val="20"/>
                <w:szCs w:val="20"/>
              </w:rPr>
              <w:t>0.07</w:t>
            </w:r>
          </w:p>
        </w:tc>
        <w:tc>
          <w:tcPr>
            <w:tcW w:w="1170" w:type="dxa"/>
            <w:shd w:val="clear" w:color="auto" w:fill="auto"/>
            <w:noWrap/>
            <w:vAlign w:val="center"/>
          </w:tcPr>
          <w:p w:rsidR="00F366E8" w:rsidRPr="006C05B5" w:rsidRDefault="00F366E8" w:rsidP="005C1352">
            <w:pPr>
              <w:jc w:val="center"/>
              <w:rPr>
                <w:sz w:val="20"/>
                <w:szCs w:val="20"/>
              </w:rPr>
            </w:pPr>
            <w:r w:rsidRPr="006C05B5">
              <w:rPr>
                <w:sz w:val="20"/>
                <w:szCs w:val="20"/>
              </w:rPr>
              <w:t>0.94</w:t>
            </w:r>
          </w:p>
        </w:tc>
        <w:tc>
          <w:tcPr>
            <w:tcW w:w="990" w:type="dxa"/>
            <w:shd w:val="clear" w:color="auto" w:fill="auto"/>
            <w:vAlign w:val="center"/>
          </w:tcPr>
          <w:p w:rsidR="00F366E8" w:rsidRPr="006C05B5" w:rsidRDefault="00F366E8" w:rsidP="005C1352">
            <w:pPr>
              <w:jc w:val="center"/>
              <w:rPr>
                <w:sz w:val="20"/>
                <w:szCs w:val="20"/>
              </w:rPr>
            </w:pPr>
            <w:r w:rsidRPr="006C05B5">
              <w:rPr>
                <w:sz w:val="20"/>
                <w:szCs w:val="20"/>
              </w:rPr>
              <w:t>130</w:t>
            </w:r>
          </w:p>
        </w:tc>
      </w:tr>
      <w:tr w:rsidR="00A874AC" w:rsidRPr="006C05B5" w:rsidTr="008111EC">
        <w:trPr>
          <w:trHeight w:val="346"/>
        </w:trPr>
        <w:tc>
          <w:tcPr>
            <w:tcW w:w="1260" w:type="dxa"/>
            <w:vMerge/>
            <w:shd w:val="clear" w:color="auto" w:fill="D2EAF1"/>
          </w:tcPr>
          <w:p w:rsidR="00F366E8" w:rsidRPr="006C05B5" w:rsidRDefault="00F366E8" w:rsidP="005C1352">
            <w:pPr>
              <w:jc w:val="left"/>
              <w:rPr>
                <w:bCs/>
                <w:sz w:val="20"/>
                <w:szCs w:val="20"/>
              </w:rPr>
            </w:pPr>
          </w:p>
        </w:tc>
        <w:tc>
          <w:tcPr>
            <w:tcW w:w="3240" w:type="dxa"/>
            <w:shd w:val="clear" w:color="auto" w:fill="D2EAF1"/>
            <w:noWrap/>
            <w:vAlign w:val="center"/>
          </w:tcPr>
          <w:p w:rsidR="00F366E8" w:rsidRPr="006C05B5" w:rsidRDefault="00F366E8" w:rsidP="005C1352">
            <w:pPr>
              <w:jc w:val="left"/>
              <w:rPr>
                <w:sz w:val="20"/>
                <w:szCs w:val="20"/>
              </w:rPr>
            </w:pPr>
            <w:r w:rsidRPr="006C05B5">
              <w:rPr>
                <w:sz w:val="20"/>
                <w:szCs w:val="20"/>
              </w:rPr>
              <w:t>Smart Builder Rebates (SBR)</w:t>
            </w:r>
          </w:p>
        </w:tc>
        <w:tc>
          <w:tcPr>
            <w:tcW w:w="1350" w:type="dxa"/>
            <w:shd w:val="clear" w:color="auto" w:fill="D2EAF1"/>
            <w:noWrap/>
            <w:vAlign w:val="center"/>
          </w:tcPr>
          <w:p w:rsidR="00F366E8" w:rsidRPr="006C05B5" w:rsidRDefault="00F366E8" w:rsidP="005C1352">
            <w:pPr>
              <w:jc w:val="center"/>
              <w:rPr>
                <w:sz w:val="20"/>
                <w:szCs w:val="20"/>
              </w:rPr>
            </w:pPr>
            <w:r w:rsidRPr="006C05B5">
              <w:rPr>
                <w:sz w:val="20"/>
                <w:szCs w:val="20"/>
              </w:rPr>
              <w:t>0.50</w:t>
            </w:r>
          </w:p>
        </w:tc>
        <w:tc>
          <w:tcPr>
            <w:tcW w:w="1350" w:type="dxa"/>
            <w:shd w:val="clear" w:color="auto" w:fill="D2EAF1"/>
            <w:noWrap/>
            <w:vAlign w:val="center"/>
          </w:tcPr>
          <w:p w:rsidR="00F366E8" w:rsidRPr="006C05B5" w:rsidRDefault="00F366E8" w:rsidP="005C1352">
            <w:pPr>
              <w:jc w:val="center"/>
              <w:rPr>
                <w:sz w:val="20"/>
                <w:szCs w:val="20"/>
              </w:rPr>
            </w:pPr>
            <w:r w:rsidRPr="006C05B5">
              <w:rPr>
                <w:sz w:val="20"/>
                <w:szCs w:val="20"/>
              </w:rPr>
              <w:t>0.00</w:t>
            </w:r>
          </w:p>
        </w:tc>
        <w:tc>
          <w:tcPr>
            <w:tcW w:w="1170" w:type="dxa"/>
            <w:shd w:val="clear" w:color="auto" w:fill="D2EAF1"/>
            <w:noWrap/>
            <w:vAlign w:val="center"/>
          </w:tcPr>
          <w:p w:rsidR="00F366E8" w:rsidRPr="006C05B5" w:rsidRDefault="00F366E8" w:rsidP="005C1352">
            <w:pPr>
              <w:jc w:val="center"/>
              <w:rPr>
                <w:sz w:val="20"/>
                <w:szCs w:val="20"/>
              </w:rPr>
            </w:pPr>
            <w:r w:rsidRPr="006C05B5">
              <w:rPr>
                <w:sz w:val="20"/>
                <w:szCs w:val="20"/>
              </w:rPr>
              <w:t>0.50</w:t>
            </w:r>
          </w:p>
        </w:tc>
        <w:tc>
          <w:tcPr>
            <w:tcW w:w="990" w:type="dxa"/>
            <w:shd w:val="clear" w:color="auto" w:fill="D2EAF1"/>
            <w:vAlign w:val="center"/>
          </w:tcPr>
          <w:p w:rsidR="00F366E8" w:rsidRPr="006C05B5" w:rsidDel="00044C39" w:rsidRDefault="00F366E8" w:rsidP="005C1352">
            <w:pPr>
              <w:jc w:val="center"/>
              <w:rPr>
                <w:sz w:val="20"/>
                <w:szCs w:val="20"/>
              </w:rPr>
            </w:pPr>
            <w:r w:rsidRPr="006C05B5">
              <w:rPr>
                <w:sz w:val="20"/>
                <w:szCs w:val="20"/>
              </w:rPr>
              <w:t>7</w:t>
            </w:r>
          </w:p>
        </w:tc>
      </w:tr>
      <w:tr w:rsidR="00E7173E" w:rsidRPr="006C05B5" w:rsidTr="005A33A4">
        <w:trPr>
          <w:trHeight w:val="346"/>
        </w:trPr>
        <w:tc>
          <w:tcPr>
            <w:tcW w:w="1260" w:type="dxa"/>
            <w:vMerge/>
            <w:shd w:val="clear" w:color="auto" w:fill="D2EAF1"/>
          </w:tcPr>
          <w:p w:rsidR="00F366E8" w:rsidRPr="006C05B5" w:rsidRDefault="00F366E8" w:rsidP="005C1352">
            <w:pPr>
              <w:jc w:val="left"/>
              <w:rPr>
                <w:bCs/>
                <w:sz w:val="20"/>
                <w:szCs w:val="20"/>
              </w:rPr>
            </w:pPr>
          </w:p>
        </w:tc>
        <w:tc>
          <w:tcPr>
            <w:tcW w:w="3240" w:type="dxa"/>
            <w:shd w:val="clear" w:color="auto" w:fill="auto"/>
            <w:noWrap/>
            <w:vAlign w:val="center"/>
          </w:tcPr>
          <w:p w:rsidR="00F366E8" w:rsidRPr="006C05B5" w:rsidRDefault="00F366E8" w:rsidP="005C1352">
            <w:pPr>
              <w:jc w:val="left"/>
              <w:rPr>
                <w:sz w:val="20"/>
                <w:szCs w:val="20"/>
              </w:rPr>
            </w:pPr>
            <w:r w:rsidRPr="006C05B5">
              <w:rPr>
                <w:sz w:val="20"/>
                <w:szCs w:val="20"/>
              </w:rPr>
              <w:t>Smart Appliance Recycling (SAR)</w:t>
            </w:r>
          </w:p>
        </w:tc>
        <w:tc>
          <w:tcPr>
            <w:tcW w:w="1350" w:type="dxa"/>
            <w:shd w:val="clear" w:color="auto" w:fill="auto"/>
            <w:noWrap/>
            <w:vAlign w:val="center"/>
          </w:tcPr>
          <w:p w:rsidR="00F366E8" w:rsidRPr="006C05B5" w:rsidRDefault="00F366E8" w:rsidP="005C1352">
            <w:pPr>
              <w:jc w:val="center"/>
              <w:rPr>
                <w:sz w:val="20"/>
                <w:szCs w:val="20"/>
              </w:rPr>
            </w:pPr>
            <w:r w:rsidRPr="006C05B5">
              <w:rPr>
                <w:sz w:val="20"/>
                <w:szCs w:val="20"/>
              </w:rPr>
              <w:t>0.50</w:t>
            </w:r>
          </w:p>
        </w:tc>
        <w:tc>
          <w:tcPr>
            <w:tcW w:w="1350" w:type="dxa"/>
            <w:shd w:val="clear" w:color="auto" w:fill="auto"/>
            <w:noWrap/>
            <w:vAlign w:val="center"/>
          </w:tcPr>
          <w:p w:rsidR="00F366E8" w:rsidRPr="006C05B5" w:rsidRDefault="006E54AF" w:rsidP="005C1352">
            <w:pPr>
              <w:jc w:val="center"/>
              <w:rPr>
                <w:sz w:val="20"/>
                <w:szCs w:val="20"/>
              </w:rPr>
            </w:pPr>
            <w:r>
              <w:rPr>
                <w:sz w:val="20"/>
                <w:szCs w:val="20"/>
              </w:rPr>
              <w:t>0.00</w:t>
            </w:r>
          </w:p>
        </w:tc>
        <w:tc>
          <w:tcPr>
            <w:tcW w:w="1170" w:type="dxa"/>
            <w:shd w:val="clear" w:color="auto" w:fill="auto"/>
            <w:noWrap/>
            <w:vAlign w:val="center"/>
          </w:tcPr>
          <w:p w:rsidR="00F366E8" w:rsidRPr="006C05B5" w:rsidRDefault="00F366E8" w:rsidP="005C1352">
            <w:pPr>
              <w:jc w:val="center"/>
              <w:rPr>
                <w:sz w:val="20"/>
                <w:szCs w:val="20"/>
              </w:rPr>
            </w:pPr>
            <w:r w:rsidRPr="006C05B5">
              <w:rPr>
                <w:sz w:val="20"/>
                <w:szCs w:val="20"/>
              </w:rPr>
              <w:t>0.50</w:t>
            </w:r>
          </w:p>
        </w:tc>
        <w:tc>
          <w:tcPr>
            <w:tcW w:w="990" w:type="dxa"/>
            <w:shd w:val="clear" w:color="auto" w:fill="auto"/>
            <w:vAlign w:val="center"/>
          </w:tcPr>
          <w:p w:rsidR="00F366E8" w:rsidRPr="006C05B5" w:rsidRDefault="00F366E8" w:rsidP="005C1352">
            <w:pPr>
              <w:jc w:val="center"/>
              <w:rPr>
                <w:sz w:val="20"/>
                <w:szCs w:val="20"/>
              </w:rPr>
            </w:pPr>
            <w:r w:rsidRPr="006C05B5">
              <w:rPr>
                <w:sz w:val="20"/>
                <w:szCs w:val="20"/>
              </w:rPr>
              <w:t>140</w:t>
            </w:r>
          </w:p>
        </w:tc>
      </w:tr>
      <w:tr w:rsidR="00A874AC" w:rsidRPr="006C05B5" w:rsidTr="008111EC">
        <w:trPr>
          <w:trHeight w:val="346"/>
        </w:trPr>
        <w:tc>
          <w:tcPr>
            <w:tcW w:w="1260" w:type="dxa"/>
            <w:vMerge/>
            <w:shd w:val="clear" w:color="auto" w:fill="auto"/>
          </w:tcPr>
          <w:p w:rsidR="00F366E8" w:rsidRPr="006C05B5" w:rsidRDefault="00F366E8" w:rsidP="005C1352">
            <w:pPr>
              <w:jc w:val="left"/>
              <w:rPr>
                <w:bCs/>
                <w:sz w:val="20"/>
                <w:szCs w:val="20"/>
              </w:rPr>
            </w:pPr>
          </w:p>
        </w:tc>
        <w:tc>
          <w:tcPr>
            <w:tcW w:w="3240" w:type="dxa"/>
            <w:shd w:val="clear" w:color="auto" w:fill="D2EAF1"/>
            <w:noWrap/>
            <w:vAlign w:val="center"/>
          </w:tcPr>
          <w:p w:rsidR="00F366E8" w:rsidRPr="006C05B5" w:rsidRDefault="00F366E8" w:rsidP="005C1352">
            <w:pPr>
              <w:jc w:val="left"/>
              <w:rPr>
                <w:sz w:val="20"/>
                <w:szCs w:val="20"/>
              </w:rPr>
            </w:pPr>
            <w:r w:rsidRPr="006C05B5">
              <w:rPr>
                <w:sz w:val="20"/>
                <w:szCs w:val="20"/>
              </w:rPr>
              <w:t>Smart Multi-Family (SMF) Solutions Program</w:t>
            </w:r>
          </w:p>
        </w:tc>
        <w:tc>
          <w:tcPr>
            <w:tcW w:w="1350" w:type="dxa"/>
            <w:shd w:val="clear" w:color="auto" w:fill="D2EAF1"/>
            <w:noWrap/>
            <w:vAlign w:val="center"/>
          </w:tcPr>
          <w:p w:rsidR="00F366E8" w:rsidRPr="006C05B5" w:rsidRDefault="00F366E8" w:rsidP="005C1352">
            <w:pPr>
              <w:jc w:val="center"/>
              <w:rPr>
                <w:sz w:val="20"/>
                <w:szCs w:val="20"/>
              </w:rPr>
            </w:pPr>
            <w:r w:rsidRPr="006C05B5">
              <w:rPr>
                <w:sz w:val="20"/>
                <w:szCs w:val="20"/>
              </w:rPr>
              <w:t>0.43</w:t>
            </w:r>
          </w:p>
        </w:tc>
        <w:tc>
          <w:tcPr>
            <w:tcW w:w="1350" w:type="dxa"/>
            <w:shd w:val="clear" w:color="auto" w:fill="D2EAF1"/>
            <w:noWrap/>
            <w:vAlign w:val="center"/>
          </w:tcPr>
          <w:p w:rsidR="00F366E8" w:rsidRPr="006C05B5" w:rsidRDefault="00F366E8" w:rsidP="005C1352">
            <w:pPr>
              <w:jc w:val="center"/>
              <w:rPr>
                <w:sz w:val="20"/>
                <w:szCs w:val="20"/>
              </w:rPr>
            </w:pPr>
            <w:r w:rsidRPr="006C05B5">
              <w:rPr>
                <w:sz w:val="20"/>
                <w:szCs w:val="20"/>
              </w:rPr>
              <w:t>0.01</w:t>
            </w:r>
          </w:p>
        </w:tc>
        <w:tc>
          <w:tcPr>
            <w:tcW w:w="1170" w:type="dxa"/>
            <w:shd w:val="clear" w:color="auto" w:fill="D2EAF1"/>
            <w:noWrap/>
            <w:vAlign w:val="center"/>
          </w:tcPr>
          <w:p w:rsidR="00F366E8" w:rsidRPr="006C05B5" w:rsidRDefault="00F366E8" w:rsidP="005C1352">
            <w:pPr>
              <w:jc w:val="center"/>
              <w:rPr>
                <w:sz w:val="20"/>
                <w:szCs w:val="20"/>
              </w:rPr>
            </w:pPr>
            <w:r w:rsidRPr="006C05B5">
              <w:rPr>
                <w:sz w:val="20"/>
                <w:szCs w:val="20"/>
              </w:rPr>
              <w:t>0.59</w:t>
            </w:r>
          </w:p>
        </w:tc>
        <w:tc>
          <w:tcPr>
            <w:tcW w:w="990" w:type="dxa"/>
            <w:shd w:val="clear" w:color="auto" w:fill="D2EAF1"/>
            <w:vAlign w:val="center"/>
          </w:tcPr>
          <w:p w:rsidR="00F366E8" w:rsidRPr="006C05B5" w:rsidRDefault="00F366E8" w:rsidP="005C1352">
            <w:pPr>
              <w:jc w:val="center"/>
              <w:rPr>
                <w:sz w:val="20"/>
                <w:szCs w:val="20"/>
              </w:rPr>
            </w:pPr>
            <w:r w:rsidRPr="006C05B5">
              <w:rPr>
                <w:sz w:val="20"/>
                <w:szCs w:val="20"/>
              </w:rPr>
              <w:t>48</w:t>
            </w:r>
          </w:p>
        </w:tc>
      </w:tr>
      <w:tr w:rsidR="00A874AC" w:rsidRPr="006C05B5" w:rsidTr="008111EC">
        <w:trPr>
          <w:trHeight w:val="346"/>
        </w:trPr>
        <w:tc>
          <w:tcPr>
            <w:tcW w:w="1260" w:type="dxa"/>
            <w:vMerge w:val="restart"/>
            <w:shd w:val="clear" w:color="auto" w:fill="FFFFFF" w:themeFill="background1"/>
          </w:tcPr>
          <w:p w:rsidR="00F366E8" w:rsidRPr="006C05B5" w:rsidRDefault="00F366E8" w:rsidP="005C1352">
            <w:pPr>
              <w:jc w:val="left"/>
              <w:rPr>
                <w:bCs/>
                <w:sz w:val="20"/>
                <w:szCs w:val="20"/>
              </w:rPr>
            </w:pPr>
            <w:r w:rsidRPr="006C05B5">
              <w:rPr>
                <w:bCs/>
                <w:sz w:val="20"/>
                <w:szCs w:val="20"/>
              </w:rPr>
              <w:t>Not calculated</w:t>
            </w:r>
          </w:p>
        </w:tc>
        <w:tc>
          <w:tcPr>
            <w:tcW w:w="3240" w:type="dxa"/>
            <w:shd w:val="clear" w:color="auto" w:fill="FFFFFF" w:themeFill="background1"/>
            <w:noWrap/>
            <w:vAlign w:val="center"/>
          </w:tcPr>
          <w:p w:rsidR="00F366E8" w:rsidRPr="006C05B5" w:rsidRDefault="00F366E8" w:rsidP="005C1352">
            <w:pPr>
              <w:jc w:val="left"/>
              <w:rPr>
                <w:sz w:val="20"/>
                <w:szCs w:val="20"/>
              </w:rPr>
            </w:pPr>
            <w:r w:rsidRPr="006C05B5">
              <w:rPr>
                <w:sz w:val="20"/>
                <w:szCs w:val="20"/>
              </w:rPr>
              <w:t>Smart A/C Saver (SACS) – Residential</w:t>
            </w:r>
          </w:p>
        </w:tc>
        <w:tc>
          <w:tcPr>
            <w:tcW w:w="1350" w:type="dxa"/>
            <w:shd w:val="clear" w:color="auto" w:fill="FFFFFF" w:themeFill="background1"/>
            <w:noWrap/>
            <w:vAlign w:val="center"/>
          </w:tcPr>
          <w:p w:rsidR="00F366E8" w:rsidRPr="006C05B5" w:rsidRDefault="00F366E8" w:rsidP="005C1352">
            <w:pPr>
              <w:jc w:val="center"/>
              <w:rPr>
                <w:sz w:val="20"/>
                <w:szCs w:val="20"/>
              </w:rPr>
            </w:pPr>
            <w:r w:rsidRPr="006C05B5">
              <w:rPr>
                <w:sz w:val="20"/>
                <w:szCs w:val="20"/>
              </w:rPr>
              <w:t>N/A</w:t>
            </w:r>
          </w:p>
        </w:tc>
        <w:tc>
          <w:tcPr>
            <w:tcW w:w="1350" w:type="dxa"/>
            <w:shd w:val="clear" w:color="auto" w:fill="FFFFFF" w:themeFill="background1"/>
            <w:noWrap/>
            <w:vAlign w:val="center"/>
          </w:tcPr>
          <w:p w:rsidR="00F366E8" w:rsidRPr="006C05B5" w:rsidRDefault="00F366E8" w:rsidP="005C1352">
            <w:pPr>
              <w:jc w:val="center"/>
              <w:rPr>
                <w:sz w:val="20"/>
                <w:szCs w:val="20"/>
              </w:rPr>
            </w:pPr>
            <w:r w:rsidRPr="006C05B5">
              <w:rPr>
                <w:sz w:val="20"/>
                <w:szCs w:val="20"/>
              </w:rPr>
              <w:t>N/A</w:t>
            </w:r>
          </w:p>
        </w:tc>
        <w:tc>
          <w:tcPr>
            <w:tcW w:w="1170" w:type="dxa"/>
            <w:shd w:val="clear" w:color="auto" w:fill="FFFFFF" w:themeFill="background1"/>
            <w:noWrap/>
            <w:vAlign w:val="center"/>
          </w:tcPr>
          <w:p w:rsidR="00F366E8" w:rsidRPr="006C05B5" w:rsidRDefault="00F366E8" w:rsidP="005C1352">
            <w:pPr>
              <w:jc w:val="center"/>
              <w:rPr>
                <w:sz w:val="20"/>
                <w:szCs w:val="20"/>
              </w:rPr>
            </w:pPr>
            <w:r w:rsidRPr="006C05B5">
              <w:rPr>
                <w:sz w:val="20"/>
                <w:szCs w:val="20"/>
              </w:rPr>
              <w:t>1.0</w:t>
            </w:r>
          </w:p>
        </w:tc>
        <w:tc>
          <w:tcPr>
            <w:tcW w:w="990" w:type="dxa"/>
            <w:shd w:val="clear" w:color="auto" w:fill="FFFFFF" w:themeFill="background1"/>
            <w:vAlign w:val="center"/>
          </w:tcPr>
          <w:p w:rsidR="00F366E8" w:rsidRPr="006C05B5" w:rsidRDefault="00F366E8" w:rsidP="005C1352">
            <w:pPr>
              <w:jc w:val="center"/>
              <w:rPr>
                <w:sz w:val="20"/>
                <w:szCs w:val="20"/>
              </w:rPr>
            </w:pPr>
            <w:r w:rsidRPr="006C05B5">
              <w:rPr>
                <w:sz w:val="20"/>
                <w:szCs w:val="20"/>
              </w:rPr>
              <w:t>N/A</w:t>
            </w:r>
          </w:p>
        </w:tc>
      </w:tr>
      <w:tr w:rsidR="00A874AC" w:rsidRPr="006C05B5" w:rsidTr="008111EC">
        <w:trPr>
          <w:trHeight w:val="346"/>
        </w:trPr>
        <w:tc>
          <w:tcPr>
            <w:tcW w:w="1260" w:type="dxa"/>
            <w:vMerge/>
            <w:shd w:val="clear" w:color="auto" w:fill="D2EAF1"/>
          </w:tcPr>
          <w:p w:rsidR="00F366E8" w:rsidRPr="006C05B5" w:rsidDel="00471DA9" w:rsidRDefault="00F366E8" w:rsidP="005C1352">
            <w:pPr>
              <w:jc w:val="left"/>
              <w:rPr>
                <w:bCs/>
                <w:sz w:val="20"/>
                <w:szCs w:val="20"/>
              </w:rPr>
            </w:pPr>
          </w:p>
        </w:tc>
        <w:tc>
          <w:tcPr>
            <w:tcW w:w="3240" w:type="dxa"/>
            <w:shd w:val="clear" w:color="auto" w:fill="D2EAF1"/>
            <w:noWrap/>
            <w:vAlign w:val="center"/>
          </w:tcPr>
          <w:p w:rsidR="00F366E8" w:rsidRPr="006C05B5" w:rsidRDefault="00F366E8" w:rsidP="005C1352">
            <w:pPr>
              <w:jc w:val="left"/>
              <w:rPr>
                <w:sz w:val="20"/>
                <w:szCs w:val="20"/>
              </w:rPr>
            </w:pPr>
            <w:r w:rsidRPr="006C05B5">
              <w:rPr>
                <w:sz w:val="20"/>
                <w:szCs w:val="20"/>
              </w:rPr>
              <w:t>Smart Usage Profile (SUP)</w:t>
            </w:r>
          </w:p>
        </w:tc>
        <w:tc>
          <w:tcPr>
            <w:tcW w:w="1350" w:type="dxa"/>
            <w:shd w:val="clear" w:color="auto" w:fill="D2EAF1"/>
            <w:noWrap/>
            <w:vAlign w:val="center"/>
          </w:tcPr>
          <w:p w:rsidR="00F366E8" w:rsidRPr="006C05B5" w:rsidRDefault="00F366E8" w:rsidP="005C1352">
            <w:pPr>
              <w:jc w:val="center"/>
              <w:rPr>
                <w:sz w:val="20"/>
                <w:szCs w:val="20"/>
              </w:rPr>
            </w:pPr>
            <w:r w:rsidRPr="006C05B5">
              <w:rPr>
                <w:sz w:val="20"/>
                <w:szCs w:val="20"/>
              </w:rPr>
              <w:t>N/A</w:t>
            </w:r>
          </w:p>
        </w:tc>
        <w:tc>
          <w:tcPr>
            <w:tcW w:w="1350" w:type="dxa"/>
            <w:shd w:val="clear" w:color="auto" w:fill="D2EAF1"/>
            <w:noWrap/>
            <w:vAlign w:val="center"/>
          </w:tcPr>
          <w:p w:rsidR="00F366E8" w:rsidRPr="006C05B5" w:rsidRDefault="00F366E8" w:rsidP="005C1352">
            <w:pPr>
              <w:jc w:val="center"/>
              <w:rPr>
                <w:sz w:val="20"/>
                <w:szCs w:val="20"/>
              </w:rPr>
            </w:pPr>
            <w:r w:rsidRPr="006C05B5">
              <w:rPr>
                <w:sz w:val="20"/>
                <w:szCs w:val="20"/>
              </w:rPr>
              <w:t>N/A</w:t>
            </w:r>
          </w:p>
        </w:tc>
        <w:tc>
          <w:tcPr>
            <w:tcW w:w="1170" w:type="dxa"/>
            <w:shd w:val="clear" w:color="auto" w:fill="D2EAF1"/>
            <w:noWrap/>
            <w:vAlign w:val="center"/>
          </w:tcPr>
          <w:p w:rsidR="00F366E8" w:rsidRPr="006C05B5" w:rsidRDefault="00F366E8" w:rsidP="005C1352">
            <w:pPr>
              <w:jc w:val="center"/>
              <w:rPr>
                <w:sz w:val="20"/>
                <w:szCs w:val="20"/>
              </w:rPr>
            </w:pPr>
            <w:r w:rsidRPr="006C05B5">
              <w:rPr>
                <w:sz w:val="20"/>
                <w:szCs w:val="20"/>
              </w:rPr>
              <w:t>N/A</w:t>
            </w:r>
          </w:p>
        </w:tc>
        <w:tc>
          <w:tcPr>
            <w:tcW w:w="990" w:type="dxa"/>
            <w:shd w:val="clear" w:color="auto" w:fill="D2EAF1"/>
            <w:vAlign w:val="center"/>
          </w:tcPr>
          <w:p w:rsidR="00F366E8" w:rsidRPr="006C05B5" w:rsidDel="006F2499" w:rsidRDefault="00F366E8" w:rsidP="005C1352">
            <w:pPr>
              <w:jc w:val="center"/>
              <w:rPr>
                <w:sz w:val="20"/>
                <w:szCs w:val="20"/>
              </w:rPr>
            </w:pPr>
            <w:r w:rsidRPr="006C05B5">
              <w:rPr>
                <w:sz w:val="20"/>
                <w:szCs w:val="20"/>
              </w:rPr>
              <w:t>N/A</w:t>
            </w:r>
          </w:p>
        </w:tc>
      </w:tr>
      <w:tr w:rsidR="00E7173E" w:rsidRPr="001D0677" w:rsidTr="005A33A4">
        <w:trPr>
          <w:trHeight w:val="288"/>
        </w:trPr>
        <w:tc>
          <w:tcPr>
            <w:tcW w:w="9360" w:type="dxa"/>
            <w:gridSpan w:val="6"/>
            <w:shd w:val="clear" w:color="auto" w:fill="448A99"/>
          </w:tcPr>
          <w:p w:rsidR="00F366E8" w:rsidRPr="001D0677" w:rsidRDefault="006142E6" w:rsidP="005C1352">
            <w:pPr>
              <w:contextualSpacing/>
              <w:jc w:val="left"/>
              <w:rPr>
                <w:bCs/>
                <w:color w:val="FFFFFF"/>
                <w:sz w:val="18"/>
                <w:szCs w:val="20"/>
              </w:rPr>
            </w:pPr>
            <w:r w:rsidRPr="001D0677">
              <w:rPr>
                <w:bCs/>
                <w:color w:val="FFFFFF"/>
                <w:sz w:val="18"/>
                <w:szCs w:val="20"/>
              </w:rPr>
              <w:t>NOTES:</w:t>
            </w:r>
          </w:p>
          <w:p w:rsidR="00F366E8" w:rsidRPr="001D0677" w:rsidRDefault="00F366E8" w:rsidP="005C1352">
            <w:pPr>
              <w:jc w:val="left"/>
              <w:rPr>
                <w:color w:val="FFFFFF"/>
                <w:sz w:val="18"/>
                <w:szCs w:val="20"/>
              </w:rPr>
            </w:pPr>
            <w:r w:rsidRPr="001D0677">
              <w:rPr>
                <w:color w:val="FFFFFF"/>
                <w:sz w:val="18"/>
                <w:szCs w:val="18"/>
              </w:rPr>
              <w:t>[a]</w:t>
            </w:r>
            <w:r w:rsidRPr="001D0677">
              <w:rPr>
                <w:bCs/>
                <w:color w:val="FFFFFF"/>
                <w:sz w:val="18"/>
                <w:szCs w:val="20"/>
              </w:rPr>
              <w:t xml:space="preserve"> </w:t>
            </w:r>
            <w:r w:rsidRPr="001D0677">
              <w:rPr>
                <w:color w:val="FFFFFF"/>
                <w:sz w:val="18"/>
                <w:szCs w:val="20"/>
              </w:rPr>
              <w:t xml:space="preserve">NTGR = 1 – free-ridership + spillover. In some cases, the NTGR shown in the table may not equal exactly 1 – </w:t>
            </w:r>
            <w:r w:rsidRPr="001D0677">
              <w:rPr>
                <w:rFonts w:eastAsia="Calibri"/>
                <w:color w:val="FFFFFF"/>
                <w:sz w:val="18"/>
                <w:szCs w:val="20"/>
              </w:rPr>
              <w:t>free-ridership + spillover</w:t>
            </w:r>
            <w:r w:rsidRPr="001D0677">
              <w:rPr>
                <w:color w:val="FFFFFF"/>
                <w:sz w:val="18"/>
                <w:szCs w:val="20"/>
              </w:rPr>
              <w:t xml:space="preserve"> because of rounding.</w:t>
            </w:r>
          </w:p>
          <w:p w:rsidR="00F366E8" w:rsidRPr="001D0677" w:rsidRDefault="00F366E8" w:rsidP="005C1352">
            <w:pPr>
              <w:contextualSpacing/>
              <w:jc w:val="left"/>
              <w:rPr>
                <w:bCs/>
                <w:color w:val="FFFFFF"/>
                <w:sz w:val="18"/>
                <w:szCs w:val="20"/>
              </w:rPr>
            </w:pPr>
            <w:r w:rsidRPr="001D0677">
              <w:rPr>
                <w:color w:val="FFFFFF"/>
                <w:sz w:val="18"/>
                <w:szCs w:val="18"/>
              </w:rPr>
              <w:t>[b]</w:t>
            </w:r>
            <w:r w:rsidRPr="001D0677">
              <w:rPr>
                <w:bCs/>
                <w:color w:val="FFFFFF"/>
                <w:sz w:val="18"/>
                <w:szCs w:val="20"/>
              </w:rPr>
              <w:t xml:space="preserve"> All samples provided at least 85/15 precision/confidence.</w:t>
            </w:r>
          </w:p>
        </w:tc>
      </w:tr>
    </w:tbl>
    <w:p w:rsidR="00F366E8" w:rsidRPr="006C05B5" w:rsidRDefault="00F366E8" w:rsidP="00F366E8"/>
    <w:p w:rsidR="00F366E8" w:rsidRPr="006C05B5" w:rsidRDefault="00F366E8" w:rsidP="008B25EB">
      <w:pPr>
        <w:pStyle w:val="AppendixAHeading4"/>
      </w:pPr>
      <w:r w:rsidRPr="006C05B5">
        <w:t>Low-Income Residential Programs</w:t>
      </w:r>
    </w:p>
    <w:p w:rsidR="00F366E8" w:rsidRPr="006C05B5" w:rsidRDefault="006E54AF" w:rsidP="00F366E8">
      <w:pPr>
        <w:rPr>
          <w:highlight w:val="lightGray"/>
        </w:rPr>
      </w:pPr>
      <w:r w:rsidRPr="00AC21AF">
        <w:t>For the first time in its evaluation history, Navigant estimated NTG for PECO’s Low-Income Energy Efficiency Program (LEEP). Navigant reported using the common method to estimate NTG, but did not explain if it used any weighting schemes to calculate NTG at the program level. However, the Excel workbook provided revealed that program NTG was calculated using measure savings weights</w:t>
      </w:r>
      <w:r w:rsidR="00F366E8" w:rsidRPr="006C05B5">
        <w:t>.</w:t>
      </w:r>
    </w:p>
    <w:p w:rsidR="00F366E8" w:rsidRPr="006C05B5" w:rsidRDefault="00F366E8" w:rsidP="00F366E8"/>
    <w:p w:rsidR="00F366E8" w:rsidRPr="006C05B5" w:rsidRDefault="008B25EB" w:rsidP="00F366E8">
      <w:r>
        <w:fldChar w:fldCharType="begin"/>
      </w:r>
      <w:r>
        <w:instrText xml:space="preserve"> REF _Ref472453802 \h </w:instrText>
      </w:r>
      <w:r>
        <w:fldChar w:fldCharType="separate"/>
      </w:r>
      <w:r w:rsidR="00A874AC" w:rsidRPr="008B25EB">
        <w:t>Table A-</w:t>
      </w:r>
      <w:r w:rsidR="00A874AC">
        <w:rPr>
          <w:noProof/>
        </w:rPr>
        <w:t>130</w:t>
      </w:r>
      <w:r>
        <w:fldChar w:fldCharType="end"/>
      </w:r>
      <w:r w:rsidR="00F366E8" w:rsidRPr="006C05B5">
        <w:t xml:space="preserve"> summarizes the SWE Team’s review of the low-income NTG activities. The SWE Team found Navigant’s description of the NTG methods to be relatively clear and the application of the SWE common methods to be error-free.</w:t>
      </w:r>
    </w:p>
    <w:p w:rsidR="00F366E8" w:rsidRPr="006C05B5" w:rsidRDefault="00F366E8" w:rsidP="00F366E8">
      <w:pPr>
        <w:rPr>
          <w:highlight w:val="lightGray"/>
        </w:rPr>
      </w:pPr>
    </w:p>
    <w:p w:rsidR="00F366E8" w:rsidRPr="008B25EB" w:rsidRDefault="008B25EB" w:rsidP="008B25EB">
      <w:pPr>
        <w:pStyle w:val="Caption"/>
      </w:pPr>
      <w:bookmarkStart w:id="1245" w:name="_Ref472453802"/>
      <w:bookmarkStart w:id="1246" w:name="_Toc472472539"/>
      <w:bookmarkStart w:id="1247" w:name="_Toc476842245"/>
      <w:r w:rsidRPr="008B25EB">
        <w:t>Table A-</w:t>
      </w:r>
      <w:fldSimple w:instr=" SEQ Table_A- \* ARABIC ">
        <w:r w:rsidR="00C301D0">
          <w:rPr>
            <w:noProof/>
          </w:rPr>
          <w:t>130</w:t>
        </w:r>
      </w:fldSimple>
      <w:bookmarkEnd w:id="1245"/>
      <w:r w:rsidRPr="008B25EB">
        <w:t>:</w:t>
      </w:r>
      <w:r w:rsidR="00F366E8" w:rsidRPr="008B25EB">
        <w:t xml:space="preserve"> Summary of NTG Audit of PECO’s</w:t>
      </w:r>
      <w:r w:rsidR="00F366E8" w:rsidRPr="008B25EB" w:rsidDel="00FB4C9C">
        <w:t xml:space="preserve"> </w:t>
      </w:r>
      <w:r w:rsidR="00F366E8" w:rsidRPr="008B25EB">
        <w:t>Low-Income Program</w:t>
      </w:r>
      <w:bookmarkEnd w:id="1246"/>
      <w:bookmarkEnd w:id="1247"/>
    </w:p>
    <w:tbl>
      <w:tblPr>
        <w:tblW w:w="9360" w:type="dxa"/>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692"/>
        <w:gridCol w:w="3078"/>
        <w:gridCol w:w="4590"/>
      </w:tblGrid>
      <w:tr w:rsidR="00E7173E" w:rsidRPr="006C05B5" w:rsidTr="005A33A4">
        <w:trPr>
          <w:trHeight w:val="368"/>
          <w:tblHeader/>
          <w:jc w:val="center"/>
        </w:trPr>
        <w:tc>
          <w:tcPr>
            <w:tcW w:w="1692" w:type="dxa"/>
            <w:shd w:val="clear" w:color="auto" w:fill="448A99"/>
            <w:vAlign w:val="bottom"/>
          </w:tcPr>
          <w:p w:rsidR="00F366E8" w:rsidRPr="006C05B5" w:rsidRDefault="00F366E8" w:rsidP="005C1352">
            <w:pPr>
              <w:jc w:val="left"/>
              <w:rPr>
                <w:b/>
                <w:color w:val="FFFFFF"/>
                <w:sz w:val="20"/>
                <w:szCs w:val="20"/>
              </w:rPr>
            </w:pPr>
            <w:r w:rsidRPr="006C05B5">
              <w:rPr>
                <w:b/>
                <w:color w:val="FFFFFF"/>
                <w:sz w:val="20"/>
                <w:szCs w:val="20"/>
              </w:rPr>
              <w:t>Program</w:t>
            </w:r>
          </w:p>
        </w:tc>
        <w:tc>
          <w:tcPr>
            <w:tcW w:w="3078" w:type="dxa"/>
            <w:shd w:val="clear" w:color="auto" w:fill="448A99"/>
            <w:vAlign w:val="bottom"/>
          </w:tcPr>
          <w:p w:rsidR="00F366E8" w:rsidRPr="006C05B5" w:rsidRDefault="00F366E8" w:rsidP="005C1352">
            <w:pPr>
              <w:jc w:val="center"/>
              <w:rPr>
                <w:b/>
                <w:color w:val="FFFFFF"/>
                <w:sz w:val="20"/>
                <w:szCs w:val="20"/>
              </w:rPr>
            </w:pPr>
            <w:r w:rsidRPr="006C05B5">
              <w:rPr>
                <w:b/>
                <w:color w:val="FFFFFF"/>
                <w:sz w:val="20"/>
                <w:szCs w:val="20"/>
              </w:rPr>
              <w:t>NTG Method</w:t>
            </w:r>
          </w:p>
        </w:tc>
        <w:tc>
          <w:tcPr>
            <w:tcW w:w="4590" w:type="dxa"/>
            <w:shd w:val="clear" w:color="auto" w:fill="448A99"/>
            <w:vAlign w:val="bottom"/>
          </w:tcPr>
          <w:p w:rsidR="00F366E8" w:rsidRPr="006C05B5" w:rsidRDefault="00F366E8" w:rsidP="005C1352">
            <w:pPr>
              <w:jc w:val="center"/>
              <w:rPr>
                <w:b/>
                <w:color w:val="FFFFFF"/>
                <w:sz w:val="20"/>
                <w:szCs w:val="20"/>
              </w:rPr>
            </w:pPr>
            <w:r w:rsidRPr="006C05B5">
              <w:rPr>
                <w:b/>
                <w:color w:val="FFFFFF"/>
                <w:sz w:val="20"/>
                <w:szCs w:val="20"/>
              </w:rPr>
              <w:t>Review Comments</w:t>
            </w:r>
          </w:p>
        </w:tc>
      </w:tr>
      <w:tr w:rsidR="00E7173E" w:rsidRPr="006C05B5" w:rsidTr="005A33A4">
        <w:trPr>
          <w:jc w:val="center"/>
        </w:trPr>
        <w:tc>
          <w:tcPr>
            <w:tcW w:w="1692" w:type="dxa"/>
            <w:shd w:val="clear" w:color="auto" w:fill="D2EAF1"/>
          </w:tcPr>
          <w:p w:rsidR="00F366E8" w:rsidRPr="006C05B5" w:rsidRDefault="00F366E8" w:rsidP="005C1352">
            <w:pPr>
              <w:jc w:val="left"/>
              <w:rPr>
                <w:color w:val="000000"/>
                <w:sz w:val="20"/>
                <w:szCs w:val="20"/>
              </w:rPr>
            </w:pPr>
            <w:r w:rsidRPr="006C05B5">
              <w:rPr>
                <w:sz w:val="20"/>
                <w:szCs w:val="20"/>
              </w:rPr>
              <w:t>Low-Income Energy Efficiency Program (LEEP)</w:t>
            </w:r>
          </w:p>
        </w:tc>
        <w:tc>
          <w:tcPr>
            <w:tcW w:w="3078" w:type="dxa"/>
            <w:shd w:val="clear" w:color="auto" w:fill="D2EAF1"/>
          </w:tcPr>
          <w:p w:rsidR="00F366E8" w:rsidRPr="006C05B5" w:rsidRDefault="00F366E8" w:rsidP="005C1352">
            <w:pPr>
              <w:jc w:val="left"/>
              <w:rPr>
                <w:sz w:val="20"/>
                <w:szCs w:val="20"/>
              </w:rPr>
            </w:pPr>
            <w:r w:rsidRPr="006C05B5">
              <w:rPr>
                <w:sz w:val="20"/>
                <w:szCs w:val="20"/>
              </w:rPr>
              <w:t>The common method was used.</w:t>
            </w:r>
          </w:p>
        </w:tc>
        <w:tc>
          <w:tcPr>
            <w:tcW w:w="4590" w:type="dxa"/>
            <w:shd w:val="clear" w:color="auto" w:fill="D2EAF1"/>
          </w:tcPr>
          <w:p w:rsidR="00F366E8" w:rsidRPr="006C05B5" w:rsidRDefault="00F366E8" w:rsidP="005C1352">
            <w:pPr>
              <w:jc w:val="left"/>
              <w:rPr>
                <w:sz w:val="20"/>
                <w:szCs w:val="20"/>
              </w:rPr>
            </w:pPr>
            <w:r w:rsidRPr="006C05B5">
              <w:rPr>
                <w:sz w:val="20"/>
                <w:szCs w:val="20"/>
              </w:rPr>
              <w:t xml:space="preserve">Navigant used the common approach for LEEP NTG but </w:t>
            </w:r>
            <w:r w:rsidR="006E54AF">
              <w:rPr>
                <w:sz w:val="20"/>
                <w:szCs w:val="20"/>
              </w:rPr>
              <w:t xml:space="preserve">the report </w:t>
            </w:r>
            <w:r w:rsidRPr="006C05B5">
              <w:rPr>
                <w:sz w:val="20"/>
                <w:szCs w:val="20"/>
              </w:rPr>
              <w:t>did not explain how it combined strata NTG values into program-level values.</w:t>
            </w:r>
          </w:p>
        </w:tc>
      </w:tr>
    </w:tbl>
    <w:p w:rsidR="00F366E8" w:rsidRPr="006C05B5" w:rsidRDefault="00F366E8" w:rsidP="00F366E8"/>
    <w:p w:rsidR="00F366E8" w:rsidRPr="006C05B5" w:rsidRDefault="008B25EB" w:rsidP="00F366E8">
      <w:r>
        <w:fldChar w:fldCharType="begin"/>
      </w:r>
      <w:r>
        <w:instrText xml:space="preserve"> REF _Ref472453825 \h </w:instrText>
      </w:r>
      <w:r>
        <w:fldChar w:fldCharType="separate"/>
      </w:r>
      <w:r w:rsidR="00A874AC" w:rsidRPr="008B25EB">
        <w:t>Table A-</w:t>
      </w:r>
      <w:r w:rsidR="00A874AC">
        <w:rPr>
          <w:noProof/>
        </w:rPr>
        <w:t>131</w:t>
      </w:r>
      <w:r>
        <w:fldChar w:fldCharType="end"/>
      </w:r>
      <w:r w:rsidR="00F366E8" w:rsidRPr="006C05B5">
        <w:t xml:space="preserve"> shows the NTG</w:t>
      </w:r>
      <w:r w:rsidR="000C3B79">
        <w:t>R</w:t>
      </w:r>
      <w:r w:rsidR="00F366E8" w:rsidRPr="006C05B5">
        <w:t xml:space="preserve"> as reported in the PECO PY7 annual report.</w:t>
      </w:r>
    </w:p>
    <w:p w:rsidR="00F366E8" w:rsidRPr="006C05B5" w:rsidRDefault="00F366E8" w:rsidP="00F366E8">
      <w:pPr>
        <w:rPr>
          <w:highlight w:val="lightGray"/>
        </w:rPr>
      </w:pPr>
    </w:p>
    <w:p w:rsidR="00F366E8" w:rsidRPr="008B25EB" w:rsidRDefault="008B25EB" w:rsidP="008B25EB">
      <w:pPr>
        <w:pStyle w:val="Caption"/>
      </w:pPr>
      <w:bookmarkStart w:id="1248" w:name="_Ref472453825"/>
      <w:bookmarkStart w:id="1249" w:name="_Toc472472540"/>
      <w:bookmarkStart w:id="1250" w:name="_Toc476842246"/>
      <w:r w:rsidRPr="008B25EB">
        <w:t>Table A-</w:t>
      </w:r>
      <w:fldSimple w:instr=" SEQ Table_A- \* ARABIC ">
        <w:r w:rsidR="00C301D0">
          <w:rPr>
            <w:noProof/>
          </w:rPr>
          <w:t>131</w:t>
        </w:r>
      </w:fldSimple>
      <w:bookmarkEnd w:id="1248"/>
      <w:r w:rsidRPr="008B25EB">
        <w:t>:</w:t>
      </w:r>
      <w:r w:rsidR="00F366E8" w:rsidRPr="008B25EB">
        <w:t xml:space="preserve"> Summary of NTG Estimates for PECO’s Low-Income Program</w:t>
      </w:r>
      <w:bookmarkEnd w:id="1249"/>
      <w:bookmarkEnd w:id="1250"/>
    </w:p>
    <w:tbl>
      <w:tblPr>
        <w:tblW w:w="0" w:type="auto"/>
        <w:jc w:val="center"/>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143"/>
        <w:gridCol w:w="3482"/>
        <w:gridCol w:w="1153"/>
        <w:gridCol w:w="1233"/>
        <w:gridCol w:w="1120"/>
        <w:gridCol w:w="1219"/>
      </w:tblGrid>
      <w:tr w:rsidR="00A874AC" w:rsidRPr="006C05B5" w:rsidTr="005C1352">
        <w:trPr>
          <w:jc w:val="center"/>
        </w:trPr>
        <w:tc>
          <w:tcPr>
            <w:tcW w:w="1143" w:type="dxa"/>
            <w:tcBorders>
              <w:bottom w:val="single" w:sz="4" w:space="0" w:color="448A99"/>
            </w:tcBorders>
            <w:shd w:val="clear" w:color="auto" w:fill="448A99"/>
            <w:vAlign w:val="bottom"/>
          </w:tcPr>
          <w:p w:rsidR="00F366E8" w:rsidRPr="006C05B5" w:rsidRDefault="00F366E8" w:rsidP="005C1352">
            <w:pPr>
              <w:keepNext/>
              <w:keepLines/>
              <w:jc w:val="left"/>
              <w:rPr>
                <w:b/>
                <w:color w:val="FFFFFF"/>
                <w:sz w:val="20"/>
                <w:szCs w:val="20"/>
              </w:rPr>
            </w:pPr>
            <w:r w:rsidRPr="006C05B5">
              <w:rPr>
                <w:b/>
                <w:color w:val="FFFFFF"/>
                <w:sz w:val="20"/>
                <w:szCs w:val="20"/>
              </w:rPr>
              <w:t>Approach</w:t>
            </w:r>
          </w:p>
        </w:tc>
        <w:tc>
          <w:tcPr>
            <w:tcW w:w="3482" w:type="dxa"/>
            <w:tcBorders>
              <w:bottom w:val="single" w:sz="4" w:space="0" w:color="448A99"/>
            </w:tcBorders>
            <w:shd w:val="clear" w:color="auto" w:fill="448A99"/>
            <w:vAlign w:val="bottom"/>
          </w:tcPr>
          <w:p w:rsidR="00F366E8" w:rsidRPr="006C05B5" w:rsidRDefault="00F366E8" w:rsidP="005C1352">
            <w:pPr>
              <w:keepNext/>
              <w:keepLines/>
              <w:jc w:val="center"/>
              <w:rPr>
                <w:b/>
                <w:color w:val="FFFFFF"/>
                <w:sz w:val="20"/>
                <w:szCs w:val="20"/>
              </w:rPr>
            </w:pPr>
            <w:r w:rsidRPr="006C05B5">
              <w:rPr>
                <w:b/>
                <w:color w:val="FFFFFF"/>
                <w:sz w:val="20"/>
                <w:szCs w:val="20"/>
              </w:rPr>
              <w:t>Program</w:t>
            </w:r>
          </w:p>
        </w:tc>
        <w:tc>
          <w:tcPr>
            <w:tcW w:w="1153" w:type="dxa"/>
            <w:tcBorders>
              <w:bottom w:val="single" w:sz="4" w:space="0" w:color="448A99"/>
            </w:tcBorders>
            <w:shd w:val="clear" w:color="auto" w:fill="448A99"/>
            <w:vAlign w:val="bottom"/>
          </w:tcPr>
          <w:p w:rsidR="00F366E8" w:rsidRPr="006C05B5" w:rsidRDefault="00F366E8" w:rsidP="005C1352">
            <w:pPr>
              <w:keepNext/>
              <w:keepLines/>
              <w:jc w:val="center"/>
              <w:rPr>
                <w:b/>
                <w:color w:val="FFFFFF"/>
                <w:sz w:val="20"/>
                <w:szCs w:val="20"/>
              </w:rPr>
            </w:pPr>
            <w:r w:rsidRPr="006C05B5">
              <w:rPr>
                <w:b/>
                <w:color w:val="FFFFFF"/>
                <w:sz w:val="20"/>
                <w:szCs w:val="20"/>
              </w:rPr>
              <w:t>Free-ridership</w:t>
            </w:r>
          </w:p>
        </w:tc>
        <w:tc>
          <w:tcPr>
            <w:tcW w:w="1233" w:type="dxa"/>
            <w:tcBorders>
              <w:bottom w:val="single" w:sz="4" w:space="0" w:color="448A99"/>
            </w:tcBorders>
            <w:shd w:val="clear" w:color="auto" w:fill="448A99"/>
            <w:vAlign w:val="bottom"/>
          </w:tcPr>
          <w:p w:rsidR="00F366E8" w:rsidRPr="006C05B5" w:rsidRDefault="00F366E8" w:rsidP="005C1352">
            <w:pPr>
              <w:keepNext/>
              <w:keepLines/>
              <w:jc w:val="center"/>
              <w:rPr>
                <w:b/>
                <w:color w:val="FFFFFF"/>
                <w:sz w:val="20"/>
                <w:szCs w:val="20"/>
              </w:rPr>
            </w:pPr>
            <w:r w:rsidRPr="006C05B5">
              <w:rPr>
                <w:b/>
                <w:color w:val="FFFFFF"/>
                <w:sz w:val="20"/>
                <w:szCs w:val="20"/>
              </w:rPr>
              <w:t>Spillover</w:t>
            </w:r>
          </w:p>
        </w:tc>
        <w:tc>
          <w:tcPr>
            <w:tcW w:w="1120" w:type="dxa"/>
            <w:tcBorders>
              <w:bottom w:val="single" w:sz="4" w:space="0" w:color="448A99"/>
            </w:tcBorders>
            <w:shd w:val="clear" w:color="auto" w:fill="448A99"/>
            <w:vAlign w:val="bottom"/>
          </w:tcPr>
          <w:p w:rsidR="00F366E8" w:rsidRPr="006C05B5" w:rsidRDefault="00F366E8" w:rsidP="005C1352">
            <w:pPr>
              <w:keepNext/>
              <w:keepLines/>
              <w:jc w:val="center"/>
              <w:rPr>
                <w:b/>
                <w:color w:val="FFFFFF"/>
                <w:sz w:val="20"/>
                <w:szCs w:val="20"/>
              </w:rPr>
            </w:pPr>
            <w:r w:rsidRPr="006C05B5">
              <w:rPr>
                <w:b/>
                <w:color w:val="FFFFFF"/>
                <w:sz w:val="20"/>
                <w:szCs w:val="20"/>
              </w:rPr>
              <w:t>NTGR</w:t>
            </w:r>
          </w:p>
        </w:tc>
        <w:tc>
          <w:tcPr>
            <w:tcW w:w="1219" w:type="dxa"/>
            <w:tcBorders>
              <w:bottom w:val="single" w:sz="4" w:space="0" w:color="448A99"/>
            </w:tcBorders>
            <w:shd w:val="clear" w:color="auto" w:fill="448A99"/>
            <w:vAlign w:val="bottom"/>
          </w:tcPr>
          <w:p w:rsidR="00F366E8" w:rsidRPr="006C05B5" w:rsidRDefault="00F366E8" w:rsidP="005C1352">
            <w:pPr>
              <w:keepNext/>
              <w:keepLines/>
              <w:jc w:val="center"/>
              <w:rPr>
                <w:b/>
                <w:color w:val="FFFFFF"/>
                <w:sz w:val="20"/>
                <w:szCs w:val="20"/>
              </w:rPr>
            </w:pPr>
            <w:r w:rsidRPr="006C05B5">
              <w:rPr>
                <w:b/>
                <w:color w:val="FFFFFF"/>
                <w:sz w:val="20"/>
                <w:szCs w:val="20"/>
              </w:rPr>
              <w:t>Sample Size</w:t>
            </w:r>
          </w:p>
        </w:tc>
      </w:tr>
      <w:tr w:rsidR="00A874AC" w:rsidRPr="006C05B5" w:rsidTr="005C1352">
        <w:trPr>
          <w:jc w:val="center"/>
        </w:trPr>
        <w:tc>
          <w:tcPr>
            <w:tcW w:w="1143" w:type="dxa"/>
            <w:tcBorders>
              <w:bottom w:val="single" w:sz="4" w:space="0" w:color="448A99"/>
            </w:tcBorders>
            <w:shd w:val="clear" w:color="auto" w:fill="D2EAF1"/>
          </w:tcPr>
          <w:p w:rsidR="00F366E8" w:rsidRPr="006C05B5" w:rsidRDefault="00F366E8" w:rsidP="005C1352">
            <w:pPr>
              <w:jc w:val="left"/>
              <w:rPr>
                <w:sz w:val="20"/>
                <w:szCs w:val="20"/>
              </w:rPr>
            </w:pPr>
            <w:r w:rsidRPr="006C05B5">
              <w:rPr>
                <w:sz w:val="20"/>
                <w:szCs w:val="20"/>
              </w:rPr>
              <w:t>Estimated</w:t>
            </w:r>
          </w:p>
        </w:tc>
        <w:tc>
          <w:tcPr>
            <w:tcW w:w="3482" w:type="dxa"/>
            <w:tcBorders>
              <w:bottom w:val="single" w:sz="4" w:space="0" w:color="448A99"/>
            </w:tcBorders>
            <w:shd w:val="clear" w:color="auto" w:fill="D2EAF1"/>
            <w:vAlign w:val="center"/>
          </w:tcPr>
          <w:p w:rsidR="00F366E8" w:rsidRPr="006C05B5" w:rsidRDefault="00F366E8" w:rsidP="005C1352">
            <w:pPr>
              <w:jc w:val="left"/>
              <w:rPr>
                <w:color w:val="000000"/>
                <w:sz w:val="20"/>
                <w:szCs w:val="20"/>
              </w:rPr>
            </w:pPr>
            <w:r w:rsidRPr="006C05B5">
              <w:rPr>
                <w:color w:val="000000"/>
                <w:sz w:val="20"/>
                <w:szCs w:val="20"/>
              </w:rPr>
              <w:t>Low-Income Energy Efficiency Program (LEEP)</w:t>
            </w:r>
          </w:p>
        </w:tc>
        <w:tc>
          <w:tcPr>
            <w:tcW w:w="1153" w:type="dxa"/>
            <w:tcBorders>
              <w:bottom w:val="single" w:sz="4" w:space="0" w:color="448A99"/>
            </w:tcBorders>
            <w:shd w:val="clear" w:color="auto" w:fill="D2EAF1"/>
          </w:tcPr>
          <w:p w:rsidR="00F366E8" w:rsidRPr="006C05B5" w:rsidRDefault="00F366E8" w:rsidP="005C1352">
            <w:pPr>
              <w:jc w:val="center"/>
              <w:rPr>
                <w:sz w:val="20"/>
                <w:szCs w:val="20"/>
              </w:rPr>
            </w:pPr>
            <w:r w:rsidRPr="006C05B5">
              <w:rPr>
                <w:sz w:val="20"/>
                <w:szCs w:val="20"/>
              </w:rPr>
              <w:t>0.19</w:t>
            </w:r>
          </w:p>
        </w:tc>
        <w:tc>
          <w:tcPr>
            <w:tcW w:w="1233" w:type="dxa"/>
            <w:tcBorders>
              <w:bottom w:val="single" w:sz="4" w:space="0" w:color="448A99"/>
            </w:tcBorders>
            <w:shd w:val="clear" w:color="auto" w:fill="D2EAF1"/>
          </w:tcPr>
          <w:p w:rsidR="00F366E8" w:rsidRPr="006C05B5" w:rsidRDefault="00F366E8" w:rsidP="005C1352">
            <w:pPr>
              <w:jc w:val="center"/>
              <w:rPr>
                <w:sz w:val="20"/>
                <w:szCs w:val="20"/>
              </w:rPr>
            </w:pPr>
            <w:r w:rsidRPr="006C05B5">
              <w:rPr>
                <w:sz w:val="20"/>
                <w:szCs w:val="20"/>
              </w:rPr>
              <w:t>0.00</w:t>
            </w:r>
          </w:p>
        </w:tc>
        <w:tc>
          <w:tcPr>
            <w:tcW w:w="1120" w:type="dxa"/>
            <w:tcBorders>
              <w:bottom w:val="single" w:sz="4" w:space="0" w:color="448A99"/>
            </w:tcBorders>
            <w:shd w:val="clear" w:color="auto" w:fill="D2EAF1"/>
          </w:tcPr>
          <w:p w:rsidR="00F366E8" w:rsidRPr="006C05B5" w:rsidRDefault="00F366E8" w:rsidP="005C1352">
            <w:pPr>
              <w:jc w:val="center"/>
              <w:rPr>
                <w:sz w:val="20"/>
                <w:szCs w:val="20"/>
              </w:rPr>
            </w:pPr>
            <w:r w:rsidRPr="006C05B5">
              <w:rPr>
                <w:sz w:val="20"/>
                <w:szCs w:val="20"/>
              </w:rPr>
              <w:t>0.81</w:t>
            </w:r>
          </w:p>
        </w:tc>
        <w:tc>
          <w:tcPr>
            <w:tcW w:w="1219" w:type="dxa"/>
            <w:tcBorders>
              <w:bottom w:val="single" w:sz="4" w:space="0" w:color="448A99"/>
            </w:tcBorders>
            <w:shd w:val="clear" w:color="auto" w:fill="D2EAF1"/>
          </w:tcPr>
          <w:p w:rsidR="00F366E8" w:rsidRPr="006C05B5" w:rsidRDefault="00F366E8" w:rsidP="005C1352">
            <w:pPr>
              <w:jc w:val="center"/>
              <w:rPr>
                <w:sz w:val="20"/>
                <w:szCs w:val="20"/>
              </w:rPr>
            </w:pPr>
            <w:r w:rsidRPr="006C05B5">
              <w:rPr>
                <w:sz w:val="20"/>
                <w:szCs w:val="20"/>
              </w:rPr>
              <w:t>90</w:t>
            </w:r>
          </w:p>
        </w:tc>
      </w:tr>
    </w:tbl>
    <w:p w:rsidR="00F366E8" w:rsidRPr="006C05B5" w:rsidRDefault="00F366E8" w:rsidP="00F366E8"/>
    <w:p w:rsidR="00F366E8" w:rsidRPr="006C05B5" w:rsidRDefault="00F366E8" w:rsidP="008B25EB">
      <w:pPr>
        <w:pStyle w:val="AppendixAHeading4"/>
      </w:pPr>
      <w:r w:rsidRPr="006C05B5">
        <w:t>Non-Residential Programs</w:t>
      </w:r>
    </w:p>
    <w:p w:rsidR="00F366E8" w:rsidRPr="006C05B5" w:rsidRDefault="00F366E8" w:rsidP="00F366E8">
      <w:r w:rsidRPr="006C05B5">
        <w:t xml:space="preserve">Navigant estimated an NTGR for </w:t>
      </w:r>
      <w:r w:rsidRPr="005A33A4">
        <w:rPr>
          <w:sz w:val="20"/>
        </w:rPr>
        <w:t>Smart Equipment Incentives (</w:t>
      </w:r>
      <w:r w:rsidRPr="006C05B5">
        <w:t xml:space="preserve">SEI), </w:t>
      </w:r>
      <w:r w:rsidRPr="005A33A4">
        <w:rPr>
          <w:sz w:val="20"/>
        </w:rPr>
        <w:t>Smart On-Site (</w:t>
      </w:r>
      <w:r w:rsidRPr="006C05B5">
        <w:t>SOS), and the commercial component of the SMF Solutions Program and assumed NTGR to be 1.0 for the commercial SACS. For the remaining programs</w:t>
      </w:r>
      <w:r w:rsidR="005A33A4">
        <w:t xml:space="preserve"> </w:t>
      </w:r>
      <w:r w:rsidRPr="005A33A4">
        <w:t>Smart Business Solutions (SBS) and Smart Construction Incentives (SCI)</w:t>
      </w:r>
      <w:r w:rsidR="005A33A4">
        <w:t>,</w:t>
      </w:r>
      <w:r w:rsidR="005A33A4" w:rsidRPr="006C05B5">
        <w:t xml:space="preserve"> </w:t>
      </w:r>
      <w:r w:rsidRPr="006C05B5">
        <w:t xml:space="preserve">Navigant did not estimate NTG impacts in PY7, and instead applied the respective values from either PY5 or PY6. </w:t>
      </w:r>
    </w:p>
    <w:p w:rsidR="007C0930" w:rsidRPr="007C0930" w:rsidRDefault="007C0930" w:rsidP="00F366E8"/>
    <w:p w:rsidR="00F366E8" w:rsidRPr="006C05B5" w:rsidRDefault="00F366E8" w:rsidP="00F366E8">
      <w:r w:rsidRPr="006C05B5">
        <w:t>The SWE Team found Navigant’s description of the NTG methods to be detailed and clear, except for how it combined strata NTG results into program-level estimates. Assessment of Navigant’s NTG Excel files confirmed that Navigant used the SWE Team’s common approach for the SMF Solutions NTGR estimation.</w:t>
      </w:r>
    </w:p>
    <w:p w:rsidR="00F366E8" w:rsidRPr="006C05B5" w:rsidRDefault="00F366E8" w:rsidP="00F366E8"/>
    <w:p w:rsidR="00F366E8" w:rsidRPr="006C05B5" w:rsidRDefault="00F366E8" w:rsidP="00F366E8">
      <w:pPr>
        <w:rPr>
          <w:highlight w:val="lightGray"/>
        </w:rPr>
      </w:pPr>
      <w:r w:rsidRPr="006C05B5">
        <w:t>Navigant provided the SWE Team with all of its NTG calculations, together with the raw survey data, in Excel workbooks and additional information on spillover calculations, when requested. In reviewing these Excel workbooks and additional information, the SWE Team found that all NTG Excel calculations were correct and followed the SWE Team’s common method. However, the workbooks provided did not include the calculations that combined strata estimates into program-level estimates.</w:t>
      </w:r>
    </w:p>
    <w:p w:rsidR="00F366E8" w:rsidRPr="006C05B5" w:rsidRDefault="00F366E8" w:rsidP="00F366E8">
      <w:pPr>
        <w:rPr>
          <w:highlight w:val="lightGray"/>
        </w:rPr>
      </w:pPr>
    </w:p>
    <w:p w:rsidR="00F366E8" w:rsidRPr="006C05B5" w:rsidRDefault="008B25EB" w:rsidP="00F366E8">
      <w:r w:rsidRPr="001C055E">
        <w:fldChar w:fldCharType="begin"/>
      </w:r>
      <w:r w:rsidRPr="007C0930">
        <w:instrText xml:space="preserve"> REF _Ref472453858 \h </w:instrText>
      </w:r>
      <w:r w:rsidR="007C0930">
        <w:instrText xml:space="preserve"> \* MERGEFORMAT </w:instrText>
      </w:r>
      <w:r w:rsidRPr="001C055E">
        <w:fldChar w:fldCharType="separate"/>
      </w:r>
      <w:r w:rsidR="00DD797D" w:rsidRPr="008B25EB">
        <w:t>Table A-</w:t>
      </w:r>
      <w:r w:rsidR="00DD797D">
        <w:t>132</w:t>
      </w:r>
      <w:r w:rsidRPr="001C055E">
        <w:fldChar w:fldCharType="end"/>
      </w:r>
      <w:r w:rsidR="00F366E8" w:rsidRPr="006C05B5">
        <w:t xml:space="preserve"> summarizes the SWE Team’s review of the NTG methodology by program. The SWE Team found the application of the SWE common methods to be generally error-free.  </w:t>
      </w:r>
    </w:p>
    <w:p w:rsidR="00F366E8" w:rsidRPr="008B25EB" w:rsidRDefault="008B25EB" w:rsidP="008B25EB">
      <w:pPr>
        <w:pStyle w:val="Caption"/>
      </w:pPr>
      <w:bookmarkStart w:id="1251" w:name="_Ref472453858"/>
      <w:bookmarkStart w:id="1252" w:name="_Toc409443574"/>
      <w:bookmarkStart w:id="1253" w:name="_Toc409225022"/>
      <w:bookmarkStart w:id="1254" w:name="_Toc444269794"/>
      <w:bookmarkStart w:id="1255" w:name="_Toc472472541"/>
      <w:bookmarkStart w:id="1256" w:name="_Toc476842247"/>
      <w:r w:rsidRPr="008B25EB">
        <w:t>Table A-</w:t>
      </w:r>
      <w:fldSimple w:instr=" SEQ Table_A- \* ARABIC ">
        <w:r w:rsidR="00C301D0">
          <w:rPr>
            <w:noProof/>
          </w:rPr>
          <w:t>132</w:t>
        </w:r>
      </w:fldSimple>
      <w:bookmarkEnd w:id="1251"/>
      <w:r w:rsidRPr="008B25EB">
        <w:t>:</w:t>
      </w:r>
      <w:r w:rsidR="00F366E8" w:rsidRPr="008B25EB">
        <w:t xml:space="preserve"> Summary of NTG Audit of </w:t>
      </w:r>
      <w:bookmarkEnd w:id="1252"/>
      <w:r w:rsidR="00F366E8" w:rsidRPr="008B25EB">
        <w:t>PECO’s Non-Residential Programs</w:t>
      </w:r>
      <w:bookmarkEnd w:id="1253"/>
      <w:bookmarkEnd w:id="1254"/>
      <w:bookmarkEnd w:id="1255"/>
      <w:bookmarkEnd w:id="1256"/>
      <w:r w:rsidR="00F366E8" w:rsidRPr="008B25EB">
        <w:t xml:space="preserve"> </w:t>
      </w:r>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1705"/>
        <w:gridCol w:w="1890"/>
        <w:gridCol w:w="5760"/>
      </w:tblGrid>
      <w:tr w:rsidR="00A874AC" w:rsidRPr="006C05B5" w:rsidTr="008111EC">
        <w:trPr>
          <w:cantSplit/>
          <w:tblHeader/>
        </w:trPr>
        <w:tc>
          <w:tcPr>
            <w:tcW w:w="1705" w:type="dxa"/>
            <w:shd w:val="clear" w:color="auto" w:fill="448A99"/>
            <w:vAlign w:val="bottom"/>
          </w:tcPr>
          <w:p w:rsidR="00F366E8" w:rsidRPr="006C05B5" w:rsidRDefault="00F366E8" w:rsidP="005C1352">
            <w:pPr>
              <w:rPr>
                <w:b/>
                <w:color w:val="FFFFFF"/>
                <w:sz w:val="20"/>
                <w:szCs w:val="20"/>
              </w:rPr>
            </w:pPr>
            <w:r w:rsidRPr="006C05B5">
              <w:rPr>
                <w:b/>
                <w:color w:val="FFFFFF"/>
                <w:sz w:val="20"/>
                <w:szCs w:val="20"/>
              </w:rPr>
              <w:t>Program</w:t>
            </w:r>
          </w:p>
        </w:tc>
        <w:tc>
          <w:tcPr>
            <w:tcW w:w="1890" w:type="dxa"/>
            <w:shd w:val="clear" w:color="auto" w:fill="448A99"/>
            <w:vAlign w:val="bottom"/>
          </w:tcPr>
          <w:p w:rsidR="00F366E8" w:rsidRPr="006C05B5" w:rsidRDefault="00F366E8" w:rsidP="005C1352">
            <w:pPr>
              <w:jc w:val="center"/>
              <w:rPr>
                <w:b/>
                <w:color w:val="FFFFFF"/>
                <w:sz w:val="20"/>
                <w:szCs w:val="20"/>
              </w:rPr>
            </w:pPr>
            <w:r w:rsidRPr="006C05B5">
              <w:rPr>
                <w:b/>
                <w:color w:val="FFFFFF"/>
                <w:sz w:val="20"/>
                <w:szCs w:val="20"/>
              </w:rPr>
              <w:t>NTG Method</w:t>
            </w:r>
          </w:p>
        </w:tc>
        <w:tc>
          <w:tcPr>
            <w:tcW w:w="5760" w:type="dxa"/>
            <w:shd w:val="clear" w:color="auto" w:fill="448A99"/>
            <w:vAlign w:val="bottom"/>
          </w:tcPr>
          <w:p w:rsidR="00F366E8" w:rsidRPr="006C05B5" w:rsidRDefault="00F366E8" w:rsidP="005C1352">
            <w:pPr>
              <w:jc w:val="center"/>
              <w:rPr>
                <w:b/>
                <w:color w:val="FFFFFF"/>
                <w:sz w:val="20"/>
                <w:szCs w:val="20"/>
              </w:rPr>
            </w:pPr>
            <w:r w:rsidRPr="006C05B5">
              <w:rPr>
                <w:b/>
                <w:color w:val="FFFFFF"/>
                <w:sz w:val="20"/>
                <w:szCs w:val="20"/>
              </w:rPr>
              <w:t>Review Comments</w:t>
            </w:r>
          </w:p>
        </w:tc>
      </w:tr>
      <w:tr w:rsidR="00E7173E" w:rsidRPr="006C05B5" w:rsidTr="005A33A4">
        <w:trPr>
          <w:trHeight w:val="864"/>
        </w:trPr>
        <w:tc>
          <w:tcPr>
            <w:tcW w:w="1705" w:type="dxa"/>
            <w:shd w:val="clear" w:color="auto" w:fill="D2EAF1"/>
          </w:tcPr>
          <w:p w:rsidR="00F366E8" w:rsidRPr="006C05B5" w:rsidRDefault="00F366E8" w:rsidP="005C1352">
            <w:pPr>
              <w:jc w:val="left"/>
              <w:rPr>
                <w:color w:val="548DD4"/>
                <w:sz w:val="20"/>
                <w:szCs w:val="20"/>
              </w:rPr>
            </w:pPr>
            <w:r w:rsidRPr="006C05B5">
              <w:rPr>
                <w:sz w:val="20"/>
                <w:szCs w:val="20"/>
              </w:rPr>
              <w:t>Smart Equipment Incentives (SEI) – C/I and GNI</w:t>
            </w:r>
          </w:p>
        </w:tc>
        <w:tc>
          <w:tcPr>
            <w:tcW w:w="1890" w:type="dxa"/>
            <w:shd w:val="clear" w:color="auto" w:fill="D2EAF1"/>
          </w:tcPr>
          <w:p w:rsidR="00F366E8" w:rsidRPr="006C05B5" w:rsidRDefault="00F366E8" w:rsidP="005C1352">
            <w:pPr>
              <w:jc w:val="left"/>
              <w:rPr>
                <w:color w:val="548DD4"/>
                <w:sz w:val="20"/>
                <w:szCs w:val="20"/>
              </w:rPr>
            </w:pPr>
            <w:r w:rsidRPr="006C05B5">
              <w:rPr>
                <w:sz w:val="20"/>
                <w:szCs w:val="20"/>
              </w:rPr>
              <w:t>The common method was used.</w:t>
            </w:r>
          </w:p>
        </w:tc>
        <w:tc>
          <w:tcPr>
            <w:tcW w:w="5760" w:type="dxa"/>
            <w:shd w:val="clear" w:color="auto" w:fill="D2EAF1"/>
          </w:tcPr>
          <w:p w:rsidR="00F366E8" w:rsidRPr="006C05B5" w:rsidRDefault="00F366E8" w:rsidP="005C1352">
            <w:pPr>
              <w:jc w:val="left"/>
              <w:rPr>
                <w:color w:val="548DD4"/>
                <w:sz w:val="20"/>
                <w:szCs w:val="20"/>
              </w:rPr>
            </w:pPr>
            <w:r w:rsidRPr="006C05B5">
              <w:rPr>
                <w:sz w:val="20"/>
                <w:szCs w:val="20"/>
              </w:rPr>
              <w:t>Navigant used the common approach. The workbook contained FR and SO values and calculations. Calculations followed the SWE common method.</w:t>
            </w:r>
          </w:p>
        </w:tc>
      </w:tr>
      <w:tr w:rsidR="00E7173E" w:rsidRPr="006C05B5" w:rsidTr="005A33A4">
        <w:trPr>
          <w:trHeight w:val="864"/>
        </w:trPr>
        <w:tc>
          <w:tcPr>
            <w:tcW w:w="1705" w:type="dxa"/>
            <w:shd w:val="clear" w:color="auto" w:fill="auto"/>
          </w:tcPr>
          <w:p w:rsidR="00F366E8" w:rsidRPr="006C05B5" w:rsidRDefault="00F366E8" w:rsidP="005C1352">
            <w:pPr>
              <w:jc w:val="left"/>
              <w:rPr>
                <w:sz w:val="20"/>
                <w:szCs w:val="20"/>
              </w:rPr>
            </w:pPr>
            <w:r w:rsidRPr="006C05B5">
              <w:rPr>
                <w:sz w:val="20"/>
                <w:szCs w:val="20"/>
              </w:rPr>
              <w:t>Smart Construction Incentives (SCI)</w:t>
            </w:r>
          </w:p>
        </w:tc>
        <w:tc>
          <w:tcPr>
            <w:tcW w:w="1890" w:type="dxa"/>
            <w:shd w:val="clear" w:color="auto" w:fill="auto"/>
          </w:tcPr>
          <w:p w:rsidR="00F366E8" w:rsidRPr="006C05B5" w:rsidRDefault="00F366E8" w:rsidP="005C1352">
            <w:pPr>
              <w:jc w:val="left"/>
              <w:rPr>
                <w:sz w:val="20"/>
                <w:szCs w:val="20"/>
              </w:rPr>
            </w:pPr>
            <w:r w:rsidRPr="006C05B5">
              <w:rPr>
                <w:sz w:val="20"/>
                <w:szCs w:val="20"/>
              </w:rPr>
              <w:t>Not calculated; Navigant used PY6 values.</w:t>
            </w:r>
          </w:p>
        </w:tc>
        <w:tc>
          <w:tcPr>
            <w:tcW w:w="5760" w:type="dxa"/>
            <w:shd w:val="clear" w:color="auto" w:fill="auto"/>
          </w:tcPr>
          <w:p w:rsidR="00F366E8" w:rsidRPr="006C05B5" w:rsidRDefault="00F366E8" w:rsidP="005C1352">
            <w:pPr>
              <w:jc w:val="left"/>
              <w:rPr>
                <w:sz w:val="20"/>
                <w:szCs w:val="20"/>
              </w:rPr>
            </w:pPr>
            <w:r w:rsidRPr="006C05B5">
              <w:rPr>
                <w:sz w:val="20"/>
                <w:szCs w:val="20"/>
              </w:rPr>
              <w:t>Because there were no significant changes to program delivery or the target market, Navigant used the PY6 NTGR for the PY7 NTGR.</w:t>
            </w:r>
          </w:p>
        </w:tc>
      </w:tr>
      <w:tr w:rsidR="00E7173E" w:rsidRPr="006C05B5" w:rsidTr="005A33A4">
        <w:trPr>
          <w:trHeight w:val="864"/>
        </w:trPr>
        <w:tc>
          <w:tcPr>
            <w:tcW w:w="1705" w:type="dxa"/>
            <w:shd w:val="clear" w:color="auto" w:fill="D2EAF1"/>
          </w:tcPr>
          <w:p w:rsidR="00F366E8" w:rsidRPr="006C05B5" w:rsidRDefault="00F366E8" w:rsidP="005C1352">
            <w:pPr>
              <w:jc w:val="left"/>
              <w:rPr>
                <w:sz w:val="20"/>
                <w:szCs w:val="20"/>
              </w:rPr>
            </w:pPr>
            <w:r w:rsidRPr="006C05B5">
              <w:rPr>
                <w:sz w:val="20"/>
                <w:szCs w:val="20"/>
              </w:rPr>
              <w:t>Smart On-Site (SOS)</w:t>
            </w:r>
          </w:p>
        </w:tc>
        <w:tc>
          <w:tcPr>
            <w:tcW w:w="1890" w:type="dxa"/>
            <w:shd w:val="clear" w:color="auto" w:fill="D2EAF1"/>
          </w:tcPr>
          <w:p w:rsidR="00F366E8" w:rsidRPr="006C05B5" w:rsidRDefault="00F366E8" w:rsidP="005C1352">
            <w:pPr>
              <w:jc w:val="left"/>
              <w:rPr>
                <w:sz w:val="20"/>
                <w:szCs w:val="20"/>
              </w:rPr>
            </w:pPr>
            <w:r w:rsidRPr="006C05B5">
              <w:rPr>
                <w:sz w:val="20"/>
                <w:szCs w:val="20"/>
              </w:rPr>
              <w:t>The common method was used.</w:t>
            </w:r>
          </w:p>
        </w:tc>
        <w:tc>
          <w:tcPr>
            <w:tcW w:w="5760" w:type="dxa"/>
            <w:shd w:val="clear" w:color="auto" w:fill="D2EAF1"/>
          </w:tcPr>
          <w:p w:rsidR="00F366E8" w:rsidRPr="006C05B5" w:rsidRDefault="00F366E8" w:rsidP="005C1352">
            <w:pPr>
              <w:jc w:val="left"/>
              <w:rPr>
                <w:sz w:val="20"/>
                <w:szCs w:val="20"/>
              </w:rPr>
            </w:pPr>
            <w:r w:rsidRPr="006C05B5">
              <w:rPr>
                <w:sz w:val="20"/>
                <w:szCs w:val="20"/>
              </w:rPr>
              <w:t>Navigant used the common approach.</w:t>
            </w:r>
          </w:p>
        </w:tc>
      </w:tr>
      <w:tr w:rsidR="00E7173E" w:rsidRPr="006C05B5" w:rsidTr="005A33A4">
        <w:tc>
          <w:tcPr>
            <w:tcW w:w="1705" w:type="dxa"/>
            <w:shd w:val="clear" w:color="auto" w:fill="auto"/>
          </w:tcPr>
          <w:p w:rsidR="00F366E8" w:rsidRPr="006C05B5" w:rsidRDefault="00F366E8" w:rsidP="005C1352">
            <w:pPr>
              <w:jc w:val="left"/>
              <w:rPr>
                <w:sz w:val="20"/>
                <w:szCs w:val="20"/>
              </w:rPr>
            </w:pPr>
            <w:r w:rsidRPr="006C05B5">
              <w:rPr>
                <w:sz w:val="20"/>
                <w:szCs w:val="20"/>
              </w:rPr>
              <w:t>Smart A/C Saver (SACS) – Commercial</w:t>
            </w:r>
          </w:p>
        </w:tc>
        <w:tc>
          <w:tcPr>
            <w:tcW w:w="1890" w:type="dxa"/>
            <w:shd w:val="clear" w:color="auto" w:fill="auto"/>
          </w:tcPr>
          <w:p w:rsidR="00F366E8" w:rsidRPr="006C05B5" w:rsidRDefault="00F366E8" w:rsidP="005C1352">
            <w:pPr>
              <w:jc w:val="left"/>
              <w:rPr>
                <w:sz w:val="20"/>
                <w:szCs w:val="20"/>
              </w:rPr>
            </w:pPr>
            <w:r w:rsidRPr="006C05B5">
              <w:rPr>
                <w:sz w:val="20"/>
                <w:szCs w:val="20"/>
              </w:rPr>
              <w:t xml:space="preserve">NTGR assumed to be 1.0 </w:t>
            </w:r>
          </w:p>
        </w:tc>
        <w:tc>
          <w:tcPr>
            <w:tcW w:w="5760" w:type="dxa"/>
            <w:shd w:val="clear" w:color="auto" w:fill="auto"/>
          </w:tcPr>
          <w:p w:rsidR="00F366E8" w:rsidRPr="006C05B5" w:rsidRDefault="00F366E8" w:rsidP="005C1352">
            <w:pPr>
              <w:jc w:val="left"/>
              <w:rPr>
                <w:sz w:val="20"/>
                <w:szCs w:val="20"/>
              </w:rPr>
            </w:pPr>
            <w:r w:rsidRPr="006C05B5">
              <w:rPr>
                <w:sz w:val="20"/>
                <w:szCs w:val="20"/>
              </w:rPr>
              <w:t>Navigant did not conduct NTG research to determine FR. Navigant assumed that none of the program participants would have curtailed load at the times PECO dispatched the program without the incentives the conservation service provider paid them for their load curtailment. This reasonable assumption also was stated in the evaluation plan.</w:t>
            </w:r>
          </w:p>
        </w:tc>
      </w:tr>
      <w:tr w:rsidR="00E7173E" w:rsidRPr="006C05B5" w:rsidTr="005A33A4">
        <w:trPr>
          <w:trHeight w:val="864"/>
        </w:trPr>
        <w:tc>
          <w:tcPr>
            <w:tcW w:w="1705" w:type="dxa"/>
            <w:shd w:val="clear" w:color="auto" w:fill="D2EAF1"/>
          </w:tcPr>
          <w:p w:rsidR="00F366E8" w:rsidRPr="006C05B5" w:rsidRDefault="00F366E8" w:rsidP="005C1352">
            <w:pPr>
              <w:jc w:val="left"/>
              <w:rPr>
                <w:sz w:val="20"/>
                <w:szCs w:val="20"/>
              </w:rPr>
            </w:pPr>
            <w:r w:rsidRPr="006C05B5">
              <w:rPr>
                <w:sz w:val="20"/>
                <w:szCs w:val="20"/>
              </w:rPr>
              <w:t>Smart Multi-Family (SMF) Solutions Program</w:t>
            </w:r>
          </w:p>
        </w:tc>
        <w:tc>
          <w:tcPr>
            <w:tcW w:w="1890" w:type="dxa"/>
            <w:shd w:val="clear" w:color="auto" w:fill="D2EAF1"/>
          </w:tcPr>
          <w:p w:rsidR="00F366E8" w:rsidRPr="006C05B5" w:rsidRDefault="00F366E8" w:rsidP="005C1352">
            <w:pPr>
              <w:jc w:val="left"/>
              <w:rPr>
                <w:sz w:val="20"/>
                <w:szCs w:val="20"/>
              </w:rPr>
            </w:pPr>
            <w:r w:rsidRPr="006C05B5">
              <w:rPr>
                <w:sz w:val="20"/>
                <w:szCs w:val="20"/>
              </w:rPr>
              <w:t>The common method was used.</w:t>
            </w:r>
          </w:p>
        </w:tc>
        <w:tc>
          <w:tcPr>
            <w:tcW w:w="5760" w:type="dxa"/>
            <w:shd w:val="clear" w:color="auto" w:fill="D2EAF1"/>
          </w:tcPr>
          <w:p w:rsidR="00F366E8" w:rsidRPr="006C05B5" w:rsidRDefault="00F366E8" w:rsidP="005C1352">
            <w:pPr>
              <w:jc w:val="left"/>
              <w:rPr>
                <w:sz w:val="20"/>
                <w:szCs w:val="20"/>
              </w:rPr>
            </w:pPr>
            <w:r w:rsidRPr="006C05B5">
              <w:rPr>
                <w:sz w:val="20"/>
                <w:szCs w:val="20"/>
              </w:rPr>
              <w:t>Navigant used the common approach for NTG but did not explain how it combined strata NTG values into program-level values.</w:t>
            </w:r>
          </w:p>
        </w:tc>
      </w:tr>
      <w:tr w:rsidR="00E7173E" w:rsidRPr="006C05B5" w:rsidTr="005A33A4">
        <w:trPr>
          <w:trHeight w:val="864"/>
        </w:trPr>
        <w:tc>
          <w:tcPr>
            <w:tcW w:w="1705" w:type="dxa"/>
            <w:shd w:val="clear" w:color="auto" w:fill="auto"/>
          </w:tcPr>
          <w:p w:rsidR="00F366E8" w:rsidRPr="006C05B5" w:rsidRDefault="00F366E8" w:rsidP="005C1352">
            <w:pPr>
              <w:jc w:val="left"/>
              <w:rPr>
                <w:sz w:val="20"/>
                <w:szCs w:val="20"/>
              </w:rPr>
            </w:pPr>
            <w:r w:rsidRPr="006C05B5">
              <w:rPr>
                <w:sz w:val="20"/>
                <w:szCs w:val="20"/>
              </w:rPr>
              <w:t>Smart Business Solutions (SBS)</w:t>
            </w:r>
          </w:p>
        </w:tc>
        <w:tc>
          <w:tcPr>
            <w:tcW w:w="1890" w:type="dxa"/>
            <w:shd w:val="clear" w:color="auto" w:fill="auto"/>
          </w:tcPr>
          <w:p w:rsidR="00F366E8" w:rsidRPr="006C05B5" w:rsidRDefault="00F366E8" w:rsidP="005C1352">
            <w:pPr>
              <w:jc w:val="left"/>
              <w:rPr>
                <w:sz w:val="20"/>
                <w:szCs w:val="20"/>
              </w:rPr>
            </w:pPr>
            <w:r w:rsidRPr="006C05B5">
              <w:rPr>
                <w:sz w:val="20"/>
                <w:szCs w:val="20"/>
              </w:rPr>
              <w:t>No NTGR estimation in PY7; NTGR estimated in PY5.</w:t>
            </w:r>
          </w:p>
        </w:tc>
        <w:tc>
          <w:tcPr>
            <w:tcW w:w="5760" w:type="dxa"/>
            <w:shd w:val="clear" w:color="auto" w:fill="auto"/>
          </w:tcPr>
          <w:p w:rsidR="00F366E8" w:rsidRPr="006C05B5" w:rsidRDefault="00F366E8" w:rsidP="005C1352">
            <w:pPr>
              <w:jc w:val="left"/>
              <w:rPr>
                <w:sz w:val="20"/>
                <w:szCs w:val="20"/>
              </w:rPr>
            </w:pPr>
            <w:r w:rsidRPr="006C05B5">
              <w:rPr>
                <w:sz w:val="20"/>
                <w:szCs w:val="20"/>
              </w:rPr>
              <w:t>The common method was used to estimate the NTGR in PY5. There was no NTG estimation in PY7. Navigant did not report the PY5 NTG values in the PY7 annual report.</w:t>
            </w:r>
          </w:p>
        </w:tc>
      </w:tr>
      <w:tr w:rsidR="00E7173E" w:rsidRPr="006C05B5" w:rsidTr="005A33A4">
        <w:trPr>
          <w:trHeight w:val="864"/>
        </w:trPr>
        <w:tc>
          <w:tcPr>
            <w:tcW w:w="1705" w:type="dxa"/>
            <w:shd w:val="clear" w:color="auto" w:fill="D2EAF1"/>
          </w:tcPr>
          <w:p w:rsidR="00F366E8" w:rsidRPr="006C05B5" w:rsidRDefault="00F366E8" w:rsidP="005C1352">
            <w:pPr>
              <w:jc w:val="left"/>
              <w:rPr>
                <w:sz w:val="20"/>
                <w:szCs w:val="20"/>
              </w:rPr>
            </w:pPr>
            <w:r w:rsidRPr="006C05B5">
              <w:rPr>
                <w:sz w:val="20"/>
                <w:szCs w:val="20"/>
              </w:rPr>
              <w:t>Smart On-Site (SOS)</w:t>
            </w:r>
          </w:p>
        </w:tc>
        <w:tc>
          <w:tcPr>
            <w:tcW w:w="1890" w:type="dxa"/>
            <w:shd w:val="clear" w:color="auto" w:fill="D2EAF1"/>
          </w:tcPr>
          <w:p w:rsidR="00F366E8" w:rsidRPr="006C05B5" w:rsidRDefault="00F366E8" w:rsidP="005C1352">
            <w:pPr>
              <w:jc w:val="left"/>
              <w:rPr>
                <w:sz w:val="20"/>
                <w:szCs w:val="20"/>
              </w:rPr>
            </w:pPr>
            <w:r w:rsidRPr="006C05B5">
              <w:rPr>
                <w:sz w:val="20"/>
                <w:szCs w:val="20"/>
              </w:rPr>
              <w:t>The common method was used.</w:t>
            </w:r>
          </w:p>
        </w:tc>
        <w:tc>
          <w:tcPr>
            <w:tcW w:w="5760" w:type="dxa"/>
            <w:shd w:val="clear" w:color="auto" w:fill="D2EAF1"/>
          </w:tcPr>
          <w:p w:rsidR="00F366E8" w:rsidRPr="006C05B5" w:rsidRDefault="00F366E8" w:rsidP="005C1352">
            <w:pPr>
              <w:jc w:val="left"/>
              <w:rPr>
                <w:sz w:val="20"/>
                <w:szCs w:val="20"/>
              </w:rPr>
            </w:pPr>
            <w:r w:rsidRPr="006C05B5">
              <w:rPr>
                <w:sz w:val="20"/>
                <w:szCs w:val="20"/>
              </w:rPr>
              <w:t>Navigant used the common approach for NTG but did not explain how it combined strata NTG values into program-level values.</w:t>
            </w:r>
          </w:p>
        </w:tc>
      </w:tr>
    </w:tbl>
    <w:p w:rsidR="00EE3086" w:rsidRDefault="00EE3086" w:rsidP="00F366E8"/>
    <w:p w:rsidR="00F366E8" w:rsidRDefault="00EE3086" w:rsidP="00F366E8">
      <w:r>
        <w:t xml:space="preserve">Table A-133 </w:t>
      </w:r>
      <w:r w:rsidR="00F366E8" w:rsidRPr="006C05B5">
        <w:t xml:space="preserve">shows the NTG values reported in the PY7 annual report. </w:t>
      </w:r>
    </w:p>
    <w:p w:rsidR="00EE3086" w:rsidRPr="00EE3086" w:rsidRDefault="00EE3086" w:rsidP="00EE3086"/>
    <w:p w:rsidR="00F366E8" w:rsidRPr="001141CD" w:rsidRDefault="001141CD" w:rsidP="001141CD">
      <w:pPr>
        <w:pStyle w:val="Caption"/>
      </w:pPr>
      <w:bookmarkStart w:id="1257" w:name="_Ref472453908"/>
      <w:bookmarkStart w:id="1258" w:name="_Toc409225023"/>
      <w:bookmarkStart w:id="1259" w:name="_Toc409443575"/>
      <w:bookmarkStart w:id="1260" w:name="_Toc444269795"/>
      <w:bookmarkStart w:id="1261" w:name="_Toc472472542"/>
      <w:bookmarkStart w:id="1262" w:name="_Toc476842248"/>
      <w:r w:rsidRPr="001141CD">
        <w:t>Table A-</w:t>
      </w:r>
      <w:fldSimple w:instr=" SEQ Table_A- \* ARABIC ">
        <w:r w:rsidR="00C301D0">
          <w:rPr>
            <w:noProof/>
          </w:rPr>
          <w:t>133</w:t>
        </w:r>
      </w:fldSimple>
      <w:bookmarkEnd w:id="1257"/>
      <w:r w:rsidRPr="001141CD">
        <w:t>:</w:t>
      </w:r>
      <w:r w:rsidR="00F366E8" w:rsidRPr="001141CD">
        <w:t xml:space="preserve"> Summary of NTG Estimates for PECO’s Non-Residential Program</w:t>
      </w:r>
      <w:bookmarkEnd w:id="1258"/>
      <w:bookmarkEnd w:id="1259"/>
      <w:bookmarkEnd w:id="1260"/>
      <w:r w:rsidR="00F366E8" w:rsidRPr="001141CD">
        <w:t>s</w:t>
      </w:r>
      <w:bookmarkEnd w:id="1261"/>
      <w:bookmarkEnd w:id="1262"/>
    </w:p>
    <w:tbl>
      <w:tblPr>
        <w:tblW w:w="9342"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242"/>
        <w:gridCol w:w="3510"/>
        <w:gridCol w:w="1260"/>
        <w:gridCol w:w="1170"/>
        <w:gridCol w:w="1170"/>
        <w:gridCol w:w="990"/>
      </w:tblGrid>
      <w:tr w:rsidR="00A874AC" w:rsidRPr="006C05B5" w:rsidTr="00EE3086">
        <w:trPr>
          <w:trHeight w:val="20"/>
        </w:trPr>
        <w:tc>
          <w:tcPr>
            <w:tcW w:w="1242" w:type="dxa"/>
            <w:shd w:val="clear" w:color="auto" w:fill="448A99"/>
            <w:vAlign w:val="bottom"/>
            <w:hideMark/>
          </w:tcPr>
          <w:p w:rsidR="00F366E8" w:rsidRPr="006C05B5" w:rsidRDefault="00F366E8" w:rsidP="005C1352">
            <w:pPr>
              <w:jc w:val="left"/>
              <w:rPr>
                <w:b/>
                <w:bCs/>
                <w:color w:val="FFFFFF"/>
                <w:sz w:val="20"/>
                <w:szCs w:val="20"/>
              </w:rPr>
            </w:pPr>
            <w:r w:rsidRPr="006C05B5">
              <w:rPr>
                <w:b/>
                <w:bCs/>
                <w:color w:val="FFFFFF"/>
                <w:sz w:val="20"/>
                <w:szCs w:val="20"/>
              </w:rPr>
              <w:t>Approach</w:t>
            </w:r>
          </w:p>
        </w:tc>
        <w:tc>
          <w:tcPr>
            <w:tcW w:w="3510" w:type="dxa"/>
            <w:shd w:val="clear" w:color="auto" w:fill="448A99"/>
            <w:vAlign w:val="bottom"/>
            <w:hideMark/>
          </w:tcPr>
          <w:p w:rsidR="00F366E8" w:rsidRPr="006C05B5" w:rsidRDefault="00F366E8" w:rsidP="005C1352">
            <w:pPr>
              <w:jc w:val="center"/>
              <w:rPr>
                <w:b/>
                <w:bCs/>
                <w:color w:val="FFFFFF"/>
                <w:sz w:val="20"/>
                <w:szCs w:val="20"/>
              </w:rPr>
            </w:pPr>
            <w:r w:rsidRPr="006C05B5">
              <w:rPr>
                <w:b/>
                <w:bCs/>
                <w:color w:val="FFFFFF"/>
                <w:sz w:val="20"/>
                <w:szCs w:val="20"/>
              </w:rPr>
              <w:t>Program</w:t>
            </w:r>
          </w:p>
        </w:tc>
        <w:tc>
          <w:tcPr>
            <w:tcW w:w="1260" w:type="dxa"/>
            <w:shd w:val="clear" w:color="auto" w:fill="448A99"/>
            <w:vAlign w:val="bottom"/>
            <w:hideMark/>
          </w:tcPr>
          <w:p w:rsidR="00F366E8" w:rsidRPr="006C05B5" w:rsidRDefault="00F366E8" w:rsidP="005C1352">
            <w:pPr>
              <w:jc w:val="center"/>
              <w:rPr>
                <w:b/>
                <w:bCs/>
                <w:color w:val="FFFFFF"/>
                <w:sz w:val="20"/>
                <w:szCs w:val="20"/>
              </w:rPr>
            </w:pPr>
            <w:r w:rsidRPr="006C05B5">
              <w:rPr>
                <w:b/>
                <w:bCs/>
                <w:color w:val="FFFFFF"/>
                <w:sz w:val="20"/>
                <w:szCs w:val="20"/>
              </w:rPr>
              <w:t>Free-Ridership</w:t>
            </w:r>
          </w:p>
        </w:tc>
        <w:tc>
          <w:tcPr>
            <w:tcW w:w="1170" w:type="dxa"/>
            <w:shd w:val="clear" w:color="auto" w:fill="448A99"/>
            <w:vAlign w:val="bottom"/>
            <w:hideMark/>
          </w:tcPr>
          <w:p w:rsidR="00F366E8" w:rsidRPr="006C05B5" w:rsidRDefault="00F366E8" w:rsidP="005C1352">
            <w:pPr>
              <w:jc w:val="center"/>
              <w:rPr>
                <w:b/>
                <w:bCs/>
                <w:color w:val="FFFFFF"/>
                <w:sz w:val="20"/>
                <w:szCs w:val="20"/>
              </w:rPr>
            </w:pPr>
            <w:r w:rsidRPr="006C05B5">
              <w:rPr>
                <w:b/>
                <w:bCs/>
                <w:color w:val="FFFFFF"/>
                <w:sz w:val="20"/>
                <w:szCs w:val="20"/>
              </w:rPr>
              <w:t>Spillover</w:t>
            </w:r>
          </w:p>
        </w:tc>
        <w:tc>
          <w:tcPr>
            <w:tcW w:w="1170" w:type="dxa"/>
            <w:shd w:val="clear" w:color="auto" w:fill="448A99"/>
            <w:vAlign w:val="bottom"/>
            <w:hideMark/>
          </w:tcPr>
          <w:p w:rsidR="00F366E8" w:rsidRPr="006C05B5" w:rsidRDefault="00F366E8" w:rsidP="005C1352">
            <w:pPr>
              <w:jc w:val="center"/>
              <w:rPr>
                <w:b/>
                <w:bCs/>
                <w:color w:val="FFFFFF"/>
                <w:sz w:val="20"/>
                <w:szCs w:val="20"/>
              </w:rPr>
            </w:pPr>
            <w:r w:rsidRPr="006C05B5">
              <w:rPr>
                <w:b/>
                <w:bCs/>
                <w:color w:val="FFFFFF"/>
                <w:sz w:val="20"/>
                <w:szCs w:val="20"/>
              </w:rPr>
              <w:t>NTGR</w:t>
            </w:r>
            <w:r w:rsidRPr="006C05B5">
              <w:rPr>
                <w:b/>
                <w:bCs/>
                <w:color w:val="FFFFFF"/>
                <w:sz w:val="20"/>
                <w:szCs w:val="20"/>
                <w:vertAlign w:val="superscript"/>
              </w:rPr>
              <w:t>[a]</w:t>
            </w:r>
          </w:p>
        </w:tc>
        <w:tc>
          <w:tcPr>
            <w:tcW w:w="990" w:type="dxa"/>
            <w:shd w:val="clear" w:color="auto" w:fill="448A99"/>
            <w:vAlign w:val="bottom"/>
          </w:tcPr>
          <w:p w:rsidR="00F366E8" w:rsidRPr="006C05B5" w:rsidRDefault="00F366E8" w:rsidP="005C1352">
            <w:pPr>
              <w:jc w:val="center"/>
              <w:rPr>
                <w:b/>
                <w:bCs/>
                <w:color w:val="FFFFFF"/>
                <w:sz w:val="20"/>
                <w:szCs w:val="20"/>
              </w:rPr>
            </w:pPr>
            <w:r w:rsidRPr="006C05B5">
              <w:rPr>
                <w:b/>
                <w:bCs/>
                <w:color w:val="FFFFFF"/>
                <w:sz w:val="20"/>
                <w:szCs w:val="20"/>
              </w:rPr>
              <w:t>Sample Size</w:t>
            </w:r>
            <w:r w:rsidRPr="006C05B5">
              <w:rPr>
                <w:b/>
                <w:bCs/>
                <w:color w:val="FFFFFF"/>
                <w:sz w:val="20"/>
                <w:szCs w:val="20"/>
                <w:vertAlign w:val="superscript"/>
              </w:rPr>
              <w:t>[b]</w:t>
            </w:r>
          </w:p>
        </w:tc>
      </w:tr>
      <w:tr w:rsidR="00A874AC" w:rsidRPr="006C05B5" w:rsidTr="008111EC">
        <w:trPr>
          <w:trHeight w:val="488"/>
        </w:trPr>
        <w:tc>
          <w:tcPr>
            <w:tcW w:w="1242" w:type="dxa"/>
            <w:vMerge w:val="restart"/>
            <w:shd w:val="clear" w:color="auto" w:fill="D2EAF1"/>
          </w:tcPr>
          <w:p w:rsidR="00F366E8" w:rsidRPr="006C05B5" w:rsidRDefault="00F366E8" w:rsidP="005C1352">
            <w:pPr>
              <w:jc w:val="left"/>
              <w:rPr>
                <w:bCs/>
                <w:sz w:val="20"/>
                <w:szCs w:val="20"/>
              </w:rPr>
            </w:pPr>
            <w:r w:rsidRPr="006C05B5">
              <w:rPr>
                <w:bCs/>
                <w:sz w:val="20"/>
                <w:szCs w:val="20"/>
              </w:rPr>
              <w:t>Estimated</w:t>
            </w:r>
          </w:p>
        </w:tc>
        <w:tc>
          <w:tcPr>
            <w:tcW w:w="3510" w:type="dxa"/>
            <w:shd w:val="clear" w:color="auto" w:fill="D2EAF1"/>
            <w:noWrap/>
            <w:vAlign w:val="center"/>
          </w:tcPr>
          <w:p w:rsidR="00F366E8" w:rsidRPr="006C05B5" w:rsidRDefault="00F366E8" w:rsidP="005C1352">
            <w:pPr>
              <w:jc w:val="left"/>
              <w:rPr>
                <w:sz w:val="20"/>
                <w:szCs w:val="20"/>
              </w:rPr>
            </w:pPr>
            <w:r w:rsidRPr="006C05B5">
              <w:rPr>
                <w:sz w:val="20"/>
                <w:szCs w:val="20"/>
              </w:rPr>
              <w:t>Smart Equipment Incentives (SEI) – C/I</w:t>
            </w:r>
          </w:p>
        </w:tc>
        <w:tc>
          <w:tcPr>
            <w:tcW w:w="1260" w:type="dxa"/>
            <w:shd w:val="clear" w:color="auto" w:fill="D2EAF1"/>
            <w:noWrap/>
            <w:vAlign w:val="center"/>
          </w:tcPr>
          <w:p w:rsidR="00F366E8" w:rsidRPr="006C05B5" w:rsidRDefault="00F366E8" w:rsidP="005C1352">
            <w:pPr>
              <w:jc w:val="center"/>
              <w:rPr>
                <w:sz w:val="20"/>
                <w:szCs w:val="20"/>
              </w:rPr>
            </w:pPr>
            <w:r w:rsidRPr="006C05B5">
              <w:rPr>
                <w:sz w:val="20"/>
                <w:szCs w:val="20"/>
              </w:rPr>
              <w:t>0.37</w:t>
            </w:r>
          </w:p>
        </w:tc>
        <w:tc>
          <w:tcPr>
            <w:tcW w:w="1170" w:type="dxa"/>
            <w:shd w:val="clear" w:color="auto" w:fill="D2EAF1"/>
            <w:noWrap/>
            <w:vAlign w:val="center"/>
          </w:tcPr>
          <w:p w:rsidR="00F366E8" w:rsidRPr="006C05B5" w:rsidRDefault="00F366E8" w:rsidP="005C1352">
            <w:pPr>
              <w:jc w:val="center"/>
              <w:rPr>
                <w:sz w:val="20"/>
                <w:szCs w:val="20"/>
              </w:rPr>
            </w:pPr>
            <w:r w:rsidRPr="006C05B5">
              <w:rPr>
                <w:sz w:val="20"/>
                <w:szCs w:val="20"/>
              </w:rPr>
              <w:t>0.01</w:t>
            </w:r>
          </w:p>
        </w:tc>
        <w:tc>
          <w:tcPr>
            <w:tcW w:w="1170" w:type="dxa"/>
            <w:shd w:val="clear" w:color="auto" w:fill="D2EAF1"/>
            <w:noWrap/>
            <w:vAlign w:val="center"/>
          </w:tcPr>
          <w:p w:rsidR="00F366E8" w:rsidRPr="006C05B5" w:rsidRDefault="00F366E8" w:rsidP="005C1352">
            <w:pPr>
              <w:jc w:val="center"/>
              <w:rPr>
                <w:sz w:val="20"/>
                <w:szCs w:val="20"/>
              </w:rPr>
            </w:pPr>
            <w:r w:rsidRPr="006C05B5">
              <w:rPr>
                <w:sz w:val="20"/>
                <w:szCs w:val="20"/>
              </w:rPr>
              <w:t>0.64</w:t>
            </w:r>
          </w:p>
        </w:tc>
        <w:tc>
          <w:tcPr>
            <w:tcW w:w="990" w:type="dxa"/>
            <w:shd w:val="clear" w:color="auto" w:fill="D2EAF1"/>
            <w:vAlign w:val="center"/>
          </w:tcPr>
          <w:p w:rsidR="00F366E8" w:rsidRPr="006C05B5" w:rsidRDefault="00F366E8" w:rsidP="005C1352">
            <w:pPr>
              <w:jc w:val="center"/>
              <w:rPr>
                <w:sz w:val="20"/>
                <w:szCs w:val="20"/>
              </w:rPr>
            </w:pPr>
            <w:r w:rsidRPr="006C05B5">
              <w:rPr>
                <w:sz w:val="20"/>
                <w:szCs w:val="20"/>
              </w:rPr>
              <w:t>51</w:t>
            </w:r>
          </w:p>
        </w:tc>
      </w:tr>
      <w:tr w:rsidR="00E7173E" w:rsidRPr="006C05B5" w:rsidTr="005A33A4">
        <w:trPr>
          <w:trHeight w:val="488"/>
        </w:trPr>
        <w:tc>
          <w:tcPr>
            <w:tcW w:w="1242" w:type="dxa"/>
            <w:vMerge/>
            <w:shd w:val="clear" w:color="auto" w:fill="auto"/>
          </w:tcPr>
          <w:p w:rsidR="00F366E8" w:rsidRPr="006C05B5" w:rsidRDefault="00F366E8" w:rsidP="005C1352">
            <w:pPr>
              <w:jc w:val="left"/>
              <w:rPr>
                <w:b/>
                <w:bCs/>
                <w:sz w:val="20"/>
                <w:szCs w:val="20"/>
              </w:rPr>
            </w:pPr>
          </w:p>
        </w:tc>
        <w:tc>
          <w:tcPr>
            <w:tcW w:w="3510" w:type="dxa"/>
            <w:shd w:val="clear" w:color="auto" w:fill="auto"/>
            <w:noWrap/>
            <w:vAlign w:val="center"/>
          </w:tcPr>
          <w:p w:rsidR="00F366E8" w:rsidRPr="006C05B5" w:rsidRDefault="00F366E8" w:rsidP="005C1352">
            <w:pPr>
              <w:jc w:val="left"/>
              <w:rPr>
                <w:sz w:val="20"/>
                <w:szCs w:val="20"/>
              </w:rPr>
            </w:pPr>
            <w:r w:rsidRPr="006C05B5">
              <w:rPr>
                <w:sz w:val="20"/>
                <w:szCs w:val="20"/>
              </w:rPr>
              <w:t>Smart Equipment Incentives (SEI) – GNI</w:t>
            </w:r>
          </w:p>
        </w:tc>
        <w:tc>
          <w:tcPr>
            <w:tcW w:w="1260" w:type="dxa"/>
            <w:shd w:val="clear" w:color="auto" w:fill="auto"/>
            <w:noWrap/>
            <w:vAlign w:val="center"/>
          </w:tcPr>
          <w:p w:rsidR="00F366E8" w:rsidRPr="006C05B5" w:rsidRDefault="00F366E8" w:rsidP="005C1352">
            <w:pPr>
              <w:jc w:val="center"/>
              <w:rPr>
                <w:sz w:val="20"/>
                <w:szCs w:val="20"/>
              </w:rPr>
            </w:pPr>
            <w:r w:rsidRPr="006C05B5">
              <w:rPr>
                <w:sz w:val="20"/>
                <w:szCs w:val="20"/>
              </w:rPr>
              <w:t>0.58</w:t>
            </w:r>
          </w:p>
        </w:tc>
        <w:tc>
          <w:tcPr>
            <w:tcW w:w="1170" w:type="dxa"/>
            <w:shd w:val="clear" w:color="auto" w:fill="auto"/>
            <w:noWrap/>
            <w:vAlign w:val="center"/>
          </w:tcPr>
          <w:p w:rsidR="00F366E8" w:rsidRPr="006C05B5" w:rsidRDefault="00F366E8" w:rsidP="005C1352">
            <w:pPr>
              <w:jc w:val="center"/>
              <w:rPr>
                <w:sz w:val="20"/>
                <w:szCs w:val="20"/>
              </w:rPr>
            </w:pPr>
            <w:r w:rsidRPr="006C05B5">
              <w:rPr>
                <w:sz w:val="20"/>
                <w:szCs w:val="20"/>
              </w:rPr>
              <w:t>0.01</w:t>
            </w:r>
          </w:p>
        </w:tc>
        <w:tc>
          <w:tcPr>
            <w:tcW w:w="1170" w:type="dxa"/>
            <w:shd w:val="clear" w:color="auto" w:fill="auto"/>
            <w:noWrap/>
            <w:vAlign w:val="center"/>
          </w:tcPr>
          <w:p w:rsidR="00F366E8" w:rsidRPr="006C05B5" w:rsidRDefault="00F366E8" w:rsidP="005C1352">
            <w:pPr>
              <w:jc w:val="center"/>
              <w:rPr>
                <w:sz w:val="20"/>
                <w:szCs w:val="20"/>
              </w:rPr>
            </w:pPr>
            <w:r w:rsidRPr="006C05B5">
              <w:rPr>
                <w:sz w:val="20"/>
                <w:szCs w:val="20"/>
              </w:rPr>
              <w:t>0.43</w:t>
            </w:r>
          </w:p>
        </w:tc>
        <w:tc>
          <w:tcPr>
            <w:tcW w:w="990" w:type="dxa"/>
            <w:shd w:val="clear" w:color="auto" w:fill="auto"/>
            <w:vAlign w:val="center"/>
          </w:tcPr>
          <w:p w:rsidR="00F366E8" w:rsidRPr="006C05B5" w:rsidRDefault="00F366E8" w:rsidP="005C1352">
            <w:pPr>
              <w:jc w:val="center"/>
              <w:rPr>
                <w:sz w:val="20"/>
                <w:szCs w:val="20"/>
              </w:rPr>
            </w:pPr>
            <w:r w:rsidRPr="006C05B5">
              <w:rPr>
                <w:sz w:val="20"/>
                <w:szCs w:val="20"/>
              </w:rPr>
              <w:t>35</w:t>
            </w:r>
          </w:p>
        </w:tc>
      </w:tr>
      <w:tr w:rsidR="00A874AC" w:rsidRPr="006C05B5" w:rsidTr="008111EC">
        <w:trPr>
          <w:trHeight w:val="488"/>
        </w:trPr>
        <w:tc>
          <w:tcPr>
            <w:tcW w:w="1242" w:type="dxa"/>
            <w:vMerge/>
            <w:shd w:val="clear" w:color="auto" w:fill="auto"/>
          </w:tcPr>
          <w:p w:rsidR="00F366E8" w:rsidRPr="006C05B5" w:rsidRDefault="00F366E8" w:rsidP="005C1352">
            <w:pPr>
              <w:jc w:val="left"/>
              <w:rPr>
                <w:b/>
                <w:bCs/>
                <w:sz w:val="20"/>
                <w:szCs w:val="20"/>
              </w:rPr>
            </w:pPr>
          </w:p>
        </w:tc>
        <w:tc>
          <w:tcPr>
            <w:tcW w:w="3510" w:type="dxa"/>
            <w:shd w:val="clear" w:color="auto" w:fill="D2EAF1"/>
            <w:noWrap/>
            <w:vAlign w:val="center"/>
          </w:tcPr>
          <w:p w:rsidR="00F366E8" w:rsidRPr="006C05B5" w:rsidRDefault="00F366E8" w:rsidP="005C1352">
            <w:pPr>
              <w:jc w:val="left"/>
              <w:rPr>
                <w:sz w:val="20"/>
                <w:szCs w:val="20"/>
              </w:rPr>
            </w:pPr>
            <w:r w:rsidRPr="006C05B5">
              <w:rPr>
                <w:sz w:val="20"/>
                <w:szCs w:val="20"/>
              </w:rPr>
              <w:t>Smart Multi-Family (SMF) Solutions Program</w:t>
            </w:r>
          </w:p>
        </w:tc>
        <w:tc>
          <w:tcPr>
            <w:tcW w:w="1260" w:type="dxa"/>
            <w:shd w:val="clear" w:color="auto" w:fill="D2EAF1"/>
            <w:noWrap/>
            <w:vAlign w:val="center"/>
          </w:tcPr>
          <w:p w:rsidR="00F366E8" w:rsidRPr="006C05B5" w:rsidRDefault="00F366E8" w:rsidP="005C1352">
            <w:pPr>
              <w:jc w:val="center"/>
              <w:rPr>
                <w:sz w:val="20"/>
                <w:szCs w:val="20"/>
              </w:rPr>
            </w:pPr>
            <w:r w:rsidRPr="006C05B5">
              <w:rPr>
                <w:sz w:val="20"/>
                <w:szCs w:val="20"/>
              </w:rPr>
              <w:t>0.38</w:t>
            </w:r>
          </w:p>
        </w:tc>
        <w:tc>
          <w:tcPr>
            <w:tcW w:w="1170" w:type="dxa"/>
            <w:shd w:val="clear" w:color="auto" w:fill="D2EAF1"/>
            <w:noWrap/>
            <w:vAlign w:val="center"/>
          </w:tcPr>
          <w:p w:rsidR="00F366E8" w:rsidRPr="006C05B5" w:rsidRDefault="00F366E8" w:rsidP="005C1352">
            <w:pPr>
              <w:jc w:val="center"/>
              <w:rPr>
                <w:sz w:val="20"/>
                <w:szCs w:val="20"/>
              </w:rPr>
            </w:pPr>
            <w:r w:rsidRPr="006C05B5">
              <w:rPr>
                <w:sz w:val="20"/>
                <w:szCs w:val="20"/>
              </w:rPr>
              <w:t>0.00</w:t>
            </w:r>
          </w:p>
        </w:tc>
        <w:tc>
          <w:tcPr>
            <w:tcW w:w="1170" w:type="dxa"/>
            <w:shd w:val="clear" w:color="auto" w:fill="D2EAF1"/>
            <w:noWrap/>
            <w:vAlign w:val="center"/>
          </w:tcPr>
          <w:p w:rsidR="00F366E8" w:rsidRPr="006C05B5" w:rsidRDefault="00F366E8" w:rsidP="005C1352">
            <w:pPr>
              <w:jc w:val="center"/>
              <w:rPr>
                <w:sz w:val="20"/>
                <w:szCs w:val="20"/>
              </w:rPr>
            </w:pPr>
            <w:r w:rsidRPr="006C05B5">
              <w:rPr>
                <w:sz w:val="20"/>
                <w:szCs w:val="20"/>
              </w:rPr>
              <w:t>0.62</w:t>
            </w:r>
          </w:p>
        </w:tc>
        <w:tc>
          <w:tcPr>
            <w:tcW w:w="990" w:type="dxa"/>
            <w:shd w:val="clear" w:color="auto" w:fill="D2EAF1"/>
            <w:vAlign w:val="center"/>
          </w:tcPr>
          <w:p w:rsidR="00F366E8" w:rsidRPr="006C05B5" w:rsidRDefault="00F366E8" w:rsidP="005C1352">
            <w:pPr>
              <w:jc w:val="center"/>
              <w:rPr>
                <w:sz w:val="20"/>
                <w:szCs w:val="20"/>
              </w:rPr>
            </w:pPr>
            <w:r w:rsidRPr="006C05B5">
              <w:rPr>
                <w:sz w:val="20"/>
                <w:szCs w:val="20"/>
              </w:rPr>
              <w:t>22</w:t>
            </w:r>
          </w:p>
        </w:tc>
      </w:tr>
      <w:tr w:rsidR="00E7173E" w:rsidRPr="006C05B5" w:rsidTr="005A33A4">
        <w:trPr>
          <w:trHeight w:val="488"/>
        </w:trPr>
        <w:tc>
          <w:tcPr>
            <w:tcW w:w="1242" w:type="dxa"/>
            <w:vMerge/>
            <w:shd w:val="clear" w:color="auto" w:fill="auto"/>
          </w:tcPr>
          <w:p w:rsidR="00F366E8" w:rsidRPr="006C05B5" w:rsidRDefault="00F366E8" w:rsidP="005C1352">
            <w:pPr>
              <w:jc w:val="left"/>
              <w:rPr>
                <w:b/>
                <w:bCs/>
                <w:sz w:val="20"/>
                <w:szCs w:val="20"/>
              </w:rPr>
            </w:pPr>
          </w:p>
        </w:tc>
        <w:tc>
          <w:tcPr>
            <w:tcW w:w="3510" w:type="dxa"/>
            <w:shd w:val="clear" w:color="auto" w:fill="auto"/>
            <w:noWrap/>
            <w:vAlign w:val="center"/>
          </w:tcPr>
          <w:p w:rsidR="00F366E8" w:rsidRPr="006C05B5" w:rsidRDefault="00F366E8" w:rsidP="005C1352">
            <w:pPr>
              <w:jc w:val="left"/>
              <w:rPr>
                <w:sz w:val="20"/>
                <w:szCs w:val="20"/>
              </w:rPr>
            </w:pPr>
            <w:r w:rsidRPr="006C05B5">
              <w:rPr>
                <w:sz w:val="20"/>
                <w:szCs w:val="20"/>
              </w:rPr>
              <w:t>Smart On-Site (SOS)</w:t>
            </w:r>
          </w:p>
        </w:tc>
        <w:tc>
          <w:tcPr>
            <w:tcW w:w="1260" w:type="dxa"/>
            <w:shd w:val="clear" w:color="auto" w:fill="auto"/>
            <w:noWrap/>
            <w:vAlign w:val="center"/>
          </w:tcPr>
          <w:p w:rsidR="00F366E8" w:rsidRPr="006C05B5" w:rsidRDefault="00F366E8" w:rsidP="005C1352">
            <w:pPr>
              <w:jc w:val="center"/>
              <w:rPr>
                <w:sz w:val="20"/>
                <w:szCs w:val="20"/>
              </w:rPr>
            </w:pPr>
            <w:r w:rsidRPr="006C05B5">
              <w:rPr>
                <w:sz w:val="20"/>
                <w:szCs w:val="20"/>
              </w:rPr>
              <w:t>0.11</w:t>
            </w:r>
          </w:p>
        </w:tc>
        <w:tc>
          <w:tcPr>
            <w:tcW w:w="1170" w:type="dxa"/>
            <w:shd w:val="clear" w:color="auto" w:fill="auto"/>
            <w:noWrap/>
            <w:vAlign w:val="center"/>
          </w:tcPr>
          <w:p w:rsidR="00F366E8" w:rsidRPr="006C05B5" w:rsidRDefault="00F366E8" w:rsidP="005C1352">
            <w:pPr>
              <w:jc w:val="center"/>
              <w:rPr>
                <w:sz w:val="20"/>
                <w:szCs w:val="20"/>
              </w:rPr>
            </w:pPr>
            <w:r w:rsidRPr="006C05B5">
              <w:rPr>
                <w:sz w:val="20"/>
                <w:szCs w:val="20"/>
              </w:rPr>
              <w:t>0.00</w:t>
            </w:r>
          </w:p>
        </w:tc>
        <w:tc>
          <w:tcPr>
            <w:tcW w:w="1170" w:type="dxa"/>
            <w:shd w:val="clear" w:color="auto" w:fill="auto"/>
            <w:noWrap/>
            <w:vAlign w:val="center"/>
          </w:tcPr>
          <w:p w:rsidR="00F366E8" w:rsidRPr="006C05B5" w:rsidRDefault="00F366E8" w:rsidP="005C1352">
            <w:pPr>
              <w:jc w:val="center"/>
              <w:rPr>
                <w:sz w:val="20"/>
                <w:szCs w:val="20"/>
              </w:rPr>
            </w:pPr>
            <w:r w:rsidRPr="006C05B5">
              <w:rPr>
                <w:sz w:val="20"/>
                <w:szCs w:val="20"/>
              </w:rPr>
              <w:t>0.89</w:t>
            </w:r>
          </w:p>
        </w:tc>
        <w:tc>
          <w:tcPr>
            <w:tcW w:w="990" w:type="dxa"/>
            <w:shd w:val="clear" w:color="auto" w:fill="auto"/>
            <w:vAlign w:val="center"/>
          </w:tcPr>
          <w:p w:rsidR="00F366E8" w:rsidRPr="006C05B5" w:rsidDel="00E64C73" w:rsidRDefault="00F366E8" w:rsidP="005C1352">
            <w:pPr>
              <w:jc w:val="center"/>
              <w:rPr>
                <w:sz w:val="20"/>
                <w:szCs w:val="20"/>
              </w:rPr>
            </w:pPr>
            <w:r w:rsidRPr="006C05B5">
              <w:rPr>
                <w:sz w:val="20"/>
                <w:szCs w:val="20"/>
              </w:rPr>
              <w:t>6</w:t>
            </w:r>
          </w:p>
        </w:tc>
      </w:tr>
      <w:tr w:rsidR="00E7173E" w:rsidRPr="006C05B5" w:rsidTr="005A33A4">
        <w:trPr>
          <w:trHeight w:val="488"/>
        </w:trPr>
        <w:tc>
          <w:tcPr>
            <w:tcW w:w="1242" w:type="dxa"/>
            <w:shd w:val="clear" w:color="auto" w:fill="auto"/>
            <w:vAlign w:val="center"/>
          </w:tcPr>
          <w:p w:rsidR="00F366E8" w:rsidRPr="006C05B5" w:rsidRDefault="00F366E8" w:rsidP="005C1352">
            <w:pPr>
              <w:jc w:val="left"/>
              <w:rPr>
                <w:b/>
                <w:bCs/>
                <w:sz w:val="20"/>
                <w:szCs w:val="20"/>
              </w:rPr>
            </w:pPr>
            <w:r w:rsidRPr="006C05B5">
              <w:rPr>
                <w:bCs/>
                <w:sz w:val="20"/>
                <w:szCs w:val="20"/>
              </w:rPr>
              <w:t>Not calculated</w:t>
            </w:r>
          </w:p>
        </w:tc>
        <w:tc>
          <w:tcPr>
            <w:tcW w:w="3510" w:type="dxa"/>
            <w:shd w:val="clear" w:color="auto" w:fill="auto"/>
            <w:noWrap/>
            <w:vAlign w:val="center"/>
          </w:tcPr>
          <w:p w:rsidR="00F366E8" w:rsidRPr="006C05B5" w:rsidRDefault="00F366E8" w:rsidP="005C1352">
            <w:pPr>
              <w:jc w:val="left"/>
              <w:rPr>
                <w:sz w:val="20"/>
                <w:szCs w:val="20"/>
              </w:rPr>
            </w:pPr>
            <w:r w:rsidRPr="006C05B5">
              <w:rPr>
                <w:sz w:val="20"/>
                <w:szCs w:val="20"/>
              </w:rPr>
              <w:t>Smart A/C Saver – Commercial</w:t>
            </w:r>
          </w:p>
        </w:tc>
        <w:tc>
          <w:tcPr>
            <w:tcW w:w="1260" w:type="dxa"/>
            <w:shd w:val="clear" w:color="auto" w:fill="auto"/>
            <w:noWrap/>
            <w:vAlign w:val="center"/>
          </w:tcPr>
          <w:p w:rsidR="00F366E8" w:rsidRPr="006C05B5" w:rsidRDefault="00F366E8" w:rsidP="005C1352">
            <w:pPr>
              <w:jc w:val="center"/>
              <w:rPr>
                <w:sz w:val="20"/>
                <w:szCs w:val="20"/>
              </w:rPr>
            </w:pPr>
            <w:r w:rsidRPr="006C05B5">
              <w:rPr>
                <w:sz w:val="20"/>
                <w:szCs w:val="20"/>
              </w:rPr>
              <w:t>N/A</w:t>
            </w:r>
          </w:p>
        </w:tc>
        <w:tc>
          <w:tcPr>
            <w:tcW w:w="1170" w:type="dxa"/>
            <w:shd w:val="clear" w:color="auto" w:fill="auto"/>
            <w:noWrap/>
            <w:vAlign w:val="center"/>
          </w:tcPr>
          <w:p w:rsidR="00F366E8" w:rsidRPr="006C05B5" w:rsidRDefault="00F366E8" w:rsidP="005C1352">
            <w:pPr>
              <w:jc w:val="center"/>
              <w:rPr>
                <w:sz w:val="20"/>
                <w:szCs w:val="20"/>
              </w:rPr>
            </w:pPr>
            <w:r w:rsidRPr="006C05B5">
              <w:rPr>
                <w:sz w:val="20"/>
                <w:szCs w:val="20"/>
              </w:rPr>
              <w:t>N/A</w:t>
            </w:r>
          </w:p>
        </w:tc>
        <w:tc>
          <w:tcPr>
            <w:tcW w:w="1170" w:type="dxa"/>
            <w:shd w:val="clear" w:color="auto" w:fill="auto"/>
            <w:noWrap/>
            <w:vAlign w:val="center"/>
          </w:tcPr>
          <w:p w:rsidR="00F366E8" w:rsidRPr="006C05B5" w:rsidRDefault="00F366E8" w:rsidP="005C1352">
            <w:pPr>
              <w:jc w:val="center"/>
              <w:rPr>
                <w:sz w:val="20"/>
                <w:szCs w:val="20"/>
              </w:rPr>
            </w:pPr>
            <w:r w:rsidRPr="006C05B5">
              <w:rPr>
                <w:sz w:val="20"/>
                <w:szCs w:val="20"/>
              </w:rPr>
              <w:t>1.0</w:t>
            </w:r>
          </w:p>
        </w:tc>
        <w:tc>
          <w:tcPr>
            <w:tcW w:w="990" w:type="dxa"/>
            <w:shd w:val="clear" w:color="auto" w:fill="auto"/>
            <w:vAlign w:val="center"/>
          </w:tcPr>
          <w:p w:rsidR="00F366E8" w:rsidRPr="006C05B5" w:rsidRDefault="00F366E8" w:rsidP="005C1352">
            <w:pPr>
              <w:jc w:val="center"/>
              <w:rPr>
                <w:sz w:val="20"/>
                <w:szCs w:val="20"/>
              </w:rPr>
            </w:pPr>
            <w:r w:rsidRPr="006C05B5">
              <w:rPr>
                <w:sz w:val="20"/>
                <w:szCs w:val="20"/>
              </w:rPr>
              <w:t>N/A</w:t>
            </w:r>
          </w:p>
        </w:tc>
      </w:tr>
      <w:tr w:rsidR="00A874AC" w:rsidRPr="006C05B5" w:rsidTr="008111EC">
        <w:trPr>
          <w:trHeight w:val="488"/>
        </w:trPr>
        <w:tc>
          <w:tcPr>
            <w:tcW w:w="1242" w:type="dxa"/>
            <w:shd w:val="clear" w:color="auto" w:fill="D2EAF1"/>
            <w:vAlign w:val="center"/>
          </w:tcPr>
          <w:p w:rsidR="00F366E8" w:rsidRPr="006C05B5" w:rsidRDefault="00F366E8" w:rsidP="005C1352">
            <w:pPr>
              <w:jc w:val="left"/>
              <w:rPr>
                <w:bCs/>
                <w:sz w:val="20"/>
                <w:szCs w:val="20"/>
              </w:rPr>
            </w:pPr>
            <w:r w:rsidRPr="006C05B5">
              <w:rPr>
                <w:sz w:val="20"/>
                <w:szCs w:val="20"/>
              </w:rPr>
              <w:t>Referenced from PY6</w:t>
            </w:r>
          </w:p>
        </w:tc>
        <w:tc>
          <w:tcPr>
            <w:tcW w:w="3510" w:type="dxa"/>
            <w:shd w:val="clear" w:color="auto" w:fill="D2EAF1"/>
            <w:noWrap/>
            <w:vAlign w:val="center"/>
          </w:tcPr>
          <w:p w:rsidR="00F366E8" w:rsidRPr="006C05B5" w:rsidRDefault="00F366E8" w:rsidP="005C1352">
            <w:pPr>
              <w:jc w:val="left"/>
              <w:rPr>
                <w:sz w:val="20"/>
                <w:szCs w:val="20"/>
              </w:rPr>
            </w:pPr>
            <w:r w:rsidRPr="006C05B5">
              <w:rPr>
                <w:sz w:val="20"/>
                <w:szCs w:val="20"/>
              </w:rPr>
              <w:t>Smart Construction Incentives (SCI)</w:t>
            </w:r>
          </w:p>
        </w:tc>
        <w:tc>
          <w:tcPr>
            <w:tcW w:w="1260" w:type="dxa"/>
            <w:shd w:val="clear" w:color="auto" w:fill="D2EAF1"/>
            <w:noWrap/>
            <w:vAlign w:val="center"/>
          </w:tcPr>
          <w:p w:rsidR="00F366E8" w:rsidRPr="006C05B5" w:rsidRDefault="00F366E8" w:rsidP="005C1352">
            <w:pPr>
              <w:jc w:val="center"/>
              <w:rPr>
                <w:sz w:val="20"/>
                <w:szCs w:val="20"/>
              </w:rPr>
            </w:pPr>
            <w:r w:rsidRPr="006C05B5">
              <w:rPr>
                <w:sz w:val="20"/>
                <w:szCs w:val="20"/>
              </w:rPr>
              <w:t>0.48</w:t>
            </w:r>
          </w:p>
        </w:tc>
        <w:tc>
          <w:tcPr>
            <w:tcW w:w="1170" w:type="dxa"/>
            <w:shd w:val="clear" w:color="auto" w:fill="D2EAF1"/>
            <w:noWrap/>
            <w:vAlign w:val="center"/>
          </w:tcPr>
          <w:p w:rsidR="00F366E8" w:rsidRPr="006C05B5" w:rsidRDefault="00F366E8" w:rsidP="005C1352">
            <w:pPr>
              <w:jc w:val="center"/>
              <w:rPr>
                <w:sz w:val="20"/>
                <w:szCs w:val="20"/>
              </w:rPr>
            </w:pPr>
            <w:r w:rsidRPr="006C05B5">
              <w:rPr>
                <w:sz w:val="20"/>
                <w:szCs w:val="20"/>
              </w:rPr>
              <w:t>0.00</w:t>
            </w:r>
          </w:p>
        </w:tc>
        <w:tc>
          <w:tcPr>
            <w:tcW w:w="1170" w:type="dxa"/>
            <w:shd w:val="clear" w:color="auto" w:fill="D2EAF1"/>
            <w:noWrap/>
            <w:vAlign w:val="center"/>
          </w:tcPr>
          <w:p w:rsidR="00F366E8" w:rsidRPr="006C05B5" w:rsidRDefault="00F366E8" w:rsidP="005C1352">
            <w:pPr>
              <w:jc w:val="center"/>
              <w:rPr>
                <w:sz w:val="20"/>
                <w:szCs w:val="20"/>
              </w:rPr>
            </w:pPr>
            <w:r w:rsidRPr="006C05B5">
              <w:rPr>
                <w:sz w:val="20"/>
                <w:szCs w:val="20"/>
              </w:rPr>
              <w:t>0.52</w:t>
            </w:r>
          </w:p>
        </w:tc>
        <w:tc>
          <w:tcPr>
            <w:tcW w:w="990" w:type="dxa"/>
            <w:shd w:val="clear" w:color="auto" w:fill="D2EAF1"/>
            <w:vAlign w:val="center"/>
          </w:tcPr>
          <w:p w:rsidR="00F366E8" w:rsidRPr="006C05B5" w:rsidRDefault="00F366E8" w:rsidP="005C1352">
            <w:pPr>
              <w:jc w:val="center"/>
              <w:rPr>
                <w:sz w:val="20"/>
                <w:szCs w:val="20"/>
              </w:rPr>
            </w:pPr>
            <w:r w:rsidRPr="006C05B5">
              <w:rPr>
                <w:sz w:val="20"/>
                <w:szCs w:val="20"/>
              </w:rPr>
              <w:t>N/A</w:t>
            </w:r>
          </w:p>
        </w:tc>
      </w:tr>
      <w:tr w:rsidR="00E7173E" w:rsidRPr="006C05B5" w:rsidTr="005A33A4">
        <w:trPr>
          <w:trHeight w:val="489"/>
        </w:trPr>
        <w:tc>
          <w:tcPr>
            <w:tcW w:w="1242" w:type="dxa"/>
            <w:shd w:val="clear" w:color="auto" w:fill="auto"/>
            <w:vAlign w:val="center"/>
          </w:tcPr>
          <w:p w:rsidR="00F366E8" w:rsidRPr="006C05B5" w:rsidRDefault="00F366E8" w:rsidP="005C1352">
            <w:pPr>
              <w:jc w:val="left"/>
              <w:rPr>
                <w:sz w:val="20"/>
                <w:szCs w:val="20"/>
              </w:rPr>
            </w:pPr>
            <w:r w:rsidRPr="006C05B5">
              <w:rPr>
                <w:sz w:val="20"/>
                <w:szCs w:val="20"/>
              </w:rPr>
              <w:t>Referenced from PY5</w:t>
            </w:r>
          </w:p>
        </w:tc>
        <w:tc>
          <w:tcPr>
            <w:tcW w:w="3510" w:type="dxa"/>
            <w:shd w:val="clear" w:color="auto" w:fill="auto"/>
            <w:noWrap/>
            <w:vAlign w:val="center"/>
          </w:tcPr>
          <w:p w:rsidR="00F366E8" w:rsidRPr="006C05B5" w:rsidRDefault="00F366E8" w:rsidP="005C1352">
            <w:pPr>
              <w:jc w:val="left"/>
              <w:rPr>
                <w:sz w:val="20"/>
                <w:szCs w:val="20"/>
              </w:rPr>
            </w:pPr>
            <w:r w:rsidRPr="006C05B5">
              <w:rPr>
                <w:sz w:val="20"/>
                <w:szCs w:val="20"/>
              </w:rPr>
              <w:t>Smart Business Solutions (SBS)</w:t>
            </w:r>
          </w:p>
        </w:tc>
        <w:tc>
          <w:tcPr>
            <w:tcW w:w="1260" w:type="dxa"/>
            <w:shd w:val="clear" w:color="auto" w:fill="auto"/>
            <w:noWrap/>
            <w:vAlign w:val="center"/>
          </w:tcPr>
          <w:p w:rsidR="00F366E8" w:rsidRPr="006C05B5" w:rsidRDefault="00CC24BB" w:rsidP="005C1352">
            <w:pPr>
              <w:jc w:val="center"/>
              <w:rPr>
                <w:sz w:val="20"/>
                <w:szCs w:val="20"/>
              </w:rPr>
            </w:pPr>
            <w:r>
              <w:rPr>
                <w:sz w:val="20"/>
                <w:szCs w:val="20"/>
              </w:rPr>
              <w:t>0.10</w:t>
            </w:r>
          </w:p>
        </w:tc>
        <w:tc>
          <w:tcPr>
            <w:tcW w:w="1170" w:type="dxa"/>
            <w:shd w:val="clear" w:color="auto" w:fill="auto"/>
            <w:noWrap/>
            <w:vAlign w:val="center"/>
          </w:tcPr>
          <w:p w:rsidR="00F366E8" w:rsidRPr="006C05B5" w:rsidRDefault="00CC24BB" w:rsidP="005C1352">
            <w:pPr>
              <w:jc w:val="center"/>
              <w:rPr>
                <w:sz w:val="20"/>
                <w:szCs w:val="20"/>
              </w:rPr>
            </w:pPr>
            <w:r>
              <w:rPr>
                <w:sz w:val="20"/>
                <w:szCs w:val="20"/>
              </w:rPr>
              <w:t>0.00</w:t>
            </w:r>
          </w:p>
        </w:tc>
        <w:tc>
          <w:tcPr>
            <w:tcW w:w="1170" w:type="dxa"/>
            <w:shd w:val="clear" w:color="auto" w:fill="auto"/>
            <w:noWrap/>
            <w:vAlign w:val="center"/>
          </w:tcPr>
          <w:p w:rsidR="00F366E8" w:rsidRPr="006C05B5" w:rsidRDefault="00CC24BB" w:rsidP="005C1352">
            <w:pPr>
              <w:jc w:val="center"/>
              <w:rPr>
                <w:sz w:val="20"/>
                <w:szCs w:val="20"/>
              </w:rPr>
            </w:pPr>
            <w:r>
              <w:rPr>
                <w:sz w:val="20"/>
                <w:szCs w:val="20"/>
              </w:rPr>
              <w:t>0.90</w:t>
            </w:r>
          </w:p>
        </w:tc>
        <w:tc>
          <w:tcPr>
            <w:tcW w:w="990" w:type="dxa"/>
            <w:shd w:val="clear" w:color="auto" w:fill="auto"/>
            <w:vAlign w:val="center"/>
          </w:tcPr>
          <w:p w:rsidR="00F366E8" w:rsidRPr="006C05B5" w:rsidRDefault="00F366E8" w:rsidP="005C1352">
            <w:pPr>
              <w:jc w:val="center"/>
              <w:rPr>
                <w:sz w:val="20"/>
                <w:szCs w:val="20"/>
              </w:rPr>
            </w:pPr>
            <w:r w:rsidRPr="006C05B5">
              <w:rPr>
                <w:sz w:val="20"/>
                <w:szCs w:val="20"/>
              </w:rPr>
              <w:t>N/A</w:t>
            </w:r>
          </w:p>
        </w:tc>
      </w:tr>
      <w:tr w:rsidR="00E7173E" w:rsidRPr="001D0677" w:rsidTr="005A33A4">
        <w:trPr>
          <w:trHeight w:val="288"/>
        </w:trPr>
        <w:tc>
          <w:tcPr>
            <w:tcW w:w="9342" w:type="dxa"/>
            <w:gridSpan w:val="6"/>
            <w:shd w:val="clear" w:color="auto" w:fill="448A99"/>
          </w:tcPr>
          <w:p w:rsidR="000C3B79" w:rsidRPr="001D0677" w:rsidRDefault="006142E6" w:rsidP="005C1352">
            <w:pPr>
              <w:jc w:val="left"/>
              <w:rPr>
                <w:color w:val="FFFFFF"/>
                <w:sz w:val="18"/>
                <w:szCs w:val="18"/>
              </w:rPr>
            </w:pPr>
            <w:r w:rsidRPr="001D0677">
              <w:rPr>
                <w:color w:val="FFFFFF"/>
                <w:sz w:val="18"/>
                <w:szCs w:val="18"/>
              </w:rPr>
              <w:t>NOTES:</w:t>
            </w:r>
          </w:p>
          <w:p w:rsidR="00F366E8" w:rsidRPr="001D0677" w:rsidRDefault="00F366E8" w:rsidP="005C1352">
            <w:pPr>
              <w:jc w:val="left"/>
              <w:rPr>
                <w:color w:val="FFFFFF"/>
                <w:sz w:val="18"/>
                <w:szCs w:val="20"/>
              </w:rPr>
            </w:pPr>
            <w:r w:rsidRPr="001D0677">
              <w:rPr>
                <w:color w:val="FFFFFF"/>
                <w:sz w:val="18"/>
                <w:szCs w:val="18"/>
              </w:rPr>
              <w:t>[a]</w:t>
            </w:r>
            <w:r w:rsidRPr="001D0677">
              <w:rPr>
                <w:bCs/>
                <w:color w:val="FFFFFF"/>
                <w:sz w:val="18"/>
                <w:szCs w:val="20"/>
              </w:rPr>
              <w:t xml:space="preserve"> </w:t>
            </w:r>
            <w:r w:rsidRPr="001D0677">
              <w:rPr>
                <w:color w:val="FFFFFF"/>
                <w:sz w:val="18"/>
                <w:szCs w:val="20"/>
              </w:rPr>
              <w:t xml:space="preserve">NTGR = 1 – free-ridership + spillover. In some cases, the NTGR shown in the table may not equal exactly 1 – </w:t>
            </w:r>
            <w:r w:rsidRPr="001D0677">
              <w:rPr>
                <w:rFonts w:eastAsia="Calibri"/>
                <w:color w:val="FFFFFF"/>
                <w:sz w:val="18"/>
                <w:szCs w:val="20"/>
              </w:rPr>
              <w:t>free-ridership + spillover</w:t>
            </w:r>
            <w:r w:rsidRPr="001D0677">
              <w:rPr>
                <w:color w:val="FFFFFF"/>
                <w:sz w:val="18"/>
                <w:szCs w:val="20"/>
              </w:rPr>
              <w:t xml:space="preserve"> because of rounding.</w:t>
            </w:r>
          </w:p>
          <w:p w:rsidR="00F366E8" w:rsidRPr="001D0677" w:rsidRDefault="00F366E8" w:rsidP="005C1352">
            <w:pPr>
              <w:contextualSpacing/>
              <w:jc w:val="left"/>
              <w:rPr>
                <w:bCs/>
                <w:color w:val="FFFFFF"/>
                <w:sz w:val="20"/>
                <w:szCs w:val="20"/>
              </w:rPr>
            </w:pPr>
            <w:r w:rsidRPr="001D0677">
              <w:rPr>
                <w:color w:val="FFFFFF"/>
                <w:sz w:val="18"/>
                <w:szCs w:val="18"/>
              </w:rPr>
              <w:t>[b]</w:t>
            </w:r>
            <w:r w:rsidRPr="001D0677">
              <w:rPr>
                <w:bCs/>
                <w:color w:val="FFFFFF"/>
                <w:sz w:val="18"/>
                <w:szCs w:val="20"/>
              </w:rPr>
              <w:t xml:space="preserve"> </w:t>
            </w:r>
            <w:r w:rsidRPr="001D0677">
              <w:rPr>
                <w:bCs/>
                <w:color w:val="FFFFFF"/>
                <w:sz w:val="18"/>
                <w:szCs w:val="18"/>
              </w:rPr>
              <w:t>All samples provided at least 85/15 precision/confidence.</w:t>
            </w:r>
          </w:p>
        </w:tc>
      </w:tr>
    </w:tbl>
    <w:p w:rsidR="00F366E8" w:rsidRPr="006C05B5" w:rsidRDefault="00F366E8" w:rsidP="00F366E8"/>
    <w:p w:rsidR="00950837" w:rsidRDefault="00950837" w:rsidP="0043541C">
      <w:pPr>
        <w:pStyle w:val="AppendixAHeading2"/>
      </w:pPr>
      <w:r>
        <w:t>Statewide Evaluator Final Recommendations</w:t>
      </w:r>
    </w:p>
    <w:p w:rsidR="00024C49" w:rsidRDefault="00024C49" w:rsidP="008111EC">
      <w:pPr>
        <w:spacing w:after="120"/>
      </w:pPr>
      <w:r>
        <w:t xml:space="preserve">The SWE Team has the following </w:t>
      </w:r>
      <w:r w:rsidR="003E6CCF">
        <w:t>four</w:t>
      </w:r>
      <w:r>
        <w:t xml:space="preserve"> recommendations for P</w:t>
      </w:r>
      <w:r w:rsidR="00BF321B">
        <w:t>ECO</w:t>
      </w:r>
      <w:r>
        <w:t>’s consideration.</w:t>
      </w:r>
    </w:p>
    <w:p w:rsidR="00024C49" w:rsidRPr="008111EC" w:rsidRDefault="00024C49" w:rsidP="00E646C9">
      <w:pPr>
        <w:pStyle w:val="ListParagraph"/>
        <w:numPr>
          <w:ilvl w:val="0"/>
          <w:numId w:val="89"/>
        </w:numPr>
        <w:ind w:left="360"/>
      </w:pPr>
      <w:r w:rsidRPr="008111EC">
        <w:t>Focus education and marketing efforts on HVAC installers for the non-lighting aspect of Smart Home Rebates program in Phase III as the program ramps back up and invites new installation companies to join.</w:t>
      </w:r>
    </w:p>
    <w:p w:rsidR="00024C49" w:rsidRPr="008111EC" w:rsidRDefault="00024C49" w:rsidP="00E646C9">
      <w:pPr>
        <w:pStyle w:val="ListParagraph"/>
        <w:numPr>
          <w:ilvl w:val="0"/>
          <w:numId w:val="89"/>
        </w:numPr>
        <w:ind w:left="360"/>
      </w:pPr>
      <w:r w:rsidRPr="008111EC">
        <w:t>Develop targeted Low-Income Energy Efficiency (LEEP) program materials that prioritize next steps and guide customers to the most appropriate program component, and ensure that schedule expectations are clear and applied consistently across customers.</w:t>
      </w:r>
    </w:p>
    <w:p w:rsidR="00024C49" w:rsidRPr="008111EC" w:rsidRDefault="00024C49" w:rsidP="00E646C9">
      <w:pPr>
        <w:pStyle w:val="ListParagraph"/>
        <w:numPr>
          <w:ilvl w:val="0"/>
          <w:numId w:val="89"/>
        </w:numPr>
        <w:ind w:left="360"/>
      </w:pPr>
      <w:r w:rsidRPr="008111EC">
        <w:t>PECO: Use the limited time offer as a lever in future years if participation is low in the Smart Equipment Incentives (SEI) program.</w:t>
      </w:r>
    </w:p>
    <w:p w:rsidR="00024C49" w:rsidRPr="008111EC" w:rsidRDefault="00024C49" w:rsidP="00E646C9">
      <w:pPr>
        <w:pStyle w:val="ListParagraph"/>
        <w:numPr>
          <w:ilvl w:val="0"/>
          <w:numId w:val="89"/>
        </w:numPr>
        <w:ind w:left="360"/>
      </w:pPr>
      <w:r w:rsidRPr="008111EC">
        <w:t>PECO: Set final Phase III Smart On-Site (SOS) project enrollment deadlines of January 1, 2019 for projects over 1 MW and January 1, 2020 for projects less than 1 MW, to mitigate completion risks that lead to portfolio-level uncertainty.</w:t>
      </w:r>
    </w:p>
    <w:p w:rsidR="007C0930" w:rsidRPr="008111EC" w:rsidRDefault="007C0930" w:rsidP="008111EC"/>
    <w:p w:rsidR="00950837" w:rsidRDefault="00950837" w:rsidP="00D34B3E">
      <w:pPr>
        <w:pStyle w:val="AppendixAHeading1"/>
      </w:pPr>
      <w:r>
        <w:t>PPL</w:t>
      </w:r>
    </w:p>
    <w:p w:rsidR="007724F5" w:rsidRPr="007724F5" w:rsidRDefault="007724F5" w:rsidP="007724F5">
      <w:r w:rsidRPr="00735BA9">
        <w:t xml:space="preserve">This </w:t>
      </w:r>
      <w:r>
        <w:t>section</w:t>
      </w:r>
      <w:r w:rsidRPr="00735BA9">
        <w:t xml:space="preserve"> summarizes </w:t>
      </w:r>
      <w:r>
        <w:t>PPL</w:t>
      </w:r>
      <w:r w:rsidRPr="00735BA9">
        <w:t xml:space="preserve">’s program performance </w:t>
      </w:r>
      <w:r>
        <w:t>through PY7</w:t>
      </w:r>
      <w:r w:rsidRPr="00735BA9">
        <w:t xml:space="preserve">. It includes an overview of the cumulative energy savings and demand reductions achieved by </w:t>
      </w:r>
      <w:r>
        <w:t>PPL</w:t>
      </w:r>
      <w:r w:rsidRPr="00735BA9">
        <w:t xml:space="preserve">’s Act 129 EE&amp;C programs in Phase II; an overview of the TRC test results for each program and for the portfolio of programs; a discussion of the activities completed by </w:t>
      </w:r>
      <w:r>
        <w:t>PPL</w:t>
      </w:r>
      <w:r w:rsidRPr="00735BA9">
        <w:t xml:space="preserve">’s evaluation contractor to conduct M&amp;V of </w:t>
      </w:r>
      <w:r w:rsidR="00AC4631">
        <w:t>PPL</w:t>
      </w:r>
      <w:r w:rsidR="00AC4631" w:rsidRPr="00735BA9">
        <w:t>’s</w:t>
      </w:r>
      <w:r w:rsidRPr="00735BA9">
        <w:t xml:space="preserve"> EE&amp;C programs and to calculate the cost-effectiveness of the portfolio of programs; a description of the work and findings of the SWE Team audits; and the SWE Team’s recommendations of actions to help improve </w:t>
      </w:r>
      <w:r>
        <w:t>PPL</w:t>
      </w:r>
      <w:r w:rsidRPr="00735BA9">
        <w:t>’s programs in the future</w:t>
      </w:r>
      <w:r>
        <w:t>.</w:t>
      </w:r>
    </w:p>
    <w:p w:rsidR="007724F5" w:rsidRDefault="007724F5" w:rsidP="008111EC"/>
    <w:p w:rsidR="00950837" w:rsidRDefault="00950837" w:rsidP="0043541C">
      <w:pPr>
        <w:pStyle w:val="AppendixAHeading2"/>
      </w:pPr>
      <w:r>
        <w:t>Summary of Energy and Demand Reductions</w:t>
      </w:r>
    </w:p>
    <w:p w:rsidR="009C5272" w:rsidRDefault="009C5272" w:rsidP="009C5272">
      <w:r>
        <w:t xml:space="preserve">This section lists the programs </w:t>
      </w:r>
      <w:r w:rsidR="003E6CCF">
        <w:t>that</w:t>
      </w:r>
      <w:r>
        <w:t xml:space="preserve"> provided energy savings in PY7 and includes the energy and demand savings contributed by each program offered during Phase II. The sector-level verified gross and net energy savings achieved in PY7 are also provided.</w:t>
      </w:r>
    </w:p>
    <w:p w:rsidR="009C5272" w:rsidRPr="009C5272" w:rsidRDefault="009C5272" w:rsidP="009C5272"/>
    <w:p w:rsidR="00950837" w:rsidRDefault="00950837" w:rsidP="00D34B3E">
      <w:pPr>
        <w:pStyle w:val="AppendixAHeading3"/>
      </w:pPr>
      <w:r>
        <w:t>Phase II Savings by Program</w:t>
      </w:r>
    </w:p>
    <w:p w:rsidR="00A874AC" w:rsidRDefault="00893B85" w:rsidP="005A27BE">
      <w:r>
        <w:fldChar w:fldCharType="begin"/>
      </w:r>
      <w:r>
        <w:instrText xml:space="preserve"> REF _Ref472359548 \h </w:instrText>
      </w:r>
      <w:r>
        <w:fldChar w:fldCharType="separate"/>
      </w:r>
      <w:r w:rsidR="00A874AC" w:rsidRPr="00E41D9C">
        <w:t>Table A-</w:t>
      </w:r>
      <w:r w:rsidR="00A874AC">
        <w:rPr>
          <w:noProof/>
        </w:rPr>
        <w:t>134</w:t>
      </w:r>
      <w:r>
        <w:fldChar w:fldCharType="end"/>
      </w:r>
      <w:r w:rsidR="005A27BE">
        <w:t xml:space="preserve"> </w:t>
      </w:r>
      <w:r w:rsidR="005A27BE" w:rsidRPr="004B480A">
        <w:t>lists</w:t>
      </w:r>
      <w:r w:rsidR="005A27BE">
        <w:t xml:space="preserve"> the</w:t>
      </w:r>
      <w:r w:rsidR="005A27BE" w:rsidRPr="004B480A">
        <w:t xml:space="preserve"> </w:t>
      </w:r>
      <w:r>
        <w:t xml:space="preserve">PPL </w:t>
      </w:r>
      <w:r w:rsidR="005A27BE" w:rsidRPr="004B480A">
        <w:t>EE&amp;C programs</w:t>
      </w:r>
      <w:r w:rsidR="005A27BE">
        <w:t xml:space="preserve"> that yielded reported savings in PY7. </w:t>
      </w:r>
      <w:r>
        <w:fldChar w:fldCharType="begin"/>
      </w:r>
      <w:r>
        <w:instrText xml:space="preserve"> REF _Ref472359556 \h </w:instrText>
      </w:r>
      <w:r>
        <w:fldChar w:fldCharType="separate"/>
      </w:r>
    </w:p>
    <w:p w:rsidR="00A874AC" w:rsidRDefault="00A874AC" w:rsidP="005A27BE"/>
    <w:p w:rsidR="005A27BE" w:rsidRDefault="00A874AC" w:rsidP="005A27BE">
      <w:r w:rsidRPr="00E41D9C">
        <w:t>Table A-</w:t>
      </w:r>
      <w:r>
        <w:rPr>
          <w:noProof/>
        </w:rPr>
        <w:t>135</w:t>
      </w:r>
      <w:r w:rsidR="00893B85">
        <w:fldChar w:fldCharType="end"/>
      </w:r>
      <w:r w:rsidR="005A27BE">
        <w:t xml:space="preserve"> shows the verified gross energy and demand savings of each program at the conclusion of Phase II. The </w:t>
      </w:r>
      <w:r w:rsidR="00504627">
        <w:t>Prescriptive Equipment progr</w:t>
      </w:r>
      <w:r w:rsidR="005A27BE">
        <w:t>am was the largest contributor of both energy and demand savings.</w:t>
      </w:r>
    </w:p>
    <w:p w:rsidR="005A27BE" w:rsidRDefault="005A27BE" w:rsidP="005A27BE"/>
    <w:p w:rsidR="00D77B11" w:rsidRDefault="00D77B11" w:rsidP="005A27BE">
      <w:pPr>
        <w:pStyle w:val="Caption"/>
      </w:pPr>
      <w:bookmarkStart w:id="1263" w:name="_Ref472359548"/>
      <w:bookmarkStart w:id="1264" w:name="_Toc472472543"/>
      <w:bookmarkStart w:id="1265" w:name="_Toc476842249"/>
    </w:p>
    <w:p w:rsidR="005A27BE" w:rsidRDefault="005A27BE" w:rsidP="005A27BE">
      <w:pPr>
        <w:pStyle w:val="Caption"/>
      </w:pPr>
      <w:r w:rsidRPr="00E41D9C">
        <w:t>Table A-</w:t>
      </w:r>
      <w:fldSimple w:instr=" SEQ Table_A- \* ARABIC ">
        <w:r w:rsidR="00C301D0">
          <w:rPr>
            <w:noProof/>
          </w:rPr>
          <w:t>134</w:t>
        </w:r>
      </w:fldSimple>
      <w:bookmarkEnd w:id="1263"/>
      <w:r w:rsidRPr="00E41D9C">
        <w:t xml:space="preserve">: </w:t>
      </w:r>
      <w:r w:rsidR="00893B85">
        <w:t>PPL</w:t>
      </w:r>
      <w:r w:rsidRPr="00E41D9C">
        <w:t xml:space="preserve"> EE&amp;C Programs wi</w:t>
      </w:r>
      <w:r>
        <w:t>th Reported Gross Savings in PY7</w:t>
      </w:r>
      <w:bookmarkEnd w:id="1264"/>
      <w:bookmarkEnd w:id="1265"/>
    </w:p>
    <w:tbl>
      <w:tblPr>
        <w:tblW w:w="9350" w:type="dxa"/>
        <w:tblLook w:val="04A0" w:firstRow="1" w:lastRow="0" w:firstColumn="1" w:lastColumn="0" w:noHBand="0" w:noVBand="1"/>
      </w:tblPr>
      <w:tblGrid>
        <w:gridCol w:w="5480"/>
        <w:gridCol w:w="3870"/>
      </w:tblGrid>
      <w:tr w:rsidR="00E7173E" w:rsidRPr="0007628E" w:rsidTr="00EE3086">
        <w:trPr>
          <w:trHeight w:val="223"/>
          <w:tblHeader/>
        </w:trPr>
        <w:tc>
          <w:tcPr>
            <w:tcW w:w="548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07628E" w:rsidRPr="0007628E" w:rsidRDefault="0007628E" w:rsidP="008111EC">
            <w:pPr>
              <w:rPr>
                <w:b/>
                <w:bCs/>
                <w:color w:val="FFFFFF"/>
                <w:sz w:val="20"/>
                <w:szCs w:val="20"/>
              </w:rPr>
            </w:pPr>
            <w:r w:rsidRPr="0007628E">
              <w:rPr>
                <w:b/>
                <w:bCs/>
                <w:color w:val="FFFFFF"/>
                <w:sz w:val="20"/>
                <w:szCs w:val="20"/>
              </w:rPr>
              <w:t>Programs Reporting PY7 Gross Savings</w:t>
            </w:r>
          </w:p>
        </w:tc>
        <w:tc>
          <w:tcPr>
            <w:tcW w:w="3870" w:type="dxa"/>
            <w:tcBorders>
              <w:top w:val="single" w:sz="8" w:space="0" w:color="448A99"/>
              <w:left w:val="nil"/>
              <w:bottom w:val="single" w:sz="8" w:space="0" w:color="448A99"/>
              <w:right w:val="single" w:sz="8" w:space="0" w:color="448A99"/>
            </w:tcBorders>
            <w:shd w:val="clear" w:color="000000" w:fill="448A99"/>
            <w:vAlign w:val="bottom"/>
            <w:hideMark/>
          </w:tcPr>
          <w:p w:rsidR="0007628E" w:rsidRPr="0007628E" w:rsidRDefault="0007628E" w:rsidP="008111EC">
            <w:pPr>
              <w:jc w:val="center"/>
              <w:rPr>
                <w:b/>
                <w:bCs/>
                <w:color w:val="FFFFFF"/>
                <w:sz w:val="20"/>
                <w:szCs w:val="20"/>
              </w:rPr>
            </w:pPr>
            <w:r w:rsidRPr="0007628E">
              <w:rPr>
                <w:b/>
                <w:bCs/>
                <w:color w:val="FFFFFF"/>
                <w:sz w:val="20"/>
                <w:szCs w:val="20"/>
              </w:rPr>
              <w:t>Sector(s)</w:t>
            </w:r>
          </w:p>
        </w:tc>
      </w:tr>
      <w:tr w:rsidR="00E7173E" w:rsidRPr="0007628E" w:rsidTr="005A33A4">
        <w:trPr>
          <w:trHeight w:val="360"/>
        </w:trPr>
        <w:tc>
          <w:tcPr>
            <w:tcW w:w="5480" w:type="dxa"/>
            <w:tcBorders>
              <w:top w:val="nil"/>
              <w:left w:val="single" w:sz="8" w:space="0" w:color="448A99"/>
              <w:bottom w:val="single" w:sz="8" w:space="0" w:color="448A99"/>
              <w:right w:val="single" w:sz="8" w:space="0" w:color="448A99"/>
            </w:tcBorders>
            <w:shd w:val="clear" w:color="auto" w:fill="auto"/>
            <w:vAlign w:val="center"/>
            <w:hideMark/>
          </w:tcPr>
          <w:p w:rsidR="0007628E" w:rsidRPr="0007628E" w:rsidRDefault="0007628E" w:rsidP="0007628E">
            <w:pPr>
              <w:rPr>
                <w:color w:val="000000"/>
                <w:sz w:val="20"/>
                <w:szCs w:val="20"/>
              </w:rPr>
            </w:pPr>
            <w:r w:rsidRPr="0007628E">
              <w:rPr>
                <w:color w:val="000000"/>
                <w:sz w:val="20"/>
                <w:szCs w:val="20"/>
              </w:rPr>
              <w:t>Appliance Recycling</w:t>
            </w:r>
          </w:p>
        </w:tc>
        <w:tc>
          <w:tcPr>
            <w:tcW w:w="3870" w:type="dxa"/>
            <w:tcBorders>
              <w:top w:val="nil"/>
              <w:left w:val="nil"/>
              <w:bottom w:val="single" w:sz="8" w:space="0" w:color="448A99"/>
              <w:right w:val="single" w:sz="8" w:space="0" w:color="448A99"/>
            </w:tcBorders>
            <w:shd w:val="clear" w:color="auto" w:fill="auto"/>
            <w:vAlign w:val="center"/>
            <w:hideMark/>
          </w:tcPr>
          <w:p w:rsidR="0007628E" w:rsidRPr="0007628E" w:rsidRDefault="0007628E" w:rsidP="0007628E">
            <w:pPr>
              <w:rPr>
                <w:color w:val="000000"/>
                <w:sz w:val="20"/>
                <w:szCs w:val="20"/>
              </w:rPr>
            </w:pPr>
            <w:r w:rsidRPr="0007628E">
              <w:rPr>
                <w:color w:val="000000"/>
                <w:sz w:val="20"/>
                <w:szCs w:val="20"/>
              </w:rPr>
              <w:t>Residential</w:t>
            </w:r>
          </w:p>
        </w:tc>
      </w:tr>
      <w:tr w:rsidR="00E7173E" w:rsidRPr="0007628E" w:rsidTr="005A33A4">
        <w:trPr>
          <w:trHeight w:val="360"/>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07628E" w:rsidRDefault="0007628E" w:rsidP="0007628E">
            <w:pPr>
              <w:rPr>
                <w:color w:val="000000"/>
                <w:sz w:val="20"/>
                <w:szCs w:val="20"/>
              </w:rPr>
            </w:pPr>
            <w:r w:rsidRPr="0007628E">
              <w:rPr>
                <w:color w:val="000000"/>
                <w:sz w:val="20"/>
                <w:szCs w:val="20"/>
              </w:rPr>
              <w:t>Continuous Energy Improvement</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07628E" w:rsidRDefault="0007628E" w:rsidP="0007628E">
            <w:pPr>
              <w:rPr>
                <w:color w:val="000000"/>
                <w:sz w:val="20"/>
                <w:szCs w:val="20"/>
              </w:rPr>
            </w:pPr>
            <w:r w:rsidRPr="0007628E">
              <w:rPr>
                <w:color w:val="000000"/>
                <w:sz w:val="20"/>
                <w:szCs w:val="20"/>
              </w:rPr>
              <w:t>GNI</w:t>
            </w:r>
          </w:p>
        </w:tc>
      </w:tr>
      <w:tr w:rsidR="00E7173E" w:rsidRPr="0007628E" w:rsidTr="005A33A4">
        <w:trPr>
          <w:trHeight w:val="360"/>
        </w:trPr>
        <w:tc>
          <w:tcPr>
            <w:tcW w:w="5480" w:type="dxa"/>
            <w:tcBorders>
              <w:top w:val="nil"/>
              <w:left w:val="single" w:sz="8" w:space="0" w:color="448A99"/>
              <w:bottom w:val="single" w:sz="8" w:space="0" w:color="448A99"/>
              <w:right w:val="single" w:sz="8" w:space="0" w:color="448A99"/>
            </w:tcBorders>
            <w:shd w:val="clear" w:color="auto" w:fill="auto"/>
            <w:vAlign w:val="center"/>
            <w:hideMark/>
          </w:tcPr>
          <w:p w:rsidR="0007628E" w:rsidRPr="0007628E" w:rsidRDefault="0007628E" w:rsidP="0007628E">
            <w:pPr>
              <w:rPr>
                <w:color w:val="000000"/>
                <w:sz w:val="20"/>
                <w:szCs w:val="20"/>
              </w:rPr>
            </w:pPr>
            <w:r w:rsidRPr="0007628E">
              <w:rPr>
                <w:color w:val="000000"/>
                <w:sz w:val="20"/>
                <w:szCs w:val="20"/>
              </w:rPr>
              <w:t>Custom Incentive</w:t>
            </w:r>
          </w:p>
        </w:tc>
        <w:tc>
          <w:tcPr>
            <w:tcW w:w="3870" w:type="dxa"/>
            <w:tcBorders>
              <w:top w:val="nil"/>
              <w:left w:val="nil"/>
              <w:bottom w:val="single" w:sz="8" w:space="0" w:color="448A99"/>
              <w:right w:val="single" w:sz="8" w:space="0" w:color="448A99"/>
            </w:tcBorders>
            <w:shd w:val="clear" w:color="auto" w:fill="auto"/>
            <w:vAlign w:val="center"/>
            <w:hideMark/>
          </w:tcPr>
          <w:p w:rsidR="0007628E" w:rsidRPr="0007628E" w:rsidRDefault="0007628E" w:rsidP="0007628E">
            <w:pPr>
              <w:rPr>
                <w:color w:val="000000"/>
                <w:sz w:val="20"/>
                <w:szCs w:val="20"/>
              </w:rPr>
            </w:pPr>
            <w:r w:rsidRPr="0007628E">
              <w:rPr>
                <w:color w:val="000000"/>
                <w:sz w:val="20"/>
                <w:szCs w:val="20"/>
              </w:rPr>
              <w:t>Non-Residential / GNI</w:t>
            </w:r>
          </w:p>
        </w:tc>
      </w:tr>
      <w:tr w:rsidR="00E7173E" w:rsidRPr="0007628E" w:rsidTr="005A33A4">
        <w:trPr>
          <w:trHeight w:val="360"/>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07628E" w:rsidRDefault="0007628E" w:rsidP="0007628E">
            <w:pPr>
              <w:rPr>
                <w:color w:val="000000"/>
                <w:sz w:val="20"/>
                <w:szCs w:val="20"/>
              </w:rPr>
            </w:pPr>
            <w:r w:rsidRPr="0007628E">
              <w:rPr>
                <w:color w:val="000000"/>
                <w:sz w:val="20"/>
                <w:szCs w:val="20"/>
              </w:rPr>
              <w:t>E-Power Wise</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07628E" w:rsidRDefault="0007628E" w:rsidP="0007628E">
            <w:pPr>
              <w:rPr>
                <w:color w:val="000000"/>
                <w:sz w:val="20"/>
                <w:szCs w:val="20"/>
              </w:rPr>
            </w:pPr>
            <w:r w:rsidRPr="0007628E">
              <w:rPr>
                <w:color w:val="000000"/>
                <w:sz w:val="20"/>
                <w:szCs w:val="20"/>
              </w:rPr>
              <w:t>Low-Income</w:t>
            </w:r>
          </w:p>
        </w:tc>
      </w:tr>
      <w:tr w:rsidR="00E7173E" w:rsidRPr="0007628E" w:rsidTr="005A33A4">
        <w:trPr>
          <w:trHeight w:val="360"/>
        </w:trPr>
        <w:tc>
          <w:tcPr>
            <w:tcW w:w="5480" w:type="dxa"/>
            <w:tcBorders>
              <w:top w:val="nil"/>
              <w:left w:val="single" w:sz="8" w:space="0" w:color="448A99"/>
              <w:bottom w:val="single" w:sz="8" w:space="0" w:color="448A99"/>
              <w:right w:val="single" w:sz="8" w:space="0" w:color="448A99"/>
            </w:tcBorders>
            <w:shd w:val="clear" w:color="auto" w:fill="auto"/>
            <w:vAlign w:val="center"/>
            <w:hideMark/>
          </w:tcPr>
          <w:p w:rsidR="0007628E" w:rsidRPr="0007628E" w:rsidRDefault="0007628E" w:rsidP="0007628E">
            <w:pPr>
              <w:rPr>
                <w:color w:val="000000"/>
                <w:sz w:val="20"/>
                <w:szCs w:val="20"/>
              </w:rPr>
            </w:pPr>
            <w:r w:rsidRPr="0007628E">
              <w:rPr>
                <w:color w:val="000000"/>
                <w:sz w:val="20"/>
                <w:szCs w:val="20"/>
              </w:rPr>
              <w:t>Low-Income Energy-Efficiency Behavior and Education</w:t>
            </w:r>
          </w:p>
        </w:tc>
        <w:tc>
          <w:tcPr>
            <w:tcW w:w="3870" w:type="dxa"/>
            <w:tcBorders>
              <w:top w:val="nil"/>
              <w:left w:val="nil"/>
              <w:bottom w:val="single" w:sz="8" w:space="0" w:color="448A99"/>
              <w:right w:val="single" w:sz="8" w:space="0" w:color="448A99"/>
            </w:tcBorders>
            <w:shd w:val="clear" w:color="auto" w:fill="auto"/>
            <w:vAlign w:val="center"/>
            <w:hideMark/>
          </w:tcPr>
          <w:p w:rsidR="0007628E" w:rsidRPr="0007628E" w:rsidRDefault="0007628E" w:rsidP="0007628E">
            <w:pPr>
              <w:rPr>
                <w:color w:val="000000"/>
                <w:sz w:val="20"/>
                <w:szCs w:val="20"/>
              </w:rPr>
            </w:pPr>
            <w:r w:rsidRPr="0007628E">
              <w:rPr>
                <w:color w:val="000000"/>
                <w:sz w:val="20"/>
                <w:szCs w:val="20"/>
              </w:rPr>
              <w:t>Low-Income</w:t>
            </w:r>
          </w:p>
        </w:tc>
      </w:tr>
      <w:tr w:rsidR="00E7173E" w:rsidRPr="0007628E" w:rsidTr="005A33A4">
        <w:trPr>
          <w:trHeight w:val="360"/>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07628E" w:rsidRDefault="0007628E" w:rsidP="0007628E">
            <w:pPr>
              <w:rPr>
                <w:color w:val="000000"/>
                <w:sz w:val="20"/>
                <w:szCs w:val="20"/>
              </w:rPr>
            </w:pPr>
            <w:r w:rsidRPr="0007628E">
              <w:rPr>
                <w:color w:val="000000"/>
                <w:sz w:val="20"/>
                <w:szCs w:val="20"/>
              </w:rPr>
              <w:t>Low-Income WRAP</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07628E" w:rsidRDefault="0007628E" w:rsidP="0007628E">
            <w:pPr>
              <w:rPr>
                <w:color w:val="000000"/>
                <w:sz w:val="20"/>
                <w:szCs w:val="20"/>
              </w:rPr>
            </w:pPr>
            <w:r w:rsidRPr="0007628E">
              <w:rPr>
                <w:color w:val="000000"/>
                <w:sz w:val="20"/>
                <w:szCs w:val="20"/>
              </w:rPr>
              <w:t>Low-Income</w:t>
            </w:r>
          </w:p>
        </w:tc>
      </w:tr>
      <w:tr w:rsidR="00E7173E" w:rsidRPr="0007628E" w:rsidTr="005A33A4">
        <w:trPr>
          <w:trHeight w:val="360"/>
        </w:trPr>
        <w:tc>
          <w:tcPr>
            <w:tcW w:w="5480" w:type="dxa"/>
            <w:tcBorders>
              <w:top w:val="nil"/>
              <w:left w:val="single" w:sz="8" w:space="0" w:color="448A99"/>
              <w:bottom w:val="single" w:sz="8" w:space="0" w:color="448A99"/>
              <w:right w:val="single" w:sz="8" w:space="0" w:color="448A99"/>
            </w:tcBorders>
            <w:shd w:val="clear" w:color="auto" w:fill="auto"/>
            <w:vAlign w:val="center"/>
            <w:hideMark/>
          </w:tcPr>
          <w:p w:rsidR="0007628E" w:rsidRPr="0007628E" w:rsidRDefault="0007628E" w:rsidP="0007628E">
            <w:pPr>
              <w:rPr>
                <w:color w:val="000000"/>
                <w:sz w:val="20"/>
                <w:szCs w:val="20"/>
              </w:rPr>
            </w:pPr>
            <w:r w:rsidRPr="0007628E">
              <w:rPr>
                <w:color w:val="000000"/>
                <w:sz w:val="20"/>
                <w:szCs w:val="20"/>
              </w:rPr>
              <w:t>Master Metered Multifamily Housing</w:t>
            </w:r>
          </w:p>
        </w:tc>
        <w:tc>
          <w:tcPr>
            <w:tcW w:w="3870" w:type="dxa"/>
            <w:tcBorders>
              <w:top w:val="nil"/>
              <w:left w:val="nil"/>
              <w:bottom w:val="single" w:sz="8" w:space="0" w:color="448A99"/>
              <w:right w:val="single" w:sz="8" w:space="0" w:color="448A99"/>
            </w:tcBorders>
            <w:shd w:val="clear" w:color="auto" w:fill="auto"/>
            <w:vAlign w:val="center"/>
            <w:hideMark/>
          </w:tcPr>
          <w:p w:rsidR="0007628E" w:rsidRPr="0007628E" w:rsidRDefault="0007628E" w:rsidP="0007628E">
            <w:pPr>
              <w:rPr>
                <w:color w:val="000000"/>
                <w:sz w:val="20"/>
                <w:szCs w:val="20"/>
              </w:rPr>
            </w:pPr>
            <w:r w:rsidRPr="0007628E">
              <w:rPr>
                <w:color w:val="000000"/>
                <w:sz w:val="20"/>
                <w:szCs w:val="20"/>
              </w:rPr>
              <w:t>GNI</w:t>
            </w:r>
          </w:p>
        </w:tc>
      </w:tr>
      <w:tr w:rsidR="00E7173E" w:rsidRPr="0007628E" w:rsidTr="005A33A4">
        <w:trPr>
          <w:trHeight w:val="360"/>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07628E" w:rsidRDefault="0007628E" w:rsidP="0007628E">
            <w:pPr>
              <w:rPr>
                <w:color w:val="000000"/>
                <w:sz w:val="20"/>
                <w:szCs w:val="20"/>
              </w:rPr>
            </w:pPr>
            <w:r w:rsidRPr="0007628E">
              <w:rPr>
                <w:color w:val="000000"/>
                <w:sz w:val="20"/>
                <w:szCs w:val="20"/>
              </w:rPr>
              <w:t>Prescriptive Equipment</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07628E" w:rsidRDefault="0007628E" w:rsidP="0007628E">
            <w:pPr>
              <w:jc w:val="left"/>
              <w:rPr>
                <w:color w:val="000000"/>
                <w:sz w:val="20"/>
                <w:szCs w:val="20"/>
              </w:rPr>
            </w:pPr>
            <w:r w:rsidRPr="0007628E">
              <w:rPr>
                <w:color w:val="000000"/>
                <w:sz w:val="20"/>
                <w:szCs w:val="20"/>
              </w:rPr>
              <w:t xml:space="preserve">Non-Residential / GNI / Residential </w:t>
            </w:r>
          </w:p>
        </w:tc>
      </w:tr>
      <w:tr w:rsidR="00E7173E" w:rsidRPr="0007628E" w:rsidTr="005A33A4">
        <w:trPr>
          <w:trHeight w:val="360"/>
        </w:trPr>
        <w:tc>
          <w:tcPr>
            <w:tcW w:w="5480" w:type="dxa"/>
            <w:tcBorders>
              <w:top w:val="nil"/>
              <w:left w:val="single" w:sz="8" w:space="0" w:color="448A99"/>
              <w:bottom w:val="single" w:sz="8" w:space="0" w:color="448A99"/>
              <w:right w:val="single" w:sz="8" w:space="0" w:color="448A99"/>
            </w:tcBorders>
            <w:shd w:val="clear" w:color="auto" w:fill="auto"/>
            <w:vAlign w:val="center"/>
            <w:hideMark/>
          </w:tcPr>
          <w:p w:rsidR="0007628E" w:rsidRPr="0007628E" w:rsidRDefault="0007628E" w:rsidP="0007628E">
            <w:pPr>
              <w:rPr>
                <w:color w:val="000000"/>
                <w:sz w:val="20"/>
                <w:szCs w:val="20"/>
              </w:rPr>
            </w:pPr>
            <w:r w:rsidRPr="0007628E">
              <w:rPr>
                <w:color w:val="000000"/>
                <w:sz w:val="20"/>
                <w:szCs w:val="20"/>
              </w:rPr>
              <w:t>Residential Energy-Efficiency Behavior and Education</w:t>
            </w:r>
          </w:p>
        </w:tc>
        <w:tc>
          <w:tcPr>
            <w:tcW w:w="3870" w:type="dxa"/>
            <w:tcBorders>
              <w:top w:val="nil"/>
              <w:left w:val="nil"/>
              <w:bottom w:val="single" w:sz="8" w:space="0" w:color="448A99"/>
              <w:right w:val="single" w:sz="8" w:space="0" w:color="448A99"/>
            </w:tcBorders>
            <w:shd w:val="clear" w:color="auto" w:fill="auto"/>
            <w:vAlign w:val="center"/>
            <w:hideMark/>
          </w:tcPr>
          <w:p w:rsidR="0007628E" w:rsidRPr="0007628E" w:rsidRDefault="0007628E" w:rsidP="0007628E">
            <w:pPr>
              <w:rPr>
                <w:color w:val="000000"/>
                <w:sz w:val="20"/>
                <w:szCs w:val="20"/>
              </w:rPr>
            </w:pPr>
            <w:r w:rsidRPr="0007628E">
              <w:rPr>
                <w:color w:val="000000"/>
                <w:sz w:val="20"/>
                <w:szCs w:val="20"/>
              </w:rPr>
              <w:t>Residential</w:t>
            </w:r>
          </w:p>
        </w:tc>
      </w:tr>
      <w:tr w:rsidR="00E7173E" w:rsidRPr="0007628E" w:rsidTr="005A33A4">
        <w:trPr>
          <w:trHeight w:val="360"/>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07628E" w:rsidRDefault="0007628E" w:rsidP="0007628E">
            <w:pPr>
              <w:rPr>
                <w:color w:val="000000"/>
                <w:sz w:val="20"/>
                <w:szCs w:val="20"/>
              </w:rPr>
            </w:pPr>
            <w:r w:rsidRPr="0007628E">
              <w:rPr>
                <w:color w:val="000000"/>
                <w:sz w:val="20"/>
                <w:szCs w:val="20"/>
              </w:rPr>
              <w:t>Residential Home Comfort</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07628E" w:rsidRDefault="0007628E" w:rsidP="00CE78B5">
            <w:pPr>
              <w:jc w:val="left"/>
              <w:rPr>
                <w:color w:val="000000"/>
                <w:sz w:val="20"/>
                <w:szCs w:val="20"/>
              </w:rPr>
            </w:pPr>
            <w:r w:rsidRPr="0007628E">
              <w:rPr>
                <w:color w:val="000000"/>
                <w:sz w:val="20"/>
                <w:szCs w:val="20"/>
              </w:rPr>
              <w:t>Residential</w:t>
            </w:r>
            <w:r w:rsidR="00164F59">
              <w:rPr>
                <w:color w:val="000000"/>
                <w:sz w:val="20"/>
                <w:szCs w:val="20"/>
              </w:rPr>
              <w:t xml:space="preserve"> / Small Commercial / GNI</w:t>
            </w:r>
          </w:p>
        </w:tc>
      </w:tr>
      <w:tr w:rsidR="00E7173E" w:rsidRPr="0007628E" w:rsidTr="005A33A4">
        <w:trPr>
          <w:trHeight w:val="360"/>
        </w:trPr>
        <w:tc>
          <w:tcPr>
            <w:tcW w:w="5480" w:type="dxa"/>
            <w:tcBorders>
              <w:top w:val="nil"/>
              <w:left w:val="single" w:sz="8" w:space="0" w:color="448A99"/>
              <w:bottom w:val="single" w:sz="8" w:space="0" w:color="448A99"/>
              <w:right w:val="single" w:sz="8" w:space="0" w:color="448A99"/>
            </w:tcBorders>
            <w:shd w:val="clear" w:color="auto" w:fill="auto"/>
            <w:vAlign w:val="center"/>
            <w:hideMark/>
          </w:tcPr>
          <w:p w:rsidR="0007628E" w:rsidRPr="0007628E" w:rsidRDefault="0007628E" w:rsidP="0007628E">
            <w:pPr>
              <w:rPr>
                <w:color w:val="000000"/>
                <w:sz w:val="20"/>
                <w:szCs w:val="20"/>
              </w:rPr>
            </w:pPr>
            <w:r w:rsidRPr="0007628E">
              <w:rPr>
                <w:color w:val="000000"/>
                <w:sz w:val="20"/>
                <w:szCs w:val="20"/>
              </w:rPr>
              <w:t>Residential Retail</w:t>
            </w:r>
          </w:p>
        </w:tc>
        <w:tc>
          <w:tcPr>
            <w:tcW w:w="3870" w:type="dxa"/>
            <w:tcBorders>
              <w:top w:val="nil"/>
              <w:left w:val="nil"/>
              <w:bottom w:val="single" w:sz="8" w:space="0" w:color="448A99"/>
              <w:right w:val="single" w:sz="8" w:space="0" w:color="448A99"/>
            </w:tcBorders>
            <w:shd w:val="clear" w:color="auto" w:fill="auto"/>
            <w:vAlign w:val="center"/>
            <w:hideMark/>
          </w:tcPr>
          <w:p w:rsidR="0007628E" w:rsidRPr="0007628E" w:rsidRDefault="0007628E" w:rsidP="0007628E">
            <w:pPr>
              <w:rPr>
                <w:color w:val="000000"/>
                <w:sz w:val="20"/>
                <w:szCs w:val="20"/>
              </w:rPr>
            </w:pPr>
            <w:r w:rsidRPr="0007628E">
              <w:rPr>
                <w:color w:val="000000"/>
                <w:sz w:val="20"/>
                <w:szCs w:val="20"/>
              </w:rPr>
              <w:t>Residential</w:t>
            </w:r>
          </w:p>
        </w:tc>
      </w:tr>
      <w:tr w:rsidR="00E7173E" w:rsidRPr="0007628E" w:rsidTr="005A33A4">
        <w:trPr>
          <w:trHeight w:val="360"/>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07628E" w:rsidRDefault="0007628E" w:rsidP="0007628E">
            <w:pPr>
              <w:rPr>
                <w:color w:val="000000"/>
                <w:sz w:val="20"/>
                <w:szCs w:val="20"/>
              </w:rPr>
            </w:pPr>
            <w:r w:rsidRPr="0007628E">
              <w:rPr>
                <w:color w:val="000000"/>
                <w:sz w:val="20"/>
                <w:szCs w:val="20"/>
              </w:rPr>
              <w:t>Student &amp; Parent Education</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07628E" w:rsidRDefault="0007628E" w:rsidP="0007628E">
            <w:pPr>
              <w:rPr>
                <w:color w:val="000000"/>
                <w:sz w:val="20"/>
                <w:szCs w:val="20"/>
              </w:rPr>
            </w:pPr>
            <w:r w:rsidRPr="0007628E">
              <w:rPr>
                <w:color w:val="000000"/>
                <w:sz w:val="20"/>
                <w:szCs w:val="20"/>
              </w:rPr>
              <w:t>Residential</w:t>
            </w:r>
          </w:p>
        </w:tc>
      </w:tr>
      <w:tr w:rsidR="00E7173E" w:rsidRPr="0007628E" w:rsidTr="005A33A4">
        <w:trPr>
          <w:trHeight w:val="144"/>
        </w:trPr>
        <w:tc>
          <w:tcPr>
            <w:tcW w:w="5480" w:type="dxa"/>
            <w:tcBorders>
              <w:top w:val="nil"/>
              <w:left w:val="single" w:sz="8" w:space="0" w:color="448A99"/>
              <w:bottom w:val="single" w:sz="8" w:space="0" w:color="448A99"/>
              <w:right w:val="single" w:sz="8" w:space="0" w:color="448A99"/>
            </w:tcBorders>
            <w:shd w:val="clear" w:color="auto" w:fill="9C9393"/>
            <w:vAlign w:val="center"/>
            <w:hideMark/>
          </w:tcPr>
          <w:p w:rsidR="0007628E" w:rsidRPr="0007628E" w:rsidRDefault="0007628E" w:rsidP="0007628E">
            <w:pPr>
              <w:rPr>
                <w:b/>
                <w:bCs/>
                <w:color w:val="FFFFFF"/>
                <w:sz w:val="20"/>
                <w:szCs w:val="20"/>
              </w:rPr>
            </w:pPr>
            <w:r w:rsidRPr="0007628E">
              <w:rPr>
                <w:b/>
                <w:bCs/>
                <w:color w:val="FFFFFF"/>
                <w:sz w:val="20"/>
                <w:szCs w:val="20"/>
              </w:rPr>
              <w:t>Programs implemented with no reported PY7 savings</w:t>
            </w:r>
          </w:p>
        </w:tc>
        <w:tc>
          <w:tcPr>
            <w:tcW w:w="3870" w:type="dxa"/>
            <w:tcBorders>
              <w:top w:val="nil"/>
              <w:left w:val="nil"/>
              <w:bottom w:val="single" w:sz="8" w:space="0" w:color="448A99"/>
              <w:right w:val="single" w:sz="8" w:space="0" w:color="448A99"/>
            </w:tcBorders>
            <w:shd w:val="clear" w:color="auto" w:fill="9C9393"/>
            <w:vAlign w:val="center"/>
            <w:hideMark/>
          </w:tcPr>
          <w:p w:rsidR="0007628E" w:rsidRPr="0007628E" w:rsidRDefault="0007628E" w:rsidP="0007628E">
            <w:pPr>
              <w:rPr>
                <w:b/>
                <w:bCs/>
                <w:color w:val="FFFFFF"/>
                <w:sz w:val="20"/>
                <w:szCs w:val="20"/>
              </w:rPr>
            </w:pPr>
            <w:r w:rsidRPr="0007628E">
              <w:rPr>
                <w:b/>
                <w:bCs/>
                <w:color w:val="FFFFFF"/>
                <w:sz w:val="20"/>
                <w:szCs w:val="20"/>
              </w:rPr>
              <w:t>Sector(s)</w:t>
            </w:r>
          </w:p>
        </w:tc>
      </w:tr>
      <w:tr w:rsidR="00E7173E" w:rsidRPr="0007628E" w:rsidTr="005A33A4">
        <w:trPr>
          <w:trHeight w:val="315"/>
        </w:trPr>
        <w:tc>
          <w:tcPr>
            <w:tcW w:w="5480" w:type="dxa"/>
            <w:tcBorders>
              <w:top w:val="nil"/>
              <w:left w:val="single" w:sz="8" w:space="0" w:color="448A99"/>
              <w:bottom w:val="single" w:sz="8" w:space="0" w:color="448A99"/>
              <w:right w:val="single" w:sz="8" w:space="0" w:color="448A99"/>
            </w:tcBorders>
            <w:shd w:val="clear" w:color="000000" w:fill="D2EAF1"/>
            <w:vAlign w:val="center"/>
            <w:hideMark/>
          </w:tcPr>
          <w:p w:rsidR="0007628E" w:rsidRPr="0007628E" w:rsidRDefault="0007628E" w:rsidP="0007628E">
            <w:pPr>
              <w:rPr>
                <w:color w:val="000000"/>
                <w:sz w:val="20"/>
                <w:szCs w:val="20"/>
              </w:rPr>
            </w:pPr>
            <w:r w:rsidRPr="0007628E">
              <w:rPr>
                <w:color w:val="000000"/>
                <w:sz w:val="20"/>
                <w:szCs w:val="20"/>
              </w:rPr>
              <w:t>School Benchmarking</w:t>
            </w:r>
          </w:p>
        </w:tc>
        <w:tc>
          <w:tcPr>
            <w:tcW w:w="3870" w:type="dxa"/>
            <w:tcBorders>
              <w:top w:val="nil"/>
              <w:left w:val="nil"/>
              <w:bottom w:val="single" w:sz="8" w:space="0" w:color="448A99"/>
              <w:right w:val="single" w:sz="8" w:space="0" w:color="448A99"/>
            </w:tcBorders>
            <w:shd w:val="clear" w:color="000000" w:fill="D2EAF1"/>
            <w:vAlign w:val="center"/>
            <w:hideMark/>
          </w:tcPr>
          <w:p w:rsidR="0007628E" w:rsidRPr="0007628E" w:rsidRDefault="0007628E" w:rsidP="0007628E">
            <w:pPr>
              <w:rPr>
                <w:color w:val="000000"/>
                <w:sz w:val="20"/>
                <w:szCs w:val="20"/>
              </w:rPr>
            </w:pPr>
            <w:r w:rsidRPr="0007628E">
              <w:rPr>
                <w:color w:val="000000"/>
                <w:sz w:val="20"/>
                <w:szCs w:val="20"/>
              </w:rPr>
              <w:t>GNI</w:t>
            </w:r>
          </w:p>
        </w:tc>
      </w:tr>
    </w:tbl>
    <w:p w:rsidR="001C055E" w:rsidRDefault="001C055E" w:rsidP="005A27BE">
      <w:bookmarkStart w:id="1266" w:name="_Ref472359556"/>
      <w:bookmarkStart w:id="1267" w:name="_Toc472472544"/>
    </w:p>
    <w:p w:rsidR="005A27BE" w:rsidRDefault="005A27BE" w:rsidP="005A27BE">
      <w:pPr>
        <w:pStyle w:val="Caption"/>
      </w:pPr>
      <w:bookmarkStart w:id="1268" w:name="_Toc476842250"/>
      <w:r w:rsidRPr="00E41D9C">
        <w:t>Table A-</w:t>
      </w:r>
      <w:fldSimple w:instr=" SEQ Table_A- \* ARABIC ">
        <w:r w:rsidR="00C301D0">
          <w:rPr>
            <w:noProof/>
          </w:rPr>
          <w:t>135</w:t>
        </w:r>
      </w:fldSimple>
      <w:bookmarkEnd w:id="1266"/>
      <w:r w:rsidRPr="00E41D9C">
        <w:t xml:space="preserve">: </w:t>
      </w:r>
      <w:r w:rsidRPr="005A1DB5">
        <w:t xml:space="preserve">Summary of </w:t>
      </w:r>
      <w:r w:rsidR="00893B85">
        <w:t>PPL</w:t>
      </w:r>
      <w:r w:rsidRPr="005A1DB5">
        <w:t xml:space="preserve"> EE&amp;C Program Impacts on Verified Gross Portfolio Savings</w:t>
      </w:r>
      <w:bookmarkEnd w:id="1267"/>
      <w:bookmarkEnd w:id="1268"/>
    </w:p>
    <w:tbl>
      <w:tblPr>
        <w:tblW w:w="9350" w:type="dxa"/>
        <w:tblInd w:w="108" w:type="dxa"/>
        <w:tblLook w:val="04A0" w:firstRow="1" w:lastRow="0" w:firstColumn="1" w:lastColumn="0" w:noHBand="0" w:noVBand="1"/>
      </w:tblPr>
      <w:tblGrid>
        <w:gridCol w:w="3680"/>
        <w:gridCol w:w="1420"/>
        <w:gridCol w:w="1420"/>
        <w:gridCol w:w="1420"/>
        <w:gridCol w:w="1410"/>
      </w:tblGrid>
      <w:tr w:rsidR="00A874AC" w:rsidRPr="00504627" w:rsidTr="00D77B11">
        <w:trPr>
          <w:cantSplit/>
          <w:trHeight w:val="780"/>
          <w:tblHeader/>
        </w:trPr>
        <w:tc>
          <w:tcPr>
            <w:tcW w:w="368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504627" w:rsidRPr="00504627" w:rsidRDefault="00504627" w:rsidP="008111EC">
            <w:pPr>
              <w:rPr>
                <w:b/>
                <w:bCs/>
                <w:color w:val="FFFFFF"/>
                <w:sz w:val="20"/>
                <w:szCs w:val="20"/>
              </w:rPr>
            </w:pPr>
            <w:r w:rsidRPr="00504627">
              <w:rPr>
                <w:b/>
                <w:bCs/>
                <w:color w:val="FFFFFF"/>
                <w:sz w:val="20"/>
                <w:szCs w:val="20"/>
              </w:rPr>
              <w:t>Program</w:t>
            </w:r>
          </w:p>
        </w:tc>
        <w:tc>
          <w:tcPr>
            <w:tcW w:w="1420" w:type="dxa"/>
            <w:tcBorders>
              <w:top w:val="single" w:sz="8" w:space="0" w:color="448A99"/>
              <w:left w:val="nil"/>
              <w:bottom w:val="single" w:sz="8" w:space="0" w:color="448A99"/>
              <w:right w:val="single" w:sz="8" w:space="0" w:color="448A99"/>
            </w:tcBorders>
            <w:shd w:val="clear" w:color="000000" w:fill="448A99"/>
            <w:vAlign w:val="bottom"/>
            <w:hideMark/>
          </w:tcPr>
          <w:p w:rsidR="00504627" w:rsidRPr="00504627" w:rsidRDefault="00504627" w:rsidP="008111EC">
            <w:pPr>
              <w:jc w:val="center"/>
              <w:rPr>
                <w:b/>
                <w:bCs/>
                <w:color w:val="FFFFFF"/>
                <w:sz w:val="20"/>
                <w:szCs w:val="20"/>
              </w:rPr>
            </w:pPr>
            <w:r w:rsidRPr="00504627">
              <w:rPr>
                <w:b/>
                <w:bCs/>
                <w:color w:val="FFFFFF"/>
                <w:sz w:val="20"/>
                <w:szCs w:val="20"/>
              </w:rPr>
              <w:t>Phase II VG Savings (MWh</w:t>
            </w:r>
            <w:r w:rsidR="00246B36">
              <w:rPr>
                <w:b/>
                <w:bCs/>
                <w:color w:val="FFFFFF"/>
                <w:sz w:val="20"/>
                <w:szCs w:val="20"/>
              </w:rPr>
              <w:t>/yr</w:t>
            </w:r>
            <w:r w:rsidRPr="00504627">
              <w:rPr>
                <w:b/>
                <w:bCs/>
                <w:color w:val="FFFFFF"/>
                <w:sz w:val="20"/>
                <w:szCs w:val="20"/>
              </w:rPr>
              <w:t>)</w:t>
            </w:r>
          </w:p>
        </w:tc>
        <w:tc>
          <w:tcPr>
            <w:tcW w:w="1420" w:type="dxa"/>
            <w:tcBorders>
              <w:top w:val="single" w:sz="8" w:space="0" w:color="448A99"/>
              <w:left w:val="nil"/>
              <w:bottom w:val="single" w:sz="8" w:space="0" w:color="448A99"/>
              <w:right w:val="single" w:sz="8" w:space="0" w:color="448A99"/>
            </w:tcBorders>
            <w:shd w:val="clear" w:color="000000" w:fill="448A99"/>
            <w:vAlign w:val="bottom"/>
            <w:hideMark/>
          </w:tcPr>
          <w:p w:rsidR="00504627" w:rsidRPr="00504627" w:rsidRDefault="00504627" w:rsidP="008111EC">
            <w:pPr>
              <w:jc w:val="center"/>
              <w:rPr>
                <w:b/>
                <w:bCs/>
                <w:color w:val="FFFFFF"/>
                <w:sz w:val="20"/>
                <w:szCs w:val="20"/>
              </w:rPr>
            </w:pPr>
            <w:r w:rsidRPr="00504627">
              <w:rPr>
                <w:b/>
                <w:bCs/>
                <w:color w:val="FFFFFF"/>
                <w:sz w:val="20"/>
                <w:szCs w:val="20"/>
              </w:rPr>
              <w:t>Percent of Portfolio Phase II VG MWh</w:t>
            </w:r>
            <w:r w:rsidR="00246B36">
              <w:rPr>
                <w:b/>
                <w:bCs/>
                <w:color w:val="FFFFFF"/>
                <w:sz w:val="20"/>
                <w:szCs w:val="20"/>
              </w:rPr>
              <w:t>/yr</w:t>
            </w:r>
            <w:r w:rsidRPr="00504627">
              <w:rPr>
                <w:b/>
                <w:bCs/>
                <w:color w:val="FFFFFF"/>
                <w:sz w:val="20"/>
                <w:szCs w:val="20"/>
              </w:rPr>
              <w:t xml:space="preserve"> Savings</w:t>
            </w:r>
          </w:p>
        </w:tc>
        <w:tc>
          <w:tcPr>
            <w:tcW w:w="1420" w:type="dxa"/>
            <w:tcBorders>
              <w:top w:val="single" w:sz="8" w:space="0" w:color="448A99"/>
              <w:left w:val="nil"/>
              <w:bottom w:val="single" w:sz="8" w:space="0" w:color="448A99"/>
              <w:right w:val="single" w:sz="8" w:space="0" w:color="448A99"/>
            </w:tcBorders>
            <w:shd w:val="clear" w:color="000000" w:fill="448A99"/>
            <w:vAlign w:val="bottom"/>
            <w:hideMark/>
          </w:tcPr>
          <w:p w:rsidR="00504627" w:rsidRPr="00504627" w:rsidRDefault="00504627" w:rsidP="008111EC">
            <w:pPr>
              <w:jc w:val="center"/>
              <w:rPr>
                <w:b/>
                <w:bCs/>
                <w:color w:val="FFFFFF"/>
                <w:sz w:val="20"/>
                <w:szCs w:val="20"/>
              </w:rPr>
            </w:pPr>
            <w:r w:rsidRPr="00504627">
              <w:rPr>
                <w:b/>
                <w:bCs/>
                <w:color w:val="FFFFFF"/>
                <w:sz w:val="20"/>
                <w:szCs w:val="20"/>
              </w:rPr>
              <w:t>Phase II VG Savings (MW)</w:t>
            </w:r>
          </w:p>
        </w:tc>
        <w:tc>
          <w:tcPr>
            <w:tcW w:w="1410" w:type="dxa"/>
            <w:tcBorders>
              <w:top w:val="single" w:sz="8" w:space="0" w:color="448A99"/>
              <w:left w:val="nil"/>
              <w:bottom w:val="single" w:sz="8" w:space="0" w:color="448A99"/>
              <w:right w:val="single" w:sz="8" w:space="0" w:color="448A99"/>
            </w:tcBorders>
            <w:shd w:val="clear" w:color="000000" w:fill="448A99"/>
            <w:vAlign w:val="bottom"/>
            <w:hideMark/>
          </w:tcPr>
          <w:p w:rsidR="00504627" w:rsidRPr="00504627" w:rsidRDefault="00504627" w:rsidP="008111EC">
            <w:pPr>
              <w:jc w:val="center"/>
              <w:rPr>
                <w:b/>
                <w:bCs/>
                <w:color w:val="FFFFFF"/>
                <w:sz w:val="20"/>
                <w:szCs w:val="20"/>
              </w:rPr>
            </w:pPr>
            <w:r w:rsidRPr="00504627">
              <w:rPr>
                <w:b/>
                <w:bCs/>
                <w:color w:val="FFFFFF"/>
                <w:sz w:val="20"/>
                <w:szCs w:val="20"/>
              </w:rPr>
              <w:t>Percent of Portfolio Phase II VG MW Savings</w:t>
            </w:r>
          </w:p>
        </w:tc>
      </w:tr>
      <w:tr w:rsidR="005E6D04" w:rsidRPr="00504627" w:rsidTr="00D77B11">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504627" w:rsidRDefault="00504627" w:rsidP="00504627">
            <w:pPr>
              <w:jc w:val="left"/>
              <w:rPr>
                <w:color w:val="000000"/>
                <w:sz w:val="20"/>
                <w:szCs w:val="20"/>
              </w:rPr>
            </w:pPr>
            <w:r w:rsidRPr="00504627">
              <w:rPr>
                <w:color w:val="000000"/>
                <w:sz w:val="20"/>
                <w:szCs w:val="20"/>
              </w:rPr>
              <w:t xml:space="preserve">Appliance </w:t>
            </w:r>
            <w:r w:rsidR="00C45E9A" w:rsidRPr="00504627">
              <w:rPr>
                <w:color w:val="000000"/>
                <w:sz w:val="20"/>
                <w:szCs w:val="20"/>
              </w:rPr>
              <w:t>Recycling</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25,012</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504627" w:rsidRDefault="00504627" w:rsidP="00504627">
            <w:pPr>
              <w:jc w:val="center"/>
              <w:rPr>
                <w:color w:val="000000"/>
                <w:sz w:val="20"/>
                <w:szCs w:val="20"/>
              </w:rPr>
            </w:pPr>
            <w:r w:rsidRPr="00504627">
              <w:rPr>
                <w:color w:val="000000"/>
                <w:sz w:val="20"/>
                <w:szCs w:val="20"/>
              </w:rPr>
              <w:t>4%</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4.45</w:t>
            </w:r>
          </w:p>
        </w:tc>
        <w:tc>
          <w:tcPr>
            <w:tcW w:w="1410" w:type="dxa"/>
            <w:tcBorders>
              <w:top w:val="nil"/>
              <w:left w:val="nil"/>
              <w:bottom w:val="single" w:sz="8" w:space="0" w:color="448A99"/>
              <w:right w:val="single" w:sz="8" w:space="0" w:color="448A99"/>
            </w:tcBorders>
            <w:shd w:val="clear" w:color="auto" w:fill="auto"/>
            <w:noWrap/>
            <w:vAlign w:val="center"/>
            <w:hideMark/>
          </w:tcPr>
          <w:p w:rsidR="00504627" w:rsidRPr="00504627" w:rsidRDefault="00504627" w:rsidP="00504627">
            <w:pPr>
              <w:jc w:val="center"/>
              <w:rPr>
                <w:color w:val="000000"/>
                <w:sz w:val="20"/>
                <w:szCs w:val="20"/>
              </w:rPr>
            </w:pPr>
            <w:r w:rsidRPr="00504627">
              <w:rPr>
                <w:color w:val="000000"/>
                <w:sz w:val="20"/>
                <w:szCs w:val="20"/>
              </w:rPr>
              <w:t>4%</w:t>
            </w:r>
          </w:p>
        </w:tc>
      </w:tr>
      <w:tr w:rsidR="00A874AC" w:rsidRPr="00504627" w:rsidTr="00D77B11">
        <w:trPr>
          <w:trHeight w:val="488"/>
        </w:trPr>
        <w:tc>
          <w:tcPr>
            <w:tcW w:w="3680" w:type="dxa"/>
            <w:tcBorders>
              <w:top w:val="nil"/>
              <w:left w:val="single" w:sz="8" w:space="0" w:color="448A99"/>
              <w:bottom w:val="single" w:sz="8" w:space="0" w:color="448A99"/>
              <w:right w:val="single" w:sz="8" w:space="0" w:color="448A99"/>
            </w:tcBorders>
            <w:shd w:val="clear" w:color="000000" w:fill="D2EAF1"/>
            <w:vAlign w:val="center"/>
            <w:hideMark/>
          </w:tcPr>
          <w:p w:rsidR="00504627" w:rsidRPr="00504627" w:rsidRDefault="00504627" w:rsidP="00504627">
            <w:pPr>
              <w:jc w:val="left"/>
              <w:rPr>
                <w:color w:val="000000"/>
                <w:sz w:val="20"/>
                <w:szCs w:val="20"/>
              </w:rPr>
            </w:pPr>
            <w:r w:rsidRPr="00504627">
              <w:rPr>
                <w:color w:val="000000"/>
                <w:sz w:val="20"/>
                <w:szCs w:val="20"/>
              </w:rPr>
              <w:t>Continuous Energy Improvement</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4,697</w:t>
            </w:r>
          </w:p>
        </w:tc>
        <w:tc>
          <w:tcPr>
            <w:tcW w:w="1420" w:type="dxa"/>
            <w:tcBorders>
              <w:top w:val="nil"/>
              <w:left w:val="nil"/>
              <w:bottom w:val="single" w:sz="8" w:space="0" w:color="448A99"/>
              <w:right w:val="single" w:sz="8" w:space="0" w:color="448A99"/>
            </w:tcBorders>
            <w:shd w:val="clear" w:color="000000" w:fill="D2EAF1"/>
            <w:noWrap/>
            <w:vAlign w:val="center"/>
            <w:hideMark/>
          </w:tcPr>
          <w:p w:rsidR="00504627" w:rsidRPr="00504627" w:rsidRDefault="00504627" w:rsidP="00504627">
            <w:pPr>
              <w:jc w:val="center"/>
              <w:rPr>
                <w:color w:val="000000"/>
                <w:sz w:val="20"/>
                <w:szCs w:val="20"/>
              </w:rPr>
            </w:pPr>
            <w:r w:rsidRPr="00504627">
              <w:rPr>
                <w:color w:val="000000"/>
                <w:sz w:val="20"/>
                <w:szCs w:val="20"/>
              </w:rPr>
              <w:t>1%</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0.77</w:t>
            </w:r>
          </w:p>
        </w:tc>
        <w:tc>
          <w:tcPr>
            <w:tcW w:w="141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1%</w:t>
            </w:r>
          </w:p>
        </w:tc>
      </w:tr>
      <w:tr w:rsidR="005E6D04" w:rsidRPr="00504627" w:rsidTr="00D77B11">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504627" w:rsidRDefault="00504627" w:rsidP="00504627">
            <w:pPr>
              <w:jc w:val="left"/>
              <w:rPr>
                <w:color w:val="000000"/>
                <w:sz w:val="20"/>
                <w:szCs w:val="20"/>
              </w:rPr>
            </w:pPr>
            <w:r w:rsidRPr="00504627">
              <w:rPr>
                <w:color w:val="000000"/>
                <w:sz w:val="20"/>
                <w:szCs w:val="20"/>
              </w:rPr>
              <w:t>Custom Incentive</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56,852</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504627" w:rsidRDefault="00504627" w:rsidP="00504627">
            <w:pPr>
              <w:jc w:val="center"/>
              <w:rPr>
                <w:color w:val="000000"/>
                <w:sz w:val="20"/>
                <w:szCs w:val="20"/>
              </w:rPr>
            </w:pPr>
            <w:r w:rsidRPr="00504627">
              <w:rPr>
                <w:color w:val="000000"/>
                <w:sz w:val="20"/>
                <w:szCs w:val="20"/>
              </w:rPr>
              <w:t>8%</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7.39</w:t>
            </w:r>
          </w:p>
        </w:tc>
        <w:tc>
          <w:tcPr>
            <w:tcW w:w="1410" w:type="dxa"/>
            <w:tcBorders>
              <w:top w:val="nil"/>
              <w:left w:val="nil"/>
              <w:bottom w:val="single" w:sz="8" w:space="0" w:color="448A99"/>
              <w:right w:val="single" w:sz="8" w:space="0" w:color="448A99"/>
            </w:tcBorders>
            <w:shd w:val="clear" w:color="auto" w:fill="auto"/>
            <w:noWrap/>
            <w:vAlign w:val="center"/>
            <w:hideMark/>
          </w:tcPr>
          <w:p w:rsidR="00504627" w:rsidRPr="00504627" w:rsidRDefault="00504627" w:rsidP="00504627">
            <w:pPr>
              <w:jc w:val="center"/>
              <w:rPr>
                <w:color w:val="000000"/>
                <w:sz w:val="20"/>
                <w:szCs w:val="20"/>
              </w:rPr>
            </w:pPr>
            <w:r w:rsidRPr="00504627">
              <w:rPr>
                <w:color w:val="000000"/>
                <w:sz w:val="20"/>
                <w:szCs w:val="20"/>
              </w:rPr>
              <w:t>7%</w:t>
            </w:r>
          </w:p>
        </w:tc>
      </w:tr>
      <w:tr w:rsidR="00A874AC" w:rsidRPr="00504627" w:rsidTr="00D77B11">
        <w:trPr>
          <w:trHeight w:val="488"/>
        </w:trPr>
        <w:tc>
          <w:tcPr>
            <w:tcW w:w="3680" w:type="dxa"/>
            <w:tcBorders>
              <w:top w:val="nil"/>
              <w:left w:val="single" w:sz="8" w:space="0" w:color="448A99"/>
              <w:bottom w:val="single" w:sz="8" w:space="0" w:color="448A99"/>
              <w:right w:val="single" w:sz="8" w:space="0" w:color="448A99"/>
            </w:tcBorders>
            <w:shd w:val="clear" w:color="000000" w:fill="D2EAF1"/>
            <w:vAlign w:val="center"/>
            <w:hideMark/>
          </w:tcPr>
          <w:p w:rsidR="00504627" w:rsidRPr="00504627" w:rsidRDefault="00504627" w:rsidP="00504627">
            <w:pPr>
              <w:jc w:val="left"/>
              <w:rPr>
                <w:color w:val="000000"/>
                <w:sz w:val="20"/>
                <w:szCs w:val="20"/>
              </w:rPr>
            </w:pPr>
            <w:r w:rsidRPr="00504627">
              <w:rPr>
                <w:color w:val="000000"/>
                <w:sz w:val="20"/>
                <w:szCs w:val="20"/>
              </w:rPr>
              <w:t>E-Power Wise</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5,933</w:t>
            </w:r>
          </w:p>
        </w:tc>
        <w:tc>
          <w:tcPr>
            <w:tcW w:w="1420" w:type="dxa"/>
            <w:tcBorders>
              <w:top w:val="nil"/>
              <w:left w:val="nil"/>
              <w:bottom w:val="single" w:sz="8" w:space="0" w:color="448A99"/>
              <w:right w:val="single" w:sz="8" w:space="0" w:color="448A99"/>
            </w:tcBorders>
            <w:shd w:val="clear" w:color="000000" w:fill="D2EAF1"/>
            <w:noWrap/>
            <w:vAlign w:val="center"/>
            <w:hideMark/>
          </w:tcPr>
          <w:p w:rsidR="00504627" w:rsidRPr="00504627" w:rsidRDefault="00504627" w:rsidP="00504627">
            <w:pPr>
              <w:jc w:val="center"/>
              <w:rPr>
                <w:color w:val="000000"/>
                <w:sz w:val="20"/>
                <w:szCs w:val="20"/>
              </w:rPr>
            </w:pPr>
            <w:r w:rsidRPr="00504627">
              <w:rPr>
                <w:color w:val="000000"/>
                <w:sz w:val="20"/>
                <w:szCs w:val="20"/>
              </w:rPr>
              <w:t>1%</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0.74</w:t>
            </w:r>
          </w:p>
        </w:tc>
        <w:tc>
          <w:tcPr>
            <w:tcW w:w="141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1%</w:t>
            </w:r>
          </w:p>
        </w:tc>
      </w:tr>
      <w:tr w:rsidR="005E6D04" w:rsidRPr="00504627" w:rsidTr="00D77B11">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504627" w:rsidRDefault="00504627" w:rsidP="00504627">
            <w:pPr>
              <w:jc w:val="left"/>
              <w:rPr>
                <w:color w:val="000000"/>
                <w:sz w:val="20"/>
                <w:szCs w:val="20"/>
              </w:rPr>
            </w:pPr>
            <w:r w:rsidRPr="00504627">
              <w:rPr>
                <w:color w:val="000000"/>
                <w:sz w:val="20"/>
                <w:szCs w:val="20"/>
              </w:rPr>
              <w:t>Low-Income Energy-Efficiency Behavior and Education</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10,622</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504627" w:rsidRDefault="00504627" w:rsidP="00504627">
            <w:pPr>
              <w:jc w:val="center"/>
              <w:rPr>
                <w:color w:val="000000"/>
                <w:sz w:val="20"/>
                <w:szCs w:val="20"/>
              </w:rPr>
            </w:pPr>
            <w:r w:rsidRPr="00504627">
              <w:rPr>
                <w:color w:val="000000"/>
                <w:sz w:val="20"/>
                <w:szCs w:val="20"/>
              </w:rPr>
              <w:t>2%</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2.07</w:t>
            </w:r>
          </w:p>
        </w:tc>
        <w:tc>
          <w:tcPr>
            <w:tcW w:w="1410" w:type="dxa"/>
            <w:tcBorders>
              <w:top w:val="nil"/>
              <w:left w:val="nil"/>
              <w:bottom w:val="single" w:sz="8" w:space="0" w:color="448A99"/>
              <w:right w:val="single" w:sz="8" w:space="0" w:color="448A99"/>
            </w:tcBorders>
            <w:shd w:val="clear" w:color="auto" w:fill="auto"/>
            <w:noWrap/>
            <w:vAlign w:val="center"/>
            <w:hideMark/>
          </w:tcPr>
          <w:p w:rsidR="00504627" w:rsidRPr="00504627" w:rsidRDefault="00504627" w:rsidP="00504627">
            <w:pPr>
              <w:jc w:val="center"/>
              <w:rPr>
                <w:color w:val="000000"/>
                <w:sz w:val="20"/>
                <w:szCs w:val="20"/>
              </w:rPr>
            </w:pPr>
            <w:r w:rsidRPr="00504627">
              <w:rPr>
                <w:color w:val="000000"/>
                <w:sz w:val="20"/>
                <w:szCs w:val="20"/>
              </w:rPr>
              <w:t>2%</w:t>
            </w:r>
          </w:p>
        </w:tc>
      </w:tr>
      <w:tr w:rsidR="00A874AC" w:rsidRPr="00504627" w:rsidTr="00D77B11">
        <w:trPr>
          <w:trHeight w:val="488"/>
        </w:trPr>
        <w:tc>
          <w:tcPr>
            <w:tcW w:w="3680" w:type="dxa"/>
            <w:tcBorders>
              <w:top w:val="nil"/>
              <w:left w:val="single" w:sz="8" w:space="0" w:color="448A99"/>
              <w:bottom w:val="single" w:sz="8" w:space="0" w:color="448A99"/>
              <w:right w:val="single" w:sz="8" w:space="0" w:color="448A99"/>
            </w:tcBorders>
            <w:shd w:val="clear" w:color="000000" w:fill="D2EAF1"/>
            <w:vAlign w:val="center"/>
            <w:hideMark/>
          </w:tcPr>
          <w:p w:rsidR="00504627" w:rsidRPr="00504627" w:rsidRDefault="00504627" w:rsidP="00504627">
            <w:pPr>
              <w:jc w:val="left"/>
              <w:rPr>
                <w:color w:val="000000"/>
                <w:sz w:val="20"/>
                <w:szCs w:val="20"/>
              </w:rPr>
            </w:pPr>
            <w:r w:rsidRPr="00504627">
              <w:rPr>
                <w:color w:val="000000"/>
                <w:sz w:val="20"/>
                <w:szCs w:val="20"/>
              </w:rPr>
              <w:t>Low-Income WRAP</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11,832</w:t>
            </w:r>
          </w:p>
        </w:tc>
        <w:tc>
          <w:tcPr>
            <w:tcW w:w="1420" w:type="dxa"/>
            <w:tcBorders>
              <w:top w:val="nil"/>
              <w:left w:val="nil"/>
              <w:bottom w:val="single" w:sz="8" w:space="0" w:color="448A99"/>
              <w:right w:val="single" w:sz="8" w:space="0" w:color="448A99"/>
            </w:tcBorders>
            <w:shd w:val="clear" w:color="000000" w:fill="D2EAF1"/>
            <w:noWrap/>
            <w:vAlign w:val="center"/>
            <w:hideMark/>
          </w:tcPr>
          <w:p w:rsidR="00504627" w:rsidRPr="00504627" w:rsidRDefault="00504627" w:rsidP="00504627">
            <w:pPr>
              <w:jc w:val="center"/>
              <w:rPr>
                <w:color w:val="000000"/>
                <w:sz w:val="20"/>
                <w:szCs w:val="20"/>
              </w:rPr>
            </w:pPr>
            <w:r w:rsidRPr="00504627">
              <w:rPr>
                <w:color w:val="000000"/>
                <w:sz w:val="20"/>
                <w:szCs w:val="20"/>
              </w:rPr>
              <w:t>2%</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1.44</w:t>
            </w:r>
          </w:p>
        </w:tc>
        <w:tc>
          <w:tcPr>
            <w:tcW w:w="141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1%</w:t>
            </w:r>
          </w:p>
        </w:tc>
      </w:tr>
      <w:tr w:rsidR="005E6D04" w:rsidRPr="00504627" w:rsidTr="00D77B11">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504627" w:rsidRDefault="00504627" w:rsidP="00504627">
            <w:pPr>
              <w:jc w:val="left"/>
              <w:rPr>
                <w:color w:val="000000"/>
                <w:sz w:val="20"/>
                <w:szCs w:val="20"/>
              </w:rPr>
            </w:pPr>
            <w:r w:rsidRPr="00504627">
              <w:rPr>
                <w:color w:val="000000"/>
                <w:sz w:val="20"/>
                <w:szCs w:val="20"/>
              </w:rPr>
              <w:t>Master Metered Multifamily Housing</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6,488</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504627" w:rsidRDefault="00504627" w:rsidP="00504627">
            <w:pPr>
              <w:jc w:val="center"/>
              <w:rPr>
                <w:color w:val="000000"/>
                <w:sz w:val="20"/>
                <w:szCs w:val="20"/>
              </w:rPr>
            </w:pPr>
            <w:r w:rsidRPr="00504627">
              <w:rPr>
                <w:color w:val="000000"/>
                <w:sz w:val="20"/>
                <w:szCs w:val="20"/>
              </w:rPr>
              <w:t>1%</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0.77</w:t>
            </w:r>
          </w:p>
        </w:tc>
        <w:tc>
          <w:tcPr>
            <w:tcW w:w="1410" w:type="dxa"/>
            <w:tcBorders>
              <w:top w:val="nil"/>
              <w:left w:val="nil"/>
              <w:bottom w:val="single" w:sz="8" w:space="0" w:color="448A99"/>
              <w:right w:val="single" w:sz="8" w:space="0" w:color="448A99"/>
            </w:tcBorders>
            <w:shd w:val="clear" w:color="auto" w:fill="auto"/>
            <w:noWrap/>
            <w:vAlign w:val="center"/>
            <w:hideMark/>
          </w:tcPr>
          <w:p w:rsidR="00504627" w:rsidRPr="00504627" w:rsidRDefault="00504627" w:rsidP="00504627">
            <w:pPr>
              <w:jc w:val="center"/>
              <w:rPr>
                <w:color w:val="000000"/>
                <w:sz w:val="20"/>
                <w:szCs w:val="20"/>
              </w:rPr>
            </w:pPr>
            <w:r w:rsidRPr="00504627">
              <w:rPr>
                <w:color w:val="000000"/>
                <w:sz w:val="20"/>
                <w:szCs w:val="20"/>
              </w:rPr>
              <w:t>1%</w:t>
            </w:r>
          </w:p>
        </w:tc>
      </w:tr>
      <w:tr w:rsidR="00A874AC" w:rsidRPr="00504627" w:rsidTr="00D77B11">
        <w:trPr>
          <w:trHeight w:val="488"/>
        </w:trPr>
        <w:tc>
          <w:tcPr>
            <w:tcW w:w="3680" w:type="dxa"/>
            <w:tcBorders>
              <w:top w:val="nil"/>
              <w:left w:val="single" w:sz="8" w:space="0" w:color="448A99"/>
              <w:bottom w:val="single" w:sz="8" w:space="0" w:color="448A99"/>
              <w:right w:val="single" w:sz="8" w:space="0" w:color="448A99"/>
            </w:tcBorders>
            <w:shd w:val="clear" w:color="000000" w:fill="D2EAF1"/>
            <w:vAlign w:val="center"/>
            <w:hideMark/>
          </w:tcPr>
          <w:p w:rsidR="00504627" w:rsidRPr="00504627" w:rsidRDefault="00504627" w:rsidP="00504627">
            <w:pPr>
              <w:jc w:val="left"/>
              <w:rPr>
                <w:color w:val="000000"/>
                <w:sz w:val="20"/>
                <w:szCs w:val="20"/>
              </w:rPr>
            </w:pPr>
            <w:r w:rsidRPr="00504627">
              <w:rPr>
                <w:color w:val="000000"/>
                <w:sz w:val="20"/>
                <w:szCs w:val="20"/>
              </w:rPr>
              <w:t>Prescriptive Equipment</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303,542</w:t>
            </w:r>
          </w:p>
        </w:tc>
        <w:tc>
          <w:tcPr>
            <w:tcW w:w="1420" w:type="dxa"/>
            <w:tcBorders>
              <w:top w:val="nil"/>
              <w:left w:val="nil"/>
              <w:bottom w:val="single" w:sz="8" w:space="0" w:color="448A99"/>
              <w:right w:val="single" w:sz="8" w:space="0" w:color="448A99"/>
            </w:tcBorders>
            <w:shd w:val="clear" w:color="000000" w:fill="D2EAF1"/>
            <w:noWrap/>
            <w:vAlign w:val="center"/>
            <w:hideMark/>
          </w:tcPr>
          <w:p w:rsidR="00504627" w:rsidRPr="00504627" w:rsidRDefault="00504627" w:rsidP="00504627">
            <w:pPr>
              <w:jc w:val="center"/>
              <w:rPr>
                <w:color w:val="000000"/>
                <w:sz w:val="20"/>
                <w:szCs w:val="20"/>
              </w:rPr>
            </w:pPr>
            <w:r w:rsidRPr="00504627">
              <w:rPr>
                <w:color w:val="000000"/>
                <w:sz w:val="20"/>
                <w:szCs w:val="20"/>
              </w:rPr>
              <w:t>43%</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47.33</w:t>
            </w:r>
          </w:p>
        </w:tc>
        <w:tc>
          <w:tcPr>
            <w:tcW w:w="141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45%</w:t>
            </w:r>
          </w:p>
        </w:tc>
      </w:tr>
      <w:tr w:rsidR="005E6D04" w:rsidRPr="00504627" w:rsidTr="00D77B11">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504627" w:rsidRDefault="00504627" w:rsidP="00504627">
            <w:pPr>
              <w:jc w:val="left"/>
              <w:rPr>
                <w:color w:val="000000"/>
                <w:sz w:val="20"/>
                <w:szCs w:val="20"/>
              </w:rPr>
            </w:pPr>
            <w:r w:rsidRPr="00504627">
              <w:rPr>
                <w:color w:val="000000"/>
                <w:sz w:val="20"/>
                <w:szCs w:val="20"/>
              </w:rPr>
              <w:t>Residential Energy-Efficiency Behavior and Education</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39,078</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504627" w:rsidRDefault="00504627" w:rsidP="00504627">
            <w:pPr>
              <w:jc w:val="center"/>
              <w:rPr>
                <w:color w:val="000000"/>
                <w:sz w:val="20"/>
                <w:szCs w:val="20"/>
              </w:rPr>
            </w:pPr>
            <w:r w:rsidRPr="00504627">
              <w:rPr>
                <w:color w:val="000000"/>
                <w:sz w:val="20"/>
                <w:szCs w:val="20"/>
              </w:rPr>
              <w:t>6%</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7.30</w:t>
            </w:r>
          </w:p>
        </w:tc>
        <w:tc>
          <w:tcPr>
            <w:tcW w:w="141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7%</w:t>
            </w:r>
          </w:p>
        </w:tc>
      </w:tr>
      <w:tr w:rsidR="00A874AC" w:rsidRPr="00504627" w:rsidTr="00D77B11">
        <w:trPr>
          <w:trHeight w:val="488"/>
        </w:trPr>
        <w:tc>
          <w:tcPr>
            <w:tcW w:w="3680" w:type="dxa"/>
            <w:tcBorders>
              <w:top w:val="nil"/>
              <w:left w:val="single" w:sz="8" w:space="0" w:color="448A99"/>
              <w:bottom w:val="single" w:sz="8" w:space="0" w:color="448A99"/>
              <w:right w:val="single" w:sz="8" w:space="0" w:color="448A99"/>
            </w:tcBorders>
            <w:shd w:val="clear" w:color="000000" w:fill="D2EAF1"/>
            <w:vAlign w:val="center"/>
            <w:hideMark/>
          </w:tcPr>
          <w:p w:rsidR="00504627" w:rsidRPr="00504627" w:rsidRDefault="00504627" w:rsidP="00504627">
            <w:pPr>
              <w:jc w:val="left"/>
              <w:rPr>
                <w:color w:val="000000"/>
                <w:sz w:val="20"/>
                <w:szCs w:val="20"/>
              </w:rPr>
            </w:pPr>
            <w:r w:rsidRPr="00504627">
              <w:rPr>
                <w:color w:val="000000"/>
                <w:sz w:val="20"/>
                <w:szCs w:val="20"/>
              </w:rPr>
              <w:t>Residential Home Comfort</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18,649</w:t>
            </w:r>
          </w:p>
        </w:tc>
        <w:tc>
          <w:tcPr>
            <w:tcW w:w="1420" w:type="dxa"/>
            <w:tcBorders>
              <w:top w:val="nil"/>
              <w:left w:val="nil"/>
              <w:bottom w:val="single" w:sz="8" w:space="0" w:color="448A99"/>
              <w:right w:val="single" w:sz="8" w:space="0" w:color="448A99"/>
            </w:tcBorders>
            <w:shd w:val="clear" w:color="000000" w:fill="D2EAF1"/>
            <w:noWrap/>
            <w:vAlign w:val="center"/>
            <w:hideMark/>
          </w:tcPr>
          <w:p w:rsidR="00504627" w:rsidRPr="00504627" w:rsidRDefault="00504627" w:rsidP="00504627">
            <w:pPr>
              <w:jc w:val="center"/>
              <w:rPr>
                <w:color w:val="000000"/>
                <w:sz w:val="20"/>
                <w:szCs w:val="20"/>
              </w:rPr>
            </w:pPr>
            <w:r w:rsidRPr="00504627">
              <w:rPr>
                <w:color w:val="000000"/>
                <w:sz w:val="20"/>
                <w:szCs w:val="20"/>
              </w:rPr>
              <w:t>3%</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6.15</w:t>
            </w:r>
          </w:p>
        </w:tc>
        <w:tc>
          <w:tcPr>
            <w:tcW w:w="141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6%</w:t>
            </w:r>
          </w:p>
        </w:tc>
      </w:tr>
      <w:tr w:rsidR="005E6D04" w:rsidRPr="00504627" w:rsidTr="00D77B11">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504627" w:rsidRDefault="00504627" w:rsidP="00504627">
            <w:pPr>
              <w:jc w:val="left"/>
              <w:rPr>
                <w:color w:val="000000"/>
                <w:sz w:val="20"/>
                <w:szCs w:val="20"/>
              </w:rPr>
            </w:pPr>
            <w:r w:rsidRPr="00504627">
              <w:rPr>
                <w:color w:val="000000"/>
                <w:sz w:val="20"/>
                <w:szCs w:val="20"/>
              </w:rPr>
              <w:t>Residential Retail</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206,018</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504627" w:rsidRDefault="00504627" w:rsidP="00504627">
            <w:pPr>
              <w:jc w:val="center"/>
              <w:rPr>
                <w:color w:val="000000"/>
                <w:sz w:val="20"/>
                <w:szCs w:val="20"/>
              </w:rPr>
            </w:pPr>
            <w:r w:rsidRPr="00504627">
              <w:rPr>
                <w:color w:val="000000"/>
                <w:sz w:val="20"/>
                <w:szCs w:val="20"/>
              </w:rPr>
              <w:t>29%</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26.55</w:t>
            </w:r>
          </w:p>
        </w:tc>
        <w:tc>
          <w:tcPr>
            <w:tcW w:w="1410" w:type="dxa"/>
            <w:tcBorders>
              <w:top w:val="nil"/>
              <w:left w:val="nil"/>
              <w:bottom w:val="single" w:sz="8" w:space="0" w:color="448A99"/>
              <w:right w:val="single" w:sz="8" w:space="0" w:color="448A99"/>
            </w:tcBorders>
            <w:shd w:val="clear" w:color="auto" w:fill="auto"/>
            <w:noWrap/>
            <w:vAlign w:val="center"/>
            <w:hideMark/>
          </w:tcPr>
          <w:p w:rsidR="00504627" w:rsidRPr="00504627" w:rsidRDefault="00504627" w:rsidP="00504627">
            <w:pPr>
              <w:jc w:val="center"/>
              <w:rPr>
                <w:color w:val="000000"/>
                <w:sz w:val="20"/>
                <w:szCs w:val="20"/>
              </w:rPr>
            </w:pPr>
            <w:r w:rsidRPr="00504627">
              <w:rPr>
                <w:color w:val="000000"/>
                <w:sz w:val="20"/>
                <w:szCs w:val="20"/>
              </w:rPr>
              <w:t>25%</w:t>
            </w:r>
          </w:p>
        </w:tc>
      </w:tr>
      <w:tr w:rsidR="00A874AC" w:rsidRPr="00504627" w:rsidTr="00D77B11">
        <w:trPr>
          <w:trHeight w:val="488"/>
        </w:trPr>
        <w:tc>
          <w:tcPr>
            <w:tcW w:w="3680" w:type="dxa"/>
            <w:tcBorders>
              <w:top w:val="nil"/>
              <w:left w:val="single" w:sz="8" w:space="0" w:color="448A99"/>
              <w:bottom w:val="single" w:sz="8" w:space="0" w:color="448A99"/>
              <w:right w:val="single" w:sz="8" w:space="0" w:color="448A99"/>
            </w:tcBorders>
            <w:shd w:val="clear" w:color="000000" w:fill="D2EAF1"/>
            <w:vAlign w:val="center"/>
            <w:hideMark/>
          </w:tcPr>
          <w:p w:rsidR="00504627" w:rsidRPr="00504627" w:rsidRDefault="00504627" w:rsidP="00504627">
            <w:pPr>
              <w:jc w:val="left"/>
              <w:rPr>
                <w:color w:val="000000"/>
                <w:sz w:val="20"/>
                <w:szCs w:val="20"/>
              </w:rPr>
            </w:pPr>
            <w:r w:rsidRPr="00504627">
              <w:rPr>
                <w:color w:val="000000"/>
                <w:sz w:val="20"/>
                <w:szCs w:val="20"/>
              </w:rPr>
              <w:t>School Benchmarking</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0</w:t>
            </w:r>
          </w:p>
        </w:tc>
        <w:tc>
          <w:tcPr>
            <w:tcW w:w="1420" w:type="dxa"/>
            <w:tcBorders>
              <w:top w:val="nil"/>
              <w:left w:val="nil"/>
              <w:bottom w:val="single" w:sz="8" w:space="0" w:color="448A99"/>
              <w:right w:val="single" w:sz="8" w:space="0" w:color="448A99"/>
            </w:tcBorders>
            <w:shd w:val="clear" w:color="000000" w:fill="D2EAF1"/>
            <w:noWrap/>
            <w:vAlign w:val="center"/>
            <w:hideMark/>
          </w:tcPr>
          <w:p w:rsidR="00504627" w:rsidRPr="00504627" w:rsidRDefault="00504627" w:rsidP="00504627">
            <w:pPr>
              <w:jc w:val="center"/>
              <w:rPr>
                <w:color w:val="000000"/>
                <w:sz w:val="20"/>
                <w:szCs w:val="20"/>
              </w:rPr>
            </w:pPr>
            <w:r w:rsidRPr="00504627">
              <w:rPr>
                <w:color w:val="000000"/>
                <w:sz w:val="20"/>
                <w:szCs w:val="20"/>
              </w:rPr>
              <w:t>0%</w:t>
            </w:r>
          </w:p>
        </w:tc>
        <w:tc>
          <w:tcPr>
            <w:tcW w:w="142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0.00</w:t>
            </w:r>
          </w:p>
        </w:tc>
        <w:tc>
          <w:tcPr>
            <w:tcW w:w="1410" w:type="dxa"/>
            <w:tcBorders>
              <w:top w:val="nil"/>
              <w:left w:val="nil"/>
              <w:bottom w:val="single" w:sz="8" w:space="0" w:color="448A99"/>
              <w:right w:val="single" w:sz="8" w:space="0" w:color="448A99"/>
            </w:tcBorders>
            <w:shd w:val="clear" w:color="000000" w:fill="D2EAF1"/>
            <w:vAlign w:val="center"/>
            <w:hideMark/>
          </w:tcPr>
          <w:p w:rsidR="00504627" w:rsidRPr="00504627" w:rsidRDefault="00504627" w:rsidP="00504627">
            <w:pPr>
              <w:jc w:val="center"/>
              <w:rPr>
                <w:color w:val="000000"/>
                <w:sz w:val="20"/>
                <w:szCs w:val="20"/>
              </w:rPr>
            </w:pPr>
            <w:r w:rsidRPr="00504627">
              <w:rPr>
                <w:color w:val="000000"/>
                <w:sz w:val="20"/>
                <w:szCs w:val="20"/>
              </w:rPr>
              <w:t>0%</w:t>
            </w:r>
          </w:p>
        </w:tc>
      </w:tr>
      <w:tr w:rsidR="005E6D04" w:rsidRPr="00504627" w:rsidTr="00D77B11">
        <w:trPr>
          <w:trHeight w:val="488"/>
        </w:trPr>
        <w:tc>
          <w:tcPr>
            <w:tcW w:w="3680" w:type="dxa"/>
            <w:tcBorders>
              <w:top w:val="nil"/>
              <w:left w:val="single" w:sz="8" w:space="0" w:color="448A99"/>
              <w:bottom w:val="single" w:sz="8" w:space="0" w:color="448A99"/>
              <w:right w:val="single" w:sz="8" w:space="0" w:color="448A99"/>
            </w:tcBorders>
            <w:shd w:val="clear" w:color="auto" w:fill="auto"/>
            <w:vAlign w:val="center"/>
            <w:hideMark/>
          </w:tcPr>
          <w:p w:rsidR="00504627" w:rsidRPr="00504627" w:rsidRDefault="00504627" w:rsidP="00504627">
            <w:pPr>
              <w:jc w:val="left"/>
              <w:rPr>
                <w:color w:val="000000"/>
                <w:sz w:val="20"/>
                <w:szCs w:val="20"/>
              </w:rPr>
            </w:pPr>
            <w:r w:rsidRPr="00504627">
              <w:rPr>
                <w:color w:val="000000"/>
                <w:sz w:val="20"/>
                <w:szCs w:val="20"/>
              </w:rPr>
              <w:t>Student &amp; Parent Education</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13,397</w:t>
            </w:r>
          </w:p>
        </w:tc>
        <w:tc>
          <w:tcPr>
            <w:tcW w:w="1420" w:type="dxa"/>
            <w:tcBorders>
              <w:top w:val="nil"/>
              <w:left w:val="nil"/>
              <w:bottom w:val="single" w:sz="8" w:space="0" w:color="448A99"/>
              <w:right w:val="single" w:sz="8" w:space="0" w:color="448A99"/>
            </w:tcBorders>
            <w:shd w:val="clear" w:color="auto" w:fill="auto"/>
            <w:noWrap/>
            <w:vAlign w:val="center"/>
            <w:hideMark/>
          </w:tcPr>
          <w:p w:rsidR="00504627" w:rsidRPr="00504627" w:rsidRDefault="00504627" w:rsidP="00504627">
            <w:pPr>
              <w:jc w:val="center"/>
              <w:rPr>
                <w:color w:val="000000"/>
                <w:sz w:val="20"/>
                <w:szCs w:val="20"/>
              </w:rPr>
            </w:pPr>
            <w:r w:rsidRPr="00504627">
              <w:rPr>
                <w:color w:val="000000"/>
                <w:sz w:val="20"/>
                <w:szCs w:val="20"/>
              </w:rPr>
              <w:t>2%</w:t>
            </w:r>
          </w:p>
        </w:tc>
        <w:tc>
          <w:tcPr>
            <w:tcW w:w="1420" w:type="dxa"/>
            <w:tcBorders>
              <w:top w:val="nil"/>
              <w:left w:val="nil"/>
              <w:bottom w:val="single" w:sz="8" w:space="0" w:color="448A99"/>
              <w:right w:val="single" w:sz="8" w:space="0" w:color="448A99"/>
            </w:tcBorders>
            <w:shd w:val="clear" w:color="auto" w:fill="auto"/>
            <w:vAlign w:val="center"/>
            <w:hideMark/>
          </w:tcPr>
          <w:p w:rsidR="00504627" w:rsidRPr="00504627" w:rsidRDefault="00504627" w:rsidP="00504627">
            <w:pPr>
              <w:jc w:val="center"/>
              <w:rPr>
                <w:color w:val="000000"/>
                <w:sz w:val="20"/>
                <w:szCs w:val="20"/>
              </w:rPr>
            </w:pPr>
            <w:r w:rsidRPr="00504627">
              <w:rPr>
                <w:color w:val="000000"/>
                <w:sz w:val="20"/>
                <w:szCs w:val="20"/>
              </w:rPr>
              <w:t>1.30</w:t>
            </w:r>
          </w:p>
        </w:tc>
        <w:tc>
          <w:tcPr>
            <w:tcW w:w="1410" w:type="dxa"/>
            <w:tcBorders>
              <w:top w:val="nil"/>
              <w:left w:val="nil"/>
              <w:bottom w:val="single" w:sz="8" w:space="0" w:color="448A99"/>
              <w:right w:val="single" w:sz="8" w:space="0" w:color="448A99"/>
            </w:tcBorders>
            <w:shd w:val="clear" w:color="auto" w:fill="auto"/>
            <w:noWrap/>
            <w:vAlign w:val="center"/>
            <w:hideMark/>
          </w:tcPr>
          <w:p w:rsidR="00504627" w:rsidRPr="00504627" w:rsidRDefault="00504627" w:rsidP="00504627">
            <w:pPr>
              <w:jc w:val="center"/>
              <w:rPr>
                <w:color w:val="000000"/>
                <w:sz w:val="20"/>
                <w:szCs w:val="20"/>
              </w:rPr>
            </w:pPr>
            <w:r w:rsidRPr="00504627">
              <w:rPr>
                <w:color w:val="000000"/>
                <w:sz w:val="20"/>
                <w:szCs w:val="20"/>
              </w:rPr>
              <w:t>1%</w:t>
            </w:r>
          </w:p>
        </w:tc>
      </w:tr>
      <w:tr w:rsidR="00A874AC" w:rsidRPr="00504627" w:rsidTr="00D77B11">
        <w:trPr>
          <w:trHeight w:val="489"/>
        </w:trPr>
        <w:tc>
          <w:tcPr>
            <w:tcW w:w="3680" w:type="dxa"/>
            <w:tcBorders>
              <w:top w:val="nil"/>
              <w:left w:val="single" w:sz="8" w:space="0" w:color="448A99"/>
              <w:right w:val="single" w:sz="8" w:space="0" w:color="448A99"/>
            </w:tcBorders>
            <w:shd w:val="clear" w:color="000000" w:fill="D2EAF1"/>
            <w:noWrap/>
            <w:vAlign w:val="center"/>
            <w:hideMark/>
          </w:tcPr>
          <w:p w:rsidR="00504627" w:rsidRPr="00504627" w:rsidRDefault="00504627" w:rsidP="00504627">
            <w:pPr>
              <w:jc w:val="left"/>
              <w:rPr>
                <w:b/>
                <w:bCs/>
                <w:color w:val="000000"/>
                <w:sz w:val="20"/>
                <w:szCs w:val="20"/>
              </w:rPr>
            </w:pPr>
            <w:r w:rsidRPr="00504627">
              <w:rPr>
                <w:b/>
                <w:bCs/>
                <w:color w:val="000000"/>
                <w:sz w:val="20"/>
                <w:szCs w:val="20"/>
              </w:rPr>
              <w:t>Total Portfolio</w:t>
            </w:r>
            <w:r w:rsidR="003203FA" w:rsidRPr="003203FA">
              <w:rPr>
                <w:b/>
                <w:bCs/>
                <w:color w:val="000000"/>
                <w:sz w:val="20"/>
                <w:szCs w:val="20"/>
                <w:vertAlign w:val="superscript"/>
              </w:rPr>
              <w:t>[a]</w:t>
            </w:r>
            <w:r w:rsidRPr="00504627">
              <w:rPr>
                <w:b/>
                <w:bCs/>
                <w:color w:val="000000"/>
                <w:sz w:val="20"/>
                <w:szCs w:val="20"/>
              </w:rPr>
              <w:t xml:space="preserve"> </w:t>
            </w:r>
          </w:p>
        </w:tc>
        <w:tc>
          <w:tcPr>
            <w:tcW w:w="1420" w:type="dxa"/>
            <w:tcBorders>
              <w:top w:val="nil"/>
              <w:left w:val="nil"/>
              <w:right w:val="single" w:sz="8" w:space="0" w:color="448A99"/>
            </w:tcBorders>
            <w:shd w:val="clear" w:color="000000" w:fill="D2EAF1"/>
            <w:vAlign w:val="center"/>
            <w:hideMark/>
          </w:tcPr>
          <w:p w:rsidR="00504627" w:rsidRPr="00504627" w:rsidRDefault="003203FA" w:rsidP="00504627">
            <w:pPr>
              <w:jc w:val="center"/>
              <w:rPr>
                <w:b/>
                <w:bCs/>
                <w:color w:val="000000"/>
                <w:sz w:val="20"/>
                <w:szCs w:val="20"/>
              </w:rPr>
            </w:pPr>
            <w:r>
              <w:rPr>
                <w:b/>
                <w:bCs/>
                <w:color w:val="000000"/>
                <w:sz w:val="20"/>
                <w:szCs w:val="20"/>
              </w:rPr>
              <w:t>698,736</w:t>
            </w:r>
          </w:p>
        </w:tc>
        <w:tc>
          <w:tcPr>
            <w:tcW w:w="1420" w:type="dxa"/>
            <w:tcBorders>
              <w:top w:val="nil"/>
              <w:left w:val="nil"/>
              <w:right w:val="single" w:sz="8" w:space="0" w:color="448A99"/>
            </w:tcBorders>
            <w:shd w:val="clear" w:color="000000" w:fill="D2EAF1"/>
            <w:noWrap/>
            <w:vAlign w:val="center"/>
            <w:hideMark/>
          </w:tcPr>
          <w:p w:rsidR="00504627" w:rsidRPr="00504627" w:rsidRDefault="00504627" w:rsidP="00504627">
            <w:pPr>
              <w:jc w:val="center"/>
              <w:rPr>
                <w:b/>
                <w:bCs/>
                <w:color w:val="000000"/>
                <w:sz w:val="20"/>
                <w:szCs w:val="20"/>
              </w:rPr>
            </w:pPr>
            <w:r w:rsidRPr="00504627">
              <w:rPr>
                <w:b/>
                <w:bCs/>
                <w:color w:val="000000"/>
                <w:sz w:val="20"/>
                <w:szCs w:val="20"/>
              </w:rPr>
              <w:t>100%</w:t>
            </w:r>
          </w:p>
        </w:tc>
        <w:tc>
          <w:tcPr>
            <w:tcW w:w="1420" w:type="dxa"/>
            <w:tcBorders>
              <w:top w:val="nil"/>
              <w:left w:val="nil"/>
              <w:right w:val="single" w:sz="8" w:space="0" w:color="448A99"/>
            </w:tcBorders>
            <w:shd w:val="clear" w:color="000000" w:fill="D2EAF1"/>
            <w:vAlign w:val="center"/>
            <w:hideMark/>
          </w:tcPr>
          <w:p w:rsidR="00504627" w:rsidRPr="00504627" w:rsidRDefault="00504627" w:rsidP="00504627">
            <w:pPr>
              <w:jc w:val="center"/>
              <w:rPr>
                <w:b/>
                <w:bCs/>
                <w:color w:val="000000"/>
                <w:sz w:val="20"/>
                <w:szCs w:val="20"/>
              </w:rPr>
            </w:pPr>
            <w:r w:rsidRPr="00504627">
              <w:rPr>
                <w:b/>
                <w:bCs/>
                <w:color w:val="000000"/>
                <w:sz w:val="20"/>
                <w:szCs w:val="20"/>
              </w:rPr>
              <w:t>106.27</w:t>
            </w:r>
          </w:p>
        </w:tc>
        <w:tc>
          <w:tcPr>
            <w:tcW w:w="1410" w:type="dxa"/>
            <w:tcBorders>
              <w:top w:val="nil"/>
              <w:left w:val="nil"/>
              <w:right w:val="single" w:sz="8" w:space="0" w:color="448A99"/>
            </w:tcBorders>
            <w:shd w:val="clear" w:color="000000" w:fill="D2EAF1"/>
            <w:noWrap/>
            <w:vAlign w:val="center"/>
            <w:hideMark/>
          </w:tcPr>
          <w:p w:rsidR="00504627" w:rsidRPr="00504627" w:rsidRDefault="00504627" w:rsidP="00504627">
            <w:pPr>
              <w:jc w:val="center"/>
              <w:rPr>
                <w:b/>
                <w:bCs/>
                <w:color w:val="000000"/>
                <w:sz w:val="20"/>
                <w:szCs w:val="20"/>
              </w:rPr>
            </w:pPr>
            <w:r w:rsidRPr="00504627">
              <w:rPr>
                <w:b/>
                <w:bCs/>
                <w:color w:val="000000"/>
                <w:sz w:val="20"/>
                <w:szCs w:val="20"/>
              </w:rPr>
              <w:t>100%</w:t>
            </w:r>
          </w:p>
        </w:tc>
      </w:tr>
      <w:tr w:rsidR="00A874AC" w:rsidRPr="008111EC" w:rsidTr="00D77B11">
        <w:trPr>
          <w:trHeight w:val="315"/>
        </w:trPr>
        <w:tc>
          <w:tcPr>
            <w:tcW w:w="3680" w:type="dxa"/>
            <w:tcBorders>
              <w:top w:val="nil"/>
              <w:left w:val="single" w:sz="8" w:space="0" w:color="448A99"/>
              <w:bottom w:val="single" w:sz="8" w:space="0" w:color="448A99"/>
              <w:right w:val="single" w:sz="8" w:space="0" w:color="448A99"/>
            </w:tcBorders>
            <w:shd w:val="clear" w:color="000000" w:fill="448A99"/>
            <w:noWrap/>
            <w:vAlign w:val="center"/>
          </w:tcPr>
          <w:p w:rsidR="008111EC" w:rsidRPr="008111EC" w:rsidRDefault="006142E6" w:rsidP="008111EC">
            <w:pPr>
              <w:rPr>
                <w:color w:val="FFFFFF" w:themeColor="background1"/>
                <w:sz w:val="18"/>
              </w:rPr>
            </w:pPr>
            <w:r>
              <w:rPr>
                <w:color w:val="FFFFFF" w:themeColor="background1"/>
                <w:sz w:val="18"/>
              </w:rPr>
              <w:t>NOTES:</w:t>
            </w:r>
          </w:p>
          <w:p w:rsidR="003203FA" w:rsidRPr="008111EC" w:rsidRDefault="003203FA" w:rsidP="00504627">
            <w:pPr>
              <w:jc w:val="left"/>
              <w:rPr>
                <w:bCs/>
                <w:color w:val="FFFFFF" w:themeColor="background1"/>
                <w:sz w:val="18"/>
                <w:szCs w:val="20"/>
              </w:rPr>
            </w:pPr>
            <w:r w:rsidRPr="008111EC">
              <w:rPr>
                <w:bCs/>
                <w:color w:val="FFFFFF" w:themeColor="background1"/>
                <w:sz w:val="18"/>
                <w:szCs w:val="20"/>
                <w:vertAlign w:val="superscript"/>
              </w:rPr>
              <w:t>[a]</w:t>
            </w:r>
            <w:r w:rsidRPr="008111EC">
              <w:rPr>
                <w:bCs/>
                <w:color w:val="FFFFFF" w:themeColor="background1"/>
                <w:sz w:val="18"/>
                <w:szCs w:val="20"/>
              </w:rPr>
              <w:t xml:space="preserve"> Adjusted for double-counting</w:t>
            </w:r>
          </w:p>
        </w:tc>
        <w:tc>
          <w:tcPr>
            <w:tcW w:w="1420" w:type="dxa"/>
            <w:tcBorders>
              <w:top w:val="nil"/>
              <w:left w:val="nil"/>
              <w:bottom w:val="single" w:sz="8" w:space="0" w:color="448A99"/>
              <w:right w:val="single" w:sz="8" w:space="0" w:color="448A99"/>
            </w:tcBorders>
            <w:shd w:val="clear" w:color="000000" w:fill="448A99"/>
            <w:vAlign w:val="center"/>
          </w:tcPr>
          <w:p w:rsidR="003203FA" w:rsidRPr="008111EC" w:rsidRDefault="003203FA" w:rsidP="00504627">
            <w:pPr>
              <w:jc w:val="center"/>
              <w:rPr>
                <w:bCs/>
                <w:color w:val="FFFFFF" w:themeColor="background1"/>
                <w:sz w:val="18"/>
                <w:szCs w:val="20"/>
              </w:rPr>
            </w:pPr>
          </w:p>
        </w:tc>
        <w:tc>
          <w:tcPr>
            <w:tcW w:w="1420" w:type="dxa"/>
            <w:tcBorders>
              <w:top w:val="nil"/>
              <w:left w:val="nil"/>
              <w:bottom w:val="single" w:sz="8" w:space="0" w:color="448A99"/>
              <w:right w:val="single" w:sz="8" w:space="0" w:color="448A99"/>
            </w:tcBorders>
            <w:shd w:val="clear" w:color="000000" w:fill="448A99"/>
            <w:noWrap/>
            <w:vAlign w:val="center"/>
          </w:tcPr>
          <w:p w:rsidR="003203FA" w:rsidRPr="008111EC" w:rsidRDefault="003203FA" w:rsidP="00504627">
            <w:pPr>
              <w:jc w:val="center"/>
              <w:rPr>
                <w:bCs/>
                <w:color w:val="FFFFFF" w:themeColor="background1"/>
                <w:sz w:val="18"/>
                <w:szCs w:val="20"/>
              </w:rPr>
            </w:pPr>
          </w:p>
        </w:tc>
        <w:tc>
          <w:tcPr>
            <w:tcW w:w="1420" w:type="dxa"/>
            <w:tcBorders>
              <w:top w:val="nil"/>
              <w:left w:val="nil"/>
              <w:bottom w:val="single" w:sz="8" w:space="0" w:color="448A99"/>
              <w:right w:val="single" w:sz="8" w:space="0" w:color="448A99"/>
            </w:tcBorders>
            <w:shd w:val="clear" w:color="000000" w:fill="448A99"/>
            <w:vAlign w:val="center"/>
          </w:tcPr>
          <w:p w:rsidR="003203FA" w:rsidRPr="008111EC" w:rsidRDefault="003203FA" w:rsidP="00504627">
            <w:pPr>
              <w:jc w:val="center"/>
              <w:rPr>
                <w:bCs/>
                <w:color w:val="FFFFFF" w:themeColor="background1"/>
                <w:sz w:val="18"/>
                <w:szCs w:val="20"/>
              </w:rPr>
            </w:pPr>
          </w:p>
        </w:tc>
        <w:tc>
          <w:tcPr>
            <w:tcW w:w="1410" w:type="dxa"/>
            <w:tcBorders>
              <w:top w:val="nil"/>
              <w:left w:val="nil"/>
              <w:bottom w:val="single" w:sz="8" w:space="0" w:color="448A99"/>
              <w:right w:val="single" w:sz="8" w:space="0" w:color="448A99"/>
            </w:tcBorders>
            <w:shd w:val="clear" w:color="000000" w:fill="448A99"/>
            <w:noWrap/>
            <w:vAlign w:val="center"/>
          </w:tcPr>
          <w:p w:rsidR="003203FA" w:rsidRPr="008111EC" w:rsidRDefault="003203FA" w:rsidP="00504627">
            <w:pPr>
              <w:jc w:val="center"/>
              <w:rPr>
                <w:bCs/>
                <w:color w:val="FFFFFF" w:themeColor="background1"/>
                <w:sz w:val="18"/>
                <w:szCs w:val="20"/>
              </w:rPr>
            </w:pPr>
          </w:p>
        </w:tc>
      </w:tr>
    </w:tbl>
    <w:p w:rsidR="005A27BE" w:rsidRDefault="005A27BE" w:rsidP="005A27BE"/>
    <w:p w:rsidR="00735BA9" w:rsidRDefault="00735BA9" w:rsidP="00D34B3E">
      <w:pPr>
        <w:pStyle w:val="AppendixAHeading3"/>
      </w:pPr>
      <w:r>
        <w:t>PY7 Gross and Net Savings by Sector</w:t>
      </w:r>
    </w:p>
    <w:p w:rsidR="00710D47" w:rsidRDefault="00710D47" w:rsidP="00710D47">
      <w:r w:rsidRPr="00C23348">
        <w:t>The sector-level verified gross and net energy savings achieved in PY7 are provided</w:t>
      </w:r>
      <w:r>
        <w:t xml:space="preserve"> in </w:t>
      </w:r>
      <w:r w:rsidR="008F62F5">
        <w:fldChar w:fldCharType="begin"/>
      </w:r>
      <w:r w:rsidR="008F62F5">
        <w:instrText xml:space="preserve"> REF _Ref472360444 \h </w:instrText>
      </w:r>
      <w:r w:rsidR="008F62F5">
        <w:fldChar w:fldCharType="separate"/>
      </w:r>
      <w:r w:rsidR="00A874AC" w:rsidRPr="00E41D9C">
        <w:t>Table A-</w:t>
      </w:r>
      <w:r w:rsidR="00A874AC">
        <w:rPr>
          <w:noProof/>
        </w:rPr>
        <w:t>136</w:t>
      </w:r>
      <w:r w:rsidR="008F62F5">
        <w:fldChar w:fldCharType="end"/>
      </w:r>
      <w:r>
        <w:t xml:space="preserve"> below. In PY7, the net energy savings were approximately </w:t>
      </w:r>
      <w:r w:rsidRPr="00504627">
        <w:t>75%</w:t>
      </w:r>
      <w:r>
        <w:t xml:space="preserve"> of the gross energy savings.</w:t>
      </w:r>
    </w:p>
    <w:p w:rsidR="00710D47" w:rsidRPr="00C23348" w:rsidRDefault="00710D47" w:rsidP="00710D47"/>
    <w:p w:rsidR="00710D47" w:rsidRDefault="00710D47" w:rsidP="00710D47">
      <w:pPr>
        <w:pStyle w:val="Caption"/>
      </w:pPr>
      <w:bookmarkStart w:id="1269" w:name="_Ref472360444"/>
      <w:bookmarkStart w:id="1270" w:name="_Toc472472545"/>
      <w:bookmarkStart w:id="1271" w:name="_Toc476842251"/>
      <w:r w:rsidRPr="00E41D9C">
        <w:t>Table A-</w:t>
      </w:r>
      <w:fldSimple w:instr=" SEQ Table_A- \* ARABIC ">
        <w:r w:rsidR="00C301D0">
          <w:rPr>
            <w:noProof/>
          </w:rPr>
          <w:t>136</w:t>
        </w:r>
      </w:fldSimple>
      <w:bookmarkEnd w:id="1269"/>
      <w:r w:rsidRPr="00E41D9C">
        <w:t xml:space="preserve">: </w:t>
      </w:r>
      <w:r w:rsidRPr="008B45A8">
        <w:t xml:space="preserve">Summary of </w:t>
      </w:r>
      <w:r w:rsidR="008F62F5">
        <w:t>PPL</w:t>
      </w:r>
      <w:r w:rsidRPr="008B45A8">
        <w:t xml:space="preserve"> EE&amp;C Verified Net Savings – by Sector</w:t>
      </w:r>
      <w:bookmarkEnd w:id="1270"/>
      <w:bookmarkEnd w:id="1271"/>
    </w:p>
    <w:tbl>
      <w:tblPr>
        <w:tblW w:w="9350" w:type="dxa"/>
        <w:tblInd w:w="108" w:type="dxa"/>
        <w:tblLook w:val="04A0" w:firstRow="1" w:lastRow="0" w:firstColumn="1" w:lastColumn="0" w:noHBand="0" w:noVBand="1"/>
      </w:tblPr>
      <w:tblGrid>
        <w:gridCol w:w="1790"/>
        <w:gridCol w:w="1890"/>
        <w:gridCol w:w="1890"/>
        <w:gridCol w:w="1890"/>
        <w:gridCol w:w="1890"/>
      </w:tblGrid>
      <w:tr w:rsidR="00A874AC" w:rsidRPr="00C23348" w:rsidTr="00D77B11">
        <w:trPr>
          <w:trHeight w:val="655"/>
        </w:trPr>
        <w:tc>
          <w:tcPr>
            <w:tcW w:w="1790" w:type="dxa"/>
            <w:tcBorders>
              <w:top w:val="single" w:sz="8" w:space="0" w:color="448A99"/>
              <w:left w:val="single" w:sz="8" w:space="0" w:color="448A99"/>
              <w:bottom w:val="single" w:sz="8" w:space="0" w:color="448A99"/>
              <w:right w:val="single" w:sz="8" w:space="0" w:color="448A99"/>
            </w:tcBorders>
            <w:shd w:val="clear" w:color="000000" w:fill="448A99"/>
            <w:noWrap/>
            <w:vAlign w:val="bottom"/>
            <w:hideMark/>
          </w:tcPr>
          <w:p w:rsidR="00710D47" w:rsidRPr="00C23348" w:rsidRDefault="00710D47" w:rsidP="008111EC">
            <w:pPr>
              <w:rPr>
                <w:b/>
                <w:bCs/>
                <w:color w:val="FFFFFF"/>
                <w:sz w:val="20"/>
                <w:szCs w:val="20"/>
              </w:rPr>
            </w:pPr>
            <w:r w:rsidRPr="00C23348">
              <w:rPr>
                <w:b/>
                <w:bCs/>
                <w:color w:val="FFFFFF"/>
                <w:sz w:val="20"/>
                <w:szCs w:val="20"/>
              </w:rPr>
              <w:t>Sector</w:t>
            </w:r>
          </w:p>
        </w:tc>
        <w:tc>
          <w:tcPr>
            <w:tcW w:w="189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8111EC">
            <w:pPr>
              <w:jc w:val="center"/>
              <w:rPr>
                <w:b/>
                <w:bCs/>
                <w:color w:val="FFFFFF"/>
                <w:sz w:val="20"/>
                <w:szCs w:val="20"/>
              </w:rPr>
            </w:pPr>
            <w:r w:rsidRPr="00C23348">
              <w:rPr>
                <w:b/>
                <w:bCs/>
                <w:color w:val="FFFFFF"/>
                <w:sz w:val="20"/>
                <w:szCs w:val="20"/>
              </w:rPr>
              <w:t>PY7 VG Savings (MWh/yr)</w:t>
            </w:r>
          </w:p>
        </w:tc>
        <w:tc>
          <w:tcPr>
            <w:tcW w:w="189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8111EC">
            <w:pPr>
              <w:jc w:val="center"/>
              <w:rPr>
                <w:b/>
                <w:bCs/>
                <w:color w:val="FFFFFF"/>
                <w:sz w:val="20"/>
                <w:szCs w:val="20"/>
              </w:rPr>
            </w:pPr>
            <w:r w:rsidRPr="00C23348">
              <w:rPr>
                <w:b/>
                <w:bCs/>
                <w:color w:val="FFFFFF"/>
                <w:sz w:val="20"/>
                <w:szCs w:val="20"/>
              </w:rPr>
              <w:t>PY7 Verified Net Savings (MWh/yr)</w:t>
            </w:r>
          </w:p>
        </w:tc>
        <w:tc>
          <w:tcPr>
            <w:tcW w:w="189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8111EC">
            <w:pPr>
              <w:jc w:val="center"/>
              <w:rPr>
                <w:b/>
                <w:bCs/>
                <w:color w:val="FFFFFF"/>
                <w:sz w:val="20"/>
                <w:szCs w:val="20"/>
              </w:rPr>
            </w:pPr>
            <w:r w:rsidRPr="00C23348">
              <w:rPr>
                <w:b/>
                <w:bCs/>
                <w:color w:val="FFFFFF"/>
                <w:sz w:val="20"/>
                <w:szCs w:val="20"/>
              </w:rPr>
              <w:t>Phase II VG Savings (MWh/yr)</w:t>
            </w:r>
          </w:p>
        </w:tc>
        <w:tc>
          <w:tcPr>
            <w:tcW w:w="1890" w:type="dxa"/>
            <w:tcBorders>
              <w:top w:val="single" w:sz="8" w:space="0" w:color="448A99"/>
              <w:left w:val="nil"/>
              <w:bottom w:val="single" w:sz="8" w:space="0" w:color="448A99"/>
              <w:right w:val="single" w:sz="8" w:space="0" w:color="448A99"/>
            </w:tcBorders>
            <w:shd w:val="clear" w:color="000000" w:fill="448A99"/>
            <w:vAlign w:val="bottom"/>
            <w:hideMark/>
          </w:tcPr>
          <w:p w:rsidR="00710D47" w:rsidRPr="00C23348" w:rsidRDefault="00710D47" w:rsidP="008111EC">
            <w:pPr>
              <w:jc w:val="center"/>
              <w:rPr>
                <w:b/>
                <w:bCs/>
                <w:color w:val="FFFFFF"/>
                <w:sz w:val="20"/>
                <w:szCs w:val="20"/>
              </w:rPr>
            </w:pPr>
            <w:r w:rsidRPr="00C23348">
              <w:rPr>
                <w:b/>
                <w:bCs/>
                <w:color w:val="FFFFFF"/>
                <w:sz w:val="20"/>
                <w:szCs w:val="20"/>
              </w:rPr>
              <w:t>Phase II Verified Net Savings (MWh/yr)</w:t>
            </w:r>
          </w:p>
        </w:tc>
      </w:tr>
      <w:tr w:rsidR="003203FA" w:rsidRPr="00C23348" w:rsidTr="00D77B11">
        <w:trPr>
          <w:trHeight w:val="360"/>
        </w:trPr>
        <w:tc>
          <w:tcPr>
            <w:tcW w:w="1790" w:type="dxa"/>
            <w:tcBorders>
              <w:top w:val="nil"/>
              <w:left w:val="single" w:sz="8" w:space="0" w:color="448A99"/>
              <w:bottom w:val="single" w:sz="8" w:space="0" w:color="448A99"/>
              <w:right w:val="single" w:sz="8" w:space="0" w:color="448A99"/>
            </w:tcBorders>
            <w:shd w:val="clear" w:color="auto" w:fill="auto"/>
            <w:noWrap/>
            <w:vAlign w:val="center"/>
          </w:tcPr>
          <w:p w:rsidR="003203FA" w:rsidRPr="00C23348" w:rsidRDefault="003203FA" w:rsidP="003203FA">
            <w:pPr>
              <w:jc w:val="left"/>
              <w:rPr>
                <w:color w:val="000000"/>
                <w:sz w:val="20"/>
                <w:szCs w:val="20"/>
              </w:rPr>
            </w:pPr>
            <w:r>
              <w:rPr>
                <w:color w:val="000000"/>
                <w:sz w:val="20"/>
                <w:szCs w:val="20"/>
              </w:rPr>
              <w:t>Residential</w:t>
            </w:r>
          </w:p>
        </w:tc>
        <w:tc>
          <w:tcPr>
            <w:tcW w:w="1890" w:type="dxa"/>
            <w:tcBorders>
              <w:top w:val="nil"/>
              <w:left w:val="nil"/>
              <w:bottom w:val="single" w:sz="8" w:space="0" w:color="448A99"/>
              <w:right w:val="single" w:sz="8" w:space="0" w:color="448A99"/>
            </w:tcBorders>
            <w:shd w:val="clear" w:color="auto" w:fill="auto"/>
            <w:vAlign w:val="center"/>
          </w:tcPr>
          <w:p w:rsidR="003203FA" w:rsidRPr="00C23348" w:rsidRDefault="003203FA" w:rsidP="003203FA">
            <w:pPr>
              <w:jc w:val="center"/>
              <w:rPr>
                <w:color w:val="000000"/>
                <w:sz w:val="20"/>
                <w:szCs w:val="20"/>
              </w:rPr>
            </w:pPr>
            <w:r>
              <w:rPr>
                <w:color w:val="000000"/>
                <w:sz w:val="20"/>
                <w:szCs w:val="20"/>
              </w:rPr>
              <w:t>128,417</w:t>
            </w:r>
          </w:p>
        </w:tc>
        <w:tc>
          <w:tcPr>
            <w:tcW w:w="1890" w:type="dxa"/>
            <w:tcBorders>
              <w:top w:val="nil"/>
              <w:left w:val="nil"/>
              <w:bottom w:val="single" w:sz="8" w:space="0" w:color="448A99"/>
              <w:right w:val="single" w:sz="8" w:space="0" w:color="448A99"/>
            </w:tcBorders>
            <w:shd w:val="clear" w:color="auto" w:fill="auto"/>
            <w:vAlign w:val="center"/>
          </w:tcPr>
          <w:p w:rsidR="003203FA" w:rsidRPr="00C23348" w:rsidRDefault="003203FA" w:rsidP="003203FA">
            <w:pPr>
              <w:jc w:val="center"/>
              <w:rPr>
                <w:color w:val="000000"/>
                <w:sz w:val="20"/>
                <w:szCs w:val="20"/>
              </w:rPr>
            </w:pPr>
            <w:r>
              <w:rPr>
                <w:color w:val="000000"/>
                <w:sz w:val="20"/>
                <w:szCs w:val="20"/>
              </w:rPr>
              <w:t>99,073</w:t>
            </w:r>
          </w:p>
        </w:tc>
        <w:tc>
          <w:tcPr>
            <w:tcW w:w="1890" w:type="dxa"/>
            <w:tcBorders>
              <w:top w:val="nil"/>
              <w:left w:val="nil"/>
              <w:bottom w:val="single" w:sz="8" w:space="0" w:color="448A99"/>
              <w:right w:val="single" w:sz="8" w:space="0" w:color="448A99"/>
            </w:tcBorders>
            <w:shd w:val="clear" w:color="auto" w:fill="auto"/>
            <w:vAlign w:val="center"/>
          </w:tcPr>
          <w:p w:rsidR="003203FA" w:rsidRPr="00C23348" w:rsidRDefault="003203FA" w:rsidP="003203FA">
            <w:pPr>
              <w:jc w:val="center"/>
              <w:rPr>
                <w:color w:val="000000"/>
                <w:sz w:val="20"/>
                <w:szCs w:val="20"/>
              </w:rPr>
            </w:pPr>
            <w:r>
              <w:rPr>
                <w:color w:val="000000"/>
                <w:sz w:val="20"/>
                <w:szCs w:val="20"/>
              </w:rPr>
              <w:t>270,117</w:t>
            </w:r>
          </w:p>
        </w:tc>
        <w:tc>
          <w:tcPr>
            <w:tcW w:w="1890" w:type="dxa"/>
            <w:tcBorders>
              <w:top w:val="nil"/>
              <w:left w:val="nil"/>
              <w:bottom w:val="single" w:sz="8" w:space="0" w:color="448A99"/>
              <w:right w:val="single" w:sz="8" w:space="0" w:color="448A99"/>
            </w:tcBorders>
            <w:shd w:val="clear" w:color="auto" w:fill="auto"/>
            <w:vAlign w:val="center"/>
          </w:tcPr>
          <w:p w:rsidR="003203FA" w:rsidRPr="00C23348" w:rsidRDefault="003203FA" w:rsidP="003203FA">
            <w:pPr>
              <w:jc w:val="center"/>
              <w:rPr>
                <w:color w:val="000000"/>
                <w:sz w:val="20"/>
                <w:szCs w:val="20"/>
              </w:rPr>
            </w:pPr>
            <w:r>
              <w:rPr>
                <w:color w:val="000000"/>
                <w:sz w:val="20"/>
                <w:szCs w:val="20"/>
              </w:rPr>
              <w:t>213,224</w:t>
            </w:r>
          </w:p>
        </w:tc>
      </w:tr>
      <w:tr w:rsidR="00A874AC" w:rsidRPr="00C23348" w:rsidTr="00D77B11">
        <w:trPr>
          <w:trHeight w:val="360"/>
        </w:trPr>
        <w:tc>
          <w:tcPr>
            <w:tcW w:w="1790" w:type="dxa"/>
            <w:tcBorders>
              <w:top w:val="nil"/>
              <w:left w:val="single" w:sz="8" w:space="0" w:color="448A99"/>
              <w:bottom w:val="single" w:sz="8" w:space="0" w:color="448A99"/>
              <w:right w:val="single" w:sz="8" w:space="0" w:color="448A99"/>
            </w:tcBorders>
            <w:shd w:val="clear" w:color="000000" w:fill="D2EAF1"/>
            <w:noWrap/>
            <w:vAlign w:val="center"/>
          </w:tcPr>
          <w:p w:rsidR="003203FA" w:rsidRPr="00C23348" w:rsidRDefault="003203FA" w:rsidP="003203FA">
            <w:pPr>
              <w:jc w:val="left"/>
              <w:rPr>
                <w:color w:val="000000"/>
                <w:sz w:val="20"/>
                <w:szCs w:val="20"/>
              </w:rPr>
            </w:pPr>
            <w:r>
              <w:rPr>
                <w:color w:val="000000"/>
                <w:sz w:val="20"/>
                <w:szCs w:val="20"/>
              </w:rPr>
              <w:t>C/I</w:t>
            </w:r>
          </w:p>
        </w:tc>
        <w:tc>
          <w:tcPr>
            <w:tcW w:w="1890" w:type="dxa"/>
            <w:tcBorders>
              <w:top w:val="nil"/>
              <w:left w:val="nil"/>
              <w:bottom w:val="single" w:sz="8" w:space="0" w:color="448A99"/>
              <w:right w:val="single" w:sz="8" w:space="0" w:color="448A99"/>
            </w:tcBorders>
            <w:shd w:val="clear" w:color="000000" w:fill="D2EAF1"/>
            <w:vAlign w:val="center"/>
          </w:tcPr>
          <w:p w:rsidR="003203FA" w:rsidRPr="00C23348" w:rsidRDefault="003203FA" w:rsidP="003203FA">
            <w:pPr>
              <w:jc w:val="center"/>
              <w:rPr>
                <w:color w:val="000000"/>
                <w:sz w:val="20"/>
                <w:szCs w:val="20"/>
              </w:rPr>
            </w:pPr>
            <w:r>
              <w:rPr>
                <w:color w:val="000000"/>
                <w:sz w:val="20"/>
                <w:szCs w:val="20"/>
              </w:rPr>
              <w:t>141,900</w:t>
            </w:r>
          </w:p>
        </w:tc>
        <w:tc>
          <w:tcPr>
            <w:tcW w:w="1890" w:type="dxa"/>
            <w:tcBorders>
              <w:top w:val="nil"/>
              <w:left w:val="nil"/>
              <w:bottom w:val="single" w:sz="8" w:space="0" w:color="448A99"/>
              <w:right w:val="single" w:sz="8" w:space="0" w:color="448A99"/>
            </w:tcBorders>
            <w:shd w:val="clear" w:color="000000" w:fill="D2EAF1"/>
            <w:vAlign w:val="center"/>
          </w:tcPr>
          <w:p w:rsidR="003203FA" w:rsidRPr="00C23348" w:rsidRDefault="003203FA" w:rsidP="003203FA">
            <w:pPr>
              <w:jc w:val="center"/>
              <w:rPr>
                <w:color w:val="000000"/>
                <w:sz w:val="20"/>
                <w:szCs w:val="20"/>
              </w:rPr>
            </w:pPr>
            <w:r>
              <w:rPr>
                <w:color w:val="000000"/>
                <w:sz w:val="20"/>
                <w:szCs w:val="20"/>
              </w:rPr>
              <w:t>102,732</w:t>
            </w:r>
          </w:p>
        </w:tc>
        <w:tc>
          <w:tcPr>
            <w:tcW w:w="1890" w:type="dxa"/>
            <w:tcBorders>
              <w:top w:val="nil"/>
              <w:left w:val="nil"/>
              <w:bottom w:val="single" w:sz="8" w:space="0" w:color="448A99"/>
              <w:right w:val="single" w:sz="8" w:space="0" w:color="448A99"/>
            </w:tcBorders>
            <w:shd w:val="clear" w:color="000000" w:fill="D2EAF1"/>
            <w:vAlign w:val="center"/>
          </w:tcPr>
          <w:p w:rsidR="003203FA" w:rsidRPr="00C23348" w:rsidRDefault="003203FA" w:rsidP="003203FA">
            <w:pPr>
              <w:jc w:val="center"/>
              <w:rPr>
                <w:color w:val="000000"/>
                <w:sz w:val="20"/>
                <w:szCs w:val="20"/>
              </w:rPr>
            </w:pPr>
            <w:r>
              <w:rPr>
                <w:color w:val="000000"/>
                <w:sz w:val="20"/>
                <w:szCs w:val="20"/>
              </w:rPr>
              <w:t>335,372</w:t>
            </w:r>
          </w:p>
        </w:tc>
        <w:tc>
          <w:tcPr>
            <w:tcW w:w="1890" w:type="dxa"/>
            <w:tcBorders>
              <w:top w:val="nil"/>
              <w:left w:val="nil"/>
              <w:bottom w:val="single" w:sz="8" w:space="0" w:color="448A99"/>
              <w:right w:val="single" w:sz="8" w:space="0" w:color="448A99"/>
            </w:tcBorders>
            <w:shd w:val="clear" w:color="000000" w:fill="D2EAF1"/>
            <w:vAlign w:val="center"/>
          </w:tcPr>
          <w:p w:rsidR="003203FA" w:rsidRPr="00C23348" w:rsidRDefault="003203FA" w:rsidP="003203FA">
            <w:pPr>
              <w:jc w:val="center"/>
              <w:rPr>
                <w:color w:val="000000"/>
                <w:sz w:val="20"/>
                <w:szCs w:val="20"/>
              </w:rPr>
            </w:pPr>
            <w:r>
              <w:rPr>
                <w:color w:val="000000"/>
                <w:sz w:val="20"/>
                <w:szCs w:val="20"/>
              </w:rPr>
              <w:t>253,580</w:t>
            </w:r>
          </w:p>
        </w:tc>
      </w:tr>
      <w:tr w:rsidR="003203FA" w:rsidRPr="00C23348" w:rsidTr="00D77B11">
        <w:trPr>
          <w:trHeight w:val="360"/>
        </w:trPr>
        <w:tc>
          <w:tcPr>
            <w:tcW w:w="1790" w:type="dxa"/>
            <w:tcBorders>
              <w:top w:val="nil"/>
              <w:left w:val="single" w:sz="8" w:space="0" w:color="448A99"/>
              <w:bottom w:val="single" w:sz="8" w:space="0" w:color="448A99"/>
              <w:right w:val="single" w:sz="8" w:space="0" w:color="448A99"/>
            </w:tcBorders>
            <w:shd w:val="clear" w:color="auto" w:fill="auto"/>
            <w:noWrap/>
            <w:vAlign w:val="center"/>
          </w:tcPr>
          <w:p w:rsidR="003203FA" w:rsidRPr="00C23348" w:rsidRDefault="003203FA" w:rsidP="003203FA">
            <w:pPr>
              <w:jc w:val="left"/>
              <w:rPr>
                <w:color w:val="000000"/>
                <w:sz w:val="20"/>
                <w:szCs w:val="20"/>
              </w:rPr>
            </w:pPr>
            <w:r>
              <w:rPr>
                <w:color w:val="000000"/>
                <w:sz w:val="20"/>
                <w:szCs w:val="20"/>
              </w:rPr>
              <w:t>GNI</w:t>
            </w:r>
          </w:p>
        </w:tc>
        <w:tc>
          <w:tcPr>
            <w:tcW w:w="1890" w:type="dxa"/>
            <w:tcBorders>
              <w:top w:val="nil"/>
              <w:left w:val="nil"/>
              <w:bottom w:val="single" w:sz="8" w:space="0" w:color="448A99"/>
              <w:right w:val="single" w:sz="8" w:space="0" w:color="448A99"/>
            </w:tcBorders>
            <w:shd w:val="clear" w:color="auto" w:fill="auto"/>
            <w:vAlign w:val="center"/>
          </w:tcPr>
          <w:p w:rsidR="003203FA" w:rsidRPr="00C23348" w:rsidRDefault="003203FA" w:rsidP="003203FA">
            <w:pPr>
              <w:jc w:val="center"/>
              <w:rPr>
                <w:color w:val="000000"/>
                <w:sz w:val="20"/>
                <w:szCs w:val="20"/>
              </w:rPr>
            </w:pPr>
            <w:r>
              <w:rPr>
                <w:color w:val="000000"/>
                <w:sz w:val="20"/>
                <w:szCs w:val="20"/>
              </w:rPr>
              <w:t>47,044</w:t>
            </w:r>
          </w:p>
        </w:tc>
        <w:tc>
          <w:tcPr>
            <w:tcW w:w="1890" w:type="dxa"/>
            <w:tcBorders>
              <w:top w:val="nil"/>
              <w:left w:val="nil"/>
              <w:bottom w:val="single" w:sz="8" w:space="0" w:color="448A99"/>
              <w:right w:val="single" w:sz="8" w:space="0" w:color="448A99"/>
            </w:tcBorders>
            <w:shd w:val="clear" w:color="auto" w:fill="auto"/>
            <w:vAlign w:val="center"/>
          </w:tcPr>
          <w:p w:rsidR="003203FA" w:rsidRPr="00C23348" w:rsidRDefault="003203FA" w:rsidP="003203FA">
            <w:pPr>
              <w:jc w:val="center"/>
              <w:rPr>
                <w:color w:val="000000"/>
                <w:sz w:val="20"/>
                <w:szCs w:val="20"/>
              </w:rPr>
            </w:pPr>
            <w:r>
              <w:rPr>
                <w:color w:val="000000"/>
                <w:sz w:val="20"/>
                <w:szCs w:val="20"/>
              </w:rPr>
              <w:t>36,207</w:t>
            </w:r>
          </w:p>
        </w:tc>
        <w:tc>
          <w:tcPr>
            <w:tcW w:w="1890" w:type="dxa"/>
            <w:tcBorders>
              <w:top w:val="nil"/>
              <w:left w:val="nil"/>
              <w:bottom w:val="single" w:sz="8" w:space="0" w:color="448A99"/>
              <w:right w:val="single" w:sz="8" w:space="0" w:color="448A99"/>
            </w:tcBorders>
            <w:shd w:val="clear" w:color="auto" w:fill="auto"/>
            <w:vAlign w:val="center"/>
          </w:tcPr>
          <w:p w:rsidR="003203FA" w:rsidRPr="00C23348" w:rsidRDefault="003203FA" w:rsidP="003203FA">
            <w:pPr>
              <w:jc w:val="center"/>
              <w:rPr>
                <w:color w:val="000000"/>
                <w:sz w:val="20"/>
                <w:szCs w:val="20"/>
              </w:rPr>
            </w:pPr>
            <w:r>
              <w:rPr>
                <w:color w:val="000000"/>
                <w:sz w:val="20"/>
                <w:szCs w:val="20"/>
              </w:rPr>
              <w:t>93,248</w:t>
            </w:r>
          </w:p>
        </w:tc>
        <w:tc>
          <w:tcPr>
            <w:tcW w:w="1890" w:type="dxa"/>
            <w:tcBorders>
              <w:top w:val="nil"/>
              <w:left w:val="nil"/>
              <w:bottom w:val="single" w:sz="8" w:space="0" w:color="448A99"/>
              <w:right w:val="single" w:sz="8" w:space="0" w:color="448A99"/>
            </w:tcBorders>
            <w:shd w:val="clear" w:color="auto" w:fill="auto"/>
            <w:vAlign w:val="center"/>
          </w:tcPr>
          <w:p w:rsidR="003203FA" w:rsidRPr="00C23348" w:rsidRDefault="003203FA" w:rsidP="003203FA">
            <w:pPr>
              <w:jc w:val="center"/>
              <w:rPr>
                <w:color w:val="000000"/>
                <w:sz w:val="20"/>
                <w:szCs w:val="20"/>
              </w:rPr>
            </w:pPr>
            <w:r>
              <w:rPr>
                <w:color w:val="000000"/>
                <w:sz w:val="20"/>
                <w:szCs w:val="20"/>
              </w:rPr>
              <w:t>75,008</w:t>
            </w:r>
          </w:p>
        </w:tc>
      </w:tr>
      <w:tr w:rsidR="00A874AC" w:rsidRPr="00C23348" w:rsidTr="00D77B11">
        <w:trPr>
          <w:trHeight w:val="360"/>
        </w:trPr>
        <w:tc>
          <w:tcPr>
            <w:tcW w:w="1790" w:type="dxa"/>
            <w:tcBorders>
              <w:top w:val="nil"/>
              <w:left w:val="single" w:sz="8" w:space="0" w:color="448A99"/>
              <w:bottom w:val="single" w:sz="8" w:space="0" w:color="448A99"/>
              <w:right w:val="single" w:sz="8" w:space="0" w:color="448A99"/>
            </w:tcBorders>
            <w:shd w:val="clear" w:color="000000" w:fill="D2EAF1"/>
            <w:noWrap/>
            <w:vAlign w:val="center"/>
          </w:tcPr>
          <w:p w:rsidR="003203FA" w:rsidRPr="00C23348" w:rsidRDefault="003203FA" w:rsidP="003203FA">
            <w:pPr>
              <w:jc w:val="left"/>
              <w:rPr>
                <w:b/>
                <w:bCs/>
                <w:i/>
                <w:iCs/>
                <w:color w:val="000000"/>
                <w:sz w:val="20"/>
                <w:szCs w:val="20"/>
              </w:rPr>
            </w:pPr>
            <w:r>
              <w:rPr>
                <w:b/>
                <w:bCs/>
                <w:i/>
                <w:iCs/>
                <w:color w:val="000000"/>
                <w:sz w:val="20"/>
                <w:szCs w:val="20"/>
              </w:rPr>
              <w:t>Total Portfolio</w:t>
            </w:r>
          </w:p>
        </w:tc>
        <w:tc>
          <w:tcPr>
            <w:tcW w:w="1890" w:type="dxa"/>
            <w:tcBorders>
              <w:top w:val="nil"/>
              <w:left w:val="nil"/>
              <w:bottom w:val="single" w:sz="8" w:space="0" w:color="448A99"/>
              <w:right w:val="single" w:sz="8" w:space="0" w:color="448A99"/>
            </w:tcBorders>
            <w:shd w:val="clear" w:color="000000" w:fill="D2EAF1"/>
            <w:vAlign w:val="center"/>
          </w:tcPr>
          <w:p w:rsidR="003203FA" w:rsidRPr="00C23348" w:rsidRDefault="003203FA" w:rsidP="003203FA">
            <w:pPr>
              <w:jc w:val="center"/>
              <w:rPr>
                <w:b/>
                <w:bCs/>
                <w:i/>
                <w:iCs/>
                <w:color w:val="000000"/>
                <w:sz w:val="20"/>
                <w:szCs w:val="20"/>
              </w:rPr>
            </w:pPr>
            <w:r>
              <w:rPr>
                <w:b/>
                <w:bCs/>
                <w:i/>
                <w:iCs/>
                <w:color w:val="000000"/>
                <w:sz w:val="20"/>
                <w:szCs w:val="20"/>
              </w:rPr>
              <w:t>317,361</w:t>
            </w:r>
          </w:p>
        </w:tc>
        <w:tc>
          <w:tcPr>
            <w:tcW w:w="1890" w:type="dxa"/>
            <w:tcBorders>
              <w:top w:val="nil"/>
              <w:left w:val="nil"/>
              <w:bottom w:val="single" w:sz="8" w:space="0" w:color="448A99"/>
              <w:right w:val="single" w:sz="8" w:space="0" w:color="448A99"/>
            </w:tcBorders>
            <w:shd w:val="clear" w:color="000000" w:fill="D2EAF1"/>
            <w:vAlign w:val="center"/>
          </w:tcPr>
          <w:p w:rsidR="003203FA" w:rsidRPr="00C23348" w:rsidRDefault="003203FA" w:rsidP="003203FA">
            <w:pPr>
              <w:jc w:val="center"/>
              <w:rPr>
                <w:b/>
                <w:bCs/>
                <w:i/>
                <w:iCs/>
                <w:color w:val="000000"/>
                <w:sz w:val="20"/>
                <w:szCs w:val="20"/>
              </w:rPr>
            </w:pPr>
            <w:r>
              <w:rPr>
                <w:b/>
                <w:bCs/>
                <w:i/>
                <w:iCs/>
                <w:color w:val="000000"/>
                <w:sz w:val="20"/>
                <w:szCs w:val="20"/>
              </w:rPr>
              <w:t>238,012</w:t>
            </w:r>
          </w:p>
        </w:tc>
        <w:tc>
          <w:tcPr>
            <w:tcW w:w="1890" w:type="dxa"/>
            <w:tcBorders>
              <w:top w:val="nil"/>
              <w:left w:val="nil"/>
              <w:bottom w:val="single" w:sz="8" w:space="0" w:color="448A99"/>
              <w:right w:val="single" w:sz="8" w:space="0" w:color="448A99"/>
            </w:tcBorders>
            <w:shd w:val="clear" w:color="000000" w:fill="D2EAF1"/>
            <w:vAlign w:val="center"/>
          </w:tcPr>
          <w:p w:rsidR="003203FA" w:rsidRPr="00C23348" w:rsidRDefault="003203FA" w:rsidP="003203FA">
            <w:pPr>
              <w:jc w:val="center"/>
              <w:rPr>
                <w:b/>
                <w:bCs/>
                <w:i/>
                <w:iCs/>
                <w:color w:val="000000"/>
                <w:sz w:val="20"/>
                <w:szCs w:val="20"/>
              </w:rPr>
            </w:pPr>
            <w:r>
              <w:rPr>
                <w:b/>
                <w:bCs/>
                <w:i/>
                <w:iCs/>
                <w:color w:val="000000"/>
                <w:sz w:val="20"/>
                <w:szCs w:val="20"/>
              </w:rPr>
              <w:t>698,736</w:t>
            </w:r>
          </w:p>
        </w:tc>
        <w:tc>
          <w:tcPr>
            <w:tcW w:w="1890" w:type="dxa"/>
            <w:tcBorders>
              <w:top w:val="nil"/>
              <w:left w:val="nil"/>
              <w:bottom w:val="single" w:sz="8" w:space="0" w:color="448A99"/>
              <w:right w:val="single" w:sz="8" w:space="0" w:color="448A99"/>
            </w:tcBorders>
            <w:shd w:val="clear" w:color="000000" w:fill="D2EAF1"/>
            <w:vAlign w:val="center"/>
          </w:tcPr>
          <w:p w:rsidR="003203FA" w:rsidRPr="00C23348" w:rsidRDefault="003203FA" w:rsidP="003203FA">
            <w:pPr>
              <w:jc w:val="center"/>
              <w:rPr>
                <w:b/>
                <w:bCs/>
                <w:i/>
                <w:iCs/>
                <w:color w:val="000000"/>
                <w:sz w:val="20"/>
                <w:szCs w:val="20"/>
              </w:rPr>
            </w:pPr>
            <w:r>
              <w:rPr>
                <w:b/>
                <w:bCs/>
                <w:i/>
                <w:iCs/>
                <w:color w:val="000000"/>
                <w:sz w:val="20"/>
                <w:szCs w:val="20"/>
              </w:rPr>
              <w:t>541,813</w:t>
            </w:r>
          </w:p>
        </w:tc>
      </w:tr>
    </w:tbl>
    <w:p w:rsidR="00710D47" w:rsidRPr="008111EC" w:rsidRDefault="00710D47" w:rsidP="008111EC"/>
    <w:p w:rsidR="00950837" w:rsidRDefault="00950837" w:rsidP="0043541C">
      <w:pPr>
        <w:pStyle w:val="AppendixAHeading2"/>
      </w:pPr>
      <w:r>
        <w:t>Total Resource Cost Test</w:t>
      </w:r>
    </w:p>
    <w:p w:rsidR="00873770" w:rsidRDefault="00873770" w:rsidP="00873770">
      <w:r>
        <w:fldChar w:fldCharType="begin"/>
      </w:r>
      <w:r>
        <w:instrText xml:space="preserve"> REF _Ref472447312 \h </w:instrText>
      </w:r>
      <w:r>
        <w:fldChar w:fldCharType="separate"/>
      </w:r>
      <w:r w:rsidR="00C301D0">
        <w:t>Table A-</w:t>
      </w:r>
      <w:r w:rsidR="00C301D0">
        <w:rPr>
          <w:noProof/>
        </w:rPr>
        <w:t>137</w:t>
      </w:r>
      <w:r>
        <w:fldChar w:fldCharType="end"/>
      </w:r>
      <w:r w:rsidR="009E77FB">
        <w:t xml:space="preserve"> </w:t>
      </w:r>
      <w:r w:rsidRPr="00873770">
        <w:t xml:space="preserve">presents TRC NPV benefits, TRC NPV costs, present value of net benefits, and TRC ratio for PPL’s PY7 individual programs and total portfolio. The SWE found no initial inconsistencies between the TRC model outputs and the TRC results shown in the PY7 </w:t>
      </w:r>
      <w:r w:rsidR="001C055E">
        <w:t>a</w:t>
      </w:r>
      <w:r w:rsidRPr="00873770">
        <w:t xml:space="preserve">nnual </w:t>
      </w:r>
      <w:r w:rsidR="001C055E">
        <w:t>r</w:t>
      </w:r>
      <w:r w:rsidRPr="00873770">
        <w:t>eport.</w:t>
      </w:r>
    </w:p>
    <w:p w:rsidR="008111EC" w:rsidRDefault="008111EC" w:rsidP="00873770"/>
    <w:p w:rsidR="00873770" w:rsidRDefault="00873770" w:rsidP="00873770">
      <w:pPr>
        <w:pStyle w:val="Caption"/>
      </w:pPr>
      <w:bookmarkStart w:id="1272" w:name="_Ref472447312"/>
      <w:bookmarkStart w:id="1273" w:name="_Toc472472546"/>
      <w:bookmarkStart w:id="1274" w:name="_Toc476842252"/>
      <w:r>
        <w:t>Table A-</w:t>
      </w:r>
      <w:fldSimple w:instr=" SEQ Table_A- \* ARABIC ">
        <w:r w:rsidR="00C301D0">
          <w:rPr>
            <w:noProof/>
          </w:rPr>
          <w:t>137</w:t>
        </w:r>
      </w:fldSimple>
      <w:bookmarkEnd w:id="1272"/>
      <w:r>
        <w:t xml:space="preserve">: </w:t>
      </w:r>
      <w:r w:rsidRPr="00873770">
        <w:t>Summary of PPL’s PY</w:t>
      </w:r>
      <w:r>
        <w:t>7</w:t>
      </w:r>
      <w:r w:rsidRPr="00873770">
        <w:t xml:space="preserve"> TRC Factors and Results</w:t>
      </w:r>
      <w:bookmarkEnd w:id="1273"/>
      <w:bookmarkEnd w:id="1274"/>
    </w:p>
    <w:tbl>
      <w:tblPr>
        <w:tblW w:w="9360" w:type="dxa"/>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600"/>
        <w:gridCol w:w="1620"/>
        <w:gridCol w:w="1620"/>
        <w:gridCol w:w="1620"/>
        <w:gridCol w:w="900"/>
      </w:tblGrid>
      <w:tr w:rsidR="00A874AC" w:rsidRPr="00873770" w:rsidTr="00D77B11">
        <w:trPr>
          <w:trHeight w:val="765"/>
          <w:tblHeader/>
        </w:trPr>
        <w:tc>
          <w:tcPr>
            <w:tcW w:w="3600" w:type="dxa"/>
            <w:shd w:val="clear" w:color="000000" w:fill="448A99"/>
            <w:noWrap/>
            <w:vAlign w:val="bottom"/>
            <w:hideMark/>
          </w:tcPr>
          <w:p w:rsidR="00873770" w:rsidRPr="00873770" w:rsidRDefault="00873770" w:rsidP="00873770">
            <w:pPr>
              <w:jc w:val="left"/>
              <w:rPr>
                <w:b/>
                <w:bCs/>
                <w:color w:val="FFFFFF"/>
                <w:sz w:val="20"/>
                <w:szCs w:val="18"/>
              </w:rPr>
            </w:pPr>
            <w:r w:rsidRPr="00873770">
              <w:rPr>
                <w:b/>
                <w:bCs/>
                <w:color w:val="FFFFFF"/>
                <w:sz w:val="20"/>
                <w:szCs w:val="18"/>
              </w:rPr>
              <w:t>Program</w:t>
            </w:r>
          </w:p>
        </w:tc>
        <w:tc>
          <w:tcPr>
            <w:tcW w:w="1620" w:type="dxa"/>
            <w:shd w:val="clear" w:color="000000" w:fill="448A99"/>
            <w:vAlign w:val="bottom"/>
            <w:hideMark/>
          </w:tcPr>
          <w:p w:rsidR="00873770" w:rsidRPr="00873770" w:rsidRDefault="00873770" w:rsidP="00873770">
            <w:pPr>
              <w:jc w:val="center"/>
              <w:rPr>
                <w:b/>
                <w:bCs/>
                <w:color w:val="FFFFFF"/>
                <w:sz w:val="20"/>
                <w:szCs w:val="20"/>
              </w:rPr>
            </w:pPr>
            <w:r w:rsidRPr="00873770">
              <w:rPr>
                <w:b/>
                <w:bCs/>
                <w:color w:val="FFFFFF"/>
                <w:sz w:val="20"/>
                <w:szCs w:val="20"/>
              </w:rPr>
              <w:t>TRC NPV Benefits</w:t>
            </w:r>
          </w:p>
          <w:p w:rsidR="00873770" w:rsidRPr="00873770" w:rsidRDefault="00873770" w:rsidP="00873770">
            <w:pPr>
              <w:jc w:val="center"/>
              <w:rPr>
                <w:rFonts w:eastAsia="Calibri"/>
                <w:b/>
                <w:bCs/>
                <w:color w:val="FFFFFF"/>
                <w:sz w:val="20"/>
                <w:szCs w:val="18"/>
              </w:rPr>
            </w:pPr>
            <w:r w:rsidRPr="00873770">
              <w:rPr>
                <w:b/>
                <w:bCs/>
                <w:color w:val="FFFFFF"/>
                <w:sz w:val="20"/>
                <w:szCs w:val="20"/>
              </w:rPr>
              <w:t>($)</w:t>
            </w:r>
          </w:p>
        </w:tc>
        <w:tc>
          <w:tcPr>
            <w:tcW w:w="1620" w:type="dxa"/>
            <w:shd w:val="clear" w:color="000000" w:fill="448A99"/>
            <w:vAlign w:val="bottom"/>
            <w:hideMark/>
          </w:tcPr>
          <w:p w:rsidR="00873770" w:rsidRPr="00873770" w:rsidRDefault="00873770" w:rsidP="00873770">
            <w:pPr>
              <w:jc w:val="center"/>
              <w:rPr>
                <w:rFonts w:eastAsia="Calibri"/>
                <w:b/>
                <w:bCs/>
                <w:color w:val="FFFFFF"/>
                <w:sz w:val="20"/>
                <w:szCs w:val="20"/>
              </w:rPr>
            </w:pPr>
            <w:r w:rsidRPr="00873770">
              <w:rPr>
                <w:b/>
                <w:bCs/>
                <w:color w:val="FFFFFF"/>
                <w:sz w:val="20"/>
                <w:szCs w:val="20"/>
              </w:rPr>
              <w:t>TRC NPV Costs</w:t>
            </w:r>
          </w:p>
          <w:p w:rsidR="00873770" w:rsidRPr="00873770" w:rsidRDefault="00873770" w:rsidP="00873770">
            <w:pPr>
              <w:jc w:val="center"/>
              <w:rPr>
                <w:rFonts w:eastAsia="Calibri"/>
                <w:b/>
                <w:bCs/>
                <w:color w:val="FFFFFF"/>
                <w:sz w:val="20"/>
                <w:szCs w:val="18"/>
              </w:rPr>
            </w:pPr>
            <w:r w:rsidRPr="00873770">
              <w:rPr>
                <w:b/>
                <w:bCs/>
                <w:color w:val="FFFFFF"/>
                <w:sz w:val="20"/>
                <w:szCs w:val="20"/>
              </w:rPr>
              <w:t>($)</w:t>
            </w:r>
          </w:p>
        </w:tc>
        <w:tc>
          <w:tcPr>
            <w:tcW w:w="1620" w:type="dxa"/>
            <w:shd w:val="clear" w:color="000000" w:fill="448A99"/>
            <w:vAlign w:val="bottom"/>
          </w:tcPr>
          <w:p w:rsidR="00873770" w:rsidRPr="00873770" w:rsidRDefault="00873770" w:rsidP="00873770">
            <w:pPr>
              <w:jc w:val="center"/>
              <w:rPr>
                <w:rFonts w:eastAsia="Calibri"/>
                <w:b/>
                <w:bCs/>
                <w:color w:val="FFFFFF"/>
                <w:sz w:val="20"/>
                <w:szCs w:val="20"/>
              </w:rPr>
            </w:pPr>
            <w:r w:rsidRPr="00873770">
              <w:rPr>
                <w:b/>
                <w:bCs/>
                <w:color w:val="FFFFFF"/>
                <w:sz w:val="20"/>
                <w:szCs w:val="20"/>
              </w:rPr>
              <w:t>Present Value of Net Benefits</w:t>
            </w:r>
          </w:p>
          <w:p w:rsidR="00873770" w:rsidRPr="00873770" w:rsidRDefault="00873770" w:rsidP="00873770">
            <w:pPr>
              <w:jc w:val="center"/>
              <w:rPr>
                <w:rFonts w:eastAsia="Calibri"/>
                <w:b/>
                <w:bCs/>
                <w:color w:val="FFFFFF"/>
                <w:sz w:val="20"/>
                <w:szCs w:val="18"/>
              </w:rPr>
            </w:pPr>
            <w:r w:rsidRPr="00873770">
              <w:rPr>
                <w:b/>
                <w:bCs/>
                <w:color w:val="FFFFFF"/>
                <w:sz w:val="20"/>
                <w:szCs w:val="20"/>
              </w:rPr>
              <w:t>($)</w:t>
            </w:r>
          </w:p>
        </w:tc>
        <w:tc>
          <w:tcPr>
            <w:tcW w:w="900" w:type="dxa"/>
            <w:shd w:val="clear" w:color="000000" w:fill="448A99"/>
            <w:noWrap/>
            <w:vAlign w:val="bottom"/>
            <w:hideMark/>
          </w:tcPr>
          <w:p w:rsidR="00873770" w:rsidRPr="00873770" w:rsidRDefault="00873770" w:rsidP="00873770">
            <w:pPr>
              <w:jc w:val="center"/>
              <w:rPr>
                <w:rFonts w:eastAsia="Calibri"/>
                <w:b/>
                <w:bCs/>
                <w:color w:val="FFFFFF"/>
                <w:sz w:val="20"/>
                <w:szCs w:val="18"/>
              </w:rPr>
            </w:pPr>
            <w:r w:rsidRPr="00873770">
              <w:rPr>
                <w:b/>
                <w:bCs/>
                <w:color w:val="FFFFFF"/>
                <w:sz w:val="20"/>
                <w:szCs w:val="20"/>
              </w:rPr>
              <w:t>TRC Ratio</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000000" w:fill="D2EAF1"/>
            <w:noWrap/>
            <w:vAlign w:val="center"/>
          </w:tcPr>
          <w:p w:rsidR="00873770" w:rsidRPr="00873770" w:rsidRDefault="00873770" w:rsidP="00873770">
            <w:pPr>
              <w:jc w:val="left"/>
              <w:rPr>
                <w:color w:val="000000"/>
                <w:sz w:val="20"/>
                <w:szCs w:val="20"/>
              </w:rPr>
            </w:pPr>
            <w:r w:rsidRPr="00873770">
              <w:rPr>
                <w:color w:val="000000"/>
                <w:sz w:val="20"/>
                <w:szCs w:val="20"/>
              </w:rPr>
              <w:t>Appliance Recycling</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 xml:space="preserve">$5,782,135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 xml:space="preserve">$1,240,144 </w:t>
            </w:r>
          </w:p>
        </w:tc>
        <w:tc>
          <w:tcPr>
            <w:tcW w:w="1620" w:type="dxa"/>
            <w:tcBorders>
              <w:top w:val="nil"/>
              <w:left w:val="nil"/>
              <w:bottom w:val="single" w:sz="8" w:space="0" w:color="448A99"/>
              <w:right w:val="single" w:sz="8" w:space="0" w:color="448A99"/>
            </w:tcBorders>
            <w:shd w:val="clear" w:color="000000" w:fill="D2EAF1"/>
            <w:vAlign w:val="center"/>
          </w:tcPr>
          <w:p w:rsidR="00873770" w:rsidRPr="00873770" w:rsidRDefault="00873770" w:rsidP="00873770">
            <w:pPr>
              <w:jc w:val="center"/>
              <w:rPr>
                <w:color w:val="000000"/>
                <w:sz w:val="20"/>
                <w:szCs w:val="20"/>
              </w:rPr>
            </w:pPr>
            <w:r w:rsidRPr="00873770">
              <w:rPr>
                <w:color w:val="000000"/>
                <w:sz w:val="20"/>
                <w:szCs w:val="20"/>
              </w:rPr>
              <w:t xml:space="preserve">$4,541,991 </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4.66</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auto" w:fill="auto"/>
            <w:noWrap/>
            <w:vAlign w:val="center"/>
          </w:tcPr>
          <w:p w:rsidR="00873770" w:rsidRPr="00873770" w:rsidRDefault="00873770" w:rsidP="00873770">
            <w:pPr>
              <w:jc w:val="left"/>
              <w:rPr>
                <w:color w:val="000000"/>
                <w:sz w:val="20"/>
                <w:szCs w:val="20"/>
              </w:rPr>
            </w:pPr>
            <w:r w:rsidRPr="00873770">
              <w:rPr>
                <w:color w:val="000000"/>
                <w:sz w:val="20"/>
                <w:szCs w:val="20"/>
              </w:rPr>
              <w:t>Residential EE Behavior and Education</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 xml:space="preserve">$3,893,563 </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 xml:space="preserve">$503,938 </w:t>
            </w:r>
          </w:p>
        </w:tc>
        <w:tc>
          <w:tcPr>
            <w:tcW w:w="1620" w:type="dxa"/>
            <w:tcBorders>
              <w:top w:val="nil"/>
              <w:left w:val="nil"/>
              <w:bottom w:val="single" w:sz="8" w:space="0" w:color="448A99"/>
              <w:right w:val="single" w:sz="8" w:space="0" w:color="448A99"/>
            </w:tcBorders>
            <w:shd w:val="clear" w:color="auto" w:fill="auto"/>
            <w:vAlign w:val="center"/>
          </w:tcPr>
          <w:p w:rsidR="00873770" w:rsidRPr="00873770" w:rsidRDefault="00873770" w:rsidP="00873770">
            <w:pPr>
              <w:jc w:val="center"/>
              <w:rPr>
                <w:color w:val="000000"/>
                <w:sz w:val="20"/>
                <w:szCs w:val="20"/>
              </w:rPr>
            </w:pPr>
            <w:r w:rsidRPr="00873770">
              <w:rPr>
                <w:color w:val="000000"/>
                <w:sz w:val="20"/>
                <w:szCs w:val="20"/>
              </w:rPr>
              <w:t xml:space="preserve">$3,389,625 </w:t>
            </w:r>
          </w:p>
        </w:tc>
        <w:tc>
          <w:tcPr>
            <w:tcW w:w="90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7.73</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000000" w:fill="D2EAF1"/>
            <w:noWrap/>
            <w:vAlign w:val="center"/>
          </w:tcPr>
          <w:p w:rsidR="00873770" w:rsidRPr="00873770" w:rsidRDefault="00873770" w:rsidP="00873770">
            <w:pPr>
              <w:jc w:val="left"/>
              <w:rPr>
                <w:color w:val="000000"/>
                <w:sz w:val="20"/>
                <w:szCs w:val="20"/>
              </w:rPr>
            </w:pPr>
            <w:r w:rsidRPr="00873770">
              <w:rPr>
                <w:color w:val="000000"/>
                <w:sz w:val="20"/>
                <w:szCs w:val="20"/>
              </w:rPr>
              <w:t>Residential Home Comfort</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 xml:space="preserve">$12,472,643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 xml:space="preserve">$18,976,932 </w:t>
            </w:r>
          </w:p>
        </w:tc>
        <w:tc>
          <w:tcPr>
            <w:tcW w:w="1620" w:type="dxa"/>
            <w:tcBorders>
              <w:top w:val="nil"/>
              <w:left w:val="nil"/>
              <w:bottom w:val="single" w:sz="8" w:space="0" w:color="448A99"/>
              <w:right w:val="single" w:sz="8" w:space="0" w:color="448A99"/>
            </w:tcBorders>
            <w:shd w:val="clear" w:color="000000" w:fill="D2EAF1"/>
            <w:vAlign w:val="center"/>
          </w:tcPr>
          <w:p w:rsidR="00873770" w:rsidRPr="00873770" w:rsidRDefault="00873770" w:rsidP="00873770">
            <w:pPr>
              <w:jc w:val="center"/>
              <w:rPr>
                <w:color w:val="000000"/>
                <w:sz w:val="20"/>
                <w:szCs w:val="20"/>
              </w:rPr>
            </w:pPr>
            <w:r w:rsidRPr="00873770">
              <w:rPr>
                <w:color w:val="FF0000"/>
                <w:sz w:val="20"/>
                <w:szCs w:val="20"/>
              </w:rPr>
              <w:t>($6,504,288)</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0.66</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auto" w:fill="auto"/>
            <w:noWrap/>
            <w:vAlign w:val="center"/>
          </w:tcPr>
          <w:p w:rsidR="00873770" w:rsidRPr="00873770" w:rsidRDefault="00873770" w:rsidP="00873770">
            <w:pPr>
              <w:jc w:val="left"/>
              <w:rPr>
                <w:color w:val="000000"/>
                <w:sz w:val="20"/>
                <w:szCs w:val="20"/>
              </w:rPr>
            </w:pPr>
            <w:r w:rsidRPr="00873770">
              <w:rPr>
                <w:color w:val="000000"/>
                <w:sz w:val="20"/>
                <w:szCs w:val="20"/>
              </w:rPr>
              <w:t>Residential Retail</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 xml:space="preserve">$61,324,528 </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 xml:space="preserve">$16,347,202 </w:t>
            </w:r>
          </w:p>
        </w:tc>
        <w:tc>
          <w:tcPr>
            <w:tcW w:w="1620" w:type="dxa"/>
            <w:tcBorders>
              <w:top w:val="nil"/>
              <w:left w:val="nil"/>
              <w:bottom w:val="single" w:sz="8" w:space="0" w:color="448A99"/>
              <w:right w:val="single" w:sz="8" w:space="0" w:color="448A99"/>
            </w:tcBorders>
            <w:shd w:val="clear" w:color="auto" w:fill="auto"/>
            <w:vAlign w:val="center"/>
          </w:tcPr>
          <w:p w:rsidR="00873770" w:rsidRPr="00873770" w:rsidRDefault="00873770" w:rsidP="00873770">
            <w:pPr>
              <w:jc w:val="center"/>
              <w:rPr>
                <w:color w:val="000000"/>
                <w:sz w:val="20"/>
                <w:szCs w:val="20"/>
              </w:rPr>
            </w:pPr>
            <w:r w:rsidRPr="00873770">
              <w:rPr>
                <w:color w:val="000000"/>
                <w:sz w:val="20"/>
                <w:szCs w:val="20"/>
              </w:rPr>
              <w:t xml:space="preserve">$44,977,326 </w:t>
            </w:r>
          </w:p>
        </w:tc>
        <w:tc>
          <w:tcPr>
            <w:tcW w:w="90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3.75</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000000" w:fill="D2EAF1"/>
            <w:noWrap/>
            <w:vAlign w:val="center"/>
          </w:tcPr>
          <w:p w:rsidR="00873770" w:rsidRPr="00873770" w:rsidRDefault="00873770" w:rsidP="00873770">
            <w:pPr>
              <w:jc w:val="left"/>
              <w:rPr>
                <w:color w:val="000000"/>
                <w:sz w:val="20"/>
                <w:szCs w:val="20"/>
              </w:rPr>
            </w:pPr>
            <w:r w:rsidRPr="00873770">
              <w:rPr>
                <w:color w:val="000000"/>
                <w:sz w:val="20"/>
                <w:szCs w:val="20"/>
              </w:rPr>
              <w:t>Student and Parent Education</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 xml:space="preserve">$3,465,013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 xml:space="preserve">$2,216,353 </w:t>
            </w:r>
          </w:p>
        </w:tc>
        <w:tc>
          <w:tcPr>
            <w:tcW w:w="1620" w:type="dxa"/>
            <w:tcBorders>
              <w:top w:val="nil"/>
              <w:left w:val="nil"/>
              <w:bottom w:val="single" w:sz="8" w:space="0" w:color="448A99"/>
              <w:right w:val="single" w:sz="8" w:space="0" w:color="448A99"/>
            </w:tcBorders>
            <w:shd w:val="clear" w:color="000000" w:fill="D2EAF1"/>
            <w:vAlign w:val="center"/>
          </w:tcPr>
          <w:p w:rsidR="00873770" w:rsidRPr="00873770" w:rsidRDefault="00873770" w:rsidP="00873770">
            <w:pPr>
              <w:jc w:val="center"/>
              <w:rPr>
                <w:color w:val="000000"/>
                <w:sz w:val="20"/>
                <w:szCs w:val="20"/>
              </w:rPr>
            </w:pPr>
            <w:r w:rsidRPr="00873770">
              <w:rPr>
                <w:color w:val="000000"/>
                <w:sz w:val="20"/>
                <w:szCs w:val="20"/>
              </w:rPr>
              <w:t xml:space="preserve">$1,248,660 </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1.56</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auto" w:fill="auto"/>
            <w:noWrap/>
            <w:vAlign w:val="center"/>
          </w:tcPr>
          <w:p w:rsidR="00873770" w:rsidRPr="00873770" w:rsidRDefault="00873770" w:rsidP="00873770">
            <w:pPr>
              <w:jc w:val="left"/>
              <w:rPr>
                <w:color w:val="000000"/>
                <w:sz w:val="20"/>
                <w:szCs w:val="20"/>
              </w:rPr>
            </w:pPr>
            <w:r w:rsidRPr="00873770">
              <w:rPr>
                <w:color w:val="000000"/>
                <w:sz w:val="20"/>
                <w:szCs w:val="20"/>
              </w:rPr>
              <w:t>E-Power Wise</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 xml:space="preserve">$1,614,329 </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 xml:space="preserve">$503,003 </w:t>
            </w:r>
          </w:p>
        </w:tc>
        <w:tc>
          <w:tcPr>
            <w:tcW w:w="1620" w:type="dxa"/>
            <w:tcBorders>
              <w:top w:val="nil"/>
              <w:left w:val="nil"/>
              <w:bottom w:val="single" w:sz="8" w:space="0" w:color="448A99"/>
              <w:right w:val="single" w:sz="8" w:space="0" w:color="448A99"/>
            </w:tcBorders>
            <w:shd w:val="clear" w:color="auto" w:fill="auto"/>
            <w:vAlign w:val="center"/>
          </w:tcPr>
          <w:p w:rsidR="00873770" w:rsidRPr="00873770" w:rsidRDefault="00873770" w:rsidP="00873770">
            <w:pPr>
              <w:jc w:val="center"/>
              <w:rPr>
                <w:color w:val="000000"/>
                <w:sz w:val="20"/>
                <w:szCs w:val="20"/>
              </w:rPr>
            </w:pPr>
            <w:r w:rsidRPr="00873770">
              <w:rPr>
                <w:color w:val="000000"/>
                <w:sz w:val="20"/>
                <w:szCs w:val="20"/>
              </w:rPr>
              <w:t xml:space="preserve">$1,111,326 </w:t>
            </w:r>
          </w:p>
        </w:tc>
        <w:tc>
          <w:tcPr>
            <w:tcW w:w="90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3.21</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000000" w:fill="D2EAF1"/>
            <w:vAlign w:val="center"/>
          </w:tcPr>
          <w:p w:rsidR="00873770" w:rsidRPr="00873770" w:rsidRDefault="00873770" w:rsidP="003B2EE7">
            <w:pPr>
              <w:jc w:val="left"/>
              <w:rPr>
                <w:color w:val="000000"/>
                <w:sz w:val="20"/>
                <w:szCs w:val="20"/>
              </w:rPr>
            </w:pPr>
            <w:r w:rsidRPr="00873770">
              <w:rPr>
                <w:color w:val="000000"/>
                <w:sz w:val="20"/>
                <w:szCs w:val="20"/>
              </w:rPr>
              <w:t>Wise Home Pilot</w:t>
            </w:r>
            <w:r w:rsidR="00796960">
              <w:rPr>
                <w:color w:val="000000"/>
                <w:sz w:val="20"/>
                <w:szCs w:val="20"/>
              </w:rPr>
              <w:t xml:space="preserve"> (Part of </w:t>
            </w:r>
            <w:r w:rsidR="003B2EE7">
              <w:rPr>
                <w:color w:val="000000"/>
                <w:sz w:val="20"/>
                <w:szCs w:val="20"/>
              </w:rPr>
              <w:t>E-Power Wis</w:t>
            </w:r>
            <w:r w:rsidR="00796960">
              <w:rPr>
                <w:color w:val="000000"/>
                <w:sz w:val="20"/>
                <w:szCs w:val="20"/>
              </w:rPr>
              <w:t>)</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$114,793</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$97,952</w:t>
            </w:r>
          </w:p>
        </w:tc>
        <w:tc>
          <w:tcPr>
            <w:tcW w:w="1620" w:type="dxa"/>
            <w:tcBorders>
              <w:top w:val="nil"/>
              <w:left w:val="nil"/>
              <w:bottom w:val="single" w:sz="8" w:space="0" w:color="448A99"/>
              <w:right w:val="single" w:sz="8" w:space="0" w:color="448A99"/>
            </w:tcBorders>
            <w:shd w:val="clear" w:color="000000" w:fill="D2EAF1"/>
            <w:vAlign w:val="center"/>
          </w:tcPr>
          <w:p w:rsidR="00873770" w:rsidRPr="00873770" w:rsidRDefault="00873770" w:rsidP="00873770">
            <w:pPr>
              <w:jc w:val="center"/>
              <w:rPr>
                <w:color w:val="000000"/>
                <w:sz w:val="20"/>
                <w:szCs w:val="20"/>
              </w:rPr>
            </w:pPr>
            <w:r w:rsidRPr="00873770">
              <w:rPr>
                <w:color w:val="000000"/>
                <w:sz w:val="20"/>
                <w:szCs w:val="20"/>
              </w:rPr>
              <w:t>$16,841</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1.17</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auto" w:fill="auto"/>
            <w:vAlign w:val="center"/>
          </w:tcPr>
          <w:p w:rsidR="00873770" w:rsidRPr="00873770" w:rsidRDefault="00873770" w:rsidP="00873770">
            <w:pPr>
              <w:jc w:val="left"/>
              <w:rPr>
                <w:color w:val="000000"/>
                <w:sz w:val="20"/>
                <w:szCs w:val="20"/>
              </w:rPr>
            </w:pPr>
            <w:r w:rsidRPr="00873770">
              <w:rPr>
                <w:color w:val="000000"/>
                <w:sz w:val="20"/>
                <w:szCs w:val="20"/>
              </w:rPr>
              <w:t>Low-Income EE Behavior and Education</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$1,062,297</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$385,025</w:t>
            </w:r>
          </w:p>
        </w:tc>
        <w:tc>
          <w:tcPr>
            <w:tcW w:w="1620" w:type="dxa"/>
            <w:tcBorders>
              <w:top w:val="nil"/>
              <w:left w:val="nil"/>
              <w:bottom w:val="single" w:sz="8" w:space="0" w:color="448A99"/>
              <w:right w:val="single" w:sz="8" w:space="0" w:color="448A99"/>
            </w:tcBorders>
            <w:shd w:val="clear" w:color="auto" w:fill="auto"/>
            <w:vAlign w:val="center"/>
          </w:tcPr>
          <w:p w:rsidR="00873770" w:rsidRPr="00873770" w:rsidRDefault="00873770" w:rsidP="00873770">
            <w:pPr>
              <w:jc w:val="center"/>
              <w:rPr>
                <w:color w:val="000000"/>
                <w:sz w:val="20"/>
                <w:szCs w:val="20"/>
              </w:rPr>
            </w:pPr>
            <w:r w:rsidRPr="00873770">
              <w:rPr>
                <w:color w:val="000000"/>
                <w:sz w:val="20"/>
                <w:szCs w:val="20"/>
              </w:rPr>
              <w:t xml:space="preserve">$677,272 </w:t>
            </w:r>
          </w:p>
        </w:tc>
        <w:tc>
          <w:tcPr>
            <w:tcW w:w="90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2.76</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000000" w:fill="D2EAF1"/>
            <w:vAlign w:val="center"/>
          </w:tcPr>
          <w:p w:rsidR="00873770" w:rsidRPr="00873770" w:rsidRDefault="00873770" w:rsidP="00873770">
            <w:pPr>
              <w:jc w:val="left"/>
              <w:rPr>
                <w:color w:val="000000"/>
                <w:sz w:val="20"/>
                <w:szCs w:val="20"/>
              </w:rPr>
            </w:pPr>
            <w:r w:rsidRPr="00873770">
              <w:rPr>
                <w:color w:val="000000"/>
                <w:sz w:val="20"/>
                <w:szCs w:val="20"/>
              </w:rPr>
              <w:t>Low-Income WRAP</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 xml:space="preserve">$4,836,389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 xml:space="preserve">$6,444,747 </w:t>
            </w:r>
          </w:p>
        </w:tc>
        <w:tc>
          <w:tcPr>
            <w:tcW w:w="1620" w:type="dxa"/>
            <w:tcBorders>
              <w:top w:val="nil"/>
              <w:left w:val="nil"/>
              <w:bottom w:val="single" w:sz="8" w:space="0" w:color="448A99"/>
              <w:right w:val="single" w:sz="8" w:space="0" w:color="448A99"/>
            </w:tcBorders>
            <w:shd w:val="clear" w:color="000000" w:fill="D2EAF1"/>
            <w:vAlign w:val="center"/>
          </w:tcPr>
          <w:p w:rsidR="00873770" w:rsidRPr="00873770" w:rsidRDefault="00873770" w:rsidP="00873770">
            <w:pPr>
              <w:jc w:val="center"/>
              <w:rPr>
                <w:color w:val="000000"/>
                <w:sz w:val="20"/>
                <w:szCs w:val="20"/>
              </w:rPr>
            </w:pPr>
            <w:r w:rsidRPr="00873770">
              <w:rPr>
                <w:color w:val="FF0000"/>
                <w:sz w:val="20"/>
                <w:szCs w:val="20"/>
              </w:rPr>
              <w:t>($1,608,359)</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0.75</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auto" w:fill="auto"/>
            <w:vAlign w:val="center"/>
          </w:tcPr>
          <w:p w:rsidR="00873770" w:rsidRPr="00873770" w:rsidRDefault="00873770" w:rsidP="003B2EE7">
            <w:pPr>
              <w:jc w:val="left"/>
              <w:rPr>
                <w:color w:val="000000"/>
                <w:sz w:val="20"/>
                <w:szCs w:val="20"/>
              </w:rPr>
            </w:pPr>
            <w:r w:rsidRPr="00873770">
              <w:rPr>
                <w:color w:val="000000"/>
                <w:sz w:val="20"/>
                <w:szCs w:val="20"/>
              </w:rPr>
              <w:t>Defacto Heating Pilot</w:t>
            </w:r>
            <w:r w:rsidR="00986774">
              <w:rPr>
                <w:color w:val="000000"/>
                <w:sz w:val="20"/>
                <w:szCs w:val="20"/>
              </w:rPr>
              <w:t xml:space="preserve"> (Part of WRAP)</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$46,443</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$225,981</w:t>
            </w:r>
          </w:p>
        </w:tc>
        <w:tc>
          <w:tcPr>
            <w:tcW w:w="1620" w:type="dxa"/>
            <w:tcBorders>
              <w:top w:val="nil"/>
              <w:left w:val="nil"/>
              <w:bottom w:val="single" w:sz="8" w:space="0" w:color="448A99"/>
              <w:right w:val="single" w:sz="8" w:space="0" w:color="448A99"/>
            </w:tcBorders>
            <w:shd w:val="clear" w:color="auto" w:fill="auto"/>
            <w:vAlign w:val="center"/>
          </w:tcPr>
          <w:p w:rsidR="00873770" w:rsidRPr="00873770" w:rsidRDefault="00873770" w:rsidP="00873770">
            <w:pPr>
              <w:jc w:val="center"/>
              <w:rPr>
                <w:color w:val="000000"/>
                <w:sz w:val="20"/>
                <w:szCs w:val="20"/>
              </w:rPr>
            </w:pPr>
            <w:r w:rsidRPr="00873770">
              <w:rPr>
                <w:color w:val="FF0000"/>
                <w:sz w:val="20"/>
                <w:szCs w:val="20"/>
              </w:rPr>
              <w:t>($179,537)</w:t>
            </w:r>
          </w:p>
        </w:tc>
        <w:tc>
          <w:tcPr>
            <w:tcW w:w="90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0.21</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000000" w:fill="D2EAF1"/>
            <w:vAlign w:val="center"/>
          </w:tcPr>
          <w:p w:rsidR="00873770" w:rsidRPr="00873770" w:rsidRDefault="00873770" w:rsidP="00873770">
            <w:pPr>
              <w:jc w:val="left"/>
              <w:rPr>
                <w:color w:val="000000"/>
                <w:sz w:val="20"/>
                <w:szCs w:val="20"/>
              </w:rPr>
            </w:pPr>
            <w:r w:rsidRPr="00873770">
              <w:rPr>
                <w:color w:val="000000"/>
                <w:sz w:val="20"/>
                <w:szCs w:val="20"/>
              </w:rPr>
              <w:t>Continuous Energy Improvement</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 xml:space="preserve">$1,035,251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 xml:space="preserve">$361,247 </w:t>
            </w:r>
          </w:p>
        </w:tc>
        <w:tc>
          <w:tcPr>
            <w:tcW w:w="1620" w:type="dxa"/>
            <w:tcBorders>
              <w:top w:val="nil"/>
              <w:left w:val="nil"/>
              <w:bottom w:val="single" w:sz="8" w:space="0" w:color="448A99"/>
              <w:right w:val="single" w:sz="8" w:space="0" w:color="448A99"/>
            </w:tcBorders>
            <w:shd w:val="clear" w:color="000000" w:fill="D2EAF1"/>
            <w:vAlign w:val="center"/>
          </w:tcPr>
          <w:p w:rsidR="00873770" w:rsidRPr="00873770" w:rsidRDefault="00873770" w:rsidP="00873770">
            <w:pPr>
              <w:jc w:val="center"/>
              <w:rPr>
                <w:color w:val="000000"/>
                <w:sz w:val="20"/>
                <w:szCs w:val="20"/>
              </w:rPr>
            </w:pPr>
            <w:r w:rsidRPr="00873770">
              <w:rPr>
                <w:color w:val="000000"/>
                <w:sz w:val="20"/>
                <w:szCs w:val="20"/>
              </w:rPr>
              <w:t xml:space="preserve">$674,004 </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2.87</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auto" w:fill="auto"/>
            <w:vAlign w:val="center"/>
          </w:tcPr>
          <w:p w:rsidR="00873770" w:rsidRPr="00873770" w:rsidRDefault="00873770" w:rsidP="00873770">
            <w:pPr>
              <w:jc w:val="left"/>
              <w:rPr>
                <w:color w:val="000000"/>
                <w:sz w:val="20"/>
                <w:szCs w:val="20"/>
              </w:rPr>
            </w:pPr>
            <w:r w:rsidRPr="00873770">
              <w:rPr>
                <w:color w:val="000000"/>
                <w:sz w:val="20"/>
                <w:szCs w:val="20"/>
              </w:rPr>
              <w:t>Custom Incentive</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 xml:space="preserve">$20,301,843 </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 xml:space="preserve">$16,178,329 </w:t>
            </w:r>
          </w:p>
        </w:tc>
        <w:tc>
          <w:tcPr>
            <w:tcW w:w="1620" w:type="dxa"/>
            <w:tcBorders>
              <w:top w:val="nil"/>
              <w:left w:val="nil"/>
              <w:bottom w:val="single" w:sz="8" w:space="0" w:color="448A99"/>
              <w:right w:val="single" w:sz="8" w:space="0" w:color="448A99"/>
            </w:tcBorders>
            <w:shd w:val="clear" w:color="auto" w:fill="auto"/>
            <w:vAlign w:val="center"/>
          </w:tcPr>
          <w:p w:rsidR="00873770" w:rsidRPr="00873770" w:rsidRDefault="00873770" w:rsidP="00873770">
            <w:pPr>
              <w:jc w:val="center"/>
              <w:rPr>
                <w:color w:val="000000"/>
                <w:sz w:val="20"/>
                <w:szCs w:val="20"/>
              </w:rPr>
            </w:pPr>
            <w:r w:rsidRPr="00873770">
              <w:rPr>
                <w:color w:val="000000"/>
                <w:sz w:val="20"/>
                <w:szCs w:val="20"/>
              </w:rPr>
              <w:t xml:space="preserve">$4,123,514 </w:t>
            </w:r>
          </w:p>
        </w:tc>
        <w:tc>
          <w:tcPr>
            <w:tcW w:w="90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1.25</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000000" w:fill="D2EAF1"/>
            <w:noWrap/>
            <w:vAlign w:val="center"/>
          </w:tcPr>
          <w:p w:rsidR="00873770" w:rsidRPr="00873770" w:rsidRDefault="00873770" w:rsidP="00873770">
            <w:pPr>
              <w:jc w:val="left"/>
              <w:rPr>
                <w:color w:val="000000"/>
                <w:sz w:val="20"/>
                <w:szCs w:val="20"/>
              </w:rPr>
            </w:pPr>
            <w:r w:rsidRPr="00873770">
              <w:rPr>
                <w:color w:val="000000"/>
                <w:sz w:val="20"/>
                <w:szCs w:val="20"/>
              </w:rPr>
              <w:t>Master Metered Multifamily Housing</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 xml:space="preserve">$1,580,508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 xml:space="preserve">$950,573 </w:t>
            </w:r>
          </w:p>
        </w:tc>
        <w:tc>
          <w:tcPr>
            <w:tcW w:w="1620" w:type="dxa"/>
            <w:tcBorders>
              <w:top w:val="nil"/>
              <w:left w:val="nil"/>
              <w:bottom w:val="single" w:sz="8" w:space="0" w:color="448A99"/>
              <w:right w:val="single" w:sz="8" w:space="0" w:color="448A99"/>
            </w:tcBorders>
            <w:shd w:val="clear" w:color="000000" w:fill="D2EAF1"/>
            <w:vAlign w:val="center"/>
          </w:tcPr>
          <w:p w:rsidR="00873770" w:rsidRPr="00873770" w:rsidRDefault="00873770" w:rsidP="00873770">
            <w:pPr>
              <w:jc w:val="center"/>
              <w:rPr>
                <w:color w:val="000000"/>
                <w:sz w:val="20"/>
                <w:szCs w:val="20"/>
              </w:rPr>
            </w:pPr>
            <w:r w:rsidRPr="00873770">
              <w:rPr>
                <w:color w:val="000000"/>
                <w:sz w:val="20"/>
                <w:szCs w:val="20"/>
              </w:rPr>
              <w:t xml:space="preserve">$629,935 </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1.66</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auto" w:fill="auto"/>
            <w:vAlign w:val="center"/>
          </w:tcPr>
          <w:p w:rsidR="00873770" w:rsidRPr="00873770" w:rsidRDefault="00873770" w:rsidP="00873770">
            <w:pPr>
              <w:jc w:val="left"/>
              <w:rPr>
                <w:color w:val="000000"/>
                <w:sz w:val="20"/>
                <w:szCs w:val="20"/>
              </w:rPr>
            </w:pPr>
            <w:r w:rsidRPr="00873770">
              <w:rPr>
                <w:color w:val="000000"/>
                <w:sz w:val="20"/>
                <w:szCs w:val="20"/>
              </w:rPr>
              <w:t>Prescriptive Equipment</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 xml:space="preserve">$120,754,941 </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 xml:space="preserve">$101,548,395 </w:t>
            </w:r>
          </w:p>
        </w:tc>
        <w:tc>
          <w:tcPr>
            <w:tcW w:w="1620" w:type="dxa"/>
            <w:tcBorders>
              <w:top w:val="nil"/>
              <w:left w:val="nil"/>
              <w:bottom w:val="single" w:sz="8" w:space="0" w:color="448A99"/>
              <w:right w:val="single" w:sz="8" w:space="0" w:color="448A99"/>
            </w:tcBorders>
            <w:shd w:val="clear" w:color="auto" w:fill="auto"/>
            <w:vAlign w:val="center"/>
          </w:tcPr>
          <w:p w:rsidR="00873770" w:rsidRPr="00873770" w:rsidRDefault="00873770" w:rsidP="00873770">
            <w:pPr>
              <w:jc w:val="center"/>
              <w:rPr>
                <w:color w:val="000000"/>
                <w:sz w:val="20"/>
                <w:szCs w:val="20"/>
              </w:rPr>
            </w:pPr>
            <w:r w:rsidRPr="00873770">
              <w:rPr>
                <w:color w:val="000000"/>
                <w:sz w:val="20"/>
                <w:szCs w:val="20"/>
              </w:rPr>
              <w:t xml:space="preserve">$19,206,546 </w:t>
            </w:r>
          </w:p>
        </w:tc>
        <w:tc>
          <w:tcPr>
            <w:tcW w:w="90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1.19</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000000" w:fill="D2EAF1"/>
            <w:noWrap/>
            <w:vAlign w:val="center"/>
          </w:tcPr>
          <w:p w:rsidR="00873770" w:rsidRPr="00873770" w:rsidRDefault="00873770" w:rsidP="00873770">
            <w:pPr>
              <w:jc w:val="left"/>
              <w:rPr>
                <w:color w:val="000000"/>
                <w:sz w:val="20"/>
                <w:szCs w:val="20"/>
              </w:rPr>
            </w:pPr>
            <w:r w:rsidRPr="00873770">
              <w:rPr>
                <w:color w:val="000000"/>
                <w:sz w:val="20"/>
                <w:szCs w:val="20"/>
              </w:rPr>
              <w:t>School Benchmarking</w:t>
            </w:r>
            <w:r w:rsidRPr="00873770">
              <w:rPr>
                <w:color w:val="000000"/>
                <w:sz w:val="20"/>
                <w:szCs w:val="20"/>
                <w:vertAlign w:val="superscript"/>
              </w:rPr>
              <w:t>[a]</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0</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 xml:space="preserve">$92,253 </w:t>
            </w:r>
          </w:p>
        </w:tc>
        <w:tc>
          <w:tcPr>
            <w:tcW w:w="1620" w:type="dxa"/>
            <w:tcBorders>
              <w:top w:val="nil"/>
              <w:left w:val="nil"/>
              <w:bottom w:val="single" w:sz="8" w:space="0" w:color="448A99"/>
              <w:right w:val="single" w:sz="8" w:space="0" w:color="448A99"/>
            </w:tcBorders>
            <w:shd w:val="clear" w:color="000000" w:fill="D2EAF1"/>
            <w:vAlign w:val="center"/>
          </w:tcPr>
          <w:p w:rsidR="00873770" w:rsidRPr="00873770" w:rsidRDefault="00873770" w:rsidP="00873770">
            <w:pPr>
              <w:jc w:val="center"/>
              <w:rPr>
                <w:color w:val="000000"/>
                <w:sz w:val="20"/>
                <w:szCs w:val="20"/>
              </w:rPr>
            </w:pPr>
            <w:r w:rsidRPr="00873770">
              <w:rPr>
                <w:color w:val="FF0000"/>
                <w:sz w:val="20"/>
                <w:szCs w:val="20"/>
              </w:rPr>
              <w:t>($92,253)</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0.00</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auto" w:fill="auto"/>
            <w:noWrap/>
            <w:vAlign w:val="center"/>
          </w:tcPr>
          <w:p w:rsidR="00873770" w:rsidRPr="00873770" w:rsidRDefault="00873770" w:rsidP="00873770">
            <w:pPr>
              <w:jc w:val="left"/>
              <w:rPr>
                <w:i/>
                <w:iCs/>
                <w:color w:val="000000"/>
                <w:sz w:val="20"/>
                <w:szCs w:val="20"/>
              </w:rPr>
            </w:pPr>
            <w:r w:rsidRPr="00873770">
              <w:rPr>
                <w:i/>
                <w:iCs/>
                <w:color w:val="000000"/>
                <w:sz w:val="20"/>
                <w:szCs w:val="20"/>
              </w:rPr>
              <w:t>Common Costs</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i/>
                <w:iCs/>
                <w:color w:val="000000"/>
                <w:sz w:val="20"/>
                <w:szCs w:val="20"/>
              </w:rPr>
            </w:pPr>
            <w:r w:rsidRPr="00873770">
              <w:rPr>
                <w:i/>
                <w:iCs/>
                <w:color w:val="000000"/>
                <w:sz w:val="20"/>
                <w:szCs w:val="20"/>
              </w:rPr>
              <w:t>-</w:t>
            </w:r>
          </w:p>
        </w:tc>
        <w:tc>
          <w:tcPr>
            <w:tcW w:w="162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 xml:space="preserve">$7,005,580 </w:t>
            </w:r>
          </w:p>
        </w:tc>
        <w:tc>
          <w:tcPr>
            <w:tcW w:w="1620" w:type="dxa"/>
            <w:tcBorders>
              <w:top w:val="nil"/>
              <w:left w:val="nil"/>
              <w:bottom w:val="single" w:sz="8" w:space="0" w:color="448A99"/>
              <w:right w:val="single" w:sz="8" w:space="0" w:color="448A99"/>
            </w:tcBorders>
            <w:shd w:val="clear" w:color="auto" w:fill="auto"/>
            <w:vAlign w:val="center"/>
          </w:tcPr>
          <w:p w:rsidR="00873770" w:rsidRPr="00873770" w:rsidRDefault="00873770" w:rsidP="00873770">
            <w:pPr>
              <w:jc w:val="center"/>
              <w:rPr>
                <w:i/>
                <w:iCs/>
                <w:color w:val="000000"/>
                <w:sz w:val="20"/>
                <w:szCs w:val="20"/>
              </w:rPr>
            </w:pPr>
            <w:r w:rsidRPr="00873770">
              <w:rPr>
                <w:i/>
                <w:iCs/>
                <w:color w:val="000000"/>
                <w:sz w:val="20"/>
                <w:szCs w:val="20"/>
              </w:rPr>
              <w:t>-</w:t>
            </w:r>
          </w:p>
        </w:tc>
        <w:tc>
          <w:tcPr>
            <w:tcW w:w="900" w:type="dxa"/>
            <w:tcBorders>
              <w:top w:val="nil"/>
              <w:left w:val="nil"/>
              <w:bottom w:val="single" w:sz="8" w:space="0" w:color="448A99"/>
              <w:right w:val="single" w:sz="8" w:space="0" w:color="448A99"/>
            </w:tcBorders>
            <w:shd w:val="clear" w:color="auto" w:fill="auto"/>
            <w:noWrap/>
            <w:vAlign w:val="center"/>
          </w:tcPr>
          <w:p w:rsidR="00873770" w:rsidRPr="00873770" w:rsidRDefault="00873770" w:rsidP="00873770">
            <w:pPr>
              <w:jc w:val="center"/>
              <w:rPr>
                <w:i/>
                <w:iCs/>
                <w:color w:val="000000"/>
                <w:sz w:val="20"/>
                <w:szCs w:val="20"/>
              </w:rPr>
            </w:pPr>
            <w:r w:rsidRPr="00873770">
              <w:rPr>
                <w:i/>
                <w:iCs/>
                <w:color w:val="000000"/>
                <w:sz w:val="20"/>
                <w:szCs w:val="20"/>
              </w:rPr>
              <w:t>-</w:t>
            </w:r>
          </w:p>
        </w:tc>
      </w:tr>
      <w:tr w:rsidR="00A874AC" w:rsidRPr="00873770" w:rsidTr="00D77B11">
        <w:trPr>
          <w:trHeight w:val="346"/>
        </w:trPr>
        <w:tc>
          <w:tcPr>
            <w:tcW w:w="3600" w:type="dxa"/>
            <w:tcBorders>
              <w:top w:val="nil"/>
              <w:left w:val="single" w:sz="8" w:space="0" w:color="448A99"/>
              <w:bottom w:val="single" w:sz="8" w:space="0" w:color="448A99"/>
              <w:right w:val="single" w:sz="8" w:space="0" w:color="448A99"/>
            </w:tcBorders>
            <w:shd w:val="clear" w:color="000000" w:fill="D2EAF1"/>
            <w:noWrap/>
            <w:vAlign w:val="center"/>
          </w:tcPr>
          <w:p w:rsidR="00873770" w:rsidRPr="00873770" w:rsidRDefault="00873770" w:rsidP="00873770">
            <w:pPr>
              <w:jc w:val="left"/>
              <w:rPr>
                <w:b/>
                <w:bCs/>
                <w:color w:val="000000"/>
                <w:sz w:val="20"/>
                <w:szCs w:val="20"/>
              </w:rPr>
            </w:pPr>
            <w:r w:rsidRPr="00873770">
              <w:rPr>
                <w:b/>
                <w:bCs/>
                <w:color w:val="000000"/>
                <w:sz w:val="20"/>
                <w:szCs w:val="20"/>
              </w:rPr>
              <w:t>Total Portfolio</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b/>
                <w:bCs/>
                <w:color w:val="000000"/>
                <w:sz w:val="20"/>
                <w:szCs w:val="20"/>
              </w:rPr>
            </w:pPr>
            <w:r w:rsidRPr="00873770">
              <w:rPr>
                <w:b/>
                <w:bCs/>
                <w:color w:val="000000"/>
                <w:sz w:val="20"/>
                <w:szCs w:val="20"/>
              </w:rPr>
              <w:t xml:space="preserve">$238,284,677 </w:t>
            </w:r>
          </w:p>
        </w:tc>
        <w:tc>
          <w:tcPr>
            <w:tcW w:w="162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b/>
                <w:bCs/>
                <w:color w:val="000000"/>
                <w:sz w:val="20"/>
                <w:szCs w:val="20"/>
              </w:rPr>
            </w:pPr>
            <w:r w:rsidRPr="00873770">
              <w:rPr>
                <w:b/>
                <w:bCs/>
                <w:color w:val="000000"/>
                <w:sz w:val="20"/>
                <w:szCs w:val="20"/>
              </w:rPr>
              <w:t xml:space="preserve">$173,077,654 </w:t>
            </w:r>
          </w:p>
        </w:tc>
        <w:tc>
          <w:tcPr>
            <w:tcW w:w="1620" w:type="dxa"/>
            <w:tcBorders>
              <w:top w:val="nil"/>
              <w:left w:val="nil"/>
              <w:bottom w:val="single" w:sz="8" w:space="0" w:color="448A99"/>
              <w:right w:val="single" w:sz="8" w:space="0" w:color="448A99"/>
            </w:tcBorders>
            <w:shd w:val="clear" w:color="000000" w:fill="D2EAF1"/>
            <w:vAlign w:val="center"/>
          </w:tcPr>
          <w:p w:rsidR="00873770" w:rsidRPr="00873770" w:rsidRDefault="00873770" w:rsidP="00873770">
            <w:pPr>
              <w:jc w:val="center"/>
              <w:rPr>
                <w:b/>
                <w:bCs/>
                <w:color w:val="000000"/>
                <w:sz w:val="20"/>
                <w:szCs w:val="20"/>
              </w:rPr>
            </w:pPr>
            <w:r w:rsidRPr="00873770">
              <w:rPr>
                <w:b/>
                <w:bCs/>
                <w:color w:val="000000"/>
                <w:sz w:val="20"/>
                <w:szCs w:val="20"/>
              </w:rPr>
              <w:t xml:space="preserve">$65,207,024 </w:t>
            </w:r>
          </w:p>
        </w:tc>
        <w:tc>
          <w:tcPr>
            <w:tcW w:w="900" w:type="dxa"/>
            <w:tcBorders>
              <w:top w:val="nil"/>
              <w:left w:val="nil"/>
              <w:bottom w:val="single" w:sz="8" w:space="0" w:color="448A99"/>
              <w:right w:val="single" w:sz="8" w:space="0" w:color="448A99"/>
            </w:tcBorders>
            <w:shd w:val="clear" w:color="000000" w:fill="D2EAF1"/>
            <w:noWrap/>
            <w:vAlign w:val="center"/>
          </w:tcPr>
          <w:p w:rsidR="00873770" w:rsidRPr="00873770" w:rsidRDefault="00873770" w:rsidP="00873770">
            <w:pPr>
              <w:jc w:val="center"/>
              <w:rPr>
                <w:b/>
                <w:bCs/>
                <w:color w:val="000000"/>
                <w:sz w:val="20"/>
                <w:szCs w:val="20"/>
              </w:rPr>
            </w:pPr>
            <w:r w:rsidRPr="00873770">
              <w:rPr>
                <w:b/>
                <w:bCs/>
                <w:color w:val="000000"/>
                <w:sz w:val="20"/>
                <w:szCs w:val="20"/>
              </w:rPr>
              <w:t>1.38</w:t>
            </w:r>
          </w:p>
        </w:tc>
      </w:tr>
      <w:tr w:rsidR="00E7173E" w:rsidRPr="001D0677" w:rsidTr="00D77B11">
        <w:trPr>
          <w:trHeight w:val="346"/>
        </w:trPr>
        <w:tc>
          <w:tcPr>
            <w:tcW w:w="9360" w:type="dxa"/>
            <w:gridSpan w:val="5"/>
            <w:tcBorders>
              <w:bottom w:val="single" w:sz="4" w:space="0" w:color="448A99"/>
            </w:tcBorders>
            <w:shd w:val="clear" w:color="auto" w:fill="448A99"/>
            <w:noWrap/>
            <w:vAlign w:val="center"/>
          </w:tcPr>
          <w:p w:rsidR="008111EC" w:rsidRPr="001D0677" w:rsidRDefault="006142E6" w:rsidP="008111EC">
            <w:pPr>
              <w:rPr>
                <w:color w:val="FFFFFF" w:themeColor="background1"/>
                <w:sz w:val="18"/>
                <w:szCs w:val="18"/>
              </w:rPr>
            </w:pPr>
            <w:r w:rsidRPr="001D0677">
              <w:rPr>
                <w:color w:val="FFFFFF" w:themeColor="background1"/>
                <w:sz w:val="18"/>
                <w:szCs w:val="18"/>
              </w:rPr>
              <w:t>NOTES:</w:t>
            </w:r>
          </w:p>
          <w:p w:rsidR="00873770" w:rsidRPr="001D0677" w:rsidRDefault="00873770" w:rsidP="00873770">
            <w:pPr>
              <w:jc w:val="left"/>
              <w:rPr>
                <w:color w:val="000000"/>
                <w:sz w:val="18"/>
                <w:szCs w:val="18"/>
              </w:rPr>
            </w:pPr>
            <w:r w:rsidRPr="001D0677">
              <w:rPr>
                <w:color w:val="FFFFFF"/>
                <w:sz w:val="18"/>
                <w:szCs w:val="18"/>
              </w:rPr>
              <w:t>[a] PPL is not tracking energy savings from the School Benchmarking program. This practice is explained in its approved implementation plan. Counting savings from this program could potentially double-count or reflect savings from participation in other overlapping programs.</w:t>
            </w:r>
          </w:p>
        </w:tc>
      </w:tr>
    </w:tbl>
    <w:p w:rsidR="00873770" w:rsidRDefault="00873770" w:rsidP="00873770"/>
    <w:p w:rsidR="00873770" w:rsidRPr="00873770" w:rsidRDefault="003B2EE7" w:rsidP="00EE3086">
      <w:pPr>
        <w:spacing w:after="120"/>
      </w:pPr>
      <w:r w:rsidRPr="00873770">
        <w:t xml:space="preserve">In addition to the programs offered in PY6, PPL introduced two </w:t>
      </w:r>
      <w:r>
        <w:t xml:space="preserve">pilots within existing low-income programs </w:t>
      </w:r>
      <w:r w:rsidRPr="00873770">
        <w:t xml:space="preserve">in PY7: The Wise Home Pilot </w:t>
      </w:r>
      <w:r>
        <w:t xml:space="preserve">(a component of E-Power Wise) </w:t>
      </w:r>
      <w:r w:rsidRPr="00873770">
        <w:t>and the Defacto Heating Pilot</w:t>
      </w:r>
      <w:r>
        <w:t xml:space="preserve"> (a component of WRAP)</w:t>
      </w:r>
      <w:r w:rsidRPr="00873770">
        <w:t xml:space="preserve">. In summary, </w:t>
      </w:r>
      <w:r>
        <w:t xml:space="preserve">10 </w:t>
      </w:r>
      <w:r w:rsidRPr="00873770">
        <w:t>of PPL’s 1</w:t>
      </w:r>
      <w:r>
        <w:t>3</w:t>
      </w:r>
      <w:r w:rsidRPr="00873770">
        <w:t xml:space="preserve"> programs were found to be cost-effective, </w:t>
      </w:r>
      <w:r>
        <w:t>2</w:t>
      </w:r>
      <w:r w:rsidRPr="00873770">
        <w:t xml:space="preserve"> were found to be non-cost-effective</w:t>
      </w:r>
      <w:r>
        <w:t xml:space="preserve"> (as expected in the EE&amp;C Plan)</w:t>
      </w:r>
      <w:r w:rsidRPr="00873770">
        <w:t xml:space="preserve">, and 1 claimed no savings and therefore </w:t>
      </w:r>
      <w:r w:rsidR="00D92D74">
        <w:t xml:space="preserve">has </w:t>
      </w:r>
      <w:r w:rsidRPr="00873770">
        <w:t>a TRC ratio of 0. In general, cost-effective programs in PY6 remained cost-effective in PY7. One program, the Continuous Energy Improvement program, transitioned to become cost-effective i</w:t>
      </w:r>
      <w:r w:rsidR="008111EC">
        <w:t xml:space="preserve">n PY7. </w:t>
      </w:r>
      <w:r w:rsidRPr="00873770">
        <w:t>The breakout of cost-effective, non-cost-effective, and no-participant programs is shown below</w:t>
      </w:r>
      <w:r w:rsidR="00873770" w:rsidRPr="00873770">
        <w:t>.</w:t>
      </w:r>
    </w:p>
    <w:p w:rsidR="00873770" w:rsidRPr="00873770" w:rsidRDefault="00873770" w:rsidP="00873770">
      <w:pPr>
        <w:rPr>
          <w:rFonts w:ascii="Century Gothic" w:hAnsi="Century Gothic"/>
          <w:b/>
        </w:rPr>
      </w:pPr>
      <w:r w:rsidRPr="00873770">
        <w:rPr>
          <w:rFonts w:ascii="Century Gothic" w:hAnsi="Century Gothic"/>
          <w:b/>
        </w:rPr>
        <w:t>Cost-Effective Programs</w:t>
      </w:r>
    </w:p>
    <w:p w:rsidR="00873770" w:rsidRPr="00873770" w:rsidRDefault="00873770" w:rsidP="00873770">
      <w:pPr>
        <w:spacing w:after="60"/>
        <w:rPr>
          <w:b/>
          <w:color w:val="448A99"/>
        </w:rPr>
      </w:pPr>
      <w:r w:rsidRPr="00873770">
        <w:rPr>
          <w:b/>
          <w:color w:val="448A99"/>
        </w:rPr>
        <w:t>(TRC Ratio &gt; 1.0)</w:t>
      </w:r>
    </w:p>
    <w:p w:rsidR="003B2EE7" w:rsidRPr="00873770" w:rsidRDefault="003B2EE7" w:rsidP="00E646C9">
      <w:pPr>
        <w:numPr>
          <w:ilvl w:val="0"/>
          <w:numId w:val="90"/>
        </w:numPr>
        <w:ind w:left="360"/>
        <w:rPr>
          <w:i/>
        </w:rPr>
      </w:pPr>
      <w:r w:rsidRPr="00873770">
        <w:rPr>
          <w:i/>
        </w:rPr>
        <w:t>Appliance Recycling</w:t>
      </w:r>
    </w:p>
    <w:p w:rsidR="003B2EE7" w:rsidRPr="00873770" w:rsidRDefault="003B2EE7" w:rsidP="00E646C9">
      <w:pPr>
        <w:numPr>
          <w:ilvl w:val="0"/>
          <w:numId w:val="90"/>
        </w:numPr>
        <w:ind w:left="360"/>
        <w:rPr>
          <w:i/>
        </w:rPr>
      </w:pPr>
      <w:r w:rsidRPr="00873770">
        <w:rPr>
          <w:i/>
        </w:rPr>
        <w:t>Residential EE Behavior and Education</w:t>
      </w:r>
    </w:p>
    <w:p w:rsidR="003B2EE7" w:rsidRPr="00873770" w:rsidRDefault="003B2EE7" w:rsidP="00E646C9">
      <w:pPr>
        <w:numPr>
          <w:ilvl w:val="0"/>
          <w:numId w:val="90"/>
        </w:numPr>
        <w:ind w:left="360"/>
        <w:rPr>
          <w:i/>
        </w:rPr>
      </w:pPr>
      <w:r>
        <w:rPr>
          <w:i/>
        </w:rPr>
        <w:t>Low Income Behavior and Education</w:t>
      </w:r>
    </w:p>
    <w:p w:rsidR="003B2EE7" w:rsidRPr="00873770" w:rsidRDefault="003B2EE7" w:rsidP="00E646C9">
      <w:pPr>
        <w:numPr>
          <w:ilvl w:val="0"/>
          <w:numId w:val="90"/>
        </w:numPr>
        <w:ind w:left="360"/>
        <w:rPr>
          <w:i/>
        </w:rPr>
      </w:pPr>
      <w:r w:rsidRPr="00873770">
        <w:rPr>
          <w:i/>
        </w:rPr>
        <w:t xml:space="preserve">Residential Retail </w:t>
      </w:r>
    </w:p>
    <w:p w:rsidR="003B2EE7" w:rsidRPr="00873770" w:rsidRDefault="003B2EE7" w:rsidP="00E646C9">
      <w:pPr>
        <w:numPr>
          <w:ilvl w:val="0"/>
          <w:numId w:val="90"/>
        </w:numPr>
        <w:ind w:left="360"/>
        <w:rPr>
          <w:i/>
        </w:rPr>
      </w:pPr>
      <w:r w:rsidRPr="00873770">
        <w:rPr>
          <w:i/>
        </w:rPr>
        <w:t>Student and Parent Education</w:t>
      </w:r>
    </w:p>
    <w:p w:rsidR="003B2EE7" w:rsidRPr="00D60815" w:rsidRDefault="003B2EE7" w:rsidP="00E646C9">
      <w:pPr>
        <w:numPr>
          <w:ilvl w:val="0"/>
          <w:numId w:val="90"/>
        </w:numPr>
        <w:ind w:left="360"/>
        <w:rPr>
          <w:i/>
        </w:rPr>
      </w:pPr>
      <w:r w:rsidRPr="00873770">
        <w:rPr>
          <w:i/>
        </w:rPr>
        <w:t>E-Power Wise</w:t>
      </w:r>
    </w:p>
    <w:p w:rsidR="003B2EE7" w:rsidRPr="00873770" w:rsidRDefault="003B2EE7" w:rsidP="00E646C9">
      <w:pPr>
        <w:numPr>
          <w:ilvl w:val="1"/>
          <w:numId w:val="92"/>
        </w:numPr>
        <w:ind w:left="720"/>
        <w:rPr>
          <w:i/>
        </w:rPr>
      </w:pPr>
      <w:r w:rsidRPr="00873770">
        <w:rPr>
          <w:i/>
        </w:rPr>
        <w:t>Wise Home Pilot</w:t>
      </w:r>
      <w:r>
        <w:rPr>
          <w:i/>
        </w:rPr>
        <w:t xml:space="preserve"> </w:t>
      </w:r>
      <w:r w:rsidRPr="00D60815">
        <w:rPr>
          <w:i/>
        </w:rPr>
        <w:t>(</w:t>
      </w:r>
      <w:r>
        <w:rPr>
          <w:color w:val="000000"/>
          <w:sz w:val="20"/>
          <w:szCs w:val="20"/>
        </w:rPr>
        <w:t xml:space="preserve">a </w:t>
      </w:r>
      <w:r>
        <w:rPr>
          <w:i/>
        </w:rPr>
        <w:t>component</w:t>
      </w:r>
      <w:r w:rsidRPr="00D60815">
        <w:rPr>
          <w:i/>
        </w:rPr>
        <w:t xml:space="preserve"> of E-Power Wise)</w:t>
      </w:r>
    </w:p>
    <w:p w:rsidR="003B2EE7" w:rsidRPr="00873770" w:rsidRDefault="003B2EE7" w:rsidP="00E646C9">
      <w:pPr>
        <w:numPr>
          <w:ilvl w:val="0"/>
          <w:numId w:val="90"/>
        </w:numPr>
        <w:ind w:left="360"/>
        <w:rPr>
          <w:i/>
        </w:rPr>
      </w:pPr>
      <w:r w:rsidRPr="00873770">
        <w:rPr>
          <w:i/>
        </w:rPr>
        <w:t>Continuous Energy Improvement</w:t>
      </w:r>
    </w:p>
    <w:p w:rsidR="003B2EE7" w:rsidRPr="00873770" w:rsidRDefault="003B2EE7" w:rsidP="00E646C9">
      <w:pPr>
        <w:numPr>
          <w:ilvl w:val="0"/>
          <w:numId w:val="90"/>
        </w:numPr>
        <w:ind w:left="360"/>
        <w:rPr>
          <w:i/>
        </w:rPr>
      </w:pPr>
      <w:r w:rsidRPr="00873770">
        <w:rPr>
          <w:i/>
        </w:rPr>
        <w:t>Custom Incentive</w:t>
      </w:r>
    </w:p>
    <w:p w:rsidR="003B2EE7" w:rsidRPr="00873770" w:rsidRDefault="003B2EE7" w:rsidP="00E646C9">
      <w:pPr>
        <w:numPr>
          <w:ilvl w:val="0"/>
          <w:numId w:val="90"/>
        </w:numPr>
        <w:ind w:left="360"/>
        <w:rPr>
          <w:i/>
        </w:rPr>
      </w:pPr>
      <w:r w:rsidRPr="00873770">
        <w:rPr>
          <w:i/>
        </w:rPr>
        <w:t>Master Metered Multifamily Housing</w:t>
      </w:r>
    </w:p>
    <w:p w:rsidR="003B2EE7" w:rsidRPr="00873770" w:rsidRDefault="003B2EE7" w:rsidP="00E646C9">
      <w:pPr>
        <w:numPr>
          <w:ilvl w:val="0"/>
          <w:numId w:val="90"/>
        </w:numPr>
        <w:ind w:left="360"/>
        <w:rPr>
          <w:i/>
        </w:rPr>
      </w:pPr>
      <w:r w:rsidRPr="00873770">
        <w:rPr>
          <w:i/>
        </w:rPr>
        <w:t>Prescriptive Equipment</w:t>
      </w:r>
    </w:p>
    <w:p w:rsidR="00873770" w:rsidRPr="00873770" w:rsidRDefault="00873770" w:rsidP="00873770"/>
    <w:p w:rsidR="00873770" w:rsidRPr="00873770" w:rsidRDefault="00873770" w:rsidP="00873770">
      <w:pPr>
        <w:rPr>
          <w:rFonts w:ascii="Century Gothic" w:hAnsi="Century Gothic"/>
          <w:b/>
        </w:rPr>
      </w:pPr>
      <w:r w:rsidRPr="00873770">
        <w:rPr>
          <w:rFonts w:ascii="Century Gothic" w:hAnsi="Century Gothic"/>
          <w:b/>
        </w:rPr>
        <w:t>Non-Cost-Effective Programs</w:t>
      </w:r>
    </w:p>
    <w:p w:rsidR="00873770" w:rsidRPr="00873770" w:rsidRDefault="00873770" w:rsidP="00873770">
      <w:pPr>
        <w:spacing w:after="60"/>
        <w:rPr>
          <w:b/>
          <w:color w:val="448A99"/>
        </w:rPr>
      </w:pPr>
      <w:r w:rsidRPr="00873770">
        <w:rPr>
          <w:b/>
          <w:color w:val="448A99"/>
        </w:rPr>
        <w:t>(TRC Ratio &lt; 1.0)</w:t>
      </w:r>
    </w:p>
    <w:p w:rsidR="00873770" w:rsidRPr="00873770" w:rsidRDefault="00873770" w:rsidP="00E646C9">
      <w:pPr>
        <w:numPr>
          <w:ilvl w:val="0"/>
          <w:numId w:val="90"/>
        </w:numPr>
        <w:ind w:left="360"/>
        <w:rPr>
          <w:i/>
        </w:rPr>
      </w:pPr>
      <w:r w:rsidRPr="00873770">
        <w:rPr>
          <w:i/>
        </w:rPr>
        <w:t>Residential Home Comfort</w:t>
      </w:r>
    </w:p>
    <w:p w:rsidR="00873770" w:rsidRPr="00873770" w:rsidRDefault="00873770" w:rsidP="00E646C9">
      <w:pPr>
        <w:numPr>
          <w:ilvl w:val="0"/>
          <w:numId w:val="90"/>
        </w:numPr>
        <w:ind w:left="360"/>
        <w:rPr>
          <w:i/>
        </w:rPr>
      </w:pPr>
      <w:r w:rsidRPr="00873770">
        <w:rPr>
          <w:i/>
        </w:rPr>
        <w:t>Low-Income Wrap</w:t>
      </w:r>
    </w:p>
    <w:p w:rsidR="00873770" w:rsidRPr="00873770" w:rsidRDefault="00873770" w:rsidP="00E646C9">
      <w:pPr>
        <w:numPr>
          <w:ilvl w:val="1"/>
          <w:numId w:val="91"/>
        </w:numPr>
        <w:ind w:left="720"/>
        <w:rPr>
          <w:i/>
        </w:rPr>
      </w:pPr>
      <w:r w:rsidRPr="00873770">
        <w:rPr>
          <w:i/>
        </w:rPr>
        <w:t>Defacto Heating Pilot</w:t>
      </w:r>
      <w:r w:rsidR="00B549B2">
        <w:rPr>
          <w:i/>
        </w:rPr>
        <w:t xml:space="preserve"> </w:t>
      </w:r>
      <w:r w:rsidR="003B2EE7">
        <w:rPr>
          <w:i/>
        </w:rPr>
        <w:t xml:space="preserve">(a </w:t>
      </w:r>
      <w:r w:rsidR="009675DD">
        <w:rPr>
          <w:i/>
        </w:rPr>
        <w:t>component</w:t>
      </w:r>
      <w:r w:rsidR="00974E32" w:rsidRPr="00BE4EB1">
        <w:rPr>
          <w:i/>
        </w:rPr>
        <w:t xml:space="preserve"> of WRAP</w:t>
      </w:r>
      <w:r w:rsidR="00B549B2" w:rsidRPr="00BE4EB1">
        <w:rPr>
          <w:i/>
        </w:rPr>
        <w:t>)</w:t>
      </w:r>
    </w:p>
    <w:p w:rsidR="00873770" w:rsidRPr="00873770" w:rsidRDefault="00873770" w:rsidP="00873770"/>
    <w:p w:rsidR="00873770" w:rsidRPr="00873770" w:rsidRDefault="00873770" w:rsidP="00873770">
      <w:pPr>
        <w:rPr>
          <w:rFonts w:ascii="Century Gothic" w:hAnsi="Century Gothic"/>
          <w:b/>
        </w:rPr>
      </w:pPr>
      <w:r w:rsidRPr="00873770">
        <w:rPr>
          <w:rFonts w:ascii="Century Gothic" w:hAnsi="Century Gothic"/>
          <w:b/>
        </w:rPr>
        <w:t>No Savings claimed</w:t>
      </w:r>
    </w:p>
    <w:p w:rsidR="00873770" w:rsidRPr="00873770" w:rsidRDefault="00873770" w:rsidP="00873770">
      <w:pPr>
        <w:spacing w:after="60"/>
        <w:rPr>
          <w:b/>
          <w:color w:val="448A99"/>
        </w:rPr>
      </w:pPr>
      <w:r w:rsidRPr="00873770">
        <w:rPr>
          <w:b/>
          <w:color w:val="448A99"/>
        </w:rPr>
        <w:t>(TRC Ratio = 0)</w:t>
      </w:r>
    </w:p>
    <w:p w:rsidR="00873770" w:rsidRPr="00873770" w:rsidRDefault="00873770" w:rsidP="00E646C9">
      <w:pPr>
        <w:numPr>
          <w:ilvl w:val="0"/>
          <w:numId w:val="90"/>
        </w:numPr>
        <w:ind w:left="360"/>
        <w:rPr>
          <w:i/>
        </w:rPr>
      </w:pPr>
      <w:r w:rsidRPr="00873770">
        <w:rPr>
          <w:i/>
        </w:rPr>
        <w:t>School Benchmarking</w:t>
      </w:r>
    </w:p>
    <w:p w:rsidR="00950837" w:rsidRDefault="00950837" w:rsidP="00D34B3E">
      <w:pPr>
        <w:pStyle w:val="AppendixAHeading3"/>
      </w:pPr>
      <w:r>
        <w:t>Assumptions and Inputs</w:t>
      </w:r>
    </w:p>
    <w:p w:rsidR="00873770" w:rsidRDefault="003B2EE7" w:rsidP="00873770">
      <w:r w:rsidRPr="00873770">
        <w:t>As stipulated in the approved EE&amp;C Plan, PPL used a discount rate of 8.14% in its TRC model to discount program benefits and costs. The rate was used to compare the NPV of program benefits that will occur later in a measure’s lifetime to the upfront costs of installation and implementation. Different values of LLFs were used for different sectors, as shown in</w:t>
      </w:r>
      <w:r>
        <w:t xml:space="preserve"> </w:t>
      </w:r>
      <w:r w:rsidR="00873770">
        <w:fldChar w:fldCharType="begin"/>
      </w:r>
      <w:r w:rsidR="00873770">
        <w:instrText xml:space="preserve"> REF _Ref472447412 \h </w:instrText>
      </w:r>
      <w:r w:rsidR="00873770">
        <w:fldChar w:fldCharType="separate"/>
      </w:r>
      <w:r w:rsidR="00C301D0">
        <w:t>Table A-</w:t>
      </w:r>
      <w:r w:rsidR="00C301D0">
        <w:rPr>
          <w:noProof/>
        </w:rPr>
        <w:t>138</w:t>
      </w:r>
      <w:r w:rsidR="00873770">
        <w:fldChar w:fldCharType="end"/>
      </w:r>
      <w:r w:rsidR="00873770">
        <w:t>.</w:t>
      </w:r>
      <w:r w:rsidR="00873770" w:rsidRPr="00873770">
        <w:t xml:space="preserve"> </w:t>
      </w:r>
      <w:r w:rsidR="00F4658E" w:rsidRPr="00873770">
        <w:t>Inconsistencies were found in the energy LLF values applied in the TRC model workbook and those specified in the PPL PY</w:t>
      </w:r>
      <w:r w:rsidR="00F4658E">
        <w:t xml:space="preserve">7 </w:t>
      </w:r>
      <w:r w:rsidR="00F4658E" w:rsidRPr="00873770">
        <w:t>annual report, specifically in the Student and Parent Education Program. The SWE believes the values specified in the PY</w:t>
      </w:r>
      <w:r w:rsidR="00F4658E">
        <w:t xml:space="preserve">7 </w:t>
      </w:r>
      <w:r w:rsidR="00F4658E" w:rsidRPr="00873770">
        <w:t>annual report to be incorrect, and has noted the energy LLF used by program in the PPL TRC model in</w:t>
      </w:r>
      <w:r w:rsidR="00F4658E">
        <w:t xml:space="preserve"> </w:t>
      </w:r>
      <w:r w:rsidR="00873770">
        <w:fldChar w:fldCharType="begin"/>
      </w:r>
      <w:r w:rsidR="00873770">
        <w:instrText xml:space="preserve"> REF _Ref472447412 \h </w:instrText>
      </w:r>
      <w:r w:rsidR="00873770">
        <w:fldChar w:fldCharType="separate"/>
      </w:r>
      <w:r w:rsidR="00C301D0">
        <w:t>Table A-</w:t>
      </w:r>
      <w:r w:rsidR="00C301D0">
        <w:rPr>
          <w:noProof/>
        </w:rPr>
        <w:t>138</w:t>
      </w:r>
      <w:r w:rsidR="00873770">
        <w:fldChar w:fldCharType="end"/>
      </w:r>
      <w:r w:rsidR="00873770" w:rsidRPr="00873770">
        <w:t>. These inconsistencies do not materially impact the TRC calculations.</w:t>
      </w:r>
    </w:p>
    <w:p w:rsidR="00873770" w:rsidRDefault="00873770" w:rsidP="00873770"/>
    <w:p w:rsidR="00873770" w:rsidRPr="00873770" w:rsidRDefault="00873770" w:rsidP="00873770">
      <w:pPr>
        <w:pStyle w:val="Caption"/>
      </w:pPr>
      <w:bookmarkStart w:id="1275" w:name="_Ref472447412"/>
      <w:bookmarkStart w:id="1276" w:name="_Toc472472547"/>
      <w:bookmarkStart w:id="1277" w:name="_Toc476842253"/>
      <w:r>
        <w:t>Table A-</w:t>
      </w:r>
      <w:fldSimple w:instr=" SEQ Table_A- \* ARABIC ">
        <w:r w:rsidR="00C301D0">
          <w:rPr>
            <w:noProof/>
          </w:rPr>
          <w:t>138</w:t>
        </w:r>
      </w:fldSimple>
      <w:bookmarkEnd w:id="1275"/>
      <w:r>
        <w:t xml:space="preserve">: </w:t>
      </w:r>
      <w:r w:rsidRPr="00873770">
        <w:t>PPL’s PY</w:t>
      </w:r>
      <w:r>
        <w:t>7</w:t>
      </w:r>
      <w:r w:rsidRPr="00873770">
        <w:t xml:space="preserve"> Discount Rates and LLFs</w:t>
      </w:r>
      <w:bookmarkEnd w:id="1276"/>
      <w:bookmarkEnd w:id="1277"/>
    </w:p>
    <w:tbl>
      <w:tblPr>
        <w:tblW w:w="9355" w:type="dxa"/>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3051"/>
        <w:gridCol w:w="1440"/>
        <w:gridCol w:w="1617"/>
        <w:gridCol w:w="1617"/>
        <w:gridCol w:w="1630"/>
      </w:tblGrid>
      <w:tr w:rsidR="00A874AC" w:rsidRPr="00873770" w:rsidTr="00D77B11">
        <w:trPr>
          <w:trHeight w:val="260"/>
          <w:tblHeader/>
        </w:trPr>
        <w:tc>
          <w:tcPr>
            <w:tcW w:w="3051" w:type="dxa"/>
            <w:shd w:val="clear" w:color="auto" w:fill="448A99"/>
            <w:noWrap/>
            <w:vAlign w:val="bottom"/>
            <w:hideMark/>
          </w:tcPr>
          <w:p w:rsidR="00873770" w:rsidRPr="00873770" w:rsidRDefault="00873770" w:rsidP="00873770">
            <w:pPr>
              <w:jc w:val="left"/>
              <w:rPr>
                <w:b/>
                <w:bCs/>
                <w:color w:val="FFFFFF"/>
                <w:sz w:val="20"/>
                <w:szCs w:val="20"/>
              </w:rPr>
            </w:pPr>
            <w:r w:rsidRPr="00873770">
              <w:rPr>
                <w:b/>
                <w:bCs/>
                <w:color w:val="FFFFFF"/>
                <w:sz w:val="20"/>
                <w:szCs w:val="20"/>
              </w:rPr>
              <w:t>Program</w:t>
            </w:r>
          </w:p>
        </w:tc>
        <w:tc>
          <w:tcPr>
            <w:tcW w:w="1440" w:type="dxa"/>
            <w:shd w:val="clear" w:color="auto" w:fill="448A99"/>
            <w:noWrap/>
            <w:vAlign w:val="bottom"/>
            <w:hideMark/>
          </w:tcPr>
          <w:p w:rsidR="00873770" w:rsidRPr="00873770" w:rsidRDefault="00873770" w:rsidP="00873770">
            <w:pPr>
              <w:jc w:val="center"/>
              <w:rPr>
                <w:b/>
                <w:bCs/>
                <w:color w:val="FFFFFF"/>
                <w:sz w:val="20"/>
                <w:szCs w:val="20"/>
              </w:rPr>
            </w:pPr>
            <w:r w:rsidRPr="00873770">
              <w:rPr>
                <w:b/>
                <w:bCs/>
                <w:color w:val="FFFFFF"/>
                <w:sz w:val="20"/>
                <w:szCs w:val="20"/>
              </w:rPr>
              <w:t>Sector</w:t>
            </w:r>
          </w:p>
        </w:tc>
        <w:tc>
          <w:tcPr>
            <w:tcW w:w="1617" w:type="dxa"/>
            <w:shd w:val="clear" w:color="auto" w:fill="448A99"/>
            <w:noWrap/>
            <w:vAlign w:val="bottom"/>
            <w:hideMark/>
          </w:tcPr>
          <w:p w:rsidR="00873770" w:rsidRPr="00873770" w:rsidRDefault="00873770" w:rsidP="00873770">
            <w:pPr>
              <w:jc w:val="center"/>
              <w:rPr>
                <w:b/>
                <w:bCs/>
                <w:color w:val="FFFFFF"/>
                <w:sz w:val="20"/>
                <w:szCs w:val="20"/>
              </w:rPr>
            </w:pPr>
            <w:r w:rsidRPr="00873770">
              <w:rPr>
                <w:b/>
                <w:bCs/>
                <w:color w:val="FFFFFF"/>
                <w:sz w:val="20"/>
                <w:szCs w:val="20"/>
              </w:rPr>
              <w:t>Discount Rate</w:t>
            </w:r>
          </w:p>
        </w:tc>
        <w:tc>
          <w:tcPr>
            <w:tcW w:w="1617" w:type="dxa"/>
            <w:shd w:val="clear" w:color="auto" w:fill="448A99"/>
            <w:vAlign w:val="bottom"/>
            <w:hideMark/>
          </w:tcPr>
          <w:p w:rsidR="00873770" w:rsidRPr="00873770" w:rsidRDefault="00873770" w:rsidP="00873770">
            <w:pPr>
              <w:jc w:val="center"/>
              <w:rPr>
                <w:b/>
                <w:bCs/>
                <w:color w:val="FFFFFF"/>
                <w:sz w:val="20"/>
                <w:szCs w:val="20"/>
              </w:rPr>
            </w:pPr>
            <w:r w:rsidRPr="00873770">
              <w:rPr>
                <w:b/>
                <w:bCs/>
                <w:color w:val="FFFFFF"/>
                <w:sz w:val="20"/>
                <w:szCs w:val="20"/>
              </w:rPr>
              <w:t>Energy LLF</w:t>
            </w:r>
            <w:r w:rsidRPr="00873770">
              <w:rPr>
                <w:b/>
                <w:bCs/>
                <w:color w:val="FFFFFF"/>
                <w:sz w:val="20"/>
                <w:szCs w:val="20"/>
                <w:vertAlign w:val="superscript"/>
              </w:rPr>
              <w:t>[a]</w:t>
            </w:r>
          </w:p>
        </w:tc>
        <w:tc>
          <w:tcPr>
            <w:tcW w:w="1630" w:type="dxa"/>
            <w:shd w:val="clear" w:color="auto" w:fill="448A99"/>
            <w:vAlign w:val="bottom"/>
            <w:hideMark/>
          </w:tcPr>
          <w:p w:rsidR="00873770" w:rsidRPr="00873770" w:rsidRDefault="00873770" w:rsidP="00873770">
            <w:pPr>
              <w:jc w:val="center"/>
              <w:rPr>
                <w:b/>
                <w:bCs/>
                <w:color w:val="FFFFFF"/>
                <w:sz w:val="20"/>
                <w:szCs w:val="20"/>
              </w:rPr>
            </w:pPr>
            <w:r w:rsidRPr="00873770">
              <w:rPr>
                <w:b/>
                <w:bCs/>
                <w:color w:val="FFFFFF"/>
                <w:sz w:val="20"/>
                <w:szCs w:val="20"/>
              </w:rPr>
              <w:t>Demand LLF</w:t>
            </w:r>
            <w:r w:rsidRPr="00873770">
              <w:rPr>
                <w:b/>
                <w:bCs/>
                <w:color w:val="FFFFFF"/>
                <w:sz w:val="20"/>
                <w:szCs w:val="20"/>
                <w:vertAlign w:val="superscript"/>
              </w:rPr>
              <w:t>[a]</w:t>
            </w:r>
          </w:p>
        </w:tc>
      </w:tr>
      <w:tr w:rsidR="00A874AC" w:rsidRPr="00873770" w:rsidTr="00D77B11">
        <w:trPr>
          <w:trHeight w:val="488"/>
        </w:trPr>
        <w:tc>
          <w:tcPr>
            <w:tcW w:w="3051" w:type="dxa"/>
            <w:shd w:val="clear" w:color="000000" w:fill="D2EAF1"/>
            <w:vAlign w:val="center"/>
          </w:tcPr>
          <w:p w:rsidR="00873770" w:rsidRPr="00873770" w:rsidRDefault="00873770" w:rsidP="00873770">
            <w:pPr>
              <w:jc w:val="left"/>
              <w:rPr>
                <w:color w:val="000000"/>
                <w:sz w:val="20"/>
                <w:szCs w:val="20"/>
              </w:rPr>
            </w:pPr>
            <w:r w:rsidRPr="00873770">
              <w:rPr>
                <w:color w:val="000000"/>
                <w:sz w:val="20"/>
                <w:szCs w:val="20"/>
              </w:rPr>
              <w:t>Appliance Recycling</w:t>
            </w:r>
          </w:p>
        </w:tc>
        <w:tc>
          <w:tcPr>
            <w:tcW w:w="1440"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Residential</w:t>
            </w:r>
            <w:r w:rsidRPr="00873770">
              <w:rPr>
                <w:bCs/>
                <w:color w:val="000000"/>
                <w:sz w:val="20"/>
                <w:szCs w:val="20"/>
                <w:vertAlign w:val="superscript"/>
              </w:rPr>
              <w:t>[b]</w:t>
            </w:r>
          </w:p>
        </w:tc>
        <w:tc>
          <w:tcPr>
            <w:tcW w:w="1617"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7.69%</w:t>
            </w:r>
            <w:r w:rsidRPr="00873770">
              <w:rPr>
                <w:bCs/>
                <w:color w:val="000000"/>
                <w:sz w:val="20"/>
                <w:szCs w:val="20"/>
                <w:vertAlign w:val="superscript"/>
              </w:rPr>
              <w:t>[b]</w:t>
            </w:r>
          </w:p>
        </w:tc>
        <w:tc>
          <w:tcPr>
            <w:tcW w:w="1630"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7.69%</w:t>
            </w:r>
            <w:r w:rsidRPr="00873770">
              <w:rPr>
                <w:bCs/>
                <w:color w:val="000000"/>
                <w:sz w:val="20"/>
                <w:szCs w:val="20"/>
                <w:vertAlign w:val="superscript"/>
              </w:rPr>
              <w:t>[b]</w:t>
            </w:r>
          </w:p>
        </w:tc>
      </w:tr>
      <w:tr w:rsidR="00E7173E" w:rsidRPr="00873770" w:rsidTr="00D77B11">
        <w:trPr>
          <w:trHeight w:val="488"/>
        </w:trPr>
        <w:tc>
          <w:tcPr>
            <w:tcW w:w="3051" w:type="dxa"/>
            <w:shd w:val="clear" w:color="auto" w:fill="auto"/>
            <w:vAlign w:val="center"/>
          </w:tcPr>
          <w:p w:rsidR="00873770" w:rsidRPr="00873770" w:rsidRDefault="00873770" w:rsidP="00873770">
            <w:pPr>
              <w:jc w:val="left"/>
              <w:rPr>
                <w:rFonts w:cs="Arial"/>
                <w:bCs/>
                <w:color w:val="000000"/>
                <w:sz w:val="20"/>
                <w:szCs w:val="20"/>
              </w:rPr>
            </w:pPr>
            <w:r w:rsidRPr="00873770">
              <w:rPr>
                <w:color w:val="000000"/>
                <w:sz w:val="20"/>
                <w:szCs w:val="20"/>
              </w:rPr>
              <w:t>Residential EE Behavior and Education</w:t>
            </w:r>
          </w:p>
        </w:tc>
        <w:tc>
          <w:tcPr>
            <w:tcW w:w="1440"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Residential</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7.69%</w:t>
            </w:r>
          </w:p>
        </w:tc>
        <w:tc>
          <w:tcPr>
            <w:tcW w:w="1630"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7.69%</w:t>
            </w:r>
          </w:p>
        </w:tc>
      </w:tr>
      <w:tr w:rsidR="00A874AC" w:rsidRPr="00873770" w:rsidTr="00D77B11">
        <w:trPr>
          <w:trHeight w:val="488"/>
        </w:trPr>
        <w:tc>
          <w:tcPr>
            <w:tcW w:w="3051" w:type="dxa"/>
            <w:shd w:val="clear" w:color="000000" w:fill="D2EAF1"/>
            <w:vAlign w:val="center"/>
          </w:tcPr>
          <w:p w:rsidR="00873770" w:rsidRPr="00873770" w:rsidRDefault="00873770" w:rsidP="00873770">
            <w:pPr>
              <w:jc w:val="left"/>
              <w:rPr>
                <w:color w:val="000000"/>
                <w:sz w:val="20"/>
                <w:szCs w:val="20"/>
              </w:rPr>
            </w:pPr>
            <w:r w:rsidRPr="00873770">
              <w:rPr>
                <w:color w:val="000000"/>
                <w:sz w:val="20"/>
                <w:szCs w:val="20"/>
              </w:rPr>
              <w:t>Residential Home Comfort</w:t>
            </w:r>
          </w:p>
        </w:tc>
        <w:tc>
          <w:tcPr>
            <w:tcW w:w="1440"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Residential</w:t>
            </w:r>
            <w:r w:rsidRPr="00873770">
              <w:rPr>
                <w:bCs/>
                <w:color w:val="000000"/>
                <w:sz w:val="20"/>
                <w:szCs w:val="20"/>
                <w:vertAlign w:val="superscript"/>
              </w:rPr>
              <w:t>[b]</w:t>
            </w:r>
          </w:p>
        </w:tc>
        <w:tc>
          <w:tcPr>
            <w:tcW w:w="1617"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7.69%</w:t>
            </w:r>
            <w:r w:rsidRPr="00873770">
              <w:rPr>
                <w:bCs/>
                <w:color w:val="000000"/>
                <w:sz w:val="20"/>
                <w:szCs w:val="20"/>
                <w:vertAlign w:val="superscript"/>
              </w:rPr>
              <w:t>[b]</w:t>
            </w:r>
          </w:p>
        </w:tc>
        <w:tc>
          <w:tcPr>
            <w:tcW w:w="1630"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7.69%</w:t>
            </w:r>
            <w:r w:rsidRPr="00873770">
              <w:rPr>
                <w:bCs/>
                <w:color w:val="000000"/>
                <w:sz w:val="20"/>
                <w:szCs w:val="20"/>
                <w:vertAlign w:val="superscript"/>
              </w:rPr>
              <w:t>[b]</w:t>
            </w:r>
          </w:p>
        </w:tc>
      </w:tr>
      <w:tr w:rsidR="00E7173E" w:rsidRPr="00873770" w:rsidTr="00D77B11">
        <w:trPr>
          <w:trHeight w:val="488"/>
        </w:trPr>
        <w:tc>
          <w:tcPr>
            <w:tcW w:w="3051" w:type="dxa"/>
            <w:shd w:val="clear" w:color="auto" w:fill="auto"/>
            <w:vAlign w:val="center"/>
          </w:tcPr>
          <w:p w:rsidR="00873770" w:rsidRPr="00873770" w:rsidRDefault="00873770" w:rsidP="00873770">
            <w:pPr>
              <w:jc w:val="left"/>
              <w:rPr>
                <w:color w:val="000000"/>
                <w:sz w:val="20"/>
                <w:szCs w:val="20"/>
              </w:rPr>
            </w:pPr>
            <w:r w:rsidRPr="00873770">
              <w:rPr>
                <w:color w:val="000000"/>
                <w:sz w:val="20"/>
                <w:szCs w:val="20"/>
              </w:rPr>
              <w:t>Residential Retail</w:t>
            </w:r>
          </w:p>
        </w:tc>
        <w:tc>
          <w:tcPr>
            <w:tcW w:w="1440"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Residential</w:t>
            </w:r>
            <w:r w:rsidRPr="00873770">
              <w:rPr>
                <w:bCs/>
                <w:color w:val="000000"/>
                <w:sz w:val="20"/>
                <w:szCs w:val="20"/>
                <w:vertAlign w:val="superscript"/>
              </w:rPr>
              <w:t>[b]</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7.69%</w:t>
            </w:r>
            <w:r w:rsidRPr="00873770">
              <w:rPr>
                <w:bCs/>
                <w:color w:val="000000"/>
                <w:sz w:val="20"/>
                <w:szCs w:val="20"/>
                <w:vertAlign w:val="superscript"/>
              </w:rPr>
              <w:t>[b]</w:t>
            </w:r>
          </w:p>
        </w:tc>
        <w:tc>
          <w:tcPr>
            <w:tcW w:w="1630"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7.69%</w:t>
            </w:r>
            <w:r w:rsidRPr="00873770">
              <w:rPr>
                <w:bCs/>
                <w:color w:val="000000"/>
                <w:sz w:val="20"/>
                <w:szCs w:val="20"/>
                <w:vertAlign w:val="superscript"/>
              </w:rPr>
              <w:t>[b]</w:t>
            </w:r>
          </w:p>
        </w:tc>
      </w:tr>
      <w:tr w:rsidR="00A874AC" w:rsidRPr="00873770" w:rsidTr="00D77B11">
        <w:trPr>
          <w:trHeight w:val="488"/>
        </w:trPr>
        <w:tc>
          <w:tcPr>
            <w:tcW w:w="3051" w:type="dxa"/>
            <w:shd w:val="clear" w:color="000000" w:fill="D2EAF1"/>
            <w:vAlign w:val="center"/>
          </w:tcPr>
          <w:p w:rsidR="00873770" w:rsidRPr="00873770" w:rsidRDefault="00873770" w:rsidP="00873770">
            <w:pPr>
              <w:jc w:val="left"/>
              <w:rPr>
                <w:color w:val="000000"/>
                <w:sz w:val="20"/>
                <w:szCs w:val="20"/>
              </w:rPr>
            </w:pPr>
            <w:r w:rsidRPr="00873770">
              <w:rPr>
                <w:color w:val="000000"/>
                <w:sz w:val="20"/>
                <w:szCs w:val="20"/>
              </w:rPr>
              <w:t>Student and Parent Education</w:t>
            </w:r>
          </w:p>
        </w:tc>
        <w:tc>
          <w:tcPr>
            <w:tcW w:w="1440" w:type="dxa"/>
            <w:shd w:val="clear" w:color="000000" w:fill="D2EAF1"/>
            <w:noWrap/>
            <w:vAlign w:val="center"/>
          </w:tcPr>
          <w:p w:rsidR="00873770" w:rsidRPr="00873770" w:rsidRDefault="00873770" w:rsidP="00873770">
            <w:pPr>
              <w:jc w:val="center"/>
              <w:rPr>
                <w:b/>
                <w:color w:val="000000"/>
                <w:sz w:val="20"/>
                <w:szCs w:val="20"/>
              </w:rPr>
            </w:pPr>
            <w:r w:rsidRPr="00873770">
              <w:rPr>
                <w:color w:val="000000"/>
                <w:sz w:val="20"/>
                <w:szCs w:val="20"/>
              </w:rPr>
              <w:t>Residential</w:t>
            </w:r>
            <w:r w:rsidRPr="00873770">
              <w:rPr>
                <w:bCs/>
                <w:color w:val="000000"/>
                <w:sz w:val="20"/>
                <w:szCs w:val="20"/>
                <w:vertAlign w:val="superscript"/>
              </w:rPr>
              <w:t>[c]</w:t>
            </w:r>
          </w:p>
        </w:tc>
        <w:tc>
          <w:tcPr>
            <w:tcW w:w="1617"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7.69%</w:t>
            </w:r>
            <w:r w:rsidRPr="00873770">
              <w:rPr>
                <w:bCs/>
                <w:color w:val="000000"/>
                <w:sz w:val="20"/>
                <w:szCs w:val="20"/>
                <w:vertAlign w:val="superscript"/>
              </w:rPr>
              <w:t>[c]</w:t>
            </w:r>
          </w:p>
        </w:tc>
        <w:tc>
          <w:tcPr>
            <w:tcW w:w="1630"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7.69%</w:t>
            </w:r>
            <w:r w:rsidRPr="00873770">
              <w:rPr>
                <w:bCs/>
                <w:color w:val="000000"/>
                <w:sz w:val="20"/>
                <w:szCs w:val="20"/>
                <w:vertAlign w:val="superscript"/>
              </w:rPr>
              <w:t>[c]</w:t>
            </w:r>
          </w:p>
        </w:tc>
      </w:tr>
      <w:tr w:rsidR="00E7173E" w:rsidRPr="00873770" w:rsidTr="00D77B11">
        <w:trPr>
          <w:trHeight w:val="488"/>
        </w:trPr>
        <w:tc>
          <w:tcPr>
            <w:tcW w:w="3051" w:type="dxa"/>
            <w:shd w:val="clear" w:color="auto" w:fill="auto"/>
            <w:vAlign w:val="center"/>
          </w:tcPr>
          <w:p w:rsidR="00873770" w:rsidRPr="00873770" w:rsidRDefault="00873770" w:rsidP="00873770">
            <w:pPr>
              <w:jc w:val="left"/>
              <w:rPr>
                <w:color w:val="000000"/>
                <w:sz w:val="20"/>
                <w:szCs w:val="20"/>
              </w:rPr>
            </w:pPr>
            <w:r w:rsidRPr="00873770">
              <w:rPr>
                <w:color w:val="000000"/>
                <w:sz w:val="20"/>
                <w:szCs w:val="20"/>
              </w:rPr>
              <w:t>E-Power Wise</w:t>
            </w:r>
          </w:p>
        </w:tc>
        <w:tc>
          <w:tcPr>
            <w:tcW w:w="1440"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Residential</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7.69%</w:t>
            </w:r>
          </w:p>
        </w:tc>
        <w:tc>
          <w:tcPr>
            <w:tcW w:w="1630"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7.69%</w:t>
            </w:r>
          </w:p>
        </w:tc>
      </w:tr>
      <w:tr w:rsidR="00A874AC" w:rsidRPr="00873770" w:rsidTr="00D77B11">
        <w:trPr>
          <w:trHeight w:val="488"/>
        </w:trPr>
        <w:tc>
          <w:tcPr>
            <w:tcW w:w="3051" w:type="dxa"/>
            <w:shd w:val="clear" w:color="auto" w:fill="D2EAF1"/>
            <w:vAlign w:val="center"/>
          </w:tcPr>
          <w:p w:rsidR="00873770" w:rsidRPr="00873770" w:rsidRDefault="00873770" w:rsidP="00873770">
            <w:pPr>
              <w:jc w:val="left"/>
              <w:rPr>
                <w:color w:val="000000"/>
                <w:sz w:val="20"/>
                <w:szCs w:val="20"/>
              </w:rPr>
            </w:pPr>
            <w:r w:rsidRPr="00873770">
              <w:rPr>
                <w:color w:val="000000"/>
                <w:sz w:val="20"/>
                <w:szCs w:val="20"/>
              </w:rPr>
              <w:t>Wise Home Pilot</w:t>
            </w:r>
          </w:p>
        </w:tc>
        <w:tc>
          <w:tcPr>
            <w:tcW w:w="1440" w:type="dxa"/>
            <w:shd w:val="clear" w:color="auto" w:fill="D2EAF1"/>
            <w:noWrap/>
            <w:vAlign w:val="center"/>
          </w:tcPr>
          <w:p w:rsidR="00873770" w:rsidRPr="00873770" w:rsidRDefault="00873770" w:rsidP="00873770">
            <w:pPr>
              <w:jc w:val="center"/>
              <w:rPr>
                <w:color w:val="000000"/>
                <w:sz w:val="20"/>
                <w:szCs w:val="20"/>
              </w:rPr>
            </w:pPr>
            <w:r w:rsidRPr="00873770">
              <w:rPr>
                <w:color w:val="000000"/>
                <w:sz w:val="20"/>
                <w:szCs w:val="20"/>
              </w:rPr>
              <w:t>Residential</w:t>
            </w:r>
          </w:p>
        </w:tc>
        <w:tc>
          <w:tcPr>
            <w:tcW w:w="1617" w:type="dxa"/>
            <w:shd w:val="clear" w:color="auto" w:fill="D2EAF1"/>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auto" w:fill="D2EAF1"/>
            <w:noWrap/>
            <w:vAlign w:val="center"/>
          </w:tcPr>
          <w:p w:rsidR="00873770" w:rsidRPr="00873770" w:rsidRDefault="00873770" w:rsidP="00873770">
            <w:pPr>
              <w:jc w:val="center"/>
              <w:rPr>
                <w:color w:val="000000"/>
                <w:sz w:val="20"/>
                <w:szCs w:val="20"/>
              </w:rPr>
            </w:pPr>
            <w:r w:rsidRPr="00873770">
              <w:rPr>
                <w:color w:val="000000"/>
                <w:sz w:val="20"/>
                <w:szCs w:val="20"/>
              </w:rPr>
              <w:t>7.69%</w:t>
            </w:r>
          </w:p>
        </w:tc>
        <w:tc>
          <w:tcPr>
            <w:tcW w:w="1630" w:type="dxa"/>
            <w:shd w:val="clear" w:color="auto" w:fill="D2EAF1"/>
            <w:noWrap/>
            <w:vAlign w:val="center"/>
          </w:tcPr>
          <w:p w:rsidR="00873770" w:rsidRPr="00873770" w:rsidRDefault="00873770" w:rsidP="00873770">
            <w:pPr>
              <w:jc w:val="center"/>
              <w:rPr>
                <w:color w:val="000000"/>
                <w:sz w:val="20"/>
                <w:szCs w:val="20"/>
              </w:rPr>
            </w:pPr>
            <w:r w:rsidRPr="00873770">
              <w:rPr>
                <w:color w:val="000000"/>
                <w:sz w:val="20"/>
                <w:szCs w:val="20"/>
              </w:rPr>
              <w:t>7.69%</w:t>
            </w:r>
          </w:p>
        </w:tc>
      </w:tr>
      <w:tr w:rsidR="00E7173E" w:rsidRPr="00873770" w:rsidTr="00D77B11">
        <w:trPr>
          <w:trHeight w:val="488"/>
        </w:trPr>
        <w:tc>
          <w:tcPr>
            <w:tcW w:w="3051" w:type="dxa"/>
            <w:shd w:val="clear" w:color="auto" w:fill="auto"/>
            <w:vAlign w:val="center"/>
          </w:tcPr>
          <w:p w:rsidR="00873770" w:rsidRPr="00873770" w:rsidRDefault="00873770" w:rsidP="00873770">
            <w:pPr>
              <w:jc w:val="left"/>
              <w:rPr>
                <w:color w:val="000000"/>
                <w:sz w:val="20"/>
                <w:szCs w:val="20"/>
              </w:rPr>
            </w:pPr>
            <w:r w:rsidRPr="00873770">
              <w:rPr>
                <w:color w:val="000000"/>
                <w:sz w:val="20"/>
                <w:szCs w:val="20"/>
              </w:rPr>
              <w:t>Low-Income EE Behavior and Education</w:t>
            </w:r>
          </w:p>
        </w:tc>
        <w:tc>
          <w:tcPr>
            <w:tcW w:w="1440"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Residential</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7.69%</w:t>
            </w:r>
          </w:p>
        </w:tc>
        <w:tc>
          <w:tcPr>
            <w:tcW w:w="1630"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7.69%</w:t>
            </w:r>
          </w:p>
        </w:tc>
      </w:tr>
      <w:tr w:rsidR="00A874AC" w:rsidRPr="00873770" w:rsidTr="00D77B11">
        <w:trPr>
          <w:trHeight w:val="488"/>
        </w:trPr>
        <w:tc>
          <w:tcPr>
            <w:tcW w:w="3051" w:type="dxa"/>
            <w:shd w:val="clear" w:color="auto" w:fill="D2EAF1"/>
            <w:vAlign w:val="center"/>
          </w:tcPr>
          <w:p w:rsidR="00873770" w:rsidRPr="00873770" w:rsidRDefault="00873770" w:rsidP="00873770">
            <w:pPr>
              <w:jc w:val="left"/>
              <w:rPr>
                <w:color w:val="000000"/>
                <w:sz w:val="20"/>
                <w:szCs w:val="20"/>
              </w:rPr>
            </w:pPr>
            <w:r w:rsidRPr="00873770">
              <w:rPr>
                <w:color w:val="000000"/>
                <w:sz w:val="20"/>
                <w:szCs w:val="20"/>
              </w:rPr>
              <w:t>Low-Income WRAP</w:t>
            </w:r>
          </w:p>
        </w:tc>
        <w:tc>
          <w:tcPr>
            <w:tcW w:w="1440" w:type="dxa"/>
            <w:shd w:val="clear" w:color="auto" w:fill="D2EAF1"/>
            <w:noWrap/>
            <w:vAlign w:val="center"/>
          </w:tcPr>
          <w:p w:rsidR="00873770" w:rsidRPr="00873770" w:rsidRDefault="00873770" w:rsidP="00873770">
            <w:pPr>
              <w:jc w:val="center"/>
              <w:rPr>
                <w:color w:val="000000"/>
                <w:sz w:val="20"/>
                <w:szCs w:val="20"/>
              </w:rPr>
            </w:pPr>
            <w:r w:rsidRPr="00873770">
              <w:rPr>
                <w:color w:val="000000"/>
                <w:sz w:val="20"/>
                <w:szCs w:val="20"/>
              </w:rPr>
              <w:t>Residential</w:t>
            </w:r>
          </w:p>
        </w:tc>
        <w:tc>
          <w:tcPr>
            <w:tcW w:w="1617" w:type="dxa"/>
            <w:shd w:val="clear" w:color="auto" w:fill="D2EAF1"/>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auto" w:fill="D2EAF1"/>
            <w:noWrap/>
            <w:vAlign w:val="center"/>
          </w:tcPr>
          <w:p w:rsidR="00873770" w:rsidRPr="00873770" w:rsidRDefault="00873770" w:rsidP="00873770">
            <w:pPr>
              <w:jc w:val="center"/>
              <w:rPr>
                <w:color w:val="000000"/>
                <w:sz w:val="20"/>
                <w:szCs w:val="20"/>
              </w:rPr>
            </w:pPr>
            <w:r w:rsidRPr="00873770">
              <w:rPr>
                <w:color w:val="000000"/>
                <w:sz w:val="20"/>
                <w:szCs w:val="20"/>
              </w:rPr>
              <w:t>7.69%</w:t>
            </w:r>
          </w:p>
        </w:tc>
        <w:tc>
          <w:tcPr>
            <w:tcW w:w="1630" w:type="dxa"/>
            <w:shd w:val="clear" w:color="auto" w:fill="D2EAF1"/>
            <w:noWrap/>
            <w:vAlign w:val="center"/>
          </w:tcPr>
          <w:p w:rsidR="00873770" w:rsidRPr="00873770" w:rsidRDefault="00873770" w:rsidP="00873770">
            <w:pPr>
              <w:jc w:val="center"/>
              <w:rPr>
                <w:color w:val="000000"/>
                <w:sz w:val="20"/>
                <w:szCs w:val="20"/>
              </w:rPr>
            </w:pPr>
            <w:r w:rsidRPr="00873770">
              <w:rPr>
                <w:color w:val="000000"/>
                <w:sz w:val="20"/>
                <w:szCs w:val="20"/>
              </w:rPr>
              <w:t>7.69%</w:t>
            </w:r>
          </w:p>
        </w:tc>
      </w:tr>
      <w:tr w:rsidR="00E7173E" w:rsidRPr="00873770" w:rsidTr="00D77B11">
        <w:trPr>
          <w:trHeight w:val="488"/>
        </w:trPr>
        <w:tc>
          <w:tcPr>
            <w:tcW w:w="3051" w:type="dxa"/>
            <w:shd w:val="clear" w:color="auto" w:fill="auto"/>
            <w:vAlign w:val="center"/>
          </w:tcPr>
          <w:p w:rsidR="00873770" w:rsidRPr="00873770" w:rsidRDefault="00873770" w:rsidP="00873770">
            <w:pPr>
              <w:jc w:val="left"/>
              <w:rPr>
                <w:color w:val="000000"/>
                <w:sz w:val="20"/>
                <w:szCs w:val="20"/>
              </w:rPr>
            </w:pPr>
            <w:r w:rsidRPr="00873770">
              <w:rPr>
                <w:color w:val="000000"/>
                <w:sz w:val="20"/>
                <w:szCs w:val="20"/>
              </w:rPr>
              <w:t>Defacto Heating Pilot</w:t>
            </w:r>
          </w:p>
        </w:tc>
        <w:tc>
          <w:tcPr>
            <w:tcW w:w="1440"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Residential</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7.69%</w:t>
            </w:r>
          </w:p>
        </w:tc>
        <w:tc>
          <w:tcPr>
            <w:tcW w:w="1630"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7.69%</w:t>
            </w:r>
          </w:p>
        </w:tc>
      </w:tr>
      <w:tr w:rsidR="00A874AC" w:rsidRPr="00873770" w:rsidTr="00D77B11">
        <w:trPr>
          <w:trHeight w:val="488"/>
        </w:trPr>
        <w:tc>
          <w:tcPr>
            <w:tcW w:w="3051" w:type="dxa"/>
            <w:shd w:val="clear" w:color="000000" w:fill="D2EAF1"/>
            <w:vAlign w:val="center"/>
          </w:tcPr>
          <w:p w:rsidR="00873770" w:rsidRPr="00873770" w:rsidRDefault="00873770" w:rsidP="00873770">
            <w:pPr>
              <w:jc w:val="left"/>
              <w:rPr>
                <w:color w:val="000000"/>
                <w:sz w:val="20"/>
                <w:szCs w:val="20"/>
              </w:rPr>
            </w:pPr>
            <w:r w:rsidRPr="00873770">
              <w:rPr>
                <w:color w:val="000000"/>
                <w:sz w:val="20"/>
                <w:szCs w:val="20"/>
              </w:rPr>
              <w:t>Continuous Energy Improvement</w:t>
            </w:r>
          </w:p>
        </w:tc>
        <w:tc>
          <w:tcPr>
            <w:tcW w:w="1440"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GNI</w:t>
            </w:r>
          </w:p>
        </w:tc>
        <w:tc>
          <w:tcPr>
            <w:tcW w:w="1617"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5.86%</w:t>
            </w:r>
          </w:p>
        </w:tc>
        <w:tc>
          <w:tcPr>
            <w:tcW w:w="1630"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5.86%</w:t>
            </w:r>
          </w:p>
        </w:tc>
      </w:tr>
      <w:tr w:rsidR="00E7173E" w:rsidRPr="00873770" w:rsidTr="00D77B11">
        <w:trPr>
          <w:trHeight w:val="488"/>
        </w:trPr>
        <w:tc>
          <w:tcPr>
            <w:tcW w:w="3051" w:type="dxa"/>
            <w:shd w:val="clear" w:color="auto" w:fill="auto"/>
            <w:vAlign w:val="center"/>
          </w:tcPr>
          <w:p w:rsidR="00873770" w:rsidRPr="00873770" w:rsidRDefault="00873770" w:rsidP="00873770">
            <w:pPr>
              <w:jc w:val="left"/>
              <w:rPr>
                <w:color w:val="000000"/>
                <w:sz w:val="20"/>
                <w:szCs w:val="20"/>
              </w:rPr>
            </w:pPr>
            <w:r w:rsidRPr="00873770">
              <w:rPr>
                <w:color w:val="000000"/>
                <w:sz w:val="20"/>
                <w:szCs w:val="20"/>
              </w:rPr>
              <w:t>Custom Incentive</w:t>
            </w:r>
          </w:p>
        </w:tc>
        <w:tc>
          <w:tcPr>
            <w:tcW w:w="1440"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C/I</w:t>
            </w:r>
            <w:r w:rsidRPr="00873770">
              <w:rPr>
                <w:bCs/>
                <w:color w:val="000000"/>
                <w:sz w:val="20"/>
                <w:szCs w:val="20"/>
                <w:vertAlign w:val="superscript"/>
              </w:rPr>
              <w:t>[b]</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3.96%</w:t>
            </w:r>
            <w:r w:rsidRPr="00873770">
              <w:rPr>
                <w:bCs/>
                <w:color w:val="000000"/>
                <w:sz w:val="20"/>
                <w:szCs w:val="20"/>
                <w:vertAlign w:val="superscript"/>
              </w:rPr>
              <w:t>[b]</w:t>
            </w:r>
          </w:p>
        </w:tc>
        <w:tc>
          <w:tcPr>
            <w:tcW w:w="1630" w:type="dxa"/>
            <w:shd w:val="clear" w:color="auto" w:fill="auto"/>
            <w:vAlign w:val="center"/>
          </w:tcPr>
          <w:p w:rsidR="00873770" w:rsidRPr="00873770" w:rsidRDefault="00873770" w:rsidP="00873770">
            <w:pPr>
              <w:jc w:val="center"/>
              <w:rPr>
                <w:color w:val="000000"/>
                <w:sz w:val="20"/>
                <w:szCs w:val="20"/>
              </w:rPr>
            </w:pPr>
            <w:r w:rsidRPr="00873770">
              <w:rPr>
                <w:color w:val="000000"/>
                <w:sz w:val="20"/>
                <w:szCs w:val="20"/>
              </w:rPr>
              <w:t>3.96%</w:t>
            </w:r>
            <w:r w:rsidRPr="00873770">
              <w:rPr>
                <w:bCs/>
                <w:color w:val="000000"/>
                <w:sz w:val="20"/>
                <w:szCs w:val="20"/>
                <w:vertAlign w:val="superscript"/>
              </w:rPr>
              <w:t>[b]</w:t>
            </w:r>
          </w:p>
        </w:tc>
      </w:tr>
      <w:tr w:rsidR="00A874AC" w:rsidRPr="00873770" w:rsidTr="00D77B11">
        <w:trPr>
          <w:trHeight w:val="488"/>
        </w:trPr>
        <w:tc>
          <w:tcPr>
            <w:tcW w:w="3051" w:type="dxa"/>
            <w:shd w:val="clear" w:color="000000" w:fill="D2EAF1"/>
            <w:vAlign w:val="center"/>
          </w:tcPr>
          <w:p w:rsidR="00873770" w:rsidRPr="00873770" w:rsidRDefault="00873770" w:rsidP="00873770">
            <w:pPr>
              <w:jc w:val="left"/>
              <w:rPr>
                <w:color w:val="000000"/>
                <w:sz w:val="20"/>
                <w:szCs w:val="20"/>
              </w:rPr>
            </w:pPr>
            <w:r w:rsidRPr="00873770">
              <w:rPr>
                <w:color w:val="000000"/>
                <w:sz w:val="20"/>
                <w:szCs w:val="20"/>
              </w:rPr>
              <w:t>Master Metered Multifamily Housing</w:t>
            </w:r>
          </w:p>
        </w:tc>
        <w:tc>
          <w:tcPr>
            <w:tcW w:w="1440"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GNI</w:t>
            </w:r>
          </w:p>
        </w:tc>
        <w:tc>
          <w:tcPr>
            <w:tcW w:w="1617"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5.86%</w:t>
            </w:r>
          </w:p>
        </w:tc>
        <w:tc>
          <w:tcPr>
            <w:tcW w:w="1630" w:type="dxa"/>
            <w:shd w:val="clear" w:color="000000" w:fill="D2EAF1"/>
            <w:vAlign w:val="center"/>
          </w:tcPr>
          <w:p w:rsidR="00873770" w:rsidRPr="00873770" w:rsidRDefault="00873770" w:rsidP="00873770">
            <w:pPr>
              <w:jc w:val="center"/>
              <w:rPr>
                <w:color w:val="000000"/>
                <w:sz w:val="20"/>
                <w:szCs w:val="20"/>
              </w:rPr>
            </w:pPr>
            <w:r w:rsidRPr="00873770">
              <w:rPr>
                <w:color w:val="000000"/>
                <w:sz w:val="20"/>
                <w:szCs w:val="20"/>
              </w:rPr>
              <w:t>5.86%</w:t>
            </w:r>
          </w:p>
        </w:tc>
      </w:tr>
      <w:tr w:rsidR="00E7173E" w:rsidRPr="00873770" w:rsidTr="00D77B11">
        <w:trPr>
          <w:trHeight w:val="488"/>
        </w:trPr>
        <w:tc>
          <w:tcPr>
            <w:tcW w:w="3051" w:type="dxa"/>
            <w:shd w:val="clear" w:color="auto" w:fill="auto"/>
            <w:vAlign w:val="center"/>
          </w:tcPr>
          <w:p w:rsidR="00873770" w:rsidRPr="00873770" w:rsidRDefault="00873770" w:rsidP="00873770">
            <w:pPr>
              <w:jc w:val="left"/>
              <w:rPr>
                <w:color w:val="000000"/>
                <w:sz w:val="20"/>
                <w:szCs w:val="20"/>
              </w:rPr>
            </w:pPr>
            <w:r w:rsidRPr="00873770">
              <w:rPr>
                <w:color w:val="000000"/>
                <w:sz w:val="20"/>
                <w:szCs w:val="20"/>
              </w:rPr>
              <w:t>Prescriptive Equipment</w:t>
            </w:r>
          </w:p>
        </w:tc>
        <w:tc>
          <w:tcPr>
            <w:tcW w:w="1440"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C/I</w:t>
            </w:r>
            <w:r w:rsidRPr="00873770">
              <w:rPr>
                <w:bCs/>
                <w:color w:val="000000"/>
                <w:sz w:val="20"/>
                <w:szCs w:val="20"/>
                <w:vertAlign w:val="superscript"/>
              </w:rPr>
              <w:t>[b]</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auto" w:fill="auto"/>
            <w:noWrap/>
            <w:vAlign w:val="center"/>
          </w:tcPr>
          <w:p w:rsidR="00873770" w:rsidRPr="00873770" w:rsidRDefault="00873770" w:rsidP="00873770">
            <w:pPr>
              <w:jc w:val="center"/>
              <w:rPr>
                <w:color w:val="000000"/>
                <w:sz w:val="20"/>
                <w:szCs w:val="20"/>
              </w:rPr>
            </w:pPr>
            <w:r w:rsidRPr="00873770">
              <w:rPr>
                <w:color w:val="000000"/>
                <w:sz w:val="20"/>
                <w:szCs w:val="20"/>
              </w:rPr>
              <w:t>7.69%</w:t>
            </w:r>
            <w:r w:rsidRPr="00873770">
              <w:rPr>
                <w:bCs/>
                <w:color w:val="000000"/>
                <w:sz w:val="20"/>
                <w:szCs w:val="20"/>
                <w:vertAlign w:val="superscript"/>
              </w:rPr>
              <w:t>[b]</w:t>
            </w:r>
          </w:p>
        </w:tc>
        <w:tc>
          <w:tcPr>
            <w:tcW w:w="1630" w:type="dxa"/>
            <w:shd w:val="clear" w:color="auto" w:fill="auto"/>
            <w:vAlign w:val="center"/>
          </w:tcPr>
          <w:p w:rsidR="00873770" w:rsidRPr="00873770" w:rsidRDefault="00873770" w:rsidP="00873770">
            <w:pPr>
              <w:jc w:val="center"/>
              <w:rPr>
                <w:color w:val="000000"/>
                <w:sz w:val="20"/>
                <w:szCs w:val="20"/>
              </w:rPr>
            </w:pPr>
            <w:r w:rsidRPr="00873770">
              <w:rPr>
                <w:color w:val="000000"/>
                <w:sz w:val="20"/>
                <w:szCs w:val="20"/>
              </w:rPr>
              <w:t>7.69%</w:t>
            </w:r>
            <w:r w:rsidRPr="00873770">
              <w:rPr>
                <w:bCs/>
                <w:color w:val="000000"/>
                <w:sz w:val="20"/>
                <w:szCs w:val="20"/>
                <w:vertAlign w:val="superscript"/>
              </w:rPr>
              <w:t>[b]</w:t>
            </w:r>
          </w:p>
        </w:tc>
      </w:tr>
      <w:tr w:rsidR="00A874AC" w:rsidRPr="00873770" w:rsidTr="00D77B11">
        <w:trPr>
          <w:trHeight w:val="489"/>
        </w:trPr>
        <w:tc>
          <w:tcPr>
            <w:tcW w:w="3051" w:type="dxa"/>
            <w:shd w:val="clear" w:color="000000" w:fill="D2EAF1"/>
            <w:vAlign w:val="center"/>
          </w:tcPr>
          <w:p w:rsidR="00873770" w:rsidRPr="00873770" w:rsidRDefault="00873770" w:rsidP="00873770">
            <w:pPr>
              <w:jc w:val="left"/>
              <w:rPr>
                <w:color w:val="000000"/>
                <w:sz w:val="20"/>
                <w:szCs w:val="20"/>
              </w:rPr>
            </w:pPr>
            <w:r w:rsidRPr="00873770">
              <w:rPr>
                <w:color w:val="000000"/>
                <w:sz w:val="20"/>
                <w:szCs w:val="20"/>
              </w:rPr>
              <w:t>School Benchmarking</w:t>
            </w:r>
          </w:p>
        </w:tc>
        <w:tc>
          <w:tcPr>
            <w:tcW w:w="1440"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GNI</w:t>
            </w:r>
          </w:p>
        </w:tc>
        <w:tc>
          <w:tcPr>
            <w:tcW w:w="1617"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8.14%</w:t>
            </w:r>
          </w:p>
        </w:tc>
        <w:tc>
          <w:tcPr>
            <w:tcW w:w="1617" w:type="dxa"/>
            <w:shd w:val="clear" w:color="000000" w:fill="D2EAF1"/>
            <w:noWrap/>
            <w:vAlign w:val="center"/>
          </w:tcPr>
          <w:p w:rsidR="00873770" w:rsidRPr="00873770" w:rsidRDefault="00873770" w:rsidP="00873770">
            <w:pPr>
              <w:jc w:val="center"/>
              <w:rPr>
                <w:color w:val="000000"/>
                <w:sz w:val="20"/>
                <w:szCs w:val="20"/>
              </w:rPr>
            </w:pPr>
            <w:r w:rsidRPr="00873770">
              <w:rPr>
                <w:color w:val="000000"/>
                <w:sz w:val="20"/>
                <w:szCs w:val="20"/>
              </w:rPr>
              <w:t>5.86%</w:t>
            </w:r>
          </w:p>
        </w:tc>
        <w:tc>
          <w:tcPr>
            <w:tcW w:w="1630" w:type="dxa"/>
            <w:shd w:val="clear" w:color="000000" w:fill="D2EAF1"/>
            <w:vAlign w:val="center"/>
          </w:tcPr>
          <w:p w:rsidR="00873770" w:rsidRPr="00873770" w:rsidRDefault="00873770" w:rsidP="00873770">
            <w:pPr>
              <w:jc w:val="center"/>
              <w:rPr>
                <w:color w:val="000000"/>
                <w:sz w:val="20"/>
                <w:szCs w:val="20"/>
              </w:rPr>
            </w:pPr>
            <w:r w:rsidRPr="00873770">
              <w:rPr>
                <w:color w:val="000000"/>
                <w:sz w:val="20"/>
                <w:szCs w:val="20"/>
              </w:rPr>
              <w:t>5.86%</w:t>
            </w:r>
          </w:p>
        </w:tc>
      </w:tr>
      <w:tr w:rsidR="00E7173E" w:rsidRPr="001D0677" w:rsidTr="00D77B11">
        <w:trPr>
          <w:trHeight w:val="302"/>
        </w:trPr>
        <w:tc>
          <w:tcPr>
            <w:tcW w:w="9355" w:type="dxa"/>
            <w:gridSpan w:val="5"/>
            <w:shd w:val="clear" w:color="auto" w:fill="448A99"/>
            <w:vAlign w:val="center"/>
          </w:tcPr>
          <w:p w:rsidR="00873770" w:rsidRPr="001D0677" w:rsidRDefault="006142E6" w:rsidP="00873770">
            <w:pPr>
              <w:jc w:val="left"/>
              <w:rPr>
                <w:color w:val="FFFFFF"/>
                <w:sz w:val="18"/>
                <w:szCs w:val="20"/>
              </w:rPr>
            </w:pPr>
            <w:r w:rsidRPr="001D0677">
              <w:rPr>
                <w:color w:val="FFFFFF"/>
                <w:sz w:val="18"/>
                <w:szCs w:val="20"/>
              </w:rPr>
              <w:t>NOTES:</w:t>
            </w:r>
          </w:p>
          <w:p w:rsidR="00873770" w:rsidRPr="001D0677" w:rsidRDefault="00873770" w:rsidP="00873770">
            <w:pPr>
              <w:jc w:val="left"/>
              <w:rPr>
                <w:color w:val="FFFFFF"/>
                <w:sz w:val="18"/>
                <w:szCs w:val="20"/>
              </w:rPr>
            </w:pPr>
            <w:r w:rsidRPr="001D0677">
              <w:rPr>
                <w:color w:val="FFFFFF"/>
                <w:sz w:val="18"/>
                <w:szCs w:val="20"/>
              </w:rPr>
              <w:t>[a]</w:t>
            </w:r>
            <w:r w:rsidR="008111EC" w:rsidRPr="001D0677">
              <w:rPr>
                <w:color w:val="FFFFFF"/>
                <w:sz w:val="18"/>
                <w:szCs w:val="20"/>
              </w:rPr>
              <w:t xml:space="preserve"> </w:t>
            </w:r>
            <w:r w:rsidRPr="001D0677">
              <w:rPr>
                <w:color w:val="FFFFFF"/>
                <w:sz w:val="18"/>
                <w:szCs w:val="20"/>
              </w:rPr>
              <w:t>PPL’s PY7 annual report shows line losses that are treated as a multiplier (i.e. 1.0833) in their TRC model. SWE has converted the multiplier to a LLF for consistency in reporting across EDCs</w:t>
            </w:r>
          </w:p>
          <w:p w:rsidR="00873770" w:rsidRPr="001D0677" w:rsidRDefault="00873770" w:rsidP="00873770">
            <w:pPr>
              <w:jc w:val="left"/>
              <w:rPr>
                <w:color w:val="FFFFFF"/>
                <w:sz w:val="18"/>
                <w:szCs w:val="20"/>
              </w:rPr>
            </w:pPr>
            <w:r w:rsidRPr="001D0677">
              <w:rPr>
                <w:color w:val="FFFFFF"/>
                <w:sz w:val="18"/>
                <w:szCs w:val="20"/>
              </w:rPr>
              <w:t>[b]</w:t>
            </w:r>
            <w:r w:rsidR="008111EC" w:rsidRPr="001D0677">
              <w:rPr>
                <w:color w:val="FFFFFF"/>
                <w:sz w:val="18"/>
                <w:szCs w:val="20"/>
              </w:rPr>
              <w:t xml:space="preserve"> </w:t>
            </w:r>
            <w:r w:rsidRPr="001D0677">
              <w:rPr>
                <w:color w:val="FFFFFF"/>
                <w:sz w:val="18"/>
                <w:szCs w:val="20"/>
              </w:rPr>
              <w:t>Program includes savings across multiple sectors. Additional sector LLFs may include commercial (7.69%), industrial (3.96%), and GNI (5.86%).</w:t>
            </w:r>
          </w:p>
          <w:p w:rsidR="00873770" w:rsidRPr="001D0677" w:rsidRDefault="00873770" w:rsidP="00873770">
            <w:pPr>
              <w:jc w:val="left"/>
              <w:rPr>
                <w:b/>
                <w:color w:val="FFFFFF"/>
                <w:sz w:val="18"/>
                <w:szCs w:val="20"/>
              </w:rPr>
            </w:pPr>
            <w:r w:rsidRPr="001D0677">
              <w:rPr>
                <w:color w:val="FFFFFF"/>
                <w:sz w:val="18"/>
                <w:szCs w:val="20"/>
              </w:rPr>
              <w:t>[c] The value presented in the table is the value that ultimately was used in the calculations. This value,</w:t>
            </w:r>
            <w:r w:rsidRPr="001D0677" w:rsidDel="00AD144F">
              <w:rPr>
                <w:color w:val="FFFFFF"/>
                <w:sz w:val="18"/>
                <w:szCs w:val="20"/>
              </w:rPr>
              <w:t xml:space="preserve"> </w:t>
            </w:r>
            <w:r w:rsidRPr="001D0677">
              <w:rPr>
                <w:color w:val="FFFFFF"/>
                <w:sz w:val="18"/>
                <w:szCs w:val="20"/>
              </w:rPr>
              <w:t>however, does not agree with LLF definitions in the PPL PY6 annual report.</w:t>
            </w:r>
          </w:p>
        </w:tc>
      </w:tr>
    </w:tbl>
    <w:p w:rsidR="00D77B11" w:rsidRDefault="00D77B11" w:rsidP="00873770"/>
    <w:p w:rsidR="00873770" w:rsidRPr="00873770" w:rsidRDefault="00873770" w:rsidP="00873770">
      <w:r w:rsidRPr="00873770">
        <w:t>Cadmus assigned an EUL to each measure in PPL’s EE&amp;C portfolio in order to determine the number of years of saving to attribute to that measure. The SWE Team checked the measure lives in the PPL TRC model against the measure lives in the 2013 TRM and found negligible variances.</w:t>
      </w:r>
      <w:r w:rsidRPr="00873770">
        <w:rPr>
          <w:vertAlign w:val="superscript"/>
        </w:rPr>
        <w:footnoteReference w:id="72"/>
      </w:r>
      <w:r w:rsidRPr="00873770">
        <w:t xml:space="preserve"> The measure lives applied to custom measures not explicitly stated in the TRM were found to be reasonable.</w:t>
      </w:r>
    </w:p>
    <w:p w:rsidR="00873770" w:rsidRPr="00873770" w:rsidRDefault="00873770" w:rsidP="00873770">
      <w:pPr>
        <w:rPr>
          <w:highlight w:val="lightGray"/>
        </w:rPr>
      </w:pPr>
    </w:p>
    <w:p w:rsidR="00873770" w:rsidRPr="00873770" w:rsidRDefault="00873770" w:rsidP="00873770">
      <w:r w:rsidRPr="00873770">
        <w:t xml:space="preserve">Incremental costs for all rebated measures were typically sourced from the SWE incremental cost database, with other measure cost data sourced in Appendix B of PPL’s PY7 </w:t>
      </w:r>
      <w:r w:rsidR="00FD03DC">
        <w:t>a</w:t>
      </w:r>
      <w:r w:rsidRPr="00873770">
        <w:t>nnual</w:t>
      </w:r>
      <w:r w:rsidR="00FD03DC">
        <w:t xml:space="preserve"> r</w:t>
      </w:r>
      <w:r w:rsidRPr="00873770">
        <w:t xml:space="preserve">eport. For these measures, several different methods were used to assign incremental costs in the PPL TRC model. For Prescriptive Equipment programs, incremental costs for New Construction lighting measures (excluding exterior lighting) were based on Energy Trust of Oregon’s average cost per square foot for 20% lighting power density (LPD) reduction adjusted linearly for project-specific LPD reductions. Incremental costs for retrofit lighting fixtures, controls, residential retail lighting, and custom projects were determined through an analysis of the project files and invoices.  </w:t>
      </w:r>
    </w:p>
    <w:p w:rsidR="00873770" w:rsidRPr="00873770" w:rsidRDefault="00873770" w:rsidP="00873770">
      <w:pPr>
        <w:rPr>
          <w:highlight w:val="lightGray"/>
        </w:rPr>
      </w:pPr>
    </w:p>
    <w:p w:rsidR="00873770" w:rsidRPr="00873770" w:rsidRDefault="00873770" w:rsidP="00873770">
      <w:r w:rsidRPr="00873770">
        <w:t>The PPL TRC analysis was based on ex post verified savings, as required by the TRC Order. Cadmus adjusted measure impacts by an applicable realization rate. Cadmus calculated realization rates by program, sector, and stratum. Realization rates for demand impacts were calculated separately and were used to adjust the reported demand impacts prior to entering them into the TRC calculations. The energy and demand impacts in the tracking databases were calculated at the meter level, and a LLF was appropriately applied prior to the calculation of avoided cost benefits.</w:t>
      </w:r>
    </w:p>
    <w:p w:rsidR="00873770" w:rsidRPr="00873770" w:rsidRDefault="00873770" w:rsidP="00873770"/>
    <w:p w:rsidR="00873770" w:rsidRPr="00873770" w:rsidRDefault="00F4658E" w:rsidP="00873770">
      <w:r w:rsidRPr="00873770">
        <w:t xml:space="preserve">The SWE Team found the energy and demand impacts used in the PPL TRC model to be generally consistent with those provided in the program tracking databases, with one minor exception. The PPL PY7 </w:t>
      </w:r>
      <w:r w:rsidR="00D92D74">
        <w:t>a</w:t>
      </w:r>
      <w:r w:rsidRPr="00873770">
        <w:t xml:space="preserve">nnual </w:t>
      </w:r>
      <w:r w:rsidR="00D92D74">
        <w:t>r</w:t>
      </w:r>
      <w:r w:rsidRPr="00873770">
        <w:t>eport adjust</w:t>
      </w:r>
      <w:r>
        <w:t>ed</w:t>
      </w:r>
      <w:r w:rsidRPr="00873770">
        <w:t xml:space="preserve"> portfolio savings by 3,385 MWh</w:t>
      </w:r>
      <w:r>
        <w:t>/yr</w:t>
      </w:r>
      <w:r w:rsidRPr="00873770">
        <w:t xml:space="preserve"> to reflect potential double-counting from the Residential Energy-Efficiency Behavior &amp; Education program, but no similar adjustment was observed in the TRC model review.  This variance is expected to impact the TRC benefits and TRC ratios for PY7 by less than 1%</w:t>
      </w:r>
      <w:r>
        <w:t>, and would not materially impact the overall TRC ratio.</w:t>
      </w:r>
      <w:r w:rsidR="00873770" w:rsidRPr="00873770">
        <w:t xml:space="preserve">  </w:t>
      </w:r>
    </w:p>
    <w:p w:rsidR="00D92D74" w:rsidRPr="00873770" w:rsidRDefault="00D92D74" w:rsidP="00873770"/>
    <w:p w:rsidR="00873770" w:rsidRPr="00873770" w:rsidRDefault="00873770" w:rsidP="00873770">
      <w:r w:rsidRPr="00873770">
        <w:t>As in prior Phase II years, the 2015 TRM specifically instructed EDCs to account for dual baselines with regard to T12 linear fluorescent replacements. The dual baseline adjustment impacts the lifetime energy and demand savings of measures but does not impact first-year savings for PY</w:t>
      </w:r>
      <w:r w:rsidR="00F4658E">
        <w:t>7</w:t>
      </w:r>
      <w:r w:rsidRPr="00873770">
        <w:t>. EDCs may choose to reflect the dual baselines either by applying savings adjustment factors or by reducing the EUL to adjust lifetime savings. The PPL TRC model uses a savings adjustment to account for the dual baseline measures, consistent with the guidance provided in the 2015 TRM.</w:t>
      </w:r>
    </w:p>
    <w:p w:rsidR="00873770" w:rsidRDefault="00873770" w:rsidP="00873770"/>
    <w:p w:rsidR="00D77B11" w:rsidRDefault="00D77B11" w:rsidP="00873770"/>
    <w:p w:rsidR="00D77B11" w:rsidRPr="00873770" w:rsidRDefault="00D77B11" w:rsidP="00873770"/>
    <w:p w:rsidR="00950837" w:rsidRDefault="00950837" w:rsidP="00D34B3E">
      <w:pPr>
        <w:pStyle w:val="AppendixAHeading3"/>
      </w:pPr>
      <w:r>
        <w:t xml:space="preserve">Avoided Cost of </w:t>
      </w:r>
      <w:r w:rsidR="00873770">
        <w:t xml:space="preserve">Energy and </w:t>
      </w:r>
      <w:r>
        <w:t>Capacity</w:t>
      </w:r>
    </w:p>
    <w:p w:rsidR="00873770" w:rsidRDefault="00873770" w:rsidP="00873770">
      <w:r w:rsidRPr="00873770">
        <w:t xml:space="preserve">Consistent with prior Phase II program years, the PY7 </w:t>
      </w:r>
      <w:r w:rsidR="00974E32">
        <w:t xml:space="preserve">PPL </w:t>
      </w:r>
      <w:r w:rsidRPr="00873770">
        <w:t xml:space="preserve">TRC </w:t>
      </w:r>
      <w:r w:rsidR="003E6CCF">
        <w:t>m</w:t>
      </w:r>
      <w:r w:rsidRPr="00873770">
        <w:t>odels use the Phase II approved avoided costs of energy and capacity.  The PY7 models were updated to select the appropriate PY7 stream of avoided costs.</w:t>
      </w:r>
    </w:p>
    <w:p w:rsidR="00873770" w:rsidRPr="00873770" w:rsidRDefault="00873770" w:rsidP="00873770">
      <w:r w:rsidRPr="00873770">
        <w:t xml:space="preserve">  </w:t>
      </w:r>
    </w:p>
    <w:p w:rsidR="00950837" w:rsidRDefault="00950837" w:rsidP="00D34B3E">
      <w:pPr>
        <w:pStyle w:val="AppendixAHeading3"/>
      </w:pPr>
      <w:r>
        <w:t>Conclusions and Recommendations</w:t>
      </w:r>
    </w:p>
    <w:p w:rsidR="00873770" w:rsidRDefault="00873770" w:rsidP="00873770">
      <w:r w:rsidRPr="00873770">
        <w:t>The PPL TRC model was transparent, and the SWE observed no significant changes in the TRC model during Phase II. The SWE Team determined that the PPL TRC model provided the requested details regarding the determination of financial benefits from energy and demand impacts. The SWE review determined that there were minor differences (less than 1%) between the modeled energy and demand savings and the verified energy and demand savings in the PY7 report. The SWE believes the PY7 TRC benefits, costs, and ratios to be reasonable and accurate.</w:t>
      </w:r>
    </w:p>
    <w:p w:rsidR="00873770" w:rsidRPr="00873770" w:rsidRDefault="00873770" w:rsidP="00873770"/>
    <w:p w:rsidR="00950837" w:rsidRDefault="00950837" w:rsidP="0043541C">
      <w:pPr>
        <w:pStyle w:val="AppendixAHeading2"/>
      </w:pPr>
      <w:r>
        <w:t>Status of Evaluation Activities</w:t>
      </w:r>
    </w:p>
    <w:p w:rsidR="001B5BFF" w:rsidRDefault="001B5BFF" w:rsidP="001B5BFF">
      <w:r w:rsidRPr="001B5BFF">
        <w:t>This section discusses the status of PPL’s EM&amp;V plans, M&amp;V activities and findings, and process evaluation activities and findings.</w:t>
      </w:r>
    </w:p>
    <w:p w:rsidR="001B5BFF" w:rsidRPr="001B5BFF" w:rsidRDefault="001B5BFF" w:rsidP="001B5BFF"/>
    <w:p w:rsidR="00950837" w:rsidRDefault="00950837" w:rsidP="00D34B3E">
      <w:pPr>
        <w:pStyle w:val="AppendixAHeading3"/>
      </w:pPr>
      <w:r>
        <w:t>Status of Evaluation, Measurement</w:t>
      </w:r>
      <w:r w:rsidR="003E6CCF">
        <w:t>,</w:t>
      </w:r>
      <w:r>
        <w:t xml:space="preserve"> and Verification Plans</w:t>
      </w:r>
    </w:p>
    <w:p w:rsidR="00496A99" w:rsidRPr="009472F6" w:rsidRDefault="00015AFB" w:rsidP="00496A99">
      <w:pPr>
        <w:pStyle w:val="bullettext"/>
      </w:pPr>
      <w:r w:rsidRPr="009472F6">
        <w:t xml:space="preserve">The standardization of evaluation protocols across EDCs was outlined in the Phase II Evaluation Framework in order to create consistency in evaluation practices across EDCs. The </w:t>
      </w:r>
      <w:r>
        <w:t xml:space="preserve">initial Phase II </w:t>
      </w:r>
      <w:r w:rsidRPr="009472F6">
        <w:t>SWE Evaluation Framework was finalized and published on June 28, 2013.</w:t>
      </w:r>
      <w:r>
        <w:t xml:space="preserve"> The Phase II SWE published an updated Evaluation Framework on July 14, 2015. Both Phase II Evaluation F</w:t>
      </w:r>
      <w:r w:rsidRPr="009472F6">
        <w:t xml:space="preserve">ramework </w:t>
      </w:r>
      <w:r>
        <w:t xml:space="preserve">documents </w:t>
      </w:r>
      <w:r w:rsidRPr="009472F6">
        <w:t xml:space="preserve">required each EDC to complete an initial evaluation plan for each program in </w:t>
      </w:r>
      <w:r>
        <w:t>its</w:t>
      </w:r>
      <w:r w:rsidRPr="009472F6">
        <w:t xml:space="preserve"> portfolio</w:t>
      </w:r>
      <w:r>
        <w:rPr>
          <w:rStyle w:val="FootnoteReference"/>
        </w:rPr>
        <w:footnoteReference w:id="73"/>
      </w:r>
      <w:r>
        <w:t>,</w:t>
      </w:r>
      <w:r w:rsidRPr="009472F6">
        <w:t xml:space="preserve"> addressing the following objectives</w:t>
      </w:r>
      <w:r w:rsidR="00496A99" w:rsidRPr="009472F6">
        <w:t>:</w:t>
      </w:r>
    </w:p>
    <w:p w:rsidR="00015AFB" w:rsidRPr="008A5E9E" w:rsidRDefault="00015AFB" w:rsidP="00E646C9">
      <w:pPr>
        <w:numPr>
          <w:ilvl w:val="0"/>
          <w:numId w:val="42"/>
        </w:numPr>
        <w:spacing w:after="200" w:line="276" w:lineRule="auto"/>
        <w:ind w:left="360"/>
        <w:contextualSpacing/>
        <w:rPr>
          <w:color w:val="000000"/>
          <w:szCs w:val="20"/>
        </w:rPr>
      </w:pPr>
      <w:r w:rsidRPr="008A5E9E">
        <w:rPr>
          <w:color w:val="000000"/>
          <w:szCs w:val="20"/>
        </w:rPr>
        <w:t>Outline gross impact evaluation methodology</w:t>
      </w:r>
    </w:p>
    <w:p w:rsidR="00015AFB" w:rsidRPr="008A5E9E" w:rsidRDefault="00015AFB" w:rsidP="00E646C9">
      <w:pPr>
        <w:numPr>
          <w:ilvl w:val="0"/>
          <w:numId w:val="42"/>
        </w:numPr>
        <w:spacing w:after="200" w:line="276" w:lineRule="auto"/>
        <w:ind w:left="360"/>
        <w:contextualSpacing/>
        <w:rPr>
          <w:color w:val="000000"/>
          <w:szCs w:val="20"/>
        </w:rPr>
      </w:pPr>
      <w:r w:rsidRPr="008A5E9E">
        <w:rPr>
          <w:color w:val="000000"/>
          <w:szCs w:val="20"/>
        </w:rPr>
        <w:t>Outline NTG analysis methodology</w:t>
      </w:r>
    </w:p>
    <w:p w:rsidR="00015AFB" w:rsidRPr="008A5E9E" w:rsidRDefault="00015AFB" w:rsidP="00E646C9">
      <w:pPr>
        <w:numPr>
          <w:ilvl w:val="0"/>
          <w:numId w:val="42"/>
        </w:numPr>
        <w:spacing w:after="200" w:line="276" w:lineRule="auto"/>
        <w:ind w:left="360"/>
        <w:contextualSpacing/>
        <w:rPr>
          <w:color w:val="000000"/>
          <w:szCs w:val="20"/>
        </w:rPr>
      </w:pPr>
      <w:r w:rsidRPr="008A5E9E">
        <w:rPr>
          <w:color w:val="000000"/>
          <w:szCs w:val="20"/>
        </w:rPr>
        <w:t>Outline process evaluation methodology</w:t>
      </w:r>
    </w:p>
    <w:p w:rsidR="00015AFB" w:rsidRPr="008A5E9E" w:rsidRDefault="00015AFB" w:rsidP="00E646C9">
      <w:pPr>
        <w:numPr>
          <w:ilvl w:val="0"/>
          <w:numId w:val="42"/>
        </w:numPr>
        <w:spacing w:after="200" w:line="276" w:lineRule="auto"/>
        <w:ind w:left="360"/>
        <w:contextualSpacing/>
        <w:rPr>
          <w:color w:val="000000"/>
          <w:szCs w:val="20"/>
        </w:rPr>
      </w:pPr>
      <w:r w:rsidRPr="008A5E9E">
        <w:rPr>
          <w:color w:val="000000"/>
          <w:szCs w:val="20"/>
        </w:rPr>
        <w:t>Outline cost-effectiveness evaluation methodology</w:t>
      </w:r>
    </w:p>
    <w:p w:rsidR="00015AFB" w:rsidRPr="008A5E9E" w:rsidRDefault="00015AFB" w:rsidP="00E646C9">
      <w:pPr>
        <w:numPr>
          <w:ilvl w:val="0"/>
          <w:numId w:val="42"/>
        </w:numPr>
        <w:spacing w:after="200" w:line="276" w:lineRule="auto"/>
        <w:ind w:left="360"/>
        <w:contextualSpacing/>
        <w:rPr>
          <w:color w:val="000000"/>
          <w:szCs w:val="20"/>
        </w:rPr>
      </w:pPr>
      <w:r w:rsidRPr="008A5E9E">
        <w:rPr>
          <w:color w:val="000000"/>
          <w:szCs w:val="20"/>
        </w:rPr>
        <w:t>Propose a time</w:t>
      </w:r>
      <w:r>
        <w:rPr>
          <w:color w:val="000000"/>
          <w:szCs w:val="20"/>
        </w:rPr>
        <w:t xml:space="preserve"> </w:t>
      </w:r>
      <w:r w:rsidRPr="008A5E9E">
        <w:rPr>
          <w:color w:val="000000"/>
          <w:szCs w:val="20"/>
        </w:rPr>
        <w:t>line of evaluation activities</w:t>
      </w:r>
    </w:p>
    <w:p w:rsidR="00015AFB" w:rsidRPr="008A5E9E" w:rsidRDefault="00015AFB" w:rsidP="00E646C9">
      <w:pPr>
        <w:numPr>
          <w:ilvl w:val="0"/>
          <w:numId w:val="42"/>
        </w:numPr>
        <w:ind w:left="360"/>
        <w:rPr>
          <w:color w:val="000000"/>
          <w:szCs w:val="20"/>
        </w:rPr>
      </w:pPr>
      <w:r w:rsidRPr="008A5E9E">
        <w:rPr>
          <w:color w:val="000000"/>
          <w:szCs w:val="20"/>
        </w:rPr>
        <w:t>Establish key program contacts</w:t>
      </w:r>
    </w:p>
    <w:p w:rsidR="00496A99" w:rsidRPr="00401F84" w:rsidRDefault="00496A99" w:rsidP="00496A99"/>
    <w:p w:rsidR="00015AFB" w:rsidRDefault="00015AFB" w:rsidP="00015AFB">
      <w:r w:rsidRPr="009472F6">
        <w:t xml:space="preserve">Through an ongoing process, the SWE Team worked with the EDCs and EDC evaluation contractors to review EM&amp;V plans to realize the common goal of accurately tracking and reporting realized energy and demand savings. The initial EM&amp;V </w:t>
      </w:r>
      <w:r>
        <w:t>p</w:t>
      </w:r>
      <w:r w:rsidRPr="009472F6">
        <w:t>lan for Phase II was to be submitted</w:t>
      </w:r>
      <w:r>
        <w:t xml:space="preserve"> by each EDC</w:t>
      </w:r>
      <w:r w:rsidRPr="009472F6">
        <w:t xml:space="preserve"> to the SWE Team by August 31, 2013. The SWE Team was granted a review period to approve the plan or suggest modifications to it. If revisions were required, the EDC and SWE Team were allotted alternating two-week revision periods until both parties were satisfied with the document. The review process provide</w:t>
      </w:r>
      <w:r>
        <w:t>d</w:t>
      </w:r>
      <w:r w:rsidRPr="009472F6">
        <w:t xml:space="preserve"> either party the opportunity to request additional time if unforeseen circumstances ar</w:t>
      </w:r>
      <w:r>
        <w:t>o</w:t>
      </w:r>
      <w:r w:rsidRPr="009472F6">
        <w:t>se.</w:t>
      </w:r>
    </w:p>
    <w:p w:rsidR="00496A99" w:rsidRDefault="00496A99" w:rsidP="009847AC"/>
    <w:bookmarkStart w:id="1278" w:name="_Ref406411164"/>
    <w:bookmarkStart w:id="1279" w:name="_Toc408557553"/>
    <w:bookmarkStart w:id="1280" w:name="_Toc408999429"/>
    <w:p w:rsidR="00015AFB" w:rsidRDefault="00FA1E14" w:rsidP="00015AFB">
      <w:pPr>
        <w:rPr>
          <w:color w:val="000000"/>
        </w:rPr>
      </w:pPr>
      <w:r>
        <w:rPr>
          <w:color w:val="000000"/>
        </w:rPr>
        <w:fldChar w:fldCharType="begin"/>
      </w:r>
      <w:r>
        <w:rPr>
          <w:color w:val="000000"/>
        </w:rPr>
        <w:instrText xml:space="preserve"> REF _Ref472360493 \h </w:instrText>
      </w:r>
      <w:r>
        <w:rPr>
          <w:color w:val="000000"/>
        </w:rPr>
      </w:r>
      <w:r>
        <w:rPr>
          <w:color w:val="000000"/>
        </w:rPr>
        <w:fldChar w:fldCharType="separate"/>
      </w:r>
      <w:r w:rsidR="00C301D0">
        <w:t>Table A-</w:t>
      </w:r>
      <w:r w:rsidR="00C301D0">
        <w:rPr>
          <w:noProof/>
        </w:rPr>
        <w:t>139</w:t>
      </w:r>
      <w:r>
        <w:rPr>
          <w:color w:val="000000"/>
        </w:rPr>
        <w:fldChar w:fldCharType="end"/>
      </w:r>
      <w:r>
        <w:rPr>
          <w:color w:val="000000"/>
        </w:rPr>
        <w:t xml:space="preserve"> </w:t>
      </w:r>
      <w:r w:rsidR="00015AFB" w:rsidRPr="008A5E9E">
        <w:rPr>
          <w:color w:val="000000"/>
        </w:rPr>
        <w:t>displays key milestones completed</w:t>
      </w:r>
      <w:r w:rsidR="00015AFB">
        <w:rPr>
          <w:color w:val="000000"/>
        </w:rPr>
        <w:t xml:space="preserve"> </w:t>
      </w:r>
      <w:r w:rsidR="00015AFB" w:rsidRPr="009472F6">
        <w:t xml:space="preserve">by </w:t>
      </w:r>
      <w:r w:rsidR="00015AFB">
        <w:t>PPL</w:t>
      </w:r>
      <w:r w:rsidR="00015AFB" w:rsidRPr="009472F6">
        <w:t xml:space="preserve"> and the SWE</w:t>
      </w:r>
      <w:r w:rsidR="00015AFB">
        <w:rPr>
          <w:color w:val="000000"/>
        </w:rPr>
        <w:t xml:space="preserve"> for the company’s </w:t>
      </w:r>
      <w:r w:rsidR="00015AFB" w:rsidRPr="00F46239">
        <w:rPr>
          <w:color w:val="000000"/>
        </w:rPr>
        <w:t xml:space="preserve">Phase II EM&amp;V Plan. The SWE is presenting information on all revisions to this EM&amp;V Plan that have occurred </w:t>
      </w:r>
      <w:r w:rsidR="00015AFB">
        <w:rPr>
          <w:color w:val="000000"/>
        </w:rPr>
        <w:t>during Phase II</w:t>
      </w:r>
      <w:r w:rsidR="00015AFB" w:rsidRPr="00F46239">
        <w:rPr>
          <w:color w:val="000000"/>
        </w:rPr>
        <w:t xml:space="preserve"> in order to provide a complete picture of the evolution of this plan during Phase II to date</w:t>
      </w:r>
      <w:r w:rsidR="00015AFB" w:rsidRPr="008A5E9E">
        <w:rPr>
          <w:color w:val="000000"/>
        </w:rPr>
        <w:t>.</w:t>
      </w:r>
      <w:r w:rsidR="00015AFB">
        <w:rPr>
          <w:color w:val="000000"/>
        </w:rPr>
        <w:t xml:space="preserve"> </w:t>
      </w:r>
    </w:p>
    <w:bookmarkEnd w:id="1278"/>
    <w:bookmarkEnd w:id="1279"/>
    <w:bookmarkEnd w:id="1280"/>
    <w:p w:rsidR="00DD3B6D" w:rsidRPr="008A5E9E" w:rsidRDefault="00DD3B6D" w:rsidP="00DD3B6D">
      <w:pPr>
        <w:jc w:val="center"/>
        <w:rPr>
          <w:color w:val="000000"/>
        </w:rPr>
      </w:pPr>
    </w:p>
    <w:p w:rsidR="00DD3B6D" w:rsidRPr="008A5E9E" w:rsidRDefault="00FA1E14" w:rsidP="00FA1E14">
      <w:pPr>
        <w:pStyle w:val="Caption"/>
        <w:rPr>
          <w:color w:val="000000"/>
        </w:rPr>
      </w:pPr>
      <w:bookmarkStart w:id="1281" w:name="_Ref472360493"/>
      <w:bookmarkStart w:id="1282" w:name="_Toc445206263"/>
      <w:bookmarkStart w:id="1283" w:name="_Toc472472548"/>
      <w:bookmarkStart w:id="1284" w:name="_Toc476842254"/>
      <w:r>
        <w:t>Table A-</w:t>
      </w:r>
      <w:fldSimple w:instr=" SEQ Table_A- \* ARABIC ">
        <w:r w:rsidR="00C301D0">
          <w:rPr>
            <w:noProof/>
          </w:rPr>
          <w:t>139</w:t>
        </w:r>
      </w:fldSimple>
      <w:bookmarkEnd w:id="1281"/>
      <w:r w:rsidR="00DD3B6D" w:rsidRPr="00724792">
        <w:t>: Key Milestones Reached for PPL’s Phase II EM&amp;V Plan</w:t>
      </w:r>
      <w:bookmarkEnd w:id="1282"/>
      <w:bookmarkEnd w:id="1283"/>
      <w:bookmarkEnd w:id="1284"/>
    </w:p>
    <w:tbl>
      <w:tblPr>
        <w:tblW w:w="9355" w:type="dxa"/>
        <w:tblLayout w:type="fixed"/>
        <w:tblLook w:val="04A0" w:firstRow="1" w:lastRow="0" w:firstColumn="1" w:lastColumn="0" w:noHBand="0" w:noVBand="1"/>
      </w:tblPr>
      <w:tblGrid>
        <w:gridCol w:w="1975"/>
        <w:gridCol w:w="7380"/>
      </w:tblGrid>
      <w:tr w:rsidR="00015AFB" w:rsidRPr="00515AA9" w:rsidTr="00FD03DC">
        <w:trPr>
          <w:cantSplit/>
          <w:trHeight w:val="197"/>
          <w:tblHeader/>
        </w:trPr>
        <w:tc>
          <w:tcPr>
            <w:tcW w:w="1975" w:type="dxa"/>
            <w:tcBorders>
              <w:top w:val="single" w:sz="4" w:space="0" w:color="448A99"/>
              <w:left w:val="single" w:sz="4" w:space="0" w:color="448A99"/>
              <w:bottom w:val="single" w:sz="4" w:space="0" w:color="448A99"/>
              <w:right w:val="single" w:sz="4" w:space="0" w:color="448A99"/>
            </w:tcBorders>
            <w:shd w:val="clear" w:color="000000" w:fill="448A99"/>
            <w:vAlign w:val="bottom"/>
          </w:tcPr>
          <w:p w:rsidR="00015AFB" w:rsidRPr="00515AA9" w:rsidRDefault="00015AFB" w:rsidP="00C0310F">
            <w:pPr>
              <w:jc w:val="left"/>
              <w:rPr>
                <w:b/>
                <w:bCs/>
                <w:color w:val="FFFFFF"/>
                <w:sz w:val="20"/>
                <w:szCs w:val="20"/>
              </w:rPr>
            </w:pPr>
            <w:r w:rsidRPr="00515AA9">
              <w:rPr>
                <w:b/>
                <w:bCs/>
                <w:color w:val="FFFFFF"/>
                <w:sz w:val="20"/>
                <w:szCs w:val="20"/>
              </w:rPr>
              <w:t>Date</w:t>
            </w:r>
          </w:p>
        </w:tc>
        <w:tc>
          <w:tcPr>
            <w:tcW w:w="7380" w:type="dxa"/>
            <w:tcBorders>
              <w:top w:val="single" w:sz="4" w:space="0" w:color="448A99"/>
              <w:left w:val="nil"/>
              <w:bottom w:val="single" w:sz="4" w:space="0" w:color="448A99"/>
              <w:right w:val="single" w:sz="4" w:space="0" w:color="448A99"/>
            </w:tcBorders>
            <w:shd w:val="clear" w:color="000000" w:fill="448A99"/>
            <w:vAlign w:val="bottom"/>
          </w:tcPr>
          <w:p w:rsidR="00015AFB" w:rsidRPr="00515AA9" w:rsidRDefault="00015AFB" w:rsidP="00C0310F">
            <w:pPr>
              <w:jc w:val="left"/>
              <w:rPr>
                <w:b/>
                <w:bCs/>
                <w:color w:val="FFFFFF"/>
                <w:sz w:val="20"/>
                <w:szCs w:val="20"/>
              </w:rPr>
            </w:pPr>
            <w:r w:rsidRPr="00515AA9">
              <w:rPr>
                <w:b/>
                <w:bCs/>
                <w:color w:val="FFFFFF"/>
                <w:sz w:val="20"/>
                <w:szCs w:val="20"/>
              </w:rPr>
              <w:t>Event</w:t>
            </w:r>
          </w:p>
        </w:tc>
      </w:tr>
      <w:tr w:rsidR="00015AFB" w:rsidRPr="00515AA9" w:rsidTr="00FD03DC">
        <w:trPr>
          <w:trHeight w:val="300"/>
        </w:trPr>
        <w:tc>
          <w:tcPr>
            <w:tcW w:w="1975" w:type="dxa"/>
            <w:tcBorders>
              <w:top w:val="nil"/>
              <w:left w:val="single" w:sz="4" w:space="0" w:color="448A99"/>
              <w:bottom w:val="single" w:sz="4" w:space="0" w:color="448A99"/>
              <w:right w:val="single" w:sz="4" w:space="0" w:color="448A99"/>
            </w:tcBorders>
            <w:shd w:val="clear" w:color="auto" w:fill="D2EAF1"/>
          </w:tcPr>
          <w:p w:rsidR="00015AFB" w:rsidRPr="00515AA9" w:rsidRDefault="00015AFB" w:rsidP="00C0310F">
            <w:pPr>
              <w:jc w:val="left"/>
              <w:rPr>
                <w:bCs/>
                <w:color w:val="000000"/>
                <w:sz w:val="20"/>
                <w:szCs w:val="20"/>
              </w:rPr>
            </w:pPr>
            <w:r w:rsidRPr="00515AA9">
              <w:rPr>
                <w:sz w:val="20"/>
                <w:szCs w:val="20"/>
              </w:rPr>
              <w:t>June 1, 2013</w:t>
            </w:r>
          </w:p>
        </w:tc>
        <w:tc>
          <w:tcPr>
            <w:tcW w:w="7380" w:type="dxa"/>
            <w:tcBorders>
              <w:top w:val="nil"/>
              <w:left w:val="nil"/>
              <w:bottom w:val="single" w:sz="4" w:space="0" w:color="448A99"/>
              <w:right w:val="single" w:sz="4" w:space="0" w:color="448A99"/>
            </w:tcBorders>
            <w:shd w:val="clear" w:color="auto" w:fill="D2EAF1"/>
          </w:tcPr>
          <w:p w:rsidR="00015AFB" w:rsidRPr="00515AA9" w:rsidRDefault="00015AFB" w:rsidP="00C0310F">
            <w:pPr>
              <w:jc w:val="left"/>
              <w:rPr>
                <w:color w:val="000000"/>
                <w:sz w:val="20"/>
                <w:szCs w:val="20"/>
              </w:rPr>
            </w:pPr>
            <w:r w:rsidRPr="00515AA9" w:rsidDel="004840B6">
              <w:rPr>
                <w:sz w:val="20"/>
                <w:szCs w:val="20"/>
              </w:rPr>
              <w:t>P</w:t>
            </w:r>
            <w:r w:rsidRPr="00515AA9">
              <w:rPr>
                <w:sz w:val="20"/>
                <w:szCs w:val="20"/>
              </w:rPr>
              <w:t>Y5 starts</w:t>
            </w:r>
          </w:p>
        </w:tc>
      </w:tr>
      <w:tr w:rsidR="00015AFB" w:rsidRPr="00515AA9" w:rsidTr="00FD03DC">
        <w:trPr>
          <w:trHeight w:val="300"/>
        </w:trPr>
        <w:tc>
          <w:tcPr>
            <w:tcW w:w="1975" w:type="dxa"/>
            <w:tcBorders>
              <w:top w:val="nil"/>
              <w:left w:val="single" w:sz="4" w:space="0" w:color="448A99"/>
              <w:bottom w:val="single" w:sz="4" w:space="0" w:color="448A99"/>
              <w:right w:val="single" w:sz="4" w:space="0" w:color="448A99"/>
            </w:tcBorders>
            <w:shd w:val="clear" w:color="auto" w:fill="auto"/>
          </w:tcPr>
          <w:p w:rsidR="00015AFB" w:rsidRPr="00515AA9" w:rsidRDefault="00015AFB" w:rsidP="00C0310F">
            <w:pPr>
              <w:jc w:val="left"/>
              <w:rPr>
                <w:bCs/>
                <w:color w:val="000000"/>
                <w:sz w:val="20"/>
                <w:szCs w:val="20"/>
                <w:lang w:eastAsia="zh-CN"/>
              </w:rPr>
            </w:pPr>
            <w:r w:rsidRPr="00515AA9">
              <w:rPr>
                <w:sz w:val="20"/>
                <w:szCs w:val="20"/>
              </w:rPr>
              <w:t>August 30, 2013</w:t>
            </w:r>
          </w:p>
        </w:tc>
        <w:tc>
          <w:tcPr>
            <w:tcW w:w="7380" w:type="dxa"/>
            <w:tcBorders>
              <w:top w:val="nil"/>
              <w:left w:val="nil"/>
              <w:bottom w:val="single" w:sz="4" w:space="0" w:color="448A99"/>
              <w:right w:val="single" w:sz="4" w:space="0" w:color="448A99"/>
            </w:tcBorders>
            <w:shd w:val="clear" w:color="auto" w:fill="auto"/>
          </w:tcPr>
          <w:p w:rsidR="00015AFB" w:rsidRPr="00515AA9" w:rsidRDefault="00015AFB" w:rsidP="00C0310F">
            <w:pPr>
              <w:jc w:val="left"/>
              <w:rPr>
                <w:color w:val="000000"/>
                <w:sz w:val="20"/>
                <w:szCs w:val="20"/>
              </w:rPr>
            </w:pPr>
            <w:r w:rsidRPr="00515AA9">
              <w:rPr>
                <w:sz w:val="20"/>
                <w:szCs w:val="20"/>
              </w:rPr>
              <w:t>PPL submits first draft of Phase II evaluation plan to the PUC and SWE</w:t>
            </w:r>
          </w:p>
        </w:tc>
      </w:tr>
      <w:tr w:rsidR="00015AFB" w:rsidRPr="00515AA9" w:rsidTr="00FD03DC">
        <w:trPr>
          <w:trHeight w:val="300"/>
        </w:trPr>
        <w:tc>
          <w:tcPr>
            <w:tcW w:w="1975" w:type="dxa"/>
            <w:tcBorders>
              <w:top w:val="nil"/>
              <w:left w:val="single" w:sz="4" w:space="0" w:color="448A99"/>
              <w:bottom w:val="single" w:sz="4" w:space="0" w:color="448A99"/>
              <w:right w:val="single" w:sz="4" w:space="0" w:color="448A99"/>
            </w:tcBorders>
            <w:shd w:val="clear" w:color="auto" w:fill="D2EAF1"/>
          </w:tcPr>
          <w:p w:rsidR="00015AFB" w:rsidRPr="00515AA9" w:rsidRDefault="00015AFB" w:rsidP="00C0310F">
            <w:pPr>
              <w:jc w:val="left"/>
              <w:rPr>
                <w:bCs/>
                <w:color w:val="000000"/>
                <w:sz w:val="20"/>
                <w:szCs w:val="20"/>
                <w:lang w:eastAsia="zh-CN"/>
              </w:rPr>
            </w:pPr>
            <w:r w:rsidRPr="00515AA9">
              <w:rPr>
                <w:sz w:val="20"/>
                <w:szCs w:val="20"/>
              </w:rPr>
              <w:t>October 15, 2013</w:t>
            </w:r>
          </w:p>
        </w:tc>
        <w:tc>
          <w:tcPr>
            <w:tcW w:w="7380" w:type="dxa"/>
            <w:tcBorders>
              <w:top w:val="nil"/>
              <w:left w:val="nil"/>
              <w:bottom w:val="single" w:sz="4" w:space="0" w:color="448A99"/>
              <w:right w:val="single" w:sz="4" w:space="0" w:color="448A99"/>
            </w:tcBorders>
            <w:shd w:val="clear" w:color="auto" w:fill="D2EAF1"/>
          </w:tcPr>
          <w:p w:rsidR="00015AFB" w:rsidRPr="00515AA9" w:rsidRDefault="00015AFB" w:rsidP="00C0310F">
            <w:pPr>
              <w:jc w:val="left"/>
              <w:rPr>
                <w:color w:val="000000"/>
                <w:sz w:val="20"/>
                <w:szCs w:val="20"/>
              </w:rPr>
            </w:pPr>
            <w:r w:rsidRPr="00515AA9">
              <w:rPr>
                <w:sz w:val="20"/>
                <w:szCs w:val="20"/>
              </w:rPr>
              <w:t>SWE returns comments on the PPL evaluation plan to PPL</w:t>
            </w:r>
          </w:p>
        </w:tc>
      </w:tr>
      <w:tr w:rsidR="00015AFB" w:rsidRPr="00515AA9" w:rsidTr="00FD03DC">
        <w:trPr>
          <w:trHeight w:val="300"/>
        </w:trPr>
        <w:tc>
          <w:tcPr>
            <w:tcW w:w="1975" w:type="dxa"/>
            <w:tcBorders>
              <w:top w:val="nil"/>
              <w:left w:val="single" w:sz="4" w:space="0" w:color="448A99"/>
              <w:bottom w:val="single" w:sz="4" w:space="0" w:color="448A99"/>
              <w:right w:val="single" w:sz="4" w:space="0" w:color="448A99"/>
            </w:tcBorders>
            <w:shd w:val="clear" w:color="auto" w:fill="auto"/>
          </w:tcPr>
          <w:p w:rsidR="00015AFB" w:rsidRPr="00515AA9" w:rsidRDefault="00015AFB" w:rsidP="00C0310F">
            <w:pPr>
              <w:jc w:val="left"/>
              <w:rPr>
                <w:bCs/>
                <w:color w:val="000000"/>
                <w:sz w:val="20"/>
                <w:szCs w:val="20"/>
                <w:lang w:eastAsia="zh-CN"/>
              </w:rPr>
            </w:pPr>
            <w:r w:rsidRPr="00515AA9">
              <w:rPr>
                <w:sz w:val="20"/>
                <w:szCs w:val="20"/>
              </w:rPr>
              <w:t>January 31, 2014</w:t>
            </w:r>
          </w:p>
        </w:tc>
        <w:tc>
          <w:tcPr>
            <w:tcW w:w="7380" w:type="dxa"/>
            <w:tcBorders>
              <w:top w:val="nil"/>
              <w:left w:val="nil"/>
              <w:bottom w:val="single" w:sz="4" w:space="0" w:color="448A99"/>
              <w:right w:val="single" w:sz="4" w:space="0" w:color="448A99"/>
            </w:tcBorders>
            <w:shd w:val="clear" w:color="auto" w:fill="auto"/>
          </w:tcPr>
          <w:p w:rsidR="00015AFB" w:rsidRPr="00515AA9" w:rsidRDefault="00015AFB" w:rsidP="00C0310F">
            <w:pPr>
              <w:jc w:val="left"/>
              <w:rPr>
                <w:color w:val="000000"/>
                <w:sz w:val="20"/>
                <w:szCs w:val="20"/>
              </w:rPr>
            </w:pPr>
            <w:r w:rsidRPr="00515AA9">
              <w:rPr>
                <w:sz w:val="20"/>
                <w:szCs w:val="20"/>
              </w:rPr>
              <w:t xml:space="preserve">PPL submits revised </w:t>
            </w:r>
            <w:r>
              <w:rPr>
                <w:sz w:val="20"/>
                <w:szCs w:val="20"/>
              </w:rPr>
              <w:t xml:space="preserve">Phase II </w:t>
            </w:r>
            <w:r w:rsidRPr="00515AA9">
              <w:rPr>
                <w:sz w:val="20"/>
                <w:szCs w:val="20"/>
              </w:rPr>
              <w:t>EM&amp;V Plan to the PUC and SWE</w:t>
            </w:r>
          </w:p>
        </w:tc>
      </w:tr>
      <w:tr w:rsidR="00015AFB" w:rsidRPr="00515AA9" w:rsidTr="00FD03DC">
        <w:trPr>
          <w:trHeight w:val="300"/>
        </w:trPr>
        <w:tc>
          <w:tcPr>
            <w:tcW w:w="1975" w:type="dxa"/>
            <w:tcBorders>
              <w:top w:val="nil"/>
              <w:left w:val="single" w:sz="4" w:space="0" w:color="448A99"/>
              <w:bottom w:val="single" w:sz="8" w:space="0" w:color="448A99"/>
              <w:right w:val="single" w:sz="4" w:space="0" w:color="448A99"/>
            </w:tcBorders>
            <w:shd w:val="clear" w:color="auto" w:fill="D2EAF1"/>
          </w:tcPr>
          <w:p w:rsidR="00015AFB" w:rsidRPr="00515AA9" w:rsidRDefault="00015AFB" w:rsidP="00C0310F">
            <w:pPr>
              <w:jc w:val="left"/>
              <w:rPr>
                <w:bCs/>
                <w:color w:val="000000"/>
                <w:sz w:val="20"/>
                <w:szCs w:val="20"/>
              </w:rPr>
            </w:pPr>
            <w:r w:rsidRPr="00515AA9">
              <w:rPr>
                <w:sz w:val="20"/>
                <w:szCs w:val="20"/>
              </w:rPr>
              <w:t>January 31, 2014</w:t>
            </w:r>
          </w:p>
        </w:tc>
        <w:tc>
          <w:tcPr>
            <w:tcW w:w="7380" w:type="dxa"/>
            <w:tcBorders>
              <w:top w:val="nil"/>
              <w:left w:val="nil"/>
              <w:bottom w:val="single" w:sz="8" w:space="0" w:color="448A99"/>
              <w:right w:val="single" w:sz="4" w:space="0" w:color="448A99"/>
            </w:tcBorders>
            <w:shd w:val="clear" w:color="auto" w:fill="D2EAF1"/>
          </w:tcPr>
          <w:p w:rsidR="00015AFB" w:rsidRPr="00515AA9" w:rsidRDefault="00015AFB" w:rsidP="00C0310F">
            <w:pPr>
              <w:jc w:val="left"/>
              <w:rPr>
                <w:color w:val="000000"/>
                <w:sz w:val="20"/>
                <w:szCs w:val="20"/>
              </w:rPr>
            </w:pPr>
            <w:r w:rsidRPr="00515AA9">
              <w:rPr>
                <w:sz w:val="20"/>
                <w:szCs w:val="20"/>
              </w:rPr>
              <w:t>SWE approves the revised PPL EM&amp;V Plan</w:t>
            </w:r>
          </w:p>
        </w:tc>
      </w:tr>
      <w:tr w:rsidR="00015AFB" w:rsidRPr="00515AA9" w:rsidTr="00FD03DC">
        <w:trPr>
          <w:trHeight w:val="300"/>
        </w:trPr>
        <w:tc>
          <w:tcPr>
            <w:tcW w:w="1975" w:type="dxa"/>
            <w:tcBorders>
              <w:top w:val="single" w:sz="8" w:space="0" w:color="448A99"/>
              <w:left w:val="single" w:sz="4" w:space="0" w:color="448A99"/>
              <w:bottom w:val="single" w:sz="8" w:space="0" w:color="448A99"/>
              <w:right w:val="single" w:sz="4" w:space="0" w:color="448A99"/>
            </w:tcBorders>
            <w:shd w:val="clear" w:color="auto" w:fill="auto"/>
          </w:tcPr>
          <w:p w:rsidR="00015AFB" w:rsidRPr="00515AA9" w:rsidRDefault="00015AFB" w:rsidP="00C0310F">
            <w:pPr>
              <w:jc w:val="left"/>
              <w:rPr>
                <w:sz w:val="20"/>
                <w:szCs w:val="20"/>
              </w:rPr>
            </w:pPr>
            <w:r w:rsidRPr="00515AA9">
              <w:rPr>
                <w:sz w:val="20"/>
                <w:szCs w:val="20"/>
              </w:rPr>
              <w:t>June 1, 2014</w:t>
            </w:r>
          </w:p>
        </w:tc>
        <w:tc>
          <w:tcPr>
            <w:tcW w:w="7380" w:type="dxa"/>
            <w:tcBorders>
              <w:top w:val="single" w:sz="8" w:space="0" w:color="448A99"/>
              <w:left w:val="nil"/>
              <w:bottom w:val="single" w:sz="8" w:space="0" w:color="448A99"/>
              <w:right w:val="single" w:sz="4" w:space="0" w:color="448A99"/>
            </w:tcBorders>
            <w:shd w:val="clear" w:color="auto" w:fill="auto"/>
          </w:tcPr>
          <w:p w:rsidR="00015AFB" w:rsidRPr="00515AA9" w:rsidRDefault="00015AFB" w:rsidP="00C0310F">
            <w:pPr>
              <w:jc w:val="left"/>
              <w:rPr>
                <w:sz w:val="20"/>
                <w:szCs w:val="20"/>
              </w:rPr>
            </w:pPr>
            <w:r w:rsidRPr="00515AA9">
              <w:rPr>
                <w:sz w:val="20"/>
                <w:szCs w:val="20"/>
              </w:rPr>
              <w:t>PY6 starts</w:t>
            </w:r>
          </w:p>
        </w:tc>
      </w:tr>
      <w:tr w:rsidR="00015AFB" w:rsidRPr="00515AA9" w:rsidTr="00FD03DC">
        <w:trPr>
          <w:trHeight w:val="300"/>
        </w:trPr>
        <w:tc>
          <w:tcPr>
            <w:tcW w:w="1975" w:type="dxa"/>
            <w:tcBorders>
              <w:top w:val="single" w:sz="8" w:space="0" w:color="448A99"/>
              <w:left w:val="single" w:sz="4" w:space="0" w:color="448A99"/>
              <w:bottom w:val="single" w:sz="8" w:space="0" w:color="448A99"/>
              <w:right w:val="single" w:sz="4" w:space="0" w:color="448A99"/>
            </w:tcBorders>
            <w:shd w:val="clear" w:color="auto" w:fill="D2EAF1"/>
          </w:tcPr>
          <w:p w:rsidR="00015AFB" w:rsidRPr="00515AA9" w:rsidRDefault="00015AFB" w:rsidP="00C0310F">
            <w:pPr>
              <w:jc w:val="left"/>
              <w:rPr>
                <w:sz w:val="20"/>
                <w:szCs w:val="20"/>
              </w:rPr>
            </w:pPr>
            <w:r>
              <w:rPr>
                <w:sz w:val="20"/>
                <w:szCs w:val="20"/>
              </w:rPr>
              <w:t>June 1, 2015</w:t>
            </w:r>
          </w:p>
        </w:tc>
        <w:tc>
          <w:tcPr>
            <w:tcW w:w="7380" w:type="dxa"/>
            <w:tcBorders>
              <w:top w:val="single" w:sz="8" w:space="0" w:color="448A99"/>
              <w:left w:val="nil"/>
              <w:bottom w:val="single" w:sz="8" w:space="0" w:color="448A99"/>
              <w:right w:val="single" w:sz="4" w:space="0" w:color="448A99"/>
            </w:tcBorders>
            <w:shd w:val="clear" w:color="auto" w:fill="D2EAF1"/>
          </w:tcPr>
          <w:p w:rsidR="00015AFB" w:rsidRPr="00515AA9" w:rsidRDefault="00015AFB" w:rsidP="00C0310F">
            <w:pPr>
              <w:jc w:val="left"/>
              <w:rPr>
                <w:sz w:val="20"/>
                <w:szCs w:val="20"/>
              </w:rPr>
            </w:pPr>
            <w:r>
              <w:rPr>
                <w:sz w:val="20"/>
                <w:szCs w:val="20"/>
              </w:rPr>
              <w:t>PY7 starts</w:t>
            </w:r>
          </w:p>
        </w:tc>
      </w:tr>
      <w:tr w:rsidR="00015AFB" w:rsidRPr="00515AA9" w:rsidTr="00FD03DC">
        <w:trPr>
          <w:trHeight w:val="300"/>
        </w:trPr>
        <w:tc>
          <w:tcPr>
            <w:tcW w:w="1975" w:type="dxa"/>
            <w:tcBorders>
              <w:top w:val="single" w:sz="8" w:space="0" w:color="448A99"/>
              <w:left w:val="single" w:sz="4" w:space="0" w:color="448A99"/>
              <w:bottom w:val="single" w:sz="8" w:space="0" w:color="448A99"/>
              <w:right w:val="single" w:sz="4" w:space="0" w:color="448A99"/>
            </w:tcBorders>
            <w:shd w:val="clear" w:color="auto" w:fill="auto"/>
          </w:tcPr>
          <w:p w:rsidR="00015AFB" w:rsidRPr="00515AA9" w:rsidRDefault="00015AFB" w:rsidP="00C0310F">
            <w:pPr>
              <w:jc w:val="left"/>
              <w:rPr>
                <w:sz w:val="20"/>
                <w:szCs w:val="20"/>
              </w:rPr>
            </w:pPr>
            <w:r w:rsidRPr="00515AA9">
              <w:rPr>
                <w:sz w:val="20"/>
                <w:szCs w:val="20"/>
              </w:rPr>
              <w:t>May 27, 2015</w:t>
            </w:r>
          </w:p>
        </w:tc>
        <w:tc>
          <w:tcPr>
            <w:tcW w:w="7380" w:type="dxa"/>
            <w:tcBorders>
              <w:top w:val="single" w:sz="8" w:space="0" w:color="448A99"/>
              <w:left w:val="nil"/>
              <w:bottom w:val="single" w:sz="8" w:space="0" w:color="448A99"/>
              <w:right w:val="single" w:sz="4" w:space="0" w:color="448A99"/>
            </w:tcBorders>
            <w:shd w:val="clear" w:color="auto" w:fill="auto"/>
          </w:tcPr>
          <w:p w:rsidR="00015AFB" w:rsidRPr="00515AA9" w:rsidRDefault="00015AFB" w:rsidP="00C0310F">
            <w:pPr>
              <w:jc w:val="left"/>
              <w:rPr>
                <w:sz w:val="20"/>
                <w:szCs w:val="20"/>
              </w:rPr>
            </w:pPr>
            <w:r w:rsidRPr="00515AA9">
              <w:rPr>
                <w:sz w:val="20"/>
                <w:szCs w:val="20"/>
              </w:rPr>
              <w:t xml:space="preserve">PPL submits revisions to PPL </w:t>
            </w:r>
            <w:r>
              <w:rPr>
                <w:sz w:val="20"/>
                <w:szCs w:val="20"/>
              </w:rPr>
              <w:t>PY7</w:t>
            </w:r>
            <w:r w:rsidRPr="00515AA9">
              <w:rPr>
                <w:sz w:val="20"/>
                <w:szCs w:val="20"/>
              </w:rPr>
              <w:t xml:space="preserve"> EM&amp;V Plan</w:t>
            </w:r>
          </w:p>
        </w:tc>
      </w:tr>
      <w:tr w:rsidR="00015AFB" w:rsidRPr="00515AA9" w:rsidTr="00FD03DC">
        <w:trPr>
          <w:trHeight w:val="300"/>
        </w:trPr>
        <w:tc>
          <w:tcPr>
            <w:tcW w:w="1975" w:type="dxa"/>
            <w:tcBorders>
              <w:top w:val="single" w:sz="8" w:space="0" w:color="448A99"/>
              <w:left w:val="single" w:sz="4" w:space="0" w:color="448A99"/>
              <w:bottom w:val="single" w:sz="4" w:space="0" w:color="448A99"/>
              <w:right w:val="single" w:sz="4" w:space="0" w:color="448A99"/>
            </w:tcBorders>
            <w:shd w:val="clear" w:color="auto" w:fill="D2EAF1"/>
          </w:tcPr>
          <w:p w:rsidR="00015AFB" w:rsidRPr="00515AA9" w:rsidRDefault="00015AFB" w:rsidP="00C0310F">
            <w:pPr>
              <w:jc w:val="left"/>
              <w:rPr>
                <w:sz w:val="20"/>
                <w:szCs w:val="20"/>
              </w:rPr>
            </w:pPr>
            <w:r>
              <w:rPr>
                <w:sz w:val="20"/>
                <w:szCs w:val="20"/>
              </w:rPr>
              <w:t>September 8, 2015</w:t>
            </w:r>
          </w:p>
        </w:tc>
        <w:tc>
          <w:tcPr>
            <w:tcW w:w="7380" w:type="dxa"/>
            <w:tcBorders>
              <w:top w:val="single" w:sz="8" w:space="0" w:color="448A99"/>
              <w:left w:val="nil"/>
              <w:bottom w:val="single" w:sz="4" w:space="0" w:color="448A99"/>
              <w:right w:val="single" w:sz="4" w:space="0" w:color="448A99"/>
            </w:tcBorders>
            <w:shd w:val="clear" w:color="auto" w:fill="D2EAF1"/>
          </w:tcPr>
          <w:p w:rsidR="00015AFB" w:rsidRPr="00515AA9" w:rsidRDefault="00015AFB" w:rsidP="00C0310F">
            <w:pPr>
              <w:jc w:val="left"/>
              <w:rPr>
                <w:sz w:val="20"/>
                <w:szCs w:val="20"/>
              </w:rPr>
            </w:pPr>
            <w:r>
              <w:rPr>
                <w:sz w:val="20"/>
                <w:szCs w:val="20"/>
              </w:rPr>
              <w:t>PPL submits additional revisions to its PY7 EM&amp;V Plan</w:t>
            </w:r>
          </w:p>
        </w:tc>
      </w:tr>
    </w:tbl>
    <w:p w:rsidR="00DD3B6D" w:rsidRPr="00724792" w:rsidRDefault="00DD3B6D" w:rsidP="00DD3B6D"/>
    <w:p w:rsidR="00DD3B6D" w:rsidRPr="00724792" w:rsidRDefault="00015AFB" w:rsidP="00DD3B6D">
      <w:pPr>
        <w:spacing w:after="120"/>
      </w:pPr>
      <w:r w:rsidRPr="00724792">
        <w:t>PPL’s initial EM&amp;V Plan, submitted on August 30, 2013, detailed proposed evaluation objectives and activities for 13 programs across two sectors. The plan presented key evaluation issues, impact evaluation details, process evaluation details, sampling plans, and key contacts for each of the 13 programs. The SWE Team reviewed the plan and returned 105 comments. The SWE Team noted major deficiencies in the following areas</w:t>
      </w:r>
      <w:r w:rsidRPr="00F46239">
        <w:t xml:space="preserve"> (all of these issues </w:t>
      </w:r>
      <w:r>
        <w:t>were</w:t>
      </w:r>
      <w:r w:rsidRPr="00F46239">
        <w:t xml:space="preserve"> addressed by PPL)</w:t>
      </w:r>
      <w:r w:rsidRPr="00724792">
        <w:t>:</w:t>
      </w:r>
    </w:p>
    <w:p w:rsidR="00015AFB" w:rsidRPr="008C599E" w:rsidRDefault="00015AFB" w:rsidP="00E646C9">
      <w:pPr>
        <w:numPr>
          <w:ilvl w:val="0"/>
          <w:numId w:val="43"/>
        </w:numPr>
        <w:spacing w:after="120"/>
        <w:ind w:left="360"/>
        <w:rPr>
          <w:color w:val="000000"/>
        </w:rPr>
      </w:pPr>
      <w:r w:rsidRPr="008C599E">
        <w:rPr>
          <w:color w:val="000000"/>
        </w:rPr>
        <w:t xml:space="preserve">Confirmation that PPL’s billing analysis for the residential low-income program will focus on Act 129, Phase II participants only, and not include any </w:t>
      </w:r>
      <w:r w:rsidRPr="008C599E">
        <w:t xml:space="preserve">Low-Income Usage Reduction Program </w:t>
      </w:r>
      <w:r w:rsidRPr="008C599E">
        <w:rPr>
          <w:color w:val="000000"/>
        </w:rPr>
        <w:t xml:space="preserve">(LIURP) participants </w:t>
      </w:r>
    </w:p>
    <w:p w:rsidR="00015AFB" w:rsidRPr="008C599E" w:rsidRDefault="00015AFB" w:rsidP="00E646C9">
      <w:pPr>
        <w:numPr>
          <w:ilvl w:val="0"/>
          <w:numId w:val="43"/>
        </w:numPr>
        <w:spacing w:after="120"/>
        <w:ind w:left="360"/>
        <w:rPr>
          <w:color w:val="000000"/>
        </w:rPr>
      </w:pPr>
      <w:r w:rsidRPr="008C599E">
        <w:rPr>
          <w:color w:val="000000"/>
        </w:rPr>
        <w:t>More explanation of the verification steps planned for the Residential Efficient Equipment Program</w:t>
      </w:r>
    </w:p>
    <w:p w:rsidR="00015AFB" w:rsidRPr="008C599E" w:rsidRDefault="00015AFB" w:rsidP="00E646C9">
      <w:pPr>
        <w:numPr>
          <w:ilvl w:val="0"/>
          <w:numId w:val="43"/>
        </w:numPr>
        <w:spacing w:after="120"/>
        <w:ind w:left="360"/>
        <w:rPr>
          <w:color w:val="000000"/>
        </w:rPr>
      </w:pPr>
      <w:r w:rsidRPr="008C599E">
        <w:rPr>
          <w:color w:val="000000"/>
        </w:rPr>
        <w:t>Phone and web survey definitions and objectives across most applicable programs</w:t>
      </w:r>
    </w:p>
    <w:p w:rsidR="00015AFB" w:rsidRPr="008C599E" w:rsidRDefault="00015AFB" w:rsidP="00E646C9">
      <w:pPr>
        <w:numPr>
          <w:ilvl w:val="0"/>
          <w:numId w:val="43"/>
        </w:numPr>
        <w:spacing w:after="120"/>
        <w:ind w:left="360"/>
        <w:rPr>
          <w:color w:val="000000"/>
        </w:rPr>
      </w:pPr>
      <w:r w:rsidRPr="008C599E">
        <w:rPr>
          <w:color w:val="000000"/>
        </w:rPr>
        <w:t>Research design and sample sizes across most programs</w:t>
      </w:r>
    </w:p>
    <w:p w:rsidR="00015AFB" w:rsidRPr="008C599E" w:rsidRDefault="00015AFB" w:rsidP="00E646C9">
      <w:pPr>
        <w:numPr>
          <w:ilvl w:val="0"/>
          <w:numId w:val="43"/>
        </w:numPr>
        <w:spacing w:after="120"/>
        <w:ind w:left="360"/>
        <w:rPr>
          <w:color w:val="000000"/>
        </w:rPr>
      </w:pPr>
      <w:r w:rsidRPr="008C599E">
        <w:rPr>
          <w:color w:val="000000"/>
        </w:rPr>
        <w:t>Benchmarking across most applicable programs</w:t>
      </w:r>
    </w:p>
    <w:p w:rsidR="00015AFB" w:rsidRPr="008C599E" w:rsidRDefault="00A92A46" w:rsidP="00E646C9">
      <w:pPr>
        <w:numPr>
          <w:ilvl w:val="0"/>
          <w:numId w:val="43"/>
        </w:numPr>
        <w:spacing w:after="120"/>
        <w:ind w:left="360"/>
        <w:rPr>
          <w:color w:val="000000"/>
        </w:rPr>
      </w:pPr>
      <w:r>
        <w:rPr>
          <w:color w:val="000000"/>
        </w:rPr>
        <w:t>OPower</w:t>
      </w:r>
      <w:r w:rsidR="00015AFB" w:rsidRPr="008C599E">
        <w:rPr>
          <w:color w:val="000000"/>
        </w:rPr>
        <w:t xml:space="preserve"> analyses of behavior modification programs</w:t>
      </w:r>
    </w:p>
    <w:p w:rsidR="00015AFB" w:rsidRPr="008C599E" w:rsidRDefault="00015AFB" w:rsidP="00E646C9">
      <w:pPr>
        <w:numPr>
          <w:ilvl w:val="0"/>
          <w:numId w:val="43"/>
        </w:numPr>
        <w:spacing w:after="120"/>
        <w:ind w:left="360"/>
        <w:rPr>
          <w:color w:val="000000"/>
        </w:rPr>
      </w:pPr>
      <w:r w:rsidRPr="008C599E">
        <w:rPr>
          <w:color w:val="000000"/>
        </w:rPr>
        <w:t xml:space="preserve">Act 129 </w:t>
      </w:r>
      <w:r w:rsidRPr="008C599E">
        <w:t>Winter Relief Assistance Program (</w:t>
      </w:r>
      <w:r w:rsidRPr="008C599E">
        <w:rPr>
          <w:color w:val="000000"/>
        </w:rPr>
        <w:t>WRAP) impact evaluation methodology</w:t>
      </w:r>
    </w:p>
    <w:p w:rsidR="00015AFB" w:rsidRPr="008C599E" w:rsidRDefault="00015AFB" w:rsidP="00E646C9">
      <w:pPr>
        <w:numPr>
          <w:ilvl w:val="0"/>
          <w:numId w:val="43"/>
        </w:numPr>
        <w:spacing w:after="120"/>
        <w:ind w:left="360"/>
        <w:rPr>
          <w:color w:val="000000"/>
        </w:rPr>
      </w:pPr>
      <w:r w:rsidRPr="008C599E">
        <w:rPr>
          <w:color w:val="000000"/>
        </w:rPr>
        <w:t>Residential Lighting Program impact evaluation methodology</w:t>
      </w:r>
    </w:p>
    <w:p w:rsidR="00015AFB" w:rsidRPr="008C599E" w:rsidRDefault="00015AFB" w:rsidP="00E646C9">
      <w:pPr>
        <w:numPr>
          <w:ilvl w:val="0"/>
          <w:numId w:val="43"/>
        </w:numPr>
        <w:spacing w:after="120"/>
        <w:ind w:left="360"/>
        <w:rPr>
          <w:color w:val="000000"/>
        </w:rPr>
      </w:pPr>
      <w:r w:rsidRPr="008C599E">
        <w:rPr>
          <w:color w:val="000000"/>
        </w:rPr>
        <w:t>Residential Appliance Recycling Program savings calculation methodology</w:t>
      </w:r>
    </w:p>
    <w:p w:rsidR="00015AFB" w:rsidRPr="008C599E" w:rsidRDefault="00015AFB" w:rsidP="00E646C9">
      <w:pPr>
        <w:numPr>
          <w:ilvl w:val="0"/>
          <w:numId w:val="43"/>
        </w:numPr>
        <w:spacing w:after="120"/>
        <w:ind w:left="360"/>
        <w:rPr>
          <w:color w:val="000000"/>
        </w:rPr>
      </w:pPr>
      <w:r w:rsidRPr="008C599E">
        <w:rPr>
          <w:color w:val="000000"/>
        </w:rPr>
        <w:t>Level of rigor across all non-residential programs</w:t>
      </w:r>
    </w:p>
    <w:p w:rsidR="00015AFB" w:rsidRPr="008C599E" w:rsidRDefault="00015AFB" w:rsidP="00E646C9">
      <w:pPr>
        <w:numPr>
          <w:ilvl w:val="0"/>
          <w:numId w:val="43"/>
        </w:numPr>
        <w:ind w:left="360"/>
        <w:rPr>
          <w:color w:val="000000"/>
        </w:rPr>
      </w:pPr>
      <w:r w:rsidRPr="008C599E">
        <w:rPr>
          <w:color w:val="000000"/>
        </w:rPr>
        <w:t>Concern for mutual exclusivity of samples and/or savings calculations from overlapping programs</w:t>
      </w:r>
    </w:p>
    <w:p w:rsidR="00DD3B6D" w:rsidRPr="008A5E9E" w:rsidRDefault="00DD3B6D" w:rsidP="00DD3B6D">
      <w:pPr>
        <w:rPr>
          <w:color w:val="000000"/>
        </w:rPr>
      </w:pPr>
    </w:p>
    <w:p w:rsidR="00015AFB" w:rsidRDefault="00015AFB" w:rsidP="00015AFB">
      <w:pPr>
        <w:rPr>
          <w:color w:val="000000"/>
        </w:rPr>
      </w:pPr>
      <w:r>
        <w:rPr>
          <w:color w:val="000000"/>
        </w:rPr>
        <w:t>As noted above, t</w:t>
      </w:r>
      <w:r w:rsidRPr="00F46239">
        <w:rPr>
          <w:color w:val="000000"/>
        </w:rPr>
        <w:t xml:space="preserve">he SWE is presenting information on all revisions to this EM&amp;V Plan that have occurred </w:t>
      </w:r>
      <w:r>
        <w:rPr>
          <w:color w:val="000000"/>
        </w:rPr>
        <w:t>during Phase II (includes PY5, PY6 and PY7)</w:t>
      </w:r>
      <w:r w:rsidRPr="00F46239">
        <w:rPr>
          <w:color w:val="000000"/>
        </w:rPr>
        <w:t xml:space="preserve"> in order to provide a complete picture of the evolution of this plan during Phase II to date</w:t>
      </w:r>
      <w:r w:rsidRPr="008A5E9E">
        <w:rPr>
          <w:color w:val="000000"/>
        </w:rPr>
        <w:t>.</w:t>
      </w:r>
      <w:r>
        <w:rPr>
          <w:color w:val="000000"/>
        </w:rPr>
        <w:t xml:space="preserve"> </w:t>
      </w:r>
    </w:p>
    <w:p w:rsidR="00015AFB" w:rsidRPr="008A5E9E" w:rsidRDefault="00015AFB" w:rsidP="00015AFB">
      <w:pPr>
        <w:rPr>
          <w:color w:val="000000"/>
        </w:rPr>
      </w:pPr>
    </w:p>
    <w:p w:rsidR="00015AFB" w:rsidRPr="008A5E9E" w:rsidRDefault="00015AFB" w:rsidP="00015AFB">
      <w:pPr>
        <w:rPr>
          <w:color w:val="000000"/>
        </w:rPr>
      </w:pPr>
      <w:r w:rsidRPr="008A5E9E">
        <w:rPr>
          <w:color w:val="000000"/>
        </w:rPr>
        <w:t xml:space="preserve">PPL submitted </w:t>
      </w:r>
      <w:r>
        <w:rPr>
          <w:color w:val="000000"/>
        </w:rPr>
        <w:t xml:space="preserve">EM&amp;V Plan </w:t>
      </w:r>
      <w:r w:rsidRPr="008A5E9E">
        <w:rPr>
          <w:color w:val="000000"/>
        </w:rPr>
        <w:t>revisions on January 31, 2014, and these were incorporated into the draft plan, which was approved as the final Phase II EM&amp;V Plan. The SWE Team’s review of the evaluation activities revealed that the plan was followed appropriately for all EM&amp;V activities occurring in PY6.</w:t>
      </w:r>
    </w:p>
    <w:p w:rsidR="00015AFB" w:rsidRPr="008A5E9E" w:rsidRDefault="00015AFB" w:rsidP="00015AFB">
      <w:pPr>
        <w:rPr>
          <w:color w:val="000000"/>
        </w:rPr>
      </w:pPr>
    </w:p>
    <w:p w:rsidR="00015AFB" w:rsidRPr="00724792" w:rsidRDefault="00015AFB" w:rsidP="00015AFB">
      <w:pPr>
        <w:spacing w:after="120"/>
      </w:pPr>
      <w:r w:rsidRPr="008A5E9E">
        <w:rPr>
          <w:color w:val="000000"/>
        </w:rPr>
        <w:t xml:space="preserve">PPL submitted subsequent revisions to its PY6 EM&amp;V Plan. </w:t>
      </w:r>
      <w:r w:rsidRPr="00724792">
        <w:t xml:space="preserve">The revisions incorporated program changes, reflected changes to the evaluation plan, and addressed the SWE Team’s comments in its PY5 </w:t>
      </w:r>
      <w:r>
        <w:t>annual report</w:t>
      </w:r>
      <w:r w:rsidRPr="00724792">
        <w:t>. The list of changes to the evaluation activities for PY6 included the following:</w:t>
      </w:r>
    </w:p>
    <w:p w:rsidR="00015AFB" w:rsidRPr="00515AA9" w:rsidRDefault="00015AFB" w:rsidP="00D405A7">
      <w:pPr>
        <w:pStyle w:val="ListParagraph"/>
        <w:numPr>
          <w:ilvl w:val="0"/>
          <w:numId w:val="26"/>
        </w:numPr>
        <w:spacing w:after="120"/>
        <w:ind w:left="360"/>
        <w:contextualSpacing w:val="0"/>
      </w:pPr>
      <w:r w:rsidRPr="00515AA9">
        <w:t xml:space="preserve">Beginning in PY6, Cadmus’s Act 129 WRAP evaluation activities included telephone surveys with a sample of baseload job recipients. An additional two measure groups of WRAP activities were added in addition to baseload jobs and heat pump water heaters: low-cost jobs and full-cost jobs. The sample size for Cadmus’s random sample for WRAP data collection was changed from 50 to 140 sites. </w:t>
      </w:r>
    </w:p>
    <w:p w:rsidR="00015AFB" w:rsidRPr="00515AA9" w:rsidRDefault="00015AFB" w:rsidP="00D405A7">
      <w:pPr>
        <w:pStyle w:val="ListParagraph"/>
        <w:numPr>
          <w:ilvl w:val="0"/>
          <w:numId w:val="26"/>
        </w:numPr>
        <w:spacing w:after="120"/>
        <w:ind w:left="360"/>
        <w:contextualSpacing w:val="0"/>
      </w:pPr>
      <w:r w:rsidRPr="00C87A3C">
        <w:t>The PPL evaluation plan submitted to the SWE before the PPL PY6 program evaluation began provided that in PY6</w:t>
      </w:r>
      <w:r w:rsidRPr="00515AA9">
        <w:t xml:space="preserve"> the Appliance Recycling Program process evaluation</w:t>
      </w:r>
      <w:r>
        <w:t xml:space="preserve"> would</w:t>
      </w:r>
      <w:r w:rsidRPr="00515AA9">
        <w:t xml:space="preserve"> describe and assess the program’s success meeting key performance indicators (KPIs). The KPIs are “days to pick up” and “days to issue check.” The total number of nonparticipant surveys and trade ally interviews was changed in both PY5 and PY6 for the Appliance Recycling </w:t>
      </w:r>
      <w:r w:rsidRPr="00870D8B">
        <w:t>Program</w:t>
      </w:r>
      <w:r w:rsidRPr="00515AA9">
        <w:t xml:space="preserve">. </w:t>
      </w:r>
    </w:p>
    <w:p w:rsidR="00015AFB" w:rsidRPr="00515AA9" w:rsidRDefault="00015AFB" w:rsidP="00D405A7">
      <w:pPr>
        <w:pStyle w:val="ListParagraph"/>
        <w:numPr>
          <w:ilvl w:val="0"/>
          <w:numId w:val="26"/>
        </w:numPr>
        <w:spacing w:after="120"/>
        <w:ind w:left="360"/>
        <w:contextualSpacing w:val="0"/>
      </w:pPr>
      <w:r w:rsidRPr="00515AA9">
        <w:t xml:space="preserve">Participant phone surveys </w:t>
      </w:r>
      <w:r>
        <w:t>were</w:t>
      </w:r>
      <w:r w:rsidRPr="00515AA9">
        <w:t xml:space="preserve"> no longer included as an evaluation activity for the E-Power Wise program</w:t>
      </w:r>
      <w:r>
        <w:t xml:space="preserve"> in PY6 and PY7</w:t>
      </w:r>
      <w:r w:rsidRPr="00515AA9">
        <w:t xml:space="preserve">. </w:t>
      </w:r>
    </w:p>
    <w:p w:rsidR="00015AFB" w:rsidRPr="00515AA9" w:rsidRDefault="00015AFB" w:rsidP="00D405A7">
      <w:pPr>
        <w:pStyle w:val="ListParagraph"/>
        <w:numPr>
          <w:ilvl w:val="0"/>
          <w:numId w:val="26"/>
        </w:numPr>
        <w:spacing w:after="120"/>
        <w:ind w:left="360"/>
        <w:contextualSpacing w:val="0"/>
      </w:pPr>
      <w:r w:rsidRPr="00515AA9">
        <w:t xml:space="preserve">Secondary research and calculation of demand savings (MW) impacts </w:t>
      </w:r>
      <w:r>
        <w:t>were</w:t>
      </w:r>
      <w:r w:rsidRPr="00515AA9">
        <w:t xml:space="preserve"> no longer included as evaluation activities for the Low-Income Behavior and Education Program. </w:t>
      </w:r>
    </w:p>
    <w:p w:rsidR="00015AFB" w:rsidRPr="00515AA9" w:rsidRDefault="00015AFB" w:rsidP="00D405A7">
      <w:pPr>
        <w:pStyle w:val="ListParagraph"/>
        <w:numPr>
          <w:ilvl w:val="0"/>
          <w:numId w:val="26"/>
        </w:numPr>
        <w:spacing w:after="120"/>
        <w:ind w:left="360"/>
        <w:contextualSpacing w:val="0"/>
      </w:pPr>
      <w:r w:rsidRPr="00515AA9">
        <w:t xml:space="preserve">Opt-out surveys, secondary research, and calculation of demand savings (MW) impacts </w:t>
      </w:r>
      <w:r>
        <w:t>were</w:t>
      </w:r>
      <w:r w:rsidRPr="00515AA9">
        <w:t xml:space="preserve"> no longer included as evaluation activities for the Residential Energy-Efficiency Behavior and Education Program</w:t>
      </w:r>
      <w:r>
        <w:t>. This change also applied to the PPL PY7 EM&amp;V Plan</w:t>
      </w:r>
      <w:r w:rsidRPr="00515AA9">
        <w:t xml:space="preserve">. </w:t>
      </w:r>
    </w:p>
    <w:p w:rsidR="00015AFB" w:rsidRPr="00515AA9" w:rsidRDefault="00015AFB" w:rsidP="00D405A7">
      <w:pPr>
        <w:pStyle w:val="ListParagraph"/>
        <w:numPr>
          <w:ilvl w:val="0"/>
          <w:numId w:val="26"/>
        </w:numPr>
        <w:spacing w:after="120"/>
        <w:ind w:left="360"/>
        <w:contextualSpacing w:val="0"/>
      </w:pPr>
      <w:r w:rsidRPr="00515AA9">
        <w:t>The Residential Home Comfort Program no longer include</w:t>
      </w:r>
      <w:r>
        <w:t>d</w:t>
      </w:r>
      <w:r w:rsidRPr="00515AA9">
        <w:t xml:space="preserve"> the trade ally training component</w:t>
      </w:r>
      <w:r>
        <w:t>,</w:t>
      </w:r>
      <w:r w:rsidRPr="00515AA9">
        <w:t xml:space="preserve"> and </w:t>
      </w:r>
      <w:r>
        <w:t xml:space="preserve">instead </w:t>
      </w:r>
      <w:r w:rsidRPr="00515AA9">
        <w:t>include</w:t>
      </w:r>
      <w:r>
        <w:t>d</w:t>
      </w:r>
      <w:r w:rsidRPr="00515AA9">
        <w:t xml:space="preserve"> a manufactured homes component. Process evaluation sample sizes for the Home Comfort Program changed </w:t>
      </w:r>
      <w:r>
        <w:t>going forward</w:t>
      </w:r>
      <w:r w:rsidRPr="00515AA9">
        <w:t xml:space="preserve"> for new homes, audit and weatherization, efficient equipment fuel switching, and manufactured home purchasers. Sample sizes for trade ally interviews were changed for PY6 and PY7. The efficient equipment rebate recipients sample was added. Impact evaluation survey sample sizes were changed for most activities. </w:t>
      </w:r>
    </w:p>
    <w:p w:rsidR="00015AFB" w:rsidRDefault="00015AFB" w:rsidP="00D405A7">
      <w:pPr>
        <w:pStyle w:val="ListParagraph"/>
        <w:numPr>
          <w:ilvl w:val="0"/>
          <w:numId w:val="26"/>
        </w:numPr>
        <w:spacing w:after="120"/>
        <w:ind w:left="360"/>
        <w:contextualSpacing w:val="0"/>
      </w:pPr>
      <w:r w:rsidRPr="00515AA9">
        <w:t xml:space="preserve">Follow-up participant surveys </w:t>
      </w:r>
      <w:r>
        <w:t>were</w:t>
      </w:r>
      <w:r w:rsidRPr="00515AA9">
        <w:t xml:space="preserve"> no longer offered as an evaluation activity for the Student and Parent Energy-Efficiency Education Program</w:t>
      </w:r>
      <w:r>
        <w:t xml:space="preserve"> in PY6 and PY7</w:t>
      </w:r>
      <w:r w:rsidRPr="00515AA9">
        <w:t>.</w:t>
      </w:r>
    </w:p>
    <w:p w:rsidR="00015AFB" w:rsidRDefault="00015AFB" w:rsidP="00EE3086">
      <w:pPr>
        <w:pStyle w:val="ListParagraph"/>
        <w:numPr>
          <w:ilvl w:val="0"/>
          <w:numId w:val="26"/>
        </w:numPr>
        <w:ind w:left="360"/>
        <w:contextualSpacing w:val="0"/>
      </w:pPr>
      <w:r w:rsidRPr="00515AA9">
        <w:t>Trade ally interviews</w:t>
      </w:r>
      <w:r w:rsidRPr="00724792">
        <w:t xml:space="preserve"> </w:t>
      </w:r>
      <w:r>
        <w:t>were</w:t>
      </w:r>
      <w:r w:rsidRPr="00724792">
        <w:t xml:space="preserve"> no longer an evaluation activity for the Custom Incentive Program.</w:t>
      </w:r>
    </w:p>
    <w:p w:rsidR="00EE3086" w:rsidRDefault="00EE3086" w:rsidP="00015AFB">
      <w:pPr>
        <w:rPr>
          <w:color w:val="000000"/>
        </w:rPr>
      </w:pPr>
    </w:p>
    <w:p w:rsidR="00DD3B6D" w:rsidRDefault="00015AFB" w:rsidP="00015AFB">
      <w:r w:rsidRPr="008A5E9E">
        <w:rPr>
          <w:color w:val="000000"/>
        </w:rPr>
        <w:t xml:space="preserve">PPL submitted </w:t>
      </w:r>
      <w:r>
        <w:rPr>
          <w:color w:val="000000"/>
        </w:rPr>
        <w:t>revisions to its PY7</w:t>
      </w:r>
      <w:r w:rsidRPr="008A5E9E">
        <w:rPr>
          <w:color w:val="000000"/>
        </w:rPr>
        <w:t xml:space="preserve"> EM&amp;V Plan</w:t>
      </w:r>
      <w:r>
        <w:rPr>
          <w:color w:val="000000"/>
        </w:rPr>
        <w:t xml:space="preserve"> on September 8, 2015. </w:t>
      </w:r>
      <w:r>
        <w:t>Most changes reflect PPL’s revised Phase II EE&amp;C Plan approved in June 2015, related decisions for the impact evaluations, and decisions about process evaluations.</w:t>
      </w:r>
    </w:p>
    <w:p w:rsidR="00015AFB" w:rsidRPr="009847AC" w:rsidRDefault="00015AFB" w:rsidP="00015AFB"/>
    <w:p w:rsidR="00950837" w:rsidRDefault="00950837" w:rsidP="00D34B3E">
      <w:pPr>
        <w:pStyle w:val="AppendixAHeading3"/>
      </w:pPr>
      <w:r>
        <w:t>Measurement and Verification Activities and Findings</w:t>
      </w:r>
    </w:p>
    <w:p w:rsidR="00CD1D5B" w:rsidRDefault="00CD1D5B" w:rsidP="00CD1D5B">
      <w:r>
        <w:t xml:space="preserve">PPL achieved 145% of its total Phase II energy savings compliance target, based on aggregated verified savings as of May 31, 2016 from Phase II in addition to Phase I carryover. Realization rates compare </w:t>
      </w:r>
      <w:r w:rsidR="003E6CCF">
        <w:t>gross savings with</w:t>
      </w:r>
      <w:r>
        <w:t xml:space="preserve"> the verified gross savings determined by the EDC evaluation contractor through M&amp;V activities.</w:t>
      </w:r>
    </w:p>
    <w:p w:rsidR="00CD1D5B" w:rsidRDefault="00CD1D5B" w:rsidP="00CD1D5B"/>
    <w:p w:rsidR="00CD1D5B" w:rsidRDefault="00CD1D5B" w:rsidP="00CD1D5B">
      <w:r>
        <w:fldChar w:fldCharType="begin"/>
      </w:r>
      <w:r>
        <w:instrText xml:space="preserve"> REF _Ref472449196 \h </w:instrText>
      </w:r>
      <w:r>
        <w:fldChar w:fldCharType="separate"/>
      </w:r>
      <w:r w:rsidR="00C301D0">
        <w:t>Table A-</w:t>
      </w:r>
      <w:r w:rsidR="00C301D0">
        <w:rPr>
          <w:noProof/>
        </w:rPr>
        <w:t>140</w:t>
      </w:r>
      <w:r>
        <w:fldChar w:fldCharType="end"/>
      </w:r>
      <w:r>
        <w:t xml:space="preserve"> provides a summary of M&amp;V findings based on activities conducted by Cadmus. The summary is based on details provided in PPL’s PY7 annual report and on information obtained from the SWE Team’s data requests and audits. </w:t>
      </w:r>
      <w:r>
        <w:fldChar w:fldCharType="begin"/>
      </w:r>
      <w:r>
        <w:instrText xml:space="preserve"> REF _Ref472449196 \h </w:instrText>
      </w:r>
      <w:r>
        <w:fldChar w:fldCharType="separate"/>
      </w:r>
      <w:r w:rsidR="00C301D0">
        <w:t>Table A-</w:t>
      </w:r>
      <w:r w:rsidR="00C301D0">
        <w:rPr>
          <w:noProof/>
        </w:rPr>
        <w:t>140</w:t>
      </w:r>
      <w:r>
        <w:fldChar w:fldCharType="end"/>
      </w:r>
      <w:r>
        <w:t xml:space="preserve"> presents realization rates and relative precision values for verified energy and demand savings for each of PPL’s r</w:t>
      </w:r>
      <w:r w:rsidR="00D90336">
        <w:t>esidential and non-residential energy efficiency</w:t>
      </w:r>
      <w:r>
        <w:t xml:space="preserve"> programs for PY7.</w:t>
      </w:r>
    </w:p>
    <w:p w:rsidR="00CD1D5B" w:rsidRDefault="00CD1D5B" w:rsidP="00CD1D5B"/>
    <w:p w:rsidR="00CD1D5B" w:rsidRDefault="00CD1D5B" w:rsidP="00CD1D5B">
      <w:pPr>
        <w:pStyle w:val="Caption"/>
      </w:pPr>
      <w:bookmarkStart w:id="1285" w:name="_Ref472449196"/>
      <w:bookmarkStart w:id="1286" w:name="_Toc472472549"/>
      <w:bookmarkStart w:id="1287" w:name="_Toc476842255"/>
      <w:r>
        <w:t>Table A-</w:t>
      </w:r>
      <w:fldSimple w:instr=" SEQ Table_A- \* ARABIC ">
        <w:r w:rsidR="00C301D0">
          <w:rPr>
            <w:noProof/>
          </w:rPr>
          <w:t>140</w:t>
        </w:r>
      </w:fldSimple>
      <w:bookmarkEnd w:id="1285"/>
      <w:r>
        <w:t xml:space="preserve">: </w:t>
      </w:r>
      <w:r w:rsidRPr="00C84ED7">
        <w:t>Realization Rates and Relative Precisions for PPL’s Programs in PY7</w:t>
      </w:r>
      <w:bookmarkEnd w:id="1286"/>
      <w:bookmarkEnd w:id="1287"/>
    </w:p>
    <w:tbl>
      <w:tblPr>
        <w:tblW w:w="9359" w:type="dxa"/>
        <w:tblInd w:w="108"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4315"/>
        <w:gridCol w:w="1261"/>
        <w:gridCol w:w="1261"/>
        <w:gridCol w:w="1261"/>
        <w:gridCol w:w="1261"/>
      </w:tblGrid>
      <w:tr w:rsidR="00A874AC" w:rsidRPr="00C84ED7" w:rsidTr="00D77B11">
        <w:trPr>
          <w:trHeight w:val="808"/>
        </w:trPr>
        <w:tc>
          <w:tcPr>
            <w:tcW w:w="4315" w:type="dxa"/>
            <w:shd w:val="clear" w:color="auto" w:fill="448A99"/>
            <w:noWrap/>
            <w:vAlign w:val="bottom"/>
            <w:hideMark/>
          </w:tcPr>
          <w:p w:rsidR="00CD1D5B" w:rsidRPr="00C84ED7" w:rsidRDefault="003E6CCF" w:rsidP="0051612D">
            <w:pPr>
              <w:jc w:val="left"/>
              <w:rPr>
                <w:rFonts w:eastAsia="Calibri"/>
                <w:b/>
                <w:color w:val="FFFFFF"/>
                <w:sz w:val="20"/>
                <w:szCs w:val="20"/>
              </w:rPr>
            </w:pPr>
            <w:r>
              <w:rPr>
                <w:rFonts w:eastAsia="Calibri"/>
                <w:b/>
                <w:color w:val="FFFFFF"/>
                <w:sz w:val="20"/>
                <w:szCs w:val="20"/>
              </w:rPr>
              <w:t>Program</w:t>
            </w:r>
            <w:r w:rsidR="00A87AA6">
              <w:rPr>
                <w:rFonts w:eastAsia="Calibri"/>
                <w:b/>
                <w:color w:val="FFFFFF"/>
                <w:sz w:val="20"/>
                <w:szCs w:val="20"/>
              </w:rPr>
              <w:t xml:space="preserve"> </w:t>
            </w:r>
          </w:p>
        </w:tc>
        <w:tc>
          <w:tcPr>
            <w:tcW w:w="1261" w:type="dxa"/>
            <w:shd w:val="clear" w:color="auto" w:fill="448A99"/>
            <w:vAlign w:val="bottom"/>
            <w:hideMark/>
          </w:tcPr>
          <w:p w:rsidR="00CD1D5B" w:rsidRPr="00C84ED7" w:rsidRDefault="00CD1D5B" w:rsidP="005C1352">
            <w:pPr>
              <w:jc w:val="center"/>
              <w:rPr>
                <w:rFonts w:eastAsia="Calibri"/>
                <w:b/>
                <w:color w:val="FFFFFF"/>
                <w:sz w:val="20"/>
                <w:szCs w:val="20"/>
              </w:rPr>
            </w:pPr>
            <w:r w:rsidRPr="00C84ED7">
              <w:rPr>
                <w:rFonts w:eastAsia="Calibri"/>
                <w:b/>
                <w:color w:val="FFFFFF"/>
                <w:sz w:val="20"/>
                <w:szCs w:val="20"/>
              </w:rPr>
              <w:t>Energy Realization Rate</w:t>
            </w:r>
          </w:p>
        </w:tc>
        <w:tc>
          <w:tcPr>
            <w:tcW w:w="1261" w:type="dxa"/>
            <w:shd w:val="clear" w:color="auto" w:fill="448A99"/>
            <w:vAlign w:val="bottom"/>
            <w:hideMark/>
          </w:tcPr>
          <w:p w:rsidR="00CD1D5B" w:rsidRPr="00C84ED7" w:rsidRDefault="00CD1D5B" w:rsidP="005C1352">
            <w:pPr>
              <w:jc w:val="center"/>
              <w:rPr>
                <w:rFonts w:eastAsia="Calibri"/>
                <w:b/>
                <w:color w:val="FFFFFF"/>
                <w:sz w:val="20"/>
                <w:szCs w:val="20"/>
              </w:rPr>
            </w:pPr>
            <w:r w:rsidRPr="00C84ED7">
              <w:rPr>
                <w:rFonts w:eastAsia="Calibri"/>
                <w:b/>
                <w:color w:val="FFFFFF"/>
                <w:sz w:val="20"/>
                <w:szCs w:val="20"/>
              </w:rPr>
              <w:t>Relative Precision (Energy)</w:t>
            </w:r>
            <w:r w:rsidRPr="00C84ED7">
              <w:rPr>
                <w:rFonts w:eastAsia="Calibri"/>
                <w:b/>
                <w:color w:val="FFFFFF"/>
                <w:sz w:val="20"/>
                <w:szCs w:val="20"/>
                <w:vertAlign w:val="superscript"/>
              </w:rPr>
              <w:t>[a]</w:t>
            </w:r>
          </w:p>
        </w:tc>
        <w:tc>
          <w:tcPr>
            <w:tcW w:w="1261" w:type="dxa"/>
            <w:shd w:val="clear" w:color="auto" w:fill="448A99"/>
            <w:vAlign w:val="bottom"/>
            <w:hideMark/>
          </w:tcPr>
          <w:p w:rsidR="00CD1D5B" w:rsidRPr="00C84ED7" w:rsidRDefault="00CD1D5B" w:rsidP="005C1352">
            <w:pPr>
              <w:jc w:val="center"/>
              <w:rPr>
                <w:rFonts w:eastAsia="Calibri"/>
                <w:b/>
                <w:color w:val="FFFFFF"/>
                <w:sz w:val="20"/>
                <w:szCs w:val="20"/>
              </w:rPr>
            </w:pPr>
            <w:r w:rsidRPr="00C84ED7">
              <w:rPr>
                <w:rFonts w:eastAsia="Calibri"/>
                <w:b/>
                <w:color w:val="FFFFFF"/>
                <w:sz w:val="20"/>
                <w:szCs w:val="20"/>
              </w:rPr>
              <w:t>Demand Realization Rate</w:t>
            </w:r>
          </w:p>
        </w:tc>
        <w:tc>
          <w:tcPr>
            <w:tcW w:w="1261" w:type="dxa"/>
            <w:shd w:val="clear" w:color="auto" w:fill="448A99"/>
            <w:vAlign w:val="bottom"/>
            <w:hideMark/>
          </w:tcPr>
          <w:p w:rsidR="00CD1D5B" w:rsidRPr="00C84ED7" w:rsidRDefault="00CD1D5B" w:rsidP="005C1352">
            <w:pPr>
              <w:jc w:val="center"/>
              <w:rPr>
                <w:rFonts w:eastAsia="Calibri"/>
                <w:b/>
                <w:color w:val="FFFFFF"/>
                <w:sz w:val="20"/>
                <w:szCs w:val="20"/>
              </w:rPr>
            </w:pPr>
            <w:r w:rsidRPr="00C84ED7">
              <w:rPr>
                <w:rFonts w:eastAsia="Calibri"/>
                <w:b/>
                <w:color w:val="FFFFFF"/>
                <w:sz w:val="20"/>
                <w:szCs w:val="20"/>
              </w:rPr>
              <w:t>Relative Precision (Demand)</w:t>
            </w:r>
            <w:r w:rsidRPr="00C84ED7">
              <w:rPr>
                <w:rFonts w:eastAsia="Calibri"/>
                <w:b/>
                <w:color w:val="FFFFFF"/>
                <w:sz w:val="20"/>
                <w:szCs w:val="20"/>
                <w:vertAlign w:val="superscript"/>
              </w:rPr>
              <w:t>[a]</w:t>
            </w:r>
          </w:p>
        </w:tc>
      </w:tr>
      <w:tr w:rsidR="00A874AC" w:rsidRPr="00C84ED7" w:rsidTr="00D77B11">
        <w:trPr>
          <w:trHeight w:val="488"/>
        </w:trPr>
        <w:tc>
          <w:tcPr>
            <w:tcW w:w="4315" w:type="dxa"/>
            <w:shd w:val="clear" w:color="auto" w:fill="D2EAF1"/>
            <w:noWrap/>
            <w:vAlign w:val="center"/>
          </w:tcPr>
          <w:p w:rsidR="00E56FFD" w:rsidRPr="00C84ED7" w:rsidRDefault="00E56FFD" w:rsidP="0051612D">
            <w:pPr>
              <w:jc w:val="left"/>
              <w:rPr>
                <w:rFonts w:eastAsia="Calibri"/>
                <w:color w:val="000000"/>
                <w:sz w:val="20"/>
                <w:szCs w:val="20"/>
              </w:rPr>
            </w:pPr>
            <w:r w:rsidRPr="00C84ED7">
              <w:rPr>
                <w:rFonts w:eastAsia="Calibri"/>
                <w:sz w:val="20"/>
                <w:szCs w:val="20"/>
              </w:rPr>
              <w:t>Appliance Recycling</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100%</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N/A</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100%</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052CD5">
              <w:rPr>
                <w:rFonts w:eastAsia="Calibri"/>
                <w:color w:val="000000"/>
                <w:sz w:val="20"/>
                <w:szCs w:val="20"/>
              </w:rPr>
              <w:t>N/A</w:t>
            </w:r>
          </w:p>
        </w:tc>
      </w:tr>
      <w:tr w:rsidR="00E56FFD" w:rsidRPr="00C84ED7" w:rsidTr="00D77B11">
        <w:trPr>
          <w:trHeight w:val="488"/>
        </w:trPr>
        <w:tc>
          <w:tcPr>
            <w:tcW w:w="4315" w:type="dxa"/>
            <w:shd w:val="clear" w:color="auto" w:fill="auto"/>
            <w:noWrap/>
            <w:vAlign w:val="center"/>
          </w:tcPr>
          <w:p w:rsidR="00E56FFD" w:rsidRPr="00C84ED7" w:rsidRDefault="00E56FFD" w:rsidP="0051612D">
            <w:pPr>
              <w:jc w:val="left"/>
              <w:rPr>
                <w:rFonts w:eastAsia="Calibri"/>
                <w:sz w:val="20"/>
                <w:szCs w:val="20"/>
              </w:rPr>
            </w:pPr>
            <w:r w:rsidRPr="00C84ED7">
              <w:rPr>
                <w:rFonts w:eastAsia="Calibri"/>
                <w:sz w:val="20"/>
                <w:szCs w:val="20"/>
              </w:rPr>
              <w:t>Continuous Energy Improvement</w:t>
            </w:r>
          </w:p>
        </w:tc>
        <w:tc>
          <w:tcPr>
            <w:tcW w:w="1261" w:type="dxa"/>
            <w:shd w:val="clear" w:color="auto" w:fill="auto"/>
            <w:noWrap/>
            <w:vAlign w:val="center"/>
          </w:tcPr>
          <w:p w:rsidR="00E56FFD" w:rsidRPr="00C84ED7" w:rsidRDefault="00E56FFD" w:rsidP="00E56FFD">
            <w:pPr>
              <w:jc w:val="center"/>
              <w:rPr>
                <w:rFonts w:eastAsia="Calibri"/>
                <w:sz w:val="20"/>
                <w:szCs w:val="20"/>
              </w:rPr>
            </w:pPr>
            <w:r w:rsidRPr="00C84ED7">
              <w:rPr>
                <w:rFonts w:eastAsia="Calibri"/>
                <w:sz w:val="20"/>
                <w:szCs w:val="20"/>
              </w:rPr>
              <w:t>98.2%</w:t>
            </w:r>
          </w:p>
        </w:tc>
        <w:tc>
          <w:tcPr>
            <w:tcW w:w="1261" w:type="dxa"/>
            <w:shd w:val="clear" w:color="auto" w:fill="auto"/>
            <w:noWrap/>
            <w:vAlign w:val="center"/>
          </w:tcPr>
          <w:p w:rsidR="00E56FFD" w:rsidRPr="00C84ED7" w:rsidRDefault="00E56FFD" w:rsidP="00E56FFD">
            <w:pPr>
              <w:jc w:val="center"/>
              <w:rPr>
                <w:rFonts w:eastAsia="Calibri"/>
                <w:sz w:val="20"/>
                <w:szCs w:val="20"/>
              </w:rPr>
            </w:pPr>
            <w:r w:rsidRPr="00C84ED7">
              <w:rPr>
                <w:rFonts w:eastAsia="Calibri"/>
                <w:sz w:val="20"/>
                <w:szCs w:val="20"/>
              </w:rPr>
              <w:t>3.8%</w:t>
            </w:r>
          </w:p>
        </w:tc>
        <w:tc>
          <w:tcPr>
            <w:tcW w:w="1261" w:type="dxa"/>
            <w:shd w:val="clear" w:color="auto" w:fill="auto"/>
            <w:noWrap/>
            <w:vAlign w:val="center"/>
          </w:tcPr>
          <w:p w:rsidR="00E56FFD" w:rsidRPr="00C84ED7" w:rsidRDefault="00E56FFD" w:rsidP="00E56FFD">
            <w:pPr>
              <w:jc w:val="center"/>
              <w:rPr>
                <w:rFonts w:eastAsia="Calibri"/>
                <w:sz w:val="20"/>
                <w:szCs w:val="20"/>
              </w:rPr>
            </w:pPr>
            <w:r w:rsidRPr="00C84ED7">
              <w:rPr>
                <w:rFonts w:eastAsia="Calibri"/>
                <w:sz w:val="20"/>
                <w:szCs w:val="20"/>
              </w:rPr>
              <w:t>131.4%</w:t>
            </w:r>
          </w:p>
        </w:tc>
        <w:tc>
          <w:tcPr>
            <w:tcW w:w="1261" w:type="dxa"/>
            <w:shd w:val="clear" w:color="auto" w:fill="auto"/>
            <w:noWrap/>
            <w:vAlign w:val="center"/>
          </w:tcPr>
          <w:p w:rsidR="00E56FFD" w:rsidRPr="00C84ED7" w:rsidRDefault="00E56FFD" w:rsidP="00E56FFD">
            <w:pPr>
              <w:jc w:val="center"/>
              <w:rPr>
                <w:rFonts w:eastAsia="Calibri"/>
                <w:sz w:val="20"/>
                <w:szCs w:val="20"/>
              </w:rPr>
            </w:pPr>
            <w:r w:rsidRPr="00052CD5">
              <w:rPr>
                <w:rFonts w:eastAsia="Calibri"/>
                <w:sz w:val="20"/>
                <w:szCs w:val="20"/>
              </w:rPr>
              <w:t>4</w:t>
            </w:r>
            <w:r>
              <w:rPr>
                <w:rFonts w:eastAsia="Calibri"/>
                <w:sz w:val="20"/>
                <w:szCs w:val="20"/>
              </w:rPr>
              <w:t>6.6</w:t>
            </w:r>
            <w:r w:rsidRPr="00052CD5">
              <w:rPr>
                <w:rFonts w:eastAsia="Calibri"/>
                <w:sz w:val="20"/>
                <w:szCs w:val="20"/>
              </w:rPr>
              <w:t>%</w:t>
            </w:r>
          </w:p>
        </w:tc>
      </w:tr>
      <w:tr w:rsidR="00A874AC" w:rsidRPr="00C84ED7" w:rsidTr="00D77B11">
        <w:trPr>
          <w:trHeight w:val="488"/>
        </w:trPr>
        <w:tc>
          <w:tcPr>
            <w:tcW w:w="4315" w:type="dxa"/>
            <w:shd w:val="clear" w:color="auto" w:fill="D2EAF1"/>
            <w:noWrap/>
            <w:vAlign w:val="center"/>
          </w:tcPr>
          <w:p w:rsidR="00E56FFD" w:rsidRPr="00C84ED7" w:rsidRDefault="00E56FFD" w:rsidP="0051612D">
            <w:pPr>
              <w:jc w:val="left"/>
              <w:rPr>
                <w:rFonts w:eastAsia="Calibri"/>
                <w:color w:val="000000"/>
                <w:sz w:val="20"/>
                <w:szCs w:val="20"/>
              </w:rPr>
            </w:pPr>
            <w:r w:rsidRPr="00C84ED7">
              <w:rPr>
                <w:rFonts w:eastAsia="Calibri"/>
                <w:sz w:val="20"/>
                <w:szCs w:val="20"/>
              </w:rPr>
              <w:t>Custom Incentive</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100.1%</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4.3%</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107%</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Pr>
                <w:rFonts w:eastAsia="Calibri"/>
                <w:color w:val="000000"/>
                <w:sz w:val="20"/>
                <w:szCs w:val="20"/>
              </w:rPr>
              <w:t>N/A</w:t>
            </w:r>
          </w:p>
        </w:tc>
      </w:tr>
      <w:tr w:rsidR="00E56FFD" w:rsidRPr="00C84ED7" w:rsidTr="00D77B11">
        <w:trPr>
          <w:trHeight w:val="488"/>
        </w:trPr>
        <w:tc>
          <w:tcPr>
            <w:tcW w:w="4315" w:type="dxa"/>
            <w:shd w:val="clear" w:color="auto" w:fill="auto"/>
            <w:noWrap/>
            <w:vAlign w:val="center"/>
          </w:tcPr>
          <w:p w:rsidR="00E56FFD" w:rsidRPr="00C84ED7" w:rsidRDefault="00E56FFD" w:rsidP="0051612D">
            <w:pPr>
              <w:jc w:val="left"/>
              <w:rPr>
                <w:rFonts w:eastAsia="Calibri"/>
                <w:color w:val="000000"/>
                <w:sz w:val="20"/>
                <w:szCs w:val="20"/>
              </w:rPr>
            </w:pPr>
            <w:r w:rsidRPr="00C84ED7">
              <w:rPr>
                <w:rFonts w:eastAsia="Calibri"/>
                <w:sz w:val="20"/>
                <w:szCs w:val="20"/>
              </w:rPr>
              <w:t>E-Power Wise</w:t>
            </w:r>
          </w:p>
        </w:tc>
        <w:tc>
          <w:tcPr>
            <w:tcW w:w="1261" w:type="dxa"/>
            <w:shd w:val="clear" w:color="auto" w:fill="auto"/>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62.4%</w:t>
            </w:r>
          </w:p>
        </w:tc>
        <w:tc>
          <w:tcPr>
            <w:tcW w:w="1261" w:type="dxa"/>
            <w:shd w:val="clear" w:color="auto" w:fill="auto"/>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3.3%</w:t>
            </w:r>
          </w:p>
        </w:tc>
        <w:tc>
          <w:tcPr>
            <w:tcW w:w="1261" w:type="dxa"/>
            <w:shd w:val="clear" w:color="auto" w:fill="auto"/>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39.8%</w:t>
            </w:r>
          </w:p>
        </w:tc>
        <w:tc>
          <w:tcPr>
            <w:tcW w:w="1261" w:type="dxa"/>
            <w:shd w:val="clear" w:color="auto" w:fill="auto"/>
            <w:noWrap/>
            <w:vAlign w:val="center"/>
          </w:tcPr>
          <w:p w:rsidR="00E56FFD" w:rsidRPr="00C84ED7" w:rsidRDefault="00E56FFD" w:rsidP="00E56FFD">
            <w:pPr>
              <w:jc w:val="center"/>
              <w:rPr>
                <w:rFonts w:eastAsia="Calibri"/>
                <w:color w:val="000000"/>
                <w:sz w:val="20"/>
                <w:szCs w:val="20"/>
              </w:rPr>
            </w:pPr>
            <w:r>
              <w:rPr>
                <w:rFonts w:eastAsia="Calibri"/>
                <w:color w:val="000000"/>
                <w:sz w:val="20"/>
                <w:szCs w:val="20"/>
              </w:rPr>
              <w:t>4.1</w:t>
            </w:r>
            <w:r w:rsidRPr="00052CD5">
              <w:rPr>
                <w:rFonts w:eastAsia="Calibri"/>
                <w:color w:val="000000"/>
                <w:sz w:val="20"/>
                <w:szCs w:val="20"/>
              </w:rPr>
              <w:t>%</w:t>
            </w:r>
          </w:p>
        </w:tc>
      </w:tr>
      <w:tr w:rsidR="00A874AC" w:rsidRPr="00C84ED7" w:rsidTr="00D77B11">
        <w:trPr>
          <w:trHeight w:val="488"/>
        </w:trPr>
        <w:tc>
          <w:tcPr>
            <w:tcW w:w="4315" w:type="dxa"/>
            <w:shd w:val="clear" w:color="auto" w:fill="D2EAF1"/>
            <w:noWrap/>
            <w:vAlign w:val="center"/>
          </w:tcPr>
          <w:p w:rsidR="00E56FFD" w:rsidRPr="00C84ED7" w:rsidRDefault="00E56FFD" w:rsidP="0051612D">
            <w:pPr>
              <w:jc w:val="left"/>
              <w:rPr>
                <w:rFonts w:eastAsia="Calibri"/>
                <w:color w:val="000000"/>
                <w:sz w:val="20"/>
                <w:szCs w:val="20"/>
              </w:rPr>
            </w:pPr>
            <w:r w:rsidRPr="00C84ED7">
              <w:rPr>
                <w:rFonts w:eastAsia="Calibri"/>
                <w:sz w:val="20"/>
                <w:szCs w:val="20"/>
              </w:rPr>
              <w:t>Low-Income WRAP</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100.1%</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2.3%</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101.7%</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Pr>
                <w:rFonts w:eastAsia="Calibri"/>
                <w:color w:val="000000"/>
                <w:sz w:val="20"/>
                <w:szCs w:val="20"/>
              </w:rPr>
              <w:t>N/A</w:t>
            </w:r>
            <w:r w:rsidRPr="00052CD5">
              <w:rPr>
                <w:rFonts w:eastAsia="Calibri"/>
                <w:color w:val="000000"/>
                <w:sz w:val="20"/>
                <w:szCs w:val="20"/>
              </w:rPr>
              <w:t>%</w:t>
            </w:r>
          </w:p>
        </w:tc>
      </w:tr>
      <w:tr w:rsidR="00E56FFD" w:rsidRPr="00C84ED7" w:rsidTr="00D77B11">
        <w:trPr>
          <w:trHeight w:val="488"/>
        </w:trPr>
        <w:tc>
          <w:tcPr>
            <w:tcW w:w="4315" w:type="dxa"/>
            <w:shd w:val="clear" w:color="auto" w:fill="auto"/>
            <w:noWrap/>
            <w:vAlign w:val="center"/>
          </w:tcPr>
          <w:p w:rsidR="00E56FFD" w:rsidRPr="00C84ED7" w:rsidRDefault="00E56FFD" w:rsidP="0051612D">
            <w:pPr>
              <w:jc w:val="left"/>
              <w:rPr>
                <w:rFonts w:eastAsia="Calibri"/>
                <w:color w:val="000000"/>
                <w:sz w:val="20"/>
                <w:szCs w:val="20"/>
              </w:rPr>
            </w:pPr>
            <w:r w:rsidRPr="00C84ED7">
              <w:rPr>
                <w:rFonts w:eastAsia="Calibri"/>
                <w:sz w:val="20"/>
                <w:szCs w:val="20"/>
              </w:rPr>
              <w:t>Master Metered Multifamily Housing</w:t>
            </w:r>
          </w:p>
        </w:tc>
        <w:tc>
          <w:tcPr>
            <w:tcW w:w="1261" w:type="dxa"/>
            <w:shd w:val="clear" w:color="auto" w:fill="auto"/>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109%</w:t>
            </w:r>
          </w:p>
        </w:tc>
        <w:tc>
          <w:tcPr>
            <w:tcW w:w="1261" w:type="dxa"/>
            <w:shd w:val="clear" w:color="auto" w:fill="auto"/>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9.9%</w:t>
            </w:r>
          </w:p>
        </w:tc>
        <w:tc>
          <w:tcPr>
            <w:tcW w:w="1261" w:type="dxa"/>
            <w:shd w:val="clear" w:color="auto" w:fill="auto"/>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110%</w:t>
            </w:r>
          </w:p>
        </w:tc>
        <w:tc>
          <w:tcPr>
            <w:tcW w:w="1261" w:type="dxa"/>
            <w:shd w:val="clear" w:color="auto" w:fill="auto"/>
            <w:noWrap/>
            <w:vAlign w:val="center"/>
          </w:tcPr>
          <w:p w:rsidR="00E56FFD" w:rsidRPr="00C84ED7" w:rsidRDefault="00E56FFD" w:rsidP="00E56FFD">
            <w:pPr>
              <w:jc w:val="center"/>
              <w:rPr>
                <w:rFonts w:eastAsia="Calibri"/>
                <w:color w:val="000000"/>
                <w:sz w:val="20"/>
                <w:szCs w:val="20"/>
              </w:rPr>
            </w:pPr>
            <w:r>
              <w:rPr>
                <w:rFonts w:eastAsia="Calibri"/>
                <w:color w:val="000000"/>
                <w:sz w:val="20"/>
                <w:szCs w:val="20"/>
              </w:rPr>
              <w:t>7.6</w:t>
            </w:r>
            <w:r w:rsidRPr="00052CD5">
              <w:rPr>
                <w:rFonts w:eastAsia="Calibri"/>
                <w:color w:val="000000"/>
                <w:sz w:val="20"/>
                <w:szCs w:val="20"/>
              </w:rPr>
              <w:t>%</w:t>
            </w:r>
          </w:p>
        </w:tc>
      </w:tr>
      <w:tr w:rsidR="00A874AC" w:rsidRPr="00C84ED7" w:rsidTr="00D77B11">
        <w:trPr>
          <w:trHeight w:val="488"/>
        </w:trPr>
        <w:tc>
          <w:tcPr>
            <w:tcW w:w="4315" w:type="dxa"/>
            <w:shd w:val="clear" w:color="auto" w:fill="D2EAF1"/>
            <w:noWrap/>
            <w:vAlign w:val="center"/>
          </w:tcPr>
          <w:p w:rsidR="00E56FFD" w:rsidRPr="00C84ED7" w:rsidRDefault="00E56FFD" w:rsidP="0051612D">
            <w:pPr>
              <w:jc w:val="left"/>
              <w:rPr>
                <w:rFonts w:eastAsia="Calibri"/>
                <w:sz w:val="20"/>
                <w:szCs w:val="20"/>
                <w:vertAlign w:val="superscript"/>
              </w:rPr>
            </w:pPr>
            <w:r w:rsidRPr="00C84ED7">
              <w:rPr>
                <w:rFonts w:eastAsia="Calibri"/>
                <w:sz w:val="20"/>
                <w:szCs w:val="20"/>
              </w:rPr>
              <w:t>Prescriptive Equipment</w:t>
            </w:r>
          </w:p>
        </w:tc>
        <w:tc>
          <w:tcPr>
            <w:tcW w:w="1261" w:type="dxa"/>
            <w:shd w:val="clear" w:color="auto" w:fill="D2EAF1"/>
            <w:noWrap/>
            <w:vAlign w:val="center"/>
          </w:tcPr>
          <w:p w:rsidR="00E56FFD" w:rsidRPr="00C84ED7" w:rsidRDefault="00E56FFD" w:rsidP="00E56FFD">
            <w:pPr>
              <w:jc w:val="center"/>
              <w:rPr>
                <w:rFonts w:eastAsia="Calibri"/>
                <w:sz w:val="20"/>
                <w:szCs w:val="20"/>
              </w:rPr>
            </w:pPr>
            <w:r w:rsidRPr="00C84ED7">
              <w:rPr>
                <w:rFonts w:eastAsia="Calibri"/>
                <w:sz w:val="20"/>
                <w:szCs w:val="20"/>
              </w:rPr>
              <w:t>98.1%</w:t>
            </w:r>
          </w:p>
        </w:tc>
        <w:tc>
          <w:tcPr>
            <w:tcW w:w="1261" w:type="dxa"/>
            <w:shd w:val="clear" w:color="auto" w:fill="D2EAF1"/>
            <w:noWrap/>
            <w:vAlign w:val="center"/>
          </w:tcPr>
          <w:p w:rsidR="00E56FFD" w:rsidRPr="00C84ED7" w:rsidRDefault="00E56FFD" w:rsidP="00E56FFD">
            <w:pPr>
              <w:jc w:val="center"/>
              <w:rPr>
                <w:rFonts w:eastAsia="Calibri"/>
                <w:sz w:val="20"/>
                <w:szCs w:val="20"/>
              </w:rPr>
            </w:pPr>
            <w:r w:rsidRPr="00C84ED7">
              <w:rPr>
                <w:rFonts w:eastAsia="Calibri"/>
                <w:sz w:val="20"/>
                <w:szCs w:val="20"/>
              </w:rPr>
              <w:t>1.8%</w:t>
            </w:r>
          </w:p>
        </w:tc>
        <w:tc>
          <w:tcPr>
            <w:tcW w:w="1261" w:type="dxa"/>
            <w:shd w:val="clear" w:color="auto" w:fill="D2EAF1"/>
            <w:noWrap/>
            <w:vAlign w:val="center"/>
          </w:tcPr>
          <w:p w:rsidR="00E56FFD" w:rsidRPr="00C84ED7" w:rsidRDefault="00E56FFD" w:rsidP="00E56FFD">
            <w:pPr>
              <w:jc w:val="center"/>
              <w:rPr>
                <w:rFonts w:eastAsia="Calibri"/>
                <w:sz w:val="20"/>
                <w:szCs w:val="20"/>
              </w:rPr>
            </w:pPr>
            <w:r w:rsidRPr="00C84ED7">
              <w:rPr>
                <w:rFonts w:eastAsia="Calibri"/>
                <w:sz w:val="20"/>
                <w:szCs w:val="20"/>
              </w:rPr>
              <w:t>95.8%</w:t>
            </w:r>
          </w:p>
        </w:tc>
        <w:tc>
          <w:tcPr>
            <w:tcW w:w="1261" w:type="dxa"/>
            <w:shd w:val="clear" w:color="auto" w:fill="D2EAF1"/>
            <w:noWrap/>
            <w:vAlign w:val="center"/>
          </w:tcPr>
          <w:p w:rsidR="00E56FFD" w:rsidRPr="00C84ED7" w:rsidRDefault="00E56FFD" w:rsidP="00E56FFD">
            <w:pPr>
              <w:jc w:val="center"/>
              <w:rPr>
                <w:rFonts w:eastAsia="Calibri"/>
                <w:sz w:val="20"/>
                <w:szCs w:val="20"/>
              </w:rPr>
            </w:pPr>
            <w:r>
              <w:rPr>
                <w:rFonts w:eastAsia="Calibri"/>
                <w:sz w:val="20"/>
                <w:szCs w:val="20"/>
              </w:rPr>
              <w:t>2.8</w:t>
            </w:r>
            <w:r w:rsidRPr="00052CD5">
              <w:rPr>
                <w:rFonts w:eastAsia="Calibri"/>
                <w:sz w:val="20"/>
                <w:szCs w:val="20"/>
              </w:rPr>
              <w:t>%</w:t>
            </w:r>
          </w:p>
        </w:tc>
      </w:tr>
      <w:tr w:rsidR="00E56FFD" w:rsidRPr="00C84ED7" w:rsidTr="00D77B11">
        <w:trPr>
          <w:trHeight w:val="488"/>
        </w:trPr>
        <w:tc>
          <w:tcPr>
            <w:tcW w:w="4315" w:type="dxa"/>
            <w:shd w:val="clear" w:color="auto" w:fill="auto"/>
            <w:noWrap/>
            <w:vAlign w:val="center"/>
          </w:tcPr>
          <w:p w:rsidR="00E56FFD" w:rsidRPr="00C84ED7" w:rsidRDefault="00E56FFD" w:rsidP="0051612D">
            <w:pPr>
              <w:jc w:val="left"/>
              <w:rPr>
                <w:rFonts w:eastAsia="Calibri"/>
                <w:color w:val="000000"/>
                <w:sz w:val="20"/>
                <w:szCs w:val="20"/>
              </w:rPr>
            </w:pPr>
            <w:r w:rsidRPr="00C84ED7">
              <w:rPr>
                <w:rFonts w:eastAsia="Calibri"/>
                <w:sz w:val="20"/>
                <w:szCs w:val="20"/>
              </w:rPr>
              <w:t>Residential Energy-Efficiency Behavior and Education</w:t>
            </w:r>
          </w:p>
        </w:tc>
        <w:tc>
          <w:tcPr>
            <w:tcW w:w="1261" w:type="dxa"/>
            <w:shd w:val="clear" w:color="auto" w:fill="auto"/>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98.2%</w:t>
            </w:r>
          </w:p>
        </w:tc>
        <w:tc>
          <w:tcPr>
            <w:tcW w:w="1261" w:type="dxa"/>
            <w:shd w:val="clear" w:color="auto" w:fill="auto"/>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10.7%</w:t>
            </w:r>
          </w:p>
        </w:tc>
        <w:tc>
          <w:tcPr>
            <w:tcW w:w="1261" w:type="dxa"/>
            <w:shd w:val="clear" w:color="auto" w:fill="auto"/>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17.2%</w:t>
            </w:r>
          </w:p>
        </w:tc>
        <w:tc>
          <w:tcPr>
            <w:tcW w:w="1261" w:type="dxa"/>
            <w:shd w:val="clear" w:color="auto" w:fill="auto"/>
            <w:noWrap/>
            <w:vAlign w:val="center"/>
          </w:tcPr>
          <w:p w:rsidR="00E56FFD" w:rsidRPr="00C84ED7" w:rsidRDefault="00E56FFD" w:rsidP="00E56FFD">
            <w:pPr>
              <w:jc w:val="center"/>
              <w:rPr>
                <w:rFonts w:eastAsia="Calibri"/>
                <w:color w:val="000000"/>
                <w:sz w:val="20"/>
                <w:szCs w:val="20"/>
              </w:rPr>
            </w:pPr>
            <w:r>
              <w:rPr>
                <w:rFonts w:eastAsia="Calibri"/>
                <w:color w:val="000000"/>
                <w:sz w:val="20"/>
                <w:szCs w:val="20"/>
              </w:rPr>
              <w:t>29.1</w:t>
            </w:r>
            <w:r w:rsidRPr="00052CD5">
              <w:rPr>
                <w:rFonts w:eastAsia="Calibri"/>
                <w:color w:val="000000"/>
                <w:sz w:val="20"/>
                <w:szCs w:val="20"/>
              </w:rPr>
              <w:t>%</w:t>
            </w:r>
          </w:p>
        </w:tc>
      </w:tr>
      <w:tr w:rsidR="00A874AC" w:rsidRPr="00C84ED7" w:rsidTr="00D77B11">
        <w:trPr>
          <w:trHeight w:val="488"/>
        </w:trPr>
        <w:tc>
          <w:tcPr>
            <w:tcW w:w="4315" w:type="dxa"/>
            <w:shd w:val="clear" w:color="auto" w:fill="D2EAF1"/>
            <w:noWrap/>
            <w:vAlign w:val="center"/>
          </w:tcPr>
          <w:p w:rsidR="00E56FFD" w:rsidRPr="00C84ED7" w:rsidRDefault="00E56FFD" w:rsidP="0051612D">
            <w:pPr>
              <w:jc w:val="left"/>
              <w:rPr>
                <w:rFonts w:eastAsia="Calibri"/>
                <w:color w:val="000000"/>
                <w:sz w:val="20"/>
                <w:szCs w:val="20"/>
              </w:rPr>
            </w:pPr>
            <w:r w:rsidRPr="00C84ED7">
              <w:rPr>
                <w:rFonts w:eastAsia="Calibri"/>
                <w:sz w:val="20"/>
                <w:szCs w:val="20"/>
              </w:rPr>
              <w:t>Residential Home Comfort</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99.5%</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2.5%</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96.1%</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Pr>
                <w:rFonts w:eastAsia="Calibri"/>
                <w:color w:val="000000"/>
                <w:sz w:val="20"/>
                <w:szCs w:val="20"/>
              </w:rPr>
              <w:t>1.6</w:t>
            </w:r>
            <w:r w:rsidRPr="00052CD5">
              <w:rPr>
                <w:rFonts w:eastAsia="Calibri"/>
                <w:color w:val="000000"/>
                <w:sz w:val="20"/>
                <w:szCs w:val="20"/>
              </w:rPr>
              <w:t>%</w:t>
            </w:r>
          </w:p>
        </w:tc>
      </w:tr>
      <w:tr w:rsidR="00E56FFD" w:rsidRPr="00C84ED7" w:rsidTr="00D77B11">
        <w:trPr>
          <w:trHeight w:val="488"/>
        </w:trPr>
        <w:tc>
          <w:tcPr>
            <w:tcW w:w="4315" w:type="dxa"/>
            <w:shd w:val="clear" w:color="auto" w:fill="auto"/>
            <w:noWrap/>
            <w:vAlign w:val="center"/>
          </w:tcPr>
          <w:p w:rsidR="00E56FFD" w:rsidRPr="00C84ED7" w:rsidRDefault="00E56FFD" w:rsidP="0051612D">
            <w:pPr>
              <w:jc w:val="left"/>
              <w:rPr>
                <w:rFonts w:eastAsia="Calibri"/>
                <w:sz w:val="20"/>
                <w:szCs w:val="20"/>
                <w:vertAlign w:val="superscript"/>
              </w:rPr>
            </w:pPr>
            <w:r w:rsidRPr="00C84ED7">
              <w:rPr>
                <w:rFonts w:eastAsia="Calibri"/>
                <w:sz w:val="20"/>
                <w:szCs w:val="20"/>
              </w:rPr>
              <w:t>Residential Retail</w:t>
            </w:r>
          </w:p>
        </w:tc>
        <w:tc>
          <w:tcPr>
            <w:tcW w:w="1261" w:type="dxa"/>
            <w:shd w:val="clear" w:color="auto" w:fill="auto"/>
            <w:noWrap/>
            <w:vAlign w:val="center"/>
          </w:tcPr>
          <w:p w:rsidR="00E56FFD" w:rsidRPr="00C84ED7" w:rsidRDefault="00E56FFD" w:rsidP="00E56FFD">
            <w:pPr>
              <w:jc w:val="center"/>
              <w:rPr>
                <w:rFonts w:eastAsia="Calibri"/>
                <w:sz w:val="20"/>
                <w:szCs w:val="20"/>
              </w:rPr>
            </w:pPr>
            <w:r>
              <w:rPr>
                <w:rFonts w:eastAsia="Calibri"/>
                <w:sz w:val="20"/>
                <w:szCs w:val="20"/>
              </w:rPr>
              <w:t>1</w:t>
            </w:r>
            <w:r w:rsidRPr="00C84ED7">
              <w:rPr>
                <w:rFonts w:eastAsia="Calibri"/>
                <w:sz w:val="20"/>
                <w:szCs w:val="20"/>
              </w:rPr>
              <w:t>00%</w:t>
            </w:r>
          </w:p>
        </w:tc>
        <w:tc>
          <w:tcPr>
            <w:tcW w:w="1261" w:type="dxa"/>
            <w:shd w:val="clear" w:color="auto" w:fill="auto"/>
            <w:noWrap/>
            <w:vAlign w:val="center"/>
          </w:tcPr>
          <w:p w:rsidR="00E56FFD" w:rsidRPr="00C84ED7" w:rsidRDefault="00E56FFD" w:rsidP="00E56FFD">
            <w:pPr>
              <w:jc w:val="center"/>
              <w:rPr>
                <w:rFonts w:eastAsia="Calibri"/>
                <w:sz w:val="20"/>
                <w:szCs w:val="20"/>
              </w:rPr>
            </w:pPr>
            <w:r w:rsidRPr="00C84ED7">
              <w:rPr>
                <w:rFonts w:eastAsia="Calibri"/>
                <w:sz w:val="20"/>
                <w:szCs w:val="20"/>
              </w:rPr>
              <w:t>11.5%</w:t>
            </w:r>
          </w:p>
        </w:tc>
        <w:tc>
          <w:tcPr>
            <w:tcW w:w="1261" w:type="dxa"/>
            <w:shd w:val="clear" w:color="auto" w:fill="auto"/>
            <w:noWrap/>
            <w:vAlign w:val="center"/>
          </w:tcPr>
          <w:p w:rsidR="00E56FFD" w:rsidRPr="00C84ED7" w:rsidRDefault="00E56FFD" w:rsidP="00E56FFD">
            <w:pPr>
              <w:jc w:val="center"/>
              <w:rPr>
                <w:rFonts w:eastAsia="Calibri"/>
                <w:sz w:val="20"/>
                <w:szCs w:val="20"/>
              </w:rPr>
            </w:pPr>
            <w:r w:rsidRPr="00C84ED7">
              <w:rPr>
                <w:rFonts w:eastAsia="Calibri"/>
                <w:sz w:val="20"/>
                <w:szCs w:val="20"/>
              </w:rPr>
              <w:t>100%</w:t>
            </w:r>
          </w:p>
        </w:tc>
        <w:tc>
          <w:tcPr>
            <w:tcW w:w="1261" w:type="dxa"/>
            <w:shd w:val="clear" w:color="auto" w:fill="auto"/>
            <w:noWrap/>
            <w:vAlign w:val="center"/>
          </w:tcPr>
          <w:p w:rsidR="00E56FFD" w:rsidRPr="00C84ED7" w:rsidRDefault="00E56FFD" w:rsidP="00E56FFD">
            <w:pPr>
              <w:jc w:val="center"/>
              <w:rPr>
                <w:rFonts w:eastAsia="Calibri"/>
                <w:sz w:val="20"/>
                <w:szCs w:val="20"/>
              </w:rPr>
            </w:pPr>
            <w:r>
              <w:rPr>
                <w:rFonts w:eastAsia="Calibri"/>
                <w:sz w:val="20"/>
                <w:szCs w:val="20"/>
              </w:rPr>
              <w:t>11.7</w:t>
            </w:r>
            <w:r w:rsidRPr="00052CD5">
              <w:rPr>
                <w:rFonts w:eastAsia="Calibri"/>
                <w:sz w:val="20"/>
                <w:szCs w:val="20"/>
              </w:rPr>
              <w:t>%</w:t>
            </w:r>
          </w:p>
        </w:tc>
      </w:tr>
      <w:tr w:rsidR="00A874AC" w:rsidRPr="00C84ED7" w:rsidTr="00D77B11">
        <w:trPr>
          <w:trHeight w:val="488"/>
        </w:trPr>
        <w:tc>
          <w:tcPr>
            <w:tcW w:w="4315" w:type="dxa"/>
            <w:shd w:val="clear" w:color="auto" w:fill="D2EAF1"/>
            <w:noWrap/>
            <w:vAlign w:val="center"/>
          </w:tcPr>
          <w:p w:rsidR="00E56FFD" w:rsidRPr="00C84ED7" w:rsidRDefault="00E56FFD" w:rsidP="0051612D">
            <w:pPr>
              <w:jc w:val="left"/>
              <w:rPr>
                <w:rFonts w:eastAsia="Calibri"/>
                <w:color w:val="000000"/>
                <w:sz w:val="20"/>
                <w:szCs w:val="20"/>
              </w:rPr>
            </w:pPr>
            <w:r w:rsidRPr="00C84ED7">
              <w:rPr>
                <w:rFonts w:eastAsia="Calibri"/>
                <w:sz w:val="20"/>
                <w:szCs w:val="20"/>
              </w:rPr>
              <w:t>Low-Income Energy-Efficiency Behavior and Education</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98%</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20.8%</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sidRPr="00C84ED7">
              <w:rPr>
                <w:rFonts w:eastAsia="Calibri"/>
                <w:color w:val="000000"/>
                <w:sz w:val="20"/>
                <w:szCs w:val="20"/>
              </w:rPr>
              <w:t>12.9%</w:t>
            </w:r>
          </w:p>
        </w:tc>
        <w:tc>
          <w:tcPr>
            <w:tcW w:w="1261" w:type="dxa"/>
            <w:shd w:val="clear" w:color="auto" w:fill="D2EAF1"/>
            <w:noWrap/>
            <w:vAlign w:val="center"/>
          </w:tcPr>
          <w:p w:rsidR="00E56FFD" w:rsidRPr="00C84ED7" w:rsidRDefault="00E56FFD" w:rsidP="00E56FFD">
            <w:pPr>
              <w:jc w:val="center"/>
              <w:rPr>
                <w:rFonts w:eastAsia="Calibri"/>
                <w:color w:val="000000"/>
                <w:sz w:val="20"/>
                <w:szCs w:val="20"/>
              </w:rPr>
            </w:pPr>
            <w:r>
              <w:rPr>
                <w:rFonts w:eastAsia="Calibri"/>
                <w:color w:val="000000"/>
                <w:sz w:val="20"/>
                <w:szCs w:val="20"/>
              </w:rPr>
              <w:t>46.2</w:t>
            </w:r>
            <w:r w:rsidRPr="00052CD5">
              <w:rPr>
                <w:rFonts w:eastAsia="Calibri"/>
                <w:color w:val="000000"/>
                <w:sz w:val="20"/>
                <w:szCs w:val="20"/>
              </w:rPr>
              <w:t>%</w:t>
            </w:r>
          </w:p>
        </w:tc>
      </w:tr>
      <w:tr w:rsidR="00E56FFD" w:rsidRPr="00C84ED7" w:rsidTr="00D77B11">
        <w:trPr>
          <w:trHeight w:val="488"/>
        </w:trPr>
        <w:tc>
          <w:tcPr>
            <w:tcW w:w="4315" w:type="dxa"/>
            <w:shd w:val="clear" w:color="auto" w:fill="auto"/>
            <w:noWrap/>
            <w:vAlign w:val="center"/>
          </w:tcPr>
          <w:p w:rsidR="00E56FFD" w:rsidRPr="00C84ED7" w:rsidRDefault="00E56FFD" w:rsidP="0051612D">
            <w:pPr>
              <w:jc w:val="left"/>
              <w:rPr>
                <w:rFonts w:eastAsia="Calibri"/>
                <w:sz w:val="20"/>
                <w:szCs w:val="20"/>
                <w:vertAlign w:val="superscript"/>
              </w:rPr>
            </w:pPr>
            <w:r w:rsidRPr="00C84ED7">
              <w:rPr>
                <w:rFonts w:eastAsia="Calibri"/>
                <w:sz w:val="20"/>
                <w:szCs w:val="20"/>
              </w:rPr>
              <w:t>Student &amp; Parent Education</w:t>
            </w:r>
          </w:p>
        </w:tc>
        <w:tc>
          <w:tcPr>
            <w:tcW w:w="1261" w:type="dxa"/>
            <w:shd w:val="clear" w:color="auto" w:fill="auto"/>
            <w:noWrap/>
            <w:vAlign w:val="center"/>
          </w:tcPr>
          <w:p w:rsidR="00E56FFD" w:rsidRPr="00C84ED7" w:rsidRDefault="00E56FFD" w:rsidP="00E56FFD">
            <w:pPr>
              <w:jc w:val="center"/>
              <w:rPr>
                <w:rFonts w:eastAsia="Calibri"/>
                <w:sz w:val="20"/>
                <w:szCs w:val="20"/>
              </w:rPr>
            </w:pPr>
            <w:r w:rsidRPr="00C84ED7">
              <w:rPr>
                <w:rFonts w:eastAsia="Calibri"/>
                <w:sz w:val="20"/>
                <w:szCs w:val="20"/>
              </w:rPr>
              <w:t>79.3%</w:t>
            </w:r>
          </w:p>
        </w:tc>
        <w:tc>
          <w:tcPr>
            <w:tcW w:w="1261" w:type="dxa"/>
            <w:shd w:val="clear" w:color="auto" w:fill="auto"/>
            <w:noWrap/>
            <w:vAlign w:val="center"/>
          </w:tcPr>
          <w:p w:rsidR="00E56FFD" w:rsidRPr="00C84ED7" w:rsidRDefault="00E56FFD" w:rsidP="00E56FFD">
            <w:pPr>
              <w:jc w:val="center"/>
              <w:rPr>
                <w:rFonts w:eastAsia="Calibri"/>
                <w:sz w:val="20"/>
                <w:szCs w:val="20"/>
              </w:rPr>
            </w:pPr>
            <w:r w:rsidRPr="00C84ED7">
              <w:rPr>
                <w:rFonts w:eastAsia="Calibri"/>
                <w:sz w:val="20"/>
                <w:szCs w:val="20"/>
              </w:rPr>
              <w:t>.9%</w:t>
            </w:r>
          </w:p>
        </w:tc>
        <w:tc>
          <w:tcPr>
            <w:tcW w:w="1261" w:type="dxa"/>
            <w:shd w:val="clear" w:color="auto" w:fill="auto"/>
            <w:noWrap/>
            <w:vAlign w:val="center"/>
          </w:tcPr>
          <w:p w:rsidR="00E56FFD" w:rsidRPr="00C84ED7" w:rsidRDefault="00E56FFD" w:rsidP="00E56FFD">
            <w:pPr>
              <w:jc w:val="center"/>
              <w:rPr>
                <w:rFonts w:eastAsia="Calibri"/>
                <w:sz w:val="20"/>
                <w:szCs w:val="20"/>
              </w:rPr>
            </w:pPr>
            <w:r w:rsidRPr="00C84ED7">
              <w:rPr>
                <w:rFonts w:eastAsia="Calibri"/>
                <w:sz w:val="20"/>
                <w:szCs w:val="20"/>
              </w:rPr>
              <w:t>59.3%</w:t>
            </w:r>
          </w:p>
        </w:tc>
        <w:tc>
          <w:tcPr>
            <w:tcW w:w="1261" w:type="dxa"/>
            <w:shd w:val="clear" w:color="auto" w:fill="auto"/>
            <w:noWrap/>
            <w:vAlign w:val="center"/>
          </w:tcPr>
          <w:p w:rsidR="00E56FFD" w:rsidRPr="00C84ED7" w:rsidRDefault="00E56FFD" w:rsidP="00E56FFD">
            <w:pPr>
              <w:jc w:val="center"/>
              <w:rPr>
                <w:rFonts w:eastAsia="Calibri"/>
                <w:sz w:val="20"/>
                <w:szCs w:val="20"/>
              </w:rPr>
            </w:pPr>
            <w:r w:rsidRPr="004D5A54">
              <w:rPr>
                <w:rFonts w:eastAsia="Calibri"/>
                <w:sz w:val="20"/>
                <w:szCs w:val="20"/>
              </w:rPr>
              <w:t>1.0%</w:t>
            </w:r>
          </w:p>
        </w:tc>
      </w:tr>
      <w:tr w:rsidR="00A874AC" w:rsidRPr="00C84ED7" w:rsidTr="00D77B11">
        <w:trPr>
          <w:trHeight w:val="489"/>
        </w:trPr>
        <w:tc>
          <w:tcPr>
            <w:tcW w:w="4315" w:type="dxa"/>
            <w:shd w:val="clear" w:color="auto" w:fill="D2EAF1"/>
            <w:noWrap/>
            <w:vAlign w:val="center"/>
          </w:tcPr>
          <w:p w:rsidR="00E56FFD" w:rsidRPr="00C84ED7" w:rsidRDefault="00E56FFD" w:rsidP="0051612D">
            <w:pPr>
              <w:jc w:val="left"/>
              <w:rPr>
                <w:rFonts w:eastAsia="Calibri"/>
                <w:sz w:val="20"/>
                <w:szCs w:val="20"/>
              </w:rPr>
            </w:pPr>
            <w:r w:rsidRPr="00C84ED7">
              <w:rPr>
                <w:rFonts w:eastAsia="Calibri"/>
                <w:sz w:val="20"/>
                <w:szCs w:val="20"/>
              </w:rPr>
              <w:t>School Benchmarking</w:t>
            </w:r>
          </w:p>
        </w:tc>
        <w:tc>
          <w:tcPr>
            <w:tcW w:w="1261" w:type="dxa"/>
            <w:shd w:val="clear" w:color="auto" w:fill="D2EAF1"/>
            <w:noWrap/>
            <w:vAlign w:val="center"/>
          </w:tcPr>
          <w:p w:rsidR="00E56FFD" w:rsidRPr="00C84ED7" w:rsidRDefault="00E56FFD" w:rsidP="00E56FFD">
            <w:pPr>
              <w:tabs>
                <w:tab w:val="center" w:pos="599"/>
                <w:tab w:val="left" w:pos="1155"/>
              </w:tabs>
              <w:jc w:val="center"/>
              <w:rPr>
                <w:rFonts w:eastAsia="Calibri"/>
                <w:sz w:val="20"/>
                <w:szCs w:val="20"/>
              </w:rPr>
            </w:pPr>
            <w:r w:rsidRPr="00C84ED7">
              <w:rPr>
                <w:rFonts w:eastAsia="Calibri"/>
                <w:sz w:val="20"/>
                <w:szCs w:val="20"/>
              </w:rPr>
              <w:t>0%</w:t>
            </w:r>
          </w:p>
        </w:tc>
        <w:tc>
          <w:tcPr>
            <w:tcW w:w="1261" w:type="dxa"/>
            <w:shd w:val="clear" w:color="auto" w:fill="D2EAF1"/>
            <w:noWrap/>
            <w:vAlign w:val="center"/>
          </w:tcPr>
          <w:p w:rsidR="00E56FFD" w:rsidRPr="00C84ED7" w:rsidRDefault="00E56FFD" w:rsidP="00E56FFD">
            <w:pPr>
              <w:jc w:val="center"/>
              <w:rPr>
                <w:rFonts w:eastAsia="Calibri"/>
                <w:sz w:val="20"/>
                <w:szCs w:val="20"/>
              </w:rPr>
            </w:pPr>
            <w:r w:rsidRPr="00C84ED7">
              <w:rPr>
                <w:rFonts w:eastAsia="Calibri"/>
                <w:sz w:val="20"/>
                <w:szCs w:val="20"/>
              </w:rPr>
              <w:t>0%</w:t>
            </w:r>
          </w:p>
        </w:tc>
        <w:tc>
          <w:tcPr>
            <w:tcW w:w="1261" w:type="dxa"/>
            <w:shd w:val="clear" w:color="auto" w:fill="D2EAF1"/>
            <w:noWrap/>
            <w:vAlign w:val="center"/>
          </w:tcPr>
          <w:p w:rsidR="00E56FFD" w:rsidRPr="00C84ED7" w:rsidRDefault="00E56FFD" w:rsidP="00E56FFD">
            <w:pPr>
              <w:jc w:val="center"/>
              <w:rPr>
                <w:rFonts w:eastAsia="Calibri"/>
                <w:sz w:val="20"/>
                <w:szCs w:val="20"/>
              </w:rPr>
            </w:pPr>
            <w:r w:rsidRPr="00C84ED7">
              <w:rPr>
                <w:rFonts w:eastAsia="Calibri"/>
                <w:sz w:val="20"/>
                <w:szCs w:val="20"/>
              </w:rPr>
              <w:t>0%</w:t>
            </w:r>
          </w:p>
        </w:tc>
        <w:tc>
          <w:tcPr>
            <w:tcW w:w="1261" w:type="dxa"/>
            <w:shd w:val="clear" w:color="auto" w:fill="D2EAF1"/>
            <w:noWrap/>
            <w:vAlign w:val="center"/>
          </w:tcPr>
          <w:p w:rsidR="00E56FFD" w:rsidRPr="00C84ED7" w:rsidRDefault="00E56FFD" w:rsidP="00E56FFD">
            <w:pPr>
              <w:jc w:val="center"/>
              <w:rPr>
                <w:rFonts w:eastAsia="Calibri"/>
                <w:sz w:val="20"/>
                <w:szCs w:val="20"/>
              </w:rPr>
            </w:pPr>
            <w:r w:rsidRPr="00052CD5">
              <w:rPr>
                <w:rFonts w:eastAsia="Calibri"/>
                <w:sz w:val="20"/>
                <w:szCs w:val="20"/>
              </w:rPr>
              <w:t>0%</w:t>
            </w:r>
          </w:p>
        </w:tc>
      </w:tr>
      <w:tr w:rsidR="00E7173E" w:rsidRPr="001D0677" w:rsidTr="00D77B11">
        <w:trPr>
          <w:trHeight w:val="300"/>
        </w:trPr>
        <w:tc>
          <w:tcPr>
            <w:tcW w:w="9359" w:type="dxa"/>
            <w:gridSpan w:val="5"/>
            <w:shd w:val="clear" w:color="auto" w:fill="448A99"/>
            <w:noWrap/>
            <w:vAlign w:val="center"/>
          </w:tcPr>
          <w:p w:rsidR="00CD1D5B" w:rsidRPr="001D0677" w:rsidRDefault="00D90336" w:rsidP="0051612D">
            <w:pPr>
              <w:jc w:val="left"/>
              <w:rPr>
                <w:rFonts w:eastAsia="Calibri"/>
                <w:color w:val="FFFFFF"/>
                <w:sz w:val="18"/>
                <w:szCs w:val="20"/>
              </w:rPr>
            </w:pPr>
            <w:r w:rsidRPr="001D0677">
              <w:rPr>
                <w:rFonts w:eastAsia="Calibri"/>
                <w:color w:val="FFFFFF"/>
                <w:sz w:val="18"/>
                <w:szCs w:val="20"/>
              </w:rPr>
              <w:t>NOTE</w:t>
            </w:r>
            <w:r w:rsidR="001D0677">
              <w:rPr>
                <w:rFonts w:eastAsia="Calibri"/>
                <w:color w:val="FFFFFF"/>
                <w:sz w:val="18"/>
                <w:szCs w:val="20"/>
              </w:rPr>
              <w:t>S:</w:t>
            </w:r>
          </w:p>
          <w:p w:rsidR="00CD1D5B" w:rsidRPr="001D0677" w:rsidRDefault="00CD1D5B" w:rsidP="0051612D">
            <w:pPr>
              <w:jc w:val="left"/>
              <w:rPr>
                <w:rFonts w:eastAsia="Calibri"/>
                <w:color w:val="FFFFFF"/>
                <w:sz w:val="18"/>
                <w:szCs w:val="20"/>
              </w:rPr>
            </w:pPr>
            <w:r w:rsidRPr="001D0677">
              <w:rPr>
                <w:rFonts w:eastAsia="Calibri"/>
                <w:color w:val="FFFFFF"/>
                <w:sz w:val="18"/>
                <w:szCs w:val="20"/>
              </w:rPr>
              <w:t>[a] Relative precision values shown are at the 85% confidence level.</w:t>
            </w:r>
          </w:p>
        </w:tc>
      </w:tr>
    </w:tbl>
    <w:p w:rsidR="00CD1D5B" w:rsidRDefault="00CD1D5B" w:rsidP="00CD1D5B"/>
    <w:p w:rsidR="00B5775F" w:rsidRDefault="00E56FFD" w:rsidP="00E56FFD">
      <w:pPr>
        <w:pStyle w:val="AppendixAHeading4"/>
      </w:pPr>
      <w:r>
        <w:t>Residential and Low-Income Energy Efficiency Programs</w:t>
      </w:r>
    </w:p>
    <w:p w:rsidR="00E56FFD" w:rsidRDefault="00E56FFD" w:rsidP="00E56FFD">
      <w:r w:rsidRPr="0000776D">
        <w:t>Realization rates for PPL’s residential programs’ energy savings ranged from 62.4% to 10</w:t>
      </w:r>
      <w:r>
        <w:t>0</w:t>
      </w:r>
      <w:r w:rsidRPr="0000776D">
        <w:t xml:space="preserve">%. Realization rates for demand reductions from these programs ranged 12.9% to </w:t>
      </w:r>
      <w:r>
        <w:t>100</w:t>
      </w:r>
      <w:r w:rsidRPr="0000776D">
        <w:t>%.</w:t>
      </w:r>
    </w:p>
    <w:p w:rsidR="00E56FFD" w:rsidRPr="0000776D" w:rsidRDefault="00E56FFD" w:rsidP="00E56FFD">
      <w:pPr>
        <w:rPr>
          <w:highlight w:val="yellow"/>
        </w:rPr>
      </w:pPr>
      <w:r w:rsidRPr="0000776D">
        <w:t xml:space="preserve"> </w:t>
      </w:r>
    </w:p>
    <w:p w:rsidR="00E56FFD" w:rsidRDefault="00E56FFD" w:rsidP="00E56FFD">
      <w:r w:rsidRPr="0000776D">
        <w:t>During PY7, Cadmus performed M&amp;V activities in accordance with PPL’s EM&amp;V Plan to verify PPL’s reported savings. The EM&amp;V Plan describes verification activities for deemed and partially deemed measures using the 2015 TRM as the basis for verifying annual electric energy and demand savings when applicable. For deemed measures, the impact evaluation activities included a basic level of rigor through desk audits (tracking system and file reviews) and phone surveys, including verification of measure installation, measure quantities, and supporting project documentation. Evaluations of programs that did not use deemed measures instead used billing analyses to evaluate measure energy savings.</w:t>
      </w:r>
    </w:p>
    <w:p w:rsidR="00E56FFD" w:rsidRPr="00E169B9" w:rsidRDefault="00E56FFD" w:rsidP="00E56FFD">
      <w:r w:rsidRPr="0000776D">
        <w:t xml:space="preserve"> </w:t>
      </w:r>
    </w:p>
    <w:p w:rsidR="00E56FFD" w:rsidRPr="0000776D" w:rsidRDefault="00E56FFD" w:rsidP="00E56FFD">
      <w:pPr>
        <w:autoSpaceDE w:val="0"/>
        <w:autoSpaceDN w:val="0"/>
        <w:adjustRightInd w:val="0"/>
        <w:rPr>
          <w:highlight w:val="lightGray"/>
        </w:rPr>
      </w:pPr>
      <w:r w:rsidRPr="00E169B9">
        <w:t xml:space="preserve">For PPL’s Appliance Recycling program, Cadmus reviewed all project records and </w:t>
      </w:r>
      <w:r w:rsidRPr="00E169B9">
        <w:rPr>
          <w:rFonts w:cs="Calibri"/>
        </w:rPr>
        <w:t xml:space="preserve">inspected a census of PY7 participant records from the EEMIS database to verify reported savings. Cadmus was not able to reconcile EEMIS records with the JACO’s ICSP’s database because JACO did not provide PY7 data prior to ceasing operations. Since discrepancies were rare in prior evaluations and the ICSP tracking data was unavailable, Cadmus verified all records in EEMIS. Reported savings for room air conditioners assumed average of the locations specified in the 2015 TRM rather than mapping savings to the exact locations. </w:t>
      </w:r>
      <w:r>
        <w:rPr>
          <w:rFonts w:cs="Calibri"/>
        </w:rPr>
        <w:t xml:space="preserve">Adjustments were made to the PY7 program data </w:t>
      </w:r>
      <w:r w:rsidRPr="00E169B9">
        <w:rPr>
          <w:rFonts w:cs="Calibri"/>
        </w:rPr>
        <w:t>by mapping each ZIP code to the specified climate zone city specified in the 2015 TRM.</w:t>
      </w:r>
      <w:r w:rsidRPr="00E169B9">
        <w:t xml:space="preserve"> Overall the program realization rates for energy and demand were 100% and 100%, respectively.</w:t>
      </w:r>
    </w:p>
    <w:p w:rsidR="00E56FFD" w:rsidRPr="0000776D" w:rsidRDefault="00E56FFD" w:rsidP="00E56FFD">
      <w:pPr>
        <w:autoSpaceDE w:val="0"/>
        <w:autoSpaceDN w:val="0"/>
        <w:adjustRightInd w:val="0"/>
        <w:rPr>
          <w:highlight w:val="lightGray"/>
        </w:rPr>
      </w:pPr>
    </w:p>
    <w:p w:rsidR="00E56FFD" w:rsidRPr="00D53D16" w:rsidRDefault="00E56FFD" w:rsidP="00E56FFD">
      <w:pPr>
        <w:rPr>
          <w:highlight w:val="lightGray"/>
        </w:rPr>
      </w:pPr>
      <w:r w:rsidRPr="00D53D16">
        <w:t>To evaluate the energy savings associated with the Residential EE Behavior and Education program, Cadmus analyzed monthly electric bills for a census of program treatment and control group homes. During PY7, there were three treatment groups, each receiving monthly reports for a different length of time. The evaluation methodology is based on IPMVP Option C and employs a regression of customer average daily electricity consumption using a statistical approach detailed by Allcott and Rogers.</w:t>
      </w:r>
      <w:r w:rsidRPr="0000776D">
        <w:rPr>
          <w:vertAlign w:val="superscript"/>
        </w:rPr>
        <w:footnoteReference w:id="74"/>
      </w:r>
      <w:r w:rsidRPr="00D53D16">
        <w:t xml:space="preserve"> PPL reports PY</w:t>
      </w:r>
      <w:r>
        <w:t xml:space="preserve">7 </w:t>
      </w:r>
      <w:r w:rsidRPr="00D53D16">
        <w:t>program net savings of 39,786 MWh/yr attributed to 148,305 participating homes, or an overall average savings of 268 kWh per home. Overall the verified savings equaled the reported energy savings, resulting in a realization rate of 100%. The evaluator also examined the impacts of behavioral programs on participation in other energy efficiency programs, and this is reflected in an adjustment to the final verified gross portfolio savings total.</w:t>
      </w:r>
    </w:p>
    <w:p w:rsidR="00E56FFD" w:rsidRPr="0000776D" w:rsidRDefault="00E56FFD" w:rsidP="00E56FFD">
      <w:pPr>
        <w:autoSpaceDE w:val="0"/>
        <w:autoSpaceDN w:val="0"/>
        <w:adjustRightInd w:val="0"/>
        <w:rPr>
          <w:highlight w:val="lightGray"/>
        </w:rPr>
      </w:pPr>
    </w:p>
    <w:p w:rsidR="00E56FFD" w:rsidRPr="00D53D16" w:rsidRDefault="00E56FFD" w:rsidP="00E56FFD">
      <w:pPr>
        <w:rPr>
          <w:highlight w:val="lightGray"/>
        </w:rPr>
      </w:pPr>
      <w:r w:rsidRPr="00D53D16">
        <w:t>To evaluate the energy savings associated with the Low Income EE Behavior and Education program, Cadmus analyzed monthly electric bills for a census of program treatment and control group homes. During PY7, there were two treatment groups, each receiving monthly reports for a different length of time. The evaluation methodology is based on IPMVP Option C and employs a regression of customer average daily electricity consumption using a statistical approach detailed by Allcott and Rogers.</w:t>
      </w:r>
      <w:r w:rsidRPr="0000776D">
        <w:rPr>
          <w:vertAlign w:val="superscript"/>
        </w:rPr>
        <w:footnoteReference w:id="75"/>
      </w:r>
      <w:r w:rsidRPr="00D53D16">
        <w:t xml:space="preserve"> PPL reports PY7 program net savings of 10,833 MWh/yr attributed to 87,376 participating homes, or an overall average savings of 124 kWh per home. Overall the verified savings were slightly lower than the reported energy savings, resulting in a realization rate of 98%. The evaluator also examined the impacts of behavioral programs on participation in other energy efficiency programs, and this is reflected in an adjustment to the final verified gross portfolio savings total.</w:t>
      </w:r>
    </w:p>
    <w:p w:rsidR="00E56FFD" w:rsidRPr="0000776D" w:rsidRDefault="00E56FFD" w:rsidP="00E56FFD"/>
    <w:p w:rsidR="00E56FFD" w:rsidRDefault="00E56FFD" w:rsidP="00E56FFD">
      <w:r w:rsidRPr="0000776D">
        <w:t>Cadmus’s M&amp;V efforts for the Residential Home Comfort program included quarterly records verification (desk audit). The records review verified the quantities reported in EEMIS and the input parameters necessary to calculate savings using the 2015 TRM. The program realization rate was calculated using findings from the projects chosen from the results of the records review. For verification activity sampling, records were assigned to one of eleven strata. The EM&amp;V sample plan was designed to meet levels of at least 85% confidence and 15% precision at the program level. The energy realization rates in the eleven strata ranged from 88% to 227%, with the overall program realization rate for energy being 99%. The demand realization rates ranged from 88% to 100% across the strata, resulting in an overall program realization rate for demand of 96%.</w:t>
      </w:r>
    </w:p>
    <w:p w:rsidR="00E56FFD" w:rsidRPr="0000776D" w:rsidRDefault="00E56FFD" w:rsidP="00E56FFD">
      <w:pPr>
        <w:rPr>
          <w:highlight w:val="yellow"/>
        </w:rPr>
      </w:pPr>
    </w:p>
    <w:p w:rsidR="00E56FFD" w:rsidRDefault="00E56FFD" w:rsidP="00E56FFD">
      <w:r w:rsidRPr="0000776D">
        <w:t>PPL’s Residential Retail program offers upstream incentives for energy efficient lighting and rebates for energy efficient equipment sold through retailers. In PY7,</w:t>
      </w:r>
      <w:r>
        <w:t xml:space="preserve"> PPL</w:t>
      </w:r>
      <w:r w:rsidRPr="0000776D">
        <w:t xml:space="preserve"> introduced a tiered rebate approach for heat pump water heaters that provides for an increased incentive for units with an energy factor above the minimum threshold for the rebate. For rebated energy efficient equipment, Cadmus looked up specific model numbers for rebated equipment and verified that the appropriate TRM deemed values or algorithms had been used in order to develop ex ante savings adjustments. Cadmus then conducted desk reviews of a simple random sample of rebate forms to verify installation and confirm the quantities reported in the tracking system.</w:t>
      </w:r>
    </w:p>
    <w:p w:rsidR="00E56FFD" w:rsidRPr="0000776D" w:rsidRDefault="00E56FFD" w:rsidP="00E56FFD"/>
    <w:p w:rsidR="00E56FFD" w:rsidRDefault="00E56FFD" w:rsidP="00E56FFD">
      <w:r w:rsidRPr="0000776D">
        <w:t>For the evaluation of the upstream lighting component of the Residential Retail Program, Cadmus verified the database against the implementer-based invoicing system and conducted a complete baseline wattage review and TRM algorithm verification. A cross-sector sales adjustment was made to account for bulbs that were installed in commercial facilities. As in PY6, Cadmus and PPL opted to continue to use the previous cross-sector sales estimate (12%) in PY7. As any baseline or deemed variable adjustments were made to the Ex Ante savings prior to verification, overall the energy realization rate and demand realization rate for the upstream lighting component and the Residential Retail program as a whole was 100%.</w:t>
      </w:r>
    </w:p>
    <w:p w:rsidR="00E56FFD" w:rsidRPr="0000776D" w:rsidRDefault="00E56FFD" w:rsidP="00E56FFD">
      <w:r w:rsidRPr="0000776D">
        <w:t xml:space="preserve"> </w:t>
      </w:r>
    </w:p>
    <w:p w:rsidR="00E56FFD" w:rsidRPr="0000776D" w:rsidRDefault="00E56FFD" w:rsidP="00E56FFD">
      <w:r w:rsidRPr="0000776D">
        <w:t>The Student and Parent program provides school-based energy efficiency education to students, parents, and teachers and take-home kits of low-cost energy efficiency items to be installed in homes. Cadmus conducted a complete database review, a record review for a sample of participants, a review of student and parent returned home energy worksheets</w:t>
      </w:r>
      <w:r>
        <w:t>,</w:t>
      </w:r>
      <w:r w:rsidRPr="0000776D">
        <w:t xml:space="preserve"> ICSP-administered classroom teacher</w:t>
      </w:r>
      <w:r>
        <w:t xml:space="preserve"> evaluations</w:t>
      </w:r>
      <w:r w:rsidRPr="0000776D">
        <w:t>, teacher workshop, and parent workshop evaluation surveys to verify installation rates and TRM open variables. Cadmus conducted multiple reviews of the EEMIS and ICSP’s databases as well as reviewing the sources</w:t>
      </w:r>
      <w:r w:rsidR="00B71628">
        <w:t xml:space="preserve"> </w:t>
      </w:r>
      <w:r w:rsidRPr="0000776D">
        <w:t>for the records in the databases. It inspected the databases for accuracy and consistency of EEMIS records</w:t>
      </w:r>
      <w:r w:rsidR="00B71628">
        <w:t xml:space="preserve"> </w:t>
      </w:r>
      <w:r w:rsidRPr="0000776D">
        <w:t>against the ICSP records and found minimal discrepancies. Reported savings first were adjusted to align program planning assumptions with 2015 TRM values, and survey data were used to adjust equipment ISRs and installation quantities in order to calculate verified energy and demand savings.</w:t>
      </w:r>
    </w:p>
    <w:p w:rsidR="00E56FFD" w:rsidRDefault="00E56FFD" w:rsidP="00CD1D5B"/>
    <w:p w:rsidR="00DB54C9" w:rsidRDefault="00DB54C9" w:rsidP="00DB54C9">
      <w:pPr>
        <w:pStyle w:val="AppendixAHeading4"/>
      </w:pPr>
      <w:r>
        <w:t>Non-Residential Energy Efficiency Programs</w:t>
      </w:r>
    </w:p>
    <w:p w:rsidR="00DB54C9" w:rsidRPr="00692B92" w:rsidRDefault="00DB54C9" w:rsidP="00DB54C9">
      <w:r w:rsidRPr="00692B92">
        <w:t xml:space="preserve">Realization rates for PPL’s C/I program energy savings ranged from 98.1% to 109.1%. Realization rates for demand reductions from these programs ranged from 95.8% to 131.4%. Relative precisions for these programs ranged from 1.77% to 9.85% for energy savings and from 2.8% to 46.57% for demand reduction at the 85% confidence level. All of PPL’s programs achieved the 15% precision requirement for kWh. Outside of the CEI program, </w:t>
      </w:r>
      <w:r>
        <w:t>PPL</w:t>
      </w:r>
      <w:r w:rsidRPr="00692B92">
        <w:t xml:space="preserve"> also achieved better than 15% precision for demand savings, although this is not a requirement for Phase II.</w:t>
      </w:r>
    </w:p>
    <w:p w:rsidR="00DB54C9" w:rsidRPr="00692B92" w:rsidRDefault="00DB54C9" w:rsidP="00DB54C9">
      <w:pPr>
        <w:rPr>
          <w:color w:val="000000"/>
        </w:rPr>
      </w:pPr>
    </w:p>
    <w:p w:rsidR="00DB54C9" w:rsidRPr="00692B92" w:rsidRDefault="00DB54C9" w:rsidP="00DB54C9">
      <w:pPr>
        <w:rPr>
          <w:color w:val="000000"/>
        </w:rPr>
      </w:pPr>
      <w:r>
        <w:rPr>
          <w:color w:val="000000"/>
        </w:rPr>
        <w:fldChar w:fldCharType="begin"/>
      </w:r>
      <w:r>
        <w:rPr>
          <w:color w:val="000000"/>
        </w:rPr>
        <w:instrText xml:space="preserve"> REF _Ref473527553 \h </w:instrText>
      </w:r>
      <w:r>
        <w:rPr>
          <w:color w:val="000000"/>
        </w:rPr>
      </w:r>
      <w:r>
        <w:rPr>
          <w:color w:val="000000"/>
        </w:rPr>
        <w:fldChar w:fldCharType="separate"/>
      </w:r>
      <w:r w:rsidR="00C301D0">
        <w:t>Figure A-</w:t>
      </w:r>
      <w:r w:rsidR="00C301D0">
        <w:rPr>
          <w:noProof/>
        </w:rPr>
        <w:t>23</w:t>
      </w:r>
      <w:r>
        <w:rPr>
          <w:color w:val="000000"/>
        </w:rPr>
        <w:fldChar w:fldCharType="end"/>
      </w:r>
      <w:r w:rsidRPr="00692B92">
        <w:rPr>
          <w:color w:val="000000"/>
        </w:rPr>
        <w:t xml:space="preserve"> displays the frequency of each M&amp;V approach performed by Cadmus in PY7 for PPL’s Custom Program group evaluation sample and the verified energy savings associated with each M&amp;V approach. </w:t>
      </w:r>
      <w:r w:rsidRPr="00137EE2">
        <w:rPr>
          <w:color w:val="000000"/>
        </w:rPr>
        <w:t>The enhanced rigor used in the evaluations included IPMVP Options A, B, C, and D. Option A combines the measurement of key parameters of retrofitted equipment with the use of stipulated values for other measurement parameters. Option B involves more robust measurement of the retrofitted system’s continuous energy usage, typically through short-term power metering. Option C consists of utility billing analysis to determine energy savings. Typically, 12 months of pre- and post-installation billing data are required for this approach. Option D involves modeling energy performance of a facility before and after the efficiency measure is installed</w:t>
      </w:r>
      <w:r w:rsidRPr="00692B92">
        <w:rPr>
          <w:color w:val="000000"/>
        </w:rPr>
        <w:t>.</w:t>
      </w:r>
    </w:p>
    <w:p w:rsidR="00DB54C9" w:rsidRDefault="00DB54C9" w:rsidP="00DB54C9">
      <w:bookmarkStart w:id="1288" w:name="_Ref407622352"/>
      <w:bookmarkStart w:id="1289" w:name="_Toc408557554"/>
      <w:bookmarkStart w:id="1290" w:name="_Toc408999430"/>
      <w:bookmarkStart w:id="1291" w:name="_Toc409224955"/>
      <w:bookmarkStart w:id="1292" w:name="_Toc409443634"/>
      <w:bookmarkStart w:id="1293" w:name="_Toc431462298"/>
    </w:p>
    <w:p w:rsidR="00DB54C9" w:rsidRPr="00692B92" w:rsidRDefault="00DB54C9" w:rsidP="00DB54C9">
      <w:pPr>
        <w:pStyle w:val="Caption"/>
      </w:pPr>
      <w:bookmarkStart w:id="1294" w:name="_Ref473527553"/>
      <w:bookmarkStart w:id="1295" w:name="_Toc444269834"/>
      <w:bookmarkStart w:id="1296" w:name="_Toc476842297"/>
      <w:bookmarkEnd w:id="1288"/>
      <w:r>
        <w:t>Figure A-</w:t>
      </w:r>
      <w:fldSimple w:instr=" SEQ Figure_A- \* ARABIC ">
        <w:r w:rsidR="00C301D0">
          <w:rPr>
            <w:noProof/>
          </w:rPr>
          <w:t>23</w:t>
        </w:r>
      </w:fldSimple>
      <w:bookmarkEnd w:id="1294"/>
      <w:r>
        <w:t>:</w:t>
      </w:r>
      <w:r w:rsidRPr="00692B92">
        <w:t xml:space="preserve"> </w:t>
      </w:r>
      <w:bookmarkEnd w:id="1289"/>
      <w:bookmarkEnd w:id="1290"/>
      <w:bookmarkEnd w:id="1291"/>
      <w:bookmarkEnd w:id="1292"/>
      <w:bookmarkEnd w:id="1293"/>
      <w:r w:rsidRPr="00692B92">
        <w:t xml:space="preserve">Frequency </w:t>
      </w:r>
      <w:r>
        <w:t xml:space="preserve">of </w:t>
      </w:r>
      <w:r w:rsidRPr="00692B92">
        <w:t xml:space="preserve">and Associated </w:t>
      </w:r>
      <w:r>
        <w:t xml:space="preserve">Energy </w:t>
      </w:r>
      <w:r w:rsidRPr="00692B92">
        <w:t xml:space="preserve">Savings </w:t>
      </w:r>
      <w:r>
        <w:t>by</w:t>
      </w:r>
      <w:r w:rsidRPr="00692B92">
        <w:t xml:space="preserve"> M&amp;V Approach</w:t>
      </w:r>
      <w:r>
        <w:t xml:space="preserve"> –</w:t>
      </w:r>
      <w:r w:rsidRPr="00692B92">
        <w:t xml:space="preserve"> Custom Program</w:t>
      </w:r>
      <w:bookmarkEnd w:id="1295"/>
      <w:bookmarkEnd w:id="1296"/>
    </w:p>
    <w:p w:rsidR="00DB54C9" w:rsidRPr="00692B92" w:rsidRDefault="00DB54C9" w:rsidP="00DB54C9">
      <w:pPr>
        <w:spacing w:before="200"/>
        <w:jc w:val="center"/>
      </w:pPr>
      <w:r w:rsidRPr="00692B92">
        <w:rPr>
          <w:noProof/>
        </w:rPr>
        <w:drawing>
          <wp:inline distT="0" distB="0" distL="0" distR="0" wp14:anchorId="4FC1F975" wp14:editId="5F8BD3BF">
            <wp:extent cx="5932368" cy="216673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2">
                      <a:extLst>
                        <a:ext uri="{28A0092B-C50C-407E-A947-70E740481C1C}">
                          <a14:useLocalDpi xmlns:a14="http://schemas.microsoft.com/office/drawing/2010/main" val="0"/>
                        </a:ext>
                      </a:extLst>
                    </a:blip>
                    <a:srcRect t="5081" b="9687"/>
                    <a:stretch/>
                  </pic:blipFill>
                  <pic:spPr bwMode="auto">
                    <a:xfrm>
                      <a:off x="0" y="0"/>
                      <a:ext cx="5948193" cy="2172511"/>
                    </a:xfrm>
                    <a:prstGeom prst="rect">
                      <a:avLst/>
                    </a:prstGeom>
                    <a:noFill/>
                    <a:ln>
                      <a:noFill/>
                    </a:ln>
                    <a:extLst>
                      <a:ext uri="{53640926-AAD7-44D8-BBD7-CCE9431645EC}">
                        <a14:shadowObscured xmlns:a14="http://schemas.microsoft.com/office/drawing/2010/main"/>
                      </a:ext>
                    </a:extLst>
                  </pic:spPr>
                </pic:pic>
              </a:graphicData>
            </a:graphic>
          </wp:inline>
        </w:drawing>
      </w:r>
    </w:p>
    <w:p w:rsidR="00C301D0" w:rsidRDefault="00DB54C9" w:rsidP="00DB54C9">
      <w:r w:rsidRPr="00692B92">
        <w:rPr>
          <w:color w:val="000000"/>
        </w:rPr>
        <w:fldChar w:fldCharType="begin"/>
      </w:r>
      <w:r w:rsidRPr="00692B92">
        <w:rPr>
          <w:color w:val="000000"/>
        </w:rPr>
        <w:instrText xml:space="preserve"> REF _Ref407622352 \h  \* MERGEFORMAT </w:instrText>
      </w:r>
      <w:r w:rsidRPr="00692B92">
        <w:rPr>
          <w:color w:val="000000"/>
        </w:rPr>
      </w:r>
      <w:r w:rsidRPr="00692B92">
        <w:rPr>
          <w:color w:val="000000"/>
        </w:rPr>
        <w:fldChar w:fldCharType="separate"/>
      </w:r>
    </w:p>
    <w:p w:rsidR="00A874AC" w:rsidRPr="00692B92" w:rsidRDefault="00A874AC" w:rsidP="00DB54C9"/>
    <w:p w:rsidR="00DB54C9" w:rsidRPr="00692B92" w:rsidRDefault="00DB54C9" w:rsidP="00DB54C9">
      <w:pPr>
        <w:rPr>
          <w:color w:val="000000"/>
        </w:rPr>
      </w:pPr>
      <w:r w:rsidRPr="00692B92">
        <w:rPr>
          <w:color w:val="000000"/>
        </w:rPr>
        <w:fldChar w:fldCharType="end"/>
      </w:r>
      <w:r w:rsidR="00C345F8">
        <w:rPr>
          <w:color w:val="000000"/>
        </w:rPr>
        <w:fldChar w:fldCharType="begin"/>
      </w:r>
      <w:r w:rsidR="00C345F8">
        <w:rPr>
          <w:color w:val="000000"/>
        </w:rPr>
        <w:instrText xml:space="preserve"> REF _Ref473527553 \h </w:instrText>
      </w:r>
      <w:r w:rsidR="00C345F8">
        <w:rPr>
          <w:color w:val="000000"/>
        </w:rPr>
      </w:r>
      <w:r w:rsidR="00C345F8">
        <w:rPr>
          <w:color w:val="000000"/>
        </w:rPr>
        <w:fldChar w:fldCharType="separate"/>
      </w:r>
      <w:r w:rsidR="00C301D0">
        <w:t>Figure A-</w:t>
      </w:r>
      <w:r w:rsidR="00C301D0">
        <w:rPr>
          <w:noProof/>
        </w:rPr>
        <w:t>23</w:t>
      </w:r>
      <w:r w:rsidR="00C345F8">
        <w:rPr>
          <w:color w:val="000000"/>
        </w:rPr>
        <w:fldChar w:fldCharType="end"/>
      </w:r>
      <w:r w:rsidR="00C345F8" w:rsidRPr="00692B92">
        <w:rPr>
          <w:color w:val="000000"/>
        </w:rPr>
        <w:t xml:space="preserve"> </w:t>
      </w:r>
      <w:r w:rsidRPr="00692B92">
        <w:rPr>
          <w:color w:val="000000"/>
        </w:rPr>
        <w:t>indicates that Cadmus used Option A for 64% of the projects selected for sampling. However, these projects accounted for 49% of the sample’s energy savings. Option B was used for only 21% of projects, but they accounted for 39% of the savings. Options C and D were only used on 4% and 11% of projects, respectively, and these projects accounted for similar proportions of the program’s savings.</w:t>
      </w:r>
    </w:p>
    <w:p w:rsidR="00DB54C9" w:rsidRPr="00692B92" w:rsidRDefault="00DB54C9" w:rsidP="00DB54C9">
      <w:pPr>
        <w:rPr>
          <w:color w:val="000000"/>
        </w:rPr>
      </w:pPr>
    </w:p>
    <w:p w:rsidR="00DB54C9" w:rsidRPr="00692B92" w:rsidRDefault="00DB54C9" w:rsidP="00DB54C9">
      <w:r w:rsidRPr="00692B92">
        <w:rPr>
          <w:color w:val="000000"/>
        </w:rPr>
        <w:t>During PY7, PPL applied various evaluation approaches to verify its reported savings. The level of rigor used to evaluate projects sampled followed each program’s corresponding QA/QC and EM&amp;V plans. The MMMF program used site visit and records review for the entire sample.</w:t>
      </w:r>
      <w:r w:rsidRPr="00692B92">
        <w:t xml:space="preserve"> </w:t>
      </w:r>
      <w:r w:rsidRPr="00692B92">
        <w:rPr>
          <w:color w:val="000000"/>
        </w:rPr>
        <w:t xml:space="preserve">The Prescriptive Equipment Non-Lighting </w:t>
      </w:r>
      <w:r>
        <w:rPr>
          <w:color w:val="000000"/>
        </w:rPr>
        <w:t>P</w:t>
      </w:r>
      <w:r w:rsidRPr="00692B92">
        <w:rPr>
          <w:color w:val="000000"/>
        </w:rPr>
        <w:t>rogram was evaluated with basic rigor using desk reviews and phone verifications. The Prescriptive Equipment Lighting Program used site visits and file reviews for the entire sample. The CEI Program used Option C for its entire evaluation sample.</w:t>
      </w:r>
    </w:p>
    <w:p w:rsidR="00CD1D5B" w:rsidRPr="00CD1D5B" w:rsidRDefault="00CD1D5B" w:rsidP="00CD1D5B"/>
    <w:p w:rsidR="00950837" w:rsidRDefault="00950837" w:rsidP="00D34B3E">
      <w:pPr>
        <w:pStyle w:val="AppendixAHeading3"/>
      </w:pPr>
      <w:r>
        <w:t>Process Evaluation Activities and Findings</w:t>
      </w:r>
    </w:p>
    <w:p w:rsidR="00183636" w:rsidRPr="00661E10" w:rsidRDefault="00183636" w:rsidP="00183636">
      <w:r w:rsidRPr="00661E10">
        <w:t xml:space="preserve">The process evaluation conducted by Cadmus involved review of key program documentation; interviews with program staff, implementers, program-affiliated contractors, and community-based organizations; and surveys with program participants, partial participants, and nonparticipants, although not every evaluation included all of these activities. </w:t>
      </w:r>
      <w:r>
        <w:fldChar w:fldCharType="begin"/>
      </w:r>
      <w:r>
        <w:instrText xml:space="preserve"> REF _Ref472450841 \h </w:instrText>
      </w:r>
      <w:r>
        <w:fldChar w:fldCharType="separate"/>
      </w:r>
      <w:r w:rsidR="00C301D0">
        <w:t>Table A-</w:t>
      </w:r>
      <w:r w:rsidR="00C301D0">
        <w:rPr>
          <w:noProof/>
        </w:rPr>
        <w:t>141</w:t>
      </w:r>
      <w:r>
        <w:fldChar w:fldCharType="end"/>
      </w:r>
      <w:r>
        <w:t xml:space="preserve"> </w:t>
      </w:r>
      <w:r w:rsidRPr="00661E10">
        <w:t>summarizes the data sources Cadmus used and its key findings for each program.</w:t>
      </w:r>
    </w:p>
    <w:p w:rsidR="00183636" w:rsidRPr="00661E10" w:rsidRDefault="00183636" w:rsidP="00183636"/>
    <w:p w:rsidR="00183636" w:rsidRPr="00CE056F" w:rsidRDefault="00183636" w:rsidP="00183636">
      <w:pPr>
        <w:pStyle w:val="Caption"/>
      </w:pPr>
      <w:bookmarkStart w:id="1297" w:name="_Ref472450841"/>
      <w:bookmarkStart w:id="1298" w:name="_Toc472472550"/>
      <w:bookmarkStart w:id="1299" w:name="_Toc476842256"/>
      <w:r>
        <w:t>Table A-</w:t>
      </w:r>
      <w:fldSimple w:instr=" SEQ Table_A- \* ARABIC ">
        <w:r w:rsidR="00C301D0">
          <w:rPr>
            <w:noProof/>
          </w:rPr>
          <w:t>141</w:t>
        </w:r>
      </w:fldSimple>
      <w:bookmarkEnd w:id="1297"/>
      <w:r>
        <w:t>:</w:t>
      </w:r>
      <w:r w:rsidRPr="00CE056F">
        <w:t xml:space="preserve"> </w:t>
      </w:r>
      <w:r w:rsidRPr="00CE056F">
        <w:rPr>
          <w:rStyle w:val="CaptionChar1"/>
          <w:b/>
          <w:bCs/>
        </w:rPr>
        <w:t>Summary of Key Findings and Data Sources – PP</w:t>
      </w:r>
      <w:r w:rsidRPr="00CE056F">
        <w:t>L</w:t>
      </w:r>
      <w:bookmarkEnd w:id="1298"/>
      <w:bookmarkEnd w:id="1299"/>
    </w:p>
    <w:tbl>
      <w:tblPr>
        <w:tblW w:w="9371" w:type="dxa"/>
        <w:jc w:val="center"/>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839"/>
        <w:gridCol w:w="4923"/>
        <w:gridCol w:w="2609"/>
      </w:tblGrid>
      <w:tr w:rsidR="00A874AC" w:rsidRPr="00661E10" w:rsidTr="003F09E3">
        <w:trPr>
          <w:cantSplit/>
          <w:trHeight w:val="141"/>
          <w:tblHeader/>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183636" w:rsidRPr="00661E10" w:rsidRDefault="00183636" w:rsidP="005C1352">
            <w:pPr>
              <w:jc w:val="left"/>
              <w:rPr>
                <w:b/>
                <w:color w:val="FFFFFF"/>
                <w:sz w:val="20"/>
                <w:szCs w:val="20"/>
              </w:rPr>
            </w:pPr>
            <w:r w:rsidRPr="00661E10">
              <w:rPr>
                <w:b/>
                <w:color w:val="FFFFFF"/>
                <w:sz w:val="20"/>
                <w:szCs w:val="20"/>
              </w:rPr>
              <w:t>Program</w:t>
            </w:r>
          </w:p>
        </w:tc>
        <w:tc>
          <w:tcPr>
            <w:tcW w:w="4923"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183636" w:rsidRPr="00661E10" w:rsidRDefault="00183636" w:rsidP="005C1352">
            <w:pPr>
              <w:jc w:val="center"/>
              <w:rPr>
                <w:b/>
                <w:color w:val="FFFFFF"/>
                <w:sz w:val="20"/>
                <w:szCs w:val="20"/>
              </w:rPr>
            </w:pPr>
            <w:r w:rsidRPr="00661E10">
              <w:rPr>
                <w:b/>
                <w:color w:val="FFFFFF"/>
                <w:sz w:val="20"/>
                <w:szCs w:val="20"/>
              </w:rPr>
              <w:t>Key Findings</w:t>
            </w:r>
          </w:p>
        </w:tc>
        <w:tc>
          <w:tcPr>
            <w:tcW w:w="2609" w:type="dxa"/>
            <w:tcBorders>
              <w:top w:val="single" w:sz="8" w:space="0" w:color="448A99"/>
              <w:left w:val="single" w:sz="8" w:space="0" w:color="448A99"/>
              <w:bottom w:val="single" w:sz="8" w:space="0" w:color="448A99"/>
              <w:right w:val="single" w:sz="8" w:space="0" w:color="448A99"/>
            </w:tcBorders>
            <w:shd w:val="clear" w:color="auto" w:fill="448A99"/>
            <w:vAlign w:val="bottom"/>
            <w:hideMark/>
          </w:tcPr>
          <w:p w:rsidR="00183636" w:rsidRPr="00661E10" w:rsidRDefault="00183636" w:rsidP="005C1352">
            <w:pPr>
              <w:jc w:val="center"/>
              <w:rPr>
                <w:b/>
                <w:color w:val="FFFFFF"/>
                <w:sz w:val="20"/>
                <w:szCs w:val="20"/>
              </w:rPr>
            </w:pPr>
            <w:r w:rsidRPr="00661E10">
              <w:rPr>
                <w:b/>
                <w:color w:val="FFFFFF"/>
                <w:sz w:val="20"/>
                <w:szCs w:val="20"/>
              </w:rPr>
              <w:t>Data Sources</w:t>
            </w:r>
          </w:p>
        </w:tc>
      </w:tr>
      <w:tr w:rsidR="00E7173E" w:rsidRPr="00661E10" w:rsidTr="00FD03DC">
        <w:trPr>
          <w:trHeight w:val="141"/>
          <w:jc w:val="center"/>
        </w:trPr>
        <w:tc>
          <w:tcPr>
            <w:tcW w:w="9371" w:type="dxa"/>
            <w:gridSpan w:val="3"/>
            <w:tcBorders>
              <w:top w:val="single" w:sz="8" w:space="0" w:color="448A99"/>
              <w:left w:val="single" w:sz="8" w:space="0" w:color="448A99"/>
              <w:bottom w:val="single" w:sz="8" w:space="0" w:color="448A99"/>
              <w:right w:val="single" w:sz="8" w:space="0" w:color="448A99"/>
            </w:tcBorders>
            <w:shd w:val="clear" w:color="auto" w:fill="9C9393"/>
            <w:hideMark/>
          </w:tcPr>
          <w:p w:rsidR="00183636" w:rsidRPr="00661E10" w:rsidRDefault="00183636" w:rsidP="005C1352">
            <w:pPr>
              <w:jc w:val="left"/>
              <w:rPr>
                <w:b/>
                <w:i/>
                <w:color w:val="FFFFFF"/>
                <w:sz w:val="20"/>
                <w:szCs w:val="20"/>
              </w:rPr>
            </w:pPr>
            <w:r w:rsidRPr="00661E10">
              <w:rPr>
                <w:b/>
                <w:color w:val="FFFFFF"/>
                <w:sz w:val="20"/>
                <w:szCs w:val="20"/>
              </w:rPr>
              <w:t>Residential Sector</w:t>
            </w:r>
          </w:p>
        </w:tc>
      </w:tr>
      <w:tr w:rsidR="00A874AC" w:rsidRPr="00661E10" w:rsidTr="003F09E3">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661E10" w:rsidRDefault="00183636" w:rsidP="005C1352">
            <w:pPr>
              <w:jc w:val="left"/>
              <w:rPr>
                <w:sz w:val="20"/>
              </w:rPr>
            </w:pPr>
            <w:r w:rsidRPr="00661E10">
              <w:rPr>
                <w:sz w:val="20"/>
              </w:rPr>
              <w:t>Residential Energy-Efficiency Behavior and Education Program</w:t>
            </w:r>
          </w:p>
        </w:tc>
        <w:tc>
          <w:tcPr>
            <w:tcW w:w="4923"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661E10" w:rsidRDefault="00183636" w:rsidP="009349F1">
            <w:pPr>
              <w:numPr>
                <w:ilvl w:val="0"/>
                <w:numId w:val="12"/>
              </w:numPr>
              <w:autoSpaceDE w:val="0"/>
              <w:autoSpaceDN w:val="0"/>
              <w:adjustRightInd w:val="0"/>
              <w:ind w:left="232" w:hanging="180"/>
              <w:contextualSpacing/>
              <w:jc w:val="left"/>
              <w:rPr>
                <w:rFonts w:cs="Calibri"/>
                <w:sz w:val="20"/>
                <w:szCs w:val="20"/>
              </w:rPr>
            </w:pPr>
            <w:r w:rsidRPr="00661E10">
              <w:rPr>
                <w:sz w:val="20"/>
                <w:szCs w:val="20"/>
              </w:rPr>
              <w:t xml:space="preserve">The program did not meet its participation </w:t>
            </w:r>
            <w:r w:rsidR="00D70A28">
              <w:rPr>
                <w:sz w:val="20"/>
                <w:szCs w:val="20"/>
              </w:rPr>
              <w:t xml:space="preserve">plans </w:t>
            </w:r>
            <w:r w:rsidRPr="00661E10">
              <w:rPr>
                <w:sz w:val="20"/>
                <w:szCs w:val="20"/>
              </w:rPr>
              <w:t xml:space="preserve">in PY7 due to attrition during PY6, but did exceed its </w:t>
            </w:r>
            <w:r w:rsidR="00D70A28">
              <w:rPr>
                <w:sz w:val="20"/>
                <w:szCs w:val="20"/>
              </w:rPr>
              <w:t xml:space="preserve">plans for </w:t>
            </w:r>
            <w:r w:rsidRPr="00661E10">
              <w:rPr>
                <w:sz w:val="20"/>
                <w:szCs w:val="20"/>
              </w:rPr>
              <w:t>energy savings.</w:t>
            </w:r>
          </w:p>
          <w:p w:rsidR="00183636" w:rsidRPr="00661E10" w:rsidRDefault="00183636" w:rsidP="009349F1">
            <w:pPr>
              <w:numPr>
                <w:ilvl w:val="0"/>
                <w:numId w:val="12"/>
              </w:numPr>
              <w:autoSpaceDE w:val="0"/>
              <w:autoSpaceDN w:val="0"/>
              <w:adjustRightInd w:val="0"/>
              <w:ind w:left="232" w:hanging="180"/>
              <w:contextualSpacing/>
              <w:jc w:val="left"/>
              <w:rPr>
                <w:rFonts w:cs="Calibri"/>
                <w:sz w:val="20"/>
                <w:szCs w:val="20"/>
              </w:rPr>
            </w:pPr>
            <w:r w:rsidRPr="00661E10">
              <w:rPr>
                <w:sz w:val="20"/>
                <w:szCs w:val="20"/>
              </w:rPr>
              <w:t>Due to higher than expected savings, the program ceased delivery of HERs at the end of Q2 in PY7.</w:t>
            </w:r>
          </w:p>
          <w:p w:rsidR="00183636" w:rsidRPr="00661E10" w:rsidRDefault="00183636" w:rsidP="009349F1">
            <w:pPr>
              <w:numPr>
                <w:ilvl w:val="0"/>
                <w:numId w:val="12"/>
              </w:numPr>
              <w:autoSpaceDE w:val="0"/>
              <w:autoSpaceDN w:val="0"/>
              <w:adjustRightInd w:val="0"/>
              <w:ind w:left="232" w:hanging="180"/>
              <w:contextualSpacing/>
              <w:jc w:val="left"/>
              <w:rPr>
                <w:rFonts w:cs="Calibri"/>
                <w:sz w:val="20"/>
                <w:szCs w:val="20"/>
              </w:rPr>
            </w:pPr>
            <w:r w:rsidRPr="00661E10">
              <w:rPr>
                <w:sz w:val="20"/>
                <w:szCs w:val="20"/>
              </w:rPr>
              <w:t>The program manager and implementer did not report any implementation challenges in PY7.</w:t>
            </w:r>
          </w:p>
          <w:p w:rsidR="00183636" w:rsidRPr="003F09E3" w:rsidRDefault="00183636" w:rsidP="009349F1">
            <w:pPr>
              <w:numPr>
                <w:ilvl w:val="0"/>
                <w:numId w:val="12"/>
              </w:numPr>
              <w:autoSpaceDE w:val="0"/>
              <w:autoSpaceDN w:val="0"/>
              <w:adjustRightInd w:val="0"/>
              <w:ind w:left="232" w:hanging="180"/>
              <w:contextualSpacing/>
              <w:jc w:val="left"/>
              <w:rPr>
                <w:rFonts w:cs="Calibri"/>
                <w:sz w:val="20"/>
                <w:szCs w:val="20"/>
              </w:rPr>
            </w:pPr>
            <w:r w:rsidRPr="00661E10">
              <w:rPr>
                <w:sz w:val="20"/>
                <w:szCs w:val="20"/>
              </w:rPr>
              <w:t>The shortened report delivery period during PY7 resulted in fewer customer calls to the call center.</w:t>
            </w:r>
          </w:p>
          <w:p w:rsidR="003F09E3" w:rsidRPr="00661E10" w:rsidRDefault="003F09E3" w:rsidP="009349F1">
            <w:pPr>
              <w:numPr>
                <w:ilvl w:val="0"/>
                <w:numId w:val="12"/>
              </w:numPr>
              <w:autoSpaceDE w:val="0"/>
              <w:autoSpaceDN w:val="0"/>
              <w:adjustRightInd w:val="0"/>
              <w:ind w:left="232" w:hanging="180"/>
              <w:contextualSpacing/>
              <w:jc w:val="left"/>
              <w:rPr>
                <w:rFonts w:cs="Calibri"/>
                <w:sz w:val="20"/>
                <w:szCs w:val="20"/>
              </w:rPr>
            </w:pPr>
            <w:r w:rsidRPr="003F09E3">
              <w:rPr>
                <w:sz w:val="20"/>
                <w:szCs w:val="20"/>
              </w:rPr>
              <w:t>The HERs provided an aggregate uplift in participation in (12%) and savings (5%) from other PPL energy efficiency programs</w:t>
            </w:r>
            <w:r>
              <w:rPr>
                <w:sz w:val="20"/>
                <w:szCs w:val="20"/>
              </w:rPr>
              <w:t>.</w:t>
            </w:r>
          </w:p>
        </w:tc>
        <w:tc>
          <w:tcPr>
            <w:tcW w:w="2609"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staff and implementer interviews (</w:t>
            </w:r>
            <w:r>
              <w:rPr>
                <w:sz w:val="20"/>
                <w:szCs w:val="20"/>
              </w:rPr>
              <w:t>n</w:t>
            </w:r>
            <w:r w:rsidRPr="00661E10">
              <w:rPr>
                <w:sz w:val="20"/>
                <w:szCs w:val="20"/>
              </w:rPr>
              <w:t>=2)</w:t>
            </w:r>
          </w:p>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database and HERs recipient records</w:t>
            </w:r>
          </w:p>
          <w:p w:rsidR="00183636" w:rsidRPr="00661E10" w:rsidRDefault="00D70A28" w:rsidP="009349F1">
            <w:pPr>
              <w:numPr>
                <w:ilvl w:val="0"/>
                <w:numId w:val="12"/>
              </w:numPr>
              <w:autoSpaceDE w:val="0"/>
              <w:autoSpaceDN w:val="0"/>
              <w:adjustRightInd w:val="0"/>
              <w:ind w:left="232" w:hanging="180"/>
              <w:contextualSpacing/>
              <w:jc w:val="left"/>
              <w:rPr>
                <w:sz w:val="20"/>
                <w:szCs w:val="20"/>
              </w:rPr>
            </w:pPr>
            <w:r>
              <w:rPr>
                <w:sz w:val="20"/>
                <w:szCs w:val="20"/>
              </w:rPr>
              <w:t>EEMIS</w:t>
            </w:r>
            <w:r w:rsidR="00183636" w:rsidRPr="00661E10">
              <w:rPr>
                <w:sz w:val="20"/>
                <w:szCs w:val="20"/>
              </w:rPr>
              <w:t xml:space="preserve"> database</w:t>
            </w:r>
          </w:p>
        </w:tc>
      </w:tr>
      <w:tr w:rsidR="00E7173E" w:rsidRPr="00661E10" w:rsidTr="00FD03DC">
        <w:trPr>
          <w:trHeight w:val="141"/>
          <w:jc w:val="center"/>
        </w:trPr>
        <w:tc>
          <w:tcPr>
            <w:tcW w:w="1839" w:type="dxa"/>
            <w:tcBorders>
              <w:top w:val="single" w:sz="8" w:space="0" w:color="448A99"/>
              <w:left w:val="single" w:sz="8" w:space="0" w:color="448A99"/>
              <w:bottom w:val="single" w:sz="8" w:space="0" w:color="448A99"/>
              <w:right w:val="single" w:sz="8" w:space="0" w:color="448A99"/>
            </w:tcBorders>
            <w:hideMark/>
          </w:tcPr>
          <w:p w:rsidR="00183636" w:rsidRPr="00661E10" w:rsidRDefault="00183636" w:rsidP="005C1352">
            <w:pPr>
              <w:jc w:val="left"/>
              <w:rPr>
                <w:sz w:val="20"/>
              </w:rPr>
            </w:pPr>
            <w:r w:rsidRPr="00661E10">
              <w:rPr>
                <w:sz w:val="20"/>
              </w:rPr>
              <w:t>Residential Home Comfort Program</w:t>
            </w:r>
          </w:p>
        </w:tc>
        <w:tc>
          <w:tcPr>
            <w:tcW w:w="4923" w:type="dxa"/>
            <w:tcBorders>
              <w:top w:val="single" w:sz="8" w:space="0" w:color="448A99"/>
              <w:left w:val="single" w:sz="8" w:space="0" w:color="448A99"/>
              <w:bottom w:val="single" w:sz="8" w:space="0" w:color="448A99"/>
              <w:right w:val="single" w:sz="8" w:space="0" w:color="448A99"/>
            </w:tcBorders>
            <w:hideMark/>
          </w:tcPr>
          <w:p w:rsidR="00183636" w:rsidRPr="00661E10" w:rsidRDefault="00183636" w:rsidP="009349F1">
            <w:pPr>
              <w:numPr>
                <w:ilvl w:val="0"/>
                <w:numId w:val="11"/>
              </w:numPr>
              <w:autoSpaceDE w:val="0"/>
              <w:autoSpaceDN w:val="0"/>
              <w:adjustRightInd w:val="0"/>
              <w:ind w:left="187" w:hanging="187"/>
              <w:contextualSpacing/>
              <w:jc w:val="left"/>
              <w:rPr>
                <w:rFonts w:cs="Calibri"/>
                <w:sz w:val="20"/>
                <w:szCs w:val="20"/>
              </w:rPr>
            </w:pPr>
            <w:r w:rsidRPr="00661E10">
              <w:rPr>
                <w:sz w:val="20"/>
                <w:szCs w:val="20"/>
              </w:rPr>
              <w:t xml:space="preserve">Overall, the program met its energy savings and participation </w:t>
            </w:r>
            <w:r w:rsidR="004479A9">
              <w:rPr>
                <w:sz w:val="20"/>
                <w:szCs w:val="20"/>
              </w:rPr>
              <w:t>plans</w:t>
            </w:r>
            <w:r w:rsidR="004479A9" w:rsidRPr="00661E10">
              <w:rPr>
                <w:sz w:val="20"/>
                <w:szCs w:val="20"/>
              </w:rPr>
              <w:t xml:space="preserve"> </w:t>
            </w:r>
            <w:r w:rsidRPr="00661E10">
              <w:rPr>
                <w:sz w:val="20"/>
                <w:szCs w:val="20"/>
              </w:rPr>
              <w:t>for PY7 and Phase II.</w:t>
            </w:r>
          </w:p>
          <w:p w:rsidR="00183636" w:rsidRPr="00661E10" w:rsidRDefault="00183636" w:rsidP="009349F1">
            <w:pPr>
              <w:numPr>
                <w:ilvl w:val="0"/>
                <w:numId w:val="11"/>
              </w:numPr>
              <w:autoSpaceDE w:val="0"/>
              <w:autoSpaceDN w:val="0"/>
              <w:adjustRightInd w:val="0"/>
              <w:ind w:left="187" w:hanging="187"/>
              <w:contextualSpacing/>
              <w:jc w:val="left"/>
              <w:rPr>
                <w:rFonts w:cs="Calibri"/>
                <w:sz w:val="20"/>
                <w:szCs w:val="20"/>
              </w:rPr>
            </w:pPr>
            <w:r w:rsidRPr="00661E10">
              <w:rPr>
                <w:sz w:val="20"/>
                <w:szCs w:val="20"/>
              </w:rPr>
              <w:t>Over one-third (38%) of audit participants installed measures, but high up</w:t>
            </w:r>
            <w:r w:rsidR="00D90336">
              <w:rPr>
                <w:sz w:val="20"/>
                <w:szCs w:val="20"/>
              </w:rPr>
              <w:t>-</w:t>
            </w:r>
            <w:r w:rsidRPr="00661E10">
              <w:rPr>
                <w:sz w:val="20"/>
                <w:szCs w:val="20"/>
              </w:rPr>
              <w:t>front costs of an audit continued to be a barrier to participation in PY7.</w:t>
            </w:r>
          </w:p>
          <w:p w:rsidR="00183636" w:rsidRPr="00661E10" w:rsidRDefault="00183636" w:rsidP="009349F1">
            <w:pPr>
              <w:numPr>
                <w:ilvl w:val="0"/>
                <w:numId w:val="11"/>
              </w:numPr>
              <w:autoSpaceDE w:val="0"/>
              <w:autoSpaceDN w:val="0"/>
              <w:adjustRightInd w:val="0"/>
              <w:ind w:left="187" w:hanging="187"/>
              <w:jc w:val="left"/>
              <w:rPr>
                <w:sz w:val="20"/>
                <w:szCs w:val="20"/>
              </w:rPr>
            </w:pPr>
            <w:r w:rsidRPr="00661E10">
              <w:rPr>
                <w:sz w:val="20"/>
                <w:szCs w:val="20"/>
              </w:rPr>
              <w:t>Ductless heat pumps achieved the most savings in PY7. The new products added in PY7, particularly the central air conditioners, were successful at increasing energy savings.</w:t>
            </w:r>
          </w:p>
          <w:p w:rsidR="00183636" w:rsidRPr="00661E10" w:rsidRDefault="00183636" w:rsidP="009349F1">
            <w:pPr>
              <w:numPr>
                <w:ilvl w:val="0"/>
                <w:numId w:val="11"/>
              </w:numPr>
              <w:autoSpaceDE w:val="0"/>
              <w:autoSpaceDN w:val="0"/>
              <w:adjustRightInd w:val="0"/>
              <w:ind w:left="187" w:hanging="187"/>
              <w:contextualSpacing/>
              <w:jc w:val="left"/>
              <w:rPr>
                <w:rFonts w:cs="Calibri"/>
                <w:sz w:val="20"/>
                <w:szCs w:val="20"/>
              </w:rPr>
            </w:pPr>
            <w:r w:rsidRPr="00661E10">
              <w:rPr>
                <w:sz w:val="20"/>
                <w:szCs w:val="20"/>
              </w:rPr>
              <w:t>The new homes prescriptive path (</w:t>
            </w:r>
            <w:r>
              <w:rPr>
                <w:sz w:val="20"/>
                <w:szCs w:val="20"/>
              </w:rPr>
              <w:t>n=</w:t>
            </w:r>
            <w:r w:rsidRPr="00661E10">
              <w:rPr>
                <w:sz w:val="20"/>
                <w:szCs w:val="20"/>
              </w:rPr>
              <w:t>2) and manufactured home offerings (</w:t>
            </w:r>
            <w:r>
              <w:rPr>
                <w:sz w:val="20"/>
                <w:szCs w:val="20"/>
              </w:rPr>
              <w:t>n=</w:t>
            </w:r>
            <w:r w:rsidRPr="00661E10">
              <w:rPr>
                <w:sz w:val="20"/>
                <w:szCs w:val="20"/>
              </w:rPr>
              <w:t>1) continued to not perform as well as planned.</w:t>
            </w:r>
          </w:p>
          <w:p w:rsidR="00183636" w:rsidRPr="00661E10" w:rsidRDefault="00183636" w:rsidP="009349F1">
            <w:pPr>
              <w:numPr>
                <w:ilvl w:val="0"/>
                <w:numId w:val="11"/>
              </w:numPr>
              <w:autoSpaceDE w:val="0"/>
              <w:autoSpaceDN w:val="0"/>
              <w:adjustRightInd w:val="0"/>
              <w:ind w:left="187" w:hanging="187"/>
              <w:contextualSpacing/>
              <w:jc w:val="left"/>
              <w:rPr>
                <w:rFonts w:cs="Calibri"/>
                <w:sz w:val="20"/>
                <w:szCs w:val="20"/>
              </w:rPr>
            </w:pPr>
            <w:r w:rsidRPr="00661E10">
              <w:rPr>
                <w:sz w:val="20"/>
                <w:szCs w:val="20"/>
              </w:rPr>
              <w:t>The rigidity of the prescriptive paths, in which contractors had to install specific products, led to lower participation. The HERS new home approach performed better than planned because contractors had some flexibility in choosing qualified measures.</w:t>
            </w:r>
          </w:p>
          <w:p w:rsidR="00183636" w:rsidRPr="00661E10" w:rsidRDefault="00183636" w:rsidP="009349F1">
            <w:pPr>
              <w:numPr>
                <w:ilvl w:val="0"/>
                <w:numId w:val="11"/>
              </w:numPr>
              <w:autoSpaceDE w:val="0"/>
              <w:autoSpaceDN w:val="0"/>
              <w:adjustRightInd w:val="0"/>
              <w:ind w:left="187" w:hanging="187"/>
              <w:contextualSpacing/>
              <w:jc w:val="left"/>
              <w:rPr>
                <w:rFonts w:cs="Calibri"/>
                <w:sz w:val="20"/>
                <w:szCs w:val="20"/>
              </w:rPr>
            </w:pPr>
            <w:r w:rsidRPr="00661E10">
              <w:rPr>
                <w:sz w:val="20"/>
                <w:szCs w:val="20"/>
              </w:rPr>
              <w:t>The program met its customer satisfaction goal of 80% (98% reported being very or somewhat satisfied) but did not meet its customer complaint goal of zero</w:t>
            </w:r>
            <w:r>
              <w:rPr>
                <w:sz w:val="20"/>
                <w:szCs w:val="20"/>
              </w:rPr>
              <w:t xml:space="preserve"> complaints</w:t>
            </w:r>
            <w:r w:rsidRPr="00661E10">
              <w:rPr>
                <w:sz w:val="20"/>
                <w:szCs w:val="20"/>
              </w:rPr>
              <w:t>.</w:t>
            </w:r>
          </w:p>
        </w:tc>
        <w:tc>
          <w:tcPr>
            <w:tcW w:w="2609" w:type="dxa"/>
            <w:tcBorders>
              <w:top w:val="single" w:sz="8" w:space="0" w:color="448A99"/>
              <w:left w:val="single" w:sz="8" w:space="0" w:color="448A99"/>
              <w:bottom w:val="single" w:sz="8" w:space="0" w:color="448A99"/>
              <w:right w:val="single" w:sz="8" w:space="0" w:color="448A99"/>
            </w:tcBorders>
            <w:hideMark/>
          </w:tcPr>
          <w:p w:rsidR="00183636" w:rsidRPr="00661E10" w:rsidRDefault="00183636" w:rsidP="009349F1">
            <w:pPr>
              <w:numPr>
                <w:ilvl w:val="0"/>
                <w:numId w:val="12"/>
              </w:numPr>
              <w:autoSpaceDE w:val="0"/>
              <w:autoSpaceDN w:val="0"/>
              <w:adjustRightInd w:val="0"/>
              <w:ind w:left="232" w:hanging="180"/>
              <w:contextualSpacing/>
              <w:jc w:val="left"/>
              <w:rPr>
                <w:sz w:val="20"/>
                <w:szCs w:val="20"/>
              </w:rPr>
            </w:pPr>
            <w:r w:rsidRPr="00661E10">
              <w:rPr>
                <w:sz w:val="20"/>
                <w:szCs w:val="20"/>
              </w:rPr>
              <w:t>Program staff and implementer interviews (</w:t>
            </w:r>
            <w:r>
              <w:rPr>
                <w:sz w:val="20"/>
                <w:szCs w:val="20"/>
              </w:rPr>
              <w:t>n</w:t>
            </w:r>
            <w:r w:rsidRPr="00661E10">
              <w:rPr>
                <w:sz w:val="20"/>
                <w:szCs w:val="20"/>
              </w:rPr>
              <w:t>=2)</w:t>
            </w:r>
          </w:p>
          <w:p w:rsidR="00183636" w:rsidRPr="00661E10" w:rsidRDefault="00183636" w:rsidP="009349F1">
            <w:pPr>
              <w:numPr>
                <w:ilvl w:val="0"/>
                <w:numId w:val="12"/>
              </w:numPr>
              <w:autoSpaceDE w:val="0"/>
              <w:autoSpaceDN w:val="0"/>
              <w:adjustRightInd w:val="0"/>
              <w:ind w:left="232" w:hanging="180"/>
              <w:contextualSpacing/>
              <w:jc w:val="left"/>
              <w:rPr>
                <w:sz w:val="20"/>
              </w:rPr>
            </w:pPr>
            <w:r w:rsidRPr="00661E10">
              <w:rPr>
                <w:sz w:val="20"/>
              </w:rPr>
              <w:t>Cross-program participant surveys (</w:t>
            </w:r>
            <w:r>
              <w:rPr>
                <w:sz w:val="20"/>
              </w:rPr>
              <w:t>n</w:t>
            </w:r>
            <w:r w:rsidRPr="00661E10">
              <w:rPr>
                <w:sz w:val="20"/>
                <w:szCs w:val="20"/>
              </w:rPr>
              <w:t>=</w:t>
            </w:r>
            <w:r w:rsidRPr="00661E10">
              <w:rPr>
                <w:sz w:val="20"/>
              </w:rPr>
              <w:t>286)</w:t>
            </w:r>
          </w:p>
          <w:p w:rsidR="00183636" w:rsidRPr="00661E10" w:rsidRDefault="00164F59" w:rsidP="009349F1">
            <w:pPr>
              <w:numPr>
                <w:ilvl w:val="0"/>
                <w:numId w:val="12"/>
              </w:numPr>
              <w:autoSpaceDE w:val="0"/>
              <w:autoSpaceDN w:val="0"/>
              <w:adjustRightInd w:val="0"/>
              <w:ind w:left="232" w:hanging="180"/>
              <w:contextualSpacing/>
              <w:jc w:val="left"/>
              <w:rPr>
                <w:sz w:val="20"/>
              </w:rPr>
            </w:pPr>
            <w:r>
              <w:rPr>
                <w:sz w:val="20"/>
              </w:rPr>
              <w:t>EEMIS</w:t>
            </w:r>
            <w:r w:rsidR="00183636" w:rsidRPr="00661E10">
              <w:rPr>
                <w:sz w:val="20"/>
              </w:rPr>
              <w:t xml:space="preserve"> database</w:t>
            </w:r>
          </w:p>
        </w:tc>
      </w:tr>
      <w:tr w:rsidR="00A874AC" w:rsidRPr="00661E10" w:rsidTr="003F09E3">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661E10" w:rsidRDefault="00183636" w:rsidP="005C1352">
            <w:pPr>
              <w:jc w:val="left"/>
              <w:rPr>
                <w:sz w:val="20"/>
              </w:rPr>
            </w:pPr>
            <w:r w:rsidRPr="00661E10">
              <w:rPr>
                <w:sz w:val="20"/>
              </w:rPr>
              <w:t>Residential Retail Program (Equipment)</w:t>
            </w:r>
          </w:p>
        </w:tc>
        <w:tc>
          <w:tcPr>
            <w:tcW w:w="4923"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661E10" w:rsidRDefault="00183636" w:rsidP="009349F1">
            <w:pPr>
              <w:numPr>
                <w:ilvl w:val="0"/>
                <w:numId w:val="11"/>
              </w:numPr>
              <w:autoSpaceDE w:val="0"/>
              <w:autoSpaceDN w:val="0"/>
              <w:adjustRightInd w:val="0"/>
              <w:ind w:left="232" w:hanging="180"/>
              <w:contextualSpacing/>
              <w:jc w:val="left"/>
              <w:rPr>
                <w:color w:val="365F91"/>
                <w:sz w:val="18"/>
                <w:szCs w:val="20"/>
              </w:rPr>
            </w:pPr>
            <w:r w:rsidRPr="00661E10">
              <w:rPr>
                <w:rFonts w:cs="Calibri"/>
                <w:color w:val="000000"/>
                <w:sz w:val="20"/>
              </w:rPr>
              <w:t>The program exceeded its planned energy savings for PY7 and Phase II</w:t>
            </w:r>
            <w:r w:rsidR="003F09E3">
              <w:rPr>
                <w:rFonts w:cs="Calibri"/>
                <w:color w:val="000000"/>
                <w:sz w:val="20"/>
              </w:rPr>
              <w:t>.</w:t>
            </w:r>
          </w:p>
          <w:p w:rsidR="00183636" w:rsidRPr="00661E10" w:rsidRDefault="00183636" w:rsidP="009349F1">
            <w:pPr>
              <w:numPr>
                <w:ilvl w:val="0"/>
                <w:numId w:val="11"/>
              </w:numPr>
              <w:autoSpaceDE w:val="0"/>
              <w:autoSpaceDN w:val="0"/>
              <w:adjustRightInd w:val="0"/>
              <w:ind w:left="232" w:hanging="180"/>
              <w:contextualSpacing/>
              <w:jc w:val="left"/>
              <w:rPr>
                <w:color w:val="365F91"/>
                <w:sz w:val="18"/>
                <w:szCs w:val="20"/>
              </w:rPr>
            </w:pPr>
            <w:r w:rsidRPr="00661E10">
              <w:rPr>
                <w:rFonts w:cs="Calibri"/>
                <w:color w:val="000000"/>
                <w:sz w:val="20"/>
              </w:rPr>
              <w:t>The program was delivered efficiency and effectively. Rebate processing times averaged 3 weeks, lower than in PY6.</w:t>
            </w:r>
          </w:p>
          <w:p w:rsidR="00183636" w:rsidRPr="00661E10" w:rsidRDefault="00183636" w:rsidP="009349F1">
            <w:pPr>
              <w:numPr>
                <w:ilvl w:val="0"/>
                <w:numId w:val="11"/>
              </w:numPr>
              <w:autoSpaceDE w:val="0"/>
              <w:autoSpaceDN w:val="0"/>
              <w:adjustRightInd w:val="0"/>
              <w:ind w:left="232" w:hanging="180"/>
              <w:contextualSpacing/>
              <w:jc w:val="left"/>
              <w:rPr>
                <w:color w:val="365F91"/>
                <w:sz w:val="18"/>
                <w:szCs w:val="20"/>
              </w:rPr>
            </w:pPr>
            <w:r w:rsidRPr="00661E10">
              <w:rPr>
                <w:sz w:val="20"/>
                <w:szCs w:val="20"/>
              </w:rPr>
              <w:t>Some participants expressed disappointment with refrigerator rebates that were lowered due to changes in ENERGY STAR qualification criteria for various models.</w:t>
            </w:r>
          </w:p>
          <w:p w:rsidR="00183636" w:rsidRPr="00661E10" w:rsidRDefault="00183636" w:rsidP="009349F1">
            <w:pPr>
              <w:numPr>
                <w:ilvl w:val="0"/>
                <w:numId w:val="11"/>
              </w:numPr>
              <w:autoSpaceDE w:val="0"/>
              <w:autoSpaceDN w:val="0"/>
              <w:adjustRightInd w:val="0"/>
              <w:ind w:left="232" w:hanging="180"/>
              <w:contextualSpacing/>
              <w:jc w:val="left"/>
              <w:rPr>
                <w:color w:val="365F91"/>
                <w:sz w:val="18"/>
                <w:szCs w:val="20"/>
              </w:rPr>
            </w:pPr>
            <w:r w:rsidRPr="00661E10">
              <w:rPr>
                <w:sz w:val="20"/>
                <w:szCs w:val="20"/>
              </w:rPr>
              <w:t xml:space="preserve">More surveyed participants reported satisfaction with the program (79%) compared with PY6 (69%). Recipients of rebates for </w:t>
            </w:r>
            <w:r w:rsidR="00D90336">
              <w:rPr>
                <w:sz w:val="20"/>
                <w:szCs w:val="20"/>
              </w:rPr>
              <w:t>HPWHs</w:t>
            </w:r>
            <w:r w:rsidRPr="00661E10">
              <w:rPr>
                <w:sz w:val="20"/>
                <w:szCs w:val="20"/>
              </w:rPr>
              <w:t xml:space="preserve"> were more satisfied than recipients of refrigerator rebates.</w:t>
            </w:r>
          </w:p>
        </w:tc>
        <w:tc>
          <w:tcPr>
            <w:tcW w:w="2609"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661E10" w:rsidRDefault="00183636" w:rsidP="009349F1">
            <w:pPr>
              <w:numPr>
                <w:ilvl w:val="0"/>
                <w:numId w:val="11"/>
              </w:numPr>
              <w:autoSpaceDE w:val="0"/>
              <w:autoSpaceDN w:val="0"/>
              <w:adjustRightInd w:val="0"/>
              <w:ind w:left="232" w:hanging="180"/>
              <w:contextualSpacing/>
              <w:jc w:val="left"/>
              <w:rPr>
                <w:rFonts w:cs="Calibri"/>
                <w:sz w:val="20"/>
                <w:szCs w:val="20"/>
              </w:rPr>
            </w:pPr>
            <w:r w:rsidRPr="00661E10">
              <w:rPr>
                <w:sz w:val="20"/>
                <w:szCs w:val="20"/>
              </w:rPr>
              <w:t>Program staff and implementer interviews (</w:t>
            </w:r>
            <w:r>
              <w:rPr>
                <w:sz w:val="20"/>
                <w:szCs w:val="20"/>
              </w:rPr>
              <w:t>n</w:t>
            </w:r>
            <w:r w:rsidRPr="00661E10">
              <w:rPr>
                <w:sz w:val="20"/>
                <w:szCs w:val="20"/>
              </w:rPr>
              <w:t>=2)</w:t>
            </w:r>
          </w:p>
          <w:p w:rsidR="00183636" w:rsidRPr="00661E10" w:rsidRDefault="00183636" w:rsidP="009349F1">
            <w:pPr>
              <w:numPr>
                <w:ilvl w:val="0"/>
                <w:numId w:val="11"/>
              </w:numPr>
              <w:autoSpaceDE w:val="0"/>
              <w:autoSpaceDN w:val="0"/>
              <w:adjustRightInd w:val="0"/>
              <w:ind w:left="232" w:hanging="180"/>
              <w:contextualSpacing/>
              <w:jc w:val="left"/>
              <w:rPr>
                <w:rFonts w:cs="Calibri"/>
                <w:sz w:val="20"/>
                <w:szCs w:val="20"/>
              </w:rPr>
            </w:pPr>
            <w:r w:rsidRPr="00661E10">
              <w:rPr>
                <w:rFonts w:cs="Calibri"/>
                <w:sz w:val="20"/>
                <w:szCs w:val="20"/>
              </w:rPr>
              <w:t>Refrigerator participant surveys (</w:t>
            </w:r>
            <w:r>
              <w:rPr>
                <w:rFonts w:cs="Calibri"/>
                <w:sz w:val="20"/>
                <w:szCs w:val="20"/>
              </w:rPr>
              <w:t>n</w:t>
            </w:r>
            <w:r w:rsidRPr="00661E10">
              <w:rPr>
                <w:sz w:val="20"/>
                <w:szCs w:val="20"/>
              </w:rPr>
              <w:t>=</w:t>
            </w:r>
            <w:r w:rsidRPr="00661E10">
              <w:rPr>
                <w:rFonts w:cs="Calibri"/>
                <w:sz w:val="20"/>
                <w:szCs w:val="20"/>
              </w:rPr>
              <w:t>62)</w:t>
            </w:r>
          </w:p>
          <w:p w:rsidR="00183636" w:rsidRPr="00661E10" w:rsidRDefault="00D90336" w:rsidP="009349F1">
            <w:pPr>
              <w:numPr>
                <w:ilvl w:val="0"/>
                <w:numId w:val="11"/>
              </w:numPr>
              <w:autoSpaceDE w:val="0"/>
              <w:autoSpaceDN w:val="0"/>
              <w:adjustRightInd w:val="0"/>
              <w:ind w:left="232" w:hanging="180"/>
              <w:contextualSpacing/>
              <w:jc w:val="left"/>
              <w:rPr>
                <w:rFonts w:cs="Calibri"/>
                <w:sz w:val="20"/>
                <w:szCs w:val="20"/>
              </w:rPr>
            </w:pPr>
            <w:r>
              <w:rPr>
                <w:rFonts w:cs="Calibri"/>
                <w:sz w:val="20"/>
                <w:szCs w:val="20"/>
              </w:rPr>
              <w:t>HPWH</w:t>
            </w:r>
            <w:r w:rsidR="00183636" w:rsidRPr="00661E10">
              <w:rPr>
                <w:rFonts w:cs="Calibri"/>
                <w:sz w:val="20"/>
                <w:szCs w:val="20"/>
              </w:rPr>
              <w:t xml:space="preserve"> participant surveys (</w:t>
            </w:r>
            <w:r w:rsidR="00183636">
              <w:rPr>
                <w:rFonts w:cs="Calibri"/>
                <w:sz w:val="20"/>
                <w:szCs w:val="20"/>
              </w:rPr>
              <w:t>n</w:t>
            </w:r>
            <w:r w:rsidR="00183636" w:rsidRPr="00661E10">
              <w:rPr>
                <w:sz w:val="20"/>
                <w:szCs w:val="20"/>
              </w:rPr>
              <w:t>=</w:t>
            </w:r>
            <w:r w:rsidR="00183636" w:rsidRPr="00661E10">
              <w:rPr>
                <w:rFonts w:cs="Calibri"/>
                <w:sz w:val="20"/>
                <w:szCs w:val="20"/>
              </w:rPr>
              <w:t>70)</w:t>
            </w:r>
          </w:p>
        </w:tc>
      </w:tr>
      <w:tr w:rsidR="003F09E3" w:rsidRPr="00661E10" w:rsidTr="00FD03DC">
        <w:trPr>
          <w:trHeight w:val="141"/>
          <w:jc w:val="center"/>
        </w:trPr>
        <w:tc>
          <w:tcPr>
            <w:tcW w:w="1839" w:type="dxa"/>
            <w:tcBorders>
              <w:top w:val="single" w:sz="8" w:space="0" w:color="448A99"/>
              <w:left w:val="single" w:sz="8" w:space="0" w:color="448A99"/>
              <w:bottom w:val="single" w:sz="8" w:space="0" w:color="448A99"/>
              <w:right w:val="single" w:sz="8" w:space="0" w:color="448A99"/>
            </w:tcBorders>
            <w:hideMark/>
          </w:tcPr>
          <w:p w:rsidR="003F09E3" w:rsidRPr="00661E10" w:rsidRDefault="003F09E3" w:rsidP="003F09E3">
            <w:pPr>
              <w:jc w:val="left"/>
              <w:rPr>
                <w:sz w:val="20"/>
              </w:rPr>
            </w:pPr>
            <w:r w:rsidRPr="00661E10">
              <w:rPr>
                <w:sz w:val="20"/>
              </w:rPr>
              <w:t>Residential Retail Program (Lighting)</w:t>
            </w:r>
          </w:p>
        </w:tc>
        <w:tc>
          <w:tcPr>
            <w:tcW w:w="4923" w:type="dxa"/>
            <w:tcBorders>
              <w:top w:val="single" w:sz="8" w:space="0" w:color="448A99"/>
              <w:left w:val="single" w:sz="8" w:space="0" w:color="448A99"/>
              <w:bottom w:val="single" w:sz="8" w:space="0" w:color="448A99"/>
              <w:right w:val="single" w:sz="8" w:space="0" w:color="448A99"/>
            </w:tcBorders>
            <w:hideMark/>
          </w:tcPr>
          <w:p w:rsidR="003F09E3" w:rsidRPr="00134B3C" w:rsidRDefault="003F09E3" w:rsidP="009349F1">
            <w:pPr>
              <w:numPr>
                <w:ilvl w:val="0"/>
                <w:numId w:val="11"/>
              </w:numPr>
              <w:autoSpaceDE w:val="0"/>
              <w:autoSpaceDN w:val="0"/>
              <w:adjustRightInd w:val="0"/>
              <w:ind w:left="232" w:hanging="180"/>
              <w:contextualSpacing/>
              <w:jc w:val="left"/>
              <w:rPr>
                <w:color w:val="365F91"/>
                <w:sz w:val="18"/>
                <w:szCs w:val="20"/>
              </w:rPr>
            </w:pPr>
            <w:r w:rsidRPr="00134B3C">
              <w:rPr>
                <w:rFonts w:cs="Calibri"/>
                <w:color w:val="000000"/>
                <w:sz w:val="20"/>
              </w:rPr>
              <w:t>The program exceeded its planned energy savings for PY7 and Ph</w:t>
            </w:r>
            <w:r>
              <w:rPr>
                <w:rFonts w:cs="Calibri"/>
                <w:color w:val="000000"/>
                <w:sz w:val="20"/>
              </w:rPr>
              <w:t xml:space="preserve">ase II. </w:t>
            </w:r>
          </w:p>
          <w:p w:rsidR="003F09E3" w:rsidRPr="00134B3C" w:rsidRDefault="003F09E3" w:rsidP="009349F1">
            <w:pPr>
              <w:numPr>
                <w:ilvl w:val="0"/>
                <w:numId w:val="11"/>
              </w:numPr>
              <w:autoSpaceDE w:val="0"/>
              <w:autoSpaceDN w:val="0"/>
              <w:adjustRightInd w:val="0"/>
              <w:ind w:left="187" w:hanging="187"/>
              <w:contextualSpacing/>
              <w:jc w:val="left"/>
              <w:rPr>
                <w:sz w:val="18"/>
              </w:rPr>
            </w:pPr>
            <w:r w:rsidRPr="00134B3C">
              <w:rPr>
                <w:rFonts w:cs="Calibri"/>
                <w:color w:val="000000"/>
                <w:sz w:val="20"/>
              </w:rPr>
              <w:t>The program was delivered efficiently and effectively, and the quality of the data from the various program sources was very good.</w:t>
            </w:r>
          </w:p>
          <w:p w:rsidR="003F09E3" w:rsidRPr="00134B3C" w:rsidRDefault="003F09E3" w:rsidP="009349F1">
            <w:pPr>
              <w:numPr>
                <w:ilvl w:val="0"/>
                <w:numId w:val="11"/>
              </w:numPr>
              <w:autoSpaceDE w:val="0"/>
              <w:autoSpaceDN w:val="0"/>
              <w:adjustRightInd w:val="0"/>
              <w:ind w:left="187" w:hanging="187"/>
              <w:contextualSpacing/>
              <w:jc w:val="left"/>
              <w:rPr>
                <w:sz w:val="18"/>
              </w:rPr>
            </w:pPr>
            <w:r w:rsidRPr="00134B3C">
              <w:rPr>
                <w:sz w:val="20"/>
                <w:szCs w:val="20"/>
              </w:rPr>
              <w:t>Most surveyed PPL customers (79%) reported awareness of LEDs, and 78% had seen them for sale at retailers in PY7, compared to 71% in PY6. However, most surveyed customers (85%) were unaware that PPL discounted LED bulbs.</w:t>
            </w:r>
          </w:p>
          <w:p w:rsidR="003F09E3" w:rsidRPr="00134B3C" w:rsidRDefault="003F09E3" w:rsidP="009349F1">
            <w:pPr>
              <w:numPr>
                <w:ilvl w:val="0"/>
                <w:numId w:val="11"/>
              </w:numPr>
              <w:autoSpaceDE w:val="0"/>
              <w:autoSpaceDN w:val="0"/>
              <w:adjustRightInd w:val="0"/>
              <w:ind w:left="187" w:hanging="187"/>
              <w:contextualSpacing/>
              <w:rPr>
                <w:sz w:val="20"/>
                <w:szCs w:val="20"/>
              </w:rPr>
            </w:pPr>
            <w:r w:rsidRPr="00134B3C">
              <w:rPr>
                <w:sz w:val="20"/>
                <w:szCs w:val="20"/>
              </w:rPr>
              <w:t>44% of respondents reported currently using LEDs, up from 30% in PY6; non-users cited high cost as a barrier.</w:t>
            </w:r>
          </w:p>
          <w:p w:rsidR="003F09E3" w:rsidRPr="00134B3C" w:rsidRDefault="003F09E3" w:rsidP="009349F1">
            <w:pPr>
              <w:numPr>
                <w:ilvl w:val="0"/>
                <w:numId w:val="11"/>
              </w:numPr>
              <w:autoSpaceDE w:val="0"/>
              <w:autoSpaceDN w:val="0"/>
              <w:adjustRightInd w:val="0"/>
              <w:ind w:left="187" w:hanging="187"/>
              <w:contextualSpacing/>
              <w:jc w:val="left"/>
              <w:rPr>
                <w:sz w:val="18"/>
              </w:rPr>
            </w:pPr>
            <w:r w:rsidRPr="00134B3C">
              <w:rPr>
                <w:sz w:val="20"/>
                <w:szCs w:val="20"/>
              </w:rPr>
              <w:t>Most respondents with LEDs were overall very satisfied with their LEDs.</w:t>
            </w:r>
          </w:p>
          <w:p w:rsidR="003F09E3" w:rsidRPr="00134B3C" w:rsidRDefault="003F09E3" w:rsidP="009349F1">
            <w:pPr>
              <w:numPr>
                <w:ilvl w:val="0"/>
                <w:numId w:val="11"/>
              </w:numPr>
              <w:autoSpaceDE w:val="0"/>
              <w:autoSpaceDN w:val="0"/>
              <w:adjustRightInd w:val="0"/>
              <w:ind w:left="187" w:hanging="187"/>
              <w:contextualSpacing/>
              <w:jc w:val="left"/>
              <w:rPr>
                <w:sz w:val="18"/>
              </w:rPr>
            </w:pPr>
            <w:r w:rsidRPr="00134B3C">
              <w:rPr>
                <w:sz w:val="20"/>
                <w:szCs w:val="20"/>
              </w:rPr>
              <w:t>Reported willingness to pay $5 or more for LEDs dropped in PY7 compared with PY6, but 90% of respondents reported being willing to pay $3 per LED. However, respondents who purchased LEDs from participating retailers reported an average price of $7.51 per bulb; respondents who purchased LEDs from any retailer reported an average price of $8.10 per bulb.</w:t>
            </w:r>
          </w:p>
          <w:p w:rsidR="003F09E3" w:rsidRPr="00661E10" w:rsidRDefault="003F09E3" w:rsidP="009349F1">
            <w:pPr>
              <w:numPr>
                <w:ilvl w:val="0"/>
                <w:numId w:val="11"/>
              </w:numPr>
              <w:autoSpaceDE w:val="0"/>
              <w:autoSpaceDN w:val="0"/>
              <w:adjustRightInd w:val="0"/>
              <w:ind w:left="187" w:hanging="187"/>
              <w:contextualSpacing/>
              <w:jc w:val="left"/>
              <w:rPr>
                <w:sz w:val="20"/>
              </w:rPr>
            </w:pPr>
            <w:r w:rsidRPr="00134B3C">
              <w:rPr>
                <w:sz w:val="20"/>
                <w:szCs w:val="20"/>
              </w:rPr>
              <w:t>Most respondents who disposed of CFLs in PY7 (60%) reported throwing the bulbs in the trash. Only 7% of surveyed respondents reported awareness of PPL’s CFL recycle bins.</w:t>
            </w:r>
          </w:p>
        </w:tc>
        <w:tc>
          <w:tcPr>
            <w:tcW w:w="2609" w:type="dxa"/>
            <w:tcBorders>
              <w:top w:val="single" w:sz="8" w:space="0" w:color="448A99"/>
              <w:left w:val="single" w:sz="8" w:space="0" w:color="448A99"/>
              <w:bottom w:val="single" w:sz="8" w:space="0" w:color="448A99"/>
              <w:right w:val="single" w:sz="8" w:space="0" w:color="448A99"/>
            </w:tcBorders>
            <w:hideMark/>
          </w:tcPr>
          <w:p w:rsidR="003F09E3" w:rsidRPr="00134B3C" w:rsidRDefault="003F09E3" w:rsidP="009349F1">
            <w:pPr>
              <w:numPr>
                <w:ilvl w:val="0"/>
                <w:numId w:val="11"/>
              </w:numPr>
              <w:autoSpaceDE w:val="0"/>
              <w:autoSpaceDN w:val="0"/>
              <w:adjustRightInd w:val="0"/>
              <w:ind w:left="232" w:hanging="180"/>
              <w:contextualSpacing/>
              <w:jc w:val="left"/>
              <w:rPr>
                <w:rFonts w:cs="Calibri"/>
                <w:sz w:val="20"/>
                <w:szCs w:val="20"/>
              </w:rPr>
            </w:pPr>
            <w:r w:rsidRPr="00134B3C">
              <w:rPr>
                <w:sz w:val="20"/>
                <w:szCs w:val="20"/>
              </w:rPr>
              <w:t>Program staff and implementer interviews (n=2)</w:t>
            </w:r>
          </w:p>
          <w:p w:rsidR="003F09E3" w:rsidRPr="00134B3C" w:rsidRDefault="003F09E3" w:rsidP="009349F1">
            <w:pPr>
              <w:numPr>
                <w:ilvl w:val="0"/>
                <w:numId w:val="11"/>
              </w:numPr>
              <w:autoSpaceDE w:val="0"/>
              <w:autoSpaceDN w:val="0"/>
              <w:adjustRightInd w:val="0"/>
              <w:ind w:left="232" w:hanging="180"/>
              <w:contextualSpacing/>
              <w:jc w:val="left"/>
              <w:rPr>
                <w:rFonts w:cs="Calibri"/>
                <w:sz w:val="20"/>
                <w:szCs w:val="20"/>
              </w:rPr>
            </w:pPr>
            <w:r w:rsidRPr="00134B3C">
              <w:rPr>
                <w:rFonts w:cs="Calibri"/>
                <w:sz w:val="20"/>
                <w:szCs w:val="20"/>
              </w:rPr>
              <w:t>Residential customer surveys (n</w:t>
            </w:r>
            <w:r w:rsidRPr="00134B3C">
              <w:rPr>
                <w:sz w:val="20"/>
                <w:szCs w:val="20"/>
              </w:rPr>
              <w:t>=</w:t>
            </w:r>
            <w:r w:rsidRPr="00134B3C">
              <w:rPr>
                <w:rFonts w:cs="Calibri"/>
                <w:sz w:val="20"/>
                <w:szCs w:val="20"/>
              </w:rPr>
              <w:t>337)</w:t>
            </w:r>
          </w:p>
          <w:p w:rsidR="003F09E3" w:rsidRPr="00134B3C" w:rsidRDefault="003F09E3" w:rsidP="009349F1">
            <w:pPr>
              <w:numPr>
                <w:ilvl w:val="0"/>
                <w:numId w:val="11"/>
              </w:numPr>
              <w:autoSpaceDE w:val="0"/>
              <w:autoSpaceDN w:val="0"/>
              <w:adjustRightInd w:val="0"/>
              <w:ind w:left="232" w:hanging="180"/>
              <w:contextualSpacing/>
              <w:jc w:val="left"/>
              <w:rPr>
                <w:rFonts w:cs="Calibri"/>
                <w:sz w:val="20"/>
                <w:szCs w:val="20"/>
              </w:rPr>
            </w:pPr>
            <w:r w:rsidRPr="00134B3C">
              <w:rPr>
                <w:rFonts w:cs="Calibri"/>
                <w:sz w:val="20"/>
                <w:szCs w:val="20"/>
              </w:rPr>
              <w:t>Low-Income Energy-Efficiency Behavior &amp; Education Program treatment and control surveys (n</w:t>
            </w:r>
            <w:r w:rsidRPr="00134B3C">
              <w:rPr>
                <w:sz w:val="20"/>
                <w:szCs w:val="20"/>
              </w:rPr>
              <w:t>=</w:t>
            </w:r>
            <w:r w:rsidRPr="00134B3C">
              <w:rPr>
                <w:rFonts w:cs="Calibri"/>
                <w:sz w:val="20"/>
                <w:szCs w:val="20"/>
              </w:rPr>
              <w:t>301)</w:t>
            </w:r>
          </w:p>
          <w:p w:rsidR="003F09E3" w:rsidRPr="00661E10" w:rsidRDefault="003F09E3" w:rsidP="009349F1">
            <w:pPr>
              <w:numPr>
                <w:ilvl w:val="0"/>
                <w:numId w:val="11"/>
              </w:numPr>
              <w:autoSpaceDE w:val="0"/>
              <w:autoSpaceDN w:val="0"/>
              <w:adjustRightInd w:val="0"/>
              <w:ind w:left="232" w:hanging="180"/>
              <w:contextualSpacing/>
              <w:jc w:val="left"/>
              <w:rPr>
                <w:rFonts w:cs="Calibri"/>
                <w:sz w:val="20"/>
                <w:szCs w:val="20"/>
              </w:rPr>
            </w:pPr>
            <w:r w:rsidRPr="00134B3C">
              <w:rPr>
                <w:rFonts w:cs="Calibri"/>
                <w:sz w:val="20"/>
                <w:szCs w:val="20"/>
              </w:rPr>
              <w:t>Program database and manufacturing invoices</w:t>
            </w:r>
          </w:p>
        </w:tc>
      </w:tr>
      <w:tr w:rsidR="00A874AC" w:rsidRPr="00661E10" w:rsidTr="004B789C">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tcPr>
          <w:p w:rsidR="004B789C" w:rsidRPr="00661E10" w:rsidRDefault="004B789C" w:rsidP="004B789C">
            <w:pPr>
              <w:ind w:left="139" w:hanging="180"/>
              <w:jc w:val="left"/>
              <w:rPr>
                <w:b/>
                <w:color w:val="FFFFFF"/>
                <w:sz w:val="20"/>
              </w:rPr>
            </w:pPr>
            <w:r w:rsidRPr="00661E10">
              <w:rPr>
                <w:sz w:val="20"/>
              </w:rPr>
              <w:t>Student and Parent Energy Efficiency-Education Program</w:t>
            </w:r>
          </w:p>
        </w:tc>
        <w:tc>
          <w:tcPr>
            <w:tcW w:w="4923" w:type="dxa"/>
            <w:tcBorders>
              <w:top w:val="single" w:sz="8" w:space="0" w:color="448A99"/>
              <w:left w:val="single" w:sz="8" w:space="0" w:color="448A99"/>
              <w:bottom w:val="single" w:sz="8" w:space="0" w:color="448A99"/>
              <w:right w:val="single" w:sz="8" w:space="0" w:color="448A99"/>
            </w:tcBorders>
            <w:shd w:val="clear" w:color="auto" w:fill="D2EAF1"/>
          </w:tcPr>
          <w:p w:rsidR="004B789C" w:rsidRPr="00134B3C" w:rsidRDefault="004B789C" w:rsidP="009349F1">
            <w:pPr>
              <w:numPr>
                <w:ilvl w:val="0"/>
                <w:numId w:val="11"/>
              </w:numPr>
              <w:autoSpaceDE w:val="0"/>
              <w:autoSpaceDN w:val="0"/>
              <w:adjustRightInd w:val="0"/>
              <w:ind w:left="232" w:hanging="180"/>
              <w:contextualSpacing/>
              <w:jc w:val="left"/>
              <w:rPr>
                <w:rFonts w:cs="Calibri"/>
                <w:sz w:val="18"/>
                <w:szCs w:val="20"/>
              </w:rPr>
            </w:pPr>
            <w:r w:rsidRPr="00134B3C">
              <w:rPr>
                <w:sz w:val="20"/>
                <w:szCs w:val="20"/>
              </w:rPr>
              <w:t xml:space="preserve">The program met its PY7 participation plans but did not meet planned energy savings; the program also did not meet its participation or savings plans for Phase II. </w:t>
            </w:r>
          </w:p>
          <w:p w:rsidR="004B789C" w:rsidRPr="00134B3C" w:rsidRDefault="004B789C" w:rsidP="009349F1">
            <w:pPr>
              <w:numPr>
                <w:ilvl w:val="0"/>
                <w:numId w:val="11"/>
              </w:numPr>
              <w:autoSpaceDE w:val="0"/>
              <w:autoSpaceDN w:val="0"/>
              <w:adjustRightInd w:val="0"/>
              <w:ind w:left="232" w:hanging="180"/>
              <w:contextualSpacing/>
              <w:jc w:val="left"/>
              <w:rPr>
                <w:rFonts w:cs="Calibri"/>
                <w:sz w:val="18"/>
                <w:szCs w:val="20"/>
              </w:rPr>
            </w:pPr>
            <w:r w:rsidRPr="00134B3C">
              <w:rPr>
                <w:sz w:val="20"/>
                <w:szCs w:val="20"/>
              </w:rPr>
              <w:t>Interviewed staff reported a smooth delivery of the program in PY6 and PY7.</w:t>
            </w:r>
          </w:p>
          <w:p w:rsidR="004B789C" w:rsidRPr="00134B3C" w:rsidRDefault="004B789C" w:rsidP="009349F1">
            <w:pPr>
              <w:numPr>
                <w:ilvl w:val="0"/>
                <w:numId w:val="11"/>
              </w:numPr>
              <w:autoSpaceDE w:val="0"/>
              <w:autoSpaceDN w:val="0"/>
              <w:adjustRightInd w:val="0"/>
              <w:ind w:left="232" w:hanging="180"/>
              <w:contextualSpacing/>
              <w:jc w:val="left"/>
              <w:rPr>
                <w:rFonts w:cs="Calibri"/>
                <w:sz w:val="18"/>
                <w:szCs w:val="20"/>
              </w:rPr>
            </w:pPr>
            <w:r w:rsidRPr="00134B3C">
              <w:rPr>
                <w:sz w:val="20"/>
                <w:szCs w:val="20"/>
              </w:rPr>
              <w:t>All four key performance indicator goals were met or exceeded in PY7. Program enrollment was successful; new school enrollment reached 30% of all participants, 150 teachers enrolled to participate, and the number of returned HEWs exceeded 72%.</w:t>
            </w:r>
          </w:p>
          <w:p w:rsidR="004B789C" w:rsidRPr="00134B3C" w:rsidRDefault="004B789C" w:rsidP="009349F1">
            <w:pPr>
              <w:numPr>
                <w:ilvl w:val="0"/>
                <w:numId w:val="11"/>
              </w:numPr>
              <w:autoSpaceDE w:val="0"/>
              <w:autoSpaceDN w:val="0"/>
              <w:adjustRightInd w:val="0"/>
              <w:ind w:left="232" w:hanging="180"/>
              <w:contextualSpacing/>
              <w:jc w:val="left"/>
              <w:rPr>
                <w:rFonts w:cs="Calibri"/>
                <w:sz w:val="18"/>
                <w:szCs w:val="20"/>
              </w:rPr>
            </w:pPr>
            <w:r w:rsidRPr="00134B3C">
              <w:rPr>
                <w:rFonts w:cs="Calibri"/>
                <w:color w:val="000000"/>
                <w:sz w:val="20"/>
                <w:szCs w:val="20"/>
              </w:rPr>
              <w:t>The implementation CSP’s targeted marketing and personalized outreach efforts increased program awareness and helped increase participation, particularly for new schools.</w:t>
            </w:r>
          </w:p>
          <w:p w:rsidR="004B789C" w:rsidRPr="00134B3C" w:rsidRDefault="004B789C" w:rsidP="009349F1">
            <w:pPr>
              <w:numPr>
                <w:ilvl w:val="0"/>
                <w:numId w:val="11"/>
              </w:numPr>
              <w:autoSpaceDE w:val="0"/>
              <w:autoSpaceDN w:val="0"/>
              <w:adjustRightInd w:val="0"/>
              <w:ind w:left="232" w:hanging="180"/>
              <w:contextualSpacing/>
              <w:jc w:val="left"/>
              <w:rPr>
                <w:rFonts w:cs="Calibri"/>
                <w:sz w:val="18"/>
                <w:szCs w:val="20"/>
              </w:rPr>
            </w:pPr>
            <w:r w:rsidRPr="00134B3C">
              <w:rPr>
                <w:rFonts w:cs="Calibri"/>
                <w:color w:val="000000"/>
                <w:sz w:val="20"/>
                <w:szCs w:val="20"/>
              </w:rPr>
              <w:t>Classroom teachers (81%) and workshop teachers (84%) were overall highly satisfied with the program and its components.</w:t>
            </w:r>
          </w:p>
          <w:p w:rsidR="004B789C" w:rsidRPr="00661E10" w:rsidRDefault="004B789C" w:rsidP="004B789C">
            <w:pPr>
              <w:ind w:left="139" w:hanging="180"/>
              <w:jc w:val="left"/>
              <w:rPr>
                <w:b/>
                <w:color w:val="FFFFFF"/>
                <w:sz w:val="20"/>
              </w:rPr>
            </w:pPr>
            <w:r w:rsidRPr="00134B3C">
              <w:rPr>
                <w:rFonts w:cs="Calibri"/>
                <w:color w:val="000000"/>
                <w:sz w:val="20"/>
                <w:szCs w:val="20"/>
              </w:rPr>
              <w:t>Teacher and parent recommendations for improvement included providing more student interaction opportunities, reducing the paperwork of the HEWs, and improving the presentations.</w:t>
            </w:r>
          </w:p>
        </w:tc>
        <w:tc>
          <w:tcPr>
            <w:tcW w:w="2609" w:type="dxa"/>
            <w:tcBorders>
              <w:top w:val="single" w:sz="8" w:space="0" w:color="448A99"/>
              <w:left w:val="single" w:sz="8" w:space="0" w:color="448A99"/>
              <w:bottom w:val="single" w:sz="8" w:space="0" w:color="448A99"/>
              <w:right w:val="single" w:sz="8" w:space="0" w:color="448A99"/>
            </w:tcBorders>
            <w:shd w:val="clear" w:color="auto" w:fill="D2EAF1"/>
          </w:tcPr>
          <w:p w:rsidR="004B789C" w:rsidRPr="00661E10" w:rsidRDefault="004B789C" w:rsidP="009349F1">
            <w:pPr>
              <w:numPr>
                <w:ilvl w:val="0"/>
                <w:numId w:val="12"/>
              </w:numPr>
              <w:autoSpaceDE w:val="0"/>
              <w:autoSpaceDN w:val="0"/>
              <w:adjustRightInd w:val="0"/>
              <w:ind w:left="232" w:hanging="180"/>
              <w:contextualSpacing/>
              <w:jc w:val="left"/>
              <w:rPr>
                <w:sz w:val="20"/>
              </w:rPr>
            </w:pPr>
            <w:r w:rsidRPr="00661E10">
              <w:rPr>
                <w:sz w:val="20"/>
                <w:szCs w:val="20"/>
              </w:rPr>
              <w:t>Program staff and implementer interviews (</w:t>
            </w:r>
            <w:r>
              <w:rPr>
                <w:sz w:val="20"/>
                <w:szCs w:val="20"/>
              </w:rPr>
              <w:t>n</w:t>
            </w:r>
            <w:r w:rsidRPr="00661E10">
              <w:rPr>
                <w:sz w:val="20"/>
                <w:szCs w:val="20"/>
              </w:rPr>
              <w:t>=2)</w:t>
            </w:r>
          </w:p>
          <w:p w:rsidR="004B789C" w:rsidRPr="00661E10" w:rsidRDefault="004B789C" w:rsidP="009349F1">
            <w:pPr>
              <w:numPr>
                <w:ilvl w:val="0"/>
                <w:numId w:val="12"/>
              </w:numPr>
              <w:autoSpaceDE w:val="0"/>
              <w:autoSpaceDN w:val="0"/>
              <w:adjustRightInd w:val="0"/>
              <w:ind w:left="232" w:hanging="180"/>
              <w:contextualSpacing/>
              <w:jc w:val="left"/>
              <w:rPr>
                <w:sz w:val="20"/>
              </w:rPr>
            </w:pPr>
            <w:r w:rsidRPr="00661E10">
              <w:rPr>
                <w:sz w:val="20"/>
              </w:rPr>
              <w:t>Student home energy worksheets (HEWs) (</w:t>
            </w:r>
            <w:r>
              <w:rPr>
                <w:sz w:val="20"/>
              </w:rPr>
              <w:t>n</w:t>
            </w:r>
            <w:r w:rsidRPr="00661E10">
              <w:rPr>
                <w:sz w:val="20"/>
                <w:szCs w:val="20"/>
              </w:rPr>
              <w:t>=</w:t>
            </w:r>
            <w:r w:rsidRPr="00661E10">
              <w:rPr>
                <w:sz w:val="20"/>
              </w:rPr>
              <w:t>19,249)</w:t>
            </w:r>
          </w:p>
          <w:p w:rsidR="004B789C" w:rsidRPr="00661E10" w:rsidRDefault="004B789C" w:rsidP="009349F1">
            <w:pPr>
              <w:numPr>
                <w:ilvl w:val="0"/>
                <w:numId w:val="12"/>
              </w:numPr>
              <w:autoSpaceDE w:val="0"/>
              <w:autoSpaceDN w:val="0"/>
              <w:adjustRightInd w:val="0"/>
              <w:ind w:left="232" w:hanging="180"/>
              <w:contextualSpacing/>
              <w:jc w:val="left"/>
              <w:rPr>
                <w:sz w:val="20"/>
              </w:rPr>
            </w:pPr>
            <w:r w:rsidRPr="00661E10">
              <w:rPr>
                <w:sz w:val="20"/>
              </w:rPr>
              <w:t>Parent HEWs (</w:t>
            </w:r>
            <w:r>
              <w:rPr>
                <w:sz w:val="20"/>
                <w:szCs w:val="20"/>
              </w:rPr>
              <w:t>n</w:t>
            </w:r>
            <w:r w:rsidRPr="00661E10">
              <w:rPr>
                <w:sz w:val="20"/>
                <w:szCs w:val="20"/>
              </w:rPr>
              <w:t>=</w:t>
            </w:r>
            <w:r w:rsidRPr="00661E10">
              <w:rPr>
                <w:sz w:val="20"/>
              </w:rPr>
              <w:t>1,015)</w:t>
            </w:r>
          </w:p>
          <w:p w:rsidR="004B789C" w:rsidRPr="00661E10" w:rsidRDefault="004B789C" w:rsidP="009349F1">
            <w:pPr>
              <w:numPr>
                <w:ilvl w:val="0"/>
                <w:numId w:val="12"/>
              </w:numPr>
              <w:autoSpaceDE w:val="0"/>
              <w:autoSpaceDN w:val="0"/>
              <w:adjustRightInd w:val="0"/>
              <w:ind w:left="232" w:hanging="180"/>
              <w:contextualSpacing/>
              <w:jc w:val="left"/>
              <w:rPr>
                <w:sz w:val="20"/>
              </w:rPr>
            </w:pPr>
            <w:r w:rsidRPr="00661E10">
              <w:rPr>
                <w:sz w:val="20"/>
              </w:rPr>
              <w:t>Parent surveys (</w:t>
            </w:r>
            <w:r>
              <w:rPr>
                <w:sz w:val="20"/>
              </w:rPr>
              <w:t>n</w:t>
            </w:r>
            <w:r w:rsidRPr="00661E10">
              <w:rPr>
                <w:sz w:val="20"/>
                <w:szCs w:val="20"/>
              </w:rPr>
              <w:t>=</w:t>
            </w:r>
            <w:r w:rsidRPr="00661E10">
              <w:rPr>
                <w:sz w:val="20"/>
              </w:rPr>
              <w:t>2,229)</w:t>
            </w:r>
          </w:p>
          <w:p w:rsidR="004B789C" w:rsidRPr="00661E10" w:rsidRDefault="004B789C" w:rsidP="009349F1">
            <w:pPr>
              <w:numPr>
                <w:ilvl w:val="0"/>
                <w:numId w:val="12"/>
              </w:numPr>
              <w:autoSpaceDE w:val="0"/>
              <w:autoSpaceDN w:val="0"/>
              <w:adjustRightInd w:val="0"/>
              <w:ind w:left="232" w:hanging="180"/>
              <w:contextualSpacing/>
              <w:jc w:val="left"/>
              <w:rPr>
                <w:sz w:val="20"/>
              </w:rPr>
            </w:pPr>
            <w:r w:rsidRPr="00661E10">
              <w:rPr>
                <w:sz w:val="20"/>
              </w:rPr>
              <w:t>Teacher and parent workshop evaluation surveys (</w:t>
            </w:r>
            <w:r>
              <w:rPr>
                <w:sz w:val="20"/>
              </w:rPr>
              <w:t>n</w:t>
            </w:r>
            <w:r w:rsidRPr="00661E10">
              <w:rPr>
                <w:sz w:val="20"/>
                <w:szCs w:val="20"/>
              </w:rPr>
              <w:t>=</w:t>
            </w:r>
            <w:r w:rsidRPr="00661E10">
              <w:rPr>
                <w:sz w:val="20"/>
              </w:rPr>
              <w:t>1,918)</w:t>
            </w:r>
          </w:p>
          <w:p w:rsidR="004B789C" w:rsidRPr="00661E10" w:rsidRDefault="004B789C" w:rsidP="004B789C">
            <w:pPr>
              <w:ind w:left="139" w:hanging="180"/>
              <w:jc w:val="left"/>
              <w:rPr>
                <w:b/>
                <w:color w:val="FFFFFF"/>
                <w:sz w:val="20"/>
              </w:rPr>
            </w:pPr>
            <w:r w:rsidRPr="00661E10">
              <w:rPr>
                <w:sz w:val="20"/>
              </w:rPr>
              <w:t>Program database and participant records</w:t>
            </w:r>
          </w:p>
        </w:tc>
      </w:tr>
      <w:tr w:rsidR="00E7173E" w:rsidRPr="00661E10" w:rsidTr="00FD03DC">
        <w:trPr>
          <w:trHeight w:val="141"/>
          <w:jc w:val="center"/>
        </w:trPr>
        <w:tc>
          <w:tcPr>
            <w:tcW w:w="9371" w:type="dxa"/>
            <w:gridSpan w:val="3"/>
            <w:tcBorders>
              <w:top w:val="single" w:sz="8" w:space="0" w:color="448A99"/>
              <w:left w:val="single" w:sz="8" w:space="0" w:color="448A99"/>
              <w:bottom w:val="single" w:sz="8" w:space="0" w:color="448A99"/>
              <w:right w:val="single" w:sz="8" w:space="0" w:color="448A99"/>
            </w:tcBorders>
            <w:shd w:val="clear" w:color="auto" w:fill="9C9393"/>
            <w:hideMark/>
          </w:tcPr>
          <w:p w:rsidR="00183636" w:rsidRPr="00661E10" w:rsidRDefault="00183636" w:rsidP="005C1352">
            <w:pPr>
              <w:ind w:left="139" w:hanging="180"/>
              <w:jc w:val="left"/>
              <w:rPr>
                <w:b/>
                <w:i/>
                <w:sz w:val="20"/>
              </w:rPr>
            </w:pPr>
            <w:r w:rsidRPr="00661E10">
              <w:rPr>
                <w:b/>
                <w:color w:val="FFFFFF"/>
                <w:sz w:val="20"/>
              </w:rPr>
              <w:t xml:space="preserve">Low-Income </w:t>
            </w:r>
            <w:r w:rsidRPr="00661E10">
              <w:rPr>
                <w:b/>
                <w:color w:val="FFFFFF"/>
                <w:sz w:val="20"/>
                <w:szCs w:val="20"/>
              </w:rPr>
              <w:t>Sector</w:t>
            </w:r>
          </w:p>
        </w:tc>
      </w:tr>
      <w:tr w:rsidR="00A874AC" w:rsidRPr="00661E10" w:rsidTr="004B789C">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FFFFFF" w:themeFill="background1"/>
            <w:vAlign w:val="center"/>
            <w:hideMark/>
          </w:tcPr>
          <w:p w:rsidR="003F09E3" w:rsidRPr="00661E10" w:rsidRDefault="003F09E3" w:rsidP="003F09E3">
            <w:pPr>
              <w:jc w:val="left"/>
              <w:rPr>
                <w:color w:val="000000"/>
                <w:sz w:val="20"/>
              </w:rPr>
            </w:pPr>
            <w:r w:rsidRPr="00661E10">
              <w:rPr>
                <w:color w:val="000000"/>
                <w:sz w:val="20"/>
              </w:rPr>
              <w:t xml:space="preserve">E-Power Wise </w:t>
            </w:r>
          </w:p>
        </w:tc>
        <w:tc>
          <w:tcPr>
            <w:tcW w:w="4923" w:type="dxa"/>
            <w:tcBorders>
              <w:top w:val="single" w:sz="8" w:space="0" w:color="448A99"/>
              <w:left w:val="single" w:sz="8" w:space="0" w:color="448A99"/>
              <w:bottom w:val="single" w:sz="8" w:space="0" w:color="448A99"/>
              <w:right w:val="single" w:sz="8" w:space="0" w:color="448A99"/>
            </w:tcBorders>
            <w:shd w:val="clear" w:color="auto" w:fill="FFFFFF" w:themeFill="background1"/>
            <w:hideMark/>
          </w:tcPr>
          <w:p w:rsidR="003F09E3" w:rsidRPr="00134B3C" w:rsidRDefault="003F09E3" w:rsidP="009349F1">
            <w:pPr>
              <w:numPr>
                <w:ilvl w:val="0"/>
                <w:numId w:val="11"/>
              </w:numPr>
              <w:autoSpaceDE w:val="0"/>
              <w:autoSpaceDN w:val="0"/>
              <w:adjustRightInd w:val="0"/>
              <w:ind w:left="232" w:hanging="180"/>
              <w:contextualSpacing/>
              <w:jc w:val="left"/>
              <w:rPr>
                <w:sz w:val="18"/>
              </w:rPr>
            </w:pPr>
            <w:r w:rsidRPr="00134B3C">
              <w:rPr>
                <w:sz w:val="20"/>
              </w:rPr>
              <w:t xml:space="preserve">The program met or exceeded its planned energy savings and plans for participation </w:t>
            </w:r>
          </w:p>
          <w:p w:rsidR="003F09E3" w:rsidRPr="00134B3C" w:rsidRDefault="003F09E3" w:rsidP="009349F1">
            <w:pPr>
              <w:numPr>
                <w:ilvl w:val="0"/>
                <w:numId w:val="11"/>
              </w:numPr>
              <w:autoSpaceDE w:val="0"/>
              <w:autoSpaceDN w:val="0"/>
              <w:adjustRightInd w:val="0"/>
              <w:ind w:left="232" w:hanging="180"/>
              <w:contextualSpacing/>
              <w:jc w:val="left"/>
              <w:rPr>
                <w:sz w:val="18"/>
              </w:rPr>
            </w:pPr>
            <w:r w:rsidRPr="00134B3C">
              <w:rPr>
                <w:sz w:val="20"/>
                <w:szCs w:val="20"/>
              </w:rPr>
              <w:t>The program was very well managed.</w:t>
            </w:r>
          </w:p>
          <w:p w:rsidR="003F09E3" w:rsidRPr="00134B3C" w:rsidRDefault="003F09E3" w:rsidP="009349F1">
            <w:pPr>
              <w:numPr>
                <w:ilvl w:val="0"/>
                <w:numId w:val="11"/>
              </w:numPr>
              <w:autoSpaceDE w:val="0"/>
              <w:autoSpaceDN w:val="0"/>
              <w:adjustRightInd w:val="0"/>
              <w:ind w:left="232" w:hanging="180"/>
              <w:contextualSpacing/>
              <w:jc w:val="left"/>
              <w:rPr>
                <w:sz w:val="18"/>
              </w:rPr>
            </w:pPr>
            <w:r w:rsidRPr="00134B3C">
              <w:rPr>
                <w:sz w:val="20"/>
                <w:szCs w:val="20"/>
              </w:rPr>
              <w:t>The number of agencies that distributed kits for the program increased by three in PY7, in line with planned goals.</w:t>
            </w:r>
          </w:p>
          <w:p w:rsidR="003F09E3" w:rsidRPr="00134B3C" w:rsidRDefault="003F09E3" w:rsidP="009349F1">
            <w:pPr>
              <w:numPr>
                <w:ilvl w:val="0"/>
                <w:numId w:val="11"/>
              </w:numPr>
              <w:autoSpaceDE w:val="0"/>
              <w:autoSpaceDN w:val="0"/>
              <w:adjustRightInd w:val="0"/>
              <w:ind w:left="232" w:hanging="180"/>
              <w:contextualSpacing/>
              <w:jc w:val="left"/>
              <w:rPr>
                <w:sz w:val="18"/>
              </w:rPr>
            </w:pPr>
            <w:r w:rsidRPr="00134B3C">
              <w:rPr>
                <w:sz w:val="20"/>
                <w:szCs w:val="20"/>
              </w:rPr>
              <w:t>Interviewed agencies are very satisfied with the program overall. One agency was not too satisfied with the training, and agencies recommended removing the furnace whistle from the kit.</w:t>
            </w:r>
          </w:p>
          <w:p w:rsidR="003F09E3" w:rsidRPr="00134B3C" w:rsidRDefault="003F09E3" w:rsidP="009349F1">
            <w:pPr>
              <w:numPr>
                <w:ilvl w:val="0"/>
                <w:numId w:val="11"/>
              </w:numPr>
              <w:autoSpaceDE w:val="0"/>
              <w:autoSpaceDN w:val="0"/>
              <w:adjustRightInd w:val="0"/>
              <w:ind w:left="232" w:hanging="180"/>
              <w:contextualSpacing/>
              <w:jc w:val="left"/>
              <w:rPr>
                <w:sz w:val="18"/>
              </w:rPr>
            </w:pPr>
            <w:r w:rsidRPr="00134B3C">
              <w:rPr>
                <w:sz w:val="20"/>
                <w:szCs w:val="20"/>
              </w:rPr>
              <w:t>Interviewed agencies reported they most commonly distributed kits in one-on-one meetings with clients because they were getting little participation via workshops.</w:t>
            </w:r>
          </w:p>
          <w:p w:rsidR="003F09E3" w:rsidRPr="00661E10" w:rsidRDefault="003F09E3" w:rsidP="009349F1">
            <w:pPr>
              <w:numPr>
                <w:ilvl w:val="0"/>
                <w:numId w:val="11"/>
              </w:numPr>
              <w:autoSpaceDE w:val="0"/>
              <w:autoSpaceDN w:val="0"/>
              <w:adjustRightInd w:val="0"/>
              <w:ind w:left="232" w:hanging="180"/>
              <w:contextualSpacing/>
              <w:jc w:val="left"/>
              <w:rPr>
                <w:sz w:val="18"/>
              </w:rPr>
            </w:pPr>
            <w:r w:rsidRPr="00134B3C">
              <w:rPr>
                <w:sz w:val="20"/>
                <w:szCs w:val="20"/>
              </w:rPr>
              <w:t>Three of the five interviewed agencies reported that program saturation was still a concern because they frequently see the same clients.</w:t>
            </w:r>
          </w:p>
        </w:tc>
        <w:tc>
          <w:tcPr>
            <w:tcW w:w="2609" w:type="dxa"/>
            <w:tcBorders>
              <w:top w:val="single" w:sz="8" w:space="0" w:color="448A99"/>
              <w:left w:val="single" w:sz="8" w:space="0" w:color="448A99"/>
              <w:bottom w:val="single" w:sz="8" w:space="0" w:color="448A99"/>
              <w:right w:val="single" w:sz="8" w:space="0" w:color="448A99"/>
            </w:tcBorders>
            <w:shd w:val="clear" w:color="auto" w:fill="FFFFFF" w:themeFill="background1"/>
            <w:hideMark/>
          </w:tcPr>
          <w:p w:rsidR="003F09E3" w:rsidRPr="00134B3C" w:rsidRDefault="003F09E3" w:rsidP="0036185D">
            <w:pPr>
              <w:numPr>
                <w:ilvl w:val="0"/>
                <w:numId w:val="13"/>
              </w:numPr>
              <w:ind w:left="187" w:hanging="187"/>
              <w:contextualSpacing/>
              <w:jc w:val="left"/>
              <w:rPr>
                <w:sz w:val="20"/>
                <w:szCs w:val="20"/>
              </w:rPr>
            </w:pPr>
            <w:r w:rsidRPr="00134B3C">
              <w:rPr>
                <w:sz w:val="20"/>
                <w:szCs w:val="20"/>
              </w:rPr>
              <w:t>Program staff and implementer interviews (n=2)</w:t>
            </w:r>
          </w:p>
          <w:p w:rsidR="003F09E3" w:rsidRPr="00134B3C" w:rsidRDefault="003F09E3" w:rsidP="0036185D">
            <w:pPr>
              <w:numPr>
                <w:ilvl w:val="0"/>
                <w:numId w:val="13"/>
              </w:numPr>
              <w:ind w:left="187" w:hanging="187"/>
              <w:contextualSpacing/>
              <w:jc w:val="left"/>
              <w:rPr>
                <w:sz w:val="20"/>
                <w:szCs w:val="20"/>
              </w:rPr>
            </w:pPr>
            <w:r w:rsidRPr="00134B3C">
              <w:rPr>
                <w:sz w:val="20"/>
                <w:szCs w:val="20"/>
              </w:rPr>
              <w:t>Community-based organization interviews (n=5)</w:t>
            </w:r>
          </w:p>
          <w:p w:rsidR="003F09E3" w:rsidRPr="00134B3C" w:rsidRDefault="003F09E3" w:rsidP="0036185D">
            <w:pPr>
              <w:numPr>
                <w:ilvl w:val="0"/>
                <w:numId w:val="13"/>
              </w:numPr>
              <w:ind w:left="187" w:hanging="187"/>
              <w:contextualSpacing/>
              <w:jc w:val="left"/>
              <w:rPr>
                <w:sz w:val="20"/>
                <w:szCs w:val="20"/>
              </w:rPr>
            </w:pPr>
            <w:r w:rsidRPr="00134B3C">
              <w:rPr>
                <w:sz w:val="20"/>
                <w:szCs w:val="20"/>
              </w:rPr>
              <w:t>Customer surveys returned from kits (n=776)</w:t>
            </w:r>
          </w:p>
          <w:p w:rsidR="003F09E3" w:rsidRPr="00661E10" w:rsidRDefault="003F09E3" w:rsidP="0036185D">
            <w:pPr>
              <w:numPr>
                <w:ilvl w:val="0"/>
                <w:numId w:val="13"/>
              </w:numPr>
              <w:ind w:left="187" w:hanging="187"/>
              <w:contextualSpacing/>
              <w:jc w:val="left"/>
              <w:rPr>
                <w:sz w:val="20"/>
                <w:szCs w:val="20"/>
              </w:rPr>
            </w:pPr>
            <w:r w:rsidRPr="00134B3C">
              <w:rPr>
                <w:sz w:val="20"/>
                <w:szCs w:val="20"/>
              </w:rPr>
              <w:t>Program database</w:t>
            </w:r>
          </w:p>
        </w:tc>
      </w:tr>
      <w:tr w:rsidR="00A874AC" w:rsidRPr="00661E10" w:rsidTr="004B789C">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vAlign w:val="center"/>
            <w:hideMark/>
          </w:tcPr>
          <w:p w:rsidR="00183636" w:rsidRPr="00661E10" w:rsidRDefault="00183636" w:rsidP="00D21542">
            <w:pPr>
              <w:jc w:val="left"/>
              <w:rPr>
                <w:color w:val="000000"/>
                <w:sz w:val="20"/>
              </w:rPr>
            </w:pPr>
            <w:r w:rsidRPr="00661E10">
              <w:rPr>
                <w:color w:val="000000"/>
                <w:sz w:val="20"/>
              </w:rPr>
              <w:t>Wise Home Pilot</w:t>
            </w:r>
            <w:r w:rsidR="001B37BA">
              <w:rPr>
                <w:color w:val="000000"/>
                <w:sz w:val="20"/>
              </w:rPr>
              <w:t xml:space="preserve"> </w:t>
            </w:r>
            <w:r w:rsidR="00D21542">
              <w:rPr>
                <w:color w:val="000000"/>
                <w:sz w:val="20"/>
              </w:rPr>
              <w:t>(</w:t>
            </w:r>
            <w:r w:rsidR="001B37BA">
              <w:rPr>
                <w:color w:val="000000"/>
                <w:sz w:val="20"/>
              </w:rPr>
              <w:t>component of the E-</w:t>
            </w:r>
            <w:r w:rsidR="00B47F0D">
              <w:rPr>
                <w:color w:val="000000"/>
                <w:sz w:val="20"/>
                <w:szCs w:val="20"/>
              </w:rPr>
              <w:t>Power Wise</w:t>
            </w:r>
            <w:r w:rsidR="001B37BA">
              <w:rPr>
                <w:color w:val="000000"/>
                <w:sz w:val="20"/>
              </w:rPr>
              <w:t xml:space="preserve"> Program)</w:t>
            </w:r>
          </w:p>
        </w:tc>
        <w:tc>
          <w:tcPr>
            <w:tcW w:w="4923" w:type="dxa"/>
            <w:tcBorders>
              <w:top w:val="single" w:sz="8" w:space="0" w:color="448A99"/>
              <w:left w:val="single" w:sz="8" w:space="0" w:color="448A99"/>
              <w:bottom w:val="single" w:sz="8" w:space="0" w:color="448A99"/>
              <w:right w:val="single" w:sz="8" w:space="0" w:color="448A99"/>
            </w:tcBorders>
            <w:shd w:val="clear" w:color="auto" w:fill="D2EAF1"/>
            <w:hideMark/>
          </w:tcPr>
          <w:p w:rsidR="00EF3BC6" w:rsidRPr="00EF3BC6" w:rsidRDefault="00EF3BC6" w:rsidP="009349F1">
            <w:pPr>
              <w:numPr>
                <w:ilvl w:val="0"/>
                <w:numId w:val="11"/>
              </w:numPr>
              <w:autoSpaceDE w:val="0"/>
              <w:autoSpaceDN w:val="0"/>
              <w:adjustRightInd w:val="0"/>
              <w:ind w:left="187" w:hanging="187"/>
              <w:contextualSpacing/>
              <w:jc w:val="left"/>
              <w:rPr>
                <w:sz w:val="20"/>
              </w:rPr>
            </w:pPr>
            <w:r w:rsidRPr="00EF3BC6">
              <w:rPr>
                <w:sz w:val="20"/>
              </w:rPr>
              <w:t>The program met its key performance indicator goal of 80% participant satisfaction (96% reported being very or somewhat satisfied).</w:t>
            </w:r>
          </w:p>
          <w:p w:rsidR="00EF3BC6" w:rsidRPr="00EF3BC6" w:rsidRDefault="00EF3BC6" w:rsidP="009349F1">
            <w:pPr>
              <w:numPr>
                <w:ilvl w:val="0"/>
                <w:numId w:val="11"/>
              </w:numPr>
              <w:autoSpaceDE w:val="0"/>
              <w:autoSpaceDN w:val="0"/>
              <w:adjustRightInd w:val="0"/>
              <w:ind w:left="187" w:hanging="187"/>
              <w:contextualSpacing/>
              <w:jc w:val="left"/>
              <w:rPr>
                <w:sz w:val="20"/>
              </w:rPr>
            </w:pPr>
            <w:r w:rsidRPr="00EF3BC6">
              <w:rPr>
                <w:sz w:val="20"/>
              </w:rPr>
              <w:t xml:space="preserve">Most participants (75%) reported being very or somewhat satisfied with their home’s comfort and temperature control after participating, up from 44% before participating; most participants reported being very or somewhat satisfied with other program elements and rated them as very or somewhat important. </w:t>
            </w:r>
          </w:p>
          <w:p w:rsidR="00EF3BC6" w:rsidRPr="00EF3BC6" w:rsidRDefault="00EF3BC6" w:rsidP="009349F1">
            <w:pPr>
              <w:numPr>
                <w:ilvl w:val="0"/>
                <w:numId w:val="11"/>
              </w:numPr>
              <w:autoSpaceDE w:val="0"/>
              <w:autoSpaceDN w:val="0"/>
              <w:adjustRightInd w:val="0"/>
              <w:ind w:left="187" w:hanging="187"/>
              <w:contextualSpacing/>
              <w:jc w:val="left"/>
              <w:rPr>
                <w:sz w:val="20"/>
              </w:rPr>
            </w:pPr>
            <w:r w:rsidRPr="00EF3BC6">
              <w:rPr>
                <w:sz w:val="20"/>
              </w:rPr>
              <w:t>Most surveyed participants (84%) reported that their monthly energy bills did not change or decreased since participating.</w:t>
            </w:r>
          </w:p>
          <w:p w:rsidR="00EF3BC6" w:rsidRPr="00EF3BC6" w:rsidRDefault="00EF3BC6" w:rsidP="009349F1">
            <w:pPr>
              <w:numPr>
                <w:ilvl w:val="0"/>
                <w:numId w:val="11"/>
              </w:numPr>
              <w:autoSpaceDE w:val="0"/>
              <w:autoSpaceDN w:val="0"/>
              <w:adjustRightInd w:val="0"/>
              <w:ind w:left="187" w:hanging="187"/>
              <w:contextualSpacing/>
              <w:jc w:val="left"/>
              <w:rPr>
                <w:sz w:val="20"/>
              </w:rPr>
            </w:pPr>
            <w:r w:rsidRPr="00EF3BC6">
              <w:rPr>
                <w:sz w:val="20"/>
              </w:rPr>
              <w:t>There are far fewer manufactured homes in the study region that have electric heating and more homes with non-electric heating than initially anticipated, which led to major changes in the program and study design, substantial delays in implementation, and customer attrition.</w:t>
            </w:r>
          </w:p>
          <w:p w:rsidR="00EF3BC6" w:rsidRPr="00EF3BC6" w:rsidRDefault="00EF3BC6" w:rsidP="009349F1">
            <w:pPr>
              <w:numPr>
                <w:ilvl w:val="0"/>
                <w:numId w:val="11"/>
              </w:numPr>
              <w:autoSpaceDE w:val="0"/>
              <w:autoSpaceDN w:val="0"/>
              <w:adjustRightInd w:val="0"/>
              <w:ind w:left="187" w:hanging="187"/>
              <w:contextualSpacing/>
              <w:jc w:val="left"/>
              <w:rPr>
                <w:sz w:val="20"/>
              </w:rPr>
            </w:pPr>
            <w:r w:rsidRPr="00EF3BC6">
              <w:rPr>
                <w:sz w:val="20"/>
              </w:rPr>
              <w:t>Customer distrust played a large role in low recruitment, particularly because the program was free.</w:t>
            </w:r>
          </w:p>
          <w:p w:rsidR="00183636" w:rsidRPr="00661E10" w:rsidRDefault="00EF3BC6" w:rsidP="009349F1">
            <w:pPr>
              <w:numPr>
                <w:ilvl w:val="0"/>
                <w:numId w:val="11"/>
              </w:numPr>
              <w:autoSpaceDE w:val="0"/>
              <w:autoSpaceDN w:val="0"/>
              <w:adjustRightInd w:val="0"/>
              <w:ind w:left="187" w:hanging="187"/>
              <w:contextualSpacing/>
              <w:rPr>
                <w:sz w:val="20"/>
              </w:rPr>
            </w:pPr>
            <w:r w:rsidRPr="00EF3BC6">
              <w:rPr>
                <w:sz w:val="20"/>
              </w:rPr>
              <w:t>Delays in implementation pushed the installations and weatherizations into winter instead of being performed as planned during the summer. This caused some unanticipated delays due to weather, holidays, and shorter days.</w:t>
            </w:r>
          </w:p>
        </w:tc>
        <w:tc>
          <w:tcPr>
            <w:tcW w:w="2609"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661E10" w:rsidRDefault="00183636" w:rsidP="0036185D">
            <w:pPr>
              <w:numPr>
                <w:ilvl w:val="0"/>
                <w:numId w:val="13"/>
              </w:numPr>
              <w:ind w:left="187" w:hanging="187"/>
              <w:contextualSpacing/>
              <w:jc w:val="left"/>
              <w:rPr>
                <w:sz w:val="20"/>
                <w:szCs w:val="20"/>
              </w:rPr>
            </w:pPr>
            <w:r w:rsidRPr="00661E10">
              <w:rPr>
                <w:sz w:val="20"/>
                <w:szCs w:val="20"/>
              </w:rPr>
              <w:t>Program staff and implementer interviews (</w:t>
            </w:r>
            <w:r>
              <w:rPr>
                <w:sz w:val="20"/>
                <w:szCs w:val="20"/>
              </w:rPr>
              <w:t>n</w:t>
            </w:r>
            <w:r w:rsidRPr="00661E10">
              <w:rPr>
                <w:sz w:val="20"/>
                <w:szCs w:val="20"/>
              </w:rPr>
              <w:t>=3)</w:t>
            </w:r>
          </w:p>
          <w:p w:rsidR="00183636" w:rsidRPr="00661E10" w:rsidRDefault="00183636" w:rsidP="0036185D">
            <w:pPr>
              <w:numPr>
                <w:ilvl w:val="0"/>
                <w:numId w:val="13"/>
              </w:numPr>
              <w:ind w:left="187" w:hanging="187"/>
              <w:contextualSpacing/>
              <w:jc w:val="left"/>
              <w:rPr>
                <w:sz w:val="20"/>
                <w:szCs w:val="20"/>
              </w:rPr>
            </w:pPr>
            <w:r w:rsidRPr="00661E10">
              <w:rPr>
                <w:sz w:val="20"/>
                <w:szCs w:val="20"/>
              </w:rPr>
              <w:t>Participating technician interview</w:t>
            </w:r>
          </w:p>
          <w:p w:rsidR="00183636" w:rsidRPr="00661E10" w:rsidRDefault="00183636" w:rsidP="0036185D">
            <w:pPr>
              <w:numPr>
                <w:ilvl w:val="0"/>
                <w:numId w:val="13"/>
              </w:numPr>
              <w:ind w:left="187" w:hanging="187"/>
              <w:contextualSpacing/>
              <w:jc w:val="left"/>
              <w:rPr>
                <w:sz w:val="20"/>
                <w:szCs w:val="20"/>
              </w:rPr>
            </w:pPr>
            <w:r w:rsidRPr="00661E10">
              <w:rPr>
                <w:sz w:val="20"/>
                <w:szCs w:val="20"/>
              </w:rPr>
              <w:t>Customer enrollment surveys (</w:t>
            </w:r>
            <w:r>
              <w:rPr>
                <w:sz w:val="20"/>
                <w:szCs w:val="20"/>
              </w:rPr>
              <w:t>n</w:t>
            </w:r>
            <w:r w:rsidRPr="00661E10">
              <w:rPr>
                <w:sz w:val="20"/>
                <w:szCs w:val="20"/>
              </w:rPr>
              <w:t>=243)</w:t>
            </w:r>
          </w:p>
          <w:p w:rsidR="00183636" w:rsidRPr="00661E10" w:rsidRDefault="00183636" w:rsidP="0036185D">
            <w:pPr>
              <w:numPr>
                <w:ilvl w:val="0"/>
                <w:numId w:val="13"/>
              </w:numPr>
              <w:ind w:left="187" w:hanging="187"/>
              <w:contextualSpacing/>
              <w:jc w:val="left"/>
              <w:rPr>
                <w:sz w:val="20"/>
                <w:szCs w:val="20"/>
              </w:rPr>
            </w:pPr>
            <w:r w:rsidRPr="00661E10">
              <w:rPr>
                <w:sz w:val="20"/>
                <w:szCs w:val="20"/>
              </w:rPr>
              <w:t>Leave-behind participant postcards (</w:t>
            </w:r>
            <w:r>
              <w:rPr>
                <w:sz w:val="20"/>
                <w:szCs w:val="20"/>
              </w:rPr>
              <w:t>n</w:t>
            </w:r>
            <w:r w:rsidRPr="00661E10">
              <w:rPr>
                <w:sz w:val="20"/>
                <w:szCs w:val="20"/>
              </w:rPr>
              <w:t>=40)</w:t>
            </w:r>
          </w:p>
          <w:p w:rsidR="00183636" w:rsidRPr="00661E10" w:rsidRDefault="00183636" w:rsidP="0036185D">
            <w:pPr>
              <w:numPr>
                <w:ilvl w:val="0"/>
                <w:numId w:val="13"/>
              </w:numPr>
              <w:ind w:left="187" w:hanging="187"/>
              <w:contextualSpacing/>
              <w:jc w:val="left"/>
              <w:rPr>
                <w:sz w:val="20"/>
                <w:szCs w:val="20"/>
              </w:rPr>
            </w:pPr>
            <w:r w:rsidRPr="00661E10">
              <w:rPr>
                <w:sz w:val="20"/>
                <w:szCs w:val="20"/>
              </w:rPr>
              <w:t>Participant satisfaction surveys (</w:t>
            </w:r>
            <w:r>
              <w:rPr>
                <w:sz w:val="20"/>
                <w:szCs w:val="20"/>
              </w:rPr>
              <w:t>n</w:t>
            </w:r>
            <w:r w:rsidRPr="00661E10">
              <w:rPr>
                <w:sz w:val="20"/>
                <w:szCs w:val="20"/>
              </w:rPr>
              <w:t>=44)</w:t>
            </w:r>
          </w:p>
          <w:p w:rsidR="00183636" w:rsidRPr="00661E10" w:rsidRDefault="00183636" w:rsidP="0036185D">
            <w:pPr>
              <w:numPr>
                <w:ilvl w:val="0"/>
                <w:numId w:val="13"/>
              </w:numPr>
              <w:ind w:left="187" w:hanging="187"/>
              <w:contextualSpacing/>
              <w:jc w:val="left"/>
              <w:rPr>
                <w:sz w:val="20"/>
                <w:szCs w:val="20"/>
              </w:rPr>
            </w:pPr>
            <w:r w:rsidRPr="00661E10">
              <w:rPr>
                <w:sz w:val="20"/>
                <w:szCs w:val="20"/>
              </w:rPr>
              <w:t>Program database</w:t>
            </w:r>
          </w:p>
        </w:tc>
      </w:tr>
      <w:tr w:rsidR="00A874AC" w:rsidRPr="00661E10" w:rsidTr="004B789C">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FFFFFF" w:themeFill="background1"/>
            <w:vAlign w:val="center"/>
            <w:hideMark/>
          </w:tcPr>
          <w:p w:rsidR="004B789C" w:rsidRPr="00661E10" w:rsidRDefault="004B789C" w:rsidP="004B789C">
            <w:pPr>
              <w:jc w:val="left"/>
              <w:rPr>
                <w:color w:val="000000"/>
                <w:sz w:val="20"/>
              </w:rPr>
            </w:pPr>
            <w:r w:rsidRPr="00134B3C">
              <w:rPr>
                <w:color w:val="000000"/>
                <w:sz w:val="20"/>
              </w:rPr>
              <w:t>Low-Income Energy-Efficiency Behavior and Education Program</w:t>
            </w:r>
          </w:p>
        </w:tc>
        <w:tc>
          <w:tcPr>
            <w:tcW w:w="4923" w:type="dxa"/>
            <w:tcBorders>
              <w:top w:val="single" w:sz="8" w:space="0" w:color="448A99"/>
              <w:left w:val="single" w:sz="8" w:space="0" w:color="448A99"/>
              <w:bottom w:val="single" w:sz="8" w:space="0" w:color="448A99"/>
              <w:right w:val="single" w:sz="8" w:space="0" w:color="448A99"/>
            </w:tcBorders>
            <w:shd w:val="clear" w:color="auto" w:fill="FFFFFF" w:themeFill="background1"/>
            <w:hideMark/>
          </w:tcPr>
          <w:p w:rsidR="004B789C" w:rsidRPr="00134B3C" w:rsidRDefault="004B789C" w:rsidP="009349F1">
            <w:pPr>
              <w:numPr>
                <w:ilvl w:val="0"/>
                <w:numId w:val="11"/>
              </w:numPr>
              <w:autoSpaceDE w:val="0"/>
              <w:autoSpaceDN w:val="0"/>
              <w:adjustRightInd w:val="0"/>
              <w:ind w:left="360"/>
              <w:contextualSpacing/>
              <w:jc w:val="left"/>
              <w:rPr>
                <w:sz w:val="18"/>
              </w:rPr>
            </w:pPr>
            <w:r w:rsidRPr="00134B3C">
              <w:rPr>
                <w:sz w:val="20"/>
              </w:rPr>
              <w:t>The program exceeded its PY7 and Phase II planned MWh/yr savings and nearly met its planned participation.</w:t>
            </w:r>
          </w:p>
          <w:p w:rsidR="004B789C" w:rsidRPr="00134B3C" w:rsidRDefault="004B789C" w:rsidP="009349F1">
            <w:pPr>
              <w:numPr>
                <w:ilvl w:val="0"/>
                <w:numId w:val="11"/>
              </w:numPr>
              <w:autoSpaceDE w:val="0"/>
              <w:autoSpaceDN w:val="0"/>
              <w:adjustRightInd w:val="0"/>
              <w:ind w:left="360"/>
              <w:contextualSpacing/>
              <w:jc w:val="left"/>
              <w:rPr>
                <w:sz w:val="18"/>
              </w:rPr>
            </w:pPr>
            <w:r w:rsidRPr="00134B3C">
              <w:rPr>
                <w:rFonts w:cs="Calibri"/>
                <w:color w:val="000000"/>
                <w:sz w:val="20"/>
                <w:szCs w:val="20"/>
              </w:rPr>
              <w:t>The interviewed staff reported that the program worked well and that customers received HERs as planned.</w:t>
            </w:r>
          </w:p>
          <w:p w:rsidR="004B789C" w:rsidRPr="00134B3C" w:rsidRDefault="004B789C" w:rsidP="009349F1">
            <w:pPr>
              <w:numPr>
                <w:ilvl w:val="0"/>
                <w:numId w:val="11"/>
              </w:numPr>
              <w:autoSpaceDE w:val="0"/>
              <w:autoSpaceDN w:val="0"/>
              <w:adjustRightInd w:val="0"/>
              <w:ind w:left="360"/>
              <w:contextualSpacing/>
              <w:jc w:val="left"/>
              <w:rPr>
                <w:sz w:val="18"/>
              </w:rPr>
            </w:pPr>
            <w:r w:rsidRPr="00134B3C">
              <w:rPr>
                <w:rFonts w:cs="Calibri"/>
                <w:color w:val="000000"/>
                <w:sz w:val="20"/>
                <w:szCs w:val="20"/>
              </w:rPr>
              <w:t>The program did not meet its key performance indicator goal of increasing participation to 90,000 customers due to attrition in PY6, but it did meet its call center goal for reducing calls compared with PY6.</w:t>
            </w:r>
          </w:p>
          <w:p w:rsidR="004B789C" w:rsidRPr="00134B3C" w:rsidRDefault="004B789C" w:rsidP="009349F1">
            <w:pPr>
              <w:numPr>
                <w:ilvl w:val="0"/>
                <w:numId w:val="11"/>
              </w:numPr>
              <w:autoSpaceDE w:val="0"/>
              <w:autoSpaceDN w:val="0"/>
              <w:adjustRightInd w:val="0"/>
              <w:ind w:left="360"/>
              <w:contextualSpacing/>
              <w:jc w:val="left"/>
              <w:rPr>
                <w:sz w:val="18"/>
              </w:rPr>
            </w:pPr>
            <w:r w:rsidRPr="00134B3C">
              <w:rPr>
                <w:rFonts w:cs="Calibri"/>
                <w:color w:val="000000"/>
                <w:sz w:val="20"/>
                <w:szCs w:val="20"/>
              </w:rPr>
              <w:t>Most of surveyed customers (89%) reported reading, partially reading, or skimming the last paper HERs they received, compared with 95% in the residential program.</w:t>
            </w:r>
          </w:p>
          <w:p w:rsidR="004B789C" w:rsidRPr="00134B3C" w:rsidRDefault="004B789C" w:rsidP="009349F1">
            <w:pPr>
              <w:numPr>
                <w:ilvl w:val="0"/>
                <w:numId w:val="11"/>
              </w:numPr>
              <w:autoSpaceDE w:val="0"/>
              <w:autoSpaceDN w:val="0"/>
              <w:adjustRightInd w:val="0"/>
              <w:ind w:left="360"/>
              <w:contextualSpacing/>
              <w:jc w:val="left"/>
              <w:rPr>
                <w:sz w:val="18"/>
              </w:rPr>
            </w:pPr>
            <w:r w:rsidRPr="00134B3C">
              <w:rPr>
                <w:rFonts w:cs="Calibri"/>
                <w:sz w:val="20"/>
              </w:rPr>
              <w:t>The HERs provided an aggregate uplift in participation (6%) and savings (2%) in other PPL energy efficiency programs. There was very little difference between the treatment and control groups in the average number of other programs in which PPL customers participated.</w:t>
            </w:r>
          </w:p>
          <w:p w:rsidR="004B789C" w:rsidRPr="00134B3C" w:rsidRDefault="004B789C" w:rsidP="009349F1">
            <w:pPr>
              <w:numPr>
                <w:ilvl w:val="0"/>
                <w:numId w:val="11"/>
              </w:numPr>
              <w:autoSpaceDE w:val="0"/>
              <w:autoSpaceDN w:val="0"/>
              <w:adjustRightInd w:val="0"/>
              <w:ind w:left="360"/>
              <w:contextualSpacing/>
              <w:jc w:val="left"/>
              <w:rPr>
                <w:sz w:val="18"/>
              </w:rPr>
            </w:pPr>
            <w:r w:rsidRPr="00134B3C">
              <w:rPr>
                <w:rFonts w:cs="Calibri"/>
                <w:color w:val="000000"/>
                <w:sz w:val="20"/>
                <w:szCs w:val="20"/>
              </w:rPr>
              <w:t>The HERs did not appear to influence customers to make any of seven energy savings improvements or any of seven energy saving behaviors except turning down the thermostat.</w:t>
            </w:r>
          </w:p>
          <w:p w:rsidR="004B789C" w:rsidRPr="00661E10" w:rsidRDefault="004B789C" w:rsidP="009349F1">
            <w:pPr>
              <w:numPr>
                <w:ilvl w:val="0"/>
                <w:numId w:val="11"/>
              </w:numPr>
              <w:autoSpaceDE w:val="0"/>
              <w:autoSpaceDN w:val="0"/>
              <w:adjustRightInd w:val="0"/>
              <w:ind w:left="360"/>
              <w:contextualSpacing/>
              <w:jc w:val="left"/>
              <w:rPr>
                <w:sz w:val="18"/>
              </w:rPr>
            </w:pPr>
            <w:r w:rsidRPr="00134B3C">
              <w:rPr>
                <w:rFonts w:cs="Calibri"/>
                <w:color w:val="000000"/>
                <w:sz w:val="20"/>
                <w:szCs w:val="20"/>
              </w:rPr>
              <w:t>Over three-fourths of surveyed customers reported being very or somewhat satisfied with the HERs, which was significantly higher than the Residential program’s PY6 satisfaction results.</w:t>
            </w:r>
          </w:p>
        </w:tc>
        <w:tc>
          <w:tcPr>
            <w:tcW w:w="2609" w:type="dxa"/>
            <w:tcBorders>
              <w:top w:val="single" w:sz="8" w:space="0" w:color="448A99"/>
              <w:left w:val="single" w:sz="8" w:space="0" w:color="448A99"/>
              <w:bottom w:val="single" w:sz="8" w:space="0" w:color="448A99"/>
              <w:right w:val="single" w:sz="8" w:space="0" w:color="448A99"/>
            </w:tcBorders>
            <w:shd w:val="clear" w:color="auto" w:fill="FFFFFF" w:themeFill="background1"/>
            <w:hideMark/>
          </w:tcPr>
          <w:p w:rsidR="004B789C" w:rsidRPr="00134B3C" w:rsidRDefault="004B789C" w:rsidP="0036185D">
            <w:pPr>
              <w:numPr>
                <w:ilvl w:val="0"/>
                <w:numId w:val="14"/>
              </w:numPr>
              <w:ind w:left="187" w:hanging="187"/>
              <w:contextualSpacing/>
              <w:jc w:val="left"/>
              <w:rPr>
                <w:sz w:val="20"/>
                <w:szCs w:val="20"/>
              </w:rPr>
            </w:pPr>
            <w:r w:rsidRPr="00134B3C">
              <w:rPr>
                <w:sz w:val="20"/>
                <w:szCs w:val="20"/>
              </w:rPr>
              <w:t>Program staff and implementer interviews (n=2)</w:t>
            </w:r>
          </w:p>
          <w:p w:rsidR="004B789C" w:rsidRPr="00134B3C" w:rsidRDefault="004B789C" w:rsidP="0036185D">
            <w:pPr>
              <w:numPr>
                <w:ilvl w:val="0"/>
                <w:numId w:val="14"/>
              </w:numPr>
              <w:ind w:left="187" w:hanging="187"/>
              <w:contextualSpacing/>
              <w:jc w:val="left"/>
              <w:rPr>
                <w:sz w:val="20"/>
                <w:szCs w:val="20"/>
              </w:rPr>
            </w:pPr>
            <w:r w:rsidRPr="00134B3C">
              <w:rPr>
                <w:sz w:val="20"/>
                <w:szCs w:val="20"/>
              </w:rPr>
              <w:t>Treatment group surveys (n=151)</w:t>
            </w:r>
          </w:p>
          <w:p w:rsidR="004B789C" w:rsidRPr="00134B3C" w:rsidRDefault="004B789C" w:rsidP="0036185D">
            <w:pPr>
              <w:numPr>
                <w:ilvl w:val="0"/>
                <w:numId w:val="14"/>
              </w:numPr>
              <w:ind w:left="187" w:hanging="187"/>
              <w:contextualSpacing/>
              <w:jc w:val="left"/>
              <w:rPr>
                <w:sz w:val="20"/>
                <w:szCs w:val="20"/>
              </w:rPr>
            </w:pPr>
            <w:r w:rsidRPr="00134B3C">
              <w:rPr>
                <w:sz w:val="20"/>
                <w:szCs w:val="20"/>
              </w:rPr>
              <w:t>Control group surveys (n=150)</w:t>
            </w:r>
          </w:p>
          <w:p w:rsidR="004B789C" w:rsidRPr="00661E10" w:rsidRDefault="004B789C" w:rsidP="0036185D">
            <w:pPr>
              <w:numPr>
                <w:ilvl w:val="0"/>
                <w:numId w:val="14"/>
              </w:numPr>
              <w:ind w:left="187" w:hanging="187"/>
              <w:contextualSpacing/>
              <w:jc w:val="left"/>
              <w:rPr>
                <w:sz w:val="20"/>
                <w:szCs w:val="20"/>
              </w:rPr>
            </w:pPr>
            <w:r w:rsidRPr="00134B3C">
              <w:rPr>
                <w:sz w:val="20"/>
                <w:szCs w:val="20"/>
              </w:rPr>
              <w:t>EEMIS and program databases</w:t>
            </w:r>
          </w:p>
        </w:tc>
      </w:tr>
      <w:tr w:rsidR="00A874AC" w:rsidRPr="00661E10" w:rsidTr="004B789C">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661E10" w:rsidRDefault="00183636" w:rsidP="005C1352">
            <w:pPr>
              <w:jc w:val="left"/>
              <w:rPr>
                <w:sz w:val="20"/>
              </w:rPr>
            </w:pPr>
            <w:r w:rsidRPr="00661E10">
              <w:rPr>
                <w:sz w:val="20"/>
              </w:rPr>
              <w:t>Winter Relief Assistance Program</w:t>
            </w:r>
          </w:p>
        </w:tc>
        <w:tc>
          <w:tcPr>
            <w:tcW w:w="4923" w:type="dxa"/>
            <w:tcBorders>
              <w:top w:val="single" w:sz="8" w:space="0" w:color="448A99"/>
              <w:left w:val="single" w:sz="8" w:space="0" w:color="448A99"/>
              <w:bottom w:val="single" w:sz="8" w:space="0" w:color="448A99"/>
              <w:right w:val="single" w:sz="8" w:space="0" w:color="448A99"/>
            </w:tcBorders>
            <w:shd w:val="clear" w:color="auto" w:fill="D2EAF1"/>
            <w:hideMark/>
          </w:tcPr>
          <w:p w:rsidR="00EE0EDE" w:rsidRPr="00661E10" w:rsidRDefault="00EE0EDE" w:rsidP="009349F1">
            <w:pPr>
              <w:numPr>
                <w:ilvl w:val="0"/>
                <w:numId w:val="11"/>
              </w:numPr>
              <w:autoSpaceDE w:val="0"/>
              <w:autoSpaceDN w:val="0"/>
              <w:adjustRightInd w:val="0"/>
              <w:ind w:left="232" w:hanging="180"/>
              <w:contextualSpacing/>
              <w:jc w:val="left"/>
              <w:rPr>
                <w:rFonts w:cs="Calibri"/>
                <w:sz w:val="18"/>
                <w:szCs w:val="20"/>
              </w:rPr>
            </w:pPr>
            <w:r w:rsidRPr="00661E10">
              <w:rPr>
                <w:sz w:val="20"/>
              </w:rPr>
              <w:t xml:space="preserve">The program met or exceeded all its PY7 and Phase II </w:t>
            </w:r>
            <w:r>
              <w:rPr>
                <w:sz w:val="20"/>
              </w:rPr>
              <w:t xml:space="preserve">planned </w:t>
            </w:r>
            <w:r w:rsidRPr="00661E10">
              <w:rPr>
                <w:sz w:val="20"/>
              </w:rPr>
              <w:t xml:space="preserve">energy </w:t>
            </w:r>
            <w:r>
              <w:rPr>
                <w:sz w:val="20"/>
              </w:rPr>
              <w:t>savings</w:t>
            </w:r>
            <w:r w:rsidRPr="00661E10">
              <w:rPr>
                <w:sz w:val="20"/>
              </w:rPr>
              <w:t xml:space="preserve"> and </w:t>
            </w:r>
            <w:r>
              <w:rPr>
                <w:sz w:val="20"/>
              </w:rPr>
              <w:t>planned</w:t>
            </w:r>
            <w:r w:rsidRPr="00661E10">
              <w:rPr>
                <w:sz w:val="20"/>
              </w:rPr>
              <w:t xml:space="preserve"> participation</w:t>
            </w:r>
            <w:r>
              <w:rPr>
                <w:sz w:val="20"/>
              </w:rPr>
              <w:t>,</w:t>
            </w:r>
            <w:r w:rsidRPr="00661E10">
              <w:rPr>
                <w:sz w:val="20"/>
              </w:rPr>
              <w:t xml:space="preserve"> except for its </w:t>
            </w:r>
            <w:r>
              <w:rPr>
                <w:sz w:val="20"/>
              </w:rPr>
              <w:t xml:space="preserve">planned </w:t>
            </w:r>
            <w:r w:rsidRPr="00661E10">
              <w:rPr>
                <w:sz w:val="20"/>
              </w:rPr>
              <w:t>participation in PY7.</w:t>
            </w:r>
          </w:p>
          <w:p w:rsidR="00EE0EDE" w:rsidRPr="00661E10" w:rsidRDefault="00EE0EDE" w:rsidP="009349F1">
            <w:pPr>
              <w:numPr>
                <w:ilvl w:val="0"/>
                <w:numId w:val="11"/>
              </w:numPr>
              <w:autoSpaceDE w:val="0"/>
              <w:autoSpaceDN w:val="0"/>
              <w:adjustRightInd w:val="0"/>
              <w:ind w:left="232" w:hanging="180"/>
              <w:contextualSpacing/>
              <w:jc w:val="left"/>
              <w:rPr>
                <w:rFonts w:cs="Calibri"/>
                <w:sz w:val="18"/>
                <w:szCs w:val="20"/>
              </w:rPr>
            </w:pPr>
            <w:r w:rsidRPr="00661E10">
              <w:rPr>
                <w:sz w:val="20"/>
                <w:szCs w:val="20"/>
              </w:rPr>
              <w:t>Program staff reported being very satisfied with the LEAP tracking system and reported that the program ran smoothly in PY7.</w:t>
            </w:r>
          </w:p>
          <w:p w:rsidR="00EE0EDE" w:rsidRPr="00661E10" w:rsidRDefault="00EE0EDE" w:rsidP="009349F1">
            <w:pPr>
              <w:numPr>
                <w:ilvl w:val="0"/>
                <w:numId w:val="11"/>
              </w:numPr>
              <w:autoSpaceDE w:val="0"/>
              <w:autoSpaceDN w:val="0"/>
              <w:adjustRightInd w:val="0"/>
              <w:ind w:left="232" w:hanging="180"/>
              <w:contextualSpacing/>
              <w:jc w:val="left"/>
              <w:rPr>
                <w:rFonts w:cs="Calibri"/>
                <w:sz w:val="18"/>
                <w:szCs w:val="20"/>
              </w:rPr>
            </w:pPr>
            <w:r w:rsidRPr="00661E10">
              <w:rPr>
                <w:sz w:val="20"/>
                <w:szCs w:val="20"/>
              </w:rPr>
              <w:t xml:space="preserve">The program manager reported that CAP enrollment increased 25% in PY7 and that referrals through CAP were </w:t>
            </w:r>
            <w:r>
              <w:rPr>
                <w:sz w:val="20"/>
                <w:szCs w:val="20"/>
              </w:rPr>
              <w:t>likely</w:t>
            </w:r>
            <w:r w:rsidRPr="00661E10">
              <w:rPr>
                <w:sz w:val="20"/>
                <w:szCs w:val="20"/>
              </w:rPr>
              <w:t xml:space="preserve"> a strong contributor to PY7 participation.</w:t>
            </w:r>
          </w:p>
          <w:p w:rsidR="00EE0EDE" w:rsidRPr="00661E10" w:rsidRDefault="00EE0EDE" w:rsidP="009349F1">
            <w:pPr>
              <w:numPr>
                <w:ilvl w:val="0"/>
                <w:numId w:val="11"/>
              </w:numPr>
              <w:autoSpaceDE w:val="0"/>
              <w:autoSpaceDN w:val="0"/>
              <w:adjustRightInd w:val="0"/>
              <w:ind w:left="232" w:hanging="180"/>
              <w:contextualSpacing/>
              <w:jc w:val="left"/>
              <w:rPr>
                <w:rFonts w:cs="Calibri"/>
                <w:sz w:val="18"/>
                <w:szCs w:val="20"/>
              </w:rPr>
            </w:pPr>
            <w:r w:rsidRPr="00661E10">
              <w:rPr>
                <w:sz w:val="20"/>
                <w:szCs w:val="20"/>
              </w:rPr>
              <w:t>Most surveyed participants (71%) reported being very satisfied with the program.</w:t>
            </w:r>
          </w:p>
          <w:p w:rsidR="00EE0EDE" w:rsidRPr="00661E10" w:rsidRDefault="00EE0EDE" w:rsidP="009349F1">
            <w:pPr>
              <w:numPr>
                <w:ilvl w:val="0"/>
                <w:numId w:val="11"/>
              </w:numPr>
              <w:autoSpaceDE w:val="0"/>
              <w:autoSpaceDN w:val="0"/>
              <w:adjustRightInd w:val="0"/>
              <w:ind w:left="232" w:hanging="180"/>
              <w:contextualSpacing/>
              <w:jc w:val="left"/>
              <w:rPr>
                <w:rFonts w:cs="Calibri"/>
                <w:sz w:val="18"/>
                <w:szCs w:val="20"/>
              </w:rPr>
            </w:pPr>
            <w:r w:rsidRPr="00661E10">
              <w:rPr>
                <w:sz w:val="20"/>
                <w:szCs w:val="20"/>
              </w:rPr>
              <w:t>The program used mail-in postcards as its targeted marketing strategy and had less success with the cards in PY7 than in PY6, but the online application launched during PY6 and</w:t>
            </w:r>
            <w:r>
              <w:rPr>
                <w:sz w:val="20"/>
                <w:szCs w:val="20"/>
              </w:rPr>
              <w:t xml:space="preserve"> the</w:t>
            </w:r>
            <w:r w:rsidRPr="00661E10">
              <w:rPr>
                <w:sz w:val="20"/>
                <w:szCs w:val="20"/>
              </w:rPr>
              <w:t xml:space="preserve"> toll-free number </w:t>
            </w:r>
            <w:r>
              <w:rPr>
                <w:sz w:val="20"/>
                <w:szCs w:val="20"/>
              </w:rPr>
              <w:t>contributed to</w:t>
            </w:r>
            <w:r w:rsidRPr="00661E10">
              <w:rPr>
                <w:sz w:val="20"/>
                <w:szCs w:val="20"/>
              </w:rPr>
              <w:t xml:space="preserve"> participation in PY7.</w:t>
            </w:r>
          </w:p>
          <w:p w:rsidR="00183636" w:rsidRPr="00661E10" w:rsidRDefault="00EE0EDE" w:rsidP="009349F1">
            <w:pPr>
              <w:numPr>
                <w:ilvl w:val="0"/>
                <w:numId w:val="11"/>
              </w:numPr>
              <w:autoSpaceDE w:val="0"/>
              <w:autoSpaceDN w:val="0"/>
              <w:adjustRightInd w:val="0"/>
              <w:ind w:left="232" w:hanging="180"/>
              <w:contextualSpacing/>
              <w:jc w:val="left"/>
              <w:rPr>
                <w:rFonts w:cs="Calibri"/>
                <w:sz w:val="20"/>
                <w:szCs w:val="20"/>
              </w:rPr>
            </w:pPr>
            <w:r w:rsidRPr="00661E10">
              <w:rPr>
                <w:sz w:val="20"/>
                <w:szCs w:val="20"/>
              </w:rPr>
              <w:t>Most surveyed participants (83%) could recall examples of energy saving ideas provided during the in-home energy audit, and nearly all (94%) reported taking at least one of the steps to save energy.</w:t>
            </w:r>
          </w:p>
        </w:tc>
        <w:tc>
          <w:tcPr>
            <w:tcW w:w="2609" w:type="dxa"/>
            <w:tcBorders>
              <w:top w:val="single" w:sz="8" w:space="0" w:color="448A99"/>
              <w:left w:val="single" w:sz="8" w:space="0" w:color="448A99"/>
              <w:bottom w:val="single" w:sz="8" w:space="0" w:color="448A99"/>
              <w:right w:val="single" w:sz="8" w:space="0" w:color="448A99"/>
            </w:tcBorders>
            <w:shd w:val="clear" w:color="auto" w:fill="D2EAF1"/>
            <w:hideMark/>
          </w:tcPr>
          <w:p w:rsidR="00183636" w:rsidRPr="00661E10" w:rsidRDefault="00183636" w:rsidP="009349F1">
            <w:pPr>
              <w:numPr>
                <w:ilvl w:val="0"/>
                <w:numId w:val="12"/>
              </w:numPr>
              <w:autoSpaceDE w:val="0"/>
              <w:autoSpaceDN w:val="0"/>
              <w:adjustRightInd w:val="0"/>
              <w:ind w:left="232" w:hanging="180"/>
              <w:contextualSpacing/>
              <w:jc w:val="left"/>
              <w:rPr>
                <w:sz w:val="20"/>
              </w:rPr>
            </w:pPr>
            <w:r w:rsidRPr="00661E10">
              <w:rPr>
                <w:sz w:val="20"/>
              </w:rPr>
              <w:t>Program implementer interview (</w:t>
            </w:r>
            <w:r>
              <w:rPr>
                <w:sz w:val="20"/>
                <w:szCs w:val="20"/>
              </w:rPr>
              <w:t>n</w:t>
            </w:r>
            <w:r w:rsidRPr="00661E10">
              <w:rPr>
                <w:sz w:val="20"/>
                <w:szCs w:val="20"/>
              </w:rPr>
              <w:t>=</w:t>
            </w:r>
            <w:r w:rsidRPr="00661E10">
              <w:rPr>
                <w:sz w:val="20"/>
              </w:rPr>
              <w:t>1)</w:t>
            </w:r>
          </w:p>
          <w:p w:rsidR="00183636" w:rsidRPr="00661E10" w:rsidRDefault="00183636" w:rsidP="009349F1">
            <w:pPr>
              <w:numPr>
                <w:ilvl w:val="0"/>
                <w:numId w:val="12"/>
              </w:numPr>
              <w:autoSpaceDE w:val="0"/>
              <w:autoSpaceDN w:val="0"/>
              <w:adjustRightInd w:val="0"/>
              <w:ind w:left="232" w:hanging="180"/>
              <w:contextualSpacing/>
              <w:jc w:val="left"/>
              <w:rPr>
                <w:sz w:val="20"/>
              </w:rPr>
            </w:pPr>
            <w:r w:rsidRPr="00661E10">
              <w:rPr>
                <w:sz w:val="20"/>
              </w:rPr>
              <w:t>Participant surveys (</w:t>
            </w:r>
            <w:r>
              <w:rPr>
                <w:sz w:val="20"/>
              </w:rPr>
              <w:t>n</w:t>
            </w:r>
            <w:r w:rsidRPr="00661E10">
              <w:rPr>
                <w:sz w:val="20"/>
                <w:szCs w:val="20"/>
              </w:rPr>
              <w:t>=</w:t>
            </w:r>
            <w:r w:rsidRPr="00661E10">
              <w:rPr>
                <w:sz w:val="20"/>
              </w:rPr>
              <w:t>141)</w:t>
            </w:r>
          </w:p>
          <w:p w:rsidR="00183636" w:rsidRPr="00661E10" w:rsidRDefault="00183636" w:rsidP="009349F1">
            <w:pPr>
              <w:numPr>
                <w:ilvl w:val="0"/>
                <w:numId w:val="12"/>
              </w:numPr>
              <w:autoSpaceDE w:val="0"/>
              <w:autoSpaceDN w:val="0"/>
              <w:adjustRightInd w:val="0"/>
              <w:ind w:left="232" w:hanging="180"/>
              <w:contextualSpacing/>
              <w:jc w:val="left"/>
              <w:rPr>
                <w:sz w:val="20"/>
              </w:rPr>
            </w:pPr>
            <w:r w:rsidRPr="00661E10">
              <w:rPr>
                <w:sz w:val="20"/>
              </w:rPr>
              <w:t>Program database and participant records</w:t>
            </w:r>
          </w:p>
        </w:tc>
      </w:tr>
      <w:tr w:rsidR="00E7173E" w:rsidRPr="00661E10" w:rsidTr="00FD03DC">
        <w:trPr>
          <w:trHeight w:val="141"/>
          <w:jc w:val="center"/>
        </w:trPr>
        <w:tc>
          <w:tcPr>
            <w:tcW w:w="1839" w:type="dxa"/>
            <w:tcBorders>
              <w:top w:val="single" w:sz="8" w:space="0" w:color="448A99"/>
              <w:left w:val="single" w:sz="8" w:space="0" w:color="448A99"/>
              <w:bottom w:val="single" w:sz="8" w:space="0" w:color="448A99"/>
              <w:right w:val="single" w:sz="8" w:space="0" w:color="448A99"/>
            </w:tcBorders>
            <w:hideMark/>
          </w:tcPr>
          <w:p w:rsidR="00183636" w:rsidRPr="00661E10" w:rsidRDefault="00183636" w:rsidP="00445EE0">
            <w:pPr>
              <w:jc w:val="left"/>
              <w:rPr>
                <w:sz w:val="20"/>
              </w:rPr>
            </w:pPr>
            <w:r w:rsidRPr="00661E10">
              <w:rPr>
                <w:sz w:val="20"/>
              </w:rPr>
              <w:t>De Facto Heating Pilot</w:t>
            </w:r>
            <w:r w:rsidR="00EF3012">
              <w:rPr>
                <w:sz w:val="20"/>
              </w:rPr>
              <w:t xml:space="preserve"> (component of the WRAP</w:t>
            </w:r>
            <w:r w:rsidR="00A64165">
              <w:rPr>
                <w:sz w:val="20"/>
              </w:rPr>
              <w:t xml:space="preserve"> Program</w:t>
            </w:r>
            <w:r w:rsidR="00EF3012">
              <w:rPr>
                <w:sz w:val="20"/>
              </w:rPr>
              <w:t>)</w:t>
            </w:r>
          </w:p>
        </w:tc>
        <w:tc>
          <w:tcPr>
            <w:tcW w:w="4923" w:type="dxa"/>
            <w:tcBorders>
              <w:top w:val="single" w:sz="8" w:space="0" w:color="448A99"/>
              <w:left w:val="single" w:sz="8" w:space="0" w:color="448A99"/>
              <w:bottom w:val="single" w:sz="8" w:space="0" w:color="448A99"/>
              <w:right w:val="single" w:sz="8" w:space="0" w:color="448A99"/>
            </w:tcBorders>
            <w:hideMark/>
          </w:tcPr>
          <w:p w:rsidR="00445EE0" w:rsidRPr="00134B3C" w:rsidRDefault="00445EE0" w:rsidP="009349F1">
            <w:pPr>
              <w:numPr>
                <w:ilvl w:val="0"/>
                <w:numId w:val="11"/>
              </w:numPr>
              <w:autoSpaceDE w:val="0"/>
              <w:autoSpaceDN w:val="0"/>
              <w:adjustRightInd w:val="0"/>
              <w:ind w:left="232" w:hanging="180"/>
              <w:contextualSpacing/>
              <w:jc w:val="left"/>
              <w:rPr>
                <w:rFonts w:cs="Calibri"/>
                <w:sz w:val="18"/>
                <w:szCs w:val="20"/>
              </w:rPr>
            </w:pPr>
            <w:r w:rsidRPr="00134B3C">
              <w:rPr>
                <w:sz w:val="20"/>
              </w:rPr>
              <w:t xml:space="preserve">The Pilot did not meet its plans for energy savings, participation, or cost-effectiveness for PY7. </w:t>
            </w:r>
            <w:r w:rsidRPr="00134B3C">
              <w:rPr>
                <w:sz w:val="20"/>
                <w:szCs w:val="20"/>
              </w:rPr>
              <w:t>It will not continue in Phase III.</w:t>
            </w:r>
          </w:p>
          <w:p w:rsidR="00445EE0" w:rsidRPr="00134B3C" w:rsidRDefault="00445EE0" w:rsidP="009349F1">
            <w:pPr>
              <w:numPr>
                <w:ilvl w:val="0"/>
                <w:numId w:val="11"/>
              </w:numPr>
              <w:autoSpaceDE w:val="0"/>
              <w:autoSpaceDN w:val="0"/>
              <w:adjustRightInd w:val="0"/>
              <w:ind w:left="232" w:hanging="180"/>
              <w:contextualSpacing/>
              <w:jc w:val="left"/>
              <w:rPr>
                <w:rFonts w:cs="Calibri"/>
                <w:sz w:val="18"/>
                <w:szCs w:val="20"/>
              </w:rPr>
            </w:pPr>
            <w:r w:rsidRPr="00134B3C">
              <w:rPr>
                <w:sz w:val="20"/>
              </w:rPr>
              <w:t>Selecting qualified participants and homes from the 2,000 income-eligible customers and getting them to participate was very difficult.</w:t>
            </w:r>
          </w:p>
          <w:p w:rsidR="00445EE0" w:rsidRPr="00134B3C" w:rsidRDefault="00445EE0" w:rsidP="009349F1">
            <w:pPr>
              <w:numPr>
                <w:ilvl w:val="0"/>
                <w:numId w:val="11"/>
              </w:numPr>
              <w:autoSpaceDE w:val="0"/>
              <w:autoSpaceDN w:val="0"/>
              <w:adjustRightInd w:val="0"/>
              <w:ind w:left="232" w:hanging="180"/>
              <w:contextualSpacing/>
              <w:jc w:val="left"/>
              <w:rPr>
                <w:rFonts w:cs="Calibri"/>
                <w:sz w:val="18"/>
                <w:szCs w:val="20"/>
              </w:rPr>
            </w:pPr>
            <w:r w:rsidRPr="00134B3C">
              <w:rPr>
                <w:sz w:val="20"/>
              </w:rPr>
              <w:t>Average project costs per home were higher than anticipated, limiting the number of participants to 11 instead of 20 under a fixed program budget.</w:t>
            </w:r>
          </w:p>
          <w:p w:rsidR="00445EE0" w:rsidRPr="00134B3C" w:rsidRDefault="00445EE0" w:rsidP="009349F1">
            <w:pPr>
              <w:numPr>
                <w:ilvl w:val="0"/>
                <w:numId w:val="11"/>
              </w:numPr>
              <w:autoSpaceDE w:val="0"/>
              <w:autoSpaceDN w:val="0"/>
              <w:adjustRightInd w:val="0"/>
              <w:ind w:left="232" w:hanging="180"/>
              <w:contextualSpacing/>
              <w:jc w:val="left"/>
              <w:rPr>
                <w:rFonts w:cs="Calibri"/>
                <w:sz w:val="18"/>
                <w:szCs w:val="20"/>
              </w:rPr>
            </w:pPr>
            <w:r w:rsidRPr="00134B3C">
              <w:rPr>
                <w:sz w:val="20"/>
                <w:szCs w:val="20"/>
              </w:rPr>
              <w:t>Two of the three surveyed participants reported high satisfaction with the contractor, the money they saved with the heat pump, and the money they saved with the WRAP measures; all three were satisfied with their home’s comfort and were satisfied overall with the program.</w:t>
            </w:r>
          </w:p>
          <w:p w:rsidR="00183636" w:rsidRPr="00661E10" w:rsidRDefault="00445EE0" w:rsidP="009349F1">
            <w:pPr>
              <w:numPr>
                <w:ilvl w:val="0"/>
                <w:numId w:val="11"/>
              </w:numPr>
              <w:autoSpaceDE w:val="0"/>
              <w:autoSpaceDN w:val="0"/>
              <w:adjustRightInd w:val="0"/>
              <w:ind w:left="232" w:hanging="180"/>
              <w:contextualSpacing/>
              <w:jc w:val="left"/>
              <w:rPr>
                <w:rFonts w:cs="Calibri"/>
                <w:sz w:val="20"/>
                <w:szCs w:val="20"/>
              </w:rPr>
            </w:pPr>
            <w:r w:rsidRPr="00134B3C">
              <w:rPr>
                <w:sz w:val="20"/>
                <w:szCs w:val="20"/>
              </w:rPr>
              <w:t>None of the three survey participants reported using portable space heaters or plan to use room air conditioners after participating in the Pilot.</w:t>
            </w:r>
          </w:p>
        </w:tc>
        <w:tc>
          <w:tcPr>
            <w:tcW w:w="2609" w:type="dxa"/>
            <w:tcBorders>
              <w:top w:val="single" w:sz="8" w:space="0" w:color="448A99"/>
              <w:left w:val="single" w:sz="8" w:space="0" w:color="448A99"/>
              <w:bottom w:val="single" w:sz="8" w:space="0" w:color="448A99"/>
              <w:right w:val="single" w:sz="8" w:space="0" w:color="448A99"/>
            </w:tcBorders>
            <w:hideMark/>
          </w:tcPr>
          <w:p w:rsidR="00183636" w:rsidRPr="00661E10" w:rsidRDefault="00183636" w:rsidP="009349F1">
            <w:pPr>
              <w:numPr>
                <w:ilvl w:val="0"/>
                <w:numId w:val="12"/>
              </w:numPr>
              <w:autoSpaceDE w:val="0"/>
              <w:autoSpaceDN w:val="0"/>
              <w:adjustRightInd w:val="0"/>
              <w:ind w:left="232" w:hanging="180"/>
              <w:contextualSpacing/>
              <w:jc w:val="left"/>
              <w:rPr>
                <w:sz w:val="20"/>
              </w:rPr>
            </w:pPr>
            <w:r w:rsidRPr="00661E10">
              <w:rPr>
                <w:sz w:val="20"/>
              </w:rPr>
              <w:t>Program implementer interview (</w:t>
            </w:r>
            <w:r>
              <w:rPr>
                <w:sz w:val="20"/>
              </w:rPr>
              <w:t>n</w:t>
            </w:r>
            <w:r w:rsidRPr="00661E10">
              <w:rPr>
                <w:sz w:val="20"/>
                <w:szCs w:val="20"/>
              </w:rPr>
              <w:t>=</w:t>
            </w:r>
            <w:r w:rsidRPr="00661E10">
              <w:rPr>
                <w:sz w:val="20"/>
              </w:rPr>
              <w:t>1)</w:t>
            </w:r>
          </w:p>
          <w:p w:rsidR="00183636" w:rsidRPr="00661E10" w:rsidRDefault="00183636" w:rsidP="009349F1">
            <w:pPr>
              <w:numPr>
                <w:ilvl w:val="0"/>
                <w:numId w:val="12"/>
              </w:numPr>
              <w:autoSpaceDE w:val="0"/>
              <w:autoSpaceDN w:val="0"/>
              <w:adjustRightInd w:val="0"/>
              <w:ind w:left="232" w:hanging="180"/>
              <w:contextualSpacing/>
              <w:jc w:val="left"/>
              <w:rPr>
                <w:sz w:val="20"/>
              </w:rPr>
            </w:pPr>
            <w:r w:rsidRPr="00661E10">
              <w:rPr>
                <w:sz w:val="20"/>
              </w:rPr>
              <w:t>Installation contractor interview (</w:t>
            </w:r>
            <w:r>
              <w:rPr>
                <w:sz w:val="20"/>
              </w:rPr>
              <w:t>n</w:t>
            </w:r>
            <w:r w:rsidRPr="00661E10">
              <w:rPr>
                <w:sz w:val="20"/>
                <w:szCs w:val="20"/>
              </w:rPr>
              <w:t>=</w:t>
            </w:r>
            <w:r w:rsidRPr="00661E10">
              <w:rPr>
                <w:sz w:val="20"/>
              </w:rPr>
              <w:t>1)</w:t>
            </w:r>
          </w:p>
          <w:p w:rsidR="00183636" w:rsidRPr="00661E10" w:rsidRDefault="00183636" w:rsidP="009349F1">
            <w:pPr>
              <w:numPr>
                <w:ilvl w:val="0"/>
                <w:numId w:val="12"/>
              </w:numPr>
              <w:autoSpaceDE w:val="0"/>
              <w:autoSpaceDN w:val="0"/>
              <w:adjustRightInd w:val="0"/>
              <w:ind w:left="232" w:hanging="180"/>
              <w:contextualSpacing/>
              <w:jc w:val="left"/>
              <w:rPr>
                <w:sz w:val="20"/>
              </w:rPr>
            </w:pPr>
            <w:r w:rsidRPr="00661E10">
              <w:rPr>
                <w:sz w:val="20"/>
              </w:rPr>
              <w:t>Participant interviews (</w:t>
            </w:r>
            <w:r>
              <w:rPr>
                <w:sz w:val="20"/>
              </w:rPr>
              <w:t>n</w:t>
            </w:r>
            <w:r w:rsidRPr="00661E10">
              <w:rPr>
                <w:sz w:val="20"/>
                <w:szCs w:val="20"/>
              </w:rPr>
              <w:t>=</w:t>
            </w:r>
            <w:r w:rsidRPr="00661E10">
              <w:rPr>
                <w:sz w:val="20"/>
              </w:rPr>
              <w:t>3)</w:t>
            </w:r>
          </w:p>
          <w:p w:rsidR="00183636" w:rsidRPr="00661E10" w:rsidRDefault="00183636" w:rsidP="009349F1">
            <w:pPr>
              <w:numPr>
                <w:ilvl w:val="0"/>
                <w:numId w:val="12"/>
              </w:numPr>
              <w:autoSpaceDE w:val="0"/>
              <w:autoSpaceDN w:val="0"/>
              <w:adjustRightInd w:val="0"/>
              <w:ind w:left="232" w:hanging="180"/>
              <w:contextualSpacing/>
              <w:jc w:val="left"/>
              <w:rPr>
                <w:sz w:val="20"/>
              </w:rPr>
            </w:pPr>
            <w:r w:rsidRPr="00661E10">
              <w:rPr>
                <w:sz w:val="20"/>
              </w:rPr>
              <w:t>Program database</w:t>
            </w:r>
          </w:p>
        </w:tc>
      </w:tr>
      <w:tr w:rsidR="00E7173E" w:rsidRPr="00661E10" w:rsidTr="00FD03DC">
        <w:trPr>
          <w:trHeight w:val="141"/>
          <w:jc w:val="center"/>
        </w:trPr>
        <w:tc>
          <w:tcPr>
            <w:tcW w:w="9371" w:type="dxa"/>
            <w:gridSpan w:val="3"/>
            <w:tcBorders>
              <w:top w:val="single" w:sz="8" w:space="0" w:color="448A99"/>
              <w:left w:val="single" w:sz="8" w:space="0" w:color="448A99"/>
              <w:bottom w:val="single" w:sz="8" w:space="0" w:color="448A99"/>
              <w:right w:val="single" w:sz="8" w:space="0" w:color="448A99"/>
            </w:tcBorders>
            <w:shd w:val="clear" w:color="auto" w:fill="9C9393"/>
            <w:hideMark/>
          </w:tcPr>
          <w:p w:rsidR="00183636" w:rsidRPr="00661E10" w:rsidRDefault="00183636" w:rsidP="005C1352">
            <w:pPr>
              <w:ind w:left="139" w:hanging="180"/>
              <w:jc w:val="left"/>
              <w:rPr>
                <w:b/>
                <w:i/>
                <w:sz w:val="20"/>
              </w:rPr>
            </w:pPr>
            <w:r w:rsidRPr="00661E10">
              <w:rPr>
                <w:b/>
                <w:color w:val="FFFFFF"/>
                <w:sz w:val="20"/>
              </w:rPr>
              <w:t xml:space="preserve">Non-Residential </w:t>
            </w:r>
            <w:r w:rsidRPr="00661E10">
              <w:rPr>
                <w:b/>
                <w:color w:val="FFFFFF"/>
                <w:sz w:val="20"/>
                <w:szCs w:val="20"/>
              </w:rPr>
              <w:t>Sector</w:t>
            </w:r>
          </w:p>
        </w:tc>
      </w:tr>
      <w:tr w:rsidR="00445EE0" w:rsidRPr="00661E10" w:rsidTr="00FD03DC">
        <w:trPr>
          <w:trHeight w:val="141"/>
          <w:jc w:val="center"/>
        </w:trPr>
        <w:tc>
          <w:tcPr>
            <w:tcW w:w="1839" w:type="dxa"/>
            <w:tcBorders>
              <w:top w:val="single" w:sz="8" w:space="0" w:color="448A99"/>
              <w:left w:val="single" w:sz="8" w:space="0" w:color="448A99"/>
              <w:bottom w:val="single" w:sz="8" w:space="0" w:color="448A99"/>
              <w:right w:val="single" w:sz="8" w:space="0" w:color="448A99"/>
            </w:tcBorders>
            <w:hideMark/>
          </w:tcPr>
          <w:p w:rsidR="00445EE0" w:rsidRPr="00661E10" w:rsidRDefault="00445EE0" w:rsidP="00445EE0">
            <w:pPr>
              <w:jc w:val="left"/>
              <w:rPr>
                <w:sz w:val="20"/>
              </w:rPr>
            </w:pPr>
            <w:r w:rsidRPr="00661E10">
              <w:rPr>
                <w:sz w:val="20"/>
              </w:rPr>
              <w:t>Continuous Energy Improvement Program</w:t>
            </w:r>
          </w:p>
        </w:tc>
        <w:tc>
          <w:tcPr>
            <w:tcW w:w="4923" w:type="dxa"/>
            <w:tcBorders>
              <w:top w:val="single" w:sz="8" w:space="0" w:color="448A99"/>
              <w:left w:val="single" w:sz="8" w:space="0" w:color="448A99"/>
              <w:bottom w:val="single" w:sz="8" w:space="0" w:color="448A99"/>
              <w:right w:val="single" w:sz="8" w:space="0" w:color="448A99"/>
            </w:tcBorders>
            <w:vAlign w:val="bottom"/>
            <w:hideMark/>
          </w:tcPr>
          <w:p w:rsidR="00445EE0" w:rsidRPr="00134B3C" w:rsidRDefault="00445EE0" w:rsidP="009349F1">
            <w:pPr>
              <w:numPr>
                <w:ilvl w:val="0"/>
                <w:numId w:val="10"/>
              </w:numPr>
              <w:autoSpaceDE w:val="0"/>
              <w:autoSpaceDN w:val="0"/>
              <w:adjustRightInd w:val="0"/>
              <w:ind w:left="187" w:hanging="187"/>
              <w:contextualSpacing/>
              <w:jc w:val="left"/>
              <w:rPr>
                <w:rFonts w:cs="Calibri"/>
                <w:sz w:val="18"/>
                <w:szCs w:val="20"/>
              </w:rPr>
            </w:pPr>
            <w:r w:rsidRPr="00134B3C">
              <w:rPr>
                <w:sz w:val="20"/>
              </w:rPr>
              <w:t>The program met or exceeded its PY7 and Phase II planned energy savings and planned participation.</w:t>
            </w:r>
          </w:p>
          <w:p w:rsidR="00445EE0" w:rsidRPr="00134B3C" w:rsidRDefault="00445EE0" w:rsidP="009349F1">
            <w:pPr>
              <w:numPr>
                <w:ilvl w:val="0"/>
                <w:numId w:val="10"/>
              </w:numPr>
              <w:autoSpaceDE w:val="0"/>
              <w:autoSpaceDN w:val="0"/>
              <w:adjustRightInd w:val="0"/>
              <w:ind w:left="187" w:hanging="187"/>
              <w:contextualSpacing/>
              <w:jc w:val="left"/>
              <w:rPr>
                <w:rFonts w:cs="Calibri"/>
                <w:sz w:val="18"/>
                <w:szCs w:val="20"/>
              </w:rPr>
            </w:pPr>
            <w:r w:rsidRPr="00134B3C">
              <w:rPr>
                <w:rFonts w:cs="Calibri"/>
                <w:color w:val="000000"/>
                <w:sz w:val="20"/>
              </w:rPr>
              <w:t>Interviewed staff reported that the program is working well, with schools taking ownership of the program and doing SEMP plans on their own.</w:t>
            </w:r>
          </w:p>
          <w:p w:rsidR="00445EE0" w:rsidRPr="00134B3C" w:rsidRDefault="00445EE0" w:rsidP="009349F1">
            <w:pPr>
              <w:numPr>
                <w:ilvl w:val="0"/>
                <w:numId w:val="10"/>
              </w:numPr>
              <w:autoSpaceDE w:val="0"/>
              <w:autoSpaceDN w:val="0"/>
              <w:adjustRightInd w:val="0"/>
              <w:ind w:left="187" w:hanging="187"/>
              <w:contextualSpacing/>
              <w:jc w:val="left"/>
              <w:rPr>
                <w:rFonts w:cs="Calibri"/>
                <w:sz w:val="18"/>
                <w:szCs w:val="20"/>
              </w:rPr>
            </w:pPr>
            <w:r w:rsidRPr="00134B3C">
              <w:rPr>
                <w:rFonts w:cs="Calibri"/>
                <w:color w:val="000000"/>
                <w:sz w:val="20"/>
              </w:rPr>
              <w:t>Customer satisfaction exceeded the planned target of 80% (100% reported being very or somewhat satisfied).</w:t>
            </w:r>
          </w:p>
          <w:p w:rsidR="00445EE0" w:rsidRPr="00134B3C" w:rsidRDefault="00445EE0" w:rsidP="009349F1">
            <w:pPr>
              <w:numPr>
                <w:ilvl w:val="0"/>
                <w:numId w:val="10"/>
              </w:numPr>
              <w:autoSpaceDE w:val="0"/>
              <w:autoSpaceDN w:val="0"/>
              <w:adjustRightInd w:val="0"/>
              <w:ind w:left="187" w:hanging="187"/>
              <w:contextualSpacing/>
              <w:jc w:val="left"/>
              <w:rPr>
                <w:rFonts w:cs="Calibri"/>
                <w:sz w:val="18"/>
                <w:szCs w:val="20"/>
              </w:rPr>
            </w:pPr>
            <w:r w:rsidRPr="00134B3C">
              <w:rPr>
                <w:rFonts w:cs="Calibri"/>
                <w:color w:val="000000"/>
                <w:sz w:val="20"/>
              </w:rPr>
              <w:t>Surveyed school district energy managers and school champions reported that the greatest challenges involved organizing and gaining commitment from others involved in the schools and not having enough time to dedicate to the program.</w:t>
            </w:r>
          </w:p>
          <w:p w:rsidR="00445EE0" w:rsidRPr="00134B3C" w:rsidRDefault="00445EE0" w:rsidP="009349F1">
            <w:pPr>
              <w:numPr>
                <w:ilvl w:val="0"/>
                <w:numId w:val="10"/>
              </w:numPr>
              <w:autoSpaceDE w:val="0"/>
              <w:autoSpaceDN w:val="0"/>
              <w:adjustRightInd w:val="0"/>
              <w:ind w:left="187" w:hanging="187"/>
              <w:contextualSpacing/>
              <w:jc w:val="left"/>
              <w:rPr>
                <w:rFonts w:cs="Calibri"/>
                <w:sz w:val="18"/>
                <w:szCs w:val="20"/>
              </w:rPr>
            </w:pPr>
            <w:r w:rsidRPr="00134B3C">
              <w:rPr>
                <w:rFonts w:cs="Calibri"/>
                <w:sz w:val="20"/>
              </w:rPr>
              <w:t>Overall SEM adoption was high across all program participants. However, the number of schools with full adoption declined from PY6 due to infrequent updates of program planning materials.</w:t>
            </w:r>
          </w:p>
          <w:p w:rsidR="00445EE0" w:rsidRPr="00661E10" w:rsidRDefault="00445EE0" w:rsidP="009349F1">
            <w:pPr>
              <w:numPr>
                <w:ilvl w:val="0"/>
                <w:numId w:val="10"/>
              </w:numPr>
              <w:autoSpaceDE w:val="0"/>
              <w:autoSpaceDN w:val="0"/>
              <w:adjustRightInd w:val="0"/>
              <w:ind w:left="187" w:hanging="187"/>
              <w:contextualSpacing/>
              <w:jc w:val="left"/>
              <w:rPr>
                <w:rFonts w:cs="Calibri"/>
                <w:sz w:val="20"/>
                <w:szCs w:val="20"/>
              </w:rPr>
            </w:pPr>
            <w:r w:rsidRPr="00134B3C">
              <w:rPr>
                <w:rFonts w:cs="Calibri"/>
                <w:color w:val="000000"/>
                <w:sz w:val="20"/>
              </w:rPr>
              <w:t>Most survey participants reported that the program was extremely or somewhat influential in their decision to implement energy efficiency projects.</w:t>
            </w:r>
          </w:p>
        </w:tc>
        <w:tc>
          <w:tcPr>
            <w:tcW w:w="2609" w:type="dxa"/>
            <w:tcBorders>
              <w:top w:val="single" w:sz="8" w:space="0" w:color="448A99"/>
              <w:left w:val="single" w:sz="8" w:space="0" w:color="448A99"/>
              <w:bottom w:val="single" w:sz="8" w:space="0" w:color="448A99"/>
              <w:right w:val="single" w:sz="8" w:space="0" w:color="448A99"/>
            </w:tcBorders>
            <w:hideMark/>
          </w:tcPr>
          <w:p w:rsidR="00445EE0" w:rsidRPr="00661E10" w:rsidRDefault="00445EE0" w:rsidP="009349F1">
            <w:pPr>
              <w:numPr>
                <w:ilvl w:val="0"/>
                <w:numId w:val="10"/>
              </w:numPr>
              <w:autoSpaceDE w:val="0"/>
              <w:autoSpaceDN w:val="0"/>
              <w:adjustRightInd w:val="0"/>
              <w:ind w:left="142" w:hanging="180"/>
              <w:contextualSpacing/>
              <w:jc w:val="left"/>
              <w:rPr>
                <w:sz w:val="20"/>
                <w:szCs w:val="20"/>
              </w:rPr>
            </w:pPr>
            <w:r w:rsidRPr="00661E10">
              <w:rPr>
                <w:sz w:val="20"/>
                <w:szCs w:val="20"/>
              </w:rPr>
              <w:t>Program staff and implementer interviews (</w:t>
            </w:r>
            <w:r>
              <w:rPr>
                <w:sz w:val="20"/>
                <w:szCs w:val="20"/>
              </w:rPr>
              <w:t>n</w:t>
            </w:r>
            <w:r w:rsidRPr="00661E10">
              <w:rPr>
                <w:sz w:val="20"/>
                <w:szCs w:val="20"/>
              </w:rPr>
              <w:t>=2)</w:t>
            </w:r>
          </w:p>
          <w:p w:rsidR="00445EE0" w:rsidRPr="00661E10" w:rsidRDefault="00445EE0" w:rsidP="009349F1">
            <w:pPr>
              <w:numPr>
                <w:ilvl w:val="0"/>
                <w:numId w:val="10"/>
              </w:numPr>
              <w:autoSpaceDE w:val="0"/>
              <w:autoSpaceDN w:val="0"/>
              <w:adjustRightInd w:val="0"/>
              <w:ind w:left="142" w:hanging="180"/>
              <w:contextualSpacing/>
              <w:jc w:val="left"/>
              <w:rPr>
                <w:sz w:val="20"/>
                <w:szCs w:val="20"/>
              </w:rPr>
            </w:pPr>
            <w:r w:rsidRPr="00661E10">
              <w:rPr>
                <w:sz w:val="20"/>
                <w:szCs w:val="20"/>
              </w:rPr>
              <w:t>Participant surveys (</w:t>
            </w:r>
            <w:r>
              <w:rPr>
                <w:sz w:val="20"/>
                <w:szCs w:val="20"/>
              </w:rPr>
              <w:t>n</w:t>
            </w:r>
            <w:r w:rsidRPr="00661E10">
              <w:rPr>
                <w:sz w:val="20"/>
                <w:szCs w:val="20"/>
              </w:rPr>
              <w:t>=23)</w:t>
            </w:r>
          </w:p>
          <w:p w:rsidR="00445EE0" w:rsidRPr="00661E10" w:rsidRDefault="00445EE0" w:rsidP="009349F1">
            <w:pPr>
              <w:numPr>
                <w:ilvl w:val="0"/>
                <w:numId w:val="10"/>
              </w:numPr>
              <w:autoSpaceDE w:val="0"/>
              <w:autoSpaceDN w:val="0"/>
              <w:adjustRightInd w:val="0"/>
              <w:ind w:left="142" w:hanging="180"/>
              <w:contextualSpacing/>
              <w:jc w:val="left"/>
              <w:rPr>
                <w:sz w:val="20"/>
                <w:szCs w:val="20"/>
              </w:rPr>
            </w:pPr>
            <w:r w:rsidRPr="00661E10">
              <w:rPr>
                <w:sz w:val="20"/>
                <w:szCs w:val="20"/>
              </w:rPr>
              <w:t>Program database and participant records</w:t>
            </w:r>
          </w:p>
        </w:tc>
      </w:tr>
      <w:tr w:rsidR="00A874AC" w:rsidRPr="00661E10" w:rsidTr="003F09E3">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hideMark/>
          </w:tcPr>
          <w:p w:rsidR="00445EE0" w:rsidRPr="00661E10" w:rsidRDefault="00445EE0" w:rsidP="00445EE0">
            <w:pPr>
              <w:jc w:val="left"/>
              <w:rPr>
                <w:sz w:val="20"/>
              </w:rPr>
            </w:pPr>
            <w:r w:rsidRPr="00661E10">
              <w:rPr>
                <w:sz w:val="20"/>
              </w:rPr>
              <w:t>Custom Incentive Program</w:t>
            </w:r>
          </w:p>
        </w:tc>
        <w:tc>
          <w:tcPr>
            <w:tcW w:w="4923" w:type="dxa"/>
            <w:tcBorders>
              <w:top w:val="single" w:sz="8" w:space="0" w:color="448A99"/>
              <w:left w:val="single" w:sz="8" w:space="0" w:color="448A99"/>
              <w:bottom w:val="single" w:sz="8" w:space="0" w:color="448A99"/>
              <w:right w:val="single" w:sz="8" w:space="0" w:color="448A99"/>
            </w:tcBorders>
            <w:shd w:val="clear" w:color="auto" w:fill="D2EAF1"/>
            <w:vAlign w:val="bottom"/>
            <w:hideMark/>
          </w:tcPr>
          <w:p w:rsidR="00445EE0" w:rsidRPr="00134B3C" w:rsidRDefault="00445EE0" w:rsidP="009349F1">
            <w:pPr>
              <w:numPr>
                <w:ilvl w:val="0"/>
                <w:numId w:val="10"/>
              </w:numPr>
              <w:autoSpaceDE w:val="0"/>
              <w:autoSpaceDN w:val="0"/>
              <w:adjustRightInd w:val="0"/>
              <w:ind w:left="142" w:hanging="180"/>
              <w:contextualSpacing/>
              <w:jc w:val="left"/>
              <w:rPr>
                <w:rFonts w:cs="Calibri"/>
                <w:sz w:val="18"/>
                <w:szCs w:val="20"/>
              </w:rPr>
            </w:pPr>
            <w:r w:rsidRPr="00134B3C">
              <w:rPr>
                <w:rFonts w:cs="Calibri"/>
                <w:color w:val="000000"/>
                <w:sz w:val="20"/>
                <w:szCs w:val="20"/>
              </w:rPr>
              <w:t>The program exceeded its planned energy savings for PY7 but not for Phase II; it also did not meet planned Phase II</w:t>
            </w:r>
            <w:r>
              <w:rPr>
                <w:rFonts w:cs="Calibri"/>
                <w:color w:val="000000"/>
                <w:sz w:val="20"/>
                <w:szCs w:val="20"/>
              </w:rPr>
              <w:t xml:space="preserve"> </w:t>
            </w:r>
            <w:r w:rsidRPr="00134B3C">
              <w:rPr>
                <w:rFonts w:cs="Calibri"/>
                <w:color w:val="000000"/>
                <w:sz w:val="20"/>
                <w:szCs w:val="20"/>
              </w:rPr>
              <w:t>participation, primarily because several very large projects were deferred by customers into Phase III.</w:t>
            </w:r>
          </w:p>
          <w:p w:rsidR="00445EE0" w:rsidRPr="00134B3C" w:rsidRDefault="00445EE0" w:rsidP="009349F1">
            <w:pPr>
              <w:numPr>
                <w:ilvl w:val="0"/>
                <w:numId w:val="10"/>
              </w:numPr>
              <w:autoSpaceDE w:val="0"/>
              <w:autoSpaceDN w:val="0"/>
              <w:adjustRightInd w:val="0"/>
              <w:ind w:left="142" w:hanging="180"/>
              <w:contextualSpacing/>
              <w:jc w:val="left"/>
              <w:rPr>
                <w:rFonts w:cs="Calibri"/>
                <w:sz w:val="18"/>
                <w:szCs w:val="20"/>
              </w:rPr>
            </w:pPr>
            <w:r w:rsidRPr="00134B3C">
              <w:rPr>
                <w:rFonts w:cs="Calibri"/>
                <w:color w:val="000000"/>
                <w:sz w:val="20"/>
              </w:rPr>
              <w:t>Customer satisfaction exceeded the planned target of 80% (87% reported high satisfaction rating). For the majority of program elements, customer satisfaction increased from PY6.</w:t>
            </w:r>
          </w:p>
          <w:p w:rsidR="00445EE0" w:rsidRPr="00134B3C" w:rsidRDefault="00445EE0" w:rsidP="009349F1">
            <w:pPr>
              <w:numPr>
                <w:ilvl w:val="0"/>
                <w:numId w:val="10"/>
              </w:numPr>
              <w:autoSpaceDE w:val="0"/>
              <w:autoSpaceDN w:val="0"/>
              <w:adjustRightInd w:val="0"/>
              <w:ind w:left="142" w:hanging="180"/>
              <w:contextualSpacing/>
              <w:jc w:val="left"/>
              <w:rPr>
                <w:rFonts w:cs="Calibri"/>
                <w:sz w:val="18"/>
                <w:szCs w:val="20"/>
              </w:rPr>
            </w:pPr>
            <w:r w:rsidRPr="00134B3C">
              <w:rPr>
                <w:rFonts w:cs="Calibri"/>
                <w:color w:val="000000"/>
                <w:sz w:val="20"/>
                <w:szCs w:val="20"/>
              </w:rPr>
              <w:t>Surveyed customers suggested improvements to the program, including providing better communication about timing, completing the review of materials and application steps more quickly, providing more options for rebated equipment, and improving the wait list.</w:t>
            </w:r>
          </w:p>
          <w:p w:rsidR="00445EE0" w:rsidRPr="00134B3C" w:rsidRDefault="00445EE0" w:rsidP="009349F1">
            <w:pPr>
              <w:numPr>
                <w:ilvl w:val="0"/>
                <w:numId w:val="10"/>
              </w:numPr>
              <w:autoSpaceDE w:val="0"/>
              <w:autoSpaceDN w:val="0"/>
              <w:adjustRightInd w:val="0"/>
              <w:ind w:left="142" w:hanging="180"/>
              <w:contextualSpacing/>
              <w:jc w:val="left"/>
              <w:rPr>
                <w:rFonts w:cs="Calibri"/>
                <w:sz w:val="18"/>
                <w:szCs w:val="20"/>
              </w:rPr>
            </w:pPr>
            <w:r w:rsidRPr="00134B3C">
              <w:rPr>
                <w:rFonts w:cs="Calibri"/>
                <w:color w:val="000000"/>
                <w:sz w:val="20"/>
                <w:szCs w:val="20"/>
              </w:rPr>
              <w:t>Surveyed customers chose to upgrade equipment to replace old or broken equipment, save money or energy, or make improvements to existing systems.</w:t>
            </w:r>
          </w:p>
          <w:p w:rsidR="00445EE0" w:rsidRPr="00661E10" w:rsidRDefault="00445EE0" w:rsidP="009349F1">
            <w:pPr>
              <w:numPr>
                <w:ilvl w:val="0"/>
                <w:numId w:val="10"/>
              </w:numPr>
              <w:autoSpaceDE w:val="0"/>
              <w:autoSpaceDN w:val="0"/>
              <w:adjustRightInd w:val="0"/>
              <w:ind w:left="142" w:hanging="180"/>
              <w:contextualSpacing/>
              <w:jc w:val="left"/>
              <w:rPr>
                <w:rFonts w:cs="Calibri"/>
                <w:sz w:val="20"/>
                <w:szCs w:val="20"/>
              </w:rPr>
            </w:pPr>
            <w:r w:rsidRPr="00134B3C">
              <w:rPr>
                <w:rFonts w:cs="Calibri"/>
                <w:color w:val="000000"/>
                <w:sz w:val="20"/>
                <w:szCs w:val="20"/>
              </w:rPr>
              <w:t>The most important reported criteria for determining whether to go forward with a project was the return on investment, energy and operating costs, and initial costs.</w:t>
            </w:r>
          </w:p>
        </w:tc>
        <w:tc>
          <w:tcPr>
            <w:tcW w:w="2609" w:type="dxa"/>
            <w:tcBorders>
              <w:top w:val="single" w:sz="8" w:space="0" w:color="448A99"/>
              <w:left w:val="single" w:sz="8" w:space="0" w:color="448A99"/>
              <w:bottom w:val="single" w:sz="8" w:space="0" w:color="448A99"/>
              <w:right w:val="single" w:sz="8" w:space="0" w:color="448A99"/>
            </w:tcBorders>
            <w:shd w:val="clear" w:color="auto" w:fill="D2EAF1"/>
            <w:hideMark/>
          </w:tcPr>
          <w:p w:rsidR="00445EE0" w:rsidRPr="00661E10" w:rsidRDefault="00445EE0" w:rsidP="009349F1">
            <w:pPr>
              <w:numPr>
                <w:ilvl w:val="0"/>
                <w:numId w:val="10"/>
              </w:numPr>
              <w:autoSpaceDE w:val="0"/>
              <w:autoSpaceDN w:val="0"/>
              <w:adjustRightInd w:val="0"/>
              <w:ind w:left="142" w:hanging="180"/>
              <w:contextualSpacing/>
              <w:jc w:val="left"/>
              <w:rPr>
                <w:sz w:val="20"/>
                <w:szCs w:val="20"/>
              </w:rPr>
            </w:pPr>
            <w:r w:rsidRPr="00661E10">
              <w:rPr>
                <w:sz w:val="20"/>
                <w:szCs w:val="20"/>
              </w:rPr>
              <w:t>Program staff and implementer interviews (</w:t>
            </w:r>
            <w:r>
              <w:rPr>
                <w:sz w:val="20"/>
                <w:szCs w:val="20"/>
              </w:rPr>
              <w:t>n</w:t>
            </w:r>
            <w:r w:rsidRPr="00661E10">
              <w:rPr>
                <w:sz w:val="20"/>
                <w:szCs w:val="20"/>
              </w:rPr>
              <w:t>=2)</w:t>
            </w:r>
          </w:p>
          <w:p w:rsidR="00445EE0" w:rsidRPr="00661E10" w:rsidRDefault="00445EE0" w:rsidP="009349F1">
            <w:pPr>
              <w:numPr>
                <w:ilvl w:val="0"/>
                <w:numId w:val="10"/>
              </w:numPr>
              <w:autoSpaceDE w:val="0"/>
              <w:autoSpaceDN w:val="0"/>
              <w:adjustRightInd w:val="0"/>
              <w:ind w:left="142" w:hanging="180"/>
              <w:contextualSpacing/>
              <w:jc w:val="left"/>
              <w:rPr>
                <w:sz w:val="20"/>
                <w:szCs w:val="20"/>
              </w:rPr>
            </w:pPr>
            <w:r>
              <w:rPr>
                <w:sz w:val="20"/>
                <w:szCs w:val="20"/>
              </w:rPr>
              <w:t>Participant surveys (n=</w:t>
            </w:r>
            <w:r w:rsidRPr="00661E10">
              <w:rPr>
                <w:sz w:val="20"/>
                <w:szCs w:val="20"/>
              </w:rPr>
              <w:t>24)</w:t>
            </w:r>
          </w:p>
        </w:tc>
      </w:tr>
      <w:tr w:rsidR="00445EE0" w:rsidRPr="00661E10" w:rsidTr="00FD03DC">
        <w:trPr>
          <w:trHeight w:val="141"/>
          <w:jc w:val="center"/>
        </w:trPr>
        <w:tc>
          <w:tcPr>
            <w:tcW w:w="1839" w:type="dxa"/>
            <w:tcBorders>
              <w:top w:val="single" w:sz="8" w:space="0" w:color="448A99"/>
              <w:left w:val="single" w:sz="8" w:space="0" w:color="448A99"/>
              <w:bottom w:val="single" w:sz="8" w:space="0" w:color="448A99"/>
              <w:right w:val="single" w:sz="8" w:space="0" w:color="448A99"/>
            </w:tcBorders>
            <w:hideMark/>
          </w:tcPr>
          <w:p w:rsidR="00445EE0" w:rsidRPr="00661E10" w:rsidRDefault="00445EE0" w:rsidP="00445EE0">
            <w:pPr>
              <w:jc w:val="left"/>
              <w:rPr>
                <w:sz w:val="20"/>
              </w:rPr>
            </w:pPr>
            <w:r w:rsidRPr="00661E10">
              <w:rPr>
                <w:sz w:val="20"/>
              </w:rPr>
              <w:t>Prescriptive Equipment Program</w:t>
            </w:r>
          </w:p>
        </w:tc>
        <w:tc>
          <w:tcPr>
            <w:tcW w:w="4923" w:type="dxa"/>
            <w:tcBorders>
              <w:top w:val="single" w:sz="8" w:space="0" w:color="448A99"/>
              <w:left w:val="single" w:sz="8" w:space="0" w:color="448A99"/>
              <w:bottom w:val="single" w:sz="8" w:space="0" w:color="448A99"/>
              <w:right w:val="single" w:sz="8" w:space="0" w:color="448A99"/>
            </w:tcBorders>
            <w:vAlign w:val="bottom"/>
            <w:hideMark/>
          </w:tcPr>
          <w:p w:rsidR="00445EE0" w:rsidRPr="00134B3C" w:rsidRDefault="00445EE0" w:rsidP="009349F1">
            <w:pPr>
              <w:numPr>
                <w:ilvl w:val="0"/>
                <w:numId w:val="10"/>
              </w:numPr>
              <w:autoSpaceDE w:val="0"/>
              <w:autoSpaceDN w:val="0"/>
              <w:adjustRightInd w:val="0"/>
              <w:ind w:left="142" w:hanging="180"/>
              <w:contextualSpacing/>
              <w:jc w:val="left"/>
              <w:rPr>
                <w:rFonts w:cs="Calibri"/>
                <w:sz w:val="18"/>
                <w:szCs w:val="20"/>
              </w:rPr>
            </w:pPr>
            <w:r w:rsidRPr="00134B3C">
              <w:rPr>
                <w:sz w:val="20"/>
              </w:rPr>
              <w:t>The program exceeded its planned PY7 and Phase II energy savings planned but did not meet its planned Phase II participation.</w:t>
            </w:r>
          </w:p>
          <w:p w:rsidR="00445EE0" w:rsidRPr="00134B3C" w:rsidRDefault="00445EE0" w:rsidP="009349F1">
            <w:pPr>
              <w:numPr>
                <w:ilvl w:val="0"/>
                <w:numId w:val="10"/>
              </w:numPr>
              <w:autoSpaceDE w:val="0"/>
              <w:autoSpaceDN w:val="0"/>
              <w:adjustRightInd w:val="0"/>
              <w:ind w:left="142" w:hanging="180"/>
              <w:contextualSpacing/>
              <w:jc w:val="left"/>
              <w:rPr>
                <w:rFonts w:cs="Calibri"/>
                <w:sz w:val="18"/>
                <w:szCs w:val="20"/>
              </w:rPr>
            </w:pPr>
            <w:r w:rsidRPr="00134B3C">
              <w:rPr>
                <w:rFonts w:cs="Calibri"/>
                <w:color w:val="000000"/>
                <w:sz w:val="20"/>
              </w:rPr>
              <w:t>The program did not meet its goal of 80% customer satisfaction; 77% of surveyed participants reported high satisfaction.</w:t>
            </w:r>
          </w:p>
          <w:p w:rsidR="00445EE0" w:rsidRPr="00134B3C" w:rsidRDefault="00445EE0" w:rsidP="009349F1">
            <w:pPr>
              <w:numPr>
                <w:ilvl w:val="0"/>
                <w:numId w:val="10"/>
              </w:numPr>
              <w:autoSpaceDE w:val="0"/>
              <w:autoSpaceDN w:val="0"/>
              <w:adjustRightInd w:val="0"/>
              <w:ind w:left="142" w:hanging="180"/>
              <w:contextualSpacing/>
              <w:jc w:val="left"/>
              <w:rPr>
                <w:rFonts w:cs="Calibri"/>
                <w:sz w:val="18"/>
                <w:szCs w:val="20"/>
              </w:rPr>
            </w:pPr>
            <w:r w:rsidRPr="00134B3C">
              <w:rPr>
                <w:rFonts w:cs="Calibri"/>
                <w:color w:val="000000"/>
                <w:sz w:val="20"/>
              </w:rPr>
              <w:t>The limited-time higher incentives for HVAC equipment and heat pump water heaters had a minimal effect on participation.</w:t>
            </w:r>
          </w:p>
          <w:p w:rsidR="00445EE0" w:rsidRPr="00134B3C" w:rsidRDefault="00445EE0" w:rsidP="009349F1">
            <w:pPr>
              <w:numPr>
                <w:ilvl w:val="0"/>
                <w:numId w:val="10"/>
              </w:numPr>
              <w:autoSpaceDE w:val="0"/>
              <w:autoSpaceDN w:val="0"/>
              <w:adjustRightInd w:val="0"/>
              <w:ind w:left="142" w:hanging="180"/>
              <w:contextualSpacing/>
              <w:jc w:val="left"/>
              <w:rPr>
                <w:rFonts w:cs="Calibri"/>
                <w:sz w:val="18"/>
                <w:szCs w:val="20"/>
              </w:rPr>
            </w:pPr>
            <w:r w:rsidRPr="00134B3C">
              <w:rPr>
                <w:rFonts w:cs="Calibri"/>
                <w:color w:val="000000"/>
                <w:sz w:val="20"/>
              </w:rPr>
              <w:t>There is very limited uptake in rebates for agricultural equipment, but the program received applications for six different agricultural measures in PY7 for the first time.</w:t>
            </w:r>
          </w:p>
          <w:p w:rsidR="00445EE0" w:rsidRPr="00134B3C" w:rsidRDefault="00445EE0" w:rsidP="009349F1">
            <w:pPr>
              <w:numPr>
                <w:ilvl w:val="0"/>
                <w:numId w:val="10"/>
              </w:numPr>
              <w:autoSpaceDE w:val="0"/>
              <w:autoSpaceDN w:val="0"/>
              <w:adjustRightInd w:val="0"/>
              <w:ind w:left="142" w:hanging="180"/>
              <w:contextualSpacing/>
              <w:jc w:val="left"/>
              <w:rPr>
                <w:rFonts w:cs="Calibri"/>
                <w:sz w:val="18"/>
                <w:szCs w:val="20"/>
              </w:rPr>
            </w:pPr>
            <w:r w:rsidRPr="00134B3C">
              <w:rPr>
                <w:rFonts w:cs="Calibri"/>
                <w:color w:val="000000"/>
                <w:sz w:val="20"/>
              </w:rPr>
              <w:t>Most surveyed participants were satisfied with elements of the program. However, satisfaction with the time it took to receive the rebate has been on the decline since PY5, likely due to the preapproval process in PY6 and wait list in PY7.</w:t>
            </w:r>
          </w:p>
          <w:p w:rsidR="00445EE0" w:rsidRPr="00661E10" w:rsidRDefault="00445EE0" w:rsidP="009349F1">
            <w:pPr>
              <w:numPr>
                <w:ilvl w:val="0"/>
                <w:numId w:val="10"/>
              </w:numPr>
              <w:autoSpaceDE w:val="0"/>
              <w:autoSpaceDN w:val="0"/>
              <w:adjustRightInd w:val="0"/>
              <w:ind w:left="142" w:hanging="180"/>
              <w:contextualSpacing/>
              <w:jc w:val="left"/>
              <w:rPr>
                <w:rFonts w:cs="Calibri"/>
                <w:sz w:val="18"/>
                <w:szCs w:val="20"/>
              </w:rPr>
            </w:pPr>
            <w:r w:rsidRPr="00134B3C">
              <w:rPr>
                <w:rFonts w:cs="Calibri"/>
                <w:color w:val="000000"/>
                <w:sz w:val="20"/>
              </w:rPr>
              <w:t>Surveyed participants suggested improvements to the application communications, wait list, and application and rebate processing times so they can better manage their projects.</w:t>
            </w:r>
          </w:p>
        </w:tc>
        <w:tc>
          <w:tcPr>
            <w:tcW w:w="2609" w:type="dxa"/>
            <w:tcBorders>
              <w:top w:val="single" w:sz="8" w:space="0" w:color="448A99"/>
              <w:left w:val="single" w:sz="8" w:space="0" w:color="448A99"/>
              <w:bottom w:val="single" w:sz="8" w:space="0" w:color="448A99"/>
              <w:right w:val="single" w:sz="8" w:space="0" w:color="448A99"/>
            </w:tcBorders>
            <w:hideMark/>
          </w:tcPr>
          <w:p w:rsidR="00445EE0" w:rsidRPr="00661E10" w:rsidRDefault="00445EE0" w:rsidP="009349F1">
            <w:pPr>
              <w:numPr>
                <w:ilvl w:val="0"/>
                <w:numId w:val="10"/>
              </w:numPr>
              <w:autoSpaceDE w:val="0"/>
              <w:autoSpaceDN w:val="0"/>
              <w:adjustRightInd w:val="0"/>
              <w:ind w:left="142" w:hanging="180"/>
              <w:contextualSpacing/>
              <w:jc w:val="left"/>
              <w:rPr>
                <w:sz w:val="20"/>
                <w:szCs w:val="20"/>
              </w:rPr>
            </w:pPr>
            <w:r w:rsidRPr="00661E10">
              <w:rPr>
                <w:sz w:val="20"/>
                <w:szCs w:val="20"/>
              </w:rPr>
              <w:t>Program staff and implementer interviews (</w:t>
            </w:r>
            <w:r>
              <w:rPr>
                <w:sz w:val="20"/>
                <w:szCs w:val="20"/>
              </w:rPr>
              <w:t>n</w:t>
            </w:r>
            <w:r w:rsidRPr="00661E10">
              <w:rPr>
                <w:sz w:val="20"/>
                <w:szCs w:val="20"/>
              </w:rPr>
              <w:t>=2)</w:t>
            </w:r>
          </w:p>
          <w:p w:rsidR="00445EE0" w:rsidRPr="00661E10" w:rsidRDefault="00445EE0" w:rsidP="009349F1">
            <w:pPr>
              <w:numPr>
                <w:ilvl w:val="0"/>
                <w:numId w:val="10"/>
              </w:numPr>
              <w:autoSpaceDE w:val="0"/>
              <w:autoSpaceDN w:val="0"/>
              <w:adjustRightInd w:val="0"/>
              <w:ind w:left="142" w:hanging="180"/>
              <w:contextualSpacing/>
              <w:jc w:val="left"/>
              <w:rPr>
                <w:rFonts w:cs="Calibri"/>
                <w:sz w:val="20"/>
                <w:szCs w:val="20"/>
              </w:rPr>
            </w:pPr>
            <w:r w:rsidRPr="00661E10">
              <w:rPr>
                <w:sz w:val="20"/>
              </w:rPr>
              <w:t>Lighting participant surveys (</w:t>
            </w:r>
            <w:r>
              <w:rPr>
                <w:sz w:val="20"/>
                <w:szCs w:val="20"/>
              </w:rPr>
              <w:t>n</w:t>
            </w:r>
            <w:r w:rsidRPr="00661E10">
              <w:rPr>
                <w:sz w:val="20"/>
                <w:szCs w:val="20"/>
              </w:rPr>
              <w:t>=</w:t>
            </w:r>
            <w:r w:rsidRPr="00661E10">
              <w:rPr>
                <w:sz w:val="20"/>
              </w:rPr>
              <w:t>68)</w:t>
            </w:r>
          </w:p>
          <w:p w:rsidR="00445EE0" w:rsidRPr="00661E10" w:rsidRDefault="00445EE0" w:rsidP="009349F1">
            <w:pPr>
              <w:numPr>
                <w:ilvl w:val="0"/>
                <w:numId w:val="10"/>
              </w:numPr>
              <w:autoSpaceDE w:val="0"/>
              <w:autoSpaceDN w:val="0"/>
              <w:adjustRightInd w:val="0"/>
              <w:ind w:left="142" w:hanging="180"/>
              <w:contextualSpacing/>
              <w:jc w:val="left"/>
              <w:rPr>
                <w:rFonts w:cs="Calibri"/>
                <w:sz w:val="20"/>
                <w:szCs w:val="20"/>
              </w:rPr>
            </w:pPr>
            <w:r w:rsidRPr="00661E10">
              <w:rPr>
                <w:sz w:val="20"/>
              </w:rPr>
              <w:t>Equipment participant surveys (</w:t>
            </w:r>
            <w:r>
              <w:rPr>
                <w:sz w:val="20"/>
              </w:rPr>
              <w:t>n</w:t>
            </w:r>
            <w:r w:rsidRPr="00661E10">
              <w:rPr>
                <w:sz w:val="20"/>
                <w:szCs w:val="20"/>
              </w:rPr>
              <w:t>=</w:t>
            </w:r>
            <w:r w:rsidRPr="00661E10">
              <w:rPr>
                <w:sz w:val="20"/>
              </w:rPr>
              <w:t>12)</w:t>
            </w:r>
          </w:p>
          <w:p w:rsidR="00445EE0" w:rsidRPr="00661E10" w:rsidRDefault="00445EE0" w:rsidP="009349F1">
            <w:pPr>
              <w:numPr>
                <w:ilvl w:val="0"/>
                <w:numId w:val="10"/>
              </w:numPr>
              <w:autoSpaceDE w:val="0"/>
              <w:autoSpaceDN w:val="0"/>
              <w:adjustRightInd w:val="0"/>
              <w:ind w:left="142" w:hanging="180"/>
              <w:contextualSpacing/>
              <w:jc w:val="left"/>
              <w:rPr>
                <w:rFonts w:cs="Calibri"/>
                <w:sz w:val="20"/>
                <w:szCs w:val="20"/>
              </w:rPr>
            </w:pPr>
            <w:r w:rsidRPr="00661E10">
              <w:rPr>
                <w:sz w:val="20"/>
              </w:rPr>
              <w:t>Program database and participant records</w:t>
            </w:r>
          </w:p>
        </w:tc>
      </w:tr>
      <w:tr w:rsidR="00A874AC" w:rsidRPr="00661E10" w:rsidTr="00514A0E">
        <w:trPr>
          <w:trHeight w:val="141"/>
          <w:jc w:val="center"/>
        </w:trPr>
        <w:tc>
          <w:tcPr>
            <w:tcW w:w="1839" w:type="dxa"/>
            <w:tcBorders>
              <w:top w:val="single" w:sz="8" w:space="0" w:color="448A99"/>
              <w:left w:val="single" w:sz="8" w:space="0" w:color="448A99"/>
              <w:bottom w:val="single" w:sz="8" w:space="0" w:color="448A99"/>
              <w:right w:val="single" w:sz="8" w:space="0" w:color="448A99"/>
            </w:tcBorders>
            <w:shd w:val="clear" w:color="auto" w:fill="D2EAF1"/>
            <w:vAlign w:val="center"/>
          </w:tcPr>
          <w:p w:rsidR="00445EE0" w:rsidRPr="00661E10" w:rsidRDefault="00445EE0" w:rsidP="00445EE0">
            <w:pPr>
              <w:jc w:val="left"/>
              <w:rPr>
                <w:sz w:val="20"/>
              </w:rPr>
            </w:pPr>
            <w:r w:rsidRPr="00661E10">
              <w:rPr>
                <w:color w:val="000000"/>
                <w:sz w:val="20"/>
              </w:rPr>
              <w:t>Master Metered Low-Income Multifamily Housing Program</w:t>
            </w:r>
          </w:p>
        </w:tc>
        <w:tc>
          <w:tcPr>
            <w:tcW w:w="4923" w:type="dxa"/>
            <w:tcBorders>
              <w:top w:val="single" w:sz="8" w:space="0" w:color="448A99"/>
              <w:left w:val="single" w:sz="8" w:space="0" w:color="448A99"/>
              <w:bottom w:val="single" w:sz="8" w:space="0" w:color="448A99"/>
              <w:right w:val="single" w:sz="8" w:space="0" w:color="448A99"/>
            </w:tcBorders>
            <w:shd w:val="clear" w:color="auto" w:fill="D2EAF1"/>
          </w:tcPr>
          <w:p w:rsidR="00445EE0" w:rsidRPr="00134B3C" w:rsidRDefault="00445EE0" w:rsidP="009349F1">
            <w:pPr>
              <w:numPr>
                <w:ilvl w:val="0"/>
                <w:numId w:val="11"/>
              </w:numPr>
              <w:autoSpaceDE w:val="0"/>
              <w:autoSpaceDN w:val="0"/>
              <w:adjustRightInd w:val="0"/>
              <w:ind w:left="187" w:hanging="187"/>
              <w:contextualSpacing/>
              <w:jc w:val="left"/>
              <w:rPr>
                <w:sz w:val="18"/>
              </w:rPr>
            </w:pPr>
            <w:r w:rsidRPr="00134B3C">
              <w:rPr>
                <w:sz w:val="20"/>
              </w:rPr>
              <w:t xml:space="preserve">The program exceeded its planned energy savings in PY7 but did not meet the plan for Phase II. </w:t>
            </w:r>
            <w:r w:rsidRPr="00134B3C">
              <w:rPr>
                <w:rFonts w:cs="Calibri"/>
                <w:color w:val="000000"/>
                <w:sz w:val="20"/>
                <w:szCs w:val="20"/>
              </w:rPr>
              <w:t>The program will not be offered in Phase III as a standalone program but all multifamily programs are eligible for other programs in Phase III.</w:t>
            </w:r>
          </w:p>
          <w:p w:rsidR="00445EE0" w:rsidRPr="00134B3C" w:rsidRDefault="00445EE0" w:rsidP="009349F1">
            <w:pPr>
              <w:numPr>
                <w:ilvl w:val="0"/>
                <w:numId w:val="11"/>
              </w:numPr>
              <w:autoSpaceDE w:val="0"/>
              <w:autoSpaceDN w:val="0"/>
              <w:adjustRightInd w:val="0"/>
              <w:ind w:left="187" w:hanging="187"/>
              <w:contextualSpacing/>
              <w:jc w:val="left"/>
              <w:rPr>
                <w:sz w:val="18"/>
              </w:rPr>
            </w:pPr>
            <w:r w:rsidRPr="00134B3C">
              <w:rPr>
                <w:rFonts w:cs="Calibri"/>
                <w:color w:val="000000"/>
                <w:sz w:val="20"/>
                <w:szCs w:val="20"/>
              </w:rPr>
              <w:t>Program staff reported that upfront costs, tight operating budgets, and a reluctance to take on additional debt were the most important reasons why some building owners/operators did not participate after receiving an audit or did not do comprehensive upgrades.</w:t>
            </w:r>
          </w:p>
          <w:p w:rsidR="00445EE0" w:rsidRPr="00134B3C" w:rsidRDefault="00445EE0" w:rsidP="009349F1">
            <w:pPr>
              <w:numPr>
                <w:ilvl w:val="0"/>
                <w:numId w:val="11"/>
              </w:numPr>
              <w:autoSpaceDE w:val="0"/>
              <w:autoSpaceDN w:val="0"/>
              <w:adjustRightInd w:val="0"/>
              <w:ind w:left="187" w:hanging="187"/>
              <w:contextualSpacing/>
              <w:jc w:val="left"/>
              <w:rPr>
                <w:sz w:val="18"/>
              </w:rPr>
            </w:pPr>
            <w:r w:rsidRPr="00134B3C">
              <w:rPr>
                <w:rFonts w:cs="Calibri"/>
                <w:color w:val="000000"/>
                <w:sz w:val="20"/>
                <w:szCs w:val="20"/>
              </w:rPr>
              <w:t>Interviewed staff reported that they were pleased with the addition of nursing home buildings to the program in PY7; it helped them meet program goals without increasing marketing and outreach.</w:t>
            </w:r>
          </w:p>
          <w:p w:rsidR="00445EE0" w:rsidRPr="00134B3C" w:rsidRDefault="00445EE0" w:rsidP="009349F1">
            <w:pPr>
              <w:numPr>
                <w:ilvl w:val="0"/>
                <w:numId w:val="11"/>
              </w:numPr>
              <w:autoSpaceDE w:val="0"/>
              <w:autoSpaceDN w:val="0"/>
              <w:adjustRightInd w:val="0"/>
              <w:ind w:left="187" w:hanging="187"/>
              <w:contextualSpacing/>
              <w:jc w:val="left"/>
              <w:rPr>
                <w:sz w:val="18"/>
              </w:rPr>
            </w:pPr>
            <w:r w:rsidRPr="00134B3C">
              <w:rPr>
                <w:rFonts w:cs="Calibri"/>
                <w:color w:val="000000"/>
                <w:sz w:val="20"/>
                <w:szCs w:val="20"/>
              </w:rPr>
              <w:t>Cadmus did not find any customer complaints or safety violations for PY7.</w:t>
            </w:r>
          </w:p>
          <w:p w:rsidR="00445EE0" w:rsidRPr="00134B3C" w:rsidRDefault="00445EE0" w:rsidP="009349F1">
            <w:pPr>
              <w:numPr>
                <w:ilvl w:val="0"/>
                <w:numId w:val="11"/>
              </w:numPr>
              <w:autoSpaceDE w:val="0"/>
              <w:autoSpaceDN w:val="0"/>
              <w:adjustRightInd w:val="0"/>
              <w:ind w:left="187" w:hanging="187"/>
              <w:contextualSpacing/>
              <w:jc w:val="left"/>
              <w:rPr>
                <w:sz w:val="18"/>
              </w:rPr>
            </w:pPr>
            <w:r w:rsidRPr="00134B3C">
              <w:rPr>
                <w:rFonts w:cs="Calibri"/>
                <w:color w:val="000000"/>
                <w:sz w:val="20"/>
                <w:szCs w:val="20"/>
              </w:rPr>
              <w:t>Most surveyed tenants (78%) reported high satisfaction with the installation contractors, but this was significantly lower than in PY6 (95%); nearly all respondents (94%) who completed the tenant energy education workshop reported high satisfaction with the workshops.</w:t>
            </w:r>
          </w:p>
          <w:p w:rsidR="00445EE0" w:rsidRPr="00661E10" w:rsidRDefault="00445EE0" w:rsidP="009349F1">
            <w:pPr>
              <w:numPr>
                <w:ilvl w:val="0"/>
                <w:numId w:val="10"/>
              </w:numPr>
              <w:autoSpaceDE w:val="0"/>
              <w:autoSpaceDN w:val="0"/>
              <w:adjustRightInd w:val="0"/>
              <w:ind w:left="142" w:hanging="180"/>
              <w:contextualSpacing/>
              <w:jc w:val="left"/>
              <w:rPr>
                <w:sz w:val="20"/>
              </w:rPr>
            </w:pPr>
            <w:r w:rsidRPr="00134B3C">
              <w:rPr>
                <w:rFonts w:cs="Calibri"/>
                <w:color w:val="000000"/>
                <w:sz w:val="20"/>
                <w:szCs w:val="20"/>
              </w:rPr>
              <w:t>LEDs constituted 94% of products installed in tenant units, and 77% of respondents reported high satisfaction with the LEDs.</w:t>
            </w:r>
          </w:p>
        </w:tc>
        <w:tc>
          <w:tcPr>
            <w:tcW w:w="2609" w:type="dxa"/>
            <w:tcBorders>
              <w:top w:val="single" w:sz="8" w:space="0" w:color="448A99"/>
              <w:left w:val="single" w:sz="8" w:space="0" w:color="448A99"/>
              <w:bottom w:val="single" w:sz="8" w:space="0" w:color="448A99"/>
              <w:right w:val="single" w:sz="8" w:space="0" w:color="448A99"/>
            </w:tcBorders>
            <w:shd w:val="clear" w:color="auto" w:fill="D2EAF1"/>
          </w:tcPr>
          <w:p w:rsidR="00445EE0" w:rsidRPr="00134B3C" w:rsidRDefault="00445EE0" w:rsidP="009349F1">
            <w:pPr>
              <w:numPr>
                <w:ilvl w:val="0"/>
                <w:numId w:val="12"/>
              </w:numPr>
              <w:ind w:left="187" w:hanging="187"/>
              <w:contextualSpacing/>
              <w:jc w:val="left"/>
              <w:rPr>
                <w:sz w:val="20"/>
                <w:szCs w:val="20"/>
              </w:rPr>
            </w:pPr>
            <w:r w:rsidRPr="00134B3C">
              <w:rPr>
                <w:sz w:val="20"/>
                <w:szCs w:val="20"/>
              </w:rPr>
              <w:t>Program staff and implementer interviews (n=2)</w:t>
            </w:r>
          </w:p>
          <w:p w:rsidR="00445EE0" w:rsidRPr="00134B3C" w:rsidRDefault="00445EE0" w:rsidP="009349F1">
            <w:pPr>
              <w:numPr>
                <w:ilvl w:val="0"/>
                <w:numId w:val="12"/>
              </w:numPr>
              <w:ind w:left="187" w:hanging="187"/>
              <w:contextualSpacing/>
              <w:jc w:val="left"/>
              <w:rPr>
                <w:sz w:val="20"/>
                <w:szCs w:val="20"/>
              </w:rPr>
            </w:pPr>
            <w:r w:rsidRPr="00134B3C">
              <w:rPr>
                <w:sz w:val="20"/>
                <w:szCs w:val="20"/>
              </w:rPr>
              <w:t>Leave-behind tenant postcards (n=44)</w:t>
            </w:r>
          </w:p>
          <w:p w:rsidR="00445EE0" w:rsidRPr="00134B3C" w:rsidRDefault="00445EE0" w:rsidP="009349F1">
            <w:pPr>
              <w:numPr>
                <w:ilvl w:val="0"/>
                <w:numId w:val="12"/>
              </w:numPr>
              <w:ind w:left="187" w:hanging="187"/>
              <w:contextualSpacing/>
              <w:jc w:val="left"/>
              <w:rPr>
                <w:sz w:val="20"/>
                <w:szCs w:val="20"/>
              </w:rPr>
            </w:pPr>
            <w:r w:rsidRPr="00134B3C">
              <w:rPr>
                <w:sz w:val="20"/>
                <w:szCs w:val="20"/>
              </w:rPr>
              <w:t>Tenant education workshop satisfaction surveys (n=156)</w:t>
            </w:r>
          </w:p>
          <w:p w:rsidR="00445EE0" w:rsidRPr="00134B3C" w:rsidRDefault="00445EE0" w:rsidP="009349F1">
            <w:pPr>
              <w:numPr>
                <w:ilvl w:val="0"/>
                <w:numId w:val="12"/>
              </w:numPr>
              <w:ind w:left="187" w:hanging="187"/>
              <w:contextualSpacing/>
              <w:jc w:val="left"/>
              <w:rPr>
                <w:sz w:val="20"/>
                <w:szCs w:val="20"/>
              </w:rPr>
            </w:pPr>
            <w:r w:rsidRPr="00134B3C">
              <w:rPr>
                <w:sz w:val="20"/>
                <w:szCs w:val="20"/>
              </w:rPr>
              <w:t>Program database and participating building records (n=50)</w:t>
            </w:r>
          </w:p>
          <w:p w:rsidR="00445EE0" w:rsidRPr="00661E10" w:rsidRDefault="00445EE0" w:rsidP="009349F1">
            <w:pPr>
              <w:numPr>
                <w:ilvl w:val="0"/>
                <w:numId w:val="10"/>
              </w:numPr>
              <w:autoSpaceDE w:val="0"/>
              <w:autoSpaceDN w:val="0"/>
              <w:adjustRightInd w:val="0"/>
              <w:ind w:left="142" w:hanging="180"/>
              <w:contextualSpacing/>
              <w:jc w:val="left"/>
              <w:rPr>
                <w:sz w:val="20"/>
                <w:szCs w:val="20"/>
              </w:rPr>
            </w:pPr>
            <w:r w:rsidRPr="00134B3C">
              <w:rPr>
                <w:sz w:val="20"/>
                <w:szCs w:val="20"/>
              </w:rPr>
              <w:t>EEMIS database</w:t>
            </w:r>
          </w:p>
        </w:tc>
      </w:tr>
    </w:tbl>
    <w:p w:rsidR="00183636" w:rsidRPr="00183636" w:rsidRDefault="00183636" w:rsidP="00183636"/>
    <w:p w:rsidR="00950837" w:rsidRDefault="00950837" w:rsidP="0043541C">
      <w:pPr>
        <w:pStyle w:val="AppendixAHeading2"/>
      </w:pPr>
      <w:r>
        <w:t>Statewide Evaluator Audit Activities and Findings</w:t>
      </w:r>
    </w:p>
    <w:p w:rsidR="00C737E8" w:rsidRPr="00C737E8" w:rsidRDefault="00C737E8" w:rsidP="00C737E8">
      <w:r w:rsidRPr="00C737E8">
        <w:t xml:space="preserve">This section presents the activities of the SWE Team’s audits of </w:t>
      </w:r>
      <w:r>
        <w:t>PPL</w:t>
      </w:r>
      <w:r w:rsidRPr="00C737E8">
        <w:t>’s portfolio of programs. It provides summary information and key findings from the SWE Team’s residential, low-income, non-residential, and NTG and process evaluation audit activities.</w:t>
      </w:r>
    </w:p>
    <w:p w:rsidR="00C737E8" w:rsidRPr="00C737E8" w:rsidRDefault="00C737E8" w:rsidP="00C737E8"/>
    <w:p w:rsidR="00950837" w:rsidRDefault="00950837" w:rsidP="00D34B3E">
      <w:pPr>
        <w:pStyle w:val="AppendixAHeading3"/>
      </w:pPr>
      <w:r>
        <w:t>Residential Program Audit Summary</w:t>
      </w:r>
    </w:p>
    <w:p w:rsidR="00CC15F9" w:rsidRPr="0089176C" w:rsidRDefault="00CC15F9" w:rsidP="00CC15F9">
      <w:pPr>
        <w:pStyle w:val="AppendixAHeading4"/>
      </w:pPr>
      <w:r w:rsidRPr="0089176C">
        <w:t>Appliance Recycling</w:t>
      </w:r>
    </w:p>
    <w:p w:rsidR="00CC15F9" w:rsidRDefault="00CC15F9" w:rsidP="00CC15F9">
      <w:r w:rsidRPr="0089176C">
        <w:t xml:space="preserve">In PY7, the PPL </w:t>
      </w:r>
      <w:r w:rsidR="00D90336">
        <w:t>Appliance R</w:t>
      </w:r>
      <w:r w:rsidRPr="0089176C">
        <w:t xml:space="preserve">ecycling </w:t>
      </w:r>
      <w:r w:rsidR="00D90336">
        <w:t>P</w:t>
      </w:r>
      <w:r w:rsidRPr="0089176C">
        <w:t>rogram includes rebates for room air conditioners, refrigerators, and freezers. For all programs, the SWE c</w:t>
      </w:r>
      <w:r>
        <w:t>onfirmed the accuracy of the ex-</w:t>
      </w:r>
      <w:r w:rsidRPr="0089176C">
        <w:t>ante savings adjustments and the weighted average calculations versus the 2015 TRM. Cadmus used the NTG</w:t>
      </w:r>
      <w:r w:rsidR="00D90336">
        <w:t>Rs</w:t>
      </w:r>
      <w:r w:rsidRPr="0089176C">
        <w:t xml:space="preserve"> that were determined in PY6 for the Appliance Recycling Program for the PY7 program.</w:t>
      </w:r>
    </w:p>
    <w:p w:rsidR="00CC15F9" w:rsidRPr="0089176C" w:rsidRDefault="00CC15F9" w:rsidP="00CC15F9"/>
    <w:p w:rsidR="00CC15F9" w:rsidRDefault="00CC15F9" w:rsidP="00CC15F9">
      <w:r w:rsidRPr="0089176C">
        <w:t xml:space="preserve">GDS notes that JACO Environmental, the </w:t>
      </w:r>
      <w:r w:rsidR="00D90336">
        <w:t>i</w:t>
      </w:r>
      <w:r w:rsidRPr="0089176C">
        <w:t>mplementation Conservation Service Provider</w:t>
      </w:r>
      <w:r w:rsidR="00D92D74">
        <w:t xml:space="preserve"> </w:t>
      </w:r>
      <w:r w:rsidRPr="0089176C">
        <w:t>(ICSP) for PPL, abruptly went out of business during PY7 and</w:t>
      </w:r>
      <w:r w:rsidR="00D90336">
        <w:t xml:space="preserve"> that</w:t>
      </w:r>
      <w:r w:rsidRPr="0089176C">
        <w:t xml:space="preserve"> this lead to a decrease in program participation. However, </w:t>
      </w:r>
      <w:r w:rsidR="00C77E07">
        <w:t>PPL still surpassed its savings targets for this program.</w:t>
      </w:r>
    </w:p>
    <w:p w:rsidR="00CC15F9" w:rsidRPr="0089176C" w:rsidRDefault="00CC15F9" w:rsidP="00CC15F9">
      <w:r w:rsidRPr="0089176C">
        <w:t xml:space="preserve"> </w:t>
      </w:r>
    </w:p>
    <w:p w:rsidR="00CC15F9" w:rsidRDefault="00CC15F9" w:rsidP="00CC15F9">
      <w:r w:rsidRPr="0089176C">
        <w:t>The SWE Team found no reportable errors and agrees with PPL’s verified gross savings findings for the Appliance Recycling Program.</w:t>
      </w:r>
    </w:p>
    <w:p w:rsidR="00CC15F9" w:rsidRPr="0089176C" w:rsidRDefault="00CC15F9" w:rsidP="00CC15F9"/>
    <w:p w:rsidR="00CC15F9" w:rsidRDefault="00CC15F9" w:rsidP="00CC15F9">
      <w:pPr>
        <w:pStyle w:val="AppendixAHeading4"/>
      </w:pPr>
      <w:r w:rsidRPr="0089176C">
        <w:t>Residential EE Behavior and Education</w:t>
      </w:r>
    </w:p>
    <w:p w:rsidR="00CC15F9" w:rsidRDefault="00CC15F9" w:rsidP="00CC15F9">
      <w:r w:rsidRPr="00FF4A0B">
        <w:t xml:space="preserve">PPL’s reported savings are based on a methodology employed by Allcott and </w:t>
      </w:r>
      <w:r w:rsidR="00D90336" w:rsidRPr="00FF4A0B">
        <w:t>Rogers</w:t>
      </w:r>
      <w:r w:rsidRPr="00FF4A0B">
        <w:t xml:space="preserve"> which is a regression technique that uses only post-treatment data and controls for differences in control and participant base usage patterns using pre-treatment usage independent variables as opposed to fixed effects parameters. The approach conforms with the </w:t>
      </w:r>
      <w:r w:rsidR="00D90336">
        <w:t>UMP p</w:t>
      </w:r>
      <w:r w:rsidRPr="00FF4A0B">
        <w:t>rotocol and the IPMV</w:t>
      </w:r>
      <w:r>
        <w:t>P</w:t>
      </w:r>
      <w:r w:rsidR="00D90336">
        <w:t xml:space="preserve"> O</w:t>
      </w:r>
      <w:r w:rsidRPr="00FF4A0B">
        <w:t>ption C. Participants were randomly assigned to treatment and control groups, and Cadmus analyzed pre-treatment average daily energy consumption to ensure that the treatment and control groups were evenly balanced.</w:t>
      </w:r>
    </w:p>
    <w:p w:rsidR="00CC15F9" w:rsidRPr="00FF4A0B" w:rsidRDefault="00CC15F9" w:rsidP="00CC15F9">
      <w:r w:rsidRPr="00FF4A0B">
        <w:t xml:space="preserve"> </w:t>
      </w:r>
    </w:p>
    <w:p w:rsidR="00CC15F9" w:rsidRDefault="00CC15F9" w:rsidP="00CC15F9">
      <w:r w:rsidRPr="00FF4A0B">
        <w:t xml:space="preserve">PPL performed a participation uplift analysis to identify the possibility of double counting savings attributed to both the Residential Energy-Efficiency Behavior and Education Program and other programs. The estimated impact was a total of 2,127 MWh/yr in PY7, representing 5.4% of the program’s total PY7 </w:t>
      </w:r>
      <w:r w:rsidRPr="00FF4A0B">
        <w:rPr>
          <w:i/>
        </w:rPr>
        <w:t>ex post</w:t>
      </w:r>
      <w:r w:rsidRPr="00FF4A0B">
        <w:t xml:space="preserve"> savings. These savings were subtracted from the residential portfolio, not from the Behavior and Education Program.</w:t>
      </w:r>
    </w:p>
    <w:p w:rsidR="00CC15F9" w:rsidRPr="00FF4A0B" w:rsidRDefault="00CC15F9" w:rsidP="00CC15F9"/>
    <w:p w:rsidR="00CC15F9" w:rsidRDefault="00CC15F9" w:rsidP="00CC15F9">
      <w:r w:rsidRPr="00FF4A0B">
        <w:t xml:space="preserve">The SWE Team reviewed the billing analysis output, equations, and statistics and confirmed that the approach is sound and the conclusions reasonable. The SWE Team agrees with PPL’s verified gross savings findings for the Residential Energy-Efficiency Behavior and Education Program.  </w:t>
      </w:r>
    </w:p>
    <w:p w:rsidR="00CC15F9" w:rsidRPr="006B1426" w:rsidRDefault="00CC15F9" w:rsidP="00CC15F9"/>
    <w:p w:rsidR="00CC15F9" w:rsidRDefault="00CC15F9" w:rsidP="00CC15F9">
      <w:pPr>
        <w:pStyle w:val="AppendixAHeading4"/>
      </w:pPr>
      <w:r w:rsidRPr="0089176C">
        <w:t>Residential Home Comfort</w:t>
      </w:r>
    </w:p>
    <w:p w:rsidR="00CC15F9" w:rsidRDefault="00CC15F9" w:rsidP="0051612D">
      <w:r w:rsidRPr="0051612D">
        <w:t xml:space="preserve">The SWE Team reviewed each of the eleven strata of the RHC Program (Audits, Weatherization, Air-Source Heat Pumps (ASHP), Ductless Heat Pumps (DHP), Central Air-Conditioner, ECM Furnace Fans, </w:t>
      </w:r>
      <w:r w:rsidR="00623BE9" w:rsidRPr="0051612D">
        <w:t>Whole House Fans, Fuel-Switching, Pool Pumps, New Homes, and Manufactured Homes,</w:t>
      </w:r>
      <w:r w:rsidRPr="0051612D">
        <w:t xml:space="preserve"> to verify saving in PY7. </w:t>
      </w:r>
      <w:r w:rsidR="00D90336" w:rsidRPr="0051612D">
        <w:t>Five of these strata were added in PY7: air sealing, ECM furnace fans, whole house fan, central air conditioner, and above-group pool pumps</w:t>
      </w:r>
      <w:r w:rsidRPr="0051612D">
        <w:t>.</w:t>
      </w:r>
    </w:p>
    <w:p w:rsidR="0051612D" w:rsidRPr="0051612D" w:rsidRDefault="0051612D" w:rsidP="0051612D"/>
    <w:p w:rsidR="00CC15F9" w:rsidRDefault="00CC15F9" w:rsidP="0051612D">
      <w:r w:rsidRPr="0051612D">
        <w:t>Approximately 83% of the verified energy savings, and 89% of the verified demand savings, occur in the Efficient Equipment – HVAC program. This program includes Air-Source Heat Pumps (ASHP), Ductless Heat Pumps (DHP), Central Air-Conditioner, ECM Furnace Fans and Whole House Fans.</w:t>
      </w:r>
    </w:p>
    <w:p w:rsidR="0051612D" w:rsidRPr="0051612D" w:rsidRDefault="0051612D" w:rsidP="0051612D"/>
    <w:p w:rsidR="00CC15F9" w:rsidRPr="00A1290B" w:rsidRDefault="00CC15F9" w:rsidP="0051612D">
      <w:pPr>
        <w:spacing w:after="120"/>
      </w:pPr>
      <w:r w:rsidRPr="00A1290B">
        <w:t>Several changes in the 2015 TRM significantly impacted reported and verified savings in PY7:</w:t>
      </w:r>
    </w:p>
    <w:p w:rsidR="00CC15F9" w:rsidRPr="0051612D" w:rsidRDefault="00CC15F9" w:rsidP="00E646C9">
      <w:pPr>
        <w:pStyle w:val="ListParagraph"/>
        <w:numPr>
          <w:ilvl w:val="0"/>
          <w:numId w:val="93"/>
        </w:numPr>
        <w:ind w:left="360"/>
      </w:pPr>
      <w:r w:rsidRPr="0051612D">
        <w:t xml:space="preserve">Beginning with the 2015 TRM, </w:t>
      </w:r>
      <w:r w:rsidR="00D90336" w:rsidRPr="0051612D">
        <w:t>ASHP</w:t>
      </w:r>
      <w:r w:rsidRPr="0051612D">
        <w:t xml:space="preserve"> stipulated values for SEERb, EERb, and EERe are based on the customer’s existing cooling equipment, as opposed to default values established in prior TRMs.</w:t>
      </w:r>
    </w:p>
    <w:p w:rsidR="00CC15F9" w:rsidRPr="0051612D" w:rsidRDefault="00CC15F9" w:rsidP="00E646C9">
      <w:pPr>
        <w:pStyle w:val="ListParagraph"/>
        <w:numPr>
          <w:ilvl w:val="0"/>
          <w:numId w:val="93"/>
        </w:numPr>
        <w:ind w:left="360"/>
      </w:pPr>
      <w:r w:rsidRPr="0051612D">
        <w:t xml:space="preserve">The 2015 TRM pool pump algorithms broke out </w:t>
      </w:r>
      <w:r w:rsidR="00D90336" w:rsidRPr="0051612D">
        <w:t>HOU</w:t>
      </w:r>
      <w:r w:rsidRPr="0051612D">
        <w:t xml:space="preserve"> by filter mode and clean mode and used EDC data gathering for </w:t>
      </w:r>
      <w:r w:rsidR="00D90336" w:rsidRPr="0051612D">
        <w:t>CFs</w:t>
      </w:r>
      <w:r w:rsidRPr="0051612D">
        <w:t>.</w:t>
      </w:r>
    </w:p>
    <w:p w:rsidR="00CC15F9" w:rsidRPr="0051612D" w:rsidRDefault="00D90336" w:rsidP="00E646C9">
      <w:pPr>
        <w:pStyle w:val="ListParagraph"/>
        <w:numPr>
          <w:ilvl w:val="0"/>
          <w:numId w:val="93"/>
        </w:numPr>
        <w:ind w:left="360"/>
      </w:pPr>
      <w:r w:rsidRPr="0051612D">
        <w:t>DHPs</w:t>
      </w:r>
      <w:r w:rsidR="00CC15F9" w:rsidRPr="0051612D">
        <w:t xml:space="preserve"> were the top contributors to program savings in PY7, accounting for over half of the program’s reported energy savings. </w:t>
      </w:r>
      <w:r w:rsidR="00C77E07" w:rsidRPr="0051612D">
        <w:t xml:space="preserve">Participation increased from 1,177 in PY6 to 1,582 participants in PY7. </w:t>
      </w:r>
      <w:r w:rsidR="00CC15F9" w:rsidRPr="0051612D">
        <w:t xml:space="preserve">The large increase in energy savings was attributed to </w:t>
      </w:r>
      <w:r w:rsidR="00C77E07" w:rsidRPr="0051612D">
        <w:t xml:space="preserve">increased enrollment and to </w:t>
      </w:r>
      <w:r w:rsidR="00CC15F9" w:rsidRPr="0051612D">
        <w:t xml:space="preserve">the updates to the </w:t>
      </w:r>
      <w:r w:rsidRPr="0051612D">
        <w:t>DHP</w:t>
      </w:r>
      <w:r w:rsidR="00CC15F9" w:rsidRPr="0051612D">
        <w:t xml:space="preserve"> algorithm in the 2015 TRM, which involved adding an oversize factor and duct leakage factor</w:t>
      </w:r>
      <w:r w:rsidRPr="0051612D">
        <w:t>,</w:t>
      </w:r>
      <w:r w:rsidR="00CC15F9" w:rsidRPr="0051612D">
        <w:t xml:space="preserve"> to account for the fact that the baseline unit is typically oversized and that a percentage of the energy is lost to duct leakage (in ducted systems, but not ductless systems).</w:t>
      </w:r>
    </w:p>
    <w:p w:rsidR="00CC15F9" w:rsidRPr="00A1290B" w:rsidRDefault="00CC15F9" w:rsidP="00CC15F9">
      <w:pPr>
        <w:autoSpaceDE w:val="0"/>
        <w:autoSpaceDN w:val="0"/>
        <w:adjustRightInd w:val="0"/>
        <w:spacing w:after="120"/>
        <w:ind w:left="720"/>
        <w:contextualSpacing/>
      </w:pPr>
    </w:p>
    <w:p w:rsidR="00CC15F9" w:rsidRPr="00A1290B" w:rsidRDefault="00CC15F9" w:rsidP="00CC15F9">
      <w:pPr>
        <w:spacing w:after="120"/>
      </w:pPr>
      <w:r w:rsidRPr="00A1290B">
        <w:t xml:space="preserve">The SWE Team confirmed that Cadmus performed a records review of each major stratum of the RHC Program using samples that exceeded the required number to achieve the targeted confidence and precision. This process eliminated the need for the SWE Team to conduct additional desk audits.  Instead, the SWE Team reviewed a small sample of the existing records review to verify the accuracy of the information, and that the calculated savings values used the appropriate TRM values and algorithms. The SWE Team confirmed that all verified per-measure savings, participant counts, and program energy and demand impacts were consistent with the 2015 TRM. </w:t>
      </w:r>
    </w:p>
    <w:p w:rsidR="00CC15F9" w:rsidRPr="00A1290B" w:rsidRDefault="00CC15F9" w:rsidP="00CC15F9">
      <w:r w:rsidRPr="00A1290B">
        <w:t xml:space="preserve">Based on its review of Cadmus’s records, the SWE Team confirmed that the reported savings of the </w:t>
      </w:r>
      <w:r w:rsidR="00D90336">
        <w:t>RHC</w:t>
      </w:r>
      <w:r w:rsidRPr="00A1290B">
        <w:t xml:space="preserve"> Program were appropriately adjusted, and that the verified gross energy and demand savings calculations were reasonable and accurate.</w:t>
      </w:r>
    </w:p>
    <w:p w:rsidR="00CC15F9" w:rsidRPr="006B1426" w:rsidRDefault="00CC15F9" w:rsidP="00CC15F9"/>
    <w:p w:rsidR="00CC15F9" w:rsidRPr="0089176C" w:rsidRDefault="00CC15F9" w:rsidP="00CC15F9">
      <w:pPr>
        <w:pStyle w:val="AppendixAHeading4"/>
      </w:pPr>
      <w:r w:rsidRPr="0089176C">
        <w:t>Residential Retail</w:t>
      </w:r>
    </w:p>
    <w:p w:rsidR="00CC15F9" w:rsidRDefault="00CC15F9" w:rsidP="00CC15F9">
      <w:r>
        <w:t xml:space="preserve">The Residential Retail program for PY7 provides incentives for both upstream lighting purchases as well as downstream rebates on refrigerators and </w:t>
      </w:r>
      <w:r w:rsidR="00D90336">
        <w:t>HPWHs</w:t>
      </w:r>
      <w:r>
        <w:t xml:space="preserve">. </w:t>
      </w:r>
    </w:p>
    <w:p w:rsidR="009911E6" w:rsidRPr="00EE740B" w:rsidRDefault="009911E6" w:rsidP="00CC15F9"/>
    <w:p w:rsidR="00CC15F9" w:rsidRPr="0065134E" w:rsidRDefault="00CC15F9" w:rsidP="00CC15F9">
      <w:r w:rsidRPr="0065134E">
        <w:t xml:space="preserve">For the rebated equipment subsection of the </w:t>
      </w:r>
      <w:r w:rsidR="00D90336">
        <w:t>p</w:t>
      </w:r>
      <w:r w:rsidRPr="0065134E">
        <w:t xml:space="preserve">rogram, the SWE Team reviewed the data tracked in PPL’s database as well as the records reviews completed by Cadmus. The SWE Team confirmed that PPL’s tracking system was using the correct </w:t>
      </w:r>
      <w:r>
        <w:t xml:space="preserve">version of the </w:t>
      </w:r>
      <w:r w:rsidRPr="0065134E">
        <w:t xml:space="preserve">PA TRM deemed savings values or savings algorithm calculations. The SWE Team also verified a small sub-sample of Cadmus’s desk reviews for rebated equipment to confirm accurate make/model look-up functions and assignment of efficiency status. All energy and demand savings </w:t>
      </w:r>
      <w:r>
        <w:t>appear accurate and reasonable.</w:t>
      </w:r>
      <w:r w:rsidRPr="0065134E">
        <w:t xml:space="preserve"> </w:t>
      </w:r>
      <w:r w:rsidR="00D90336">
        <w:t>While the year-</w:t>
      </w:r>
      <w:r>
        <w:t>over</w:t>
      </w:r>
      <w:r w:rsidR="00D90336">
        <w:t>-</w:t>
      </w:r>
      <w:r>
        <w:t xml:space="preserve">year installation applicability to PY7 has improved over the lag that was noted in PY6, about one-third of the </w:t>
      </w:r>
      <w:r w:rsidR="00A870B5">
        <w:t>HPWH</w:t>
      </w:r>
      <w:r>
        <w:t xml:space="preserve">s were installed before the beginning of PY7. </w:t>
      </w:r>
    </w:p>
    <w:p w:rsidR="009911E6" w:rsidRPr="00EE740B" w:rsidRDefault="009911E6" w:rsidP="00CC15F9"/>
    <w:p w:rsidR="00251727" w:rsidRDefault="00CC15F9" w:rsidP="00CC15F9">
      <w:r w:rsidRPr="00633DCD">
        <w:t xml:space="preserve">For the upstream lighting component of the program, the SWE Team reviewed the data tracked in PPL’s database and tracking system to verify that PPL was using the appropriate savings values and algorithms from the 2015 TRM </w:t>
      </w:r>
      <w:r>
        <w:t>or 2014 TRM for PY7</w:t>
      </w:r>
      <w:r w:rsidRPr="00633DCD">
        <w:t xml:space="preserve">. </w:t>
      </w:r>
      <w:r>
        <w:t>A small amount of savings reported in PY7 was the result of an oversight of a PY5 invoice</w:t>
      </w:r>
      <w:r w:rsidR="00A870B5">
        <w:t>;</w:t>
      </w:r>
      <w:r>
        <w:t xml:space="preserve"> this savings was determined under the 2013 TRM lighting algorithms. The SWE reviewed the evaluation team’s sample that was pulled from the larger database in order to check for proper use of the </w:t>
      </w:r>
      <w:r w:rsidR="00A870B5">
        <w:t>CFs, ISRs, HOUs</w:t>
      </w:r>
      <w:r>
        <w:t>, and other deemed values.</w:t>
      </w:r>
    </w:p>
    <w:p w:rsidR="00CC15F9" w:rsidRPr="0065134E" w:rsidRDefault="00CC15F9" w:rsidP="00CC15F9">
      <w:r>
        <w:t xml:space="preserve"> </w:t>
      </w:r>
    </w:p>
    <w:p w:rsidR="00CC15F9" w:rsidRDefault="00CC15F9" w:rsidP="00CC15F9">
      <w:r>
        <w:t>The SWE also reviewed the cross-sector sales information provided by P</w:t>
      </w:r>
      <w:r w:rsidR="00A870B5">
        <w:t>PL and noted that the approach wa</w:t>
      </w:r>
      <w:r>
        <w:t>s identical to that of PY6</w:t>
      </w:r>
      <w:r w:rsidR="00C77E07">
        <w:t>, and resulted</w:t>
      </w:r>
      <w:r>
        <w:t xml:space="preserve"> in using the conservative estimate of 12% of residential bulbs sales showing up in non-residential sockets. This approach was born from the PY4 cross</w:t>
      </w:r>
      <w:r w:rsidR="00A870B5">
        <w:t>-</w:t>
      </w:r>
      <w:r>
        <w:t>sector analysis done by PPL and applied to PY7 sales numbers for residential LEDs.</w:t>
      </w:r>
    </w:p>
    <w:p w:rsidR="00CC15F9" w:rsidRPr="0065134E" w:rsidRDefault="00CC15F9" w:rsidP="00CC15F9"/>
    <w:p w:rsidR="00CC15F9" w:rsidRDefault="00CC15F9" w:rsidP="00CC15F9">
      <w:r w:rsidRPr="0065134E">
        <w:t>Based on the review described above, the SWE Team agrees with PPL’s verified gross savings findings for the Residential Retail Program.</w:t>
      </w:r>
    </w:p>
    <w:p w:rsidR="00CC15F9" w:rsidRPr="0065134E" w:rsidRDefault="00CC15F9" w:rsidP="00CC15F9"/>
    <w:p w:rsidR="00CC15F9" w:rsidRDefault="00CC15F9" w:rsidP="00CC15F9">
      <w:pPr>
        <w:pStyle w:val="AppendixAHeading4"/>
      </w:pPr>
      <w:r w:rsidRPr="005002F1">
        <w:t>Student and</w:t>
      </w:r>
      <w:r>
        <w:t xml:space="preserve"> Parent Education</w:t>
      </w:r>
    </w:p>
    <w:p w:rsidR="00CC15F9" w:rsidRDefault="00CC15F9" w:rsidP="00CC15F9">
      <w:r w:rsidRPr="00051795">
        <w:t xml:space="preserve">The Student and Parent Energy Efficiency Education Program provides school-based </w:t>
      </w:r>
      <w:r w:rsidR="00A870B5">
        <w:t>energy efficiency</w:t>
      </w:r>
      <w:r w:rsidRPr="00051795">
        <w:t xml:space="preserve"> education and take-home </w:t>
      </w:r>
      <w:r w:rsidR="00A870B5">
        <w:t>energy efficiency</w:t>
      </w:r>
      <w:r w:rsidRPr="00051795">
        <w:t xml:space="preserve"> kits that include low-cost items to install at home. The program includes five unique delivery components: student cohorts for elementary, primary</w:t>
      </w:r>
      <w:r>
        <w:t>,</w:t>
      </w:r>
      <w:r w:rsidRPr="00051795">
        <w:t xml:space="preserve"> and secondary schools, parent workshops, and participating classroom teachers. For the initial verification effort, the SWE Team verified that the program evaluation activities were consistent with PPL’s </w:t>
      </w:r>
      <w:r w:rsidR="00A870B5">
        <w:t>e</w:t>
      </w:r>
      <w:r w:rsidRPr="00051795">
        <w:t xml:space="preserve">valuation </w:t>
      </w:r>
      <w:r w:rsidR="00A870B5">
        <w:t>p</w:t>
      </w:r>
      <w:r w:rsidRPr="00051795">
        <w:t>lan. Cadmus used a combination of database review, records reviews, and phone</w:t>
      </w:r>
      <w:r w:rsidR="00A870B5">
        <w:t xml:space="preserve"> or </w:t>
      </w:r>
      <w:r w:rsidRPr="00051795">
        <w:t>internet surveys to calc</w:t>
      </w:r>
      <w:r>
        <w:t>ulate verified gross savings.</w:t>
      </w:r>
    </w:p>
    <w:p w:rsidR="00CC15F9" w:rsidRPr="00051795" w:rsidRDefault="00CC15F9" w:rsidP="00CC15F9">
      <w:r>
        <w:t xml:space="preserve">  </w:t>
      </w:r>
    </w:p>
    <w:p w:rsidR="00CC15F9" w:rsidRDefault="00CC15F9" w:rsidP="00CC15F9">
      <w:r w:rsidRPr="00051795">
        <w:t>The SWE Team verified that, for each measure type, savings were properly calculated and aligned with TRM savings and algorithms. The SWE Team also reviewed the survey data files and confirmed th</w:t>
      </w:r>
      <w:r w:rsidR="00A870B5">
        <w:t xml:space="preserve">e calculation of </w:t>
      </w:r>
      <w:r w:rsidRPr="00051795">
        <w:t>ISRs for the various technologies, where appropriate. Finally, the SWE Team reviewed Cadmus’s calculation of realization rates for the sample of participants in each delivery component, and confirmed the correct application of these realization rates to the</w:t>
      </w:r>
      <w:r>
        <w:t xml:space="preserve"> program population as a whole.</w:t>
      </w:r>
    </w:p>
    <w:p w:rsidR="00CC15F9" w:rsidRPr="00051795" w:rsidRDefault="00CC15F9" w:rsidP="00CC15F9"/>
    <w:p w:rsidR="00CC15F9" w:rsidRPr="00051795" w:rsidRDefault="00CC15F9" w:rsidP="00CC15F9">
      <w:r w:rsidRPr="00051795">
        <w:t>The SWE Team found no reportable errors and agrees with PPL’s verified gross savings findings for the Student and Parent Energy Efficiency Education Program.</w:t>
      </w:r>
    </w:p>
    <w:p w:rsidR="00CC15F9" w:rsidRPr="00CC15F9" w:rsidRDefault="00CC15F9" w:rsidP="00CC15F9"/>
    <w:p w:rsidR="00950837" w:rsidRDefault="00950837" w:rsidP="00D34B3E">
      <w:pPr>
        <w:pStyle w:val="AppendixAHeading3"/>
      </w:pPr>
      <w:r>
        <w:t>Low-Income Program and Audit Summary</w:t>
      </w:r>
    </w:p>
    <w:p w:rsidR="00CC15F9" w:rsidRPr="005002F1" w:rsidRDefault="00CC15F9" w:rsidP="00CC15F9">
      <w:pPr>
        <w:pStyle w:val="AppendixAHeading4"/>
        <w:rPr>
          <w:rFonts w:eastAsia="Calibri"/>
        </w:rPr>
      </w:pPr>
      <w:r w:rsidRPr="005002F1">
        <w:rPr>
          <w:rFonts w:eastAsia="Calibri"/>
        </w:rPr>
        <w:t>E-Power Wise Program</w:t>
      </w:r>
    </w:p>
    <w:p w:rsidR="00CC15F9" w:rsidRPr="004B4B06" w:rsidRDefault="00CC15F9" w:rsidP="004B4B06">
      <w:r w:rsidRPr="004B4B06">
        <w:t xml:space="preserve">PPL’s E-Power Wise Program provides low-income customers with kits containing basic measures such as CFLs, faucet aerators, low-flow showerheads, and LED nightlights. For its evaluation of the program, Cadmus adjusted the energy and demand savings resulting from 2015 TRM algorithms by applying </w:t>
      </w:r>
      <w:r w:rsidR="00A870B5" w:rsidRPr="004B4B06">
        <w:t>ISRs</w:t>
      </w:r>
      <w:r w:rsidRPr="004B4B06">
        <w:t xml:space="preserve"> determined through surveys of program participants. Ex-ante savings adjustments were made as a result of the review of the</w:t>
      </w:r>
      <w:r w:rsidR="00623BE9" w:rsidRPr="004B4B06">
        <w:t xml:space="preserve"> Energy Efficiency Management Information System</w:t>
      </w:r>
      <w:r w:rsidRPr="004B4B06">
        <w:t xml:space="preserve"> </w:t>
      </w:r>
      <w:r w:rsidR="00623BE9" w:rsidRPr="004B4B06">
        <w:t>(</w:t>
      </w:r>
      <w:r w:rsidRPr="004B4B06">
        <w:t>EEMIS</w:t>
      </w:r>
      <w:r w:rsidR="00623BE9" w:rsidRPr="004B4B06">
        <w:t>)</w:t>
      </w:r>
      <w:r w:rsidRPr="004B4B06">
        <w:t xml:space="preserve"> against records in the </w:t>
      </w:r>
      <w:r w:rsidR="00A870B5" w:rsidRPr="004B4B06">
        <w:t xml:space="preserve">implementer </w:t>
      </w:r>
      <w:r w:rsidRPr="004B4B06">
        <w:t>CSP database. Several kit records were duplicate</w:t>
      </w:r>
      <w:r w:rsidR="00A870B5" w:rsidRPr="004B4B06">
        <w:t xml:space="preserve">d in the EEMIS, but not in the implementer </w:t>
      </w:r>
      <w:r w:rsidRPr="004B4B06">
        <w:t>CSP data. Overall</w:t>
      </w:r>
      <w:r w:rsidR="00A870B5" w:rsidRPr="004B4B06">
        <w:t>,</w:t>
      </w:r>
      <w:r w:rsidRPr="004B4B06">
        <w:t xml:space="preserve"> the program realization rates for energy and demand were 91% and 40%, respectively.</w:t>
      </w:r>
    </w:p>
    <w:p w:rsidR="00CC15F9" w:rsidRPr="004B4B06" w:rsidRDefault="00CC15F9" w:rsidP="004B4B06">
      <w:pPr>
        <w:rPr>
          <w:highlight w:val="lightGray"/>
        </w:rPr>
      </w:pPr>
    </w:p>
    <w:p w:rsidR="00CC15F9" w:rsidRDefault="00CC15F9" w:rsidP="004B4B06">
      <w:r w:rsidRPr="004B4B06">
        <w:t xml:space="preserve">The SWE Team reproduced Cadmus’s per-measure calculations using these </w:t>
      </w:r>
      <w:r w:rsidR="00A870B5" w:rsidRPr="004B4B06">
        <w:t>ISRs</w:t>
      </w:r>
      <w:r w:rsidRPr="004B4B06">
        <w:t>, reviewed the calculation of behaviorally based savings, and verified that the energy and demand</w:t>
      </w:r>
      <w:r w:rsidR="00A870B5" w:rsidRPr="004B4B06">
        <w:t xml:space="preserve"> savings reported in PPL’s PY7 a</w:t>
      </w:r>
      <w:r w:rsidRPr="004B4B06">
        <w:t xml:space="preserve">nnual </w:t>
      </w:r>
      <w:r w:rsidR="00A870B5" w:rsidRPr="004B4B06">
        <w:t>r</w:t>
      </w:r>
      <w:r w:rsidRPr="004B4B06">
        <w:t>eport were accurate.</w:t>
      </w:r>
    </w:p>
    <w:p w:rsidR="004B4B06" w:rsidRPr="004B4B06" w:rsidRDefault="004B4B06" w:rsidP="004B4B06"/>
    <w:p w:rsidR="00CC15F9" w:rsidRPr="0034212D" w:rsidRDefault="00CC15F9" w:rsidP="00CC15F9">
      <w:pPr>
        <w:pStyle w:val="AppendixAHeading4"/>
      </w:pPr>
      <w:r w:rsidRPr="0034212D">
        <w:t>Wise Home Pilot</w:t>
      </w:r>
      <w:r w:rsidR="00EC0A8F">
        <w:t xml:space="preserve"> – A Component of the E-Power Wise Program</w:t>
      </w:r>
    </w:p>
    <w:p w:rsidR="00CC15F9" w:rsidRDefault="00702765" w:rsidP="004B4B06">
      <w:r w:rsidRPr="004B4B06">
        <w:t>PPL</w:t>
      </w:r>
      <w:r w:rsidR="00CC15F9" w:rsidRPr="004B4B06">
        <w:t xml:space="preserve"> introduced the Wise Home Pilot in PY7, which targeted the manufactured home segment within the E-Power Wise Program’s eligible participants. The pilot offered two types of weatherization treatments through direct-install: one provided a full treatment that included air sealing and duct sealing, </w:t>
      </w:r>
      <w:r w:rsidR="00A870B5" w:rsidRPr="004B4B06">
        <w:t xml:space="preserve">and </w:t>
      </w:r>
      <w:r w:rsidR="00CC15F9" w:rsidRPr="004B4B06">
        <w:t>the other was a partial treatment that only include</w:t>
      </w:r>
      <w:r w:rsidR="00A870B5" w:rsidRPr="004B4B06">
        <w:t>d</w:t>
      </w:r>
      <w:r w:rsidR="00CC15F9" w:rsidRPr="004B4B06">
        <w:t xml:space="preserve"> air sealing. Both treatments included simple weatherization treatments and water efficiency treatments.</w:t>
      </w:r>
    </w:p>
    <w:p w:rsidR="004B4B06" w:rsidRPr="004B4B06" w:rsidRDefault="004B4B06" w:rsidP="004B4B06"/>
    <w:p w:rsidR="00CC15F9" w:rsidRDefault="00CC15F9" w:rsidP="004B4B06">
      <w:r w:rsidRPr="004B4B06">
        <w:t>Cadmus identified 78 data</w:t>
      </w:r>
      <w:r w:rsidR="00A870B5" w:rsidRPr="004B4B06">
        <w:t>-</w:t>
      </w:r>
      <w:r w:rsidRPr="004B4B06">
        <w:t xml:space="preserve">entry errors in </w:t>
      </w:r>
      <w:r w:rsidR="00A870B5" w:rsidRPr="004B4B06">
        <w:t>its</w:t>
      </w:r>
      <w:r w:rsidRPr="004B4B06">
        <w:t xml:space="preserve"> review of the EEMIS data, but these had minimal impact on the overall realization rate. The evaluation for the Wise Home Pilot included a </w:t>
      </w:r>
      <w:r w:rsidR="002676DB" w:rsidRPr="004B4B06">
        <w:t xml:space="preserve">randomized control trial and </w:t>
      </w:r>
      <w:r w:rsidRPr="004B4B06">
        <w:t xml:space="preserve">billing analysis to evaluate energy savings based on differences in consumption before and after the home weatherization between treatment and control groups, where applicable. </w:t>
      </w:r>
    </w:p>
    <w:p w:rsidR="004B4B06" w:rsidRPr="004B4B06" w:rsidRDefault="004B4B06" w:rsidP="004B4B06"/>
    <w:p w:rsidR="00BA421E" w:rsidRPr="004B4B06" w:rsidRDefault="00BA421E" w:rsidP="004B4B06">
      <w:r w:rsidRPr="004B4B06">
        <w:t>The SWE Team reviewed the billing analysis output, equations, and statistics and confirmed that the</w:t>
      </w:r>
      <w:r w:rsidR="00FD03DC">
        <w:t>y</w:t>
      </w:r>
      <w:r w:rsidRPr="004B4B06">
        <w:t xml:space="preserve"> did impact the pilot realization rate. A review of data entry procedures would help to control issues around data entry errors.</w:t>
      </w:r>
    </w:p>
    <w:p w:rsidR="004B4B06" w:rsidRDefault="004B4B06" w:rsidP="004B4B06"/>
    <w:p w:rsidR="00EE3086" w:rsidRDefault="00EE3086" w:rsidP="004B4B06"/>
    <w:p w:rsidR="00CC15F9" w:rsidRDefault="00CC15F9" w:rsidP="00CC15F9">
      <w:pPr>
        <w:pStyle w:val="AppendixAHeading4"/>
      </w:pPr>
      <w:r w:rsidRPr="005002F1">
        <w:t>Low-Income EE Behavior and Education</w:t>
      </w:r>
    </w:p>
    <w:p w:rsidR="00CC15F9" w:rsidRDefault="00CC15F9" w:rsidP="00CC15F9">
      <w:r>
        <w:t xml:space="preserve">PPL began offering the Low-Income EE Behavior and Education program midyear in PY6 and continued </w:t>
      </w:r>
      <w:r w:rsidR="00A870B5">
        <w:t xml:space="preserve">it </w:t>
      </w:r>
      <w:r>
        <w:t xml:space="preserve">through PY7. PPL used the same regression analysis as the one employed to estimate program impacts for the Residential EE Behavior and Education program. PPL also performed a savings uplift analysis to identify possible double counting of savings. The uplift analysis concluded that 2.1% of PY7 </w:t>
      </w:r>
      <w:r w:rsidRPr="00D0558D">
        <w:rPr>
          <w:i/>
        </w:rPr>
        <w:t>ex post</w:t>
      </w:r>
      <w:r>
        <w:t xml:space="preserve"> savings were attributable to other efficiency programs, equating to 223 MWh/yr. These savings were subtracted from the residential portfolio to correct for double-counting, but not from the Low-Income EE Behavior and Education savings estimates.</w:t>
      </w:r>
    </w:p>
    <w:p w:rsidR="00CC15F9" w:rsidRDefault="00CC15F9" w:rsidP="00CC15F9"/>
    <w:p w:rsidR="00CC15F9" w:rsidRDefault="00CC15F9" w:rsidP="00CC15F9">
      <w:r>
        <w:t xml:space="preserve">The SWE Team reviewed the billing analysis output, equations, and statistics and confirmed that the approach is sound and the conclusions reasonable. The SWE Team agrees with PPL’s verified gross savings findings for the Low-Income Residential Energy-Efficiency Behavior and Education Program. </w:t>
      </w:r>
    </w:p>
    <w:p w:rsidR="00CC15F9" w:rsidRDefault="00CC15F9" w:rsidP="00CC15F9">
      <w:r>
        <w:t xml:space="preserve"> </w:t>
      </w:r>
    </w:p>
    <w:p w:rsidR="00CC15F9" w:rsidRPr="00A61C62" w:rsidRDefault="00CC15F9" w:rsidP="00CC15F9">
      <w:pPr>
        <w:pStyle w:val="AppendixAHeading4"/>
        <w:rPr>
          <w:rFonts w:eastAsia="Calibri"/>
        </w:rPr>
      </w:pPr>
      <w:r w:rsidRPr="00A61C62">
        <w:rPr>
          <w:rFonts w:eastAsia="Calibri"/>
        </w:rPr>
        <w:t>Low-Income WRAP</w:t>
      </w:r>
    </w:p>
    <w:p w:rsidR="00CC15F9" w:rsidRDefault="00CC15F9" w:rsidP="004B4B06">
      <w:r w:rsidRPr="004B4B06">
        <w:t xml:space="preserve">The program evaluation for the PY7 WRAP included a billing analysis of participating customers with a monthly fixed-effects model. The billing analysis was conducted on participants from PY4 and PY5. Only baseload jobs were installed in PY5; therefore, the low-cost and full-cost savings per job were based on customer usage analysis of only PY4 participants because there </w:t>
      </w:r>
      <w:r w:rsidR="00A870B5" w:rsidRPr="004B4B06">
        <w:t>were</w:t>
      </w:r>
      <w:r w:rsidRPr="004B4B06">
        <w:t xml:space="preserve"> no PY5 data for these jobs. The full-cost job savings estimate was based on usage from more than 500 PY4 homes, consistent with the Phase II Evaluation Framework guidance. The SWE Team confirmed that the billing analysis followed PPL’s program evaluation plan and the Pennsylvania Mass Market protocol. The SWE Team also reviewed the billing analysis output, equations, and statistics and confirmed that the approach is sound and the conclusions reasonable.</w:t>
      </w:r>
    </w:p>
    <w:p w:rsidR="004B4B06" w:rsidRPr="004B4B06" w:rsidRDefault="004B4B06" w:rsidP="004B4B06"/>
    <w:p w:rsidR="00CC15F9" w:rsidRDefault="00CC15F9" w:rsidP="004B4B06">
      <w:r w:rsidRPr="004B4B06">
        <w:t>PPL also performed customer-specific modeling using the Princeton Scorekeeping Method (PRISM) to provide an alternative weather-normalization methodology</w:t>
      </w:r>
      <w:r w:rsidR="00A870B5" w:rsidRPr="004B4B06">
        <w:t>.</w:t>
      </w:r>
      <w:r w:rsidRPr="004B4B06">
        <w:t xml:space="preserve"> The SWE confirmed that the PRISM approach provided similar savings estimates as the monthly fixed-effects models.</w:t>
      </w:r>
    </w:p>
    <w:p w:rsidR="004B4B06" w:rsidRPr="004B4B06" w:rsidRDefault="004B4B06" w:rsidP="004B4B06"/>
    <w:p w:rsidR="00CC15F9" w:rsidRDefault="00CC15F9" w:rsidP="004B4B06">
      <w:r w:rsidRPr="004B4B06">
        <w:t xml:space="preserve">The SWE Team agrees with PPL’s verified gross savings findings for the Low-Income WRAP. </w:t>
      </w:r>
    </w:p>
    <w:p w:rsidR="004B4B06" w:rsidRPr="004B4B06" w:rsidRDefault="004B4B06" w:rsidP="004B4B06"/>
    <w:p w:rsidR="00CC15F9" w:rsidRPr="005E26AE" w:rsidRDefault="00CC15F9" w:rsidP="00CC15F9">
      <w:pPr>
        <w:pStyle w:val="AppendixAHeading4"/>
      </w:pPr>
      <w:r w:rsidRPr="005E26AE">
        <w:t>De Facto Heating Pilot</w:t>
      </w:r>
      <w:r w:rsidR="00BA421E">
        <w:t xml:space="preserve"> </w:t>
      </w:r>
      <w:r w:rsidR="00EC0A8F">
        <w:t>– A Component of the WRAP</w:t>
      </w:r>
      <w:r w:rsidR="0091502B">
        <w:t>)</w:t>
      </w:r>
    </w:p>
    <w:p w:rsidR="00BA421E" w:rsidRDefault="00BA421E" w:rsidP="004B4B06">
      <w:r w:rsidRPr="004B4B06">
        <w:t xml:space="preserve">PPL introduced the De Facto Heating Pilot in PY7. The pilot targets low-income households that use an inefficient or unsafe electric heat source, such as portable electric space heaters or an electric stove, in place of their inoperable fossil fuel heating system. Through the pilot, PPL Electric Utilities replaced the inoperable heating system of 12 participants with an efficient heat pump system. Some participants were also eligible to receive a heat pump water heater and full-cost products and services through the Winter Relief Assistance Program (WRAP). </w:t>
      </w:r>
    </w:p>
    <w:p w:rsidR="004B4B06" w:rsidRPr="004B4B06" w:rsidRDefault="004B4B06" w:rsidP="004B4B06"/>
    <w:p w:rsidR="00CC15F9" w:rsidRDefault="00CC15F9" w:rsidP="004B4B06">
      <w:r w:rsidRPr="004B4B06">
        <w:t xml:space="preserve">PPL </w:t>
      </w:r>
      <w:r w:rsidR="00BA421E" w:rsidRPr="004B4B06">
        <w:t>originally targeted up to 20 homes for installation of new ductless mini-splits. However, during the pilot, one house was found to already have ducts installed and the pilot was modified to include air source heat pumps. The pilot was also expanded to allow a customer who used kerosene, an electric stove, and an electric space heater to participate in the pilot</w:t>
      </w:r>
      <w:r w:rsidRPr="004B4B06">
        <w:t>.</w:t>
      </w:r>
    </w:p>
    <w:p w:rsidR="004B4B06" w:rsidRPr="004B4B06" w:rsidRDefault="004B4B06" w:rsidP="004B4B06"/>
    <w:p w:rsidR="00BA421E" w:rsidRDefault="00BA421E" w:rsidP="004B4B06">
      <w:r w:rsidRPr="004B4B06">
        <w:t>As the De Facto Heating measure began as an IMP to be incorporated into the 2016 TRM, the SWE Team confirmed the calculated savings for each measure was consist with the 2016 TRM section 2.2.3 for ductless mini-split heat pumps and the 2015 TRM for the remaining measures. The SWE Team found that the tracking database had accurate data fields and that the algorithms were in general agreement</w:t>
      </w:r>
      <w:r w:rsidRPr="00D62847">
        <w:t xml:space="preserve"> with the TRM. The Team also confirmed that Cadmus followed the December 2015 PPL Electric Utilities EM&amp;V Plan De Facto Heating Pilot Program and the use of the draft 2016 TRM for the mini-split heat pump savings. It was also confirmed that Cadmus made the appropriate adjustments when </w:t>
      </w:r>
      <w:r w:rsidRPr="00A1290B">
        <w:t xml:space="preserve">the </w:t>
      </w:r>
      <w:r w:rsidRPr="00D62847">
        <w:t xml:space="preserve">high-efficiency heat pump system </w:t>
      </w:r>
      <w:r w:rsidRPr="00A1290B">
        <w:t>was</w:t>
      </w:r>
      <w:r w:rsidRPr="00D62847">
        <w:t xml:space="preserve"> added to the pilot.</w:t>
      </w:r>
    </w:p>
    <w:p w:rsidR="00CC15F9" w:rsidRPr="00CC15F9" w:rsidRDefault="00CC15F9" w:rsidP="00CC15F9"/>
    <w:p w:rsidR="00950837" w:rsidRDefault="00950837" w:rsidP="00D34B3E">
      <w:pPr>
        <w:pStyle w:val="AppendixAHeading3"/>
      </w:pPr>
      <w:r>
        <w:t>Non-Residential Program Audit Summary</w:t>
      </w:r>
    </w:p>
    <w:p w:rsidR="009C7E38" w:rsidRDefault="009C7E38" w:rsidP="004B4B06">
      <w:r w:rsidRPr="004B4B06">
        <w:t xml:space="preserve">The SWE Team reviewed project files to audit the accuracy of the savings values stored in the program-tracking database and to confirm that calculations were performed in accordance with the applicable TRM, or by some other reasonable methodology. The SWE Team reviewed non-residential projects from PPL’s Master Metered Low-Income Multifamily Housing (MMMF), Prescriptive Equipment Lighting, Prescriptive Equipment Non-Lighting, and Custom Incentives programs in PY7. Several projects were selected from each quarter within each program, for a total of 24 projects. For the most part, PPL’s project documentation was complete, well organized, and clearly labeled, except for two projects that had small inconsistencies between the documentation and the tracking system. The details of the review can be found </w:t>
      </w:r>
      <w:r w:rsidR="00B5775F" w:rsidRPr="004B4B06">
        <w:t>below</w:t>
      </w:r>
      <w:r w:rsidRPr="004B4B06">
        <w:t>.</w:t>
      </w:r>
    </w:p>
    <w:p w:rsidR="004B4B06" w:rsidRPr="004B4B06" w:rsidRDefault="004B4B06" w:rsidP="004B4B06"/>
    <w:p w:rsidR="009C7E38" w:rsidRPr="004B4B06" w:rsidRDefault="009C7E38" w:rsidP="004B4B06">
      <w:r w:rsidRPr="004B4B06">
        <w:t xml:space="preserve">The SWE Team reviewed PPL’s PY7 sample design to ensure its compliance with the Evaluation Framework. The results are displayed in </w:t>
      </w:r>
      <w:r w:rsidRPr="004B4B06">
        <w:fldChar w:fldCharType="begin"/>
      </w:r>
      <w:r w:rsidRPr="004B4B06">
        <w:instrText xml:space="preserve"> REF _Ref472393532 \h </w:instrText>
      </w:r>
      <w:r w:rsidRPr="004B4B06">
        <w:fldChar w:fldCharType="separate"/>
      </w:r>
      <w:r w:rsidR="00C301D0">
        <w:t>Table A-</w:t>
      </w:r>
      <w:r w:rsidR="00C301D0">
        <w:rPr>
          <w:noProof/>
        </w:rPr>
        <w:t>142</w:t>
      </w:r>
      <w:r w:rsidRPr="004B4B06">
        <w:fldChar w:fldCharType="end"/>
      </w:r>
      <w:r w:rsidRPr="004B4B06">
        <w:t>, showing relative precision at the 85% confidence level.</w:t>
      </w:r>
    </w:p>
    <w:p w:rsidR="00432152" w:rsidRPr="004B4B06" w:rsidRDefault="00432152" w:rsidP="004B4B06"/>
    <w:p w:rsidR="009C7E38" w:rsidRPr="00D85274" w:rsidRDefault="009C7E38" w:rsidP="009C7E38">
      <w:pPr>
        <w:pStyle w:val="Caption"/>
      </w:pPr>
      <w:bookmarkStart w:id="1300" w:name="_Ref472393532"/>
      <w:bookmarkStart w:id="1301" w:name="_Ref408430569"/>
      <w:bookmarkStart w:id="1302" w:name="_Toc409225030"/>
      <w:bookmarkStart w:id="1303" w:name="_Toc409443582"/>
      <w:bookmarkStart w:id="1304" w:name="_Toc445206266"/>
      <w:bookmarkStart w:id="1305" w:name="_Toc472472551"/>
      <w:bookmarkStart w:id="1306" w:name="_Toc476842257"/>
      <w:r>
        <w:t>Table A-</w:t>
      </w:r>
      <w:fldSimple w:instr=" SEQ Table_A- \* ARABIC ">
        <w:r w:rsidR="00C301D0">
          <w:rPr>
            <w:noProof/>
          </w:rPr>
          <w:t>142</w:t>
        </w:r>
      </w:fldSimple>
      <w:bookmarkEnd w:id="1300"/>
      <w:r w:rsidRPr="00D85274">
        <w:t>: Compliance across Sample Designs for PPL’s PY7 Non-Residential Programs</w:t>
      </w:r>
      <w:bookmarkEnd w:id="1301"/>
      <w:bookmarkEnd w:id="1302"/>
      <w:bookmarkEnd w:id="1303"/>
      <w:bookmarkEnd w:id="1304"/>
      <w:bookmarkEnd w:id="1305"/>
      <w:bookmarkEnd w:id="1306"/>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3178"/>
        <w:gridCol w:w="2060"/>
        <w:gridCol w:w="2061"/>
        <w:gridCol w:w="2061"/>
      </w:tblGrid>
      <w:tr w:rsidR="00A874AC" w:rsidRPr="00D85274" w:rsidTr="004B4B06">
        <w:trPr>
          <w:trHeight w:val="619"/>
          <w:tblHeader/>
        </w:trPr>
        <w:tc>
          <w:tcPr>
            <w:tcW w:w="3178" w:type="dxa"/>
            <w:shd w:val="clear" w:color="000000" w:fill="448A99"/>
            <w:vAlign w:val="bottom"/>
            <w:hideMark/>
          </w:tcPr>
          <w:p w:rsidR="009C7E38" w:rsidRPr="00D85274" w:rsidRDefault="009C7E38" w:rsidP="00AC55E9">
            <w:pPr>
              <w:jc w:val="left"/>
              <w:rPr>
                <w:b/>
                <w:bCs/>
                <w:color w:val="FFFFFF"/>
                <w:sz w:val="20"/>
                <w:szCs w:val="18"/>
              </w:rPr>
            </w:pPr>
            <w:r w:rsidRPr="00D85274">
              <w:rPr>
                <w:b/>
                <w:bCs/>
                <w:color w:val="FFFFFF"/>
                <w:sz w:val="20"/>
                <w:szCs w:val="18"/>
              </w:rPr>
              <w:t>Program</w:t>
            </w:r>
          </w:p>
        </w:tc>
        <w:tc>
          <w:tcPr>
            <w:tcW w:w="2060" w:type="dxa"/>
            <w:shd w:val="clear" w:color="000000" w:fill="448A99"/>
            <w:vAlign w:val="bottom"/>
            <w:hideMark/>
          </w:tcPr>
          <w:p w:rsidR="009C7E38" w:rsidRPr="00D85274" w:rsidRDefault="009C7E38" w:rsidP="00AC55E9">
            <w:pPr>
              <w:jc w:val="center"/>
              <w:rPr>
                <w:b/>
                <w:bCs/>
                <w:color w:val="FFFFFF"/>
                <w:sz w:val="20"/>
                <w:szCs w:val="18"/>
              </w:rPr>
            </w:pPr>
            <w:r w:rsidRPr="00D85274">
              <w:rPr>
                <w:b/>
                <w:bCs/>
                <w:color w:val="FFFFFF"/>
                <w:sz w:val="20"/>
                <w:szCs w:val="18"/>
              </w:rPr>
              <w:t>Relative Precision at 85% CL for Energy</w:t>
            </w:r>
          </w:p>
        </w:tc>
        <w:tc>
          <w:tcPr>
            <w:tcW w:w="2061" w:type="dxa"/>
            <w:shd w:val="clear" w:color="000000" w:fill="448A99"/>
            <w:vAlign w:val="bottom"/>
            <w:hideMark/>
          </w:tcPr>
          <w:p w:rsidR="009C7E38" w:rsidRPr="00D85274" w:rsidRDefault="009C7E38" w:rsidP="00AC55E9">
            <w:pPr>
              <w:jc w:val="center"/>
              <w:rPr>
                <w:b/>
                <w:bCs/>
                <w:color w:val="FFFFFF"/>
                <w:sz w:val="20"/>
                <w:szCs w:val="18"/>
              </w:rPr>
            </w:pPr>
            <w:r w:rsidRPr="00D85274">
              <w:rPr>
                <w:b/>
                <w:bCs/>
                <w:color w:val="FFFFFF"/>
                <w:sz w:val="20"/>
                <w:szCs w:val="18"/>
              </w:rPr>
              <w:t>Relative Precision at 85% CL for Demand</w:t>
            </w:r>
          </w:p>
        </w:tc>
        <w:tc>
          <w:tcPr>
            <w:tcW w:w="2061" w:type="dxa"/>
            <w:shd w:val="clear" w:color="000000" w:fill="448A99"/>
            <w:vAlign w:val="bottom"/>
            <w:hideMark/>
          </w:tcPr>
          <w:p w:rsidR="009C7E38" w:rsidRPr="00D85274" w:rsidRDefault="009C7E38" w:rsidP="00AC55E9">
            <w:pPr>
              <w:jc w:val="center"/>
              <w:rPr>
                <w:b/>
                <w:bCs/>
                <w:color w:val="FFFFFF"/>
                <w:sz w:val="20"/>
                <w:szCs w:val="18"/>
              </w:rPr>
            </w:pPr>
            <w:r w:rsidRPr="00D85274">
              <w:rPr>
                <w:b/>
                <w:bCs/>
                <w:color w:val="FFFFFF"/>
                <w:sz w:val="20"/>
                <w:szCs w:val="18"/>
              </w:rPr>
              <w:t>Compliance with Evaluation Framework</w:t>
            </w:r>
          </w:p>
        </w:tc>
      </w:tr>
      <w:tr w:rsidR="00A874AC" w:rsidRPr="00D85274" w:rsidTr="004B4B06">
        <w:trPr>
          <w:trHeight w:val="488"/>
        </w:trPr>
        <w:tc>
          <w:tcPr>
            <w:tcW w:w="3178" w:type="dxa"/>
            <w:shd w:val="clear" w:color="000000" w:fill="D2EAF1"/>
            <w:noWrap/>
            <w:vAlign w:val="center"/>
          </w:tcPr>
          <w:p w:rsidR="009C7E38" w:rsidRPr="00D85274" w:rsidRDefault="009C7E38" w:rsidP="00AC55E9">
            <w:pPr>
              <w:jc w:val="left"/>
              <w:rPr>
                <w:color w:val="000000"/>
                <w:sz w:val="20"/>
                <w:szCs w:val="20"/>
              </w:rPr>
            </w:pPr>
            <w:r w:rsidRPr="00D85274">
              <w:rPr>
                <w:color w:val="000000"/>
                <w:sz w:val="20"/>
                <w:szCs w:val="20"/>
              </w:rPr>
              <w:t>Custom Incentive</w:t>
            </w:r>
          </w:p>
        </w:tc>
        <w:tc>
          <w:tcPr>
            <w:tcW w:w="2060" w:type="dxa"/>
            <w:shd w:val="clear" w:color="000000" w:fill="D2EAF1"/>
            <w:noWrap/>
            <w:vAlign w:val="center"/>
          </w:tcPr>
          <w:p w:rsidR="009C7E38" w:rsidRPr="00D85274" w:rsidRDefault="009C7E38" w:rsidP="00AC55E9">
            <w:pPr>
              <w:jc w:val="center"/>
              <w:rPr>
                <w:color w:val="000000"/>
                <w:sz w:val="20"/>
                <w:szCs w:val="20"/>
              </w:rPr>
            </w:pPr>
            <w:r w:rsidRPr="00D85274">
              <w:rPr>
                <w:color w:val="000000"/>
                <w:sz w:val="20"/>
                <w:szCs w:val="20"/>
              </w:rPr>
              <w:t>4.3%</w:t>
            </w:r>
          </w:p>
        </w:tc>
        <w:tc>
          <w:tcPr>
            <w:tcW w:w="2061" w:type="dxa"/>
            <w:shd w:val="clear" w:color="000000" w:fill="D2EAF1"/>
            <w:noWrap/>
            <w:vAlign w:val="center"/>
          </w:tcPr>
          <w:p w:rsidR="009C7E38" w:rsidRPr="00D85274" w:rsidRDefault="009C7E38" w:rsidP="00AC55E9">
            <w:pPr>
              <w:jc w:val="center"/>
              <w:rPr>
                <w:color w:val="000000"/>
                <w:sz w:val="20"/>
                <w:szCs w:val="20"/>
              </w:rPr>
            </w:pPr>
            <w:r w:rsidRPr="00D85274">
              <w:rPr>
                <w:color w:val="000000"/>
                <w:sz w:val="20"/>
                <w:szCs w:val="20"/>
              </w:rPr>
              <w:t>8.6%</w:t>
            </w:r>
          </w:p>
        </w:tc>
        <w:tc>
          <w:tcPr>
            <w:tcW w:w="2061" w:type="dxa"/>
            <w:shd w:val="clear" w:color="000000" w:fill="D2EAF1"/>
            <w:noWrap/>
            <w:vAlign w:val="center"/>
          </w:tcPr>
          <w:p w:rsidR="009C7E38" w:rsidRPr="00D85274" w:rsidRDefault="009C7E38" w:rsidP="00AC55E9">
            <w:pPr>
              <w:jc w:val="center"/>
              <w:rPr>
                <w:color w:val="000000"/>
                <w:sz w:val="28"/>
                <w:szCs w:val="24"/>
              </w:rPr>
            </w:pPr>
            <w:r w:rsidRPr="00D85274">
              <w:rPr>
                <w:color w:val="00B050"/>
                <w:sz w:val="28"/>
                <w:szCs w:val="24"/>
              </w:rPr>
              <w:sym w:font="Wingdings" w:char="F0FC"/>
            </w:r>
          </w:p>
        </w:tc>
      </w:tr>
      <w:tr w:rsidR="00E7173E" w:rsidRPr="00D85274" w:rsidTr="00FD03DC">
        <w:trPr>
          <w:trHeight w:val="488"/>
        </w:trPr>
        <w:tc>
          <w:tcPr>
            <w:tcW w:w="3178" w:type="dxa"/>
            <w:shd w:val="clear" w:color="auto" w:fill="auto"/>
            <w:noWrap/>
            <w:vAlign w:val="center"/>
          </w:tcPr>
          <w:p w:rsidR="009C7E38" w:rsidRPr="00D85274" w:rsidRDefault="009C7E38" w:rsidP="00AC55E9">
            <w:pPr>
              <w:jc w:val="left"/>
              <w:rPr>
                <w:color w:val="000000"/>
                <w:sz w:val="20"/>
                <w:szCs w:val="20"/>
              </w:rPr>
            </w:pPr>
            <w:r w:rsidRPr="00D85274">
              <w:rPr>
                <w:color w:val="000000"/>
                <w:sz w:val="20"/>
                <w:szCs w:val="20"/>
              </w:rPr>
              <w:t>Master Metered Low-Income Multifamily Housing</w:t>
            </w:r>
          </w:p>
        </w:tc>
        <w:tc>
          <w:tcPr>
            <w:tcW w:w="2060" w:type="dxa"/>
            <w:shd w:val="clear" w:color="auto" w:fill="auto"/>
            <w:noWrap/>
            <w:vAlign w:val="center"/>
          </w:tcPr>
          <w:p w:rsidR="009C7E38" w:rsidRPr="00D85274" w:rsidRDefault="009C7E38" w:rsidP="00AC55E9">
            <w:pPr>
              <w:jc w:val="center"/>
              <w:rPr>
                <w:color w:val="000000"/>
                <w:sz w:val="20"/>
                <w:szCs w:val="20"/>
              </w:rPr>
            </w:pPr>
            <w:r w:rsidRPr="00D85274">
              <w:rPr>
                <w:color w:val="000000"/>
                <w:sz w:val="20"/>
                <w:szCs w:val="20"/>
              </w:rPr>
              <w:t>9.9%</w:t>
            </w:r>
          </w:p>
        </w:tc>
        <w:tc>
          <w:tcPr>
            <w:tcW w:w="2061" w:type="dxa"/>
            <w:shd w:val="clear" w:color="auto" w:fill="auto"/>
            <w:noWrap/>
            <w:vAlign w:val="center"/>
          </w:tcPr>
          <w:p w:rsidR="009C7E38" w:rsidRPr="00D85274" w:rsidRDefault="009C7E38" w:rsidP="00AC55E9">
            <w:pPr>
              <w:jc w:val="center"/>
              <w:rPr>
                <w:color w:val="000000"/>
                <w:sz w:val="20"/>
                <w:szCs w:val="20"/>
              </w:rPr>
            </w:pPr>
            <w:r w:rsidRPr="00D85274">
              <w:rPr>
                <w:color w:val="000000"/>
                <w:sz w:val="20"/>
                <w:szCs w:val="20"/>
              </w:rPr>
              <w:t>7.6%</w:t>
            </w:r>
          </w:p>
        </w:tc>
        <w:tc>
          <w:tcPr>
            <w:tcW w:w="2061" w:type="dxa"/>
            <w:shd w:val="clear" w:color="auto" w:fill="auto"/>
            <w:noWrap/>
            <w:vAlign w:val="center"/>
          </w:tcPr>
          <w:p w:rsidR="009C7E38" w:rsidRPr="00D85274" w:rsidRDefault="009C7E38" w:rsidP="00AC55E9">
            <w:pPr>
              <w:jc w:val="center"/>
              <w:rPr>
                <w:color w:val="FF0000"/>
                <w:sz w:val="28"/>
                <w:szCs w:val="24"/>
              </w:rPr>
            </w:pPr>
            <w:r w:rsidRPr="00D85274">
              <w:rPr>
                <w:color w:val="00B050"/>
                <w:sz w:val="28"/>
                <w:szCs w:val="24"/>
              </w:rPr>
              <w:sym w:font="Wingdings" w:char="F0FC"/>
            </w:r>
          </w:p>
        </w:tc>
      </w:tr>
      <w:tr w:rsidR="00A874AC" w:rsidRPr="00D85274" w:rsidTr="004B4B06">
        <w:trPr>
          <w:trHeight w:val="488"/>
        </w:trPr>
        <w:tc>
          <w:tcPr>
            <w:tcW w:w="3178" w:type="dxa"/>
            <w:shd w:val="clear" w:color="000000" w:fill="D2EAF1"/>
            <w:noWrap/>
            <w:vAlign w:val="center"/>
          </w:tcPr>
          <w:p w:rsidR="009C7E38" w:rsidRPr="00D85274" w:rsidRDefault="009C7E38" w:rsidP="00AC55E9">
            <w:pPr>
              <w:jc w:val="left"/>
              <w:rPr>
                <w:color w:val="000000"/>
                <w:sz w:val="20"/>
                <w:szCs w:val="20"/>
              </w:rPr>
            </w:pPr>
            <w:r w:rsidRPr="00D85274">
              <w:rPr>
                <w:color w:val="000000"/>
                <w:sz w:val="20"/>
                <w:szCs w:val="20"/>
              </w:rPr>
              <w:t>Prescriptive Equipment</w:t>
            </w:r>
          </w:p>
        </w:tc>
        <w:tc>
          <w:tcPr>
            <w:tcW w:w="2060" w:type="dxa"/>
            <w:shd w:val="clear" w:color="000000" w:fill="D2EAF1"/>
            <w:noWrap/>
            <w:vAlign w:val="center"/>
          </w:tcPr>
          <w:p w:rsidR="009C7E38" w:rsidRPr="00D85274" w:rsidRDefault="009C7E38" w:rsidP="00AC55E9">
            <w:pPr>
              <w:jc w:val="center"/>
              <w:rPr>
                <w:color w:val="000000"/>
                <w:sz w:val="20"/>
                <w:szCs w:val="20"/>
              </w:rPr>
            </w:pPr>
            <w:r w:rsidRPr="00D85274">
              <w:rPr>
                <w:color w:val="000000"/>
                <w:sz w:val="20"/>
                <w:szCs w:val="20"/>
              </w:rPr>
              <w:t>1.8%</w:t>
            </w:r>
          </w:p>
        </w:tc>
        <w:tc>
          <w:tcPr>
            <w:tcW w:w="2061" w:type="dxa"/>
            <w:shd w:val="clear" w:color="000000" w:fill="D2EAF1"/>
            <w:noWrap/>
            <w:vAlign w:val="center"/>
          </w:tcPr>
          <w:p w:rsidR="009C7E38" w:rsidRPr="00D85274" w:rsidRDefault="009C7E38" w:rsidP="00AC55E9">
            <w:pPr>
              <w:jc w:val="center"/>
              <w:rPr>
                <w:color w:val="000000"/>
                <w:sz w:val="20"/>
                <w:szCs w:val="20"/>
              </w:rPr>
            </w:pPr>
            <w:r w:rsidRPr="00D85274">
              <w:rPr>
                <w:color w:val="000000"/>
                <w:sz w:val="20"/>
                <w:szCs w:val="20"/>
              </w:rPr>
              <w:t>2.8%</w:t>
            </w:r>
          </w:p>
        </w:tc>
        <w:tc>
          <w:tcPr>
            <w:tcW w:w="2061" w:type="dxa"/>
            <w:shd w:val="clear" w:color="000000" w:fill="D2EAF1"/>
            <w:noWrap/>
            <w:vAlign w:val="center"/>
          </w:tcPr>
          <w:p w:rsidR="009C7E38" w:rsidRPr="00D85274" w:rsidRDefault="009C7E38" w:rsidP="00AC55E9">
            <w:pPr>
              <w:jc w:val="center"/>
              <w:rPr>
                <w:bCs/>
                <w:color w:val="FF0000"/>
                <w:sz w:val="28"/>
                <w:szCs w:val="24"/>
              </w:rPr>
            </w:pPr>
            <w:r w:rsidRPr="00D85274">
              <w:rPr>
                <w:color w:val="00B050"/>
                <w:sz w:val="28"/>
                <w:szCs w:val="24"/>
              </w:rPr>
              <w:sym w:font="Wingdings" w:char="F0FC"/>
            </w:r>
          </w:p>
        </w:tc>
      </w:tr>
      <w:tr w:rsidR="00E7173E" w:rsidRPr="00D85274" w:rsidTr="00FD03DC">
        <w:trPr>
          <w:trHeight w:val="488"/>
        </w:trPr>
        <w:tc>
          <w:tcPr>
            <w:tcW w:w="3178" w:type="dxa"/>
            <w:shd w:val="clear" w:color="auto" w:fill="auto"/>
            <w:noWrap/>
            <w:vAlign w:val="center"/>
          </w:tcPr>
          <w:p w:rsidR="009C7E38" w:rsidRPr="00D85274" w:rsidRDefault="009C7E38" w:rsidP="00AC55E9">
            <w:pPr>
              <w:jc w:val="left"/>
              <w:rPr>
                <w:color w:val="000000"/>
                <w:sz w:val="20"/>
                <w:szCs w:val="20"/>
              </w:rPr>
            </w:pPr>
            <w:r w:rsidRPr="00D85274">
              <w:rPr>
                <w:color w:val="000000"/>
                <w:sz w:val="20"/>
                <w:szCs w:val="20"/>
              </w:rPr>
              <w:t>Prescriptive Equipment (GNI)</w:t>
            </w:r>
          </w:p>
        </w:tc>
        <w:tc>
          <w:tcPr>
            <w:tcW w:w="2060" w:type="dxa"/>
            <w:shd w:val="clear" w:color="auto" w:fill="auto"/>
            <w:noWrap/>
            <w:vAlign w:val="center"/>
          </w:tcPr>
          <w:p w:rsidR="009C7E38" w:rsidRPr="00D85274" w:rsidRDefault="009C7E38" w:rsidP="00AC55E9">
            <w:pPr>
              <w:jc w:val="center"/>
              <w:rPr>
                <w:color w:val="000000"/>
                <w:sz w:val="20"/>
                <w:szCs w:val="20"/>
              </w:rPr>
            </w:pPr>
            <w:r w:rsidRPr="00D85274">
              <w:rPr>
                <w:color w:val="000000"/>
                <w:sz w:val="20"/>
                <w:szCs w:val="20"/>
              </w:rPr>
              <w:t>1.0%</w:t>
            </w:r>
          </w:p>
        </w:tc>
        <w:tc>
          <w:tcPr>
            <w:tcW w:w="2061" w:type="dxa"/>
            <w:shd w:val="clear" w:color="auto" w:fill="auto"/>
            <w:noWrap/>
            <w:vAlign w:val="center"/>
          </w:tcPr>
          <w:p w:rsidR="009C7E38" w:rsidRPr="00D85274" w:rsidRDefault="009C7E38" w:rsidP="00AC55E9">
            <w:pPr>
              <w:jc w:val="center"/>
              <w:rPr>
                <w:color w:val="000000"/>
                <w:sz w:val="20"/>
                <w:szCs w:val="20"/>
              </w:rPr>
            </w:pPr>
            <w:r w:rsidRPr="00D85274">
              <w:rPr>
                <w:color w:val="000000"/>
                <w:sz w:val="20"/>
                <w:szCs w:val="20"/>
              </w:rPr>
              <w:t>5.3%</w:t>
            </w:r>
          </w:p>
        </w:tc>
        <w:tc>
          <w:tcPr>
            <w:tcW w:w="2061" w:type="dxa"/>
            <w:shd w:val="clear" w:color="auto" w:fill="auto"/>
            <w:noWrap/>
            <w:vAlign w:val="center"/>
          </w:tcPr>
          <w:p w:rsidR="009C7E38" w:rsidRPr="00D85274" w:rsidRDefault="009C7E38" w:rsidP="00AC55E9">
            <w:pPr>
              <w:jc w:val="center"/>
              <w:rPr>
                <w:bCs/>
                <w:color w:val="FF0000"/>
                <w:sz w:val="28"/>
                <w:szCs w:val="24"/>
              </w:rPr>
            </w:pPr>
            <w:r w:rsidRPr="00D85274">
              <w:rPr>
                <w:color w:val="00B050"/>
                <w:sz w:val="28"/>
                <w:szCs w:val="24"/>
              </w:rPr>
              <w:sym w:font="Wingdings" w:char="F0FC"/>
            </w:r>
          </w:p>
        </w:tc>
      </w:tr>
      <w:tr w:rsidR="00A874AC" w:rsidRPr="00D85274" w:rsidTr="004B4B06">
        <w:trPr>
          <w:trHeight w:val="489"/>
        </w:trPr>
        <w:tc>
          <w:tcPr>
            <w:tcW w:w="3178" w:type="dxa"/>
            <w:shd w:val="clear" w:color="000000" w:fill="D2EAF1"/>
            <w:noWrap/>
            <w:vAlign w:val="center"/>
          </w:tcPr>
          <w:p w:rsidR="009C7E38" w:rsidRPr="00D85274" w:rsidRDefault="009C7E38" w:rsidP="00AC55E9">
            <w:pPr>
              <w:jc w:val="left"/>
              <w:rPr>
                <w:color w:val="000000"/>
                <w:sz w:val="20"/>
                <w:szCs w:val="20"/>
              </w:rPr>
            </w:pPr>
            <w:r w:rsidRPr="00D85274">
              <w:rPr>
                <w:color w:val="000000"/>
                <w:sz w:val="20"/>
                <w:szCs w:val="20"/>
              </w:rPr>
              <w:t>Continuous Energy Improvement</w:t>
            </w:r>
          </w:p>
        </w:tc>
        <w:tc>
          <w:tcPr>
            <w:tcW w:w="2060" w:type="dxa"/>
            <w:shd w:val="clear" w:color="000000" w:fill="D2EAF1"/>
            <w:noWrap/>
            <w:vAlign w:val="center"/>
          </w:tcPr>
          <w:p w:rsidR="009C7E38" w:rsidRPr="00D85274" w:rsidRDefault="009C7E38" w:rsidP="00AC55E9">
            <w:pPr>
              <w:jc w:val="center"/>
              <w:rPr>
                <w:color w:val="000000"/>
                <w:sz w:val="20"/>
                <w:szCs w:val="20"/>
              </w:rPr>
            </w:pPr>
            <w:r w:rsidRPr="00D85274">
              <w:rPr>
                <w:color w:val="000000"/>
                <w:sz w:val="20"/>
                <w:szCs w:val="20"/>
              </w:rPr>
              <w:t>3.8%</w:t>
            </w:r>
          </w:p>
        </w:tc>
        <w:tc>
          <w:tcPr>
            <w:tcW w:w="2061" w:type="dxa"/>
            <w:shd w:val="clear" w:color="000000" w:fill="D2EAF1"/>
            <w:noWrap/>
            <w:vAlign w:val="center"/>
          </w:tcPr>
          <w:p w:rsidR="009C7E38" w:rsidRPr="00D85274" w:rsidRDefault="009C7E38" w:rsidP="00AC55E9">
            <w:pPr>
              <w:jc w:val="center"/>
              <w:rPr>
                <w:color w:val="000000"/>
                <w:sz w:val="20"/>
                <w:szCs w:val="20"/>
              </w:rPr>
            </w:pPr>
            <w:r w:rsidRPr="00D85274">
              <w:rPr>
                <w:color w:val="000000"/>
                <w:sz w:val="20"/>
                <w:szCs w:val="20"/>
              </w:rPr>
              <w:t>46.6%</w:t>
            </w:r>
          </w:p>
        </w:tc>
        <w:tc>
          <w:tcPr>
            <w:tcW w:w="2061" w:type="dxa"/>
            <w:shd w:val="clear" w:color="000000" w:fill="D2EAF1"/>
            <w:noWrap/>
            <w:vAlign w:val="center"/>
          </w:tcPr>
          <w:p w:rsidR="009C7E38" w:rsidRPr="00D85274" w:rsidRDefault="009C7E38" w:rsidP="00AC55E9">
            <w:pPr>
              <w:jc w:val="center"/>
              <w:rPr>
                <w:bCs/>
                <w:color w:val="FF0000"/>
                <w:sz w:val="28"/>
                <w:szCs w:val="24"/>
              </w:rPr>
            </w:pPr>
            <w:r w:rsidRPr="00D85274">
              <w:rPr>
                <w:color w:val="00B050"/>
                <w:sz w:val="28"/>
                <w:szCs w:val="24"/>
              </w:rPr>
              <w:sym w:font="Wingdings" w:char="F0FC"/>
            </w:r>
          </w:p>
        </w:tc>
      </w:tr>
    </w:tbl>
    <w:p w:rsidR="009C7E38" w:rsidRPr="00D85274" w:rsidRDefault="009C7E38" w:rsidP="009C7E38"/>
    <w:p w:rsidR="009C7E38" w:rsidRPr="00D85274" w:rsidRDefault="009C7E38" w:rsidP="009C7E38">
      <w:r w:rsidRPr="00D85274">
        <w:t xml:space="preserve">The goal of 15% precision at the 85% confidence level for energy was reached for all non-residential program groups. Details about each program evaluation sample are provided in Appendix </w:t>
      </w:r>
      <w:r w:rsidRPr="00D85274">
        <w:fldChar w:fldCharType="begin"/>
      </w:r>
      <w:r w:rsidRPr="00D85274">
        <w:instrText xml:space="preserve"> REF _Ref440444471 \r \h  \* MERGEFORMAT </w:instrText>
      </w:r>
      <w:r w:rsidRPr="00D85274">
        <w:fldChar w:fldCharType="separate"/>
      </w:r>
      <w:r w:rsidR="00C301D0">
        <w:t>A.7.4.3.2</w:t>
      </w:r>
      <w:r w:rsidRPr="00D85274">
        <w:fldChar w:fldCharType="end"/>
      </w:r>
      <w:r w:rsidRPr="00D85274">
        <w:t>.</w:t>
      </w:r>
    </w:p>
    <w:p w:rsidR="009C7E38" w:rsidRPr="00D85274" w:rsidRDefault="009C7E38" w:rsidP="009C7E38"/>
    <w:p w:rsidR="009C7E38" w:rsidRPr="00D85274" w:rsidRDefault="009C7E38" w:rsidP="009C7E38">
      <w:pPr>
        <w:rPr>
          <w:color w:val="000000"/>
        </w:rPr>
      </w:pPr>
      <w:r w:rsidRPr="00D85274">
        <w:rPr>
          <w:color w:val="000000"/>
        </w:rPr>
        <w:t xml:space="preserve">As part of the audit process, the SWE Team performed </w:t>
      </w:r>
      <w:r>
        <w:rPr>
          <w:color w:val="000000"/>
        </w:rPr>
        <w:t>six</w:t>
      </w:r>
      <w:r w:rsidRPr="00D85274">
        <w:rPr>
          <w:color w:val="000000"/>
        </w:rPr>
        <w:t xml:space="preserve"> ride-along site inspections of non-residential projects to oversee PPL’s on-site evaluation practices. The projects selected for ride-along inspection encompassed lighting upgrades, RTU upgrades, and a VFD project. The SWE Team approved all sampled projects. Details of all </w:t>
      </w:r>
      <w:r>
        <w:rPr>
          <w:color w:val="000000"/>
        </w:rPr>
        <w:t>six</w:t>
      </w:r>
      <w:r w:rsidRPr="00D85274">
        <w:rPr>
          <w:color w:val="000000"/>
        </w:rPr>
        <w:t xml:space="preserve"> projects and their associated findings are presented </w:t>
      </w:r>
      <w:r w:rsidR="00B5775F">
        <w:rPr>
          <w:color w:val="000000"/>
        </w:rPr>
        <w:t>below</w:t>
      </w:r>
      <w:r w:rsidRPr="00D85274">
        <w:rPr>
          <w:color w:val="000000"/>
        </w:rPr>
        <w:t>.</w:t>
      </w:r>
    </w:p>
    <w:p w:rsidR="009C7E38" w:rsidRPr="00D85274" w:rsidRDefault="009C7E38" w:rsidP="009C7E38"/>
    <w:p w:rsidR="0025240A" w:rsidRDefault="009C7E38" w:rsidP="009C7E38">
      <w:r w:rsidRPr="009C7E38">
        <w:t xml:space="preserve">The SWE Team performed a verified savings analysis on seven submitted projects, checking the accuracy of the calculations, appropriateness of the evaluation method, and level of rigor selections. The SWE Team found the level of rigor chosen by the evaluation contractor to be reasonable, based on project size and uncertainty. In its PY5 and PY6 annual report, the SWE Team recommended that Cadmus provide more detailed documentation and more consistently record the evaluation work and corresponding outcomes. The detailed site reports and supporting information provided in PY7 fulfilled this request and clearly presented the methodologies, assumptions, and calculations used in the evaluations. The results of the verified savings analysis are presented </w:t>
      </w:r>
      <w:r w:rsidR="00B5775F">
        <w:t>below</w:t>
      </w:r>
      <w:r w:rsidRPr="009C7E38">
        <w:t>.</w:t>
      </w:r>
    </w:p>
    <w:p w:rsidR="00B5775F" w:rsidRPr="006C05B5" w:rsidRDefault="00B5775F" w:rsidP="00B5775F">
      <w:pPr>
        <w:rPr>
          <w:color w:val="000000"/>
        </w:rPr>
      </w:pPr>
    </w:p>
    <w:p w:rsidR="00B5775F" w:rsidRDefault="00B5775F" w:rsidP="00B5775F">
      <w:pPr>
        <w:pStyle w:val="AppendixAHeading4"/>
      </w:pPr>
      <w:r>
        <w:t>Project Files Review</w:t>
      </w:r>
    </w:p>
    <w:p w:rsidR="00B5775F" w:rsidRDefault="00B5775F" w:rsidP="00B5775F">
      <w:pPr>
        <w:rPr>
          <w:color w:val="000000"/>
        </w:rPr>
      </w:pPr>
      <w:r w:rsidRPr="00141D58">
        <w:t>The SWE Team</w:t>
      </w:r>
      <w:r w:rsidRPr="00EB5DD8">
        <w:t xml:space="preserve"> </w:t>
      </w:r>
      <w:r w:rsidRPr="00EB5DD8">
        <w:rPr>
          <w:color w:val="000000"/>
        </w:rPr>
        <w:t xml:space="preserve">reviewed non-residential projects from PPL’s Master Metered Low-Income Multifamily Housing (MMMF), Prescriptive Equipment Lighting, Prescriptive Equipment Non-Lighting, and Custom Incentives </w:t>
      </w:r>
      <w:r>
        <w:rPr>
          <w:color w:val="000000"/>
        </w:rPr>
        <w:t>p</w:t>
      </w:r>
      <w:r w:rsidRPr="00EB5DD8">
        <w:rPr>
          <w:color w:val="000000"/>
        </w:rPr>
        <w:t>rograms in PY7. Several projects were selected from each quarter within each program</w:t>
      </w:r>
      <w:r>
        <w:rPr>
          <w:color w:val="000000"/>
        </w:rPr>
        <w:t>,</w:t>
      </w:r>
      <w:r w:rsidRPr="00EB5DD8">
        <w:rPr>
          <w:color w:val="000000"/>
        </w:rPr>
        <w:t xml:space="preserve"> for a total of 24 projects. Project files included project-level savings calculation workbooks, applications, invoices, inspection forms, and specification sheets. For the most part, PPL’s project documentation was complete, well organized, and clearly labeled except for two projects </w:t>
      </w:r>
      <w:r>
        <w:rPr>
          <w:color w:val="000000"/>
        </w:rPr>
        <w:t>that</w:t>
      </w:r>
      <w:r w:rsidRPr="00EB5DD8">
        <w:rPr>
          <w:color w:val="000000"/>
        </w:rPr>
        <w:t xml:space="preserve"> had small inconsistencies between the documentation and the tracking system. </w:t>
      </w:r>
    </w:p>
    <w:p w:rsidR="00B5775F" w:rsidRDefault="00B5775F" w:rsidP="00B5775F">
      <w:pPr>
        <w:rPr>
          <w:color w:val="000000"/>
        </w:rPr>
      </w:pPr>
    </w:p>
    <w:p w:rsidR="004B4B06" w:rsidRDefault="00B5775F" w:rsidP="00B5775F">
      <w:pPr>
        <w:rPr>
          <w:color w:val="000000"/>
        </w:rPr>
        <w:sectPr w:rsidR="004B4B06" w:rsidSect="008B741E">
          <w:headerReference w:type="first" r:id="rId173"/>
          <w:footerReference w:type="first" r:id="rId174"/>
          <w:pgSz w:w="12240" w:h="15840"/>
          <w:pgMar w:top="1440" w:right="1440" w:bottom="1440" w:left="1440" w:header="720" w:footer="288" w:gutter="0"/>
          <w:cols w:space="720"/>
          <w:titlePg/>
          <w:docGrid w:linePitch="360"/>
        </w:sectPr>
      </w:pPr>
      <w:r>
        <w:rPr>
          <w:color w:val="000000"/>
        </w:rPr>
        <w:fldChar w:fldCharType="begin"/>
      </w:r>
      <w:r>
        <w:rPr>
          <w:color w:val="000000"/>
        </w:rPr>
        <w:instrText xml:space="preserve"> REF _Ref472470173 \h </w:instrText>
      </w:r>
      <w:r>
        <w:rPr>
          <w:color w:val="000000"/>
        </w:rPr>
      </w:r>
      <w:r>
        <w:rPr>
          <w:color w:val="000000"/>
        </w:rPr>
        <w:fldChar w:fldCharType="separate"/>
      </w:r>
      <w:r w:rsidR="00C301D0">
        <w:t>Table A-</w:t>
      </w:r>
      <w:r w:rsidR="00C301D0">
        <w:rPr>
          <w:noProof/>
        </w:rPr>
        <w:t>143</w:t>
      </w:r>
      <w:r>
        <w:rPr>
          <w:color w:val="000000"/>
        </w:rPr>
        <w:fldChar w:fldCharType="end"/>
      </w:r>
      <w:r>
        <w:rPr>
          <w:color w:val="000000"/>
        </w:rPr>
        <w:t xml:space="preserve"> </w:t>
      </w:r>
      <w:r w:rsidRPr="006E6583">
        <w:rPr>
          <w:color w:val="000000"/>
        </w:rPr>
        <w:t xml:space="preserve">presents an overview of the projects that were reviewed by the SWE </w:t>
      </w:r>
      <w:r>
        <w:rPr>
          <w:color w:val="000000"/>
        </w:rPr>
        <w:t xml:space="preserve">Team </w:t>
      </w:r>
      <w:r w:rsidRPr="006E6583">
        <w:rPr>
          <w:color w:val="000000"/>
        </w:rPr>
        <w:t xml:space="preserve">and </w:t>
      </w:r>
      <w:r>
        <w:rPr>
          <w:color w:val="000000"/>
        </w:rPr>
        <w:t>the</w:t>
      </w:r>
      <w:r w:rsidRPr="006E6583">
        <w:rPr>
          <w:color w:val="000000"/>
        </w:rPr>
        <w:t xml:space="preserve"> findings</w:t>
      </w:r>
      <w:r>
        <w:rPr>
          <w:color w:val="000000"/>
        </w:rPr>
        <w:t>.</w:t>
      </w:r>
    </w:p>
    <w:p w:rsidR="00B5775F" w:rsidRDefault="00B5775F" w:rsidP="00B5775F">
      <w:pPr>
        <w:pStyle w:val="Caption"/>
      </w:pPr>
      <w:bookmarkStart w:id="1307" w:name="_Ref472470173"/>
      <w:bookmarkStart w:id="1308" w:name="_Toc472472557"/>
      <w:bookmarkStart w:id="1309" w:name="_Toc476842258"/>
      <w:r>
        <w:t>Table A-</w:t>
      </w:r>
      <w:fldSimple w:instr=" SEQ Table_A- \* ARABIC ">
        <w:r w:rsidR="00C301D0">
          <w:rPr>
            <w:noProof/>
          </w:rPr>
          <w:t>143</w:t>
        </w:r>
      </w:fldSimple>
      <w:bookmarkEnd w:id="1307"/>
      <w:r>
        <w:t>: PY7 Project Files Review for PPL</w:t>
      </w:r>
      <w:bookmarkEnd w:id="1308"/>
      <w:bookmarkEnd w:id="1309"/>
    </w:p>
    <w:tbl>
      <w:tblPr>
        <w:tblStyle w:val="AnnualReportTableStyle"/>
        <w:tblW w:w="12955" w:type="dxa"/>
        <w:tblLook w:val="04A0" w:firstRow="1" w:lastRow="0" w:firstColumn="1" w:lastColumn="0" w:noHBand="0" w:noVBand="1"/>
      </w:tblPr>
      <w:tblGrid>
        <w:gridCol w:w="872"/>
        <w:gridCol w:w="1013"/>
        <w:gridCol w:w="1085"/>
        <w:gridCol w:w="2515"/>
        <w:gridCol w:w="1021"/>
        <w:gridCol w:w="1499"/>
        <w:gridCol w:w="1293"/>
        <w:gridCol w:w="1004"/>
        <w:gridCol w:w="1128"/>
        <w:gridCol w:w="1525"/>
      </w:tblGrid>
      <w:tr w:rsidR="00A874AC" w:rsidRPr="004B4B06" w:rsidTr="004B4B06">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872" w:type="dxa"/>
            <w:noWrap/>
            <w:vAlign w:val="bottom"/>
            <w:hideMark/>
          </w:tcPr>
          <w:p w:rsidR="00B5775F" w:rsidRPr="004B4B06" w:rsidRDefault="00B5775F" w:rsidP="004B4B06">
            <w:pPr>
              <w:jc w:val="left"/>
              <w:rPr>
                <w:bCs/>
                <w:sz w:val="19"/>
                <w:szCs w:val="19"/>
              </w:rPr>
            </w:pPr>
            <w:r w:rsidRPr="004B4B06">
              <w:rPr>
                <w:bCs/>
                <w:sz w:val="19"/>
                <w:szCs w:val="19"/>
              </w:rPr>
              <w:t>Quarter</w:t>
            </w:r>
          </w:p>
        </w:tc>
        <w:tc>
          <w:tcPr>
            <w:tcW w:w="1013" w:type="dxa"/>
            <w:noWrap/>
            <w:vAlign w:val="bottom"/>
            <w:hideMark/>
          </w:tcPr>
          <w:p w:rsidR="00B5775F" w:rsidRPr="004B4B06"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4B4B06">
              <w:rPr>
                <w:bCs/>
                <w:sz w:val="19"/>
                <w:szCs w:val="19"/>
              </w:rPr>
              <w:t>Project Number</w:t>
            </w:r>
          </w:p>
        </w:tc>
        <w:tc>
          <w:tcPr>
            <w:tcW w:w="1085" w:type="dxa"/>
            <w:noWrap/>
            <w:vAlign w:val="bottom"/>
            <w:hideMark/>
          </w:tcPr>
          <w:p w:rsidR="00B5775F" w:rsidRPr="004B4B06"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4B4B06">
              <w:rPr>
                <w:bCs/>
                <w:sz w:val="19"/>
                <w:szCs w:val="19"/>
              </w:rPr>
              <w:t>Program</w:t>
            </w:r>
          </w:p>
        </w:tc>
        <w:tc>
          <w:tcPr>
            <w:tcW w:w="2515" w:type="dxa"/>
            <w:vAlign w:val="bottom"/>
            <w:hideMark/>
          </w:tcPr>
          <w:p w:rsidR="00B5775F" w:rsidRPr="004B4B06"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4B4B06">
              <w:rPr>
                <w:bCs/>
                <w:sz w:val="19"/>
                <w:szCs w:val="19"/>
              </w:rPr>
              <w:t>Project Description</w:t>
            </w:r>
          </w:p>
        </w:tc>
        <w:tc>
          <w:tcPr>
            <w:tcW w:w="1021" w:type="dxa"/>
            <w:vAlign w:val="bottom"/>
            <w:hideMark/>
          </w:tcPr>
          <w:p w:rsidR="00B5775F" w:rsidRPr="004B4B06"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4B4B06">
              <w:rPr>
                <w:bCs/>
                <w:sz w:val="19"/>
                <w:szCs w:val="19"/>
              </w:rPr>
              <w:t>Are all files included?</w:t>
            </w:r>
          </w:p>
        </w:tc>
        <w:tc>
          <w:tcPr>
            <w:tcW w:w="1499" w:type="dxa"/>
            <w:vAlign w:val="bottom"/>
            <w:hideMark/>
          </w:tcPr>
          <w:p w:rsidR="00B5775F" w:rsidRPr="004B4B06"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4B4B06">
              <w:rPr>
                <w:bCs/>
                <w:sz w:val="19"/>
                <w:szCs w:val="19"/>
              </w:rPr>
              <w:t>Do values match program tracking data?</w:t>
            </w:r>
          </w:p>
        </w:tc>
        <w:tc>
          <w:tcPr>
            <w:tcW w:w="1293" w:type="dxa"/>
            <w:vAlign w:val="bottom"/>
            <w:hideMark/>
          </w:tcPr>
          <w:p w:rsidR="00B5775F" w:rsidRPr="004B4B06"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4B4B06">
              <w:rPr>
                <w:bCs/>
                <w:sz w:val="19"/>
                <w:szCs w:val="19"/>
              </w:rPr>
              <w:t>Equipment discrepancy between invoices and calculations?</w:t>
            </w:r>
          </w:p>
        </w:tc>
        <w:tc>
          <w:tcPr>
            <w:tcW w:w="1004" w:type="dxa"/>
            <w:vAlign w:val="bottom"/>
            <w:hideMark/>
          </w:tcPr>
          <w:p w:rsidR="00B5775F" w:rsidRPr="004B4B06"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4B4B06">
              <w:rPr>
                <w:bCs/>
                <w:sz w:val="19"/>
                <w:szCs w:val="19"/>
              </w:rPr>
              <w:t>Sufficient info for SWE to follow?</w:t>
            </w:r>
          </w:p>
        </w:tc>
        <w:tc>
          <w:tcPr>
            <w:tcW w:w="1128" w:type="dxa"/>
            <w:vAlign w:val="bottom"/>
            <w:hideMark/>
          </w:tcPr>
          <w:p w:rsidR="00B5775F" w:rsidRPr="004B4B06"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4B4B06">
              <w:rPr>
                <w:bCs/>
                <w:sz w:val="19"/>
                <w:szCs w:val="19"/>
              </w:rPr>
              <w:t>For TRM measures, are correct algorithms and HOU values used?</w:t>
            </w:r>
          </w:p>
        </w:tc>
        <w:tc>
          <w:tcPr>
            <w:tcW w:w="1525" w:type="dxa"/>
            <w:vAlign w:val="bottom"/>
            <w:hideMark/>
          </w:tcPr>
          <w:p w:rsidR="00B5775F" w:rsidRPr="004B4B06" w:rsidRDefault="00B5775F" w:rsidP="008D7800">
            <w:pPr>
              <w:jc w:val="center"/>
              <w:cnfStyle w:val="100000000000" w:firstRow="1" w:lastRow="0" w:firstColumn="0" w:lastColumn="0" w:oddVBand="0" w:evenVBand="0" w:oddHBand="0" w:evenHBand="0" w:firstRowFirstColumn="0" w:firstRowLastColumn="0" w:lastRowFirstColumn="0" w:lastRowLastColumn="0"/>
              <w:rPr>
                <w:bCs/>
                <w:sz w:val="19"/>
                <w:szCs w:val="19"/>
              </w:rPr>
            </w:pPr>
            <w:r w:rsidRPr="004B4B06">
              <w:rPr>
                <w:bCs/>
                <w:sz w:val="19"/>
                <w:szCs w:val="19"/>
              </w:rPr>
              <w:t>For Custom measures, is the methodology clear and auditable? Is it a sensible approach?</w:t>
            </w:r>
          </w:p>
        </w:tc>
      </w:tr>
      <w:tr w:rsidR="00A874AC" w:rsidRPr="004B4B06" w:rsidTr="004B4B0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PY7Q1</w:t>
            </w:r>
          </w:p>
        </w:tc>
        <w:tc>
          <w:tcPr>
            <w:tcW w:w="101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PPL-13-07989</w:t>
            </w:r>
          </w:p>
        </w:tc>
        <w:tc>
          <w:tcPr>
            <w:tcW w:w="108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Custom</w:t>
            </w:r>
          </w:p>
        </w:tc>
        <w:tc>
          <w:tcPr>
            <w:tcW w:w="2515"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Ammonia compressor process refrigeration system</w:t>
            </w:r>
          </w:p>
        </w:tc>
        <w:tc>
          <w:tcPr>
            <w:tcW w:w="1021"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499"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29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No</w:t>
            </w:r>
          </w:p>
        </w:tc>
        <w:tc>
          <w:tcPr>
            <w:tcW w:w="1004"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128"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N/A</w:t>
            </w:r>
          </w:p>
        </w:tc>
        <w:tc>
          <w:tcPr>
            <w:tcW w:w="152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 eQuest modeling</w:t>
            </w:r>
          </w:p>
        </w:tc>
      </w:tr>
      <w:tr w:rsidR="00B5775F" w:rsidRPr="004B4B06" w:rsidTr="00FD03DC">
        <w:trPr>
          <w:trHeight w:val="1318"/>
        </w:trPr>
        <w:tc>
          <w:tcPr>
            <w:cnfStyle w:val="001000000000" w:firstRow="0" w:lastRow="0" w:firstColumn="1" w:lastColumn="0" w:oddVBand="0" w:evenVBand="0" w:oddHBand="0" w:evenHBand="0" w:firstRowFirstColumn="0" w:firstRowLastColumn="0" w:lastRowFirstColumn="0" w:lastRowLastColumn="0"/>
            <w:tcW w:w="0"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PY7Q2</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PPL-13-07498</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Custom</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Compressed air retrofit including controls, air receiver tank and high-pressure to low-pressure demand conversion</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No</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N/A</w:t>
            </w:r>
          </w:p>
        </w:tc>
      </w:tr>
      <w:tr w:rsidR="00A874AC" w:rsidRPr="004B4B06" w:rsidTr="004B4B0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PY7Q3</w:t>
            </w:r>
          </w:p>
        </w:tc>
        <w:tc>
          <w:tcPr>
            <w:tcW w:w="101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PPL-13-08365</w:t>
            </w:r>
          </w:p>
        </w:tc>
        <w:tc>
          <w:tcPr>
            <w:tcW w:w="108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Custom</w:t>
            </w:r>
          </w:p>
        </w:tc>
        <w:tc>
          <w:tcPr>
            <w:tcW w:w="2515"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Installed a 1,500-ton steam turbine chiller to utilize the exhaust heat from its CHP unit to generated steam to run the chiller and offset the electricity the two 900-ton chillers would have used.</w:t>
            </w:r>
          </w:p>
        </w:tc>
        <w:tc>
          <w:tcPr>
            <w:tcW w:w="1021"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499"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No, 1,615,462 kWh in Tracker but 1,202,014 kWh in Analysis</w:t>
            </w:r>
          </w:p>
        </w:tc>
        <w:tc>
          <w:tcPr>
            <w:tcW w:w="129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No</w:t>
            </w:r>
          </w:p>
        </w:tc>
        <w:tc>
          <w:tcPr>
            <w:tcW w:w="1004"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128"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52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N/A</w:t>
            </w:r>
          </w:p>
        </w:tc>
      </w:tr>
      <w:tr w:rsidR="00B5775F" w:rsidRPr="004B4B06" w:rsidTr="00FD03DC">
        <w:trPr>
          <w:trHeight w:val="1318"/>
        </w:trPr>
        <w:tc>
          <w:tcPr>
            <w:cnfStyle w:val="001000000000" w:firstRow="0" w:lastRow="0" w:firstColumn="1" w:lastColumn="0" w:oddVBand="0" w:evenVBand="0" w:oddHBand="0" w:evenHBand="0" w:firstRowFirstColumn="0" w:firstRowLastColumn="0" w:lastRowFirstColumn="0" w:lastRowLastColumn="0"/>
            <w:tcW w:w="0"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PY7Q3</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PPL-13-11790</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Custom</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EMS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No</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N/A</w:t>
            </w:r>
          </w:p>
        </w:tc>
      </w:tr>
      <w:tr w:rsidR="00A874AC" w:rsidRPr="004B4B06" w:rsidTr="004B4B0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PY7Q1</w:t>
            </w:r>
          </w:p>
        </w:tc>
        <w:tc>
          <w:tcPr>
            <w:tcW w:w="101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1398412</w:t>
            </w:r>
          </w:p>
        </w:tc>
        <w:tc>
          <w:tcPr>
            <w:tcW w:w="108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MMMF</w:t>
            </w:r>
          </w:p>
        </w:tc>
        <w:tc>
          <w:tcPr>
            <w:tcW w:w="2515"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Lighting and light control retrofit (mostly LED fixtures)</w:t>
            </w:r>
          </w:p>
        </w:tc>
        <w:tc>
          <w:tcPr>
            <w:tcW w:w="1021"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499"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29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No</w:t>
            </w:r>
          </w:p>
        </w:tc>
        <w:tc>
          <w:tcPr>
            <w:tcW w:w="1004"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128"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52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N/A</w:t>
            </w:r>
          </w:p>
        </w:tc>
      </w:tr>
      <w:tr w:rsidR="00B5775F" w:rsidRPr="004B4B06" w:rsidTr="00FD03DC">
        <w:trPr>
          <w:trHeight w:val="1318"/>
        </w:trPr>
        <w:tc>
          <w:tcPr>
            <w:cnfStyle w:val="001000000000" w:firstRow="0" w:lastRow="0" w:firstColumn="1" w:lastColumn="0" w:oddVBand="0" w:evenVBand="0" w:oddHBand="0" w:evenHBand="0" w:firstRowFirstColumn="0" w:firstRowLastColumn="0" w:lastRowFirstColumn="0" w:lastRowLastColumn="0"/>
            <w:tcW w:w="0"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PY7Q1</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1238822</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MMMF</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LED lighting retrofit</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No</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N/A</w:t>
            </w:r>
          </w:p>
        </w:tc>
      </w:tr>
      <w:tr w:rsidR="00A874AC" w:rsidRPr="004B4B06" w:rsidTr="004B4B0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PY7Q2</w:t>
            </w:r>
          </w:p>
        </w:tc>
        <w:tc>
          <w:tcPr>
            <w:tcW w:w="101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1653152</w:t>
            </w:r>
          </w:p>
        </w:tc>
        <w:tc>
          <w:tcPr>
            <w:tcW w:w="108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MMMF</w:t>
            </w:r>
          </w:p>
        </w:tc>
        <w:tc>
          <w:tcPr>
            <w:tcW w:w="2515"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Lighting retrofit T12s to T8 and incandescent to LED, controls</w:t>
            </w:r>
          </w:p>
        </w:tc>
        <w:tc>
          <w:tcPr>
            <w:tcW w:w="1021"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499"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29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No</w:t>
            </w:r>
          </w:p>
        </w:tc>
        <w:tc>
          <w:tcPr>
            <w:tcW w:w="1004"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128"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52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N/A</w:t>
            </w:r>
          </w:p>
        </w:tc>
      </w:tr>
      <w:tr w:rsidR="00B5775F" w:rsidRPr="004B4B06" w:rsidTr="00FD03DC">
        <w:trPr>
          <w:trHeight w:val="1318"/>
        </w:trPr>
        <w:tc>
          <w:tcPr>
            <w:cnfStyle w:val="001000000000" w:firstRow="0" w:lastRow="0" w:firstColumn="1" w:lastColumn="0" w:oddVBand="0" w:evenVBand="0" w:oddHBand="0" w:evenHBand="0" w:firstRowFirstColumn="0" w:firstRowLastColumn="0" w:lastRowFirstColumn="0" w:lastRowLastColumn="0"/>
            <w:tcW w:w="0"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PY7Q3</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919635</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MMMF</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LED lighting retrofit</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No</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N/A</w:t>
            </w:r>
          </w:p>
        </w:tc>
      </w:tr>
      <w:tr w:rsidR="00A874AC" w:rsidRPr="004B4B06" w:rsidTr="004B4B0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PY7Q3</w:t>
            </w:r>
          </w:p>
        </w:tc>
        <w:tc>
          <w:tcPr>
            <w:tcW w:w="101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1804304</w:t>
            </w:r>
          </w:p>
        </w:tc>
        <w:tc>
          <w:tcPr>
            <w:tcW w:w="108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MMMF</w:t>
            </w:r>
          </w:p>
        </w:tc>
        <w:tc>
          <w:tcPr>
            <w:tcW w:w="2515"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T12 to T8 retrofit</w:t>
            </w:r>
          </w:p>
        </w:tc>
        <w:tc>
          <w:tcPr>
            <w:tcW w:w="1021"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499"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29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No</w:t>
            </w:r>
          </w:p>
        </w:tc>
        <w:tc>
          <w:tcPr>
            <w:tcW w:w="1004"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128"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52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N/A</w:t>
            </w:r>
          </w:p>
        </w:tc>
      </w:tr>
      <w:tr w:rsidR="00B5775F" w:rsidRPr="004B4B06" w:rsidTr="00FD03DC">
        <w:trPr>
          <w:trHeight w:val="1318"/>
        </w:trPr>
        <w:tc>
          <w:tcPr>
            <w:cnfStyle w:val="001000000000" w:firstRow="0" w:lastRow="0" w:firstColumn="1" w:lastColumn="0" w:oddVBand="0" w:evenVBand="0" w:oddHBand="0" w:evenHBand="0" w:firstRowFirstColumn="0" w:firstRowLastColumn="0" w:lastRowFirstColumn="0" w:lastRowLastColumn="0"/>
            <w:tcW w:w="0"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PY7Q3</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841819</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MMMF</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Lighting, showerheads, aerators, and thermostatic shower restriction valves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No, 46,837 in tracker but 35,043 or 51,086 in bundle</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No</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N/A</w:t>
            </w:r>
          </w:p>
        </w:tc>
      </w:tr>
      <w:tr w:rsidR="00A874AC" w:rsidRPr="004B4B06" w:rsidTr="004B4B0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PY7Q4</w:t>
            </w:r>
          </w:p>
        </w:tc>
        <w:tc>
          <w:tcPr>
            <w:tcW w:w="101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1952839</w:t>
            </w:r>
          </w:p>
        </w:tc>
        <w:tc>
          <w:tcPr>
            <w:tcW w:w="108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MMMF</w:t>
            </w:r>
          </w:p>
        </w:tc>
        <w:tc>
          <w:tcPr>
            <w:tcW w:w="2515"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Lighting and vending machine controls</w:t>
            </w:r>
          </w:p>
        </w:tc>
        <w:tc>
          <w:tcPr>
            <w:tcW w:w="1021"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499"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29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No</w:t>
            </w:r>
          </w:p>
        </w:tc>
        <w:tc>
          <w:tcPr>
            <w:tcW w:w="1004"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128"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52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N/A</w:t>
            </w:r>
          </w:p>
        </w:tc>
      </w:tr>
      <w:tr w:rsidR="00B5775F" w:rsidRPr="004B4B06" w:rsidTr="00FD03DC">
        <w:trPr>
          <w:trHeight w:val="1318"/>
        </w:trPr>
        <w:tc>
          <w:tcPr>
            <w:cnfStyle w:val="001000000000" w:firstRow="0" w:lastRow="0" w:firstColumn="1" w:lastColumn="0" w:oddVBand="0" w:evenVBand="0" w:oddHBand="0" w:evenHBand="0" w:firstRowFirstColumn="0" w:firstRowLastColumn="0" w:lastRowFirstColumn="0" w:lastRowLastColumn="0"/>
            <w:tcW w:w="0"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PY7Q1</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PPL-13-07619</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 Equip Non-Lighting</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Mini-split ASHP 19 SEER</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No</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N/A</w:t>
            </w:r>
          </w:p>
        </w:tc>
      </w:tr>
      <w:tr w:rsidR="00A874AC" w:rsidRPr="004B4B06" w:rsidTr="004B4B0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PY7Q1</w:t>
            </w:r>
          </w:p>
        </w:tc>
        <w:tc>
          <w:tcPr>
            <w:tcW w:w="101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PPL-13-08217</w:t>
            </w:r>
          </w:p>
        </w:tc>
        <w:tc>
          <w:tcPr>
            <w:tcW w:w="108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 Equip Non-Lighting</w:t>
            </w:r>
          </w:p>
        </w:tc>
        <w:tc>
          <w:tcPr>
            <w:tcW w:w="2515"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HVAC (ductless heat pump)</w:t>
            </w:r>
          </w:p>
        </w:tc>
        <w:tc>
          <w:tcPr>
            <w:tcW w:w="1021"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499"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29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No</w:t>
            </w:r>
          </w:p>
        </w:tc>
        <w:tc>
          <w:tcPr>
            <w:tcW w:w="1004"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128"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52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N/A</w:t>
            </w:r>
          </w:p>
        </w:tc>
      </w:tr>
      <w:tr w:rsidR="00B5775F" w:rsidRPr="004B4B06" w:rsidTr="00FD03DC">
        <w:trPr>
          <w:trHeight w:val="1318"/>
        </w:trPr>
        <w:tc>
          <w:tcPr>
            <w:cnfStyle w:val="001000000000" w:firstRow="0" w:lastRow="0" w:firstColumn="1" w:lastColumn="0" w:oddVBand="0" w:evenVBand="0" w:oddHBand="0" w:evenHBand="0" w:firstRowFirstColumn="0" w:firstRowLastColumn="0" w:lastRowFirstColumn="0" w:lastRowLastColumn="0"/>
            <w:tcW w:w="0"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PY7Q1</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PPL-13-11248</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 Equip Non-Lighting</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Refrigeration (high-efficiency evaporator fans)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No</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N/A</w:t>
            </w:r>
          </w:p>
        </w:tc>
      </w:tr>
      <w:tr w:rsidR="00A874AC" w:rsidRPr="004B4B06" w:rsidTr="004B4B0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PY7Q3</w:t>
            </w:r>
          </w:p>
        </w:tc>
        <w:tc>
          <w:tcPr>
            <w:tcW w:w="101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PPL-13-12355</w:t>
            </w:r>
          </w:p>
        </w:tc>
        <w:tc>
          <w:tcPr>
            <w:tcW w:w="108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 Equip Non-Lighting</w:t>
            </w:r>
          </w:p>
        </w:tc>
        <w:tc>
          <w:tcPr>
            <w:tcW w:w="2515"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Refrigeration (high-efficiency evaporator fans)</w:t>
            </w:r>
          </w:p>
        </w:tc>
        <w:tc>
          <w:tcPr>
            <w:tcW w:w="1021"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499"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29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No</w:t>
            </w:r>
          </w:p>
        </w:tc>
        <w:tc>
          <w:tcPr>
            <w:tcW w:w="1004"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128"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52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N/A</w:t>
            </w:r>
          </w:p>
        </w:tc>
      </w:tr>
      <w:tr w:rsidR="00B5775F" w:rsidRPr="004B4B06" w:rsidTr="00FD03DC">
        <w:trPr>
          <w:trHeight w:val="1318"/>
        </w:trPr>
        <w:tc>
          <w:tcPr>
            <w:cnfStyle w:val="001000000000" w:firstRow="0" w:lastRow="0" w:firstColumn="1" w:lastColumn="0" w:oddVBand="0" w:evenVBand="0" w:oddHBand="0" w:evenHBand="0" w:firstRowFirstColumn="0" w:firstRowLastColumn="0" w:lastRowFirstColumn="0" w:lastRowLastColumn="0"/>
            <w:tcW w:w="0"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PY7Q4</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PPL-13-10648</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 Equip Non-Lighting</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Refrigeration (high-efficiency evaporator fans)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No</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N/A</w:t>
            </w:r>
          </w:p>
        </w:tc>
      </w:tr>
      <w:tr w:rsidR="00A874AC" w:rsidRPr="004B4B06" w:rsidTr="004B4B0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PY7Q4</w:t>
            </w:r>
          </w:p>
        </w:tc>
        <w:tc>
          <w:tcPr>
            <w:tcW w:w="101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PPL-13-12190</w:t>
            </w:r>
          </w:p>
        </w:tc>
        <w:tc>
          <w:tcPr>
            <w:tcW w:w="108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 Equip Non-Lighting</w:t>
            </w:r>
          </w:p>
        </w:tc>
        <w:tc>
          <w:tcPr>
            <w:tcW w:w="2515"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Ice maker</w:t>
            </w:r>
          </w:p>
        </w:tc>
        <w:tc>
          <w:tcPr>
            <w:tcW w:w="1021"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499"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29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No</w:t>
            </w:r>
          </w:p>
        </w:tc>
        <w:tc>
          <w:tcPr>
            <w:tcW w:w="1004"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128"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52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N/A</w:t>
            </w:r>
          </w:p>
        </w:tc>
      </w:tr>
      <w:tr w:rsidR="00B5775F" w:rsidRPr="004B4B06" w:rsidTr="00FD03DC">
        <w:trPr>
          <w:trHeight w:val="1318"/>
        </w:trPr>
        <w:tc>
          <w:tcPr>
            <w:cnfStyle w:val="001000000000" w:firstRow="0" w:lastRow="0" w:firstColumn="1" w:lastColumn="0" w:oddVBand="0" w:evenVBand="0" w:oddHBand="0" w:evenHBand="0" w:firstRowFirstColumn="0" w:firstRowLastColumn="0" w:lastRowFirstColumn="0" w:lastRowLastColumn="0"/>
            <w:tcW w:w="0"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PY7Q2</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PPL-13-09184</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 Equip Lighting</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Lighting retrofit (LED, T5, fridge cases, etc.)</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No</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N/A</w:t>
            </w:r>
          </w:p>
        </w:tc>
      </w:tr>
      <w:tr w:rsidR="00A874AC" w:rsidRPr="004B4B06" w:rsidTr="004B4B0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PY7Q2</w:t>
            </w:r>
          </w:p>
        </w:tc>
        <w:tc>
          <w:tcPr>
            <w:tcW w:w="101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PPL-13-09236</w:t>
            </w:r>
          </w:p>
        </w:tc>
        <w:tc>
          <w:tcPr>
            <w:tcW w:w="108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 Equip Lighting</w:t>
            </w:r>
          </w:p>
        </w:tc>
        <w:tc>
          <w:tcPr>
            <w:tcW w:w="2515"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Lighting retrofit (LED, T5, fridge cases, etc.)</w:t>
            </w:r>
          </w:p>
        </w:tc>
        <w:tc>
          <w:tcPr>
            <w:tcW w:w="1021"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499"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29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No</w:t>
            </w:r>
          </w:p>
        </w:tc>
        <w:tc>
          <w:tcPr>
            <w:tcW w:w="1004"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128"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52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N/A</w:t>
            </w:r>
          </w:p>
        </w:tc>
      </w:tr>
      <w:tr w:rsidR="00B5775F" w:rsidRPr="004B4B06" w:rsidTr="00FD03DC">
        <w:trPr>
          <w:trHeight w:val="1318"/>
        </w:trPr>
        <w:tc>
          <w:tcPr>
            <w:cnfStyle w:val="001000000000" w:firstRow="0" w:lastRow="0" w:firstColumn="1" w:lastColumn="0" w:oddVBand="0" w:evenVBand="0" w:oddHBand="0" w:evenHBand="0" w:firstRowFirstColumn="0" w:firstRowLastColumn="0" w:lastRowFirstColumn="0" w:lastRowLastColumn="0"/>
            <w:tcW w:w="0"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PY7Q2</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PPL-13-11365</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 Equip Lighting</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Lighting retrofit (interior and exterior)</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No</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N/A</w:t>
            </w:r>
          </w:p>
        </w:tc>
      </w:tr>
      <w:tr w:rsidR="00A874AC" w:rsidRPr="004B4B06" w:rsidTr="004B4B0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PY7Q2</w:t>
            </w:r>
          </w:p>
        </w:tc>
        <w:tc>
          <w:tcPr>
            <w:tcW w:w="101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PPL-13-12055</w:t>
            </w:r>
          </w:p>
        </w:tc>
        <w:tc>
          <w:tcPr>
            <w:tcW w:w="108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 Equip Lighting</w:t>
            </w:r>
          </w:p>
        </w:tc>
        <w:tc>
          <w:tcPr>
            <w:tcW w:w="2515"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Dusk-to-dawn LED floodlight retrofit</w:t>
            </w:r>
          </w:p>
        </w:tc>
        <w:tc>
          <w:tcPr>
            <w:tcW w:w="1021"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499"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29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No</w:t>
            </w:r>
          </w:p>
        </w:tc>
        <w:tc>
          <w:tcPr>
            <w:tcW w:w="1004"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128"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52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N/A</w:t>
            </w:r>
          </w:p>
        </w:tc>
      </w:tr>
      <w:tr w:rsidR="00B5775F" w:rsidRPr="004B4B06" w:rsidTr="00FD03DC">
        <w:trPr>
          <w:trHeight w:val="1318"/>
        </w:trPr>
        <w:tc>
          <w:tcPr>
            <w:cnfStyle w:val="001000000000" w:firstRow="0" w:lastRow="0" w:firstColumn="1" w:lastColumn="0" w:oddVBand="0" w:evenVBand="0" w:oddHBand="0" w:evenHBand="0" w:firstRowFirstColumn="0" w:firstRowLastColumn="0" w:lastRowFirstColumn="0" w:lastRowLastColumn="0"/>
            <w:tcW w:w="0"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PY7Q3</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PPL-13-12100</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 Equip Lighting</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Lighting retrofit (incandescent to LED)</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No</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N/A</w:t>
            </w:r>
          </w:p>
        </w:tc>
      </w:tr>
      <w:tr w:rsidR="00A874AC" w:rsidRPr="004B4B06" w:rsidTr="004B4B06">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872"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PY7Q3</w:t>
            </w:r>
          </w:p>
        </w:tc>
        <w:tc>
          <w:tcPr>
            <w:tcW w:w="101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PPL-13-12477</w:t>
            </w:r>
          </w:p>
        </w:tc>
        <w:tc>
          <w:tcPr>
            <w:tcW w:w="108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P. Equip Lighting</w:t>
            </w:r>
          </w:p>
        </w:tc>
        <w:tc>
          <w:tcPr>
            <w:tcW w:w="2515" w:type="dxa"/>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Lighting retrofit (indoor and outdoor LED)</w:t>
            </w:r>
          </w:p>
        </w:tc>
        <w:tc>
          <w:tcPr>
            <w:tcW w:w="1021"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499"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293"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No</w:t>
            </w:r>
          </w:p>
        </w:tc>
        <w:tc>
          <w:tcPr>
            <w:tcW w:w="1004"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128"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Yes</w:t>
            </w:r>
          </w:p>
        </w:tc>
        <w:tc>
          <w:tcPr>
            <w:tcW w:w="1525" w:type="dxa"/>
            <w:noWrap/>
            <w:hideMark/>
          </w:tcPr>
          <w:p w:rsidR="00B5775F" w:rsidRPr="004B4B06" w:rsidRDefault="00B5775F" w:rsidP="008D780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B4B06">
              <w:rPr>
                <w:color w:val="000000"/>
                <w:sz w:val="20"/>
                <w:szCs w:val="20"/>
              </w:rPr>
              <w:t>N/A</w:t>
            </w:r>
          </w:p>
        </w:tc>
      </w:tr>
      <w:tr w:rsidR="00B5775F" w:rsidRPr="004B4B06" w:rsidTr="00FD03DC">
        <w:trPr>
          <w:trHeight w:val="1318"/>
        </w:trPr>
        <w:tc>
          <w:tcPr>
            <w:cnfStyle w:val="001000000000" w:firstRow="0" w:lastRow="0" w:firstColumn="1" w:lastColumn="0" w:oddVBand="0" w:evenVBand="0" w:oddHBand="0" w:evenHBand="0" w:firstRowFirstColumn="0" w:firstRowLastColumn="0" w:lastRowFirstColumn="0" w:lastRowLastColumn="0"/>
            <w:tcW w:w="0" w:type="dxa"/>
            <w:noWrap/>
            <w:hideMark/>
          </w:tcPr>
          <w:p w:rsidR="00B5775F" w:rsidRPr="004B4B06" w:rsidRDefault="00B5775F" w:rsidP="004B4B06">
            <w:pPr>
              <w:jc w:val="left"/>
              <w:rPr>
                <w:b w:val="0"/>
                <w:bCs/>
                <w:i/>
                <w:iCs/>
                <w:color w:val="000000"/>
                <w:sz w:val="20"/>
                <w:szCs w:val="20"/>
              </w:rPr>
            </w:pPr>
            <w:r w:rsidRPr="004B4B06">
              <w:rPr>
                <w:b w:val="0"/>
                <w:bCs/>
                <w:i/>
                <w:iCs/>
                <w:color w:val="000000"/>
                <w:sz w:val="20"/>
                <w:szCs w:val="20"/>
              </w:rPr>
              <w:t>PY7Q3</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PPL-13-11701</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P. Equip Lighting</w:t>
            </w:r>
          </w:p>
        </w:tc>
        <w:tc>
          <w:tcPr>
            <w:tcW w:w="0" w:type="dxa"/>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Lighting retrofit (indoor LED)</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No</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Yes</w:t>
            </w:r>
          </w:p>
        </w:tc>
        <w:tc>
          <w:tcPr>
            <w:tcW w:w="0" w:type="dxa"/>
            <w:noWrap/>
            <w:hideMark/>
          </w:tcPr>
          <w:p w:rsidR="00B5775F" w:rsidRPr="004B4B06" w:rsidRDefault="00B5775F" w:rsidP="008D780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B4B06">
              <w:rPr>
                <w:color w:val="000000"/>
                <w:sz w:val="20"/>
                <w:szCs w:val="20"/>
              </w:rPr>
              <w:t>N/A</w:t>
            </w:r>
          </w:p>
        </w:tc>
      </w:tr>
    </w:tbl>
    <w:p w:rsidR="00B5775F" w:rsidRDefault="00B5775F" w:rsidP="00B5775F"/>
    <w:p w:rsidR="004B4B06" w:rsidRDefault="004B4B06" w:rsidP="00B5775F">
      <w:pPr>
        <w:rPr>
          <w:color w:val="000000"/>
        </w:rPr>
        <w:sectPr w:rsidR="004B4B06" w:rsidSect="004B4B06">
          <w:headerReference w:type="default" r:id="rId175"/>
          <w:footerReference w:type="default" r:id="rId176"/>
          <w:headerReference w:type="first" r:id="rId177"/>
          <w:footerReference w:type="first" r:id="rId178"/>
          <w:pgSz w:w="15840" w:h="12240" w:orient="landscape"/>
          <w:pgMar w:top="1440" w:right="1440" w:bottom="1440" w:left="1440" w:header="720" w:footer="288" w:gutter="0"/>
          <w:cols w:space="720"/>
          <w:titlePg/>
          <w:docGrid w:linePitch="360"/>
        </w:sectPr>
      </w:pPr>
    </w:p>
    <w:p w:rsidR="00B5775F" w:rsidRPr="00EB5DD8" w:rsidRDefault="00B5775F" w:rsidP="00B5775F">
      <w:pPr>
        <w:rPr>
          <w:color w:val="000000"/>
        </w:rPr>
      </w:pPr>
      <w:r w:rsidRPr="00EB5DD8">
        <w:rPr>
          <w:color w:val="000000"/>
        </w:rPr>
        <w:t xml:space="preserve">Project PPL-13-08365 in the Custom </w:t>
      </w:r>
      <w:r>
        <w:rPr>
          <w:color w:val="000000"/>
        </w:rPr>
        <w:t xml:space="preserve">Incentives </w:t>
      </w:r>
      <w:r w:rsidRPr="00EB5DD8">
        <w:rPr>
          <w:color w:val="000000"/>
        </w:rPr>
        <w:t>Program had 1,202,014 kWh</w:t>
      </w:r>
      <w:r>
        <w:rPr>
          <w:color w:val="000000"/>
        </w:rPr>
        <w:t>/yr</w:t>
      </w:r>
      <w:r w:rsidRPr="00EB5DD8">
        <w:rPr>
          <w:color w:val="000000"/>
        </w:rPr>
        <w:t xml:space="preserve"> reported as the savings total in </w:t>
      </w:r>
      <w:r>
        <w:rPr>
          <w:color w:val="000000"/>
        </w:rPr>
        <w:t>a</w:t>
      </w:r>
      <w:r w:rsidRPr="00EB5DD8">
        <w:rPr>
          <w:color w:val="000000"/>
        </w:rPr>
        <w:t>nalysis in the project file, but 1,615,462 kWh</w:t>
      </w:r>
      <w:r>
        <w:rPr>
          <w:color w:val="000000"/>
        </w:rPr>
        <w:t>/yr</w:t>
      </w:r>
      <w:r w:rsidRPr="00EB5DD8">
        <w:rPr>
          <w:color w:val="000000"/>
        </w:rPr>
        <w:t xml:space="preserve"> reported in the </w:t>
      </w:r>
      <w:r>
        <w:rPr>
          <w:color w:val="000000"/>
        </w:rPr>
        <w:t>t</w:t>
      </w:r>
      <w:r w:rsidRPr="00EB5DD8">
        <w:rPr>
          <w:color w:val="000000"/>
        </w:rPr>
        <w:t>racker.</w:t>
      </w:r>
      <w:r>
        <w:rPr>
          <w:color w:val="000000"/>
        </w:rPr>
        <w:t xml:space="preserve"> After consulting with PPL, the number reported in the tracker is correct, and the </w:t>
      </w:r>
      <w:r w:rsidRPr="00942467">
        <w:rPr>
          <w:color w:val="000000"/>
        </w:rPr>
        <w:t>value of 1,202,014 in the “analysis in the project file” was apparently taken from an analysis done by the implementer, EPS, in file “PPL-13-08365 Custom Analysis.xls”. This was the value prior to verification by the evaluator. PPL correctly reported the verified savings value, not the EPS result</w:t>
      </w:r>
      <w:r>
        <w:rPr>
          <w:color w:val="000000"/>
        </w:rPr>
        <w:t>.</w:t>
      </w:r>
    </w:p>
    <w:p w:rsidR="00B5775F" w:rsidRPr="00EB5DD8" w:rsidRDefault="00B5775F" w:rsidP="00B5775F">
      <w:pPr>
        <w:rPr>
          <w:color w:val="000000"/>
        </w:rPr>
      </w:pPr>
    </w:p>
    <w:p w:rsidR="00B5775F" w:rsidRPr="00EB5DD8" w:rsidRDefault="00B5775F" w:rsidP="00B5775F">
      <w:pPr>
        <w:rPr>
          <w:color w:val="000000"/>
        </w:rPr>
      </w:pPr>
      <w:r w:rsidRPr="00EB5DD8">
        <w:rPr>
          <w:color w:val="000000"/>
        </w:rPr>
        <w:t xml:space="preserve">Project 841819 in the MMMF </w:t>
      </w:r>
      <w:r>
        <w:rPr>
          <w:color w:val="000000"/>
        </w:rPr>
        <w:t>P</w:t>
      </w:r>
      <w:r w:rsidRPr="00EB5DD8">
        <w:rPr>
          <w:color w:val="000000"/>
        </w:rPr>
        <w:t>rogram had 46,837 kWh</w:t>
      </w:r>
      <w:r>
        <w:rPr>
          <w:color w:val="000000"/>
        </w:rPr>
        <w:t>/yr</w:t>
      </w:r>
      <w:r w:rsidRPr="00EB5DD8">
        <w:rPr>
          <w:color w:val="000000"/>
        </w:rPr>
        <w:t xml:space="preserve"> in the </w:t>
      </w:r>
      <w:r>
        <w:rPr>
          <w:color w:val="000000"/>
        </w:rPr>
        <w:t>t</w:t>
      </w:r>
      <w:r w:rsidRPr="00EB5DD8">
        <w:rPr>
          <w:color w:val="000000"/>
        </w:rPr>
        <w:t>racker but either 35,043 kWh</w:t>
      </w:r>
      <w:r>
        <w:rPr>
          <w:color w:val="000000"/>
        </w:rPr>
        <w:t>/yr</w:t>
      </w:r>
      <w:r w:rsidRPr="00EB5DD8">
        <w:rPr>
          <w:color w:val="000000"/>
        </w:rPr>
        <w:t xml:space="preserve"> or 51,086 kWh</w:t>
      </w:r>
      <w:r>
        <w:rPr>
          <w:color w:val="000000"/>
        </w:rPr>
        <w:t>/yr</w:t>
      </w:r>
      <w:r w:rsidRPr="00EB5DD8">
        <w:rPr>
          <w:color w:val="000000"/>
        </w:rPr>
        <w:t xml:space="preserve"> in </w:t>
      </w:r>
      <w:r>
        <w:rPr>
          <w:color w:val="000000"/>
        </w:rPr>
        <w:t>the b</w:t>
      </w:r>
      <w:r w:rsidRPr="00EB5DD8">
        <w:rPr>
          <w:color w:val="000000"/>
        </w:rPr>
        <w:t>undle</w:t>
      </w:r>
      <w:r>
        <w:rPr>
          <w:color w:val="000000"/>
        </w:rPr>
        <w:t>,</w:t>
      </w:r>
      <w:r w:rsidRPr="00EB5DD8">
        <w:rPr>
          <w:color w:val="000000"/>
        </w:rPr>
        <w:t xml:space="preserve"> depending on the section. The SWE was unable to square the Appendix C calculator and the </w:t>
      </w:r>
      <w:r>
        <w:rPr>
          <w:color w:val="000000"/>
        </w:rPr>
        <w:t>b</w:t>
      </w:r>
      <w:r w:rsidRPr="00EB5DD8">
        <w:rPr>
          <w:color w:val="000000"/>
        </w:rPr>
        <w:t>undle</w:t>
      </w:r>
      <w:r>
        <w:rPr>
          <w:color w:val="000000"/>
        </w:rPr>
        <w:t>-</w:t>
      </w:r>
      <w:r w:rsidRPr="00EB5DD8">
        <w:rPr>
          <w:color w:val="000000"/>
        </w:rPr>
        <w:t>reported savings with the savings in the tracking database.</w:t>
      </w:r>
      <w:r>
        <w:rPr>
          <w:color w:val="000000"/>
        </w:rPr>
        <w:t xml:space="preserve"> After consulting with PPL, they noted that the savings in the tracker were correct and the bundle was incorrect. </w:t>
      </w:r>
      <w:r w:rsidRPr="00953E17">
        <w:rPr>
          <w:color w:val="000000"/>
        </w:rPr>
        <w:t>Th</w:t>
      </w:r>
      <w:r>
        <w:rPr>
          <w:color w:val="000000"/>
        </w:rPr>
        <w:t>e</w:t>
      </w:r>
      <w:r w:rsidRPr="00953E17">
        <w:rPr>
          <w:color w:val="000000"/>
        </w:rPr>
        <w:t xml:space="preserve"> discrepancy </w:t>
      </w:r>
      <w:r>
        <w:rPr>
          <w:color w:val="000000"/>
        </w:rPr>
        <w:t xml:space="preserve">in the Appendix C calculator </w:t>
      </w:r>
      <w:r w:rsidRPr="00953E17">
        <w:rPr>
          <w:color w:val="000000"/>
        </w:rPr>
        <w:t>is due to the implementer using 13.5W</w:t>
      </w:r>
      <w:r>
        <w:rPr>
          <w:color w:val="000000"/>
        </w:rPr>
        <w:t xml:space="preserve"> </w:t>
      </w:r>
      <w:r w:rsidRPr="00953E17">
        <w:rPr>
          <w:color w:val="000000"/>
        </w:rPr>
        <w:t>as the installed wattage for the Front White Cylinder S</w:t>
      </w:r>
      <w:r>
        <w:rPr>
          <w:color w:val="000000"/>
        </w:rPr>
        <w:t>conces in EEMIS instead of 14 W</w:t>
      </w:r>
      <w:r w:rsidRPr="00953E17">
        <w:rPr>
          <w:color w:val="000000"/>
        </w:rPr>
        <w:t>.</w:t>
      </w:r>
    </w:p>
    <w:p w:rsidR="00B5775F" w:rsidRPr="00EB5DD8" w:rsidRDefault="00B5775F" w:rsidP="00B5775F">
      <w:pPr>
        <w:rPr>
          <w:color w:val="000000"/>
        </w:rPr>
      </w:pPr>
    </w:p>
    <w:p w:rsidR="00B5775F" w:rsidRPr="00EB5DD8" w:rsidRDefault="00B5775F" w:rsidP="00B5775F">
      <w:pPr>
        <w:pStyle w:val="AppendixAHeading4"/>
        <w:rPr>
          <w:rFonts w:eastAsia="Calibri"/>
        </w:rPr>
      </w:pPr>
      <w:bookmarkStart w:id="1310" w:name="_Toc408557479"/>
      <w:bookmarkStart w:id="1311" w:name="_Ref440444471"/>
      <w:r w:rsidRPr="00EB5DD8">
        <w:rPr>
          <w:rFonts w:eastAsia="Calibri"/>
        </w:rPr>
        <w:t>Sample Design Review</w:t>
      </w:r>
      <w:bookmarkEnd w:id="1310"/>
      <w:bookmarkEnd w:id="1311"/>
    </w:p>
    <w:p w:rsidR="00B5775F" w:rsidRPr="00EB5DD8" w:rsidRDefault="00B5775F" w:rsidP="00B5775F">
      <w:r w:rsidRPr="00466333">
        <w:t>PPL’s</w:t>
      </w:r>
      <w:r w:rsidRPr="00EB5DD8">
        <w:t xml:space="preserve"> PY7 annual report provides detailed information about the sample design and selection for the PY7 gross impact evaluation of non-residential programs. Four PPL non-residential programs reported savings in PY7: Custom Incentive Program, Master Metered Low-Income Multifamily Housing </w:t>
      </w:r>
      <w:r>
        <w:t>P</w:t>
      </w:r>
      <w:r w:rsidRPr="00EB5DD8">
        <w:t xml:space="preserve">rogram, Prescriptive Equipment Program (includes lighting and non-lighting strata), and Continuous Energy Improvement Program. </w:t>
      </w:r>
    </w:p>
    <w:p w:rsidR="00B5775F" w:rsidRPr="00EB5DD8" w:rsidRDefault="00B5775F" w:rsidP="00B5775F"/>
    <w:p w:rsidR="00B5775F" w:rsidRPr="00EB5DD8" w:rsidRDefault="00B5775F" w:rsidP="00B5775F">
      <w:pPr>
        <w:pStyle w:val="AppendixAHeading5"/>
      </w:pPr>
      <w:r w:rsidRPr="00EB5DD8">
        <w:t>Custom Incentive Program</w:t>
      </w:r>
    </w:p>
    <w:p w:rsidR="00B5775F" w:rsidRPr="00EB5DD8" w:rsidRDefault="00B5775F" w:rsidP="00B5775F">
      <w:r w:rsidRPr="00EB5DD8">
        <w:t xml:space="preserve">The Custom Incentive Program offers financial incentives to customers for installing extensive energy efficiency projects, retro-commissioning existing equipment, making repairs, optimizing equipment, or installing equipment measures or systems not covered by the Prescriptive Equipment Program or the TRM. A threshold of 500,000 kWh/year savings was used to delineate the small and large strata for the </w:t>
      </w:r>
      <w:r>
        <w:t>p</w:t>
      </w:r>
      <w:r w:rsidRPr="00EB5DD8">
        <w:t>rogram. The large stratum ha</w:t>
      </w:r>
      <w:r>
        <w:t>d</w:t>
      </w:r>
      <w:r w:rsidRPr="00EB5DD8">
        <w:t xml:space="preserve"> 18 projects in PY7, and these were evaluated at a high level of rigor with pre-installment measurements. The sampling strategy of this program is presented in </w:t>
      </w:r>
      <w:r w:rsidRPr="00EB5DD8">
        <w:fldChar w:fldCharType="begin"/>
      </w:r>
      <w:r w:rsidRPr="00EB5DD8">
        <w:instrText xml:space="preserve"> REF _Ref440269090 \h  \* MERGEFORMAT </w:instrText>
      </w:r>
      <w:r w:rsidRPr="00EB5DD8">
        <w:fldChar w:fldCharType="separate"/>
      </w:r>
      <w:r w:rsidR="00DD797D" w:rsidRPr="00EB5DD8">
        <w:t>Table A-</w:t>
      </w:r>
      <w:r w:rsidR="00DD797D">
        <w:t>144</w:t>
      </w:r>
      <w:r w:rsidRPr="00EB5DD8">
        <w:fldChar w:fldCharType="end"/>
      </w:r>
      <w:r w:rsidRPr="00EB5DD8">
        <w:t>.</w:t>
      </w:r>
    </w:p>
    <w:p w:rsidR="00B5775F" w:rsidRPr="00EB5DD8" w:rsidRDefault="00B5775F" w:rsidP="00B5775F"/>
    <w:p w:rsidR="00B5775F" w:rsidRPr="00EB5DD8" w:rsidRDefault="00B5775F" w:rsidP="00B5775F">
      <w:pPr>
        <w:pStyle w:val="Caption"/>
      </w:pPr>
      <w:bookmarkStart w:id="1312" w:name="_Ref440269090"/>
      <w:bookmarkStart w:id="1313" w:name="_Toc410199401"/>
      <w:bookmarkStart w:id="1314" w:name="_Toc431462383"/>
      <w:bookmarkStart w:id="1315" w:name="_Toc444269911"/>
      <w:bookmarkStart w:id="1316" w:name="_Toc472472558"/>
      <w:bookmarkStart w:id="1317" w:name="_Toc476842259"/>
      <w:r w:rsidRPr="00EB5DD8">
        <w:t>Table A-</w:t>
      </w:r>
      <w:fldSimple w:instr=" SEQ Table_A- \* ARABIC ">
        <w:r w:rsidR="00C301D0">
          <w:rPr>
            <w:noProof/>
          </w:rPr>
          <w:t>144</w:t>
        </w:r>
      </w:fldSimple>
      <w:bookmarkEnd w:id="1312"/>
      <w:r w:rsidRPr="00EB5DD8">
        <w:t>:</w:t>
      </w:r>
      <w:r w:rsidRPr="00EB5DD8">
        <w:rPr>
          <w:bCs w:val="0"/>
        </w:rPr>
        <w:t xml:space="preserve"> PPL’s PY7 Sampling Strategy – Custom Incentive Program</w:t>
      </w:r>
      <w:bookmarkEnd w:id="1313"/>
      <w:bookmarkEnd w:id="1314"/>
      <w:bookmarkEnd w:id="1315"/>
      <w:bookmarkEnd w:id="1316"/>
      <w:bookmarkEnd w:id="1317"/>
    </w:p>
    <w:tbl>
      <w:tblPr>
        <w:tblW w:w="9341"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71"/>
        <w:gridCol w:w="2094"/>
        <w:gridCol w:w="2094"/>
        <w:gridCol w:w="1611"/>
        <w:gridCol w:w="1771"/>
      </w:tblGrid>
      <w:tr w:rsidR="00A874AC" w:rsidRPr="00EB5DD8" w:rsidTr="004B4B06">
        <w:trPr>
          <w:trHeight w:val="808"/>
        </w:trPr>
        <w:tc>
          <w:tcPr>
            <w:tcW w:w="1771" w:type="dxa"/>
            <w:shd w:val="clear" w:color="000000" w:fill="448A99"/>
            <w:vAlign w:val="bottom"/>
            <w:hideMark/>
          </w:tcPr>
          <w:p w:rsidR="00B5775F" w:rsidRPr="00EB5DD8" w:rsidRDefault="00B5775F" w:rsidP="008D7800">
            <w:pPr>
              <w:jc w:val="left"/>
              <w:rPr>
                <w:b/>
                <w:bCs/>
                <w:color w:val="FFFFFF"/>
                <w:sz w:val="20"/>
                <w:szCs w:val="20"/>
              </w:rPr>
            </w:pPr>
            <w:r w:rsidRPr="00EB5DD8">
              <w:rPr>
                <w:b/>
                <w:bCs/>
                <w:color w:val="FFFFFF"/>
                <w:sz w:val="20"/>
                <w:szCs w:val="20"/>
              </w:rPr>
              <w:t>Stratum</w:t>
            </w:r>
          </w:p>
        </w:tc>
        <w:tc>
          <w:tcPr>
            <w:tcW w:w="2094"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Population</w:t>
            </w:r>
          </w:p>
        </w:tc>
        <w:tc>
          <w:tcPr>
            <w:tcW w:w="2094"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Target Levels of Confidence &amp; Precision</w:t>
            </w:r>
          </w:p>
        </w:tc>
        <w:tc>
          <w:tcPr>
            <w:tcW w:w="1611"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Target Sample Size</w:t>
            </w:r>
          </w:p>
        </w:tc>
        <w:tc>
          <w:tcPr>
            <w:tcW w:w="1771"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Achieved Sample Size</w:t>
            </w:r>
          </w:p>
        </w:tc>
      </w:tr>
      <w:tr w:rsidR="00A874AC" w:rsidRPr="00EB5DD8" w:rsidTr="004B4B06">
        <w:trPr>
          <w:trHeight w:val="350"/>
        </w:trPr>
        <w:tc>
          <w:tcPr>
            <w:tcW w:w="1771" w:type="dxa"/>
            <w:shd w:val="clear" w:color="000000" w:fill="D2EAF1"/>
            <w:noWrap/>
            <w:vAlign w:val="center"/>
          </w:tcPr>
          <w:p w:rsidR="00B5775F" w:rsidRPr="00EB5DD8" w:rsidRDefault="00B5775F" w:rsidP="008D7800">
            <w:pPr>
              <w:jc w:val="left"/>
              <w:rPr>
                <w:bCs/>
                <w:color w:val="000000"/>
                <w:sz w:val="20"/>
                <w:szCs w:val="20"/>
              </w:rPr>
            </w:pPr>
            <w:r w:rsidRPr="00EB5DD8">
              <w:rPr>
                <w:bCs/>
                <w:color w:val="000000"/>
                <w:sz w:val="20"/>
                <w:szCs w:val="20"/>
              </w:rPr>
              <w:t>Small</w:t>
            </w:r>
          </w:p>
        </w:tc>
        <w:tc>
          <w:tcPr>
            <w:tcW w:w="2094"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64</w:t>
            </w:r>
          </w:p>
        </w:tc>
        <w:tc>
          <w:tcPr>
            <w:tcW w:w="2094" w:type="dxa"/>
            <w:shd w:val="clear" w:color="000000" w:fill="D2EAF1"/>
            <w:noWrap/>
            <w:vAlign w:val="center"/>
          </w:tcPr>
          <w:p w:rsidR="00B5775F" w:rsidRPr="00EB5DD8" w:rsidRDefault="00B5775F" w:rsidP="008D7800">
            <w:pPr>
              <w:jc w:val="center"/>
              <w:rPr>
                <w:color w:val="000000"/>
                <w:sz w:val="20"/>
                <w:szCs w:val="20"/>
              </w:rPr>
            </w:pPr>
            <w:r>
              <w:rPr>
                <w:color w:val="000000"/>
                <w:sz w:val="20"/>
                <w:szCs w:val="20"/>
              </w:rPr>
              <w:t>85%/</w:t>
            </w:r>
            <w:r w:rsidRPr="00EB5DD8">
              <w:rPr>
                <w:color w:val="000000"/>
                <w:sz w:val="20"/>
                <w:szCs w:val="20"/>
              </w:rPr>
              <w:t>15%</w:t>
            </w:r>
          </w:p>
        </w:tc>
        <w:tc>
          <w:tcPr>
            <w:tcW w:w="1611"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10</w:t>
            </w:r>
          </w:p>
        </w:tc>
        <w:tc>
          <w:tcPr>
            <w:tcW w:w="1771"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10</w:t>
            </w:r>
          </w:p>
        </w:tc>
      </w:tr>
      <w:tr w:rsidR="00B5775F" w:rsidRPr="00EB5DD8" w:rsidTr="00FD03DC">
        <w:trPr>
          <w:trHeight w:val="350"/>
        </w:trPr>
        <w:tc>
          <w:tcPr>
            <w:tcW w:w="1771" w:type="dxa"/>
            <w:shd w:val="clear" w:color="auto" w:fill="auto"/>
            <w:noWrap/>
            <w:vAlign w:val="center"/>
          </w:tcPr>
          <w:p w:rsidR="00B5775F" w:rsidRPr="00EB5DD8" w:rsidRDefault="00B5775F" w:rsidP="008D7800">
            <w:pPr>
              <w:jc w:val="left"/>
              <w:rPr>
                <w:bCs/>
                <w:color w:val="000000"/>
                <w:sz w:val="20"/>
                <w:szCs w:val="20"/>
              </w:rPr>
            </w:pPr>
            <w:r w:rsidRPr="00EB5DD8">
              <w:rPr>
                <w:bCs/>
                <w:color w:val="000000"/>
                <w:sz w:val="20"/>
                <w:szCs w:val="20"/>
              </w:rPr>
              <w:t>Large</w:t>
            </w:r>
          </w:p>
        </w:tc>
        <w:tc>
          <w:tcPr>
            <w:tcW w:w="2094"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18</w:t>
            </w:r>
            <w:r>
              <w:rPr>
                <w:sz w:val="20"/>
                <w:szCs w:val="20"/>
              </w:rPr>
              <w:t xml:space="preserve"> (all projects in large stratum)</w:t>
            </w:r>
          </w:p>
        </w:tc>
        <w:tc>
          <w:tcPr>
            <w:tcW w:w="2094" w:type="dxa"/>
            <w:shd w:val="clear" w:color="auto" w:fill="auto"/>
            <w:noWrap/>
            <w:vAlign w:val="center"/>
          </w:tcPr>
          <w:p w:rsidR="00B5775F" w:rsidRPr="00EB5DD8" w:rsidRDefault="00B5775F" w:rsidP="008D7800">
            <w:pPr>
              <w:jc w:val="center"/>
              <w:rPr>
                <w:color w:val="000000"/>
                <w:sz w:val="20"/>
                <w:szCs w:val="20"/>
              </w:rPr>
            </w:pPr>
            <w:r>
              <w:rPr>
                <w:color w:val="000000"/>
                <w:sz w:val="20"/>
                <w:szCs w:val="20"/>
              </w:rPr>
              <w:t>N/A</w:t>
            </w:r>
          </w:p>
        </w:tc>
        <w:tc>
          <w:tcPr>
            <w:tcW w:w="1611"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18</w:t>
            </w:r>
          </w:p>
        </w:tc>
        <w:tc>
          <w:tcPr>
            <w:tcW w:w="1771"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18</w:t>
            </w:r>
          </w:p>
        </w:tc>
      </w:tr>
      <w:tr w:rsidR="00A874AC" w:rsidRPr="00EB5DD8" w:rsidTr="004B4B06">
        <w:trPr>
          <w:trHeight w:val="350"/>
        </w:trPr>
        <w:tc>
          <w:tcPr>
            <w:tcW w:w="1771" w:type="dxa"/>
            <w:shd w:val="clear" w:color="000000" w:fill="D2EAF1"/>
            <w:vAlign w:val="center"/>
          </w:tcPr>
          <w:p w:rsidR="00B5775F" w:rsidRPr="00EB5DD8" w:rsidRDefault="00B5775F" w:rsidP="008D7800">
            <w:pPr>
              <w:jc w:val="left"/>
              <w:rPr>
                <w:b/>
                <w:bCs/>
                <w:color w:val="000000"/>
                <w:sz w:val="20"/>
                <w:szCs w:val="20"/>
              </w:rPr>
            </w:pPr>
            <w:r w:rsidRPr="00EB5DD8">
              <w:rPr>
                <w:b/>
                <w:bCs/>
                <w:color w:val="000000"/>
                <w:sz w:val="20"/>
                <w:szCs w:val="20"/>
              </w:rPr>
              <w:t>Program Total</w:t>
            </w:r>
          </w:p>
        </w:tc>
        <w:tc>
          <w:tcPr>
            <w:tcW w:w="2094" w:type="dxa"/>
            <w:shd w:val="clear" w:color="000000" w:fill="D2EAF1"/>
            <w:noWrap/>
            <w:vAlign w:val="center"/>
          </w:tcPr>
          <w:p w:rsidR="00B5775F" w:rsidRPr="00EB5DD8" w:rsidRDefault="00B5775F" w:rsidP="008D7800">
            <w:pPr>
              <w:jc w:val="center"/>
              <w:rPr>
                <w:b/>
                <w:bCs/>
                <w:color w:val="000000"/>
                <w:sz w:val="20"/>
                <w:szCs w:val="20"/>
              </w:rPr>
            </w:pPr>
            <w:r w:rsidRPr="00EB5DD8">
              <w:rPr>
                <w:b/>
                <w:sz w:val="20"/>
                <w:szCs w:val="20"/>
              </w:rPr>
              <w:t>82</w:t>
            </w:r>
          </w:p>
        </w:tc>
        <w:tc>
          <w:tcPr>
            <w:tcW w:w="2094" w:type="dxa"/>
            <w:shd w:val="clear" w:color="000000" w:fill="D2EAF1"/>
            <w:noWrap/>
            <w:vAlign w:val="center"/>
          </w:tcPr>
          <w:p w:rsidR="00B5775F" w:rsidRPr="00EB5DD8" w:rsidRDefault="00B5775F" w:rsidP="008D7800">
            <w:pPr>
              <w:jc w:val="center"/>
              <w:rPr>
                <w:b/>
                <w:bCs/>
                <w:color w:val="000000"/>
                <w:sz w:val="20"/>
                <w:szCs w:val="20"/>
              </w:rPr>
            </w:pPr>
            <w:r>
              <w:rPr>
                <w:b/>
                <w:bCs/>
                <w:color w:val="000000"/>
                <w:sz w:val="20"/>
                <w:szCs w:val="20"/>
              </w:rPr>
              <w:t>85%/</w:t>
            </w:r>
            <w:r w:rsidRPr="00EB5DD8">
              <w:rPr>
                <w:b/>
                <w:bCs/>
                <w:color w:val="000000"/>
                <w:sz w:val="20"/>
                <w:szCs w:val="20"/>
              </w:rPr>
              <w:t>15%</w:t>
            </w:r>
          </w:p>
        </w:tc>
        <w:tc>
          <w:tcPr>
            <w:tcW w:w="1611" w:type="dxa"/>
            <w:shd w:val="clear" w:color="000000" w:fill="D2EAF1"/>
            <w:noWrap/>
            <w:vAlign w:val="center"/>
          </w:tcPr>
          <w:p w:rsidR="00B5775F" w:rsidRPr="00EB5DD8" w:rsidRDefault="00B5775F" w:rsidP="008D7800">
            <w:pPr>
              <w:jc w:val="center"/>
              <w:rPr>
                <w:b/>
                <w:bCs/>
                <w:color w:val="000000"/>
                <w:sz w:val="20"/>
                <w:szCs w:val="20"/>
              </w:rPr>
            </w:pPr>
            <w:r w:rsidRPr="00EB5DD8">
              <w:rPr>
                <w:b/>
                <w:sz w:val="20"/>
                <w:szCs w:val="20"/>
              </w:rPr>
              <w:t>28</w:t>
            </w:r>
          </w:p>
        </w:tc>
        <w:tc>
          <w:tcPr>
            <w:tcW w:w="1771" w:type="dxa"/>
            <w:shd w:val="clear" w:color="000000" w:fill="D2EAF1"/>
            <w:noWrap/>
            <w:vAlign w:val="center"/>
          </w:tcPr>
          <w:p w:rsidR="00B5775F" w:rsidRPr="00EB5DD8" w:rsidRDefault="00B5775F" w:rsidP="008D7800">
            <w:pPr>
              <w:jc w:val="center"/>
              <w:rPr>
                <w:b/>
                <w:bCs/>
                <w:color w:val="000000"/>
                <w:sz w:val="20"/>
                <w:szCs w:val="20"/>
              </w:rPr>
            </w:pPr>
            <w:r w:rsidRPr="00EB5DD8">
              <w:rPr>
                <w:b/>
                <w:sz w:val="20"/>
                <w:szCs w:val="20"/>
              </w:rPr>
              <w:t>28</w:t>
            </w:r>
          </w:p>
        </w:tc>
      </w:tr>
    </w:tbl>
    <w:p w:rsidR="00B5775F" w:rsidRPr="00EB5DD8" w:rsidRDefault="00B5775F" w:rsidP="00B5775F"/>
    <w:p w:rsidR="00B5775F" w:rsidRPr="00EB5DD8" w:rsidRDefault="00B5775F" w:rsidP="00B5775F">
      <w:r w:rsidRPr="00EB5DD8">
        <w:t xml:space="preserve">The achieved precision values for energy and demand are listed in </w:t>
      </w:r>
      <w:r w:rsidRPr="00EB5DD8">
        <w:fldChar w:fldCharType="begin"/>
      </w:r>
      <w:r w:rsidRPr="00EB5DD8">
        <w:instrText xml:space="preserve"> REF _Ref440269121 \h  \* MERGEFORMAT </w:instrText>
      </w:r>
      <w:r w:rsidRPr="00EB5DD8">
        <w:fldChar w:fldCharType="separate"/>
      </w:r>
      <w:r w:rsidR="00DD797D" w:rsidRPr="00EB5DD8">
        <w:t>Table A-</w:t>
      </w:r>
      <w:r w:rsidR="00DD797D">
        <w:t>145</w:t>
      </w:r>
      <w:r w:rsidRPr="00EB5DD8">
        <w:fldChar w:fldCharType="end"/>
      </w:r>
      <w:r w:rsidRPr="00EB5DD8">
        <w:t>.</w:t>
      </w:r>
    </w:p>
    <w:p w:rsidR="00B5775F" w:rsidRDefault="00B5775F" w:rsidP="00B5775F"/>
    <w:p w:rsidR="004B4B06" w:rsidRDefault="004B4B06" w:rsidP="00B5775F"/>
    <w:p w:rsidR="004B4B06" w:rsidRDefault="004B4B06" w:rsidP="00B5775F"/>
    <w:p w:rsidR="004B4B06" w:rsidRDefault="004B4B06" w:rsidP="00B5775F"/>
    <w:p w:rsidR="004B4B06" w:rsidRDefault="004B4B06" w:rsidP="00B5775F"/>
    <w:p w:rsidR="004B4B06" w:rsidRDefault="004B4B06" w:rsidP="00B5775F"/>
    <w:p w:rsidR="00BC1E78" w:rsidRPr="00EB5DD8" w:rsidRDefault="00BC1E78" w:rsidP="00B5775F"/>
    <w:p w:rsidR="00B5775F" w:rsidRPr="00EB5DD8" w:rsidRDefault="00B5775F" w:rsidP="00B5775F">
      <w:pPr>
        <w:pStyle w:val="Caption"/>
        <w:rPr>
          <w:bCs w:val="0"/>
        </w:rPr>
      </w:pPr>
      <w:bookmarkStart w:id="1318" w:name="_Ref440269121"/>
      <w:bookmarkStart w:id="1319" w:name="_Toc444269912"/>
      <w:bookmarkStart w:id="1320" w:name="_Toc472472559"/>
      <w:bookmarkStart w:id="1321" w:name="_Toc476842260"/>
      <w:r w:rsidRPr="00EB5DD8">
        <w:t>Table A-</w:t>
      </w:r>
      <w:fldSimple w:instr=" SEQ Table_A- \* ARABIC ">
        <w:r w:rsidR="00C301D0">
          <w:rPr>
            <w:noProof/>
          </w:rPr>
          <w:t>145</w:t>
        </w:r>
      </w:fldSimple>
      <w:bookmarkEnd w:id="1318"/>
      <w:r w:rsidRPr="00EB5DD8">
        <w:t>:</w:t>
      </w:r>
      <w:r w:rsidRPr="00EB5DD8">
        <w:rPr>
          <w:bCs w:val="0"/>
        </w:rPr>
        <w:t xml:space="preserve"> Observed Coefficients of Variation and Relative Precision – Custom Incentive Program</w:t>
      </w:r>
      <w:bookmarkEnd w:id="1319"/>
      <w:bookmarkEnd w:id="1320"/>
      <w:bookmarkEnd w:id="1321"/>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610"/>
        <w:gridCol w:w="2340"/>
        <w:gridCol w:w="1762"/>
        <w:gridCol w:w="2198"/>
        <w:gridCol w:w="1440"/>
      </w:tblGrid>
      <w:tr w:rsidR="00A874AC" w:rsidRPr="00EB5DD8" w:rsidTr="004B4B06">
        <w:trPr>
          <w:trHeight w:val="808"/>
          <w:tblHeader/>
        </w:trPr>
        <w:tc>
          <w:tcPr>
            <w:tcW w:w="1610" w:type="dxa"/>
            <w:shd w:val="clear" w:color="000000" w:fill="448A99"/>
            <w:vAlign w:val="bottom"/>
            <w:hideMark/>
          </w:tcPr>
          <w:p w:rsidR="00B5775F" w:rsidRPr="00EB5DD8" w:rsidRDefault="00B5775F" w:rsidP="008D7800">
            <w:pPr>
              <w:jc w:val="left"/>
              <w:rPr>
                <w:b/>
                <w:bCs/>
                <w:color w:val="FFFFFF"/>
                <w:sz w:val="20"/>
                <w:szCs w:val="20"/>
              </w:rPr>
            </w:pPr>
            <w:r w:rsidRPr="00EB5DD8">
              <w:rPr>
                <w:b/>
                <w:bCs/>
                <w:color w:val="FFFFFF"/>
                <w:sz w:val="20"/>
                <w:szCs w:val="20"/>
              </w:rPr>
              <w:t>Stratum</w:t>
            </w:r>
          </w:p>
        </w:tc>
        <w:tc>
          <w:tcPr>
            <w:tcW w:w="2340"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Observed Coefficient of Variation (C</w:t>
            </w:r>
            <w:r w:rsidRPr="00EB5DD8">
              <w:rPr>
                <w:b/>
                <w:bCs/>
                <w:color w:val="FFFFFF"/>
                <w:sz w:val="20"/>
                <w:szCs w:val="20"/>
                <w:vertAlign w:val="subscript"/>
              </w:rPr>
              <w:t>v</w:t>
            </w:r>
            <w:r w:rsidRPr="00EB5DD8">
              <w:rPr>
                <w:b/>
                <w:bCs/>
                <w:color w:val="FFFFFF"/>
                <w:sz w:val="20"/>
                <w:szCs w:val="20"/>
              </w:rPr>
              <w:t>) or Proportion in Sample Design for Energy</w:t>
            </w:r>
          </w:p>
        </w:tc>
        <w:tc>
          <w:tcPr>
            <w:tcW w:w="1762"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Relative Precision at 85% C.L. for Energy</w:t>
            </w:r>
          </w:p>
        </w:tc>
        <w:tc>
          <w:tcPr>
            <w:tcW w:w="2198"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Observed Coefficient of Variation (C</w:t>
            </w:r>
            <w:r w:rsidRPr="00EB5DD8">
              <w:rPr>
                <w:b/>
                <w:bCs/>
                <w:color w:val="FFFFFF"/>
                <w:sz w:val="20"/>
                <w:szCs w:val="20"/>
                <w:vertAlign w:val="subscript"/>
              </w:rPr>
              <w:t>v</w:t>
            </w:r>
            <w:r w:rsidRPr="00EB5DD8">
              <w:rPr>
                <w:b/>
                <w:bCs/>
                <w:color w:val="FFFFFF"/>
                <w:sz w:val="20"/>
                <w:szCs w:val="20"/>
              </w:rPr>
              <w:t>) or Proportion in Sample Design for Demand</w:t>
            </w:r>
          </w:p>
        </w:tc>
        <w:tc>
          <w:tcPr>
            <w:tcW w:w="1440"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Relative Precision at 85% C.L. for Demand</w:t>
            </w:r>
          </w:p>
        </w:tc>
      </w:tr>
      <w:tr w:rsidR="00A874AC" w:rsidRPr="00EB5DD8" w:rsidTr="004B4B06">
        <w:trPr>
          <w:trHeight w:val="346"/>
        </w:trPr>
        <w:tc>
          <w:tcPr>
            <w:tcW w:w="1610" w:type="dxa"/>
            <w:shd w:val="clear" w:color="000000" w:fill="D2EAF1"/>
            <w:noWrap/>
            <w:vAlign w:val="center"/>
          </w:tcPr>
          <w:p w:rsidR="00B5775F" w:rsidRPr="00EB5DD8" w:rsidRDefault="00B5775F" w:rsidP="008D7800">
            <w:pPr>
              <w:jc w:val="left"/>
              <w:rPr>
                <w:bCs/>
                <w:color w:val="000000"/>
                <w:sz w:val="20"/>
                <w:szCs w:val="20"/>
              </w:rPr>
            </w:pPr>
            <w:r w:rsidRPr="00EB5DD8">
              <w:rPr>
                <w:bCs/>
                <w:color w:val="000000"/>
                <w:sz w:val="20"/>
                <w:szCs w:val="20"/>
              </w:rPr>
              <w:t>Small</w:t>
            </w:r>
          </w:p>
        </w:tc>
        <w:tc>
          <w:tcPr>
            <w:tcW w:w="2340"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0.6271</w:t>
            </w:r>
          </w:p>
        </w:tc>
        <w:tc>
          <w:tcPr>
            <w:tcW w:w="1762"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28.67%</w:t>
            </w:r>
          </w:p>
        </w:tc>
        <w:tc>
          <w:tcPr>
            <w:tcW w:w="2198"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0.9018</w:t>
            </w:r>
          </w:p>
        </w:tc>
        <w:tc>
          <w:tcPr>
            <w:tcW w:w="1440"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41.23%</w:t>
            </w:r>
          </w:p>
        </w:tc>
      </w:tr>
      <w:tr w:rsidR="00B5775F" w:rsidRPr="00EB5DD8" w:rsidTr="00FD03DC">
        <w:trPr>
          <w:trHeight w:val="346"/>
        </w:trPr>
        <w:tc>
          <w:tcPr>
            <w:tcW w:w="1610" w:type="dxa"/>
            <w:shd w:val="clear" w:color="auto" w:fill="auto"/>
            <w:noWrap/>
            <w:vAlign w:val="center"/>
          </w:tcPr>
          <w:p w:rsidR="00B5775F" w:rsidRPr="00EB5DD8" w:rsidRDefault="00B5775F" w:rsidP="008D7800">
            <w:pPr>
              <w:jc w:val="left"/>
              <w:rPr>
                <w:bCs/>
                <w:color w:val="000000"/>
                <w:sz w:val="20"/>
                <w:szCs w:val="20"/>
              </w:rPr>
            </w:pPr>
            <w:r w:rsidRPr="00EB5DD8">
              <w:rPr>
                <w:bCs/>
                <w:color w:val="000000"/>
                <w:sz w:val="20"/>
                <w:szCs w:val="20"/>
              </w:rPr>
              <w:t>Large</w:t>
            </w:r>
          </w:p>
        </w:tc>
        <w:tc>
          <w:tcPr>
            <w:tcW w:w="2340"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0.0</w:t>
            </w:r>
          </w:p>
        </w:tc>
        <w:tc>
          <w:tcPr>
            <w:tcW w:w="1762"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0.0%</w:t>
            </w:r>
          </w:p>
        </w:tc>
        <w:tc>
          <w:tcPr>
            <w:tcW w:w="2198"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0.0</w:t>
            </w:r>
          </w:p>
        </w:tc>
        <w:tc>
          <w:tcPr>
            <w:tcW w:w="1440"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0.0%</w:t>
            </w:r>
          </w:p>
        </w:tc>
      </w:tr>
      <w:tr w:rsidR="00A874AC" w:rsidRPr="00EB5DD8" w:rsidTr="004B4B06">
        <w:trPr>
          <w:trHeight w:val="346"/>
        </w:trPr>
        <w:tc>
          <w:tcPr>
            <w:tcW w:w="1610" w:type="dxa"/>
            <w:shd w:val="clear" w:color="000000" w:fill="D2EAF1"/>
            <w:noWrap/>
            <w:vAlign w:val="center"/>
          </w:tcPr>
          <w:p w:rsidR="00B5775F" w:rsidRPr="00EB5DD8" w:rsidRDefault="00B5775F" w:rsidP="008D7800">
            <w:pPr>
              <w:jc w:val="left"/>
              <w:rPr>
                <w:bCs/>
                <w:color w:val="000000"/>
                <w:sz w:val="20"/>
                <w:szCs w:val="20"/>
              </w:rPr>
            </w:pPr>
            <w:r w:rsidRPr="00EB5DD8">
              <w:rPr>
                <w:b/>
                <w:bCs/>
                <w:color w:val="000000"/>
                <w:sz w:val="20"/>
                <w:szCs w:val="20"/>
              </w:rPr>
              <w:t>Program Total</w:t>
            </w:r>
          </w:p>
        </w:tc>
        <w:tc>
          <w:tcPr>
            <w:tcW w:w="2340" w:type="dxa"/>
            <w:shd w:val="clear" w:color="000000" w:fill="D2EAF1"/>
            <w:noWrap/>
            <w:vAlign w:val="center"/>
          </w:tcPr>
          <w:p w:rsidR="00B5775F" w:rsidRPr="00EB5DD8" w:rsidRDefault="00B5775F" w:rsidP="008D7800">
            <w:pPr>
              <w:jc w:val="center"/>
              <w:rPr>
                <w:color w:val="000000"/>
                <w:sz w:val="20"/>
                <w:szCs w:val="20"/>
              </w:rPr>
            </w:pPr>
          </w:p>
        </w:tc>
        <w:tc>
          <w:tcPr>
            <w:tcW w:w="1762" w:type="dxa"/>
            <w:shd w:val="clear" w:color="000000" w:fill="D2EAF1"/>
            <w:noWrap/>
            <w:vAlign w:val="center"/>
          </w:tcPr>
          <w:p w:rsidR="00B5775F" w:rsidRPr="00EB5DD8" w:rsidRDefault="00B5775F" w:rsidP="008D7800">
            <w:pPr>
              <w:jc w:val="center"/>
              <w:rPr>
                <w:b/>
                <w:color w:val="000000"/>
                <w:sz w:val="20"/>
                <w:szCs w:val="20"/>
              </w:rPr>
            </w:pPr>
            <w:r w:rsidRPr="00EB5DD8">
              <w:rPr>
                <w:b/>
                <w:color w:val="000000"/>
                <w:sz w:val="20"/>
                <w:szCs w:val="20"/>
              </w:rPr>
              <w:t>4.3%</w:t>
            </w:r>
          </w:p>
        </w:tc>
        <w:tc>
          <w:tcPr>
            <w:tcW w:w="2198" w:type="dxa"/>
            <w:shd w:val="clear" w:color="000000" w:fill="D2EAF1"/>
            <w:noWrap/>
            <w:vAlign w:val="center"/>
          </w:tcPr>
          <w:p w:rsidR="00B5775F" w:rsidRPr="00EB5DD8" w:rsidRDefault="00B5775F" w:rsidP="008D7800">
            <w:pPr>
              <w:jc w:val="center"/>
              <w:rPr>
                <w:b/>
                <w:color w:val="000000"/>
                <w:sz w:val="20"/>
                <w:szCs w:val="20"/>
              </w:rPr>
            </w:pPr>
          </w:p>
        </w:tc>
        <w:tc>
          <w:tcPr>
            <w:tcW w:w="1440" w:type="dxa"/>
            <w:shd w:val="clear" w:color="000000" w:fill="D2EAF1"/>
            <w:noWrap/>
            <w:vAlign w:val="center"/>
          </w:tcPr>
          <w:p w:rsidR="00B5775F" w:rsidRPr="00EB5DD8" w:rsidRDefault="00B5775F" w:rsidP="008D7800">
            <w:pPr>
              <w:jc w:val="center"/>
              <w:rPr>
                <w:b/>
                <w:color w:val="000000"/>
                <w:sz w:val="20"/>
                <w:szCs w:val="20"/>
              </w:rPr>
            </w:pPr>
            <w:r w:rsidRPr="00EB5DD8">
              <w:rPr>
                <w:b/>
                <w:color w:val="000000"/>
                <w:sz w:val="20"/>
                <w:szCs w:val="20"/>
              </w:rPr>
              <w:t>8.6%</w:t>
            </w:r>
          </w:p>
        </w:tc>
      </w:tr>
    </w:tbl>
    <w:p w:rsidR="00B5775F" w:rsidRPr="00EB5DD8" w:rsidRDefault="00B5775F" w:rsidP="00B5775F"/>
    <w:p w:rsidR="00B5775F" w:rsidRPr="00EB5DD8" w:rsidRDefault="00B5775F" w:rsidP="00B5775F">
      <w:r w:rsidRPr="00EB5DD8">
        <w:t xml:space="preserve">The achieved precision values of 4.3% for energy and 8.6% for demand at the 85% confidence level met the SWE Team requirements of 85/15 </w:t>
      </w:r>
      <w:r>
        <w:t xml:space="preserve">confidence/precision </w:t>
      </w:r>
      <w:r w:rsidRPr="00EB5DD8">
        <w:t xml:space="preserve">as specified in the Evaluation Framework. </w:t>
      </w:r>
    </w:p>
    <w:p w:rsidR="00B5775F" w:rsidRPr="00EB5DD8" w:rsidRDefault="00B5775F" w:rsidP="00B5775F"/>
    <w:p w:rsidR="00B5775F" w:rsidRPr="00EB5DD8" w:rsidRDefault="00B5775F" w:rsidP="00B5775F">
      <w:pPr>
        <w:pStyle w:val="AppendixAHeading5"/>
      </w:pPr>
      <w:r w:rsidRPr="00EB5DD8">
        <w:t>Master Metered Low-Income Multifamily Housing (MMMF)</w:t>
      </w:r>
      <w:r>
        <w:t xml:space="preserve"> </w:t>
      </w:r>
      <w:r w:rsidRPr="00EB5DD8">
        <w:t xml:space="preserve">Program </w:t>
      </w:r>
    </w:p>
    <w:p w:rsidR="00B5775F" w:rsidRPr="00EB5DD8" w:rsidRDefault="00B5775F" w:rsidP="00B5775F">
      <w:r w:rsidRPr="00EB5DD8">
        <w:t>This is a new program that started at the beginning of Phase II. Twenty projects were selected</w:t>
      </w:r>
      <w:r>
        <w:t>,</w:t>
      </w:r>
      <w:r w:rsidRPr="00EB5DD8">
        <w:t xml:space="preserve"> from </w:t>
      </w:r>
      <w:r>
        <w:t>a</w:t>
      </w:r>
      <w:r w:rsidRPr="00EB5DD8">
        <w:t xml:space="preserve"> total population of 55 projects that were completed in PY7</w:t>
      </w:r>
      <w:r>
        <w:t>,</w:t>
      </w:r>
      <w:r w:rsidRPr="00EB5DD8">
        <w:t xml:space="preserve"> as samples for site visits and records review. The sample design targeted precision of +/</w:t>
      </w:r>
      <w:r>
        <w:t>–</w:t>
      </w:r>
      <w:r w:rsidRPr="00EB5DD8">
        <w:t xml:space="preserve">15% at the 85% confidence level. The detailed sampling strategy for the MMMF </w:t>
      </w:r>
      <w:r>
        <w:t xml:space="preserve">Program </w:t>
      </w:r>
      <w:r w:rsidRPr="00EB5DD8">
        <w:t xml:space="preserve">is shown in </w:t>
      </w:r>
      <w:r w:rsidRPr="00EB5DD8">
        <w:fldChar w:fldCharType="begin"/>
      </w:r>
      <w:r w:rsidRPr="00EB5DD8">
        <w:instrText xml:space="preserve"> REF _Ref440269171 \h  \* MERGEFORMAT </w:instrText>
      </w:r>
      <w:r w:rsidRPr="00EB5DD8">
        <w:fldChar w:fldCharType="separate"/>
      </w:r>
      <w:r w:rsidR="00A874AC" w:rsidRPr="00EB5DD8">
        <w:t>Table A-</w:t>
      </w:r>
      <w:r w:rsidR="00A874AC">
        <w:t>146</w:t>
      </w:r>
      <w:r w:rsidRPr="00EB5DD8">
        <w:fldChar w:fldCharType="end"/>
      </w:r>
      <w:r w:rsidRPr="00EB5DD8">
        <w:t>. During the evaluations from each of the strata listed below, Cadmus measured three specific program components: common area lighting, direct installation in apartments, and direct installation in common areas. EM&amp;V and precision calculations were reported for these program types.</w:t>
      </w:r>
    </w:p>
    <w:p w:rsidR="00B5775F" w:rsidRPr="00EB5DD8" w:rsidRDefault="00B5775F" w:rsidP="00B5775F"/>
    <w:p w:rsidR="00B5775F" w:rsidRPr="00EB5DD8" w:rsidRDefault="00B5775F" w:rsidP="00B5775F">
      <w:pPr>
        <w:pStyle w:val="Caption"/>
        <w:rPr>
          <w:bCs w:val="0"/>
        </w:rPr>
      </w:pPr>
      <w:bookmarkStart w:id="1322" w:name="_Ref440269171"/>
      <w:bookmarkStart w:id="1323" w:name="_Toc410199402"/>
      <w:bookmarkStart w:id="1324" w:name="_Toc431462384"/>
      <w:bookmarkStart w:id="1325" w:name="_Toc444269913"/>
      <w:bookmarkStart w:id="1326" w:name="_Toc472472560"/>
      <w:bookmarkStart w:id="1327" w:name="_Toc476842261"/>
      <w:r w:rsidRPr="00EB5DD8">
        <w:t>Table A-</w:t>
      </w:r>
      <w:fldSimple w:instr=" SEQ Table_A- \* ARABIC ">
        <w:r w:rsidR="00C301D0">
          <w:rPr>
            <w:noProof/>
          </w:rPr>
          <w:t>146</w:t>
        </w:r>
      </w:fldSimple>
      <w:bookmarkEnd w:id="1322"/>
      <w:r w:rsidRPr="00EB5DD8">
        <w:t>:</w:t>
      </w:r>
      <w:r w:rsidRPr="00EB5DD8">
        <w:rPr>
          <w:bCs w:val="0"/>
        </w:rPr>
        <w:t xml:space="preserve"> PPL’s PY7 Sampling Strategy – MMMF Program</w:t>
      </w:r>
      <w:bookmarkEnd w:id="1323"/>
      <w:bookmarkEnd w:id="1324"/>
      <w:bookmarkEnd w:id="1325"/>
      <w:bookmarkEnd w:id="1326"/>
      <w:bookmarkEnd w:id="1327"/>
    </w:p>
    <w:tbl>
      <w:tblPr>
        <w:tblW w:w="9305"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1700"/>
        <w:gridCol w:w="1620"/>
        <w:gridCol w:w="2520"/>
        <w:gridCol w:w="1980"/>
        <w:gridCol w:w="1485"/>
      </w:tblGrid>
      <w:tr w:rsidR="00A874AC" w:rsidRPr="00EB5DD8" w:rsidTr="004B4B06">
        <w:trPr>
          <w:trHeight w:val="475"/>
        </w:trPr>
        <w:tc>
          <w:tcPr>
            <w:tcW w:w="1700" w:type="dxa"/>
            <w:shd w:val="clear" w:color="000000" w:fill="448A99"/>
            <w:vAlign w:val="bottom"/>
            <w:hideMark/>
          </w:tcPr>
          <w:p w:rsidR="00B5775F" w:rsidRPr="00EB5DD8" w:rsidRDefault="00B5775F" w:rsidP="008D7800">
            <w:pPr>
              <w:jc w:val="left"/>
              <w:rPr>
                <w:b/>
                <w:bCs/>
                <w:color w:val="FFFFFF"/>
                <w:sz w:val="20"/>
                <w:szCs w:val="20"/>
              </w:rPr>
            </w:pPr>
            <w:r w:rsidRPr="00EB5DD8">
              <w:rPr>
                <w:b/>
                <w:bCs/>
                <w:color w:val="FFFFFF"/>
                <w:sz w:val="20"/>
                <w:szCs w:val="20"/>
              </w:rPr>
              <w:t>Stratum</w:t>
            </w:r>
          </w:p>
        </w:tc>
        <w:tc>
          <w:tcPr>
            <w:tcW w:w="1620"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Population</w:t>
            </w:r>
          </w:p>
        </w:tc>
        <w:tc>
          <w:tcPr>
            <w:tcW w:w="2520"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Target Levels of Confidence &amp; Precision</w:t>
            </w:r>
          </w:p>
        </w:tc>
        <w:tc>
          <w:tcPr>
            <w:tcW w:w="1980"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Target Sample Size</w:t>
            </w:r>
          </w:p>
        </w:tc>
        <w:tc>
          <w:tcPr>
            <w:tcW w:w="1485"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Achieved Sample Size</w:t>
            </w:r>
          </w:p>
        </w:tc>
      </w:tr>
      <w:tr w:rsidR="00B5775F" w:rsidRPr="00EB5DD8" w:rsidTr="00FD03DC">
        <w:trPr>
          <w:trHeight w:val="346"/>
        </w:trPr>
        <w:tc>
          <w:tcPr>
            <w:tcW w:w="1700" w:type="dxa"/>
            <w:shd w:val="clear" w:color="auto" w:fill="auto"/>
            <w:noWrap/>
            <w:vAlign w:val="center"/>
          </w:tcPr>
          <w:p w:rsidR="00B5775F" w:rsidRPr="00EB5DD8" w:rsidRDefault="00B5775F" w:rsidP="008D7800">
            <w:pPr>
              <w:jc w:val="left"/>
              <w:rPr>
                <w:bCs/>
                <w:color w:val="000000"/>
                <w:sz w:val="20"/>
                <w:szCs w:val="20"/>
              </w:rPr>
            </w:pPr>
            <w:r w:rsidRPr="00EB5DD8">
              <w:rPr>
                <w:bCs/>
                <w:color w:val="000000"/>
                <w:sz w:val="20"/>
                <w:szCs w:val="20"/>
              </w:rPr>
              <w:t>Multifamily</w:t>
            </w:r>
          </w:p>
        </w:tc>
        <w:tc>
          <w:tcPr>
            <w:tcW w:w="1620"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41</w:t>
            </w:r>
          </w:p>
        </w:tc>
        <w:tc>
          <w:tcPr>
            <w:tcW w:w="2520"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85%/15%</w:t>
            </w:r>
          </w:p>
        </w:tc>
        <w:tc>
          <w:tcPr>
            <w:tcW w:w="1980"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10</w:t>
            </w:r>
          </w:p>
        </w:tc>
        <w:tc>
          <w:tcPr>
            <w:tcW w:w="1485"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10</w:t>
            </w:r>
          </w:p>
        </w:tc>
      </w:tr>
      <w:tr w:rsidR="00A874AC" w:rsidRPr="00EB5DD8" w:rsidTr="004B4B06">
        <w:trPr>
          <w:trHeight w:val="346"/>
        </w:trPr>
        <w:tc>
          <w:tcPr>
            <w:tcW w:w="1700" w:type="dxa"/>
            <w:shd w:val="clear" w:color="000000" w:fill="D2EAF1"/>
            <w:noWrap/>
            <w:vAlign w:val="center"/>
          </w:tcPr>
          <w:p w:rsidR="00B5775F" w:rsidRPr="00EB5DD8" w:rsidRDefault="00B5775F" w:rsidP="008D7800">
            <w:pPr>
              <w:jc w:val="left"/>
              <w:rPr>
                <w:bCs/>
                <w:color w:val="000000"/>
                <w:sz w:val="20"/>
                <w:szCs w:val="20"/>
              </w:rPr>
            </w:pPr>
            <w:r>
              <w:rPr>
                <w:bCs/>
                <w:color w:val="000000"/>
                <w:sz w:val="20"/>
                <w:szCs w:val="20"/>
              </w:rPr>
              <w:t>Nursing h</w:t>
            </w:r>
            <w:r w:rsidRPr="00EB5DD8">
              <w:rPr>
                <w:bCs/>
                <w:color w:val="000000"/>
                <w:sz w:val="20"/>
                <w:szCs w:val="20"/>
              </w:rPr>
              <w:t>omes</w:t>
            </w:r>
          </w:p>
        </w:tc>
        <w:tc>
          <w:tcPr>
            <w:tcW w:w="1620"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14</w:t>
            </w:r>
          </w:p>
        </w:tc>
        <w:tc>
          <w:tcPr>
            <w:tcW w:w="2520"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85%/15%</w:t>
            </w:r>
          </w:p>
        </w:tc>
        <w:tc>
          <w:tcPr>
            <w:tcW w:w="1980"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10</w:t>
            </w:r>
          </w:p>
        </w:tc>
        <w:tc>
          <w:tcPr>
            <w:tcW w:w="1485"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10</w:t>
            </w:r>
          </w:p>
        </w:tc>
      </w:tr>
      <w:tr w:rsidR="00B5775F" w:rsidRPr="00EB5DD8" w:rsidTr="00FD03DC">
        <w:trPr>
          <w:trHeight w:val="346"/>
        </w:trPr>
        <w:tc>
          <w:tcPr>
            <w:tcW w:w="1700" w:type="dxa"/>
            <w:shd w:val="clear" w:color="auto" w:fill="auto"/>
            <w:noWrap/>
            <w:vAlign w:val="center"/>
          </w:tcPr>
          <w:p w:rsidR="00B5775F" w:rsidRPr="00EB5DD8" w:rsidRDefault="00B5775F" w:rsidP="008D7800">
            <w:pPr>
              <w:jc w:val="left"/>
              <w:rPr>
                <w:b/>
                <w:bCs/>
                <w:color w:val="000000"/>
                <w:sz w:val="20"/>
                <w:szCs w:val="20"/>
              </w:rPr>
            </w:pPr>
            <w:r w:rsidRPr="00EB5DD8">
              <w:rPr>
                <w:b/>
                <w:bCs/>
                <w:color w:val="000000"/>
                <w:sz w:val="20"/>
                <w:szCs w:val="20"/>
              </w:rPr>
              <w:t>Program Total</w:t>
            </w:r>
          </w:p>
        </w:tc>
        <w:tc>
          <w:tcPr>
            <w:tcW w:w="1620" w:type="dxa"/>
            <w:shd w:val="clear" w:color="auto" w:fill="auto"/>
            <w:noWrap/>
            <w:vAlign w:val="center"/>
          </w:tcPr>
          <w:p w:rsidR="00B5775F" w:rsidRPr="00EB5DD8" w:rsidRDefault="00B5775F" w:rsidP="008D7800">
            <w:pPr>
              <w:jc w:val="center"/>
              <w:rPr>
                <w:b/>
                <w:bCs/>
                <w:color w:val="000000"/>
                <w:sz w:val="20"/>
                <w:szCs w:val="20"/>
              </w:rPr>
            </w:pPr>
            <w:r w:rsidRPr="00EB5DD8">
              <w:rPr>
                <w:b/>
                <w:bCs/>
                <w:color w:val="000000"/>
                <w:sz w:val="20"/>
                <w:szCs w:val="20"/>
              </w:rPr>
              <w:t>55</w:t>
            </w:r>
          </w:p>
        </w:tc>
        <w:tc>
          <w:tcPr>
            <w:tcW w:w="2520" w:type="dxa"/>
            <w:shd w:val="clear" w:color="auto" w:fill="auto"/>
            <w:noWrap/>
            <w:vAlign w:val="center"/>
          </w:tcPr>
          <w:p w:rsidR="00B5775F" w:rsidRPr="00EB5DD8" w:rsidRDefault="00B5775F" w:rsidP="008D7800">
            <w:pPr>
              <w:jc w:val="center"/>
              <w:rPr>
                <w:b/>
                <w:bCs/>
                <w:color w:val="000000"/>
                <w:sz w:val="20"/>
                <w:szCs w:val="20"/>
              </w:rPr>
            </w:pPr>
            <w:r w:rsidRPr="00EB5DD8">
              <w:rPr>
                <w:b/>
                <w:bCs/>
                <w:color w:val="000000"/>
                <w:sz w:val="20"/>
                <w:szCs w:val="20"/>
              </w:rPr>
              <w:t>85%/15%</w:t>
            </w:r>
          </w:p>
        </w:tc>
        <w:tc>
          <w:tcPr>
            <w:tcW w:w="1980" w:type="dxa"/>
            <w:shd w:val="clear" w:color="auto" w:fill="auto"/>
            <w:noWrap/>
            <w:vAlign w:val="center"/>
          </w:tcPr>
          <w:p w:rsidR="00B5775F" w:rsidRPr="00EB5DD8" w:rsidRDefault="00B5775F" w:rsidP="008D7800">
            <w:pPr>
              <w:jc w:val="center"/>
              <w:rPr>
                <w:b/>
                <w:bCs/>
                <w:color w:val="000000"/>
                <w:sz w:val="20"/>
                <w:szCs w:val="20"/>
              </w:rPr>
            </w:pPr>
            <w:r w:rsidRPr="00EB5DD8">
              <w:rPr>
                <w:b/>
                <w:bCs/>
                <w:color w:val="000000"/>
                <w:sz w:val="20"/>
                <w:szCs w:val="20"/>
              </w:rPr>
              <w:t>20</w:t>
            </w:r>
          </w:p>
        </w:tc>
        <w:tc>
          <w:tcPr>
            <w:tcW w:w="1485" w:type="dxa"/>
            <w:shd w:val="clear" w:color="auto" w:fill="auto"/>
            <w:noWrap/>
            <w:vAlign w:val="center"/>
          </w:tcPr>
          <w:p w:rsidR="00B5775F" w:rsidRPr="00EB5DD8" w:rsidRDefault="00B5775F" w:rsidP="008D7800">
            <w:pPr>
              <w:jc w:val="center"/>
              <w:rPr>
                <w:b/>
                <w:bCs/>
                <w:color w:val="000000"/>
                <w:sz w:val="20"/>
                <w:szCs w:val="20"/>
              </w:rPr>
            </w:pPr>
            <w:r w:rsidRPr="00EB5DD8">
              <w:rPr>
                <w:b/>
                <w:bCs/>
                <w:color w:val="000000"/>
                <w:sz w:val="20"/>
                <w:szCs w:val="20"/>
              </w:rPr>
              <w:t>20</w:t>
            </w:r>
          </w:p>
        </w:tc>
      </w:tr>
    </w:tbl>
    <w:p w:rsidR="00B5775F" w:rsidRPr="00EB5DD8" w:rsidRDefault="00B5775F" w:rsidP="00B5775F"/>
    <w:p w:rsidR="00B5775F" w:rsidRPr="00EB5DD8" w:rsidRDefault="00B5775F" w:rsidP="00B5775F">
      <w:r w:rsidRPr="00EB5DD8">
        <w:t xml:space="preserve">The achieved precision values for energy and demand are listed in </w:t>
      </w:r>
      <w:r w:rsidRPr="00EB5DD8">
        <w:fldChar w:fldCharType="begin"/>
      </w:r>
      <w:r w:rsidRPr="00EB5DD8">
        <w:instrText xml:space="preserve"> REF _Ref440269203 \h  \* MERGEFORMAT </w:instrText>
      </w:r>
      <w:r w:rsidRPr="00EB5DD8">
        <w:fldChar w:fldCharType="separate"/>
      </w:r>
      <w:r w:rsidR="00DD797D" w:rsidRPr="00EB5DD8">
        <w:t>Table A-</w:t>
      </w:r>
      <w:r w:rsidR="00DD797D">
        <w:t>147</w:t>
      </w:r>
      <w:r w:rsidRPr="00EB5DD8">
        <w:fldChar w:fldCharType="end"/>
      </w:r>
      <w:r w:rsidRPr="00EB5DD8">
        <w:t>.</w:t>
      </w:r>
    </w:p>
    <w:p w:rsidR="00B5775F" w:rsidRPr="00EB5DD8" w:rsidRDefault="00B5775F" w:rsidP="00B5775F"/>
    <w:p w:rsidR="00B5775F" w:rsidRPr="00EB5DD8" w:rsidRDefault="00B5775F" w:rsidP="00B5775F">
      <w:pPr>
        <w:pStyle w:val="Caption"/>
        <w:rPr>
          <w:bCs w:val="0"/>
        </w:rPr>
      </w:pPr>
      <w:bookmarkStart w:id="1328" w:name="_Ref440269203"/>
      <w:bookmarkStart w:id="1329" w:name="_Toc410199403"/>
      <w:bookmarkStart w:id="1330" w:name="_Toc431462385"/>
      <w:bookmarkStart w:id="1331" w:name="_Toc444269914"/>
      <w:bookmarkStart w:id="1332" w:name="_Toc472472561"/>
      <w:bookmarkStart w:id="1333" w:name="_Toc476842262"/>
      <w:r w:rsidRPr="00EB5DD8">
        <w:t>Table A-</w:t>
      </w:r>
      <w:fldSimple w:instr=" SEQ Table_A- \* ARABIC ">
        <w:r w:rsidR="00C301D0">
          <w:rPr>
            <w:noProof/>
          </w:rPr>
          <w:t>147</w:t>
        </w:r>
      </w:fldSimple>
      <w:bookmarkEnd w:id="1328"/>
      <w:r w:rsidRPr="00EB5DD8">
        <w:t>:</w:t>
      </w:r>
      <w:r w:rsidRPr="00EB5DD8">
        <w:rPr>
          <w:bCs w:val="0"/>
        </w:rPr>
        <w:t xml:space="preserve"> Observed Coefficients of Variation and Relative Precision – PPL’s MMMF Program</w:t>
      </w:r>
      <w:bookmarkEnd w:id="1329"/>
      <w:bookmarkEnd w:id="1330"/>
      <w:bookmarkEnd w:id="1331"/>
      <w:bookmarkEnd w:id="1332"/>
      <w:bookmarkEnd w:id="1333"/>
    </w:p>
    <w:tbl>
      <w:tblPr>
        <w:tblW w:w="9256"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980"/>
        <w:gridCol w:w="2070"/>
        <w:gridCol w:w="1658"/>
        <w:gridCol w:w="1980"/>
        <w:gridCol w:w="1568"/>
      </w:tblGrid>
      <w:tr w:rsidR="00A874AC" w:rsidRPr="00EB5DD8" w:rsidTr="004B4B06">
        <w:trPr>
          <w:trHeight w:val="1123"/>
          <w:tblHeader/>
        </w:trPr>
        <w:tc>
          <w:tcPr>
            <w:tcW w:w="1980" w:type="dxa"/>
            <w:shd w:val="clear" w:color="000000" w:fill="448A99"/>
            <w:vAlign w:val="bottom"/>
            <w:hideMark/>
          </w:tcPr>
          <w:p w:rsidR="00B5775F" w:rsidRPr="00EB5DD8" w:rsidRDefault="00B5775F" w:rsidP="004B4B06">
            <w:pPr>
              <w:jc w:val="left"/>
              <w:rPr>
                <w:b/>
                <w:bCs/>
                <w:color w:val="FFFFFF"/>
                <w:sz w:val="20"/>
                <w:szCs w:val="20"/>
              </w:rPr>
            </w:pPr>
            <w:r w:rsidRPr="00EB5DD8">
              <w:rPr>
                <w:b/>
                <w:bCs/>
                <w:color w:val="FFFFFF"/>
                <w:sz w:val="20"/>
                <w:szCs w:val="20"/>
              </w:rPr>
              <w:t>Stratum</w:t>
            </w:r>
          </w:p>
        </w:tc>
        <w:tc>
          <w:tcPr>
            <w:tcW w:w="2070"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Observed Coefficient of Variation (C</w:t>
            </w:r>
            <w:r w:rsidRPr="00EB5DD8">
              <w:rPr>
                <w:b/>
                <w:bCs/>
                <w:color w:val="FFFFFF"/>
                <w:sz w:val="20"/>
                <w:szCs w:val="20"/>
                <w:vertAlign w:val="subscript"/>
              </w:rPr>
              <w:t>v</w:t>
            </w:r>
            <w:r w:rsidRPr="00EB5DD8">
              <w:rPr>
                <w:b/>
                <w:bCs/>
                <w:color w:val="FFFFFF"/>
                <w:sz w:val="20"/>
                <w:szCs w:val="20"/>
              </w:rPr>
              <w:t>) or Proportion in Sample Design for Energy</w:t>
            </w:r>
          </w:p>
        </w:tc>
        <w:tc>
          <w:tcPr>
            <w:tcW w:w="1658"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Relative Precision at 85% C.L. for Energy</w:t>
            </w:r>
          </w:p>
        </w:tc>
        <w:tc>
          <w:tcPr>
            <w:tcW w:w="1980"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Observed Coefficient of Variation (C</w:t>
            </w:r>
            <w:r w:rsidRPr="00EB5DD8">
              <w:rPr>
                <w:b/>
                <w:bCs/>
                <w:color w:val="FFFFFF"/>
                <w:sz w:val="20"/>
                <w:szCs w:val="20"/>
                <w:vertAlign w:val="subscript"/>
              </w:rPr>
              <w:t>v</w:t>
            </w:r>
            <w:r w:rsidRPr="00EB5DD8">
              <w:rPr>
                <w:b/>
                <w:bCs/>
                <w:color w:val="FFFFFF"/>
                <w:sz w:val="20"/>
                <w:szCs w:val="20"/>
              </w:rPr>
              <w:t>) or Proportion in Sample Design for Demand</w:t>
            </w:r>
          </w:p>
        </w:tc>
        <w:tc>
          <w:tcPr>
            <w:tcW w:w="1568"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Relative Precision at 85% C.L. for Demand</w:t>
            </w:r>
          </w:p>
        </w:tc>
      </w:tr>
      <w:tr w:rsidR="00A874AC" w:rsidRPr="00EB5DD8" w:rsidTr="004B4B06">
        <w:trPr>
          <w:trHeight w:val="732"/>
        </w:trPr>
        <w:tc>
          <w:tcPr>
            <w:tcW w:w="1980" w:type="dxa"/>
            <w:shd w:val="clear" w:color="000000" w:fill="D2EAF1"/>
            <w:noWrap/>
            <w:vAlign w:val="center"/>
          </w:tcPr>
          <w:p w:rsidR="00B5775F" w:rsidRPr="00E7539F" w:rsidRDefault="00B5775F" w:rsidP="004B4B06">
            <w:pPr>
              <w:jc w:val="left"/>
              <w:rPr>
                <w:bCs/>
                <w:color w:val="000000"/>
                <w:sz w:val="20"/>
                <w:szCs w:val="20"/>
              </w:rPr>
            </w:pPr>
            <w:r w:rsidRPr="00E7539F">
              <w:rPr>
                <w:rFonts w:eastAsiaTheme="minorHAnsi" w:cs="Calibri"/>
                <w:sz w:val="20"/>
                <w:szCs w:val="20"/>
              </w:rPr>
              <w:t>Multifamily – common area lighting</w:t>
            </w:r>
          </w:p>
        </w:tc>
        <w:tc>
          <w:tcPr>
            <w:tcW w:w="2070"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0.0963</w:t>
            </w:r>
          </w:p>
        </w:tc>
        <w:tc>
          <w:tcPr>
            <w:tcW w:w="1658"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4.79%</w:t>
            </w:r>
          </w:p>
        </w:tc>
        <w:tc>
          <w:tcPr>
            <w:tcW w:w="1980"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0.3581</w:t>
            </w:r>
          </w:p>
        </w:tc>
        <w:tc>
          <w:tcPr>
            <w:tcW w:w="1568"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17.82%</w:t>
            </w:r>
          </w:p>
        </w:tc>
      </w:tr>
      <w:tr w:rsidR="00B5775F" w:rsidRPr="00EB5DD8" w:rsidTr="00FD03DC">
        <w:trPr>
          <w:trHeight w:val="732"/>
        </w:trPr>
        <w:tc>
          <w:tcPr>
            <w:tcW w:w="1980" w:type="dxa"/>
            <w:shd w:val="clear" w:color="auto" w:fill="auto"/>
            <w:noWrap/>
            <w:vAlign w:val="center"/>
          </w:tcPr>
          <w:p w:rsidR="00B5775F" w:rsidRPr="00E7539F" w:rsidRDefault="00B5775F" w:rsidP="004B4B06">
            <w:pPr>
              <w:jc w:val="left"/>
              <w:rPr>
                <w:bCs/>
                <w:color w:val="000000"/>
                <w:sz w:val="20"/>
                <w:szCs w:val="20"/>
              </w:rPr>
            </w:pPr>
            <w:r w:rsidRPr="00E7539F">
              <w:rPr>
                <w:rFonts w:eastAsiaTheme="minorHAnsi" w:cs="Calibri"/>
                <w:sz w:val="20"/>
                <w:szCs w:val="20"/>
              </w:rPr>
              <w:t>Multifamily – direct install – apartments</w:t>
            </w:r>
          </w:p>
        </w:tc>
        <w:tc>
          <w:tcPr>
            <w:tcW w:w="2070"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0.0456</w:t>
            </w:r>
          </w:p>
        </w:tc>
        <w:tc>
          <w:tcPr>
            <w:tcW w:w="1658"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2.84%</w:t>
            </w:r>
          </w:p>
        </w:tc>
        <w:tc>
          <w:tcPr>
            <w:tcW w:w="1980"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0.0427</w:t>
            </w:r>
          </w:p>
        </w:tc>
        <w:tc>
          <w:tcPr>
            <w:tcW w:w="1568"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2.67%</w:t>
            </w:r>
          </w:p>
        </w:tc>
      </w:tr>
      <w:tr w:rsidR="00A874AC" w:rsidRPr="00EB5DD8" w:rsidTr="004B4B06">
        <w:trPr>
          <w:trHeight w:val="732"/>
        </w:trPr>
        <w:tc>
          <w:tcPr>
            <w:tcW w:w="1980" w:type="dxa"/>
            <w:shd w:val="clear" w:color="000000" w:fill="D2EAF1"/>
            <w:noWrap/>
            <w:vAlign w:val="center"/>
          </w:tcPr>
          <w:p w:rsidR="00B5775F" w:rsidRPr="00E7539F" w:rsidRDefault="00B5775F" w:rsidP="004B4B06">
            <w:pPr>
              <w:jc w:val="left"/>
              <w:rPr>
                <w:bCs/>
                <w:color w:val="000000"/>
                <w:sz w:val="20"/>
                <w:szCs w:val="20"/>
              </w:rPr>
            </w:pPr>
            <w:r w:rsidRPr="00E7539F">
              <w:rPr>
                <w:rFonts w:eastAsiaTheme="minorHAnsi" w:cs="Calibri"/>
                <w:sz w:val="20"/>
                <w:szCs w:val="20"/>
              </w:rPr>
              <w:t>Multifamily – direct install – common areas</w:t>
            </w:r>
          </w:p>
        </w:tc>
        <w:tc>
          <w:tcPr>
            <w:tcW w:w="2070"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0.7603</w:t>
            </w:r>
          </w:p>
        </w:tc>
        <w:tc>
          <w:tcPr>
            <w:tcW w:w="1658"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73.15%</w:t>
            </w:r>
          </w:p>
        </w:tc>
        <w:tc>
          <w:tcPr>
            <w:tcW w:w="1980" w:type="dxa"/>
            <w:shd w:val="clear" w:color="000000" w:fill="D2EAF1"/>
            <w:noWrap/>
            <w:vAlign w:val="center"/>
          </w:tcPr>
          <w:p w:rsidR="00B5775F" w:rsidRPr="00EB5DD8" w:rsidRDefault="00B5775F" w:rsidP="008D7800">
            <w:pPr>
              <w:jc w:val="center"/>
              <w:rPr>
                <w:color w:val="000000"/>
                <w:sz w:val="20"/>
                <w:szCs w:val="20"/>
              </w:rPr>
            </w:pPr>
            <w:r>
              <w:rPr>
                <w:sz w:val="20"/>
                <w:szCs w:val="20"/>
              </w:rPr>
              <w:t>–</w:t>
            </w:r>
          </w:p>
        </w:tc>
        <w:tc>
          <w:tcPr>
            <w:tcW w:w="1568" w:type="dxa"/>
            <w:shd w:val="clear" w:color="000000" w:fill="D2EAF1"/>
            <w:noWrap/>
            <w:vAlign w:val="center"/>
          </w:tcPr>
          <w:p w:rsidR="00B5775F" w:rsidRPr="00EB5DD8" w:rsidRDefault="00B5775F" w:rsidP="008D7800">
            <w:pPr>
              <w:jc w:val="center"/>
              <w:rPr>
                <w:color w:val="000000"/>
                <w:sz w:val="20"/>
                <w:szCs w:val="20"/>
              </w:rPr>
            </w:pPr>
            <w:r>
              <w:rPr>
                <w:sz w:val="20"/>
                <w:szCs w:val="20"/>
              </w:rPr>
              <w:t>–</w:t>
            </w:r>
          </w:p>
        </w:tc>
      </w:tr>
      <w:tr w:rsidR="00B5775F" w:rsidRPr="00EB5DD8" w:rsidTr="00FD03DC">
        <w:trPr>
          <w:trHeight w:val="733"/>
        </w:trPr>
        <w:tc>
          <w:tcPr>
            <w:tcW w:w="1980" w:type="dxa"/>
            <w:shd w:val="clear" w:color="auto" w:fill="auto"/>
            <w:noWrap/>
            <w:vAlign w:val="center"/>
          </w:tcPr>
          <w:p w:rsidR="00B5775F" w:rsidRPr="00E7539F" w:rsidRDefault="00B5775F" w:rsidP="004B4B06">
            <w:pPr>
              <w:autoSpaceDE w:val="0"/>
              <w:autoSpaceDN w:val="0"/>
              <w:adjustRightInd w:val="0"/>
              <w:jc w:val="left"/>
              <w:rPr>
                <w:bCs/>
                <w:color w:val="000000"/>
                <w:sz w:val="20"/>
                <w:szCs w:val="20"/>
              </w:rPr>
            </w:pPr>
            <w:r w:rsidRPr="00E7539F">
              <w:rPr>
                <w:rFonts w:eastAsiaTheme="minorHAnsi" w:cs="Calibri"/>
                <w:sz w:val="20"/>
                <w:szCs w:val="20"/>
              </w:rPr>
              <w:t xml:space="preserve">Nursing home – common area lighting </w:t>
            </w:r>
          </w:p>
        </w:tc>
        <w:tc>
          <w:tcPr>
            <w:tcW w:w="2070" w:type="dxa"/>
            <w:shd w:val="clear" w:color="auto" w:fill="auto"/>
            <w:noWrap/>
            <w:vAlign w:val="center"/>
          </w:tcPr>
          <w:p w:rsidR="00B5775F" w:rsidRPr="00EB5DD8" w:rsidRDefault="00B5775F" w:rsidP="008D7800">
            <w:pPr>
              <w:jc w:val="center"/>
              <w:rPr>
                <w:bCs/>
                <w:color w:val="000000"/>
                <w:sz w:val="20"/>
                <w:szCs w:val="20"/>
              </w:rPr>
            </w:pPr>
            <w:r w:rsidRPr="00EB5DD8">
              <w:rPr>
                <w:sz w:val="20"/>
                <w:szCs w:val="20"/>
              </w:rPr>
              <w:t>0.3016</w:t>
            </w:r>
          </w:p>
        </w:tc>
        <w:tc>
          <w:tcPr>
            <w:tcW w:w="1658" w:type="dxa"/>
            <w:shd w:val="clear" w:color="auto" w:fill="auto"/>
            <w:noWrap/>
            <w:vAlign w:val="center"/>
          </w:tcPr>
          <w:p w:rsidR="00B5775F" w:rsidRPr="00EB5DD8" w:rsidRDefault="00B5775F" w:rsidP="008D7800">
            <w:pPr>
              <w:jc w:val="center"/>
              <w:rPr>
                <w:bCs/>
                <w:color w:val="000000"/>
                <w:sz w:val="20"/>
                <w:szCs w:val="20"/>
              </w:rPr>
            </w:pPr>
            <w:r w:rsidRPr="00EB5DD8">
              <w:rPr>
                <w:sz w:val="20"/>
                <w:szCs w:val="20"/>
              </w:rPr>
              <w:t>15.01%</w:t>
            </w:r>
          </w:p>
        </w:tc>
        <w:tc>
          <w:tcPr>
            <w:tcW w:w="1980" w:type="dxa"/>
            <w:shd w:val="clear" w:color="auto" w:fill="auto"/>
            <w:noWrap/>
            <w:vAlign w:val="center"/>
          </w:tcPr>
          <w:p w:rsidR="00B5775F" w:rsidRPr="00EB5DD8" w:rsidRDefault="00B5775F" w:rsidP="008D7800">
            <w:pPr>
              <w:jc w:val="center"/>
              <w:rPr>
                <w:bCs/>
                <w:color w:val="000000"/>
                <w:sz w:val="20"/>
                <w:szCs w:val="20"/>
              </w:rPr>
            </w:pPr>
            <w:r w:rsidRPr="00EB5DD8">
              <w:rPr>
                <w:sz w:val="20"/>
                <w:szCs w:val="20"/>
              </w:rPr>
              <w:t>0.1920</w:t>
            </w:r>
          </w:p>
        </w:tc>
        <w:tc>
          <w:tcPr>
            <w:tcW w:w="1568" w:type="dxa"/>
            <w:shd w:val="clear" w:color="auto" w:fill="auto"/>
            <w:noWrap/>
            <w:vAlign w:val="center"/>
          </w:tcPr>
          <w:p w:rsidR="00B5775F" w:rsidRPr="00EB5DD8" w:rsidRDefault="00B5775F" w:rsidP="008D7800">
            <w:pPr>
              <w:jc w:val="center"/>
              <w:rPr>
                <w:bCs/>
                <w:color w:val="000000"/>
                <w:sz w:val="20"/>
                <w:szCs w:val="20"/>
              </w:rPr>
            </w:pPr>
            <w:r w:rsidRPr="00EB5DD8">
              <w:rPr>
                <w:sz w:val="20"/>
                <w:szCs w:val="20"/>
              </w:rPr>
              <w:t>9.56%</w:t>
            </w:r>
          </w:p>
        </w:tc>
      </w:tr>
      <w:tr w:rsidR="00A874AC" w:rsidRPr="00EB5DD8" w:rsidTr="004B4B06">
        <w:trPr>
          <w:trHeight w:val="732"/>
        </w:trPr>
        <w:tc>
          <w:tcPr>
            <w:tcW w:w="1980" w:type="dxa"/>
            <w:shd w:val="clear" w:color="auto" w:fill="D2EAF1"/>
            <w:noWrap/>
            <w:vAlign w:val="center"/>
          </w:tcPr>
          <w:p w:rsidR="00B5775F" w:rsidRPr="00E7539F" w:rsidRDefault="00B5775F" w:rsidP="004B4B06">
            <w:pPr>
              <w:autoSpaceDE w:val="0"/>
              <w:autoSpaceDN w:val="0"/>
              <w:adjustRightInd w:val="0"/>
              <w:jc w:val="left"/>
              <w:rPr>
                <w:b/>
                <w:bCs/>
                <w:color w:val="000000"/>
                <w:sz w:val="20"/>
                <w:szCs w:val="20"/>
              </w:rPr>
            </w:pPr>
            <w:r w:rsidRPr="00E7539F">
              <w:rPr>
                <w:rFonts w:eastAsiaTheme="minorHAnsi" w:cs="Calibri"/>
                <w:sz w:val="20"/>
                <w:szCs w:val="20"/>
              </w:rPr>
              <w:t>Nursing home – direct install – apartments</w:t>
            </w:r>
          </w:p>
        </w:tc>
        <w:tc>
          <w:tcPr>
            <w:tcW w:w="2070" w:type="dxa"/>
            <w:shd w:val="clear" w:color="auto" w:fill="D2EAF1"/>
            <w:noWrap/>
            <w:vAlign w:val="center"/>
          </w:tcPr>
          <w:p w:rsidR="00B5775F" w:rsidRPr="00EB5DD8" w:rsidRDefault="00B5775F" w:rsidP="008D7800">
            <w:pPr>
              <w:jc w:val="center"/>
              <w:rPr>
                <w:b/>
                <w:bCs/>
                <w:color w:val="000000"/>
                <w:sz w:val="20"/>
                <w:szCs w:val="20"/>
              </w:rPr>
            </w:pPr>
            <w:r w:rsidRPr="00EB5DD8">
              <w:rPr>
                <w:sz w:val="20"/>
                <w:szCs w:val="20"/>
              </w:rPr>
              <w:t>N/A</w:t>
            </w:r>
          </w:p>
        </w:tc>
        <w:tc>
          <w:tcPr>
            <w:tcW w:w="1658" w:type="dxa"/>
            <w:shd w:val="clear" w:color="auto" w:fill="D2EAF1"/>
            <w:noWrap/>
            <w:vAlign w:val="center"/>
          </w:tcPr>
          <w:p w:rsidR="00B5775F" w:rsidRPr="00EB5DD8" w:rsidRDefault="00B5775F" w:rsidP="008D7800">
            <w:pPr>
              <w:jc w:val="center"/>
              <w:rPr>
                <w:b/>
                <w:bCs/>
                <w:color w:val="000000"/>
                <w:sz w:val="20"/>
                <w:szCs w:val="20"/>
              </w:rPr>
            </w:pPr>
            <w:r w:rsidRPr="00EB5DD8">
              <w:rPr>
                <w:sz w:val="20"/>
                <w:szCs w:val="20"/>
              </w:rPr>
              <w:t>0.00%</w:t>
            </w:r>
          </w:p>
        </w:tc>
        <w:tc>
          <w:tcPr>
            <w:tcW w:w="1980" w:type="dxa"/>
            <w:shd w:val="clear" w:color="auto" w:fill="D2EAF1"/>
            <w:noWrap/>
            <w:vAlign w:val="center"/>
          </w:tcPr>
          <w:p w:rsidR="00B5775F" w:rsidRPr="00EB5DD8" w:rsidRDefault="00B5775F" w:rsidP="008D7800">
            <w:pPr>
              <w:jc w:val="center"/>
              <w:rPr>
                <w:b/>
                <w:bCs/>
                <w:color w:val="000000"/>
                <w:sz w:val="20"/>
                <w:szCs w:val="20"/>
              </w:rPr>
            </w:pPr>
            <w:r w:rsidRPr="00EB5DD8">
              <w:rPr>
                <w:sz w:val="20"/>
                <w:szCs w:val="20"/>
              </w:rPr>
              <w:t>N/A</w:t>
            </w:r>
          </w:p>
        </w:tc>
        <w:tc>
          <w:tcPr>
            <w:tcW w:w="1568" w:type="dxa"/>
            <w:shd w:val="clear" w:color="auto" w:fill="D2EAF1"/>
            <w:noWrap/>
            <w:vAlign w:val="center"/>
          </w:tcPr>
          <w:p w:rsidR="00B5775F" w:rsidRPr="00EB5DD8" w:rsidRDefault="00B5775F" w:rsidP="008D7800">
            <w:pPr>
              <w:jc w:val="center"/>
              <w:rPr>
                <w:b/>
                <w:bCs/>
                <w:color w:val="000000"/>
                <w:sz w:val="20"/>
                <w:szCs w:val="20"/>
              </w:rPr>
            </w:pPr>
            <w:r w:rsidRPr="00EB5DD8">
              <w:rPr>
                <w:sz w:val="20"/>
                <w:szCs w:val="20"/>
              </w:rPr>
              <w:t>0.00%</w:t>
            </w:r>
          </w:p>
        </w:tc>
      </w:tr>
      <w:tr w:rsidR="00B5775F" w:rsidRPr="00EB5DD8" w:rsidTr="00FD03DC">
        <w:trPr>
          <w:trHeight w:val="732"/>
        </w:trPr>
        <w:tc>
          <w:tcPr>
            <w:tcW w:w="1980" w:type="dxa"/>
            <w:shd w:val="clear" w:color="auto" w:fill="auto"/>
            <w:noWrap/>
            <w:vAlign w:val="center"/>
          </w:tcPr>
          <w:p w:rsidR="00B5775F" w:rsidRPr="00E7539F" w:rsidRDefault="00B5775F" w:rsidP="004B4B06">
            <w:pPr>
              <w:autoSpaceDE w:val="0"/>
              <w:autoSpaceDN w:val="0"/>
              <w:adjustRightInd w:val="0"/>
              <w:jc w:val="left"/>
              <w:rPr>
                <w:b/>
                <w:bCs/>
                <w:color w:val="000000"/>
                <w:sz w:val="20"/>
                <w:szCs w:val="20"/>
              </w:rPr>
            </w:pPr>
            <w:r w:rsidRPr="00E7539F">
              <w:rPr>
                <w:rFonts w:eastAsiaTheme="minorHAnsi" w:cs="Calibri"/>
                <w:sz w:val="20"/>
                <w:szCs w:val="20"/>
              </w:rPr>
              <w:t>Nursing home – direct install – common areas</w:t>
            </w:r>
          </w:p>
        </w:tc>
        <w:tc>
          <w:tcPr>
            <w:tcW w:w="2070" w:type="dxa"/>
            <w:shd w:val="clear" w:color="auto" w:fill="auto"/>
            <w:noWrap/>
            <w:vAlign w:val="center"/>
          </w:tcPr>
          <w:p w:rsidR="00B5775F" w:rsidRPr="00EB5DD8" w:rsidRDefault="00B5775F" w:rsidP="008D7800">
            <w:pPr>
              <w:jc w:val="center"/>
              <w:rPr>
                <w:b/>
                <w:bCs/>
                <w:color w:val="000000"/>
                <w:sz w:val="20"/>
                <w:szCs w:val="20"/>
              </w:rPr>
            </w:pPr>
            <w:r w:rsidRPr="00EB5DD8">
              <w:rPr>
                <w:sz w:val="20"/>
                <w:szCs w:val="20"/>
              </w:rPr>
              <w:t>N/A</w:t>
            </w:r>
          </w:p>
        </w:tc>
        <w:tc>
          <w:tcPr>
            <w:tcW w:w="1658" w:type="dxa"/>
            <w:shd w:val="clear" w:color="auto" w:fill="auto"/>
            <w:noWrap/>
            <w:vAlign w:val="center"/>
          </w:tcPr>
          <w:p w:rsidR="00B5775F" w:rsidRPr="00EB5DD8" w:rsidRDefault="00B5775F" w:rsidP="008D7800">
            <w:pPr>
              <w:jc w:val="center"/>
              <w:rPr>
                <w:b/>
                <w:bCs/>
                <w:color w:val="000000"/>
                <w:sz w:val="20"/>
                <w:szCs w:val="20"/>
              </w:rPr>
            </w:pPr>
            <w:r w:rsidRPr="00EB5DD8">
              <w:rPr>
                <w:sz w:val="20"/>
                <w:szCs w:val="20"/>
              </w:rPr>
              <w:t>N/A</w:t>
            </w:r>
          </w:p>
        </w:tc>
        <w:tc>
          <w:tcPr>
            <w:tcW w:w="1980" w:type="dxa"/>
            <w:shd w:val="clear" w:color="auto" w:fill="auto"/>
            <w:noWrap/>
            <w:vAlign w:val="center"/>
          </w:tcPr>
          <w:p w:rsidR="00B5775F" w:rsidRPr="00EB5DD8" w:rsidRDefault="00B5775F" w:rsidP="008D7800">
            <w:pPr>
              <w:jc w:val="center"/>
              <w:rPr>
                <w:b/>
                <w:bCs/>
                <w:color w:val="000000"/>
                <w:sz w:val="20"/>
                <w:szCs w:val="20"/>
              </w:rPr>
            </w:pPr>
            <w:r>
              <w:rPr>
                <w:sz w:val="20"/>
                <w:szCs w:val="20"/>
              </w:rPr>
              <w:t>–</w:t>
            </w:r>
          </w:p>
        </w:tc>
        <w:tc>
          <w:tcPr>
            <w:tcW w:w="1568" w:type="dxa"/>
            <w:shd w:val="clear" w:color="auto" w:fill="auto"/>
            <w:noWrap/>
            <w:vAlign w:val="center"/>
          </w:tcPr>
          <w:p w:rsidR="00B5775F" w:rsidRPr="00EB5DD8" w:rsidRDefault="00B5775F" w:rsidP="008D7800">
            <w:pPr>
              <w:jc w:val="center"/>
              <w:rPr>
                <w:b/>
                <w:bCs/>
                <w:color w:val="000000"/>
                <w:sz w:val="20"/>
                <w:szCs w:val="20"/>
              </w:rPr>
            </w:pPr>
            <w:r>
              <w:rPr>
                <w:sz w:val="20"/>
                <w:szCs w:val="20"/>
              </w:rPr>
              <w:t>–</w:t>
            </w:r>
          </w:p>
        </w:tc>
      </w:tr>
      <w:tr w:rsidR="00A874AC" w:rsidRPr="00EB5DD8" w:rsidTr="004B4B06">
        <w:trPr>
          <w:trHeight w:val="733"/>
        </w:trPr>
        <w:tc>
          <w:tcPr>
            <w:tcW w:w="1980" w:type="dxa"/>
            <w:shd w:val="clear" w:color="auto" w:fill="D2EAF1"/>
            <w:noWrap/>
            <w:vAlign w:val="center"/>
          </w:tcPr>
          <w:p w:rsidR="00B5775F" w:rsidRPr="00EB5DD8" w:rsidRDefault="00B5775F" w:rsidP="004B4B06">
            <w:pPr>
              <w:jc w:val="left"/>
              <w:rPr>
                <w:b/>
                <w:bCs/>
                <w:color w:val="000000"/>
                <w:sz w:val="20"/>
                <w:szCs w:val="20"/>
              </w:rPr>
            </w:pPr>
            <w:r w:rsidRPr="00EB5DD8">
              <w:rPr>
                <w:b/>
                <w:bCs/>
                <w:color w:val="000000"/>
                <w:sz w:val="20"/>
                <w:szCs w:val="20"/>
              </w:rPr>
              <w:t>Program Total</w:t>
            </w:r>
          </w:p>
        </w:tc>
        <w:tc>
          <w:tcPr>
            <w:tcW w:w="2070" w:type="dxa"/>
            <w:shd w:val="clear" w:color="auto" w:fill="D2EAF1"/>
            <w:noWrap/>
            <w:vAlign w:val="center"/>
          </w:tcPr>
          <w:p w:rsidR="00B5775F" w:rsidRPr="00EB5DD8" w:rsidRDefault="00B5775F" w:rsidP="008D7800">
            <w:pPr>
              <w:jc w:val="center"/>
              <w:rPr>
                <w:b/>
                <w:bCs/>
                <w:color w:val="000000"/>
                <w:sz w:val="20"/>
                <w:szCs w:val="20"/>
              </w:rPr>
            </w:pPr>
          </w:p>
        </w:tc>
        <w:tc>
          <w:tcPr>
            <w:tcW w:w="1658" w:type="dxa"/>
            <w:shd w:val="clear" w:color="auto" w:fill="D2EAF1"/>
            <w:noWrap/>
            <w:vAlign w:val="center"/>
          </w:tcPr>
          <w:p w:rsidR="00B5775F" w:rsidRPr="00EB5DD8" w:rsidRDefault="00B5775F" w:rsidP="008D7800">
            <w:pPr>
              <w:jc w:val="center"/>
              <w:rPr>
                <w:b/>
                <w:bCs/>
                <w:color w:val="000000"/>
                <w:sz w:val="20"/>
                <w:szCs w:val="20"/>
              </w:rPr>
            </w:pPr>
            <w:r w:rsidRPr="00EB5DD8">
              <w:rPr>
                <w:b/>
                <w:sz w:val="20"/>
                <w:szCs w:val="20"/>
              </w:rPr>
              <w:t>9.85%</w:t>
            </w:r>
          </w:p>
        </w:tc>
        <w:tc>
          <w:tcPr>
            <w:tcW w:w="1980" w:type="dxa"/>
            <w:shd w:val="clear" w:color="auto" w:fill="D2EAF1"/>
            <w:noWrap/>
            <w:vAlign w:val="center"/>
          </w:tcPr>
          <w:p w:rsidR="00B5775F" w:rsidRPr="00EB5DD8" w:rsidRDefault="00B5775F" w:rsidP="008D7800">
            <w:pPr>
              <w:jc w:val="center"/>
              <w:rPr>
                <w:b/>
                <w:bCs/>
                <w:color w:val="000000"/>
                <w:sz w:val="20"/>
                <w:szCs w:val="20"/>
              </w:rPr>
            </w:pPr>
          </w:p>
        </w:tc>
        <w:tc>
          <w:tcPr>
            <w:tcW w:w="1568" w:type="dxa"/>
            <w:shd w:val="clear" w:color="auto" w:fill="D2EAF1"/>
            <w:noWrap/>
            <w:vAlign w:val="center"/>
          </w:tcPr>
          <w:p w:rsidR="00B5775F" w:rsidRPr="00EB5DD8" w:rsidRDefault="00B5775F" w:rsidP="008D7800">
            <w:pPr>
              <w:jc w:val="center"/>
              <w:rPr>
                <w:b/>
                <w:bCs/>
                <w:color w:val="000000"/>
                <w:sz w:val="20"/>
                <w:szCs w:val="20"/>
              </w:rPr>
            </w:pPr>
            <w:r w:rsidRPr="00EB5DD8">
              <w:rPr>
                <w:b/>
                <w:sz w:val="20"/>
                <w:szCs w:val="20"/>
              </w:rPr>
              <w:t>7.62%</w:t>
            </w:r>
          </w:p>
        </w:tc>
      </w:tr>
    </w:tbl>
    <w:p w:rsidR="00B5775F" w:rsidRPr="00EB5DD8" w:rsidRDefault="00B5775F" w:rsidP="00B5775F"/>
    <w:p w:rsidR="00B5775F" w:rsidRPr="00EB5DD8" w:rsidRDefault="00B5775F" w:rsidP="00B5775F">
      <w:r w:rsidRPr="00EB5DD8">
        <w:t xml:space="preserve">The program total achieved precision for energy and demand met the SWE Team requirements. </w:t>
      </w:r>
    </w:p>
    <w:p w:rsidR="00B5775F" w:rsidRPr="00EB5DD8" w:rsidRDefault="00B5775F" w:rsidP="00B5775F"/>
    <w:p w:rsidR="00B5775F" w:rsidRPr="00EB5DD8" w:rsidRDefault="00B5775F" w:rsidP="00B5775F">
      <w:pPr>
        <w:pStyle w:val="AppendixAHeading5"/>
      </w:pPr>
      <w:r w:rsidRPr="00EB5DD8">
        <w:t>Prescriptive Equipment Program</w:t>
      </w:r>
    </w:p>
    <w:p w:rsidR="00B5775F" w:rsidRPr="00EB5DD8" w:rsidRDefault="00B5775F" w:rsidP="00B5775F">
      <w:r w:rsidRPr="00EB5DD8">
        <w:t xml:space="preserve">The Prescriptive Equipment Program targets customers from the small C/I, large C/I, GNI, and agricultural sectors. Sample design was at the measure level; all the measures were stratified into two groups: lighting and equipment (non-lighting) projects. Four substrata were assigned to lighting measures based on the reported savings. The substrata for lighting projects </w:t>
      </w:r>
      <w:r>
        <w:t>were</w:t>
      </w:r>
      <w:r w:rsidRPr="00EB5DD8">
        <w:t xml:space="preserve"> small, small-medium, medium-small, and large. </w:t>
      </w:r>
    </w:p>
    <w:p w:rsidR="00B5775F" w:rsidRPr="00EB5DD8" w:rsidRDefault="00B5775F" w:rsidP="00B5775F"/>
    <w:p w:rsidR="00B5775F" w:rsidRPr="00EB5DD8" w:rsidRDefault="00B5775F" w:rsidP="00B5775F">
      <w:r w:rsidRPr="00EB5DD8">
        <w:t>For the equipment measure</w:t>
      </w:r>
      <w:r>
        <w:t>s, the sample plan targeted +/–</w:t>
      </w:r>
      <w:r w:rsidRPr="00EB5DD8">
        <w:t>15% precision at the 85% confidence level. No site visits were performed for the equipment measures in PY7 because the specs for the types of products rebated could not be ea</w:t>
      </w:r>
      <w:r>
        <w:t>sily verified on-</w:t>
      </w:r>
      <w:r w:rsidRPr="00EB5DD8">
        <w:t xml:space="preserve">site. The sampling strategy and corresponding evaluation activities for the non-lighting stratum </w:t>
      </w:r>
      <w:r>
        <w:t>are</w:t>
      </w:r>
      <w:r w:rsidRPr="00EB5DD8">
        <w:t xml:space="preserve"> shown in </w:t>
      </w:r>
      <w:r w:rsidRPr="00EB5DD8">
        <w:fldChar w:fldCharType="begin"/>
      </w:r>
      <w:r w:rsidRPr="00EB5DD8">
        <w:instrText xml:space="preserve"> REF _Ref440269236 \h  \* MERGEFORMAT </w:instrText>
      </w:r>
      <w:r w:rsidRPr="00EB5DD8">
        <w:fldChar w:fldCharType="separate"/>
      </w:r>
      <w:r w:rsidR="00DD797D" w:rsidRPr="00EB5DD8">
        <w:t>Table A-</w:t>
      </w:r>
      <w:r w:rsidR="00DD797D">
        <w:t>148</w:t>
      </w:r>
      <w:r w:rsidRPr="00EB5DD8">
        <w:fldChar w:fldCharType="end"/>
      </w:r>
      <w:r w:rsidRPr="00EB5DD8">
        <w:t>.</w:t>
      </w:r>
    </w:p>
    <w:p w:rsidR="00B5775F" w:rsidRPr="00EB5DD8" w:rsidRDefault="00B5775F" w:rsidP="00B5775F"/>
    <w:p w:rsidR="00B5775F" w:rsidRPr="00EB5DD8" w:rsidRDefault="00B5775F" w:rsidP="00B5775F">
      <w:pPr>
        <w:pStyle w:val="Caption"/>
        <w:rPr>
          <w:bCs w:val="0"/>
        </w:rPr>
      </w:pPr>
      <w:bookmarkStart w:id="1334" w:name="_Ref440269236"/>
      <w:bookmarkStart w:id="1335" w:name="_Toc410199404"/>
      <w:bookmarkStart w:id="1336" w:name="_Toc431462386"/>
      <w:bookmarkStart w:id="1337" w:name="_Toc444269915"/>
      <w:bookmarkStart w:id="1338" w:name="_Toc472472562"/>
      <w:bookmarkStart w:id="1339" w:name="_Toc476842263"/>
      <w:r w:rsidRPr="00EB5DD8">
        <w:t>Table A-</w:t>
      </w:r>
      <w:fldSimple w:instr=" SEQ Table_A- \* ARABIC ">
        <w:r w:rsidR="00C301D0">
          <w:rPr>
            <w:noProof/>
          </w:rPr>
          <w:t>148</w:t>
        </w:r>
      </w:fldSimple>
      <w:bookmarkEnd w:id="1334"/>
      <w:r w:rsidRPr="00EB5DD8">
        <w:t>:</w:t>
      </w:r>
      <w:r w:rsidRPr="00EB5DD8">
        <w:rPr>
          <w:bCs w:val="0"/>
        </w:rPr>
        <w:t xml:space="preserve"> PPL’s PY7 Sampling Strategy – Prescriptive Equipment Program, Non-Lighting</w:t>
      </w:r>
      <w:bookmarkEnd w:id="1335"/>
      <w:bookmarkEnd w:id="1336"/>
      <w:bookmarkEnd w:id="1337"/>
      <w:bookmarkEnd w:id="1338"/>
      <w:bookmarkEnd w:id="1339"/>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332"/>
        <w:gridCol w:w="1651"/>
        <w:gridCol w:w="1651"/>
        <w:gridCol w:w="1651"/>
        <w:gridCol w:w="1651"/>
        <w:gridCol w:w="1414"/>
      </w:tblGrid>
      <w:tr w:rsidR="00A874AC" w:rsidRPr="00EB5DD8" w:rsidTr="008D7800">
        <w:trPr>
          <w:trHeight w:val="765"/>
        </w:trPr>
        <w:tc>
          <w:tcPr>
            <w:tcW w:w="1332" w:type="dxa"/>
            <w:shd w:val="clear" w:color="000000" w:fill="448A99"/>
            <w:noWrap/>
            <w:vAlign w:val="bottom"/>
            <w:hideMark/>
          </w:tcPr>
          <w:p w:rsidR="00B5775F" w:rsidRPr="00EB5DD8" w:rsidRDefault="00B5775F" w:rsidP="008D7800">
            <w:pPr>
              <w:rPr>
                <w:b/>
                <w:bCs/>
                <w:color w:val="FFFFFF"/>
                <w:sz w:val="20"/>
                <w:szCs w:val="20"/>
              </w:rPr>
            </w:pPr>
            <w:r w:rsidRPr="00EB5DD8">
              <w:rPr>
                <w:b/>
                <w:bCs/>
                <w:color w:val="FFFFFF"/>
                <w:sz w:val="20"/>
                <w:szCs w:val="20"/>
              </w:rPr>
              <w:t>Stratum</w:t>
            </w:r>
          </w:p>
        </w:tc>
        <w:tc>
          <w:tcPr>
            <w:tcW w:w="1651" w:type="dxa"/>
            <w:shd w:val="clear" w:color="000000" w:fill="448A99"/>
            <w:noWrap/>
            <w:vAlign w:val="bottom"/>
            <w:hideMark/>
          </w:tcPr>
          <w:p w:rsidR="00B5775F" w:rsidRPr="00EB5DD8" w:rsidRDefault="00B5775F" w:rsidP="008D7800">
            <w:pPr>
              <w:jc w:val="center"/>
              <w:rPr>
                <w:b/>
                <w:bCs/>
                <w:color w:val="FFFFFF"/>
                <w:sz w:val="20"/>
                <w:szCs w:val="20"/>
              </w:rPr>
            </w:pPr>
            <w:r w:rsidRPr="00EB5DD8">
              <w:rPr>
                <w:b/>
                <w:bCs/>
                <w:color w:val="FFFFFF"/>
                <w:sz w:val="20"/>
                <w:szCs w:val="20"/>
              </w:rPr>
              <w:t>Population</w:t>
            </w:r>
          </w:p>
        </w:tc>
        <w:tc>
          <w:tcPr>
            <w:tcW w:w="1651"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Target Levels of Confidence &amp; Precision</w:t>
            </w:r>
          </w:p>
        </w:tc>
        <w:tc>
          <w:tcPr>
            <w:tcW w:w="1651" w:type="dxa"/>
            <w:shd w:val="clear" w:color="000000" w:fill="448A99"/>
            <w:noWrap/>
            <w:vAlign w:val="bottom"/>
            <w:hideMark/>
          </w:tcPr>
          <w:p w:rsidR="00B5775F" w:rsidRPr="00EB5DD8" w:rsidRDefault="00B5775F" w:rsidP="008D7800">
            <w:pPr>
              <w:jc w:val="center"/>
              <w:rPr>
                <w:b/>
                <w:bCs/>
                <w:color w:val="FFFFFF"/>
                <w:sz w:val="20"/>
                <w:szCs w:val="20"/>
              </w:rPr>
            </w:pPr>
            <w:r w:rsidRPr="00EB5DD8">
              <w:rPr>
                <w:b/>
                <w:bCs/>
                <w:color w:val="FFFFFF"/>
                <w:sz w:val="20"/>
                <w:szCs w:val="20"/>
              </w:rPr>
              <w:t>Target Sample Size</w:t>
            </w:r>
          </w:p>
        </w:tc>
        <w:tc>
          <w:tcPr>
            <w:tcW w:w="1651" w:type="dxa"/>
            <w:shd w:val="clear" w:color="000000" w:fill="448A99"/>
            <w:noWrap/>
            <w:vAlign w:val="bottom"/>
            <w:hideMark/>
          </w:tcPr>
          <w:p w:rsidR="00B5775F" w:rsidRPr="00EB5DD8" w:rsidRDefault="00B5775F" w:rsidP="008D7800">
            <w:pPr>
              <w:jc w:val="center"/>
              <w:rPr>
                <w:b/>
                <w:bCs/>
                <w:color w:val="FFFFFF"/>
                <w:sz w:val="20"/>
                <w:szCs w:val="20"/>
              </w:rPr>
            </w:pPr>
            <w:r w:rsidRPr="00EB5DD8">
              <w:rPr>
                <w:b/>
                <w:bCs/>
                <w:color w:val="FFFFFF"/>
                <w:sz w:val="20"/>
                <w:szCs w:val="20"/>
              </w:rPr>
              <w:t>Achieved Sample Size</w:t>
            </w:r>
          </w:p>
        </w:tc>
        <w:tc>
          <w:tcPr>
            <w:tcW w:w="1414" w:type="dxa"/>
            <w:shd w:val="clear" w:color="000000" w:fill="448A99"/>
            <w:noWrap/>
            <w:vAlign w:val="bottom"/>
            <w:hideMark/>
          </w:tcPr>
          <w:p w:rsidR="00B5775F" w:rsidRPr="00EB5DD8" w:rsidRDefault="00B5775F" w:rsidP="008D7800">
            <w:pPr>
              <w:jc w:val="center"/>
              <w:rPr>
                <w:b/>
                <w:bCs/>
                <w:color w:val="FFFFFF"/>
                <w:sz w:val="20"/>
                <w:szCs w:val="20"/>
              </w:rPr>
            </w:pPr>
            <w:r w:rsidRPr="00EB5DD8">
              <w:rPr>
                <w:b/>
                <w:bCs/>
                <w:color w:val="FFFFFF"/>
                <w:sz w:val="20"/>
                <w:szCs w:val="20"/>
              </w:rPr>
              <w:t>Evaluation Activities</w:t>
            </w:r>
          </w:p>
        </w:tc>
      </w:tr>
      <w:tr w:rsidR="00A874AC" w:rsidRPr="00EB5DD8" w:rsidTr="008D7800">
        <w:trPr>
          <w:trHeight w:val="610"/>
        </w:trPr>
        <w:tc>
          <w:tcPr>
            <w:tcW w:w="1332" w:type="dxa"/>
            <w:vMerge w:val="restart"/>
            <w:shd w:val="clear" w:color="000000" w:fill="D2EAF1"/>
            <w:noWrap/>
            <w:vAlign w:val="center"/>
          </w:tcPr>
          <w:p w:rsidR="00B5775F" w:rsidRPr="00EB5DD8" w:rsidRDefault="00B5775F" w:rsidP="008D7800">
            <w:pPr>
              <w:rPr>
                <w:bCs/>
                <w:color w:val="000000"/>
                <w:sz w:val="20"/>
                <w:szCs w:val="20"/>
              </w:rPr>
            </w:pPr>
            <w:r w:rsidRPr="00EB5DD8">
              <w:rPr>
                <w:b/>
                <w:bCs/>
                <w:color w:val="000000"/>
                <w:sz w:val="20"/>
                <w:szCs w:val="20"/>
              </w:rPr>
              <w:t>Equipment Total</w:t>
            </w:r>
          </w:p>
        </w:tc>
        <w:tc>
          <w:tcPr>
            <w:tcW w:w="1651" w:type="dxa"/>
            <w:vMerge w:val="restart"/>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119</w:t>
            </w:r>
          </w:p>
        </w:tc>
        <w:tc>
          <w:tcPr>
            <w:tcW w:w="1651" w:type="dxa"/>
            <w:vMerge w:val="restart"/>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85%/15% at the stratum level</w:t>
            </w:r>
          </w:p>
        </w:tc>
        <w:tc>
          <w:tcPr>
            <w:tcW w:w="1651"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49</w:t>
            </w:r>
          </w:p>
        </w:tc>
        <w:tc>
          <w:tcPr>
            <w:tcW w:w="1651"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49</w:t>
            </w:r>
          </w:p>
        </w:tc>
        <w:tc>
          <w:tcPr>
            <w:tcW w:w="1414"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Records review</w:t>
            </w:r>
          </w:p>
        </w:tc>
      </w:tr>
      <w:tr w:rsidR="00A874AC" w:rsidRPr="00EB5DD8" w:rsidTr="008D7800">
        <w:trPr>
          <w:trHeight w:val="439"/>
        </w:trPr>
        <w:tc>
          <w:tcPr>
            <w:tcW w:w="1332" w:type="dxa"/>
            <w:vMerge/>
            <w:vAlign w:val="center"/>
          </w:tcPr>
          <w:p w:rsidR="00B5775F" w:rsidRPr="00EB5DD8" w:rsidRDefault="00B5775F" w:rsidP="008D7800">
            <w:pPr>
              <w:rPr>
                <w:b/>
                <w:bCs/>
                <w:color w:val="000000"/>
                <w:sz w:val="20"/>
                <w:szCs w:val="20"/>
              </w:rPr>
            </w:pPr>
          </w:p>
        </w:tc>
        <w:tc>
          <w:tcPr>
            <w:tcW w:w="1651" w:type="dxa"/>
            <w:vMerge/>
            <w:vAlign w:val="center"/>
          </w:tcPr>
          <w:p w:rsidR="00B5775F" w:rsidRPr="00EB5DD8" w:rsidRDefault="00B5775F" w:rsidP="008D7800">
            <w:pPr>
              <w:jc w:val="center"/>
              <w:rPr>
                <w:color w:val="000000"/>
                <w:sz w:val="20"/>
                <w:szCs w:val="20"/>
              </w:rPr>
            </w:pPr>
          </w:p>
        </w:tc>
        <w:tc>
          <w:tcPr>
            <w:tcW w:w="1651" w:type="dxa"/>
            <w:vMerge/>
            <w:shd w:val="clear" w:color="000000" w:fill="D2EAF1"/>
            <w:noWrap/>
            <w:vAlign w:val="center"/>
          </w:tcPr>
          <w:p w:rsidR="00B5775F" w:rsidRPr="00EB5DD8" w:rsidRDefault="00B5775F" w:rsidP="008D7800">
            <w:pPr>
              <w:jc w:val="center"/>
              <w:rPr>
                <w:color w:val="000000"/>
                <w:sz w:val="20"/>
                <w:szCs w:val="20"/>
              </w:rPr>
            </w:pPr>
          </w:p>
        </w:tc>
        <w:tc>
          <w:tcPr>
            <w:tcW w:w="1651" w:type="dxa"/>
            <w:shd w:val="clear" w:color="auto" w:fill="auto"/>
            <w:noWrap/>
            <w:vAlign w:val="center"/>
          </w:tcPr>
          <w:p w:rsidR="00B5775F" w:rsidRPr="00EB5DD8" w:rsidRDefault="00B5775F" w:rsidP="008D7800">
            <w:pPr>
              <w:jc w:val="center"/>
              <w:rPr>
                <w:color w:val="000000"/>
                <w:sz w:val="20"/>
                <w:szCs w:val="20"/>
              </w:rPr>
            </w:pPr>
            <w:r>
              <w:rPr>
                <w:color w:val="000000"/>
                <w:sz w:val="20"/>
                <w:szCs w:val="20"/>
              </w:rPr>
              <w:t>9</w:t>
            </w:r>
          </w:p>
        </w:tc>
        <w:tc>
          <w:tcPr>
            <w:tcW w:w="1651"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4</w:t>
            </w:r>
          </w:p>
        </w:tc>
        <w:tc>
          <w:tcPr>
            <w:tcW w:w="1414"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Telephone verification</w:t>
            </w:r>
          </w:p>
        </w:tc>
      </w:tr>
    </w:tbl>
    <w:p w:rsidR="00B5775F" w:rsidRPr="00EB5DD8" w:rsidRDefault="00B5775F" w:rsidP="00B5775F"/>
    <w:p w:rsidR="00B5775F" w:rsidRPr="00EB5DD8" w:rsidRDefault="00B5775F" w:rsidP="00B5775F">
      <w:r w:rsidRPr="00EB5DD8">
        <w:t>The sample design for the lighting measures targeted +/</w:t>
      </w:r>
      <w:r>
        <w:t>–</w:t>
      </w:r>
      <w:r w:rsidRPr="00EB5DD8">
        <w:t xml:space="preserve">10% precision at the 90% confidence level, and stratified ratio estimation was used to estimate savings for the program. The detailed sampling strategy for lighting projects is shown in </w:t>
      </w:r>
      <w:r w:rsidRPr="00EB5DD8">
        <w:fldChar w:fldCharType="begin"/>
      </w:r>
      <w:r w:rsidRPr="00EB5DD8">
        <w:instrText xml:space="preserve"> REF _Ref440269271 \h  \* MERGEFORMAT </w:instrText>
      </w:r>
      <w:r w:rsidRPr="00EB5DD8">
        <w:fldChar w:fldCharType="separate"/>
      </w:r>
      <w:r w:rsidR="008D7800" w:rsidRPr="00EB5DD8">
        <w:t>Table A-</w:t>
      </w:r>
      <w:r w:rsidR="008D7800">
        <w:t>149</w:t>
      </w:r>
      <w:r w:rsidRPr="00EB5DD8">
        <w:fldChar w:fldCharType="end"/>
      </w:r>
      <w:r w:rsidRPr="00EB5DD8">
        <w:t>.</w:t>
      </w:r>
    </w:p>
    <w:p w:rsidR="00B5775F" w:rsidRPr="00EB5DD8" w:rsidRDefault="00B5775F" w:rsidP="00B5775F"/>
    <w:p w:rsidR="004B4B06" w:rsidRDefault="004B4B06" w:rsidP="00B5775F">
      <w:pPr>
        <w:pStyle w:val="Caption"/>
      </w:pPr>
      <w:bookmarkStart w:id="1340" w:name="_Ref440269271"/>
      <w:bookmarkStart w:id="1341" w:name="_Toc410199405"/>
      <w:bookmarkStart w:id="1342" w:name="_Toc431462387"/>
      <w:bookmarkStart w:id="1343" w:name="_Toc444269916"/>
      <w:bookmarkStart w:id="1344" w:name="_Toc472472563"/>
    </w:p>
    <w:p w:rsidR="004B4B06" w:rsidRDefault="004B4B06" w:rsidP="00B5775F">
      <w:pPr>
        <w:pStyle w:val="Caption"/>
      </w:pPr>
    </w:p>
    <w:p w:rsidR="00B5775F" w:rsidRPr="00EB5DD8" w:rsidRDefault="00B5775F" w:rsidP="00B5775F">
      <w:pPr>
        <w:pStyle w:val="Caption"/>
        <w:rPr>
          <w:bCs w:val="0"/>
        </w:rPr>
      </w:pPr>
      <w:bookmarkStart w:id="1345" w:name="_Toc476842264"/>
      <w:r w:rsidRPr="00EB5DD8">
        <w:t>Table A-</w:t>
      </w:r>
      <w:fldSimple w:instr=" SEQ Table_A- \* ARABIC ">
        <w:r w:rsidR="00C301D0">
          <w:rPr>
            <w:noProof/>
          </w:rPr>
          <w:t>149</w:t>
        </w:r>
      </w:fldSimple>
      <w:bookmarkEnd w:id="1340"/>
      <w:r w:rsidRPr="00EB5DD8">
        <w:t>:</w:t>
      </w:r>
      <w:r w:rsidRPr="00EB5DD8">
        <w:rPr>
          <w:bCs w:val="0"/>
        </w:rPr>
        <w:t xml:space="preserve"> PPL’s PY7 Sampling Strategy – Prescriptive Equipment Program, Lighting</w:t>
      </w:r>
      <w:bookmarkEnd w:id="1341"/>
      <w:bookmarkEnd w:id="1342"/>
      <w:bookmarkEnd w:id="1343"/>
      <w:bookmarkEnd w:id="1344"/>
      <w:bookmarkEnd w:id="1345"/>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628"/>
        <w:gridCol w:w="1933"/>
        <w:gridCol w:w="1933"/>
        <w:gridCol w:w="1933"/>
        <w:gridCol w:w="1933"/>
      </w:tblGrid>
      <w:tr w:rsidR="00A874AC" w:rsidRPr="00EB5DD8" w:rsidTr="004B4B06">
        <w:trPr>
          <w:trHeight w:val="765"/>
        </w:trPr>
        <w:tc>
          <w:tcPr>
            <w:tcW w:w="1628" w:type="dxa"/>
            <w:shd w:val="clear" w:color="000000" w:fill="448A99"/>
            <w:vAlign w:val="bottom"/>
            <w:hideMark/>
          </w:tcPr>
          <w:p w:rsidR="00B5775F" w:rsidRPr="00EB5DD8" w:rsidRDefault="00B5775F" w:rsidP="008D7800">
            <w:pPr>
              <w:rPr>
                <w:b/>
                <w:bCs/>
                <w:color w:val="FFFFFF"/>
                <w:sz w:val="20"/>
                <w:szCs w:val="20"/>
              </w:rPr>
            </w:pPr>
            <w:r w:rsidRPr="00EB5DD8">
              <w:rPr>
                <w:b/>
                <w:bCs/>
                <w:color w:val="FFFFFF"/>
                <w:sz w:val="20"/>
                <w:szCs w:val="20"/>
              </w:rPr>
              <w:t>Substratum</w:t>
            </w:r>
          </w:p>
        </w:tc>
        <w:tc>
          <w:tcPr>
            <w:tcW w:w="1933"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Population</w:t>
            </w:r>
          </w:p>
        </w:tc>
        <w:tc>
          <w:tcPr>
            <w:tcW w:w="1933"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Target Levels of Confidence &amp; Precision</w:t>
            </w:r>
          </w:p>
        </w:tc>
        <w:tc>
          <w:tcPr>
            <w:tcW w:w="1933"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Target Sample Size</w:t>
            </w:r>
          </w:p>
        </w:tc>
        <w:tc>
          <w:tcPr>
            <w:tcW w:w="1933"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Achieved Sample Size</w:t>
            </w:r>
          </w:p>
        </w:tc>
      </w:tr>
      <w:tr w:rsidR="00A874AC" w:rsidRPr="00EB5DD8" w:rsidTr="004B4B06">
        <w:trPr>
          <w:trHeight w:val="360"/>
        </w:trPr>
        <w:tc>
          <w:tcPr>
            <w:tcW w:w="1628" w:type="dxa"/>
            <w:shd w:val="clear" w:color="000000" w:fill="D2EAF1"/>
            <w:noWrap/>
            <w:vAlign w:val="center"/>
          </w:tcPr>
          <w:p w:rsidR="00B5775F" w:rsidRPr="00EB5DD8" w:rsidRDefault="00B5775F" w:rsidP="008D7800">
            <w:pPr>
              <w:rPr>
                <w:color w:val="000000"/>
                <w:sz w:val="20"/>
                <w:szCs w:val="20"/>
              </w:rPr>
            </w:pPr>
            <w:r>
              <w:rPr>
                <w:color w:val="000000"/>
                <w:sz w:val="20"/>
                <w:szCs w:val="20"/>
              </w:rPr>
              <w:t>S</w:t>
            </w:r>
            <w:r w:rsidRPr="00EB5DD8">
              <w:rPr>
                <w:color w:val="000000"/>
                <w:sz w:val="20"/>
                <w:szCs w:val="20"/>
              </w:rPr>
              <w:t>mall</w:t>
            </w:r>
          </w:p>
        </w:tc>
        <w:tc>
          <w:tcPr>
            <w:tcW w:w="1933"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1,080</w:t>
            </w:r>
          </w:p>
        </w:tc>
        <w:tc>
          <w:tcPr>
            <w:tcW w:w="1933"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N/A</w:t>
            </w:r>
          </w:p>
        </w:tc>
        <w:tc>
          <w:tcPr>
            <w:tcW w:w="1933"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N/A</w:t>
            </w:r>
          </w:p>
        </w:tc>
        <w:tc>
          <w:tcPr>
            <w:tcW w:w="1933"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10</w:t>
            </w:r>
          </w:p>
        </w:tc>
      </w:tr>
      <w:tr w:rsidR="00B5775F" w:rsidRPr="00EB5DD8" w:rsidTr="00FD03DC">
        <w:trPr>
          <w:trHeight w:val="360"/>
        </w:trPr>
        <w:tc>
          <w:tcPr>
            <w:tcW w:w="1628" w:type="dxa"/>
            <w:shd w:val="clear" w:color="auto" w:fill="auto"/>
            <w:noWrap/>
            <w:vAlign w:val="center"/>
          </w:tcPr>
          <w:p w:rsidR="00B5775F" w:rsidRPr="00EB5DD8" w:rsidRDefault="00B5775F" w:rsidP="008D7800">
            <w:pPr>
              <w:rPr>
                <w:color w:val="000000"/>
                <w:sz w:val="20"/>
                <w:szCs w:val="20"/>
              </w:rPr>
            </w:pPr>
            <w:r>
              <w:rPr>
                <w:color w:val="000000"/>
                <w:sz w:val="20"/>
                <w:szCs w:val="20"/>
              </w:rPr>
              <w:t>Small-m</w:t>
            </w:r>
            <w:r w:rsidRPr="00EB5DD8">
              <w:rPr>
                <w:color w:val="000000"/>
                <w:sz w:val="20"/>
                <w:szCs w:val="20"/>
              </w:rPr>
              <w:t>edium</w:t>
            </w:r>
          </w:p>
        </w:tc>
        <w:tc>
          <w:tcPr>
            <w:tcW w:w="1933"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199</w:t>
            </w:r>
          </w:p>
        </w:tc>
        <w:tc>
          <w:tcPr>
            <w:tcW w:w="1933"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N/A</w:t>
            </w:r>
          </w:p>
        </w:tc>
        <w:tc>
          <w:tcPr>
            <w:tcW w:w="1933"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N/A</w:t>
            </w:r>
          </w:p>
        </w:tc>
        <w:tc>
          <w:tcPr>
            <w:tcW w:w="1933"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7</w:t>
            </w:r>
          </w:p>
        </w:tc>
      </w:tr>
      <w:tr w:rsidR="00A874AC" w:rsidRPr="00EB5DD8" w:rsidTr="004B4B06">
        <w:trPr>
          <w:trHeight w:val="360"/>
        </w:trPr>
        <w:tc>
          <w:tcPr>
            <w:tcW w:w="1628" w:type="dxa"/>
            <w:shd w:val="clear" w:color="000000" w:fill="D2EAF1"/>
            <w:noWrap/>
            <w:vAlign w:val="center"/>
          </w:tcPr>
          <w:p w:rsidR="00B5775F" w:rsidRPr="00EB5DD8" w:rsidRDefault="00B5775F" w:rsidP="008D7800">
            <w:pPr>
              <w:rPr>
                <w:color w:val="000000"/>
                <w:sz w:val="20"/>
                <w:szCs w:val="20"/>
              </w:rPr>
            </w:pPr>
            <w:r>
              <w:rPr>
                <w:color w:val="000000"/>
                <w:sz w:val="20"/>
                <w:szCs w:val="20"/>
              </w:rPr>
              <w:t>Medium-s</w:t>
            </w:r>
            <w:r w:rsidRPr="00EB5DD8">
              <w:rPr>
                <w:color w:val="000000"/>
                <w:sz w:val="20"/>
                <w:szCs w:val="20"/>
              </w:rPr>
              <w:t>mall</w:t>
            </w:r>
          </w:p>
        </w:tc>
        <w:tc>
          <w:tcPr>
            <w:tcW w:w="1933"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61</w:t>
            </w:r>
          </w:p>
        </w:tc>
        <w:tc>
          <w:tcPr>
            <w:tcW w:w="1933"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N/A</w:t>
            </w:r>
          </w:p>
        </w:tc>
        <w:tc>
          <w:tcPr>
            <w:tcW w:w="1933"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N/A</w:t>
            </w:r>
          </w:p>
        </w:tc>
        <w:tc>
          <w:tcPr>
            <w:tcW w:w="1933"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6</w:t>
            </w:r>
          </w:p>
        </w:tc>
      </w:tr>
      <w:tr w:rsidR="00B5775F" w:rsidRPr="00EB5DD8" w:rsidTr="00FD03DC">
        <w:trPr>
          <w:trHeight w:val="360"/>
        </w:trPr>
        <w:tc>
          <w:tcPr>
            <w:tcW w:w="1628" w:type="dxa"/>
            <w:shd w:val="clear" w:color="auto" w:fill="auto"/>
            <w:noWrap/>
            <w:vAlign w:val="center"/>
          </w:tcPr>
          <w:p w:rsidR="00B5775F" w:rsidRPr="00EB5DD8" w:rsidRDefault="00B5775F" w:rsidP="008D7800">
            <w:pPr>
              <w:rPr>
                <w:color w:val="000000"/>
                <w:sz w:val="20"/>
                <w:szCs w:val="20"/>
              </w:rPr>
            </w:pPr>
            <w:r w:rsidRPr="00EB5DD8">
              <w:rPr>
                <w:color w:val="000000"/>
                <w:sz w:val="20"/>
                <w:szCs w:val="20"/>
              </w:rPr>
              <w:t>Large</w:t>
            </w:r>
          </w:p>
        </w:tc>
        <w:tc>
          <w:tcPr>
            <w:tcW w:w="1933"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25</w:t>
            </w:r>
          </w:p>
        </w:tc>
        <w:tc>
          <w:tcPr>
            <w:tcW w:w="1933"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N/A</w:t>
            </w:r>
          </w:p>
        </w:tc>
        <w:tc>
          <w:tcPr>
            <w:tcW w:w="1933"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N/A</w:t>
            </w:r>
          </w:p>
        </w:tc>
        <w:tc>
          <w:tcPr>
            <w:tcW w:w="1933"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12</w:t>
            </w:r>
          </w:p>
        </w:tc>
      </w:tr>
      <w:tr w:rsidR="00A874AC" w:rsidRPr="00EB5DD8" w:rsidTr="004B4B06">
        <w:trPr>
          <w:trHeight w:val="360"/>
        </w:trPr>
        <w:tc>
          <w:tcPr>
            <w:tcW w:w="1628" w:type="dxa"/>
            <w:shd w:val="clear" w:color="000000" w:fill="D2EAF1"/>
            <w:noWrap/>
            <w:vAlign w:val="center"/>
          </w:tcPr>
          <w:p w:rsidR="00B5775F" w:rsidRPr="00EB5DD8" w:rsidRDefault="00B5775F" w:rsidP="008D7800">
            <w:pPr>
              <w:rPr>
                <w:b/>
                <w:bCs/>
                <w:color w:val="000000"/>
                <w:sz w:val="20"/>
                <w:szCs w:val="20"/>
              </w:rPr>
            </w:pPr>
            <w:r w:rsidRPr="00EB5DD8">
              <w:rPr>
                <w:b/>
                <w:bCs/>
                <w:color w:val="000000"/>
                <w:sz w:val="20"/>
                <w:szCs w:val="20"/>
              </w:rPr>
              <w:t>Total</w:t>
            </w:r>
          </w:p>
        </w:tc>
        <w:tc>
          <w:tcPr>
            <w:tcW w:w="1933" w:type="dxa"/>
            <w:shd w:val="clear" w:color="000000" w:fill="D2EAF1"/>
            <w:noWrap/>
            <w:vAlign w:val="center"/>
          </w:tcPr>
          <w:p w:rsidR="00B5775F" w:rsidRPr="00EB5DD8" w:rsidRDefault="00B5775F" w:rsidP="008D7800">
            <w:pPr>
              <w:jc w:val="center"/>
              <w:rPr>
                <w:b/>
                <w:bCs/>
                <w:color w:val="000000"/>
                <w:sz w:val="20"/>
                <w:szCs w:val="20"/>
              </w:rPr>
            </w:pPr>
            <w:r w:rsidRPr="00EB5DD8">
              <w:rPr>
                <w:b/>
                <w:sz w:val="20"/>
                <w:szCs w:val="20"/>
              </w:rPr>
              <w:t>1,365</w:t>
            </w:r>
          </w:p>
        </w:tc>
        <w:tc>
          <w:tcPr>
            <w:tcW w:w="1933" w:type="dxa"/>
            <w:shd w:val="clear" w:color="000000" w:fill="D2EAF1"/>
            <w:noWrap/>
            <w:vAlign w:val="center"/>
          </w:tcPr>
          <w:p w:rsidR="00B5775F" w:rsidRPr="00EB5DD8" w:rsidRDefault="00B5775F" w:rsidP="008D7800">
            <w:pPr>
              <w:jc w:val="center"/>
              <w:rPr>
                <w:b/>
                <w:bCs/>
                <w:color w:val="000000"/>
                <w:sz w:val="20"/>
                <w:szCs w:val="20"/>
              </w:rPr>
            </w:pPr>
            <w:r>
              <w:rPr>
                <w:b/>
                <w:bCs/>
                <w:color w:val="000000"/>
                <w:sz w:val="20"/>
                <w:szCs w:val="20"/>
              </w:rPr>
              <w:t>90%/</w:t>
            </w:r>
            <w:r w:rsidRPr="00EB5DD8">
              <w:rPr>
                <w:b/>
                <w:bCs/>
                <w:color w:val="000000"/>
                <w:sz w:val="20"/>
                <w:szCs w:val="20"/>
              </w:rPr>
              <w:t>10%</w:t>
            </w:r>
          </w:p>
        </w:tc>
        <w:tc>
          <w:tcPr>
            <w:tcW w:w="1933" w:type="dxa"/>
            <w:shd w:val="clear" w:color="000000" w:fill="D2EAF1"/>
            <w:noWrap/>
            <w:vAlign w:val="center"/>
          </w:tcPr>
          <w:p w:rsidR="00B5775F" w:rsidRPr="00EB5DD8" w:rsidRDefault="00B5775F" w:rsidP="008D7800">
            <w:pPr>
              <w:jc w:val="center"/>
              <w:rPr>
                <w:b/>
                <w:bCs/>
                <w:color w:val="000000"/>
                <w:sz w:val="20"/>
                <w:szCs w:val="20"/>
              </w:rPr>
            </w:pPr>
            <w:r w:rsidRPr="00EB5DD8">
              <w:rPr>
                <w:b/>
                <w:bCs/>
                <w:color w:val="000000"/>
                <w:sz w:val="20"/>
                <w:szCs w:val="20"/>
              </w:rPr>
              <w:t>N/A</w:t>
            </w:r>
          </w:p>
        </w:tc>
        <w:tc>
          <w:tcPr>
            <w:tcW w:w="1933" w:type="dxa"/>
            <w:shd w:val="clear" w:color="000000" w:fill="D2EAF1"/>
            <w:noWrap/>
            <w:vAlign w:val="center"/>
          </w:tcPr>
          <w:p w:rsidR="00B5775F" w:rsidRPr="00EB5DD8" w:rsidRDefault="00B5775F" w:rsidP="008D7800">
            <w:pPr>
              <w:jc w:val="center"/>
              <w:rPr>
                <w:b/>
                <w:bCs/>
                <w:color w:val="000000"/>
                <w:sz w:val="20"/>
                <w:szCs w:val="20"/>
              </w:rPr>
            </w:pPr>
            <w:r w:rsidRPr="00EB5DD8">
              <w:rPr>
                <w:b/>
                <w:sz w:val="20"/>
                <w:szCs w:val="20"/>
              </w:rPr>
              <w:t>35</w:t>
            </w:r>
          </w:p>
        </w:tc>
      </w:tr>
    </w:tbl>
    <w:p w:rsidR="00B5775F" w:rsidRPr="00EB5DD8" w:rsidRDefault="00B5775F" w:rsidP="00B5775F"/>
    <w:p w:rsidR="00B5775F" w:rsidRPr="00EB5DD8" w:rsidRDefault="00B5775F" w:rsidP="00B5775F">
      <w:r w:rsidRPr="00EB5DD8">
        <w:t xml:space="preserve">The achieved precision values for both energy and peak demand for the Prescriptive Equipment Program are presented in </w:t>
      </w:r>
      <w:r w:rsidRPr="00EB5DD8">
        <w:fldChar w:fldCharType="begin"/>
      </w:r>
      <w:r w:rsidRPr="00EB5DD8">
        <w:instrText xml:space="preserve"> REF _Ref440269312 \h  \* MERGEFORMAT </w:instrText>
      </w:r>
      <w:r w:rsidRPr="00EB5DD8">
        <w:fldChar w:fldCharType="separate"/>
      </w:r>
      <w:r w:rsidR="00A874AC" w:rsidRPr="00EB5DD8">
        <w:t>Table A-</w:t>
      </w:r>
      <w:r w:rsidR="00A874AC">
        <w:t>150</w:t>
      </w:r>
      <w:r w:rsidRPr="00EB5DD8">
        <w:fldChar w:fldCharType="end"/>
      </w:r>
      <w:r w:rsidRPr="00EB5DD8">
        <w:t>. The table shows that PPL exceeded the requir</w:t>
      </w:r>
      <w:r>
        <w:t>ement of 85%/15% confidence/</w:t>
      </w:r>
      <w:r w:rsidRPr="00EB5DD8">
        <w:t xml:space="preserve">precision for this program. The GNI sector contributed gross savings of 24% of the total lighting savings, so Cadmus reported the relative precision values at 85% confidence level for both energy and peak demand for the GNI sector in this program separately in the PY7 annual report, in accordance with the Evaluation Framework. The observed coefficients of variation and relative precisions are provided in </w:t>
      </w:r>
      <w:r w:rsidRPr="00EB5DD8">
        <w:fldChar w:fldCharType="begin"/>
      </w:r>
      <w:r w:rsidRPr="00EB5DD8">
        <w:instrText xml:space="preserve"> REF _Ref440269461 \h  \* MERGEFORMAT </w:instrText>
      </w:r>
      <w:r w:rsidRPr="00EB5DD8">
        <w:fldChar w:fldCharType="separate"/>
      </w:r>
      <w:r w:rsidR="00DD797D" w:rsidRPr="00EB5DD8">
        <w:t>Table A-</w:t>
      </w:r>
      <w:r w:rsidR="00DD797D">
        <w:t>151</w:t>
      </w:r>
      <w:r w:rsidRPr="00EB5DD8">
        <w:fldChar w:fldCharType="end"/>
      </w:r>
      <w:r w:rsidRPr="00EB5DD8">
        <w:t>.</w:t>
      </w:r>
    </w:p>
    <w:p w:rsidR="00B5775F" w:rsidRPr="00EB5DD8" w:rsidRDefault="00B5775F" w:rsidP="00B5775F"/>
    <w:p w:rsidR="00B5775F" w:rsidRPr="00EB5DD8" w:rsidRDefault="00B5775F" w:rsidP="00B5775F">
      <w:pPr>
        <w:pStyle w:val="Caption"/>
        <w:rPr>
          <w:bCs w:val="0"/>
        </w:rPr>
      </w:pPr>
      <w:bookmarkStart w:id="1346" w:name="_Ref440269312"/>
      <w:bookmarkStart w:id="1347" w:name="_Toc410199406"/>
      <w:bookmarkStart w:id="1348" w:name="_Toc431462388"/>
      <w:bookmarkStart w:id="1349" w:name="_Toc444269917"/>
      <w:bookmarkStart w:id="1350" w:name="_Toc472472564"/>
      <w:bookmarkStart w:id="1351" w:name="_Toc476842265"/>
      <w:r w:rsidRPr="00EB5DD8">
        <w:t>Table A-</w:t>
      </w:r>
      <w:fldSimple w:instr=" SEQ Table_A- \* ARABIC ">
        <w:r w:rsidR="00C301D0">
          <w:rPr>
            <w:noProof/>
          </w:rPr>
          <w:t>150</w:t>
        </w:r>
      </w:fldSimple>
      <w:bookmarkEnd w:id="1346"/>
      <w:r w:rsidRPr="00EB5DD8">
        <w:t>:</w:t>
      </w:r>
      <w:r w:rsidRPr="00EB5DD8">
        <w:rPr>
          <w:bCs w:val="0"/>
        </w:rPr>
        <w:t xml:space="preserve"> Observed Coefficients of Variation and Relative Precisions – PPL’s Prescriptive Equipment Program</w:t>
      </w:r>
      <w:bookmarkEnd w:id="1347"/>
      <w:bookmarkEnd w:id="1348"/>
      <w:bookmarkEnd w:id="1349"/>
      <w:bookmarkEnd w:id="1350"/>
      <w:bookmarkEnd w:id="1351"/>
    </w:p>
    <w:tbl>
      <w:tblPr>
        <w:tblW w:w="9284"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558"/>
        <w:gridCol w:w="2212"/>
        <w:gridCol w:w="1672"/>
        <w:gridCol w:w="2070"/>
        <w:gridCol w:w="1772"/>
      </w:tblGrid>
      <w:tr w:rsidR="00A874AC" w:rsidRPr="00EB5DD8" w:rsidTr="004B4B06">
        <w:trPr>
          <w:trHeight w:val="970"/>
          <w:tblHeader/>
        </w:trPr>
        <w:tc>
          <w:tcPr>
            <w:tcW w:w="1558" w:type="dxa"/>
            <w:shd w:val="clear" w:color="000000" w:fill="448A99"/>
            <w:vAlign w:val="bottom"/>
            <w:hideMark/>
          </w:tcPr>
          <w:p w:rsidR="00B5775F" w:rsidRPr="00EB5DD8" w:rsidRDefault="00B5775F" w:rsidP="008D7800">
            <w:pPr>
              <w:rPr>
                <w:b/>
                <w:bCs/>
                <w:color w:val="FFFFFF"/>
                <w:sz w:val="20"/>
                <w:szCs w:val="20"/>
              </w:rPr>
            </w:pPr>
            <w:r w:rsidRPr="00EB5DD8">
              <w:rPr>
                <w:b/>
                <w:bCs/>
                <w:color w:val="FFFFFF"/>
                <w:sz w:val="20"/>
                <w:szCs w:val="20"/>
              </w:rPr>
              <w:t>Stratum</w:t>
            </w:r>
          </w:p>
        </w:tc>
        <w:tc>
          <w:tcPr>
            <w:tcW w:w="2212"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Observed Coefficient of Variation (C</w:t>
            </w:r>
            <w:r w:rsidRPr="00EB5DD8">
              <w:rPr>
                <w:b/>
                <w:bCs/>
                <w:color w:val="FFFFFF"/>
                <w:sz w:val="20"/>
                <w:szCs w:val="20"/>
                <w:vertAlign w:val="subscript"/>
              </w:rPr>
              <w:t>v</w:t>
            </w:r>
            <w:r w:rsidRPr="00EB5DD8">
              <w:rPr>
                <w:b/>
                <w:bCs/>
                <w:color w:val="FFFFFF"/>
                <w:sz w:val="20"/>
                <w:szCs w:val="20"/>
              </w:rPr>
              <w:t>) or Proportion in Sample Design for Energy</w:t>
            </w:r>
          </w:p>
        </w:tc>
        <w:tc>
          <w:tcPr>
            <w:tcW w:w="1672"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Relative Precision at 85% C.L. for Energy</w:t>
            </w:r>
          </w:p>
        </w:tc>
        <w:tc>
          <w:tcPr>
            <w:tcW w:w="2070"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Observed Coefficient of Variation (C</w:t>
            </w:r>
            <w:r w:rsidRPr="00EB5DD8">
              <w:rPr>
                <w:b/>
                <w:bCs/>
                <w:color w:val="FFFFFF"/>
                <w:sz w:val="20"/>
                <w:szCs w:val="20"/>
                <w:vertAlign w:val="subscript"/>
              </w:rPr>
              <w:t>v</w:t>
            </w:r>
            <w:r w:rsidRPr="00EB5DD8">
              <w:rPr>
                <w:b/>
                <w:bCs/>
                <w:color w:val="FFFFFF"/>
                <w:sz w:val="20"/>
                <w:szCs w:val="20"/>
              </w:rPr>
              <w:t>) or Proportion in Sample Design for Demand</w:t>
            </w:r>
          </w:p>
        </w:tc>
        <w:tc>
          <w:tcPr>
            <w:tcW w:w="1772"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Relative Precision at 85% C.L. for Demand</w:t>
            </w:r>
          </w:p>
        </w:tc>
      </w:tr>
      <w:tr w:rsidR="00A874AC" w:rsidRPr="00EB5DD8" w:rsidTr="004B4B06">
        <w:trPr>
          <w:trHeight w:val="346"/>
        </w:trPr>
        <w:tc>
          <w:tcPr>
            <w:tcW w:w="1558" w:type="dxa"/>
            <w:shd w:val="clear" w:color="000000" w:fill="D2EAF1"/>
            <w:noWrap/>
            <w:vAlign w:val="center"/>
          </w:tcPr>
          <w:p w:rsidR="00B5775F" w:rsidRPr="00EB5DD8" w:rsidRDefault="00B5775F" w:rsidP="008D7800">
            <w:pPr>
              <w:rPr>
                <w:bCs/>
                <w:color w:val="000000"/>
                <w:sz w:val="20"/>
                <w:szCs w:val="20"/>
              </w:rPr>
            </w:pPr>
            <w:r w:rsidRPr="00EB5DD8">
              <w:rPr>
                <w:bCs/>
                <w:color w:val="000000"/>
                <w:sz w:val="20"/>
                <w:szCs w:val="20"/>
              </w:rPr>
              <w:t>Lighting</w:t>
            </w:r>
          </w:p>
        </w:tc>
        <w:tc>
          <w:tcPr>
            <w:tcW w:w="2212"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0.01</w:t>
            </w:r>
          </w:p>
        </w:tc>
        <w:tc>
          <w:tcPr>
            <w:tcW w:w="1672"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1.80%</w:t>
            </w:r>
          </w:p>
        </w:tc>
        <w:tc>
          <w:tcPr>
            <w:tcW w:w="2070"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0.09</w:t>
            </w:r>
          </w:p>
        </w:tc>
        <w:tc>
          <w:tcPr>
            <w:tcW w:w="1772" w:type="dxa"/>
            <w:shd w:val="clear" w:color="000000" w:fill="D2EAF1"/>
            <w:noWrap/>
            <w:vAlign w:val="center"/>
          </w:tcPr>
          <w:p w:rsidR="00B5775F" w:rsidRPr="00EB5DD8" w:rsidRDefault="00B5775F" w:rsidP="008D7800">
            <w:pPr>
              <w:jc w:val="center"/>
              <w:rPr>
                <w:color w:val="000000"/>
                <w:sz w:val="20"/>
                <w:szCs w:val="20"/>
              </w:rPr>
            </w:pPr>
            <w:r w:rsidRPr="00EB5DD8">
              <w:rPr>
                <w:sz w:val="20"/>
                <w:szCs w:val="20"/>
              </w:rPr>
              <w:t>3%</w:t>
            </w:r>
          </w:p>
        </w:tc>
      </w:tr>
      <w:tr w:rsidR="00B5775F" w:rsidRPr="00EB5DD8" w:rsidTr="00FD03DC">
        <w:trPr>
          <w:trHeight w:val="346"/>
        </w:trPr>
        <w:tc>
          <w:tcPr>
            <w:tcW w:w="1558" w:type="dxa"/>
            <w:shd w:val="clear" w:color="auto" w:fill="auto"/>
            <w:noWrap/>
            <w:vAlign w:val="center"/>
          </w:tcPr>
          <w:p w:rsidR="00B5775F" w:rsidRPr="00EB5DD8" w:rsidRDefault="00B5775F" w:rsidP="008D7800">
            <w:pPr>
              <w:rPr>
                <w:bCs/>
                <w:color w:val="000000"/>
                <w:sz w:val="20"/>
                <w:szCs w:val="20"/>
              </w:rPr>
            </w:pPr>
            <w:r w:rsidRPr="00EB5DD8">
              <w:rPr>
                <w:bCs/>
                <w:color w:val="000000"/>
                <w:sz w:val="20"/>
                <w:szCs w:val="20"/>
              </w:rPr>
              <w:t>Equipment</w:t>
            </w:r>
          </w:p>
        </w:tc>
        <w:tc>
          <w:tcPr>
            <w:tcW w:w="2212"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0.07</w:t>
            </w:r>
          </w:p>
        </w:tc>
        <w:tc>
          <w:tcPr>
            <w:tcW w:w="1672"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2.94%</w:t>
            </w:r>
          </w:p>
        </w:tc>
        <w:tc>
          <w:tcPr>
            <w:tcW w:w="2070"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0.003</w:t>
            </w:r>
          </w:p>
        </w:tc>
        <w:tc>
          <w:tcPr>
            <w:tcW w:w="1772" w:type="dxa"/>
            <w:shd w:val="clear" w:color="auto" w:fill="auto"/>
            <w:noWrap/>
            <w:vAlign w:val="center"/>
          </w:tcPr>
          <w:p w:rsidR="00B5775F" w:rsidRPr="00EB5DD8" w:rsidRDefault="00B5775F" w:rsidP="008D7800">
            <w:pPr>
              <w:jc w:val="center"/>
              <w:rPr>
                <w:color w:val="000000"/>
                <w:sz w:val="20"/>
                <w:szCs w:val="20"/>
              </w:rPr>
            </w:pPr>
            <w:r w:rsidRPr="00EB5DD8">
              <w:rPr>
                <w:sz w:val="20"/>
                <w:szCs w:val="20"/>
              </w:rPr>
              <w:t>4%</w:t>
            </w:r>
          </w:p>
        </w:tc>
      </w:tr>
      <w:tr w:rsidR="00A874AC" w:rsidRPr="00EB5DD8" w:rsidTr="004B4B06">
        <w:trPr>
          <w:trHeight w:val="346"/>
        </w:trPr>
        <w:tc>
          <w:tcPr>
            <w:tcW w:w="1558" w:type="dxa"/>
            <w:shd w:val="clear" w:color="000000" w:fill="D2EAF1"/>
            <w:noWrap/>
            <w:vAlign w:val="center"/>
          </w:tcPr>
          <w:p w:rsidR="00B5775F" w:rsidRPr="00EB5DD8" w:rsidRDefault="00B5775F" w:rsidP="008D7800">
            <w:pPr>
              <w:rPr>
                <w:b/>
                <w:bCs/>
                <w:color w:val="000000"/>
                <w:sz w:val="20"/>
                <w:szCs w:val="20"/>
              </w:rPr>
            </w:pPr>
            <w:r w:rsidRPr="00EB5DD8">
              <w:rPr>
                <w:b/>
                <w:bCs/>
                <w:color w:val="000000"/>
                <w:sz w:val="20"/>
                <w:szCs w:val="20"/>
              </w:rPr>
              <w:t>Program Total</w:t>
            </w:r>
          </w:p>
        </w:tc>
        <w:tc>
          <w:tcPr>
            <w:tcW w:w="2212" w:type="dxa"/>
            <w:shd w:val="clear" w:color="000000" w:fill="D2EAF1"/>
            <w:noWrap/>
            <w:vAlign w:val="center"/>
          </w:tcPr>
          <w:p w:rsidR="00B5775F" w:rsidRPr="00EB5DD8" w:rsidRDefault="00B5775F" w:rsidP="008D7800">
            <w:pPr>
              <w:jc w:val="center"/>
              <w:rPr>
                <w:b/>
                <w:bCs/>
                <w:color w:val="000000"/>
                <w:sz w:val="20"/>
                <w:szCs w:val="20"/>
              </w:rPr>
            </w:pPr>
          </w:p>
        </w:tc>
        <w:tc>
          <w:tcPr>
            <w:tcW w:w="1672" w:type="dxa"/>
            <w:shd w:val="clear" w:color="000000" w:fill="D2EAF1"/>
            <w:noWrap/>
            <w:vAlign w:val="center"/>
          </w:tcPr>
          <w:p w:rsidR="00B5775F" w:rsidRPr="00F8655F" w:rsidRDefault="00B5775F" w:rsidP="008D7800">
            <w:pPr>
              <w:jc w:val="center"/>
              <w:rPr>
                <w:b/>
                <w:bCs/>
                <w:color w:val="000000"/>
                <w:sz w:val="20"/>
                <w:szCs w:val="20"/>
              </w:rPr>
            </w:pPr>
            <w:r w:rsidRPr="00F8655F">
              <w:rPr>
                <w:b/>
                <w:sz w:val="20"/>
                <w:szCs w:val="20"/>
              </w:rPr>
              <w:t>1.77%</w:t>
            </w:r>
          </w:p>
        </w:tc>
        <w:tc>
          <w:tcPr>
            <w:tcW w:w="2070" w:type="dxa"/>
            <w:shd w:val="clear" w:color="000000" w:fill="D2EAF1"/>
            <w:noWrap/>
            <w:vAlign w:val="center"/>
          </w:tcPr>
          <w:p w:rsidR="00B5775F" w:rsidRPr="002A1D12" w:rsidRDefault="00B5775F" w:rsidP="008D7800">
            <w:pPr>
              <w:jc w:val="center"/>
              <w:rPr>
                <w:b/>
                <w:bCs/>
                <w:color w:val="000000"/>
                <w:sz w:val="20"/>
                <w:szCs w:val="20"/>
              </w:rPr>
            </w:pPr>
          </w:p>
        </w:tc>
        <w:tc>
          <w:tcPr>
            <w:tcW w:w="1772" w:type="dxa"/>
            <w:shd w:val="clear" w:color="000000" w:fill="D2EAF1"/>
            <w:noWrap/>
            <w:vAlign w:val="center"/>
          </w:tcPr>
          <w:p w:rsidR="00B5775F" w:rsidRPr="00F8655F" w:rsidRDefault="00B5775F" w:rsidP="008D7800">
            <w:pPr>
              <w:jc w:val="center"/>
              <w:rPr>
                <w:b/>
                <w:bCs/>
                <w:color w:val="000000"/>
                <w:sz w:val="20"/>
                <w:szCs w:val="20"/>
              </w:rPr>
            </w:pPr>
            <w:r w:rsidRPr="00F8655F">
              <w:rPr>
                <w:b/>
                <w:sz w:val="20"/>
                <w:szCs w:val="20"/>
              </w:rPr>
              <w:t>2.80%</w:t>
            </w:r>
          </w:p>
        </w:tc>
      </w:tr>
    </w:tbl>
    <w:p w:rsidR="00B5775F" w:rsidRDefault="00B5775F" w:rsidP="00B5775F"/>
    <w:p w:rsidR="00B5775F" w:rsidRPr="00EB5DD8" w:rsidRDefault="00B5775F" w:rsidP="00B5775F">
      <w:pPr>
        <w:pStyle w:val="Caption"/>
        <w:rPr>
          <w:bCs w:val="0"/>
        </w:rPr>
      </w:pPr>
      <w:bookmarkStart w:id="1352" w:name="_Ref440269461"/>
      <w:bookmarkStart w:id="1353" w:name="_Toc410199407"/>
      <w:bookmarkStart w:id="1354" w:name="_Toc431462389"/>
      <w:bookmarkStart w:id="1355" w:name="_Toc444269918"/>
      <w:bookmarkStart w:id="1356" w:name="_Toc472472565"/>
      <w:bookmarkStart w:id="1357" w:name="_Toc476842266"/>
      <w:r w:rsidRPr="00EB5DD8">
        <w:t>Table A-</w:t>
      </w:r>
      <w:fldSimple w:instr=" SEQ Table_A- \* ARABIC ">
        <w:r w:rsidR="00C301D0">
          <w:rPr>
            <w:noProof/>
          </w:rPr>
          <w:t>151</w:t>
        </w:r>
      </w:fldSimple>
      <w:bookmarkEnd w:id="1352"/>
      <w:r w:rsidRPr="00EB5DD8">
        <w:t>:</w:t>
      </w:r>
      <w:r w:rsidRPr="00EB5DD8">
        <w:rPr>
          <w:bCs w:val="0"/>
        </w:rPr>
        <w:t xml:space="preserve"> Observed Coefficients of Variation and Relative Precisions – PPL’s Prescriptive Equipment Program </w:t>
      </w:r>
      <w:r>
        <w:rPr>
          <w:bCs w:val="0"/>
        </w:rPr>
        <w:t xml:space="preserve">– </w:t>
      </w:r>
      <w:r w:rsidRPr="00EB5DD8">
        <w:rPr>
          <w:bCs w:val="0"/>
        </w:rPr>
        <w:t>GNI Sector</w:t>
      </w:r>
      <w:bookmarkEnd w:id="1353"/>
      <w:bookmarkEnd w:id="1354"/>
      <w:bookmarkEnd w:id="1355"/>
      <w:bookmarkEnd w:id="1356"/>
      <w:bookmarkEnd w:id="1357"/>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410"/>
        <w:gridCol w:w="2017"/>
        <w:gridCol w:w="2017"/>
        <w:gridCol w:w="2017"/>
        <w:gridCol w:w="1899"/>
      </w:tblGrid>
      <w:tr w:rsidR="00A874AC" w:rsidRPr="00EB5DD8" w:rsidTr="004B4B06">
        <w:trPr>
          <w:trHeight w:val="1177"/>
        </w:trPr>
        <w:tc>
          <w:tcPr>
            <w:tcW w:w="1410" w:type="dxa"/>
            <w:shd w:val="clear" w:color="000000" w:fill="448A99"/>
            <w:vAlign w:val="bottom"/>
            <w:hideMark/>
          </w:tcPr>
          <w:p w:rsidR="00B5775F" w:rsidRPr="00EB5DD8" w:rsidRDefault="00B5775F" w:rsidP="008D7800">
            <w:pPr>
              <w:jc w:val="left"/>
              <w:rPr>
                <w:b/>
                <w:bCs/>
                <w:color w:val="FFFFFF"/>
                <w:sz w:val="20"/>
                <w:szCs w:val="20"/>
              </w:rPr>
            </w:pPr>
            <w:r w:rsidRPr="00EB5DD8">
              <w:rPr>
                <w:b/>
                <w:bCs/>
                <w:color w:val="FFFFFF"/>
                <w:sz w:val="20"/>
                <w:szCs w:val="20"/>
              </w:rPr>
              <w:t>Sector</w:t>
            </w:r>
          </w:p>
        </w:tc>
        <w:tc>
          <w:tcPr>
            <w:tcW w:w="2017"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Observed Coefficient of Variation (C</w:t>
            </w:r>
            <w:r w:rsidRPr="00EB5DD8">
              <w:rPr>
                <w:b/>
                <w:bCs/>
                <w:color w:val="FFFFFF"/>
                <w:sz w:val="20"/>
                <w:szCs w:val="20"/>
                <w:vertAlign w:val="subscript"/>
              </w:rPr>
              <w:t>v</w:t>
            </w:r>
            <w:r w:rsidRPr="00EB5DD8">
              <w:rPr>
                <w:b/>
                <w:bCs/>
                <w:color w:val="FFFFFF"/>
                <w:sz w:val="20"/>
                <w:szCs w:val="20"/>
              </w:rPr>
              <w:t>) or Proportion in Sample Design for Energy</w:t>
            </w:r>
          </w:p>
        </w:tc>
        <w:tc>
          <w:tcPr>
            <w:tcW w:w="2017"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Relative Precision at 85% C.L. for Energy</w:t>
            </w:r>
          </w:p>
        </w:tc>
        <w:tc>
          <w:tcPr>
            <w:tcW w:w="2017"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Observed Coefficient of Variation (C</w:t>
            </w:r>
            <w:r w:rsidRPr="00EB5DD8">
              <w:rPr>
                <w:b/>
                <w:bCs/>
                <w:color w:val="FFFFFF"/>
                <w:sz w:val="20"/>
                <w:szCs w:val="20"/>
                <w:vertAlign w:val="subscript"/>
              </w:rPr>
              <w:t>v</w:t>
            </w:r>
            <w:r w:rsidRPr="00EB5DD8">
              <w:rPr>
                <w:b/>
                <w:bCs/>
                <w:color w:val="FFFFFF"/>
                <w:sz w:val="20"/>
                <w:szCs w:val="20"/>
              </w:rPr>
              <w:t>) or Proportion in Sample Design for Demand</w:t>
            </w:r>
          </w:p>
        </w:tc>
        <w:tc>
          <w:tcPr>
            <w:tcW w:w="1899"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Relative Precision at 85% C.L. for Demand</w:t>
            </w:r>
          </w:p>
        </w:tc>
      </w:tr>
      <w:tr w:rsidR="00A874AC" w:rsidRPr="00EB5DD8" w:rsidTr="004B4B06">
        <w:trPr>
          <w:trHeight w:val="360"/>
        </w:trPr>
        <w:tc>
          <w:tcPr>
            <w:tcW w:w="1410" w:type="dxa"/>
            <w:shd w:val="clear" w:color="000000" w:fill="D2EAF1"/>
            <w:vAlign w:val="center"/>
          </w:tcPr>
          <w:p w:rsidR="00B5775F" w:rsidRPr="00EB5DD8" w:rsidRDefault="00B5775F" w:rsidP="008D7800">
            <w:pPr>
              <w:jc w:val="left"/>
              <w:rPr>
                <w:bCs/>
                <w:color w:val="000000"/>
                <w:sz w:val="20"/>
                <w:szCs w:val="20"/>
              </w:rPr>
            </w:pPr>
            <w:r w:rsidRPr="00EB5DD8">
              <w:rPr>
                <w:bCs/>
                <w:color w:val="000000"/>
                <w:sz w:val="20"/>
                <w:szCs w:val="20"/>
              </w:rPr>
              <w:t>GNI</w:t>
            </w:r>
          </w:p>
        </w:tc>
        <w:tc>
          <w:tcPr>
            <w:tcW w:w="2017"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0.09</w:t>
            </w:r>
          </w:p>
        </w:tc>
        <w:tc>
          <w:tcPr>
            <w:tcW w:w="2017"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0.99%</w:t>
            </w:r>
          </w:p>
        </w:tc>
        <w:tc>
          <w:tcPr>
            <w:tcW w:w="2017"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0.22</w:t>
            </w:r>
          </w:p>
        </w:tc>
        <w:tc>
          <w:tcPr>
            <w:tcW w:w="1899"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5.27%</w:t>
            </w:r>
          </w:p>
        </w:tc>
      </w:tr>
    </w:tbl>
    <w:p w:rsidR="00B5775F" w:rsidRPr="00EB5DD8" w:rsidRDefault="00B5775F" w:rsidP="00B5775F"/>
    <w:p w:rsidR="00B5775F" w:rsidRPr="00EB5DD8" w:rsidRDefault="00B5775F" w:rsidP="00B5775F">
      <w:pPr>
        <w:pStyle w:val="AppendixAHeading5"/>
      </w:pPr>
      <w:r w:rsidRPr="00EB5DD8">
        <w:t>Continuous Energy Improvement Program</w:t>
      </w:r>
    </w:p>
    <w:p w:rsidR="00B5775F" w:rsidRPr="00EB5DD8" w:rsidRDefault="00B5775F" w:rsidP="00B5775F">
      <w:r w:rsidRPr="00EB5DD8">
        <w:t xml:space="preserve">The Continuous Energy Improvement (CEI) Program targets school districts, for which PPL provides technical support to develop and implement a </w:t>
      </w:r>
      <w:r>
        <w:t>s</w:t>
      </w:r>
      <w:r w:rsidRPr="00EB5DD8">
        <w:t xml:space="preserve">trategic </w:t>
      </w:r>
      <w:r>
        <w:t>e</w:t>
      </w:r>
      <w:r w:rsidRPr="00EB5DD8">
        <w:t xml:space="preserve">nergy </w:t>
      </w:r>
      <w:r>
        <w:t>m</w:t>
      </w:r>
      <w:r w:rsidRPr="00EB5DD8">
        <w:t>anagement</w:t>
      </w:r>
      <w:r>
        <w:t xml:space="preserve"> p</w:t>
      </w:r>
      <w:r w:rsidRPr="00EB5DD8">
        <w:t xml:space="preserve">lan (SEMP). This program was new in Phase II and no savings were reported in PY5, so PY6 was the first year that savings were reported. The sampling strategy of this program is presented in </w:t>
      </w:r>
      <w:r w:rsidRPr="00EB5DD8">
        <w:fldChar w:fldCharType="begin"/>
      </w:r>
      <w:r w:rsidRPr="00EB5DD8">
        <w:instrText xml:space="preserve"> REF _Ref440034091 \h  \* MERGEFORMAT </w:instrText>
      </w:r>
      <w:r w:rsidRPr="00EB5DD8">
        <w:fldChar w:fldCharType="separate"/>
      </w:r>
      <w:r w:rsidR="00A874AC" w:rsidRPr="00EB5DD8">
        <w:t>Table A-</w:t>
      </w:r>
      <w:r w:rsidR="00A874AC">
        <w:t>152</w:t>
      </w:r>
      <w:r w:rsidRPr="00EB5DD8">
        <w:fldChar w:fldCharType="end"/>
      </w:r>
      <w:r w:rsidRPr="00EB5DD8">
        <w:t>.</w:t>
      </w:r>
      <w:r>
        <w:t xml:space="preserve"> The population and sampling changed from school districts in PY6 to schools in PY7, in accordance with the program and evaluation design.</w:t>
      </w:r>
    </w:p>
    <w:p w:rsidR="00B5775F" w:rsidRPr="00EB5DD8" w:rsidRDefault="00B5775F" w:rsidP="00B5775F">
      <w:pPr>
        <w:pStyle w:val="Caption"/>
        <w:keepNext/>
      </w:pPr>
      <w:bookmarkStart w:id="1358" w:name="_Ref440034091"/>
      <w:bookmarkStart w:id="1359" w:name="_Toc444269919"/>
      <w:bookmarkStart w:id="1360" w:name="_Toc472472566"/>
      <w:bookmarkStart w:id="1361" w:name="_Toc476842267"/>
      <w:r w:rsidRPr="00EB5DD8">
        <w:t>Table A-</w:t>
      </w:r>
      <w:fldSimple w:instr=" SEQ Table_A- \* ARABIC ">
        <w:r w:rsidR="00C301D0">
          <w:rPr>
            <w:noProof/>
          </w:rPr>
          <w:t>152</w:t>
        </w:r>
      </w:fldSimple>
      <w:bookmarkEnd w:id="1358"/>
      <w:r w:rsidRPr="00EB5DD8">
        <w:rPr>
          <w:bCs w:val="0"/>
        </w:rPr>
        <w:t>: PPL’s PY7 Sampling Strategy – CEI Program</w:t>
      </w:r>
      <w:bookmarkEnd w:id="1359"/>
      <w:bookmarkEnd w:id="1360"/>
      <w:bookmarkEnd w:id="1361"/>
    </w:p>
    <w:tbl>
      <w:tblPr>
        <w:tblW w:w="9341"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71"/>
        <w:gridCol w:w="2094"/>
        <w:gridCol w:w="2094"/>
        <w:gridCol w:w="1611"/>
        <w:gridCol w:w="1771"/>
      </w:tblGrid>
      <w:tr w:rsidR="00A874AC" w:rsidRPr="00EB5DD8" w:rsidTr="0036185D">
        <w:trPr>
          <w:trHeight w:val="628"/>
        </w:trPr>
        <w:tc>
          <w:tcPr>
            <w:tcW w:w="1771" w:type="dxa"/>
            <w:shd w:val="clear" w:color="000000" w:fill="448A99"/>
            <w:vAlign w:val="bottom"/>
            <w:hideMark/>
          </w:tcPr>
          <w:p w:rsidR="00B5775F" w:rsidRPr="00EB5DD8" w:rsidRDefault="00B5775F" w:rsidP="008D7800">
            <w:pPr>
              <w:jc w:val="left"/>
              <w:rPr>
                <w:b/>
                <w:bCs/>
                <w:color w:val="FFFFFF"/>
                <w:sz w:val="20"/>
                <w:szCs w:val="20"/>
              </w:rPr>
            </w:pPr>
            <w:r w:rsidRPr="00EB5DD8">
              <w:rPr>
                <w:b/>
                <w:bCs/>
                <w:color w:val="FFFFFF"/>
                <w:sz w:val="20"/>
                <w:szCs w:val="20"/>
              </w:rPr>
              <w:t>Stratum</w:t>
            </w:r>
          </w:p>
        </w:tc>
        <w:tc>
          <w:tcPr>
            <w:tcW w:w="2094" w:type="dxa"/>
            <w:shd w:val="clear" w:color="000000" w:fill="448A99"/>
            <w:vAlign w:val="bottom"/>
            <w:hideMark/>
          </w:tcPr>
          <w:p w:rsidR="00B5775F" w:rsidRPr="00EB5DD8" w:rsidRDefault="00B5775F" w:rsidP="008D7800">
            <w:pPr>
              <w:jc w:val="center"/>
              <w:rPr>
                <w:b/>
                <w:bCs/>
                <w:color w:val="FFFFFF"/>
                <w:sz w:val="20"/>
                <w:szCs w:val="20"/>
              </w:rPr>
            </w:pPr>
            <w:r w:rsidRPr="00430D0F">
              <w:rPr>
                <w:b/>
                <w:bCs/>
                <w:color w:val="FFFFFF"/>
                <w:sz w:val="20"/>
                <w:szCs w:val="20"/>
              </w:rPr>
              <w:t>Population (Schools)</w:t>
            </w:r>
          </w:p>
        </w:tc>
        <w:tc>
          <w:tcPr>
            <w:tcW w:w="2094"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Target Levels of Confidence &amp; Precision</w:t>
            </w:r>
          </w:p>
        </w:tc>
        <w:tc>
          <w:tcPr>
            <w:tcW w:w="1611"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Target Sample Size</w:t>
            </w:r>
          </w:p>
        </w:tc>
        <w:tc>
          <w:tcPr>
            <w:tcW w:w="1771"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Achieved Sample Size</w:t>
            </w:r>
          </w:p>
        </w:tc>
      </w:tr>
      <w:tr w:rsidR="00A874AC" w:rsidRPr="00EB5DD8" w:rsidTr="0036185D">
        <w:trPr>
          <w:trHeight w:val="350"/>
        </w:trPr>
        <w:tc>
          <w:tcPr>
            <w:tcW w:w="1771" w:type="dxa"/>
            <w:shd w:val="clear" w:color="000000" w:fill="D2EAF1"/>
            <w:noWrap/>
            <w:vAlign w:val="center"/>
          </w:tcPr>
          <w:p w:rsidR="00B5775F" w:rsidRPr="00EB5DD8" w:rsidRDefault="00B5775F" w:rsidP="008D7800">
            <w:pPr>
              <w:jc w:val="left"/>
              <w:rPr>
                <w:bCs/>
                <w:color w:val="000000"/>
                <w:sz w:val="20"/>
                <w:szCs w:val="20"/>
              </w:rPr>
            </w:pPr>
            <w:r>
              <w:rPr>
                <w:bCs/>
                <w:color w:val="000000"/>
                <w:sz w:val="20"/>
                <w:szCs w:val="20"/>
              </w:rPr>
              <w:t>Schools</w:t>
            </w:r>
          </w:p>
        </w:tc>
        <w:tc>
          <w:tcPr>
            <w:tcW w:w="2094"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44</w:t>
            </w:r>
          </w:p>
        </w:tc>
        <w:tc>
          <w:tcPr>
            <w:tcW w:w="2094"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N/A</w:t>
            </w:r>
          </w:p>
        </w:tc>
        <w:tc>
          <w:tcPr>
            <w:tcW w:w="1611"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44</w:t>
            </w:r>
          </w:p>
        </w:tc>
        <w:tc>
          <w:tcPr>
            <w:tcW w:w="1771"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42</w:t>
            </w:r>
          </w:p>
        </w:tc>
      </w:tr>
      <w:tr w:rsidR="00B5775F" w:rsidRPr="00EB5DD8" w:rsidTr="00FD03DC">
        <w:trPr>
          <w:trHeight w:val="350"/>
        </w:trPr>
        <w:tc>
          <w:tcPr>
            <w:tcW w:w="1771" w:type="dxa"/>
            <w:shd w:val="clear" w:color="auto" w:fill="auto"/>
            <w:vAlign w:val="center"/>
          </w:tcPr>
          <w:p w:rsidR="00B5775F" w:rsidRPr="00EB5DD8" w:rsidRDefault="00B5775F" w:rsidP="008D7800">
            <w:pPr>
              <w:jc w:val="left"/>
              <w:rPr>
                <w:b/>
                <w:bCs/>
                <w:color w:val="000000"/>
                <w:sz w:val="20"/>
                <w:szCs w:val="20"/>
              </w:rPr>
            </w:pPr>
            <w:r w:rsidRPr="00EB5DD8">
              <w:rPr>
                <w:b/>
                <w:bCs/>
                <w:color w:val="000000"/>
                <w:sz w:val="20"/>
                <w:szCs w:val="20"/>
              </w:rPr>
              <w:t>Program Total</w:t>
            </w:r>
          </w:p>
        </w:tc>
        <w:tc>
          <w:tcPr>
            <w:tcW w:w="2094" w:type="dxa"/>
            <w:shd w:val="clear" w:color="auto" w:fill="auto"/>
            <w:noWrap/>
            <w:vAlign w:val="center"/>
          </w:tcPr>
          <w:p w:rsidR="00B5775F" w:rsidRPr="00EB5DD8" w:rsidRDefault="00B5775F" w:rsidP="008D7800">
            <w:pPr>
              <w:jc w:val="center"/>
              <w:rPr>
                <w:b/>
                <w:bCs/>
                <w:color w:val="000000"/>
                <w:sz w:val="20"/>
                <w:szCs w:val="20"/>
              </w:rPr>
            </w:pPr>
            <w:r w:rsidRPr="00EB5DD8">
              <w:rPr>
                <w:b/>
                <w:bCs/>
                <w:color w:val="000000"/>
                <w:sz w:val="20"/>
                <w:szCs w:val="20"/>
              </w:rPr>
              <w:t>44</w:t>
            </w:r>
          </w:p>
        </w:tc>
        <w:tc>
          <w:tcPr>
            <w:tcW w:w="2094" w:type="dxa"/>
            <w:shd w:val="clear" w:color="auto" w:fill="auto"/>
            <w:noWrap/>
            <w:vAlign w:val="center"/>
          </w:tcPr>
          <w:p w:rsidR="00B5775F" w:rsidRPr="00EB5DD8" w:rsidRDefault="00B5775F" w:rsidP="008D7800">
            <w:pPr>
              <w:jc w:val="center"/>
              <w:rPr>
                <w:b/>
                <w:bCs/>
                <w:color w:val="000000"/>
                <w:sz w:val="20"/>
                <w:szCs w:val="20"/>
              </w:rPr>
            </w:pPr>
            <w:r w:rsidRPr="00EB5DD8">
              <w:rPr>
                <w:b/>
                <w:bCs/>
                <w:color w:val="000000"/>
                <w:sz w:val="20"/>
                <w:szCs w:val="20"/>
              </w:rPr>
              <w:t>N/A</w:t>
            </w:r>
          </w:p>
        </w:tc>
        <w:tc>
          <w:tcPr>
            <w:tcW w:w="1611" w:type="dxa"/>
            <w:shd w:val="clear" w:color="auto" w:fill="auto"/>
            <w:noWrap/>
            <w:vAlign w:val="center"/>
          </w:tcPr>
          <w:p w:rsidR="00B5775F" w:rsidRPr="00EB5DD8" w:rsidRDefault="00B5775F" w:rsidP="008D7800">
            <w:pPr>
              <w:jc w:val="center"/>
              <w:rPr>
                <w:b/>
                <w:bCs/>
                <w:color w:val="000000"/>
                <w:sz w:val="20"/>
                <w:szCs w:val="20"/>
              </w:rPr>
            </w:pPr>
            <w:r w:rsidRPr="00EB5DD8">
              <w:rPr>
                <w:b/>
                <w:bCs/>
                <w:color w:val="000000"/>
                <w:sz w:val="20"/>
                <w:szCs w:val="20"/>
              </w:rPr>
              <w:t>44</w:t>
            </w:r>
          </w:p>
        </w:tc>
        <w:tc>
          <w:tcPr>
            <w:tcW w:w="1771" w:type="dxa"/>
            <w:shd w:val="clear" w:color="auto" w:fill="auto"/>
            <w:noWrap/>
            <w:vAlign w:val="center"/>
          </w:tcPr>
          <w:p w:rsidR="00B5775F" w:rsidRPr="00EB5DD8" w:rsidRDefault="00B5775F" w:rsidP="008D7800">
            <w:pPr>
              <w:jc w:val="center"/>
              <w:rPr>
                <w:b/>
                <w:bCs/>
                <w:color w:val="000000"/>
                <w:sz w:val="20"/>
                <w:szCs w:val="20"/>
              </w:rPr>
            </w:pPr>
            <w:r w:rsidRPr="00EB5DD8">
              <w:rPr>
                <w:b/>
                <w:bCs/>
                <w:color w:val="000000"/>
                <w:sz w:val="20"/>
                <w:szCs w:val="20"/>
              </w:rPr>
              <w:t>42</w:t>
            </w:r>
          </w:p>
        </w:tc>
      </w:tr>
    </w:tbl>
    <w:p w:rsidR="00B5775F" w:rsidRPr="00EB5DD8" w:rsidRDefault="00B5775F" w:rsidP="00B5775F"/>
    <w:p w:rsidR="00B5775F" w:rsidRPr="00EB5DD8" w:rsidRDefault="00B5775F" w:rsidP="00B5775F">
      <w:r w:rsidRPr="00EB5DD8">
        <w:t xml:space="preserve">The achieved precision values for energy and demand are listed in </w:t>
      </w:r>
      <w:r>
        <w:fldChar w:fldCharType="begin"/>
      </w:r>
      <w:r>
        <w:instrText xml:space="preserve"> REF _Ref473625362 \h </w:instrText>
      </w:r>
      <w:r>
        <w:fldChar w:fldCharType="separate"/>
      </w:r>
      <w:r w:rsidR="00DD797D" w:rsidRPr="00EB5DD8">
        <w:t>Table A-</w:t>
      </w:r>
      <w:r w:rsidR="00DD797D">
        <w:rPr>
          <w:noProof/>
        </w:rPr>
        <w:t>153</w:t>
      </w:r>
      <w:r>
        <w:fldChar w:fldCharType="end"/>
      </w:r>
      <w:r w:rsidRPr="00EB5DD8">
        <w:t>.</w:t>
      </w:r>
    </w:p>
    <w:p w:rsidR="00B5775F" w:rsidRPr="0036185D" w:rsidRDefault="00B5775F" w:rsidP="0036185D">
      <w:bookmarkStart w:id="1362" w:name="_Ref440269510"/>
    </w:p>
    <w:p w:rsidR="00B5775F" w:rsidRPr="00EB5DD8" w:rsidRDefault="00B5775F" w:rsidP="00B5775F">
      <w:pPr>
        <w:pStyle w:val="Caption"/>
        <w:rPr>
          <w:bCs w:val="0"/>
        </w:rPr>
      </w:pPr>
      <w:bookmarkStart w:id="1363" w:name="_Ref473625362"/>
      <w:bookmarkStart w:id="1364" w:name="_Toc444269920"/>
      <w:bookmarkStart w:id="1365" w:name="_Toc472472567"/>
      <w:bookmarkStart w:id="1366" w:name="_Toc476842268"/>
      <w:r w:rsidRPr="00EB5DD8">
        <w:t>Table A-</w:t>
      </w:r>
      <w:fldSimple w:instr=" SEQ Table_A- \* ARABIC ">
        <w:r w:rsidR="00C301D0">
          <w:rPr>
            <w:noProof/>
          </w:rPr>
          <w:t>153</w:t>
        </w:r>
      </w:fldSimple>
      <w:bookmarkEnd w:id="1362"/>
      <w:bookmarkEnd w:id="1363"/>
      <w:r w:rsidRPr="00EB5DD8">
        <w:t>:</w:t>
      </w:r>
      <w:r w:rsidRPr="00EB5DD8">
        <w:rPr>
          <w:bCs w:val="0"/>
        </w:rPr>
        <w:t xml:space="preserve"> Observed Coefficients of Variation and Relative Precision – CEI Program</w:t>
      </w:r>
      <w:bookmarkEnd w:id="1364"/>
      <w:bookmarkEnd w:id="1365"/>
      <w:bookmarkEnd w:id="1366"/>
    </w:p>
    <w:tbl>
      <w:tblPr>
        <w:tblW w:w="9298"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790"/>
        <w:gridCol w:w="2250"/>
        <w:gridCol w:w="1530"/>
        <w:gridCol w:w="2160"/>
        <w:gridCol w:w="1568"/>
      </w:tblGrid>
      <w:tr w:rsidR="00A874AC" w:rsidRPr="00EB5DD8" w:rsidTr="0036185D">
        <w:trPr>
          <w:trHeight w:val="1024"/>
          <w:tblHeader/>
        </w:trPr>
        <w:tc>
          <w:tcPr>
            <w:tcW w:w="1790" w:type="dxa"/>
            <w:shd w:val="clear" w:color="000000" w:fill="448A99"/>
            <w:vAlign w:val="bottom"/>
            <w:hideMark/>
          </w:tcPr>
          <w:p w:rsidR="00B5775F" w:rsidRPr="00EB5DD8" w:rsidRDefault="00B5775F" w:rsidP="008D7800">
            <w:pPr>
              <w:jc w:val="left"/>
              <w:rPr>
                <w:b/>
                <w:bCs/>
                <w:color w:val="FFFFFF"/>
                <w:sz w:val="20"/>
                <w:szCs w:val="20"/>
              </w:rPr>
            </w:pPr>
            <w:r w:rsidRPr="00EB5DD8">
              <w:rPr>
                <w:b/>
                <w:bCs/>
                <w:color w:val="FFFFFF"/>
                <w:sz w:val="20"/>
                <w:szCs w:val="20"/>
              </w:rPr>
              <w:t>Stratum</w:t>
            </w:r>
          </w:p>
        </w:tc>
        <w:tc>
          <w:tcPr>
            <w:tcW w:w="2250"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Observed Coefficient of Variation (C</w:t>
            </w:r>
            <w:r w:rsidRPr="00EB5DD8">
              <w:rPr>
                <w:b/>
                <w:bCs/>
                <w:color w:val="FFFFFF"/>
                <w:sz w:val="20"/>
                <w:szCs w:val="20"/>
                <w:vertAlign w:val="subscript"/>
              </w:rPr>
              <w:t>v</w:t>
            </w:r>
            <w:r w:rsidRPr="00EB5DD8">
              <w:rPr>
                <w:b/>
                <w:bCs/>
                <w:color w:val="FFFFFF"/>
                <w:sz w:val="20"/>
                <w:szCs w:val="20"/>
              </w:rPr>
              <w:t>) or Proportion in Sample Design for Energy</w:t>
            </w:r>
          </w:p>
        </w:tc>
        <w:tc>
          <w:tcPr>
            <w:tcW w:w="1530"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Relative Precision at 85% C.L. for Energy</w:t>
            </w:r>
          </w:p>
        </w:tc>
        <w:tc>
          <w:tcPr>
            <w:tcW w:w="2160"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Observed Coefficient of Variation (C</w:t>
            </w:r>
            <w:r w:rsidRPr="00EB5DD8">
              <w:rPr>
                <w:b/>
                <w:bCs/>
                <w:color w:val="FFFFFF"/>
                <w:sz w:val="20"/>
                <w:szCs w:val="20"/>
                <w:vertAlign w:val="subscript"/>
              </w:rPr>
              <w:t>v</w:t>
            </w:r>
            <w:r w:rsidRPr="00EB5DD8">
              <w:rPr>
                <w:b/>
                <w:bCs/>
                <w:color w:val="FFFFFF"/>
                <w:sz w:val="20"/>
                <w:szCs w:val="20"/>
              </w:rPr>
              <w:t>) or Proportion in Sample Design for Demand</w:t>
            </w:r>
          </w:p>
        </w:tc>
        <w:tc>
          <w:tcPr>
            <w:tcW w:w="1568" w:type="dxa"/>
            <w:shd w:val="clear" w:color="000000" w:fill="448A99"/>
            <w:vAlign w:val="bottom"/>
            <w:hideMark/>
          </w:tcPr>
          <w:p w:rsidR="00B5775F" w:rsidRPr="00EB5DD8" w:rsidRDefault="00B5775F" w:rsidP="008D7800">
            <w:pPr>
              <w:jc w:val="center"/>
              <w:rPr>
                <w:b/>
                <w:bCs/>
                <w:color w:val="FFFFFF"/>
                <w:sz w:val="20"/>
                <w:szCs w:val="20"/>
              </w:rPr>
            </w:pPr>
            <w:r w:rsidRPr="00EB5DD8">
              <w:rPr>
                <w:b/>
                <w:bCs/>
                <w:color w:val="FFFFFF"/>
                <w:sz w:val="20"/>
                <w:szCs w:val="20"/>
              </w:rPr>
              <w:t>Relative Precision at 85% C.L. for Demand</w:t>
            </w:r>
          </w:p>
        </w:tc>
      </w:tr>
      <w:tr w:rsidR="00A874AC" w:rsidRPr="00EB5DD8" w:rsidTr="0036185D">
        <w:trPr>
          <w:trHeight w:val="346"/>
        </w:trPr>
        <w:tc>
          <w:tcPr>
            <w:tcW w:w="1790" w:type="dxa"/>
            <w:shd w:val="clear" w:color="000000" w:fill="D2EAF1"/>
            <w:noWrap/>
            <w:vAlign w:val="center"/>
          </w:tcPr>
          <w:p w:rsidR="00B5775F" w:rsidRPr="00EB5DD8" w:rsidRDefault="00B5775F" w:rsidP="008D7800">
            <w:pPr>
              <w:jc w:val="left"/>
              <w:rPr>
                <w:bCs/>
                <w:color w:val="000000"/>
                <w:sz w:val="20"/>
                <w:szCs w:val="20"/>
              </w:rPr>
            </w:pPr>
            <w:r>
              <w:rPr>
                <w:bCs/>
                <w:color w:val="000000"/>
                <w:sz w:val="20"/>
                <w:szCs w:val="20"/>
              </w:rPr>
              <w:t>School d</w:t>
            </w:r>
            <w:r w:rsidRPr="00EB5DD8">
              <w:rPr>
                <w:bCs/>
                <w:color w:val="000000"/>
                <w:sz w:val="20"/>
                <w:szCs w:val="20"/>
              </w:rPr>
              <w:t>istrict</w:t>
            </w:r>
          </w:p>
        </w:tc>
        <w:tc>
          <w:tcPr>
            <w:tcW w:w="2250"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N/A</w:t>
            </w:r>
          </w:p>
        </w:tc>
        <w:tc>
          <w:tcPr>
            <w:tcW w:w="1530"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3.83%</w:t>
            </w:r>
          </w:p>
        </w:tc>
        <w:tc>
          <w:tcPr>
            <w:tcW w:w="2160"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N/A</w:t>
            </w:r>
          </w:p>
        </w:tc>
        <w:tc>
          <w:tcPr>
            <w:tcW w:w="1568" w:type="dxa"/>
            <w:shd w:val="clear" w:color="000000" w:fill="D2EAF1"/>
            <w:noWrap/>
            <w:vAlign w:val="center"/>
          </w:tcPr>
          <w:p w:rsidR="00B5775F" w:rsidRPr="00EB5DD8" w:rsidRDefault="00B5775F" w:rsidP="008D7800">
            <w:pPr>
              <w:jc w:val="center"/>
              <w:rPr>
                <w:color w:val="000000"/>
                <w:sz w:val="20"/>
                <w:szCs w:val="20"/>
              </w:rPr>
            </w:pPr>
            <w:r w:rsidRPr="00EB5DD8">
              <w:rPr>
                <w:color w:val="000000"/>
                <w:sz w:val="20"/>
                <w:szCs w:val="20"/>
              </w:rPr>
              <w:t>46.57%</w:t>
            </w:r>
          </w:p>
        </w:tc>
      </w:tr>
      <w:tr w:rsidR="00B5775F" w:rsidRPr="00EB5DD8" w:rsidTr="00FD03DC">
        <w:trPr>
          <w:trHeight w:val="346"/>
        </w:trPr>
        <w:tc>
          <w:tcPr>
            <w:tcW w:w="1790" w:type="dxa"/>
            <w:shd w:val="clear" w:color="auto" w:fill="auto"/>
            <w:noWrap/>
            <w:vAlign w:val="center"/>
          </w:tcPr>
          <w:p w:rsidR="00B5775F" w:rsidRPr="00EB5DD8" w:rsidRDefault="00B5775F" w:rsidP="008D7800">
            <w:pPr>
              <w:jc w:val="left"/>
              <w:rPr>
                <w:bCs/>
                <w:color w:val="000000"/>
                <w:sz w:val="20"/>
                <w:szCs w:val="20"/>
              </w:rPr>
            </w:pPr>
            <w:r w:rsidRPr="00EB5DD8">
              <w:rPr>
                <w:b/>
                <w:bCs/>
                <w:color w:val="000000"/>
                <w:sz w:val="20"/>
                <w:szCs w:val="20"/>
              </w:rPr>
              <w:t>Program Total</w:t>
            </w:r>
          </w:p>
        </w:tc>
        <w:tc>
          <w:tcPr>
            <w:tcW w:w="2250" w:type="dxa"/>
            <w:shd w:val="clear" w:color="auto" w:fill="auto"/>
            <w:noWrap/>
            <w:vAlign w:val="center"/>
          </w:tcPr>
          <w:p w:rsidR="00B5775F" w:rsidRPr="00EB5DD8" w:rsidRDefault="00B5775F" w:rsidP="008D7800">
            <w:pPr>
              <w:jc w:val="center"/>
              <w:rPr>
                <w:color w:val="000000"/>
                <w:sz w:val="20"/>
                <w:szCs w:val="20"/>
              </w:rPr>
            </w:pPr>
            <w:r w:rsidRPr="00EB5DD8">
              <w:rPr>
                <w:color w:val="000000"/>
                <w:sz w:val="20"/>
                <w:szCs w:val="20"/>
              </w:rPr>
              <w:t>N/A</w:t>
            </w:r>
          </w:p>
        </w:tc>
        <w:tc>
          <w:tcPr>
            <w:tcW w:w="1530" w:type="dxa"/>
            <w:shd w:val="clear" w:color="auto" w:fill="auto"/>
            <w:noWrap/>
            <w:vAlign w:val="center"/>
          </w:tcPr>
          <w:p w:rsidR="00B5775F" w:rsidRPr="00EB5DD8" w:rsidRDefault="00B5775F" w:rsidP="008D7800">
            <w:pPr>
              <w:jc w:val="center"/>
              <w:rPr>
                <w:b/>
                <w:color w:val="000000"/>
                <w:sz w:val="20"/>
                <w:szCs w:val="20"/>
              </w:rPr>
            </w:pPr>
            <w:r w:rsidRPr="00EB5DD8">
              <w:rPr>
                <w:color w:val="000000"/>
                <w:sz w:val="20"/>
                <w:szCs w:val="20"/>
              </w:rPr>
              <w:t>3.83%</w:t>
            </w:r>
          </w:p>
        </w:tc>
        <w:tc>
          <w:tcPr>
            <w:tcW w:w="2160" w:type="dxa"/>
            <w:shd w:val="clear" w:color="auto" w:fill="auto"/>
            <w:noWrap/>
            <w:vAlign w:val="center"/>
          </w:tcPr>
          <w:p w:rsidR="00B5775F" w:rsidRPr="00EB5DD8" w:rsidRDefault="00B5775F" w:rsidP="008D7800">
            <w:pPr>
              <w:jc w:val="center"/>
              <w:rPr>
                <w:b/>
                <w:color w:val="000000"/>
                <w:sz w:val="20"/>
                <w:szCs w:val="20"/>
              </w:rPr>
            </w:pPr>
            <w:r w:rsidRPr="00EB5DD8">
              <w:rPr>
                <w:color w:val="000000"/>
                <w:sz w:val="20"/>
                <w:szCs w:val="20"/>
              </w:rPr>
              <w:t>N/A</w:t>
            </w:r>
          </w:p>
        </w:tc>
        <w:tc>
          <w:tcPr>
            <w:tcW w:w="1568" w:type="dxa"/>
            <w:shd w:val="clear" w:color="auto" w:fill="auto"/>
            <w:noWrap/>
            <w:vAlign w:val="center"/>
          </w:tcPr>
          <w:p w:rsidR="00B5775F" w:rsidRPr="00EB5DD8" w:rsidRDefault="00B5775F" w:rsidP="008D7800">
            <w:pPr>
              <w:jc w:val="center"/>
              <w:rPr>
                <w:b/>
                <w:color w:val="000000"/>
                <w:sz w:val="20"/>
                <w:szCs w:val="20"/>
              </w:rPr>
            </w:pPr>
            <w:r w:rsidRPr="00EB5DD8">
              <w:rPr>
                <w:color w:val="000000"/>
                <w:sz w:val="20"/>
                <w:szCs w:val="20"/>
              </w:rPr>
              <w:t>46.57%</w:t>
            </w:r>
          </w:p>
        </w:tc>
      </w:tr>
    </w:tbl>
    <w:p w:rsidR="00B5775F" w:rsidRDefault="00B5775F" w:rsidP="00B5775F"/>
    <w:p w:rsidR="00B5775F" w:rsidRPr="00AE0B51" w:rsidRDefault="00B5775F" w:rsidP="00B5775F">
      <w:r w:rsidRPr="00EB5DD8">
        <w:t>The relative precision for energy in PY6 was 29%</w:t>
      </w:r>
      <w:r>
        <w:t>,</w:t>
      </w:r>
      <w:r w:rsidRPr="00EB5DD8">
        <w:t xml:space="preserve"> which was expected due to </w:t>
      </w:r>
      <w:r>
        <w:t xml:space="preserve">the </w:t>
      </w:r>
      <w:r w:rsidRPr="00EB5DD8">
        <w:t xml:space="preserve">low sample size available. </w:t>
      </w:r>
      <w:r>
        <w:t>This improved to be within the E</w:t>
      </w:r>
      <w:r w:rsidRPr="00EB5DD8">
        <w:t xml:space="preserve">valuation </w:t>
      </w:r>
      <w:r>
        <w:t>F</w:t>
      </w:r>
      <w:r w:rsidRPr="00EB5DD8">
        <w:t>ramework limits for PY7</w:t>
      </w:r>
      <w:r>
        <w:t>. H</w:t>
      </w:r>
      <w:r w:rsidRPr="00EB5DD8">
        <w:t>owever</w:t>
      </w:r>
      <w:r>
        <w:t>,</w:t>
      </w:r>
      <w:r w:rsidRPr="00EB5DD8">
        <w:t xml:space="preserve"> demand is well outside the recommended target of 15%.</w:t>
      </w:r>
      <w:r>
        <w:t xml:space="preserve"> However, the program was designed to deliver energy savings as there are no demand reduction compliance requirements in Phase II.</w:t>
      </w:r>
    </w:p>
    <w:p w:rsidR="00B5775F" w:rsidRPr="00AE0B51" w:rsidRDefault="00B5775F" w:rsidP="00B5775F"/>
    <w:p w:rsidR="00B5775F" w:rsidRPr="00DB1865" w:rsidRDefault="00B5775F" w:rsidP="00B5775F">
      <w:pPr>
        <w:pStyle w:val="AppendixAHeading4"/>
        <w:rPr>
          <w:rFonts w:eastAsia="Calibri"/>
        </w:rPr>
      </w:pPr>
      <w:bookmarkStart w:id="1367" w:name="_Toc408557480"/>
      <w:bookmarkStart w:id="1368" w:name="_Ref408572305"/>
      <w:bookmarkStart w:id="1369" w:name="_Ref409193306"/>
      <w:r w:rsidRPr="00DB1865">
        <w:rPr>
          <w:rFonts w:eastAsia="Calibri"/>
        </w:rPr>
        <w:t>Ride-Along Site Inspections</w:t>
      </w:r>
      <w:bookmarkEnd w:id="1367"/>
      <w:bookmarkEnd w:id="1368"/>
      <w:bookmarkEnd w:id="1369"/>
    </w:p>
    <w:p w:rsidR="00B5775F" w:rsidRPr="00DB1865" w:rsidRDefault="0036185D" w:rsidP="00B5775F">
      <w:pPr>
        <w:spacing w:after="120"/>
      </w:pPr>
      <w:r>
        <w:fldChar w:fldCharType="begin"/>
      </w:r>
      <w:r>
        <w:instrText xml:space="preserve"> REF _Ref473724230 \h </w:instrText>
      </w:r>
      <w:r>
        <w:fldChar w:fldCharType="separate"/>
      </w:r>
      <w:r w:rsidR="00C301D0">
        <w:t>Table A-</w:t>
      </w:r>
      <w:r w:rsidR="00C301D0">
        <w:rPr>
          <w:noProof/>
        </w:rPr>
        <w:t>154</w:t>
      </w:r>
      <w:r>
        <w:fldChar w:fldCharType="end"/>
      </w:r>
      <w:r>
        <w:t xml:space="preserve"> </w:t>
      </w:r>
      <w:r w:rsidR="00B5775F" w:rsidRPr="006D385A">
        <w:t>summarizes the SWE</w:t>
      </w:r>
      <w:r w:rsidR="00B5775F" w:rsidRPr="00DB1865">
        <w:t xml:space="preserve"> Team’s PY7 ride-along site inspections of PPL’s non-residential project installations. </w:t>
      </w:r>
      <w:r w:rsidR="00B5775F">
        <w:t>For PY7, all PPL</w:t>
      </w:r>
      <w:r w:rsidR="00B5775F" w:rsidRPr="003B2BD3">
        <w:t xml:space="preserve"> PY7 site inspection findings are categorized </w:t>
      </w:r>
      <w:r w:rsidR="00B5775F">
        <w:t>as</w:t>
      </w:r>
      <w:r w:rsidR="00B5775F" w:rsidRPr="00DB1865">
        <w:t xml:space="preserve">: </w:t>
      </w:r>
    </w:p>
    <w:p w:rsidR="00B5775F" w:rsidRDefault="00B5775F" w:rsidP="00E646C9">
      <w:pPr>
        <w:numPr>
          <w:ilvl w:val="0"/>
          <w:numId w:val="41"/>
        </w:numPr>
        <w:ind w:left="450"/>
      </w:pPr>
      <w:r w:rsidRPr="00DB1865">
        <w:t>Evaluation (Eval) findings are associated with ride-along site inspections and may reflect site activities or evaluation contractor savings calculations or reports.</w:t>
      </w:r>
    </w:p>
    <w:p w:rsidR="00B5775F" w:rsidRDefault="00B5775F" w:rsidP="0036185D">
      <w:pPr>
        <w:pStyle w:val="Caption"/>
        <w:spacing w:after="0"/>
      </w:pPr>
      <w:bookmarkStart w:id="1370" w:name="_Ref472470325"/>
      <w:bookmarkStart w:id="1371" w:name="_Toc472472568"/>
    </w:p>
    <w:p w:rsidR="00B5775F" w:rsidRDefault="00B5775F" w:rsidP="00B5775F">
      <w:pPr>
        <w:pStyle w:val="Caption"/>
      </w:pPr>
      <w:bookmarkStart w:id="1372" w:name="_Ref473724230"/>
      <w:bookmarkStart w:id="1373" w:name="_Toc476842269"/>
      <w:r>
        <w:t>Table A-</w:t>
      </w:r>
      <w:fldSimple w:instr=" SEQ Table_A- \* ARABIC ">
        <w:r w:rsidR="00C301D0">
          <w:rPr>
            <w:noProof/>
          </w:rPr>
          <w:t>154</w:t>
        </w:r>
      </w:fldSimple>
      <w:bookmarkEnd w:id="1370"/>
      <w:bookmarkEnd w:id="1372"/>
      <w:r>
        <w:t>: PPL’s PY7 Non-Residential Site Inspection Findings</w:t>
      </w:r>
      <w:bookmarkEnd w:id="1371"/>
      <w:bookmarkEnd w:id="1373"/>
    </w:p>
    <w:tbl>
      <w:tblPr>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1070"/>
        <w:gridCol w:w="1232"/>
        <w:gridCol w:w="3150"/>
        <w:gridCol w:w="990"/>
        <w:gridCol w:w="2908"/>
      </w:tblGrid>
      <w:tr w:rsidR="00A874AC" w:rsidRPr="009A753F" w:rsidTr="0036185D">
        <w:trPr>
          <w:trHeight w:val="300"/>
          <w:tblHeader/>
        </w:trPr>
        <w:tc>
          <w:tcPr>
            <w:tcW w:w="1070" w:type="dxa"/>
            <w:shd w:val="clear" w:color="auto" w:fill="448A99"/>
            <w:noWrap/>
            <w:vAlign w:val="bottom"/>
            <w:hideMark/>
          </w:tcPr>
          <w:p w:rsidR="00B5775F" w:rsidRPr="009A753F" w:rsidRDefault="00B5775F" w:rsidP="008D7800">
            <w:pPr>
              <w:jc w:val="left"/>
              <w:rPr>
                <w:b/>
                <w:bCs/>
                <w:color w:val="FFFFFF"/>
                <w:sz w:val="20"/>
                <w:szCs w:val="20"/>
              </w:rPr>
            </w:pPr>
            <w:r w:rsidRPr="009A753F">
              <w:rPr>
                <w:b/>
                <w:bCs/>
                <w:color w:val="FFFFFF"/>
                <w:sz w:val="20"/>
                <w:szCs w:val="20"/>
              </w:rPr>
              <w:t>Project ID</w:t>
            </w:r>
          </w:p>
        </w:tc>
        <w:tc>
          <w:tcPr>
            <w:tcW w:w="1232" w:type="dxa"/>
            <w:shd w:val="clear" w:color="auto" w:fill="448A99"/>
            <w:noWrap/>
            <w:vAlign w:val="bottom"/>
            <w:hideMark/>
          </w:tcPr>
          <w:p w:rsidR="00B5775F" w:rsidRPr="009A753F" w:rsidRDefault="00B5775F" w:rsidP="008D7800">
            <w:pPr>
              <w:jc w:val="center"/>
              <w:rPr>
                <w:b/>
                <w:bCs/>
                <w:color w:val="FFFFFF"/>
                <w:sz w:val="20"/>
                <w:szCs w:val="20"/>
              </w:rPr>
            </w:pPr>
            <w:r w:rsidRPr="009A753F">
              <w:rPr>
                <w:b/>
                <w:bCs/>
                <w:color w:val="FFFFFF"/>
                <w:sz w:val="20"/>
                <w:szCs w:val="20"/>
              </w:rPr>
              <w:t>Technology</w:t>
            </w:r>
          </w:p>
        </w:tc>
        <w:tc>
          <w:tcPr>
            <w:tcW w:w="3150" w:type="dxa"/>
            <w:shd w:val="clear" w:color="auto" w:fill="448A99"/>
            <w:noWrap/>
            <w:vAlign w:val="bottom"/>
            <w:hideMark/>
          </w:tcPr>
          <w:p w:rsidR="00B5775F" w:rsidRPr="009A753F" w:rsidRDefault="00B5775F" w:rsidP="008D7800">
            <w:pPr>
              <w:jc w:val="center"/>
              <w:rPr>
                <w:b/>
                <w:bCs/>
                <w:color w:val="FFFFFF"/>
                <w:sz w:val="20"/>
                <w:szCs w:val="20"/>
              </w:rPr>
            </w:pPr>
            <w:r w:rsidRPr="009A753F">
              <w:rPr>
                <w:b/>
                <w:bCs/>
                <w:color w:val="FFFFFF"/>
                <w:sz w:val="20"/>
                <w:szCs w:val="20"/>
              </w:rPr>
              <w:t>Finding</w:t>
            </w:r>
          </w:p>
        </w:tc>
        <w:tc>
          <w:tcPr>
            <w:tcW w:w="990" w:type="dxa"/>
            <w:shd w:val="clear" w:color="auto" w:fill="448A99"/>
            <w:noWrap/>
            <w:vAlign w:val="bottom"/>
            <w:hideMark/>
          </w:tcPr>
          <w:p w:rsidR="00B5775F" w:rsidRPr="009A753F" w:rsidRDefault="00B5775F" w:rsidP="008D7800">
            <w:pPr>
              <w:jc w:val="center"/>
              <w:rPr>
                <w:b/>
                <w:bCs/>
                <w:color w:val="FFFFFF"/>
                <w:sz w:val="20"/>
                <w:szCs w:val="20"/>
              </w:rPr>
            </w:pPr>
            <w:r w:rsidRPr="009A753F">
              <w:rPr>
                <w:b/>
                <w:bCs/>
                <w:color w:val="FFFFFF"/>
                <w:sz w:val="20"/>
                <w:szCs w:val="20"/>
              </w:rPr>
              <w:t>Finding Type</w:t>
            </w:r>
          </w:p>
        </w:tc>
        <w:tc>
          <w:tcPr>
            <w:tcW w:w="2908" w:type="dxa"/>
            <w:shd w:val="clear" w:color="auto" w:fill="448A99"/>
            <w:noWrap/>
            <w:vAlign w:val="bottom"/>
            <w:hideMark/>
          </w:tcPr>
          <w:p w:rsidR="00B5775F" w:rsidRPr="009A753F" w:rsidRDefault="00B5775F" w:rsidP="008D7800">
            <w:pPr>
              <w:jc w:val="center"/>
              <w:rPr>
                <w:b/>
                <w:bCs/>
                <w:color w:val="FFFFFF"/>
                <w:sz w:val="20"/>
                <w:szCs w:val="20"/>
              </w:rPr>
            </w:pPr>
            <w:r w:rsidRPr="009A753F">
              <w:rPr>
                <w:b/>
                <w:bCs/>
                <w:color w:val="FFFFFF"/>
                <w:sz w:val="20"/>
                <w:szCs w:val="20"/>
              </w:rPr>
              <w:t>Resolution</w:t>
            </w:r>
          </w:p>
        </w:tc>
      </w:tr>
      <w:tr w:rsidR="00A874AC" w:rsidRPr="009A753F" w:rsidTr="0036185D">
        <w:trPr>
          <w:trHeight w:val="977"/>
        </w:trPr>
        <w:tc>
          <w:tcPr>
            <w:tcW w:w="1070" w:type="dxa"/>
            <w:shd w:val="clear" w:color="auto" w:fill="D2EAF1"/>
            <w:noWrap/>
          </w:tcPr>
          <w:p w:rsidR="00B5775F" w:rsidRPr="000B74BE" w:rsidRDefault="00B5775F" w:rsidP="008D7800">
            <w:pPr>
              <w:rPr>
                <w:sz w:val="20"/>
                <w:szCs w:val="20"/>
              </w:rPr>
            </w:pPr>
            <w:r w:rsidRPr="000B74BE">
              <w:rPr>
                <w:sz w:val="20"/>
                <w:szCs w:val="20"/>
              </w:rPr>
              <w:t>PPL-13-11947</w:t>
            </w:r>
          </w:p>
        </w:tc>
        <w:tc>
          <w:tcPr>
            <w:tcW w:w="1232" w:type="dxa"/>
            <w:shd w:val="clear" w:color="auto" w:fill="D2EAF1"/>
            <w:noWrap/>
          </w:tcPr>
          <w:p w:rsidR="00B5775F" w:rsidRPr="000B74BE" w:rsidRDefault="00B5775F" w:rsidP="008D7800">
            <w:pPr>
              <w:jc w:val="center"/>
              <w:rPr>
                <w:sz w:val="20"/>
                <w:szCs w:val="20"/>
              </w:rPr>
            </w:pPr>
            <w:r w:rsidRPr="000B74BE">
              <w:rPr>
                <w:sz w:val="20"/>
                <w:szCs w:val="20"/>
              </w:rPr>
              <w:t>VFDs</w:t>
            </w:r>
          </w:p>
        </w:tc>
        <w:tc>
          <w:tcPr>
            <w:tcW w:w="3150" w:type="dxa"/>
            <w:shd w:val="clear" w:color="auto" w:fill="D2EAF1"/>
            <w:noWrap/>
          </w:tcPr>
          <w:p w:rsidR="00B5775F" w:rsidRPr="009A753F" w:rsidRDefault="00B5775F" w:rsidP="008D7800">
            <w:pPr>
              <w:jc w:val="center"/>
              <w:rPr>
                <w:color w:val="000000"/>
                <w:sz w:val="20"/>
                <w:szCs w:val="20"/>
              </w:rPr>
            </w:pPr>
            <w:r>
              <w:rPr>
                <w:color w:val="000000"/>
                <w:sz w:val="20"/>
                <w:szCs w:val="20"/>
              </w:rPr>
              <w:t>The ex ante savings were calculated using an incorrect peak and regression analysis; the evaluation contractor used a more appropriate approach for verified savings.</w:t>
            </w:r>
          </w:p>
        </w:tc>
        <w:tc>
          <w:tcPr>
            <w:tcW w:w="990" w:type="dxa"/>
            <w:shd w:val="clear" w:color="auto" w:fill="D2EAF1"/>
            <w:noWrap/>
          </w:tcPr>
          <w:p w:rsidR="00B5775F" w:rsidRPr="009A753F" w:rsidRDefault="00B5775F" w:rsidP="008D7800">
            <w:pPr>
              <w:jc w:val="center"/>
              <w:rPr>
                <w:color w:val="000000"/>
                <w:sz w:val="20"/>
                <w:szCs w:val="20"/>
              </w:rPr>
            </w:pPr>
            <w:r>
              <w:rPr>
                <w:color w:val="000000"/>
                <w:sz w:val="20"/>
                <w:szCs w:val="20"/>
              </w:rPr>
              <w:t>Eval</w:t>
            </w:r>
          </w:p>
        </w:tc>
        <w:tc>
          <w:tcPr>
            <w:tcW w:w="2908" w:type="dxa"/>
            <w:shd w:val="clear" w:color="auto" w:fill="D2EAF1"/>
            <w:noWrap/>
          </w:tcPr>
          <w:p w:rsidR="00B5775F" w:rsidRPr="009A753F" w:rsidRDefault="00B5775F" w:rsidP="008D7800">
            <w:pPr>
              <w:jc w:val="center"/>
              <w:rPr>
                <w:color w:val="000000"/>
                <w:sz w:val="20"/>
                <w:szCs w:val="20"/>
              </w:rPr>
            </w:pPr>
            <w:r w:rsidRPr="001B64A3">
              <w:rPr>
                <w:color w:val="000000"/>
                <w:sz w:val="20"/>
                <w:szCs w:val="20"/>
              </w:rPr>
              <w:t xml:space="preserve">The verified savings evaluation did account for the site findings and the SWE </w:t>
            </w:r>
            <w:r>
              <w:rPr>
                <w:color w:val="000000"/>
                <w:sz w:val="20"/>
                <w:szCs w:val="20"/>
              </w:rPr>
              <w:t xml:space="preserve">Team </w:t>
            </w:r>
            <w:r w:rsidRPr="001B64A3">
              <w:rPr>
                <w:color w:val="000000"/>
                <w:sz w:val="20"/>
                <w:szCs w:val="20"/>
              </w:rPr>
              <w:t>had no further recommendations for this project.</w:t>
            </w:r>
          </w:p>
        </w:tc>
      </w:tr>
      <w:tr w:rsidR="00B5775F" w:rsidRPr="009A753F" w:rsidTr="00FD03DC">
        <w:trPr>
          <w:trHeight w:val="977"/>
        </w:trPr>
        <w:tc>
          <w:tcPr>
            <w:tcW w:w="1070" w:type="dxa"/>
            <w:shd w:val="clear" w:color="auto" w:fill="auto"/>
            <w:noWrap/>
          </w:tcPr>
          <w:p w:rsidR="00B5775F" w:rsidRPr="000B74BE" w:rsidRDefault="00B5775F" w:rsidP="008D7800">
            <w:pPr>
              <w:rPr>
                <w:sz w:val="20"/>
                <w:szCs w:val="20"/>
              </w:rPr>
            </w:pPr>
            <w:r w:rsidRPr="000B74BE">
              <w:rPr>
                <w:sz w:val="20"/>
                <w:szCs w:val="20"/>
              </w:rPr>
              <w:t>PPL-13-12356</w:t>
            </w:r>
          </w:p>
        </w:tc>
        <w:tc>
          <w:tcPr>
            <w:tcW w:w="1232" w:type="dxa"/>
            <w:shd w:val="clear" w:color="auto" w:fill="auto"/>
            <w:noWrap/>
          </w:tcPr>
          <w:p w:rsidR="00B5775F" w:rsidRPr="000B74BE" w:rsidRDefault="00B5775F" w:rsidP="008D7800">
            <w:pPr>
              <w:jc w:val="center"/>
              <w:rPr>
                <w:sz w:val="20"/>
                <w:szCs w:val="20"/>
              </w:rPr>
            </w:pPr>
            <w:r w:rsidRPr="000B74BE">
              <w:rPr>
                <w:sz w:val="20"/>
                <w:szCs w:val="20"/>
              </w:rPr>
              <w:t>HVAC (RTUs)</w:t>
            </w:r>
          </w:p>
        </w:tc>
        <w:tc>
          <w:tcPr>
            <w:tcW w:w="3150" w:type="dxa"/>
            <w:shd w:val="clear" w:color="auto" w:fill="auto"/>
            <w:noWrap/>
          </w:tcPr>
          <w:p w:rsidR="00B5775F" w:rsidRPr="009A753F" w:rsidRDefault="00B5775F" w:rsidP="008D7800">
            <w:pPr>
              <w:jc w:val="center"/>
              <w:rPr>
                <w:color w:val="000000"/>
                <w:sz w:val="20"/>
                <w:szCs w:val="20"/>
              </w:rPr>
            </w:pPr>
            <w:r>
              <w:rPr>
                <w:color w:val="000000"/>
                <w:sz w:val="20"/>
                <w:szCs w:val="20"/>
              </w:rPr>
              <w:t>At the site visit, it was determined that the incorrect HOU was used in the ex ante; the evaluation contractor has corrected for this in the ex post.</w:t>
            </w:r>
          </w:p>
        </w:tc>
        <w:tc>
          <w:tcPr>
            <w:tcW w:w="990" w:type="dxa"/>
            <w:shd w:val="clear" w:color="auto" w:fill="auto"/>
            <w:noWrap/>
          </w:tcPr>
          <w:p w:rsidR="00B5775F" w:rsidRPr="009A753F" w:rsidRDefault="00B5775F" w:rsidP="008D7800">
            <w:pPr>
              <w:jc w:val="center"/>
              <w:rPr>
                <w:color w:val="000000"/>
                <w:sz w:val="20"/>
                <w:szCs w:val="20"/>
              </w:rPr>
            </w:pPr>
            <w:r>
              <w:rPr>
                <w:color w:val="000000"/>
                <w:sz w:val="20"/>
                <w:szCs w:val="20"/>
              </w:rPr>
              <w:t>Eval</w:t>
            </w:r>
          </w:p>
        </w:tc>
        <w:tc>
          <w:tcPr>
            <w:tcW w:w="2908" w:type="dxa"/>
            <w:shd w:val="clear" w:color="auto" w:fill="auto"/>
            <w:noWrap/>
          </w:tcPr>
          <w:p w:rsidR="00B5775F" w:rsidRPr="009A753F" w:rsidRDefault="00B5775F" w:rsidP="008D7800">
            <w:pPr>
              <w:jc w:val="center"/>
              <w:rPr>
                <w:color w:val="000000"/>
                <w:sz w:val="20"/>
                <w:szCs w:val="20"/>
              </w:rPr>
            </w:pPr>
            <w:r w:rsidRPr="00FF14DC">
              <w:rPr>
                <w:color w:val="000000"/>
                <w:sz w:val="20"/>
                <w:szCs w:val="20"/>
              </w:rPr>
              <w:t xml:space="preserve">The verified savings evaluation did account for the site findings and the SWE </w:t>
            </w:r>
            <w:r>
              <w:rPr>
                <w:color w:val="000000"/>
                <w:sz w:val="20"/>
                <w:szCs w:val="20"/>
              </w:rPr>
              <w:t xml:space="preserve">Team </w:t>
            </w:r>
            <w:r w:rsidRPr="00FF14DC">
              <w:rPr>
                <w:color w:val="000000"/>
                <w:sz w:val="20"/>
                <w:szCs w:val="20"/>
              </w:rPr>
              <w:t>had no further recommendations for this project.</w:t>
            </w:r>
          </w:p>
        </w:tc>
      </w:tr>
      <w:tr w:rsidR="00A874AC" w:rsidRPr="009A753F" w:rsidTr="0036185D">
        <w:trPr>
          <w:trHeight w:val="977"/>
        </w:trPr>
        <w:tc>
          <w:tcPr>
            <w:tcW w:w="1070" w:type="dxa"/>
            <w:shd w:val="clear" w:color="auto" w:fill="D2EAF1"/>
            <w:noWrap/>
          </w:tcPr>
          <w:p w:rsidR="00B5775F" w:rsidRPr="000B74BE" w:rsidRDefault="00B5775F" w:rsidP="008D7800">
            <w:pPr>
              <w:rPr>
                <w:sz w:val="20"/>
                <w:szCs w:val="20"/>
              </w:rPr>
            </w:pPr>
            <w:r w:rsidRPr="000B74BE">
              <w:rPr>
                <w:sz w:val="20"/>
                <w:szCs w:val="20"/>
              </w:rPr>
              <w:t>MMMF-1436246</w:t>
            </w:r>
          </w:p>
        </w:tc>
        <w:tc>
          <w:tcPr>
            <w:tcW w:w="1232" w:type="dxa"/>
            <w:shd w:val="clear" w:color="auto" w:fill="D2EAF1"/>
            <w:noWrap/>
          </w:tcPr>
          <w:p w:rsidR="00B5775F" w:rsidRPr="000B74BE" w:rsidRDefault="00B5775F" w:rsidP="008D7800">
            <w:pPr>
              <w:jc w:val="center"/>
              <w:rPr>
                <w:sz w:val="20"/>
                <w:szCs w:val="20"/>
              </w:rPr>
            </w:pPr>
            <w:r w:rsidRPr="000B74BE">
              <w:rPr>
                <w:sz w:val="20"/>
                <w:szCs w:val="20"/>
              </w:rPr>
              <w:t>Lighting</w:t>
            </w:r>
          </w:p>
        </w:tc>
        <w:tc>
          <w:tcPr>
            <w:tcW w:w="3150" w:type="dxa"/>
            <w:shd w:val="clear" w:color="auto" w:fill="D2EAF1"/>
            <w:noWrap/>
          </w:tcPr>
          <w:p w:rsidR="00B5775F" w:rsidRPr="00672DCF" w:rsidRDefault="00B5775F" w:rsidP="008D7800">
            <w:pPr>
              <w:jc w:val="center"/>
              <w:rPr>
                <w:sz w:val="20"/>
                <w:szCs w:val="20"/>
              </w:rPr>
            </w:pPr>
            <w:r w:rsidRPr="00672DCF">
              <w:rPr>
                <w:sz w:val="20"/>
                <w:szCs w:val="20"/>
              </w:rPr>
              <w:t xml:space="preserve">Minor variations in the fixture counts </w:t>
            </w:r>
            <w:r>
              <w:rPr>
                <w:sz w:val="20"/>
                <w:szCs w:val="20"/>
              </w:rPr>
              <w:t>were discovered on-</w:t>
            </w:r>
            <w:r w:rsidRPr="00672DCF">
              <w:rPr>
                <w:sz w:val="20"/>
                <w:szCs w:val="20"/>
              </w:rPr>
              <w:t>site.</w:t>
            </w:r>
          </w:p>
        </w:tc>
        <w:tc>
          <w:tcPr>
            <w:tcW w:w="990" w:type="dxa"/>
            <w:shd w:val="clear" w:color="auto" w:fill="D2EAF1"/>
            <w:noWrap/>
          </w:tcPr>
          <w:p w:rsidR="00B5775F" w:rsidRPr="00672DCF" w:rsidRDefault="00B5775F" w:rsidP="008D7800">
            <w:pPr>
              <w:jc w:val="center"/>
              <w:rPr>
                <w:sz w:val="20"/>
                <w:szCs w:val="20"/>
              </w:rPr>
            </w:pPr>
            <w:r w:rsidRPr="00672DCF">
              <w:rPr>
                <w:sz w:val="20"/>
                <w:szCs w:val="20"/>
              </w:rPr>
              <w:t>Eval</w:t>
            </w:r>
          </w:p>
        </w:tc>
        <w:tc>
          <w:tcPr>
            <w:tcW w:w="2908" w:type="dxa"/>
            <w:shd w:val="clear" w:color="auto" w:fill="D2EAF1"/>
            <w:noWrap/>
          </w:tcPr>
          <w:p w:rsidR="00B5775F" w:rsidRPr="00672DCF" w:rsidRDefault="00B5775F" w:rsidP="008D7800">
            <w:pPr>
              <w:jc w:val="center"/>
              <w:rPr>
                <w:sz w:val="20"/>
                <w:szCs w:val="20"/>
              </w:rPr>
            </w:pPr>
            <w:r w:rsidRPr="00672DCF">
              <w:rPr>
                <w:sz w:val="20"/>
                <w:szCs w:val="20"/>
              </w:rPr>
              <w:t xml:space="preserve">The verified savings evaluation did account for the site findings and the SWE </w:t>
            </w:r>
            <w:r>
              <w:rPr>
                <w:sz w:val="20"/>
                <w:szCs w:val="20"/>
              </w:rPr>
              <w:t xml:space="preserve">Team </w:t>
            </w:r>
            <w:r w:rsidRPr="00672DCF">
              <w:rPr>
                <w:sz w:val="20"/>
                <w:szCs w:val="20"/>
              </w:rPr>
              <w:t>had no further recommendations for this project.</w:t>
            </w:r>
          </w:p>
        </w:tc>
      </w:tr>
      <w:tr w:rsidR="00B5775F" w:rsidRPr="009A753F" w:rsidTr="00FD03DC">
        <w:trPr>
          <w:trHeight w:val="977"/>
        </w:trPr>
        <w:tc>
          <w:tcPr>
            <w:tcW w:w="1070" w:type="dxa"/>
            <w:shd w:val="clear" w:color="auto" w:fill="auto"/>
            <w:noWrap/>
          </w:tcPr>
          <w:p w:rsidR="00B5775F" w:rsidRPr="000B74BE" w:rsidRDefault="00B5775F" w:rsidP="008D7800">
            <w:pPr>
              <w:rPr>
                <w:sz w:val="20"/>
                <w:szCs w:val="20"/>
              </w:rPr>
            </w:pPr>
            <w:r w:rsidRPr="000B74BE">
              <w:rPr>
                <w:sz w:val="20"/>
                <w:szCs w:val="20"/>
              </w:rPr>
              <w:t>PPL-13-11832</w:t>
            </w:r>
          </w:p>
        </w:tc>
        <w:tc>
          <w:tcPr>
            <w:tcW w:w="1232" w:type="dxa"/>
            <w:shd w:val="clear" w:color="auto" w:fill="auto"/>
            <w:noWrap/>
          </w:tcPr>
          <w:p w:rsidR="00B5775F" w:rsidRPr="000B74BE" w:rsidRDefault="00B5775F" w:rsidP="008D7800">
            <w:pPr>
              <w:jc w:val="center"/>
              <w:rPr>
                <w:sz w:val="20"/>
                <w:szCs w:val="20"/>
              </w:rPr>
            </w:pPr>
            <w:r w:rsidRPr="000B74BE">
              <w:rPr>
                <w:sz w:val="20"/>
                <w:szCs w:val="20"/>
              </w:rPr>
              <w:t>Lighting</w:t>
            </w:r>
          </w:p>
        </w:tc>
        <w:tc>
          <w:tcPr>
            <w:tcW w:w="3150" w:type="dxa"/>
            <w:shd w:val="clear" w:color="auto" w:fill="auto"/>
            <w:noWrap/>
          </w:tcPr>
          <w:p w:rsidR="00B5775F" w:rsidRPr="007F41AA" w:rsidRDefault="00B5775F" w:rsidP="008D7800">
            <w:pPr>
              <w:jc w:val="center"/>
              <w:rPr>
                <w:sz w:val="20"/>
                <w:szCs w:val="20"/>
              </w:rPr>
            </w:pPr>
            <w:r w:rsidRPr="007F41AA">
              <w:rPr>
                <w:sz w:val="20"/>
                <w:szCs w:val="20"/>
              </w:rPr>
              <w:t xml:space="preserve">The SWE Team found that the </w:t>
            </w:r>
            <w:r>
              <w:rPr>
                <w:sz w:val="20"/>
                <w:szCs w:val="20"/>
              </w:rPr>
              <w:t>evaluation contractor’s</w:t>
            </w:r>
            <w:r w:rsidRPr="00185E94">
              <w:rPr>
                <w:sz w:val="20"/>
                <w:szCs w:val="20"/>
              </w:rPr>
              <w:t xml:space="preserve"> </w:t>
            </w:r>
            <w:r w:rsidRPr="007F41AA">
              <w:rPr>
                <w:sz w:val="20"/>
                <w:szCs w:val="20"/>
              </w:rPr>
              <w:t>review of the project is accurate.</w:t>
            </w:r>
          </w:p>
        </w:tc>
        <w:tc>
          <w:tcPr>
            <w:tcW w:w="990" w:type="dxa"/>
            <w:shd w:val="clear" w:color="auto" w:fill="auto"/>
            <w:noWrap/>
          </w:tcPr>
          <w:p w:rsidR="00B5775F" w:rsidRPr="007F41AA" w:rsidRDefault="00B5775F" w:rsidP="008D7800">
            <w:pPr>
              <w:jc w:val="center"/>
              <w:rPr>
                <w:sz w:val="20"/>
                <w:szCs w:val="20"/>
              </w:rPr>
            </w:pPr>
            <w:r w:rsidRPr="007F41AA">
              <w:rPr>
                <w:sz w:val="20"/>
                <w:szCs w:val="20"/>
              </w:rPr>
              <w:t>Eval</w:t>
            </w:r>
          </w:p>
        </w:tc>
        <w:tc>
          <w:tcPr>
            <w:tcW w:w="2908" w:type="dxa"/>
            <w:shd w:val="clear" w:color="auto" w:fill="auto"/>
            <w:noWrap/>
          </w:tcPr>
          <w:p w:rsidR="00B5775F" w:rsidRPr="007F41AA" w:rsidRDefault="00B5775F" w:rsidP="008D7800">
            <w:pPr>
              <w:jc w:val="center"/>
              <w:rPr>
                <w:sz w:val="20"/>
                <w:szCs w:val="20"/>
              </w:rPr>
            </w:pPr>
            <w:r w:rsidRPr="007F41AA">
              <w:rPr>
                <w:sz w:val="20"/>
                <w:szCs w:val="20"/>
              </w:rPr>
              <w:t>The SWE Team had no recommendations based on its review of this project.</w:t>
            </w:r>
          </w:p>
        </w:tc>
      </w:tr>
      <w:tr w:rsidR="00A874AC" w:rsidRPr="009A753F" w:rsidTr="0036185D">
        <w:trPr>
          <w:trHeight w:val="977"/>
        </w:trPr>
        <w:tc>
          <w:tcPr>
            <w:tcW w:w="1070" w:type="dxa"/>
            <w:shd w:val="clear" w:color="auto" w:fill="D2EAF1"/>
            <w:noWrap/>
          </w:tcPr>
          <w:p w:rsidR="00B5775F" w:rsidRPr="000B74BE" w:rsidRDefault="00B5775F" w:rsidP="008D7800">
            <w:pPr>
              <w:rPr>
                <w:sz w:val="20"/>
                <w:szCs w:val="20"/>
              </w:rPr>
            </w:pPr>
            <w:r w:rsidRPr="000B74BE">
              <w:rPr>
                <w:sz w:val="20"/>
                <w:szCs w:val="20"/>
              </w:rPr>
              <w:t>PPL-13-11882</w:t>
            </w:r>
          </w:p>
        </w:tc>
        <w:tc>
          <w:tcPr>
            <w:tcW w:w="1232" w:type="dxa"/>
            <w:shd w:val="clear" w:color="auto" w:fill="D2EAF1"/>
            <w:noWrap/>
          </w:tcPr>
          <w:p w:rsidR="00B5775F" w:rsidRPr="000B74BE" w:rsidRDefault="00B5775F" w:rsidP="008D7800">
            <w:pPr>
              <w:jc w:val="center"/>
              <w:rPr>
                <w:sz w:val="20"/>
                <w:szCs w:val="20"/>
              </w:rPr>
            </w:pPr>
            <w:r w:rsidRPr="000B74BE">
              <w:rPr>
                <w:sz w:val="20"/>
                <w:szCs w:val="20"/>
              </w:rPr>
              <w:t>Lighting</w:t>
            </w:r>
          </w:p>
        </w:tc>
        <w:tc>
          <w:tcPr>
            <w:tcW w:w="3150" w:type="dxa"/>
            <w:shd w:val="clear" w:color="auto" w:fill="D2EAF1"/>
            <w:noWrap/>
          </w:tcPr>
          <w:p w:rsidR="00B5775F" w:rsidRPr="007F41AA" w:rsidRDefault="00B5775F" w:rsidP="008D7800">
            <w:pPr>
              <w:jc w:val="center"/>
              <w:rPr>
                <w:sz w:val="20"/>
                <w:szCs w:val="20"/>
              </w:rPr>
            </w:pPr>
            <w:r w:rsidRPr="007F41AA">
              <w:rPr>
                <w:sz w:val="20"/>
                <w:szCs w:val="20"/>
              </w:rPr>
              <w:t xml:space="preserve">The SWE Team found that the </w:t>
            </w:r>
            <w:r>
              <w:rPr>
                <w:sz w:val="20"/>
                <w:szCs w:val="20"/>
              </w:rPr>
              <w:t>evaluation contractor’s</w:t>
            </w:r>
            <w:r w:rsidRPr="007F41AA">
              <w:rPr>
                <w:sz w:val="20"/>
                <w:szCs w:val="20"/>
              </w:rPr>
              <w:t xml:space="preserve"> review of the project is accurate.</w:t>
            </w:r>
          </w:p>
        </w:tc>
        <w:tc>
          <w:tcPr>
            <w:tcW w:w="990" w:type="dxa"/>
            <w:shd w:val="clear" w:color="auto" w:fill="D2EAF1"/>
            <w:noWrap/>
          </w:tcPr>
          <w:p w:rsidR="00B5775F" w:rsidRPr="007F41AA" w:rsidRDefault="00B5775F" w:rsidP="008D7800">
            <w:pPr>
              <w:jc w:val="center"/>
              <w:rPr>
                <w:sz w:val="20"/>
                <w:szCs w:val="20"/>
              </w:rPr>
            </w:pPr>
            <w:r w:rsidRPr="007F41AA">
              <w:rPr>
                <w:sz w:val="20"/>
                <w:szCs w:val="20"/>
              </w:rPr>
              <w:t>Eval</w:t>
            </w:r>
          </w:p>
        </w:tc>
        <w:tc>
          <w:tcPr>
            <w:tcW w:w="2908" w:type="dxa"/>
            <w:shd w:val="clear" w:color="auto" w:fill="D2EAF1"/>
            <w:noWrap/>
          </w:tcPr>
          <w:p w:rsidR="00B5775F" w:rsidRPr="007F41AA" w:rsidRDefault="00B5775F" w:rsidP="008D7800">
            <w:pPr>
              <w:jc w:val="center"/>
              <w:rPr>
                <w:sz w:val="20"/>
                <w:szCs w:val="20"/>
              </w:rPr>
            </w:pPr>
            <w:r w:rsidRPr="007F41AA">
              <w:rPr>
                <w:sz w:val="20"/>
                <w:szCs w:val="20"/>
              </w:rPr>
              <w:t>The SWE Team had no recommendations based on its review of this project.</w:t>
            </w:r>
          </w:p>
        </w:tc>
      </w:tr>
      <w:tr w:rsidR="00B5775F" w:rsidRPr="009A753F" w:rsidTr="00FD03DC">
        <w:trPr>
          <w:trHeight w:val="977"/>
        </w:trPr>
        <w:tc>
          <w:tcPr>
            <w:tcW w:w="1070" w:type="dxa"/>
            <w:shd w:val="clear" w:color="auto" w:fill="auto"/>
            <w:noWrap/>
          </w:tcPr>
          <w:p w:rsidR="00B5775F" w:rsidRPr="000B74BE" w:rsidRDefault="00B5775F" w:rsidP="008D7800">
            <w:pPr>
              <w:rPr>
                <w:sz w:val="20"/>
                <w:szCs w:val="20"/>
              </w:rPr>
            </w:pPr>
            <w:r w:rsidRPr="000B74BE">
              <w:rPr>
                <w:sz w:val="20"/>
                <w:szCs w:val="20"/>
              </w:rPr>
              <w:t>PPL-13-12424</w:t>
            </w:r>
          </w:p>
        </w:tc>
        <w:tc>
          <w:tcPr>
            <w:tcW w:w="1232" w:type="dxa"/>
            <w:shd w:val="clear" w:color="auto" w:fill="auto"/>
            <w:noWrap/>
          </w:tcPr>
          <w:p w:rsidR="00B5775F" w:rsidRPr="000B74BE" w:rsidRDefault="00B5775F" w:rsidP="008D7800">
            <w:pPr>
              <w:jc w:val="center"/>
              <w:rPr>
                <w:sz w:val="20"/>
                <w:szCs w:val="20"/>
              </w:rPr>
            </w:pPr>
            <w:r w:rsidRPr="000B74BE">
              <w:rPr>
                <w:sz w:val="20"/>
                <w:szCs w:val="20"/>
              </w:rPr>
              <w:t>Lighting</w:t>
            </w:r>
          </w:p>
        </w:tc>
        <w:tc>
          <w:tcPr>
            <w:tcW w:w="3150" w:type="dxa"/>
            <w:shd w:val="clear" w:color="auto" w:fill="auto"/>
            <w:noWrap/>
          </w:tcPr>
          <w:p w:rsidR="00B5775F" w:rsidRPr="007F41AA" w:rsidRDefault="00B5775F" w:rsidP="008D7800">
            <w:pPr>
              <w:jc w:val="center"/>
              <w:rPr>
                <w:sz w:val="20"/>
                <w:szCs w:val="20"/>
              </w:rPr>
            </w:pPr>
            <w:r w:rsidRPr="007F41AA">
              <w:rPr>
                <w:sz w:val="20"/>
                <w:szCs w:val="20"/>
              </w:rPr>
              <w:t xml:space="preserve">Minor variations in the fixture counts </w:t>
            </w:r>
            <w:r>
              <w:rPr>
                <w:sz w:val="20"/>
                <w:szCs w:val="20"/>
              </w:rPr>
              <w:t>were discovered on-</w:t>
            </w:r>
            <w:r w:rsidRPr="007F41AA">
              <w:rPr>
                <w:sz w:val="20"/>
                <w:szCs w:val="20"/>
              </w:rPr>
              <w:t>site.</w:t>
            </w:r>
          </w:p>
        </w:tc>
        <w:tc>
          <w:tcPr>
            <w:tcW w:w="990" w:type="dxa"/>
            <w:shd w:val="clear" w:color="auto" w:fill="auto"/>
            <w:noWrap/>
          </w:tcPr>
          <w:p w:rsidR="00B5775F" w:rsidRPr="007F41AA" w:rsidRDefault="00B5775F" w:rsidP="008D7800">
            <w:pPr>
              <w:jc w:val="center"/>
              <w:rPr>
                <w:sz w:val="20"/>
                <w:szCs w:val="20"/>
              </w:rPr>
            </w:pPr>
            <w:r w:rsidRPr="007F41AA">
              <w:rPr>
                <w:sz w:val="20"/>
                <w:szCs w:val="20"/>
              </w:rPr>
              <w:t>Eval</w:t>
            </w:r>
          </w:p>
        </w:tc>
        <w:tc>
          <w:tcPr>
            <w:tcW w:w="2908" w:type="dxa"/>
            <w:shd w:val="clear" w:color="auto" w:fill="auto"/>
            <w:noWrap/>
          </w:tcPr>
          <w:p w:rsidR="00B5775F" w:rsidRPr="007F41AA" w:rsidRDefault="00B5775F" w:rsidP="008D7800">
            <w:pPr>
              <w:jc w:val="center"/>
              <w:rPr>
                <w:sz w:val="20"/>
                <w:szCs w:val="20"/>
              </w:rPr>
            </w:pPr>
            <w:r w:rsidRPr="007F41AA">
              <w:rPr>
                <w:sz w:val="20"/>
                <w:szCs w:val="20"/>
              </w:rPr>
              <w:t>The verified savings evaluation did account for the site findings and the SWE had no further recommendations for this project.</w:t>
            </w:r>
          </w:p>
        </w:tc>
      </w:tr>
    </w:tbl>
    <w:p w:rsidR="00B5775F" w:rsidRPr="00442645" w:rsidRDefault="00B5775F" w:rsidP="00B5775F"/>
    <w:p w:rsidR="00950837" w:rsidRDefault="00950837" w:rsidP="00D34B3E">
      <w:pPr>
        <w:pStyle w:val="AppendixAHeading3"/>
      </w:pPr>
      <w:r>
        <w:t>Net-to-Gross and Process Evaluation Audit Summary</w:t>
      </w:r>
    </w:p>
    <w:p w:rsidR="005A311D" w:rsidRPr="00661E10" w:rsidRDefault="005A311D" w:rsidP="005A311D">
      <w:r w:rsidRPr="00661E10">
        <w:t>The SWE Team’s audit included a review of the process evaluation methods, findings, conclusions, and recommendations in PPL’s PY7 annual report to determine whether they were consistent with the reporting templates provided by the SWE. The SWE Team’s audit of the process reports also included a review of process-related methods and research activities to determine whether they were consistent with the approved evaluation plan, and a review of the linkage between findings, conclusions, and recommendations.</w:t>
      </w:r>
    </w:p>
    <w:p w:rsidR="005A311D" w:rsidRPr="00661E10" w:rsidRDefault="005A311D" w:rsidP="005A311D">
      <w:pPr>
        <w:rPr>
          <w:shd w:val="clear" w:color="auto" w:fill="D9D9D9"/>
        </w:rPr>
      </w:pPr>
    </w:p>
    <w:p w:rsidR="005A311D" w:rsidRPr="00661E10" w:rsidRDefault="005A311D" w:rsidP="0036185D">
      <w:pPr>
        <w:spacing w:after="120"/>
      </w:pPr>
      <w:r w:rsidRPr="00661E10">
        <w:t>Overall, the SWE Team found that the evaluations appeared to be consistent with the Phase II evaluation plan, with four exceptions:</w:t>
      </w:r>
    </w:p>
    <w:p w:rsidR="005A311D" w:rsidRPr="0036185D" w:rsidRDefault="005A311D" w:rsidP="00E646C9">
      <w:pPr>
        <w:pStyle w:val="ListParagraph"/>
        <w:numPr>
          <w:ilvl w:val="0"/>
          <w:numId w:val="94"/>
        </w:numPr>
        <w:ind w:left="360"/>
        <w:rPr>
          <w:rFonts w:eastAsia="Calibri"/>
        </w:rPr>
      </w:pPr>
      <w:r w:rsidRPr="0036185D">
        <w:rPr>
          <w:rFonts w:eastAsia="Calibri"/>
        </w:rPr>
        <w:t xml:space="preserve">For a few of the interviews and surveys, Cadmus did not achieve the planned number of completions; only one of the surveys had a targeted level of confidence/precision, and </w:t>
      </w:r>
      <w:r w:rsidR="00C20C41" w:rsidRPr="0036185D">
        <w:rPr>
          <w:rFonts w:eastAsia="Calibri"/>
        </w:rPr>
        <w:t>Cadmus did not report the impact the reduced number of completions had on confidence/precision</w:t>
      </w:r>
      <w:r w:rsidRPr="0036185D">
        <w:rPr>
          <w:rFonts w:eastAsia="Calibri"/>
        </w:rPr>
        <w:t xml:space="preserve">. </w:t>
      </w:r>
    </w:p>
    <w:p w:rsidR="005A311D" w:rsidRPr="0036185D" w:rsidRDefault="005A311D" w:rsidP="00E646C9">
      <w:pPr>
        <w:pStyle w:val="ListParagraph"/>
        <w:numPr>
          <w:ilvl w:val="0"/>
          <w:numId w:val="94"/>
        </w:numPr>
        <w:ind w:left="360"/>
        <w:rPr>
          <w:rFonts w:eastAsia="Calibri"/>
        </w:rPr>
      </w:pPr>
      <w:r w:rsidRPr="0036185D">
        <w:rPr>
          <w:rFonts w:eastAsia="Calibri"/>
        </w:rPr>
        <w:t xml:space="preserve">PPL and Cadmus substantially revised the evaluation plan for the Wise Home Pilot after PPL was unable to enroll the planned number of eligible customers, and Cadmus followed the revised plan. </w:t>
      </w:r>
    </w:p>
    <w:p w:rsidR="005A311D" w:rsidRPr="0036185D" w:rsidRDefault="005A311D" w:rsidP="00E646C9">
      <w:pPr>
        <w:pStyle w:val="ListParagraph"/>
        <w:numPr>
          <w:ilvl w:val="0"/>
          <w:numId w:val="94"/>
        </w:numPr>
        <w:ind w:left="360"/>
        <w:rPr>
          <w:rFonts w:eastAsia="Calibri"/>
        </w:rPr>
      </w:pPr>
      <w:r w:rsidRPr="0036185D">
        <w:rPr>
          <w:rFonts w:eastAsia="Calibri"/>
        </w:rPr>
        <w:t xml:space="preserve">Cadmus and PPL moved the planned contractor and designer interviews and additional benchmarking research to Phase III for the Custom Incentive Program but did not provide an explanation for the change. </w:t>
      </w:r>
    </w:p>
    <w:p w:rsidR="005A311D" w:rsidRPr="0036185D" w:rsidRDefault="005A311D" w:rsidP="00E646C9">
      <w:pPr>
        <w:pStyle w:val="ListParagraph"/>
        <w:numPr>
          <w:ilvl w:val="0"/>
          <w:numId w:val="94"/>
        </w:numPr>
        <w:ind w:left="360"/>
        <w:rPr>
          <w:rFonts w:eastAsia="Calibri"/>
        </w:rPr>
      </w:pPr>
      <w:r w:rsidRPr="0036185D">
        <w:rPr>
          <w:rFonts w:eastAsia="Calibri"/>
        </w:rPr>
        <w:t>Cadmus and PPL decided not to conduct interviews with agricultural trade allies in the Prescriptive Rebate program due to several complications.</w:t>
      </w:r>
    </w:p>
    <w:p w:rsidR="005A311D" w:rsidRPr="00661E10" w:rsidRDefault="005A311D" w:rsidP="005A311D"/>
    <w:p w:rsidR="005A311D" w:rsidRPr="00661E10" w:rsidRDefault="005A311D" w:rsidP="005A311D">
      <w:r w:rsidRPr="00661E10">
        <w:t xml:space="preserve">The SWE Team determined that the sampling approaches for the process evaluation activities were appropriate. The participant surveys either attempted a census or used a simple or stratified random sampling approach. Most survey samples either had enough cases to achieve at least 90/10 confidence/precision, or were drawn from such small populations that achieving that standard would have required reaching a large percentage of the population. For the in-depth interviews with program staff, implementers, or other program actors, the sampling was purposive. In a few instances, Cadmus completed interviews or surveys with fewer respondents than planned; Cadmus discussed why this occurred and any impacts this had on the findings. </w:t>
      </w:r>
    </w:p>
    <w:p w:rsidR="005A311D" w:rsidRPr="00661E10" w:rsidRDefault="005A311D" w:rsidP="005A311D">
      <w:pPr>
        <w:rPr>
          <w:color w:val="548DD4"/>
        </w:rPr>
      </w:pPr>
    </w:p>
    <w:p w:rsidR="005A311D" w:rsidRPr="00661E10" w:rsidRDefault="005A311D" w:rsidP="0036185D">
      <w:pPr>
        <w:spacing w:after="120"/>
      </w:pPr>
      <w:r w:rsidRPr="00661E10">
        <w:t xml:space="preserve">The SWE Team deemed the reporting to be generally well done, with a few exceptions (see the list below). Overall, the evaluation contractor presented findings in a clear manner and the report generally included sufficient detail for the SWE Team (and other readers) to assess the methods, findings, conclusions, and recommendations. The PY7 annual report provided all the required elements, including a summary of methods, high-level findings, and a table of recommendations with descriptions of whether or not the EDC was implementing or considering the recommendations. All programs drew on multiple sources to inform most findings and recommendations. </w:t>
      </w:r>
      <w:r w:rsidR="00C20C41" w:rsidRPr="00C20C41">
        <w:t>Listed below are areas where additional information would be valuable, although not required</w:t>
      </w:r>
      <w:r w:rsidRPr="00661E10">
        <w:t>:</w:t>
      </w:r>
    </w:p>
    <w:p w:rsidR="00C20C41" w:rsidRPr="0036185D" w:rsidRDefault="00C20C41" w:rsidP="00E646C9">
      <w:pPr>
        <w:pStyle w:val="ListParagraph"/>
        <w:numPr>
          <w:ilvl w:val="0"/>
          <w:numId w:val="95"/>
        </w:numPr>
        <w:ind w:left="360"/>
      </w:pPr>
      <w:r w:rsidRPr="0036185D">
        <w:t xml:space="preserve">It would be valuable to include the survey mode (web, phone, mail) used to conduct each survey in the sample and disposition tables as well as in the text so the reader does not have to refer to the text to find which mode was used. In addition, for multi-mode surveys (e.g., a web and phone survey), it would be valuable to report the sampling and disposition information separately by mode rather than in the aggregate. </w:t>
      </w:r>
    </w:p>
    <w:p w:rsidR="00C20C41" w:rsidRPr="0036185D" w:rsidRDefault="00C20C41" w:rsidP="00E646C9">
      <w:pPr>
        <w:pStyle w:val="ListParagraph"/>
        <w:numPr>
          <w:ilvl w:val="0"/>
          <w:numId w:val="95"/>
        </w:numPr>
        <w:ind w:left="360"/>
      </w:pPr>
      <w:r w:rsidRPr="0036185D">
        <w:t>Several recommendations included multiple specific recommendations that could be separated. Combining too many recommended actions into one recommendation can be confusing, particularly if one recommended action can be taken without taking the other recommended actions.</w:t>
      </w:r>
    </w:p>
    <w:p w:rsidR="00C20C41" w:rsidRPr="0036185D" w:rsidRDefault="00C20C41" w:rsidP="00E646C9">
      <w:pPr>
        <w:pStyle w:val="ListParagraph"/>
        <w:numPr>
          <w:ilvl w:val="0"/>
          <w:numId w:val="95"/>
        </w:numPr>
        <w:ind w:left="360"/>
      </w:pPr>
      <w:r w:rsidRPr="0036185D">
        <w:t>Two recommendations were too vague and did not include specific actions to take. All recommendations should include actionable tasks or ideas.</w:t>
      </w:r>
    </w:p>
    <w:p w:rsidR="00C20C41" w:rsidRPr="0036185D" w:rsidRDefault="00C20C41" w:rsidP="00E646C9">
      <w:pPr>
        <w:pStyle w:val="ListParagraph"/>
        <w:numPr>
          <w:ilvl w:val="0"/>
          <w:numId w:val="95"/>
        </w:numPr>
        <w:ind w:left="360"/>
      </w:pPr>
      <w:r w:rsidRPr="0036185D">
        <w:t>The results in a few sections of the report would be easier to process if provided in a table instead of the bullets or short paragraphs currently used.</w:t>
      </w:r>
    </w:p>
    <w:p w:rsidR="005A311D" w:rsidRPr="0036185D" w:rsidRDefault="00C20C41" w:rsidP="00E646C9">
      <w:pPr>
        <w:pStyle w:val="ListParagraph"/>
        <w:numPr>
          <w:ilvl w:val="0"/>
          <w:numId w:val="95"/>
        </w:numPr>
        <w:ind w:left="360"/>
      </w:pPr>
      <w:r w:rsidRPr="0036185D">
        <w:t>Some survey findings from the low-income program were reported in the residential program chapter but did not include the information about the data collection methods. Adding these details to each chapter would improve the readability of the report so that the reader does not have to go back and forth between chapters to get the full details.</w:t>
      </w:r>
    </w:p>
    <w:p w:rsidR="00C20C41" w:rsidRPr="00661E10" w:rsidRDefault="00C20C41" w:rsidP="00C20C41"/>
    <w:p w:rsidR="005A311D" w:rsidRPr="00661E10" w:rsidRDefault="005A311D" w:rsidP="005A311D">
      <w:r w:rsidRPr="00661E10">
        <w:rPr>
          <w:szCs w:val="20"/>
          <w:lang w:val="x-none" w:eastAsia="x-none"/>
        </w:rPr>
        <w:t xml:space="preserve">Detailed summaries </w:t>
      </w:r>
      <w:r w:rsidRPr="00661E10">
        <w:rPr>
          <w:szCs w:val="20"/>
          <w:lang w:eastAsia="x-none"/>
        </w:rPr>
        <w:t xml:space="preserve">of </w:t>
      </w:r>
      <w:r w:rsidRPr="00661E10">
        <w:rPr>
          <w:szCs w:val="20"/>
          <w:lang w:val="x-none" w:eastAsia="x-none"/>
        </w:rPr>
        <w:t>the SWE Team</w:t>
      </w:r>
      <w:r w:rsidRPr="00661E10">
        <w:rPr>
          <w:szCs w:val="20"/>
          <w:lang w:eastAsia="x-none"/>
        </w:rPr>
        <w:t>’s</w:t>
      </w:r>
      <w:r w:rsidRPr="00661E10">
        <w:rPr>
          <w:szCs w:val="20"/>
          <w:lang w:val="x-none" w:eastAsia="x-none"/>
        </w:rPr>
        <w:t xml:space="preserve"> review of the process evaluation by program are in Appendix </w:t>
      </w:r>
      <w:r>
        <w:rPr>
          <w:szCs w:val="20"/>
          <w:lang w:eastAsia="x-none"/>
        </w:rPr>
        <w:t>B</w:t>
      </w:r>
      <w:r w:rsidRPr="00661E10">
        <w:rPr>
          <w:szCs w:val="20"/>
          <w:lang w:val="x-none" w:eastAsia="x-none"/>
        </w:rPr>
        <w:t>.</w:t>
      </w:r>
    </w:p>
    <w:p w:rsidR="005A311D" w:rsidRPr="00661E10" w:rsidRDefault="005A311D" w:rsidP="005A311D"/>
    <w:p w:rsidR="0075500D" w:rsidRPr="006C05B5" w:rsidRDefault="0075500D" w:rsidP="0075500D">
      <w:r w:rsidRPr="006C05B5">
        <w:t>Th</w:t>
      </w:r>
      <w:r>
        <w:t>e remainder of this</w:t>
      </w:r>
      <w:r w:rsidRPr="006C05B5">
        <w:t xml:space="preserve"> section summarizes the activities and key findings of the SWE Team’s NTG audits of PPL’s PY7 programs. </w:t>
      </w:r>
    </w:p>
    <w:p w:rsidR="0075500D" w:rsidRPr="006C05B5" w:rsidRDefault="0075500D" w:rsidP="0075500D"/>
    <w:p w:rsidR="0075500D" w:rsidRPr="006C05B5" w:rsidRDefault="0075500D" w:rsidP="0075500D">
      <w:r>
        <w:fldChar w:fldCharType="begin"/>
      </w:r>
      <w:r>
        <w:instrText xml:space="preserve"> REF _Ref472454135 \h </w:instrText>
      </w:r>
      <w:r>
        <w:fldChar w:fldCharType="separate"/>
      </w:r>
      <w:r w:rsidR="00A874AC" w:rsidRPr="0075500D">
        <w:t>Table A-</w:t>
      </w:r>
      <w:r w:rsidR="00A874AC">
        <w:rPr>
          <w:noProof/>
        </w:rPr>
        <w:t>155</w:t>
      </w:r>
      <w:r>
        <w:fldChar w:fldCharType="end"/>
      </w:r>
      <w:r w:rsidRPr="006C05B5">
        <w:t xml:space="preserve"> summarizes the results of the SWE Team’s audit of Cadmus’s NTG assessment of the PPL programs. </w:t>
      </w:r>
    </w:p>
    <w:p w:rsidR="0075500D" w:rsidRPr="006C05B5" w:rsidRDefault="0075500D" w:rsidP="0075500D"/>
    <w:p w:rsidR="0075500D" w:rsidRPr="0075500D" w:rsidRDefault="0075500D" w:rsidP="0075500D">
      <w:pPr>
        <w:pStyle w:val="Caption"/>
      </w:pPr>
      <w:bookmarkStart w:id="1374" w:name="_Ref472454135"/>
      <w:bookmarkStart w:id="1375" w:name="_Toc444269806"/>
      <w:bookmarkStart w:id="1376" w:name="_Toc472472552"/>
      <w:bookmarkStart w:id="1377" w:name="_Toc476842270"/>
      <w:bookmarkStart w:id="1378" w:name="_Toc409225031"/>
      <w:bookmarkStart w:id="1379" w:name="_Toc409443583"/>
      <w:r w:rsidRPr="0075500D">
        <w:t>Table A-</w:t>
      </w:r>
      <w:fldSimple w:instr=" SEQ Table_A- \* ARABIC ">
        <w:r w:rsidR="00C301D0">
          <w:rPr>
            <w:noProof/>
          </w:rPr>
          <w:t>155</w:t>
        </w:r>
      </w:fldSimple>
      <w:bookmarkEnd w:id="1374"/>
      <w:r w:rsidRPr="0075500D">
        <w:t>: Summary of SWE Team Review of PPL NTG Evaluations</w:t>
      </w:r>
      <w:bookmarkEnd w:id="1375"/>
      <w:bookmarkEnd w:id="1376"/>
      <w:bookmarkEnd w:id="1377"/>
      <w:r w:rsidRPr="0075500D">
        <w:t xml:space="preserve"> </w:t>
      </w:r>
      <w:bookmarkEnd w:id="1378"/>
      <w:bookmarkEnd w:id="1379"/>
    </w:p>
    <w:tbl>
      <w:tblPr>
        <w:tblW w:w="9350" w:type="dxa"/>
        <w:tblCellMar>
          <w:left w:w="0" w:type="dxa"/>
          <w:right w:w="0" w:type="dxa"/>
        </w:tblCellMar>
        <w:tblLook w:val="04A0" w:firstRow="1" w:lastRow="0" w:firstColumn="1" w:lastColumn="0" w:noHBand="0" w:noVBand="1"/>
      </w:tblPr>
      <w:tblGrid>
        <w:gridCol w:w="3680"/>
        <w:gridCol w:w="5670"/>
      </w:tblGrid>
      <w:tr w:rsidR="00E7173E" w:rsidRPr="006C05B5" w:rsidTr="00FD03DC">
        <w:trPr>
          <w:trHeight w:val="346"/>
        </w:trPr>
        <w:tc>
          <w:tcPr>
            <w:tcW w:w="3680" w:type="dxa"/>
            <w:tcBorders>
              <w:top w:val="single" w:sz="8" w:space="0" w:color="448A99"/>
              <w:left w:val="single" w:sz="8" w:space="0" w:color="448A99"/>
              <w:bottom w:val="single" w:sz="8" w:space="0" w:color="448A99"/>
              <w:right w:val="single" w:sz="8" w:space="0" w:color="448A99"/>
            </w:tcBorders>
            <w:shd w:val="clear" w:color="auto" w:fill="448A99"/>
            <w:tcMar>
              <w:top w:w="0" w:type="dxa"/>
              <w:left w:w="108" w:type="dxa"/>
              <w:bottom w:w="0" w:type="dxa"/>
              <w:right w:w="108" w:type="dxa"/>
            </w:tcMar>
            <w:vAlign w:val="bottom"/>
            <w:hideMark/>
          </w:tcPr>
          <w:p w:rsidR="0075500D" w:rsidRPr="006C05B5" w:rsidRDefault="0075500D" w:rsidP="005C1352">
            <w:pPr>
              <w:jc w:val="left"/>
              <w:rPr>
                <w:b/>
                <w:bCs/>
                <w:color w:val="FFFFFF"/>
                <w:sz w:val="20"/>
                <w:szCs w:val="20"/>
              </w:rPr>
            </w:pPr>
            <w:bookmarkStart w:id="1380" w:name="_Ref409191115"/>
            <w:r w:rsidRPr="006C05B5">
              <w:rPr>
                <w:b/>
                <w:bCs/>
                <w:color w:val="FFFFFF"/>
                <w:sz w:val="20"/>
                <w:szCs w:val="20"/>
              </w:rPr>
              <w:t>Elements Reviewed in PPL Annual Report</w:t>
            </w:r>
          </w:p>
        </w:tc>
        <w:tc>
          <w:tcPr>
            <w:tcW w:w="5670" w:type="dxa"/>
            <w:tcBorders>
              <w:top w:val="single" w:sz="8" w:space="0" w:color="448A99"/>
              <w:left w:val="nil"/>
              <w:bottom w:val="single" w:sz="8" w:space="0" w:color="448A99"/>
              <w:right w:val="single" w:sz="8" w:space="0" w:color="448A99"/>
            </w:tcBorders>
            <w:shd w:val="clear" w:color="auto" w:fill="448A99"/>
            <w:tcMar>
              <w:top w:w="0" w:type="dxa"/>
              <w:left w:w="108" w:type="dxa"/>
              <w:bottom w:w="0" w:type="dxa"/>
              <w:right w:w="108" w:type="dxa"/>
            </w:tcMar>
            <w:vAlign w:val="bottom"/>
            <w:hideMark/>
          </w:tcPr>
          <w:p w:rsidR="0075500D" w:rsidRPr="006C05B5" w:rsidRDefault="0075500D" w:rsidP="005C1352">
            <w:pPr>
              <w:jc w:val="center"/>
              <w:rPr>
                <w:b/>
                <w:bCs/>
                <w:color w:val="FFFFFF"/>
                <w:sz w:val="20"/>
                <w:szCs w:val="20"/>
              </w:rPr>
            </w:pPr>
            <w:r w:rsidRPr="006C05B5">
              <w:rPr>
                <w:b/>
                <w:bCs/>
                <w:color w:val="FFFFFF"/>
                <w:sz w:val="20"/>
                <w:szCs w:val="20"/>
              </w:rPr>
              <w:t>SWE Findings</w:t>
            </w:r>
          </w:p>
        </w:tc>
      </w:tr>
      <w:tr w:rsidR="00E7173E" w:rsidRPr="006C05B5" w:rsidTr="00FD03DC">
        <w:trPr>
          <w:trHeight w:val="20"/>
        </w:trPr>
        <w:tc>
          <w:tcPr>
            <w:tcW w:w="9350" w:type="dxa"/>
            <w:gridSpan w:val="2"/>
            <w:tcBorders>
              <w:top w:val="nil"/>
              <w:left w:val="single" w:sz="8" w:space="0" w:color="448A99"/>
              <w:bottom w:val="single" w:sz="8" w:space="0" w:color="448A99"/>
              <w:right w:val="single" w:sz="8" w:space="0" w:color="448A99"/>
            </w:tcBorders>
            <w:shd w:val="clear" w:color="auto" w:fill="9C9393"/>
            <w:tcMar>
              <w:top w:w="0" w:type="dxa"/>
              <w:left w:w="108" w:type="dxa"/>
              <w:bottom w:w="0" w:type="dxa"/>
              <w:right w:w="108" w:type="dxa"/>
            </w:tcMar>
            <w:hideMark/>
          </w:tcPr>
          <w:p w:rsidR="0075500D" w:rsidRPr="006C05B5" w:rsidRDefault="0075500D" w:rsidP="005C1352">
            <w:pPr>
              <w:jc w:val="left"/>
              <w:rPr>
                <w:b/>
                <w:bCs/>
                <w:color w:val="FFFFFF"/>
                <w:sz w:val="20"/>
                <w:szCs w:val="20"/>
              </w:rPr>
            </w:pPr>
            <w:r w:rsidRPr="006C05B5">
              <w:rPr>
                <w:b/>
                <w:bCs/>
                <w:color w:val="FFFFFF"/>
                <w:sz w:val="20"/>
                <w:szCs w:val="20"/>
              </w:rPr>
              <w:t>Use of NTG Common Method or Explanation for Alternate Method</w:t>
            </w:r>
          </w:p>
        </w:tc>
      </w:tr>
      <w:tr w:rsidR="00E7173E" w:rsidRPr="006C05B5" w:rsidTr="00FD03DC">
        <w:trPr>
          <w:trHeight w:val="732"/>
        </w:trPr>
        <w:tc>
          <w:tcPr>
            <w:tcW w:w="3680" w:type="dxa"/>
            <w:tcBorders>
              <w:top w:val="nil"/>
              <w:left w:val="single" w:sz="8" w:space="0" w:color="448A99"/>
              <w:bottom w:val="single" w:sz="8" w:space="0" w:color="448A99"/>
              <w:right w:val="single" w:sz="8" w:space="0" w:color="448A99"/>
            </w:tcBorders>
            <w:shd w:val="clear" w:color="auto" w:fill="D2EAF1"/>
            <w:tcMar>
              <w:top w:w="0" w:type="dxa"/>
              <w:left w:w="108" w:type="dxa"/>
              <w:bottom w:w="0" w:type="dxa"/>
              <w:right w:w="108" w:type="dxa"/>
            </w:tcMar>
            <w:hideMark/>
          </w:tcPr>
          <w:p w:rsidR="0075500D" w:rsidRPr="006C05B5" w:rsidRDefault="0075500D" w:rsidP="005C1352">
            <w:pPr>
              <w:jc w:val="left"/>
              <w:rPr>
                <w:sz w:val="20"/>
                <w:szCs w:val="20"/>
              </w:rPr>
            </w:pPr>
            <w:r w:rsidRPr="006C05B5">
              <w:rPr>
                <w:sz w:val="20"/>
                <w:szCs w:val="20"/>
              </w:rPr>
              <w:t>Availability of NTG data files and documents</w:t>
            </w:r>
          </w:p>
        </w:tc>
        <w:tc>
          <w:tcPr>
            <w:tcW w:w="5670" w:type="dxa"/>
            <w:tcBorders>
              <w:top w:val="nil"/>
              <w:left w:val="nil"/>
              <w:bottom w:val="single" w:sz="8" w:space="0" w:color="448A99"/>
              <w:right w:val="single" w:sz="8" w:space="0" w:color="448A99"/>
            </w:tcBorders>
            <w:shd w:val="clear" w:color="auto" w:fill="D2EAF1"/>
            <w:tcMar>
              <w:top w:w="0" w:type="dxa"/>
              <w:left w:w="108" w:type="dxa"/>
              <w:bottom w:w="0" w:type="dxa"/>
              <w:right w:w="108" w:type="dxa"/>
            </w:tcMar>
            <w:hideMark/>
          </w:tcPr>
          <w:p w:rsidR="0075500D" w:rsidRPr="006C05B5" w:rsidRDefault="0075500D" w:rsidP="005C1352">
            <w:pPr>
              <w:jc w:val="center"/>
              <w:rPr>
                <w:sz w:val="20"/>
                <w:szCs w:val="20"/>
              </w:rPr>
            </w:pPr>
            <w:r w:rsidRPr="006C05B5">
              <w:rPr>
                <w:sz w:val="20"/>
                <w:szCs w:val="20"/>
              </w:rPr>
              <w:t>Yes, with exceptions noted</w:t>
            </w:r>
          </w:p>
        </w:tc>
      </w:tr>
      <w:tr w:rsidR="00E7173E" w:rsidRPr="006C05B5" w:rsidTr="00FD03DC">
        <w:trPr>
          <w:trHeight w:val="732"/>
        </w:trPr>
        <w:tc>
          <w:tcPr>
            <w:tcW w:w="3680" w:type="dxa"/>
            <w:tcBorders>
              <w:top w:val="nil"/>
              <w:left w:val="single" w:sz="8" w:space="0" w:color="448A99"/>
              <w:bottom w:val="single" w:sz="8" w:space="0" w:color="448A99"/>
              <w:right w:val="single" w:sz="8" w:space="0" w:color="448A99"/>
            </w:tcBorders>
            <w:shd w:val="clear" w:color="auto" w:fill="auto"/>
            <w:tcMar>
              <w:top w:w="0" w:type="dxa"/>
              <w:left w:w="108" w:type="dxa"/>
              <w:bottom w:w="0" w:type="dxa"/>
              <w:right w:w="108" w:type="dxa"/>
            </w:tcMar>
            <w:hideMark/>
          </w:tcPr>
          <w:p w:rsidR="0075500D" w:rsidRPr="006C05B5" w:rsidRDefault="0075500D" w:rsidP="005C1352">
            <w:pPr>
              <w:jc w:val="left"/>
              <w:rPr>
                <w:sz w:val="20"/>
                <w:szCs w:val="20"/>
              </w:rPr>
            </w:pPr>
            <w:r w:rsidRPr="006C05B5">
              <w:rPr>
                <w:sz w:val="20"/>
                <w:szCs w:val="20"/>
              </w:rPr>
              <w:t>NTG method used – the common method or another</w:t>
            </w:r>
          </w:p>
        </w:tc>
        <w:tc>
          <w:tcPr>
            <w:tcW w:w="5670" w:type="dxa"/>
            <w:tcBorders>
              <w:top w:val="nil"/>
              <w:left w:val="nil"/>
              <w:bottom w:val="single" w:sz="8" w:space="0" w:color="448A99"/>
              <w:right w:val="single" w:sz="8" w:space="0" w:color="448A99"/>
            </w:tcBorders>
            <w:shd w:val="clear" w:color="auto" w:fill="auto"/>
            <w:tcMar>
              <w:top w:w="0" w:type="dxa"/>
              <w:left w:w="108" w:type="dxa"/>
              <w:bottom w:w="0" w:type="dxa"/>
              <w:right w:w="108" w:type="dxa"/>
            </w:tcMar>
            <w:hideMark/>
          </w:tcPr>
          <w:p w:rsidR="0075500D" w:rsidRPr="006C05B5" w:rsidRDefault="0075500D" w:rsidP="005C1352">
            <w:pPr>
              <w:jc w:val="center"/>
              <w:rPr>
                <w:sz w:val="20"/>
                <w:szCs w:val="20"/>
                <w:shd w:val="clear" w:color="auto" w:fill="D9D9D9"/>
              </w:rPr>
            </w:pPr>
            <w:r w:rsidRPr="006C05B5">
              <w:rPr>
                <w:sz w:val="20"/>
                <w:szCs w:val="20"/>
              </w:rPr>
              <w:t>Usually common method, with acceptable modifications</w:t>
            </w:r>
          </w:p>
          <w:p w:rsidR="0075500D" w:rsidRPr="006C05B5" w:rsidRDefault="0075500D" w:rsidP="005C1352">
            <w:pPr>
              <w:jc w:val="center"/>
              <w:rPr>
                <w:sz w:val="20"/>
                <w:szCs w:val="20"/>
              </w:rPr>
            </w:pPr>
            <w:r w:rsidRPr="006C05B5">
              <w:rPr>
                <w:sz w:val="20"/>
                <w:szCs w:val="20"/>
              </w:rPr>
              <w:t>Also used billing analysis and demand elasticity model where common method not required</w:t>
            </w:r>
          </w:p>
        </w:tc>
      </w:tr>
      <w:tr w:rsidR="00E7173E" w:rsidRPr="006C05B5" w:rsidTr="00FD03DC">
        <w:trPr>
          <w:trHeight w:val="732"/>
        </w:trPr>
        <w:tc>
          <w:tcPr>
            <w:tcW w:w="3680" w:type="dxa"/>
            <w:tcBorders>
              <w:top w:val="nil"/>
              <w:left w:val="single" w:sz="8" w:space="0" w:color="448A99"/>
              <w:bottom w:val="single" w:sz="8" w:space="0" w:color="448A99"/>
              <w:right w:val="single" w:sz="8" w:space="0" w:color="448A99"/>
            </w:tcBorders>
            <w:shd w:val="clear" w:color="auto" w:fill="D2EAF1"/>
            <w:tcMar>
              <w:top w:w="0" w:type="dxa"/>
              <w:left w:w="108" w:type="dxa"/>
              <w:bottom w:w="0" w:type="dxa"/>
              <w:right w:w="108" w:type="dxa"/>
            </w:tcMar>
            <w:hideMark/>
          </w:tcPr>
          <w:p w:rsidR="0075500D" w:rsidRPr="006C05B5" w:rsidRDefault="0075500D" w:rsidP="005C1352">
            <w:pPr>
              <w:jc w:val="left"/>
              <w:rPr>
                <w:sz w:val="20"/>
                <w:szCs w:val="20"/>
              </w:rPr>
            </w:pPr>
            <w:r w:rsidRPr="006C05B5">
              <w:rPr>
                <w:sz w:val="20"/>
                <w:szCs w:val="20"/>
              </w:rPr>
              <w:t>NTG common method applied correctly</w:t>
            </w:r>
          </w:p>
        </w:tc>
        <w:tc>
          <w:tcPr>
            <w:tcW w:w="5670" w:type="dxa"/>
            <w:tcBorders>
              <w:top w:val="nil"/>
              <w:left w:val="nil"/>
              <w:bottom w:val="single" w:sz="8" w:space="0" w:color="448A99"/>
              <w:right w:val="single" w:sz="8" w:space="0" w:color="448A99"/>
            </w:tcBorders>
            <w:shd w:val="clear" w:color="auto" w:fill="D2EAF1"/>
            <w:tcMar>
              <w:top w:w="0" w:type="dxa"/>
              <w:left w:w="108" w:type="dxa"/>
              <w:bottom w:w="0" w:type="dxa"/>
              <w:right w:w="108" w:type="dxa"/>
            </w:tcMar>
            <w:hideMark/>
          </w:tcPr>
          <w:p w:rsidR="0075500D" w:rsidRPr="006C05B5" w:rsidRDefault="0075500D" w:rsidP="005C1352">
            <w:pPr>
              <w:jc w:val="center"/>
              <w:rPr>
                <w:sz w:val="20"/>
                <w:szCs w:val="20"/>
              </w:rPr>
            </w:pPr>
            <w:r w:rsidRPr="006C05B5">
              <w:rPr>
                <w:sz w:val="20"/>
                <w:szCs w:val="20"/>
              </w:rPr>
              <w:t xml:space="preserve">Yes </w:t>
            </w:r>
          </w:p>
        </w:tc>
      </w:tr>
    </w:tbl>
    <w:p w:rsidR="0075500D" w:rsidRPr="006C05B5" w:rsidRDefault="0075500D" w:rsidP="0075500D">
      <w:pPr>
        <w:rPr>
          <w:highlight w:val="lightGray"/>
        </w:rPr>
      </w:pPr>
    </w:p>
    <w:bookmarkEnd w:id="1380"/>
    <w:p w:rsidR="007E03F7" w:rsidRPr="0036185D" w:rsidRDefault="0075500D" w:rsidP="0036185D">
      <w:r w:rsidRPr="0036185D">
        <w:t>The following subsections present detailed discussions of the SWE Team’s NTG audits of PPL programs in PY7 and summarize the findings, specifically the audit of NTG reporting and related files. The results are provided for residential, low-income, and non-residential programs.</w:t>
      </w:r>
    </w:p>
    <w:p w:rsidR="0075500D" w:rsidRPr="006C05B5" w:rsidRDefault="0075500D" w:rsidP="00BC1E78">
      <w:pPr>
        <w:pStyle w:val="AppendixAHeading4"/>
        <w:numPr>
          <w:ilvl w:val="0"/>
          <w:numId w:val="0"/>
        </w:numPr>
      </w:pPr>
      <w:r w:rsidRPr="006C05B5">
        <w:t>Residential Programs</w:t>
      </w:r>
      <w:r w:rsidR="00BC1E78">
        <w:t xml:space="preserve"> </w:t>
      </w:r>
    </w:p>
    <w:p w:rsidR="0075500D" w:rsidRPr="006C05B5" w:rsidRDefault="00C20C41" w:rsidP="0075500D">
      <w:r w:rsidRPr="001C718B">
        <w:t xml:space="preserve">Cadmus estimated NTG for two residential programs: </w:t>
      </w:r>
      <w:r w:rsidR="0036185D" w:rsidRPr="001C718B">
        <w:t>The</w:t>
      </w:r>
      <w:r w:rsidRPr="001C718B">
        <w:t xml:space="preserve"> Residential Retail Program and </w:t>
      </w:r>
      <w:r w:rsidR="00C83389">
        <w:t xml:space="preserve">the </w:t>
      </w:r>
      <w:r w:rsidRPr="001C718B">
        <w:t xml:space="preserve">Residential Home Comfort Program. Cadmus did not conduct NTG research for three other programs. For the </w:t>
      </w:r>
      <w:r w:rsidRPr="001C718B">
        <w:rPr>
          <w:rFonts w:cs="Calibri"/>
        </w:rPr>
        <w:t>Appliance Recycling Program (ARP)</w:t>
      </w:r>
      <w:r w:rsidRPr="001C718B">
        <w:t>, Cadmus reported the PY6 NTG values, citing no significant changes to program delivery and the target market. It reported an assumed NTGR of 1.0 for the Student and Parent Energy-Efficiency Education Program, based on the voluntary participation of teachers and schools and the fact that energy efficiency measures are provided at no cost to the teachers, who pass them on to students as part of the curriculum. Finally, Cadmus noted that the impact evaluation for the Residential Energy-Efficiency Behavior &amp; Education Program produces net savings via the RCT analysis, and argued that therefore estimation of NTGR is not applicable</w:t>
      </w:r>
      <w:r w:rsidR="004D072A">
        <w:t>.</w:t>
      </w:r>
    </w:p>
    <w:p w:rsidR="0075500D" w:rsidRPr="006C05B5" w:rsidRDefault="0075500D" w:rsidP="0075500D"/>
    <w:p w:rsidR="0075500D" w:rsidRPr="006C05B5" w:rsidRDefault="0075500D" w:rsidP="0075500D">
      <w:r w:rsidRPr="006C05B5">
        <w:t>Cadmus correctly used the SWE Team’s common approach for all downstream programs and used a reasonable approach for estimating NTG for an upstream program component. Cadmus reported the NTG methodology in the PPL PY7 annual report and showed calculations in corresponding Excel workbooks for each program</w:t>
      </w:r>
      <w:r w:rsidR="00672127">
        <w:t>, and provided the survey instruments</w:t>
      </w:r>
      <w:r w:rsidRPr="006C05B5">
        <w:t>.</w:t>
      </w:r>
    </w:p>
    <w:p w:rsidR="0075500D" w:rsidRPr="006C05B5" w:rsidRDefault="0075500D" w:rsidP="0075500D"/>
    <w:p w:rsidR="0075500D" w:rsidRDefault="00C20C41" w:rsidP="0075500D">
      <w:r w:rsidRPr="00C20C41">
        <w:t xml:space="preserve">Cadmus used the common method for downstream program components, following the common method to score the intention and influence components to determine the free ridership score. While the provided Excel workbooks demonstrate proper and error-free use of the common method, the SWE Team found the description of the downstream NTG methods to be somewhat unclear: while Cadmus did explain a high-level summary of the survey methods, it did not explain the free-ridership or spillover calculation algorithm. Cadmus did provide an Appendix in the PY5 </w:t>
      </w:r>
      <w:r w:rsidR="00BC1E78">
        <w:t>Annual Report</w:t>
      </w:r>
      <w:r w:rsidRPr="00C20C41">
        <w:t>, and the methodology was unchanged in PY6 and PY7. In the PY7 annual report, Cadmus provided a high-level summary of the methods used for estimating ARP NTGR in PY6, stating it followed the SWE’s “Common Approach for Measuring Net Savings for Appliance Retirement Programs” and summarizing the four major factors in the net savings analysis: free-ridership, secondary market impacts, induced replacement, and spillover.</w:t>
      </w:r>
    </w:p>
    <w:p w:rsidR="00C20C41" w:rsidRPr="006C05B5" w:rsidRDefault="00C20C41" w:rsidP="0075500D"/>
    <w:p w:rsidR="0075500D" w:rsidRPr="006C05B5" w:rsidRDefault="0075500D" w:rsidP="0075500D">
      <w:r w:rsidRPr="006C05B5">
        <w:t>Cadmus used a demand elasticity model to estimate free-ridership and NTGR for the upstream lighting component of the Residential Retail Program. The description of the demand elasticity method was very clear. Noting that its demand elasticity approach did not quantify market effects, Cadmus suggested that if market effects were accounted for then the NTGR for the upstream lighting component of the Residential Retail Program “would be higher than 59%.” While the SWE Team acknowledges the merit of this methodological claim, and approves of Cadmus’s choice to refrain from quoting a specific alternative NTGR, the SWE Team interprets “59%” as a typo, as Cadmus reported 39% free-ridership and an NTGR of 61%.</w:t>
      </w:r>
    </w:p>
    <w:p w:rsidR="0075500D" w:rsidRPr="006C05B5" w:rsidRDefault="0075500D" w:rsidP="0075500D"/>
    <w:p w:rsidR="0075500D" w:rsidRPr="006C05B5" w:rsidRDefault="0075500D" w:rsidP="0075500D">
      <w:r w:rsidRPr="006C05B5">
        <w:t>A summary table in the PPL PY7 annual report’s overview section shows the program-level NTGR for the Residential Retail Program, which appears to be a savings-weighted mean of the component NTGRs. However, the report does not explain this, and the Excel workbooks provided do not include the calculations used for estimating program-level NTGR. The SWE Team found this issue in Cadmus’s PY6 report as well, and noted the issue in the PY6 SWE annual report. In response to the draft of the PY6 report, Cadmus clarified that the program-level NTGR was a savings-weighted average, and said it would note that in future reports. The SWE Team confirmed via email with Cadmus that the PY7 result is also a weighted mean, but would have preferred that Cadmus note that methodological detail in its PY7 report.</w:t>
      </w:r>
    </w:p>
    <w:p w:rsidR="0075500D" w:rsidRPr="006C05B5" w:rsidRDefault="0075500D" w:rsidP="0075500D"/>
    <w:p w:rsidR="0075500D" w:rsidRDefault="00C20C41" w:rsidP="0075500D">
      <w:r w:rsidRPr="001C718B">
        <w:t>Cadmus used a hybrid approach to estimate NTGR for the Residential Home Comfort Program: it used PY5 results for audit and weatherization measures, and conducted primary data collection and analysis for equipment measures. Cadmus reported using a savings-weighted approach to combine these various estimates into a program-level free-ridership, spillover, and NTGR for PY7. The PY7 Home Comfort Program workbook that was provided to the SWE encompassed only the new “Efficient Equipment” program stratum primary data collected and analyzed in PY7 and did not include these weighted calculations, so the SWE Team is unable to confirm the accuracy of weighted program-level calculations. While Cadmus reported program-level free-ridership and spillover values in the Overview of Portfolio chapter, it reported only program-level NTGR in the Residential Home Comfort Program chapter. The SWE Team recommends that Cadmus include program-level free-ridership and spillover values in all program-specific chapters.</w:t>
      </w:r>
    </w:p>
    <w:p w:rsidR="00C20C41" w:rsidRDefault="00C20C41" w:rsidP="0075500D"/>
    <w:p w:rsidR="00C20C41" w:rsidRPr="006C05B5" w:rsidRDefault="00C20C41" w:rsidP="0075500D">
      <w:r w:rsidRPr="00C20C41">
        <w:t>Cadmus did not estimate NTGR for manufactured homes or new construction projects. The Cadmus report explained that it did not estimate manufactured home NTGR since there was only one participant. The report did not provide a reason for not estimating NTGR for new construction, but subsequent clarification from Cadmus indicates that the reasons was that there were too few participating builders, as in PY6, and referred to the PY6 report for additional details.</w:t>
      </w:r>
    </w:p>
    <w:p w:rsidR="0075500D" w:rsidRPr="006C05B5" w:rsidRDefault="0075500D" w:rsidP="0075500D"/>
    <w:p w:rsidR="00C20C41" w:rsidRPr="001C718B" w:rsidRDefault="00C20C41" w:rsidP="00C20C41">
      <w:r w:rsidRPr="001C718B">
        <w:t>The SWE Team did not question Cadmus’s assumption of an NTGR of 1.0 for the Student and Parent Energy-Efficiency Education Program in its PY5 annual report. However, the SWE Team disagrees with Cadmus’s arguments for that assumption. It is possible that some of the program participants would have installed the measures even if there had been no program. Therefore, the fact that the measures were distributed at no cost to the recipient through the intervention of school faculty does not mean there were no free-riders. The SWE Team noted its disagreement in the PY6 annual report, and repeats it again here.</w:t>
      </w:r>
    </w:p>
    <w:p w:rsidR="0075500D" w:rsidRPr="006C05B5" w:rsidRDefault="0075500D" w:rsidP="0075500D"/>
    <w:p w:rsidR="0075500D" w:rsidRPr="006C05B5" w:rsidRDefault="0075500D" w:rsidP="0075500D">
      <w:r>
        <w:fldChar w:fldCharType="begin"/>
      </w:r>
      <w:r>
        <w:instrText xml:space="preserve"> REF _Ref472454180 \h </w:instrText>
      </w:r>
      <w:r>
        <w:fldChar w:fldCharType="separate"/>
      </w:r>
      <w:r w:rsidR="00A874AC" w:rsidRPr="0075500D">
        <w:t>Table A-</w:t>
      </w:r>
      <w:r w:rsidR="00A874AC">
        <w:rPr>
          <w:noProof/>
        </w:rPr>
        <w:t>156</w:t>
      </w:r>
      <w:r>
        <w:fldChar w:fldCharType="end"/>
      </w:r>
      <w:r>
        <w:t xml:space="preserve"> </w:t>
      </w:r>
      <w:r w:rsidRPr="006C05B5">
        <w:t xml:space="preserve">summarizes the SWE Team’s review of PPL’s NTG activities by program. </w:t>
      </w:r>
    </w:p>
    <w:p w:rsidR="0075500D" w:rsidRPr="006C05B5" w:rsidRDefault="0075500D" w:rsidP="0075500D">
      <w:pPr>
        <w:rPr>
          <w:highlight w:val="lightGray"/>
        </w:rPr>
      </w:pPr>
    </w:p>
    <w:p w:rsidR="0075500D" w:rsidRPr="0075500D" w:rsidRDefault="0075500D" w:rsidP="0075500D">
      <w:pPr>
        <w:pStyle w:val="Caption"/>
      </w:pPr>
      <w:bookmarkStart w:id="1381" w:name="_Ref472454180"/>
      <w:bookmarkStart w:id="1382" w:name="_Toc409225032"/>
      <w:bookmarkStart w:id="1383" w:name="_Toc409443584"/>
      <w:bookmarkStart w:id="1384" w:name="_Toc444269807"/>
      <w:bookmarkStart w:id="1385" w:name="_Toc472472553"/>
      <w:bookmarkStart w:id="1386" w:name="_Toc476842271"/>
      <w:r w:rsidRPr="0075500D">
        <w:t>Table A-</w:t>
      </w:r>
      <w:fldSimple w:instr=" SEQ Table_A- \* ARABIC ">
        <w:r w:rsidR="00C301D0">
          <w:rPr>
            <w:noProof/>
          </w:rPr>
          <w:t>156</w:t>
        </w:r>
      </w:fldSimple>
      <w:bookmarkEnd w:id="1381"/>
      <w:r w:rsidRPr="0075500D">
        <w:t>: Summary of NTG Audit of PPL’s Residential Programs</w:t>
      </w:r>
      <w:bookmarkEnd w:id="1382"/>
      <w:bookmarkEnd w:id="1383"/>
      <w:bookmarkEnd w:id="1384"/>
      <w:bookmarkEnd w:id="1385"/>
      <w:bookmarkEnd w:id="1386"/>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065"/>
        <w:gridCol w:w="1800"/>
        <w:gridCol w:w="5490"/>
      </w:tblGrid>
      <w:tr w:rsidR="00A874AC" w:rsidRPr="006C05B5" w:rsidTr="0036185D">
        <w:trPr>
          <w:cantSplit/>
          <w:tblHeader/>
        </w:trPr>
        <w:tc>
          <w:tcPr>
            <w:tcW w:w="2065" w:type="dxa"/>
            <w:shd w:val="clear" w:color="auto" w:fill="448A99"/>
            <w:vAlign w:val="bottom"/>
          </w:tcPr>
          <w:p w:rsidR="0075500D" w:rsidRPr="006C05B5" w:rsidRDefault="0075500D" w:rsidP="005C1352">
            <w:pPr>
              <w:jc w:val="left"/>
              <w:rPr>
                <w:b/>
                <w:color w:val="FFFFFF"/>
                <w:sz w:val="20"/>
                <w:szCs w:val="20"/>
              </w:rPr>
            </w:pPr>
            <w:r w:rsidRPr="006C05B5">
              <w:rPr>
                <w:b/>
                <w:color w:val="FFFFFF"/>
                <w:sz w:val="20"/>
                <w:szCs w:val="20"/>
              </w:rPr>
              <w:t>Program</w:t>
            </w:r>
          </w:p>
        </w:tc>
        <w:tc>
          <w:tcPr>
            <w:tcW w:w="1800" w:type="dxa"/>
            <w:shd w:val="clear" w:color="auto" w:fill="448A99"/>
            <w:vAlign w:val="bottom"/>
          </w:tcPr>
          <w:p w:rsidR="0075500D" w:rsidRPr="006C05B5" w:rsidRDefault="0075500D" w:rsidP="0036185D">
            <w:pPr>
              <w:jc w:val="center"/>
              <w:rPr>
                <w:b/>
                <w:color w:val="FFFFFF"/>
                <w:sz w:val="20"/>
                <w:szCs w:val="20"/>
              </w:rPr>
            </w:pPr>
            <w:r w:rsidRPr="006C05B5">
              <w:rPr>
                <w:b/>
                <w:color w:val="FFFFFF"/>
                <w:sz w:val="20"/>
                <w:szCs w:val="20"/>
              </w:rPr>
              <w:t>NTG Method</w:t>
            </w:r>
          </w:p>
        </w:tc>
        <w:tc>
          <w:tcPr>
            <w:tcW w:w="5490" w:type="dxa"/>
            <w:shd w:val="clear" w:color="auto" w:fill="448A99"/>
            <w:vAlign w:val="bottom"/>
          </w:tcPr>
          <w:p w:rsidR="0075500D" w:rsidRPr="006C05B5" w:rsidRDefault="0075500D" w:rsidP="005C1352">
            <w:pPr>
              <w:jc w:val="center"/>
              <w:rPr>
                <w:b/>
                <w:color w:val="FFFFFF"/>
                <w:sz w:val="20"/>
                <w:szCs w:val="20"/>
              </w:rPr>
            </w:pPr>
            <w:r w:rsidRPr="006C05B5">
              <w:rPr>
                <w:b/>
                <w:color w:val="FFFFFF"/>
                <w:sz w:val="20"/>
                <w:szCs w:val="20"/>
              </w:rPr>
              <w:t>Review Comments</w:t>
            </w:r>
          </w:p>
        </w:tc>
      </w:tr>
      <w:tr w:rsidR="00E7173E" w:rsidRPr="006C05B5" w:rsidTr="00BC1E78">
        <w:tc>
          <w:tcPr>
            <w:tcW w:w="2065" w:type="dxa"/>
            <w:shd w:val="clear" w:color="auto" w:fill="D2EAF1"/>
          </w:tcPr>
          <w:p w:rsidR="0075500D" w:rsidRPr="006C05B5" w:rsidRDefault="0075500D" w:rsidP="005C1352">
            <w:pPr>
              <w:jc w:val="left"/>
              <w:rPr>
                <w:color w:val="548DD4"/>
                <w:sz w:val="20"/>
                <w:szCs w:val="20"/>
              </w:rPr>
            </w:pPr>
            <w:r w:rsidRPr="006C05B5">
              <w:rPr>
                <w:sz w:val="20"/>
                <w:szCs w:val="20"/>
              </w:rPr>
              <w:t>Residential Retail Program</w:t>
            </w:r>
          </w:p>
        </w:tc>
        <w:tc>
          <w:tcPr>
            <w:tcW w:w="1800" w:type="dxa"/>
            <w:shd w:val="clear" w:color="auto" w:fill="D2EAF1"/>
          </w:tcPr>
          <w:p w:rsidR="0075500D" w:rsidRPr="006C05B5" w:rsidRDefault="0075500D" w:rsidP="0036185D">
            <w:pPr>
              <w:jc w:val="center"/>
              <w:rPr>
                <w:color w:val="548DD4"/>
                <w:sz w:val="20"/>
                <w:szCs w:val="20"/>
              </w:rPr>
            </w:pPr>
            <w:r w:rsidRPr="006C05B5">
              <w:rPr>
                <w:sz w:val="20"/>
                <w:szCs w:val="20"/>
              </w:rPr>
              <w:t>The common method was used for downstream components. A demand elasticity model was used to estimate FR in upstream lighting.</w:t>
            </w:r>
          </w:p>
        </w:tc>
        <w:tc>
          <w:tcPr>
            <w:tcW w:w="5490" w:type="dxa"/>
            <w:shd w:val="clear" w:color="auto" w:fill="D2EAF1"/>
          </w:tcPr>
          <w:p w:rsidR="0075500D" w:rsidRPr="006C05B5" w:rsidRDefault="0075500D" w:rsidP="005C1352">
            <w:pPr>
              <w:jc w:val="left"/>
              <w:rPr>
                <w:sz w:val="20"/>
                <w:szCs w:val="20"/>
              </w:rPr>
            </w:pPr>
            <w:r w:rsidRPr="006C05B5">
              <w:rPr>
                <w:sz w:val="20"/>
                <w:szCs w:val="20"/>
              </w:rPr>
              <w:t xml:space="preserve">Cadmus used the common method for downstream program components and a demand elasticity model for upstream lighting. The description of the latter was clear, but the description of the downstream methods lacked detail (namely, Cadmus did not explain the NTGR calculation algorithm). </w:t>
            </w:r>
          </w:p>
        </w:tc>
      </w:tr>
      <w:tr w:rsidR="0075500D" w:rsidRPr="006C05B5" w:rsidTr="00BC1E78">
        <w:tc>
          <w:tcPr>
            <w:tcW w:w="2065" w:type="dxa"/>
          </w:tcPr>
          <w:p w:rsidR="0075500D" w:rsidRPr="006C05B5" w:rsidRDefault="0075500D" w:rsidP="005C1352">
            <w:pPr>
              <w:jc w:val="left"/>
              <w:rPr>
                <w:color w:val="548DD4"/>
                <w:sz w:val="20"/>
                <w:szCs w:val="20"/>
              </w:rPr>
            </w:pPr>
            <w:r w:rsidRPr="006C05B5">
              <w:rPr>
                <w:sz w:val="20"/>
                <w:szCs w:val="20"/>
              </w:rPr>
              <w:t>Appliance Recycling Program (ARP)</w:t>
            </w:r>
          </w:p>
        </w:tc>
        <w:tc>
          <w:tcPr>
            <w:tcW w:w="1800" w:type="dxa"/>
          </w:tcPr>
          <w:p w:rsidR="0075500D" w:rsidRPr="006C05B5" w:rsidRDefault="0075500D" w:rsidP="0036185D">
            <w:pPr>
              <w:jc w:val="center"/>
              <w:rPr>
                <w:sz w:val="20"/>
                <w:szCs w:val="20"/>
              </w:rPr>
            </w:pPr>
            <w:r w:rsidRPr="006C05B5">
              <w:rPr>
                <w:sz w:val="20"/>
                <w:szCs w:val="20"/>
              </w:rPr>
              <w:t>Not calculated: used PY6 values.</w:t>
            </w:r>
          </w:p>
        </w:tc>
        <w:tc>
          <w:tcPr>
            <w:tcW w:w="5490" w:type="dxa"/>
          </w:tcPr>
          <w:p w:rsidR="0075500D" w:rsidRPr="006C05B5" w:rsidRDefault="0075500D" w:rsidP="005C1352">
            <w:pPr>
              <w:jc w:val="left"/>
              <w:rPr>
                <w:color w:val="548DD4"/>
                <w:sz w:val="20"/>
                <w:szCs w:val="20"/>
              </w:rPr>
            </w:pPr>
            <w:r w:rsidRPr="006C05B5">
              <w:rPr>
                <w:sz w:val="20"/>
                <w:szCs w:val="20"/>
              </w:rPr>
              <w:t xml:space="preserve">Because there were no significant changes to program delivery or the target market, Cadmus used the PY6 NTGR for the PY7 NTGR. </w:t>
            </w:r>
          </w:p>
        </w:tc>
      </w:tr>
      <w:tr w:rsidR="00E7173E" w:rsidRPr="006C05B5" w:rsidTr="00BC1E78">
        <w:tc>
          <w:tcPr>
            <w:tcW w:w="2065" w:type="dxa"/>
            <w:shd w:val="clear" w:color="auto" w:fill="D2EAF1"/>
          </w:tcPr>
          <w:p w:rsidR="0075500D" w:rsidRPr="006C05B5" w:rsidRDefault="0075500D" w:rsidP="005C1352">
            <w:pPr>
              <w:jc w:val="left"/>
              <w:rPr>
                <w:color w:val="548DD4"/>
                <w:sz w:val="20"/>
                <w:szCs w:val="20"/>
              </w:rPr>
            </w:pPr>
            <w:r w:rsidRPr="006C05B5">
              <w:rPr>
                <w:sz w:val="20"/>
                <w:szCs w:val="20"/>
              </w:rPr>
              <w:t>Student and Parent Energy-Efficiency Education Program</w:t>
            </w:r>
          </w:p>
        </w:tc>
        <w:tc>
          <w:tcPr>
            <w:tcW w:w="1800" w:type="dxa"/>
            <w:shd w:val="clear" w:color="auto" w:fill="D2EAF1"/>
          </w:tcPr>
          <w:p w:rsidR="0075500D" w:rsidRPr="006C05B5" w:rsidRDefault="0075500D" w:rsidP="0036185D">
            <w:pPr>
              <w:jc w:val="center"/>
              <w:rPr>
                <w:color w:val="548DD4"/>
                <w:sz w:val="20"/>
                <w:szCs w:val="20"/>
              </w:rPr>
            </w:pPr>
            <w:r w:rsidRPr="006C05B5">
              <w:rPr>
                <w:sz w:val="20"/>
                <w:szCs w:val="20"/>
              </w:rPr>
              <w:t>NTGR was assumed to be 1.0.</w:t>
            </w:r>
          </w:p>
        </w:tc>
        <w:tc>
          <w:tcPr>
            <w:tcW w:w="5490" w:type="dxa"/>
            <w:shd w:val="clear" w:color="auto" w:fill="D2EAF1"/>
          </w:tcPr>
          <w:p w:rsidR="0075500D" w:rsidRPr="006C05B5" w:rsidRDefault="0075500D" w:rsidP="005C1352">
            <w:pPr>
              <w:jc w:val="left"/>
              <w:rPr>
                <w:color w:val="548DD4"/>
                <w:sz w:val="20"/>
                <w:szCs w:val="20"/>
              </w:rPr>
            </w:pPr>
            <w:r w:rsidRPr="006C05B5">
              <w:rPr>
                <w:sz w:val="20"/>
                <w:szCs w:val="20"/>
              </w:rPr>
              <w:t>Cadmus assumed no FR or SO for this program. The SWE Team disagrees with this assumption but allows it for PY7.</w:t>
            </w:r>
          </w:p>
        </w:tc>
      </w:tr>
      <w:tr w:rsidR="00E7173E" w:rsidRPr="006C05B5" w:rsidTr="00BC1E78">
        <w:tc>
          <w:tcPr>
            <w:tcW w:w="2065" w:type="dxa"/>
            <w:shd w:val="clear" w:color="auto" w:fill="auto"/>
          </w:tcPr>
          <w:p w:rsidR="0075500D" w:rsidRPr="006C05B5" w:rsidRDefault="0075500D" w:rsidP="005C1352">
            <w:pPr>
              <w:jc w:val="left"/>
              <w:rPr>
                <w:sz w:val="20"/>
                <w:szCs w:val="20"/>
              </w:rPr>
            </w:pPr>
            <w:r w:rsidRPr="006C05B5">
              <w:rPr>
                <w:sz w:val="20"/>
                <w:szCs w:val="20"/>
              </w:rPr>
              <w:t>Residential Home Comfort Program</w:t>
            </w:r>
          </w:p>
        </w:tc>
        <w:tc>
          <w:tcPr>
            <w:tcW w:w="1800" w:type="dxa"/>
            <w:shd w:val="clear" w:color="auto" w:fill="auto"/>
          </w:tcPr>
          <w:p w:rsidR="0075500D" w:rsidRPr="006C05B5" w:rsidDel="00EF6AC3" w:rsidRDefault="0075500D" w:rsidP="0036185D">
            <w:pPr>
              <w:jc w:val="center"/>
              <w:rPr>
                <w:sz w:val="20"/>
                <w:szCs w:val="20"/>
                <w:shd w:val="clear" w:color="auto" w:fill="D9D9D9"/>
              </w:rPr>
            </w:pPr>
            <w:r w:rsidRPr="006C05B5">
              <w:rPr>
                <w:sz w:val="20"/>
                <w:szCs w:val="20"/>
              </w:rPr>
              <w:t>The common method was used for equipment measures. PY5 results were used for audit and weatherization NTGR. Did not calculate NTGR for new construction or manufactured homes.</w:t>
            </w:r>
          </w:p>
        </w:tc>
        <w:tc>
          <w:tcPr>
            <w:tcW w:w="5490" w:type="dxa"/>
            <w:shd w:val="clear" w:color="auto" w:fill="auto"/>
          </w:tcPr>
          <w:p w:rsidR="0075500D" w:rsidRPr="006C05B5" w:rsidDel="00EF6AC3" w:rsidRDefault="0075500D" w:rsidP="005C1352">
            <w:pPr>
              <w:jc w:val="left"/>
              <w:rPr>
                <w:sz w:val="20"/>
                <w:szCs w:val="20"/>
                <w:shd w:val="clear" w:color="auto" w:fill="D9D9D9"/>
              </w:rPr>
            </w:pPr>
            <w:r w:rsidRPr="006C05B5">
              <w:rPr>
                <w:sz w:val="20"/>
                <w:szCs w:val="20"/>
              </w:rPr>
              <w:t xml:space="preserve">Cadmus used a savings-weighted approach to combine PY5 results (for audit and weatherization measures) and PY7 results for equipment measures. The Excel workbook provided to the SWE Team did not include this weighted calculation, so the SWE Team is unable to confirm the accuracy of weighted program-level calculations. While the Overview of Portfolio chapter reports program-level FR and SO values, the Residential Home Comfort Program chapter does not include these values (instead, it includes only the program-level NTGR). The SWE Team recommends that Cadmus include program-level FR and SO values in all program-specific chapters. Cadmus did not estimate NTGR for manufactured homes or new construction projects. While Cadmus explained that it did not estimate manufactured home NTGR due to a small participant population, it did not provide a reason for not estimating NTGR for new construction. The SWE Team recommends that Cadmus report its reasoning for not calculating NTGR for new construction. </w:t>
            </w:r>
          </w:p>
        </w:tc>
      </w:tr>
      <w:tr w:rsidR="00E7173E" w:rsidRPr="006C05B5" w:rsidTr="00BC1E78">
        <w:tc>
          <w:tcPr>
            <w:tcW w:w="2065" w:type="dxa"/>
            <w:shd w:val="clear" w:color="auto" w:fill="D2EAF1"/>
          </w:tcPr>
          <w:p w:rsidR="0075500D" w:rsidRPr="006C05B5" w:rsidRDefault="0075500D" w:rsidP="005C1352">
            <w:pPr>
              <w:jc w:val="left"/>
              <w:rPr>
                <w:sz w:val="20"/>
                <w:szCs w:val="20"/>
              </w:rPr>
            </w:pPr>
            <w:r w:rsidRPr="006C05B5">
              <w:rPr>
                <w:sz w:val="20"/>
                <w:szCs w:val="20"/>
              </w:rPr>
              <w:t>Residential Energy-Efficiency Behavior &amp; Education Program</w:t>
            </w:r>
          </w:p>
        </w:tc>
        <w:tc>
          <w:tcPr>
            <w:tcW w:w="1800" w:type="dxa"/>
            <w:shd w:val="clear" w:color="auto" w:fill="D2EAF1"/>
          </w:tcPr>
          <w:p w:rsidR="0075500D" w:rsidRPr="006C05B5" w:rsidDel="00EF6AC3" w:rsidRDefault="0075500D" w:rsidP="0036185D">
            <w:pPr>
              <w:jc w:val="center"/>
              <w:rPr>
                <w:sz w:val="20"/>
                <w:szCs w:val="20"/>
                <w:shd w:val="clear" w:color="auto" w:fill="D9D9D9"/>
              </w:rPr>
            </w:pPr>
            <w:r w:rsidRPr="006C05B5">
              <w:rPr>
                <w:sz w:val="20"/>
                <w:szCs w:val="20"/>
              </w:rPr>
              <w:t>Not estimated; impact analysis accounts for FR and SO.</w:t>
            </w:r>
          </w:p>
        </w:tc>
        <w:tc>
          <w:tcPr>
            <w:tcW w:w="5490" w:type="dxa"/>
            <w:shd w:val="clear" w:color="auto" w:fill="D2EAF1"/>
          </w:tcPr>
          <w:p w:rsidR="0075500D" w:rsidRPr="006C05B5" w:rsidDel="00EF6AC3" w:rsidRDefault="0075500D" w:rsidP="005C1352">
            <w:pPr>
              <w:jc w:val="left"/>
              <w:rPr>
                <w:sz w:val="20"/>
                <w:szCs w:val="20"/>
                <w:shd w:val="clear" w:color="auto" w:fill="D9D9D9"/>
              </w:rPr>
            </w:pPr>
            <w:r w:rsidRPr="006C05B5">
              <w:rPr>
                <w:sz w:val="20"/>
                <w:szCs w:val="20"/>
              </w:rPr>
              <w:t>Cadmus reported that no net savings calculations were needed for this program, as the impact evaluation estimates net savings.</w:t>
            </w:r>
          </w:p>
        </w:tc>
      </w:tr>
    </w:tbl>
    <w:p w:rsidR="00C301D0" w:rsidRPr="00D4438A" w:rsidRDefault="0075500D" w:rsidP="0075500D">
      <w:pPr>
        <w:rPr>
          <w:highlight w:val="lightGray"/>
        </w:rPr>
      </w:pPr>
      <w:r w:rsidRPr="006C05B5">
        <w:fldChar w:fldCharType="begin"/>
      </w:r>
      <w:r w:rsidRPr="006C05B5">
        <w:instrText xml:space="preserve"> REF _Ref408906554 \h  \* MERGEFORMAT </w:instrText>
      </w:r>
      <w:r w:rsidRPr="006C05B5">
        <w:fldChar w:fldCharType="separate"/>
      </w:r>
    </w:p>
    <w:p w:rsidR="0075500D" w:rsidRPr="006C05B5" w:rsidRDefault="0075500D" w:rsidP="0075500D">
      <w:r w:rsidRPr="006C05B5">
        <w:fldChar w:fldCharType="end"/>
      </w:r>
      <w:r w:rsidR="002317CF">
        <w:fldChar w:fldCharType="begin"/>
      </w:r>
      <w:r w:rsidR="002317CF">
        <w:instrText xml:space="preserve"> REF _Ref472472409 \h </w:instrText>
      </w:r>
      <w:r w:rsidR="002317CF">
        <w:fldChar w:fldCharType="separate"/>
      </w:r>
      <w:r w:rsidR="00A874AC" w:rsidRPr="00523021">
        <w:t>Table A-</w:t>
      </w:r>
      <w:r w:rsidR="00A874AC">
        <w:rPr>
          <w:noProof/>
        </w:rPr>
        <w:t>157</w:t>
      </w:r>
      <w:r w:rsidR="002317CF">
        <w:fldChar w:fldCharType="end"/>
      </w:r>
      <w:r w:rsidRPr="006C05B5">
        <w:t xml:space="preserve"> summarizes the free-ridership, spillover, and NTG estimates reported in PPL’s PY</w:t>
      </w:r>
      <w:r w:rsidR="002317CF">
        <w:t>7</w:t>
      </w:r>
      <w:r w:rsidRPr="006C05B5">
        <w:t xml:space="preserve"> annual report for residential programs.</w:t>
      </w:r>
    </w:p>
    <w:p w:rsidR="0075500D" w:rsidRPr="006C05B5" w:rsidRDefault="0075500D" w:rsidP="0075500D">
      <w:pPr>
        <w:rPr>
          <w:highlight w:val="lightGray"/>
        </w:rPr>
      </w:pPr>
      <w:bookmarkStart w:id="1387" w:name="_Ref408906554"/>
      <w:bookmarkStart w:id="1388" w:name="_Toc409225033"/>
      <w:bookmarkStart w:id="1389" w:name="_Toc409443585"/>
    </w:p>
    <w:p w:rsidR="0075500D" w:rsidRPr="00523021" w:rsidRDefault="002B3559" w:rsidP="00523021">
      <w:pPr>
        <w:pStyle w:val="Caption"/>
      </w:pPr>
      <w:bookmarkStart w:id="1390" w:name="_Ref472472409"/>
      <w:bookmarkStart w:id="1391" w:name="_Toc444269808"/>
      <w:bookmarkStart w:id="1392" w:name="_Toc472472207"/>
      <w:bookmarkStart w:id="1393" w:name="_Toc472472554"/>
      <w:bookmarkStart w:id="1394" w:name="_Toc476842272"/>
      <w:bookmarkEnd w:id="1387"/>
      <w:r w:rsidRPr="00523021">
        <w:t>Table A-</w:t>
      </w:r>
      <w:fldSimple w:instr=" SEQ Table_A- \* ARABIC ">
        <w:r w:rsidR="00C301D0">
          <w:rPr>
            <w:noProof/>
          </w:rPr>
          <w:t>157</w:t>
        </w:r>
      </w:fldSimple>
      <w:bookmarkEnd w:id="1390"/>
      <w:r w:rsidRPr="00523021">
        <w:t xml:space="preserve">: </w:t>
      </w:r>
      <w:r w:rsidR="0075500D" w:rsidRPr="00523021">
        <w:t>Summary of NTG Estimates for PPL’s Residential Programs</w:t>
      </w:r>
      <w:bookmarkEnd w:id="1388"/>
      <w:bookmarkEnd w:id="1389"/>
      <w:bookmarkEnd w:id="1391"/>
      <w:bookmarkEnd w:id="1392"/>
      <w:bookmarkEnd w:id="1393"/>
      <w:bookmarkEnd w:id="1394"/>
    </w:p>
    <w:tbl>
      <w:tblPr>
        <w:tblW w:w="944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244"/>
        <w:gridCol w:w="3487"/>
        <w:gridCol w:w="1158"/>
        <w:gridCol w:w="1238"/>
        <w:gridCol w:w="1120"/>
        <w:gridCol w:w="1198"/>
      </w:tblGrid>
      <w:tr w:rsidR="00A874AC" w:rsidRPr="006C05B5" w:rsidTr="0036185D">
        <w:trPr>
          <w:cantSplit/>
        </w:trPr>
        <w:tc>
          <w:tcPr>
            <w:tcW w:w="1244" w:type="dxa"/>
            <w:shd w:val="clear" w:color="auto" w:fill="448A99"/>
            <w:vAlign w:val="bottom"/>
          </w:tcPr>
          <w:p w:rsidR="0075500D" w:rsidRPr="006C05B5" w:rsidRDefault="0075500D" w:rsidP="005C1352">
            <w:pPr>
              <w:jc w:val="left"/>
              <w:rPr>
                <w:b/>
                <w:color w:val="FFFFFF"/>
                <w:sz w:val="20"/>
                <w:szCs w:val="20"/>
              </w:rPr>
            </w:pPr>
            <w:r w:rsidRPr="006C05B5">
              <w:rPr>
                <w:b/>
                <w:color w:val="FFFFFF"/>
                <w:sz w:val="20"/>
                <w:szCs w:val="20"/>
              </w:rPr>
              <w:t>Approach</w:t>
            </w:r>
          </w:p>
        </w:tc>
        <w:tc>
          <w:tcPr>
            <w:tcW w:w="3487" w:type="dxa"/>
            <w:shd w:val="clear" w:color="auto" w:fill="448A99"/>
            <w:vAlign w:val="bottom"/>
          </w:tcPr>
          <w:p w:rsidR="0075500D" w:rsidRPr="006C05B5" w:rsidRDefault="0075500D" w:rsidP="005C1352">
            <w:pPr>
              <w:jc w:val="center"/>
              <w:rPr>
                <w:b/>
                <w:color w:val="FFFFFF"/>
                <w:sz w:val="20"/>
                <w:szCs w:val="20"/>
              </w:rPr>
            </w:pPr>
            <w:r w:rsidRPr="006C05B5">
              <w:rPr>
                <w:b/>
                <w:color w:val="FFFFFF"/>
                <w:sz w:val="20"/>
                <w:szCs w:val="20"/>
              </w:rPr>
              <w:t>Program</w:t>
            </w:r>
          </w:p>
        </w:tc>
        <w:tc>
          <w:tcPr>
            <w:tcW w:w="1158" w:type="dxa"/>
            <w:shd w:val="clear" w:color="auto" w:fill="448A99"/>
            <w:vAlign w:val="bottom"/>
          </w:tcPr>
          <w:p w:rsidR="0075500D" w:rsidRPr="006C05B5" w:rsidRDefault="0075500D" w:rsidP="005C1352">
            <w:pPr>
              <w:jc w:val="center"/>
              <w:rPr>
                <w:b/>
                <w:color w:val="FFFFFF"/>
                <w:sz w:val="20"/>
                <w:szCs w:val="20"/>
              </w:rPr>
            </w:pPr>
            <w:r w:rsidRPr="006C05B5">
              <w:rPr>
                <w:b/>
                <w:color w:val="FFFFFF"/>
                <w:sz w:val="20"/>
                <w:szCs w:val="20"/>
              </w:rPr>
              <w:t>Free-Ridership</w:t>
            </w:r>
          </w:p>
        </w:tc>
        <w:tc>
          <w:tcPr>
            <w:tcW w:w="1238" w:type="dxa"/>
            <w:shd w:val="clear" w:color="auto" w:fill="448A99"/>
            <w:vAlign w:val="bottom"/>
          </w:tcPr>
          <w:p w:rsidR="0075500D" w:rsidRPr="006C05B5" w:rsidRDefault="0075500D" w:rsidP="005C1352">
            <w:pPr>
              <w:jc w:val="center"/>
              <w:rPr>
                <w:b/>
                <w:color w:val="FFFFFF"/>
                <w:sz w:val="20"/>
                <w:szCs w:val="20"/>
              </w:rPr>
            </w:pPr>
            <w:r w:rsidRPr="006C05B5">
              <w:rPr>
                <w:b/>
                <w:color w:val="FFFFFF"/>
                <w:sz w:val="20"/>
                <w:szCs w:val="20"/>
              </w:rPr>
              <w:t>Spillover</w:t>
            </w:r>
          </w:p>
        </w:tc>
        <w:tc>
          <w:tcPr>
            <w:tcW w:w="1120" w:type="dxa"/>
            <w:shd w:val="clear" w:color="auto" w:fill="448A99"/>
            <w:vAlign w:val="bottom"/>
          </w:tcPr>
          <w:p w:rsidR="0075500D" w:rsidRPr="006C05B5" w:rsidRDefault="0075500D" w:rsidP="005C1352">
            <w:pPr>
              <w:jc w:val="center"/>
              <w:rPr>
                <w:b/>
                <w:color w:val="FFFFFF"/>
                <w:sz w:val="20"/>
                <w:szCs w:val="20"/>
              </w:rPr>
            </w:pPr>
            <w:r w:rsidRPr="006C05B5">
              <w:rPr>
                <w:b/>
                <w:color w:val="FFFFFF"/>
                <w:sz w:val="20"/>
                <w:szCs w:val="20"/>
              </w:rPr>
              <w:t>NTGR</w:t>
            </w:r>
            <w:r w:rsidRPr="006C05B5">
              <w:rPr>
                <w:b/>
                <w:color w:val="FFFFFF"/>
                <w:sz w:val="20"/>
                <w:szCs w:val="20"/>
                <w:vertAlign w:val="superscript"/>
              </w:rPr>
              <w:t>[a]</w:t>
            </w:r>
          </w:p>
        </w:tc>
        <w:tc>
          <w:tcPr>
            <w:tcW w:w="1198" w:type="dxa"/>
            <w:shd w:val="clear" w:color="auto" w:fill="448A99"/>
            <w:vAlign w:val="bottom"/>
          </w:tcPr>
          <w:p w:rsidR="0075500D" w:rsidRPr="006C05B5" w:rsidRDefault="0075500D" w:rsidP="005C1352">
            <w:pPr>
              <w:jc w:val="center"/>
              <w:rPr>
                <w:b/>
                <w:color w:val="FFFFFF"/>
                <w:sz w:val="20"/>
                <w:szCs w:val="20"/>
                <w:vertAlign w:val="superscript"/>
              </w:rPr>
            </w:pPr>
            <w:r w:rsidRPr="006C05B5">
              <w:rPr>
                <w:b/>
                <w:color w:val="FFFFFF"/>
                <w:sz w:val="20"/>
                <w:szCs w:val="20"/>
              </w:rPr>
              <w:t>Sample Size</w:t>
            </w:r>
            <w:r w:rsidRPr="006C05B5">
              <w:rPr>
                <w:b/>
                <w:color w:val="FFFFFF"/>
                <w:sz w:val="20"/>
                <w:szCs w:val="20"/>
                <w:vertAlign w:val="superscript"/>
              </w:rPr>
              <w:t>[b]</w:t>
            </w:r>
          </w:p>
        </w:tc>
      </w:tr>
      <w:tr w:rsidR="00A874AC" w:rsidRPr="006C05B5" w:rsidTr="0036185D">
        <w:trPr>
          <w:trHeight w:val="488"/>
        </w:trPr>
        <w:tc>
          <w:tcPr>
            <w:tcW w:w="1244" w:type="dxa"/>
            <w:vMerge w:val="restart"/>
            <w:shd w:val="clear" w:color="auto" w:fill="D2EAF1"/>
          </w:tcPr>
          <w:p w:rsidR="0075500D" w:rsidRPr="006C05B5" w:rsidRDefault="0075500D" w:rsidP="005C1352">
            <w:pPr>
              <w:jc w:val="left"/>
              <w:rPr>
                <w:sz w:val="20"/>
                <w:szCs w:val="20"/>
              </w:rPr>
            </w:pPr>
            <w:r w:rsidRPr="006C05B5">
              <w:rPr>
                <w:sz w:val="20"/>
                <w:szCs w:val="20"/>
              </w:rPr>
              <w:t>Estimated</w:t>
            </w:r>
          </w:p>
        </w:tc>
        <w:tc>
          <w:tcPr>
            <w:tcW w:w="3487" w:type="dxa"/>
            <w:shd w:val="clear" w:color="auto" w:fill="D2EAF1"/>
            <w:vAlign w:val="center"/>
          </w:tcPr>
          <w:p w:rsidR="0075500D" w:rsidRPr="006C05B5" w:rsidRDefault="0075500D" w:rsidP="005C1352">
            <w:pPr>
              <w:jc w:val="left"/>
              <w:rPr>
                <w:sz w:val="20"/>
                <w:szCs w:val="20"/>
              </w:rPr>
            </w:pPr>
            <w:r w:rsidRPr="006C05B5">
              <w:rPr>
                <w:sz w:val="20"/>
              </w:rPr>
              <w:t>Residential Retail Program</w:t>
            </w:r>
            <w:r w:rsidRPr="006C05B5">
              <w:rPr>
                <w:sz w:val="20"/>
                <w:vertAlign w:val="superscript"/>
              </w:rPr>
              <w:t>[c]</w:t>
            </w:r>
          </w:p>
        </w:tc>
        <w:tc>
          <w:tcPr>
            <w:tcW w:w="1158" w:type="dxa"/>
            <w:shd w:val="clear" w:color="auto" w:fill="D2EAF1"/>
            <w:vAlign w:val="center"/>
          </w:tcPr>
          <w:p w:rsidR="0075500D" w:rsidRPr="006C05B5" w:rsidRDefault="0075500D" w:rsidP="005C1352">
            <w:pPr>
              <w:jc w:val="center"/>
              <w:rPr>
                <w:sz w:val="20"/>
                <w:szCs w:val="20"/>
              </w:rPr>
            </w:pPr>
            <w:r w:rsidRPr="006C05B5">
              <w:rPr>
                <w:sz w:val="20"/>
                <w:szCs w:val="20"/>
              </w:rPr>
              <w:t>0.39</w:t>
            </w:r>
          </w:p>
        </w:tc>
        <w:tc>
          <w:tcPr>
            <w:tcW w:w="1238" w:type="dxa"/>
            <w:shd w:val="clear" w:color="auto" w:fill="D2EAF1"/>
            <w:vAlign w:val="center"/>
          </w:tcPr>
          <w:p w:rsidR="0075500D" w:rsidRPr="006C05B5" w:rsidRDefault="0075500D" w:rsidP="005C1352">
            <w:pPr>
              <w:jc w:val="center"/>
              <w:rPr>
                <w:sz w:val="20"/>
                <w:szCs w:val="20"/>
              </w:rPr>
            </w:pPr>
            <w:r w:rsidRPr="006C05B5">
              <w:rPr>
                <w:sz w:val="20"/>
                <w:szCs w:val="20"/>
              </w:rPr>
              <w:t>0.00</w:t>
            </w:r>
          </w:p>
        </w:tc>
        <w:tc>
          <w:tcPr>
            <w:tcW w:w="1120" w:type="dxa"/>
            <w:shd w:val="clear" w:color="auto" w:fill="D2EAF1"/>
            <w:vAlign w:val="center"/>
          </w:tcPr>
          <w:p w:rsidR="0075500D" w:rsidRPr="006C05B5" w:rsidRDefault="0075500D" w:rsidP="005C1352">
            <w:pPr>
              <w:jc w:val="center"/>
              <w:rPr>
                <w:sz w:val="20"/>
                <w:szCs w:val="20"/>
              </w:rPr>
            </w:pPr>
            <w:r w:rsidRPr="006C05B5">
              <w:rPr>
                <w:sz w:val="20"/>
                <w:szCs w:val="20"/>
              </w:rPr>
              <w:t>0.61</w:t>
            </w:r>
          </w:p>
        </w:tc>
        <w:tc>
          <w:tcPr>
            <w:tcW w:w="1198" w:type="dxa"/>
            <w:shd w:val="clear" w:color="auto" w:fill="D2EAF1"/>
            <w:vAlign w:val="center"/>
          </w:tcPr>
          <w:p w:rsidR="0075500D" w:rsidRPr="006C05B5" w:rsidRDefault="0075500D" w:rsidP="005C1352">
            <w:pPr>
              <w:jc w:val="center"/>
              <w:rPr>
                <w:sz w:val="20"/>
                <w:szCs w:val="20"/>
              </w:rPr>
            </w:pPr>
            <w:r w:rsidRPr="006C05B5">
              <w:rPr>
                <w:sz w:val="20"/>
                <w:szCs w:val="20"/>
              </w:rPr>
              <w:t>84</w:t>
            </w:r>
          </w:p>
        </w:tc>
      </w:tr>
      <w:tr w:rsidR="00E7173E" w:rsidRPr="006C05B5" w:rsidTr="00BC1E78">
        <w:trPr>
          <w:trHeight w:val="488"/>
        </w:trPr>
        <w:tc>
          <w:tcPr>
            <w:tcW w:w="1244" w:type="dxa"/>
            <w:vMerge/>
            <w:shd w:val="clear" w:color="auto" w:fill="D2EAF1"/>
          </w:tcPr>
          <w:p w:rsidR="0075500D" w:rsidRPr="006C05B5" w:rsidRDefault="0075500D" w:rsidP="005C1352">
            <w:pPr>
              <w:jc w:val="left"/>
              <w:rPr>
                <w:sz w:val="20"/>
                <w:szCs w:val="20"/>
              </w:rPr>
            </w:pPr>
          </w:p>
        </w:tc>
        <w:tc>
          <w:tcPr>
            <w:tcW w:w="3487" w:type="dxa"/>
            <w:vAlign w:val="center"/>
          </w:tcPr>
          <w:p w:rsidR="0075500D" w:rsidRPr="006C05B5" w:rsidRDefault="0075500D" w:rsidP="005C1352">
            <w:pPr>
              <w:jc w:val="left"/>
              <w:rPr>
                <w:sz w:val="20"/>
                <w:szCs w:val="20"/>
              </w:rPr>
            </w:pPr>
            <w:r w:rsidRPr="006C05B5">
              <w:rPr>
                <w:sz w:val="20"/>
                <w:szCs w:val="20"/>
              </w:rPr>
              <w:t>Residential Home Comfort Program</w:t>
            </w:r>
          </w:p>
        </w:tc>
        <w:tc>
          <w:tcPr>
            <w:tcW w:w="1158" w:type="dxa"/>
            <w:vAlign w:val="center"/>
          </w:tcPr>
          <w:p w:rsidR="0075500D" w:rsidRPr="006C05B5" w:rsidRDefault="0075500D" w:rsidP="005C1352">
            <w:pPr>
              <w:jc w:val="center"/>
              <w:rPr>
                <w:sz w:val="20"/>
                <w:szCs w:val="20"/>
              </w:rPr>
            </w:pPr>
            <w:r w:rsidRPr="006C05B5">
              <w:rPr>
                <w:sz w:val="20"/>
                <w:szCs w:val="20"/>
              </w:rPr>
              <w:t>0.42</w:t>
            </w:r>
          </w:p>
        </w:tc>
        <w:tc>
          <w:tcPr>
            <w:tcW w:w="1238" w:type="dxa"/>
            <w:vAlign w:val="center"/>
          </w:tcPr>
          <w:p w:rsidR="0075500D" w:rsidRPr="006C05B5" w:rsidRDefault="0075500D" w:rsidP="005C1352">
            <w:pPr>
              <w:jc w:val="center"/>
              <w:rPr>
                <w:sz w:val="20"/>
                <w:szCs w:val="20"/>
              </w:rPr>
            </w:pPr>
            <w:r w:rsidRPr="006C05B5">
              <w:rPr>
                <w:sz w:val="20"/>
                <w:szCs w:val="20"/>
              </w:rPr>
              <w:t>0.04</w:t>
            </w:r>
          </w:p>
        </w:tc>
        <w:tc>
          <w:tcPr>
            <w:tcW w:w="1120" w:type="dxa"/>
            <w:vAlign w:val="center"/>
          </w:tcPr>
          <w:p w:rsidR="0075500D" w:rsidRPr="006C05B5" w:rsidRDefault="0075500D" w:rsidP="005C1352">
            <w:pPr>
              <w:jc w:val="center"/>
              <w:rPr>
                <w:sz w:val="20"/>
                <w:szCs w:val="20"/>
              </w:rPr>
            </w:pPr>
            <w:r w:rsidRPr="006C05B5">
              <w:rPr>
                <w:sz w:val="20"/>
                <w:szCs w:val="20"/>
              </w:rPr>
              <w:t>0.61</w:t>
            </w:r>
          </w:p>
        </w:tc>
        <w:tc>
          <w:tcPr>
            <w:tcW w:w="1198" w:type="dxa"/>
            <w:vAlign w:val="center"/>
          </w:tcPr>
          <w:p w:rsidR="0075500D" w:rsidRPr="006C05B5" w:rsidRDefault="0075500D" w:rsidP="005C1352">
            <w:pPr>
              <w:jc w:val="center"/>
              <w:rPr>
                <w:sz w:val="20"/>
                <w:szCs w:val="20"/>
              </w:rPr>
            </w:pPr>
            <w:r w:rsidRPr="006C05B5">
              <w:rPr>
                <w:sz w:val="20"/>
                <w:szCs w:val="20"/>
              </w:rPr>
              <w:t>224</w:t>
            </w:r>
          </w:p>
        </w:tc>
      </w:tr>
      <w:tr w:rsidR="00A874AC" w:rsidRPr="006C05B5" w:rsidTr="0036185D">
        <w:trPr>
          <w:trHeight w:val="488"/>
        </w:trPr>
        <w:tc>
          <w:tcPr>
            <w:tcW w:w="1244" w:type="dxa"/>
            <w:vMerge w:val="restart"/>
            <w:shd w:val="clear" w:color="auto" w:fill="FFFFFF"/>
          </w:tcPr>
          <w:p w:rsidR="0075500D" w:rsidRPr="006C05B5" w:rsidRDefault="0075500D" w:rsidP="005C1352">
            <w:pPr>
              <w:jc w:val="left"/>
              <w:rPr>
                <w:sz w:val="20"/>
                <w:szCs w:val="20"/>
              </w:rPr>
            </w:pPr>
            <w:r w:rsidRPr="006C05B5">
              <w:rPr>
                <w:sz w:val="20"/>
                <w:szCs w:val="20"/>
              </w:rPr>
              <w:t>Assumed NTGR = 1.0</w:t>
            </w:r>
          </w:p>
        </w:tc>
        <w:tc>
          <w:tcPr>
            <w:tcW w:w="3487" w:type="dxa"/>
            <w:shd w:val="clear" w:color="auto" w:fill="D2EAF1"/>
            <w:vAlign w:val="center"/>
          </w:tcPr>
          <w:p w:rsidR="0075500D" w:rsidRPr="006C05B5" w:rsidRDefault="0075500D" w:rsidP="005C1352">
            <w:pPr>
              <w:jc w:val="left"/>
              <w:rPr>
                <w:sz w:val="20"/>
                <w:szCs w:val="20"/>
              </w:rPr>
            </w:pPr>
            <w:r w:rsidRPr="006C05B5">
              <w:rPr>
                <w:sz w:val="20"/>
                <w:szCs w:val="20"/>
              </w:rPr>
              <w:t>Student and Parent Energy-Efficiency Education Program</w:t>
            </w:r>
          </w:p>
        </w:tc>
        <w:tc>
          <w:tcPr>
            <w:tcW w:w="1158" w:type="dxa"/>
            <w:shd w:val="clear" w:color="auto" w:fill="D2EAF1"/>
            <w:vAlign w:val="center"/>
          </w:tcPr>
          <w:p w:rsidR="0075500D" w:rsidRPr="006C05B5" w:rsidRDefault="0075500D" w:rsidP="005C1352">
            <w:pPr>
              <w:jc w:val="center"/>
              <w:rPr>
                <w:sz w:val="20"/>
                <w:szCs w:val="20"/>
              </w:rPr>
            </w:pPr>
            <w:r w:rsidRPr="006C05B5">
              <w:rPr>
                <w:sz w:val="20"/>
                <w:szCs w:val="20"/>
              </w:rPr>
              <w:t>0.0</w:t>
            </w:r>
          </w:p>
        </w:tc>
        <w:tc>
          <w:tcPr>
            <w:tcW w:w="1238" w:type="dxa"/>
            <w:shd w:val="clear" w:color="auto" w:fill="D2EAF1"/>
            <w:vAlign w:val="center"/>
          </w:tcPr>
          <w:p w:rsidR="0075500D" w:rsidRPr="006C05B5" w:rsidRDefault="0075500D" w:rsidP="005C1352">
            <w:pPr>
              <w:jc w:val="center"/>
              <w:rPr>
                <w:sz w:val="20"/>
                <w:szCs w:val="20"/>
              </w:rPr>
            </w:pPr>
            <w:r w:rsidRPr="006C05B5">
              <w:rPr>
                <w:sz w:val="20"/>
                <w:szCs w:val="20"/>
              </w:rPr>
              <w:t>0.0</w:t>
            </w:r>
          </w:p>
        </w:tc>
        <w:tc>
          <w:tcPr>
            <w:tcW w:w="1120" w:type="dxa"/>
            <w:shd w:val="clear" w:color="auto" w:fill="D2EAF1"/>
            <w:vAlign w:val="center"/>
          </w:tcPr>
          <w:p w:rsidR="0075500D" w:rsidRPr="006C05B5" w:rsidRDefault="0075500D" w:rsidP="005C1352">
            <w:pPr>
              <w:jc w:val="center"/>
              <w:rPr>
                <w:sz w:val="20"/>
                <w:szCs w:val="20"/>
              </w:rPr>
            </w:pPr>
            <w:r w:rsidRPr="006C05B5">
              <w:rPr>
                <w:sz w:val="20"/>
                <w:szCs w:val="20"/>
              </w:rPr>
              <w:t>1.0</w:t>
            </w:r>
          </w:p>
        </w:tc>
        <w:tc>
          <w:tcPr>
            <w:tcW w:w="1198" w:type="dxa"/>
            <w:shd w:val="clear" w:color="auto" w:fill="D2EAF1"/>
            <w:vAlign w:val="center"/>
          </w:tcPr>
          <w:p w:rsidR="0075500D" w:rsidRPr="006C05B5" w:rsidRDefault="0075500D" w:rsidP="005C1352">
            <w:pPr>
              <w:jc w:val="center"/>
              <w:rPr>
                <w:sz w:val="20"/>
                <w:szCs w:val="20"/>
              </w:rPr>
            </w:pPr>
            <w:r w:rsidRPr="006C05B5">
              <w:rPr>
                <w:sz w:val="20"/>
                <w:szCs w:val="20"/>
              </w:rPr>
              <w:t>N/A</w:t>
            </w:r>
          </w:p>
        </w:tc>
      </w:tr>
      <w:tr w:rsidR="00A874AC" w:rsidRPr="006C05B5" w:rsidTr="0036185D">
        <w:trPr>
          <w:trHeight w:val="488"/>
        </w:trPr>
        <w:tc>
          <w:tcPr>
            <w:tcW w:w="1244" w:type="dxa"/>
            <w:vMerge/>
            <w:shd w:val="clear" w:color="auto" w:fill="FFFFFF"/>
          </w:tcPr>
          <w:p w:rsidR="0075500D" w:rsidRPr="006C05B5" w:rsidRDefault="0075500D" w:rsidP="005C1352">
            <w:pPr>
              <w:jc w:val="left"/>
              <w:rPr>
                <w:sz w:val="20"/>
                <w:szCs w:val="20"/>
              </w:rPr>
            </w:pPr>
          </w:p>
        </w:tc>
        <w:tc>
          <w:tcPr>
            <w:tcW w:w="3487" w:type="dxa"/>
            <w:shd w:val="clear" w:color="auto" w:fill="FFFFFF"/>
            <w:vAlign w:val="center"/>
          </w:tcPr>
          <w:p w:rsidR="0075500D" w:rsidRPr="006C05B5" w:rsidRDefault="0075500D" w:rsidP="005C1352">
            <w:pPr>
              <w:jc w:val="left"/>
              <w:rPr>
                <w:sz w:val="20"/>
                <w:szCs w:val="20"/>
              </w:rPr>
            </w:pPr>
            <w:r w:rsidRPr="006C05B5">
              <w:rPr>
                <w:sz w:val="20"/>
                <w:szCs w:val="20"/>
              </w:rPr>
              <w:t>Residential Energy-Efficiency Behavior &amp; Education Program</w:t>
            </w:r>
          </w:p>
        </w:tc>
        <w:tc>
          <w:tcPr>
            <w:tcW w:w="1158" w:type="dxa"/>
            <w:shd w:val="clear" w:color="auto" w:fill="FFFFFF"/>
            <w:vAlign w:val="center"/>
          </w:tcPr>
          <w:p w:rsidR="0075500D" w:rsidRPr="006C05B5" w:rsidRDefault="0075500D" w:rsidP="005C1352">
            <w:pPr>
              <w:jc w:val="center"/>
              <w:rPr>
                <w:sz w:val="20"/>
                <w:szCs w:val="20"/>
              </w:rPr>
            </w:pPr>
            <w:r w:rsidRPr="006C05B5">
              <w:rPr>
                <w:sz w:val="20"/>
                <w:szCs w:val="20"/>
              </w:rPr>
              <w:t>N/A</w:t>
            </w:r>
          </w:p>
        </w:tc>
        <w:tc>
          <w:tcPr>
            <w:tcW w:w="1238" w:type="dxa"/>
            <w:shd w:val="clear" w:color="auto" w:fill="FFFFFF"/>
            <w:vAlign w:val="center"/>
          </w:tcPr>
          <w:p w:rsidR="0075500D" w:rsidRPr="006C05B5" w:rsidRDefault="0075500D" w:rsidP="005C1352">
            <w:pPr>
              <w:jc w:val="center"/>
              <w:rPr>
                <w:sz w:val="20"/>
                <w:szCs w:val="20"/>
              </w:rPr>
            </w:pPr>
            <w:r w:rsidRPr="006C05B5">
              <w:rPr>
                <w:sz w:val="20"/>
                <w:szCs w:val="20"/>
              </w:rPr>
              <w:t>N/A</w:t>
            </w:r>
          </w:p>
        </w:tc>
        <w:tc>
          <w:tcPr>
            <w:tcW w:w="1120" w:type="dxa"/>
            <w:shd w:val="clear" w:color="auto" w:fill="FFFFFF"/>
            <w:vAlign w:val="center"/>
          </w:tcPr>
          <w:p w:rsidR="0075500D" w:rsidRPr="006C05B5" w:rsidRDefault="0075500D" w:rsidP="005C1352">
            <w:pPr>
              <w:jc w:val="center"/>
              <w:rPr>
                <w:sz w:val="20"/>
                <w:szCs w:val="20"/>
              </w:rPr>
            </w:pPr>
            <w:r w:rsidRPr="006C05B5">
              <w:rPr>
                <w:sz w:val="20"/>
                <w:szCs w:val="20"/>
              </w:rPr>
              <w:t>1.0</w:t>
            </w:r>
          </w:p>
        </w:tc>
        <w:tc>
          <w:tcPr>
            <w:tcW w:w="1198" w:type="dxa"/>
            <w:shd w:val="clear" w:color="auto" w:fill="FFFFFF"/>
            <w:vAlign w:val="center"/>
          </w:tcPr>
          <w:p w:rsidR="0075500D" w:rsidRPr="006C05B5" w:rsidRDefault="0075500D" w:rsidP="005C1352">
            <w:pPr>
              <w:jc w:val="center"/>
              <w:rPr>
                <w:sz w:val="20"/>
                <w:szCs w:val="20"/>
              </w:rPr>
            </w:pPr>
            <w:r w:rsidRPr="006C05B5">
              <w:rPr>
                <w:sz w:val="20"/>
                <w:szCs w:val="20"/>
              </w:rPr>
              <w:t>N/A</w:t>
            </w:r>
          </w:p>
        </w:tc>
      </w:tr>
      <w:tr w:rsidR="00A874AC" w:rsidRPr="006C05B5" w:rsidTr="0036185D">
        <w:trPr>
          <w:trHeight w:val="489"/>
        </w:trPr>
        <w:tc>
          <w:tcPr>
            <w:tcW w:w="1244" w:type="dxa"/>
            <w:shd w:val="clear" w:color="auto" w:fill="D2EAF1"/>
          </w:tcPr>
          <w:p w:rsidR="0075500D" w:rsidRPr="006C05B5" w:rsidRDefault="0075500D" w:rsidP="005C1352">
            <w:pPr>
              <w:jc w:val="left"/>
              <w:rPr>
                <w:sz w:val="20"/>
                <w:szCs w:val="20"/>
              </w:rPr>
            </w:pPr>
            <w:r w:rsidRPr="006C05B5">
              <w:rPr>
                <w:sz w:val="20"/>
                <w:szCs w:val="20"/>
              </w:rPr>
              <w:t>Referenced from PY6</w:t>
            </w:r>
          </w:p>
        </w:tc>
        <w:tc>
          <w:tcPr>
            <w:tcW w:w="3487" w:type="dxa"/>
            <w:shd w:val="clear" w:color="auto" w:fill="D2EAF1"/>
            <w:vAlign w:val="center"/>
          </w:tcPr>
          <w:p w:rsidR="0075500D" w:rsidRPr="006C05B5" w:rsidRDefault="0075500D" w:rsidP="005C1352">
            <w:pPr>
              <w:jc w:val="left"/>
              <w:rPr>
                <w:sz w:val="20"/>
                <w:szCs w:val="20"/>
              </w:rPr>
            </w:pPr>
            <w:r w:rsidRPr="006C05B5">
              <w:rPr>
                <w:sz w:val="20"/>
                <w:szCs w:val="20"/>
              </w:rPr>
              <w:t>Appliance Recycling Program (ARP)</w:t>
            </w:r>
          </w:p>
        </w:tc>
        <w:tc>
          <w:tcPr>
            <w:tcW w:w="1158" w:type="dxa"/>
            <w:shd w:val="clear" w:color="auto" w:fill="D2EAF1"/>
            <w:vAlign w:val="center"/>
          </w:tcPr>
          <w:p w:rsidR="0075500D" w:rsidRPr="006C05B5" w:rsidRDefault="0075500D" w:rsidP="005C1352">
            <w:pPr>
              <w:jc w:val="center"/>
              <w:rPr>
                <w:sz w:val="20"/>
                <w:szCs w:val="20"/>
              </w:rPr>
            </w:pPr>
            <w:r w:rsidRPr="006C05B5">
              <w:rPr>
                <w:sz w:val="20"/>
                <w:szCs w:val="20"/>
              </w:rPr>
              <w:t>0.40</w:t>
            </w:r>
          </w:p>
        </w:tc>
        <w:tc>
          <w:tcPr>
            <w:tcW w:w="1238" w:type="dxa"/>
            <w:shd w:val="clear" w:color="auto" w:fill="D2EAF1"/>
            <w:vAlign w:val="center"/>
          </w:tcPr>
          <w:p w:rsidR="0075500D" w:rsidRPr="006C05B5" w:rsidRDefault="0075500D" w:rsidP="005C1352">
            <w:pPr>
              <w:jc w:val="center"/>
              <w:rPr>
                <w:sz w:val="20"/>
                <w:szCs w:val="20"/>
              </w:rPr>
            </w:pPr>
            <w:r w:rsidRPr="006C05B5">
              <w:rPr>
                <w:sz w:val="20"/>
                <w:szCs w:val="20"/>
              </w:rPr>
              <w:t>0.00</w:t>
            </w:r>
          </w:p>
        </w:tc>
        <w:tc>
          <w:tcPr>
            <w:tcW w:w="1120" w:type="dxa"/>
            <w:shd w:val="clear" w:color="auto" w:fill="D2EAF1"/>
            <w:vAlign w:val="center"/>
          </w:tcPr>
          <w:p w:rsidR="0075500D" w:rsidRPr="006C05B5" w:rsidRDefault="0075500D" w:rsidP="005C1352">
            <w:pPr>
              <w:jc w:val="center"/>
              <w:rPr>
                <w:sz w:val="20"/>
                <w:szCs w:val="20"/>
              </w:rPr>
            </w:pPr>
            <w:r w:rsidRPr="006C05B5">
              <w:rPr>
                <w:sz w:val="20"/>
                <w:szCs w:val="20"/>
              </w:rPr>
              <w:t>0.60</w:t>
            </w:r>
          </w:p>
        </w:tc>
        <w:tc>
          <w:tcPr>
            <w:tcW w:w="1198" w:type="dxa"/>
            <w:shd w:val="clear" w:color="auto" w:fill="D2EAF1"/>
            <w:vAlign w:val="center"/>
          </w:tcPr>
          <w:p w:rsidR="0075500D" w:rsidRPr="006C05B5" w:rsidRDefault="0075500D" w:rsidP="005C1352">
            <w:pPr>
              <w:jc w:val="center"/>
              <w:rPr>
                <w:sz w:val="20"/>
                <w:szCs w:val="20"/>
              </w:rPr>
            </w:pPr>
            <w:r w:rsidRPr="006C05B5">
              <w:rPr>
                <w:sz w:val="20"/>
                <w:szCs w:val="20"/>
              </w:rPr>
              <w:t>N/A</w:t>
            </w:r>
          </w:p>
        </w:tc>
      </w:tr>
      <w:tr w:rsidR="00E7173E" w:rsidRPr="001D0677" w:rsidTr="00BC1E78">
        <w:tc>
          <w:tcPr>
            <w:tcW w:w="9445" w:type="dxa"/>
            <w:gridSpan w:val="6"/>
            <w:shd w:val="clear" w:color="auto" w:fill="448A99"/>
          </w:tcPr>
          <w:p w:rsidR="0075500D" w:rsidRPr="001D0677" w:rsidRDefault="006142E6" w:rsidP="005C1352">
            <w:pPr>
              <w:jc w:val="left"/>
              <w:rPr>
                <w:color w:val="FFFFFF"/>
                <w:sz w:val="18"/>
              </w:rPr>
            </w:pPr>
            <w:r w:rsidRPr="001D0677">
              <w:rPr>
                <w:color w:val="FFFFFF"/>
                <w:sz w:val="18"/>
              </w:rPr>
              <w:t>NOTES:</w:t>
            </w:r>
          </w:p>
          <w:p w:rsidR="0075500D" w:rsidRPr="001D0677" w:rsidRDefault="0075500D" w:rsidP="005C1352">
            <w:pPr>
              <w:jc w:val="left"/>
              <w:rPr>
                <w:color w:val="FFFFFF"/>
                <w:sz w:val="18"/>
                <w:szCs w:val="20"/>
              </w:rPr>
            </w:pPr>
            <w:r w:rsidRPr="001D0677">
              <w:rPr>
                <w:color w:val="FFFFFF"/>
                <w:sz w:val="18"/>
                <w:szCs w:val="18"/>
              </w:rPr>
              <w:t>[a]</w:t>
            </w:r>
            <w:r w:rsidRPr="001D0677">
              <w:rPr>
                <w:bCs/>
                <w:color w:val="FFFFFF"/>
                <w:sz w:val="18"/>
                <w:szCs w:val="20"/>
              </w:rPr>
              <w:t xml:space="preserve"> </w:t>
            </w:r>
            <w:r w:rsidRPr="001D0677">
              <w:rPr>
                <w:color w:val="FFFFFF"/>
                <w:sz w:val="18"/>
                <w:szCs w:val="20"/>
              </w:rPr>
              <w:t xml:space="preserve">NTGR = 1 – free-ridership + spillover. In some cases, the NTGR shown in the table may not equal exactly 1 – </w:t>
            </w:r>
            <w:r w:rsidRPr="001D0677">
              <w:rPr>
                <w:rFonts w:eastAsia="Calibri"/>
                <w:color w:val="FFFFFF"/>
                <w:sz w:val="18"/>
                <w:szCs w:val="20"/>
              </w:rPr>
              <w:t>free-ridership + spillover</w:t>
            </w:r>
            <w:r w:rsidRPr="001D0677">
              <w:rPr>
                <w:color w:val="FFFFFF"/>
                <w:sz w:val="18"/>
                <w:szCs w:val="20"/>
              </w:rPr>
              <w:t xml:space="preserve"> because of rounding.</w:t>
            </w:r>
          </w:p>
          <w:p w:rsidR="0075500D" w:rsidRPr="001D0677" w:rsidRDefault="0075500D" w:rsidP="005C1352">
            <w:pPr>
              <w:jc w:val="left"/>
              <w:rPr>
                <w:color w:val="FFFFFF"/>
                <w:sz w:val="18"/>
              </w:rPr>
            </w:pPr>
            <w:r w:rsidRPr="001D0677">
              <w:rPr>
                <w:color w:val="FFFFFF"/>
                <w:sz w:val="18"/>
                <w:szCs w:val="18"/>
              </w:rPr>
              <w:t xml:space="preserve">[b] </w:t>
            </w:r>
            <w:r w:rsidRPr="001D0677">
              <w:rPr>
                <w:color w:val="FFFFFF"/>
                <w:sz w:val="18"/>
              </w:rPr>
              <w:t>The samples provided at least 85/15 precision/confidence.</w:t>
            </w:r>
          </w:p>
          <w:p w:rsidR="0075500D" w:rsidRPr="001D0677" w:rsidRDefault="0075500D" w:rsidP="005C1352">
            <w:pPr>
              <w:jc w:val="left"/>
              <w:rPr>
                <w:sz w:val="18"/>
              </w:rPr>
            </w:pPr>
            <w:r w:rsidRPr="001D0677">
              <w:rPr>
                <w:color w:val="FFFFFF"/>
                <w:sz w:val="18"/>
                <w:szCs w:val="18"/>
              </w:rPr>
              <w:t>[c]</w:t>
            </w:r>
            <w:r w:rsidRPr="001D0677">
              <w:rPr>
                <w:color w:val="FFFFFF"/>
                <w:sz w:val="18"/>
              </w:rPr>
              <w:t xml:space="preserve"> Program-level NTGR combines downstream and upstream NTG values. Downstream NTGR was estimated from surveys with 84 participants. Upstream NTGR was estimated using sales data.</w:t>
            </w:r>
          </w:p>
        </w:tc>
      </w:tr>
    </w:tbl>
    <w:p w:rsidR="0075500D" w:rsidRPr="006C05B5" w:rsidRDefault="0075500D" w:rsidP="0075500D">
      <w:pPr>
        <w:rPr>
          <w:color w:val="000000"/>
        </w:rPr>
      </w:pPr>
    </w:p>
    <w:p w:rsidR="0075500D" w:rsidRPr="006C05B5" w:rsidRDefault="0075500D" w:rsidP="0075500D">
      <w:pPr>
        <w:pStyle w:val="AppendixAHeading4"/>
      </w:pPr>
      <w:r w:rsidRPr="006C05B5">
        <w:t>Low-Income Residential Programs</w:t>
      </w:r>
    </w:p>
    <w:p w:rsidR="00F65D6C" w:rsidRPr="00C706BC" w:rsidRDefault="00F65D6C" w:rsidP="0036185D">
      <w:pPr>
        <w:spacing w:after="120"/>
      </w:pPr>
      <w:r w:rsidRPr="00C706BC">
        <w:t xml:space="preserve">Cadmus did not report NTG values for any of the three PPL low-income programs. The PPL PY7 annual report provided the following reasons for doing so: </w:t>
      </w:r>
    </w:p>
    <w:p w:rsidR="00F65D6C" w:rsidRPr="0036185D" w:rsidRDefault="00F65D6C" w:rsidP="00E646C9">
      <w:pPr>
        <w:pStyle w:val="ListParagraph"/>
        <w:numPr>
          <w:ilvl w:val="0"/>
          <w:numId w:val="96"/>
        </w:numPr>
        <w:ind w:left="360"/>
      </w:pPr>
      <w:r w:rsidRPr="0036185D">
        <w:t>The Low-Income Energy-Efficiency Behavior &amp; Education Program produces net savings through the RCT analysis</w:t>
      </w:r>
    </w:p>
    <w:p w:rsidR="00F65D6C" w:rsidRPr="0036185D" w:rsidRDefault="00F65D6C" w:rsidP="00E646C9">
      <w:pPr>
        <w:pStyle w:val="ListParagraph"/>
        <w:numPr>
          <w:ilvl w:val="0"/>
          <w:numId w:val="96"/>
        </w:numPr>
        <w:ind w:left="360"/>
      </w:pPr>
      <w:r w:rsidRPr="0036185D">
        <w:t>Low-Income WRAP’s program design should not generate free ridership</w:t>
      </w:r>
    </w:p>
    <w:p w:rsidR="0075500D" w:rsidRPr="0036185D" w:rsidRDefault="00F65D6C" w:rsidP="00E646C9">
      <w:pPr>
        <w:pStyle w:val="ListParagraph"/>
        <w:numPr>
          <w:ilvl w:val="0"/>
          <w:numId w:val="96"/>
        </w:numPr>
        <w:ind w:left="360"/>
      </w:pPr>
      <w:r w:rsidRPr="0036185D">
        <w:t>Since PPL does not plan to continue the program in Phase III, no interviews were conducted with decision-makers in PY7’s Master Metered Low-Income Multifamily Housing program</w:t>
      </w:r>
      <w:r w:rsidR="0075500D" w:rsidRPr="0036185D">
        <w:t>.</w:t>
      </w:r>
    </w:p>
    <w:p w:rsidR="0075500D" w:rsidRDefault="0075500D" w:rsidP="0075500D"/>
    <w:p w:rsidR="0075500D" w:rsidRPr="00C706BC" w:rsidRDefault="0075500D" w:rsidP="0075500D">
      <w:pPr>
        <w:pStyle w:val="AppendixAHeading4"/>
      </w:pPr>
      <w:r w:rsidRPr="00C706BC">
        <w:t>Non-Residential Programs</w:t>
      </w:r>
    </w:p>
    <w:p w:rsidR="0075500D" w:rsidRPr="006C05B5" w:rsidRDefault="0075500D" w:rsidP="0075500D">
      <w:r w:rsidRPr="00C706BC">
        <w:t xml:space="preserve">Cadmus estimated NTG for three non-residential programs: </w:t>
      </w:r>
      <w:r w:rsidR="0036185D" w:rsidRPr="00C706BC">
        <w:t>The</w:t>
      </w:r>
      <w:r w:rsidRPr="00C706BC">
        <w:t xml:space="preserve"> Prescriptive Equipment Program (PEP), Custom Incentive</w:t>
      </w:r>
      <w:r w:rsidRPr="006C05B5">
        <w:t xml:space="preserve"> Program (CIP), and Continuous Energy Improvement (CEI) Program. Due to the difficulty in reaching program decision makers, Cadmus did not collect new NTG survey data for the Master-Metered Low-Income Multifamily (MMMF) Program, and instead applied a savings-weighted average of PY5 NTGR and PY6 NTGR to PY7 rebated lighting projects. Cadmus did not report the weighted average MMMF NTGR in the PPL annual report. Cadmus did not estimate NTG for a fifth non-residential program, the School Benchmarking Program, as it does not generate savings.</w:t>
      </w:r>
    </w:p>
    <w:p w:rsidR="0075500D" w:rsidRPr="006C05B5" w:rsidRDefault="0075500D" w:rsidP="0075500D"/>
    <w:p w:rsidR="0075500D" w:rsidRPr="006C05B5" w:rsidRDefault="0075500D" w:rsidP="0075500D">
      <w:r w:rsidRPr="006C05B5">
        <w:t>Cadmus reported using the SWE Team’s common approach for PEP and CIP. Cadmus used survey data for CEI, and asked participants to rate the program’s influence on decisions, including developing tools to implement its strategic energy management plan and to implement operational or behavioral activities.</w:t>
      </w:r>
    </w:p>
    <w:p w:rsidR="0075500D" w:rsidRPr="006C05B5" w:rsidRDefault="0075500D" w:rsidP="0075500D"/>
    <w:p w:rsidR="0075500D" w:rsidRPr="006C05B5" w:rsidRDefault="0075500D" w:rsidP="0075500D">
      <w:r w:rsidRPr="006C05B5">
        <w:t xml:space="preserve">Cadmus described the NTG methodology in the PPL PY7 annual report and showed calculations in corresponding Excel workbooks for each program. For each program that served both the C/I and GNI sectors, Cadmus provided a single NTGR estimate for the two sectors. </w:t>
      </w:r>
    </w:p>
    <w:p w:rsidR="0075500D" w:rsidRPr="006C05B5" w:rsidRDefault="0075500D" w:rsidP="0075500D"/>
    <w:p w:rsidR="0075500D" w:rsidRPr="006C05B5" w:rsidRDefault="0075500D" w:rsidP="0075500D">
      <w:r>
        <w:fldChar w:fldCharType="begin"/>
      </w:r>
      <w:r>
        <w:instrText xml:space="preserve"> REF _Ref472454216 \h </w:instrText>
      </w:r>
      <w:r>
        <w:fldChar w:fldCharType="separate"/>
      </w:r>
      <w:r w:rsidR="00A874AC" w:rsidRPr="0075500D">
        <w:t>Table A-</w:t>
      </w:r>
      <w:r w:rsidR="00A874AC">
        <w:rPr>
          <w:noProof/>
        </w:rPr>
        <w:t>158</w:t>
      </w:r>
      <w:r>
        <w:fldChar w:fldCharType="end"/>
      </w:r>
      <w:r>
        <w:t xml:space="preserve"> </w:t>
      </w:r>
      <w:r w:rsidR="00C706BC" w:rsidRPr="00C706BC">
        <w:t>summarizes the SWE Team’s review of the NTG methodology by program. While the provided Excel workbooks demonstrate proper and error-free use of the common method, and Cadmus provided the survey instruments with the Excel workbook, the SWE Team found description of the NTG methods to be somewhat unclear: while Cadmus did provide a high-level summary of the survey methods, it did not explain the free-ridership calculation algorithm</w:t>
      </w:r>
      <w:r w:rsidRPr="006C05B5">
        <w:t>.</w:t>
      </w:r>
    </w:p>
    <w:p w:rsidR="0075500D" w:rsidRPr="006C05B5" w:rsidRDefault="0075500D" w:rsidP="0075500D"/>
    <w:p w:rsidR="0075500D" w:rsidRPr="0075500D" w:rsidRDefault="0075500D" w:rsidP="0075500D">
      <w:pPr>
        <w:pStyle w:val="Caption"/>
      </w:pPr>
      <w:bookmarkStart w:id="1395" w:name="_Ref472454216"/>
      <w:bookmarkStart w:id="1396" w:name="_Toc409225036"/>
      <w:bookmarkStart w:id="1397" w:name="_Toc409443588"/>
      <w:bookmarkStart w:id="1398" w:name="_Toc444269809"/>
      <w:bookmarkStart w:id="1399" w:name="_Toc472472555"/>
      <w:bookmarkStart w:id="1400" w:name="_Toc476842273"/>
      <w:r w:rsidRPr="0075500D">
        <w:t>Table A-</w:t>
      </w:r>
      <w:fldSimple w:instr=" SEQ Table_A- \* ARABIC ">
        <w:r w:rsidR="00C301D0">
          <w:rPr>
            <w:noProof/>
          </w:rPr>
          <w:t>158</w:t>
        </w:r>
      </w:fldSimple>
      <w:bookmarkEnd w:id="1395"/>
      <w:r w:rsidRPr="0075500D">
        <w:t>: Summary of NTG Audit of PPL’s Non-Residential Programs</w:t>
      </w:r>
      <w:bookmarkEnd w:id="1396"/>
      <w:bookmarkEnd w:id="1397"/>
      <w:bookmarkEnd w:id="1398"/>
      <w:bookmarkEnd w:id="1399"/>
      <w:bookmarkEnd w:id="1400"/>
    </w:p>
    <w:tbl>
      <w:tblPr>
        <w:tblW w:w="9355"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ayout w:type="fixed"/>
        <w:tblLook w:val="04A0" w:firstRow="1" w:lastRow="0" w:firstColumn="1" w:lastColumn="0" w:noHBand="0" w:noVBand="1"/>
      </w:tblPr>
      <w:tblGrid>
        <w:gridCol w:w="2065"/>
        <w:gridCol w:w="1800"/>
        <w:gridCol w:w="5490"/>
      </w:tblGrid>
      <w:tr w:rsidR="00A874AC" w:rsidRPr="006C05B5" w:rsidTr="0036185D">
        <w:trPr>
          <w:tblHeader/>
        </w:trPr>
        <w:tc>
          <w:tcPr>
            <w:tcW w:w="2065" w:type="dxa"/>
            <w:shd w:val="clear" w:color="auto" w:fill="448A99"/>
          </w:tcPr>
          <w:p w:rsidR="0075500D" w:rsidRPr="006C05B5" w:rsidRDefault="0075500D" w:rsidP="005C1352">
            <w:pPr>
              <w:jc w:val="left"/>
              <w:rPr>
                <w:b/>
                <w:color w:val="FFFFFF"/>
                <w:sz w:val="20"/>
                <w:szCs w:val="20"/>
              </w:rPr>
            </w:pPr>
            <w:r w:rsidRPr="006C05B5">
              <w:rPr>
                <w:b/>
                <w:color w:val="FFFFFF"/>
                <w:sz w:val="20"/>
                <w:szCs w:val="20"/>
              </w:rPr>
              <w:t>Program</w:t>
            </w:r>
          </w:p>
        </w:tc>
        <w:tc>
          <w:tcPr>
            <w:tcW w:w="1800" w:type="dxa"/>
            <w:shd w:val="clear" w:color="auto" w:fill="448A99"/>
          </w:tcPr>
          <w:p w:rsidR="0075500D" w:rsidRPr="006C05B5" w:rsidRDefault="0075500D" w:rsidP="0036185D">
            <w:pPr>
              <w:jc w:val="center"/>
              <w:rPr>
                <w:b/>
                <w:color w:val="FFFFFF"/>
                <w:sz w:val="20"/>
                <w:szCs w:val="20"/>
              </w:rPr>
            </w:pPr>
            <w:r w:rsidRPr="006C05B5">
              <w:rPr>
                <w:b/>
                <w:color w:val="FFFFFF"/>
                <w:sz w:val="20"/>
                <w:szCs w:val="20"/>
              </w:rPr>
              <w:t>NTG Method</w:t>
            </w:r>
          </w:p>
        </w:tc>
        <w:tc>
          <w:tcPr>
            <w:tcW w:w="5490" w:type="dxa"/>
            <w:tcBorders>
              <w:bottom w:val="single" w:sz="4" w:space="0" w:color="448A99"/>
            </w:tcBorders>
            <w:shd w:val="clear" w:color="auto" w:fill="448A99"/>
          </w:tcPr>
          <w:p w:rsidR="0075500D" w:rsidRPr="006C05B5" w:rsidRDefault="0075500D" w:rsidP="005C1352">
            <w:pPr>
              <w:jc w:val="center"/>
              <w:rPr>
                <w:b/>
                <w:color w:val="FFFFFF"/>
                <w:sz w:val="20"/>
                <w:szCs w:val="20"/>
              </w:rPr>
            </w:pPr>
            <w:r w:rsidRPr="006C05B5">
              <w:rPr>
                <w:b/>
                <w:color w:val="FFFFFF"/>
                <w:sz w:val="20"/>
                <w:szCs w:val="20"/>
              </w:rPr>
              <w:t>Review Comments</w:t>
            </w:r>
          </w:p>
        </w:tc>
      </w:tr>
      <w:tr w:rsidR="00E7173E" w:rsidRPr="006C05B5" w:rsidTr="00BC1E78">
        <w:tc>
          <w:tcPr>
            <w:tcW w:w="2065" w:type="dxa"/>
            <w:shd w:val="clear" w:color="auto" w:fill="D2EAF1"/>
          </w:tcPr>
          <w:p w:rsidR="0075500D" w:rsidRPr="006C05B5" w:rsidRDefault="0075500D" w:rsidP="005C1352">
            <w:pPr>
              <w:jc w:val="left"/>
              <w:rPr>
                <w:color w:val="548DD4"/>
                <w:sz w:val="20"/>
                <w:szCs w:val="20"/>
              </w:rPr>
            </w:pPr>
            <w:r w:rsidRPr="006C05B5">
              <w:rPr>
                <w:sz w:val="20"/>
                <w:szCs w:val="20"/>
              </w:rPr>
              <w:t>Prescriptive Equipment Program (PEP)</w:t>
            </w:r>
          </w:p>
        </w:tc>
        <w:tc>
          <w:tcPr>
            <w:tcW w:w="1800" w:type="dxa"/>
            <w:shd w:val="clear" w:color="auto" w:fill="D2EAF1"/>
          </w:tcPr>
          <w:p w:rsidR="0075500D" w:rsidRPr="006C05B5" w:rsidRDefault="0075500D" w:rsidP="0036185D">
            <w:pPr>
              <w:jc w:val="center"/>
              <w:rPr>
                <w:color w:val="548DD4"/>
                <w:sz w:val="20"/>
                <w:szCs w:val="20"/>
              </w:rPr>
            </w:pPr>
            <w:r w:rsidRPr="006C05B5">
              <w:rPr>
                <w:sz w:val="20"/>
                <w:szCs w:val="20"/>
              </w:rPr>
              <w:t>The common method was used.</w:t>
            </w:r>
          </w:p>
        </w:tc>
        <w:tc>
          <w:tcPr>
            <w:tcW w:w="5490" w:type="dxa"/>
            <w:shd w:val="clear" w:color="auto" w:fill="D2EAF1"/>
          </w:tcPr>
          <w:p w:rsidR="0075500D" w:rsidRPr="006C05B5" w:rsidRDefault="0075500D" w:rsidP="005C1352">
            <w:pPr>
              <w:jc w:val="left"/>
              <w:rPr>
                <w:color w:val="548DD4"/>
                <w:sz w:val="20"/>
                <w:szCs w:val="20"/>
              </w:rPr>
            </w:pPr>
            <w:r w:rsidRPr="006C05B5">
              <w:rPr>
                <w:sz w:val="20"/>
                <w:szCs w:val="20"/>
              </w:rPr>
              <w:t xml:space="preserve">Cadmus used the common method, but the description of the methods in the annual report could have been clearer. </w:t>
            </w:r>
          </w:p>
        </w:tc>
      </w:tr>
      <w:tr w:rsidR="00E7173E" w:rsidRPr="006C05B5" w:rsidTr="00BC1E78">
        <w:tc>
          <w:tcPr>
            <w:tcW w:w="2065" w:type="dxa"/>
            <w:shd w:val="clear" w:color="auto" w:fill="auto"/>
          </w:tcPr>
          <w:p w:rsidR="0075500D" w:rsidRPr="006C05B5" w:rsidRDefault="0075500D" w:rsidP="005C1352">
            <w:pPr>
              <w:jc w:val="left"/>
              <w:rPr>
                <w:color w:val="548DD4"/>
                <w:sz w:val="20"/>
                <w:szCs w:val="20"/>
              </w:rPr>
            </w:pPr>
            <w:r w:rsidRPr="006C05B5">
              <w:rPr>
                <w:sz w:val="20"/>
                <w:szCs w:val="20"/>
              </w:rPr>
              <w:t>Custom Incentive Program (CIP)</w:t>
            </w:r>
          </w:p>
        </w:tc>
        <w:tc>
          <w:tcPr>
            <w:tcW w:w="1800" w:type="dxa"/>
            <w:shd w:val="clear" w:color="auto" w:fill="auto"/>
          </w:tcPr>
          <w:p w:rsidR="0075500D" w:rsidRPr="006C05B5" w:rsidRDefault="0075500D" w:rsidP="0036185D">
            <w:pPr>
              <w:jc w:val="center"/>
              <w:rPr>
                <w:color w:val="548DD4"/>
                <w:sz w:val="20"/>
                <w:szCs w:val="20"/>
              </w:rPr>
            </w:pPr>
            <w:r w:rsidRPr="006C05B5">
              <w:rPr>
                <w:sz w:val="20"/>
                <w:szCs w:val="20"/>
              </w:rPr>
              <w:t>The common method was used.</w:t>
            </w:r>
          </w:p>
        </w:tc>
        <w:tc>
          <w:tcPr>
            <w:tcW w:w="5490" w:type="dxa"/>
            <w:shd w:val="clear" w:color="auto" w:fill="auto"/>
          </w:tcPr>
          <w:p w:rsidR="0075500D" w:rsidRPr="006C05B5" w:rsidRDefault="0075500D" w:rsidP="005C1352">
            <w:pPr>
              <w:jc w:val="left"/>
              <w:rPr>
                <w:color w:val="548DD4"/>
                <w:sz w:val="20"/>
                <w:szCs w:val="20"/>
              </w:rPr>
            </w:pPr>
            <w:r w:rsidRPr="006C05B5">
              <w:rPr>
                <w:sz w:val="20"/>
                <w:szCs w:val="20"/>
              </w:rPr>
              <w:t xml:space="preserve">Cadmus used the common method, but the description of the methods in the annual report could have been clearer. Cadmus found evidence of SO but lacked sufficient data to quantify it. </w:t>
            </w:r>
          </w:p>
        </w:tc>
      </w:tr>
      <w:tr w:rsidR="00E7173E" w:rsidRPr="006C05B5" w:rsidTr="00BC1E78">
        <w:tc>
          <w:tcPr>
            <w:tcW w:w="2065" w:type="dxa"/>
            <w:shd w:val="clear" w:color="auto" w:fill="D2EAF1"/>
          </w:tcPr>
          <w:p w:rsidR="0075500D" w:rsidRPr="006C05B5" w:rsidRDefault="0075500D" w:rsidP="005C1352">
            <w:pPr>
              <w:jc w:val="left"/>
              <w:rPr>
                <w:sz w:val="20"/>
                <w:szCs w:val="20"/>
              </w:rPr>
            </w:pPr>
            <w:r w:rsidRPr="006C05B5">
              <w:rPr>
                <w:sz w:val="20"/>
                <w:szCs w:val="20"/>
              </w:rPr>
              <w:t>Master-Metered Low-Income Multifamily (MMMF) Program</w:t>
            </w:r>
          </w:p>
        </w:tc>
        <w:tc>
          <w:tcPr>
            <w:tcW w:w="1800" w:type="dxa"/>
            <w:shd w:val="clear" w:color="auto" w:fill="D2EAF1"/>
          </w:tcPr>
          <w:p w:rsidR="0075500D" w:rsidRPr="006C05B5" w:rsidRDefault="0075500D" w:rsidP="0036185D">
            <w:pPr>
              <w:jc w:val="center"/>
              <w:rPr>
                <w:sz w:val="20"/>
                <w:szCs w:val="20"/>
              </w:rPr>
            </w:pPr>
            <w:r w:rsidRPr="006C05B5">
              <w:rPr>
                <w:sz w:val="20"/>
                <w:szCs w:val="20"/>
              </w:rPr>
              <w:t>Not calculated: applied a savings-weighted average of PY5 and PY6 NTGR to PY7 rebated lighting projects.</w:t>
            </w:r>
          </w:p>
        </w:tc>
        <w:tc>
          <w:tcPr>
            <w:tcW w:w="5490" w:type="dxa"/>
            <w:shd w:val="clear" w:color="auto" w:fill="D2EAF1"/>
          </w:tcPr>
          <w:p w:rsidR="0075500D" w:rsidRPr="006C05B5" w:rsidRDefault="0075500D" w:rsidP="005C1352">
            <w:pPr>
              <w:jc w:val="left"/>
              <w:rPr>
                <w:sz w:val="20"/>
                <w:szCs w:val="20"/>
              </w:rPr>
            </w:pPr>
            <w:r w:rsidRPr="006C05B5">
              <w:rPr>
                <w:sz w:val="20"/>
                <w:szCs w:val="20"/>
              </w:rPr>
              <w:t>Because program decision makers are a hard-to-reach population and Cadmus collected data from them in PY5 and PY6, it applied a savings-weighted NTGR average from PY5 and PY6 to PY7 rebated lighting projects. The SWE Team approves of this method. Cadmus did not report the resulting NTGR used for PY7; the SWE Team suggests that Cadmus report the PY7 NTGR in the PPL report.</w:t>
            </w:r>
          </w:p>
        </w:tc>
      </w:tr>
      <w:tr w:rsidR="00E7173E" w:rsidRPr="006C05B5" w:rsidTr="00BC1E78">
        <w:tc>
          <w:tcPr>
            <w:tcW w:w="2065" w:type="dxa"/>
            <w:shd w:val="clear" w:color="auto" w:fill="auto"/>
          </w:tcPr>
          <w:p w:rsidR="0075500D" w:rsidRPr="006C05B5" w:rsidRDefault="0075500D" w:rsidP="005C1352">
            <w:pPr>
              <w:jc w:val="left"/>
              <w:rPr>
                <w:sz w:val="20"/>
                <w:szCs w:val="20"/>
              </w:rPr>
            </w:pPr>
            <w:r w:rsidRPr="006C05B5">
              <w:rPr>
                <w:sz w:val="20"/>
                <w:szCs w:val="20"/>
              </w:rPr>
              <w:t>Continuous Energy Improvement (CEI) Program</w:t>
            </w:r>
          </w:p>
        </w:tc>
        <w:tc>
          <w:tcPr>
            <w:tcW w:w="1800" w:type="dxa"/>
            <w:shd w:val="clear" w:color="auto" w:fill="auto"/>
          </w:tcPr>
          <w:p w:rsidR="0075500D" w:rsidRPr="006C05B5" w:rsidRDefault="0075500D" w:rsidP="0036185D">
            <w:pPr>
              <w:jc w:val="center"/>
              <w:rPr>
                <w:sz w:val="20"/>
                <w:szCs w:val="20"/>
              </w:rPr>
            </w:pPr>
            <w:r w:rsidRPr="006C05B5">
              <w:rPr>
                <w:sz w:val="20"/>
                <w:szCs w:val="20"/>
              </w:rPr>
              <w:t>Billing analysis, supported by assessment of program influence.</w:t>
            </w:r>
          </w:p>
        </w:tc>
        <w:tc>
          <w:tcPr>
            <w:tcW w:w="5490" w:type="dxa"/>
            <w:shd w:val="clear" w:color="auto" w:fill="auto"/>
          </w:tcPr>
          <w:p w:rsidR="0075500D" w:rsidRPr="006C05B5" w:rsidRDefault="0075500D" w:rsidP="005C1352">
            <w:pPr>
              <w:jc w:val="left"/>
              <w:rPr>
                <w:sz w:val="20"/>
                <w:szCs w:val="20"/>
              </w:rPr>
            </w:pPr>
            <w:r w:rsidRPr="006C05B5">
              <w:rPr>
                <w:sz w:val="20"/>
                <w:szCs w:val="20"/>
              </w:rPr>
              <w:t>Cadmus used survey data, where participants reported very high program influence on savings-related decisions.</w:t>
            </w:r>
          </w:p>
        </w:tc>
      </w:tr>
      <w:tr w:rsidR="00E7173E" w:rsidRPr="006C05B5" w:rsidTr="00BC1E78">
        <w:tc>
          <w:tcPr>
            <w:tcW w:w="2065" w:type="dxa"/>
            <w:shd w:val="clear" w:color="auto" w:fill="D2EAF1"/>
          </w:tcPr>
          <w:p w:rsidR="0075500D" w:rsidRPr="006C05B5" w:rsidRDefault="0075500D" w:rsidP="005C1352">
            <w:pPr>
              <w:jc w:val="left"/>
              <w:rPr>
                <w:sz w:val="20"/>
                <w:szCs w:val="20"/>
              </w:rPr>
            </w:pPr>
            <w:r w:rsidRPr="006C05B5">
              <w:rPr>
                <w:sz w:val="20"/>
                <w:szCs w:val="20"/>
              </w:rPr>
              <w:t>School Benchmarking Program</w:t>
            </w:r>
          </w:p>
        </w:tc>
        <w:tc>
          <w:tcPr>
            <w:tcW w:w="1800" w:type="dxa"/>
            <w:shd w:val="clear" w:color="auto" w:fill="D2EAF1"/>
          </w:tcPr>
          <w:p w:rsidR="0075500D" w:rsidRPr="006C05B5" w:rsidRDefault="0075500D" w:rsidP="0036185D">
            <w:pPr>
              <w:jc w:val="center"/>
              <w:rPr>
                <w:sz w:val="20"/>
                <w:szCs w:val="20"/>
              </w:rPr>
            </w:pPr>
            <w:r w:rsidRPr="006C05B5">
              <w:rPr>
                <w:sz w:val="20"/>
                <w:szCs w:val="20"/>
              </w:rPr>
              <w:t>NTGR was not estimated.</w:t>
            </w:r>
          </w:p>
        </w:tc>
        <w:tc>
          <w:tcPr>
            <w:tcW w:w="5490" w:type="dxa"/>
            <w:shd w:val="clear" w:color="auto" w:fill="D2EAF1"/>
          </w:tcPr>
          <w:p w:rsidR="0075500D" w:rsidRPr="006C05B5" w:rsidRDefault="0075500D" w:rsidP="005C1352">
            <w:pPr>
              <w:jc w:val="left"/>
              <w:rPr>
                <w:sz w:val="20"/>
                <w:szCs w:val="20"/>
              </w:rPr>
            </w:pPr>
            <w:r w:rsidRPr="006C05B5">
              <w:rPr>
                <w:sz w:val="20"/>
                <w:szCs w:val="20"/>
              </w:rPr>
              <w:t>NTG was not estimated, as the program does not generate savings.</w:t>
            </w:r>
          </w:p>
        </w:tc>
      </w:tr>
    </w:tbl>
    <w:p w:rsidR="0075500D" w:rsidRPr="006C05B5" w:rsidRDefault="0075500D" w:rsidP="0075500D">
      <w:pPr>
        <w:rPr>
          <w:highlight w:val="lightGray"/>
        </w:rPr>
      </w:pPr>
    </w:p>
    <w:p w:rsidR="0075500D" w:rsidRPr="006C05B5" w:rsidRDefault="0075500D" w:rsidP="0075500D">
      <w:r>
        <w:fldChar w:fldCharType="begin"/>
      </w:r>
      <w:r>
        <w:instrText xml:space="preserve"> REF _Ref472454246 \h </w:instrText>
      </w:r>
      <w:r>
        <w:fldChar w:fldCharType="separate"/>
      </w:r>
      <w:r w:rsidR="00A874AC" w:rsidRPr="0075500D">
        <w:t>Table A-</w:t>
      </w:r>
      <w:r w:rsidR="00A874AC">
        <w:rPr>
          <w:noProof/>
        </w:rPr>
        <w:t>159</w:t>
      </w:r>
      <w:r>
        <w:fldChar w:fldCharType="end"/>
      </w:r>
      <w:r w:rsidRPr="006C05B5">
        <w:t xml:space="preserve"> summarizes the free-ridership, spillover, and NTGR estimates reported in Cadmus’s annual report for non-residential sector programs.</w:t>
      </w:r>
    </w:p>
    <w:p w:rsidR="0075500D" w:rsidRDefault="0075500D" w:rsidP="0075500D">
      <w:pPr>
        <w:rPr>
          <w:highlight w:val="lightGray"/>
        </w:rPr>
      </w:pPr>
    </w:p>
    <w:p w:rsidR="0075500D" w:rsidRPr="0075500D" w:rsidRDefault="0075500D" w:rsidP="0075500D">
      <w:pPr>
        <w:pStyle w:val="Caption"/>
      </w:pPr>
      <w:bookmarkStart w:id="1401" w:name="_Ref472454246"/>
      <w:bookmarkStart w:id="1402" w:name="_Toc409225037"/>
      <w:bookmarkStart w:id="1403" w:name="_Toc409443589"/>
      <w:bookmarkStart w:id="1404" w:name="_Toc444269810"/>
      <w:bookmarkStart w:id="1405" w:name="_Toc472472556"/>
      <w:bookmarkStart w:id="1406" w:name="_Toc476842274"/>
      <w:r w:rsidRPr="0075500D">
        <w:t>Table A-</w:t>
      </w:r>
      <w:fldSimple w:instr=" SEQ Table_A- \* ARABIC ">
        <w:r w:rsidR="00C301D0">
          <w:rPr>
            <w:noProof/>
          </w:rPr>
          <w:t>159</w:t>
        </w:r>
      </w:fldSimple>
      <w:bookmarkEnd w:id="1401"/>
      <w:r w:rsidRPr="0075500D">
        <w:t>: Summary of NTG Estimates for PPL’s Non-Residential Programs</w:t>
      </w:r>
      <w:bookmarkEnd w:id="1402"/>
      <w:bookmarkEnd w:id="1403"/>
      <w:bookmarkEnd w:id="1404"/>
      <w:bookmarkEnd w:id="1405"/>
      <w:bookmarkEnd w:id="1406"/>
    </w:p>
    <w:tbl>
      <w:tblPr>
        <w:tblW w:w="9360" w:type="dxa"/>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Look w:val="04A0" w:firstRow="1" w:lastRow="0" w:firstColumn="1" w:lastColumn="0" w:noHBand="0" w:noVBand="1"/>
      </w:tblPr>
      <w:tblGrid>
        <w:gridCol w:w="1435"/>
        <w:gridCol w:w="3150"/>
        <w:gridCol w:w="1154"/>
        <w:gridCol w:w="1230"/>
        <w:gridCol w:w="1292"/>
        <w:gridCol w:w="1084"/>
        <w:gridCol w:w="15"/>
      </w:tblGrid>
      <w:tr w:rsidR="00A874AC" w:rsidRPr="006C05B5" w:rsidTr="0036185D">
        <w:trPr>
          <w:gridAfter w:val="1"/>
          <w:wAfter w:w="15" w:type="dxa"/>
          <w:tblHeader/>
        </w:trPr>
        <w:tc>
          <w:tcPr>
            <w:tcW w:w="1435" w:type="dxa"/>
            <w:shd w:val="clear" w:color="auto" w:fill="448A99"/>
            <w:vAlign w:val="bottom"/>
          </w:tcPr>
          <w:p w:rsidR="0075500D" w:rsidRPr="006C05B5" w:rsidRDefault="0075500D" w:rsidP="005C1352">
            <w:pPr>
              <w:keepNext/>
              <w:rPr>
                <w:b/>
                <w:color w:val="FFFFFF"/>
                <w:sz w:val="20"/>
                <w:szCs w:val="20"/>
              </w:rPr>
            </w:pPr>
            <w:r w:rsidRPr="006C05B5">
              <w:rPr>
                <w:b/>
                <w:color w:val="FFFFFF"/>
                <w:sz w:val="20"/>
                <w:szCs w:val="20"/>
              </w:rPr>
              <w:t>Approach</w:t>
            </w:r>
          </w:p>
        </w:tc>
        <w:tc>
          <w:tcPr>
            <w:tcW w:w="3150" w:type="dxa"/>
            <w:shd w:val="clear" w:color="auto" w:fill="448A99"/>
            <w:vAlign w:val="bottom"/>
          </w:tcPr>
          <w:p w:rsidR="0075500D" w:rsidRPr="006C05B5" w:rsidRDefault="0075500D" w:rsidP="005C1352">
            <w:pPr>
              <w:keepNext/>
              <w:jc w:val="center"/>
              <w:rPr>
                <w:b/>
                <w:color w:val="FFFFFF"/>
                <w:sz w:val="20"/>
                <w:szCs w:val="20"/>
              </w:rPr>
            </w:pPr>
            <w:r w:rsidRPr="006C05B5">
              <w:rPr>
                <w:b/>
                <w:color w:val="FFFFFF"/>
                <w:sz w:val="20"/>
                <w:szCs w:val="20"/>
              </w:rPr>
              <w:t>Program</w:t>
            </w:r>
          </w:p>
        </w:tc>
        <w:tc>
          <w:tcPr>
            <w:tcW w:w="1154" w:type="dxa"/>
            <w:shd w:val="clear" w:color="auto" w:fill="448A99"/>
            <w:vAlign w:val="bottom"/>
          </w:tcPr>
          <w:p w:rsidR="0075500D" w:rsidRPr="006C05B5" w:rsidRDefault="0075500D" w:rsidP="005C1352">
            <w:pPr>
              <w:keepNext/>
              <w:jc w:val="center"/>
              <w:rPr>
                <w:b/>
                <w:color w:val="FFFFFF"/>
                <w:sz w:val="20"/>
                <w:szCs w:val="20"/>
              </w:rPr>
            </w:pPr>
            <w:r w:rsidRPr="006C05B5">
              <w:rPr>
                <w:b/>
                <w:color w:val="FFFFFF"/>
                <w:sz w:val="20"/>
                <w:szCs w:val="20"/>
              </w:rPr>
              <w:t>Free-Ridership</w:t>
            </w:r>
          </w:p>
        </w:tc>
        <w:tc>
          <w:tcPr>
            <w:tcW w:w="1230" w:type="dxa"/>
            <w:shd w:val="clear" w:color="auto" w:fill="448A99"/>
            <w:vAlign w:val="bottom"/>
          </w:tcPr>
          <w:p w:rsidR="0075500D" w:rsidRPr="006C05B5" w:rsidRDefault="0075500D" w:rsidP="005C1352">
            <w:pPr>
              <w:keepNext/>
              <w:jc w:val="center"/>
              <w:rPr>
                <w:b/>
                <w:color w:val="FFFFFF"/>
                <w:sz w:val="20"/>
                <w:szCs w:val="20"/>
              </w:rPr>
            </w:pPr>
            <w:r w:rsidRPr="006C05B5">
              <w:rPr>
                <w:b/>
                <w:color w:val="FFFFFF"/>
                <w:sz w:val="20"/>
                <w:szCs w:val="20"/>
              </w:rPr>
              <w:t>Spillover</w:t>
            </w:r>
          </w:p>
        </w:tc>
        <w:tc>
          <w:tcPr>
            <w:tcW w:w="1292" w:type="dxa"/>
            <w:shd w:val="clear" w:color="auto" w:fill="448A99"/>
            <w:vAlign w:val="bottom"/>
          </w:tcPr>
          <w:p w:rsidR="0075500D" w:rsidRPr="006C05B5" w:rsidRDefault="0075500D" w:rsidP="005C1352">
            <w:pPr>
              <w:keepNext/>
              <w:jc w:val="center"/>
              <w:rPr>
                <w:b/>
                <w:color w:val="FFFFFF"/>
                <w:sz w:val="20"/>
                <w:szCs w:val="20"/>
              </w:rPr>
            </w:pPr>
            <w:r w:rsidRPr="006C05B5">
              <w:rPr>
                <w:b/>
                <w:color w:val="FFFFFF"/>
                <w:sz w:val="20"/>
                <w:szCs w:val="20"/>
              </w:rPr>
              <w:t>NTGR</w:t>
            </w:r>
          </w:p>
        </w:tc>
        <w:tc>
          <w:tcPr>
            <w:tcW w:w="1084" w:type="dxa"/>
            <w:shd w:val="clear" w:color="auto" w:fill="448A99"/>
            <w:vAlign w:val="bottom"/>
          </w:tcPr>
          <w:p w:rsidR="0075500D" w:rsidRPr="006C05B5" w:rsidRDefault="0075500D" w:rsidP="005C1352">
            <w:pPr>
              <w:keepNext/>
              <w:jc w:val="center"/>
              <w:rPr>
                <w:b/>
                <w:color w:val="FFFFFF"/>
                <w:sz w:val="20"/>
                <w:szCs w:val="20"/>
                <w:vertAlign w:val="superscript"/>
              </w:rPr>
            </w:pPr>
            <w:r w:rsidRPr="006C05B5">
              <w:rPr>
                <w:b/>
                <w:color w:val="FFFFFF"/>
                <w:sz w:val="20"/>
                <w:szCs w:val="20"/>
              </w:rPr>
              <w:t>Sample Size</w:t>
            </w:r>
            <w:r w:rsidRPr="006C05B5">
              <w:rPr>
                <w:b/>
                <w:color w:val="FFFFFF"/>
                <w:sz w:val="20"/>
                <w:szCs w:val="20"/>
                <w:vertAlign w:val="superscript"/>
              </w:rPr>
              <w:t>[a]</w:t>
            </w:r>
          </w:p>
        </w:tc>
      </w:tr>
      <w:tr w:rsidR="00A874AC" w:rsidRPr="006C05B5" w:rsidTr="0036185D">
        <w:trPr>
          <w:gridAfter w:val="1"/>
          <w:wAfter w:w="15" w:type="dxa"/>
          <w:trHeight w:val="488"/>
        </w:trPr>
        <w:tc>
          <w:tcPr>
            <w:tcW w:w="1435" w:type="dxa"/>
            <w:vMerge w:val="restart"/>
            <w:shd w:val="clear" w:color="auto" w:fill="D2EAF1"/>
          </w:tcPr>
          <w:p w:rsidR="0075500D" w:rsidRPr="006C05B5" w:rsidRDefault="0075500D" w:rsidP="005C1352">
            <w:pPr>
              <w:keepNext/>
              <w:rPr>
                <w:sz w:val="20"/>
                <w:szCs w:val="20"/>
              </w:rPr>
            </w:pPr>
            <w:r w:rsidRPr="006C05B5">
              <w:rPr>
                <w:sz w:val="20"/>
                <w:szCs w:val="20"/>
              </w:rPr>
              <w:t>Estimated</w:t>
            </w:r>
          </w:p>
        </w:tc>
        <w:tc>
          <w:tcPr>
            <w:tcW w:w="3150" w:type="dxa"/>
            <w:shd w:val="clear" w:color="auto" w:fill="D2EAF1"/>
          </w:tcPr>
          <w:p w:rsidR="0075500D" w:rsidRPr="006C05B5" w:rsidRDefault="0075500D" w:rsidP="005C1352">
            <w:pPr>
              <w:keepNext/>
              <w:jc w:val="center"/>
              <w:rPr>
                <w:sz w:val="20"/>
                <w:szCs w:val="20"/>
              </w:rPr>
            </w:pPr>
            <w:r w:rsidRPr="006C05B5">
              <w:rPr>
                <w:sz w:val="20"/>
                <w:szCs w:val="20"/>
              </w:rPr>
              <w:t>Prescriptive Equipment Program (PEP)</w:t>
            </w:r>
          </w:p>
        </w:tc>
        <w:tc>
          <w:tcPr>
            <w:tcW w:w="1154" w:type="dxa"/>
            <w:shd w:val="clear" w:color="auto" w:fill="D2EAF1"/>
          </w:tcPr>
          <w:p w:rsidR="0075500D" w:rsidRPr="006C05B5" w:rsidRDefault="0075500D" w:rsidP="005C1352">
            <w:pPr>
              <w:keepNext/>
              <w:jc w:val="center"/>
              <w:rPr>
                <w:color w:val="548DD4"/>
                <w:sz w:val="20"/>
                <w:szCs w:val="20"/>
              </w:rPr>
            </w:pPr>
            <w:r w:rsidRPr="006C05B5">
              <w:rPr>
                <w:sz w:val="20"/>
              </w:rPr>
              <w:t>0.23</w:t>
            </w:r>
          </w:p>
        </w:tc>
        <w:tc>
          <w:tcPr>
            <w:tcW w:w="1230" w:type="dxa"/>
            <w:shd w:val="clear" w:color="auto" w:fill="D2EAF1"/>
          </w:tcPr>
          <w:p w:rsidR="0075500D" w:rsidRPr="006C05B5" w:rsidRDefault="0075500D" w:rsidP="005C1352">
            <w:pPr>
              <w:keepNext/>
              <w:jc w:val="center"/>
              <w:rPr>
                <w:color w:val="548DD4"/>
                <w:sz w:val="20"/>
                <w:szCs w:val="20"/>
              </w:rPr>
            </w:pPr>
            <w:r w:rsidRPr="006C05B5">
              <w:rPr>
                <w:sz w:val="20"/>
              </w:rPr>
              <w:t>0.00</w:t>
            </w:r>
          </w:p>
        </w:tc>
        <w:tc>
          <w:tcPr>
            <w:tcW w:w="1292" w:type="dxa"/>
            <w:shd w:val="clear" w:color="auto" w:fill="D2EAF1"/>
          </w:tcPr>
          <w:p w:rsidR="0075500D" w:rsidRPr="006C05B5" w:rsidRDefault="0075500D" w:rsidP="005C1352">
            <w:pPr>
              <w:keepNext/>
              <w:jc w:val="center"/>
              <w:rPr>
                <w:color w:val="548DD4"/>
                <w:sz w:val="20"/>
                <w:szCs w:val="20"/>
              </w:rPr>
            </w:pPr>
            <w:r w:rsidRPr="006C05B5">
              <w:rPr>
                <w:sz w:val="20"/>
              </w:rPr>
              <w:t>0.77</w:t>
            </w:r>
          </w:p>
        </w:tc>
        <w:tc>
          <w:tcPr>
            <w:tcW w:w="1084" w:type="dxa"/>
            <w:shd w:val="clear" w:color="auto" w:fill="D2EAF1"/>
          </w:tcPr>
          <w:p w:rsidR="0075500D" w:rsidRPr="006C05B5" w:rsidRDefault="0075500D" w:rsidP="005C1352">
            <w:pPr>
              <w:keepNext/>
              <w:jc w:val="center"/>
              <w:rPr>
                <w:color w:val="548DD4"/>
                <w:sz w:val="20"/>
                <w:szCs w:val="20"/>
              </w:rPr>
            </w:pPr>
            <w:r w:rsidRPr="006C05B5">
              <w:rPr>
                <w:sz w:val="20"/>
              </w:rPr>
              <w:t>77</w:t>
            </w:r>
          </w:p>
        </w:tc>
      </w:tr>
      <w:tr w:rsidR="005E6D04" w:rsidRPr="006C05B5" w:rsidTr="00BC1E78">
        <w:trPr>
          <w:gridAfter w:val="1"/>
          <w:wAfter w:w="15" w:type="dxa"/>
          <w:trHeight w:val="488"/>
        </w:trPr>
        <w:tc>
          <w:tcPr>
            <w:tcW w:w="1435" w:type="dxa"/>
            <w:vMerge/>
          </w:tcPr>
          <w:p w:rsidR="0075500D" w:rsidRPr="006C05B5" w:rsidRDefault="0075500D" w:rsidP="005C1352">
            <w:pPr>
              <w:rPr>
                <w:sz w:val="20"/>
                <w:szCs w:val="20"/>
              </w:rPr>
            </w:pPr>
          </w:p>
        </w:tc>
        <w:tc>
          <w:tcPr>
            <w:tcW w:w="3150" w:type="dxa"/>
          </w:tcPr>
          <w:p w:rsidR="0075500D" w:rsidRPr="006C05B5" w:rsidRDefault="0075500D" w:rsidP="005C1352">
            <w:pPr>
              <w:jc w:val="center"/>
              <w:rPr>
                <w:sz w:val="20"/>
                <w:szCs w:val="20"/>
              </w:rPr>
            </w:pPr>
            <w:r w:rsidRPr="006C05B5">
              <w:rPr>
                <w:sz w:val="20"/>
                <w:szCs w:val="20"/>
              </w:rPr>
              <w:t>Custom Incentive Program (CIP)</w:t>
            </w:r>
          </w:p>
        </w:tc>
        <w:tc>
          <w:tcPr>
            <w:tcW w:w="1154" w:type="dxa"/>
          </w:tcPr>
          <w:p w:rsidR="0075500D" w:rsidRPr="006C05B5" w:rsidRDefault="0075500D" w:rsidP="005C1352">
            <w:pPr>
              <w:jc w:val="center"/>
              <w:rPr>
                <w:color w:val="548DD4"/>
                <w:sz w:val="20"/>
                <w:szCs w:val="20"/>
              </w:rPr>
            </w:pPr>
            <w:r w:rsidRPr="006C05B5">
              <w:rPr>
                <w:sz w:val="20"/>
                <w:szCs w:val="20"/>
              </w:rPr>
              <w:t>0.39</w:t>
            </w:r>
          </w:p>
        </w:tc>
        <w:tc>
          <w:tcPr>
            <w:tcW w:w="1230" w:type="dxa"/>
          </w:tcPr>
          <w:p w:rsidR="0075500D" w:rsidRPr="006C05B5" w:rsidRDefault="0075500D" w:rsidP="005C1352">
            <w:pPr>
              <w:jc w:val="center"/>
              <w:rPr>
                <w:color w:val="548DD4"/>
                <w:sz w:val="20"/>
                <w:szCs w:val="20"/>
              </w:rPr>
            </w:pPr>
            <w:r w:rsidRPr="006C05B5">
              <w:rPr>
                <w:sz w:val="20"/>
                <w:szCs w:val="20"/>
              </w:rPr>
              <w:t>0.00</w:t>
            </w:r>
          </w:p>
        </w:tc>
        <w:tc>
          <w:tcPr>
            <w:tcW w:w="1292" w:type="dxa"/>
          </w:tcPr>
          <w:p w:rsidR="0075500D" w:rsidRPr="006C05B5" w:rsidRDefault="0075500D" w:rsidP="005C1352">
            <w:pPr>
              <w:jc w:val="center"/>
              <w:rPr>
                <w:color w:val="548DD4"/>
                <w:sz w:val="20"/>
                <w:szCs w:val="20"/>
              </w:rPr>
            </w:pPr>
            <w:r w:rsidRPr="006C05B5">
              <w:rPr>
                <w:sz w:val="20"/>
                <w:szCs w:val="20"/>
              </w:rPr>
              <w:t>0.61</w:t>
            </w:r>
          </w:p>
        </w:tc>
        <w:tc>
          <w:tcPr>
            <w:tcW w:w="1084" w:type="dxa"/>
          </w:tcPr>
          <w:p w:rsidR="0075500D" w:rsidRPr="006C05B5" w:rsidRDefault="0075500D" w:rsidP="005C1352">
            <w:pPr>
              <w:jc w:val="center"/>
              <w:rPr>
                <w:color w:val="548DD4"/>
                <w:sz w:val="20"/>
                <w:szCs w:val="20"/>
              </w:rPr>
            </w:pPr>
            <w:r w:rsidRPr="006C05B5">
              <w:rPr>
                <w:sz w:val="20"/>
                <w:szCs w:val="20"/>
              </w:rPr>
              <w:t>21</w:t>
            </w:r>
          </w:p>
        </w:tc>
      </w:tr>
      <w:tr w:rsidR="00A874AC" w:rsidRPr="006C05B5" w:rsidTr="0036185D">
        <w:trPr>
          <w:gridAfter w:val="1"/>
          <w:wAfter w:w="15" w:type="dxa"/>
          <w:trHeight w:val="488"/>
        </w:trPr>
        <w:tc>
          <w:tcPr>
            <w:tcW w:w="1435" w:type="dxa"/>
            <w:vMerge/>
          </w:tcPr>
          <w:p w:rsidR="0075500D" w:rsidRPr="006C05B5" w:rsidRDefault="0075500D" w:rsidP="005C1352">
            <w:pPr>
              <w:rPr>
                <w:sz w:val="20"/>
                <w:szCs w:val="20"/>
              </w:rPr>
            </w:pPr>
          </w:p>
        </w:tc>
        <w:tc>
          <w:tcPr>
            <w:tcW w:w="3150" w:type="dxa"/>
            <w:shd w:val="clear" w:color="auto" w:fill="D2EAF1"/>
          </w:tcPr>
          <w:p w:rsidR="0075500D" w:rsidRPr="006C05B5" w:rsidRDefault="0075500D" w:rsidP="005C1352">
            <w:pPr>
              <w:jc w:val="center"/>
              <w:rPr>
                <w:sz w:val="20"/>
                <w:szCs w:val="20"/>
              </w:rPr>
            </w:pPr>
            <w:r w:rsidRPr="006C05B5">
              <w:rPr>
                <w:sz w:val="20"/>
                <w:szCs w:val="20"/>
              </w:rPr>
              <w:t>Master Metered Low-Income Multifamily (MMMF) Program</w:t>
            </w:r>
          </w:p>
        </w:tc>
        <w:tc>
          <w:tcPr>
            <w:tcW w:w="1154" w:type="dxa"/>
            <w:shd w:val="clear" w:color="auto" w:fill="D2EAF1"/>
          </w:tcPr>
          <w:p w:rsidR="0075500D" w:rsidRPr="006C05B5" w:rsidRDefault="0075500D" w:rsidP="005C1352">
            <w:pPr>
              <w:jc w:val="center"/>
              <w:rPr>
                <w:color w:val="548DD4"/>
                <w:sz w:val="20"/>
                <w:szCs w:val="20"/>
              </w:rPr>
            </w:pPr>
            <w:r w:rsidRPr="006C05B5">
              <w:rPr>
                <w:sz w:val="20"/>
              </w:rPr>
              <w:t>N/A</w:t>
            </w:r>
          </w:p>
        </w:tc>
        <w:tc>
          <w:tcPr>
            <w:tcW w:w="1230" w:type="dxa"/>
            <w:shd w:val="clear" w:color="auto" w:fill="D2EAF1"/>
          </w:tcPr>
          <w:p w:rsidR="0075500D" w:rsidRPr="006C05B5" w:rsidRDefault="0075500D" w:rsidP="005C1352">
            <w:pPr>
              <w:jc w:val="center"/>
              <w:rPr>
                <w:color w:val="548DD4"/>
                <w:sz w:val="20"/>
                <w:szCs w:val="20"/>
              </w:rPr>
            </w:pPr>
            <w:r w:rsidRPr="006C05B5">
              <w:rPr>
                <w:sz w:val="20"/>
              </w:rPr>
              <w:t>N/A</w:t>
            </w:r>
          </w:p>
        </w:tc>
        <w:tc>
          <w:tcPr>
            <w:tcW w:w="1292" w:type="dxa"/>
            <w:shd w:val="clear" w:color="auto" w:fill="D2EAF1"/>
          </w:tcPr>
          <w:p w:rsidR="0075500D" w:rsidRPr="006C05B5" w:rsidRDefault="0075500D" w:rsidP="005C1352">
            <w:pPr>
              <w:jc w:val="center"/>
              <w:rPr>
                <w:color w:val="548DD4"/>
                <w:sz w:val="20"/>
                <w:szCs w:val="20"/>
              </w:rPr>
            </w:pPr>
            <w:r w:rsidRPr="006C05B5">
              <w:rPr>
                <w:sz w:val="20"/>
              </w:rPr>
              <w:t>Not reported</w:t>
            </w:r>
          </w:p>
        </w:tc>
        <w:tc>
          <w:tcPr>
            <w:tcW w:w="1084" w:type="dxa"/>
            <w:shd w:val="clear" w:color="auto" w:fill="D2EAF1"/>
          </w:tcPr>
          <w:p w:rsidR="0075500D" w:rsidRPr="006C05B5" w:rsidRDefault="0075500D" w:rsidP="005C1352">
            <w:pPr>
              <w:jc w:val="center"/>
              <w:rPr>
                <w:color w:val="548DD4"/>
                <w:sz w:val="20"/>
                <w:szCs w:val="20"/>
              </w:rPr>
            </w:pPr>
            <w:r w:rsidRPr="006C05B5">
              <w:rPr>
                <w:sz w:val="20"/>
              </w:rPr>
              <w:t>N/A</w:t>
            </w:r>
          </w:p>
        </w:tc>
      </w:tr>
      <w:tr w:rsidR="00E7173E" w:rsidRPr="006C05B5" w:rsidTr="00BC1E78">
        <w:trPr>
          <w:gridAfter w:val="1"/>
          <w:wAfter w:w="15" w:type="dxa"/>
          <w:trHeight w:val="488"/>
        </w:trPr>
        <w:tc>
          <w:tcPr>
            <w:tcW w:w="1435" w:type="dxa"/>
            <w:vMerge/>
          </w:tcPr>
          <w:p w:rsidR="0075500D" w:rsidRPr="006C05B5" w:rsidRDefault="0075500D" w:rsidP="005C1352">
            <w:pPr>
              <w:rPr>
                <w:sz w:val="20"/>
                <w:szCs w:val="20"/>
              </w:rPr>
            </w:pPr>
          </w:p>
        </w:tc>
        <w:tc>
          <w:tcPr>
            <w:tcW w:w="3150" w:type="dxa"/>
          </w:tcPr>
          <w:p w:rsidR="0075500D" w:rsidRPr="006C05B5" w:rsidRDefault="0075500D" w:rsidP="005C1352">
            <w:pPr>
              <w:jc w:val="center"/>
              <w:rPr>
                <w:sz w:val="20"/>
                <w:szCs w:val="20"/>
              </w:rPr>
            </w:pPr>
            <w:r w:rsidRPr="006C05B5">
              <w:rPr>
                <w:sz w:val="20"/>
                <w:szCs w:val="20"/>
              </w:rPr>
              <w:t>Continuous Energy Improvement (CEI) Program</w:t>
            </w:r>
          </w:p>
        </w:tc>
        <w:tc>
          <w:tcPr>
            <w:tcW w:w="1154" w:type="dxa"/>
          </w:tcPr>
          <w:p w:rsidR="0075500D" w:rsidRPr="006C05B5" w:rsidRDefault="0075500D" w:rsidP="005C1352">
            <w:pPr>
              <w:jc w:val="center"/>
              <w:rPr>
                <w:color w:val="548DD4"/>
                <w:sz w:val="20"/>
                <w:szCs w:val="20"/>
              </w:rPr>
            </w:pPr>
            <w:r w:rsidRPr="006C05B5">
              <w:rPr>
                <w:sz w:val="20"/>
              </w:rPr>
              <w:t>0.00</w:t>
            </w:r>
          </w:p>
        </w:tc>
        <w:tc>
          <w:tcPr>
            <w:tcW w:w="1230" w:type="dxa"/>
          </w:tcPr>
          <w:p w:rsidR="0075500D" w:rsidRPr="006C05B5" w:rsidRDefault="00C706BC" w:rsidP="005C1352">
            <w:pPr>
              <w:jc w:val="center"/>
              <w:rPr>
                <w:color w:val="548DD4"/>
                <w:sz w:val="20"/>
                <w:szCs w:val="20"/>
              </w:rPr>
            </w:pPr>
            <w:r>
              <w:rPr>
                <w:sz w:val="20"/>
              </w:rPr>
              <w:t>0.00</w:t>
            </w:r>
          </w:p>
        </w:tc>
        <w:tc>
          <w:tcPr>
            <w:tcW w:w="1292" w:type="dxa"/>
          </w:tcPr>
          <w:p w:rsidR="0075500D" w:rsidRPr="006C05B5" w:rsidRDefault="0075500D" w:rsidP="005C1352">
            <w:pPr>
              <w:jc w:val="center"/>
              <w:rPr>
                <w:color w:val="548DD4"/>
                <w:sz w:val="20"/>
                <w:szCs w:val="20"/>
              </w:rPr>
            </w:pPr>
            <w:r w:rsidRPr="006C05B5">
              <w:rPr>
                <w:sz w:val="20"/>
              </w:rPr>
              <w:t>1.00</w:t>
            </w:r>
          </w:p>
        </w:tc>
        <w:tc>
          <w:tcPr>
            <w:tcW w:w="1084" w:type="dxa"/>
          </w:tcPr>
          <w:p w:rsidR="0075500D" w:rsidRPr="006C05B5" w:rsidRDefault="0075500D" w:rsidP="005C1352">
            <w:pPr>
              <w:jc w:val="center"/>
              <w:rPr>
                <w:color w:val="548DD4"/>
                <w:sz w:val="20"/>
                <w:szCs w:val="20"/>
              </w:rPr>
            </w:pPr>
            <w:r w:rsidRPr="006C05B5">
              <w:rPr>
                <w:sz w:val="20"/>
              </w:rPr>
              <w:t>23</w:t>
            </w:r>
          </w:p>
        </w:tc>
      </w:tr>
      <w:tr w:rsidR="00A874AC" w:rsidRPr="006C05B5" w:rsidTr="0036185D">
        <w:trPr>
          <w:gridAfter w:val="1"/>
          <w:wAfter w:w="15" w:type="dxa"/>
          <w:trHeight w:val="489"/>
        </w:trPr>
        <w:tc>
          <w:tcPr>
            <w:tcW w:w="1435" w:type="dxa"/>
          </w:tcPr>
          <w:p w:rsidR="0075500D" w:rsidRPr="006C05B5" w:rsidRDefault="0075500D" w:rsidP="005C1352">
            <w:pPr>
              <w:rPr>
                <w:sz w:val="20"/>
                <w:szCs w:val="20"/>
              </w:rPr>
            </w:pPr>
            <w:r w:rsidRPr="006C05B5">
              <w:rPr>
                <w:sz w:val="20"/>
                <w:szCs w:val="20"/>
              </w:rPr>
              <w:t>Not estimated</w:t>
            </w:r>
          </w:p>
        </w:tc>
        <w:tc>
          <w:tcPr>
            <w:tcW w:w="3150" w:type="dxa"/>
            <w:shd w:val="clear" w:color="auto" w:fill="D2EAF1"/>
          </w:tcPr>
          <w:p w:rsidR="0075500D" w:rsidRPr="006C05B5" w:rsidRDefault="0075500D" w:rsidP="005C1352">
            <w:pPr>
              <w:jc w:val="center"/>
              <w:rPr>
                <w:sz w:val="20"/>
                <w:szCs w:val="20"/>
              </w:rPr>
            </w:pPr>
            <w:r w:rsidRPr="006C05B5">
              <w:rPr>
                <w:sz w:val="20"/>
                <w:szCs w:val="20"/>
              </w:rPr>
              <w:t>School Benchmarking Program</w:t>
            </w:r>
          </w:p>
        </w:tc>
        <w:tc>
          <w:tcPr>
            <w:tcW w:w="1154" w:type="dxa"/>
            <w:shd w:val="clear" w:color="auto" w:fill="D2EAF1"/>
          </w:tcPr>
          <w:p w:rsidR="0075500D" w:rsidRPr="006C05B5" w:rsidRDefault="0075500D" w:rsidP="005C1352">
            <w:pPr>
              <w:jc w:val="center"/>
              <w:rPr>
                <w:color w:val="548DD4"/>
                <w:sz w:val="20"/>
                <w:szCs w:val="20"/>
              </w:rPr>
            </w:pPr>
            <w:r w:rsidRPr="006C05B5">
              <w:rPr>
                <w:sz w:val="20"/>
              </w:rPr>
              <w:t>N/A</w:t>
            </w:r>
          </w:p>
        </w:tc>
        <w:tc>
          <w:tcPr>
            <w:tcW w:w="1230" w:type="dxa"/>
            <w:shd w:val="clear" w:color="auto" w:fill="D2EAF1"/>
          </w:tcPr>
          <w:p w:rsidR="0075500D" w:rsidRPr="006C05B5" w:rsidRDefault="0075500D" w:rsidP="005C1352">
            <w:pPr>
              <w:jc w:val="center"/>
              <w:rPr>
                <w:color w:val="548DD4"/>
                <w:sz w:val="20"/>
                <w:szCs w:val="20"/>
              </w:rPr>
            </w:pPr>
            <w:r w:rsidRPr="006C05B5">
              <w:rPr>
                <w:sz w:val="20"/>
              </w:rPr>
              <w:t>N/A</w:t>
            </w:r>
          </w:p>
        </w:tc>
        <w:tc>
          <w:tcPr>
            <w:tcW w:w="1292" w:type="dxa"/>
            <w:shd w:val="clear" w:color="auto" w:fill="D2EAF1"/>
          </w:tcPr>
          <w:p w:rsidR="0075500D" w:rsidRPr="006C05B5" w:rsidRDefault="0075500D" w:rsidP="005C1352">
            <w:pPr>
              <w:jc w:val="center"/>
              <w:rPr>
                <w:color w:val="548DD4"/>
                <w:sz w:val="20"/>
                <w:szCs w:val="20"/>
              </w:rPr>
            </w:pPr>
            <w:r w:rsidRPr="006C05B5">
              <w:rPr>
                <w:sz w:val="20"/>
              </w:rPr>
              <w:t>N/A</w:t>
            </w:r>
          </w:p>
        </w:tc>
        <w:tc>
          <w:tcPr>
            <w:tcW w:w="1084" w:type="dxa"/>
            <w:shd w:val="clear" w:color="auto" w:fill="D2EAF1"/>
          </w:tcPr>
          <w:p w:rsidR="0075500D" w:rsidRPr="006C05B5" w:rsidRDefault="0075500D" w:rsidP="005C1352">
            <w:pPr>
              <w:jc w:val="center"/>
              <w:rPr>
                <w:color w:val="548DD4"/>
                <w:sz w:val="20"/>
                <w:szCs w:val="20"/>
              </w:rPr>
            </w:pPr>
            <w:r w:rsidRPr="006C05B5">
              <w:rPr>
                <w:sz w:val="20"/>
              </w:rPr>
              <w:t>N/A</w:t>
            </w:r>
          </w:p>
        </w:tc>
      </w:tr>
      <w:tr w:rsidR="00E7173E" w:rsidRPr="001D0677" w:rsidTr="00BC1E78">
        <w:tc>
          <w:tcPr>
            <w:tcW w:w="9360" w:type="dxa"/>
            <w:gridSpan w:val="7"/>
            <w:shd w:val="clear" w:color="auto" w:fill="448A99"/>
          </w:tcPr>
          <w:p w:rsidR="0075500D" w:rsidRPr="001D0677" w:rsidRDefault="0075500D" w:rsidP="005C1352">
            <w:pPr>
              <w:jc w:val="left"/>
              <w:rPr>
                <w:color w:val="FFFFFF"/>
                <w:sz w:val="18"/>
              </w:rPr>
            </w:pPr>
            <w:r w:rsidRPr="001D0677">
              <w:rPr>
                <w:color w:val="FFFFFF"/>
                <w:sz w:val="18"/>
              </w:rPr>
              <w:t>NOTE</w:t>
            </w:r>
            <w:r w:rsidR="001D0677">
              <w:rPr>
                <w:color w:val="FFFFFF"/>
                <w:sz w:val="18"/>
              </w:rPr>
              <w:t>S:</w:t>
            </w:r>
          </w:p>
          <w:p w:rsidR="0075500D" w:rsidRPr="001D0677" w:rsidRDefault="0075500D" w:rsidP="005C1352">
            <w:pPr>
              <w:jc w:val="left"/>
              <w:rPr>
                <w:sz w:val="18"/>
                <w:szCs w:val="20"/>
              </w:rPr>
            </w:pPr>
            <w:r w:rsidRPr="001D0677">
              <w:rPr>
                <w:color w:val="FFFFFF"/>
                <w:sz w:val="18"/>
                <w:szCs w:val="18"/>
              </w:rPr>
              <w:t>[a]</w:t>
            </w:r>
            <w:r w:rsidRPr="001D0677">
              <w:rPr>
                <w:color w:val="FFFFFF"/>
                <w:sz w:val="18"/>
              </w:rPr>
              <w:t xml:space="preserve"> The samples provided at least 85/15 precision/confidence.</w:t>
            </w:r>
          </w:p>
        </w:tc>
      </w:tr>
    </w:tbl>
    <w:p w:rsidR="0036185D" w:rsidRPr="0036185D" w:rsidRDefault="0036185D" w:rsidP="0036185D"/>
    <w:p w:rsidR="00950837" w:rsidRDefault="00950837" w:rsidP="0043541C">
      <w:pPr>
        <w:pStyle w:val="AppendixAHeading2"/>
      </w:pPr>
      <w:r>
        <w:t>Statewide Evaluator Final Recommendations</w:t>
      </w:r>
    </w:p>
    <w:p w:rsidR="00950837" w:rsidRDefault="0080329E" w:rsidP="0036185D">
      <w:pPr>
        <w:spacing w:after="120"/>
      </w:pPr>
      <w:r>
        <w:t>The SWE Team has the following seven recommendations for PPL’s consideration.</w:t>
      </w:r>
    </w:p>
    <w:p w:rsidR="0080329E" w:rsidRPr="0036185D" w:rsidRDefault="0080329E" w:rsidP="00E646C9">
      <w:pPr>
        <w:pStyle w:val="ListParagraph"/>
        <w:numPr>
          <w:ilvl w:val="0"/>
          <w:numId w:val="97"/>
        </w:numPr>
        <w:spacing w:after="120"/>
        <w:ind w:left="360"/>
        <w:contextualSpacing w:val="0"/>
      </w:pPr>
      <w:bookmarkStart w:id="1407" w:name="_Toc405557134"/>
      <w:bookmarkStart w:id="1408" w:name="_Ref296084909"/>
      <w:bookmarkStart w:id="1409" w:name="_Ref310273879"/>
      <w:bookmarkEnd w:id="498"/>
      <w:r w:rsidRPr="0036185D">
        <w:t>For residential product programs, the SWE recommends that PPL consider implementing an online model number look-up mechanism for customers, including incentive levels, to minimize confusion when tiered rebates are offered for the same type of appliance.</w:t>
      </w:r>
    </w:p>
    <w:p w:rsidR="0080329E" w:rsidRPr="0036185D" w:rsidRDefault="0080329E" w:rsidP="00E646C9">
      <w:pPr>
        <w:pStyle w:val="ListParagraph"/>
        <w:numPr>
          <w:ilvl w:val="0"/>
          <w:numId w:val="97"/>
        </w:numPr>
        <w:spacing w:after="120"/>
        <w:ind w:left="360"/>
        <w:contextualSpacing w:val="0"/>
      </w:pPr>
      <w:r w:rsidRPr="0036185D">
        <w:t>The SWE recommends that PPL investigate the feasibility of using product placement as a lower-cost mechanism for generating sales lift for residential product programs.</w:t>
      </w:r>
    </w:p>
    <w:p w:rsidR="0080329E" w:rsidRPr="0036185D" w:rsidRDefault="0080329E" w:rsidP="00E646C9">
      <w:pPr>
        <w:pStyle w:val="ListParagraph"/>
        <w:numPr>
          <w:ilvl w:val="0"/>
          <w:numId w:val="97"/>
        </w:numPr>
        <w:spacing w:after="120"/>
        <w:ind w:left="360"/>
        <w:contextualSpacing w:val="0"/>
      </w:pPr>
      <w:r w:rsidRPr="0036185D">
        <w:t>The SWE recommends that consideration be given to expanding the De Facto Heating participant group as much as possible to improve available evaluation data.</w:t>
      </w:r>
    </w:p>
    <w:p w:rsidR="0080329E" w:rsidRPr="0036185D" w:rsidRDefault="0080329E" w:rsidP="00E646C9">
      <w:pPr>
        <w:pStyle w:val="ListParagraph"/>
        <w:numPr>
          <w:ilvl w:val="0"/>
          <w:numId w:val="97"/>
        </w:numPr>
        <w:spacing w:after="120"/>
        <w:ind w:left="360"/>
        <w:contextualSpacing w:val="0"/>
      </w:pPr>
      <w:r w:rsidRPr="0036185D">
        <w:t>The SWE recommends that PPL consider an LED lighting sales survey in the next available program year to update the 2015 survey data used for cross-sector sales analysis.</w:t>
      </w:r>
    </w:p>
    <w:p w:rsidR="0080329E" w:rsidRPr="0036185D" w:rsidRDefault="0080329E" w:rsidP="00E646C9">
      <w:pPr>
        <w:pStyle w:val="ListParagraph"/>
        <w:numPr>
          <w:ilvl w:val="0"/>
          <w:numId w:val="97"/>
        </w:numPr>
        <w:spacing w:after="120"/>
        <w:ind w:left="360"/>
        <w:contextualSpacing w:val="0"/>
      </w:pPr>
      <w:r w:rsidRPr="0036185D">
        <w:t>For non-residential product programs, the SWE recommends that PPL consider incorporating a way for applicants to track the status of their application online.</w:t>
      </w:r>
    </w:p>
    <w:p w:rsidR="0080329E" w:rsidRPr="0036185D" w:rsidRDefault="0080329E" w:rsidP="00E646C9">
      <w:pPr>
        <w:pStyle w:val="ListParagraph"/>
        <w:numPr>
          <w:ilvl w:val="0"/>
          <w:numId w:val="97"/>
        </w:numPr>
        <w:spacing w:after="120"/>
        <w:ind w:left="360"/>
        <w:contextualSpacing w:val="0"/>
      </w:pPr>
      <w:r w:rsidRPr="0036185D">
        <w:t>For certain non-residential programs, alert customers and trade allies at the beginning of the year that a wait list may occur in the future, by posting information on the website explaining why a wait list was implemented and when it is expected to be removed.</w:t>
      </w:r>
    </w:p>
    <w:p w:rsidR="0080329E" w:rsidRPr="0036185D" w:rsidRDefault="0080329E" w:rsidP="00E646C9">
      <w:pPr>
        <w:pStyle w:val="ListParagraph"/>
        <w:numPr>
          <w:ilvl w:val="0"/>
          <w:numId w:val="97"/>
        </w:numPr>
        <w:ind w:left="360"/>
      </w:pPr>
      <w:r w:rsidRPr="0036185D">
        <w:t>For all programs, the SWE recommends that PPL consider improving the application process by providing examples of completed applications on the website and providing a contact to answer questions.</w:t>
      </w:r>
    </w:p>
    <w:p w:rsidR="002170F7" w:rsidRDefault="002170F7" w:rsidP="009F192C"/>
    <w:p w:rsidR="00656920" w:rsidRDefault="00656920" w:rsidP="009F192C"/>
    <w:p w:rsidR="00656920" w:rsidRDefault="00656920" w:rsidP="00656920">
      <w:r>
        <w:br w:type="page"/>
      </w:r>
    </w:p>
    <w:p w:rsidR="00656920" w:rsidRPr="00E45861" w:rsidRDefault="00656920" w:rsidP="00E45861">
      <w:pPr>
        <w:pStyle w:val="Heading1"/>
        <w:numPr>
          <w:ilvl w:val="0"/>
          <w:numId w:val="0"/>
        </w:numPr>
      </w:pPr>
      <w:bookmarkStart w:id="1410" w:name="_Ref471459754"/>
      <w:bookmarkStart w:id="1411" w:name="_Toc472472147"/>
      <w:bookmarkStart w:id="1412" w:name="_Toc476913959"/>
      <w:r w:rsidRPr="00E45861">
        <w:t>Appendix B| PY7 Process Evaluation Findings by EDC</w:t>
      </w:r>
      <w:bookmarkEnd w:id="1410"/>
      <w:bookmarkEnd w:id="1411"/>
      <w:bookmarkEnd w:id="1412"/>
    </w:p>
    <w:p w:rsidR="002E051C" w:rsidRDefault="002E051C" w:rsidP="002E051C">
      <w:r w:rsidRPr="002E051C">
        <w:t>This appendix provides details on the SWE Team’s audits of the EDCs’ process evaluations. The process evaluation audits examined whether the EDCs’ evaluation contractors completed the tasks in the evaluation plan, used an adequate sampling approach, included required elements per the report template in the annual report (methods, findings, conclusions, and recommendations), and provided actionable recommendations supported by findings or conclusions. The SWE Team’s scope did not include a detailed listing of all possible ways in which the evaluations could have been improved; however, it did identify some places where a more detailed analysis might prove valuable.</w:t>
      </w:r>
    </w:p>
    <w:p w:rsidR="00C57537" w:rsidRDefault="00C57537" w:rsidP="002E051C"/>
    <w:p w:rsidR="002E051C" w:rsidRPr="002E051C" w:rsidRDefault="002E051C" w:rsidP="00C57537">
      <w:pPr>
        <w:pStyle w:val="AppendixBHeading1"/>
      </w:pPr>
      <w:bookmarkStart w:id="1413" w:name="_Ref473273308"/>
      <w:r w:rsidRPr="002E051C">
        <w:t>Duquesne Light Company</w:t>
      </w:r>
      <w:bookmarkEnd w:id="1413"/>
    </w:p>
    <w:p w:rsidR="002E051C" w:rsidRPr="002E051C" w:rsidRDefault="002E051C" w:rsidP="00C57537">
      <w:pPr>
        <w:pStyle w:val="AppendixBHeading2"/>
      </w:pPr>
      <w:r w:rsidRPr="002E051C">
        <w:t>Residential Programs</w:t>
      </w:r>
    </w:p>
    <w:p w:rsidR="002E051C" w:rsidRPr="002E051C" w:rsidRDefault="00391C32" w:rsidP="002E051C">
      <w:r w:rsidRPr="002E051C">
        <w:t xml:space="preserve">Navigant provided process evaluations for six residential programs: </w:t>
      </w:r>
      <w:r w:rsidR="00AE6AD9" w:rsidRPr="002E051C">
        <w:t>The</w:t>
      </w:r>
      <w:r w:rsidRPr="002E051C">
        <w:t xml:space="preserve"> Residential Energy Efficiency Program (REEP), Residential Appliance Recycling Program (RARP), School Energy Pledge Program (SEP), Whole House Energy Audit Program (WHEAP), H</w:t>
      </w:r>
      <w:r>
        <w:t>ome Energy Reports (HER) P</w:t>
      </w:r>
      <w:r w:rsidRPr="002E051C">
        <w:t>rogram, and Low-income Energy Efficiency Program (LIEEP).</w:t>
      </w:r>
      <w:r w:rsidR="002E051C" w:rsidRPr="002E051C">
        <w:t xml:space="preserve"> </w:t>
      </w:r>
    </w:p>
    <w:p w:rsidR="002E051C" w:rsidRPr="002E051C" w:rsidRDefault="002E051C" w:rsidP="002E051C"/>
    <w:p w:rsidR="002E051C" w:rsidRPr="002E051C" w:rsidRDefault="002E051C" w:rsidP="002E051C">
      <w:r w:rsidRPr="002E051C">
        <w:t xml:space="preserve">For the PY7 process evaluation of the above programs, Navigant reviewed program documents, including program websites, interviewed the residential program coordinator and HER manager, developed logic models, reviewed the program tracking system, and surveyed program participants. </w:t>
      </w:r>
    </w:p>
    <w:p w:rsidR="002E051C" w:rsidRPr="002E051C" w:rsidRDefault="002E051C" w:rsidP="002E051C"/>
    <w:p w:rsidR="002E051C" w:rsidRPr="002E051C" w:rsidRDefault="002E051C" w:rsidP="00AE6AD9">
      <w:pPr>
        <w:spacing w:after="120"/>
      </w:pPr>
      <w:r w:rsidRPr="002E051C">
        <w:t>For each program, the SWE provides a brief program description, summary of the process evaluation findings, and summary of the SWE’s audit of the findings. The SWE Team notes two general comments about the findings, conclusions, and recommendations for the process evaluations of Duquesne’s programs:</w:t>
      </w:r>
    </w:p>
    <w:p w:rsidR="002E051C" w:rsidRPr="002E051C" w:rsidRDefault="002E051C" w:rsidP="00E646C9">
      <w:pPr>
        <w:numPr>
          <w:ilvl w:val="0"/>
          <w:numId w:val="98"/>
        </w:numPr>
        <w:ind w:left="360"/>
        <w:contextualSpacing/>
        <w:rPr>
          <w:szCs w:val="20"/>
        </w:rPr>
      </w:pPr>
      <w:r w:rsidRPr="002E051C">
        <w:rPr>
          <w:szCs w:val="20"/>
        </w:rPr>
        <w:t xml:space="preserve">When pointing out differences between groups such as a difference between market-rate and low-income respondents, Navigant did not provide statistical significance. Therefore, in several cases it is not clear if the differences seen fall within the bounds of what would be expected. For example, Navigant stated </w:t>
      </w:r>
      <w:r w:rsidR="00391C32">
        <w:rPr>
          <w:szCs w:val="20"/>
        </w:rPr>
        <w:t xml:space="preserve">that </w:t>
      </w:r>
      <w:r w:rsidRPr="002E051C">
        <w:rPr>
          <w:szCs w:val="20"/>
        </w:rPr>
        <w:t>market-rate HER recipients were more likely to recall the number of reports received than</w:t>
      </w:r>
      <w:r w:rsidR="00391C32">
        <w:rPr>
          <w:szCs w:val="20"/>
        </w:rPr>
        <w:t xml:space="preserve"> were</w:t>
      </w:r>
      <w:r w:rsidRPr="002E051C">
        <w:rPr>
          <w:szCs w:val="20"/>
        </w:rPr>
        <w:t xml:space="preserve"> their low-income counterparts. However, statistical significance was not reported, so the reader does not know if the difference should be highlighted or not.</w:t>
      </w:r>
    </w:p>
    <w:p w:rsidR="002E051C" w:rsidRPr="002E051C" w:rsidRDefault="002E051C" w:rsidP="00E646C9">
      <w:pPr>
        <w:numPr>
          <w:ilvl w:val="0"/>
          <w:numId w:val="98"/>
        </w:numPr>
        <w:ind w:left="360"/>
        <w:contextualSpacing/>
        <w:rPr>
          <w:szCs w:val="20"/>
        </w:rPr>
      </w:pPr>
      <w:r w:rsidRPr="002E051C">
        <w:rPr>
          <w:szCs w:val="20"/>
        </w:rPr>
        <w:t xml:space="preserve">Throughout the report, Navigant uses means to report satisfaction and influence responses to scale questions. For example, Table 9 provides mean satisfaction scores, on a 5-point scale, across six program aspects. However, the sample size is small (15) and seemingly applies only to PY7, not PY5 and PY6, which are also displayed. Furthermore, providing means of 5-point scales is not as helpful to the reader as showing the range of responses, as was done in Figure 22. It is particularly helpful to show the ranges when the narrative discusses details about respondents who were dissatisfied. Providing the range of responses allows the reader to see how many respondents were dissatisfied, as opposed to trying to figure out how many were dissatisfied. </w:t>
      </w:r>
    </w:p>
    <w:p w:rsidR="002E051C" w:rsidRPr="002E051C" w:rsidRDefault="002E051C" w:rsidP="002E051C"/>
    <w:p w:rsidR="002E051C" w:rsidRPr="002E051C" w:rsidRDefault="002E051C" w:rsidP="00391C32">
      <w:pPr>
        <w:pStyle w:val="AppendixBHeading3"/>
      </w:pPr>
      <w:r w:rsidRPr="002E051C">
        <w:t>Residential Energy Efficiency Program (REEP)</w:t>
      </w:r>
    </w:p>
    <w:p w:rsidR="002E051C" w:rsidRPr="004A3606" w:rsidRDefault="002E051C" w:rsidP="00391C32">
      <w:pPr>
        <w:pStyle w:val="AppendixBHeading4"/>
      </w:pPr>
      <w:r w:rsidRPr="004A3606">
        <w:t>Brief Overview of the Program and Its Success</w:t>
      </w:r>
    </w:p>
    <w:p w:rsidR="002E051C" w:rsidRPr="002E051C" w:rsidRDefault="002E051C" w:rsidP="002E051C">
      <w:r w:rsidRPr="002E051C">
        <w:t xml:space="preserve">The REEP was largely unchanged in PY7 compared with PY6. The program attempts to achieve residential energy savings through rebates on energy efficient equipment, upstream incentives on efficient lighting, and distribution of kits containing free energy efficient equipment (CFL and LED lighting and smart power strips) to customers who complete an online energy audit or attend an event sponsored by one of several cooperating organizations (program outreach partners). As in PY6 and PY5, REEP exceeded savings goals for less than budgeted. In PY7 the program achieved 103% of its energy savings goals and spent 86% of its targeted budget. </w:t>
      </w:r>
    </w:p>
    <w:p w:rsidR="002E051C" w:rsidRPr="002E051C" w:rsidRDefault="002E051C" w:rsidP="002E051C"/>
    <w:p w:rsidR="002E051C" w:rsidRPr="002E051C" w:rsidRDefault="002E051C" w:rsidP="00391C32">
      <w:pPr>
        <w:pStyle w:val="AppendixBHeading4"/>
      </w:pPr>
      <w:r w:rsidRPr="002E051C">
        <w:t>Summary of the Process Evaluation Findings</w:t>
      </w:r>
    </w:p>
    <w:p w:rsidR="002E051C" w:rsidRPr="002E051C" w:rsidRDefault="002E051C" w:rsidP="002E051C">
      <w:r w:rsidRPr="002E051C">
        <w:t xml:space="preserve">Navigant reviewed the June 1, 2015 to May 31, 2016 TRM and program materials and surveyed 59 rebate participants (55 market-rate, 4 low-income) and 15 kits participants, for 74 surveyed participants. These 74 respondents also informed the impact analysis. </w:t>
      </w:r>
    </w:p>
    <w:p w:rsidR="002E051C" w:rsidRPr="002E051C" w:rsidRDefault="002E051C" w:rsidP="002E051C"/>
    <w:p w:rsidR="002E051C" w:rsidRPr="002E051C" w:rsidRDefault="002E051C" w:rsidP="00391C32">
      <w:pPr>
        <w:pStyle w:val="AppendixBHeading5"/>
        <w:rPr>
          <w:rFonts w:eastAsia="Calibri"/>
        </w:rPr>
      </w:pPr>
      <w:r w:rsidRPr="002E051C">
        <w:rPr>
          <w:rFonts w:eastAsia="Calibri"/>
        </w:rPr>
        <w:t>Rebate Participants</w:t>
      </w:r>
    </w:p>
    <w:p w:rsidR="002E051C" w:rsidRPr="002E051C" w:rsidRDefault="002E051C" w:rsidP="002E051C">
      <w:r w:rsidRPr="002E051C">
        <w:t xml:space="preserve">As in PY6, Navigant reported that rebate participants most commonly learned about the rebates online, at retail stores, or from contractors. Events and online information were the two sources of information reported to be the most influential by participants. It was unclear why n=55 in Figure 2, where the source of awareness is provided, and n=59 in Table 6, where the influence of each source is reported. </w:t>
      </w:r>
    </w:p>
    <w:p w:rsidR="002E051C" w:rsidRPr="002E051C" w:rsidRDefault="002E051C" w:rsidP="002E051C"/>
    <w:p w:rsidR="002E051C" w:rsidRPr="002E051C" w:rsidRDefault="002E051C" w:rsidP="002E051C">
      <w:r w:rsidRPr="002E051C">
        <w:t xml:space="preserve">Participants were generally satisfied with the program. Of the seven program aspects that respondents rated on a 1-to-5 satisfaction scale, the mean score increased in PY7 compared with PY6. Two program aspects received slightly lower mean scores in PY7 compared with PY6, and one did not change. </w:t>
      </w:r>
    </w:p>
    <w:p w:rsidR="002E051C" w:rsidRPr="002E051C" w:rsidRDefault="002E051C" w:rsidP="002E051C"/>
    <w:p w:rsidR="002E051C" w:rsidRPr="002E051C" w:rsidRDefault="002E051C" w:rsidP="002E051C">
      <w:r w:rsidRPr="002E051C">
        <w:t xml:space="preserve">For any respondents reporting a 3 or lower satisfaction score, Navigant asked the respondents about their dissatisfaction and provided five statements that captured the reasons for dissatisfaction. However, it was not clear how many respondents were dissatisfied with each of the statements. For example, in one case Navigant reported “Respondents would prefer to make fewer calls than was necessary to </w:t>
      </w:r>
      <w:r w:rsidR="003C4C90" w:rsidRPr="002E051C">
        <w:t>Duquesne to</w:t>
      </w:r>
      <w:r w:rsidRPr="002E051C">
        <w:t xml:space="preserve"> fulfill their rebate or accept their application,” but in another statement, Navigant reported that “one respondent indicated he or she had still not received their rebate.” It would help the reader to know how many respondents expressed dissatisfaction with each element.  </w:t>
      </w:r>
    </w:p>
    <w:p w:rsidR="002E051C" w:rsidRPr="002E051C" w:rsidRDefault="002E051C" w:rsidP="002E051C"/>
    <w:p w:rsidR="002E051C" w:rsidRPr="002E051C" w:rsidRDefault="002E051C" w:rsidP="00391C32">
      <w:pPr>
        <w:pStyle w:val="AppendixBHeading5"/>
        <w:rPr>
          <w:rFonts w:eastAsia="Calibri"/>
        </w:rPr>
      </w:pPr>
      <w:r w:rsidRPr="002E051C">
        <w:rPr>
          <w:rFonts w:eastAsia="Calibri"/>
        </w:rPr>
        <w:t>Kit Participants</w:t>
      </w:r>
    </w:p>
    <w:p w:rsidR="002E051C" w:rsidRPr="002E051C" w:rsidRDefault="002E051C" w:rsidP="002E051C">
      <w:r w:rsidRPr="002E051C">
        <w:t>PY7 customers who received energy efficiency kits (n=15) most commonly learned about the kits through online sources (8), family and friends (3), or via email (2). This differed from PY6, when online sources were noted by only 15% of respondents. The influences of each source of information were rated similarly by respondents. The mean scores ranged from 3 to 4, and as noted above, using means of rating values is somewhat problematic.</w:t>
      </w:r>
    </w:p>
    <w:p w:rsidR="002E051C" w:rsidRPr="002E051C" w:rsidRDefault="002E051C" w:rsidP="002E051C"/>
    <w:p w:rsidR="002E051C" w:rsidRPr="002E051C" w:rsidRDefault="002E051C" w:rsidP="00AE6AD9">
      <w:pPr>
        <w:spacing w:after="120"/>
      </w:pPr>
      <w:r w:rsidRPr="002E051C">
        <w:t>Satisfaction generally was high; participants rated the products’ energy savings lower than other program aspects. Most participants indicated they likely would recommend the program to others; the average likelihood rating in PY7 was higher than in PY6 (4.2 versus 4.4), with no respondents indicating they would be “very unlikely” or “extremely unlikely” to r</w:t>
      </w:r>
      <w:r w:rsidR="00AE6AD9">
        <w:t xml:space="preserve">ecommend the program to others. </w:t>
      </w:r>
      <w:r w:rsidRPr="002E051C">
        <w:t>Participants’ recommendations on how to improve the program were diverse. Respondents made the following recommendations for the kits:</w:t>
      </w:r>
    </w:p>
    <w:p w:rsidR="002E051C" w:rsidRPr="00AE6AD9" w:rsidRDefault="002E051C" w:rsidP="00E646C9">
      <w:pPr>
        <w:pStyle w:val="ListParagraph"/>
        <w:numPr>
          <w:ilvl w:val="0"/>
          <w:numId w:val="99"/>
        </w:numPr>
        <w:ind w:left="360"/>
        <w:rPr>
          <w:rFonts w:eastAsia="Calibri"/>
        </w:rPr>
      </w:pPr>
      <w:r w:rsidRPr="00AE6AD9">
        <w:rPr>
          <w:rFonts w:eastAsia="Calibri"/>
        </w:rPr>
        <w:t>Market kits through TV and print materials (2)</w:t>
      </w:r>
    </w:p>
    <w:p w:rsidR="002E051C" w:rsidRPr="00AE6AD9" w:rsidRDefault="002E051C" w:rsidP="00E646C9">
      <w:pPr>
        <w:pStyle w:val="ListParagraph"/>
        <w:numPr>
          <w:ilvl w:val="0"/>
          <w:numId w:val="99"/>
        </w:numPr>
        <w:ind w:left="360"/>
        <w:rPr>
          <w:rFonts w:eastAsia="Calibri"/>
        </w:rPr>
      </w:pPr>
      <w:r w:rsidRPr="00AE6AD9">
        <w:rPr>
          <w:rFonts w:eastAsia="Calibri"/>
        </w:rPr>
        <w:t>Provide a brighter nightlight (2)</w:t>
      </w:r>
    </w:p>
    <w:p w:rsidR="002E051C" w:rsidRPr="00AE6AD9" w:rsidRDefault="002E051C" w:rsidP="00E646C9">
      <w:pPr>
        <w:pStyle w:val="ListParagraph"/>
        <w:numPr>
          <w:ilvl w:val="0"/>
          <w:numId w:val="99"/>
        </w:numPr>
        <w:ind w:left="360"/>
        <w:rPr>
          <w:rFonts w:eastAsia="Calibri"/>
        </w:rPr>
      </w:pPr>
      <w:r w:rsidRPr="00AE6AD9">
        <w:rPr>
          <w:rFonts w:eastAsia="Calibri"/>
        </w:rPr>
        <w:t>Provide more energy efficiency tips (2)</w:t>
      </w:r>
    </w:p>
    <w:p w:rsidR="002E051C" w:rsidRPr="00AE6AD9" w:rsidRDefault="002E051C" w:rsidP="00E646C9">
      <w:pPr>
        <w:pStyle w:val="ListParagraph"/>
        <w:numPr>
          <w:ilvl w:val="0"/>
          <w:numId w:val="99"/>
        </w:numPr>
        <w:ind w:left="360"/>
        <w:rPr>
          <w:rFonts w:eastAsia="Calibri"/>
        </w:rPr>
      </w:pPr>
      <w:r w:rsidRPr="00AE6AD9">
        <w:rPr>
          <w:rFonts w:eastAsia="Calibri"/>
        </w:rPr>
        <w:t>Offer more products in kits (2)</w:t>
      </w:r>
    </w:p>
    <w:p w:rsidR="002E051C" w:rsidRPr="00AE6AD9" w:rsidRDefault="002E051C" w:rsidP="00E646C9">
      <w:pPr>
        <w:pStyle w:val="ListParagraph"/>
        <w:numPr>
          <w:ilvl w:val="0"/>
          <w:numId w:val="99"/>
        </w:numPr>
        <w:ind w:left="360"/>
        <w:rPr>
          <w:rFonts w:eastAsia="Calibri"/>
        </w:rPr>
      </w:pPr>
      <w:r w:rsidRPr="00AE6AD9">
        <w:rPr>
          <w:rFonts w:eastAsia="Calibri"/>
        </w:rPr>
        <w:t>Provide more information about products (2)</w:t>
      </w:r>
    </w:p>
    <w:p w:rsidR="002E051C" w:rsidRPr="002E051C" w:rsidRDefault="002E051C" w:rsidP="00391C32">
      <w:pPr>
        <w:pStyle w:val="AppendixBHeading4"/>
      </w:pPr>
      <w:r w:rsidRPr="002E051C">
        <w:t>Summary of the Process Evaluation Audit</w:t>
      </w:r>
    </w:p>
    <w:p w:rsidR="002E051C" w:rsidRPr="002E051C" w:rsidRDefault="002E051C" w:rsidP="002E051C">
      <w:r w:rsidRPr="002E051C">
        <w:t xml:space="preserve">Navigant generally summarized findings well and drew well-reasoned findings. In several places, such as Table 9, it provided data from prior evaluations, which was helpful in identifying trends over time. It could have provided this same context in graphs such as Figure 5.  </w:t>
      </w:r>
    </w:p>
    <w:p w:rsidR="002E051C" w:rsidRPr="002E051C" w:rsidRDefault="002E051C" w:rsidP="002E051C"/>
    <w:p w:rsidR="002E051C" w:rsidRPr="002E051C" w:rsidRDefault="002E051C" w:rsidP="002E051C">
      <w:r w:rsidRPr="002E051C">
        <w:t>Navigant reported means for participant satisfaction and influence ratings. Using mean rating scores and trying to draw meaningful conclusions about any observed changes is somewhat problematic due to the relatively small sample sizes. For examp</w:t>
      </w:r>
      <w:r w:rsidR="00371F39">
        <w:t xml:space="preserve">le, </w:t>
      </w:r>
      <w:r w:rsidRPr="002E051C">
        <w:t xml:space="preserve">n ranged from 1 to 17 for the influence that each source of awareness had on rebate recipients. Reporting the mean can be acceptable with large sample sizes, but when sample sizes are small, reporting the distribution of scores can provide a more accurate description of responses. </w:t>
      </w:r>
    </w:p>
    <w:p w:rsidR="002E051C" w:rsidRPr="002E051C" w:rsidRDefault="002E051C" w:rsidP="002E051C"/>
    <w:p w:rsidR="002E051C" w:rsidRPr="002E051C" w:rsidRDefault="002E051C" w:rsidP="002E051C">
      <w:r w:rsidRPr="002E051C">
        <w:t>Additionally, it would be helpful if the evaluation contractor consistently provided the number of respondents that reported specifics regarding their dissatisfaction with the rebate program. Providing numbers would give the reader some insight into the scale of the dissatisfaction.</w:t>
      </w:r>
    </w:p>
    <w:p w:rsidR="002E051C" w:rsidRPr="002E051C" w:rsidRDefault="002E051C" w:rsidP="002E051C"/>
    <w:p w:rsidR="002E051C" w:rsidRPr="002E051C" w:rsidRDefault="002E051C" w:rsidP="003A4699">
      <w:pPr>
        <w:pStyle w:val="AppendixBHeading3"/>
      </w:pPr>
      <w:r w:rsidRPr="002E051C">
        <w:t xml:space="preserve">Residential Appliance Recycling Program (RARP) </w:t>
      </w:r>
    </w:p>
    <w:p w:rsidR="002E051C" w:rsidRPr="002E051C" w:rsidRDefault="002E051C" w:rsidP="003A4699">
      <w:pPr>
        <w:pStyle w:val="AppendixBHeading4"/>
      </w:pPr>
      <w:bookmarkStart w:id="1414" w:name="_Ref408233322"/>
      <w:r w:rsidRPr="002E051C">
        <w:t>Brief Overview of the Program and Its Success</w:t>
      </w:r>
      <w:bookmarkEnd w:id="1414"/>
    </w:p>
    <w:p w:rsidR="002E051C" w:rsidRPr="002E051C" w:rsidRDefault="002E051C" w:rsidP="002E051C">
      <w:r w:rsidRPr="002E051C">
        <w:t xml:space="preserve">The RARP seeks to produce residential-sector demand reduction and annual energy savings by removing operable and inefficient primary and secondary refrigerators and freezers from the power grid in an environmentally safe manner. RARP offers a $35 incentive for eligible refrigerators and freezers. The program used the same implementation contractor (JACO) as did the other appliance recycling programs across Pennsylvania in the beginning of PY7. However, JACO went out of business in PY7, resulting in administrative problems for Duquesne. The utility had to contact potentially affected customers and ensure that they received their incentive checks. According to Navigant, customers reported that Duquesne handled the issue well. According to the program website, Duquesne eventually contracted with ARCO to administer the program. </w:t>
      </w:r>
    </w:p>
    <w:p w:rsidR="002E051C" w:rsidRPr="002E051C" w:rsidRDefault="002E051C" w:rsidP="002E051C"/>
    <w:p w:rsidR="002E051C" w:rsidRPr="002E051C" w:rsidRDefault="002E051C" w:rsidP="002E051C">
      <w:r w:rsidRPr="002E051C">
        <w:t>The RARP collaborates with other Duquesne programs such as the LIEEP and the Public Agency Partnership Program (PAPP). The RARP achieved 115% of its PY7 gross savings goals, spending 253% of its planned budget; however, Navigant reported that the planned budget understated RARP implementation costs. These costs will be adjusted in Phase III.</w:t>
      </w:r>
    </w:p>
    <w:p w:rsidR="002E051C" w:rsidRPr="002E051C" w:rsidRDefault="002E051C" w:rsidP="002E051C"/>
    <w:p w:rsidR="002E051C" w:rsidRPr="002E051C" w:rsidRDefault="002E051C" w:rsidP="003A4699">
      <w:pPr>
        <w:pStyle w:val="AppendixBHeading4"/>
      </w:pPr>
      <w:r w:rsidRPr="002E051C">
        <w:t>Summary of the Process Evaluation Findings</w:t>
      </w:r>
    </w:p>
    <w:p w:rsidR="002E051C" w:rsidRPr="002E051C" w:rsidRDefault="002E051C" w:rsidP="002E051C">
      <w:r w:rsidRPr="002E051C">
        <w:t>Navigant reviewed the TRM and program materials and surveyed 109 RARP participants in PY7 about their awareness and satisfaction with the program.</w:t>
      </w:r>
    </w:p>
    <w:p w:rsidR="002E051C" w:rsidRPr="002E051C" w:rsidRDefault="002E051C" w:rsidP="002E051C"/>
    <w:p w:rsidR="002E051C" w:rsidRPr="002E051C" w:rsidRDefault="002E051C" w:rsidP="002E051C">
      <w:r w:rsidRPr="002E051C">
        <w:t>The most commonly cited ways that participants first heard about the program was through family or friends (25%), TV (18%), and bill inserts (16%). The remaining 41% of participants first learned about the program through one of seven other methods. Respondents also reported on all sources from which they heard about the program. Family or friends (32%), bill inserts (27%), and TV (23%) were the most commonly cited.</w:t>
      </w:r>
    </w:p>
    <w:p w:rsidR="002E051C" w:rsidRPr="002E051C" w:rsidRDefault="002E051C" w:rsidP="002E051C"/>
    <w:p w:rsidR="002E051C" w:rsidRPr="002E051C" w:rsidRDefault="002E051C" w:rsidP="002E051C">
      <w:r w:rsidRPr="002E051C">
        <w:t>Similar to what was found in PY6, participants noted high program satisfaction with most program aspects. However, in PY7 the “time it took to receive the incentive” received the lowest mean score in Phase II. In PY7 the mean score was 3.6, compared with 4.4 and 4.3 in PY6 and PY5, respectively. Navigant noted that the lower score in PY7 was likely a result of the turmoil caused by JACO’s exit from the program.</w:t>
      </w:r>
    </w:p>
    <w:p w:rsidR="002E051C" w:rsidRPr="002E051C" w:rsidRDefault="002E051C" w:rsidP="002E051C"/>
    <w:p w:rsidR="002E051C" w:rsidRPr="002E051C" w:rsidRDefault="002E051C" w:rsidP="002E051C">
      <w:r w:rsidRPr="002E051C">
        <w:t xml:space="preserve">Of the entire sample (n=111), more than half of the respondents (54%) had no suggestions for program improvement. The remaining 46% reported ways the program could be improved. Of the whole sample, and consistent with the problems experienced by JACO’s exit, the most commonly cited problem was slow rebate processing (18%), followed by the low amounts of program advertising (14%) and low incentive amounts (10%). </w:t>
      </w:r>
    </w:p>
    <w:p w:rsidR="002E051C" w:rsidRPr="002E051C" w:rsidRDefault="002E051C" w:rsidP="002E051C"/>
    <w:p w:rsidR="002E051C" w:rsidRPr="002E051C" w:rsidRDefault="002E051C" w:rsidP="002E051C">
      <w:r w:rsidRPr="002E051C">
        <w:t>Respondents chose to participate largely because of the cash incentive (53%) and the convenience of participating (29%). Far fewer respondents elected to participate for other reasons. While the incentive was the reason they chose to participate, participants reported, on average, that the convenience of picking up the old appliance, the free pickup, and the recycling of the old appliance were slightly higher influences than the incentive (mean scores of 4.1, 4.0, and 4.0 compared with 3.6).</w:t>
      </w:r>
    </w:p>
    <w:p w:rsidR="002E051C" w:rsidRPr="002E051C" w:rsidRDefault="002E051C" w:rsidP="002E051C"/>
    <w:p w:rsidR="002E051C" w:rsidRPr="002E051C" w:rsidRDefault="002E051C" w:rsidP="003A4699">
      <w:pPr>
        <w:pStyle w:val="AppendixBHeading4"/>
      </w:pPr>
      <w:r w:rsidRPr="002E051C">
        <w:t>Summary of the Process Evaluation Audit</w:t>
      </w:r>
    </w:p>
    <w:p w:rsidR="002E051C" w:rsidRPr="002E051C" w:rsidRDefault="00037885" w:rsidP="002E051C">
      <w:r w:rsidRPr="00C52A0B">
        <w:t xml:space="preserve">Navigant generally summarized findings well and drew well-reasoned findings. The reporting of sample sizes was not always clear, as different sample sizes were reported in different graphs and tables in the residential process evaluation report. For example, while the </w:t>
      </w:r>
      <w:r w:rsidR="00553869">
        <w:t xml:space="preserve">Duquesne </w:t>
      </w:r>
      <w:r w:rsidR="003321D4">
        <w:t>a</w:t>
      </w:r>
      <w:r w:rsidRPr="00C52A0B">
        <w:t xml:space="preserve">nnual </w:t>
      </w:r>
      <w:r w:rsidR="003321D4">
        <w:t>r</w:t>
      </w:r>
      <w:r w:rsidRPr="00C52A0B">
        <w:t xml:space="preserve">eport for PY7 reports an achieved process evaluation sample of 109 RARP participants, Figure 10 of the process evaluation report (RARP Participant Reasons for Participating) reports an </w:t>
      </w:r>
      <w:r w:rsidRPr="00C52A0B">
        <w:rPr>
          <w:i/>
        </w:rPr>
        <w:t xml:space="preserve">n </w:t>
      </w:r>
      <w:r w:rsidRPr="00C52A0B">
        <w:t xml:space="preserve">of 135. The reader assumes the </w:t>
      </w:r>
      <w:r w:rsidRPr="00C52A0B">
        <w:rPr>
          <w:i/>
        </w:rPr>
        <w:t xml:space="preserve">n </w:t>
      </w:r>
      <w:r w:rsidRPr="00C52A0B">
        <w:t>for</w:t>
      </w:r>
      <w:r w:rsidRPr="00C52A0B">
        <w:rPr>
          <w:i/>
        </w:rPr>
        <w:t xml:space="preserve"> </w:t>
      </w:r>
      <w:r w:rsidRPr="00C52A0B">
        <w:t>Figure 10 is number of responses rather than number of respondents, but the report does not make that clear.</w:t>
      </w:r>
    </w:p>
    <w:p w:rsidR="002E051C" w:rsidRPr="002E051C" w:rsidRDefault="002E051C" w:rsidP="002E051C"/>
    <w:p w:rsidR="002E051C" w:rsidRPr="002E051C" w:rsidRDefault="002E051C" w:rsidP="002E051C">
      <w:r w:rsidRPr="002E051C">
        <w:t xml:space="preserve">As was discussed above in the REEP section, providing mean values for scale questions seems less appropriate than providing the range of responses. In cases where the sample size is larger, perhaps report the mean and the range to help the reader fully understand the data and provide the reader with a number of respondents who were dissatisfied or not influenced. </w:t>
      </w:r>
    </w:p>
    <w:p w:rsidR="002E051C" w:rsidRPr="002E051C" w:rsidRDefault="002E051C" w:rsidP="002E051C"/>
    <w:p w:rsidR="002E051C" w:rsidRPr="002E051C" w:rsidRDefault="002E051C" w:rsidP="003A4699">
      <w:pPr>
        <w:pStyle w:val="AppendixBHeading3"/>
      </w:pPr>
      <w:r w:rsidRPr="002E051C">
        <w:t>School Energy Pledge Program (SEP)</w:t>
      </w:r>
    </w:p>
    <w:p w:rsidR="002E051C" w:rsidRPr="002E051C" w:rsidRDefault="002E051C" w:rsidP="003A4699">
      <w:pPr>
        <w:pStyle w:val="AppendixBHeading4"/>
      </w:pPr>
      <w:r w:rsidRPr="002E051C">
        <w:t>Brief Overview of the Program and Its Success</w:t>
      </w:r>
    </w:p>
    <w:p w:rsidR="002E051C" w:rsidRPr="002E051C" w:rsidRDefault="002E051C" w:rsidP="002E051C">
      <w:r w:rsidRPr="002E051C">
        <w:t>The SEP is designed to teach elementary students about energy efficiency through in-school assemblies and lesson materials and has not changed throughout Phase II. The program helps families save energy at home through distribution of free energy efficiency tool kits (SEP Energy Efficiency Kits), which contain energy efficiency items (four CFL bulbs, one smart strip, and two nightlights) and information about energy savings opportunities. In return for a family’s commitment to install the energy efficiency items (by completing the application and pledge form), the participating school receives an incentive of $25. The program failed to meet goals by achieving 2% of the targeted PY7 energy savings and using 32% of the budget. In PY7, the program conducted SEP at one school. SEP will be replaced in in Phase III with a program that reaches middle- and high-school students.</w:t>
      </w:r>
    </w:p>
    <w:p w:rsidR="002E051C" w:rsidRPr="002E051C" w:rsidRDefault="002E051C" w:rsidP="002E051C"/>
    <w:p w:rsidR="002E051C" w:rsidRPr="002E051C" w:rsidRDefault="002E051C" w:rsidP="003A4699">
      <w:pPr>
        <w:pStyle w:val="AppendixBHeading4"/>
      </w:pPr>
      <w:bookmarkStart w:id="1415" w:name="_Ref408399610"/>
      <w:r w:rsidRPr="002E051C">
        <w:t>Summary of the Process Evaluation Findings</w:t>
      </w:r>
      <w:bookmarkEnd w:id="1415"/>
    </w:p>
    <w:p w:rsidR="002E051C" w:rsidRPr="002E051C" w:rsidRDefault="002E051C" w:rsidP="002E051C">
      <w:r w:rsidRPr="002E051C">
        <w:t xml:space="preserve">Navigant interviewed the program manager to understand the administration of the program and surveyed 27 program participants (14 market-rate, 13 low-income) to assess program satisfaction and NTG. </w:t>
      </w:r>
    </w:p>
    <w:p w:rsidR="002E051C" w:rsidRPr="002E051C" w:rsidRDefault="002E051C" w:rsidP="002E051C"/>
    <w:p w:rsidR="002E051C" w:rsidRPr="002E051C" w:rsidRDefault="002E051C" w:rsidP="002E051C">
      <w:r w:rsidRPr="002E051C">
        <w:t>The program manager noted that program goals had not been met because the program had reached market saturation. The program, in operation since 2009, has reached all schools and will not be revisiting schools because they do not want to provide kits to households that may have been reached via siblings during earlier presentations.</w:t>
      </w:r>
    </w:p>
    <w:p w:rsidR="002E051C" w:rsidRPr="002E051C" w:rsidRDefault="002E051C" w:rsidP="002E051C"/>
    <w:p w:rsidR="002E051C" w:rsidRPr="002E051C" w:rsidRDefault="002E051C" w:rsidP="002E051C">
      <w:r w:rsidRPr="002E051C">
        <w:t xml:space="preserve">The 27 parent participants reported high satisfaction scores. Mean scores on a 1-to-5 satisfaction scale across six program aspects ranged from 4.4 to 4.9, with the energy savings from the kits receiving the lowest mean score and the items in the kit receiving the highest mean score. Across all six program aspects, only one respondent provided a score of less than 3. That respondent was dissatisfied with Duquesne as their electricity provider did not elaborate. </w:t>
      </w:r>
    </w:p>
    <w:p w:rsidR="002E051C" w:rsidRPr="002E051C" w:rsidRDefault="002E051C" w:rsidP="002E051C"/>
    <w:p w:rsidR="002E051C" w:rsidRPr="002E051C" w:rsidRDefault="002E051C" w:rsidP="002E051C">
      <w:r w:rsidRPr="002E051C">
        <w:t xml:space="preserve">The parent participants reported a range of influences for why they elected to participate. The most commonly cited reason, the information provided by their children (7), was the most commonly cited reason in PY5 and PY6 too. Other reasons to participate in PY7 included the desire to save energy (6), the desire to reduce their bills (4), and the information sent home. </w:t>
      </w:r>
    </w:p>
    <w:p w:rsidR="002E051C" w:rsidRPr="002E051C" w:rsidRDefault="002E051C" w:rsidP="002E051C"/>
    <w:p w:rsidR="002E051C" w:rsidRPr="002E051C" w:rsidRDefault="002E051C" w:rsidP="00976114">
      <w:pPr>
        <w:spacing w:after="120"/>
      </w:pPr>
      <w:r w:rsidRPr="002E051C">
        <w:t xml:space="preserve">Eleven parent participants made the following suggestions for improving the program: </w:t>
      </w:r>
    </w:p>
    <w:p w:rsidR="002E051C" w:rsidRPr="00976114" w:rsidRDefault="002E051C" w:rsidP="00E646C9">
      <w:pPr>
        <w:pStyle w:val="ListParagraph"/>
        <w:numPr>
          <w:ilvl w:val="0"/>
          <w:numId w:val="100"/>
        </w:numPr>
        <w:ind w:left="360"/>
        <w:rPr>
          <w:rFonts w:eastAsia="Calibri"/>
        </w:rPr>
      </w:pPr>
      <w:r w:rsidRPr="00976114">
        <w:rPr>
          <w:rFonts w:eastAsia="Calibri"/>
        </w:rPr>
        <w:t>Offer more products in the kits (3)</w:t>
      </w:r>
    </w:p>
    <w:p w:rsidR="002E051C" w:rsidRPr="00976114" w:rsidRDefault="002E051C" w:rsidP="00E646C9">
      <w:pPr>
        <w:pStyle w:val="ListParagraph"/>
        <w:numPr>
          <w:ilvl w:val="0"/>
          <w:numId w:val="100"/>
        </w:numPr>
        <w:ind w:left="360"/>
        <w:rPr>
          <w:rFonts w:eastAsia="Calibri"/>
        </w:rPr>
      </w:pPr>
      <w:r w:rsidRPr="00976114">
        <w:rPr>
          <w:rFonts w:eastAsia="Calibri"/>
        </w:rPr>
        <w:t>Provide more education for the students (3)</w:t>
      </w:r>
    </w:p>
    <w:p w:rsidR="002E051C" w:rsidRPr="00976114" w:rsidRDefault="002E051C" w:rsidP="00E646C9">
      <w:pPr>
        <w:pStyle w:val="ListParagraph"/>
        <w:numPr>
          <w:ilvl w:val="0"/>
          <w:numId w:val="100"/>
        </w:numPr>
        <w:ind w:left="360"/>
        <w:rPr>
          <w:rFonts w:eastAsia="Calibri"/>
        </w:rPr>
      </w:pPr>
      <w:r w:rsidRPr="00976114">
        <w:rPr>
          <w:rFonts w:eastAsia="Calibri"/>
        </w:rPr>
        <w:t>Increase advertising (3)</w:t>
      </w:r>
    </w:p>
    <w:p w:rsidR="002E051C" w:rsidRPr="00976114" w:rsidRDefault="002E051C" w:rsidP="00E646C9">
      <w:pPr>
        <w:pStyle w:val="ListParagraph"/>
        <w:numPr>
          <w:ilvl w:val="0"/>
          <w:numId w:val="100"/>
        </w:numPr>
        <w:ind w:left="360"/>
        <w:rPr>
          <w:rFonts w:eastAsia="Calibri"/>
        </w:rPr>
      </w:pPr>
      <w:r w:rsidRPr="00976114">
        <w:rPr>
          <w:rFonts w:eastAsia="Calibri"/>
        </w:rPr>
        <w:t>Implement the program earlier in the school year (1)</w:t>
      </w:r>
    </w:p>
    <w:p w:rsidR="002E051C" w:rsidRPr="00976114" w:rsidRDefault="002E051C" w:rsidP="00E646C9">
      <w:pPr>
        <w:pStyle w:val="ListParagraph"/>
        <w:numPr>
          <w:ilvl w:val="0"/>
          <w:numId w:val="100"/>
        </w:numPr>
        <w:ind w:left="360"/>
        <w:rPr>
          <w:rFonts w:eastAsia="Calibri"/>
        </w:rPr>
      </w:pPr>
      <w:r w:rsidRPr="00976114">
        <w:rPr>
          <w:rFonts w:eastAsia="Calibri"/>
        </w:rPr>
        <w:t xml:space="preserve">Provide more energy efficiency tips (1) </w:t>
      </w:r>
    </w:p>
    <w:p w:rsidR="002E051C" w:rsidRPr="002E051C" w:rsidRDefault="002E051C" w:rsidP="002E051C"/>
    <w:p w:rsidR="002E051C" w:rsidRPr="002E051C" w:rsidRDefault="002E051C" w:rsidP="003A4699">
      <w:pPr>
        <w:pStyle w:val="AppendixBHeading4"/>
      </w:pPr>
      <w:r w:rsidRPr="002E051C">
        <w:t>Summary of the Process Evaluation Audit</w:t>
      </w:r>
    </w:p>
    <w:p w:rsidR="002E051C" w:rsidRPr="002E051C" w:rsidRDefault="002E051C" w:rsidP="002E051C">
      <w:r w:rsidRPr="002E051C">
        <w:t xml:space="preserve">Navigant summarized findings adequately. As was discussed above in the REEP section, using mean scores for relatively small sample sizes is not as informative as knowing the distribution of scores. The dissolution of this program in Phase III makes the results of this evaluation less important. However, perhaps results from this evaluation can inform aspects of the SEP replacement. </w:t>
      </w:r>
    </w:p>
    <w:p w:rsidR="002E051C" w:rsidRPr="002E051C" w:rsidRDefault="002E051C" w:rsidP="002E051C"/>
    <w:p w:rsidR="002E051C" w:rsidRPr="002E051C" w:rsidRDefault="002E051C" w:rsidP="003A4699">
      <w:pPr>
        <w:pStyle w:val="AppendixBHeading3"/>
      </w:pPr>
      <w:r w:rsidRPr="002E051C">
        <w:t>Whole House Energy Audit Program (WHEAP)</w:t>
      </w:r>
    </w:p>
    <w:p w:rsidR="002E051C" w:rsidRPr="002E051C" w:rsidRDefault="002E051C" w:rsidP="003A4699">
      <w:pPr>
        <w:pStyle w:val="AppendixBHeading4"/>
      </w:pPr>
      <w:r w:rsidRPr="002E051C">
        <w:t>Brief Overview of the Program and Its Success</w:t>
      </w:r>
    </w:p>
    <w:p w:rsidR="002E051C" w:rsidRPr="002E051C" w:rsidRDefault="002E051C" w:rsidP="002E051C">
      <w:r w:rsidRPr="002E051C">
        <w:t xml:space="preserve">The WHEAP, not changed since PY6, provides both comprehensive and walk-through residential home energy audits to market-rate and low-income residential customers. The program provides customers with information on potential energy efficiency upgrades for their home and educates customers on general energy efficiency practices. Auditors speak one-on-one with participating customers and provide customers with tailored findings. Low-income customers receive the audit for free, whereas market-rate customers receive the audit for $149. Where appropriate, all WHEAP participants receive installation of CFLs, energy efficiency nightlights, faucet aerators, low-flow showerheads, smart strips, and pipe wrap. </w:t>
      </w:r>
    </w:p>
    <w:p w:rsidR="002E051C" w:rsidRPr="002E051C" w:rsidRDefault="002E051C" w:rsidP="002E051C"/>
    <w:p w:rsidR="002E051C" w:rsidRPr="002E051C" w:rsidRDefault="002E051C" w:rsidP="002E051C">
      <w:r w:rsidRPr="002E051C">
        <w:t xml:space="preserve">Comprehensive audits for low-income customers are restricted to customers with electric space and water heating. If a low-income customer has gas heating, the program provides a no-cost walk-through audit. </w:t>
      </w:r>
    </w:p>
    <w:p w:rsidR="002E051C" w:rsidRPr="002E051C" w:rsidRDefault="002E051C" w:rsidP="002E051C"/>
    <w:p w:rsidR="002E051C" w:rsidRPr="002E051C" w:rsidRDefault="002E051C" w:rsidP="002E051C">
      <w:r w:rsidRPr="002E051C">
        <w:t>Savings from the program result largely from the installation of lighting measures: 97% of savings in PY7 came from lighting, up from 80% in PY6. Any savings resulting from the auditor making operational or safety improvements while on-site are not captured by the program, and any refrigerator replacements made because of auditor findings are credited to the LIEEP.</w:t>
      </w:r>
    </w:p>
    <w:p w:rsidR="002E051C" w:rsidRPr="002E051C" w:rsidRDefault="002E051C" w:rsidP="002E051C"/>
    <w:p w:rsidR="002E051C" w:rsidRPr="002E051C" w:rsidRDefault="002E051C" w:rsidP="002E051C">
      <w:r w:rsidRPr="002E051C">
        <w:t xml:space="preserve">The WHEAP achieved 11% of its savings target and spent 146% of its budget in PY7, following the same pattern identified in PY6.  </w:t>
      </w:r>
    </w:p>
    <w:p w:rsidR="002E051C" w:rsidRPr="002E051C" w:rsidRDefault="002E051C" w:rsidP="002E051C"/>
    <w:p w:rsidR="002E051C" w:rsidRPr="002E051C" w:rsidRDefault="002E051C" w:rsidP="003A4699">
      <w:pPr>
        <w:pStyle w:val="AppendixBHeading4"/>
      </w:pPr>
      <w:r w:rsidRPr="002E051C">
        <w:t xml:space="preserve">Summary of the Process Evaluation Findings </w:t>
      </w:r>
    </w:p>
    <w:p w:rsidR="002E051C" w:rsidRPr="002E051C" w:rsidRDefault="002E051C" w:rsidP="002E051C">
      <w:pPr>
        <w:spacing w:after="120"/>
      </w:pPr>
      <w:r w:rsidRPr="002E051C">
        <w:t>In PY7 Navigant conducted a review of program data and surveyed program participants. Navigant relied on data collected in PY6 from staff, and implementers shed light on some of the findings from their analysis of the participant survey and database. The participant survey revealed the following findings:</w:t>
      </w:r>
    </w:p>
    <w:p w:rsidR="002E051C" w:rsidRPr="00371F39" w:rsidRDefault="002E051C" w:rsidP="00E646C9">
      <w:pPr>
        <w:pStyle w:val="ListParagraph"/>
        <w:numPr>
          <w:ilvl w:val="0"/>
          <w:numId w:val="101"/>
        </w:numPr>
        <w:spacing w:after="60"/>
        <w:ind w:left="360"/>
        <w:rPr>
          <w:rFonts w:eastAsia="Calibri"/>
        </w:rPr>
      </w:pPr>
      <w:r w:rsidRPr="00371F39">
        <w:rPr>
          <w:rFonts w:eastAsia="Calibri"/>
        </w:rPr>
        <w:t xml:space="preserve">The 22 surveyed participants (9 market-rate, 13 low-income) heard about the program from at least one of nine sources. The two most commonly cited sources of program awareness were online (5) and family or friends (5). </w:t>
      </w:r>
    </w:p>
    <w:p w:rsidR="002E051C" w:rsidRPr="00371F39" w:rsidRDefault="002E051C" w:rsidP="00E646C9">
      <w:pPr>
        <w:pStyle w:val="ListParagraph"/>
        <w:numPr>
          <w:ilvl w:val="0"/>
          <w:numId w:val="101"/>
        </w:numPr>
        <w:spacing w:after="60"/>
        <w:ind w:left="360"/>
        <w:rPr>
          <w:rFonts w:eastAsia="Calibri"/>
        </w:rPr>
      </w:pPr>
      <w:r w:rsidRPr="00371F39">
        <w:rPr>
          <w:rFonts w:eastAsia="Calibri"/>
        </w:rPr>
        <w:t>Generally, respondents rated sources of program information where they interacted with a person as more influential than sources such as bill inserts and mail. Higher mean scores were noted for program sources such as family or friends, a local community agency, and interactions with program staff compared with sources such as mail and retail store information.</w:t>
      </w:r>
    </w:p>
    <w:p w:rsidR="002E051C" w:rsidRPr="00371F39" w:rsidRDefault="002E051C" w:rsidP="00E646C9">
      <w:pPr>
        <w:pStyle w:val="ListParagraph"/>
        <w:numPr>
          <w:ilvl w:val="0"/>
          <w:numId w:val="101"/>
        </w:numPr>
        <w:spacing w:after="60"/>
        <w:ind w:left="360"/>
        <w:rPr>
          <w:rFonts w:eastAsia="Calibri"/>
        </w:rPr>
      </w:pPr>
      <w:r w:rsidRPr="00371F39">
        <w:rPr>
          <w:rFonts w:eastAsia="Calibri"/>
        </w:rPr>
        <w:t>Participants rated their satisfaction across eight program aspects on a 5-point satisfaction scale, and the mean scores ranged from 4.1 to 4.7, with samples sizes ranging from 17 to 22. The lowest mean scores were for the overall performance of Duquesne as an electricity provider and the energy savings resulting from the installed items. The highest mean score related to the courtesy and professionalism of the auditor. Additionally, almost all respondents indicated they would likely recommend the program to others, providing a score of 4 or 5.</w:t>
      </w:r>
    </w:p>
    <w:p w:rsidR="002E051C" w:rsidRPr="00371F39" w:rsidRDefault="002E051C" w:rsidP="00E646C9">
      <w:pPr>
        <w:pStyle w:val="ListParagraph"/>
        <w:numPr>
          <w:ilvl w:val="0"/>
          <w:numId w:val="101"/>
        </w:numPr>
        <w:spacing w:after="60"/>
        <w:ind w:left="360"/>
        <w:rPr>
          <w:rFonts w:eastAsia="Calibri"/>
        </w:rPr>
      </w:pPr>
      <w:r w:rsidRPr="00371F39">
        <w:rPr>
          <w:rFonts w:eastAsia="Calibri"/>
        </w:rPr>
        <w:t>Several respondents reported dissatisfaction:</w:t>
      </w:r>
    </w:p>
    <w:p w:rsidR="002E051C" w:rsidRPr="002E051C" w:rsidRDefault="002E051C" w:rsidP="00E646C9">
      <w:pPr>
        <w:numPr>
          <w:ilvl w:val="1"/>
          <w:numId w:val="102"/>
        </w:numPr>
        <w:spacing w:after="60"/>
        <w:ind w:left="720"/>
        <w:rPr>
          <w:rFonts w:eastAsia="Calibri"/>
        </w:rPr>
      </w:pPr>
      <w:r w:rsidRPr="002E051C">
        <w:rPr>
          <w:rFonts w:eastAsia="Calibri"/>
        </w:rPr>
        <w:t xml:space="preserve">One respondent provided consistently low satisfaction scores, explaining that his auditor did not provide CFLs and did not seem knowledgeable, his energy consumption did not go down, and he would not recommend the program to others. </w:t>
      </w:r>
    </w:p>
    <w:p w:rsidR="002E051C" w:rsidRPr="002E051C" w:rsidRDefault="002E051C" w:rsidP="00E646C9">
      <w:pPr>
        <w:numPr>
          <w:ilvl w:val="1"/>
          <w:numId w:val="102"/>
        </w:numPr>
        <w:spacing w:after="60"/>
        <w:ind w:left="720"/>
        <w:rPr>
          <w:rFonts w:eastAsia="Calibri"/>
        </w:rPr>
      </w:pPr>
      <w:r w:rsidRPr="002E051C">
        <w:rPr>
          <w:rFonts w:eastAsia="Calibri"/>
        </w:rPr>
        <w:t>Two low-income respondents were dissatisfied with the size of the refrigerator they received through the LIEEP.</w:t>
      </w:r>
    </w:p>
    <w:p w:rsidR="002E051C" w:rsidRPr="002E051C" w:rsidRDefault="002E051C" w:rsidP="00E646C9">
      <w:pPr>
        <w:numPr>
          <w:ilvl w:val="1"/>
          <w:numId w:val="102"/>
        </w:numPr>
        <w:spacing w:after="60"/>
        <w:ind w:left="720"/>
        <w:rPr>
          <w:rFonts w:eastAsia="Calibri"/>
        </w:rPr>
      </w:pPr>
      <w:r w:rsidRPr="002E051C">
        <w:rPr>
          <w:rFonts w:eastAsia="Calibri"/>
        </w:rPr>
        <w:t>Two low-income respondents noted dissatisfaction with the lack of reduction in their energy bills.</w:t>
      </w:r>
    </w:p>
    <w:p w:rsidR="002E051C" w:rsidRPr="00371F39" w:rsidRDefault="002E051C" w:rsidP="00E646C9">
      <w:pPr>
        <w:pStyle w:val="ListParagraph"/>
        <w:numPr>
          <w:ilvl w:val="0"/>
          <w:numId w:val="101"/>
        </w:numPr>
        <w:spacing w:after="60"/>
        <w:ind w:left="360"/>
        <w:rPr>
          <w:rFonts w:eastAsia="Calibri"/>
        </w:rPr>
      </w:pPr>
      <w:r w:rsidRPr="00371F39">
        <w:rPr>
          <w:rFonts w:eastAsia="Calibri"/>
        </w:rPr>
        <w:t>Of the 22 participants, 10 suggested five recommendations to improve the program, including increasing the scope of service (3) and improving advertising (2). One respondent each recommended providing different recommendations, more information about installed items, and replacing equipment with items of equal size and value.</w:t>
      </w:r>
    </w:p>
    <w:p w:rsidR="002E051C" w:rsidRPr="00371F39" w:rsidRDefault="002E051C" w:rsidP="00E646C9">
      <w:pPr>
        <w:pStyle w:val="ListParagraph"/>
        <w:numPr>
          <w:ilvl w:val="0"/>
          <w:numId w:val="101"/>
        </w:numPr>
        <w:spacing w:after="60"/>
        <w:ind w:left="360"/>
        <w:rPr>
          <w:rFonts w:eastAsia="Calibri"/>
        </w:rPr>
      </w:pPr>
      <w:r w:rsidRPr="00371F39">
        <w:rPr>
          <w:rFonts w:eastAsia="Calibri"/>
        </w:rPr>
        <w:t>Two respondents reported installing rebated items post WHEAP participation. One added insulation, and the other purchased appliances. Program data demonstrated a similar trend. Of 138 participants (both low-income and market-rate) in PY7, 10 participated in another Duquesne program. Both of these findings were similar to PY6 findings.</w:t>
      </w:r>
    </w:p>
    <w:p w:rsidR="002E051C" w:rsidRPr="00371F39" w:rsidRDefault="002E051C" w:rsidP="00E646C9">
      <w:pPr>
        <w:pStyle w:val="ListParagraph"/>
        <w:numPr>
          <w:ilvl w:val="0"/>
          <w:numId w:val="101"/>
        </w:numPr>
        <w:ind w:left="360"/>
        <w:contextualSpacing w:val="0"/>
        <w:rPr>
          <w:rFonts w:eastAsia="Calibri"/>
        </w:rPr>
      </w:pPr>
      <w:r w:rsidRPr="00371F39">
        <w:rPr>
          <w:rFonts w:eastAsia="Calibri"/>
        </w:rPr>
        <w:t>Similar to in PY6, most participants could not recall the recommendations from their audit. Three respondents recalled recommendations for appliances.</w:t>
      </w:r>
    </w:p>
    <w:p w:rsidR="002E051C" w:rsidRPr="002E051C" w:rsidRDefault="002E051C" w:rsidP="00976114"/>
    <w:p w:rsidR="002E051C" w:rsidRPr="002E051C" w:rsidRDefault="002E051C" w:rsidP="003A4699">
      <w:pPr>
        <w:pStyle w:val="AppendixBHeading4"/>
      </w:pPr>
      <w:r w:rsidRPr="002E051C">
        <w:t>Summary of the Process Evaluation Audit</w:t>
      </w:r>
    </w:p>
    <w:p w:rsidR="002E051C" w:rsidRPr="002E051C" w:rsidRDefault="002E051C" w:rsidP="00976114">
      <w:pPr>
        <w:spacing w:after="120"/>
      </w:pPr>
      <w:r w:rsidRPr="002E051C">
        <w:t>Navigant provided a good overview of the PY7 findings. The SWE recommends the following changes:</w:t>
      </w:r>
    </w:p>
    <w:p w:rsidR="002E051C" w:rsidRPr="00976114" w:rsidRDefault="002E051C" w:rsidP="00E646C9">
      <w:pPr>
        <w:pStyle w:val="ListParagraph"/>
        <w:numPr>
          <w:ilvl w:val="0"/>
          <w:numId w:val="103"/>
        </w:numPr>
        <w:ind w:left="360"/>
        <w:rPr>
          <w:rFonts w:eastAsia="Calibri"/>
        </w:rPr>
      </w:pPr>
      <w:r w:rsidRPr="00976114">
        <w:rPr>
          <w:rFonts w:eastAsia="Calibri"/>
        </w:rPr>
        <w:t>With the small samples sizes in Table 44, it may be helpful to provide some broader categories for the sources of information; for example, group sources by those that involved person-to-person interaction versus less direct mechanisms like bill inserts and mail.</w:t>
      </w:r>
    </w:p>
    <w:p w:rsidR="002E051C" w:rsidRPr="00976114" w:rsidRDefault="002E051C" w:rsidP="00E646C9">
      <w:pPr>
        <w:pStyle w:val="ListParagraph"/>
        <w:numPr>
          <w:ilvl w:val="0"/>
          <w:numId w:val="103"/>
        </w:numPr>
        <w:ind w:left="360"/>
        <w:rPr>
          <w:rFonts w:eastAsia="Calibri"/>
        </w:rPr>
      </w:pPr>
      <w:r w:rsidRPr="00976114">
        <w:rPr>
          <w:rFonts w:eastAsia="Calibri"/>
        </w:rPr>
        <w:t>Displaying the range of responses instead of means would make it easier to follow the discussion about dissatisfaction. A chart showing the range would provide the sample sizes for those who were dissatisfied, and the reader could more easily link that chart with the dissatisfaction discussion.</w:t>
      </w:r>
    </w:p>
    <w:p w:rsidR="002E051C" w:rsidRPr="00976114" w:rsidRDefault="00371F39" w:rsidP="00E646C9">
      <w:pPr>
        <w:pStyle w:val="ListParagraph"/>
        <w:numPr>
          <w:ilvl w:val="0"/>
          <w:numId w:val="103"/>
        </w:numPr>
        <w:ind w:left="360"/>
        <w:rPr>
          <w:rFonts w:eastAsia="Calibri"/>
        </w:rPr>
      </w:pPr>
      <w:r w:rsidRPr="00976114">
        <w:rPr>
          <w:rFonts w:eastAsia="Calibri"/>
        </w:rPr>
        <w:t>The sample size in Figure 17</w:t>
      </w:r>
      <w:r w:rsidR="002E051C" w:rsidRPr="00976114">
        <w:rPr>
          <w:rFonts w:eastAsia="Calibri"/>
        </w:rPr>
        <w:t xml:space="preserve"> equals 22, but the sum of responses is less than 22. The SWE assumes the data for this figure allowed for multiple responses, so the sum should at least equal the total sample size. Also, functionally there is no difference between those who reported “don’t know” and those who made no recommendation, so those responses should be combined.</w:t>
      </w:r>
    </w:p>
    <w:p w:rsidR="002E051C" w:rsidRPr="00976114" w:rsidRDefault="002E051C" w:rsidP="00E646C9">
      <w:pPr>
        <w:pStyle w:val="ListParagraph"/>
        <w:numPr>
          <w:ilvl w:val="0"/>
          <w:numId w:val="103"/>
        </w:numPr>
        <w:ind w:left="360"/>
        <w:rPr>
          <w:rFonts w:eastAsia="Calibri"/>
        </w:rPr>
      </w:pPr>
      <w:r w:rsidRPr="00976114">
        <w:rPr>
          <w:rFonts w:eastAsia="Calibri"/>
        </w:rPr>
        <w:t>The second paragraph under Section 7.4.1.2 states that most respondents could not recall their audit recommendations, but later the paragraph describes a fourth respondent who could not recall the recommendation they received. It is unclear what the difference is between the group and the fourth respondent.</w:t>
      </w:r>
    </w:p>
    <w:p w:rsidR="002E051C" w:rsidRPr="002E051C" w:rsidRDefault="002E051C" w:rsidP="002E051C"/>
    <w:p w:rsidR="002E051C" w:rsidRPr="002E051C" w:rsidRDefault="002E051C" w:rsidP="003A4699">
      <w:pPr>
        <w:pStyle w:val="AppendixBHeading3"/>
      </w:pPr>
      <w:r w:rsidRPr="002E051C">
        <w:t xml:space="preserve">Home Energy Reports (HER) Program </w:t>
      </w:r>
    </w:p>
    <w:p w:rsidR="002E051C" w:rsidRPr="002E051C" w:rsidRDefault="002E051C" w:rsidP="003A4699">
      <w:pPr>
        <w:pStyle w:val="AppendixBHeading4"/>
      </w:pPr>
      <w:r w:rsidRPr="002E051C">
        <w:t>Brief Overview of the Program and Its Success</w:t>
      </w:r>
    </w:p>
    <w:p w:rsidR="002E051C" w:rsidRPr="002E051C" w:rsidRDefault="002E051C" w:rsidP="002E051C">
      <w:r w:rsidRPr="002E051C">
        <w:t>The HER Program provides residential customers with a regularly scheduled report about their energy usage as it compares with that of neighbors with similar homes. The reports also provide energy savings tips, and studies have shown that this type of information can lower energy usage by 1%–2%. In PY7, 225,000 residential customers (200,000 market-rate, 25,000 low-income) received reports, up from 50,000 when the program started in PY4. The program did not operate in PY5 or PY6. In PY7, the HER Program accounted for about 63% of residential savings, not counting upstream lighting and kit savings.</w:t>
      </w:r>
    </w:p>
    <w:p w:rsidR="002E051C" w:rsidRPr="002E051C" w:rsidRDefault="002E051C" w:rsidP="002E051C"/>
    <w:p w:rsidR="002E051C" w:rsidRPr="002E051C" w:rsidRDefault="002E051C" w:rsidP="002E051C">
      <w:r w:rsidRPr="002E051C">
        <w:t>Duquesne had a Phase II savings target for the HER Program, and despite not operating in the first two years of Phase II (PY5 and PY6), the program achieved 94% of its Phase II target in PY7, or 279% of its PY7 goal. The program spent 44% of its budget to achieve those goals.</w:t>
      </w:r>
    </w:p>
    <w:p w:rsidR="002E051C" w:rsidRPr="002E051C" w:rsidRDefault="002E051C" w:rsidP="002E051C"/>
    <w:p w:rsidR="002E051C" w:rsidRPr="002E051C" w:rsidRDefault="002E051C" w:rsidP="003A4699">
      <w:pPr>
        <w:pStyle w:val="AppendixBHeading4"/>
      </w:pPr>
      <w:r w:rsidRPr="002E051C">
        <w:t>Summary of the Process Evaluation Findings</w:t>
      </w:r>
    </w:p>
    <w:p w:rsidR="002E051C" w:rsidRPr="002E051C" w:rsidRDefault="002E051C" w:rsidP="002E051C">
      <w:r w:rsidRPr="002E051C">
        <w:t>Navigant completed 134 (59 market-rate, 75 low-income) phone surveys with HER Program recipients and 30 phone surveys with customers who opted out of receiving a report.</w:t>
      </w:r>
    </w:p>
    <w:p w:rsidR="002E051C" w:rsidRPr="002E051C" w:rsidRDefault="002E051C" w:rsidP="002E051C"/>
    <w:p w:rsidR="002E051C" w:rsidRPr="002E051C" w:rsidRDefault="002E051C" w:rsidP="002E051C">
      <w:r w:rsidRPr="002E051C">
        <w:t>HER Program recipients reported how many reports they recalled receiving, and more than one-quarter could not recall the number of reports they received. Navigant shows that market-rate recipients were slightly more likely (32%) to not recall the number of reports compared with low-income recipients (21%), but it was not clear if this difference was statistically significant. Respondents generally reported reading six or fewer reports in the last year.</w:t>
      </w:r>
    </w:p>
    <w:p w:rsidR="002E051C" w:rsidRPr="002E051C" w:rsidRDefault="002E051C" w:rsidP="002E051C"/>
    <w:p w:rsidR="002E051C" w:rsidRPr="002E051C" w:rsidRDefault="002E051C" w:rsidP="002E051C">
      <w:r w:rsidRPr="002E051C">
        <w:t>Three-quarters of respondents reported that the purpose of the reports was to compare their energy use to that of similar homes (44 of 126), persuade them to use less energy (33 of 126), and show their household energy use (17 of 126). The remaining respondents, all with less than 10 mentions, reported that the purpose was to help them use less energy (4), tell them if their household was using too much energy (2), or they reported some other reason (7). Eight respondents did not know the purpose of the reports.</w:t>
      </w:r>
    </w:p>
    <w:p w:rsidR="002E051C" w:rsidRPr="002E051C" w:rsidRDefault="002E051C" w:rsidP="002E051C"/>
    <w:p w:rsidR="002E051C" w:rsidRPr="002E051C" w:rsidRDefault="002E051C" w:rsidP="002E051C">
      <w:r w:rsidRPr="002E051C">
        <w:t xml:space="preserve">The large majority of respondents (90%) indicated they were satisfied or neutral in their ratings of the reports, and about 10% were dissatisfied with the reports. Navigant reported slight differences between low-income and market-rate recipient scores but did not report the statistical significance. </w:t>
      </w:r>
    </w:p>
    <w:p w:rsidR="002E051C" w:rsidRPr="002E051C" w:rsidRDefault="002E051C" w:rsidP="002E051C"/>
    <w:p w:rsidR="002E051C" w:rsidRPr="002E051C" w:rsidRDefault="002E051C" w:rsidP="002E051C">
      <w:r w:rsidRPr="002E051C">
        <w:t>The large majority of respondents reported that the reports were moderately or extremely accurate in regards to their home’s energy consumption. Fewer than 10% reported that the reports were inaccurate.</w:t>
      </w:r>
    </w:p>
    <w:p w:rsidR="002E051C" w:rsidRPr="002E051C" w:rsidRDefault="002E051C" w:rsidP="002E051C"/>
    <w:p w:rsidR="002E051C" w:rsidRPr="002E051C" w:rsidRDefault="002E051C" w:rsidP="002E051C">
      <w:r w:rsidRPr="002E051C">
        <w:t>The three most commonly cited pieces of information deemed valuable by respondents were the comparison of energy usage to prior years, the comparison of energy usage to that of similar homes, and the energy saving tips. A small percentage of respondents reported that no aspect of the reports was valuable. Navigant noted noticeable differences between low-income and market-rate respondents when examining the most valuable pieces of information in the reports. For example, approximately 38% of market-rate respondents valued the comparison of their home with other homes, whereas 21% of low-income respondents valued this element.</w:t>
      </w:r>
    </w:p>
    <w:p w:rsidR="002E051C" w:rsidRPr="002E051C" w:rsidRDefault="002E051C" w:rsidP="002E051C"/>
    <w:p w:rsidR="002E051C" w:rsidRPr="002E051C" w:rsidRDefault="002E051C" w:rsidP="002E051C">
      <w:r w:rsidRPr="002E051C">
        <w:t>Most respondents, including those who opted out of receiving reports, reported making some energy efficiency upgrade to their home in the last 12 months. A higher percentage of opt-out customers reported purchasing small energy efficiency devices than did their market-rate or low-income HER Program counterparts. Recipients reported installing more energy efficiency measures in the last 12 months than did those who opted out of receiving reports. Low-income recipients appeared more likely than market-rate recipients to say that the program influenced their decision to make energy efficiency upgrades.</w:t>
      </w:r>
    </w:p>
    <w:p w:rsidR="002E051C" w:rsidRPr="002E051C" w:rsidRDefault="002E051C" w:rsidP="002E051C"/>
    <w:p w:rsidR="002E051C" w:rsidRPr="002E051C" w:rsidRDefault="002E051C" w:rsidP="002E051C">
      <w:r w:rsidRPr="002E051C">
        <w:t xml:space="preserve">Those who opted out of receiving reports were asked why. Of the 30 opt-out customers, 2 indicated they never opted out and 10 did not recall receiving the report. Of the remaining 18, 10 elected not to receive the reports because they did not find the reports contained valuable information. The remaining 8 provided seven different responses, including that they felt shamed by the reports (2) and did not have time to read the reports (2). </w:t>
      </w:r>
    </w:p>
    <w:p w:rsidR="002E051C" w:rsidRPr="002E051C" w:rsidRDefault="002E051C" w:rsidP="002E051C"/>
    <w:p w:rsidR="002E051C" w:rsidRPr="002E051C" w:rsidRDefault="002E051C" w:rsidP="003A4699">
      <w:pPr>
        <w:pStyle w:val="AppendixBHeading4"/>
      </w:pPr>
      <w:r w:rsidRPr="002E051C">
        <w:t>Summary of the Process Evaluation Audit</w:t>
      </w:r>
    </w:p>
    <w:p w:rsidR="002E051C" w:rsidRPr="002E051C" w:rsidRDefault="00037885" w:rsidP="002E051C">
      <w:r w:rsidRPr="00C52A0B">
        <w:t>Navigant presented the data about the HER Program clearly and displayed the distribution of scale data as opposed to relying on means as it did in other sections. However, some additional analysis in this section would have been valuable. For example, it would be helpful to see an analysis of the reported most valuable information in the report by the number of reports read over the last year. Various nonparametric tests would be appropriate for such an analysis, which might suggest whether those who read more reports value more or different aspects of the report. Perhaps Navigant conducted this type of analysis and nothing interesting resulted from it, but it is not clear that this deeper level of analysis, which could yield insights for program managers, took place</w:t>
      </w:r>
      <w:r w:rsidR="002E051C" w:rsidRPr="002E051C">
        <w:t xml:space="preserve">. </w:t>
      </w:r>
    </w:p>
    <w:p w:rsidR="002E051C" w:rsidRPr="002E051C" w:rsidRDefault="002E051C" w:rsidP="002E051C"/>
    <w:p w:rsidR="002E051C" w:rsidRPr="002E051C" w:rsidRDefault="002E051C" w:rsidP="002E051C">
      <w:r w:rsidRPr="002E051C">
        <w:t>There were a few instances in this section where excluding some answers from the analysis could have made things more clear. For example, in Section 8.3.2.1 the reader sees that of the 30 respondents who were surveyed as opt-out customers, 2 reported that they never stopped receiving the HERs. If they claim to still receive the HERs, then they are not opt-outs and should be excluded from the opt-out analysis, making the sample size 28.</w:t>
      </w:r>
    </w:p>
    <w:p w:rsidR="002E051C" w:rsidRPr="002E051C" w:rsidRDefault="002E051C" w:rsidP="002E051C"/>
    <w:p w:rsidR="002E051C" w:rsidRPr="002E051C" w:rsidRDefault="002E051C" w:rsidP="002E051C">
      <w:r w:rsidRPr="002E051C">
        <w:t xml:space="preserve">In Section 8.3.2.1, Navigant stated that seven opt-out recipients did not recall receiving reports and three “did not know.” Functionally, for analysis, what is the difference between not remembering and not knowing? These responses should be combined into one “don’t know” category. </w:t>
      </w:r>
    </w:p>
    <w:p w:rsidR="002E051C" w:rsidRPr="002E051C" w:rsidRDefault="002E051C" w:rsidP="002E051C"/>
    <w:p w:rsidR="002E051C" w:rsidRPr="002E051C" w:rsidRDefault="002E051C" w:rsidP="002E051C">
      <w:r w:rsidRPr="002E051C">
        <w:t>There were several places in the HER section that noted differences between low-income and market-rate recipients, but there was no analysis indicating if the differences were statistically significant. For example, the discussion in Section 8.3.1 showed results by market-rate and low-income respondents, but it is unclear if the differences are significant. The SWE suggests conducting this analysis to highlight differences between the groups where they exist, and not elevate differences where they do not exist.</w:t>
      </w:r>
    </w:p>
    <w:p w:rsidR="002E051C" w:rsidRPr="002E051C" w:rsidRDefault="002E051C" w:rsidP="002E051C"/>
    <w:p w:rsidR="002E051C" w:rsidRPr="002E051C" w:rsidRDefault="002E051C" w:rsidP="00976114">
      <w:pPr>
        <w:pStyle w:val="6spacenormal"/>
      </w:pPr>
      <w:r w:rsidRPr="002E051C">
        <w:t>There are two terminology changes that the SWE suggests for this section:</w:t>
      </w:r>
    </w:p>
    <w:p w:rsidR="002E051C" w:rsidRPr="00976114" w:rsidRDefault="002E051C" w:rsidP="00E646C9">
      <w:pPr>
        <w:pStyle w:val="ListParagraph"/>
        <w:numPr>
          <w:ilvl w:val="0"/>
          <w:numId w:val="104"/>
        </w:numPr>
        <w:ind w:left="360"/>
        <w:rPr>
          <w:rFonts w:eastAsia="Calibri"/>
        </w:rPr>
      </w:pPr>
      <w:r w:rsidRPr="00976114">
        <w:rPr>
          <w:rFonts w:eastAsia="Calibri"/>
        </w:rPr>
        <w:t xml:space="preserve">Navigant used the term “non-low-income” to refer to those recipients who do not meet low-income eligibility guidelines. However, elsewhere in the report, program participants who are not low-income were referred to as “market-rate.” Is there a reason to not use the term “market-rate” for the HER Program? </w:t>
      </w:r>
    </w:p>
    <w:p w:rsidR="002E051C" w:rsidRPr="00976114" w:rsidRDefault="002E051C" w:rsidP="00E646C9">
      <w:pPr>
        <w:pStyle w:val="ListParagraph"/>
        <w:numPr>
          <w:ilvl w:val="0"/>
          <w:numId w:val="104"/>
        </w:numPr>
        <w:ind w:left="360"/>
        <w:rPr>
          <w:rFonts w:eastAsia="Calibri"/>
        </w:rPr>
      </w:pPr>
      <w:r w:rsidRPr="00976114">
        <w:rPr>
          <w:rFonts w:eastAsia="Calibri"/>
        </w:rPr>
        <w:t>Customers who receive a HER are not “participants” in the traditional sense of the word, and customers who opt-out are certainly not “participants.” Customers who receive the HER are “recipients,” and customers who opt out of receiving reports are “opt-out customers.” One cannot be an “opt-out participant.”</w:t>
      </w:r>
    </w:p>
    <w:p w:rsidR="002E051C" w:rsidRPr="002E051C" w:rsidRDefault="002E051C" w:rsidP="002E051C"/>
    <w:p w:rsidR="002E051C" w:rsidRDefault="003A4699" w:rsidP="003A4699">
      <w:pPr>
        <w:pStyle w:val="AppendixBHeading2"/>
      </w:pPr>
      <w:r>
        <w:t>Low-Income Group</w:t>
      </w:r>
    </w:p>
    <w:p w:rsidR="003A4699" w:rsidRPr="002E051C" w:rsidRDefault="003A4699" w:rsidP="003A4699">
      <w:pPr>
        <w:pStyle w:val="AppendixBHeading3"/>
      </w:pPr>
      <w:r>
        <w:t>Low-Income Energy Efficiency Program (LIEEP)</w:t>
      </w:r>
    </w:p>
    <w:p w:rsidR="002E051C" w:rsidRPr="002E051C" w:rsidRDefault="002E051C" w:rsidP="00246337">
      <w:pPr>
        <w:pStyle w:val="AppendixBHeading4"/>
      </w:pPr>
      <w:r w:rsidRPr="002E051C">
        <w:t>Overview of the Program and Its Success</w:t>
      </w:r>
    </w:p>
    <w:p w:rsidR="002E051C" w:rsidRPr="002E051C" w:rsidRDefault="002E051C" w:rsidP="002E051C">
      <w:r w:rsidRPr="002E051C">
        <w:t xml:space="preserve">Duquesne’s LIEEP consists of services provided through REEP, RARP, SEP, and WHEAP when implemented with low-income customers. Additionally, LIEEP coordinates public entities through PAPP and the low-income smart strip installations done through the Low Income Usage Reduction Program (LIURP). The above activities achieved 80% of the PY7 energy savings target, while spending 25% of the PY7 target budget. </w:t>
      </w:r>
    </w:p>
    <w:p w:rsidR="002E051C" w:rsidRPr="002E051C" w:rsidRDefault="002E051C" w:rsidP="002E051C"/>
    <w:p w:rsidR="002E051C" w:rsidRPr="002E051C" w:rsidRDefault="002E051C" w:rsidP="002E051C">
      <w:r w:rsidRPr="002E051C">
        <w:t xml:space="preserve">Because LIEEP is an amalgam of programs, Navigant provided a review of the projected versus actual savings that came from each component of LIEEP. This review shows that the projected savings for each component did not match the actual savings attributed to each program. The REEP component delivered more savings than projected (35% actual compared with 21.7% projected), RARP delivered less savings (10.4% actual compared with 24.5% projected), SEP and WHEAP delivered less savings (1.4% actual compared with 24.3% projected), and the HER Program delivered more savings (53.2% actual compared with 30.6% projected). </w:t>
      </w:r>
    </w:p>
    <w:p w:rsidR="002E051C" w:rsidRPr="002E051C" w:rsidRDefault="002E051C" w:rsidP="002E051C"/>
    <w:p w:rsidR="002E051C" w:rsidRPr="002E051C" w:rsidRDefault="002E051C" w:rsidP="003A4699">
      <w:pPr>
        <w:pStyle w:val="AppendixBHeading4"/>
      </w:pPr>
      <w:r w:rsidRPr="002E051C">
        <w:t>Summary of the Process Evaluation Findings</w:t>
      </w:r>
    </w:p>
    <w:p w:rsidR="002E051C" w:rsidRPr="002E051C" w:rsidRDefault="002E051C" w:rsidP="00976114">
      <w:pPr>
        <w:pStyle w:val="6spacenormal"/>
      </w:pPr>
      <w:r w:rsidRPr="002E051C">
        <w:t>In Section 9 of the report about the LIEEP, Navigant provides information about the following components of the program:</w:t>
      </w:r>
    </w:p>
    <w:p w:rsidR="002E051C" w:rsidRPr="00976114" w:rsidRDefault="002E051C" w:rsidP="002E051C">
      <w:pPr>
        <w:spacing w:after="60"/>
        <w:ind w:left="360" w:hanging="360"/>
        <w:rPr>
          <w:rFonts w:ascii="Century Gothic" w:eastAsia="Calibri" w:hAnsi="Century Gothic"/>
          <w:b/>
        </w:rPr>
      </w:pPr>
      <w:r w:rsidRPr="00976114">
        <w:rPr>
          <w:rFonts w:ascii="Century Gothic" w:eastAsia="Calibri" w:hAnsi="Century Gothic"/>
          <w:b/>
        </w:rPr>
        <w:t>LIEEP REEP Kits</w:t>
      </w:r>
    </w:p>
    <w:p w:rsidR="002E051C" w:rsidRPr="00976114" w:rsidRDefault="002E051C" w:rsidP="00E646C9">
      <w:pPr>
        <w:pStyle w:val="ListParagraph"/>
        <w:numPr>
          <w:ilvl w:val="0"/>
          <w:numId w:val="105"/>
        </w:numPr>
        <w:ind w:left="360"/>
        <w:rPr>
          <w:rFonts w:eastAsia="Calibri"/>
        </w:rPr>
      </w:pPr>
      <w:r w:rsidRPr="00976114">
        <w:rPr>
          <w:rFonts w:eastAsia="Calibri"/>
        </w:rPr>
        <w:t>How kit participants learned about the kits</w:t>
      </w:r>
    </w:p>
    <w:p w:rsidR="002E051C" w:rsidRPr="00976114" w:rsidRDefault="002E051C" w:rsidP="00E646C9">
      <w:pPr>
        <w:pStyle w:val="ListParagraph"/>
        <w:numPr>
          <w:ilvl w:val="0"/>
          <w:numId w:val="105"/>
        </w:numPr>
        <w:ind w:left="360"/>
        <w:rPr>
          <w:rFonts w:eastAsia="Calibri"/>
        </w:rPr>
      </w:pPr>
      <w:r w:rsidRPr="00976114">
        <w:rPr>
          <w:rFonts w:eastAsia="Calibri"/>
        </w:rPr>
        <w:t>How satisfied kit participants were with the kit program</w:t>
      </w:r>
    </w:p>
    <w:p w:rsidR="002E051C" w:rsidRPr="00976114" w:rsidRDefault="002E051C" w:rsidP="00E646C9">
      <w:pPr>
        <w:pStyle w:val="ListParagraph"/>
        <w:numPr>
          <w:ilvl w:val="0"/>
          <w:numId w:val="105"/>
        </w:numPr>
        <w:ind w:left="360"/>
        <w:rPr>
          <w:rFonts w:eastAsia="Calibri"/>
        </w:rPr>
      </w:pPr>
      <w:r w:rsidRPr="00976114">
        <w:rPr>
          <w:rFonts w:eastAsia="Calibri"/>
        </w:rPr>
        <w:t>What recommendations kit participants had for program improvement</w:t>
      </w:r>
    </w:p>
    <w:p w:rsidR="00976114" w:rsidRPr="00976114" w:rsidRDefault="00976114" w:rsidP="00976114">
      <w:pPr>
        <w:rPr>
          <w:rFonts w:eastAsia="Calibri"/>
        </w:rPr>
      </w:pPr>
    </w:p>
    <w:p w:rsidR="002E051C" w:rsidRPr="00976114" w:rsidRDefault="002E051C" w:rsidP="002E051C">
      <w:pPr>
        <w:spacing w:after="60"/>
        <w:ind w:left="360" w:hanging="360"/>
        <w:rPr>
          <w:rFonts w:ascii="Century Gothic" w:eastAsia="Calibri" w:hAnsi="Century Gothic"/>
          <w:b/>
        </w:rPr>
      </w:pPr>
      <w:r w:rsidRPr="00976114">
        <w:rPr>
          <w:rFonts w:ascii="Century Gothic" w:eastAsia="Calibri" w:hAnsi="Century Gothic"/>
          <w:b/>
        </w:rPr>
        <w:t>LIEEP RARP</w:t>
      </w:r>
    </w:p>
    <w:p w:rsidR="002E051C" w:rsidRPr="00976114" w:rsidRDefault="002E051C" w:rsidP="00E646C9">
      <w:pPr>
        <w:pStyle w:val="ListParagraph"/>
        <w:numPr>
          <w:ilvl w:val="0"/>
          <w:numId w:val="105"/>
        </w:numPr>
        <w:ind w:left="360"/>
        <w:rPr>
          <w:rFonts w:eastAsia="Calibri"/>
        </w:rPr>
      </w:pPr>
      <w:r w:rsidRPr="00976114">
        <w:rPr>
          <w:rFonts w:eastAsia="Calibri"/>
        </w:rPr>
        <w:t>How participants learned about RARP</w:t>
      </w:r>
    </w:p>
    <w:p w:rsidR="002E051C" w:rsidRPr="00976114" w:rsidRDefault="002E051C" w:rsidP="00E646C9">
      <w:pPr>
        <w:pStyle w:val="ListParagraph"/>
        <w:numPr>
          <w:ilvl w:val="0"/>
          <w:numId w:val="105"/>
        </w:numPr>
        <w:ind w:left="360"/>
        <w:rPr>
          <w:rFonts w:eastAsia="Calibri"/>
        </w:rPr>
      </w:pPr>
      <w:r w:rsidRPr="00976114">
        <w:rPr>
          <w:rFonts w:eastAsia="Calibri"/>
        </w:rPr>
        <w:t>How satisfied participants were with the program</w:t>
      </w:r>
    </w:p>
    <w:p w:rsidR="002E051C" w:rsidRPr="00976114" w:rsidRDefault="002E051C" w:rsidP="00E646C9">
      <w:pPr>
        <w:pStyle w:val="ListParagraph"/>
        <w:numPr>
          <w:ilvl w:val="0"/>
          <w:numId w:val="105"/>
        </w:numPr>
        <w:ind w:left="360"/>
        <w:rPr>
          <w:rFonts w:eastAsia="Calibri"/>
        </w:rPr>
      </w:pPr>
      <w:r w:rsidRPr="00976114">
        <w:rPr>
          <w:rFonts w:eastAsia="Calibri"/>
        </w:rPr>
        <w:t>What recommendations participants had for program improvement</w:t>
      </w:r>
    </w:p>
    <w:p w:rsidR="002E051C" w:rsidRPr="00976114" w:rsidRDefault="002E051C" w:rsidP="00E646C9">
      <w:pPr>
        <w:pStyle w:val="ListParagraph"/>
        <w:numPr>
          <w:ilvl w:val="0"/>
          <w:numId w:val="105"/>
        </w:numPr>
        <w:ind w:left="360"/>
        <w:rPr>
          <w:rFonts w:eastAsia="Calibri"/>
        </w:rPr>
      </w:pPr>
      <w:r w:rsidRPr="00976114">
        <w:rPr>
          <w:rFonts w:eastAsia="Calibri"/>
        </w:rPr>
        <w:t>What reasons participants had for participating</w:t>
      </w:r>
    </w:p>
    <w:p w:rsidR="00976114" w:rsidRPr="00976114" w:rsidRDefault="00976114" w:rsidP="00976114">
      <w:pPr>
        <w:rPr>
          <w:rFonts w:eastAsia="Calibri"/>
        </w:rPr>
      </w:pPr>
    </w:p>
    <w:p w:rsidR="002E051C" w:rsidRPr="00976114" w:rsidRDefault="002E051C" w:rsidP="002E051C">
      <w:pPr>
        <w:spacing w:after="60"/>
        <w:ind w:left="360" w:hanging="360"/>
        <w:rPr>
          <w:rFonts w:ascii="Century Gothic" w:eastAsia="Calibri" w:hAnsi="Century Gothic"/>
          <w:b/>
        </w:rPr>
      </w:pPr>
      <w:r w:rsidRPr="00976114">
        <w:rPr>
          <w:rFonts w:ascii="Century Gothic" w:eastAsia="Calibri" w:hAnsi="Century Gothic"/>
          <w:b/>
        </w:rPr>
        <w:t>LIEEP WHEAP</w:t>
      </w:r>
    </w:p>
    <w:p w:rsidR="002E051C" w:rsidRPr="00976114" w:rsidRDefault="002E051C" w:rsidP="00E646C9">
      <w:pPr>
        <w:pStyle w:val="ListParagraph"/>
        <w:numPr>
          <w:ilvl w:val="0"/>
          <w:numId w:val="105"/>
        </w:numPr>
        <w:ind w:left="360"/>
        <w:rPr>
          <w:rFonts w:eastAsia="Calibri"/>
        </w:rPr>
      </w:pPr>
      <w:r w:rsidRPr="00976114">
        <w:rPr>
          <w:rFonts w:eastAsia="Calibri"/>
        </w:rPr>
        <w:t>A review of program data regarding refrigerator replacements in PY7</w:t>
      </w:r>
    </w:p>
    <w:p w:rsidR="002E051C" w:rsidRPr="002E051C" w:rsidRDefault="002E051C" w:rsidP="002E051C">
      <w:pPr>
        <w:spacing w:after="60"/>
        <w:ind w:left="360" w:hanging="360"/>
        <w:rPr>
          <w:rFonts w:eastAsia="Calibri"/>
        </w:rPr>
      </w:pPr>
    </w:p>
    <w:p w:rsidR="002E051C" w:rsidRPr="002E051C" w:rsidRDefault="002E051C" w:rsidP="002E051C">
      <w:r w:rsidRPr="002E051C">
        <w:t xml:space="preserve">Due to small sample sizes and the identical implementation of the SEP and WHEAP for market-rate and low-income participants, Navigant’s analysis of SEP and WHEAP low-income participants is largely included in the SEP and WHEAP sections of the report. </w:t>
      </w:r>
    </w:p>
    <w:p w:rsidR="002E051C" w:rsidRPr="002E051C" w:rsidRDefault="002E051C" w:rsidP="002E051C"/>
    <w:p w:rsidR="002E051C" w:rsidRPr="002E051C" w:rsidRDefault="002E051C" w:rsidP="003A4699">
      <w:pPr>
        <w:pStyle w:val="AppendixBHeading5"/>
        <w:rPr>
          <w:rFonts w:eastAsia="Calibri"/>
        </w:rPr>
      </w:pPr>
      <w:r w:rsidRPr="002E051C">
        <w:rPr>
          <w:rFonts w:eastAsia="Calibri"/>
        </w:rPr>
        <w:t>LIEEP Kits</w:t>
      </w:r>
    </w:p>
    <w:p w:rsidR="002E051C" w:rsidRPr="002E051C" w:rsidRDefault="002E051C" w:rsidP="002E051C">
      <w:r w:rsidRPr="002E051C">
        <w:t xml:space="preserve">The 25 low-income kit recipients reported hearing about the efficiency kits through 10 sources. The most commonly cited source was online (6), followed by a newsletter (4). One or two respondents reported eight other sources, including new media, Duquesne representatives, and friends or family. </w:t>
      </w:r>
    </w:p>
    <w:p w:rsidR="002E051C" w:rsidRPr="002E051C" w:rsidRDefault="002E051C" w:rsidP="002E051C"/>
    <w:p w:rsidR="002E051C" w:rsidRPr="002E051C" w:rsidRDefault="002E051C" w:rsidP="002E051C">
      <w:r w:rsidRPr="002E051C">
        <w:t xml:space="preserve">Kit recipients appeared to be largely satisfied with the kits. Across six program aspects, respondents reported mean scores of 3.8 to 4.4 on a 5-point satisfaction scale in PY7. Across all aspects, mean scores were lower in PY7 than in PY6, but the sample size in PY6 was considerably lower than in PY7 (7 compared with 25). </w:t>
      </w:r>
    </w:p>
    <w:p w:rsidR="002E051C" w:rsidRPr="002E051C" w:rsidRDefault="002E051C" w:rsidP="002E051C"/>
    <w:p w:rsidR="002E051C" w:rsidRPr="002E051C" w:rsidRDefault="002E051C" w:rsidP="002E051C">
      <w:r w:rsidRPr="002E051C">
        <w:t xml:space="preserve">Most participants noted that they would recommend the program to others, but a specific number of participants was not provided. </w:t>
      </w:r>
    </w:p>
    <w:p w:rsidR="002E051C" w:rsidRPr="002E051C" w:rsidRDefault="002E051C" w:rsidP="002E051C"/>
    <w:p w:rsidR="002E051C" w:rsidRPr="002E051C" w:rsidRDefault="002E051C" w:rsidP="002E051C">
      <w:r w:rsidRPr="002E051C">
        <w:t xml:space="preserve">Sixteen participants reported on ways the kit program could be improved. According to Navigant, recommendations included marketing the kits more, providing a better nightlight, providing more products in kits, offering more products, and providing more efficiency tips. </w:t>
      </w:r>
    </w:p>
    <w:p w:rsidR="002E051C" w:rsidRPr="002E051C" w:rsidRDefault="002E051C" w:rsidP="002E051C"/>
    <w:p w:rsidR="002E051C" w:rsidRPr="002E051C" w:rsidRDefault="002E051C" w:rsidP="003A4699">
      <w:pPr>
        <w:pStyle w:val="AppendixBHeading5"/>
        <w:rPr>
          <w:rFonts w:eastAsia="Calibri"/>
        </w:rPr>
      </w:pPr>
      <w:r w:rsidRPr="002E051C">
        <w:rPr>
          <w:rFonts w:eastAsia="Calibri"/>
        </w:rPr>
        <w:t>LIEEP RARP</w:t>
      </w:r>
    </w:p>
    <w:p w:rsidR="002E051C" w:rsidRPr="002E051C" w:rsidRDefault="002E051C" w:rsidP="002E051C">
      <w:r w:rsidRPr="002E051C">
        <w:t xml:space="preserve">The 40 LIEEP RARP surveyed participants learned about the program largely through friends and family and TV ads. </w:t>
      </w:r>
    </w:p>
    <w:p w:rsidR="002E051C" w:rsidRPr="002E051C" w:rsidRDefault="002E051C" w:rsidP="002E051C"/>
    <w:p w:rsidR="002E051C" w:rsidRPr="002E051C" w:rsidRDefault="002E051C" w:rsidP="002E051C">
      <w:r w:rsidRPr="002E051C">
        <w:t>LIEEP RARP participants reported high levels of satisfaction across seven components of the program. The mean satisfaction scores ranged from 4.2 to 4.8, with participants reporting the lowest satisfaction with the incentive amount and the highest satisfaction with the courtesy of the team that hauled the old appliance away.</w:t>
      </w:r>
    </w:p>
    <w:p w:rsidR="002E051C" w:rsidRPr="002E051C" w:rsidRDefault="002E051C" w:rsidP="002E051C"/>
    <w:p w:rsidR="002E051C" w:rsidRPr="002E051C" w:rsidRDefault="002E051C" w:rsidP="002E051C">
      <w:r w:rsidRPr="002E051C">
        <w:t xml:space="preserve">Of the 40 respondents, 16 made recommendations for program improvements. Recommendations included increasing program advertising, increasing rebate processing time, maintaining pickup schedules, providing larger rebates, and offering more variety in appliances. </w:t>
      </w:r>
    </w:p>
    <w:p w:rsidR="002E051C" w:rsidRPr="002E051C" w:rsidRDefault="002E051C" w:rsidP="002E051C"/>
    <w:p w:rsidR="002E051C" w:rsidRPr="002E051C" w:rsidRDefault="002E051C" w:rsidP="002E051C">
      <w:r w:rsidRPr="002E051C">
        <w:t xml:space="preserve">Close to half of respondents recommended the program to another person in the last 12 months, and the large majority would likely recommend the program to someone in the future. </w:t>
      </w:r>
    </w:p>
    <w:p w:rsidR="002E051C" w:rsidRPr="002E051C" w:rsidRDefault="002E051C" w:rsidP="002E051C"/>
    <w:p w:rsidR="002E051C" w:rsidRPr="002E051C" w:rsidRDefault="002E051C" w:rsidP="002E051C">
      <w:r w:rsidRPr="002E051C">
        <w:t xml:space="preserve">Respondents reported participating in the program because it was convenient to participate (13), the cash incentive was helpful (11), there was no cost to participate (2), and the old appliance was disposed of properly (2). When asked which of these aspects was most influential, participants generally identified proper disposal, convenience, and no cost. The cash incentive was less influential. </w:t>
      </w:r>
    </w:p>
    <w:p w:rsidR="002E051C" w:rsidRPr="002E051C" w:rsidRDefault="002E051C" w:rsidP="002E051C"/>
    <w:p w:rsidR="002E051C" w:rsidRPr="002E051C" w:rsidRDefault="002E051C" w:rsidP="003A4699">
      <w:pPr>
        <w:pStyle w:val="AppendixBHeading5"/>
        <w:rPr>
          <w:rFonts w:eastAsia="Calibri"/>
        </w:rPr>
      </w:pPr>
      <w:r w:rsidRPr="002E051C">
        <w:rPr>
          <w:rFonts w:eastAsia="Calibri"/>
        </w:rPr>
        <w:t>LIEEP WHEAP</w:t>
      </w:r>
    </w:p>
    <w:p w:rsidR="002E051C" w:rsidRPr="002E051C" w:rsidRDefault="002E051C" w:rsidP="002E051C">
      <w:r w:rsidRPr="002E051C">
        <w:t>Navigant noted in PY6 that the refrigerator replacement program experienced “significant” backlogs when Duquesne was operating this program. By hiring a CSP to take over the program in PY7, the program reduced the backlog and reduced the amount of time between receiving an audit and receiving a new refrigerator.</w:t>
      </w:r>
    </w:p>
    <w:p w:rsidR="002E051C" w:rsidRPr="002E051C" w:rsidRDefault="002E051C" w:rsidP="002E051C"/>
    <w:p w:rsidR="002E051C" w:rsidRPr="002E051C" w:rsidRDefault="002E051C" w:rsidP="003A4699">
      <w:pPr>
        <w:pStyle w:val="AppendixBHeading4"/>
      </w:pPr>
      <w:r w:rsidRPr="002E051C">
        <w:t>Summary of the Process Evaluation Audit</w:t>
      </w:r>
    </w:p>
    <w:p w:rsidR="002E051C" w:rsidRPr="00976114" w:rsidRDefault="002E051C" w:rsidP="00976114">
      <w:r w:rsidRPr="00976114">
        <w:t xml:space="preserve">Navigant provided the results of the LIEEP-specific participant surveys. Because LIEEP is an amalgam of other programs and in some instances low-income participant data were combined with market-rate participant data, Navigant had an organizational challenge explaining where each program element would be discussed. A table outlining where each program would be discussed and the topics covered would help the reader find specific sections of the report more easily. </w:t>
      </w:r>
    </w:p>
    <w:p w:rsidR="002E051C" w:rsidRPr="00976114" w:rsidRDefault="002E051C" w:rsidP="00976114"/>
    <w:p w:rsidR="002E051C" w:rsidRPr="00976114" w:rsidRDefault="002E051C" w:rsidP="00976114">
      <w:r w:rsidRPr="00976114">
        <w:t>The LIEEP section of the report would benefit from displaying counts rather than percentages in some of the figures. For instance, Figure 30 provides percentages across 10 categories with a sample size of 25. Additionally, these 10 categories could be grouped into broader categories to help the reader understand broader themes. For example, what is the functional difference between a “customer call” and a “Duquesne rep” as a source of awareness about LIEEP kits?</w:t>
      </w:r>
    </w:p>
    <w:p w:rsidR="002E051C" w:rsidRPr="00976114" w:rsidRDefault="002E051C" w:rsidP="00976114"/>
    <w:p w:rsidR="002E051C" w:rsidRPr="00976114" w:rsidRDefault="002E051C" w:rsidP="00976114">
      <w:r w:rsidRPr="00976114">
        <w:t>In Table 57, the sample sizes are not offered, making it difficult for the reader to assess some of the meaning behind the mean satisfaction scores. Similar to other areas of the report, it would be helpful to see the range of responses to the scale questions rather than the means, particularly when the sample sizes are small.</w:t>
      </w:r>
    </w:p>
    <w:p w:rsidR="002E051C" w:rsidRPr="00976114" w:rsidRDefault="002E051C" w:rsidP="00976114"/>
    <w:p w:rsidR="002E051C" w:rsidRPr="00976114" w:rsidRDefault="00990A84" w:rsidP="00976114">
      <w:r w:rsidRPr="00976114">
        <w:t>Figure</w:t>
      </w:r>
      <w:r w:rsidR="00976114" w:rsidRPr="00976114">
        <w:t xml:space="preserve"> 31 and the narrative before it, </w:t>
      </w:r>
      <w:r w:rsidRPr="00976114">
        <w:t>do not seem to align. While the narrative states “five surveyed participants recommended the LIEEP kit component provide more types of products…,” the figure appears to show that fewer than 15% of the 24 respondents – three respondents – recommended that the program “offer more products in kits.”</w:t>
      </w:r>
    </w:p>
    <w:p w:rsidR="00990A84" w:rsidRPr="00976114" w:rsidRDefault="00990A84" w:rsidP="00976114"/>
    <w:p w:rsidR="002E051C" w:rsidRPr="00976114" w:rsidRDefault="002E051C" w:rsidP="00976114">
      <w:r w:rsidRPr="00976114">
        <w:t xml:space="preserve">The sample sizes in Table 58 do not align with the sample sizes reported elsewhere in the report. The range of samples sizes in Table 58 goes from 72 to 83, yet only 40 low-income RARP participants were surveyed. </w:t>
      </w:r>
    </w:p>
    <w:p w:rsidR="002E051C" w:rsidRPr="00976114" w:rsidRDefault="002E051C" w:rsidP="00976114"/>
    <w:p w:rsidR="002E051C" w:rsidRPr="002E051C" w:rsidRDefault="002E051C" w:rsidP="003A4699">
      <w:pPr>
        <w:pStyle w:val="AppendixBHeading5"/>
      </w:pPr>
      <w:r w:rsidRPr="002E051C">
        <w:t xml:space="preserve">Market Intelligence </w:t>
      </w:r>
    </w:p>
    <w:p w:rsidR="002E051C" w:rsidRPr="002E051C" w:rsidRDefault="002E051C" w:rsidP="003A4699">
      <w:pPr>
        <w:pStyle w:val="AppendixBHeading6"/>
      </w:pPr>
      <w:r w:rsidRPr="002E051C">
        <w:t>Summary of the Market Intelligence Section</w:t>
      </w:r>
    </w:p>
    <w:p w:rsidR="002E051C" w:rsidRPr="002E051C" w:rsidRDefault="002E051C" w:rsidP="002E051C">
      <w:r w:rsidRPr="002E051C">
        <w:t>As part of the NTG surveys, survey participants of all residential programs were asked about their awareness of other Duquesne programs. The highest level of awareness reported was the REEP rebate participants’ awareness of the RARP</w:t>
      </w:r>
      <w:r w:rsidR="00371F39">
        <w:t>,</w:t>
      </w:r>
      <w:r w:rsidRPr="002E051C">
        <w:t xml:space="preserve"> and the lowest level of awareness was among market-rate REEP kit recipients about the SEP. Sixty-three percent of REEP rebate respondents knew about RARP, and no REEP market-rate kit recipients knew about SEP. </w:t>
      </w:r>
    </w:p>
    <w:p w:rsidR="002E051C" w:rsidRPr="002E051C" w:rsidRDefault="002E051C" w:rsidP="002E051C"/>
    <w:p w:rsidR="002E051C" w:rsidRPr="002E051C" w:rsidRDefault="002E051C" w:rsidP="002E051C">
      <w:r w:rsidRPr="002E051C">
        <w:t xml:space="preserve">SEP and WHEAP had the lowest levels of awareness, with 12% and 16% of other program respondents being aware of these programs. RARP and the HER Program had the highest levels of awareness across respondents of all program types. </w:t>
      </w:r>
    </w:p>
    <w:p w:rsidR="002E051C" w:rsidRPr="002E051C" w:rsidRDefault="002E051C" w:rsidP="002E051C"/>
    <w:p w:rsidR="002E051C" w:rsidRPr="002E051C" w:rsidRDefault="002E051C" w:rsidP="003A4699">
      <w:pPr>
        <w:pStyle w:val="AppendixBHeading6"/>
      </w:pPr>
      <w:r w:rsidRPr="002E051C">
        <w:t>Summary of the Market Intelligence Audit</w:t>
      </w:r>
    </w:p>
    <w:p w:rsidR="002E051C" w:rsidRPr="002E051C" w:rsidRDefault="002E051C" w:rsidP="002E051C">
      <w:r w:rsidRPr="002E051C">
        <w:t xml:space="preserve">Navigant effectively showed the details about which survey respondent group had the most and least awareness of other program types. However, it did not include an overall awareness value of each program in the graphic, which can clarify awareness of all programs. Furthermore, in the narrative Navigant did calculate an overall awareness of the program, seemingly by averaging the percentages in Figure 34. So the average of 32%, 13%, 8%, 9%, 10%, 7%, 19%, and 21% equals 15%, which is the reported value for awareness of WHEAP by non-WHEAP respondents. However, the actual percentage is 16% when one calculates the total number of respondents (65) who knew about WHEAP and divide that figure by the total number of non-WHEAP respondents (409). While the difference between the two methods is slight when examining WHEAP awareness, the difference is greater in other areas. For example, averaging RARP awareness percentages shows that 44% of non-RARP respondents were aware of RARP, and calculating the actual value shows 48% awareness. This makes RARP the most known program, whereas relying on averages of averages shows the HER Program as the most known program. </w:t>
      </w:r>
    </w:p>
    <w:p w:rsidR="002E051C" w:rsidRPr="00976114" w:rsidRDefault="002E051C" w:rsidP="00976114">
      <w:pPr>
        <w:rPr>
          <w:rFonts w:eastAsia="Calibri"/>
        </w:rPr>
      </w:pPr>
    </w:p>
    <w:p w:rsidR="007B2E72" w:rsidRDefault="002E051C" w:rsidP="003A4699">
      <w:pPr>
        <w:pStyle w:val="AppendixBHeading2"/>
      </w:pPr>
      <w:r w:rsidRPr="002E051C">
        <w:t>Commercial and Industrial Program Group</w:t>
      </w:r>
    </w:p>
    <w:p w:rsidR="007B2E72" w:rsidRPr="002E051C" w:rsidRDefault="007B2E72" w:rsidP="007B2E72">
      <w:pPr>
        <w:pStyle w:val="AppendixBHeading3"/>
      </w:pPr>
      <w:r>
        <w:t>Commercial and Industrial Program</w:t>
      </w:r>
    </w:p>
    <w:p w:rsidR="002E051C" w:rsidRPr="002E051C" w:rsidRDefault="002E051C" w:rsidP="00EC0FEC">
      <w:pPr>
        <w:pStyle w:val="AppendixBHeading4"/>
      </w:pPr>
      <w:r w:rsidRPr="002E051C">
        <w:t>Brief Overview of the Program and Its Success</w:t>
      </w:r>
    </w:p>
    <w:p w:rsidR="002E051C" w:rsidRPr="00976114" w:rsidRDefault="002E051C" w:rsidP="00976114">
      <w:r w:rsidRPr="00976114">
        <w:t>Duquesne provides a commercial program to targeted market segments such as offices, public agencies, retail, and healthcare segments. Commercial segments not directly targeted by tailored implementation contractors or specialized Duquesne staff fall under the Commercial Program Group (CPG) umbrella. Whether targeted or not, all commercial programs provide the same measures and incentive levels, to ensure fair and transparent treatment of customers across all segments. All programs falling under the CPG provide auditing of building energy use, targeted financing and incentives, project management and installation of energy efficiency measures, and technical training.</w:t>
      </w:r>
    </w:p>
    <w:p w:rsidR="002E051C" w:rsidRPr="00976114" w:rsidRDefault="002E051C" w:rsidP="00976114"/>
    <w:p w:rsidR="002E051C" w:rsidRPr="00976114" w:rsidRDefault="002E051C" w:rsidP="00976114">
      <w:r w:rsidRPr="00976114">
        <w:t xml:space="preserve">Similar to the commercial program, the industrial program consists of three targeted programs for primary metals, chemical products, and mixed industrial companies. All other industrial customers fall under the </w:t>
      </w:r>
      <w:r w:rsidR="007F429D" w:rsidRPr="00976114">
        <w:t>I</w:t>
      </w:r>
      <w:r w:rsidRPr="00976114">
        <w:t xml:space="preserve">ndustrial </w:t>
      </w:r>
      <w:r w:rsidR="007F429D" w:rsidRPr="00976114">
        <w:t>P</w:t>
      </w:r>
      <w:r w:rsidRPr="00976114">
        <w:t xml:space="preserve">rogram </w:t>
      </w:r>
      <w:r w:rsidR="007F429D" w:rsidRPr="00976114">
        <w:t>Group umbrella</w:t>
      </w:r>
      <w:r w:rsidRPr="00976114">
        <w:t>. As with the targeted commercial program, the</w:t>
      </w:r>
      <w:r w:rsidR="007F429D" w:rsidRPr="00976114">
        <w:t xml:space="preserve"> targeted</w:t>
      </w:r>
      <w:r w:rsidRPr="00976114">
        <w:t xml:space="preserve"> industrial program promotes specific technologies and targets specific market segments. </w:t>
      </w:r>
    </w:p>
    <w:p w:rsidR="002E051C" w:rsidRPr="00976114" w:rsidRDefault="002E051C" w:rsidP="00976114"/>
    <w:p w:rsidR="002E051C" w:rsidRPr="002E051C" w:rsidRDefault="002E051C" w:rsidP="007B2E72">
      <w:pPr>
        <w:pStyle w:val="AppendixBHeading4"/>
      </w:pPr>
      <w:r w:rsidRPr="002E051C">
        <w:t>Summary of the Process Evaluation Findings</w:t>
      </w:r>
    </w:p>
    <w:p w:rsidR="002E051C" w:rsidRPr="00976114" w:rsidRDefault="002E051C" w:rsidP="00976114">
      <w:r w:rsidRPr="00976114">
        <w:t>The survey of commercial and industrial participants largely covered NTG issues that are discussed elsewhere in this report. There was one open-ended process-related question that asked respondents to comment about their experience with the program, and 36 of 59 respondents provided answers. Analysis of this question revealed that the large majority of customers had positive experiences with the results and administration of the program. A few participants expressed some dissatisfaction with the time the application process took, and some reported that it took a long time to receive their rebate checks. One respondent noted dissatisfaction with his communication with program staff regarding the application guidelines and requirements.</w:t>
      </w:r>
    </w:p>
    <w:p w:rsidR="002E051C" w:rsidRDefault="002E051C" w:rsidP="00976114"/>
    <w:p w:rsidR="00976114" w:rsidRDefault="00976114" w:rsidP="00976114"/>
    <w:p w:rsidR="002E051C" w:rsidRPr="002E051C" w:rsidRDefault="002E051C" w:rsidP="007B2E72">
      <w:pPr>
        <w:pStyle w:val="AppendixBHeading4"/>
      </w:pPr>
      <w:r w:rsidRPr="002E051C">
        <w:t>Summary of the Process Evaluation Audit</w:t>
      </w:r>
    </w:p>
    <w:p w:rsidR="002E051C" w:rsidRPr="00976114" w:rsidRDefault="002E051C" w:rsidP="00976114">
      <w:r w:rsidRPr="00976114">
        <w:t>The SWE Team determined that the reporting followed the SWE guidelines. However, the analysis would benefit from specific numbers of respondents who reported each discussed element. For example, report the number of participants who reported that it took a long time to receive rebate checks rather than saying “multiple” respondents.</w:t>
      </w:r>
    </w:p>
    <w:p w:rsidR="002E051C" w:rsidRPr="00976114" w:rsidRDefault="002E051C" w:rsidP="00976114"/>
    <w:p w:rsidR="002E051C" w:rsidRPr="002E051C" w:rsidRDefault="002E051C" w:rsidP="007B2E72">
      <w:pPr>
        <w:pStyle w:val="AppendixBHeading1"/>
      </w:pPr>
      <w:bookmarkStart w:id="1416" w:name="_Ref469482704"/>
      <w:r w:rsidRPr="002E051C">
        <w:t>Metropolitan Edison Company</w:t>
      </w:r>
      <w:bookmarkEnd w:id="1416"/>
    </w:p>
    <w:p w:rsidR="002E051C" w:rsidRPr="002E051C" w:rsidRDefault="00DF5AD7" w:rsidP="002E051C">
      <w:r w:rsidRPr="00C52A0B">
        <w:t>Four EDCs—Met-Ed, Penn Power, Penelec, and West Penn—operate the identical set of nine energy efficiency programs. Since the evaluation contractor, ADM, together with its process evaluation subcontractor, Tetra Tech, took unified process evaluation approaches to these programs across the four EDCs, the annual reports of the four EDCs report identical information about the process evaluation. Therefore, the SWE Team’s audit summary described in this section pertains to all four FirstEnergy utilities.</w:t>
      </w:r>
      <w:r w:rsidR="002E051C" w:rsidRPr="002E051C">
        <w:t xml:space="preserve"> </w:t>
      </w:r>
    </w:p>
    <w:p w:rsidR="002E051C" w:rsidRPr="002E051C" w:rsidRDefault="002E051C" w:rsidP="002E051C"/>
    <w:p w:rsidR="002E051C" w:rsidRPr="002E051C" w:rsidRDefault="002E051C" w:rsidP="002E051C">
      <w:r w:rsidRPr="002E051C">
        <w:t>For the residential and non-residential programs, all the FirstEnergy utilities conducted large-scale process evaluations during PY6, fulfilling most of the process evaluation requirements for Phase II as planned. The following audit summary of the FirstEnergy utilities covers the small-scale supplemental process evaluati</w:t>
      </w:r>
      <w:r w:rsidR="007F429D">
        <w:t xml:space="preserve">on activities conducted during </w:t>
      </w:r>
      <w:r w:rsidRPr="002E051C">
        <w:t xml:space="preserve">PY7. </w:t>
      </w:r>
    </w:p>
    <w:p w:rsidR="002E051C" w:rsidRPr="002E051C" w:rsidRDefault="002E051C" w:rsidP="002E051C"/>
    <w:p w:rsidR="002E051C" w:rsidRPr="002E051C" w:rsidRDefault="002E051C" w:rsidP="002E051C">
      <w:r w:rsidRPr="002E051C">
        <w:t xml:space="preserve">Most of the process results are reported in the four EDCs’ annual evaluation reports. The one exception is that the evaluation contractor reported results from a general population survey of the EDCs’ customers in a separate memo and did not refer to this survey in the annual reports. In summary, the annual evaluation report succinctly reported useful evaluation findings based on well-documented evidence, with the above-noted exception of not including information from the general population survey, which was a major data source for the upstream lighting program. The separate memo did succinctly report useful findings based on well-documented evidence, but those findings apparently did not inform the conclusions and recommendations provided in the annual evaluation reports. The SWE Team notes a few comments and recommendations related to sampling for the future process evaluations of the FirstEnergy programs. </w:t>
      </w:r>
    </w:p>
    <w:p w:rsidR="002E051C" w:rsidRPr="002E051C" w:rsidRDefault="002E051C" w:rsidP="002E051C"/>
    <w:p w:rsidR="002E051C" w:rsidRPr="002E051C" w:rsidRDefault="002E051C" w:rsidP="007B2E72">
      <w:pPr>
        <w:pStyle w:val="AppendixBHeading2"/>
      </w:pPr>
      <w:r w:rsidRPr="002E051C">
        <w:t>Residential Programs</w:t>
      </w:r>
    </w:p>
    <w:p w:rsidR="002E051C" w:rsidRPr="002E051C" w:rsidRDefault="002E051C" w:rsidP="002E051C">
      <w:r w:rsidRPr="002E051C">
        <w:t>The ADM</w:t>
      </w:r>
      <w:r w:rsidR="0009501A">
        <w:t>/Tetra Tech</w:t>
      </w:r>
      <w:r w:rsidRPr="002E051C">
        <w:t xml:space="preserve"> team reported on process evaluations for four residential programs: </w:t>
      </w:r>
      <w:r w:rsidR="00976114" w:rsidRPr="002E051C">
        <w:t>The</w:t>
      </w:r>
      <w:r w:rsidRPr="002E051C">
        <w:t xml:space="preserve"> Residential Appliance Turn-In, Residential Energy Efficient Products, Residential Home Performance, and Residential Low-Income programs. </w:t>
      </w:r>
    </w:p>
    <w:p w:rsidR="002E051C" w:rsidRPr="002E051C" w:rsidRDefault="002E051C" w:rsidP="002E051C"/>
    <w:p w:rsidR="002E051C" w:rsidRPr="002E051C" w:rsidRDefault="002E051C" w:rsidP="002E051C">
      <w:r w:rsidRPr="002E051C">
        <w:t>A large-scale process evaluation was conducted in PY6 for all the residential programs. Therefore, there were no process evaluation activities in PY7 for the</w:t>
      </w:r>
      <w:r w:rsidR="007F429D">
        <w:t xml:space="preserve"> Residential</w:t>
      </w:r>
      <w:r w:rsidRPr="002E051C">
        <w:t xml:space="preserve"> Appliance Turn-In and</w:t>
      </w:r>
      <w:r w:rsidR="007F429D">
        <w:t xml:space="preserve"> Residential</w:t>
      </w:r>
      <w:r w:rsidRPr="002E051C">
        <w:t xml:space="preserve"> Low-Income programs. For the other two programs, small-scale supplemental process evaluation activities occurred. For the Residential Energy Efficient Products Program, the ADM team conducted in-depth interviews with participating retailers in the upstream lighting and electronics programs and conducted a general population customer survey. For the</w:t>
      </w:r>
      <w:r w:rsidR="007F429D">
        <w:t xml:space="preserve"> Residential</w:t>
      </w:r>
      <w:r w:rsidRPr="002E051C">
        <w:t xml:space="preserve"> Home Performance Program, </w:t>
      </w:r>
      <w:r w:rsidR="0009501A">
        <w:t>Tetra Tech</w:t>
      </w:r>
      <w:r w:rsidRPr="002E051C">
        <w:t xml:space="preserve"> conducted homebuilder and rater interviews for the program’s new construction subcomponent. </w:t>
      </w:r>
    </w:p>
    <w:p w:rsidR="002E051C" w:rsidRDefault="002E051C" w:rsidP="002E051C"/>
    <w:p w:rsidR="00976114" w:rsidRDefault="00976114" w:rsidP="002E051C"/>
    <w:p w:rsidR="00976114" w:rsidRDefault="00976114" w:rsidP="002E051C"/>
    <w:p w:rsidR="00976114" w:rsidRPr="002E051C" w:rsidRDefault="00976114" w:rsidP="002E051C"/>
    <w:p w:rsidR="002E051C" w:rsidRPr="002E051C" w:rsidRDefault="002E051C" w:rsidP="007B2E72">
      <w:pPr>
        <w:pStyle w:val="AppendixBHeading3"/>
      </w:pPr>
      <w:r w:rsidRPr="002E051C">
        <w:t>Residential Energy Efficient Products Program</w:t>
      </w:r>
    </w:p>
    <w:p w:rsidR="002E051C" w:rsidRPr="002E051C" w:rsidRDefault="002E051C" w:rsidP="007B2E72">
      <w:pPr>
        <w:pStyle w:val="AppendixBHeading4"/>
      </w:pPr>
      <w:r w:rsidRPr="002E051C">
        <w:t>Overview of the Program and Its Success</w:t>
      </w:r>
    </w:p>
    <w:p w:rsidR="002E051C" w:rsidRPr="002E051C" w:rsidRDefault="002E051C" w:rsidP="002E051C">
      <w:r w:rsidRPr="002E051C">
        <w:t xml:space="preserve">The Residential Energy Efficient Products Program provides incentives for installing ENERGY STAR–qualified appliances (e.g., clothes washers, dehumidifiers, refrigerators), energy efficient HVAC equipment (e.g., central air conditioners, </w:t>
      </w:r>
      <w:r w:rsidR="007F429D">
        <w:t>ASHPs</w:t>
      </w:r>
      <w:r w:rsidRPr="002E051C">
        <w:t xml:space="preserve">, ground source heat pumps, mini-split heat pumps), and energy efficient water heaters (including </w:t>
      </w:r>
      <w:r w:rsidR="007F429D">
        <w:t>HPWHs</w:t>
      </w:r>
      <w:r w:rsidRPr="002E051C">
        <w:t xml:space="preserve"> and solar water heaters). The program also provides incentives to customers for the maintenance (tune-ups) of existing HVAC equipment and incentives to retailers for point-of-sale price cuts for customers purchasing energy efficient lightbulbs. In PY7, the Residential Energy Efficient Products Program was under budget for all four EDCs. Two EDCs, </w:t>
      </w:r>
      <w:r w:rsidRPr="002E051C">
        <w:rPr>
          <w:color w:val="000000"/>
        </w:rPr>
        <w:t xml:space="preserve">Met-Ed and Penn Power, fell </w:t>
      </w:r>
      <w:r w:rsidRPr="002E051C">
        <w:t xml:space="preserve">short of their savings </w:t>
      </w:r>
      <w:r w:rsidR="000D7316">
        <w:t>objectives</w:t>
      </w:r>
      <w:r w:rsidR="000D7316" w:rsidRPr="002E051C">
        <w:t xml:space="preserve"> </w:t>
      </w:r>
      <w:r w:rsidRPr="002E051C">
        <w:t xml:space="preserve">as projected in the EE&amp;C plan, respectively achieving 93% and 20% of target energy savings. </w:t>
      </w:r>
    </w:p>
    <w:p w:rsidR="002E051C" w:rsidRPr="002E051C" w:rsidRDefault="002E051C" w:rsidP="002E051C"/>
    <w:p w:rsidR="002E051C" w:rsidRPr="002E051C" w:rsidRDefault="002E051C" w:rsidP="007B2E72">
      <w:pPr>
        <w:pStyle w:val="AppendixBHeading4"/>
      </w:pPr>
      <w:r w:rsidRPr="002E051C">
        <w:t>Summary of the Process Evaluation Findings</w:t>
      </w:r>
    </w:p>
    <w:p w:rsidR="002E051C" w:rsidRPr="002E051C" w:rsidRDefault="002E051C" w:rsidP="002E051C">
      <w:r w:rsidRPr="002E051C">
        <w:t xml:space="preserve">Based on in-depth interviews with participating retailers in the upstream lighting program (5 stores) and electronics program (2 stores), </w:t>
      </w:r>
      <w:r w:rsidR="0009501A">
        <w:t>Tetra Tech</w:t>
      </w:r>
      <w:r w:rsidRPr="002E051C">
        <w:t xml:space="preserve"> reported retailers’ close working relationships with the program implementers and their high satisfactions with the breadth of eligible measures and the program overall. </w:t>
      </w:r>
    </w:p>
    <w:p w:rsidR="002E051C" w:rsidRPr="002E051C" w:rsidRDefault="002E051C" w:rsidP="002E051C"/>
    <w:p w:rsidR="002E051C" w:rsidRPr="002E051C" w:rsidRDefault="002E051C" w:rsidP="002E051C">
      <w:r w:rsidRPr="002E051C">
        <w:t xml:space="preserve">Though the level of program marketing activities varied by retail and by individual store locations within the same retail, all the participating retails’ corporate-level contacts said at least some of their stores have held program-sponsored in-store events, having program signage and price stickers displayed, and speaking with customers about lighting specs, energy efficiency, and non-energy benefits. </w:t>
      </w:r>
    </w:p>
    <w:p w:rsidR="002E051C" w:rsidRPr="002E051C" w:rsidRDefault="002E051C" w:rsidP="002E051C"/>
    <w:p w:rsidR="002E051C" w:rsidRPr="002E051C" w:rsidRDefault="002E051C" w:rsidP="002E051C">
      <w:r w:rsidRPr="002E051C">
        <w:t xml:space="preserve">Participating stores are preferentially placing LEDs in more prominent locations and have less shelf space devoted to incandescent lamps. Of their lighting shelf spaces, participating stores allocate about 55% to incandescent lamps, 15% to CFLs, and 30% to LEDs. Nonparticipating stores (though they participated in Phase I) allocate 72%, 23%, and 5% respectively.  </w:t>
      </w:r>
    </w:p>
    <w:p w:rsidR="002E051C" w:rsidRPr="002E051C" w:rsidRDefault="002E051C" w:rsidP="002E051C"/>
    <w:p w:rsidR="002E051C" w:rsidRPr="002E051C" w:rsidRDefault="002E051C" w:rsidP="002E051C">
      <w:r w:rsidRPr="002E051C">
        <w:t xml:space="preserve">To adapt to the rapidly changing lighting market, some interviewees suggested that the program should be more flexible to midyear changes in measure eligibility and should leverage market intelligence of participating retailers and manufacturers to adapt program design and customer marketing efforts. </w:t>
      </w:r>
    </w:p>
    <w:p w:rsidR="002E051C" w:rsidRPr="002E051C" w:rsidRDefault="002E051C" w:rsidP="002E051C"/>
    <w:p w:rsidR="002E051C" w:rsidRDefault="002E051C" w:rsidP="007B2E72">
      <w:r w:rsidRPr="002E051C">
        <w:t>The separately reported general population survey found that although customers are still more familiar with LEDs and halogens, about one-third of recent lighting purchasers had used LED screw-ins and about half of those had first done so in the past year. LED users reported high satisfaction with LED bulbs, particularly their long life span, efficiency, brightness, light quality, and lower operating costs. However, some confusion still exists regarding the various lighting technologies and their relative efficiency levels. The survey also produced price-sensitivity data ($3.19 is a “great bargain” for LED bulbs, and $6.11 is “starting to get expensive”) and found that 16% of non-LED users reported they are likely to install LEDs within the next year. Other key findings were that customers generally did not indicate awareness of having purchased program-discounted bulbs and that customers’ preferred methods of communication were bill inserts (56%), direct mailing (51%), and email (24%).</w:t>
      </w:r>
    </w:p>
    <w:p w:rsidR="007B2E72" w:rsidRPr="007B2E72" w:rsidRDefault="007B2E72" w:rsidP="007B2E72"/>
    <w:p w:rsidR="002E051C" w:rsidRPr="002E051C" w:rsidRDefault="002E051C" w:rsidP="007B2E72">
      <w:pPr>
        <w:pStyle w:val="AppendixBHeading4"/>
      </w:pPr>
      <w:r w:rsidRPr="002E051C">
        <w:t>Summary of the Process Evaluation Audit</w:t>
      </w:r>
    </w:p>
    <w:p w:rsidR="002E051C" w:rsidRPr="002E051C" w:rsidRDefault="002E051C" w:rsidP="002E051C">
      <w:pPr>
        <w:rPr>
          <w:highlight w:val="lightGray"/>
        </w:rPr>
      </w:pPr>
      <w:r w:rsidRPr="002E051C">
        <w:t>Although PY7 evaluation activities were limited in scope, the ADM</w:t>
      </w:r>
      <w:r w:rsidR="0009501A">
        <w:t>/Tetra T</w:t>
      </w:r>
      <w:r w:rsidR="007F6A35">
        <w:t>e</w:t>
      </w:r>
      <w:r w:rsidR="0009501A">
        <w:t>ch</w:t>
      </w:r>
      <w:r w:rsidRPr="002E051C">
        <w:t xml:space="preserve"> team used these limited resources to shed light on important research topics, and generally summarized findings well and drew well-reasoned findings. The ADM</w:t>
      </w:r>
      <w:r w:rsidR="0009501A">
        <w:t>/Tetra Tech</w:t>
      </w:r>
      <w:r w:rsidRPr="002E051C">
        <w:t xml:space="preserve"> team successfully completed interviews with the census of participating retail chains as planned. The primary weakness in the reporting was the lack of any information about the general population survey in the annual report.</w:t>
      </w:r>
    </w:p>
    <w:p w:rsidR="002E051C" w:rsidRPr="002E051C" w:rsidRDefault="002E051C" w:rsidP="002E051C">
      <w:pPr>
        <w:rPr>
          <w:highlight w:val="lightGray"/>
        </w:rPr>
      </w:pPr>
    </w:p>
    <w:p w:rsidR="002E051C" w:rsidRPr="002E051C" w:rsidRDefault="002E051C" w:rsidP="007B2E72">
      <w:pPr>
        <w:pStyle w:val="AppendixBHeading3"/>
      </w:pPr>
      <w:r w:rsidRPr="002E051C">
        <w:t>Residential Home Performance Program</w:t>
      </w:r>
    </w:p>
    <w:p w:rsidR="002E051C" w:rsidRPr="002E051C" w:rsidRDefault="002E051C" w:rsidP="007B2E72">
      <w:pPr>
        <w:pStyle w:val="AppendixBHeading4"/>
      </w:pPr>
      <w:r w:rsidRPr="002E051C">
        <w:t>Overview of the Program and Its Success</w:t>
      </w:r>
    </w:p>
    <w:p w:rsidR="002E051C" w:rsidRPr="002E051C" w:rsidRDefault="002E051C" w:rsidP="002E051C">
      <w:r w:rsidRPr="002E051C">
        <w:t>The Residential Home Performance Program comprises several components. The whole-house direct-install component provides diagnostic assessments, followed by the direct installation of low-cost measures or incentivized installation of building shell measures. The energy conservation kits component provides direct delivery of CFLs, LED nightlights, a furnace whistle, and for those with electric water heating, aerators, aerator adapters, and an energy savings showerhead. The program provides these measures to customers who completed an online or phone audit or submitted an online or phone request as well as through a new school education component. The new home component provides incentives to builders who choose to build new homes to higher efficiencies through the installation of efficient building shell measures, HVAC systems, appliances, lighting, or other features. The HERs provide customers with comparative electric energy usage data and offer tips and advice on behavioral and low-cost energy saving measures. In PY7, the Residential Home Performance Program was under budget for all four EDCs, and a</w:t>
      </w:r>
      <w:r w:rsidRPr="002E051C">
        <w:rPr>
          <w:color w:val="000000"/>
        </w:rPr>
        <w:t xml:space="preserve">ll four </w:t>
      </w:r>
      <w:r w:rsidRPr="002E051C">
        <w:t xml:space="preserve">EDCs significantly exceeded savings targets as projected in the EE&amp;C plans. </w:t>
      </w:r>
    </w:p>
    <w:p w:rsidR="002E051C" w:rsidRPr="002E051C" w:rsidRDefault="002E051C" w:rsidP="002E051C"/>
    <w:p w:rsidR="002E051C" w:rsidRPr="002E051C" w:rsidRDefault="002E051C" w:rsidP="007B2E72">
      <w:pPr>
        <w:pStyle w:val="AppendixBHeading4"/>
      </w:pPr>
      <w:r w:rsidRPr="002E051C">
        <w:t>Summary of the Process Evaluation Findings</w:t>
      </w:r>
    </w:p>
    <w:p w:rsidR="002E051C" w:rsidRPr="002E051C" w:rsidRDefault="002E051C" w:rsidP="002E051C">
      <w:r w:rsidRPr="002E051C">
        <w:t xml:space="preserve">PY7 process evaluation activity was limited to builder and rater interviews for the program’s new construction subcomponent. </w:t>
      </w:r>
    </w:p>
    <w:p w:rsidR="002E051C" w:rsidRPr="002E051C" w:rsidRDefault="002E051C" w:rsidP="002E051C"/>
    <w:p w:rsidR="002E051C" w:rsidRPr="002E051C" w:rsidRDefault="002E051C" w:rsidP="002E051C">
      <w:r w:rsidRPr="002E051C">
        <w:t>Participating builders’ overall satisfaction with the program is moderate. They view</w:t>
      </w:r>
      <w:r w:rsidR="007F429D">
        <w:t xml:space="preserve"> implementer</w:t>
      </w:r>
      <w:r w:rsidRPr="002E051C">
        <w:rPr>
          <w:rFonts w:cs="Calibri"/>
          <w:color w:val="000000"/>
        </w:rPr>
        <w:t xml:space="preserve"> </w:t>
      </w:r>
      <w:r w:rsidRPr="002E051C">
        <w:t xml:space="preserve">CSP Performance Systems Development’s (PSD) support and relationship favorably. They are commonly dissatisfied with the paperwork and logistical burdens, especially coordination with HERS raters and the time lag between application submittal and rebate arrival. Although still interested in future participation, nonparticipating builders do not participate because of high incremental costs and excessive documentation associated with the program’s incentive application. </w:t>
      </w:r>
    </w:p>
    <w:p w:rsidR="002E051C" w:rsidRPr="002E051C" w:rsidRDefault="002E051C" w:rsidP="002E051C"/>
    <w:p w:rsidR="002E051C" w:rsidRPr="002E051C" w:rsidRDefault="002E051C" w:rsidP="002E051C">
      <w:r w:rsidRPr="002E051C">
        <w:t xml:space="preserve">Builders project the new homes market will remain the same or experience modest growth in the next year, while participating builders—many of whom report creating their own energy efficiency packages—perceive declining value in the ENERGY STAR New Home certification. </w:t>
      </w:r>
    </w:p>
    <w:p w:rsidR="002E051C" w:rsidRPr="002E051C" w:rsidRDefault="002E051C" w:rsidP="002E051C"/>
    <w:p w:rsidR="002E051C" w:rsidRPr="002E051C" w:rsidRDefault="002E051C" w:rsidP="002E051C">
      <w:r w:rsidRPr="002E051C">
        <w:t xml:space="preserve">Raters are satisfied with the program, especially with PSD. They uniformly reported their biggest challenge to be appealing to builders for their service value. All raters project that their rating business will stay constant in the coming year. </w:t>
      </w:r>
    </w:p>
    <w:p w:rsidR="002E051C" w:rsidRPr="002E051C" w:rsidRDefault="002E051C" w:rsidP="002E051C"/>
    <w:p w:rsidR="002E051C" w:rsidRPr="002E051C" w:rsidRDefault="002E051C" w:rsidP="007B2E72">
      <w:pPr>
        <w:pStyle w:val="AppendixBHeading4"/>
      </w:pPr>
      <w:r w:rsidRPr="002E051C">
        <w:t>Summary of the Process Evaluation Audit</w:t>
      </w:r>
    </w:p>
    <w:p w:rsidR="002E051C" w:rsidRPr="002E051C" w:rsidRDefault="002E051C" w:rsidP="002E051C">
      <w:pPr>
        <w:rPr>
          <w:highlight w:val="lightGray"/>
        </w:rPr>
      </w:pPr>
      <w:r w:rsidRPr="002E051C">
        <w:t>The ADM</w:t>
      </w:r>
      <w:r w:rsidR="0009501A">
        <w:t>/Tetra Tech</w:t>
      </w:r>
      <w:r w:rsidRPr="002E051C">
        <w:t xml:space="preserve"> team summarized findings well and drew well-reasoned findings. However, market size data of builders and raters were absent in the report; this would provide more information about the representation of the interviews that were conducted, thus strengthening the methodology. The SWE Team recommends including in the report the population size of participating and nonparticipating builders and raters working in the area as well as sample size. </w:t>
      </w:r>
    </w:p>
    <w:p w:rsidR="002E051C" w:rsidRDefault="002E051C" w:rsidP="002E051C">
      <w:pPr>
        <w:rPr>
          <w:highlight w:val="lightGray"/>
        </w:rPr>
      </w:pPr>
    </w:p>
    <w:p w:rsidR="002E051C" w:rsidRPr="002E051C" w:rsidRDefault="002E051C" w:rsidP="007B2E72">
      <w:pPr>
        <w:pStyle w:val="AppendixBHeading2"/>
      </w:pPr>
      <w:r w:rsidRPr="002E051C">
        <w:t xml:space="preserve">Non-Residential Programs   </w:t>
      </w:r>
    </w:p>
    <w:p w:rsidR="002E051C" w:rsidRPr="002E051C" w:rsidRDefault="002E051C" w:rsidP="002E051C">
      <w:r w:rsidRPr="002E051C">
        <w:t>ADM</w:t>
      </w:r>
      <w:r w:rsidR="0009501A">
        <w:t>/Tetra Tech</w:t>
      </w:r>
      <w:r w:rsidRPr="002E051C">
        <w:t xml:space="preserve"> reported on process evaluations for five non-residential programs: Energy Efficient Equipment – Small, Energy Efficient Buildings – Small, Energy Efficient Equipment – Large, Energy Efficient Buildings – Large, and Government and Institutional Program. </w:t>
      </w:r>
    </w:p>
    <w:p w:rsidR="002E051C" w:rsidRPr="002E051C" w:rsidRDefault="002E051C" w:rsidP="002E051C"/>
    <w:p w:rsidR="002E051C" w:rsidRPr="002E051C" w:rsidRDefault="002E051C" w:rsidP="002E051C">
      <w:r w:rsidRPr="002E051C">
        <w:t>Except for Energy Efficient Buildings – Small and Energy Efficient Buildings – Large, there were no process evaluation activities in PY7 because the ADM</w:t>
      </w:r>
      <w:r w:rsidR="0009501A">
        <w:t>/Tetra Tech</w:t>
      </w:r>
      <w:r w:rsidRPr="002E051C">
        <w:t xml:space="preserve"> team had conducted process evaluations of all the other non-residential programs in PY6. For the respective programs that were evaluated in PY7, the ADM</w:t>
      </w:r>
      <w:r w:rsidR="0009501A">
        <w:t>/Tetra Tech</w:t>
      </w:r>
      <w:r w:rsidRPr="002E051C">
        <w:t xml:space="preserve"> team conducted in-depth interviews with participating contractors and surveyed participants.</w:t>
      </w:r>
    </w:p>
    <w:p w:rsidR="002E051C" w:rsidRPr="002E051C" w:rsidRDefault="002E051C" w:rsidP="002E051C"/>
    <w:p w:rsidR="002E051C" w:rsidRPr="002E051C" w:rsidRDefault="002E051C" w:rsidP="007B2E72">
      <w:pPr>
        <w:pStyle w:val="AppendixBHeading3"/>
      </w:pPr>
      <w:r w:rsidRPr="002E051C">
        <w:t>Energy Efficient Buildings – Small and Large</w:t>
      </w:r>
    </w:p>
    <w:p w:rsidR="002E051C" w:rsidRPr="002E051C" w:rsidRDefault="002E051C" w:rsidP="007B2E72">
      <w:pPr>
        <w:pStyle w:val="AppendixBHeading4"/>
      </w:pPr>
      <w:r w:rsidRPr="002E051C">
        <w:t>Brief Overview of the Program</w:t>
      </w:r>
      <w:r w:rsidR="007F429D">
        <w:t>s</w:t>
      </w:r>
      <w:r w:rsidRPr="002E051C">
        <w:t xml:space="preserve"> and </w:t>
      </w:r>
      <w:r w:rsidR="007F429D">
        <w:t>Their</w:t>
      </w:r>
      <w:r w:rsidRPr="002E051C">
        <w:t xml:space="preserve"> Success</w:t>
      </w:r>
    </w:p>
    <w:p w:rsidR="002E051C" w:rsidRPr="002E051C" w:rsidRDefault="002E051C" w:rsidP="002E051C">
      <w:r w:rsidRPr="002E051C">
        <w:t>Th</w:t>
      </w:r>
      <w:r w:rsidR="007F429D">
        <w:t>ese</w:t>
      </w:r>
      <w:r w:rsidRPr="002E051C">
        <w:t xml:space="preserve"> program</w:t>
      </w:r>
      <w:r w:rsidR="007F429D">
        <w:t>s</w:t>
      </w:r>
      <w:r w:rsidRPr="002E051C">
        <w:t xml:space="preserve"> include energy conservation kits consisting of CFLs, and custom whole-building projects such as new construction, retro-commissioning, and building envelope improvements. In PY7, Energy Efficient Buildings Programs – Small and Energy Efficient Buildings – Large were under budget for all four EDCs. Two EDCs, </w:t>
      </w:r>
      <w:r w:rsidRPr="002E051C">
        <w:rPr>
          <w:color w:val="000000"/>
        </w:rPr>
        <w:t xml:space="preserve">Met-Ed and Penn Power, fell </w:t>
      </w:r>
      <w:r w:rsidRPr="002E051C">
        <w:t xml:space="preserve">short of their </w:t>
      </w:r>
      <w:r w:rsidR="00203167">
        <w:t xml:space="preserve">EE&amp;C Plan </w:t>
      </w:r>
      <w:r w:rsidRPr="002E051C">
        <w:t xml:space="preserve">savings </w:t>
      </w:r>
      <w:r w:rsidR="00203167">
        <w:t>projections for PY7</w:t>
      </w:r>
      <w:r w:rsidRPr="002E051C">
        <w:t xml:space="preserve">, respectively achieving 70%/65% (Small/Large) and 78%/94% (Small/Large) of target energy savings. </w:t>
      </w:r>
    </w:p>
    <w:p w:rsidR="002E051C" w:rsidRPr="002E051C" w:rsidRDefault="002E051C" w:rsidP="002E051C">
      <w:r w:rsidRPr="002E051C">
        <w:t>The ADM</w:t>
      </w:r>
      <w:r w:rsidR="0009501A">
        <w:t>/Tetra Tech</w:t>
      </w:r>
      <w:r w:rsidRPr="002E051C">
        <w:t xml:space="preserve"> team conducted surveys with participants and in-depth interviews with participating contractors. Participants of the programs</w:t>
      </w:r>
      <w:r w:rsidR="007F429D">
        <w:t>’</w:t>
      </w:r>
      <w:r w:rsidRPr="002E051C">
        <w:t xml:space="preserve"> custom component (Small and Large) are highly satisfied, and 69% of participants reported recommending the program to others. Satisfaction with the conservation kit program component (Small) was also very high, but participants suggested upgrading lamps to LEDs. Overall, the ADM</w:t>
      </w:r>
      <w:r w:rsidR="0009501A">
        <w:t>/Tetra Tech</w:t>
      </w:r>
      <w:r w:rsidRPr="002E051C">
        <w:t xml:space="preserve"> team reported that small businesses require the most assistance with the application process.  </w:t>
      </w:r>
    </w:p>
    <w:p w:rsidR="002E051C" w:rsidRPr="002E051C" w:rsidRDefault="002E051C" w:rsidP="002E051C"/>
    <w:p w:rsidR="002E051C" w:rsidRPr="002E051C" w:rsidRDefault="002E051C" w:rsidP="002E051C">
      <w:r w:rsidRPr="002E051C">
        <w:t>The ADM</w:t>
      </w:r>
      <w:r w:rsidR="0009501A">
        <w:t>/Tetra Tech</w:t>
      </w:r>
      <w:r w:rsidRPr="002E051C">
        <w:t xml:space="preserve"> team reported evidence that contractors are actively playing important roles in communicating with potential customers about potential savings, return on investment, and other non-energy benefits. These contractors commonly faced difficulties with documentation and paperwork requirements, pre-approval wait times, eligibility requirements, and frequent QA inspections by the implementation CSP. Contractors generally reported that the implementation CSP was accessible for troubleshooting when needed. </w:t>
      </w:r>
    </w:p>
    <w:p w:rsidR="002E051C" w:rsidRPr="00976114" w:rsidRDefault="002E051C" w:rsidP="00976114"/>
    <w:p w:rsidR="002E051C" w:rsidRPr="002E051C" w:rsidRDefault="002E051C" w:rsidP="007B2E72">
      <w:pPr>
        <w:pStyle w:val="AppendixBHeading4"/>
      </w:pPr>
      <w:r w:rsidRPr="002E051C">
        <w:t>Summary of the Process Evaluation Audit</w:t>
      </w:r>
    </w:p>
    <w:p w:rsidR="002E051C" w:rsidRPr="002E051C" w:rsidRDefault="002E051C" w:rsidP="002E051C">
      <w:pPr>
        <w:spacing w:before="120"/>
      </w:pPr>
      <w:r w:rsidRPr="002E051C">
        <w:t xml:space="preserve">Overall, the process evaluation discussion was succinct and highlighted findings that should be of value to the administrator and implementer. However, the report did not discuss population and sample size of the participating contractors, which would provide more information about the representation of the interviews that were conducted and strengthen the methodology. </w:t>
      </w:r>
    </w:p>
    <w:p w:rsidR="002E051C" w:rsidRPr="002E051C" w:rsidRDefault="002E051C" w:rsidP="002E051C">
      <w:pPr>
        <w:spacing w:before="120"/>
      </w:pPr>
      <w:r w:rsidRPr="002E051C">
        <w:t>In addition, the SWE Team points out that, for all four EDCs, both the target and achieved sample sizes for both the kits and custom components of Energy Efficient Buildings – Small</w:t>
      </w:r>
      <w:r w:rsidR="00BF245F">
        <w:t>,</w:t>
      </w:r>
      <w:r w:rsidRPr="002E051C">
        <w:t xml:space="preserve"> actually well exceeded the required 85/15 confidence/precision level shown in the sampling strategy table. The SWE Team has no objections to this greater-than-required precision and confidence but would recommend that the sampling table show the actual target confidence and precision levels. </w:t>
      </w:r>
    </w:p>
    <w:p w:rsidR="002E051C" w:rsidRDefault="002E051C" w:rsidP="002E051C"/>
    <w:p w:rsidR="00976114" w:rsidRDefault="00976114" w:rsidP="002E051C"/>
    <w:p w:rsidR="00976114" w:rsidRPr="002E051C" w:rsidRDefault="00976114" w:rsidP="002E051C"/>
    <w:p w:rsidR="002E051C" w:rsidRPr="002E051C" w:rsidRDefault="002E051C" w:rsidP="007B2E72">
      <w:pPr>
        <w:pStyle w:val="AppendixBHeading1"/>
      </w:pPr>
      <w:r w:rsidRPr="002E051C">
        <w:t>Pennsylvania Electric Company</w:t>
      </w:r>
    </w:p>
    <w:p w:rsidR="002E051C" w:rsidRPr="002E051C" w:rsidRDefault="002E051C" w:rsidP="002E051C">
      <w:r w:rsidRPr="002E051C">
        <w:t>FirstEnergy’s evaluation contractor, ADM</w:t>
      </w:r>
      <w:r w:rsidR="0009501A">
        <w:t>/</w:t>
      </w:r>
      <w:r w:rsidR="007F6A35">
        <w:t xml:space="preserve">Tetra </w:t>
      </w:r>
      <w:r w:rsidR="0009501A">
        <w:t>Tech</w:t>
      </w:r>
      <w:r w:rsidRPr="002E051C">
        <w:t xml:space="preserve">, took unified process evaluation approaches to these programs across the four FirstEnergy EDCs, including Penelec, and so the annual evaluation reports of the four FirstEnergy EDCs report identical information about the process evaluation. Therefore, the SWE Team’s audit summary described </w:t>
      </w:r>
      <w:r w:rsidR="00203167">
        <w:t xml:space="preserve">for Met-Ed </w:t>
      </w:r>
      <w:r w:rsidRPr="002E051C">
        <w:t xml:space="preserve">in Section </w:t>
      </w:r>
      <w:r w:rsidRPr="002E051C">
        <w:fldChar w:fldCharType="begin"/>
      </w:r>
      <w:r w:rsidRPr="002E051C">
        <w:instrText xml:space="preserve"> REF _Ref469482704 \r \h </w:instrText>
      </w:r>
      <w:r w:rsidRPr="002E051C">
        <w:fldChar w:fldCharType="separate"/>
      </w:r>
      <w:r w:rsidR="00C301D0">
        <w:t>B.2</w:t>
      </w:r>
      <w:r w:rsidRPr="002E051C">
        <w:fldChar w:fldCharType="end"/>
      </w:r>
      <w:r w:rsidRPr="002E051C">
        <w:t xml:space="preserve"> pertains to all four FirstEnergy utilities, including Penelec. </w:t>
      </w:r>
    </w:p>
    <w:p w:rsidR="002E051C" w:rsidRPr="002E051C" w:rsidRDefault="002E051C" w:rsidP="002E051C"/>
    <w:p w:rsidR="002E051C" w:rsidRPr="002E051C" w:rsidRDefault="002E051C" w:rsidP="007B2E72">
      <w:pPr>
        <w:pStyle w:val="AppendixBHeading1"/>
      </w:pPr>
      <w:r w:rsidRPr="002E051C">
        <w:t>Pennsylvania Power Company</w:t>
      </w:r>
    </w:p>
    <w:p w:rsidR="002E051C" w:rsidRPr="002E051C" w:rsidRDefault="002E051C" w:rsidP="002E051C">
      <w:r w:rsidRPr="002E051C">
        <w:t>FirstEnergy’s evaluation contractor, ADM</w:t>
      </w:r>
      <w:r w:rsidR="0009501A">
        <w:t>/Tetra Tech</w:t>
      </w:r>
      <w:r w:rsidRPr="002E051C">
        <w:t xml:space="preserve">, took unified process evaluation approaches to these programs across the four FirstEnergy EDCs, including Penn Power, and so the annual evaluation reports of the four FirstEnergy EDCs report identical information about the process evaluation. Therefore, the SWE Team’s audit summary described </w:t>
      </w:r>
      <w:r w:rsidR="00203167">
        <w:t xml:space="preserve">for Met-Ed </w:t>
      </w:r>
      <w:r w:rsidRPr="002E051C">
        <w:t xml:space="preserve">in Section </w:t>
      </w:r>
      <w:r w:rsidRPr="002E051C">
        <w:fldChar w:fldCharType="begin"/>
      </w:r>
      <w:r w:rsidRPr="002E051C">
        <w:instrText xml:space="preserve"> REF _Ref469482704 \r \h </w:instrText>
      </w:r>
      <w:r w:rsidRPr="002E051C">
        <w:fldChar w:fldCharType="separate"/>
      </w:r>
      <w:r w:rsidR="00C301D0">
        <w:t>B.2</w:t>
      </w:r>
      <w:r w:rsidRPr="002E051C">
        <w:fldChar w:fldCharType="end"/>
      </w:r>
      <w:r w:rsidRPr="002E051C">
        <w:t xml:space="preserve"> pertains to all four FirstEnergy utilities, including Penn Power. </w:t>
      </w:r>
    </w:p>
    <w:p w:rsidR="002E051C" w:rsidRPr="002E051C" w:rsidRDefault="002E051C" w:rsidP="002E051C"/>
    <w:p w:rsidR="002E051C" w:rsidRPr="002E051C" w:rsidRDefault="002E051C" w:rsidP="007B2E72">
      <w:pPr>
        <w:pStyle w:val="AppendixBHeading1"/>
      </w:pPr>
      <w:r w:rsidRPr="002E051C">
        <w:t xml:space="preserve">West Penn Power </w:t>
      </w:r>
    </w:p>
    <w:p w:rsidR="002E051C" w:rsidRPr="002E051C" w:rsidRDefault="002E051C" w:rsidP="002E051C">
      <w:r w:rsidRPr="002E051C">
        <w:t>FirstEnergy’s evaluation contractor, ADM</w:t>
      </w:r>
      <w:r w:rsidR="0009501A">
        <w:t>/Tetra Tech</w:t>
      </w:r>
      <w:r w:rsidRPr="002E051C">
        <w:t xml:space="preserve">, took unified process evaluation approaches to these programs across the four FirstEnergy EDCs, including West Penn, and so the annual evaluation reports of the four FirstEnergy EDCs report identical information about the process evaluation. Therefore, the SWE Team’s audit summary described </w:t>
      </w:r>
      <w:r w:rsidR="00203167">
        <w:t xml:space="preserve">for Met-Ed </w:t>
      </w:r>
      <w:r w:rsidRPr="002E051C">
        <w:t xml:space="preserve">in Section </w:t>
      </w:r>
      <w:r w:rsidRPr="002E051C">
        <w:fldChar w:fldCharType="begin"/>
      </w:r>
      <w:r w:rsidRPr="002E051C">
        <w:instrText xml:space="preserve"> REF _Ref469482704 \r \h </w:instrText>
      </w:r>
      <w:r w:rsidRPr="002E051C">
        <w:fldChar w:fldCharType="separate"/>
      </w:r>
      <w:r w:rsidR="00C301D0">
        <w:t>B.2</w:t>
      </w:r>
      <w:r w:rsidRPr="002E051C">
        <w:fldChar w:fldCharType="end"/>
      </w:r>
      <w:r w:rsidRPr="002E051C">
        <w:t xml:space="preserve"> pertains to all four FirstEnergy utilities, including West Penn.</w:t>
      </w:r>
    </w:p>
    <w:p w:rsidR="002E051C" w:rsidRPr="002E051C" w:rsidRDefault="002E051C" w:rsidP="002E051C"/>
    <w:p w:rsidR="002E051C" w:rsidRPr="002E051C" w:rsidRDefault="002E051C" w:rsidP="007B2E72">
      <w:pPr>
        <w:pStyle w:val="AppendixBHeading1"/>
      </w:pPr>
      <w:r w:rsidRPr="002E051C">
        <w:t>PECO Energy Company</w:t>
      </w:r>
    </w:p>
    <w:p w:rsidR="002E051C" w:rsidRPr="002E051C" w:rsidRDefault="002E051C" w:rsidP="007B2E72">
      <w:pPr>
        <w:pStyle w:val="AppendixBHeading2"/>
      </w:pPr>
      <w:r w:rsidRPr="002E051C">
        <w:t>Residential Programs</w:t>
      </w:r>
    </w:p>
    <w:p w:rsidR="002E051C" w:rsidRPr="002E051C" w:rsidRDefault="002E051C" w:rsidP="002E051C">
      <w:r w:rsidRPr="002E051C">
        <w:t xml:space="preserve">Navigant reported on process evaluations for eight residential programs: Smart Home Rebates (SHR), Smart House Call (SHC), Smart Appliance Recycling (SAR), Smart Usage Profile (SUP), Smart Energy Saver (SES), Smart Builder Rebates (SBR), Smart A/C Saver (SACS), and Smart Multifamily (SMF) Solutions.  </w:t>
      </w:r>
    </w:p>
    <w:p w:rsidR="002E051C" w:rsidRPr="002E051C" w:rsidRDefault="002E051C" w:rsidP="002E051C"/>
    <w:p w:rsidR="002E051C" w:rsidRPr="002E051C" w:rsidRDefault="002E051C" w:rsidP="002E051C">
      <w:r w:rsidRPr="002E051C">
        <w:t xml:space="preserve">For the process evaluations of the above programs, Navigant reviewed program documents and data; interviewed utility and implementation staff as well as staff of market actors affiliated with the program (HVAC installers and builders); and surveyed program participants and nonparticipants. The document and program data review informed identification of program goals, activities, and updates, and in some instances, identification of program trends and data-tracking errors. The research issues addressed by the primary data-collection activities (in-depth interviews and surveys) varied among programs but generally included the effectiveness of program administration, implementation, and delivery, and customer program satisfaction, participation, challenges, and recommendations. </w:t>
      </w:r>
    </w:p>
    <w:p w:rsidR="002E051C" w:rsidRPr="002E051C" w:rsidRDefault="002E051C" w:rsidP="002E051C"/>
    <w:p w:rsidR="002E051C" w:rsidRPr="002E051C" w:rsidRDefault="002E051C" w:rsidP="002E051C">
      <w:r w:rsidRPr="002E051C">
        <w:t>The depth of presentation of questions asked and feedback provided by Navigant in PECO’s PY7 annual report highlighted findings that are of value to the administrator and implementer.</w:t>
      </w:r>
    </w:p>
    <w:p w:rsidR="002E051C" w:rsidRPr="002E051C" w:rsidRDefault="002E051C" w:rsidP="002E051C"/>
    <w:p w:rsidR="002E051C" w:rsidRPr="002E051C" w:rsidRDefault="002E051C" w:rsidP="002E051C">
      <w:r w:rsidRPr="002E051C">
        <w:t>For each program, a brief program description, summary of the process evaluation findings, and review (audit) of the annual report follow below. The SWE Team notes one general comment about the findings, conclusions, and recommendations for the process evaluations of PECO programs: many recommendations were drawn from key findings rather than from conclusions. Connecting findings to conclusions and then recommendations would help the reader better judge the quality of the recommendations.</w:t>
      </w:r>
    </w:p>
    <w:p w:rsidR="002E051C" w:rsidRPr="002E051C" w:rsidRDefault="002E051C" w:rsidP="002E051C"/>
    <w:p w:rsidR="002E051C" w:rsidRPr="002E051C" w:rsidRDefault="002E051C" w:rsidP="007B2E72">
      <w:pPr>
        <w:pStyle w:val="AppendixBHeading3"/>
      </w:pPr>
      <w:r w:rsidRPr="002E051C">
        <w:t>Smart Home Rebates (SHR) Program</w:t>
      </w:r>
    </w:p>
    <w:p w:rsidR="002E051C" w:rsidRPr="002E051C" w:rsidRDefault="002E051C" w:rsidP="007B2E72">
      <w:pPr>
        <w:pStyle w:val="AppendixBHeading4"/>
      </w:pPr>
      <w:r w:rsidRPr="002E051C">
        <w:t>Brief Overview of the Program and Its Success</w:t>
      </w:r>
    </w:p>
    <w:p w:rsidR="002E051C" w:rsidRPr="002E051C" w:rsidRDefault="002E051C" w:rsidP="002E051C">
      <w:r w:rsidRPr="002E051C">
        <w:t>The SHR Program attempts to achieve energy savings by providing incentives to PECO customers through retailer and HVAC installer sales channels.</w:t>
      </w:r>
      <w:r w:rsidRPr="002E051C">
        <w:rPr>
          <w:vertAlign w:val="superscript"/>
        </w:rPr>
        <w:footnoteReference w:id="76"/>
      </w:r>
      <w:r w:rsidRPr="002E051C">
        <w:t xml:space="preserve"> The program offers incentives for high-efficiency appliances and HVAC equipment. The program also provides up-stream buy-down incentives to manufacturers of CFL and LED meas</w:t>
      </w:r>
      <w:r w:rsidR="007F429D">
        <w:t xml:space="preserve">ures and/or retailers. In PY7, </w:t>
      </w:r>
      <w:r w:rsidRPr="002E051C">
        <w:t>SHR</w:t>
      </w:r>
      <w:r w:rsidR="007F429D">
        <w:t xml:space="preserve"> reported</w:t>
      </w:r>
      <w:r w:rsidRPr="002E051C">
        <w:t xml:space="preserve"> gross annual energy and demand savings of 142,472 MWh and 20.6 MW, respectively. </w:t>
      </w:r>
    </w:p>
    <w:p w:rsidR="002E051C" w:rsidRPr="002E051C" w:rsidRDefault="002E051C" w:rsidP="002E051C"/>
    <w:p w:rsidR="002E051C" w:rsidRPr="002E051C" w:rsidRDefault="002E051C" w:rsidP="007B2E72">
      <w:pPr>
        <w:pStyle w:val="AppendixBHeading4"/>
      </w:pPr>
      <w:r w:rsidRPr="002E051C">
        <w:t>Summary of the Process Evaluation Findings</w:t>
      </w:r>
    </w:p>
    <w:p w:rsidR="002E051C" w:rsidRPr="002E051C" w:rsidRDefault="002E051C" w:rsidP="00976114">
      <w:pPr>
        <w:spacing w:after="120"/>
      </w:pPr>
      <w:r w:rsidRPr="002E051C">
        <w:t>Navigant employed several data-collection methods to gather information for the process evaluation. For lighting measures, it reviewed program materials, interviewed program manager and implementation staff, and conducted an in-store intercept survey of 530 customers and a shelf survey of 17 stores. For non-lighting measures, Navigant conducted 11 in-depth interviews with HVAC installers and 200 telephone surveys with HVAC and appliance rebate participants. Navigant also reviewed the participation tracking databases. Based on these data, eight key findings emerged:</w:t>
      </w:r>
    </w:p>
    <w:p w:rsidR="002E051C" w:rsidRPr="00976114" w:rsidRDefault="002E051C" w:rsidP="00E646C9">
      <w:pPr>
        <w:pStyle w:val="ListParagraph"/>
        <w:numPr>
          <w:ilvl w:val="0"/>
          <w:numId w:val="106"/>
        </w:numPr>
        <w:ind w:left="360"/>
      </w:pPr>
      <w:r w:rsidRPr="00976114">
        <w:t>There were errors as well as gaps in the PY7 participation tracking data. Gaps in the tracking data for air conditioners resulted in discrepancies between reported and verified savings for central and room air conditioners.</w:t>
      </w:r>
    </w:p>
    <w:p w:rsidR="002E051C" w:rsidRPr="00976114" w:rsidRDefault="002E051C" w:rsidP="00E646C9">
      <w:pPr>
        <w:pStyle w:val="ListParagraph"/>
        <w:numPr>
          <w:ilvl w:val="0"/>
          <w:numId w:val="106"/>
        </w:numPr>
        <w:ind w:left="360"/>
      </w:pPr>
      <w:r w:rsidRPr="00976114">
        <w:t xml:space="preserve">About 71% of surveyed customers reported being aware of PECO’s LED store discounts in PY7. In PY5, a notably higher proportion of surveyed customers (86%) were aware of PECO’s LED store discounts.  </w:t>
      </w:r>
    </w:p>
    <w:p w:rsidR="002E051C" w:rsidRPr="00976114" w:rsidRDefault="002E051C" w:rsidP="00E646C9">
      <w:pPr>
        <w:pStyle w:val="ListParagraph"/>
        <w:numPr>
          <w:ilvl w:val="0"/>
          <w:numId w:val="106"/>
        </w:numPr>
        <w:ind w:left="360"/>
      </w:pPr>
      <w:r w:rsidRPr="00976114">
        <w:t>About 12% of PY7 lighting participants were identified as low-income. Energy and demand savings from these participants were not claimed as low-income savings.</w:t>
      </w:r>
    </w:p>
    <w:p w:rsidR="002E051C" w:rsidRPr="00976114" w:rsidRDefault="002E051C" w:rsidP="00E646C9">
      <w:pPr>
        <w:pStyle w:val="ListParagraph"/>
        <w:numPr>
          <w:ilvl w:val="0"/>
          <w:numId w:val="106"/>
        </w:numPr>
        <w:ind w:left="360"/>
      </w:pPr>
      <w:r w:rsidRPr="00976114">
        <w:t>The shelf surveys revealed that increasing shelf space occupied by LEDs has corresponded with decreasing shelf space occupied by CFLs. The proportion of lighting shelf space dedicated to efficient bulbs has not changed substantially over the past five years.</w:t>
      </w:r>
    </w:p>
    <w:p w:rsidR="002E051C" w:rsidRPr="00976114" w:rsidRDefault="002E051C" w:rsidP="00E646C9">
      <w:pPr>
        <w:pStyle w:val="ListParagraph"/>
        <w:numPr>
          <w:ilvl w:val="0"/>
          <w:numId w:val="106"/>
        </w:numPr>
        <w:ind w:left="360"/>
      </w:pPr>
      <w:r w:rsidRPr="00976114">
        <w:t xml:space="preserve">The most commonly cited reason for not purchasing LEDs was cost (“too expensive”). </w:t>
      </w:r>
    </w:p>
    <w:p w:rsidR="002E051C" w:rsidRPr="00976114" w:rsidRDefault="002E051C" w:rsidP="00E646C9">
      <w:pPr>
        <w:pStyle w:val="ListParagraph"/>
        <w:numPr>
          <w:ilvl w:val="0"/>
          <w:numId w:val="106"/>
        </w:numPr>
        <w:ind w:left="360"/>
      </w:pPr>
      <w:r w:rsidRPr="00976114">
        <w:t xml:space="preserve">Satisfaction with PECO has remained high since PY5. </w:t>
      </w:r>
    </w:p>
    <w:p w:rsidR="002E051C" w:rsidRPr="00976114" w:rsidRDefault="002E051C" w:rsidP="00E646C9">
      <w:pPr>
        <w:pStyle w:val="ListParagraph"/>
        <w:numPr>
          <w:ilvl w:val="0"/>
          <w:numId w:val="106"/>
        </w:numPr>
        <w:ind w:left="360"/>
      </w:pPr>
      <w:r w:rsidRPr="00976114">
        <w:t xml:space="preserve">The majority of HVAC participants (71%) learned of the program primarily from contractors, installers, or builders. </w:t>
      </w:r>
    </w:p>
    <w:p w:rsidR="002E051C" w:rsidRPr="00976114" w:rsidRDefault="002E051C" w:rsidP="00E646C9">
      <w:pPr>
        <w:pStyle w:val="ListParagraph"/>
        <w:numPr>
          <w:ilvl w:val="0"/>
          <w:numId w:val="106"/>
        </w:numPr>
        <w:ind w:left="360"/>
      </w:pPr>
      <w:r w:rsidRPr="00976114">
        <w:t xml:space="preserve">Downturn in the number of installations, either from seasonal shifts or from PECO scaling back the program, affected smaller “mom-and-pop” HVAC installation companies much more than larger companies. </w:t>
      </w:r>
    </w:p>
    <w:p w:rsidR="002E051C" w:rsidRPr="002E051C" w:rsidRDefault="002E051C" w:rsidP="002E051C"/>
    <w:p w:rsidR="002E051C" w:rsidRPr="002E051C" w:rsidRDefault="002E051C" w:rsidP="007B2E72">
      <w:pPr>
        <w:pStyle w:val="AppendixBHeading4"/>
      </w:pPr>
      <w:r w:rsidRPr="002E051C">
        <w:t>Summary of the Process Evaluation Audit</w:t>
      </w:r>
    </w:p>
    <w:p w:rsidR="002E051C" w:rsidRPr="002E051C" w:rsidRDefault="002E051C" w:rsidP="002E051C">
      <w:r w:rsidRPr="002E051C">
        <w:t xml:space="preserve">Navigant completed all the PY7 activities listed in the evaluation plan. </w:t>
      </w:r>
    </w:p>
    <w:p w:rsidR="002E051C" w:rsidRPr="002E051C" w:rsidRDefault="002E051C" w:rsidP="002E051C"/>
    <w:p w:rsidR="002E051C" w:rsidRDefault="002E051C" w:rsidP="002E051C">
      <w:r w:rsidRPr="002E051C">
        <w:t xml:space="preserve">For the data-collection tasks requiring sampling, the SWE Team determined that the sampling approach for those tasks followed the approved sampling plans, and the report incorporated the required tables showing the sampling strategy. Navigant used a random sampling approach for the customer surveys and a stratified random sampling approach for the participant survey, focusing on two strata: lighting and non-lighting (HVAC and appliances) measures. Navigant achieved sample sizes that provided 85/15 confidence/precision per data-collection activity and/or stratum. </w:t>
      </w:r>
    </w:p>
    <w:p w:rsidR="002057C5" w:rsidRPr="002E051C" w:rsidRDefault="002057C5" w:rsidP="002E051C"/>
    <w:p w:rsidR="002E051C" w:rsidRPr="002E051C" w:rsidRDefault="002E051C" w:rsidP="002E051C">
      <w:r w:rsidRPr="002E051C">
        <w:t>The SWE Team also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except in one area: there were no references to the statistical test(s) used to evaluate the strength of differences reported between PY5, PY6, and PY7. It would have been useful to know, for example, whether the proportion of respondents aware that PECO provided LED store discounts was statistically significantly different from PY5 to PY7. Navigant reports the sample sizes and proportions but does not report either the variability or a statistical assessment of the difference. The reporting could have benefitted from this additional level of detail.</w:t>
      </w:r>
    </w:p>
    <w:p w:rsidR="002E051C" w:rsidRPr="002E051C" w:rsidRDefault="002E051C" w:rsidP="002E051C"/>
    <w:p w:rsidR="002E051C" w:rsidRPr="002E051C" w:rsidRDefault="002E051C" w:rsidP="002E051C">
      <w:r w:rsidRPr="002E051C">
        <w:t>Overall, the process evaluation discussion was succinct and highlighted findings that should be of value to the administrator and implementer. Most recommendations were clear and actionable and were supported by the findings. However, the reporting lacked conclusions, which affected how recommendations were developed. Recommendations were drawn from key findings rather than from conclusions.</w:t>
      </w:r>
    </w:p>
    <w:p w:rsidR="002E051C" w:rsidRPr="002E051C" w:rsidRDefault="002E051C" w:rsidP="002E051C"/>
    <w:p w:rsidR="002E051C" w:rsidRPr="002E051C" w:rsidRDefault="002E051C" w:rsidP="007B2E72">
      <w:pPr>
        <w:pStyle w:val="AppendixBHeading3"/>
      </w:pPr>
      <w:r w:rsidRPr="002E051C">
        <w:t>Smart House Call (SHC) Program</w:t>
      </w:r>
    </w:p>
    <w:p w:rsidR="002E051C" w:rsidRPr="002E051C" w:rsidRDefault="002E051C" w:rsidP="007B2E72">
      <w:pPr>
        <w:pStyle w:val="AppendixBHeading4"/>
      </w:pPr>
      <w:r w:rsidRPr="002E051C">
        <w:t>Brief Overview of the Program and Its Success</w:t>
      </w:r>
    </w:p>
    <w:p w:rsidR="002E051C" w:rsidRPr="00976114" w:rsidRDefault="002E051C" w:rsidP="00976114">
      <w:r w:rsidRPr="00976114">
        <w:t xml:space="preserve">The SHC Program is built around direct-install and contractor-installed measures. Electric-heat customers as well those with central air-conditioning living in single-family or multifamily dwellings with three or fewer units are eligible to participate. Program participants pay $50 for a walk-through assessment or $100 for a more in-depth audit. During the assessment or audit, an energy advisor installs appropriate direct-install measures and provides recommendations for the homeowner to consider. Those who opt for an in-depth audit receive an audit report that includes the full cost, incentive amount, and discounted cost of recommended contractor-installed measures as well as recommendations to consider on an un-incented basis. Reported PY7 SHC gross energy and demand savings were 6,742 MWh and 1 MW, respectively. </w:t>
      </w:r>
    </w:p>
    <w:p w:rsidR="002E051C" w:rsidRPr="002E051C" w:rsidRDefault="002E051C" w:rsidP="002E051C">
      <w:pPr>
        <w:autoSpaceDE w:val="0"/>
        <w:autoSpaceDN w:val="0"/>
        <w:adjustRightInd w:val="0"/>
        <w:jc w:val="left"/>
        <w:rPr>
          <w:rFonts w:cs="Calibri"/>
          <w:color w:val="000000"/>
        </w:rPr>
      </w:pPr>
    </w:p>
    <w:p w:rsidR="002E051C" w:rsidRPr="002E051C" w:rsidRDefault="002E051C" w:rsidP="007B2E72">
      <w:pPr>
        <w:pStyle w:val="AppendixBHeading4"/>
      </w:pPr>
      <w:r w:rsidRPr="002E051C">
        <w:t>Summary of the Process Evaluation Findings</w:t>
      </w:r>
    </w:p>
    <w:p w:rsidR="002E051C" w:rsidRPr="002E051C" w:rsidRDefault="002E051C" w:rsidP="00976114">
      <w:pPr>
        <w:spacing w:after="120"/>
        <w:rPr>
          <w:rFonts w:cs="Calibri"/>
          <w:color w:val="000000"/>
        </w:rPr>
      </w:pPr>
      <w:r w:rsidRPr="002E051C">
        <w:rPr>
          <w:rFonts w:cs="Calibri"/>
          <w:color w:val="000000"/>
        </w:rPr>
        <w:t>Navigant conducted a program database and materials review, a participant survey, and in-depth interviews with program staff. Based on these data, five key findings emerged:</w:t>
      </w:r>
    </w:p>
    <w:p w:rsidR="002E051C" w:rsidRPr="00976114" w:rsidRDefault="002E051C" w:rsidP="00E646C9">
      <w:pPr>
        <w:pStyle w:val="ListParagraph"/>
        <w:numPr>
          <w:ilvl w:val="0"/>
          <w:numId w:val="107"/>
        </w:numPr>
        <w:spacing w:after="60"/>
        <w:ind w:left="360"/>
        <w:contextualSpacing w:val="0"/>
      </w:pPr>
      <w:r w:rsidRPr="00976114">
        <w:t xml:space="preserve">Participant satisfaction was high. Those reporting some dissatisfaction provided the following reasons: </w:t>
      </w:r>
    </w:p>
    <w:p w:rsidR="002E051C" w:rsidRPr="002E051C" w:rsidRDefault="002E051C" w:rsidP="00976114">
      <w:pPr>
        <w:numPr>
          <w:ilvl w:val="1"/>
          <w:numId w:val="21"/>
        </w:numPr>
        <w:ind w:left="720"/>
        <w:contextualSpacing/>
        <w:rPr>
          <w:rFonts w:cs="Calibri"/>
          <w:color w:val="000000"/>
          <w:szCs w:val="20"/>
        </w:rPr>
      </w:pPr>
      <w:r w:rsidRPr="002E051C">
        <w:rPr>
          <w:rFonts w:cs="Calibri"/>
          <w:color w:val="000000"/>
          <w:szCs w:val="20"/>
        </w:rPr>
        <w:t xml:space="preserve">Water pressure declined after low-flow faucet aerators and showerhead were installed. </w:t>
      </w:r>
    </w:p>
    <w:p w:rsidR="002E051C" w:rsidRPr="002E051C" w:rsidRDefault="002E051C" w:rsidP="00976114">
      <w:pPr>
        <w:numPr>
          <w:ilvl w:val="1"/>
          <w:numId w:val="21"/>
        </w:numPr>
        <w:ind w:left="720"/>
        <w:contextualSpacing/>
        <w:rPr>
          <w:rFonts w:cs="Calibri"/>
          <w:color w:val="000000"/>
          <w:szCs w:val="20"/>
        </w:rPr>
      </w:pPr>
      <w:r w:rsidRPr="002E051C">
        <w:rPr>
          <w:rFonts w:cs="Calibri"/>
          <w:color w:val="000000"/>
          <w:szCs w:val="20"/>
        </w:rPr>
        <w:t xml:space="preserve">CFLs and LEDs did not reach full brightness fast enough. </w:t>
      </w:r>
    </w:p>
    <w:p w:rsidR="002E051C" w:rsidRPr="002E051C" w:rsidRDefault="002E051C" w:rsidP="00976114">
      <w:pPr>
        <w:numPr>
          <w:ilvl w:val="1"/>
          <w:numId w:val="21"/>
        </w:numPr>
        <w:ind w:left="720"/>
        <w:contextualSpacing/>
        <w:rPr>
          <w:rFonts w:cs="Calibri"/>
          <w:color w:val="000000"/>
          <w:szCs w:val="20"/>
        </w:rPr>
      </w:pPr>
      <w:r w:rsidRPr="002E051C">
        <w:rPr>
          <w:rFonts w:cs="Calibri"/>
          <w:color w:val="000000"/>
          <w:szCs w:val="20"/>
        </w:rPr>
        <w:t xml:space="preserve">CFL and LED bulbs did not work with dimmers. </w:t>
      </w:r>
    </w:p>
    <w:p w:rsidR="002E051C" w:rsidRPr="002E051C" w:rsidRDefault="002E051C" w:rsidP="00976114">
      <w:pPr>
        <w:numPr>
          <w:ilvl w:val="1"/>
          <w:numId w:val="21"/>
        </w:numPr>
        <w:ind w:left="720"/>
        <w:contextualSpacing/>
        <w:rPr>
          <w:rFonts w:cs="Calibri"/>
          <w:color w:val="000000"/>
          <w:szCs w:val="20"/>
        </w:rPr>
      </w:pPr>
      <w:r w:rsidRPr="002E051C">
        <w:rPr>
          <w:rFonts w:cs="Calibri"/>
          <w:color w:val="000000"/>
          <w:szCs w:val="20"/>
        </w:rPr>
        <w:t xml:space="preserve">TVs and other electronics did not function properly when they were plugged into the same smart strip outlet. </w:t>
      </w:r>
    </w:p>
    <w:p w:rsidR="002E051C" w:rsidRPr="002E051C" w:rsidRDefault="002E051C" w:rsidP="00976114">
      <w:pPr>
        <w:numPr>
          <w:ilvl w:val="1"/>
          <w:numId w:val="21"/>
        </w:numPr>
        <w:ind w:left="720"/>
        <w:contextualSpacing/>
        <w:rPr>
          <w:rFonts w:cs="Calibri"/>
          <w:color w:val="000000"/>
          <w:szCs w:val="20"/>
        </w:rPr>
      </w:pPr>
      <w:r w:rsidRPr="002E051C">
        <w:rPr>
          <w:rFonts w:cs="Calibri"/>
          <w:color w:val="000000"/>
          <w:szCs w:val="20"/>
        </w:rPr>
        <w:t xml:space="preserve">Customers did not see savings on their bills after measures were installed. </w:t>
      </w:r>
    </w:p>
    <w:p w:rsidR="002E051C" w:rsidRPr="002E051C" w:rsidRDefault="002E051C" w:rsidP="00976114">
      <w:pPr>
        <w:numPr>
          <w:ilvl w:val="1"/>
          <w:numId w:val="21"/>
        </w:numPr>
        <w:ind w:left="720"/>
        <w:contextualSpacing/>
        <w:rPr>
          <w:rFonts w:cs="Calibri"/>
          <w:color w:val="000000"/>
          <w:szCs w:val="20"/>
        </w:rPr>
      </w:pPr>
      <w:r w:rsidRPr="002E051C">
        <w:rPr>
          <w:rFonts w:cs="Calibri"/>
          <w:color w:val="000000"/>
          <w:szCs w:val="20"/>
        </w:rPr>
        <w:t>Information received did not have enough detail to learn anything new.</w:t>
      </w:r>
    </w:p>
    <w:p w:rsidR="002E051C" w:rsidRPr="002E051C" w:rsidRDefault="002E051C" w:rsidP="00976114">
      <w:pPr>
        <w:numPr>
          <w:ilvl w:val="1"/>
          <w:numId w:val="21"/>
        </w:numPr>
        <w:spacing w:after="60"/>
        <w:ind w:left="720"/>
        <w:rPr>
          <w:rFonts w:cs="Calibri"/>
          <w:color w:val="000000"/>
          <w:szCs w:val="20"/>
        </w:rPr>
      </w:pPr>
      <w:r w:rsidRPr="002E051C">
        <w:rPr>
          <w:rFonts w:cs="Calibri"/>
          <w:color w:val="000000"/>
          <w:szCs w:val="20"/>
        </w:rPr>
        <w:t xml:space="preserve">The energy adviser (in some cases) did not do a thorough job during the audit. </w:t>
      </w:r>
    </w:p>
    <w:p w:rsidR="002E051C" w:rsidRPr="00976114" w:rsidRDefault="002E051C" w:rsidP="00E646C9">
      <w:pPr>
        <w:pStyle w:val="ListParagraph"/>
        <w:numPr>
          <w:ilvl w:val="0"/>
          <w:numId w:val="107"/>
        </w:numPr>
        <w:ind w:left="360"/>
      </w:pPr>
      <w:r w:rsidRPr="00976114">
        <w:t>Although participants recalled receiving additional energy efficient upgrade recommendations, they did not commonly cite having been referred to other Smart Ideas programs for which they may be eligible.</w:t>
      </w:r>
    </w:p>
    <w:p w:rsidR="002E051C" w:rsidRPr="00976114" w:rsidRDefault="002E051C" w:rsidP="00E646C9">
      <w:pPr>
        <w:pStyle w:val="ListParagraph"/>
        <w:numPr>
          <w:ilvl w:val="0"/>
          <w:numId w:val="107"/>
        </w:numPr>
        <w:ind w:left="360"/>
      </w:pPr>
      <w:r w:rsidRPr="00976114">
        <w:t xml:space="preserve">Participants generally scheduled an audit once they learned of the program. </w:t>
      </w:r>
    </w:p>
    <w:p w:rsidR="002E051C" w:rsidRPr="00976114" w:rsidRDefault="002E051C" w:rsidP="00E646C9">
      <w:pPr>
        <w:pStyle w:val="ListParagraph"/>
        <w:numPr>
          <w:ilvl w:val="0"/>
          <w:numId w:val="107"/>
        </w:numPr>
        <w:ind w:left="360"/>
      </w:pPr>
      <w:r w:rsidRPr="00976114">
        <w:t xml:space="preserve">The top three channels through which participants heard about the program were bills inserts, mailers, and word of mouth. </w:t>
      </w:r>
    </w:p>
    <w:p w:rsidR="002E051C" w:rsidRPr="00976114" w:rsidRDefault="002E051C" w:rsidP="00E646C9">
      <w:pPr>
        <w:pStyle w:val="ListParagraph"/>
        <w:numPr>
          <w:ilvl w:val="0"/>
          <w:numId w:val="107"/>
        </w:numPr>
        <w:ind w:left="360"/>
      </w:pPr>
      <w:r w:rsidRPr="00976114">
        <w:t xml:space="preserve">The program manager noted that the limited time discounts, which PECO offered, have been particularly successful in increasing customer interest in assessments and program participation. </w:t>
      </w:r>
    </w:p>
    <w:p w:rsidR="002E051C" w:rsidRPr="00976114" w:rsidRDefault="002E051C" w:rsidP="00976114"/>
    <w:p w:rsidR="002E051C" w:rsidRPr="002E051C" w:rsidRDefault="002E051C" w:rsidP="007B2E72">
      <w:pPr>
        <w:pStyle w:val="AppendixBHeading4"/>
      </w:pPr>
      <w:r w:rsidRPr="002E051C">
        <w:t>Summary of the Process Evaluation Audit</w:t>
      </w:r>
    </w:p>
    <w:p w:rsidR="002E051C" w:rsidRPr="002E051C" w:rsidRDefault="002E051C" w:rsidP="002E051C">
      <w:r w:rsidRPr="002E051C">
        <w:t xml:space="preserve">Navigant completed all the PY7 activities listed in the evaluation plan. </w:t>
      </w:r>
    </w:p>
    <w:p w:rsidR="002E051C" w:rsidRPr="002E051C" w:rsidRDefault="002E051C" w:rsidP="002E051C"/>
    <w:p w:rsidR="002E051C" w:rsidRPr="002E051C" w:rsidRDefault="002E051C" w:rsidP="002E051C">
      <w:r w:rsidRPr="002E051C">
        <w:t xml:space="preserve">For the data-collection tasks requiring sampling, the SWE Team determined that the sampling approach for those tasks followed the approved sampling plans, and the report incorporated the required tables showing the sampling strategy. Navigant used a random sampling approach for the participant survey and achieved sample sizes that provided 85/15 confidence/precision. </w:t>
      </w:r>
    </w:p>
    <w:p w:rsidR="002E051C" w:rsidRPr="002E051C" w:rsidRDefault="002E051C" w:rsidP="002E051C"/>
    <w:p w:rsidR="002E051C" w:rsidRPr="002E051C" w:rsidRDefault="002E051C" w:rsidP="002E051C">
      <w:r w:rsidRPr="002E051C">
        <w:t>The SWE Team also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However, the reporting lacked conclusions, which affected how recommendations were developed. Recommendations were drawn from key findings rather than from conclusions.</w:t>
      </w:r>
    </w:p>
    <w:p w:rsidR="002E051C" w:rsidRPr="002E051C" w:rsidRDefault="002E051C" w:rsidP="002E051C"/>
    <w:p w:rsidR="002E051C" w:rsidRPr="002E051C" w:rsidRDefault="002E051C" w:rsidP="002E051C">
      <w:r w:rsidRPr="002E051C">
        <w:t>Overall, the process evaluation discussion was succinct and highlighted findings that should be of value to the administrator and implementer.</w:t>
      </w:r>
      <w:r w:rsidRPr="002E051C">
        <w:rPr>
          <w:rFonts w:ascii="Century Gothic" w:hAnsi="Century Gothic"/>
          <w:b/>
          <w:i/>
          <w:sz w:val="20"/>
        </w:rPr>
        <w:t xml:space="preserve"> </w:t>
      </w:r>
      <w:r w:rsidRPr="002E051C">
        <w:t>The recommendations were clear and actionable.</w:t>
      </w:r>
    </w:p>
    <w:p w:rsidR="002E051C" w:rsidRPr="002E051C" w:rsidRDefault="002E051C" w:rsidP="002E051C"/>
    <w:p w:rsidR="002E051C" w:rsidRPr="002E051C" w:rsidRDefault="002E051C" w:rsidP="007B2E72">
      <w:pPr>
        <w:pStyle w:val="AppendixBHeading3"/>
      </w:pPr>
      <w:r w:rsidRPr="002E051C">
        <w:t>Smart Appliance Recycling (SAR) Program</w:t>
      </w:r>
    </w:p>
    <w:p w:rsidR="002E051C" w:rsidRPr="002E051C" w:rsidRDefault="002E051C" w:rsidP="007B2E72">
      <w:pPr>
        <w:pStyle w:val="AppendixBHeading4"/>
      </w:pPr>
      <w:r w:rsidRPr="002E051C">
        <w:t>Brief Overview of the Program and Its Success</w:t>
      </w:r>
    </w:p>
    <w:p w:rsidR="002E051C" w:rsidRPr="002E051C" w:rsidRDefault="002E051C" w:rsidP="002E051C">
      <w:r w:rsidRPr="002E051C">
        <w:t>The SAR Program provides services and an incentive to customers who elect to have a refrigerator or freezer removed from their home.</w:t>
      </w:r>
      <w:r w:rsidRPr="002E051C">
        <w:rPr>
          <w:vertAlign w:val="superscript"/>
        </w:rPr>
        <w:footnoteReference w:id="77"/>
      </w:r>
      <w:r w:rsidRPr="002E051C">
        <w:t xml:space="preserve"> An independent implementation contractor, ARCA, operates the program and handles the application and pickup processes, collects data about participants and their appliances, and recycles the collected units in its regional facility. There was one notable change to the program in PY7: PECO hired ARCA to operate the program because a prior contractor, JACO, became insolvent in Q2 of PY7. JACO’s bankruptcy curtailed the program’s energy savings impact. Reported PY7 SAR gross annual energy and demand savings were 8,843 MWh and 1.2 MW, respectively. </w:t>
      </w:r>
    </w:p>
    <w:p w:rsidR="002E051C" w:rsidRPr="002E051C" w:rsidRDefault="002E051C" w:rsidP="002E051C"/>
    <w:p w:rsidR="002E051C" w:rsidRPr="002E051C" w:rsidRDefault="002E051C" w:rsidP="007B2E72">
      <w:pPr>
        <w:pStyle w:val="AppendixBHeading4"/>
        <w:rPr>
          <w:rFonts w:eastAsiaTheme="minorHAnsi"/>
        </w:rPr>
      </w:pPr>
      <w:r w:rsidRPr="002E051C">
        <w:rPr>
          <w:rFonts w:eastAsiaTheme="minorHAnsi"/>
        </w:rPr>
        <w:t>Summary of the Process Evaluation Findings</w:t>
      </w:r>
    </w:p>
    <w:p w:rsidR="002E051C" w:rsidRPr="002E051C" w:rsidRDefault="002E051C" w:rsidP="00976114">
      <w:pPr>
        <w:spacing w:after="120"/>
      </w:pPr>
      <w:r w:rsidRPr="002E051C">
        <w:t>Data sources for the process evaluation included PY7 Q1–Q4 participation data, a telephone survey of 200 program participants, and an in-depth interview with the program manager. Based on these data, two key findings emerged:</w:t>
      </w:r>
    </w:p>
    <w:p w:rsidR="002E051C" w:rsidRPr="00976114" w:rsidRDefault="002E051C" w:rsidP="00E646C9">
      <w:pPr>
        <w:pStyle w:val="ListParagraph"/>
        <w:numPr>
          <w:ilvl w:val="0"/>
          <w:numId w:val="108"/>
        </w:numPr>
        <w:ind w:left="360"/>
      </w:pPr>
      <w:r w:rsidRPr="00976114">
        <w:t>JACO’s bankruptcy was likely responsible for SAR failing to reach its PY7 and Phase II goals. JACO’s closure also interfered with the delivery of participant rebates.</w:t>
      </w:r>
    </w:p>
    <w:p w:rsidR="002E051C" w:rsidRPr="00976114" w:rsidRDefault="002E051C" w:rsidP="00E646C9">
      <w:pPr>
        <w:pStyle w:val="ListParagraph"/>
        <w:numPr>
          <w:ilvl w:val="0"/>
          <w:numId w:val="108"/>
        </w:numPr>
        <w:ind w:left="360"/>
      </w:pPr>
      <w:r w:rsidRPr="00976114">
        <w:t>Program satisfaction dropped after JACO’s closure. For example, among the customers whose units were picked up months after the originally scheduled date, average satisfaction was 10% lower compared with participants whose units were picked up on time.</w:t>
      </w:r>
    </w:p>
    <w:p w:rsidR="002E051C" w:rsidRPr="002E051C" w:rsidRDefault="002E051C" w:rsidP="002E051C"/>
    <w:p w:rsidR="002E051C" w:rsidRPr="002E051C" w:rsidRDefault="002E051C" w:rsidP="007B2E72">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Navigant completed all the PY7 activities listed in the evaluation plan except the interview with the implementer. Due to JACO’s closure and the timing of ARCA’s contractual agreement with PECO, Navigant was unable to interview the implementer for the PY7 evaluation.</w:t>
      </w:r>
    </w:p>
    <w:p w:rsidR="002E051C" w:rsidRPr="002E051C" w:rsidRDefault="002E051C" w:rsidP="002E051C"/>
    <w:p w:rsidR="002E051C" w:rsidRPr="002E051C" w:rsidRDefault="002E051C" w:rsidP="002E051C">
      <w:r w:rsidRPr="002E051C">
        <w:t xml:space="preserve">For the data-collection task requiring sampling, the SWE Team determined that the sampling approach yielded an adequate sample and the report incorporated the required table showing the sampling strategy. Navigant used a stratified random sampling approach for the participant survey. Two strata focused on the measures (refrigerators and freezers), and three strata focused on the participant experience—when the rebate check was delayed, when the pickup was delayed, and when the participant withdrew from the program. The sample provided 85/15 confidence/precision per stratum.   </w:t>
      </w:r>
    </w:p>
    <w:p w:rsidR="002E051C" w:rsidRPr="002E051C" w:rsidRDefault="002E051C" w:rsidP="002E051C"/>
    <w:p w:rsidR="002E051C" w:rsidRPr="002E051C" w:rsidRDefault="002E051C" w:rsidP="002E051C">
      <w:r w:rsidRPr="002E051C">
        <w:t xml:space="preserve">The SWE Team also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w:t>
      </w:r>
    </w:p>
    <w:p w:rsidR="002E051C" w:rsidRPr="002E051C" w:rsidRDefault="002E051C" w:rsidP="002E051C"/>
    <w:p w:rsidR="002E051C" w:rsidRPr="002E051C" w:rsidRDefault="002E051C" w:rsidP="002E051C">
      <w:r w:rsidRPr="002E051C">
        <w:t>Overall, the process evaluation discussion was succinct and highlighted findings that should be of value to the administrator and implementer.</w:t>
      </w:r>
      <w:r w:rsidRPr="002E051C">
        <w:rPr>
          <w:b/>
          <w:i/>
        </w:rPr>
        <w:t xml:space="preserve"> </w:t>
      </w:r>
      <w:r w:rsidRPr="002E051C">
        <w:t>The recommendations were clear and actionable and were supported by the findings. Recommendations were drawn from key findings.</w:t>
      </w:r>
    </w:p>
    <w:p w:rsidR="002E051C" w:rsidRPr="002E051C" w:rsidRDefault="002E051C" w:rsidP="002E051C"/>
    <w:p w:rsidR="002E051C" w:rsidRPr="002E051C" w:rsidRDefault="002E051C" w:rsidP="007B2E72">
      <w:pPr>
        <w:pStyle w:val="AppendixBHeading3"/>
      </w:pPr>
      <w:r w:rsidRPr="002E051C">
        <w:t>Smart Usage Profile (SUP) Program</w:t>
      </w:r>
    </w:p>
    <w:p w:rsidR="002E051C" w:rsidRPr="002E051C" w:rsidRDefault="002E051C" w:rsidP="007B2E72">
      <w:pPr>
        <w:pStyle w:val="AppendixBHeading4"/>
      </w:pPr>
      <w:r w:rsidRPr="002E051C">
        <w:t>Brief Overview of the Program and Its Success</w:t>
      </w:r>
    </w:p>
    <w:p w:rsidR="002E051C" w:rsidRPr="002E051C" w:rsidRDefault="002E051C" w:rsidP="002E051C">
      <w:r w:rsidRPr="002E051C">
        <w:t>The primary goal of SUP is to achieve cost-effective energy savings by providing residential customers with energy-use feedback (either mailed or emailed HERs) to encourage adoption of energy efficient behaviors. PECO also uses the program as a tool to enhance customer engagement and encourage participation in other PECO energy efficiency programs. SUP is an opt-out program in which the implementer enrolls participants based on a</w:t>
      </w:r>
      <w:r w:rsidR="007F429D">
        <w:t xml:space="preserve">n </w:t>
      </w:r>
      <w:r w:rsidRPr="002E051C">
        <w:t xml:space="preserve">RCT design. Enrolled customers can opt out of the program by calling or emailing the program implementer. All participants also have access to an online web portal where they can track changes in their usage over time, establish energy savings goals, and review tips for saving energy and money. </w:t>
      </w:r>
    </w:p>
    <w:p w:rsidR="002E051C" w:rsidRPr="002E051C" w:rsidRDefault="002E051C" w:rsidP="002E051C"/>
    <w:p w:rsidR="002E051C" w:rsidRPr="002E051C" w:rsidRDefault="002E051C" w:rsidP="002E051C">
      <w:r w:rsidRPr="002E051C">
        <w:t>Only savings from the SUP in PY7 count toward PECO’s compliance goals for Phase II. During PY7 the program significantly exceeded its Phase II savings target of 20,000 MWh of gross energy savings. During PY7, the SUP achieved verified savings of 39,041 MWh.</w:t>
      </w:r>
    </w:p>
    <w:p w:rsidR="002E051C" w:rsidRPr="002E051C" w:rsidRDefault="002E051C" w:rsidP="002E051C"/>
    <w:p w:rsidR="002E051C" w:rsidRPr="002E051C" w:rsidRDefault="002E051C" w:rsidP="007B2E72">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Navigant conducted analysis of participation data and in-depth interviews with the program manager and implementer. Based on these data, four key findings emerged:</w:t>
      </w:r>
    </w:p>
    <w:p w:rsidR="002E051C" w:rsidRPr="003145F3" w:rsidRDefault="002E051C" w:rsidP="00E646C9">
      <w:pPr>
        <w:pStyle w:val="ListParagraph"/>
        <w:numPr>
          <w:ilvl w:val="0"/>
          <w:numId w:val="109"/>
        </w:numPr>
        <w:ind w:left="360"/>
      </w:pPr>
      <w:r w:rsidRPr="003145F3">
        <w:t xml:space="preserve">Since PECO plans to increase the number of households receiving HERs in Phase III, the behavioral savings from this program will likely represent a significantly greater percentage of the residential portfolio’s savings. </w:t>
      </w:r>
    </w:p>
    <w:p w:rsidR="002E051C" w:rsidRPr="003145F3" w:rsidRDefault="002E051C" w:rsidP="00E646C9">
      <w:pPr>
        <w:pStyle w:val="ListParagraph"/>
        <w:numPr>
          <w:ilvl w:val="0"/>
          <w:numId w:val="109"/>
        </w:numPr>
        <w:ind w:left="360"/>
      </w:pPr>
      <w:r w:rsidRPr="003145F3">
        <w:t xml:space="preserve">The SUP uplift analysis shows that program participants are being successfully channeled into the SHC Program. Participants are not, however, successfully channeled into other PECO programs. </w:t>
      </w:r>
    </w:p>
    <w:p w:rsidR="002E051C" w:rsidRPr="003145F3" w:rsidRDefault="002E051C" w:rsidP="00E646C9">
      <w:pPr>
        <w:pStyle w:val="ListParagraph"/>
        <w:numPr>
          <w:ilvl w:val="0"/>
          <w:numId w:val="109"/>
        </w:numPr>
        <w:ind w:left="360"/>
      </w:pPr>
      <w:r w:rsidRPr="003145F3">
        <w:t xml:space="preserve">Very few household characteristics are used to tailor program messaging in the reports to households.  </w:t>
      </w:r>
    </w:p>
    <w:p w:rsidR="002E051C" w:rsidRPr="003145F3" w:rsidRDefault="002E051C" w:rsidP="00E646C9">
      <w:pPr>
        <w:pStyle w:val="ListParagraph"/>
        <w:numPr>
          <w:ilvl w:val="0"/>
          <w:numId w:val="109"/>
        </w:numPr>
        <w:ind w:left="360"/>
      </w:pPr>
      <w:r w:rsidRPr="003145F3">
        <w:t>A low proportion of SUP participants receive electronic HERs in addition to mailed reports. Yet data tracked by the implementer show a higher rate of customer engagement and a lower rate of customer complaints to the PECO call center from participants who receive reports electronically.</w:t>
      </w:r>
    </w:p>
    <w:p w:rsidR="002E051C" w:rsidRPr="002E051C" w:rsidRDefault="002E051C" w:rsidP="002E051C">
      <w:pPr>
        <w:ind w:left="720"/>
        <w:contextualSpacing/>
        <w:rPr>
          <w:szCs w:val="20"/>
        </w:rPr>
      </w:pPr>
    </w:p>
    <w:p w:rsidR="002E051C" w:rsidRPr="002E051C" w:rsidRDefault="002E051C" w:rsidP="007B2E72">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Navigant completed all the PY7 activities listed in the evaluation plan.</w:t>
      </w:r>
    </w:p>
    <w:p w:rsidR="002E051C" w:rsidRPr="002E051C" w:rsidRDefault="002E051C" w:rsidP="002E051C"/>
    <w:p w:rsidR="002E051C" w:rsidRPr="002E051C" w:rsidRDefault="002E051C" w:rsidP="002E051C">
      <w:r w:rsidRPr="002E051C">
        <w:t>None of the data-collection activities in PY7 required sampling.</w:t>
      </w:r>
    </w:p>
    <w:p w:rsidR="002E051C" w:rsidRPr="002E051C" w:rsidRDefault="002E051C" w:rsidP="002E051C"/>
    <w:p w:rsidR="002E051C" w:rsidRPr="002E051C" w:rsidRDefault="002E051C" w:rsidP="002E051C">
      <w:r w:rsidRPr="002E051C">
        <w:t>The SWE Team also determined that the reporting followed the SWE’s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However, the reporting lacked conclusions, which affected how recommendations were developed. Recommendations were drawn from key findings rather than from conclusions.</w:t>
      </w:r>
    </w:p>
    <w:p w:rsidR="002E051C" w:rsidRPr="002E051C" w:rsidRDefault="002E051C" w:rsidP="002E051C"/>
    <w:p w:rsidR="002E051C" w:rsidRPr="002E051C" w:rsidRDefault="002E051C" w:rsidP="002E051C">
      <w:r w:rsidRPr="002E051C">
        <w:t>Overall, the process evaluation discussion was succinct and highlighted findings that should be of value to the administrator and implementer. The recommendations were clear and actionable and supported by findings.</w:t>
      </w:r>
    </w:p>
    <w:p w:rsidR="002E051C" w:rsidRPr="002E051C" w:rsidRDefault="002E051C" w:rsidP="002E051C"/>
    <w:p w:rsidR="002E051C" w:rsidRPr="002E051C" w:rsidRDefault="002E051C" w:rsidP="007B2E72">
      <w:pPr>
        <w:pStyle w:val="AppendixBHeading3"/>
      </w:pPr>
      <w:r w:rsidRPr="002E051C">
        <w:t>Smart Energy Saver (SES) Program</w:t>
      </w:r>
    </w:p>
    <w:p w:rsidR="002E051C" w:rsidRPr="002E051C" w:rsidRDefault="002E051C" w:rsidP="007B2E72">
      <w:pPr>
        <w:pStyle w:val="AppendixBHeading4"/>
      </w:pPr>
      <w:r w:rsidRPr="002E051C">
        <w:t>Brief Overview of the Program and Its Success</w:t>
      </w:r>
    </w:p>
    <w:p w:rsidR="002E051C" w:rsidRPr="002E051C" w:rsidRDefault="002E051C" w:rsidP="002E051C">
      <w:r w:rsidRPr="002E051C">
        <w:t>The SES Program seeks to educate students about the benefits of energy efficiency through engaging information and fun activities. By reaching students at a young age, PECO expects that students will adopt energy efficient habits early on and continue to engage in energy efficient behavior throughout their lives. In addition to changing behavior through education, the SES encourages the installation of low-cost, energy efficient measures provided to each student through the PECO Smart Energy Saver Kits at no cost. In PY7 the SES distributed 12,324 full or slimmed-down kits and achieved residential-sector energy and demand savings of 2,413 MWh/yr and 0.3 MW, respectively.</w:t>
      </w:r>
    </w:p>
    <w:p w:rsidR="00A83E08" w:rsidRPr="002E051C" w:rsidRDefault="00A83E08" w:rsidP="002E051C"/>
    <w:p w:rsidR="002E051C" w:rsidRPr="002E051C" w:rsidRDefault="002E051C" w:rsidP="007B2E72">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Navigant did not conduct process evaluation for the SES during PY7 because PECO plans to discontinue the program after PY7. Navigant did, however, develop two process recommendations based on data from the impact evaluation:</w:t>
      </w:r>
    </w:p>
    <w:p w:rsidR="002E051C" w:rsidRPr="003145F3" w:rsidRDefault="002E051C" w:rsidP="00E646C9">
      <w:pPr>
        <w:pStyle w:val="ListParagraph"/>
        <w:numPr>
          <w:ilvl w:val="0"/>
          <w:numId w:val="110"/>
        </w:numPr>
        <w:ind w:left="360"/>
      </w:pPr>
      <w:r w:rsidRPr="003145F3">
        <w:t xml:space="preserve">The nightlight measure in the kit resulted in minimal energy savings because the baseline conditions verified through the student installation surveys indicated that in two-thirds of cases the nightlights were not replacing existing nightlights. In the TRM, it is assumed that kit nightlights are replacing existing nightlights. </w:t>
      </w:r>
    </w:p>
    <w:p w:rsidR="002E051C" w:rsidRPr="003145F3" w:rsidRDefault="002E051C" w:rsidP="00E646C9">
      <w:pPr>
        <w:pStyle w:val="ListParagraph"/>
        <w:numPr>
          <w:ilvl w:val="0"/>
          <w:numId w:val="110"/>
        </w:numPr>
        <w:ind w:left="360"/>
      </w:pPr>
      <w:r w:rsidRPr="003145F3">
        <w:t xml:space="preserve">The teacher survey responses indicated that the program implementation deviates from the program plan, as more than half of student installation surveys are filled out in the classroom rather than at home, and not all unused kits make it back to the program. </w:t>
      </w:r>
    </w:p>
    <w:p w:rsidR="002E051C" w:rsidRPr="002E051C" w:rsidRDefault="002E051C" w:rsidP="002E051C"/>
    <w:p w:rsidR="002E051C" w:rsidRPr="002E051C" w:rsidRDefault="002E051C" w:rsidP="007B2E72">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 xml:space="preserve">Navigant noted no process evaluation activities in PY7 in its revised plan. It did, however, develop a few process recommendations based on data from the impact evaluation.  </w:t>
      </w:r>
    </w:p>
    <w:p w:rsidR="002E051C" w:rsidRPr="002E051C" w:rsidRDefault="002E051C" w:rsidP="002E051C"/>
    <w:p w:rsidR="002E051C" w:rsidRPr="002E051C" w:rsidRDefault="002E051C" w:rsidP="002E051C">
      <w:r w:rsidRPr="002E051C">
        <w:t xml:space="preserve">The SWE Team determined that the reporting of the findings followed the SWE guidelines. The annual report included descriptions of the methods in the impact section, summary of findings, and a table of recommendations with a description of whether PECO was implementing or considering those recommendations. The report included sufficient detail for the SWE Team (and other readers) to assess the methods, findings, and recommendations. </w:t>
      </w:r>
    </w:p>
    <w:p w:rsidR="002E051C" w:rsidRPr="002E051C" w:rsidRDefault="002E051C" w:rsidP="002E051C"/>
    <w:p w:rsidR="002E051C" w:rsidRPr="002E051C" w:rsidRDefault="002E051C" w:rsidP="002E051C">
      <w:r w:rsidRPr="002E051C">
        <w:t>Overall, the process evaluation discussion was succinct and highlighted findings that should be of value to the administrator and implementer. The recommendations were clear and actionable and supported by findings.</w:t>
      </w:r>
    </w:p>
    <w:p w:rsidR="002E051C" w:rsidRPr="002E051C" w:rsidRDefault="002E051C" w:rsidP="002E051C"/>
    <w:p w:rsidR="002E051C" w:rsidRPr="002E051C" w:rsidRDefault="002E051C" w:rsidP="007B2E72">
      <w:pPr>
        <w:pStyle w:val="AppendixBHeading3"/>
      </w:pPr>
      <w:r w:rsidRPr="002E051C">
        <w:t>Smart Builder Rebates (SBR) Program</w:t>
      </w:r>
    </w:p>
    <w:p w:rsidR="002E051C" w:rsidRPr="002E051C" w:rsidRDefault="002E051C" w:rsidP="007B2E72">
      <w:pPr>
        <w:pStyle w:val="AppendixBHeading4"/>
      </w:pPr>
      <w:r w:rsidRPr="002E051C">
        <w:t>Brief Overview of the Program and Its Success</w:t>
      </w:r>
    </w:p>
    <w:p w:rsidR="002E051C" w:rsidRPr="002E051C" w:rsidRDefault="002E051C" w:rsidP="002E051C">
      <w:r w:rsidRPr="002E051C">
        <w:t>The SBR Program is intended to accelerate the adoption of energy efficiency in the design, construction, and operation of new single-family homes by leveraging the U.S. EPA’s ENERGY STAR Homes certification. The program provides rebates for new homes that achieve ENERGY STAR certification. A base rebate of $400 is offered per home, plus $0.10 per kWh of savings achieved. In PY5, the program was expanded to allow gas-heated homes in PY6. This was the only significant change to the program from PY5 to PY7. This change represents a divergence from the program offering outlined in the Phase II plan in order to meet Phase II savings targets, which appears likely at the current pace.</w:t>
      </w:r>
    </w:p>
    <w:p w:rsidR="002E051C" w:rsidRPr="002E051C" w:rsidRDefault="002E051C" w:rsidP="002E051C"/>
    <w:p w:rsidR="002E051C" w:rsidRPr="002E051C" w:rsidRDefault="002E051C" w:rsidP="007B2E72">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 xml:space="preserve">Navigant conducted a program materials review and in-depth interviews with the program manager, implementer, and participating builders. Based on these data, six key findings emerged: </w:t>
      </w:r>
    </w:p>
    <w:p w:rsidR="002E051C" w:rsidRPr="003145F3" w:rsidRDefault="002E051C" w:rsidP="00E646C9">
      <w:pPr>
        <w:pStyle w:val="ListParagraph"/>
        <w:numPr>
          <w:ilvl w:val="0"/>
          <w:numId w:val="111"/>
        </w:numPr>
        <w:ind w:left="360"/>
      </w:pPr>
      <w:r w:rsidRPr="003145F3">
        <w:t>All surveyed builders (n=7) were very satisfied with their experience working with the rater and the program implementation staff. Builders reported lower satisfaction with marketing and training assistance, as well as the time it takes to receive a rebate. Prompt payment of incentives is a high priority for builders.</w:t>
      </w:r>
    </w:p>
    <w:p w:rsidR="002E051C" w:rsidRPr="003145F3" w:rsidRDefault="002E051C" w:rsidP="00E646C9">
      <w:pPr>
        <w:pStyle w:val="ListParagraph"/>
        <w:numPr>
          <w:ilvl w:val="0"/>
          <w:numId w:val="111"/>
        </w:numPr>
        <w:ind w:left="360"/>
      </w:pPr>
      <w:r w:rsidRPr="003145F3">
        <w:t>It took an average of 131 days for builders to receive incentive payment after the project was completed in PY7. The new Phase III implementer has a different application and incentive payment process, with a goal of 60 days for application approval and incentive payment to the builder.</w:t>
      </w:r>
    </w:p>
    <w:p w:rsidR="002E051C" w:rsidRPr="003145F3" w:rsidRDefault="002E051C" w:rsidP="00E646C9">
      <w:pPr>
        <w:pStyle w:val="ListParagraph"/>
        <w:numPr>
          <w:ilvl w:val="0"/>
          <w:numId w:val="111"/>
        </w:numPr>
        <w:ind w:left="360"/>
      </w:pPr>
      <w:r w:rsidRPr="003145F3">
        <w:t xml:space="preserve">Builders reported that additional cost and lack of educated HVAC contractors were the key challenges their firm faces when building homes to ENERGY STAR standards. </w:t>
      </w:r>
    </w:p>
    <w:p w:rsidR="002E051C" w:rsidRPr="003145F3" w:rsidRDefault="002E051C" w:rsidP="00E646C9">
      <w:pPr>
        <w:pStyle w:val="ListParagraph"/>
        <w:numPr>
          <w:ilvl w:val="0"/>
          <w:numId w:val="111"/>
        </w:numPr>
        <w:ind w:left="360"/>
      </w:pPr>
      <w:r w:rsidRPr="003145F3">
        <w:t xml:space="preserve">About 84% of all homes built by surveyed builders received a rebate through the </w:t>
      </w:r>
      <w:r w:rsidR="00971E73" w:rsidRPr="003145F3">
        <w:t>SBR</w:t>
      </w:r>
      <w:r w:rsidRPr="003145F3">
        <w:t xml:space="preserve">, which indicates there is little room for increasing ENERGY STAR home market penetration among participating builders. Currently, the program’s PY7 market penetration ranges from 1% to 14% across counties in PECO’s territory. </w:t>
      </w:r>
    </w:p>
    <w:p w:rsidR="002E051C" w:rsidRPr="003145F3" w:rsidRDefault="002E051C" w:rsidP="00E646C9">
      <w:pPr>
        <w:pStyle w:val="ListParagraph"/>
        <w:numPr>
          <w:ilvl w:val="0"/>
          <w:numId w:val="111"/>
        </w:numPr>
        <w:ind w:left="360"/>
      </w:pPr>
      <w:r w:rsidRPr="003145F3">
        <w:t>The implementer’s outreach in PY6 and PY7 suggests that incentive amounts for ENERGY STAR homes are not sufficient to overcome cost barriers to participation.</w:t>
      </w:r>
    </w:p>
    <w:p w:rsidR="002E051C" w:rsidRPr="003145F3" w:rsidRDefault="002E051C" w:rsidP="00E646C9">
      <w:pPr>
        <w:pStyle w:val="ListParagraph"/>
        <w:numPr>
          <w:ilvl w:val="0"/>
          <w:numId w:val="111"/>
        </w:numPr>
        <w:ind w:left="360"/>
      </w:pPr>
      <w:r w:rsidRPr="003145F3">
        <w:t>Five of seven builders expected their program activity to increase or remain the same in PY8; two builders expected a decrease in program activity in PY8 due to limited construction activity in PECO’s territory.</w:t>
      </w:r>
    </w:p>
    <w:p w:rsidR="002E051C" w:rsidRPr="002E051C" w:rsidRDefault="002E051C" w:rsidP="002E051C">
      <w:pPr>
        <w:ind w:left="720"/>
        <w:contextualSpacing/>
        <w:rPr>
          <w:rFonts w:cs="Calibri"/>
          <w:color w:val="000000"/>
          <w:szCs w:val="20"/>
        </w:rPr>
      </w:pPr>
    </w:p>
    <w:p w:rsidR="002E051C" w:rsidRPr="002E051C" w:rsidRDefault="002E051C" w:rsidP="007B2E72">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 xml:space="preserve">Navigant completed all the PY7 activities listed in the evaluation plan. </w:t>
      </w:r>
    </w:p>
    <w:p w:rsidR="002E051C" w:rsidRPr="002E051C" w:rsidRDefault="002E051C" w:rsidP="002E051C"/>
    <w:p w:rsidR="002E051C" w:rsidRPr="002E051C" w:rsidRDefault="002E051C" w:rsidP="002E051C">
      <w:r w:rsidRPr="002E051C">
        <w:t>None of the data-collection activities in PY7 required sampling.</w:t>
      </w:r>
    </w:p>
    <w:p w:rsidR="002E051C" w:rsidRPr="002E051C" w:rsidRDefault="002E051C" w:rsidP="002E051C"/>
    <w:p w:rsidR="002E051C" w:rsidRPr="002E051C" w:rsidRDefault="002E051C" w:rsidP="002E051C">
      <w:r w:rsidRPr="002E051C">
        <w:t xml:space="preserve">The SWE Team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w:t>
      </w:r>
    </w:p>
    <w:p w:rsidR="002E051C" w:rsidRPr="002E051C" w:rsidRDefault="002E051C" w:rsidP="002E051C"/>
    <w:p w:rsidR="002E051C" w:rsidRPr="002E051C" w:rsidRDefault="002E051C" w:rsidP="002E051C">
      <w:r w:rsidRPr="002E051C">
        <w:t>Overall, the process evaluation discussion was succinct and highlighted findings that should be of value to the administrator and implementer. The recommendations were clear and actionable. Recommendations were drawn from key findings rather than from conclusions.</w:t>
      </w:r>
    </w:p>
    <w:p w:rsidR="002E051C" w:rsidRPr="002E051C" w:rsidRDefault="002E051C" w:rsidP="002E051C"/>
    <w:p w:rsidR="002E051C" w:rsidRPr="002E051C" w:rsidRDefault="002E051C" w:rsidP="007B2E72">
      <w:pPr>
        <w:pStyle w:val="AppendixBHeading3"/>
      </w:pPr>
      <w:bookmarkStart w:id="1417" w:name="_Ref473629499"/>
      <w:r w:rsidRPr="002E051C">
        <w:t>Smart A/C Saver (SACS) Program – Residential</w:t>
      </w:r>
      <w:bookmarkEnd w:id="1417"/>
    </w:p>
    <w:p w:rsidR="002E051C" w:rsidRPr="002E051C" w:rsidRDefault="002E051C" w:rsidP="007B2E72">
      <w:pPr>
        <w:pStyle w:val="AppendixBHeading4"/>
        <w:rPr>
          <w:rFonts w:eastAsiaTheme="minorHAnsi"/>
        </w:rPr>
      </w:pPr>
      <w:r w:rsidRPr="002E051C">
        <w:rPr>
          <w:rFonts w:eastAsiaTheme="minorHAnsi"/>
        </w:rPr>
        <w:t>Brief Overview of the Program and Its Success</w:t>
      </w:r>
    </w:p>
    <w:p w:rsidR="002E051C" w:rsidRPr="002E051C" w:rsidRDefault="002E051C" w:rsidP="002E051C">
      <w:r w:rsidRPr="002E051C">
        <w:t xml:space="preserve">In the </w:t>
      </w:r>
      <w:r w:rsidRPr="002E051C">
        <w:rPr>
          <w:rFonts w:asciiTheme="minorHAnsi" w:hAnsiTheme="minorHAnsi"/>
        </w:rPr>
        <w:t>residential</w:t>
      </w:r>
      <w:r w:rsidRPr="002E051C">
        <w:t xml:space="preserve"> </w:t>
      </w:r>
      <w:r w:rsidRPr="002E051C">
        <w:rPr>
          <w:rFonts w:asciiTheme="minorHAnsi" w:hAnsiTheme="minorHAnsi"/>
        </w:rPr>
        <w:t xml:space="preserve">SACS </w:t>
      </w:r>
      <w:r w:rsidRPr="002E051C">
        <w:t>Program, PECO remotely shuts down a customer’s central air-conditioning unit on short notice during conservation event days that coincide with the highest peak demand. In return, participants receive financial incentives for allowing PECO to control their equipment. The program experienced a small drop in participation in PY7, amounting to approximately 5.5%. Total verified gross savings were 40.5 MW for the residential SACS Program in PY7. There are no energy savings goals for this program.</w:t>
      </w:r>
    </w:p>
    <w:p w:rsidR="002E051C" w:rsidRPr="002E051C" w:rsidRDefault="002E051C" w:rsidP="002E051C"/>
    <w:p w:rsidR="002E051C" w:rsidRPr="002E051C" w:rsidRDefault="002E051C" w:rsidP="007B2E72">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 xml:space="preserve">Navigant conducted an in-depth interview with the program manager, a phone survey with program participants (n=70), and a review of program data and marketing materials. Based on these data, four key findings emerged: </w:t>
      </w:r>
    </w:p>
    <w:p w:rsidR="002E051C" w:rsidRPr="003145F3" w:rsidRDefault="002E051C" w:rsidP="00E646C9">
      <w:pPr>
        <w:pStyle w:val="ListParagraph"/>
        <w:numPr>
          <w:ilvl w:val="0"/>
          <w:numId w:val="112"/>
        </w:numPr>
        <w:ind w:left="360"/>
      </w:pPr>
      <w:r w:rsidRPr="003145F3">
        <w:t>Navigant received insufficient advanced metering infrastructure data for the level of analysis needed in PY8 and beyond.</w:t>
      </w:r>
    </w:p>
    <w:p w:rsidR="002E051C" w:rsidRPr="003145F3" w:rsidRDefault="002E051C" w:rsidP="00E646C9">
      <w:pPr>
        <w:pStyle w:val="ListParagraph"/>
        <w:numPr>
          <w:ilvl w:val="0"/>
          <w:numId w:val="112"/>
        </w:numPr>
        <w:ind w:left="360"/>
      </w:pPr>
      <w:r w:rsidRPr="003145F3">
        <w:t>Over 90% of surveyed participants (n=70) reported high satisfaction with the program (rating of 4 or 5 on a scale of 1–5). High satisfaction may be related to high incentive and low frequency of conservation events in PY7.</w:t>
      </w:r>
    </w:p>
    <w:p w:rsidR="002E051C" w:rsidRPr="003145F3" w:rsidRDefault="002E051C" w:rsidP="00E646C9">
      <w:pPr>
        <w:pStyle w:val="ListParagraph"/>
        <w:numPr>
          <w:ilvl w:val="0"/>
          <w:numId w:val="112"/>
        </w:numPr>
        <w:ind w:left="360"/>
      </w:pPr>
      <w:r w:rsidRPr="003145F3">
        <w:t>Two-thirds of surveyed participants reported “don’t know” when asked how many events they experienced in PY7. Those who reported a number of events provided various estimates, ranging from 1 to 11. PECO called only one event in PY7. Collectively, these findings indicate that participants are not aware of events.</w:t>
      </w:r>
    </w:p>
    <w:p w:rsidR="002E051C" w:rsidRPr="003145F3" w:rsidRDefault="002E051C" w:rsidP="00E646C9">
      <w:pPr>
        <w:pStyle w:val="ListParagraph"/>
        <w:numPr>
          <w:ilvl w:val="0"/>
          <w:numId w:val="112"/>
        </w:numPr>
        <w:ind w:left="360"/>
      </w:pPr>
      <w:r w:rsidRPr="003145F3">
        <w:t>Surveyed participants noted that they are motivated by the incentive to participate, and more than one-third noted they would not participate if the incentives were cut by half.  However, participants have not dropped out to date. A similar pattern was observed in PY4 and PY5; participants reported unwillingness to accept a lower incentive. However, when the incentive dropped from $120 per summer to $80 per summer, very few participants dropped out of the program.</w:t>
      </w:r>
    </w:p>
    <w:p w:rsidR="002E051C" w:rsidRPr="002E051C" w:rsidRDefault="002E051C" w:rsidP="002E051C">
      <w:r w:rsidRPr="002E051C">
        <w:t xml:space="preserve"> </w:t>
      </w:r>
    </w:p>
    <w:p w:rsidR="002E051C" w:rsidRPr="002E051C" w:rsidRDefault="002E051C" w:rsidP="007B2E72">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 xml:space="preserve">Navigant completed all the PY7 activities listed in the evaluation plan. </w:t>
      </w:r>
    </w:p>
    <w:p w:rsidR="002E051C" w:rsidRPr="002E051C" w:rsidRDefault="002E051C" w:rsidP="002E051C"/>
    <w:p w:rsidR="002E051C" w:rsidRPr="002E051C" w:rsidRDefault="002E051C" w:rsidP="002E051C">
      <w:r w:rsidRPr="002E051C">
        <w:t xml:space="preserve">For the data-collection task requiring sampling, the SWE Team determined that the sampling approach yielded an adequate sample and the report incorporated the required table showing the sampling strategy. Navigant used a random sampling approach for the participant survey. The sample provided 85/15 confidence/precision.   </w:t>
      </w:r>
    </w:p>
    <w:p w:rsidR="002E051C" w:rsidRPr="002E051C" w:rsidRDefault="002E051C" w:rsidP="002E051C"/>
    <w:p w:rsidR="002E051C" w:rsidRPr="002E051C" w:rsidRDefault="002E051C" w:rsidP="002E051C">
      <w:r w:rsidRPr="002E051C">
        <w:t xml:space="preserve">The SWE Team determined that the reporting followed the SWE guidelines. The annual report included descriptions of the methods and a summary of key findings and recommendations. The report included sufficient detail for the SWE Team (and other readers) to assess the methods and findings. </w:t>
      </w:r>
    </w:p>
    <w:p w:rsidR="002E051C" w:rsidRPr="002E051C" w:rsidRDefault="002E051C" w:rsidP="002E051C"/>
    <w:p w:rsidR="002E051C" w:rsidRPr="002E051C" w:rsidRDefault="002E051C" w:rsidP="002E051C">
      <w:r w:rsidRPr="002E051C">
        <w:t>Overall, the process evaluation discussion was succinct and highlighted findings that should be of value to the administrator and implementer. The recommendations were clear and actionable. Recommendations were drawn from key findings rather than from conclusions.</w:t>
      </w:r>
    </w:p>
    <w:p w:rsidR="002E051C" w:rsidRPr="002E051C" w:rsidRDefault="002E051C" w:rsidP="002E051C"/>
    <w:p w:rsidR="002E051C" w:rsidRPr="002E051C" w:rsidRDefault="002E051C" w:rsidP="007B2E72">
      <w:pPr>
        <w:pStyle w:val="AppendixBHeading3"/>
      </w:pPr>
      <w:bookmarkStart w:id="1418" w:name="_Ref473629455"/>
      <w:r w:rsidRPr="002E051C">
        <w:t>Smart Multi</w:t>
      </w:r>
      <w:r w:rsidR="009F1E9A">
        <w:t>f</w:t>
      </w:r>
      <w:r w:rsidRPr="002E051C">
        <w:t>amily (SMF) Solutions Program</w:t>
      </w:r>
      <w:bookmarkEnd w:id="1418"/>
    </w:p>
    <w:p w:rsidR="002E051C" w:rsidRPr="002E051C" w:rsidRDefault="002E051C" w:rsidP="002E051C">
      <w:r w:rsidRPr="002E051C">
        <w:t>Since energy savings from this program come from both residential and non-residential sectors, the SWE Team discusses this program under both the residential and non-residential program sections in this appendix.</w:t>
      </w:r>
    </w:p>
    <w:p w:rsidR="002E051C" w:rsidRPr="002E051C" w:rsidRDefault="002E051C" w:rsidP="002E051C"/>
    <w:p w:rsidR="002E051C" w:rsidRPr="002E051C" w:rsidRDefault="002E051C" w:rsidP="007B2E72">
      <w:pPr>
        <w:pStyle w:val="AppendixBHeading4"/>
        <w:rPr>
          <w:rFonts w:eastAsiaTheme="minorHAnsi"/>
        </w:rPr>
      </w:pPr>
      <w:r w:rsidRPr="002E051C">
        <w:rPr>
          <w:rFonts w:eastAsiaTheme="minorHAnsi"/>
        </w:rPr>
        <w:t>Brief Overview of the Program and Its Success</w:t>
      </w:r>
    </w:p>
    <w:p w:rsidR="002E051C" w:rsidRPr="002E051C" w:rsidRDefault="002E051C" w:rsidP="002E051C">
      <w:r w:rsidRPr="002E051C">
        <w:t>The purpose of the SMF Solutions Program is to increase awareness of energy savings opportunities in multifamily buildings and to assist multifamily residents and building owners and managers in acting on those opportunities. The program is designed for both multifamily property owners and multifamily customers. This program offers two paths to participation. The direct-install path offers cost-free CFLs, low-flow showerheads, and low-flow faucet aerators for apartment units, condos, and common areas. The prescriptive path offers incentives to multifamily landlords who install high-efficiency equipment in common areas. Total verified gross energy and demand savings were 1,867 MWh/yr and 0.3 MW, respectively, for the residential SMF Solutions Program in PY7.</w:t>
      </w:r>
    </w:p>
    <w:p w:rsidR="00A83E08" w:rsidRPr="002E051C" w:rsidRDefault="00A83E08" w:rsidP="002E051C"/>
    <w:p w:rsidR="002E051C" w:rsidRPr="002E051C" w:rsidRDefault="002E051C" w:rsidP="007B2E72">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Navigant conducted in-depth interviews with the program manager and implementer and surveyed 48 program participants. Based on these data, five key findings emerged:</w:t>
      </w:r>
    </w:p>
    <w:p w:rsidR="002E051C" w:rsidRPr="003145F3" w:rsidRDefault="002E051C" w:rsidP="00E646C9">
      <w:pPr>
        <w:pStyle w:val="ListParagraph"/>
        <w:numPr>
          <w:ilvl w:val="0"/>
          <w:numId w:val="113"/>
        </w:numPr>
        <w:ind w:left="360"/>
      </w:pPr>
      <w:r w:rsidRPr="003145F3">
        <w:t xml:space="preserve">Free-ridership levels in PY7 increased significantly over PY6 (from 0.17 to 0.38 in the non-residential sector and from 0.25 to 0.43 in the residential sector). Since the majority of energy savings are from direct-install CFLs (72% of gross reported energy savings in PY7), participants generally stated that they would have installed CFLs, even without the program. </w:t>
      </w:r>
    </w:p>
    <w:p w:rsidR="002E051C" w:rsidRPr="003145F3" w:rsidRDefault="002E051C" w:rsidP="00E646C9">
      <w:pPr>
        <w:pStyle w:val="ListParagraph"/>
        <w:numPr>
          <w:ilvl w:val="0"/>
          <w:numId w:val="113"/>
        </w:numPr>
        <w:ind w:left="360"/>
      </w:pPr>
      <w:r w:rsidRPr="003145F3">
        <w:t>The majority of participants (71%) were contacted directly by the implementer. Among landlords, 19% reported learning about the program by word of mouth. These findings are consistent with the marketing efforts discussed with the program manager and implementer, who reported a large direct-mail and cold-call effort to reach out to potential landlords.</w:t>
      </w:r>
    </w:p>
    <w:p w:rsidR="002E051C" w:rsidRPr="003145F3" w:rsidRDefault="002E051C" w:rsidP="00E646C9">
      <w:pPr>
        <w:pStyle w:val="ListParagraph"/>
        <w:numPr>
          <w:ilvl w:val="0"/>
          <w:numId w:val="113"/>
        </w:numPr>
        <w:ind w:left="360"/>
      </w:pPr>
      <w:r w:rsidRPr="003145F3">
        <w:t xml:space="preserve">Only 46% of landlords recalled receiving a list of incentivized energy efficiency equipment recommended through the program. </w:t>
      </w:r>
    </w:p>
    <w:p w:rsidR="002E051C" w:rsidRPr="003145F3" w:rsidRDefault="002E051C" w:rsidP="00E646C9">
      <w:pPr>
        <w:pStyle w:val="ListParagraph"/>
        <w:numPr>
          <w:ilvl w:val="0"/>
          <w:numId w:val="113"/>
        </w:numPr>
        <w:ind w:left="360"/>
      </w:pPr>
      <w:r w:rsidRPr="003145F3">
        <w:t>The majority of landlords were not aware of or able to recall incentivized offerings through the program’s prescriptive channel. Additionally, only 50% of landlords recalled receiving an audit report as part of the direct-install project, and 25% of those reported that the program representative did not review the report with them.</w:t>
      </w:r>
    </w:p>
    <w:p w:rsidR="002E051C" w:rsidRPr="003145F3" w:rsidRDefault="002E051C" w:rsidP="00E646C9">
      <w:pPr>
        <w:pStyle w:val="ListParagraph"/>
        <w:numPr>
          <w:ilvl w:val="0"/>
          <w:numId w:val="113"/>
        </w:numPr>
        <w:ind w:left="360"/>
      </w:pPr>
      <w:r w:rsidRPr="003145F3">
        <w:t>Participants (both landlords and tenants) generally noted a high degree of satisfaction with the program.</w:t>
      </w:r>
    </w:p>
    <w:p w:rsidR="002E051C" w:rsidRPr="002E051C" w:rsidRDefault="002E051C" w:rsidP="002E051C">
      <w:pPr>
        <w:autoSpaceDE w:val="0"/>
        <w:autoSpaceDN w:val="0"/>
        <w:adjustRightInd w:val="0"/>
        <w:jc w:val="left"/>
        <w:rPr>
          <w:rFonts w:cs="Calibri"/>
          <w:color w:val="000000"/>
        </w:rPr>
      </w:pPr>
    </w:p>
    <w:p w:rsidR="002E051C" w:rsidRPr="002E051C" w:rsidRDefault="002E051C" w:rsidP="007B2E72">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 xml:space="preserve">Navigant completed all the PY7 activities listed in the evaluation plan. </w:t>
      </w:r>
    </w:p>
    <w:p w:rsidR="002E051C" w:rsidRPr="002E051C" w:rsidRDefault="002E051C" w:rsidP="002E051C"/>
    <w:p w:rsidR="002E051C" w:rsidRPr="002E051C" w:rsidRDefault="002E051C" w:rsidP="002E051C">
      <w:r w:rsidRPr="002E051C">
        <w:t>For the data-collection task requiring sampling, the SWE Team determined that the sampling approach followed the approved sampling plan and the report incorporated the required tables showing the sampling strategy. Navigant used a stratified random sampling approach for the participant survey, focusing on strata defined by unit project size. Navigant achieved sample sizes that provided 85/15 confidence/precision per overall program and sector.</w:t>
      </w:r>
    </w:p>
    <w:p w:rsidR="002E051C" w:rsidRPr="002E051C" w:rsidRDefault="002E051C" w:rsidP="002E051C"/>
    <w:p w:rsidR="002E051C" w:rsidRPr="002E051C" w:rsidRDefault="002E051C" w:rsidP="002E051C">
      <w:r w:rsidRPr="002E051C">
        <w:t xml:space="preserve">The SWE Team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However, the reporting lacked conclusions, which affected how recommendations were developed. Recommendations were drawn from key findings rather than from conclusions. </w:t>
      </w:r>
    </w:p>
    <w:p w:rsidR="002E051C" w:rsidRPr="002E051C" w:rsidRDefault="002E051C" w:rsidP="002E051C"/>
    <w:p w:rsidR="002E051C" w:rsidRPr="002E051C" w:rsidRDefault="002E051C" w:rsidP="002E051C">
      <w:pPr>
        <w:autoSpaceDE w:val="0"/>
        <w:autoSpaceDN w:val="0"/>
        <w:adjustRightInd w:val="0"/>
        <w:jc w:val="left"/>
      </w:pPr>
      <w:r w:rsidRPr="002E051C">
        <w:t>Overall, the process evaluation discussion was succinct and highlighted findings that should be of value to the administrator and implementer. The recommendations were clear and actionable and supported by findings.</w:t>
      </w:r>
    </w:p>
    <w:p w:rsidR="002E051C" w:rsidRPr="002E051C" w:rsidRDefault="002E051C" w:rsidP="002E051C"/>
    <w:p w:rsidR="002E051C" w:rsidRPr="002E051C" w:rsidRDefault="002E051C" w:rsidP="007B2E72">
      <w:pPr>
        <w:pStyle w:val="AppendixBHeading2"/>
      </w:pPr>
      <w:r w:rsidRPr="002E051C">
        <w:t>Low-Income Programs</w:t>
      </w:r>
    </w:p>
    <w:p w:rsidR="002E051C" w:rsidRPr="002E051C" w:rsidRDefault="002E051C" w:rsidP="007B2E72">
      <w:pPr>
        <w:pStyle w:val="AppendixBHeading3"/>
      </w:pPr>
      <w:r w:rsidRPr="002E051C">
        <w:t>Low-Income Energy Efficiency Program (LEEP)</w:t>
      </w:r>
    </w:p>
    <w:p w:rsidR="002E051C" w:rsidRPr="002E051C" w:rsidRDefault="002E051C" w:rsidP="007B2E72">
      <w:pPr>
        <w:pStyle w:val="AppendixBHeading4"/>
      </w:pPr>
      <w:r w:rsidRPr="002E051C">
        <w:t>Brief Overview of the Program and Its Success</w:t>
      </w:r>
    </w:p>
    <w:p w:rsidR="002E051C" w:rsidRPr="002E051C" w:rsidRDefault="002E051C" w:rsidP="003145F3">
      <w:pPr>
        <w:spacing w:after="120"/>
      </w:pPr>
      <w:r w:rsidRPr="002E051C">
        <w:t>LEEP provides income-eligible customers with a variety of measures intended to reduce their electricity bills. There are four LEEP components and associated target markets:</w:t>
      </w:r>
    </w:p>
    <w:p w:rsidR="002E051C" w:rsidRPr="003145F3" w:rsidRDefault="002E051C" w:rsidP="00E646C9">
      <w:pPr>
        <w:pStyle w:val="ListParagraph"/>
        <w:numPr>
          <w:ilvl w:val="0"/>
          <w:numId w:val="114"/>
        </w:numPr>
        <w:ind w:left="360"/>
        <w:rPr>
          <w:rFonts w:eastAsiaTheme="minorHAnsi"/>
        </w:rPr>
      </w:pPr>
      <w:r w:rsidRPr="003145F3">
        <w:rPr>
          <w:rFonts w:eastAsiaTheme="minorHAnsi"/>
        </w:rPr>
        <w:t>Market for component 1: Residential customers with a household income at or below 150% of the Federal Poverty Line (FPL), plus LEEP requirement of household usage levels that exceed a monthly average of 600 kWh for electric baseload for non-electric-heating customers, 500 kWh for CAP customers, and 1</w:t>
      </w:r>
      <w:r w:rsidR="00971E73" w:rsidRPr="003145F3">
        <w:rPr>
          <w:rFonts w:eastAsiaTheme="minorHAnsi"/>
        </w:rPr>
        <w:t>,</w:t>
      </w:r>
      <w:r w:rsidRPr="003145F3">
        <w:rPr>
          <w:rFonts w:eastAsiaTheme="minorHAnsi"/>
        </w:rPr>
        <w:t xml:space="preserve">400 kWh for electric-heating customers </w:t>
      </w:r>
    </w:p>
    <w:p w:rsidR="002E051C" w:rsidRPr="003145F3" w:rsidRDefault="002E051C" w:rsidP="00E646C9">
      <w:pPr>
        <w:pStyle w:val="ListParagraph"/>
        <w:numPr>
          <w:ilvl w:val="0"/>
          <w:numId w:val="114"/>
        </w:numPr>
        <w:ind w:left="360"/>
        <w:rPr>
          <w:rFonts w:eastAsiaTheme="minorHAnsi"/>
        </w:rPr>
      </w:pPr>
      <w:r w:rsidRPr="003145F3">
        <w:rPr>
          <w:rFonts w:eastAsiaTheme="minorHAnsi"/>
        </w:rPr>
        <w:t xml:space="preserve">Market for component 2: Customers who participate in PECO’s LIURP during PY5–PY7 </w:t>
      </w:r>
    </w:p>
    <w:p w:rsidR="002E051C" w:rsidRPr="003145F3" w:rsidRDefault="002E051C" w:rsidP="00E646C9">
      <w:pPr>
        <w:pStyle w:val="ListParagraph"/>
        <w:numPr>
          <w:ilvl w:val="0"/>
          <w:numId w:val="114"/>
        </w:numPr>
        <w:ind w:left="360"/>
        <w:rPr>
          <w:rFonts w:eastAsiaTheme="minorHAnsi"/>
        </w:rPr>
      </w:pPr>
      <w:r w:rsidRPr="003145F3">
        <w:rPr>
          <w:rFonts w:eastAsiaTheme="minorHAnsi"/>
        </w:rPr>
        <w:t>Market for component 3: Residential customers with a household income at or below 150% of the FPL participating in community events for low-income residents</w:t>
      </w:r>
    </w:p>
    <w:p w:rsidR="002E051C" w:rsidRPr="003145F3" w:rsidRDefault="002E051C" w:rsidP="00E646C9">
      <w:pPr>
        <w:pStyle w:val="ListParagraph"/>
        <w:numPr>
          <w:ilvl w:val="0"/>
          <w:numId w:val="114"/>
        </w:numPr>
        <w:ind w:left="360"/>
      </w:pPr>
      <w:r w:rsidRPr="003145F3">
        <w:rPr>
          <w:rFonts w:eastAsiaTheme="minorHAnsi"/>
        </w:rPr>
        <w:t>Market for component 4: Residential customers, homeowners, and/or tenants with a household income at or below 150% of the FPL who do not meet the LEEP usage requirement for weatherization services under components 1 and 2 above</w:t>
      </w:r>
    </w:p>
    <w:p w:rsidR="002E051C" w:rsidRPr="002E051C" w:rsidRDefault="002E051C" w:rsidP="002E051C"/>
    <w:p w:rsidR="002E051C" w:rsidRPr="002E051C" w:rsidRDefault="002E051C" w:rsidP="002E051C">
      <w:r w:rsidRPr="002E051C">
        <w:t xml:space="preserve">In PY7, PECO made two changes to the program: insulation services were expanded to floors, and requirements for refrigerator replacement were increased. </w:t>
      </w:r>
      <w:r w:rsidRPr="002E051C">
        <w:rPr>
          <w:rFonts w:cs="Calibri"/>
        </w:rPr>
        <w:t>The latter reduced eligible participants from 45% of PY6 customers to 15% of PY7 customers.</w:t>
      </w:r>
      <w:r w:rsidRPr="002E051C">
        <w:t xml:space="preserve"> Total verified gross annual energy and demand savings were 18,304 MWh/yr and 2.4 MW, respectively, for the LEEP in PY7. </w:t>
      </w:r>
    </w:p>
    <w:p w:rsidR="002E051C" w:rsidRPr="002E051C" w:rsidRDefault="002E051C" w:rsidP="002E051C"/>
    <w:p w:rsidR="002E051C" w:rsidRPr="002E051C" w:rsidRDefault="002E051C" w:rsidP="007B2E72">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Navigant conducted 90 surveys with program participants in components 1, 2, and 4 and 19 site visits with participants in component 1. It also reviewed program materials and conducted in-depth interviews with the program manager and implementer. Based on these data, five key findings emerged:</w:t>
      </w:r>
    </w:p>
    <w:p w:rsidR="002E051C" w:rsidRPr="003145F3" w:rsidRDefault="002E051C" w:rsidP="00E646C9">
      <w:pPr>
        <w:pStyle w:val="ListParagraph"/>
        <w:numPr>
          <w:ilvl w:val="0"/>
          <w:numId w:val="115"/>
        </w:numPr>
        <w:ind w:left="360"/>
      </w:pPr>
      <w:r w:rsidRPr="003145F3">
        <w:t>The majority of participants (89%) stated that they were extremely satisfied with the program. A small number expressed dissatisfaction; these cases were due primarily to customer misunderstandings of schedules and project next steps.</w:t>
      </w:r>
    </w:p>
    <w:p w:rsidR="002E051C" w:rsidRPr="003145F3" w:rsidRDefault="002E051C" w:rsidP="00E646C9">
      <w:pPr>
        <w:pStyle w:val="ListParagraph"/>
        <w:numPr>
          <w:ilvl w:val="0"/>
          <w:numId w:val="115"/>
        </w:numPr>
        <w:ind w:left="360"/>
        <w:rPr>
          <w:rFonts w:eastAsiaTheme="minorHAnsi"/>
        </w:rPr>
      </w:pPr>
      <w:r w:rsidRPr="003145F3">
        <w:t xml:space="preserve">CFL socket saturation was increased in the low-income community. Prior participant surveys revealed that the first-year CFL </w:t>
      </w:r>
      <w:r w:rsidR="00971E73" w:rsidRPr="003145F3">
        <w:t>ISR</w:t>
      </w:r>
      <w:r w:rsidRPr="003145F3">
        <w:t xml:space="preserve"> for component 3 participants fell in PY6 compared with PY4 and PY5. The PY7 survey indicates that the </w:t>
      </w:r>
      <w:r w:rsidR="00971E73" w:rsidRPr="003145F3">
        <w:t>ISR</w:t>
      </w:r>
      <w:r w:rsidRPr="003145F3">
        <w:t xml:space="preserve"> increased slightly. Also, 57% of participants no longer had incandescent bulbs in their homes, and 60% of replaced bulbs were incandescent.</w:t>
      </w:r>
    </w:p>
    <w:p w:rsidR="002E051C" w:rsidRPr="003145F3" w:rsidRDefault="002E051C" w:rsidP="00E646C9">
      <w:pPr>
        <w:pStyle w:val="ListParagraph"/>
        <w:numPr>
          <w:ilvl w:val="0"/>
          <w:numId w:val="115"/>
        </w:numPr>
        <w:ind w:left="360"/>
        <w:rPr>
          <w:rFonts w:eastAsiaTheme="minorHAnsi"/>
        </w:rPr>
      </w:pPr>
      <w:r w:rsidRPr="003145F3">
        <w:t xml:space="preserve">While participants who recalled the educational materials rated them as useful, the materials did not provide customers with prioritized next steps or a clear call to action. A majority of component 3 survey respondents reported that they did not receive, or could not remember receiving, the materials. </w:t>
      </w:r>
    </w:p>
    <w:p w:rsidR="002E051C" w:rsidRPr="003145F3" w:rsidRDefault="002E051C" w:rsidP="00E646C9">
      <w:pPr>
        <w:pStyle w:val="ListParagraph"/>
        <w:numPr>
          <w:ilvl w:val="0"/>
          <w:numId w:val="115"/>
        </w:numPr>
        <w:ind w:left="360"/>
        <w:rPr>
          <w:rFonts w:eastAsiaTheme="minorHAnsi"/>
        </w:rPr>
      </w:pPr>
      <w:r w:rsidRPr="003145F3">
        <w:t xml:space="preserve">LEEP comprehensive program (components 1 and 2) outreach is targeted to PECO customers on the CAP rate tariff. While LEEP is reaching some customers with critical needs, defining customers through the CAP rate tariff alone has the potential to miss eligible customers. </w:t>
      </w:r>
    </w:p>
    <w:p w:rsidR="002E051C" w:rsidRPr="003145F3" w:rsidRDefault="002E051C" w:rsidP="00E646C9">
      <w:pPr>
        <w:pStyle w:val="ListParagraph"/>
        <w:numPr>
          <w:ilvl w:val="0"/>
          <w:numId w:val="115"/>
        </w:numPr>
        <w:ind w:left="360"/>
        <w:rPr>
          <w:rFonts w:eastAsiaTheme="minorHAnsi"/>
        </w:rPr>
      </w:pPr>
      <w:r w:rsidRPr="003145F3">
        <w:t>The majority of LEEP customers (55%) are served through component 3 (free CFL giveaways).</w:t>
      </w:r>
    </w:p>
    <w:p w:rsidR="002E051C" w:rsidRPr="002E051C" w:rsidRDefault="002E051C" w:rsidP="002E051C">
      <w:pPr>
        <w:autoSpaceDE w:val="0"/>
        <w:autoSpaceDN w:val="0"/>
        <w:adjustRightInd w:val="0"/>
        <w:ind w:left="720"/>
        <w:contextualSpacing/>
        <w:jc w:val="left"/>
        <w:rPr>
          <w:rFonts w:eastAsiaTheme="minorHAnsi"/>
          <w:szCs w:val="20"/>
        </w:rPr>
      </w:pPr>
    </w:p>
    <w:p w:rsidR="002E051C" w:rsidRPr="002E051C" w:rsidRDefault="002E051C" w:rsidP="007B2E72">
      <w:pPr>
        <w:pStyle w:val="AppendixBHeading4"/>
        <w:rPr>
          <w:rFonts w:eastAsiaTheme="minorHAnsi"/>
        </w:rPr>
      </w:pPr>
      <w:r w:rsidRPr="002E051C">
        <w:rPr>
          <w:rFonts w:eastAsiaTheme="minorHAnsi"/>
        </w:rPr>
        <w:t>Summary of the Process Evaluation Audit</w:t>
      </w:r>
    </w:p>
    <w:p w:rsidR="002E051C" w:rsidRPr="003145F3" w:rsidRDefault="002E051C" w:rsidP="003145F3">
      <w:r w:rsidRPr="003145F3">
        <w:t xml:space="preserve">Navigant completed all the PY7 activities listed in the evaluation plan. </w:t>
      </w:r>
    </w:p>
    <w:p w:rsidR="002E051C" w:rsidRPr="003145F3" w:rsidRDefault="002E051C" w:rsidP="003145F3"/>
    <w:p w:rsidR="002E051C" w:rsidRPr="003145F3" w:rsidRDefault="002E051C" w:rsidP="003145F3">
      <w:r w:rsidRPr="003145F3">
        <w:t xml:space="preserve">For the data-collection task requiring sampling, the SWE Team determined that the sampling approach followed the approved sampling plan and the report incorporated the required tables showing the sampling strategy. Navigant used a stratified random sampling approach for the participant survey, focusing on three strata: program components 1, 2, and 4. Navigant achieved sample sizes that provided 85/15 confidence/precision per stratum. </w:t>
      </w:r>
    </w:p>
    <w:p w:rsidR="002E051C" w:rsidRPr="003145F3" w:rsidRDefault="002E051C" w:rsidP="003145F3"/>
    <w:p w:rsidR="002E051C" w:rsidRPr="003145F3" w:rsidRDefault="002E051C" w:rsidP="003145F3">
      <w:r w:rsidRPr="003145F3">
        <w:t>The SWE Team also determined that the reporting followed the SWE’s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However, the reporting lacked conclusions, which affected how recommendations were developed. Recommendations were drawn from key findings rather than from conclusions.</w:t>
      </w:r>
    </w:p>
    <w:p w:rsidR="002E051C" w:rsidRPr="003145F3" w:rsidRDefault="002E051C" w:rsidP="003145F3"/>
    <w:p w:rsidR="002E051C" w:rsidRPr="003145F3" w:rsidRDefault="002E051C" w:rsidP="003145F3">
      <w:r w:rsidRPr="003145F3">
        <w:t>Overall, the process evaluation discussion was succinct and highlighted findings that should be of value to the administrator and implementer. The recommendations were clear and actionable and supported by findings.</w:t>
      </w:r>
    </w:p>
    <w:p w:rsidR="002E051C" w:rsidRPr="003145F3" w:rsidRDefault="002E051C" w:rsidP="003145F3"/>
    <w:p w:rsidR="003145F3" w:rsidRPr="002E051C" w:rsidRDefault="003145F3" w:rsidP="002E051C"/>
    <w:p w:rsidR="002E051C" w:rsidRPr="002E051C" w:rsidRDefault="002E051C" w:rsidP="007B2E72">
      <w:pPr>
        <w:pStyle w:val="AppendixBHeading2"/>
      </w:pPr>
      <w:r w:rsidRPr="002E051C">
        <w:t xml:space="preserve">Non-Residential Programs   </w:t>
      </w:r>
    </w:p>
    <w:p w:rsidR="002E051C" w:rsidRPr="003145F3" w:rsidRDefault="002E051C" w:rsidP="003145F3">
      <w:r w:rsidRPr="003145F3">
        <w:t xml:space="preserve">Navigant reported on process evaluations for six non-residential programs: </w:t>
      </w:r>
      <w:r w:rsidR="003145F3" w:rsidRPr="003145F3">
        <w:t>The</w:t>
      </w:r>
      <w:r w:rsidRPr="003145F3">
        <w:t xml:space="preserve"> Smart A/C Saver (SACS), Smart Equipment Incentives (SEI), Smart Construction Incentives (SCI), Smart Multifamily (SMF) Solutions, Smart On-Site (SOS), and Smart Business Solutions (SBS) programs.</w:t>
      </w:r>
    </w:p>
    <w:p w:rsidR="002E051C" w:rsidRPr="003145F3" w:rsidRDefault="002E051C" w:rsidP="003145F3"/>
    <w:p w:rsidR="002E051C" w:rsidRPr="003145F3" w:rsidRDefault="002E051C" w:rsidP="003145F3">
      <w:r w:rsidRPr="003145F3">
        <w:t xml:space="preserve">For the process evaluations of the above programs, Navigant reviewed program documents and databases; interviewed utility and implementation staff and staff of market actors affiliated with the program (contractors, distributors, and building science or design consultants); and surveyed program participants. The document and program data review informed identification of program goals, activities, and updates. The research issues addressed by the primary data-collection activities (in-depth interviews and surveys) varied among programs but generally included the effectiveness of program administration, implementation, and delivery, and customer and market actor program satisfaction, participation, challenges, and recommendations.  </w:t>
      </w:r>
    </w:p>
    <w:p w:rsidR="002E051C" w:rsidRPr="003145F3" w:rsidRDefault="002E051C" w:rsidP="003145F3"/>
    <w:p w:rsidR="002E051C" w:rsidRPr="003145F3" w:rsidRDefault="002E051C" w:rsidP="003145F3">
      <w:r w:rsidRPr="003145F3">
        <w:t>The depth of presentation of questions asked and feedback provided by Navigant in PECO’s PY7 annual report highlighted findings that are of value to the administrator and implementer.</w:t>
      </w:r>
    </w:p>
    <w:p w:rsidR="002E051C" w:rsidRPr="003145F3" w:rsidRDefault="002E051C" w:rsidP="003145F3"/>
    <w:p w:rsidR="002E051C" w:rsidRPr="003145F3" w:rsidRDefault="002E051C" w:rsidP="003145F3">
      <w:r w:rsidRPr="003145F3">
        <w:t>For each program, a brief program description, summary of the process evaluation findings, and review (audit) of the annual report follow below. The SWE Team notes one general comment about the findings, conclusions, and recommendations for the process evaluations of PECO programs: findings, conclusions, and recommendations were clear and actionable and supported by gathered data.</w:t>
      </w:r>
    </w:p>
    <w:p w:rsidR="002E051C" w:rsidRPr="002E051C" w:rsidRDefault="002E051C" w:rsidP="002E051C"/>
    <w:p w:rsidR="002E051C" w:rsidRPr="002E051C" w:rsidRDefault="002E051C" w:rsidP="007B2E72">
      <w:pPr>
        <w:pStyle w:val="AppendixBHeading3"/>
      </w:pPr>
      <w:r w:rsidRPr="002E051C">
        <w:t>Smart A/C Saver (SACS) Program – Commercial</w:t>
      </w:r>
    </w:p>
    <w:p w:rsidR="002E051C" w:rsidRPr="002E051C" w:rsidRDefault="002E051C" w:rsidP="007B2E72">
      <w:pPr>
        <w:pStyle w:val="AppendixBHeading4"/>
        <w:rPr>
          <w:rFonts w:eastAsiaTheme="minorHAnsi"/>
        </w:rPr>
      </w:pPr>
      <w:r w:rsidRPr="002E051C">
        <w:rPr>
          <w:rFonts w:eastAsiaTheme="minorHAnsi"/>
        </w:rPr>
        <w:t>Brief Overview of the Program and Its Success</w:t>
      </w:r>
    </w:p>
    <w:p w:rsidR="002E051C" w:rsidRPr="002E051C" w:rsidRDefault="002E051C" w:rsidP="003145F3">
      <w:pPr>
        <w:rPr>
          <w:rFonts w:cs="Calibri"/>
        </w:rPr>
      </w:pPr>
      <w:r w:rsidRPr="002E051C">
        <w:t xml:space="preserve">In the commercial </w:t>
      </w:r>
      <w:r w:rsidRPr="002E051C">
        <w:rPr>
          <w:rFonts w:asciiTheme="minorHAnsi" w:hAnsiTheme="minorHAnsi"/>
        </w:rPr>
        <w:t>SACS</w:t>
      </w:r>
      <w:r w:rsidRPr="002E051C">
        <w:t xml:space="preserve"> Program, PECO remotely shuts down a customer’s central air-conditioning unit on short notice </w:t>
      </w:r>
      <w:r w:rsidRPr="003145F3">
        <w:t>during</w:t>
      </w:r>
      <w:r w:rsidRPr="002E051C">
        <w:t xml:space="preserve"> conservation event days that coincide with the highest peak demand. In return, participants receive financial incentives for allowing PECO to control their equipment. </w:t>
      </w:r>
      <w:r w:rsidRPr="002E051C">
        <w:rPr>
          <w:rFonts w:cs="Calibri"/>
        </w:rPr>
        <w:t xml:space="preserve">In PY7, PECO had 3,063 active thermostats representing 1,686 participants. </w:t>
      </w:r>
    </w:p>
    <w:p w:rsidR="002E051C" w:rsidRPr="002E051C" w:rsidRDefault="002E051C" w:rsidP="002E051C">
      <w:pPr>
        <w:autoSpaceDE w:val="0"/>
        <w:autoSpaceDN w:val="0"/>
        <w:adjustRightInd w:val="0"/>
        <w:jc w:val="left"/>
      </w:pPr>
    </w:p>
    <w:p w:rsidR="002E051C" w:rsidRPr="002E051C" w:rsidRDefault="002E051C" w:rsidP="007B2E72">
      <w:pPr>
        <w:pStyle w:val="AppendixBHeading4"/>
        <w:rPr>
          <w:rFonts w:eastAsiaTheme="minorHAnsi"/>
        </w:rPr>
      </w:pPr>
      <w:r w:rsidRPr="002E051C">
        <w:rPr>
          <w:rFonts w:eastAsiaTheme="minorHAnsi"/>
        </w:rPr>
        <w:t>Summary of the Process Evaluation Findings</w:t>
      </w:r>
    </w:p>
    <w:p w:rsidR="002E051C" w:rsidRPr="002E051C" w:rsidRDefault="002E051C" w:rsidP="002E051C">
      <w:r w:rsidRPr="002E051C">
        <w:t>The findings are the same as those reported in</w:t>
      </w:r>
      <w:r w:rsidR="009F1E9A">
        <w:t xml:space="preserve"> Appendix </w:t>
      </w:r>
      <w:r w:rsidR="009F1E9A">
        <w:fldChar w:fldCharType="begin"/>
      </w:r>
      <w:r w:rsidR="009F1E9A">
        <w:instrText xml:space="preserve"> REF _Ref473629499 \r \h </w:instrText>
      </w:r>
      <w:r w:rsidR="009F1E9A">
        <w:fldChar w:fldCharType="separate"/>
      </w:r>
      <w:r w:rsidR="00C301D0">
        <w:t>B.6.1.7</w:t>
      </w:r>
      <w:r w:rsidR="009F1E9A">
        <w:fldChar w:fldCharType="end"/>
      </w:r>
      <w:r w:rsidRPr="002E051C">
        <w:t xml:space="preserve">. </w:t>
      </w:r>
    </w:p>
    <w:p w:rsidR="00A83E08" w:rsidRDefault="00A83E08" w:rsidP="002E051C"/>
    <w:p w:rsidR="002E051C" w:rsidRPr="002E051C" w:rsidRDefault="002E051C" w:rsidP="007B2E72">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 xml:space="preserve">The findings are the same as those reported in </w:t>
      </w:r>
      <w:r w:rsidR="009F1E9A">
        <w:t xml:space="preserve">Appendix </w:t>
      </w:r>
      <w:r w:rsidR="009F1E9A">
        <w:fldChar w:fldCharType="begin"/>
      </w:r>
      <w:r w:rsidR="009F1E9A">
        <w:instrText xml:space="preserve"> REF _Ref473629499 \r \h </w:instrText>
      </w:r>
      <w:r w:rsidR="009F1E9A">
        <w:fldChar w:fldCharType="separate"/>
      </w:r>
      <w:r w:rsidR="00C301D0">
        <w:t>B.6.1.7</w:t>
      </w:r>
      <w:r w:rsidR="009F1E9A">
        <w:fldChar w:fldCharType="end"/>
      </w:r>
      <w:r w:rsidRPr="002E051C">
        <w:t xml:space="preserve">. </w:t>
      </w:r>
    </w:p>
    <w:p w:rsidR="002E051C" w:rsidRPr="002E051C" w:rsidRDefault="002E051C" w:rsidP="002E051C"/>
    <w:p w:rsidR="002E051C" w:rsidRPr="002E051C" w:rsidRDefault="002E051C" w:rsidP="007B2E72">
      <w:pPr>
        <w:pStyle w:val="AppendixBHeading3"/>
      </w:pPr>
      <w:r w:rsidRPr="002E051C">
        <w:t>Smart Equipment Incentives (SEI) Program</w:t>
      </w:r>
    </w:p>
    <w:p w:rsidR="002E051C" w:rsidRPr="002E051C" w:rsidRDefault="002E051C" w:rsidP="002E051C">
      <w:r w:rsidRPr="002E051C">
        <w:t>This program applies to the C/I and GNI sectors.</w:t>
      </w:r>
    </w:p>
    <w:p w:rsidR="002E051C" w:rsidRPr="002E051C" w:rsidRDefault="002E051C" w:rsidP="002E051C"/>
    <w:p w:rsidR="002E051C" w:rsidRPr="002E051C" w:rsidRDefault="002E051C" w:rsidP="007B2E72">
      <w:pPr>
        <w:pStyle w:val="AppendixBHeading4"/>
        <w:rPr>
          <w:rFonts w:eastAsiaTheme="minorHAnsi"/>
        </w:rPr>
      </w:pPr>
      <w:r w:rsidRPr="002E051C">
        <w:rPr>
          <w:rFonts w:eastAsiaTheme="minorHAnsi"/>
        </w:rPr>
        <w:t>Brief Overview of the Program and Its Success</w:t>
      </w:r>
    </w:p>
    <w:p w:rsidR="002E051C" w:rsidRPr="002E051C" w:rsidRDefault="002E051C" w:rsidP="003145F3">
      <w:r w:rsidRPr="002E051C">
        <w:t xml:space="preserve">The SEI Program offers incentives for projects with prescriptive measures (e.g., lighting and </w:t>
      </w:r>
      <w:r w:rsidR="00971E73">
        <w:t>VFD</w:t>
      </w:r>
      <w:r w:rsidRPr="002E051C">
        <w:t>s) and custom projects. A main goal of the program in Phase II is to encourage the installation of efficient non-lighting equipment.</w:t>
      </w:r>
      <w:r w:rsidRPr="002E051C">
        <w:rPr>
          <w:rFonts w:cs="Calibri"/>
        </w:rPr>
        <w:t xml:space="preserve"> In PY6, the program launched a new trade ally program that financially rewards trade allies for achieving energy savings </w:t>
      </w:r>
      <w:r w:rsidR="000D7316">
        <w:rPr>
          <w:rFonts w:cs="Calibri"/>
        </w:rPr>
        <w:t>objectives</w:t>
      </w:r>
      <w:r w:rsidRPr="002E051C">
        <w:rPr>
          <w:rFonts w:cs="Calibri"/>
        </w:rPr>
        <w:t xml:space="preserve">. Additionally, the implementer initiated a “limited time offer” in which participants were eligible for </w:t>
      </w:r>
      <w:r w:rsidRPr="003145F3">
        <w:t>additional</w:t>
      </w:r>
      <w:r w:rsidRPr="002E051C">
        <w:rPr>
          <w:rFonts w:cs="Calibri"/>
        </w:rPr>
        <w:t xml:space="preserve"> incentive money if they completed the project before January 31, 2016. In PY7, SEI was successful at moving its measure mix toward non-lighting measures. The program incentivized 1,329 C/I and 469 GNI retrofit projects in PY7. Two-thirds (67%) of C/I and less than half (44%) of GNI PY7 energy savings came from lighting measures, including lighting controls.</w:t>
      </w:r>
    </w:p>
    <w:p w:rsidR="002E051C" w:rsidRPr="002E051C" w:rsidRDefault="002E051C" w:rsidP="002E051C"/>
    <w:p w:rsidR="002E051C" w:rsidRPr="002E051C" w:rsidRDefault="002E051C" w:rsidP="007B2E72">
      <w:pPr>
        <w:pStyle w:val="AppendixBHeading4"/>
        <w:rPr>
          <w:rFonts w:eastAsiaTheme="minorHAnsi"/>
        </w:rPr>
      </w:pPr>
      <w:r w:rsidRPr="002E051C">
        <w:rPr>
          <w:rFonts w:eastAsiaTheme="minorHAnsi"/>
        </w:rPr>
        <w:t>Summary of the Process Evaluation Findings</w:t>
      </w:r>
    </w:p>
    <w:p w:rsidR="002E051C" w:rsidRPr="002E051C" w:rsidRDefault="002E051C" w:rsidP="003145F3">
      <w:pPr>
        <w:pStyle w:val="6spacenormal"/>
      </w:pPr>
      <w:r w:rsidRPr="002E051C">
        <w:t>Navigant conducted a program marketing materials and database review, 86 online surveys with participating customers (51 C/I, 35 GNI), and in-depth interviews with program managers, implementation staff, and seven trade allies. Based on these data, four key findings emerged:</w:t>
      </w:r>
    </w:p>
    <w:p w:rsidR="002E051C" w:rsidRPr="003145F3" w:rsidRDefault="002E051C" w:rsidP="00E646C9">
      <w:pPr>
        <w:pStyle w:val="ListParagraph"/>
        <w:numPr>
          <w:ilvl w:val="0"/>
          <w:numId w:val="116"/>
        </w:numPr>
        <w:ind w:left="360"/>
      </w:pPr>
      <w:r w:rsidRPr="003145F3">
        <w:t>Trade allies reported that the trade ally incentive, which was implemented in PY6, encouraged them to deliver more projects through the program. Although this incentive was a great tool to engage trade allies in the program, it did not provide control over what types of projects were generated in the program.</w:t>
      </w:r>
    </w:p>
    <w:p w:rsidR="002E051C" w:rsidRPr="003145F3" w:rsidRDefault="002E051C" w:rsidP="00E646C9">
      <w:pPr>
        <w:pStyle w:val="ListParagraph"/>
        <w:numPr>
          <w:ilvl w:val="0"/>
          <w:numId w:val="116"/>
        </w:numPr>
        <w:ind w:left="360"/>
      </w:pPr>
      <w:r w:rsidRPr="003145F3">
        <w:t xml:space="preserve">In Phase II, SEI succeeded at reducing the percentage of lighting projects from PY5 to PY7 by increasing the number of custom projects. </w:t>
      </w:r>
    </w:p>
    <w:p w:rsidR="002E051C" w:rsidRPr="003145F3" w:rsidRDefault="002E051C" w:rsidP="00E646C9">
      <w:pPr>
        <w:pStyle w:val="ListParagraph"/>
        <w:numPr>
          <w:ilvl w:val="0"/>
          <w:numId w:val="116"/>
        </w:numPr>
        <w:ind w:left="360"/>
      </w:pPr>
      <w:r w:rsidRPr="003145F3">
        <w:t>In Phase III, the decreased incentives may decrease the uptake of non-lighting measures. Interviews and survey responses indicate that in some cases PY7 incentives barely covered the cost of the engineering requirements in the rebate application.</w:t>
      </w:r>
    </w:p>
    <w:p w:rsidR="002E051C" w:rsidRPr="003145F3" w:rsidRDefault="002E051C" w:rsidP="00E646C9">
      <w:pPr>
        <w:pStyle w:val="ListParagraph"/>
        <w:numPr>
          <w:ilvl w:val="0"/>
          <w:numId w:val="116"/>
        </w:numPr>
        <w:ind w:left="360"/>
      </w:pPr>
      <w:r w:rsidRPr="003145F3">
        <w:t>The “limited time offer” marketing campaign was successful. It brought in more projects in February and March, rather than later in May and June.</w:t>
      </w:r>
    </w:p>
    <w:p w:rsidR="002E051C" w:rsidRPr="003145F3" w:rsidRDefault="002E051C" w:rsidP="003145F3"/>
    <w:p w:rsidR="002E051C" w:rsidRPr="002E051C" w:rsidRDefault="002E051C" w:rsidP="007B2E72">
      <w:pPr>
        <w:pStyle w:val="AppendixBHeading4"/>
        <w:rPr>
          <w:rFonts w:eastAsiaTheme="minorHAnsi"/>
        </w:rPr>
      </w:pPr>
      <w:r w:rsidRPr="002E051C">
        <w:rPr>
          <w:rFonts w:eastAsiaTheme="minorHAnsi"/>
        </w:rPr>
        <w:t>Summary of the Process Evaluation Audit</w:t>
      </w:r>
    </w:p>
    <w:p w:rsidR="002E051C" w:rsidRPr="003145F3" w:rsidRDefault="002E051C" w:rsidP="003145F3">
      <w:r w:rsidRPr="003145F3">
        <w:t xml:space="preserve">Navigant completed all PY7 activities listed in the evaluation plan except a focus group with participating contractors. Instead, Navigant completed in-depth interviews with participating contractors or trade allies. </w:t>
      </w:r>
    </w:p>
    <w:p w:rsidR="002E051C" w:rsidRPr="003145F3" w:rsidRDefault="002E051C" w:rsidP="003145F3"/>
    <w:p w:rsidR="002E051C" w:rsidRPr="003145F3" w:rsidRDefault="002E051C" w:rsidP="003145F3">
      <w:r w:rsidRPr="003145F3">
        <w:t>For the data-collection task requiring sampling, the SWE Team determined that the sampling approach followed the approved sampling plan and the report incorporated the required tables showing the sampling strategy. Navigant used a stratified random sampling approach for the participant survey, focusing on two strata: C/I and GNI participants. Navigant achieved sample sizes that provided 85/15 confidence/precision per stratum and program.</w:t>
      </w:r>
    </w:p>
    <w:p w:rsidR="002E051C" w:rsidRPr="003145F3" w:rsidRDefault="002E051C" w:rsidP="003145F3"/>
    <w:p w:rsidR="002E051C" w:rsidRPr="003145F3" w:rsidRDefault="002E051C" w:rsidP="003145F3">
      <w:r w:rsidRPr="003145F3">
        <w:t xml:space="preserve">The SWE Team determined that the reporting followed the SWE’s guidelines. The annual report included descriptions of the methods, summary of findings, and a table of recommendations with a description of whether PECO was implementing or considering those recommendations. The report and supporting documentation included sufficient detail for the SWE Team (and other readers) to assess the methods, findings, and recommendations. Conclusions were integrated into sections describing key findings. </w:t>
      </w:r>
    </w:p>
    <w:p w:rsidR="002E051C" w:rsidRPr="003145F3" w:rsidRDefault="002E051C" w:rsidP="003145F3"/>
    <w:p w:rsidR="002E051C" w:rsidRPr="003145F3" w:rsidRDefault="002E051C" w:rsidP="003145F3">
      <w:r w:rsidRPr="003145F3">
        <w:t>Overall, the process evaluation discussion was succinct and highlighted findings that should be of value to the administrator and implementer. The recommendations were clear and actionable and supported by conclusions and/or findings.</w:t>
      </w:r>
    </w:p>
    <w:p w:rsidR="002E051C" w:rsidRDefault="002E051C" w:rsidP="002E051C"/>
    <w:p w:rsidR="002057C5" w:rsidRDefault="002057C5" w:rsidP="002E051C"/>
    <w:p w:rsidR="002057C5" w:rsidRDefault="002057C5" w:rsidP="002E051C"/>
    <w:p w:rsidR="002057C5" w:rsidRDefault="002057C5" w:rsidP="002E051C"/>
    <w:p w:rsidR="002057C5" w:rsidRPr="002E051C" w:rsidRDefault="002057C5" w:rsidP="002E051C"/>
    <w:p w:rsidR="002E051C" w:rsidRPr="002E051C" w:rsidRDefault="002E051C" w:rsidP="007B2E72">
      <w:pPr>
        <w:pStyle w:val="AppendixBHeading3"/>
      </w:pPr>
      <w:r w:rsidRPr="002E051C">
        <w:t>Smart Construction Incentives (SCI) Program</w:t>
      </w:r>
    </w:p>
    <w:p w:rsidR="002E051C" w:rsidRPr="002E051C" w:rsidRDefault="002E051C" w:rsidP="007B2E72">
      <w:pPr>
        <w:pStyle w:val="AppendixBHeading4"/>
        <w:rPr>
          <w:rFonts w:eastAsiaTheme="minorHAnsi"/>
        </w:rPr>
      </w:pPr>
      <w:r w:rsidRPr="002E051C">
        <w:rPr>
          <w:rFonts w:eastAsiaTheme="minorHAnsi"/>
        </w:rPr>
        <w:t>Brief Overview of the Program and Its Success</w:t>
      </w:r>
    </w:p>
    <w:p w:rsidR="002E051C" w:rsidRPr="003145F3" w:rsidRDefault="002E051C" w:rsidP="003145F3">
      <w:r w:rsidRPr="003145F3">
        <w:t>The SCI Program aims to accelerate adoption of energy efficient design and construction practices so that new C/I facilities in the PECO territory are more energy efficient than the current stock. The program covers both new construction and buildings undergoing major renovation; the latter is defined as construction that involves the complete removal, redesign, and replacement of two or more major building systems. The target markets for the program are decision</w:t>
      </w:r>
      <w:r w:rsidR="00971E73" w:rsidRPr="003145F3">
        <w:t>-</w:t>
      </w:r>
      <w:r w:rsidRPr="003145F3">
        <w:t>makers for the design and/or construction of new facilities, renovation contractors</w:t>
      </w:r>
      <w:r w:rsidR="00971E73" w:rsidRPr="003145F3">
        <w:t>,</w:t>
      </w:r>
      <w:r w:rsidRPr="003145F3">
        <w:t xml:space="preserve"> and developers. The program provides facility designers and builders with training, design assistance, and financial incentives to incorporate energy efficient systems into their building designs. In PY7, the program achieved gross realization rates of 87% for energy and 72% for demand.</w:t>
      </w:r>
    </w:p>
    <w:p w:rsidR="002E051C" w:rsidRPr="002E051C" w:rsidRDefault="002E051C" w:rsidP="002E051C">
      <w:pPr>
        <w:autoSpaceDE w:val="0"/>
        <w:autoSpaceDN w:val="0"/>
        <w:adjustRightInd w:val="0"/>
        <w:jc w:val="left"/>
        <w:rPr>
          <w:rFonts w:cs="Calibri"/>
          <w:color w:val="000000"/>
        </w:rPr>
      </w:pPr>
    </w:p>
    <w:p w:rsidR="002E051C" w:rsidRPr="002E051C" w:rsidRDefault="002E051C" w:rsidP="007B2E72">
      <w:pPr>
        <w:pStyle w:val="AppendixBHeading4"/>
        <w:rPr>
          <w:rFonts w:eastAsiaTheme="minorHAnsi"/>
        </w:rPr>
      </w:pPr>
      <w:r w:rsidRPr="002E051C">
        <w:rPr>
          <w:rFonts w:eastAsiaTheme="minorHAnsi"/>
        </w:rPr>
        <w:t>Summary of the Process Evaluation Findings</w:t>
      </w:r>
    </w:p>
    <w:p w:rsidR="002E051C" w:rsidRPr="002E051C" w:rsidRDefault="002E051C" w:rsidP="003145F3">
      <w:pPr>
        <w:autoSpaceDE w:val="0"/>
        <w:autoSpaceDN w:val="0"/>
        <w:adjustRightInd w:val="0"/>
        <w:spacing w:after="120"/>
        <w:jc w:val="left"/>
        <w:rPr>
          <w:rFonts w:cs="Calibri"/>
          <w:color w:val="000000"/>
          <w:sz w:val="24"/>
          <w:szCs w:val="24"/>
        </w:rPr>
      </w:pPr>
      <w:r w:rsidRPr="002E051C">
        <w:t xml:space="preserve">Navigant conducted an abbreviated process evaluation of the program in PY7, relying on data from in-depth interviews with the program manager and implementation staff and a review of program data and documents. From this research, six key findings emerged: </w:t>
      </w:r>
    </w:p>
    <w:p w:rsidR="002E051C" w:rsidRPr="003145F3" w:rsidRDefault="002E051C" w:rsidP="00E646C9">
      <w:pPr>
        <w:pStyle w:val="ListParagraph"/>
        <w:numPr>
          <w:ilvl w:val="0"/>
          <w:numId w:val="117"/>
        </w:numPr>
        <w:ind w:left="360"/>
      </w:pPr>
      <w:r w:rsidRPr="003145F3">
        <w:t>During the site inspections, the evaluation team found several incomplete projects. Navigant credited the program with verified savings only in the portions of each project that were complete and occupied in accordance with the Pennsylvania TRM requirements for new construction projects. As a result, the energy savings realization rates dropped from over 112% (had the buildings been fully complete and occupied) to 87%.</w:t>
      </w:r>
    </w:p>
    <w:p w:rsidR="002E051C" w:rsidRPr="003145F3" w:rsidRDefault="002E051C" w:rsidP="00E646C9">
      <w:pPr>
        <w:pStyle w:val="ListParagraph"/>
        <w:numPr>
          <w:ilvl w:val="0"/>
          <w:numId w:val="117"/>
        </w:numPr>
        <w:spacing w:after="60"/>
        <w:ind w:left="360"/>
        <w:contextualSpacing w:val="0"/>
      </w:pPr>
      <w:r w:rsidRPr="003145F3">
        <w:t xml:space="preserve">Navigant identified several causes for the incomplete projects: </w:t>
      </w:r>
    </w:p>
    <w:p w:rsidR="002E051C" w:rsidRPr="002E051C" w:rsidRDefault="002E051C" w:rsidP="00D405A7">
      <w:pPr>
        <w:numPr>
          <w:ilvl w:val="1"/>
          <w:numId w:val="22"/>
        </w:numPr>
        <w:autoSpaceDE w:val="0"/>
        <w:autoSpaceDN w:val="0"/>
        <w:adjustRightInd w:val="0"/>
        <w:ind w:left="720"/>
        <w:contextualSpacing/>
        <w:jc w:val="left"/>
        <w:rPr>
          <w:rFonts w:cs="Calibri"/>
          <w:color w:val="000000"/>
          <w:szCs w:val="20"/>
        </w:rPr>
      </w:pPr>
      <w:r w:rsidRPr="002E051C">
        <w:rPr>
          <w:rFonts w:cs="Calibri"/>
          <w:szCs w:val="20"/>
        </w:rPr>
        <w:t>Overzealous pursuit of projects despite tight deadlines by the implementer</w:t>
      </w:r>
    </w:p>
    <w:p w:rsidR="002E051C" w:rsidRPr="002E051C" w:rsidRDefault="002E051C" w:rsidP="00D405A7">
      <w:pPr>
        <w:numPr>
          <w:ilvl w:val="1"/>
          <w:numId w:val="22"/>
        </w:numPr>
        <w:autoSpaceDE w:val="0"/>
        <w:autoSpaceDN w:val="0"/>
        <w:adjustRightInd w:val="0"/>
        <w:ind w:left="720"/>
        <w:contextualSpacing/>
        <w:jc w:val="left"/>
        <w:rPr>
          <w:rFonts w:cs="Calibri"/>
          <w:color w:val="000000"/>
          <w:szCs w:val="20"/>
        </w:rPr>
      </w:pPr>
      <w:r w:rsidRPr="002E051C">
        <w:rPr>
          <w:rFonts w:cs="Calibri"/>
          <w:szCs w:val="20"/>
        </w:rPr>
        <w:t>Empathy for customers rushing to be included in Phase II of the program</w:t>
      </w:r>
    </w:p>
    <w:p w:rsidR="002E051C" w:rsidRPr="002E051C" w:rsidRDefault="002E051C" w:rsidP="00D405A7">
      <w:pPr>
        <w:numPr>
          <w:ilvl w:val="1"/>
          <w:numId w:val="22"/>
        </w:numPr>
        <w:autoSpaceDE w:val="0"/>
        <w:autoSpaceDN w:val="0"/>
        <w:adjustRightInd w:val="0"/>
        <w:ind w:left="720"/>
        <w:contextualSpacing/>
        <w:jc w:val="left"/>
        <w:rPr>
          <w:rFonts w:cs="Calibri"/>
          <w:color w:val="000000"/>
          <w:szCs w:val="20"/>
        </w:rPr>
      </w:pPr>
      <w:r w:rsidRPr="002E051C">
        <w:rPr>
          <w:rFonts w:cs="Calibri"/>
          <w:szCs w:val="20"/>
        </w:rPr>
        <w:t>Implementer confusion about TRM rules for completion and occupancy</w:t>
      </w:r>
    </w:p>
    <w:p w:rsidR="002E051C" w:rsidRPr="002E051C" w:rsidRDefault="002E051C" w:rsidP="00D405A7">
      <w:pPr>
        <w:numPr>
          <w:ilvl w:val="1"/>
          <w:numId w:val="22"/>
        </w:numPr>
        <w:autoSpaceDE w:val="0"/>
        <w:autoSpaceDN w:val="0"/>
        <w:adjustRightInd w:val="0"/>
        <w:spacing w:after="60"/>
        <w:ind w:left="720"/>
        <w:jc w:val="left"/>
        <w:rPr>
          <w:rFonts w:cs="Calibri"/>
          <w:color w:val="000000"/>
          <w:szCs w:val="20"/>
        </w:rPr>
      </w:pPr>
      <w:r w:rsidRPr="002E051C">
        <w:rPr>
          <w:rFonts w:cs="Calibri"/>
          <w:szCs w:val="20"/>
        </w:rPr>
        <w:t>Ambiguous language in the program application about certificates of occupancy</w:t>
      </w:r>
    </w:p>
    <w:p w:rsidR="002E051C" w:rsidRPr="003145F3" w:rsidRDefault="002E051C" w:rsidP="00E646C9">
      <w:pPr>
        <w:pStyle w:val="ListParagraph"/>
        <w:numPr>
          <w:ilvl w:val="0"/>
          <w:numId w:val="117"/>
        </w:numPr>
        <w:ind w:left="360"/>
      </w:pPr>
      <w:r w:rsidRPr="003145F3">
        <w:t xml:space="preserve">The implementer M&amp;V team did select a subset of the project population to receive post-installation inspections (which would have alerted the program manager of a project’s completion status). The post-installation inspection reports were frequently not reviewed in detail by program and implementation staff beyond ensuring their existence. </w:t>
      </w:r>
    </w:p>
    <w:p w:rsidR="002E051C" w:rsidRPr="003145F3" w:rsidRDefault="002E051C" w:rsidP="00E646C9">
      <w:pPr>
        <w:pStyle w:val="ListParagraph"/>
        <w:numPr>
          <w:ilvl w:val="0"/>
          <w:numId w:val="117"/>
        </w:numPr>
        <w:ind w:left="360"/>
      </w:pPr>
      <w:r w:rsidRPr="003145F3">
        <w:t xml:space="preserve">The SCI improved in PY7 compared with PY6 and PY5, in part due to the program’s PY6 efforts to identify and requalify committed trade allies. </w:t>
      </w:r>
    </w:p>
    <w:p w:rsidR="002E051C" w:rsidRPr="003145F3" w:rsidRDefault="002E051C" w:rsidP="00E646C9">
      <w:pPr>
        <w:pStyle w:val="ListParagraph"/>
        <w:numPr>
          <w:ilvl w:val="0"/>
          <w:numId w:val="117"/>
        </w:numPr>
        <w:ind w:left="360"/>
      </w:pPr>
      <w:r w:rsidRPr="003145F3">
        <w:t>The new construction projects in the program have long lead times and require consistent and committed long-term partners to guide them through the program.</w:t>
      </w:r>
    </w:p>
    <w:p w:rsidR="002E051C" w:rsidRPr="003145F3" w:rsidRDefault="002E051C" w:rsidP="00E646C9">
      <w:pPr>
        <w:pStyle w:val="ListParagraph"/>
        <w:numPr>
          <w:ilvl w:val="0"/>
          <w:numId w:val="117"/>
        </w:numPr>
        <w:ind w:left="360"/>
      </w:pPr>
      <w:r w:rsidRPr="003145F3">
        <w:t>Over 75% of the portfolio savings are coming from either lighting or custom projects. The majority of savings from custom projects typically come from lighting measures.</w:t>
      </w:r>
    </w:p>
    <w:p w:rsidR="002E051C" w:rsidRPr="002E051C" w:rsidRDefault="002E051C" w:rsidP="002E051C">
      <w:pPr>
        <w:autoSpaceDE w:val="0"/>
        <w:autoSpaceDN w:val="0"/>
        <w:adjustRightInd w:val="0"/>
        <w:jc w:val="left"/>
        <w:rPr>
          <w:rFonts w:cs="Calibri"/>
          <w:color w:val="000000"/>
        </w:rPr>
      </w:pPr>
    </w:p>
    <w:p w:rsidR="002E051C" w:rsidRPr="002E051C" w:rsidRDefault="002E051C" w:rsidP="007B2E72">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Navigant completed all PY7 activities listed in the evaluation plan. None of the data-collection activities in PY7 required sampling. The SWE Team determined that the reporting followed the SWE’s guidelines. The annual report included descriptions of the methods, summary of findings, and a table of recommendations with a description of whether PECO was implementing or considering those recommendations. The annual report and supporting documentation included sufficient detail for the SWE Team (and other readers) to assess the methods, findings, and recommendations. Conclusions were integrated into sections describing key findings. Overall, the recommendations were clear and actionable and supported by conclusions and/or findings.</w:t>
      </w:r>
    </w:p>
    <w:p w:rsidR="002E051C" w:rsidRDefault="002E051C" w:rsidP="002E051C"/>
    <w:p w:rsidR="002E051C" w:rsidRPr="002E051C" w:rsidRDefault="002E051C" w:rsidP="007B2E72">
      <w:pPr>
        <w:pStyle w:val="AppendixBHeading3"/>
      </w:pPr>
      <w:r w:rsidRPr="002E051C">
        <w:t>Smart Multi</w:t>
      </w:r>
      <w:r w:rsidR="00971E73">
        <w:t>f</w:t>
      </w:r>
      <w:r w:rsidRPr="002E051C">
        <w:t>amily (SMF) Solutions Program</w:t>
      </w:r>
    </w:p>
    <w:p w:rsidR="002E051C" w:rsidRPr="003145F3" w:rsidRDefault="002E051C" w:rsidP="003145F3">
      <w:r w:rsidRPr="003145F3">
        <w:t>Since energy savings from this program come from residential and non-residential sectors, the SWE Team discusses this program under both the residential and non-residential program sections in this appendix.</w:t>
      </w:r>
    </w:p>
    <w:p w:rsidR="002E051C" w:rsidRPr="003145F3" w:rsidRDefault="002E051C" w:rsidP="003145F3"/>
    <w:p w:rsidR="002E051C" w:rsidRPr="002E051C" w:rsidRDefault="002E051C" w:rsidP="007B2E72">
      <w:pPr>
        <w:pStyle w:val="AppendixBHeading4"/>
        <w:rPr>
          <w:rFonts w:eastAsiaTheme="minorHAnsi"/>
        </w:rPr>
      </w:pPr>
      <w:r w:rsidRPr="002E051C">
        <w:rPr>
          <w:rFonts w:eastAsiaTheme="minorHAnsi"/>
        </w:rPr>
        <w:t>Brief Overview of the Program and Its Success</w:t>
      </w:r>
    </w:p>
    <w:p w:rsidR="002E051C" w:rsidRPr="002E051C" w:rsidRDefault="002E051C" w:rsidP="002E051C">
      <w:r w:rsidRPr="002E051C">
        <w:t>The purpose of the SMF Solutions Program is to increase awareness of energy savings opportunities in multifamily buildings and to assist multifamily residents and building owners and managers in acting on those opportunities. The program is designed for both multifamily property owners and multifamily customers. This program offers two paths to participation. The direct-install path offers cost-free CFLs, low-flow showerheads, and low-flow faucet aerators for apartment units, condos, and common areas. The prescriptive path offers incentives to multifamily landlords who install high-efficiency equipment in common areas. In Phase II, to date the program has not seen any participation in the prescriptive channel, and 100% of verified savings resulted from direct-install measures.</w:t>
      </w:r>
    </w:p>
    <w:p w:rsidR="002E051C" w:rsidRPr="002E051C" w:rsidRDefault="002E051C" w:rsidP="002E051C"/>
    <w:p w:rsidR="002E051C" w:rsidRPr="002E051C" w:rsidRDefault="002E051C" w:rsidP="007B2E72">
      <w:pPr>
        <w:pStyle w:val="AppendixBHeading4"/>
        <w:rPr>
          <w:rFonts w:eastAsiaTheme="minorHAnsi"/>
        </w:rPr>
      </w:pPr>
      <w:r w:rsidRPr="002E051C">
        <w:rPr>
          <w:rFonts w:eastAsiaTheme="minorHAnsi"/>
        </w:rPr>
        <w:t>Summary of the Process Evaluation Findings</w:t>
      </w:r>
    </w:p>
    <w:p w:rsidR="002E051C" w:rsidRPr="002E051C" w:rsidRDefault="002E051C" w:rsidP="002E051C">
      <w:r w:rsidRPr="002E051C">
        <w:t>The findings are the same as those reported in</w:t>
      </w:r>
      <w:r w:rsidR="009F1E9A">
        <w:t xml:space="preserve"> Appendix </w:t>
      </w:r>
      <w:r w:rsidR="009F1E9A">
        <w:fldChar w:fldCharType="begin"/>
      </w:r>
      <w:r w:rsidR="009F1E9A">
        <w:instrText xml:space="preserve"> REF _Ref473629455 \r \h </w:instrText>
      </w:r>
      <w:r w:rsidR="009F1E9A">
        <w:fldChar w:fldCharType="separate"/>
      </w:r>
      <w:r w:rsidR="00C301D0">
        <w:t>B.6.1.8</w:t>
      </w:r>
      <w:r w:rsidR="009F1E9A">
        <w:fldChar w:fldCharType="end"/>
      </w:r>
      <w:r w:rsidRPr="002E051C">
        <w:t xml:space="preserve"> above. </w:t>
      </w:r>
    </w:p>
    <w:p w:rsidR="002E051C" w:rsidRPr="002E051C" w:rsidRDefault="002E051C" w:rsidP="002E051C"/>
    <w:p w:rsidR="002E051C" w:rsidRPr="002E051C" w:rsidRDefault="002E051C" w:rsidP="007B2E72">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 xml:space="preserve">The findings are the same as those reported in </w:t>
      </w:r>
      <w:r w:rsidR="009F1E9A" w:rsidRPr="002E051C">
        <w:t>in</w:t>
      </w:r>
      <w:r w:rsidR="009F1E9A">
        <w:t xml:space="preserve"> Appendix </w:t>
      </w:r>
      <w:r w:rsidR="009F1E9A">
        <w:fldChar w:fldCharType="begin"/>
      </w:r>
      <w:r w:rsidR="009F1E9A">
        <w:instrText xml:space="preserve"> REF _Ref473629455 \r \h </w:instrText>
      </w:r>
      <w:r w:rsidR="009F1E9A">
        <w:fldChar w:fldCharType="separate"/>
      </w:r>
      <w:r w:rsidR="00C301D0">
        <w:t>B.6.1.8</w:t>
      </w:r>
      <w:r w:rsidR="009F1E9A">
        <w:fldChar w:fldCharType="end"/>
      </w:r>
      <w:r w:rsidR="009F1E9A" w:rsidRPr="002E051C">
        <w:t xml:space="preserve"> above</w:t>
      </w:r>
      <w:r w:rsidRPr="002E051C">
        <w:t xml:space="preserve">. </w:t>
      </w:r>
    </w:p>
    <w:p w:rsidR="002E051C" w:rsidRPr="002E051C" w:rsidRDefault="002E051C" w:rsidP="002E051C"/>
    <w:p w:rsidR="002E051C" w:rsidRPr="002E051C" w:rsidRDefault="002E051C" w:rsidP="007B2E72">
      <w:pPr>
        <w:pStyle w:val="AppendixBHeading3"/>
      </w:pPr>
      <w:r w:rsidRPr="002E051C">
        <w:t>Smart On-Site (SOS) Program</w:t>
      </w:r>
    </w:p>
    <w:p w:rsidR="002E051C" w:rsidRPr="002E051C" w:rsidRDefault="002E051C" w:rsidP="007B2E72">
      <w:pPr>
        <w:pStyle w:val="AppendixBHeading4"/>
        <w:rPr>
          <w:rFonts w:eastAsiaTheme="minorHAnsi"/>
        </w:rPr>
      </w:pPr>
      <w:r w:rsidRPr="002E051C">
        <w:rPr>
          <w:rFonts w:eastAsiaTheme="minorHAnsi"/>
        </w:rPr>
        <w:t>Brief Overview of the Program and Its Success</w:t>
      </w:r>
    </w:p>
    <w:p w:rsidR="002E051C" w:rsidRPr="00D405A7" w:rsidRDefault="002E051C" w:rsidP="00D405A7">
      <w:r w:rsidRPr="00D405A7">
        <w:t xml:space="preserve">The SOS Program is designed to incentivize customers to install CHP projects that maximize operational savings and minimize operational and maintenance costs. CHP systems that are sized to match the minimum electric and thermal loads achieve the optimal savings. PECO provides </w:t>
      </w:r>
      <w:r w:rsidR="00971E73" w:rsidRPr="00D405A7">
        <w:t>S</w:t>
      </w:r>
      <w:r w:rsidRPr="00D405A7">
        <w:t>OS Program with incentives based on a declining tiered incentive rate by installed capacity with a separate performance payment. Each tier has a fixed per-MW incentive paid toward the incremental capacity within each tier. Capacity-based incentives are not paid for incremental capacity above 10 MW. No SOS projects were completed in PY6. Six projects were completed in PY7.</w:t>
      </w:r>
    </w:p>
    <w:p w:rsidR="002E051C" w:rsidRPr="002E051C" w:rsidRDefault="002E051C" w:rsidP="002E051C"/>
    <w:p w:rsidR="002E051C" w:rsidRPr="002E051C" w:rsidRDefault="002E051C" w:rsidP="007B2E72">
      <w:pPr>
        <w:pStyle w:val="AppendixBHeading4"/>
        <w:rPr>
          <w:rFonts w:eastAsiaTheme="minorHAnsi"/>
        </w:rPr>
      </w:pPr>
      <w:r w:rsidRPr="002E051C">
        <w:rPr>
          <w:rFonts w:eastAsiaTheme="minorHAnsi"/>
        </w:rPr>
        <w:t>Summary of the Process Evaluation Findings</w:t>
      </w:r>
    </w:p>
    <w:p w:rsidR="002E051C" w:rsidRPr="002E051C" w:rsidRDefault="002E051C" w:rsidP="003145F3">
      <w:pPr>
        <w:spacing w:after="120"/>
      </w:pPr>
      <w:r w:rsidRPr="002E051C">
        <w:t>Navigant conducted in-depth interviews with the program manager and implementation staff and interviewed all participating customers and project developers. Based on these interviews, six key findings emerged:</w:t>
      </w:r>
    </w:p>
    <w:p w:rsidR="002E051C" w:rsidRPr="00D405A7" w:rsidRDefault="00971E73" w:rsidP="00E646C9">
      <w:pPr>
        <w:pStyle w:val="ListParagraph"/>
        <w:numPr>
          <w:ilvl w:val="0"/>
          <w:numId w:val="118"/>
        </w:numPr>
        <w:ind w:left="360"/>
      </w:pPr>
      <w:r w:rsidRPr="00D405A7">
        <w:t xml:space="preserve">The </w:t>
      </w:r>
      <w:r w:rsidR="002E051C" w:rsidRPr="00D405A7">
        <w:t xml:space="preserve">SOS creates significant uncertainty and risk for PECO due to the complexity of the projects and the magnitude of the projects’ energy savings. About 17% of the Phase II MWh savings goal was completed in the last two days of the phase, and projects making up 7% of the Phase II MWh goal did not get completed during the phase. Projects that did not finish during the phase took between 15 and 28 months from the time of application to completion, making it difficult for PECO to react to any need to adjust its plan to meet the portfolio savings goals. </w:t>
      </w:r>
    </w:p>
    <w:p w:rsidR="002E051C" w:rsidRPr="00D405A7" w:rsidRDefault="002E051C" w:rsidP="00E646C9">
      <w:pPr>
        <w:pStyle w:val="ListParagraph"/>
        <w:numPr>
          <w:ilvl w:val="0"/>
          <w:numId w:val="118"/>
        </w:numPr>
        <w:ind w:left="360"/>
      </w:pPr>
      <w:r w:rsidRPr="00D405A7">
        <w:t xml:space="preserve">Developers unanimously oppose restrictions on participation based on system size and phase deadline. </w:t>
      </w:r>
    </w:p>
    <w:p w:rsidR="002E051C" w:rsidRPr="00D405A7" w:rsidRDefault="002E051C" w:rsidP="00E646C9">
      <w:pPr>
        <w:pStyle w:val="ListParagraph"/>
        <w:numPr>
          <w:ilvl w:val="0"/>
          <w:numId w:val="118"/>
        </w:numPr>
        <w:ind w:left="360"/>
      </w:pPr>
      <w:r w:rsidRPr="00D405A7">
        <w:t xml:space="preserve">One developer suggested that the move toward containerized systems for systems as large as 1.5 MW can shorten the development cycle. That developer also noted that smaller systems are not typically designed by specialized firms and are prone to more issues. Further investigation of program data revealed that containerized systems did not complete faster than two traditional projects completed in PY5. </w:t>
      </w:r>
    </w:p>
    <w:p w:rsidR="002E051C" w:rsidRPr="00D405A7" w:rsidRDefault="002E051C" w:rsidP="00E646C9">
      <w:pPr>
        <w:pStyle w:val="ListParagraph"/>
        <w:numPr>
          <w:ilvl w:val="0"/>
          <w:numId w:val="118"/>
        </w:numPr>
        <w:ind w:left="360"/>
      </w:pPr>
      <w:r w:rsidRPr="00D405A7">
        <w:t>Obtaining an operating permit from the Pennsylvania DEP can delay projects considerably. All developers pointed to the DEP as the source of considerable delay and uncertainty.</w:t>
      </w:r>
    </w:p>
    <w:p w:rsidR="002E051C" w:rsidRPr="00D405A7" w:rsidRDefault="002E051C" w:rsidP="00E646C9">
      <w:pPr>
        <w:pStyle w:val="ListParagraph"/>
        <w:numPr>
          <w:ilvl w:val="0"/>
          <w:numId w:val="118"/>
        </w:numPr>
        <w:ind w:left="360"/>
      </w:pPr>
      <w:r w:rsidRPr="00D405A7">
        <w:t>Three out of four developers said they had issues with the interconnection agreement.</w:t>
      </w:r>
    </w:p>
    <w:p w:rsidR="002E051C" w:rsidRPr="00D405A7" w:rsidRDefault="002E051C" w:rsidP="00E646C9">
      <w:pPr>
        <w:pStyle w:val="ListParagraph"/>
        <w:numPr>
          <w:ilvl w:val="0"/>
          <w:numId w:val="118"/>
        </w:numPr>
        <w:ind w:left="360"/>
      </w:pPr>
      <w:r w:rsidRPr="00D405A7">
        <w:t xml:space="preserve">Several participants noted issues with customer service, including responsiveness and consistency of messages across staff. </w:t>
      </w:r>
    </w:p>
    <w:p w:rsidR="002E051C" w:rsidRPr="002E051C" w:rsidRDefault="002E051C" w:rsidP="002E051C">
      <w:pPr>
        <w:autoSpaceDE w:val="0"/>
        <w:autoSpaceDN w:val="0"/>
        <w:adjustRightInd w:val="0"/>
        <w:ind w:left="720"/>
        <w:contextualSpacing/>
        <w:jc w:val="left"/>
        <w:rPr>
          <w:rFonts w:cs="Calibri"/>
          <w:color w:val="000000"/>
          <w:szCs w:val="20"/>
        </w:rPr>
      </w:pPr>
    </w:p>
    <w:p w:rsidR="002E051C" w:rsidRPr="002E051C" w:rsidRDefault="002E051C" w:rsidP="007B2E72">
      <w:pPr>
        <w:pStyle w:val="AppendixBHeading4"/>
        <w:rPr>
          <w:rFonts w:eastAsiaTheme="minorHAnsi"/>
        </w:rPr>
      </w:pPr>
      <w:r w:rsidRPr="002E051C">
        <w:rPr>
          <w:rFonts w:eastAsiaTheme="minorHAnsi"/>
        </w:rPr>
        <w:t>Summary of the Process Evaluation Audit</w:t>
      </w:r>
    </w:p>
    <w:p w:rsidR="002E051C" w:rsidRPr="002E051C" w:rsidRDefault="002E051C" w:rsidP="002E051C">
      <w:r w:rsidRPr="002E051C">
        <w:t>Navigant completed all the PY7 activities listed in the evaluation plan.</w:t>
      </w:r>
    </w:p>
    <w:p w:rsidR="002E051C" w:rsidRPr="002E051C" w:rsidRDefault="002E051C" w:rsidP="002E051C"/>
    <w:p w:rsidR="002E051C" w:rsidRPr="002E051C" w:rsidRDefault="002E051C" w:rsidP="002E051C">
      <w:r w:rsidRPr="002E051C">
        <w:t xml:space="preserve">All participants and developers were interviewed. Thus, there were no data-collection process-evaluation-related tasks that required sampling. </w:t>
      </w:r>
    </w:p>
    <w:p w:rsidR="002E051C" w:rsidRPr="002E051C" w:rsidRDefault="002E051C" w:rsidP="002E051C"/>
    <w:p w:rsidR="002E051C" w:rsidRPr="002E051C" w:rsidRDefault="002E051C" w:rsidP="002E051C">
      <w:r w:rsidRPr="002E051C">
        <w:t xml:space="preserve">The SWE Team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Note that conclusions were integrated into sections describing key findings. </w:t>
      </w:r>
    </w:p>
    <w:p w:rsidR="002E051C" w:rsidRPr="002E051C" w:rsidRDefault="002E051C" w:rsidP="00BC1E78"/>
    <w:p w:rsidR="002E051C" w:rsidRPr="00BC1E78" w:rsidRDefault="002E051C" w:rsidP="00BC1E78">
      <w:pPr>
        <w:autoSpaceDE w:val="0"/>
        <w:autoSpaceDN w:val="0"/>
        <w:adjustRightInd w:val="0"/>
        <w:rPr>
          <w:color w:val="000000"/>
        </w:rPr>
      </w:pPr>
      <w:r w:rsidRPr="002E051C">
        <w:t>Overall, the process evaluation discussion was succinct and highlighted findings that should be of value to the administrator and implementer. The recommendations were clear and actionable and supported by findings.</w:t>
      </w:r>
    </w:p>
    <w:p w:rsidR="00A83E08" w:rsidRDefault="00A83E08" w:rsidP="002E051C">
      <w:pPr>
        <w:autoSpaceDE w:val="0"/>
        <w:autoSpaceDN w:val="0"/>
        <w:adjustRightInd w:val="0"/>
        <w:jc w:val="left"/>
      </w:pPr>
    </w:p>
    <w:p w:rsidR="002E051C" w:rsidRPr="002E051C" w:rsidRDefault="002E051C" w:rsidP="007B2E72">
      <w:pPr>
        <w:pStyle w:val="AppendixBHeading3"/>
      </w:pPr>
      <w:r w:rsidRPr="002E051C">
        <w:t>Smart Business Solutions (SBS) Program</w:t>
      </w:r>
    </w:p>
    <w:p w:rsidR="002E051C" w:rsidRPr="002E051C" w:rsidRDefault="002E051C" w:rsidP="007B2E72">
      <w:pPr>
        <w:pStyle w:val="AppendixBHeading4"/>
        <w:rPr>
          <w:rFonts w:eastAsiaTheme="minorHAnsi"/>
        </w:rPr>
      </w:pPr>
      <w:r w:rsidRPr="002E051C">
        <w:rPr>
          <w:rFonts w:eastAsiaTheme="minorHAnsi"/>
        </w:rPr>
        <w:t>Brief Overview of the Program and Its Success</w:t>
      </w:r>
    </w:p>
    <w:p w:rsidR="002E051C" w:rsidRPr="002E051C" w:rsidRDefault="002E051C" w:rsidP="002E051C">
      <w:pPr>
        <w:autoSpaceDE w:val="0"/>
        <w:autoSpaceDN w:val="0"/>
        <w:adjustRightInd w:val="0"/>
        <w:rPr>
          <w:rFonts w:cs="Calibri"/>
        </w:rPr>
      </w:pPr>
      <w:r w:rsidRPr="002E051C">
        <w:rPr>
          <w:rFonts w:cs="Calibri"/>
        </w:rPr>
        <w:t>The SBS Program is a direct-install program, designed to encourage and assist small business owners to improve the efficiency of their existing facilities through turnkey installation and rapid project completion. The program includes lighting and refrigeration measures that typically are low-cost and deliver reliable, prescriptive energy savings and costs per unit. PECO scaled back program activity considerably in PY7 due to cost overruns in PY6. The gross program savings in PY7 were approximately 4,971 MWh, compared with 13,413 MWh in PY6.</w:t>
      </w:r>
    </w:p>
    <w:p w:rsidR="002E051C" w:rsidRPr="00D405A7" w:rsidRDefault="002E051C" w:rsidP="00D405A7"/>
    <w:p w:rsidR="002E051C" w:rsidRPr="002E051C" w:rsidRDefault="002E051C" w:rsidP="007B2E72">
      <w:pPr>
        <w:pStyle w:val="AppendixBHeading4"/>
        <w:rPr>
          <w:rFonts w:eastAsiaTheme="minorHAnsi"/>
        </w:rPr>
      </w:pPr>
      <w:r w:rsidRPr="002E051C">
        <w:rPr>
          <w:rFonts w:eastAsiaTheme="minorHAnsi"/>
        </w:rPr>
        <w:t>Summary of the Process Evaluation Findings</w:t>
      </w:r>
    </w:p>
    <w:p w:rsidR="002E051C" w:rsidRPr="002E051C" w:rsidRDefault="002E051C" w:rsidP="00D405A7">
      <w:pPr>
        <w:pStyle w:val="6spacenormal"/>
      </w:pPr>
      <w:r w:rsidRPr="002E051C">
        <w:t>For process evaluation, Navigant relied on data from two research activities: in-depth interviews with program managers and review of program data. Four key findings emerged from these efforts:</w:t>
      </w:r>
    </w:p>
    <w:p w:rsidR="002E051C" w:rsidRPr="00D405A7" w:rsidRDefault="002E051C" w:rsidP="00E646C9">
      <w:pPr>
        <w:pStyle w:val="ListParagraph"/>
        <w:numPr>
          <w:ilvl w:val="0"/>
          <w:numId w:val="119"/>
        </w:numPr>
        <w:ind w:left="360"/>
      </w:pPr>
      <w:r w:rsidRPr="00D405A7">
        <w:t xml:space="preserve">The program fell short of the Phase II </w:t>
      </w:r>
      <w:r w:rsidR="000D7316" w:rsidRPr="00D405A7">
        <w:t xml:space="preserve">objectives </w:t>
      </w:r>
      <w:r w:rsidRPr="00D405A7">
        <w:t>by about 15% and overspent the budget by about $1 million.</w:t>
      </w:r>
    </w:p>
    <w:p w:rsidR="002E051C" w:rsidRPr="00D405A7" w:rsidRDefault="002E051C" w:rsidP="00E646C9">
      <w:pPr>
        <w:pStyle w:val="ListParagraph"/>
        <w:numPr>
          <w:ilvl w:val="0"/>
          <w:numId w:val="119"/>
        </w:numPr>
        <w:ind w:left="360"/>
      </w:pPr>
      <w:r w:rsidRPr="00D405A7">
        <w:t>The program was able to ramp up and down easily. The PECO program manager was able to vary the length of time between the on-site audit and the delivery of the efficiency project proposal to increase or decrease the number of projects—and therefore control the amount of savings—coming in each month.</w:t>
      </w:r>
    </w:p>
    <w:p w:rsidR="002E051C" w:rsidRPr="00D405A7" w:rsidRDefault="002E051C" w:rsidP="00E646C9">
      <w:pPr>
        <w:pStyle w:val="ListParagraph"/>
        <w:numPr>
          <w:ilvl w:val="0"/>
          <w:numId w:val="119"/>
        </w:numPr>
        <w:ind w:left="360"/>
      </w:pPr>
      <w:r w:rsidRPr="00D405A7">
        <w:t>PY7 savings still revolved around linear fluorescent upgrades of T12s to T8s and T5s, accounting for 76% of program savings. The TRM in Phase III will shift the baseline for linear fluorescent upgrades from T12s to T8s, drastically reducing the amount of savings PECO can claim for T12 upgrades.</w:t>
      </w:r>
    </w:p>
    <w:p w:rsidR="002E051C" w:rsidRPr="00D405A7" w:rsidRDefault="002E051C" w:rsidP="00E646C9">
      <w:pPr>
        <w:pStyle w:val="ListParagraph"/>
        <w:numPr>
          <w:ilvl w:val="0"/>
          <w:numId w:val="119"/>
        </w:numPr>
        <w:ind w:left="360"/>
      </w:pPr>
      <w:r w:rsidRPr="00D405A7">
        <w:t>There may be a missed opportunity for PECO to offer customers a more comprehensive approach to energy savings. On-site visits offer the sales auditor an opportunity to review and propose more efficiency options than tho</w:t>
      </w:r>
      <w:r w:rsidR="00971E73" w:rsidRPr="00D405A7">
        <w:t>se incentivized through the SBS</w:t>
      </w:r>
      <w:r w:rsidRPr="00D405A7">
        <w:t>.</w:t>
      </w:r>
    </w:p>
    <w:p w:rsidR="002E051C" w:rsidRPr="002E051C" w:rsidRDefault="002E051C" w:rsidP="002E051C">
      <w:pPr>
        <w:autoSpaceDE w:val="0"/>
        <w:autoSpaceDN w:val="0"/>
        <w:adjustRightInd w:val="0"/>
      </w:pPr>
    </w:p>
    <w:p w:rsidR="002E051C" w:rsidRPr="002E051C" w:rsidRDefault="002E051C" w:rsidP="007B2E72">
      <w:pPr>
        <w:pStyle w:val="AppendixBHeading4"/>
        <w:rPr>
          <w:rFonts w:eastAsiaTheme="minorHAnsi"/>
        </w:rPr>
      </w:pPr>
      <w:r w:rsidRPr="002E051C">
        <w:rPr>
          <w:rFonts w:eastAsiaTheme="minorHAnsi"/>
        </w:rPr>
        <w:t>Summary of the Process Evaluation Audit</w:t>
      </w:r>
    </w:p>
    <w:p w:rsidR="002E051C" w:rsidRPr="00D405A7" w:rsidRDefault="002E051C" w:rsidP="00D405A7">
      <w:r w:rsidRPr="00D405A7">
        <w:t xml:space="preserve">Navigant completed all the PY7 activities listed in the evaluation plan. None of the data-collection activities in PY7 required sampling. The SWE Team determined that the reporting followed the SWE guidelines. The annual report included descriptions of the methods, summary of findings, and a table of recommendations with a description of whether PECO was implementing or considering those recommendations. The report included sufficient detail for the SWE Team (and other readers) to assess the methods, findings, and recommendations. However, the reporting lacked conclusions, which affected how recommendations were developed. Recommendations were drawn from key findings rather than from conclusions. </w:t>
      </w:r>
    </w:p>
    <w:p w:rsidR="002E051C" w:rsidRPr="00D405A7" w:rsidRDefault="002E051C" w:rsidP="00D405A7"/>
    <w:p w:rsidR="002E051C" w:rsidRPr="00D405A7" w:rsidRDefault="002E051C" w:rsidP="00D405A7">
      <w:r w:rsidRPr="00D405A7">
        <w:t>Overall, the process evaluation discussion was succinct and highlighted findings that should be of value to the administrator and implementer. The recommendations were clear and actionable and supported by findings.</w:t>
      </w:r>
    </w:p>
    <w:p w:rsidR="002E051C" w:rsidRPr="002E051C" w:rsidRDefault="002E051C" w:rsidP="002E051C"/>
    <w:p w:rsidR="002E051C" w:rsidRPr="002E051C" w:rsidRDefault="00702765" w:rsidP="007B2E72">
      <w:pPr>
        <w:pStyle w:val="AppendixBHeading1"/>
      </w:pPr>
      <w:bookmarkStart w:id="1419" w:name="_Ref440447489"/>
      <w:r>
        <w:t>PPL</w:t>
      </w:r>
      <w:bookmarkEnd w:id="1419"/>
    </w:p>
    <w:p w:rsidR="002E051C" w:rsidRPr="002E051C" w:rsidRDefault="002E051C" w:rsidP="007B2E72">
      <w:pPr>
        <w:pStyle w:val="AppendixBHeading2"/>
      </w:pPr>
      <w:r w:rsidRPr="002E051C">
        <w:t>Residential Programs</w:t>
      </w:r>
    </w:p>
    <w:p w:rsidR="002E051C" w:rsidRPr="002E051C" w:rsidRDefault="00EE15A5" w:rsidP="002E051C">
      <w:r w:rsidRPr="00C52A0B">
        <w:t xml:space="preserve">Cadmus reported on PY7 process evaluations for three of four residential programs: </w:t>
      </w:r>
      <w:r w:rsidR="00D405A7" w:rsidRPr="00C52A0B">
        <w:t>The</w:t>
      </w:r>
      <w:r w:rsidRPr="00C52A0B">
        <w:t xml:space="preserve"> Residential Energy-Efficiency Behavior &amp; Education Program (Cadmus conducted a full process evaluation in PY6 and a limited evaluation in PY7), Residential Home Comfort Program, Residential Retail Program (Residential Lighting and Efficient Equipment), the Student and Parent Energy Efficiency Education Program. In accordance with the evaluation plan, Cadmus did not perform a PY7 process evaluation for the Appliance Recycling Program since the program was evaluated in prior years and no major changes occurred in PY7 except that it was suspended in Q2 of PY7.</w:t>
      </w:r>
    </w:p>
    <w:p w:rsidR="002E051C" w:rsidRPr="002E051C" w:rsidRDefault="002E051C" w:rsidP="002E051C"/>
    <w:p w:rsidR="002E051C" w:rsidRPr="002E051C" w:rsidRDefault="002E051C" w:rsidP="002E051C">
      <w:r w:rsidRPr="002E051C">
        <w:t xml:space="preserve">For the process evaluations of the above programs, Cadmus reviewed program documents and data; interviewed utility and implementation staff; and surveyed program participants and nonparticipants. The document and program data review informed identification of program goals, activities, and updates, and in some instances, development of program theory and logic models. The research issues addressed by the primary data-collection activities (in-depth interviews and surveys) varied among programs but generally included the effectiveness of program administration, implementation, and delivery, and customer and market actor program satisfaction, participation, challenges, and recommendations. </w:t>
      </w:r>
    </w:p>
    <w:p w:rsidR="002E051C" w:rsidRPr="002E051C" w:rsidRDefault="002E051C" w:rsidP="002E051C"/>
    <w:p w:rsidR="002E051C" w:rsidRPr="002E051C" w:rsidRDefault="00EE15A5" w:rsidP="002E051C">
      <w:r w:rsidRPr="00C52A0B">
        <w:t xml:space="preserve">Cadmus followed the evaluation plan for each program’s process evaluation with three exceptions, which Cadmus explained in the PY7 </w:t>
      </w:r>
      <w:r w:rsidR="00A83E08">
        <w:t>a</w:t>
      </w:r>
      <w:r w:rsidRPr="00C52A0B">
        <w:t xml:space="preserve">nnual </w:t>
      </w:r>
      <w:r w:rsidR="00A83E08">
        <w:t>r</w:t>
      </w:r>
      <w:r w:rsidRPr="00C52A0B">
        <w:t xml:space="preserve">eport: (1) Cadmus did not achieve the planned goal of surveying manufactured home participants in the Residential Home Comfort Program because there was only one participant (see Section 7.4.2 of the </w:t>
      </w:r>
      <w:r w:rsidR="00A83E08">
        <w:t>a</w:t>
      </w:r>
      <w:r w:rsidRPr="00C52A0B">
        <w:t xml:space="preserve">nnual </w:t>
      </w:r>
      <w:r w:rsidR="00A83E08">
        <w:t>r</w:t>
      </w:r>
      <w:r w:rsidRPr="00C52A0B">
        <w:t xml:space="preserve">eport). (2) Cadmus did not obtain the targeted number of Residential Home Comfort Program participant surveys to achieve the planned 90/10 confidence/precision. (3) Cadmus increased the number of planned surveys of heat pump water heater participants and residential customers for the Residential Retail Program, to achieve the targeted number of completes (see Section 7.4.2 of the </w:t>
      </w:r>
      <w:r w:rsidR="00A83E08">
        <w:t>a</w:t>
      </w:r>
      <w:r w:rsidRPr="00C52A0B">
        <w:t xml:space="preserve">nnual </w:t>
      </w:r>
      <w:r w:rsidR="00A83E08">
        <w:t>r</w:t>
      </w:r>
      <w:r w:rsidRPr="00C52A0B">
        <w:t>eport).</w:t>
      </w:r>
    </w:p>
    <w:p w:rsidR="002E051C" w:rsidRPr="002E051C" w:rsidRDefault="002E051C" w:rsidP="002E051C"/>
    <w:p w:rsidR="002E051C" w:rsidRPr="002E051C" w:rsidRDefault="002E051C" w:rsidP="002E051C">
      <w:r w:rsidRPr="002E051C">
        <w:t>The findings were clearly presented, and overall the conclusions were well supported by the findings. The conclusions were mostly concise and informative, but the SWE Team noted two conclusions that did not have, but likely could have had, accompanying recommendations. The recommendations followed from the conclusions, and most of the recommendations were clear and actionable. The SWE Team did note two recommendations that included multiple recommendations that could be separated, and two recommendations that were too vague and not clearly actionable.</w:t>
      </w:r>
    </w:p>
    <w:p w:rsidR="002E051C" w:rsidRPr="002E051C" w:rsidRDefault="002E051C" w:rsidP="002E051C"/>
    <w:p w:rsidR="002E051C" w:rsidRPr="002E051C" w:rsidRDefault="002E051C" w:rsidP="00D405A7">
      <w:pPr>
        <w:pStyle w:val="6spacenormal"/>
      </w:pPr>
      <w:r w:rsidRPr="002E051C">
        <w:t xml:space="preserve">For each program, a brief program description, summary of the process evaluation findings, and review (audit) of the annual report follow below. The SWE Team notes three comments about the methods discussions for the process evaluations of all programs: </w:t>
      </w:r>
    </w:p>
    <w:p w:rsidR="00EE15A5" w:rsidRPr="00D405A7" w:rsidRDefault="00EE15A5" w:rsidP="00E646C9">
      <w:pPr>
        <w:pStyle w:val="ListParagraph"/>
        <w:numPr>
          <w:ilvl w:val="0"/>
          <w:numId w:val="120"/>
        </w:numPr>
        <w:ind w:left="360"/>
      </w:pPr>
      <w:r w:rsidRPr="00D405A7">
        <w:t>The sample and disposition tables for the surveys conducted as part of the process evaluation are missing the survey mode (web, phone, mail) used to conduct each survey. The addition of the survey mode would complete the tables and make it so the reader does not have to refer to the text to find which mode was used. The SWE Team notes that it did not include survey mode in this table’s template provided to the EDCs, but that the mode would be a good addition.</w:t>
      </w:r>
    </w:p>
    <w:p w:rsidR="00EE15A5" w:rsidRPr="00D405A7" w:rsidRDefault="00EE15A5" w:rsidP="00E646C9">
      <w:pPr>
        <w:pStyle w:val="ListParagraph"/>
        <w:numPr>
          <w:ilvl w:val="0"/>
          <w:numId w:val="120"/>
        </w:numPr>
        <w:ind w:left="360"/>
      </w:pPr>
      <w:r w:rsidRPr="00D405A7">
        <w:t xml:space="preserve">Including more information about the methods used to conduct analyses, such as the type of analysis (e.g., means, medians, frequencies, percentages, qualitative coding.) and type of test (e.g., Chi-square, t-test) and values of the statistical tests conducted, would be very informative. </w:t>
      </w:r>
    </w:p>
    <w:p w:rsidR="002E051C" w:rsidRPr="00D405A7" w:rsidRDefault="00EE15A5" w:rsidP="00BC1E78">
      <w:pPr>
        <w:ind w:left="360"/>
      </w:pPr>
      <w:r w:rsidRPr="00D405A7">
        <w:t xml:space="preserve">Including more methodological details about the survey of Low-Income Energy-Efficiency Behavior &amp; Education Program participants would be helpful, since it was used for calculating program savings from the free LED bulb. </w:t>
      </w:r>
    </w:p>
    <w:p w:rsidR="00A83E08" w:rsidRDefault="00A83E08" w:rsidP="00D405A7"/>
    <w:p w:rsidR="002E051C" w:rsidRPr="002E051C" w:rsidRDefault="002E051C" w:rsidP="007B2E72">
      <w:pPr>
        <w:pStyle w:val="AppendixBHeading3"/>
      </w:pPr>
      <w:r w:rsidRPr="002E051C">
        <w:t>Residential Energy-Efficiency Behavior &amp; Education Program</w:t>
      </w:r>
    </w:p>
    <w:p w:rsidR="002E051C" w:rsidRPr="002E051C" w:rsidRDefault="002E051C" w:rsidP="007B2E72">
      <w:pPr>
        <w:pStyle w:val="AppendixBHeading4"/>
      </w:pPr>
      <w:r w:rsidRPr="002E051C">
        <w:t>Brief Overview of the Program and Its Success</w:t>
      </w:r>
    </w:p>
    <w:p w:rsidR="002E051C" w:rsidRPr="002E051C" w:rsidRDefault="002E051C" w:rsidP="002E051C">
      <w:r w:rsidRPr="002E051C">
        <w:t xml:space="preserve">The Residential Energy-Efficiency Behavior &amp; Education Program informs customers about their home energy consumption and encourages them to adopt low-cost energy savings home improvements and behaviors through HERs. Customers receive a HER sent by mail every other month, or by email every month if a valid email address is on file. HERs contain the customer’s household energy use data, a neighbor comparison of energy use, and three low-cost energy savings steps. </w:t>
      </w:r>
    </w:p>
    <w:p w:rsidR="002E051C" w:rsidRPr="002E051C" w:rsidRDefault="002E051C" w:rsidP="002E051C"/>
    <w:p w:rsidR="002E051C" w:rsidRPr="002E051C" w:rsidRDefault="002E051C" w:rsidP="002E051C">
      <w:r w:rsidRPr="002E051C">
        <w:t xml:space="preserve">The implementer for this program is </w:t>
      </w:r>
      <w:r w:rsidR="00A92A46">
        <w:t>OPower</w:t>
      </w:r>
      <w:r w:rsidRPr="002E051C">
        <w:t xml:space="preserve">, which selects eligible customers and produces and distributes the HERs. An RCT is used to determine who receives reports, in which customers selected by </w:t>
      </w:r>
      <w:r w:rsidR="00A92A46">
        <w:t>OPower</w:t>
      </w:r>
      <w:r w:rsidRPr="002E051C">
        <w:t xml:space="preserve"> are randomly assigned by Cadmus to either a treatment group (recipients of HERs) or a control group (non-recipients). The control group is unaware of the HERs and is used as a comparison for measuring the treatment group’s energy savings resulting from the program. </w:t>
      </w:r>
    </w:p>
    <w:p w:rsidR="002E051C" w:rsidRPr="002E051C" w:rsidRDefault="002E051C" w:rsidP="002E051C"/>
    <w:p w:rsidR="002E051C" w:rsidRPr="002E051C" w:rsidRDefault="002E051C" w:rsidP="002E051C">
      <w:pPr>
        <w:autoSpaceDE w:val="0"/>
        <w:autoSpaceDN w:val="0"/>
        <w:adjustRightInd w:val="0"/>
        <w:jc w:val="left"/>
        <w:rPr>
          <w:rFonts w:cs="Calibri"/>
          <w:color w:val="000000"/>
        </w:rPr>
      </w:pPr>
      <w:r w:rsidRPr="002E051C">
        <w:rPr>
          <w:rFonts w:cs="Calibri"/>
        </w:rPr>
        <w:t>Because of its strong savings performance in PY6, the program ceased delivery of HERs at the end of Q2 in PY7. As a result, treatment-group customers received about three paper HERs by mail and five emailed HERs in PY7.</w:t>
      </w:r>
    </w:p>
    <w:p w:rsidR="002E051C" w:rsidRPr="002E051C" w:rsidRDefault="002E051C" w:rsidP="002E051C">
      <w:pPr>
        <w:rPr>
          <w:rFonts w:cs="Calibri"/>
          <w:color w:val="000000"/>
        </w:rPr>
      </w:pPr>
    </w:p>
    <w:p w:rsidR="002E051C" w:rsidRPr="002E051C" w:rsidRDefault="002E051C" w:rsidP="002E051C">
      <w:r w:rsidRPr="002E051C">
        <w:t>The Residential Energy-Efficiency Behavior &amp; Education Program exceeded its PY7 and Phase II planned MWh/yr savings and nearly met its planned participation. The program planned 30,749 MWh/yr savings, and at the end of PY7 achieved 39,078 MWh/yr savings, or 127% of planned savings. The program also planned 128,000 participants and achieved 126,290 participants, or 99% of planned participation.</w:t>
      </w:r>
    </w:p>
    <w:p w:rsidR="002E051C" w:rsidRPr="002E051C" w:rsidRDefault="002E051C" w:rsidP="002E051C"/>
    <w:p w:rsidR="002E051C" w:rsidRPr="002E051C" w:rsidRDefault="002E051C" w:rsidP="007B2E72">
      <w:pPr>
        <w:pStyle w:val="AppendixBHeading4"/>
      </w:pPr>
      <w:r w:rsidRPr="002E051C">
        <w:t xml:space="preserve">Summary of the Process Evaluation Findings </w:t>
      </w:r>
    </w:p>
    <w:p w:rsidR="002E051C" w:rsidRPr="002E051C" w:rsidRDefault="002E051C" w:rsidP="002E051C">
      <w:pPr>
        <w:spacing w:after="120"/>
      </w:pPr>
      <w:r w:rsidRPr="002E051C">
        <w:t>In PY7</w:t>
      </w:r>
      <w:r w:rsidR="00DB6C11" w:rsidRPr="00C52A0B">
        <w:t xml:space="preserve">, Cadmus conducted a limited process evaluation of the program. Cadmus interviewed </w:t>
      </w:r>
      <w:r w:rsidRPr="002E051C">
        <w:t>one program staff and one implementer</w:t>
      </w:r>
      <w:r w:rsidR="00FB394F">
        <w:t>,</w:t>
      </w:r>
      <w:r w:rsidRPr="002E051C">
        <w:t xml:space="preserve"> and monitored two key performance indicators on a monthly basis: HERs recipients and the call center. The process evaluation findings from PY7 are summarized below:</w:t>
      </w:r>
    </w:p>
    <w:p w:rsidR="002E051C" w:rsidRPr="00D405A7" w:rsidRDefault="002E051C" w:rsidP="00E646C9">
      <w:pPr>
        <w:pStyle w:val="ListParagraph"/>
        <w:numPr>
          <w:ilvl w:val="0"/>
          <w:numId w:val="121"/>
        </w:numPr>
        <w:ind w:left="360"/>
        <w:rPr>
          <w:rFonts w:eastAsia="Calibri"/>
        </w:rPr>
      </w:pPr>
      <w:r w:rsidRPr="00D405A7">
        <w:rPr>
          <w:rFonts w:eastAsia="Calibri"/>
        </w:rPr>
        <w:t>The program manager and implementer did not report any implementation challenges in PY7.</w:t>
      </w:r>
    </w:p>
    <w:p w:rsidR="002E051C" w:rsidRPr="00D405A7" w:rsidRDefault="002E051C" w:rsidP="00E646C9">
      <w:pPr>
        <w:pStyle w:val="ListParagraph"/>
        <w:numPr>
          <w:ilvl w:val="0"/>
          <w:numId w:val="121"/>
        </w:numPr>
        <w:ind w:left="360"/>
        <w:rPr>
          <w:rFonts w:eastAsia="Calibri"/>
        </w:rPr>
      </w:pPr>
      <w:r w:rsidRPr="00D405A7">
        <w:rPr>
          <w:rFonts w:eastAsia="Calibri"/>
        </w:rPr>
        <w:t>Due to higher than expected savings, the program ceased delivery of HERs at the end of Q2 in PY7; this will help set up participants to make a transition to a new behavior program design for Phase III.</w:t>
      </w:r>
    </w:p>
    <w:p w:rsidR="002E051C" w:rsidRPr="00D405A7" w:rsidRDefault="002E051C" w:rsidP="00E646C9">
      <w:pPr>
        <w:pStyle w:val="ListParagraph"/>
        <w:numPr>
          <w:ilvl w:val="0"/>
          <w:numId w:val="121"/>
        </w:numPr>
        <w:ind w:left="360"/>
        <w:rPr>
          <w:rFonts w:eastAsia="Calibri"/>
        </w:rPr>
      </w:pPr>
      <w:r w:rsidRPr="00D405A7">
        <w:rPr>
          <w:rFonts w:eastAsia="Calibri"/>
        </w:rPr>
        <w:t xml:space="preserve">The program did not meet its </w:t>
      </w:r>
      <w:r w:rsidR="00FB394F" w:rsidRPr="00D405A7">
        <w:rPr>
          <w:rFonts w:eastAsia="Calibri"/>
        </w:rPr>
        <w:t xml:space="preserve">planned </w:t>
      </w:r>
      <w:r w:rsidRPr="00D405A7">
        <w:rPr>
          <w:rFonts w:eastAsia="Calibri"/>
        </w:rPr>
        <w:t xml:space="preserve">participation in PY7 due to attrition during PY6, but still exceeded its </w:t>
      </w:r>
      <w:r w:rsidR="00FB394F" w:rsidRPr="00D405A7">
        <w:rPr>
          <w:rFonts w:eastAsia="Calibri"/>
        </w:rPr>
        <w:t>planned energy savings</w:t>
      </w:r>
      <w:r w:rsidRPr="00D405A7">
        <w:rPr>
          <w:rFonts w:eastAsia="Calibri"/>
        </w:rPr>
        <w:t>.</w:t>
      </w:r>
    </w:p>
    <w:p w:rsidR="002E051C" w:rsidRPr="00D405A7" w:rsidRDefault="002E051C" w:rsidP="00E646C9">
      <w:pPr>
        <w:pStyle w:val="ListParagraph"/>
        <w:numPr>
          <w:ilvl w:val="0"/>
          <w:numId w:val="121"/>
        </w:numPr>
        <w:ind w:left="360"/>
        <w:rPr>
          <w:rFonts w:eastAsia="Calibri"/>
        </w:rPr>
      </w:pPr>
      <w:r w:rsidRPr="00D405A7">
        <w:rPr>
          <w:rFonts w:eastAsia="Calibri"/>
        </w:rPr>
        <w:t>The shortened report delivery period during PY7 resulted in fewer customer calls to the call center.</w:t>
      </w:r>
    </w:p>
    <w:p w:rsidR="002E051C" w:rsidRPr="00D405A7" w:rsidRDefault="002E051C" w:rsidP="00E646C9">
      <w:pPr>
        <w:pStyle w:val="ListParagraph"/>
        <w:numPr>
          <w:ilvl w:val="0"/>
          <w:numId w:val="121"/>
        </w:numPr>
        <w:ind w:left="360"/>
        <w:rPr>
          <w:rFonts w:eastAsia="Calibri"/>
        </w:rPr>
      </w:pPr>
      <w:r w:rsidRPr="00D405A7">
        <w:rPr>
          <w:rFonts w:eastAsia="Calibri"/>
        </w:rPr>
        <w:t>Cadmus created demographic profiles for surveyed participants.</w:t>
      </w:r>
    </w:p>
    <w:p w:rsidR="004057F9" w:rsidRPr="00D405A7" w:rsidRDefault="004057F9" w:rsidP="00E646C9">
      <w:pPr>
        <w:pStyle w:val="ListParagraph"/>
        <w:numPr>
          <w:ilvl w:val="0"/>
          <w:numId w:val="121"/>
        </w:numPr>
        <w:ind w:left="360"/>
        <w:rPr>
          <w:rFonts w:eastAsia="Calibri"/>
        </w:rPr>
      </w:pPr>
      <w:r w:rsidRPr="00D405A7">
        <w:rPr>
          <w:rFonts w:eastAsia="Calibri"/>
        </w:rPr>
        <w:t>The HERs provided an aggregate uplift in participation in (12%) and savings from (5%) other PPL energy efficiency programs.</w:t>
      </w:r>
    </w:p>
    <w:p w:rsidR="002E051C" w:rsidRPr="00D405A7" w:rsidRDefault="002E051C" w:rsidP="00D405A7">
      <w:pPr>
        <w:rPr>
          <w:rFonts w:eastAsia="Calibri"/>
        </w:rPr>
      </w:pPr>
    </w:p>
    <w:p w:rsidR="002E051C" w:rsidRPr="002E051C" w:rsidRDefault="002E051C" w:rsidP="007B2E72">
      <w:pPr>
        <w:pStyle w:val="AppendixBHeading4"/>
      </w:pPr>
      <w:r w:rsidRPr="002E051C">
        <w:t>Summary of the Process Evaluation Audit</w:t>
      </w:r>
    </w:p>
    <w:p w:rsidR="002E051C" w:rsidRPr="002E051C" w:rsidRDefault="002E051C" w:rsidP="002E051C">
      <w:r w:rsidRPr="002E051C">
        <w:t xml:space="preserve">The research activities were consistent with the Phase II evaluation plan, which calls for one process evaluation per program per phase. In PY6, Cadmus performed a full process evaluation that included interviews with staff and participants and a review of databases, program materials, and other documents. In PY7, Cadmus followed the plan for process evaluation activities for that year, which </w:t>
      </w:r>
      <w:r w:rsidR="004057F9">
        <w:t xml:space="preserve">was more limited and </w:t>
      </w:r>
      <w:r w:rsidRPr="002E051C">
        <w:t>included fewer activities than in PY6.</w:t>
      </w:r>
    </w:p>
    <w:p w:rsidR="002E051C" w:rsidRPr="002E051C" w:rsidRDefault="002E051C" w:rsidP="002E051C"/>
    <w:p w:rsidR="002E051C" w:rsidRPr="002E051C" w:rsidRDefault="002E051C" w:rsidP="002E051C">
      <w:r w:rsidRPr="002E051C">
        <w:t xml:space="preserve">In the PY7 report, Cadmus adequately explained the evaluation methods and findings, and included the necessary tables. The recommendations were actionable and follow from the conclusions, and ample evidence was provided to support the conclusions. The report also included a table of recommendations with a description of whether PPL was implementing or considering those recommendations. In addition, Cadmus included some findings from its evaluation of this program, such as readership of the HERs, in the Low-Income Energy-Efficiency Behavior &amp; Education Program chapter and not in this chapter. </w:t>
      </w:r>
    </w:p>
    <w:p w:rsidR="002E051C" w:rsidRPr="002E051C" w:rsidRDefault="002E051C" w:rsidP="002E051C"/>
    <w:p w:rsidR="002E051C" w:rsidRPr="002E051C" w:rsidRDefault="002E051C" w:rsidP="007B2E72">
      <w:pPr>
        <w:pStyle w:val="AppendixBHeading3"/>
      </w:pPr>
      <w:r w:rsidRPr="002E051C">
        <w:t>Residential Home Comfort Program</w:t>
      </w:r>
    </w:p>
    <w:p w:rsidR="002E051C" w:rsidRPr="002E051C" w:rsidRDefault="002E051C" w:rsidP="007B2E72">
      <w:pPr>
        <w:pStyle w:val="AppendixBHeading4"/>
      </w:pPr>
      <w:r w:rsidRPr="002E051C">
        <w:t>Brief Overview of the Program and Its Success</w:t>
      </w:r>
    </w:p>
    <w:p w:rsidR="002E051C" w:rsidRPr="002E051C" w:rsidRDefault="002E051C" w:rsidP="002E051C">
      <w:pPr>
        <w:spacing w:after="120"/>
      </w:pPr>
      <w:r w:rsidRPr="002E051C">
        <w:t xml:space="preserve">The Residential Home Comfort Program achieves residential energy savings by offering energy efficient products, rebates, education, and services for new construction and retrofitting of existing homes. The range of services offered allows customers to customize solutions to decrease their home’s energy usage. CLEAResult is the implementer. The program has five components: </w:t>
      </w:r>
    </w:p>
    <w:p w:rsidR="002E051C" w:rsidRPr="00971E73" w:rsidRDefault="002E051C" w:rsidP="0036185D">
      <w:pPr>
        <w:numPr>
          <w:ilvl w:val="0"/>
          <w:numId w:val="20"/>
        </w:numPr>
        <w:spacing w:after="120"/>
        <w:ind w:left="360"/>
        <w:rPr>
          <w:szCs w:val="20"/>
        </w:rPr>
      </w:pPr>
      <w:r w:rsidRPr="00971E73">
        <w:rPr>
          <w:bCs/>
          <w:szCs w:val="20"/>
        </w:rPr>
        <w:t>New homes</w:t>
      </w:r>
      <w:r w:rsidR="00971E73">
        <w:rPr>
          <w:bCs/>
          <w:szCs w:val="20"/>
        </w:rPr>
        <w:t>, which</w:t>
      </w:r>
      <w:r w:rsidRPr="00971E73">
        <w:rPr>
          <w:bCs/>
          <w:szCs w:val="20"/>
        </w:rPr>
        <w:t xml:space="preserve"> </w:t>
      </w:r>
      <w:r w:rsidRPr="00971E73">
        <w:rPr>
          <w:szCs w:val="20"/>
        </w:rPr>
        <w:t xml:space="preserve">encourages construction of energy efficient new homes through two paths: </w:t>
      </w:r>
    </w:p>
    <w:p w:rsidR="002E051C" w:rsidRPr="00971E73" w:rsidRDefault="002E051C" w:rsidP="0036185D">
      <w:pPr>
        <w:numPr>
          <w:ilvl w:val="1"/>
          <w:numId w:val="19"/>
        </w:numPr>
        <w:spacing w:after="120"/>
        <w:ind w:left="1080"/>
        <w:rPr>
          <w:szCs w:val="20"/>
        </w:rPr>
      </w:pPr>
      <w:r w:rsidRPr="00971E73">
        <w:rPr>
          <w:bCs/>
          <w:szCs w:val="20"/>
        </w:rPr>
        <w:t xml:space="preserve">The prescriptive path </w:t>
      </w:r>
      <w:r w:rsidRPr="00971E73">
        <w:rPr>
          <w:szCs w:val="20"/>
        </w:rPr>
        <w:t xml:space="preserve">offers a $2,000 rebate to builders for installing a specific package of six efficient products: SEER 16+ </w:t>
      </w:r>
      <w:r w:rsidR="00971E73">
        <w:rPr>
          <w:szCs w:val="20"/>
        </w:rPr>
        <w:t>ASHP</w:t>
      </w:r>
      <w:r w:rsidRPr="00971E73">
        <w:rPr>
          <w:szCs w:val="20"/>
        </w:rPr>
        <w:t xml:space="preserve">, EF 2.3+ </w:t>
      </w:r>
      <w:r w:rsidR="00971E73">
        <w:rPr>
          <w:szCs w:val="20"/>
        </w:rPr>
        <w:t>HPWH</w:t>
      </w:r>
      <w:r w:rsidRPr="00971E73">
        <w:rPr>
          <w:szCs w:val="20"/>
        </w:rPr>
        <w:t>, ENERGY STAR refrigerator, ENERGY STAR dishwasher, R20+ wall insulation, and R49+ ceiling insulation.</w:t>
      </w:r>
    </w:p>
    <w:p w:rsidR="002E051C" w:rsidRPr="00971E73" w:rsidRDefault="002E051C" w:rsidP="0036185D">
      <w:pPr>
        <w:numPr>
          <w:ilvl w:val="1"/>
          <w:numId w:val="19"/>
        </w:numPr>
        <w:spacing w:after="120"/>
        <w:ind w:left="1080"/>
        <w:rPr>
          <w:szCs w:val="20"/>
        </w:rPr>
      </w:pPr>
      <w:r w:rsidRPr="00971E73">
        <w:rPr>
          <w:bCs/>
          <w:szCs w:val="20"/>
        </w:rPr>
        <w:t xml:space="preserve">The HERS approach </w:t>
      </w:r>
      <w:r w:rsidRPr="00971E73">
        <w:rPr>
          <w:szCs w:val="20"/>
        </w:rPr>
        <w:t>offers builders a rebate of $0.30 per kWh</w:t>
      </w:r>
      <w:r w:rsidR="001925CA" w:rsidRPr="00971E73">
        <w:rPr>
          <w:szCs w:val="20"/>
        </w:rPr>
        <w:t>/yr</w:t>
      </w:r>
      <w:r w:rsidRPr="00971E73">
        <w:rPr>
          <w:szCs w:val="20"/>
        </w:rPr>
        <w:t xml:space="preserve"> saved (up to $2,000) for homes built with any combination of a specific package of products. </w:t>
      </w:r>
    </w:p>
    <w:p w:rsidR="002E051C" w:rsidRPr="00971E73" w:rsidRDefault="002E051C" w:rsidP="0036185D">
      <w:pPr>
        <w:numPr>
          <w:ilvl w:val="0"/>
          <w:numId w:val="20"/>
        </w:numPr>
        <w:spacing w:after="120"/>
        <w:ind w:left="360"/>
        <w:rPr>
          <w:szCs w:val="20"/>
        </w:rPr>
      </w:pPr>
      <w:r w:rsidRPr="00971E73">
        <w:rPr>
          <w:bCs/>
          <w:szCs w:val="20"/>
        </w:rPr>
        <w:t>Manufactured homes</w:t>
      </w:r>
      <w:r w:rsidR="00971E73">
        <w:rPr>
          <w:bCs/>
          <w:szCs w:val="20"/>
        </w:rPr>
        <w:t>, which</w:t>
      </w:r>
      <w:r w:rsidRPr="00971E73">
        <w:rPr>
          <w:bCs/>
          <w:szCs w:val="20"/>
        </w:rPr>
        <w:t xml:space="preserve"> </w:t>
      </w:r>
      <w:r w:rsidRPr="00971E73">
        <w:rPr>
          <w:szCs w:val="20"/>
        </w:rPr>
        <w:t xml:space="preserve">offers a $1,200 rebate to buyers of an ENERGY STAR–manufactured home and an additional rebate of up to $300 for the installation of efficient heating. </w:t>
      </w:r>
    </w:p>
    <w:p w:rsidR="002E051C" w:rsidRPr="00971E73" w:rsidRDefault="002E051C" w:rsidP="0036185D">
      <w:pPr>
        <w:numPr>
          <w:ilvl w:val="0"/>
          <w:numId w:val="20"/>
        </w:numPr>
        <w:spacing w:after="120"/>
        <w:ind w:left="360"/>
        <w:rPr>
          <w:szCs w:val="20"/>
        </w:rPr>
      </w:pPr>
      <w:r w:rsidRPr="00971E73">
        <w:rPr>
          <w:bCs/>
          <w:szCs w:val="20"/>
        </w:rPr>
        <w:t xml:space="preserve">Audits </w:t>
      </w:r>
      <w:r w:rsidRPr="00971E73">
        <w:rPr>
          <w:szCs w:val="20"/>
        </w:rPr>
        <w:t xml:space="preserve">provide customer rebates for professional comprehensive home energy audits or a less comprehensive home survey. </w:t>
      </w:r>
    </w:p>
    <w:p w:rsidR="002E051C" w:rsidRPr="00971E73" w:rsidRDefault="002E051C" w:rsidP="0036185D">
      <w:pPr>
        <w:numPr>
          <w:ilvl w:val="0"/>
          <w:numId w:val="20"/>
        </w:numPr>
        <w:spacing w:after="120"/>
        <w:ind w:left="360"/>
        <w:rPr>
          <w:szCs w:val="20"/>
        </w:rPr>
      </w:pPr>
      <w:r w:rsidRPr="00971E73">
        <w:rPr>
          <w:bCs/>
          <w:szCs w:val="20"/>
        </w:rPr>
        <w:t>Weatherization</w:t>
      </w:r>
      <w:r w:rsidRPr="00971E73">
        <w:rPr>
          <w:szCs w:val="20"/>
        </w:rPr>
        <w:t xml:space="preserve">, based on recommendations from an audit, provides rebates for ceiling and wall insulation and for air sealing. </w:t>
      </w:r>
    </w:p>
    <w:p w:rsidR="002E051C" w:rsidRPr="00971E73" w:rsidRDefault="002E051C" w:rsidP="0036185D">
      <w:pPr>
        <w:numPr>
          <w:ilvl w:val="0"/>
          <w:numId w:val="20"/>
        </w:numPr>
        <w:ind w:left="360"/>
        <w:contextualSpacing/>
        <w:rPr>
          <w:szCs w:val="20"/>
        </w:rPr>
      </w:pPr>
      <w:r w:rsidRPr="00971E73">
        <w:rPr>
          <w:bCs/>
          <w:szCs w:val="20"/>
        </w:rPr>
        <w:t xml:space="preserve">Energy efficient equipment </w:t>
      </w:r>
      <w:r w:rsidRPr="00971E73">
        <w:rPr>
          <w:szCs w:val="20"/>
        </w:rPr>
        <w:t xml:space="preserve">provides rebates for purchasing high-efficiency </w:t>
      </w:r>
      <w:r w:rsidR="00971E73">
        <w:rPr>
          <w:szCs w:val="20"/>
        </w:rPr>
        <w:t>ASHPs</w:t>
      </w:r>
      <w:r w:rsidRPr="00971E73">
        <w:rPr>
          <w:szCs w:val="20"/>
        </w:rPr>
        <w:t xml:space="preserve">, </w:t>
      </w:r>
      <w:r w:rsidR="00971E73">
        <w:rPr>
          <w:szCs w:val="20"/>
        </w:rPr>
        <w:t>DHPs</w:t>
      </w:r>
      <w:r w:rsidRPr="00971E73">
        <w:rPr>
          <w:szCs w:val="20"/>
        </w:rPr>
        <w:t>, above- or in-ground pool pumps, central air-conditioning, ECM furnace fans, whole house fans, and fuel switching.</w:t>
      </w:r>
    </w:p>
    <w:p w:rsidR="002E051C" w:rsidRPr="002E051C" w:rsidRDefault="002E051C" w:rsidP="002E051C">
      <w:pPr>
        <w:contextualSpacing/>
        <w:rPr>
          <w:bCs/>
          <w:szCs w:val="20"/>
        </w:rPr>
      </w:pPr>
    </w:p>
    <w:p w:rsidR="002E051C" w:rsidRPr="002E051C" w:rsidRDefault="002E051C" w:rsidP="002E051C">
      <w:pPr>
        <w:contextualSpacing/>
        <w:rPr>
          <w:bCs/>
          <w:szCs w:val="20"/>
        </w:rPr>
      </w:pPr>
      <w:r w:rsidRPr="002E051C">
        <w:rPr>
          <w:bCs/>
          <w:szCs w:val="20"/>
        </w:rPr>
        <w:t xml:space="preserve">In PY7, PPL added additional rebates to the program, including $100 for air sealing from </w:t>
      </w:r>
      <w:r w:rsidRPr="002E051C">
        <w:t>Building Performance Institute</w:t>
      </w:r>
      <w:r w:rsidRPr="002E051C">
        <w:rPr>
          <w:b/>
        </w:rPr>
        <w:t>–</w:t>
      </w:r>
      <w:r w:rsidRPr="002E051C">
        <w:rPr>
          <w:bCs/>
          <w:szCs w:val="20"/>
        </w:rPr>
        <w:t xml:space="preserve">certified contractors, $100 for purchasing and installing an ECM furnace fan, $200 for purchasing and installing a whole house fan, $250 for a 16+ SEER central air conditioner, and $150 for installing a variable-speed above-ground pool pump. </w:t>
      </w:r>
    </w:p>
    <w:p w:rsidR="002E051C" w:rsidRPr="002E051C" w:rsidRDefault="002E051C" w:rsidP="002E051C">
      <w:pPr>
        <w:contextualSpacing/>
        <w:rPr>
          <w:bCs/>
          <w:szCs w:val="20"/>
        </w:rPr>
      </w:pPr>
    </w:p>
    <w:p w:rsidR="002E051C" w:rsidRPr="002E051C" w:rsidRDefault="004057F9" w:rsidP="002E051C">
      <w:pPr>
        <w:contextualSpacing/>
        <w:rPr>
          <w:szCs w:val="20"/>
        </w:rPr>
      </w:pPr>
      <w:r w:rsidRPr="00C52A0B">
        <w:rPr>
          <w:bCs/>
          <w:szCs w:val="20"/>
        </w:rPr>
        <w:t>The Residential Home Comfort Program exceeded its planned energy savings and participation for PY7 and Phase II. In PY7, the program achieved 131% of planned MWh/yr energy savings and 109% of planned participation. In all of Phase II, the program achieved 122% of its MWh/yr planned energy savings</w:t>
      </w:r>
      <w:r>
        <w:rPr>
          <w:bCs/>
          <w:szCs w:val="20"/>
        </w:rPr>
        <w:t xml:space="preserve"> </w:t>
      </w:r>
      <w:r w:rsidRPr="00C52A0B">
        <w:rPr>
          <w:bCs/>
          <w:szCs w:val="20"/>
        </w:rPr>
        <w:t>and 103% of planned participation</w:t>
      </w:r>
      <w:r w:rsidR="002E051C" w:rsidRPr="002E051C">
        <w:rPr>
          <w:bCs/>
          <w:szCs w:val="20"/>
        </w:rPr>
        <w:t>.</w:t>
      </w:r>
    </w:p>
    <w:p w:rsidR="002E051C" w:rsidRPr="002E051C" w:rsidRDefault="002E051C" w:rsidP="002E051C"/>
    <w:p w:rsidR="002E051C" w:rsidRPr="002E051C" w:rsidRDefault="002E051C" w:rsidP="007B2E72">
      <w:pPr>
        <w:pStyle w:val="AppendixBHeading4"/>
      </w:pPr>
      <w:r w:rsidRPr="002E051C">
        <w:t>Summary of the Process Evaluation Findings</w:t>
      </w:r>
    </w:p>
    <w:p w:rsidR="002E051C" w:rsidRPr="002E051C" w:rsidRDefault="002E051C" w:rsidP="002E051C">
      <w:pPr>
        <w:spacing w:after="120"/>
        <w:rPr>
          <w:rFonts w:cs="Calibri"/>
          <w:color w:val="000000"/>
        </w:rPr>
      </w:pPr>
      <w:r w:rsidRPr="002E051C">
        <w:t>In PY7, Cadmus conducted interviews with p</w:t>
      </w:r>
      <w:r w:rsidRPr="002E051C">
        <w:rPr>
          <w:szCs w:val="20"/>
        </w:rPr>
        <w:t>rogram staff and the implementer (n=2), cross-program participant surveys (n=286), and a program database review. Cadmus also measured two key program performance indicators: customer satisfaction and customer complaints.</w:t>
      </w:r>
      <w:r w:rsidRPr="002E051C">
        <w:rPr>
          <w:rFonts w:cs="Calibri"/>
          <w:color w:val="000000"/>
        </w:rPr>
        <w:t xml:space="preserve"> The following findings emerged from the evaluation:</w:t>
      </w:r>
    </w:p>
    <w:p w:rsidR="002E051C" w:rsidRPr="00D405A7" w:rsidRDefault="002E051C" w:rsidP="00E646C9">
      <w:pPr>
        <w:pStyle w:val="ListParagraph"/>
        <w:numPr>
          <w:ilvl w:val="0"/>
          <w:numId w:val="122"/>
        </w:numPr>
        <w:ind w:left="360"/>
        <w:rPr>
          <w:rFonts w:eastAsia="Calibri"/>
        </w:rPr>
      </w:pPr>
      <w:r w:rsidRPr="00D405A7">
        <w:rPr>
          <w:rFonts w:eastAsia="Calibri"/>
        </w:rPr>
        <w:t xml:space="preserve">Overall, the program is meeting </w:t>
      </w:r>
      <w:r w:rsidR="004057F9" w:rsidRPr="00D405A7">
        <w:rPr>
          <w:rFonts w:eastAsia="Calibri"/>
        </w:rPr>
        <w:t>planned</w:t>
      </w:r>
      <w:r w:rsidRPr="00D405A7">
        <w:rPr>
          <w:rFonts w:eastAsia="Calibri"/>
        </w:rPr>
        <w:t xml:space="preserve"> energy savings and </w:t>
      </w:r>
      <w:r w:rsidR="004057F9" w:rsidRPr="00D405A7">
        <w:rPr>
          <w:rFonts w:eastAsia="Calibri"/>
        </w:rPr>
        <w:t>participation</w:t>
      </w:r>
      <w:r w:rsidRPr="00D405A7">
        <w:rPr>
          <w:rFonts w:eastAsia="Calibri"/>
        </w:rPr>
        <w:t>.</w:t>
      </w:r>
    </w:p>
    <w:p w:rsidR="002E051C" w:rsidRPr="00D405A7" w:rsidRDefault="002E051C" w:rsidP="00E646C9">
      <w:pPr>
        <w:pStyle w:val="ListParagraph"/>
        <w:numPr>
          <w:ilvl w:val="0"/>
          <w:numId w:val="122"/>
        </w:numPr>
        <w:ind w:left="360"/>
        <w:rPr>
          <w:rFonts w:eastAsia="Calibri"/>
        </w:rPr>
      </w:pPr>
      <w:r w:rsidRPr="00D405A7">
        <w:rPr>
          <w:rFonts w:eastAsia="Calibri"/>
        </w:rPr>
        <w:t>The conversion rate for those who followed through on installing measures after an energy audit was 38% for PY7.</w:t>
      </w:r>
    </w:p>
    <w:p w:rsidR="002E051C" w:rsidRPr="00D405A7" w:rsidRDefault="002E051C" w:rsidP="00E646C9">
      <w:pPr>
        <w:pStyle w:val="ListParagraph"/>
        <w:numPr>
          <w:ilvl w:val="0"/>
          <w:numId w:val="122"/>
        </w:numPr>
        <w:ind w:left="360"/>
        <w:rPr>
          <w:rFonts w:eastAsia="Calibri"/>
        </w:rPr>
      </w:pPr>
      <w:r w:rsidRPr="00D405A7">
        <w:rPr>
          <w:rFonts w:eastAsia="Calibri"/>
        </w:rPr>
        <w:t>High up-front costs of an audit continued to be a barrier to participation in PY7; the rebate, which covers a high percentage of the cost, was sent after the audit and thus did not reduce up-front costs.</w:t>
      </w:r>
    </w:p>
    <w:p w:rsidR="002E051C" w:rsidRPr="00D405A7" w:rsidRDefault="00971E73" w:rsidP="00E646C9">
      <w:pPr>
        <w:pStyle w:val="ListParagraph"/>
        <w:numPr>
          <w:ilvl w:val="0"/>
          <w:numId w:val="122"/>
        </w:numPr>
        <w:ind w:left="360"/>
        <w:rPr>
          <w:rFonts w:eastAsia="Calibri"/>
        </w:rPr>
      </w:pPr>
      <w:r w:rsidRPr="00D405A7">
        <w:rPr>
          <w:rFonts w:eastAsia="Calibri"/>
        </w:rPr>
        <w:t>DHPs</w:t>
      </w:r>
      <w:r w:rsidR="002E051C" w:rsidRPr="00D405A7">
        <w:rPr>
          <w:rFonts w:eastAsia="Calibri"/>
        </w:rPr>
        <w:t xml:space="preserve"> achieved the most savings in PY7.</w:t>
      </w:r>
    </w:p>
    <w:p w:rsidR="002E051C" w:rsidRPr="00D405A7" w:rsidRDefault="002E051C" w:rsidP="00E646C9">
      <w:pPr>
        <w:pStyle w:val="ListParagraph"/>
        <w:numPr>
          <w:ilvl w:val="0"/>
          <w:numId w:val="122"/>
        </w:numPr>
        <w:ind w:left="360"/>
        <w:rPr>
          <w:rFonts w:eastAsia="Calibri"/>
        </w:rPr>
      </w:pPr>
      <w:r w:rsidRPr="00D405A7">
        <w:rPr>
          <w:rFonts w:eastAsia="Calibri"/>
        </w:rPr>
        <w:t>The new homes prescriptive path (n=2) and manufactured home offerings (n=1) continued to not perform as well as planned. For the manufactured home offerings, the implementer noted difficulties in promotion, an insufficient incentive amount, and a low percentage of manufactured homes that use electric heat.</w:t>
      </w:r>
    </w:p>
    <w:p w:rsidR="002E051C" w:rsidRPr="00D405A7" w:rsidRDefault="002E051C" w:rsidP="00E646C9">
      <w:pPr>
        <w:pStyle w:val="ListParagraph"/>
        <w:numPr>
          <w:ilvl w:val="0"/>
          <w:numId w:val="122"/>
        </w:numPr>
        <w:ind w:left="360"/>
        <w:rPr>
          <w:rFonts w:eastAsia="Calibri"/>
        </w:rPr>
      </w:pPr>
      <w:r w:rsidRPr="00D405A7">
        <w:rPr>
          <w:rFonts w:eastAsia="Calibri"/>
        </w:rPr>
        <w:t>The rigidity of the prescriptive path, in which contractors had to install specific products, led to lower participation; builders believed the product requirements were too strict.</w:t>
      </w:r>
    </w:p>
    <w:p w:rsidR="002E051C" w:rsidRPr="00D405A7" w:rsidRDefault="002E051C" w:rsidP="00E646C9">
      <w:pPr>
        <w:pStyle w:val="ListParagraph"/>
        <w:numPr>
          <w:ilvl w:val="0"/>
          <w:numId w:val="122"/>
        </w:numPr>
        <w:ind w:left="360"/>
        <w:rPr>
          <w:rFonts w:eastAsia="Calibri"/>
        </w:rPr>
      </w:pPr>
      <w:r w:rsidRPr="00D405A7">
        <w:rPr>
          <w:rFonts w:eastAsia="Calibri"/>
        </w:rPr>
        <w:t>The HERS new home approach performed much better than planned in PY7 due to the increased flexibility that builders have in installing measures to qualify a home for incentives.</w:t>
      </w:r>
    </w:p>
    <w:p w:rsidR="002E051C" w:rsidRPr="00D405A7" w:rsidRDefault="002E051C" w:rsidP="00E646C9">
      <w:pPr>
        <w:pStyle w:val="ListParagraph"/>
        <w:numPr>
          <w:ilvl w:val="0"/>
          <w:numId w:val="122"/>
        </w:numPr>
        <w:ind w:left="360"/>
        <w:rPr>
          <w:rFonts w:eastAsia="Calibri"/>
        </w:rPr>
      </w:pPr>
      <w:r w:rsidRPr="00D405A7">
        <w:rPr>
          <w:rFonts w:eastAsia="Calibri"/>
        </w:rPr>
        <w:t>The new products added in PY7, particularly the central air conditioners, were successful at increasing energy savings.</w:t>
      </w:r>
    </w:p>
    <w:p w:rsidR="002E051C" w:rsidRPr="00D405A7" w:rsidRDefault="002E051C" w:rsidP="00E646C9">
      <w:pPr>
        <w:pStyle w:val="ListParagraph"/>
        <w:numPr>
          <w:ilvl w:val="0"/>
          <w:numId w:val="122"/>
        </w:numPr>
        <w:ind w:left="360"/>
        <w:rPr>
          <w:rFonts w:eastAsia="Calibri"/>
        </w:rPr>
      </w:pPr>
      <w:r w:rsidRPr="00D405A7">
        <w:rPr>
          <w:rFonts w:eastAsia="Calibri"/>
        </w:rPr>
        <w:t>Most of the program offerings strata had increased participation year over year in Phase II; only fuel switching, manufactured homes, and the new construction prescriptive offerings saw declines from PY6 to PY7.</w:t>
      </w:r>
    </w:p>
    <w:p w:rsidR="002E051C" w:rsidRPr="00D405A7" w:rsidRDefault="002E051C" w:rsidP="00E646C9">
      <w:pPr>
        <w:pStyle w:val="ListParagraph"/>
        <w:numPr>
          <w:ilvl w:val="0"/>
          <w:numId w:val="122"/>
        </w:numPr>
        <w:ind w:left="360"/>
        <w:rPr>
          <w:rFonts w:eastAsia="Calibri"/>
        </w:rPr>
      </w:pPr>
      <w:r w:rsidRPr="00D405A7">
        <w:rPr>
          <w:rFonts w:eastAsia="Calibri"/>
        </w:rPr>
        <w:t xml:space="preserve">The program met its customer satisfaction goal of 80% satisfied customers (81% reported being very satisfied, 17% somewhat satisfied) but did not meet its customer complaint goal of zero customer complaints. </w:t>
      </w:r>
    </w:p>
    <w:p w:rsidR="002E051C" w:rsidRPr="00D405A7" w:rsidRDefault="002E051C" w:rsidP="00E646C9">
      <w:pPr>
        <w:pStyle w:val="ListParagraph"/>
        <w:numPr>
          <w:ilvl w:val="0"/>
          <w:numId w:val="122"/>
        </w:numPr>
        <w:ind w:left="360"/>
        <w:rPr>
          <w:rFonts w:eastAsia="Calibri"/>
        </w:rPr>
      </w:pPr>
      <w:r w:rsidRPr="00D405A7">
        <w:rPr>
          <w:rFonts w:eastAsia="Calibri"/>
        </w:rPr>
        <w:t>Customers were most satisfied with the equipment and their contractor and least satisfied with the application and the time it took to receive the rebate. Unsatisfied customers recommended providing clearer rebate information, improving the rebate process, and increasing rebate amounts.</w:t>
      </w:r>
    </w:p>
    <w:p w:rsidR="002E051C" w:rsidRPr="00D405A7" w:rsidRDefault="002E051C" w:rsidP="00E646C9">
      <w:pPr>
        <w:pStyle w:val="ListParagraph"/>
        <w:numPr>
          <w:ilvl w:val="0"/>
          <w:numId w:val="122"/>
        </w:numPr>
        <w:ind w:left="360"/>
        <w:rPr>
          <w:rFonts w:eastAsia="Calibri"/>
        </w:rPr>
      </w:pPr>
      <w:r w:rsidRPr="00D405A7">
        <w:rPr>
          <w:rFonts w:eastAsia="Calibri"/>
        </w:rPr>
        <w:t>Nearly one-fourth (24%) of application forms were returned to customers due to missing information, and this varied by program offering type.</w:t>
      </w:r>
    </w:p>
    <w:p w:rsidR="002E051C" w:rsidRPr="00D405A7" w:rsidRDefault="002E051C" w:rsidP="00E646C9">
      <w:pPr>
        <w:pStyle w:val="ListParagraph"/>
        <w:numPr>
          <w:ilvl w:val="0"/>
          <w:numId w:val="122"/>
        </w:numPr>
        <w:ind w:left="360"/>
        <w:rPr>
          <w:rFonts w:eastAsia="Calibri"/>
        </w:rPr>
      </w:pPr>
      <w:r w:rsidRPr="00D405A7">
        <w:rPr>
          <w:rFonts w:eastAsia="Calibri"/>
        </w:rPr>
        <w:t xml:space="preserve">Customer satisfaction with PPL increased throughout Phase II; in PY7 83% reported high satisfaction and </w:t>
      </w:r>
      <w:r w:rsidR="002D57D9" w:rsidRPr="00D405A7">
        <w:rPr>
          <w:rFonts w:eastAsia="Calibri"/>
        </w:rPr>
        <w:t>36</w:t>
      </w:r>
      <w:r w:rsidRPr="00D405A7">
        <w:rPr>
          <w:rFonts w:eastAsia="Calibri"/>
        </w:rPr>
        <w:t>% reported that their opinion of PPL increased after participating.</w:t>
      </w:r>
    </w:p>
    <w:p w:rsidR="002E051C" w:rsidRPr="00D405A7" w:rsidRDefault="002E051C" w:rsidP="00E646C9">
      <w:pPr>
        <w:pStyle w:val="ListParagraph"/>
        <w:numPr>
          <w:ilvl w:val="0"/>
          <w:numId w:val="122"/>
        </w:numPr>
        <w:ind w:left="360"/>
        <w:rPr>
          <w:rFonts w:eastAsia="Calibri"/>
        </w:rPr>
      </w:pPr>
      <w:r w:rsidRPr="00D405A7">
        <w:rPr>
          <w:rFonts w:eastAsia="Calibri"/>
        </w:rPr>
        <w:t>In PY7, 68% of participants learned about the program from a contractor or vendor, and 19% through a retailer. Nearly half of participants (48%) reported recommending the program to someone else.</w:t>
      </w:r>
    </w:p>
    <w:p w:rsidR="002E051C" w:rsidRPr="00D405A7" w:rsidRDefault="002E051C" w:rsidP="00E646C9">
      <w:pPr>
        <w:pStyle w:val="ListParagraph"/>
        <w:numPr>
          <w:ilvl w:val="0"/>
          <w:numId w:val="122"/>
        </w:numPr>
        <w:ind w:left="360"/>
        <w:rPr>
          <w:rFonts w:eastAsia="Calibri"/>
        </w:rPr>
      </w:pPr>
      <w:r w:rsidRPr="00D405A7">
        <w:rPr>
          <w:rFonts w:eastAsia="Calibri"/>
        </w:rPr>
        <w:t>About one-fourth of surveyed participants reported awareness of other PPL programs. This varied by the type of program offerings customers received.</w:t>
      </w:r>
    </w:p>
    <w:p w:rsidR="002E051C" w:rsidRPr="00D405A7" w:rsidRDefault="002E051C" w:rsidP="00E646C9">
      <w:pPr>
        <w:pStyle w:val="ListParagraph"/>
        <w:numPr>
          <w:ilvl w:val="0"/>
          <w:numId w:val="122"/>
        </w:numPr>
        <w:ind w:left="360"/>
        <w:rPr>
          <w:rFonts w:eastAsia="Calibri"/>
        </w:rPr>
      </w:pPr>
      <w:r w:rsidRPr="00D405A7">
        <w:rPr>
          <w:rFonts w:eastAsia="Calibri"/>
        </w:rPr>
        <w:t>Survey participants reported participating to replace old equipment (53%), to get new equipment with specific features (24%), and to reduce energy costs (17%).</w:t>
      </w:r>
    </w:p>
    <w:p w:rsidR="002E051C" w:rsidRPr="00D405A7" w:rsidRDefault="002E051C" w:rsidP="00E646C9">
      <w:pPr>
        <w:pStyle w:val="ListParagraph"/>
        <w:numPr>
          <w:ilvl w:val="0"/>
          <w:numId w:val="122"/>
        </w:numPr>
        <w:ind w:left="360"/>
        <w:rPr>
          <w:rFonts w:eastAsia="Calibri"/>
        </w:rPr>
      </w:pPr>
      <w:r w:rsidRPr="00D405A7">
        <w:rPr>
          <w:rFonts w:eastAsia="Calibri"/>
        </w:rPr>
        <w:t>Cadmus created demographic profiles for surveyed participants.</w:t>
      </w:r>
    </w:p>
    <w:p w:rsidR="002E051C" w:rsidRPr="002E051C" w:rsidRDefault="002E051C" w:rsidP="002E051C">
      <w:pPr>
        <w:autoSpaceDE w:val="0"/>
        <w:autoSpaceDN w:val="0"/>
        <w:adjustRightInd w:val="0"/>
        <w:contextualSpacing/>
      </w:pPr>
      <w:r w:rsidRPr="002E051C">
        <w:t xml:space="preserve">        </w:t>
      </w:r>
    </w:p>
    <w:p w:rsidR="002E051C" w:rsidRPr="002E051C" w:rsidRDefault="002E051C" w:rsidP="007B2E72">
      <w:pPr>
        <w:pStyle w:val="AppendixBHeading4"/>
      </w:pPr>
      <w:r w:rsidRPr="002E051C">
        <w:t>Summary of the Process Evaluation Audit</w:t>
      </w:r>
    </w:p>
    <w:p w:rsidR="002E051C" w:rsidRPr="002E051C" w:rsidRDefault="002E051C" w:rsidP="002E051C">
      <w:r w:rsidRPr="002E051C">
        <w:t>The research activities were consistent with the Phase II evaluation plan, which calls for one process evaluation per program per phase. In PY6, Cadmus performed a full process evaluation that included interviews with the full cast of program actors and a review of program databases, documentation, and forms. Cadmus followed the plan for process evaluation activities for PY7, except it was unable to meet the goal of surveying manufactured home participants since there was only one in PY7.</w:t>
      </w:r>
    </w:p>
    <w:p w:rsidR="002E051C" w:rsidRPr="002E051C" w:rsidRDefault="002E051C" w:rsidP="002E051C">
      <w:pPr>
        <w:rPr>
          <w:b/>
        </w:rPr>
      </w:pPr>
    </w:p>
    <w:p w:rsidR="005C491D" w:rsidRPr="00C52A0B" w:rsidRDefault="005C491D" w:rsidP="005C491D">
      <w:r w:rsidRPr="00C52A0B">
        <w:t xml:space="preserve">The methodology sections adequately explained the evaluation and included the required sampling and disposition information and tables. Including more information about the methods used to conduct analyses, such as the type of analysis used would be very informative. Cadmus met the targeted number of completed interviews for the E-Power Wise Program evaluation. For the Wise Home Pilot evaluation, Cadmus met the targeted number of completed interviews but achieved only 44 of 60 planned participant surveys. While the survey mode was reported in the text, adding the mode used for surveys (web, phone, mail) in Table 12-33 would complete the table and inform the reader without having to refer to the text where the survey mode is reported. This is particularly true for the satisfaction follow-up surveys that used web and phone but were reported in the sampling and disposition table in the aggregate. </w:t>
      </w:r>
    </w:p>
    <w:p w:rsidR="007D1BFA" w:rsidRDefault="007D1BFA" w:rsidP="002E051C"/>
    <w:p w:rsidR="002E051C" w:rsidRPr="002E051C" w:rsidRDefault="007D1BFA" w:rsidP="002E051C">
      <w:r w:rsidRPr="00C52A0B">
        <w:t>For the data-collection task requiring sampling, the participant survey, Cadmus attempted a sample size of 349 that provided 90/10 confidence/precision but achieved fewer survey respondents (n=286) (see Table 7-17 in the Annual Report). While the Framework does not specify any required confidence/precision levels for process evaluation or any requirement to discuss achieved confidence/precision levels, it would be valuable to discuss the impact that the reduced sample size had on the minimum confidence and precision achieved. At a minimum, this would allow the reader to compare the process evaluation as conducted to what was in the evaluation plan. Note that the SWE Team does not suggest the report should include the achieved confidence and precision levels for each assessment performed, but rather the minimum confidence and precision levels that the sample size would afford, assuming a reasonable estimate of the greatest amount of variance likely (e.g., an assumed proportion of 0.50 in nominal or scaled responses).</w:t>
      </w:r>
    </w:p>
    <w:p w:rsidR="002E051C" w:rsidRPr="002E051C" w:rsidRDefault="002E051C" w:rsidP="002E051C"/>
    <w:p w:rsidR="002E051C" w:rsidRPr="002E051C" w:rsidRDefault="002E051C" w:rsidP="002E051C">
      <w:r w:rsidRPr="002E051C">
        <w:t>Program findings were clearly summarized and presented in tables and figures. The recommendations were actionable and followed the conclusions, which were supported by ample evidence. Two recommendations (third and fourth), however, included multiple actions that could be separate recommendations. The report also included a table of recommendations with a description of whether PPL was implementing or considering those recommendations.</w:t>
      </w:r>
    </w:p>
    <w:p w:rsidR="002E051C" w:rsidRPr="002E051C" w:rsidRDefault="002E051C" w:rsidP="002E051C"/>
    <w:p w:rsidR="002E051C" w:rsidRPr="002E051C" w:rsidRDefault="002E051C" w:rsidP="007B2E72">
      <w:pPr>
        <w:pStyle w:val="AppendixBHeading3"/>
      </w:pPr>
      <w:r w:rsidRPr="002E051C">
        <w:t>Residential Retail Program (Residential Lighting and Efficient Equipment)</w:t>
      </w:r>
    </w:p>
    <w:p w:rsidR="002E051C" w:rsidRPr="002E051C" w:rsidRDefault="002E051C" w:rsidP="007B2E72">
      <w:pPr>
        <w:pStyle w:val="AppendixBHeading4"/>
      </w:pPr>
      <w:r w:rsidRPr="002E051C">
        <w:t>Brief Overview of the Program and Its Success</w:t>
      </w:r>
    </w:p>
    <w:p w:rsidR="002E051C" w:rsidRPr="002E051C" w:rsidRDefault="002E051C" w:rsidP="002E051C">
      <w:r w:rsidRPr="002E051C">
        <w:t xml:space="preserve">The Residential Retail Program has two components: upstream lighting and downstream rebated equipment. The implementer, Ecova, manages both components. The upstream lighting component offers incentives to manufacturers to discount the price of energy efficient screw-in LED bulbs sold in stores. The implementer also distributes information about energy efficient lighting and recycling, and maintains CFL recycling bins at participating retailers throughout the PPL territory and in municipal and community locations. </w:t>
      </w:r>
    </w:p>
    <w:p w:rsidR="002E051C" w:rsidRPr="002E051C" w:rsidRDefault="002E051C" w:rsidP="002E051C"/>
    <w:p w:rsidR="002E051C" w:rsidRPr="002E051C" w:rsidRDefault="002E051C" w:rsidP="002E051C">
      <w:r w:rsidRPr="002E051C">
        <w:t xml:space="preserve">The rebated equipment component of the program provides a direct rebate to customers for the purchase of energy efficient refrigerators and </w:t>
      </w:r>
      <w:r w:rsidR="00971E73">
        <w:t>HPWHs</w:t>
      </w:r>
      <w:r w:rsidRPr="002E051C">
        <w:t xml:space="preserve">. This component also includes efficient fossil-fuel water heaters eligible for rebates under the fuel switching pilot. The implementer provides educational and promotional materials to participating retailers and maintains a call and rebate-processing center. </w:t>
      </w:r>
    </w:p>
    <w:p w:rsidR="002E051C" w:rsidRPr="002E051C" w:rsidRDefault="002E051C" w:rsidP="002E051C"/>
    <w:p w:rsidR="002E051C" w:rsidRPr="002E051C" w:rsidRDefault="002E051C" w:rsidP="002E051C">
      <w:r w:rsidRPr="002E051C">
        <w:t xml:space="preserve">For PY7, PPL introduced a tiered rebate for </w:t>
      </w:r>
      <w:r w:rsidR="00971E73">
        <w:t>HPWHs</w:t>
      </w:r>
      <w:r w:rsidRPr="002E051C">
        <w:t xml:space="preserve">, in which customers could receive a $300 rebate for models with an energy factor of 2.3 or higher, and an additional $100 for models with an energy factor of 2.75 or higher. The program also mailed 45,000 LEDs to participants in the </w:t>
      </w:r>
      <w:r w:rsidRPr="002E051C">
        <w:rPr>
          <w:szCs w:val="20"/>
        </w:rPr>
        <w:t>Low-Income Energy Efficiency Behavior &amp; Education Program, distributed 3,000 LEDs at a low-income customer holiday dinner event, and ramped down incentives at big box stores while maintaining promotions at independent hardware and grocery stores.</w:t>
      </w:r>
    </w:p>
    <w:p w:rsidR="002E051C" w:rsidRPr="002E051C" w:rsidRDefault="002E051C" w:rsidP="002E051C"/>
    <w:p w:rsidR="002E051C" w:rsidRPr="002E051C" w:rsidRDefault="004F1A57" w:rsidP="002E051C">
      <w:r w:rsidRPr="00C52A0B">
        <w:t>The Residential Retail Program exceeded its planned energy savings for PY7 and Phase II. The program achieved 128% of planned MWh/yr energy savings in PY7 and 107% in all of Phase II. The program did not establish planned participation for PY7 or Phase II but achieved 225,783 participants in PY7 and 624,277 participants in all of Phase II.</w:t>
      </w:r>
    </w:p>
    <w:p w:rsidR="002E051C" w:rsidRPr="002E051C" w:rsidRDefault="002E051C" w:rsidP="002E051C"/>
    <w:p w:rsidR="002E051C" w:rsidRPr="002E051C" w:rsidRDefault="002E051C" w:rsidP="007B2E72">
      <w:pPr>
        <w:pStyle w:val="AppendixBHeading4"/>
      </w:pPr>
      <w:r w:rsidRPr="002E051C">
        <w:t>Summary of the Process Evaluation Findings</w:t>
      </w:r>
    </w:p>
    <w:p w:rsidR="002E051C" w:rsidRPr="002E051C" w:rsidRDefault="002E051C" w:rsidP="002E051C">
      <w:r w:rsidRPr="002E051C">
        <w:t xml:space="preserve">Cadmus conducted process evaluations separately for the rebated equipment and for the upstream lighting components of the program. For the rebated equipment process evaluation, Cadmus reviewed database records, interviewed one program staff member and one implementer, and conducted cross-program surveys that included 132 participants in the Residential Retail Program’s rebated equipment component, 62 refrigerator participants, and 70 </w:t>
      </w:r>
      <w:r w:rsidR="00971E73">
        <w:t>HPWH</w:t>
      </w:r>
      <w:r w:rsidR="00971E73" w:rsidRPr="002E051C">
        <w:t xml:space="preserve"> </w:t>
      </w:r>
      <w:r w:rsidRPr="002E051C">
        <w:t xml:space="preserve">participants. </w:t>
      </w:r>
    </w:p>
    <w:p w:rsidR="002E051C" w:rsidRPr="002E051C" w:rsidRDefault="002E051C" w:rsidP="002E051C"/>
    <w:p w:rsidR="002E051C" w:rsidRPr="002E051C" w:rsidRDefault="002E051C" w:rsidP="002E051C">
      <w:pPr>
        <w:autoSpaceDE w:val="0"/>
        <w:autoSpaceDN w:val="0"/>
        <w:adjustRightInd w:val="0"/>
        <w:spacing w:after="120"/>
      </w:pPr>
      <w:r w:rsidRPr="002E051C">
        <w:t>The following findings emerged from the evaluation of the rebated equipment component:</w:t>
      </w:r>
    </w:p>
    <w:p w:rsidR="002E051C" w:rsidRPr="00D405A7" w:rsidRDefault="002E051C" w:rsidP="00E646C9">
      <w:pPr>
        <w:pStyle w:val="ListParagraph"/>
        <w:numPr>
          <w:ilvl w:val="0"/>
          <w:numId w:val="123"/>
        </w:numPr>
        <w:ind w:left="360"/>
        <w:rPr>
          <w:rFonts w:eastAsia="Calibri"/>
        </w:rPr>
      </w:pPr>
      <w:r w:rsidRPr="00D405A7">
        <w:rPr>
          <w:rFonts w:eastAsia="Calibri"/>
        </w:rPr>
        <w:t>Overall, this component of the program exceeded its planned energy savings for PY7.</w:t>
      </w:r>
    </w:p>
    <w:p w:rsidR="002E051C" w:rsidRPr="00D405A7" w:rsidRDefault="002E051C" w:rsidP="00E646C9">
      <w:pPr>
        <w:pStyle w:val="ListParagraph"/>
        <w:numPr>
          <w:ilvl w:val="0"/>
          <w:numId w:val="123"/>
        </w:numPr>
        <w:ind w:left="360"/>
        <w:rPr>
          <w:rFonts w:eastAsia="Calibri"/>
        </w:rPr>
      </w:pPr>
      <w:r w:rsidRPr="00D405A7">
        <w:rPr>
          <w:rFonts w:eastAsia="Calibri"/>
        </w:rPr>
        <w:t>The program was delivered efficiently and effectively, particularly after the implementer took over management of the rebate processing after PY6. Rebate processing times averaged three weeks, lower than in PY6.</w:t>
      </w:r>
    </w:p>
    <w:p w:rsidR="002E051C" w:rsidRPr="00D405A7" w:rsidRDefault="002E051C" w:rsidP="00E646C9">
      <w:pPr>
        <w:pStyle w:val="ListParagraph"/>
        <w:numPr>
          <w:ilvl w:val="0"/>
          <w:numId w:val="123"/>
        </w:numPr>
        <w:ind w:left="360"/>
        <w:rPr>
          <w:rFonts w:eastAsia="Calibri"/>
        </w:rPr>
      </w:pPr>
      <w:r w:rsidRPr="00D405A7">
        <w:rPr>
          <w:rFonts w:eastAsia="Calibri"/>
        </w:rPr>
        <w:t>Some participants expressed disappointment with lower refrigerator rebates due to changes in ENERGY STAR qualification criteria for various models.</w:t>
      </w:r>
    </w:p>
    <w:p w:rsidR="002E051C" w:rsidRPr="00D405A7" w:rsidRDefault="002E051C" w:rsidP="00E646C9">
      <w:pPr>
        <w:pStyle w:val="ListParagraph"/>
        <w:numPr>
          <w:ilvl w:val="0"/>
          <w:numId w:val="123"/>
        </w:numPr>
        <w:ind w:left="360"/>
        <w:rPr>
          <w:rFonts w:eastAsia="Calibri"/>
        </w:rPr>
      </w:pPr>
      <w:r w:rsidRPr="00D405A7">
        <w:rPr>
          <w:rFonts w:eastAsia="Calibri"/>
        </w:rPr>
        <w:t xml:space="preserve">A larger percentage of surveyed participants reported satisfaction with the program in PY7 (79%) than in PY6 (69%). Recipients of rebates for </w:t>
      </w:r>
      <w:r w:rsidR="00971E73" w:rsidRPr="00D405A7">
        <w:t>HPWHs</w:t>
      </w:r>
      <w:r w:rsidR="00971E73" w:rsidRPr="00D405A7">
        <w:rPr>
          <w:rFonts w:eastAsia="Calibri"/>
        </w:rPr>
        <w:t xml:space="preserve"> </w:t>
      </w:r>
      <w:r w:rsidRPr="00D405A7">
        <w:rPr>
          <w:rFonts w:eastAsia="Calibri"/>
        </w:rPr>
        <w:t>were more satisfied than recipients of refrigerator rebates. Unsatisfied respondents suggested a simpler rebate structure or process and higher rebates for refrigerators.</w:t>
      </w:r>
    </w:p>
    <w:p w:rsidR="002E051C" w:rsidRPr="00D405A7" w:rsidRDefault="002E051C" w:rsidP="00E646C9">
      <w:pPr>
        <w:pStyle w:val="ListParagraph"/>
        <w:numPr>
          <w:ilvl w:val="0"/>
          <w:numId w:val="123"/>
        </w:numPr>
        <w:ind w:left="360"/>
        <w:rPr>
          <w:rFonts w:eastAsia="Calibri"/>
        </w:rPr>
      </w:pPr>
      <w:r w:rsidRPr="00D405A7">
        <w:rPr>
          <w:rFonts w:eastAsia="Calibri"/>
        </w:rPr>
        <w:t>Over three-fourths (76%) of survey participants reported high satisfaction with PPL in PY7, down from 85% in PY6. Nearly one-third (32%) reported that their opinion of PPL improved after participating in the program.</w:t>
      </w:r>
    </w:p>
    <w:p w:rsidR="002E051C" w:rsidRPr="00D405A7" w:rsidRDefault="002E051C" w:rsidP="00E646C9">
      <w:pPr>
        <w:pStyle w:val="ListParagraph"/>
        <w:numPr>
          <w:ilvl w:val="0"/>
          <w:numId w:val="123"/>
        </w:numPr>
        <w:ind w:left="360"/>
        <w:rPr>
          <w:rFonts w:eastAsia="Calibri"/>
        </w:rPr>
      </w:pPr>
      <w:r w:rsidRPr="00D405A7">
        <w:rPr>
          <w:rFonts w:eastAsia="Calibri"/>
        </w:rPr>
        <w:t>Nearly half of surveyed participants (42%) learned about the program through a retailer; others learned about it through their contractor, the PPL website, and other marketing channels like bill inserts, TV, or the Internet.</w:t>
      </w:r>
    </w:p>
    <w:p w:rsidR="002E051C" w:rsidRPr="00D405A7" w:rsidRDefault="002E051C" w:rsidP="00E646C9">
      <w:pPr>
        <w:pStyle w:val="ListParagraph"/>
        <w:numPr>
          <w:ilvl w:val="0"/>
          <w:numId w:val="123"/>
        </w:numPr>
        <w:ind w:left="360"/>
        <w:rPr>
          <w:rFonts w:eastAsia="Calibri"/>
        </w:rPr>
      </w:pPr>
      <w:r w:rsidRPr="00D405A7">
        <w:rPr>
          <w:rFonts w:eastAsia="Calibri"/>
        </w:rPr>
        <w:t>Cadmus created demographic profiles for surveyed participants.</w:t>
      </w:r>
    </w:p>
    <w:p w:rsidR="002E051C" w:rsidRPr="002E051C" w:rsidRDefault="002E051C" w:rsidP="002E051C">
      <w:pPr>
        <w:spacing w:after="60"/>
        <w:ind w:left="360"/>
        <w:rPr>
          <w:rFonts w:eastAsia="Calibri"/>
          <w:szCs w:val="20"/>
        </w:rPr>
      </w:pPr>
    </w:p>
    <w:p w:rsidR="002E051C" w:rsidRPr="002E051C" w:rsidRDefault="002E051C" w:rsidP="00D405A7">
      <w:pPr>
        <w:pStyle w:val="6spacenormal"/>
      </w:pPr>
      <w:r w:rsidRPr="002E051C">
        <w:t>For the upstream lighting component process evaluation, Cadmus reviewed database records and lighting manufacturing invoices, interviewed one program staff member and one implementer, conducted general residential population surveys with 337 residential customers (70 of whom purchased LEDs from participating retailers), and conducted cross-program surveys with 301 Low-Income Energy Efficiency Behavior &amp; Education Program participants. The following findings emerged:</w:t>
      </w:r>
    </w:p>
    <w:p w:rsidR="002E051C" w:rsidRPr="00D405A7" w:rsidRDefault="002E051C" w:rsidP="00E646C9">
      <w:pPr>
        <w:pStyle w:val="ListParagraph"/>
        <w:numPr>
          <w:ilvl w:val="0"/>
          <w:numId w:val="123"/>
        </w:numPr>
        <w:ind w:left="360"/>
        <w:rPr>
          <w:rFonts w:eastAsia="Calibri"/>
        </w:rPr>
      </w:pPr>
      <w:r w:rsidRPr="00D405A7">
        <w:rPr>
          <w:rFonts w:eastAsia="Calibri"/>
        </w:rPr>
        <w:t>The program was delivered efficiency and effectively, and the quality of the data from the various sources (manufacturing invoices, program database) was very good.</w:t>
      </w:r>
    </w:p>
    <w:p w:rsidR="002E051C" w:rsidRPr="00D405A7" w:rsidRDefault="002E051C" w:rsidP="00E646C9">
      <w:pPr>
        <w:pStyle w:val="ListParagraph"/>
        <w:numPr>
          <w:ilvl w:val="0"/>
          <w:numId w:val="123"/>
        </w:numPr>
        <w:ind w:left="360"/>
        <w:rPr>
          <w:rFonts w:eastAsia="Calibri"/>
        </w:rPr>
      </w:pPr>
      <w:r w:rsidRPr="00D405A7">
        <w:rPr>
          <w:rFonts w:eastAsia="Calibri"/>
        </w:rPr>
        <w:t xml:space="preserve">Home improvement, club, mass market, and independent retail channels sold the most qualifying bulbs. </w:t>
      </w:r>
    </w:p>
    <w:p w:rsidR="002E051C" w:rsidRPr="00D405A7" w:rsidRDefault="002E051C" w:rsidP="00E646C9">
      <w:pPr>
        <w:pStyle w:val="ListParagraph"/>
        <w:numPr>
          <w:ilvl w:val="0"/>
          <w:numId w:val="123"/>
        </w:numPr>
        <w:ind w:left="360"/>
        <w:rPr>
          <w:rFonts w:eastAsia="Calibri"/>
        </w:rPr>
      </w:pPr>
      <w:r w:rsidRPr="00D405A7">
        <w:rPr>
          <w:rFonts w:eastAsia="Calibri"/>
        </w:rPr>
        <w:t xml:space="preserve">LED purchasers were not significantly different demographically than nonpurchasers except in regard to income, in which LED purchasers reported higher income than nonpurchasers. </w:t>
      </w:r>
    </w:p>
    <w:p w:rsidR="002E051C" w:rsidRPr="00D405A7" w:rsidRDefault="002E051C" w:rsidP="00E646C9">
      <w:pPr>
        <w:pStyle w:val="ListParagraph"/>
        <w:numPr>
          <w:ilvl w:val="0"/>
          <w:numId w:val="123"/>
        </w:numPr>
        <w:ind w:left="360"/>
        <w:rPr>
          <w:rFonts w:eastAsia="Calibri"/>
        </w:rPr>
      </w:pPr>
      <w:r w:rsidRPr="00D405A7">
        <w:rPr>
          <w:rFonts w:eastAsia="Calibri"/>
        </w:rPr>
        <w:t xml:space="preserve">Nearly four out of five (79%) surveyed PPL customers reported awareness of LEDs, and 78% had seen them for sale at retailers in PY7, which was unchanged from PY6. However, most surveyed customers (85%) were unaware that PPL discounted LED bulbs. </w:t>
      </w:r>
    </w:p>
    <w:p w:rsidR="004F1A57" w:rsidRPr="00D405A7" w:rsidRDefault="004F1A57" w:rsidP="00E646C9">
      <w:pPr>
        <w:pStyle w:val="ListParagraph"/>
        <w:numPr>
          <w:ilvl w:val="0"/>
          <w:numId w:val="123"/>
        </w:numPr>
        <w:ind w:left="360"/>
        <w:rPr>
          <w:rFonts w:eastAsia="Calibri"/>
        </w:rPr>
      </w:pPr>
      <w:r w:rsidRPr="00D405A7">
        <w:rPr>
          <w:rFonts w:eastAsia="Calibri"/>
        </w:rPr>
        <w:t>About three-fourths (76%) of surveyed customers reported they were very or somewhat likely to install LEDs in the next 12 months. Of those who reported they were not likely to install LEDS, the most common responses cited were high costs (27%), no expectations to replace bulbs (17%), and having bulbs in storage (10%).</w:t>
      </w:r>
    </w:p>
    <w:p w:rsidR="004F1A57" w:rsidRPr="00D405A7" w:rsidRDefault="004F1A57" w:rsidP="00E646C9">
      <w:pPr>
        <w:pStyle w:val="ListParagraph"/>
        <w:numPr>
          <w:ilvl w:val="0"/>
          <w:numId w:val="123"/>
        </w:numPr>
        <w:ind w:left="360"/>
        <w:rPr>
          <w:rFonts w:eastAsia="Calibri"/>
        </w:rPr>
      </w:pPr>
      <w:r w:rsidRPr="00D405A7">
        <w:rPr>
          <w:rFonts w:eastAsia="Calibri"/>
        </w:rPr>
        <w:t xml:space="preserve">The most to least important features of LED bulbs, as measured by surveyed customers who rated each very important, are longevity, brightness, energy use/wattage, cost, and color quality, and variety of types. </w:t>
      </w:r>
    </w:p>
    <w:p w:rsidR="002E051C" w:rsidRPr="00D405A7" w:rsidRDefault="002E051C" w:rsidP="00E646C9">
      <w:pPr>
        <w:pStyle w:val="ListParagraph"/>
        <w:numPr>
          <w:ilvl w:val="0"/>
          <w:numId w:val="123"/>
        </w:numPr>
        <w:ind w:left="360"/>
        <w:rPr>
          <w:rFonts w:eastAsia="Calibri"/>
        </w:rPr>
      </w:pPr>
      <w:r w:rsidRPr="00D405A7">
        <w:rPr>
          <w:rFonts w:eastAsia="Calibri"/>
        </w:rPr>
        <w:t>In PY7, about 70% of surveyed customers reported purchasing any type of screw-in bulbs, and 28% had purchased LEDs in the previous six months, a significant increase from PY6.</w:t>
      </w:r>
    </w:p>
    <w:p w:rsidR="002E051C" w:rsidRPr="00D405A7" w:rsidRDefault="002E051C" w:rsidP="00E646C9">
      <w:pPr>
        <w:pStyle w:val="ListParagraph"/>
        <w:numPr>
          <w:ilvl w:val="0"/>
          <w:numId w:val="123"/>
        </w:numPr>
        <w:ind w:left="360"/>
        <w:rPr>
          <w:rFonts w:eastAsia="Calibri"/>
        </w:rPr>
      </w:pPr>
      <w:r w:rsidRPr="00D405A7">
        <w:rPr>
          <w:rFonts w:eastAsia="Calibri"/>
        </w:rPr>
        <w:t>Respondents who purchased LEDs from participating retailers reported an average price of $7.51 per bulb; respondents who purchased LEDs from any retailer reported an average price of $8.10 per bulb.</w:t>
      </w:r>
    </w:p>
    <w:p w:rsidR="002E051C" w:rsidRPr="00D405A7" w:rsidRDefault="002E051C" w:rsidP="00E646C9">
      <w:pPr>
        <w:pStyle w:val="ListParagraph"/>
        <w:numPr>
          <w:ilvl w:val="0"/>
          <w:numId w:val="123"/>
        </w:numPr>
        <w:ind w:left="360"/>
        <w:rPr>
          <w:rFonts w:eastAsia="Calibri"/>
        </w:rPr>
      </w:pPr>
      <w:r w:rsidRPr="00D405A7">
        <w:rPr>
          <w:rFonts w:eastAsia="Calibri"/>
        </w:rPr>
        <w:t>Nearly half (44%) of respondents reported currently using LEDs in PY7, up from 30% in PY6. More respondents in PY7 (32%) reported replacing CFLs with LEDs than in PY6 (22%).</w:t>
      </w:r>
    </w:p>
    <w:p w:rsidR="002E051C" w:rsidRPr="00D405A7" w:rsidRDefault="002E051C" w:rsidP="00E646C9">
      <w:pPr>
        <w:pStyle w:val="ListParagraph"/>
        <w:numPr>
          <w:ilvl w:val="0"/>
          <w:numId w:val="123"/>
        </w:numPr>
        <w:ind w:left="360"/>
        <w:rPr>
          <w:rFonts w:eastAsia="Calibri"/>
        </w:rPr>
      </w:pPr>
      <w:r w:rsidRPr="00D405A7">
        <w:rPr>
          <w:rFonts w:eastAsia="Calibri"/>
        </w:rPr>
        <w:t>In PY7, nearly three-fourths (73%) of respondents with LEDs were overall very satisfied with them; these respondents reported the highest satisfaction with brightness and longevity and the least satisfaction with cost and the variety of bulb types.</w:t>
      </w:r>
    </w:p>
    <w:p w:rsidR="002E051C" w:rsidRPr="00D405A7" w:rsidRDefault="002E051C" w:rsidP="00E646C9">
      <w:pPr>
        <w:pStyle w:val="ListParagraph"/>
        <w:numPr>
          <w:ilvl w:val="0"/>
          <w:numId w:val="123"/>
        </w:numPr>
        <w:ind w:left="360"/>
        <w:rPr>
          <w:rFonts w:eastAsia="Calibri"/>
        </w:rPr>
      </w:pPr>
      <w:r w:rsidRPr="00D405A7">
        <w:rPr>
          <w:rFonts w:eastAsia="Calibri"/>
        </w:rPr>
        <w:t>Over half of respondents (58%) were not aware that not all LEDs qualify for ENERGY STAR certification.</w:t>
      </w:r>
    </w:p>
    <w:p w:rsidR="002E051C" w:rsidRPr="00D405A7" w:rsidRDefault="002E051C" w:rsidP="00E646C9">
      <w:pPr>
        <w:pStyle w:val="ListParagraph"/>
        <w:numPr>
          <w:ilvl w:val="0"/>
          <w:numId w:val="123"/>
        </w:numPr>
        <w:ind w:left="360"/>
        <w:rPr>
          <w:rFonts w:eastAsia="Calibri"/>
        </w:rPr>
      </w:pPr>
      <w:r w:rsidRPr="00D405A7">
        <w:rPr>
          <w:rFonts w:eastAsia="Calibri"/>
        </w:rPr>
        <w:t>The reported willingness to pay $5 or more for LEDs dropped in PY7 compared with PY6, but 90% of respondents were willing to pay $3 per LED. Non-LED users reported higher sensitivity to price changes than LED users.</w:t>
      </w:r>
    </w:p>
    <w:p w:rsidR="002E051C" w:rsidRPr="00D405A7" w:rsidRDefault="002E051C" w:rsidP="00E646C9">
      <w:pPr>
        <w:pStyle w:val="ListParagraph"/>
        <w:numPr>
          <w:ilvl w:val="0"/>
          <w:numId w:val="123"/>
        </w:numPr>
        <w:ind w:left="360"/>
        <w:rPr>
          <w:rFonts w:eastAsia="Calibri"/>
        </w:rPr>
      </w:pPr>
      <w:r w:rsidRPr="00D405A7">
        <w:rPr>
          <w:rFonts w:eastAsia="Calibri"/>
        </w:rPr>
        <w:t>Most respondents who disposed of CFLs in PY7 (60%) reported throwing the bulbs in the trash. Of those who had not disposed of a CFL, 47% reported that they would throw CFLs in the trash to dispose of them. About one-fourth of each group reported they recycled or would recycle CFL bulbs to dispose of them. Of those who said they did not or would not recycle CFLs, 72% reported that they would be more likely to recycle if PPL recycle bins were available in more locations; only 7% of surveyed respondents reported awareness of PPL’s recycle bins.</w:t>
      </w:r>
    </w:p>
    <w:p w:rsidR="002E051C" w:rsidRPr="00D405A7" w:rsidRDefault="002E051C" w:rsidP="00E646C9">
      <w:pPr>
        <w:pStyle w:val="ListParagraph"/>
        <w:numPr>
          <w:ilvl w:val="0"/>
          <w:numId w:val="123"/>
        </w:numPr>
        <w:ind w:left="360"/>
        <w:rPr>
          <w:rFonts w:eastAsia="Calibri"/>
        </w:rPr>
      </w:pPr>
      <w:r w:rsidRPr="00D405A7">
        <w:rPr>
          <w:rFonts w:eastAsia="Calibri"/>
        </w:rPr>
        <w:t>About three-fourths (74%) of respondents reported high satisfaction with PPL, which was similar to findings from PY6.</w:t>
      </w:r>
    </w:p>
    <w:p w:rsidR="002E051C" w:rsidRPr="00D405A7" w:rsidRDefault="002E051C" w:rsidP="00E646C9">
      <w:pPr>
        <w:pStyle w:val="ListParagraph"/>
        <w:numPr>
          <w:ilvl w:val="0"/>
          <w:numId w:val="123"/>
        </w:numPr>
        <w:ind w:left="360"/>
        <w:rPr>
          <w:rFonts w:eastAsia="Calibri"/>
        </w:rPr>
      </w:pPr>
      <w:r w:rsidRPr="00D405A7">
        <w:rPr>
          <w:rFonts w:eastAsia="Calibri"/>
        </w:rPr>
        <w:t>Cadmus created demographic profiles for surveyed participants.</w:t>
      </w:r>
    </w:p>
    <w:p w:rsidR="002E051C" w:rsidRPr="002E051C" w:rsidRDefault="002E051C" w:rsidP="002E051C">
      <w:pPr>
        <w:autoSpaceDE w:val="0"/>
        <w:autoSpaceDN w:val="0"/>
        <w:adjustRightInd w:val="0"/>
        <w:ind w:left="360"/>
        <w:contextualSpacing/>
      </w:pPr>
      <w:r w:rsidRPr="002E051C">
        <w:t xml:space="preserve"> </w:t>
      </w:r>
    </w:p>
    <w:p w:rsidR="002E051C" w:rsidRPr="002E051C" w:rsidRDefault="002E051C" w:rsidP="007B2E72">
      <w:pPr>
        <w:pStyle w:val="AppendixBHeading4"/>
      </w:pPr>
      <w:r w:rsidRPr="002E051C">
        <w:t>Summary of the Process Evaluation Audit</w:t>
      </w:r>
    </w:p>
    <w:p w:rsidR="002E051C" w:rsidRPr="002E051C" w:rsidRDefault="002E051C" w:rsidP="002E051C">
      <w:r w:rsidRPr="002E051C">
        <w:t xml:space="preserve">The evaluation was consistent with the evaluation plan, except Cadmus interviewed more </w:t>
      </w:r>
      <w:r w:rsidR="00971E73">
        <w:t>HPWH</w:t>
      </w:r>
      <w:r w:rsidR="00971E73" w:rsidRPr="002E051C">
        <w:t xml:space="preserve"> </w:t>
      </w:r>
      <w:r w:rsidRPr="002E051C">
        <w:t xml:space="preserve">participants than initially planned, to update net savings analysis, and interviewed more residential customers than planned, to find a sufficient number of customers who purchased LEDs from participating retailers for statistical confidence/precision. </w:t>
      </w:r>
    </w:p>
    <w:p w:rsidR="002E051C" w:rsidRPr="002E051C" w:rsidRDefault="002E051C" w:rsidP="002E051C"/>
    <w:p w:rsidR="002E051C" w:rsidRPr="002E051C" w:rsidRDefault="004F1A57" w:rsidP="002E051C">
      <w:r w:rsidRPr="00C52A0B">
        <w:t xml:space="preserve">The methodology section mostly explained the evaluation activities and analyses, and included the required sampling and disposition information and tables. Including more information about the methods used to conduct analyses, such as the type of analysis used, and the types and values of any statistical tests conducted, would be very informative. More methodological details about the survey of Low-Income Energy Efficiency </w:t>
      </w:r>
      <w:r w:rsidRPr="00C52A0B">
        <w:rPr>
          <w:szCs w:val="20"/>
        </w:rPr>
        <w:t>Behavior &amp; Education Program participants</w:t>
      </w:r>
      <w:r w:rsidRPr="00C52A0B">
        <w:t xml:space="preserve"> would be helpful, since it was used for calculating program savings from the free LED bulb. For the data-collection tasks requiring sampling, Cadmus achieved planned sample sizes that provided 90/10 confidence/precision per survey sample per program component; for interviews that did not require sampling, Cadmus met the targeted number of completes. Adding the mode used for surveys (web, phone, mail) in Tables 3-10, 3-16, and 3-18 would complete the tables and help inform the reader without having to refer to the text where the survey mode is reported.</w:t>
      </w:r>
    </w:p>
    <w:p w:rsidR="002E051C" w:rsidRPr="002E051C" w:rsidRDefault="002E051C" w:rsidP="002E051C"/>
    <w:p w:rsidR="002E051C" w:rsidRDefault="004F1A57" w:rsidP="002E051C">
      <w:r w:rsidRPr="00C52A0B">
        <w:t>Program findings were clearly summarized, with mostly actionable recommendations following conclusions and sufficient evidence supporting the conclusions. In Section 3.4.7.2, the SWE Team found an error in the first paragraph stating that 76% is higher than 85%; it should be changed to “lower.” Two conclusions (second and fifth) also did not have, but likely could have had, accompanying recommendations, and two recommendations (fifth and sixth) are vague in terms of the specific actions PPL should take. The report also included a table of recommendations with a description of whether PPL was implementing or considering those recommendations.</w:t>
      </w:r>
    </w:p>
    <w:p w:rsidR="00D60D31" w:rsidRDefault="00D60D31" w:rsidP="002E051C"/>
    <w:p w:rsidR="002057C5" w:rsidRDefault="002057C5" w:rsidP="002E051C"/>
    <w:p w:rsidR="002057C5" w:rsidRDefault="002057C5" w:rsidP="002E051C"/>
    <w:p w:rsidR="002057C5" w:rsidRDefault="002057C5" w:rsidP="002E051C"/>
    <w:p w:rsidR="00D60D31" w:rsidRDefault="00D60D31" w:rsidP="007B2E72">
      <w:pPr>
        <w:pStyle w:val="AppendixBHeading3"/>
      </w:pPr>
      <w:r>
        <w:t>Student and Parent Energy-Efficiency Education Program</w:t>
      </w:r>
    </w:p>
    <w:p w:rsidR="004F1A57" w:rsidRDefault="00D60D31" w:rsidP="007B2E72">
      <w:pPr>
        <w:pStyle w:val="AppendixBHeading4"/>
      </w:pPr>
      <w:r>
        <w:t>Brief Overview of the Program and its Success</w:t>
      </w:r>
    </w:p>
    <w:p w:rsidR="00D60D31" w:rsidRPr="00C52A0B" w:rsidRDefault="00D60D31" w:rsidP="00D60D31">
      <w:r w:rsidRPr="00C52A0B">
        <w:t>The Student and Parent Energy-Efficiency Education program provides school-based energy efficiency education through classroom presentations for students, training for teachers, and community workshops for parents.  Some of the schools were in low-income neighborhoods. All participants receive educational materials, a home energy worksheet (HEW) to complete and return to the program, and a take-home energy efficiency kit of low-cost items that can be installed at home. Participating students are in grades 2–12; kits are tailored to each grade level and contain items such as LED lamps, low-flow showerheads, faucet aerators, smart power strips, and electroluminescent nightlights. The classroom workshops meet Pennsylvania academic standards for the appropriate grade levels. National Energy Foundation is the program implementer.</w:t>
      </w:r>
    </w:p>
    <w:p w:rsidR="00D60D31" w:rsidRPr="00C52A0B" w:rsidRDefault="00D60D31" w:rsidP="00D60D31"/>
    <w:p w:rsidR="00D60D31" w:rsidRPr="00C52A0B" w:rsidRDefault="00D60D31" w:rsidP="00D60D31">
      <w:r w:rsidRPr="00C52A0B">
        <w:t xml:space="preserve">For PY7, PPL made three changes to the program. It increased the number of student and parent workshop participants, launched a poster contest to get students and classrooms involved in extracurricular activities related to energy efficiency, and included an online HEW process for older students. </w:t>
      </w:r>
    </w:p>
    <w:p w:rsidR="00D60D31" w:rsidRPr="00C52A0B" w:rsidRDefault="00D60D31" w:rsidP="00D60D31"/>
    <w:p w:rsidR="00D60D31" w:rsidRDefault="00D60D31" w:rsidP="00D60D31">
      <w:r w:rsidRPr="00C52A0B">
        <w:t>In PY7, the Student and Parent Energy-Efficiency Education program exceeded one of its two planned goals. The program achieved 108% of its planned annual participation but only 85% of its planned annual MWh/yr savings. In all of Phase II, the program fell short of meeting its planned goals. It met 86% of its plan</w:t>
      </w:r>
      <w:r w:rsidR="00413BF1">
        <w:t>n</w:t>
      </w:r>
      <w:r w:rsidRPr="00C52A0B">
        <w:t>ed MWh/yr savings and 97% of its planned three-year participation.</w:t>
      </w:r>
    </w:p>
    <w:p w:rsidR="00D60D31" w:rsidRDefault="00D60D31" w:rsidP="00D60D31"/>
    <w:p w:rsidR="00D60D31" w:rsidRDefault="00D60D31" w:rsidP="007B2E72">
      <w:pPr>
        <w:pStyle w:val="AppendixBHeading4"/>
      </w:pPr>
      <w:r>
        <w:t>Summary of the Process Evaluation Findings</w:t>
      </w:r>
    </w:p>
    <w:p w:rsidR="00D60D31" w:rsidRDefault="00D60D31" w:rsidP="00D405A7">
      <w:r w:rsidRPr="00D405A7">
        <w:t>Cadmus conducted database and QA/QC review of records and two interviews with the program manager and the implementer. Cadmus analyzed the census of 19,249 implementer-administered HEWs returned by participating students, 1,015 parent workshop HEWs, 2,229 implementer-administered parent surveys, and open-end responses from 1,918 implementer-administered classroom teacher, teacher workshop, and parent workshop evaluation surveys. Cadmus also measured four key program performance indicators: program enrollment, new school enrollment, teacher workshop participation, and classroom and parent workshop participation.</w:t>
      </w:r>
    </w:p>
    <w:p w:rsidR="00D405A7" w:rsidRPr="00D405A7" w:rsidRDefault="00D405A7" w:rsidP="00D405A7"/>
    <w:p w:rsidR="00D60D31" w:rsidRPr="00D405A7" w:rsidRDefault="00D60D31" w:rsidP="00D405A7">
      <w:pPr>
        <w:pStyle w:val="6spacenormal"/>
      </w:pPr>
      <w:r w:rsidRPr="00D405A7">
        <w:t>The following findings emerged from the evaluation:</w:t>
      </w:r>
    </w:p>
    <w:p w:rsidR="00D60D31" w:rsidRPr="00D405A7" w:rsidRDefault="00D60D31" w:rsidP="00E646C9">
      <w:pPr>
        <w:pStyle w:val="ListParagraph"/>
        <w:numPr>
          <w:ilvl w:val="0"/>
          <w:numId w:val="124"/>
        </w:numPr>
        <w:ind w:left="360"/>
        <w:rPr>
          <w:rFonts w:eastAsia="Calibri"/>
        </w:rPr>
      </w:pPr>
      <w:r w:rsidRPr="00D405A7">
        <w:rPr>
          <w:rFonts w:eastAsia="Calibri"/>
        </w:rPr>
        <w:t>The program met one of its planned PY7 goals (annual participation) but did not meet the planned energy savings; the program also did not meet either of its two planned goals for all of Phase II. This was due in part to a change in how installation rates were measures in PY7 versus PY6 and low installation rates of products in the kit.</w:t>
      </w:r>
    </w:p>
    <w:p w:rsidR="00D60D31" w:rsidRPr="00D405A7" w:rsidRDefault="00D60D31" w:rsidP="00E646C9">
      <w:pPr>
        <w:pStyle w:val="ListParagraph"/>
        <w:numPr>
          <w:ilvl w:val="0"/>
          <w:numId w:val="124"/>
        </w:numPr>
        <w:ind w:left="360"/>
        <w:rPr>
          <w:rFonts w:eastAsia="Calibri"/>
        </w:rPr>
      </w:pPr>
      <w:r w:rsidRPr="00D405A7">
        <w:rPr>
          <w:rFonts w:eastAsia="Calibri"/>
        </w:rPr>
        <w:t>Interviewed staff reported a smooth delivery of the program in PY6 and PY7.</w:t>
      </w:r>
    </w:p>
    <w:p w:rsidR="00D60D31" w:rsidRPr="00D405A7" w:rsidRDefault="00D60D31" w:rsidP="00E646C9">
      <w:pPr>
        <w:pStyle w:val="ListParagraph"/>
        <w:numPr>
          <w:ilvl w:val="0"/>
          <w:numId w:val="124"/>
        </w:numPr>
        <w:ind w:left="360"/>
        <w:rPr>
          <w:rFonts w:eastAsia="Calibri"/>
        </w:rPr>
      </w:pPr>
      <w:r w:rsidRPr="00D405A7">
        <w:rPr>
          <w:rFonts w:eastAsia="Calibri"/>
        </w:rPr>
        <w:t>All four key performance indicator goals were met or exceeded in PY7. Program enrollment was successful, new school enrollment reached 30% of all participants, 150 teachers enrolled, and the number of returned HEWs exceeded 72%.</w:t>
      </w:r>
    </w:p>
    <w:p w:rsidR="00D60D31" w:rsidRPr="00D405A7" w:rsidRDefault="00D60D31" w:rsidP="00E646C9">
      <w:pPr>
        <w:pStyle w:val="ListParagraph"/>
        <w:numPr>
          <w:ilvl w:val="0"/>
          <w:numId w:val="124"/>
        </w:numPr>
        <w:ind w:left="360"/>
        <w:rPr>
          <w:rFonts w:eastAsia="Calibri"/>
        </w:rPr>
      </w:pPr>
      <w:r w:rsidRPr="00D405A7">
        <w:rPr>
          <w:rFonts w:eastAsia="Calibri"/>
        </w:rPr>
        <w:t>The implementer’s targeted marketing and personalized outreach efforts increased program awareness and helped increase participation, particularly for new schools.</w:t>
      </w:r>
    </w:p>
    <w:p w:rsidR="00D60D31" w:rsidRPr="00D405A7" w:rsidRDefault="00D60D31" w:rsidP="00E646C9">
      <w:pPr>
        <w:pStyle w:val="ListParagraph"/>
        <w:numPr>
          <w:ilvl w:val="0"/>
          <w:numId w:val="124"/>
        </w:numPr>
        <w:ind w:left="360"/>
        <w:rPr>
          <w:rFonts w:eastAsia="Calibri"/>
        </w:rPr>
      </w:pPr>
      <w:r w:rsidRPr="00D405A7">
        <w:rPr>
          <w:rFonts w:eastAsia="Calibri"/>
        </w:rPr>
        <w:t>Cadmus created participant profiles of classroom teachers, workshop teachers, classroom parents, and workshop parents.</w:t>
      </w:r>
    </w:p>
    <w:p w:rsidR="00D60D31" w:rsidRPr="00D405A7" w:rsidRDefault="00D60D31" w:rsidP="00E646C9">
      <w:pPr>
        <w:pStyle w:val="ListParagraph"/>
        <w:numPr>
          <w:ilvl w:val="0"/>
          <w:numId w:val="124"/>
        </w:numPr>
        <w:ind w:left="360"/>
        <w:rPr>
          <w:rFonts w:eastAsia="Calibri"/>
        </w:rPr>
      </w:pPr>
      <w:r w:rsidRPr="00D405A7">
        <w:rPr>
          <w:rFonts w:eastAsia="Calibri"/>
        </w:rPr>
        <w:t>Most classroom teachers (81%) and workshop teachers (84%) rated their overall impressions of the program the program as excellent.</w:t>
      </w:r>
    </w:p>
    <w:p w:rsidR="00D60D31" w:rsidRPr="00D405A7" w:rsidRDefault="00D60D31" w:rsidP="00E646C9">
      <w:pPr>
        <w:pStyle w:val="ListParagraph"/>
        <w:numPr>
          <w:ilvl w:val="0"/>
          <w:numId w:val="124"/>
        </w:numPr>
        <w:ind w:left="360"/>
        <w:rPr>
          <w:rFonts w:eastAsia="Calibri"/>
        </w:rPr>
      </w:pPr>
      <w:r w:rsidRPr="00D405A7">
        <w:rPr>
          <w:rFonts w:eastAsia="Calibri"/>
        </w:rPr>
        <w:t>Classroom parents reported that the kit and products were easy to install and use, they would continue using them upon completion of the program, and they would like to see the program continued. Most also reported changing the way they had used energy in their home since participating in the program.</w:t>
      </w:r>
    </w:p>
    <w:p w:rsidR="00D60D31" w:rsidRPr="00D405A7" w:rsidRDefault="00D60D31" w:rsidP="00E646C9">
      <w:pPr>
        <w:pStyle w:val="ListParagraph"/>
        <w:numPr>
          <w:ilvl w:val="0"/>
          <w:numId w:val="124"/>
        </w:numPr>
        <w:ind w:left="360"/>
        <w:rPr>
          <w:rFonts w:eastAsia="Calibri"/>
        </w:rPr>
      </w:pPr>
      <w:r w:rsidRPr="00D405A7">
        <w:rPr>
          <w:rFonts w:eastAsia="Calibri"/>
        </w:rPr>
        <w:t>Most workshop parents (98%) reported that they found the workshop components very or somewhat helpful.</w:t>
      </w:r>
    </w:p>
    <w:p w:rsidR="00D60D31" w:rsidRDefault="00D60D31" w:rsidP="00E646C9">
      <w:pPr>
        <w:pStyle w:val="ListParagraph"/>
        <w:numPr>
          <w:ilvl w:val="0"/>
          <w:numId w:val="124"/>
        </w:numPr>
        <w:ind w:left="360"/>
        <w:rPr>
          <w:rFonts w:eastAsia="Calibri"/>
        </w:rPr>
      </w:pPr>
      <w:r w:rsidRPr="00D405A7">
        <w:rPr>
          <w:rFonts w:eastAsia="Calibri"/>
        </w:rPr>
        <w:t>Teachers and parents recommended areas for improvement, which included providing more student interaction opportunities, reducing the paperwork of the HEW, and improving the presentations.</w:t>
      </w:r>
    </w:p>
    <w:p w:rsidR="00D405A7" w:rsidRPr="00D405A7" w:rsidRDefault="00D405A7" w:rsidP="00D405A7">
      <w:pPr>
        <w:rPr>
          <w:rFonts w:eastAsia="Calibri"/>
        </w:rPr>
      </w:pPr>
    </w:p>
    <w:p w:rsidR="00D60D31" w:rsidRDefault="00D60D31" w:rsidP="007B2E72">
      <w:pPr>
        <w:pStyle w:val="AppendixBHeading4"/>
      </w:pPr>
      <w:r>
        <w:t>Summary of the Process Evaluation Audit</w:t>
      </w:r>
    </w:p>
    <w:p w:rsidR="00D60D31" w:rsidRPr="00D405A7" w:rsidRDefault="00D60D31" w:rsidP="00D405A7">
      <w:r w:rsidRPr="00D405A7">
        <w:t xml:space="preserve">The evaluation was consistent with the evaluation plan. The methodology section adequately explained the evaluation activities and analyses, and included the required sampling and disposition information and tables. Including more information about the methods used to conduct analyses, such as the type of analysis used, would be very informative. None of the interviews or surveys required sampling, and Cadmus met the targeted number of completes. Adding the mode used for the survey (web, phone, mail) in Table 8-15 would complete the table and inform the reader without having to refer to the text where the survey mode is reported. </w:t>
      </w:r>
    </w:p>
    <w:p w:rsidR="00D60D31" w:rsidRPr="00D405A7" w:rsidRDefault="00D60D31" w:rsidP="00D405A7"/>
    <w:p w:rsidR="00D60D31" w:rsidRPr="00D405A7" w:rsidRDefault="00D60D31" w:rsidP="00D405A7">
      <w:r w:rsidRPr="00D405A7">
        <w:t>Program findings were clearly summarized, with actionable recommendations following conclusions and ample evidence supporting the conclusions. The report also included a table of recommendations with a description of whether PPL was implementing or considering those recommendations. In addition, the description of the program is unclear as to whether all or some of the participating schools are in low-income neighborhoods; this should be noted in future reports to clear any confusion about whether or not it is primarily a low-income program.</w:t>
      </w:r>
    </w:p>
    <w:p w:rsidR="00D60D31" w:rsidRPr="00D405A7" w:rsidRDefault="00D60D31" w:rsidP="00D405A7"/>
    <w:p w:rsidR="002E051C" w:rsidRPr="002E051C" w:rsidRDefault="002E051C" w:rsidP="007B2E72">
      <w:pPr>
        <w:pStyle w:val="AppendixBHeading2"/>
      </w:pPr>
      <w:r w:rsidRPr="002E051C">
        <w:t>Low-Income Programs</w:t>
      </w:r>
    </w:p>
    <w:p w:rsidR="002E051C" w:rsidRPr="002E051C" w:rsidRDefault="00D60D31" w:rsidP="002E051C">
      <w:pPr>
        <w:tabs>
          <w:tab w:val="left" w:pos="8805"/>
        </w:tabs>
      </w:pPr>
      <w:r w:rsidRPr="00C52A0B">
        <w:t xml:space="preserve">Cadmus reported on process evaluations for three low-income programs: </w:t>
      </w:r>
      <w:r w:rsidR="00D405A7" w:rsidRPr="00C52A0B">
        <w:t>The</w:t>
      </w:r>
      <w:r w:rsidRPr="00C52A0B">
        <w:t xml:space="preserve"> E-Power Wise Program, the Low-Income Energy-Efficiency Behavior &amp; Education Program, and the Low-Income Winter Relief Assistance Program (WRAP).</w:t>
      </w:r>
    </w:p>
    <w:p w:rsidR="002E051C" w:rsidRPr="002E051C" w:rsidRDefault="002E051C" w:rsidP="002E051C">
      <w:pPr>
        <w:tabs>
          <w:tab w:val="left" w:pos="8805"/>
        </w:tabs>
      </w:pPr>
    </w:p>
    <w:p w:rsidR="002E051C" w:rsidRPr="002E051C" w:rsidRDefault="002E051C" w:rsidP="002E051C">
      <w:pPr>
        <w:tabs>
          <w:tab w:val="left" w:pos="8805"/>
        </w:tabs>
      </w:pPr>
      <w:r w:rsidRPr="002E051C">
        <w:t xml:space="preserve">For the process evaluations of the above programs, Cadmus reviewed program documents and data; interviewed the utility staff, implementer, and staff at community-based organizations; and surveyed program participants. The document and program data review informed identification of program goals, activities, and updates, and in some instances, development of program theory and logic models. The research issues addressed by the primary data-collection activities (in-depth interviews and surveys) varied among programs but generally included the effectiveness of program administration, implementation, and delivery, and customer and market actor program satisfaction, participation, challenges, and recommendations. </w:t>
      </w:r>
    </w:p>
    <w:p w:rsidR="002E051C" w:rsidRPr="002E051C" w:rsidRDefault="002E051C" w:rsidP="002E051C">
      <w:pPr>
        <w:tabs>
          <w:tab w:val="left" w:pos="8805"/>
        </w:tabs>
      </w:pPr>
    </w:p>
    <w:p w:rsidR="002E051C" w:rsidRPr="002E051C" w:rsidRDefault="00D60D31" w:rsidP="002E051C">
      <w:r w:rsidRPr="00C52A0B">
        <w:t xml:space="preserve">Cadmus followed the evaluation plan for each program’s process evaluation with three exceptions, two of which were minor and one of which was a reasonable adjustment to an unexpected situation. Cadmus explained these exceptions in the PY7 </w:t>
      </w:r>
      <w:r w:rsidR="00A83E08">
        <w:t>a</w:t>
      </w:r>
      <w:r w:rsidRPr="00C52A0B">
        <w:t xml:space="preserve">nnual </w:t>
      </w:r>
      <w:r w:rsidR="00A83E08">
        <w:t>r</w:t>
      </w:r>
      <w:r w:rsidRPr="00C52A0B">
        <w:t xml:space="preserve">eport. PPL and Cadmus revised the initial Wise Home Pilot evaluation plan due to complications enrolling customers (see Section 12.7.1.2 in the </w:t>
      </w:r>
      <w:r w:rsidR="00A83E08">
        <w:t>a</w:t>
      </w:r>
      <w:r w:rsidRPr="00C52A0B">
        <w:t xml:space="preserve">nnual </w:t>
      </w:r>
      <w:r w:rsidR="00A83E08">
        <w:t>r</w:t>
      </w:r>
      <w:r w:rsidRPr="00C52A0B">
        <w:t xml:space="preserve">eport). The revised plan included a limited process evaluation, which Cadmus followed except for achieving fewer participant satisfaction surveys than planned (n=44/60). In the other two exceptions, Cadmus achieved larger samples than planned, conducting two additional interviews for the E-Power Wise Program evaluation (see Section 12.4.2 in the </w:t>
      </w:r>
      <w:r w:rsidR="00A83E08">
        <w:t>a</w:t>
      </w:r>
      <w:r w:rsidRPr="00C52A0B">
        <w:t xml:space="preserve">nnual </w:t>
      </w:r>
      <w:r w:rsidR="00A83E08">
        <w:t>r</w:t>
      </w:r>
      <w:r w:rsidRPr="00C52A0B">
        <w:t xml:space="preserve">eport) and increasing the number of planned WRAP participant survey completions to include more low-cost and full-cost job participants (see Section 9.4.2 of the </w:t>
      </w:r>
      <w:r w:rsidR="00A83E08">
        <w:t>a</w:t>
      </w:r>
      <w:r w:rsidRPr="00C52A0B">
        <w:t xml:space="preserve">nnual </w:t>
      </w:r>
      <w:r w:rsidR="00A83E08">
        <w:t>r</w:t>
      </w:r>
      <w:r w:rsidRPr="00C52A0B">
        <w:t xml:space="preserve">eport). In addition, Cadmus attempted a census in surveying the 11 De Facto Pilot participants, achieving completions with 3 of the participants. This is not strictly a deviation from the plan, as the plan was to </w:t>
      </w:r>
      <w:r w:rsidRPr="00C52A0B">
        <w:rPr>
          <w:i/>
        </w:rPr>
        <w:t>attempt</w:t>
      </w:r>
      <w:r w:rsidRPr="00C52A0B">
        <w:t xml:space="preserve"> a census, and Cadmus attempted to survey all 11 participants (see Section 9.7.4 of the </w:t>
      </w:r>
      <w:r w:rsidR="00A83E08">
        <w:t>a</w:t>
      </w:r>
      <w:r w:rsidRPr="00C52A0B">
        <w:t xml:space="preserve">nnual </w:t>
      </w:r>
      <w:r w:rsidR="00A83E08">
        <w:t>r</w:t>
      </w:r>
      <w:r w:rsidRPr="00C52A0B">
        <w:t>eport).</w:t>
      </w:r>
    </w:p>
    <w:p w:rsidR="002E051C" w:rsidRPr="002E051C" w:rsidRDefault="002E051C" w:rsidP="002E051C"/>
    <w:p w:rsidR="002E051C" w:rsidRPr="002E051C" w:rsidRDefault="002E051C" w:rsidP="002E051C">
      <w:r w:rsidRPr="002E051C">
        <w:t>The findings were presented in a clear manner with one exception. Cadmus included some findings from the Residential Energy-Efficiency Behavior &amp; Education Program in the Low-Income chapter but not in the Residential chapter. The conclusions were overall well supported by the findings and were mostly concise and informative. The SWE Team noted five conclusions that did not have, but likely could have had, an accompanying recommendation and one conclusion that contained a repetitive sentence that should be removed. The recommendations followed from the conclusions and were clear and actionable.</w:t>
      </w:r>
    </w:p>
    <w:p w:rsidR="002E051C" w:rsidRPr="002E051C" w:rsidRDefault="002E051C" w:rsidP="002E051C"/>
    <w:p w:rsidR="00D60D31" w:rsidRPr="00C52A0B" w:rsidRDefault="00D60D31" w:rsidP="00D60D31">
      <w:r w:rsidRPr="00C52A0B">
        <w:t xml:space="preserve">For each program, a brief program description, summary of the process evaluation findings, and review (audit) of the annual report follow below. The SWE Team notes two general comments about the methods discussions for the process evaluations of all programs. </w:t>
      </w:r>
    </w:p>
    <w:p w:rsidR="00D60D31" w:rsidRPr="00C52A0B" w:rsidRDefault="00D60D31" w:rsidP="00D60D31"/>
    <w:p w:rsidR="00D60D31" w:rsidRPr="00C52A0B" w:rsidRDefault="00D60D31" w:rsidP="00D60D31">
      <w:pPr>
        <w:rPr>
          <w:rFonts w:cs="GillSans"/>
          <w:szCs w:val="24"/>
        </w:rPr>
      </w:pPr>
      <w:r w:rsidRPr="00C52A0B">
        <w:t xml:space="preserve">First, the sample and disposition tables for the surveys conducted as part of the process evaluation are missing the survey mode (web, phone, mail) used to conduct each survey, however, this was discussed in the text of the report. The addition of the survey mode would complete the tables and make it so the reader does not have to refer to the text to find which mode was used. </w:t>
      </w:r>
      <w:r w:rsidRPr="00C52A0B">
        <w:rPr>
          <w:rFonts w:cs="GillSans"/>
          <w:szCs w:val="24"/>
        </w:rPr>
        <w:t xml:space="preserve">The SWE Team notes that it did not include survey mode in this table’s template provided to the EDCs, but that the mode would be a good addition. </w:t>
      </w:r>
      <w:r w:rsidRPr="00C52A0B">
        <w:t>Second, including more information about the methods used to conduct analyses, such as the type of analysis (e.g., means, medians, frequencies, percentages, qualitative coding) and the types (e.g., Chi-square, t-test) and values of the statistical tests conducted, would be very informative.</w:t>
      </w:r>
    </w:p>
    <w:p w:rsidR="00A83E08" w:rsidRPr="002E051C" w:rsidRDefault="00A83E08" w:rsidP="002E051C"/>
    <w:p w:rsidR="002E051C" w:rsidRPr="002E051C" w:rsidRDefault="002E051C" w:rsidP="007B2E72">
      <w:pPr>
        <w:pStyle w:val="AppendixBHeading3"/>
      </w:pPr>
      <w:r w:rsidRPr="002E051C">
        <w:t>E-Power Wise Program and Wise Home Pilot</w:t>
      </w:r>
    </w:p>
    <w:p w:rsidR="002E051C" w:rsidRPr="002E051C" w:rsidRDefault="002E051C" w:rsidP="007B2E72">
      <w:pPr>
        <w:pStyle w:val="AppendixBHeading4"/>
      </w:pPr>
      <w:r w:rsidRPr="002E051C">
        <w:t>Brief Overview of the Program and Its Success</w:t>
      </w:r>
    </w:p>
    <w:p w:rsidR="002E051C" w:rsidRPr="002E051C" w:rsidRDefault="002E051C" w:rsidP="002E051C">
      <w:pPr>
        <w:rPr>
          <w:rFonts w:cs="Calibri"/>
          <w:color w:val="000000"/>
        </w:rPr>
      </w:pPr>
      <w:r w:rsidRPr="002E051C">
        <w:t>The E-Power Wise is a program that educates low-income customers about energy efficiency. The program targets customers with incomes at or below 150% of the FPL in single-family housing and in multifamily housing where each unit is metered (not master metered). E-Power Wise uses a “train-the-trainer” model, in which the program implementer, Resource Action Program, Inc. (RAP), trains community-based organization staff to provide energy workshops in locations that are accessible to low-income customers. Customers attending the sessions receive free energy efficiency training and a take-home kit. The program also mails a promotional card to eligible customers for them to opt-in to receive a free energy savings kit.</w:t>
      </w:r>
      <w:r w:rsidRPr="002E051C">
        <w:rPr>
          <w:rFonts w:cs="Calibri"/>
          <w:color w:val="000000"/>
        </w:rPr>
        <w:t xml:space="preserve"> </w:t>
      </w:r>
    </w:p>
    <w:p w:rsidR="002E051C" w:rsidRPr="002E051C" w:rsidRDefault="002E051C" w:rsidP="002E051C">
      <w:pPr>
        <w:rPr>
          <w:rFonts w:cs="Calibri"/>
          <w:color w:val="000000"/>
        </w:rPr>
      </w:pPr>
    </w:p>
    <w:p w:rsidR="002E051C" w:rsidRPr="002E051C" w:rsidRDefault="002E051C" w:rsidP="002E051C">
      <w:r w:rsidRPr="002E051C">
        <w:t>In PY7 the program increased the number of kits distributed by 1,500 over PY6 and, as a result, added three new agencies. The program also updated the content of the trainings and take-home DVD to focus more on the installation of the products in the free take-home kits.</w:t>
      </w:r>
    </w:p>
    <w:p w:rsidR="002E051C" w:rsidRPr="002E051C" w:rsidRDefault="002E051C" w:rsidP="002E051C"/>
    <w:p w:rsidR="002E051C" w:rsidRPr="002E051C" w:rsidRDefault="00D60D31" w:rsidP="002E051C">
      <w:r w:rsidRPr="00C52A0B">
        <w:t>E-Power Wise met or exceeded its planned MWh/yr energy savings and planned participation for PY7 and Phase II. In PY7, the program achieved 132% of its planned MWh/yr savings and 100% of its planned participation. In all of Phase II, the program achieved 101% of its plan</w:t>
      </w:r>
      <w:r>
        <w:t>n</w:t>
      </w:r>
      <w:r w:rsidRPr="00C52A0B">
        <w:t>ed MWh/yr energy savings and 100% of its planned participation.</w:t>
      </w:r>
    </w:p>
    <w:p w:rsidR="002E051C" w:rsidRPr="002E051C" w:rsidRDefault="002E051C" w:rsidP="002E051C">
      <w:r w:rsidRPr="002E051C">
        <w:t>In PY7, the program added the Wise Home Pilot, with RAP and Franklin Energy as the implementers. The pilot targeted manufactured homes and provided eligible low-income homes with needed weatherization measures (full weatherization for electric-heated homes, partial weatherization for non-electric-heat homes). The pilot was structured as an RCT, with two large treatment groups of participants and a large control group of nonparticipants, but due to low enrollment, Cadmus and PPL changed the evaluation plan and study design to include two smaller treatment and control groups for measuring energy savings.</w:t>
      </w:r>
    </w:p>
    <w:p w:rsidR="002E051C" w:rsidRPr="002E051C" w:rsidRDefault="002E051C" w:rsidP="002E051C"/>
    <w:p w:rsidR="001123CB" w:rsidRPr="00C52A0B" w:rsidRDefault="001123CB" w:rsidP="001123CB">
      <w:r w:rsidRPr="00C52A0B">
        <w:t>The PY7 Wise Home Pilot evaluation plan and report did not specify planned energy savings. The pilot initially planned an enrollment of 600 participants but had achieved about half (333) at the time of the evaluation.</w:t>
      </w:r>
    </w:p>
    <w:p w:rsidR="002E051C" w:rsidRPr="002E051C" w:rsidRDefault="002E051C" w:rsidP="007B2E72">
      <w:pPr>
        <w:pStyle w:val="AppendixBHeading4"/>
      </w:pPr>
      <w:r w:rsidRPr="002E051C">
        <w:t>Summary of the Process Evaluation Findings</w:t>
      </w:r>
    </w:p>
    <w:p w:rsidR="002E051C" w:rsidRPr="00D405A7" w:rsidRDefault="002E051C" w:rsidP="00D405A7">
      <w:r w:rsidRPr="00D405A7">
        <w:t>In PY7, Cadmus reviewed the program database and completed two interviews with the E-Power Wise program manager from PPL and the implementer, and five interviews with the community-based organizations. Cadmus analyzed 776 customer surveys returned from the energy savings kits, which represented 15% of the total participation. Cadmus also tracked a key performance indicator for the program, the number of agencies distributing kits for the program.</w:t>
      </w:r>
    </w:p>
    <w:p w:rsidR="002E051C" w:rsidRPr="002E051C" w:rsidRDefault="002E051C" w:rsidP="002E051C"/>
    <w:p w:rsidR="002E051C" w:rsidRPr="002E051C" w:rsidRDefault="002E051C" w:rsidP="002E051C">
      <w:pPr>
        <w:spacing w:after="120"/>
      </w:pPr>
      <w:r w:rsidRPr="002E051C">
        <w:t>Based on these data, several key findings emerged:</w:t>
      </w:r>
    </w:p>
    <w:p w:rsidR="002E051C" w:rsidRPr="00D405A7" w:rsidRDefault="002E051C" w:rsidP="00E646C9">
      <w:pPr>
        <w:pStyle w:val="ListParagraph"/>
        <w:numPr>
          <w:ilvl w:val="0"/>
          <w:numId w:val="125"/>
        </w:numPr>
        <w:ind w:left="360"/>
        <w:rPr>
          <w:rFonts w:eastAsia="Calibri"/>
        </w:rPr>
      </w:pPr>
      <w:r w:rsidRPr="00D405A7">
        <w:rPr>
          <w:rFonts w:eastAsia="Calibri"/>
        </w:rPr>
        <w:t>The program met or exceeded its planned MWh/yr energy savings and planned participation goals for PY7 and Phase II.</w:t>
      </w:r>
    </w:p>
    <w:p w:rsidR="002E051C" w:rsidRPr="00D405A7" w:rsidRDefault="002E051C" w:rsidP="00E646C9">
      <w:pPr>
        <w:pStyle w:val="ListParagraph"/>
        <w:numPr>
          <w:ilvl w:val="0"/>
          <w:numId w:val="125"/>
        </w:numPr>
        <w:ind w:left="360"/>
        <w:rPr>
          <w:rFonts w:eastAsia="Calibri"/>
        </w:rPr>
      </w:pPr>
      <w:r w:rsidRPr="00D405A7">
        <w:rPr>
          <w:rFonts w:eastAsia="Calibri"/>
        </w:rPr>
        <w:t>The implementer and PPL continue to provide a very well managed program; PPL and implementer program managers speak each week and work together to ensure that kit distribution remains steady throughout the program year.</w:t>
      </w:r>
    </w:p>
    <w:p w:rsidR="002E051C" w:rsidRPr="00D405A7" w:rsidRDefault="002E051C" w:rsidP="00E646C9">
      <w:pPr>
        <w:pStyle w:val="ListParagraph"/>
        <w:numPr>
          <w:ilvl w:val="0"/>
          <w:numId w:val="125"/>
        </w:numPr>
        <w:ind w:left="360"/>
        <w:rPr>
          <w:rFonts w:eastAsia="Calibri"/>
        </w:rPr>
      </w:pPr>
      <w:r w:rsidRPr="00D405A7">
        <w:rPr>
          <w:rFonts w:eastAsia="Calibri"/>
        </w:rPr>
        <w:t>The number of agencies that distribute kits for the program increased by three in PY7, which is aligned with the program’s goal of increasing the number of agencies.</w:t>
      </w:r>
    </w:p>
    <w:p w:rsidR="002E051C" w:rsidRPr="00D405A7" w:rsidRDefault="002E051C" w:rsidP="00E646C9">
      <w:pPr>
        <w:pStyle w:val="ListParagraph"/>
        <w:numPr>
          <w:ilvl w:val="0"/>
          <w:numId w:val="125"/>
        </w:numPr>
        <w:ind w:left="360"/>
        <w:rPr>
          <w:rFonts w:eastAsia="Calibri"/>
        </w:rPr>
      </w:pPr>
      <w:r w:rsidRPr="00D405A7">
        <w:rPr>
          <w:rFonts w:eastAsia="Calibri"/>
        </w:rPr>
        <w:t>Agencies recommended removing the furnace whistle from the kit. They found that many customers frequently ask questions about the furnace whistle because they don’t understand how to use or install it.</w:t>
      </w:r>
    </w:p>
    <w:p w:rsidR="002E051C" w:rsidRPr="00D405A7" w:rsidRDefault="002E051C" w:rsidP="00E646C9">
      <w:pPr>
        <w:pStyle w:val="ListParagraph"/>
        <w:numPr>
          <w:ilvl w:val="0"/>
          <w:numId w:val="125"/>
        </w:numPr>
        <w:ind w:left="360"/>
        <w:rPr>
          <w:rFonts w:eastAsia="Calibri"/>
        </w:rPr>
      </w:pPr>
      <w:r w:rsidRPr="00D405A7">
        <w:rPr>
          <w:rFonts w:eastAsia="Calibri"/>
        </w:rPr>
        <w:t>Interviewed agencies are very satisfied with the program overall. Some agencies are not too satisfied with the training provided by the implementer or communications with PPL.</w:t>
      </w:r>
    </w:p>
    <w:p w:rsidR="002E051C" w:rsidRPr="00D405A7" w:rsidRDefault="002E051C" w:rsidP="00E646C9">
      <w:pPr>
        <w:pStyle w:val="ListParagraph"/>
        <w:numPr>
          <w:ilvl w:val="0"/>
          <w:numId w:val="125"/>
        </w:numPr>
        <w:ind w:left="360"/>
        <w:rPr>
          <w:rFonts w:eastAsia="Calibri"/>
        </w:rPr>
      </w:pPr>
      <w:r w:rsidRPr="00D405A7">
        <w:rPr>
          <w:rFonts w:eastAsia="Calibri"/>
        </w:rPr>
        <w:t>Four of five interviewed agencies reported using their own outreach channels to promote the program, and one agency reported doing very little program promotion.</w:t>
      </w:r>
    </w:p>
    <w:p w:rsidR="002E051C" w:rsidRPr="00D405A7" w:rsidRDefault="002E051C" w:rsidP="00E646C9">
      <w:pPr>
        <w:pStyle w:val="ListParagraph"/>
        <w:numPr>
          <w:ilvl w:val="0"/>
          <w:numId w:val="125"/>
        </w:numPr>
        <w:ind w:left="360"/>
        <w:rPr>
          <w:rFonts w:eastAsia="Calibri"/>
        </w:rPr>
      </w:pPr>
      <w:r w:rsidRPr="00D405A7">
        <w:rPr>
          <w:rFonts w:eastAsia="Calibri"/>
        </w:rPr>
        <w:t xml:space="preserve">Four of five interviewed agencies reported distributing kits in one-on-one meetings with clients because they were getting little participation via workshops; one agency reported continuing the workshops about energy savings kits. </w:t>
      </w:r>
    </w:p>
    <w:p w:rsidR="002E051C" w:rsidRPr="00D405A7" w:rsidRDefault="002E051C" w:rsidP="00E646C9">
      <w:pPr>
        <w:pStyle w:val="ListParagraph"/>
        <w:numPr>
          <w:ilvl w:val="0"/>
          <w:numId w:val="125"/>
        </w:numPr>
        <w:ind w:left="360"/>
        <w:rPr>
          <w:rFonts w:eastAsia="Calibri"/>
        </w:rPr>
      </w:pPr>
      <w:r w:rsidRPr="00D405A7">
        <w:rPr>
          <w:rFonts w:eastAsia="Calibri"/>
        </w:rPr>
        <w:t>Three of the five interviewed agencies reported that program saturation was still a concern because they frequently see the same clients.</w:t>
      </w:r>
    </w:p>
    <w:p w:rsidR="002E051C" w:rsidRPr="00D405A7" w:rsidRDefault="002E051C" w:rsidP="00E646C9">
      <w:pPr>
        <w:pStyle w:val="ListParagraph"/>
        <w:numPr>
          <w:ilvl w:val="0"/>
          <w:numId w:val="125"/>
        </w:numPr>
        <w:ind w:left="360"/>
        <w:rPr>
          <w:rFonts w:eastAsia="Calibri"/>
        </w:rPr>
      </w:pPr>
      <w:r w:rsidRPr="00D405A7">
        <w:rPr>
          <w:rFonts w:eastAsia="Calibri"/>
        </w:rPr>
        <w:t>Interviewed agencies reported that clients are most interested in general ways to save money and reduce energy, specific ways to save on heating and cooling costs, faucet aerator and showerhead installation and use, and plug loads. Clients ask most about how and why their energy bill differs from their neighbor’s, the impact of showers on energy usage, and how to use furnace whistles and smarts strips.</w:t>
      </w:r>
    </w:p>
    <w:p w:rsidR="002E051C" w:rsidRPr="00D405A7" w:rsidRDefault="002E051C" w:rsidP="00E646C9">
      <w:pPr>
        <w:pStyle w:val="ListParagraph"/>
        <w:numPr>
          <w:ilvl w:val="0"/>
          <w:numId w:val="125"/>
        </w:numPr>
        <w:ind w:left="360"/>
        <w:rPr>
          <w:rFonts w:eastAsia="Calibri"/>
        </w:rPr>
      </w:pPr>
      <w:r w:rsidRPr="00D405A7">
        <w:rPr>
          <w:rFonts w:eastAsia="Calibri"/>
        </w:rPr>
        <w:t>Most surveyed participants reported that the Quick Start Guide was very effective in helping them become more energy efficient and that they learned a lot about energy savings through the program.</w:t>
      </w:r>
    </w:p>
    <w:p w:rsidR="002E051C" w:rsidRPr="00D405A7" w:rsidRDefault="002E051C" w:rsidP="00E646C9">
      <w:pPr>
        <w:pStyle w:val="ListParagraph"/>
        <w:numPr>
          <w:ilvl w:val="0"/>
          <w:numId w:val="125"/>
        </w:numPr>
        <w:ind w:left="360"/>
        <w:rPr>
          <w:rFonts w:eastAsia="Calibri"/>
        </w:rPr>
      </w:pPr>
      <w:r w:rsidRPr="00D405A7">
        <w:rPr>
          <w:rFonts w:eastAsia="Calibri"/>
        </w:rPr>
        <w:t>Cadmus created demographic profiles for surveyed participants.</w:t>
      </w:r>
    </w:p>
    <w:p w:rsidR="002E051C" w:rsidRPr="002E051C" w:rsidRDefault="002E051C" w:rsidP="00D405A7">
      <w:pPr>
        <w:pStyle w:val="6spacenormal"/>
      </w:pPr>
      <w:r w:rsidRPr="002E051C">
        <w:t>In PY7, Cadmus reviewed the E-Power Wise Home Pilot database and conducted three stakeholder interviews with the pilot staff from PPL and the implementers, one interview with the participating technician, and 44 follow-up participant satisfaction surveys via web and phone. Cadmus also analyzed 40 leave-behind postcards and 243 participant enrollment surveys conducted by PPL and the implementers. Cadmus conducted a limited process evaluation focused on the logistics of pilot delivery, delivery challenges, and a key performance indicator, participant satisfaction. The following key findings emerged</w:t>
      </w:r>
      <w:r w:rsidRPr="002E051C">
        <w:rPr>
          <w:szCs w:val="20"/>
        </w:rPr>
        <w:t>:</w:t>
      </w:r>
    </w:p>
    <w:p w:rsidR="002E051C" w:rsidRPr="00D405A7" w:rsidRDefault="002E051C" w:rsidP="00E646C9">
      <w:pPr>
        <w:pStyle w:val="ListParagraph"/>
        <w:numPr>
          <w:ilvl w:val="0"/>
          <w:numId w:val="125"/>
        </w:numPr>
        <w:ind w:left="360"/>
        <w:rPr>
          <w:rFonts w:eastAsia="Calibri"/>
        </w:rPr>
      </w:pPr>
      <w:r w:rsidRPr="00D405A7">
        <w:rPr>
          <w:rFonts w:eastAsia="Calibri"/>
        </w:rPr>
        <w:t>The pilot met its key performance indicator goal of 80% participant satisfaction. Nearly all participants (9</w:t>
      </w:r>
      <w:r w:rsidR="00620472" w:rsidRPr="00D405A7">
        <w:rPr>
          <w:rFonts w:eastAsia="Calibri"/>
        </w:rPr>
        <w:t>6</w:t>
      </w:r>
      <w:r w:rsidRPr="00D405A7">
        <w:rPr>
          <w:rFonts w:eastAsia="Calibri"/>
        </w:rPr>
        <w:t>%) reported being very or somewhat satisfied.</w:t>
      </w:r>
    </w:p>
    <w:p w:rsidR="002E051C" w:rsidRPr="00D405A7" w:rsidRDefault="002E051C" w:rsidP="00E646C9">
      <w:pPr>
        <w:pStyle w:val="ListParagraph"/>
        <w:numPr>
          <w:ilvl w:val="0"/>
          <w:numId w:val="125"/>
        </w:numPr>
        <w:ind w:left="360"/>
        <w:rPr>
          <w:rFonts w:eastAsia="Calibri"/>
        </w:rPr>
      </w:pPr>
      <w:r w:rsidRPr="00D405A7">
        <w:rPr>
          <w:rFonts w:eastAsia="Calibri"/>
        </w:rPr>
        <w:t xml:space="preserve">Most participants (75%) reported being very or somewhat satisfied with their home’s comfort and temperature control after participating, up from 44% before participation. </w:t>
      </w:r>
    </w:p>
    <w:p w:rsidR="002E051C" w:rsidRPr="00D405A7" w:rsidRDefault="002E051C" w:rsidP="00E646C9">
      <w:pPr>
        <w:pStyle w:val="ListParagraph"/>
        <w:numPr>
          <w:ilvl w:val="0"/>
          <w:numId w:val="125"/>
        </w:numPr>
        <w:ind w:left="360"/>
        <w:rPr>
          <w:rFonts w:eastAsia="Calibri"/>
        </w:rPr>
      </w:pPr>
      <w:r w:rsidRPr="00D405A7">
        <w:rPr>
          <w:rFonts w:eastAsia="Calibri"/>
        </w:rPr>
        <w:t>Most participants reported being very or somewhat satisfied with other pilot elements, including information received, time to complete the project, technician’s knowledge, quality of work, and availability. Most participants (90% or more) also rated all these elements as very or somewhat important. However, the three elements rated as most important—technician’s quality of work, knowledge, and availability—received the lowest satisfaction ratings.</w:t>
      </w:r>
    </w:p>
    <w:p w:rsidR="002E051C" w:rsidRPr="00D405A7" w:rsidRDefault="002E051C" w:rsidP="00E646C9">
      <w:pPr>
        <w:pStyle w:val="ListParagraph"/>
        <w:numPr>
          <w:ilvl w:val="0"/>
          <w:numId w:val="125"/>
        </w:numPr>
        <w:ind w:left="360"/>
        <w:rPr>
          <w:rFonts w:eastAsia="Calibri"/>
        </w:rPr>
      </w:pPr>
      <w:r w:rsidRPr="00D405A7">
        <w:rPr>
          <w:rFonts w:eastAsia="Calibri"/>
        </w:rPr>
        <w:t>Cadmus created participant profiles based on demographic and housing characteristics.</w:t>
      </w:r>
    </w:p>
    <w:p w:rsidR="002E051C" w:rsidRPr="00D405A7" w:rsidRDefault="002E051C" w:rsidP="00E646C9">
      <w:pPr>
        <w:pStyle w:val="ListParagraph"/>
        <w:numPr>
          <w:ilvl w:val="0"/>
          <w:numId w:val="125"/>
        </w:numPr>
        <w:ind w:left="360"/>
        <w:rPr>
          <w:rFonts w:eastAsia="Calibri"/>
        </w:rPr>
      </w:pPr>
      <w:r w:rsidRPr="00D405A7">
        <w:rPr>
          <w:rFonts w:eastAsia="Calibri"/>
        </w:rPr>
        <w:t>Surveyed participants most frequently reported LED lightbulbs, insulation, weather stripping, and duct sealing as the most important products they received.</w:t>
      </w:r>
    </w:p>
    <w:p w:rsidR="002E051C" w:rsidRPr="00D405A7" w:rsidRDefault="002E051C" w:rsidP="00E646C9">
      <w:pPr>
        <w:pStyle w:val="ListParagraph"/>
        <w:numPr>
          <w:ilvl w:val="0"/>
          <w:numId w:val="125"/>
        </w:numPr>
        <w:ind w:left="360"/>
        <w:rPr>
          <w:rFonts w:eastAsia="Calibri"/>
        </w:rPr>
      </w:pPr>
      <w:r w:rsidRPr="00D405A7">
        <w:rPr>
          <w:rFonts w:eastAsia="Calibri"/>
        </w:rPr>
        <w:t>Since participating, over one-third of surveyed participants reported never adjusting their thermostat or only adjusting it as needed, and all reported that they had not started manually changing their thermostats more often.</w:t>
      </w:r>
    </w:p>
    <w:p w:rsidR="002E051C" w:rsidRPr="00D405A7" w:rsidRDefault="002E051C" w:rsidP="00E646C9">
      <w:pPr>
        <w:pStyle w:val="ListParagraph"/>
        <w:numPr>
          <w:ilvl w:val="0"/>
          <w:numId w:val="125"/>
        </w:numPr>
        <w:ind w:left="360"/>
        <w:rPr>
          <w:rFonts w:eastAsia="Calibri"/>
        </w:rPr>
      </w:pPr>
      <w:r w:rsidRPr="00D405A7">
        <w:rPr>
          <w:rFonts w:eastAsia="Calibri"/>
        </w:rPr>
        <w:t>Most surveyed participants (84%) reported that their monthly energy bills did not change or had decreased since participating.</w:t>
      </w:r>
    </w:p>
    <w:p w:rsidR="002E051C" w:rsidRPr="00D405A7" w:rsidRDefault="002E051C" w:rsidP="00E646C9">
      <w:pPr>
        <w:pStyle w:val="ListParagraph"/>
        <w:numPr>
          <w:ilvl w:val="0"/>
          <w:numId w:val="125"/>
        </w:numPr>
        <w:ind w:left="360"/>
        <w:rPr>
          <w:rFonts w:eastAsia="Calibri"/>
        </w:rPr>
      </w:pPr>
      <w:r w:rsidRPr="00D405A7">
        <w:rPr>
          <w:rFonts w:eastAsia="Calibri"/>
        </w:rPr>
        <w:t>Over two-thirds of survey respondents reported that they did not know or knew very little about other rebates and energy efficiency programs. The Appliance Recycling Program, Low-Income Home Energy Assistance Program (LIHEAP), and WRAP were the most cited programs. The technician, however, was not instructed to promote other programs and reported not doing it very often.</w:t>
      </w:r>
    </w:p>
    <w:p w:rsidR="002E051C" w:rsidRPr="00D405A7" w:rsidRDefault="002E051C" w:rsidP="00E646C9">
      <w:pPr>
        <w:pStyle w:val="ListParagraph"/>
        <w:numPr>
          <w:ilvl w:val="0"/>
          <w:numId w:val="125"/>
        </w:numPr>
        <w:ind w:left="360"/>
        <w:rPr>
          <w:rFonts w:eastAsia="Calibri"/>
        </w:rPr>
      </w:pPr>
      <w:r w:rsidRPr="00D405A7">
        <w:rPr>
          <w:rFonts w:eastAsia="Calibri"/>
        </w:rPr>
        <w:t xml:space="preserve">There are far fewer manufactured homes in the study region that have electric heating, and </w:t>
      </w:r>
      <w:r w:rsidR="005A17C7" w:rsidRPr="00D405A7">
        <w:rPr>
          <w:rFonts w:eastAsia="Calibri"/>
        </w:rPr>
        <w:t xml:space="preserve">more </w:t>
      </w:r>
      <w:r w:rsidRPr="00D405A7">
        <w:rPr>
          <w:rFonts w:eastAsia="Calibri"/>
        </w:rPr>
        <w:t>homes with non-electric heating that enrolled than initially anticipated, which led to major changes in the pilot and study design, substantial delays in implementation, and customer attrition.</w:t>
      </w:r>
    </w:p>
    <w:p w:rsidR="002E051C" w:rsidRPr="00D405A7" w:rsidRDefault="002E051C" w:rsidP="00E646C9">
      <w:pPr>
        <w:pStyle w:val="ListParagraph"/>
        <w:numPr>
          <w:ilvl w:val="0"/>
          <w:numId w:val="125"/>
        </w:numPr>
        <w:ind w:left="360"/>
        <w:rPr>
          <w:rFonts w:eastAsia="Calibri"/>
        </w:rPr>
      </w:pPr>
      <w:r w:rsidRPr="00D405A7">
        <w:rPr>
          <w:rFonts w:eastAsia="Calibri"/>
        </w:rPr>
        <w:t>PPL used direct mailers, phone calls, and information sessions and flyers at manufactured home parks to inform customers of the program, but used the E-Power Wise branding instead of Wise Home Pilot branding on printed materials.</w:t>
      </w:r>
    </w:p>
    <w:p w:rsidR="002E051C" w:rsidRPr="00D405A7" w:rsidRDefault="002E051C" w:rsidP="00E646C9">
      <w:pPr>
        <w:pStyle w:val="ListParagraph"/>
        <w:numPr>
          <w:ilvl w:val="0"/>
          <w:numId w:val="125"/>
        </w:numPr>
        <w:ind w:left="360"/>
        <w:rPr>
          <w:rFonts w:eastAsia="Calibri"/>
        </w:rPr>
      </w:pPr>
      <w:r w:rsidRPr="00D405A7">
        <w:rPr>
          <w:rFonts w:eastAsia="Calibri"/>
        </w:rPr>
        <w:t>Customer distrust played a large role in low recruitment, particularly the fact that the pilot was free.</w:t>
      </w:r>
    </w:p>
    <w:p w:rsidR="002E051C" w:rsidRPr="00D405A7" w:rsidRDefault="002E051C" w:rsidP="00E646C9">
      <w:pPr>
        <w:pStyle w:val="ListParagraph"/>
        <w:numPr>
          <w:ilvl w:val="0"/>
          <w:numId w:val="125"/>
        </w:numPr>
        <w:ind w:left="360"/>
        <w:rPr>
          <w:rFonts w:eastAsia="Calibri"/>
        </w:rPr>
      </w:pPr>
      <w:r w:rsidRPr="00D405A7">
        <w:rPr>
          <w:rFonts w:eastAsia="Calibri"/>
        </w:rPr>
        <w:t>Delays in implementation pushed the installations and weatherizations into winter instead of being performed in summer as planned. This caused some unanticipated delays due to weather, holidays, and shorter days.</w:t>
      </w:r>
    </w:p>
    <w:p w:rsidR="002E051C" w:rsidRPr="00D405A7" w:rsidRDefault="002E051C" w:rsidP="00E646C9">
      <w:pPr>
        <w:pStyle w:val="ListParagraph"/>
        <w:numPr>
          <w:ilvl w:val="0"/>
          <w:numId w:val="125"/>
        </w:numPr>
        <w:ind w:left="360"/>
        <w:rPr>
          <w:rFonts w:eastAsia="Calibri"/>
        </w:rPr>
      </w:pPr>
      <w:r w:rsidRPr="00D405A7">
        <w:rPr>
          <w:rFonts w:eastAsia="Calibri"/>
        </w:rPr>
        <w:t>The technician and surveyed participants reported challenges with installing advanced power strips due to having to move large or heavy furniture. Some participants also declined the low-flow showerheads.</w:t>
      </w:r>
    </w:p>
    <w:p w:rsidR="002E051C" w:rsidRPr="00D405A7" w:rsidRDefault="002E051C" w:rsidP="00E646C9">
      <w:pPr>
        <w:pStyle w:val="ListParagraph"/>
        <w:numPr>
          <w:ilvl w:val="0"/>
          <w:numId w:val="125"/>
        </w:numPr>
        <w:ind w:left="360"/>
        <w:rPr>
          <w:rFonts w:eastAsia="Calibri"/>
        </w:rPr>
      </w:pPr>
      <w:r w:rsidRPr="00D405A7">
        <w:rPr>
          <w:rFonts w:eastAsia="Calibri"/>
        </w:rPr>
        <w:t>The technician reported that explaining what was involved in the project and why it was free, and collecting data about the home, were the most challenging and time-consuming aspects of the customer interaction.</w:t>
      </w:r>
    </w:p>
    <w:p w:rsidR="002E051C" w:rsidRDefault="002E051C" w:rsidP="002E051C">
      <w:pPr>
        <w:autoSpaceDE w:val="0"/>
        <w:autoSpaceDN w:val="0"/>
        <w:adjustRightInd w:val="0"/>
        <w:contextualSpacing/>
      </w:pPr>
    </w:p>
    <w:p w:rsidR="002057C5" w:rsidRDefault="002057C5" w:rsidP="002E051C">
      <w:pPr>
        <w:autoSpaceDE w:val="0"/>
        <w:autoSpaceDN w:val="0"/>
        <w:adjustRightInd w:val="0"/>
        <w:contextualSpacing/>
      </w:pPr>
    </w:p>
    <w:p w:rsidR="002057C5" w:rsidRPr="002E051C" w:rsidRDefault="002057C5" w:rsidP="002E051C">
      <w:pPr>
        <w:autoSpaceDE w:val="0"/>
        <w:autoSpaceDN w:val="0"/>
        <w:adjustRightInd w:val="0"/>
        <w:contextualSpacing/>
      </w:pPr>
    </w:p>
    <w:p w:rsidR="002E051C" w:rsidRPr="002E051C" w:rsidRDefault="002E051C" w:rsidP="007B2E72">
      <w:pPr>
        <w:pStyle w:val="AppendixBHeading4"/>
      </w:pPr>
      <w:r w:rsidRPr="002E051C">
        <w:t>Summary of the Process Evaluation Audit</w:t>
      </w:r>
    </w:p>
    <w:p w:rsidR="002E051C" w:rsidRPr="002E051C" w:rsidRDefault="002E051C" w:rsidP="002E051C">
      <w:r w:rsidRPr="002E051C">
        <w:t>The E-Power Wise Program process evaluation activities were consistent with the evaluation plan, except that Cadmus conducted two additional informal interviews to explore changes in program delivery. The Wise Home Pilot evaluation plan was revised due to complications recruiting enough eligible customers to perform the initially planned RCT, which also led to implementation delays and pilot design changes. The revised plan called for a limited process evaluation, and the process evaluation activities conducted by Cadmus were consistent with the revised evaluation plan.</w:t>
      </w:r>
    </w:p>
    <w:p w:rsidR="002E051C" w:rsidRPr="002E051C" w:rsidRDefault="002E051C" w:rsidP="002E051C"/>
    <w:p w:rsidR="002E051C" w:rsidRPr="002E051C" w:rsidRDefault="002E051C" w:rsidP="002E051C">
      <w:r w:rsidRPr="002E051C">
        <w:t xml:space="preserve">The methodology sections adequately explained the evaluation and included the required sampling and disposition information and tables. Including more information about the methods used to conduct analyses, such as the software and type of analysis used, would be very informative. Cadmus met the targeted number of completed interviews for the E-Power Wise Program evaluation. For the Wise Home Pilot evaluation, Cadmus met the targeted number of completed interviews but achieved only 44 of 60 planned participant surveys. </w:t>
      </w:r>
      <w:r w:rsidR="005A17C7" w:rsidRPr="00186890">
        <w:t>While the survey mode was reported in the text, a</w:t>
      </w:r>
      <w:r w:rsidRPr="00186890">
        <w:t>dding</w:t>
      </w:r>
      <w:r w:rsidRPr="002E051C">
        <w:t xml:space="preserve"> the mode used for surveys (web, phone, mail) in Table 12-33 would complete the table and inform the reader without having to refer to the text. This is particularly true for the satisfaction follow-up surveys that used web and phone but were reported in the sampling and disposition table in the aggregate. </w:t>
      </w:r>
    </w:p>
    <w:p w:rsidR="002E051C" w:rsidRPr="002E051C" w:rsidRDefault="002E051C" w:rsidP="002E051C"/>
    <w:p w:rsidR="002E051C" w:rsidRPr="002E051C" w:rsidRDefault="002E051C" w:rsidP="002E051C">
      <w:r w:rsidRPr="002E051C">
        <w:t>Program and pilot findings were clearly summarized, with actionable recommendations following conclusions and ample evidence supporting the conclusions. The report also included tables of recommendations with a description of whether PPL was implementing or considering those recommendations.</w:t>
      </w:r>
    </w:p>
    <w:p w:rsidR="00155563" w:rsidRPr="002E051C" w:rsidRDefault="00155563" w:rsidP="002E051C"/>
    <w:p w:rsidR="002E051C" w:rsidRPr="002E051C" w:rsidRDefault="002E051C" w:rsidP="007B2E72">
      <w:pPr>
        <w:pStyle w:val="AppendixBHeading3"/>
      </w:pPr>
      <w:r w:rsidRPr="002E051C">
        <w:t>Low-Income Energy-Efficiency Behavior &amp; Education Program</w:t>
      </w:r>
    </w:p>
    <w:p w:rsidR="002E051C" w:rsidRPr="002E051C" w:rsidRDefault="002E051C" w:rsidP="007B2E72">
      <w:pPr>
        <w:pStyle w:val="AppendixBHeading4"/>
      </w:pPr>
      <w:r w:rsidRPr="002E051C">
        <w:t>Brief Overview of the Program and Its Success</w:t>
      </w:r>
    </w:p>
    <w:p w:rsidR="002E051C" w:rsidRPr="002E051C" w:rsidRDefault="002E051C" w:rsidP="002E051C">
      <w:r w:rsidRPr="002E051C">
        <w:t xml:space="preserve">The Low-Income Energy-Efficiency Behavior &amp; Education Program is the low-income version of the Residential Energy-Efficiency Behavior &amp; Education Program. The program informs low-income customers (at or below 150% of the FPL) about their home energy consumption and encourages them to adopt no-cost energy savings home improvements and behaviors through HERs. Customers receive a HER sent by mail every other month, or by email every month if a valid email address is on file. HERs contain the customer’s household energy use data, a neighbor comparison of energy use, and three no-cost energy savings steps. </w:t>
      </w:r>
    </w:p>
    <w:p w:rsidR="002E051C" w:rsidRPr="002E051C" w:rsidRDefault="002E051C" w:rsidP="002E051C"/>
    <w:p w:rsidR="002E051C" w:rsidRPr="002E051C" w:rsidRDefault="002E051C" w:rsidP="002E051C">
      <w:r w:rsidRPr="002E051C">
        <w:t xml:space="preserve">The implementer for this program is </w:t>
      </w:r>
      <w:r w:rsidR="00A92A46">
        <w:t>OPower</w:t>
      </w:r>
      <w:r w:rsidRPr="002E051C">
        <w:t xml:space="preserve">, which selects eligible customers and produces and distributes the HERs. An RCT is used to determine who receives reports, in which customers selected by </w:t>
      </w:r>
      <w:r w:rsidR="00A92A46">
        <w:t>OPower</w:t>
      </w:r>
      <w:r w:rsidRPr="002E051C">
        <w:t xml:space="preserve"> are randomly assigned by Cadmus to either a treatment group (recipients of HERs) or a control group (nonrecipients). The control group is unaware of the HERs and is used as a comparison for measuring the treatment group’s energy savings resulting from the program. </w:t>
      </w:r>
    </w:p>
    <w:p w:rsidR="002E051C" w:rsidRPr="002E051C" w:rsidRDefault="002E051C" w:rsidP="002E051C"/>
    <w:p w:rsidR="002E051C" w:rsidRPr="002E051C" w:rsidRDefault="002E051C" w:rsidP="002E051C">
      <w:pPr>
        <w:rPr>
          <w:rFonts w:cs="Calibri"/>
          <w:color w:val="000000"/>
        </w:rPr>
      </w:pPr>
      <w:r w:rsidRPr="002E051C">
        <w:rPr>
          <w:rFonts w:cs="Calibri"/>
          <w:color w:val="000000"/>
        </w:rPr>
        <w:t>The program made three changes in PY7. First, the program added 20,000 customers to the treatment group, for a total of 90,000 customers in the program. Second, it added Winter of 68 and LIHEAP modules to the program during Q3 to increase participation in LIHEAP and elicit customers to reduce their thermostat temperature setting. And third, about 45,000 high-energy-use treatment-group customers were mailed a free LED bulb as part of the Residential Retail Program, which claimed the savings from the bulbs.</w:t>
      </w:r>
    </w:p>
    <w:p w:rsidR="002E051C" w:rsidRPr="002E051C" w:rsidRDefault="002E051C" w:rsidP="002E051C">
      <w:pPr>
        <w:rPr>
          <w:rFonts w:cs="Calibri"/>
          <w:color w:val="000000"/>
        </w:rPr>
      </w:pPr>
      <w:r w:rsidRPr="002E051C">
        <w:rPr>
          <w:rFonts w:cs="Calibri"/>
          <w:color w:val="000000"/>
        </w:rPr>
        <w:t xml:space="preserve"> </w:t>
      </w:r>
    </w:p>
    <w:p w:rsidR="002E051C" w:rsidRPr="002E051C" w:rsidRDefault="005C491D" w:rsidP="002E051C">
      <w:r w:rsidRPr="00C52A0B">
        <w:t>The Low-Income Energy-Efficiency Behavior &amp; Education Program exceeded its PY7 and Phase II planned MWh/yr savings and nearly met its planned participation. The program achieved 128% of its planned MWh/yr energy savings and 97% of its planned participation at the end of PY7 and Phase II.</w:t>
      </w:r>
    </w:p>
    <w:p w:rsidR="002E051C" w:rsidRPr="002E051C" w:rsidRDefault="002E051C" w:rsidP="002E051C"/>
    <w:p w:rsidR="002E051C" w:rsidRPr="002E051C" w:rsidRDefault="002E051C" w:rsidP="007B2E72">
      <w:pPr>
        <w:pStyle w:val="AppendixBHeading4"/>
      </w:pPr>
      <w:r w:rsidRPr="002E051C">
        <w:t>Summary of the Process Evaluation Findings</w:t>
      </w:r>
    </w:p>
    <w:p w:rsidR="002E051C" w:rsidRPr="002E051C" w:rsidRDefault="002E051C" w:rsidP="002E051C">
      <w:pPr>
        <w:spacing w:after="120"/>
      </w:pPr>
      <w:r w:rsidRPr="002E051C">
        <w:t>Cadmus conducted two interviews with the program manager and the implementer and administered two stratified random sample phone surveys: a treatment-group survey (n=151) and a control-group survey (n=150). Cadmus also measured two key program performance indicators: number of HERs recipients and number of calls received at the implementer call center. The following findings emerged from the evaluation:</w:t>
      </w:r>
    </w:p>
    <w:p w:rsidR="002E051C" w:rsidRPr="00D405A7" w:rsidRDefault="002E051C" w:rsidP="00E646C9">
      <w:pPr>
        <w:pStyle w:val="ListParagraph"/>
        <w:numPr>
          <w:ilvl w:val="0"/>
          <w:numId w:val="126"/>
        </w:numPr>
        <w:ind w:left="360"/>
        <w:rPr>
          <w:rFonts w:eastAsia="Calibri"/>
        </w:rPr>
      </w:pPr>
      <w:r w:rsidRPr="00D405A7">
        <w:rPr>
          <w:rFonts w:eastAsia="Calibri"/>
        </w:rPr>
        <w:t>The program exceeded its PY7 and Phase II planned MWh/yr savings and nearly</w:t>
      </w:r>
      <w:r w:rsidR="005C491D" w:rsidRPr="00D405A7">
        <w:rPr>
          <w:rFonts w:eastAsia="Calibri"/>
        </w:rPr>
        <w:t xml:space="preserve"> met its planned participation</w:t>
      </w:r>
      <w:r w:rsidRPr="00D405A7">
        <w:rPr>
          <w:rFonts w:eastAsia="Calibri"/>
        </w:rPr>
        <w:t>. This happened in part due to very strong savings performance from customers who joined the program at inception (versus those added in PY7) and to the ramp-up in savings expected in PY6 occurring in PY7 because of a delay in program launch.</w:t>
      </w:r>
    </w:p>
    <w:p w:rsidR="002E051C" w:rsidRPr="00D405A7" w:rsidRDefault="002E051C" w:rsidP="00E646C9">
      <w:pPr>
        <w:pStyle w:val="ListParagraph"/>
        <w:numPr>
          <w:ilvl w:val="0"/>
          <w:numId w:val="126"/>
        </w:numPr>
        <w:ind w:left="360"/>
        <w:rPr>
          <w:rFonts w:eastAsia="Calibri"/>
        </w:rPr>
      </w:pPr>
      <w:r w:rsidRPr="00D405A7">
        <w:rPr>
          <w:rFonts w:eastAsia="Calibri"/>
        </w:rPr>
        <w:t>The program manager and implementer reported that the program worked well and that customers received HERs as planned during PY7.</w:t>
      </w:r>
    </w:p>
    <w:p w:rsidR="002E051C" w:rsidRPr="00D405A7" w:rsidRDefault="002E051C" w:rsidP="00E646C9">
      <w:pPr>
        <w:pStyle w:val="ListParagraph"/>
        <w:numPr>
          <w:ilvl w:val="0"/>
          <w:numId w:val="126"/>
        </w:numPr>
        <w:ind w:left="360"/>
        <w:rPr>
          <w:rFonts w:eastAsia="Calibri"/>
        </w:rPr>
      </w:pPr>
      <w:r w:rsidRPr="00D405A7">
        <w:rPr>
          <w:rFonts w:eastAsia="Calibri"/>
        </w:rPr>
        <w:t>Due to attrition in PY6, the program did not meet its key performance indicator goal of increasing participation to 90,000 customers, but it did meet its call center goal for reducing calls compared with PY6.</w:t>
      </w:r>
    </w:p>
    <w:p w:rsidR="002E051C" w:rsidRPr="00D405A7" w:rsidRDefault="002E051C" w:rsidP="00E646C9">
      <w:pPr>
        <w:pStyle w:val="ListParagraph"/>
        <w:numPr>
          <w:ilvl w:val="0"/>
          <w:numId w:val="126"/>
        </w:numPr>
        <w:ind w:left="360"/>
        <w:rPr>
          <w:rFonts w:eastAsia="Calibri"/>
        </w:rPr>
      </w:pPr>
      <w:r w:rsidRPr="00D405A7">
        <w:rPr>
          <w:rFonts w:eastAsia="Calibri"/>
        </w:rPr>
        <w:t>Cadmus created participant demographic profiles of treatment-group customers.</w:t>
      </w:r>
    </w:p>
    <w:p w:rsidR="002E051C" w:rsidRPr="00D405A7" w:rsidRDefault="005C491D" w:rsidP="00E646C9">
      <w:pPr>
        <w:pStyle w:val="ListParagraph"/>
        <w:numPr>
          <w:ilvl w:val="0"/>
          <w:numId w:val="126"/>
        </w:numPr>
        <w:ind w:left="360"/>
        <w:rPr>
          <w:rFonts w:eastAsia="Calibri"/>
        </w:rPr>
      </w:pPr>
      <w:r w:rsidRPr="00D405A7">
        <w:rPr>
          <w:rFonts w:eastAsia="Calibri"/>
        </w:rPr>
        <w:t>Most</w:t>
      </w:r>
      <w:r w:rsidR="002E051C" w:rsidRPr="00D405A7">
        <w:rPr>
          <w:rFonts w:eastAsia="Calibri"/>
        </w:rPr>
        <w:t xml:space="preserve"> of the surveyed customers (89%) reported reading, partially reading, or skimming the last paper HERs they received, compared with 95% in the residential program.</w:t>
      </w:r>
    </w:p>
    <w:p w:rsidR="002E051C" w:rsidRPr="00D405A7" w:rsidRDefault="002E051C" w:rsidP="00E646C9">
      <w:pPr>
        <w:pStyle w:val="ListParagraph"/>
        <w:numPr>
          <w:ilvl w:val="0"/>
          <w:numId w:val="126"/>
        </w:numPr>
        <w:ind w:left="360"/>
        <w:rPr>
          <w:rFonts w:eastAsia="Calibri"/>
        </w:rPr>
      </w:pPr>
      <w:r w:rsidRPr="00D405A7">
        <w:rPr>
          <w:rFonts w:eastAsia="Calibri"/>
        </w:rPr>
        <w:t>Surveyed treatment-group customers mostly agreed that the HERs were easy to understand, the information in them was useful, and the neighbor comparison was accurate, but only slightly agreed that the HERs got others in their household involved in saving energy.</w:t>
      </w:r>
    </w:p>
    <w:p w:rsidR="002E051C" w:rsidRPr="00D405A7" w:rsidRDefault="002E051C" w:rsidP="00E646C9">
      <w:pPr>
        <w:pStyle w:val="ListParagraph"/>
        <w:numPr>
          <w:ilvl w:val="0"/>
          <w:numId w:val="126"/>
        </w:numPr>
        <w:ind w:left="360"/>
        <w:rPr>
          <w:rFonts w:eastAsia="Calibri"/>
        </w:rPr>
      </w:pPr>
      <w:r w:rsidRPr="00D405A7">
        <w:rPr>
          <w:rFonts w:eastAsia="Calibri"/>
        </w:rPr>
        <w:t xml:space="preserve">A significantly higher percentage of treatment-group respondents reported they were very familiar with energy efficiency programs and rebates from PPL compared with control-group respondents, indicating that HERs increased awareness of programs and rebates. However, this was not the case for LIHEAP (no significant difference in awareness between groups), which the HERs explicitly promoted to increase participation. </w:t>
      </w:r>
    </w:p>
    <w:p w:rsidR="002E051C" w:rsidRPr="00D405A7" w:rsidRDefault="005C491D" w:rsidP="00E646C9">
      <w:pPr>
        <w:pStyle w:val="ListParagraph"/>
        <w:numPr>
          <w:ilvl w:val="0"/>
          <w:numId w:val="126"/>
        </w:numPr>
        <w:ind w:left="360"/>
        <w:rPr>
          <w:rFonts w:eastAsia="Calibri"/>
        </w:rPr>
      </w:pPr>
      <w:r w:rsidRPr="00D405A7">
        <w:rPr>
          <w:rFonts w:eastAsia="Calibri"/>
        </w:rPr>
        <w:t>The HERs provided an aggregate uplift in participation in (6%) and savings from (2%) other PPL energy efficiency programs. There was very little difference in the average number of other programs that PPL customers participated in between the treatment and control groups.</w:t>
      </w:r>
    </w:p>
    <w:p w:rsidR="002E051C" w:rsidRPr="00D405A7" w:rsidRDefault="002E051C" w:rsidP="00E646C9">
      <w:pPr>
        <w:pStyle w:val="ListParagraph"/>
        <w:numPr>
          <w:ilvl w:val="0"/>
          <w:numId w:val="126"/>
        </w:numPr>
        <w:ind w:left="360"/>
        <w:rPr>
          <w:rFonts w:eastAsia="Calibri"/>
        </w:rPr>
      </w:pPr>
      <w:r w:rsidRPr="00D405A7">
        <w:rPr>
          <w:rFonts w:eastAsia="Calibri"/>
        </w:rPr>
        <w:t>The HERs did not appear to influence customers to make any of seven energy savings improvements or any of seven energy saving behaviors (no significant difference between treatment and control groups), except that more treatment-group than control-group respondents reported turning down their heating thermostat when leaving the house or sleeping.</w:t>
      </w:r>
    </w:p>
    <w:p w:rsidR="002E051C" w:rsidRPr="00D405A7" w:rsidRDefault="005C491D" w:rsidP="00E646C9">
      <w:pPr>
        <w:pStyle w:val="ListParagraph"/>
        <w:numPr>
          <w:ilvl w:val="0"/>
          <w:numId w:val="126"/>
        </w:numPr>
        <w:ind w:left="360"/>
        <w:rPr>
          <w:rFonts w:eastAsia="Calibri"/>
        </w:rPr>
      </w:pPr>
      <w:r w:rsidRPr="00D405A7">
        <w:rPr>
          <w:rFonts w:eastAsia="Calibri"/>
        </w:rPr>
        <w:t>The HERs did not appear to improve customers’ attitudes toward energy efficiency, reduce customer barriers to saving energy, or influence customers to visit PPL’s website to look for ways to save energy (no significant difference between treatment and control groups).</w:t>
      </w:r>
    </w:p>
    <w:p w:rsidR="002E051C" w:rsidRPr="00D405A7" w:rsidRDefault="002E051C" w:rsidP="00E646C9">
      <w:pPr>
        <w:pStyle w:val="ListParagraph"/>
        <w:numPr>
          <w:ilvl w:val="0"/>
          <w:numId w:val="126"/>
        </w:numPr>
        <w:ind w:left="360"/>
        <w:rPr>
          <w:rFonts w:eastAsia="Calibri"/>
        </w:rPr>
      </w:pPr>
      <w:r w:rsidRPr="00D405A7">
        <w:rPr>
          <w:rFonts w:eastAsia="Calibri"/>
        </w:rPr>
        <w:t xml:space="preserve">Over three-fourths of surveyed customers reported being very or somewhat satisfied with the HERs, which is </w:t>
      </w:r>
      <w:r w:rsidR="00377BB2" w:rsidRPr="00D405A7">
        <w:rPr>
          <w:rFonts w:eastAsia="Calibri"/>
        </w:rPr>
        <w:t>higher than the survey results found for the Residential Program in</w:t>
      </w:r>
      <w:r w:rsidRPr="00D405A7">
        <w:rPr>
          <w:rFonts w:eastAsia="Calibri"/>
        </w:rPr>
        <w:t xml:space="preserve"> PY6. In addition, respondents who received the free LED bulb reported significantly lower satisfaction than customers who did not receive the free LED.</w:t>
      </w:r>
    </w:p>
    <w:p w:rsidR="002E051C" w:rsidRPr="00D405A7" w:rsidRDefault="002E051C" w:rsidP="00E646C9">
      <w:pPr>
        <w:pStyle w:val="ListParagraph"/>
        <w:numPr>
          <w:ilvl w:val="0"/>
          <w:numId w:val="126"/>
        </w:numPr>
        <w:ind w:left="360"/>
        <w:rPr>
          <w:rFonts w:eastAsia="Calibri"/>
        </w:rPr>
      </w:pPr>
      <w:r w:rsidRPr="00D405A7">
        <w:rPr>
          <w:rFonts w:eastAsia="Calibri"/>
        </w:rPr>
        <w:t>Surveyed treatment-group customers gave a significantly higher satisfaction rating for PPL compared with control-group customers in regard to both overall satisfaction and satisfaction with PPL helping to lower monthly energy usage. Customers in the low-income program reported a higher satisfaction rating than customers in the residential, non-low-income program.</w:t>
      </w:r>
    </w:p>
    <w:p w:rsidR="002E051C" w:rsidRPr="002E051C" w:rsidRDefault="002E051C" w:rsidP="002E051C">
      <w:pPr>
        <w:autoSpaceDE w:val="0"/>
        <w:autoSpaceDN w:val="0"/>
        <w:adjustRightInd w:val="0"/>
        <w:ind w:left="360"/>
        <w:contextualSpacing/>
        <w:rPr>
          <w:rFonts w:cs="Calibri"/>
          <w:color w:val="000000"/>
          <w:szCs w:val="20"/>
        </w:rPr>
      </w:pPr>
    </w:p>
    <w:p w:rsidR="002E051C" w:rsidRPr="002E051C" w:rsidRDefault="002E051C" w:rsidP="007B2E72">
      <w:pPr>
        <w:pStyle w:val="AppendixBHeading4"/>
      </w:pPr>
      <w:r w:rsidRPr="002E051C">
        <w:t>Summary of the Process Evaluation Audit</w:t>
      </w:r>
    </w:p>
    <w:p w:rsidR="005C491D" w:rsidRDefault="005C491D" w:rsidP="002E051C">
      <w:r w:rsidRPr="00C52A0B">
        <w:t>The evaluation was consistent with the evaluation plan. The methodology section adequately explained the evaluation activities and analyses, and included the required sampling and disposition information and tables. For the data-collection tasks requiring sampling, Cadmus achieved sample sizes that provided 90/10 confidence/precision for each survey; for interviews that did not require sampling, Cadmus met the targeted number of completes. Adding the mode used for surveys (web, phone, mail) in Table 10-13 would complete the table and inform the reader without having to refer to the text where the survey mode is reported.</w:t>
      </w:r>
    </w:p>
    <w:p w:rsidR="003C4C90" w:rsidRDefault="003C4C90" w:rsidP="002E051C"/>
    <w:p w:rsidR="002E051C" w:rsidRPr="002E051C" w:rsidRDefault="002E051C" w:rsidP="002E051C">
      <w:r w:rsidRPr="002E051C">
        <w:t>Program findings were clearly summarized, with actionable recommendations following conclusions and ample evidence supporting the conclusions. One conclusion, however, did not have, but likely could have had, an accompanying recommendation, and the third conclusion contained a repeating sentence, one of which should be removed. The report also included a table of recommendations with a description of whether PPL was implementing or considering those recommendations.</w:t>
      </w:r>
    </w:p>
    <w:p w:rsidR="002E051C" w:rsidRPr="002E051C" w:rsidRDefault="002E051C" w:rsidP="002E051C"/>
    <w:p w:rsidR="002E051C" w:rsidRPr="002E051C" w:rsidRDefault="005C491D" w:rsidP="002E051C">
      <w:r w:rsidRPr="00C52A0B">
        <w:t>Cadmus included some findings from the PY6 Residential Energy-Efficiency Behavior &amp; Education Program in this chapter, such as readership of the HERs, but did not report these findings in the Residential Energy-Efficiency Behavior &amp; Education Program chapter because the results were reported in the PY6 process evaluation. Cadmus referenced the PY6 Residential results in the PY7 report as a comparison to the Low-Income program’s survey results. Cadmus could improve the report by noting in the Methods section that they are comparing PY6 Residential results to PY7 Low-Income results. Multiple comparisons are made in the chapter, and noting them in the Methods section would clear any confusion a reader might experience. In addition, four of the conclusions did not include accompanying recommendations.</w:t>
      </w:r>
    </w:p>
    <w:p w:rsidR="002E051C" w:rsidRPr="002E051C" w:rsidRDefault="002E051C" w:rsidP="002E051C"/>
    <w:p w:rsidR="002E051C" w:rsidRPr="002E051C" w:rsidRDefault="002E051C" w:rsidP="002057C5">
      <w:pPr>
        <w:pStyle w:val="AppendixBHeading3"/>
      </w:pPr>
      <w:r w:rsidRPr="002E051C">
        <w:t>Low-Income Winter Relief Assistance Program (WRAP) and De Facto Heating Pilot</w:t>
      </w:r>
    </w:p>
    <w:p w:rsidR="002E051C" w:rsidRPr="002E051C" w:rsidRDefault="002E051C" w:rsidP="007B2E72">
      <w:pPr>
        <w:pStyle w:val="AppendixBHeading4"/>
      </w:pPr>
      <w:r w:rsidRPr="002E051C">
        <w:t>Brief Overview of the Program and Its Success</w:t>
      </w:r>
    </w:p>
    <w:p w:rsidR="002E051C" w:rsidRPr="002E051C" w:rsidRDefault="002E051C" w:rsidP="002E051C">
      <w:r w:rsidRPr="002E051C" w:rsidDel="00E46968">
        <w:t>T</w:t>
      </w:r>
      <w:r w:rsidRPr="002E051C">
        <w:t xml:space="preserve">he Act 129 WRAP, the focus of this evaluation, operates in tandem with PPL’s Universal Services WRAP. The former targets customers at or below 150% of the FPL while the latter targets customers at or below 200% of the FPL. Both are available to customers in existing single-family and multifamily housing (three or more dwelling units) where 50% or more of the tenants are income-qualified and are intended to operate seamlessly so that customers are not aware of which program they are receiving services from. </w:t>
      </w:r>
    </w:p>
    <w:p w:rsidR="002E051C" w:rsidRPr="002E051C" w:rsidRDefault="002E051C" w:rsidP="002E051C"/>
    <w:p w:rsidR="002E051C" w:rsidRPr="002E051C" w:rsidRDefault="002E051C" w:rsidP="002E051C">
      <w:r w:rsidRPr="002E051C">
        <w:t xml:space="preserve">PPL works with community-based organizations to implement the program. WRAP provides eligible customers with a free energy audit and a list of pre-approved equipment upgrades and other needed energy-related services. WRAP contractors install the recommended upgrades, perform other energy-related services, and provide energy education to the customer at no cost to the customer. </w:t>
      </w:r>
    </w:p>
    <w:p w:rsidR="002E051C" w:rsidRPr="002E051C" w:rsidRDefault="002E051C" w:rsidP="002E051C"/>
    <w:p w:rsidR="002E051C" w:rsidRPr="002E051C" w:rsidRDefault="002E051C" w:rsidP="002E051C">
      <w:r w:rsidRPr="002E051C">
        <w:t>The types of upgrades and services that customers can receive are divided into three types: baseload (targeting those without electric heat and without electric water heater), low-cost (targeting customers without electric heat but with electric water heater), and full-cost (targeting customers with electric heat and electric water heater). Baseload products include installation of efficient lighting, refrigerator replacement, air conditioner replacement, dehumidifier replacement, changing or cleaning of heating and cooling filters, dryer venting (electric dryer), and power strips and smart plugs. Low-cost products include all baseload products as well as water-heating products, such as water heater replacement, water heater pipe wrap, faucet aerators, and efficient showerheads. Full-cost products and services include all baseload and low-cost products as well as shell products, such as insulation (e.g., attic, floor, wall), infiltration (e.g., caulking, weather stripping, blower door testing), HVAC repair and replacement, duct insulation and repair, and window repair and replacement.</w:t>
      </w:r>
    </w:p>
    <w:p w:rsidR="002E051C" w:rsidRPr="002E051C" w:rsidRDefault="002E051C" w:rsidP="002E051C"/>
    <w:p w:rsidR="002E051C" w:rsidRPr="002E051C" w:rsidRDefault="005C491D" w:rsidP="002E051C">
      <w:pPr>
        <w:autoSpaceDE w:val="0"/>
        <w:autoSpaceDN w:val="0"/>
        <w:adjustRightInd w:val="0"/>
      </w:pPr>
      <w:r w:rsidRPr="00C52A0B">
        <w:t>In PY7, the program introduced the Low-Income Energy Assistance Program (LEAP) tracking system and a new component, the De Facto Heating Pilot. The pilot targets WRAP-eligible customers who have inoperable oil heat and use inefficient or unsafe electric heat sources, such as portable electric heaters or electric stoves, and installs high-efficiency heat pump systems (as well as the other eligible WRAP measures) at no cost to the customer.</w:t>
      </w:r>
    </w:p>
    <w:p w:rsidR="002E051C" w:rsidRPr="002E051C" w:rsidRDefault="002E051C" w:rsidP="002E051C">
      <w:pPr>
        <w:autoSpaceDE w:val="0"/>
        <w:autoSpaceDN w:val="0"/>
        <w:adjustRightInd w:val="0"/>
      </w:pPr>
    </w:p>
    <w:p w:rsidR="002E051C" w:rsidRPr="002E051C" w:rsidRDefault="005C491D" w:rsidP="002E051C">
      <w:pPr>
        <w:autoSpaceDE w:val="0"/>
        <w:autoSpaceDN w:val="0"/>
        <w:adjustRightInd w:val="0"/>
      </w:pPr>
      <w:r w:rsidRPr="00C52A0B">
        <w:t>WRAP met or exceeded all its planned PY7 and Phase II energy savings and participation except for its planned participation in PY7. WRAP achieved 124% of its planned MWh/yr energy savings and 99% of its planned participation in PY7. In all of Phase II, WRAP achieved 113% of its planned energy savings and 100% of its planned participation. The De Facto Heating Pilot, however, fell short of achieving its planned energy savings and participation. The pilot achieved 30% of its planned MWh/yr energy savings and 55% of its planned participation.</w:t>
      </w:r>
    </w:p>
    <w:p w:rsidR="00155563" w:rsidRDefault="00155563" w:rsidP="002E051C">
      <w:pPr>
        <w:autoSpaceDE w:val="0"/>
        <w:autoSpaceDN w:val="0"/>
        <w:adjustRightInd w:val="0"/>
      </w:pPr>
    </w:p>
    <w:p w:rsidR="002E051C" w:rsidRPr="002E051C" w:rsidRDefault="002E051C" w:rsidP="007B2E72">
      <w:pPr>
        <w:pStyle w:val="AppendixBHeading4"/>
      </w:pPr>
      <w:r w:rsidRPr="002E051C">
        <w:t>Summary of the Process Evaluation Findings</w:t>
      </w:r>
    </w:p>
    <w:p w:rsidR="002E051C" w:rsidRPr="002E051C" w:rsidRDefault="002E051C" w:rsidP="002E051C">
      <w:pPr>
        <w:spacing w:after="120"/>
      </w:pPr>
      <w:r w:rsidRPr="002E051C">
        <w:t>For the PY7 WRAP process evaluation, Cadmus conducted an interview with p</w:t>
      </w:r>
      <w:r w:rsidRPr="002E051C">
        <w:rPr>
          <w:szCs w:val="20"/>
        </w:rPr>
        <w:t xml:space="preserve">rogram staff and the implementer (n=1), participant phone surveys (n=141), and a database and QA/QC review (n=203). </w:t>
      </w:r>
      <w:r w:rsidRPr="002E051C">
        <w:t>The following findings emerged from the process evaluation:</w:t>
      </w:r>
    </w:p>
    <w:p w:rsidR="002E051C" w:rsidRPr="004C7FBE" w:rsidRDefault="002E051C" w:rsidP="00E646C9">
      <w:pPr>
        <w:pStyle w:val="ListParagraph"/>
        <w:numPr>
          <w:ilvl w:val="0"/>
          <w:numId w:val="127"/>
        </w:numPr>
        <w:ind w:left="360"/>
        <w:rPr>
          <w:rFonts w:eastAsia="Calibri"/>
        </w:rPr>
      </w:pPr>
      <w:r w:rsidRPr="004C7FBE">
        <w:rPr>
          <w:rFonts w:eastAsia="Calibri"/>
        </w:rPr>
        <w:t>WRAP met or exceeded all its planned PY7 and Phase II energy</w:t>
      </w:r>
      <w:r w:rsidR="005C491D" w:rsidRPr="004C7FBE">
        <w:rPr>
          <w:rFonts w:eastAsia="Calibri"/>
        </w:rPr>
        <w:t xml:space="preserve"> savings</w:t>
      </w:r>
      <w:r w:rsidRPr="004C7FBE">
        <w:rPr>
          <w:rFonts w:eastAsia="Calibri"/>
        </w:rPr>
        <w:t xml:space="preserve"> and participation except for its</w:t>
      </w:r>
      <w:r w:rsidR="005C491D" w:rsidRPr="004C7FBE">
        <w:rPr>
          <w:rFonts w:eastAsia="Calibri"/>
        </w:rPr>
        <w:t xml:space="preserve"> planned</w:t>
      </w:r>
      <w:r w:rsidRPr="004C7FBE">
        <w:rPr>
          <w:rFonts w:eastAsia="Calibri"/>
        </w:rPr>
        <w:t xml:space="preserve"> participation goal in PY7. </w:t>
      </w:r>
    </w:p>
    <w:p w:rsidR="002E051C" w:rsidRPr="004C7FBE" w:rsidRDefault="002E051C" w:rsidP="00E646C9">
      <w:pPr>
        <w:pStyle w:val="ListParagraph"/>
        <w:numPr>
          <w:ilvl w:val="0"/>
          <w:numId w:val="127"/>
        </w:numPr>
        <w:ind w:left="360"/>
        <w:rPr>
          <w:rFonts w:eastAsia="Calibri"/>
        </w:rPr>
      </w:pPr>
      <w:r w:rsidRPr="004C7FBE">
        <w:rPr>
          <w:rFonts w:eastAsia="Calibri"/>
        </w:rPr>
        <w:t xml:space="preserve">Program staff reported being very satisfied with the LEAP tracking system and reported that the program ran smoothly in PY7. </w:t>
      </w:r>
    </w:p>
    <w:p w:rsidR="002E051C" w:rsidRPr="004C7FBE" w:rsidRDefault="002E051C" w:rsidP="00E646C9">
      <w:pPr>
        <w:pStyle w:val="ListParagraph"/>
        <w:numPr>
          <w:ilvl w:val="0"/>
          <w:numId w:val="127"/>
        </w:numPr>
        <w:ind w:left="360"/>
        <w:rPr>
          <w:rFonts w:eastAsia="Calibri"/>
        </w:rPr>
      </w:pPr>
      <w:r w:rsidRPr="004C7FBE">
        <w:rPr>
          <w:rFonts w:eastAsia="Calibri"/>
        </w:rPr>
        <w:t>The program manager reported that CAP enrollment increased 25% in PY7 and that referrals through CAP were a strong contributor to PY7 WRAP participation.</w:t>
      </w:r>
    </w:p>
    <w:p w:rsidR="002E051C" w:rsidRPr="004C7FBE" w:rsidRDefault="002E051C" w:rsidP="00E646C9">
      <w:pPr>
        <w:pStyle w:val="ListParagraph"/>
        <w:numPr>
          <w:ilvl w:val="0"/>
          <w:numId w:val="127"/>
        </w:numPr>
        <w:ind w:left="360"/>
        <w:rPr>
          <w:rFonts w:eastAsia="Calibri"/>
        </w:rPr>
      </w:pPr>
      <w:r w:rsidRPr="004C7FBE">
        <w:rPr>
          <w:rFonts w:eastAsia="Calibri"/>
        </w:rPr>
        <w:t>Most surveyed participants (71%) reported being very satisfied with the program; satisfaction was higher for full-cost and low-cost participants compared with baseload participants. Less satisfied participants recommended improving the contractor experience.</w:t>
      </w:r>
    </w:p>
    <w:p w:rsidR="002E051C" w:rsidRPr="004C7FBE" w:rsidRDefault="002E051C" w:rsidP="00E646C9">
      <w:pPr>
        <w:pStyle w:val="ListParagraph"/>
        <w:numPr>
          <w:ilvl w:val="0"/>
          <w:numId w:val="127"/>
        </w:numPr>
        <w:ind w:left="360"/>
        <w:rPr>
          <w:rFonts w:eastAsia="Calibri"/>
        </w:rPr>
      </w:pPr>
      <w:r w:rsidRPr="004C7FBE">
        <w:rPr>
          <w:rFonts w:eastAsia="Calibri"/>
        </w:rPr>
        <w:t>Most survey participants (80%) reported high satisfaction with PPL. Low-cost participants reported higher satisfaction than full-cost and baseload participants. About half of surveyed participants (53%) reported that their opinion of PPL had improved since participating in WRAP.</w:t>
      </w:r>
    </w:p>
    <w:p w:rsidR="002E051C" w:rsidRPr="004C7FBE" w:rsidRDefault="002E051C" w:rsidP="00E646C9">
      <w:pPr>
        <w:pStyle w:val="ListParagraph"/>
        <w:numPr>
          <w:ilvl w:val="0"/>
          <w:numId w:val="127"/>
        </w:numPr>
        <w:ind w:left="360"/>
        <w:rPr>
          <w:rFonts w:eastAsia="Calibri"/>
        </w:rPr>
      </w:pPr>
      <w:r w:rsidRPr="004C7FBE">
        <w:rPr>
          <w:rFonts w:eastAsia="Calibri"/>
        </w:rPr>
        <w:t>The program used mail-in postcards as its targeted marketing strategy and had less success with the cards in PY7 than in PY6, but the online application and toll-free number launched during PY6 helped increase participation in PY7.</w:t>
      </w:r>
    </w:p>
    <w:p w:rsidR="002E051C" w:rsidRPr="004C7FBE" w:rsidRDefault="002E051C" w:rsidP="00E646C9">
      <w:pPr>
        <w:pStyle w:val="ListParagraph"/>
        <w:numPr>
          <w:ilvl w:val="0"/>
          <w:numId w:val="127"/>
        </w:numPr>
        <w:ind w:left="360"/>
        <w:rPr>
          <w:rFonts w:eastAsia="Calibri"/>
        </w:rPr>
      </w:pPr>
      <w:r w:rsidRPr="004C7FBE">
        <w:rPr>
          <w:rFonts w:eastAsia="Calibri"/>
        </w:rPr>
        <w:t>Most surveyed participants (81%) reported being knowledgeable about ways to save energy in their home prior to participating in WRAP. Surveyed participants indicated that the most important product features that affected their decision to purchase a product were the amount of energy it used (96%) and the purchase price (93%).</w:t>
      </w:r>
    </w:p>
    <w:p w:rsidR="002E051C" w:rsidRPr="004C7FBE" w:rsidRDefault="002E051C" w:rsidP="00E646C9">
      <w:pPr>
        <w:pStyle w:val="ListParagraph"/>
        <w:numPr>
          <w:ilvl w:val="0"/>
          <w:numId w:val="127"/>
        </w:numPr>
        <w:ind w:left="360"/>
        <w:rPr>
          <w:rFonts w:eastAsia="Calibri"/>
        </w:rPr>
      </w:pPr>
      <w:r w:rsidRPr="004C7FBE">
        <w:rPr>
          <w:rFonts w:eastAsia="Calibri"/>
        </w:rPr>
        <w:t>Over half of surveyed participants (56%) agreed that their HVAC systems work fine and don’t need replacing; 46% agreed that making an investment in energy efficiency is risky; 34% agreed that information about energy efficiency is confusing or overwhelming; and 25% agreed that they are not sure what they can do to save energy at home.</w:t>
      </w:r>
    </w:p>
    <w:p w:rsidR="002E051C" w:rsidRPr="004C7FBE" w:rsidRDefault="002E051C" w:rsidP="00E646C9">
      <w:pPr>
        <w:pStyle w:val="ListParagraph"/>
        <w:numPr>
          <w:ilvl w:val="0"/>
          <w:numId w:val="127"/>
        </w:numPr>
        <w:ind w:left="360"/>
        <w:rPr>
          <w:rFonts w:eastAsia="Calibri"/>
        </w:rPr>
      </w:pPr>
      <w:r w:rsidRPr="004C7FBE">
        <w:rPr>
          <w:rFonts w:eastAsia="Calibri"/>
        </w:rPr>
        <w:t>Most surveyed participants (83%) could recall examples of energy savings ideas provided during the in-home energy audit, and nearly all (94%) reported taking at least one of the steps to save energy.</w:t>
      </w:r>
    </w:p>
    <w:p w:rsidR="002E051C" w:rsidRPr="002E051C" w:rsidRDefault="002E051C" w:rsidP="002E051C">
      <w:pPr>
        <w:autoSpaceDE w:val="0"/>
        <w:autoSpaceDN w:val="0"/>
        <w:adjustRightInd w:val="0"/>
      </w:pPr>
    </w:p>
    <w:p w:rsidR="002E051C" w:rsidRDefault="002E051C" w:rsidP="004C7FBE">
      <w:r w:rsidRPr="004C7FBE">
        <w:t>For the De Facto Heating Pilot process evaluation, Cadmus reviewed the pilot database and conducted phone interviews with the program manager, one installation contractor, and three participants. Cadmus attempted a census of the 11 participants who installed heat pumps through the program. Cadmus also tracked four key program performance indicators: project costs, continued use of space heaters and room air conditioners following participation, customer satisfaction, and participant awareness of other PPL programs.</w:t>
      </w:r>
    </w:p>
    <w:p w:rsidR="004C7FBE" w:rsidRPr="004C7FBE" w:rsidRDefault="004C7FBE" w:rsidP="004C7FBE"/>
    <w:p w:rsidR="002E051C" w:rsidRPr="002E051C" w:rsidRDefault="002E051C" w:rsidP="002E051C">
      <w:pPr>
        <w:spacing w:after="120"/>
      </w:pPr>
      <w:r w:rsidRPr="002E051C">
        <w:t>The following findings emerged from the process evaluation:</w:t>
      </w:r>
    </w:p>
    <w:p w:rsidR="002E051C" w:rsidRPr="004C7FBE" w:rsidRDefault="002E051C" w:rsidP="00E646C9">
      <w:pPr>
        <w:pStyle w:val="ListParagraph"/>
        <w:numPr>
          <w:ilvl w:val="0"/>
          <w:numId w:val="128"/>
        </w:numPr>
        <w:ind w:left="360"/>
        <w:rPr>
          <w:rFonts w:eastAsia="Calibri"/>
        </w:rPr>
      </w:pPr>
      <w:r w:rsidRPr="004C7FBE">
        <w:rPr>
          <w:rFonts w:eastAsia="Calibri"/>
        </w:rPr>
        <w:t>The pilot did not meet its planned energy savings, participation, or cost-effectiveness for PY7. This was partly due to a short pilot time line, projects being larger and more expensive than anticipated, overestimation of ex ante savings, and only one contractor working with the program, instead of three.</w:t>
      </w:r>
    </w:p>
    <w:p w:rsidR="002E051C" w:rsidRPr="004C7FBE" w:rsidRDefault="002E051C" w:rsidP="00E646C9">
      <w:pPr>
        <w:pStyle w:val="ListParagraph"/>
        <w:numPr>
          <w:ilvl w:val="0"/>
          <w:numId w:val="128"/>
        </w:numPr>
        <w:ind w:left="360"/>
        <w:rPr>
          <w:rFonts w:eastAsia="Calibri"/>
        </w:rPr>
      </w:pPr>
      <w:r w:rsidRPr="004C7FBE">
        <w:rPr>
          <w:rFonts w:eastAsia="Calibri"/>
        </w:rPr>
        <w:t>The pilot will not continue in Phase III.</w:t>
      </w:r>
    </w:p>
    <w:p w:rsidR="002E051C" w:rsidRPr="004C7FBE" w:rsidRDefault="002E051C" w:rsidP="00E646C9">
      <w:pPr>
        <w:pStyle w:val="ListParagraph"/>
        <w:numPr>
          <w:ilvl w:val="0"/>
          <w:numId w:val="128"/>
        </w:numPr>
        <w:ind w:left="360"/>
        <w:rPr>
          <w:rFonts w:eastAsia="Calibri"/>
        </w:rPr>
      </w:pPr>
      <w:r w:rsidRPr="004C7FBE">
        <w:rPr>
          <w:rFonts w:eastAsia="Calibri"/>
        </w:rPr>
        <w:t xml:space="preserve">The program installed 10 </w:t>
      </w:r>
      <w:r w:rsidR="00236598" w:rsidRPr="004C7FBE">
        <w:rPr>
          <w:rFonts w:eastAsia="Calibri"/>
        </w:rPr>
        <w:t>DHPs</w:t>
      </w:r>
      <w:r w:rsidRPr="004C7FBE">
        <w:rPr>
          <w:rFonts w:eastAsia="Calibri"/>
        </w:rPr>
        <w:t xml:space="preserve">, one </w:t>
      </w:r>
      <w:r w:rsidR="00236598" w:rsidRPr="004C7FBE">
        <w:rPr>
          <w:rFonts w:eastAsia="Calibri"/>
        </w:rPr>
        <w:t>ASHP</w:t>
      </w:r>
      <w:r w:rsidRPr="004C7FBE">
        <w:rPr>
          <w:rFonts w:eastAsia="Calibri"/>
        </w:rPr>
        <w:t xml:space="preserve">, two </w:t>
      </w:r>
      <w:r w:rsidR="00236598" w:rsidRPr="004C7FBE">
        <w:rPr>
          <w:rFonts w:eastAsia="Calibri"/>
        </w:rPr>
        <w:t>HPWHs</w:t>
      </w:r>
      <w:r w:rsidRPr="004C7FBE">
        <w:rPr>
          <w:rFonts w:eastAsia="Calibri"/>
        </w:rPr>
        <w:t>, and 11 WRAP full-cost jobs.</w:t>
      </w:r>
    </w:p>
    <w:p w:rsidR="002E051C" w:rsidRPr="004C7FBE" w:rsidRDefault="002E051C" w:rsidP="00E646C9">
      <w:pPr>
        <w:pStyle w:val="ListParagraph"/>
        <w:numPr>
          <w:ilvl w:val="0"/>
          <w:numId w:val="128"/>
        </w:numPr>
        <w:ind w:left="360"/>
        <w:rPr>
          <w:rFonts w:eastAsia="Calibri"/>
        </w:rPr>
      </w:pPr>
      <w:r w:rsidRPr="004C7FBE">
        <w:rPr>
          <w:rFonts w:eastAsia="Calibri"/>
        </w:rPr>
        <w:t>Selecting qualified participants and homes from the 2,000 income-eligible customers and getting them to participate was very difficult, primarily due to the amount and rigidity of the screening criteria required to identify eligible homes, particularly the number of heating zones in homes.</w:t>
      </w:r>
    </w:p>
    <w:p w:rsidR="002E051C" w:rsidRPr="004C7FBE" w:rsidRDefault="002E051C" w:rsidP="00E646C9">
      <w:pPr>
        <w:pStyle w:val="ListParagraph"/>
        <w:numPr>
          <w:ilvl w:val="0"/>
          <w:numId w:val="128"/>
        </w:numPr>
        <w:ind w:left="360"/>
        <w:rPr>
          <w:rFonts w:eastAsia="Calibri"/>
        </w:rPr>
      </w:pPr>
      <w:r w:rsidRPr="004C7FBE">
        <w:rPr>
          <w:rFonts w:eastAsia="Calibri"/>
        </w:rPr>
        <w:t>The pilot manager reported challenges communicating with the installation contractor because the contractor did not have a standard cost-quotation process that included enough detail to assess eligibility.</w:t>
      </w:r>
    </w:p>
    <w:p w:rsidR="002E051C" w:rsidRPr="004C7FBE" w:rsidRDefault="002E051C" w:rsidP="00E646C9">
      <w:pPr>
        <w:pStyle w:val="ListParagraph"/>
        <w:numPr>
          <w:ilvl w:val="0"/>
          <w:numId w:val="128"/>
        </w:numPr>
        <w:ind w:left="360"/>
        <w:rPr>
          <w:rFonts w:eastAsia="Calibri"/>
        </w:rPr>
      </w:pPr>
      <w:r w:rsidRPr="004C7FBE">
        <w:rPr>
          <w:rFonts w:eastAsia="Calibri"/>
        </w:rPr>
        <w:t xml:space="preserve">Average project costs per home were higher than anticipated, limiting the number of participants to 11 instead of </w:t>
      </w:r>
      <w:r w:rsidR="005C375B" w:rsidRPr="004C7FBE">
        <w:rPr>
          <w:rFonts w:eastAsia="Calibri"/>
        </w:rPr>
        <w:t xml:space="preserve">up to </w:t>
      </w:r>
      <w:r w:rsidRPr="004C7FBE">
        <w:rPr>
          <w:rFonts w:eastAsia="Calibri"/>
        </w:rPr>
        <w:t xml:space="preserve">20 under a fixed program budget. </w:t>
      </w:r>
    </w:p>
    <w:p w:rsidR="002E051C" w:rsidRPr="004C7FBE" w:rsidRDefault="002E051C" w:rsidP="00E646C9">
      <w:pPr>
        <w:pStyle w:val="ListParagraph"/>
        <w:numPr>
          <w:ilvl w:val="0"/>
          <w:numId w:val="128"/>
        </w:numPr>
        <w:ind w:left="360"/>
        <w:rPr>
          <w:rFonts w:eastAsia="Calibri"/>
        </w:rPr>
      </w:pPr>
      <w:r w:rsidRPr="004C7FBE">
        <w:rPr>
          <w:rFonts w:eastAsia="Calibri"/>
        </w:rPr>
        <w:t>Two of the three surveyed participants reported high satisfaction with the contractor, the money they saved with the heat pump, and the money they saved with the WRAP measures; all three were satisfied with their home’s comfort and overall were satisfied with the program.</w:t>
      </w:r>
    </w:p>
    <w:p w:rsidR="002E051C" w:rsidRPr="004C7FBE" w:rsidRDefault="002E051C" w:rsidP="00E646C9">
      <w:pPr>
        <w:pStyle w:val="ListParagraph"/>
        <w:numPr>
          <w:ilvl w:val="0"/>
          <w:numId w:val="128"/>
        </w:numPr>
        <w:ind w:left="360"/>
        <w:rPr>
          <w:rFonts w:eastAsia="Calibri"/>
        </w:rPr>
      </w:pPr>
      <w:r w:rsidRPr="004C7FBE">
        <w:rPr>
          <w:rFonts w:eastAsia="Calibri"/>
        </w:rPr>
        <w:t>Two of the three surveyed participants reported high satisfaction and one reported moderate satisfaction with PPL. One participant’s opinion of PPL improved significantly after participation.</w:t>
      </w:r>
    </w:p>
    <w:p w:rsidR="002E051C" w:rsidRPr="004C7FBE" w:rsidRDefault="002E051C" w:rsidP="00E646C9">
      <w:pPr>
        <w:pStyle w:val="ListParagraph"/>
        <w:numPr>
          <w:ilvl w:val="0"/>
          <w:numId w:val="128"/>
        </w:numPr>
        <w:ind w:left="360"/>
        <w:rPr>
          <w:rFonts w:eastAsia="Calibri"/>
        </w:rPr>
      </w:pPr>
      <w:r w:rsidRPr="004C7FBE">
        <w:rPr>
          <w:rFonts w:eastAsia="Calibri"/>
        </w:rPr>
        <w:t xml:space="preserve">None of the three survey participants reported using portable space heaters or planned to use room air conditioners after participating in the pilot. </w:t>
      </w:r>
    </w:p>
    <w:p w:rsidR="002E051C" w:rsidRPr="004C7FBE" w:rsidRDefault="002E051C" w:rsidP="00E646C9">
      <w:pPr>
        <w:pStyle w:val="ListParagraph"/>
        <w:numPr>
          <w:ilvl w:val="0"/>
          <w:numId w:val="128"/>
        </w:numPr>
        <w:ind w:left="360"/>
        <w:rPr>
          <w:rFonts w:eastAsia="Calibri"/>
        </w:rPr>
      </w:pPr>
      <w:r w:rsidRPr="004C7FBE">
        <w:rPr>
          <w:rFonts w:eastAsia="Calibri"/>
        </w:rPr>
        <w:t>One of the three survey participants reported awareness of other PPL programs.</w:t>
      </w:r>
    </w:p>
    <w:p w:rsidR="002E051C" w:rsidRPr="002E051C" w:rsidRDefault="002E051C" w:rsidP="002E051C">
      <w:pPr>
        <w:autoSpaceDE w:val="0"/>
        <w:autoSpaceDN w:val="0"/>
        <w:adjustRightInd w:val="0"/>
      </w:pPr>
    </w:p>
    <w:p w:rsidR="002E051C" w:rsidRPr="002E051C" w:rsidRDefault="002E051C" w:rsidP="007B2E72">
      <w:pPr>
        <w:pStyle w:val="AppendixBHeading4"/>
      </w:pPr>
      <w:r w:rsidRPr="002E051C">
        <w:t>Summary of the Process Evaluation Audit</w:t>
      </w:r>
    </w:p>
    <w:p w:rsidR="002E051C" w:rsidRPr="002E051C" w:rsidRDefault="005C491D" w:rsidP="002E051C">
      <w:r w:rsidRPr="00C52A0B">
        <w:t xml:space="preserve">The evaluations were consistent with the evaluation plan except that Cadmus increased the number of </w:t>
      </w:r>
      <w:r w:rsidR="007C3653">
        <w:t xml:space="preserve">completed </w:t>
      </w:r>
      <w:r w:rsidRPr="00C52A0B">
        <w:t>WRAP participant survey</w:t>
      </w:r>
      <w:r w:rsidR="001A31C9">
        <w:t>s</w:t>
      </w:r>
      <w:r w:rsidRPr="00C52A0B">
        <w:t>, to include more low-cost and full-cost job participants. The methodology sections adequately explained the evaluation activities and analyses, and included the required sampling and disposition information and tables. Including more information about the methods used to conduct analyses, such as the type of analysis used, would be very informative. For the data-collection tasks requiring sampling, Cadmus achieved sample sizes that provided 90/10 confidence/precision per survey sample. For interviews that did not require sampling, Cadmus met the targeted number of completes except for De Facto Pilot participants (n=3/11). Adding the mode used for surveys (web, phone, mail) in Table 9-31 would help complete the table and inform the reader without having to refer to the text where the survey mode is reported.</w:t>
      </w:r>
      <w:r w:rsidR="002E051C" w:rsidRPr="002E051C">
        <w:t xml:space="preserve"> </w:t>
      </w:r>
    </w:p>
    <w:p w:rsidR="002E051C" w:rsidRPr="002E051C" w:rsidRDefault="002E051C" w:rsidP="002E051C"/>
    <w:p w:rsidR="002E051C" w:rsidRPr="002E051C" w:rsidRDefault="002E051C" w:rsidP="002E051C">
      <w:r w:rsidRPr="002E051C">
        <w:t>Program findings were clearly summarized, with actionable recommendations following conclusions and ample evidence supporting the conclusions. One WRAP conclusion (second) and two pilot conclusions (second and third), however, did not have, but likely could have had, accompanying recommendations. The report also included tables of recommendations with a description of whether PPL was implementing or considering those recommendations.</w:t>
      </w:r>
    </w:p>
    <w:p w:rsidR="00CB685F" w:rsidRPr="002E051C" w:rsidRDefault="00CB685F" w:rsidP="002E051C"/>
    <w:p w:rsidR="002E051C" w:rsidRPr="002E051C" w:rsidRDefault="002E051C" w:rsidP="007B2E72">
      <w:pPr>
        <w:pStyle w:val="AppendixBHeading2"/>
      </w:pPr>
      <w:r w:rsidRPr="002E051C">
        <w:t xml:space="preserve">Non-Residential Programs </w:t>
      </w:r>
    </w:p>
    <w:p w:rsidR="002E051C" w:rsidRPr="002E051C" w:rsidRDefault="00186987" w:rsidP="002E051C">
      <w:r w:rsidRPr="00C52A0B">
        <w:t xml:space="preserve">Cadmus reported on process evaluations for four non-residential programs: </w:t>
      </w:r>
      <w:r w:rsidR="004C7FBE" w:rsidRPr="00C52A0B">
        <w:t>The</w:t>
      </w:r>
      <w:r w:rsidRPr="00C52A0B">
        <w:t xml:space="preserve"> Continuous Energy Improvement Program, Custom Incentive Program, Prescriptive Equipment Program, and Master Metered Low-Income Multifamily Housing Program. In accordance with the evaluation plan, Cadmus did not perform an evaluation of the School Benchmarking Program since a full process evaluation was conducted in PY6; the program was working as planned, and it does not generate energy savings</w:t>
      </w:r>
      <w:r>
        <w:t>.</w:t>
      </w:r>
    </w:p>
    <w:p w:rsidR="002E051C" w:rsidRPr="002E051C" w:rsidRDefault="002E051C" w:rsidP="002E051C">
      <w:r w:rsidRPr="002E051C">
        <w:t xml:space="preserve">For the process evaluations of the above programs, Cadmus reviewed program documents and data, interviewed utility and implementation staff and contractors, and surveyed program participants. The document and program data review informed identification of program goals, activities, and updates, and in some instances, development of program theory and logic models. The research issues addressed by the primary data-collection activities (in-depth interviews and surveys) varied among programs but generally included the effectiveness of program administration, implementation, and delivery, and customer and market actor program satisfaction, participation, challenges, and recommendations. </w:t>
      </w:r>
    </w:p>
    <w:p w:rsidR="002E051C" w:rsidRPr="002E051C" w:rsidRDefault="002E051C" w:rsidP="002E051C"/>
    <w:p w:rsidR="002E051C" w:rsidRPr="002E051C" w:rsidRDefault="00186987" w:rsidP="004C7FBE">
      <w:pPr>
        <w:pStyle w:val="6spacenormal"/>
      </w:pPr>
      <w:r w:rsidRPr="00C52A0B">
        <w:t>Cadmus followed the evaluation plan for each program’s process evaluation with four exceptions, which Cadmus explained in the PY7 Annual Report</w:t>
      </w:r>
      <w:r w:rsidR="002E051C" w:rsidRPr="002E051C">
        <w:t>:</w:t>
      </w:r>
    </w:p>
    <w:p w:rsidR="006424F5" w:rsidRPr="004C7FBE" w:rsidRDefault="006424F5" w:rsidP="00E646C9">
      <w:pPr>
        <w:pStyle w:val="ListParagraph"/>
        <w:numPr>
          <w:ilvl w:val="0"/>
          <w:numId w:val="129"/>
        </w:numPr>
        <w:spacing w:before="160"/>
        <w:ind w:left="360"/>
        <w:rPr>
          <w:rFonts w:asciiTheme="minorHAnsi" w:hAnsiTheme="minorHAnsi"/>
          <w:szCs w:val="24"/>
        </w:rPr>
      </w:pPr>
      <w:r w:rsidRPr="004C7FBE">
        <w:rPr>
          <w:rFonts w:asciiTheme="minorHAnsi" w:hAnsiTheme="minorHAnsi"/>
          <w:szCs w:val="24"/>
        </w:rPr>
        <w:t xml:space="preserve">Cadmus and PPL moved the planned contractor and designer interviews, and additional benchmarking research, to PY8 in Phase III for the Custom Incentive Program (see Section 4.4.2 in </w:t>
      </w:r>
      <w:r w:rsidR="00155563">
        <w:rPr>
          <w:rFonts w:asciiTheme="minorHAnsi" w:hAnsiTheme="minorHAnsi"/>
          <w:szCs w:val="24"/>
        </w:rPr>
        <w:t>a</w:t>
      </w:r>
      <w:r w:rsidRPr="004C7FBE">
        <w:rPr>
          <w:rFonts w:asciiTheme="minorHAnsi" w:hAnsiTheme="minorHAnsi"/>
          <w:szCs w:val="24"/>
        </w:rPr>
        <w:t xml:space="preserve">nnual </w:t>
      </w:r>
      <w:r w:rsidR="00155563">
        <w:rPr>
          <w:rFonts w:asciiTheme="minorHAnsi" w:hAnsiTheme="minorHAnsi"/>
          <w:szCs w:val="24"/>
        </w:rPr>
        <w:t>r</w:t>
      </w:r>
      <w:r w:rsidRPr="004C7FBE">
        <w:rPr>
          <w:rFonts w:asciiTheme="minorHAnsi" w:hAnsiTheme="minorHAnsi"/>
          <w:szCs w:val="24"/>
        </w:rPr>
        <w:t xml:space="preserve">eport). </w:t>
      </w:r>
    </w:p>
    <w:p w:rsidR="006424F5" w:rsidRPr="004C7FBE" w:rsidRDefault="006424F5" w:rsidP="00E646C9">
      <w:pPr>
        <w:pStyle w:val="ListParagraph"/>
        <w:numPr>
          <w:ilvl w:val="0"/>
          <w:numId w:val="129"/>
        </w:numPr>
        <w:spacing w:before="160"/>
        <w:ind w:left="360"/>
        <w:rPr>
          <w:rFonts w:asciiTheme="minorHAnsi" w:hAnsiTheme="minorHAnsi"/>
          <w:szCs w:val="24"/>
        </w:rPr>
      </w:pPr>
      <w:r w:rsidRPr="004C7FBE">
        <w:rPr>
          <w:rFonts w:asciiTheme="minorHAnsi" w:hAnsiTheme="minorHAnsi"/>
          <w:szCs w:val="24"/>
        </w:rPr>
        <w:t xml:space="preserve">Cadmus conducted a web-plus-phone survey instead of a web survey of Prescriptive Rebate Program participants, to achieve the targeted number of completes (see Section 2.3.2 in the </w:t>
      </w:r>
      <w:r w:rsidR="00155563">
        <w:rPr>
          <w:rFonts w:asciiTheme="minorHAnsi" w:hAnsiTheme="minorHAnsi"/>
          <w:szCs w:val="24"/>
        </w:rPr>
        <w:t>a</w:t>
      </w:r>
      <w:r w:rsidRPr="004C7FBE">
        <w:rPr>
          <w:rFonts w:asciiTheme="minorHAnsi" w:hAnsiTheme="minorHAnsi"/>
          <w:szCs w:val="24"/>
        </w:rPr>
        <w:t xml:space="preserve">nnual </w:t>
      </w:r>
      <w:r w:rsidR="00155563">
        <w:rPr>
          <w:rFonts w:asciiTheme="minorHAnsi" w:hAnsiTheme="minorHAnsi"/>
          <w:szCs w:val="24"/>
        </w:rPr>
        <w:t>r</w:t>
      </w:r>
      <w:r w:rsidRPr="004C7FBE">
        <w:rPr>
          <w:rFonts w:asciiTheme="minorHAnsi" w:hAnsiTheme="minorHAnsi"/>
          <w:szCs w:val="24"/>
        </w:rPr>
        <w:t xml:space="preserve">eport). </w:t>
      </w:r>
    </w:p>
    <w:p w:rsidR="006424F5" w:rsidRPr="004C7FBE" w:rsidRDefault="006424F5" w:rsidP="00E646C9">
      <w:pPr>
        <w:pStyle w:val="ListParagraph"/>
        <w:numPr>
          <w:ilvl w:val="0"/>
          <w:numId w:val="129"/>
        </w:numPr>
        <w:spacing w:before="160"/>
        <w:ind w:left="360"/>
        <w:rPr>
          <w:rFonts w:asciiTheme="minorHAnsi" w:hAnsiTheme="minorHAnsi"/>
          <w:szCs w:val="24"/>
        </w:rPr>
      </w:pPr>
      <w:r w:rsidRPr="004C7FBE">
        <w:rPr>
          <w:rFonts w:asciiTheme="minorHAnsi" w:hAnsiTheme="minorHAnsi"/>
          <w:szCs w:val="24"/>
        </w:rPr>
        <w:t xml:space="preserve">Cadmus and PPL decided not to conduct interviews with agricultural trade allies in the Prescriptive Rebate Program, due to several complications (see Section 2.4.2 in the </w:t>
      </w:r>
      <w:r w:rsidR="00155563">
        <w:rPr>
          <w:rFonts w:asciiTheme="minorHAnsi" w:hAnsiTheme="minorHAnsi"/>
          <w:szCs w:val="24"/>
        </w:rPr>
        <w:t>a</w:t>
      </w:r>
      <w:r w:rsidRPr="004C7FBE">
        <w:rPr>
          <w:rFonts w:asciiTheme="minorHAnsi" w:hAnsiTheme="minorHAnsi"/>
          <w:szCs w:val="24"/>
        </w:rPr>
        <w:t xml:space="preserve">nnual </w:t>
      </w:r>
      <w:r w:rsidR="00155563">
        <w:rPr>
          <w:rFonts w:asciiTheme="minorHAnsi" w:hAnsiTheme="minorHAnsi"/>
          <w:szCs w:val="24"/>
        </w:rPr>
        <w:t>r</w:t>
      </w:r>
      <w:r w:rsidRPr="004C7FBE">
        <w:rPr>
          <w:rFonts w:asciiTheme="minorHAnsi" w:hAnsiTheme="minorHAnsi"/>
          <w:szCs w:val="24"/>
        </w:rPr>
        <w:t xml:space="preserve">eport). </w:t>
      </w:r>
    </w:p>
    <w:p w:rsidR="002E051C" w:rsidRPr="004C7FBE" w:rsidRDefault="006424F5" w:rsidP="00E646C9">
      <w:pPr>
        <w:pStyle w:val="ListParagraph"/>
        <w:numPr>
          <w:ilvl w:val="0"/>
          <w:numId w:val="129"/>
        </w:numPr>
        <w:spacing w:before="160"/>
        <w:ind w:left="360"/>
        <w:rPr>
          <w:rFonts w:asciiTheme="minorHAnsi" w:hAnsiTheme="minorHAnsi"/>
          <w:szCs w:val="24"/>
        </w:rPr>
      </w:pPr>
      <w:r w:rsidRPr="004C7FBE">
        <w:rPr>
          <w:rFonts w:asciiTheme="minorHAnsi" w:hAnsiTheme="minorHAnsi"/>
          <w:szCs w:val="24"/>
        </w:rPr>
        <w:t xml:space="preserve">Cadmus did not complete the targeted number of completed interviews with energy champions in the Continuous Energy Improvement Program (see Section 13.4.3.2 in the </w:t>
      </w:r>
      <w:r w:rsidR="00155563">
        <w:rPr>
          <w:rFonts w:asciiTheme="minorHAnsi" w:hAnsiTheme="minorHAnsi"/>
          <w:szCs w:val="24"/>
        </w:rPr>
        <w:t>a</w:t>
      </w:r>
      <w:r w:rsidRPr="004C7FBE">
        <w:rPr>
          <w:rFonts w:asciiTheme="minorHAnsi" w:hAnsiTheme="minorHAnsi"/>
          <w:szCs w:val="24"/>
        </w:rPr>
        <w:t xml:space="preserve">nnual </w:t>
      </w:r>
      <w:r w:rsidR="00155563">
        <w:rPr>
          <w:rFonts w:asciiTheme="minorHAnsi" w:hAnsiTheme="minorHAnsi"/>
          <w:szCs w:val="24"/>
        </w:rPr>
        <w:t>r</w:t>
      </w:r>
      <w:r w:rsidRPr="004C7FBE">
        <w:rPr>
          <w:rFonts w:asciiTheme="minorHAnsi" w:hAnsiTheme="minorHAnsi"/>
          <w:szCs w:val="24"/>
        </w:rPr>
        <w:t>eport).</w:t>
      </w:r>
    </w:p>
    <w:p w:rsidR="002E051C" w:rsidRPr="002E051C" w:rsidRDefault="002E051C" w:rsidP="002E051C">
      <w:pPr>
        <w:rPr>
          <w:rFonts w:asciiTheme="minorHAnsi" w:hAnsiTheme="minorHAnsi"/>
        </w:rPr>
      </w:pPr>
    </w:p>
    <w:p w:rsidR="002E051C" w:rsidRPr="004C7FBE" w:rsidRDefault="002E051C" w:rsidP="004C7FBE">
      <w:r w:rsidRPr="004C7FBE">
        <w:t>The findings were presented in a clear manner with one exception: results in Sections 4.4.9, 4.4.10, and 4.4.11 would be easier to process if provided in a table instead of bullets or short paragraphs. The conclusions overall were well supported by the findings, and were mostly concise and informative. The recommendations followed from the conclusions, and most of the recommendations were clear and actionable. The SWE Team did note two Custom Incentive Program recommendations that included multiple recommendations that could be separated.</w:t>
      </w:r>
    </w:p>
    <w:p w:rsidR="002E051C" w:rsidRPr="004C7FBE" w:rsidRDefault="002E051C" w:rsidP="004C7FBE"/>
    <w:p w:rsidR="006424F5" w:rsidRPr="004C7FBE" w:rsidRDefault="002E051C" w:rsidP="004C7FBE">
      <w:r w:rsidRPr="004C7FBE">
        <w:t xml:space="preserve">For each program, a brief program description, summary of the process evaluation findings, and review (audit) of the annual report follow below. The SWE Team notes two general comments about the methods discussions for the process evaluations of all programs. </w:t>
      </w:r>
    </w:p>
    <w:p w:rsidR="006424F5" w:rsidRPr="004C7FBE" w:rsidRDefault="006424F5" w:rsidP="004C7FBE"/>
    <w:p w:rsidR="002E051C" w:rsidRPr="004C7FBE" w:rsidRDefault="006424F5" w:rsidP="004C7FBE">
      <w:r w:rsidRPr="004C7FBE">
        <w:t>First, the sample and disposition tables for the surveys conducted as part of the process evaluation are missing the survey mode (web, phone, mail) used; however, this was provided in the text. The addition of the survey mode would complete the tables and make it so the reader does not have to refer to the text to find which mode was used. The SWE Team notes that it did not include survey mode in this table’s template provided to the EDCs, but that the mode would be a good addition. Second, including more information about the methods used to conduct analyses, such as the type of analysis (e.g., means, medians, frequencies, percentages, qualitative coding) and the types (e.g., Chi-square, t-test) and values of any statistical tests conducted, would be very informative.</w:t>
      </w:r>
    </w:p>
    <w:p w:rsidR="002E051C" w:rsidRPr="002E051C" w:rsidRDefault="002E051C" w:rsidP="002E051C"/>
    <w:p w:rsidR="002E051C" w:rsidRPr="002E051C" w:rsidRDefault="002E051C" w:rsidP="007B2E72">
      <w:pPr>
        <w:pStyle w:val="AppendixBHeading3"/>
      </w:pPr>
      <w:r w:rsidRPr="002E051C">
        <w:t>Continuous Energy Improvement Program</w:t>
      </w:r>
    </w:p>
    <w:p w:rsidR="002E051C" w:rsidRPr="002E051C" w:rsidRDefault="002E051C" w:rsidP="007B2E72">
      <w:pPr>
        <w:pStyle w:val="AppendixBHeading4"/>
      </w:pPr>
      <w:r w:rsidRPr="002E051C">
        <w:t>Brief Overview of the Program and Its Success</w:t>
      </w:r>
    </w:p>
    <w:p w:rsidR="002E051C" w:rsidRPr="004C7FBE" w:rsidRDefault="006424F5" w:rsidP="004C7FBE">
      <w:r w:rsidRPr="004C7FBE">
        <w:t>The Continuous Energy Improvement Program provides technical support for schools to develop and implement a Strategic Energy Management Plan (SEMP). The implementer, Strategic Energy Group, assists all schools within each of the 8 participating districts with development of a SEMP to implement.</w:t>
      </w:r>
      <w:r w:rsidR="002E051C" w:rsidRPr="004C7FBE">
        <w:t xml:space="preserve"> </w:t>
      </w:r>
    </w:p>
    <w:p w:rsidR="002E051C" w:rsidRPr="004C7FBE" w:rsidRDefault="002E051C" w:rsidP="004C7FBE"/>
    <w:p w:rsidR="002E051C" w:rsidRPr="002E051C" w:rsidRDefault="006424F5" w:rsidP="002E051C">
      <w:r w:rsidRPr="00C52A0B">
        <w:t>Each district identifies an energy manager to develop an energy reduction goal, a methodology for measuring energy savings, and a plan to continually improve its energy performance. Best practices are shared during monthly meetings, workshops, and conference calls led by the implementer. Forty-four schools cont</w:t>
      </w:r>
      <w:r>
        <w:t>inued participation through PY7</w:t>
      </w:r>
      <w:r w:rsidR="002E051C" w:rsidRPr="002E051C">
        <w:t>.</w:t>
      </w:r>
    </w:p>
    <w:p w:rsidR="002E051C" w:rsidRPr="002E051C" w:rsidRDefault="002E051C" w:rsidP="002E051C"/>
    <w:p w:rsidR="002E051C" w:rsidRPr="002E051C" w:rsidRDefault="006424F5" w:rsidP="002E051C">
      <w:r w:rsidRPr="00C52A0B">
        <w:t>The program met or exceeded its PY7 and Phase II planned MWh/yr energy savings and participation. In PY7, the program achieved 183% of its planned energy savings and 100% of its planned participation. For all of Phase II, the program achieved 149% of its planned energy savings and 100% of its planned participation.</w:t>
      </w:r>
    </w:p>
    <w:p w:rsidR="002E051C" w:rsidRPr="002E051C" w:rsidRDefault="002E051C" w:rsidP="002E051C"/>
    <w:p w:rsidR="002E051C" w:rsidRPr="002E051C" w:rsidRDefault="002E051C" w:rsidP="007B2E72">
      <w:pPr>
        <w:pStyle w:val="AppendixBHeading4"/>
      </w:pPr>
      <w:r w:rsidRPr="002E051C">
        <w:t>Summary of the Process Evaluation Findings</w:t>
      </w:r>
    </w:p>
    <w:p w:rsidR="002E051C" w:rsidRPr="002E051C" w:rsidRDefault="002E051C" w:rsidP="002E051C">
      <w:pPr>
        <w:spacing w:after="120"/>
      </w:pPr>
      <w:r w:rsidRPr="002E051C">
        <w:t xml:space="preserve">In PY7, Cadmus conducted two interviews with program staff and the implementer, 23 participant surveys with school district energy managers and school energy champions, and a database review and QA/QC review of records. Cadmus also measured a key performance indicator for the program, customer satisfaction. </w:t>
      </w:r>
    </w:p>
    <w:p w:rsidR="002E051C" w:rsidRPr="002E051C" w:rsidRDefault="002E051C" w:rsidP="002E051C">
      <w:pPr>
        <w:spacing w:after="120"/>
      </w:pPr>
      <w:r w:rsidRPr="002E051C">
        <w:t>Findings from the process evaluation included the following:</w:t>
      </w:r>
    </w:p>
    <w:p w:rsidR="002E051C" w:rsidRPr="004C7FBE" w:rsidRDefault="002E051C" w:rsidP="00E646C9">
      <w:pPr>
        <w:pStyle w:val="ListParagraph"/>
        <w:numPr>
          <w:ilvl w:val="0"/>
          <w:numId w:val="130"/>
        </w:numPr>
        <w:ind w:left="360"/>
        <w:rPr>
          <w:rFonts w:eastAsia="Calibri"/>
        </w:rPr>
      </w:pPr>
      <w:r w:rsidRPr="004C7FBE">
        <w:rPr>
          <w:rFonts w:eastAsia="Calibri"/>
        </w:rPr>
        <w:t>The program met or exceeded its PY7 and Phase II planned energy savings, and participation. This was due in part to school districts having higher consumption than initially assumed during program design, resulting in many more opportunities to save energy, and some schools had non-incented capital improvement projects ongoing during the baseline and performance periods.</w:t>
      </w:r>
    </w:p>
    <w:p w:rsidR="002E051C" w:rsidRPr="004C7FBE" w:rsidRDefault="002E051C" w:rsidP="00E646C9">
      <w:pPr>
        <w:pStyle w:val="ListParagraph"/>
        <w:numPr>
          <w:ilvl w:val="0"/>
          <w:numId w:val="130"/>
        </w:numPr>
        <w:ind w:left="360"/>
        <w:rPr>
          <w:rFonts w:eastAsia="Calibri"/>
        </w:rPr>
      </w:pPr>
      <w:r w:rsidRPr="004C7FBE">
        <w:rPr>
          <w:rFonts w:eastAsia="Calibri"/>
        </w:rPr>
        <w:t>Interviewed staff reported that the program is working well, with schools taking ownership of the program and doing SEMP plans on their own.</w:t>
      </w:r>
    </w:p>
    <w:p w:rsidR="002E051C" w:rsidRPr="004C7FBE" w:rsidRDefault="002E051C" w:rsidP="00E646C9">
      <w:pPr>
        <w:pStyle w:val="ListParagraph"/>
        <w:numPr>
          <w:ilvl w:val="0"/>
          <w:numId w:val="130"/>
        </w:numPr>
        <w:ind w:left="360"/>
        <w:rPr>
          <w:rFonts w:eastAsia="Calibri"/>
        </w:rPr>
      </w:pPr>
      <w:r w:rsidRPr="004C7FBE">
        <w:rPr>
          <w:rFonts w:eastAsia="Calibri"/>
        </w:rPr>
        <w:t>The implementer mentioned two challenges: expanding the pilot to the rest of the schools in the districts was more time consuming due to insufficient communication between the schools and the program, and schools did not regularly or consistently report their energy usage in the EPA Portfolio Manager software used for tracking energy usage.</w:t>
      </w:r>
    </w:p>
    <w:p w:rsidR="002E051C" w:rsidRPr="004C7FBE" w:rsidRDefault="002E051C" w:rsidP="00E646C9">
      <w:pPr>
        <w:pStyle w:val="ListParagraph"/>
        <w:numPr>
          <w:ilvl w:val="0"/>
          <w:numId w:val="130"/>
        </w:numPr>
        <w:ind w:left="360"/>
        <w:rPr>
          <w:rFonts w:eastAsia="Calibri"/>
        </w:rPr>
      </w:pPr>
      <w:r w:rsidRPr="004C7FBE">
        <w:rPr>
          <w:rFonts w:eastAsia="Calibri"/>
        </w:rPr>
        <w:t xml:space="preserve">Cadmus created a participant profile of the schools and districts. </w:t>
      </w:r>
    </w:p>
    <w:p w:rsidR="002E051C" w:rsidRPr="004C7FBE" w:rsidRDefault="002E051C" w:rsidP="00E646C9">
      <w:pPr>
        <w:pStyle w:val="ListParagraph"/>
        <w:numPr>
          <w:ilvl w:val="0"/>
          <w:numId w:val="130"/>
        </w:numPr>
        <w:ind w:left="360"/>
        <w:rPr>
          <w:rFonts w:eastAsia="Calibri"/>
        </w:rPr>
      </w:pPr>
      <w:r w:rsidRPr="004C7FBE">
        <w:rPr>
          <w:rFonts w:eastAsia="Calibri"/>
        </w:rPr>
        <w:t>Customer satisfaction exceeded the planned target of 80% reported satisfaction; 87% of surveyed participants reported being very satisfied, and 13% reported being somewhat satisfied with the program. Participants were especially satisfied with the monthly</w:t>
      </w:r>
      <w:r w:rsidR="001B5734" w:rsidRPr="004C7FBE">
        <w:rPr>
          <w:rFonts w:eastAsia="Calibri"/>
        </w:rPr>
        <w:t xml:space="preserve"> monitoring, targeting and reporting (</w:t>
      </w:r>
      <w:r w:rsidRPr="004C7FBE">
        <w:rPr>
          <w:rFonts w:eastAsia="Calibri"/>
        </w:rPr>
        <w:t>MT&amp;R</w:t>
      </w:r>
      <w:r w:rsidR="001B5734" w:rsidRPr="004C7FBE">
        <w:rPr>
          <w:rFonts w:eastAsia="Calibri"/>
        </w:rPr>
        <w:t>)</w:t>
      </w:r>
      <w:r w:rsidRPr="004C7FBE">
        <w:rPr>
          <w:rFonts w:eastAsia="Calibri"/>
        </w:rPr>
        <w:t xml:space="preserve"> meetings and receiving information about their energy use. </w:t>
      </w:r>
    </w:p>
    <w:p w:rsidR="002E051C" w:rsidRPr="004C7FBE" w:rsidRDefault="002E051C" w:rsidP="00E646C9">
      <w:pPr>
        <w:pStyle w:val="ListParagraph"/>
        <w:numPr>
          <w:ilvl w:val="0"/>
          <w:numId w:val="130"/>
        </w:numPr>
        <w:ind w:left="360"/>
        <w:rPr>
          <w:rFonts w:eastAsia="Calibri"/>
        </w:rPr>
      </w:pPr>
      <w:r w:rsidRPr="004C7FBE">
        <w:rPr>
          <w:rFonts w:eastAsia="Calibri"/>
        </w:rPr>
        <w:t>Surveyed school district energy managers and school champions reported that the greatest challenges involved organizing and gaining commitment from others involved in the schools and not having enough time to dedicate to the program. Some school energy champions also reported not having enough information to make plans and take action, and having difficulty maintaining momentum with the program.</w:t>
      </w:r>
    </w:p>
    <w:p w:rsidR="002E051C" w:rsidRPr="004C7FBE" w:rsidRDefault="002E051C" w:rsidP="00E646C9">
      <w:pPr>
        <w:pStyle w:val="ListParagraph"/>
        <w:numPr>
          <w:ilvl w:val="0"/>
          <w:numId w:val="130"/>
        </w:numPr>
        <w:ind w:left="360"/>
        <w:rPr>
          <w:rFonts w:eastAsia="Calibri"/>
        </w:rPr>
      </w:pPr>
      <w:r w:rsidRPr="004C7FBE">
        <w:rPr>
          <w:rFonts w:eastAsia="Calibri"/>
        </w:rPr>
        <w:t>Most surveyed participants indicated that their district or school would not have enrolled in the program without the incentive.</w:t>
      </w:r>
    </w:p>
    <w:p w:rsidR="002E051C" w:rsidRPr="004C7FBE" w:rsidRDefault="002E051C" w:rsidP="00E646C9">
      <w:pPr>
        <w:pStyle w:val="ListParagraph"/>
        <w:numPr>
          <w:ilvl w:val="0"/>
          <w:numId w:val="130"/>
        </w:numPr>
        <w:ind w:left="360"/>
        <w:rPr>
          <w:rFonts w:eastAsia="Calibri"/>
        </w:rPr>
      </w:pPr>
      <w:r w:rsidRPr="004C7FBE">
        <w:rPr>
          <w:rFonts w:eastAsia="Calibri"/>
        </w:rPr>
        <w:t xml:space="preserve">All surveyed participants reported high overall satisfaction with PPL. Over half of participants said their opinion of PPL improved after participating in the program. </w:t>
      </w:r>
    </w:p>
    <w:p w:rsidR="002E051C" w:rsidRPr="004C7FBE" w:rsidRDefault="002E051C" w:rsidP="00E646C9">
      <w:pPr>
        <w:pStyle w:val="ListParagraph"/>
        <w:numPr>
          <w:ilvl w:val="0"/>
          <w:numId w:val="130"/>
        </w:numPr>
        <w:ind w:left="360"/>
        <w:rPr>
          <w:rFonts w:eastAsia="Calibri"/>
        </w:rPr>
      </w:pPr>
      <w:r w:rsidRPr="004C7FBE">
        <w:rPr>
          <w:rFonts w:eastAsia="Calibri"/>
        </w:rPr>
        <w:t>Overall, SEMP adoption was high across all program participants, with all of the school districts having some or full adoption of practices involving customer commitment, planning and implementation, and measuring and reporting energy performance. However, the number of schools with full adoption declined from PY6, due to infrequent updates of program planning materials.</w:t>
      </w:r>
    </w:p>
    <w:p w:rsidR="00236598" w:rsidRPr="004C7FBE" w:rsidRDefault="002E051C" w:rsidP="00E646C9">
      <w:pPr>
        <w:pStyle w:val="ListParagraph"/>
        <w:numPr>
          <w:ilvl w:val="0"/>
          <w:numId w:val="130"/>
        </w:numPr>
        <w:ind w:left="360"/>
        <w:rPr>
          <w:rFonts w:eastAsia="Calibri"/>
        </w:rPr>
      </w:pPr>
      <w:r w:rsidRPr="004C7FBE">
        <w:rPr>
          <w:rFonts w:eastAsia="Calibri"/>
        </w:rPr>
        <w:t>Most survey participants reported that the program was extremely or somewhat influential in their decision to implement energy efficiency projects.</w:t>
      </w:r>
    </w:p>
    <w:p w:rsidR="002057C5" w:rsidRPr="002057C5" w:rsidRDefault="002057C5" w:rsidP="002057C5"/>
    <w:p w:rsidR="002E051C" w:rsidRPr="002E051C" w:rsidRDefault="002E051C" w:rsidP="006E6CED">
      <w:pPr>
        <w:pStyle w:val="AppendixBHeading4"/>
        <w:numPr>
          <w:ilvl w:val="0"/>
          <w:numId w:val="0"/>
        </w:numPr>
      </w:pPr>
      <w:r w:rsidRPr="002E051C">
        <w:t>Summary of the Process Evaluation Audit</w:t>
      </w:r>
    </w:p>
    <w:p w:rsidR="002E051C" w:rsidRPr="002E051C" w:rsidRDefault="003E0A5C" w:rsidP="002E051C">
      <w:r w:rsidRPr="00C52A0B">
        <w:t>The evaluation was consistent with the evaluation plan. The methodology section adequately explained the evaluation activities and analyses, and included the required sampling and disposition information and tables. Including more information about the methods used to conduct analyses, such as the type of analysis used, would be very informative. None of the interviews required sampling, and Cadmus achieved the targeted number of completed interviews with all groups except energy champions (n=15/18). While the survey mode is discussed in the text, adding the mode used for surveys (web, phone, mail) in Table 13-12 would complete the table and inform the reader witho</w:t>
      </w:r>
      <w:r>
        <w:t>ut having to refer to the text.</w:t>
      </w:r>
      <w:r w:rsidR="002E051C" w:rsidRPr="002E051C">
        <w:t xml:space="preserve"> </w:t>
      </w:r>
    </w:p>
    <w:p w:rsidR="002E051C" w:rsidRPr="002E051C" w:rsidRDefault="002E051C" w:rsidP="002E051C"/>
    <w:p w:rsidR="002E051C" w:rsidRPr="002E051C" w:rsidRDefault="002E051C" w:rsidP="002E051C">
      <w:r w:rsidRPr="002E051C">
        <w:t>Program findings were clearly summarized, with actionable recommendations following from conclusions supported by ample evidence. The report also included a table of recommendations with a description of whether PPL was implementing or considering those recommendations.</w:t>
      </w:r>
    </w:p>
    <w:p w:rsidR="002E051C" w:rsidRPr="002E051C" w:rsidRDefault="002E051C" w:rsidP="002E051C"/>
    <w:p w:rsidR="002E051C" w:rsidRPr="002E051C" w:rsidRDefault="002E051C" w:rsidP="007B2E72">
      <w:pPr>
        <w:pStyle w:val="AppendixBHeading3"/>
      </w:pPr>
      <w:r w:rsidRPr="002E051C">
        <w:t xml:space="preserve">Custom Incentive Program </w:t>
      </w:r>
    </w:p>
    <w:p w:rsidR="002E051C" w:rsidRPr="002E051C" w:rsidRDefault="002E051C" w:rsidP="007B2E72">
      <w:pPr>
        <w:pStyle w:val="AppendixBHeading4"/>
      </w:pPr>
      <w:r w:rsidRPr="002E051C">
        <w:t>Brief Overview of the Program and Its Success</w:t>
      </w:r>
    </w:p>
    <w:p w:rsidR="002E051C" w:rsidRPr="002E051C" w:rsidRDefault="002E051C" w:rsidP="002E051C">
      <w:r w:rsidRPr="002E051C">
        <w:t>The C/I Custom Incentive Program offers financial incentives to customers for installing extensive energy efficiency projects, retro-commissioning existing equipment, making repairs, optimizing equipment, making operational and process improvements that result in cost-effective energy savings, and installing equipment measures or systems that are not covered by the Prescriptive Equipment Program or the Pennsylvania TRM. The program offers performance-based incentives for the avoided or reduced energy consumption resulting from the project, and there is an annual cap for the incentive amount for each project and customer. Proposed upgrades must be pass the program’s cost-effectiveness criteria, and projects must be approved by the implementer, DNV GL Energy Services USA, before equipment can be installed. Eligible customers are reimbursed up to 50% of a project’s costs (not including labor) upon completion of a successful, cost-effective project. The program ended in PY7.</w:t>
      </w:r>
    </w:p>
    <w:p w:rsidR="002E051C" w:rsidRPr="002E051C" w:rsidRDefault="002E051C" w:rsidP="002E051C"/>
    <w:p w:rsidR="002E051C" w:rsidRPr="002E051C" w:rsidRDefault="003E0A5C" w:rsidP="002E051C">
      <w:r w:rsidRPr="00C52A0B">
        <w:t>The program exceeded it planned PY7 goals but did not meet its planned goals for all of Phase II. In PY7, the program achieved 125% of its planned MWh/yr energy savings but the program did not have planned participation for PY7. For all of Phase II, the program achieved 91% of its planned MWh/yr energy savings goal and 89% of its planned participation.</w:t>
      </w:r>
    </w:p>
    <w:p w:rsidR="002E051C" w:rsidRPr="002E051C" w:rsidRDefault="002E051C" w:rsidP="002E051C"/>
    <w:p w:rsidR="002E051C" w:rsidRPr="002E051C" w:rsidRDefault="002E051C" w:rsidP="007B2E72">
      <w:pPr>
        <w:pStyle w:val="AppendixBHeading4"/>
      </w:pPr>
      <w:r w:rsidRPr="002E051C">
        <w:t>Summary of the Process Evaluation Findings</w:t>
      </w:r>
    </w:p>
    <w:p w:rsidR="002E051C" w:rsidRPr="002E051C" w:rsidRDefault="002E051C" w:rsidP="002E051C">
      <w:pPr>
        <w:autoSpaceDE w:val="0"/>
        <w:autoSpaceDN w:val="0"/>
        <w:adjustRightInd w:val="0"/>
        <w:spacing w:after="120"/>
        <w:jc w:val="left"/>
      </w:pPr>
      <w:r w:rsidRPr="002E051C">
        <w:t xml:space="preserve">In PY7, Cadmus conducted two interviews with program and implementer staff and 24 phone and web participant surveys representing 26 properties. Cadmus also measured a key performance indicator for the program, customer satisfaction.          </w:t>
      </w:r>
    </w:p>
    <w:p w:rsidR="002E051C" w:rsidRPr="002E051C" w:rsidRDefault="002E051C" w:rsidP="002E051C">
      <w:pPr>
        <w:autoSpaceDE w:val="0"/>
        <w:autoSpaceDN w:val="0"/>
        <w:adjustRightInd w:val="0"/>
        <w:spacing w:after="120"/>
      </w:pPr>
      <w:r w:rsidRPr="002E051C">
        <w:t>The following findings emerged from the process evaluation:</w:t>
      </w:r>
    </w:p>
    <w:p w:rsidR="002E051C" w:rsidRPr="004C7FBE" w:rsidRDefault="002E051C" w:rsidP="00E646C9">
      <w:pPr>
        <w:pStyle w:val="ListParagraph"/>
        <w:numPr>
          <w:ilvl w:val="0"/>
          <w:numId w:val="131"/>
        </w:numPr>
        <w:ind w:left="360"/>
        <w:rPr>
          <w:rFonts w:eastAsia="Calibri"/>
        </w:rPr>
      </w:pPr>
      <w:r w:rsidRPr="004C7FBE">
        <w:rPr>
          <w:rFonts w:eastAsia="Calibri"/>
        </w:rPr>
        <w:t>The program exceeded its PY7</w:t>
      </w:r>
      <w:r w:rsidR="003E0A5C" w:rsidRPr="004C7FBE">
        <w:rPr>
          <w:rFonts w:eastAsia="Calibri"/>
        </w:rPr>
        <w:t xml:space="preserve"> planned</w:t>
      </w:r>
      <w:r w:rsidRPr="004C7FBE">
        <w:rPr>
          <w:rFonts w:eastAsia="Calibri"/>
        </w:rPr>
        <w:t xml:space="preserve"> energy savings but did not meet its</w:t>
      </w:r>
      <w:r w:rsidR="003E0A5C" w:rsidRPr="004C7FBE">
        <w:rPr>
          <w:rFonts w:eastAsia="Calibri"/>
        </w:rPr>
        <w:t xml:space="preserve"> planned</w:t>
      </w:r>
      <w:r w:rsidRPr="004C7FBE">
        <w:rPr>
          <w:rFonts w:eastAsia="Calibri"/>
        </w:rPr>
        <w:t xml:space="preserve"> Phase II energy savings, </w:t>
      </w:r>
      <w:r w:rsidR="003E0A5C" w:rsidRPr="004C7FBE">
        <w:rPr>
          <w:rFonts w:eastAsia="Calibri"/>
        </w:rPr>
        <w:t>or participation</w:t>
      </w:r>
      <w:r w:rsidRPr="004C7FBE">
        <w:rPr>
          <w:rFonts w:eastAsia="Calibri"/>
        </w:rPr>
        <w:t>.</w:t>
      </w:r>
    </w:p>
    <w:p w:rsidR="002E051C" w:rsidRPr="004C7FBE" w:rsidRDefault="002E051C" w:rsidP="00E646C9">
      <w:pPr>
        <w:pStyle w:val="ListParagraph"/>
        <w:numPr>
          <w:ilvl w:val="0"/>
          <w:numId w:val="131"/>
        </w:numPr>
        <w:ind w:left="360"/>
        <w:rPr>
          <w:rFonts w:eastAsia="Calibri"/>
        </w:rPr>
      </w:pPr>
      <w:r w:rsidRPr="004C7FBE">
        <w:rPr>
          <w:rFonts w:eastAsia="Calibri"/>
        </w:rPr>
        <w:t>Cadmus created participant profiles of participating customers.</w:t>
      </w:r>
    </w:p>
    <w:p w:rsidR="002E051C" w:rsidRPr="004C7FBE" w:rsidRDefault="002E051C" w:rsidP="00E646C9">
      <w:pPr>
        <w:pStyle w:val="ListParagraph"/>
        <w:numPr>
          <w:ilvl w:val="0"/>
          <w:numId w:val="131"/>
        </w:numPr>
        <w:ind w:left="360"/>
        <w:rPr>
          <w:rFonts w:eastAsia="Calibri"/>
        </w:rPr>
      </w:pPr>
      <w:r w:rsidRPr="004C7FBE">
        <w:rPr>
          <w:rFonts w:eastAsia="Calibri"/>
        </w:rPr>
        <w:t>Customer satisfaction exceeded the planned target of 80% reported satisfaction; 87% of surveyed participants reported high satisfaction. Most participants were also very or somewhat satisfied with the application process, the program’s terms and conditions, eligibility requirements, availability of qualified equipment, performance of installed equipment, time to complete paperwork, convenience of inspections, and simplicity of the overall process. For the majority of these program elements, customer satisfaction increased from PY6.</w:t>
      </w:r>
    </w:p>
    <w:p w:rsidR="002E051C" w:rsidRPr="004C7FBE" w:rsidRDefault="002E051C" w:rsidP="00E646C9">
      <w:pPr>
        <w:pStyle w:val="ListParagraph"/>
        <w:numPr>
          <w:ilvl w:val="0"/>
          <w:numId w:val="131"/>
        </w:numPr>
        <w:ind w:left="360"/>
        <w:rPr>
          <w:rFonts w:eastAsia="Calibri"/>
        </w:rPr>
      </w:pPr>
      <w:r w:rsidRPr="004C7FBE">
        <w:rPr>
          <w:rFonts w:eastAsia="Calibri"/>
        </w:rPr>
        <w:t>Most surveyed customers reported high satisfaction with PPL, and satisfaction increased from PY6. About one-</w:t>
      </w:r>
      <w:r w:rsidR="00D85A9E" w:rsidRPr="004C7FBE">
        <w:rPr>
          <w:rFonts w:eastAsia="Calibri"/>
        </w:rPr>
        <w:t>third</w:t>
      </w:r>
      <w:r w:rsidRPr="004C7FBE">
        <w:rPr>
          <w:rFonts w:eastAsia="Calibri"/>
        </w:rPr>
        <w:t xml:space="preserve"> of surveyed customers </w:t>
      </w:r>
      <w:r w:rsidR="00D85A9E" w:rsidRPr="004C7FBE">
        <w:rPr>
          <w:rFonts w:eastAsia="Calibri"/>
        </w:rPr>
        <w:t xml:space="preserve">(7 out of 24) </w:t>
      </w:r>
      <w:r w:rsidRPr="004C7FBE">
        <w:rPr>
          <w:rFonts w:eastAsia="Calibri"/>
        </w:rPr>
        <w:t xml:space="preserve">reported that their opinion improved after participating, but </w:t>
      </w:r>
      <w:r w:rsidR="003E0A5C" w:rsidRPr="004C7FBE">
        <w:rPr>
          <w:rFonts w:eastAsia="Calibri"/>
        </w:rPr>
        <w:t>a majority</w:t>
      </w:r>
      <w:r w:rsidRPr="004C7FBE">
        <w:rPr>
          <w:rFonts w:eastAsia="Calibri"/>
        </w:rPr>
        <w:t xml:space="preserve"> </w:t>
      </w:r>
      <w:r w:rsidR="00D85A9E" w:rsidRPr="004C7FBE">
        <w:rPr>
          <w:rFonts w:eastAsia="Calibri"/>
        </w:rPr>
        <w:t>(58%)</w:t>
      </w:r>
      <w:r w:rsidRPr="004C7FBE">
        <w:rPr>
          <w:rFonts w:eastAsia="Calibri"/>
        </w:rPr>
        <w:t xml:space="preserve"> reported that their opinion did not change.</w:t>
      </w:r>
    </w:p>
    <w:p w:rsidR="002E051C" w:rsidRPr="004C7FBE" w:rsidRDefault="002E051C" w:rsidP="00E646C9">
      <w:pPr>
        <w:pStyle w:val="ListParagraph"/>
        <w:numPr>
          <w:ilvl w:val="0"/>
          <w:numId w:val="131"/>
        </w:numPr>
        <w:ind w:left="360"/>
        <w:rPr>
          <w:rFonts w:eastAsia="Calibri"/>
        </w:rPr>
      </w:pPr>
      <w:r w:rsidRPr="004C7FBE">
        <w:rPr>
          <w:rFonts w:eastAsia="Calibri"/>
        </w:rPr>
        <w:t xml:space="preserve">Surveyed participants commented that program </w:t>
      </w:r>
      <w:r w:rsidR="00155563" w:rsidRPr="004C7FBE">
        <w:rPr>
          <w:rFonts w:eastAsia="Calibri"/>
        </w:rPr>
        <w:t>staff was</w:t>
      </w:r>
      <w:r w:rsidRPr="004C7FBE">
        <w:rPr>
          <w:rFonts w:eastAsia="Calibri"/>
        </w:rPr>
        <w:t xml:space="preserve"> very helpful and that projects moved fairly quickly and seamlessly once they got started.</w:t>
      </w:r>
    </w:p>
    <w:p w:rsidR="002E051C" w:rsidRPr="004C7FBE" w:rsidRDefault="002E051C" w:rsidP="00E646C9">
      <w:pPr>
        <w:pStyle w:val="ListParagraph"/>
        <w:numPr>
          <w:ilvl w:val="0"/>
          <w:numId w:val="131"/>
        </w:numPr>
        <w:ind w:left="360"/>
        <w:rPr>
          <w:rFonts w:eastAsia="Calibri"/>
        </w:rPr>
      </w:pPr>
      <w:r w:rsidRPr="004C7FBE">
        <w:rPr>
          <w:rFonts w:eastAsia="Calibri"/>
        </w:rPr>
        <w:t>Surveyed customers suggested improvements to the program, including providing better communication about timing, completing the review of materials and application steps more quickly, providing more options for rebated equipment, and improving the wait list.</w:t>
      </w:r>
    </w:p>
    <w:p w:rsidR="002E051C" w:rsidRPr="004C7FBE" w:rsidRDefault="002E051C" w:rsidP="00E646C9">
      <w:pPr>
        <w:pStyle w:val="ListParagraph"/>
        <w:numPr>
          <w:ilvl w:val="0"/>
          <w:numId w:val="131"/>
        </w:numPr>
        <w:ind w:left="360"/>
        <w:rPr>
          <w:rFonts w:eastAsia="Calibri"/>
        </w:rPr>
      </w:pPr>
      <w:r w:rsidRPr="004C7FBE">
        <w:rPr>
          <w:rFonts w:eastAsia="Calibri"/>
        </w:rPr>
        <w:t>Surveyed customers chose to upgrade equipment to replace old or broken equipment, save money/energy, or make improvements to existing systems.</w:t>
      </w:r>
    </w:p>
    <w:p w:rsidR="002E051C" w:rsidRPr="004C7FBE" w:rsidRDefault="002E051C" w:rsidP="00E646C9">
      <w:pPr>
        <w:pStyle w:val="ListParagraph"/>
        <w:numPr>
          <w:ilvl w:val="0"/>
          <w:numId w:val="131"/>
        </w:numPr>
        <w:ind w:left="360"/>
        <w:rPr>
          <w:rFonts w:eastAsia="Calibri"/>
        </w:rPr>
      </w:pPr>
      <w:r w:rsidRPr="004C7FBE">
        <w:rPr>
          <w:rFonts w:eastAsia="Calibri"/>
        </w:rPr>
        <w:t>Most respondents began thinking about their projects because of staff recommendations, internal observations, or recommendations from a contractor or auditor.</w:t>
      </w:r>
    </w:p>
    <w:p w:rsidR="002E051C" w:rsidRPr="004C7FBE" w:rsidRDefault="002E051C" w:rsidP="00E646C9">
      <w:pPr>
        <w:pStyle w:val="ListParagraph"/>
        <w:numPr>
          <w:ilvl w:val="0"/>
          <w:numId w:val="131"/>
        </w:numPr>
        <w:ind w:left="360"/>
        <w:rPr>
          <w:rFonts w:eastAsia="Calibri"/>
        </w:rPr>
      </w:pPr>
      <w:r w:rsidRPr="004C7FBE">
        <w:rPr>
          <w:rFonts w:eastAsia="Calibri"/>
        </w:rPr>
        <w:t>Most respondents reported that their contractor, vendor, or distributor provided the most assistance in designing their project.</w:t>
      </w:r>
    </w:p>
    <w:p w:rsidR="002E051C" w:rsidRPr="004C7FBE" w:rsidRDefault="002E051C" w:rsidP="00E646C9">
      <w:pPr>
        <w:pStyle w:val="ListParagraph"/>
        <w:numPr>
          <w:ilvl w:val="0"/>
          <w:numId w:val="131"/>
        </w:numPr>
        <w:ind w:left="360"/>
        <w:rPr>
          <w:rFonts w:eastAsia="Calibri"/>
        </w:rPr>
      </w:pPr>
      <w:r w:rsidRPr="004C7FBE">
        <w:rPr>
          <w:rFonts w:eastAsia="Calibri"/>
        </w:rPr>
        <w:t>The most important reported criteria for determining whether to go forward with a project were the return on investment, energy and operating costs, and initial costs.</w:t>
      </w:r>
    </w:p>
    <w:p w:rsidR="002E051C" w:rsidRPr="002E051C" w:rsidRDefault="002E051C" w:rsidP="002E051C"/>
    <w:p w:rsidR="002E051C" w:rsidRPr="002E051C" w:rsidRDefault="002E051C" w:rsidP="007B2E72">
      <w:pPr>
        <w:pStyle w:val="AppendixBHeading4"/>
      </w:pPr>
      <w:r w:rsidRPr="002E051C">
        <w:t>Summary of the Process Evaluation Audit</w:t>
      </w:r>
    </w:p>
    <w:p w:rsidR="002E051C" w:rsidRPr="004C7FBE" w:rsidRDefault="002E051C" w:rsidP="004C7FBE">
      <w:r w:rsidRPr="004C7FBE">
        <w:t>The research activities were consistent with the PY7 evaluation plan. Plans from the last annual report to interview contractors and other project designers, and to conduct additional benchmarking research to investigate eligibility requirements of other custom programs, will be conducted in Phase III. An explanation for why this change was made was not provided.</w:t>
      </w:r>
    </w:p>
    <w:p w:rsidR="002E051C" w:rsidRPr="004C7FBE" w:rsidRDefault="002E051C" w:rsidP="004C7FBE"/>
    <w:p w:rsidR="002E051C" w:rsidRPr="004C7FBE" w:rsidRDefault="002E051C" w:rsidP="004C7FBE">
      <w:r w:rsidRPr="004C7FBE">
        <w:t xml:space="preserve">The methodology section adequately explained the evaluation activities and analyses, and included the required sampling and disposition information and tables. Including more information about the methods used to conduct analyses, such as the type of analysis used, and the types of the statistical tests conducted, would be very informative. For the participant surveys, Cadmus achieved sample sizes that provided 85/15 confidence/precision; Cadmus also achieved the targeted number of completed interviews that did not require sampling. </w:t>
      </w:r>
    </w:p>
    <w:p w:rsidR="002E051C" w:rsidRPr="004C7FBE" w:rsidRDefault="002E051C" w:rsidP="004C7FBE">
      <w:r w:rsidRPr="004C7FBE">
        <w:t>Program findings were clearly summarized, with actionable recommendations following from conclusions supported by ample evidence. Results in Sections 4.4.9, 4.4.10, and 4.4.11 would be easier to process if provided in a table instead of bullets or short paragraphs. The two recommendations consisted of multiple recommendations that could be separated. The report also included a table of recommendations with a description of whether PPL was implementing or considering those recommendations.</w:t>
      </w:r>
    </w:p>
    <w:p w:rsidR="002E051C" w:rsidRPr="002E051C" w:rsidRDefault="002E051C" w:rsidP="002E051C"/>
    <w:p w:rsidR="002E051C" w:rsidRPr="002E051C" w:rsidRDefault="002E051C" w:rsidP="007B2E72">
      <w:pPr>
        <w:pStyle w:val="AppendixBHeading3"/>
      </w:pPr>
      <w:r w:rsidRPr="002E051C">
        <w:t>Prescriptive Equipment Program</w:t>
      </w:r>
    </w:p>
    <w:p w:rsidR="002E051C" w:rsidRPr="002E051C" w:rsidRDefault="002E051C" w:rsidP="007B2E72">
      <w:pPr>
        <w:pStyle w:val="AppendixBHeading4"/>
      </w:pPr>
      <w:r w:rsidRPr="002E051C">
        <w:t>Brief Overview of the Program and Its Success</w:t>
      </w:r>
    </w:p>
    <w:p w:rsidR="002E051C" w:rsidRPr="002E051C" w:rsidRDefault="002E051C" w:rsidP="004C7FBE">
      <w:r w:rsidRPr="002E051C">
        <w:t xml:space="preserve">The C/I Prescriptive Equipment Program offers incentives to offset the costs of energy efficient lighting, non-lighting, and agriculture equipment. Incentives are provided through two channels by PPL. The standard channel requires the customer to obtain pre-approval before ordering or purchasing the equipment. For the direct discount delivery channel, a contractor evaluates possible upgrades and makes recommendations, the </w:t>
      </w:r>
      <w:r w:rsidRPr="004C7FBE">
        <w:t>customer</w:t>
      </w:r>
      <w:r w:rsidRPr="002E051C">
        <w:t xml:space="preserve"> chooses which upgrades to purchase, and the contractor obtains pre-approval, installs the upgrades, and submits the paperwork. The program targets small C/I customers, large C/I customers, the GNI sector, institutional and educational customers, and agricultural customers. </w:t>
      </w:r>
    </w:p>
    <w:p w:rsidR="002E051C" w:rsidRPr="002E051C" w:rsidRDefault="002E051C" w:rsidP="002E051C"/>
    <w:p w:rsidR="002E051C" w:rsidRPr="002E051C" w:rsidRDefault="002E051C" w:rsidP="002E051C">
      <w:r w:rsidRPr="002E051C">
        <w:t xml:space="preserve">In PY7, the program canceled the direct discount channel due to a shortage of funding and a growing wait list. The program also offered a limited time (three months) offer for increased incentive amounts for HVAC and </w:t>
      </w:r>
      <w:r w:rsidR="00236598">
        <w:t>HPWHs</w:t>
      </w:r>
      <w:r w:rsidRPr="002E051C">
        <w:t>.</w:t>
      </w:r>
    </w:p>
    <w:p w:rsidR="002E051C" w:rsidRPr="002E051C" w:rsidRDefault="002E051C" w:rsidP="002E051C"/>
    <w:p w:rsidR="002E051C" w:rsidRPr="002E051C" w:rsidRDefault="00BC644C" w:rsidP="002E051C">
      <w:r w:rsidRPr="00C52A0B">
        <w:t xml:space="preserve">The program exceeded its planned PY7 and Phase II MWh/yr energy savings but did not meet its planned Phase II participation. In PY7, the program achieved 158% of its planned </w:t>
      </w:r>
      <w:r>
        <w:t>energy savings</w:t>
      </w:r>
      <w:r w:rsidRPr="00C52A0B">
        <w:t>; there was not planned participation for PY7. For all of Phase II, the program achieved 120% of its planned energy savings and 42% of its planned participation.</w:t>
      </w:r>
    </w:p>
    <w:p w:rsidR="002E051C" w:rsidRPr="002E051C" w:rsidRDefault="002E051C" w:rsidP="002E051C"/>
    <w:p w:rsidR="002E051C" w:rsidRPr="002E051C" w:rsidRDefault="002E051C" w:rsidP="007B2E72">
      <w:pPr>
        <w:pStyle w:val="AppendixBHeading4"/>
      </w:pPr>
      <w:r w:rsidRPr="002E051C">
        <w:t>Summary of the Process Evaluation Findings</w:t>
      </w:r>
    </w:p>
    <w:p w:rsidR="002E051C" w:rsidRPr="002E051C" w:rsidRDefault="002E051C" w:rsidP="002E051C">
      <w:pPr>
        <w:spacing w:after="120"/>
      </w:pPr>
      <w:r w:rsidRPr="002E051C">
        <w:t>In PY7, Cadmus conducted two interviews with program staff and the implementer, 80 web and phone lighting and equipment participant surveys, and a database review and QA/QC review of records. Cadmus also measured two key performance indicators: customer satisfaction and incentive processing time.</w:t>
      </w:r>
    </w:p>
    <w:p w:rsidR="002E051C" w:rsidRPr="002E051C" w:rsidRDefault="002E051C" w:rsidP="002E051C">
      <w:pPr>
        <w:autoSpaceDE w:val="0"/>
        <w:autoSpaceDN w:val="0"/>
        <w:adjustRightInd w:val="0"/>
        <w:spacing w:after="120"/>
        <w:jc w:val="left"/>
        <w:rPr>
          <w:rFonts w:cs="Calibri"/>
          <w:color w:val="000000"/>
        </w:rPr>
      </w:pPr>
      <w:r w:rsidRPr="002E051C">
        <w:rPr>
          <w:rFonts w:cs="Calibri"/>
          <w:bCs/>
          <w:color w:val="000000"/>
        </w:rPr>
        <w:t>The evaluation found the following:</w:t>
      </w:r>
    </w:p>
    <w:p w:rsidR="002E051C" w:rsidRPr="004C7FBE" w:rsidRDefault="002E051C" w:rsidP="00E646C9">
      <w:pPr>
        <w:pStyle w:val="ListParagraph"/>
        <w:numPr>
          <w:ilvl w:val="0"/>
          <w:numId w:val="132"/>
        </w:numPr>
        <w:ind w:left="360"/>
        <w:rPr>
          <w:rFonts w:eastAsia="Calibri"/>
        </w:rPr>
      </w:pPr>
      <w:r w:rsidRPr="004C7FBE">
        <w:rPr>
          <w:rFonts w:eastAsia="Calibri"/>
        </w:rPr>
        <w:t xml:space="preserve">The program exceeded it planned PY7 and Phase II MWh/yr energy savings but did not meet its </w:t>
      </w:r>
      <w:r w:rsidR="00B140A0" w:rsidRPr="004C7FBE">
        <w:rPr>
          <w:rFonts w:eastAsia="Calibri"/>
        </w:rPr>
        <w:t xml:space="preserve">planned </w:t>
      </w:r>
      <w:r w:rsidRPr="004C7FBE">
        <w:rPr>
          <w:rFonts w:eastAsia="Calibri"/>
        </w:rPr>
        <w:t>Phase II participation.</w:t>
      </w:r>
    </w:p>
    <w:p w:rsidR="002E051C" w:rsidRPr="004C7FBE" w:rsidRDefault="002E051C" w:rsidP="00E646C9">
      <w:pPr>
        <w:pStyle w:val="ListParagraph"/>
        <w:numPr>
          <w:ilvl w:val="0"/>
          <w:numId w:val="132"/>
        </w:numPr>
        <w:ind w:left="360"/>
        <w:rPr>
          <w:rFonts w:eastAsia="Calibri"/>
        </w:rPr>
      </w:pPr>
      <w:r w:rsidRPr="004C7FBE">
        <w:rPr>
          <w:rFonts w:eastAsia="Calibri"/>
        </w:rPr>
        <w:t>The program did not meet its goal for 80% customer satisfaction; 77% of surveyed participants reported high satisfaction.</w:t>
      </w:r>
      <w:r w:rsidR="00B140A0" w:rsidRPr="004C7FBE">
        <w:rPr>
          <w:rFonts w:eastAsia="Calibri"/>
        </w:rPr>
        <w:t xml:space="preserve"> The program goal for processing all rebates within six weeks was not applicable during PY7 because the program implemented a wait list.</w:t>
      </w:r>
    </w:p>
    <w:p w:rsidR="002E051C" w:rsidRPr="004C7FBE" w:rsidRDefault="002E051C" w:rsidP="00E646C9">
      <w:pPr>
        <w:pStyle w:val="ListParagraph"/>
        <w:numPr>
          <w:ilvl w:val="0"/>
          <w:numId w:val="132"/>
        </w:numPr>
        <w:ind w:left="360"/>
        <w:rPr>
          <w:rFonts w:eastAsia="Calibri"/>
        </w:rPr>
      </w:pPr>
      <w:r w:rsidRPr="004C7FBE">
        <w:rPr>
          <w:rFonts w:eastAsia="Calibri"/>
        </w:rPr>
        <w:t>The program has been operating for seven years and has built a robust network of contractors to support it and drive participation.</w:t>
      </w:r>
    </w:p>
    <w:p w:rsidR="002E051C" w:rsidRPr="004C7FBE" w:rsidRDefault="002E051C" w:rsidP="00E646C9">
      <w:pPr>
        <w:pStyle w:val="ListParagraph"/>
        <w:numPr>
          <w:ilvl w:val="0"/>
          <w:numId w:val="132"/>
        </w:numPr>
        <w:ind w:left="360"/>
        <w:rPr>
          <w:rFonts w:eastAsia="Calibri"/>
        </w:rPr>
      </w:pPr>
      <w:r w:rsidRPr="004C7FBE">
        <w:rPr>
          <w:rFonts w:eastAsia="Calibri"/>
        </w:rPr>
        <w:t>With improved tracking in PY7, the program managed participation rates and avoided program oversubscription.</w:t>
      </w:r>
    </w:p>
    <w:p w:rsidR="002E051C" w:rsidRPr="004C7FBE" w:rsidRDefault="002E051C" w:rsidP="00E646C9">
      <w:pPr>
        <w:pStyle w:val="ListParagraph"/>
        <w:numPr>
          <w:ilvl w:val="0"/>
          <w:numId w:val="132"/>
        </w:numPr>
        <w:ind w:left="360"/>
        <w:rPr>
          <w:rFonts w:eastAsia="Calibri"/>
        </w:rPr>
      </w:pPr>
      <w:r w:rsidRPr="004C7FBE">
        <w:rPr>
          <w:rFonts w:eastAsia="Calibri"/>
        </w:rPr>
        <w:t xml:space="preserve">The limited-time higher incentives for HVAC equipment and </w:t>
      </w:r>
      <w:r w:rsidR="00236598" w:rsidRPr="004C7FBE">
        <w:rPr>
          <w:rFonts w:eastAsia="Calibri"/>
        </w:rPr>
        <w:t>HPWHs</w:t>
      </w:r>
      <w:r w:rsidRPr="004C7FBE">
        <w:rPr>
          <w:rFonts w:eastAsia="Calibri"/>
        </w:rPr>
        <w:t xml:space="preserve"> had a minimal effect on participation.</w:t>
      </w:r>
    </w:p>
    <w:p w:rsidR="002E051C" w:rsidRPr="004C7FBE" w:rsidRDefault="002E051C" w:rsidP="00E646C9">
      <w:pPr>
        <w:pStyle w:val="ListParagraph"/>
        <w:numPr>
          <w:ilvl w:val="0"/>
          <w:numId w:val="132"/>
        </w:numPr>
        <w:ind w:left="360"/>
        <w:rPr>
          <w:rFonts w:eastAsia="Calibri"/>
        </w:rPr>
      </w:pPr>
      <w:r w:rsidRPr="004C7FBE">
        <w:rPr>
          <w:rFonts w:eastAsia="Calibri"/>
        </w:rPr>
        <w:t>The pre-approval process added in PY6 resulted in more effort needed to review and approve applications than anticipated.</w:t>
      </w:r>
    </w:p>
    <w:p w:rsidR="002E051C" w:rsidRPr="004C7FBE" w:rsidRDefault="002E051C" w:rsidP="00E646C9">
      <w:pPr>
        <w:pStyle w:val="ListParagraph"/>
        <w:numPr>
          <w:ilvl w:val="0"/>
          <w:numId w:val="132"/>
        </w:numPr>
        <w:ind w:left="360"/>
        <w:rPr>
          <w:rFonts w:eastAsia="Calibri"/>
        </w:rPr>
      </w:pPr>
      <w:r w:rsidRPr="004C7FBE">
        <w:rPr>
          <w:rFonts w:eastAsia="Calibri"/>
        </w:rPr>
        <w:t>There is very limited uptake in rebates for agriculture equipment, but the program received applications for six different agricultural measures in PY7 for the first time.</w:t>
      </w:r>
    </w:p>
    <w:p w:rsidR="002E051C" w:rsidRPr="004C7FBE" w:rsidRDefault="002E051C" w:rsidP="00E646C9">
      <w:pPr>
        <w:pStyle w:val="ListParagraph"/>
        <w:numPr>
          <w:ilvl w:val="0"/>
          <w:numId w:val="132"/>
        </w:numPr>
        <w:ind w:left="360"/>
        <w:rPr>
          <w:rFonts w:eastAsia="Calibri"/>
        </w:rPr>
      </w:pPr>
      <w:r w:rsidRPr="004C7FBE">
        <w:rPr>
          <w:rFonts w:eastAsia="Calibri"/>
        </w:rPr>
        <w:t>Cadmus created a profile of participants who used the prescriptive equipment and prescriptive equipment lighting rebates.</w:t>
      </w:r>
    </w:p>
    <w:p w:rsidR="002E051C" w:rsidRPr="004C7FBE" w:rsidRDefault="002E051C" w:rsidP="00E646C9">
      <w:pPr>
        <w:pStyle w:val="ListParagraph"/>
        <w:numPr>
          <w:ilvl w:val="0"/>
          <w:numId w:val="132"/>
        </w:numPr>
        <w:ind w:left="360"/>
        <w:rPr>
          <w:rFonts w:eastAsia="Calibri"/>
        </w:rPr>
      </w:pPr>
      <w:r w:rsidRPr="004C7FBE">
        <w:rPr>
          <w:rFonts w:eastAsia="Calibri"/>
        </w:rPr>
        <w:t>Most surveyed participants were satisfied with their contractor, eligibility requirements, the program’s terms and conditions, availability of qualifying equipment, time to complete paperwork, convenience of inspections, and simplicity of the overall process. However, satisfaction with the time it took to receive the rebate has been on the decline since PY5, likely due to the pre-approval process in PY6 and wait list in PY7.</w:t>
      </w:r>
    </w:p>
    <w:p w:rsidR="002E051C" w:rsidRPr="004C7FBE" w:rsidRDefault="002E051C" w:rsidP="00E646C9">
      <w:pPr>
        <w:pStyle w:val="ListParagraph"/>
        <w:numPr>
          <w:ilvl w:val="0"/>
          <w:numId w:val="132"/>
        </w:numPr>
        <w:ind w:left="360"/>
        <w:rPr>
          <w:rFonts w:eastAsia="Calibri"/>
        </w:rPr>
      </w:pPr>
      <w:r w:rsidRPr="004C7FBE">
        <w:rPr>
          <w:rFonts w:eastAsia="Calibri"/>
        </w:rPr>
        <w:t>Surveyed participants suggested improvements to the application communications, wait list, and application and rebate processing times so they can better manage their projects.</w:t>
      </w:r>
    </w:p>
    <w:p w:rsidR="002E051C" w:rsidRPr="004C7FBE" w:rsidRDefault="002E051C" w:rsidP="00E646C9">
      <w:pPr>
        <w:pStyle w:val="ListParagraph"/>
        <w:numPr>
          <w:ilvl w:val="0"/>
          <w:numId w:val="132"/>
        </w:numPr>
        <w:ind w:left="360"/>
        <w:rPr>
          <w:rFonts w:eastAsia="Calibri"/>
        </w:rPr>
      </w:pPr>
      <w:r w:rsidRPr="004C7FBE">
        <w:rPr>
          <w:rFonts w:eastAsia="Calibri"/>
        </w:rPr>
        <w:t>Most of the program participants (80%) learned about the program through their contractor.</w:t>
      </w:r>
    </w:p>
    <w:p w:rsidR="002E051C" w:rsidRPr="004C7FBE" w:rsidRDefault="002E051C" w:rsidP="00E646C9">
      <w:pPr>
        <w:pStyle w:val="ListParagraph"/>
        <w:numPr>
          <w:ilvl w:val="0"/>
          <w:numId w:val="132"/>
        </w:numPr>
        <w:ind w:left="360"/>
        <w:rPr>
          <w:rFonts w:eastAsia="Calibri"/>
        </w:rPr>
      </w:pPr>
      <w:r w:rsidRPr="004C7FBE">
        <w:rPr>
          <w:rFonts w:eastAsia="Calibri"/>
        </w:rPr>
        <w:t>About half of lighting participants (55%) and 41% of equipment participants reported that their opinion of PPL has improved since participating in the program.</w:t>
      </w:r>
    </w:p>
    <w:p w:rsidR="002E051C" w:rsidRPr="004C7FBE" w:rsidRDefault="002E051C" w:rsidP="00E646C9">
      <w:pPr>
        <w:pStyle w:val="ListParagraph"/>
        <w:numPr>
          <w:ilvl w:val="0"/>
          <w:numId w:val="132"/>
        </w:numPr>
        <w:ind w:left="360"/>
        <w:rPr>
          <w:rFonts w:eastAsia="Calibri"/>
        </w:rPr>
      </w:pPr>
      <w:r w:rsidRPr="004C7FBE">
        <w:rPr>
          <w:rFonts w:eastAsia="Calibri"/>
        </w:rPr>
        <w:t>The evaluation survey occurred up to two years after some participants completed projects, and survey results could be affected by recall bias.</w:t>
      </w:r>
    </w:p>
    <w:p w:rsidR="002E051C" w:rsidRDefault="002E051C" w:rsidP="004C7FBE"/>
    <w:p w:rsidR="002E051C" w:rsidRPr="002E051C" w:rsidRDefault="002E051C" w:rsidP="007B2E72">
      <w:pPr>
        <w:pStyle w:val="AppendixBHeading4"/>
      </w:pPr>
      <w:r w:rsidRPr="002E051C">
        <w:t>Summary of the Process Evaluation Audit</w:t>
      </w:r>
    </w:p>
    <w:p w:rsidR="002E051C" w:rsidRPr="002E051C" w:rsidRDefault="002E051C" w:rsidP="002E051C">
      <w:r w:rsidRPr="002E051C">
        <w:t>The evaluation was consistent with the evaluation plan, with two exceptions. First, Cadmus conducted a phone survey of participants to increase the number of completes after achieving a lower than expected response rate for the web survey. Second, Cadmus and PPL decided not to conduct interviews with agricultural trade allies because participation was low, projects occurred late in the evaluation period, and it is uncertain if agricultural equipment will remain in the program in Phase III.</w:t>
      </w:r>
    </w:p>
    <w:p w:rsidR="002E051C" w:rsidRPr="002E051C" w:rsidRDefault="002E051C" w:rsidP="002E051C"/>
    <w:p w:rsidR="002E051C" w:rsidRPr="002E051C" w:rsidRDefault="00B140A0" w:rsidP="002E051C">
      <w:r w:rsidRPr="00C52A0B">
        <w:t>The methodology section adequately explained the evaluation activities and analyses, and included the required sampling and disposition information and tables. Including more information about the methods used to conduct analyses, such as the type of analysis used, would be very informative. For the data-collection tasks requiring sampling, Cadmus attempted a census; Cadmus also achieved the targeted number of completed interviews that did not require sampling. Adding the mode used for surveys (web, phone, mail) in Tables 2-23 and 2-25 would complete the tables and inform the reader without having to refer to the text where the survey mode is reported</w:t>
      </w:r>
      <w:r>
        <w:t>.</w:t>
      </w:r>
      <w:r w:rsidR="002E051C" w:rsidRPr="002E051C">
        <w:t xml:space="preserve"> </w:t>
      </w:r>
    </w:p>
    <w:p w:rsidR="002E051C" w:rsidRPr="002E051C" w:rsidRDefault="002E051C" w:rsidP="002E051C"/>
    <w:p w:rsidR="002E051C" w:rsidRDefault="002E051C" w:rsidP="002E051C">
      <w:r w:rsidRPr="002E051C">
        <w:t>Program findings were clearly summarized, with actionable recommendations following conclusions and ample evidence supporting the conclusions. The report also included a table of recommendations with a description of whether PPL was implementing or considering those recommendations.</w:t>
      </w:r>
    </w:p>
    <w:p w:rsidR="00186987" w:rsidRDefault="00186987" w:rsidP="002E051C"/>
    <w:p w:rsidR="00186987" w:rsidRPr="002E051C" w:rsidRDefault="00186987" w:rsidP="007B2E72">
      <w:pPr>
        <w:pStyle w:val="AppendixBHeading3"/>
      </w:pPr>
      <w:r w:rsidRPr="002E051C">
        <w:t xml:space="preserve">Master Metered Low-Income Multifamily Housing Program </w:t>
      </w:r>
    </w:p>
    <w:p w:rsidR="00186987" w:rsidRPr="002E051C" w:rsidRDefault="00186987" w:rsidP="007B2E72">
      <w:pPr>
        <w:pStyle w:val="AppendixBHeading4"/>
      </w:pPr>
      <w:r w:rsidRPr="002E051C">
        <w:t>Brief Overview of the Program and Its Success</w:t>
      </w:r>
    </w:p>
    <w:p w:rsidR="00186987" w:rsidRPr="002E051C" w:rsidRDefault="00B140A0" w:rsidP="00186987">
      <w:r w:rsidRPr="00C52A0B">
        <w:t>The Master Metered Low-Income Multifamily Housing Program targets owners or managers of master metered multifamily low-income housing buildings (at or below 150% of the FPL) with five or more units in PPL’s service territory. The program provides a free walk-through audit of the building followed with analysis and a report that shows the potential energy savings for installing recommended energy efficient measures. These may include direct installation and prescriptive efficiency measures. Eligible customers may also receive rebates through other PPL programs to offset the incremental costs of upgrades. The implementer is SmartWatt Energy, and it offers</w:t>
      </w:r>
      <w:r>
        <w:t xml:space="preserve"> </w:t>
      </w:r>
      <w:r w:rsidRPr="00C52A0B">
        <w:t>interest-free financing to participating buildings, if the participant is interested.</w:t>
      </w:r>
    </w:p>
    <w:p w:rsidR="00186987" w:rsidRPr="002E051C" w:rsidRDefault="00186987" w:rsidP="00186987"/>
    <w:p w:rsidR="00186987" w:rsidRPr="002E051C" w:rsidRDefault="00B140A0" w:rsidP="00186987">
      <w:r w:rsidRPr="00C52A0B">
        <w:t>For PY7, the program added nursing homes as an eligible building type, which resulted in several large projects. The program exceeded its planned MWh/yr energy savings for PY7 but did not meet the planned savings for all of Phase II. In PY7, the program achieved 119% of its planned MWh/yr savings and in Phase II, the program achieved 94% of its planned MWh/yr savings.</w:t>
      </w:r>
    </w:p>
    <w:p w:rsidR="00186987" w:rsidRPr="002E051C" w:rsidRDefault="00186987" w:rsidP="00186987"/>
    <w:p w:rsidR="00186987" w:rsidRPr="002E051C" w:rsidRDefault="00186987" w:rsidP="007B2E72">
      <w:pPr>
        <w:pStyle w:val="AppendixBHeading4"/>
      </w:pPr>
      <w:r w:rsidRPr="002E051C">
        <w:t>Summary of the Process Evaluation Findings</w:t>
      </w:r>
    </w:p>
    <w:p w:rsidR="00186987" w:rsidRDefault="00186987" w:rsidP="004C7FBE">
      <w:r w:rsidRPr="004C7FBE">
        <w:t>For the PY7 process evaluation, Cadmus conducted phone interviews with program staff and the implementer (n=2), analyzed results from 44 leave-behind tenant postcard surveys, analyzed the results of 156 implementer-administered tenant education workshop satisfaction surveys at 10 buildings, and reviewed building characteristics data for 50 Phase II participating buildings. Building characteristics included year built, area, number of stories and occupants, vacancy rate, and primary HVAC system, water heating system, and fuel source for units and common areas. Cadmus also measured three key performance indicators: customer complaints, safety violations, and tenant energy education workshop satisfaction.</w:t>
      </w:r>
    </w:p>
    <w:p w:rsidR="004C7FBE" w:rsidRPr="004C7FBE" w:rsidRDefault="004C7FBE" w:rsidP="004C7FBE"/>
    <w:p w:rsidR="00186987" w:rsidRPr="002E051C" w:rsidRDefault="00186987" w:rsidP="004C7FBE">
      <w:pPr>
        <w:pStyle w:val="6spacenormal"/>
      </w:pPr>
      <w:r w:rsidRPr="002E051C">
        <w:t>The following findings emerged from the process evaluation:</w:t>
      </w:r>
    </w:p>
    <w:p w:rsidR="00186987" w:rsidRPr="004C7FBE" w:rsidRDefault="00186987" w:rsidP="00E646C9">
      <w:pPr>
        <w:pStyle w:val="ListParagraph"/>
        <w:numPr>
          <w:ilvl w:val="0"/>
          <w:numId w:val="133"/>
        </w:numPr>
        <w:ind w:left="360"/>
        <w:rPr>
          <w:rFonts w:eastAsia="Calibri"/>
        </w:rPr>
      </w:pPr>
      <w:r w:rsidRPr="004C7FBE">
        <w:rPr>
          <w:rFonts w:eastAsia="Calibri"/>
        </w:rPr>
        <w:t xml:space="preserve">The program </w:t>
      </w:r>
      <w:r w:rsidR="00B140A0" w:rsidRPr="004C7FBE">
        <w:rPr>
          <w:rFonts w:eastAsia="Calibri"/>
        </w:rPr>
        <w:t>exceeded its planned MWh/yr energy savings for PY7 but did not for all of Phase II, primarily due to limited multifamily opportunities remaining at the end of PY6 (which led to the program eligibility expansion to nursing homes), a ramp-down of program activities, and a focus on lighting upgrades instead of other qualified upgrades</w:t>
      </w:r>
      <w:r w:rsidRPr="004C7FBE">
        <w:rPr>
          <w:rFonts w:eastAsia="Calibri"/>
        </w:rPr>
        <w:t>.</w:t>
      </w:r>
    </w:p>
    <w:p w:rsidR="00186987" w:rsidRPr="004C7FBE" w:rsidRDefault="00186987" w:rsidP="00E646C9">
      <w:pPr>
        <w:pStyle w:val="ListParagraph"/>
        <w:numPr>
          <w:ilvl w:val="0"/>
          <w:numId w:val="133"/>
        </w:numPr>
        <w:ind w:left="360"/>
        <w:rPr>
          <w:rFonts w:eastAsia="Calibri"/>
        </w:rPr>
      </w:pPr>
      <w:r w:rsidRPr="004C7FBE">
        <w:rPr>
          <w:rFonts w:eastAsia="Calibri"/>
        </w:rPr>
        <w:t>Program staff reported that up-front costs, tight operating budgets, and a reluctance to take on additional debt were the most important reasons that some building owners or operators did not participate after receiving an audit or did not do comprehensive upgrades. Only one participating building took advantage of the interest-free financing offered by the implementer.</w:t>
      </w:r>
    </w:p>
    <w:p w:rsidR="00186987" w:rsidRPr="004C7FBE" w:rsidRDefault="00186987" w:rsidP="00E646C9">
      <w:pPr>
        <w:pStyle w:val="ListParagraph"/>
        <w:numPr>
          <w:ilvl w:val="0"/>
          <w:numId w:val="133"/>
        </w:numPr>
        <w:ind w:left="360"/>
        <w:rPr>
          <w:rFonts w:eastAsia="Calibri"/>
        </w:rPr>
      </w:pPr>
      <w:r w:rsidRPr="004C7FBE">
        <w:rPr>
          <w:rFonts w:eastAsia="Calibri"/>
        </w:rPr>
        <w:t>The program will not be offered in Phase III, but eligible participants can participate in WRAP and the Prescriptive Equipment Program in Phase III.</w:t>
      </w:r>
    </w:p>
    <w:p w:rsidR="00186987" w:rsidRPr="004C7FBE" w:rsidRDefault="00186987" w:rsidP="00E646C9">
      <w:pPr>
        <w:pStyle w:val="ListParagraph"/>
        <w:numPr>
          <w:ilvl w:val="0"/>
          <w:numId w:val="133"/>
        </w:numPr>
        <w:ind w:left="360"/>
        <w:rPr>
          <w:rFonts w:eastAsia="Calibri"/>
        </w:rPr>
      </w:pPr>
      <w:r w:rsidRPr="004C7FBE">
        <w:rPr>
          <w:rFonts w:eastAsia="Calibri"/>
        </w:rPr>
        <w:t>Interviewed staff reported that they were pleased with the addition of nursing home buildings to the program in PY7, as it helped them meet program goals without increasing marketing and outreach.</w:t>
      </w:r>
    </w:p>
    <w:p w:rsidR="00186987" w:rsidRPr="004C7FBE" w:rsidRDefault="00186987" w:rsidP="00E646C9">
      <w:pPr>
        <w:pStyle w:val="ListParagraph"/>
        <w:numPr>
          <w:ilvl w:val="0"/>
          <w:numId w:val="133"/>
        </w:numPr>
        <w:ind w:left="360"/>
        <w:rPr>
          <w:rFonts w:eastAsia="Calibri"/>
        </w:rPr>
      </w:pPr>
      <w:r w:rsidRPr="004C7FBE">
        <w:rPr>
          <w:rFonts w:eastAsia="Calibri"/>
        </w:rPr>
        <w:t>Cadmus did not find any customer complaints or safety violations for PY7.</w:t>
      </w:r>
    </w:p>
    <w:p w:rsidR="00186987" w:rsidRPr="004C7FBE" w:rsidRDefault="00186987" w:rsidP="00E646C9">
      <w:pPr>
        <w:pStyle w:val="ListParagraph"/>
        <w:numPr>
          <w:ilvl w:val="0"/>
          <w:numId w:val="133"/>
        </w:numPr>
        <w:ind w:left="360"/>
        <w:rPr>
          <w:rFonts w:eastAsia="Calibri"/>
        </w:rPr>
      </w:pPr>
      <w:r w:rsidRPr="004C7FBE">
        <w:rPr>
          <w:rFonts w:eastAsia="Calibri"/>
        </w:rPr>
        <w:t>Cadmus created participating building profiles based on building characteristics. The participating buildings were primarily midsized (less than 100,000 sq. ft.); built in the 1970s, 1980s, or 1990s; and had 50 or fewer tenant units.</w:t>
      </w:r>
    </w:p>
    <w:p w:rsidR="00186987" w:rsidRPr="004C7FBE" w:rsidRDefault="00186987" w:rsidP="00E646C9">
      <w:pPr>
        <w:pStyle w:val="ListParagraph"/>
        <w:numPr>
          <w:ilvl w:val="0"/>
          <w:numId w:val="133"/>
        </w:numPr>
        <w:ind w:left="360"/>
        <w:rPr>
          <w:rFonts w:eastAsia="Calibri"/>
        </w:rPr>
      </w:pPr>
      <w:r w:rsidRPr="004C7FBE">
        <w:rPr>
          <w:rFonts w:eastAsia="Calibri"/>
        </w:rPr>
        <w:t>Most surveyed tenants (78%) reported high satisfaction with the installation contractors, but this was significantly lower than in PY6 (95%).</w:t>
      </w:r>
    </w:p>
    <w:p w:rsidR="00186987" w:rsidRPr="004C7FBE" w:rsidRDefault="00186987" w:rsidP="00E646C9">
      <w:pPr>
        <w:pStyle w:val="ListParagraph"/>
        <w:numPr>
          <w:ilvl w:val="0"/>
          <w:numId w:val="133"/>
        </w:numPr>
        <w:ind w:left="360"/>
        <w:rPr>
          <w:rFonts w:eastAsia="Calibri"/>
        </w:rPr>
      </w:pPr>
      <w:r w:rsidRPr="004C7FBE">
        <w:rPr>
          <w:rFonts w:eastAsia="Calibri"/>
        </w:rPr>
        <w:t>Nearly all respondents (94%) who completed the tenant postcard survey reported high satisfaction with the tenant education workshops; 71% of those who responded to the energy education workshop survey reported the workshop was very beneficial; 82% reported the professionals conducting the workshops were excellent; and 84% rated the auditors as excellent.</w:t>
      </w:r>
    </w:p>
    <w:p w:rsidR="00186987" w:rsidRPr="004C7FBE" w:rsidRDefault="00186987" w:rsidP="00E646C9">
      <w:pPr>
        <w:pStyle w:val="ListParagraph"/>
        <w:numPr>
          <w:ilvl w:val="0"/>
          <w:numId w:val="133"/>
        </w:numPr>
        <w:ind w:left="360"/>
        <w:rPr>
          <w:rFonts w:eastAsia="Calibri"/>
        </w:rPr>
      </w:pPr>
      <w:r w:rsidRPr="004C7FBE">
        <w:rPr>
          <w:rFonts w:eastAsia="Calibri"/>
        </w:rPr>
        <w:t>LEDs constituted 94% of products installed in tenant units, and 77% of respondents to the tenant postcard survey reported high satisfaction with the LEDs. Other potential upgrades—faucet aerators, showerheads, and thermostatic shower restriction valves—each constituted 1% of installed products. Respondents were least satisfied with the showerhead.</w:t>
      </w:r>
    </w:p>
    <w:p w:rsidR="00186987" w:rsidRPr="004C7FBE" w:rsidRDefault="00186987" w:rsidP="00E646C9">
      <w:pPr>
        <w:pStyle w:val="ListParagraph"/>
        <w:numPr>
          <w:ilvl w:val="0"/>
          <w:numId w:val="133"/>
        </w:numPr>
        <w:ind w:left="360"/>
        <w:rPr>
          <w:rFonts w:eastAsia="Calibri"/>
        </w:rPr>
      </w:pPr>
      <w:r w:rsidRPr="004C7FBE">
        <w:rPr>
          <w:rFonts w:eastAsia="Calibri"/>
        </w:rPr>
        <w:t>The most common energy saving actions reported by surveyed tenants were turning off appliances when not in use (63%), unplugging appliances when not in use (41%), decreasing the thermostat in winter (39%), using fans more than air-conditioning (33%), and installing LEDs (33%).</w:t>
      </w:r>
    </w:p>
    <w:p w:rsidR="00186987" w:rsidRPr="002E051C" w:rsidRDefault="00186987" w:rsidP="00186987">
      <w:pPr>
        <w:autoSpaceDE w:val="0"/>
        <w:autoSpaceDN w:val="0"/>
        <w:adjustRightInd w:val="0"/>
        <w:jc w:val="left"/>
      </w:pPr>
    </w:p>
    <w:p w:rsidR="00186987" w:rsidRPr="002E051C" w:rsidRDefault="00186987" w:rsidP="007B2E72">
      <w:pPr>
        <w:pStyle w:val="AppendixBHeading4"/>
      </w:pPr>
      <w:r w:rsidRPr="002E051C">
        <w:t>Summary of the Process Evaluation Audit</w:t>
      </w:r>
    </w:p>
    <w:p w:rsidR="00186987" w:rsidRPr="002E051C" w:rsidRDefault="00B140A0" w:rsidP="00186987">
      <w:r w:rsidRPr="00C52A0B">
        <w:t>The evaluation was consistent with the evaluation plan. The methodology section adequately explained the evaluation activities and analyses, and included the required sampling and disposition information and tables. Including more information about the methods used to conduct analyses, such as the type of analysis used, and the types and values of the statistical tests conducted, would be very informative. None of the interviews required sampling, and Cadmus achieved the targeted number of completes. Adding the mode used for surveys (web, phone, mail) in Table 11-12 would complete the table and inform the reader without having to refer to the text where the survey mode is reported.</w:t>
      </w:r>
    </w:p>
    <w:p w:rsidR="00186987" w:rsidRPr="002E051C" w:rsidRDefault="00186987" w:rsidP="00186987"/>
    <w:p w:rsidR="00186987" w:rsidRPr="002E051C" w:rsidRDefault="00186987" w:rsidP="00186987">
      <w:r w:rsidRPr="002E051C">
        <w:t>Program findings were clearly summarized, with recommendations following conclusions and ample evidence supporting the conclusions. One conclusion (third), however, did not have, but likely could have had, an accompanying recommendation (e.g., the last sentence of the conclusion). The report also included a table of recommendations with a description of whether PPL was implementing or considering those recommendations.</w:t>
      </w:r>
    </w:p>
    <w:p w:rsidR="00CA4CB7" w:rsidRDefault="00CA4CB7" w:rsidP="00000FEE"/>
    <w:p w:rsidR="00656920" w:rsidRDefault="00656920" w:rsidP="00656920">
      <w:r>
        <w:br w:type="page"/>
      </w:r>
    </w:p>
    <w:p w:rsidR="00656920" w:rsidRPr="00E45861" w:rsidRDefault="00656920" w:rsidP="00E45861">
      <w:pPr>
        <w:pStyle w:val="Heading1"/>
        <w:numPr>
          <w:ilvl w:val="0"/>
          <w:numId w:val="0"/>
        </w:numPr>
      </w:pPr>
      <w:bookmarkStart w:id="1420" w:name="_Toc472472148"/>
      <w:bookmarkStart w:id="1421" w:name="_Toc476913960"/>
      <w:r w:rsidRPr="00E45861">
        <w:t xml:space="preserve">Appendix C| </w:t>
      </w:r>
      <w:r w:rsidR="00D97BE6" w:rsidRPr="00E45861">
        <w:t>EDC EE&amp;C Program Plan Revisions During Phase II</w:t>
      </w:r>
      <w:bookmarkEnd w:id="1420"/>
      <w:bookmarkEnd w:id="1421"/>
    </w:p>
    <w:p w:rsidR="00A26C95" w:rsidRDefault="00A26C95" w:rsidP="006C05B5">
      <w:r w:rsidRPr="003E444A">
        <w:t xml:space="preserve">This appendix provides detail on </w:t>
      </w:r>
      <w:r>
        <w:t xml:space="preserve">any revisions made by the EDCs to their original EE&amp;C </w:t>
      </w:r>
      <w:r w:rsidR="00070AE5">
        <w:t>p</w:t>
      </w:r>
      <w:r>
        <w:t xml:space="preserve">rogram </w:t>
      </w:r>
      <w:r w:rsidR="00070AE5">
        <w:t>p</w:t>
      </w:r>
      <w:r>
        <w:t>lans for Phase II. These updates may have occurred prior to or during the course of Phase II, but were identif</w:t>
      </w:r>
      <w:r w:rsidR="00070AE5">
        <w:t>ied in officially revised EE&amp;C p</w:t>
      </w:r>
      <w:r>
        <w:t>lans by each EDC and approved by the PUC. Below is a description of the changes for each EDC’s Phase II plan.</w:t>
      </w:r>
    </w:p>
    <w:p w:rsidR="00A26C95" w:rsidRDefault="00A26C95" w:rsidP="006C05B5"/>
    <w:p w:rsidR="00A26C95" w:rsidRPr="00E45861" w:rsidRDefault="00A26C95" w:rsidP="00E45861">
      <w:pPr>
        <w:pStyle w:val="AppendixCHeading1"/>
      </w:pPr>
      <w:r w:rsidRPr="00E45861">
        <w:t>Duquesne</w:t>
      </w:r>
      <w:r w:rsidR="00070AE5" w:rsidRPr="00E45861">
        <w:t xml:space="preserve"> Light</w:t>
      </w:r>
    </w:p>
    <w:p w:rsidR="00A26C95" w:rsidRDefault="00A26C95" w:rsidP="006C05B5">
      <w:r w:rsidRPr="00316CD9">
        <w:t>No ch</w:t>
      </w:r>
      <w:r>
        <w:t xml:space="preserve">anges were made to the original Duquesne Phase II EE&amp;C plan filed on November 15, 2012 and approved on </w:t>
      </w:r>
      <w:r w:rsidRPr="00057111">
        <w:t>March 14, 2013</w:t>
      </w:r>
      <w:r w:rsidRPr="00A56DB3">
        <w:t>.</w:t>
      </w:r>
    </w:p>
    <w:p w:rsidR="00A26C95" w:rsidRDefault="00A26C95" w:rsidP="006C05B5"/>
    <w:p w:rsidR="00A26C95" w:rsidRDefault="00A26C95" w:rsidP="00E45861">
      <w:pPr>
        <w:pStyle w:val="AppendixCHeading1"/>
      </w:pPr>
      <w:r>
        <w:t xml:space="preserve">FirstEnergy – </w:t>
      </w:r>
      <w:r w:rsidR="00070AE5">
        <w:t>Metropolitan Edison, Pennsylvania Electric Company, Pennsylvania Power Company, West Penn Power</w:t>
      </w:r>
    </w:p>
    <w:p w:rsidR="00A26C95" w:rsidRDefault="00A26C95" w:rsidP="006C05B5">
      <w:r w:rsidRPr="00661368">
        <w:t xml:space="preserve">No changes were made to the original </w:t>
      </w:r>
      <w:r>
        <w:t>FirstEnergy</w:t>
      </w:r>
      <w:r w:rsidRPr="00661368">
        <w:t xml:space="preserve"> </w:t>
      </w:r>
      <w:r>
        <w:t xml:space="preserve">Utilities </w:t>
      </w:r>
      <w:r w:rsidRPr="00661368">
        <w:t>Phase II EE&amp;C plan</w:t>
      </w:r>
      <w:r>
        <w:t>s</w:t>
      </w:r>
      <w:r w:rsidRPr="00661368">
        <w:t xml:space="preserve"> </w:t>
      </w:r>
      <w:r>
        <w:t xml:space="preserve">filed on November 13, 2012 and approved on </w:t>
      </w:r>
      <w:r w:rsidRPr="00A56DB3">
        <w:t>March 14, 2013.</w:t>
      </w:r>
    </w:p>
    <w:p w:rsidR="00A26C95" w:rsidRDefault="00A26C95" w:rsidP="006C05B5"/>
    <w:p w:rsidR="00A26C95" w:rsidRDefault="00A26C95" w:rsidP="00E45861">
      <w:pPr>
        <w:pStyle w:val="AppendixCHeading1"/>
      </w:pPr>
      <w:r>
        <w:t>PECO</w:t>
      </w:r>
      <w:r w:rsidR="00070AE5">
        <w:t xml:space="preserve"> Energy</w:t>
      </w:r>
    </w:p>
    <w:p w:rsidR="00A26C95" w:rsidRPr="000C15AF" w:rsidRDefault="00070AE5" w:rsidP="00A26C95">
      <w:pPr>
        <w:pStyle w:val="AppendixDHeading1"/>
        <w:numPr>
          <w:ilvl w:val="0"/>
          <w:numId w:val="0"/>
        </w:numPr>
        <w:rPr>
          <w:rFonts w:asciiTheme="minorHAnsi" w:hAnsiTheme="minorHAnsi"/>
          <w:b w:val="0"/>
          <w:smallCaps w:val="0"/>
          <w:sz w:val="22"/>
        </w:rPr>
      </w:pPr>
      <w:r w:rsidRPr="00070AE5">
        <w:rPr>
          <w:rFonts w:asciiTheme="minorHAnsi" w:hAnsiTheme="minorHAnsi"/>
          <w:b w:val="0"/>
          <w:smallCaps w:val="0"/>
          <w:sz w:val="22"/>
        </w:rPr>
        <w:t>PECO changed several items in its Phase II EE&amp;C plan after publication of the original plan dated November 1, 2012 and approved on February 28, 2013. It was subsequently revised on March 13, 2013 and February 28, 2014 to incorporate program changes as detailed below. PECO noted several regulatory and operational developments that led to Phase II program changes. Specifically, the following issues guided PECO Phase II planning</w:t>
      </w:r>
      <w:r>
        <w:rPr>
          <w:rFonts w:asciiTheme="minorHAnsi" w:hAnsiTheme="minorHAnsi"/>
          <w:b w:val="0"/>
          <w:smallCaps w:val="0"/>
          <w:sz w:val="22"/>
        </w:rPr>
        <w:t>:</w:t>
      </w:r>
    </w:p>
    <w:p w:rsidR="003C2064" w:rsidRPr="00170843" w:rsidRDefault="003C2064" w:rsidP="00E646C9">
      <w:pPr>
        <w:pStyle w:val="ListParagraph"/>
        <w:numPr>
          <w:ilvl w:val="0"/>
          <w:numId w:val="134"/>
        </w:numPr>
        <w:ind w:left="360"/>
      </w:pPr>
      <w:r w:rsidRPr="00170843">
        <w:t>TRM adjustments from the Commission’s with revised measure level savings and incremental costs, as well as updated NTG estimates for a variety of measures</w:t>
      </w:r>
    </w:p>
    <w:p w:rsidR="003C2064" w:rsidRPr="00170843" w:rsidRDefault="003C2064" w:rsidP="00E646C9">
      <w:pPr>
        <w:pStyle w:val="ListParagraph"/>
        <w:numPr>
          <w:ilvl w:val="0"/>
          <w:numId w:val="134"/>
        </w:numPr>
        <w:ind w:left="360"/>
      </w:pPr>
      <w:r w:rsidRPr="00170843">
        <w:t>New projections for mix of measures from CSPs and a decrease in total CSPs resulting from a lower contract cost</w:t>
      </w:r>
    </w:p>
    <w:p w:rsidR="003C2064" w:rsidRPr="00170843" w:rsidRDefault="003C2064" w:rsidP="00E646C9">
      <w:pPr>
        <w:pStyle w:val="ListParagraph"/>
        <w:numPr>
          <w:ilvl w:val="0"/>
          <w:numId w:val="134"/>
        </w:numPr>
        <w:ind w:left="360"/>
      </w:pPr>
      <w:r w:rsidRPr="00170843">
        <w:t>Phase I EE&amp;C plan performance that was significantly higher than original targets;</w:t>
      </w:r>
    </w:p>
    <w:p w:rsidR="003C2064" w:rsidRPr="00170843" w:rsidRDefault="003C2064" w:rsidP="00E646C9">
      <w:pPr>
        <w:pStyle w:val="ListParagraph"/>
        <w:numPr>
          <w:ilvl w:val="0"/>
          <w:numId w:val="134"/>
        </w:numPr>
        <w:ind w:left="360"/>
      </w:pPr>
      <w:r w:rsidRPr="00170843">
        <w:t>Successful deployment of the Smart AC Saver programs in PY 2013, with a TRC ratio of 3.2</w:t>
      </w:r>
    </w:p>
    <w:p w:rsidR="003C2064" w:rsidRPr="00170843" w:rsidRDefault="003C2064" w:rsidP="00E646C9">
      <w:pPr>
        <w:pStyle w:val="ListParagraph"/>
        <w:numPr>
          <w:ilvl w:val="0"/>
          <w:numId w:val="134"/>
        </w:numPr>
        <w:ind w:left="360"/>
      </w:pPr>
      <w:r w:rsidRPr="00170843">
        <w:t>Adjustments to the Smart Home Rebates Program for the anticipated portion of CFL measures purchased and installed in small commercial buildings</w:t>
      </w:r>
    </w:p>
    <w:p w:rsidR="003C2064" w:rsidRPr="00170843" w:rsidRDefault="003C2064" w:rsidP="00E646C9">
      <w:pPr>
        <w:pStyle w:val="ListParagraph"/>
        <w:numPr>
          <w:ilvl w:val="0"/>
          <w:numId w:val="134"/>
        </w:numPr>
        <w:ind w:left="360"/>
      </w:pPr>
      <w:r w:rsidRPr="00170843">
        <w:t>Adjustments to the Smart Usage Profile Program to reflect savings accruing only in PY 2015 due to savings decay of a one-year measure life.</w:t>
      </w:r>
    </w:p>
    <w:p w:rsidR="00A26C95" w:rsidRPr="00E45861" w:rsidRDefault="00A26C95" w:rsidP="00E45861"/>
    <w:p w:rsidR="00A26C95" w:rsidRPr="000C15AF" w:rsidRDefault="00A26C95" w:rsidP="00A26C95">
      <w:pPr>
        <w:pStyle w:val="AppendixDHeading1"/>
        <w:numPr>
          <w:ilvl w:val="0"/>
          <w:numId w:val="0"/>
        </w:numPr>
        <w:rPr>
          <w:rFonts w:asciiTheme="minorHAnsi" w:hAnsiTheme="minorHAnsi"/>
          <w:b w:val="0"/>
          <w:smallCaps w:val="0"/>
          <w:sz w:val="22"/>
        </w:rPr>
      </w:pPr>
      <w:r w:rsidRPr="000C15AF">
        <w:rPr>
          <w:rFonts w:asciiTheme="minorHAnsi" w:hAnsiTheme="minorHAnsi"/>
          <w:b w:val="0"/>
          <w:smallCaps w:val="0"/>
          <w:sz w:val="22"/>
        </w:rPr>
        <w:t>As a result of these developments, PECO made the following program changes for Phase II:</w:t>
      </w:r>
    </w:p>
    <w:p w:rsidR="003C2064" w:rsidRPr="00170843" w:rsidRDefault="003C2064" w:rsidP="00E646C9">
      <w:pPr>
        <w:pStyle w:val="ListParagraph"/>
        <w:numPr>
          <w:ilvl w:val="0"/>
          <w:numId w:val="134"/>
        </w:numPr>
        <w:ind w:left="360"/>
      </w:pPr>
      <w:r w:rsidRPr="00170843">
        <w:t>Changes to the Low-Income Energy Efficiency Program to increase customer participation in both refrigerator recycling and replacement programs and increase CFL use through additional community events</w:t>
      </w:r>
    </w:p>
    <w:p w:rsidR="003C2064" w:rsidRPr="00170843" w:rsidRDefault="003C2064" w:rsidP="00E646C9">
      <w:pPr>
        <w:pStyle w:val="ListParagraph"/>
        <w:numPr>
          <w:ilvl w:val="0"/>
          <w:numId w:val="134"/>
        </w:numPr>
        <w:ind w:left="360"/>
      </w:pPr>
      <w:r w:rsidRPr="00170843">
        <w:t>Changes to Smart Equipment and Smart Construction Incentives programs for GNI and C/I customers due to increased participation associated with more aggressive outreach and marketing plans</w:t>
      </w:r>
    </w:p>
    <w:p w:rsidR="003C2064" w:rsidRPr="00170843" w:rsidRDefault="003C2064" w:rsidP="00E646C9">
      <w:pPr>
        <w:pStyle w:val="ListParagraph"/>
        <w:numPr>
          <w:ilvl w:val="0"/>
          <w:numId w:val="134"/>
        </w:numPr>
        <w:ind w:left="360"/>
      </w:pPr>
      <w:r w:rsidRPr="00170843">
        <w:t>Expansion of the Smart Energy Saver Program due to an increased interest in participation from schools</w:t>
      </w:r>
    </w:p>
    <w:p w:rsidR="003C2064" w:rsidRPr="00170843" w:rsidRDefault="003C2064" w:rsidP="00E646C9">
      <w:pPr>
        <w:pStyle w:val="ListParagraph"/>
        <w:numPr>
          <w:ilvl w:val="0"/>
          <w:numId w:val="134"/>
        </w:numPr>
        <w:ind w:left="360"/>
      </w:pPr>
      <w:r w:rsidRPr="00170843">
        <w:t>Allocation of an additional $20.3 million in the Smart AC Saver programs so that this program may continue through the entire Phase II plan period (PY6 and PY7)</w:t>
      </w:r>
    </w:p>
    <w:p w:rsidR="00A26C95" w:rsidRDefault="003C2064" w:rsidP="00E646C9">
      <w:pPr>
        <w:pStyle w:val="ListParagraph"/>
        <w:numPr>
          <w:ilvl w:val="0"/>
          <w:numId w:val="134"/>
        </w:numPr>
        <w:ind w:left="360"/>
      </w:pPr>
      <w:r w:rsidRPr="00170843">
        <w:t>Consolidation of similar type measures (e.g., multiple wattages of CFLs consolidated into “CFL screw-in bulbs”) for more flexibility in light of changing markets and available products.</w:t>
      </w:r>
    </w:p>
    <w:p w:rsidR="00A26C95" w:rsidRDefault="00A26C95" w:rsidP="00E45861">
      <w:pPr>
        <w:pStyle w:val="AppendixCHeading1"/>
      </w:pPr>
      <w:r>
        <w:t>PPL</w:t>
      </w:r>
    </w:p>
    <w:p w:rsidR="00A26C95" w:rsidRPr="00170843" w:rsidRDefault="0036777C" w:rsidP="00170843">
      <w:r w:rsidRPr="00170843">
        <w:t>PPL made minor changes to their Phase II EE&amp;C plan originally filed on November 15, 2012 and approved on March 14, 2013. The final and current revised version of the EE&amp;C plan was approved on June 5, 2015. The maximum allowable funding specified in the Implementation Order for PPL Electric was $184.5 million. The final revised Plan totals $184.5 million</w:t>
      </w:r>
      <w:r w:rsidR="00A26C95" w:rsidRPr="00170843">
        <w:t>.</w:t>
      </w:r>
    </w:p>
    <w:p w:rsidR="00656920" w:rsidRDefault="00656920" w:rsidP="00656920">
      <w:bookmarkStart w:id="1422" w:name="_Baseline_Study_Updates"/>
      <w:bookmarkStart w:id="1423" w:name="_Energy_Efficiency_and"/>
      <w:bookmarkEnd w:id="1422"/>
      <w:bookmarkEnd w:id="1423"/>
      <w:r>
        <w:br w:type="page"/>
      </w:r>
    </w:p>
    <w:p w:rsidR="00656920" w:rsidRPr="00E45861" w:rsidRDefault="00656920" w:rsidP="00E45861">
      <w:pPr>
        <w:pStyle w:val="Heading1"/>
        <w:numPr>
          <w:ilvl w:val="0"/>
          <w:numId w:val="0"/>
        </w:numPr>
      </w:pPr>
      <w:bookmarkStart w:id="1424" w:name="_Toc472472149"/>
      <w:bookmarkStart w:id="1425" w:name="_Toc476913961"/>
      <w:r w:rsidRPr="00E45861">
        <w:t xml:space="preserve">Appendix D| </w:t>
      </w:r>
      <w:r w:rsidR="009702CB" w:rsidRPr="00E45861">
        <w:t>ACEEE Scorecard Format</w:t>
      </w:r>
      <w:bookmarkEnd w:id="1424"/>
      <w:bookmarkEnd w:id="1425"/>
    </w:p>
    <w:p w:rsidR="003C4C90" w:rsidRDefault="003C4C90" w:rsidP="003C4C90">
      <w:r>
        <w:t>The data provided in the following tables is required for completion of the 2015 ACEEE Scorecard. Included are the Pennsylvania statewide EE budgets and expenditures, verified gross annual and lifetime savings, and verified net annual and lifetime savings.</w:t>
      </w:r>
    </w:p>
    <w:p w:rsidR="003C4C90" w:rsidRPr="002852AF" w:rsidRDefault="003C4C90" w:rsidP="002852AF"/>
    <w:p w:rsidR="003C4C90" w:rsidRDefault="003C4C90" w:rsidP="003C4C90">
      <w:pPr>
        <w:pStyle w:val="Caption"/>
      </w:pPr>
      <w:r>
        <w:t xml:space="preserve">Table D- </w:t>
      </w:r>
      <w:fldSimple w:instr=" SEQ Table_D- \* ARABIC ">
        <w:r w:rsidR="00C301D0">
          <w:rPr>
            <w:noProof/>
          </w:rPr>
          <w:t>1</w:t>
        </w:r>
      </w:fldSimple>
      <w:r>
        <w:t>: Pennsylvania Statewide EE Budget and Expenditures</w:t>
      </w:r>
    </w:p>
    <w:tbl>
      <w:tblPr>
        <w:tblW w:w="9350" w:type="dxa"/>
        <w:tblInd w:w="108" w:type="dxa"/>
        <w:tblLook w:val="04A0" w:firstRow="1" w:lastRow="0" w:firstColumn="1" w:lastColumn="0" w:noHBand="0" w:noVBand="1"/>
      </w:tblPr>
      <w:tblGrid>
        <w:gridCol w:w="2520"/>
        <w:gridCol w:w="3415"/>
        <w:gridCol w:w="3415"/>
      </w:tblGrid>
      <w:tr w:rsidR="003C4C90" w:rsidRPr="00897002" w:rsidTr="00552581">
        <w:trPr>
          <w:trHeight w:val="205"/>
        </w:trPr>
        <w:tc>
          <w:tcPr>
            <w:tcW w:w="252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3C4C90" w:rsidRPr="00897002" w:rsidRDefault="003C4C90" w:rsidP="003C4C90">
            <w:pPr>
              <w:rPr>
                <w:b/>
                <w:bCs/>
                <w:color w:val="FFFFFF"/>
                <w:sz w:val="20"/>
                <w:szCs w:val="20"/>
              </w:rPr>
            </w:pPr>
            <w:r w:rsidRPr="00897002">
              <w:rPr>
                <w:b/>
                <w:bCs/>
                <w:color w:val="FFFFFF"/>
                <w:sz w:val="20"/>
                <w:szCs w:val="20"/>
              </w:rPr>
              <w:t>EDC</w:t>
            </w:r>
          </w:p>
        </w:tc>
        <w:tc>
          <w:tcPr>
            <w:tcW w:w="3415" w:type="dxa"/>
            <w:tcBorders>
              <w:top w:val="single" w:sz="8" w:space="0" w:color="448A99"/>
              <w:left w:val="nil"/>
              <w:bottom w:val="single" w:sz="8" w:space="0" w:color="448A99"/>
              <w:right w:val="single" w:sz="8" w:space="0" w:color="448A99"/>
            </w:tcBorders>
            <w:shd w:val="clear" w:color="000000" w:fill="448A99"/>
            <w:vAlign w:val="bottom"/>
            <w:hideMark/>
          </w:tcPr>
          <w:p w:rsidR="003C4C90" w:rsidRPr="00897002" w:rsidRDefault="003C4C90" w:rsidP="003C4C90">
            <w:pPr>
              <w:jc w:val="center"/>
              <w:rPr>
                <w:b/>
                <w:bCs/>
                <w:color w:val="FFFFFF"/>
                <w:sz w:val="20"/>
                <w:szCs w:val="20"/>
              </w:rPr>
            </w:pPr>
            <w:r w:rsidRPr="00897002">
              <w:rPr>
                <w:b/>
                <w:bCs/>
                <w:color w:val="FFFFFF"/>
                <w:sz w:val="20"/>
                <w:szCs w:val="20"/>
              </w:rPr>
              <w:t>Actual PY7 EE Expenditures ($)</w:t>
            </w:r>
          </w:p>
        </w:tc>
        <w:tc>
          <w:tcPr>
            <w:tcW w:w="3415" w:type="dxa"/>
            <w:tcBorders>
              <w:top w:val="single" w:sz="8" w:space="0" w:color="448A99"/>
              <w:left w:val="nil"/>
              <w:bottom w:val="single" w:sz="8" w:space="0" w:color="448A99"/>
              <w:right w:val="single" w:sz="8" w:space="0" w:color="448A99"/>
            </w:tcBorders>
            <w:shd w:val="clear" w:color="000000" w:fill="448A99"/>
            <w:vAlign w:val="bottom"/>
            <w:hideMark/>
          </w:tcPr>
          <w:p w:rsidR="003C4C90" w:rsidRPr="00897002" w:rsidRDefault="003C4C90" w:rsidP="003C4C90">
            <w:pPr>
              <w:jc w:val="center"/>
              <w:rPr>
                <w:b/>
                <w:bCs/>
                <w:color w:val="FFFFFF"/>
                <w:sz w:val="20"/>
                <w:szCs w:val="20"/>
              </w:rPr>
            </w:pPr>
            <w:r w:rsidRPr="00897002">
              <w:rPr>
                <w:b/>
                <w:bCs/>
                <w:color w:val="FFFFFF"/>
                <w:sz w:val="20"/>
                <w:szCs w:val="20"/>
              </w:rPr>
              <w:t>Approved Budget for PY7 ($)</w:t>
            </w:r>
          </w:p>
        </w:tc>
      </w:tr>
      <w:tr w:rsidR="003C4C90" w:rsidRPr="00897002" w:rsidTr="00552581">
        <w:trPr>
          <w:trHeight w:val="315"/>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897002" w:rsidRDefault="003C4C90" w:rsidP="00C94D5A">
            <w:pPr>
              <w:rPr>
                <w:color w:val="000000"/>
                <w:sz w:val="20"/>
                <w:szCs w:val="20"/>
              </w:rPr>
            </w:pPr>
            <w:r w:rsidRPr="00897002">
              <w:rPr>
                <w:color w:val="000000"/>
                <w:sz w:val="20"/>
                <w:szCs w:val="20"/>
              </w:rPr>
              <w:t>Duquesne</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color w:val="000000"/>
                <w:sz w:val="20"/>
                <w:szCs w:val="20"/>
              </w:rPr>
            </w:pPr>
            <w:r w:rsidRPr="00897002">
              <w:rPr>
                <w:color w:val="000000"/>
                <w:sz w:val="20"/>
                <w:szCs w:val="20"/>
              </w:rPr>
              <w:t>$16,033,000</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sz w:val="20"/>
                <w:szCs w:val="20"/>
              </w:rPr>
            </w:pPr>
            <w:r w:rsidRPr="00897002">
              <w:rPr>
                <w:sz w:val="20"/>
                <w:szCs w:val="20"/>
              </w:rPr>
              <w:t>$19,497,797</w:t>
            </w:r>
          </w:p>
        </w:tc>
      </w:tr>
      <w:tr w:rsidR="003C4C90" w:rsidRPr="00897002" w:rsidTr="00552581">
        <w:trPr>
          <w:trHeight w:val="352"/>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897002" w:rsidRDefault="003C4C90" w:rsidP="00C94D5A">
            <w:pPr>
              <w:rPr>
                <w:color w:val="000000"/>
                <w:sz w:val="20"/>
                <w:szCs w:val="20"/>
              </w:rPr>
            </w:pPr>
            <w:r w:rsidRPr="00897002">
              <w:rPr>
                <w:color w:val="000000"/>
                <w:sz w:val="20"/>
                <w:szCs w:val="20"/>
              </w:rPr>
              <w:t>FE:  Met-Ed</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color w:val="000000"/>
                <w:sz w:val="20"/>
                <w:szCs w:val="20"/>
              </w:rPr>
            </w:pPr>
            <w:r w:rsidRPr="00897002">
              <w:rPr>
                <w:color w:val="000000"/>
                <w:sz w:val="20"/>
                <w:szCs w:val="20"/>
              </w:rPr>
              <w:t>$18,906,855</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sz w:val="20"/>
                <w:szCs w:val="20"/>
              </w:rPr>
            </w:pPr>
            <w:r w:rsidRPr="00897002">
              <w:rPr>
                <w:sz w:val="20"/>
                <w:szCs w:val="20"/>
              </w:rPr>
              <w:t>$25,519,550</w:t>
            </w:r>
          </w:p>
        </w:tc>
      </w:tr>
      <w:tr w:rsidR="003C4C90" w:rsidRPr="00897002" w:rsidTr="00552581">
        <w:trPr>
          <w:trHeight w:val="352"/>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897002" w:rsidRDefault="003C4C90" w:rsidP="00C94D5A">
            <w:pPr>
              <w:rPr>
                <w:color w:val="000000"/>
                <w:sz w:val="20"/>
                <w:szCs w:val="20"/>
              </w:rPr>
            </w:pPr>
            <w:r w:rsidRPr="00897002">
              <w:rPr>
                <w:color w:val="000000"/>
                <w:sz w:val="20"/>
                <w:szCs w:val="20"/>
              </w:rPr>
              <w:t>FE:  Penelec</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color w:val="000000"/>
                <w:sz w:val="20"/>
                <w:szCs w:val="20"/>
              </w:rPr>
            </w:pPr>
            <w:r w:rsidRPr="00897002">
              <w:rPr>
                <w:color w:val="000000"/>
                <w:sz w:val="20"/>
                <w:szCs w:val="20"/>
              </w:rPr>
              <w:t>$16,422,862</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sz w:val="20"/>
                <w:szCs w:val="20"/>
              </w:rPr>
            </w:pPr>
            <w:r w:rsidRPr="00897002">
              <w:rPr>
                <w:sz w:val="20"/>
                <w:szCs w:val="20"/>
              </w:rPr>
              <w:t>$24,096,572</w:t>
            </w:r>
          </w:p>
        </w:tc>
      </w:tr>
      <w:tr w:rsidR="003C4C90" w:rsidRPr="00897002" w:rsidTr="00552581">
        <w:trPr>
          <w:trHeight w:val="343"/>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897002" w:rsidRDefault="003C4C90" w:rsidP="00C94D5A">
            <w:pPr>
              <w:rPr>
                <w:color w:val="000000"/>
                <w:sz w:val="20"/>
                <w:szCs w:val="20"/>
              </w:rPr>
            </w:pPr>
            <w:r w:rsidRPr="00897002">
              <w:rPr>
                <w:color w:val="000000"/>
                <w:sz w:val="20"/>
                <w:szCs w:val="20"/>
              </w:rPr>
              <w:t>FE:  Penn Power</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color w:val="000000"/>
                <w:sz w:val="20"/>
                <w:szCs w:val="20"/>
              </w:rPr>
            </w:pPr>
            <w:r w:rsidRPr="00897002">
              <w:rPr>
                <w:color w:val="000000"/>
                <w:sz w:val="20"/>
                <w:szCs w:val="20"/>
              </w:rPr>
              <w:t>$3,901,655</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sz w:val="20"/>
                <w:szCs w:val="20"/>
              </w:rPr>
            </w:pPr>
            <w:r w:rsidRPr="00897002">
              <w:rPr>
                <w:sz w:val="20"/>
                <w:szCs w:val="20"/>
              </w:rPr>
              <w:t>$6,821,749</w:t>
            </w:r>
          </w:p>
        </w:tc>
      </w:tr>
      <w:tr w:rsidR="003C4C90" w:rsidRPr="00897002" w:rsidTr="00552581">
        <w:trPr>
          <w:trHeight w:val="343"/>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897002" w:rsidRDefault="003C4C90" w:rsidP="00C94D5A">
            <w:pPr>
              <w:rPr>
                <w:color w:val="000000"/>
                <w:sz w:val="20"/>
                <w:szCs w:val="20"/>
              </w:rPr>
            </w:pPr>
            <w:r w:rsidRPr="00897002">
              <w:rPr>
                <w:color w:val="000000"/>
                <w:sz w:val="20"/>
                <w:szCs w:val="20"/>
              </w:rPr>
              <w:t>FE:  West Penn</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color w:val="000000"/>
                <w:sz w:val="20"/>
                <w:szCs w:val="20"/>
              </w:rPr>
            </w:pPr>
            <w:r w:rsidRPr="00897002">
              <w:rPr>
                <w:color w:val="000000"/>
                <w:sz w:val="20"/>
                <w:szCs w:val="20"/>
              </w:rPr>
              <w:t>$17,054,581</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sz w:val="20"/>
                <w:szCs w:val="20"/>
              </w:rPr>
            </w:pPr>
            <w:r w:rsidRPr="00897002">
              <w:rPr>
                <w:sz w:val="20"/>
                <w:szCs w:val="20"/>
              </w:rPr>
              <w:t>$24,207,741</w:t>
            </w:r>
          </w:p>
        </w:tc>
      </w:tr>
      <w:tr w:rsidR="003C4C90" w:rsidRPr="00897002" w:rsidTr="00552581">
        <w:trPr>
          <w:trHeight w:val="315"/>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897002" w:rsidRDefault="003C4C90" w:rsidP="00C94D5A">
            <w:pPr>
              <w:rPr>
                <w:color w:val="000000"/>
                <w:sz w:val="20"/>
                <w:szCs w:val="20"/>
              </w:rPr>
            </w:pPr>
            <w:r w:rsidRPr="00897002">
              <w:rPr>
                <w:color w:val="000000"/>
                <w:sz w:val="20"/>
                <w:szCs w:val="20"/>
              </w:rPr>
              <w:t>PECO</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color w:val="000000"/>
                <w:sz w:val="20"/>
                <w:szCs w:val="20"/>
              </w:rPr>
            </w:pPr>
            <w:r w:rsidRPr="00897002">
              <w:rPr>
                <w:color w:val="000000"/>
                <w:sz w:val="20"/>
                <w:szCs w:val="20"/>
              </w:rPr>
              <w:t>$91,147,823</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sz w:val="20"/>
                <w:szCs w:val="20"/>
              </w:rPr>
            </w:pPr>
            <w:r w:rsidRPr="00897002">
              <w:rPr>
                <w:sz w:val="20"/>
                <w:szCs w:val="20"/>
              </w:rPr>
              <w:t>$91,081,490</w:t>
            </w:r>
          </w:p>
        </w:tc>
      </w:tr>
      <w:tr w:rsidR="003C4C90" w:rsidRPr="00897002" w:rsidTr="00552581">
        <w:trPr>
          <w:trHeight w:val="315"/>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897002" w:rsidRDefault="003C4C90" w:rsidP="00C94D5A">
            <w:pPr>
              <w:rPr>
                <w:color w:val="000000"/>
                <w:sz w:val="20"/>
                <w:szCs w:val="20"/>
              </w:rPr>
            </w:pPr>
            <w:r w:rsidRPr="00897002">
              <w:rPr>
                <w:color w:val="000000"/>
                <w:sz w:val="20"/>
                <w:szCs w:val="20"/>
              </w:rPr>
              <w:t>PPL</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color w:val="000000"/>
                <w:sz w:val="20"/>
                <w:szCs w:val="20"/>
              </w:rPr>
            </w:pPr>
            <w:r w:rsidRPr="00897002">
              <w:rPr>
                <w:color w:val="000000"/>
                <w:sz w:val="20"/>
                <w:szCs w:val="20"/>
              </w:rPr>
              <w:t>$64,716,000</w:t>
            </w:r>
          </w:p>
        </w:tc>
        <w:tc>
          <w:tcPr>
            <w:tcW w:w="3415"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sz w:val="20"/>
                <w:szCs w:val="20"/>
              </w:rPr>
            </w:pPr>
            <w:r w:rsidRPr="00897002">
              <w:rPr>
                <w:sz w:val="20"/>
                <w:szCs w:val="20"/>
              </w:rPr>
              <w:t>$75,824,000</w:t>
            </w:r>
          </w:p>
        </w:tc>
      </w:tr>
      <w:tr w:rsidR="003C4C90" w:rsidRPr="00897002" w:rsidTr="00552581">
        <w:trPr>
          <w:trHeight w:val="315"/>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897002" w:rsidRDefault="003C4C90" w:rsidP="00C94D5A">
            <w:pPr>
              <w:rPr>
                <w:b/>
                <w:bCs/>
                <w:color w:val="000000"/>
                <w:sz w:val="20"/>
                <w:szCs w:val="20"/>
              </w:rPr>
            </w:pPr>
            <w:r w:rsidRPr="00897002">
              <w:rPr>
                <w:b/>
                <w:bCs/>
                <w:color w:val="000000"/>
                <w:sz w:val="20"/>
                <w:szCs w:val="20"/>
              </w:rPr>
              <w:t>Total</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b/>
                <w:bCs/>
                <w:color w:val="000000"/>
                <w:sz w:val="20"/>
                <w:szCs w:val="20"/>
              </w:rPr>
            </w:pPr>
            <w:r w:rsidRPr="00897002">
              <w:rPr>
                <w:b/>
                <w:bCs/>
                <w:color w:val="000000"/>
                <w:sz w:val="20"/>
                <w:szCs w:val="20"/>
              </w:rPr>
              <w:t>$228,182,776</w:t>
            </w:r>
          </w:p>
        </w:tc>
        <w:tc>
          <w:tcPr>
            <w:tcW w:w="3415"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b/>
                <w:bCs/>
                <w:sz w:val="20"/>
                <w:szCs w:val="20"/>
              </w:rPr>
            </w:pPr>
            <w:r w:rsidRPr="00897002">
              <w:rPr>
                <w:b/>
                <w:bCs/>
                <w:sz w:val="20"/>
                <w:szCs w:val="20"/>
              </w:rPr>
              <w:t>$267,048,899</w:t>
            </w:r>
          </w:p>
        </w:tc>
      </w:tr>
    </w:tbl>
    <w:p w:rsidR="003C4C90" w:rsidRPr="002852AF" w:rsidRDefault="003C4C90" w:rsidP="002852AF"/>
    <w:p w:rsidR="003C4C90" w:rsidRDefault="003C4C90" w:rsidP="003C4C90">
      <w:pPr>
        <w:pStyle w:val="Caption"/>
        <w:keepNext/>
      </w:pPr>
      <w:r>
        <w:t xml:space="preserve">Table D- </w:t>
      </w:r>
      <w:fldSimple w:instr=" SEQ Table_D- \* ARABIC ">
        <w:r w:rsidR="00C301D0">
          <w:rPr>
            <w:noProof/>
          </w:rPr>
          <w:t>2</w:t>
        </w:r>
      </w:fldSimple>
      <w:r>
        <w:t>: Pennsylvania Statewide Gross Verified Annual and Gross Verified Lifetime MWh Savings</w:t>
      </w:r>
    </w:p>
    <w:tbl>
      <w:tblPr>
        <w:tblW w:w="9360" w:type="dxa"/>
        <w:tblInd w:w="108" w:type="dxa"/>
        <w:tblLook w:val="04A0" w:firstRow="1" w:lastRow="0" w:firstColumn="1" w:lastColumn="0" w:noHBand="0" w:noVBand="1"/>
      </w:tblPr>
      <w:tblGrid>
        <w:gridCol w:w="2520"/>
        <w:gridCol w:w="3420"/>
        <w:gridCol w:w="3420"/>
      </w:tblGrid>
      <w:tr w:rsidR="003C4C90" w:rsidRPr="00897002" w:rsidTr="00552581">
        <w:trPr>
          <w:trHeight w:val="196"/>
        </w:trPr>
        <w:tc>
          <w:tcPr>
            <w:tcW w:w="2520"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3C4C90" w:rsidRPr="00897002" w:rsidRDefault="003C4C90" w:rsidP="003C4C90">
            <w:pPr>
              <w:rPr>
                <w:b/>
                <w:bCs/>
                <w:color w:val="FFFFFF"/>
                <w:sz w:val="20"/>
                <w:szCs w:val="20"/>
              </w:rPr>
            </w:pPr>
            <w:r w:rsidRPr="00897002">
              <w:rPr>
                <w:b/>
                <w:bCs/>
                <w:color w:val="FFFFFF"/>
                <w:sz w:val="20"/>
                <w:szCs w:val="20"/>
              </w:rPr>
              <w:t>EDC</w:t>
            </w:r>
          </w:p>
        </w:tc>
        <w:tc>
          <w:tcPr>
            <w:tcW w:w="3420" w:type="dxa"/>
            <w:tcBorders>
              <w:top w:val="single" w:sz="8" w:space="0" w:color="448A99"/>
              <w:left w:val="nil"/>
              <w:bottom w:val="single" w:sz="8" w:space="0" w:color="448A99"/>
              <w:right w:val="single" w:sz="8" w:space="0" w:color="448A99"/>
            </w:tcBorders>
            <w:shd w:val="clear" w:color="000000" w:fill="448A99"/>
            <w:vAlign w:val="bottom"/>
            <w:hideMark/>
          </w:tcPr>
          <w:p w:rsidR="003C4C90" w:rsidRPr="00897002" w:rsidRDefault="003C4C90" w:rsidP="003C4C90">
            <w:pPr>
              <w:jc w:val="center"/>
              <w:rPr>
                <w:b/>
                <w:bCs/>
                <w:color w:val="FFFFFF"/>
                <w:sz w:val="20"/>
                <w:szCs w:val="20"/>
              </w:rPr>
            </w:pPr>
            <w:r w:rsidRPr="00897002">
              <w:rPr>
                <w:b/>
                <w:bCs/>
                <w:color w:val="FFFFFF"/>
                <w:sz w:val="20"/>
                <w:szCs w:val="20"/>
              </w:rPr>
              <w:t>Gross Verified Annual Savings (MWh)</w:t>
            </w:r>
          </w:p>
        </w:tc>
        <w:tc>
          <w:tcPr>
            <w:tcW w:w="3420" w:type="dxa"/>
            <w:tcBorders>
              <w:top w:val="single" w:sz="8" w:space="0" w:color="448A99"/>
              <w:left w:val="nil"/>
              <w:bottom w:val="single" w:sz="8" w:space="0" w:color="448A99"/>
              <w:right w:val="single" w:sz="8" w:space="0" w:color="448A99"/>
            </w:tcBorders>
            <w:shd w:val="clear" w:color="000000" w:fill="448A99"/>
            <w:vAlign w:val="bottom"/>
            <w:hideMark/>
          </w:tcPr>
          <w:p w:rsidR="003C4C90" w:rsidRPr="00897002" w:rsidRDefault="003C4C90" w:rsidP="003C4C90">
            <w:pPr>
              <w:jc w:val="center"/>
              <w:rPr>
                <w:b/>
                <w:bCs/>
                <w:color w:val="FFFFFF"/>
                <w:sz w:val="20"/>
                <w:szCs w:val="20"/>
              </w:rPr>
            </w:pPr>
            <w:r w:rsidRPr="00897002">
              <w:rPr>
                <w:b/>
                <w:bCs/>
                <w:color w:val="FFFFFF"/>
                <w:sz w:val="20"/>
                <w:szCs w:val="20"/>
              </w:rPr>
              <w:t>Gross Verified Lifetime Savings (MWh)</w:t>
            </w:r>
          </w:p>
        </w:tc>
      </w:tr>
      <w:tr w:rsidR="003C4C90" w:rsidRPr="00897002" w:rsidTr="00552581">
        <w:trPr>
          <w:trHeight w:val="319"/>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897002" w:rsidRDefault="003C4C90" w:rsidP="00C94D5A">
            <w:pPr>
              <w:rPr>
                <w:color w:val="000000"/>
                <w:sz w:val="20"/>
                <w:szCs w:val="20"/>
              </w:rPr>
            </w:pPr>
            <w:r w:rsidRPr="00897002">
              <w:rPr>
                <w:color w:val="000000"/>
                <w:sz w:val="20"/>
                <w:szCs w:val="20"/>
              </w:rPr>
              <w:t>Duquesne</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color w:val="000000"/>
                <w:sz w:val="20"/>
                <w:szCs w:val="20"/>
              </w:rPr>
            </w:pPr>
            <w:r w:rsidRPr="00897002">
              <w:rPr>
                <w:color w:val="000000"/>
                <w:sz w:val="20"/>
                <w:szCs w:val="20"/>
              </w:rPr>
              <w:t>142,187</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sz w:val="20"/>
                <w:szCs w:val="20"/>
              </w:rPr>
            </w:pPr>
            <w:r w:rsidRPr="00897002">
              <w:rPr>
                <w:sz w:val="20"/>
                <w:szCs w:val="20"/>
              </w:rPr>
              <w:t>1,562,136</w:t>
            </w:r>
          </w:p>
        </w:tc>
      </w:tr>
      <w:tr w:rsidR="003C4C90" w:rsidRPr="00897002" w:rsidTr="00552581">
        <w:trPr>
          <w:trHeight w:val="319"/>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897002" w:rsidRDefault="003C4C90" w:rsidP="00C94D5A">
            <w:pPr>
              <w:rPr>
                <w:color w:val="000000"/>
                <w:sz w:val="20"/>
                <w:szCs w:val="20"/>
              </w:rPr>
            </w:pPr>
            <w:r w:rsidRPr="00897002">
              <w:rPr>
                <w:color w:val="000000"/>
                <w:sz w:val="20"/>
                <w:szCs w:val="20"/>
              </w:rPr>
              <w:t>FE:  Met-Ed</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color w:val="000000"/>
                <w:sz w:val="20"/>
                <w:szCs w:val="20"/>
              </w:rPr>
            </w:pPr>
            <w:r w:rsidRPr="00897002">
              <w:rPr>
                <w:color w:val="000000"/>
                <w:sz w:val="20"/>
                <w:szCs w:val="20"/>
              </w:rPr>
              <w:t>171,420</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sz w:val="20"/>
                <w:szCs w:val="20"/>
              </w:rPr>
            </w:pPr>
            <w:r w:rsidRPr="00897002">
              <w:rPr>
                <w:sz w:val="20"/>
                <w:szCs w:val="20"/>
              </w:rPr>
              <w:t>1,412,232</w:t>
            </w:r>
          </w:p>
        </w:tc>
      </w:tr>
      <w:tr w:rsidR="003C4C90" w:rsidRPr="00897002" w:rsidTr="00552581">
        <w:trPr>
          <w:trHeight w:val="319"/>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897002" w:rsidRDefault="003C4C90" w:rsidP="00C94D5A">
            <w:pPr>
              <w:rPr>
                <w:color w:val="000000"/>
                <w:sz w:val="20"/>
                <w:szCs w:val="20"/>
              </w:rPr>
            </w:pPr>
            <w:r w:rsidRPr="00897002">
              <w:rPr>
                <w:color w:val="000000"/>
                <w:sz w:val="20"/>
                <w:szCs w:val="20"/>
              </w:rPr>
              <w:t>FE:  Penelec</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color w:val="000000"/>
                <w:sz w:val="20"/>
                <w:szCs w:val="20"/>
              </w:rPr>
            </w:pPr>
            <w:r w:rsidRPr="00897002">
              <w:rPr>
                <w:color w:val="000000"/>
                <w:sz w:val="20"/>
                <w:szCs w:val="20"/>
              </w:rPr>
              <w:t>164,398</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sz w:val="20"/>
                <w:szCs w:val="20"/>
              </w:rPr>
            </w:pPr>
            <w:r w:rsidRPr="00897002">
              <w:rPr>
                <w:sz w:val="20"/>
                <w:szCs w:val="20"/>
              </w:rPr>
              <w:t>1,449,520</w:t>
            </w:r>
          </w:p>
        </w:tc>
      </w:tr>
      <w:tr w:rsidR="003C4C90" w:rsidRPr="00897002" w:rsidTr="00552581">
        <w:trPr>
          <w:trHeight w:val="319"/>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897002" w:rsidRDefault="003C4C90" w:rsidP="00C94D5A">
            <w:pPr>
              <w:rPr>
                <w:color w:val="000000"/>
                <w:sz w:val="20"/>
                <w:szCs w:val="20"/>
              </w:rPr>
            </w:pPr>
            <w:r w:rsidRPr="00897002">
              <w:rPr>
                <w:color w:val="000000"/>
                <w:sz w:val="20"/>
                <w:szCs w:val="20"/>
              </w:rPr>
              <w:t>FE:  Penn Power</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color w:val="000000"/>
                <w:sz w:val="20"/>
                <w:szCs w:val="20"/>
              </w:rPr>
            </w:pPr>
            <w:r w:rsidRPr="00897002">
              <w:rPr>
                <w:color w:val="000000"/>
                <w:sz w:val="20"/>
                <w:szCs w:val="20"/>
              </w:rPr>
              <w:t>27,280</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sz w:val="20"/>
                <w:szCs w:val="20"/>
              </w:rPr>
            </w:pPr>
            <w:r w:rsidRPr="00897002">
              <w:rPr>
                <w:sz w:val="20"/>
                <w:szCs w:val="20"/>
              </w:rPr>
              <w:t>239,330</w:t>
            </w:r>
          </w:p>
        </w:tc>
      </w:tr>
      <w:tr w:rsidR="003C4C90" w:rsidRPr="00897002" w:rsidTr="00552581">
        <w:trPr>
          <w:trHeight w:val="319"/>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897002" w:rsidRDefault="003C4C90" w:rsidP="00C94D5A">
            <w:pPr>
              <w:rPr>
                <w:color w:val="000000"/>
                <w:sz w:val="20"/>
                <w:szCs w:val="20"/>
              </w:rPr>
            </w:pPr>
            <w:r w:rsidRPr="00897002">
              <w:rPr>
                <w:color w:val="000000"/>
                <w:sz w:val="20"/>
                <w:szCs w:val="20"/>
              </w:rPr>
              <w:t>FE:  West Penn</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color w:val="000000"/>
                <w:sz w:val="20"/>
                <w:szCs w:val="20"/>
              </w:rPr>
            </w:pPr>
            <w:r w:rsidRPr="00897002">
              <w:rPr>
                <w:color w:val="000000"/>
                <w:sz w:val="20"/>
                <w:szCs w:val="20"/>
              </w:rPr>
              <w:t>158,760</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sz w:val="20"/>
                <w:szCs w:val="20"/>
              </w:rPr>
            </w:pPr>
            <w:r w:rsidRPr="00897002">
              <w:rPr>
                <w:sz w:val="20"/>
                <w:szCs w:val="20"/>
              </w:rPr>
              <w:t>1,360,706</w:t>
            </w:r>
          </w:p>
        </w:tc>
      </w:tr>
      <w:tr w:rsidR="003C4C90" w:rsidRPr="00897002" w:rsidTr="00552581">
        <w:trPr>
          <w:trHeight w:val="319"/>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897002" w:rsidRDefault="003C4C90" w:rsidP="00C94D5A">
            <w:pPr>
              <w:rPr>
                <w:color w:val="000000"/>
                <w:sz w:val="20"/>
                <w:szCs w:val="20"/>
              </w:rPr>
            </w:pPr>
            <w:r w:rsidRPr="00897002">
              <w:rPr>
                <w:color w:val="000000"/>
                <w:sz w:val="20"/>
                <w:szCs w:val="20"/>
              </w:rPr>
              <w:t>PECO</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color w:val="000000"/>
                <w:sz w:val="20"/>
                <w:szCs w:val="20"/>
              </w:rPr>
            </w:pPr>
            <w:r w:rsidRPr="00897002">
              <w:rPr>
                <w:color w:val="000000"/>
                <w:sz w:val="20"/>
                <w:szCs w:val="20"/>
              </w:rPr>
              <w:t>528,301</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sz w:val="20"/>
                <w:szCs w:val="20"/>
              </w:rPr>
            </w:pPr>
            <w:r w:rsidRPr="00897002">
              <w:rPr>
                <w:sz w:val="20"/>
                <w:szCs w:val="20"/>
              </w:rPr>
              <w:t>6,025,303</w:t>
            </w:r>
          </w:p>
        </w:tc>
      </w:tr>
      <w:tr w:rsidR="003C4C90" w:rsidRPr="00897002" w:rsidTr="00552581">
        <w:trPr>
          <w:trHeight w:val="319"/>
        </w:trPr>
        <w:tc>
          <w:tcPr>
            <w:tcW w:w="2520" w:type="dxa"/>
            <w:tcBorders>
              <w:top w:val="nil"/>
              <w:left w:val="single" w:sz="8" w:space="0" w:color="448A99"/>
              <w:bottom w:val="single" w:sz="8" w:space="0" w:color="448A99"/>
              <w:right w:val="single" w:sz="8" w:space="0" w:color="448A99"/>
            </w:tcBorders>
            <w:shd w:val="clear" w:color="auto" w:fill="auto"/>
            <w:vAlign w:val="center"/>
            <w:hideMark/>
          </w:tcPr>
          <w:p w:rsidR="003C4C90" w:rsidRPr="00897002" w:rsidRDefault="003C4C90" w:rsidP="00C94D5A">
            <w:pPr>
              <w:rPr>
                <w:color w:val="000000"/>
                <w:sz w:val="20"/>
                <w:szCs w:val="20"/>
              </w:rPr>
            </w:pPr>
            <w:r w:rsidRPr="00897002">
              <w:rPr>
                <w:color w:val="000000"/>
                <w:sz w:val="20"/>
                <w:szCs w:val="20"/>
              </w:rPr>
              <w:t>PPL</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color w:val="000000"/>
                <w:sz w:val="20"/>
                <w:szCs w:val="20"/>
              </w:rPr>
            </w:pPr>
            <w:r w:rsidRPr="00897002">
              <w:rPr>
                <w:color w:val="000000"/>
                <w:sz w:val="20"/>
                <w:szCs w:val="20"/>
              </w:rPr>
              <w:t>313,976</w:t>
            </w:r>
          </w:p>
        </w:tc>
        <w:tc>
          <w:tcPr>
            <w:tcW w:w="3420"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sz w:val="20"/>
                <w:szCs w:val="20"/>
              </w:rPr>
            </w:pPr>
            <w:r w:rsidRPr="00897002">
              <w:rPr>
                <w:sz w:val="20"/>
                <w:szCs w:val="20"/>
              </w:rPr>
              <w:t>3,406,665</w:t>
            </w:r>
          </w:p>
        </w:tc>
      </w:tr>
      <w:tr w:rsidR="003C4C90" w:rsidRPr="00897002" w:rsidTr="00552581">
        <w:trPr>
          <w:trHeight w:val="319"/>
        </w:trPr>
        <w:tc>
          <w:tcPr>
            <w:tcW w:w="2520"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897002" w:rsidRDefault="003C4C90" w:rsidP="00C94D5A">
            <w:pPr>
              <w:rPr>
                <w:b/>
                <w:bCs/>
                <w:color w:val="000000"/>
                <w:sz w:val="20"/>
                <w:szCs w:val="20"/>
              </w:rPr>
            </w:pPr>
            <w:r w:rsidRPr="00897002">
              <w:rPr>
                <w:b/>
                <w:bCs/>
                <w:color w:val="000000"/>
                <w:sz w:val="20"/>
                <w:szCs w:val="20"/>
              </w:rPr>
              <w:t>Total</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b/>
                <w:bCs/>
                <w:color w:val="000000"/>
                <w:sz w:val="20"/>
                <w:szCs w:val="20"/>
              </w:rPr>
            </w:pPr>
            <w:r w:rsidRPr="00897002">
              <w:rPr>
                <w:b/>
                <w:bCs/>
                <w:color w:val="000000"/>
                <w:sz w:val="20"/>
                <w:szCs w:val="20"/>
              </w:rPr>
              <w:t>1,509,707</w:t>
            </w:r>
          </w:p>
        </w:tc>
        <w:tc>
          <w:tcPr>
            <w:tcW w:w="3420"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b/>
                <w:bCs/>
                <w:sz w:val="20"/>
                <w:szCs w:val="20"/>
              </w:rPr>
            </w:pPr>
            <w:r w:rsidRPr="00897002">
              <w:rPr>
                <w:b/>
                <w:bCs/>
                <w:sz w:val="20"/>
                <w:szCs w:val="20"/>
              </w:rPr>
              <w:t>15,455,892</w:t>
            </w:r>
          </w:p>
        </w:tc>
      </w:tr>
    </w:tbl>
    <w:p w:rsidR="003C4C90" w:rsidRPr="002852AF" w:rsidRDefault="003C4C90" w:rsidP="002852AF"/>
    <w:p w:rsidR="003C4C90" w:rsidRDefault="003C4C90" w:rsidP="003C4C90">
      <w:pPr>
        <w:pStyle w:val="Caption"/>
        <w:keepNext/>
      </w:pPr>
      <w:r>
        <w:t xml:space="preserve">Table D- </w:t>
      </w:r>
      <w:fldSimple w:instr=" SEQ Table_D- \* ARABIC ">
        <w:r w:rsidR="00C301D0">
          <w:rPr>
            <w:noProof/>
          </w:rPr>
          <w:t>3</w:t>
        </w:r>
      </w:fldSimple>
      <w:r>
        <w:t>: Pennsylvania Statewide Net Verified Annual and Net Verified Lifetime MWh Savings</w:t>
      </w:r>
    </w:p>
    <w:tbl>
      <w:tblPr>
        <w:tblW w:w="9360" w:type="dxa"/>
        <w:tblInd w:w="108" w:type="dxa"/>
        <w:tblLook w:val="04A0" w:firstRow="1" w:lastRow="0" w:firstColumn="1" w:lastColumn="0" w:noHBand="0" w:noVBand="1"/>
      </w:tblPr>
      <w:tblGrid>
        <w:gridCol w:w="2628"/>
        <w:gridCol w:w="3366"/>
        <w:gridCol w:w="3366"/>
      </w:tblGrid>
      <w:tr w:rsidR="003C4C90" w:rsidRPr="00897002" w:rsidTr="00552581">
        <w:trPr>
          <w:trHeight w:val="196"/>
        </w:trPr>
        <w:tc>
          <w:tcPr>
            <w:tcW w:w="2628" w:type="dxa"/>
            <w:tcBorders>
              <w:top w:val="single" w:sz="8" w:space="0" w:color="448A99"/>
              <w:left w:val="single" w:sz="8" w:space="0" w:color="448A99"/>
              <w:bottom w:val="single" w:sz="8" w:space="0" w:color="448A99"/>
              <w:right w:val="single" w:sz="8" w:space="0" w:color="448A99"/>
            </w:tcBorders>
            <w:shd w:val="clear" w:color="000000" w:fill="448A99"/>
            <w:vAlign w:val="bottom"/>
            <w:hideMark/>
          </w:tcPr>
          <w:p w:rsidR="003C4C90" w:rsidRPr="00897002" w:rsidRDefault="003C4C90" w:rsidP="003C4C90">
            <w:pPr>
              <w:rPr>
                <w:b/>
                <w:bCs/>
                <w:color w:val="FFFFFF"/>
                <w:sz w:val="20"/>
                <w:szCs w:val="20"/>
              </w:rPr>
            </w:pPr>
            <w:r w:rsidRPr="00897002">
              <w:rPr>
                <w:b/>
                <w:bCs/>
                <w:color w:val="FFFFFF"/>
                <w:sz w:val="20"/>
                <w:szCs w:val="20"/>
              </w:rPr>
              <w:t>EDC</w:t>
            </w:r>
          </w:p>
        </w:tc>
        <w:tc>
          <w:tcPr>
            <w:tcW w:w="3366" w:type="dxa"/>
            <w:tcBorders>
              <w:top w:val="single" w:sz="8" w:space="0" w:color="448A99"/>
              <w:left w:val="nil"/>
              <w:bottom w:val="single" w:sz="8" w:space="0" w:color="448A99"/>
              <w:right w:val="single" w:sz="8" w:space="0" w:color="448A99"/>
            </w:tcBorders>
            <w:shd w:val="clear" w:color="000000" w:fill="448A99"/>
            <w:vAlign w:val="bottom"/>
            <w:hideMark/>
          </w:tcPr>
          <w:p w:rsidR="003C4C90" w:rsidRPr="00897002" w:rsidRDefault="003C4C90" w:rsidP="003C4C90">
            <w:pPr>
              <w:jc w:val="center"/>
              <w:rPr>
                <w:b/>
                <w:bCs/>
                <w:color w:val="FFFFFF"/>
                <w:sz w:val="20"/>
                <w:szCs w:val="20"/>
              </w:rPr>
            </w:pPr>
            <w:r w:rsidRPr="00897002">
              <w:rPr>
                <w:b/>
                <w:bCs/>
                <w:color w:val="FFFFFF"/>
                <w:sz w:val="20"/>
                <w:szCs w:val="20"/>
              </w:rPr>
              <w:t>Net Verified Annual Savings (MWh)</w:t>
            </w:r>
          </w:p>
        </w:tc>
        <w:tc>
          <w:tcPr>
            <w:tcW w:w="3366" w:type="dxa"/>
            <w:tcBorders>
              <w:top w:val="single" w:sz="8" w:space="0" w:color="448A99"/>
              <w:left w:val="nil"/>
              <w:bottom w:val="single" w:sz="8" w:space="0" w:color="448A99"/>
              <w:right w:val="single" w:sz="8" w:space="0" w:color="448A99"/>
            </w:tcBorders>
            <w:shd w:val="clear" w:color="000000" w:fill="448A99"/>
            <w:vAlign w:val="bottom"/>
            <w:hideMark/>
          </w:tcPr>
          <w:p w:rsidR="003C4C90" w:rsidRPr="00897002" w:rsidRDefault="003C4C90" w:rsidP="003C4C90">
            <w:pPr>
              <w:jc w:val="center"/>
              <w:rPr>
                <w:b/>
                <w:bCs/>
                <w:color w:val="FFFFFF"/>
                <w:sz w:val="20"/>
                <w:szCs w:val="20"/>
              </w:rPr>
            </w:pPr>
            <w:r w:rsidRPr="00897002">
              <w:rPr>
                <w:b/>
                <w:bCs/>
                <w:color w:val="FFFFFF"/>
                <w:sz w:val="20"/>
                <w:szCs w:val="20"/>
              </w:rPr>
              <w:t>Net Verified Lifetime Savings (MWh)</w:t>
            </w:r>
          </w:p>
        </w:tc>
      </w:tr>
      <w:tr w:rsidR="003C4C90" w:rsidRPr="00897002" w:rsidTr="00552581">
        <w:trPr>
          <w:trHeight w:val="318"/>
        </w:trPr>
        <w:tc>
          <w:tcPr>
            <w:tcW w:w="2628" w:type="dxa"/>
            <w:tcBorders>
              <w:top w:val="nil"/>
              <w:left w:val="single" w:sz="8" w:space="0" w:color="448A99"/>
              <w:bottom w:val="single" w:sz="8" w:space="0" w:color="448A99"/>
              <w:right w:val="single" w:sz="8" w:space="0" w:color="448A99"/>
            </w:tcBorders>
            <w:shd w:val="clear" w:color="auto" w:fill="auto"/>
            <w:vAlign w:val="center"/>
            <w:hideMark/>
          </w:tcPr>
          <w:p w:rsidR="003C4C90" w:rsidRPr="00897002" w:rsidRDefault="003C4C90" w:rsidP="00C94D5A">
            <w:pPr>
              <w:rPr>
                <w:color w:val="000000"/>
                <w:sz w:val="20"/>
                <w:szCs w:val="20"/>
              </w:rPr>
            </w:pPr>
            <w:r w:rsidRPr="00897002">
              <w:rPr>
                <w:color w:val="000000"/>
                <w:sz w:val="20"/>
                <w:szCs w:val="20"/>
              </w:rPr>
              <w:t>Duquesne</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color w:val="000000"/>
                <w:sz w:val="20"/>
                <w:szCs w:val="20"/>
              </w:rPr>
            </w:pPr>
            <w:r w:rsidRPr="00897002">
              <w:rPr>
                <w:color w:val="000000"/>
                <w:sz w:val="20"/>
                <w:szCs w:val="20"/>
              </w:rPr>
              <w:t>104,999</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sz w:val="20"/>
                <w:szCs w:val="20"/>
              </w:rPr>
            </w:pPr>
            <w:r w:rsidRPr="00897002">
              <w:rPr>
                <w:sz w:val="20"/>
                <w:szCs w:val="20"/>
              </w:rPr>
              <w:t>1,404,839</w:t>
            </w:r>
          </w:p>
        </w:tc>
      </w:tr>
      <w:tr w:rsidR="003C4C90" w:rsidRPr="00897002" w:rsidTr="00552581">
        <w:trPr>
          <w:trHeight w:val="318"/>
        </w:trPr>
        <w:tc>
          <w:tcPr>
            <w:tcW w:w="2628"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897002" w:rsidRDefault="003C4C90" w:rsidP="00C94D5A">
            <w:pPr>
              <w:rPr>
                <w:color w:val="000000"/>
                <w:sz w:val="20"/>
                <w:szCs w:val="20"/>
              </w:rPr>
            </w:pPr>
            <w:r w:rsidRPr="00897002">
              <w:rPr>
                <w:color w:val="000000"/>
                <w:sz w:val="20"/>
                <w:szCs w:val="20"/>
              </w:rPr>
              <w:t>FE:  Met-Ed</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color w:val="000000"/>
                <w:sz w:val="20"/>
                <w:szCs w:val="20"/>
              </w:rPr>
            </w:pPr>
            <w:r w:rsidRPr="00897002">
              <w:rPr>
                <w:color w:val="000000"/>
                <w:sz w:val="20"/>
                <w:szCs w:val="20"/>
              </w:rPr>
              <w:t>124,981</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sz w:val="20"/>
                <w:szCs w:val="20"/>
              </w:rPr>
            </w:pPr>
            <w:r w:rsidRPr="00897002">
              <w:rPr>
                <w:sz w:val="20"/>
                <w:szCs w:val="20"/>
              </w:rPr>
              <w:t>1,412,232</w:t>
            </w:r>
          </w:p>
        </w:tc>
      </w:tr>
      <w:tr w:rsidR="003C4C90" w:rsidRPr="00897002" w:rsidTr="00552581">
        <w:trPr>
          <w:trHeight w:val="318"/>
        </w:trPr>
        <w:tc>
          <w:tcPr>
            <w:tcW w:w="2628" w:type="dxa"/>
            <w:tcBorders>
              <w:top w:val="nil"/>
              <w:left w:val="single" w:sz="8" w:space="0" w:color="448A99"/>
              <w:bottom w:val="single" w:sz="8" w:space="0" w:color="448A99"/>
              <w:right w:val="single" w:sz="8" w:space="0" w:color="448A99"/>
            </w:tcBorders>
            <w:shd w:val="clear" w:color="auto" w:fill="auto"/>
            <w:vAlign w:val="center"/>
            <w:hideMark/>
          </w:tcPr>
          <w:p w:rsidR="003C4C90" w:rsidRPr="00897002" w:rsidRDefault="003C4C90" w:rsidP="00C94D5A">
            <w:pPr>
              <w:rPr>
                <w:color w:val="000000"/>
                <w:sz w:val="20"/>
                <w:szCs w:val="20"/>
              </w:rPr>
            </w:pPr>
            <w:r w:rsidRPr="00897002">
              <w:rPr>
                <w:color w:val="000000"/>
                <w:sz w:val="20"/>
                <w:szCs w:val="20"/>
              </w:rPr>
              <w:t>FE:  Penelec</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color w:val="000000"/>
                <w:sz w:val="20"/>
                <w:szCs w:val="20"/>
              </w:rPr>
            </w:pPr>
            <w:r w:rsidRPr="00897002">
              <w:rPr>
                <w:color w:val="000000"/>
                <w:sz w:val="20"/>
                <w:szCs w:val="20"/>
              </w:rPr>
              <w:t>126,682</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sz w:val="20"/>
                <w:szCs w:val="20"/>
              </w:rPr>
            </w:pPr>
            <w:r w:rsidRPr="00897002">
              <w:rPr>
                <w:sz w:val="20"/>
                <w:szCs w:val="20"/>
              </w:rPr>
              <w:t>1,449,520</w:t>
            </w:r>
          </w:p>
        </w:tc>
      </w:tr>
      <w:tr w:rsidR="003C4C90" w:rsidRPr="00897002" w:rsidTr="00552581">
        <w:trPr>
          <w:trHeight w:val="318"/>
        </w:trPr>
        <w:tc>
          <w:tcPr>
            <w:tcW w:w="2628"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897002" w:rsidRDefault="003C4C90" w:rsidP="00C94D5A">
            <w:pPr>
              <w:rPr>
                <w:color w:val="000000"/>
                <w:sz w:val="20"/>
                <w:szCs w:val="20"/>
              </w:rPr>
            </w:pPr>
            <w:r w:rsidRPr="00897002">
              <w:rPr>
                <w:color w:val="000000"/>
                <w:sz w:val="20"/>
                <w:szCs w:val="20"/>
              </w:rPr>
              <w:t>FE:  Penn Power</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color w:val="000000"/>
                <w:sz w:val="20"/>
                <w:szCs w:val="20"/>
              </w:rPr>
            </w:pPr>
            <w:r w:rsidRPr="00897002">
              <w:rPr>
                <w:color w:val="000000"/>
                <w:sz w:val="20"/>
                <w:szCs w:val="20"/>
              </w:rPr>
              <w:t>19,187</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sz w:val="20"/>
                <w:szCs w:val="20"/>
              </w:rPr>
            </w:pPr>
            <w:r w:rsidRPr="00897002">
              <w:rPr>
                <w:sz w:val="20"/>
                <w:szCs w:val="20"/>
              </w:rPr>
              <w:t>239,330</w:t>
            </w:r>
          </w:p>
        </w:tc>
      </w:tr>
      <w:tr w:rsidR="003C4C90" w:rsidRPr="00897002" w:rsidTr="00552581">
        <w:trPr>
          <w:trHeight w:val="318"/>
        </w:trPr>
        <w:tc>
          <w:tcPr>
            <w:tcW w:w="2628" w:type="dxa"/>
            <w:tcBorders>
              <w:top w:val="nil"/>
              <w:left w:val="single" w:sz="8" w:space="0" w:color="448A99"/>
              <w:bottom w:val="single" w:sz="8" w:space="0" w:color="448A99"/>
              <w:right w:val="single" w:sz="8" w:space="0" w:color="448A99"/>
            </w:tcBorders>
            <w:shd w:val="clear" w:color="auto" w:fill="auto"/>
            <w:vAlign w:val="center"/>
            <w:hideMark/>
          </w:tcPr>
          <w:p w:rsidR="003C4C90" w:rsidRPr="00897002" w:rsidRDefault="003C4C90" w:rsidP="00C94D5A">
            <w:pPr>
              <w:rPr>
                <w:color w:val="000000"/>
                <w:sz w:val="20"/>
                <w:szCs w:val="20"/>
              </w:rPr>
            </w:pPr>
            <w:r w:rsidRPr="00897002">
              <w:rPr>
                <w:color w:val="000000"/>
                <w:sz w:val="20"/>
                <w:szCs w:val="20"/>
              </w:rPr>
              <w:t>FE:  West Penn</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color w:val="000000"/>
                <w:sz w:val="20"/>
                <w:szCs w:val="20"/>
              </w:rPr>
            </w:pPr>
            <w:r w:rsidRPr="00897002">
              <w:rPr>
                <w:color w:val="000000"/>
                <w:sz w:val="20"/>
                <w:szCs w:val="20"/>
              </w:rPr>
              <w:t>120,335</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sz w:val="20"/>
                <w:szCs w:val="20"/>
              </w:rPr>
            </w:pPr>
            <w:r w:rsidRPr="00897002">
              <w:rPr>
                <w:sz w:val="20"/>
                <w:szCs w:val="20"/>
              </w:rPr>
              <w:t>1,360,706</w:t>
            </w:r>
          </w:p>
        </w:tc>
      </w:tr>
      <w:tr w:rsidR="003C4C90" w:rsidRPr="00897002" w:rsidTr="00552581">
        <w:trPr>
          <w:trHeight w:val="318"/>
        </w:trPr>
        <w:tc>
          <w:tcPr>
            <w:tcW w:w="2628"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897002" w:rsidRDefault="003C4C90" w:rsidP="00C94D5A">
            <w:pPr>
              <w:rPr>
                <w:color w:val="000000"/>
                <w:sz w:val="20"/>
                <w:szCs w:val="20"/>
              </w:rPr>
            </w:pPr>
            <w:r w:rsidRPr="00897002">
              <w:rPr>
                <w:color w:val="000000"/>
                <w:sz w:val="20"/>
                <w:szCs w:val="20"/>
              </w:rPr>
              <w:t>PECO</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color w:val="000000"/>
                <w:sz w:val="20"/>
                <w:szCs w:val="20"/>
              </w:rPr>
            </w:pPr>
            <w:r w:rsidRPr="00897002">
              <w:rPr>
                <w:color w:val="000000"/>
                <w:sz w:val="20"/>
                <w:szCs w:val="20"/>
              </w:rPr>
              <w:t>324,572</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sz w:val="20"/>
                <w:szCs w:val="20"/>
              </w:rPr>
            </w:pPr>
            <w:r w:rsidRPr="00897002">
              <w:rPr>
                <w:sz w:val="20"/>
                <w:szCs w:val="20"/>
              </w:rPr>
              <w:t>3,531,577</w:t>
            </w:r>
          </w:p>
        </w:tc>
      </w:tr>
      <w:tr w:rsidR="003C4C90" w:rsidRPr="00897002" w:rsidTr="00552581">
        <w:trPr>
          <w:trHeight w:val="318"/>
        </w:trPr>
        <w:tc>
          <w:tcPr>
            <w:tcW w:w="2628" w:type="dxa"/>
            <w:tcBorders>
              <w:top w:val="nil"/>
              <w:left w:val="single" w:sz="8" w:space="0" w:color="448A99"/>
              <w:bottom w:val="single" w:sz="8" w:space="0" w:color="448A99"/>
              <w:right w:val="single" w:sz="8" w:space="0" w:color="448A99"/>
            </w:tcBorders>
            <w:shd w:val="clear" w:color="auto" w:fill="auto"/>
            <w:vAlign w:val="center"/>
            <w:hideMark/>
          </w:tcPr>
          <w:p w:rsidR="003C4C90" w:rsidRPr="00897002" w:rsidRDefault="003C4C90" w:rsidP="00C94D5A">
            <w:pPr>
              <w:rPr>
                <w:color w:val="000000"/>
                <w:sz w:val="20"/>
                <w:szCs w:val="20"/>
              </w:rPr>
            </w:pPr>
            <w:r w:rsidRPr="00897002">
              <w:rPr>
                <w:color w:val="000000"/>
                <w:sz w:val="20"/>
                <w:szCs w:val="20"/>
              </w:rPr>
              <w:t>PPL</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color w:val="000000"/>
                <w:sz w:val="20"/>
                <w:szCs w:val="20"/>
              </w:rPr>
            </w:pPr>
            <w:r w:rsidRPr="00897002">
              <w:rPr>
                <w:color w:val="000000"/>
                <w:sz w:val="20"/>
                <w:szCs w:val="20"/>
              </w:rPr>
              <w:t>238,012</w:t>
            </w:r>
          </w:p>
        </w:tc>
        <w:tc>
          <w:tcPr>
            <w:tcW w:w="3366" w:type="dxa"/>
            <w:tcBorders>
              <w:top w:val="nil"/>
              <w:left w:val="nil"/>
              <w:bottom w:val="single" w:sz="8" w:space="0" w:color="448A99"/>
              <w:right w:val="single" w:sz="8" w:space="0" w:color="448A99"/>
            </w:tcBorders>
            <w:shd w:val="clear" w:color="auto" w:fill="auto"/>
            <w:vAlign w:val="center"/>
            <w:hideMark/>
          </w:tcPr>
          <w:p w:rsidR="003C4C90" w:rsidRPr="00897002" w:rsidRDefault="003C4C90" w:rsidP="00C94D5A">
            <w:pPr>
              <w:jc w:val="center"/>
              <w:rPr>
                <w:sz w:val="20"/>
                <w:szCs w:val="20"/>
              </w:rPr>
            </w:pPr>
            <w:r w:rsidRPr="00897002">
              <w:rPr>
                <w:sz w:val="20"/>
                <w:szCs w:val="20"/>
              </w:rPr>
              <w:t>2,591,240</w:t>
            </w:r>
          </w:p>
        </w:tc>
      </w:tr>
      <w:tr w:rsidR="003C4C90" w:rsidRPr="00897002" w:rsidTr="00552581">
        <w:trPr>
          <w:trHeight w:val="318"/>
        </w:trPr>
        <w:tc>
          <w:tcPr>
            <w:tcW w:w="2628" w:type="dxa"/>
            <w:tcBorders>
              <w:top w:val="nil"/>
              <w:left w:val="single" w:sz="8" w:space="0" w:color="448A99"/>
              <w:bottom w:val="single" w:sz="8" w:space="0" w:color="448A99"/>
              <w:right w:val="single" w:sz="8" w:space="0" w:color="448A99"/>
            </w:tcBorders>
            <w:shd w:val="clear" w:color="000000" w:fill="D2EAF1"/>
            <w:vAlign w:val="center"/>
            <w:hideMark/>
          </w:tcPr>
          <w:p w:rsidR="003C4C90" w:rsidRPr="00897002" w:rsidRDefault="003C4C90" w:rsidP="00C94D5A">
            <w:pPr>
              <w:rPr>
                <w:b/>
                <w:bCs/>
                <w:color w:val="000000"/>
                <w:sz w:val="20"/>
                <w:szCs w:val="20"/>
              </w:rPr>
            </w:pPr>
            <w:r w:rsidRPr="00897002">
              <w:rPr>
                <w:b/>
                <w:bCs/>
                <w:color w:val="000000"/>
                <w:sz w:val="20"/>
                <w:szCs w:val="20"/>
              </w:rPr>
              <w:t>Total</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b/>
                <w:bCs/>
                <w:sz w:val="20"/>
                <w:szCs w:val="20"/>
              </w:rPr>
            </w:pPr>
            <w:r w:rsidRPr="00897002">
              <w:rPr>
                <w:b/>
                <w:bCs/>
                <w:sz w:val="20"/>
                <w:szCs w:val="20"/>
              </w:rPr>
              <w:t>1,058,768</w:t>
            </w:r>
          </w:p>
        </w:tc>
        <w:tc>
          <w:tcPr>
            <w:tcW w:w="3366" w:type="dxa"/>
            <w:tcBorders>
              <w:top w:val="nil"/>
              <w:left w:val="nil"/>
              <w:bottom w:val="single" w:sz="8" w:space="0" w:color="448A99"/>
              <w:right w:val="single" w:sz="8" w:space="0" w:color="448A99"/>
            </w:tcBorders>
            <w:shd w:val="clear" w:color="000000" w:fill="D2EAF1"/>
            <w:vAlign w:val="center"/>
            <w:hideMark/>
          </w:tcPr>
          <w:p w:rsidR="003C4C90" w:rsidRPr="00897002" w:rsidRDefault="003C4C90" w:rsidP="00C94D5A">
            <w:pPr>
              <w:jc w:val="center"/>
              <w:rPr>
                <w:b/>
                <w:bCs/>
                <w:sz w:val="20"/>
                <w:szCs w:val="20"/>
              </w:rPr>
            </w:pPr>
            <w:r w:rsidRPr="00897002">
              <w:rPr>
                <w:b/>
                <w:bCs/>
                <w:sz w:val="20"/>
                <w:szCs w:val="20"/>
              </w:rPr>
              <w:t>11,989,444</w:t>
            </w:r>
          </w:p>
        </w:tc>
      </w:tr>
    </w:tbl>
    <w:p w:rsidR="00552581" w:rsidRPr="00552581" w:rsidRDefault="00552581" w:rsidP="00552581">
      <w:bookmarkStart w:id="1426" w:name="_Toc472472150"/>
    </w:p>
    <w:p w:rsidR="00552581" w:rsidRDefault="00552581">
      <w:pPr>
        <w:jc w:val="left"/>
        <w:rPr>
          <w:rFonts w:ascii="Century Gothic" w:eastAsiaTheme="minorHAnsi" w:hAnsi="Century Gothic" w:cstheme="minorBidi"/>
          <w:smallCaps/>
          <w:color w:val="FFFFFF" w:themeColor="background1"/>
          <w:sz w:val="32"/>
        </w:rPr>
      </w:pPr>
      <w:r>
        <w:br w:type="page"/>
      </w:r>
    </w:p>
    <w:p w:rsidR="00656920" w:rsidRPr="00E45861" w:rsidRDefault="00656920" w:rsidP="00E45861">
      <w:pPr>
        <w:pStyle w:val="Heading1"/>
        <w:numPr>
          <w:ilvl w:val="0"/>
          <w:numId w:val="0"/>
        </w:numPr>
      </w:pPr>
      <w:bookmarkStart w:id="1427" w:name="_Toc476913962"/>
      <w:r w:rsidRPr="00E45861">
        <w:t>Appendix E| Compendium of SWE Phase II Reports and Memos</w:t>
      </w:r>
      <w:bookmarkEnd w:id="1426"/>
      <w:bookmarkEnd w:id="1427"/>
    </w:p>
    <w:p w:rsidR="00656920" w:rsidRPr="00E45861" w:rsidRDefault="00B72B14" w:rsidP="00E45861">
      <w:pPr>
        <w:pStyle w:val="AppendixEHeading1"/>
      </w:pPr>
      <w:r w:rsidRPr="00E45861">
        <w:t>Evaluation Framework</w:t>
      </w:r>
    </w:p>
    <w:p w:rsidR="00B72B14" w:rsidRDefault="00B72B14" w:rsidP="00B72B14">
      <w:pPr>
        <w:pStyle w:val="AppendixEHeading2"/>
        <w:ind w:left="0"/>
      </w:pPr>
      <w:r w:rsidRPr="00B72B14">
        <w:t>Evaluation Framework for Pennsylvania Act 129 Energy Efficiency and Conservation Programs, June 2013</w:t>
      </w:r>
    </w:p>
    <w:p w:rsidR="00B72B14" w:rsidRDefault="00070AE5" w:rsidP="00B72B14">
      <w:r w:rsidRPr="00B72B14">
        <w:t xml:space="preserve">As required in Act 129 and the EE&amp;C Implementation Order, the </w:t>
      </w:r>
      <w:r>
        <w:t>E</w:t>
      </w:r>
      <w:r w:rsidRPr="00B72B14">
        <w:t xml:space="preserve">valuation </w:t>
      </w:r>
      <w:r>
        <w:t>F</w:t>
      </w:r>
      <w:r w:rsidRPr="00B72B14">
        <w:t xml:space="preserve">ramework outlines the procedures of the SWE </w:t>
      </w:r>
      <w:r>
        <w:t>T</w:t>
      </w:r>
      <w:r w:rsidRPr="00B72B14">
        <w:t xml:space="preserve">eam and the expectations of the EDCs in order to comply with the audit of the information submitted in the program. The document further explains the process for updating the TRM, guidelines for tracking and reporting data for the EDC, the M&amp;V expectations of the program, and applicable deadlines. This audit plan and </w:t>
      </w:r>
      <w:r>
        <w:t>E</w:t>
      </w:r>
      <w:r w:rsidRPr="00B72B14">
        <w:t xml:space="preserve">valuation </w:t>
      </w:r>
      <w:r>
        <w:t>F</w:t>
      </w:r>
      <w:r w:rsidRPr="00B72B14">
        <w:t>ramework was originally released in December 2009 as a Phase I audit plan and was updated in November of 2011. For Phase II, the Evaluation Framework was approved as a separate document in June 2013 and subsequently updated in June 2014 and July 2015</w:t>
      </w:r>
      <w:r>
        <w:t>.</w:t>
      </w:r>
      <w:r w:rsidR="00B72B14" w:rsidRPr="00805221">
        <w:rPr>
          <w:rStyle w:val="FootnoteReference"/>
          <w:rFonts w:asciiTheme="minorHAnsi" w:hAnsiTheme="minorHAnsi"/>
        </w:rPr>
        <w:footnoteReference w:id="78"/>
      </w:r>
    </w:p>
    <w:p w:rsidR="00B72B14" w:rsidRDefault="00B72B14" w:rsidP="00B72B14"/>
    <w:p w:rsidR="00B72B14" w:rsidRDefault="00B72B14" w:rsidP="00E45861">
      <w:pPr>
        <w:pStyle w:val="AppendixEHeading1"/>
      </w:pPr>
      <w:r>
        <w:t>Baseline Studies</w:t>
      </w:r>
    </w:p>
    <w:p w:rsidR="006C0F17" w:rsidRPr="00805221" w:rsidRDefault="006C0F17" w:rsidP="006C0F17">
      <w:pPr>
        <w:pStyle w:val="AppendixEHeading2"/>
        <w:ind w:left="0"/>
      </w:pPr>
      <w:r w:rsidRPr="00805221">
        <w:t xml:space="preserve">Pennsylvania Statewide Residential </w:t>
      </w:r>
      <w:r>
        <w:t>Baseline Study, April 2014</w:t>
      </w:r>
      <w:r w:rsidRPr="00805221">
        <w:rPr>
          <w:rStyle w:val="FootnoteReference"/>
          <w:rFonts w:asciiTheme="minorHAnsi" w:hAnsiTheme="minorHAnsi"/>
        </w:rPr>
        <w:footnoteReference w:id="79"/>
      </w:r>
    </w:p>
    <w:p w:rsidR="006C0F17" w:rsidRDefault="00070AE5" w:rsidP="006C0F17">
      <w:r>
        <w:t xml:space="preserve">The residential baseline study evaluated </w:t>
      </w:r>
      <w:r w:rsidRPr="007051F6">
        <w:t>the characteristics of the energy</w:t>
      </w:r>
      <w:r>
        <w:t>-</w:t>
      </w:r>
      <w:r w:rsidRPr="007051F6">
        <w:t>using equipment, the efficient electric equipment stock</w:t>
      </w:r>
      <w:r>
        <w:t>,</w:t>
      </w:r>
      <w:r w:rsidRPr="007051F6">
        <w:t xml:space="preserve"> and building characteristics present in the residential sector of Pennsylvania for the seven EDC service territories. </w:t>
      </w:r>
      <w:r>
        <w:t xml:space="preserve">The study identified </w:t>
      </w:r>
      <w:r w:rsidRPr="007051F6">
        <w:t>the critical data</w:t>
      </w:r>
      <w:r>
        <w:t>-</w:t>
      </w:r>
      <w:r w:rsidRPr="007051F6">
        <w:t>collection needs from the on-site surveys that will be integral to future resource planning and energy efficiency activities in Pennsylvania.</w:t>
      </w:r>
      <w:r>
        <w:t xml:space="preserve"> A total of 490 site surveys stratified by EDC, housing segment, and annual kWh consumption were conducted. The desired level of precision for EDC-specific results, ±10% precision with 90% confidence, necessitated a total of 70 on-site visits per EDC. The data for all EDCs were then aggregated to the statewide level, and these estimates carry precision of ±5% precision with 95% confidence</w:t>
      </w:r>
      <w:r w:rsidR="006C0F17">
        <w:t>.</w:t>
      </w:r>
    </w:p>
    <w:p w:rsidR="006C0F17" w:rsidRDefault="006C0F17" w:rsidP="006C0F17"/>
    <w:p w:rsidR="006C0F17" w:rsidRPr="00805221" w:rsidRDefault="006C0F17" w:rsidP="006C0F17">
      <w:pPr>
        <w:pStyle w:val="AppendixEHeading2"/>
        <w:ind w:left="0"/>
      </w:pPr>
      <w:r w:rsidRPr="00DD3B23">
        <w:t>Pennsylvania Non-Residential End Use and Saturation Study, April 2014</w:t>
      </w:r>
      <w:r w:rsidRPr="00805221">
        <w:rPr>
          <w:rStyle w:val="FootnoteReference"/>
          <w:rFonts w:asciiTheme="minorHAnsi" w:hAnsiTheme="minorHAnsi"/>
        </w:rPr>
        <w:footnoteReference w:id="80"/>
      </w:r>
    </w:p>
    <w:p w:rsidR="006C0F17" w:rsidRPr="00F60639" w:rsidRDefault="00070AE5" w:rsidP="006C0F17">
      <w:r w:rsidRPr="00C6251D">
        <w:rPr>
          <w:lang w:eastAsia="x-none"/>
        </w:rPr>
        <w:t xml:space="preserve">The </w:t>
      </w:r>
      <w:r>
        <w:rPr>
          <w:lang w:eastAsia="x-none"/>
        </w:rPr>
        <w:t>C/I</w:t>
      </w:r>
      <w:r w:rsidRPr="00C6251D">
        <w:rPr>
          <w:lang w:eastAsia="x-none"/>
        </w:rPr>
        <w:t xml:space="preserve"> baseline study </w:t>
      </w:r>
      <w:r w:rsidRPr="00C6251D">
        <w:t>evaluates the characteristics of the energy</w:t>
      </w:r>
      <w:r>
        <w:t>-</w:t>
      </w:r>
      <w:r w:rsidRPr="00C6251D">
        <w:t xml:space="preserve">using equipment and building stock present in Pennsylvania for the seven EDC service territories. Nexant used its experience working with the Pennsylvania EDCs as a part of the SWE Team evaluating their current </w:t>
      </w:r>
      <w:r>
        <w:t>energy efficiency</w:t>
      </w:r>
      <w:r w:rsidRPr="00C6251D">
        <w:t xml:space="preserve"> programs and performing previous </w:t>
      </w:r>
      <w:r>
        <w:t>energy efficiency</w:t>
      </w:r>
      <w:r w:rsidRPr="00C6251D">
        <w:t xml:space="preserve"> potential studies to identify output parameters that will be integral to future resource planning and </w:t>
      </w:r>
      <w:r>
        <w:t>energy efficiency</w:t>
      </w:r>
      <w:r w:rsidRPr="00C6251D">
        <w:t xml:space="preserve"> activities in Pennsylvania. The study began by analyzing the EDC customer billing data to provide a framework in which to gather additional primary and secondary data. This study evaluated the characteristics of Pennsylvania’s building stock by performing 491 </w:t>
      </w:r>
      <w:r>
        <w:t>C/I</w:t>
      </w:r>
      <w:r w:rsidRPr="00C6251D">
        <w:t xml:space="preserve"> on‐site customer surveys in seven EDC territories. These surveys were designed to inventory the current energy</w:t>
      </w:r>
      <w:r>
        <w:t>-</w:t>
      </w:r>
      <w:r w:rsidRPr="00C6251D">
        <w:t>using equipment with regards to type, fuel, efficiency, saturations, and operating conditions, as well as document the characteristics of the buildings themselves</w:t>
      </w:r>
      <w:r w:rsidR="006C0F17" w:rsidRPr="00C6251D">
        <w:t>.</w:t>
      </w:r>
    </w:p>
    <w:p w:rsidR="006C0F17" w:rsidRDefault="006C0F17" w:rsidP="00E45861"/>
    <w:p w:rsidR="00552581" w:rsidRDefault="00552581" w:rsidP="00E45861"/>
    <w:p w:rsidR="00552581" w:rsidRDefault="00552581" w:rsidP="00E45861"/>
    <w:p w:rsidR="00552581" w:rsidRPr="00E45861" w:rsidRDefault="00552581" w:rsidP="00E45861"/>
    <w:p w:rsidR="00B72B14" w:rsidRDefault="00B72B14" w:rsidP="00E45861">
      <w:pPr>
        <w:pStyle w:val="AppendixEHeading1"/>
      </w:pPr>
      <w:r>
        <w:t>Metering Studies</w:t>
      </w:r>
    </w:p>
    <w:p w:rsidR="006C0F17" w:rsidRDefault="006C0F17" w:rsidP="006C0F17">
      <w:pPr>
        <w:pStyle w:val="AppendixEHeading2"/>
        <w:ind w:left="0"/>
      </w:pPr>
      <w:r w:rsidRPr="003544B9">
        <w:t>Statewide Commercial and Residential Light Metering Study</w:t>
      </w:r>
      <w:r w:rsidR="006D2D1D">
        <w:t>, January 2014</w:t>
      </w:r>
      <w:r>
        <w:rPr>
          <w:rStyle w:val="FootnoteReference"/>
        </w:rPr>
        <w:footnoteReference w:id="81"/>
      </w:r>
    </w:p>
    <w:p w:rsidR="006C0F17" w:rsidRPr="005F519D" w:rsidRDefault="006D2D1D" w:rsidP="006C0F17">
      <w:r>
        <w:t xml:space="preserve">The SWE was </w:t>
      </w:r>
      <w:r w:rsidRPr="00F60639">
        <w:t xml:space="preserve">contracted by the </w:t>
      </w:r>
      <w:r>
        <w:t>PUC</w:t>
      </w:r>
      <w:r w:rsidRPr="00F60639">
        <w:t xml:space="preserve"> to</w:t>
      </w:r>
      <w:r>
        <w:t xml:space="preserve"> perform a light metering study </w:t>
      </w:r>
      <w:r w:rsidRPr="00F60639">
        <w:t xml:space="preserve">for the State of Pennsylvania and its seven largest </w:t>
      </w:r>
      <w:r>
        <w:t>EDCs. T</w:t>
      </w:r>
      <w:r w:rsidRPr="00F60639">
        <w:t>he purpose of this study was to provide updated lighting load profile information to the PUC to assist in</w:t>
      </w:r>
      <w:r>
        <w:t xml:space="preserve"> </w:t>
      </w:r>
      <w:r w:rsidRPr="00F60639">
        <w:t>the calculations of electric peak demand and energy savings for lighting energy efficiency programs</w:t>
      </w:r>
      <w:r>
        <w:t xml:space="preserve"> </w:t>
      </w:r>
      <w:r w:rsidRPr="00F60639">
        <w:t>in Pennsylvania. Specifically, this report presents lighting l</w:t>
      </w:r>
      <w:r>
        <w:t>oad shapes, CFs, HOU, and HVAC interactive factors</w:t>
      </w:r>
      <w:r w:rsidR="006C0F17">
        <w:t>.</w:t>
      </w:r>
    </w:p>
    <w:p w:rsidR="00B72B14" w:rsidRPr="00E45861" w:rsidRDefault="00B72B14" w:rsidP="00E45861"/>
    <w:p w:rsidR="00B72B14" w:rsidRDefault="00B72B14" w:rsidP="00E45861">
      <w:pPr>
        <w:pStyle w:val="AppendixEHeading1"/>
      </w:pPr>
      <w:r>
        <w:t>Market Potential Studies</w:t>
      </w:r>
    </w:p>
    <w:p w:rsidR="005C1352" w:rsidRPr="00805221" w:rsidRDefault="005C1352" w:rsidP="005C1352">
      <w:pPr>
        <w:pStyle w:val="AppendixEHeading2"/>
        <w:ind w:left="0"/>
      </w:pPr>
      <w:r w:rsidRPr="00805221">
        <w:t xml:space="preserve">Residential Energy Efficiency Potential </w:t>
      </w:r>
      <w:r w:rsidR="006D2D1D">
        <w:t xml:space="preserve">Study </w:t>
      </w:r>
      <w:r w:rsidRPr="00805221">
        <w:t xml:space="preserve">for Pennsylvania, </w:t>
      </w:r>
      <w:r>
        <w:t>February 2015</w:t>
      </w:r>
      <w:r>
        <w:rPr>
          <w:rStyle w:val="FootnoteReference"/>
          <w:rFonts w:asciiTheme="minorHAnsi" w:hAnsiTheme="minorHAnsi"/>
        </w:rPr>
        <w:footnoteReference w:id="82"/>
      </w:r>
    </w:p>
    <w:p w:rsidR="005C1352" w:rsidRDefault="006D2D1D" w:rsidP="005C1352">
      <w:r>
        <w:rPr>
          <w:lang w:eastAsia="x-none"/>
        </w:rPr>
        <w:t xml:space="preserve">The Energy Efficiency Potential Study </w:t>
      </w:r>
      <w:r>
        <w:t>examines the potential to reduce electric consumption and peak demand through the implementation of energy efficiency technologies and practices in residential, commercial, and industrial facilities, as well as associated activities in Pennsylvania.</w:t>
      </w:r>
      <w:r>
        <w:rPr>
          <w:sz w:val="14"/>
          <w:szCs w:val="14"/>
        </w:rPr>
        <w:t xml:space="preserve"> </w:t>
      </w:r>
      <w:r>
        <w:t>This study assesses electric energy efficiency potential throughout the seven Pennsylvania investor‐owned EDC service areas over 10 years, from June 1, 2016 through May 31, 2025</w:t>
      </w:r>
      <w:r w:rsidR="005C1352">
        <w:t>.</w:t>
      </w:r>
    </w:p>
    <w:p w:rsidR="00A412AF" w:rsidRDefault="00A412AF" w:rsidP="005C1352"/>
    <w:p w:rsidR="00A412AF" w:rsidRPr="00FB5E5A" w:rsidRDefault="00A412AF" w:rsidP="00A412AF">
      <w:pPr>
        <w:pStyle w:val="AppendixEHeading2"/>
        <w:ind w:left="0"/>
      </w:pPr>
      <w:r w:rsidRPr="00FB5E5A">
        <w:t>Demand Response Potential for Pennsylvania, February 2015</w:t>
      </w:r>
      <w:r w:rsidRPr="00FB5E5A">
        <w:rPr>
          <w:rStyle w:val="FootnoteReference"/>
        </w:rPr>
        <w:footnoteReference w:id="83"/>
      </w:r>
    </w:p>
    <w:p w:rsidR="00A412AF" w:rsidRDefault="00A412AF" w:rsidP="00A412AF">
      <w:r w:rsidRPr="00FB5E5A">
        <w:t xml:space="preserve">In its February 2014 Demand Response Implementation Order, the Commission directed the SWE to conduct a </w:t>
      </w:r>
      <w:r>
        <w:t>demand response</w:t>
      </w:r>
      <w:r w:rsidRPr="00FB5E5A">
        <w:t xml:space="preserve"> potential study during Phase II of Act 129 to examine the costs and benefits of pursuing statewide policies that may encourage the development and deployment of </w:t>
      </w:r>
      <w:r>
        <w:t>demand response</w:t>
      </w:r>
      <w:r w:rsidRPr="00FB5E5A">
        <w:t xml:space="preserve"> resourc</w:t>
      </w:r>
      <w:r>
        <w:t>es during Phase III of Act 129, or</w:t>
      </w:r>
      <w:r w:rsidRPr="00FB5E5A">
        <w:t xml:space="preserve"> June 1, 2016, through May 31, 2021.</w:t>
      </w:r>
      <w:r>
        <w:t xml:space="preserve"> </w:t>
      </w:r>
      <w:r w:rsidRPr="00AE0F97">
        <w:t xml:space="preserve">The SWE Team communicated its approach for this study to the </w:t>
      </w:r>
      <w:r>
        <w:t xml:space="preserve">PUC, TUS </w:t>
      </w:r>
      <w:r w:rsidRPr="00AE0F97">
        <w:t>staff</w:t>
      </w:r>
      <w:r>
        <w:t>,</w:t>
      </w:r>
      <w:r w:rsidRPr="00AE0F97">
        <w:t xml:space="preserve"> and the Act 129 Stakeholders and has sought continuous feedback and comment from those groups. As a result of this collaboration, the SWE Team prepared a thorough analysis to estimate the </w:t>
      </w:r>
      <w:r>
        <w:t>demand response</w:t>
      </w:r>
      <w:r w:rsidRPr="00AE0F97">
        <w:t xml:space="preserve"> potential</w:t>
      </w:r>
      <w:r>
        <w:t xml:space="preserve"> and presented the results by EDC.</w:t>
      </w:r>
    </w:p>
    <w:p w:rsidR="005C1352" w:rsidRPr="003544B9" w:rsidRDefault="005C1352" w:rsidP="005C1352"/>
    <w:p w:rsidR="005C1352" w:rsidRDefault="005C1352" w:rsidP="00C902AC">
      <w:pPr>
        <w:pStyle w:val="AppendixEHeading2"/>
        <w:ind w:left="0"/>
      </w:pPr>
      <w:r w:rsidRPr="006C254A">
        <w:t>Distributed Generation Potential Study</w:t>
      </w:r>
      <w:r w:rsidR="00EB1159">
        <w:t xml:space="preserve"> for Pennsylvania</w:t>
      </w:r>
      <w:r>
        <w:t xml:space="preserve">, </w:t>
      </w:r>
      <w:r w:rsidR="00EB1159">
        <w:t>March</w:t>
      </w:r>
      <w:r>
        <w:t xml:space="preserve"> 2015</w:t>
      </w:r>
      <w:r>
        <w:rPr>
          <w:rStyle w:val="FootnoteReference"/>
          <w:rFonts w:asciiTheme="minorHAnsi" w:hAnsiTheme="minorHAnsi"/>
        </w:rPr>
        <w:footnoteReference w:id="84"/>
      </w:r>
    </w:p>
    <w:p w:rsidR="005C1352" w:rsidRDefault="005C1352" w:rsidP="005C1352">
      <w:r>
        <w:t>The Distributed Generation Potential Study examines</w:t>
      </w:r>
      <w:r w:rsidRPr="00303383">
        <w:t xml:space="preserve"> the distributed generation (DG) market potential analysis performed by the </w:t>
      </w:r>
      <w:r>
        <w:t>SWE</w:t>
      </w:r>
      <w:r w:rsidRPr="00303383">
        <w:t xml:space="preserve"> for the State of Pennsylvania through a 10-year period of June 1, 2016 through May 31, 2025. The State of Pennsylvania commissioned the study as a companion report to the </w:t>
      </w:r>
      <w:r>
        <w:t>Energy Efficiency Potential Study described above.</w:t>
      </w:r>
      <w:r w:rsidRPr="00303383">
        <w:t xml:space="preserve"> The SWE conducted this study noting that </w:t>
      </w:r>
      <w:r>
        <w:t xml:space="preserve">EE&amp;C measures </w:t>
      </w:r>
      <w:r w:rsidR="00EB1159">
        <w:t>that count toward</w:t>
      </w:r>
      <w:r w:rsidRPr="00303383">
        <w:t xml:space="preserve"> a possible Phase III energy reduction target can include commission-approved DG technologies such as solar photovoltaic and </w:t>
      </w:r>
      <w:r w:rsidR="00EB1159">
        <w:t>CHP</w:t>
      </w:r>
      <w:r w:rsidRPr="00303383">
        <w:t>.</w:t>
      </w:r>
    </w:p>
    <w:p w:rsidR="00C902AC" w:rsidRPr="006C254A" w:rsidRDefault="00C902AC" w:rsidP="005C1352"/>
    <w:p w:rsidR="00B72B14" w:rsidRDefault="00B72B14" w:rsidP="00E45861">
      <w:pPr>
        <w:pStyle w:val="AppendixEHeading1"/>
      </w:pPr>
      <w:r>
        <w:t>Program Studies</w:t>
      </w:r>
    </w:p>
    <w:p w:rsidR="005C1352" w:rsidRDefault="005C1352" w:rsidP="005C1352">
      <w:pPr>
        <w:pStyle w:val="AppendixEHeading2"/>
        <w:ind w:left="0"/>
      </w:pPr>
      <w:r w:rsidRPr="00757A0C">
        <w:t>Residential Behavioral Program Persistence Study</w:t>
      </w:r>
      <w:r w:rsidR="00A412AF">
        <w:t>, December 2015</w:t>
      </w:r>
      <w:r>
        <w:rPr>
          <w:rStyle w:val="FootnoteReference"/>
          <w:rFonts w:asciiTheme="minorHAnsi" w:hAnsiTheme="minorHAnsi"/>
        </w:rPr>
        <w:footnoteReference w:id="85"/>
      </w:r>
    </w:p>
    <w:p w:rsidR="00B72B14" w:rsidRDefault="005C1352" w:rsidP="005C1352">
      <w:r w:rsidRPr="005C1352">
        <w:t xml:space="preserve">The SWE was contracted by the PUC in the 2016 TRM Update Final Order to conduct an analysis of the </w:t>
      </w:r>
      <w:r w:rsidR="00A412AF">
        <w:t>HER</w:t>
      </w:r>
      <w:r w:rsidRPr="005C1352">
        <w:t xml:space="preserve"> persistence of savings in advance of Phase III of Act 129. This report presents the analysis completed by the SWE in response to the order to evaluate the persistence in energy savings achieved by the </w:t>
      </w:r>
      <w:r w:rsidR="00A92A46">
        <w:t>OPower</w:t>
      </w:r>
      <w:r w:rsidRPr="005C1352">
        <w:t xml:space="preserve"> HER programs run by PPL and Duquesne.</w:t>
      </w:r>
    </w:p>
    <w:p w:rsidR="00170843" w:rsidRPr="005C1352" w:rsidRDefault="00170843" w:rsidP="005C1352"/>
    <w:p w:rsidR="00B72B14" w:rsidRDefault="00B72B14" w:rsidP="00E45861">
      <w:pPr>
        <w:pStyle w:val="AppendixEHeading1"/>
      </w:pPr>
      <w:r>
        <w:t>Guidance Memos</w:t>
      </w:r>
    </w:p>
    <w:p w:rsidR="00B72B14" w:rsidRPr="00B14798" w:rsidRDefault="00B72B14" w:rsidP="00B72B14">
      <w:pPr>
        <w:pStyle w:val="AppendixEHeading2"/>
        <w:ind w:left="0"/>
      </w:pPr>
      <w:r w:rsidRPr="00B14798">
        <w:t>GM-022</w:t>
      </w:r>
      <w:r w:rsidR="00552581">
        <w:t xml:space="preserve">: </w:t>
      </w:r>
      <w:r w:rsidRPr="00B14798">
        <w:t>Peak Demand Reduction Definition for Program Year 5</w:t>
      </w:r>
    </w:p>
    <w:p w:rsidR="00B72B14" w:rsidRDefault="00B72B14" w:rsidP="00B72B14">
      <w:pPr>
        <w:rPr>
          <w:lang w:eastAsia="x-none"/>
        </w:rPr>
      </w:pPr>
      <w:r w:rsidRPr="00B14798">
        <w:rPr>
          <w:lang w:eastAsia="x-none"/>
        </w:rPr>
        <w:t>This guidance memo</w:t>
      </w:r>
      <w:r>
        <w:rPr>
          <w:lang w:eastAsia="x-none"/>
        </w:rPr>
        <w:t xml:space="preserve"> addresses </w:t>
      </w:r>
      <w:r w:rsidRPr="007755F4">
        <w:rPr>
          <w:lang w:eastAsia="x-none"/>
        </w:rPr>
        <w:t xml:space="preserve">the misalignment between the 2013 TRM and the Phase II Evaluation Framework and </w:t>
      </w:r>
      <w:r w:rsidR="00A412AF">
        <w:rPr>
          <w:lang w:eastAsia="x-none"/>
        </w:rPr>
        <w:t>provides</w:t>
      </w:r>
      <w:r w:rsidRPr="007755F4">
        <w:rPr>
          <w:lang w:eastAsia="x-none"/>
        </w:rPr>
        <w:t xml:space="preserve"> the EDCs and their evaluation contractors with guidance for calculating peak demand savings from their EE&amp;C plans in </w:t>
      </w:r>
      <w:r w:rsidR="00A412AF">
        <w:rPr>
          <w:lang w:eastAsia="x-none"/>
        </w:rPr>
        <w:t>PY</w:t>
      </w:r>
      <w:r w:rsidRPr="007755F4">
        <w:rPr>
          <w:lang w:eastAsia="x-none"/>
        </w:rPr>
        <w:t>5.</w:t>
      </w:r>
    </w:p>
    <w:p w:rsidR="00B72B14" w:rsidRDefault="00B72B14" w:rsidP="00B72B14">
      <w:pPr>
        <w:rPr>
          <w:lang w:eastAsia="x-none"/>
        </w:rPr>
      </w:pPr>
    </w:p>
    <w:p w:rsidR="00B72B14" w:rsidRDefault="00B72B14" w:rsidP="00B72B14">
      <w:pPr>
        <w:pStyle w:val="AppendixEHeading2"/>
        <w:ind w:left="0"/>
      </w:pPr>
      <w:r>
        <w:t>GM-023</w:t>
      </w:r>
      <w:r w:rsidR="00552581">
        <w:t xml:space="preserve">: </w:t>
      </w:r>
      <w:r w:rsidRPr="001F1C17">
        <w:t>CFL Bulbs with Lumen Range Outside of EISA</w:t>
      </w:r>
    </w:p>
    <w:p w:rsidR="00B72B14" w:rsidRDefault="00B72B14" w:rsidP="00B72B14">
      <w:r>
        <w:t>This memo clarifies</w:t>
      </w:r>
      <w:r w:rsidRPr="005029A7">
        <w:t xml:space="preserve"> an issue that was identified in the 2013 TRM Residential Lighting section. Some implementers are offering standard (i.e., general service lamp) CFLs with lumen ranges outside of EISA requirements (e.g., &gt;2600 lumens) and are unsure how to determine the appropriate baseline for these bulbs.</w:t>
      </w:r>
      <w:r>
        <w:t xml:space="preserve"> Guidance is provided to address this issue.</w:t>
      </w:r>
    </w:p>
    <w:p w:rsidR="00B72B14" w:rsidRPr="001F1C17" w:rsidRDefault="00B72B14" w:rsidP="00B72B14"/>
    <w:p w:rsidR="00B72B14" w:rsidRPr="001A6A4D" w:rsidRDefault="00B72B14" w:rsidP="00B72B14">
      <w:pPr>
        <w:pStyle w:val="AppendixEHeading2"/>
        <w:ind w:left="0"/>
      </w:pPr>
      <w:r w:rsidRPr="001A6A4D">
        <w:t>GM-024</w:t>
      </w:r>
      <w:r w:rsidR="00552581">
        <w:t xml:space="preserve">: </w:t>
      </w:r>
      <w:r w:rsidRPr="001A6A4D">
        <w:t>Consistent N</w:t>
      </w:r>
      <w:r>
        <w:t>et-to-</w:t>
      </w:r>
      <w:r w:rsidRPr="001A6A4D">
        <w:t>G</w:t>
      </w:r>
      <w:r>
        <w:t>ross</w:t>
      </w:r>
      <w:r w:rsidRPr="001A6A4D">
        <w:t xml:space="preserve"> Method for EDCs</w:t>
      </w:r>
    </w:p>
    <w:p w:rsidR="00B72B14" w:rsidRDefault="00B72B14" w:rsidP="00B72B14">
      <w:pPr>
        <w:rPr>
          <w:lang w:eastAsia="x-none"/>
        </w:rPr>
      </w:pPr>
      <w:r w:rsidRPr="001A6A4D">
        <w:rPr>
          <w:lang w:eastAsia="x-none"/>
        </w:rPr>
        <w:t>This memo provides an approach for EDCs to calculate NTG.</w:t>
      </w:r>
    </w:p>
    <w:p w:rsidR="00B72B14" w:rsidRDefault="00B72B14" w:rsidP="00B72B14">
      <w:pPr>
        <w:rPr>
          <w:lang w:eastAsia="x-none"/>
        </w:rPr>
      </w:pPr>
    </w:p>
    <w:p w:rsidR="00B72B14" w:rsidRPr="001A6A4D" w:rsidRDefault="00B72B14" w:rsidP="00B72B14">
      <w:pPr>
        <w:pStyle w:val="AppendixEHeading2"/>
        <w:ind w:left="0"/>
      </w:pPr>
      <w:r>
        <w:t>GM-025</w:t>
      </w:r>
      <w:r w:rsidR="00552581">
        <w:t xml:space="preserve">: </w:t>
      </w:r>
      <w:r w:rsidRPr="001A6A4D">
        <w:t xml:space="preserve">Consistent </w:t>
      </w:r>
      <w:r>
        <w:t>Spillover</w:t>
      </w:r>
      <w:r w:rsidRPr="001A6A4D">
        <w:t xml:space="preserve"> Method for EDCs</w:t>
      </w:r>
    </w:p>
    <w:p w:rsidR="00B72B14" w:rsidRDefault="00B72B14" w:rsidP="00B72B14">
      <w:pPr>
        <w:rPr>
          <w:lang w:eastAsia="x-none"/>
        </w:rPr>
      </w:pPr>
      <w:r w:rsidRPr="001A6A4D">
        <w:rPr>
          <w:lang w:eastAsia="x-none"/>
        </w:rPr>
        <w:t xml:space="preserve">This memo provides an approach for EDCs to calculate </w:t>
      </w:r>
      <w:r w:rsidR="00A412AF">
        <w:rPr>
          <w:lang w:eastAsia="x-none"/>
        </w:rPr>
        <w:t>spillover</w:t>
      </w:r>
      <w:r>
        <w:rPr>
          <w:lang w:eastAsia="x-none"/>
        </w:rPr>
        <w:t>.</w:t>
      </w:r>
    </w:p>
    <w:p w:rsidR="00B72B14" w:rsidRDefault="00B72B14" w:rsidP="00B72B14">
      <w:pPr>
        <w:rPr>
          <w:lang w:eastAsia="x-none"/>
        </w:rPr>
      </w:pPr>
    </w:p>
    <w:p w:rsidR="00B72B14" w:rsidRPr="00B84A5C" w:rsidRDefault="00B72B14" w:rsidP="00B72B14">
      <w:pPr>
        <w:pStyle w:val="AppendixEHeading2"/>
        <w:ind w:left="0"/>
      </w:pPr>
      <w:r w:rsidRPr="00B84A5C">
        <w:t>GM-026</w:t>
      </w:r>
      <w:r w:rsidR="00552581">
        <w:t xml:space="preserve">: </w:t>
      </w:r>
      <w:r w:rsidRPr="00B84A5C">
        <w:t xml:space="preserve">Appliance Retirement Programs (ARP) NTG Method </w:t>
      </w:r>
    </w:p>
    <w:p w:rsidR="00B72B14" w:rsidRDefault="00B72B14" w:rsidP="00B72B14">
      <w:pPr>
        <w:rPr>
          <w:lang w:eastAsia="x-none"/>
        </w:rPr>
      </w:pPr>
      <w:r w:rsidRPr="001A6A4D">
        <w:rPr>
          <w:lang w:eastAsia="x-none"/>
        </w:rPr>
        <w:t xml:space="preserve">This memo provides an approach for EDCs to calculate </w:t>
      </w:r>
      <w:r>
        <w:rPr>
          <w:lang w:eastAsia="x-none"/>
        </w:rPr>
        <w:t>NTG for appliance recycling programs.</w:t>
      </w:r>
    </w:p>
    <w:p w:rsidR="00B72B14" w:rsidRDefault="00B72B14" w:rsidP="00B72B14">
      <w:pPr>
        <w:rPr>
          <w:lang w:eastAsia="x-none"/>
        </w:rPr>
      </w:pPr>
    </w:p>
    <w:p w:rsidR="00B72B14" w:rsidRPr="00B84A5C" w:rsidRDefault="00B72B14" w:rsidP="00B72B14">
      <w:pPr>
        <w:pStyle w:val="AppendixEHeading2"/>
        <w:ind w:left="0"/>
      </w:pPr>
      <w:r w:rsidRPr="00B84A5C">
        <w:t>GM-027</w:t>
      </w:r>
      <w:r w:rsidR="00552581">
        <w:t xml:space="preserve">: </w:t>
      </w:r>
      <w:r w:rsidRPr="00B84A5C">
        <w:t>Data Source Consistency in Non-Residential Lighting Savings Calculations</w:t>
      </w:r>
    </w:p>
    <w:p w:rsidR="00B72B14" w:rsidRDefault="00B72B14" w:rsidP="00B72B14">
      <w:r w:rsidRPr="001A6A4D">
        <w:t xml:space="preserve">This memo provides </w:t>
      </w:r>
      <w:r>
        <w:t xml:space="preserve">guidance on how to calculate </w:t>
      </w:r>
      <w:r w:rsidR="00A412AF">
        <w:t xml:space="preserve">site-specific CFs </w:t>
      </w:r>
      <w:r>
        <w:t>based on HOU and in the instance where that information is not available, provides guidance on using the TRM.</w:t>
      </w:r>
    </w:p>
    <w:p w:rsidR="00B72B14" w:rsidRDefault="00B72B14" w:rsidP="00B72B14"/>
    <w:p w:rsidR="00B72B14" w:rsidRPr="00400B9F" w:rsidRDefault="00B72B14" w:rsidP="00B72B14">
      <w:pPr>
        <w:pStyle w:val="AppendixEHeading2"/>
        <w:ind w:left="0"/>
      </w:pPr>
      <w:r w:rsidRPr="00400B9F">
        <w:t>GM-028</w:t>
      </w:r>
      <w:r w:rsidR="00552581">
        <w:t xml:space="preserve">: </w:t>
      </w:r>
      <w:r w:rsidRPr="00400B9F">
        <w:t>ARP TRM 2015 Clarification</w:t>
      </w:r>
    </w:p>
    <w:p w:rsidR="00B72B14" w:rsidRDefault="00B72B14" w:rsidP="00B72B14">
      <w:r w:rsidRPr="001A6A4D">
        <w:t xml:space="preserve">This memo </w:t>
      </w:r>
      <w:r>
        <w:t xml:space="preserve">provides clarity </w:t>
      </w:r>
      <w:r w:rsidR="00A412AF">
        <w:t>on</w:t>
      </w:r>
      <w:r>
        <w:t xml:space="preserve"> </w:t>
      </w:r>
      <w:r w:rsidRPr="00400B9F">
        <w:t>an issue that was identified in the 2015 TRM Residential Refrigerator/Freezer Recycling with and without Replacement section (2.4.3 of the 2015 TRM). Because the program theory and logic for appliance retirement differs significantly from standard “downstream” incentive programs (which typically offer rebates for the purchase of efficient products)</w:t>
      </w:r>
      <w:r w:rsidR="00A412AF">
        <w:t>,</w:t>
      </w:r>
      <w:r w:rsidRPr="00400B9F">
        <w:t xml:space="preserve"> the approach to estimating gross and net impacts (including free-ridership and induced replacement) is also significantly different. The 2015 Pennsylvania TRM provides both gross and net (free</w:t>
      </w:r>
      <w:r w:rsidR="00A412AF">
        <w:t>-</w:t>
      </w:r>
      <w:r w:rsidRPr="00400B9F">
        <w:t xml:space="preserve">ridership and secondary market impacts) savings for these measures. These sections closely follow the recommended methodology from U.S. </w:t>
      </w:r>
      <w:r w:rsidR="00A412AF">
        <w:t>DOE UMP</w:t>
      </w:r>
      <w:r w:rsidRPr="00400B9F">
        <w:t xml:space="preserve"> Protocol for Refrigerator Retirement.</w:t>
      </w:r>
    </w:p>
    <w:p w:rsidR="00B72B14" w:rsidRDefault="00B72B14" w:rsidP="00B72B14">
      <w:r w:rsidRPr="00400B9F">
        <w:t xml:space="preserve">  </w:t>
      </w:r>
    </w:p>
    <w:p w:rsidR="00B72B14" w:rsidRPr="00DB540B" w:rsidRDefault="00B72B14" w:rsidP="00B72B14">
      <w:pPr>
        <w:pStyle w:val="AppendixEHeading2"/>
        <w:ind w:left="0"/>
      </w:pPr>
      <w:r>
        <w:t>GM-029</w:t>
      </w:r>
      <w:r w:rsidR="00552581">
        <w:t xml:space="preserve">: </w:t>
      </w:r>
      <w:r w:rsidRPr="00080F66">
        <w:t>TRM Guideline for De</w:t>
      </w:r>
      <w:r>
        <w:t xml:space="preserve"> </w:t>
      </w:r>
      <w:r w:rsidRPr="00080F66">
        <w:t xml:space="preserve">Facto Heating Measure – </w:t>
      </w:r>
      <w:r>
        <w:t>NTG Guidance</w:t>
      </w:r>
    </w:p>
    <w:p w:rsidR="00B72B14" w:rsidRDefault="00B72B14" w:rsidP="00B72B14">
      <w:r w:rsidRPr="00DB540B">
        <w:t xml:space="preserve">During the process of creating the Draft 2016 TRM, PPL submitted an IMP modifying two existing residential TRM measures: Electric HVAC (2.2.1) and Ductless Mini-split Heat Pumps (2.2.3). The modifications introduced a new baseline to both measures where a customer without natural gas service has a broken-beyond-repair oil heating system and is heating their home with portable electric space heaters (referred to as de facto heating). Such a situation provides opportunity for substantial electricity savings by replacing the </w:t>
      </w:r>
      <w:r w:rsidR="00233FD8">
        <w:t xml:space="preserve">broken-beyond-repair oil heating system and portable electric space heaters </w:t>
      </w:r>
      <w:r w:rsidRPr="00DB540B">
        <w:t xml:space="preserve">with either a </w:t>
      </w:r>
      <w:r w:rsidR="003B7840">
        <w:t>DHP</w:t>
      </w:r>
      <w:r w:rsidRPr="00DB540B">
        <w:t xml:space="preserve"> or central ASHP. However, there may be cases where a customer does not currently have air conditioning and the installation of an ASHP </w:t>
      </w:r>
      <w:r w:rsidR="00233FD8">
        <w:t>or a DHP</w:t>
      </w:r>
      <w:r w:rsidRPr="00DB540B">
        <w:t xml:space="preserve"> introduces an additional summer cooling load that was not present before. In these cases</w:t>
      </w:r>
      <w:r>
        <w:t>,</w:t>
      </w:r>
      <w:r w:rsidRPr="00DB540B">
        <w:t xml:space="preserve"> the additional cooling load and peak demand have been induced by the </w:t>
      </w:r>
      <w:r w:rsidR="002317CF">
        <w:t xml:space="preserve">energy efficiency </w:t>
      </w:r>
      <w:r w:rsidR="00A412AF">
        <w:t>program and, therefore, the n</w:t>
      </w:r>
      <w:r w:rsidRPr="00DB540B">
        <w:t xml:space="preserve">et savings from the implementation of this measure needs to reflect this. As the </w:t>
      </w:r>
      <w:r w:rsidR="00A412AF">
        <w:t>Pennsylvania TRM only presents g</w:t>
      </w:r>
      <w:r w:rsidRPr="00DB540B">
        <w:t xml:space="preserve">ross savings calculations and values, the purpose of this memo is to supplement the two affected measures in the TRM and provide guidance on calculating </w:t>
      </w:r>
      <w:r w:rsidR="00A412AF">
        <w:t>n</w:t>
      </w:r>
      <w:r w:rsidRPr="00DB540B">
        <w:t>et savings when de facto heating is the baseline</w:t>
      </w:r>
      <w:r>
        <w:t>.</w:t>
      </w:r>
    </w:p>
    <w:p w:rsidR="00B72B14" w:rsidRPr="00B72B14" w:rsidRDefault="00B72B14" w:rsidP="00B72B14"/>
    <w:p w:rsidR="00B72B14" w:rsidRDefault="00B72B14" w:rsidP="00E45861">
      <w:pPr>
        <w:pStyle w:val="AppendixEHeading1"/>
      </w:pPr>
      <w:r>
        <w:t>Technical Reference Manuals</w:t>
      </w:r>
    </w:p>
    <w:p w:rsidR="00B72B14" w:rsidRPr="00B72B14" w:rsidRDefault="00B72B14" w:rsidP="00170843">
      <w:pPr>
        <w:spacing w:after="120"/>
      </w:pPr>
      <w:r w:rsidRPr="00B72B14">
        <w:t xml:space="preserve">The </w:t>
      </w:r>
      <w:r w:rsidR="00A412AF">
        <w:t>TRMs</w:t>
      </w:r>
      <w:r w:rsidRPr="00B72B14">
        <w:t xml:space="preserve"> are the basis of energy saving</w:t>
      </w:r>
      <w:r w:rsidR="00A412AF">
        <w:t>s</w:t>
      </w:r>
      <w:r w:rsidRPr="00B72B14">
        <w:t xml:space="preserve"> measure details and guide</w:t>
      </w:r>
      <w:r w:rsidR="00A412AF">
        <w:t>lines required for the SWE, EDC</w:t>
      </w:r>
      <w:r w:rsidRPr="00B72B14">
        <w:t>s, TUS, and other involved parties in order to successfully administer Act 129. Included below are the relevant TRMs for Phase II:</w:t>
      </w:r>
    </w:p>
    <w:p w:rsidR="00B72B14" w:rsidRDefault="00B72B14" w:rsidP="00B72B14">
      <w:pPr>
        <w:pStyle w:val="AppendixEHeading2"/>
        <w:ind w:left="0"/>
      </w:pPr>
      <w:r>
        <w:t>2014 Technical Reference Manual</w:t>
      </w:r>
      <w:r>
        <w:rPr>
          <w:rStyle w:val="FootnoteReference"/>
        </w:rPr>
        <w:footnoteReference w:id="86"/>
      </w:r>
    </w:p>
    <w:p w:rsidR="00B72B14" w:rsidRPr="00500D10" w:rsidRDefault="00B72B14" w:rsidP="00B72B14">
      <w:pPr>
        <w:pStyle w:val="AppendixEHeading2"/>
        <w:ind w:left="0"/>
      </w:pPr>
      <w:r>
        <w:t>2015 Technical Reference Manual</w:t>
      </w:r>
      <w:r>
        <w:rPr>
          <w:rStyle w:val="FootnoteReference"/>
        </w:rPr>
        <w:footnoteReference w:id="87"/>
      </w:r>
    </w:p>
    <w:p w:rsidR="00B72B14" w:rsidRDefault="00B72B14" w:rsidP="00B72B14">
      <w:pPr>
        <w:pStyle w:val="AppendixEHeading2"/>
        <w:ind w:left="0"/>
      </w:pPr>
      <w:r>
        <w:t>2016 Technical Reference Manual</w:t>
      </w:r>
      <w:r>
        <w:rPr>
          <w:rStyle w:val="FootnoteReference"/>
        </w:rPr>
        <w:footnoteReference w:id="88"/>
      </w:r>
    </w:p>
    <w:p w:rsidR="00B72B14" w:rsidRPr="00B72B14" w:rsidRDefault="00B72B14" w:rsidP="00B72B14"/>
    <w:p w:rsidR="00B72B14" w:rsidRDefault="00B72B14" w:rsidP="00E45861">
      <w:pPr>
        <w:pStyle w:val="AppendixEHeading1"/>
      </w:pPr>
      <w:r>
        <w:t>SWE Annual Reports</w:t>
      </w:r>
    </w:p>
    <w:p w:rsidR="00B72B14" w:rsidRDefault="00B72B14" w:rsidP="00170843">
      <w:pPr>
        <w:spacing w:after="120"/>
      </w:pPr>
      <w:r>
        <w:t xml:space="preserve">The </w:t>
      </w:r>
      <w:r w:rsidR="00A412AF">
        <w:t>SWE</w:t>
      </w:r>
      <w:r>
        <w:t xml:space="preserve"> annual reports are the summation of the SWE </w:t>
      </w:r>
      <w:r w:rsidR="00A412AF">
        <w:t>T</w:t>
      </w:r>
      <w:r>
        <w:t>eam’s findings for the given program year, with a focus on the cost</w:t>
      </w:r>
      <w:r w:rsidR="00A412AF">
        <w:t>-</w:t>
      </w:r>
      <w:r>
        <w:t>effectiveness and viability of the current program standards.  The report</w:t>
      </w:r>
      <w:r w:rsidR="00A412AF">
        <w:t>s</w:t>
      </w:r>
      <w:r>
        <w:t xml:space="preserve"> address the TRM standards and implementation success, as well as feedback from the seven EDCs involved in the program year.  The SWE </w:t>
      </w:r>
      <w:r w:rsidR="00A412AF">
        <w:t>a</w:t>
      </w:r>
      <w:r>
        <w:t xml:space="preserve">nnual </w:t>
      </w:r>
      <w:r w:rsidR="00A412AF">
        <w:t>r</w:t>
      </w:r>
      <w:r>
        <w:t>eports applicable to Phase II are listed here:</w:t>
      </w:r>
    </w:p>
    <w:p w:rsidR="00B72B14" w:rsidRDefault="00B72B14" w:rsidP="00B72B14">
      <w:pPr>
        <w:pStyle w:val="AppendixEHeading2"/>
        <w:ind w:left="0"/>
      </w:pPr>
      <w:r>
        <w:t>SWE Annual Report for Program Year 5: June 1, 2013 – May 31, 2014</w:t>
      </w:r>
      <w:r>
        <w:rPr>
          <w:rStyle w:val="FootnoteReference"/>
        </w:rPr>
        <w:footnoteReference w:id="89"/>
      </w:r>
    </w:p>
    <w:p w:rsidR="00B72B14" w:rsidRDefault="00B72B14" w:rsidP="00B72B14">
      <w:pPr>
        <w:pStyle w:val="AppendixEHeading2"/>
        <w:ind w:left="0"/>
      </w:pPr>
      <w:r>
        <w:t>SWE Annual Report for Program Year 6: June 1, 2014 – May 31, 2015</w:t>
      </w:r>
      <w:r>
        <w:rPr>
          <w:rStyle w:val="FootnoteReference"/>
        </w:rPr>
        <w:footnoteReference w:id="90"/>
      </w:r>
    </w:p>
    <w:p w:rsidR="00B72B14" w:rsidRDefault="00B72B14" w:rsidP="00B72B14">
      <w:pPr>
        <w:pStyle w:val="AppendixEHeading2"/>
        <w:ind w:left="0"/>
      </w:pPr>
      <w:r>
        <w:t>SWE Annual Report for Program Year 7: June 1, 2015 – May 31, 2016</w:t>
      </w:r>
    </w:p>
    <w:p w:rsidR="00B72B14" w:rsidRPr="00B72B14" w:rsidRDefault="00B72B14" w:rsidP="00B72B14"/>
    <w:p w:rsidR="00B72B14" w:rsidRPr="00B72B14" w:rsidRDefault="00B72B14" w:rsidP="00E45861">
      <w:pPr>
        <w:pStyle w:val="AppendixEHeading1"/>
      </w:pPr>
      <w:r>
        <w:t>Monthly Progress Reports</w:t>
      </w:r>
    </w:p>
    <w:p w:rsidR="00656920" w:rsidRDefault="00B72B14" w:rsidP="00170843">
      <w:pPr>
        <w:spacing w:after="120"/>
      </w:pPr>
      <w:r w:rsidRPr="00B72B14">
        <w:t>The monthly progress re</w:t>
      </w:r>
      <w:r w:rsidR="00A412AF">
        <w:t>ports are developed by the SWE T</w:t>
      </w:r>
      <w:r w:rsidRPr="00B72B14">
        <w:t>eam and submitted to the PA PUC following the month to which they are applicable. Items typically covered in these reports are major protocol discussions with regard to the TRM, important audit activity for the program year, and communication of the schedule for reporting as required.  Monthly progress reports are grouped by program years</w:t>
      </w:r>
      <w:r>
        <w:t>:</w:t>
      </w:r>
    </w:p>
    <w:p w:rsidR="00B72B14" w:rsidRDefault="00B72B14" w:rsidP="00B72B14">
      <w:pPr>
        <w:pStyle w:val="AppendixEHeading2"/>
        <w:ind w:left="0"/>
      </w:pPr>
      <w:r>
        <w:t>SWE Monthly Progress Reports, Program Year 5: June 1, 2013 – May 31, 2014</w:t>
      </w:r>
    </w:p>
    <w:p w:rsidR="00B72B14" w:rsidRDefault="00B72B14" w:rsidP="00B72B14">
      <w:pPr>
        <w:pStyle w:val="AppendixEHeading2"/>
        <w:ind w:left="0"/>
      </w:pPr>
      <w:r w:rsidRPr="00B72B14">
        <w:t>SWE Monthly Progress Reports, Program Year 6: June 1, 2014 – May 31, 2015</w:t>
      </w:r>
    </w:p>
    <w:p w:rsidR="00B72B14" w:rsidRDefault="00B72B14" w:rsidP="00B72B14">
      <w:pPr>
        <w:pStyle w:val="AppendixEHeading2"/>
        <w:ind w:left="0"/>
      </w:pPr>
      <w:r w:rsidRPr="00B72B14">
        <w:t>SWE Monthly Progress Reports, Program Year 7: June 1, 2015 – May 31, 2016</w:t>
      </w:r>
    </w:p>
    <w:p w:rsidR="005B449E" w:rsidRPr="006C0F17" w:rsidRDefault="005B449E" w:rsidP="006C0F17">
      <w:bookmarkStart w:id="1428" w:name="_Ref318788049"/>
      <w:bookmarkStart w:id="1429" w:name="_Toc330455722"/>
      <w:bookmarkStart w:id="1430" w:name="_Toc405557307"/>
      <w:bookmarkEnd w:id="1407"/>
      <w:bookmarkEnd w:id="1408"/>
      <w:bookmarkEnd w:id="1409"/>
    </w:p>
    <w:p w:rsidR="00496B5C" w:rsidRPr="0022503E" w:rsidRDefault="00496B5C" w:rsidP="00472B27">
      <w:pPr>
        <w:pStyle w:val="Heading1"/>
        <w:numPr>
          <w:ilvl w:val="0"/>
          <w:numId w:val="0"/>
        </w:numPr>
      </w:pPr>
      <w:bookmarkStart w:id="1431" w:name="_Toc409224941"/>
      <w:bookmarkStart w:id="1432" w:name="_Toc409443526"/>
      <w:bookmarkStart w:id="1433" w:name="_Toc412719891"/>
      <w:bookmarkStart w:id="1434" w:name="_Toc472472151"/>
      <w:bookmarkStart w:id="1435" w:name="_Toc476913963"/>
      <w:r w:rsidRPr="0022503E">
        <w:t xml:space="preserve">Appendix </w:t>
      </w:r>
      <w:r w:rsidR="001F3727">
        <w:t>F</w:t>
      </w:r>
      <w:r w:rsidR="005F5705">
        <w:t>|</w:t>
      </w:r>
      <w:r w:rsidRPr="0022503E">
        <w:t xml:space="preserve"> Glossary of Terms</w:t>
      </w:r>
      <w:bookmarkEnd w:id="1428"/>
      <w:bookmarkEnd w:id="1429"/>
      <w:bookmarkEnd w:id="1430"/>
      <w:bookmarkEnd w:id="1431"/>
      <w:bookmarkEnd w:id="1432"/>
      <w:bookmarkEnd w:id="1433"/>
      <w:bookmarkEnd w:id="1434"/>
      <w:bookmarkEnd w:id="1435"/>
    </w:p>
    <w:p w:rsidR="005361D4" w:rsidRPr="005361D4" w:rsidRDefault="005361D4"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5361D4">
        <w:rPr>
          <w:rFonts w:ascii="Century Gothic" w:hAnsi="Century Gothic"/>
          <w:b/>
          <w:bCs/>
          <w:color w:val="448A99"/>
          <w:sz w:val="28"/>
          <w:lang w:bidi="en-US"/>
        </w:rPr>
        <w:t>-A-</w:t>
      </w:r>
    </w:p>
    <w:p w:rsidR="00FF409E" w:rsidRDefault="006F1BB6" w:rsidP="00000FEE">
      <w:pPr>
        <w:widowControl w:val="0"/>
        <w:rPr>
          <w:lang w:bidi="en-US"/>
        </w:rPr>
      </w:pPr>
      <w:r>
        <w:rPr>
          <w:rFonts w:ascii="Century Gothic" w:hAnsi="Century Gothic"/>
          <w:b/>
          <w:bCs/>
          <w:sz w:val="24"/>
          <w:lang w:bidi="en-US"/>
        </w:rPr>
        <w:t>Accuracy</w:t>
      </w:r>
      <w:r w:rsidR="00FF409E" w:rsidRPr="006F1BB6">
        <w:rPr>
          <w:rFonts w:ascii="Century Gothic" w:hAnsi="Century Gothic"/>
          <w:sz w:val="24"/>
          <w:lang w:bidi="en-US"/>
        </w:rPr>
        <w:t>:</w:t>
      </w:r>
      <w:r w:rsidR="00FF409E" w:rsidRPr="006F1BB6">
        <w:rPr>
          <w:sz w:val="24"/>
          <w:lang w:bidi="en-US"/>
        </w:rPr>
        <w:t xml:space="preserve"> </w:t>
      </w:r>
      <w:r w:rsidR="00FF409E" w:rsidRPr="00FF409E">
        <w:rPr>
          <w:lang w:bidi="en-US"/>
        </w:rPr>
        <w:t>An indication of how close a value is to the true value of the quantity in question. The term can also be used in reference to a model or a set of measured data, or to describe a measuring instrument’s capability.</w:t>
      </w:r>
    </w:p>
    <w:p w:rsidR="00FF409E" w:rsidRPr="00FF409E" w:rsidRDefault="00FF409E" w:rsidP="00000FEE">
      <w:pPr>
        <w:widowControl w:val="0"/>
        <w:rPr>
          <w:lang w:bidi="en-US"/>
        </w:rPr>
      </w:pPr>
    </w:p>
    <w:p w:rsidR="009C3614" w:rsidRDefault="006F1BB6" w:rsidP="00000FEE">
      <w:pPr>
        <w:widowControl w:val="0"/>
        <w:rPr>
          <w:rFonts w:ascii="Calibri-Bold" w:eastAsiaTheme="minorEastAsia" w:hAnsi="Calibri-Bold" w:cs="Calibri-Bold"/>
          <w:b/>
          <w:bCs/>
          <w:lang w:bidi="en-US"/>
        </w:rPr>
      </w:pPr>
      <w:r>
        <w:rPr>
          <w:rFonts w:ascii="Century Gothic" w:hAnsi="Century Gothic"/>
          <w:b/>
          <w:bCs/>
          <w:sz w:val="24"/>
          <w:lang w:bidi="en-US"/>
        </w:rPr>
        <w:t>Achievable Potential</w:t>
      </w:r>
      <w:r w:rsidR="00FF409E" w:rsidRPr="006F1BB6">
        <w:rPr>
          <w:rFonts w:ascii="Century Gothic" w:hAnsi="Century Gothic"/>
          <w:sz w:val="24"/>
          <w:lang w:bidi="en-US"/>
        </w:rPr>
        <w:t>:</w:t>
      </w:r>
      <w:r w:rsidR="00FF409E" w:rsidRPr="006F1BB6">
        <w:rPr>
          <w:sz w:val="24"/>
          <w:lang w:bidi="en-US"/>
        </w:rPr>
        <w:t xml:space="preserve"> </w:t>
      </w:r>
      <w:r w:rsidR="00FF409E" w:rsidRPr="00FF409E">
        <w:rPr>
          <w:lang w:bidi="en-US"/>
        </w:rPr>
        <w:t>The amount of energy use that efficiency can realistically be expected to displace, assuming the most aggressive program scenario possible (e.g., providing end</w:t>
      </w:r>
      <w:r w:rsidR="00973929">
        <w:rPr>
          <w:lang w:bidi="en-US"/>
        </w:rPr>
        <w:t xml:space="preserve"> </w:t>
      </w:r>
      <w:r w:rsidR="00FF409E" w:rsidRPr="00FF409E">
        <w:rPr>
          <w:lang w:bidi="en-US"/>
        </w:rPr>
        <w:t>users with payments for the entire incremental cost of more</w:t>
      </w:r>
      <w:r w:rsidR="00A412AF">
        <w:rPr>
          <w:lang w:bidi="en-US"/>
        </w:rPr>
        <w:t xml:space="preserve"> </w:t>
      </w:r>
      <w:r w:rsidR="00FF409E" w:rsidRPr="00FF409E">
        <w:rPr>
          <w:lang w:bidi="en-US"/>
        </w:rPr>
        <w:t>efficient equipment). This is often referred to as maximum achievable potential. Achievable potential takes into account real-world barriers to convincing end</w:t>
      </w:r>
      <w:r w:rsidR="00973929">
        <w:rPr>
          <w:lang w:bidi="en-US"/>
        </w:rPr>
        <w:t xml:space="preserve"> </w:t>
      </w:r>
      <w:r w:rsidR="00FF409E" w:rsidRPr="00FF409E">
        <w:rPr>
          <w:lang w:bidi="en-US"/>
        </w:rPr>
        <w:t>users to adopt efficiency measures, the non-measure costs of delivering programs (for administration, marketing, tracking systems, monitoring and evaluation, etc.), and the capability of programs and administrators to ramp up program activity over time.</w:t>
      </w:r>
      <w:r w:rsidR="00FF409E" w:rsidRPr="00FF409E">
        <w:rPr>
          <w:rFonts w:ascii="Calibri-Bold" w:eastAsiaTheme="minorEastAsia" w:hAnsi="Calibri-Bold" w:cs="Calibri-Bold"/>
          <w:b/>
          <w:bCs/>
          <w:lang w:bidi="en-US"/>
        </w:rPr>
        <w:t xml:space="preserve"> </w:t>
      </w:r>
    </w:p>
    <w:p w:rsidR="009C3614" w:rsidRDefault="009C3614" w:rsidP="00000FEE">
      <w:pPr>
        <w:widowControl w:val="0"/>
        <w:rPr>
          <w:rFonts w:ascii="Calibri-Bold" w:eastAsiaTheme="minorEastAsia" w:hAnsi="Calibri-Bold" w:cs="Calibri-Bold"/>
          <w:b/>
          <w:bCs/>
          <w:lang w:bidi="en-US"/>
        </w:rPr>
      </w:pPr>
    </w:p>
    <w:p w:rsidR="00FF409E" w:rsidRDefault="006F1BB6" w:rsidP="00000FEE">
      <w:pPr>
        <w:widowControl w:val="0"/>
        <w:rPr>
          <w:lang w:bidi="en-US"/>
        </w:rPr>
      </w:pPr>
      <w:r>
        <w:rPr>
          <w:rFonts w:ascii="Century Gothic" w:hAnsi="Century Gothic"/>
          <w:b/>
          <w:bCs/>
          <w:sz w:val="24"/>
          <w:lang w:bidi="en-US"/>
        </w:rPr>
        <w:t>Adjustments</w:t>
      </w:r>
      <w:r w:rsidR="00FF409E" w:rsidRPr="006F1BB6">
        <w:rPr>
          <w:rFonts w:ascii="Century Gothic" w:hAnsi="Century Gothic"/>
          <w:sz w:val="24"/>
          <w:lang w:bidi="en-US"/>
        </w:rPr>
        <w:t>:</w:t>
      </w:r>
      <w:r w:rsidR="00FF409E" w:rsidRPr="00FF409E">
        <w:rPr>
          <w:lang w:bidi="en-US"/>
        </w:rPr>
        <w:t xml:space="preserve"> For M&amp;V analyses, factors that modify baseline energy or demand values to account for independent variable values (conditions) in the reporting period.</w:t>
      </w:r>
    </w:p>
    <w:p w:rsidR="00FF409E" w:rsidRPr="00FF409E" w:rsidRDefault="00FF409E" w:rsidP="00000FEE">
      <w:pPr>
        <w:widowControl w:val="0"/>
        <w:rPr>
          <w:lang w:bidi="en-US"/>
        </w:rPr>
      </w:pPr>
    </w:p>
    <w:p w:rsidR="00FF409E" w:rsidRDefault="006F1BB6" w:rsidP="00000FEE">
      <w:pPr>
        <w:widowControl w:val="0"/>
        <w:rPr>
          <w:lang w:bidi="en-US"/>
        </w:rPr>
      </w:pPr>
      <w:r>
        <w:rPr>
          <w:rFonts w:ascii="Century Gothic" w:hAnsi="Century Gothic"/>
          <w:b/>
          <w:bCs/>
          <w:sz w:val="24"/>
          <w:lang w:bidi="en-US"/>
        </w:rPr>
        <w:t>Administrator</w:t>
      </w:r>
      <w:r w:rsidR="00FF409E" w:rsidRPr="006F1BB6">
        <w:rPr>
          <w:rFonts w:ascii="Century Gothic" w:hAnsi="Century Gothic"/>
          <w:sz w:val="24"/>
          <w:lang w:bidi="en-US"/>
        </w:rPr>
        <w:t>:</w:t>
      </w:r>
      <w:r w:rsidR="00FF409E" w:rsidRPr="00FF409E">
        <w:rPr>
          <w:lang w:bidi="en-US"/>
        </w:rPr>
        <w:t xml:space="preserve"> </w:t>
      </w:r>
      <w:r w:rsidR="00A412AF" w:rsidRPr="00A412AF">
        <w:rPr>
          <w:lang w:bidi="en-US"/>
        </w:rPr>
        <w:t>A person, company, partnership, corporation, association, or other entity selected by the EDC, and any subcontractor who is retained by an aforesaid entity to contract for and administer energy efficiency programs under Act 129</w:t>
      </w:r>
      <w:r w:rsidR="00FF409E" w:rsidRPr="00FF409E">
        <w:rPr>
          <w:lang w:bidi="en-US"/>
        </w:rPr>
        <w:t>.</w:t>
      </w:r>
    </w:p>
    <w:p w:rsidR="00FF409E" w:rsidRDefault="00FF409E" w:rsidP="00000FEE">
      <w:pPr>
        <w:widowControl w:val="0"/>
        <w:rPr>
          <w:lang w:bidi="en-US"/>
        </w:rPr>
      </w:pPr>
    </w:p>
    <w:p w:rsidR="005361D4" w:rsidRPr="005361D4" w:rsidRDefault="005361D4"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5361D4">
        <w:rPr>
          <w:rFonts w:ascii="Century Gothic" w:hAnsi="Century Gothic"/>
          <w:b/>
          <w:bCs/>
          <w:color w:val="448A99"/>
          <w:sz w:val="28"/>
          <w:lang w:bidi="en-US"/>
        </w:rPr>
        <w:t>-</w:t>
      </w:r>
      <w:r>
        <w:rPr>
          <w:rFonts w:ascii="Century Gothic" w:hAnsi="Century Gothic"/>
          <w:b/>
          <w:bCs/>
          <w:color w:val="448A99"/>
          <w:sz w:val="28"/>
          <w:lang w:bidi="en-US"/>
        </w:rPr>
        <w:t>B</w:t>
      </w:r>
      <w:r w:rsidRPr="005361D4">
        <w:rPr>
          <w:rFonts w:ascii="Century Gothic" w:hAnsi="Century Gothic"/>
          <w:b/>
          <w:bCs/>
          <w:color w:val="448A99"/>
          <w:sz w:val="28"/>
          <w:lang w:bidi="en-US"/>
        </w:rPr>
        <w:t>-</w:t>
      </w:r>
    </w:p>
    <w:p w:rsidR="00FF409E" w:rsidRDefault="006F1BB6" w:rsidP="00000FEE">
      <w:pPr>
        <w:widowControl w:val="0"/>
        <w:rPr>
          <w:lang w:bidi="en-US"/>
        </w:rPr>
      </w:pPr>
      <w:r>
        <w:rPr>
          <w:rFonts w:ascii="Century Gothic" w:hAnsi="Century Gothic"/>
          <w:b/>
          <w:bCs/>
          <w:sz w:val="24"/>
          <w:lang w:bidi="en-US"/>
        </w:rPr>
        <w:t>Baseline Data</w:t>
      </w:r>
      <w:r w:rsidR="00FF409E" w:rsidRPr="006F1BB6">
        <w:rPr>
          <w:rFonts w:ascii="Century Gothic" w:hAnsi="Century Gothic"/>
          <w:sz w:val="24"/>
          <w:lang w:bidi="en-US"/>
        </w:rPr>
        <w:t>:</w:t>
      </w:r>
      <w:r w:rsidR="00FF409E" w:rsidRPr="006F1BB6">
        <w:rPr>
          <w:sz w:val="24"/>
          <w:lang w:bidi="en-US"/>
        </w:rPr>
        <w:t xml:space="preserve"> </w:t>
      </w:r>
      <w:r w:rsidR="00FF409E" w:rsidRPr="00FF409E">
        <w:rPr>
          <w:lang w:bidi="en-US"/>
        </w:rPr>
        <w:t>The measurements and facts describing facility operations and design during the baseline period. This includes energy use or demand and parameters of facility operation that govern energy use or demand.</w:t>
      </w:r>
    </w:p>
    <w:p w:rsidR="00FF409E" w:rsidRPr="00FF409E" w:rsidRDefault="00FF409E" w:rsidP="00000FEE">
      <w:pPr>
        <w:widowControl w:val="0"/>
        <w:rPr>
          <w:lang w:bidi="en-US"/>
        </w:rPr>
      </w:pPr>
    </w:p>
    <w:p w:rsidR="00FF409E" w:rsidRDefault="006F1BB6" w:rsidP="00000FEE">
      <w:pPr>
        <w:widowControl w:val="0"/>
        <w:rPr>
          <w:lang w:bidi="en-US"/>
        </w:rPr>
      </w:pPr>
      <w:r>
        <w:rPr>
          <w:rFonts w:ascii="Century Gothic" w:hAnsi="Century Gothic"/>
          <w:b/>
          <w:bCs/>
          <w:sz w:val="24"/>
          <w:lang w:bidi="en-US"/>
        </w:rPr>
        <w:t>Baseline Forecast</w:t>
      </w:r>
      <w:r w:rsidR="00FF409E" w:rsidRPr="006F1BB6">
        <w:rPr>
          <w:rFonts w:ascii="Century Gothic" w:hAnsi="Century Gothic"/>
          <w:sz w:val="24"/>
          <w:lang w:bidi="en-US"/>
        </w:rPr>
        <w:t>:</w:t>
      </w:r>
      <w:r w:rsidR="00FF409E" w:rsidRPr="006F1BB6">
        <w:rPr>
          <w:sz w:val="24"/>
          <w:lang w:bidi="en-US"/>
        </w:rPr>
        <w:t xml:space="preserve"> </w:t>
      </w:r>
      <w:r w:rsidR="00FF409E" w:rsidRPr="00FF409E">
        <w:rPr>
          <w:lang w:bidi="en-US"/>
        </w:rPr>
        <w:t>A prediction of future energy needs that does not take into account the likely effects of new efficiency programs that have not yet been started.</w:t>
      </w:r>
    </w:p>
    <w:p w:rsidR="00FF409E" w:rsidRPr="00FF409E" w:rsidRDefault="00FF409E" w:rsidP="00000FEE">
      <w:pPr>
        <w:widowControl w:val="0"/>
        <w:rPr>
          <w:lang w:bidi="en-US"/>
        </w:rPr>
      </w:pPr>
    </w:p>
    <w:p w:rsidR="00FF409E" w:rsidRDefault="006F1BB6" w:rsidP="00000FEE">
      <w:pPr>
        <w:widowControl w:val="0"/>
        <w:rPr>
          <w:lang w:bidi="en-US"/>
        </w:rPr>
      </w:pPr>
      <w:r>
        <w:rPr>
          <w:rFonts w:ascii="Century Gothic" w:hAnsi="Century Gothic"/>
          <w:b/>
          <w:bCs/>
          <w:sz w:val="24"/>
          <w:lang w:bidi="en-US"/>
        </w:rPr>
        <w:t>Baseline Model</w:t>
      </w:r>
      <w:r w:rsidR="00FF409E" w:rsidRPr="006F1BB6">
        <w:rPr>
          <w:rFonts w:ascii="Century Gothic" w:hAnsi="Century Gothic"/>
          <w:sz w:val="24"/>
          <w:lang w:bidi="en-US"/>
        </w:rPr>
        <w:t>:</w:t>
      </w:r>
      <w:r w:rsidR="00FF409E" w:rsidRPr="006F1BB6">
        <w:rPr>
          <w:sz w:val="24"/>
          <w:lang w:bidi="en-US"/>
        </w:rPr>
        <w:t xml:space="preserve"> </w:t>
      </w:r>
      <w:r w:rsidR="00FF409E" w:rsidRPr="00FF409E">
        <w:rPr>
          <w:lang w:bidi="en-US"/>
        </w:rPr>
        <w:t>The set of arithmetic factors, equations, or data used to describe the relationship between energy use or demand and other baseline data. A baseline model may also be a simulation process involving a specified simulation engine and set of input data.</w:t>
      </w:r>
    </w:p>
    <w:p w:rsidR="00FF409E" w:rsidRPr="00FF409E" w:rsidRDefault="00FF409E" w:rsidP="00000FEE">
      <w:pPr>
        <w:widowControl w:val="0"/>
        <w:rPr>
          <w:lang w:bidi="en-US"/>
        </w:rPr>
      </w:pPr>
    </w:p>
    <w:p w:rsidR="00FF409E" w:rsidRPr="00BD557A" w:rsidRDefault="006F1BB6" w:rsidP="00BD557A">
      <w:r w:rsidRPr="00BD557A">
        <w:rPr>
          <w:rFonts w:ascii="Century Gothic" w:hAnsi="Century Gothic"/>
          <w:b/>
          <w:sz w:val="24"/>
        </w:rPr>
        <w:t>Baseline Period</w:t>
      </w:r>
      <w:r w:rsidR="00FF409E" w:rsidRPr="00BD557A">
        <w:rPr>
          <w:rFonts w:ascii="Century Gothic" w:hAnsi="Century Gothic"/>
          <w:b/>
          <w:sz w:val="24"/>
        </w:rPr>
        <w:t>:</w:t>
      </w:r>
      <w:r w:rsidR="00FF409E" w:rsidRPr="00BD557A">
        <w:rPr>
          <w:sz w:val="24"/>
        </w:rPr>
        <w:t xml:space="preserve"> </w:t>
      </w:r>
      <w:r w:rsidR="00FF409E" w:rsidRPr="00BD557A">
        <w:t>The period of time selected as representative of facility operations before retrofit.</w:t>
      </w:r>
    </w:p>
    <w:p w:rsidR="006F1BB6" w:rsidRDefault="006F1BB6" w:rsidP="00000FEE">
      <w:pPr>
        <w:widowControl w:val="0"/>
        <w:rPr>
          <w:rFonts w:ascii="Century Gothic" w:hAnsi="Century Gothic"/>
          <w:b/>
          <w:bCs/>
          <w:sz w:val="24"/>
          <w:lang w:bidi="en-US"/>
        </w:rPr>
      </w:pPr>
    </w:p>
    <w:p w:rsidR="00FF409E" w:rsidRDefault="006F1BB6" w:rsidP="00000FEE">
      <w:pPr>
        <w:widowControl w:val="0"/>
        <w:rPr>
          <w:lang w:bidi="en-US"/>
        </w:rPr>
      </w:pPr>
      <w:r>
        <w:rPr>
          <w:rFonts w:ascii="Century Gothic" w:hAnsi="Century Gothic"/>
          <w:b/>
          <w:bCs/>
          <w:sz w:val="24"/>
          <w:lang w:bidi="en-US"/>
        </w:rPr>
        <w:t>Bias</w:t>
      </w:r>
      <w:r w:rsidR="00FF409E" w:rsidRPr="006F1BB6">
        <w:rPr>
          <w:rFonts w:ascii="Century Gothic" w:hAnsi="Century Gothic"/>
          <w:b/>
          <w:bCs/>
          <w:sz w:val="24"/>
          <w:lang w:bidi="en-US"/>
        </w:rPr>
        <w:t>:</w:t>
      </w:r>
      <w:r w:rsidR="00FF409E" w:rsidRPr="006F1BB6">
        <w:rPr>
          <w:b/>
          <w:bCs/>
          <w:sz w:val="24"/>
          <w:lang w:bidi="en-US"/>
        </w:rPr>
        <w:t xml:space="preserve"> </w:t>
      </w:r>
      <w:r w:rsidR="00FF409E" w:rsidRPr="00FF409E">
        <w:rPr>
          <w:lang w:bidi="en-US"/>
        </w:rPr>
        <w:t>The extent to which a measurement or a sampling or analytic method systematically underestimates or overestimates a value.</w:t>
      </w:r>
    </w:p>
    <w:p w:rsidR="00FF409E" w:rsidRPr="00FF409E" w:rsidRDefault="00FF409E" w:rsidP="00000FEE">
      <w:pPr>
        <w:widowControl w:val="0"/>
        <w:rPr>
          <w:lang w:bidi="en-US"/>
        </w:rPr>
      </w:pPr>
    </w:p>
    <w:p w:rsidR="00FF409E" w:rsidRDefault="006F1BB6" w:rsidP="00000FEE">
      <w:pPr>
        <w:widowControl w:val="0"/>
        <w:rPr>
          <w:lang w:bidi="en-US"/>
        </w:rPr>
      </w:pPr>
      <w:r>
        <w:rPr>
          <w:rFonts w:ascii="Century Gothic" w:hAnsi="Century Gothic"/>
          <w:b/>
          <w:bCs/>
          <w:sz w:val="24"/>
          <w:lang w:bidi="en-US"/>
        </w:rPr>
        <w:t>Billing Data</w:t>
      </w:r>
      <w:r w:rsidR="00FF409E" w:rsidRPr="006F1BB6">
        <w:rPr>
          <w:rFonts w:ascii="Century Gothic" w:hAnsi="Century Gothic"/>
          <w:sz w:val="24"/>
          <w:lang w:bidi="en-US"/>
        </w:rPr>
        <w:t>:</w:t>
      </w:r>
      <w:r w:rsidR="00FF409E" w:rsidRPr="006F1BB6">
        <w:rPr>
          <w:sz w:val="24"/>
          <w:lang w:bidi="en-US"/>
        </w:rPr>
        <w:t xml:space="preserve"> </w:t>
      </w:r>
      <w:r w:rsidR="00FF409E" w:rsidRPr="00FF409E">
        <w:rPr>
          <w:lang w:bidi="en-US"/>
        </w:rPr>
        <w:t>Has multiple meanings. Metered data obtained from the electric or gas meter used to bill the customer for energy used in a particular billing period. Meters used for this purpose typically conform to regulatory standards established for each customer class. Also used to describe the data representing the bills customers receive from the energy provider and the customer billing and payment streams associated with customer accounts. This term is used to describe both consumption and demand, and account billing and payment information.</w:t>
      </w:r>
    </w:p>
    <w:p w:rsidR="00FF409E" w:rsidRDefault="005361D4" w:rsidP="00000FEE">
      <w:pPr>
        <w:widowControl w:val="0"/>
        <w:rPr>
          <w:lang w:bidi="en-US"/>
        </w:rPr>
      </w:pPr>
      <w:r>
        <w:rPr>
          <w:rFonts w:ascii="Century Gothic" w:hAnsi="Century Gothic"/>
          <w:b/>
          <w:bCs/>
          <w:sz w:val="24"/>
          <w:lang w:bidi="en-US"/>
        </w:rPr>
        <w:t>Billing Demand</w:t>
      </w:r>
      <w:r w:rsidR="00FF409E" w:rsidRPr="00FF409E">
        <w:rPr>
          <w:lang w:bidi="en-US"/>
        </w:rPr>
        <w:t>: The demand used to calculate the demand charge cost. This is often the monthly peak demand of the customer, but it may have a floor of some percentage of the highest monthly peak of the previous several months (a demand “ratchet”). May have other meanings associated with customer account billing practices.</w:t>
      </w:r>
    </w:p>
    <w:p w:rsidR="00FF409E" w:rsidRPr="00FF409E" w:rsidRDefault="00FF409E" w:rsidP="00000FEE">
      <w:pPr>
        <w:widowControl w:val="0"/>
        <w:rPr>
          <w:lang w:bidi="en-US"/>
        </w:rPr>
      </w:pPr>
    </w:p>
    <w:p w:rsidR="00FF409E" w:rsidRDefault="005361D4" w:rsidP="00000FEE">
      <w:pPr>
        <w:widowControl w:val="0"/>
        <w:rPr>
          <w:lang w:bidi="en-US"/>
        </w:rPr>
      </w:pPr>
      <w:r>
        <w:rPr>
          <w:rFonts w:ascii="Century Gothic" w:hAnsi="Century Gothic"/>
          <w:b/>
          <w:bCs/>
          <w:sz w:val="24"/>
          <w:lang w:bidi="en-US"/>
        </w:rPr>
        <w:t>Building Energy Simulation Models:</w:t>
      </w:r>
      <w:r w:rsidR="00FF409E" w:rsidRPr="00FF409E">
        <w:rPr>
          <w:lang w:bidi="en-US"/>
        </w:rPr>
        <w:t xml:space="preserve"> Computer models based on physical engineering princip</w:t>
      </w:r>
      <w:r w:rsidR="00973929">
        <w:rPr>
          <w:lang w:bidi="en-US"/>
        </w:rPr>
        <w:t>le</w:t>
      </w:r>
      <w:r w:rsidR="00FF409E" w:rsidRPr="00FF409E">
        <w:rPr>
          <w:lang w:bidi="en-US"/>
        </w:rPr>
        <w:t>s or standards used to estimate energy usage or savings. These models do use billing or metered data, but usually incorporate site-specific data on customers and physical systems. The models usually require such site-specific data as square footage, weather, surface orientations, elevations, space volumes, construction materials, equipment use, lighting, and building occupancy. These models can usually account for interactive effects between end</w:t>
      </w:r>
      <w:r w:rsidR="00973929">
        <w:rPr>
          <w:lang w:bidi="en-US"/>
        </w:rPr>
        <w:t xml:space="preserve"> </w:t>
      </w:r>
      <w:r w:rsidR="00FF409E" w:rsidRPr="00FF409E">
        <w:rPr>
          <w:lang w:bidi="en-US"/>
        </w:rPr>
        <w:t>uses (e.g., lighting and HVAC), part-load efficiencies, and changes in external and internal heat gains or losses. Examples of building energy simulation models include ADM2, BLAST, and DOE-2.</w:t>
      </w:r>
    </w:p>
    <w:p w:rsidR="00FF409E" w:rsidRDefault="00FF409E" w:rsidP="00000FEE">
      <w:pPr>
        <w:widowControl w:val="0"/>
        <w:rPr>
          <w:lang w:bidi="en-US"/>
        </w:rPr>
      </w:pPr>
    </w:p>
    <w:p w:rsidR="005361D4" w:rsidRPr="005361D4" w:rsidRDefault="005361D4"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5361D4">
        <w:rPr>
          <w:rFonts w:ascii="Century Gothic" w:hAnsi="Century Gothic"/>
          <w:b/>
          <w:bCs/>
          <w:color w:val="448A99"/>
          <w:sz w:val="28"/>
          <w:lang w:bidi="en-US"/>
        </w:rPr>
        <w:t>-</w:t>
      </w:r>
      <w:r>
        <w:rPr>
          <w:rFonts w:ascii="Century Gothic" w:hAnsi="Century Gothic"/>
          <w:b/>
          <w:bCs/>
          <w:color w:val="448A99"/>
          <w:sz w:val="28"/>
          <w:lang w:bidi="en-US"/>
        </w:rPr>
        <w:t>C</w:t>
      </w:r>
      <w:r w:rsidRPr="005361D4">
        <w:rPr>
          <w:rFonts w:ascii="Century Gothic" w:hAnsi="Century Gothic"/>
          <w:b/>
          <w:bCs/>
          <w:color w:val="448A99"/>
          <w:sz w:val="28"/>
          <w:lang w:bidi="en-US"/>
        </w:rPr>
        <w:t>-</w:t>
      </w:r>
    </w:p>
    <w:p w:rsidR="00FF409E" w:rsidRDefault="005361D4" w:rsidP="00000FEE">
      <w:pPr>
        <w:widowControl w:val="0"/>
        <w:rPr>
          <w:lang w:bidi="en-US"/>
        </w:rPr>
      </w:pPr>
      <w:r>
        <w:rPr>
          <w:rFonts w:ascii="Century Gothic" w:hAnsi="Century Gothic"/>
          <w:b/>
          <w:bCs/>
          <w:sz w:val="24"/>
          <w:lang w:bidi="en-US"/>
        </w:rPr>
        <w:t>Capacity</w:t>
      </w:r>
      <w:r w:rsidR="00FF409E" w:rsidRPr="00FF409E">
        <w:rPr>
          <w:lang w:bidi="en-US"/>
        </w:rPr>
        <w:t xml:space="preserve">: The amount of electric power for which a generating unit, generating station, or other electrical apparatus is rated by the user or manufacturer. The term is also used for the total volume of natural gas that can flow through a pipeline over a given amount of time, considering factors </w:t>
      </w:r>
      <w:r w:rsidR="00973929" w:rsidRPr="00FF409E">
        <w:rPr>
          <w:lang w:bidi="en-US"/>
        </w:rPr>
        <w:t xml:space="preserve">such </w:t>
      </w:r>
      <w:r w:rsidR="00FF409E" w:rsidRPr="00FF409E">
        <w:rPr>
          <w:lang w:bidi="en-US"/>
        </w:rPr>
        <w:t>as compression and pipeline size.</w:t>
      </w:r>
    </w:p>
    <w:p w:rsidR="00FF409E" w:rsidRPr="00FF409E" w:rsidRDefault="00FF409E" w:rsidP="00000FEE">
      <w:pPr>
        <w:widowControl w:val="0"/>
        <w:rPr>
          <w:lang w:bidi="en-US"/>
        </w:rPr>
      </w:pPr>
    </w:p>
    <w:p w:rsidR="00FF409E" w:rsidRPr="00BD557A" w:rsidRDefault="005361D4" w:rsidP="00BD557A">
      <w:r w:rsidRPr="00BD557A">
        <w:rPr>
          <w:rFonts w:ascii="Century Gothic" w:hAnsi="Century Gothic"/>
          <w:b/>
          <w:sz w:val="24"/>
        </w:rPr>
        <w:t>Coefficient of Variation:</w:t>
      </w:r>
      <w:r w:rsidR="00FF409E" w:rsidRPr="00BD557A">
        <w:rPr>
          <w:rFonts w:ascii="Century Gothic" w:hAnsi="Century Gothic"/>
          <w:b/>
          <w:sz w:val="24"/>
        </w:rPr>
        <w:t xml:space="preserve"> </w:t>
      </w:r>
      <w:r w:rsidR="00FF409E" w:rsidRPr="00BD557A">
        <w:t>The sample standard deviation divided by the sample mean (Cv = sd/y).</w:t>
      </w:r>
    </w:p>
    <w:p w:rsidR="00FF409E" w:rsidRPr="00FF409E" w:rsidRDefault="00FF409E" w:rsidP="00000FEE">
      <w:pPr>
        <w:widowControl w:val="0"/>
        <w:rPr>
          <w:lang w:bidi="en-US"/>
        </w:rPr>
      </w:pPr>
    </w:p>
    <w:p w:rsidR="00FF409E" w:rsidRDefault="005361D4" w:rsidP="00000FEE">
      <w:pPr>
        <w:widowControl w:val="0"/>
        <w:rPr>
          <w:lang w:bidi="en-US"/>
        </w:rPr>
      </w:pPr>
      <w:r>
        <w:rPr>
          <w:rFonts w:ascii="Century Gothic" w:hAnsi="Century Gothic"/>
          <w:b/>
          <w:bCs/>
          <w:sz w:val="24"/>
          <w:lang w:bidi="en-US"/>
        </w:rPr>
        <w:t>Coincident Demand</w:t>
      </w:r>
      <w:r w:rsidR="00FF409E" w:rsidRPr="00FF409E">
        <w:rPr>
          <w:lang w:bidi="en-US"/>
        </w:rPr>
        <w:t>: The metered demand of a device, circuit, or building that occurs at the same time as the peak demand of the building or facility or at the same time as some other peak of interest, such as a utility’s highest load during peak load hours. This should properly be expressed to indicate the peak of interest, e.g., “demand coincident with the building peak.”</w:t>
      </w:r>
    </w:p>
    <w:p w:rsidR="00FF409E" w:rsidRPr="00FF409E" w:rsidRDefault="00FF409E" w:rsidP="00000FEE">
      <w:pPr>
        <w:widowControl w:val="0"/>
        <w:rPr>
          <w:lang w:bidi="en-US"/>
        </w:rPr>
      </w:pPr>
    </w:p>
    <w:p w:rsidR="00FF409E" w:rsidRDefault="005361D4" w:rsidP="00000FEE">
      <w:pPr>
        <w:widowControl w:val="0"/>
        <w:rPr>
          <w:lang w:bidi="en-US"/>
        </w:rPr>
      </w:pPr>
      <w:r>
        <w:rPr>
          <w:rFonts w:ascii="Century Gothic" w:hAnsi="Century Gothic"/>
          <w:b/>
          <w:bCs/>
          <w:sz w:val="24"/>
          <w:lang w:bidi="en-US"/>
        </w:rPr>
        <w:t>Confidence</w:t>
      </w:r>
      <w:r w:rsidR="00FF409E" w:rsidRPr="00FF409E">
        <w:rPr>
          <w:lang w:bidi="en-US"/>
        </w:rPr>
        <w:t>: An indication of how close a value is to the true value of the quantity in question. Confidence is the likelihood that the evaluation has captured the true impacts of a program within a certain range of values (i.e., precision).</w:t>
      </w:r>
    </w:p>
    <w:p w:rsidR="00FF409E" w:rsidRPr="00FF409E" w:rsidRDefault="00FF409E" w:rsidP="00000FEE">
      <w:pPr>
        <w:widowControl w:val="0"/>
        <w:rPr>
          <w:lang w:bidi="en-US"/>
        </w:rPr>
      </w:pPr>
    </w:p>
    <w:p w:rsidR="00FF409E" w:rsidRDefault="005361D4" w:rsidP="00000FEE">
      <w:pPr>
        <w:widowControl w:val="0"/>
        <w:rPr>
          <w:lang w:bidi="en-US"/>
        </w:rPr>
      </w:pPr>
      <w:r>
        <w:rPr>
          <w:rFonts w:ascii="Century Gothic" w:hAnsi="Century Gothic"/>
          <w:b/>
          <w:bCs/>
          <w:sz w:val="24"/>
          <w:lang w:bidi="en-US"/>
        </w:rPr>
        <w:t>Conservation</w:t>
      </w:r>
      <w:r w:rsidR="00FF409E" w:rsidRPr="00FF409E">
        <w:rPr>
          <w:lang w:bidi="en-US"/>
        </w:rPr>
        <w:t>: Steps taken to cause less energy to be used than would otherwise be the case. Examples include improved efficiency, avoidance of waste, and reduced consumption. Related activities include installing equipment (e.g., a computer to ensure efficient energy use), modifying equipment (e.g., making a boiler more efficient), adding insulation, and changing behavior patterns.</w:t>
      </w:r>
    </w:p>
    <w:p w:rsidR="00C3387F" w:rsidRDefault="00C3387F" w:rsidP="00000FEE">
      <w:pPr>
        <w:widowControl w:val="0"/>
        <w:rPr>
          <w:lang w:bidi="en-US"/>
        </w:rPr>
      </w:pPr>
    </w:p>
    <w:p w:rsidR="00792ADE" w:rsidRDefault="00B43D6F" w:rsidP="00792ADE">
      <w:pPr>
        <w:widowControl w:val="0"/>
        <w:rPr>
          <w:lang w:bidi="en-US"/>
        </w:rPr>
      </w:pPr>
      <w:r>
        <w:rPr>
          <w:rFonts w:ascii="Century Gothic" w:hAnsi="Century Gothic"/>
          <w:b/>
          <w:bCs/>
          <w:sz w:val="24"/>
          <w:lang w:bidi="en-US"/>
        </w:rPr>
        <w:t>Cost-Effectiveness</w:t>
      </w:r>
      <w:r w:rsidR="00FF409E" w:rsidRPr="00FF409E">
        <w:rPr>
          <w:lang w:bidi="en-US"/>
        </w:rPr>
        <w:t xml:space="preserve">: </w:t>
      </w:r>
      <w:r w:rsidR="00A412AF" w:rsidRPr="00A412AF">
        <w:rPr>
          <w:lang w:bidi="en-US"/>
        </w:rPr>
        <w:t>An indicator of the relative performance or economic attractiveness of any energy efficiency EE investment or practice when compared with the costs of energy produced and delivered in the absence of such an investment. In the energy efficiency EE field, the term refers to the present value of the estimated benefits produced by an energy efficiency EE program as compared with the estimated total program costs, from the perspective of either society as a whole or of individual customers, to determine if the proposed investment or measure is desirable from a variety of perspectives, e.g., whether the estimated benefits exceed the estimated costs. See also TOTAL RESOURCE COST (TRC) TEST. The 2008 Act 129 enacted by the Pennsylvania Legislature mandates use of the TRC Test for determining cost-effectiveness</w:t>
      </w:r>
      <w:r w:rsidR="00FF409E" w:rsidRPr="00FF409E">
        <w:rPr>
          <w:lang w:bidi="en-US"/>
        </w:rPr>
        <w:t>.</w:t>
      </w:r>
      <w:r w:rsidR="00792ADE" w:rsidRPr="00792ADE">
        <w:rPr>
          <w:lang w:bidi="en-US"/>
        </w:rPr>
        <w:t xml:space="preserve"> </w:t>
      </w:r>
    </w:p>
    <w:p w:rsidR="00170843" w:rsidRDefault="00170843" w:rsidP="00792ADE">
      <w:pPr>
        <w:widowControl w:val="0"/>
        <w:rPr>
          <w:lang w:bidi="en-US"/>
        </w:rPr>
      </w:pPr>
    </w:p>
    <w:p w:rsidR="00FF409E" w:rsidRDefault="00E710A9" w:rsidP="00792ADE">
      <w:pPr>
        <w:widowControl w:val="0"/>
        <w:rPr>
          <w:lang w:bidi="en-US"/>
        </w:rPr>
      </w:pPr>
      <w:r>
        <w:rPr>
          <w:rFonts w:ascii="Century Gothic" w:hAnsi="Century Gothic"/>
          <w:b/>
          <w:bCs/>
          <w:sz w:val="24"/>
          <w:lang w:bidi="en-US"/>
        </w:rPr>
        <w:t>Cross-S</w:t>
      </w:r>
      <w:r w:rsidR="00792ADE">
        <w:rPr>
          <w:rFonts w:ascii="Century Gothic" w:hAnsi="Century Gothic"/>
          <w:b/>
          <w:bCs/>
          <w:sz w:val="24"/>
          <w:lang w:bidi="en-US"/>
        </w:rPr>
        <w:t xml:space="preserve">ector </w:t>
      </w:r>
      <w:r>
        <w:rPr>
          <w:rFonts w:ascii="Century Gothic" w:hAnsi="Century Gothic"/>
          <w:b/>
          <w:bCs/>
          <w:sz w:val="24"/>
          <w:lang w:bidi="en-US"/>
        </w:rPr>
        <w:t>S</w:t>
      </w:r>
      <w:r w:rsidR="00792ADE">
        <w:rPr>
          <w:rFonts w:ascii="Century Gothic" w:hAnsi="Century Gothic"/>
          <w:b/>
          <w:bCs/>
          <w:sz w:val="24"/>
          <w:lang w:bidi="en-US"/>
        </w:rPr>
        <w:t>ales</w:t>
      </w:r>
      <w:r w:rsidR="00792ADE">
        <w:rPr>
          <w:lang w:bidi="en-US"/>
        </w:rPr>
        <w:t xml:space="preserve">: </w:t>
      </w:r>
      <w:r w:rsidRPr="00E710A9">
        <w:rPr>
          <w:lang w:bidi="en-US"/>
        </w:rPr>
        <w:t>These are sales of energy -efficiency measures as part of sector-specific programs which that are installed across multiple sectors. This occurs most notably when energy -efficient lighting measures are purchased from a retailer through a residential upstream lighting program but are installed in commercial facilities</w:t>
      </w:r>
      <w:r w:rsidR="00792ADE" w:rsidRPr="00FF409E">
        <w:rPr>
          <w:lang w:bidi="en-US"/>
        </w:rPr>
        <w:t>.</w:t>
      </w:r>
    </w:p>
    <w:p w:rsidR="00FF409E" w:rsidRPr="00FF409E" w:rsidRDefault="00FF409E" w:rsidP="00000FEE">
      <w:pPr>
        <w:widowControl w:val="0"/>
        <w:rPr>
          <w:lang w:bidi="en-US"/>
        </w:rPr>
      </w:pPr>
    </w:p>
    <w:p w:rsidR="00FF409E" w:rsidRDefault="00B43D6F" w:rsidP="00000FEE">
      <w:pPr>
        <w:widowControl w:val="0"/>
        <w:rPr>
          <w:lang w:bidi="en-US"/>
        </w:rPr>
      </w:pPr>
      <w:r w:rsidRPr="005635FF">
        <w:rPr>
          <w:rFonts w:ascii="Century Gothic" w:hAnsi="Century Gothic"/>
          <w:b/>
          <w:bCs/>
          <w:sz w:val="24"/>
          <w:lang w:bidi="en-US"/>
        </w:rPr>
        <w:t>Customer</w:t>
      </w:r>
      <w:r w:rsidR="00FF409E" w:rsidRPr="005635FF">
        <w:rPr>
          <w:rFonts w:ascii="Century Gothic" w:hAnsi="Century Gothic"/>
          <w:sz w:val="24"/>
          <w:lang w:bidi="en-US"/>
        </w:rPr>
        <w:t>:</w:t>
      </w:r>
      <w:r w:rsidR="00FF409E" w:rsidRPr="00FF409E">
        <w:rPr>
          <w:lang w:bidi="en-US"/>
        </w:rPr>
        <w:t xml:space="preserve"> Any person or entity responsible for payment of an electric or gas bill and with an active meter serviced by a utility company.</w:t>
      </w:r>
    </w:p>
    <w:p w:rsidR="00FF409E" w:rsidRPr="00FF409E" w:rsidRDefault="00FF409E" w:rsidP="00000FEE">
      <w:pPr>
        <w:widowControl w:val="0"/>
        <w:rPr>
          <w:lang w:bidi="en-US"/>
        </w:rPr>
      </w:pPr>
    </w:p>
    <w:p w:rsidR="00FF409E" w:rsidRDefault="00B43D6F" w:rsidP="00000FEE">
      <w:pPr>
        <w:widowControl w:val="0"/>
        <w:rPr>
          <w:lang w:bidi="en-US"/>
        </w:rPr>
      </w:pPr>
      <w:r w:rsidRPr="005635FF">
        <w:rPr>
          <w:rFonts w:ascii="Century Gothic" w:hAnsi="Century Gothic"/>
          <w:b/>
          <w:bCs/>
          <w:sz w:val="24"/>
          <w:lang w:bidi="en-US"/>
        </w:rPr>
        <w:t>Customer Information</w:t>
      </w:r>
      <w:r w:rsidR="00FF409E" w:rsidRPr="00FF409E">
        <w:rPr>
          <w:lang w:bidi="en-US"/>
        </w:rPr>
        <w:t>: Non-public information and data specific to a utility customer that the utility acquired or developed in the course of providing utility services.</w:t>
      </w:r>
    </w:p>
    <w:p w:rsidR="00B43D6F" w:rsidRPr="00FF409E" w:rsidRDefault="00B43D6F" w:rsidP="00000FEE">
      <w:pPr>
        <w:widowControl w:val="0"/>
        <w:rPr>
          <w:lang w:bidi="en-US"/>
        </w:rPr>
      </w:pPr>
    </w:p>
    <w:p w:rsidR="00FF409E" w:rsidRPr="00BD557A" w:rsidRDefault="00B43D6F" w:rsidP="00BD557A">
      <w:r w:rsidRPr="00BD557A">
        <w:rPr>
          <w:rFonts w:ascii="Century Gothic" w:hAnsi="Century Gothic"/>
          <w:b/>
          <w:sz w:val="24"/>
        </w:rPr>
        <w:t>Cv</w:t>
      </w:r>
      <w:r w:rsidR="00FF409E" w:rsidRPr="00BD557A">
        <w:rPr>
          <w:rFonts w:ascii="Century Gothic" w:hAnsi="Century Gothic"/>
          <w:b/>
          <w:sz w:val="24"/>
        </w:rPr>
        <w:t xml:space="preserve">: </w:t>
      </w:r>
      <w:r w:rsidR="00FF409E" w:rsidRPr="00BD557A">
        <w:t>See COEFFICIENT OF VARIATION.</w:t>
      </w:r>
    </w:p>
    <w:p w:rsidR="00FF409E" w:rsidRDefault="00FF409E" w:rsidP="00000FEE">
      <w:pPr>
        <w:widowControl w:val="0"/>
        <w:rPr>
          <w:lang w:bidi="en-US"/>
        </w:rPr>
      </w:pPr>
    </w:p>
    <w:p w:rsidR="005361D4" w:rsidRPr="005361D4" w:rsidRDefault="005361D4"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5361D4">
        <w:rPr>
          <w:rFonts w:ascii="Century Gothic" w:hAnsi="Century Gothic"/>
          <w:b/>
          <w:bCs/>
          <w:color w:val="448A99"/>
          <w:sz w:val="28"/>
          <w:lang w:bidi="en-US"/>
        </w:rPr>
        <w:t>-</w:t>
      </w:r>
      <w:r>
        <w:rPr>
          <w:rFonts w:ascii="Century Gothic" w:hAnsi="Century Gothic"/>
          <w:b/>
          <w:bCs/>
          <w:color w:val="448A99"/>
          <w:sz w:val="28"/>
          <w:lang w:bidi="en-US"/>
        </w:rPr>
        <w:t>D</w:t>
      </w:r>
      <w:r w:rsidRPr="005361D4">
        <w:rPr>
          <w:rFonts w:ascii="Century Gothic" w:hAnsi="Century Gothic"/>
          <w:b/>
          <w:bCs/>
          <w:color w:val="448A99"/>
          <w:sz w:val="28"/>
          <w:lang w:bidi="en-US"/>
        </w:rPr>
        <w:t>-</w:t>
      </w:r>
    </w:p>
    <w:p w:rsidR="00FF409E" w:rsidRDefault="00B43D6F" w:rsidP="00000FEE">
      <w:pPr>
        <w:widowControl w:val="0"/>
        <w:rPr>
          <w:lang w:bidi="en-US"/>
        </w:rPr>
      </w:pPr>
      <w:r w:rsidRPr="005635FF">
        <w:rPr>
          <w:rFonts w:ascii="Century Gothic" w:hAnsi="Century Gothic"/>
          <w:b/>
          <w:bCs/>
          <w:sz w:val="24"/>
          <w:lang w:bidi="en-US"/>
        </w:rPr>
        <w:t>Deemed Savings</w:t>
      </w:r>
      <w:r w:rsidR="00FF409E" w:rsidRPr="00FF409E">
        <w:rPr>
          <w:lang w:bidi="en-US"/>
        </w:rPr>
        <w:t xml:space="preserve">: </w:t>
      </w:r>
      <w:r w:rsidR="00E710A9" w:rsidRPr="00FF409E">
        <w:rPr>
          <w:lang w:bidi="en-US"/>
        </w:rPr>
        <w:t xml:space="preserve">An estimate of the reported energy savings or energy demand savings outcome for a single unit of an installed </w:t>
      </w:r>
      <w:r w:rsidR="00E710A9">
        <w:rPr>
          <w:lang w:bidi="en-US"/>
        </w:rPr>
        <w:t>energy efficiency</w:t>
      </w:r>
      <w:r w:rsidR="00E710A9" w:rsidRPr="00FF409E">
        <w:rPr>
          <w:lang w:bidi="en-US"/>
        </w:rPr>
        <w:t xml:space="preserve"> measure that (a) has been developed from data sources and analytical methods that are widely accepted for the measure and purpose</w:t>
      </w:r>
      <w:r w:rsidR="00E710A9">
        <w:rPr>
          <w:lang w:bidi="en-US"/>
        </w:rPr>
        <w:t>,</w:t>
      </w:r>
      <w:r w:rsidR="00E710A9" w:rsidRPr="00FF409E">
        <w:rPr>
          <w:lang w:bidi="en-US"/>
        </w:rPr>
        <w:t xml:space="preserve"> and (b) is applicable to the situation being evaluated</w:t>
      </w:r>
      <w:r w:rsidR="00FF409E" w:rsidRPr="00FF409E">
        <w:rPr>
          <w:lang w:bidi="en-US"/>
        </w:rPr>
        <w:t>.</w:t>
      </w:r>
    </w:p>
    <w:p w:rsidR="00FF409E" w:rsidRPr="00FF409E" w:rsidRDefault="00FF409E" w:rsidP="00000FEE">
      <w:pPr>
        <w:widowControl w:val="0"/>
        <w:rPr>
          <w:lang w:bidi="en-US"/>
        </w:rPr>
      </w:pPr>
    </w:p>
    <w:p w:rsidR="00FF409E" w:rsidRDefault="00B43D6F" w:rsidP="00000FEE">
      <w:pPr>
        <w:widowControl w:val="0"/>
        <w:rPr>
          <w:lang w:bidi="en-US"/>
        </w:rPr>
      </w:pPr>
      <w:r w:rsidRPr="005635FF">
        <w:rPr>
          <w:rFonts w:ascii="Century Gothic" w:hAnsi="Century Gothic"/>
          <w:b/>
          <w:bCs/>
          <w:sz w:val="24"/>
          <w:lang w:bidi="en-US"/>
        </w:rPr>
        <w:t>Demand</w:t>
      </w:r>
      <w:r w:rsidR="00FF409E" w:rsidRPr="00FF409E">
        <w:rPr>
          <w:lang w:bidi="en-US"/>
        </w:rPr>
        <w:t>: The time rate of energy flow. Demand usually refers to electric power and is measured in kilowatts (kW; equals kWh/hr) but can also refer to natural gas, usually as Btus/hr, kBtus/hr, therms/day, or ccf/day. Example: Ten 100-watt lamps consume electricity at the rate of 1,000 watts, or 1 kilowatt (kW).</w:t>
      </w:r>
    </w:p>
    <w:p w:rsidR="0087559E" w:rsidRDefault="0087559E" w:rsidP="00000FEE">
      <w:pPr>
        <w:widowControl w:val="0"/>
        <w:rPr>
          <w:lang w:bidi="en-US"/>
        </w:rPr>
      </w:pPr>
    </w:p>
    <w:p w:rsidR="0087559E" w:rsidRDefault="00B43D6F" w:rsidP="00000FEE">
      <w:pPr>
        <w:widowControl w:val="0"/>
        <w:rPr>
          <w:lang w:bidi="en-US"/>
        </w:rPr>
      </w:pPr>
      <w:r w:rsidRPr="005635FF">
        <w:rPr>
          <w:rFonts w:ascii="Century Gothic" w:hAnsi="Century Gothic"/>
          <w:b/>
          <w:bCs/>
          <w:sz w:val="24"/>
          <w:lang w:bidi="en-US"/>
        </w:rPr>
        <w:t>Demand</w:t>
      </w:r>
      <w:r w:rsidR="0087559E" w:rsidRPr="005635FF">
        <w:rPr>
          <w:rFonts w:ascii="Century Gothic" w:hAnsi="Century Gothic"/>
          <w:b/>
          <w:bCs/>
          <w:sz w:val="24"/>
          <w:lang w:bidi="en-US"/>
        </w:rPr>
        <w:t xml:space="preserve"> (</w:t>
      </w:r>
      <w:r w:rsidRPr="005635FF">
        <w:rPr>
          <w:rFonts w:ascii="Century Gothic" w:hAnsi="Century Gothic"/>
          <w:b/>
          <w:bCs/>
          <w:sz w:val="24"/>
          <w:lang w:bidi="en-US"/>
        </w:rPr>
        <w:t>Utility</w:t>
      </w:r>
      <w:r w:rsidR="0087559E" w:rsidRPr="005635FF">
        <w:rPr>
          <w:rFonts w:ascii="Century Gothic" w:hAnsi="Century Gothic"/>
          <w:b/>
          <w:bCs/>
          <w:sz w:val="24"/>
          <w:lang w:bidi="en-US"/>
        </w:rPr>
        <w:t>)</w:t>
      </w:r>
      <w:r w:rsidR="0087559E" w:rsidRPr="005635FF">
        <w:rPr>
          <w:rFonts w:ascii="Century Gothic" w:hAnsi="Century Gothic"/>
          <w:sz w:val="24"/>
          <w:lang w:bidi="en-US"/>
        </w:rPr>
        <w:t>:</w:t>
      </w:r>
      <w:r w:rsidR="0087559E" w:rsidRPr="005635FF">
        <w:rPr>
          <w:sz w:val="24"/>
          <w:lang w:bidi="en-US"/>
        </w:rPr>
        <w:t xml:space="preserve"> </w:t>
      </w:r>
      <w:r w:rsidR="0087559E" w:rsidRPr="00FF409E">
        <w:rPr>
          <w:lang w:bidi="en-US"/>
        </w:rPr>
        <w:t>The</w:t>
      </w:r>
      <w:r w:rsidR="0087559E">
        <w:rPr>
          <w:lang w:bidi="en-US"/>
        </w:rPr>
        <w:t xml:space="preserve"> </w:t>
      </w:r>
      <w:r w:rsidR="0087559E" w:rsidRPr="0087559E">
        <w:rPr>
          <w:lang w:bidi="en-US"/>
        </w:rPr>
        <w:t>rate or level at which electricity or natural gas is delivered to users at a given point in time. Electric demand is expressed in kilowatts (kW). Demand should not be confused with load, which is the amount of power delivered or required at any specified point</w:t>
      </w:r>
      <w:r w:rsidR="00E710A9">
        <w:rPr>
          <w:lang w:bidi="en-US"/>
        </w:rPr>
        <w:t>(s)</w:t>
      </w:r>
      <w:r w:rsidR="0087559E" w:rsidRPr="0087559E">
        <w:rPr>
          <w:lang w:bidi="en-US"/>
        </w:rPr>
        <w:t xml:space="preserve"> on a system</w:t>
      </w:r>
      <w:r w:rsidR="0087559E">
        <w:rPr>
          <w:lang w:bidi="en-US"/>
        </w:rPr>
        <w:t>.</w:t>
      </w:r>
    </w:p>
    <w:p w:rsidR="00FF409E" w:rsidRPr="00FF409E" w:rsidRDefault="00FF409E" w:rsidP="00000FEE">
      <w:pPr>
        <w:widowControl w:val="0"/>
        <w:rPr>
          <w:lang w:bidi="en-US"/>
        </w:rPr>
      </w:pPr>
    </w:p>
    <w:p w:rsidR="00FF409E" w:rsidRPr="00BD557A" w:rsidRDefault="00B43D6F" w:rsidP="00BD557A">
      <w:r w:rsidRPr="00BD557A">
        <w:rPr>
          <w:rFonts w:ascii="Century Gothic" w:hAnsi="Century Gothic"/>
          <w:b/>
          <w:sz w:val="24"/>
        </w:rPr>
        <w:t>Demand Charge</w:t>
      </w:r>
      <w:r w:rsidR="00FF409E" w:rsidRPr="00BD557A">
        <w:rPr>
          <w:rFonts w:ascii="Century Gothic" w:hAnsi="Century Gothic"/>
          <w:b/>
          <w:sz w:val="24"/>
        </w:rPr>
        <w:t>:</w:t>
      </w:r>
      <w:r w:rsidR="00FF409E" w:rsidRPr="00BD557A">
        <w:rPr>
          <w:sz w:val="24"/>
        </w:rPr>
        <w:t xml:space="preserve"> </w:t>
      </w:r>
      <w:r w:rsidR="00FF409E" w:rsidRPr="00BD557A">
        <w:t>The sum to be paid by a large electricity consumer for its peak usage level.</w:t>
      </w:r>
    </w:p>
    <w:p w:rsidR="00FF409E" w:rsidRPr="00FF409E" w:rsidRDefault="00FF409E" w:rsidP="00000FEE">
      <w:pPr>
        <w:widowControl w:val="0"/>
        <w:rPr>
          <w:lang w:bidi="en-US"/>
        </w:rPr>
      </w:pPr>
    </w:p>
    <w:p w:rsidR="00FF409E" w:rsidRDefault="00B43D6F" w:rsidP="00000FEE">
      <w:pPr>
        <w:widowControl w:val="0"/>
        <w:rPr>
          <w:lang w:bidi="en-US"/>
        </w:rPr>
      </w:pPr>
      <w:r w:rsidRPr="005635FF">
        <w:rPr>
          <w:rFonts w:ascii="Century Gothic" w:hAnsi="Century Gothic"/>
          <w:b/>
          <w:bCs/>
          <w:sz w:val="24"/>
          <w:lang w:bidi="en-US"/>
        </w:rPr>
        <w:t>Demand Responsiveness</w:t>
      </w:r>
      <w:r w:rsidR="00FF409E" w:rsidRPr="006F1BB6">
        <w:rPr>
          <w:rFonts w:ascii="Century Gothic" w:hAnsi="Century Gothic"/>
          <w:lang w:bidi="en-US"/>
        </w:rPr>
        <w:t>:</w:t>
      </w:r>
      <w:r w:rsidR="00FF409E" w:rsidRPr="00FF409E">
        <w:rPr>
          <w:lang w:bidi="en-US"/>
        </w:rPr>
        <w:t xml:space="preserve"> Activities or equipment that induce consumers to use energy at different (lower-cost) times of day or to interrupt energy use for certain equipment temporarily, usually in direct response to a price signal. Examples include interruptible rates, doing laundry after 7</w:t>
      </w:r>
      <w:r w:rsidR="00E710A9">
        <w:rPr>
          <w:lang w:bidi="en-US"/>
        </w:rPr>
        <w:t>:00</w:t>
      </w:r>
      <w:r w:rsidR="00FF409E" w:rsidRPr="00FF409E">
        <w:rPr>
          <w:lang w:bidi="en-US"/>
        </w:rPr>
        <w:t xml:space="preserve"> p.m., and air conditioner recycling programs.</w:t>
      </w:r>
    </w:p>
    <w:p w:rsidR="00FF409E" w:rsidRPr="00FF409E" w:rsidRDefault="00FF409E" w:rsidP="00000FEE">
      <w:pPr>
        <w:widowControl w:val="0"/>
        <w:rPr>
          <w:lang w:bidi="en-US"/>
        </w:rPr>
      </w:pPr>
    </w:p>
    <w:p w:rsidR="00FF409E" w:rsidRDefault="00B43D6F" w:rsidP="00000FEE">
      <w:pPr>
        <w:widowControl w:val="0"/>
        <w:rPr>
          <w:lang w:bidi="en-US"/>
        </w:rPr>
      </w:pPr>
      <w:r w:rsidRPr="005635FF">
        <w:rPr>
          <w:rFonts w:ascii="Century Gothic" w:hAnsi="Century Gothic"/>
          <w:b/>
          <w:bCs/>
          <w:sz w:val="24"/>
          <w:lang w:bidi="en-US"/>
        </w:rPr>
        <w:t>Demand Savings or Demand Reduction</w:t>
      </w:r>
      <w:r w:rsidR="00FF409E" w:rsidRPr="006F1BB6">
        <w:rPr>
          <w:rFonts w:ascii="Century Gothic" w:hAnsi="Century Gothic"/>
          <w:lang w:bidi="en-US"/>
        </w:rPr>
        <w:t>:</w:t>
      </w:r>
      <w:r w:rsidR="00FF409E" w:rsidRPr="00FF409E">
        <w:rPr>
          <w:lang w:bidi="en-US"/>
        </w:rPr>
        <w:t xml:space="preserve"> The reduction in the demand from the pre-retrofit baseline to the post-retrofit demand, once independent variables (e.g., weather, occupancy) have been adjusted for. This term is usually applied to billing demand (to calculate cost savings) or to peak demand (for equipment sizing purposes).</w:t>
      </w:r>
    </w:p>
    <w:p w:rsidR="00FF409E" w:rsidRPr="00FF409E" w:rsidRDefault="00FF409E" w:rsidP="00000FEE">
      <w:pPr>
        <w:widowControl w:val="0"/>
        <w:rPr>
          <w:lang w:bidi="en-US"/>
        </w:rPr>
      </w:pPr>
    </w:p>
    <w:p w:rsidR="00FF409E" w:rsidRDefault="00B43D6F" w:rsidP="00000FEE">
      <w:pPr>
        <w:widowControl w:val="0"/>
        <w:rPr>
          <w:lang w:bidi="en-US"/>
        </w:rPr>
      </w:pPr>
      <w:r w:rsidRPr="005635FF">
        <w:rPr>
          <w:rFonts w:ascii="Century Gothic" w:hAnsi="Century Gothic"/>
          <w:b/>
          <w:bCs/>
          <w:sz w:val="24"/>
          <w:lang w:bidi="en-US"/>
        </w:rPr>
        <w:t>Demand</w:t>
      </w:r>
      <w:r w:rsidR="00E710A9">
        <w:rPr>
          <w:rFonts w:ascii="Century Gothic" w:hAnsi="Century Gothic"/>
          <w:b/>
          <w:bCs/>
          <w:sz w:val="24"/>
          <w:lang w:bidi="en-US"/>
        </w:rPr>
        <w:t xml:space="preserve"> </w:t>
      </w:r>
      <w:r w:rsidRPr="005635FF">
        <w:rPr>
          <w:rFonts w:ascii="Century Gothic" w:hAnsi="Century Gothic"/>
          <w:b/>
          <w:bCs/>
          <w:sz w:val="24"/>
          <w:lang w:bidi="en-US"/>
        </w:rPr>
        <w:t>Side Management</w:t>
      </w:r>
      <w:r w:rsidR="00FF409E" w:rsidRPr="005635FF">
        <w:rPr>
          <w:rFonts w:ascii="Century Gothic" w:hAnsi="Century Gothic"/>
          <w:b/>
          <w:bCs/>
          <w:sz w:val="24"/>
          <w:lang w:bidi="en-US"/>
        </w:rPr>
        <w:t xml:space="preserve"> (DSM)</w:t>
      </w:r>
      <w:r w:rsidR="00FF409E" w:rsidRPr="00FF409E">
        <w:rPr>
          <w:lang w:bidi="en-US"/>
        </w:rPr>
        <w:t xml:space="preserve">: The methods used to manage energy demand, including </w:t>
      </w:r>
      <w:r w:rsidR="00E710A9">
        <w:rPr>
          <w:lang w:bidi="en-US"/>
        </w:rPr>
        <w:t>energy efficiency</w:t>
      </w:r>
      <w:r w:rsidR="00FF409E" w:rsidRPr="00FF409E">
        <w:rPr>
          <w:lang w:bidi="en-US"/>
        </w:rPr>
        <w:t xml:space="preserve">, load management, fuel substitution, and load building. Also </w:t>
      </w:r>
      <w:r w:rsidR="00973929">
        <w:rPr>
          <w:lang w:bidi="en-US"/>
        </w:rPr>
        <w:t>s</w:t>
      </w:r>
      <w:r w:rsidR="00FF409E" w:rsidRPr="00FF409E">
        <w:rPr>
          <w:lang w:bidi="en-US"/>
        </w:rPr>
        <w:t>ee LOAD MANAGEMENT.</w:t>
      </w:r>
    </w:p>
    <w:p w:rsidR="00FF409E" w:rsidRPr="00FF409E" w:rsidRDefault="00FF409E" w:rsidP="00000FEE">
      <w:pPr>
        <w:widowControl w:val="0"/>
        <w:rPr>
          <w:lang w:bidi="en-US"/>
        </w:rPr>
      </w:pPr>
      <w:r w:rsidRPr="00FF409E">
        <w:rPr>
          <w:lang w:bidi="en-US"/>
        </w:rPr>
        <w:t xml:space="preserve"> </w:t>
      </w:r>
    </w:p>
    <w:p w:rsidR="00FF409E" w:rsidRDefault="00B43D6F" w:rsidP="00000FEE">
      <w:pPr>
        <w:widowControl w:val="0"/>
        <w:rPr>
          <w:lang w:bidi="en-US"/>
        </w:rPr>
      </w:pPr>
      <w:r>
        <w:rPr>
          <w:rFonts w:ascii="Century Gothic" w:hAnsi="Century Gothic"/>
          <w:b/>
          <w:bCs/>
          <w:sz w:val="24"/>
          <w:lang w:bidi="en-US"/>
        </w:rPr>
        <w:t>Direct Energy Savings (Direct Program Energy Savings)</w:t>
      </w:r>
      <w:r w:rsidR="00FF409E" w:rsidRPr="006F1BB6">
        <w:rPr>
          <w:rFonts w:ascii="Century Gothic" w:hAnsi="Century Gothic"/>
          <w:sz w:val="24"/>
          <w:lang w:bidi="en-US"/>
        </w:rPr>
        <w:t>:</w:t>
      </w:r>
      <w:r w:rsidR="00FF409E" w:rsidRPr="00FF409E">
        <w:rPr>
          <w:lang w:bidi="en-US"/>
        </w:rPr>
        <w:t xml:space="preserve"> </w:t>
      </w:r>
      <w:r w:rsidR="00E710A9" w:rsidRPr="00E710A9">
        <w:rPr>
          <w:lang w:bidi="en-US"/>
        </w:rPr>
        <w:t>The savings from programs responsible for achieving specific energy efficiency EE goals. Typically, these are resource acquisition programs or programs that install or expedite the installation of energy -efficient equipment and that directly cause or help cause energy efficiency EE to be achieved. Rebate, incentive, and direct-install programs provide direct energy savings</w:t>
      </w:r>
      <w:r w:rsidR="00E710A9">
        <w:rPr>
          <w:lang w:bidi="en-US"/>
        </w:rPr>
        <w:t>.</w:t>
      </w:r>
    </w:p>
    <w:p w:rsidR="00FF409E" w:rsidRPr="00FF409E" w:rsidRDefault="00FF409E" w:rsidP="00000FEE">
      <w:pPr>
        <w:widowControl w:val="0"/>
        <w:rPr>
          <w:lang w:bidi="en-US"/>
        </w:rPr>
      </w:pPr>
    </w:p>
    <w:p w:rsidR="00FF409E" w:rsidRDefault="00636D6D" w:rsidP="00000FEE">
      <w:pPr>
        <w:widowControl w:val="0"/>
        <w:rPr>
          <w:lang w:bidi="en-US"/>
        </w:rPr>
      </w:pPr>
      <w:r>
        <w:rPr>
          <w:rFonts w:ascii="Century Gothic" w:hAnsi="Century Gothic"/>
          <w:b/>
          <w:bCs/>
          <w:sz w:val="24"/>
          <w:lang w:bidi="en-US"/>
        </w:rPr>
        <w:t>Direct</w:t>
      </w:r>
      <w:r w:rsidR="00973929">
        <w:rPr>
          <w:rFonts w:ascii="Century Gothic" w:hAnsi="Century Gothic"/>
          <w:b/>
          <w:bCs/>
          <w:sz w:val="24"/>
          <w:lang w:bidi="en-US"/>
        </w:rPr>
        <w:t>-</w:t>
      </w:r>
      <w:r>
        <w:rPr>
          <w:rFonts w:ascii="Century Gothic" w:hAnsi="Century Gothic"/>
          <w:b/>
          <w:bCs/>
          <w:sz w:val="24"/>
          <w:lang w:bidi="en-US"/>
        </w:rPr>
        <w:t>Install or Direct</w:t>
      </w:r>
      <w:r w:rsidR="00973929">
        <w:rPr>
          <w:rFonts w:ascii="Century Gothic" w:hAnsi="Century Gothic"/>
          <w:b/>
          <w:bCs/>
          <w:sz w:val="24"/>
          <w:lang w:bidi="en-US"/>
        </w:rPr>
        <w:t>-</w:t>
      </w:r>
      <w:r>
        <w:rPr>
          <w:rFonts w:ascii="Century Gothic" w:hAnsi="Century Gothic"/>
          <w:b/>
          <w:bCs/>
          <w:sz w:val="24"/>
          <w:lang w:bidi="en-US"/>
        </w:rPr>
        <w:t>Installation Programs</w:t>
      </w:r>
      <w:r w:rsidR="00FF409E" w:rsidRPr="00FF409E">
        <w:rPr>
          <w:lang w:bidi="en-US"/>
        </w:rPr>
        <w:t xml:space="preserve">: </w:t>
      </w:r>
      <w:r w:rsidR="00E710A9" w:rsidRPr="00E710A9">
        <w:rPr>
          <w:lang w:bidi="en-US"/>
        </w:rPr>
        <w:t>Programs that provide free energy efficiency EE measures and their installation for qualified customers. Typical measures distributed by these programs include low-flow showerheads and compact fluorescent bulbs</w:t>
      </w:r>
      <w:r w:rsidR="00E710A9">
        <w:rPr>
          <w:lang w:bidi="en-US"/>
        </w:rPr>
        <w:t xml:space="preserve"> </w:t>
      </w:r>
      <w:r w:rsidR="00E710A9" w:rsidRPr="00E710A9">
        <w:rPr>
          <w:lang w:bidi="en-US"/>
        </w:rPr>
        <w:t>CFLs</w:t>
      </w:r>
      <w:r w:rsidR="00FF409E" w:rsidRPr="00FF409E">
        <w:rPr>
          <w:lang w:bidi="en-US"/>
        </w:rPr>
        <w:t>.</w:t>
      </w:r>
    </w:p>
    <w:p w:rsidR="00FF409E" w:rsidRPr="00FF409E" w:rsidRDefault="00FF409E" w:rsidP="00000FEE">
      <w:pPr>
        <w:widowControl w:val="0"/>
        <w:rPr>
          <w:lang w:bidi="en-US"/>
        </w:rPr>
      </w:pPr>
    </w:p>
    <w:p w:rsidR="00FF409E" w:rsidRDefault="00636D6D" w:rsidP="00000FEE">
      <w:pPr>
        <w:widowControl w:val="0"/>
        <w:rPr>
          <w:lang w:bidi="en-US"/>
        </w:rPr>
      </w:pPr>
      <w:r>
        <w:rPr>
          <w:rFonts w:ascii="Century Gothic" w:hAnsi="Century Gothic"/>
          <w:b/>
          <w:bCs/>
          <w:sz w:val="24"/>
          <w:lang w:bidi="en-US"/>
        </w:rPr>
        <w:t>Distributed Generation</w:t>
      </w:r>
      <w:r w:rsidR="00FF409E" w:rsidRPr="00FF409E">
        <w:rPr>
          <w:lang w:bidi="en-US"/>
        </w:rPr>
        <w:t xml:space="preserve">: </w:t>
      </w:r>
      <w:r w:rsidR="00973929">
        <w:rPr>
          <w:lang w:bidi="en-US"/>
        </w:rPr>
        <w:t>I</w:t>
      </w:r>
      <w:r w:rsidR="00FF409E" w:rsidRPr="00FF409E">
        <w:rPr>
          <w:lang w:bidi="en-US"/>
        </w:rPr>
        <w:t>nvolves small amounts of generation located on a utility’s distribution system for the purpose of meeting local (substation</w:t>
      </w:r>
      <w:r w:rsidR="00E710A9">
        <w:rPr>
          <w:lang w:bidi="en-US"/>
        </w:rPr>
        <w:t>-</w:t>
      </w:r>
      <w:r w:rsidR="00FF409E" w:rsidRPr="00FF409E">
        <w:rPr>
          <w:lang w:bidi="en-US"/>
        </w:rPr>
        <w:t>level) peak loads or displacing the need to build additional (or upgrade) local distribution lines.</w:t>
      </w:r>
    </w:p>
    <w:p w:rsidR="00FF409E" w:rsidRDefault="00FF409E" w:rsidP="00000FEE">
      <w:pPr>
        <w:widowControl w:val="0"/>
        <w:rPr>
          <w:lang w:bidi="en-US"/>
        </w:rPr>
      </w:pPr>
    </w:p>
    <w:p w:rsidR="005361D4" w:rsidRPr="005361D4" w:rsidRDefault="005361D4"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5361D4">
        <w:rPr>
          <w:rFonts w:ascii="Century Gothic" w:hAnsi="Century Gothic"/>
          <w:b/>
          <w:bCs/>
          <w:color w:val="448A99"/>
          <w:sz w:val="28"/>
          <w:lang w:bidi="en-US"/>
        </w:rPr>
        <w:t>-</w:t>
      </w:r>
      <w:r>
        <w:rPr>
          <w:rFonts w:ascii="Century Gothic" w:hAnsi="Century Gothic"/>
          <w:b/>
          <w:bCs/>
          <w:color w:val="448A99"/>
          <w:sz w:val="28"/>
          <w:lang w:bidi="en-US"/>
        </w:rPr>
        <w:t>E</w:t>
      </w:r>
      <w:r w:rsidRPr="005361D4">
        <w:rPr>
          <w:rFonts w:ascii="Century Gothic" w:hAnsi="Century Gothic"/>
          <w:b/>
          <w:bCs/>
          <w:color w:val="448A99"/>
          <w:sz w:val="28"/>
          <w:lang w:bidi="en-US"/>
        </w:rPr>
        <w:t>-</w:t>
      </w:r>
    </w:p>
    <w:p w:rsidR="00E710A9" w:rsidRPr="00E710A9" w:rsidRDefault="00E710A9" w:rsidP="00E710A9">
      <w:pPr>
        <w:widowControl w:val="0"/>
        <w:rPr>
          <w:lang w:bidi="en-US"/>
        </w:rPr>
      </w:pPr>
      <w:r w:rsidRPr="00E710A9">
        <w:rPr>
          <w:rFonts w:ascii="Century Gothic" w:hAnsi="Century Gothic"/>
          <w:b/>
          <w:bCs/>
          <w:sz w:val="24"/>
          <w:lang w:bidi="en-US"/>
        </w:rPr>
        <w:t>EDC Proposed Savings</w:t>
      </w:r>
      <w:r w:rsidRPr="00E710A9">
        <w:rPr>
          <w:rFonts w:ascii="Century Gothic" w:hAnsi="Century Gothic"/>
          <w:sz w:val="24"/>
          <w:lang w:bidi="en-US"/>
        </w:rPr>
        <w:t>:</w:t>
      </w:r>
      <w:r w:rsidRPr="00E710A9">
        <w:rPr>
          <w:sz w:val="24"/>
          <w:lang w:bidi="en-US"/>
        </w:rPr>
        <w:t xml:space="preserve"> </w:t>
      </w:r>
      <w:r w:rsidRPr="00E710A9">
        <w:rPr>
          <w:lang w:bidi="en-US"/>
        </w:rPr>
        <w:t>Energy savings and demand reductions proposed by EDCs and developed using alternative values or savings protocols to those in the TRM. EDC proposed savings can include savings based on research conducted by EDCs or their evaluation contractors or from other data sources.</w:t>
      </w:r>
    </w:p>
    <w:p w:rsidR="00E710A9" w:rsidRPr="00E710A9" w:rsidRDefault="00E710A9" w:rsidP="00E710A9">
      <w:pPr>
        <w:widowControl w:val="0"/>
        <w:rPr>
          <w:lang w:bidi="en-US"/>
        </w:rPr>
      </w:pPr>
      <w:r w:rsidRPr="00E710A9">
        <w:rPr>
          <w:lang w:bidi="en-US"/>
        </w:rPr>
        <w:t xml:space="preserve"> </w:t>
      </w:r>
    </w:p>
    <w:p w:rsidR="00E710A9" w:rsidRPr="00E710A9" w:rsidRDefault="00E710A9" w:rsidP="00E710A9">
      <w:pPr>
        <w:widowControl w:val="0"/>
        <w:rPr>
          <w:lang w:bidi="en-US"/>
        </w:rPr>
      </w:pPr>
      <w:r w:rsidRPr="00E710A9">
        <w:rPr>
          <w:rFonts w:ascii="Century Gothic" w:hAnsi="Century Gothic"/>
          <w:b/>
          <w:bCs/>
          <w:sz w:val="24"/>
          <w:lang w:bidi="en-US"/>
        </w:rPr>
        <w:t>Efficiency</w:t>
      </w:r>
      <w:r w:rsidRPr="00E710A9">
        <w:rPr>
          <w:rFonts w:ascii="Century Gothic" w:hAnsi="Century Gothic"/>
          <w:sz w:val="24"/>
          <w:lang w:bidi="en-US"/>
        </w:rPr>
        <w:t>:</w:t>
      </w:r>
      <w:r w:rsidRPr="00E710A9">
        <w:rPr>
          <w:sz w:val="24"/>
          <w:lang w:bidi="en-US"/>
        </w:rPr>
        <w:t xml:space="preserve"> </w:t>
      </w:r>
      <w:r w:rsidRPr="00E710A9">
        <w:rPr>
          <w:lang w:bidi="en-US"/>
        </w:rPr>
        <w:t>The ratio of the useful energy delivered by a dynamic system (e.g., a machine, engine, or motor) to the energy supplied to it over the same period or cycle of operation. The ratio is usually determined under specific test conditions.</w:t>
      </w:r>
    </w:p>
    <w:p w:rsidR="00E710A9" w:rsidRPr="00E710A9" w:rsidRDefault="00E710A9" w:rsidP="00E710A9">
      <w:pPr>
        <w:widowControl w:val="0"/>
        <w:rPr>
          <w:lang w:bidi="en-US"/>
        </w:rPr>
      </w:pPr>
    </w:p>
    <w:p w:rsidR="00E710A9" w:rsidRPr="00E710A9" w:rsidRDefault="00E710A9" w:rsidP="00E710A9">
      <w:pPr>
        <w:widowControl w:val="0"/>
        <w:rPr>
          <w:rFonts w:ascii="Century Gothic" w:hAnsi="Century Gothic"/>
          <w:b/>
          <w:sz w:val="24"/>
          <w:lang w:bidi="en-US"/>
        </w:rPr>
      </w:pPr>
      <w:r w:rsidRPr="00E710A9">
        <w:rPr>
          <w:rFonts w:ascii="Century Gothic" w:hAnsi="Century Gothic"/>
          <w:b/>
          <w:sz w:val="24"/>
          <w:lang w:bidi="en-US"/>
        </w:rPr>
        <w:t xml:space="preserve">Electric Distribution Company: </w:t>
      </w:r>
      <w:r w:rsidRPr="00E710A9">
        <w:rPr>
          <w:rFonts w:asciiTheme="minorHAnsi" w:hAnsiTheme="minorHAnsi"/>
          <w:lang w:bidi="en-US"/>
        </w:rPr>
        <w:t>A publically owned electric service provider.</w:t>
      </w:r>
    </w:p>
    <w:p w:rsidR="00E710A9" w:rsidRPr="00E710A9" w:rsidRDefault="00E710A9" w:rsidP="00E710A9">
      <w:pPr>
        <w:widowControl w:val="0"/>
        <w:rPr>
          <w:rFonts w:ascii="Century Gothic" w:hAnsi="Century Gothic"/>
          <w:b/>
          <w:sz w:val="24"/>
          <w:lang w:bidi="en-US"/>
        </w:rPr>
      </w:pPr>
    </w:p>
    <w:p w:rsidR="00E710A9" w:rsidRPr="00E710A9" w:rsidRDefault="00E710A9" w:rsidP="00E710A9">
      <w:pPr>
        <w:widowControl w:val="0"/>
        <w:rPr>
          <w:lang w:bidi="en-US"/>
        </w:rPr>
      </w:pPr>
      <w:r w:rsidRPr="00E710A9">
        <w:rPr>
          <w:rFonts w:ascii="Century Gothic" w:hAnsi="Century Gothic"/>
          <w:b/>
          <w:bCs/>
          <w:sz w:val="24"/>
          <w:lang w:bidi="en-US"/>
        </w:rPr>
        <w:t>End Use (Measures or Groups)</w:t>
      </w:r>
      <w:r w:rsidRPr="00E710A9">
        <w:rPr>
          <w:rFonts w:ascii="Century Gothic" w:hAnsi="Century Gothic"/>
          <w:sz w:val="24"/>
          <w:lang w:bidi="en-US"/>
        </w:rPr>
        <w:t>:</w:t>
      </w:r>
      <w:r w:rsidRPr="00E710A9">
        <w:rPr>
          <w:sz w:val="24"/>
          <w:lang w:bidi="en-US"/>
        </w:rPr>
        <w:t xml:space="preserve"> </w:t>
      </w:r>
      <w:r w:rsidRPr="00E710A9">
        <w:rPr>
          <w:lang w:bidi="en-US"/>
        </w:rPr>
        <w:t>Refers to a broad or sometimes narrow category on which a program is concentrating efforts. Examples include refrigeration, food service, HVAC, appliances, building envelope, and lighting.</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Consumption</w:t>
      </w:r>
      <w:r w:rsidRPr="00E710A9">
        <w:rPr>
          <w:rFonts w:ascii="Century Gothic" w:hAnsi="Century Gothic"/>
          <w:sz w:val="24"/>
          <w:lang w:bidi="en-US"/>
        </w:rPr>
        <w:t>:</w:t>
      </w:r>
      <w:r w:rsidRPr="00E710A9">
        <w:rPr>
          <w:sz w:val="24"/>
          <w:lang w:bidi="en-US"/>
        </w:rPr>
        <w:t xml:space="preserve"> </w:t>
      </w:r>
      <w:r w:rsidRPr="00E710A9">
        <w:rPr>
          <w:lang w:bidi="en-US"/>
        </w:rPr>
        <w:t>The amount of energy consumed in the form in which it is acquired by the user. The term excludes electrical generation and distribution losses.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Cost</w:t>
      </w:r>
      <w:r w:rsidRPr="00E710A9">
        <w:rPr>
          <w:rFonts w:ascii="Century Gothic" w:hAnsi="Century Gothic"/>
          <w:sz w:val="24"/>
          <w:lang w:bidi="en-US"/>
        </w:rPr>
        <w:t>:</w:t>
      </w:r>
      <w:r w:rsidRPr="00E710A9">
        <w:rPr>
          <w:sz w:val="24"/>
          <w:lang w:bidi="en-US"/>
        </w:rPr>
        <w:t xml:space="preserve"> </w:t>
      </w:r>
      <w:r w:rsidRPr="00E710A9">
        <w:rPr>
          <w:lang w:bidi="en-US"/>
        </w:rPr>
        <w:t>The total cost for energy, including such charges as base charges, demand charges, customer charges, power factor charges, and miscellaneous charges.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Efficiency</w:t>
      </w:r>
      <w:r w:rsidRPr="00E710A9">
        <w:rPr>
          <w:rFonts w:ascii="Century Gothic" w:hAnsi="Century Gothic"/>
          <w:sz w:val="24"/>
          <w:lang w:bidi="en-US"/>
        </w:rPr>
        <w:t>:</w:t>
      </w:r>
      <w:r w:rsidRPr="00E710A9">
        <w:rPr>
          <w:sz w:val="24"/>
          <w:lang w:bidi="en-US"/>
        </w:rPr>
        <w:t xml:space="preserve"> </w:t>
      </w:r>
      <w:r w:rsidRPr="00E710A9">
        <w:rPr>
          <w:lang w:bidi="en-US"/>
        </w:rPr>
        <w:t>The use of less energy to perform the same function. Describes programs designed to use energy more efficiently—doing the same with less. For the purposes of this report, energy efficiency programs are distinguished from DSM programs, which are utility-sponsored and -financed, whereas the term “energy efficiency” is not limited to a particular sponsor or funding source. The term “energy conservation” has also been used, but it has the connotation of doing without in order to save energy rather than using less energy to perform the same function, and so is not used as much today. Many people use the two terms interchangeably.</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Efficiency Improvement</w:t>
      </w:r>
      <w:r w:rsidRPr="00E710A9">
        <w:rPr>
          <w:rFonts w:ascii="Century Gothic" w:hAnsi="Century Gothic"/>
          <w:sz w:val="24"/>
          <w:lang w:bidi="en-US"/>
        </w:rPr>
        <w:t>:</w:t>
      </w:r>
      <w:r w:rsidRPr="00E710A9">
        <w:rPr>
          <w:lang w:bidi="en-US"/>
        </w:rPr>
        <w:t xml:space="preserve"> Reduced energy use for a comparable level of service, resulting from installation of an energy efficiency measure or adoption of an energy efficiency practice. Level of service may be expressed as the volume of a refrigerator, temperature levels, production output of a manufacturing facility, or lighting level per square foot.</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Efficiency Measure</w:t>
      </w:r>
      <w:r w:rsidRPr="00E710A9">
        <w:rPr>
          <w:lang w:bidi="en-US"/>
        </w:rPr>
        <w:t>: Equipment, subsystems, or systems, or modification of equipment, subsystems, systems, or operations, on the customer side of the meter, for the purpose of reducing energy or demand (and hence energy or demand costs) at a comparable level of service.</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Efficiency of Equipment</w:t>
      </w:r>
      <w:r w:rsidRPr="00E710A9">
        <w:rPr>
          <w:rFonts w:ascii="Century Gothic" w:hAnsi="Century Gothic"/>
          <w:sz w:val="24"/>
          <w:lang w:bidi="en-US"/>
        </w:rPr>
        <w:t>:</w:t>
      </w:r>
      <w:r w:rsidRPr="00E710A9">
        <w:rPr>
          <w:sz w:val="24"/>
          <w:lang w:bidi="en-US"/>
        </w:rPr>
        <w:t xml:space="preserve"> </w:t>
      </w:r>
      <w:r w:rsidRPr="00E710A9">
        <w:rPr>
          <w:lang w:bidi="en-US"/>
        </w:rPr>
        <w:t>The percentage of gross energy input that is realized as useful energy output of a piece of equipment.</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Efficiency of a Measure</w:t>
      </w:r>
      <w:r w:rsidRPr="00E710A9">
        <w:rPr>
          <w:lang w:bidi="en-US"/>
        </w:rPr>
        <w:t>: A measure of the energy used to provide a specific service or to accomplish a specific amount of work (e.g., kWh/cubic foot of a refrigerator, therms/gallon of hot water).</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Efficiency Practice</w:t>
      </w:r>
      <w:r w:rsidRPr="00E710A9">
        <w:rPr>
          <w:rFonts w:ascii="Century Gothic" w:hAnsi="Century Gothic"/>
          <w:sz w:val="24"/>
          <w:lang w:bidi="en-US"/>
        </w:rPr>
        <w:t>:</w:t>
      </w:r>
      <w:r w:rsidRPr="00E710A9">
        <w:rPr>
          <w:sz w:val="24"/>
          <w:lang w:bidi="en-US"/>
        </w:rPr>
        <w:t xml:space="preserve"> </w:t>
      </w:r>
      <w:r w:rsidRPr="00E710A9">
        <w:rPr>
          <w:lang w:bidi="en-US"/>
        </w:rPr>
        <w:t>The use of high-efficiency products, services, and practices, or an energy-using appliance or piece of equipment, to reduce energy use while maintaining a comparable level of service when installed or applied on the customer side of the meter. Energy efficiency activities typically require permanent replacement of energy-using equipment with more efficient models. Examples include refrigerator replacement, light fixture replacement, and cooling equipment upgrades.</w:t>
      </w:r>
    </w:p>
    <w:p w:rsidR="00E710A9" w:rsidRPr="00E710A9" w:rsidRDefault="00E710A9" w:rsidP="00E710A9">
      <w:pPr>
        <w:widowControl w:val="0"/>
        <w:rPr>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Energy Efficiency Ratio (EER)</w:t>
      </w:r>
      <w:r w:rsidRPr="00E710A9">
        <w:rPr>
          <w:rFonts w:ascii="Century Gothic" w:hAnsi="Century Gothic"/>
          <w:bCs/>
          <w:sz w:val="24"/>
          <w:lang w:bidi="en-US"/>
        </w:rPr>
        <w:t>:</w:t>
      </w:r>
      <w:r w:rsidRPr="00E710A9">
        <w:rPr>
          <w:bCs/>
          <w:sz w:val="24"/>
          <w:lang w:bidi="en-US"/>
        </w:rPr>
        <w:t xml:space="preserve"> </w:t>
      </w:r>
      <w:r w:rsidRPr="00E710A9">
        <w:rPr>
          <w:bCs/>
          <w:lang w:bidi="en-US"/>
        </w:rPr>
        <w:t>The ratio of output cooling in BTUs per hour to input electrical power in watts at a given operating point. EER is generally calculated using a 95°F outside temperature and an inside temperature of 80°F at 50% relative humidity. The higher a unit’s EER rating, the more energy efficient it is.</w:t>
      </w:r>
    </w:p>
    <w:p w:rsidR="00E710A9" w:rsidRPr="00E710A9" w:rsidRDefault="00E710A9" w:rsidP="00E710A9">
      <w:pPr>
        <w:widowControl w:val="0"/>
        <w:rPr>
          <w:bCs/>
          <w:lang w:bidi="en-US"/>
        </w:rPr>
      </w:pPr>
      <w:r w:rsidRPr="00E710A9">
        <w:rPr>
          <w:bCs/>
          <w:lang w:bidi="en-US"/>
        </w:rPr>
        <w:t xml:space="preserve"> </w:t>
      </w:r>
    </w:p>
    <w:p w:rsidR="00E710A9" w:rsidRPr="00E710A9" w:rsidRDefault="00E710A9" w:rsidP="00E710A9">
      <w:pPr>
        <w:widowControl w:val="0"/>
        <w:rPr>
          <w:lang w:bidi="en-US"/>
        </w:rPr>
      </w:pPr>
      <w:r w:rsidRPr="00E710A9">
        <w:rPr>
          <w:rFonts w:ascii="Century Gothic" w:hAnsi="Century Gothic"/>
          <w:b/>
          <w:bCs/>
          <w:sz w:val="24"/>
          <w:lang w:bidi="en-US"/>
        </w:rPr>
        <w:t>Energy Management System</w:t>
      </w:r>
      <w:r w:rsidRPr="00E710A9">
        <w:rPr>
          <w:rFonts w:ascii="Century Gothic" w:hAnsi="Century Gothic"/>
          <w:sz w:val="24"/>
          <w:lang w:bidi="en-US"/>
        </w:rPr>
        <w:t>:</w:t>
      </w:r>
      <w:r w:rsidRPr="00E710A9">
        <w:rPr>
          <w:sz w:val="24"/>
          <w:lang w:bidi="en-US"/>
        </w:rPr>
        <w:t xml:space="preserve"> </w:t>
      </w:r>
      <w:r w:rsidRPr="00E710A9">
        <w:rPr>
          <w:lang w:bidi="en-US"/>
        </w:rPr>
        <w:t>A control system (often computerized) designed to regulate the energy consumption of a building by controlling the operation of energy-consuming systems (e.g., HVAC, lighting, and water-heating systems).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Energy Savings or Energy Reduction</w:t>
      </w:r>
      <w:r w:rsidRPr="00E710A9">
        <w:rPr>
          <w:rFonts w:ascii="Century Gothic" w:hAnsi="Century Gothic"/>
          <w:sz w:val="24"/>
          <w:lang w:bidi="en-US"/>
        </w:rPr>
        <w:t>:</w:t>
      </w:r>
      <w:r w:rsidRPr="00E710A9">
        <w:rPr>
          <w:lang w:bidi="en-US"/>
        </w:rPr>
        <w:t xml:space="preserve"> The reduction in energy use from the pre-retrofit baseline to the post-retrofit energy use, once independent variables (e.g., weather, occupancy) have been adjusted for.</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Engineering Models</w:t>
      </w:r>
      <w:r w:rsidRPr="00E710A9">
        <w:rPr>
          <w:rFonts w:ascii="Century Gothic" w:hAnsi="Century Gothic"/>
          <w:sz w:val="24"/>
          <w:lang w:bidi="en-US"/>
        </w:rPr>
        <w:t>:</w:t>
      </w:r>
      <w:r w:rsidRPr="00E710A9">
        <w:rPr>
          <w:sz w:val="24"/>
          <w:lang w:bidi="en-US"/>
        </w:rPr>
        <w:t xml:space="preserve"> </w:t>
      </w:r>
      <w:r w:rsidRPr="00E710A9">
        <w:rPr>
          <w:lang w:bidi="en-US"/>
        </w:rPr>
        <w:t>Engineering equations used to calculate energy usage and savings. These models are usually based on a quantitative description of physical processes that transform delivered energy into useful work such as heat, lighting, or motor drive. In practice, these models may be reduced to simple equations in spreadsheets that calculate energy usage or savings as a function of measurable attributes of customers, facilities, or equipment (e.g., lighting use = watts × hours of use).</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Evaluation</w:t>
      </w:r>
      <w:r w:rsidRPr="00E710A9">
        <w:rPr>
          <w:rFonts w:ascii="Century Gothic" w:hAnsi="Century Gothic"/>
          <w:sz w:val="24"/>
          <w:lang w:bidi="en-US"/>
        </w:rPr>
        <w:t>:</w:t>
      </w:r>
      <w:r w:rsidRPr="00E710A9">
        <w:rPr>
          <w:lang w:bidi="en-US"/>
        </w:rPr>
        <w:t xml:space="preserve"> The performance of studies and activities aimed at determining the effects of a program; any of a wide range of assessment activities associated with understanding or documenting program performance or potential performance, or with assessing program or program-related markets and market operations; any of a wide range of evaluative efforts, including assessing program-induced changes in energy efficiency markets, levels of demand or energy savings, and program cost-effectiveness.</w:t>
      </w:r>
    </w:p>
    <w:p w:rsidR="00E710A9" w:rsidRPr="00E710A9" w:rsidRDefault="00E710A9" w:rsidP="00E710A9">
      <w:pPr>
        <w:widowControl w:val="0"/>
        <w:rPr>
          <w:rFonts w:ascii="Century Gothic" w:hAnsi="Century Gothic"/>
          <w:b/>
          <w:bCs/>
          <w:sz w:val="24"/>
          <w:lang w:bidi="en-US"/>
        </w:rPr>
      </w:pPr>
    </w:p>
    <w:p w:rsidR="00E710A9" w:rsidRPr="00E710A9" w:rsidRDefault="00E710A9" w:rsidP="00E710A9">
      <w:pPr>
        <w:widowControl w:val="0"/>
        <w:rPr>
          <w:lang w:bidi="en-US"/>
        </w:rPr>
      </w:pPr>
      <w:r w:rsidRPr="00E710A9">
        <w:rPr>
          <w:rFonts w:ascii="Century Gothic" w:hAnsi="Century Gothic"/>
          <w:b/>
          <w:sz w:val="24"/>
          <w:lang w:bidi="en-US"/>
        </w:rPr>
        <w:t>Evaluation, Measurement, and Verification</w:t>
      </w:r>
      <w:r w:rsidRPr="00E710A9">
        <w:rPr>
          <w:rFonts w:ascii="Century Gothic" w:hAnsi="Century Gothic"/>
          <w:sz w:val="24"/>
          <w:lang w:bidi="en-US"/>
        </w:rPr>
        <w:t xml:space="preserve"> </w:t>
      </w:r>
      <w:r w:rsidRPr="00E710A9">
        <w:rPr>
          <w:rFonts w:ascii="Century Gothic" w:hAnsi="Century Gothic"/>
          <w:b/>
          <w:sz w:val="24"/>
          <w:lang w:bidi="en-US"/>
        </w:rPr>
        <w:t>(</w:t>
      </w:r>
      <w:r w:rsidRPr="00E710A9">
        <w:rPr>
          <w:rFonts w:ascii="Century Gothic" w:hAnsi="Century Gothic"/>
          <w:b/>
          <w:bCs/>
          <w:sz w:val="24"/>
          <w:lang w:bidi="en-US"/>
        </w:rPr>
        <w:t>EM&amp;V</w:t>
      </w:r>
      <w:r w:rsidRPr="00E710A9">
        <w:rPr>
          <w:rFonts w:ascii="Century Gothic" w:hAnsi="Century Gothic"/>
          <w:b/>
          <w:sz w:val="24"/>
          <w:lang w:bidi="en-US"/>
        </w:rPr>
        <w:t>)</w:t>
      </w:r>
      <w:r w:rsidRPr="00E710A9">
        <w:rPr>
          <w:rFonts w:ascii="Century Gothic" w:hAnsi="Century Gothic"/>
          <w:sz w:val="24"/>
          <w:lang w:bidi="en-US"/>
        </w:rPr>
        <w:t>:</w:t>
      </w:r>
      <w:r w:rsidRPr="00E710A9">
        <w:rPr>
          <w:sz w:val="24"/>
          <w:lang w:bidi="en-US"/>
        </w:rPr>
        <w:t xml:space="preserve"> </w:t>
      </w:r>
      <w:r w:rsidRPr="00E710A9">
        <w:rPr>
          <w:lang w:bidi="en-US"/>
        </w:rPr>
        <w:t xml:space="preserve">Evaluation involves retrospectively assessing the performance and implementation of an energy efficiency or demand response program. M&amp;V refers to data collection, monitoring, and analysis used to calculate gross energy and demand savings from </w:t>
      </w:r>
      <w:r w:rsidRPr="00E710A9">
        <w:rPr>
          <w:i/>
          <w:iCs/>
          <w:lang w:bidi="en-US"/>
        </w:rPr>
        <w:t>individual sites or projects</w:t>
      </w:r>
      <w:r w:rsidRPr="00E710A9">
        <w:rPr>
          <w:lang w:bidi="en-US"/>
        </w:rPr>
        <w:t>. M&amp;V can be a subset of program impact evaluation. Generally speaking, the differentiation between evaluation and project M&amp;V is that evaluation is associated with programs and M&amp;V with projects.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Ex Ante Savings Estimate</w:t>
      </w:r>
      <w:r w:rsidRPr="00E710A9">
        <w:rPr>
          <w:rFonts w:ascii="Century Gothic" w:hAnsi="Century Gothic"/>
          <w:sz w:val="24"/>
          <w:lang w:bidi="en-US"/>
        </w:rPr>
        <w:t>:</w:t>
      </w:r>
      <w:r w:rsidRPr="00E710A9">
        <w:rPr>
          <w:sz w:val="24"/>
          <w:lang w:bidi="en-US"/>
        </w:rPr>
        <w:t xml:space="preserve"> </w:t>
      </w:r>
      <w:r w:rsidRPr="00E710A9">
        <w:rPr>
          <w:lang w:bidi="en-US"/>
        </w:rPr>
        <w:t>Also known as reported savings. Savings estimated by the program implementer (EDC or CSP). (From the Latin for “beforehand.”)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Ex Post Evaluation Estimated Savings</w:t>
      </w:r>
      <w:r w:rsidRPr="00E710A9">
        <w:rPr>
          <w:rFonts w:ascii="Century Gothic" w:hAnsi="Century Gothic"/>
          <w:sz w:val="24"/>
          <w:lang w:bidi="en-US"/>
        </w:rPr>
        <w:t>:</w:t>
      </w:r>
      <w:r w:rsidRPr="00E710A9">
        <w:rPr>
          <w:sz w:val="24"/>
          <w:lang w:bidi="en-US"/>
        </w:rPr>
        <w:t xml:space="preserve"> </w:t>
      </w:r>
      <w:r w:rsidRPr="00E710A9">
        <w:rPr>
          <w:lang w:bidi="en-US"/>
        </w:rPr>
        <w:t>Also known as verified savings. Savings estimates reported by an independent evaluator after the energy impact evaluation and the associated M&amp;V efforts have been completed. If only the term “ex post savings” is used, it is assumed that it refers to the ex post evaluation estimate, the most common usage. (From the Latin for “from something done afterward.”)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Ex Post (Program) Administrator-Estimated Savings</w:t>
      </w:r>
      <w:r w:rsidRPr="00E710A9">
        <w:rPr>
          <w:rFonts w:ascii="Century Gothic" w:hAnsi="Century Gothic"/>
          <w:sz w:val="24"/>
          <w:lang w:bidi="en-US"/>
        </w:rPr>
        <w:t>:</w:t>
      </w:r>
      <w:r w:rsidRPr="00E710A9">
        <w:rPr>
          <w:sz w:val="24"/>
          <w:lang w:bidi="en-US"/>
        </w:rPr>
        <w:t xml:space="preserve"> </w:t>
      </w:r>
      <w:r w:rsidRPr="00E710A9">
        <w:rPr>
          <w:lang w:bidi="en-US"/>
        </w:rPr>
        <w:t>Savings estimates reported by the administrator after program implementation has begun (administrator-reported ex post). (From the Latin for “from something done afterward.”)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Ex-Post (Program) Administrator-Forecasted Savings</w:t>
      </w:r>
      <w:r w:rsidRPr="00E710A9">
        <w:rPr>
          <w:rFonts w:ascii="Century Gothic" w:hAnsi="Century Gothic"/>
          <w:sz w:val="24"/>
          <w:lang w:bidi="en-US"/>
        </w:rPr>
        <w:t>:</w:t>
      </w:r>
      <w:r w:rsidRPr="00E710A9">
        <w:rPr>
          <w:sz w:val="24"/>
          <w:lang w:bidi="en-US"/>
        </w:rPr>
        <w:t xml:space="preserve"> </w:t>
      </w:r>
      <w:r w:rsidRPr="00E710A9">
        <w:rPr>
          <w:lang w:bidi="en-US"/>
        </w:rPr>
        <w:t>Savings estimates forecasted by the administrator during the program and portfolio planning process. (From the Latin for “from something done afterward.”)</w:t>
      </w:r>
    </w:p>
    <w:p w:rsidR="00E710A9" w:rsidRPr="00E710A9" w:rsidRDefault="00E710A9" w:rsidP="00E710A9">
      <w:pPr>
        <w:widowControl w:val="0"/>
        <w:rPr>
          <w:lang w:bidi="en-US"/>
        </w:rPr>
      </w:pPr>
    </w:p>
    <w:p w:rsidR="00E710A9" w:rsidRPr="00E710A9" w:rsidRDefault="00E710A9" w:rsidP="00E710A9">
      <w:pPr>
        <w:widowControl w:val="0"/>
      </w:pPr>
      <w:r w:rsidRPr="00E710A9">
        <w:rPr>
          <w:rFonts w:ascii="Century Gothic" w:hAnsi="Century Gothic"/>
          <w:b/>
          <w:sz w:val="24"/>
        </w:rPr>
        <w:t xml:space="preserve">Expected Useful Life: </w:t>
      </w:r>
      <w:r w:rsidRPr="00E710A9">
        <w:t xml:space="preserve">The assumed life expectancy, in years, of an </w:t>
      </w:r>
      <w:r w:rsidRPr="00E710A9">
        <w:rPr>
          <w:lang w:bidi="en-US"/>
        </w:rPr>
        <w:t xml:space="preserve">energy efficiency </w:t>
      </w:r>
      <w:r w:rsidRPr="00E710A9">
        <w:t>measure.</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-F-</w:t>
      </w:r>
    </w:p>
    <w:p w:rsidR="00E710A9" w:rsidRPr="00E710A9" w:rsidRDefault="00E710A9" w:rsidP="00E710A9">
      <w:pPr>
        <w:widowControl w:val="0"/>
        <w:rPr>
          <w:lang w:bidi="en-US"/>
        </w:rPr>
      </w:pPr>
      <w:r w:rsidRPr="00E710A9">
        <w:rPr>
          <w:rFonts w:ascii="Century Gothic" w:hAnsi="Century Gothic"/>
          <w:b/>
          <w:bCs/>
          <w:sz w:val="24"/>
          <w:lang w:bidi="en-US"/>
        </w:rPr>
        <w:t>Free-Driver</w:t>
      </w:r>
      <w:r w:rsidRPr="00E710A9">
        <w:rPr>
          <w:rFonts w:ascii="Century Gothic" w:hAnsi="Century Gothic"/>
          <w:sz w:val="24"/>
          <w:lang w:bidi="en-US"/>
        </w:rPr>
        <w:t>:</w:t>
      </w:r>
      <w:r w:rsidRPr="00E710A9">
        <w:rPr>
          <w:sz w:val="24"/>
          <w:lang w:bidi="en-US"/>
        </w:rPr>
        <w:t xml:space="preserve"> </w:t>
      </w:r>
      <w:r w:rsidRPr="00E710A9">
        <w:rPr>
          <w:lang w:bidi="en-US"/>
        </w:rPr>
        <w:t>A nonparticipant who adopts a particular efficiency measure or practice as a result of a utility program. See SPILLOVER for aggregate impacts.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Free-Rider</w:t>
      </w:r>
      <w:r w:rsidRPr="00E710A9">
        <w:rPr>
          <w:rFonts w:ascii="Century Gothic" w:hAnsi="Century Gothic"/>
          <w:sz w:val="24"/>
          <w:lang w:bidi="en-US"/>
        </w:rPr>
        <w:t>:</w:t>
      </w:r>
      <w:r w:rsidRPr="00E710A9">
        <w:rPr>
          <w:lang w:bidi="en-US"/>
        </w:rPr>
        <w:t xml:space="preserve"> A program participant who would have implemented a program measure or practice in the absence of the program within the same time frame.</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-G, H-</w:t>
      </w:r>
    </w:p>
    <w:p w:rsidR="00E710A9" w:rsidRPr="00E710A9" w:rsidRDefault="00E710A9" w:rsidP="00E710A9">
      <w:pPr>
        <w:widowControl w:val="0"/>
        <w:rPr>
          <w:lang w:bidi="en-US"/>
        </w:rPr>
      </w:pPr>
      <w:r w:rsidRPr="00E710A9">
        <w:rPr>
          <w:rFonts w:ascii="Century Gothic" w:hAnsi="Century Gothic"/>
          <w:b/>
          <w:bCs/>
          <w:sz w:val="24"/>
          <w:lang w:bidi="en-US"/>
        </w:rPr>
        <w:t>Gross Reduction or Gross Savings</w:t>
      </w:r>
      <w:r w:rsidRPr="00E710A9">
        <w:rPr>
          <w:rFonts w:ascii="Century Gothic" w:hAnsi="Century Gothic"/>
          <w:sz w:val="24"/>
          <w:lang w:bidi="en-US"/>
        </w:rPr>
        <w:t>:</w:t>
      </w:r>
      <w:r w:rsidRPr="00E710A9">
        <w:rPr>
          <w:sz w:val="24"/>
          <w:lang w:bidi="en-US"/>
        </w:rPr>
        <w:t xml:space="preserve"> </w:t>
      </w:r>
      <w:r w:rsidRPr="00E710A9">
        <w:rPr>
          <w:lang w:bidi="en-US"/>
        </w:rPr>
        <w:t>The change in energy consumption or demand that results directly from program-related actions taken by participants in an efficiency program, regardless of why they participated. Unless otherwise stated in this report, “gross reduction” and “gross savings” are used interchangeably.</w:t>
      </w:r>
    </w:p>
    <w:p w:rsidR="00E710A9" w:rsidRPr="00E710A9" w:rsidRDefault="00E710A9" w:rsidP="00E710A9">
      <w:pPr>
        <w:widowControl w:val="0"/>
        <w:rPr>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Heating Seasonal Performance Factor</w:t>
      </w:r>
      <w:r w:rsidRPr="00E710A9">
        <w:rPr>
          <w:rFonts w:ascii="Century Gothic" w:hAnsi="Century Gothic"/>
          <w:bCs/>
          <w:sz w:val="24"/>
          <w:lang w:bidi="en-US"/>
        </w:rPr>
        <w:t>:</w:t>
      </w:r>
      <w:r w:rsidRPr="00E710A9">
        <w:rPr>
          <w:bCs/>
          <w:sz w:val="24"/>
          <w:lang w:bidi="en-US"/>
        </w:rPr>
        <w:t xml:space="preserve"> </w:t>
      </w:r>
      <w:r w:rsidRPr="00E710A9">
        <w:rPr>
          <w:bCs/>
          <w:lang w:bidi="en-US"/>
        </w:rPr>
        <w:t>Used to describe the heating efficiency of heat pumps. It is a measure of the estimated seasonal heating output in BTUs divided by the amount of energy consumed in watt-hours.</w:t>
      </w:r>
    </w:p>
    <w:p w:rsidR="00E710A9" w:rsidRPr="00E710A9" w:rsidRDefault="00E710A9" w:rsidP="00E710A9">
      <w:pPr>
        <w:widowControl w:val="0"/>
        <w:rPr>
          <w:bCs/>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-I, J, K-</w:t>
      </w:r>
    </w:p>
    <w:p w:rsidR="00E710A9" w:rsidRPr="00E710A9" w:rsidRDefault="00E710A9" w:rsidP="00E710A9">
      <w:pPr>
        <w:widowControl w:val="0"/>
        <w:rPr>
          <w:lang w:bidi="en-US"/>
        </w:rPr>
      </w:pPr>
      <w:r w:rsidRPr="00E710A9">
        <w:rPr>
          <w:rFonts w:ascii="Century Gothic" w:hAnsi="Century Gothic"/>
          <w:b/>
          <w:bCs/>
          <w:sz w:val="24"/>
          <w:lang w:bidi="en-US"/>
        </w:rPr>
        <w:t>Impact Evaluation</w:t>
      </w:r>
      <w:r w:rsidRPr="00E710A9">
        <w:rPr>
          <w:rFonts w:ascii="Century Gothic" w:hAnsi="Century Gothic"/>
          <w:sz w:val="24"/>
          <w:lang w:bidi="en-US"/>
        </w:rPr>
        <w:t>:</w:t>
      </w:r>
      <w:r w:rsidRPr="00E710A9">
        <w:rPr>
          <w:sz w:val="24"/>
          <w:lang w:bidi="en-US"/>
        </w:rPr>
        <w:t xml:space="preserve"> </w:t>
      </w:r>
      <w:r w:rsidRPr="00E710A9">
        <w:rPr>
          <w:lang w:bidi="en-US"/>
        </w:rPr>
        <w:t>An approach used to measure program-specific induced changes in energy usage or demand (e.g., kWh, kW, or therms) or behavior attributed to energy efficiency and demand response programs.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Impact Year</w:t>
      </w:r>
      <w:r w:rsidRPr="00E710A9">
        <w:rPr>
          <w:rFonts w:ascii="Century Gothic" w:hAnsi="Century Gothic"/>
          <w:sz w:val="24"/>
          <w:lang w:bidi="en-US"/>
        </w:rPr>
        <w:t>:</w:t>
      </w:r>
      <w:r w:rsidRPr="00E710A9">
        <w:rPr>
          <w:sz w:val="24"/>
          <w:lang w:bidi="en-US"/>
        </w:rPr>
        <w:t xml:space="preserve"> </w:t>
      </w:r>
      <w:r w:rsidRPr="00E710A9">
        <w:rPr>
          <w:lang w:bidi="en-US"/>
        </w:rPr>
        <w:t>Depending on the context, either (a) the 12 months subsequent to program participation used to represent program costs or load impacts occurring in that year, or (b) any calendar year after the program year in which impacts may occur.</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Incentives</w:t>
      </w:r>
      <w:r w:rsidRPr="00E710A9">
        <w:rPr>
          <w:rFonts w:ascii="Century Gothic" w:hAnsi="Century Gothic"/>
          <w:sz w:val="24"/>
          <w:lang w:bidi="en-US"/>
        </w:rPr>
        <w:t>:</w:t>
      </w:r>
      <w:r w:rsidRPr="00E710A9">
        <w:rPr>
          <w:lang w:bidi="en-US"/>
        </w:rPr>
        <w:t xml:space="preserve"> Financial support (e.g., rebates, low-interest loans) to install energy efficiency measures. The incentives are solicited by the customer and based on the customer’s billing history or customer-specific information.</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Independent Variables</w:t>
      </w:r>
      <w:r w:rsidRPr="00E710A9">
        <w:rPr>
          <w:rFonts w:ascii="Century Gothic" w:hAnsi="Century Gothic"/>
          <w:sz w:val="24"/>
          <w:lang w:bidi="en-US"/>
        </w:rPr>
        <w:t>:</w:t>
      </w:r>
      <w:r w:rsidRPr="00E710A9">
        <w:rPr>
          <w:sz w:val="24"/>
          <w:lang w:bidi="en-US"/>
        </w:rPr>
        <w:t xml:space="preserve"> </w:t>
      </w:r>
      <w:r w:rsidRPr="00E710A9">
        <w:rPr>
          <w:lang w:bidi="en-US"/>
        </w:rPr>
        <w:t>Factors that affect energy use and demand in a building but that cannot be controlled (e.g., weather, occupancy).</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Indirect Energy Savings (Indirect Program Energy Savings)</w:t>
      </w:r>
      <w:r w:rsidRPr="00E710A9">
        <w:rPr>
          <w:rFonts w:ascii="Century Gothic" w:hAnsi="Century Gothic"/>
          <w:sz w:val="24"/>
          <w:lang w:bidi="en-US"/>
        </w:rPr>
        <w:t>:</w:t>
      </w:r>
      <w:r w:rsidRPr="00E710A9">
        <w:rPr>
          <w:sz w:val="24"/>
          <w:lang w:bidi="en-US"/>
        </w:rPr>
        <w:t xml:space="preserve"> </w:t>
      </w:r>
      <w:r w:rsidRPr="00E710A9">
        <w:rPr>
          <w:lang w:bidi="en-US"/>
        </w:rPr>
        <w:t>Typically result from information, education, marketing, or outreach programs that are expected to result in energy savings achieved through the actions of the customers exposed to the program’s efforts, without direct enrollment in a program that has energy savings goals.</w:t>
      </w:r>
    </w:p>
    <w:p w:rsidR="00E710A9" w:rsidRPr="00E710A9" w:rsidRDefault="00E710A9" w:rsidP="00E710A9">
      <w:pPr>
        <w:widowControl w:val="0"/>
        <w:rPr>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IPMVP Option A – Partially Measured Retrofit Isolation:</w:t>
      </w:r>
      <w:r w:rsidRPr="00E710A9">
        <w:rPr>
          <w:bCs/>
          <w:lang w:bidi="en-US"/>
        </w:rPr>
        <w:t xml:space="preserve"> Savings are determined by partial field measurement of the energy use of the system to which the measure was applied; separate from the energy use of the rest of the facility. Measures are likely to be partially deemed, meaning that some, but not all, parameter(s) are stipulated in the TRM.</w:t>
      </w:r>
    </w:p>
    <w:p w:rsidR="00E710A9" w:rsidRPr="00E710A9" w:rsidRDefault="00E710A9" w:rsidP="00E710A9">
      <w:pPr>
        <w:widowControl w:val="0"/>
        <w:rPr>
          <w:bCs/>
          <w:u w:val="single"/>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IPMVP Option B – Retrofit Isolation</w:t>
      </w:r>
      <w:r w:rsidRPr="00E710A9">
        <w:rPr>
          <w:b/>
          <w:bCs/>
          <w:lang w:bidi="en-US"/>
        </w:rPr>
        <w:t>:</w:t>
      </w:r>
      <w:r w:rsidRPr="00E710A9">
        <w:rPr>
          <w:bCs/>
          <w:lang w:bidi="en-US"/>
        </w:rPr>
        <w:t xml:space="preserve"> Savings are determined by field measurement of the energy use of the system to which the measure was applied; separate from the energy use of the rest of the facility. All key parameters are measured and not deemed.</w:t>
      </w:r>
    </w:p>
    <w:p w:rsidR="00E710A9" w:rsidRPr="00E710A9" w:rsidRDefault="00E710A9" w:rsidP="00E710A9">
      <w:pPr>
        <w:widowControl w:val="0"/>
        <w:rPr>
          <w:bCs/>
          <w:u w:val="single"/>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IPMVP Option C – Whole Building</w:t>
      </w:r>
      <w:r w:rsidRPr="00E710A9">
        <w:rPr>
          <w:rFonts w:ascii="Century Gothic" w:hAnsi="Century Gothic"/>
          <w:b/>
          <w:bCs/>
          <w:lang w:bidi="en-US"/>
        </w:rPr>
        <w:t>:</w:t>
      </w:r>
      <w:r w:rsidRPr="00E710A9">
        <w:rPr>
          <w:bCs/>
          <w:lang w:bidi="en-US"/>
        </w:rPr>
        <w:t xml:space="preserve"> Savings are determined by measuring energy use at the facility level. Values obtained either with short-term or continuous on-site measurement can be used in conjunction with billing analysis regression models to calibrate the savings estimated from program participation.</w:t>
      </w:r>
    </w:p>
    <w:p w:rsidR="00E710A9" w:rsidRPr="00E710A9" w:rsidRDefault="00E710A9" w:rsidP="00E710A9">
      <w:pPr>
        <w:widowControl w:val="0"/>
        <w:rPr>
          <w:bCs/>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IPMVP Option D – Calibrated Simulation</w:t>
      </w:r>
      <w:r w:rsidRPr="00E710A9">
        <w:rPr>
          <w:rFonts w:ascii="Century Gothic" w:hAnsi="Century Gothic"/>
          <w:b/>
          <w:bCs/>
          <w:lang w:bidi="en-US"/>
        </w:rPr>
        <w:t>:</w:t>
      </w:r>
      <w:r w:rsidRPr="00E710A9">
        <w:rPr>
          <w:bCs/>
          <w:lang w:bidi="en-US"/>
        </w:rPr>
        <w:t xml:space="preserve"> Savings are determined through simulation of energy use of components or a whole facility. Simulation routines must be demonstrated to adequately model actual energy performance of the facility through calibration with utility billing data or end-use metering.</w:t>
      </w:r>
    </w:p>
    <w:p w:rsidR="00E710A9" w:rsidRPr="00E710A9" w:rsidRDefault="00E710A9" w:rsidP="00E710A9">
      <w:pPr>
        <w:widowControl w:val="0"/>
        <w:rPr>
          <w:bCs/>
          <w:u w:val="single"/>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-L-</w:t>
      </w:r>
    </w:p>
    <w:p w:rsidR="00E710A9" w:rsidRPr="00E710A9" w:rsidRDefault="00E710A9" w:rsidP="00E710A9">
      <w:pPr>
        <w:widowControl w:val="0"/>
        <w:rPr>
          <w:bCs/>
          <w:lang w:bidi="en-US"/>
        </w:rPr>
      </w:pPr>
      <w:r w:rsidRPr="00E710A9">
        <w:rPr>
          <w:rFonts w:ascii="Century Gothic" w:hAnsi="Century Gothic"/>
          <w:b/>
          <w:bCs/>
          <w:sz w:val="24"/>
          <w:lang w:bidi="en-US"/>
        </w:rPr>
        <w:t>Line Loss Factor</w:t>
      </w:r>
      <w:r w:rsidRPr="00E710A9">
        <w:rPr>
          <w:rFonts w:ascii="Century Gothic" w:hAnsi="Century Gothic"/>
          <w:bCs/>
          <w:lang w:bidi="en-US"/>
        </w:rPr>
        <w:t>:</w:t>
      </w:r>
      <w:r w:rsidRPr="00E710A9">
        <w:rPr>
          <w:bCs/>
          <w:lang w:bidi="en-US"/>
        </w:rPr>
        <w:t xml:space="preserve"> Energy loss due to heating of conductors caused by electrical resistance along the transmission and distribution lines of the electric grid.</w:t>
      </w:r>
    </w:p>
    <w:p w:rsidR="00E710A9" w:rsidRPr="00E710A9" w:rsidRDefault="00E710A9" w:rsidP="00E710A9">
      <w:pPr>
        <w:widowControl w:val="0"/>
        <w:rPr>
          <w:bCs/>
          <w:lang w:bidi="en-US"/>
        </w:rPr>
      </w:pPr>
      <w:r w:rsidRPr="00E710A9">
        <w:rPr>
          <w:bCs/>
          <w:lang w:bidi="en-US"/>
        </w:rPr>
        <w:t xml:space="preserve"> </w:t>
      </w:r>
    </w:p>
    <w:p w:rsidR="00E710A9" w:rsidRPr="00E710A9" w:rsidRDefault="00E710A9" w:rsidP="00E710A9">
      <w:pPr>
        <w:widowControl w:val="0"/>
        <w:rPr>
          <w:lang w:bidi="en-US"/>
        </w:rPr>
      </w:pPr>
      <w:r w:rsidRPr="00E710A9">
        <w:rPr>
          <w:rFonts w:ascii="Century Gothic" w:hAnsi="Century Gothic"/>
          <w:b/>
          <w:bCs/>
          <w:sz w:val="24"/>
          <w:lang w:bidi="en-US"/>
        </w:rPr>
        <w:t>Load Management</w:t>
      </w:r>
      <w:r w:rsidRPr="00E710A9">
        <w:rPr>
          <w:rFonts w:ascii="Century Gothic" w:hAnsi="Century Gothic"/>
          <w:bCs/>
          <w:lang w:bidi="en-US"/>
        </w:rPr>
        <w:t>:</w:t>
      </w:r>
      <w:r w:rsidRPr="00E710A9">
        <w:rPr>
          <w:bCs/>
          <w:lang w:bidi="en-US"/>
        </w:rPr>
        <w:t xml:space="preserve"> </w:t>
      </w:r>
      <w:r w:rsidRPr="00E710A9">
        <w:rPr>
          <w:lang w:bidi="en-US"/>
        </w:rPr>
        <w:t>Utility demand management practices directed at reducing the maximum kilowatt demand on an electric system and/or modifying the coincident peak demand of one or more classes of service to better meet the utility system’s capability for a given hour, day, week, season, or year.</w:t>
      </w:r>
    </w:p>
    <w:p w:rsidR="00E710A9" w:rsidRPr="00E710A9" w:rsidRDefault="00E710A9" w:rsidP="00E710A9">
      <w:pPr>
        <w:widowControl w:val="0"/>
        <w:rPr>
          <w:b/>
          <w:bCs/>
          <w:lang w:bidi="en-US"/>
        </w:rPr>
      </w:pPr>
    </w:p>
    <w:p w:rsidR="00E710A9" w:rsidRPr="00E710A9" w:rsidRDefault="00E710A9" w:rsidP="00E710A9">
      <w:pPr>
        <w:widowControl w:val="0"/>
        <w:rPr>
          <w:lang w:bidi="en-US"/>
        </w:rPr>
      </w:pPr>
      <w:r w:rsidRPr="00E710A9">
        <w:rPr>
          <w:rFonts w:ascii="Century Gothic" w:hAnsi="Century Gothic"/>
          <w:b/>
          <w:bCs/>
          <w:sz w:val="24"/>
          <w:lang w:bidi="en-US"/>
        </w:rPr>
        <w:t>Load Shapes</w:t>
      </w:r>
      <w:r w:rsidRPr="00E710A9">
        <w:rPr>
          <w:rFonts w:ascii="Century Gothic" w:hAnsi="Century Gothic"/>
          <w:lang w:bidi="en-US"/>
        </w:rPr>
        <w:t>:</w:t>
      </w:r>
      <w:r w:rsidRPr="00E710A9">
        <w:rPr>
          <w:lang w:bidi="en-US"/>
        </w:rPr>
        <w:t xml:space="preserve"> Representations such as graphs, tables, and databases that describe energy consumption rates as a function of another variable, such as time or outdoor air temperature.</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Load Shifting</w:t>
      </w:r>
      <w:r w:rsidRPr="00E710A9">
        <w:rPr>
          <w:rFonts w:ascii="Century Gothic" w:hAnsi="Century Gothic"/>
          <w:b/>
          <w:lang w:bidi="en-US"/>
        </w:rPr>
        <w:t>:</w:t>
      </w:r>
      <w:r w:rsidRPr="00E710A9">
        <w:rPr>
          <w:lang w:bidi="en-US"/>
        </w:rPr>
        <w:t xml:space="preserve"> Mov</w:t>
      </w:r>
      <w:r w:rsidR="00170843">
        <w:rPr>
          <w:lang w:bidi="en-US"/>
        </w:rPr>
        <w:t>ing electric load from one time</w:t>
      </w:r>
      <w:r w:rsidR="00170843" w:rsidRPr="00E710A9">
        <w:rPr>
          <w:lang w:bidi="en-US"/>
        </w:rPr>
        <w:t xml:space="preserve"> period</w:t>
      </w:r>
      <w:r w:rsidRPr="00E710A9">
        <w:rPr>
          <w:lang w:bidi="en-US"/>
        </w:rPr>
        <w:t xml:space="preserve"> in a day to another time period. An example would be moving electric water heating load from peak hours to off-peak hours.</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-M-</w:t>
      </w:r>
    </w:p>
    <w:p w:rsidR="00E710A9" w:rsidRPr="00E710A9" w:rsidRDefault="00E710A9" w:rsidP="00E710A9">
      <w:pPr>
        <w:widowControl w:val="0"/>
        <w:rPr>
          <w:lang w:bidi="en-US"/>
        </w:rPr>
      </w:pPr>
      <w:r w:rsidRPr="00E710A9">
        <w:rPr>
          <w:rFonts w:ascii="Century Gothic" w:hAnsi="Century Gothic"/>
          <w:b/>
          <w:bCs/>
          <w:sz w:val="24"/>
          <w:lang w:bidi="en-US"/>
        </w:rPr>
        <w:t>Market Effects Evaluation</w:t>
      </w:r>
      <w:r w:rsidRPr="00E710A9">
        <w:rPr>
          <w:rFonts w:ascii="Century Gothic" w:hAnsi="Century Gothic"/>
          <w:lang w:bidi="en-US"/>
        </w:rPr>
        <w:t>:</w:t>
      </w:r>
      <w:r w:rsidRPr="00E710A9">
        <w:rPr>
          <w:lang w:bidi="en-US"/>
        </w:rPr>
        <w:t xml:space="preserve"> The evaluation of the change in the structure or functioning of a market or the behavior of participants in a market that results from one or more program efforts. Typically, the resultant market or behavior change leads to increased adoption of energy efficient products, services, or practices.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Market Transformation</w:t>
      </w:r>
      <w:r w:rsidRPr="00E710A9">
        <w:rPr>
          <w:rFonts w:ascii="Century Gothic" w:hAnsi="Century Gothic"/>
          <w:sz w:val="24"/>
          <w:lang w:bidi="en-US"/>
        </w:rPr>
        <w:t>:</w:t>
      </w:r>
      <w:r w:rsidRPr="00E710A9">
        <w:rPr>
          <w:sz w:val="24"/>
          <w:lang w:bidi="en-US"/>
        </w:rPr>
        <w:t xml:space="preserve"> </w:t>
      </w:r>
      <w:r w:rsidRPr="00E710A9">
        <w:rPr>
          <w:lang w:bidi="en-US"/>
        </w:rPr>
        <w:t>A reduction in market barriers resulting from a market intervention, as evidenced by a set of market effects, that lasts after the intervention has been withdrawn, reduced, or changed.</w:t>
      </w:r>
    </w:p>
    <w:p w:rsidR="00E710A9" w:rsidRPr="00E710A9" w:rsidRDefault="00E710A9" w:rsidP="00E710A9">
      <w:pPr>
        <w:widowControl w:val="0"/>
        <w:rPr>
          <w:rFonts w:ascii="Century Gothic" w:hAnsi="Century Gothic"/>
          <w:sz w:val="24"/>
          <w:lang w:bidi="en-US"/>
        </w:rPr>
      </w:pPr>
    </w:p>
    <w:p w:rsidR="00E710A9" w:rsidRPr="00E710A9" w:rsidRDefault="00E710A9" w:rsidP="00E710A9">
      <w:r w:rsidRPr="00E710A9">
        <w:rPr>
          <w:rFonts w:ascii="Century Gothic" w:hAnsi="Century Gothic"/>
          <w:b/>
          <w:sz w:val="24"/>
        </w:rPr>
        <w:t>Measurement:</w:t>
      </w:r>
      <w:r w:rsidRPr="00E710A9">
        <w:t xml:space="preserve"> A procedure for assigning a number to an observed object or event.</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Measurement and Verification (M&amp;V)</w:t>
      </w:r>
      <w:r w:rsidRPr="00E710A9">
        <w:rPr>
          <w:rFonts w:ascii="Century Gothic" w:hAnsi="Century Gothic"/>
          <w:sz w:val="24"/>
          <w:lang w:bidi="en-US"/>
        </w:rPr>
        <w:t>:</w:t>
      </w:r>
      <w:r w:rsidRPr="00E710A9">
        <w:rPr>
          <w:sz w:val="24"/>
          <w:lang w:bidi="en-US"/>
        </w:rPr>
        <w:t xml:space="preserve"> </w:t>
      </w:r>
      <w:r w:rsidRPr="00E710A9">
        <w:rPr>
          <w:lang w:bidi="en-US"/>
        </w:rPr>
        <w:t>Data collection, monitoring, and analysis associated with the calculation of gross energy and demand savings from individual sites or projects. M&amp;V can be a subset of program impact evaluation.</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Metering</w:t>
      </w:r>
      <w:r w:rsidRPr="00E710A9">
        <w:rPr>
          <w:rFonts w:ascii="Century Gothic" w:hAnsi="Century Gothic"/>
          <w:sz w:val="24"/>
          <w:lang w:bidi="en-US"/>
        </w:rPr>
        <w:t>:</w:t>
      </w:r>
      <w:r w:rsidRPr="00E710A9">
        <w:rPr>
          <w:sz w:val="24"/>
          <w:lang w:bidi="en-US"/>
        </w:rPr>
        <w:t xml:space="preserve"> </w:t>
      </w:r>
      <w:r w:rsidRPr="00E710A9">
        <w:rPr>
          <w:lang w:bidi="en-US"/>
        </w:rPr>
        <w:t>The collection of energy consumption data, over time, through the use of meters. These meters may collect information with respect to an end use, a circuit, a piece of equipment, or a whole building (or facility). Short-term metering generally refers to data collection for no more than a few weeks. End-use metering refers to separate data collection for one or more end uses in a facility, such as lighting, air conditioning, or refrigeration. Spot metering is an instantaneous measurement (rather than over time) to determine an energy consumption rate.</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Monitoring</w:t>
      </w:r>
      <w:r w:rsidRPr="00E710A9">
        <w:rPr>
          <w:rFonts w:ascii="Century Gothic" w:hAnsi="Century Gothic"/>
          <w:sz w:val="24"/>
          <w:lang w:bidi="en-US"/>
        </w:rPr>
        <w:t>:</w:t>
      </w:r>
      <w:r w:rsidRPr="00E710A9">
        <w:rPr>
          <w:sz w:val="24"/>
          <w:lang w:bidi="en-US"/>
        </w:rPr>
        <w:t xml:space="preserve"> </w:t>
      </w:r>
      <w:r w:rsidRPr="00E710A9">
        <w:rPr>
          <w:lang w:bidi="en-US"/>
        </w:rPr>
        <w:t>Gathering of relevant measurement data, including but not limited to, energy consumption data, over time to evaluate equipment or system performance. Examples include chiller electric demand, inlet evaporator temperature and flow, outlet evaporator temperature, condenser inlet temperature, and ambient dry-bulb temperature and relative humidity or wet-bulb temperature, for use in developing a chiller performance map (e.g., kW/ton vs. cooling load and vs. condenser inlet temperature).</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-N-</w:t>
      </w:r>
    </w:p>
    <w:p w:rsidR="00E710A9" w:rsidRPr="00E710A9" w:rsidRDefault="00E710A9" w:rsidP="00E710A9">
      <w:pPr>
        <w:widowControl w:val="0"/>
        <w:rPr>
          <w:lang w:bidi="en-US"/>
        </w:rPr>
      </w:pPr>
      <w:r w:rsidRPr="00E710A9">
        <w:rPr>
          <w:rFonts w:ascii="Century Gothic" w:hAnsi="Century Gothic"/>
          <w:b/>
          <w:bCs/>
          <w:sz w:val="24"/>
          <w:lang w:bidi="en-US"/>
        </w:rPr>
        <w:t>Net Savings</w:t>
      </w:r>
      <w:r w:rsidRPr="00E710A9">
        <w:rPr>
          <w:rFonts w:ascii="Century Gothic" w:hAnsi="Century Gothic"/>
          <w:sz w:val="24"/>
          <w:lang w:bidi="en-US"/>
        </w:rPr>
        <w:t>:</w:t>
      </w:r>
      <w:r w:rsidRPr="00E710A9">
        <w:rPr>
          <w:sz w:val="24"/>
          <w:lang w:bidi="en-US"/>
        </w:rPr>
        <w:t xml:space="preserve"> </w:t>
      </w:r>
      <w:r w:rsidRPr="00E710A9">
        <w:rPr>
          <w:lang w:bidi="en-US"/>
        </w:rPr>
        <w:t>The total change in load that is attributable to an energy efficiency program. Net savings may include, implicitly or explicitly, the effects of free-drivers, free-riders, energy efficiency standards, changes in the level of energy service, participant and nonparticipant spillover, and other causes of changes in energy consumption or demand.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Net-to-Gross Ratio (NTGR)</w:t>
      </w:r>
      <w:r w:rsidRPr="00E710A9">
        <w:rPr>
          <w:rFonts w:ascii="Century Gothic" w:hAnsi="Century Gothic"/>
          <w:sz w:val="24"/>
          <w:lang w:bidi="en-US"/>
        </w:rPr>
        <w:t>:</w:t>
      </w:r>
      <w:r w:rsidRPr="00E710A9">
        <w:rPr>
          <w:sz w:val="24"/>
          <w:lang w:bidi="en-US"/>
        </w:rPr>
        <w:t xml:space="preserve"> </w:t>
      </w:r>
      <w:r w:rsidRPr="00E710A9">
        <w:rPr>
          <w:lang w:bidi="en-US"/>
        </w:rPr>
        <w:t>A factor representing net program savings divided by gross program savings that is applied to gross program impacts to convert them into net program load impacts.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Nonparticipant</w:t>
      </w:r>
      <w:r w:rsidRPr="00E710A9">
        <w:rPr>
          <w:rFonts w:ascii="Century Gothic" w:hAnsi="Century Gothic"/>
          <w:sz w:val="24"/>
          <w:lang w:bidi="en-US"/>
        </w:rPr>
        <w:t>:</w:t>
      </w:r>
      <w:r w:rsidRPr="00E710A9">
        <w:rPr>
          <w:sz w:val="24"/>
          <w:lang w:bidi="en-US"/>
        </w:rPr>
        <w:t xml:space="preserve"> </w:t>
      </w:r>
      <w:r w:rsidRPr="00E710A9">
        <w:rPr>
          <w:lang w:bidi="en-US"/>
        </w:rPr>
        <w:t>Any consumer who was eligible for but did not participate in the subject efficiency program in a given program year. Each evaluation plan should provide a definition of a nonparticipant as it applies to a specific evaluation.</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Non-Response Bias</w:t>
      </w:r>
      <w:r w:rsidRPr="00E710A9">
        <w:rPr>
          <w:rFonts w:ascii="Century Gothic" w:hAnsi="Century Gothic"/>
          <w:sz w:val="24"/>
          <w:lang w:bidi="en-US"/>
        </w:rPr>
        <w:t>:</w:t>
      </w:r>
      <w:r w:rsidRPr="00E710A9">
        <w:rPr>
          <w:sz w:val="24"/>
          <w:lang w:bidi="en-US"/>
        </w:rPr>
        <w:t xml:space="preserve"> </w:t>
      </w:r>
      <w:r w:rsidRPr="00E710A9">
        <w:rPr>
          <w:lang w:bidi="en-US"/>
        </w:rPr>
        <w:t>The effect of a set of respondents refusing or choosing not to participate in research; typically, larger for self-administered or mail-out surveys.</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-P-</w:t>
      </w:r>
    </w:p>
    <w:p w:rsidR="00E710A9" w:rsidRPr="00E710A9" w:rsidRDefault="00E710A9" w:rsidP="00E710A9">
      <w:pPr>
        <w:widowControl w:val="0"/>
        <w:rPr>
          <w:lang w:bidi="en-US"/>
        </w:rPr>
      </w:pPr>
      <w:r w:rsidRPr="00E710A9">
        <w:rPr>
          <w:rFonts w:ascii="Century Gothic" w:hAnsi="Century Gothic"/>
          <w:b/>
          <w:bCs/>
          <w:sz w:val="24"/>
          <w:lang w:bidi="en-US"/>
        </w:rPr>
        <w:t>Partial Free-Rider</w:t>
      </w:r>
      <w:r w:rsidRPr="00E710A9">
        <w:rPr>
          <w:rFonts w:ascii="Century Gothic" w:hAnsi="Century Gothic"/>
          <w:sz w:val="24"/>
          <w:lang w:bidi="en-US"/>
        </w:rPr>
        <w:t>:</w:t>
      </w:r>
      <w:r w:rsidRPr="00E710A9">
        <w:rPr>
          <w:sz w:val="24"/>
          <w:lang w:bidi="en-US"/>
        </w:rPr>
        <w:t xml:space="preserve"> </w:t>
      </w:r>
      <w:r w:rsidRPr="00E710A9">
        <w:rPr>
          <w:lang w:bidi="en-US"/>
        </w:rPr>
        <w:t>A program participant who would have implemented, to some degree, a program measure or practice in the absence of the program. Examples include participants who bought an ENERGY STAR appliance in the absence of the program, but due to the program, purchased a more efficient appliance or bought the appliance sooner than planned.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Participant</w:t>
      </w:r>
      <w:r w:rsidRPr="00E710A9">
        <w:rPr>
          <w:rFonts w:ascii="Century Gothic" w:hAnsi="Century Gothic"/>
          <w:sz w:val="24"/>
          <w:lang w:bidi="en-US"/>
        </w:rPr>
        <w:t>:</w:t>
      </w:r>
      <w:r w:rsidRPr="00E710A9">
        <w:rPr>
          <w:sz w:val="24"/>
          <w:lang w:bidi="en-US"/>
        </w:rPr>
        <w:t xml:space="preserve"> </w:t>
      </w:r>
      <w:r w:rsidRPr="00E710A9">
        <w:rPr>
          <w:lang w:bidi="en-US"/>
        </w:rPr>
        <w:t>A consumer who received a service offered through an efficiency program in a given program year. In this definition, “service” can refer to a wide variety of services, including financial rebates, technical assistance, product installations, training, energy efficiency information, and other services, items, or conditions. Each evaluation plan should define “participant” as it applies to the specific evaluation.</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Peak Demand</w:t>
      </w:r>
      <w:r w:rsidRPr="00E710A9">
        <w:rPr>
          <w:rFonts w:ascii="Century Gothic" w:hAnsi="Century Gothic"/>
          <w:sz w:val="24"/>
          <w:lang w:bidi="en-US"/>
        </w:rPr>
        <w:t>:</w:t>
      </w:r>
      <w:r w:rsidRPr="00E710A9">
        <w:rPr>
          <w:sz w:val="24"/>
          <w:lang w:bidi="en-US"/>
        </w:rPr>
        <w:t xml:space="preserve"> </w:t>
      </w:r>
      <w:r w:rsidRPr="00E710A9">
        <w:rPr>
          <w:lang w:bidi="en-US"/>
        </w:rPr>
        <w:t>The maximum level of metered demand during a specified period, such as a billing month or a peak demand period.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Persistence Study</w:t>
      </w:r>
      <w:r w:rsidRPr="00E710A9">
        <w:rPr>
          <w:rFonts w:ascii="Century Gothic" w:hAnsi="Century Gothic"/>
          <w:sz w:val="24"/>
          <w:lang w:bidi="en-US"/>
        </w:rPr>
        <w:t>:</w:t>
      </w:r>
      <w:r w:rsidRPr="00E710A9">
        <w:rPr>
          <w:sz w:val="24"/>
          <w:lang w:bidi="en-US"/>
        </w:rPr>
        <w:t xml:space="preserve"> </w:t>
      </w:r>
      <w:r w:rsidRPr="00E710A9">
        <w:rPr>
          <w:lang w:bidi="en-US"/>
        </w:rPr>
        <w:t>A study to assess changes in program impacts over time (including retention and degradation).</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Portfolio</w:t>
      </w:r>
      <w:r w:rsidRPr="00E710A9">
        <w:rPr>
          <w:rFonts w:ascii="Century Gothic" w:hAnsi="Century Gothic"/>
          <w:sz w:val="24"/>
          <w:lang w:bidi="en-US"/>
        </w:rPr>
        <w:t>:</w:t>
      </w:r>
      <w:r w:rsidRPr="00E710A9">
        <w:rPr>
          <w:sz w:val="24"/>
          <w:lang w:bidi="en-US"/>
        </w:rPr>
        <w:t xml:space="preserve"> </w:t>
      </w:r>
      <w:r w:rsidRPr="00E710A9">
        <w:rPr>
          <w:lang w:bidi="en-US"/>
        </w:rPr>
        <w:t>Either (a) a collection of similar programs addressing the same market (e.g., a portfolio of residential programs), technology (e.g., motor efficiency programs), or mechanisms (e.g., loan programs) or (b) the set of all programs conducted by one organization, such as a utility (and which could include programs that cover multiple markets, technologies, etc.).</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Precision</w:t>
      </w:r>
      <w:r w:rsidRPr="00E710A9">
        <w:rPr>
          <w:rFonts w:ascii="Century Gothic" w:hAnsi="Century Gothic"/>
          <w:sz w:val="24"/>
          <w:lang w:bidi="en-US"/>
        </w:rPr>
        <w:t>:</w:t>
      </w:r>
      <w:r w:rsidRPr="00E710A9">
        <w:rPr>
          <w:sz w:val="24"/>
          <w:lang w:bidi="en-US"/>
        </w:rPr>
        <w:t xml:space="preserve"> </w:t>
      </w:r>
      <w:r w:rsidRPr="00E710A9">
        <w:rPr>
          <w:lang w:bidi="en-US"/>
        </w:rPr>
        <w:t>The indication of the closeness of agreement among repeated measurements of the same physical quantity.</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Process Evaluation</w:t>
      </w:r>
      <w:r w:rsidRPr="00E710A9">
        <w:rPr>
          <w:rFonts w:ascii="Century Gothic" w:hAnsi="Century Gothic"/>
          <w:sz w:val="24"/>
          <w:lang w:bidi="en-US"/>
        </w:rPr>
        <w:t>:</w:t>
      </w:r>
      <w:r w:rsidRPr="00E710A9">
        <w:rPr>
          <w:sz w:val="24"/>
          <w:lang w:bidi="en-US"/>
        </w:rPr>
        <w:t xml:space="preserve"> </w:t>
      </w:r>
      <w:r w:rsidRPr="00E710A9">
        <w:rPr>
          <w:lang w:bidi="en-US"/>
        </w:rPr>
        <w:t>A systematic assessment of an energy efficiency program for the purposes of documenting program operations at the time of the examination, and identifying and recommending improvements to increase the program’s efficiency or effectiveness for acquiring energy resources while maintaining high levels of participant satisfaction.</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Program:</w:t>
      </w:r>
      <w:r w:rsidRPr="00E710A9">
        <w:rPr>
          <w:sz w:val="24"/>
          <w:lang w:bidi="en-US"/>
        </w:rPr>
        <w:t xml:space="preserve"> </w:t>
      </w:r>
      <w:r w:rsidRPr="00E710A9">
        <w:rPr>
          <w:lang w:bidi="en-US"/>
        </w:rPr>
        <w:t>A group of projects, with similar characteristics and installed in similar applications. Examples include a utility program to install energy efficient lighting in commercial buildings, a developer’s program to build a subdivision of homes that have photovoltaic systems, and a state residential energy efficiency code program.</w:t>
      </w:r>
    </w:p>
    <w:p w:rsidR="00E710A9" w:rsidRPr="00E710A9" w:rsidRDefault="00E710A9" w:rsidP="00E710A9">
      <w:pPr>
        <w:widowControl w:val="0"/>
        <w:rPr>
          <w:lang w:bidi="en-US"/>
        </w:rPr>
      </w:pPr>
    </w:p>
    <w:p w:rsidR="00E710A9" w:rsidRPr="00E710A9" w:rsidRDefault="00E710A9" w:rsidP="00E710A9">
      <w:r w:rsidRPr="00E710A9">
        <w:rPr>
          <w:rFonts w:ascii="Century Gothic" w:hAnsi="Century Gothic"/>
          <w:b/>
          <w:sz w:val="24"/>
        </w:rPr>
        <w:t>Program Year:</w:t>
      </w:r>
      <w:r w:rsidRPr="00E710A9">
        <w:t xml:space="preserve"> The 12-month period starting on June 1 and ending on May 31 of the next year.</w:t>
      </w:r>
    </w:p>
    <w:p w:rsidR="00E710A9" w:rsidRPr="00E710A9" w:rsidRDefault="00E710A9" w:rsidP="00E710A9">
      <w:pPr>
        <w:widowControl w:val="0"/>
        <w:rPr>
          <w:bCs/>
          <w:lang w:bidi="en-US"/>
        </w:rPr>
      </w:pPr>
    </w:p>
    <w:p w:rsidR="00E710A9" w:rsidRPr="00E710A9" w:rsidRDefault="00E710A9" w:rsidP="00E710A9">
      <w:r w:rsidRPr="00E710A9">
        <w:rPr>
          <w:rFonts w:ascii="Century Gothic" w:hAnsi="Century Gothic"/>
          <w:b/>
          <w:sz w:val="24"/>
        </w:rPr>
        <w:t xml:space="preserve">Program Year 3 (PY3): </w:t>
      </w:r>
      <w:r w:rsidRPr="00E710A9">
        <w:t>The period between June 1, 2011 and May 31, 2012.</w:t>
      </w:r>
    </w:p>
    <w:p w:rsidR="00E710A9" w:rsidRPr="00E710A9" w:rsidRDefault="00E710A9" w:rsidP="00E710A9"/>
    <w:p w:rsidR="00E710A9" w:rsidRPr="00E710A9" w:rsidRDefault="00E710A9" w:rsidP="00E710A9">
      <w:r w:rsidRPr="00E710A9">
        <w:rPr>
          <w:rFonts w:ascii="Century Gothic" w:hAnsi="Century Gothic"/>
          <w:b/>
          <w:sz w:val="24"/>
        </w:rPr>
        <w:t xml:space="preserve">Program Year 4 (PY4): </w:t>
      </w:r>
      <w:r w:rsidRPr="00E710A9">
        <w:t>The period between June 1, 2012 and May 31, 2013.</w:t>
      </w:r>
    </w:p>
    <w:p w:rsidR="00E710A9" w:rsidRPr="00E710A9" w:rsidRDefault="00E710A9" w:rsidP="00E710A9"/>
    <w:p w:rsidR="00E710A9" w:rsidRPr="00E710A9" w:rsidRDefault="00E710A9" w:rsidP="00E710A9">
      <w:r w:rsidRPr="00E710A9">
        <w:rPr>
          <w:rFonts w:ascii="Century Gothic" w:hAnsi="Century Gothic"/>
          <w:b/>
          <w:sz w:val="24"/>
        </w:rPr>
        <w:t xml:space="preserve">Program Year 5 (PY5): </w:t>
      </w:r>
      <w:r w:rsidRPr="00E710A9">
        <w:t>The period between June 1, 2013 and May 31, 2014.</w:t>
      </w:r>
    </w:p>
    <w:p w:rsidR="00E710A9" w:rsidRPr="00E710A9" w:rsidRDefault="00E710A9" w:rsidP="00E710A9"/>
    <w:p w:rsidR="00E710A9" w:rsidRPr="00E710A9" w:rsidRDefault="00E710A9" w:rsidP="00E710A9">
      <w:r w:rsidRPr="00E710A9">
        <w:rPr>
          <w:rFonts w:ascii="Century Gothic" w:hAnsi="Century Gothic"/>
          <w:b/>
          <w:sz w:val="24"/>
        </w:rPr>
        <w:t xml:space="preserve">Program Year 6 (PY6): </w:t>
      </w:r>
      <w:r w:rsidRPr="00E710A9">
        <w:t>The period between June 1, 2014 and May 31, 2015.</w:t>
      </w:r>
    </w:p>
    <w:p w:rsidR="00E710A9" w:rsidRPr="00E710A9" w:rsidRDefault="00E710A9" w:rsidP="00E710A9"/>
    <w:p w:rsidR="00E710A9" w:rsidRPr="00E710A9" w:rsidRDefault="00E710A9" w:rsidP="00E710A9">
      <w:r w:rsidRPr="00E710A9">
        <w:rPr>
          <w:rFonts w:ascii="Century Gothic" w:hAnsi="Century Gothic"/>
          <w:b/>
          <w:sz w:val="24"/>
        </w:rPr>
        <w:t xml:space="preserve">Program Year 7 (PY7): </w:t>
      </w:r>
      <w:r w:rsidRPr="00E710A9">
        <w:t xml:space="preserve">The period between June 1, 2015 and May 31, 2016. </w:t>
      </w:r>
    </w:p>
    <w:p w:rsidR="00E710A9" w:rsidRPr="00E710A9" w:rsidRDefault="00E710A9" w:rsidP="00E710A9">
      <w:pPr>
        <w:widowControl w:val="0"/>
        <w:rPr>
          <w:bCs/>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Program Year to Date</w:t>
      </w:r>
      <w:r w:rsidRPr="00E710A9">
        <w:rPr>
          <w:bCs/>
          <w:lang w:bidi="en-US"/>
        </w:rPr>
        <w:t>:  The period starting on June 1 of a program year and extending through the end of the current quarterly reporting period in the program year.</w:t>
      </w:r>
    </w:p>
    <w:p w:rsidR="00E710A9" w:rsidRPr="00E710A9" w:rsidRDefault="00E710A9" w:rsidP="00E710A9">
      <w:pPr>
        <w:widowControl w:val="0"/>
        <w:rPr>
          <w:bCs/>
          <w:lang w:bidi="en-US"/>
        </w:rPr>
      </w:pPr>
    </w:p>
    <w:p w:rsidR="00E710A9" w:rsidRPr="00E710A9" w:rsidRDefault="00E710A9" w:rsidP="00E710A9">
      <w:r w:rsidRPr="00E710A9">
        <w:rPr>
          <w:rFonts w:ascii="Century Gothic" w:hAnsi="Century Gothic"/>
          <w:b/>
          <w:sz w:val="24"/>
        </w:rPr>
        <w:t xml:space="preserve">Project: </w:t>
      </w:r>
      <w:r w:rsidRPr="00E710A9">
        <w:t xml:space="preserve">An activity or course of action involving one or more </w:t>
      </w:r>
      <w:r w:rsidRPr="00E710A9">
        <w:rPr>
          <w:lang w:bidi="en-US"/>
        </w:rPr>
        <w:t xml:space="preserve">energy efficiency </w:t>
      </w:r>
      <w:r w:rsidRPr="00E710A9">
        <w:t>measures at a single facility or site.</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-R-</w:t>
      </w:r>
    </w:p>
    <w:p w:rsidR="00E710A9" w:rsidRPr="00E710A9" w:rsidRDefault="00E710A9" w:rsidP="00E710A9">
      <w:pPr>
        <w:widowControl w:val="0"/>
        <w:rPr>
          <w:lang w:bidi="en-US"/>
        </w:rPr>
      </w:pPr>
      <w:r w:rsidRPr="00E710A9">
        <w:rPr>
          <w:rFonts w:ascii="Century Gothic" w:hAnsi="Century Gothic"/>
          <w:b/>
          <w:bCs/>
          <w:sz w:val="24"/>
          <w:lang w:bidi="en-US"/>
        </w:rPr>
        <w:t>Realization Rate</w:t>
      </w:r>
      <w:r w:rsidRPr="00E710A9">
        <w:rPr>
          <w:rFonts w:ascii="Century Gothic" w:hAnsi="Century Gothic"/>
          <w:sz w:val="24"/>
          <w:lang w:bidi="en-US"/>
        </w:rPr>
        <w:t xml:space="preserve">: </w:t>
      </w:r>
      <w:r w:rsidRPr="00E710A9">
        <w:rPr>
          <w:lang w:bidi="en-US"/>
        </w:rPr>
        <w:t>A factor representing ex post savings estimates divided by ex ante savings estimates that is applied to gross savings to determine verified savings estimates.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Regression Analysis</w:t>
      </w:r>
      <w:r w:rsidRPr="00E710A9">
        <w:rPr>
          <w:rFonts w:ascii="Century Gothic" w:hAnsi="Century Gothic"/>
          <w:sz w:val="24"/>
          <w:lang w:bidi="en-US"/>
        </w:rPr>
        <w:t xml:space="preserve">: </w:t>
      </w:r>
      <w:r w:rsidRPr="00E710A9">
        <w:rPr>
          <w:lang w:bidi="en-US"/>
        </w:rPr>
        <w:t>Analysis of the relationship between a dependent variable (response variable) and specified independent variables (explanatory variables). The mathematical model of their relationship is known as regression equation.</w:t>
      </w:r>
    </w:p>
    <w:p w:rsidR="00E710A9" w:rsidRPr="00E710A9" w:rsidRDefault="00E710A9" w:rsidP="00E710A9">
      <w:pPr>
        <w:widowControl w:val="0"/>
        <w:rPr>
          <w:lang w:bidi="en-US"/>
        </w:rPr>
      </w:pPr>
    </w:p>
    <w:p w:rsidR="00E710A9" w:rsidRPr="00E710A9" w:rsidRDefault="00E710A9" w:rsidP="00E710A9">
      <w:r w:rsidRPr="00E710A9">
        <w:rPr>
          <w:rFonts w:ascii="Century Gothic" w:hAnsi="Century Gothic"/>
          <w:b/>
          <w:sz w:val="24"/>
        </w:rPr>
        <w:t>Reliability:</w:t>
      </w:r>
      <w:r w:rsidRPr="00E710A9">
        <w:rPr>
          <w:sz w:val="24"/>
        </w:rPr>
        <w:t xml:space="preserve"> </w:t>
      </w:r>
      <w:r w:rsidRPr="00E710A9">
        <w:t>Refers to the likelihood that observations can be replicated.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Reporting Period</w:t>
      </w:r>
      <w:r w:rsidRPr="00E710A9">
        <w:rPr>
          <w:rFonts w:ascii="Century Gothic" w:hAnsi="Century Gothic"/>
          <w:sz w:val="24"/>
          <w:lang w:bidi="en-US"/>
        </w:rPr>
        <w:t>:</w:t>
      </w:r>
      <w:r w:rsidRPr="00E710A9">
        <w:rPr>
          <w:lang w:bidi="en-US"/>
        </w:rPr>
        <w:t xml:space="preserve"> The time following implementation of an energy efficiency activity during which savings are to be determined.</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Retrofit Isolation</w:t>
      </w:r>
      <w:r w:rsidRPr="00E710A9">
        <w:rPr>
          <w:rFonts w:ascii="Century Gothic" w:hAnsi="Century Gothic"/>
          <w:sz w:val="24"/>
          <w:lang w:bidi="en-US"/>
        </w:rPr>
        <w:t xml:space="preserve">: </w:t>
      </w:r>
      <w:r w:rsidRPr="00E710A9">
        <w:rPr>
          <w:lang w:bidi="en-US"/>
        </w:rPr>
        <w:t>The savings measurement approach defined in IPMVP Options A and B, and ASHRAE Guideline 14, that determines energy or demand savings through the use of meters to isolate the energy flows for the system(s) under consideration. ASHRAE Guideline 14 provides guidelines for reliably measuring energy and demand savings of commercial equipment.</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Rigor</w:t>
      </w:r>
      <w:r w:rsidRPr="00E710A9">
        <w:rPr>
          <w:rFonts w:ascii="Century Gothic" w:hAnsi="Century Gothic"/>
          <w:sz w:val="24"/>
          <w:lang w:bidi="en-US"/>
        </w:rPr>
        <w:t>:</w:t>
      </w:r>
      <w:r w:rsidRPr="00E710A9">
        <w:rPr>
          <w:lang w:bidi="en-US"/>
        </w:rPr>
        <w:t xml:space="preserve"> The higher the level of rigor, the greater the confidence in the accuracy and precision of the results.</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-S-</w:t>
      </w:r>
    </w:p>
    <w:p w:rsidR="00E710A9" w:rsidRPr="00E710A9" w:rsidRDefault="00E710A9" w:rsidP="00E710A9">
      <w:pPr>
        <w:widowControl w:val="0"/>
        <w:rPr>
          <w:bCs/>
          <w:lang w:bidi="en-US"/>
        </w:rPr>
      </w:pPr>
      <w:r w:rsidRPr="00E710A9">
        <w:rPr>
          <w:rFonts w:ascii="Century Gothic" w:hAnsi="Century Gothic"/>
          <w:b/>
          <w:bCs/>
          <w:sz w:val="24"/>
          <w:lang w:bidi="en-US"/>
        </w:rPr>
        <w:t>Seasonal Energy Efficiency Ratio (SEER)</w:t>
      </w:r>
      <w:r w:rsidRPr="00E710A9">
        <w:rPr>
          <w:rFonts w:ascii="Century Gothic" w:hAnsi="Century Gothic"/>
          <w:bCs/>
          <w:sz w:val="24"/>
          <w:lang w:bidi="en-US"/>
        </w:rPr>
        <w:t>:</w:t>
      </w:r>
      <w:r w:rsidRPr="00E710A9">
        <w:rPr>
          <w:bCs/>
          <w:lang w:bidi="en-US"/>
        </w:rPr>
        <w:t xml:space="preserve"> The rating of a unit representing the cooling output in B</w:t>
      </w:r>
      <w:r>
        <w:rPr>
          <w:bCs/>
          <w:lang w:bidi="en-US"/>
        </w:rPr>
        <w:t>tu</w:t>
      </w:r>
      <w:r w:rsidRPr="00E710A9">
        <w:rPr>
          <w:bCs/>
          <w:lang w:bidi="en-US"/>
        </w:rPr>
        <w:t>s during a typical cooling season divided by the total electric energy input in watt-hours during the same period. The higher a unit’s SEER, the more energy efficient it is.</w:t>
      </w:r>
    </w:p>
    <w:p w:rsidR="00E710A9" w:rsidRPr="00E710A9" w:rsidRDefault="00E710A9" w:rsidP="00E710A9">
      <w:pPr>
        <w:widowControl w:val="0"/>
        <w:rPr>
          <w:bCs/>
          <w:lang w:bidi="en-US"/>
        </w:rPr>
      </w:pPr>
      <w:r w:rsidRPr="00E710A9">
        <w:rPr>
          <w:bCs/>
          <w:lang w:bidi="en-US"/>
        </w:rPr>
        <w:t xml:space="preserve"> </w:t>
      </w:r>
    </w:p>
    <w:p w:rsidR="00E710A9" w:rsidRPr="00E710A9" w:rsidRDefault="00E710A9" w:rsidP="00E710A9">
      <w:pPr>
        <w:widowControl w:val="0"/>
        <w:rPr>
          <w:lang w:bidi="en-US"/>
        </w:rPr>
      </w:pPr>
      <w:r w:rsidRPr="00E710A9">
        <w:rPr>
          <w:rFonts w:ascii="Century Gothic" w:hAnsi="Century Gothic"/>
          <w:b/>
          <w:bCs/>
          <w:sz w:val="24"/>
          <w:lang w:bidi="en-US"/>
        </w:rPr>
        <w:t>Spillover</w:t>
      </w:r>
      <w:r w:rsidRPr="00E710A9">
        <w:rPr>
          <w:rFonts w:ascii="Century Gothic" w:hAnsi="Century Gothic"/>
          <w:sz w:val="24"/>
          <w:lang w:bidi="en-US"/>
        </w:rPr>
        <w:t>:</w:t>
      </w:r>
      <w:r w:rsidRPr="00E710A9">
        <w:rPr>
          <w:lang w:bidi="en-US"/>
        </w:rPr>
        <w:t xml:space="preserve"> Reductions in energy consumption or demand resulting from an energy efficiency program, beyond the program-related gross savings of the participants. There can be participant and nonparticipant spillover.</w:t>
      </w:r>
    </w:p>
    <w:p w:rsidR="00E710A9" w:rsidRPr="00E710A9" w:rsidRDefault="00E710A9" w:rsidP="00E710A9">
      <w:pPr>
        <w:widowControl w:val="0"/>
        <w:rPr>
          <w:lang w:bidi="en-US"/>
        </w:rPr>
      </w:pPr>
    </w:p>
    <w:p w:rsidR="00E710A9" w:rsidRPr="00E710A9" w:rsidRDefault="00E710A9" w:rsidP="00E710A9">
      <w:pPr>
        <w:widowControl w:val="0"/>
        <w:rPr>
          <w:rFonts w:asciiTheme="minorHAnsi" w:hAnsiTheme="minorHAnsi"/>
          <w:bCs/>
          <w:lang w:bidi="en-US"/>
        </w:rPr>
      </w:pPr>
      <w:r w:rsidRPr="00E710A9">
        <w:rPr>
          <w:rFonts w:ascii="Century Gothic" w:hAnsi="Century Gothic"/>
          <w:b/>
          <w:bCs/>
          <w:sz w:val="24"/>
          <w:lang w:bidi="en-US"/>
        </w:rPr>
        <w:t xml:space="preserve">Stakeholder: </w:t>
      </w:r>
      <w:r w:rsidRPr="00E710A9">
        <w:rPr>
          <w:rFonts w:asciiTheme="minorHAnsi" w:hAnsiTheme="minorHAnsi"/>
          <w:bCs/>
          <w:lang w:bidi="en-US"/>
        </w:rPr>
        <w:t>An organization with interest in or concern with Act 129 activities.</w:t>
      </w:r>
    </w:p>
    <w:p w:rsidR="00E710A9" w:rsidRPr="00E710A9" w:rsidRDefault="00E710A9" w:rsidP="00E710A9">
      <w:pPr>
        <w:widowControl w:val="0"/>
        <w:rPr>
          <w:rFonts w:ascii="Century Gothic" w:hAnsi="Century Gothic"/>
          <w:b/>
          <w:bCs/>
          <w:sz w:val="24"/>
          <w:lang w:bidi="en-US"/>
        </w:rPr>
      </w:pPr>
    </w:p>
    <w:p w:rsidR="00E710A9" w:rsidRPr="00E710A9" w:rsidRDefault="00E710A9" w:rsidP="00E710A9">
      <w:pPr>
        <w:widowControl w:val="0"/>
        <w:rPr>
          <w:lang w:bidi="en-US"/>
        </w:rPr>
      </w:pPr>
      <w:r w:rsidRPr="00E710A9">
        <w:rPr>
          <w:rFonts w:ascii="Century Gothic" w:hAnsi="Century Gothic"/>
          <w:b/>
          <w:bCs/>
          <w:sz w:val="24"/>
          <w:lang w:bidi="en-US"/>
        </w:rPr>
        <w:t>Statistically Adjusted Engineering (SAE) Models</w:t>
      </w:r>
      <w:r w:rsidRPr="00E710A9">
        <w:rPr>
          <w:rFonts w:ascii="Century Gothic" w:hAnsi="Century Gothic"/>
          <w:sz w:val="24"/>
          <w:lang w:bidi="en-US"/>
        </w:rPr>
        <w:t xml:space="preserve">: </w:t>
      </w:r>
      <w:r w:rsidRPr="00E710A9">
        <w:rPr>
          <w:lang w:bidi="en-US"/>
        </w:rPr>
        <w:t>Statistical analysis models that incorporate the engineering estimate of savings as a dependent variable.</w:t>
      </w:r>
    </w:p>
    <w:p w:rsidR="00E710A9" w:rsidRPr="00E710A9" w:rsidRDefault="00E710A9" w:rsidP="00E710A9">
      <w:pPr>
        <w:widowControl w:val="0"/>
        <w:rPr>
          <w:lang w:bidi="en-US"/>
        </w:rPr>
      </w:pPr>
    </w:p>
    <w:p w:rsidR="00E710A9" w:rsidRPr="00E710A9" w:rsidRDefault="00E710A9" w:rsidP="00E710A9">
      <w:r w:rsidRPr="00E710A9">
        <w:rPr>
          <w:rFonts w:ascii="Century Gothic" w:hAnsi="Century Gothic"/>
          <w:b/>
          <w:sz w:val="24"/>
        </w:rPr>
        <w:t>Stipulated Values:</w:t>
      </w:r>
      <w:r w:rsidRPr="00E710A9">
        <w:rPr>
          <w:sz w:val="24"/>
        </w:rPr>
        <w:t xml:space="preserve"> </w:t>
      </w:r>
      <w:r w:rsidRPr="00E710A9">
        <w:t>See DEEMED SAVINGS.</w:t>
      </w:r>
    </w:p>
    <w:p w:rsidR="00E710A9" w:rsidRPr="00E710A9" w:rsidRDefault="00E710A9" w:rsidP="00E710A9">
      <w:pPr>
        <w:widowControl w:val="0"/>
        <w:rPr>
          <w:lang w:bidi="en-US"/>
        </w:rPr>
      </w:pPr>
    </w:p>
    <w:p w:rsidR="00E710A9" w:rsidRPr="00E710A9" w:rsidRDefault="00E710A9" w:rsidP="00170843">
      <w:pPr>
        <w:widowControl w:val="0"/>
        <w:pBdr>
          <w:top w:val="single" w:sz="4" w:space="1" w:color="448A99"/>
          <w:bottom w:val="single" w:sz="4" w:space="1" w:color="448A99"/>
        </w:pBdr>
        <w:spacing w:after="120"/>
        <w:jc w:val="center"/>
        <w:rPr>
          <w:rFonts w:ascii="Century Gothic" w:hAnsi="Century Gothic"/>
          <w:b/>
          <w:bCs/>
          <w:color w:val="448A99"/>
          <w:sz w:val="28"/>
          <w:lang w:bidi="en-US"/>
        </w:rPr>
      </w:pPr>
      <w:r w:rsidRPr="00E710A9">
        <w:rPr>
          <w:rFonts w:ascii="Century Gothic" w:hAnsi="Century Gothic"/>
          <w:b/>
          <w:bCs/>
          <w:color w:val="448A99"/>
          <w:sz w:val="28"/>
          <w:lang w:bidi="en-US"/>
        </w:rPr>
        <w:t>-T, U, V-</w:t>
      </w:r>
    </w:p>
    <w:p w:rsidR="00E710A9" w:rsidRPr="00E710A9" w:rsidRDefault="00E710A9" w:rsidP="00E710A9">
      <w:pPr>
        <w:widowControl w:val="0"/>
        <w:rPr>
          <w:lang w:bidi="en-US"/>
        </w:rPr>
      </w:pPr>
      <w:r w:rsidRPr="00E710A9">
        <w:rPr>
          <w:rFonts w:ascii="Century Gothic" w:hAnsi="Century Gothic"/>
          <w:b/>
          <w:bCs/>
          <w:sz w:val="24"/>
          <w:lang w:bidi="en-US"/>
        </w:rPr>
        <w:t>Technical Reference Manual (TRM)</w:t>
      </w:r>
      <w:r w:rsidRPr="00E710A9">
        <w:rPr>
          <w:lang w:bidi="en-US"/>
        </w:rPr>
        <w:t>: Standards for measuring and verifying applicable demand-side management or energy efficiency measures used by EDCs to meet the Act 129 consumption and peak demand reduction targets.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Total Resource Cost (TRC) Test</w:t>
      </w:r>
      <w:r w:rsidRPr="00E710A9">
        <w:rPr>
          <w:rFonts w:ascii="Century Gothic" w:hAnsi="Century Gothic"/>
          <w:sz w:val="24"/>
          <w:lang w:bidi="en-US"/>
        </w:rPr>
        <w:t xml:space="preserve">: </w:t>
      </w:r>
      <w:r w:rsidRPr="00E710A9">
        <w:rPr>
          <w:lang w:bidi="en-US"/>
        </w:rPr>
        <w:t>Analyzes the costs and benefits of energy efficiency and conservation plans.</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 xml:space="preserve">TRM Verified Savings: </w:t>
      </w:r>
      <w:r w:rsidRPr="00E710A9">
        <w:rPr>
          <w:lang w:bidi="en-US"/>
        </w:rPr>
        <w:t>Savings estimated based on the Commission-approved TRM.</w:t>
      </w:r>
    </w:p>
    <w:p w:rsidR="00E710A9" w:rsidRPr="00E710A9" w:rsidRDefault="00E710A9" w:rsidP="00E710A9">
      <w:pPr>
        <w:widowControl w:val="0"/>
        <w:rPr>
          <w:lang w:bidi="en-US"/>
        </w:rPr>
      </w:pPr>
    </w:p>
    <w:p w:rsidR="00E710A9" w:rsidRPr="00E710A9" w:rsidRDefault="00E710A9" w:rsidP="00E710A9">
      <w:pPr>
        <w:widowControl w:val="0"/>
        <w:rPr>
          <w:lang w:bidi="en-US"/>
        </w:rPr>
      </w:pPr>
      <w:r w:rsidRPr="00E710A9">
        <w:rPr>
          <w:rFonts w:ascii="Century Gothic" w:hAnsi="Century Gothic"/>
          <w:b/>
          <w:bCs/>
          <w:sz w:val="24"/>
          <w:lang w:bidi="en-US"/>
        </w:rPr>
        <w:t>Uncertainty</w:t>
      </w:r>
      <w:r w:rsidRPr="00E710A9">
        <w:rPr>
          <w:rFonts w:ascii="Century Gothic" w:hAnsi="Century Gothic"/>
          <w:sz w:val="24"/>
          <w:lang w:bidi="en-US"/>
        </w:rPr>
        <w:t xml:space="preserve">: </w:t>
      </w:r>
      <w:r w:rsidRPr="00E710A9">
        <w:rPr>
          <w:lang w:bidi="en-US"/>
        </w:rPr>
        <w:t>The range or interval of doubt surrounding a measured or calculated value within which the true value is expected to fall within some degree of confidence.</w:t>
      </w:r>
    </w:p>
    <w:p w:rsidR="00E710A9" w:rsidRPr="00E710A9" w:rsidRDefault="00E710A9" w:rsidP="00E710A9">
      <w:pPr>
        <w:widowControl w:val="0"/>
        <w:rPr>
          <w:lang w:bidi="en-US"/>
        </w:rPr>
      </w:pPr>
    </w:p>
    <w:p w:rsidR="00E710A9" w:rsidRPr="00E710A9" w:rsidRDefault="00E710A9" w:rsidP="00E710A9">
      <w:pPr>
        <w:widowControl w:val="0"/>
        <w:rPr>
          <w:rFonts w:ascii="Century Gothic" w:hAnsi="Century Gothic"/>
          <w:b/>
          <w:bCs/>
          <w:sz w:val="24"/>
          <w:lang w:bidi="en-US"/>
        </w:rPr>
      </w:pPr>
      <w:r w:rsidRPr="00E710A9">
        <w:rPr>
          <w:rFonts w:ascii="Century Gothic" w:hAnsi="Century Gothic"/>
          <w:b/>
          <w:bCs/>
          <w:sz w:val="24"/>
          <w:lang w:bidi="en-US"/>
        </w:rPr>
        <w:t>Unit Energy Consumption:</w:t>
      </w:r>
      <w:r w:rsidRPr="00E710A9">
        <w:t xml:space="preserve"> </w:t>
      </w:r>
      <w:r w:rsidRPr="00E710A9">
        <w:rPr>
          <w:rFonts w:asciiTheme="minorHAnsi" w:hAnsiTheme="minorHAnsi"/>
          <w:bCs/>
          <w:lang w:bidi="en-US"/>
        </w:rPr>
        <w:t>Average annual unit energy consumption of equipment.</w:t>
      </w:r>
    </w:p>
    <w:p w:rsidR="00E710A9" w:rsidRPr="00E710A9" w:rsidRDefault="00E710A9" w:rsidP="00E710A9">
      <w:pPr>
        <w:widowControl w:val="0"/>
        <w:rPr>
          <w:rFonts w:ascii="Century Gothic" w:hAnsi="Century Gothic"/>
          <w:b/>
          <w:bCs/>
          <w:sz w:val="24"/>
          <w:lang w:bidi="en-US"/>
        </w:rPr>
      </w:pPr>
      <w:r w:rsidRPr="00E710A9">
        <w:rPr>
          <w:rFonts w:ascii="Century Gothic" w:hAnsi="Century Gothic"/>
          <w:b/>
          <w:bCs/>
          <w:sz w:val="24"/>
          <w:lang w:bidi="en-US"/>
        </w:rPr>
        <w:t xml:space="preserve"> </w:t>
      </w:r>
    </w:p>
    <w:p w:rsidR="00E710A9" w:rsidRPr="00E710A9" w:rsidRDefault="00E710A9" w:rsidP="00E710A9">
      <w:pPr>
        <w:widowControl w:val="0"/>
        <w:rPr>
          <w:lang w:bidi="en-US"/>
        </w:rPr>
      </w:pPr>
      <w:r w:rsidRPr="00E710A9">
        <w:rPr>
          <w:rFonts w:ascii="Century Gothic" w:hAnsi="Century Gothic"/>
          <w:b/>
          <w:bCs/>
          <w:sz w:val="24"/>
          <w:lang w:bidi="en-US"/>
        </w:rPr>
        <w:t>Value of Information</w:t>
      </w:r>
      <w:r w:rsidRPr="00E710A9">
        <w:rPr>
          <w:rFonts w:ascii="Century Gothic" w:hAnsi="Century Gothic"/>
          <w:sz w:val="24"/>
          <w:lang w:bidi="en-US"/>
        </w:rPr>
        <w:t xml:space="preserve">: </w:t>
      </w:r>
      <w:r w:rsidRPr="00E710A9">
        <w:rPr>
          <w:lang w:bidi="en-US"/>
        </w:rPr>
        <w:t>A balance between the level of detail (rigor) and the level of effort required (cost) in an impact evaluation.</w:t>
      </w:r>
    </w:p>
    <w:p w:rsidR="00E710A9" w:rsidRPr="00E710A9" w:rsidRDefault="00E710A9" w:rsidP="00E710A9">
      <w:pPr>
        <w:widowControl w:val="0"/>
        <w:rPr>
          <w:lang w:bidi="en-US"/>
        </w:rPr>
      </w:pPr>
    </w:p>
    <w:p w:rsidR="00E710A9" w:rsidRPr="00E710A9" w:rsidRDefault="00E710A9" w:rsidP="00E710A9">
      <w:pPr>
        <w:widowControl w:val="0"/>
        <w:rPr>
          <w:bCs/>
          <w:lang w:bidi="en-US"/>
        </w:rPr>
      </w:pPr>
      <w:r w:rsidRPr="00E710A9">
        <w:rPr>
          <w:rFonts w:ascii="Century Gothic" w:hAnsi="Century Gothic"/>
          <w:b/>
          <w:bCs/>
          <w:sz w:val="24"/>
          <w:lang w:bidi="en-US"/>
        </w:rPr>
        <w:t>Variable Frequency Drive (VFD)</w:t>
      </w:r>
      <w:r w:rsidRPr="00E710A9">
        <w:rPr>
          <w:rFonts w:ascii="Century Gothic" w:hAnsi="Century Gothic"/>
          <w:bCs/>
          <w:sz w:val="24"/>
          <w:lang w:bidi="en-US"/>
        </w:rPr>
        <w:t xml:space="preserve">: </w:t>
      </w:r>
      <w:r w:rsidRPr="00E710A9">
        <w:rPr>
          <w:bCs/>
          <w:lang w:bidi="en-US"/>
        </w:rPr>
        <w:t xml:space="preserve">A system for controlling the rotational speed of an alternating current electric motor by controlling the frequency of the electrical power supplied to the motor. </w:t>
      </w:r>
    </w:p>
    <w:p w:rsidR="00E710A9" w:rsidRPr="00E710A9" w:rsidRDefault="00E710A9" w:rsidP="00E710A9">
      <w:pPr>
        <w:widowControl w:val="0"/>
        <w:rPr>
          <w:bCs/>
          <w:lang w:bidi="en-US"/>
        </w:rPr>
      </w:pPr>
    </w:p>
    <w:p w:rsidR="00FF409E" w:rsidRPr="00FF409E" w:rsidRDefault="00E710A9" w:rsidP="00E710A9">
      <w:pPr>
        <w:widowControl w:val="0"/>
        <w:rPr>
          <w:lang w:bidi="en-US"/>
        </w:rPr>
      </w:pPr>
      <w:r w:rsidRPr="00E710A9">
        <w:rPr>
          <w:rFonts w:ascii="Century Gothic" w:hAnsi="Century Gothic"/>
          <w:b/>
          <w:bCs/>
          <w:sz w:val="24"/>
          <w:lang w:bidi="en-US"/>
        </w:rPr>
        <w:t>Verified Reduction or Verified Savings</w:t>
      </w:r>
      <w:r w:rsidRPr="00E710A9">
        <w:rPr>
          <w:rFonts w:ascii="Century Gothic" w:hAnsi="Century Gothic"/>
          <w:sz w:val="24"/>
          <w:lang w:bidi="en-US"/>
        </w:rPr>
        <w:t>:</w:t>
      </w:r>
      <w:r w:rsidRPr="00E710A9">
        <w:rPr>
          <w:lang w:bidi="en-US"/>
        </w:rPr>
        <w:t xml:space="preserve"> A change in energy consumption or demand that has undergone rigorous evaluation, measurement, and verification to ensure its accuracy within a prescribed level of confidence and precision</w:t>
      </w:r>
      <w:r>
        <w:rPr>
          <w:lang w:bidi="en-US"/>
        </w:rPr>
        <w:t>.</w:t>
      </w:r>
    </w:p>
    <w:p w:rsidR="00A853AA" w:rsidRDefault="00A853AA" w:rsidP="00BC330C">
      <w:pPr>
        <w:widowControl w:val="0"/>
        <w:rPr>
          <w:lang w:bidi="en-US"/>
        </w:rPr>
        <w:sectPr w:rsidR="00A853AA" w:rsidSect="008B741E">
          <w:headerReference w:type="default" r:id="rId179"/>
          <w:footerReference w:type="default" r:id="rId180"/>
          <w:headerReference w:type="first" r:id="rId181"/>
          <w:footerReference w:type="first" r:id="rId182"/>
          <w:pgSz w:w="12240" w:h="15840"/>
          <w:pgMar w:top="1440" w:right="1440" w:bottom="1440" w:left="1440" w:header="720" w:footer="288" w:gutter="0"/>
          <w:cols w:space="720"/>
          <w:titlePg/>
          <w:docGrid w:linePitch="360"/>
        </w:sectPr>
      </w:pPr>
    </w:p>
    <w:p w:rsidR="00A853AA" w:rsidRPr="0022503E" w:rsidRDefault="00A853AA" w:rsidP="00A853AA">
      <w:pPr>
        <w:pStyle w:val="Heading1"/>
        <w:numPr>
          <w:ilvl w:val="0"/>
          <w:numId w:val="0"/>
        </w:numPr>
      </w:pPr>
      <w:bookmarkStart w:id="1436" w:name="_Toc472472152"/>
      <w:bookmarkStart w:id="1437" w:name="_Toc476913964"/>
      <w:r w:rsidRPr="0022503E">
        <w:t xml:space="preserve">Appendix </w:t>
      </w:r>
      <w:r>
        <w:t>G|</w:t>
      </w:r>
      <w:r w:rsidRPr="0022503E">
        <w:t xml:space="preserve"> </w:t>
      </w:r>
      <w:bookmarkEnd w:id="1436"/>
      <w:r w:rsidR="00F35CAC">
        <w:t>Process and Impact Evaluation Recommendations and Actions – Updates from EDCs</w:t>
      </w:r>
      <w:bookmarkEnd w:id="1437"/>
    </w:p>
    <w:p w:rsidR="00E646C9" w:rsidRDefault="00E646C9" w:rsidP="00E646C9">
      <w:r w:rsidRPr="003E444A">
        <w:t xml:space="preserve">This appendix provides </w:t>
      </w:r>
      <w:r>
        <w:t xml:space="preserve">updates </w:t>
      </w:r>
      <w:r w:rsidRPr="003E444A">
        <w:t xml:space="preserve">on the </w:t>
      </w:r>
      <w:r>
        <w:t xml:space="preserve">actions taken by the EDCs to respond to evaluation consultants’ recommendations that EDCs were still considering as of the time of the Phase II SWE Annual Report. The recommendation statuses are provided by EDC and program type. </w:t>
      </w:r>
    </w:p>
    <w:p w:rsidR="00E646C9" w:rsidRPr="00E646C9" w:rsidRDefault="00E646C9" w:rsidP="00E646C9"/>
    <w:p w:rsidR="00E646C9" w:rsidRPr="00C61F80" w:rsidRDefault="00E646C9" w:rsidP="00E646C9">
      <w:pPr>
        <w:pStyle w:val="AppendixGHeading1"/>
      </w:pPr>
      <w:r>
        <w:t>Duquesne</w:t>
      </w:r>
    </w:p>
    <w:p w:rsidR="00E646C9" w:rsidRDefault="00E646C9" w:rsidP="00E646C9">
      <w:r w:rsidRPr="00427C34">
        <w:t>Section</w:t>
      </w:r>
      <w:r>
        <w:t>s</w:t>
      </w:r>
      <w:r w:rsidRPr="00427C34">
        <w:t xml:space="preserve"> </w:t>
      </w:r>
      <w:r w:rsidRPr="00427C34">
        <w:fldChar w:fldCharType="begin"/>
      </w:r>
      <w:r w:rsidRPr="00427C34">
        <w:instrText xml:space="preserve"> REF _Ref440619548 \r \h  \* MERGEFORMAT </w:instrText>
      </w:r>
      <w:r w:rsidRPr="00427C34">
        <w:fldChar w:fldCharType="separate"/>
      </w:r>
      <w:r w:rsidR="00C301D0">
        <w:t>G.1.1</w:t>
      </w:r>
      <w:r w:rsidRPr="00427C34">
        <w:fldChar w:fldCharType="end"/>
      </w:r>
      <w:r w:rsidRPr="00427C34">
        <w:t xml:space="preserve"> through </w:t>
      </w:r>
      <w:r w:rsidRPr="00427C34">
        <w:fldChar w:fldCharType="begin"/>
      </w:r>
      <w:r w:rsidRPr="00427C34">
        <w:instrText xml:space="preserve"> REF _Ref440619606 \r \h  \* MERGEFORMAT </w:instrText>
      </w:r>
      <w:r w:rsidRPr="00427C34">
        <w:fldChar w:fldCharType="separate"/>
      </w:r>
      <w:r w:rsidR="00C301D0">
        <w:t>G.1.8</w:t>
      </w:r>
      <w:r w:rsidRPr="00427C34">
        <w:fldChar w:fldCharType="end"/>
      </w:r>
      <w:r w:rsidRPr="00427C34">
        <w:t xml:space="preserve"> provide the process </w:t>
      </w:r>
      <w:r>
        <w:t xml:space="preserve">and impact </w:t>
      </w:r>
      <w:r w:rsidRPr="00427C34">
        <w:t xml:space="preserve">evaluation recommendations for Duquesne programs which were still being considered by Duquesne at the time the </w:t>
      </w:r>
      <w:r>
        <w:t>Phase II</w:t>
      </w:r>
      <w:r w:rsidRPr="00427C34">
        <w:t xml:space="preserve"> SWE Annual Report was finalized. The</w:t>
      </w:r>
      <w:r>
        <w:t xml:space="preserve"> updated</w:t>
      </w:r>
      <w:r w:rsidRPr="000F064D">
        <w:t xml:space="preserve"> status of Duquesne’s responses are provided in each table.</w:t>
      </w:r>
    </w:p>
    <w:p w:rsidR="00E646C9" w:rsidRDefault="00E646C9" w:rsidP="00E646C9"/>
    <w:p w:rsidR="00E646C9" w:rsidRPr="00E646C9" w:rsidRDefault="00E646C9" w:rsidP="00E646C9">
      <w:pPr>
        <w:pStyle w:val="AppendixGHeading2"/>
      </w:pPr>
      <w:bookmarkStart w:id="1438" w:name="_Ref440619548"/>
      <w:r w:rsidRPr="00E646C9">
        <w:t>Residential Energy Efficiency Program</w:t>
      </w:r>
      <w:bookmarkEnd w:id="1438"/>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749"/>
          <w:tblHeader/>
        </w:trPr>
        <w:tc>
          <w:tcPr>
            <w:tcW w:w="4680" w:type="dxa"/>
            <w:shd w:val="clear" w:color="auto" w:fill="438A99"/>
          </w:tcPr>
          <w:p w:rsidR="00E646C9" w:rsidRDefault="00E646C9" w:rsidP="00B40F47">
            <w:pPr>
              <w:pStyle w:val="TableParagraph"/>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E646C9">
        <w:trPr>
          <w:trHeight w:hRule="exact" w:val="3096"/>
        </w:trPr>
        <w:tc>
          <w:tcPr>
            <w:tcW w:w="4680" w:type="dxa"/>
            <w:shd w:val="clear" w:color="auto" w:fill="D2EAF1"/>
          </w:tcPr>
          <w:p w:rsidR="00E646C9" w:rsidRDefault="00E646C9" w:rsidP="00C94D5A">
            <w:pPr>
              <w:pStyle w:val="TableParagraph"/>
              <w:spacing w:line="219"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ind w:left="97" w:right="128"/>
              <w:rPr>
                <w:rFonts w:ascii="Calibri" w:eastAsia="Calibri" w:hAnsi="Calibri" w:cs="Calibri"/>
                <w:sz w:val="18"/>
                <w:szCs w:val="18"/>
              </w:rPr>
            </w:pPr>
            <w:r>
              <w:rPr>
                <w:rFonts w:ascii="Calibri" w:eastAsia="Calibri" w:hAnsi="Calibri" w:cs="Calibri"/>
                <w:spacing w:val="-1"/>
                <w:sz w:val="18"/>
                <w:szCs w:val="18"/>
              </w:rPr>
              <w:t>Monitor</w:t>
            </w:r>
            <w:r>
              <w:rPr>
                <w:rFonts w:ascii="Calibri" w:eastAsia="Calibri" w:hAnsi="Calibri" w:cs="Calibri"/>
                <w:spacing w:val="-7"/>
                <w:sz w:val="18"/>
                <w:szCs w:val="18"/>
              </w:rPr>
              <w:t xml:space="preserve"> </w:t>
            </w:r>
            <w:r>
              <w:rPr>
                <w:rFonts w:ascii="Calibri" w:eastAsia="Calibri" w:hAnsi="Calibri" w:cs="Calibri"/>
                <w:sz w:val="18"/>
                <w:szCs w:val="18"/>
              </w:rPr>
              <w:t>ENERGY</w:t>
            </w:r>
            <w:r>
              <w:rPr>
                <w:rFonts w:ascii="Calibri" w:eastAsia="Calibri" w:hAnsi="Calibri" w:cs="Calibri"/>
                <w:spacing w:val="-4"/>
                <w:sz w:val="18"/>
                <w:szCs w:val="18"/>
              </w:rPr>
              <w:t xml:space="preserve"> </w:t>
            </w:r>
            <w:r>
              <w:rPr>
                <w:rFonts w:ascii="Calibri" w:eastAsia="Calibri" w:hAnsi="Calibri" w:cs="Calibri"/>
                <w:spacing w:val="-1"/>
                <w:sz w:val="18"/>
                <w:szCs w:val="18"/>
              </w:rPr>
              <w:t>STAR®</w:t>
            </w:r>
            <w:r>
              <w:rPr>
                <w:rFonts w:ascii="Calibri" w:eastAsia="Calibri" w:hAnsi="Calibri" w:cs="Calibri"/>
                <w:spacing w:val="-6"/>
                <w:sz w:val="18"/>
                <w:szCs w:val="18"/>
              </w:rPr>
              <w:t xml:space="preserve"> </w:t>
            </w:r>
            <w:r>
              <w:rPr>
                <w:rFonts w:ascii="Calibri" w:eastAsia="Calibri" w:hAnsi="Calibri" w:cs="Calibri"/>
                <w:sz w:val="18"/>
                <w:szCs w:val="18"/>
              </w:rPr>
              <w:t>for</w:t>
            </w:r>
            <w:r>
              <w:rPr>
                <w:rFonts w:ascii="Calibri" w:eastAsia="Calibri" w:hAnsi="Calibri" w:cs="Calibri"/>
                <w:spacing w:val="-6"/>
                <w:sz w:val="18"/>
                <w:szCs w:val="18"/>
              </w:rPr>
              <w:t xml:space="preserve"> </w:t>
            </w:r>
            <w:r>
              <w:rPr>
                <w:rFonts w:ascii="Calibri" w:eastAsia="Calibri" w:hAnsi="Calibri" w:cs="Calibri"/>
                <w:spacing w:val="-1"/>
                <w:sz w:val="18"/>
                <w:szCs w:val="18"/>
              </w:rPr>
              <w:t>criteria</w:t>
            </w:r>
            <w:r>
              <w:rPr>
                <w:rFonts w:ascii="Calibri" w:eastAsia="Calibri" w:hAnsi="Calibri" w:cs="Calibri"/>
                <w:spacing w:val="-6"/>
                <w:sz w:val="18"/>
                <w:szCs w:val="18"/>
              </w:rPr>
              <w:t xml:space="preserve"> </w:t>
            </w:r>
            <w:r>
              <w:rPr>
                <w:rFonts w:ascii="Calibri" w:eastAsia="Calibri" w:hAnsi="Calibri" w:cs="Calibri"/>
                <w:spacing w:val="-1"/>
                <w:sz w:val="18"/>
                <w:szCs w:val="18"/>
              </w:rPr>
              <w:t>changes</w:t>
            </w:r>
            <w:r>
              <w:rPr>
                <w:rFonts w:ascii="Calibri" w:eastAsia="Calibri" w:hAnsi="Calibri" w:cs="Calibri"/>
                <w:spacing w:val="-6"/>
                <w:sz w:val="18"/>
                <w:szCs w:val="18"/>
              </w:rPr>
              <w:t xml:space="preserve"> </w:t>
            </w:r>
            <w:r>
              <w:rPr>
                <w:rFonts w:ascii="Calibri" w:eastAsia="Calibri" w:hAnsi="Calibri" w:cs="Calibri"/>
                <w:spacing w:val="-1"/>
                <w:sz w:val="18"/>
                <w:szCs w:val="18"/>
              </w:rPr>
              <w:t>and</w:t>
            </w:r>
            <w:r>
              <w:rPr>
                <w:rFonts w:ascii="Calibri" w:eastAsia="Calibri" w:hAnsi="Calibri" w:cs="Calibri"/>
                <w:spacing w:val="-7"/>
                <w:sz w:val="18"/>
                <w:szCs w:val="18"/>
              </w:rPr>
              <w:t xml:space="preserve"> </w:t>
            </w:r>
            <w:r>
              <w:rPr>
                <w:rFonts w:ascii="Calibri" w:eastAsia="Calibri" w:hAnsi="Calibri" w:cs="Calibri"/>
                <w:spacing w:val="-1"/>
                <w:sz w:val="18"/>
                <w:szCs w:val="18"/>
              </w:rPr>
              <w:t>estimates</w:t>
            </w:r>
            <w:r>
              <w:rPr>
                <w:rFonts w:ascii="Calibri" w:eastAsia="Calibri" w:hAnsi="Calibri" w:cs="Calibri"/>
                <w:spacing w:val="53"/>
                <w:w w:val="99"/>
                <w:sz w:val="18"/>
                <w:szCs w:val="18"/>
              </w:rPr>
              <w:t xml:space="preserve"> </w:t>
            </w:r>
            <w:r>
              <w:rPr>
                <w:rFonts w:ascii="Calibri" w:eastAsia="Calibri" w:hAnsi="Calibri" w:cs="Calibri"/>
                <w:sz w:val="18"/>
                <w:szCs w:val="18"/>
              </w:rPr>
              <w:t>on</w:t>
            </w:r>
            <w:r>
              <w:rPr>
                <w:rFonts w:ascii="Calibri" w:eastAsia="Calibri" w:hAnsi="Calibri" w:cs="Calibri"/>
                <w:spacing w:val="-6"/>
                <w:sz w:val="18"/>
                <w:szCs w:val="18"/>
              </w:rPr>
              <w:t xml:space="preserve"> </w:t>
            </w:r>
            <w:r>
              <w:rPr>
                <w:rFonts w:ascii="Calibri" w:eastAsia="Calibri" w:hAnsi="Calibri" w:cs="Calibri"/>
                <w:spacing w:val="-1"/>
                <w:sz w:val="18"/>
                <w:szCs w:val="18"/>
              </w:rPr>
              <w:t>market</w:t>
            </w:r>
            <w:r>
              <w:rPr>
                <w:rFonts w:ascii="Calibri" w:eastAsia="Calibri" w:hAnsi="Calibri" w:cs="Calibri"/>
                <w:spacing w:val="-6"/>
                <w:sz w:val="18"/>
                <w:szCs w:val="18"/>
              </w:rPr>
              <w:t xml:space="preserve"> </w:t>
            </w:r>
            <w:r>
              <w:rPr>
                <w:rFonts w:ascii="Calibri" w:eastAsia="Calibri" w:hAnsi="Calibri" w:cs="Calibri"/>
                <w:spacing w:val="-1"/>
                <w:sz w:val="18"/>
                <w:szCs w:val="18"/>
              </w:rPr>
              <w:t>penetration</w:t>
            </w:r>
            <w:r>
              <w:rPr>
                <w:rFonts w:ascii="Calibri" w:eastAsia="Calibri" w:hAnsi="Calibri" w:cs="Calibri"/>
                <w:spacing w:val="-6"/>
                <w:sz w:val="18"/>
                <w:szCs w:val="18"/>
              </w:rPr>
              <w:t xml:space="preserve"> </w:t>
            </w:r>
            <w:r>
              <w:rPr>
                <w:rFonts w:ascii="Calibri" w:eastAsia="Calibri" w:hAnsi="Calibri" w:cs="Calibri"/>
                <w:spacing w:val="-1"/>
                <w:sz w:val="18"/>
                <w:szCs w:val="18"/>
              </w:rPr>
              <w:t>rates.</w:t>
            </w:r>
            <w:r>
              <w:rPr>
                <w:rFonts w:ascii="Calibri" w:eastAsia="Calibri" w:hAnsi="Calibri" w:cs="Calibri"/>
                <w:spacing w:val="-3"/>
                <w:sz w:val="18"/>
                <w:szCs w:val="18"/>
              </w:rPr>
              <w:t xml:space="preserve"> </w:t>
            </w:r>
            <w:r>
              <w:rPr>
                <w:rFonts w:ascii="Calibri" w:eastAsia="Calibri" w:hAnsi="Calibri" w:cs="Calibri"/>
                <w:spacing w:val="-1"/>
                <w:sz w:val="18"/>
                <w:szCs w:val="18"/>
              </w:rPr>
              <w:t>For</w:t>
            </w:r>
            <w:r>
              <w:rPr>
                <w:rFonts w:ascii="Calibri" w:eastAsia="Calibri" w:hAnsi="Calibri" w:cs="Calibri"/>
                <w:spacing w:val="-6"/>
                <w:sz w:val="18"/>
                <w:szCs w:val="18"/>
              </w:rPr>
              <w:t xml:space="preserve"> </w:t>
            </w:r>
            <w:r>
              <w:rPr>
                <w:rFonts w:ascii="Calibri" w:eastAsia="Calibri" w:hAnsi="Calibri" w:cs="Calibri"/>
                <w:spacing w:val="-1"/>
                <w:sz w:val="18"/>
                <w:szCs w:val="18"/>
              </w:rPr>
              <w:t>Phase</w:t>
            </w:r>
            <w:r>
              <w:rPr>
                <w:rFonts w:ascii="Calibri" w:eastAsia="Calibri" w:hAnsi="Calibri" w:cs="Calibri"/>
                <w:spacing w:val="-6"/>
                <w:sz w:val="18"/>
                <w:szCs w:val="18"/>
              </w:rPr>
              <w:t xml:space="preserve"> </w:t>
            </w:r>
            <w:r>
              <w:rPr>
                <w:rFonts w:ascii="Calibri" w:eastAsia="Calibri" w:hAnsi="Calibri" w:cs="Calibri"/>
                <w:sz w:val="18"/>
                <w:szCs w:val="18"/>
              </w:rPr>
              <w:t>III,</w:t>
            </w:r>
            <w:r>
              <w:rPr>
                <w:rFonts w:ascii="Calibri" w:eastAsia="Calibri" w:hAnsi="Calibri" w:cs="Calibri"/>
                <w:spacing w:val="-4"/>
                <w:sz w:val="18"/>
                <w:szCs w:val="18"/>
              </w:rPr>
              <w:t xml:space="preserve"> </w:t>
            </w:r>
            <w:r>
              <w:rPr>
                <w:rFonts w:ascii="Calibri" w:eastAsia="Calibri" w:hAnsi="Calibri" w:cs="Calibri"/>
                <w:spacing w:val="-1"/>
                <w:sz w:val="18"/>
                <w:szCs w:val="18"/>
              </w:rPr>
              <w:t>additional</w:t>
            </w:r>
            <w:r>
              <w:rPr>
                <w:rFonts w:ascii="Calibri" w:eastAsia="Calibri" w:hAnsi="Calibri" w:cs="Calibri"/>
                <w:spacing w:val="-4"/>
                <w:sz w:val="18"/>
                <w:szCs w:val="18"/>
              </w:rPr>
              <w:t xml:space="preserve"> </w:t>
            </w:r>
            <w:r>
              <w:rPr>
                <w:rFonts w:ascii="Calibri" w:eastAsia="Calibri" w:hAnsi="Calibri" w:cs="Calibri"/>
                <w:spacing w:val="-1"/>
                <w:sz w:val="18"/>
                <w:szCs w:val="18"/>
              </w:rPr>
              <w:t>rebate</w:t>
            </w:r>
            <w:r>
              <w:rPr>
                <w:rFonts w:ascii="Calibri" w:eastAsia="Calibri" w:hAnsi="Calibri" w:cs="Calibri"/>
                <w:spacing w:val="61"/>
                <w:w w:val="99"/>
                <w:sz w:val="18"/>
                <w:szCs w:val="18"/>
              </w:rPr>
              <w:t xml:space="preserve"> </w:t>
            </w:r>
            <w:r>
              <w:rPr>
                <w:rFonts w:ascii="Calibri" w:eastAsia="Calibri" w:hAnsi="Calibri" w:cs="Calibri"/>
                <w:spacing w:val="-1"/>
                <w:sz w:val="18"/>
                <w:szCs w:val="18"/>
              </w:rPr>
              <w:t>criteria</w:t>
            </w:r>
            <w:r>
              <w:rPr>
                <w:rFonts w:ascii="Calibri" w:eastAsia="Calibri" w:hAnsi="Calibri" w:cs="Calibri"/>
                <w:spacing w:val="-6"/>
                <w:sz w:val="18"/>
                <w:szCs w:val="18"/>
              </w:rPr>
              <w:t xml:space="preserve"> </w:t>
            </w:r>
            <w:r>
              <w:rPr>
                <w:rFonts w:ascii="Calibri" w:eastAsia="Calibri" w:hAnsi="Calibri" w:cs="Calibri"/>
                <w:sz w:val="18"/>
                <w:szCs w:val="18"/>
              </w:rPr>
              <w:t>or</w:t>
            </w:r>
            <w:r>
              <w:rPr>
                <w:rFonts w:ascii="Calibri" w:eastAsia="Calibri" w:hAnsi="Calibri" w:cs="Calibri"/>
                <w:spacing w:val="-6"/>
                <w:sz w:val="18"/>
                <w:szCs w:val="18"/>
              </w:rPr>
              <w:t xml:space="preserve"> </w:t>
            </w:r>
            <w:r>
              <w:rPr>
                <w:rFonts w:ascii="Calibri" w:eastAsia="Calibri" w:hAnsi="Calibri" w:cs="Calibri"/>
                <w:spacing w:val="-1"/>
                <w:sz w:val="18"/>
                <w:szCs w:val="18"/>
              </w:rPr>
              <w:t>tiered</w:t>
            </w:r>
            <w:r>
              <w:rPr>
                <w:rFonts w:ascii="Calibri" w:eastAsia="Calibri" w:hAnsi="Calibri" w:cs="Calibri"/>
                <w:spacing w:val="-6"/>
                <w:sz w:val="18"/>
                <w:szCs w:val="18"/>
              </w:rPr>
              <w:t xml:space="preserve"> </w:t>
            </w:r>
            <w:r>
              <w:rPr>
                <w:rFonts w:ascii="Calibri" w:eastAsia="Calibri" w:hAnsi="Calibri" w:cs="Calibri"/>
                <w:spacing w:val="-1"/>
                <w:sz w:val="18"/>
                <w:szCs w:val="18"/>
              </w:rPr>
              <w:t>incentives</w:t>
            </w:r>
            <w:r>
              <w:rPr>
                <w:rFonts w:ascii="Calibri" w:eastAsia="Calibri" w:hAnsi="Calibri" w:cs="Calibri"/>
                <w:spacing w:val="-6"/>
                <w:sz w:val="18"/>
                <w:szCs w:val="18"/>
              </w:rPr>
              <w:t xml:space="preserve"> </w:t>
            </w:r>
            <w:r>
              <w:rPr>
                <w:rFonts w:ascii="Calibri" w:eastAsia="Calibri" w:hAnsi="Calibri" w:cs="Calibri"/>
                <w:spacing w:val="-1"/>
                <w:sz w:val="18"/>
                <w:szCs w:val="18"/>
              </w:rPr>
              <w:t>could</w:t>
            </w:r>
            <w:r>
              <w:rPr>
                <w:rFonts w:ascii="Calibri" w:eastAsia="Calibri" w:hAnsi="Calibri" w:cs="Calibri"/>
                <w:spacing w:val="-4"/>
                <w:sz w:val="18"/>
                <w:szCs w:val="18"/>
              </w:rPr>
              <w:t xml:space="preserve"> </w:t>
            </w:r>
            <w:r>
              <w:rPr>
                <w:rFonts w:ascii="Calibri" w:eastAsia="Calibri" w:hAnsi="Calibri" w:cs="Calibri"/>
                <w:spacing w:val="-1"/>
                <w:sz w:val="18"/>
                <w:szCs w:val="18"/>
              </w:rPr>
              <w:t>help</w:t>
            </w:r>
            <w:r>
              <w:rPr>
                <w:rFonts w:ascii="Calibri" w:eastAsia="Calibri" w:hAnsi="Calibri" w:cs="Calibri"/>
                <w:spacing w:val="-4"/>
                <w:sz w:val="18"/>
                <w:szCs w:val="18"/>
              </w:rPr>
              <w:t xml:space="preserve"> </w:t>
            </w:r>
            <w:r>
              <w:rPr>
                <w:rFonts w:ascii="Calibri" w:eastAsia="Calibri" w:hAnsi="Calibri" w:cs="Calibri"/>
                <w:spacing w:val="-1"/>
                <w:sz w:val="18"/>
                <w:szCs w:val="18"/>
              </w:rPr>
              <w:t>promote</w:t>
            </w:r>
            <w:r>
              <w:rPr>
                <w:rFonts w:ascii="Calibri" w:eastAsia="Calibri" w:hAnsi="Calibri" w:cs="Calibri"/>
                <w:spacing w:val="-6"/>
                <w:sz w:val="18"/>
                <w:szCs w:val="18"/>
              </w:rPr>
              <w:t xml:space="preserve"> </w:t>
            </w:r>
            <w:r>
              <w:rPr>
                <w:rFonts w:ascii="Calibri" w:eastAsia="Calibri" w:hAnsi="Calibri" w:cs="Calibri"/>
                <w:spacing w:val="-1"/>
                <w:sz w:val="18"/>
                <w:szCs w:val="18"/>
              </w:rPr>
              <w:t>increased</w:t>
            </w:r>
            <w:r>
              <w:rPr>
                <w:rFonts w:ascii="Calibri" w:eastAsia="Calibri" w:hAnsi="Calibri" w:cs="Calibri"/>
                <w:spacing w:val="61"/>
                <w:w w:val="99"/>
                <w:sz w:val="18"/>
                <w:szCs w:val="18"/>
              </w:rPr>
              <w:t xml:space="preserve"> </w:t>
            </w:r>
            <w:r>
              <w:rPr>
                <w:rFonts w:ascii="Calibri" w:eastAsia="Calibri" w:hAnsi="Calibri" w:cs="Calibri"/>
                <w:spacing w:val="-1"/>
                <w:sz w:val="18"/>
                <w:szCs w:val="18"/>
              </w:rPr>
              <w:t>savings</w:t>
            </w:r>
            <w:r>
              <w:rPr>
                <w:rFonts w:ascii="Calibri" w:eastAsia="Calibri" w:hAnsi="Calibri" w:cs="Calibri"/>
                <w:spacing w:val="-6"/>
                <w:sz w:val="18"/>
                <w:szCs w:val="18"/>
              </w:rPr>
              <w:t xml:space="preserve"> </w:t>
            </w:r>
            <w:r>
              <w:rPr>
                <w:rFonts w:ascii="Calibri" w:eastAsia="Calibri" w:hAnsi="Calibri" w:cs="Calibri"/>
                <w:sz w:val="18"/>
                <w:szCs w:val="18"/>
              </w:rPr>
              <w:t>and</w:t>
            </w:r>
            <w:r>
              <w:rPr>
                <w:rFonts w:ascii="Calibri" w:eastAsia="Calibri" w:hAnsi="Calibri" w:cs="Calibri"/>
                <w:spacing w:val="-6"/>
                <w:sz w:val="18"/>
                <w:szCs w:val="18"/>
              </w:rPr>
              <w:t xml:space="preserve"> </w:t>
            </w:r>
            <w:r>
              <w:rPr>
                <w:rFonts w:ascii="Calibri" w:eastAsia="Calibri" w:hAnsi="Calibri" w:cs="Calibri"/>
                <w:spacing w:val="-1"/>
                <w:sz w:val="18"/>
                <w:szCs w:val="18"/>
              </w:rPr>
              <w:t>reduce</w:t>
            </w:r>
            <w:r>
              <w:rPr>
                <w:rFonts w:ascii="Calibri" w:eastAsia="Calibri" w:hAnsi="Calibri" w:cs="Calibri"/>
                <w:spacing w:val="-5"/>
                <w:sz w:val="18"/>
                <w:szCs w:val="18"/>
              </w:rPr>
              <w:t xml:space="preserve"> </w:t>
            </w:r>
            <w:r>
              <w:rPr>
                <w:rFonts w:ascii="Calibri" w:eastAsia="Calibri" w:hAnsi="Calibri" w:cs="Calibri"/>
                <w:sz w:val="18"/>
                <w:szCs w:val="18"/>
              </w:rPr>
              <w:t>free</w:t>
            </w:r>
            <w:r>
              <w:rPr>
                <w:rFonts w:ascii="Calibri" w:eastAsia="Calibri" w:hAnsi="Calibri" w:cs="Calibri"/>
                <w:spacing w:val="-6"/>
                <w:sz w:val="18"/>
                <w:szCs w:val="18"/>
              </w:rPr>
              <w:t xml:space="preserve"> </w:t>
            </w:r>
            <w:r>
              <w:rPr>
                <w:rFonts w:ascii="Calibri" w:eastAsia="Calibri" w:hAnsi="Calibri" w:cs="Calibri"/>
                <w:sz w:val="18"/>
                <w:szCs w:val="18"/>
              </w:rPr>
              <w:t>ridership.</w:t>
            </w:r>
            <w:r>
              <w:rPr>
                <w:rFonts w:ascii="Calibri" w:eastAsia="Calibri" w:hAnsi="Calibri" w:cs="Calibri"/>
                <w:spacing w:val="-5"/>
                <w:sz w:val="18"/>
                <w:szCs w:val="18"/>
              </w:rPr>
              <w:t xml:space="preserve"> </w:t>
            </w:r>
            <w:r>
              <w:rPr>
                <w:rFonts w:ascii="Calibri" w:eastAsia="Calibri" w:hAnsi="Calibri" w:cs="Calibri"/>
                <w:spacing w:val="-1"/>
                <w:sz w:val="18"/>
                <w:szCs w:val="18"/>
              </w:rPr>
              <w:t>For</w:t>
            </w:r>
            <w:r>
              <w:rPr>
                <w:rFonts w:ascii="Calibri" w:eastAsia="Calibri" w:hAnsi="Calibri" w:cs="Calibri"/>
                <w:spacing w:val="-6"/>
                <w:sz w:val="18"/>
                <w:szCs w:val="18"/>
              </w:rPr>
              <w:t xml:space="preserve"> </w:t>
            </w:r>
            <w:r>
              <w:rPr>
                <w:rFonts w:ascii="Calibri" w:eastAsia="Calibri" w:hAnsi="Calibri" w:cs="Calibri"/>
                <w:spacing w:val="-1"/>
                <w:sz w:val="18"/>
                <w:szCs w:val="18"/>
              </w:rPr>
              <w:t>example,</w:t>
            </w:r>
            <w:r>
              <w:rPr>
                <w:rFonts w:ascii="Calibri" w:eastAsia="Calibri" w:hAnsi="Calibri" w:cs="Calibri"/>
                <w:spacing w:val="-4"/>
                <w:sz w:val="18"/>
                <w:szCs w:val="18"/>
              </w:rPr>
              <w:t xml:space="preserve"> </w:t>
            </w:r>
            <w:r>
              <w:rPr>
                <w:rFonts w:ascii="Calibri" w:eastAsia="Calibri" w:hAnsi="Calibri" w:cs="Calibri"/>
                <w:spacing w:val="-1"/>
                <w:sz w:val="18"/>
                <w:szCs w:val="18"/>
              </w:rPr>
              <w:t>the</w:t>
            </w:r>
            <w:r>
              <w:rPr>
                <w:rFonts w:ascii="Calibri" w:eastAsia="Calibri" w:hAnsi="Calibri" w:cs="Calibri"/>
                <w:spacing w:val="35"/>
                <w:w w:val="99"/>
                <w:sz w:val="18"/>
                <w:szCs w:val="18"/>
              </w:rPr>
              <w:t xml:space="preserve"> </w:t>
            </w:r>
            <w:r>
              <w:rPr>
                <w:rFonts w:ascii="Calibri" w:eastAsia="Calibri" w:hAnsi="Calibri" w:cs="Calibri"/>
                <w:spacing w:val="-1"/>
                <w:sz w:val="18"/>
                <w:szCs w:val="18"/>
              </w:rPr>
              <w:t>Consortium</w:t>
            </w:r>
            <w:r>
              <w:rPr>
                <w:rFonts w:ascii="Calibri" w:eastAsia="Calibri" w:hAnsi="Calibri" w:cs="Calibri"/>
                <w:spacing w:val="-7"/>
                <w:sz w:val="18"/>
                <w:szCs w:val="18"/>
              </w:rPr>
              <w:t xml:space="preserve"> </w:t>
            </w:r>
            <w:r>
              <w:rPr>
                <w:rFonts w:ascii="Calibri" w:eastAsia="Calibri" w:hAnsi="Calibri" w:cs="Calibri"/>
                <w:sz w:val="18"/>
                <w:szCs w:val="18"/>
              </w:rPr>
              <w:t>for</w:t>
            </w:r>
            <w:r>
              <w:rPr>
                <w:rFonts w:ascii="Calibri" w:eastAsia="Calibri" w:hAnsi="Calibri" w:cs="Calibri"/>
                <w:spacing w:val="-7"/>
                <w:sz w:val="18"/>
                <w:szCs w:val="18"/>
              </w:rPr>
              <w:t xml:space="preserve"> </w:t>
            </w:r>
            <w:r>
              <w:rPr>
                <w:rFonts w:ascii="Calibri" w:eastAsia="Calibri" w:hAnsi="Calibri" w:cs="Calibri"/>
                <w:spacing w:val="-1"/>
                <w:sz w:val="18"/>
                <w:szCs w:val="18"/>
              </w:rPr>
              <w:t>Energy</w:t>
            </w:r>
            <w:r>
              <w:rPr>
                <w:rFonts w:ascii="Calibri" w:eastAsia="Calibri" w:hAnsi="Calibri" w:cs="Calibri"/>
                <w:spacing w:val="-6"/>
                <w:sz w:val="18"/>
                <w:szCs w:val="18"/>
              </w:rPr>
              <w:t xml:space="preserve"> </w:t>
            </w:r>
            <w:r>
              <w:rPr>
                <w:rFonts w:ascii="Calibri" w:eastAsia="Calibri" w:hAnsi="Calibri" w:cs="Calibri"/>
                <w:spacing w:val="-1"/>
                <w:sz w:val="18"/>
                <w:szCs w:val="18"/>
              </w:rPr>
              <w:t>Efficiency</w:t>
            </w:r>
            <w:r>
              <w:rPr>
                <w:rFonts w:ascii="Calibri" w:eastAsia="Calibri" w:hAnsi="Calibri" w:cs="Calibri"/>
                <w:spacing w:val="-4"/>
                <w:sz w:val="18"/>
                <w:szCs w:val="18"/>
              </w:rPr>
              <w:t xml:space="preserve"> </w:t>
            </w:r>
            <w:r>
              <w:rPr>
                <w:rFonts w:ascii="Calibri" w:eastAsia="Calibri" w:hAnsi="Calibri" w:cs="Calibri"/>
                <w:sz w:val="18"/>
                <w:szCs w:val="18"/>
              </w:rPr>
              <w:t>(CEE)</w:t>
            </w:r>
            <w:r>
              <w:rPr>
                <w:rFonts w:ascii="Calibri" w:eastAsia="Calibri" w:hAnsi="Calibri" w:cs="Calibri"/>
                <w:position w:val="5"/>
                <w:sz w:val="12"/>
                <w:szCs w:val="12"/>
              </w:rPr>
              <w:t>[1]</w:t>
            </w:r>
            <w:r>
              <w:rPr>
                <w:rFonts w:ascii="Calibri" w:eastAsia="Calibri" w:hAnsi="Calibri" w:cs="Calibri"/>
                <w:spacing w:val="6"/>
                <w:position w:val="5"/>
                <w:sz w:val="12"/>
                <w:szCs w:val="12"/>
              </w:rPr>
              <w:t xml:space="preserve"> </w:t>
            </w:r>
            <w:r>
              <w:rPr>
                <w:rFonts w:ascii="Calibri" w:eastAsia="Calibri" w:hAnsi="Calibri" w:cs="Calibri"/>
                <w:spacing w:val="-1"/>
                <w:sz w:val="18"/>
                <w:szCs w:val="18"/>
              </w:rPr>
              <w:t>publishes</w:t>
            </w:r>
            <w:r>
              <w:rPr>
                <w:rFonts w:ascii="Calibri" w:eastAsia="Calibri" w:hAnsi="Calibri" w:cs="Calibri"/>
                <w:spacing w:val="-8"/>
                <w:sz w:val="18"/>
                <w:szCs w:val="18"/>
              </w:rPr>
              <w:t xml:space="preserve"> </w:t>
            </w:r>
            <w:r>
              <w:rPr>
                <w:rFonts w:ascii="Calibri" w:eastAsia="Calibri" w:hAnsi="Calibri" w:cs="Calibri"/>
                <w:spacing w:val="-1"/>
                <w:sz w:val="18"/>
                <w:szCs w:val="18"/>
              </w:rPr>
              <w:t>criteria</w:t>
            </w:r>
            <w:r>
              <w:rPr>
                <w:rFonts w:ascii="Calibri" w:eastAsia="Calibri" w:hAnsi="Calibri" w:cs="Calibri"/>
                <w:spacing w:val="57"/>
                <w:w w:val="99"/>
                <w:sz w:val="18"/>
                <w:szCs w:val="18"/>
              </w:rPr>
              <w:t xml:space="preserve"> </w:t>
            </w:r>
            <w:r>
              <w:rPr>
                <w:rFonts w:ascii="Calibri" w:eastAsia="Calibri" w:hAnsi="Calibri" w:cs="Calibri"/>
                <w:sz w:val="18"/>
                <w:szCs w:val="18"/>
              </w:rPr>
              <w:t>for</w:t>
            </w:r>
            <w:r>
              <w:rPr>
                <w:rFonts w:ascii="Calibri" w:eastAsia="Calibri" w:hAnsi="Calibri" w:cs="Calibri"/>
                <w:spacing w:val="-6"/>
                <w:sz w:val="18"/>
                <w:szCs w:val="18"/>
              </w:rPr>
              <w:t xml:space="preserve"> </w:t>
            </w:r>
            <w:r>
              <w:rPr>
                <w:rFonts w:ascii="Calibri" w:eastAsia="Calibri" w:hAnsi="Calibri" w:cs="Calibri"/>
                <w:spacing w:val="-1"/>
                <w:sz w:val="18"/>
                <w:szCs w:val="18"/>
              </w:rPr>
              <w:t>efficiency</w:t>
            </w:r>
            <w:r>
              <w:rPr>
                <w:rFonts w:ascii="Calibri" w:eastAsia="Calibri" w:hAnsi="Calibri" w:cs="Calibri"/>
                <w:spacing w:val="-5"/>
                <w:sz w:val="18"/>
                <w:szCs w:val="18"/>
              </w:rPr>
              <w:t xml:space="preserve"> </w:t>
            </w:r>
            <w:r>
              <w:rPr>
                <w:rFonts w:ascii="Calibri" w:eastAsia="Calibri" w:hAnsi="Calibri" w:cs="Calibri"/>
                <w:spacing w:val="-1"/>
                <w:sz w:val="18"/>
                <w:szCs w:val="18"/>
              </w:rPr>
              <w:t>tiers</w:t>
            </w:r>
            <w:r>
              <w:rPr>
                <w:rFonts w:ascii="Calibri" w:eastAsia="Calibri" w:hAnsi="Calibri" w:cs="Calibri"/>
                <w:spacing w:val="-4"/>
                <w:sz w:val="18"/>
                <w:szCs w:val="18"/>
              </w:rPr>
              <w:t xml:space="preserve"> </w:t>
            </w:r>
            <w:r>
              <w:rPr>
                <w:rFonts w:ascii="Calibri" w:eastAsia="Calibri" w:hAnsi="Calibri" w:cs="Calibri"/>
                <w:spacing w:val="-1"/>
                <w:sz w:val="18"/>
                <w:szCs w:val="18"/>
              </w:rPr>
              <w:t>beyond</w:t>
            </w:r>
            <w:r>
              <w:rPr>
                <w:rFonts w:ascii="Calibri" w:eastAsia="Calibri" w:hAnsi="Calibri" w:cs="Calibri"/>
                <w:spacing w:val="-6"/>
                <w:sz w:val="18"/>
                <w:szCs w:val="18"/>
              </w:rPr>
              <w:t xml:space="preserve"> </w:t>
            </w:r>
            <w:r>
              <w:rPr>
                <w:rFonts w:ascii="Calibri" w:eastAsia="Calibri" w:hAnsi="Calibri" w:cs="Calibri"/>
                <w:sz w:val="18"/>
                <w:szCs w:val="18"/>
              </w:rPr>
              <w:t>ENERGY</w:t>
            </w:r>
            <w:r>
              <w:rPr>
                <w:rFonts w:ascii="Calibri" w:eastAsia="Calibri" w:hAnsi="Calibri" w:cs="Calibri"/>
                <w:spacing w:val="-4"/>
                <w:sz w:val="18"/>
                <w:szCs w:val="18"/>
              </w:rPr>
              <w:t xml:space="preserve"> </w:t>
            </w:r>
            <w:r>
              <w:rPr>
                <w:rFonts w:ascii="Calibri" w:eastAsia="Calibri" w:hAnsi="Calibri" w:cs="Calibri"/>
                <w:spacing w:val="-1"/>
                <w:sz w:val="18"/>
                <w:szCs w:val="18"/>
              </w:rPr>
              <w:t>STAR®</w:t>
            </w:r>
            <w:r>
              <w:rPr>
                <w:rFonts w:ascii="Calibri" w:eastAsia="Calibri" w:hAnsi="Calibri" w:cs="Calibri"/>
                <w:spacing w:val="-5"/>
                <w:sz w:val="18"/>
                <w:szCs w:val="18"/>
              </w:rPr>
              <w:t xml:space="preserve"> </w:t>
            </w:r>
            <w:r>
              <w:rPr>
                <w:rFonts w:ascii="Calibri" w:eastAsia="Calibri" w:hAnsi="Calibri" w:cs="Calibri"/>
                <w:sz w:val="18"/>
                <w:szCs w:val="18"/>
              </w:rPr>
              <w:t>for</w:t>
            </w:r>
            <w:r>
              <w:rPr>
                <w:rFonts w:ascii="Calibri" w:eastAsia="Calibri" w:hAnsi="Calibri" w:cs="Calibri"/>
                <w:spacing w:val="-6"/>
                <w:sz w:val="18"/>
                <w:szCs w:val="18"/>
              </w:rPr>
              <w:t xml:space="preserve"> </w:t>
            </w:r>
            <w:r>
              <w:rPr>
                <w:rFonts w:ascii="Calibri" w:eastAsia="Calibri" w:hAnsi="Calibri" w:cs="Calibri"/>
                <w:spacing w:val="-1"/>
                <w:sz w:val="18"/>
                <w:szCs w:val="18"/>
              </w:rPr>
              <w:t>several</w:t>
            </w:r>
            <w:r>
              <w:rPr>
                <w:rFonts w:ascii="Calibri" w:eastAsia="Calibri" w:hAnsi="Calibri" w:cs="Calibri"/>
                <w:spacing w:val="41"/>
                <w:sz w:val="18"/>
                <w:szCs w:val="18"/>
              </w:rPr>
              <w:t xml:space="preserve"> </w:t>
            </w:r>
            <w:r>
              <w:rPr>
                <w:rFonts w:ascii="Calibri" w:eastAsia="Calibri" w:hAnsi="Calibri" w:cs="Calibri"/>
                <w:spacing w:val="-1"/>
                <w:sz w:val="18"/>
                <w:szCs w:val="18"/>
              </w:rPr>
              <w:t>residential</w:t>
            </w:r>
            <w:r>
              <w:rPr>
                <w:rFonts w:ascii="Calibri" w:eastAsia="Calibri" w:hAnsi="Calibri" w:cs="Calibri"/>
                <w:spacing w:val="-7"/>
                <w:sz w:val="18"/>
                <w:szCs w:val="18"/>
              </w:rPr>
              <w:t xml:space="preserve"> </w:t>
            </w:r>
            <w:r>
              <w:rPr>
                <w:rFonts w:ascii="Calibri" w:eastAsia="Calibri" w:hAnsi="Calibri" w:cs="Calibri"/>
                <w:spacing w:val="-1"/>
                <w:sz w:val="18"/>
                <w:szCs w:val="18"/>
              </w:rPr>
              <w:t>appliances</w:t>
            </w:r>
            <w:r>
              <w:rPr>
                <w:rFonts w:ascii="Calibri" w:eastAsia="Calibri" w:hAnsi="Calibri" w:cs="Calibri"/>
                <w:spacing w:val="-6"/>
                <w:sz w:val="18"/>
                <w:szCs w:val="18"/>
              </w:rPr>
              <w:t xml:space="preserve"> </w:t>
            </w:r>
            <w:r>
              <w:rPr>
                <w:rFonts w:ascii="Calibri" w:eastAsia="Calibri" w:hAnsi="Calibri" w:cs="Calibri"/>
                <w:sz w:val="18"/>
                <w:szCs w:val="18"/>
              </w:rPr>
              <w:t>and</w:t>
            </w:r>
            <w:r>
              <w:rPr>
                <w:rFonts w:ascii="Calibri" w:eastAsia="Calibri" w:hAnsi="Calibri" w:cs="Calibri"/>
                <w:spacing w:val="-7"/>
                <w:sz w:val="18"/>
                <w:szCs w:val="18"/>
              </w:rPr>
              <w:t xml:space="preserve"> </w:t>
            </w:r>
            <w:r>
              <w:rPr>
                <w:rFonts w:ascii="Calibri" w:eastAsia="Calibri" w:hAnsi="Calibri" w:cs="Calibri"/>
                <w:spacing w:val="-1"/>
                <w:sz w:val="18"/>
                <w:szCs w:val="18"/>
              </w:rPr>
              <w:t>equipment.</w:t>
            </w:r>
            <w:r>
              <w:rPr>
                <w:rFonts w:ascii="Calibri" w:eastAsia="Calibri" w:hAnsi="Calibri" w:cs="Calibri"/>
                <w:spacing w:val="-5"/>
                <w:sz w:val="18"/>
                <w:szCs w:val="18"/>
              </w:rPr>
              <w:t xml:space="preserve"> </w:t>
            </w:r>
            <w:r>
              <w:rPr>
                <w:rFonts w:ascii="Calibri" w:eastAsia="Calibri" w:hAnsi="Calibri" w:cs="Calibri"/>
                <w:sz w:val="18"/>
                <w:szCs w:val="18"/>
              </w:rPr>
              <w:t>Also,</w:t>
            </w:r>
            <w:r>
              <w:rPr>
                <w:rFonts w:ascii="Calibri" w:eastAsia="Calibri" w:hAnsi="Calibri" w:cs="Calibri"/>
                <w:spacing w:val="-6"/>
                <w:sz w:val="18"/>
                <w:szCs w:val="18"/>
              </w:rPr>
              <w:t xml:space="preserve"> </w:t>
            </w:r>
            <w:r>
              <w:rPr>
                <w:rFonts w:ascii="Calibri" w:eastAsia="Calibri" w:hAnsi="Calibri" w:cs="Calibri"/>
                <w:sz w:val="18"/>
                <w:szCs w:val="18"/>
              </w:rPr>
              <w:t>one</w:t>
            </w:r>
            <w:r>
              <w:rPr>
                <w:rFonts w:ascii="Calibri" w:eastAsia="Calibri" w:hAnsi="Calibri" w:cs="Calibri"/>
                <w:spacing w:val="-6"/>
                <w:sz w:val="18"/>
                <w:szCs w:val="18"/>
              </w:rPr>
              <w:t xml:space="preserve"> </w:t>
            </w:r>
            <w:r>
              <w:rPr>
                <w:rFonts w:ascii="Calibri" w:eastAsia="Calibri" w:hAnsi="Calibri" w:cs="Calibri"/>
                <w:sz w:val="18"/>
                <w:szCs w:val="18"/>
              </w:rPr>
              <w:t>CEE</w:t>
            </w:r>
            <w:r>
              <w:rPr>
                <w:rFonts w:ascii="Calibri" w:eastAsia="Calibri" w:hAnsi="Calibri" w:cs="Calibri"/>
                <w:spacing w:val="45"/>
                <w:w w:val="99"/>
                <w:sz w:val="18"/>
                <w:szCs w:val="18"/>
              </w:rPr>
              <w:t xml:space="preserve"> </w:t>
            </w:r>
            <w:r>
              <w:rPr>
                <w:rFonts w:ascii="Calibri" w:eastAsia="Calibri" w:hAnsi="Calibri" w:cs="Calibri"/>
                <w:spacing w:val="-1"/>
                <w:sz w:val="18"/>
                <w:szCs w:val="18"/>
              </w:rPr>
              <w:t>initiative</w:t>
            </w:r>
            <w:r>
              <w:rPr>
                <w:rFonts w:ascii="Calibri" w:eastAsia="Calibri" w:hAnsi="Calibri" w:cs="Calibri"/>
                <w:spacing w:val="-7"/>
                <w:sz w:val="18"/>
                <w:szCs w:val="18"/>
              </w:rPr>
              <w:t xml:space="preserve"> </w:t>
            </w:r>
            <w:r>
              <w:rPr>
                <w:rFonts w:ascii="Calibri" w:eastAsia="Calibri" w:hAnsi="Calibri" w:cs="Calibri"/>
                <w:spacing w:val="-1"/>
                <w:sz w:val="18"/>
                <w:szCs w:val="18"/>
              </w:rPr>
              <w:t>defines</w:t>
            </w:r>
            <w:r>
              <w:rPr>
                <w:rFonts w:ascii="Calibri" w:eastAsia="Calibri" w:hAnsi="Calibri" w:cs="Calibri"/>
                <w:spacing w:val="-4"/>
                <w:sz w:val="18"/>
                <w:szCs w:val="18"/>
              </w:rPr>
              <w:t xml:space="preserve"> </w:t>
            </w:r>
            <w:r>
              <w:rPr>
                <w:rFonts w:ascii="Calibri" w:eastAsia="Calibri" w:hAnsi="Calibri" w:cs="Calibri"/>
                <w:sz w:val="18"/>
                <w:szCs w:val="18"/>
              </w:rPr>
              <w:t>two</w:t>
            </w:r>
            <w:r>
              <w:rPr>
                <w:rFonts w:ascii="Calibri" w:eastAsia="Calibri" w:hAnsi="Calibri" w:cs="Calibri"/>
                <w:spacing w:val="-4"/>
                <w:sz w:val="18"/>
                <w:szCs w:val="18"/>
              </w:rPr>
              <w:t xml:space="preserve"> </w:t>
            </w:r>
            <w:r>
              <w:rPr>
                <w:rFonts w:ascii="Calibri" w:eastAsia="Calibri" w:hAnsi="Calibri" w:cs="Calibri"/>
                <w:spacing w:val="-1"/>
                <w:sz w:val="18"/>
                <w:szCs w:val="18"/>
              </w:rPr>
              <w:t>efficiency</w:t>
            </w:r>
            <w:r>
              <w:rPr>
                <w:rFonts w:ascii="Calibri" w:eastAsia="Calibri" w:hAnsi="Calibri" w:cs="Calibri"/>
                <w:spacing w:val="-5"/>
                <w:sz w:val="18"/>
                <w:szCs w:val="18"/>
              </w:rPr>
              <w:t xml:space="preserve"> </w:t>
            </w:r>
            <w:r>
              <w:rPr>
                <w:rFonts w:ascii="Calibri" w:eastAsia="Calibri" w:hAnsi="Calibri" w:cs="Calibri"/>
                <w:spacing w:val="-1"/>
                <w:sz w:val="18"/>
                <w:szCs w:val="18"/>
              </w:rPr>
              <w:t>tiers</w:t>
            </w:r>
            <w:r>
              <w:rPr>
                <w:rFonts w:ascii="Calibri" w:eastAsia="Calibri" w:hAnsi="Calibri" w:cs="Calibri"/>
                <w:spacing w:val="-7"/>
                <w:sz w:val="18"/>
                <w:szCs w:val="18"/>
              </w:rPr>
              <w:t xml:space="preserve"> </w:t>
            </w:r>
            <w:r>
              <w:rPr>
                <w:rFonts w:ascii="Calibri" w:eastAsia="Calibri" w:hAnsi="Calibri" w:cs="Calibri"/>
                <w:sz w:val="18"/>
                <w:szCs w:val="18"/>
              </w:rPr>
              <w:t>above</w:t>
            </w:r>
            <w:r>
              <w:rPr>
                <w:rFonts w:ascii="Calibri" w:eastAsia="Calibri" w:hAnsi="Calibri" w:cs="Calibri"/>
                <w:spacing w:val="-6"/>
                <w:sz w:val="18"/>
                <w:szCs w:val="18"/>
              </w:rPr>
              <w:t xml:space="preserve"> </w:t>
            </w:r>
            <w:r>
              <w:rPr>
                <w:rFonts w:ascii="Calibri" w:eastAsia="Calibri" w:hAnsi="Calibri" w:cs="Calibri"/>
                <w:sz w:val="18"/>
                <w:szCs w:val="18"/>
              </w:rPr>
              <w:t>ENERGY</w:t>
            </w:r>
            <w:r>
              <w:rPr>
                <w:rFonts w:ascii="Calibri" w:eastAsia="Calibri" w:hAnsi="Calibri" w:cs="Calibri"/>
                <w:spacing w:val="-4"/>
                <w:sz w:val="18"/>
                <w:szCs w:val="18"/>
              </w:rPr>
              <w:t xml:space="preserve"> </w:t>
            </w:r>
            <w:r>
              <w:rPr>
                <w:rFonts w:ascii="Calibri" w:eastAsia="Calibri" w:hAnsi="Calibri" w:cs="Calibri"/>
                <w:spacing w:val="-1"/>
                <w:sz w:val="18"/>
                <w:szCs w:val="18"/>
              </w:rPr>
              <w:t>STAR®</w:t>
            </w:r>
            <w:r>
              <w:rPr>
                <w:rFonts w:ascii="Calibri" w:eastAsia="Calibri" w:hAnsi="Calibri" w:cs="Calibri"/>
                <w:spacing w:val="41"/>
                <w:w w:val="99"/>
                <w:sz w:val="18"/>
                <w:szCs w:val="18"/>
              </w:rPr>
              <w:t xml:space="preserve"> </w:t>
            </w:r>
            <w:r>
              <w:rPr>
                <w:rFonts w:ascii="Calibri" w:eastAsia="Calibri" w:hAnsi="Calibri" w:cs="Calibri"/>
                <w:sz w:val="18"/>
                <w:szCs w:val="18"/>
              </w:rPr>
              <w:t>for</w:t>
            </w:r>
            <w:r>
              <w:rPr>
                <w:rFonts w:ascii="Calibri" w:eastAsia="Calibri" w:hAnsi="Calibri" w:cs="Calibri"/>
                <w:spacing w:val="-6"/>
                <w:sz w:val="18"/>
                <w:szCs w:val="18"/>
              </w:rPr>
              <w:t xml:space="preserve"> </w:t>
            </w:r>
            <w:r>
              <w:rPr>
                <w:rFonts w:ascii="Calibri" w:eastAsia="Calibri" w:hAnsi="Calibri" w:cs="Calibri"/>
                <w:spacing w:val="-1"/>
                <w:sz w:val="18"/>
                <w:szCs w:val="18"/>
              </w:rPr>
              <w:t>residential</w:t>
            </w:r>
            <w:r>
              <w:rPr>
                <w:rFonts w:ascii="Calibri" w:eastAsia="Calibri" w:hAnsi="Calibri" w:cs="Calibri"/>
                <w:spacing w:val="-6"/>
                <w:sz w:val="18"/>
                <w:szCs w:val="18"/>
              </w:rPr>
              <w:t xml:space="preserve"> </w:t>
            </w:r>
            <w:r>
              <w:rPr>
                <w:rFonts w:ascii="Calibri" w:eastAsia="Calibri" w:hAnsi="Calibri" w:cs="Calibri"/>
                <w:spacing w:val="-1"/>
                <w:sz w:val="18"/>
                <w:szCs w:val="18"/>
              </w:rPr>
              <w:t>clothes</w:t>
            </w:r>
            <w:r>
              <w:rPr>
                <w:rFonts w:ascii="Calibri" w:eastAsia="Calibri" w:hAnsi="Calibri" w:cs="Calibri"/>
                <w:spacing w:val="-6"/>
                <w:sz w:val="18"/>
                <w:szCs w:val="18"/>
              </w:rPr>
              <w:t xml:space="preserve"> </w:t>
            </w:r>
            <w:r>
              <w:rPr>
                <w:rFonts w:ascii="Calibri" w:eastAsia="Calibri" w:hAnsi="Calibri" w:cs="Calibri"/>
                <w:spacing w:val="-1"/>
                <w:sz w:val="18"/>
                <w:szCs w:val="18"/>
              </w:rPr>
              <w:t>washers.</w:t>
            </w:r>
            <w:r>
              <w:rPr>
                <w:rFonts w:ascii="Calibri" w:eastAsia="Calibri" w:hAnsi="Calibri" w:cs="Calibri"/>
                <w:spacing w:val="-1"/>
                <w:position w:val="5"/>
                <w:sz w:val="12"/>
                <w:szCs w:val="12"/>
              </w:rPr>
              <w:t>[2]</w:t>
            </w:r>
            <w:r>
              <w:rPr>
                <w:rFonts w:ascii="Calibri" w:eastAsia="Calibri" w:hAnsi="Calibri" w:cs="Calibri"/>
                <w:spacing w:val="10"/>
                <w:position w:val="5"/>
                <w:sz w:val="12"/>
                <w:szCs w:val="12"/>
              </w:rPr>
              <w:t xml:space="preserve"> </w:t>
            </w:r>
            <w:r>
              <w:rPr>
                <w:rFonts w:ascii="Calibri" w:eastAsia="Calibri" w:hAnsi="Calibri" w:cs="Calibri"/>
                <w:spacing w:val="-1"/>
                <w:sz w:val="18"/>
                <w:szCs w:val="18"/>
              </w:rPr>
              <w:t>However,</w:t>
            </w:r>
            <w:r>
              <w:rPr>
                <w:rFonts w:ascii="Calibri" w:eastAsia="Calibri" w:hAnsi="Calibri" w:cs="Calibri"/>
                <w:spacing w:val="-5"/>
                <w:sz w:val="18"/>
                <w:szCs w:val="18"/>
              </w:rPr>
              <w:t xml:space="preserve"> </w:t>
            </w:r>
            <w:r>
              <w:rPr>
                <w:rFonts w:ascii="Calibri" w:eastAsia="Calibri" w:hAnsi="Calibri" w:cs="Calibri"/>
                <w:spacing w:val="-1"/>
                <w:sz w:val="18"/>
                <w:szCs w:val="18"/>
              </w:rPr>
              <w:t>this</w:t>
            </w:r>
            <w:r>
              <w:rPr>
                <w:rFonts w:ascii="Calibri" w:eastAsia="Calibri" w:hAnsi="Calibri" w:cs="Calibri"/>
                <w:spacing w:val="-6"/>
                <w:sz w:val="18"/>
                <w:szCs w:val="18"/>
              </w:rPr>
              <w:t xml:space="preserve"> </w:t>
            </w:r>
            <w:r>
              <w:rPr>
                <w:rFonts w:ascii="Calibri" w:eastAsia="Calibri" w:hAnsi="Calibri" w:cs="Calibri"/>
                <w:sz w:val="18"/>
                <w:szCs w:val="18"/>
              </w:rPr>
              <w:t>was</w:t>
            </w:r>
            <w:r>
              <w:rPr>
                <w:rFonts w:ascii="Calibri" w:eastAsia="Calibri" w:hAnsi="Calibri" w:cs="Calibri"/>
                <w:spacing w:val="-6"/>
                <w:sz w:val="18"/>
                <w:szCs w:val="18"/>
              </w:rPr>
              <w:t xml:space="preserve"> </w:t>
            </w:r>
            <w:r>
              <w:rPr>
                <w:rFonts w:ascii="Calibri" w:eastAsia="Calibri" w:hAnsi="Calibri" w:cs="Calibri"/>
                <w:sz w:val="18"/>
                <w:szCs w:val="18"/>
              </w:rPr>
              <w:t>not</w:t>
            </w:r>
            <w:r>
              <w:rPr>
                <w:rFonts w:ascii="Calibri" w:eastAsia="Calibri" w:hAnsi="Calibri" w:cs="Calibri"/>
                <w:spacing w:val="-5"/>
                <w:sz w:val="18"/>
                <w:szCs w:val="18"/>
              </w:rPr>
              <w:t xml:space="preserve"> </w:t>
            </w:r>
            <w:r>
              <w:rPr>
                <w:rFonts w:ascii="Calibri" w:eastAsia="Calibri" w:hAnsi="Calibri" w:cs="Calibri"/>
                <w:spacing w:val="-1"/>
                <w:sz w:val="18"/>
                <w:szCs w:val="18"/>
              </w:rPr>
              <w:t>part</w:t>
            </w:r>
            <w:r>
              <w:rPr>
                <w:rFonts w:ascii="Calibri" w:eastAsia="Calibri" w:hAnsi="Calibri" w:cs="Calibri"/>
                <w:spacing w:val="63"/>
                <w:w w:val="99"/>
                <w:sz w:val="18"/>
                <w:szCs w:val="18"/>
              </w:rPr>
              <w:t xml:space="preserve"> </w:t>
            </w:r>
            <w:r>
              <w:rPr>
                <w:rFonts w:ascii="Calibri" w:eastAsia="Calibri" w:hAnsi="Calibri" w:cs="Calibri"/>
                <w:sz w:val="18"/>
                <w:szCs w:val="18"/>
              </w:rPr>
              <w:t>of</w:t>
            </w:r>
            <w:r>
              <w:rPr>
                <w:rFonts w:ascii="Calibri" w:eastAsia="Calibri" w:hAnsi="Calibri" w:cs="Calibri"/>
                <w:spacing w:val="-4"/>
                <w:sz w:val="18"/>
                <w:szCs w:val="18"/>
              </w:rPr>
              <w:t xml:space="preserve"> </w:t>
            </w:r>
            <w:r>
              <w:rPr>
                <w:rFonts w:ascii="Calibri" w:eastAsia="Calibri" w:hAnsi="Calibri" w:cs="Calibri"/>
                <w:spacing w:val="-1"/>
                <w:sz w:val="18"/>
                <w:szCs w:val="18"/>
              </w:rPr>
              <w:t>the</w:t>
            </w:r>
            <w:r>
              <w:rPr>
                <w:rFonts w:ascii="Calibri" w:eastAsia="Calibri" w:hAnsi="Calibri" w:cs="Calibri"/>
                <w:spacing w:val="-4"/>
                <w:sz w:val="18"/>
                <w:szCs w:val="18"/>
              </w:rPr>
              <w:t xml:space="preserve"> </w:t>
            </w:r>
            <w:r>
              <w:rPr>
                <w:rFonts w:ascii="Calibri" w:eastAsia="Calibri" w:hAnsi="Calibri" w:cs="Calibri"/>
                <w:spacing w:val="-1"/>
                <w:sz w:val="18"/>
                <w:szCs w:val="18"/>
              </w:rPr>
              <w:t>utility’s</w:t>
            </w:r>
            <w:r>
              <w:rPr>
                <w:rFonts w:ascii="Calibri" w:eastAsia="Calibri" w:hAnsi="Calibri" w:cs="Calibri"/>
                <w:spacing w:val="-4"/>
                <w:sz w:val="18"/>
                <w:szCs w:val="18"/>
              </w:rPr>
              <w:t xml:space="preserve"> </w:t>
            </w:r>
            <w:r>
              <w:rPr>
                <w:rFonts w:ascii="Calibri" w:eastAsia="Calibri" w:hAnsi="Calibri" w:cs="Calibri"/>
                <w:spacing w:val="-1"/>
                <w:sz w:val="18"/>
                <w:szCs w:val="18"/>
              </w:rPr>
              <w:t>Phase</w:t>
            </w:r>
            <w:r>
              <w:rPr>
                <w:rFonts w:ascii="Calibri" w:eastAsia="Calibri" w:hAnsi="Calibri" w:cs="Calibri"/>
                <w:spacing w:val="-4"/>
                <w:sz w:val="18"/>
                <w:szCs w:val="18"/>
              </w:rPr>
              <w:t xml:space="preserve"> </w:t>
            </w:r>
            <w:r>
              <w:rPr>
                <w:rFonts w:ascii="Calibri" w:eastAsia="Calibri" w:hAnsi="Calibri" w:cs="Calibri"/>
                <w:sz w:val="18"/>
                <w:szCs w:val="18"/>
              </w:rPr>
              <w:t>III</w:t>
            </w:r>
            <w:r>
              <w:rPr>
                <w:rFonts w:ascii="Calibri" w:eastAsia="Calibri" w:hAnsi="Calibri" w:cs="Calibri"/>
                <w:spacing w:val="-3"/>
                <w:sz w:val="18"/>
                <w:szCs w:val="18"/>
              </w:rPr>
              <w:t xml:space="preserve"> </w:t>
            </w:r>
            <w:r>
              <w:rPr>
                <w:rFonts w:ascii="Calibri" w:eastAsia="Calibri" w:hAnsi="Calibri" w:cs="Calibri"/>
                <w:sz w:val="18"/>
                <w:szCs w:val="18"/>
              </w:rPr>
              <w:t>and</w:t>
            </w:r>
            <w:r>
              <w:rPr>
                <w:rFonts w:ascii="Calibri" w:eastAsia="Calibri" w:hAnsi="Calibri" w:cs="Calibri"/>
                <w:spacing w:val="-4"/>
                <w:sz w:val="18"/>
                <w:szCs w:val="18"/>
              </w:rPr>
              <w:t xml:space="preserve"> </w:t>
            </w:r>
            <w:r>
              <w:rPr>
                <w:rFonts w:ascii="Calibri" w:eastAsia="Calibri" w:hAnsi="Calibri" w:cs="Calibri"/>
                <w:sz w:val="18"/>
                <w:szCs w:val="18"/>
              </w:rPr>
              <w:t>would</w:t>
            </w:r>
            <w:r>
              <w:rPr>
                <w:rFonts w:ascii="Calibri" w:eastAsia="Calibri" w:hAnsi="Calibri" w:cs="Calibri"/>
                <w:spacing w:val="-4"/>
                <w:sz w:val="18"/>
                <w:szCs w:val="18"/>
              </w:rPr>
              <w:t xml:space="preserve"> </w:t>
            </w:r>
            <w:r>
              <w:rPr>
                <w:rFonts w:ascii="Calibri" w:eastAsia="Calibri" w:hAnsi="Calibri" w:cs="Calibri"/>
                <w:spacing w:val="-1"/>
                <w:sz w:val="18"/>
                <w:szCs w:val="18"/>
              </w:rPr>
              <w:t>likely</w:t>
            </w:r>
            <w:r>
              <w:rPr>
                <w:rFonts w:ascii="Calibri" w:eastAsia="Calibri" w:hAnsi="Calibri" w:cs="Calibri"/>
                <w:spacing w:val="-3"/>
                <w:sz w:val="18"/>
                <w:szCs w:val="18"/>
              </w:rPr>
              <w:t xml:space="preserve"> </w:t>
            </w:r>
            <w:r>
              <w:rPr>
                <w:rFonts w:ascii="Calibri" w:eastAsia="Calibri" w:hAnsi="Calibri" w:cs="Calibri"/>
                <w:spacing w:val="-1"/>
                <w:sz w:val="18"/>
                <w:szCs w:val="18"/>
              </w:rPr>
              <w:t>require</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3"/>
                <w:sz w:val="18"/>
                <w:szCs w:val="18"/>
              </w:rPr>
              <w:t xml:space="preserve"> </w:t>
            </w:r>
            <w:r>
              <w:rPr>
                <w:rFonts w:ascii="Calibri" w:eastAsia="Calibri" w:hAnsi="Calibri" w:cs="Calibri"/>
                <w:spacing w:val="-1"/>
                <w:sz w:val="18"/>
                <w:szCs w:val="18"/>
              </w:rPr>
              <w:t>refiling</w:t>
            </w:r>
            <w:r>
              <w:rPr>
                <w:rFonts w:ascii="Calibri" w:eastAsia="Calibri" w:hAnsi="Calibri" w:cs="Calibri"/>
                <w:spacing w:val="-4"/>
                <w:sz w:val="18"/>
                <w:szCs w:val="18"/>
              </w:rPr>
              <w:t xml:space="preserve"> </w:t>
            </w:r>
            <w:r>
              <w:rPr>
                <w:rFonts w:ascii="Calibri" w:eastAsia="Calibri" w:hAnsi="Calibri" w:cs="Calibri"/>
                <w:spacing w:val="-1"/>
                <w:sz w:val="18"/>
                <w:szCs w:val="18"/>
              </w:rPr>
              <w:t>to</w:t>
            </w:r>
            <w:r>
              <w:rPr>
                <w:rFonts w:ascii="Calibri" w:eastAsia="Calibri" w:hAnsi="Calibri" w:cs="Calibri"/>
                <w:spacing w:val="55"/>
                <w:w w:val="99"/>
                <w:sz w:val="18"/>
                <w:szCs w:val="18"/>
              </w:rPr>
              <w:t xml:space="preserve"> </w:t>
            </w:r>
            <w:r>
              <w:rPr>
                <w:rFonts w:ascii="Calibri" w:eastAsia="Calibri" w:hAnsi="Calibri" w:cs="Calibri"/>
                <w:spacing w:val="-1"/>
                <w:sz w:val="18"/>
                <w:szCs w:val="18"/>
              </w:rPr>
              <w:t>implement.</w:t>
            </w:r>
            <w:r>
              <w:rPr>
                <w:rFonts w:ascii="Calibri" w:eastAsia="Calibri" w:hAnsi="Calibri" w:cs="Calibri"/>
                <w:spacing w:val="33"/>
                <w:sz w:val="18"/>
                <w:szCs w:val="18"/>
              </w:rPr>
              <w:t xml:space="preserve"> </w:t>
            </w:r>
            <w:r>
              <w:rPr>
                <w:rFonts w:ascii="Calibri" w:eastAsia="Calibri" w:hAnsi="Calibri" w:cs="Calibri"/>
                <w:sz w:val="18"/>
                <w:szCs w:val="18"/>
              </w:rPr>
              <w:t>It</w:t>
            </w:r>
            <w:r>
              <w:rPr>
                <w:rFonts w:ascii="Calibri" w:eastAsia="Calibri" w:hAnsi="Calibri" w:cs="Calibri"/>
                <w:spacing w:val="-5"/>
                <w:sz w:val="18"/>
                <w:szCs w:val="18"/>
              </w:rPr>
              <w:t xml:space="preserve"> </w:t>
            </w:r>
            <w:r>
              <w:rPr>
                <w:rFonts w:ascii="Calibri" w:eastAsia="Calibri" w:hAnsi="Calibri" w:cs="Calibri"/>
                <w:spacing w:val="-1"/>
                <w:sz w:val="18"/>
                <w:szCs w:val="18"/>
              </w:rPr>
              <w:t>also</w:t>
            </w:r>
            <w:r>
              <w:rPr>
                <w:rFonts w:ascii="Calibri" w:eastAsia="Calibri" w:hAnsi="Calibri" w:cs="Calibri"/>
                <w:spacing w:val="-2"/>
                <w:sz w:val="18"/>
                <w:szCs w:val="18"/>
              </w:rPr>
              <w:t xml:space="preserve"> </w:t>
            </w:r>
            <w:r>
              <w:rPr>
                <w:rFonts w:ascii="Calibri" w:eastAsia="Calibri" w:hAnsi="Calibri" w:cs="Calibri"/>
                <w:sz w:val="18"/>
                <w:szCs w:val="18"/>
              </w:rPr>
              <w:t>may</w:t>
            </w:r>
            <w:r>
              <w:rPr>
                <w:rFonts w:ascii="Calibri" w:eastAsia="Calibri" w:hAnsi="Calibri" w:cs="Calibri"/>
                <w:spacing w:val="-4"/>
                <w:sz w:val="18"/>
                <w:szCs w:val="18"/>
              </w:rPr>
              <w:t xml:space="preserve"> </w:t>
            </w:r>
            <w:r>
              <w:rPr>
                <w:rFonts w:ascii="Calibri" w:eastAsia="Calibri" w:hAnsi="Calibri" w:cs="Calibri"/>
                <w:sz w:val="18"/>
                <w:szCs w:val="18"/>
              </w:rPr>
              <w:t>or</w:t>
            </w:r>
            <w:r>
              <w:rPr>
                <w:rFonts w:ascii="Calibri" w:eastAsia="Calibri" w:hAnsi="Calibri" w:cs="Calibri"/>
                <w:spacing w:val="-5"/>
                <w:sz w:val="18"/>
                <w:szCs w:val="18"/>
              </w:rPr>
              <w:t xml:space="preserve"> </w:t>
            </w:r>
            <w:r>
              <w:rPr>
                <w:rFonts w:ascii="Calibri" w:eastAsia="Calibri" w:hAnsi="Calibri" w:cs="Calibri"/>
                <w:sz w:val="18"/>
                <w:szCs w:val="18"/>
              </w:rPr>
              <w:t>may</w:t>
            </w:r>
            <w:r>
              <w:rPr>
                <w:rFonts w:ascii="Calibri" w:eastAsia="Calibri" w:hAnsi="Calibri" w:cs="Calibri"/>
                <w:spacing w:val="-3"/>
                <w:sz w:val="18"/>
                <w:szCs w:val="18"/>
              </w:rPr>
              <w:t xml:space="preserve"> </w:t>
            </w:r>
            <w:r>
              <w:rPr>
                <w:rFonts w:ascii="Calibri" w:eastAsia="Calibri" w:hAnsi="Calibri" w:cs="Calibri"/>
                <w:sz w:val="18"/>
                <w:szCs w:val="18"/>
              </w:rPr>
              <w:t>not</w:t>
            </w:r>
            <w:r>
              <w:rPr>
                <w:rFonts w:ascii="Calibri" w:eastAsia="Calibri" w:hAnsi="Calibri" w:cs="Calibri"/>
                <w:spacing w:val="-5"/>
                <w:sz w:val="18"/>
                <w:szCs w:val="18"/>
              </w:rPr>
              <w:t xml:space="preserve"> </w:t>
            </w:r>
            <w:r>
              <w:rPr>
                <w:rFonts w:ascii="Calibri" w:eastAsia="Calibri" w:hAnsi="Calibri" w:cs="Calibri"/>
                <w:spacing w:val="-1"/>
                <w:sz w:val="18"/>
                <w:szCs w:val="18"/>
              </w:rPr>
              <w:t>be</w:t>
            </w:r>
            <w:r>
              <w:rPr>
                <w:rFonts w:ascii="Calibri" w:eastAsia="Calibri" w:hAnsi="Calibri" w:cs="Calibri"/>
                <w:spacing w:val="-4"/>
                <w:sz w:val="18"/>
                <w:szCs w:val="18"/>
              </w:rPr>
              <w:t xml:space="preserve"> </w:t>
            </w:r>
            <w:r>
              <w:rPr>
                <w:rFonts w:ascii="Calibri" w:eastAsia="Calibri" w:hAnsi="Calibri" w:cs="Calibri"/>
                <w:spacing w:val="-1"/>
                <w:sz w:val="18"/>
                <w:szCs w:val="18"/>
              </w:rPr>
              <w:t>worthwhile</w:t>
            </w:r>
            <w:r>
              <w:rPr>
                <w:rFonts w:ascii="Calibri" w:eastAsia="Calibri" w:hAnsi="Calibri" w:cs="Calibri"/>
                <w:spacing w:val="-5"/>
                <w:sz w:val="18"/>
                <w:szCs w:val="18"/>
              </w:rPr>
              <w:t xml:space="preserve"> </w:t>
            </w:r>
            <w:r>
              <w:rPr>
                <w:rFonts w:ascii="Calibri" w:eastAsia="Calibri" w:hAnsi="Calibri" w:cs="Calibri"/>
                <w:sz w:val="18"/>
                <w:szCs w:val="18"/>
              </w:rPr>
              <w:t>offering</w:t>
            </w:r>
            <w:r>
              <w:rPr>
                <w:rFonts w:ascii="Calibri" w:eastAsia="Calibri" w:hAnsi="Calibri" w:cs="Calibri"/>
                <w:spacing w:val="33"/>
                <w:w w:val="99"/>
                <w:sz w:val="18"/>
                <w:szCs w:val="18"/>
              </w:rPr>
              <w:t xml:space="preserve"> </w:t>
            </w:r>
            <w:r>
              <w:rPr>
                <w:rFonts w:ascii="Calibri" w:eastAsia="Calibri" w:hAnsi="Calibri" w:cs="Calibri"/>
                <w:spacing w:val="-1"/>
                <w:sz w:val="18"/>
                <w:szCs w:val="18"/>
              </w:rPr>
              <w:t>tiered</w:t>
            </w:r>
            <w:r>
              <w:rPr>
                <w:rFonts w:ascii="Calibri" w:eastAsia="Calibri" w:hAnsi="Calibri" w:cs="Calibri"/>
                <w:spacing w:val="-6"/>
                <w:sz w:val="18"/>
                <w:szCs w:val="18"/>
              </w:rPr>
              <w:t xml:space="preserve"> </w:t>
            </w:r>
            <w:r>
              <w:rPr>
                <w:rFonts w:ascii="Calibri" w:eastAsia="Calibri" w:hAnsi="Calibri" w:cs="Calibri"/>
                <w:spacing w:val="-1"/>
                <w:sz w:val="18"/>
                <w:szCs w:val="18"/>
              </w:rPr>
              <w:t>incentives,</w:t>
            </w:r>
            <w:r>
              <w:rPr>
                <w:rFonts w:ascii="Calibri" w:eastAsia="Calibri" w:hAnsi="Calibri" w:cs="Calibri"/>
                <w:spacing w:val="-5"/>
                <w:sz w:val="18"/>
                <w:szCs w:val="18"/>
              </w:rPr>
              <w:t xml:space="preserve"> </w:t>
            </w:r>
            <w:r>
              <w:rPr>
                <w:rFonts w:ascii="Calibri" w:eastAsia="Calibri" w:hAnsi="Calibri" w:cs="Calibri"/>
                <w:spacing w:val="-1"/>
                <w:sz w:val="18"/>
                <w:szCs w:val="18"/>
              </w:rPr>
              <w:t>given</w:t>
            </w:r>
            <w:r>
              <w:rPr>
                <w:rFonts w:ascii="Calibri" w:eastAsia="Calibri" w:hAnsi="Calibri" w:cs="Calibri"/>
                <w:spacing w:val="-6"/>
                <w:sz w:val="18"/>
                <w:szCs w:val="18"/>
              </w:rPr>
              <w:t xml:space="preserve"> </w:t>
            </w:r>
            <w:r>
              <w:rPr>
                <w:rFonts w:ascii="Calibri" w:eastAsia="Calibri" w:hAnsi="Calibri" w:cs="Calibri"/>
                <w:sz w:val="18"/>
                <w:szCs w:val="18"/>
              </w:rPr>
              <w:t>the</w:t>
            </w:r>
            <w:r>
              <w:rPr>
                <w:rFonts w:ascii="Calibri" w:eastAsia="Calibri" w:hAnsi="Calibri" w:cs="Calibri"/>
                <w:spacing w:val="-5"/>
                <w:sz w:val="18"/>
                <w:szCs w:val="18"/>
              </w:rPr>
              <w:t xml:space="preserve"> </w:t>
            </w:r>
            <w:r>
              <w:rPr>
                <w:rFonts w:ascii="Calibri" w:eastAsia="Calibri" w:hAnsi="Calibri" w:cs="Calibri"/>
                <w:sz w:val="18"/>
                <w:szCs w:val="18"/>
              </w:rPr>
              <w:t>low</w:t>
            </w:r>
            <w:r>
              <w:rPr>
                <w:rFonts w:ascii="Calibri" w:eastAsia="Calibri" w:hAnsi="Calibri" w:cs="Calibri"/>
                <w:spacing w:val="-4"/>
                <w:sz w:val="18"/>
                <w:szCs w:val="18"/>
              </w:rPr>
              <w:t xml:space="preserve"> </w:t>
            </w:r>
            <w:r>
              <w:rPr>
                <w:rFonts w:ascii="Calibri" w:eastAsia="Calibri" w:hAnsi="Calibri" w:cs="Calibri"/>
                <w:spacing w:val="-1"/>
                <w:sz w:val="18"/>
                <w:szCs w:val="18"/>
              </w:rPr>
              <w:t>penetration</w:t>
            </w:r>
            <w:r>
              <w:rPr>
                <w:rFonts w:ascii="Calibri" w:eastAsia="Calibri" w:hAnsi="Calibri" w:cs="Calibri"/>
                <w:spacing w:val="-6"/>
                <w:sz w:val="18"/>
                <w:szCs w:val="18"/>
              </w:rPr>
              <w:t xml:space="preserve"> </w:t>
            </w:r>
            <w:r>
              <w:rPr>
                <w:rFonts w:ascii="Calibri" w:eastAsia="Calibri" w:hAnsi="Calibri" w:cs="Calibri"/>
                <w:sz w:val="18"/>
                <w:szCs w:val="18"/>
              </w:rPr>
              <w:t>of</w:t>
            </w:r>
            <w:r>
              <w:rPr>
                <w:rFonts w:ascii="Calibri" w:eastAsia="Calibri" w:hAnsi="Calibri" w:cs="Calibri"/>
                <w:spacing w:val="-4"/>
                <w:sz w:val="18"/>
                <w:szCs w:val="18"/>
              </w:rPr>
              <w:t xml:space="preserve"> </w:t>
            </w:r>
            <w:r>
              <w:rPr>
                <w:rFonts w:ascii="Calibri" w:eastAsia="Calibri" w:hAnsi="Calibri" w:cs="Calibri"/>
                <w:spacing w:val="-1"/>
                <w:sz w:val="18"/>
                <w:szCs w:val="18"/>
              </w:rPr>
              <w:t>electric</w:t>
            </w:r>
            <w:r>
              <w:rPr>
                <w:rFonts w:ascii="Calibri" w:eastAsia="Calibri" w:hAnsi="Calibri" w:cs="Calibri"/>
                <w:spacing w:val="-5"/>
                <w:sz w:val="18"/>
                <w:szCs w:val="18"/>
              </w:rPr>
              <w:t xml:space="preserve"> </w:t>
            </w:r>
            <w:r>
              <w:rPr>
                <w:rFonts w:ascii="Calibri" w:eastAsia="Calibri" w:hAnsi="Calibri" w:cs="Calibri"/>
                <w:spacing w:val="-1"/>
                <w:sz w:val="18"/>
                <w:szCs w:val="18"/>
              </w:rPr>
              <w:t>water</w:t>
            </w:r>
            <w:r>
              <w:rPr>
                <w:rFonts w:ascii="Calibri" w:eastAsia="Calibri" w:hAnsi="Calibri" w:cs="Calibri"/>
                <w:spacing w:val="59"/>
                <w:w w:val="99"/>
                <w:sz w:val="18"/>
                <w:szCs w:val="18"/>
              </w:rPr>
              <w:t xml:space="preserve"> </w:t>
            </w:r>
            <w:r>
              <w:rPr>
                <w:rFonts w:ascii="Calibri" w:eastAsia="Calibri" w:hAnsi="Calibri" w:cs="Calibri"/>
                <w:spacing w:val="-1"/>
                <w:sz w:val="18"/>
                <w:szCs w:val="18"/>
              </w:rPr>
              <w:t>heating</w:t>
            </w:r>
            <w:r>
              <w:rPr>
                <w:rFonts w:ascii="Calibri" w:eastAsia="Calibri" w:hAnsi="Calibri" w:cs="Calibri"/>
                <w:spacing w:val="-6"/>
                <w:sz w:val="18"/>
                <w:szCs w:val="18"/>
              </w:rPr>
              <w:t xml:space="preserve"> </w:t>
            </w:r>
            <w:r>
              <w:rPr>
                <w:rFonts w:ascii="Calibri" w:eastAsia="Calibri" w:hAnsi="Calibri" w:cs="Calibri"/>
                <w:spacing w:val="-1"/>
                <w:sz w:val="18"/>
                <w:szCs w:val="18"/>
              </w:rPr>
              <w:t>in</w:t>
            </w:r>
            <w:r>
              <w:rPr>
                <w:rFonts w:ascii="Calibri" w:eastAsia="Calibri" w:hAnsi="Calibri" w:cs="Calibri"/>
                <w:spacing w:val="-6"/>
                <w:sz w:val="18"/>
                <w:szCs w:val="18"/>
              </w:rPr>
              <w:t xml:space="preserve"> </w:t>
            </w:r>
            <w:r>
              <w:rPr>
                <w:rFonts w:ascii="Calibri" w:eastAsia="Calibri" w:hAnsi="Calibri" w:cs="Calibri"/>
                <w:sz w:val="18"/>
                <w:szCs w:val="18"/>
              </w:rPr>
              <w:t>the</w:t>
            </w:r>
            <w:r>
              <w:rPr>
                <w:rFonts w:ascii="Calibri" w:eastAsia="Calibri" w:hAnsi="Calibri" w:cs="Calibri"/>
                <w:spacing w:val="-6"/>
                <w:sz w:val="18"/>
                <w:szCs w:val="18"/>
              </w:rPr>
              <w:t xml:space="preserve"> </w:t>
            </w:r>
            <w:r>
              <w:rPr>
                <w:rFonts w:ascii="Calibri" w:eastAsia="Calibri" w:hAnsi="Calibri" w:cs="Calibri"/>
                <w:spacing w:val="-1"/>
                <w:sz w:val="18"/>
                <w:szCs w:val="18"/>
              </w:rPr>
              <w:t>utility’s</w:t>
            </w:r>
            <w:r>
              <w:rPr>
                <w:rFonts w:ascii="Calibri" w:eastAsia="Calibri" w:hAnsi="Calibri" w:cs="Calibri"/>
                <w:spacing w:val="-5"/>
                <w:sz w:val="18"/>
                <w:szCs w:val="18"/>
              </w:rPr>
              <w:t xml:space="preserve"> </w:t>
            </w:r>
            <w:r>
              <w:rPr>
                <w:rFonts w:ascii="Calibri" w:eastAsia="Calibri" w:hAnsi="Calibri" w:cs="Calibri"/>
                <w:spacing w:val="-1"/>
                <w:sz w:val="18"/>
                <w:szCs w:val="18"/>
              </w:rPr>
              <w:t>territory.</w:t>
            </w:r>
          </w:p>
        </w:tc>
        <w:tc>
          <w:tcPr>
            <w:tcW w:w="4680" w:type="dxa"/>
            <w:shd w:val="clear" w:color="auto" w:fill="D2EAF1"/>
          </w:tcPr>
          <w:p w:rsidR="00E646C9" w:rsidRDefault="00E646C9" w:rsidP="00C94D5A">
            <w:pPr>
              <w:pStyle w:val="TableParagraph"/>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E646C9">
        <w:trPr>
          <w:trHeight w:hRule="exact" w:val="1339"/>
        </w:trPr>
        <w:tc>
          <w:tcPr>
            <w:tcW w:w="4680" w:type="dxa"/>
          </w:tcPr>
          <w:p w:rsidR="00E646C9" w:rsidRDefault="00E646C9" w:rsidP="00C94D5A">
            <w:pPr>
              <w:pStyle w:val="TableParagraph"/>
              <w:spacing w:line="219"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2</w:t>
            </w:r>
          </w:p>
          <w:p w:rsidR="00E646C9" w:rsidRDefault="00E646C9" w:rsidP="00C94D5A">
            <w:pPr>
              <w:pStyle w:val="TableParagraph"/>
              <w:ind w:left="97" w:right="126"/>
              <w:rPr>
                <w:rFonts w:ascii="Calibri" w:eastAsia="Calibri" w:hAnsi="Calibri" w:cs="Calibri"/>
                <w:sz w:val="18"/>
                <w:szCs w:val="18"/>
              </w:rPr>
            </w:pPr>
            <w:r>
              <w:rPr>
                <w:rFonts w:ascii="Calibri"/>
                <w:spacing w:val="-1"/>
                <w:sz w:val="18"/>
              </w:rPr>
              <w:t>Consider</w:t>
            </w:r>
            <w:r>
              <w:rPr>
                <w:rFonts w:ascii="Calibri"/>
                <w:spacing w:val="-3"/>
                <w:sz w:val="18"/>
              </w:rPr>
              <w:t xml:space="preserve"> </w:t>
            </w:r>
            <w:r>
              <w:rPr>
                <w:rFonts w:ascii="Calibri"/>
                <w:spacing w:val="-1"/>
                <w:sz w:val="18"/>
              </w:rPr>
              <w:t>leveraging</w:t>
            </w:r>
            <w:r>
              <w:rPr>
                <w:rFonts w:ascii="Calibri"/>
                <w:spacing w:val="-5"/>
                <w:sz w:val="18"/>
              </w:rPr>
              <w:t xml:space="preserve"> </w:t>
            </w:r>
            <w:r>
              <w:rPr>
                <w:rFonts w:ascii="Calibri"/>
                <w:sz w:val="18"/>
              </w:rPr>
              <w:t>the</w:t>
            </w:r>
            <w:r>
              <w:rPr>
                <w:rFonts w:ascii="Calibri"/>
                <w:spacing w:val="-5"/>
                <w:sz w:val="18"/>
              </w:rPr>
              <w:t xml:space="preserve"> </w:t>
            </w:r>
            <w:r>
              <w:rPr>
                <w:rFonts w:ascii="Calibri"/>
                <w:sz w:val="18"/>
              </w:rPr>
              <w:t>REEP,</w:t>
            </w:r>
            <w:r>
              <w:rPr>
                <w:rFonts w:ascii="Calibri"/>
                <w:spacing w:val="-4"/>
                <w:sz w:val="18"/>
              </w:rPr>
              <w:t xml:space="preserve"> </w:t>
            </w:r>
            <w:r>
              <w:rPr>
                <w:rFonts w:ascii="Calibri"/>
                <w:sz w:val="18"/>
              </w:rPr>
              <w:t>LIEEP,</w:t>
            </w:r>
            <w:r>
              <w:rPr>
                <w:rFonts w:ascii="Calibri"/>
                <w:spacing w:val="-4"/>
                <w:sz w:val="18"/>
              </w:rPr>
              <w:t xml:space="preserve"> </w:t>
            </w:r>
            <w:r>
              <w:rPr>
                <w:rFonts w:ascii="Calibri"/>
                <w:spacing w:val="-1"/>
                <w:sz w:val="18"/>
              </w:rPr>
              <w:t>and</w:t>
            </w:r>
            <w:r>
              <w:rPr>
                <w:rFonts w:ascii="Calibri"/>
                <w:spacing w:val="-5"/>
                <w:sz w:val="18"/>
              </w:rPr>
              <w:t xml:space="preserve"> </w:t>
            </w:r>
            <w:r>
              <w:rPr>
                <w:rFonts w:ascii="Calibri"/>
                <w:spacing w:val="-1"/>
                <w:sz w:val="18"/>
              </w:rPr>
              <w:t>SEP</w:t>
            </w:r>
            <w:r>
              <w:rPr>
                <w:rFonts w:ascii="Calibri"/>
                <w:spacing w:val="-4"/>
                <w:sz w:val="18"/>
              </w:rPr>
              <w:t xml:space="preserve"> </w:t>
            </w:r>
            <w:r>
              <w:rPr>
                <w:rFonts w:ascii="Calibri"/>
                <w:spacing w:val="-1"/>
                <w:sz w:val="18"/>
              </w:rPr>
              <w:t>kits</w:t>
            </w:r>
            <w:r>
              <w:rPr>
                <w:rFonts w:ascii="Calibri"/>
                <w:spacing w:val="-5"/>
                <w:sz w:val="18"/>
              </w:rPr>
              <w:t xml:space="preserve"> </w:t>
            </w:r>
            <w:r>
              <w:rPr>
                <w:rFonts w:ascii="Calibri"/>
                <w:sz w:val="18"/>
              </w:rPr>
              <w:t>to</w:t>
            </w:r>
            <w:r>
              <w:rPr>
                <w:rFonts w:ascii="Calibri"/>
                <w:spacing w:val="37"/>
                <w:w w:val="99"/>
                <w:sz w:val="18"/>
              </w:rPr>
              <w:t xml:space="preserve"> </w:t>
            </w:r>
            <w:r>
              <w:rPr>
                <w:rFonts w:ascii="Calibri"/>
                <w:spacing w:val="-1"/>
                <w:sz w:val="18"/>
              </w:rPr>
              <w:t>introduce</w:t>
            </w:r>
            <w:r>
              <w:rPr>
                <w:rFonts w:ascii="Calibri"/>
                <w:spacing w:val="-5"/>
                <w:sz w:val="18"/>
              </w:rPr>
              <w:t xml:space="preserve"> </w:t>
            </w:r>
            <w:r>
              <w:rPr>
                <w:rFonts w:ascii="Calibri"/>
                <w:sz w:val="18"/>
              </w:rPr>
              <w:t>LEDs</w:t>
            </w:r>
            <w:r>
              <w:rPr>
                <w:rFonts w:ascii="Calibri"/>
                <w:spacing w:val="-5"/>
                <w:sz w:val="18"/>
              </w:rPr>
              <w:t xml:space="preserve"> </w:t>
            </w:r>
            <w:r>
              <w:rPr>
                <w:rFonts w:ascii="Calibri"/>
                <w:spacing w:val="-1"/>
                <w:sz w:val="18"/>
              </w:rPr>
              <w:t>to</w:t>
            </w:r>
            <w:r>
              <w:rPr>
                <w:rFonts w:ascii="Calibri"/>
                <w:spacing w:val="-3"/>
                <w:sz w:val="18"/>
              </w:rPr>
              <w:t xml:space="preserve"> </w:t>
            </w:r>
            <w:r>
              <w:rPr>
                <w:rFonts w:ascii="Calibri"/>
                <w:spacing w:val="-1"/>
                <w:sz w:val="18"/>
              </w:rPr>
              <w:t>participants</w:t>
            </w:r>
            <w:r>
              <w:rPr>
                <w:rFonts w:ascii="Calibri"/>
                <w:spacing w:val="-3"/>
                <w:sz w:val="18"/>
              </w:rPr>
              <w:t xml:space="preserve"> </w:t>
            </w:r>
            <w:r>
              <w:rPr>
                <w:rFonts w:ascii="Calibri"/>
                <w:spacing w:val="-1"/>
                <w:sz w:val="18"/>
              </w:rPr>
              <w:t>in</w:t>
            </w:r>
            <w:r>
              <w:rPr>
                <w:rFonts w:ascii="Calibri"/>
                <w:spacing w:val="-3"/>
                <w:sz w:val="18"/>
              </w:rPr>
              <w:t xml:space="preserve"> </w:t>
            </w:r>
            <w:r>
              <w:rPr>
                <w:rFonts w:ascii="Calibri"/>
                <w:spacing w:val="-1"/>
                <w:sz w:val="18"/>
              </w:rPr>
              <w:t>Phase</w:t>
            </w:r>
            <w:r>
              <w:rPr>
                <w:rFonts w:ascii="Calibri"/>
                <w:spacing w:val="-5"/>
                <w:sz w:val="18"/>
              </w:rPr>
              <w:t xml:space="preserve"> </w:t>
            </w:r>
            <w:r>
              <w:rPr>
                <w:rFonts w:ascii="Calibri"/>
                <w:sz w:val="18"/>
              </w:rPr>
              <w:t>III.</w:t>
            </w:r>
            <w:r>
              <w:rPr>
                <w:rFonts w:ascii="Calibri"/>
                <w:spacing w:val="-4"/>
                <w:sz w:val="18"/>
              </w:rPr>
              <w:t xml:space="preserve"> </w:t>
            </w:r>
            <w:r>
              <w:rPr>
                <w:rFonts w:ascii="Calibri"/>
                <w:sz w:val="18"/>
              </w:rPr>
              <w:t>LEDs</w:t>
            </w:r>
            <w:r>
              <w:rPr>
                <w:rFonts w:ascii="Calibri"/>
                <w:spacing w:val="-5"/>
                <w:sz w:val="18"/>
              </w:rPr>
              <w:t xml:space="preserve"> </w:t>
            </w:r>
            <w:r>
              <w:rPr>
                <w:rFonts w:ascii="Calibri"/>
                <w:sz w:val="18"/>
              </w:rPr>
              <w:t>could</w:t>
            </w:r>
            <w:r>
              <w:rPr>
                <w:rFonts w:ascii="Calibri"/>
                <w:spacing w:val="-5"/>
                <w:sz w:val="18"/>
              </w:rPr>
              <w:t xml:space="preserve"> </w:t>
            </w:r>
            <w:r>
              <w:rPr>
                <w:rFonts w:ascii="Calibri"/>
                <w:spacing w:val="-1"/>
                <w:sz w:val="18"/>
              </w:rPr>
              <w:t>be</w:t>
            </w:r>
            <w:r>
              <w:rPr>
                <w:rFonts w:ascii="Calibri"/>
                <w:spacing w:val="39"/>
                <w:w w:val="99"/>
                <w:sz w:val="18"/>
              </w:rPr>
              <w:t xml:space="preserve"> </w:t>
            </w:r>
            <w:r>
              <w:rPr>
                <w:rFonts w:ascii="Calibri"/>
                <w:spacing w:val="-1"/>
                <w:sz w:val="18"/>
              </w:rPr>
              <w:t>provided</w:t>
            </w:r>
            <w:r>
              <w:rPr>
                <w:rFonts w:ascii="Calibri"/>
                <w:spacing w:val="-3"/>
                <w:sz w:val="18"/>
              </w:rPr>
              <w:t xml:space="preserve"> </w:t>
            </w:r>
            <w:r>
              <w:rPr>
                <w:rFonts w:ascii="Calibri"/>
                <w:spacing w:val="-1"/>
                <w:sz w:val="18"/>
              </w:rPr>
              <w:t>in</w:t>
            </w:r>
            <w:r>
              <w:rPr>
                <w:rFonts w:ascii="Calibri"/>
                <w:spacing w:val="-4"/>
                <w:sz w:val="18"/>
              </w:rPr>
              <w:t xml:space="preserve"> </w:t>
            </w:r>
            <w:r>
              <w:rPr>
                <w:rFonts w:ascii="Calibri"/>
                <w:spacing w:val="-1"/>
                <w:sz w:val="18"/>
              </w:rPr>
              <w:t>addition</w:t>
            </w:r>
            <w:r>
              <w:rPr>
                <w:rFonts w:ascii="Calibri"/>
                <w:spacing w:val="-4"/>
                <w:sz w:val="18"/>
              </w:rPr>
              <w:t xml:space="preserve"> </w:t>
            </w:r>
            <w:r>
              <w:rPr>
                <w:rFonts w:ascii="Calibri"/>
                <w:spacing w:val="-1"/>
                <w:sz w:val="18"/>
              </w:rPr>
              <w:t>to</w:t>
            </w:r>
            <w:r>
              <w:rPr>
                <w:rFonts w:ascii="Calibri"/>
                <w:spacing w:val="-3"/>
                <w:sz w:val="18"/>
              </w:rPr>
              <w:t xml:space="preserve"> </w:t>
            </w:r>
            <w:r>
              <w:rPr>
                <w:rFonts w:ascii="Calibri"/>
                <w:sz w:val="18"/>
              </w:rPr>
              <w:t>one</w:t>
            </w:r>
            <w:r>
              <w:rPr>
                <w:rFonts w:ascii="Calibri"/>
                <w:spacing w:val="-4"/>
                <w:sz w:val="18"/>
              </w:rPr>
              <w:t xml:space="preserve"> </w:t>
            </w:r>
            <w:r>
              <w:rPr>
                <w:rFonts w:ascii="Calibri"/>
                <w:sz w:val="18"/>
              </w:rPr>
              <w:t>or</w:t>
            </w:r>
            <w:r>
              <w:rPr>
                <w:rFonts w:ascii="Calibri"/>
                <w:spacing w:val="-4"/>
                <w:sz w:val="18"/>
              </w:rPr>
              <w:t xml:space="preserve"> </w:t>
            </w:r>
            <w:r>
              <w:rPr>
                <w:rFonts w:ascii="Calibri"/>
                <w:sz w:val="18"/>
              </w:rPr>
              <w:t>more</w:t>
            </w:r>
            <w:r>
              <w:rPr>
                <w:rFonts w:ascii="Calibri"/>
                <w:spacing w:val="-4"/>
                <w:sz w:val="18"/>
              </w:rPr>
              <w:t xml:space="preserve"> </w:t>
            </w:r>
            <w:r>
              <w:rPr>
                <w:rFonts w:ascii="Calibri"/>
                <w:spacing w:val="-1"/>
                <w:sz w:val="18"/>
              </w:rPr>
              <w:t>CFLs</w:t>
            </w:r>
            <w:r>
              <w:rPr>
                <w:rFonts w:ascii="Calibri"/>
                <w:spacing w:val="-5"/>
                <w:sz w:val="18"/>
              </w:rPr>
              <w:t xml:space="preserve"> </w:t>
            </w:r>
            <w:r>
              <w:rPr>
                <w:rFonts w:ascii="Calibri"/>
                <w:spacing w:val="-1"/>
                <w:sz w:val="18"/>
              </w:rPr>
              <w:t>and</w:t>
            </w:r>
            <w:r>
              <w:rPr>
                <w:rFonts w:ascii="Calibri"/>
                <w:spacing w:val="-4"/>
                <w:sz w:val="18"/>
              </w:rPr>
              <w:t xml:space="preserve"> </w:t>
            </w:r>
            <w:r>
              <w:rPr>
                <w:rFonts w:ascii="Calibri"/>
                <w:sz w:val="18"/>
              </w:rPr>
              <w:t>may</w:t>
            </w:r>
            <w:r>
              <w:rPr>
                <w:rFonts w:ascii="Calibri"/>
                <w:spacing w:val="-3"/>
                <w:sz w:val="18"/>
              </w:rPr>
              <w:t xml:space="preserve"> </w:t>
            </w:r>
            <w:r>
              <w:rPr>
                <w:rFonts w:ascii="Calibri"/>
                <w:spacing w:val="-1"/>
                <w:sz w:val="18"/>
              </w:rPr>
              <w:t>result</w:t>
            </w:r>
            <w:r>
              <w:rPr>
                <w:rFonts w:ascii="Calibri"/>
                <w:spacing w:val="-4"/>
                <w:sz w:val="18"/>
              </w:rPr>
              <w:t xml:space="preserve"> </w:t>
            </w:r>
            <w:r>
              <w:rPr>
                <w:rFonts w:ascii="Calibri"/>
                <w:sz w:val="18"/>
              </w:rPr>
              <w:t>in</w:t>
            </w:r>
            <w:r>
              <w:rPr>
                <w:rFonts w:ascii="Calibri"/>
                <w:spacing w:val="51"/>
                <w:w w:val="99"/>
                <w:sz w:val="18"/>
              </w:rPr>
              <w:t xml:space="preserve"> </w:t>
            </w:r>
            <w:r>
              <w:rPr>
                <w:rFonts w:ascii="Calibri"/>
                <w:sz w:val="18"/>
              </w:rPr>
              <w:t>lower</w:t>
            </w:r>
            <w:r>
              <w:rPr>
                <w:rFonts w:ascii="Calibri"/>
                <w:spacing w:val="-6"/>
                <w:sz w:val="18"/>
              </w:rPr>
              <w:t xml:space="preserve"> </w:t>
            </w:r>
            <w:r>
              <w:rPr>
                <w:rFonts w:ascii="Calibri"/>
                <w:spacing w:val="-1"/>
                <w:sz w:val="18"/>
              </w:rPr>
              <w:t>free</w:t>
            </w:r>
            <w:r>
              <w:rPr>
                <w:rFonts w:ascii="Calibri"/>
                <w:spacing w:val="-6"/>
                <w:sz w:val="18"/>
              </w:rPr>
              <w:t xml:space="preserve"> </w:t>
            </w:r>
            <w:r>
              <w:rPr>
                <w:rFonts w:ascii="Calibri"/>
                <w:spacing w:val="-1"/>
                <w:sz w:val="18"/>
              </w:rPr>
              <w:t>ridership.</w:t>
            </w:r>
            <w:r>
              <w:rPr>
                <w:rFonts w:ascii="Calibri"/>
                <w:spacing w:val="-5"/>
                <w:sz w:val="18"/>
              </w:rPr>
              <w:t xml:space="preserve"> </w:t>
            </w:r>
            <w:r>
              <w:rPr>
                <w:rFonts w:ascii="Calibri"/>
                <w:spacing w:val="-1"/>
                <w:sz w:val="18"/>
              </w:rPr>
              <w:t>However,</w:t>
            </w:r>
            <w:r>
              <w:rPr>
                <w:rFonts w:ascii="Calibri"/>
                <w:spacing w:val="-5"/>
                <w:sz w:val="18"/>
              </w:rPr>
              <w:t xml:space="preserve"> </w:t>
            </w:r>
            <w:r>
              <w:rPr>
                <w:rFonts w:ascii="Calibri"/>
                <w:sz w:val="18"/>
              </w:rPr>
              <w:t>the</w:t>
            </w:r>
            <w:r>
              <w:rPr>
                <w:rFonts w:ascii="Calibri"/>
                <w:spacing w:val="-6"/>
                <w:sz w:val="18"/>
              </w:rPr>
              <w:t xml:space="preserve"> </w:t>
            </w:r>
            <w:r>
              <w:rPr>
                <w:rFonts w:ascii="Calibri"/>
                <w:sz w:val="18"/>
              </w:rPr>
              <w:t>cost</w:t>
            </w:r>
            <w:r>
              <w:rPr>
                <w:rFonts w:ascii="Calibri"/>
                <w:spacing w:val="-6"/>
                <w:sz w:val="18"/>
              </w:rPr>
              <w:t xml:space="preserve"> </w:t>
            </w:r>
            <w:r>
              <w:rPr>
                <w:rFonts w:ascii="Calibri"/>
                <w:spacing w:val="-1"/>
                <w:sz w:val="18"/>
              </w:rPr>
              <w:t>effectiveness</w:t>
            </w:r>
            <w:r>
              <w:rPr>
                <w:rFonts w:ascii="Calibri"/>
                <w:spacing w:val="-6"/>
                <w:sz w:val="18"/>
              </w:rPr>
              <w:t xml:space="preserve"> </w:t>
            </w:r>
            <w:r>
              <w:rPr>
                <w:rFonts w:ascii="Calibri"/>
                <w:sz w:val="18"/>
              </w:rPr>
              <w:t>of</w:t>
            </w:r>
            <w:r>
              <w:rPr>
                <w:rFonts w:ascii="Calibri"/>
                <w:spacing w:val="-5"/>
                <w:sz w:val="18"/>
              </w:rPr>
              <w:t xml:space="preserve"> </w:t>
            </w:r>
            <w:r>
              <w:rPr>
                <w:rFonts w:ascii="Calibri"/>
                <w:spacing w:val="-1"/>
                <w:sz w:val="18"/>
              </w:rPr>
              <w:t>such</w:t>
            </w:r>
            <w:r>
              <w:rPr>
                <w:rFonts w:ascii="Calibri"/>
                <w:spacing w:val="49"/>
                <w:w w:val="99"/>
                <w:sz w:val="18"/>
              </w:rPr>
              <w:t xml:space="preserve"> </w:t>
            </w:r>
            <w:r>
              <w:rPr>
                <w:rFonts w:ascii="Calibri"/>
                <w:sz w:val="18"/>
              </w:rPr>
              <w:t>an</w:t>
            </w:r>
            <w:r>
              <w:rPr>
                <w:rFonts w:ascii="Calibri"/>
                <w:spacing w:val="-6"/>
                <w:sz w:val="18"/>
              </w:rPr>
              <w:t xml:space="preserve"> </w:t>
            </w:r>
            <w:r>
              <w:rPr>
                <w:rFonts w:ascii="Calibri"/>
                <w:spacing w:val="-1"/>
                <w:sz w:val="18"/>
              </w:rPr>
              <w:t>addition</w:t>
            </w:r>
            <w:r>
              <w:rPr>
                <w:rFonts w:ascii="Calibri"/>
                <w:spacing w:val="-6"/>
                <w:sz w:val="18"/>
              </w:rPr>
              <w:t xml:space="preserve"> </w:t>
            </w:r>
            <w:r>
              <w:rPr>
                <w:rFonts w:ascii="Calibri"/>
                <w:spacing w:val="-1"/>
                <w:sz w:val="18"/>
              </w:rPr>
              <w:t>should</w:t>
            </w:r>
            <w:r>
              <w:rPr>
                <w:rFonts w:ascii="Calibri"/>
                <w:spacing w:val="-5"/>
                <w:sz w:val="18"/>
              </w:rPr>
              <w:t xml:space="preserve"> </w:t>
            </w:r>
            <w:r>
              <w:rPr>
                <w:rFonts w:ascii="Calibri"/>
                <w:sz w:val="18"/>
              </w:rPr>
              <w:t>be</w:t>
            </w:r>
            <w:r>
              <w:rPr>
                <w:rFonts w:ascii="Calibri"/>
                <w:spacing w:val="-6"/>
                <w:sz w:val="18"/>
              </w:rPr>
              <w:t xml:space="preserve"> </w:t>
            </w:r>
            <w:r>
              <w:rPr>
                <w:rFonts w:ascii="Calibri"/>
                <w:spacing w:val="-1"/>
                <w:sz w:val="18"/>
              </w:rPr>
              <w:t>reviewed</w:t>
            </w:r>
            <w:r>
              <w:rPr>
                <w:rFonts w:ascii="Calibri"/>
                <w:spacing w:val="-5"/>
                <w:sz w:val="18"/>
              </w:rPr>
              <w:t xml:space="preserve"> </w:t>
            </w:r>
            <w:r>
              <w:rPr>
                <w:rFonts w:ascii="Calibri"/>
                <w:spacing w:val="-1"/>
                <w:sz w:val="18"/>
              </w:rPr>
              <w:t>first.</w:t>
            </w:r>
          </w:p>
        </w:tc>
        <w:tc>
          <w:tcPr>
            <w:tcW w:w="4680" w:type="dxa"/>
          </w:tcPr>
          <w:p w:rsidR="00E646C9" w:rsidRDefault="00E646C9" w:rsidP="00C94D5A">
            <w:pPr>
              <w:pStyle w:val="TableParagraph"/>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E646C9">
        <w:trPr>
          <w:trHeight w:hRule="exact" w:val="2878"/>
        </w:trPr>
        <w:tc>
          <w:tcPr>
            <w:tcW w:w="4680" w:type="dxa"/>
            <w:shd w:val="clear" w:color="auto" w:fill="D2EAF1"/>
          </w:tcPr>
          <w:p w:rsidR="00E646C9" w:rsidRDefault="00E646C9" w:rsidP="00C94D5A">
            <w:pPr>
              <w:pStyle w:val="TableParagraph"/>
              <w:spacing w:line="218"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3</w:t>
            </w:r>
          </w:p>
          <w:p w:rsidR="00E646C9" w:rsidRDefault="00E646C9" w:rsidP="00C94D5A">
            <w:pPr>
              <w:pStyle w:val="TableParagraph"/>
              <w:spacing w:before="1"/>
              <w:ind w:left="97" w:right="150"/>
              <w:rPr>
                <w:rFonts w:ascii="Calibri" w:eastAsia="Calibri" w:hAnsi="Calibri" w:cs="Calibri"/>
                <w:sz w:val="18"/>
                <w:szCs w:val="18"/>
              </w:rPr>
            </w:pPr>
            <w:r>
              <w:rPr>
                <w:rFonts w:ascii="Calibri"/>
                <w:spacing w:val="-1"/>
                <w:sz w:val="18"/>
              </w:rPr>
              <w:t>Duquesne</w:t>
            </w:r>
            <w:r>
              <w:rPr>
                <w:rFonts w:ascii="Calibri"/>
                <w:spacing w:val="-7"/>
                <w:sz w:val="18"/>
              </w:rPr>
              <w:t xml:space="preserve"> </w:t>
            </w:r>
            <w:r>
              <w:rPr>
                <w:rFonts w:ascii="Calibri"/>
                <w:spacing w:val="-1"/>
                <w:sz w:val="18"/>
              </w:rPr>
              <w:t>Light</w:t>
            </w:r>
            <w:r>
              <w:rPr>
                <w:rFonts w:ascii="Calibri"/>
                <w:spacing w:val="-4"/>
                <w:sz w:val="18"/>
              </w:rPr>
              <w:t xml:space="preserve"> </w:t>
            </w:r>
            <w:r>
              <w:rPr>
                <w:rFonts w:ascii="Calibri"/>
                <w:spacing w:val="-1"/>
                <w:sz w:val="18"/>
              </w:rPr>
              <w:t>should</w:t>
            </w:r>
            <w:r>
              <w:rPr>
                <w:rFonts w:ascii="Calibri"/>
                <w:spacing w:val="-6"/>
                <w:sz w:val="18"/>
              </w:rPr>
              <w:t xml:space="preserve"> </w:t>
            </w:r>
            <w:r>
              <w:rPr>
                <w:rFonts w:ascii="Calibri"/>
                <w:spacing w:val="-1"/>
                <w:sz w:val="18"/>
              </w:rPr>
              <w:t>consider</w:t>
            </w:r>
            <w:r>
              <w:rPr>
                <w:rFonts w:ascii="Calibri"/>
                <w:spacing w:val="-4"/>
                <w:sz w:val="18"/>
              </w:rPr>
              <w:t xml:space="preserve"> </w:t>
            </w:r>
            <w:r>
              <w:rPr>
                <w:rFonts w:ascii="Calibri"/>
                <w:spacing w:val="-1"/>
                <w:sz w:val="18"/>
              </w:rPr>
              <w:t>updating</w:t>
            </w:r>
            <w:r>
              <w:rPr>
                <w:rFonts w:ascii="Calibri"/>
                <w:spacing w:val="-7"/>
                <w:sz w:val="18"/>
              </w:rPr>
              <w:t xml:space="preserve"> </w:t>
            </w:r>
            <w:r>
              <w:rPr>
                <w:rFonts w:ascii="Calibri"/>
                <w:spacing w:val="-1"/>
                <w:sz w:val="18"/>
              </w:rPr>
              <w:t>Wattley</w:t>
            </w:r>
            <w:r>
              <w:rPr>
                <w:rFonts w:ascii="Calibri"/>
                <w:spacing w:val="-5"/>
                <w:sz w:val="18"/>
              </w:rPr>
              <w:t xml:space="preserve"> </w:t>
            </w:r>
            <w:r>
              <w:rPr>
                <w:rFonts w:ascii="Calibri"/>
                <w:sz w:val="18"/>
              </w:rPr>
              <w:t>or</w:t>
            </w:r>
            <w:r>
              <w:rPr>
                <w:rFonts w:ascii="Calibri"/>
                <w:spacing w:val="61"/>
                <w:w w:val="99"/>
                <w:sz w:val="18"/>
              </w:rPr>
              <w:t xml:space="preserve"> </w:t>
            </w:r>
            <w:r>
              <w:rPr>
                <w:rFonts w:ascii="Calibri"/>
                <w:spacing w:val="-1"/>
                <w:sz w:val="18"/>
              </w:rPr>
              <w:t>changing</w:t>
            </w:r>
            <w:r>
              <w:rPr>
                <w:rFonts w:ascii="Calibri"/>
                <w:spacing w:val="-6"/>
                <w:sz w:val="18"/>
              </w:rPr>
              <w:t xml:space="preserve"> </w:t>
            </w:r>
            <w:r>
              <w:rPr>
                <w:rFonts w:ascii="Calibri"/>
                <w:spacing w:val="-1"/>
                <w:sz w:val="18"/>
              </w:rPr>
              <w:t>this</w:t>
            </w:r>
            <w:r>
              <w:rPr>
                <w:rFonts w:ascii="Calibri"/>
                <w:spacing w:val="-5"/>
                <w:sz w:val="18"/>
              </w:rPr>
              <w:t xml:space="preserve"> </w:t>
            </w:r>
            <w:r>
              <w:rPr>
                <w:rFonts w:ascii="Calibri"/>
                <w:sz w:val="18"/>
              </w:rPr>
              <w:t>well-known</w:t>
            </w:r>
            <w:r>
              <w:rPr>
                <w:rFonts w:ascii="Calibri"/>
                <w:spacing w:val="-6"/>
                <w:sz w:val="18"/>
              </w:rPr>
              <w:t xml:space="preserve"> </w:t>
            </w:r>
            <w:r>
              <w:rPr>
                <w:rFonts w:ascii="Calibri"/>
                <w:sz w:val="18"/>
              </w:rPr>
              <w:t>Watt</w:t>
            </w:r>
            <w:r>
              <w:rPr>
                <w:rFonts w:ascii="Calibri"/>
                <w:spacing w:val="-5"/>
                <w:sz w:val="18"/>
              </w:rPr>
              <w:t xml:space="preserve"> </w:t>
            </w:r>
            <w:r>
              <w:rPr>
                <w:rFonts w:ascii="Calibri"/>
                <w:spacing w:val="-1"/>
                <w:sz w:val="18"/>
              </w:rPr>
              <w:t>Choices</w:t>
            </w:r>
            <w:r>
              <w:rPr>
                <w:rFonts w:ascii="Calibri"/>
                <w:spacing w:val="-6"/>
                <w:sz w:val="18"/>
              </w:rPr>
              <w:t xml:space="preserve"> </w:t>
            </w:r>
            <w:r>
              <w:rPr>
                <w:rFonts w:ascii="Calibri"/>
                <w:spacing w:val="-1"/>
                <w:sz w:val="18"/>
              </w:rPr>
              <w:t>image,</w:t>
            </w:r>
            <w:r>
              <w:rPr>
                <w:rFonts w:ascii="Calibri"/>
                <w:spacing w:val="-4"/>
                <w:sz w:val="18"/>
              </w:rPr>
              <w:t xml:space="preserve"> </w:t>
            </w:r>
            <w:r>
              <w:rPr>
                <w:rFonts w:ascii="Calibri"/>
                <w:spacing w:val="-1"/>
                <w:sz w:val="18"/>
              </w:rPr>
              <w:t>if</w:t>
            </w:r>
            <w:r>
              <w:rPr>
                <w:rFonts w:ascii="Calibri"/>
                <w:spacing w:val="-5"/>
                <w:sz w:val="18"/>
              </w:rPr>
              <w:t xml:space="preserve"> </w:t>
            </w:r>
            <w:r>
              <w:rPr>
                <w:rFonts w:ascii="Calibri"/>
                <w:sz w:val="18"/>
              </w:rPr>
              <w:t>Phase</w:t>
            </w:r>
            <w:r>
              <w:rPr>
                <w:rFonts w:ascii="Calibri"/>
                <w:spacing w:val="-5"/>
                <w:sz w:val="18"/>
              </w:rPr>
              <w:t xml:space="preserve"> </w:t>
            </w:r>
            <w:r>
              <w:rPr>
                <w:rFonts w:ascii="Calibri"/>
                <w:sz w:val="18"/>
              </w:rPr>
              <w:t>III</w:t>
            </w:r>
            <w:r>
              <w:rPr>
                <w:rFonts w:ascii="Calibri"/>
                <w:spacing w:val="39"/>
                <w:w w:val="99"/>
                <w:sz w:val="18"/>
              </w:rPr>
              <w:t xml:space="preserve"> </w:t>
            </w:r>
            <w:r>
              <w:rPr>
                <w:rFonts w:ascii="Calibri"/>
                <w:spacing w:val="-1"/>
                <w:sz w:val="18"/>
              </w:rPr>
              <w:t>activities</w:t>
            </w:r>
            <w:r>
              <w:rPr>
                <w:rFonts w:ascii="Calibri"/>
                <w:spacing w:val="-6"/>
                <w:sz w:val="18"/>
              </w:rPr>
              <w:t xml:space="preserve"> </w:t>
            </w:r>
            <w:r>
              <w:rPr>
                <w:rFonts w:ascii="Calibri"/>
                <w:spacing w:val="-1"/>
                <w:sz w:val="18"/>
              </w:rPr>
              <w:t>shift</w:t>
            </w:r>
            <w:r>
              <w:rPr>
                <w:rFonts w:ascii="Calibri"/>
                <w:spacing w:val="-5"/>
                <w:sz w:val="18"/>
              </w:rPr>
              <w:t xml:space="preserve"> </w:t>
            </w:r>
            <w:r>
              <w:rPr>
                <w:rFonts w:ascii="Calibri"/>
                <w:sz w:val="18"/>
              </w:rPr>
              <w:t>away</w:t>
            </w:r>
            <w:r>
              <w:rPr>
                <w:rFonts w:ascii="Calibri"/>
                <w:spacing w:val="-4"/>
                <w:sz w:val="18"/>
              </w:rPr>
              <w:t xml:space="preserve"> </w:t>
            </w:r>
            <w:r>
              <w:rPr>
                <w:rFonts w:ascii="Calibri"/>
                <w:sz w:val="18"/>
              </w:rPr>
              <w:t>from</w:t>
            </w:r>
            <w:r>
              <w:rPr>
                <w:rFonts w:ascii="Calibri"/>
                <w:spacing w:val="-5"/>
                <w:sz w:val="18"/>
              </w:rPr>
              <w:t xml:space="preserve"> </w:t>
            </w:r>
            <w:r>
              <w:rPr>
                <w:rFonts w:ascii="Calibri"/>
                <w:spacing w:val="-1"/>
                <w:sz w:val="18"/>
              </w:rPr>
              <w:t>primary</w:t>
            </w:r>
            <w:r>
              <w:rPr>
                <w:rFonts w:ascii="Calibri"/>
                <w:spacing w:val="-2"/>
                <w:sz w:val="18"/>
              </w:rPr>
              <w:t xml:space="preserve"> </w:t>
            </w:r>
            <w:r>
              <w:rPr>
                <w:rFonts w:ascii="Calibri"/>
                <w:spacing w:val="-1"/>
                <w:sz w:val="18"/>
              </w:rPr>
              <w:t>promotion</w:t>
            </w:r>
            <w:r>
              <w:rPr>
                <w:rFonts w:ascii="Calibri"/>
                <w:spacing w:val="-5"/>
                <w:sz w:val="18"/>
              </w:rPr>
              <w:t xml:space="preserve"> </w:t>
            </w:r>
            <w:r>
              <w:rPr>
                <w:rFonts w:ascii="Calibri"/>
                <w:sz w:val="18"/>
              </w:rPr>
              <w:t>of</w:t>
            </w:r>
            <w:r>
              <w:rPr>
                <w:rFonts w:ascii="Calibri"/>
                <w:spacing w:val="-5"/>
                <w:sz w:val="18"/>
              </w:rPr>
              <w:t xml:space="preserve"> </w:t>
            </w:r>
            <w:r>
              <w:rPr>
                <w:rFonts w:ascii="Calibri"/>
                <w:sz w:val="18"/>
              </w:rPr>
              <w:t>CFLs</w:t>
            </w:r>
            <w:r>
              <w:rPr>
                <w:rFonts w:ascii="Calibri"/>
                <w:spacing w:val="-5"/>
                <w:sz w:val="18"/>
              </w:rPr>
              <w:t xml:space="preserve"> </w:t>
            </w:r>
            <w:r>
              <w:rPr>
                <w:rFonts w:ascii="Calibri"/>
                <w:spacing w:val="-1"/>
                <w:sz w:val="18"/>
              </w:rPr>
              <w:t>to</w:t>
            </w:r>
            <w:r>
              <w:rPr>
                <w:rFonts w:ascii="Calibri"/>
                <w:spacing w:val="45"/>
                <w:w w:val="99"/>
                <w:sz w:val="18"/>
              </w:rPr>
              <w:t xml:space="preserve"> </w:t>
            </w:r>
            <w:r>
              <w:rPr>
                <w:rFonts w:ascii="Calibri"/>
                <w:spacing w:val="-1"/>
                <w:sz w:val="18"/>
              </w:rPr>
              <w:t>primary</w:t>
            </w:r>
            <w:r>
              <w:rPr>
                <w:rFonts w:ascii="Calibri"/>
                <w:spacing w:val="-5"/>
                <w:sz w:val="18"/>
              </w:rPr>
              <w:t xml:space="preserve"> </w:t>
            </w:r>
            <w:r>
              <w:rPr>
                <w:rFonts w:ascii="Calibri"/>
                <w:spacing w:val="-1"/>
                <w:sz w:val="18"/>
              </w:rPr>
              <w:t>promotion</w:t>
            </w:r>
            <w:r>
              <w:rPr>
                <w:rFonts w:ascii="Calibri"/>
                <w:spacing w:val="-5"/>
                <w:sz w:val="18"/>
              </w:rPr>
              <w:t xml:space="preserve"> </w:t>
            </w:r>
            <w:r>
              <w:rPr>
                <w:rFonts w:ascii="Calibri"/>
                <w:sz w:val="18"/>
              </w:rPr>
              <w:t>of</w:t>
            </w:r>
            <w:r>
              <w:rPr>
                <w:rFonts w:ascii="Calibri"/>
                <w:spacing w:val="-4"/>
                <w:sz w:val="18"/>
              </w:rPr>
              <w:t xml:space="preserve"> </w:t>
            </w:r>
            <w:r>
              <w:rPr>
                <w:rFonts w:ascii="Calibri"/>
                <w:sz w:val="18"/>
              </w:rPr>
              <w:t>LEDs.</w:t>
            </w:r>
            <w:r>
              <w:rPr>
                <w:rFonts w:ascii="Calibri"/>
                <w:spacing w:val="-4"/>
                <w:sz w:val="18"/>
              </w:rPr>
              <w:t xml:space="preserve"> </w:t>
            </w:r>
            <w:r>
              <w:rPr>
                <w:rFonts w:ascii="Calibri"/>
                <w:spacing w:val="-1"/>
                <w:sz w:val="18"/>
              </w:rPr>
              <w:t>Without</w:t>
            </w:r>
            <w:r>
              <w:rPr>
                <w:rFonts w:ascii="Calibri"/>
                <w:spacing w:val="-5"/>
                <w:sz w:val="18"/>
              </w:rPr>
              <w:t xml:space="preserve"> </w:t>
            </w:r>
            <w:r>
              <w:rPr>
                <w:rFonts w:ascii="Calibri"/>
                <w:spacing w:val="-1"/>
                <w:sz w:val="18"/>
              </w:rPr>
              <w:t>such</w:t>
            </w:r>
            <w:r>
              <w:rPr>
                <w:rFonts w:ascii="Calibri"/>
                <w:spacing w:val="-5"/>
                <w:sz w:val="18"/>
              </w:rPr>
              <w:t xml:space="preserve"> </w:t>
            </w:r>
            <w:r>
              <w:rPr>
                <w:rFonts w:ascii="Calibri"/>
                <w:sz w:val="18"/>
              </w:rPr>
              <w:t>a</w:t>
            </w:r>
            <w:r>
              <w:rPr>
                <w:rFonts w:ascii="Calibri"/>
                <w:spacing w:val="-4"/>
                <w:sz w:val="18"/>
              </w:rPr>
              <w:t xml:space="preserve"> </w:t>
            </w:r>
            <w:r>
              <w:rPr>
                <w:rFonts w:ascii="Calibri"/>
                <w:spacing w:val="-1"/>
                <w:sz w:val="18"/>
              </w:rPr>
              <w:t>shift,</w:t>
            </w:r>
            <w:r>
              <w:rPr>
                <w:rFonts w:ascii="Calibri"/>
                <w:spacing w:val="-4"/>
                <w:sz w:val="18"/>
              </w:rPr>
              <w:t xml:space="preserve"> </w:t>
            </w:r>
            <w:r>
              <w:rPr>
                <w:rFonts w:ascii="Calibri"/>
                <w:sz w:val="18"/>
              </w:rPr>
              <w:t>at</w:t>
            </w:r>
            <w:r>
              <w:rPr>
                <w:rFonts w:ascii="Calibri"/>
                <w:spacing w:val="-3"/>
                <w:sz w:val="18"/>
              </w:rPr>
              <w:t xml:space="preserve"> </w:t>
            </w:r>
            <w:r>
              <w:rPr>
                <w:rFonts w:ascii="Calibri"/>
                <w:sz w:val="18"/>
              </w:rPr>
              <w:t>some</w:t>
            </w:r>
            <w:r>
              <w:rPr>
                <w:rFonts w:ascii="Calibri"/>
                <w:spacing w:val="47"/>
                <w:w w:val="99"/>
                <w:sz w:val="18"/>
              </w:rPr>
              <w:t xml:space="preserve"> </w:t>
            </w:r>
            <w:r>
              <w:rPr>
                <w:rFonts w:ascii="Calibri"/>
                <w:spacing w:val="-1"/>
                <w:sz w:val="18"/>
              </w:rPr>
              <w:t>point</w:t>
            </w:r>
            <w:r>
              <w:rPr>
                <w:rFonts w:ascii="Calibri"/>
                <w:spacing w:val="-5"/>
                <w:sz w:val="18"/>
              </w:rPr>
              <w:t xml:space="preserve"> </w:t>
            </w:r>
            <w:r>
              <w:rPr>
                <w:rFonts w:ascii="Calibri"/>
                <w:spacing w:val="-1"/>
                <w:sz w:val="18"/>
              </w:rPr>
              <w:t>in</w:t>
            </w:r>
            <w:r>
              <w:rPr>
                <w:rFonts w:ascii="Calibri"/>
                <w:spacing w:val="-4"/>
                <w:sz w:val="18"/>
              </w:rPr>
              <w:t xml:space="preserve"> </w:t>
            </w:r>
            <w:r>
              <w:rPr>
                <w:rFonts w:ascii="Calibri"/>
                <w:sz w:val="18"/>
              </w:rPr>
              <w:t>Phase</w:t>
            </w:r>
            <w:r>
              <w:rPr>
                <w:rFonts w:ascii="Calibri"/>
                <w:spacing w:val="-5"/>
                <w:sz w:val="18"/>
              </w:rPr>
              <w:t xml:space="preserve"> </w:t>
            </w:r>
            <w:r>
              <w:rPr>
                <w:rFonts w:ascii="Calibri"/>
                <w:sz w:val="18"/>
              </w:rPr>
              <w:t>III</w:t>
            </w:r>
            <w:r>
              <w:rPr>
                <w:rFonts w:ascii="Calibri"/>
                <w:spacing w:val="-3"/>
                <w:sz w:val="18"/>
              </w:rPr>
              <w:t xml:space="preserve"> </w:t>
            </w:r>
            <w:r>
              <w:rPr>
                <w:rFonts w:ascii="Calibri"/>
                <w:spacing w:val="-1"/>
                <w:sz w:val="18"/>
              </w:rPr>
              <w:t>the</w:t>
            </w:r>
            <w:r>
              <w:rPr>
                <w:rFonts w:ascii="Calibri"/>
                <w:spacing w:val="-2"/>
                <w:sz w:val="18"/>
              </w:rPr>
              <w:t xml:space="preserve"> </w:t>
            </w:r>
            <w:r>
              <w:rPr>
                <w:rFonts w:ascii="Calibri"/>
                <w:spacing w:val="-1"/>
                <w:sz w:val="18"/>
              </w:rPr>
              <w:t>utility</w:t>
            </w:r>
            <w:r>
              <w:rPr>
                <w:rFonts w:ascii="Calibri"/>
                <w:spacing w:val="-4"/>
                <w:sz w:val="18"/>
              </w:rPr>
              <w:t xml:space="preserve"> </w:t>
            </w:r>
            <w:r>
              <w:rPr>
                <w:rFonts w:ascii="Calibri"/>
                <w:sz w:val="18"/>
              </w:rPr>
              <w:t>may</w:t>
            </w:r>
            <w:r>
              <w:rPr>
                <w:rFonts w:ascii="Calibri"/>
                <w:spacing w:val="-3"/>
                <w:sz w:val="18"/>
              </w:rPr>
              <w:t xml:space="preserve"> </w:t>
            </w:r>
            <w:r>
              <w:rPr>
                <w:rFonts w:ascii="Calibri"/>
                <w:sz w:val="18"/>
              </w:rPr>
              <w:t>be</w:t>
            </w:r>
            <w:r>
              <w:rPr>
                <w:rFonts w:ascii="Calibri"/>
                <w:spacing w:val="-5"/>
                <w:sz w:val="18"/>
              </w:rPr>
              <w:t xml:space="preserve"> </w:t>
            </w:r>
            <w:r>
              <w:rPr>
                <w:rFonts w:ascii="Calibri"/>
                <w:spacing w:val="-1"/>
                <w:sz w:val="18"/>
              </w:rPr>
              <w:t>heavily</w:t>
            </w:r>
            <w:r>
              <w:rPr>
                <w:rFonts w:ascii="Calibri"/>
                <w:spacing w:val="-2"/>
                <w:sz w:val="18"/>
              </w:rPr>
              <w:t xml:space="preserve"> </w:t>
            </w:r>
            <w:r>
              <w:rPr>
                <w:rFonts w:ascii="Calibri"/>
                <w:spacing w:val="-1"/>
                <w:sz w:val="18"/>
              </w:rPr>
              <w:t>promoting</w:t>
            </w:r>
            <w:r>
              <w:rPr>
                <w:rFonts w:ascii="Calibri"/>
                <w:spacing w:val="-4"/>
                <w:sz w:val="18"/>
              </w:rPr>
              <w:t xml:space="preserve"> </w:t>
            </w:r>
            <w:r>
              <w:rPr>
                <w:rFonts w:ascii="Calibri"/>
                <w:sz w:val="18"/>
              </w:rPr>
              <w:t>LEDs</w:t>
            </w:r>
            <w:r>
              <w:rPr>
                <w:rFonts w:ascii="Calibri"/>
                <w:spacing w:val="39"/>
                <w:w w:val="99"/>
                <w:sz w:val="18"/>
              </w:rPr>
              <w:t xml:space="preserve"> </w:t>
            </w:r>
            <w:r>
              <w:rPr>
                <w:rFonts w:ascii="Calibri"/>
                <w:spacing w:val="-1"/>
                <w:sz w:val="18"/>
              </w:rPr>
              <w:t>while</w:t>
            </w:r>
            <w:r>
              <w:rPr>
                <w:rFonts w:ascii="Calibri"/>
                <w:spacing w:val="-6"/>
                <w:sz w:val="18"/>
              </w:rPr>
              <w:t xml:space="preserve"> </w:t>
            </w:r>
            <w:r>
              <w:rPr>
                <w:rFonts w:ascii="Calibri"/>
                <w:spacing w:val="-1"/>
                <w:sz w:val="18"/>
              </w:rPr>
              <w:t>its</w:t>
            </w:r>
            <w:r>
              <w:rPr>
                <w:rFonts w:ascii="Calibri"/>
                <w:spacing w:val="-5"/>
                <w:sz w:val="18"/>
              </w:rPr>
              <w:t xml:space="preserve"> </w:t>
            </w:r>
            <w:r>
              <w:rPr>
                <w:rFonts w:ascii="Calibri"/>
                <w:spacing w:val="-1"/>
                <w:sz w:val="18"/>
              </w:rPr>
              <w:t>primary</w:t>
            </w:r>
            <w:r>
              <w:rPr>
                <w:rFonts w:ascii="Calibri"/>
                <w:spacing w:val="-5"/>
                <w:sz w:val="18"/>
              </w:rPr>
              <w:t xml:space="preserve"> </w:t>
            </w:r>
            <w:r>
              <w:rPr>
                <w:rFonts w:ascii="Calibri"/>
                <w:spacing w:val="-1"/>
                <w:sz w:val="18"/>
              </w:rPr>
              <w:t>marketing</w:t>
            </w:r>
            <w:r>
              <w:rPr>
                <w:rFonts w:ascii="Calibri"/>
                <w:spacing w:val="-3"/>
                <w:sz w:val="18"/>
              </w:rPr>
              <w:t xml:space="preserve"> </w:t>
            </w:r>
            <w:r>
              <w:rPr>
                <w:rFonts w:ascii="Calibri"/>
                <w:sz w:val="18"/>
              </w:rPr>
              <w:t>icon</w:t>
            </w:r>
            <w:r>
              <w:rPr>
                <w:rFonts w:ascii="Calibri"/>
                <w:spacing w:val="-6"/>
                <w:sz w:val="18"/>
              </w:rPr>
              <w:t xml:space="preserve"> </w:t>
            </w:r>
            <w:r>
              <w:rPr>
                <w:rFonts w:ascii="Calibri"/>
                <w:spacing w:val="-1"/>
                <w:sz w:val="18"/>
              </w:rPr>
              <w:t>visually</w:t>
            </w:r>
            <w:r>
              <w:rPr>
                <w:rFonts w:ascii="Calibri"/>
                <w:spacing w:val="-3"/>
                <w:sz w:val="18"/>
              </w:rPr>
              <w:t xml:space="preserve"> </w:t>
            </w:r>
            <w:r>
              <w:rPr>
                <w:rFonts w:ascii="Calibri"/>
                <w:spacing w:val="-1"/>
                <w:sz w:val="18"/>
              </w:rPr>
              <w:t>promotes</w:t>
            </w:r>
            <w:r>
              <w:rPr>
                <w:rFonts w:ascii="Calibri"/>
                <w:spacing w:val="45"/>
                <w:w w:val="99"/>
                <w:sz w:val="18"/>
              </w:rPr>
              <w:t xml:space="preserve"> </w:t>
            </w:r>
            <w:r>
              <w:rPr>
                <w:rFonts w:ascii="Calibri"/>
                <w:spacing w:val="-1"/>
                <w:sz w:val="18"/>
              </w:rPr>
              <w:t>alternatives</w:t>
            </w:r>
            <w:r>
              <w:rPr>
                <w:rFonts w:ascii="Calibri"/>
                <w:spacing w:val="-4"/>
                <w:sz w:val="18"/>
              </w:rPr>
              <w:t xml:space="preserve"> </w:t>
            </w:r>
            <w:r>
              <w:rPr>
                <w:rFonts w:ascii="Calibri"/>
                <w:spacing w:val="-1"/>
                <w:sz w:val="18"/>
              </w:rPr>
              <w:t>to</w:t>
            </w:r>
            <w:r>
              <w:rPr>
                <w:rFonts w:ascii="Calibri"/>
                <w:spacing w:val="-2"/>
                <w:sz w:val="18"/>
              </w:rPr>
              <w:t xml:space="preserve"> </w:t>
            </w:r>
            <w:r>
              <w:rPr>
                <w:rFonts w:ascii="Calibri"/>
                <w:sz w:val="18"/>
              </w:rPr>
              <w:t>LEDs</w:t>
            </w:r>
            <w:r>
              <w:rPr>
                <w:rFonts w:ascii="Calibri"/>
                <w:spacing w:val="-4"/>
                <w:sz w:val="18"/>
              </w:rPr>
              <w:t xml:space="preserve"> </w:t>
            </w:r>
            <w:r>
              <w:rPr>
                <w:rFonts w:ascii="Calibri"/>
                <w:spacing w:val="-1"/>
                <w:sz w:val="18"/>
              </w:rPr>
              <w:t>(i.e.,</w:t>
            </w:r>
            <w:r>
              <w:rPr>
                <w:rFonts w:ascii="Calibri"/>
                <w:spacing w:val="-3"/>
                <w:sz w:val="18"/>
              </w:rPr>
              <w:t xml:space="preserve"> </w:t>
            </w:r>
            <w:r>
              <w:rPr>
                <w:rFonts w:ascii="Calibri"/>
                <w:spacing w:val="-1"/>
                <w:sz w:val="18"/>
              </w:rPr>
              <w:t>CFLs).</w:t>
            </w:r>
            <w:r>
              <w:rPr>
                <w:rFonts w:ascii="Calibri"/>
                <w:spacing w:val="-3"/>
                <w:sz w:val="18"/>
              </w:rPr>
              <w:t xml:space="preserve"> </w:t>
            </w:r>
            <w:r>
              <w:rPr>
                <w:rFonts w:ascii="Calibri"/>
                <w:spacing w:val="-1"/>
                <w:sz w:val="18"/>
              </w:rPr>
              <w:t>This</w:t>
            </w:r>
            <w:r>
              <w:rPr>
                <w:rFonts w:ascii="Calibri"/>
                <w:spacing w:val="-4"/>
                <w:sz w:val="18"/>
              </w:rPr>
              <w:t xml:space="preserve"> </w:t>
            </w:r>
            <w:r>
              <w:rPr>
                <w:rFonts w:ascii="Calibri"/>
                <w:spacing w:val="-1"/>
                <w:sz w:val="18"/>
              </w:rPr>
              <w:t>is</w:t>
            </w:r>
            <w:r>
              <w:rPr>
                <w:rFonts w:ascii="Calibri"/>
                <w:spacing w:val="-4"/>
                <w:sz w:val="18"/>
              </w:rPr>
              <w:t xml:space="preserve"> </w:t>
            </w:r>
            <w:r>
              <w:rPr>
                <w:rFonts w:ascii="Calibri"/>
                <w:sz w:val="18"/>
              </w:rPr>
              <w:t>a</w:t>
            </w:r>
            <w:r>
              <w:rPr>
                <w:rFonts w:ascii="Calibri"/>
                <w:spacing w:val="-3"/>
                <w:sz w:val="18"/>
              </w:rPr>
              <w:t xml:space="preserve"> </w:t>
            </w:r>
            <w:r>
              <w:rPr>
                <w:rFonts w:ascii="Calibri"/>
                <w:spacing w:val="-1"/>
                <w:sz w:val="18"/>
              </w:rPr>
              <w:t>timing</w:t>
            </w:r>
            <w:r>
              <w:rPr>
                <w:rFonts w:ascii="Calibri"/>
                <w:sz w:val="18"/>
              </w:rPr>
              <w:t xml:space="preserve"> </w:t>
            </w:r>
            <w:r>
              <w:rPr>
                <w:rFonts w:ascii="Calibri"/>
                <w:spacing w:val="-1"/>
                <w:sz w:val="18"/>
              </w:rPr>
              <w:t>issue</w:t>
            </w:r>
            <w:r>
              <w:rPr>
                <w:rFonts w:ascii="Calibri"/>
                <w:spacing w:val="-4"/>
                <w:sz w:val="18"/>
              </w:rPr>
              <w:t xml:space="preserve"> </w:t>
            </w:r>
            <w:r>
              <w:rPr>
                <w:rFonts w:ascii="Calibri"/>
                <w:sz w:val="18"/>
              </w:rPr>
              <w:t>and</w:t>
            </w:r>
            <w:r>
              <w:rPr>
                <w:rFonts w:ascii="Calibri"/>
                <w:spacing w:val="-4"/>
                <w:sz w:val="18"/>
              </w:rPr>
              <w:t xml:space="preserve"> </w:t>
            </w:r>
            <w:r>
              <w:rPr>
                <w:rFonts w:ascii="Calibri"/>
                <w:spacing w:val="-1"/>
                <w:sz w:val="18"/>
              </w:rPr>
              <w:t>it</w:t>
            </w:r>
            <w:r>
              <w:rPr>
                <w:rFonts w:ascii="Calibri"/>
                <w:spacing w:val="-4"/>
                <w:sz w:val="18"/>
              </w:rPr>
              <w:t xml:space="preserve"> </w:t>
            </w:r>
            <w:r>
              <w:rPr>
                <w:rFonts w:ascii="Calibri"/>
                <w:sz w:val="18"/>
              </w:rPr>
              <w:t>is</w:t>
            </w:r>
            <w:r>
              <w:rPr>
                <w:rFonts w:ascii="Calibri"/>
                <w:spacing w:val="57"/>
                <w:w w:val="99"/>
                <w:sz w:val="18"/>
              </w:rPr>
              <w:t xml:space="preserve"> </w:t>
            </w:r>
            <w:r>
              <w:rPr>
                <w:rFonts w:ascii="Calibri"/>
                <w:spacing w:val="-1"/>
                <w:sz w:val="18"/>
              </w:rPr>
              <w:t>also</w:t>
            </w:r>
            <w:r>
              <w:rPr>
                <w:rFonts w:ascii="Calibri"/>
                <w:spacing w:val="-3"/>
                <w:sz w:val="18"/>
              </w:rPr>
              <w:t xml:space="preserve"> </w:t>
            </w:r>
            <w:r>
              <w:rPr>
                <w:rFonts w:ascii="Calibri"/>
                <w:sz w:val="18"/>
              </w:rPr>
              <w:t>a</w:t>
            </w:r>
            <w:r>
              <w:rPr>
                <w:rFonts w:ascii="Calibri"/>
                <w:spacing w:val="-4"/>
                <w:sz w:val="18"/>
              </w:rPr>
              <w:t xml:space="preserve"> </w:t>
            </w:r>
            <w:r>
              <w:rPr>
                <w:rFonts w:ascii="Calibri"/>
                <w:spacing w:val="-1"/>
                <w:sz w:val="18"/>
              </w:rPr>
              <w:t>delicate</w:t>
            </w:r>
            <w:r>
              <w:rPr>
                <w:rFonts w:ascii="Calibri"/>
                <w:spacing w:val="-4"/>
                <w:sz w:val="18"/>
              </w:rPr>
              <w:t xml:space="preserve"> </w:t>
            </w:r>
            <w:r>
              <w:rPr>
                <w:rFonts w:ascii="Calibri"/>
                <w:sz w:val="18"/>
              </w:rPr>
              <w:t>market</w:t>
            </w:r>
            <w:r>
              <w:rPr>
                <w:rFonts w:ascii="Calibri"/>
                <w:spacing w:val="-5"/>
                <w:sz w:val="18"/>
              </w:rPr>
              <w:t xml:space="preserve"> </w:t>
            </w:r>
            <w:r>
              <w:rPr>
                <w:rFonts w:ascii="Calibri"/>
                <w:spacing w:val="-1"/>
                <w:sz w:val="18"/>
              </w:rPr>
              <w:t>one.</w:t>
            </w:r>
            <w:r>
              <w:rPr>
                <w:rFonts w:ascii="Calibri"/>
                <w:spacing w:val="-3"/>
                <w:sz w:val="18"/>
              </w:rPr>
              <w:t xml:space="preserve"> </w:t>
            </w:r>
            <w:r>
              <w:rPr>
                <w:rFonts w:ascii="Calibri"/>
                <w:spacing w:val="-1"/>
                <w:sz w:val="18"/>
              </w:rPr>
              <w:t>Wattley</w:t>
            </w:r>
            <w:r>
              <w:rPr>
                <w:rFonts w:ascii="Calibri"/>
                <w:spacing w:val="-4"/>
                <w:sz w:val="18"/>
              </w:rPr>
              <w:t xml:space="preserve"> </w:t>
            </w:r>
            <w:r>
              <w:rPr>
                <w:rFonts w:ascii="Calibri"/>
                <w:spacing w:val="-1"/>
                <w:sz w:val="18"/>
              </w:rPr>
              <w:t>is</w:t>
            </w:r>
            <w:r>
              <w:rPr>
                <w:rFonts w:ascii="Calibri"/>
                <w:spacing w:val="-4"/>
                <w:sz w:val="18"/>
              </w:rPr>
              <w:t xml:space="preserve"> </w:t>
            </w:r>
            <w:r>
              <w:rPr>
                <w:rFonts w:ascii="Calibri"/>
                <w:spacing w:val="-1"/>
                <w:sz w:val="18"/>
              </w:rPr>
              <w:t>widely</w:t>
            </w:r>
            <w:r>
              <w:rPr>
                <w:rFonts w:ascii="Calibri"/>
                <w:spacing w:val="-4"/>
                <w:sz w:val="18"/>
              </w:rPr>
              <w:t xml:space="preserve"> </w:t>
            </w:r>
            <w:r>
              <w:rPr>
                <w:rFonts w:ascii="Calibri"/>
                <w:sz w:val="18"/>
              </w:rPr>
              <w:t>known</w:t>
            </w:r>
            <w:r>
              <w:rPr>
                <w:rFonts w:ascii="Calibri"/>
                <w:spacing w:val="-4"/>
                <w:sz w:val="18"/>
              </w:rPr>
              <w:t xml:space="preserve"> </w:t>
            </w:r>
            <w:r>
              <w:rPr>
                <w:rFonts w:ascii="Calibri"/>
                <w:spacing w:val="-1"/>
                <w:sz w:val="18"/>
              </w:rPr>
              <w:t>in</w:t>
            </w:r>
            <w:r>
              <w:rPr>
                <w:rFonts w:ascii="Calibri"/>
                <w:spacing w:val="-5"/>
                <w:sz w:val="18"/>
              </w:rPr>
              <w:t xml:space="preserve"> </w:t>
            </w:r>
            <w:r>
              <w:rPr>
                <w:rFonts w:ascii="Calibri"/>
                <w:sz w:val="18"/>
              </w:rPr>
              <w:t>the</w:t>
            </w:r>
            <w:r>
              <w:rPr>
                <w:rFonts w:ascii="Calibri"/>
                <w:spacing w:val="47"/>
                <w:w w:val="99"/>
                <w:sz w:val="18"/>
              </w:rPr>
              <w:t xml:space="preserve"> </w:t>
            </w:r>
            <w:r>
              <w:rPr>
                <w:rFonts w:ascii="Calibri"/>
                <w:spacing w:val="-1"/>
                <w:sz w:val="18"/>
              </w:rPr>
              <w:t>territory</w:t>
            </w:r>
            <w:r>
              <w:rPr>
                <w:rFonts w:ascii="Calibri"/>
                <w:spacing w:val="-5"/>
                <w:sz w:val="18"/>
              </w:rPr>
              <w:t xml:space="preserve"> </w:t>
            </w:r>
            <w:r>
              <w:rPr>
                <w:rFonts w:ascii="Calibri"/>
                <w:spacing w:val="-1"/>
                <w:sz w:val="18"/>
              </w:rPr>
              <w:t>and</w:t>
            </w:r>
            <w:r>
              <w:rPr>
                <w:rFonts w:ascii="Calibri"/>
                <w:spacing w:val="-3"/>
                <w:sz w:val="18"/>
              </w:rPr>
              <w:t xml:space="preserve"> </w:t>
            </w:r>
            <w:r>
              <w:rPr>
                <w:rFonts w:ascii="Calibri"/>
                <w:spacing w:val="-1"/>
                <w:sz w:val="18"/>
              </w:rPr>
              <w:t>is</w:t>
            </w:r>
            <w:r>
              <w:rPr>
                <w:rFonts w:ascii="Calibri"/>
                <w:spacing w:val="-5"/>
                <w:sz w:val="18"/>
              </w:rPr>
              <w:t xml:space="preserve"> </w:t>
            </w:r>
            <w:r>
              <w:rPr>
                <w:rFonts w:ascii="Calibri"/>
                <w:sz w:val="18"/>
              </w:rPr>
              <w:t>as</w:t>
            </w:r>
            <w:r>
              <w:rPr>
                <w:rFonts w:ascii="Calibri"/>
                <w:spacing w:val="-5"/>
                <w:sz w:val="18"/>
              </w:rPr>
              <w:t xml:space="preserve"> </w:t>
            </w:r>
            <w:r>
              <w:rPr>
                <w:rFonts w:ascii="Calibri"/>
                <w:spacing w:val="-1"/>
                <w:sz w:val="18"/>
              </w:rPr>
              <w:t>very</w:t>
            </w:r>
            <w:r>
              <w:rPr>
                <w:rFonts w:ascii="Calibri"/>
                <w:spacing w:val="-2"/>
                <w:sz w:val="18"/>
              </w:rPr>
              <w:t xml:space="preserve"> </w:t>
            </w:r>
            <w:r>
              <w:rPr>
                <w:rFonts w:ascii="Calibri"/>
                <w:spacing w:val="-1"/>
                <w:sz w:val="18"/>
              </w:rPr>
              <w:t>positive</w:t>
            </w:r>
            <w:r>
              <w:rPr>
                <w:rFonts w:ascii="Calibri"/>
                <w:spacing w:val="-3"/>
                <w:sz w:val="18"/>
              </w:rPr>
              <w:t xml:space="preserve"> </w:t>
            </w:r>
            <w:r>
              <w:rPr>
                <w:rFonts w:ascii="Calibri"/>
                <w:sz w:val="18"/>
              </w:rPr>
              <w:t>program</w:t>
            </w:r>
            <w:r>
              <w:rPr>
                <w:rFonts w:ascii="Calibri"/>
                <w:spacing w:val="-4"/>
                <w:sz w:val="18"/>
              </w:rPr>
              <w:t xml:space="preserve"> </w:t>
            </w:r>
            <w:r>
              <w:rPr>
                <w:rFonts w:ascii="Calibri"/>
                <w:spacing w:val="-1"/>
                <w:sz w:val="18"/>
              </w:rPr>
              <w:t>image.</w:t>
            </w:r>
            <w:r>
              <w:rPr>
                <w:rFonts w:ascii="Calibri"/>
                <w:spacing w:val="-4"/>
                <w:sz w:val="18"/>
              </w:rPr>
              <w:t xml:space="preserve"> </w:t>
            </w:r>
            <w:r>
              <w:rPr>
                <w:rFonts w:ascii="Calibri"/>
                <w:spacing w:val="-1"/>
                <w:sz w:val="18"/>
              </w:rPr>
              <w:t>Changing</w:t>
            </w:r>
            <w:r>
              <w:rPr>
                <w:rFonts w:ascii="Calibri"/>
                <w:spacing w:val="-5"/>
                <w:sz w:val="18"/>
              </w:rPr>
              <w:t xml:space="preserve"> </w:t>
            </w:r>
            <w:r>
              <w:rPr>
                <w:rFonts w:ascii="Calibri"/>
                <w:sz w:val="18"/>
              </w:rPr>
              <w:t>or</w:t>
            </w:r>
            <w:r>
              <w:rPr>
                <w:rFonts w:ascii="Calibri"/>
                <w:spacing w:val="43"/>
                <w:w w:val="99"/>
                <w:sz w:val="18"/>
              </w:rPr>
              <w:t xml:space="preserve"> </w:t>
            </w:r>
            <w:r>
              <w:rPr>
                <w:rFonts w:ascii="Calibri"/>
                <w:spacing w:val="-1"/>
                <w:sz w:val="18"/>
              </w:rPr>
              <w:t>removing</w:t>
            </w:r>
            <w:r>
              <w:rPr>
                <w:rFonts w:ascii="Calibri"/>
                <w:spacing w:val="-5"/>
                <w:sz w:val="18"/>
              </w:rPr>
              <w:t xml:space="preserve"> </w:t>
            </w:r>
            <w:r>
              <w:rPr>
                <w:rFonts w:ascii="Calibri"/>
                <w:sz w:val="18"/>
              </w:rPr>
              <w:t>such</w:t>
            </w:r>
            <w:r>
              <w:rPr>
                <w:rFonts w:ascii="Calibri"/>
                <w:spacing w:val="-5"/>
                <w:sz w:val="18"/>
              </w:rPr>
              <w:t xml:space="preserve"> </w:t>
            </w:r>
            <w:r>
              <w:rPr>
                <w:rFonts w:ascii="Calibri"/>
                <w:sz w:val="18"/>
              </w:rPr>
              <w:t>an</w:t>
            </w:r>
            <w:r>
              <w:rPr>
                <w:rFonts w:ascii="Calibri"/>
                <w:spacing w:val="-5"/>
                <w:sz w:val="18"/>
              </w:rPr>
              <w:t xml:space="preserve"> </w:t>
            </w:r>
            <w:r>
              <w:rPr>
                <w:rFonts w:ascii="Calibri"/>
                <w:spacing w:val="-1"/>
                <w:sz w:val="18"/>
              </w:rPr>
              <w:t>image</w:t>
            </w:r>
            <w:r>
              <w:rPr>
                <w:rFonts w:ascii="Calibri"/>
                <w:spacing w:val="-2"/>
                <w:sz w:val="18"/>
              </w:rPr>
              <w:t xml:space="preserve"> </w:t>
            </w:r>
            <w:r>
              <w:rPr>
                <w:rFonts w:ascii="Calibri"/>
                <w:spacing w:val="-1"/>
                <w:sz w:val="18"/>
              </w:rPr>
              <w:t>should</w:t>
            </w:r>
            <w:r>
              <w:rPr>
                <w:rFonts w:ascii="Calibri"/>
                <w:spacing w:val="-5"/>
                <w:sz w:val="18"/>
              </w:rPr>
              <w:t xml:space="preserve"> </w:t>
            </w:r>
            <w:r>
              <w:rPr>
                <w:rFonts w:ascii="Calibri"/>
                <w:spacing w:val="-1"/>
                <w:sz w:val="18"/>
              </w:rPr>
              <w:t>only</w:t>
            </w:r>
            <w:r>
              <w:rPr>
                <w:rFonts w:ascii="Calibri"/>
                <w:spacing w:val="-4"/>
                <w:sz w:val="18"/>
              </w:rPr>
              <w:t xml:space="preserve"> </w:t>
            </w:r>
            <w:r>
              <w:rPr>
                <w:rFonts w:ascii="Calibri"/>
                <w:spacing w:val="-1"/>
                <w:sz w:val="18"/>
              </w:rPr>
              <w:t>be</w:t>
            </w:r>
            <w:r>
              <w:rPr>
                <w:rFonts w:ascii="Calibri"/>
                <w:spacing w:val="-3"/>
                <w:sz w:val="18"/>
              </w:rPr>
              <w:t xml:space="preserve"> </w:t>
            </w:r>
            <w:r>
              <w:rPr>
                <w:rFonts w:ascii="Calibri"/>
                <w:spacing w:val="-1"/>
                <w:sz w:val="18"/>
              </w:rPr>
              <w:t>done</w:t>
            </w:r>
            <w:r>
              <w:rPr>
                <w:rFonts w:ascii="Calibri"/>
                <w:spacing w:val="-5"/>
                <w:sz w:val="18"/>
              </w:rPr>
              <w:t xml:space="preserve"> </w:t>
            </w:r>
            <w:r>
              <w:rPr>
                <w:rFonts w:ascii="Calibri"/>
                <w:spacing w:val="-1"/>
                <w:sz w:val="18"/>
              </w:rPr>
              <w:t>after</w:t>
            </w:r>
            <w:r>
              <w:rPr>
                <w:rFonts w:ascii="Calibri"/>
                <w:spacing w:val="49"/>
                <w:w w:val="99"/>
                <w:sz w:val="18"/>
              </w:rPr>
              <w:t xml:space="preserve"> </w:t>
            </w:r>
            <w:r>
              <w:rPr>
                <w:rFonts w:ascii="Calibri"/>
                <w:spacing w:val="-1"/>
                <w:sz w:val="18"/>
              </w:rPr>
              <w:t>considerable</w:t>
            </w:r>
            <w:r>
              <w:rPr>
                <w:rFonts w:ascii="Calibri"/>
                <w:spacing w:val="-7"/>
                <w:sz w:val="18"/>
              </w:rPr>
              <w:t xml:space="preserve"> </w:t>
            </w:r>
            <w:r>
              <w:rPr>
                <w:rFonts w:ascii="Calibri"/>
                <w:spacing w:val="-1"/>
                <w:sz w:val="18"/>
              </w:rPr>
              <w:t>thought</w:t>
            </w:r>
            <w:r>
              <w:rPr>
                <w:rFonts w:ascii="Calibri"/>
                <w:spacing w:val="-7"/>
                <w:sz w:val="18"/>
              </w:rPr>
              <w:t xml:space="preserve"> </w:t>
            </w:r>
            <w:r>
              <w:rPr>
                <w:rFonts w:ascii="Calibri"/>
                <w:sz w:val="18"/>
              </w:rPr>
              <w:t>and</w:t>
            </w:r>
            <w:r>
              <w:rPr>
                <w:rFonts w:ascii="Calibri"/>
                <w:spacing w:val="-7"/>
                <w:sz w:val="18"/>
              </w:rPr>
              <w:t xml:space="preserve"> </w:t>
            </w:r>
            <w:r>
              <w:rPr>
                <w:rFonts w:ascii="Calibri"/>
                <w:spacing w:val="-1"/>
                <w:sz w:val="18"/>
              </w:rPr>
              <w:t>possibly</w:t>
            </w:r>
            <w:r>
              <w:rPr>
                <w:rFonts w:ascii="Calibri"/>
                <w:spacing w:val="-6"/>
                <w:sz w:val="18"/>
              </w:rPr>
              <w:t xml:space="preserve"> </w:t>
            </w:r>
            <w:r>
              <w:rPr>
                <w:rFonts w:ascii="Calibri"/>
                <w:spacing w:val="-1"/>
                <w:sz w:val="18"/>
              </w:rPr>
              <w:t>testing</w:t>
            </w:r>
            <w:r>
              <w:rPr>
                <w:rFonts w:ascii="Calibri"/>
                <w:spacing w:val="-7"/>
                <w:sz w:val="18"/>
              </w:rPr>
              <w:t xml:space="preserve"> </w:t>
            </w:r>
            <w:r>
              <w:rPr>
                <w:rFonts w:ascii="Calibri"/>
                <w:spacing w:val="-1"/>
                <w:sz w:val="18"/>
              </w:rPr>
              <w:t>regarding</w:t>
            </w:r>
            <w:r>
              <w:rPr>
                <w:rFonts w:ascii="Calibri"/>
                <w:spacing w:val="-6"/>
                <w:sz w:val="18"/>
              </w:rPr>
              <w:t xml:space="preserve"> </w:t>
            </w:r>
            <w:r>
              <w:rPr>
                <w:rFonts w:ascii="Calibri"/>
                <w:sz w:val="18"/>
              </w:rPr>
              <w:t>the</w:t>
            </w:r>
            <w:r>
              <w:rPr>
                <w:rFonts w:ascii="Calibri"/>
                <w:spacing w:val="59"/>
                <w:w w:val="99"/>
                <w:sz w:val="18"/>
              </w:rPr>
              <w:t xml:space="preserve"> </w:t>
            </w:r>
            <w:r>
              <w:rPr>
                <w:rFonts w:ascii="Calibri"/>
                <w:spacing w:val="-1"/>
                <w:sz w:val="18"/>
              </w:rPr>
              <w:t>consequences.</w:t>
            </w:r>
          </w:p>
        </w:tc>
        <w:tc>
          <w:tcPr>
            <w:tcW w:w="4680" w:type="dxa"/>
            <w:shd w:val="clear" w:color="auto" w:fill="D2EAF1"/>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E646C9">
        <w:trPr>
          <w:trHeight w:hRule="exact" w:val="802"/>
        </w:trPr>
        <w:tc>
          <w:tcPr>
            <w:tcW w:w="9360" w:type="dxa"/>
            <w:gridSpan w:val="2"/>
          </w:tcPr>
          <w:p w:rsidR="00E646C9" w:rsidRDefault="00E646C9" w:rsidP="00C94D5A">
            <w:pPr>
              <w:pStyle w:val="TableParagraph"/>
              <w:spacing w:line="193" w:lineRule="exact"/>
              <w:ind w:left="97"/>
              <w:rPr>
                <w:rFonts w:ascii="Calibri" w:eastAsia="Calibri" w:hAnsi="Calibri" w:cs="Calibri"/>
                <w:sz w:val="16"/>
                <w:szCs w:val="16"/>
              </w:rPr>
            </w:pPr>
            <w:r>
              <w:rPr>
                <w:rFonts w:ascii="Calibri"/>
                <w:sz w:val="16"/>
              </w:rPr>
              <w:t>[1]</w:t>
            </w:r>
            <w:r>
              <w:rPr>
                <w:rFonts w:ascii="Calibri"/>
                <w:spacing w:val="-2"/>
                <w:sz w:val="16"/>
              </w:rPr>
              <w:t xml:space="preserve"> </w:t>
            </w:r>
            <w:r>
              <w:rPr>
                <w:rFonts w:ascii="Calibri"/>
                <w:spacing w:val="-1"/>
                <w:sz w:val="16"/>
              </w:rPr>
              <w:t>Consortium</w:t>
            </w:r>
            <w:r>
              <w:rPr>
                <w:rFonts w:ascii="Calibri"/>
                <w:spacing w:val="1"/>
                <w:sz w:val="16"/>
              </w:rPr>
              <w:t xml:space="preserve"> </w:t>
            </w:r>
            <w:r>
              <w:rPr>
                <w:rFonts w:ascii="Calibri"/>
                <w:spacing w:val="-1"/>
                <w:sz w:val="16"/>
              </w:rPr>
              <w:t>for Energy Efficiency.</w:t>
            </w:r>
            <w:r>
              <w:rPr>
                <w:rFonts w:ascii="Calibri"/>
                <w:spacing w:val="2"/>
                <w:sz w:val="16"/>
              </w:rPr>
              <w:t xml:space="preserve"> </w:t>
            </w:r>
            <w:r>
              <w:rPr>
                <w:rFonts w:ascii="Calibri"/>
                <w:spacing w:val="-1"/>
                <w:sz w:val="16"/>
              </w:rPr>
              <w:t>CEE</w:t>
            </w:r>
            <w:hyperlink r:id="rId183">
              <w:r>
                <w:rPr>
                  <w:rFonts w:ascii="Calibri"/>
                  <w:spacing w:val="-1"/>
                  <w:sz w:val="16"/>
                </w:rPr>
                <w:t>.</w:t>
              </w:r>
              <w:r>
                <w:rPr>
                  <w:rFonts w:ascii="Calibri"/>
                  <w:sz w:val="16"/>
                </w:rPr>
                <w:t xml:space="preserve"> </w:t>
              </w:r>
              <w:r>
                <w:rPr>
                  <w:rFonts w:ascii="Calibri"/>
                  <w:spacing w:val="-1"/>
                  <w:sz w:val="16"/>
                </w:rPr>
                <w:t>http://www.cee1.org/</w:t>
              </w:r>
            </w:hyperlink>
          </w:p>
          <w:p w:rsidR="00E646C9" w:rsidRDefault="00E646C9" w:rsidP="00C94D5A">
            <w:pPr>
              <w:pStyle w:val="TableParagraph"/>
              <w:ind w:left="97" w:right="316"/>
              <w:rPr>
                <w:rFonts w:ascii="Calibri" w:eastAsia="Calibri" w:hAnsi="Calibri" w:cs="Calibri"/>
                <w:sz w:val="16"/>
                <w:szCs w:val="16"/>
              </w:rPr>
            </w:pPr>
            <w:r>
              <w:rPr>
                <w:rFonts w:ascii="Calibri"/>
                <w:sz w:val="16"/>
              </w:rPr>
              <w:t>[2]</w:t>
            </w:r>
            <w:r>
              <w:rPr>
                <w:rFonts w:ascii="Calibri"/>
                <w:spacing w:val="-2"/>
                <w:sz w:val="16"/>
              </w:rPr>
              <w:t xml:space="preserve"> </w:t>
            </w:r>
            <w:r>
              <w:rPr>
                <w:rFonts w:ascii="Calibri"/>
                <w:spacing w:val="-1"/>
                <w:sz w:val="16"/>
              </w:rPr>
              <w:t>CEE</w:t>
            </w:r>
            <w:r>
              <w:rPr>
                <w:rFonts w:ascii="Calibri"/>
                <w:sz w:val="16"/>
              </w:rPr>
              <w:t xml:space="preserve"> </w:t>
            </w:r>
            <w:r>
              <w:rPr>
                <w:rFonts w:ascii="Calibri"/>
                <w:spacing w:val="-1"/>
                <w:sz w:val="16"/>
              </w:rPr>
              <w:t>Super Efficient</w:t>
            </w:r>
            <w:r>
              <w:rPr>
                <w:rFonts w:ascii="Calibri"/>
                <w:spacing w:val="-2"/>
                <w:sz w:val="16"/>
              </w:rPr>
              <w:t xml:space="preserve"> </w:t>
            </w:r>
            <w:r>
              <w:rPr>
                <w:rFonts w:ascii="Calibri"/>
                <w:sz w:val="16"/>
              </w:rPr>
              <w:t>Home</w:t>
            </w:r>
            <w:r>
              <w:rPr>
                <w:rFonts w:ascii="Calibri"/>
                <w:spacing w:val="-1"/>
                <w:sz w:val="16"/>
              </w:rPr>
              <w:t xml:space="preserve"> Appliances Initiative.</w:t>
            </w:r>
            <w:r>
              <w:rPr>
                <w:rFonts w:ascii="Calibri"/>
                <w:sz w:val="16"/>
              </w:rPr>
              <w:t xml:space="preserve"> High</w:t>
            </w:r>
            <w:r>
              <w:rPr>
                <w:rFonts w:ascii="Calibri"/>
                <w:spacing w:val="-1"/>
                <w:sz w:val="16"/>
              </w:rPr>
              <w:t xml:space="preserve"> efficiency specifications </w:t>
            </w:r>
            <w:r>
              <w:rPr>
                <w:rFonts w:ascii="Calibri"/>
                <w:sz w:val="16"/>
              </w:rPr>
              <w:t>for</w:t>
            </w:r>
            <w:r>
              <w:rPr>
                <w:rFonts w:ascii="Calibri"/>
                <w:spacing w:val="-1"/>
                <w:sz w:val="16"/>
              </w:rPr>
              <w:t xml:space="preserve"> Residential</w:t>
            </w:r>
            <w:r>
              <w:rPr>
                <w:rFonts w:ascii="Calibri"/>
                <w:spacing w:val="-2"/>
                <w:sz w:val="16"/>
              </w:rPr>
              <w:t xml:space="preserve"> </w:t>
            </w:r>
            <w:r>
              <w:rPr>
                <w:rFonts w:ascii="Calibri"/>
                <w:spacing w:val="-1"/>
                <w:sz w:val="16"/>
              </w:rPr>
              <w:t>Clothes Washers.</w:t>
            </w:r>
            <w:r>
              <w:rPr>
                <w:rFonts w:ascii="Calibri"/>
                <w:sz w:val="16"/>
              </w:rPr>
              <w:t xml:space="preserve"> </w:t>
            </w:r>
            <w:r>
              <w:rPr>
                <w:rFonts w:ascii="Calibri"/>
                <w:spacing w:val="-1"/>
                <w:sz w:val="16"/>
              </w:rPr>
              <w:t>Effective</w:t>
            </w:r>
            <w:r>
              <w:rPr>
                <w:rFonts w:ascii="Calibri"/>
                <w:spacing w:val="1"/>
                <w:sz w:val="16"/>
              </w:rPr>
              <w:t xml:space="preserve"> </w:t>
            </w:r>
            <w:r>
              <w:rPr>
                <w:rFonts w:ascii="Calibri"/>
                <w:spacing w:val="-1"/>
                <w:sz w:val="16"/>
              </w:rPr>
              <w:t xml:space="preserve">March </w:t>
            </w:r>
            <w:r>
              <w:rPr>
                <w:rFonts w:ascii="Calibri"/>
                <w:sz w:val="16"/>
              </w:rPr>
              <w:t xml:space="preserve">7, 2015. </w:t>
            </w:r>
            <w:r>
              <w:rPr>
                <w:rFonts w:ascii="Calibri"/>
                <w:color w:val="0000FF"/>
                <w:sz w:val="16"/>
              </w:rPr>
              <w:t xml:space="preserve">  </w:t>
            </w:r>
            <w:hyperlink r:id="rId184">
              <w:r>
                <w:rPr>
                  <w:rFonts w:ascii="Calibri"/>
                  <w:color w:val="0000FF"/>
                  <w:spacing w:val="-1"/>
                  <w:sz w:val="16"/>
                  <w:u w:val="single" w:color="0000FF"/>
                </w:rPr>
                <w:t>http://library.cee1.org/sites/default/files/library/12282/CEE_ResidentialClothesWasherSpec_07Mar2015.pdf</w:t>
              </w:r>
            </w:hyperlink>
          </w:p>
        </w:tc>
      </w:tr>
    </w:tbl>
    <w:p w:rsidR="00E646C9" w:rsidRPr="00E646C9" w:rsidRDefault="00E646C9" w:rsidP="00E646C9">
      <w:pPr>
        <w:pStyle w:val="AppendixGHeading2"/>
      </w:pPr>
      <w:r w:rsidRPr="00E646C9">
        <w:t>Residential Appliance Recycling Program</w:t>
      </w:r>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704"/>
        </w:trPr>
        <w:tc>
          <w:tcPr>
            <w:tcW w:w="4680" w:type="dxa"/>
            <w:shd w:val="clear" w:color="auto" w:fill="438A99"/>
          </w:tcPr>
          <w:p w:rsidR="00E646C9" w:rsidRDefault="00E646C9" w:rsidP="00B40F47">
            <w:pPr>
              <w:pStyle w:val="TableParagraph"/>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E646C9">
        <w:trPr>
          <w:trHeight w:hRule="exact" w:val="1778"/>
        </w:trPr>
        <w:tc>
          <w:tcPr>
            <w:tcW w:w="4680" w:type="dxa"/>
            <w:shd w:val="clear" w:color="auto" w:fill="D2EAF1"/>
          </w:tcPr>
          <w:p w:rsidR="00E646C9" w:rsidRDefault="00E646C9" w:rsidP="00C94D5A">
            <w:pPr>
              <w:pStyle w:val="TableParagraph"/>
              <w:spacing w:line="218" w:lineRule="exact"/>
              <w:ind w:left="97"/>
              <w:jc w:val="both"/>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spacing w:before="1"/>
              <w:ind w:left="97" w:right="94"/>
              <w:jc w:val="both"/>
              <w:rPr>
                <w:rFonts w:ascii="Calibri" w:eastAsia="Calibri" w:hAnsi="Calibri" w:cs="Calibri"/>
                <w:sz w:val="18"/>
                <w:szCs w:val="18"/>
              </w:rPr>
            </w:pPr>
            <w:r>
              <w:rPr>
                <w:rFonts w:ascii="Calibri"/>
                <w:spacing w:val="-1"/>
                <w:sz w:val="18"/>
              </w:rPr>
              <w:t>Consider</w:t>
            </w:r>
            <w:r>
              <w:rPr>
                <w:rFonts w:ascii="Calibri"/>
                <w:spacing w:val="33"/>
                <w:sz w:val="18"/>
              </w:rPr>
              <w:t xml:space="preserve"> </w:t>
            </w:r>
            <w:r>
              <w:rPr>
                <w:rFonts w:ascii="Calibri"/>
                <w:spacing w:val="-1"/>
                <w:sz w:val="18"/>
              </w:rPr>
              <w:t>boosting</w:t>
            </w:r>
            <w:r>
              <w:rPr>
                <w:rFonts w:ascii="Calibri"/>
                <w:spacing w:val="32"/>
                <w:sz w:val="18"/>
              </w:rPr>
              <w:t xml:space="preserve"> </w:t>
            </w:r>
            <w:r>
              <w:rPr>
                <w:rFonts w:ascii="Calibri"/>
                <w:spacing w:val="-1"/>
                <w:sz w:val="18"/>
              </w:rPr>
              <w:t>survey</w:t>
            </w:r>
            <w:r>
              <w:rPr>
                <w:rFonts w:ascii="Calibri"/>
                <w:spacing w:val="35"/>
                <w:sz w:val="18"/>
              </w:rPr>
              <w:t xml:space="preserve"> </w:t>
            </w:r>
            <w:r>
              <w:rPr>
                <w:rFonts w:ascii="Calibri"/>
                <w:spacing w:val="-1"/>
                <w:sz w:val="18"/>
              </w:rPr>
              <w:t>sample</w:t>
            </w:r>
            <w:r>
              <w:rPr>
                <w:rFonts w:ascii="Calibri"/>
                <w:spacing w:val="34"/>
                <w:sz w:val="18"/>
              </w:rPr>
              <w:t xml:space="preserve"> </w:t>
            </w:r>
            <w:r>
              <w:rPr>
                <w:rFonts w:ascii="Calibri"/>
                <w:spacing w:val="-1"/>
                <w:sz w:val="18"/>
              </w:rPr>
              <w:t>sizes</w:t>
            </w:r>
            <w:r>
              <w:rPr>
                <w:rFonts w:ascii="Calibri"/>
                <w:spacing w:val="34"/>
                <w:sz w:val="18"/>
              </w:rPr>
              <w:t xml:space="preserve"> </w:t>
            </w:r>
            <w:r>
              <w:rPr>
                <w:rFonts w:ascii="Calibri"/>
                <w:spacing w:val="-1"/>
                <w:sz w:val="18"/>
              </w:rPr>
              <w:t>in</w:t>
            </w:r>
            <w:r>
              <w:rPr>
                <w:rFonts w:ascii="Calibri"/>
                <w:spacing w:val="34"/>
                <w:sz w:val="18"/>
              </w:rPr>
              <w:t xml:space="preserve"> </w:t>
            </w:r>
            <w:r>
              <w:rPr>
                <w:rFonts w:ascii="Calibri"/>
                <w:sz w:val="18"/>
              </w:rPr>
              <w:t>PY8</w:t>
            </w:r>
            <w:r>
              <w:rPr>
                <w:rFonts w:ascii="Calibri"/>
                <w:spacing w:val="32"/>
                <w:sz w:val="18"/>
              </w:rPr>
              <w:t xml:space="preserve"> </w:t>
            </w:r>
            <w:r>
              <w:rPr>
                <w:rFonts w:ascii="Calibri"/>
                <w:sz w:val="18"/>
              </w:rPr>
              <w:t>for</w:t>
            </w:r>
            <w:r>
              <w:rPr>
                <w:rFonts w:ascii="Calibri"/>
                <w:spacing w:val="32"/>
                <w:sz w:val="18"/>
              </w:rPr>
              <w:t xml:space="preserve"> </w:t>
            </w:r>
            <w:r>
              <w:rPr>
                <w:rFonts w:ascii="Calibri"/>
                <w:spacing w:val="-1"/>
                <w:sz w:val="18"/>
              </w:rPr>
              <w:t>this</w:t>
            </w:r>
            <w:r>
              <w:rPr>
                <w:rFonts w:ascii="Calibri"/>
                <w:spacing w:val="55"/>
                <w:w w:val="99"/>
                <w:sz w:val="18"/>
              </w:rPr>
              <w:t xml:space="preserve"> </w:t>
            </w:r>
            <w:r>
              <w:rPr>
                <w:rFonts w:ascii="Calibri"/>
                <w:spacing w:val="-1"/>
                <w:sz w:val="18"/>
              </w:rPr>
              <w:t>program,</w:t>
            </w:r>
            <w:r>
              <w:rPr>
                <w:rFonts w:ascii="Calibri"/>
                <w:spacing w:val="28"/>
                <w:sz w:val="18"/>
              </w:rPr>
              <w:t xml:space="preserve"> </w:t>
            </w:r>
            <w:r>
              <w:rPr>
                <w:rFonts w:ascii="Calibri"/>
                <w:spacing w:val="-1"/>
                <w:sz w:val="18"/>
              </w:rPr>
              <w:t>to</w:t>
            </w:r>
            <w:r>
              <w:rPr>
                <w:rFonts w:ascii="Calibri"/>
                <w:spacing w:val="30"/>
                <w:sz w:val="18"/>
              </w:rPr>
              <w:t xml:space="preserve"> </w:t>
            </w:r>
            <w:r>
              <w:rPr>
                <w:rFonts w:ascii="Calibri"/>
                <w:spacing w:val="-1"/>
                <w:sz w:val="18"/>
              </w:rPr>
              <w:t>determine</w:t>
            </w:r>
            <w:r>
              <w:rPr>
                <w:rFonts w:ascii="Calibri"/>
                <w:spacing w:val="28"/>
                <w:sz w:val="18"/>
              </w:rPr>
              <w:t xml:space="preserve"> </w:t>
            </w:r>
            <w:r>
              <w:rPr>
                <w:rFonts w:ascii="Calibri"/>
                <w:spacing w:val="-1"/>
                <w:sz w:val="18"/>
              </w:rPr>
              <w:t>whether</w:t>
            </w:r>
            <w:r>
              <w:rPr>
                <w:rFonts w:ascii="Calibri"/>
                <w:spacing w:val="31"/>
                <w:sz w:val="18"/>
              </w:rPr>
              <w:t xml:space="preserve"> </w:t>
            </w:r>
            <w:r>
              <w:rPr>
                <w:rFonts w:ascii="Calibri"/>
                <w:spacing w:val="-1"/>
                <w:sz w:val="18"/>
              </w:rPr>
              <w:t>free</w:t>
            </w:r>
            <w:r>
              <w:rPr>
                <w:rFonts w:ascii="Calibri"/>
                <w:spacing w:val="28"/>
                <w:sz w:val="18"/>
              </w:rPr>
              <w:t xml:space="preserve"> </w:t>
            </w:r>
            <w:r>
              <w:rPr>
                <w:rFonts w:ascii="Calibri"/>
                <w:spacing w:val="-1"/>
                <w:sz w:val="18"/>
              </w:rPr>
              <w:t>ridership</w:t>
            </w:r>
            <w:r>
              <w:rPr>
                <w:rFonts w:ascii="Calibri"/>
                <w:spacing w:val="28"/>
                <w:sz w:val="18"/>
              </w:rPr>
              <w:t xml:space="preserve"> </w:t>
            </w:r>
            <w:r>
              <w:rPr>
                <w:rFonts w:ascii="Calibri"/>
                <w:spacing w:val="-1"/>
                <w:sz w:val="18"/>
              </w:rPr>
              <w:t>and</w:t>
            </w:r>
            <w:r>
              <w:rPr>
                <w:rFonts w:ascii="Calibri"/>
                <w:spacing w:val="28"/>
                <w:sz w:val="18"/>
              </w:rPr>
              <w:t xml:space="preserve"> </w:t>
            </w:r>
            <w:r>
              <w:rPr>
                <w:rFonts w:ascii="Calibri"/>
                <w:spacing w:val="-1"/>
                <w:sz w:val="18"/>
              </w:rPr>
              <w:t>net-to-</w:t>
            </w:r>
            <w:r>
              <w:rPr>
                <w:rFonts w:ascii="Calibri"/>
                <w:spacing w:val="55"/>
                <w:w w:val="99"/>
                <w:sz w:val="18"/>
              </w:rPr>
              <w:t xml:space="preserve"> </w:t>
            </w:r>
            <w:r>
              <w:rPr>
                <w:rFonts w:ascii="Calibri"/>
                <w:spacing w:val="-1"/>
                <w:sz w:val="18"/>
              </w:rPr>
              <w:t>gross</w:t>
            </w:r>
            <w:r>
              <w:rPr>
                <w:rFonts w:ascii="Calibri"/>
                <w:spacing w:val="28"/>
                <w:sz w:val="18"/>
              </w:rPr>
              <w:t xml:space="preserve"> </w:t>
            </w:r>
            <w:r>
              <w:rPr>
                <w:rFonts w:ascii="Calibri"/>
                <w:spacing w:val="-1"/>
                <w:sz w:val="18"/>
              </w:rPr>
              <w:t>factors</w:t>
            </w:r>
            <w:r>
              <w:rPr>
                <w:rFonts w:ascii="Calibri"/>
                <w:spacing w:val="28"/>
                <w:sz w:val="18"/>
              </w:rPr>
              <w:t xml:space="preserve"> </w:t>
            </w:r>
            <w:r>
              <w:rPr>
                <w:rFonts w:ascii="Calibri"/>
                <w:spacing w:val="-1"/>
                <w:sz w:val="18"/>
              </w:rPr>
              <w:t>are</w:t>
            </w:r>
            <w:r>
              <w:rPr>
                <w:rFonts w:ascii="Calibri"/>
                <w:spacing w:val="28"/>
                <w:sz w:val="18"/>
              </w:rPr>
              <w:t xml:space="preserve"> </w:t>
            </w:r>
            <w:r>
              <w:rPr>
                <w:rFonts w:ascii="Calibri"/>
                <w:spacing w:val="-1"/>
                <w:sz w:val="18"/>
              </w:rPr>
              <w:t>indeed</w:t>
            </w:r>
            <w:r>
              <w:rPr>
                <w:rFonts w:ascii="Calibri"/>
                <w:spacing w:val="28"/>
                <w:sz w:val="18"/>
              </w:rPr>
              <w:t xml:space="preserve"> </w:t>
            </w:r>
            <w:r>
              <w:rPr>
                <w:rFonts w:ascii="Calibri"/>
                <w:spacing w:val="-1"/>
                <w:sz w:val="18"/>
              </w:rPr>
              <w:t>increasing.</w:t>
            </w:r>
            <w:r>
              <w:rPr>
                <w:rFonts w:ascii="Calibri"/>
                <w:spacing w:val="29"/>
                <w:sz w:val="18"/>
              </w:rPr>
              <w:t xml:space="preserve"> </w:t>
            </w:r>
            <w:r>
              <w:rPr>
                <w:rFonts w:ascii="Calibri"/>
                <w:spacing w:val="-1"/>
                <w:sz w:val="18"/>
              </w:rPr>
              <w:t>Modify</w:t>
            </w:r>
            <w:r>
              <w:rPr>
                <w:rFonts w:ascii="Calibri"/>
                <w:spacing w:val="29"/>
                <w:sz w:val="18"/>
              </w:rPr>
              <w:t xml:space="preserve"> </w:t>
            </w:r>
            <w:r>
              <w:rPr>
                <w:rFonts w:ascii="Calibri"/>
                <w:spacing w:val="-1"/>
                <w:sz w:val="18"/>
              </w:rPr>
              <w:t>the</w:t>
            </w:r>
            <w:r>
              <w:rPr>
                <w:rFonts w:ascii="Calibri"/>
                <w:spacing w:val="29"/>
                <w:sz w:val="18"/>
              </w:rPr>
              <w:t xml:space="preserve"> </w:t>
            </w:r>
            <w:r>
              <w:rPr>
                <w:rFonts w:ascii="Calibri"/>
                <w:spacing w:val="-1"/>
                <w:sz w:val="18"/>
              </w:rPr>
              <w:t>survey</w:t>
            </w:r>
            <w:r>
              <w:rPr>
                <w:rFonts w:ascii="Calibri"/>
                <w:spacing w:val="59"/>
                <w:w w:val="99"/>
                <w:sz w:val="18"/>
              </w:rPr>
              <w:t xml:space="preserve"> </w:t>
            </w:r>
            <w:r>
              <w:rPr>
                <w:rFonts w:ascii="Calibri"/>
                <w:spacing w:val="-1"/>
                <w:sz w:val="18"/>
              </w:rPr>
              <w:t>questionnaire</w:t>
            </w:r>
            <w:r>
              <w:rPr>
                <w:rFonts w:ascii="Calibri"/>
                <w:spacing w:val="-12"/>
                <w:sz w:val="18"/>
              </w:rPr>
              <w:t xml:space="preserve"> </w:t>
            </w:r>
            <w:r>
              <w:rPr>
                <w:rFonts w:ascii="Calibri"/>
                <w:spacing w:val="-1"/>
                <w:sz w:val="18"/>
              </w:rPr>
              <w:t>to</w:t>
            </w:r>
            <w:r>
              <w:rPr>
                <w:rFonts w:ascii="Calibri"/>
                <w:spacing w:val="-9"/>
                <w:sz w:val="18"/>
              </w:rPr>
              <w:t xml:space="preserve"> </w:t>
            </w:r>
            <w:r>
              <w:rPr>
                <w:rFonts w:ascii="Calibri"/>
                <w:spacing w:val="-1"/>
                <w:sz w:val="18"/>
              </w:rPr>
              <w:t>try</w:t>
            </w:r>
            <w:r>
              <w:rPr>
                <w:rFonts w:ascii="Calibri"/>
                <w:spacing w:val="-10"/>
                <w:sz w:val="18"/>
              </w:rPr>
              <w:t xml:space="preserve"> </w:t>
            </w:r>
            <w:r>
              <w:rPr>
                <w:rFonts w:ascii="Calibri"/>
                <w:spacing w:val="-1"/>
                <w:sz w:val="18"/>
              </w:rPr>
              <w:t>to</w:t>
            </w:r>
            <w:r>
              <w:rPr>
                <w:rFonts w:ascii="Calibri"/>
                <w:spacing w:val="-9"/>
                <w:sz w:val="18"/>
              </w:rPr>
              <w:t xml:space="preserve"> </w:t>
            </w:r>
            <w:r>
              <w:rPr>
                <w:rFonts w:ascii="Calibri"/>
                <w:spacing w:val="-1"/>
                <w:sz w:val="18"/>
              </w:rPr>
              <w:t>probe</w:t>
            </w:r>
            <w:r>
              <w:rPr>
                <w:rFonts w:ascii="Calibri"/>
                <w:spacing w:val="-12"/>
                <w:sz w:val="18"/>
              </w:rPr>
              <w:t xml:space="preserve"> </w:t>
            </w:r>
            <w:r>
              <w:rPr>
                <w:rFonts w:ascii="Calibri"/>
                <w:spacing w:val="-1"/>
                <w:sz w:val="18"/>
              </w:rPr>
              <w:t>more</w:t>
            </w:r>
            <w:r>
              <w:rPr>
                <w:rFonts w:ascii="Calibri"/>
                <w:spacing w:val="-11"/>
                <w:sz w:val="18"/>
              </w:rPr>
              <w:t xml:space="preserve"> </w:t>
            </w:r>
            <w:r>
              <w:rPr>
                <w:rFonts w:ascii="Calibri"/>
                <w:spacing w:val="-1"/>
                <w:sz w:val="18"/>
              </w:rPr>
              <w:t>deeply</w:t>
            </w:r>
            <w:r>
              <w:rPr>
                <w:rFonts w:ascii="Calibri"/>
                <w:spacing w:val="-10"/>
                <w:sz w:val="18"/>
              </w:rPr>
              <w:t xml:space="preserve"> </w:t>
            </w:r>
            <w:r>
              <w:rPr>
                <w:rFonts w:ascii="Calibri"/>
                <w:spacing w:val="-1"/>
                <w:sz w:val="18"/>
              </w:rPr>
              <w:t>the</w:t>
            </w:r>
            <w:r>
              <w:rPr>
                <w:rFonts w:ascii="Calibri"/>
                <w:spacing w:val="-11"/>
                <w:sz w:val="18"/>
              </w:rPr>
              <w:t xml:space="preserve"> </w:t>
            </w:r>
            <w:r>
              <w:rPr>
                <w:rFonts w:ascii="Calibri"/>
                <w:spacing w:val="-1"/>
                <w:sz w:val="18"/>
              </w:rPr>
              <w:t>reasons</w:t>
            </w:r>
            <w:r>
              <w:rPr>
                <w:rFonts w:ascii="Calibri"/>
                <w:spacing w:val="-11"/>
                <w:sz w:val="18"/>
              </w:rPr>
              <w:t xml:space="preserve"> </w:t>
            </w:r>
            <w:r>
              <w:rPr>
                <w:rFonts w:ascii="Calibri"/>
                <w:sz w:val="18"/>
              </w:rPr>
              <w:t>for</w:t>
            </w:r>
            <w:r>
              <w:rPr>
                <w:rFonts w:ascii="Calibri"/>
                <w:spacing w:val="-11"/>
                <w:sz w:val="18"/>
              </w:rPr>
              <w:t xml:space="preserve"> </w:t>
            </w:r>
            <w:r>
              <w:rPr>
                <w:rFonts w:ascii="Calibri"/>
                <w:spacing w:val="-1"/>
                <w:sz w:val="18"/>
              </w:rPr>
              <w:t>any</w:t>
            </w:r>
            <w:r>
              <w:rPr>
                <w:rFonts w:ascii="Calibri"/>
                <w:spacing w:val="61"/>
                <w:w w:val="99"/>
                <w:sz w:val="18"/>
              </w:rPr>
              <w:t xml:space="preserve"> </w:t>
            </w:r>
            <w:r>
              <w:rPr>
                <w:rFonts w:ascii="Calibri"/>
                <w:spacing w:val="-1"/>
                <w:sz w:val="18"/>
              </w:rPr>
              <w:t>free</w:t>
            </w:r>
            <w:r>
              <w:rPr>
                <w:rFonts w:ascii="Calibri"/>
                <w:spacing w:val="22"/>
                <w:sz w:val="18"/>
              </w:rPr>
              <w:t xml:space="preserve"> </w:t>
            </w:r>
            <w:r>
              <w:rPr>
                <w:rFonts w:ascii="Calibri"/>
                <w:spacing w:val="-1"/>
                <w:sz w:val="18"/>
              </w:rPr>
              <w:t>ridership</w:t>
            </w:r>
            <w:r>
              <w:rPr>
                <w:rFonts w:ascii="Calibri"/>
                <w:spacing w:val="23"/>
                <w:sz w:val="18"/>
              </w:rPr>
              <w:t xml:space="preserve"> </w:t>
            </w:r>
            <w:r>
              <w:rPr>
                <w:rFonts w:ascii="Calibri"/>
                <w:spacing w:val="-1"/>
                <w:sz w:val="18"/>
              </w:rPr>
              <w:t>identified,</w:t>
            </w:r>
            <w:r>
              <w:rPr>
                <w:rFonts w:ascii="Calibri"/>
                <w:spacing w:val="24"/>
                <w:sz w:val="18"/>
              </w:rPr>
              <w:t xml:space="preserve"> </w:t>
            </w:r>
            <w:r>
              <w:rPr>
                <w:rFonts w:ascii="Calibri"/>
                <w:sz w:val="18"/>
              </w:rPr>
              <w:t>and</w:t>
            </w:r>
            <w:r>
              <w:rPr>
                <w:rFonts w:ascii="Calibri"/>
                <w:spacing w:val="25"/>
                <w:sz w:val="18"/>
              </w:rPr>
              <w:t xml:space="preserve"> </w:t>
            </w:r>
            <w:r>
              <w:rPr>
                <w:rFonts w:ascii="Calibri"/>
                <w:spacing w:val="-1"/>
                <w:sz w:val="18"/>
              </w:rPr>
              <w:t>consider</w:t>
            </w:r>
            <w:r>
              <w:rPr>
                <w:rFonts w:ascii="Calibri"/>
                <w:spacing w:val="23"/>
                <w:sz w:val="18"/>
              </w:rPr>
              <w:t xml:space="preserve"> </w:t>
            </w:r>
            <w:r>
              <w:rPr>
                <w:rFonts w:ascii="Calibri"/>
                <w:spacing w:val="-1"/>
                <w:sz w:val="18"/>
              </w:rPr>
              <w:t>conducting</w:t>
            </w:r>
            <w:r>
              <w:rPr>
                <w:rFonts w:ascii="Calibri"/>
                <w:spacing w:val="24"/>
                <w:sz w:val="18"/>
              </w:rPr>
              <w:t xml:space="preserve"> </w:t>
            </w:r>
            <w:r>
              <w:rPr>
                <w:rFonts w:ascii="Calibri"/>
                <w:sz w:val="18"/>
              </w:rPr>
              <w:t>focus</w:t>
            </w:r>
            <w:r>
              <w:rPr>
                <w:rFonts w:ascii="Calibri"/>
                <w:spacing w:val="63"/>
                <w:w w:val="99"/>
                <w:sz w:val="18"/>
              </w:rPr>
              <w:t xml:space="preserve"> </w:t>
            </w:r>
            <w:r>
              <w:rPr>
                <w:rFonts w:ascii="Calibri"/>
                <w:spacing w:val="-1"/>
                <w:sz w:val="18"/>
              </w:rPr>
              <w:t>groups</w:t>
            </w:r>
            <w:r>
              <w:rPr>
                <w:rFonts w:ascii="Calibri"/>
                <w:spacing w:val="14"/>
                <w:sz w:val="18"/>
              </w:rPr>
              <w:t xml:space="preserve"> </w:t>
            </w:r>
            <w:r>
              <w:rPr>
                <w:rFonts w:ascii="Calibri"/>
                <w:spacing w:val="-1"/>
                <w:sz w:val="18"/>
              </w:rPr>
              <w:t>if</w:t>
            </w:r>
            <w:r>
              <w:rPr>
                <w:rFonts w:ascii="Calibri"/>
                <w:spacing w:val="14"/>
                <w:sz w:val="18"/>
              </w:rPr>
              <w:t xml:space="preserve"> </w:t>
            </w:r>
            <w:r>
              <w:rPr>
                <w:rFonts w:ascii="Calibri"/>
                <w:spacing w:val="-1"/>
                <w:sz w:val="18"/>
              </w:rPr>
              <w:t>needed</w:t>
            </w:r>
            <w:r>
              <w:rPr>
                <w:rFonts w:ascii="Calibri"/>
                <w:spacing w:val="14"/>
                <w:sz w:val="18"/>
              </w:rPr>
              <w:t xml:space="preserve"> </w:t>
            </w:r>
            <w:r>
              <w:rPr>
                <w:rFonts w:ascii="Calibri"/>
                <w:spacing w:val="-1"/>
                <w:sz w:val="18"/>
              </w:rPr>
              <w:t>(i.e.,</w:t>
            </w:r>
            <w:r>
              <w:rPr>
                <w:rFonts w:ascii="Calibri"/>
                <w:spacing w:val="14"/>
                <w:sz w:val="18"/>
              </w:rPr>
              <w:t xml:space="preserve"> </w:t>
            </w:r>
            <w:r>
              <w:rPr>
                <w:rFonts w:ascii="Calibri"/>
                <w:spacing w:val="-1"/>
                <w:sz w:val="18"/>
              </w:rPr>
              <w:t>if</w:t>
            </w:r>
            <w:r>
              <w:rPr>
                <w:rFonts w:ascii="Calibri"/>
                <w:spacing w:val="14"/>
                <w:sz w:val="18"/>
              </w:rPr>
              <w:t xml:space="preserve"> </w:t>
            </w:r>
            <w:r>
              <w:rPr>
                <w:rFonts w:ascii="Calibri"/>
                <w:sz w:val="18"/>
              </w:rPr>
              <w:t>the</w:t>
            </w:r>
            <w:r>
              <w:rPr>
                <w:rFonts w:ascii="Calibri"/>
                <w:spacing w:val="13"/>
                <w:sz w:val="18"/>
              </w:rPr>
              <w:t xml:space="preserve"> </w:t>
            </w:r>
            <w:r>
              <w:rPr>
                <w:rFonts w:ascii="Calibri"/>
                <w:sz w:val="18"/>
              </w:rPr>
              <w:t>reasons</w:t>
            </w:r>
            <w:r>
              <w:rPr>
                <w:rFonts w:ascii="Calibri"/>
                <w:spacing w:val="13"/>
                <w:sz w:val="18"/>
              </w:rPr>
              <w:t xml:space="preserve"> </w:t>
            </w:r>
            <w:r>
              <w:rPr>
                <w:rFonts w:ascii="Calibri"/>
                <w:spacing w:val="-1"/>
                <w:sz w:val="18"/>
              </w:rPr>
              <w:t>are</w:t>
            </w:r>
            <w:r>
              <w:rPr>
                <w:rFonts w:ascii="Calibri"/>
                <w:spacing w:val="15"/>
                <w:sz w:val="18"/>
              </w:rPr>
              <w:t xml:space="preserve"> </w:t>
            </w:r>
            <w:r>
              <w:rPr>
                <w:rFonts w:ascii="Calibri"/>
                <w:sz w:val="18"/>
              </w:rPr>
              <w:t>not</w:t>
            </w:r>
            <w:r>
              <w:rPr>
                <w:rFonts w:ascii="Calibri"/>
                <w:spacing w:val="13"/>
                <w:sz w:val="18"/>
              </w:rPr>
              <w:t xml:space="preserve"> </w:t>
            </w:r>
            <w:r>
              <w:rPr>
                <w:rFonts w:ascii="Calibri"/>
                <w:spacing w:val="-1"/>
                <w:sz w:val="18"/>
              </w:rPr>
              <w:t>clear</w:t>
            </w:r>
            <w:r>
              <w:rPr>
                <w:rFonts w:ascii="Calibri"/>
                <w:spacing w:val="13"/>
                <w:sz w:val="18"/>
              </w:rPr>
              <w:t xml:space="preserve"> </w:t>
            </w:r>
            <w:r>
              <w:rPr>
                <w:rFonts w:ascii="Calibri"/>
                <w:sz w:val="18"/>
              </w:rPr>
              <w:t>from</w:t>
            </w:r>
            <w:r>
              <w:rPr>
                <w:rFonts w:ascii="Calibri"/>
                <w:spacing w:val="14"/>
                <w:sz w:val="18"/>
              </w:rPr>
              <w:t xml:space="preserve"> </w:t>
            </w:r>
            <w:r>
              <w:rPr>
                <w:rFonts w:ascii="Calibri"/>
                <w:sz w:val="18"/>
              </w:rPr>
              <w:t>the</w:t>
            </w:r>
            <w:r>
              <w:rPr>
                <w:rFonts w:ascii="Calibri"/>
                <w:spacing w:val="45"/>
                <w:w w:val="99"/>
                <w:sz w:val="18"/>
              </w:rPr>
              <w:t xml:space="preserve"> </w:t>
            </w:r>
            <w:r>
              <w:rPr>
                <w:rFonts w:ascii="Calibri"/>
                <w:spacing w:val="-1"/>
                <w:sz w:val="18"/>
              </w:rPr>
              <w:t>surveys).</w:t>
            </w:r>
          </w:p>
        </w:tc>
        <w:tc>
          <w:tcPr>
            <w:tcW w:w="4680" w:type="dxa"/>
            <w:shd w:val="clear" w:color="auto" w:fill="D2EAF1"/>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bl>
    <w:p w:rsidR="00E646C9" w:rsidRPr="00B04FB4" w:rsidRDefault="00E646C9" w:rsidP="00E646C9"/>
    <w:p w:rsidR="00E646C9" w:rsidRPr="00E646C9" w:rsidRDefault="00E646C9" w:rsidP="00E646C9">
      <w:pPr>
        <w:pStyle w:val="AppendixGHeading2"/>
      </w:pPr>
      <w:r w:rsidRPr="00E646C9">
        <w:t xml:space="preserve">School Energy Pledge Program </w:t>
      </w:r>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704"/>
        </w:trPr>
        <w:tc>
          <w:tcPr>
            <w:tcW w:w="4680" w:type="dxa"/>
            <w:shd w:val="clear" w:color="auto" w:fill="438A99"/>
          </w:tcPr>
          <w:p w:rsidR="00E646C9" w:rsidRDefault="00E646C9" w:rsidP="00B40F47">
            <w:pPr>
              <w:pStyle w:val="TableParagraph"/>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4D470A">
              <w:rPr>
                <w:rFonts w:ascii="Calibri"/>
                <w:color w:val="FFFFFF"/>
                <w:spacing w:val="-1"/>
                <w:sz w:val="18"/>
              </w:rPr>
              <w:t>(Implemented,</w:t>
            </w:r>
            <w:r w:rsidRPr="004D470A">
              <w:rPr>
                <w:rFonts w:ascii="Calibri"/>
                <w:color w:val="FFFFFF"/>
                <w:spacing w:val="-8"/>
                <w:sz w:val="18"/>
              </w:rPr>
              <w:t xml:space="preserve"> </w:t>
            </w:r>
            <w:r w:rsidRPr="004D470A">
              <w:rPr>
                <w:rFonts w:ascii="Calibri"/>
                <w:color w:val="FFFFFF"/>
                <w:sz w:val="18"/>
              </w:rPr>
              <w:t>Being</w:t>
            </w:r>
            <w:r w:rsidRPr="004D470A">
              <w:rPr>
                <w:rFonts w:ascii="Calibri"/>
                <w:color w:val="FFFFFF"/>
                <w:spacing w:val="45"/>
                <w:w w:val="99"/>
                <w:sz w:val="18"/>
              </w:rPr>
              <w:t xml:space="preserve"> </w:t>
            </w:r>
            <w:r w:rsidRPr="004D470A">
              <w:rPr>
                <w:rFonts w:ascii="Calibri"/>
                <w:color w:val="FFFFFF"/>
                <w:spacing w:val="-1"/>
                <w:sz w:val="18"/>
              </w:rPr>
              <w:t>Considered,</w:t>
            </w:r>
            <w:r w:rsidRPr="004D470A">
              <w:rPr>
                <w:rFonts w:ascii="Calibri"/>
                <w:color w:val="FFFFFF"/>
                <w:spacing w:val="-7"/>
                <w:sz w:val="18"/>
              </w:rPr>
              <w:t xml:space="preserve"> </w:t>
            </w:r>
            <w:r w:rsidRPr="004D470A">
              <w:rPr>
                <w:rFonts w:ascii="Calibri"/>
                <w:color w:val="FFFFFF"/>
                <w:spacing w:val="-1"/>
                <w:sz w:val="18"/>
              </w:rPr>
              <w:t>Rejected</w:t>
            </w:r>
            <w:r w:rsidRPr="004D470A">
              <w:rPr>
                <w:rFonts w:ascii="Calibri"/>
                <w:color w:val="FFFFFF"/>
                <w:spacing w:val="-7"/>
                <w:sz w:val="18"/>
              </w:rPr>
              <w:t xml:space="preserve"> </w:t>
            </w:r>
            <w:r w:rsidRPr="004D470A">
              <w:rPr>
                <w:rFonts w:ascii="Calibri"/>
                <w:color w:val="FFFFFF"/>
                <w:sz w:val="18"/>
              </w:rPr>
              <w:t>AND</w:t>
            </w:r>
            <w:r w:rsidRPr="004D470A">
              <w:rPr>
                <w:rFonts w:ascii="Calibri"/>
                <w:color w:val="FFFFFF"/>
                <w:spacing w:val="-7"/>
                <w:sz w:val="18"/>
              </w:rPr>
              <w:t xml:space="preserve"> </w:t>
            </w:r>
            <w:r w:rsidRPr="004D470A">
              <w:rPr>
                <w:rFonts w:ascii="Calibri"/>
                <w:color w:val="FFFFFF"/>
                <w:spacing w:val="-1"/>
                <w:sz w:val="18"/>
              </w:rPr>
              <w:t>Explanation</w:t>
            </w:r>
            <w:r w:rsidRPr="004D470A">
              <w:rPr>
                <w:rFonts w:ascii="Calibri"/>
                <w:color w:val="FFFFFF"/>
                <w:spacing w:val="-4"/>
                <w:sz w:val="18"/>
              </w:rPr>
              <w:t xml:space="preserve"> </w:t>
            </w:r>
            <w:r w:rsidRPr="004D470A">
              <w:rPr>
                <w:rFonts w:ascii="Calibri"/>
                <w:color w:val="FFFFFF"/>
                <w:spacing w:val="-1"/>
                <w:sz w:val="18"/>
              </w:rPr>
              <w:t>of</w:t>
            </w:r>
            <w:r w:rsidRPr="004D470A">
              <w:rPr>
                <w:rFonts w:ascii="Calibri"/>
                <w:color w:val="FFFFFF"/>
                <w:spacing w:val="-6"/>
                <w:sz w:val="18"/>
              </w:rPr>
              <w:t xml:space="preserve"> </w:t>
            </w:r>
            <w:r w:rsidRPr="004D470A">
              <w:rPr>
                <w:rFonts w:ascii="Calibri"/>
                <w:color w:val="FFFFFF"/>
                <w:spacing w:val="-1"/>
                <w:sz w:val="18"/>
              </w:rPr>
              <w:t>Action</w:t>
            </w:r>
            <w:r w:rsidRPr="004D470A">
              <w:rPr>
                <w:rFonts w:ascii="Calibri"/>
                <w:color w:val="FFFFFF"/>
                <w:spacing w:val="-6"/>
                <w:sz w:val="18"/>
              </w:rPr>
              <w:t xml:space="preserve"> </w:t>
            </w:r>
            <w:r w:rsidRPr="004D470A">
              <w:rPr>
                <w:rFonts w:ascii="Calibri"/>
                <w:color w:val="FFFFFF"/>
                <w:spacing w:val="-1"/>
                <w:sz w:val="18"/>
              </w:rPr>
              <w:t>Taken</w:t>
            </w:r>
            <w:r w:rsidRPr="004D470A">
              <w:rPr>
                <w:rFonts w:ascii="Calibri"/>
                <w:color w:val="FFFFFF"/>
                <w:spacing w:val="-7"/>
                <w:sz w:val="18"/>
              </w:rPr>
              <w:t xml:space="preserve"> </w:t>
            </w:r>
            <w:r w:rsidRPr="004D470A">
              <w:rPr>
                <w:rFonts w:ascii="Calibri"/>
                <w:color w:val="FFFFFF"/>
                <w:spacing w:val="-1"/>
                <w:sz w:val="18"/>
              </w:rPr>
              <w:t>by</w:t>
            </w:r>
            <w:r w:rsidRPr="004D470A">
              <w:rPr>
                <w:rFonts w:ascii="Calibri"/>
                <w:color w:val="FFFFFF"/>
                <w:spacing w:val="63"/>
                <w:w w:val="99"/>
                <w:sz w:val="18"/>
              </w:rPr>
              <w:t xml:space="preserve"> </w:t>
            </w:r>
            <w:r w:rsidRPr="004D470A">
              <w:rPr>
                <w:rFonts w:ascii="Calibri"/>
                <w:color w:val="FFFFFF"/>
                <w:sz w:val="18"/>
              </w:rPr>
              <w:t>EDC)</w:t>
            </w:r>
          </w:p>
        </w:tc>
      </w:tr>
      <w:tr w:rsidR="00E646C9" w:rsidTr="00E646C9">
        <w:trPr>
          <w:trHeight w:hRule="exact" w:val="898"/>
        </w:trPr>
        <w:tc>
          <w:tcPr>
            <w:tcW w:w="4680" w:type="dxa"/>
            <w:shd w:val="clear" w:color="auto" w:fill="D2EAF1"/>
          </w:tcPr>
          <w:p w:rsidR="00E646C9" w:rsidRDefault="00E646C9" w:rsidP="00C94D5A">
            <w:pPr>
              <w:pStyle w:val="TableParagraph"/>
              <w:spacing w:line="217" w:lineRule="exact"/>
              <w:ind w:left="97"/>
              <w:jc w:val="both"/>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ind w:left="97" w:right="96"/>
              <w:jc w:val="both"/>
              <w:rPr>
                <w:rFonts w:ascii="Calibri" w:eastAsia="Calibri" w:hAnsi="Calibri" w:cs="Calibri"/>
                <w:sz w:val="18"/>
                <w:szCs w:val="18"/>
              </w:rPr>
            </w:pPr>
            <w:r>
              <w:rPr>
                <w:rFonts w:ascii="Calibri"/>
                <w:spacing w:val="-1"/>
                <w:sz w:val="18"/>
              </w:rPr>
              <w:t>Duquesne</w:t>
            </w:r>
            <w:r>
              <w:rPr>
                <w:rFonts w:ascii="Calibri"/>
                <w:spacing w:val="5"/>
                <w:sz w:val="18"/>
              </w:rPr>
              <w:t xml:space="preserve"> </w:t>
            </w:r>
            <w:r>
              <w:rPr>
                <w:rFonts w:ascii="Calibri"/>
                <w:spacing w:val="-1"/>
                <w:sz w:val="18"/>
              </w:rPr>
              <w:t>Light</w:t>
            </w:r>
            <w:r>
              <w:rPr>
                <w:rFonts w:ascii="Calibri"/>
                <w:spacing w:val="7"/>
                <w:sz w:val="18"/>
              </w:rPr>
              <w:t xml:space="preserve"> </w:t>
            </w:r>
            <w:r>
              <w:rPr>
                <w:rFonts w:ascii="Calibri"/>
                <w:spacing w:val="-1"/>
                <w:sz w:val="18"/>
              </w:rPr>
              <w:t>plans</w:t>
            </w:r>
            <w:r>
              <w:rPr>
                <w:rFonts w:ascii="Calibri"/>
                <w:spacing w:val="6"/>
                <w:sz w:val="18"/>
              </w:rPr>
              <w:t xml:space="preserve"> </w:t>
            </w:r>
            <w:r>
              <w:rPr>
                <w:rFonts w:ascii="Calibri"/>
                <w:sz w:val="18"/>
              </w:rPr>
              <w:t>for</w:t>
            </w:r>
            <w:r>
              <w:rPr>
                <w:rFonts w:ascii="Calibri"/>
                <w:spacing w:val="5"/>
                <w:sz w:val="18"/>
              </w:rPr>
              <w:t xml:space="preserve"> </w:t>
            </w:r>
            <w:r>
              <w:rPr>
                <w:rFonts w:ascii="Calibri"/>
                <w:sz w:val="18"/>
              </w:rPr>
              <w:t>a</w:t>
            </w:r>
            <w:r>
              <w:rPr>
                <w:rFonts w:ascii="Calibri"/>
                <w:spacing w:val="7"/>
                <w:sz w:val="18"/>
              </w:rPr>
              <w:t xml:space="preserve"> </w:t>
            </w:r>
            <w:r>
              <w:rPr>
                <w:rFonts w:ascii="Calibri"/>
                <w:spacing w:val="-1"/>
                <w:sz w:val="18"/>
              </w:rPr>
              <w:t>different</w:t>
            </w:r>
            <w:r>
              <w:rPr>
                <w:rFonts w:ascii="Calibri"/>
                <w:spacing w:val="5"/>
                <w:sz w:val="18"/>
              </w:rPr>
              <w:t xml:space="preserve"> </w:t>
            </w:r>
            <w:r>
              <w:rPr>
                <w:rFonts w:ascii="Calibri"/>
                <w:spacing w:val="-1"/>
                <w:sz w:val="18"/>
              </w:rPr>
              <w:t>program</w:t>
            </w:r>
            <w:r>
              <w:rPr>
                <w:rFonts w:ascii="Calibri"/>
                <w:spacing w:val="6"/>
                <w:sz w:val="18"/>
              </w:rPr>
              <w:t xml:space="preserve"> </w:t>
            </w:r>
            <w:r>
              <w:rPr>
                <w:rFonts w:ascii="Calibri"/>
                <w:spacing w:val="-1"/>
                <w:sz w:val="18"/>
              </w:rPr>
              <w:t>to</w:t>
            </w:r>
            <w:r>
              <w:rPr>
                <w:rFonts w:ascii="Calibri"/>
                <w:spacing w:val="7"/>
                <w:sz w:val="18"/>
              </w:rPr>
              <w:t xml:space="preserve"> </w:t>
            </w:r>
            <w:r>
              <w:rPr>
                <w:rFonts w:ascii="Calibri"/>
                <w:spacing w:val="-1"/>
                <w:sz w:val="18"/>
              </w:rPr>
              <w:t>replace</w:t>
            </w:r>
            <w:r>
              <w:rPr>
                <w:rFonts w:ascii="Calibri"/>
                <w:spacing w:val="5"/>
                <w:sz w:val="18"/>
              </w:rPr>
              <w:t xml:space="preserve"> </w:t>
            </w:r>
            <w:r>
              <w:rPr>
                <w:rFonts w:ascii="Calibri"/>
                <w:spacing w:val="-1"/>
                <w:sz w:val="18"/>
              </w:rPr>
              <w:t>SEP</w:t>
            </w:r>
            <w:r>
              <w:rPr>
                <w:rFonts w:ascii="Calibri"/>
                <w:spacing w:val="63"/>
                <w:w w:val="99"/>
                <w:sz w:val="18"/>
              </w:rPr>
              <w:t xml:space="preserve"> </w:t>
            </w:r>
            <w:r>
              <w:rPr>
                <w:rFonts w:ascii="Calibri"/>
                <w:spacing w:val="-1"/>
                <w:sz w:val="18"/>
              </w:rPr>
              <w:t>during</w:t>
            </w:r>
            <w:r>
              <w:rPr>
                <w:rFonts w:ascii="Calibri"/>
                <w:spacing w:val="-3"/>
                <w:sz w:val="18"/>
              </w:rPr>
              <w:t xml:space="preserve"> </w:t>
            </w:r>
            <w:r>
              <w:rPr>
                <w:rFonts w:ascii="Calibri"/>
                <w:spacing w:val="-1"/>
                <w:sz w:val="18"/>
              </w:rPr>
              <w:t>Phase</w:t>
            </w:r>
            <w:r>
              <w:rPr>
                <w:rFonts w:ascii="Calibri"/>
                <w:spacing w:val="-2"/>
                <w:sz w:val="18"/>
              </w:rPr>
              <w:t xml:space="preserve"> </w:t>
            </w:r>
            <w:r>
              <w:rPr>
                <w:rFonts w:ascii="Calibri"/>
                <w:sz w:val="18"/>
              </w:rPr>
              <w:t>III.</w:t>
            </w:r>
            <w:r>
              <w:rPr>
                <w:rFonts w:ascii="Calibri"/>
                <w:spacing w:val="-3"/>
                <w:sz w:val="18"/>
              </w:rPr>
              <w:t xml:space="preserve"> </w:t>
            </w:r>
            <w:r>
              <w:rPr>
                <w:rFonts w:ascii="Calibri"/>
                <w:spacing w:val="-1"/>
                <w:sz w:val="18"/>
              </w:rPr>
              <w:t>Therefore,</w:t>
            </w:r>
            <w:r>
              <w:rPr>
                <w:rFonts w:ascii="Calibri"/>
                <w:spacing w:val="-2"/>
                <w:sz w:val="18"/>
              </w:rPr>
              <w:t xml:space="preserve"> </w:t>
            </w:r>
            <w:r>
              <w:rPr>
                <w:rFonts w:ascii="Calibri"/>
                <w:spacing w:val="-1"/>
                <w:sz w:val="18"/>
              </w:rPr>
              <w:t>no recommendations</w:t>
            </w:r>
            <w:r>
              <w:rPr>
                <w:rFonts w:ascii="Calibri"/>
                <w:spacing w:val="-4"/>
                <w:sz w:val="18"/>
              </w:rPr>
              <w:t xml:space="preserve"> </w:t>
            </w:r>
            <w:r>
              <w:rPr>
                <w:rFonts w:ascii="Calibri"/>
                <w:spacing w:val="-1"/>
                <w:sz w:val="18"/>
              </w:rPr>
              <w:t>are</w:t>
            </w:r>
            <w:r>
              <w:rPr>
                <w:rFonts w:ascii="Calibri"/>
                <w:spacing w:val="-2"/>
                <w:sz w:val="18"/>
              </w:rPr>
              <w:t xml:space="preserve"> </w:t>
            </w:r>
            <w:r>
              <w:rPr>
                <w:rFonts w:ascii="Calibri"/>
                <w:spacing w:val="-1"/>
                <w:sz w:val="18"/>
              </w:rPr>
              <w:t>offered</w:t>
            </w:r>
            <w:r>
              <w:rPr>
                <w:rFonts w:ascii="Calibri"/>
                <w:spacing w:val="63"/>
                <w:w w:val="99"/>
                <w:sz w:val="18"/>
              </w:rPr>
              <w:t xml:space="preserve"> </w:t>
            </w:r>
            <w:r>
              <w:rPr>
                <w:rFonts w:ascii="Calibri"/>
                <w:sz w:val="18"/>
              </w:rPr>
              <w:t>at</w:t>
            </w:r>
            <w:r>
              <w:rPr>
                <w:rFonts w:ascii="Calibri"/>
                <w:spacing w:val="-5"/>
                <w:sz w:val="18"/>
              </w:rPr>
              <w:t xml:space="preserve"> </w:t>
            </w:r>
            <w:r>
              <w:rPr>
                <w:rFonts w:ascii="Calibri"/>
                <w:spacing w:val="-1"/>
                <w:sz w:val="18"/>
              </w:rPr>
              <w:t>this</w:t>
            </w:r>
            <w:r>
              <w:rPr>
                <w:rFonts w:ascii="Calibri"/>
                <w:spacing w:val="-5"/>
                <w:sz w:val="18"/>
              </w:rPr>
              <w:t xml:space="preserve"> </w:t>
            </w:r>
            <w:r>
              <w:rPr>
                <w:rFonts w:ascii="Calibri"/>
                <w:spacing w:val="-1"/>
                <w:sz w:val="18"/>
              </w:rPr>
              <w:t>time.</w:t>
            </w:r>
          </w:p>
        </w:tc>
        <w:tc>
          <w:tcPr>
            <w:tcW w:w="4680" w:type="dxa"/>
            <w:shd w:val="clear" w:color="auto" w:fill="D2EAF1"/>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N/A</w:t>
            </w:r>
          </w:p>
        </w:tc>
      </w:tr>
    </w:tbl>
    <w:p w:rsidR="00E646C9" w:rsidRPr="00B04FB4" w:rsidRDefault="00E646C9" w:rsidP="00E646C9"/>
    <w:p w:rsidR="00E646C9" w:rsidRPr="00E646C9" w:rsidRDefault="00E646C9" w:rsidP="00E646C9">
      <w:pPr>
        <w:pStyle w:val="AppendixGHeading2"/>
      </w:pPr>
      <w:r w:rsidRPr="00E646C9">
        <w:t>Whole House Energy Audit Program (WHEAP)</w:t>
      </w:r>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848"/>
          <w:tblHeader/>
        </w:trPr>
        <w:tc>
          <w:tcPr>
            <w:tcW w:w="4680" w:type="dxa"/>
            <w:shd w:val="clear" w:color="auto" w:fill="438A99"/>
          </w:tcPr>
          <w:p w:rsidR="00E646C9" w:rsidRDefault="00E646C9" w:rsidP="00B40F47">
            <w:pPr>
              <w:pStyle w:val="TableParagraph"/>
              <w:spacing w:before="156"/>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spacing w:before="159"/>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E646C9">
        <w:trPr>
          <w:trHeight w:hRule="exact" w:val="1778"/>
        </w:trPr>
        <w:tc>
          <w:tcPr>
            <w:tcW w:w="4680" w:type="dxa"/>
            <w:shd w:val="clear" w:color="auto" w:fill="D2EAF1"/>
          </w:tcPr>
          <w:p w:rsidR="00E646C9" w:rsidRDefault="00E646C9" w:rsidP="00C94D5A">
            <w:pPr>
              <w:pStyle w:val="TableParagraph"/>
              <w:spacing w:line="218"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spacing w:before="1"/>
              <w:ind w:left="97" w:right="165"/>
              <w:rPr>
                <w:rFonts w:ascii="Calibri" w:eastAsia="Calibri" w:hAnsi="Calibri" w:cs="Calibri"/>
                <w:sz w:val="18"/>
                <w:szCs w:val="18"/>
              </w:rPr>
            </w:pPr>
            <w:r>
              <w:rPr>
                <w:rFonts w:ascii="Calibri"/>
                <w:spacing w:val="-1"/>
                <w:sz w:val="18"/>
              </w:rPr>
              <w:t>As</w:t>
            </w:r>
            <w:r>
              <w:rPr>
                <w:rFonts w:ascii="Calibri"/>
                <w:spacing w:val="-5"/>
                <w:sz w:val="18"/>
              </w:rPr>
              <w:t xml:space="preserve"> </w:t>
            </w:r>
            <w:r>
              <w:rPr>
                <w:rFonts w:ascii="Calibri"/>
                <w:sz w:val="18"/>
              </w:rPr>
              <w:t>the</w:t>
            </w:r>
            <w:r>
              <w:rPr>
                <w:rFonts w:ascii="Calibri"/>
                <w:spacing w:val="-4"/>
                <w:sz w:val="18"/>
              </w:rPr>
              <w:t xml:space="preserve"> </w:t>
            </w:r>
            <w:r>
              <w:rPr>
                <w:rFonts w:ascii="Calibri"/>
                <w:spacing w:val="-1"/>
                <w:sz w:val="18"/>
              </w:rPr>
              <w:t>utility</w:t>
            </w:r>
            <w:r>
              <w:rPr>
                <w:rFonts w:ascii="Calibri"/>
                <w:spacing w:val="-4"/>
                <w:sz w:val="18"/>
              </w:rPr>
              <w:t xml:space="preserve"> </w:t>
            </w:r>
            <w:r>
              <w:rPr>
                <w:rFonts w:ascii="Calibri"/>
                <w:spacing w:val="-1"/>
                <w:sz w:val="18"/>
              </w:rPr>
              <w:t>initiates</w:t>
            </w:r>
            <w:r>
              <w:rPr>
                <w:rFonts w:ascii="Calibri"/>
                <w:spacing w:val="-5"/>
                <w:sz w:val="18"/>
              </w:rPr>
              <w:t xml:space="preserve"> </w:t>
            </w:r>
            <w:r>
              <w:rPr>
                <w:rFonts w:ascii="Calibri"/>
                <w:spacing w:val="-1"/>
                <w:sz w:val="18"/>
              </w:rPr>
              <w:t>its</w:t>
            </w:r>
            <w:r>
              <w:rPr>
                <w:rFonts w:ascii="Calibri"/>
                <w:spacing w:val="-4"/>
                <w:sz w:val="18"/>
              </w:rPr>
              <w:t xml:space="preserve"> </w:t>
            </w:r>
            <w:r>
              <w:rPr>
                <w:rFonts w:ascii="Calibri"/>
                <w:sz w:val="18"/>
              </w:rPr>
              <w:t>Phase</w:t>
            </w:r>
            <w:r>
              <w:rPr>
                <w:rFonts w:ascii="Calibri"/>
                <w:spacing w:val="-5"/>
                <w:sz w:val="18"/>
              </w:rPr>
              <w:t xml:space="preserve"> </w:t>
            </w:r>
            <w:r>
              <w:rPr>
                <w:rFonts w:ascii="Calibri"/>
                <w:sz w:val="18"/>
              </w:rPr>
              <w:t>III</w:t>
            </w:r>
            <w:r>
              <w:rPr>
                <w:rFonts w:ascii="Calibri"/>
                <w:spacing w:val="-1"/>
                <w:sz w:val="18"/>
              </w:rPr>
              <w:t xml:space="preserve"> </w:t>
            </w:r>
            <w:r>
              <w:rPr>
                <w:rFonts w:ascii="Calibri"/>
                <w:sz w:val="18"/>
              </w:rPr>
              <w:t>WHEAP,</w:t>
            </w:r>
            <w:r>
              <w:rPr>
                <w:rFonts w:ascii="Calibri"/>
                <w:spacing w:val="-4"/>
                <w:sz w:val="18"/>
              </w:rPr>
              <w:t xml:space="preserve"> </w:t>
            </w:r>
            <w:r>
              <w:rPr>
                <w:rFonts w:ascii="Calibri"/>
                <w:spacing w:val="-1"/>
                <w:sz w:val="18"/>
              </w:rPr>
              <w:t>it</w:t>
            </w:r>
            <w:r>
              <w:rPr>
                <w:rFonts w:ascii="Calibri"/>
                <w:spacing w:val="-4"/>
                <w:sz w:val="18"/>
              </w:rPr>
              <w:t xml:space="preserve"> </w:t>
            </w:r>
            <w:r>
              <w:rPr>
                <w:rFonts w:ascii="Calibri"/>
                <w:spacing w:val="-1"/>
                <w:sz w:val="18"/>
              </w:rPr>
              <w:t>should</w:t>
            </w:r>
            <w:r>
              <w:rPr>
                <w:rFonts w:ascii="Calibri"/>
                <w:spacing w:val="-5"/>
                <w:sz w:val="18"/>
              </w:rPr>
              <w:t xml:space="preserve"> </w:t>
            </w:r>
            <w:r>
              <w:rPr>
                <w:rFonts w:ascii="Calibri"/>
                <w:spacing w:val="-1"/>
                <w:sz w:val="18"/>
              </w:rPr>
              <w:t>carefully</w:t>
            </w:r>
            <w:r>
              <w:rPr>
                <w:rFonts w:ascii="Calibri"/>
                <w:spacing w:val="41"/>
                <w:w w:val="99"/>
                <w:sz w:val="18"/>
              </w:rPr>
              <w:t xml:space="preserve"> </w:t>
            </w:r>
            <w:r>
              <w:rPr>
                <w:rFonts w:ascii="Calibri"/>
                <w:spacing w:val="-1"/>
                <w:sz w:val="18"/>
              </w:rPr>
              <w:t>monitor</w:t>
            </w:r>
            <w:r>
              <w:rPr>
                <w:rFonts w:ascii="Calibri"/>
                <w:spacing w:val="-5"/>
                <w:sz w:val="18"/>
              </w:rPr>
              <w:t xml:space="preserve"> </w:t>
            </w:r>
            <w:r>
              <w:rPr>
                <w:rFonts w:ascii="Calibri"/>
                <w:spacing w:val="-1"/>
                <w:sz w:val="18"/>
              </w:rPr>
              <w:t>costs</w:t>
            </w:r>
            <w:r>
              <w:rPr>
                <w:rFonts w:ascii="Calibri"/>
                <w:spacing w:val="-6"/>
                <w:sz w:val="18"/>
              </w:rPr>
              <w:t xml:space="preserve"> </w:t>
            </w:r>
            <w:r>
              <w:rPr>
                <w:rFonts w:ascii="Calibri"/>
                <w:spacing w:val="-1"/>
                <w:sz w:val="18"/>
              </w:rPr>
              <w:t>relative</w:t>
            </w:r>
            <w:r>
              <w:rPr>
                <w:rFonts w:ascii="Calibri"/>
                <w:spacing w:val="-5"/>
                <w:sz w:val="18"/>
              </w:rPr>
              <w:t xml:space="preserve"> </w:t>
            </w:r>
            <w:r>
              <w:rPr>
                <w:rFonts w:ascii="Calibri"/>
                <w:spacing w:val="-1"/>
                <w:sz w:val="18"/>
              </w:rPr>
              <w:t>to</w:t>
            </w:r>
            <w:r>
              <w:rPr>
                <w:rFonts w:ascii="Calibri"/>
                <w:spacing w:val="-3"/>
                <w:sz w:val="18"/>
              </w:rPr>
              <w:t xml:space="preserve"> </w:t>
            </w:r>
            <w:r>
              <w:rPr>
                <w:rFonts w:ascii="Calibri"/>
                <w:spacing w:val="-1"/>
                <w:sz w:val="18"/>
              </w:rPr>
              <w:t>savings</w:t>
            </w:r>
            <w:r>
              <w:rPr>
                <w:rFonts w:ascii="Calibri"/>
                <w:spacing w:val="-3"/>
                <w:sz w:val="18"/>
              </w:rPr>
              <w:t xml:space="preserve"> </w:t>
            </w:r>
            <w:r>
              <w:rPr>
                <w:rFonts w:ascii="Calibri"/>
                <w:spacing w:val="-1"/>
                <w:sz w:val="18"/>
              </w:rPr>
              <w:t>and</w:t>
            </w:r>
            <w:r>
              <w:rPr>
                <w:rFonts w:ascii="Calibri"/>
                <w:spacing w:val="-5"/>
                <w:sz w:val="18"/>
              </w:rPr>
              <w:t xml:space="preserve"> </w:t>
            </w:r>
            <w:r>
              <w:rPr>
                <w:rFonts w:ascii="Calibri"/>
                <w:sz w:val="18"/>
              </w:rPr>
              <w:t>ensure</w:t>
            </w:r>
            <w:r>
              <w:rPr>
                <w:rFonts w:ascii="Calibri"/>
                <w:spacing w:val="-5"/>
                <w:sz w:val="18"/>
              </w:rPr>
              <w:t xml:space="preserve"> </w:t>
            </w:r>
            <w:r>
              <w:rPr>
                <w:rFonts w:ascii="Calibri"/>
                <w:spacing w:val="-1"/>
                <w:sz w:val="18"/>
              </w:rPr>
              <w:t>that</w:t>
            </w:r>
            <w:r>
              <w:rPr>
                <w:rFonts w:ascii="Calibri"/>
                <w:spacing w:val="-5"/>
                <w:sz w:val="18"/>
              </w:rPr>
              <w:t xml:space="preserve"> </w:t>
            </w:r>
            <w:r>
              <w:rPr>
                <w:rFonts w:ascii="Calibri"/>
                <w:spacing w:val="-1"/>
                <w:sz w:val="18"/>
              </w:rPr>
              <w:t>all</w:t>
            </w:r>
            <w:r>
              <w:rPr>
                <w:rFonts w:ascii="Calibri"/>
                <w:spacing w:val="-2"/>
                <w:sz w:val="18"/>
              </w:rPr>
              <w:t xml:space="preserve"> </w:t>
            </w:r>
            <w:r>
              <w:rPr>
                <w:rFonts w:ascii="Calibri"/>
                <w:spacing w:val="-1"/>
                <w:sz w:val="18"/>
              </w:rPr>
              <w:t>savings</w:t>
            </w:r>
            <w:r>
              <w:rPr>
                <w:rFonts w:ascii="Calibri"/>
                <w:spacing w:val="61"/>
                <w:w w:val="99"/>
                <w:sz w:val="18"/>
              </w:rPr>
              <w:t xml:space="preserve"> </w:t>
            </w:r>
            <w:r>
              <w:rPr>
                <w:rFonts w:ascii="Calibri"/>
                <w:spacing w:val="-1"/>
                <w:sz w:val="18"/>
              </w:rPr>
              <w:t>opportunities</w:t>
            </w:r>
            <w:r>
              <w:rPr>
                <w:rFonts w:ascii="Calibri"/>
                <w:spacing w:val="-6"/>
                <w:sz w:val="18"/>
              </w:rPr>
              <w:t xml:space="preserve"> </w:t>
            </w:r>
            <w:r>
              <w:rPr>
                <w:rFonts w:ascii="Calibri"/>
                <w:sz w:val="18"/>
              </w:rPr>
              <w:t>are</w:t>
            </w:r>
            <w:r>
              <w:rPr>
                <w:rFonts w:ascii="Calibri"/>
                <w:spacing w:val="-5"/>
                <w:sz w:val="18"/>
              </w:rPr>
              <w:t xml:space="preserve"> </w:t>
            </w:r>
            <w:r>
              <w:rPr>
                <w:rFonts w:ascii="Calibri"/>
                <w:spacing w:val="-1"/>
                <w:sz w:val="18"/>
              </w:rPr>
              <w:t>being</w:t>
            </w:r>
            <w:r>
              <w:rPr>
                <w:rFonts w:ascii="Calibri"/>
                <w:spacing w:val="-6"/>
                <w:sz w:val="18"/>
              </w:rPr>
              <w:t xml:space="preserve"> </w:t>
            </w:r>
            <w:r>
              <w:rPr>
                <w:rFonts w:ascii="Calibri"/>
                <w:sz w:val="18"/>
              </w:rPr>
              <w:t>taken</w:t>
            </w:r>
            <w:r>
              <w:rPr>
                <w:rFonts w:ascii="Calibri"/>
                <w:spacing w:val="-5"/>
                <w:sz w:val="18"/>
              </w:rPr>
              <w:t xml:space="preserve"> </w:t>
            </w:r>
            <w:r>
              <w:rPr>
                <w:rFonts w:ascii="Calibri"/>
                <w:spacing w:val="-1"/>
                <w:sz w:val="18"/>
              </w:rPr>
              <w:t>advantage</w:t>
            </w:r>
            <w:r>
              <w:rPr>
                <w:rFonts w:ascii="Calibri"/>
                <w:spacing w:val="-6"/>
                <w:sz w:val="18"/>
              </w:rPr>
              <w:t xml:space="preserve"> </w:t>
            </w:r>
            <w:r>
              <w:rPr>
                <w:rFonts w:ascii="Calibri"/>
                <w:sz w:val="18"/>
              </w:rPr>
              <w:t>of</w:t>
            </w:r>
            <w:r>
              <w:rPr>
                <w:rFonts w:ascii="Calibri"/>
                <w:spacing w:val="-4"/>
                <w:sz w:val="18"/>
              </w:rPr>
              <w:t xml:space="preserve"> </w:t>
            </w:r>
            <w:r>
              <w:rPr>
                <w:rFonts w:ascii="Calibri"/>
                <w:sz w:val="18"/>
              </w:rPr>
              <w:t>once</w:t>
            </w:r>
            <w:r>
              <w:rPr>
                <w:rFonts w:ascii="Calibri"/>
                <w:spacing w:val="-6"/>
                <w:sz w:val="18"/>
              </w:rPr>
              <w:t xml:space="preserve"> </w:t>
            </w:r>
            <w:r>
              <w:rPr>
                <w:rFonts w:ascii="Calibri"/>
                <w:sz w:val="18"/>
              </w:rPr>
              <w:t>a</w:t>
            </w:r>
            <w:r>
              <w:rPr>
                <w:rFonts w:ascii="Calibri"/>
                <w:spacing w:val="-4"/>
                <w:sz w:val="18"/>
              </w:rPr>
              <w:t xml:space="preserve"> </w:t>
            </w:r>
            <w:r>
              <w:rPr>
                <w:rFonts w:ascii="Calibri"/>
                <w:spacing w:val="-1"/>
                <w:sz w:val="18"/>
              </w:rPr>
              <w:t>utility</w:t>
            </w:r>
            <w:r>
              <w:rPr>
                <w:rFonts w:ascii="Calibri"/>
                <w:spacing w:val="45"/>
                <w:w w:val="99"/>
                <w:sz w:val="18"/>
              </w:rPr>
              <w:t xml:space="preserve"> </w:t>
            </w:r>
            <w:r>
              <w:rPr>
                <w:rFonts w:ascii="Calibri"/>
                <w:spacing w:val="-1"/>
                <w:sz w:val="18"/>
              </w:rPr>
              <w:t>representative</w:t>
            </w:r>
            <w:r>
              <w:rPr>
                <w:rFonts w:ascii="Calibri"/>
                <w:spacing w:val="-6"/>
                <w:sz w:val="18"/>
              </w:rPr>
              <w:t xml:space="preserve"> </w:t>
            </w:r>
            <w:r>
              <w:rPr>
                <w:rFonts w:ascii="Calibri"/>
                <w:sz w:val="18"/>
              </w:rPr>
              <w:t>is</w:t>
            </w:r>
            <w:r>
              <w:rPr>
                <w:rFonts w:ascii="Calibri"/>
                <w:spacing w:val="-5"/>
                <w:sz w:val="18"/>
              </w:rPr>
              <w:t xml:space="preserve"> </w:t>
            </w:r>
            <w:r>
              <w:rPr>
                <w:rFonts w:ascii="Calibri"/>
                <w:spacing w:val="-1"/>
                <w:sz w:val="18"/>
              </w:rPr>
              <w:t>in</w:t>
            </w:r>
            <w:r>
              <w:rPr>
                <w:rFonts w:ascii="Calibri"/>
                <w:spacing w:val="-5"/>
                <w:sz w:val="18"/>
              </w:rPr>
              <w:t xml:space="preserve"> </w:t>
            </w:r>
            <w:r>
              <w:rPr>
                <w:rFonts w:ascii="Calibri"/>
                <w:sz w:val="18"/>
              </w:rPr>
              <w:t>the</w:t>
            </w:r>
            <w:r>
              <w:rPr>
                <w:rFonts w:ascii="Calibri"/>
                <w:spacing w:val="-5"/>
                <w:sz w:val="18"/>
              </w:rPr>
              <w:t xml:space="preserve"> </w:t>
            </w:r>
            <w:r>
              <w:rPr>
                <w:rFonts w:ascii="Calibri"/>
                <w:spacing w:val="-1"/>
                <w:sz w:val="18"/>
              </w:rPr>
              <w:t>customer</w:t>
            </w:r>
            <w:r>
              <w:rPr>
                <w:rFonts w:ascii="Calibri"/>
                <w:spacing w:val="-3"/>
                <w:sz w:val="18"/>
              </w:rPr>
              <w:t xml:space="preserve"> </w:t>
            </w:r>
            <w:r>
              <w:rPr>
                <w:rFonts w:ascii="Calibri"/>
                <w:spacing w:val="-1"/>
                <w:sz w:val="18"/>
              </w:rPr>
              <w:t>home.</w:t>
            </w:r>
            <w:r>
              <w:rPr>
                <w:rFonts w:ascii="Calibri"/>
                <w:spacing w:val="-4"/>
                <w:sz w:val="18"/>
              </w:rPr>
              <w:t xml:space="preserve"> </w:t>
            </w:r>
            <w:r>
              <w:rPr>
                <w:rFonts w:ascii="Calibri"/>
                <w:spacing w:val="-1"/>
                <w:sz w:val="18"/>
              </w:rPr>
              <w:t>Visit</w:t>
            </w:r>
            <w:r>
              <w:rPr>
                <w:rFonts w:ascii="Calibri"/>
                <w:spacing w:val="-6"/>
                <w:sz w:val="18"/>
              </w:rPr>
              <w:t xml:space="preserve"> </w:t>
            </w:r>
            <w:r>
              <w:rPr>
                <w:rFonts w:ascii="Calibri"/>
                <w:spacing w:val="-1"/>
                <w:sz w:val="18"/>
              </w:rPr>
              <w:t>costs</w:t>
            </w:r>
            <w:r>
              <w:rPr>
                <w:rFonts w:ascii="Calibri"/>
                <w:spacing w:val="-5"/>
                <w:sz w:val="18"/>
              </w:rPr>
              <w:t xml:space="preserve"> </w:t>
            </w:r>
            <w:r>
              <w:rPr>
                <w:rFonts w:ascii="Calibri"/>
                <w:spacing w:val="-1"/>
                <w:sz w:val="18"/>
              </w:rPr>
              <w:t>are</w:t>
            </w:r>
            <w:r>
              <w:rPr>
                <w:rFonts w:ascii="Calibri"/>
                <w:spacing w:val="57"/>
                <w:w w:val="99"/>
                <w:sz w:val="18"/>
              </w:rPr>
              <w:t xml:space="preserve"> </w:t>
            </w:r>
            <w:r>
              <w:rPr>
                <w:rFonts w:ascii="Calibri"/>
                <w:spacing w:val="-1"/>
                <w:sz w:val="18"/>
              </w:rPr>
              <w:t>incurred</w:t>
            </w:r>
            <w:r>
              <w:rPr>
                <w:rFonts w:ascii="Calibri"/>
                <w:spacing w:val="-5"/>
                <w:sz w:val="18"/>
              </w:rPr>
              <w:t xml:space="preserve"> </w:t>
            </w:r>
            <w:r>
              <w:rPr>
                <w:rFonts w:ascii="Calibri"/>
                <w:sz w:val="18"/>
              </w:rPr>
              <w:t>once</w:t>
            </w:r>
            <w:r>
              <w:rPr>
                <w:rFonts w:ascii="Calibri"/>
                <w:spacing w:val="-5"/>
                <w:sz w:val="18"/>
              </w:rPr>
              <w:t xml:space="preserve"> </w:t>
            </w:r>
            <w:r>
              <w:rPr>
                <w:rFonts w:ascii="Calibri"/>
                <w:sz w:val="18"/>
              </w:rPr>
              <w:t>the</w:t>
            </w:r>
            <w:r>
              <w:rPr>
                <w:rFonts w:ascii="Calibri"/>
                <w:spacing w:val="-5"/>
                <w:sz w:val="18"/>
              </w:rPr>
              <w:t xml:space="preserve"> </w:t>
            </w:r>
            <w:r>
              <w:rPr>
                <w:rFonts w:ascii="Calibri"/>
                <w:spacing w:val="-1"/>
                <w:sz w:val="18"/>
              </w:rPr>
              <w:t>program</w:t>
            </w:r>
            <w:r>
              <w:rPr>
                <w:rFonts w:ascii="Calibri"/>
                <w:spacing w:val="-4"/>
                <w:sz w:val="18"/>
              </w:rPr>
              <w:t xml:space="preserve"> </w:t>
            </w:r>
            <w:r>
              <w:rPr>
                <w:rFonts w:ascii="Calibri"/>
                <w:sz w:val="18"/>
              </w:rPr>
              <w:t>auditor</w:t>
            </w:r>
            <w:r>
              <w:rPr>
                <w:rFonts w:ascii="Calibri"/>
                <w:spacing w:val="-5"/>
                <w:sz w:val="18"/>
              </w:rPr>
              <w:t xml:space="preserve"> </w:t>
            </w:r>
            <w:r>
              <w:rPr>
                <w:rFonts w:ascii="Calibri"/>
                <w:spacing w:val="-1"/>
                <w:sz w:val="18"/>
              </w:rPr>
              <w:t>is</w:t>
            </w:r>
            <w:r>
              <w:rPr>
                <w:rFonts w:ascii="Calibri"/>
                <w:spacing w:val="-5"/>
                <w:sz w:val="18"/>
              </w:rPr>
              <w:t xml:space="preserve"> </w:t>
            </w:r>
            <w:r>
              <w:rPr>
                <w:rFonts w:ascii="Calibri"/>
                <w:sz w:val="18"/>
              </w:rPr>
              <w:t>on</w:t>
            </w:r>
            <w:r>
              <w:rPr>
                <w:rFonts w:ascii="Calibri"/>
                <w:spacing w:val="-4"/>
                <w:sz w:val="18"/>
              </w:rPr>
              <w:t xml:space="preserve"> </w:t>
            </w:r>
            <w:r>
              <w:rPr>
                <w:rFonts w:ascii="Calibri"/>
                <w:spacing w:val="-1"/>
                <w:sz w:val="18"/>
              </w:rPr>
              <w:t>site;</w:t>
            </w:r>
            <w:r>
              <w:rPr>
                <w:rFonts w:ascii="Calibri"/>
                <w:spacing w:val="-4"/>
                <w:sz w:val="18"/>
              </w:rPr>
              <w:t xml:space="preserve"> </w:t>
            </w:r>
            <w:r>
              <w:rPr>
                <w:rFonts w:ascii="Calibri"/>
                <w:spacing w:val="-1"/>
                <w:sz w:val="18"/>
              </w:rPr>
              <w:t>any</w:t>
            </w:r>
            <w:r>
              <w:rPr>
                <w:rFonts w:ascii="Calibri"/>
                <w:spacing w:val="31"/>
                <w:w w:val="99"/>
                <w:sz w:val="18"/>
              </w:rPr>
              <w:t xml:space="preserve"> </w:t>
            </w:r>
            <w:r>
              <w:rPr>
                <w:rFonts w:ascii="Calibri"/>
                <w:spacing w:val="-1"/>
                <w:sz w:val="18"/>
              </w:rPr>
              <w:t>incremental</w:t>
            </w:r>
            <w:r>
              <w:rPr>
                <w:rFonts w:ascii="Calibri"/>
                <w:spacing w:val="-5"/>
                <w:sz w:val="18"/>
              </w:rPr>
              <w:t xml:space="preserve"> </w:t>
            </w:r>
            <w:r>
              <w:rPr>
                <w:rFonts w:ascii="Calibri"/>
                <w:spacing w:val="-1"/>
                <w:sz w:val="18"/>
              </w:rPr>
              <w:t>savings</w:t>
            </w:r>
            <w:r>
              <w:rPr>
                <w:rFonts w:ascii="Calibri"/>
                <w:spacing w:val="-5"/>
                <w:sz w:val="18"/>
              </w:rPr>
              <w:t xml:space="preserve"> </w:t>
            </w:r>
            <w:r>
              <w:rPr>
                <w:rFonts w:ascii="Calibri"/>
                <w:sz w:val="18"/>
              </w:rPr>
              <w:t>that</w:t>
            </w:r>
            <w:r>
              <w:rPr>
                <w:rFonts w:ascii="Calibri"/>
                <w:spacing w:val="-4"/>
                <w:sz w:val="18"/>
              </w:rPr>
              <w:t xml:space="preserve"> </w:t>
            </w:r>
            <w:r>
              <w:rPr>
                <w:rFonts w:ascii="Calibri"/>
                <w:sz w:val="18"/>
              </w:rPr>
              <w:t>can</w:t>
            </w:r>
            <w:r>
              <w:rPr>
                <w:rFonts w:ascii="Calibri"/>
                <w:spacing w:val="-5"/>
                <w:sz w:val="18"/>
              </w:rPr>
              <w:t xml:space="preserve"> </w:t>
            </w:r>
            <w:r>
              <w:rPr>
                <w:rFonts w:ascii="Calibri"/>
                <w:spacing w:val="-1"/>
                <w:sz w:val="18"/>
              </w:rPr>
              <w:t>be</w:t>
            </w:r>
            <w:r>
              <w:rPr>
                <w:rFonts w:ascii="Calibri"/>
                <w:spacing w:val="-5"/>
                <w:sz w:val="18"/>
              </w:rPr>
              <w:t xml:space="preserve"> </w:t>
            </w:r>
            <w:r>
              <w:rPr>
                <w:rFonts w:ascii="Calibri"/>
                <w:sz w:val="18"/>
              </w:rPr>
              <w:t>obtained</w:t>
            </w:r>
            <w:r>
              <w:rPr>
                <w:rFonts w:ascii="Calibri"/>
                <w:spacing w:val="-4"/>
                <w:sz w:val="18"/>
              </w:rPr>
              <w:t xml:space="preserve"> </w:t>
            </w:r>
            <w:r>
              <w:rPr>
                <w:rFonts w:ascii="Calibri"/>
                <w:sz w:val="18"/>
              </w:rPr>
              <w:t>as</w:t>
            </w:r>
            <w:r>
              <w:rPr>
                <w:rFonts w:ascii="Calibri"/>
                <w:spacing w:val="-5"/>
                <w:sz w:val="18"/>
              </w:rPr>
              <w:t xml:space="preserve"> </w:t>
            </w:r>
            <w:r>
              <w:rPr>
                <w:rFonts w:ascii="Calibri"/>
                <w:sz w:val="18"/>
              </w:rPr>
              <w:t>a</w:t>
            </w:r>
            <w:r>
              <w:rPr>
                <w:rFonts w:ascii="Calibri"/>
                <w:spacing w:val="-4"/>
                <w:sz w:val="18"/>
              </w:rPr>
              <w:t xml:space="preserve"> </w:t>
            </w:r>
            <w:r>
              <w:rPr>
                <w:rFonts w:ascii="Calibri"/>
                <w:spacing w:val="-1"/>
                <w:sz w:val="18"/>
              </w:rPr>
              <w:t>result</w:t>
            </w:r>
            <w:r>
              <w:rPr>
                <w:rFonts w:ascii="Calibri"/>
                <w:spacing w:val="-4"/>
                <w:sz w:val="18"/>
              </w:rPr>
              <w:t xml:space="preserve"> </w:t>
            </w:r>
            <w:r>
              <w:rPr>
                <w:rFonts w:ascii="Calibri"/>
                <w:sz w:val="18"/>
              </w:rPr>
              <w:t>of</w:t>
            </w:r>
            <w:r>
              <w:rPr>
                <w:rFonts w:ascii="Calibri"/>
                <w:spacing w:val="-4"/>
                <w:sz w:val="18"/>
              </w:rPr>
              <w:t xml:space="preserve"> </w:t>
            </w:r>
            <w:r>
              <w:rPr>
                <w:rFonts w:ascii="Calibri"/>
                <w:sz w:val="18"/>
              </w:rPr>
              <w:t>the</w:t>
            </w:r>
            <w:r>
              <w:rPr>
                <w:rFonts w:ascii="Calibri"/>
                <w:spacing w:val="37"/>
                <w:w w:val="99"/>
                <w:sz w:val="18"/>
              </w:rPr>
              <w:t xml:space="preserve"> </w:t>
            </w:r>
            <w:r>
              <w:rPr>
                <w:rFonts w:ascii="Calibri"/>
                <w:spacing w:val="-1"/>
                <w:sz w:val="18"/>
              </w:rPr>
              <w:t>visit</w:t>
            </w:r>
            <w:r>
              <w:rPr>
                <w:rFonts w:ascii="Calibri"/>
                <w:spacing w:val="-6"/>
                <w:sz w:val="18"/>
              </w:rPr>
              <w:t xml:space="preserve"> </w:t>
            </w:r>
            <w:r>
              <w:rPr>
                <w:rFonts w:ascii="Calibri"/>
                <w:spacing w:val="-1"/>
                <w:sz w:val="18"/>
              </w:rPr>
              <w:t>are</w:t>
            </w:r>
            <w:r>
              <w:rPr>
                <w:rFonts w:ascii="Calibri"/>
                <w:spacing w:val="-5"/>
                <w:sz w:val="18"/>
              </w:rPr>
              <w:t xml:space="preserve"> </w:t>
            </w:r>
            <w:r>
              <w:rPr>
                <w:rFonts w:ascii="Calibri"/>
                <w:spacing w:val="-1"/>
                <w:sz w:val="18"/>
              </w:rPr>
              <w:t>likely</w:t>
            </w:r>
            <w:r>
              <w:rPr>
                <w:rFonts w:ascii="Calibri"/>
                <w:spacing w:val="-4"/>
                <w:sz w:val="18"/>
              </w:rPr>
              <w:t xml:space="preserve"> </w:t>
            </w:r>
            <w:r>
              <w:rPr>
                <w:rFonts w:ascii="Calibri"/>
                <w:spacing w:val="-1"/>
                <w:sz w:val="18"/>
              </w:rPr>
              <w:t>to</w:t>
            </w:r>
            <w:r>
              <w:rPr>
                <w:rFonts w:ascii="Calibri"/>
                <w:spacing w:val="-3"/>
                <w:sz w:val="18"/>
              </w:rPr>
              <w:t xml:space="preserve"> </w:t>
            </w:r>
            <w:r>
              <w:rPr>
                <w:rFonts w:ascii="Calibri"/>
                <w:spacing w:val="-1"/>
                <w:sz w:val="18"/>
              </w:rPr>
              <w:t>only</w:t>
            </w:r>
            <w:r>
              <w:rPr>
                <w:rFonts w:ascii="Calibri"/>
                <w:spacing w:val="-5"/>
                <w:sz w:val="18"/>
              </w:rPr>
              <w:t xml:space="preserve"> </w:t>
            </w:r>
            <w:r>
              <w:rPr>
                <w:rFonts w:ascii="Calibri"/>
                <w:spacing w:val="-1"/>
                <w:sz w:val="18"/>
              </w:rPr>
              <w:t>improve</w:t>
            </w:r>
            <w:r>
              <w:rPr>
                <w:rFonts w:ascii="Calibri"/>
                <w:spacing w:val="-5"/>
                <w:sz w:val="18"/>
              </w:rPr>
              <w:t xml:space="preserve"> </w:t>
            </w:r>
            <w:r>
              <w:rPr>
                <w:rFonts w:ascii="Calibri"/>
                <w:sz w:val="18"/>
              </w:rPr>
              <w:t>cost</w:t>
            </w:r>
            <w:r>
              <w:rPr>
                <w:rFonts w:ascii="Calibri"/>
                <w:spacing w:val="-5"/>
                <w:sz w:val="18"/>
              </w:rPr>
              <w:t xml:space="preserve"> </w:t>
            </w:r>
            <w:r>
              <w:rPr>
                <w:rFonts w:ascii="Calibri"/>
                <w:spacing w:val="-1"/>
                <w:sz w:val="18"/>
              </w:rPr>
              <w:t>effectiveness.</w:t>
            </w:r>
          </w:p>
        </w:tc>
        <w:tc>
          <w:tcPr>
            <w:tcW w:w="4680" w:type="dxa"/>
            <w:shd w:val="clear" w:color="auto" w:fill="D2EAF1"/>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E646C9">
        <w:trPr>
          <w:trHeight w:hRule="exact" w:val="1776"/>
        </w:trPr>
        <w:tc>
          <w:tcPr>
            <w:tcW w:w="4680" w:type="dxa"/>
          </w:tcPr>
          <w:p w:rsidR="00E646C9" w:rsidRDefault="00E646C9" w:rsidP="00C94D5A">
            <w:pPr>
              <w:pStyle w:val="TableParagraph"/>
              <w:spacing w:line="218"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2</w:t>
            </w:r>
          </w:p>
          <w:p w:rsidR="00E646C9" w:rsidRDefault="00E646C9" w:rsidP="00C94D5A">
            <w:pPr>
              <w:pStyle w:val="TableParagraph"/>
              <w:spacing w:before="1"/>
              <w:ind w:left="97" w:right="135"/>
              <w:rPr>
                <w:rFonts w:ascii="Calibri" w:eastAsia="Calibri" w:hAnsi="Calibri" w:cs="Calibri"/>
                <w:sz w:val="18"/>
                <w:szCs w:val="18"/>
              </w:rPr>
            </w:pPr>
            <w:r>
              <w:rPr>
                <w:rFonts w:ascii="Calibri"/>
                <w:sz w:val="18"/>
              </w:rPr>
              <w:t>Track</w:t>
            </w:r>
            <w:r>
              <w:rPr>
                <w:rFonts w:ascii="Calibri"/>
                <w:spacing w:val="-5"/>
                <w:sz w:val="18"/>
              </w:rPr>
              <w:t xml:space="preserve"> </w:t>
            </w:r>
            <w:r>
              <w:rPr>
                <w:rFonts w:ascii="Calibri"/>
                <w:spacing w:val="-1"/>
                <w:sz w:val="18"/>
              </w:rPr>
              <w:t>the</w:t>
            </w:r>
            <w:r>
              <w:rPr>
                <w:rFonts w:ascii="Calibri"/>
                <w:spacing w:val="-6"/>
                <w:sz w:val="18"/>
              </w:rPr>
              <w:t xml:space="preserve"> </w:t>
            </w:r>
            <w:r>
              <w:rPr>
                <w:rFonts w:ascii="Calibri"/>
                <w:spacing w:val="-1"/>
                <w:sz w:val="18"/>
              </w:rPr>
              <w:t>implementation</w:t>
            </w:r>
            <w:r>
              <w:rPr>
                <w:rFonts w:ascii="Calibri"/>
                <w:spacing w:val="-5"/>
                <w:sz w:val="18"/>
              </w:rPr>
              <w:t xml:space="preserve"> </w:t>
            </w:r>
            <w:r>
              <w:rPr>
                <w:rFonts w:ascii="Calibri"/>
                <w:sz w:val="18"/>
              </w:rPr>
              <w:t>rate</w:t>
            </w:r>
            <w:r>
              <w:rPr>
                <w:rFonts w:ascii="Calibri"/>
                <w:spacing w:val="-6"/>
                <w:sz w:val="18"/>
              </w:rPr>
              <w:t xml:space="preserve"> </w:t>
            </w:r>
            <w:r>
              <w:rPr>
                <w:rFonts w:ascii="Calibri"/>
                <w:sz w:val="18"/>
              </w:rPr>
              <w:t>for</w:t>
            </w:r>
            <w:r>
              <w:rPr>
                <w:rFonts w:ascii="Calibri"/>
                <w:spacing w:val="-5"/>
                <w:sz w:val="18"/>
              </w:rPr>
              <w:t xml:space="preserve"> </w:t>
            </w:r>
            <w:r>
              <w:rPr>
                <w:rFonts w:ascii="Calibri"/>
                <w:sz w:val="18"/>
              </w:rPr>
              <w:t>REEP</w:t>
            </w:r>
            <w:r>
              <w:rPr>
                <w:rFonts w:ascii="Calibri"/>
                <w:spacing w:val="-5"/>
                <w:sz w:val="18"/>
              </w:rPr>
              <w:t xml:space="preserve"> </w:t>
            </w:r>
            <w:r>
              <w:rPr>
                <w:rFonts w:ascii="Calibri"/>
                <w:spacing w:val="-1"/>
                <w:sz w:val="18"/>
              </w:rPr>
              <w:t>Rebates</w:t>
            </w:r>
            <w:r>
              <w:rPr>
                <w:rFonts w:ascii="Calibri"/>
                <w:spacing w:val="-6"/>
                <w:sz w:val="18"/>
              </w:rPr>
              <w:t xml:space="preserve"> </w:t>
            </w:r>
            <w:r>
              <w:rPr>
                <w:rFonts w:ascii="Calibri"/>
                <w:spacing w:val="-1"/>
                <w:sz w:val="18"/>
              </w:rPr>
              <w:t>that</w:t>
            </w:r>
            <w:r>
              <w:rPr>
                <w:rFonts w:ascii="Calibri"/>
                <w:spacing w:val="-4"/>
                <w:sz w:val="18"/>
              </w:rPr>
              <w:t xml:space="preserve"> </w:t>
            </w:r>
            <w:r>
              <w:rPr>
                <w:rFonts w:ascii="Calibri"/>
                <w:spacing w:val="-1"/>
                <w:sz w:val="18"/>
              </w:rPr>
              <w:t>are</w:t>
            </w:r>
            <w:r>
              <w:rPr>
                <w:rFonts w:ascii="Calibri"/>
                <w:spacing w:val="41"/>
                <w:w w:val="99"/>
                <w:sz w:val="18"/>
              </w:rPr>
              <w:t xml:space="preserve"> </w:t>
            </w:r>
            <w:r>
              <w:rPr>
                <w:rFonts w:ascii="Calibri"/>
                <w:spacing w:val="-1"/>
                <w:sz w:val="18"/>
              </w:rPr>
              <w:t>recommended</w:t>
            </w:r>
            <w:r>
              <w:rPr>
                <w:rFonts w:ascii="Calibri"/>
                <w:spacing w:val="-6"/>
                <w:sz w:val="18"/>
              </w:rPr>
              <w:t xml:space="preserve"> </w:t>
            </w:r>
            <w:r>
              <w:rPr>
                <w:rFonts w:ascii="Calibri"/>
                <w:spacing w:val="-1"/>
                <w:sz w:val="18"/>
              </w:rPr>
              <w:t>through</w:t>
            </w:r>
            <w:r>
              <w:rPr>
                <w:rFonts w:ascii="Calibri"/>
                <w:spacing w:val="-7"/>
                <w:sz w:val="18"/>
              </w:rPr>
              <w:t xml:space="preserve"> </w:t>
            </w:r>
            <w:r>
              <w:rPr>
                <w:rFonts w:ascii="Calibri"/>
                <w:sz w:val="18"/>
              </w:rPr>
              <w:t>the</w:t>
            </w:r>
            <w:r>
              <w:rPr>
                <w:rFonts w:ascii="Calibri"/>
                <w:spacing w:val="-7"/>
                <w:sz w:val="18"/>
              </w:rPr>
              <w:t xml:space="preserve"> </w:t>
            </w:r>
            <w:r>
              <w:rPr>
                <w:rFonts w:ascii="Calibri"/>
                <w:spacing w:val="-1"/>
                <w:sz w:val="18"/>
              </w:rPr>
              <w:t>new</w:t>
            </w:r>
            <w:r>
              <w:rPr>
                <w:rFonts w:ascii="Calibri"/>
                <w:spacing w:val="-4"/>
                <w:sz w:val="18"/>
              </w:rPr>
              <w:t xml:space="preserve"> </w:t>
            </w:r>
            <w:r>
              <w:rPr>
                <w:rFonts w:ascii="Calibri"/>
                <w:spacing w:val="-1"/>
                <w:sz w:val="18"/>
              </w:rPr>
              <w:t>and</w:t>
            </w:r>
            <w:r>
              <w:rPr>
                <w:rFonts w:ascii="Calibri"/>
                <w:spacing w:val="-7"/>
                <w:sz w:val="18"/>
              </w:rPr>
              <w:t xml:space="preserve"> </w:t>
            </w:r>
            <w:r>
              <w:rPr>
                <w:rFonts w:ascii="Calibri"/>
                <w:spacing w:val="-1"/>
                <w:sz w:val="18"/>
              </w:rPr>
              <w:t>differently</w:t>
            </w:r>
            <w:r>
              <w:rPr>
                <w:rFonts w:ascii="Calibri"/>
                <w:spacing w:val="45"/>
                <w:w w:val="99"/>
                <w:sz w:val="18"/>
              </w:rPr>
              <w:t xml:space="preserve"> </w:t>
            </w:r>
            <w:r>
              <w:rPr>
                <w:rFonts w:ascii="Calibri"/>
                <w:spacing w:val="-1"/>
                <w:sz w:val="18"/>
              </w:rPr>
              <w:t>implemented</w:t>
            </w:r>
            <w:r>
              <w:rPr>
                <w:rFonts w:ascii="Calibri"/>
                <w:spacing w:val="-7"/>
                <w:sz w:val="18"/>
              </w:rPr>
              <w:t xml:space="preserve"> </w:t>
            </w:r>
            <w:r>
              <w:rPr>
                <w:rFonts w:ascii="Calibri"/>
                <w:sz w:val="18"/>
              </w:rPr>
              <w:t>WHEAP</w:t>
            </w:r>
            <w:r>
              <w:rPr>
                <w:rFonts w:ascii="Calibri"/>
                <w:spacing w:val="-5"/>
                <w:sz w:val="18"/>
              </w:rPr>
              <w:t xml:space="preserve"> </w:t>
            </w:r>
            <w:r>
              <w:rPr>
                <w:rFonts w:ascii="Calibri"/>
                <w:spacing w:val="-1"/>
                <w:sz w:val="18"/>
              </w:rPr>
              <w:t>in</w:t>
            </w:r>
            <w:r>
              <w:rPr>
                <w:rFonts w:ascii="Calibri"/>
                <w:spacing w:val="-7"/>
                <w:sz w:val="18"/>
              </w:rPr>
              <w:t xml:space="preserve"> </w:t>
            </w:r>
            <w:r>
              <w:rPr>
                <w:rFonts w:ascii="Calibri"/>
                <w:sz w:val="18"/>
              </w:rPr>
              <w:t>PY8,</w:t>
            </w:r>
            <w:r>
              <w:rPr>
                <w:rFonts w:ascii="Calibri"/>
                <w:spacing w:val="-5"/>
                <w:sz w:val="18"/>
              </w:rPr>
              <w:t xml:space="preserve"> </w:t>
            </w:r>
            <w:r>
              <w:rPr>
                <w:rFonts w:ascii="Calibri"/>
                <w:spacing w:val="-1"/>
                <w:sz w:val="18"/>
              </w:rPr>
              <w:t>to</w:t>
            </w:r>
            <w:r>
              <w:rPr>
                <w:rFonts w:ascii="Calibri"/>
                <w:spacing w:val="-5"/>
                <w:sz w:val="18"/>
              </w:rPr>
              <w:t xml:space="preserve"> </w:t>
            </w:r>
            <w:r>
              <w:rPr>
                <w:rFonts w:ascii="Calibri"/>
                <w:spacing w:val="-1"/>
                <w:sz w:val="18"/>
              </w:rPr>
              <w:t>determine</w:t>
            </w:r>
            <w:r>
              <w:rPr>
                <w:rFonts w:ascii="Calibri"/>
                <w:spacing w:val="-6"/>
                <w:sz w:val="18"/>
              </w:rPr>
              <w:t xml:space="preserve"> </w:t>
            </w:r>
            <w:r>
              <w:rPr>
                <w:rFonts w:ascii="Calibri"/>
                <w:spacing w:val="-1"/>
                <w:sz w:val="18"/>
              </w:rPr>
              <w:t>whether</w:t>
            </w:r>
            <w:r>
              <w:rPr>
                <w:rFonts w:ascii="Calibri"/>
                <w:spacing w:val="-7"/>
                <w:sz w:val="18"/>
              </w:rPr>
              <w:t xml:space="preserve"> </w:t>
            </w:r>
            <w:r>
              <w:rPr>
                <w:rFonts w:ascii="Calibri"/>
                <w:spacing w:val="-1"/>
                <w:sz w:val="18"/>
              </w:rPr>
              <w:t>specific</w:t>
            </w:r>
            <w:r>
              <w:rPr>
                <w:rFonts w:ascii="Calibri"/>
                <w:spacing w:val="47"/>
                <w:w w:val="99"/>
                <w:sz w:val="18"/>
              </w:rPr>
              <w:t xml:space="preserve"> </w:t>
            </w:r>
            <w:r>
              <w:rPr>
                <w:rFonts w:ascii="Calibri"/>
                <w:spacing w:val="-1"/>
                <w:sz w:val="18"/>
              </w:rPr>
              <w:t>actions</w:t>
            </w:r>
            <w:r>
              <w:rPr>
                <w:rFonts w:ascii="Calibri"/>
                <w:spacing w:val="-5"/>
                <w:sz w:val="18"/>
              </w:rPr>
              <w:t xml:space="preserve"> </w:t>
            </w:r>
            <w:r>
              <w:rPr>
                <w:rFonts w:ascii="Calibri"/>
                <w:spacing w:val="-1"/>
                <w:sz w:val="18"/>
              </w:rPr>
              <w:t>are</w:t>
            </w:r>
            <w:r>
              <w:rPr>
                <w:rFonts w:ascii="Calibri"/>
                <w:spacing w:val="-5"/>
                <w:sz w:val="18"/>
              </w:rPr>
              <w:t xml:space="preserve"> </w:t>
            </w:r>
            <w:r>
              <w:rPr>
                <w:rFonts w:ascii="Calibri"/>
                <w:spacing w:val="-1"/>
                <w:sz w:val="18"/>
              </w:rPr>
              <w:t>needed</w:t>
            </w:r>
            <w:r>
              <w:rPr>
                <w:rFonts w:ascii="Calibri"/>
                <w:spacing w:val="-5"/>
                <w:sz w:val="18"/>
              </w:rPr>
              <w:t xml:space="preserve"> </w:t>
            </w:r>
            <w:r>
              <w:rPr>
                <w:rFonts w:ascii="Calibri"/>
                <w:spacing w:val="-1"/>
                <w:sz w:val="18"/>
              </w:rPr>
              <w:t>to</w:t>
            </w:r>
            <w:r>
              <w:rPr>
                <w:rFonts w:ascii="Calibri"/>
                <w:spacing w:val="-3"/>
                <w:sz w:val="18"/>
              </w:rPr>
              <w:t xml:space="preserve"> </w:t>
            </w:r>
            <w:r>
              <w:rPr>
                <w:rFonts w:ascii="Calibri"/>
                <w:spacing w:val="-1"/>
                <w:sz w:val="18"/>
              </w:rPr>
              <w:t>ensure</w:t>
            </w:r>
            <w:r>
              <w:rPr>
                <w:rFonts w:ascii="Calibri"/>
                <w:spacing w:val="-5"/>
                <w:sz w:val="18"/>
              </w:rPr>
              <w:t xml:space="preserve"> </w:t>
            </w:r>
            <w:r>
              <w:rPr>
                <w:rFonts w:ascii="Calibri"/>
                <w:sz w:val="18"/>
              </w:rPr>
              <w:t>that</w:t>
            </w:r>
            <w:r>
              <w:rPr>
                <w:rFonts w:ascii="Calibri"/>
                <w:spacing w:val="-4"/>
                <w:sz w:val="18"/>
              </w:rPr>
              <w:t xml:space="preserve"> </w:t>
            </w:r>
            <w:r>
              <w:rPr>
                <w:rFonts w:ascii="Calibri"/>
                <w:spacing w:val="-1"/>
                <w:sz w:val="18"/>
              </w:rPr>
              <w:t>the</w:t>
            </w:r>
            <w:r>
              <w:rPr>
                <w:rFonts w:ascii="Calibri"/>
                <w:spacing w:val="-5"/>
                <w:sz w:val="18"/>
              </w:rPr>
              <w:t xml:space="preserve"> </w:t>
            </w:r>
            <w:r>
              <w:rPr>
                <w:rFonts w:ascii="Calibri"/>
                <w:spacing w:val="-1"/>
                <w:sz w:val="18"/>
              </w:rPr>
              <w:t>link</w:t>
            </w:r>
            <w:r>
              <w:rPr>
                <w:rFonts w:ascii="Calibri"/>
                <w:spacing w:val="-4"/>
                <w:sz w:val="18"/>
              </w:rPr>
              <w:t xml:space="preserve"> </w:t>
            </w:r>
            <w:r>
              <w:rPr>
                <w:rFonts w:ascii="Calibri"/>
                <w:spacing w:val="-1"/>
                <w:sz w:val="18"/>
              </w:rPr>
              <w:t>between</w:t>
            </w:r>
            <w:r>
              <w:rPr>
                <w:rFonts w:ascii="Calibri"/>
                <w:spacing w:val="-5"/>
                <w:sz w:val="18"/>
              </w:rPr>
              <w:t xml:space="preserve"> </w:t>
            </w:r>
            <w:r>
              <w:rPr>
                <w:rFonts w:ascii="Calibri"/>
                <w:sz w:val="18"/>
              </w:rPr>
              <w:t>the</w:t>
            </w:r>
            <w:r>
              <w:rPr>
                <w:rFonts w:ascii="Calibri"/>
                <w:spacing w:val="-5"/>
                <w:sz w:val="18"/>
              </w:rPr>
              <w:t xml:space="preserve"> </w:t>
            </w:r>
            <w:r>
              <w:rPr>
                <w:rFonts w:ascii="Calibri"/>
                <w:sz w:val="18"/>
              </w:rPr>
              <w:t>two</w:t>
            </w:r>
            <w:r>
              <w:rPr>
                <w:rFonts w:ascii="Calibri"/>
                <w:spacing w:val="59"/>
                <w:w w:val="99"/>
                <w:sz w:val="18"/>
              </w:rPr>
              <w:t xml:space="preserve"> </w:t>
            </w:r>
            <w:r>
              <w:rPr>
                <w:rFonts w:ascii="Calibri"/>
                <w:spacing w:val="-1"/>
                <w:sz w:val="18"/>
              </w:rPr>
              <w:t>programs</w:t>
            </w:r>
            <w:r>
              <w:rPr>
                <w:rFonts w:ascii="Calibri"/>
                <w:spacing w:val="-6"/>
                <w:sz w:val="18"/>
              </w:rPr>
              <w:t xml:space="preserve"> </w:t>
            </w:r>
            <w:r>
              <w:rPr>
                <w:rFonts w:ascii="Calibri"/>
                <w:spacing w:val="-1"/>
                <w:sz w:val="18"/>
              </w:rPr>
              <w:t>is</w:t>
            </w:r>
            <w:r>
              <w:rPr>
                <w:rFonts w:ascii="Calibri"/>
                <w:spacing w:val="-4"/>
                <w:sz w:val="18"/>
              </w:rPr>
              <w:t xml:space="preserve"> </w:t>
            </w:r>
            <w:r>
              <w:rPr>
                <w:rFonts w:ascii="Calibri"/>
                <w:spacing w:val="-1"/>
                <w:sz w:val="18"/>
              </w:rPr>
              <w:t>being</w:t>
            </w:r>
            <w:r>
              <w:rPr>
                <w:rFonts w:ascii="Calibri"/>
                <w:spacing w:val="-6"/>
                <w:sz w:val="18"/>
              </w:rPr>
              <w:t xml:space="preserve"> </w:t>
            </w:r>
            <w:r>
              <w:rPr>
                <w:rFonts w:ascii="Calibri"/>
                <w:spacing w:val="-1"/>
                <w:sz w:val="18"/>
              </w:rPr>
              <w:t>made</w:t>
            </w:r>
            <w:r>
              <w:rPr>
                <w:rFonts w:ascii="Calibri"/>
                <w:spacing w:val="-3"/>
                <w:sz w:val="18"/>
              </w:rPr>
              <w:t xml:space="preserve"> </w:t>
            </w:r>
            <w:r>
              <w:rPr>
                <w:rFonts w:ascii="Calibri"/>
                <w:spacing w:val="-1"/>
                <w:sz w:val="18"/>
              </w:rPr>
              <w:t>effectively</w:t>
            </w:r>
            <w:r>
              <w:rPr>
                <w:rFonts w:ascii="Calibri"/>
                <w:spacing w:val="-5"/>
                <w:sz w:val="18"/>
              </w:rPr>
              <w:t xml:space="preserve"> </w:t>
            </w:r>
            <w:r>
              <w:rPr>
                <w:rFonts w:ascii="Calibri"/>
                <w:spacing w:val="-1"/>
                <w:sz w:val="18"/>
              </w:rPr>
              <w:t>to</w:t>
            </w:r>
            <w:r>
              <w:rPr>
                <w:rFonts w:ascii="Calibri"/>
                <w:spacing w:val="-3"/>
                <w:sz w:val="18"/>
              </w:rPr>
              <w:t xml:space="preserve"> </w:t>
            </w:r>
            <w:r>
              <w:rPr>
                <w:rFonts w:ascii="Calibri"/>
                <w:spacing w:val="-1"/>
                <w:sz w:val="18"/>
              </w:rPr>
              <w:t>participants.</w:t>
            </w:r>
            <w:r>
              <w:rPr>
                <w:rFonts w:ascii="Calibri"/>
                <w:spacing w:val="-5"/>
                <w:sz w:val="18"/>
              </w:rPr>
              <w:t xml:space="preserve"> </w:t>
            </w:r>
            <w:r>
              <w:rPr>
                <w:rFonts w:ascii="Calibri"/>
                <w:sz w:val="18"/>
              </w:rPr>
              <w:t>Track</w:t>
            </w:r>
            <w:r>
              <w:rPr>
                <w:rFonts w:ascii="Calibri"/>
                <w:spacing w:val="-5"/>
                <w:sz w:val="18"/>
              </w:rPr>
              <w:t xml:space="preserve"> </w:t>
            </w:r>
            <w:r>
              <w:rPr>
                <w:rFonts w:ascii="Calibri"/>
                <w:spacing w:val="-1"/>
                <w:sz w:val="18"/>
              </w:rPr>
              <w:t>the</w:t>
            </w:r>
            <w:r>
              <w:rPr>
                <w:rFonts w:ascii="Calibri"/>
                <w:spacing w:val="57"/>
                <w:w w:val="99"/>
                <w:sz w:val="18"/>
              </w:rPr>
              <w:t xml:space="preserve"> </w:t>
            </w:r>
            <w:r>
              <w:rPr>
                <w:rFonts w:ascii="Calibri"/>
                <w:spacing w:val="-1"/>
                <w:sz w:val="18"/>
              </w:rPr>
              <w:t>awareness</w:t>
            </w:r>
            <w:r>
              <w:rPr>
                <w:rFonts w:ascii="Calibri"/>
                <w:spacing w:val="-7"/>
                <w:sz w:val="18"/>
              </w:rPr>
              <w:t xml:space="preserve"> </w:t>
            </w:r>
            <w:r>
              <w:rPr>
                <w:rFonts w:ascii="Calibri"/>
                <w:sz w:val="18"/>
              </w:rPr>
              <w:t>of</w:t>
            </w:r>
            <w:r>
              <w:rPr>
                <w:rFonts w:ascii="Calibri"/>
                <w:spacing w:val="-5"/>
                <w:sz w:val="18"/>
              </w:rPr>
              <w:t xml:space="preserve"> </w:t>
            </w:r>
            <w:r>
              <w:rPr>
                <w:rFonts w:ascii="Calibri"/>
                <w:sz w:val="18"/>
              </w:rPr>
              <w:t>REEP</w:t>
            </w:r>
            <w:r>
              <w:rPr>
                <w:rFonts w:ascii="Calibri"/>
                <w:spacing w:val="-6"/>
                <w:sz w:val="18"/>
              </w:rPr>
              <w:t xml:space="preserve"> </w:t>
            </w:r>
            <w:r>
              <w:rPr>
                <w:rFonts w:ascii="Calibri"/>
                <w:spacing w:val="-1"/>
                <w:sz w:val="18"/>
              </w:rPr>
              <w:t>rebates</w:t>
            </w:r>
            <w:r>
              <w:rPr>
                <w:rFonts w:ascii="Calibri"/>
                <w:spacing w:val="-6"/>
                <w:sz w:val="18"/>
              </w:rPr>
              <w:t xml:space="preserve"> </w:t>
            </w:r>
            <w:r>
              <w:rPr>
                <w:rFonts w:ascii="Calibri"/>
                <w:sz w:val="18"/>
              </w:rPr>
              <w:t>through</w:t>
            </w:r>
            <w:r>
              <w:rPr>
                <w:rFonts w:ascii="Calibri"/>
                <w:spacing w:val="-6"/>
                <w:sz w:val="18"/>
              </w:rPr>
              <w:t xml:space="preserve"> </w:t>
            </w:r>
            <w:r>
              <w:rPr>
                <w:rFonts w:ascii="Calibri"/>
                <w:spacing w:val="-1"/>
                <w:sz w:val="18"/>
              </w:rPr>
              <w:t>participant</w:t>
            </w:r>
            <w:r>
              <w:rPr>
                <w:rFonts w:ascii="Calibri"/>
                <w:spacing w:val="-4"/>
                <w:sz w:val="18"/>
              </w:rPr>
              <w:t xml:space="preserve"> </w:t>
            </w:r>
            <w:r>
              <w:rPr>
                <w:rFonts w:ascii="Calibri"/>
                <w:spacing w:val="-1"/>
                <w:sz w:val="18"/>
              </w:rPr>
              <w:t>surveys</w:t>
            </w:r>
            <w:r>
              <w:rPr>
                <w:rFonts w:ascii="Calibri"/>
                <w:spacing w:val="-6"/>
                <w:sz w:val="18"/>
              </w:rPr>
              <w:t xml:space="preserve"> </w:t>
            </w:r>
            <w:r>
              <w:rPr>
                <w:rFonts w:ascii="Calibri"/>
                <w:spacing w:val="-1"/>
                <w:sz w:val="18"/>
              </w:rPr>
              <w:t>in</w:t>
            </w:r>
            <w:r>
              <w:rPr>
                <w:rFonts w:ascii="Calibri"/>
                <w:spacing w:val="45"/>
                <w:w w:val="99"/>
                <w:sz w:val="18"/>
              </w:rPr>
              <w:t xml:space="preserve"> </w:t>
            </w:r>
            <w:r>
              <w:rPr>
                <w:rFonts w:ascii="Calibri"/>
                <w:sz w:val="18"/>
              </w:rPr>
              <w:t>PY8</w:t>
            </w:r>
            <w:r>
              <w:rPr>
                <w:rFonts w:ascii="Calibri"/>
                <w:spacing w:val="-5"/>
                <w:sz w:val="18"/>
              </w:rPr>
              <w:t xml:space="preserve"> </w:t>
            </w:r>
            <w:r>
              <w:rPr>
                <w:rFonts w:ascii="Calibri"/>
                <w:sz w:val="18"/>
              </w:rPr>
              <w:t>for</w:t>
            </w:r>
            <w:r>
              <w:rPr>
                <w:rFonts w:ascii="Calibri"/>
                <w:spacing w:val="-5"/>
                <w:sz w:val="18"/>
              </w:rPr>
              <w:t xml:space="preserve"> </w:t>
            </w:r>
            <w:r>
              <w:rPr>
                <w:rFonts w:ascii="Calibri"/>
                <w:spacing w:val="-1"/>
                <w:sz w:val="18"/>
              </w:rPr>
              <w:t>the</w:t>
            </w:r>
            <w:r>
              <w:rPr>
                <w:rFonts w:ascii="Calibri"/>
                <w:spacing w:val="-5"/>
                <w:sz w:val="18"/>
              </w:rPr>
              <w:t xml:space="preserve"> </w:t>
            </w:r>
            <w:r>
              <w:rPr>
                <w:rFonts w:ascii="Calibri"/>
                <w:spacing w:val="-1"/>
                <w:sz w:val="18"/>
              </w:rPr>
              <w:t>same</w:t>
            </w:r>
            <w:r>
              <w:rPr>
                <w:rFonts w:ascii="Calibri"/>
                <w:spacing w:val="-5"/>
                <w:sz w:val="18"/>
              </w:rPr>
              <w:t xml:space="preserve"> </w:t>
            </w:r>
            <w:r>
              <w:rPr>
                <w:rFonts w:ascii="Calibri"/>
                <w:spacing w:val="-1"/>
                <w:sz w:val="18"/>
              </w:rPr>
              <w:t>reason.</w:t>
            </w:r>
          </w:p>
        </w:tc>
        <w:tc>
          <w:tcPr>
            <w:tcW w:w="4680" w:type="dxa"/>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E646C9">
        <w:trPr>
          <w:trHeight w:hRule="exact" w:val="2220"/>
        </w:trPr>
        <w:tc>
          <w:tcPr>
            <w:tcW w:w="4680" w:type="dxa"/>
            <w:shd w:val="clear" w:color="auto" w:fill="D2EAF1"/>
          </w:tcPr>
          <w:p w:rsidR="00E646C9" w:rsidRDefault="00E646C9" w:rsidP="00C94D5A">
            <w:pPr>
              <w:pStyle w:val="TableParagraph"/>
              <w:spacing w:line="219"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3</w:t>
            </w:r>
          </w:p>
          <w:p w:rsidR="00E646C9" w:rsidRDefault="00E646C9" w:rsidP="00C94D5A">
            <w:pPr>
              <w:pStyle w:val="TableParagraph"/>
              <w:ind w:left="97" w:right="170"/>
              <w:rPr>
                <w:rFonts w:ascii="Calibri" w:eastAsia="Calibri" w:hAnsi="Calibri" w:cs="Calibri"/>
                <w:sz w:val="18"/>
                <w:szCs w:val="18"/>
              </w:rPr>
            </w:pPr>
            <w:r>
              <w:rPr>
                <w:rFonts w:ascii="Calibri"/>
                <w:spacing w:val="-1"/>
                <w:sz w:val="18"/>
              </w:rPr>
              <w:t>Consider</w:t>
            </w:r>
            <w:r>
              <w:rPr>
                <w:rFonts w:ascii="Calibri"/>
                <w:spacing w:val="-5"/>
                <w:sz w:val="18"/>
              </w:rPr>
              <w:t xml:space="preserve"> </w:t>
            </w:r>
            <w:r>
              <w:rPr>
                <w:rFonts w:ascii="Calibri"/>
                <w:spacing w:val="-1"/>
                <w:sz w:val="18"/>
              </w:rPr>
              <w:t>sending</w:t>
            </w:r>
            <w:r>
              <w:rPr>
                <w:rFonts w:ascii="Calibri"/>
                <w:spacing w:val="-6"/>
                <w:sz w:val="18"/>
              </w:rPr>
              <w:t xml:space="preserve"> </w:t>
            </w:r>
            <w:r>
              <w:rPr>
                <w:rFonts w:ascii="Calibri"/>
                <w:sz w:val="18"/>
              </w:rPr>
              <w:t>follow-up</w:t>
            </w:r>
            <w:r>
              <w:rPr>
                <w:rFonts w:ascii="Calibri"/>
                <w:spacing w:val="-7"/>
                <w:sz w:val="18"/>
              </w:rPr>
              <w:t xml:space="preserve"> </w:t>
            </w:r>
            <w:r>
              <w:rPr>
                <w:rFonts w:ascii="Calibri"/>
                <w:spacing w:val="-1"/>
                <w:sz w:val="18"/>
              </w:rPr>
              <w:t>email</w:t>
            </w:r>
            <w:r>
              <w:rPr>
                <w:rFonts w:ascii="Calibri"/>
                <w:spacing w:val="-4"/>
                <w:sz w:val="18"/>
              </w:rPr>
              <w:t xml:space="preserve"> </w:t>
            </w:r>
            <w:r>
              <w:rPr>
                <w:rFonts w:ascii="Calibri"/>
                <w:spacing w:val="-1"/>
                <w:sz w:val="18"/>
              </w:rPr>
              <w:t>notices</w:t>
            </w:r>
            <w:r>
              <w:rPr>
                <w:rFonts w:ascii="Calibri"/>
                <w:spacing w:val="-7"/>
                <w:sz w:val="18"/>
              </w:rPr>
              <w:t xml:space="preserve"> </w:t>
            </w:r>
            <w:r>
              <w:rPr>
                <w:rFonts w:ascii="Calibri"/>
                <w:spacing w:val="-1"/>
                <w:sz w:val="18"/>
              </w:rPr>
              <w:t>to</w:t>
            </w:r>
            <w:r>
              <w:rPr>
                <w:rFonts w:ascii="Calibri"/>
                <w:spacing w:val="-4"/>
                <w:sz w:val="18"/>
              </w:rPr>
              <w:t xml:space="preserve"> </w:t>
            </w:r>
            <w:r>
              <w:rPr>
                <w:rFonts w:ascii="Calibri"/>
                <w:spacing w:val="-1"/>
                <w:sz w:val="18"/>
              </w:rPr>
              <w:t>participants</w:t>
            </w:r>
            <w:r>
              <w:rPr>
                <w:rFonts w:ascii="Calibri"/>
                <w:spacing w:val="49"/>
                <w:w w:val="99"/>
                <w:sz w:val="18"/>
              </w:rPr>
              <w:t xml:space="preserve"> </w:t>
            </w:r>
            <w:r>
              <w:rPr>
                <w:rFonts w:ascii="Calibri"/>
                <w:spacing w:val="-1"/>
                <w:sz w:val="18"/>
              </w:rPr>
              <w:t>after</w:t>
            </w:r>
            <w:r>
              <w:rPr>
                <w:rFonts w:ascii="Calibri"/>
                <w:spacing w:val="-5"/>
                <w:sz w:val="18"/>
              </w:rPr>
              <w:t xml:space="preserve"> </w:t>
            </w:r>
            <w:r>
              <w:rPr>
                <w:rFonts w:ascii="Calibri"/>
                <w:spacing w:val="-1"/>
                <w:sz w:val="18"/>
              </w:rPr>
              <w:t>they</w:t>
            </w:r>
            <w:r>
              <w:rPr>
                <w:rFonts w:ascii="Calibri"/>
                <w:spacing w:val="-3"/>
                <w:sz w:val="18"/>
              </w:rPr>
              <w:t xml:space="preserve"> </w:t>
            </w:r>
            <w:r>
              <w:rPr>
                <w:rFonts w:ascii="Calibri"/>
                <w:spacing w:val="-1"/>
                <w:sz w:val="18"/>
              </w:rPr>
              <w:t>have</w:t>
            </w:r>
            <w:r>
              <w:rPr>
                <w:rFonts w:ascii="Calibri"/>
                <w:spacing w:val="-5"/>
                <w:sz w:val="18"/>
              </w:rPr>
              <w:t xml:space="preserve"> </w:t>
            </w:r>
            <w:r>
              <w:rPr>
                <w:rFonts w:ascii="Calibri"/>
                <w:spacing w:val="-1"/>
                <w:sz w:val="18"/>
              </w:rPr>
              <w:t>participated</w:t>
            </w:r>
            <w:r>
              <w:rPr>
                <w:rFonts w:ascii="Calibri"/>
                <w:spacing w:val="-5"/>
                <w:sz w:val="18"/>
              </w:rPr>
              <w:t xml:space="preserve"> </w:t>
            </w:r>
            <w:r>
              <w:rPr>
                <w:rFonts w:ascii="Calibri"/>
                <w:spacing w:val="-1"/>
                <w:sz w:val="18"/>
              </w:rPr>
              <w:t>in</w:t>
            </w:r>
            <w:r>
              <w:rPr>
                <w:rFonts w:ascii="Calibri"/>
                <w:spacing w:val="-5"/>
                <w:sz w:val="18"/>
              </w:rPr>
              <w:t xml:space="preserve"> </w:t>
            </w:r>
            <w:r>
              <w:rPr>
                <w:rFonts w:ascii="Calibri"/>
                <w:spacing w:val="1"/>
                <w:sz w:val="18"/>
              </w:rPr>
              <w:t>the</w:t>
            </w:r>
            <w:r>
              <w:rPr>
                <w:rFonts w:ascii="Calibri"/>
                <w:spacing w:val="-5"/>
                <w:sz w:val="18"/>
              </w:rPr>
              <w:t xml:space="preserve"> </w:t>
            </w:r>
            <w:r>
              <w:rPr>
                <w:rFonts w:ascii="Calibri"/>
                <w:spacing w:val="-1"/>
                <w:sz w:val="18"/>
              </w:rPr>
              <w:t>program</w:t>
            </w:r>
            <w:r>
              <w:rPr>
                <w:rFonts w:ascii="Calibri"/>
                <w:spacing w:val="-4"/>
                <w:sz w:val="18"/>
              </w:rPr>
              <w:t xml:space="preserve"> </w:t>
            </w:r>
            <w:r>
              <w:rPr>
                <w:rFonts w:ascii="Calibri"/>
                <w:spacing w:val="-1"/>
                <w:sz w:val="18"/>
              </w:rPr>
              <w:t>(e.g.,</w:t>
            </w:r>
            <w:r>
              <w:rPr>
                <w:rFonts w:ascii="Calibri"/>
                <w:spacing w:val="-3"/>
                <w:sz w:val="18"/>
              </w:rPr>
              <w:t xml:space="preserve"> </w:t>
            </w:r>
            <w:r>
              <w:rPr>
                <w:rFonts w:ascii="Calibri"/>
                <w:sz w:val="18"/>
              </w:rPr>
              <w:t>at</w:t>
            </w:r>
            <w:r>
              <w:rPr>
                <w:rFonts w:ascii="Calibri"/>
                <w:spacing w:val="-5"/>
                <w:sz w:val="18"/>
              </w:rPr>
              <w:t xml:space="preserve"> </w:t>
            </w:r>
            <w:r>
              <w:rPr>
                <w:rFonts w:ascii="Calibri"/>
                <w:spacing w:val="-1"/>
                <w:sz w:val="18"/>
              </w:rPr>
              <w:t>least</w:t>
            </w:r>
            <w:r>
              <w:rPr>
                <w:rFonts w:ascii="Calibri"/>
                <w:spacing w:val="53"/>
                <w:w w:val="99"/>
                <w:sz w:val="18"/>
              </w:rPr>
              <w:t xml:space="preserve"> </w:t>
            </w:r>
            <w:r>
              <w:rPr>
                <w:rFonts w:ascii="Calibri"/>
                <w:sz w:val="18"/>
              </w:rPr>
              <w:t>one</w:t>
            </w:r>
            <w:r>
              <w:rPr>
                <w:rFonts w:ascii="Calibri"/>
                <w:spacing w:val="-6"/>
                <w:sz w:val="18"/>
              </w:rPr>
              <w:t xml:space="preserve"> </w:t>
            </w:r>
            <w:r>
              <w:rPr>
                <w:rFonts w:ascii="Calibri"/>
                <w:spacing w:val="-1"/>
                <w:sz w:val="18"/>
              </w:rPr>
              <w:t>quarter</w:t>
            </w:r>
            <w:r>
              <w:rPr>
                <w:rFonts w:ascii="Calibri"/>
                <w:spacing w:val="-5"/>
                <w:sz w:val="18"/>
              </w:rPr>
              <w:t xml:space="preserve"> </w:t>
            </w:r>
            <w:r>
              <w:rPr>
                <w:rFonts w:ascii="Calibri"/>
                <w:sz w:val="18"/>
              </w:rPr>
              <w:t>or</w:t>
            </w:r>
            <w:r>
              <w:rPr>
                <w:rFonts w:ascii="Calibri"/>
                <w:spacing w:val="-5"/>
                <w:sz w:val="18"/>
              </w:rPr>
              <w:t xml:space="preserve"> </w:t>
            </w:r>
            <w:r>
              <w:rPr>
                <w:rFonts w:ascii="Calibri"/>
                <w:sz w:val="18"/>
              </w:rPr>
              <w:t>more</w:t>
            </w:r>
            <w:r>
              <w:rPr>
                <w:rFonts w:ascii="Calibri"/>
                <w:spacing w:val="-5"/>
                <w:sz w:val="18"/>
              </w:rPr>
              <w:t xml:space="preserve"> </w:t>
            </w:r>
            <w:r>
              <w:rPr>
                <w:rFonts w:ascii="Calibri"/>
                <w:spacing w:val="-1"/>
                <w:sz w:val="18"/>
              </w:rPr>
              <w:t>later),</w:t>
            </w:r>
            <w:r>
              <w:rPr>
                <w:rFonts w:ascii="Calibri"/>
                <w:spacing w:val="-5"/>
                <w:sz w:val="18"/>
              </w:rPr>
              <w:t xml:space="preserve"> </w:t>
            </w:r>
            <w:r>
              <w:rPr>
                <w:rFonts w:ascii="Calibri"/>
                <w:spacing w:val="-1"/>
                <w:sz w:val="18"/>
              </w:rPr>
              <w:t>reminding</w:t>
            </w:r>
            <w:r>
              <w:rPr>
                <w:rFonts w:ascii="Calibri"/>
                <w:spacing w:val="-5"/>
                <w:sz w:val="18"/>
              </w:rPr>
              <w:t xml:space="preserve"> </w:t>
            </w:r>
            <w:r>
              <w:rPr>
                <w:rFonts w:ascii="Calibri"/>
                <w:sz w:val="18"/>
              </w:rPr>
              <w:t>them</w:t>
            </w:r>
            <w:r>
              <w:rPr>
                <w:rFonts w:ascii="Calibri"/>
                <w:spacing w:val="-4"/>
                <w:sz w:val="18"/>
              </w:rPr>
              <w:t xml:space="preserve"> </w:t>
            </w:r>
            <w:r>
              <w:rPr>
                <w:rFonts w:ascii="Calibri"/>
                <w:sz w:val="18"/>
              </w:rPr>
              <w:t>of</w:t>
            </w:r>
            <w:r>
              <w:rPr>
                <w:rFonts w:ascii="Calibri"/>
                <w:spacing w:val="29"/>
                <w:w w:val="99"/>
                <w:sz w:val="18"/>
              </w:rPr>
              <w:t xml:space="preserve"> </w:t>
            </w:r>
            <w:r>
              <w:rPr>
                <w:rFonts w:ascii="Calibri"/>
                <w:spacing w:val="-1"/>
                <w:sz w:val="18"/>
              </w:rPr>
              <w:t>recommendations</w:t>
            </w:r>
            <w:r>
              <w:rPr>
                <w:rFonts w:ascii="Calibri"/>
                <w:spacing w:val="-9"/>
                <w:sz w:val="18"/>
              </w:rPr>
              <w:t xml:space="preserve"> </w:t>
            </w:r>
            <w:r>
              <w:rPr>
                <w:rFonts w:ascii="Calibri"/>
                <w:sz w:val="18"/>
              </w:rPr>
              <w:t>made</w:t>
            </w:r>
            <w:r>
              <w:rPr>
                <w:rFonts w:ascii="Calibri"/>
                <w:spacing w:val="-9"/>
                <w:sz w:val="18"/>
              </w:rPr>
              <w:t xml:space="preserve"> </w:t>
            </w:r>
            <w:r>
              <w:rPr>
                <w:rFonts w:ascii="Calibri"/>
                <w:spacing w:val="-1"/>
                <w:sz w:val="18"/>
              </w:rPr>
              <w:t>and</w:t>
            </w:r>
            <w:r>
              <w:rPr>
                <w:rFonts w:ascii="Calibri"/>
                <w:spacing w:val="-7"/>
                <w:sz w:val="18"/>
              </w:rPr>
              <w:t xml:space="preserve"> </w:t>
            </w:r>
            <w:r>
              <w:rPr>
                <w:rFonts w:ascii="Calibri"/>
                <w:spacing w:val="-1"/>
                <w:sz w:val="18"/>
              </w:rPr>
              <w:t>rebate</w:t>
            </w:r>
            <w:r>
              <w:rPr>
                <w:rFonts w:ascii="Calibri"/>
                <w:spacing w:val="-9"/>
                <w:sz w:val="18"/>
              </w:rPr>
              <w:t xml:space="preserve"> </w:t>
            </w:r>
            <w:r>
              <w:rPr>
                <w:rFonts w:ascii="Calibri"/>
                <w:spacing w:val="-1"/>
                <w:sz w:val="18"/>
              </w:rPr>
              <w:t>opportunities</w:t>
            </w:r>
            <w:r>
              <w:rPr>
                <w:rFonts w:ascii="Calibri"/>
                <w:spacing w:val="-9"/>
                <w:sz w:val="18"/>
              </w:rPr>
              <w:t xml:space="preserve"> </w:t>
            </w:r>
            <w:r>
              <w:rPr>
                <w:rFonts w:ascii="Calibri"/>
                <w:spacing w:val="-1"/>
                <w:sz w:val="18"/>
              </w:rPr>
              <w:t>available</w:t>
            </w:r>
            <w:r>
              <w:rPr>
                <w:rFonts w:ascii="Calibri"/>
                <w:spacing w:val="67"/>
                <w:w w:val="99"/>
                <w:sz w:val="18"/>
              </w:rPr>
              <w:t xml:space="preserve"> </w:t>
            </w:r>
            <w:r>
              <w:rPr>
                <w:rFonts w:ascii="Calibri"/>
                <w:spacing w:val="-1"/>
                <w:sz w:val="18"/>
              </w:rPr>
              <w:t>through</w:t>
            </w:r>
            <w:r>
              <w:rPr>
                <w:rFonts w:ascii="Calibri"/>
                <w:spacing w:val="-6"/>
                <w:sz w:val="18"/>
              </w:rPr>
              <w:t xml:space="preserve"> </w:t>
            </w:r>
            <w:r>
              <w:rPr>
                <w:rFonts w:ascii="Calibri"/>
                <w:sz w:val="18"/>
              </w:rPr>
              <w:t>REEP</w:t>
            </w:r>
            <w:r>
              <w:rPr>
                <w:rFonts w:ascii="Calibri"/>
                <w:spacing w:val="-4"/>
                <w:sz w:val="18"/>
              </w:rPr>
              <w:t xml:space="preserve"> </w:t>
            </w:r>
            <w:r>
              <w:rPr>
                <w:rFonts w:ascii="Calibri"/>
                <w:spacing w:val="-1"/>
                <w:sz w:val="18"/>
              </w:rPr>
              <w:t>if</w:t>
            </w:r>
            <w:r>
              <w:rPr>
                <w:rFonts w:ascii="Calibri"/>
                <w:spacing w:val="-4"/>
                <w:sz w:val="18"/>
              </w:rPr>
              <w:t xml:space="preserve"> </w:t>
            </w:r>
            <w:r>
              <w:rPr>
                <w:rFonts w:ascii="Calibri"/>
                <w:spacing w:val="-1"/>
                <w:sz w:val="18"/>
              </w:rPr>
              <w:t>they</w:t>
            </w:r>
            <w:r>
              <w:rPr>
                <w:rFonts w:ascii="Calibri"/>
                <w:spacing w:val="-4"/>
                <w:sz w:val="18"/>
              </w:rPr>
              <w:t xml:space="preserve"> </w:t>
            </w:r>
            <w:r>
              <w:rPr>
                <w:rFonts w:ascii="Calibri"/>
                <w:spacing w:val="-1"/>
                <w:sz w:val="18"/>
              </w:rPr>
              <w:t>have</w:t>
            </w:r>
            <w:r>
              <w:rPr>
                <w:rFonts w:ascii="Calibri"/>
                <w:spacing w:val="-2"/>
                <w:sz w:val="18"/>
              </w:rPr>
              <w:t xml:space="preserve"> </w:t>
            </w:r>
            <w:r>
              <w:rPr>
                <w:rFonts w:ascii="Calibri"/>
                <w:sz w:val="18"/>
              </w:rPr>
              <w:t>not</w:t>
            </w:r>
            <w:r>
              <w:rPr>
                <w:rFonts w:ascii="Calibri"/>
                <w:spacing w:val="-5"/>
                <w:sz w:val="18"/>
              </w:rPr>
              <w:t xml:space="preserve"> </w:t>
            </w:r>
            <w:r>
              <w:rPr>
                <w:rFonts w:ascii="Calibri"/>
                <w:spacing w:val="-1"/>
                <w:sz w:val="18"/>
              </w:rPr>
              <w:t>participated</w:t>
            </w:r>
            <w:r>
              <w:rPr>
                <w:rFonts w:ascii="Calibri"/>
                <w:spacing w:val="-5"/>
                <w:sz w:val="18"/>
              </w:rPr>
              <w:t xml:space="preserve"> </w:t>
            </w:r>
            <w:r>
              <w:rPr>
                <w:rFonts w:ascii="Calibri"/>
                <w:sz w:val="18"/>
              </w:rPr>
              <w:t>as</w:t>
            </w:r>
            <w:r>
              <w:rPr>
                <w:rFonts w:ascii="Calibri"/>
                <w:spacing w:val="37"/>
                <w:w w:val="99"/>
                <w:sz w:val="18"/>
              </w:rPr>
              <w:t xml:space="preserve"> </w:t>
            </w:r>
            <w:r>
              <w:rPr>
                <w:rFonts w:ascii="Calibri"/>
                <w:spacing w:val="-1"/>
                <w:sz w:val="18"/>
              </w:rPr>
              <w:t>recommended.</w:t>
            </w:r>
            <w:r>
              <w:rPr>
                <w:rFonts w:ascii="Calibri"/>
                <w:spacing w:val="-5"/>
                <w:sz w:val="18"/>
              </w:rPr>
              <w:t xml:space="preserve"> </w:t>
            </w:r>
            <w:r>
              <w:rPr>
                <w:rFonts w:ascii="Calibri"/>
                <w:spacing w:val="-1"/>
                <w:sz w:val="18"/>
              </w:rPr>
              <w:t>Also,</w:t>
            </w:r>
            <w:r>
              <w:rPr>
                <w:rFonts w:ascii="Calibri"/>
                <w:spacing w:val="-7"/>
                <w:sz w:val="18"/>
              </w:rPr>
              <w:t xml:space="preserve"> </w:t>
            </w:r>
            <w:r>
              <w:rPr>
                <w:rFonts w:ascii="Calibri"/>
                <w:spacing w:val="-1"/>
                <w:sz w:val="18"/>
              </w:rPr>
              <w:t>consider</w:t>
            </w:r>
            <w:r>
              <w:rPr>
                <w:rFonts w:ascii="Calibri"/>
                <w:spacing w:val="-7"/>
                <w:sz w:val="18"/>
              </w:rPr>
              <w:t xml:space="preserve"> </w:t>
            </w:r>
            <w:r>
              <w:rPr>
                <w:rFonts w:ascii="Calibri"/>
                <w:spacing w:val="-1"/>
                <w:sz w:val="18"/>
              </w:rPr>
              <w:t>conducting</w:t>
            </w:r>
            <w:r>
              <w:rPr>
                <w:rFonts w:ascii="Calibri"/>
                <w:spacing w:val="-8"/>
                <w:sz w:val="18"/>
              </w:rPr>
              <w:t xml:space="preserve"> </w:t>
            </w:r>
            <w:r>
              <w:rPr>
                <w:rFonts w:ascii="Calibri"/>
                <w:spacing w:val="-1"/>
                <w:sz w:val="18"/>
              </w:rPr>
              <w:t>regular</w:t>
            </w:r>
            <w:r>
              <w:rPr>
                <w:rFonts w:ascii="Calibri"/>
                <w:spacing w:val="-4"/>
                <w:sz w:val="18"/>
              </w:rPr>
              <w:t xml:space="preserve"> </w:t>
            </w:r>
            <w:r>
              <w:rPr>
                <w:rFonts w:ascii="Calibri"/>
                <w:spacing w:val="-1"/>
                <w:sz w:val="18"/>
              </w:rPr>
              <w:t>reviews</w:t>
            </w:r>
            <w:r>
              <w:rPr>
                <w:rFonts w:ascii="Calibri"/>
                <w:spacing w:val="-8"/>
                <w:sz w:val="18"/>
              </w:rPr>
              <w:t xml:space="preserve"> </w:t>
            </w:r>
            <w:r>
              <w:rPr>
                <w:rFonts w:ascii="Calibri"/>
                <w:sz w:val="18"/>
              </w:rPr>
              <w:t>of</w:t>
            </w:r>
            <w:r>
              <w:rPr>
                <w:rFonts w:ascii="Calibri"/>
                <w:spacing w:val="63"/>
                <w:w w:val="99"/>
                <w:sz w:val="18"/>
              </w:rPr>
              <w:t xml:space="preserve"> </w:t>
            </w:r>
            <w:r>
              <w:rPr>
                <w:rFonts w:ascii="Calibri"/>
                <w:spacing w:val="-1"/>
                <w:sz w:val="18"/>
              </w:rPr>
              <w:t>program</w:t>
            </w:r>
            <w:r>
              <w:rPr>
                <w:rFonts w:ascii="Calibri"/>
                <w:spacing w:val="-6"/>
                <w:sz w:val="18"/>
              </w:rPr>
              <w:t xml:space="preserve"> </w:t>
            </w:r>
            <w:r>
              <w:rPr>
                <w:rFonts w:ascii="Calibri"/>
                <w:spacing w:val="-1"/>
                <w:sz w:val="18"/>
              </w:rPr>
              <w:t>tracking</w:t>
            </w:r>
            <w:r>
              <w:rPr>
                <w:rFonts w:ascii="Calibri"/>
                <w:spacing w:val="-4"/>
                <w:sz w:val="18"/>
              </w:rPr>
              <w:t xml:space="preserve"> </w:t>
            </w:r>
            <w:r>
              <w:rPr>
                <w:rFonts w:ascii="Calibri"/>
                <w:spacing w:val="-1"/>
                <w:sz w:val="18"/>
              </w:rPr>
              <w:t>data</w:t>
            </w:r>
            <w:r>
              <w:rPr>
                <w:rFonts w:ascii="Calibri"/>
                <w:spacing w:val="-6"/>
                <w:sz w:val="18"/>
              </w:rPr>
              <w:t xml:space="preserve"> </w:t>
            </w:r>
            <w:r>
              <w:rPr>
                <w:rFonts w:ascii="Calibri"/>
                <w:spacing w:val="-1"/>
                <w:sz w:val="18"/>
              </w:rPr>
              <w:t>to</w:t>
            </w:r>
            <w:r>
              <w:rPr>
                <w:rFonts w:ascii="Calibri"/>
                <w:spacing w:val="-5"/>
                <w:sz w:val="18"/>
              </w:rPr>
              <w:t xml:space="preserve"> </w:t>
            </w:r>
            <w:r>
              <w:rPr>
                <w:rFonts w:ascii="Calibri"/>
                <w:spacing w:val="-1"/>
                <w:sz w:val="18"/>
              </w:rPr>
              <w:t>understand</w:t>
            </w:r>
            <w:r>
              <w:rPr>
                <w:rFonts w:ascii="Calibri"/>
                <w:spacing w:val="-6"/>
                <w:sz w:val="18"/>
              </w:rPr>
              <w:t xml:space="preserve"> </w:t>
            </w:r>
            <w:r>
              <w:rPr>
                <w:rFonts w:ascii="Calibri"/>
                <w:sz w:val="18"/>
              </w:rPr>
              <w:t>REEP</w:t>
            </w:r>
            <w:r>
              <w:rPr>
                <w:rFonts w:ascii="Calibri"/>
                <w:spacing w:val="-6"/>
                <w:sz w:val="18"/>
              </w:rPr>
              <w:t xml:space="preserve"> </w:t>
            </w:r>
            <w:r>
              <w:rPr>
                <w:rFonts w:ascii="Calibri"/>
                <w:spacing w:val="-1"/>
                <w:sz w:val="18"/>
              </w:rPr>
              <w:t>Rebate</w:t>
            </w:r>
            <w:r>
              <w:rPr>
                <w:rFonts w:ascii="Calibri"/>
                <w:spacing w:val="-7"/>
                <w:sz w:val="18"/>
              </w:rPr>
              <w:t xml:space="preserve"> </w:t>
            </w:r>
            <w:r>
              <w:rPr>
                <w:rFonts w:ascii="Calibri"/>
                <w:spacing w:val="-1"/>
                <w:sz w:val="18"/>
              </w:rPr>
              <w:t>adoption</w:t>
            </w:r>
            <w:r>
              <w:rPr>
                <w:rFonts w:ascii="Calibri"/>
                <w:spacing w:val="59"/>
                <w:w w:val="99"/>
                <w:sz w:val="18"/>
              </w:rPr>
              <w:t xml:space="preserve"> </w:t>
            </w:r>
            <w:r>
              <w:rPr>
                <w:rFonts w:ascii="Calibri"/>
                <w:spacing w:val="-1"/>
                <w:sz w:val="18"/>
              </w:rPr>
              <w:t>rates</w:t>
            </w:r>
            <w:r>
              <w:rPr>
                <w:rFonts w:ascii="Calibri"/>
                <w:spacing w:val="-7"/>
                <w:sz w:val="18"/>
              </w:rPr>
              <w:t xml:space="preserve"> </w:t>
            </w:r>
            <w:r>
              <w:rPr>
                <w:rFonts w:ascii="Calibri"/>
                <w:sz w:val="18"/>
              </w:rPr>
              <w:t>among</w:t>
            </w:r>
            <w:r>
              <w:rPr>
                <w:rFonts w:ascii="Calibri"/>
                <w:spacing w:val="-6"/>
                <w:sz w:val="18"/>
              </w:rPr>
              <w:t xml:space="preserve"> </w:t>
            </w:r>
            <w:r>
              <w:rPr>
                <w:rFonts w:ascii="Calibri"/>
                <w:sz w:val="18"/>
              </w:rPr>
              <w:t>WHEAP</w:t>
            </w:r>
            <w:r>
              <w:rPr>
                <w:rFonts w:ascii="Calibri"/>
                <w:spacing w:val="-6"/>
                <w:sz w:val="18"/>
              </w:rPr>
              <w:t xml:space="preserve"> </w:t>
            </w:r>
            <w:r>
              <w:rPr>
                <w:rFonts w:ascii="Calibri"/>
                <w:spacing w:val="-1"/>
                <w:sz w:val="18"/>
              </w:rPr>
              <w:t>participants</w:t>
            </w:r>
            <w:r>
              <w:rPr>
                <w:rFonts w:ascii="Calibri"/>
                <w:spacing w:val="-4"/>
                <w:sz w:val="18"/>
              </w:rPr>
              <w:t xml:space="preserve"> </w:t>
            </w:r>
            <w:r>
              <w:rPr>
                <w:rFonts w:ascii="Calibri"/>
                <w:spacing w:val="-1"/>
                <w:sz w:val="18"/>
              </w:rPr>
              <w:t>after</w:t>
            </w:r>
            <w:r>
              <w:rPr>
                <w:rFonts w:ascii="Calibri"/>
                <w:spacing w:val="-7"/>
                <w:sz w:val="18"/>
              </w:rPr>
              <w:t xml:space="preserve"> </w:t>
            </w:r>
            <w:r>
              <w:rPr>
                <w:rFonts w:ascii="Calibri"/>
                <w:spacing w:val="-1"/>
                <w:sz w:val="18"/>
              </w:rPr>
              <w:t>they</w:t>
            </w:r>
            <w:r>
              <w:rPr>
                <w:rFonts w:ascii="Calibri"/>
                <w:spacing w:val="-5"/>
                <w:sz w:val="18"/>
              </w:rPr>
              <w:t xml:space="preserve"> </w:t>
            </w:r>
            <w:r>
              <w:rPr>
                <w:rFonts w:ascii="Calibri"/>
                <w:sz w:val="18"/>
              </w:rPr>
              <w:t>have</w:t>
            </w:r>
            <w:r>
              <w:rPr>
                <w:rFonts w:ascii="Calibri"/>
                <w:spacing w:val="29"/>
                <w:w w:val="99"/>
                <w:sz w:val="18"/>
              </w:rPr>
              <w:t xml:space="preserve"> </w:t>
            </w:r>
            <w:r>
              <w:rPr>
                <w:rFonts w:ascii="Calibri"/>
                <w:spacing w:val="-1"/>
                <w:sz w:val="18"/>
              </w:rPr>
              <w:t>participated</w:t>
            </w:r>
            <w:r>
              <w:rPr>
                <w:rFonts w:ascii="Calibri"/>
                <w:spacing w:val="-9"/>
                <w:sz w:val="18"/>
              </w:rPr>
              <w:t xml:space="preserve"> </w:t>
            </w:r>
            <w:r>
              <w:rPr>
                <w:rFonts w:ascii="Calibri"/>
                <w:sz w:val="18"/>
              </w:rPr>
              <w:t>in</w:t>
            </w:r>
            <w:r>
              <w:rPr>
                <w:rFonts w:ascii="Calibri"/>
                <w:spacing w:val="-9"/>
                <w:sz w:val="18"/>
              </w:rPr>
              <w:t xml:space="preserve"> </w:t>
            </w:r>
            <w:r>
              <w:rPr>
                <w:rFonts w:ascii="Calibri"/>
                <w:sz w:val="18"/>
              </w:rPr>
              <w:t>WHEAP.</w:t>
            </w:r>
          </w:p>
        </w:tc>
        <w:tc>
          <w:tcPr>
            <w:tcW w:w="4680" w:type="dxa"/>
            <w:shd w:val="clear" w:color="auto" w:fill="D2EAF1"/>
          </w:tcPr>
          <w:p w:rsidR="00E646C9" w:rsidRDefault="00E646C9" w:rsidP="00C94D5A">
            <w:pPr>
              <w:pStyle w:val="TableParagraph"/>
              <w:ind w:left="97"/>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bl>
    <w:p w:rsidR="00E646C9" w:rsidRPr="00E646C9" w:rsidRDefault="00E646C9" w:rsidP="00E646C9"/>
    <w:p w:rsidR="00E646C9" w:rsidRPr="00E646C9" w:rsidRDefault="00E646C9" w:rsidP="00E646C9">
      <w:pPr>
        <w:pStyle w:val="AppendixGHeading2"/>
      </w:pPr>
      <w:r w:rsidRPr="00E646C9">
        <w:t>Home Energy Reports (HER)</w:t>
      </w:r>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704"/>
        </w:trPr>
        <w:tc>
          <w:tcPr>
            <w:tcW w:w="4680" w:type="dxa"/>
            <w:shd w:val="clear" w:color="auto" w:fill="438A99"/>
          </w:tcPr>
          <w:p w:rsidR="00E646C9" w:rsidRDefault="00E646C9" w:rsidP="004D470A">
            <w:pPr>
              <w:pStyle w:val="TableParagraph"/>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E646C9">
        <w:trPr>
          <w:trHeight w:hRule="exact" w:val="679"/>
        </w:trPr>
        <w:tc>
          <w:tcPr>
            <w:tcW w:w="4680" w:type="dxa"/>
            <w:shd w:val="clear" w:color="auto" w:fill="D2EAF1"/>
          </w:tcPr>
          <w:p w:rsidR="00E646C9" w:rsidRDefault="00E646C9" w:rsidP="00C94D5A">
            <w:pPr>
              <w:pStyle w:val="TableParagraph"/>
              <w:spacing w:line="218"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spacing w:before="1"/>
              <w:ind w:left="97" w:right="376"/>
              <w:rPr>
                <w:rFonts w:ascii="Calibri" w:eastAsia="Calibri" w:hAnsi="Calibri" w:cs="Calibri"/>
                <w:sz w:val="18"/>
                <w:szCs w:val="18"/>
              </w:rPr>
            </w:pPr>
            <w:r>
              <w:rPr>
                <w:rFonts w:ascii="Calibri"/>
                <w:spacing w:val="-1"/>
                <w:sz w:val="18"/>
              </w:rPr>
              <w:t>No</w:t>
            </w:r>
            <w:r>
              <w:rPr>
                <w:rFonts w:ascii="Calibri"/>
                <w:spacing w:val="-4"/>
                <w:sz w:val="18"/>
              </w:rPr>
              <w:t xml:space="preserve"> </w:t>
            </w:r>
            <w:r>
              <w:rPr>
                <w:rFonts w:ascii="Calibri"/>
                <w:spacing w:val="-1"/>
                <w:sz w:val="18"/>
              </w:rPr>
              <w:t>recommendations</w:t>
            </w:r>
            <w:r>
              <w:rPr>
                <w:rFonts w:ascii="Calibri"/>
                <w:spacing w:val="-6"/>
                <w:sz w:val="18"/>
              </w:rPr>
              <w:t xml:space="preserve"> </w:t>
            </w:r>
            <w:r>
              <w:rPr>
                <w:rFonts w:ascii="Calibri"/>
                <w:sz w:val="18"/>
              </w:rPr>
              <w:t>for</w:t>
            </w:r>
            <w:r>
              <w:rPr>
                <w:rFonts w:ascii="Calibri"/>
                <w:spacing w:val="-6"/>
                <w:sz w:val="18"/>
              </w:rPr>
              <w:t xml:space="preserve"> </w:t>
            </w:r>
            <w:r>
              <w:rPr>
                <w:rFonts w:ascii="Calibri"/>
                <w:sz w:val="18"/>
              </w:rPr>
              <w:t>the</w:t>
            </w:r>
            <w:r>
              <w:rPr>
                <w:rFonts w:ascii="Calibri"/>
                <w:spacing w:val="-6"/>
                <w:sz w:val="18"/>
              </w:rPr>
              <w:t xml:space="preserve"> </w:t>
            </w:r>
            <w:r>
              <w:rPr>
                <w:rFonts w:ascii="Calibri"/>
                <w:sz w:val="18"/>
              </w:rPr>
              <w:t>HER</w:t>
            </w:r>
            <w:r>
              <w:rPr>
                <w:rFonts w:ascii="Calibri"/>
                <w:spacing w:val="-4"/>
                <w:sz w:val="18"/>
              </w:rPr>
              <w:t xml:space="preserve"> </w:t>
            </w:r>
            <w:r>
              <w:rPr>
                <w:rFonts w:ascii="Calibri"/>
                <w:spacing w:val="-1"/>
                <w:sz w:val="18"/>
              </w:rPr>
              <w:t>program</w:t>
            </w:r>
            <w:r>
              <w:rPr>
                <w:rFonts w:ascii="Calibri"/>
                <w:spacing w:val="-5"/>
                <w:sz w:val="18"/>
              </w:rPr>
              <w:t xml:space="preserve"> </w:t>
            </w:r>
            <w:r>
              <w:rPr>
                <w:rFonts w:ascii="Calibri"/>
                <w:spacing w:val="-1"/>
                <w:sz w:val="18"/>
              </w:rPr>
              <w:t>are</w:t>
            </w:r>
            <w:r>
              <w:rPr>
                <w:rFonts w:ascii="Calibri"/>
                <w:spacing w:val="-6"/>
                <w:sz w:val="18"/>
              </w:rPr>
              <w:t xml:space="preserve"> </w:t>
            </w:r>
            <w:r>
              <w:rPr>
                <w:rFonts w:ascii="Calibri"/>
                <w:spacing w:val="-1"/>
                <w:sz w:val="18"/>
              </w:rPr>
              <w:t>offered</w:t>
            </w:r>
            <w:r>
              <w:rPr>
                <w:rFonts w:ascii="Calibri"/>
                <w:spacing w:val="-6"/>
                <w:sz w:val="18"/>
              </w:rPr>
              <w:t xml:space="preserve"> </w:t>
            </w:r>
            <w:r>
              <w:rPr>
                <w:rFonts w:ascii="Calibri"/>
                <w:sz w:val="18"/>
              </w:rPr>
              <w:t>at</w:t>
            </w:r>
            <w:r>
              <w:rPr>
                <w:rFonts w:ascii="Calibri"/>
                <w:spacing w:val="47"/>
                <w:w w:val="99"/>
                <w:sz w:val="18"/>
              </w:rPr>
              <w:t xml:space="preserve"> </w:t>
            </w:r>
            <w:r>
              <w:rPr>
                <w:rFonts w:ascii="Calibri"/>
                <w:spacing w:val="-1"/>
                <w:sz w:val="18"/>
              </w:rPr>
              <w:t>this</w:t>
            </w:r>
            <w:r>
              <w:rPr>
                <w:rFonts w:ascii="Calibri"/>
                <w:spacing w:val="-7"/>
                <w:sz w:val="18"/>
              </w:rPr>
              <w:t xml:space="preserve"> </w:t>
            </w:r>
            <w:r>
              <w:rPr>
                <w:rFonts w:ascii="Calibri"/>
                <w:spacing w:val="-1"/>
                <w:sz w:val="18"/>
              </w:rPr>
              <w:t>time.</w:t>
            </w:r>
          </w:p>
        </w:tc>
        <w:tc>
          <w:tcPr>
            <w:tcW w:w="4680" w:type="dxa"/>
            <w:shd w:val="clear" w:color="auto" w:fill="D2EAF1"/>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N/A</w:t>
            </w:r>
          </w:p>
        </w:tc>
      </w:tr>
    </w:tbl>
    <w:p w:rsidR="00E646C9" w:rsidRPr="00E646C9" w:rsidRDefault="00E646C9" w:rsidP="00E646C9"/>
    <w:p w:rsidR="00E646C9" w:rsidRPr="00E646C9" w:rsidRDefault="00E646C9" w:rsidP="00E646C9">
      <w:pPr>
        <w:pStyle w:val="AppendixGHeading2"/>
      </w:pPr>
      <w:r w:rsidRPr="00E646C9">
        <w:t xml:space="preserve">Low-Income Energy Efficiency Program </w:t>
      </w:r>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713"/>
        </w:trPr>
        <w:tc>
          <w:tcPr>
            <w:tcW w:w="4680" w:type="dxa"/>
            <w:shd w:val="clear" w:color="auto" w:fill="438A99"/>
          </w:tcPr>
          <w:p w:rsidR="00E646C9" w:rsidRDefault="00E646C9" w:rsidP="004D470A">
            <w:pPr>
              <w:pStyle w:val="TableParagraph"/>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E646C9">
        <w:trPr>
          <w:trHeight w:hRule="exact" w:val="2657"/>
        </w:trPr>
        <w:tc>
          <w:tcPr>
            <w:tcW w:w="4680" w:type="dxa"/>
            <w:shd w:val="clear" w:color="auto" w:fill="D2EAF1"/>
          </w:tcPr>
          <w:p w:rsidR="00E646C9" w:rsidRDefault="00E646C9" w:rsidP="00C94D5A">
            <w:pPr>
              <w:pStyle w:val="TableParagraph"/>
              <w:spacing w:line="219"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ind w:left="97" w:right="123"/>
              <w:rPr>
                <w:rFonts w:ascii="Calibri" w:eastAsia="Calibri" w:hAnsi="Calibri" w:cs="Calibri"/>
                <w:sz w:val="18"/>
                <w:szCs w:val="18"/>
              </w:rPr>
            </w:pPr>
            <w:r>
              <w:rPr>
                <w:rFonts w:ascii="Calibri"/>
                <w:spacing w:val="-1"/>
                <w:sz w:val="18"/>
              </w:rPr>
              <w:t>For</w:t>
            </w:r>
            <w:r>
              <w:rPr>
                <w:rFonts w:ascii="Calibri"/>
                <w:spacing w:val="-6"/>
                <w:sz w:val="18"/>
              </w:rPr>
              <w:t xml:space="preserve"> </w:t>
            </w:r>
            <w:r>
              <w:rPr>
                <w:rFonts w:ascii="Calibri"/>
                <w:spacing w:val="-1"/>
                <w:sz w:val="18"/>
              </w:rPr>
              <w:t>fulfillments</w:t>
            </w:r>
            <w:r>
              <w:rPr>
                <w:rFonts w:ascii="Calibri"/>
                <w:spacing w:val="-6"/>
                <w:sz w:val="18"/>
              </w:rPr>
              <w:t xml:space="preserve"> </w:t>
            </w:r>
            <w:r>
              <w:rPr>
                <w:rFonts w:ascii="Calibri"/>
                <w:sz w:val="18"/>
              </w:rPr>
              <w:t>through</w:t>
            </w:r>
            <w:r>
              <w:rPr>
                <w:rFonts w:ascii="Calibri"/>
                <w:spacing w:val="-6"/>
                <w:sz w:val="18"/>
              </w:rPr>
              <w:t xml:space="preserve"> </w:t>
            </w:r>
            <w:r>
              <w:rPr>
                <w:rFonts w:ascii="Calibri"/>
                <w:sz w:val="18"/>
              </w:rPr>
              <w:t>WHEAP,</w:t>
            </w:r>
            <w:r>
              <w:rPr>
                <w:rFonts w:ascii="Calibri"/>
                <w:spacing w:val="-7"/>
                <w:sz w:val="18"/>
              </w:rPr>
              <w:t xml:space="preserve"> </w:t>
            </w:r>
            <w:r>
              <w:rPr>
                <w:rFonts w:ascii="Calibri"/>
                <w:spacing w:val="-1"/>
                <w:sz w:val="18"/>
              </w:rPr>
              <w:t>Duquesne</w:t>
            </w:r>
            <w:r>
              <w:rPr>
                <w:rFonts w:ascii="Calibri"/>
                <w:spacing w:val="-5"/>
                <w:sz w:val="18"/>
              </w:rPr>
              <w:t xml:space="preserve"> </w:t>
            </w:r>
            <w:r>
              <w:rPr>
                <w:rFonts w:ascii="Calibri"/>
                <w:spacing w:val="-1"/>
                <w:sz w:val="18"/>
              </w:rPr>
              <w:t>Light</w:t>
            </w:r>
            <w:r>
              <w:rPr>
                <w:rFonts w:ascii="Calibri"/>
                <w:spacing w:val="-6"/>
                <w:sz w:val="18"/>
              </w:rPr>
              <w:t xml:space="preserve"> </w:t>
            </w:r>
            <w:r>
              <w:rPr>
                <w:rFonts w:ascii="Calibri"/>
                <w:sz w:val="18"/>
              </w:rPr>
              <w:t>was</w:t>
            </w:r>
            <w:r>
              <w:rPr>
                <w:rFonts w:ascii="Calibri"/>
                <w:spacing w:val="-5"/>
                <w:sz w:val="18"/>
              </w:rPr>
              <w:t xml:space="preserve"> </w:t>
            </w:r>
            <w:r>
              <w:rPr>
                <w:rFonts w:ascii="Calibri"/>
                <w:sz w:val="18"/>
              </w:rPr>
              <w:t>able</w:t>
            </w:r>
            <w:r>
              <w:rPr>
                <w:rFonts w:ascii="Calibri"/>
                <w:spacing w:val="-6"/>
                <w:sz w:val="18"/>
              </w:rPr>
              <w:t xml:space="preserve"> </w:t>
            </w:r>
            <w:r>
              <w:rPr>
                <w:rFonts w:ascii="Calibri"/>
                <w:spacing w:val="-1"/>
                <w:sz w:val="18"/>
              </w:rPr>
              <w:t>to</w:t>
            </w:r>
            <w:r>
              <w:rPr>
                <w:rFonts w:ascii="Calibri"/>
                <w:spacing w:val="41"/>
                <w:w w:val="99"/>
                <w:sz w:val="18"/>
              </w:rPr>
              <w:t xml:space="preserve"> </w:t>
            </w:r>
            <w:r>
              <w:rPr>
                <w:rFonts w:ascii="Calibri"/>
                <w:spacing w:val="-1"/>
                <w:sz w:val="18"/>
              </w:rPr>
              <w:t>maintain</w:t>
            </w:r>
            <w:r>
              <w:rPr>
                <w:rFonts w:ascii="Calibri"/>
                <w:spacing w:val="-8"/>
                <w:sz w:val="18"/>
              </w:rPr>
              <w:t xml:space="preserve"> </w:t>
            </w:r>
            <w:r>
              <w:rPr>
                <w:rFonts w:ascii="Calibri"/>
                <w:spacing w:val="-1"/>
                <w:sz w:val="18"/>
              </w:rPr>
              <w:t>refrigerator</w:t>
            </w:r>
            <w:r>
              <w:rPr>
                <w:rFonts w:ascii="Calibri"/>
                <w:spacing w:val="-7"/>
                <w:sz w:val="18"/>
              </w:rPr>
              <w:t xml:space="preserve"> </w:t>
            </w:r>
            <w:r>
              <w:rPr>
                <w:rFonts w:ascii="Calibri"/>
                <w:spacing w:val="-1"/>
                <w:sz w:val="18"/>
              </w:rPr>
              <w:t>replacement</w:t>
            </w:r>
            <w:r>
              <w:rPr>
                <w:rFonts w:ascii="Calibri"/>
                <w:spacing w:val="-7"/>
                <w:sz w:val="18"/>
              </w:rPr>
              <w:t xml:space="preserve"> </w:t>
            </w:r>
            <w:r>
              <w:rPr>
                <w:rFonts w:ascii="Calibri"/>
                <w:spacing w:val="-1"/>
                <w:sz w:val="18"/>
              </w:rPr>
              <w:t>lead</w:t>
            </w:r>
            <w:r>
              <w:rPr>
                <w:rFonts w:ascii="Calibri"/>
                <w:spacing w:val="-7"/>
                <w:sz w:val="18"/>
              </w:rPr>
              <w:t xml:space="preserve"> </w:t>
            </w:r>
            <w:r>
              <w:rPr>
                <w:rFonts w:ascii="Calibri"/>
                <w:spacing w:val="-1"/>
                <w:sz w:val="18"/>
              </w:rPr>
              <w:t>times,</w:t>
            </w:r>
            <w:r>
              <w:rPr>
                <w:rFonts w:ascii="Calibri"/>
                <w:spacing w:val="-7"/>
                <w:sz w:val="18"/>
              </w:rPr>
              <w:t xml:space="preserve"> </w:t>
            </w:r>
            <w:r>
              <w:rPr>
                <w:rFonts w:ascii="Calibri"/>
                <w:spacing w:val="-1"/>
                <w:sz w:val="18"/>
              </w:rPr>
              <w:t>but</w:t>
            </w:r>
            <w:r>
              <w:rPr>
                <w:rFonts w:ascii="Calibri"/>
                <w:spacing w:val="-5"/>
                <w:sz w:val="18"/>
              </w:rPr>
              <w:t xml:space="preserve"> </w:t>
            </w:r>
            <w:r>
              <w:rPr>
                <w:rFonts w:ascii="Calibri"/>
                <w:spacing w:val="-1"/>
                <w:sz w:val="18"/>
              </w:rPr>
              <w:t>Navigant</w:t>
            </w:r>
            <w:r>
              <w:rPr>
                <w:rFonts w:ascii="Calibri"/>
                <w:spacing w:val="71"/>
                <w:w w:val="99"/>
                <w:sz w:val="18"/>
              </w:rPr>
              <w:t xml:space="preserve"> </w:t>
            </w:r>
            <w:r>
              <w:rPr>
                <w:rFonts w:ascii="Calibri"/>
                <w:spacing w:val="-1"/>
                <w:sz w:val="18"/>
              </w:rPr>
              <w:t>notes</w:t>
            </w:r>
            <w:r>
              <w:rPr>
                <w:rFonts w:ascii="Calibri"/>
                <w:spacing w:val="-6"/>
                <w:sz w:val="18"/>
              </w:rPr>
              <w:t xml:space="preserve"> </w:t>
            </w:r>
            <w:r>
              <w:rPr>
                <w:rFonts w:ascii="Calibri"/>
                <w:spacing w:val="-1"/>
                <w:sz w:val="18"/>
              </w:rPr>
              <w:t>that</w:t>
            </w:r>
            <w:r>
              <w:rPr>
                <w:rFonts w:ascii="Calibri"/>
                <w:spacing w:val="-6"/>
                <w:sz w:val="18"/>
              </w:rPr>
              <w:t xml:space="preserve"> </w:t>
            </w:r>
            <w:r>
              <w:rPr>
                <w:rFonts w:ascii="Calibri"/>
                <w:sz w:val="18"/>
              </w:rPr>
              <w:t>the</w:t>
            </w:r>
            <w:r>
              <w:rPr>
                <w:rFonts w:ascii="Calibri"/>
                <w:spacing w:val="-6"/>
                <w:sz w:val="18"/>
              </w:rPr>
              <w:t xml:space="preserve"> </w:t>
            </w:r>
            <w:r>
              <w:rPr>
                <w:rFonts w:ascii="Calibri"/>
                <w:spacing w:val="-1"/>
                <w:sz w:val="18"/>
              </w:rPr>
              <w:t>program</w:t>
            </w:r>
            <w:r>
              <w:rPr>
                <w:rFonts w:ascii="Calibri"/>
                <w:spacing w:val="-5"/>
                <w:sz w:val="18"/>
              </w:rPr>
              <w:t xml:space="preserve"> </w:t>
            </w:r>
            <w:r>
              <w:rPr>
                <w:rFonts w:ascii="Calibri"/>
                <w:spacing w:val="-1"/>
                <w:sz w:val="18"/>
              </w:rPr>
              <w:t>activities</w:t>
            </w:r>
            <w:r>
              <w:rPr>
                <w:rFonts w:ascii="Calibri"/>
                <w:spacing w:val="-4"/>
                <w:sz w:val="18"/>
              </w:rPr>
              <w:t xml:space="preserve"> </w:t>
            </w:r>
            <w:r>
              <w:rPr>
                <w:rFonts w:ascii="Calibri"/>
                <w:spacing w:val="-1"/>
                <w:sz w:val="18"/>
              </w:rPr>
              <w:t>were</w:t>
            </w:r>
            <w:r>
              <w:rPr>
                <w:rFonts w:ascii="Calibri"/>
                <w:spacing w:val="-6"/>
                <w:sz w:val="18"/>
              </w:rPr>
              <w:t xml:space="preserve"> </w:t>
            </w:r>
            <w:r>
              <w:rPr>
                <w:rFonts w:ascii="Calibri"/>
                <w:spacing w:val="-1"/>
                <w:sz w:val="18"/>
              </w:rPr>
              <w:t>limited,</w:t>
            </w:r>
            <w:r>
              <w:rPr>
                <w:rFonts w:ascii="Calibri"/>
                <w:spacing w:val="-5"/>
                <w:sz w:val="18"/>
              </w:rPr>
              <w:t xml:space="preserve"> </w:t>
            </w:r>
            <w:r>
              <w:rPr>
                <w:rFonts w:ascii="Calibri"/>
                <w:spacing w:val="-1"/>
                <w:sz w:val="18"/>
              </w:rPr>
              <w:t>thereby</w:t>
            </w:r>
            <w:r>
              <w:rPr>
                <w:rFonts w:ascii="Calibri"/>
                <w:spacing w:val="55"/>
                <w:w w:val="99"/>
                <w:sz w:val="18"/>
              </w:rPr>
              <w:t xml:space="preserve"> </w:t>
            </w:r>
            <w:r>
              <w:rPr>
                <w:rFonts w:ascii="Calibri"/>
                <w:spacing w:val="-1"/>
                <w:sz w:val="18"/>
              </w:rPr>
              <w:t>reducing</w:t>
            </w:r>
            <w:r>
              <w:rPr>
                <w:rFonts w:ascii="Calibri"/>
                <w:spacing w:val="-6"/>
                <w:sz w:val="18"/>
              </w:rPr>
              <w:t xml:space="preserve"> </w:t>
            </w:r>
            <w:r>
              <w:rPr>
                <w:rFonts w:ascii="Calibri"/>
                <w:sz w:val="18"/>
              </w:rPr>
              <w:t>the</w:t>
            </w:r>
            <w:r>
              <w:rPr>
                <w:rFonts w:ascii="Calibri"/>
                <w:spacing w:val="-6"/>
                <w:sz w:val="18"/>
              </w:rPr>
              <w:t xml:space="preserve"> </w:t>
            </w:r>
            <w:r>
              <w:rPr>
                <w:rFonts w:ascii="Calibri"/>
                <w:spacing w:val="-1"/>
                <w:sz w:val="18"/>
              </w:rPr>
              <w:t>potential</w:t>
            </w:r>
            <w:r>
              <w:rPr>
                <w:rFonts w:ascii="Calibri"/>
                <w:spacing w:val="-5"/>
                <w:sz w:val="18"/>
              </w:rPr>
              <w:t xml:space="preserve"> </w:t>
            </w:r>
            <w:r>
              <w:rPr>
                <w:rFonts w:ascii="Calibri"/>
                <w:sz w:val="18"/>
              </w:rPr>
              <w:t>for</w:t>
            </w:r>
            <w:r>
              <w:rPr>
                <w:rFonts w:ascii="Calibri"/>
                <w:spacing w:val="-6"/>
                <w:sz w:val="18"/>
              </w:rPr>
              <w:t xml:space="preserve"> </w:t>
            </w:r>
            <w:r>
              <w:rPr>
                <w:rFonts w:ascii="Calibri"/>
                <w:spacing w:val="-1"/>
                <w:sz w:val="18"/>
              </w:rPr>
              <w:t>backlog</w:t>
            </w:r>
            <w:r>
              <w:rPr>
                <w:rFonts w:ascii="Calibri"/>
                <w:spacing w:val="-5"/>
                <w:sz w:val="18"/>
              </w:rPr>
              <w:t xml:space="preserve"> </w:t>
            </w:r>
            <w:r>
              <w:rPr>
                <w:rFonts w:ascii="Calibri"/>
                <w:spacing w:val="-1"/>
                <w:sz w:val="18"/>
              </w:rPr>
              <w:t>issues.</w:t>
            </w:r>
            <w:r>
              <w:rPr>
                <w:rFonts w:ascii="Calibri"/>
                <w:spacing w:val="-5"/>
                <w:sz w:val="18"/>
              </w:rPr>
              <w:t xml:space="preserve"> </w:t>
            </w:r>
            <w:r>
              <w:rPr>
                <w:rFonts w:ascii="Calibri"/>
                <w:sz w:val="18"/>
              </w:rPr>
              <w:t>During</w:t>
            </w:r>
            <w:r>
              <w:rPr>
                <w:rFonts w:ascii="Calibri"/>
                <w:spacing w:val="-5"/>
                <w:sz w:val="18"/>
              </w:rPr>
              <w:t xml:space="preserve"> </w:t>
            </w:r>
            <w:r>
              <w:rPr>
                <w:rFonts w:ascii="Calibri"/>
                <w:spacing w:val="-1"/>
                <w:sz w:val="18"/>
              </w:rPr>
              <w:t>Phase</w:t>
            </w:r>
            <w:r>
              <w:rPr>
                <w:rFonts w:ascii="Calibri"/>
                <w:spacing w:val="-6"/>
                <w:sz w:val="18"/>
              </w:rPr>
              <w:t xml:space="preserve"> </w:t>
            </w:r>
            <w:r>
              <w:rPr>
                <w:rFonts w:ascii="Calibri"/>
                <w:sz w:val="18"/>
              </w:rPr>
              <w:t>III,</w:t>
            </w:r>
            <w:r>
              <w:rPr>
                <w:rFonts w:ascii="Calibri"/>
                <w:spacing w:val="49"/>
                <w:w w:val="99"/>
                <w:sz w:val="18"/>
              </w:rPr>
              <w:t xml:space="preserve"> </w:t>
            </w:r>
            <w:r>
              <w:rPr>
                <w:rFonts w:ascii="Calibri"/>
                <w:spacing w:val="-1"/>
                <w:sz w:val="18"/>
              </w:rPr>
              <w:t>Duquesne</w:t>
            </w:r>
            <w:r>
              <w:rPr>
                <w:rFonts w:ascii="Calibri"/>
                <w:spacing w:val="-7"/>
                <w:sz w:val="18"/>
              </w:rPr>
              <w:t xml:space="preserve"> </w:t>
            </w:r>
            <w:r>
              <w:rPr>
                <w:rFonts w:ascii="Calibri"/>
                <w:spacing w:val="-1"/>
                <w:sz w:val="18"/>
              </w:rPr>
              <w:t>Light</w:t>
            </w:r>
            <w:r>
              <w:rPr>
                <w:rFonts w:ascii="Calibri"/>
                <w:spacing w:val="-5"/>
                <w:sz w:val="18"/>
              </w:rPr>
              <w:t xml:space="preserve"> </w:t>
            </w:r>
            <w:r>
              <w:rPr>
                <w:rFonts w:ascii="Calibri"/>
                <w:spacing w:val="-1"/>
                <w:sz w:val="18"/>
              </w:rPr>
              <w:t>should</w:t>
            </w:r>
            <w:r>
              <w:rPr>
                <w:rFonts w:ascii="Calibri"/>
                <w:spacing w:val="-7"/>
                <w:sz w:val="18"/>
              </w:rPr>
              <w:t xml:space="preserve"> </w:t>
            </w:r>
            <w:r>
              <w:rPr>
                <w:rFonts w:ascii="Calibri"/>
                <w:spacing w:val="-1"/>
                <w:sz w:val="18"/>
              </w:rPr>
              <w:t>monitor</w:t>
            </w:r>
            <w:r>
              <w:rPr>
                <w:rFonts w:ascii="Calibri"/>
                <w:spacing w:val="-7"/>
                <w:sz w:val="18"/>
              </w:rPr>
              <w:t xml:space="preserve"> </w:t>
            </w:r>
            <w:r>
              <w:rPr>
                <w:rFonts w:ascii="Calibri"/>
                <w:spacing w:val="-1"/>
                <w:sz w:val="18"/>
              </w:rPr>
              <w:t>replacement</w:t>
            </w:r>
            <w:r>
              <w:rPr>
                <w:rFonts w:ascii="Calibri"/>
                <w:spacing w:val="-6"/>
                <w:sz w:val="18"/>
              </w:rPr>
              <w:t xml:space="preserve"> </w:t>
            </w:r>
            <w:r>
              <w:rPr>
                <w:rFonts w:ascii="Calibri"/>
                <w:spacing w:val="-1"/>
                <w:sz w:val="18"/>
              </w:rPr>
              <w:t>lead</w:t>
            </w:r>
            <w:r>
              <w:rPr>
                <w:rFonts w:ascii="Calibri"/>
                <w:spacing w:val="-6"/>
                <w:sz w:val="18"/>
              </w:rPr>
              <w:t xml:space="preserve"> </w:t>
            </w:r>
            <w:r>
              <w:rPr>
                <w:rFonts w:ascii="Calibri"/>
                <w:spacing w:val="-1"/>
                <w:sz w:val="18"/>
              </w:rPr>
              <w:t>times,</w:t>
            </w:r>
            <w:r>
              <w:rPr>
                <w:rFonts w:ascii="Calibri"/>
                <w:spacing w:val="67"/>
                <w:w w:val="99"/>
                <w:sz w:val="18"/>
              </w:rPr>
              <w:t xml:space="preserve"> </w:t>
            </w:r>
            <w:r>
              <w:rPr>
                <w:rFonts w:ascii="Calibri"/>
                <w:spacing w:val="-1"/>
                <w:sz w:val="18"/>
              </w:rPr>
              <w:t>particularly</w:t>
            </w:r>
            <w:r>
              <w:rPr>
                <w:rFonts w:ascii="Calibri"/>
                <w:spacing w:val="-5"/>
                <w:sz w:val="18"/>
              </w:rPr>
              <w:t xml:space="preserve"> </w:t>
            </w:r>
            <w:r>
              <w:rPr>
                <w:rFonts w:ascii="Calibri"/>
                <w:spacing w:val="1"/>
                <w:sz w:val="18"/>
              </w:rPr>
              <w:t>as</w:t>
            </w:r>
            <w:r>
              <w:rPr>
                <w:rFonts w:ascii="Calibri"/>
                <w:spacing w:val="-5"/>
                <w:sz w:val="18"/>
              </w:rPr>
              <w:t xml:space="preserve"> </w:t>
            </w:r>
            <w:r>
              <w:rPr>
                <w:rFonts w:ascii="Calibri"/>
                <w:spacing w:val="-1"/>
                <w:sz w:val="18"/>
              </w:rPr>
              <w:t>activities</w:t>
            </w:r>
            <w:r>
              <w:rPr>
                <w:rFonts w:ascii="Calibri"/>
                <w:spacing w:val="-5"/>
                <w:sz w:val="18"/>
              </w:rPr>
              <w:t xml:space="preserve"> </w:t>
            </w:r>
            <w:r>
              <w:rPr>
                <w:rFonts w:ascii="Calibri"/>
                <w:spacing w:val="-1"/>
                <w:sz w:val="18"/>
              </w:rPr>
              <w:t>ramp</w:t>
            </w:r>
            <w:r>
              <w:rPr>
                <w:rFonts w:ascii="Calibri"/>
                <w:spacing w:val="-5"/>
                <w:sz w:val="18"/>
              </w:rPr>
              <w:t xml:space="preserve"> </w:t>
            </w:r>
            <w:r>
              <w:rPr>
                <w:rFonts w:ascii="Calibri"/>
                <w:sz w:val="18"/>
              </w:rPr>
              <w:t>up.</w:t>
            </w:r>
            <w:r>
              <w:rPr>
                <w:rFonts w:ascii="Calibri"/>
                <w:spacing w:val="-3"/>
                <w:sz w:val="18"/>
              </w:rPr>
              <w:t xml:space="preserve"> </w:t>
            </w:r>
            <w:r>
              <w:rPr>
                <w:rFonts w:ascii="Calibri"/>
                <w:sz w:val="18"/>
              </w:rPr>
              <w:t>If</w:t>
            </w:r>
            <w:r>
              <w:rPr>
                <w:rFonts w:ascii="Calibri"/>
                <w:spacing w:val="-4"/>
                <w:sz w:val="18"/>
              </w:rPr>
              <w:t xml:space="preserve"> </w:t>
            </w:r>
            <w:r>
              <w:rPr>
                <w:rFonts w:ascii="Calibri"/>
                <w:spacing w:val="-1"/>
                <w:sz w:val="18"/>
              </w:rPr>
              <w:t>issues</w:t>
            </w:r>
            <w:r>
              <w:rPr>
                <w:rFonts w:ascii="Calibri"/>
                <w:spacing w:val="-5"/>
                <w:sz w:val="18"/>
              </w:rPr>
              <w:t xml:space="preserve"> </w:t>
            </w:r>
            <w:r>
              <w:rPr>
                <w:rFonts w:ascii="Calibri"/>
                <w:spacing w:val="-1"/>
                <w:sz w:val="18"/>
              </w:rPr>
              <w:t>are</w:t>
            </w:r>
            <w:r>
              <w:rPr>
                <w:rFonts w:ascii="Calibri"/>
                <w:spacing w:val="-5"/>
                <w:sz w:val="18"/>
              </w:rPr>
              <w:t xml:space="preserve"> </w:t>
            </w:r>
            <w:r>
              <w:rPr>
                <w:rFonts w:ascii="Calibri"/>
                <w:spacing w:val="-1"/>
                <w:sz w:val="18"/>
              </w:rPr>
              <w:t>detected,</w:t>
            </w:r>
            <w:r>
              <w:rPr>
                <w:rFonts w:ascii="Calibri"/>
                <w:spacing w:val="-4"/>
                <w:sz w:val="18"/>
              </w:rPr>
              <w:t xml:space="preserve"> </w:t>
            </w:r>
            <w:r>
              <w:rPr>
                <w:rFonts w:ascii="Calibri"/>
                <w:spacing w:val="-1"/>
                <w:sz w:val="18"/>
              </w:rPr>
              <w:t>then</w:t>
            </w:r>
            <w:r>
              <w:rPr>
                <w:rFonts w:ascii="Calibri"/>
                <w:spacing w:val="57"/>
                <w:w w:val="99"/>
                <w:sz w:val="18"/>
              </w:rPr>
              <w:t xml:space="preserve"> </w:t>
            </w:r>
            <w:r>
              <w:rPr>
                <w:rFonts w:ascii="Calibri"/>
                <w:spacing w:val="-1"/>
                <w:sz w:val="18"/>
              </w:rPr>
              <w:t>the</w:t>
            </w:r>
            <w:r>
              <w:rPr>
                <w:rFonts w:ascii="Calibri"/>
                <w:spacing w:val="-6"/>
                <w:sz w:val="18"/>
              </w:rPr>
              <w:t xml:space="preserve"> </w:t>
            </w:r>
            <w:r>
              <w:rPr>
                <w:rFonts w:ascii="Calibri"/>
                <w:spacing w:val="-1"/>
                <w:sz w:val="18"/>
              </w:rPr>
              <w:t>program</w:t>
            </w:r>
            <w:r>
              <w:rPr>
                <w:rFonts w:ascii="Calibri"/>
                <w:spacing w:val="-5"/>
                <w:sz w:val="18"/>
              </w:rPr>
              <w:t xml:space="preserve"> </w:t>
            </w:r>
            <w:r>
              <w:rPr>
                <w:rFonts w:ascii="Calibri"/>
                <w:spacing w:val="-1"/>
                <w:sz w:val="18"/>
              </w:rPr>
              <w:t>manager</w:t>
            </w:r>
            <w:r>
              <w:rPr>
                <w:rFonts w:ascii="Calibri"/>
                <w:spacing w:val="-6"/>
                <w:sz w:val="18"/>
              </w:rPr>
              <w:t xml:space="preserve"> </w:t>
            </w:r>
            <w:r>
              <w:rPr>
                <w:rFonts w:ascii="Calibri"/>
                <w:sz w:val="18"/>
              </w:rPr>
              <w:t>work</w:t>
            </w:r>
            <w:r>
              <w:rPr>
                <w:rFonts w:ascii="Calibri"/>
                <w:spacing w:val="-5"/>
                <w:sz w:val="18"/>
              </w:rPr>
              <w:t xml:space="preserve"> </w:t>
            </w:r>
            <w:r>
              <w:rPr>
                <w:rFonts w:ascii="Calibri"/>
                <w:spacing w:val="-1"/>
                <w:sz w:val="18"/>
              </w:rPr>
              <w:t>to</w:t>
            </w:r>
            <w:r>
              <w:rPr>
                <w:rFonts w:ascii="Calibri"/>
                <w:spacing w:val="-4"/>
                <w:sz w:val="18"/>
              </w:rPr>
              <w:t xml:space="preserve"> </w:t>
            </w:r>
            <w:r>
              <w:rPr>
                <w:rFonts w:ascii="Calibri"/>
                <w:spacing w:val="-1"/>
                <w:sz w:val="18"/>
              </w:rPr>
              <w:t>address</w:t>
            </w:r>
            <w:r>
              <w:rPr>
                <w:rFonts w:ascii="Calibri"/>
                <w:spacing w:val="-6"/>
                <w:sz w:val="18"/>
              </w:rPr>
              <w:t xml:space="preserve"> </w:t>
            </w:r>
            <w:r>
              <w:rPr>
                <w:rFonts w:ascii="Calibri"/>
                <w:spacing w:val="-1"/>
                <w:sz w:val="18"/>
              </w:rPr>
              <w:t>the</w:t>
            </w:r>
            <w:r>
              <w:rPr>
                <w:rFonts w:ascii="Calibri"/>
                <w:spacing w:val="-3"/>
                <w:sz w:val="18"/>
              </w:rPr>
              <w:t xml:space="preserve"> </w:t>
            </w:r>
            <w:r>
              <w:rPr>
                <w:rFonts w:ascii="Calibri"/>
                <w:spacing w:val="-1"/>
                <w:sz w:val="18"/>
              </w:rPr>
              <w:t>situation,</w:t>
            </w:r>
            <w:r>
              <w:rPr>
                <w:rFonts w:ascii="Calibri"/>
                <w:spacing w:val="-4"/>
                <w:sz w:val="18"/>
              </w:rPr>
              <w:t xml:space="preserve"> </w:t>
            </w:r>
            <w:r>
              <w:rPr>
                <w:rFonts w:ascii="Calibri"/>
                <w:spacing w:val="-1"/>
                <w:sz w:val="18"/>
              </w:rPr>
              <w:t>making</w:t>
            </w:r>
            <w:r>
              <w:rPr>
                <w:rFonts w:ascii="Calibri"/>
                <w:spacing w:val="59"/>
                <w:w w:val="99"/>
                <w:sz w:val="18"/>
              </w:rPr>
              <w:t xml:space="preserve"> </w:t>
            </w:r>
            <w:r>
              <w:rPr>
                <w:rFonts w:ascii="Calibri"/>
                <w:spacing w:val="-1"/>
                <w:sz w:val="18"/>
              </w:rPr>
              <w:t>sure</w:t>
            </w:r>
            <w:r>
              <w:rPr>
                <w:rFonts w:ascii="Calibri"/>
                <w:spacing w:val="-6"/>
                <w:sz w:val="18"/>
              </w:rPr>
              <w:t xml:space="preserve"> </w:t>
            </w:r>
            <w:r>
              <w:rPr>
                <w:rFonts w:ascii="Calibri"/>
                <w:spacing w:val="-1"/>
                <w:sz w:val="18"/>
              </w:rPr>
              <w:t>to</w:t>
            </w:r>
            <w:r>
              <w:rPr>
                <w:rFonts w:ascii="Calibri"/>
                <w:spacing w:val="-4"/>
                <w:sz w:val="18"/>
              </w:rPr>
              <w:t xml:space="preserve"> </w:t>
            </w:r>
            <w:r>
              <w:rPr>
                <w:rFonts w:ascii="Calibri"/>
                <w:spacing w:val="-1"/>
                <w:sz w:val="18"/>
              </w:rPr>
              <w:t>communicate</w:t>
            </w:r>
            <w:r>
              <w:rPr>
                <w:rFonts w:ascii="Calibri"/>
                <w:spacing w:val="-6"/>
                <w:sz w:val="18"/>
              </w:rPr>
              <w:t xml:space="preserve"> </w:t>
            </w:r>
            <w:r>
              <w:rPr>
                <w:rFonts w:ascii="Calibri"/>
                <w:spacing w:val="-1"/>
                <w:sz w:val="18"/>
              </w:rPr>
              <w:t>with</w:t>
            </w:r>
            <w:r>
              <w:rPr>
                <w:rFonts w:ascii="Calibri"/>
                <w:spacing w:val="-4"/>
                <w:sz w:val="18"/>
              </w:rPr>
              <w:t xml:space="preserve"> </w:t>
            </w:r>
            <w:r>
              <w:rPr>
                <w:rFonts w:ascii="Calibri"/>
                <w:spacing w:val="-1"/>
                <w:sz w:val="18"/>
              </w:rPr>
              <w:t>participants,</w:t>
            </w:r>
            <w:r>
              <w:rPr>
                <w:rFonts w:ascii="Calibri"/>
                <w:spacing w:val="-5"/>
                <w:sz w:val="18"/>
              </w:rPr>
              <w:t xml:space="preserve"> </w:t>
            </w:r>
            <w:r>
              <w:rPr>
                <w:rFonts w:ascii="Calibri"/>
                <w:spacing w:val="-1"/>
                <w:sz w:val="18"/>
              </w:rPr>
              <w:t>so</w:t>
            </w:r>
            <w:r>
              <w:rPr>
                <w:rFonts w:ascii="Calibri"/>
                <w:spacing w:val="-3"/>
                <w:sz w:val="18"/>
              </w:rPr>
              <w:t xml:space="preserve"> </w:t>
            </w:r>
            <w:r>
              <w:rPr>
                <w:rFonts w:ascii="Calibri"/>
                <w:spacing w:val="-1"/>
                <w:sz w:val="18"/>
              </w:rPr>
              <w:t>that</w:t>
            </w:r>
            <w:r>
              <w:rPr>
                <w:rFonts w:ascii="Calibri"/>
                <w:spacing w:val="-6"/>
                <w:sz w:val="18"/>
              </w:rPr>
              <w:t xml:space="preserve"> </w:t>
            </w:r>
            <w:r>
              <w:rPr>
                <w:rFonts w:ascii="Calibri"/>
                <w:sz w:val="18"/>
              </w:rPr>
              <w:t>any</w:t>
            </w:r>
            <w:r>
              <w:rPr>
                <w:rFonts w:ascii="Calibri"/>
                <w:spacing w:val="-4"/>
                <w:sz w:val="18"/>
              </w:rPr>
              <w:t xml:space="preserve"> </w:t>
            </w:r>
            <w:r>
              <w:rPr>
                <w:rFonts w:ascii="Calibri"/>
                <w:spacing w:val="-1"/>
                <w:sz w:val="18"/>
              </w:rPr>
              <w:t>negative</w:t>
            </w:r>
            <w:r>
              <w:rPr>
                <w:rFonts w:ascii="Calibri"/>
                <w:spacing w:val="57"/>
                <w:w w:val="99"/>
                <w:sz w:val="18"/>
              </w:rPr>
              <w:t xml:space="preserve"> </w:t>
            </w:r>
            <w:r>
              <w:rPr>
                <w:rFonts w:ascii="Calibri"/>
                <w:spacing w:val="-1"/>
                <w:sz w:val="18"/>
              </w:rPr>
              <w:t>impacts</w:t>
            </w:r>
            <w:r>
              <w:rPr>
                <w:rFonts w:ascii="Calibri"/>
                <w:spacing w:val="-6"/>
                <w:sz w:val="18"/>
              </w:rPr>
              <w:t xml:space="preserve"> </w:t>
            </w:r>
            <w:r>
              <w:rPr>
                <w:rFonts w:ascii="Calibri"/>
                <w:sz w:val="18"/>
              </w:rPr>
              <w:t>on</w:t>
            </w:r>
            <w:r>
              <w:rPr>
                <w:rFonts w:ascii="Calibri"/>
                <w:spacing w:val="-6"/>
                <w:sz w:val="18"/>
              </w:rPr>
              <w:t xml:space="preserve"> </w:t>
            </w:r>
            <w:r>
              <w:rPr>
                <w:rFonts w:ascii="Calibri"/>
                <w:spacing w:val="-1"/>
                <w:sz w:val="18"/>
              </w:rPr>
              <w:t>satisfaction</w:t>
            </w:r>
            <w:r>
              <w:rPr>
                <w:rFonts w:ascii="Calibri"/>
                <w:spacing w:val="-6"/>
                <w:sz w:val="18"/>
              </w:rPr>
              <w:t xml:space="preserve"> </w:t>
            </w:r>
            <w:r>
              <w:rPr>
                <w:rFonts w:ascii="Calibri"/>
                <w:sz w:val="18"/>
              </w:rPr>
              <w:t>from</w:t>
            </w:r>
            <w:r>
              <w:rPr>
                <w:rFonts w:ascii="Calibri"/>
                <w:spacing w:val="-5"/>
                <w:sz w:val="18"/>
              </w:rPr>
              <w:t xml:space="preserve"> </w:t>
            </w:r>
            <w:r>
              <w:rPr>
                <w:rFonts w:ascii="Calibri"/>
                <w:sz w:val="18"/>
              </w:rPr>
              <w:t>the</w:t>
            </w:r>
            <w:r>
              <w:rPr>
                <w:rFonts w:ascii="Calibri"/>
                <w:spacing w:val="-3"/>
                <w:sz w:val="18"/>
              </w:rPr>
              <w:t xml:space="preserve"> </w:t>
            </w:r>
            <w:r>
              <w:rPr>
                <w:rFonts w:ascii="Calibri"/>
                <w:spacing w:val="-1"/>
                <w:sz w:val="18"/>
              </w:rPr>
              <w:t>delays</w:t>
            </w:r>
            <w:r>
              <w:rPr>
                <w:rFonts w:ascii="Calibri"/>
                <w:spacing w:val="-6"/>
                <w:sz w:val="18"/>
              </w:rPr>
              <w:t xml:space="preserve"> </w:t>
            </w:r>
            <w:r>
              <w:rPr>
                <w:rFonts w:ascii="Calibri"/>
                <w:sz w:val="18"/>
              </w:rPr>
              <w:t>are</w:t>
            </w:r>
            <w:r>
              <w:rPr>
                <w:rFonts w:ascii="Calibri"/>
                <w:spacing w:val="-6"/>
                <w:sz w:val="18"/>
              </w:rPr>
              <w:t xml:space="preserve"> </w:t>
            </w:r>
            <w:r>
              <w:rPr>
                <w:rFonts w:ascii="Calibri"/>
                <w:spacing w:val="-1"/>
                <w:sz w:val="18"/>
              </w:rPr>
              <w:t>minimized.</w:t>
            </w:r>
          </w:p>
          <w:p w:rsidR="00E646C9" w:rsidRDefault="00E646C9" w:rsidP="00C94D5A">
            <w:pPr>
              <w:pStyle w:val="TableParagraph"/>
              <w:ind w:left="97" w:right="244"/>
              <w:rPr>
                <w:rFonts w:ascii="Calibri" w:eastAsia="Calibri" w:hAnsi="Calibri" w:cs="Calibri"/>
                <w:sz w:val="18"/>
                <w:szCs w:val="18"/>
              </w:rPr>
            </w:pPr>
            <w:r>
              <w:rPr>
                <w:rFonts w:ascii="Calibri"/>
                <w:spacing w:val="-1"/>
                <w:sz w:val="18"/>
              </w:rPr>
              <w:t>Navigant</w:t>
            </w:r>
            <w:r>
              <w:rPr>
                <w:rFonts w:ascii="Calibri"/>
                <w:spacing w:val="-5"/>
                <w:sz w:val="18"/>
              </w:rPr>
              <w:t xml:space="preserve"> </w:t>
            </w:r>
            <w:r>
              <w:rPr>
                <w:rFonts w:ascii="Calibri"/>
                <w:sz w:val="18"/>
              </w:rPr>
              <w:t>found</w:t>
            </w:r>
            <w:r>
              <w:rPr>
                <w:rFonts w:ascii="Calibri"/>
                <w:spacing w:val="-5"/>
                <w:sz w:val="18"/>
              </w:rPr>
              <w:t xml:space="preserve"> </w:t>
            </w:r>
            <w:r>
              <w:rPr>
                <w:rFonts w:ascii="Calibri"/>
                <w:spacing w:val="-1"/>
                <w:sz w:val="18"/>
              </w:rPr>
              <w:t>in</w:t>
            </w:r>
            <w:r>
              <w:rPr>
                <w:rFonts w:ascii="Calibri"/>
                <w:spacing w:val="-5"/>
                <w:sz w:val="18"/>
              </w:rPr>
              <w:t xml:space="preserve"> </w:t>
            </w:r>
            <w:r>
              <w:rPr>
                <w:rFonts w:ascii="Calibri"/>
                <w:sz w:val="18"/>
              </w:rPr>
              <w:t>PY6</w:t>
            </w:r>
            <w:r>
              <w:rPr>
                <w:rFonts w:ascii="Calibri"/>
                <w:spacing w:val="-3"/>
                <w:sz w:val="18"/>
              </w:rPr>
              <w:t xml:space="preserve"> </w:t>
            </w:r>
            <w:r>
              <w:rPr>
                <w:rFonts w:ascii="Calibri"/>
                <w:spacing w:val="-1"/>
                <w:sz w:val="18"/>
              </w:rPr>
              <w:t>that</w:t>
            </w:r>
            <w:r>
              <w:rPr>
                <w:rFonts w:ascii="Calibri"/>
                <w:spacing w:val="-5"/>
                <w:sz w:val="18"/>
              </w:rPr>
              <w:t xml:space="preserve"> </w:t>
            </w:r>
            <w:r>
              <w:rPr>
                <w:rFonts w:ascii="Calibri"/>
                <w:sz w:val="18"/>
              </w:rPr>
              <w:t>these</w:t>
            </w:r>
            <w:r>
              <w:rPr>
                <w:rFonts w:ascii="Calibri"/>
                <w:spacing w:val="-2"/>
                <w:sz w:val="18"/>
              </w:rPr>
              <w:t xml:space="preserve"> </w:t>
            </w:r>
            <w:r>
              <w:rPr>
                <w:rFonts w:ascii="Calibri"/>
                <w:spacing w:val="-1"/>
                <w:sz w:val="18"/>
              </w:rPr>
              <w:t>backlogs</w:t>
            </w:r>
            <w:r>
              <w:rPr>
                <w:rFonts w:ascii="Calibri"/>
                <w:spacing w:val="-5"/>
                <w:sz w:val="18"/>
              </w:rPr>
              <w:t xml:space="preserve"> </w:t>
            </w:r>
            <w:r>
              <w:rPr>
                <w:rFonts w:ascii="Calibri"/>
                <w:spacing w:val="-1"/>
                <w:sz w:val="18"/>
              </w:rPr>
              <w:t>and</w:t>
            </w:r>
            <w:r>
              <w:rPr>
                <w:rFonts w:ascii="Calibri"/>
                <w:spacing w:val="-4"/>
                <w:sz w:val="18"/>
              </w:rPr>
              <w:t xml:space="preserve"> </w:t>
            </w:r>
            <w:r>
              <w:rPr>
                <w:rFonts w:ascii="Calibri"/>
                <w:spacing w:val="-1"/>
                <w:sz w:val="18"/>
              </w:rPr>
              <w:t>lack</w:t>
            </w:r>
            <w:r>
              <w:rPr>
                <w:rFonts w:ascii="Calibri"/>
                <w:spacing w:val="-4"/>
                <w:sz w:val="18"/>
              </w:rPr>
              <w:t xml:space="preserve"> </w:t>
            </w:r>
            <w:r>
              <w:rPr>
                <w:rFonts w:ascii="Calibri"/>
                <w:sz w:val="18"/>
              </w:rPr>
              <w:t>of</w:t>
            </w:r>
            <w:r>
              <w:rPr>
                <w:rFonts w:ascii="Calibri"/>
                <w:spacing w:val="45"/>
                <w:w w:val="99"/>
                <w:sz w:val="18"/>
              </w:rPr>
              <w:t xml:space="preserve"> </w:t>
            </w:r>
            <w:r>
              <w:rPr>
                <w:rFonts w:ascii="Calibri"/>
                <w:spacing w:val="-1"/>
                <w:sz w:val="18"/>
              </w:rPr>
              <w:t>communication</w:t>
            </w:r>
            <w:r>
              <w:rPr>
                <w:rFonts w:ascii="Calibri"/>
                <w:spacing w:val="-8"/>
                <w:sz w:val="18"/>
              </w:rPr>
              <w:t xml:space="preserve"> </w:t>
            </w:r>
            <w:r>
              <w:rPr>
                <w:rFonts w:ascii="Calibri"/>
                <w:spacing w:val="-1"/>
                <w:sz w:val="18"/>
              </w:rPr>
              <w:t>were</w:t>
            </w:r>
            <w:r>
              <w:rPr>
                <w:rFonts w:ascii="Calibri"/>
                <w:spacing w:val="-7"/>
                <w:sz w:val="18"/>
              </w:rPr>
              <w:t xml:space="preserve"> </w:t>
            </w:r>
            <w:r>
              <w:rPr>
                <w:rFonts w:ascii="Calibri"/>
                <w:sz w:val="18"/>
              </w:rPr>
              <w:t>a</w:t>
            </w:r>
            <w:r>
              <w:rPr>
                <w:rFonts w:ascii="Calibri"/>
                <w:spacing w:val="-6"/>
                <w:sz w:val="18"/>
              </w:rPr>
              <w:t xml:space="preserve"> </w:t>
            </w:r>
            <w:r>
              <w:rPr>
                <w:rFonts w:ascii="Calibri"/>
                <w:spacing w:val="-1"/>
                <w:sz w:val="18"/>
              </w:rPr>
              <w:t>significant</w:t>
            </w:r>
            <w:r>
              <w:rPr>
                <w:rFonts w:ascii="Calibri"/>
                <w:spacing w:val="-7"/>
                <w:sz w:val="18"/>
              </w:rPr>
              <w:t xml:space="preserve"> </w:t>
            </w:r>
            <w:r>
              <w:rPr>
                <w:rFonts w:ascii="Calibri"/>
                <w:spacing w:val="-1"/>
                <w:sz w:val="18"/>
              </w:rPr>
              <w:t>source</w:t>
            </w:r>
            <w:r>
              <w:rPr>
                <w:rFonts w:ascii="Calibri"/>
                <w:spacing w:val="-8"/>
                <w:sz w:val="18"/>
              </w:rPr>
              <w:t xml:space="preserve"> </w:t>
            </w:r>
            <w:r>
              <w:rPr>
                <w:rFonts w:ascii="Calibri"/>
                <w:sz w:val="18"/>
              </w:rPr>
              <w:t>of</w:t>
            </w:r>
            <w:r>
              <w:rPr>
                <w:rFonts w:ascii="Calibri"/>
                <w:spacing w:val="-6"/>
                <w:sz w:val="18"/>
              </w:rPr>
              <w:t xml:space="preserve"> </w:t>
            </w:r>
            <w:r>
              <w:rPr>
                <w:rFonts w:ascii="Calibri"/>
                <w:spacing w:val="-1"/>
                <w:sz w:val="18"/>
              </w:rPr>
              <w:t>dissatisfaction.</w:t>
            </w:r>
          </w:p>
        </w:tc>
        <w:tc>
          <w:tcPr>
            <w:tcW w:w="4680" w:type="dxa"/>
            <w:shd w:val="clear" w:color="auto" w:fill="D2EAF1"/>
          </w:tcPr>
          <w:p w:rsidR="00E646C9" w:rsidRDefault="00E646C9" w:rsidP="00C94D5A">
            <w:pPr>
              <w:pStyle w:val="TableParagraph"/>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bl>
    <w:p w:rsidR="003B56E9" w:rsidRDefault="003B56E9" w:rsidP="00E646C9"/>
    <w:p w:rsidR="00E646C9" w:rsidRPr="00B04FB4" w:rsidRDefault="00E646C9" w:rsidP="00C94D5A">
      <w:pPr>
        <w:pStyle w:val="AppendixGHeading2"/>
      </w:pPr>
      <w:r w:rsidRPr="00B04FB4">
        <w:t>Commercial</w:t>
      </w:r>
    </w:p>
    <w:tbl>
      <w:tblPr>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4D470A">
        <w:trPr>
          <w:trHeight w:hRule="exact" w:val="812"/>
          <w:tblHeader/>
        </w:trPr>
        <w:tc>
          <w:tcPr>
            <w:tcW w:w="4680" w:type="dxa"/>
            <w:shd w:val="clear" w:color="auto" w:fill="438A99"/>
          </w:tcPr>
          <w:p w:rsidR="00E646C9" w:rsidRDefault="00E646C9" w:rsidP="00B40F47">
            <w:pPr>
              <w:pStyle w:val="TableParagraph"/>
              <w:spacing w:before="120"/>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spacing w:before="123"/>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C94D5A">
        <w:trPr>
          <w:trHeight w:hRule="exact" w:val="4025"/>
        </w:trPr>
        <w:tc>
          <w:tcPr>
            <w:tcW w:w="4680" w:type="dxa"/>
            <w:shd w:val="clear" w:color="auto" w:fill="D2EAF1"/>
          </w:tcPr>
          <w:p w:rsidR="00E646C9" w:rsidRDefault="00E646C9" w:rsidP="00C94D5A">
            <w:pPr>
              <w:pStyle w:val="TableParagraph"/>
              <w:spacing w:line="218"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spacing w:before="1"/>
              <w:ind w:left="97" w:right="500"/>
              <w:rPr>
                <w:rFonts w:ascii="Calibri" w:eastAsia="Calibri" w:hAnsi="Calibri" w:cs="Calibri"/>
                <w:sz w:val="18"/>
                <w:szCs w:val="18"/>
              </w:rPr>
            </w:pPr>
            <w:r>
              <w:rPr>
                <w:rFonts w:ascii="Calibri"/>
                <w:spacing w:val="-1"/>
                <w:sz w:val="18"/>
              </w:rPr>
              <w:t>Monitor</w:t>
            </w:r>
            <w:r>
              <w:rPr>
                <w:rFonts w:ascii="Calibri"/>
                <w:spacing w:val="-7"/>
                <w:sz w:val="18"/>
              </w:rPr>
              <w:t xml:space="preserve"> </w:t>
            </w:r>
            <w:r>
              <w:rPr>
                <w:rFonts w:ascii="Calibri"/>
                <w:spacing w:val="-1"/>
                <w:sz w:val="18"/>
              </w:rPr>
              <w:t>participant</w:t>
            </w:r>
            <w:r>
              <w:rPr>
                <w:rFonts w:ascii="Calibri"/>
                <w:spacing w:val="-6"/>
                <w:sz w:val="18"/>
              </w:rPr>
              <w:t xml:space="preserve"> </w:t>
            </w:r>
            <w:r>
              <w:rPr>
                <w:rFonts w:ascii="Calibri"/>
                <w:spacing w:val="-1"/>
                <w:sz w:val="18"/>
              </w:rPr>
              <w:t>satisfaction</w:t>
            </w:r>
            <w:r>
              <w:rPr>
                <w:rFonts w:ascii="Calibri"/>
                <w:spacing w:val="-7"/>
                <w:sz w:val="18"/>
              </w:rPr>
              <w:t xml:space="preserve"> </w:t>
            </w:r>
            <w:r>
              <w:rPr>
                <w:rFonts w:ascii="Calibri"/>
                <w:spacing w:val="-1"/>
                <w:sz w:val="18"/>
              </w:rPr>
              <w:t>with</w:t>
            </w:r>
            <w:r>
              <w:rPr>
                <w:rFonts w:ascii="Calibri"/>
                <w:spacing w:val="-6"/>
                <w:sz w:val="18"/>
              </w:rPr>
              <w:t xml:space="preserve"> </w:t>
            </w:r>
            <w:r>
              <w:rPr>
                <w:rFonts w:ascii="Calibri"/>
                <w:spacing w:val="-1"/>
                <w:sz w:val="18"/>
              </w:rPr>
              <w:t>the</w:t>
            </w:r>
            <w:r>
              <w:rPr>
                <w:rFonts w:ascii="Calibri"/>
                <w:spacing w:val="-7"/>
                <w:sz w:val="18"/>
              </w:rPr>
              <w:t xml:space="preserve"> </w:t>
            </w:r>
            <w:r>
              <w:rPr>
                <w:rFonts w:ascii="Calibri"/>
                <w:sz w:val="18"/>
              </w:rPr>
              <w:t>time</w:t>
            </w:r>
            <w:r>
              <w:rPr>
                <w:rFonts w:ascii="Calibri"/>
                <w:spacing w:val="-6"/>
                <w:sz w:val="18"/>
              </w:rPr>
              <w:t xml:space="preserve"> </w:t>
            </w:r>
            <w:r>
              <w:rPr>
                <w:rFonts w:ascii="Calibri"/>
                <w:spacing w:val="-1"/>
                <w:sz w:val="18"/>
              </w:rPr>
              <w:t>frame</w:t>
            </w:r>
            <w:r>
              <w:rPr>
                <w:rFonts w:ascii="Calibri"/>
                <w:spacing w:val="59"/>
                <w:w w:val="99"/>
                <w:sz w:val="18"/>
              </w:rPr>
              <w:t xml:space="preserve"> </w:t>
            </w:r>
            <w:r>
              <w:rPr>
                <w:rFonts w:ascii="Calibri"/>
                <w:spacing w:val="-1"/>
                <w:sz w:val="18"/>
              </w:rPr>
              <w:t>required</w:t>
            </w:r>
            <w:r>
              <w:rPr>
                <w:rFonts w:ascii="Calibri"/>
                <w:spacing w:val="-6"/>
                <w:sz w:val="18"/>
              </w:rPr>
              <w:t xml:space="preserve"> </w:t>
            </w:r>
            <w:r>
              <w:rPr>
                <w:rFonts w:ascii="Calibri"/>
                <w:sz w:val="18"/>
              </w:rPr>
              <w:t>for</w:t>
            </w:r>
            <w:r>
              <w:rPr>
                <w:rFonts w:ascii="Calibri"/>
                <w:spacing w:val="-5"/>
                <w:sz w:val="18"/>
              </w:rPr>
              <w:t xml:space="preserve"> </w:t>
            </w:r>
            <w:r>
              <w:rPr>
                <w:rFonts w:ascii="Calibri"/>
                <w:spacing w:val="-1"/>
                <w:sz w:val="18"/>
              </w:rPr>
              <w:t>them</w:t>
            </w:r>
            <w:r>
              <w:rPr>
                <w:rFonts w:ascii="Calibri"/>
                <w:spacing w:val="-4"/>
                <w:sz w:val="18"/>
              </w:rPr>
              <w:t xml:space="preserve"> </w:t>
            </w:r>
            <w:r>
              <w:rPr>
                <w:rFonts w:ascii="Calibri"/>
                <w:spacing w:val="-1"/>
                <w:sz w:val="18"/>
              </w:rPr>
              <w:t>to</w:t>
            </w:r>
            <w:r>
              <w:rPr>
                <w:rFonts w:ascii="Calibri"/>
                <w:spacing w:val="-4"/>
                <w:sz w:val="18"/>
              </w:rPr>
              <w:t xml:space="preserve"> </w:t>
            </w:r>
            <w:r>
              <w:rPr>
                <w:rFonts w:ascii="Calibri"/>
                <w:spacing w:val="-1"/>
                <w:sz w:val="18"/>
              </w:rPr>
              <w:t>receive</w:t>
            </w:r>
            <w:r>
              <w:rPr>
                <w:rFonts w:ascii="Calibri"/>
                <w:spacing w:val="-5"/>
                <w:sz w:val="18"/>
              </w:rPr>
              <w:t xml:space="preserve"> </w:t>
            </w:r>
            <w:r>
              <w:rPr>
                <w:rFonts w:ascii="Calibri"/>
                <w:sz w:val="18"/>
              </w:rPr>
              <w:t>their</w:t>
            </w:r>
            <w:r>
              <w:rPr>
                <w:rFonts w:ascii="Calibri"/>
                <w:spacing w:val="-5"/>
                <w:sz w:val="18"/>
              </w:rPr>
              <w:t xml:space="preserve"> </w:t>
            </w:r>
            <w:r>
              <w:rPr>
                <w:rFonts w:ascii="Calibri"/>
                <w:spacing w:val="-1"/>
                <w:sz w:val="18"/>
              </w:rPr>
              <w:t>rebate</w:t>
            </w:r>
            <w:r>
              <w:rPr>
                <w:rFonts w:ascii="Calibri"/>
                <w:spacing w:val="-5"/>
                <w:sz w:val="18"/>
              </w:rPr>
              <w:t xml:space="preserve"> </w:t>
            </w:r>
            <w:r>
              <w:rPr>
                <w:rFonts w:ascii="Calibri"/>
                <w:spacing w:val="-1"/>
                <w:sz w:val="18"/>
              </w:rPr>
              <w:t>checks,</w:t>
            </w:r>
            <w:r>
              <w:rPr>
                <w:rFonts w:ascii="Calibri"/>
                <w:spacing w:val="-5"/>
                <w:sz w:val="18"/>
              </w:rPr>
              <w:t xml:space="preserve"> </w:t>
            </w:r>
            <w:r>
              <w:rPr>
                <w:rFonts w:ascii="Calibri"/>
                <w:spacing w:val="-1"/>
                <w:sz w:val="18"/>
              </w:rPr>
              <w:t>and</w:t>
            </w:r>
            <w:r>
              <w:rPr>
                <w:rFonts w:ascii="Calibri"/>
                <w:spacing w:val="43"/>
                <w:w w:val="99"/>
                <w:sz w:val="18"/>
              </w:rPr>
              <w:t xml:space="preserve"> </w:t>
            </w:r>
            <w:r>
              <w:rPr>
                <w:rFonts w:ascii="Calibri"/>
                <w:spacing w:val="-1"/>
                <w:sz w:val="18"/>
              </w:rPr>
              <w:t>determine</w:t>
            </w:r>
            <w:r>
              <w:rPr>
                <w:rFonts w:ascii="Calibri"/>
                <w:spacing w:val="-9"/>
                <w:sz w:val="18"/>
              </w:rPr>
              <w:t xml:space="preserve"> </w:t>
            </w:r>
            <w:r>
              <w:rPr>
                <w:rFonts w:ascii="Calibri"/>
                <w:spacing w:val="-1"/>
                <w:sz w:val="18"/>
              </w:rPr>
              <w:t>whether</w:t>
            </w:r>
            <w:r>
              <w:rPr>
                <w:rFonts w:ascii="Calibri"/>
                <w:spacing w:val="-6"/>
                <w:sz w:val="18"/>
              </w:rPr>
              <w:t xml:space="preserve"> </w:t>
            </w:r>
            <w:r>
              <w:rPr>
                <w:rFonts w:ascii="Calibri"/>
                <w:spacing w:val="-1"/>
                <w:sz w:val="18"/>
              </w:rPr>
              <w:t>participants</w:t>
            </w:r>
            <w:r>
              <w:rPr>
                <w:rFonts w:ascii="Calibri"/>
                <w:spacing w:val="-7"/>
                <w:sz w:val="18"/>
              </w:rPr>
              <w:t xml:space="preserve"> </w:t>
            </w:r>
            <w:r>
              <w:rPr>
                <w:rFonts w:ascii="Calibri"/>
                <w:spacing w:val="-1"/>
                <w:sz w:val="18"/>
              </w:rPr>
              <w:t>have</w:t>
            </w:r>
            <w:r>
              <w:rPr>
                <w:rFonts w:ascii="Calibri"/>
                <w:spacing w:val="-9"/>
                <w:sz w:val="18"/>
              </w:rPr>
              <w:t xml:space="preserve"> </w:t>
            </w:r>
            <w:r>
              <w:rPr>
                <w:rFonts w:ascii="Calibri"/>
                <w:spacing w:val="-1"/>
                <w:sz w:val="18"/>
              </w:rPr>
              <w:t>unrealistic</w:t>
            </w:r>
            <w:r>
              <w:rPr>
                <w:rFonts w:ascii="Calibri"/>
                <w:spacing w:val="51"/>
                <w:w w:val="99"/>
                <w:sz w:val="18"/>
              </w:rPr>
              <w:t xml:space="preserve"> </w:t>
            </w:r>
            <w:r>
              <w:rPr>
                <w:rFonts w:ascii="Calibri"/>
                <w:spacing w:val="-1"/>
                <w:sz w:val="18"/>
              </w:rPr>
              <w:t>expectations</w:t>
            </w:r>
            <w:r>
              <w:rPr>
                <w:rFonts w:ascii="Calibri"/>
                <w:spacing w:val="-7"/>
                <w:sz w:val="18"/>
              </w:rPr>
              <w:t xml:space="preserve"> </w:t>
            </w:r>
            <w:r>
              <w:rPr>
                <w:rFonts w:ascii="Calibri"/>
                <w:spacing w:val="-1"/>
                <w:sz w:val="18"/>
              </w:rPr>
              <w:t>regarding</w:t>
            </w:r>
            <w:r>
              <w:rPr>
                <w:rFonts w:ascii="Calibri"/>
                <w:spacing w:val="-7"/>
                <w:sz w:val="18"/>
              </w:rPr>
              <w:t xml:space="preserve"> </w:t>
            </w:r>
            <w:r>
              <w:rPr>
                <w:rFonts w:ascii="Calibri"/>
                <w:sz w:val="18"/>
              </w:rPr>
              <w:t>the</w:t>
            </w:r>
            <w:r>
              <w:rPr>
                <w:rFonts w:ascii="Calibri"/>
                <w:spacing w:val="-7"/>
                <w:sz w:val="18"/>
              </w:rPr>
              <w:t xml:space="preserve"> </w:t>
            </w:r>
            <w:r>
              <w:rPr>
                <w:rFonts w:ascii="Calibri"/>
                <w:spacing w:val="-1"/>
                <w:sz w:val="18"/>
              </w:rPr>
              <w:t>probable</w:t>
            </w:r>
            <w:r>
              <w:rPr>
                <w:rFonts w:ascii="Calibri"/>
                <w:spacing w:val="-7"/>
                <w:sz w:val="18"/>
              </w:rPr>
              <w:t xml:space="preserve"> </w:t>
            </w:r>
            <w:r>
              <w:rPr>
                <w:rFonts w:ascii="Calibri"/>
                <w:spacing w:val="-1"/>
                <w:sz w:val="18"/>
              </w:rPr>
              <w:t>timing</w:t>
            </w:r>
            <w:r>
              <w:rPr>
                <w:rFonts w:ascii="Calibri"/>
                <w:spacing w:val="-7"/>
                <w:sz w:val="18"/>
              </w:rPr>
              <w:t xml:space="preserve"> </w:t>
            </w:r>
            <w:r>
              <w:rPr>
                <w:rFonts w:ascii="Calibri"/>
                <w:sz w:val="18"/>
              </w:rPr>
              <w:t>of</w:t>
            </w:r>
            <w:r>
              <w:rPr>
                <w:rFonts w:ascii="Calibri"/>
                <w:spacing w:val="-6"/>
                <w:sz w:val="18"/>
              </w:rPr>
              <w:t xml:space="preserve"> </w:t>
            </w:r>
            <w:r>
              <w:rPr>
                <w:rFonts w:ascii="Calibri"/>
                <w:spacing w:val="-1"/>
                <w:sz w:val="18"/>
              </w:rPr>
              <w:t>receiving these</w:t>
            </w:r>
            <w:r>
              <w:rPr>
                <w:rFonts w:ascii="Calibri"/>
                <w:spacing w:val="-7"/>
                <w:sz w:val="18"/>
              </w:rPr>
              <w:t xml:space="preserve"> </w:t>
            </w:r>
            <w:r>
              <w:rPr>
                <w:rFonts w:ascii="Calibri"/>
                <w:spacing w:val="-1"/>
                <w:sz w:val="18"/>
              </w:rPr>
              <w:t>payments.</w:t>
            </w:r>
            <w:r>
              <w:rPr>
                <w:rFonts w:ascii="Calibri"/>
                <w:spacing w:val="-5"/>
                <w:sz w:val="18"/>
              </w:rPr>
              <w:t xml:space="preserve"> </w:t>
            </w:r>
            <w:r>
              <w:rPr>
                <w:rFonts w:ascii="Calibri"/>
                <w:sz w:val="18"/>
              </w:rPr>
              <w:t>If</w:t>
            </w:r>
            <w:r>
              <w:rPr>
                <w:rFonts w:ascii="Calibri"/>
                <w:spacing w:val="-5"/>
                <w:sz w:val="18"/>
              </w:rPr>
              <w:t xml:space="preserve"> </w:t>
            </w:r>
            <w:r>
              <w:rPr>
                <w:rFonts w:ascii="Calibri"/>
                <w:sz w:val="18"/>
              </w:rPr>
              <w:t>a</w:t>
            </w:r>
            <w:r>
              <w:rPr>
                <w:rFonts w:ascii="Calibri"/>
                <w:spacing w:val="-5"/>
                <w:sz w:val="18"/>
              </w:rPr>
              <w:t xml:space="preserve"> </w:t>
            </w:r>
            <w:r>
              <w:rPr>
                <w:rFonts w:ascii="Calibri"/>
                <w:spacing w:val="-1"/>
                <w:sz w:val="18"/>
              </w:rPr>
              <w:t>substantial</w:t>
            </w:r>
            <w:r>
              <w:rPr>
                <w:rFonts w:ascii="Calibri"/>
                <w:spacing w:val="-6"/>
                <w:sz w:val="18"/>
              </w:rPr>
              <w:t xml:space="preserve"> </w:t>
            </w:r>
            <w:r>
              <w:rPr>
                <w:rFonts w:ascii="Calibri"/>
                <w:spacing w:val="-1"/>
                <w:sz w:val="18"/>
              </w:rPr>
              <w:t>number</w:t>
            </w:r>
            <w:r>
              <w:rPr>
                <w:rFonts w:ascii="Calibri"/>
                <w:spacing w:val="-6"/>
                <w:sz w:val="18"/>
              </w:rPr>
              <w:t xml:space="preserve"> </w:t>
            </w:r>
            <w:r>
              <w:rPr>
                <w:rFonts w:ascii="Calibri"/>
                <w:sz w:val="18"/>
              </w:rPr>
              <w:t>of</w:t>
            </w:r>
            <w:r>
              <w:rPr>
                <w:rFonts w:ascii="Calibri"/>
                <w:spacing w:val="-5"/>
                <w:sz w:val="18"/>
              </w:rPr>
              <w:t xml:space="preserve"> </w:t>
            </w:r>
            <w:r>
              <w:rPr>
                <w:rFonts w:ascii="Calibri"/>
                <w:spacing w:val="-1"/>
                <w:sz w:val="18"/>
              </w:rPr>
              <w:t>participants</w:t>
            </w:r>
            <w:r>
              <w:rPr>
                <w:rFonts w:ascii="Calibri"/>
                <w:spacing w:val="65"/>
                <w:w w:val="99"/>
                <w:sz w:val="18"/>
              </w:rPr>
              <w:t xml:space="preserve"> </w:t>
            </w:r>
            <w:r>
              <w:rPr>
                <w:rFonts w:ascii="Calibri"/>
                <w:spacing w:val="-1"/>
                <w:sz w:val="18"/>
              </w:rPr>
              <w:t>identify</w:t>
            </w:r>
            <w:r>
              <w:rPr>
                <w:rFonts w:ascii="Calibri"/>
                <w:spacing w:val="-4"/>
                <w:sz w:val="18"/>
              </w:rPr>
              <w:t xml:space="preserve"> </w:t>
            </w:r>
            <w:r>
              <w:rPr>
                <w:rFonts w:ascii="Calibri"/>
                <w:spacing w:val="-1"/>
                <w:sz w:val="18"/>
              </w:rPr>
              <w:t>this</w:t>
            </w:r>
            <w:r>
              <w:rPr>
                <w:rFonts w:ascii="Calibri"/>
                <w:spacing w:val="-5"/>
                <w:sz w:val="18"/>
              </w:rPr>
              <w:t xml:space="preserve"> </w:t>
            </w:r>
            <w:r>
              <w:rPr>
                <w:rFonts w:ascii="Calibri"/>
                <w:sz w:val="18"/>
              </w:rPr>
              <w:t>as</w:t>
            </w:r>
            <w:r>
              <w:rPr>
                <w:rFonts w:ascii="Calibri"/>
                <w:spacing w:val="-4"/>
                <w:sz w:val="18"/>
              </w:rPr>
              <w:t xml:space="preserve"> </w:t>
            </w:r>
            <w:r>
              <w:rPr>
                <w:rFonts w:ascii="Calibri"/>
                <w:sz w:val="18"/>
              </w:rPr>
              <w:t>an</w:t>
            </w:r>
            <w:r>
              <w:rPr>
                <w:rFonts w:ascii="Calibri"/>
                <w:spacing w:val="-5"/>
                <w:sz w:val="18"/>
              </w:rPr>
              <w:t xml:space="preserve"> </w:t>
            </w:r>
            <w:r>
              <w:rPr>
                <w:rFonts w:ascii="Calibri"/>
                <w:sz w:val="18"/>
              </w:rPr>
              <w:t>issue</w:t>
            </w:r>
            <w:r>
              <w:rPr>
                <w:rFonts w:ascii="Calibri"/>
                <w:spacing w:val="-4"/>
                <w:sz w:val="18"/>
              </w:rPr>
              <w:t xml:space="preserve"> </w:t>
            </w:r>
            <w:r>
              <w:rPr>
                <w:rFonts w:ascii="Calibri"/>
                <w:spacing w:val="-1"/>
                <w:sz w:val="18"/>
              </w:rPr>
              <w:t>in</w:t>
            </w:r>
            <w:r>
              <w:rPr>
                <w:rFonts w:ascii="Calibri"/>
                <w:spacing w:val="-5"/>
                <w:sz w:val="18"/>
              </w:rPr>
              <w:t xml:space="preserve"> </w:t>
            </w:r>
            <w:r>
              <w:rPr>
                <w:rFonts w:ascii="Calibri"/>
                <w:sz w:val="18"/>
              </w:rPr>
              <w:t>PY8</w:t>
            </w:r>
            <w:r>
              <w:rPr>
                <w:rFonts w:ascii="Calibri"/>
                <w:spacing w:val="-4"/>
                <w:sz w:val="18"/>
              </w:rPr>
              <w:t xml:space="preserve"> </w:t>
            </w:r>
            <w:r>
              <w:rPr>
                <w:rFonts w:ascii="Calibri"/>
                <w:sz w:val="18"/>
              </w:rPr>
              <w:t>and</w:t>
            </w:r>
            <w:r>
              <w:rPr>
                <w:rFonts w:ascii="Calibri"/>
                <w:spacing w:val="-4"/>
                <w:sz w:val="18"/>
              </w:rPr>
              <w:t xml:space="preserve"> </w:t>
            </w:r>
            <w:r>
              <w:rPr>
                <w:rFonts w:ascii="Calibri"/>
                <w:spacing w:val="-1"/>
                <w:sz w:val="18"/>
              </w:rPr>
              <w:t>cause</w:t>
            </w:r>
            <w:r>
              <w:rPr>
                <w:rFonts w:ascii="Calibri"/>
                <w:spacing w:val="-5"/>
                <w:sz w:val="18"/>
              </w:rPr>
              <w:t xml:space="preserve"> </w:t>
            </w:r>
            <w:r>
              <w:rPr>
                <w:rFonts w:ascii="Calibri"/>
                <w:sz w:val="18"/>
              </w:rPr>
              <w:t>for</w:t>
            </w:r>
            <w:r>
              <w:rPr>
                <w:rFonts w:ascii="Calibri"/>
                <w:spacing w:val="-4"/>
                <w:sz w:val="18"/>
              </w:rPr>
              <w:t xml:space="preserve"> </w:t>
            </w:r>
            <w:r>
              <w:rPr>
                <w:rFonts w:ascii="Calibri"/>
                <w:spacing w:val="-1"/>
                <w:sz w:val="18"/>
              </w:rPr>
              <w:t>dissatisfaction,</w:t>
            </w:r>
            <w:r>
              <w:rPr>
                <w:rFonts w:ascii="Calibri"/>
                <w:spacing w:val="51"/>
                <w:w w:val="99"/>
                <w:sz w:val="18"/>
              </w:rPr>
              <w:t xml:space="preserve"> </w:t>
            </w:r>
            <w:r>
              <w:rPr>
                <w:rFonts w:ascii="Calibri"/>
                <w:spacing w:val="-1"/>
                <w:sz w:val="18"/>
              </w:rPr>
              <w:t>consider</w:t>
            </w:r>
            <w:r>
              <w:rPr>
                <w:rFonts w:ascii="Calibri"/>
                <w:spacing w:val="-7"/>
                <w:sz w:val="18"/>
              </w:rPr>
              <w:t xml:space="preserve"> </w:t>
            </w:r>
            <w:r>
              <w:rPr>
                <w:rFonts w:ascii="Calibri"/>
                <w:spacing w:val="-1"/>
                <w:sz w:val="18"/>
              </w:rPr>
              <w:t>conducting</w:t>
            </w:r>
            <w:r>
              <w:rPr>
                <w:rFonts w:ascii="Calibri"/>
                <w:spacing w:val="-6"/>
                <w:sz w:val="18"/>
              </w:rPr>
              <w:t xml:space="preserve"> </w:t>
            </w:r>
            <w:r>
              <w:rPr>
                <w:rFonts w:ascii="Calibri"/>
                <w:sz w:val="18"/>
              </w:rPr>
              <w:t>more</w:t>
            </w:r>
            <w:r>
              <w:rPr>
                <w:rFonts w:ascii="Calibri"/>
                <w:spacing w:val="-7"/>
                <w:sz w:val="18"/>
              </w:rPr>
              <w:t xml:space="preserve"> </w:t>
            </w:r>
            <w:r>
              <w:rPr>
                <w:rFonts w:ascii="Calibri"/>
                <w:spacing w:val="-1"/>
                <w:sz w:val="18"/>
              </w:rPr>
              <w:t>extensive</w:t>
            </w:r>
            <w:r>
              <w:rPr>
                <w:rFonts w:ascii="Calibri"/>
                <w:spacing w:val="-6"/>
                <w:sz w:val="18"/>
              </w:rPr>
              <w:t xml:space="preserve"> </w:t>
            </w:r>
            <w:r>
              <w:rPr>
                <w:rFonts w:ascii="Calibri"/>
                <w:spacing w:val="-1"/>
                <w:sz w:val="18"/>
              </w:rPr>
              <w:t>analysis</w:t>
            </w:r>
            <w:r>
              <w:rPr>
                <w:rFonts w:ascii="Calibri"/>
                <w:spacing w:val="-7"/>
                <w:sz w:val="18"/>
              </w:rPr>
              <w:t xml:space="preserve"> </w:t>
            </w:r>
            <w:r>
              <w:rPr>
                <w:rFonts w:ascii="Calibri"/>
                <w:sz w:val="18"/>
              </w:rPr>
              <w:t>of</w:t>
            </w:r>
            <w:r>
              <w:rPr>
                <w:rFonts w:ascii="Calibri"/>
                <w:spacing w:val="-5"/>
                <w:sz w:val="18"/>
              </w:rPr>
              <w:t xml:space="preserve"> </w:t>
            </w:r>
            <w:r>
              <w:rPr>
                <w:rFonts w:ascii="Calibri"/>
                <w:spacing w:val="-1"/>
                <w:sz w:val="18"/>
              </w:rPr>
              <w:t>time</w:t>
            </w:r>
            <w:r>
              <w:rPr>
                <w:rFonts w:ascii="Calibri"/>
                <w:spacing w:val="-6"/>
                <w:sz w:val="18"/>
              </w:rPr>
              <w:t xml:space="preserve"> </w:t>
            </w:r>
            <w:r>
              <w:rPr>
                <w:rFonts w:ascii="Calibri"/>
                <w:spacing w:val="-1"/>
                <w:sz w:val="18"/>
              </w:rPr>
              <w:t>frames</w:t>
            </w:r>
            <w:r>
              <w:rPr>
                <w:rFonts w:ascii="Calibri"/>
                <w:spacing w:val="63"/>
                <w:w w:val="99"/>
                <w:sz w:val="18"/>
              </w:rPr>
              <w:t xml:space="preserve"> </w:t>
            </w:r>
            <w:r>
              <w:rPr>
                <w:rFonts w:ascii="Calibri"/>
                <w:sz w:val="18"/>
              </w:rPr>
              <w:t>for</w:t>
            </w:r>
            <w:r>
              <w:rPr>
                <w:rFonts w:ascii="Calibri"/>
                <w:spacing w:val="-5"/>
                <w:sz w:val="18"/>
              </w:rPr>
              <w:t xml:space="preserve"> </w:t>
            </w:r>
            <w:r>
              <w:rPr>
                <w:rFonts w:ascii="Calibri"/>
                <w:spacing w:val="-1"/>
                <w:sz w:val="18"/>
              </w:rPr>
              <w:t>receiving</w:t>
            </w:r>
            <w:r>
              <w:rPr>
                <w:rFonts w:ascii="Calibri"/>
                <w:spacing w:val="-5"/>
                <w:sz w:val="18"/>
              </w:rPr>
              <w:t xml:space="preserve"> </w:t>
            </w:r>
            <w:r>
              <w:rPr>
                <w:rFonts w:ascii="Calibri"/>
                <w:spacing w:val="-1"/>
                <w:sz w:val="18"/>
              </w:rPr>
              <w:t>rebate</w:t>
            </w:r>
            <w:r>
              <w:rPr>
                <w:rFonts w:ascii="Calibri"/>
                <w:spacing w:val="-4"/>
                <w:sz w:val="18"/>
              </w:rPr>
              <w:t xml:space="preserve"> </w:t>
            </w:r>
            <w:r>
              <w:rPr>
                <w:rFonts w:ascii="Calibri"/>
                <w:spacing w:val="-1"/>
                <w:sz w:val="18"/>
              </w:rPr>
              <w:t>checks,</w:t>
            </w:r>
            <w:r>
              <w:rPr>
                <w:rFonts w:ascii="Calibri"/>
                <w:spacing w:val="-4"/>
                <w:sz w:val="18"/>
              </w:rPr>
              <w:t xml:space="preserve"> </w:t>
            </w:r>
            <w:r>
              <w:rPr>
                <w:rFonts w:ascii="Calibri"/>
                <w:sz w:val="18"/>
              </w:rPr>
              <w:t>as</w:t>
            </w:r>
            <w:r>
              <w:rPr>
                <w:rFonts w:ascii="Calibri"/>
                <w:spacing w:val="-5"/>
                <w:sz w:val="18"/>
              </w:rPr>
              <w:t xml:space="preserve"> </w:t>
            </w:r>
            <w:r>
              <w:rPr>
                <w:rFonts w:ascii="Calibri"/>
                <w:spacing w:val="-1"/>
                <w:sz w:val="18"/>
              </w:rPr>
              <w:t>well</w:t>
            </w:r>
            <w:r>
              <w:rPr>
                <w:rFonts w:ascii="Calibri"/>
                <w:spacing w:val="-4"/>
                <w:sz w:val="18"/>
              </w:rPr>
              <w:t xml:space="preserve"> </w:t>
            </w:r>
            <w:r>
              <w:rPr>
                <w:rFonts w:ascii="Calibri"/>
                <w:sz w:val="18"/>
              </w:rPr>
              <w:t>as</w:t>
            </w:r>
            <w:r>
              <w:rPr>
                <w:rFonts w:ascii="Calibri"/>
                <w:spacing w:val="-5"/>
                <w:sz w:val="18"/>
              </w:rPr>
              <w:t xml:space="preserve"> </w:t>
            </w:r>
            <w:r>
              <w:rPr>
                <w:rFonts w:ascii="Calibri"/>
                <w:sz w:val="18"/>
              </w:rPr>
              <w:t>the</w:t>
            </w:r>
            <w:r>
              <w:rPr>
                <w:rFonts w:ascii="Calibri"/>
                <w:spacing w:val="-4"/>
                <w:sz w:val="18"/>
              </w:rPr>
              <w:t xml:space="preserve"> </w:t>
            </w:r>
            <w:r>
              <w:rPr>
                <w:rFonts w:ascii="Calibri"/>
                <w:spacing w:val="-1"/>
                <w:sz w:val="18"/>
              </w:rPr>
              <w:t>feasibility</w:t>
            </w:r>
            <w:r>
              <w:rPr>
                <w:rFonts w:ascii="Calibri"/>
                <w:spacing w:val="-4"/>
                <w:sz w:val="18"/>
              </w:rPr>
              <w:t xml:space="preserve"> </w:t>
            </w:r>
            <w:r>
              <w:rPr>
                <w:rFonts w:ascii="Calibri"/>
                <w:sz w:val="18"/>
              </w:rPr>
              <w:t>of</w:t>
            </w:r>
            <w:r>
              <w:rPr>
                <w:rFonts w:ascii="Calibri"/>
                <w:spacing w:val="51"/>
                <w:w w:val="99"/>
                <w:sz w:val="18"/>
              </w:rPr>
              <w:t xml:space="preserve"> </w:t>
            </w:r>
            <w:r>
              <w:rPr>
                <w:rFonts w:ascii="Calibri"/>
                <w:spacing w:val="-1"/>
                <w:sz w:val="18"/>
              </w:rPr>
              <w:t>instituting</w:t>
            </w:r>
            <w:r>
              <w:rPr>
                <w:rFonts w:ascii="Calibri"/>
                <w:spacing w:val="-8"/>
                <w:sz w:val="18"/>
              </w:rPr>
              <w:t xml:space="preserve"> </w:t>
            </w:r>
            <w:r>
              <w:rPr>
                <w:rFonts w:ascii="Calibri"/>
                <w:sz w:val="18"/>
              </w:rPr>
              <w:t>a</w:t>
            </w:r>
            <w:r>
              <w:rPr>
                <w:rFonts w:ascii="Calibri"/>
                <w:spacing w:val="-6"/>
                <w:sz w:val="18"/>
              </w:rPr>
              <w:t xml:space="preserve"> </w:t>
            </w:r>
            <w:r>
              <w:rPr>
                <w:rFonts w:ascii="Calibri"/>
                <w:spacing w:val="-1"/>
                <w:sz w:val="18"/>
              </w:rPr>
              <w:t>procedure</w:t>
            </w:r>
            <w:r>
              <w:rPr>
                <w:rFonts w:ascii="Calibri"/>
                <w:spacing w:val="-7"/>
                <w:sz w:val="18"/>
              </w:rPr>
              <w:t xml:space="preserve"> </w:t>
            </w:r>
            <w:r>
              <w:rPr>
                <w:rFonts w:ascii="Calibri"/>
                <w:spacing w:val="-1"/>
                <w:sz w:val="18"/>
              </w:rPr>
              <w:t>whereby</w:t>
            </w:r>
            <w:r>
              <w:rPr>
                <w:rFonts w:ascii="Calibri"/>
                <w:spacing w:val="-5"/>
                <w:sz w:val="18"/>
              </w:rPr>
              <w:t xml:space="preserve"> </w:t>
            </w:r>
            <w:r>
              <w:rPr>
                <w:rFonts w:ascii="Calibri"/>
                <w:spacing w:val="-1"/>
                <w:sz w:val="18"/>
              </w:rPr>
              <w:t>program</w:t>
            </w:r>
            <w:r>
              <w:rPr>
                <w:rFonts w:ascii="Calibri"/>
                <w:spacing w:val="-6"/>
                <w:sz w:val="18"/>
              </w:rPr>
              <w:t xml:space="preserve"> </w:t>
            </w:r>
            <w:r>
              <w:rPr>
                <w:rFonts w:ascii="Calibri"/>
                <w:spacing w:val="-1"/>
                <w:sz w:val="18"/>
              </w:rPr>
              <w:t>management</w:t>
            </w:r>
            <w:r>
              <w:rPr>
                <w:rFonts w:ascii="Calibri"/>
                <w:spacing w:val="-6"/>
                <w:sz w:val="18"/>
              </w:rPr>
              <w:t xml:space="preserve"> </w:t>
            </w:r>
            <w:r>
              <w:rPr>
                <w:rFonts w:ascii="Calibri"/>
                <w:spacing w:val="-1"/>
                <w:sz w:val="18"/>
              </w:rPr>
              <w:t>is</w:t>
            </w:r>
            <w:r>
              <w:rPr>
                <w:rFonts w:ascii="Calibri"/>
                <w:spacing w:val="59"/>
                <w:w w:val="99"/>
                <w:sz w:val="18"/>
              </w:rPr>
              <w:t xml:space="preserve"> </w:t>
            </w:r>
            <w:r>
              <w:rPr>
                <w:rFonts w:ascii="Calibri"/>
                <w:spacing w:val="-1"/>
                <w:sz w:val="18"/>
              </w:rPr>
              <w:t>automatically</w:t>
            </w:r>
            <w:r>
              <w:rPr>
                <w:rFonts w:ascii="Calibri"/>
                <w:spacing w:val="-6"/>
                <w:sz w:val="18"/>
              </w:rPr>
              <w:t xml:space="preserve"> </w:t>
            </w:r>
            <w:r>
              <w:rPr>
                <w:rFonts w:ascii="Calibri"/>
                <w:spacing w:val="-1"/>
                <w:sz w:val="18"/>
              </w:rPr>
              <w:t>notified</w:t>
            </w:r>
            <w:r>
              <w:rPr>
                <w:rFonts w:ascii="Calibri"/>
                <w:spacing w:val="-6"/>
                <w:sz w:val="18"/>
              </w:rPr>
              <w:t xml:space="preserve"> </w:t>
            </w:r>
            <w:r>
              <w:rPr>
                <w:rFonts w:ascii="Calibri"/>
                <w:sz w:val="18"/>
              </w:rPr>
              <w:t>when</w:t>
            </w:r>
            <w:r>
              <w:rPr>
                <w:rFonts w:ascii="Calibri"/>
                <w:spacing w:val="-6"/>
                <w:sz w:val="18"/>
              </w:rPr>
              <w:t xml:space="preserve"> </w:t>
            </w:r>
            <w:r>
              <w:rPr>
                <w:rFonts w:ascii="Calibri"/>
                <w:sz w:val="18"/>
              </w:rPr>
              <w:t>a</w:t>
            </w:r>
            <w:r>
              <w:rPr>
                <w:rFonts w:ascii="Calibri"/>
                <w:spacing w:val="-5"/>
                <w:sz w:val="18"/>
              </w:rPr>
              <w:t xml:space="preserve"> </w:t>
            </w:r>
            <w:r>
              <w:rPr>
                <w:rFonts w:ascii="Calibri"/>
                <w:spacing w:val="-1"/>
                <w:sz w:val="18"/>
              </w:rPr>
              <w:t>participant</w:t>
            </w:r>
            <w:r>
              <w:rPr>
                <w:rFonts w:ascii="Calibri"/>
                <w:spacing w:val="-4"/>
                <w:sz w:val="18"/>
              </w:rPr>
              <w:t xml:space="preserve"> </w:t>
            </w:r>
            <w:r>
              <w:rPr>
                <w:rFonts w:ascii="Calibri"/>
                <w:spacing w:val="-1"/>
                <w:sz w:val="18"/>
              </w:rPr>
              <w:t>has</w:t>
            </w:r>
            <w:r>
              <w:rPr>
                <w:rFonts w:ascii="Calibri"/>
                <w:spacing w:val="-6"/>
                <w:sz w:val="18"/>
              </w:rPr>
              <w:t xml:space="preserve"> </w:t>
            </w:r>
            <w:r>
              <w:rPr>
                <w:rFonts w:ascii="Calibri"/>
                <w:spacing w:val="-1"/>
                <w:sz w:val="18"/>
              </w:rPr>
              <w:t>waited</w:t>
            </w:r>
            <w:r>
              <w:rPr>
                <w:rFonts w:ascii="Calibri"/>
                <w:spacing w:val="-5"/>
                <w:sz w:val="18"/>
              </w:rPr>
              <w:t xml:space="preserve"> </w:t>
            </w:r>
            <w:r>
              <w:rPr>
                <w:rFonts w:ascii="Calibri"/>
                <w:spacing w:val="-1"/>
                <w:sz w:val="18"/>
              </w:rPr>
              <w:t>longer</w:t>
            </w:r>
            <w:r>
              <w:rPr>
                <w:rFonts w:ascii="Calibri"/>
                <w:spacing w:val="59"/>
                <w:w w:val="99"/>
                <w:sz w:val="18"/>
              </w:rPr>
              <w:t xml:space="preserve"> </w:t>
            </w:r>
            <w:r>
              <w:rPr>
                <w:rFonts w:ascii="Calibri"/>
                <w:spacing w:val="-1"/>
                <w:sz w:val="18"/>
              </w:rPr>
              <w:t>than</w:t>
            </w:r>
            <w:r>
              <w:rPr>
                <w:rFonts w:ascii="Calibri"/>
                <w:spacing w:val="-6"/>
                <w:sz w:val="18"/>
              </w:rPr>
              <w:t xml:space="preserve"> </w:t>
            </w:r>
            <w:r>
              <w:rPr>
                <w:rFonts w:ascii="Calibri"/>
                <w:sz w:val="18"/>
              </w:rPr>
              <w:t>a</w:t>
            </w:r>
            <w:r>
              <w:rPr>
                <w:rFonts w:ascii="Calibri"/>
                <w:spacing w:val="-5"/>
                <w:sz w:val="18"/>
              </w:rPr>
              <w:t xml:space="preserve"> </w:t>
            </w:r>
            <w:r>
              <w:rPr>
                <w:rFonts w:ascii="Calibri"/>
                <w:spacing w:val="-1"/>
                <w:sz w:val="18"/>
              </w:rPr>
              <w:t>pre-specified</w:t>
            </w:r>
            <w:r>
              <w:rPr>
                <w:rFonts w:ascii="Calibri"/>
                <w:spacing w:val="-4"/>
                <w:sz w:val="18"/>
              </w:rPr>
              <w:t xml:space="preserve"> </w:t>
            </w:r>
            <w:r>
              <w:rPr>
                <w:rFonts w:ascii="Calibri"/>
                <w:spacing w:val="-1"/>
                <w:sz w:val="18"/>
              </w:rPr>
              <w:t>period</w:t>
            </w:r>
            <w:r>
              <w:rPr>
                <w:rFonts w:ascii="Calibri"/>
                <w:spacing w:val="-4"/>
                <w:sz w:val="18"/>
              </w:rPr>
              <w:t xml:space="preserve"> </w:t>
            </w:r>
            <w:r>
              <w:rPr>
                <w:rFonts w:ascii="Calibri"/>
                <w:sz w:val="18"/>
              </w:rPr>
              <w:t>before</w:t>
            </w:r>
            <w:r>
              <w:rPr>
                <w:rFonts w:ascii="Calibri"/>
                <w:spacing w:val="-6"/>
                <w:sz w:val="18"/>
              </w:rPr>
              <w:t xml:space="preserve"> </w:t>
            </w:r>
            <w:r>
              <w:rPr>
                <w:rFonts w:ascii="Calibri"/>
                <w:spacing w:val="-1"/>
                <w:sz w:val="18"/>
              </w:rPr>
              <w:t>they</w:t>
            </w:r>
            <w:r>
              <w:rPr>
                <w:rFonts w:ascii="Calibri"/>
                <w:spacing w:val="-4"/>
                <w:sz w:val="18"/>
              </w:rPr>
              <w:t xml:space="preserve"> </w:t>
            </w:r>
            <w:r>
              <w:rPr>
                <w:rFonts w:ascii="Calibri"/>
                <w:spacing w:val="-1"/>
                <w:sz w:val="18"/>
              </w:rPr>
              <w:t>receive</w:t>
            </w:r>
            <w:r>
              <w:rPr>
                <w:rFonts w:ascii="Calibri"/>
                <w:spacing w:val="-6"/>
                <w:sz w:val="18"/>
              </w:rPr>
              <w:t xml:space="preserve"> </w:t>
            </w:r>
            <w:r>
              <w:rPr>
                <w:rFonts w:ascii="Calibri"/>
                <w:spacing w:val="-1"/>
                <w:sz w:val="18"/>
              </w:rPr>
              <w:t>their</w:t>
            </w:r>
            <w:r>
              <w:rPr>
                <w:rFonts w:ascii="Calibri"/>
                <w:spacing w:val="-6"/>
                <w:sz w:val="18"/>
              </w:rPr>
              <w:t xml:space="preserve"> </w:t>
            </w:r>
            <w:r>
              <w:rPr>
                <w:rFonts w:ascii="Calibri"/>
                <w:spacing w:val="-1"/>
                <w:sz w:val="18"/>
              </w:rPr>
              <w:t>rebate</w:t>
            </w:r>
            <w:r>
              <w:rPr>
                <w:rFonts w:ascii="Calibri"/>
                <w:spacing w:val="61"/>
                <w:w w:val="99"/>
                <w:sz w:val="18"/>
              </w:rPr>
              <w:t xml:space="preserve"> </w:t>
            </w:r>
            <w:r>
              <w:rPr>
                <w:rFonts w:ascii="Calibri"/>
                <w:spacing w:val="-1"/>
                <w:sz w:val="18"/>
              </w:rPr>
              <w:t>check,</w:t>
            </w:r>
            <w:r>
              <w:rPr>
                <w:rFonts w:ascii="Calibri"/>
                <w:spacing w:val="-6"/>
                <w:sz w:val="18"/>
              </w:rPr>
              <w:t xml:space="preserve"> </w:t>
            </w:r>
            <w:r>
              <w:rPr>
                <w:rFonts w:ascii="Calibri"/>
                <w:spacing w:val="-1"/>
                <w:sz w:val="18"/>
              </w:rPr>
              <w:t>so</w:t>
            </w:r>
            <w:r>
              <w:rPr>
                <w:rFonts w:ascii="Calibri"/>
                <w:spacing w:val="-4"/>
                <w:sz w:val="18"/>
              </w:rPr>
              <w:t xml:space="preserve"> </w:t>
            </w:r>
            <w:r>
              <w:rPr>
                <w:rFonts w:ascii="Calibri"/>
                <w:spacing w:val="-1"/>
                <w:sz w:val="18"/>
              </w:rPr>
              <w:t>that</w:t>
            </w:r>
            <w:r>
              <w:rPr>
                <w:rFonts w:ascii="Calibri"/>
                <w:spacing w:val="-6"/>
                <w:sz w:val="18"/>
              </w:rPr>
              <w:t xml:space="preserve"> </w:t>
            </w:r>
            <w:r>
              <w:rPr>
                <w:rFonts w:ascii="Calibri"/>
                <w:spacing w:val="-1"/>
                <w:sz w:val="18"/>
              </w:rPr>
              <w:t>management</w:t>
            </w:r>
            <w:r>
              <w:rPr>
                <w:rFonts w:ascii="Calibri"/>
                <w:spacing w:val="-6"/>
                <w:sz w:val="18"/>
              </w:rPr>
              <w:t xml:space="preserve"> </w:t>
            </w:r>
            <w:r>
              <w:rPr>
                <w:rFonts w:ascii="Calibri"/>
                <w:sz w:val="18"/>
              </w:rPr>
              <w:t>can</w:t>
            </w:r>
            <w:r>
              <w:rPr>
                <w:rFonts w:ascii="Calibri"/>
                <w:spacing w:val="-6"/>
                <w:sz w:val="18"/>
              </w:rPr>
              <w:t xml:space="preserve"> </w:t>
            </w:r>
            <w:r>
              <w:rPr>
                <w:rFonts w:ascii="Calibri"/>
                <w:sz w:val="18"/>
              </w:rPr>
              <w:t>then</w:t>
            </w:r>
            <w:r>
              <w:rPr>
                <w:rFonts w:ascii="Calibri"/>
                <w:spacing w:val="-5"/>
                <w:sz w:val="18"/>
              </w:rPr>
              <w:t xml:space="preserve"> </w:t>
            </w:r>
            <w:r>
              <w:rPr>
                <w:rFonts w:ascii="Calibri"/>
                <w:spacing w:val="-1"/>
                <w:sz w:val="18"/>
              </w:rPr>
              <w:t>contact</w:t>
            </w:r>
            <w:r>
              <w:rPr>
                <w:rFonts w:ascii="Calibri"/>
                <w:spacing w:val="-6"/>
                <w:sz w:val="18"/>
              </w:rPr>
              <w:t xml:space="preserve"> </w:t>
            </w:r>
            <w:r>
              <w:rPr>
                <w:rFonts w:ascii="Calibri"/>
                <w:spacing w:val="-1"/>
                <w:sz w:val="18"/>
              </w:rPr>
              <w:t>the</w:t>
            </w:r>
            <w:r>
              <w:rPr>
                <w:rFonts w:ascii="Calibri"/>
                <w:spacing w:val="-6"/>
                <w:sz w:val="18"/>
              </w:rPr>
              <w:t xml:space="preserve"> </w:t>
            </w:r>
            <w:r>
              <w:rPr>
                <w:rFonts w:ascii="Calibri"/>
                <w:sz w:val="18"/>
              </w:rPr>
              <w:t>customer</w:t>
            </w:r>
            <w:r>
              <w:rPr>
                <w:rFonts w:ascii="Calibri"/>
                <w:spacing w:val="43"/>
                <w:w w:val="99"/>
                <w:sz w:val="18"/>
              </w:rPr>
              <w:t xml:space="preserve"> </w:t>
            </w:r>
            <w:r>
              <w:rPr>
                <w:rFonts w:ascii="Calibri"/>
                <w:spacing w:val="-1"/>
                <w:sz w:val="18"/>
              </w:rPr>
              <w:t>to</w:t>
            </w:r>
            <w:r>
              <w:rPr>
                <w:rFonts w:ascii="Calibri"/>
                <w:spacing w:val="-3"/>
                <w:sz w:val="18"/>
              </w:rPr>
              <w:t xml:space="preserve"> </w:t>
            </w:r>
            <w:r>
              <w:rPr>
                <w:rFonts w:ascii="Calibri"/>
                <w:spacing w:val="-1"/>
                <w:sz w:val="18"/>
              </w:rPr>
              <w:t>provide</w:t>
            </w:r>
            <w:r>
              <w:rPr>
                <w:rFonts w:ascii="Calibri"/>
                <w:spacing w:val="-4"/>
                <w:sz w:val="18"/>
              </w:rPr>
              <w:t xml:space="preserve"> </w:t>
            </w:r>
            <w:r>
              <w:rPr>
                <w:rFonts w:ascii="Calibri"/>
                <w:sz w:val="18"/>
              </w:rPr>
              <w:t>an</w:t>
            </w:r>
            <w:r>
              <w:rPr>
                <w:rFonts w:ascii="Calibri"/>
                <w:spacing w:val="-4"/>
                <w:sz w:val="18"/>
              </w:rPr>
              <w:t xml:space="preserve"> </w:t>
            </w:r>
            <w:r>
              <w:rPr>
                <w:rFonts w:ascii="Calibri"/>
                <w:spacing w:val="-1"/>
                <w:sz w:val="18"/>
              </w:rPr>
              <w:t>update</w:t>
            </w:r>
            <w:r>
              <w:rPr>
                <w:rFonts w:ascii="Calibri"/>
                <w:spacing w:val="-3"/>
                <w:sz w:val="18"/>
              </w:rPr>
              <w:t xml:space="preserve"> </w:t>
            </w:r>
            <w:r>
              <w:rPr>
                <w:rFonts w:ascii="Calibri"/>
                <w:spacing w:val="1"/>
                <w:sz w:val="18"/>
              </w:rPr>
              <w:t>as</w:t>
            </w:r>
            <w:r>
              <w:rPr>
                <w:rFonts w:ascii="Calibri"/>
                <w:spacing w:val="-4"/>
                <w:sz w:val="18"/>
              </w:rPr>
              <w:t xml:space="preserve"> </w:t>
            </w:r>
            <w:r>
              <w:rPr>
                <w:rFonts w:ascii="Calibri"/>
                <w:spacing w:val="-1"/>
                <w:sz w:val="18"/>
              </w:rPr>
              <w:t>to</w:t>
            </w:r>
            <w:r>
              <w:rPr>
                <w:rFonts w:ascii="Calibri"/>
                <w:spacing w:val="-3"/>
                <w:sz w:val="18"/>
              </w:rPr>
              <w:t xml:space="preserve"> </w:t>
            </w:r>
            <w:r>
              <w:rPr>
                <w:rFonts w:ascii="Calibri"/>
                <w:spacing w:val="-1"/>
                <w:sz w:val="18"/>
              </w:rPr>
              <w:t>when</w:t>
            </w:r>
            <w:r>
              <w:rPr>
                <w:rFonts w:ascii="Calibri"/>
                <w:spacing w:val="-2"/>
                <w:sz w:val="18"/>
              </w:rPr>
              <w:t xml:space="preserve"> </w:t>
            </w:r>
            <w:r>
              <w:rPr>
                <w:rFonts w:ascii="Calibri"/>
                <w:spacing w:val="-1"/>
                <w:sz w:val="18"/>
              </w:rPr>
              <w:t>the</w:t>
            </w:r>
            <w:r>
              <w:rPr>
                <w:rFonts w:ascii="Calibri"/>
                <w:spacing w:val="-4"/>
                <w:sz w:val="18"/>
              </w:rPr>
              <w:t xml:space="preserve"> </w:t>
            </w:r>
            <w:r>
              <w:rPr>
                <w:rFonts w:ascii="Calibri"/>
                <w:spacing w:val="-1"/>
                <w:sz w:val="18"/>
              </w:rPr>
              <w:t>check</w:t>
            </w:r>
            <w:r>
              <w:rPr>
                <w:rFonts w:ascii="Calibri"/>
                <w:spacing w:val="-3"/>
                <w:sz w:val="18"/>
              </w:rPr>
              <w:t xml:space="preserve"> </w:t>
            </w:r>
            <w:r>
              <w:rPr>
                <w:rFonts w:ascii="Calibri"/>
                <w:spacing w:val="-1"/>
                <w:sz w:val="18"/>
              </w:rPr>
              <w:t>will be</w:t>
            </w:r>
            <w:r>
              <w:rPr>
                <w:rFonts w:ascii="Calibri"/>
                <w:spacing w:val="-4"/>
                <w:sz w:val="18"/>
              </w:rPr>
              <w:t xml:space="preserve"> </w:t>
            </w:r>
            <w:r>
              <w:rPr>
                <w:rFonts w:ascii="Calibri"/>
                <w:spacing w:val="-1"/>
                <w:sz w:val="18"/>
              </w:rPr>
              <w:t>issued.</w:t>
            </w:r>
            <w:r>
              <w:rPr>
                <w:rFonts w:ascii="Calibri"/>
                <w:spacing w:val="-3"/>
                <w:sz w:val="18"/>
              </w:rPr>
              <w:t xml:space="preserve"> </w:t>
            </w:r>
            <w:r>
              <w:rPr>
                <w:rFonts w:ascii="Calibri"/>
                <w:sz w:val="18"/>
              </w:rPr>
              <w:t>It</w:t>
            </w:r>
            <w:r>
              <w:rPr>
                <w:rFonts w:ascii="Calibri"/>
                <w:spacing w:val="55"/>
                <w:w w:val="99"/>
                <w:sz w:val="18"/>
              </w:rPr>
              <w:t xml:space="preserve"> </w:t>
            </w:r>
            <w:r>
              <w:rPr>
                <w:rFonts w:ascii="Calibri"/>
                <w:sz w:val="18"/>
              </w:rPr>
              <w:t>may</w:t>
            </w:r>
            <w:r>
              <w:rPr>
                <w:rFonts w:ascii="Calibri"/>
                <w:spacing w:val="-5"/>
                <w:sz w:val="18"/>
              </w:rPr>
              <w:t xml:space="preserve"> </w:t>
            </w:r>
            <w:r>
              <w:rPr>
                <w:rFonts w:ascii="Calibri"/>
                <w:spacing w:val="-1"/>
                <w:sz w:val="18"/>
              </w:rPr>
              <w:t>also</w:t>
            </w:r>
            <w:r>
              <w:rPr>
                <w:rFonts w:ascii="Calibri"/>
                <w:spacing w:val="-4"/>
                <w:sz w:val="18"/>
              </w:rPr>
              <w:t xml:space="preserve"> </w:t>
            </w:r>
            <w:r>
              <w:rPr>
                <w:rFonts w:ascii="Calibri"/>
                <w:spacing w:val="-1"/>
                <w:sz w:val="18"/>
              </w:rPr>
              <w:t>be</w:t>
            </w:r>
            <w:r>
              <w:rPr>
                <w:rFonts w:ascii="Calibri"/>
                <w:spacing w:val="-6"/>
                <w:sz w:val="18"/>
              </w:rPr>
              <w:t xml:space="preserve"> </w:t>
            </w:r>
            <w:r>
              <w:rPr>
                <w:rFonts w:ascii="Calibri"/>
                <w:spacing w:val="-1"/>
                <w:sz w:val="18"/>
              </w:rPr>
              <w:t>important</w:t>
            </w:r>
            <w:r>
              <w:rPr>
                <w:rFonts w:ascii="Calibri"/>
                <w:spacing w:val="-6"/>
                <w:sz w:val="18"/>
              </w:rPr>
              <w:t xml:space="preserve"> </w:t>
            </w:r>
            <w:r>
              <w:rPr>
                <w:rFonts w:ascii="Calibri"/>
                <w:spacing w:val="-1"/>
                <w:sz w:val="18"/>
              </w:rPr>
              <w:t>to</w:t>
            </w:r>
            <w:r>
              <w:rPr>
                <w:rFonts w:ascii="Calibri"/>
                <w:spacing w:val="-4"/>
                <w:sz w:val="18"/>
              </w:rPr>
              <w:t xml:space="preserve"> </w:t>
            </w:r>
            <w:r>
              <w:rPr>
                <w:rFonts w:ascii="Calibri"/>
                <w:sz w:val="18"/>
              </w:rPr>
              <w:t>more</w:t>
            </w:r>
            <w:r>
              <w:rPr>
                <w:rFonts w:ascii="Calibri"/>
                <w:spacing w:val="-6"/>
                <w:sz w:val="18"/>
              </w:rPr>
              <w:t xml:space="preserve"> </w:t>
            </w:r>
            <w:r>
              <w:rPr>
                <w:rFonts w:ascii="Calibri"/>
                <w:spacing w:val="-1"/>
                <w:sz w:val="18"/>
              </w:rPr>
              <w:t>effectively</w:t>
            </w:r>
            <w:r>
              <w:rPr>
                <w:rFonts w:ascii="Calibri"/>
                <w:spacing w:val="-4"/>
                <w:sz w:val="18"/>
              </w:rPr>
              <w:t xml:space="preserve"> </w:t>
            </w:r>
            <w:r>
              <w:rPr>
                <w:rFonts w:ascii="Calibri"/>
                <w:spacing w:val="-1"/>
                <w:sz w:val="18"/>
              </w:rPr>
              <w:t>communicate</w:t>
            </w:r>
            <w:r>
              <w:rPr>
                <w:rFonts w:ascii="Calibri"/>
                <w:spacing w:val="-6"/>
                <w:sz w:val="18"/>
              </w:rPr>
              <w:t xml:space="preserve"> </w:t>
            </w:r>
            <w:r>
              <w:rPr>
                <w:rFonts w:ascii="Calibri"/>
                <w:spacing w:val="-1"/>
                <w:sz w:val="18"/>
              </w:rPr>
              <w:t>the</w:t>
            </w:r>
            <w:r>
              <w:rPr>
                <w:rFonts w:ascii="Calibri"/>
                <w:spacing w:val="51"/>
                <w:w w:val="99"/>
                <w:sz w:val="18"/>
              </w:rPr>
              <w:t xml:space="preserve"> </w:t>
            </w:r>
            <w:r>
              <w:rPr>
                <w:rFonts w:ascii="Calibri"/>
                <w:spacing w:val="-1"/>
                <w:sz w:val="18"/>
              </w:rPr>
              <w:t>likely</w:t>
            </w:r>
            <w:r>
              <w:rPr>
                <w:rFonts w:ascii="Calibri"/>
                <w:spacing w:val="-4"/>
                <w:sz w:val="18"/>
              </w:rPr>
              <w:t xml:space="preserve"> </w:t>
            </w:r>
            <w:r>
              <w:rPr>
                <w:rFonts w:ascii="Calibri"/>
                <w:sz w:val="18"/>
              </w:rPr>
              <w:t>time</w:t>
            </w:r>
            <w:r>
              <w:rPr>
                <w:rFonts w:ascii="Calibri"/>
                <w:spacing w:val="-5"/>
                <w:sz w:val="18"/>
              </w:rPr>
              <w:t xml:space="preserve"> </w:t>
            </w:r>
            <w:r>
              <w:rPr>
                <w:rFonts w:ascii="Calibri"/>
                <w:spacing w:val="-1"/>
                <w:sz w:val="18"/>
              </w:rPr>
              <w:t>frame</w:t>
            </w:r>
            <w:r>
              <w:rPr>
                <w:rFonts w:ascii="Calibri"/>
                <w:spacing w:val="-5"/>
                <w:sz w:val="18"/>
              </w:rPr>
              <w:t xml:space="preserve"> </w:t>
            </w:r>
            <w:r>
              <w:rPr>
                <w:rFonts w:ascii="Calibri"/>
                <w:sz w:val="18"/>
              </w:rPr>
              <w:t>for</w:t>
            </w:r>
            <w:r>
              <w:rPr>
                <w:rFonts w:ascii="Calibri"/>
                <w:spacing w:val="-5"/>
                <w:sz w:val="18"/>
              </w:rPr>
              <w:t xml:space="preserve"> </w:t>
            </w:r>
            <w:r>
              <w:rPr>
                <w:rFonts w:ascii="Calibri"/>
                <w:spacing w:val="-1"/>
                <w:sz w:val="18"/>
              </w:rPr>
              <w:t>receiving</w:t>
            </w:r>
            <w:r>
              <w:rPr>
                <w:rFonts w:ascii="Calibri"/>
                <w:spacing w:val="-5"/>
                <w:sz w:val="18"/>
              </w:rPr>
              <w:t xml:space="preserve"> </w:t>
            </w:r>
            <w:r>
              <w:rPr>
                <w:rFonts w:ascii="Calibri"/>
                <w:spacing w:val="-1"/>
                <w:sz w:val="18"/>
              </w:rPr>
              <w:t>rebate</w:t>
            </w:r>
            <w:r>
              <w:rPr>
                <w:rFonts w:ascii="Calibri"/>
                <w:spacing w:val="-5"/>
                <w:sz w:val="18"/>
              </w:rPr>
              <w:t xml:space="preserve"> </w:t>
            </w:r>
            <w:r>
              <w:rPr>
                <w:rFonts w:ascii="Calibri"/>
                <w:spacing w:val="-1"/>
                <w:sz w:val="18"/>
              </w:rPr>
              <w:t>checks</w:t>
            </w:r>
            <w:r>
              <w:rPr>
                <w:rFonts w:ascii="Calibri"/>
                <w:spacing w:val="-5"/>
                <w:sz w:val="18"/>
              </w:rPr>
              <w:t xml:space="preserve"> </w:t>
            </w:r>
            <w:r>
              <w:rPr>
                <w:rFonts w:ascii="Calibri"/>
                <w:spacing w:val="-1"/>
                <w:sz w:val="18"/>
              </w:rPr>
              <w:t>to</w:t>
            </w:r>
            <w:r>
              <w:rPr>
                <w:rFonts w:ascii="Calibri"/>
                <w:spacing w:val="-3"/>
                <w:sz w:val="18"/>
              </w:rPr>
              <w:t xml:space="preserve"> </w:t>
            </w:r>
            <w:r>
              <w:rPr>
                <w:rFonts w:ascii="Calibri"/>
                <w:sz w:val="18"/>
              </w:rPr>
              <w:t>the</w:t>
            </w:r>
            <w:r>
              <w:rPr>
                <w:rFonts w:ascii="Calibri"/>
                <w:spacing w:val="43"/>
                <w:w w:val="99"/>
                <w:sz w:val="18"/>
              </w:rPr>
              <w:t xml:space="preserve"> </w:t>
            </w:r>
            <w:r>
              <w:rPr>
                <w:rFonts w:ascii="Calibri"/>
                <w:spacing w:val="-1"/>
                <w:sz w:val="18"/>
              </w:rPr>
              <w:t>customers.</w:t>
            </w:r>
          </w:p>
        </w:tc>
        <w:tc>
          <w:tcPr>
            <w:tcW w:w="4680" w:type="dxa"/>
            <w:shd w:val="clear" w:color="auto" w:fill="D2EAF1"/>
          </w:tcPr>
          <w:p w:rsidR="00E646C9" w:rsidRDefault="00E646C9" w:rsidP="00C94D5A">
            <w:pPr>
              <w:pStyle w:val="TableParagraph"/>
              <w:spacing w:line="218" w:lineRule="exact"/>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C94D5A">
        <w:trPr>
          <w:trHeight w:hRule="exact" w:val="1478"/>
        </w:trPr>
        <w:tc>
          <w:tcPr>
            <w:tcW w:w="4680" w:type="dxa"/>
            <w:shd w:val="clear" w:color="auto" w:fill="auto"/>
          </w:tcPr>
          <w:p w:rsidR="00E646C9" w:rsidRDefault="00E646C9" w:rsidP="00C94D5A">
            <w:pPr>
              <w:pStyle w:val="TableParagraph"/>
              <w:spacing w:line="219"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2</w:t>
            </w:r>
          </w:p>
          <w:p w:rsidR="00E646C9" w:rsidRDefault="00E646C9" w:rsidP="00C94D5A">
            <w:pPr>
              <w:pStyle w:val="TableParagraph"/>
              <w:spacing w:line="218" w:lineRule="exact"/>
              <w:ind w:left="97"/>
              <w:rPr>
                <w:rFonts w:ascii="Calibri"/>
                <w:b/>
                <w:spacing w:val="-1"/>
                <w:sz w:val="18"/>
              </w:rPr>
            </w:pPr>
            <w:r>
              <w:rPr>
                <w:rFonts w:ascii="Calibri"/>
                <w:spacing w:val="-1"/>
                <w:sz w:val="18"/>
              </w:rPr>
              <w:t>Monitor</w:t>
            </w:r>
            <w:r>
              <w:rPr>
                <w:rFonts w:ascii="Calibri"/>
                <w:spacing w:val="-7"/>
                <w:sz w:val="18"/>
              </w:rPr>
              <w:t xml:space="preserve"> </w:t>
            </w:r>
            <w:r>
              <w:rPr>
                <w:rFonts w:ascii="Calibri"/>
                <w:spacing w:val="-1"/>
                <w:sz w:val="18"/>
              </w:rPr>
              <w:t>closely</w:t>
            </w:r>
            <w:r>
              <w:rPr>
                <w:rFonts w:ascii="Calibri"/>
                <w:spacing w:val="-5"/>
                <w:sz w:val="18"/>
              </w:rPr>
              <w:t xml:space="preserve"> </w:t>
            </w:r>
            <w:r>
              <w:rPr>
                <w:rFonts w:ascii="Calibri"/>
                <w:spacing w:val="-1"/>
                <w:sz w:val="18"/>
              </w:rPr>
              <w:t>program</w:t>
            </w:r>
            <w:r>
              <w:rPr>
                <w:rFonts w:ascii="Calibri"/>
                <w:spacing w:val="-5"/>
                <w:sz w:val="18"/>
              </w:rPr>
              <w:t xml:space="preserve"> </w:t>
            </w:r>
            <w:r>
              <w:rPr>
                <w:rFonts w:ascii="Calibri"/>
                <w:spacing w:val="-1"/>
                <w:sz w:val="18"/>
              </w:rPr>
              <w:t>participation</w:t>
            </w:r>
            <w:r>
              <w:rPr>
                <w:rFonts w:ascii="Calibri"/>
                <w:spacing w:val="-7"/>
                <w:sz w:val="18"/>
              </w:rPr>
              <w:t xml:space="preserve"> </w:t>
            </w:r>
            <w:r>
              <w:rPr>
                <w:rFonts w:ascii="Calibri"/>
                <w:sz w:val="18"/>
              </w:rPr>
              <w:t>as</w:t>
            </w:r>
            <w:r>
              <w:rPr>
                <w:rFonts w:ascii="Calibri"/>
                <w:spacing w:val="-6"/>
                <w:sz w:val="18"/>
              </w:rPr>
              <w:t xml:space="preserve"> </w:t>
            </w:r>
            <w:r>
              <w:rPr>
                <w:rFonts w:ascii="Calibri"/>
                <w:spacing w:val="-1"/>
                <w:sz w:val="18"/>
              </w:rPr>
              <w:t>identified</w:t>
            </w:r>
            <w:r>
              <w:rPr>
                <w:rFonts w:ascii="Calibri"/>
                <w:spacing w:val="-5"/>
                <w:sz w:val="18"/>
              </w:rPr>
              <w:t xml:space="preserve"> </w:t>
            </w:r>
            <w:r>
              <w:rPr>
                <w:rFonts w:ascii="Calibri"/>
                <w:spacing w:val="-1"/>
                <w:sz w:val="18"/>
              </w:rPr>
              <w:t>in</w:t>
            </w:r>
            <w:r>
              <w:rPr>
                <w:rFonts w:ascii="Calibri"/>
                <w:spacing w:val="-7"/>
                <w:sz w:val="18"/>
              </w:rPr>
              <w:t xml:space="preserve"> </w:t>
            </w:r>
            <w:r>
              <w:rPr>
                <w:rFonts w:ascii="Calibri"/>
                <w:sz w:val="18"/>
              </w:rPr>
              <w:t>PMRS,</w:t>
            </w:r>
            <w:r>
              <w:rPr>
                <w:rFonts w:ascii="Calibri"/>
                <w:spacing w:val="67"/>
                <w:w w:val="99"/>
                <w:sz w:val="18"/>
              </w:rPr>
              <w:t xml:space="preserve"> </w:t>
            </w:r>
            <w:r>
              <w:rPr>
                <w:rFonts w:ascii="Calibri"/>
                <w:spacing w:val="-1"/>
                <w:sz w:val="18"/>
              </w:rPr>
              <w:t>the</w:t>
            </w:r>
            <w:r>
              <w:rPr>
                <w:rFonts w:ascii="Calibri"/>
                <w:spacing w:val="-5"/>
                <w:sz w:val="18"/>
              </w:rPr>
              <w:t xml:space="preserve"> </w:t>
            </w:r>
            <w:r>
              <w:rPr>
                <w:rFonts w:ascii="Calibri"/>
                <w:spacing w:val="-1"/>
                <w:sz w:val="18"/>
              </w:rPr>
              <w:t>Act</w:t>
            </w:r>
            <w:r>
              <w:rPr>
                <w:rFonts w:ascii="Calibri"/>
                <w:spacing w:val="-6"/>
                <w:sz w:val="18"/>
              </w:rPr>
              <w:t xml:space="preserve"> </w:t>
            </w:r>
            <w:r>
              <w:rPr>
                <w:rFonts w:ascii="Calibri"/>
                <w:sz w:val="18"/>
              </w:rPr>
              <w:t>129</w:t>
            </w:r>
            <w:r>
              <w:rPr>
                <w:rFonts w:ascii="Calibri"/>
                <w:spacing w:val="-4"/>
                <w:sz w:val="18"/>
              </w:rPr>
              <w:t xml:space="preserve"> </w:t>
            </w:r>
            <w:r>
              <w:rPr>
                <w:rFonts w:ascii="Calibri"/>
                <w:spacing w:val="-1"/>
                <w:sz w:val="18"/>
              </w:rPr>
              <w:t>program</w:t>
            </w:r>
            <w:r>
              <w:rPr>
                <w:rFonts w:ascii="Calibri"/>
                <w:spacing w:val="-4"/>
                <w:sz w:val="18"/>
              </w:rPr>
              <w:t xml:space="preserve"> </w:t>
            </w:r>
            <w:r>
              <w:rPr>
                <w:rFonts w:ascii="Calibri"/>
                <w:spacing w:val="-1"/>
                <w:sz w:val="18"/>
              </w:rPr>
              <w:t>tracking</w:t>
            </w:r>
            <w:r>
              <w:rPr>
                <w:rFonts w:ascii="Calibri"/>
                <w:spacing w:val="-2"/>
                <w:sz w:val="18"/>
              </w:rPr>
              <w:t xml:space="preserve"> </w:t>
            </w:r>
            <w:r>
              <w:rPr>
                <w:rFonts w:ascii="Calibri"/>
                <w:spacing w:val="-1"/>
                <w:sz w:val="18"/>
              </w:rPr>
              <w:t>system,</w:t>
            </w:r>
            <w:r>
              <w:rPr>
                <w:rFonts w:ascii="Calibri"/>
                <w:spacing w:val="-4"/>
                <w:sz w:val="18"/>
              </w:rPr>
              <w:t xml:space="preserve"> </w:t>
            </w:r>
            <w:r>
              <w:rPr>
                <w:rFonts w:ascii="Calibri"/>
                <w:spacing w:val="-1"/>
                <w:sz w:val="18"/>
              </w:rPr>
              <w:t>to</w:t>
            </w:r>
            <w:r>
              <w:rPr>
                <w:rFonts w:ascii="Calibri"/>
                <w:spacing w:val="-3"/>
                <w:sz w:val="18"/>
              </w:rPr>
              <w:t xml:space="preserve"> </w:t>
            </w:r>
            <w:r>
              <w:rPr>
                <w:rFonts w:ascii="Calibri"/>
                <w:spacing w:val="-1"/>
                <w:sz w:val="18"/>
              </w:rPr>
              <w:t>ensure</w:t>
            </w:r>
            <w:r>
              <w:rPr>
                <w:rFonts w:ascii="Calibri"/>
                <w:spacing w:val="-5"/>
                <w:sz w:val="18"/>
              </w:rPr>
              <w:t xml:space="preserve"> </w:t>
            </w:r>
            <w:r>
              <w:rPr>
                <w:rFonts w:ascii="Calibri"/>
                <w:spacing w:val="-1"/>
                <w:sz w:val="18"/>
              </w:rPr>
              <w:t>that</w:t>
            </w:r>
            <w:r>
              <w:rPr>
                <w:rFonts w:ascii="Calibri"/>
                <w:spacing w:val="-5"/>
                <w:sz w:val="18"/>
              </w:rPr>
              <w:t xml:space="preserve"> </w:t>
            </w:r>
            <w:r>
              <w:rPr>
                <w:rFonts w:ascii="Calibri"/>
                <w:sz w:val="18"/>
              </w:rPr>
              <w:t>the</w:t>
            </w:r>
            <w:r>
              <w:rPr>
                <w:rFonts w:ascii="Calibri"/>
                <w:spacing w:val="53"/>
                <w:w w:val="99"/>
                <w:sz w:val="18"/>
              </w:rPr>
              <w:t xml:space="preserve"> </w:t>
            </w:r>
            <w:r>
              <w:rPr>
                <w:rFonts w:ascii="Calibri"/>
                <w:spacing w:val="-1"/>
                <w:sz w:val="18"/>
              </w:rPr>
              <w:t>issue</w:t>
            </w:r>
            <w:r>
              <w:rPr>
                <w:rFonts w:ascii="Calibri"/>
                <w:spacing w:val="-7"/>
                <w:sz w:val="18"/>
              </w:rPr>
              <w:t xml:space="preserve"> </w:t>
            </w:r>
            <w:r>
              <w:rPr>
                <w:rFonts w:ascii="Calibri"/>
                <w:sz w:val="18"/>
              </w:rPr>
              <w:t>of</w:t>
            </w:r>
            <w:r>
              <w:rPr>
                <w:rFonts w:ascii="Calibri"/>
                <w:spacing w:val="-6"/>
                <w:sz w:val="18"/>
              </w:rPr>
              <w:t xml:space="preserve"> </w:t>
            </w:r>
            <w:r>
              <w:rPr>
                <w:rFonts w:ascii="Calibri"/>
                <w:spacing w:val="-1"/>
                <w:sz w:val="18"/>
              </w:rPr>
              <w:t>program</w:t>
            </w:r>
            <w:r>
              <w:rPr>
                <w:rFonts w:ascii="Calibri"/>
                <w:spacing w:val="-5"/>
                <w:sz w:val="18"/>
              </w:rPr>
              <w:t xml:space="preserve"> </w:t>
            </w:r>
            <w:r>
              <w:rPr>
                <w:rFonts w:ascii="Calibri"/>
                <w:spacing w:val="-1"/>
                <w:sz w:val="18"/>
              </w:rPr>
              <w:t>participants</w:t>
            </w:r>
            <w:r>
              <w:rPr>
                <w:rFonts w:ascii="Calibri"/>
                <w:spacing w:val="-5"/>
                <w:sz w:val="18"/>
              </w:rPr>
              <w:t xml:space="preserve"> </w:t>
            </w:r>
            <w:r>
              <w:rPr>
                <w:rFonts w:ascii="Calibri"/>
                <w:spacing w:val="-1"/>
                <w:sz w:val="18"/>
              </w:rPr>
              <w:t>being</w:t>
            </w:r>
            <w:r>
              <w:rPr>
                <w:rFonts w:ascii="Calibri"/>
                <w:spacing w:val="-7"/>
                <w:sz w:val="18"/>
              </w:rPr>
              <w:t xml:space="preserve"> </w:t>
            </w:r>
            <w:r>
              <w:rPr>
                <w:rFonts w:ascii="Calibri"/>
                <w:spacing w:val="-1"/>
                <w:sz w:val="18"/>
              </w:rPr>
              <w:t>discovered</w:t>
            </w:r>
            <w:r>
              <w:rPr>
                <w:rFonts w:ascii="Calibri"/>
                <w:spacing w:val="-6"/>
                <w:sz w:val="18"/>
              </w:rPr>
              <w:t xml:space="preserve"> </w:t>
            </w:r>
            <w:r>
              <w:rPr>
                <w:rFonts w:ascii="Calibri"/>
                <w:spacing w:val="-1"/>
                <w:sz w:val="18"/>
              </w:rPr>
              <w:t>after</w:t>
            </w:r>
            <w:r>
              <w:rPr>
                <w:rFonts w:ascii="Calibri"/>
                <w:spacing w:val="57"/>
                <w:w w:val="99"/>
                <w:sz w:val="18"/>
              </w:rPr>
              <w:t xml:space="preserve"> </w:t>
            </w:r>
            <w:r>
              <w:rPr>
                <w:rFonts w:ascii="Calibri"/>
                <w:spacing w:val="-1"/>
                <w:sz w:val="18"/>
              </w:rPr>
              <w:t>evaluation</w:t>
            </w:r>
            <w:r>
              <w:rPr>
                <w:rFonts w:ascii="Calibri"/>
                <w:spacing w:val="-7"/>
                <w:sz w:val="18"/>
              </w:rPr>
              <w:t xml:space="preserve"> </w:t>
            </w:r>
            <w:r>
              <w:rPr>
                <w:rFonts w:ascii="Calibri"/>
                <w:spacing w:val="-1"/>
                <w:sz w:val="18"/>
              </w:rPr>
              <w:t>research</w:t>
            </w:r>
            <w:r>
              <w:rPr>
                <w:rFonts w:ascii="Calibri"/>
                <w:spacing w:val="-5"/>
                <w:sz w:val="18"/>
              </w:rPr>
              <w:t xml:space="preserve"> </w:t>
            </w:r>
            <w:r>
              <w:rPr>
                <w:rFonts w:ascii="Calibri"/>
                <w:spacing w:val="-1"/>
                <w:sz w:val="18"/>
              </w:rPr>
              <w:t>has</w:t>
            </w:r>
            <w:r>
              <w:rPr>
                <w:rFonts w:ascii="Calibri"/>
                <w:spacing w:val="-6"/>
                <w:sz w:val="18"/>
              </w:rPr>
              <w:t xml:space="preserve"> </w:t>
            </w:r>
            <w:r>
              <w:rPr>
                <w:rFonts w:ascii="Calibri"/>
                <w:spacing w:val="-1"/>
                <w:sz w:val="18"/>
              </w:rPr>
              <w:t>already</w:t>
            </w:r>
            <w:r>
              <w:rPr>
                <w:rFonts w:ascii="Calibri"/>
                <w:spacing w:val="-5"/>
                <w:sz w:val="18"/>
              </w:rPr>
              <w:t xml:space="preserve"> </w:t>
            </w:r>
            <w:r>
              <w:rPr>
                <w:rFonts w:ascii="Calibri"/>
                <w:spacing w:val="-1"/>
                <w:sz w:val="18"/>
              </w:rPr>
              <w:t>been</w:t>
            </w:r>
            <w:r>
              <w:rPr>
                <w:rFonts w:ascii="Calibri"/>
                <w:spacing w:val="-7"/>
                <w:sz w:val="18"/>
              </w:rPr>
              <w:t xml:space="preserve"> </w:t>
            </w:r>
            <w:r>
              <w:rPr>
                <w:rFonts w:ascii="Calibri"/>
                <w:spacing w:val="-1"/>
                <w:sz w:val="18"/>
              </w:rPr>
              <w:t>conducted</w:t>
            </w:r>
            <w:r>
              <w:rPr>
                <w:rFonts w:ascii="Calibri"/>
                <w:spacing w:val="-6"/>
                <w:sz w:val="18"/>
              </w:rPr>
              <w:t xml:space="preserve"> </w:t>
            </w:r>
            <w:r>
              <w:rPr>
                <w:rFonts w:ascii="Calibri"/>
                <w:sz w:val="18"/>
              </w:rPr>
              <w:t>does</w:t>
            </w:r>
            <w:r>
              <w:rPr>
                <w:rFonts w:ascii="Calibri"/>
                <w:spacing w:val="-7"/>
                <w:sz w:val="18"/>
              </w:rPr>
              <w:t xml:space="preserve"> </w:t>
            </w:r>
            <w:r>
              <w:rPr>
                <w:rFonts w:ascii="Calibri"/>
                <w:sz w:val="18"/>
              </w:rPr>
              <w:t>not</w:t>
            </w:r>
            <w:r>
              <w:rPr>
                <w:rFonts w:ascii="Calibri"/>
                <w:spacing w:val="61"/>
                <w:w w:val="99"/>
                <w:sz w:val="18"/>
              </w:rPr>
              <w:t xml:space="preserve"> </w:t>
            </w:r>
            <w:r>
              <w:rPr>
                <w:rFonts w:ascii="Calibri"/>
                <w:spacing w:val="-1"/>
                <w:sz w:val="18"/>
              </w:rPr>
              <w:t>recur</w:t>
            </w:r>
            <w:r>
              <w:rPr>
                <w:rFonts w:ascii="Calibri"/>
                <w:spacing w:val="-5"/>
                <w:sz w:val="18"/>
              </w:rPr>
              <w:t xml:space="preserve"> </w:t>
            </w:r>
            <w:r>
              <w:rPr>
                <w:rFonts w:ascii="Calibri"/>
                <w:spacing w:val="-1"/>
                <w:sz w:val="18"/>
              </w:rPr>
              <w:t>in</w:t>
            </w:r>
            <w:r>
              <w:rPr>
                <w:rFonts w:ascii="Calibri"/>
                <w:spacing w:val="-4"/>
                <w:sz w:val="18"/>
              </w:rPr>
              <w:t xml:space="preserve"> </w:t>
            </w:r>
            <w:r>
              <w:rPr>
                <w:rFonts w:ascii="Calibri"/>
                <w:sz w:val="18"/>
              </w:rPr>
              <w:t>PY8</w:t>
            </w:r>
            <w:r>
              <w:rPr>
                <w:rFonts w:ascii="Calibri"/>
                <w:spacing w:val="-3"/>
                <w:sz w:val="18"/>
              </w:rPr>
              <w:t xml:space="preserve"> </w:t>
            </w:r>
            <w:r>
              <w:rPr>
                <w:rFonts w:ascii="Calibri"/>
                <w:sz w:val="18"/>
              </w:rPr>
              <w:t>or</w:t>
            </w:r>
            <w:r>
              <w:rPr>
                <w:rFonts w:ascii="Calibri"/>
                <w:spacing w:val="-5"/>
                <w:sz w:val="18"/>
              </w:rPr>
              <w:t xml:space="preserve"> </w:t>
            </w:r>
            <w:r>
              <w:rPr>
                <w:rFonts w:ascii="Calibri"/>
                <w:spacing w:val="-1"/>
                <w:sz w:val="18"/>
              </w:rPr>
              <w:t>later</w:t>
            </w:r>
            <w:r>
              <w:rPr>
                <w:rFonts w:ascii="Calibri"/>
                <w:spacing w:val="-4"/>
                <w:sz w:val="18"/>
              </w:rPr>
              <w:t xml:space="preserve"> </w:t>
            </w:r>
            <w:r>
              <w:rPr>
                <w:rFonts w:ascii="Calibri"/>
                <w:sz w:val="18"/>
              </w:rPr>
              <w:t>years.</w:t>
            </w:r>
          </w:p>
        </w:tc>
        <w:tc>
          <w:tcPr>
            <w:tcW w:w="4680" w:type="dxa"/>
            <w:shd w:val="clear" w:color="auto" w:fill="auto"/>
          </w:tcPr>
          <w:p w:rsidR="00E646C9" w:rsidRDefault="00E646C9" w:rsidP="00C94D5A">
            <w:pPr>
              <w:pStyle w:val="TableParagraph"/>
              <w:spacing w:line="218" w:lineRule="exact"/>
              <w:ind w:left="138"/>
              <w:rPr>
                <w:rFonts w:ascii="Calibri"/>
                <w:spacing w:val="-1"/>
                <w:sz w:val="18"/>
              </w:rPr>
            </w:pPr>
            <w:r>
              <w:rPr>
                <w:rFonts w:ascii="Calibri"/>
                <w:spacing w:val="-1"/>
                <w:sz w:val="18"/>
              </w:rPr>
              <w:t>Under</w:t>
            </w:r>
            <w:r>
              <w:rPr>
                <w:rFonts w:ascii="Calibri"/>
                <w:spacing w:val="-15"/>
                <w:sz w:val="18"/>
              </w:rPr>
              <w:t xml:space="preserve"> </w:t>
            </w:r>
            <w:r>
              <w:rPr>
                <w:rFonts w:ascii="Calibri"/>
                <w:spacing w:val="-1"/>
                <w:sz w:val="18"/>
              </w:rPr>
              <w:t>consideration</w:t>
            </w:r>
          </w:p>
        </w:tc>
      </w:tr>
    </w:tbl>
    <w:p w:rsidR="00E646C9" w:rsidRPr="00B04FB4" w:rsidRDefault="00E646C9" w:rsidP="003B56E9">
      <w:pPr>
        <w:pStyle w:val="AppendixGHeading2"/>
      </w:pPr>
      <w:bookmarkStart w:id="1439" w:name="_Ref440619606"/>
      <w:r w:rsidRPr="00B04FB4">
        <w:t>Industrial</w:t>
      </w:r>
      <w:bookmarkEnd w:id="1439"/>
    </w:p>
    <w:tbl>
      <w:tblPr>
        <w:tblW w:w="0" w:type="auto"/>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B40F47">
        <w:trPr>
          <w:trHeight w:hRule="exact" w:val="848"/>
          <w:tblHeader/>
        </w:trPr>
        <w:tc>
          <w:tcPr>
            <w:tcW w:w="4680" w:type="dxa"/>
            <w:shd w:val="clear" w:color="auto" w:fill="438A99"/>
          </w:tcPr>
          <w:p w:rsidR="00E646C9" w:rsidRDefault="00E646C9" w:rsidP="00B40F47">
            <w:pPr>
              <w:pStyle w:val="TableParagraph"/>
              <w:spacing w:before="154"/>
              <w:ind w:left="76"/>
              <w:rPr>
                <w:rFonts w:ascii="Calibri" w:eastAsia="Calibri" w:hAnsi="Calibri" w:cs="Calibri"/>
                <w:sz w:val="18"/>
                <w:szCs w:val="18"/>
              </w:rPr>
            </w:pPr>
            <w:r>
              <w:rPr>
                <w:rFonts w:ascii="Calibri"/>
                <w:b/>
                <w:color w:val="FFFFFF"/>
                <w:spacing w:val="-1"/>
                <w:sz w:val="18"/>
              </w:rPr>
              <w:t>Recommendations</w:t>
            </w:r>
          </w:p>
        </w:tc>
        <w:tc>
          <w:tcPr>
            <w:tcW w:w="4680" w:type="dxa"/>
            <w:shd w:val="clear" w:color="auto" w:fill="438A99"/>
          </w:tcPr>
          <w:p w:rsidR="00E646C9" w:rsidRDefault="00E646C9" w:rsidP="00C94D5A">
            <w:pPr>
              <w:pStyle w:val="TableParagraph"/>
              <w:spacing w:before="156"/>
              <w:ind w:left="166" w:right="166"/>
              <w:jc w:val="center"/>
              <w:rPr>
                <w:rFonts w:ascii="Calibri" w:eastAsia="Calibri" w:hAnsi="Calibri" w:cs="Calibri"/>
                <w:sz w:val="18"/>
                <w:szCs w:val="18"/>
              </w:rPr>
            </w:pPr>
            <w:r>
              <w:rPr>
                <w:rFonts w:ascii="Calibri"/>
                <w:b/>
                <w:color w:val="FFFFFF"/>
                <w:sz w:val="18"/>
              </w:rPr>
              <w:t>EDC</w:t>
            </w:r>
            <w:r>
              <w:rPr>
                <w:rFonts w:ascii="Calibri"/>
                <w:b/>
                <w:color w:val="FFFFFF"/>
                <w:spacing w:val="-8"/>
                <w:sz w:val="18"/>
              </w:rPr>
              <w:t xml:space="preserve"> </w:t>
            </w:r>
            <w:r>
              <w:rPr>
                <w:rFonts w:ascii="Calibri"/>
                <w:b/>
                <w:color w:val="FFFFFF"/>
                <w:spacing w:val="-1"/>
                <w:sz w:val="18"/>
              </w:rPr>
              <w:t>Status</w:t>
            </w:r>
            <w:r>
              <w:rPr>
                <w:rFonts w:ascii="Calibri"/>
                <w:b/>
                <w:color w:val="FFFFFF"/>
                <w:spacing w:val="-8"/>
                <w:sz w:val="18"/>
              </w:rPr>
              <w:t xml:space="preserve"> </w:t>
            </w:r>
            <w:r>
              <w:rPr>
                <w:rFonts w:ascii="Calibri"/>
                <w:b/>
                <w:color w:val="FFFFFF"/>
                <w:spacing w:val="-1"/>
                <w:sz w:val="18"/>
              </w:rPr>
              <w:t>of</w:t>
            </w:r>
            <w:r>
              <w:rPr>
                <w:rFonts w:ascii="Calibri"/>
                <w:b/>
                <w:color w:val="FFFFFF"/>
                <w:spacing w:val="-7"/>
                <w:sz w:val="18"/>
              </w:rPr>
              <w:t xml:space="preserve"> </w:t>
            </w:r>
            <w:r>
              <w:rPr>
                <w:rFonts w:ascii="Calibri"/>
                <w:b/>
                <w:color w:val="FFFFFF"/>
                <w:spacing w:val="-1"/>
                <w:sz w:val="18"/>
              </w:rPr>
              <w:t>Recommendation</w:t>
            </w:r>
            <w:r>
              <w:rPr>
                <w:rFonts w:ascii="Calibri"/>
                <w:b/>
                <w:color w:val="FFFFFF"/>
                <w:spacing w:val="-6"/>
                <w:sz w:val="18"/>
              </w:rPr>
              <w:t xml:space="preserve"> </w:t>
            </w:r>
            <w:r w:rsidRPr="00B40F47">
              <w:rPr>
                <w:rFonts w:ascii="Calibri"/>
                <w:color w:val="FFFFFF"/>
                <w:spacing w:val="-1"/>
                <w:sz w:val="18"/>
              </w:rPr>
              <w:t>(Implemented,</w:t>
            </w:r>
            <w:r w:rsidRPr="00B40F47">
              <w:rPr>
                <w:rFonts w:ascii="Calibri"/>
                <w:color w:val="FFFFFF"/>
                <w:spacing w:val="-8"/>
                <w:sz w:val="18"/>
              </w:rPr>
              <w:t xml:space="preserve"> </w:t>
            </w:r>
            <w:r w:rsidRPr="00B40F47">
              <w:rPr>
                <w:rFonts w:ascii="Calibri"/>
                <w:color w:val="FFFFFF"/>
                <w:sz w:val="18"/>
              </w:rPr>
              <w:t>Being</w:t>
            </w:r>
            <w:r w:rsidRPr="00B40F47">
              <w:rPr>
                <w:rFonts w:ascii="Calibri"/>
                <w:color w:val="FFFFFF"/>
                <w:spacing w:val="45"/>
                <w:w w:val="99"/>
                <w:sz w:val="18"/>
              </w:rPr>
              <w:t xml:space="preserve"> </w:t>
            </w:r>
            <w:r w:rsidRPr="00B40F47">
              <w:rPr>
                <w:rFonts w:ascii="Calibri"/>
                <w:color w:val="FFFFFF"/>
                <w:spacing w:val="-1"/>
                <w:sz w:val="18"/>
              </w:rPr>
              <w:t>Considered,</w:t>
            </w:r>
            <w:r w:rsidRPr="00B40F47">
              <w:rPr>
                <w:rFonts w:ascii="Calibri"/>
                <w:color w:val="FFFFFF"/>
                <w:spacing w:val="-7"/>
                <w:sz w:val="18"/>
              </w:rPr>
              <w:t xml:space="preserve"> </w:t>
            </w:r>
            <w:r w:rsidRPr="00B40F47">
              <w:rPr>
                <w:rFonts w:ascii="Calibri"/>
                <w:color w:val="FFFFFF"/>
                <w:spacing w:val="-1"/>
                <w:sz w:val="18"/>
              </w:rPr>
              <w:t>Rejected</w:t>
            </w:r>
            <w:r w:rsidRPr="00B40F47">
              <w:rPr>
                <w:rFonts w:ascii="Calibri"/>
                <w:color w:val="FFFFFF"/>
                <w:spacing w:val="-7"/>
                <w:sz w:val="18"/>
              </w:rPr>
              <w:t xml:space="preserve"> </w:t>
            </w:r>
            <w:r w:rsidRPr="00B40F47">
              <w:rPr>
                <w:rFonts w:ascii="Calibri"/>
                <w:color w:val="FFFFFF"/>
                <w:sz w:val="18"/>
              </w:rPr>
              <w:t>AND</w:t>
            </w:r>
            <w:r w:rsidRPr="00B40F47">
              <w:rPr>
                <w:rFonts w:ascii="Calibri"/>
                <w:color w:val="FFFFFF"/>
                <w:spacing w:val="-7"/>
                <w:sz w:val="18"/>
              </w:rPr>
              <w:t xml:space="preserve"> </w:t>
            </w:r>
            <w:r w:rsidRPr="00B40F47">
              <w:rPr>
                <w:rFonts w:ascii="Calibri"/>
                <w:color w:val="FFFFFF"/>
                <w:spacing w:val="-1"/>
                <w:sz w:val="18"/>
              </w:rPr>
              <w:t>Explanation</w:t>
            </w:r>
            <w:r w:rsidRPr="00B40F47">
              <w:rPr>
                <w:rFonts w:ascii="Calibri"/>
                <w:color w:val="FFFFFF"/>
                <w:spacing w:val="-4"/>
                <w:sz w:val="18"/>
              </w:rPr>
              <w:t xml:space="preserve"> </w:t>
            </w:r>
            <w:r w:rsidRPr="00B40F47">
              <w:rPr>
                <w:rFonts w:ascii="Calibri"/>
                <w:color w:val="FFFFFF"/>
                <w:spacing w:val="-1"/>
                <w:sz w:val="18"/>
              </w:rPr>
              <w:t>of</w:t>
            </w:r>
            <w:r w:rsidRPr="00B40F47">
              <w:rPr>
                <w:rFonts w:ascii="Calibri"/>
                <w:color w:val="FFFFFF"/>
                <w:spacing w:val="-6"/>
                <w:sz w:val="18"/>
              </w:rPr>
              <w:t xml:space="preserve"> </w:t>
            </w:r>
            <w:r w:rsidRPr="00B40F47">
              <w:rPr>
                <w:rFonts w:ascii="Calibri"/>
                <w:color w:val="FFFFFF"/>
                <w:spacing w:val="-1"/>
                <w:sz w:val="18"/>
              </w:rPr>
              <w:t>Action</w:t>
            </w:r>
            <w:r w:rsidRPr="00B40F47">
              <w:rPr>
                <w:rFonts w:ascii="Calibri"/>
                <w:color w:val="FFFFFF"/>
                <w:spacing w:val="-6"/>
                <w:sz w:val="18"/>
              </w:rPr>
              <w:t xml:space="preserve"> </w:t>
            </w:r>
            <w:r w:rsidRPr="00B40F47">
              <w:rPr>
                <w:rFonts w:ascii="Calibri"/>
                <w:color w:val="FFFFFF"/>
                <w:spacing w:val="-1"/>
                <w:sz w:val="18"/>
              </w:rPr>
              <w:t>Taken</w:t>
            </w:r>
            <w:r w:rsidRPr="00B40F47">
              <w:rPr>
                <w:rFonts w:ascii="Calibri"/>
                <w:color w:val="FFFFFF"/>
                <w:spacing w:val="-7"/>
                <w:sz w:val="18"/>
              </w:rPr>
              <w:t xml:space="preserve"> </w:t>
            </w:r>
            <w:r w:rsidRPr="00B40F47">
              <w:rPr>
                <w:rFonts w:ascii="Calibri"/>
                <w:color w:val="FFFFFF"/>
                <w:spacing w:val="-1"/>
                <w:sz w:val="18"/>
              </w:rPr>
              <w:t>by</w:t>
            </w:r>
            <w:r w:rsidRPr="00B40F47">
              <w:rPr>
                <w:rFonts w:ascii="Calibri"/>
                <w:color w:val="FFFFFF"/>
                <w:spacing w:val="63"/>
                <w:w w:val="99"/>
                <w:sz w:val="18"/>
              </w:rPr>
              <w:t xml:space="preserve"> </w:t>
            </w:r>
            <w:r w:rsidRPr="00B40F47">
              <w:rPr>
                <w:rFonts w:ascii="Calibri"/>
                <w:color w:val="FFFFFF"/>
                <w:sz w:val="18"/>
              </w:rPr>
              <w:t>EDC)</w:t>
            </w:r>
          </w:p>
        </w:tc>
      </w:tr>
      <w:tr w:rsidR="00E646C9" w:rsidTr="005A786B">
        <w:trPr>
          <w:trHeight w:hRule="exact" w:val="3756"/>
        </w:trPr>
        <w:tc>
          <w:tcPr>
            <w:tcW w:w="4680" w:type="dxa"/>
            <w:shd w:val="clear" w:color="auto" w:fill="D2EAF1"/>
          </w:tcPr>
          <w:p w:rsidR="00E646C9" w:rsidRDefault="00E646C9" w:rsidP="00C94D5A">
            <w:pPr>
              <w:pStyle w:val="TableParagraph"/>
              <w:spacing w:line="219"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1</w:t>
            </w:r>
          </w:p>
          <w:p w:rsidR="00E646C9" w:rsidRDefault="00E646C9" w:rsidP="00C94D5A">
            <w:pPr>
              <w:pStyle w:val="TableParagraph"/>
              <w:ind w:left="97" w:right="157"/>
              <w:rPr>
                <w:rFonts w:ascii="Calibri" w:eastAsia="Calibri" w:hAnsi="Calibri" w:cs="Calibri"/>
                <w:sz w:val="18"/>
                <w:szCs w:val="18"/>
              </w:rPr>
            </w:pPr>
            <w:r>
              <w:rPr>
                <w:rFonts w:ascii="Calibri"/>
                <w:spacing w:val="-1"/>
                <w:sz w:val="18"/>
              </w:rPr>
              <w:t>Monitor</w:t>
            </w:r>
            <w:r>
              <w:rPr>
                <w:rFonts w:ascii="Calibri"/>
                <w:spacing w:val="-7"/>
                <w:sz w:val="18"/>
              </w:rPr>
              <w:t xml:space="preserve"> </w:t>
            </w:r>
            <w:r>
              <w:rPr>
                <w:rFonts w:ascii="Calibri"/>
                <w:spacing w:val="-1"/>
                <w:sz w:val="18"/>
              </w:rPr>
              <w:t>participant</w:t>
            </w:r>
            <w:r>
              <w:rPr>
                <w:rFonts w:ascii="Calibri"/>
                <w:spacing w:val="-6"/>
                <w:sz w:val="18"/>
              </w:rPr>
              <w:t xml:space="preserve"> </w:t>
            </w:r>
            <w:r>
              <w:rPr>
                <w:rFonts w:ascii="Calibri"/>
                <w:spacing w:val="-1"/>
                <w:sz w:val="18"/>
              </w:rPr>
              <w:t>satisfaction</w:t>
            </w:r>
            <w:r>
              <w:rPr>
                <w:rFonts w:ascii="Calibri"/>
                <w:spacing w:val="-7"/>
                <w:sz w:val="18"/>
              </w:rPr>
              <w:t xml:space="preserve"> </w:t>
            </w:r>
            <w:r>
              <w:rPr>
                <w:rFonts w:ascii="Calibri"/>
                <w:spacing w:val="-1"/>
                <w:sz w:val="18"/>
              </w:rPr>
              <w:t>with</w:t>
            </w:r>
            <w:r>
              <w:rPr>
                <w:rFonts w:ascii="Calibri"/>
                <w:spacing w:val="-6"/>
                <w:sz w:val="18"/>
              </w:rPr>
              <w:t xml:space="preserve"> </w:t>
            </w:r>
            <w:r>
              <w:rPr>
                <w:rFonts w:ascii="Calibri"/>
                <w:spacing w:val="-1"/>
                <w:sz w:val="18"/>
              </w:rPr>
              <w:t>the</w:t>
            </w:r>
            <w:r>
              <w:rPr>
                <w:rFonts w:ascii="Calibri"/>
                <w:spacing w:val="-7"/>
                <w:sz w:val="18"/>
              </w:rPr>
              <w:t xml:space="preserve"> </w:t>
            </w:r>
            <w:r>
              <w:rPr>
                <w:rFonts w:ascii="Calibri"/>
                <w:sz w:val="18"/>
              </w:rPr>
              <w:t>time</w:t>
            </w:r>
            <w:r>
              <w:rPr>
                <w:rFonts w:ascii="Calibri"/>
                <w:spacing w:val="-6"/>
                <w:sz w:val="18"/>
              </w:rPr>
              <w:t xml:space="preserve"> </w:t>
            </w:r>
            <w:r>
              <w:rPr>
                <w:rFonts w:ascii="Calibri"/>
                <w:spacing w:val="-1"/>
                <w:sz w:val="18"/>
              </w:rPr>
              <w:t>frame</w:t>
            </w:r>
            <w:r>
              <w:rPr>
                <w:rFonts w:ascii="Calibri"/>
                <w:spacing w:val="59"/>
                <w:w w:val="99"/>
                <w:sz w:val="18"/>
              </w:rPr>
              <w:t xml:space="preserve"> </w:t>
            </w:r>
            <w:r>
              <w:rPr>
                <w:rFonts w:ascii="Calibri"/>
                <w:spacing w:val="-1"/>
                <w:sz w:val="18"/>
              </w:rPr>
              <w:t>required</w:t>
            </w:r>
            <w:r>
              <w:rPr>
                <w:rFonts w:ascii="Calibri"/>
                <w:spacing w:val="-6"/>
                <w:sz w:val="18"/>
              </w:rPr>
              <w:t xml:space="preserve"> </w:t>
            </w:r>
            <w:r>
              <w:rPr>
                <w:rFonts w:ascii="Calibri"/>
                <w:sz w:val="18"/>
              </w:rPr>
              <w:t>for</w:t>
            </w:r>
            <w:r>
              <w:rPr>
                <w:rFonts w:ascii="Calibri"/>
                <w:spacing w:val="-5"/>
                <w:sz w:val="18"/>
              </w:rPr>
              <w:t xml:space="preserve"> </w:t>
            </w:r>
            <w:r>
              <w:rPr>
                <w:rFonts w:ascii="Calibri"/>
                <w:spacing w:val="-1"/>
                <w:sz w:val="18"/>
              </w:rPr>
              <w:t>them</w:t>
            </w:r>
            <w:r>
              <w:rPr>
                <w:rFonts w:ascii="Calibri"/>
                <w:spacing w:val="-4"/>
                <w:sz w:val="18"/>
              </w:rPr>
              <w:t xml:space="preserve"> </w:t>
            </w:r>
            <w:r>
              <w:rPr>
                <w:rFonts w:ascii="Calibri"/>
                <w:spacing w:val="-1"/>
                <w:sz w:val="18"/>
              </w:rPr>
              <w:t>to</w:t>
            </w:r>
            <w:r>
              <w:rPr>
                <w:rFonts w:ascii="Calibri"/>
                <w:spacing w:val="-4"/>
                <w:sz w:val="18"/>
              </w:rPr>
              <w:t xml:space="preserve"> </w:t>
            </w:r>
            <w:r>
              <w:rPr>
                <w:rFonts w:ascii="Calibri"/>
                <w:spacing w:val="-1"/>
                <w:sz w:val="18"/>
              </w:rPr>
              <w:t>receive</w:t>
            </w:r>
            <w:r>
              <w:rPr>
                <w:rFonts w:ascii="Calibri"/>
                <w:spacing w:val="-5"/>
                <w:sz w:val="18"/>
              </w:rPr>
              <w:t xml:space="preserve"> </w:t>
            </w:r>
            <w:r>
              <w:rPr>
                <w:rFonts w:ascii="Calibri"/>
                <w:sz w:val="18"/>
              </w:rPr>
              <w:t>their</w:t>
            </w:r>
            <w:r>
              <w:rPr>
                <w:rFonts w:ascii="Calibri"/>
                <w:spacing w:val="-5"/>
                <w:sz w:val="18"/>
              </w:rPr>
              <w:t xml:space="preserve"> </w:t>
            </w:r>
            <w:r>
              <w:rPr>
                <w:rFonts w:ascii="Calibri"/>
                <w:spacing w:val="-1"/>
                <w:sz w:val="18"/>
              </w:rPr>
              <w:t>rebate</w:t>
            </w:r>
            <w:r>
              <w:rPr>
                <w:rFonts w:ascii="Calibri"/>
                <w:spacing w:val="-5"/>
                <w:sz w:val="18"/>
              </w:rPr>
              <w:t xml:space="preserve"> </w:t>
            </w:r>
            <w:r>
              <w:rPr>
                <w:rFonts w:ascii="Calibri"/>
                <w:spacing w:val="-1"/>
                <w:sz w:val="18"/>
              </w:rPr>
              <w:t>checks,</w:t>
            </w:r>
            <w:r>
              <w:rPr>
                <w:rFonts w:ascii="Calibri"/>
                <w:spacing w:val="-5"/>
                <w:sz w:val="18"/>
              </w:rPr>
              <w:t xml:space="preserve"> </w:t>
            </w:r>
            <w:r>
              <w:rPr>
                <w:rFonts w:ascii="Calibri"/>
                <w:spacing w:val="-1"/>
                <w:sz w:val="18"/>
              </w:rPr>
              <w:t>and</w:t>
            </w:r>
            <w:r>
              <w:rPr>
                <w:rFonts w:ascii="Calibri"/>
                <w:spacing w:val="43"/>
                <w:w w:val="99"/>
                <w:sz w:val="18"/>
              </w:rPr>
              <w:t xml:space="preserve"> </w:t>
            </w:r>
            <w:r>
              <w:rPr>
                <w:rFonts w:ascii="Calibri"/>
                <w:spacing w:val="-1"/>
                <w:sz w:val="18"/>
              </w:rPr>
              <w:t>determine</w:t>
            </w:r>
            <w:r>
              <w:rPr>
                <w:rFonts w:ascii="Calibri"/>
                <w:spacing w:val="-9"/>
                <w:sz w:val="18"/>
              </w:rPr>
              <w:t xml:space="preserve"> </w:t>
            </w:r>
            <w:r>
              <w:rPr>
                <w:rFonts w:ascii="Calibri"/>
                <w:spacing w:val="-1"/>
                <w:sz w:val="18"/>
              </w:rPr>
              <w:t>whether</w:t>
            </w:r>
            <w:r>
              <w:rPr>
                <w:rFonts w:ascii="Calibri"/>
                <w:spacing w:val="-6"/>
                <w:sz w:val="18"/>
              </w:rPr>
              <w:t xml:space="preserve"> </w:t>
            </w:r>
            <w:r>
              <w:rPr>
                <w:rFonts w:ascii="Calibri"/>
                <w:spacing w:val="-1"/>
                <w:sz w:val="18"/>
              </w:rPr>
              <w:t>participants</w:t>
            </w:r>
            <w:r>
              <w:rPr>
                <w:rFonts w:ascii="Calibri"/>
                <w:spacing w:val="-7"/>
                <w:sz w:val="18"/>
              </w:rPr>
              <w:t xml:space="preserve"> </w:t>
            </w:r>
            <w:r>
              <w:rPr>
                <w:rFonts w:ascii="Calibri"/>
                <w:spacing w:val="-1"/>
                <w:sz w:val="18"/>
              </w:rPr>
              <w:t>have</w:t>
            </w:r>
            <w:r>
              <w:rPr>
                <w:rFonts w:ascii="Calibri"/>
                <w:spacing w:val="-9"/>
                <w:sz w:val="18"/>
              </w:rPr>
              <w:t xml:space="preserve"> </w:t>
            </w:r>
            <w:r>
              <w:rPr>
                <w:rFonts w:ascii="Calibri"/>
                <w:spacing w:val="-1"/>
                <w:sz w:val="18"/>
              </w:rPr>
              <w:t>unrealistic</w:t>
            </w:r>
            <w:r>
              <w:rPr>
                <w:rFonts w:ascii="Calibri"/>
                <w:spacing w:val="51"/>
                <w:w w:val="99"/>
                <w:sz w:val="18"/>
              </w:rPr>
              <w:t xml:space="preserve"> </w:t>
            </w:r>
            <w:r>
              <w:rPr>
                <w:rFonts w:ascii="Calibri"/>
                <w:spacing w:val="-1"/>
                <w:sz w:val="18"/>
              </w:rPr>
              <w:t>expectations</w:t>
            </w:r>
            <w:r>
              <w:rPr>
                <w:rFonts w:ascii="Calibri"/>
                <w:spacing w:val="-7"/>
                <w:sz w:val="18"/>
              </w:rPr>
              <w:t xml:space="preserve"> </w:t>
            </w:r>
            <w:r>
              <w:rPr>
                <w:rFonts w:ascii="Calibri"/>
                <w:spacing w:val="-1"/>
                <w:sz w:val="18"/>
              </w:rPr>
              <w:t>regarding</w:t>
            </w:r>
            <w:r>
              <w:rPr>
                <w:rFonts w:ascii="Calibri"/>
                <w:spacing w:val="-7"/>
                <w:sz w:val="18"/>
              </w:rPr>
              <w:t xml:space="preserve"> </w:t>
            </w:r>
            <w:r>
              <w:rPr>
                <w:rFonts w:ascii="Calibri"/>
                <w:sz w:val="18"/>
              </w:rPr>
              <w:t>the</w:t>
            </w:r>
            <w:r>
              <w:rPr>
                <w:rFonts w:ascii="Calibri"/>
                <w:spacing w:val="-7"/>
                <w:sz w:val="18"/>
              </w:rPr>
              <w:t xml:space="preserve"> </w:t>
            </w:r>
            <w:r>
              <w:rPr>
                <w:rFonts w:ascii="Calibri"/>
                <w:spacing w:val="-1"/>
                <w:sz w:val="18"/>
              </w:rPr>
              <w:t>probable</w:t>
            </w:r>
            <w:r>
              <w:rPr>
                <w:rFonts w:ascii="Calibri"/>
                <w:spacing w:val="-7"/>
                <w:sz w:val="18"/>
              </w:rPr>
              <w:t xml:space="preserve"> </w:t>
            </w:r>
            <w:r>
              <w:rPr>
                <w:rFonts w:ascii="Calibri"/>
                <w:spacing w:val="-1"/>
                <w:sz w:val="18"/>
              </w:rPr>
              <w:t>timing</w:t>
            </w:r>
            <w:r>
              <w:rPr>
                <w:rFonts w:ascii="Calibri"/>
                <w:spacing w:val="-7"/>
                <w:sz w:val="18"/>
              </w:rPr>
              <w:t xml:space="preserve"> </w:t>
            </w:r>
            <w:r>
              <w:rPr>
                <w:rFonts w:ascii="Calibri"/>
                <w:sz w:val="18"/>
              </w:rPr>
              <w:t>of</w:t>
            </w:r>
            <w:r>
              <w:rPr>
                <w:rFonts w:ascii="Calibri"/>
                <w:spacing w:val="-6"/>
                <w:sz w:val="18"/>
              </w:rPr>
              <w:t xml:space="preserve"> </w:t>
            </w:r>
            <w:r>
              <w:rPr>
                <w:rFonts w:ascii="Calibri"/>
                <w:spacing w:val="-1"/>
                <w:sz w:val="18"/>
              </w:rPr>
              <w:t>receiving</w:t>
            </w:r>
            <w:r>
              <w:rPr>
                <w:rFonts w:ascii="Calibri"/>
                <w:spacing w:val="59"/>
                <w:w w:val="99"/>
                <w:sz w:val="18"/>
              </w:rPr>
              <w:t xml:space="preserve"> </w:t>
            </w:r>
            <w:r>
              <w:rPr>
                <w:rFonts w:ascii="Calibri"/>
                <w:spacing w:val="-1"/>
                <w:sz w:val="18"/>
              </w:rPr>
              <w:t>these</w:t>
            </w:r>
            <w:r>
              <w:rPr>
                <w:rFonts w:ascii="Calibri"/>
                <w:spacing w:val="-7"/>
                <w:sz w:val="18"/>
              </w:rPr>
              <w:t xml:space="preserve"> </w:t>
            </w:r>
            <w:r>
              <w:rPr>
                <w:rFonts w:ascii="Calibri"/>
                <w:spacing w:val="-1"/>
                <w:sz w:val="18"/>
              </w:rPr>
              <w:t>payments.</w:t>
            </w:r>
            <w:r>
              <w:rPr>
                <w:rFonts w:ascii="Calibri"/>
                <w:spacing w:val="-5"/>
                <w:sz w:val="18"/>
              </w:rPr>
              <w:t xml:space="preserve"> </w:t>
            </w:r>
            <w:r>
              <w:rPr>
                <w:rFonts w:ascii="Calibri"/>
                <w:sz w:val="18"/>
              </w:rPr>
              <w:t>If</w:t>
            </w:r>
            <w:r>
              <w:rPr>
                <w:rFonts w:ascii="Calibri"/>
                <w:spacing w:val="-5"/>
                <w:sz w:val="18"/>
              </w:rPr>
              <w:t xml:space="preserve"> </w:t>
            </w:r>
            <w:r>
              <w:rPr>
                <w:rFonts w:ascii="Calibri"/>
                <w:sz w:val="18"/>
              </w:rPr>
              <w:t>a</w:t>
            </w:r>
            <w:r>
              <w:rPr>
                <w:rFonts w:ascii="Calibri"/>
                <w:spacing w:val="-5"/>
                <w:sz w:val="18"/>
              </w:rPr>
              <w:t xml:space="preserve"> </w:t>
            </w:r>
            <w:r>
              <w:rPr>
                <w:rFonts w:ascii="Calibri"/>
                <w:spacing w:val="-1"/>
                <w:sz w:val="18"/>
              </w:rPr>
              <w:t>substantial</w:t>
            </w:r>
            <w:r>
              <w:rPr>
                <w:rFonts w:ascii="Calibri"/>
                <w:spacing w:val="-6"/>
                <w:sz w:val="18"/>
              </w:rPr>
              <w:t xml:space="preserve"> </w:t>
            </w:r>
            <w:r>
              <w:rPr>
                <w:rFonts w:ascii="Calibri"/>
                <w:spacing w:val="-1"/>
                <w:sz w:val="18"/>
              </w:rPr>
              <w:t>number</w:t>
            </w:r>
            <w:r>
              <w:rPr>
                <w:rFonts w:ascii="Calibri"/>
                <w:spacing w:val="-6"/>
                <w:sz w:val="18"/>
              </w:rPr>
              <w:t xml:space="preserve"> </w:t>
            </w:r>
            <w:r>
              <w:rPr>
                <w:rFonts w:ascii="Calibri"/>
                <w:sz w:val="18"/>
              </w:rPr>
              <w:t>of</w:t>
            </w:r>
            <w:r>
              <w:rPr>
                <w:rFonts w:ascii="Calibri"/>
                <w:spacing w:val="-5"/>
                <w:sz w:val="18"/>
              </w:rPr>
              <w:t xml:space="preserve"> </w:t>
            </w:r>
            <w:r>
              <w:rPr>
                <w:rFonts w:ascii="Calibri"/>
                <w:spacing w:val="-1"/>
                <w:sz w:val="18"/>
              </w:rPr>
              <w:t>participants</w:t>
            </w:r>
            <w:r>
              <w:rPr>
                <w:rFonts w:ascii="Calibri"/>
                <w:spacing w:val="65"/>
                <w:w w:val="99"/>
                <w:sz w:val="18"/>
              </w:rPr>
              <w:t xml:space="preserve"> </w:t>
            </w:r>
            <w:r>
              <w:rPr>
                <w:rFonts w:ascii="Calibri"/>
                <w:spacing w:val="-1"/>
                <w:sz w:val="18"/>
              </w:rPr>
              <w:t>identify</w:t>
            </w:r>
            <w:r>
              <w:rPr>
                <w:rFonts w:ascii="Calibri"/>
                <w:spacing w:val="-4"/>
                <w:sz w:val="18"/>
              </w:rPr>
              <w:t xml:space="preserve"> </w:t>
            </w:r>
            <w:r>
              <w:rPr>
                <w:rFonts w:ascii="Calibri"/>
                <w:spacing w:val="-1"/>
                <w:sz w:val="18"/>
              </w:rPr>
              <w:t>this</w:t>
            </w:r>
            <w:r>
              <w:rPr>
                <w:rFonts w:ascii="Calibri"/>
                <w:spacing w:val="-5"/>
                <w:sz w:val="18"/>
              </w:rPr>
              <w:t xml:space="preserve"> </w:t>
            </w:r>
            <w:r>
              <w:rPr>
                <w:rFonts w:ascii="Calibri"/>
                <w:sz w:val="18"/>
              </w:rPr>
              <w:t>as</w:t>
            </w:r>
            <w:r>
              <w:rPr>
                <w:rFonts w:ascii="Calibri"/>
                <w:spacing w:val="-4"/>
                <w:sz w:val="18"/>
              </w:rPr>
              <w:t xml:space="preserve"> </w:t>
            </w:r>
            <w:r>
              <w:rPr>
                <w:rFonts w:ascii="Calibri"/>
                <w:sz w:val="18"/>
              </w:rPr>
              <w:t>an</w:t>
            </w:r>
            <w:r>
              <w:rPr>
                <w:rFonts w:ascii="Calibri"/>
                <w:spacing w:val="-5"/>
                <w:sz w:val="18"/>
              </w:rPr>
              <w:t xml:space="preserve"> </w:t>
            </w:r>
            <w:r>
              <w:rPr>
                <w:rFonts w:ascii="Calibri"/>
                <w:sz w:val="18"/>
              </w:rPr>
              <w:t>issue</w:t>
            </w:r>
            <w:r>
              <w:rPr>
                <w:rFonts w:ascii="Calibri"/>
                <w:spacing w:val="-4"/>
                <w:sz w:val="18"/>
              </w:rPr>
              <w:t xml:space="preserve"> </w:t>
            </w:r>
            <w:r>
              <w:rPr>
                <w:rFonts w:ascii="Calibri"/>
                <w:spacing w:val="-1"/>
                <w:sz w:val="18"/>
              </w:rPr>
              <w:t>in</w:t>
            </w:r>
            <w:r>
              <w:rPr>
                <w:rFonts w:ascii="Calibri"/>
                <w:spacing w:val="-5"/>
                <w:sz w:val="18"/>
              </w:rPr>
              <w:t xml:space="preserve"> </w:t>
            </w:r>
            <w:r>
              <w:rPr>
                <w:rFonts w:ascii="Calibri"/>
                <w:sz w:val="18"/>
              </w:rPr>
              <w:t>PY8</w:t>
            </w:r>
            <w:r>
              <w:rPr>
                <w:rFonts w:ascii="Calibri"/>
                <w:spacing w:val="-4"/>
                <w:sz w:val="18"/>
              </w:rPr>
              <w:t xml:space="preserve"> </w:t>
            </w:r>
            <w:r>
              <w:rPr>
                <w:rFonts w:ascii="Calibri"/>
                <w:sz w:val="18"/>
              </w:rPr>
              <w:t>and</w:t>
            </w:r>
            <w:r>
              <w:rPr>
                <w:rFonts w:ascii="Calibri"/>
                <w:spacing w:val="-4"/>
                <w:sz w:val="18"/>
              </w:rPr>
              <w:t xml:space="preserve"> </w:t>
            </w:r>
            <w:r>
              <w:rPr>
                <w:rFonts w:ascii="Calibri"/>
                <w:spacing w:val="-1"/>
                <w:sz w:val="18"/>
              </w:rPr>
              <w:t>cause</w:t>
            </w:r>
            <w:r>
              <w:rPr>
                <w:rFonts w:ascii="Calibri"/>
                <w:spacing w:val="-5"/>
                <w:sz w:val="18"/>
              </w:rPr>
              <w:t xml:space="preserve"> </w:t>
            </w:r>
            <w:r>
              <w:rPr>
                <w:rFonts w:ascii="Calibri"/>
                <w:sz w:val="18"/>
              </w:rPr>
              <w:t>for</w:t>
            </w:r>
            <w:r>
              <w:rPr>
                <w:rFonts w:ascii="Calibri"/>
                <w:spacing w:val="-4"/>
                <w:sz w:val="18"/>
              </w:rPr>
              <w:t xml:space="preserve"> </w:t>
            </w:r>
            <w:r>
              <w:rPr>
                <w:rFonts w:ascii="Calibri"/>
                <w:spacing w:val="-1"/>
                <w:sz w:val="18"/>
              </w:rPr>
              <w:t>dissatisfaction,</w:t>
            </w:r>
            <w:r>
              <w:rPr>
                <w:rFonts w:ascii="Calibri"/>
                <w:spacing w:val="51"/>
                <w:w w:val="99"/>
                <w:sz w:val="18"/>
              </w:rPr>
              <w:t xml:space="preserve"> </w:t>
            </w:r>
            <w:r>
              <w:rPr>
                <w:rFonts w:ascii="Calibri"/>
                <w:spacing w:val="-1"/>
                <w:sz w:val="18"/>
              </w:rPr>
              <w:t>consider</w:t>
            </w:r>
            <w:r>
              <w:rPr>
                <w:rFonts w:ascii="Calibri"/>
                <w:spacing w:val="-7"/>
                <w:sz w:val="18"/>
              </w:rPr>
              <w:t xml:space="preserve"> </w:t>
            </w:r>
            <w:r>
              <w:rPr>
                <w:rFonts w:ascii="Calibri"/>
                <w:spacing w:val="-1"/>
                <w:sz w:val="18"/>
              </w:rPr>
              <w:t>conducting</w:t>
            </w:r>
            <w:r>
              <w:rPr>
                <w:rFonts w:ascii="Calibri"/>
                <w:spacing w:val="-6"/>
                <w:sz w:val="18"/>
              </w:rPr>
              <w:t xml:space="preserve"> </w:t>
            </w:r>
            <w:r>
              <w:rPr>
                <w:rFonts w:ascii="Calibri"/>
                <w:sz w:val="18"/>
              </w:rPr>
              <w:t>more</w:t>
            </w:r>
            <w:r>
              <w:rPr>
                <w:rFonts w:ascii="Calibri"/>
                <w:spacing w:val="-7"/>
                <w:sz w:val="18"/>
              </w:rPr>
              <w:t xml:space="preserve"> </w:t>
            </w:r>
            <w:r>
              <w:rPr>
                <w:rFonts w:ascii="Calibri"/>
                <w:spacing w:val="-1"/>
                <w:sz w:val="18"/>
              </w:rPr>
              <w:t>extensive</w:t>
            </w:r>
            <w:r>
              <w:rPr>
                <w:rFonts w:ascii="Calibri"/>
                <w:spacing w:val="-6"/>
                <w:sz w:val="18"/>
              </w:rPr>
              <w:t xml:space="preserve"> </w:t>
            </w:r>
            <w:r>
              <w:rPr>
                <w:rFonts w:ascii="Calibri"/>
                <w:spacing w:val="-1"/>
                <w:sz w:val="18"/>
              </w:rPr>
              <w:t>analysis</w:t>
            </w:r>
            <w:r>
              <w:rPr>
                <w:rFonts w:ascii="Calibri"/>
                <w:spacing w:val="-7"/>
                <w:sz w:val="18"/>
              </w:rPr>
              <w:t xml:space="preserve"> </w:t>
            </w:r>
            <w:r>
              <w:rPr>
                <w:rFonts w:ascii="Calibri"/>
                <w:sz w:val="18"/>
              </w:rPr>
              <w:t>of</w:t>
            </w:r>
            <w:r>
              <w:rPr>
                <w:rFonts w:ascii="Calibri"/>
                <w:spacing w:val="-5"/>
                <w:sz w:val="18"/>
              </w:rPr>
              <w:t xml:space="preserve"> </w:t>
            </w:r>
            <w:r>
              <w:rPr>
                <w:rFonts w:ascii="Calibri"/>
                <w:spacing w:val="-1"/>
                <w:sz w:val="18"/>
              </w:rPr>
              <w:t>time</w:t>
            </w:r>
            <w:r>
              <w:rPr>
                <w:rFonts w:ascii="Calibri"/>
                <w:spacing w:val="-6"/>
                <w:sz w:val="18"/>
              </w:rPr>
              <w:t xml:space="preserve"> </w:t>
            </w:r>
            <w:r>
              <w:rPr>
                <w:rFonts w:ascii="Calibri"/>
                <w:spacing w:val="-1"/>
                <w:sz w:val="18"/>
              </w:rPr>
              <w:t>frames</w:t>
            </w:r>
            <w:r>
              <w:rPr>
                <w:rFonts w:ascii="Calibri"/>
                <w:spacing w:val="63"/>
                <w:w w:val="99"/>
                <w:sz w:val="18"/>
              </w:rPr>
              <w:t xml:space="preserve"> </w:t>
            </w:r>
            <w:r>
              <w:rPr>
                <w:rFonts w:ascii="Calibri"/>
                <w:sz w:val="18"/>
              </w:rPr>
              <w:t>for</w:t>
            </w:r>
            <w:r>
              <w:rPr>
                <w:rFonts w:ascii="Calibri"/>
                <w:spacing w:val="-5"/>
                <w:sz w:val="18"/>
              </w:rPr>
              <w:t xml:space="preserve"> </w:t>
            </w:r>
            <w:r>
              <w:rPr>
                <w:rFonts w:ascii="Calibri"/>
                <w:spacing w:val="-1"/>
                <w:sz w:val="18"/>
              </w:rPr>
              <w:t>receiving</w:t>
            </w:r>
            <w:r>
              <w:rPr>
                <w:rFonts w:ascii="Calibri"/>
                <w:spacing w:val="-5"/>
                <w:sz w:val="18"/>
              </w:rPr>
              <w:t xml:space="preserve"> </w:t>
            </w:r>
            <w:r>
              <w:rPr>
                <w:rFonts w:ascii="Calibri"/>
                <w:spacing w:val="-1"/>
                <w:sz w:val="18"/>
              </w:rPr>
              <w:t>rebate</w:t>
            </w:r>
            <w:r>
              <w:rPr>
                <w:rFonts w:ascii="Calibri"/>
                <w:spacing w:val="-4"/>
                <w:sz w:val="18"/>
              </w:rPr>
              <w:t xml:space="preserve"> </w:t>
            </w:r>
            <w:r>
              <w:rPr>
                <w:rFonts w:ascii="Calibri"/>
                <w:spacing w:val="-1"/>
                <w:sz w:val="18"/>
              </w:rPr>
              <w:t>checks,</w:t>
            </w:r>
            <w:r>
              <w:rPr>
                <w:rFonts w:ascii="Calibri"/>
                <w:spacing w:val="-4"/>
                <w:sz w:val="18"/>
              </w:rPr>
              <w:t xml:space="preserve"> </w:t>
            </w:r>
            <w:r>
              <w:rPr>
                <w:rFonts w:ascii="Calibri"/>
                <w:sz w:val="18"/>
              </w:rPr>
              <w:t>as</w:t>
            </w:r>
            <w:r>
              <w:rPr>
                <w:rFonts w:ascii="Calibri"/>
                <w:spacing w:val="-5"/>
                <w:sz w:val="18"/>
              </w:rPr>
              <w:t xml:space="preserve"> </w:t>
            </w:r>
            <w:r>
              <w:rPr>
                <w:rFonts w:ascii="Calibri"/>
                <w:spacing w:val="-1"/>
                <w:sz w:val="18"/>
              </w:rPr>
              <w:t>well</w:t>
            </w:r>
            <w:r>
              <w:rPr>
                <w:rFonts w:ascii="Calibri"/>
                <w:spacing w:val="-4"/>
                <w:sz w:val="18"/>
              </w:rPr>
              <w:t xml:space="preserve"> </w:t>
            </w:r>
            <w:r>
              <w:rPr>
                <w:rFonts w:ascii="Calibri"/>
                <w:sz w:val="18"/>
              </w:rPr>
              <w:t>as</w:t>
            </w:r>
            <w:r>
              <w:rPr>
                <w:rFonts w:ascii="Calibri"/>
                <w:spacing w:val="-5"/>
                <w:sz w:val="18"/>
              </w:rPr>
              <w:t xml:space="preserve"> </w:t>
            </w:r>
            <w:r>
              <w:rPr>
                <w:rFonts w:ascii="Calibri"/>
                <w:sz w:val="18"/>
              </w:rPr>
              <w:t>the</w:t>
            </w:r>
            <w:r>
              <w:rPr>
                <w:rFonts w:ascii="Calibri"/>
                <w:spacing w:val="-4"/>
                <w:sz w:val="18"/>
              </w:rPr>
              <w:t xml:space="preserve"> </w:t>
            </w:r>
            <w:r>
              <w:rPr>
                <w:rFonts w:ascii="Calibri"/>
                <w:spacing w:val="-1"/>
                <w:sz w:val="18"/>
              </w:rPr>
              <w:t>feasibility</w:t>
            </w:r>
            <w:r>
              <w:rPr>
                <w:rFonts w:ascii="Calibri"/>
                <w:spacing w:val="-4"/>
                <w:sz w:val="18"/>
              </w:rPr>
              <w:t xml:space="preserve"> </w:t>
            </w:r>
            <w:r>
              <w:rPr>
                <w:rFonts w:ascii="Calibri"/>
                <w:sz w:val="18"/>
              </w:rPr>
              <w:t>of</w:t>
            </w:r>
            <w:r>
              <w:rPr>
                <w:rFonts w:ascii="Calibri"/>
                <w:spacing w:val="51"/>
                <w:w w:val="99"/>
                <w:sz w:val="18"/>
              </w:rPr>
              <w:t xml:space="preserve"> </w:t>
            </w:r>
            <w:r>
              <w:rPr>
                <w:rFonts w:ascii="Calibri"/>
                <w:spacing w:val="-1"/>
                <w:sz w:val="18"/>
              </w:rPr>
              <w:t>instituting</w:t>
            </w:r>
            <w:r>
              <w:rPr>
                <w:rFonts w:ascii="Calibri"/>
                <w:spacing w:val="-8"/>
                <w:sz w:val="18"/>
              </w:rPr>
              <w:t xml:space="preserve"> </w:t>
            </w:r>
            <w:r>
              <w:rPr>
                <w:rFonts w:ascii="Calibri"/>
                <w:sz w:val="18"/>
              </w:rPr>
              <w:t>a</w:t>
            </w:r>
            <w:r>
              <w:rPr>
                <w:rFonts w:ascii="Calibri"/>
                <w:spacing w:val="-6"/>
                <w:sz w:val="18"/>
              </w:rPr>
              <w:t xml:space="preserve"> </w:t>
            </w:r>
            <w:r>
              <w:rPr>
                <w:rFonts w:ascii="Calibri"/>
                <w:spacing w:val="-1"/>
                <w:sz w:val="18"/>
              </w:rPr>
              <w:t>procedure</w:t>
            </w:r>
            <w:r>
              <w:rPr>
                <w:rFonts w:ascii="Calibri"/>
                <w:spacing w:val="-7"/>
                <w:sz w:val="18"/>
              </w:rPr>
              <w:t xml:space="preserve"> </w:t>
            </w:r>
            <w:r>
              <w:rPr>
                <w:rFonts w:ascii="Calibri"/>
                <w:spacing w:val="-1"/>
                <w:sz w:val="18"/>
              </w:rPr>
              <w:t>whereby</w:t>
            </w:r>
            <w:r>
              <w:rPr>
                <w:rFonts w:ascii="Calibri"/>
                <w:spacing w:val="-5"/>
                <w:sz w:val="18"/>
              </w:rPr>
              <w:t xml:space="preserve"> </w:t>
            </w:r>
            <w:r>
              <w:rPr>
                <w:rFonts w:ascii="Calibri"/>
                <w:spacing w:val="-1"/>
                <w:sz w:val="18"/>
              </w:rPr>
              <w:t>program</w:t>
            </w:r>
            <w:r>
              <w:rPr>
                <w:rFonts w:ascii="Calibri"/>
                <w:spacing w:val="-6"/>
                <w:sz w:val="18"/>
              </w:rPr>
              <w:t xml:space="preserve"> </w:t>
            </w:r>
            <w:r>
              <w:rPr>
                <w:rFonts w:ascii="Calibri"/>
                <w:spacing w:val="-1"/>
                <w:sz w:val="18"/>
              </w:rPr>
              <w:t>management</w:t>
            </w:r>
            <w:r>
              <w:rPr>
                <w:rFonts w:ascii="Calibri"/>
                <w:spacing w:val="-6"/>
                <w:sz w:val="18"/>
              </w:rPr>
              <w:t xml:space="preserve"> </w:t>
            </w:r>
            <w:r>
              <w:rPr>
                <w:rFonts w:ascii="Calibri"/>
                <w:spacing w:val="-1"/>
                <w:sz w:val="18"/>
              </w:rPr>
              <w:t>is</w:t>
            </w:r>
            <w:r>
              <w:rPr>
                <w:rFonts w:ascii="Calibri"/>
                <w:spacing w:val="59"/>
                <w:w w:val="99"/>
                <w:sz w:val="18"/>
              </w:rPr>
              <w:t xml:space="preserve"> </w:t>
            </w:r>
            <w:r>
              <w:rPr>
                <w:rFonts w:ascii="Calibri"/>
                <w:spacing w:val="-1"/>
                <w:sz w:val="18"/>
              </w:rPr>
              <w:t>automatically</w:t>
            </w:r>
            <w:r>
              <w:rPr>
                <w:rFonts w:ascii="Calibri"/>
                <w:spacing w:val="-6"/>
                <w:sz w:val="18"/>
              </w:rPr>
              <w:t xml:space="preserve"> </w:t>
            </w:r>
            <w:r>
              <w:rPr>
                <w:rFonts w:ascii="Calibri"/>
                <w:spacing w:val="-1"/>
                <w:sz w:val="18"/>
              </w:rPr>
              <w:t>notified</w:t>
            </w:r>
            <w:r>
              <w:rPr>
                <w:rFonts w:ascii="Calibri"/>
                <w:spacing w:val="-6"/>
                <w:sz w:val="18"/>
              </w:rPr>
              <w:t xml:space="preserve"> </w:t>
            </w:r>
            <w:r>
              <w:rPr>
                <w:rFonts w:ascii="Calibri"/>
                <w:sz w:val="18"/>
              </w:rPr>
              <w:t>when</w:t>
            </w:r>
            <w:r>
              <w:rPr>
                <w:rFonts w:ascii="Calibri"/>
                <w:spacing w:val="-6"/>
                <w:sz w:val="18"/>
              </w:rPr>
              <w:t xml:space="preserve"> </w:t>
            </w:r>
            <w:r>
              <w:rPr>
                <w:rFonts w:ascii="Calibri"/>
                <w:sz w:val="18"/>
              </w:rPr>
              <w:t>a</w:t>
            </w:r>
            <w:r>
              <w:rPr>
                <w:rFonts w:ascii="Calibri"/>
                <w:spacing w:val="-5"/>
                <w:sz w:val="18"/>
              </w:rPr>
              <w:t xml:space="preserve"> </w:t>
            </w:r>
            <w:r>
              <w:rPr>
                <w:rFonts w:ascii="Calibri"/>
                <w:spacing w:val="-1"/>
                <w:sz w:val="18"/>
              </w:rPr>
              <w:t>participant</w:t>
            </w:r>
            <w:r>
              <w:rPr>
                <w:rFonts w:ascii="Calibri"/>
                <w:spacing w:val="-4"/>
                <w:sz w:val="18"/>
              </w:rPr>
              <w:t xml:space="preserve"> </w:t>
            </w:r>
            <w:r>
              <w:rPr>
                <w:rFonts w:ascii="Calibri"/>
                <w:spacing w:val="-1"/>
                <w:sz w:val="18"/>
              </w:rPr>
              <w:t>has</w:t>
            </w:r>
            <w:r>
              <w:rPr>
                <w:rFonts w:ascii="Calibri"/>
                <w:spacing w:val="-6"/>
                <w:sz w:val="18"/>
              </w:rPr>
              <w:t xml:space="preserve"> </w:t>
            </w:r>
            <w:r>
              <w:rPr>
                <w:rFonts w:ascii="Calibri"/>
                <w:spacing w:val="-1"/>
                <w:sz w:val="18"/>
              </w:rPr>
              <w:t>waited</w:t>
            </w:r>
            <w:r>
              <w:rPr>
                <w:rFonts w:ascii="Calibri"/>
                <w:spacing w:val="-5"/>
                <w:sz w:val="18"/>
              </w:rPr>
              <w:t xml:space="preserve"> </w:t>
            </w:r>
            <w:r>
              <w:rPr>
                <w:rFonts w:ascii="Calibri"/>
                <w:spacing w:val="-1"/>
                <w:sz w:val="18"/>
              </w:rPr>
              <w:t>longer</w:t>
            </w:r>
            <w:r>
              <w:rPr>
                <w:rFonts w:ascii="Calibri"/>
                <w:spacing w:val="59"/>
                <w:w w:val="99"/>
                <w:sz w:val="18"/>
              </w:rPr>
              <w:t xml:space="preserve"> </w:t>
            </w:r>
            <w:r>
              <w:rPr>
                <w:rFonts w:ascii="Calibri"/>
                <w:spacing w:val="-1"/>
                <w:sz w:val="18"/>
              </w:rPr>
              <w:t>than</w:t>
            </w:r>
            <w:r>
              <w:rPr>
                <w:rFonts w:ascii="Calibri"/>
                <w:spacing w:val="-6"/>
                <w:sz w:val="18"/>
              </w:rPr>
              <w:t xml:space="preserve"> </w:t>
            </w:r>
            <w:r>
              <w:rPr>
                <w:rFonts w:ascii="Calibri"/>
                <w:sz w:val="18"/>
              </w:rPr>
              <w:t>a</w:t>
            </w:r>
            <w:r>
              <w:rPr>
                <w:rFonts w:ascii="Calibri"/>
                <w:spacing w:val="-5"/>
                <w:sz w:val="18"/>
              </w:rPr>
              <w:t xml:space="preserve"> </w:t>
            </w:r>
            <w:r>
              <w:rPr>
                <w:rFonts w:ascii="Calibri"/>
                <w:spacing w:val="-1"/>
                <w:sz w:val="18"/>
              </w:rPr>
              <w:t>pre-specified</w:t>
            </w:r>
            <w:r>
              <w:rPr>
                <w:rFonts w:ascii="Calibri"/>
                <w:spacing w:val="-4"/>
                <w:sz w:val="18"/>
              </w:rPr>
              <w:t xml:space="preserve"> </w:t>
            </w:r>
            <w:r>
              <w:rPr>
                <w:rFonts w:ascii="Calibri"/>
                <w:spacing w:val="-1"/>
                <w:sz w:val="18"/>
              </w:rPr>
              <w:t>period</w:t>
            </w:r>
            <w:r>
              <w:rPr>
                <w:rFonts w:ascii="Calibri"/>
                <w:spacing w:val="-4"/>
                <w:sz w:val="18"/>
              </w:rPr>
              <w:t xml:space="preserve"> </w:t>
            </w:r>
            <w:r>
              <w:rPr>
                <w:rFonts w:ascii="Calibri"/>
                <w:sz w:val="18"/>
              </w:rPr>
              <w:t>before</w:t>
            </w:r>
            <w:r>
              <w:rPr>
                <w:rFonts w:ascii="Calibri"/>
                <w:spacing w:val="-6"/>
                <w:sz w:val="18"/>
              </w:rPr>
              <w:t xml:space="preserve"> </w:t>
            </w:r>
            <w:r>
              <w:rPr>
                <w:rFonts w:ascii="Calibri"/>
                <w:spacing w:val="-1"/>
                <w:sz w:val="18"/>
              </w:rPr>
              <w:t>they</w:t>
            </w:r>
            <w:r>
              <w:rPr>
                <w:rFonts w:ascii="Calibri"/>
                <w:spacing w:val="-4"/>
                <w:sz w:val="18"/>
              </w:rPr>
              <w:t xml:space="preserve"> </w:t>
            </w:r>
            <w:r>
              <w:rPr>
                <w:rFonts w:ascii="Calibri"/>
                <w:spacing w:val="-1"/>
                <w:sz w:val="18"/>
              </w:rPr>
              <w:t>receive</w:t>
            </w:r>
            <w:r>
              <w:rPr>
                <w:rFonts w:ascii="Calibri"/>
                <w:spacing w:val="-6"/>
                <w:sz w:val="18"/>
              </w:rPr>
              <w:t xml:space="preserve"> </w:t>
            </w:r>
            <w:r>
              <w:rPr>
                <w:rFonts w:ascii="Calibri"/>
                <w:spacing w:val="-1"/>
                <w:sz w:val="18"/>
              </w:rPr>
              <w:t>their</w:t>
            </w:r>
            <w:r>
              <w:rPr>
                <w:rFonts w:ascii="Calibri"/>
                <w:spacing w:val="-6"/>
                <w:sz w:val="18"/>
              </w:rPr>
              <w:t xml:space="preserve"> </w:t>
            </w:r>
            <w:r>
              <w:rPr>
                <w:rFonts w:ascii="Calibri"/>
                <w:spacing w:val="-1"/>
                <w:sz w:val="18"/>
              </w:rPr>
              <w:t>rebate</w:t>
            </w:r>
            <w:r>
              <w:rPr>
                <w:rFonts w:ascii="Calibri"/>
                <w:spacing w:val="61"/>
                <w:w w:val="99"/>
                <w:sz w:val="18"/>
              </w:rPr>
              <w:t xml:space="preserve"> </w:t>
            </w:r>
            <w:r>
              <w:rPr>
                <w:rFonts w:ascii="Calibri"/>
                <w:spacing w:val="-1"/>
                <w:sz w:val="18"/>
              </w:rPr>
              <w:t>check,</w:t>
            </w:r>
            <w:r>
              <w:rPr>
                <w:rFonts w:ascii="Calibri"/>
                <w:spacing w:val="-6"/>
                <w:sz w:val="18"/>
              </w:rPr>
              <w:t xml:space="preserve"> </w:t>
            </w:r>
            <w:r>
              <w:rPr>
                <w:rFonts w:ascii="Calibri"/>
                <w:spacing w:val="-1"/>
                <w:sz w:val="18"/>
              </w:rPr>
              <w:t>so</w:t>
            </w:r>
            <w:r>
              <w:rPr>
                <w:rFonts w:ascii="Calibri"/>
                <w:spacing w:val="-4"/>
                <w:sz w:val="18"/>
              </w:rPr>
              <w:t xml:space="preserve"> </w:t>
            </w:r>
            <w:r>
              <w:rPr>
                <w:rFonts w:ascii="Calibri"/>
                <w:spacing w:val="-1"/>
                <w:sz w:val="18"/>
              </w:rPr>
              <w:t>that</w:t>
            </w:r>
            <w:r>
              <w:rPr>
                <w:rFonts w:ascii="Calibri"/>
                <w:spacing w:val="-6"/>
                <w:sz w:val="18"/>
              </w:rPr>
              <w:t xml:space="preserve"> </w:t>
            </w:r>
            <w:r>
              <w:rPr>
                <w:rFonts w:ascii="Calibri"/>
                <w:spacing w:val="-1"/>
                <w:sz w:val="18"/>
              </w:rPr>
              <w:t>management</w:t>
            </w:r>
            <w:r>
              <w:rPr>
                <w:rFonts w:ascii="Calibri"/>
                <w:spacing w:val="-6"/>
                <w:sz w:val="18"/>
              </w:rPr>
              <w:t xml:space="preserve"> </w:t>
            </w:r>
            <w:r>
              <w:rPr>
                <w:rFonts w:ascii="Calibri"/>
                <w:sz w:val="18"/>
              </w:rPr>
              <w:t>can</w:t>
            </w:r>
            <w:r>
              <w:rPr>
                <w:rFonts w:ascii="Calibri"/>
                <w:spacing w:val="-6"/>
                <w:sz w:val="18"/>
              </w:rPr>
              <w:t xml:space="preserve"> </w:t>
            </w:r>
            <w:r>
              <w:rPr>
                <w:rFonts w:ascii="Calibri"/>
                <w:sz w:val="18"/>
              </w:rPr>
              <w:t>then</w:t>
            </w:r>
            <w:r>
              <w:rPr>
                <w:rFonts w:ascii="Calibri"/>
                <w:spacing w:val="-5"/>
                <w:sz w:val="18"/>
              </w:rPr>
              <w:t xml:space="preserve"> </w:t>
            </w:r>
            <w:r>
              <w:rPr>
                <w:rFonts w:ascii="Calibri"/>
                <w:spacing w:val="-1"/>
                <w:sz w:val="18"/>
              </w:rPr>
              <w:t>contact</w:t>
            </w:r>
            <w:r>
              <w:rPr>
                <w:rFonts w:ascii="Calibri"/>
                <w:spacing w:val="-6"/>
                <w:sz w:val="18"/>
              </w:rPr>
              <w:t xml:space="preserve"> </w:t>
            </w:r>
            <w:r>
              <w:rPr>
                <w:rFonts w:ascii="Calibri"/>
                <w:spacing w:val="-1"/>
                <w:sz w:val="18"/>
              </w:rPr>
              <w:t>the</w:t>
            </w:r>
            <w:r>
              <w:rPr>
                <w:rFonts w:ascii="Calibri"/>
                <w:spacing w:val="-6"/>
                <w:sz w:val="18"/>
              </w:rPr>
              <w:t xml:space="preserve"> </w:t>
            </w:r>
            <w:r>
              <w:rPr>
                <w:rFonts w:ascii="Calibri"/>
                <w:sz w:val="18"/>
              </w:rPr>
              <w:t>customer</w:t>
            </w:r>
            <w:r>
              <w:rPr>
                <w:rFonts w:ascii="Calibri"/>
                <w:spacing w:val="43"/>
                <w:w w:val="99"/>
                <w:sz w:val="18"/>
              </w:rPr>
              <w:t xml:space="preserve"> </w:t>
            </w:r>
            <w:r>
              <w:rPr>
                <w:rFonts w:ascii="Calibri"/>
                <w:spacing w:val="-1"/>
                <w:sz w:val="18"/>
              </w:rPr>
              <w:t>to</w:t>
            </w:r>
            <w:r>
              <w:rPr>
                <w:rFonts w:ascii="Calibri"/>
                <w:spacing w:val="-3"/>
                <w:sz w:val="18"/>
              </w:rPr>
              <w:t xml:space="preserve"> </w:t>
            </w:r>
            <w:r>
              <w:rPr>
                <w:rFonts w:ascii="Calibri"/>
                <w:spacing w:val="-1"/>
                <w:sz w:val="18"/>
              </w:rPr>
              <w:t>provide</w:t>
            </w:r>
            <w:r>
              <w:rPr>
                <w:rFonts w:ascii="Calibri"/>
                <w:spacing w:val="-4"/>
                <w:sz w:val="18"/>
              </w:rPr>
              <w:t xml:space="preserve"> </w:t>
            </w:r>
            <w:r>
              <w:rPr>
                <w:rFonts w:ascii="Calibri"/>
                <w:sz w:val="18"/>
              </w:rPr>
              <w:t>an</w:t>
            </w:r>
            <w:r>
              <w:rPr>
                <w:rFonts w:ascii="Calibri"/>
                <w:spacing w:val="-4"/>
                <w:sz w:val="18"/>
              </w:rPr>
              <w:t xml:space="preserve"> </w:t>
            </w:r>
            <w:r>
              <w:rPr>
                <w:rFonts w:ascii="Calibri"/>
                <w:spacing w:val="-1"/>
                <w:sz w:val="18"/>
              </w:rPr>
              <w:t>update</w:t>
            </w:r>
            <w:r>
              <w:rPr>
                <w:rFonts w:ascii="Calibri"/>
                <w:spacing w:val="-3"/>
                <w:sz w:val="18"/>
              </w:rPr>
              <w:t xml:space="preserve"> </w:t>
            </w:r>
            <w:r>
              <w:rPr>
                <w:rFonts w:ascii="Calibri"/>
                <w:spacing w:val="1"/>
                <w:sz w:val="18"/>
              </w:rPr>
              <w:t>as</w:t>
            </w:r>
            <w:r>
              <w:rPr>
                <w:rFonts w:ascii="Calibri"/>
                <w:spacing w:val="-4"/>
                <w:sz w:val="18"/>
              </w:rPr>
              <w:t xml:space="preserve"> </w:t>
            </w:r>
            <w:r>
              <w:rPr>
                <w:rFonts w:ascii="Calibri"/>
                <w:spacing w:val="-1"/>
                <w:sz w:val="18"/>
              </w:rPr>
              <w:t>to</w:t>
            </w:r>
            <w:r>
              <w:rPr>
                <w:rFonts w:ascii="Calibri"/>
                <w:spacing w:val="-3"/>
                <w:sz w:val="18"/>
              </w:rPr>
              <w:t xml:space="preserve"> </w:t>
            </w:r>
            <w:r>
              <w:rPr>
                <w:rFonts w:ascii="Calibri"/>
                <w:spacing w:val="-1"/>
                <w:sz w:val="18"/>
              </w:rPr>
              <w:t>when</w:t>
            </w:r>
            <w:r>
              <w:rPr>
                <w:rFonts w:ascii="Calibri"/>
                <w:spacing w:val="-2"/>
                <w:sz w:val="18"/>
              </w:rPr>
              <w:t xml:space="preserve"> </w:t>
            </w:r>
            <w:r>
              <w:rPr>
                <w:rFonts w:ascii="Calibri"/>
                <w:spacing w:val="-1"/>
                <w:sz w:val="18"/>
              </w:rPr>
              <w:t>the</w:t>
            </w:r>
            <w:r>
              <w:rPr>
                <w:rFonts w:ascii="Calibri"/>
                <w:spacing w:val="-4"/>
                <w:sz w:val="18"/>
              </w:rPr>
              <w:t xml:space="preserve"> </w:t>
            </w:r>
            <w:r>
              <w:rPr>
                <w:rFonts w:ascii="Calibri"/>
                <w:spacing w:val="-1"/>
                <w:sz w:val="18"/>
              </w:rPr>
              <w:t>check</w:t>
            </w:r>
            <w:r>
              <w:rPr>
                <w:rFonts w:ascii="Calibri"/>
                <w:spacing w:val="-3"/>
                <w:sz w:val="18"/>
              </w:rPr>
              <w:t xml:space="preserve"> </w:t>
            </w:r>
            <w:r>
              <w:rPr>
                <w:rFonts w:ascii="Calibri"/>
                <w:spacing w:val="-1"/>
                <w:sz w:val="18"/>
              </w:rPr>
              <w:t>will be</w:t>
            </w:r>
            <w:r>
              <w:rPr>
                <w:rFonts w:ascii="Calibri"/>
                <w:spacing w:val="-4"/>
                <w:sz w:val="18"/>
              </w:rPr>
              <w:t xml:space="preserve"> </w:t>
            </w:r>
            <w:r>
              <w:rPr>
                <w:rFonts w:ascii="Calibri"/>
                <w:spacing w:val="-1"/>
                <w:sz w:val="18"/>
              </w:rPr>
              <w:t>issued.</w:t>
            </w:r>
            <w:r>
              <w:rPr>
                <w:rFonts w:ascii="Calibri"/>
                <w:spacing w:val="-3"/>
                <w:sz w:val="18"/>
              </w:rPr>
              <w:t xml:space="preserve"> </w:t>
            </w:r>
            <w:r>
              <w:rPr>
                <w:rFonts w:ascii="Calibri"/>
                <w:sz w:val="18"/>
              </w:rPr>
              <w:t>It</w:t>
            </w:r>
            <w:r>
              <w:rPr>
                <w:rFonts w:ascii="Calibri"/>
                <w:spacing w:val="55"/>
                <w:w w:val="99"/>
                <w:sz w:val="18"/>
              </w:rPr>
              <w:t xml:space="preserve"> </w:t>
            </w:r>
            <w:r>
              <w:rPr>
                <w:rFonts w:ascii="Calibri"/>
                <w:sz w:val="18"/>
              </w:rPr>
              <w:t>may</w:t>
            </w:r>
            <w:r>
              <w:rPr>
                <w:rFonts w:ascii="Calibri"/>
                <w:spacing w:val="-5"/>
                <w:sz w:val="18"/>
              </w:rPr>
              <w:t xml:space="preserve"> </w:t>
            </w:r>
            <w:r>
              <w:rPr>
                <w:rFonts w:ascii="Calibri"/>
                <w:spacing w:val="-1"/>
                <w:sz w:val="18"/>
              </w:rPr>
              <w:t>also</w:t>
            </w:r>
            <w:r>
              <w:rPr>
                <w:rFonts w:ascii="Calibri"/>
                <w:spacing w:val="-4"/>
                <w:sz w:val="18"/>
              </w:rPr>
              <w:t xml:space="preserve"> </w:t>
            </w:r>
            <w:r>
              <w:rPr>
                <w:rFonts w:ascii="Calibri"/>
                <w:spacing w:val="-1"/>
                <w:sz w:val="18"/>
              </w:rPr>
              <w:t>be</w:t>
            </w:r>
            <w:r>
              <w:rPr>
                <w:rFonts w:ascii="Calibri"/>
                <w:spacing w:val="-6"/>
                <w:sz w:val="18"/>
              </w:rPr>
              <w:t xml:space="preserve"> </w:t>
            </w:r>
            <w:r>
              <w:rPr>
                <w:rFonts w:ascii="Calibri"/>
                <w:spacing w:val="-1"/>
                <w:sz w:val="18"/>
              </w:rPr>
              <w:t>important</w:t>
            </w:r>
            <w:r>
              <w:rPr>
                <w:rFonts w:ascii="Calibri"/>
                <w:spacing w:val="-6"/>
                <w:sz w:val="18"/>
              </w:rPr>
              <w:t xml:space="preserve"> </w:t>
            </w:r>
            <w:r>
              <w:rPr>
                <w:rFonts w:ascii="Calibri"/>
                <w:spacing w:val="-1"/>
                <w:sz w:val="18"/>
              </w:rPr>
              <w:t>to</w:t>
            </w:r>
            <w:r>
              <w:rPr>
                <w:rFonts w:ascii="Calibri"/>
                <w:spacing w:val="-4"/>
                <w:sz w:val="18"/>
              </w:rPr>
              <w:t xml:space="preserve"> </w:t>
            </w:r>
            <w:r>
              <w:rPr>
                <w:rFonts w:ascii="Calibri"/>
                <w:sz w:val="18"/>
              </w:rPr>
              <w:t>more</w:t>
            </w:r>
            <w:r>
              <w:rPr>
                <w:rFonts w:ascii="Calibri"/>
                <w:spacing w:val="-6"/>
                <w:sz w:val="18"/>
              </w:rPr>
              <w:t xml:space="preserve"> </w:t>
            </w:r>
            <w:r>
              <w:rPr>
                <w:rFonts w:ascii="Calibri"/>
                <w:spacing w:val="-1"/>
                <w:sz w:val="18"/>
              </w:rPr>
              <w:t>effectively</w:t>
            </w:r>
            <w:r>
              <w:rPr>
                <w:rFonts w:ascii="Calibri"/>
                <w:spacing w:val="-4"/>
                <w:sz w:val="18"/>
              </w:rPr>
              <w:t xml:space="preserve"> </w:t>
            </w:r>
            <w:r>
              <w:rPr>
                <w:rFonts w:ascii="Calibri"/>
                <w:spacing w:val="-1"/>
                <w:sz w:val="18"/>
              </w:rPr>
              <w:t>communicate</w:t>
            </w:r>
            <w:r>
              <w:rPr>
                <w:rFonts w:ascii="Calibri"/>
                <w:spacing w:val="-6"/>
                <w:sz w:val="18"/>
              </w:rPr>
              <w:t xml:space="preserve"> </w:t>
            </w:r>
            <w:r>
              <w:rPr>
                <w:rFonts w:ascii="Calibri"/>
                <w:spacing w:val="-1"/>
                <w:sz w:val="18"/>
              </w:rPr>
              <w:t>the</w:t>
            </w:r>
            <w:r>
              <w:rPr>
                <w:rFonts w:ascii="Calibri"/>
                <w:spacing w:val="51"/>
                <w:w w:val="99"/>
                <w:sz w:val="18"/>
              </w:rPr>
              <w:t xml:space="preserve"> </w:t>
            </w:r>
            <w:r>
              <w:rPr>
                <w:rFonts w:ascii="Calibri"/>
                <w:spacing w:val="-1"/>
                <w:sz w:val="18"/>
              </w:rPr>
              <w:t>likely</w:t>
            </w:r>
            <w:r>
              <w:rPr>
                <w:rFonts w:ascii="Calibri"/>
                <w:spacing w:val="-4"/>
                <w:sz w:val="18"/>
              </w:rPr>
              <w:t xml:space="preserve"> </w:t>
            </w:r>
            <w:r>
              <w:rPr>
                <w:rFonts w:ascii="Calibri"/>
                <w:sz w:val="18"/>
              </w:rPr>
              <w:t>time</w:t>
            </w:r>
            <w:r>
              <w:rPr>
                <w:rFonts w:ascii="Calibri"/>
                <w:spacing w:val="-5"/>
                <w:sz w:val="18"/>
              </w:rPr>
              <w:t xml:space="preserve"> </w:t>
            </w:r>
            <w:r>
              <w:rPr>
                <w:rFonts w:ascii="Calibri"/>
                <w:spacing w:val="-1"/>
                <w:sz w:val="18"/>
              </w:rPr>
              <w:t>frame</w:t>
            </w:r>
            <w:r>
              <w:rPr>
                <w:rFonts w:ascii="Calibri"/>
                <w:spacing w:val="-5"/>
                <w:sz w:val="18"/>
              </w:rPr>
              <w:t xml:space="preserve"> </w:t>
            </w:r>
            <w:r>
              <w:rPr>
                <w:rFonts w:ascii="Calibri"/>
                <w:sz w:val="18"/>
              </w:rPr>
              <w:t>for</w:t>
            </w:r>
            <w:r>
              <w:rPr>
                <w:rFonts w:ascii="Calibri"/>
                <w:spacing w:val="-5"/>
                <w:sz w:val="18"/>
              </w:rPr>
              <w:t xml:space="preserve"> </w:t>
            </w:r>
            <w:r>
              <w:rPr>
                <w:rFonts w:ascii="Calibri"/>
                <w:spacing w:val="-1"/>
                <w:sz w:val="18"/>
              </w:rPr>
              <w:t>receiving</w:t>
            </w:r>
            <w:r>
              <w:rPr>
                <w:rFonts w:ascii="Calibri"/>
                <w:spacing w:val="-5"/>
                <w:sz w:val="18"/>
              </w:rPr>
              <w:t xml:space="preserve"> </w:t>
            </w:r>
            <w:r>
              <w:rPr>
                <w:rFonts w:ascii="Calibri"/>
                <w:spacing w:val="-1"/>
                <w:sz w:val="18"/>
              </w:rPr>
              <w:t>rebate</w:t>
            </w:r>
            <w:r>
              <w:rPr>
                <w:rFonts w:ascii="Calibri"/>
                <w:spacing w:val="-5"/>
                <w:sz w:val="18"/>
              </w:rPr>
              <w:t xml:space="preserve"> </w:t>
            </w:r>
            <w:r>
              <w:rPr>
                <w:rFonts w:ascii="Calibri"/>
                <w:spacing w:val="-1"/>
                <w:sz w:val="18"/>
              </w:rPr>
              <w:t>checks</w:t>
            </w:r>
            <w:r>
              <w:rPr>
                <w:rFonts w:ascii="Calibri"/>
                <w:spacing w:val="-5"/>
                <w:sz w:val="18"/>
              </w:rPr>
              <w:t xml:space="preserve"> </w:t>
            </w:r>
            <w:r>
              <w:rPr>
                <w:rFonts w:ascii="Calibri"/>
                <w:spacing w:val="-1"/>
                <w:sz w:val="18"/>
              </w:rPr>
              <w:t>to</w:t>
            </w:r>
            <w:r>
              <w:rPr>
                <w:rFonts w:ascii="Calibri"/>
                <w:spacing w:val="-3"/>
                <w:sz w:val="18"/>
              </w:rPr>
              <w:t xml:space="preserve"> </w:t>
            </w:r>
            <w:r>
              <w:rPr>
                <w:rFonts w:ascii="Calibri"/>
                <w:sz w:val="18"/>
              </w:rPr>
              <w:t>the</w:t>
            </w:r>
            <w:r>
              <w:rPr>
                <w:rFonts w:ascii="Calibri"/>
                <w:spacing w:val="43"/>
                <w:w w:val="99"/>
                <w:sz w:val="18"/>
              </w:rPr>
              <w:t xml:space="preserve"> </w:t>
            </w:r>
            <w:r>
              <w:rPr>
                <w:rFonts w:ascii="Calibri"/>
                <w:spacing w:val="-1"/>
                <w:sz w:val="18"/>
              </w:rPr>
              <w:t>customers.</w:t>
            </w:r>
          </w:p>
        </w:tc>
        <w:tc>
          <w:tcPr>
            <w:tcW w:w="4680" w:type="dxa"/>
            <w:shd w:val="clear" w:color="auto" w:fill="D2EAF1"/>
          </w:tcPr>
          <w:p w:rsidR="00E646C9" w:rsidRDefault="00E646C9" w:rsidP="00C94D5A">
            <w:pPr>
              <w:pStyle w:val="TableParagraph"/>
              <w:ind w:left="138"/>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r w:rsidR="00E646C9" w:rsidTr="005A786B">
        <w:trPr>
          <w:trHeight w:hRule="exact" w:val="1339"/>
        </w:trPr>
        <w:tc>
          <w:tcPr>
            <w:tcW w:w="4680" w:type="dxa"/>
          </w:tcPr>
          <w:p w:rsidR="00E646C9" w:rsidRDefault="00E646C9" w:rsidP="00C94D5A">
            <w:pPr>
              <w:pStyle w:val="TableParagraph"/>
              <w:spacing w:line="218" w:lineRule="exact"/>
              <w:ind w:left="97"/>
              <w:rPr>
                <w:rFonts w:ascii="Calibri" w:eastAsia="Calibri" w:hAnsi="Calibri" w:cs="Calibri"/>
                <w:sz w:val="18"/>
                <w:szCs w:val="18"/>
              </w:rPr>
            </w:pPr>
            <w:r>
              <w:rPr>
                <w:rFonts w:ascii="Calibri"/>
                <w:b/>
                <w:spacing w:val="-1"/>
                <w:sz w:val="18"/>
              </w:rPr>
              <w:t>Recommendation</w:t>
            </w:r>
            <w:r>
              <w:rPr>
                <w:rFonts w:ascii="Calibri"/>
                <w:b/>
                <w:spacing w:val="-16"/>
                <w:sz w:val="18"/>
              </w:rPr>
              <w:t xml:space="preserve"> </w:t>
            </w:r>
            <w:r>
              <w:rPr>
                <w:rFonts w:ascii="Calibri"/>
                <w:b/>
                <w:sz w:val="18"/>
              </w:rPr>
              <w:t>2</w:t>
            </w:r>
          </w:p>
          <w:p w:rsidR="00E646C9" w:rsidRDefault="00E646C9" w:rsidP="00C94D5A">
            <w:pPr>
              <w:pStyle w:val="TableParagraph"/>
              <w:spacing w:before="1"/>
              <w:ind w:left="97" w:right="151"/>
              <w:rPr>
                <w:rFonts w:ascii="Calibri" w:eastAsia="Calibri" w:hAnsi="Calibri" w:cs="Calibri"/>
                <w:sz w:val="18"/>
                <w:szCs w:val="18"/>
              </w:rPr>
            </w:pPr>
            <w:r>
              <w:rPr>
                <w:rFonts w:ascii="Calibri"/>
                <w:spacing w:val="-1"/>
                <w:sz w:val="18"/>
              </w:rPr>
              <w:t>Monitor</w:t>
            </w:r>
            <w:r>
              <w:rPr>
                <w:rFonts w:ascii="Calibri"/>
                <w:spacing w:val="-7"/>
                <w:sz w:val="18"/>
              </w:rPr>
              <w:t xml:space="preserve"> </w:t>
            </w:r>
            <w:r>
              <w:rPr>
                <w:rFonts w:ascii="Calibri"/>
                <w:spacing w:val="-1"/>
                <w:sz w:val="18"/>
              </w:rPr>
              <w:t>closely</w:t>
            </w:r>
            <w:r>
              <w:rPr>
                <w:rFonts w:ascii="Calibri"/>
                <w:spacing w:val="-5"/>
                <w:sz w:val="18"/>
              </w:rPr>
              <w:t xml:space="preserve"> </w:t>
            </w:r>
            <w:r>
              <w:rPr>
                <w:rFonts w:ascii="Calibri"/>
                <w:spacing w:val="-1"/>
                <w:sz w:val="18"/>
              </w:rPr>
              <w:t>program</w:t>
            </w:r>
            <w:r>
              <w:rPr>
                <w:rFonts w:ascii="Calibri"/>
                <w:spacing w:val="-5"/>
                <w:sz w:val="18"/>
              </w:rPr>
              <w:t xml:space="preserve"> </w:t>
            </w:r>
            <w:r>
              <w:rPr>
                <w:rFonts w:ascii="Calibri"/>
                <w:spacing w:val="-1"/>
                <w:sz w:val="18"/>
              </w:rPr>
              <w:t>participation</w:t>
            </w:r>
            <w:r>
              <w:rPr>
                <w:rFonts w:ascii="Calibri"/>
                <w:spacing w:val="-7"/>
                <w:sz w:val="18"/>
              </w:rPr>
              <w:t xml:space="preserve"> </w:t>
            </w:r>
            <w:r>
              <w:rPr>
                <w:rFonts w:ascii="Calibri"/>
                <w:sz w:val="18"/>
              </w:rPr>
              <w:t>as</w:t>
            </w:r>
            <w:r>
              <w:rPr>
                <w:rFonts w:ascii="Calibri"/>
                <w:spacing w:val="-6"/>
                <w:sz w:val="18"/>
              </w:rPr>
              <w:t xml:space="preserve"> </w:t>
            </w:r>
            <w:r>
              <w:rPr>
                <w:rFonts w:ascii="Calibri"/>
                <w:spacing w:val="-1"/>
                <w:sz w:val="18"/>
              </w:rPr>
              <w:t>identified</w:t>
            </w:r>
            <w:r>
              <w:rPr>
                <w:rFonts w:ascii="Calibri"/>
                <w:spacing w:val="-5"/>
                <w:sz w:val="18"/>
              </w:rPr>
              <w:t xml:space="preserve"> </w:t>
            </w:r>
            <w:r>
              <w:rPr>
                <w:rFonts w:ascii="Calibri"/>
                <w:spacing w:val="-1"/>
                <w:sz w:val="18"/>
              </w:rPr>
              <w:t>in</w:t>
            </w:r>
            <w:r>
              <w:rPr>
                <w:rFonts w:ascii="Calibri"/>
                <w:spacing w:val="-7"/>
                <w:sz w:val="18"/>
              </w:rPr>
              <w:t xml:space="preserve"> </w:t>
            </w:r>
            <w:r>
              <w:rPr>
                <w:rFonts w:ascii="Calibri"/>
                <w:sz w:val="18"/>
              </w:rPr>
              <w:t>PMRS,</w:t>
            </w:r>
            <w:r>
              <w:rPr>
                <w:rFonts w:ascii="Calibri"/>
                <w:spacing w:val="67"/>
                <w:w w:val="99"/>
                <w:sz w:val="18"/>
              </w:rPr>
              <w:t xml:space="preserve"> </w:t>
            </w:r>
            <w:r>
              <w:rPr>
                <w:rFonts w:ascii="Calibri"/>
                <w:spacing w:val="-1"/>
                <w:sz w:val="18"/>
              </w:rPr>
              <w:t>the</w:t>
            </w:r>
            <w:r>
              <w:rPr>
                <w:rFonts w:ascii="Calibri"/>
                <w:spacing w:val="-5"/>
                <w:sz w:val="18"/>
              </w:rPr>
              <w:t xml:space="preserve"> </w:t>
            </w:r>
            <w:r>
              <w:rPr>
                <w:rFonts w:ascii="Calibri"/>
                <w:spacing w:val="-1"/>
                <w:sz w:val="18"/>
              </w:rPr>
              <w:t>Act</w:t>
            </w:r>
            <w:r>
              <w:rPr>
                <w:rFonts w:ascii="Calibri"/>
                <w:spacing w:val="-6"/>
                <w:sz w:val="18"/>
              </w:rPr>
              <w:t xml:space="preserve"> </w:t>
            </w:r>
            <w:r>
              <w:rPr>
                <w:rFonts w:ascii="Calibri"/>
                <w:sz w:val="18"/>
              </w:rPr>
              <w:t>129</w:t>
            </w:r>
            <w:r>
              <w:rPr>
                <w:rFonts w:ascii="Calibri"/>
                <w:spacing w:val="-4"/>
                <w:sz w:val="18"/>
              </w:rPr>
              <w:t xml:space="preserve"> </w:t>
            </w:r>
            <w:r>
              <w:rPr>
                <w:rFonts w:ascii="Calibri"/>
                <w:spacing w:val="-1"/>
                <w:sz w:val="18"/>
              </w:rPr>
              <w:t>program</w:t>
            </w:r>
            <w:r>
              <w:rPr>
                <w:rFonts w:ascii="Calibri"/>
                <w:spacing w:val="-4"/>
                <w:sz w:val="18"/>
              </w:rPr>
              <w:t xml:space="preserve"> </w:t>
            </w:r>
            <w:r>
              <w:rPr>
                <w:rFonts w:ascii="Calibri"/>
                <w:spacing w:val="-1"/>
                <w:sz w:val="18"/>
              </w:rPr>
              <w:t>tracking</w:t>
            </w:r>
            <w:r>
              <w:rPr>
                <w:rFonts w:ascii="Calibri"/>
                <w:spacing w:val="-2"/>
                <w:sz w:val="18"/>
              </w:rPr>
              <w:t xml:space="preserve"> </w:t>
            </w:r>
            <w:r>
              <w:rPr>
                <w:rFonts w:ascii="Calibri"/>
                <w:spacing w:val="-1"/>
                <w:sz w:val="18"/>
              </w:rPr>
              <w:t>system,</w:t>
            </w:r>
            <w:r>
              <w:rPr>
                <w:rFonts w:ascii="Calibri"/>
                <w:spacing w:val="-4"/>
                <w:sz w:val="18"/>
              </w:rPr>
              <w:t xml:space="preserve"> </w:t>
            </w:r>
            <w:r>
              <w:rPr>
                <w:rFonts w:ascii="Calibri"/>
                <w:spacing w:val="-1"/>
                <w:sz w:val="18"/>
              </w:rPr>
              <w:t>to</w:t>
            </w:r>
            <w:r>
              <w:rPr>
                <w:rFonts w:ascii="Calibri"/>
                <w:spacing w:val="-3"/>
                <w:sz w:val="18"/>
              </w:rPr>
              <w:t xml:space="preserve"> </w:t>
            </w:r>
            <w:r>
              <w:rPr>
                <w:rFonts w:ascii="Calibri"/>
                <w:spacing w:val="-1"/>
                <w:sz w:val="18"/>
              </w:rPr>
              <w:t>ensure</w:t>
            </w:r>
            <w:r>
              <w:rPr>
                <w:rFonts w:ascii="Calibri"/>
                <w:spacing w:val="-5"/>
                <w:sz w:val="18"/>
              </w:rPr>
              <w:t xml:space="preserve"> </w:t>
            </w:r>
            <w:r>
              <w:rPr>
                <w:rFonts w:ascii="Calibri"/>
                <w:spacing w:val="-1"/>
                <w:sz w:val="18"/>
              </w:rPr>
              <w:t>that</w:t>
            </w:r>
            <w:r>
              <w:rPr>
                <w:rFonts w:ascii="Calibri"/>
                <w:spacing w:val="-5"/>
                <w:sz w:val="18"/>
              </w:rPr>
              <w:t xml:space="preserve"> </w:t>
            </w:r>
            <w:r>
              <w:rPr>
                <w:rFonts w:ascii="Calibri"/>
                <w:sz w:val="18"/>
              </w:rPr>
              <w:t>the</w:t>
            </w:r>
            <w:r>
              <w:rPr>
                <w:rFonts w:ascii="Calibri"/>
                <w:spacing w:val="53"/>
                <w:w w:val="99"/>
                <w:sz w:val="18"/>
              </w:rPr>
              <w:t xml:space="preserve"> </w:t>
            </w:r>
            <w:r>
              <w:rPr>
                <w:rFonts w:ascii="Calibri"/>
                <w:spacing w:val="-1"/>
                <w:sz w:val="18"/>
              </w:rPr>
              <w:t>issue</w:t>
            </w:r>
            <w:r>
              <w:rPr>
                <w:rFonts w:ascii="Calibri"/>
                <w:spacing w:val="-7"/>
                <w:sz w:val="18"/>
              </w:rPr>
              <w:t xml:space="preserve"> </w:t>
            </w:r>
            <w:r>
              <w:rPr>
                <w:rFonts w:ascii="Calibri"/>
                <w:sz w:val="18"/>
              </w:rPr>
              <w:t>of</w:t>
            </w:r>
            <w:r>
              <w:rPr>
                <w:rFonts w:ascii="Calibri"/>
                <w:spacing w:val="-6"/>
                <w:sz w:val="18"/>
              </w:rPr>
              <w:t xml:space="preserve"> </w:t>
            </w:r>
            <w:r>
              <w:rPr>
                <w:rFonts w:ascii="Calibri"/>
                <w:spacing w:val="-1"/>
                <w:sz w:val="18"/>
              </w:rPr>
              <w:t>program</w:t>
            </w:r>
            <w:r>
              <w:rPr>
                <w:rFonts w:ascii="Calibri"/>
                <w:spacing w:val="-5"/>
                <w:sz w:val="18"/>
              </w:rPr>
              <w:t xml:space="preserve"> </w:t>
            </w:r>
            <w:r>
              <w:rPr>
                <w:rFonts w:ascii="Calibri"/>
                <w:spacing w:val="-1"/>
                <w:sz w:val="18"/>
              </w:rPr>
              <w:t>participants</w:t>
            </w:r>
            <w:r>
              <w:rPr>
                <w:rFonts w:ascii="Calibri"/>
                <w:spacing w:val="-5"/>
                <w:sz w:val="18"/>
              </w:rPr>
              <w:t xml:space="preserve"> </w:t>
            </w:r>
            <w:r>
              <w:rPr>
                <w:rFonts w:ascii="Calibri"/>
                <w:spacing w:val="-1"/>
                <w:sz w:val="18"/>
              </w:rPr>
              <w:t>being</w:t>
            </w:r>
            <w:r>
              <w:rPr>
                <w:rFonts w:ascii="Calibri"/>
                <w:spacing w:val="-7"/>
                <w:sz w:val="18"/>
              </w:rPr>
              <w:t xml:space="preserve"> </w:t>
            </w:r>
            <w:r>
              <w:rPr>
                <w:rFonts w:ascii="Calibri"/>
                <w:spacing w:val="-1"/>
                <w:sz w:val="18"/>
              </w:rPr>
              <w:t>discovered</w:t>
            </w:r>
            <w:r>
              <w:rPr>
                <w:rFonts w:ascii="Calibri"/>
                <w:spacing w:val="-6"/>
                <w:sz w:val="18"/>
              </w:rPr>
              <w:t xml:space="preserve"> </w:t>
            </w:r>
            <w:r>
              <w:rPr>
                <w:rFonts w:ascii="Calibri"/>
                <w:spacing w:val="-1"/>
                <w:sz w:val="18"/>
              </w:rPr>
              <w:t>after</w:t>
            </w:r>
            <w:r>
              <w:rPr>
                <w:rFonts w:ascii="Calibri"/>
                <w:spacing w:val="57"/>
                <w:w w:val="99"/>
                <w:sz w:val="18"/>
              </w:rPr>
              <w:t xml:space="preserve"> </w:t>
            </w:r>
            <w:r>
              <w:rPr>
                <w:rFonts w:ascii="Calibri"/>
                <w:spacing w:val="-1"/>
                <w:sz w:val="18"/>
              </w:rPr>
              <w:t>evaluation</w:t>
            </w:r>
            <w:r>
              <w:rPr>
                <w:rFonts w:ascii="Calibri"/>
                <w:spacing w:val="-7"/>
                <w:sz w:val="18"/>
              </w:rPr>
              <w:t xml:space="preserve"> </w:t>
            </w:r>
            <w:r>
              <w:rPr>
                <w:rFonts w:ascii="Calibri"/>
                <w:spacing w:val="-1"/>
                <w:sz w:val="18"/>
              </w:rPr>
              <w:t>research</w:t>
            </w:r>
            <w:r>
              <w:rPr>
                <w:rFonts w:ascii="Calibri"/>
                <w:spacing w:val="-5"/>
                <w:sz w:val="18"/>
              </w:rPr>
              <w:t xml:space="preserve"> </w:t>
            </w:r>
            <w:r>
              <w:rPr>
                <w:rFonts w:ascii="Calibri"/>
                <w:spacing w:val="-1"/>
                <w:sz w:val="18"/>
              </w:rPr>
              <w:t>has</w:t>
            </w:r>
            <w:r>
              <w:rPr>
                <w:rFonts w:ascii="Calibri"/>
                <w:spacing w:val="-6"/>
                <w:sz w:val="18"/>
              </w:rPr>
              <w:t xml:space="preserve"> </w:t>
            </w:r>
            <w:r>
              <w:rPr>
                <w:rFonts w:ascii="Calibri"/>
                <w:spacing w:val="-1"/>
                <w:sz w:val="18"/>
              </w:rPr>
              <w:t>already</w:t>
            </w:r>
            <w:r>
              <w:rPr>
                <w:rFonts w:ascii="Calibri"/>
                <w:spacing w:val="-5"/>
                <w:sz w:val="18"/>
              </w:rPr>
              <w:t xml:space="preserve"> </w:t>
            </w:r>
            <w:r>
              <w:rPr>
                <w:rFonts w:ascii="Calibri"/>
                <w:spacing w:val="-1"/>
                <w:sz w:val="18"/>
              </w:rPr>
              <w:t>been</w:t>
            </w:r>
            <w:r>
              <w:rPr>
                <w:rFonts w:ascii="Calibri"/>
                <w:spacing w:val="-7"/>
                <w:sz w:val="18"/>
              </w:rPr>
              <w:t xml:space="preserve"> </w:t>
            </w:r>
            <w:r>
              <w:rPr>
                <w:rFonts w:ascii="Calibri"/>
                <w:spacing w:val="-1"/>
                <w:sz w:val="18"/>
              </w:rPr>
              <w:t>conducted</w:t>
            </w:r>
            <w:r>
              <w:rPr>
                <w:rFonts w:ascii="Calibri"/>
                <w:spacing w:val="-6"/>
                <w:sz w:val="18"/>
              </w:rPr>
              <w:t xml:space="preserve"> </w:t>
            </w:r>
            <w:r>
              <w:rPr>
                <w:rFonts w:ascii="Calibri"/>
                <w:sz w:val="18"/>
              </w:rPr>
              <w:t>does</w:t>
            </w:r>
            <w:r>
              <w:rPr>
                <w:rFonts w:ascii="Calibri"/>
                <w:spacing w:val="-7"/>
                <w:sz w:val="18"/>
              </w:rPr>
              <w:t xml:space="preserve"> </w:t>
            </w:r>
            <w:r>
              <w:rPr>
                <w:rFonts w:ascii="Calibri"/>
                <w:sz w:val="18"/>
              </w:rPr>
              <w:t>not</w:t>
            </w:r>
            <w:r>
              <w:rPr>
                <w:rFonts w:ascii="Calibri"/>
                <w:spacing w:val="61"/>
                <w:w w:val="99"/>
                <w:sz w:val="18"/>
              </w:rPr>
              <w:t xml:space="preserve"> </w:t>
            </w:r>
            <w:r>
              <w:rPr>
                <w:rFonts w:ascii="Calibri"/>
                <w:spacing w:val="-1"/>
                <w:sz w:val="18"/>
              </w:rPr>
              <w:t>recur</w:t>
            </w:r>
            <w:r>
              <w:rPr>
                <w:rFonts w:ascii="Calibri"/>
                <w:spacing w:val="-5"/>
                <w:sz w:val="18"/>
              </w:rPr>
              <w:t xml:space="preserve"> </w:t>
            </w:r>
            <w:r>
              <w:rPr>
                <w:rFonts w:ascii="Calibri"/>
                <w:spacing w:val="-1"/>
                <w:sz w:val="18"/>
              </w:rPr>
              <w:t>in</w:t>
            </w:r>
            <w:r>
              <w:rPr>
                <w:rFonts w:ascii="Calibri"/>
                <w:spacing w:val="-4"/>
                <w:sz w:val="18"/>
              </w:rPr>
              <w:t xml:space="preserve"> </w:t>
            </w:r>
            <w:r>
              <w:rPr>
                <w:rFonts w:ascii="Calibri"/>
                <w:sz w:val="18"/>
              </w:rPr>
              <w:t>PY8</w:t>
            </w:r>
            <w:r>
              <w:rPr>
                <w:rFonts w:ascii="Calibri"/>
                <w:spacing w:val="-3"/>
                <w:sz w:val="18"/>
              </w:rPr>
              <w:t xml:space="preserve"> </w:t>
            </w:r>
            <w:r>
              <w:rPr>
                <w:rFonts w:ascii="Calibri"/>
                <w:sz w:val="18"/>
              </w:rPr>
              <w:t>or</w:t>
            </w:r>
            <w:r>
              <w:rPr>
                <w:rFonts w:ascii="Calibri"/>
                <w:spacing w:val="-5"/>
                <w:sz w:val="18"/>
              </w:rPr>
              <w:t xml:space="preserve"> </w:t>
            </w:r>
            <w:r>
              <w:rPr>
                <w:rFonts w:ascii="Calibri"/>
                <w:spacing w:val="-1"/>
                <w:sz w:val="18"/>
              </w:rPr>
              <w:t>later</w:t>
            </w:r>
            <w:r>
              <w:rPr>
                <w:rFonts w:ascii="Calibri"/>
                <w:spacing w:val="-4"/>
                <w:sz w:val="18"/>
              </w:rPr>
              <w:t xml:space="preserve"> </w:t>
            </w:r>
            <w:r>
              <w:rPr>
                <w:rFonts w:ascii="Calibri"/>
                <w:sz w:val="18"/>
              </w:rPr>
              <w:t>years.</w:t>
            </w:r>
          </w:p>
        </w:tc>
        <w:tc>
          <w:tcPr>
            <w:tcW w:w="4680" w:type="dxa"/>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Under</w:t>
            </w:r>
            <w:r>
              <w:rPr>
                <w:rFonts w:ascii="Calibri"/>
                <w:spacing w:val="-15"/>
                <w:sz w:val="18"/>
              </w:rPr>
              <w:t xml:space="preserve"> </w:t>
            </w:r>
            <w:r>
              <w:rPr>
                <w:rFonts w:ascii="Calibri"/>
                <w:spacing w:val="-1"/>
                <w:sz w:val="18"/>
              </w:rPr>
              <w:t>consideration</w:t>
            </w:r>
          </w:p>
        </w:tc>
      </w:tr>
    </w:tbl>
    <w:p w:rsidR="003B56E9" w:rsidRPr="003B56E9" w:rsidRDefault="003B56E9" w:rsidP="003B56E9"/>
    <w:p w:rsidR="00E646C9" w:rsidRDefault="00E646C9" w:rsidP="003B56E9">
      <w:pPr>
        <w:pStyle w:val="AppendixGHeading1"/>
      </w:pPr>
      <w:r w:rsidRPr="00A86066">
        <w:t xml:space="preserve">FIRSTENERGY </w:t>
      </w:r>
      <w:r>
        <w:t>EDCs</w:t>
      </w:r>
      <w:r w:rsidRPr="00A86066">
        <w:t xml:space="preserve"> (MET-ED, PENELEC, PENN POWER, WEST PENN)</w:t>
      </w:r>
    </w:p>
    <w:p w:rsidR="00E646C9" w:rsidRPr="006548A7" w:rsidRDefault="00E646C9" w:rsidP="003B56E9">
      <w:pPr>
        <w:pStyle w:val="AppendixGHeading2"/>
      </w:pPr>
      <w:r w:rsidRPr="006548A7">
        <w:t>Residential Appliance Turn-In</w:t>
      </w:r>
    </w:p>
    <w:tbl>
      <w:tblPr>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11636D">
        <w:trPr>
          <w:trHeight w:hRule="exact" w:val="737"/>
        </w:trPr>
        <w:tc>
          <w:tcPr>
            <w:tcW w:w="4680" w:type="dxa"/>
            <w:shd w:val="clear" w:color="auto" w:fill="448A99"/>
          </w:tcPr>
          <w:p w:rsidR="00E646C9" w:rsidRDefault="00E646C9" w:rsidP="004D470A">
            <w:pPr>
              <w:pStyle w:val="TableParagraph"/>
              <w:spacing w:line="218" w:lineRule="exact"/>
              <w:rPr>
                <w:rFonts w:ascii="Calibri" w:eastAsia="Calibri" w:hAnsi="Calibri" w:cs="Calibri"/>
                <w:sz w:val="18"/>
                <w:szCs w:val="18"/>
              </w:rPr>
            </w:pPr>
            <w:r>
              <w:rPr>
                <w:rFonts w:ascii="Calibri"/>
                <w:b/>
                <w:color w:val="FFFFFF"/>
                <w:spacing w:val="-1"/>
                <w:sz w:val="18"/>
              </w:rPr>
              <w:t>Recommendations</w:t>
            </w:r>
          </w:p>
        </w:tc>
        <w:tc>
          <w:tcPr>
            <w:tcW w:w="4680" w:type="dxa"/>
            <w:shd w:val="clear" w:color="auto" w:fill="448A99"/>
          </w:tcPr>
          <w:p w:rsidR="00E646C9" w:rsidRDefault="00E646C9" w:rsidP="00C94D5A">
            <w:pPr>
              <w:pStyle w:val="TableParagraph"/>
              <w:ind w:left="167" w:right="166"/>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3"/>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5"/>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451"/>
        </w:trPr>
        <w:tc>
          <w:tcPr>
            <w:tcW w:w="4680" w:type="dxa"/>
            <w:shd w:val="clear" w:color="auto" w:fill="D2EAF1"/>
          </w:tcPr>
          <w:p w:rsidR="00E646C9" w:rsidRDefault="00E646C9" w:rsidP="00C94D5A">
            <w:pPr>
              <w:pStyle w:val="TableParagraph"/>
              <w:spacing w:before="106"/>
              <w:ind w:left="97"/>
              <w:rPr>
                <w:rFonts w:ascii="Calibri" w:eastAsia="Calibri" w:hAnsi="Calibri" w:cs="Calibri"/>
                <w:sz w:val="18"/>
                <w:szCs w:val="18"/>
              </w:rPr>
            </w:pPr>
            <w:r>
              <w:rPr>
                <w:rFonts w:ascii="Calibri"/>
                <w:spacing w:val="-1"/>
                <w:sz w:val="18"/>
              </w:rPr>
              <w:t>Reduce</w:t>
            </w:r>
            <w:r>
              <w:rPr>
                <w:rFonts w:ascii="Calibri"/>
                <w:spacing w:val="-4"/>
                <w:sz w:val="18"/>
              </w:rPr>
              <w:t xml:space="preserve"> </w:t>
            </w:r>
            <w:r>
              <w:rPr>
                <w:rFonts w:ascii="Calibri"/>
                <w:spacing w:val="-1"/>
                <w:sz w:val="18"/>
              </w:rPr>
              <w:t>reported savings</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RACs</w:t>
            </w:r>
            <w:r>
              <w:rPr>
                <w:rFonts w:ascii="Calibri"/>
                <w:spacing w:val="-3"/>
                <w:sz w:val="18"/>
              </w:rPr>
              <w:t xml:space="preserve"> </w:t>
            </w:r>
            <w:r>
              <w:rPr>
                <w:rFonts w:ascii="Calibri"/>
                <w:spacing w:val="-1"/>
                <w:sz w:val="18"/>
              </w:rPr>
              <w:t>to 150</w:t>
            </w:r>
            <w:r>
              <w:rPr>
                <w:rFonts w:ascii="Calibri"/>
                <w:spacing w:val="-2"/>
                <w:sz w:val="18"/>
              </w:rPr>
              <w:t xml:space="preserve"> </w:t>
            </w:r>
            <w:r>
              <w:rPr>
                <w:rFonts w:ascii="Calibri"/>
                <w:spacing w:val="-1"/>
                <w:sz w:val="18"/>
              </w:rPr>
              <w:t>kWh</w:t>
            </w:r>
            <w:r>
              <w:rPr>
                <w:rFonts w:ascii="Calibri"/>
                <w:spacing w:val="-3"/>
                <w:sz w:val="18"/>
              </w:rPr>
              <w:t xml:space="preserve"> </w:t>
            </w:r>
            <w:r>
              <w:rPr>
                <w:rFonts w:ascii="Calibri"/>
                <w:spacing w:val="-1"/>
                <w:sz w:val="18"/>
              </w:rPr>
              <w:t>per</w:t>
            </w:r>
            <w:r>
              <w:rPr>
                <w:rFonts w:ascii="Calibri"/>
                <w:spacing w:val="-3"/>
                <w:sz w:val="18"/>
              </w:rPr>
              <w:t xml:space="preserve"> </w:t>
            </w:r>
            <w:r>
              <w:rPr>
                <w:rFonts w:ascii="Calibri"/>
                <w:spacing w:val="-1"/>
                <w:sz w:val="18"/>
              </w:rPr>
              <w:t>unit.</w:t>
            </w:r>
          </w:p>
        </w:tc>
        <w:tc>
          <w:tcPr>
            <w:tcW w:w="4680" w:type="dxa"/>
            <w:shd w:val="clear" w:color="auto" w:fill="D2EAF1"/>
          </w:tcPr>
          <w:p w:rsidR="00E646C9" w:rsidRDefault="00E646C9" w:rsidP="0011636D">
            <w:pPr>
              <w:pStyle w:val="TableParagraph"/>
              <w:spacing w:before="106"/>
              <w:ind w:left="83" w:right="96"/>
              <w:rPr>
                <w:rFonts w:ascii="Calibri" w:eastAsia="Calibri" w:hAnsi="Calibri" w:cs="Calibri"/>
                <w:sz w:val="18"/>
                <w:szCs w:val="18"/>
              </w:rPr>
            </w:pPr>
            <w:r>
              <w:rPr>
                <w:rFonts w:ascii="Calibri"/>
                <w:spacing w:val="-1"/>
                <w:w w:val="95"/>
                <w:sz w:val="18"/>
              </w:rPr>
              <w:t>Implemented</w:t>
            </w:r>
          </w:p>
        </w:tc>
      </w:tr>
      <w:tr w:rsidR="00E646C9" w:rsidTr="0011636D">
        <w:trPr>
          <w:trHeight w:hRule="exact" w:val="461"/>
        </w:trPr>
        <w:tc>
          <w:tcPr>
            <w:tcW w:w="4680" w:type="dxa"/>
          </w:tcPr>
          <w:p w:rsidR="00E646C9" w:rsidRDefault="00E646C9" w:rsidP="00C94D5A">
            <w:pPr>
              <w:pStyle w:val="TableParagraph"/>
              <w:ind w:left="97" w:right="506"/>
              <w:rPr>
                <w:rFonts w:ascii="Calibri" w:eastAsia="Calibri" w:hAnsi="Calibri" w:cs="Calibri"/>
                <w:sz w:val="18"/>
                <w:szCs w:val="18"/>
              </w:rPr>
            </w:pPr>
            <w:r>
              <w:rPr>
                <w:rFonts w:ascii="Calibri"/>
                <w:spacing w:val="-1"/>
                <w:sz w:val="18"/>
              </w:rPr>
              <w:t>Consider using</w:t>
            </w:r>
            <w:r>
              <w:rPr>
                <w:rFonts w:ascii="Calibri"/>
                <w:spacing w:val="-3"/>
                <w:sz w:val="18"/>
              </w:rPr>
              <w:t xml:space="preserve"> </w:t>
            </w:r>
            <w:r>
              <w:rPr>
                <w:rFonts w:ascii="Calibri"/>
                <w:spacing w:val="-1"/>
                <w:sz w:val="18"/>
              </w:rPr>
              <w:t>bill</w:t>
            </w:r>
            <w:r>
              <w:rPr>
                <w:rFonts w:ascii="Calibri"/>
                <w:spacing w:val="-3"/>
                <w:sz w:val="18"/>
              </w:rPr>
              <w:t xml:space="preserve"> </w:t>
            </w:r>
            <w:r>
              <w:rPr>
                <w:rFonts w:ascii="Calibri"/>
                <w:spacing w:val="-1"/>
                <w:sz w:val="18"/>
              </w:rPr>
              <w:t>inserts</w:t>
            </w:r>
            <w:r>
              <w:rPr>
                <w:rFonts w:ascii="Calibri"/>
                <w:spacing w:val="-3"/>
                <w:sz w:val="18"/>
              </w:rPr>
              <w:t xml:space="preserve"> </w:t>
            </w:r>
            <w:r>
              <w:rPr>
                <w:rFonts w:ascii="Calibri"/>
                <w:spacing w:val="-1"/>
                <w:sz w:val="18"/>
              </w:rPr>
              <w:t>to address</w:t>
            </w:r>
            <w:r>
              <w:rPr>
                <w:rFonts w:ascii="Calibri"/>
                <w:spacing w:val="-3"/>
                <w:sz w:val="18"/>
              </w:rPr>
              <w:t xml:space="preserve"> </w:t>
            </w:r>
            <w:r>
              <w:rPr>
                <w:rFonts w:ascii="Calibri"/>
                <w:spacing w:val="-1"/>
                <w:sz w:val="18"/>
              </w:rPr>
              <w:t>recycling</w:t>
            </w:r>
            <w:r>
              <w:rPr>
                <w:rFonts w:ascii="Calibri"/>
                <w:spacing w:val="-4"/>
                <w:sz w:val="18"/>
              </w:rPr>
              <w:t xml:space="preserve"> </w:t>
            </w:r>
            <w:r>
              <w:rPr>
                <w:rFonts w:ascii="Calibri"/>
                <w:spacing w:val="-1"/>
                <w:sz w:val="18"/>
              </w:rPr>
              <w:t>concerns</w:t>
            </w:r>
            <w:r>
              <w:rPr>
                <w:rFonts w:ascii="Calibri"/>
                <w:spacing w:val="71"/>
                <w:sz w:val="18"/>
              </w:rPr>
              <w:t xml:space="preserve"> </w:t>
            </w:r>
            <w:r>
              <w:rPr>
                <w:rFonts w:ascii="Calibri"/>
                <w:spacing w:val="-1"/>
                <w:sz w:val="18"/>
              </w:rPr>
              <w:t>outside</w:t>
            </w:r>
            <w:r>
              <w:rPr>
                <w:rFonts w:ascii="Calibri"/>
                <w:spacing w:val="-4"/>
                <w:sz w:val="18"/>
              </w:rPr>
              <w:t xml:space="preserve"> </w:t>
            </w:r>
            <w:r>
              <w:rPr>
                <w:rFonts w:ascii="Calibri"/>
                <w:sz w:val="18"/>
              </w:rPr>
              <w:t>of</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program.</w:t>
            </w:r>
          </w:p>
        </w:tc>
        <w:tc>
          <w:tcPr>
            <w:tcW w:w="4680" w:type="dxa"/>
          </w:tcPr>
          <w:p w:rsidR="00E646C9" w:rsidRDefault="00E646C9" w:rsidP="0011636D">
            <w:pPr>
              <w:pStyle w:val="TableParagraph"/>
              <w:spacing w:before="111"/>
              <w:ind w:left="83"/>
              <w:rPr>
                <w:rFonts w:ascii="Calibri" w:eastAsia="Calibri" w:hAnsi="Calibri" w:cs="Calibri"/>
                <w:sz w:val="18"/>
                <w:szCs w:val="18"/>
              </w:rPr>
            </w:pPr>
            <w:r>
              <w:rPr>
                <w:rFonts w:ascii="Calibri" w:eastAsia="Calibri" w:hAnsi="Calibri" w:cs="Calibri"/>
                <w:spacing w:val="-1"/>
                <w:sz w:val="18"/>
                <w:szCs w:val="18"/>
              </w:rPr>
              <w:t>Rejected</w:t>
            </w:r>
            <w:r>
              <w:rPr>
                <w:rFonts w:ascii="Calibri" w:eastAsia="Calibri" w:hAnsi="Calibri" w:cs="Calibri"/>
                <w:spacing w:val="-4"/>
                <w:sz w:val="18"/>
                <w:szCs w:val="18"/>
              </w:rPr>
              <w:t xml:space="preserve"> </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z w:val="18"/>
                <w:szCs w:val="18"/>
              </w:rPr>
              <w:t>goes</w:t>
            </w:r>
            <w:r>
              <w:rPr>
                <w:rFonts w:ascii="Calibri" w:eastAsia="Calibri" w:hAnsi="Calibri" w:cs="Calibri"/>
                <w:spacing w:val="-3"/>
                <w:sz w:val="18"/>
                <w:szCs w:val="18"/>
              </w:rPr>
              <w:t xml:space="preserve"> </w:t>
            </w:r>
            <w:r>
              <w:rPr>
                <w:rFonts w:ascii="Calibri" w:eastAsia="Calibri" w:hAnsi="Calibri" w:cs="Calibri"/>
                <w:sz w:val="18"/>
                <w:szCs w:val="18"/>
              </w:rPr>
              <w:t>beyond</w:t>
            </w:r>
            <w:r>
              <w:rPr>
                <w:rFonts w:ascii="Calibri" w:eastAsia="Calibri" w:hAnsi="Calibri" w:cs="Calibri"/>
                <w:spacing w:val="-3"/>
                <w:sz w:val="18"/>
                <w:szCs w:val="18"/>
              </w:rPr>
              <w:t xml:space="preserve"> </w:t>
            </w:r>
            <w:r>
              <w:rPr>
                <w:rFonts w:ascii="Calibri" w:eastAsia="Calibri" w:hAnsi="Calibri" w:cs="Calibri"/>
                <w:spacing w:val="-1"/>
                <w:sz w:val="18"/>
                <w:szCs w:val="18"/>
              </w:rPr>
              <w:t>scope</w:t>
            </w:r>
            <w:r>
              <w:rPr>
                <w:rFonts w:ascii="Calibri" w:eastAsia="Calibri" w:hAnsi="Calibri" w:cs="Calibri"/>
                <w:spacing w:val="-4"/>
                <w:sz w:val="18"/>
                <w:szCs w:val="18"/>
              </w:rPr>
              <w:t xml:space="preserve"> </w:t>
            </w:r>
            <w:r>
              <w:rPr>
                <w:rFonts w:ascii="Calibri" w:eastAsia="Calibri" w:hAnsi="Calibri" w:cs="Calibri"/>
                <w:sz w:val="18"/>
                <w:szCs w:val="18"/>
              </w:rPr>
              <w:t>of</w:t>
            </w:r>
            <w:r>
              <w:rPr>
                <w:rFonts w:ascii="Calibri" w:eastAsia="Calibri" w:hAnsi="Calibri" w:cs="Calibri"/>
                <w:spacing w:val="-2"/>
                <w:sz w:val="18"/>
                <w:szCs w:val="18"/>
              </w:rPr>
              <w:t xml:space="preserve"> </w:t>
            </w:r>
            <w:r>
              <w:rPr>
                <w:rFonts w:ascii="Calibri" w:eastAsia="Calibri" w:hAnsi="Calibri" w:cs="Calibri"/>
                <w:spacing w:val="-1"/>
                <w:sz w:val="18"/>
                <w:szCs w:val="18"/>
              </w:rPr>
              <w:t>program</w:t>
            </w:r>
          </w:p>
        </w:tc>
      </w:tr>
      <w:tr w:rsidR="00E646C9" w:rsidTr="0011636D">
        <w:trPr>
          <w:trHeight w:hRule="exact" w:val="458"/>
        </w:trPr>
        <w:tc>
          <w:tcPr>
            <w:tcW w:w="4680" w:type="dxa"/>
            <w:shd w:val="clear" w:color="auto" w:fill="D2EAF1"/>
          </w:tcPr>
          <w:p w:rsidR="00E646C9" w:rsidRDefault="00E646C9" w:rsidP="00C94D5A">
            <w:pPr>
              <w:pStyle w:val="TableParagraph"/>
              <w:ind w:left="97" w:right="101"/>
              <w:rPr>
                <w:rFonts w:ascii="Calibri" w:eastAsia="Calibri" w:hAnsi="Calibri" w:cs="Calibri"/>
                <w:sz w:val="18"/>
                <w:szCs w:val="18"/>
              </w:rPr>
            </w:pPr>
            <w:r>
              <w:rPr>
                <w:rFonts w:ascii="Calibri"/>
                <w:spacing w:val="-1"/>
                <w:sz w:val="18"/>
              </w:rPr>
              <w:t>Consider</w:t>
            </w:r>
            <w:r>
              <w:rPr>
                <w:rFonts w:ascii="Calibri"/>
                <w:spacing w:val="-3"/>
                <w:sz w:val="18"/>
              </w:rPr>
              <w:t xml:space="preserve"> </w:t>
            </w:r>
            <w:r>
              <w:rPr>
                <w:rFonts w:ascii="Calibri"/>
                <w:sz w:val="18"/>
              </w:rPr>
              <w:t>adding</w:t>
            </w:r>
            <w:r>
              <w:rPr>
                <w:rFonts w:ascii="Calibri"/>
                <w:spacing w:val="-3"/>
                <w:sz w:val="18"/>
              </w:rPr>
              <w:t xml:space="preserve"> </w:t>
            </w:r>
            <w:r>
              <w:rPr>
                <w:rFonts w:ascii="Calibri"/>
                <w:sz w:val="18"/>
              </w:rPr>
              <w:t>a</w:t>
            </w:r>
            <w:r>
              <w:rPr>
                <w:rFonts w:ascii="Calibri"/>
                <w:spacing w:val="-3"/>
                <w:sz w:val="18"/>
              </w:rPr>
              <w:t xml:space="preserve"> </w:t>
            </w:r>
            <w:r>
              <w:rPr>
                <w:rFonts w:ascii="Calibri"/>
                <w:spacing w:val="-1"/>
                <w:sz w:val="18"/>
              </w:rPr>
              <w:t>message</w:t>
            </w:r>
            <w:r>
              <w:rPr>
                <w:rFonts w:ascii="Calibri"/>
                <w:spacing w:val="-3"/>
                <w:sz w:val="18"/>
              </w:rPr>
              <w:t xml:space="preserve"> </w:t>
            </w:r>
            <w:r>
              <w:rPr>
                <w:rFonts w:ascii="Calibri"/>
                <w:spacing w:val="-1"/>
                <w:sz w:val="18"/>
              </w:rPr>
              <w:t xml:space="preserve">to </w:t>
            </w:r>
            <w:r>
              <w:rPr>
                <w:rFonts w:ascii="Calibri"/>
                <w:sz w:val="18"/>
              </w:rPr>
              <w:t>the</w:t>
            </w:r>
            <w:r>
              <w:rPr>
                <w:rFonts w:ascii="Calibri"/>
                <w:spacing w:val="-3"/>
                <w:sz w:val="18"/>
              </w:rPr>
              <w:t xml:space="preserve"> </w:t>
            </w:r>
            <w:r>
              <w:rPr>
                <w:rFonts w:ascii="Calibri"/>
                <w:spacing w:val="-1"/>
                <w:sz w:val="18"/>
              </w:rPr>
              <w:t>rebate</w:t>
            </w:r>
            <w:r>
              <w:rPr>
                <w:rFonts w:ascii="Calibri"/>
                <w:spacing w:val="-3"/>
                <w:sz w:val="18"/>
              </w:rPr>
              <w:t xml:space="preserve"> </w:t>
            </w:r>
            <w:r>
              <w:rPr>
                <w:rFonts w:ascii="Calibri"/>
                <w:spacing w:val="-1"/>
                <w:sz w:val="18"/>
              </w:rPr>
              <w:t>check</w:t>
            </w:r>
            <w:r>
              <w:rPr>
                <w:rFonts w:ascii="Calibri"/>
                <w:spacing w:val="-3"/>
                <w:sz w:val="18"/>
              </w:rPr>
              <w:t xml:space="preserve"> </w:t>
            </w:r>
            <w:r>
              <w:rPr>
                <w:rFonts w:ascii="Calibri"/>
                <w:spacing w:val="-1"/>
                <w:sz w:val="18"/>
              </w:rPr>
              <w:t>that</w:t>
            </w:r>
            <w:r>
              <w:rPr>
                <w:rFonts w:ascii="Calibri"/>
                <w:sz w:val="18"/>
              </w:rPr>
              <w:t xml:space="preserve"> </w:t>
            </w:r>
            <w:r>
              <w:rPr>
                <w:rFonts w:ascii="Calibri"/>
                <w:spacing w:val="-1"/>
                <w:sz w:val="18"/>
              </w:rPr>
              <w:t>provides</w:t>
            </w:r>
            <w:r>
              <w:rPr>
                <w:rFonts w:ascii="Calibri"/>
                <w:spacing w:val="53"/>
                <w:sz w:val="18"/>
              </w:rPr>
              <w:t xml:space="preserve"> </w:t>
            </w:r>
            <w:r>
              <w:rPr>
                <w:rFonts w:ascii="Calibri"/>
                <w:spacing w:val="-1"/>
                <w:sz w:val="18"/>
              </w:rPr>
              <w:t>information</w:t>
            </w:r>
            <w:r>
              <w:rPr>
                <w:rFonts w:ascii="Calibri"/>
                <w:spacing w:val="-5"/>
                <w:sz w:val="18"/>
              </w:rPr>
              <w:t xml:space="preserve"> </w:t>
            </w:r>
            <w:r>
              <w:rPr>
                <w:rFonts w:ascii="Calibri"/>
                <w:spacing w:val="-1"/>
                <w:sz w:val="18"/>
              </w:rPr>
              <w:t>about</w:t>
            </w:r>
            <w:r>
              <w:rPr>
                <w:rFonts w:ascii="Calibri"/>
                <w:spacing w:val="-4"/>
                <w:sz w:val="18"/>
              </w:rPr>
              <w:t xml:space="preserve"> </w:t>
            </w:r>
            <w:r>
              <w:rPr>
                <w:rFonts w:ascii="Calibri"/>
                <w:spacing w:val="-1"/>
                <w:sz w:val="18"/>
              </w:rPr>
              <w:t>other FirstEnergy</w:t>
            </w:r>
            <w:r>
              <w:rPr>
                <w:rFonts w:ascii="Calibri"/>
                <w:spacing w:val="-3"/>
                <w:sz w:val="18"/>
              </w:rPr>
              <w:t xml:space="preserve"> </w:t>
            </w:r>
            <w:r>
              <w:rPr>
                <w:rFonts w:ascii="Calibri"/>
                <w:spacing w:val="-1"/>
                <w:sz w:val="18"/>
              </w:rPr>
              <w:t>programs.</w:t>
            </w:r>
          </w:p>
        </w:tc>
        <w:tc>
          <w:tcPr>
            <w:tcW w:w="4680" w:type="dxa"/>
            <w:shd w:val="clear" w:color="auto" w:fill="D2EAF1"/>
          </w:tcPr>
          <w:p w:rsidR="00E646C9" w:rsidRDefault="00E646C9" w:rsidP="0011636D">
            <w:pPr>
              <w:pStyle w:val="TableParagraph"/>
              <w:spacing w:before="108"/>
              <w:ind w:left="83" w:right="97"/>
              <w:rPr>
                <w:rFonts w:ascii="Calibri" w:eastAsia="Calibri" w:hAnsi="Calibri" w:cs="Calibri"/>
                <w:sz w:val="18"/>
                <w:szCs w:val="18"/>
              </w:rPr>
            </w:pPr>
            <w:r>
              <w:rPr>
                <w:rFonts w:ascii="Calibri"/>
                <w:spacing w:val="-1"/>
                <w:w w:val="95"/>
                <w:sz w:val="18"/>
              </w:rPr>
              <w:t>Accepted</w:t>
            </w:r>
          </w:p>
        </w:tc>
      </w:tr>
      <w:tr w:rsidR="00E646C9" w:rsidTr="0011636D">
        <w:trPr>
          <w:trHeight w:hRule="exact" w:val="682"/>
        </w:trPr>
        <w:tc>
          <w:tcPr>
            <w:tcW w:w="4680" w:type="dxa"/>
          </w:tcPr>
          <w:p w:rsidR="00E646C9" w:rsidRDefault="00E646C9" w:rsidP="00C94D5A">
            <w:pPr>
              <w:pStyle w:val="TableParagraph"/>
              <w:ind w:left="97" w:right="102"/>
              <w:rPr>
                <w:rFonts w:ascii="Calibri" w:eastAsia="Calibri" w:hAnsi="Calibri" w:cs="Calibri"/>
                <w:sz w:val="18"/>
                <w:szCs w:val="18"/>
              </w:rPr>
            </w:pPr>
            <w:r>
              <w:rPr>
                <w:rFonts w:ascii="Calibri"/>
                <w:spacing w:val="-1"/>
                <w:sz w:val="18"/>
              </w:rPr>
              <w:t>Monitor</w:t>
            </w:r>
            <w:r>
              <w:rPr>
                <w:rFonts w:ascii="Calibri"/>
                <w:spacing w:val="-4"/>
                <w:sz w:val="18"/>
              </w:rPr>
              <w:t xml:space="preserve"> </w:t>
            </w:r>
            <w:r>
              <w:rPr>
                <w:rFonts w:ascii="Calibri"/>
                <w:spacing w:val="-1"/>
                <w:sz w:val="18"/>
              </w:rPr>
              <w:t>free-ridership</w:t>
            </w:r>
            <w:r>
              <w:rPr>
                <w:rFonts w:ascii="Calibri"/>
                <w:spacing w:val="-3"/>
                <w:sz w:val="18"/>
              </w:rPr>
              <w:t xml:space="preserve"> </w:t>
            </w:r>
            <w:r>
              <w:rPr>
                <w:rFonts w:ascii="Calibri"/>
                <w:spacing w:val="-1"/>
                <w:sz w:val="18"/>
              </w:rPr>
              <w:t>closely</w:t>
            </w:r>
            <w:r>
              <w:rPr>
                <w:rFonts w:ascii="Calibri"/>
                <w:spacing w:val="-2"/>
                <w:sz w:val="18"/>
              </w:rPr>
              <w:t xml:space="preserve"> </w:t>
            </w:r>
            <w:r>
              <w:rPr>
                <w:rFonts w:ascii="Calibri"/>
                <w:spacing w:val="-1"/>
                <w:sz w:val="18"/>
              </w:rPr>
              <w:t xml:space="preserve">in </w:t>
            </w:r>
            <w:r>
              <w:rPr>
                <w:rFonts w:ascii="Calibri"/>
                <w:sz w:val="18"/>
              </w:rPr>
              <w:t>PY8,</w:t>
            </w:r>
            <w:r>
              <w:rPr>
                <w:rFonts w:ascii="Calibri"/>
                <w:spacing w:val="-2"/>
                <w:sz w:val="18"/>
              </w:rPr>
              <w:t xml:space="preserve"> </w:t>
            </w:r>
            <w:r>
              <w:rPr>
                <w:rFonts w:ascii="Calibri"/>
                <w:spacing w:val="-1"/>
                <w:sz w:val="18"/>
              </w:rPr>
              <w:t>with</w:t>
            </w:r>
            <w:r>
              <w:rPr>
                <w:rFonts w:ascii="Calibri"/>
                <w:spacing w:val="-3"/>
                <w:sz w:val="18"/>
              </w:rPr>
              <w:t xml:space="preserve"> </w:t>
            </w:r>
            <w:r>
              <w:rPr>
                <w:rFonts w:ascii="Calibri"/>
                <w:spacing w:val="-1"/>
                <w:sz w:val="18"/>
              </w:rPr>
              <w:t>frequent surveys</w:t>
            </w:r>
            <w:r>
              <w:rPr>
                <w:rFonts w:ascii="Calibri"/>
                <w:spacing w:val="57"/>
                <w:sz w:val="18"/>
              </w:rPr>
              <w:t xml:space="preserve"> </w:t>
            </w:r>
            <w:r>
              <w:rPr>
                <w:rFonts w:ascii="Calibri"/>
                <w:spacing w:val="-1"/>
                <w:sz w:val="18"/>
              </w:rPr>
              <w:t>and</w:t>
            </w:r>
            <w:r>
              <w:rPr>
                <w:rFonts w:ascii="Calibri"/>
                <w:spacing w:val="-3"/>
                <w:sz w:val="18"/>
              </w:rPr>
              <w:t xml:space="preserve"> </w:t>
            </w:r>
            <w:r>
              <w:rPr>
                <w:rFonts w:ascii="Calibri"/>
                <w:spacing w:val="-1"/>
                <w:sz w:val="18"/>
              </w:rPr>
              <w:t>additional</w:t>
            </w:r>
            <w:r>
              <w:rPr>
                <w:rFonts w:ascii="Calibri"/>
                <w:spacing w:val="-2"/>
                <w:sz w:val="18"/>
              </w:rPr>
              <w:t xml:space="preserve"> </w:t>
            </w:r>
            <w:r>
              <w:rPr>
                <w:rFonts w:ascii="Calibri"/>
                <w:spacing w:val="-1"/>
                <w:sz w:val="18"/>
              </w:rPr>
              <w:t>questions</w:t>
            </w:r>
            <w:r>
              <w:rPr>
                <w:rFonts w:ascii="Calibri"/>
                <w:spacing w:val="-3"/>
                <w:sz w:val="18"/>
              </w:rPr>
              <w:t xml:space="preserve"> </w:t>
            </w:r>
            <w:r>
              <w:rPr>
                <w:rFonts w:ascii="Calibri"/>
                <w:spacing w:val="-1"/>
                <w:sz w:val="18"/>
              </w:rPr>
              <w:t>to</w:t>
            </w:r>
            <w:r>
              <w:rPr>
                <w:rFonts w:ascii="Calibri"/>
                <w:sz w:val="18"/>
              </w:rPr>
              <w:t xml:space="preserve"> </w:t>
            </w:r>
            <w:r>
              <w:rPr>
                <w:rFonts w:ascii="Calibri"/>
                <w:spacing w:val="-1"/>
                <w:sz w:val="18"/>
              </w:rPr>
              <w:t>add details</w:t>
            </w:r>
            <w:r>
              <w:rPr>
                <w:rFonts w:ascii="Calibri"/>
                <w:spacing w:val="-2"/>
                <w:sz w:val="18"/>
              </w:rPr>
              <w:t xml:space="preserve"> </w:t>
            </w:r>
            <w:r>
              <w:rPr>
                <w:rFonts w:ascii="Calibri"/>
                <w:spacing w:val="-1"/>
                <w:sz w:val="18"/>
              </w:rPr>
              <w:t>surrounding</w:t>
            </w:r>
            <w:r>
              <w:rPr>
                <w:rFonts w:ascii="Calibri"/>
                <w:spacing w:val="-3"/>
                <w:sz w:val="18"/>
              </w:rPr>
              <w:t xml:space="preserve"> </w:t>
            </w:r>
            <w:r>
              <w:rPr>
                <w:rFonts w:ascii="Calibri"/>
                <w:spacing w:val="-1"/>
                <w:sz w:val="18"/>
              </w:rPr>
              <w:t>reported</w:t>
            </w:r>
            <w:r>
              <w:rPr>
                <w:rFonts w:ascii="Calibri"/>
                <w:spacing w:val="68"/>
                <w:w w:val="99"/>
                <w:sz w:val="18"/>
              </w:rPr>
              <w:t xml:space="preserve"> </w:t>
            </w:r>
            <w:r>
              <w:rPr>
                <w:rFonts w:ascii="Calibri"/>
                <w:spacing w:val="-1"/>
                <w:sz w:val="18"/>
              </w:rPr>
              <w:t>appliance</w:t>
            </w:r>
            <w:r>
              <w:rPr>
                <w:rFonts w:ascii="Calibri"/>
                <w:spacing w:val="-3"/>
                <w:sz w:val="18"/>
              </w:rPr>
              <w:t xml:space="preserve"> </w:t>
            </w:r>
            <w:r>
              <w:rPr>
                <w:rFonts w:ascii="Calibri"/>
                <w:spacing w:val="-1"/>
                <w:sz w:val="18"/>
              </w:rPr>
              <w:t>discard</w:t>
            </w:r>
            <w:r>
              <w:rPr>
                <w:rFonts w:ascii="Calibri"/>
                <w:spacing w:val="-3"/>
                <w:sz w:val="18"/>
              </w:rPr>
              <w:t xml:space="preserve"> </w:t>
            </w:r>
            <w:r>
              <w:rPr>
                <w:rFonts w:ascii="Calibri"/>
                <w:spacing w:val="-1"/>
                <w:sz w:val="18"/>
              </w:rPr>
              <w:t>and</w:t>
            </w:r>
            <w:r>
              <w:rPr>
                <w:rFonts w:ascii="Calibri"/>
                <w:spacing w:val="-3"/>
                <w:sz w:val="18"/>
              </w:rPr>
              <w:t xml:space="preserve"> </w:t>
            </w:r>
            <w:r>
              <w:rPr>
                <w:rFonts w:ascii="Calibri"/>
                <w:spacing w:val="-1"/>
                <w:sz w:val="18"/>
              </w:rPr>
              <w:t>appliance</w:t>
            </w:r>
            <w:r>
              <w:rPr>
                <w:rFonts w:ascii="Calibri"/>
                <w:spacing w:val="-4"/>
                <w:sz w:val="18"/>
              </w:rPr>
              <w:t xml:space="preserve"> </w:t>
            </w:r>
            <w:r>
              <w:rPr>
                <w:rFonts w:ascii="Calibri"/>
                <w:spacing w:val="-1"/>
                <w:sz w:val="18"/>
              </w:rPr>
              <w:t>transfer</w:t>
            </w:r>
            <w:r>
              <w:rPr>
                <w:rFonts w:ascii="Calibri"/>
                <w:spacing w:val="-3"/>
                <w:sz w:val="18"/>
              </w:rPr>
              <w:t xml:space="preserve"> </w:t>
            </w:r>
            <w:r>
              <w:rPr>
                <w:rFonts w:ascii="Calibri"/>
                <w:spacing w:val="-1"/>
                <w:sz w:val="18"/>
              </w:rPr>
              <w:t>scenarios.</w:t>
            </w:r>
          </w:p>
        </w:tc>
        <w:tc>
          <w:tcPr>
            <w:tcW w:w="4680" w:type="dxa"/>
          </w:tcPr>
          <w:p w:rsidR="00E646C9" w:rsidRDefault="00E646C9" w:rsidP="0011636D">
            <w:pPr>
              <w:pStyle w:val="TableParagraph"/>
              <w:spacing w:before="10"/>
              <w:ind w:left="83"/>
              <w:rPr>
                <w:rFonts w:ascii="Century Gothic" w:eastAsia="Century Gothic" w:hAnsi="Century Gothic" w:cs="Century Gothic"/>
                <w:b/>
                <w:bCs/>
                <w:sz w:val="17"/>
                <w:szCs w:val="17"/>
              </w:rPr>
            </w:pPr>
          </w:p>
          <w:p w:rsidR="00E646C9" w:rsidRDefault="00E646C9" w:rsidP="0011636D">
            <w:pPr>
              <w:pStyle w:val="TableParagraph"/>
              <w:ind w:left="83" w:right="97"/>
              <w:rPr>
                <w:rFonts w:ascii="Calibri" w:eastAsia="Calibri" w:hAnsi="Calibri" w:cs="Calibri"/>
                <w:sz w:val="18"/>
                <w:szCs w:val="18"/>
              </w:rPr>
            </w:pPr>
            <w:r>
              <w:rPr>
                <w:rFonts w:ascii="Calibri"/>
                <w:spacing w:val="-1"/>
                <w:w w:val="95"/>
                <w:sz w:val="18"/>
              </w:rPr>
              <w:t>Accepted</w:t>
            </w:r>
          </w:p>
        </w:tc>
      </w:tr>
    </w:tbl>
    <w:p w:rsidR="00E646C9" w:rsidRPr="003B56E9" w:rsidRDefault="00E646C9" w:rsidP="003B56E9"/>
    <w:p w:rsidR="00E646C9" w:rsidRDefault="00E646C9" w:rsidP="003B56E9">
      <w:pPr>
        <w:pStyle w:val="AppendixGHeading2"/>
      </w:pPr>
      <w:r>
        <w:t>Energy Efficient Products</w:t>
      </w:r>
    </w:p>
    <w:tbl>
      <w:tblPr>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11636D">
        <w:trPr>
          <w:trHeight w:hRule="exact" w:val="713"/>
          <w:tblHeader/>
        </w:trPr>
        <w:tc>
          <w:tcPr>
            <w:tcW w:w="4680" w:type="dxa"/>
            <w:shd w:val="clear" w:color="auto" w:fill="448A99"/>
          </w:tcPr>
          <w:p w:rsidR="00E646C9" w:rsidRDefault="00E646C9" w:rsidP="004D470A">
            <w:pPr>
              <w:pStyle w:val="TableParagraph"/>
              <w:spacing w:line="218" w:lineRule="exact"/>
              <w:ind w:left="129"/>
              <w:rPr>
                <w:rFonts w:ascii="Calibri" w:eastAsia="Calibri" w:hAnsi="Calibri" w:cs="Calibri"/>
                <w:sz w:val="18"/>
                <w:szCs w:val="18"/>
              </w:rPr>
            </w:pPr>
            <w:r>
              <w:rPr>
                <w:rFonts w:ascii="Calibri"/>
                <w:b/>
                <w:color w:val="FFFFFF"/>
                <w:spacing w:val="-1"/>
                <w:sz w:val="18"/>
              </w:rPr>
              <w:t>Recommendations</w:t>
            </w:r>
          </w:p>
        </w:tc>
        <w:tc>
          <w:tcPr>
            <w:tcW w:w="4680" w:type="dxa"/>
            <w:shd w:val="clear" w:color="auto" w:fill="448A99"/>
          </w:tcPr>
          <w:p w:rsidR="004D470A" w:rsidRDefault="00E646C9" w:rsidP="00C94D5A">
            <w:pPr>
              <w:pStyle w:val="TableParagraph"/>
              <w:ind w:left="171" w:right="170" w:hanging="1"/>
              <w:jc w:val="center"/>
              <w:rPr>
                <w:rFonts w:ascii="Calibri"/>
                <w:b/>
                <w:color w:val="FFFFFF"/>
                <w:spacing w:val="-4"/>
                <w:sz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p>
          <w:p w:rsidR="00E646C9" w:rsidRDefault="00E646C9" w:rsidP="00C94D5A">
            <w:pPr>
              <w:pStyle w:val="TableParagraph"/>
              <w:ind w:left="171" w:right="170" w:hanging="1"/>
              <w:jc w:val="center"/>
              <w:rPr>
                <w:rFonts w:ascii="Calibri" w:eastAsia="Calibri" w:hAnsi="Calibri" w:cs="Calibri"/>
                <w:sz w:val="18"/>
                <w:szCs w:val="18"/>
              </w:rPr>
            </w:pP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888"/>
        </w:trPr>
        <w:tc>
          <w:tcPr>
            <w:tcW w:w="4680" w:type="dxa"/>
            <w:shd w:val="clear" w:color="auto" w:fill="D2EAF1"/>
          </w:tcPr>
          <w:p w:rsidR="00E646C9" w:rsidRDefault="00E646C9" w:rsidP="00C94D5A">
            <w:pPr>
              <w:pStyle w:val="TableParagraph"/>
              <w:ind w:left="102" w:right="353"/>
              <w:rPr>
                <w:rFonts w:ascii="Calibri" w:eastAsia="Calibri" w:hAnsi="Calibri" w:cs="Calibri"/>
                <w:sz w:val="18"/>
                <w:szCs w:val="18"/>
              </w:rPr>
            </w:pPr>
            <w:r>
              <w:rPr>
                <w:rFonts w:ascii="Calibri"/>
                <w:spacing w:val="-1"/>
                <w:sz w:val="18"/>
              </w:rPr>
              <w:t>Review</w:t>
            </w:r>
            <w:r>
              <w:rPr>
                <w:rFonts w:ascii="Calibri"/>
                <w:spacing w:val="-3"/>
                <w:sz w:val="18"/>
              </w:rPr>
              <w:t xml:space="preserve"> </w:t>
            </w:r>
            <w:r>
              <w:rPr>
                <w:rFonts w:ascii="Calibri"/>
                <w:spacing w:val="-1"/>
                <w:sz w:val="18"/>
              </w:rPr>
              <w:t>rebate</w:t>
            </w:r>
            <w:r>
              <w:rPr>
                <w:rFonts w:ascii="Calibri"/>
                <w:spacing w:val="-3"/>
                <w:sz w:val="18"/>
              </w:rPr>
              <w:t xml:space="preserve"> </w:t>
            </w:r>
            <w:r>
              <w:rPr>
                <w:rFonts w:ascii="Calibri"/>
                <w:spacing w:val="-1"/>
                <w:sz w:val="18"/>
              </w:rPr>
              <w:t>paperwork</w:t>
            </w:r>
            <w:r>
              <w:rPr>
                <w:rFonts w:ascii="Calibri"/>
                <w:spacing w:val="-5"/>
                <w:sz w:val="18"/>
              </w:rPr>
              <w:t xml:space="preserve"> </w:t>
            </w:r>
            <w:r>
              <w:rPr>
                <w:rFonts w:ascii="Calibri"/>
                <w:spacing w:val="-1"/>
                <w:sz w:val="18"/>
              </w:rPr>
              <w:t>processes</w:t>
            </w:r>
            <w:r>
              <w:rPr>
                <w:rFonts w:ascii="Calibri"/>
                <w:spacing w:val="-5"/>
                <w:sz w:val="18"/>
              </w:rPr>
              <w:t xml:space="preserve"> </w:t>
            </w:r>
            <w:r>
              <w:rPr>
                <w:rFonts w:ascii="Calibri"/>
                <w:spacing w:val="-1"/>
                <w:sz w:val="18"/>
              </w:rPr>
              <w:t>to</w:t>
            </w:r>
            <w:r>
              <w:rPr>
                <w:rFonts w:ascii="Calibri"/>
                <w:spacing w:val="-2"/>
                <w:sz w:val="18"/>
              </w:rPr>
              <w:t xml:space="preserve"> </w:t>
            </w:r>
            <w:r>
              <w:rPr>
                <w:rFonts w:ascii="Calibri"/>
                <w:spacing w:val="-1"/>
                <w:sz w:val="18"/>
              </w:rPr>
              <w:t>identify</w:t>
            </w:r>
            <w:r>
              <w:rPr>
                <w:rFonts w:ascii="Calibri"/>
                <w:spacing w:val="43"/>
                <w:w w:val="99"/>
                <w:sz w:val="18"/>
              </w:rPr>
              <w:t xml:space="preserve"> </w:t>
            </w:r>
            <w:r>
              <w:rPr>
                <w:rFonts w:ascii="Calibri"/>
                <w:spacing w:val="-1"/>
                <w:sz w:val="18"/>
              </w:rPr>
              <w:t>opportunities</w:t>
            </w:r>
            <w:r>
              <w:rPr>
                <w:rFonts w:ascii="Calibri"/>
                <w:spacing w:val="-6"/>
                <w:sz w:val="18"/>
              </w:rPr>
              <w:t xml:space="preserve"> </w:t>
            </w:r>
            <w:r>
              <w:rPr>
                <w:rFonts w:ascii="Calibri"/>
                <w:spacing w:val="-1"/>
                <w:sz w:val="18"/>
              </w:rPr>
              <w:t>to</w:t>
            </w:r>
            <w:r>
              <w:rPr>
                <w:rFonts w:ascii="Calibri"/>
                <w:spacing w:val="-5"/>
                <w:sz w:val="18"/>
              </w:rPr>
              <w:t xml:space="preserve"> </w:t>
            </w:r>
            <w:r>
              <w:rPr>
                <w:rFonts w:ascii="Calibri"/>
                <w:spacing w:val="-1"/>
                <w:sz w:val="18"/>
              </w:rPr>
              <w:t>streamline</w:t>
            </w:r>
            <w:r>
              <w:rPr>
                <w:rFonts w:ascii="Calibri"/>
                <w:spacing w:val="-6"/>
                <w:sz w:val="18"/>
              </w:rPr>
              <w:t xml:space="preserve"> </w:t>
            </w:r>
            <w:r>
              <w:rPr>
                <w:rFonts w:ascii="Calibri"/>
                <w:spacing w:val="-1"/>
                <w:sz w:val="18"/>
              </w:rPr>
              <w:t>documentation</w:t>
            </w:r>
            <w:r>
              <w:rPr>
                <w:rFonts w:ascii="Calibri"/>
                <w:spacing w:val="-5"/>
                <w:sz w:val="18"/>
              </w:rPr>
              <w:t xml:space="preserve"> </w:t>
            </w:r>
            <w:r>
              <w:rPr>
                <w:rFonts w:ascii="Calibri"/>
                <w:spacing w:val="-1"/>
                <w:sz w:val="18"/>
              </w:rPr>
              <w:t>requirements</w:t>
            </w:r>
            <w:r>
              <w:rPr>
                <w:rFonts w:ascii="Calibri"/>
                <w:spacing w:val="71"/>
                <w:sz w:val="18"/>
              </w:rPr>
              <w:t xml:space="preserve"> </w:t>
            </w:r>
            <w:r>
              <w:rPr>
                <w:rFonts w:ascii="Calibri"/>
                <w:spacing w:val="-1"/>
                <w:sz w:val="18"/>
              </w:rPr>
              <w:t>and</w:t>
            </w:r>
            <w:r>
              <w:rPr>
                <w:rFonts w:ascii="Calibri"/>
                <w:spacing w:val="-4"/>
                <w:sz w:val="18"/>
              </w:rPr>
              <w:t xml:space="preserve"> </w:t>
            </w:r>
            <w:r>
              <w:rPr>
                <w:rFonts w:ascii="Calibri"/>
                <w:spacing w:val="-1"/>
                <w:sz w:val="18"/>
              </w:rPr>
              <w:t>notify</w:t>
            </w:r>
            <w:r>
              <w:rPr>
                <w:rFonts w:ascii="Calibri"/>
                <w:spacing w:val="-2"/>
                <w:sz w:val="18"/>
              </w:rPr>
              <w:t xml:space="preserve"> </w:t>
            </w:r>
            <w:r>
              <w:rPr>
                <w:rFonts w:ascii="Calibri"/>
                <w:spacing w:val="-1"/>
                <w:sz w:val="18"/>
              </w:rPr>
              <w:t>contractors</w:t>
            </w:r>
            <w:r>
              <w:rPr>
                <w:rFonts w:ascii="Calibri"/>
                <w:spacing w:val="-3"/>
                <w:sz w:val="18"/>
              </w:rPr>
              <w:t xml:space="preserve"> </w:t>
            </w:r>
            <w:r>
              <w:rPr>
                <w:rFonts w:ascii="Calibri"/>
                <w:spacing w:val="-1"/>
                <w:sz w:val="18"/>
              </w:rPr>
              <w:t>and/or</w:t>
            </w:r>
            <w:r>
              <w:rPr>
                <w:rFonts w:ascii="Calibri"/>
                <w:spacing w:val="-3"/>
                <w:sz w:val="18"/>
              </w:rPr>
              <w:t xml:space="preserve"> </w:t>
            </w:r>
            <w:r>
              <w:rPr>
                <w:rFonts w:ascii="Calibri"/>
                <w:spacing w:val="-1"/>
                <w:sz w:val="18"/>
              </w:rPr>
              <w:t>customers</w:t>
            </w:r>
            <w:r>
              <w:rPr>
                <w:rFonts w:ascii="Calibri"/>
                <w:spacing w:val="-3"/>
                <w:sz w:val="18"/>
              </w:rPr>
              <w:t xml:space="preserve"> </w:t>
            </w:r>
            <w:r>
              <w:rPr>
                <w:rFonts w:ascii="Calibri"/>
                <w:sz w:val="18"/>
              </w:rPr>
              <w:t>more</w:t>
            </w:r>
            <w:r>
              <w:rPr>
                <w:rFonts w:ascii="Calibri"/>
                <w:spacing w:val="-3"/>
                <w:sz w:val="18"/>
              </w:rPr>
              <w:t xml:space="preserve"> </w:t>
            </w:r>
            <w:r>
              <w:rPr>
                <w:rFonts w:ascii="Calibri"/>
                <w:spacing w:val="-1"/>
                <w:sz w:val="18"/>
              </w:rPr>
              <w:t>quickly</w:t>
            </w:r>
            <w:r>
              <w:rPr>
                <w:rFonts w:ascii="Calibri"/>
                <w:spacing w:val="-3"/>
                <w:sz w:val="18"/>
              </w:rPr>
              <w:t xml:space="preserve"> </w:t>
            </w:r>
            <w:r>
              <w:rPr>
                <w:rFonts w:ascii="Calibri"/>
                <w:spacing w:val="-1"/>
                <w:sz w:val="18"/>
              </w:rPr>
              <w:t>if</w:t>
            </w:r>
            <w:r>
              <w:rPr>
                <w:rFonts w:ascii="Calibri"/>
                <w:spacing w:val="57"/>
                <w:sz w:val="18"/>
              </w:rPr>
              <w:t xml:space="preserve"> </w:t>
            </w:r>
            <w:r>
              <w:rPr>
                <w:rFonts w:ascii="Calibri"/>
                <w:spacing w:val="-1"/>
                <w:sz w:val="18"/>
              </w:rPr>
              <w:t>project</w:t>
            </w:r>
            <w:r>
              <w:rPr>
                <w:rFonts w:ascii="Calibri"/>
                <w:spacing w:val="-4"/>
                <w:sz w:val="18"/>
              </w:rPr>
              <w:t xml:space="preserve"> </w:t>
            </w:r>
            <w:r>
              <w:rPr>
                <w:rFonts w:ascii="Calibri"/>
                <w:spacing w:val="-1"/>
                <w:sz w:val="18"/>
              </w:rPr>
              <w:t>documentation</w:t>
            </w:r>
            <w:r>
              <w:rPr>
                <w:rFonts w:ascii="Calibri"/>
                <w:spacing w:val="-4"/>
                <w:sz w:val="18"/>
              </w:rPr>
              <w:t xml:space="preserve"> </w:t>
            </w:r>
            <w:r>
              <w:rPr>
                <w:rFonts w:ascii="Calibri"/>
                <w:sz w:val="18"/>
              </w:rPr>
              <w:t>is</w:t>
            </w:r>
            <w:r>
              <w:rPr>
                <w:rFonts w:ascii="Calibri"/>
                <w:spacing w:val="-4"/>
                <w:sz w:val="18"/>
              </w:rPr>
              <w:t xml:space="preserve"> </w:t>
            </w:r>
            <w:r>
              <w:rPr>
                <w:rFonts w:ascii="Calibri"/>
                <w:spacing w:val="-1"/>
                <w:sz w:val="18"/>
              </w:rPr>
              <w:t>incomplete.</w:t>
            </w:r>
          </w:p>
        </w:tc>
        <w:tc>
          <w:tcPr>
            <w:tcW w:w="468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670"/>
        </w:trPr>
        <w:tc>
          <w:tcPr>
            <w:tcW w:w="4680" w:type="dxa"/>
          </w:tcPr>
          <w:p w:rsidR="00E646C9" w:rsidRDefault="00E646C9" w:rsidP="00C94D5A">
            <w:pPr>
              <w:pStyle w:val="TableParagraph"/>
              <w:ind w:left="102" w:right="197"/>
              <w:rPr>
                <w:rFonts w:ascii="Calibri" w:eastAsia="Calibri" w:hAnsi="Calibri" w:cs="Calibri"/>
                <w:sz w:val="18"/>
                <w:szCs w:val="18"/>
              </w:rPr>
            </w:pPr>
            <w:r>
              <w:rPr>
                <w:rFonts w:ascii="Calibri"/>
                <w:spacing w:val="-1"/>
                <w:sz w:val="18"/>
              </w:rPr>
              <w:t>Increase</w:t>
            </w:r>
            <w:r>
              <w:rPr>
                <w:rFonts w:ascii="Calibri"/>
                <w:spacing w:val="-5"/>
                <w:sz w:val="18"/>
              </w:rPr>
              <w:t xml:space="preserve"> </w:t>
            </w:r>
            <w:r>
              <w:rPr>
                <w:rFonts w:ascii="Calibri"/>
                <w:spacing w:val="-1"/>
                <w:sz w:val="18"/>
              </w:rPr>
              <w:t>one-on-one</w:t>
            </w:r>
            <w:r>
              <w:rPr>
                <w:rFonts w:ascii="Calibri"/>
                <w:spacing w:val="-5"/>
                <w:sz w:val="18"/>
              </w:rPr>
              <w:t xml:space="preserve"> </w:t>
            </w:r>
            <w:r>
              <w:rPr>
                <w:rFonts w:ascii="Calibri"/>
                <w:spacing w:val="-1"/>
                <w:sz w:val="18"/>
              </w:rPr>
              <w:t>communication</w:t>
            </w:r>
            <w:r>
              <w:rPr>
                <w:rFonts w:ascii="Calibri"/>
                <w:spacing w:val="-5"/>
                <w:sz w:val="18"/>
              </w:rPr>
              <w:t xml:space="preserve"> </w:t>
            </w:r>
            <w:r>
              <w:rPr>
                <w:rFonts w:ascii="Calibri"/>
                <w:spacing w:val="-1"/>
                <w:sz w:val="18"/>
              </w:rPr>
              <w:t>and</w:t>
            </w:r>
            <w:r>
              <w:rPr>
                <w:rFonts w:ascii="Calibri"/>
                <w:spacing w:val="-5"/>
                <w:sz w:val="18"/>
              </w:rPr>
              <w:t xml:space="preserve"> </w:t>
            </w:r>
            <w:r>
              <w:rPr>
                <w:rFonts w:ascii="Calibri"/>
                <w:sz w:val="18"/>
              </w:rPr>
              <w:t>improve</w:t>
            </w:r>
            <w:r>
              <w:rPr>
                <w:rFonts w:ascii="Calibri"/>
                <w:spacing w:val="-4"/>
                <w:sz w:val="18"/>
              </w:rPr>
              <w:t xml:space="preserve"> </w:t>
            </w:r>
            <w:r>
              <w:rPr>
                <w:rFonts w:ascii="Calibri"/>
                <w:spacing w:val="-1"/>
                <w:sz w:val="18"/>
              </w:rPr>
              <w:t>response</w:t>
            </w:r>
            <w:r>
              <w:rPr>
                <w:rFonts w:ascii="Calibri"/>
                <w:spacing w:val="61"/>
                <w:w w:val="99"/>
                <w:sz w:val="18"/>
              </w:rPr>
              <w:t xml:space="preserve"> </w:t>
            </w:r>
            <w:r>
              <w:rPr>
                <w:rFonts w:ascii="Calibri"/>
                <w:spacing w:val="-1"/>
                <w:sz w:val="18"/>
              </w:rPr>
              <w:t>time</w:t>
            </w:r>
            <w:r>
              <w:rPr>
                <w:rFonts w:ascii="Calibri"/>
                <w:spacing w:val="-4"/>
                <w:sz w:val="18"/>
              </w:rPr>
              <w:t xml:space="preserve"> </w:t>
            </w:r>
            <w:r>
              <w:rPr>
                <w:rFonts w:ascii="Calibri"/>
                <w:spacing w:val="-1"/>
                <w:sz w:val="18"/>
              </w:rPr>
              <w:t>between</w:t>
            </w:r>
            <w:r>
              <w:rPr>
                <w:rFonts w:ascii="Calibri"/>
                <w:spacing w:val="-4"/>
                <w:sz w:val="18"/>
              </w:rPr>
              <w:t xml:space="preserve"> </w:t>
            </w:r>
            <w:r>
              <w:rPr>
                <w:rFonts w:ascii="Calibri"/>
                <w:spacing w:val="-1"/>
                <w:sz w:val="18"/>
              </w:rPr>
              <w:t>participating</w:t>
            </w:r>
            <w:r>
              <w:rPr>
                <w:rFonts w:ascii="Calibri"/>
                <w:spacing w:val="-2"/>
                <w:sz w:val="18"/>
              </w:rPr>
              <w:t xml:space="preserve"> </w:t>
            </w:r>
            <w:r>
              <w:rPr>
                <w:rFonts w:ascii="Calibri"/>
                <w:sz w:val="18"/>
              </w:rPr>
              <w:t>program</w:t>
            </w:r>
            <w:r>
              <w:rPr>
                <w:rFonts w:ascii="Calibri"/>
                <w:spacing w:val="-3"/>
                <w:sz w:val="18"/>
              </w:rPr>
              <w:t xml:space="preserve"> </w:t>
            </w:r>
            <w:r>
              <w:rPr>
                <w:rFonts w:ascii="Calibri"/>
                <w:spacing w:val="-1"/>
                <w:sz w:val="18"/>
              </w:rPr>
              <w:t>contractors</w:t>
            </w:r>
            <w:r>
              <w:rPr>
                <w:rFonts w:ascii="Calibri"/>
                <w:spacing w:val="-4"/>
                <w:sz w:val="18"/>
              </w:rPr>
              <w:t xml:space="preserve"> </w:t>
            </w:r>
            <w:r>
              <w:rPr>
                <w:rFonts w:ascii="Calibri"/>
                <w:spacing w:val="-1"/>
                <w:sz w:val="18"/>
              </w:rPr>
              <w:t>and</w:t>
            </w:r>
            <w:r>
              <w:rPr>
                <w:rFonts w:ascii="Calibri"/>
                <w:spacing w:val="-4"/>
                <w:sz w:val="18"/>
              </w:rPr>
              <w:t xml:space="preserve"> </w:t>
            </w:r>
            <w:r>
              <w:rPr>
                <w:rFonts w:ascii="Calibri"/>
                <w:spacing w:val="-1"/>
                <w:sz w:val="18"/>
              </w:rPr>
              <w:t>their</w:t>
            </w:r>
            <w:r>
              <w:rPr>
                <w:rFonts w:ascii="Calibri"/>
                <w:spacing w:val="50"/>
                <w:sz w:val="18"/>
              </w:rPr>
              <w:t xml:space="preserve"> </w:t>
            </w:r>
            <w:r>
              <w:rPr>
                <w:rFonts w:ascii="Calibri"/>
                <w:spacing w:val="-1"/>
                <w:sz w:val="18"/>
              </w:rPr>
              <w:t>ICSP</w:t>
            </w:r>
            <w:r>
              <w:rPr>
                <w:rFonts w:ascii="Calibri"/>
                <w:spacing w:val="-9"/>
                <w:sz w:val="18"/>
              </w:rPr>
              <w:t xml:space="preserve"> </w:t>
            </w:r>
            <w:r>
              <w:rPr>
                <w:rFonts w:ascii="Calibri"/>
                <w:spacing w:val="-1"/>
                <w:sz w:val="18"/>
              </w:rPr>
              <w:t>representative.</w:t>
            </w:r>
          </w:p>
        </w:tc>
        <w:tc>
          <w:tcPr>
            <w:tcW w:w="4680" w:type="dxa"/>
          </w:tcPr>
          <w:p w:rsidR="00E646C9" w:rsidRDefault="00E646C9" w:rsidP="00C94D5A">
            <w:pPr>
              <w:pStyle w:val="TableParagraph"/>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670"/>
        </w:trPr>
        <w:tc>
          <w:tcPr>
            <w:tcW w:w="4680" w:type="dxa"/>
            <w:shd w:val="clear" w:color="auto" w:fill="D2EAF1"/>
          </w:tcPr>
          <w:p w:rsidR="00E646C9" w:rsidRDefault="00E646C9" w:rsidP="00C94D5A">
            <w:pPr>
              <w:pStyle w:val="TableParagraph"/>
              <w:ind w:left="102" w:right="352"/>
              <w:rPr>
                <w:rFonts w:ascii="Calibri" w:eastAsia="Calibri" w:hAnsi="Calibri" w:cs="Calibri"/>
                <w:sz w:val="18"/>
                <w:szCs w:val="18"/>
              </w:rPr>
            </w:pPr>
            <w:r>
              <w:rPr>
                <w:rFonts w:ascii="Calibri" w:eastAsia="Calibri" w:hAnsi="Calibri" w:cs="Calibri"/>
                <w:spacing w:val="-1"/>
                <w:sz w:val="18"/>
                <w:szCs w:val="18"/>
              </w:rPr>
              <w:t>Use</w:t>
            </w:r>
            <w:r>
              <w:rPr>
                <w:rFonts w:ascii="Calibri" w:eastAsia="Calibri" w:hAnsi="Calibri" w:cs="Calibri"/>
                <w:spacing w:val="-5"/>
                <w:sz w:val="18"/>
                <w:szCs w:val="18"/>
              </w:rPr>
              <w:t xml:space="preserve"> </w:t>
            </w:r>
            <w:r>
              <w:rPr>
                <w:rFonts w:ascii="Calibri" w:eastAsia="Calibri" w:hAnsi="Calibri" w:cs="Calibri"/>
                <w:spacing w:val="-1"/>
                <w:sz w:val="18"/>
                <w:szCs w:val="18"/>
              </w:rPr>
              <w:t>one-on-one</w:t>
            </w:r>
            <w:r>
              <w:rPr>
                <w:rFonts w:ascii="Calibri" w:eastAsia="Calibri" w:hAnsi="Calibri" w:cs="Calibri"/>
                <w:spacing w:val="-4"/>
                <w:sz w:val="18"/>
                <w:szCs w:val="18"/>
              </w:rPr>
              <w:t xml:space="preserve"> </w:t>
            </w:r>
            <w:r>
              <w:rPr>
                <w:rFonts w:ascii="Calibri" w:eastAsia="Calibri" w:hAnsi="Calibri" w:cs="Calibri"/>
                <w:spacing w:val="-1"/>
                <w:sz w:val="18"/>
                <w:szCs w:val="18"/>
              </w:rPr>
              <w:t>communication</w:t>
            </w:r>
            <w:r>
              <w:rPr>
                <w:rFonts w:ascii="Calibri" w:eastAsia="Calibri" w:hAnsi="Calibri" w:cs="Calibri"/>
                <w:spacing w:val="-2"/>
                <w:sz w:val="18"/>
                <w:szCs w:val="18"/>
              </w:rPr>
              <w:t xml:space="preserve"> </w:t>
            </w:r>
            <w:r>
              <w:rPr>
                <w:rFonts w:ascii="Calibri" w:eastAsia="Calibri" w:hAnsi="Calibri" w:cs="Calibri"/>
                <w:spacing w:val="-1"/>
                <w:sz w:val="18"/>
                <w:szCs w:val="18"/>
              </w:rPr>
              <w:t>to</w:t>
            </w:r>
            <w:r>
              <w:rPr>
                <w:rFonts w:ascii="Calibri" w:eastAsia="Calibri" w:hAnsi="Calibri" w:cs="Calibri"/>
                <w:spacing w:val="-3"/>
                <w:sz w:val="18"/>
                <w:szCs w:val="18"/>
              </w:rPr>
              <w:t xml:space="preserve"> </w:t>
            </w:r>
            <w:r>
              <w:rPr>
                <w:rFonts w:ascii="Calibri" w:eastAsia="Calibri" w:hAnsi="Calibri" w:cs="Calibri"/>
                <w:spacing w:val="-1"/>
                <w:sz w:val="18"/>
                <w:szCs w:val="18"/>
              </w:rPr>
              <w:t>increase</w:t>
            </w:r>
            <w:r>
              <w:rPr>
                <w:rFonts w:ascii="Calibri" w:eastAsia="Calibri" w:hAnsi="Calibri" w:cs="Calibri"/>
                <w:spacing w:val="-4"/>
                <w:sz w:val="18"/>
                <w:szCs w:val="18"/>
              </w:rPr>
              <w:t xml:space="preserve"> </w:t>
            </w:r>
            <w:r>
              <w:rPr>
                <w:rFonts w:ascii="Calibri" w:eastAsia="Calibri" w:hAnsi="Calibri" w:cs="Calibri"/>
                <w:spacing w:val="-1"/>
                <w:sz w:val="18"/>
                <w:szCs w:val="18"/>
              </w:rPr>
              <w:t>contractor</w:t>
            </w:r>
            <w:r>
              <w:rPr>
                <w:rFonts w:ascii="Calibri" w:eastAsia="Calibri" w:hAnsi="Calibri" w:cs="Calibri"/>
                <w:spacing w:val="65"/>
                <w:w w:val="99"/>
                <w:sz w:val="18"/>
                <w:szCs w:val="18"/>
              </w:rPr>
              <w:t xml:space="preserve"> </w:t>
            </w:r>
            <w:r>
              <w:rPr>
                <w:rFonts w:ascii="Calibri" w:eastAsia="Calibri" w:hAnsi="Calibri" w:cs="Calibri"/>
                <w:spacing w:val="-1"/>
                <w:sz w:val="18"/>
                <w:szCs w:val="18"/>
              </w:rPr>
              <w:t>awareness</w:t>
            </w:r>
            <w:r>
              <w:rPr>
                <w:rFonts w:ascii="Calibri" w:eastAsia="Calibri" w:hAnsi="Calibri" w:cs="Calibri"/>
                <w:spacing w:val="-3"/>
                <w:sz w:val="18"/>
                <w:szCs w:val="18"/>
              </w:rPr>
              <w:t xml:space="preserve"> </w:t>
            </w:r>
            <w:r>
              <w:rPr>
                <w:rFonts w:ascii="Calibri" w:eastAsia="Calibri" w:hAnsi="Calibri" w:cs="Calibri"/>
                <w:sz w:val="18"/>
                <w:szCs w:val="18"/>
              </w:rPr>
              <w:t>of</w:t>
            </w:r>
            <w:r>
              <w:rPr>
                <w:rFonts w:ascii="Calibri" w:eastAsia="Calibri" w:hAnsi="Calibri" w:cs="Calibri"/>
                <w:spacing w:val="-2"/>
                <w:sz w:val="18"/>
                <w:szCs w:val="18"/>
              </w:rPr>
              <w:t xml:space="preserve"> </w:t>
            </w:r>
            <w:r>
              <w:rPr>
                <w:rFonts w:ascii="Calibri" w:eastAsia="Calibri" w:hAnsi="Calibri" w:cs="Calibri"/>
                <w:spacing w:val="-1"/>
                <w:sz w:val="18"/>
                <w:szCs w:val="18"/>
              </w:rPr>
              <w:t>program</w:t>
            </w:r>
            <w:r>
              <w:rPr>
                <w:rFonts w:ascii="Calibri" w:eastAsia="Calibri" w:hAnsi="Calibri" w:cs="Calibri"/>
                <w:spacing w:val="-2"/>
                <w:sz w:val="18"/>
                <w:szCs w:val="18"/>
              </w:rPr>
              <w:t xml:space="preserve"> </w:t>
            </w:r>
            <w:r>
              <w:rPr>
                <w:rFonts w:ascii="Calibri" w:eastAsia="Calibri" w:hAnsi="Calibri" w:cs="Calibri"/>
                <w:sz w:val="18"/>
                <w:szCs w:val="18"/>
              </w:rPr>
              <w:t>communication</w:t>
            </w:r>
            <w:r>
              <w:rPr>
                <w:rFonts w:ascii="Calibri" w:eastAsia="Calibri" w:hAnsi="Calibri" w:cs="Calibri"/>
                <w:spacing w:val="-3"/>
                <w:sz w:val="18"/>
                <w:szCs w:val="18"/>
              </w:rPr>
              <w:t xml:space="preserve"> </w:t>
            </w:r>
            <w:r>
              <w:rPr>
                <w:rFonts w:ascii="Calibri" w:eastAsia="Calibri" w:hAnsi="Calibri" w:cs="Calibri"/>
                <w:sz w:val="18"/>
                <w:szCs w:val="18"/>
              </w:rPr>
              <w:t>tools</w:t>
            </w:r>
            <w:r>
              <w:rPr>
                <w:rFonts w:ascii="Calibri" w:eastAsia="Calibri" w:hAnsi="Calibri" w:cs="Calibri"/>
                <w:spacing w:val="-3"/>
                <w:sz w:val="18"/>
                <w:szCs w:val="18"/>
              </w:rPr>
              <w:t xml:space="preserve"> </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pacing w:val="-1"/>
                <w:sz w:val="18"/>
                <w:szCs w:val="18"/>
              </w:rPr>
              <w:t>such</w:t>
            </w:r>
            <w:r>
              <w:rPr>
                <w:rFonts w:ascii="Calibri" w:eastAsia="Calibri" w:hAnsi="Calibri" w:cs="Calibri"/>
                <w:spacing w:val="-3"/>
                <w:sz w:val="18"/>
                <w:szCs w:val="18"/>
              </w:rPr>
              <w:t xml:space="preserve"> </w:t>
            </w:r>
            <w:r>
              <w:rPr>
                <w:rFonts w:ascii="Calibri" w:eastAsia="Calibri" w:hAnsi="Calibri" w:cs="Calibri"/>
                <w:sz w:val="18"/>
                <w:szCs w:val="18"/>
              </w:rPr>
              <w:t>as</w:t>
            </w:r>
            <w:r>
              <w:rPr>
                <w:rFonts w:ascii="Calibri" w:eastAsia="Calibri" w:hAnsi="Calibri" w:cs="Calibri"/>
                <w:spacing w:val="-3"/>
                <w:sz w:val="18"/>
                <w:szCs w:val="18"/>
              </w:rPr>
              <w:t xml:space="preserve"> </w:t>
            </w:r>
            <w:r>
              <w:rPr>
                <w:rFonts w:ascii="Calibri" w:eastAsia="Calibri" w:hAnsi="Calibri" w:cs="Calibri"/>
                <w:spacing w:val="-1"/>
                <w:sz w:val="18"/>
                <w:szCs w:val="18"/>
              </w:rPr>
              <w:t>the</w:t>
            </w:r>
            <w:r>
              <w:rPr>
                <w:rFonts w:ascii="Calibri" w:eastAsia="Calibri" w:hAnsi="Calibri" w:cs="Calibri"/>
                <w:spacing w:val="23"/>
                <w:w w:val="99"/>
                <w:sz w:val="18"/>
                <w:szCs w:val="18"/>
              </w:rPr>
              <w:t xml:space="preserve"> </w:t>
            </w:r>
            <w:r>
              <w:rPr>
                <w:rFonts w:ascii="Calibri" w:eastAsia="Calibri" w:hAnsi="Calibri" w:cs="Calibri"/>
                <w:spacing w:val="-1"/>
                <w:sz w:val="18"/>
                <w:szCs w:val="18"/>
              </w:rPr>
              <w:t>newsletter</w:t>
            </w:r>
            <w:r>
              <w:rPr>
                <w:rFonts w:ascii="Calibri" w:eastAsia="Calibri" w:hAnsi="Calibri" w:cs="Calibri"/>
                <w:spacing w:val="-3"/>
                <w:sz w:val="18"/>
                <w:szCs w:val="18"/>
              </w:rPr>
              <w:t xml:space="preserve"> </w:t>
            </w:r>
            <w:r>
              <w:rPr>
                <w:rFonts w:ascii="Calibri" w:eastAsia="Calibri" w:hAnsi="Calibri" w:cs="Calibri"/>
                <w:sz w:val="18"/>
                <w:szCs w:val="18"/>
              </w:rPr>
              <w:t>and/or</w:t>
            </w:r>
            <w:r>
              <w:rPr>
                <w:rFonts w:ascii="Calibri" w:eastAsia="Calibri" w:hAnsi="Calibri" w:cs="Calibri"/>
                <w:spacing w:val="-3"/>
                <w:sz w:val="18"/>
                <w:szCs w:val="18"/>
              </w:rPr>
              <w:t xml:space="preserve"> </w:t>
            </w:r>
            <w:r>
              <w:rPr>
                <w:rFonts w:ascii="Calibri" w:eastAsia="Calibri" w:hAnsi="Calibri" w:cs="Calibri"/>
                <w:spacing w:val="-1"/>
                <w:sz w:val="18"/>
                <w:szCs w:val="18"/>
              </w:rPr>
              <w:t>portal</w:t>
            </w:r>
            <w:r>
              <w:rPr>
                <w:rFonts w:ascii="Calibri" w:eastAsia="Calibri" w:hAnsi="Calibri" w:cs="Calibri"/>
                <w:spacing w:val="-3"/>
                <w:sz w:val="18"/>
                <w:szCs w:val="18"/>
              </w:rPr>
              <w:t xml:space="preserve"> </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pacing w:val="-1"/>
                <w:sz w:val="18"/>
                <w:szCs w:val="18"/>
              </w:rPr>
              <w:t>that</w:t>
            </w:r>
            <w:r>
              <w:rPr>
                <w:rFonts w:ascii="Calibri" w:eastAsia="Calibri" w:hAnsi="Calibri" w:cs="Calibri"/>
                <w:spacing w:val="-3"/>
                <w:sz w:val="18"/>
                <w:szCs w:val="18"/>
              </w:rPr>
              <w:t xml:space="preserve"> </w:t>
            </w:r>
            <w:r>
              <w:rPr>
                <w:rFonts w:ascii="Calibri" w:eastAsia="Calibri" w:hAnsi="Calibri" w:cs="Calibri"/>
                <w:sz w:val="18"/>
                <w:szCs w:val="18"/>
              </w:rPr>
              <w:t>already</w:t>
            </w:r>
            <w:r>
              <w:rPr>
                <w:rFonts w:ascii="Calibri" w:eastAsia="Calibri" w:hAnsi="Calibri" w:cs="Calibri"/>
                <w:spacing w:val="-2"/>
                <w:sz w:val="18"/>
                <w:szCs w:val="18"/>
              </w:rPr>
              <w:t xml:space="preserve"> </w:t>
            </w:r>
            <w:r>
              <w:rPr>
                <w:rFonts w:ascii="Calibri" w:eastAsia="Calibri" w:hAnsi="Calibri" w:cs="Calibri"/>
                <w:spacing w:val="-1"/>
                <w:sz w:val="18"/>
                <w:szCs w:val="18"/>
              </w:rPr>
              <w:t>exist.</w:t>
            </w:r>
          </w:p>
        </w:tc>
        <w:tc>
          <w:tcPr>
            <w:tcW w:w="468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1109"/>
        </w:trPr>
        <w:tc>
          <w:tcPr>
            <w:tcW w:w="4680" w:type="dxa"/>
          </w:tcPr>
          <w:p w:rsidR="00E646C9" w:rsidRDefault="00E646C9" w:rsidP="00C94D5A">
            <w:pPr>
              <w:pStyle w:val="TableParagraph"/>
              <w:ind w:left="102" w:right="484"/>
              <w:rPr>
                <w:rFonts w:ascii="Calibri" w:eastAsia="Calibri" w:hAnsi="Calibri" w:cs="Calibri"/>
                <w:sz w:val="18"/>
                <w:szCs w:val="18"/>
              </w:rPr>
            </w:pPr>
            <w:r>
              <w:rPr>
                <w:rFonts w:ascii="Calibri" w:eastAsia="Calibri" w:hAnsi="Calibri" w:cs="Calibri"/>
                <w:spacing w:val="-1"/>
                <w:sz w:val="18"/>
                <w:szCs w:val="18"/>
              </w:rPr>
              <w:t>Consider</w:t>
            </w:r>
            <w:r>
              <w:rPr>
                <w:rFonts w:ascii="Calibri" w:eastAsia="Calibri" w:hAnsi="Calibri" w:cs="Calibri"/>
                <w:spacing w:val="-3"/>
                <w:sz w:val="18"/>
                <w:szCs w:val="18"/>
              </w:rPr>
              <w:t xml:space="preserve"> </w:t>
            </w:r>
            <w:r>
              <w:rPr>
                <w:rFonts w:ascii="Calibri" w:eastAsia="Calibri" w:hAnsi="Calibri" w:cs="Calibri"/>
                <w:sz w:val="18"/>
                <w:szCs w:val="18"/>
              </w:rPr>
              <w:t>annual</w:t>
            </w:r>
            <w:r>
              <w:rPr>
                <w:rFonts w:ascii="Calibri" w:eastAsia="Calibri" w:hAnsi="Calibri" w:cs="Calibri"/>
                <w:spacing w:val="-3"/>
                <w:sz w:val="18"/>
                <w:szCs w:val="18"/>
              </w:rPr>
              <w:t xml:space="preserve"> </w:t>
            </w:r>
            <w:r>
              <w:rPr>
                <w:rFonts w:ascii="Calibri" w:eastAsia="Calibri" w:hAnsi="Calibri" w:cs="Calibri"/>
                <w:sz w:val="18"/>
                <w:szCs w:val="18"/>
              </w:rPr>
              <w:t>or</w:t>
            </w:r>
            <w:r>
              <w:rPr>
                <w:rFonts w:ascii="Calibri" w:eastAsia="Calibri" w:hAnsi="Calibri" w:cs="Calibri"/>
                <w:spacing w:val="-3"/>
                <w:sz w:val="18"/>
                <w:szCs w:val="18"/>
              </w:rPr>
              <w:t xml:space="preserve"> </w:t>
            </w:r>
            <w:r>
              <w:rPr>
                <w:rFonts w:ascii="Calibri" w:eastAsia="Calibri" w:hAnsi="Calibri" w:cs="Calibri"/>
                <w:spacing w:val="-1"/>
                <w:sz w:val="18"/>
                <w:szCs w:val="18"/>
              </w:rPr>
              <w:t>bi-annual</w:t>
            </w:r>
            <w:r>
              <w:rPr>
                <w:rFonts w:ascii="Calibri" w:eastAsia="Calibri" w:hAnsi="Calibri" w:cs="Calibri"/>
                <w:spacing w:val="-2"/>
                <w:sz w:val="18"/>
                <w:szCs w:val="18"/>
              </w:rPr>
              <w:t xml:space="preserve"> </w:t>
            </w:r>
            <w:r>
              <w:rPr>
                <w:rFonts w:ascii="Calibri" w:eastAsia="Calibri" w:hAnsi="Calibri" w:cs="Calibri"/>
                <w:sz w:val="18"/>
                <w:szCs w:val="18"/>
              </w:rPr>
              <w:t>calls</w:t>
            </w:r>
            <w:r>
              <w:rPr>
                <w:rFonts w:ascii="Calibri" w:eastAsia="Calibri" w:hAnsi="Calibri" w:cs="Calibri"/>
                <w:spacing w:val="-3"/>
                <w:sz w:val="18"/>
                <w:szCs w:val="18"/>
              </w:rPr>
              <w:t xml:space="preserve"> </w:t>
            </w:r>
            <w:r>
              <w:rPr>
                <w:rFonts w:ascii="Calibri" w:eastAsia="Calibri" w:hAnsi="Calibri" w:cs="Calibri"/>
                <w:sz w:val="18"/>
                <w:szCs w:val="18"/>
              </w:rPr>
              <w:t>or</w:t>
            </w:r>
            <w:r>
              <w:rPr>
                <w:rFonts w:ascii="Calibri" w:eastAsia="Calibri" w:hAnsi="Calibri" w:cs="Calibri"/>
                <w:spacing w:val="-3"/>
                <w:sz w:val="18"/>
                <w:szCs w:val="18"/>
              </w:rPr>
              <w:t xml:space="preserve"> </w:t>
            </w:r>
            <w:r>
              <w:rPr>
                <w:rFonts w:ascii="Calibri" w:eastAsia="Calibri" w:hAnsi="Calibri" w:cs="Calibri"/>
                <w:spacing w:val="-1"/>
                <w:sz w:val="18"/>
                <w:szCs w:val="18"/>
              </w:rPr>
              <w:t>meetings</w:t>
            </w:r>
            <w:r>
              <w:rPr>
                <w:rFonts w:ascii="Calibri" w:eastAsia="Calibri" w:hAnsi="Calibri" w:cs="Calibri"/>
                <w:spacing w:val="-2"/>
                <w:sz w:val="18"/>
                <w:szCs w:val="18"/>
              </w:rPr>
              <w:t xml:space="preserve"> </w:t>
            </w:r>
            <w:r>
              <w:rPr>
                <w:rFonts w:ascii="Calibri" w:eastAsia="Calibri" w:hAnsi="Calibri" w:cs="Calibri"/>
                <w:spacing w:val="-1"/>
                <w:sz w:val="18"/>
                <w:szCs w:val="18"/>
              </w:rPr>
              <w:t>with</w:t>
            </w:r>
            <w:r>
              <w:rPr>
                <w:rFonts w:ascii="Calibri" w:eastAsia="Calibri" w:hAnsi="Calibri" w:cs="Calibri"/>
                <w:spacing w:val="39"/>
                <w:sz w:val="18"/>
                <w:szCs w:val="18"/>
              </w:rPr>
              <w:t xml:space="preserve"> </w:t>
            </w:r>
            <w:r>
              <w:rPr>
                <w:rFonts w:ascii="Calibri" w:eastAsia="Calibri" w:hAnsi="Calibri" w:cs="Calibri"/>
                <w:spacing w:val="-1"/>
                <w:sz w:val="18"/>
                <w:szCs w:val="18"/>
              </w:rPr>
              <w:t>participating</w:t>
            </w:r>
            <w:r>
              <w:rPr>
                <w:rFonts w:ascii="Calibri" w:eastAsia="Calibri" w:hAnsi="Calibri" w:cs="Calibri"/>
                <w:spacing w:val="-3"/>
                <w:sz w:val="18"/>
                <w:szCs w:val="18"/>
              </w:rPr>
              <w:t xml:space="preserve"> </w:t>
            </w:r>
            <w:r>
              <w:rPr>
                <w:rFonts w:ascii="Calibri" w:eastAsia="Calibri" w:hAnsi="Calibri" w:cs="Calibri"/>
                <w:spacing w:val="-1"/>
                <w:sz w:val="18"/>
                <w:szCs w:val="18"/>
              </w:rPr>
              <w:t>contractors</w:t>
            </w:r>
            <w:r>
              <w:rPr>
                <w:rFonts w:ascii="Calibri" w:eastAsia="Calibri" w:hAnsi="Calibri" w:cs="Calibri"/>
                <w:spacing w:val="-2"/>
                <w:sz w:val="18"/>
                <w:szCs w:val="18"/>
              </w:rPr>
              <w:t xml:space="preserve"> </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in</w:t>
            </w:r>
            <w:r>
              <w:rPr>
                <w:rFonts w:ascii="Calibri" w:eastAsia="Calibri" w:hAnsi="Calibri" w:cs="Calibri"/>
                <w:spacing w:val="-2"/>
                <w:sz w:val="18"/>
                <w:szCs w:val="18"/>
              </w:rPr>
              <w:t xml:space="preserve"> </w:t>
            </w:r>
            <w:r>
              <w:rPr>
                <w:rFonts w:ascii="Calibri" w:eastAsia="Calibri" w:hAnsi="Calibri" w:cs="Calibri"/>
                <w:spacing w:val="-1"/>
                <w:sz w:val="18"/>
                <w:szCs w:val="18"/>
              </w:rPr>
              <w:t xml:space="preserve">lieu </w:t>
            </w:r>
            <w:r>
              <w:rPr>
                <w:rFonts w:ascii="Calibri" w:eastAsia="Calibri" w:hAnsi="Calibri" w:cs="Calibri"/>
                <w:sz w:val="18"/>
                <w:szCs w:val="18"/>
              </w:rPr>
              <w:t>of</w:t>
            </w:r>
            <w:r>
              <w:rPr>
                <w:rFonts w:ascii="Calibri" w:eastAsia="Calibri" w:hAnsi="Calibri" w:cs="Calibri"/>
                <w:spacing w:val="-1"/>
                <w:sz w:val="18"/>
                <w:szCs w:val="18"/>
              </w:rPr>
              <w:t xml:space="preserve"> </w:t>
            </w:r>
            <w:r>
              <w:rPr>
                <w:rFonts w:ascii="Calibri" w:eastAsia="Calibri" w:hAnsi="Calibri" w:cs="Calibri"/>
                <w:sz w:val="18"/>
                <w:szCs w:val="18"/>
              </w:rPr>
              <w:t>or</w:t>
            </w:r>
            <w:r>
              <w:rPr>
                <w:rFonts w:ascii="Calibri" w:eastAsia="Calibri" w:hAnsi="Calibri" w:cs="Calibri"/>
                <w:spacing w:val="-2"/>
                <w:sz w:val="18"/>
                <w:szCs w:val="18"/>
              </w:rPr>
              <w:t xml:space="preserve"> </w:t>
            </w:r>
            <w:r>
              <w:rPr>
                <w:rFonts w:ascii="Calibri" w:eastAsia="Calibri" w:hAnsi="Calibri" w:cs="Calibri"/>
                <w:spacing w:val="-1"/>
                <w:sz w:val="18"/>
                <w:szCs w:val="18"/>
              </w:rPr>
              <w:t>in</w:t>
            </w:r>
            <w:r>
              <w:rPr>
                <w:rFonts w:ascii="Calibri" w:eastAsia="Calibri" w:hAnsi="Calibri" w:cs="Calibri"/>
                <w:spacing w:val="-2"/>
                <w:sz w:val="18"/>
                <w:szCs w:val="18"/>
              </w:rPr>
              <w:t xml:space="preserve"> </w:t>
            </w:r>
            <w:r>
              <w:rPr>
                <w:rFonts w:ascii="Calibri" w:eastAsia="Calibri" w:hAnsi="Calibri" w:cs="Calibri"/>
                <w:spacing w:val="-1"/>
                <w:sz w:val="18"/>
                <w:szCs w:val="18"/>
              </w:rPr>
              <w:t>addition</w:t>
            </w:r>
            <w:r>
              <w:rPr>
                <w:rFonts w:ascii="Calibri" w:eastAsia="Calibri" w:hAnsi="Calibri" w:cs="Calibri"/>
                <w:spacing w:val="-2"/>
                <w:sz w:val="18"/>
                <w:szCs w:val="18"/>
              </w:rPr>
              <w:t xml:space="preserve"> </w:t>
            </w:r>
            <w:r>
              <w:rPr>
                <w:rFonts w:ascii="Calibri" w:eastAsia="Calibri" w:hAnsi="Calibri" w:cs="Calibri"/>
                <w:spacing w:val="-1"/>
                <w:sz w:val="18"/>
                <w:szCs w:val="18"/>
              </w:rPr>
              <w:t>to</w:t>
            </w:r>
            <w:r>
              <w:rPr>
                <w:rFonts w:ascii="Calibri" w:eastAsia="Calibri" w:hAnsi="Calibri" w:cs="Calibri"/>
                <w:spacing w:val="53"/>
                <w:sz w:val="18"/>
                <w:szCs w:val="18"/>
              </w:rPr>
              <w:t xml:space="preserve"> </w:t>
            </w:r>
            <w:r>
              <w:rPr>
                <w:rFonts w:ascii="Calibri" w:eastAsia="Calibri" w:hAnsi="Calibri" w:cs="Calibri"/>
                <w:spacing w:val="-1"/>
                <w:sz w:val="18"/>
                <w:szCs w:val="18"/>
              </w:rPr>
              <w:t>webinars</w:t>
            </w:r>
            <w:r>
              <w:rPr>
                <w:rFonts w:ascii="Calibri" w:eastAsia="Calibri" w:hAnsi="Calibri" w:cs="Calibri"/>
                <w:spacing w:val="-2"/>
                <w:sz w:val="18"/>
                <w:szCs w:val="18"/>
              </w:rPr>
              <w:t xml:space="preserve"> </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pacing w:val="-1"/>
                <w:sz w:val="18"/>
                <w:szCs w:val="18"/>
              </w:rPr>
              <w:t>to provide specific</w:t>
            </w:r>
            <w:r>
              <w:rPr>
                <w:rFonts w:ascii="Calibri" w:eastAsia="Calibri" w:hAnsi="Calibri" w:cs="Calibri"/>
                <w:spacing w:val="-2"/>
                <w:sz w:val="18"/>
                <w:szCs w:val="18"/>
              </w:rPr>
              <w:t xml:space="preserve"> </w:t>
            </w:r>
            <w:r>
              <w:rPr>
                <w:rFonts w:ascii="Calibri" w:eastAsia="Calibri" w:hAnsi="Calibri" w:cs="Calibri"/>
                <w:spacing w:val="-1"/>
                <w:sz w:val="18"/>
                <w:szCs w:val="18"/>
              </w:rPr>
              <w:t>information</w:t>
            </w:r>
            <w:r>
              <w:rPr>
                <w:rFonts w:ascii="Calibri" w:eastAsia="Calibri" w:hAnsi="Calibri" w:cs="Calibri"/>
                <w:spacing w:val="-3"/>
                <w:sz w:val="18"/>
                <w:szCs w:val="18"/>
              </w:rPr>
              <w:t xml:space="preserve"> </w:t>
            </w:r>
            <w:r>
              <w:rPr>
                <w:rFonts w:ascii="Calibri" w:eastAsia="Calibri" w:hAnsi="Calibri" w:cs="Calibri"/>
                <w:sz w:val="18"/>
                <w:szCs w:val="18"/>
              </w:rPr>
              <w:t>on</w:t>
            </w:r>
            <w:r>
              <w:rPr>
                <w:rFonts w:ascii="Calibri" w:eastAsia="Calibri" w:hAnsi="Calibri" w:cs="Calibri"/>
                <w:spacing w:val="-3"/>
                <w:sz w:val="18"/>
                <w:szCs w:val="18"/>
              </w:rPr>
              <w:t xml:space="preserve"> </w:t>
            </w:r>
            <w:r>
              <w:rPr>
                <w:rFonts w:ascii="Calibri" w:eastAsia="Calibri" w:hAnsi="Calibri" w:cs="Calibri"/>
                <w:spacing w:val="-1"/>
                <w:sz w:val="18"/>
                <w:szCs w:val="18"/>
              </w:rPr>
              <w:t>program</w:t>
            </w:r>
            <w:r>
              <w:rPr>
                <w:rFonts w:ascii="Calibri" w:eastAsia="Calibri" w:hAnsi="Calibri" w:cs="Calibri"/>
                <w:spacing w:val="51"/>
                <w:w w:val="99"/>
                <w:sz w:val="18"/>
                <w:szCs w:val="18"/>
              </w:rPr>
              <w:t xml:space="preserve"> </w:t>
            </w:r>
            <w:r>
              <w:rPr>
                <w:rFonts w:ascii="Calibri" w:eastAsia="Calibri" w:hAnsi="Calibri" w:cs="Calibri"/>
                <w:spacing w:val="-1"/>
                <w:sz w:val="18"/>
                <w:szCs w:val="18"/>
              </w:rPr>
              <w:t>offerings</w:t>
            </w:r>
            <w:r>
              <w:rPr>
                <w:rFonts w:ascii="Calibri" w:eastAsia="Calibri" w:hAnsi="Calibri" w:cs="Calibri"/>
                <w:spacing w:val="-3"/>
                <w:sz w:val="18"/>
                <w:szCs w:val="18"/>
              </w:rPr>
              <w:t xml:space="preserve"> </w:t>
            </w:r>
            <w:r>
              <w:rPr>
                <w:rFonts w:ascii="Calibri" w:eastAsia="Calibri" w:hAnsi="Calibri" w:cs="Calibri"/>
                <w:sz w:val="18"/>
                <w:szCs w:val="18"/>
              </w:rPr>
              <w:t>and/or</w:t>
            </w:r>
            <w:r>
              <w:rPr>
                <w:rFonts w:ascii="Calibri" w:eastAsia="Calibri" w:hAnsi="Calibri" w:cs="Calibri"/>
                <w:spacing w:val="-3"/>
                <w:sz w:val="18"/>
                <w:szCs w:val="18"/>
              </w:rPr>
              <w:t xml:space="preserve"> </w:t>
            </w:r>
            <w:r>
              <w:rPr>
                <w:rFonts w:ascii="Calibri" w:eastAsia="Calibri" w:hAnsi="Calibri" w:cs="Calibri"/>
                <w:spacing w:val="-1"/>
                <w:sz w:val="18"/>
                <w:szCs w:val="18"/>
              </w:rPr>
              <w:t>changes</w:t>
            </w:r>
            <w:r>
              <w:rPr>
                <w:rFonts w:ascii="Calibri" w:eastAsia="Calibri" w:hAnsi="Calibri" w:cs="Calibri"/>
                <w:spacing w:val="-2"/>
                <w:sz w:val="18"/>
                <w:szCs w:val="18"/>
              </w:rPr>
              <w:t xml:space="preserve"> </w:t>
            </w:r>
            <w:r>
              <w:rPr>
                <w:rFonts w:ascii="Calibri" w:eastAsia="Calibri" w:hAnsi="Calibri" w:cs="Calibri"/>
                <w:spacing w:val="-1"/>
                <w:sz w:val="18"/>
                <w:szCs w:val="18"/>
              </w:rPr>
              <w:t>that</w:t>
            </w:r>
            <w:r>
              <w:rPr>
                <w:rFonts w:ascii="Calibri" w:eastAsia="Calibri" w:hAnsi="Calibri" w:cs="Calibri"/>
                <w:spacing w:val="-3"/>
                <w:sz w:val="18"/>
                <w:szCs w:val="18"/>
              </w:rPr>
              <w:t xml:space="preserve"> </w:t>
            </w:r>
            <w:r>
              <w:rPr>
                <w:rFonts w:ascii="Calibri" w:eastAsia="Calibri" w:hAnsi="Calibri" w:cs="Calibri"/>
                <w:sz w:val="18"/>
                <w:szCs w:val="18"/>
              </w:rPr>
              <w:t xml:space="preserve">are </w:t>
            </w:r>
            <w:r>
              <w:rPr>
                <w:rFonts w:ascii="Calibri" w:eastAsia="Calibri" w:hAnsi="Calibri" w:cs="Calibri"/>
                <w:spacing w:val="-1"/>
                <w:sz w:val="18"/>
                <w:szCs w:val="18"/>
              </w:rPr>
              <w:t>relevant</w:t>
            </w:r>
            <w:r>
              <w:rPr>
                <w:rFonts w:ascii="Calibri" w:eastAsia="Calibri" w:hAnsi="Calibri" w:cs="Calibri"/>
                <w:spacing w:val="-3"/>
                <w:sz w:val="18"/>
                <w:szCs w:val="18"/>
              </w:rPr>
              <w:t xml:space="preserve"> </w:t>
            </w:r>
            <w:r>
              <w:rPr>
                <w:rFonts w:ascii="Calibri" w:eastAsia="Calibri" w:hAnsi="Calibri" w:cs="Calibri"/>
                <w:spacing w:val="-1"/>
                <w:sz w:val="18"/>
                <w:szCs w:val="18"/>
              </w:rPr>
              <w:t xml:space="preserve">to them, </w:t>
            </w:r>
            <w:r>
              <w:rPr>
                <w:rFonts w:ascii="Calibri" w:eastAsia="Calibri" w:hAnsi="Calibri" w:cs="Calibri"/>
                <w:spacing w:val="-2"/>
                <w:sz w:val="18"/>
                <w:szCs w:val="18"/>
              </w:rPr>
              <w:t>and</w:t>
            </w:r>
            <w:r>
              <w:rPr>
                <w:rFonts w:ascii="Calibri" w:eastAsia="Calibri" w:hAnsi="Calibri" w:cs="Calibri"/>
                <w:spacing w:val="49"/>
                <w:sz w:val="18"/>
                <w:szCs w:val="18"/>
              </w:rPr>
              <w:t xml:space="preserve"> </w:t>
            </w:r>
            <w:r>
              <w:rPr>
                <w:rFonts w:ascii="Calibri" w:eastAsia="Calibri" w:hAnsi="Calibri" w:cs="Calibri"/>
                <w:spacing w:val="-1"/>
                <w:sz w:val="18"/>
                <w:szCs w:val="18"/>
              </w:rPr>
              <w:t>provide</w:t>
            </w:r>
            <w:r>
              <w:rPr>
                <w:rFonts w:ascii="Calibri" w:eastAsia="Calibri" w:hAnsi="Calibri" w:cs="Calibri"/>
                <w:spacing w:val="-4"/>
                <w:sz w:val="18"/>
                <w:szCs w:val="18"/>
              </w:rPr>
              <w:t xml:space="preserve"> </w:t>
            </w:r>
            <w:r>
              <w:rPr>
                <w:rFonts w:ascii="Calibri" w:eastAsia="Calibri" w:hAnsi="Calibri" w:cs="Calibri"/>
                <w:sz w:val="18"/>
                <w:szCs w:val="18"/>
              </w:rPr>
              <w:t>the</w:t>
            </w:r>
            <w:r>
              <w:rPr>
                <w:rFonts w:ascii="Calibri" w:eastAsia="Calibri" w:hAnsi="Calibri" w:cs="Calibri"/>
                <w:spacing w:val="-4"/>
                <w:sz w:val="18"/>
                <w:szCs w:val="18"/>
              </w:rPr>
              <w:t xml:space="preserve"> </w:t>
            </w:r>
            <w:r>
              <w:rPr>
                <w:rFonts w:ascii="Calibri" w:eastAsia="Calibri" w:hAnsi="Calibri" w:cs="Calibri"/>
                <w:spacing w:val="-1"/>
                <w:sz w:val="18"/>
                <w:szCs w:val="18"/>
              </w:rPr>
              <w:t>opportunity</w:t>
            </w:r>
            <w:r>
              <w:rPr>
                <w:rFonts w:ascii="Calibri" w:eastAsia="Calibri" w:hAnsi="Calibri" w:cs="Calibri"/>
                <w:spacing w:val="-3"/>
                <w:sz w:val="18"/>
                <w:szCs w:val="18"/>
              </w:rPr>
              <w:t xml:space="preserve"> </w:t>
            </w:r>
            <w:r>
              <w:rPr>
                <w:rFonts w:ascii="Calibri" w:eastAsia="Calibri" w:hAnsi="Calibri" w:cs="Calibri"/>
                <w:sz w:val="18"/>
                <w:szCs w:val="18"/>
              </w:rPr>
              <w:t>for</w:t>
            </w:r>
            <w:r>
              <w:rPr>
                <w:rFonts w:ascii="Calibri" w:eastAsia="Calibri" w:hAnsi="Calibri" w:cs="Calibri"/>
                <w:spacing w:val="-4"/>
                <w:sz w:val="18"/>
                <w:szCs w:val="18"/>
              </w:rPr>
              <w:t xml:space="preserve"> </w:t>
            </w:r>
            <w:r>
              <w:rPr>
                <w:rFonts w:ascii="Calibri" w:eastAsia="Calibri" w:hAnsi="Calibri" w:cs="Calibri"/>
                <w:spacing w:val="-1"/>
                <w:sz w:val="18"/>
                <w:szCs w:val="18"/>
              </w:rPr>
              <w:t>contractor</w:t>
            </w:r>
            <w:r>
              <w:rPr>
                <w:rFonts w:ascii="Calibri" w:eastAsia="Calibri" w:hAnsi="Calibri" w:cs="Calibri"/>
                <w:spacing w:val="-3"/>
                <w:sz w:val="18"/>
                <w:szCs w:val="18"/>
              </w:rPr>
              <w:t xml:space="preserve"> </w:t>
            </w:r>
            <w:r>
              <w:rPr>
                <w:rFonts w:ascii="Calibri" w:eastAsia="Calibri" w:hAnsi="Calibri" w:cs="Calibri"/>
                <w:spacing w:val="-1"/>
                <w:sz w:val="18"/>
                <w:szCs w:val="18"/>
              </w:rPr>
              <w:t>feedback.</w:t>
            </w:r>
          </w:p>
        </w:tc>
        <w:tc>
          <w:tcPr>
            <w:tcW w:w="468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670"/>
        </w:trPr>
        <w:tc>
          <w:tcPr>
            <w:tcW w:w="4680" w:type="dxa"/>
            <w:shd w:val="clear" w:color="auto" w:fill="D2EAF1"/>
          </w:tcPr>
          <w:p w:rsidR="00E646C9" w:rsidRDefault="00E646C9" w:rsidP="00C94D5A">
            <w:pPr>
              <w:pStyle w:val="TableParagraph"/>
              <w:ind w:left="102" w:right="193"/>
              <w:jc w:val="both"/>
              <w:rPr>
                <w:rFonts w:ascii="Calibri" w:eastAsia="Calibri" w:hAnsi="Calibri" w:cs="Calibri"/>
                <w:sz w:val="18"/>
                <w:szCs w:val="18"/>
              </w:rPr>
            </w:pPr>
            <w:r>
              <w:rPr>
                <w:rFonts w:ascii="Calibri"/>
                <w:spacing w:val="-1"/>
                <w:sz w:val="18"/>
              </w:rPr>
              <w:t>Continue</w:t>
            </w:r>
            <w:r>
              <w:rPr>
                <w:rFonts w:ascii="Calibri"/>
                <w:sz w:val="18"/>
              </w:rPr>
              <w:t xml:space="preserve"> </w:t>
            </w:r>
            <w:r>
              <w:rPr>
                <w:rFonts w:ascii="Calibri"/>
                <w:spacing w:val="-1"/>
                <w:sz w:val="18"/>
              </w:rPr>
              <w:t>to use individual</w:t>
            </w:r>
            <w:r>
              <w:rPr>
                <w:rFonts w:ascii="Calibri"/>
                <w:spacing w:val="1"/>
                <w:sz w:val="18"/>
              </w:rPr>
              <w:t xml:space="preserve"> </w:t>
            </w:r>
            <w:r>
              <w:rPr>
                <w:rFonts w:ascii="Calibri"/>
                <w:spacing w:val="-1"/>
                <w:sz w:val="18"/>
              </w:rPr>
              <w:t>Appliance</w:t>
            </w:r>
            <w:r>
              <w:rPr>
                <w:rFonts w:ascii="Calibri"/>
                <w:spacing w:val="-2"/>
                <w:sz w:val="18"/>
              </w:rPr>
              <w:t xml:space="preserve"> </w:t>
            </w:r>
            <w:r>
              <w:rPr>
                <w:rFonts w:ascii="Calibri"/>
                <w:spacing w:val="-1"/>
                <w:sz w:val="18"/>
              </w:rPr>
              <w:t>and</w:t>
            </w:r>
            <w:r>
              <w:rPr>
                <w:rFonts w:ascii="Calibri"/>
                <w:spacing w:val="-2"/>
                <w:sz w:val="18"/>
              </w:rPr>
              <w:t xml:space="preserve"> </w:t>
            </w:r>
            <w:r>
              <w:rPr>
                <w:rFonts w:ascii="Calibri"/>
                <w:sz w:val="18"/>
              </w:rPr>
              <w:t>HVAC</w:t>
            </w:r>
            <w:r>
              <w:rPr>
                <w:rFonts w:ascii="Calibri"/>
                <w:spacing w:val="-1"/>
                <w:sz w:val="18"/>
              </w:rPr>
              <w:t xml:space="preserve"> subprogram</w:t>
            </w:r>
            <w:r>
              <w:rPr>
                <w:rFonts w:ascii="Calibri"/>
                <w:spacing w:val="53"/>
                <w:w w:val="99"/>
                <w:sz w:val="18"/>
              </w:rPr>
              <w:t xml:space="preserve"> </w:t>
            </w:r>
            <w:r>
              <w:rPr>
                <w:rFonts w:ascii="Calibri"/>
                <w:sz w:val="18"/>
              </w:rPr>
              <w:t>NTG</w:t>
            </w:r>
            <w:r>
              <w:rPr>
                <w:rFonts w:ascii="Calibri"/>
                <w:spacing w:val="-3"/>
                <w:sz w:val="18"/>
              </w:rPr>
              <w:t xml:space="preserve"> </w:t>
            </w:r>
            <w:r>
              <w:rPr>
                <w:rFonts w:ascii="Calibri"/>
                <w:spacing w:val="-1"/>
                <w:sz w:val="18"/>
              </w:rPr>
              <w:t>ratios</w:t>
            </w:r>
            <w:r>
              <w:rPr>
                <w:rFonts w:ascii="Calibri"/>
                <w:spacing w:val="-3"/>
                <w:sz w:val="18"/>
              </w:rPr>
              <w:t xml:space="preserve"> </w:t>
            </w:r>
            <w:r>
              <w:rPr>
                <w:rFonts w:ascii="Calibri"/>
                <w:spacing w:val="-1"/>
                <w:sz w:val="18"/>
              </w:rPr>
              <w:t>during planning,</w:t>
            </w:r>
            <w:r>
              <w:rPr>
                <w:rFonts w:ascii="Calibri"/>
                <w:spacing w:val="-2"/>
                <w:sz w:val="18"/>
              </w:rPr>
              <w:t xml:space="preserve"> </w:t>
            </w:r>
            <w:r>
              <w:rPr>
                <w:rFonts w:ascii="Calibri"/>
                <w:spacing w:val="-1"/>
                <w:sz w:val="18"/>
              </w:rPr>
              <w:t>rather</w:t>
            </w:r>
            <w:r>
              <w:rPr>
                <w:rFonts w:ascii="Calibri"/>
                <w:spacing w:val="-3"/>
                <w:sz w:val="18"/>
              </w:rPr>
              <w:t xml:space="preserve"> </w:t>
            </w:r>
            <w:r>
              <w:rPr>
                <w:rFonts w:ascii="Calibri"/>
                <w:spacing w:val="-1"/>
                <w:sz w:val="18"/>
              </w:rPr>
              <w:t>than</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overall</w:t>
            </w:r>
            <w:r>
              <w:rPr>
                <w:rFonts w:ascii="Calibri"/>
                <w:spacing w:val="-3"/>
                <w:sz w:val="18"/>
              </w:rPr>
              <w:t xml:space="preserve"> </w:t>
            </w:r>
            <w:r>
              <w:rPr>
                <w:rFonts w:ascii="Calibri"/>
                <w:spacing w:val="-1"/>
                <w:sz w:val="18"/>
              </w:rPr>
              <w:t>program</w:t>
            </w:r>
            <w:r>
              <w:rPr>
                <w:rFonts w:ascii="Calibri"/>
                <w:spacing w:val="63"/>
                <w:w w:val="99"/>
                <w:sz w:val="18"/>
              </w:rPr>
              <w:t xml:space="preserve"> </w:t>
            </w:r>
            <w:r>
              <w:rPr>
                <w:rFonts w:ascii="Calibri"/>
                <w:sz w:val="18"/>
              </w:rPr>
              <w:t>NTG</w:t>
            </w:r>
            <w:r>
              <w:rPr>
                <w:rFonts w:ascii="Calibri"/>
                <w:spacing w:val="-5"/>
                <w:sz w:val="18"/>
              </w:rPr>
              <w:t xml:space="preserve"> </w:t>
            </w:r>
            <w:r>
              <w:rPr>
                <w:rFonts w:ascii="Calibri"/>
                <w:spacing w:val="-1"/>
                <w:sz w:val="18"/>
              </w:rPr>
              <w:t>ratio.</w:t>
            </w:r>
          </w:p>
        </w:tc>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449"/>
        </w:trPr>
        <w:tc>
          <w:tcPr>
            <w:tcW w:w="4680" w:type="dxa"/>
          </w:tcPr>
          <w:p w:rsidR="00E646C9" w:rsidRDefault="00E646C9" w:rsidP="00C94D5A">
            <w:pPr>
              <w:pStyle w:val="TableParagraph"/>
              <w:ind w:left="102" w:right="282"/>
              <w:rPr>
                <w:rFonts w:ascii="Calibri" w:eastAsia="Calibri" w:hAnsi="Calibri" w:cs="Calibri"/>
                <w:sz w:val="18"/>
                <w:szCs w:val="18"/>
              </w:rPr>
            </w:pPr>
            <w:r>
              <w:rPr>
                <w:rFonts w:ascii="Calibri"/>
                <w:spacing w:val="-1"/>
                <w:sz w:val="18"/>
              </w:rPr>
              <w:t>For</w:t>
            </w:r>
            <w:r>
              <w:rPr>
                <w:rFonts w:ascii="Calibri"/>
                <w:spacing w:val="-4"/>
                <w:sz w:val="18"/>
              </w:rPr>
              <w:t xml:space="preserve"> </w:t>
            </w:r>
            <w:r>
              <w:rPr>
                <w:rFonts w:ascii="Calibri"/>
                <w:spacing w:val="-1"/>
                <w:sz w:val="18"/>
              </w:rPr>
              <w:t>upstream</w:t>
            </w:r>
            <w:r>
              <w:rPr>
                <w:rFonts w:ascii="Calibri"/>
                <w:spacing w:val="-2"/>
                <w:sz w:val="18"/>
              </w:rPr>
              <w:t xml:space="preserve"> </w:t>
            </w:r>
            <w:r>
              <w:rPr>
                <w:rFonts w:ascii="Calibri"/>
                <w:spacing w:val="-1"/>
                <w:sz w:val="18"/>
              </w:rPr>
              <w:t>lighting,</w:t>
            </w:r>
            <w:r>
              <w:rPr>
                <w:rFonts w:ascii="Calibri"/>
                <w:spacing w:val="-3"/>
                <w:sz w:val="18"/>
              </w:rPr>
              <w:t xml:space="preserve"> </w:t>
            </w:r>
            <w:r>
              <w:rPr>
                <w:rFonts w:ascii="Calibri"/>
                <w:spacing w:val="-1"/>
                <w:sz w:val="18"/>
              </w:rPr>
              <w:t>report</w:t>
            </w:r>
            <w:r>
              <w:rPr>
                <w:rFonts w:ascii="Calibri"/>
                <w:spacing w:val="-3"/>
                <w:sz w:val="18"/>
              </w:rPr>
              <w:t xml:space="preserve"> </w:t>
            </w:r>
            <w:r>
              <w:rPr>
                <w:rFonts w:ascii="Calibri"/>
                <w:sz w:val="18"/>
              </w:rPr>
              <w:t>lamp</w:t>
            </w:r>
            <w:r>
              <w:rPr>
                <w:rFonts w:ascii="Calibri"/>
                <w:spacing w:val="-3"/>
                <w:sz w:val="18"/>
              </w:rPr>
              <w:t xml:space="preserve"> </w:t>
            </w:r>
            <w:r>
              <w:rPr>
                <w:rFonts w:ascii="Calibri"/>
                <w:spacing w:val="-1"/>
                <w:sz w:val="18"/>
              </w:rPr>
              <w:t>source</w:t>
            </w:r>
            <w:r>
              <w:rPr>
                <w:rFonts w:ascii="Calibri"/>
                <w:spacing w:val="-4"/>
                <w:sz w:val="18"/>
              </w:rPr>
              <w:t xml:space="preserve"> </w:t>
            </w:r>
            <w:r>
              <w:rPr>
                <w:rFonts w:ascii="Calibri"/>
                <w:spacing w:val="-1"/>
                <w:sz w:val="18"/>
              </w:rPr>
              <w:t>type,</w:t>
            </w:r>
            <w:r>
              <w:rPr>
                <w:rFonts w:ascii="Calibri"/>
                <w:spacing w:val="-2"/>
                <w:sz w:val="18"/>
              </w:rPr>
              <w:t xml:space="preserve"> </w:t>
            </w:r>
            <w:r>
              <w:rPr>
                <w:rFonts w:ascii="Calibri"/>
                <w:spacing w:val="-1"/>
                <w:sz w:val="18"/>
              </w:rPr>
              <w:t>lamp</w:t>
            </w:r>
            <w:r>
              <w:rPr>
                <w:rFonts w:ascii="Calibri"/>
                <w:spacing w:val="-3"/>
                <w:sz w:val="18"/>
              </w:rPr>
              <w:t xml:space="preserve"> </w:t>
            </w:r>
            <w:r>
              <w:rPr>
                <w:rFonts w:ascii="Calibri"/>
                <w:spacing w:val="-1"/>
                <w:sz w:val="18"/>
              </w:rPr>
              <w:t>type,</w:t>
            </w:r>
            <w:r>
              <w:rPr>
                <w:rFonts w:ascii="Calibri"/>
                <w:spacing w:val="63"/>
                <w:w w:val="99"/>
                <w:sz w:val="18"/>
              </w:rPr>
              <w:t xml:space="preserve"> </w:t>
            </w:r>
            <w:r>
              <w:rPr>
                <w:rFonts w:ascii="Calibri"/>
                <w:spacing w:val="-1"/>
                <w:sz w:val="18"/>
              </w:rPr>
              <w:t>wattage,</w:t>
            </w:r>
            <w:r>
              <w:rPr>
                <w:rFonts w:ascii="Calibri"/>
                <w:spacing w:val="-3"/>
                <w:sz w:val="18"/>
              </w:rPr>
              <w:t xml:space="preserve"> </w:t>
            </w:r>
            <w:r>
              <w:rPr>
                <w:rFonts w:ascii="Calibri"/>
                <w:spacing w:val="-1"/>
                <w:sz w:val="18"/>
              </w:rPr>
              <w:t>lumens</w:t>
            </w:r>
            <w:r>
              <w:rPr>
                <w:rFonts w:ascii="Calibri"/>
                <w:spacing w:val="-4"/>
                <w:sz w:val="18"/>
              </w:rPr>
              <w:t xml:space="preserve"> </w:t>
            </w:r>
            <w:r>
              <w:rPr>
                <w:rFonts w:ascii="Calibri"/>
                <w:spacing w:val="-1"/>
                <w:sz w:val="18"/>
              </w:rPr>
              <w:t>in</w:t>
            </w:r>
            <w:r>
              <w:rPr>
                <w:rFonts w:ascii="Calibri"/>
                <w:spacing w:val="-3"/>
                <w:sz w:val="18"/>
              </w:rPr>
              <w:t xml:space="preserve"> </w:t>
            </w:r>
            <w:r>
              <w:rPr>
                <w:rFonts w:ascii="Calibri"/>
                <w:sz w:val="18"/>
              </w:rPr>
              <w:t>the</w:t>
            </w:r>
            <w:r>
              <w:rPr>
                <w:rFonts w:ascii="Calibri"/>
                <w:spacing w:val="-4"/>
                <w:sz w:val="18"/>
              </w:rPr>
              <w:t xml:space="preserve"> </w:t>
            </w:r>
            <w:r>
              <w:rPr>
                <w:rFonts w:ascii="Calibri"/>
                <w:sz w:val="18"/>
              </w:rPr>
              <w:t>T&amp;R</w:t>
            </w:r>
            <w:r>
              <w:rPr>
                <w:rFonts w:ascii="Calibri"/>
                <w:spacing w:val="-3"/>
                <w:sz w:val="18"/>
              </w:rPr>
              <w:t xml:space="preserve"> </w:t>
            </w:r>
            <w:r>
              <w:rPr>
                <w:rFonts w:ascii="Calibri"/>
                <w:spacing w:val="-1"/>
                <w:sz w:val="18"/>
              </w:rPr>
              <w:t>system.</w:t>
            </w:r>
          </w:p>
        </w:tc>
        <w:tc>
          <w:tcPr>
            <w:tcW w:w="468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2"/>
        </w:trPr>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z w:val="18"/>
              </w:rPr>
              <w:t>Remove</w:t>
            </w:r>
            <w:r>
              <w:rPr>
                <w:rFonts w:ascii="Calibri"/>
                <w:spacing w:val="-4"/>
                <w:sz w:val="18"/>
              </w:rPr>
              <w:t xml:space="preserve"> </w:t>
            </w:r>
            <w:r>
              <w:rPr>
                <w:rFonts w:ascii="Calibri"/>
                <w:spacing w:val="-1"/>
                <w:sz w:val="18"/>
              </w:rPr>
              <w:t>the</w:t>
            </w:r>
            <w:r>
              <w:rPr>
                <w:rFonts w:ascii="Calibri"/>
                <w:spacing w:val="-3"/>
                <w:sz w:val="18"/>
              </w:rPr>
              <w:t xml:space="preserve"> </w:t>
            </w:r>
            <w:r>
              <w:rPr>
                <w:rFonts w:ascii="Calibri"/>
                <w:spacing w:val="-1"/>
                <w:sz w:val="18"/>
              </w:rPr>
              <w:t>EDC</w:t>
            </w:r>
            <w:r>
              <w:rPr>
                <w:rFonts w:ascii="Calibri"/>
                <w:spacing w:val="-3"/>
                <w:sz w:val="18"/>
              </w:rPr>
              <w:t xml:space="preserve"> </w:t>
            </w:r>
            <w:r>
              <w:rPr>
                <w:rFonts w:ascii="Calibri"/>
                <w:spacing w:val="-1"/>
                <w:sz w:val="18"/>
              </w:rPr>
              <w:t>name</w:t>
            </w:r>
            <w:r>
              <w:rPr>
                <w:rFonts w:ascii="Calibri"/>
                <w:spacing w:val="-3"/>
                <w:sz w:val="18"/>
              </w:rPr>
              <w:t xml:space="preserve"> </w:t>
            </w:r>
            <w:r>
              <w:rPr>
                <w:rFonts w:ascii="Calibri"/>
                <w:sz w:val="18"/>
              </w:rPr>
              <w:t>from</w:t>
            </w:r>
            <w:r>
              <w:rPr>
                <w:rFonts w:ascii="Calibri"/>
                <w:spacing w:val="-3"/>
                <w:sz w:val="18"/>
              </w:rPr>
              <w:t xml:space="preserve"> </w:t>
            </w:r>
            <w:r>
              <w:rPr>
                <w:rFonts w:ascii="Calibri"/>
                <w:spacing w:val="-1"/>
                <w:sz w:val="18"/>
              </w:rPr>
              <w:t>equipment</w:t>
            </w:r>
            <w:r>
              <w:rPr>
                <w:rFonts w:ascii="Calibri"/>
                <w:sz w:val="18"/>
              </w:rPr>
              <w:t xml:space="preserve"> </w:t>
            </w:r>
            <w:r>
              <w:rPr>
                <w:rFonts w:ascii="Calibri"/>
                <w:spacing w:val="-1"/>
                <w:sz w:val="18"/>
              </w:rPr>
              <w:t>descriptions</w:t>
            </w:r>
          </w:p>
        </w:tc>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51"/>
        </w:trPr>
        <w:tc>
          <w:tcPr>
            <w:tcW w:w="4680" w:type="dxa"/>
          </w:tcPr>
          <w:p w:rsidR="00E646C9" w:rsidRDefault="00E646C9" w:rsidP="00C94D5A">
            <w:pPr>
              <w:pStyle w:val="TableParagraph"/>
              <w:ind w:left="102" w:right="116"/>
              <w:rPr>
                <w:rFonts w:ascii="Calibri" w:eastAsia="Calibri" w:hAnsi="Calibri" w:cs="Calibri"/>
                <w:sz w:val="18"/>
                <w:szCs w:val="18"/>
              </w:rPr>
            </w:pPr>
            <w:r>
              <w:rPr>
                <w:rFonts w:ascii="Calibri"/>
                <w:spacing w:val="-1"/>
                <w:sz w:val="18"/>
              </w:rPr>
              <w:t>Continue</w:t>
            </w:r>
            <w:r>
              <w:rPr>
                <w:rFonts w:ascii="Calibri"/>
                <w:spacing w:val="-2"/>
                <w:sz w:val="18"/>
              </w:rPr>
              <w:t xml:space="preserve"> </w:t>
            </w:r>
            <w:r>
              <w:rPr>
                <w:rFonts w:ascii="Calibri"/>
                <w:spacing w:val="-1"/>
                <w:sz w:val="18"/>
              </w:rPr>
              <w:t>to</w:t>
            </w:r>
            <w:r>
              <w:rPr>
                <w:rFonts w:ascii="Calibri"/>
                <w:spacing w:val="-2"/>
                <w:sz w:val="18"/>
              </w:rPr>
              <w:t xml:space="preserve"> </w:t>
            </w:r>
            <w:r>
              <w:rPr>
                <w:rFonts w:ascii="Calibri"/>
                <w:spacing w:val="-1"/>
                <w:sz w:val="18"/>
              </w:rPr>
              <w:t>engage</w:t>
            </w:r>
            <w:r>
              <w:rPr>
                <w:rFonts w:ascii="Calibri"/>
                <w:spacing w:val="-4"/>
                <w:sz w:val="18"/>
              </w:rPr>
              <w:t xml:space="preserve"> </w:t>
            </w:r>
            <w:r>
              <w:rPr>
                <w:rFonts w:ascii="Calibri"/>
                <w:spacing w:val="-1"/>
                <w:sz w:val="18"/>
              </w:rPr>
              <w:t>participating retailers</w:t>
            </w:r>
            <w:r>
              <w:rPr>
                <w:rFonts w:ascii="Calibri"/>
                <w:spacing w:val="-4"/>
                <w:sz w:val="18"/>
              </w:rPr>
              <w:t xml:space="preserve"> </w:t>
            </w:r>
            <w:r>
              <w:rPr>
                <w:rFonts w:ascii="Calibri"/>
                <w:spacing w:val="-1"/>
                <w:sz w:val="18"/>
              </w:rPr>
              <w:t>in</w:t>
            </w:r>
            <w:r>
              <w:rPr>
                <w:rFonts w:ascii="Calibri"/>
                <w:spacing w:val="-2"/>
                <w:sz w:val="18"/>
              </w:rPr>
              <w:t xml:space="preserve"> </w:t>
            </w:r>
            <w:r>
              <w:rPr>
                <w:rFonts w:ascii="Calibri"/>
                <w:spacing w:val="-1"/>
                <w:sz w:val="18"/>
              </w:rPr>
              <w:t>program</w:t>
            </w:r>
            <w:r>
              <w:rPr>
                <w:rFonts w:ascii="Calibri"/>
                <w:spacing w:val="-3"/>
                <w:sz w:val="18"/>
              </w:rPr>
              <w:t xml:space="preserve"> </w:t>
            </w:r>
            <w:r>
              <w:rPr>
                <w:rFonts w:ascii="Calibri"/>
                <w:spacing w:val="-1"/>
                <w:sz w:val="18"/>
              </w:rPr>
              <w:t>design,</w:t>
            </w:r>
            <w:r>
              <w:rPr>
                <w:rFonts w:ascii="Calibri"/>
                <w:spacing w:val="58"/>
                <w:w w:val="99"/>
                <w:sz w:val="18"/>
              </w:rPr>
              <w:t xml:space="preserve"> </w:t>
            </w:r>
            <w:r>
              <w:rPr>
                <w:rFonts w:ascii="Calibri"/>
                <w:spacing w:val="-1"/>
                <w:sz w:val="18"/>
              </w:rPr>
              <w:t>implementation,</w:t>
            </w:r>
            <w:r>
              <w:rPr>
                <w:rFonts w:ascii="Calibri"/>
                <w:spacing w:val="-5"/>
                <w:sz w:val="18"/>
              </w:rPr>
              <w:t xml:space="preserve"> </w:t>
            </w:r>
            <w:r>
              <w:rPr>
                <w:rFonts w:ascii="Calibri"/>
                <w:spacing w:val="-1"/>
                <w:sz w:val="18"/>
              </w:rPr>
              <w:t>and</w:t>
            </w:r>
            <w:r>
              <w:rPr>
                <w:rFonts w:ascii="Calibri"/>
                <w:spacing w:val="-5"/>
                <w:sz w:val="18"/>
              </w:rPr>
              <w:t xml:space="preserve"> </w:t>
            </w:r>
            <w:r>
              <w:rPr>
                <w:rFonts w:ascii="Calibri"/>
                <w:spacing w:val="-1"/>
                <w:sz w:val="18"/>
              </w:rPr>
              <w:t>marketing</w:t>
            </w:r>
            <w:r>
              <w:rPr>
                <w:rFonts w:ascii="Calibri"/>
                <w:spacing w:val="-6"/>
                <w:sz w:val="18"/>
              </w:rPr>
              <w:t xml:space="preserve"> </w:t>
            </w:r>
            <w:r>
              <w:rPr>
                <w:rFonts w:ascii="Calibri"/>
                <w:spacing w:val="-1"/>
                <w:sz w:val="18"/>
              </w:rPr>
              <w:t>efforts.</w:t>
            </w:r>
          </w:p>
        </w:tc>
        <w:tc>
          <w:tcPr>
            <w:tcW w:w="468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667"/>
        </w:trPr>
        <w:tc>
          <w:tcPr>
            <w:tcW w:w="4680" w:type="dxa"/>
            <w:shd w:val="clear" w:color="auto" w:fill="D2EAF1"/>
          </w:tcPr>
          <w:p w:rsidR="00E646C9" w:rsidRDefault="00E646C9" w:rsidP="00C94D5A">
            <w:pPr>
              <w:pStyle w:val="TableParagraph"/>
              <w:ind w:left="102" w:right="98"/>
              <w:jc w:val="both"/>
              <w:rPr>
                <w:rFonts w:ascii="Calibri" w:eastAsia="Calibri" w:hAnsi="Calibri" w:cs="Calibri"/>
                <w:sz w:val="18"/>
                <w:szCs w:val="18"/>
              </w:rPr>
            </w:pPr>
            <w:r>
              <w:rPr>
                <w:rFonts w:ascii="Calibri"/>
                <w:spacing w:val="-1"/>
                <w:sz w:val="18"/>
              </w:rPr>
              <w:t>Continue</w:t>
            </w:r>
            <w:r>
              <w:rPr>
                <w:rFonts w:ascii="Calibri"/>
                <w:spacing w:val="-9"/>
                <w:sz w:val="18"/>
              </w:rPr>
              <w:t xml:space="preserve"> </w:t>
            </w:r>
            <w:r>
              <w:rPr>
                <w:rFonts w:ascii="Calibri"/>
                <w:spacing w:val="-1"/>
                <w:sz w:val="18"/>
              </w:rPr>
              <w:t>direct</w:t>
            </w:r>
            <w:r>
              <w:rPr>
                <w:rFonts w:ascii="Calibri"/>
                <w:spacing w:val="-8"/>
                <w:sz w:val="18"/>
              </w:rPr>
              <w:t xml:space="preserve"> </w:t>
            </w:r>
            <w:r>
              <w:rPr>
                <w:rFonts w:ascii="Calibri"/>
                <w:spacing w:val="-1"/>
                <w:sz w:val="18"/>
              </w:rPr>
              <w:t>marketing</w:t>
            </w:r>
            <w:r>
              <w:rPr>
                <w:rFonts w:ascii="Calibri"/>
                <w:spacing w:val="-8"/>
                <w:sz w:val="18"/>
              </w:rPr>
              <w:t xml:space="preserve"> </w:t>
            </w:r>
            <w:r>
              <w:rPr>
                <w:rFonts w:ascii="Calibri"/>
                <w:spacing w:val="-1"/>
                <w:sz w:val="18"/>
              </w:rPr>
              <w:t>and</w:t>
            </w:r>
            <w:r>
              <w:rPr>
                <w:rFonts w:ascii="Calibri"/>
                <w:spacing w:val="-8"/>
                <w:sz w:val="18"/>
              </w:rPr>
              <w:t xml:space="preserve"> </w:t>
            </w:r>
            <w:r>
              <w:rPr>
                <w:rFonts w:ascii="Calibri"/>
                <w:spacing w:val="-1"/>
                <w:sz w:val="18"/>
              </w:rPr>
              <w:t>outreach</w:t>
            </w:r>
            <w:r>
              <w:rPr>
                <w:rFonts w:ascii="Calibri"/>
                <w:spacing w:val="-8"/>
                <w:sz w:val="18"/>
              </w:rPr>
              <w:t xml:space="preserve"> </w:t>
            </w:r>
            <w:r>
              <w:rPr>
                <w:rFonts w:ascii="Calibri"/>
                <w:spacing w:val="-1"/>
                <w:sz w:val="18"/>
              </w:rPr>
              <w:t>efforts</w:t>
            </w:r>
            <w:r>
              <w:rPr>
                <w:rFonts w:ascii="Calibri"/>
                <w:spacing w:val="-8"/>
                <w:sz w:val="18"/>
              </w:rPr>
              <w:t xml:space="preserve"> </w:t>
            </w:r>
            <w:r>
              <w:rPr>
                <w:rFonts w:ascii="Calibri"/>
                <w:spacing w:val="-1"/>
                <w:sz w:val="18"/>
              </w:rPr>
              <w:t>to</w:t>
            </w:r>
            <w:r>
              <w:rPr>
                <w:rFonts w:ascii="Calibri"/>
                <w:spacing w:val="-6"/>
                <w:sz w:val="18"/>
              </w:rPr>
              <w:t xml:space="preserve"> </w:t>
            </w:r>
            <w:r>
              <w:rPr>
                <w:rFonts w:ascii="Calibri"/>
                <w:spacing w:val="-1"/>
                <w:sz w:val="18"/>
              </w:rPr>
              <w:t>customers,</w:t>
            </w:r>
            <w:r>
              <w:rPr>
                <w:rFonts w:ascii="Calibri"/>
                <w:spacing w:val="65"/>
                <w:w w:val="99"/>
                <w:sz w:val="18"/>
              </w:rPr>
              <w:t xml:space="preserve"> </w:t>
            </w:r>
            <w:r>
              <w:rPr>
                <w:rFonts w:ascii="Calibri"/>
                <w:sz w:val="18"/>
              </w:rPr>
              <w:t>as</w:t>
            </w:r>
            <w:r>
              <w:rPr>
                <w:rFonts w:ascii="Calibri"/>
                <w:spacing w:val="14"/>
                <w:sz w:val="18"/>
              </w:rPr>
              <w:t xml:space="preserve"> </w:t>
            </w:r>
            <w:r>
              <w:rPr>
                <w:rFonts w:ascii="Calibri"/>
                <w:spacing w:val="-1"/>
                <w:sz w:val="18"/>
              </w:rPr>
              <w:t>well</w:t>
            </w:r>
            <w:r>
              <w:rPr>
                <w:rFonts w:ascii="Calibri"/>
                <w:spacing w:val="15"/>
                <w:sz w:val="18"/>
              </w:rPr>
              <w:t xml:space="preserve"> </w:t>
            </w:r>
            <w:r>
              <w:rPr>
                <w:rFonts w:ascii="Calibri"/>
                <w:spacing w:val="1"/>
                <w:sz w:val="18"/>
              </w:rPr>
              <w:t>as</w:t>
            </w:r>
            <w:r>
              <w:rPr>
                <w:rFonts w:ascii="Calibri"/>
                <w:spacing w:val="14"/>
                <w:sz w:val="18"/>
              </w:rPr>
              <w:t xml:space="preserve"> </w:t>
            </w:r>
            <w:r>
              <w:rPr>
                <w:rFonts w:ascii="Calibri"/>
                <w:spacing w:val="-1"/>
                <w:sz w:val="18"/>
              </w:rPr>
              <w:t>cross-marketing</w:t>
            </w:r>
            <w:r>
              <w:rPr>
                <w:rFonts w:ascii="Calibri"/>
                <w:spacing w:val="17"/>
                <w:sz w:val="18"/>
              </w:rPr>
              <w:t xml:space="preserve"> </w:t>
            </w:r>
            <w:r>
              <w:rPr>
                <w:rFonts w:ascii="Calibri"/>
                <w:sz w:val="18"/>
              </w:rPr>
              <w:t>such</w:t>
            </w:r>
            <w:r>
              <w:rPr>
                <w:rFonts w:ascii="Calibri"/>
                <w:spacing w:val="14"/>
                <w:sz w:val="18"/>
              </w:rPr>
              <w:t xml:space="preserve"> </w:t>
            </w:r>
            <w:r>
              <w:rPr>
                <w:rFonts w:ascii="Calibri"/>
                <w:sz w:val="18"/>
              </w:rPr>
              <w:t>as</w:t>
            </w:r>
            <w:r>
              <w:rPr>
                <w:rFonts w:ascii="Calibri"/>
                <w:spacing w:val="15"/>
                <w:sz w:val="18"/>
              </w:rPr>
              <w:t xml:space="preserve"> </w:t>
            </w:r>
            <w:r>
              <w:rPr>
                <w:rFonts w:ascii="Calibri"/>
                <w:spacing w:val="-1"/>
                <w:sz w:val="18"/>
              </w:rPr>
              <w:t>retailer</w:t>
            </w:r>
            <w:r>
              <w:rPr>
                <w:rFonts w:ascii="Calibri"/>
                <w:spacing w:val="14"/>
                <w:sz w:val="18"/>
              </w:rPr>
              <w:t xml:space="preserve"> </w:t>
            </w:r>
            <w:r>
              <w:rPr>
                <w:rFonts w:ascii="Calibri"/>
                <w:spacing w:val="-1"/>
                <w:sz w:val="18"/>
              </w:rPr>
              <w:t>displays</w:t>
            </w:r>
            <w:r>
              <w:rPr>
                <w:rFonts w:ascii="Calibri"/>
                <w:spacing w:val="15"/>
                <w:sz w:val="18"/>
              </w:rPr>
              <w:t xml:space="preserve"> </w:t>
            </w:r>
            <w:r>
              <w:rPr>
                <w:rFonts w:ascii="Calibri"/>
                <w:sz w:val="18"/>
              </w:rPr>
              <w:t>and</w:t>
            </w:r>
            <w:r>
              <w:rPr>
                <w:rFonts w:ascii="Calibri"/>
                <w:spacing w:val="55"/>
                <w:sz w:val="18"/>
              </w:rPr>
              <w:t xml:space="preserve"> </w:t>
            </w:r>
            <w:r>
              <w:rPr>
                <w:rFonts w:ascii="Calibri"/>
                <w:spacing w:val="-1"/>
                <w:sz w:val="18"/>
              </w:rPr>
              <w:t>signage,</w:t>
            </w:r>
            <w:r>
              <w:rPr>
                <w:rFonts w:ascii="Calibri"/>
                <w:spacing w:val="-3"/>
                <w:sz w:val="18"/>
              </w:rPr>
              <w:t xml:space="preserve"> </w:t>
            </w:r>
            <w:r>
              <w:rPr>
                <w:rFonts w:ascii="Calibri"/>
                <w:spacing w:val="-1"/>
                <w:sz w:val="18"/>
              </w:rPr>
              <w:t>to further</w:t>
            </w:r>
            <w:r>
              <w:rPr>
                <w:rFonts w:ascii="Calibri"/>
                <w:spacing w:val="-4"/>
                <w:sz w:val="18"/>
              </w:rPr>
              <w:t xml:space="preserve"> </w:t>
            </w:r>
            <w:r>
              <w:rPr>
                <w:rFonts w:ascii="Calibri"/>
                <w:spacing w:val="-1"/>
                <w:sz w:val="18"/>
              </w:rPr>
              <w:t>increase</w:t>
            </w:r>
            <w:r>
              <w:rPr>
                <w:rFonts w:ascii="Calibri"/>
                <w:spacing w:val="-3"/>
                <w:sz w:val="18"/>
              </w:rPr>
              <w:t xml:space="preserve"> </w:t>
            </w:r>
            <w:r>
              <w:rPr>
                <w:rFonts w:ascii="Calibri"/>
                <w:spacing w:val="-1"/>
                <w:sz w:val="18"/>
              </w:rPr>
              <w:t>awareness</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FE programs</w:t>
            </w:r>
          </w:p>
        </w:tc>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670"/>
        </w:trPr>
        <w:tc>
          <w:tcPr>
            <w:tcW w:w="4680" w:type="dxa"/>
          </w:tcPr>
          <w:p w:rsidR="00E646C9" w:rsidRDefault="00E646C9" w:rsidP="00C94D5A">
            <w:pPr>
              <w:pStyle w:val="TableParagraph"/>
              <w:ind w:left="102" w:right="97"/>
              <w:jc w:val="both"/>
              <w:rPr>
                <w:rFonts w:ascii="Calibri" w:eastAsia="Calibri" w:hAnsi="Calibri" w:cs="Calibri"/>
                <w:sz w:val="18"/>
                <w:szCs w:val="18"/>
              </w:rPr>
            </w:pPr>
            <w:r>
              <w:rPr>
                <w:rFonts w:ascii="Calibri"/>
                <w:spacing w:val="-1"/>
                <w:sz w:val="18"/>
              </w:rPr>
              <w:t>Consider</w:t>
            </w:r>
            <w:r>
              <w:rPr>
                <w:rFonts w:ascii="Calibri"/>
                <w:spacing w:val="12"/>
                <w:sz w:val="18"/>
              </w:rPr>
              <w:t xml:space="preserve"> </w:t>
            </w:r>
            <w:r>
              <w:rPr>
                <w:rFonts w:ascii="Calibri"/>
                <w:spacing w:val="-1"/>
                <w:sz w:val="18"/>
              </w:rPr>
              <w:t>additional</w:t>
            </w:r>
            <w:r>
              <w:rPr>
                <w:rFonts w:ascii="Calibri"/>
                <w:spacing w:val="12"/>
                <w:sz w:val="18"/>
              </w:rPr>
              <w:t xml:space="preserve"> </w:t>
            </w:r>
            <w:r>
              <w:rPr>
                <w:rFonts w:ascii="Calibri"/>
                <w:spacing w:val="-1"/>
                <w:sz w:val="18"/>
              </w:rPr>
              <w:t>outreach</w:t>
            </w:r>
            <w:r>
              <w:rPr>
                <w:rFonts w:ascii="Calibri"/>
                <w:spacing w:val="11"/>
                <w:sz w:val="18"/>
              </w:rPr>
              <w:t xml:space="preserve"> </w:t>
            </w:r>
            <w:r>
              <w:rPr>
                <w:rFonts w:ascii="Calibri"/>
                <w:sz w:val="18"/>
              </w:rPr>
              <w:t>efforts</w:t>
            </w:r>
            <w:r>
              <w:rPr>
                <w:rFonts w:ascii="Calibri"/>
                <w:spacing w:val="12"/>
                <w:sz w:val="18"/>
              </w:rPr>
              <w:t xml:space="preserve"> </w:t>
            </w:r>
            <w:r>
              <w:rPr>
                <w:rFonts w:ascii="Calibri"/>
                <w:spacing w:val="-1"/>
                <w:sz w:val="18"/>
              </w:rPr>
              <w:t>to</w:t>
            </w:r>
            <w:r>
              <w:rPr>
                <w:rFonts w:ascii="Calibri"/>
                <w:spacing w:val="13"/>
                <w:sz w:val="18"/>
              </w:rPr>
              <w:t xml:space="preserve"> </w:t>
            </w:r>
            <w:r>
              <w:rPr>
                <w:rFonts w:ascii="Calibri"/>
                <w:spacing w:val="-1"/>
                <w:sz w:val="18"/>
              </w:rPr>
              <w:t>inform</w:t>
            </w:r>
            <w:r>
              <w:rPr>
                <w:rFonts w:ascii="Calibri"/>
                <w:spacing w:val="10"/>
                <w:sz w:val="18"/>
              </w:rPr>
              <w:t xml:space="preserve"> </w:t>
            </w:r>
            <w:r>
              <w:rPr>
                <w:rFonts w:ascii="Calibri"/>
                <w:spacing w:val="-1"/>
                <w:sz w:val="18"/>
              </w:rPr>
              <w:t>customers</w:t>
            </w:r>
            <w:r>
              <w:rPr>
                <w:rFonts w:ascii="Calibri"/>
                <w:spacing w:val="12"/>
                <w:sz w:val="18"/>
              </w:rPr>
              <w:t xml:space="preserve"> </w:t>
            </w:r>
            <w:r>
              <w:rPr>
                <w:rFonts w:ascii="Calibri"/>
                <w:sz w:val="18"/>
              </w:rPr>
              <w:t>of</w:t>
            </w:r>
            <w:r>
              <w:rPr>
                <w:rFonts w:ascii="Calibri"/>
                <w:spacing w:val="55"/>
                <w:sz w:val="18"/>
              </w:rPr>
              <w:t xml:space="preserve"> </w:t>
            </w:r>
            <w:r>
              <w:rPr>
                <w:rFonts w:ascii="Calibri"/>
                <w:spacing w:val="-1"/>
                <w:sz w:val="18"/>
              </w:rPr>
              <w:t>the</w:t>
            </w:r>
            <w:r>
              <w:rPr>
                <w:rFonts w:ascii="Calibri"/>
                <w:spacing w:val="8"/>
                <w:sz w:val="18"/>
              </w:rPr>
              <w:t xml:space="preserve"> </w:t>
            </w:r>
            <w:r>
              <w:rPr>
                <w:rFonts w:ascii="Calibri"/>
                <w:spacing w:val="-1"/>
                <w:sz w:val="18"/>
              </w:rPr>
              <w:t>energy</w:t>
            </w:r>
            <w:r>
              <w:rPr>
                <w:rFonts w:ascii="Calibri"/>
                <w:spacing w:val="6"/>
                <w:sz w:val="18"/>
              </w:rPr>
              <w:t xml:space="preserve"> </w:t>
            </w:r>
            <w:r>
              <w:rPr>
                <w:rFonts w:ascii="Calibri"/>
                <w:sz w:val="18"/>
              </w:rPr>
              <w:t>and</w:t>
            </w:r>
            <w:r>
              <w:rPr>
                <w:rFonts w:ascii="Calibri"/>
                <w:spacing w:val="9"/>
                <w:sz w:val="18"/>
              </w:rPr>
              <w:t xml:space="preserve"> </w:t>
            </w:r>
            <w:r>
              <w:rPr>
                <w:rFonts w:ascii="Calibri"/>
                <w:spacing w:val="-1"/>
                <w:sz w:val="18"/>
              </w:rPr>
              <w:t>non-energy</w:t>
            </w:r>
            <w:r>
              <w:rPr>
                <w:rFonts w:ascii="Calibri"/>
                <w:spacing w:val="9"/>
                <w:sz w:val="18"/>
              </w:rPr>
              <w:t xml:space="preserve"> </w:t>
            </w:r>
            <w:r>
              <w:rPr>
                <w:rFonts w:ascii="Calibri"/>
                <w:spacing w:val="-1"/>
                <w:sz w:val="18"/>
              </w:rPr>
              <w:t>related</w:t>
            </w:r>
            <w:r>
              <w:rPr>
                <w:rFonts w:ascii="Calibri"/>
                <w:spacing w:val="8"/>
                <w:sz w:val="18"/>
              </w:rPr>
              <w:t xml:space="preserve"> </w:t>
            </w:r>
            <w:r>
              <w:rPr>
                <w:rFonts w:ascii="Calibri"/>
                <w:spacing w:val="-1"/>
                <w:sz w:val="18"/>
              </w:rPr>
              <w:t>benefits</w:t>
            </w:r>
            <w:r>
              <w:rPr>
                <w:rFonts w:ascii="Calibri"/>
                <w:spacing w:val="9"/>
                <w:sz w:val="18"/>
              </w:rPr>
              <w:t xml:space="preserve"> </w:t>
            </w:r>
            <w:r>
              <w:rPr>
                <w:rFonts w:ascii="Calibri"/>
                <w:sz w:val="18"/>
              </w:rPr>
              <w:t>of</w:t>
            </w:r>
            <w:r>
              <w:rPr>
                <w:rFonts w:ascii="Calibri"/>
                <w:spacing w:val="7"/>
                <w:sz w:val="18"/>
              </w:rPr>
              <w:t xml:space="preserve"> </w:t>
            </w:r>
            <w:r>
              <w:rPr>
                <w:rFonts w:ascii="Calibri"/>
                <w:spacing w:val="-1"/>
                <w:sz w:val="18"/>
              </w:rPr>
              <w:t>program-</w:t>
            </w:r>
            <w:r>
              <w:rPr>
                <w:rFonts w:ascii="Calibri"/>
                <w:spacing w:val="45"/>
                <w:sz w:val="18"/>
              </w:rPr>
              <w:t xml:space="preserve"> </w:t>
            </w:r>
            <w:r>
              <w:rPr>
                <w:rFonts w:ascii="Calibri"/>
                <w:spacing w:val="-1"/>
                <w:sz w:val="18"/>
              </w:rPr>
              <w:t>qualifying</w:t>
            </w:r>
            <w:r>
              <w:rPr>
                <w:rFonts w:ascii="Calibri"/>
                <w:spacing w:val="-2"/>
                <w:sz w:val="18"/>
              </w:rPr>
              <w:t xml:space="preserve"> </w:t>
            </w:r>
            <w:r>
              <w:rPr>
                <w:rFonts w:ascii="Calibri"/>
                <w:sz w:val="18"/>
              </w:rPr>
              <w:t>LED</w:t>
            </w:r>
            <w:r>
              <w:rPr>
                <w:rFonts w:ascii="Calibri"/>
                <w:spacing w:val="-1"/>
                <w:sz w:val="18"/>
              </w:rPr>
              <w:t xml:space="preserve"> bulbs.</w:t>
            </w:r>
          </w:p>
        </w:tc>
        <w:tc>
          <w:tcPr>
            <w:tcW w:w="4680" w:type="dxa"/>
          </w:tcPr>
          <w:p w:rsidR="00E646C9" w:rsidRDefault="00E646C9" w:rsidP="00C94D5A">
            <w:pPr>
              <w:pStyle w:val="TableParagraph"/>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890"/>
        </w:trPr>
        <w:tc>
          <w:tcPr>
            <w:tcW w:w="4680" w:type="dxa"/>
            <w:shd w:val="clear" w:color="auto" w:fill="D2EAF1"/>
          </w:tcPr>
          <w:p w:rsidR="00E646C9" w:rsidRDefault="00E646C9" w:rsidP="00C94D5A">
            <w:pPr>
              <w:pStyle w:val="TableParagraph"/>
              <w:ind w:left="102" w:right="99"/>
              <w:jc w:val="both"/>
              <w:rPr>
                <w:rFonts w:ascii="Calibri" w:eastAsia="Calibri" w:hAnsi="Calibri" w:cs="Calibri"/>
                <w:sz w:val="18"/>
                <w:szCs w:val="18"/>
              </w:rPr>
            </w:pPr>
            <w:r>
              <w:rPr>
                <w:rFonts w:ascii="Calibri"/>
                <w:spacing w:val="-1"/>
                <w:sz w:val="18"/>
              </w:rPr>
              <w:t>Review</w:t>
            </w:r>
            <w:r>
              <w:rPr>
                <w:rFonts w:ascii="Calibri"/>
                <w:spacing w:val="-5"/>
                <w:sz w:val="18"/>
              </w:rPr>
              <w:t xml:space="preserve"> </w:t>
            </w:r>
            <w:r>
              <w:rPr>
                <w:rFonts w:ascii="Calibri"/>
                <w:spacing w:val="-1"/>
                <w:sz w:val="18"/>
              </w:rPr>
              <w:t>rebate</w:t>
            </w:r>
            <w:r>
              <w:rPr>
                <w:rFonts w:ascii="Calibri"/>
                <w:spacing w:val="-4"/>
                <w:sz w:val="18"/>
              </w:rPr>
              <w:t xml:space="preserve"> </w:t>
            </w:r>
            <w:r>
              <w:rPr>
                <w:rFonts w:ascii="Calibri"/>
                <w:spacing w:val="-1"/>
                <w:sz w:val="18"/>
              </w:rPr>
              <w:t>paperwork</w:t>
            </w:r>
            <w:r>
              <w:rPr>
                <w:rFonts w:ascii="Calibri"/>
                <w:spacing w:val="-6"/>
                <w:sz w:val="18"/>
              </w:rPr>
              <w:t xml:space="preserve"> </w:t>
            </w:r>
            <w:r>
              <w:rPr>
                <w:rFonts w:ascii="Calibri"/>
                <w:spacing w:val="-1"/>
                <w:sz w:val="18"/>
              </w:rPr>
              <w:t>processes</w:t>
            </w:r>
            <w:r>
              <w:rPr>
                <w:rFonts w:ascii="Calibri"/>
                <w:spacing w:val="-6"/>
                <w:sz w:val="18"/>
              </w:rPr>
              <w:t xml:space="preserve"> </w:t>
            </w:r>
            <w:r>
              <w:rPr>
                <w:rFonts w:ascii="Calibri"/>
                <w:spacing w:val="-1"/>
                <w:sz w:val="18"/>
              </w:rPr>
              <w:t>to</w:t>
            </w:r>
            <w:r>
              <w:rPr>
                <w:rFonts w:ascii="Calibri"/>
                <w:spacing w:val="-5"/>
                <w:sz w:val="18"/>
              </w:rPr>
              <w:t xml:space="preserve"> </w:t>
            </w:r>
            <w:r>
              <w:rPr>
                <w:rFonts w:ascii="Calibri"/>
                <w:spacing w:val="-1"/>
                <w:sz w:val="18"/>
              </w:rPr>
              <w:t>identify</w:t>
            </w:r>
            <w:r>
              <w:rPr>
                <w:rFonts w:ascii="Calibri"/>
                <w:spacing w:val="-6"/>
                <w:sz w:val="18"/>
              </w:rPr>
              <w:t xml:space="preserve"> </w:t>
            </w:r>
            <w:r>
              <w:rPr>
                <w:rFonts w:ascii="Calibri"/>
                <w:spacing w:val="-1"/>
                <w:sz w:val="18"/>
              </w:rPr>
              <w:t>opportunities</w:t>
            </w:r>
            <w:r>
              <w:rPr>
                <w:rFonts w:ascii="Calibri"/>
                <w:spacing w:val="69"/>
                <w:sz w:val="18"/>
              </w:rPr>
              <w:t xml:space="preserve"> </w:t>
            </w:r>
            <w:r>
              <w:rPr>
                <w:rFonts w:ascii="Calibri"/>
                <w:spacing w:val="-1"/>
                <w:sz w:val="18"/>
              </w:rPr>
              <w:t>to</w:t>
            </w:r>
            <w:r>
              <w:rPr>
                <w:rFonts w:ascii="Calibri"/>
                <w:spacing w:val="17"/>
                <w:sz w:val="18"/>
              </w:rPr>
              <w:t xml:space="preserve"> </w:t>
            </w:r>
            <w:r>
              <w:rPr>
                <w:rFonts w:ascii="Calibri"/>
                <w:spacing w:val="-1"/>
                <w:sz w:val="18"/>
              </w:rPr>
              <w:t>streamline</w:t>
            </w:r>
            <w:r>
              <w:rPr>
                <w:rFonts w:ascii="Calibri"/>
                <w:spacing w:val="15"/>
                <w:sz w:val="18"/>
              </w:rPr>
              <w:t xml:space="preserve"> </w:t>
            </w:r>
            <w:r>
              <w:rPr>
                <w:rFonts w:ascii="Calibri"/>
                <w:spacing w:val="-1"/>
                <w:sz w:val="18"/>
              </w:rPr>
              <w:t>documentation</w:t>
            </w:r>
            <w:r>
              <w:rPr>
                <w:rFonts w:ascii="Calibri"/>
                <w:spacing w:val="16"/>
                <w:sz w:val="18"/>
              </w:rPr>
              <w:t xml:space="preserve"> </w:t>
            </w:r>
            <w:r>
              <w:rPr>
                <w:rFonts w:ascii="Calibri"/>
                <w:spacing w:val="-1"/>
                <w:sz w:val="18"/>
              </w:rPr>
              <w:t>requirements</w:t>
            </w:r>
            <w:r>
              <w:rPr>
                <w:rFonts w:ascii="Calibri"/>
                <w:spacing w:val="15"/>
                <w:sz w:val="18"/>
              </w:rPr>
              <w:t xml:space="preserve"> </w:t>
            </w:r>
            <w:r>
              <w:rPr>
                <w:rFonts w:ascii="Calibri"/>
                <w:sz w:val="18"/>
              </w:rPr>
              <w:t>and</w:t>
            </w:r>
            <w:r>
              <w:rPr>
                <w:rFonts w:ascii="Calibri"/>
                <w:spacing w:val="15"/>
                <w:sz w:val="18"/>
              </w:rPr>
              <w:t xml:space="preserve"> </w:t>
            </w:r>
            <w:r>
              <w:rPr>
                <w:rFonts w:ascii="Calibri"/>
                <w:spacing w:val="-1"/>
                <w:sz w:val="18"/>
              </w:rPr>
              <w:t>notify</w:t>
            </w:r>
            <w:r>
              <w:rPr>
                <w:rFonts w:ascii="Calibri"/>
                <w:spacing w:val="57"/>
                <w:w w:val="99"/>
                <w:sz w:val="18"/>
              </w:rPr>
              <w:t xml:space="preserve"> </w:t>
            </w:r>
            <w:r>
              <w:rPr>
                <w:rFonts w:ascii="Calibri"/>
                <w:spacing w:val="-1"/>
                <w:sz w:val="18"/>
              </w:rPr>
              <w:t>contractors</w:t>
            </w:r>
            <w:r>
              <w:rPr>
                <w:rFonts w:ascii="Calibri"/>
                <w:spacing w:val="13"/>
                <w:sz w:val="18"/>
              </w:rPr>
              <w:t xml:space="preserve"> </w:t>
            </w:r>
            <w:r>
              <w:rPr>
                <w:rFonts w:ascii="Calibri"/>
                <w:spacing w:val="-1"/>
                <w:sz w:val="18"/>
              </w:rPr>
              <w:t>and/or</w:t>
            </w:r>
            <w:r>
              <w:rPr>
                <w:rFonts w:ascii="Calibri"/>
                <w:spacing w:val="13"/>
                <w:sz w:val="18"/>
              </w:rPr>
              <w:t xml:space="preserve"> </w:t>
            </w:r>
            <w:r>
              <w:rPr>
                <w:rFonts w:ascii="Calibri"/>
                <w:spacing w:val="-1"/>
                <w:sz w:val="18"/>
              </w:rPr>
              <w:t>customers</w:t>
            </w:r>
            <w:r>
              <w:rPr>
                <w:rFonts w:ascii="Calibri"/>
                <w:spacing w:val="15"/>
                <w:sz w:val="18"/>
              </w:rPr>
              <w:t xml:space="preserve"> </w:t>
            </w:r>
            <w:r>
              <w:rPr>
                <w:rFonts w:ascii="Calibri"/>
                <w:sz w:val="18"/>
              </w:rPr>
              <w:t>more</w:t>
            </w:r>
            <w:r>
              <w:rPr>
                <w:rFonts w:ascii="Calibri"/>
                <w:spacing w:val="13"/>
                <w:sz w:val="18"/>
              </w:rPr>
              <w:t xml:space="preserve"> </w:t>
            </w:r>
            <w:r>
              <w:rPr>
                <w:rFonts w:ascii="Calibri"/>
                <w:spacing w:val="-1"/>
                <w:sz w:val="18"/>
              </w:rPr>
              <w:t>quickly</w:t>
            </w:r>
            <w:r>
              <w:rPr>
                <w:rFonts w:ascii="Calibri"/>
                <w:spacing w:val="15"/>
                <w:sz w:val="18"/>
              </w:rPr>
              <w:t xml:space="preserve"> </w:t>
            </w:r>
            <w:r>
              <w:rPr>
                <w:rFonts w:ascii="Calibri"/>
                <w:spacing w:val="-1"/>
                <w:sz w:val="18"/>
              </w:rPr>
              <w:t>if</w:t>
            </w:r>
            <w:r>
              <w:rPr>
                <w:rFonts w:ascii="Calibri"/>
                <w:spacing w:val="16"/>
                <w:sz w:val="18"/>
              </w:rPr>
              <w:t xml:space="preserve"> </w:t>
            </w:r>
            <w:r>
              <w:rPr>
                <w:rFonts w:ascii="Calibri"/>
                <w:spacing w:val="-1"/>
                <w:sz w:val="18"/>
              </w:rPr>
              <w:t>project</w:t>
            </w:r>
            <w:r>
              <w:rPr>
                <w:rFonts w:ascii="Calibri"/>
                <w:spacing w:val="63"/>
                <w:w w:val="99"/>
                <w:sz w:val="18"/>
              </w:rPr>
              <w:t xml:space="preserve"> </w:t>
            </w:r>
            <w:r>
              <w:rPr>
                <w:rFonts w:ascii="Calibri"/>
                <w:spacing w:val="-1"/>
                <w:sz w:val="18"/>
              </w:rPr>
              <w:t>documentation</w:t>
            </w:r>
            <w:r>
              <w:rPr>
                <w:rFonts w:ascii="Calibri"/>
                <w:spacing w:val="-5"/>
                <w:sz w:val="18"/>
              </w:rPr>
              <w:t xml:space="preserve"> </w:t>
            </w:r>
            <w:r>
              <w:rPr>
                <w:rFonts w:ascii="Calibri"/>
                <w:sz w:val="18"/>
              </w:rPr>
              <w:t>is</w:t>
            </w:r>
            <w:r>
              <w:rPr>
                <w:rFonts w:ascii="Calibri"/>
                <w:spacing w:val="-4"/>
                <w:sz w:val="18"/>
              </w:rPr>
              <w:t xml:space="preserve"> </w:t>
            </w:r>
            <w:r>
              <w:rPr>
                <w:rFonts w:ascii="Calibri"/>
                <w:spacing w:val="-1"/>
                <w:sz w:val="18"/>
              </w:rPr>
              <w:t>incomplete.</w:t>
            </w:r>
          </w:p>
        </w:tc>
        <w:tc>
          <w:tcPr>
            <w:tcW w:w="468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670"/>
        </w:trPr>
        <w:tc>
          <w:tcPr>
            <w:tcW w:w="4680" w:type="dxa"/>
          </w:tcPr>
          <w:p w:rsidR="00E646C9" w:rsidRDefault="00E646C9" w:rsidP="00C94D5A">
            <w:pPr>
              <w:pStyle w:val="TableParagraph"/>
              <w:ind w:left="102" w:right="102"/>
              <w:jc w:val="both"/>
              <w:rPr>
                <w:rFonts w:ascii="Calibri" w:eastAsia="Calibri" w:hAnsi="Calibri" w:cs="Calibri"/>
                <w:sz w:val="18"/>
                <w:szCs w:val="18"/>
              </w:rPr>
            </w:pPr>
            <w:r>
              <w:rPr>
                <w:rFonts w:ascii="Calibri"/>
                <w:spacing w:val="-1"/>
                <w:sz w:val="18"/>
              </w:rPr>
              <w:t>Increase</w:t>
            </w:r>
            <w:r>
              <w:rPr>
                <w:rFonts w:ascii="Calibri"/>
                <w:spacing w:val="14"/>
                <w:sz w:val="18"/>
              </w:rPr>
              <w:t xml:space="preserve"> </w:t>
            </w:r>
            <w:r>
              <w:rPr>
                <w:rFonts w:ascii="Calibri"/>
                <w:spacing w:val="-1"/>
                <w:sz w:val="18"/>
              </w:rPr>
              <w:t>one-on-one</w:t>
            </w:r>
            <w:r>
              <w:rPr>
                <w:rFonts w:ascii="Calibri"/>
                <w:spacing w:val="15"/>
                <w:sz w:val="18"/>
              </w:rPr>
              <w:t xml:space="preserve"> </w:t>
            </w:r>
            <w:r>
              <w:rPr>
                <w:rFonts w:ascii="Calibri"/>
                <w:spacing w:val="-1"/>
                <w:sz w:val="18"/>
              </w:rPr>
              <w:t>communication</w:t>
            </w:r>
            <w:r>
              <w:rPr>
                <w:rFonts w:ascii="Calibri"/>
                <w:spacing w:val="15"/>
                <w:sz w:val="18"/>
              </w:rPr>
              <w:t xml:space="preserve"> </w:t>
            </w:r>
            <w:r>
              <w:rPr>
                <w:rFonts w:ascii="Calibri"/>
                <w:spacing w:val="-1"/>
                <w:sz w:val="18"/>
              </w:rPr>
              <w:t>and</w:t>
            </w:r>
            <w:r>
              <w:rPr>
                <w:rFonts w:ascii="Calibri"/>
                <w:spacing w:val="15"/>
                <w:sz w:val="18"/>
              </w:rPr>
              <w:t xml:space="preserve"> </w:t>
            </w:r>
            <w:r>
              <w:rPr>
                <w:rFonts w:ascii="Calibri"/>
                <w:sz w:val="18"/>
              </w:rPr>
              <w:t>improve</w:t>
            </w:r>
            <w:r>
              <w:rPr>
                <w:rFonts w:ascii="Calibri"/>
                <w:spacing w:val="15"/>
                <w:sz w:val="18"/>
              </w:rPr>
              <w:t xml:space="preserve"> </w:t>
            </w:r>
            <w:r>
              <w:rPr>
                <w:rFonts w:ascii="Calibri"/>
                <w:spacing w:val="-1"/>
                <w:sz w:val="18"/>
              </w:rPr>
              <w:t>response</w:t>
            </w:r>
            <w:r>
              <w:rPr>
                <w:rFonts w:ascii="Calibri"/>
                <w:spacing w:val="60"/>
                <w:w w:val="99"/>
                <w:sz w:val="18"/>
              </w:rPr>
              <w:t xml:space="preserve"> </w:t>
            </w:r>
            <w:r>
              <w:rPr>
                <w:rFonts w:ascii="Calibri"/>
                <w:spacing w:val="-1"/>
                <w:sz w:val="18"/>
              </w:rPr>
              <w:t>time</w:t>
            </w:r>
            <w:r>
              <w:rPr>
                <w:rFonts w:ascii="Calibri"/>
                <w:spacing w:val="32"/>
                <w:sz w:val="18"/>
              </w:rPr>
              <w:t xml:space="preserve"> </w:t>
            </w:r>
            <w:r>
              <w:rPr>
                <w:rFonts w:ascii="Calibri"/>
                <w:spacing w:val="-1"/>
                <w:sz w:val="18"/>
              </w:rPr>
              <w:t>between</w:t>
            </w:r>
            <w:r>
              <w:rPr>
                <w:rFonts w:ascii="Calibri"/>
                <w:spacing w:val="34"/>
                <w:sz w:val="18"/>
              </w:rPr>
              <w:t xml:space="preserve"> </w:t>
            </w:r>
            <w:r>
              <w:rPr>
                <w:rFonts w:ascii="Calibri"/>
                <w:spacing w:val="-1"/>
                <w:sz w:val="18"/>
              </w:rPr>
              <w:t>participating</w:t>
            </w:r>
            <w:r>
              <w:rPr>
                <w:rFonts w:ascii="Calibri"/>
                <w:spacing w:val="34"/>
                <w:sz w:val="18"/>
              </w:rPr>
              <w:t xml:space="preserve"> </w:t>
            </w:r>
            <w:r>
              <w:rPr>
                <w:rFonts w:ascii="Calibri"/>
                <w:spacing w:val="-1"/>
                <w:sz w:val="18"/>
              </w:rPr>
              <w:t>program</w:t>
            </w:r>
            <w:r>
              <w:rPr>
                <w:rFonts w:ascii="Calibri"/>
                <w:spacing w:val="33"/>
                <w:sz w:val="18"/>
              </w:rPr>
              <w:t xml:space="preserve"> </w:t>
            </w:r>
            <w:r>
              <w:rPr>
                <w:rFonts w:ascii="Calibri"/>
                <w:spacing w:val="-1"/>
                <w:sz w:val="18"/>
              </w:rPr>
              <w:t>contractors</w:t>
            </w:r>
            <w:r>
              <w:rPr>
                <w:rFonts w:ascii="Calibri"/>
                <w:spacing w:val="32"/>
                <w:sz w:val="18"/>
              </w:rPr>
              <w:t xml:space="preserve"> </w:t>
            </w:r>
            <w:r>
              <w:rPr>
                <w:rFonts w:ascii="Calibri"/>
                <w:spacing w:val="-1"/>
                <w:sz w:val="18"/>
              </w:rPr>
              <w:t>and</w:t>
            </w:r>
            <w:r>
              <w:rPr>
                <w:rFonts w:ascii="Calibri"/>
                <w:spacing w:val="34"/>
                <w:sz w:val="18"/>
              </w:rPr>
              <w:t xml:space="preserve"> </w:t>
            </w:r>
            <w:r>
              <w:rPr>
                <w:rFonts w:ascii="Calibri"/>
                <w:spacing w:val="-1"/>
                <w:sz w:val="18"/>
              </w:rPr>
              <w:t>their</w:t>
            </w:r>
            <w:r>
              <w:rPr>
                <w:rFonts w:ascii="Calibri"/>
                <w:spacing w:val="62"/>
                <w:sz w:val="18"/>
              </w:rPr>
              <w:t xml:space="preserve"> </w:t>
            </w:r>
            <w:r>
              <w:rPr>
                <w:rFonts w:ascii="Calibri"/>
                <w:spacing w:val="-1"/>
                <w:sz w:val="18"/>
              </w:rPr>
              <w:t>ICSP</w:t>
            </w:r>
            <w:r>
              <w:rPr>
                <w:rFonts w:ascii="Calibri"/>
                <w:spacing w:val="-9"/>
                <w:sz w:val="18"/>
              </w:rPr>
              <w:t xml:space="preserve"> </w:t>
            </w:r>
            <w:r>
              <w:rPr>
                <w:rFonts w:ascii="Calibri"/>
                <w:spacing w:val="-1"/>
                <w:sz w:val="18"/>
              </w:rPr>
              <w:t>representative.</w:t>
            </w:r>
          </w:p>
        </w:tc>
        <w:tc>
          <w:tcPr>
            <w:tcW w:w="4680" w:type="dxa"/>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bl>
    <w:p w:rsidR="00E646C9" w:rsidRPr="003B56E9" w:rsidRDefault="00E646C9" w:rsidP="003B56E9"/>
    <w:p w:rsidR="00E646C9" w:rsidRDefault="00E646C9" w:rsidP="003B56E9">
      <w:pPr>
        <w:pStyle w:val="AppendixGHeading2"/>
      </w:pPr>
      <w:r>
        <w:t>Residential Home Performance</w:t>
      </w:r>
    </w:p>
    <w:tbl>
      <w:tblPr>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26"/>
        <w:gridCol w:w="4734"/>
      </w:tblGrid>
      <w:tr w:rsidR="00E646C9" w:rsidTr="0011636D">
        <w:trPr>
          <w:trHeight w:hRule="exact" w:val="713"/>
          <w:tblHeader/>
        </w:trPr>
        <w:tc>
          <w:tcPr>
            <w:tcW w:w="4626" w:type="dxa"/>
            <w:shd w:val="clear" w:color="auto" w:fill="448A99"/>
          </w:tcPr>
          <w:p w:rsidR="00E646C9" w:rsidRDefault="00E646C9" w:rsidP="004D470A">
            <w:pPr>
              <w:pStyle w:val="TableParagraph"/>
              <w:spacing w:line="219" w:lineRule="exact"/>
              <w:ind w:left="129" w:right="3"/>
              <w:rPr>
                <w:rFonts w:ascii="Calibri" w:eastAsia="Calibri" w:hAnsi="Calibri" w:cs="Calibri"/>
                <w:sz w:val="18"/>
                <w:szCs w:val="18"/>
              </w:rPr>
            </w:pPr>
            <w:r>
              <w:rPr>
                <w:rFonts w:ascii="Calibri"/>
                <w:b/>
                <w:color w:val="FFFFFF"/>
                <w:spacing w:val="-1"/>
                <w:sz w:val="18"/>
              </w:rPr>
              <w:t>Recommendations</w:t>
            </w:r>
          </w:p>
        </w:tc>
        <w:tc>
          <w:tcPr>
            <w:tcW w:w="4734" w:type="dxa"/>
            <w:shd w:val="clear" w:color="auto" w:fill="448A99"/>
          </w:tcPr>
          <w:p w:rsidR="00E646C9" w:rsidRDefault="00E646C9" w:rsidP="00C94D5A">
            <w:pPr>
              <w:pStyle w:val="TableParagraph"/>
              <w:ind w:left="164" w:right="164"/>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5"/>
                <w:sz w:val="18"/>
              </w:rPr>
              <w:t xml:space="preserve"> </w:t>
            </w:r>
            <w:r>
              <w:rPr>
                <w:rFonts w:ascii="Calibri"/>
                <w:b/>
                <w:color w:val="FFFFFF"/>
                <w:spacing w:val="-1"/>
                <w:sz w:val="18"/>
              </w:rPr>
              <w:t>Recommendation</w:t>
            </w:r>
            <w:r>
              <w:rPr>
                <w:rFonts w:ascii="Calibri"/>
                <w:b/>
                <w:color w:val="FFFFFF"/>
                <w:spacing w:val="30"/>
                <w:w w:val="99"/>
                <w:sz w:val="18"/>
              </w:rPr>
              <w:t xml:space="preserve"> </w:t>
            </w:r>
            <w:r w:rsidRPr="005A786B">
              <w:rPr>
                <w:rFonts w:ascii="Calibri"/>
                <w:color w:val="FFFFFF"/>
                <w:spacing w:val="-1"/>
                <w:sz w:val="18"/>
              </w:rPr>
              <w:t>(Implemented,</w:t>
            </w:r>
            <w:r w:rsidRPr="005A786B">
              <w:rPr>
                <w:rFonts w:ascii="Calibri"/>
                <w:color w:val="FFFFFF"/>
                <w:spacing w:val="-10"/>
                <w:sz w:val="18"/>
              </w:rPr>
              <w:t xml:space="preserve"> </w:t>
            </w:r>
            <w:r w:rsidRPr="005A786B">
              <w:rPr>
                <w:rFonts w:ascii="Calibri"/>
                <w:color w:val="FFFFFF"/>
                <w:spacing w:val="-1"/>
                <w:sz w:val="18"/>
              </w:rPr>
              <w:t>Being</w:t>
            </w:r>
            <w:r w:rsidRPr="005A786B">
              <w:rPr>
                <w:rFonts w:ascii="Calibri"/>
                <w:color w:val="FFFFFF"/>
                <w:spacing w:val="23"/>
                <w:sz w:val="18"/>
              </w:rPr>
              <w:t xml:space="preserve"> </w:t>
            </w:r>
            <w:r w:rsidRPr="005A786B">
              <w:rPr>
                <w:rFonts w:ascii="Calibri"/>
                <w:color w:val="FFFFFF"/>
                <w:spacing w:val="-1"/>
                <w:sz w:val="18"/>
              </w:rPr>
              <w:t>Considered,</w:t>
            </w:r>
            <w:r w:rsidRPr="005A786B">
              <w:rPr>
                <w:rFonts w:ascii="Calibri"/>
                <w:color w:val="FFFFFF"/>
                <w:spacing w:val="-6"/>
                <w:sz w:val="18"/>
              </w:rPr>
              <w:t xml:space="preserve"> </w:t>
            </w:r>
            <w:r w:rsidRPr="005A786B">
              <w:rPr>
                <w:rFonts w:ascii="Calibri"/>
                <w:color w:val="FFFFFF"/>
                <w:spacing w:val="-1"/>
                <w:sz w:val="18"/>
              </w:rPr>
              <w:t>Rejected</w:t>
            </w:r>
            <w:r w:rsidRPr="005A786B">
              <w:rPr>
                <w:rFonts w:ascii="Calibri"/>
                <w:color w:val="FFFFFF"/>
                <w:spacing w:val="-6"/>
                <w:sz w:val="18"/>
              </w:rPr>
              <w:t xml:space="preserve"> </w:t>
            </w:r>
            <w:r w:rsidRPr="005A786B">
              <w:rPr>
                <w:rFonts w:ascii="Calibri"/>
                <w:color w:val="FFFFFF"/>
                <w:sz w:val="18"/>
              </w:rPr>
              <w:t>AND</w:t>
            </w:r>
            <w:r w:rsidRPr="005A786B">
              <w:rPr>
                <w:rFonts w:ascii="Calibri"/>
                <w:color w:val="FFFFFF"/>
                <w:spacing w:val="23"/>
                <w:sz w:val="18"/>
              </w:rPr>
              <w:t xml:space="preserve"> </w:t>
            </w:r>
            <w:r w:rsidRPr="005A786B">
              <w:rPr>
                <w:rFonts w:ascii="Calibri"/>
                <w:color w:val="FFFFFF"/>
                <w:spacing w:val="-1"/>
                <w:sz w:val="18"/>
              </w:rPr>
              <w:t>Explanation</w:t>
            </w:r>
            <w:r w:rsidRPr="005A786B">
              <w:rPr>
                <w:rFonts w:ascii="Calibri"/>
                <w:color w:val="FFFFFF"/>
                <w:spacing w:val="-6"/>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z w:val="18"/>
              </w:rPr>
              <w:t>Action</w:t>
            </w:r>
            <w:r w:rsidRPr="005A786B">
              <w:rPr>
                <w:rFonts w:ascii="Calibri"/>
                <w:color w:val="FFFFFF"/>
                <w:spacing w:val="-6"/>
                <w:sz w:val="18"/>
              </w:rPr>
              <w:t xml:space="preserve"> </w:t>
            </w:r>
            <w:r w:rsidRPr="005A786B">
              <w:rPr>
                <w:rFonts w:ascii="Calibri"/>
                <w:color w:val="FFFFFF"/>
                <w:spacing w:val="-1"/>
                <w:sz w:val="18"/>
              </w:rPr>
              <w:t>Taken</w:t>
            </w:r>
            <w:r w:rsidRPr="005A786B">
              <w:rPr>
                <w:rFonts w:ascii="Calibri"/>
                <w:color w:val="FFFFFF"/>
                <w:spacing w:val="-5"/>
                <w:sz w:val="18"/>
              </w:rPr>
              <w:t xml:space="preserve"> </w:t>
            </w:r>
            <w:r w:rsidRPr="005A786B">
              <w:rPr>
                <w:rFonts w:ascii="Calibri"/>
                <w:color w:val="FFFFFF"/>
                <w:spacing w:val="-1"/>
                <w:sz w:val="18"/>
              </w:rPr>
              <w:t>by</w:t>
            </w:r>
            <w:r w:rsidRPr="005A786B">
              <w:rPr>
                <w:rFonts w:ascii="Calibri"/>
                <w:color w:val="FFFFFF"/>
                <w:spacing w:val="21"/>
                <w:w w:val="99"/>
                <w:sz w:val="18"/>
              </w:rPr>
              <w:t xml:space="preserve"> </w:t>
            </w:r>
            <w:r w:rsidRPr="005A786B">
              <w:rPr>
                <w:rFonts w:ascii="Calibri"/>
                <w:color w:val="FFFFFF"/>
                <w:sz w:val="18"/>
              </w:rPr>
              <w:t>EDC)</w:t>
            </w:r>
          </w:p>
        </w:tc>
      </w:tr>
      <w:tr w:rsidR="00E646C9" w:rsidTr="0011636D">
        <w:trPr>
          <w:trHeight w:hRule="exact" w:val="451"/>
        </w:trPr>
        <w:tc>
          <w:tcPr>
            <w:tcW w:w="4626" w:type="dxa"/>
            <w:shd w:val="clear" w:color="auto" w:fill="D2EAF1"/>
          </w:tcPr>
          <w:p w:rsidR="00E646C9" w:rsidRDefault="00E646C9" w:rsidP="00C94D5A">
            <w:pPr>
              <w:pStyle w:val="TableParagraph"/>
              <w:ind w:left="102" w:right="692"/>
              <w:rPr>
                <w:rFonts w:ascii="Calibri" w:eastAsia="Calibri" w:hAnsi="Calibri" w:cs="Calibri"/>
                <w:sz w:val="18"/>
                <w:szCs w:val="18"/>
              </w:rPr>
            </w:pPr>
            <w:r>
              <w:rPr>
                <w:rFonts w:ascii="Calibri"/>
                <w:spacing w:val="-1"/>
                <w:sz w:val="18"/>
              </w:rPr>
              <w:t>For</w:t>
            </w:r>
            <w:r>
              <w:rPr>
                <w:rFonts w:ascii="Calibri"/>
                <w:spacing w:val="-4"/>
                <w:sz w:val="18"/>
              </w:rPr>
              <w:t xml:space="preserve"> </w:t>
            </w:r>
            <w:r>
              <w:rPr>
                <w:rFonts w:ascii="Calibri"/>
                <w:spacing w:val="-1"/>
                <w:sz w:val="18"/>
              </w:rPr>
              <w:t>the</w:t>
            </w:r>
            <w:r>
              <w:rPr>
                <w:rFonts w:ascii="Calibri"/>
                <w:spacing w:val="-3"/>
                <w:sz w:val="18"/>
              </w:rPr>
              <w:t xml:space="preserve"> </w:t>
            </w:r>
            <w:r>
              <w:rPr>
                <w:rFonts w:ascii="Calibri"/>
                <w:sz w:val="18"/>
              </w:rPr>
              <w:t>New</w:t>
            </w:r>
            <w:r>
              <w:rPr>
                <w:rFonts w:ascii="Calibri"/>
                <w:spacing w:val="-1"/>
                <w:sz w:val="18"/>
              </w:rPr>
              <w:t xml:space="preserve"> </w:t>
            </w:r>
            <w:r>
              <w:rPr>
                <w:rFonts w:ascii="Calibri"/>
                <w:sz w:val="18"/>
              </w:rPr>
              <w:t>Homes</w:t>
            </w:r>
            <w:r>
              <w:rPr>
                <w:rFonts w:ascii="Calibri"/>
                <w:spacing w:val="-4"/>
                <w:sz w:val="18"/>
              </w:rPr>
              <w:t xml:space="preserve"> </w:t>
            </w:r>
            <w:r>
              <w:rPr>
                <w:rFonts w:ascii="Calibri"/>
                <w:spacing w:val="-1"/>
                <w:sz w:val="18"/>
              </w:rPr>
              <w:t>component,</w:t>
            </w:r>
            <w:r>
              <w:rPr>
                <w:rFonts w:ascii="Calibri"/>
                <w:spacing w:val="-2"/>
                <w:sz w:val="18"/>
              </w:rPr>
              <w:t xml:space="preserve"> </w:t>
            </w:r>
            <w:r>
              <w:rPr>
                <w:rFonts w:ascii="Calibri"/>
                <w:spacing w:val="-1"/>
                <w:sz w:val="18"/>
              </w:rPr>
              <w:t>flag</w:t>
            </w:r>
            <w:r>
              <w:rPr>
                <w:rFonts w:ascii="Calibri"/>
                <w:spacing w:val="-3"/>
                <w:sz w:val="18"/>
              </w:rPr>
              <w:t xml:space="preserve"> </w:t>
            </w:r>
            <w:r>
              <w:rPr>
                <w:rFonts w:ascii="Calibri"/>
                <w:spacing w:val="-1"/>
                <w:sz w:val="18"/>
              </w:rPr>
              <w:t>homes</w:t>
            </w:r>
            <w:r>
              <w:rPr>
                <w:rFonts w:ascii="Calibri"/>
                <w:spacing w:val="-4"/>
                <w:sz w:val="18"/>
              </w:rPr>
              <w:t xml:space="preserve"> </w:t>
            </w:r>
            <w:r>
              <w:rPr>
                <w:rFonts w:ascii="Calibri"/>
                <w:spacing w:val="-1"/>
                <w:sz w:val="18"/>
              </w:rPr>
              <w:t>with</w:t>
            </w:r>
            <w:r>
              <w:rPr>
                <w:rFonts w:ascii="Calibri"/>
                <w:spacing w:val="-4"/>
                <w:sz w:val="18"/>
              </w:rPr>
              <w:t xml:space="preserve"> </w:t>
            </w:r>
            <w:r>
              <w:rPr>
                <w:rFonts w:ascii="Calibri"/>
                <w:spacing w:val="-1"/>
                <w:sz w:val="18"/>
              </w:rPr>
              <w:t>greater</w:t>
            </w:r>
            <w:r>
              <w:rPr>
                <w:rFonts w:ascii="Calibri"/>
                <w:spacing w:val="-3"/>
                <w:sz w:val="18"/>
              </w:rPr>
              <w:t xml:space="preserve"> </w:t>
            </w:r>
            <w:r>
              <w:rPr>
                <w:rFonts w:ascii="Calibri"/>
                <w:sz w:val="18"/>
              </w:rPr>
              <w:t>than</w:t>
            </w:r>
            <w:r>
              <w:rPr>
                <w:rFonts w:ascii="Calibri"/>
                <w:spacing w:val="-3"/>
                <w:sz w:val="18"/>
              </w:rPr>
              <w:t xml:space="preserve"> </w:t>
            </w:r>
            <w:r>
              <w:rPr>
                <w:rFonts w:ascii="Calibri"/>
                <w:spacing w:val="-1"/>
                <w:sz w:val="18"/>
              </w:rPr>
              <w:t>20,000</w:t>
            </w:r>
            <w:r>
              <w:rPr>
                <w:rFonts w:ascii="Calibri"/>
                <w:spacing w:val="-3"/>
                <w:sz w:val="18"/>
              </w:rPr>
              <w:t xml:space="preserve"> </w:t>
            </w:r>
            <w:r>
              <w:rPr>
                <w:rFonts w:ascii="Calibri"/>
                <w:spacing w:val="-1"/>
                <w:sz w:val="18"/>
              </w:rPr>
              <w:t>kWh</w:t>
            </w:r>
            <w:r>
              <w:rPr>
                <w:rFonts w:ascii="Calibri"/>
                <w:spacing w:val="-3"/>
                <w:sz w:val="18"/>
              </w:rPr>
              <w:t xml:space="preserve"> </w:t>
            </w:r>
            <w:r>
              <w:rPr>
                <w:rFonts w:ascii="Calibri"/>
                <w:sz w:val="18"/>
              </w:rPr>
              <w:t>for</w:t>
            </w:r>
            <w:r>
              <w:rPr>
                <w:rFonts w:ascii="Calibri"/>
                <w:spacing w:val="-3"/>
                <w:sz w:val="18"/>
              </w:rPr>
              <w:t xml:space="preserve"> </w:t>
            </w:r>
            <w:r>
              <w:rPr>
                <w:rFonts w:ascii="Calibri"/>
                <w:sz w:val="18"/>
              </w:rPr>
              <w:t>a</w:t>
            </w:r>
            <w:r>
              <w:rPr>
                <w:rFonts w:ascii="Calibri"/>
                <w:spacing w:val="65"/>
                <w:sz w:val="18"/>
              </w:rPr>
              <w:t xml:space="preserve"> </w:t>
            </w:r>
            <w:r>
              <w:rPr>
                <w:rFonts w:ascii="Calibri"/>
                <w:spacing w:val="-1"/>
                <w:sz w:val="18"/>
              </w:rPr>
              <w:t>REM/Rate</w:t>
            </w:r>
            <w:r>
              <w:rPr>
                <w:rFonts w:ascii="Calibri"/>
                <w:spacing w:val="-4"/>
                <w:sz w:val="18"/>
              </w:rPr>
              <w:t xml:space="preserve"> </w:t>
            </w:r>
            <w:r>
              <w:rPr>
                <w:rFonts w:ascii="Calibri"/>
                <w:spacing w:val="-1"/>
                <w:sz w:val="18"/>
              </w:rPr>
              <w:t>baseline</w:t>
            </w:r>
            <w:r>
              <w:rPr>
                <w:rFonts w:ascii="Calibri"/>
                <w:spacing w:val="-4"/>
                <w:sz w:val="18"/>
              </w:rPr>
              <w:t xml:space="preserve"> </w:t>
            </w:r>
            <w:r>
              <w:rPr>
                <w:rFonts w:ascii="Calibri"/>
                <w:spacing w:val="-1"/>
                <w:sz w:val="18"/>
              </w:rPr>
              <w:t>heating</w:t>
            </w:r>
            <w:r>
              <w:rPr>
                <w:rFonts w:ascii="Calibri"/>
                <w:spacing w:val="-4"/>
                <w:sz w:val="18"/>
              </w:rPr>
              <w:t xml:space="preserve"> </w:t>
            </w:r>
            <w:r>
              <w:rPr>
                <w:rFonts w:ascii="Calibri"/>
                <w:sz w:val="18"/>
              </w:rPr>
              <w:t>loads</w:t>
            </w:r>
            <w:r>
              <w:rPr>
                <w:rFonts w:ascii="Calibri"/>
                <w:spacing w:val="-2"/>
                <w:sz w:val="18"/>
              </w:rPr>
              <w:t xml:space="preserve"> </w:t>
            </w:r>
            <w:r>
              <w:rPr>
                <w:rFonts w:ascii="Calibri"/>
                <w:spacing w:val="-1"/>
                <w:sz w:val="18"/>
              </w:rPr>
              <w:t>vs.</w:t>
            </w:r>
            <w:r>
              <w:rPr>
                <w:rFonts w:ascii="Calibri"/>
                <w:spacing w:val="-2"/>
                <w:sz w:val="18"/>
              </w:rPr>
              <w:t xml:space="preserve"> </w:t>
            </w:r>
            <w:r>
              <w:rPr>
                <w:rFonts w:ascii="Calibri"/>
                <w:spacing w:val="-1"/>
                <w:sz w:val="18"/>
              </w:rPr>
              <w:t>heating</w:t>
            </w:r>
            <w:r>
              <w:rPr>
                <w:rFonts w:ascii="Calibri"/>
                <w:spacing w:val="-4"/>
                <w:sz w:val="18"/>
              </w:rPr>
              <w:t xml:space="preserve"> </w:t>
            </w:r>
            <w:r>
              <w:rPr>
                <w:rFonts w:ascii="Calibri"/>
                <w:spacing w:val="-1"/>
                <w:sz w:val="18"/>
              </w:rPr>
              <w:t>energy usage</w:t>
            </w:r>
            <w:r>
              <w:rPr>
                <w:rFonts w:ascii="Calibri"/>
                <w:spacing w:val="-2"/>
                <w:sz w:val="18"/>
              </w:rPr>
              <w:t xml:space="preserve"> </w:t>
            </w:r>
            <w:r>
              <w:rPr>
                <w:rFonts w:ascii="Calibri"/>
                <w:spacing w:val="-1"/>
                <w:sz w:val="18"/>
              </w:rPr>
              <w:t>review.</w:t>
            </w:r>
          </w:p>
        </w:tc>
        <w:tc>
          <w:tcPr>
            <w:tcW w:w="4734"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9"/>
        </w:trPr>
        <w:tc>
          <w:tcPr>
            <w:tcW w:w="4626" w:type="dxa"/>
          </w:tcPr>
          <w:p w:rsidR="00E646C9" w:rsidRDefault="00E646C9" w:rsidP="00C94D5A">
            <w:pPr>
              <w:pStyle w:val="TableParagraph"/>
              <w:ind w:left="102" w:right="126"/>
              <w:rPr>
                <w:rFonts w:ascii="Calibri" w:eastAsia="Calibri" w:hAnsi="Calibri" w:cs="Calibri"/>
                <w:sz w:val="18"/>
                <w:szCs w:val="18"/>
              </w:rPr>
            </w:pPr>
            <w:r>
              <w:rPr>
                <w:rFonts w:ascii="Calibri"/>
                <w:spacing w:val="-1"/>
                <w:sz w:val="18"/>
              </w:rPr>
              <w:t>For</w:t>
            </w:r>
            <w:r>
              <w:rPr>
                <w:rFonts w:ascii="Calibri"/>
                <w:spacing w:val="-4"/>
                <w:sz w:val="18"/>
              </w:rPr>
              <w:t xml:space="preserve"> </w:t>
            </w:r>
            <w:r>
              <w:rPr>
                <w:rFonts w:ascii="Calibri"/>
                <w:spacing w:val="-1"/>
                <w:sz w:val="18"/>
              </w:rPr>
              <w:t>the</w:t>
            </w:r>
            <w:r>
              <w:rPr>
                <w:rFonts w:ascii="Calibri"/>
                <w:spacing w:val="-3"/>
                <w:sz w:val="18"/>
              </w:rPr>
              <w:t xml:space="preserve"> </w:t>
            </w:r>
            <w:r>
              <w:rPr>
                <w:rFonts w:ascii="Calibri"/>
                <w:spacing w:val="-1"/>
                <w:sz w:val="18"/>
              </w:rPr>
              <w:t>conservation</w:t>
            </w:r>
            <w:r>
              <w:rPr>
                <w:rFonts w:ascii="Calibri"/>
                <w:spacing w:val="-3"/>
                <w:sz w:val="18"/>
              </w:rPr>
              <w:t xml:space="preserve"> </w:t>
            </w:r>
            <w:r>
              <w:rPr>
                <w:rFonts w:ascii="Calibri"/>
                <w:spacing w:val="-1"/>
                <w:sz w:val="18"/>
              </w:rPr>
              <w:t>kits,</w:t>
            </w:r>
            <w:r>
              <w:rPr>
                <w:rFonts w:ascii="Calibri"/>
                <w:spacing w:val="-2"/>
                <w:sz w:val="18"/>
              </w:rPr>
              <w:t xml:space="preserve"> </w:t>
            </w:r>
            <w:r>
              <w:rPr>
                <w:rFonts w:ascii="Calibri"/>
                <w:sz w:val="18"/>
              </w:rPr>
              <w:t>consider</w:t>
            </w:r>
            <w:r>
              <w:rPr>
                <w:rFonts w:ascii="Calibri"/>
                <w:spacing w:val="-3"/>
                <w:sz w:val="18"/>
              </w:rPr>
              <w:t xml:space="preserve"> </w:t>
            </w:r>
            <w:r>
              <w:rPr>
                <w:rFonts w:ascii="Calibri"/>
                <w:spacing w:val="-1"/>
                <w:sz w:val="18"/>
              </w:rPr>
              <w:t>including</w:t>
            </w:r>
            <w:r>
              <w:rPr>
                <w:rFonts w:ascii="Calibri"/>
                <w:spacing w:val="-4"/>
                <w:sz w:val="18"/>
              </w:rPr>
              <w:t xml:space="preserve"> </w:t>
            </w:r>
            <w:r>
              <w:rPr>
                <w:rFonts w:ascii="Calibri"/>
                <w:sz w:val="18"/>
              </w:rPr>
              <w:t>fewer</w:t>
            </w:r>
            <w:r>
              <w:rPr>
                <w:rFonts w:ascii="Calibri"/>
                <w:spacing w:val="-3"/>
                <w:sz w:val="18"/>
              </w:rPr>
              <w:t xml:space="preserve"> </w:t>
            </w:r>
            <w:r>
              <w:rPr>
                <w:rFonts w:ascii="Calibri"/>
                <w:spacing w:val="-1"/>
                <w:sz w:val="18"/>
              </w:rPr>
              <w:t>9W</w:t>
            </w:r>
            <w:r>
              <w:rPr>
                <w:rFonts w:ascii="Calibri"/>
                <w:spacing w:val="-2"/>
                <w:sz w:val="18"/>
              </w:rPr>
              <w:t xml:space="preserve"> </w:t>
            </w:r>
            <w:r>
              <w:rPr>
                <w:rFonts w:ascii="Calibri"/>
                <w:spacing w:val="-1"/>
                <w:sz w:val="18"/>
              </w:rPr>
              <w:t>globes.</w:t>
            </w:r>
            <w:r>
              <w:rPr>
                <w:rFonts w:ascii="Calibri"/>
                <w:spacing w:val="36"/>
                <w:sz w:val="18"/>
              </w:rPr>
              <w:t xml:space="preserve"> </w:t>
            </w:r>
            <w:r>
              <w:rPr>
                <w:rFonts w:ascii="Calibri"/>
                <w:sz w:val="18"/>
              </w:rPr>
              <w:t>Customers</w:t>
            </w:r>
            <w:r>
              <w:rPr>
                <w:rFonts w:ascii="Calibri"/>
                <w:spacing w:val="-3"/>
                <w:sz w:val="18"/>
              </w:rPr>
              <w:t xml:space="preserve"> </w:t>
            </w:r>
            <w:r>
              <w:rPr>
                <w:rFonts w:ascii="Calibri"/>
                <w:spacing w:val="-1"/>
                <w:sz w:val="18"/>
              </w:rPr>
              <w:t>are</w:t>
            </w:r>
            <w:r>
              <w:rPr>
                <w:rFonts w:ascii="Calibri"/>
                <w:spacing w:val="-3"/>
                <w:sz w:val="18"/>
              </w:rPr>
              <w:t xml:space="preserve"> </w:t>
            </w:r>
            <w:r>
              <w:rPr>
                <w:rFonts w:ascii="Calibri"/>
                <w:spacing w:val="-1"/>
                <w:sz w:val="18"/>
              </w:rPr>
              <w:t>slower</w:t>
            </w:r>
            <w:r>
              <w:rPr>
                <w:rFonts w:ascii="Calibri"/>
                <w:spacing w:val="-3"/>
                <w:sz w:val="18"/>
              </w:rPr>
              <w:t xml:space="preserve"> </w:t>
            </w:r>
            <w:r>
              <w:rPr>
                <w:rFonts w:ascii="Calibri"/>
                <w:spacing w:val="-1"/>
                <w:sz w:val="18"/>
              </w:rPr>
              <w:t>to</w:t>
            </w:r>
            <w:r>
              <w:rPr>
                <w:rFonts w:ascii="Calibri"/>
                <w:spacing w:val="61"/>
                <w:sz w:val="18"/>
              </w:rPr>
              <w:t xml:space="preserve"> </w:t>
            </w:r>
            <w:r>
              <w:rPr>
                <w:rFonts w:ascii="Calibri"/>
                <w:spacing w:val="-1"/>
                <w:sz w:val="18"/>
              </w:rPr>
              <w:t>install</w:t>
            </w:r>
            <w:r>
              <w:rPr>
                <w:rFonts w:ascii="Calibri"/>
                <w:spacing w:val="1"/>
                <w:sz w:val="18"/>
              </w:rPr>
              <w:t xml:space="preserve"> </w:t>
            </w:r>
            <w:r>
              <w:rPr>
                <w:rFonts w:ascii="Calibri"/>
                <w:spacing w:val="-1"/>
                <w:sz w:val="18"/>
              </w:rPr>
              <w:t>those</w:t>
            </w:r>
            <w:r>
              <w:rPr>
                <w:rFonts w:ascii="Calibri"/>
                <w:spacing w:val="-2"/>
                <w:sz w:val="18"/>
              </w:rPr>
              <w:t xml:space="preserve"> </w:t>
            </w:r>
            <w:r>
              <w:rPr>
                <w:rFonts w:ascii="Calibri"/>
                <w:sz w:val="18"/>
              </w:rPr>
              <w:t>than</w:t>
            </w:r>
            <w:r>
              <w:rPr>
                <w:rFonts w:ascii="Calibri"/>
                <w:spacing w:val="-2"/>
                <w:sz w:val="18"/>
              </w:rPr>
              <w:t xml:space="preserve"> </w:t>
            </w:r>
            <w:r>
              <w:rPr>
                <w:rFonts w:ascii="Calibri"/>
                <w:spacing w:val="-1"/>
                <w:sz w:val="18"/>
              </w:rPr>
              <w:t xml:space="preserve">any </w:t>
            </w:r>
            <w:r>
              <w:rPr>
                <w:rFonts w:ascii="Calibri"/>
                <w:sz w:val="18"/>
              </w:rPr>
              <w:t>other</w:t>
            </w:r>
            <w:r>
              <w:rPr>
                <w:rFonts w:ascii="Calibri"/>
                <w:spacing w:val="-2"/>
                <w:sz w:val="18"/>
              </w:rPr>
              <w:t xml:space="preserve"> </w:t>
            </w:r>
            <w:r>
              <w:rPr>
                <w:rFonts w:ascii="Calibri"/>
                <w:sz w:val="18"/>
              </w:rPr>
              <w:t>lamps</w:t>
            </w:r>
            <w:r>
              <w:rPr>
                <w:rFonts w:ascii="Calibri"/>
                <w:spacing w:val="-2"/>
                <w:sz w:val="18"/>
              </w:rPr>
              <w:t xml:space="preserve"> </w:t>
            </w:r>
            <w:r>
              <w:rPr>
                <w:rFonts w:ascii="Calibri"/>
                <w:spacing w:val="-1"/>
                <w:sz w:val="18"/>
              </w:rPr>
              <w:t>included</w:t>
            </w:r>
            <w:r>
              <w:rPr>
                <w:rFonts w:ascii="Calibri"/>
                <w:sz w:val="18"/>
              </w:rPr>
              <w:t xml:space="preserve"> </w:t>
            </w:r>
            <w:r>
              <w:rPr>
                <w:rFonts w:ascii="Calibri"/>
                <w:spacing w:val="-1"/>
                <w:sz w:val="18"/>
              </w:rPr>
              <w:t>in</w:t>
            </w:r>
            <w:r>
              <w:rPr>
                <w:rFonts w:ascii="Calibri"/>
                <w:spacing w:val="-2"/>
                <w:sz w:val="18"/>
              </w:rPr>
              <w:t xml:space="preserve"> </w:t>
            </w:r>
            <w:r>
              <w:rPr>
                <w:rFonts w:ascii="Calibri"/>
                <w:sz w:val="18"/>
              </w:rPr>
              <w:t>the</w:t>
            </w:r>
            <w:r>
              <w:rPr>
                <w:rFonts w:ascii="Calibri"/>
                <w:spacing w:val="-2"/>
                <w:sz w:val="18"/>
              </w:rPr>
              <w:t xml:space="preserve"> </w:t>
            </w:r>
            <w:r>
              <w:rPr>
                <w:rFonts w:ascii="Calibri"/>
                <w:spacing w:val="-1"/>
                <w:sz w:val="18"/>
              </w:rPr>
              <w:t>kits.</w:t>
            </w:r>
          </w:p>
        </w:tc>
        <w:tc>
          <w:tcPr>
            <w:tcW w:w="4734" w:type="dxa"/>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1109"/>
        </w:trPr>
        <w:tc>
          <w:tcPr>
            <w:tcW w:w="4626" w:type="dxa"/>
            <w:shd w:val="clear" w:color="auto" w:fill="D2EAF1"/>
          </w:tcPr>
          <w:p w:rsidR="00E646C9" w:rsidRDefault="00E646C9" w:rsidP="00C94D5A">
            <w:pPr>
              <w:pStyle w:val="TableParagraph"/>
              <w:ind w:left="102" w:right="227"/>
              <w:rPr>
                <w:rFonts w:ascii="Calibri" w:eastAsia="Calibri" w:hAnsi="Calibri" w:cs="Calibri"/>
                <w:sz w:val="18"/>
                <w:szCs w:val="18"/>
              </w:rPr>
            </w:pPr>
            <w:r>
              <w:rPr>
                <w:rFonts w:ascii="Calibri" w:eastAsia="Calibri" w:hAnsi="Calibri" w:cs="Calibri"/>
                <w:spacing w:val="-1"/>
                <w:sz w:val="18"/>
                <w:szCs w:val="18"/>
              </w:rPr>
              <w:t>Collect</w:t>
            </w:r>
            <w:r>
              <w:rPr>
                <w:rFonts w:ascii="Calibri" w:eastAsia="Calibri" w:hAnsi="Calibri" w:cs="Calibri"/>
                <w:spacing w:val="-4"/>
                <w:sz w:val="18"/>
                <w:szCs w:val="18"/>
              </w:rPr>
              <w:t xml:space="preserve"> </w:t>
            </w:r>
            <w:r>
              <w:rPr>
                <w:rFonts w:ascii="Calibri" w:eastAsia="Calibri" w:hAnsi="Calibri" w:cs="Calibri"/>
                <w:spacing w:val="-1"/>
                <w:sz w:val="18"/>
                <w:szCs w:val="18"/>
              </w:rPr>
              <w:t>customer</w:t>
            </w:r>
            <w:r>
              <w:rPr>
                <w:rFonts w:ascii="Calibri" w:eastAsia="Calibri" w:hAnsi="Calibri" w:cs="Calibri"/>
                <w:spacing w:val="-3"/>
                <w:sz w:val="18"/>
                <w:szCs w:val="18"/>
              </w:rPr>
              <w:t xml:space="preserve"> </w:t>
            </w:r>
            <w:r>
              <w:rPr>
                <w:rFonts w:ascii="Calibri" w:eastAsia="Calibri" w:hAnsi="Calibri" w:cs="Calibri"/>
                <w:spacing w:val="-1"/>
                <w:sz w:val="18"/>
                <w:szCs w:val="18"/>
              </w:rPr>
              <w:t>e-mail</w:t>
            </w:r>
            <w:r>
              <w:rPr>
                <w:rFonts w:ascii="Calibri" w:eastAsia="Calibri" w:hAnsi="Calibri" w:cs="Calibri"/>
                <w:spacing w:val="-3"/>
                <w:sz w:val="18"/>
                <w:szCs w:val="18"/>
              </w:rPr>
              <w:t xml:space="preserve"> </w:t>
            </w:r>
            <w:r>
              <w:rPr>
                <w:rFonts w:ascii="Calibri" w:eastAsia="Calibri" w:hAnsi="Calibri" w:cs="Calibri"/>
                <w:spacing w:val="-1"/>
                <w:sz w:val="18"/>
                <w:szCs w:val="18"/>
              </w:rPr>
              <w:t>addresses</w:t>
            </w:r>
            <w:r>
              <w:rPr>
                <w:rFonts w:ascii="Calibri" w:eastAsia="Calibri" w:hAnsi="Calibri" w:cs="Calibri"/>
                <w:spacing w:val="-3"/>
                <w:sz w:val="18"/>
                <w:szCs w:val="18"/>
              </w:rPr>
              <w:t xml:space="preserve"> </w:t>
            </w:r>
            <w:r>
              <w:rPr>
                <w:rFonts w:ascii="Calibri" w:eastAsia="Calibri" w:hAnsi="Calibri" w:cs="Calibri"/>
                <w:spacing w:val="-1"/>
                <w:sz w:val="18"/>
                <w:szCs w:val="18"/>
              </w:rPr>
              <w:t>during</w:t>
            </w:r>
            <w:r>
              <w:rPr>
                <w:rFonts w:ascii="Calibri" w:eastAsia="Calibri" w:hAnsi="Calibri" w:cs="Calibri"/>
                <w:spacing w:val="-4"/>
                <w:sz w:val="18"/>
                <w:szCs w:val="18"/>
              </w:rPr>
              <w:t xml:space="preserve"> </w:t>
            </w:r>
            <w:r>
              <w:rPr>
                <w:rFonts w:ascii="Calibri" w:eastAsia="Calibri" w:hAnsi="Calibri" w:cs="Calibri"/>
                <w:spacing w:val="-1"/>
                <w:sz w:val="18"/>
                <w:szCs w:val="18"/>
              </w:rPr>
              <w:t>customer</w:t>
            </w:r>
            <w:r>
              <w:rPr>
                <w:rFonts w:ascii="Calibri" w:eastAsia="Calibri" w:hAnsi="Calibri" w:cs="Calibri"/>
                <w:spacing w:val="-3"/>
                <w:sz w:val="18"/>
                <w:szCs w:val="18"/>
              </w:rPr>
              <w:t xml:space="preserve"> </w:t>
            </w:r>
            <w:r>
              <w:rPr>
                <w:rFonts w:ascii="Calibri" w:eastAsia="Calibri" w:hAnsi="Calibri" w:cs="Calibri"/>
                <w:spacing w:val="-1"/>
                <w:sz w:val="18"/>
                <w:szCs w:val="18"/>
              </w:rPr>
              <w:t>contact</w:t>
            </w:r>
            <w:r>
              <w:rPr>
                <w:rFonts w:ascii="Calibri" w:eastAsia="Calibri" w:hAnsi="Calibri" w:cs="Calibri"/>
                <w:spacing w:val="-3"/>
                <w:sz w:val="18"/>
                <w:szCs w:val="18"/>
              </w:rPr>
              <w:t xml:space="preserve"> </w:t>
            </w:r>
            <w:r>
              <w:rPr>
                <w:rFonts w:ascii="Calibri" w:eastAsia="Calibri" w:hAnsi="Calibri" w:cs="Calibri"/>
                <w:spacing w:val="-1"/>
                <w:sz w:val="18"/>
                <w:szCs w:val="18"/>
              </w:rPr>
              <w:t>opportunities</w:t>
            </w:r>
            <w:r>
              <w:rPr>
                <w:rFonts w:ascii="Calibri" w:eastAsia="Calibri" w:hAnsi="Calibri" w:cs="Calibri"/>
                <w:spacing w:val="-3"/>
                <w:sz w:val="18"/>
                <w:szCs w:val="18"/>
              </w:rPr>
              <w:t xml:space="preserve"> </w:t>
            </w:r>
            <w:r>
              <w:rPr>
                <w:rFonts w:ascii="Calibri" w:eastAsia="Calibri" w:hAnsi="Calibri" w:cs="Calibri"/>
                <w:sz w:val="18"/>
                <w:szCs w:val="18"/>
              </w:rPr>
              <w:t>such</w:t>
            </w:r>
            <w:r>
              <w:rPr>
                <w:rFonts w:ascii="Calibri" w:eastAsia="Calibri" w:hAnsi="Calibri" w:cs="Calibri"/>
                <w:spacing w:val="-3"/>
                <w:sz w:val="18"/>
                <w:szCs w:val="18"/>
              </w:rPr>
              <w:t xml:space="preserve"> </w:t>
            </w:r>
            <w:r>
              <w:rPr>
                <w:rFonts w:ascii="Calibri" w:eastAsia="Calibri" w:hAnsi="Calibri" w:cs="Calibri"/>
                <w:sz w:val="18"/>
                <w:szCs w:val="18"/>
              </w:rPr>
              <w:t>as</w:t>
            </w:r>
            <w:r>
              <w:rPr>
                <w:rFonts w:ascii="Calibri" w:eastAsia="Calibri" w:hAnsi="Calibri" w:cs="Calibri"/>
                <w:spacing w:val="91"/>
                <w:sz w:val="18"/>
                <w:szCs w:val="18"/>
              </w:rPr>
              <w:t xml:space="preserve"> </w:t>
            </w:r>
            <w:r>
              <w:rPr>
                <w:rFonts w:ascii="Calibri" w:eastAsia="Calibri" w:hAnsi="Calibri" w:cs="Calibri"/>
                <w:spacing w:val="-1"/>
                <w:sz w:val="18"/>
                <w:szCs w:val="18"/>
              </w:rPr>
              <w:t>program</w:t>
            </w:r>
            <w:r>
              <w:rPr>
                <w:rFonts w:ascii="Calibri" w:eastAsia="Calibri" w:hAnsi="Calibri" w:cs="Calibri"/>
                <w:spacing w:val="-3"/>
                <w:sz w:val="18"/>
                <w:szCs w:val="18"/>
              </w:rPr>
              <w:t xml:space="preserve"> </w:t>
            </w:r>
            <w:r>
              <w:rPr>
                <w:rFonts w:ascii="Calibri" w:eastAsia="Calibri" w:hAnsi="Calibri" w:cs="Calibri"/>
                <w:spacing w:val="-1"/>
                <w:sz w:val="18"/>
                <w:szCs w:val="18"/>
              </w:rPr>
              <w:t>feedback,</w:t>
            </w:r>
            <w:r>
              <w:rPr>
                <w:rFonts w:ascii="Calibri" w:eastAsia="Calibri" w:hAnsi="Calibri" w:cs="Calibri"/>
                <w:spacing w:val="-2"/>
                <w:sz w:val="18"/>
                <w:szCs w:val="18"/>
              </w:rPr>
              <w:t xml:space="preserve"> </w:t>
            </w:r>
            <w:r>
              <w:rPr>
                <w:rFonts w:ascii="Calibri" w:eastAsia="Calibri" w:hAnsi="Calibri" w:cs="Calibri"/>
                <w:spacing w:val="-1"/>
                <w:sz w:val="18"/>
                <w:szCs w:val="18"/>
              </w:rPr>
              <w:t>rebate</w:t>
            </w:r>
            <w:r>
              <w:rPr>
                <w:rFonts w:ascii="Calibri" w:eastAsia="Calibri" w:hAnsi="Calibri" w:cs="Calibri"/>
                <w:spacing w:val="-4"/>
                <w:sz w:val="18"/>
                <w:szCs w:val="18"/>
              </w:rPr>
              <w:t xml:space="preserve"> </w:t>
            </w:r>
            <w:r>
              <w:rPr>
                <w:rFonts w:ascii="Calibri" w:eastAsia="Calibri" w:hAnsi="Calibri" w:cs="Calibri"/>
                <w:spacing w:val="-1"/>
                <w:sz w:val="18"/>
                <w:szCs w:val="18"/>
              </w:rPr>
              <w:t>forms,</w:t>
            </w:r>
            <w:r>
              <w:rPr>
                <w:rFonts w:ascii="Calibri" w:eastAsia="Calibri" w:hAnsi="Calibri" w:cs="Calibri"/>
                <w:spacing w:val="1"/>
                <w:sz w:val="18"/>
                <w:szCs w:val="18"/>
              </w:rPr>
              <w:t xml:space="preserve"> </w:t>
            </w:r>
            <w:r>
              <w:rPr>
                <w:rFonts w:ascii="Calibri" w:eastAsia="Calibri" w:hAnsi="Calibri" w:cs="Calibri"/>
                <w:spacing w:val="-1"/>
                <w:sz w:val="18"/>
                <w:szCs w:val="18"/>
              </w:rPr>
              <w:t>and</w:t>
            </w:r>
            <w:r>
              <w:rPr>
                <w:rFonts w:ascii="Calibri" w:eastAsia="Calibri" w:hAnsi="Calibri" w:cs="Calibri"/>
                <w:spacing w:val="-3"/>
                <w:sz w:val="18"/>
                <w:szCs w:val="18"/>
              </w:rPr>
              <w:t xml:space="preserve"> </w:t>
            </w:r>
            <w:r>
              <w:rPr>
                <w:rFonts w:ascii="Calibri" w:eastAsia="Calibri" w:hAnsi="Calibri" w:cs="Calibri"/>
                <w:spacing w:val="-1"/>
                <w:sz w:val="18"/>
                <w:szCs w:val="18"/>
              </w:rPr>
              <w:t>calls</w:t>
            </w:r>
            <w:r>
              <w:rPr>
                <w:rFonts w:ascii="Calibri" w:eastAsia="Calibri" w:hAnsi="Calibri" w:cs="Calibri"/>
                <w:spacing w:val="-4"/>
                <w:sz w:val="18"/>
                <w:szCs w:val="18"/>
              </w:rPr>
              <w:t xml:space="preserve"> </w:t>
            </w:r>
            <w:r>
              <w:rPr>
                <w:rFonts w:ascii="Calibri" w:eastAsia="Calibri" w:hAnsi="Calibri" w:cs="Calibri"/>
                <w:spacing w:val="-1"/>
                <w:sz w:val="18"/>
                <w:szCs w:val="18"/>
              </w:rPr>
              <w:t xml:space="preserve">to </w:t>
            </w:r>
            <w:r>
              <w:rPr>
                <w:rFonts w:ascii="Calibri" w:eastAsia="Calibri" w:hAnsi="Calibri" w:cs="Calibri"/>
                <w:sz w:val="18"/>
                <w:szCs w:val="18"/>
              </w:rPr>
              <w:t>the</w:t>
            </w:r>
            <w:r>
              <w:rPr>
                <w:rFonts w:ascii="Calibri" w:eastAsia="Calibri" w:hAnsi="Calibri" w:cs="Calibri"/>
                <w:spacing w:val="-3"/>
                <w:sz w:val="18"/>
                <w:szCs w:val="18"/>
              </w:rPr>
              <w:t xml:space="preserve"> </w:t>
            </w:r>
            <w:r>
              <w:rPr>
                <w:rFonts w:ascii="Calibri" w:eastAsia="Calibri" w:hAnsi="Calibri" w:cs="Calibri"/>
                <w:spacing w:val="-1"/>
                <w:sz w:val="18"/>
                <w:szCs w:val="18"/>
              </w:rPr>
              <w:t>Customer</w:t>
            </w:r>
            <w:r>
              <w:rPr>
                <w:rFonts w:ascii="Calibri" w:eastAsia="Calibri" w:hAnsi="Calibri" w:cs="Calibri"/>
                <w:spacing w:val="-4"/>
                <w:sz w:val="18"/>
                <w:szCs w:val="18"/>
              </w:rPr>
              <w:t xml:space="preserve"> </w:t>
            </w:r>
            <w:r>
              <w:rPr>
                <w:rFonts w:ascii="Calibri" w:eastAsia="Calibri" w:hAnsi="Calibri" w:cs="Calibri"/>
                <w:sz w:val="18"/>
                <w:szCs w:val="18"/>
              </w:rPr>
              <w:t>Contact</w:t>
            </w:r>
            <w:r>
              <w:rPr>
                <w:rFonts w:ascii="Calibri" w:eastAsia="Calibri" w:hAnsi="Calibri" w:cs="Calibri"/>
                <w:spacing w:val="-3"/>
                <w:sz w:val="18"/>
                <w:szCs w:val="18"/>
              </w:rPr>
              <w:t xml:space="preserve"> </w:t>
            </w:r>
            <w:r>
              <w:rPr>
                <w:rFonts w:ascii="Calibri" w:eastAsia="Calibri" w:hAnsi="Calibri" w:cs="Calibri"/>
                <w:spacing w:val="-1"/>
                <w:sz w:val="18"/>
                <w:szCs w:val="18"/>
              </w:rPr>
              <w:t>Center</w:t>
            </w:r>
            <w:r>
              <w:rPr>
                <w:rFonts w:ascii="Calibri" w:eastAsia="Calibri" w:hAnsi="Calibri" w:cs="Calibri"/>
                <w:spacing w:val="-3"/>
                <w:sz w:val="18"/>
                <w:szCs w:val="18"/>
              </w:rPr>
              <w:t xml:space="preserve"> </w:t>
            </w:r>
            <w:r>
              <w:rPr>
                <w:rFonts w:ascii="Calibri" w:eastAsia="Calibri" w:hAnsi="Calibri" w:cs="Calibri"/>
                <w:sz w:val="18"/>
                <w:szCs w:val="18"/>
              </w:rPr>
              <w:t>(CCC),</w:t>
            </w:r>
            <w:r>
              <w:rPr>
                <w:rFonts w:ascii="Calibri" w:eastAsia="Calibri" w:hAnsi="Calibri" w:cs="Calibri"/>
                <w:spacing w:val="-3"/>
                <w:sz w:val="18"/>
                <w:szCs w:val="18"/>
              </w:rPr>
              <w:t xml:space="preserve"> </w:t>
            </w:r>
            <w:r>
              <w:rPr>
                <w:rFonts w:ascii="Calibri" w:eastAsia="Calibri" w:hAnsi="Calibri" w:cs="Calibri"/>
                <w:spacing w:val="-1"/>
                <w:sz w:val="18"/>
                <w:szCs w:val="18"/>
              </w:rPr>
              <w:t>etc.,</w:t>
            </w:r>
            <w:r>
              <w:rPr>
                <w:rFonts w:ascii="Calibri" w:eastAsia="Calibri" w:hAnsi="Calibri" w:cs="Calibri"/>
                <w:spacing w:val="71"/>
                <w:w w:val="99"/>
                <w:sz w:val="18"/>
                <w:szCs w:val="18"/>
              </w:rPr>
              <w:t xml:space="preserve"> </w:t>
            </w:r>
            <w:r>
              <w:rPr>
                <w:rFonts w:ascii="Calibri" w:eastAsia="Calibri" w:hAnsi="Calibri" w:cs="Calibri"/>
                <w:spacing w:val="-1"/>
                <w:sz w:val="18"/>
                <w:szCs w:val="18"/>
              </w:rPr>
              <w:t>to use</w:t>
            </w:r>
            <w:r>
              <w:rPr>
                <w:rFonts w:ascii="Calibri" w:eastAsia="Calibri" w:hAnsi="Calibri" w:cs="Calibri"/>
                <w:spacing w:val="-3"/>
                <w:sz w:val="18"/>
                <w:szCs w:val="18"/>
              </w:rPr>
              <w:t xml:space="preserve"> </w:t>
            </w:r>
            <w:r>
              <w:rPr>
                <w:rFonts w:ascii="Calibri" w:eastAsia="Calibri" w:hAnsi="Calibri" w:cs="Calibri"/>
                <w:spacing w:val="-1"/>
                <w:sz w:val="18"/>
                <w:szCs w:val="18"/>
              </w:rPr>
              <w:t>in</w:t>
            </w:r>
            <w:r>
              <w:rPr>
                <w:rFonts w:ascii="Calibri" w:eastAsia="Calibri" w:hAnsi="Calibri" w:cs="Calibri"/>
                <w:spacing w:val="-3"/>
                <w:sz w:val="18"/>
                <w:szCs w:val="18"/>
              </w:rPr>
              <w:t xml:space="preserve"> </w:t>
            </w:r>
            <w:r>
              <w:rPr>
                <w:rFonts w:ascii="Calibri" w:eastAsia="Calibri" w:hAnsi="Calibri" w:cs="Calibri"/>
                <w:sz w:val="18"/>
                <w:szCs w:val="18"/>
              </w:rPr>
              <w:t>future</w:t>
            </w:r>
            <w:r>
              <w:rPr>
                <w:rFonts w:ascii="Calibri" w:eastAsia="Calibri" w:hAnsi="Calibri" w:cs="Calibri"/>
                <w:spacing w:val="-3"/>
                <w:sz w:val="18"/>
                <w:szCs w:val="18"/>
              </w:rPr>
              <w:t xml:space="preserve"> </w:t>
            </w:r>
            <w:r>
              <w:rPr>
                <w:rFonts w:ascii="Calibri" w:eastAsia="Calibri" w:hAnsi="Calibri" w:cs="Calibri"/>
                <w:spacing w:val="-1"/>
                <w:sz w:val="18"/>
                <w:szCs w:val="18"/>
              </w:rPr>
              <w:t>marketing</w:t>
            </w:r>
            <w:r>
              <w:rPr>
                <w:rFonts w:ascii="Calibri" w:eastAsia="Calibri" w:hAnsi="Calibri" w:cs="Calibri"/>
                <w:spacing w:val="-3"/>
                <w:sz w:val="18"/>
                <w:szCs w:val="18"/>
              </w:rPr>
              <w:t xml:space="preserve"> </w:t>
            </w:r>
            <w:r>
              <w:rPr>
                <w:rFonts w:ascii="Calibri" w:eastAsia="Calibri" w:hAnsi="Calibri" w:cs="Calibri"/>
                <w:spacing w:val="-1"/>
                <w:sz w:val="18"/>
                <w:szCs w:val="18"/>
              </w:rPr>
              <w:t>campaigns.</w:t>
            </w:r>
            <w:r>
              <w:rPr>
                <w:rFonts w:ascii="Calibri" w:eastAsia="Calibri" w:hAnsi="Calibri" w:cs="Calibri"/>
                <w:spacing w:val="37"/>
                <w:sz w:val="18"/>
                <w:szCs w:val="18"/>
              </w:rPr>
              <w:t xml:space="preserve"> </w:t>
            </w:r>
            <w:r>
              <w:rPr>
                <w:rFonts w:ascii="Calibri" w:eastAsia="Calibri" w:hAnsi="Calibri" w:cs="Calibri"/>
                <w:sz w:val="18"/>
                <w:szCs w:val="18"/>
              </w:rPr>
              <w:t>Be</w:t>
            </w:r>
            <w:r>
              <w:rPr>
                <w:rFonts w:ascii="Calibri" w:eastAsia="Calibri" w:hAnsi="Calibri" w:cs="Calibri"/>
                <w:spacing w:val="-1"/>
                <w:sz w:val="18"/>
                <w:szCs w:val="18"/>
              </w:rPr>
              <w:t xml:space="preserve"> sure</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3"/>
                <w:sz w:val="18"/>
                <w:szCs w:val="18"/>
              </w:rPr>
              <w:t xml:space="preserve"> </w:t>
            </w:r>
            <w:r>
              <w:rPr>
                <w:rFonts w:ascii="Calibri" w:eastAsia="Calibri" w:hAnsi="Calibri" w:cs="Calibri"/>
                <w:spacing w:val="-1"/>
                <w:sz w:val="18"/>
                <w:szCs w:val="18"/>
              </w:rPr>
              <w:t>language</w:t>
            </w:r>
            <w:r>
              <w:rPr>
                <w:rFonts w:ascii="Calibri" w:eastAsia="Calibri" w:hAnsi="Calibri" w:cs="Calibri"/>
                <w:spacing w:val="-3"/>
                <w:sz w:val="18"/>
                <w:szCs w:val="18"/>
              </w:rPr>
              <w:t xml:space="preserve"> </w:t>
            </w:r>
            <w:r>
              <w:rPr>
                <w:rFonts w:ascii="Calibri" w:eastAsia="Calibri" w:hAnsi="Calibri" w:cs="Calibri"/>
                <w:spacing w:val="-1"/>
                <w:sz w:val="18"/>
                <w:szCs w:val="18"/>
              </w:rPr>
              <w:t>included</w:t>
            </w:r>
            <w:r>
              <w:rPr>
                <w:rFonts w:ascii="Calibri" w:eastAsia="Calibri" w:hAnsi="Calibri" w:cs="Calibri"/>
                <w:spacing w:val="-3"/>
                <w:sz w:val="18"/>
                <w:szCs w:val="18"/>
              </w:rPr>
              <w:t xml:space="preserve"> </w:t>
            </w:r>
            <w:r>
              <w:rPr>
                <w:rFonts w:ascii="Calibri" w:eastAsia="Calibri" w:hAnsi="Calibri" w:cs="Calibri"/>
                <w:spacing w:val="-1"/>
                <w:sz w:val="18"/>
                <w:szCs w:val="18"/>
              </w:rPr>
              <w:t>permits</w:t>
            </w:r>
            <w:r>
              <w:rPr>
                <w:rFonts w:ascii="Calibri" w:eastAsia="Calibri" w:hAnsi="Calibri" w:cs="Calibri"/>
                <w:spacing w:val="-3"/>
                <w:sz w:val="18"/>
                <w:szCs w:val="18"/>
              </w:rPr>
              <w:t xml:space="preserve"> </w:t>
            </w:r>
            <w:r>
              <w:rPr>
                <w:rFonts w:ascii="Calibri" w:eastAsia="Calibri" w:hAnsi="Calibri" w:cs="Calibri"/>
                <w:spacing w:val="-1"/>
                <w:sz w:val="18"/>
                <w:szCs w:val="18"/>
              </w:rPr>
              <w:t>future</w:t>
            </w:r>
            <w:r>
              <w:rPr>
                <w:rFonts w:ascii="Calibri" w:eastAsia="Calibri" w:hAnsi="Calibri" w:cs="Calibri"/>
                <w:spacing w:val="79"/>
                <w:w w:val="99"/>
                <w:sz w:val="18"/>
                <w:szCs w:val="18"/>
              </w:rPr>
              <w:t xml:space="preserve"> </w:t>
            </w:r>
            <w:r>
              <w:rPr>
                <w:rFonts w:ascii="Calibri" w:eastAsia="Calibri" w:hAnsi="Calibri" w:cs="Calibri"/>
                <w:spacing w:val="-1"/>
                <w:sz w:val="18"/>
                <w:szCs w:val="18"/>
              </w:rPr>
              <w:t>solicitation.</w:t>
            </w:r>
            <w:r>
              <w:rPr>
                <w:rFonts w:ascii="Calibri" w:eastAsia="Calibri" w:hAnsi="Calibri" w:cs="Calibri"/>
                <w:spacing w:val="-3"/>
                <w:sz w:val="18"/>
                <w:szCs w:val="18"/>
              </w:rPr>
              <w:t xml:space="preserve"> </w:t>
            </w:r>
            <w:r>
              <w:rPr>
                <w:rFonts w:ascii="Calibri" w:eastAsia="Calibri" w:hAnsi="Calibri" w:cs="Calibri"/>
                <w:spacing w:val="-1"/>
                <w:sz w:val="18"/>
                <w:szCs w:val="18"/>
              </w:rPr>
              <w:t>Provide</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3"/>
                <w:sz w:val="18"/>
                <w:szCs w:val="18"/>
              </w:rPr>
              <w:t xml:space="preserve"> </w:t>
            </w:r>
            <w:r>
              <w:rPr>
                <w:rFonts w:ascii="Calibri" w:eastAsia="Calibri" w:hAnsi="Calibri" w:cs="Calibri"/>
                <w:spacing w:val="-1"/>
                <w:sz w:val="18"/>
                <w:szCs w:val="18"/>
              </w:rPr>
              <w:t xml:space="preserve">“subscribe to </w:t>
            </w:r>
            <w:r>
              <w:rPr>
                <w:rFonts w:ascii="Calibri" w:eastAsia="Calibri" w:hAnsi="Calibri" w:cs="Calibri"/>
                <w:sz w:val="18"/>
                <w:szCs w:val="18"/>
              </w:rPr>
              <w:t>EE</w:t>
            </w:r>
            <w:r>
              <w:rPr>
                <w:rFonts w:ascii="Calibri" w:eastAsia="Calibri" w:hAnsi="Calibri" w:cs="Calibri"/>
                <w:spacing w:val="-1"/>
                <w:sz w:val="18"/>
                <w:szCs w:val="18"/>
              </w:rPr>
              <w:t xml:space="preserve"> program</w:t>
            </w:r>
            <w:r>
              <w:rPr>
                <w:rFonts w:ascii="Calibri" w:eastAsia="Calibri" w:hAnsi="Calibri" w:cs="Calibri"/>
                <w:spacing w:val="-2"/>
                <w:sz w:val="18"/>
                <w:szCs w:val="18"/>
              </w:rPr>
              <w:t xml:space="preserve"> </w:t>
            </w:r>
            <w:r>
              <w:rPr>
                <w:rFonts w:ascii="Calibri" w:eastAsia="Calibri" w:hAnsi="Calibri" w:cs="Calibri"/>
                <w:spacing w:val="-1"/>
                <w:sz w:val="18"/>
                <w:szCs w:val="18"/>
              </w:rPr>
              <w:t>updates”</w:t>
            </w:r>
            <w:r>
              <w:rPr>
                <w:rFonts w:ascii="Calibri" w:eastAsia="Calibri" w:hAnsi="Calibri" w:cs="Calibri"/>
                <w:spacing w:val="-3"/>
                <w:sz w:val="18"/>
                <w:szCs w:val="18"/>
              </w:rPr>
              <w:t xml:space="preserve"> </w:t>
            </w:r>
            <w:r>
              <w:rPr>
                <w:rFonts w:ascii="Calibri" w:eastAsia="Calibri" w:hAnsi="Calibri" w:cs="Calibri"/>
                <w:sz w:val="18"/>
                <w:szCs w:val="18"/>
              </w:rPr>
              <w:t>on</w:t>
            </w:r>
            <w:r>
              <w:rPr>
                <w:rFonts w:ascii="Calibri" w:eastAsia="Calibri" w:hAnsi="Calibri" w:cs="Calibri"/>
                <w:spacing w:val="-3"/>
                <w:sz w:val="18"/>
                <w:szCs w:val="18"/>
              </w:rPr>
              <w:t xml:space="preserve"> </w:t>
            </w:r>
            <w:r>
              <w:rPr>
                <w:rFonts w:ascii="Calibri" w:eastAsia="Calibri" w:hAnsi="Calibri" w:cs="Calibri"/>
                <w:spacing w:val="-1"/>
                <w:sz w:val="18"/>
                <w:szCs w:val="18"/>
              </w:rPr>
              <w:t>the FirstEnergy</w:t>
            </w:r>
            <w:r>
              <w:rPr>
                <w:rFonts w:ascii="Calibri" w:eastAsia="Calibri" w:hAnsi="Calibri" w:cs="Calibri"/>
                <w:spacing w:val="-2"/>
                <w:sz w:val="18"/>
                <w:szCs w:val="18"/>
              </w:rPr>
              <w:t xml:space="preserve"> </w:t>
            </w:r>
            <w:r>
              <w:rPr>
                <w:rFonts w:ascii="Calibri" w:eastAsia="Calibri" w:hAnsi="Calibri" w:cs="Calibri"/>
                <w:sz w:val="18"/>
                <w:szCs w:val="18"/>
              </w:rPr>
              <w:t>and</w:t>
            </w:r>
            <w:r>
              <w:rPr>
                <w:rFonts w:ascii="Calibri" w:eastAsia="Calibri" w:hAnsi="Calibri" w:cs="Calibri"/>
                <w:spacing w:val="-3"/>
                <w:sz w:val="18"/>
                <w:szCs w:val="18"/>
              </w:rPr>
              <w:t xml:space="preserve"> </w:t>
            </w:r>
            <w:r>
              <w:rPr>
                <w:rFonts w:ascii="Calibri" w:eastAsia="Calibri" w:hAnsi="Calibri" w:cs="Calibri"/>
                <w:spacing w:val="-1"/>
                <w:sz w:val="18"/>
                <w:szCs w:val="18"/>
              </w:rPr>
              <w:t>ICSP</w:t>
            </w:r>
            <w:r>
              <w:rPr>
                <w:rFonts w:ascii="Calibri" w:eastAsia="Calibri" w:hAnsi="Calibri" w:cs="Calibri"/>
                <w:spacing w:val="65"/>
                <w:w w:val="99"/>
                <w:sz w:val="18"/>
                <w:szCs w:val="18"/>
              </w:rPr>
              <w:t xml:space="preserve"> </w:t>
            </w:r>
            <w:r>
              <w:rPr>
                <w:rFonts w:ascii="Calibri" w:eastAsia="Calibri" w:hAnsi="Calibri" w:cs="Calibri"/>
                <w:spacing w:val="-1"/>
                <w:sz w:val="18"/>
                <w:szCs w:val="18"/>
              </w:rPr>
              <w:t>websites.</w:t>
            </w:r>
          </w:p>
        </w:tc>
        <w:tc>
          <w:tcPr>
            <w:tcW w:w="4734" w:type="dxa"/>
            <w:shd w:val="clear" w:color="auto" w:fill="D2EAF1"/>
          </w:tcPr>
          <w:p w:rsidR="00E646C9" w:rsidRDefault="00E646C9" w:rsidP="00C94D5A">
            <w:pPr>
              <w:pStyle w:val="TableParagraph"/>
              <w:ind w:left="102" w:right="414"/>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Phase</w:t>
            </w:r>
            <w:r>
              <w:rPr>
                <w:rFonts w:ascii="Calibri"/>
                <w:spacing w:val="-3"/>
                <w:sz w:val="18"/>
              </w:rPr>
              <w:t xml:space="preserve"> </w:t>
            </w:r>
            <w:r>
              <w:rPr>
                <w:rFonts w:ascii="Calibri"/>
                <w:sz w:val="18"/>
              </w:rPr>
              <w:t>III</w:t>
            </w:r>
            <w:r>
              <w:rPr>
                <w:rFonts w:ascii="Calibri"/>
                <w:spacing w:val="31"/>
                <w:w w:val="99"/>
                <w:sz w:val="18"/>
              </w:rPr>
              <w:t xml:space="preserve"> </w:t>
            </w:r>
            <w:r>
              <w:rPr>
                <w:rFonts w:ascii="Calibri"/>
                <w:spacing w:val="-1"/>
                <w:sz w:val="18"/>
              </w:rPr>
              <w:t>based</w:t>
            </w:r>
            <w:r>
              <w:rPr>
                <w:rFonts w:ascii="Calibri"/>
                <w:spacing w:val="-3"/>
                <w:sz w:val="18"/>
              </w:rPr>
              <w:t xml:space="preserve"> </w:t>
            </w:r>
            <w:r>
              <w:rPr>
                <w:rFonts w:ascii="Calibri"/>
                <w:sz w:val="18"/>
              </w:rPr>
              <w:t>on</w:t>
            </w:r>
            <w:r>
              <w:rPr>
                <w:rFonts w:ascii="Calibri"/>
                <w:spacing w:val="-3"/>
                <w:sz w:val="18"/>
              </w:rPr>
              <w:t xml:space="preserve"> </w:t>
            </w:r>
            <w:r>
              <w:rPr>
                <w:rFonts w:ascii="Calibri"/>
                <w:spacing w:val="-1"/>
                <w:sz w:val="18"/>
              </w:rPr>
              <w:t>capabilities</w:t>
            </w:r>
            <w:r>
              <w:rPr>
                <w:rFonts w:ascii="Calibri"/>
                <w:spacing w:val="-2"/>
                <w:sz w:val="18"/>
              </w:rPr>
              <w:t xml:space="preserve"> </w:t>
            </w:r>
            <w:r>
              <w:rPr>
                <w:rFonts w:ascii="Calibri"/>
                <w:sz w:val="18"/>
              </w:rPr>
              <w:t>of</w:t>
            </w:r>
            <w:r>
              <w:rPr>
                <w:rFonts w:ascii="Calibri"/>
                <w:spacing w:val="-2"/>
                <w:sz w:val="18"/>
              </w:rPr>
              <w:t xml:space="preserve"> </w:t>
            </w:r>
            <w:r>
              <w:rPr>
                <w:rFonts w:ascii="Calibri"/>
                <w:spacing w:val="-1"/>
                <w:sz w:val="18"/>
              </w:rPr>
              <w:t>ICSP</w:t>
            </w:r>
          </w:p>
        </w:tc>
      </w:tr>
      <w:tr w:rsidR="00E646C9" w:rsidTr="0011636D">
        <w:trPr>
          <w:trHeight w:hRule="exact" w:val="670"/>
        </w:trPr>
        <w:tc>
          <w:tcPr>
            <w:tcW w:w="4626" w:type="dxa"/>
          </w:tcPr>
          <w:p w:rsidR="00E646C9" w:rsidRDefault="00E646C9" w:rsidP="00C94D5A">
            <w:pPr>
              <w:pStyle w:val="TableParagraph"/>
              <w:ind w:left="102" w:right="377"/>
              <w:rPr>
                <w:rFonts w:ascii="Calibri" w:eastAsia="Calibri" w:hAnsi="Calibri" w:cs="Calibri"/>
                <w:sz w:val="18"/>
                <w:szCs w:val="18"/>
              </w:rPr>
            </w:pPr>
            <w:r>
              <w:rPr>
                <w:rFonts w:ascii="Calibri"/>
                <w:spacing w:val="-1"/>
                <w:sz w:val="18"/>
              </w:rPr>
              <w:t>Consider</w:t>
            </w:r>
            <w:r>
              <w:rPr>
                <w:rFonts w:ascii="Calibri"/>
                <w:spacing w:val="-5"/>
                <w:sz w:val="18"/>
              </w:rPr>
              <w:t xml:space="preserve"> </w:t>
            </w:r>
            <w:r>
              <w:rPr>
                <w:rFonts w:ascii="Calibri"/>
                <w:spacing w:val="-1"/>
                <w:sz w:val="18"/>
              </w:rPr>
              <w:t>revising</w:t>
            </w:r>
            <w:r>
              <w:rPr>
                <w:rFonts w:ascii="Calibri"/>
                <w:spacing w:val="-4"/>
                <w:sz w:val="18"/>
              </w:rPr>
              <w:t xml:space="preserve"> </w:t>
            </w:r>
            <w:r>
              <w:rPr>
                <w:rFonts w:ascii="Calibri"/>
                <w:sz w:val="18"/>
              </w:rPr>
              <w:t>the</w:t>
            </w:r>
            <w:r>
              <w:rPr>
                <w:rFonts w:ascii="Calibri"/>
                <w:spacing w:val="-5"/>
                <w:sz w:val="18"/>
              </w:rPr>
              <w:t xml:space="preserve"> </w:t>
            </w:r>
            <w:r>
              <w:rPr>
                <w:rFonts w:ascii="Calibri"/>
                <w:spacing w:val="-1"/>
                <w:sz w:val="18"/>
              </w:rPr>
              <w:t>rebate</w:t>
            </w:r>
            <w:r>
              <w:rPr>
                <w:rFonts w:ascii="Calibri"/>
                <w:spacing w:val="-4"/>
                <w:sz w:val="18"/>
              </w:rPr>
              <w:t xml:space="preserve"> </w:t>
            </w:r>
            <w:r>
              <w:rPr>
                <w:rFonts w:ascii="Calibri"/>
                <w:spacing w:val="-1"/>
                <w:sz w:val="18"/>
              </w:rPr>
              <w:t>structure</w:t>
            </w:r>
            <w:r>
              <w:rPr>
                <w:rFonts w:ascii="Calibri"/>
                <w:spacing w:val="-4"/>
                <w:sz w:val="18"/>
              </w:rPr>
              <w:t xml:space="preserve"> </w:t>
            </w:r>
            <w:r>
              <w:rPr>
                <w:rFonts w:ascii="Calibri"/>
                <w:sz w:val="18"/>
              </w:rPr>
              <w:t>for</w:t>
            </w:r>
            <w:r>
              <w:rPr>
                <w:rFonts w:ascii="Calibri"/>
                <w:spacing w:val="-5"/>
                <w:sz w:val="18"/>
              </w:rPr>
              <w:t xml:space="preserve"> </w:t>
            </w:r>
            <w:r>
              <w:rPr>
                <w:rFonts w:ascii="Calibri"/>
                <w:spacing w:val="-1"/>
                <w:sz w:val="18"/>
              </w:rPr>
              <w:t>the</w:t>
            </w:r>
            <w:r>
              <w:rPr>
                <w:rFonts w:ascii="Calibri"/>
                <w:spacing w:val="-4"/>
                <w:sz w:val="18"/>
              </w:rPr>
              <w:t xml:space="preserve"> </w:t>
            </w:r>
            <w:r>
              <w:rPr>
                <w:rFonts w:ascii="Calibri"/>
                <w:spacing w:val="-1"/>
                <w:sz w:val="18"/>
              </w:rPr>
              <w:t>audit-recommended</w:t>
            </w:r>
            <w:r>
              <w:rPr>
                <w:rFonts w:ascii="Calibri"/>
                <w:spacing w:val="-4"/>
                <w:sz w:val="18"/>
              </w:rPr>
              <w:t xml:space="preserve"> </w:t>
            </w:r>
            <w:r>
              <w:rPr>
                <w:rFonts w:ascii="Calibri"/>
                <w:spacing w:val="-1"/>
                <w:sz w:val="18"/>
              </w:rPr>
              <w:t>improvements</w:t>
            </w:r>
            <w:r>
              <w:rPr>
                <w:rFonts w:ascii="Calibri"/>
                <w:spacing w:val="-5"/>
                <w:sz w:val="18"/>
              </w:rPr>
              <w:t xml:space="preserve"> </w:t>
            </w:r>
            <w:r>
              <w:rPr>
                <w:rFonts w:ascii="Calibri"/>
                <w:spacing w:val="-1"/>
                <w:sz w:val="18"/>
              </w:rPr>
              <w:t>to</w:t>
            </w:r>
            <w:r>
              <w:rPr>
                <w:rFonts w:ascii="Calibri"/>
                <w:spacing w:val="97"/>
                <w:sz w:val="18"/>
              </w:rPr>
              <w:t xml:space="preserve"> </w:t>
            </w:r>
            <w:r>
              <w:rPr>
                <w:rFonts w:ascii="Calibri"/>
                <w:spacing w:val="-1"/>
                <w:sz w:val="18"/>
              </w:rPr>
              <w:t>adjust</w:t>
            </w:r>
            <w:r>
              <w:rPr>
                <w:rFonts w:ascii="Calibri"/>
                <w:spacing w:val="-4"/>
                <w:sz w:val="18"/>
              </w:rPr>
              <w:t xml:space="preserve"> </w:t>
            </w:r>
            <w:r>
              <w:rPr>
                <w:rFonts w:ascii="Calibri"/>
                <w:sz w:val="18"/>
              </w:rPr>
              <w:t>the</w:t>
            </w:r>
            <w:r>
              <w:rPr>
                <w:rFonts w:ascii="Calibri"/>
                <w:spacing w:val="-4"/>
                <w:sz w:val="18"/>
              </w:rPr>
              <w:t xml:space="preserve"> </w:t>
            </w:r>
            <w:r>
              <w:rPr>
                <w:rFonts w:ascii="Calibri"/>
                <w:sz w:val="18"/>
              </w:rPr>
              <w:t>focus</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the</w:t>
            </w:r>
            <w:r>
              <w:rPr>
                <w:rFonts w:ascii="Calibri"/>
                <w:spacing w:val="-4"/>
                <w:sz w:val="18"/>
              </w:rPr>
              <w:t xml:space="preserve"> </w:t>
            </w:r>
            <w:r>
              <w:rPr>
                <w:rFonts w:ascii="Calibri"/>
                <w:spacing w:val="-1"/>
                <w:sz w:val="18"/>
              </w:rPr>
              <w:t>program</w:t>
            </w:r>
            <w:r>
              <w:rPr>
                <w:rFonts w:ascii="Calibri"/>
                <w:spacing w:val="-2"/>
                <w:sz w:val="18"/>
              </w:rPr>
              <w:t xml:space="preserve"> </w:t>
            </w:r>
            <w:r>
              <w:rPr>
                <w:rFonts w:ascii="Calibri"/>
                <w:sz w:val="18"/>
              </w:rPr>
              <w:t>more</w:t>
            </w:r>
            <w:r>
              <w:rPr>
                <w:rFonts w:ascii="Calibri"/>
                <w:spacing w:val="-4"/>
                <w:sz w:val="18"/>
              </w:rPr>
              <w:t xml:space="preserve"> </w:t>
            </w:r>
            <w:r>
              <w:rPr>
                <w:rFonts w:ascii="Calibri"/>
                <w:spacing w:val="-1"/>
                <w:sz w:val="18"/>
              </w:rPr>
              <w:t>towards</w:t>
            </w:r>
            <w:r>
              <w:rPr>
                <w:rFonts w:ascii="Calibri"/>
                <w:spacing w:val="-4"/>
                <w:sz w:val="18"/>
              </w:rPr>
              <w:t xml:space="preserve"> </w:t>
            </w:r>
            <w:r>
              <w:rPr>
                <w:rFonts w:ascii="Calibri"/>
                <w:spacing w:val="-1"/>
                <w:sz w:val="18"/>
              </w:rPr>
              <w:t>encouraging</w:t>
            </w:r>
            <w:r>
              <w:rPr>
                <w:rFonts w:ascii="Calibri"/>
                <w:spacing w:val="-3"/>
                <w:sz w:val="18"/>
              </w:rPr>
              <w:t xml:space="preserve"> </w:t>
            </w:r>
            <w:r>
              <w:rPr>
                <w:rFonts w:ascii="Calibri"/>
                <w:spacing w:val="-1"/>
                <w:sz w:val="18"/>
              </w:rPr>
              <w:t>implementation</w:t>
            </w:r>
            <w:r>
              <w:rPr>
                <w:rFonts w:ascii="Calibri"/>
                <w:spacing w:val="-4"/>
                <w:sz w:val="18"/>
              </w:rPr>
              <w:t xml:space="preserve"> </w:t>
            </w:r>
            <w:r>
              <w:rPr>
                <w:rFonts w:ascii="Calibri"/>
                <w:sz w:val="18"/>
              </w:rPr>
              <w:t>of</w:t>
            </w:r>
            <w:r>
              <w:rPr>
                <w:rFonts w:ascii="Calibri"/>
                <w:spacing w:val="67"/>
                <w:sz w:val="18"/>
              </w:rPr>
              <w:t xml:space="preserve"> </w:t>
            </w:r>
            <w:r>
              <w:rPr>
                <w:rFonts w:ascii="Calibri"/>
                <w:spacing w:val="-1"/>
                <w:sz w:val="18"/>
              </w:rPr>
              <w:t>efficiency</w:t>
            </w:r>
            <w:r>
              <w:rPr>
                <w:rFonts w:ascii="Calibri"/>
                <w:spacing w:val="-7"/>
                <w:sz w:val="18"/>
              </w:rPr>
              <w:t xml:space="preserve"> </w:t>
            </w:r>
            <w:r>
              <w:rPr>
                <w:rFonts w:ascii="Calibri"/>
                <w:spacing w:val="-1"/>
                <w:sz w:val="18"/>
              </w:rPr>
              <w:t>upgrades.</w:t>
            </w:r>
          </w:p>
        </w:tc>
        <w:tc>
          <w:tcPr>
            <w:tcW w:w="4734"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667"/>
        </w:trPr>
        <w:tc>
          <w:tcPr>
            <w:tcW w:w="4626" w:type="dxa"/>
            <w:shd w:val="clear" w:color="auto" w:fill="D2EAF1"/>
          </w:tcPr>
          <w:p w:rsidR="00E646C9" w:rsidRDefault="00E646C9" w:rsidP="00C94D5A">
            <w:pPr>
              <w:pStyle w:val="TableParagraph"/>
              <w:ind w:left="102" w:right="140"/>
              <w:rPr>
                <w:rFonts w:ascii="Calibri" w:eastAsia="Calibri" w:hAnsi="Calibri" w:cs="Calibri"/>
                <w:sz w:val="18"/>
                <w:szCs w:val="18"/>
              </w:rPr>
            </w:pPr>
            <w:r>
              <w:rPr>
                <w:rFonts w:ascii="Calibri"/>
                <w:spacing w:val="-1"/>
                <w:sz w:val="18"/>
              </w:rPr>
              <w:t>Consider</w:t>
            </w:r>
            <w:r>
              <w:rPr>
                <w:rFonts w:ascii="Calibri"/>
                <w:spacing w:val="-4"/>
                <w:sz w:val="18"/>
              </w:rPr>
              <w:t xml:space="preserve"> </w:t>
            </w:r>
            <w:r>
              <w:rPr>
                <w:rFonts w:ascii="Calibri"/>
                <w:sz w:val="18"/>
              </w:rPr>
              <w:t>other</w:t>
            </w:r>
            <w:r>
              <w:rPr>
                <w:rFonts w:ascii="Calibri"/>
                <w:spacing w:val="-3"/>
                <w:sz w:val="18"/>
              </w:rPr>
              <w:t xml:space="preserve"> </w:t>
            </w:r>
            <w:r>
              <w:rPr>
                <w:rFonts w:ascii="Calibri"/>
                <w:spacing w:val="-1"/>
                <w:sz w:val="18"/>
              </w:rPr>
              <w:t>energy savings</w:t>
            </w:r>
            <w:r>
              <w:rPr>
                <w:rFonts w:ascii="Calibri"/>
                <w:spacing w:val="-4"/>
                <w:sz w:val="18"/>
              </w:rPr>
              <w:t xml:space="preserve"> </w:t>
            </w:r>
            <w:r>
              <w:rPr>
                <w:rFonts w:ascii="Calibri"/>
                <w:spacing w:val="-1"/>
                <w:sz w:val="18"/>
              </w:rPr>
              <w:t xml:space="preserve">modeling </w:t>
            </w:r>
            <w:r>
              <w:rPr>
                <w:rFonts w:ascii="Calibri"/>
                <w:sz w:val="18"/>
              </w:rPr>
              <w:t>tools</w:t>
            </w:r>
            <w:r>
              <w:rPr>
                <w:rFonts w:ascii="Calibri"/>
                <w:spacing w:val="-4"/>
                <w:sz w:val="18"/>
              </w:rPr>
              <w:t xml:space="preserve"> </w:t>
            </w:r>
            <w:r>
              <w:rPr>
                <w:rFonts w:ascii="Calibri"/>
                <w:spacing w:val="-1"/>
                <w:sz w:val="18"/>
              </w:rPr>
              <w:t>that</w:t>
            </w:r>
            <w:r>
              <w:rPr>
                <w:rFonts w:ascii="Calibri"/>
                <w:spacing w:val="-3"/>
                <w:sz w:val="18"/>
              </w:rPr>
              <w:t xml:space="preserve"> </w:t>
            </w:r>
            <w:r>
              <w:rPr>
                <w:rFonts w:ascii="Calibri"/>
                <w:sz w:val="18"/>
              </w:rPr>
              <w:t>may</w:t>
            </w:r>
            <w:r>
              <w:rPr>
                <w:rFonts w:ascii="Calibri"/>
                <w:spacing w:val="-3"/>
                <w:sz w:val="18"/>
              </w:rPr>
              <w:t xml:space="preserve"> </w:t>
            </w:r>
            <w:r>
              <w:rPr>
                <w:rFonts w:ascii="Calibri"/>
                <w:spacing w:val="-1"/>
                <w:sz w:val="18"/>
              </w:rPr>
              <w:t>have</w:t>
            </w:r>
            <w:r>
              <w:rPr>
                <w:rFonts w:ascii="Calibri"/>
                <w:spacing w:val="-3"/>
                <w:sz w:val="18"/>
              </w:rPr>
              <w:t xml:space="preserve"> </w:t>
            </w:r>
            <w:r>
              <w:rPr>
                <w:rFonts w:ascii="Calibri"/>
                <w:spacing w:val="-1"/>
                <w:sz w:val="18"/>
              </w:rPr>
              <w:t>advantages</w:t>
            </w:r>
            <w:r>
              <w:rPr>
                <w:rFonts w:ascii="Calibri"/>
                <w:spacing w:val="-3"/>
                <w:sz w:val="18"/>
              </w:rPr>
              <w:t xml:space="preserve"> </w:t>
            </w:r>
            <w:r>
              <w:rPr>
                <w:rFonts w:ascii="Calibri"/>
                <w:sz w:val="18"/>
              </w:rPr>
              <w:t>over</w:t>
            </w:r>
            <w:r>
              <w:rPr>
                <w:rFonts w:ascii="Calibri"/>
                <w:spacing w:val="-1"/>
                <w:sz w:val="18"/>
              </w:rPr>
              <w:t xml:space="preserve"> Surveyor.</w:t>
            </w:r>
            <w:r>
              <w:rPr>
                <w:rFonts w:ascii="Calibri"/>
                <w:spacing w:val="69"/>
                <w:sz w:val="18"/>
              </w:rPr>
              <w:t xml:space="preserve"> </w:t>
            </w:r>
            <w:r>
              <w:rPr>
                <w:rFonts w:ascii="Calibri"/>
                <w:spacing w:val="-1"/>
                <w:sz w:val="18"/>
              </w:rPr>
              <w:t>Holding</w:t>
            </w:r>
            <w:r>
              <w:rPr>
                <w:rFonts w:ascii="Calibri"/>
                <w:spacing w:val="-3"/>
                <w:sz w:val="18"/>
              </w:rPr>
              <w:t xml:space="preserve"> </w:t>
            </w:r>
            <w:r>
              <w:rPr>
                <w:rFonts w:ascii="Calibri"/>
                <w:sz w:val="18"/>
              </w:rPr>
              <w:t>an</w:t>
            </w:r>
            <w:r>
              <w:rPr>
                <w:rFonts w:ascii="Calibri"/>
                <w:spacing w:val="-3"/>
                <w:sz w:val="18"/>
              </w:rPr>
              <w:t xml:space="preserve"> </w:t>
            </w:r>
            <w:r>
              <w:rPr>
                <w:rFonts w:ascii="Calibri"/>
                <w:spacing w:val="-1"/>
                <w:sz w:val="18"/>
              </w:rPr>
              <w:t>informational</w:t>
            </w:r>
            <w:r>
              <w:rPr>
                <w:rFonts w:ascii="Calibri"/>
                <w:spacing w:val="-2"/>
                <w:sz w:val="18"/>
              </w:rPr>
              <w:t xml:space="preserve"> </w:t>
            </w:r>
            <w:r>
              <w:rPr>
                <w:rFonts w:ascii="Calibri"/>
                <w:spacing w:val="-1"/>
                <w:sz w:val="18"/>
              </w:rPr>
              <w:t>seminar</w:t>
            </w:r>
            <w:r>
              <w:rPr>
                <w:rFonts w:ascii="Calibri"/>
                <w:sz w:val="18"/>
              </w:rPr>
              <w:t xml:space="preserve"> on</w:t>
            </w:r>
            <w:r>
              <w:rPr>
                <w:rFonts w:ascii="Calibri"/>
                <w:spacing w:val="-2"/>
                <w:sz w:val="18"/>
              </w:rPr>
              <w:t xml:space="preserve"> </w:t>
            </w:r>
            <w:r>
              <w:rPr>
                <w:rFonts w:ascii="Calibri"/>
                <w:sz w:val="18"/>
              </w:rPr>
              <w:t>how</w:t>
            </w:r>
            <w:r>
              <w:rPr>
                <w:rFonts w:ascii="Calibri"/>
                <w:spacing w:val="-1"/>
                <w:sz w:val="18"/>
              </w:rPr>
              <w:t xml:space="preserve"> the</w:t>
            </w:r>
            <w:r>
              <w:rPr>
                <w:rFonts w:ascii="Calibri"/>
                <w:spacing w:val="-3"/>
                <w:sz w:val="18"/>
              </w:rPr>
              <w:t xml:space="preserve"> </w:t>
            </w:r>
            <w:r>
              <w:rPr>
                <w:rFonts w:ascii="Calibri"/>
                <w:spacing w:val="-1"/>
                <w:sz w:val="18"/>
              </w:rPr>
              <w:t>savings</w:t>
            </w:r>
            <w:r>
              <w:rPr>
                <w:rFonts w:ascii="Calibri"/>
                <w:spacing w:val="-2"/>
                <w:sz w:val="18"/>
              </w:rPr>
              <w:t xml:space="preserve"> </w:t>
            </w:r>
            <w:r>
              <w:rPr>
                <w:rFonts w:ascii="Calibri"/>
                <w:spacing w:val="-1"/>
                <w:sz w:val="18"/>
              </w:rPr>
              <w:t>values</w:t>
            </w:r>
            <w:r>
              <w:rPr>
                <w:rFonts w:ascii="Calibri"/>
                <w:spacing w:val="-3"/>
                <w:sz w:val="18"/>
              </w:rPr>
              <w:t xml:space="preserve"> </w:t>
            </w:r>
            <w:r>
              <w:rPr>
                <w:rFonts w:ascii="Calibri"/>
                <w:spacing w:val="-1"/>
                <w:sz w:val="18"/>
              </w:rPr>
              <w:t>are</w:t>
            </w:r>
            <w:r>
              <w:rPr>
                <w:rFonts w:ascii="Calibri"/>
                <w:spacing w:val="-2"/>
                <w:sz w:val="18"/>
              </w:rPr>
              <w:t xml:space="preserve"> </w:t>
            </w:r>
            <w:r>
              <w:rPr>
                <w:rFonts w:ascii="Calibri"/>
                <w:spacing w:val="-1"/>
                <w:sz w:val="18"/>
              </w:rPr>
              <w:t>determined</w:t>
            </w:r>
            <w:r>
              <w:rPr>
                <w:rFonts w:ascii="Calibri"/>
                <w:spacing w:val="-3"/>
                <w:sz w:val="18"/>
              </w:rPr>
              <w:t xml:space="preserve"> </w:t>
            </w:r>
            <w:r>
              <w:rPr>
                <w:rFonts w:ascii="Calibri"/>
                <w:sz w:val="18"/>
              </w:rPr>
              <w:t>may</w:t>
            </w:r>
            <w:r>
              <w:rPr>
                <w:rFonts w:ascii="Calibri"/>
                <w:spacing w:val="-1"/>
                <w:sz w:val="18"/>
              </w:rPr>
              <w:t xml:space="preserve"> also</w:t>
            </w:r>
            <w:r>
              <w:rPr>
                <w:rFonts w:ascii="Calibri"/>
                <w:spacing w:val="89"/>
                <w:sz w:val="18"/>
              </w:rPr>
              <w:t xml:space="preserve"> </w:t>
            </w:r>
            <w:r>
              <w:rPr>
                <w:rFonts w:ascii="Calibri"/>
                <w:spacing w:val="-1"/>
                <w:sz w:val="18"/>
              </w:rPr>
              <w:t>be</w:t>
            </w:r>
            <w:r>
              <w:rPr>
                <w:rFonts w:ascii="Calibri"/>
                <w:spacing w:val="-4"/>
                <w:sz w:val="18"/>
              </w:rPr>
              <w:t xml:space="preserve"> </w:t>
            </w:r>
            <w:r>
              <w:rPr>
                <w:rFonts w:ascii="Calibri"/>
                <w:spacing w:val="-1"/>
                <w:sz w:val="18"/>
              </w:rPr>
              <w:t>beneficial</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auditors.</w:t>
            </w:r>
          </w:p>
        </w:tc>
        <w:tc>
          <w:tcPr>
            <w:tcW w:w="4734"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890"/>
        </w:trPr>
        <w:tc>
          <w:tcPr>
            <w:tcW w:w="4626" w:type="dxa"/>
          </w:tcPr>
          <w:p w:rsidR="00E646C9" w:rsidRDefault="00E646C9" w:rsidP="00C94D5A">
            <w:pPr>
              <w:pStyle w:val="TableParagraph"/>
              <w:ind w:left="102" w:right="237"/>
              <w:rPr>
                <w:rFonts w:ascii="Calibri" w:eastAsia="Calibri" w:hAnsi="Calibri" w:cs="Calibri"/>
                <w:sz w:val="18"/>
                <w:szCs w:val="18"/>
              </w:rPr>
            </w:pPr>
            <w:r>
              <w:rPr>
                <w:rFonts w:ascii="Calibri"/>
                <w:spacing w:val="-1"/>
                <w:sz w:val="18"/>
              </w:rPr>
              <w:t>Continue</w:t>
            </w:r>
            <w:r>
              <w:rPr>
                <w:rFonts w:ascii="Calibri"/>
                <w:spacing w:val="-2"/>
                <w:sz w:val="18"/>
              </w:rPr>
              <w:t xml:space="preserve"> </w:t>
            </w:r>
            <w:r>
              <w:rPr>
                <w:rFonts w:ascii="Calibri"/>
                <w:spacing w:val="-1"/>
                <w:sz w:val="18"/>
              </w:rPr>
              <w:t>to market</w:t>
            </w:r>
            <w:r>
              <w:rPr>
                <w:rFonts w:ascii="Calibri"/>
                <w:spacing w:val="-3"/>
                <w:sz w:val="18"/>
              </w:rPr>
              <w:t xml:space="preserve"> </w:t>
            </w:r>
            <w:r>
              <w:rPr>
                <w:rFonts w:ascii="Calibri"/>
                <w:spacing w:val="-1"/>
                <w:sz w:val="18"/>
              </w:rPr>
              <w:t>the program</w:t>
            </w:r>
            <w:r>
              <w:rPr>
                <w:rFonts w:ascii="Calibri"/>
                <w:sz w:val="18"/>
              </w:rPr>
              <w:t xml:space="preserve"> </w:t>
            </w:r>
            <w:r>
              <w:rPr>
                <w:rFonts w:ascii="Calibri"/>
                <w:spacing w:val="-1"/>
                <w:sz w:val="18"/>
              </w:rPr>
              <w:t>through</w:t>
            </w:r>
            <w:r>
              <w:rPr>
                <w:rFonts w:ascii="Calibri"/>
                <w:spacing w:val="-2"/>
                <w:sz w:val="18"/>
              </w:rPr>
              <w:t xml:space="preserve"> </w:t>
            </w:r>
            <w:r>
              <w:rPr>
                <w:rFonts w:ascii="Calibri"/>
                <w:spacing w:val="-1"/>
                <w:sz w:val="18"/>
              </w:rPr>
              <w:t>bill</w:t>
            </w:r>
            <w:r>
              <w:rPr>
                <w:rFonts w:ascii="Calibri"/>
                <w:sz w:val="18"/>
              </w:rPr>
              <w:t xml:space="preserve"> </w:t>
            </w:r>
            <w:r>
              <w:rPr>
                <w:rFonts w:ascii="Calibri"/>
                <w:spacing w:val="-1"/>
                <w:sz w:val="18"/>
              </w:rPr>
              <w:t>inserts</w:t>
            </w:r>
            <w:r>
              <w:rPr>
                <w:rFonts w:ascii="Calibri"/>
                <w:spacing w:val="-3"/>
                <w:sz w:val="18"/>
              </w:rPr>
              <w:t xml:space="preserve"> </w:t>
            </w:r>
            <w:r>
              <w:rPr>
                <w:rFonts w:ascii="Calibri"/>
                <w:sz w:val="18"/>
              </w:rPr>
              <w:t>and</w:t>
            </w:r>
            <w:r>
              <w:rPr>
                <w:rFonts w:ascii="Calibri"/>
                <w:spacing w:val="-3"/>
                <w:sz w:val="18"/>
              </w:rPr>
              <w:t xml:space="preserve"> </w:t>
            </w:r>
            <w:r>
              <w:rPr>
                <w:rFonts w:ascii="Calibri"/>
                <w:spacing w:val="-1"/>
                <w:sz w:val="18"/>
              </w:rPr>
              <w:t>steer</w:t>
            </w:r>
            <w:r>
              <w:rPr>
                <w:rFonts w:ascii="Calibri"/>
                <w:spacing w:val="-3"/>
                <w:sz w:val="18"/>
              </w:rPr>
              <w:t xml:space="preserve"> </w:t>
            </w:r>
            <w:r>
              <w:rPr>
                <w:rFonts w:ascii="Calibri"/>
                <w:sz w:val="18"/>
              </w:rPr>
              <w:t>customers</w:t>
            </w:r>
            <w:r>
              <w:rPr>
                <w:rFonts w:ascii="Calibri"/>
                <w:spacing w:val="-3"/>
                <w:sz w:val="18"/>
              </w:rPr>
              <w:t xml:space="preserve"> </w:t>
            </w:r>
            <w:r>
              <w:rPr>
                <w:rFonts w:ascii="Calibri"/>
                <w:spacing w:val="-1"/>
                <w:sz w:val="18"/>
              </w:rPr>
              <w:t>to the</w:t>
            </w:r>
            <w:r>
              <w:rPr>
                <w:rFonts w:ascii="Calibri"/>
                <w:spacing w:val="55"/>
                <w:w w:val="99"/>
                <w:sz w:val="18"/>
              </w:rPr>
              <w:t xml:space="preserve"> </w:t>
            </w:r>
            <w:r>
              <w:rPr>
                <w:rFonts w:ascii="Calibri"/>
                <w:spacing w:val="-1"/>
                <w:sz w:val="18"/>
              </w:rPr>
              <w:t>program</w:t>
            </w:r>
            <w:r>
              <w:rPr>
                <w:rFonts w:ascii="Calibri"/>
                <w:spacing w:val="-4"/>
                <w:sz w:val="18"/>
              </w:rPr>
              <w:t xml:space="preserve"> </w:t>
            </w:r>
            <w:r>
              <w:rPr>
                <w:rFonts w:ascii="Calibri"/>
                <w:spacing w:val="-1"/>
                <w:sz w:val="18"/>
              </w:rPr>
              <w:t>via</w:t>
            </w:r>
            <w:r>
              <w:rPr>
                <w:rFonts w:ascii="Calibri"/>
                <w:spacing w:val="-3"/>
                <w:sz w:val="18"/>
              </w:rPr>
              <w:t xml:space="preserve"> </w:t>
            </w:r>
            <w:r>
              <w:rPr>
                <w:rFonts w:ascii="Calibri"/>
                <w:spacing w:val="-1"/>
                <w:sz w:val="18"/>
              </w:rPr>
              <w:t>the</w:t>
            </w:r>
            <w:r>
              <w:rPr>
                <w:rFonts w:ascii="Calibri"/>
                <w:spacing w:val="-4"/>
                <w:sz w:val="18"/>
              </w:rPr>
              <w:t xml:space="preserve"> </w:t>
            </w:r>
            <w:r>
              <w:rPr>
                <w:rFonts w:ascii="Calibri"/>
                <w:sz w:val="18"/>
              </w:rPr>
              <w:t>Behavior</w:t>
            </w:r>
            <w:r>
              <w:rPr>
                <w:rFonts w:ascii="Calibri"/>
                <w:spacing w:val="-3"/>
                <w:sz w:val="18"/>
              </w:rPr>
              <w:t xml:space="preserve"> </w:t>
            </w:r>
            <w:r>
              <w:rPr>
                <w:rFonts w:ascii="Calibri"/>
                <w:spacing w:val="-1"/>
                <w:sz w:val="18"/>
              </w:rPr>
              <w:t>subprogram</w:t>
            </w:r>
            <w:r>
              <w:rPr>
                <w:rFonts w:ascii="Calibri"/>
                <w:spacing w:val="-4"/>
                <w:sz w:val="18"/>
              </w:rPr>
              <w:t xml:space="preserve"> </w:t>
            </w:r>
            <w:r>
              <w:rPr>
                <w:rFonts w:ascii="Calibri"/>
                <w:sz w:val="18"/>
              </w:rPr>
              <w:t>Home</w:t>
            </w:r>
            <w:r>
              <w:rPr>
                <w:rFonts w:ascii="Calibri"/>
                <w:spacing w:val="-3"/>
                <w:sz w:val="18"/>
              </w:rPr>
              <w:t xml:space="preserve"> </w:t>
            </w:r>
            <w:r>
              <w:rPr>
                <w:rFonts w:ascii="Calibri"/>
                <w:spacing w:val="-1"/>
                <w:sz w:val="18"/>
              </w:rPr>
              <w:t>Energy</w:t>
            </w:r>
            <w:r>
              <w:rPr>
                <w:rFonts w:ascii="Calibri"/>
                <w:spacing w:val="-4"/>
                <w:sz w:val="18"/>
              </w:rPr>
              <w:t xml:space="preserve"> </w:t>
            </w:r>
            <w:r>
              <w:rPr>
                <w:rFonts w:ascii="Calibri"/>
                <w:spacing w:val="-1"/>
                <w:sz w:val="18"/>
              </w:rPr>
              <w:t>Reports.</w:t>
            </w:r>
            <w:r>
              <w:rPr>
                <w:rFonts w:ascii="Calibri"/>
                <w:spacing w:val="-3"/>
                <w:sz w:val="18"/>
              </w:rPr>
              <w:t xml:space="preserve"> </w:t>
            </w:r>
            <w:r>
              <w:rPr>
                <w:rFonts w:ascii="Calibri"/>
                <w:spacing w:val="-1"/>
                <w:sz w:val="18"/>
              </w:rPr>
              <w:t>Communicating</w:t>
            </w:r>
            <w:r>
              <w:rPr>
                <w:rFonts w:ascii="Calibri"/>
                <w:spacing w:val="-4"/>
                <w:sz w:val="18"/>
              </w:rPr>
              <w:t xml:space="preserve"> </w:t>
            </w:r>
            <w:r>
              <w:rPr>
                <w:rFonts w:ascii="Calibri"/>
                <w:sz w:val="18"/>
              </w:rPr>
              <w:t>how</w:t>
            </w:r>
            <w:r>
              <w:rPr>
                <w:rFonts w:ascii="Calibri"/>
                <w:spacing w:val="-2"/>
                <w:sz w:val="18"/>
              </w:rPr>
              <w:t xml:space="preserve"> the</w:t>
            </w:r>
            <w:r>
              <w:rPr>
                <w:rFonts w:ascii="Calibri"/>
                <w:spacing w:val="63"/>
                <w:w w:val="99"/>
                <w:sz w:val="18"/>
              </w:rPr>
              <w:t xml:space="preserve"> </w:t>
            </w:r>
            <w:r>
              <w:rPr>
                <w:rFonts w:ascii="Calibri"/>
                <w:spacing w:val="-1"/>
                <w:sz w:val="18"/>
              </w:rPr>
              <w:t>program</w:t>
            </w:r>
            <w:r>
              <w:rPr>
                <w:rFonts w:ascii="Calibri"/>
                <w:spacing w:val="-3"/>
                <w:sz w:val="18"/>
              </w:rPr>
              <w:t xml:space="preserve"> </w:t>
            </w:r>
            <w:r>
              <w:rPr>
                <w:rFonts w:ascii="Calibri"/>
                <w:sz w:val="18"/>
              </w:rPr>
              <w:t>can</w:t>
            </w:r>
            <w:r>
              <w:rPr>
                <w:rFonts w:ascii="Calibri"/>
                <w:spacing w:val="-4"/>
                <w:sz w:val="18"/>
              </w:rPr>
              <w:t xml:space="preserve"> </w:t>
            </w:r>
            <w:r>
              <w:rPr>
                <w:rFonts w:ascii="Calibri"/>
                <w:spacing w:val="-1"/>
                <w:sz w:val="18"/>
              </w:rPr>
              <w:t>solve</w:t>
            </w:r>
            <w:r>
              <w:rPr>
                <w:rFonts w:ascii="Calibri"/>
                <w:spacing w:val="-4"/>
                <w:sz w:val="18"/>
              </w:rPr>
              <w:t xml:space="preserve"> </w:t>
            </w:r>
            <w:r>
              <w:rPr>
                <w:rFonts w:ascii="Calibri"/>
                <w:spacing w:val="-1"/>
                <w:sz w:val="18"/>
              </w:rPr>
              <w:t>energy-related</w:t>
            </w:r>
            <w:r>
              <w:rPr>
                <w:rFonts w:ascii="Calibri"/>
                <w:spacing w:val="-4"/>
                <w:sz w:val="18"/>
              </w:rPr>
              <w:t xml:space="preserve"> </w:t>
            </w:r>
            <w:r>
              <w:rPr>
                <w:rFonts w:ascii="Calibri"/>
                <w:spacing w:val="-1"/>
                <w:sz w:val="18"/>
              </w:rPr>
              <w:t>problems</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the</w:t>
            </w:r>
            <w:r>
              <w:rPr>
                <w:rFonts w:ascii="Calibri"/>
                <w:spacing w:val="-4"/>
                <w:sz w:val="18"/>
              </w:rPr>
              <w:t xml:space="preserve"> </w:t>
            </w:r>
            <w:r>
              <w:rPr>
                <w:rFonts w:ascii="Calibri"/>
                <w:spacing w:val="-1"/>
                <w:sz w:val="18"/>
              </w:rPr>
              <w:t>customer</w:t>
            </w:r>
            <w:r>
              <w:rPr>
                <w:rFonts w:ascii="Calibri"/>
                <w:spacing w:val="-4"/>
                <w:sz w:val="18"/>
              </w:rPr>
              <w:t xml:space="preserve"> </w:t>
            </w:r>
            <w:r>
              <w:rPr>
                <w:rFonts w:ascii="Calibri"/>
                <w:sz w:val="18"/>
              </w:rPr>
              <w:t>may</w:t>
            </w:r>
            <w:r>
              <w:rPr>
                <w:rFonts w:ascii="Calibri"/>
                <w:spacing w:val="-3"/>
                <w:sz w:val="18"/>
              </w:rPr>
              <w:t xml:space="preserve"> </w:t>
            </w:r>
            <w:r>
              <w:rPr>
                <w:rFonts w:ascii="Calibri"/>
                <w:spacing w:val="-1"/>
                <w:sz w:val="18"/>
              </w:rPr>
              <w:t>drive</w:t>
            </w:r>
            <w:r>
              <w:rPr>
                <w:rFonts w:ascii="Calibri"/>
                <w:spacing w:val="-4"/>
                <w:sz w:val="18"/>
              </w:rPr>
              <w:t xml:space="preserve"> </w:t>
            </w:r>
            <w:r>
              <w:rPr>
                <w:rFonts w:ascii="Calibri"/>
                <w:spacing w:val="-1"/>
                <w:sz w:val="18"/>
              </w:rPr>
              <w:t>more</w:t>
            </w:r>
            <w:r>
              <w:rPr>
                <w:rFonts w:ascii="Calibri"/>
                <w:spacing w:val="76"/>
                <w:w w:val="99"/>
                <w:sz w:val="18"/>
              </w:rPr>
              <w:t xml:space="preserve"> </w:t>
            </w:r>
            <w:r>
              <w:rPr>
                <w:rFonts w:ascii="Calibri"/>
                <w:spacing w:val="-1"/>
                <w:sz w:val="18"/>
              </w:rPr>
              <w:t>participation,</w:t>
            </w:r>
            <w:r>
              <w:rPr>
                <w:rFonts w:ascii="Calibri"/>
                <w:spacing w:val="-3"/>
                <w:sz w:val="18"/>
              </w:rPr>
              <w:t xml:space="preserve"> </w:t>
            </w:r>
            <w:r>
              <w:rPr>
                <w:rFonts w:ascii="Calibri"/>
                <w:spacing w:val="-1"/>
                <w:sz w:val="18"/>
              </w:rPr>
              <w:t>according</w:t>
            </w:r>
            <w:r>
              <w:rPr>
                <w:rFonts w:ascii="Calibri"/>
                <w:spacing w:val="-2"/>
                <w:sz w:val="18"/>
              </w:rPr>
              <w:t xml:space="preserve"> </w:t>
            </w:r>
            <w:r>
              <w:rPr>
                <w:rFonts w:ascii="Calibri"/>
                <w:spacing w:val="-1"/>
                <w:sz w:val="18"/>
              </w:rPr>
              <w:t>to auditors.</w:t>
            </w:r>
          </w:p>
        </w:tc>
        <w:tc>
          <w:tcPr>
            <w:tcW w:w="4734" w:type="dxa"/>
          </w:tcPr>
          <w:p w:rsidR="00E646C9" w:rsidRDefault="00E646C9" w:rsidP="00C94D5A">
            <w:pPr>
              <w:pStyle w:val="TableParagraph"/>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9"/>
        </w:trPr>
        <w:tc>
          <w:tcPr>
            <w:tcW w:w="4626" w:type="dxa"/>
            <w:shd w:val="clear" w:color="auto" w:fill="D2EAF1"/>
          </w:tcPr>
          <w:p w:rsidR="00E646C9" w:rsidRDefault="00E646C9" w:rsidP="00C94D5A">
            <w:pPr>
              <w:pStyle w:val="TableParagraph"/>
              <w:ind w:left="102" w:right="183"/>
              <w:rPr>
                <w:rFonts w:ascii="Calibri" w:eastAsia="Calibri" w:hAnsi="Calibri" w:cs="Calibri"/>
                <w:sz w:val="18"/>
                <w:szCs w:val="18"/>
              </w:rPr>
            </w:pPr>
            <w:r>
              <w:rPr>
                <w:rFonts w:ascii="Calibri"/>
                <w:spacing w:val="-1"/>
                <w:sz w:val="18"/>
              </w:rPr>
              <w:t>Discount</w:t>
            </w:r>
            <w:r>
              <w:rPr>
                <w:rFonts w:ascii="Calibri"/>
                <w:spacing w:val="-3"/>
                <w:sz w:val="18"/>
              </w:rPr>
              <w:t xml:space="preserve"> </w:t>
            </w:r>
            <w:r>
              <w:rPr>
                <w:rFonts w:ascii="Calibri"/>
                <w:sz w:val="18"/>
              </w:rPr>
              <w:t>OPower</w:t>
            </w:r>
            <w:r>
              <w:rPr>
                <w:rFonts w:ascii="Calibri"/>
                <w:spacing w:val="-3"/>
                <w:sz w:val="18"/>
              </w:rPr>
              <w:t xml:space="preserve"> </w:t>
            </w:r>
            <w:r>
              <w:rPr>
                <w:rFonts w:ascii="Calibri"/>
                <w:spacing w:val="-1"/>
                <w:sz w:val="18"/>
              </w:rPr>
              <w:t>reported</w:t>
            </w:r>
            <w:r>
              <w:rPr>
                <w:rFonts w:ascii="Calibri"/>
                <w:spacing w:val="-3"/>
                <w:sz w:val="18"/>
              </w:rPr>
              <w:t xml:space="preserve"> </w:t>
            </w:r>
            <w:r>
              <w:rPr>
                <w:rFonts w:ascii="Calibri"/>
                <w:spacing w:val="-1"/>
                <w:sz w:val="18"/>
              </w:rPr>
              <w:t>impacts</w:t>
            </w:r>
            <w:r>
              <w:rPr>
                <w:rFonts w:ascii="Calibri"/>
                <w:spacing w:val="-3"/>
                <w:sz w:val="18"/>
              </w:rPr>
              <w:t xml:space="preserve"> </w:t>
            </w:r>
            <w:r>
              <w:rPr>
                <w:rFonts w:ascii="Calibri"/>
                <w:spacing w:val="-1"/>
                <w:sz w:val="18"/>
              </w:rPr>
              <w:t>by</w:t>
            </w:r>
            <w:r>
              <w:rPr>
                <w:rFonts w:ascii="Calibri"/>
                <w:spacing w:val="-2"/>
                <w:sz w:val="18"/>
              </w:rPr>
              <w:t xml:space="preserve"> </w:t>
            </w:r>
            <w:r>
              <w:rPr>
                <w:rFonts w:ascii="Calibri"/>
                <w:spacing w:val="-1"/>
                <w:sz w:val="18"/>
              </w:rPr>
              <w:t>approximately</w:t>
            </w:r>
            <w:r>
              <w:rPr>
                <w:rFonts w:ascii="Calibri"/>
                <w:spacing w:val="-2"/>
                <w:sz w:val="18"/>
              </w:rPr>
              <w:t xml:space="preserve"> </w:t>
            </w:r>
            <w:r>
              <w:rPr>
                <w:rFonts w:ascii="Calibri"/>
                <w:spacing w:val="-1"/>
                <w:sz w:val="18"/>
              </w:rPr>
              <w:t>10% to account</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dual-</w:t>
            </w:r>
            <w:r>
              <w:rPr>
                <w:rFonts w:ascii="Calibri"/>
                <w:spacing w:val="57"/>
                <w:sz w:val="18"/>
              </w:rPr>
              <w:t xml:space="preserve"> </w:t>
            </w:r>
            <w:r>
              <w:rPr>
                <w:rFonts w:ascii="Calibri"/>
                <w:spacing w:val="-1"/>
                <w:sz w:val="18"/>
              </w:rPr>
              <w:t>participation</w:t>
            </w:r>
            <w:r>
              <w:rPr>
                <w:rFonts w:ascii="Calibri"/>
                <w:spacing w:val="-3"/>
                <w:sz w:val="18"/>
              </w:rPr>
              <w:t xml:space="preserve"> </w:t>
            </w:r>
            <w:r>
              <w:rPr>
                <w:rFonts w:ascii="Calibri"/>
                <w:spacing w:val="-1"/>
                <w:sz w:val="18"/>
              </w:rPr>
              <w:t>adjustments</w:t>
            </w:r>
            <w:r>
              <w:rPr>
                <w:rFonts w:ascii="Calibri"/>
                <w:spacing w:val="-3"/>
                <w:sz w:val="18"/>
              </w:rPr>
              <w:t xml:space="preserve"> </w:t>
            </w:r>
            <w:r>
              <w:rPr>
                <w:rFonts w:ascii="Calibri"/>
                <w:spacing w:val="-1"/>
                <w:sz w:val="18"/>
              </w:rPr>
              <w:t>that</w:t>
            </w:r>
            <w:r>
              <w:rPr>
                <w:rFonts w:ascii="Calibri"/>
                <w:spacing w:val="-3"/>
                <w:sz w:val="18"/>
              </w:rPr>
              <w:t xml:space="preserve"> </w:t>
            </w:r>
            <w:r>
              <w:rPr>
                <w:rFonts w:ascii="Calibri"/>
                <w:sz w:val="18"/>
              </w:rPr>
              <w:t>occur</w:t>
            </w:r>
            <w:r>
              <w:rPr>
                <w:rFonts w:ascii="Calibri"/>
                <w:spacing w:val="-3"/>
                <w:sz w:val="18"/>
              </w:rPr>
              <w:t xml:space="preserve"> </w:t>
            </w:r>
            <w:r>
              <w:rPr>
                <w:rFonts w:ascii="Calibri"/>
                <w:spacing w:val="-1"/>
                <w:sz w:val="18"/>
              </w:rPr>
              <w:t>only</w:t>
            </w:r>
            <w:r>
              <w:rPr>
                <w:rFonts w:ascii="Calibri"/>
                <w:spacing w:val="-2"/>
                <w:sz w:val="18"/>
              </w:rPr>
              <w:t xml:space="preserve"> </w:t>
            </w:r>
            <w:r>
              <w:rPr>
                <w:rFonts w:ascii="Calibri"/>
                <w:spacing w:val="-1"/>
                <w:sz w:val="18"/>
              </w:rPr>
              <w:t>in</w:t>
            </w:r>
            <w:r>
              <w:rPr>
                <w:rFonts w:ascii="Calibri"/>
                <w:spacing w:val="-3"/>
                <w:sz w:val="18"/>
              </w:rPr>
              <w:t xml:space="preserve"> </w:t>
            </w:r>
            <w:r>
              <w:rPr>
                <w:rFonts w:ascii="Calibri"/>
                <w:spacing w:val="-1"/>
                <w:sz w:val="18"/>
              </w:rPr>
              <w:t>evaluation,</w:t>
            </w:r>
            <w:r>
              <w:rPr>
                <w:rFonts w:ascii="Calibri"/>
                <w:spacing w:val="-2"/>
                <w:sz w:val="18"/>
              </w:rPr>
              <w:t xml:space="preserve"> </w:t>
            </w:r>
            <w:r>
              <w:rPr>
                <w:rFonts w:ascii="Calibri"/>
                <w:sz w:val="18"/>
              </w:rPr>
              <w:t>at</w:t>
            </w:r>
            <w:r>
              <w:rPr>
                <w:rFonts w:ascii="Calibri"/>
                <w:spacing w:val="-3"/>
                <w:sz w:val="18"/>
              </w:rPr>
              <w:t xml:space="preserve"> </w:t>
            </w:r>
            <w:r>
              <w:rPr>
                <w:rFonts w:ascii="Calibri"/>
                <w:spacing w:val="-1"/>
                <w:sz w:val="18"/>
              </w:rPr>
              <w:t xml:space="preserve">the end </w:t>
            </w:r>
            <w:r>
              <w:rPr>
                <w:rFonts w:ascii="Calibri"/>
                <w:sz w:val="18"/>
              </w:rPr>
              <w:t>of</w:t>
            </w:r>
            <w:r>
              <w:rPr>
                <w:rFonts w:ascii="Calibri"/>
                <w:spacing w:val="-2"/>
                <w:sz w:val="18"/>
              </w:rPr>
              <w:t xml:space="preserve"> </w:t>
            </w:r>
            <w:r>
              <w:rPr>
                <w:rFonts w:ascii="Calibri"/>
                <w:spacing w:val="-1"/>
                <w:sz w:val="18"/>
              </w:rPr>
              <w:t>the</w:t>
            </w:r>
            <w:r>
              <w:rPr>
                <w:rFonts w:ascii="Calibri"/>
                <w:spacing w:val="-3"/>
                <w:sz w:val="18"/>
              </w:rPr>
              <w:t xml:space="preserve"> </w:t>
            </w:r>
            <w:r>
              <w:rPr>
                <w:rFonts w:ascii="Calibri"/>
                <w:spacing w:val="-1"/>
                <w:sz w:val="18"/>
              </w:rPr>
              <w:t>program</w:t>
            </w:r>
            <w:r>
              <w:rPr>
                <w:rFonts w:ascii="Calibri"/>
                <w:spacing w:val="-2"/>
                <w:sz w:val="18"/>
              </w:rPr>
              <w:t xml:space="preserve"> </w:t>
            </w:r>
            <w:r>
              <w:rPr>
                <w:rFonts w:ascii="Calibri"/>
                <w:spacing w:val="-1"/>
                <w:sz w:val="18"/>
              </w:rPr>
              <w:t>year</w:t>
            </w:r>
          </w:p>
        </w:tc>
        <w:tc>
          <w:tcPr>
            <w:tcW w:w="4734" w:type="dxa"/>
            <w:shd w:val="clear" w:color="auto" w:fill="D2EAF1"/>
          </w:tcPr>
          <w:p w:rsidR="00E646C9" w:rsidRDefault="00E646C9" w:rsidP="00C94D5A">
            <w:pPr>
              <w:pStyle w:val="TableParagraph"/>
              <w:ind w:left="102" w:right="573"/>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4"/>
                <w:sz w:val="18"/>
              </w:rPr>
              <w:t xml:space="preserve"> </w:t>
            </w:r>
            <w:r>
              <w:rPr>
                <w:rFonts w:ascii="Calibri"/>
                <w:sz w:val="18"/>
              </w:rPr>
              <w:t>/</w:t>
            </w:r>
            <w:r>
              <w:rPr>
                <w:rFonts w:ascii="Calibri"/>
                <w:spacing w:val="-3"/>
                <w:sz w:val="18"/>
              </w:rPr>
              <w:t xml:space="preserve"> </w:t>
            </w:r>
            <w:r>
              <w:rPr>
                <w:rFonts w:ascii="Calibri"/>
                <w:spacing w:val="-1"/>
                <w:sz w:val="18"/>
              </w:rPr>
              <w:t>Partially</w:t>
            </w:r>
            <w:r>
              <w:rPr>
                <w:rFonts w:ascii="Calibri"/>
                <w:spacing w:val="35"/>
                <w:w w:val="99"/>
                <w:sz w:val="18"/>
              </w:rPr>
              <w:t xml:space="preserve"> </w:t>
            </w:r>
            <w:r>
              <w:rPr>
                <w:rFonts w:ascii="Calibri"/>
                <w:spacing w:val="-1"/>
                <w:sz w:val="18"/>
              </w:rPr>
              <w:t>Implemented</w:t>
            </w:r>
          </w:p>
        </w:tc>
      </w:tr>
      <w:tr w:rsidR="00E646C9" w:rsidTr="0011636D">
        <w:trPr>
          <w:trHeight w:hRule="exact" w:val="889"/>
        </w:trPr>
        <w:tc>
          <w:tcPr>
            <w:tcW w:w="4626" w:type="dxa"/>
          </w:tcPr>
          <w:p w:rsidR="00E646C9" w:rsidRDefault="00E646C9" w:rsidP="00C94D5A">
            <w:pPr>
              <w:pStyle w:val="TableParagraph"/>
              <w:ind w:left="102" w:right="252"/>
              <w:rPr>
                <w:rFonts w:ascii="Calibri" w:eastAsia="Calibri" w:hAnsi="Calibri" w:cs="Calibri"/>
                <w:sz w:val="18"/>
                <w:szCs w:val="18"/>
              </w:rPr>
            </w:pPr>
            <w:r>
              <w:rPr>
                <w:rFonts w:ascii="Calibri"/>
                <w:sz w:val="18"/>
              </w:rPr>
              <w:t>The</w:t>
            </w:r>
            <w:r>
              <w:rPr>
                <w:rFonts w:ascii="Calibri"/>
                <w:spacing w:val="-4"/>
                <w:sz w:val="18"/>
              </w:rPr>
              <w:t xml:space="preserve"> </w:t>
            </w:r>
            <w:r>
              <w:rPr>
                <w:rFonts w:ascii="Calibri"/>
                <w:spacing w:val="-1"/>
                <w:sz w:val="18"/>
              </w:rPr>
              <w:t>default</w:t>
            </w:r>
            <w:r>
              <w:rPr>
                <w:rFonts w:ascii="Calibri"/>
                <w:spacing w:val="-3"/>
                <w:sz w:val="18"/>
              </w:rPr>
              <w:t xml:space="preserve"> </w:t>
            </w:r>
            <w:r>
              <w:rPr>
                <w:rFonts w:ascii="Calibri"/>
                <w:spacing w:val="-1"/>
                <w:sz w:val="18"/>
              </w:rPr>
              <w:t>interior</w:t>
            </w:r>
            <w:r>
              <w:rPr>
                <w:rFonts w:ascii="Calibri"/>
                <w:spacing w:val="-4"/>
                <w:sz w:val="18"/>
              </w:rPr>
              <w:t xml:space="preserve"> </w:t>
            </w:r>
            <w:r>
              <w:rPr>
                <w:rFonts w:ascii="Calibri"/>
                <w:spacing w:val="-1"/>
                <w:sz w:val="18"/>
              </w:rPr>
              <w:t>lighting</w:t>
            </w:r>
            <w:r>
              <w:rPr>
                <w:rFonts w:ascii="Calibri"/>
                <w:spacing w:val="-3"/>
                <w:sz w:val="18"/>
              </w:rPr>
              <w:t xml:space="preserve"> </w:t>
            </w:r>
            <w:r>
              <w:rPr>
                <w:rFonts w:ascii="Calibri"/>
                <w:sz w:val="18"/>
              </w:rPr>
              <w:t>energy</w:t>
            </w:r>
            <w:r>
              <w:rPr>
                <w:rFonts w:ascii="Calibri"/>
                <w:spacing w:val="-3"/>
                <w:sz w:val="18"/>
              </w:rPr>
              <w:t xml:space="preserve"> </w:t>
            </w:r>
            <w:r>
              <w:rPr>
                <w:rFonts w:ascii="Calibri"/>
                <w:spacing w:val="-1"/>
                <w:sz w:val="18"/>
              </w:rPr>
              <w:t>usage</w:t>
            </w:r>
            <w:r>
              <w:rPr>
                <w:rFonts w:ascii="Calibri"/>
                <w:spacing w:val="-3"/>
                <w:sz w:val="18"/>
              </w:rPr>
              <w:t xml:space="preserve"> </w:t>
            </w:r>
            <w:r>
              <w:rPr>
                <w:rFonts w:ascii="Calibri"/>
                <w:spacing w:val="-1"/>
                <w:sz w:val="18"/>
              </w:rPr>
              <w:t>in</w:t>
            </w:r>
            <w:r>
              <w:rPr>
                <w:rFonts w:ascii="Calibri"/>
                <w:spacing w:val="-4"/>
                <w:sz w:val="18"/>
              </w:rPr>
              <w:t xml:space="preserve"> </w:t>
            </w:r>
            <w:r>
              <w:rPr>
                <w:rFonts w:ascii="Calibri"/>
                <w:spacing w:val="-1"/>
                <w:sz w:val="18"/>
              </w:rPr>
              <w:t>REM/Rate</w:t>
            </w:r>
            <w:r>
              <w:rPr>
                <w:rFonts w:ascii="Calibri"/>
                <w:spacing w:val="-3"/>
                <w:sz w:val="18"/>
              </w:rPr>
              <w:t xml:space="preserve"> </w:t>
            </w:r>
            <w:r>
              <w:rPr>
                <w:rFonts w:ascii="Calibri"/>
                <w:spacing w:val="-1"/>
                <w:sz w:val="18"/>
              </w:rPr>
              <w:t>appears</w:t>
            </w:r>
            <w:r>
              <w:rPr>
                <w:rFonts w:ascii="Calibri"/>
                <w:spacing w:val="-4"/>
                <w:sz w:val="18"/>
              </w:rPr>
              <w:t xml:space="preserve"> </w:t>
            </w:r>
            <w:r>
              <w:rPr>
                <w:rFonts w:ascii="Calibri"/>
                <w:spacing w:val="-1"/>
                <w:sz w:val="18"/>
              </w:rPr>
              <w:t>to</w:t>
            </w:r>
            <w:r>
              <w:rPr>
                <w:rFonts w:ascii="Calibri"/>
                <w:spacing w:val="1"/>
                <w:sz w:val="18"/>
              </w:rPr>
              <w:t xml:space="preserve"> </w:t>
            </w:r>
            <w:r>
              <w:rPr>
                <w:rFonts w:ascii="Calibri"/>
                <w:spacing w:val="-1"/>
                <w:sz w:val="18"/>
              </w:rPr>
              <w:t>be</w:t>
            </w:r>
            <w:r>
              <w:rPr>
                <w:rFonts w:ascii="Calibri"/>
                <w:spacing w:val="-4"/>
                <w:sz w:val="18"/>
              </w:rPr>
              <w:t xml:space="preserve"> </w:t>
            </w:r>
            <w:r>
              <w:rPr>
                <w:rFonts w:ascii="Calibri"/>
                <w:spacing w:val="-1"/>
                <w:sz w:val="18"/>
              </w:rPr>
              <w:t>systematically</w:t>
            </w:r>
            <w:r>
              <w:rPr>
                <w:rFonts w:ascii="Calibri"/>
                <w:spacing w:val="87"/>
                <w:w w:val="99"/>
                <w:sz w:val="18"/>
              </w:rPr>
              <w:t xml:space="preserve"> </w:t>
            </w:r>
            <w:r>
              <w:rPr>
                <w:rFonts w:ascii="Calibri"/>
                <w:spacing w:val="-1"/>
                <w:sz w:val="18"/>
              </w:rPr>
              <w:t>higher</w:t>
            </w:r>
            <w:r>
              <w:rPr>
                <w:rFonts w:ascii="Calibri"/>
                <w:spacing w:val="-4"/>
                <w:sz w:val="18"/>
              </w:rPr>
              <w:t xml:space="preserve"> </w:t>
            </w:r>
            <w:r>
              <w:rPr>
                <w:rFonts w:ascii="Calibri"/>
                <w:sz w:val="18"/>
              </w:rPr>
              <w:t>than</w:t>
            </w:r>
            <w:r>
              <w:rPr>
                <w:rFonts w:ascii="Calibri"/>
                <w:spacing w:val="-3"/>
                <w:sz w:val="18"/>
              </w:rPr>
              <w:t xml:space="preserve"> </w:t>
            </w:r>
            <w:r>
              <w:rPr>
                <w:rFonts w:ascii="Calibri"/>
                <w:spacing w:val="-1"/>
                <w:sz w:val="18"/>
              </w:rPr>
              <w:t>verified</w:t>
            </w:r>
            <w:r>
              <w:rPr>
                <w:rFonts w:ascii="Calibri"/>
                <w:spacing w:val="-3"/>
                <w:sz w:val="18"/>
              </w:rPr>
              <w:t xml:space="preserve"> </w:t>
            </w:r>
            <w:r>
              <w:rPr>
                <w:rFonts w:ascii="Calibri"/>
                <w:spacing w:val="-1"/>
                <w:sz w:val="18"/>
              </w:rPr>
              <w:t>through</w:t>
            </w:r>
            <w:r>
              <w:rPr>
                <w:rFonts w:ascii="Calibri"/>
                <w:spacing w:val="-3"/>
                <w:sz w:val="18"/>
              </w:rPr>
              <w:t xml:space="preserve"> </w:t>
            </w:r>
            <w:r>
              <w:rPr>
                <w:rFonts w:ascii="Calibri"/>
                <w:sz w:val="18"/>
              </w:rPr>
              <w:t>on-site</w:t>
            </w:r>
            <w:r>
              <w:rPr>
                <w:rFonts w:ascii="Calibri"/>
                <w:spacing w:val="-4"/>
                <w:sz w:val="18"/>
              </w:rPr>
              <w:t xml:space="preserve"> </w:t>
            </w:r>
            <w:r>
              <w:rPr>
                <w:rFonts w:ascii="Calibri"/>
                <w:spacing w:val="-1"/>
                <w:sz w:val="18"/>
              </w:rPr>
              <w:t>inspections.</w:t>
            </w:r>
            <w:r>
              <w:rPr>
                <w:rFonts w:ascii="Calibri"/>
                <w:spacing w:val="37"/>
                <w:sz w:val="18"/>
              </w:rPr>
              <w:t xml:space="preserve"> </w:t>
            </w:r>
            <w:r>
              <w:rPr>
                <w:rFonts w:ascii="Calibri"/>
                <w:spacing w:val="-1"/>
                <w:sz w:val="18"/>
              </w:rPr>
              <w:t>Consider</w:t>
            </w:r>
            <w:r>
              <w:rPr>
                <w:rFonts w:ascii="Calibri"/>
                <w:spacing w:val="-4"/>
                <w:sz w:val="18"/>
              </w:rPr>
              <w:t xml:space="preserve"> </w:t>
            </w:r>
            <w:r>
              <w:rPr>
                <w:rFonts w:ascii="Calibri"/>
                <w:spacing w:val="-1"/>
                <w:sz w:val="18"/>
              </w:rPr>
              <w:t>asking REM/Rate</w:t>
            </w:r>
            <w:r>
              <w:rPr>
                <w:rFonts w:ascii="Calibri"/>
                <w:spacing w:val="-3"/>
                <w:sz w:val="18"/>
              </w:rPr>
              <w:t xml:space="preserve"> </w:t>
            </w:r>
            <w:r>
              <w:rPr>
                <w:rFonts w:ascii="Calibri"/>
                <w:spacing w:val="-1"/>
                <w:sz w:val="18"/>
              </w:rPr>
              <w:t>to</w:t>
            </w:r>
            <w:r>
              <w:rPr>
                <w:rFonts w:ascii="Calibri"/>
                <w:spacing w:val="-2"/>
                <w:sz w:val="18"/>
              </w:rPr>
              <w:t xml:space="preserve"> </w:t>
            </w:r>
            <w:r>
              <w:rPr>
                <w:rFonts w:ascii="Calibri"/>
                <w:spacing w:val="-1"/>
                <w:sz w:val="18"/>
              </w:rPr>
              <w:t>reduce</w:t>
            </w:r>
            <w:r>
              <w:rPr>
                <w:rFonts w:ascii="Calibri"/>
                <w:spacing w:val="83"/>
                <w:w w:val="99"/>
                <w:sz w:val="18"/>
              </w:rPr>
              <w:t xml:space="preserve"> </w:t>
            </w:r>
            <w:r>
              <w:rPr>
                <w:rFonts w:ascii="Calibri"/>
                <w:spacing w:val="-1"/>
                <w:sz w:val="18"/>
              </w:rPr>
              <w:t>lighting</w:t>
            </w:r>
            <w:r>
              <w:rPr>
                <w:rFonts w:ascii="Calibri"/>
                <w:spacing w:val="-2"/>
                <w:sz w:val="18"/>
              </w:rPr>
              <w:t xml:space="preserve"> </w:t>
            </w:r>
            <w:r>
              <w:rPr>
                <w:rFonts w:ascii="Calibri"/>
                <w:spacing w:val="-1"/>
                <w:sz w:val="18"/>
              </w:rPr>
              <w:t>power</w:t>
            </w:r>
            <w:r>
              <w:rPr>
                <w:rFonts w:ascii="Calibri"/>
                <w:spacing w:val="-3"/>
                <w:sz w:val="18"/>
              </w:rPr>
              <w:t xml:space="preserve"> </w:t>
            </w:r>
            <w:r>
              <w:rPr>
                <w:rFonts w:ascii="Calibri"/>
                <w:spacing w:val="-1"/>
                <w:sz w:val="18"/>
              </w:rPr>
              <w:t>density</w:t>
            </w:r>
            <w:r>
              <w:rPr>
                <w:rFonts w:ascii="Calibri"/>
                <w:spacing w:val="-2"/>
                <w:sz w:val="18"/>
              </w:rPr>
              <w:t xml:space="preserve"> </w:t>
            </w:r>
            <w:r>
              <w:rPr>
                <w:rFonts w:ascii="Calibri"/>
                <w:spacing w:val="-1"/>
                <w:sz w:val="18"/>
              </w:rPr>
              <w:t>by</w:t>
            </w:r>
            <w:r>
              <w:rPr>
                <w:rFonts w:ascii="Calibri"/>
                <w:spacing w:val="-2"/>
                <w:sz w:val="18"/>
              </w:rPr>
              <w:t xml:space="preserve"> </w:t>
            </w:r>
            <w:r>
              <w:rPr>
                <w:rFonts w:ascii="Calibri"/>
                <w:spacing w:val="-1"/>
                <w:sz w:val="18"/>
              </w:rPr>
              <w:t xml:space="preserve">20% </w:t>
            </w:r>
            <w:r>
              <w:rPr>
                <w:rFonts w:ascii="Calibri"/>
                <w:sz w:val="18"/>
              </w:rPr>
              <w:t>or</w:t>
            </w:r>
            <w:r>
              <w:rPr>
                <w:rFonts w:ascii="Calibri"/>
                <w:spacing w:val="-3"/>
                <w:sz w:val="18"/>
              </w:rPr>
              <w:t xml:space="preserve"> </w:t>
            </w:r>
            <w:r>
              <w:rPr>
                <w:rFonts w:ascii="Calibri"/>
                <w:spacing w:val="-1"/>
                <w:sz w:val="18"/>
              </w:rPr>
              <w:t>to increase</w:t>
            </w:r>
            <w:r>
              <w:rPr>
                <w:rFonts w:ascii="Calibri"/>
                <w:spacing w:val="-3"/>
                <w:sz w:val="18"/>
              </w:rPr>
              <w:t xml:space="preserve"> </w:t>
            </w:r>
            <w:r>
              <w:rPr>
                <w:rFonts w:ascii="Calibri"/>
                <w:spacing w:val="-1"/>
                <w:sz w:val="18"/>
              </w:rPr>
              <w:t>baseline</w:t>
            </w:r>
            <w:r>
              <w:rPr>
                <w:rFonts w:ascii="Calibri"/>
                <w:spacing w:val="-3"/>
                <w:sz w:val="18"/>
              </w:rPr>
              <w:t xml:space="preserve"> </w:t>
            </w:r>
            <w:r>
              <w:rPr>
                <w:rFonts w:ascii="Calibri"/>
                <w:sz w:val="18"/>
              </w:rPr>
              <w:t>CFL</w:t>
            </w:r>
            <w:r>
              <w:rPr>
                <w:rFonts w:ascii="Calibri"/>
                <w:spacing w:val="-1"/>
                <w:sz w:val="18"/>
              </w:rPr>
              <w:t xml:space="preserve"> saturation</w:t>
            </w:r>
            <w:r>
              <w:rPr>
                <w:rFonts w:ascii="Calibri"/>
                <w:spacing w:val="-3"/>
                <w:sz w:val="18"/>
              </w:rPr>
              <w:t xml:space="preserve"> </w:t>
            </w:r>
            <w:r>
              <w:rPr>
                <w:rFonts w:ascii="Calibri"/>
                <w:spacing w:val="-1"/>
                <w:sz w:val="18"/>
              </w:rPr>
              <w:t xml:space="preserve">to 60% </w:t>
            </w:r>
            <w:r>
              <w:rPr>
                <w:rFonts w:ascii="Calibri"/>
                <w:sz w:val="18"/>
              </w:rPr>
              <w:t>from</w:t>
            </w:r>
            <w:r>
              <w:rPr>
                <w:rFonts w:ascii="Calibri"/>
                <w:spacing w:val="-2"/>
                <w:sz w:val="18"/>
              </w:rPr>
              <w:t xml:space="preserve"> </w:t>
            </w:r>
            <w:r>
              <w:rPr>
                <w:rFonts w:ascii="Calibri"/>
                <w:spacing w:val="-1"/>
                <w:sz w:val="18"/>
              </w:rPr>
              <w:t>50%</w:t>
            </w:r>
            <w:r>
              <w:rPr>
                <w:rFonts w:ascii="Calibri"/>
                <w:spacing w:val="67"/>
                <w:w w:val="99"/>
                <w:sz w:val="18"/>
              </w:rPr>
              <w:t xml:space="preserve"> </w:t>
            </w:r>
            <w:r>
              <w:rPr>
                <w:rFonts w:ascii="Calibri"/>
                <w:spacing w:val="-1"/>
                <w:sz w:val="18"/>
              </w:rPr>
              <w:t>to</w:t>
            </w:r>
            <w:r>
              <w:rPr>
                <w:rFonts w:ascii="Calibri"/>
                <w:spacing w:val="-2"/>
                <w:sz w:val="18"/>
              </w:rPr>
              <w:t xml:space="preserve"> </w:t>
            </w:r>
            <w:r>
              <w:rPr>
                <w:rFonts w:ascii="Calibri"/>
                <w:spacing w:val="-1"/>
                <w:sz w:val="18"/>
              </w:rPr>
              <w:t>compensate</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the</w:t>
            </w:r>
            <w:r>
              <w:rPr>
                <w:rFonts w:ascii="Calibri"/>
                <w:spacing w:val="-4"/>
                <w:sz w:val="18"/>
              </w:rPr>
              <w:t xml:space="preserve"> </w:t>
            </w:r>
            <w:r>
              <w:rPr>
                <w:rFonts w:ascii="Calibri"/>
                <w:spacing w:val="-1"/>
                <w:sz w:val="18"/>
              </w:rPr>
              <w:t>difference.</w:t>
            </w:r>
          </w:p>
        </w:tc>
        <w:tc>
          <w:tcPr>
            <w:tcW w:w="4734" w:type="dxa"/>
          </w:tcPr>
          <w:p w:rsidR="00E646C9" w:rsidRDefault="00E646C9" w:rsidP="00C94D5A">
            <w:pPr>
              <w:pStyle w:val="TableParagraph"/>
              <w:ind w:left="102" w:right="112"/>
              <w:rPr>
                <w:rFonts w:ascii="Calibri" w:eastAsia="Calibri" w:hAnsi="Calibri" w:cs="Calibri"/>
                <w:sz w:val="18"/>
                <w:szCs w:val="18"/>
              </w:rPr>
            </w:pPr>
            <w:r>
              <w:rPr>
                <w:rFonts w:ascii="Calibri"/>
                <w:spacing w:val="-1"/>
                <w:sz w:val="18"/>
              </w:rPr>
              <w:t>Being</w:t>
            </w:r>
            <w:r>
              <w:rPr>
                <w:rFonts w:ascii="Calibri"/>
                <w:spacing w:val="-3"/>
                <w:sz w:val="18"/>
              </w:rPr>
              <w:t xml:space="preserve"> </w:t>
            </w:r>
            <w:r>
              <w:rPr>
                <w:rFonts w:ascii="Calibri"/>
                <w:spacing w:val="-1"/>
                <w:sz w:val="18"/>
              </w:rPr>
              <w:t>Considered.</w:t>
            </w:r>
            <w:r>
              <w:rPr>
                <w:rFonts w:ascii="Calibri"/>
                <w:spacing w:val="37"/>
                <w:sz w:val="18"/>
              </w:rPr>
              <w:t xml:space="preserve"> </w:t>
            </w:r>
            <w:r>
              <w:rPr>
                <w:rFonts w:ascii="Calibri"/>
                <w:spacing w:val="-1"/>
                <w:sz w:val="18"/>
              </w:rPr>
              <w:t>The</w:t>
            </w:r>
            <w:r>
              <w:rPr>
                <w:rFonts w:ascii="Calibri"/>
                <w:spacing w:val="21"/>
                <w:w w:val="99"/>
                <w:sz w:val="18"/>
              </w:rPr>
              <w:t xml:space="preserve"> </w:t>
            </w:r>
            <w:r>
              <w:rPr>
                <w:rFonts w:ascii="Calibri"/>
                <w:spacing w:val="-1"/>
                <w:sz w:val="18"/>
              </w:rPr>
              <w:t>implementer,</w:t>
            </w:r>
            <w:r>
              <w:rPr>
                <w:rFonts w:ascii="Calibri"/>
                <w:spacing w:val="-6"/>
                <w:sz w:val="18"/>
              </w:rPr>
              <w:t xml:space="preserve"> </w:t>
            </w:r>
            <w:r>
              <w:rPr>
                <w:rFonts w:ascii="Calibri"/>
                <w:spacing w:val="-1"/>
                <w:sz w:val="18"/>
              </w:rPr>
              <w:t>PSD,</w:t>
            </w:r>
            <w:r>
              <w:rPr>
                <w:rFonts w:ascii="Calibri"/>
                <w:spacing w:val="-5"/>
                <w:sz w:val="18"/>
              </w:rPr>
              <w:t xml:space="preserve"> </w:t>
            </w:r>
            <w:r>
              <w:rPr>
                <w:rFonts w:ascii="Calibri"/>
                <w:spacing w:val="-1"/>
                <w:sz w:val="18"/>
              </w:rPr>
              <w:t>updates</w:t>
            </w:r>
            <w:r>
              <w:rPr>
                <w:rFonts w:ascii="Calibri"/>
                <w:spacing w:val="24"/>
                <w:w w:val="99"/>
                <w:sz w:val="18"/>
              </w:rPr>
              <w:t xml:space="preserve"> </w:t>
            </w:r>
            <w:r>
              <w:rPr>
                <w:rFonts w:ascii="Calibri"/>
                <w:spacing w:val="-1"/>
                <w:sz w:val="18"/>
              </w:rPr>
              <w:t>REM/Rate</w:t>
            </w:r>
            <w:r>
              <w:rPr>
                <w:rFonts w:ascii="Calibri"/>
                <w:spacing w:val="-6"/>
                <w:sz w:val="18"/>
              </w:rPr>
              <w:t xml:space="preserve"> </w:t>
            </w:r>
            <w:r>
              <w:rPr>
                <w:rFonts w:ascii="Calibri"/>
                <w:spacing w:val="-1"/>
                <w:sz w:val="18"/>
              </w:rPr>
              <w:t>specifications</w:t>
            </w:r>
            <w:r>
              <w:rPr>
                <w:rFonts w:ascii="Calibri"/>
                <w:spacing w:val="-5"/>
                <w:sz w:val="18"/>
              </w:rPr>
              <w:t xml:space="preserve"> </w:t>
            </w:r>
            <w:r>
              <w:rPr>
                <w:rFonts w:ascii="Calibri"/>
                <w:spacing w:val="-1"/>
                <w:sz w:val="18"/>
              </w:rPr>
              <w:t>annually.</w:t>
            </w:r>
            <w:r>
              <w:rPr>
                <w:rFonts w:ascii="Calibri"/>
                <w:spacing w:val="43"/>
                <w:sz w:val="18"/>
              </w:rPr>
              <w:t xml:space="preserve"> </w:t>
            </w:r>
            <w:r>
              <w:rPr>
                <w:rFonts w:ascii="Calibri"/>
                <w:spacing w:val="-1"/>
                <w:sz w:val="18"/>
              </w:rPr>
              <w:t>The</w:t>
            </w:r>
            <w:r>
              <w:rPr>
                <w:rFonts w:ascii="Calibri"/>
                <w:spacing w:val="-3"/>
                <w:sz w:val="18"/>
              </w:rPr>
              <w:t xml:space="preserve"> </w:t>
            </w:r>
            <w:r>
              <w:rPr>
                <w:rFonts w:ascii="Calibri"/>
                <w:spacing w:val="-1"/>
                <w:sz w:val="18"/>
              </w:rPr>
              <w:t>next</w:t>
            </w:r>
            <w:r>
              <w:rPr>
                <w:rFonts w:ascii="Calibri"/>
                <w:spacing w:val="-2"/>
                <w:sz w:val="18"/>
              </w:rPr>
              <w:t xml:space="preserve"> </w:t>
            </w:r>
            <w:r>
              <w:rPr>
                <w:rFonts w:ascii="Calibri"/>
                <w:spacing w:val="-1"/>
                <w:sz w:val="18"/>
              </w:rPr>
              <w:t>opportunity</w:t>
            </w:r>
            <w:r>
              <w:rPr>
                <w:rFonts w:ascii="Calibri"/>
                <w:spacing w:val="-2"/>
                <w:sz w:val="18"/>
              </w:rPr>
              <w:t xml:space="preserve"> </w:t>
            </w:r>
            <w:r>
              <w:rPr>
                <w:rFonts w:ascii="Calibri"/>
                <w:spacing w:val="-1"/>
                <w:sz w:val="18"/>
              </w:rPr>
              <w:t>is</w:t>
            </w:r>
            <w:r>
              <w:rPr>
                <w:rFonts w:ascii="Calibri"/>
                <w:spacing w:val="-3"/>
                <w:sz w:val="18"/>
              </w:rPr>
              <w:t xml:space="preserve"> </w:t>
            </w:r>
            <w:r>
              <w:rPr>
                <w:rFonts w:ascii="Calibri"/>
                <w:sz w:val="18"/>
              </w:rPr>
              <w:t>for</w:t>
            </w:r>
            <w:r>
              <w:rPr>
                <w:rFonts w:ascii="Calibri"/>
                <w:spacing w:val="-2"/>
                <w:sz w:val="18"/>
              </w:rPr>
              <w:t xml:space="preserve"> </w:t>
            </w:r>
            <w:r>
              <w:rPr>
                <w:rFonts w:ascii="Calibri"/>
                <w:sz w:val="18"/>
              </w:rPr>
              <w:t>PY9.</w:t>
            </w:r>
          </w:p>
        </w:tc>
      </w:tr>
      <w:tr w:rsidR="00E646C9" w:rsidTr="0011636D">
        <w:trPr>
          <w:trHeight w:hRule="exact" w:val="450"/>
        </w:trPr>
        <w:tc>
          <w:tcPr>
            <w:tcW w:w="4626" w:type="dxa"/>
            <w:shd w:val="clear" w:color="auto" w:fill="D2EAF1"/>
          </w:tcPr>
          <w:p w:rsidR="00E646C9" w:rsidRDefault="00E646C9" w:rsidP="00C94D5A">
            <w:pPr>
              <w:pStyle w:val="TableParagraph"/>
              <w:ind w:left="102" w:right="751"/>
              <w:rPr>
                <w:rFonts w:ascii="Calibri" w:eastAsia="Calibri" w:hAnsi="Calibri" w:cs="Calibri"/>
                <w:sz w:val="18"/>
                <w:szCs w:val="18"/>
              </w:rPr>
            </w:pPr>
            <w:r>
              <w:rPr>
                <w:rFonts w:ascii="Calibri"/>
                <w:spacing w:val="-1"/>
                <w:sz w:val="18"/>
              </w:rPr>
              <w:t>Review</w:t>
            </w:r>
            <w:r>
              <w:rPr>
                <w:rFonts w:ascii="Calibri"/>
                <w:spacing w:val="-2"/>
                <w:sz w:val="18"/>
              </w:rPr>
              <w:t xml:space="preserve"> </w:t>
            </w:r>
            <w:r>
              <w:rPr>
                <w:rFonts w:ascii="Calibri"/>
                <w:spacing w:val="-1"/>
                <w:sz w:val="18"/>
              </w:rPr>
              <w:t>and</w:t>
            </w:r>
            <w:r>
              <w:rPr>
                <w:rFonts w:ascii="Calibri"/>
                <w:spacing w:val="-3"/>
                <w:sz w:val="18"/>
              </w:rPr>
              <w:t xml:space="preserve"> </w:t>
            </w:r>
            <w:r>
              <w:rPr>
                <w:rFonts w:ascii="Calibri"/>
                <w:sz w:val="18"/>
              </w:rPr>
              <w:t>ensure</w:t>
            </w:r>
            <w:r>
              <w:rPr>
                <w:rFonts w:ascii="Calibri"/>
                <w:spacing w:val="-3"/>
                <w:sz w:val="18"/>
              </w:rPr>
              <w:t xml:space="preserve"> </w:t>
            </w:r>
            <w:r>
              <w:rPr>
                <w:rFonts w:ascii="Calibri"/>
                <w:spacing w:val="-1"/>
                <w:sz w:val="18"/>
              </w:rPr>
              <w:t xml:space="preserve">the New </w:t>
            </w:r>
            <w:r>
              <w:rPr>
                <w:rFonts w:ascii="Calibri"/>
                <w:sz w:val="18"/>
              </w:rPr>
              <w:t>Homes</w:t>
            </w:r>
            <w:r>
              <w:rPr>
                <w:rFonts w:ascii="Calibri"/>
                <w:spacing w:val="-3"/>
                <w:sz w:val="18"/>
              </w:rPr>
              <w:t xml:space="preserve"> </w:t>
            </w:r>
            <w:r>
              <w:rPr>
                <w:rFonts w:ascii="Calibri"/>
                <w:spacing w:val="-1"/>
                <w:sz w:val="18"/>
              </w:rPr>
              <w:t>rebate</w:t>
            </w:r>
            <w:r>
              <w:rPr>
                <w:rFonts w:ascii="Calibri"/>
                <w:spacing w:val="-3"/>
                <w:sz w:val="18"/>
              </w:rPr>
              <w:t xml:space="preserve"> </w:t>
            </w:r>
            <w:r>
              <w:rPr>
                <w:rFonts w:ascii="Calibri"/>
                <w:spacing w:val="-1"/>
                <w:sz w:val="18"/>
              </w:rPr>
              <w:t>submission</w:t>
            </w:r>
            <w:r>
              <w:rPr>
                <w:rFonts w:ascii="Calibri"/>
                <w:spacing w:val="-3"/>
                <w:sz w:val="18"/>
              </w:rPr>
              <w:t xml:space="preserve"> </w:t>
            </w:r>
            <w:r>
              <w:rPr>
                <w:rFonts w:ascii="Calibri"/>
                <w:sz w:val="18"/>
              </w:rPr>
              <w:t>&amp;</w:t>
            </w:r>
            <w:r>
              <w:rPr>
                <w:rFonts w:ascii="Calibri"/>
                <w:spacing w:val="-3"/>
                <w:sz w:val="18"/>
              </w:rPr>
              <w:t xml:space="preserve"> </w:t>
            </w:r>
            <w:r>
              <w:rPr>
                <w:rFonts w:ascii="Calibri"/>
                <w:spacing w:val="-1"/>
                <w:sz w:val="18"/>
              </w:rPr>
              <w:t>payment</w:t>
            </w:r>
            <w:r>
              <w:rPr>
                <w:rFonts w:ascii="Calibri"/>
                <w:sz w:val="18"/>
              </w:rPr>
              <w:t xml:space="preserve"> </w:t>
            </w:r>
            <w:r>
              <w:rPr>
                <w:rFonts w:ascii="Calibri"/>
                <w:spacing w:val="-1"/>
                <w:sz w:val="18"/>
              </w:rPr>
              <w:t>process</w:t>
            </w:r>
            <w:r>
              <w:rPr>
                <w:rFonts w:ascii="Calibri"/>
                <w:spacing w:val="-3"/>
                <w:sz w:val="18"/>
              </w:rPr>
              <w:t xml:space="preserve"> </w:t>
            </w:r>
            <w:r>
              <w:rPr>
                <w:rFonts w:ascii="Calibri"/>
                <w:spacing w:val="-1"/>
                <w:sz w:val="18"/>
              </w:rPr>
              <w:t>is</w:t>
            </w:r>
            <w:r>
              <w:rPr>
                <w:rFonts w:ascii="Calibri"/>
                <w:spacing w:val="-3"/>
                <w:sz w:val="18"/>
              </w:rPr>
              <w:t xml:space="preserve"> </w:t>
            </w:r>
            <w:r>
              <w:rPr>
                <w:rFonts w:ascii="Calibri"/>
                <w:spacing w:val="1"/>
                <w:sz w:val="18"/>
              </w:rPr>
              <w:t>as</w:t>
            </w:r>
            <w:r>
              <w:rPr>
                <w:rFonts w:ascii="Calibri"/>
                <w:spacing w:val="61"/>
                <w:sz w:val="18"/>
              </w:rPr>
              <w:t xml:space="preserve"> </w:t>
            </w:r>
            <w:r>
              <w:rPr>
                <w:rFonts w:ascii="Calibri"/>
                <w:spacing w:val="-1"/>
                <w:sz w:val="18"/>
              </w:rPr>
              <w:t>streamlined</w:t>
            </w:r>
            <w:r>
              <w:rPr>
                <w:rFonts w:ascii="Calibri"/>
                <w:spacing w:val="-4"/>
                <w:sz w:val="18"/>
              </w:rPr>
              <w:t xml:space="preserve"> </w:t>
            </w:r>
            <w:r>
              <w:rPr>
                <w:rFonts w:ascii="Calibri"/>
                <w:spacing w:val="1"/>
                <w:sz w:val="18"/>
              </w:rPr>
              <w:t>as</w:t>
            </w:r>
            <w:r>
              <w:rPr>
                <w:rFonts w:ascii="Calibri"/>
                <w:spacing w:val="-3"/>
                <w:sz w:val="18"/>
              </w:rPr>
              <w:t xml:space="preserve"> </w:t>
            </w:r>
            <w:r>
              <w:rPr>
                <w:rFonts w:ascii="Calibri"/>
                <w:spacing w:val="-1"/>
                <w:sz w:val="18"/>
              </w:rPr>
              <w:t>possible</w:t>
            </w:r>
            <w:r>
              <w:rPr>
                <w:rFonts w:ascii="Calibri"/>
                <w:spacing w:val="-3"/>
                <w:sz w:val="18"/>
              </w:rPr>
              <w:t xml:space="preserve"> </w:t>
            </w:r>
            <w:r>
              <w:rPr>
                <w:rFonts w:ascii="Calibri"/>
                <w:spacing w:val="-1"/>
                <w:sz w:val="18"/>
              </w:rPr>
              <w:t>to</w:t>
            </w:r>
            <w:r>
              <w:rPr>
                <w:rFonts w:ascii="Calibri"/>
                <w:spacing w:val="-2"/>
                <w:sz w:val="18"/>
              </w:rPr>
              <w:t xml:space="preserve"> </w:t>
            </w:r>
            <w:r>
              <w:rPr>
                <w:rFonts w:ascii="Calibri"/>
                <w:sz w:val="18"/>
              </w:rPr>
              <w:t>improve</w:t>
            </w:r>
            <w:r>
              <w:rPr>
                <w:rFonts w:ascii="Calibri"/>
                <w:spacing w:val="-3"/>
                <w:sz w:val="18"/>
              </w:rPr>
              <w:t xml:space="preserve"> </w:t>
            </w:r>
            <w:r>
              <w:rPr>
                <w:rFonts w:ascii="Calibri"/>
                <w:spacing w:val="-1"/>
                <w:sz w:val="18"/>
              </w:rPr>
              <w:t>participant</w:t>
            </w:r>
            <w:r>
              <w:rPr>
                <w:rFonts w:ascii="Calibri"/>
                <w:spacing w:val="-3"/>
                <w:sz w:val="18"/>
              </w:rPr>
              <w:t xml:space="preserve"> </w:t>
            </w:r>
            <w:r>
              <w:rPr>
                <w:rFonts w:ascii="Calibri"/>
                <w:spacing w:val="-1"/>
                <w:sz w:val="18"/>
              </w:rPr>
              <w:t>satisfaction</w:t>
            </w:r>
          </w:p>
        </w:tc>
        <w:tc>
          <w:tcPr>
            <w:tcW w:w="4734" w:type="dxa"/>
            <w:shd w:val="clear" w:color="auto" w:fill="D2EAF1"/>
          </w:tcPr>
          <w:p w:rsidR="00E646C9" w:rsidRDefault="00E646C9" w:rsidP="00C94D5A">
            <w:pPr>
              <w:pStyle w:val="TableParagraph"/>
              <w:spacing w:line="219"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670"/>
        </w:trPr>
        <w:tc>
          <w:tcPr>
            <w:tcW w:w="4626" w:type="dxa"/>
          </w:tcPr>
          <w:p w:rsidR="00E646C9" w:rsidRDefault="00E646C9" w:rsidP="00C94D5A">
            <w:pPr>
              <w:pStyle w:val="TableParagraph"/>
              <w:ind w:left="102" w:right="264"/>
              <w:jc w:val="both"/>
              <w:rPr>
                <w:rFonts w:ascii="Calibri" w:eastAsia="Calibri" w:hAnsi="Calibri" w:cs="Calibri"/>
                <w:sz w:val="18"/>
                <w:szCs w:val="18"/>
              </w:rPr>
            </w:pPr>
            <w:r>
              <w:rPr>
                <w:rFonts w:ascii="Calibri"/>
                <w:spacing w:val="-1"/>
                <w:sz w:val="18"/>
              </w:rPr>
              <w:t>Deliver New</w:t>
            </w:r>
            <w:r>
              <w:rPr>
                <w:rFonts w:ascii="Calibri"/>
                <w:spacing w:val="-2"/>
                <w:sz w:val="18"/>
              </w:rPr>
              <w:t xml:space="preserve"> </w:t>
            </w:r>
            <w:r>
              <w:rPr>
                <w:rFonts w:ascii="Calibri"/>
                <w:sz w:val="18"/>
              </w:rPr>
              <w:t>Homes</w:t>
            </w:r>
            <w:r>
              <w:rPr>
                <w:rFonts w:ascii="Calibri"/>
                <w:spacing w:val="-3"/>
                <w:sz w:val="18"/>
              </w:rPr>
              <w:t xml:space="preserve"> </w:t>
            </w:r>
            <w:r>
              <w:rPr>
                <w:rFonts w:ascii="Calibri"/>
                <w:spacing w:val="-1"/>
                <w:sz w:val="18"/>
              </w:rPr>
              <w:t>program</w:t>
            </w:r>
            <w:r>
              <w:rPr>
                <w:rFonts w:ascii="Calibri"/>
                <w:spacing w:val="-3"/>
                <w:sz w:val="18"/>
              </w:rPr>
              <w:t xml:space="preserve"> </w:t>
            </w:r>
            <w:r>
              <w:rPr>
                <w:rFonts w:ascii="Calibri"/>
                <w:sz w:val="18"/>
              </w:rPr>
              <w:t>value</w:t>
            </w:r>
            <w:r>
              <w:rPr>
                <w:rFonts w:ascii="Calibri"/>
                <w:spacing w:val="-3"/>
                <w:sz w:val="18"/>
              </w:rPr>
              <w:t xml:space="preserve"> </w:t>
            </w:r>
            <w:r>
              <w:rPr>
                <w:rFonts w:ascii="Calibri"/>
                <w:sz w:val="18"/>
              </w:rPr>
              <w:t>beyond</w:t>
            </w:r>
            <w:r>
              <w:rPr>
                <w:rFonts w:ascii="Calibri"/>
                <w:spacing w:val="-3"/>
                <w:sz w:val="18"/>
              </w:rPr>
              <w:t xml:space="preserve"> </w:t>
            </w:r>
            <w:r>
              <w:rPr>
                <w:rFonts w:ascii="Calibri"/>
                <w:spacing w:val="-1"/>
                <w:sz w:val="18"/>
              </w:rPr>
              <w:t>incentives</w:t>
            </w:r>
            <w:r>
              <w:rPr>
                <w:rFonts w:ascii="Calibri"/>
                <w:spacing w:val="-4"/>
                <w:sz w:val="18"/>
              </w:rPr>
              <w:t xml:space="preserve"> </w:t>
            </w:r>
            <w:r>
              <w:rPr>
                <w:rFonts w:ascii="Calibri"/>
                <w:spacing w:val="-1"/>
                <w:sz w:val="18"/>
              </w:rPr>
              <w:t>via</w:t>
            </w:r>
            <w:r>
              <w:rPr>
                <w:rFonts w:ascii="Calibri"/>
                <w:spacing w:val="-2"/>
                <w:sz w:val="18"/>
              </w:rPr>
              <w:t xml:space="preserve"> </w:t>
            </w:r>
            <w:r>
              <w:rPr>
                <w:rFonts w:ascii="Calibri"/>
                <w:spacing w:val="-1"/>
                <w:sz w:val="18"/>
              </w:rPr>
              <w:t>Webinar,</w:t>
            </w:r>
            <w:r>
              <w:rPr>
                <w:rFonts w:ascii="Calibri"/>
                <w:spacing w:val="-3"/>
                <w:sz w:val="18"/>
              </w:rPr>
              <w:t xml:space="preserve"> </w:t>
            </w:r>
            <w:r>
              <w:rPr>
                <w:rFonts w:ascii="Calibri"/>
                <w:spacing w:val="-1"/>
                <w:sz w:val="18"/>
              </w:rPr>
              <w:t>effective</w:t>
            </w:r>
            <w:r>
              <w:rPr>
                <w:rFonts w:ascii="Calibri"/>
                <w:spacing w:val="-3"/>
                <w:sz w:val="18"/>
              </w:rPr>
              <w:t xml:space="preserve"> </w:t>
            </w:r>
            <w:r>
              <w:rPr>
                <w:rFonts w:ascii="Calibri"/>
                <w:spacing w:val="-1"/>
                <w:sz w:val="18"/>
              </w:rPr>
              <w:t>program</w:t>
            </w:r>
            <w:r>
              <w:rPr>
                <w:rFonts w:ascii="Calibri"/>
                <w:spacing w:val="65"/>
                <w:w w:val="99"/>
                <w:sz w:val="18"/>
              </w:rPr>
              <w:t xml:space="preserve"> </w:t>
            </w:r>
            <w:r>
              <w:rPr>
                <w:rFonts w:ascii="Calibri"/>
                <w:spacing w:val="-1"/>
                <w:sz w:val="18"/>
              </w:rPr>
              <w:t>tools,</w:t>
            </w:r>
            <w:r>
              <w:rPr>
                <w:rFonts w:ascii="Calibri"/>
                <w:spacing w:val="-2"/>
                <w:sz w:val="18"/>
              </w:rPr>
              <w:t xml:space="preserve"> </w:t>
            </w:r>
            <w:r>
              <w:rPr>
                <w:rFonts w:ascii="Calibri"/>
                <w:spacing w:val="-1"/>
                <w:sz w:val="18"/>
              </w:rPr>
              <w:t>etc.</w:t>
            </w:r>
            <w:r>
              <w:rPr>
                <w:rFonts w:ascii="Calibri"/>
                <w:spacing w:val="-2"/>
                <w:sz w:val="18"/>
              </w:rPr>
              <w:t xml:space="preserve"> </w:t>
            </w:r>
            <w:r>
              <w:rPr>
                <w:rFonts w:ascii="Calibri"/>
                <w:spacing w:val="-1"/>
                <w:sz w:val="18"/>
              </w:rPr>
              <w:t>Two</w:t>
            </w:r>
            <w:r>
              <w:rPr>
                <w:rFonts w:ascii="Calibri"/>
                <w:sz w:val="18"/>
              </w:rPr>
              <w:t xml:space="preserve"> of</w:t>
            </w:r>
            <w:r>
              <w:rPr>
                <w:rFonts w:ascii="Calibri"/>
                <w:spacing w:val="-2"/>
                <w:sz w:val="18"/>
              </w:rPr>
              <w:t xml:space="preserve"> </w:t>
            </w:r>
            <w:r>
              <w:rPr>
                <w:rFonts w:ascii="Calibri"/>
                <w:spacing w:val="-1"/>
                <w:sz w:val="18"/>
              </w:rPr>
              <w:t>six</w:t>
            </w:r>
            <w:r>
              <w:rPr>
                <w:rFonts w:ascii="Calibri"/>
                <w:spacing w:val="-2"/>
                <w:sz w:val="18"/>
              </w:rPr>
              <w:t xml:space="preserve"> </w:t>
            </w:r>
            <w:r>
              <w:rPr>
                <w:rFonts w:ascii="Calibri"/>
                <w:spacing w:val="-1"/>
                <w:sz w:val="18"/>
              </w:rPr>
              <w:t>builders</w:t>
            </w:r>
            <w:r>
              <w:rPr>
                <w:rFonts w:ascii="Calibri"/>
                <w:spacing w:val="-3"/>
                <w:sz w:val="18"/>
              </w:rPr>
              <w:t xml:space="preserve"> </w:t>
            </w:r>
            <w:r>
              <w:rPr>
                <w:rFonts w:ascii="Calibri"/>
                <w:spacing w:val="-1"/>
                <w:sz w:val="18"/>
              </w:rPr>
              <w:t>specifically indicated</w:t>
            </w:r>
            <w:r>
              <w:rPr>
                <w:rFonts w:ascii="Calibri"/>
                <w:spacing w:val="-3"/>
                <w:sz w:val="18"/>
              </w:rPr>
              <w:t xml:space="preserve"> </w:t>
            </w:r>
            <w:r>
              <w:rPr>
                <w:rFonts w:ascii="Calibri"/>
                <w:spacing w:val="-1"/>
                <w:sz w:val="18"/>
              </w:rPr>
              <w:t>they</w:t>
            </w:r>
            <w:r>
              <w:rPr>
                <w:rFonts w:ascii="Calibri"/>
                <w:spacing w:val="-2"/>
                <w:sz w:val="18"/>
              </w:rPr>
              <w:t xml:space="preserve"> </w:t>
            </w:r>
            <w:r>
              <w:rPr>
                <w:rFonts w:ascii="Calibri"/>
                <w:spacing w:val="-1"/>
                <w:sz w:val="18"/>
              </w:rPr>
              <w:t>would</w:t>
            </w:r>
            <w:r>
              <w:rPr>
                <w:rFonts w:ascii="Calibri"/>
                <w:spacing w:val="-2"/>
                <w:sz w:val="18"/>
              </w:rPr>
              <w:t xml:space="preserve"> </w:t>
            </w:r>
            <w:r>
              <w:rPr>
                <w:rFonts w:ascii="Calibri"/>
                <w:spacing w:val="-1"/>
                <w:sz w:val="18"/>
              </w:rPr>
              <w:t>attend</w:t>
            </w:r>
            <w:r>
              <w:rPr>
                <w:rFonts w:ascii="Calibri"/>
                <w:spacing w:val="-4"/>
                <w:sz w:val="18"/>
              </w:rPr>
              <w:t xml:space="preserve"> </w:t>
            </w:r>
            <w:r>
              <w:rPr>
                <w:rFonts w:ascii="Calibri"/>
                <w:spacing w:val="-1"/>
                <w:sz w:val="18"/>
              </w:rPr>
              <w:t>future</w:t>
            </w:r>
            <w:r>
              <w:rPr>
                <w:rFonts w:ascii="Calibri"/>
                <w:spacing w:val="-2"/>
                <w:sz w:val="18"/>
              </w:rPr>
              <w:t xml:space="preserve"> </w:t>
            </w:r>
            <w:r>
              <w:rPr>
                <w:rFonts w:ascii="Calibri"/>
                <w:sz w:val="18"/>
              </w:rPr>
              <w:t>webinars</w:t>
            </w:r>
            <w:r>
              <w:rPr>
                <w:rFonts w:ascii="Calibri"/>
                <w:spacing w:val="89"/>
                <w:sz w:val="18"/>
              </w:rPr>
              <w:t xml:space="preserve"> </w:t>
            </w:r>
            <w:r>
              <w:rPr>
                <w:rFonts w:ascii="Calibri"/>
                <w:spacing w:val="-1"/>
                <w:sz w:val="18"/>
              </w:rPr>
              <w:t>explaining</w:t>
            </w:r>
            <w:r>
              <w:rPr>
                <w:rFonts w:ascii="Calibri"/>
                <w:spacing w:val="-4"/>
                <w:sz w:val="18"/>
              </w:rPr>
              <w:t xml:space="preserve"> </w:t>
            </w:r>
            <w:r>
              <w:rPr>
                <w:rFonts w:ascii="Calibri"/>
                <w:spacing w:val="-1"/>
                <w:sz w:val="18"/>
              </w:rPr>
              <w:t>program</w:t>
            </w:r>
            <w:r>
              <w:rPr>
                <w:rFonts w:ascii="Calibri"/>
                <w:sz w:val="18"/>
              </w:rPr>
              <w:t xml:space="preserve"> </w:t>
            </w:r>
            <w:r>
              <w:rPr>
                <w:rFonts w:ascii="Calibri"/>
                <w:spacing w:val="-1"/>
                <w:sz w:val="18"/>
              </w:rPr>
              <w:t>updates</w:t>
            </w:r>
            <w:r>
              <w:rPr>
                <w:rFonts w:ascii="Calibri"/>
                <w:spacing w:val="-3"/>
                <w:sz w:val="18"/>
              </w:rPr>
              <w:t xml:space="preserve"> </w:t>
            </w:r>
            <w:r>
              <w:rPr>
                <w:rFonts w:ascii="Calibri"/>
                <w:sz w:val="18"/>
              </w:rPr>
              <w:t>or</w:t>
            </w:r>
            <w:r>
              <w:rPr>
                <w:rFonts w:ascii="Calibri"/>
                <w:spacing w:val="-4"/>
                <w:sz w:val="18"/>
              </w:rPr>
              <w:t xml:space="preserve"> </w:t>
            </w:r>
            <w:r>
              <w:rPr>
                <w:rFonts w:ascii="Calibri"/>
                <w:sz w:val="18"/>
              </w:rPr>
              <w:t>process</w:t>
            </w:r>
            <w:r>
              <w:rPr>
                <w:rFonts w:ascii="Calibri"/>
                <w:spacing w:val="-3"/>
                <w:sz w:val="18"/>
              </w:rPr>
              <w:t xml:space="preserve"> </w:t>
            </w:r>
            <w:r>
              <w:rPr>
                <w:rFonts w:ascii="Calibri"/>
                <w:spacing w:val="-1"/>
                <w:sz w:val="18"/>
              </w:rPr>
              <w:t>changes.</w:t>
            </w:r>
          </w:p>
        </w:tc>
        <w:tc>
          <w:tcPr>
            <w:tcW w:w="4734"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667"/>
        </w:trPr>
        <w:tc>
          <w:tcPr>
            <w:tcW w:w="4626" w:type="dxa"/>
            <w:shd w:val="clear" w:color="auto" w:fill="D2EAF1"/>
          </w:tcPr>
          <w:p w:rsidR="00E646C9" w:rsidRDefault="00E646C9" w:rsidP="00C94D5A">
            <w:pPr>
              <w:pStyle w:val="TableParagraph"/>
              <w:ind w:left="102" w:right="256"/>
              <w:jc w:val="both"/>
              <w:rPr>
                <w:rFonts w:ascii="Calibri" w:eastAsia="Calibri" w:hAnsi="Calibri" w:cs="Calibri"/>
                <w:sz w:val="18"/>
                <w:szCs w:val="18"/>
              </w:rPr>
            </w:pPr>
            <w:r>
              <w:rPr>
                <w:rFonts w:ascii="Calibri" w:eastAsia="Calibri" w:hAnsi="Calibri" w:cs="Calibri"/>
                <w:spacing w:val="-1"/>
                <w:sz w:val="18"/>
                <w:szCs w:val="18"/>
              </w:rPr>
              <w:t>Market</w:t>
            </w:r>
            <w:r>
              <w:rPr>
                <w:rFonts w:ascii="Calibri" w:eastAsia="Calibri" w:hAnsi="Calibri" w:cs="Calibri"/>
                <w:spacing w:val="-4"/>
                <w:sz w:val="18"/>
                <w:szCs w:val="18"/>
              </w:rPr>
              <w:t xml:space="preserve"> </w:t>
            </w:r>
            <w:r>
              <w:rPr>
                <w:rFonts w:ascii="Calibri" w:eastAsia="Calibri" w:hAnsi="Calibri" w:cs="Calibri"/>
                <w:spacing w:val="-1"/>
                <w:sz w:val="18"/>
                <w:szCs w:val="18"/>
              </w:rPr>
              <w:t xml:space="preserve">New </w:t>
            </w:r>
            <w:r>
              <w:rPr>
                <w:rFonts w:ascii="Calibri" w:eastAsia="Calibri" w:hAnsi="Calibri" w:cs="Calibri"/>
                <w:sz w:val="18"/>
                <w:szCs w:val="18"/>
              </w:rPr>
              <w:t>Homes</w:t>
            </w:r>
            <w:r>
              <w:rPr>
                <w:rFonts w:ascii="Calibri" w:eastAsia="Calibri" w:hAnsi="Calibri" w:cs="Calibri"/>
                <w:spacing w:val="-3"/>
                <w:sz w:val="18"/>
                <w:szCs w:val="18"/>
              </w:rPr>
              <w:t xml:space="preserve"> </w:t>
            </w:r>
            <w:r>
              <w:rPr>
                <w:rFonts w:ascii="Calibri" w:eastAsia="Calibri" w:hAnsi="Calibri" w:cs="Calibri"/>
                <w:spacing w:val="-1"/>
                <w:sz w:val="18"/>
                <w:szCs w:val="18"/>
              </w:rPr>
              <w:t>program specifically</w:t>
            </w:r>
            <w:r>
              <w:rPr>
                <w:rFonts w:ascii="Calibri" w:eastAsia="Calibri" w:hAnsi="Calibri" w:cs="Calibri"/>
                <w:spacing w:val="-2"/>
                <w:sz w:val="18"/>
                <w:szCs w:val="18"/>
              </w:rPr>
              <w:t xml:space="preserve"> </w:t>
            </w:r>
            <w:r>
              <w:rPr>
                <w:rFonts w:ascii="Calibri" w:eastAsia="Calibri" w:hAnsi="Calibri" w:cs="Calibri"/>
                <w:spacing w:val="-1"/>
                <w:sz w:val="18"/>
                <w:szCs w:val="18"/>
              </w:rPr>
              <w:t>to builders</w:t>
            </w:r>
            <w:r>
              <w:rPr>
                <w:rFonts w:ascii="Calibri" w:eastAsia="Calibri" w:hAnsi="Calibri" w:cs="Calibri"/>
                <w:spacing w:val="-3"/>
                <w:sz w:val="18"/>
                <w:szCs w:val="18"/>
              </w:rPr>
              <w:t xml:space="preserve"> </w:t>
            </w:r>
            <w:r>
              <w:rPr>
                <w:rFonts w:ascii="Calibri" w:eastAsia="Calibri" w:hAnsi="Calibri" w:cs="Calibri"/>
                <w:sz w:val="18"/>
                <w:szCs w:val="18"/>
              </w:rPr>
              <w:t>that</w:t>
            </w:r>
            <w:r>
              <w:rPr>
                <w:rFonts w:ascii="Calibri" w:eastAsia="Calibri" w:hAnsi="Calibri" w:cs="Calibri"/>
                <w:spacing w:val="-3"/>
                <w:sz w:val="18"/>
                <w:szCs w:val="18"/>
              </w:rPr>
              <w:t xml:space="preserve"> </w:t>
            </w:r>
            <w:r>
              <w:rPr>
                <w:rFonts w:ascii="Calibri" w:eastAsia="Calibri" w:hAnsi="Calibri" w:cs="Calibri"/>
                <w:spacing w:val="-1"/>
                <w:sz w:val="18"/>
                <w:szCs w:val="18"/>
              </w:rPr>
              <w:t>began</w:t>
            </w:r>
            <w:r>
              <w:rPr>
                <w:rFonts w:ascii="Calibri" w:eastAsia="Calibri" w:hAnsi="Calibri" w:cs="Calibri"/>
                <w:spacing w:val="-4"/>
                <w:sz w:val="18"/>
                <w:szCs w:val="18"/>
              </w:rPr>
              <w:t xml:space="preserve"> </w:t>
            </w:r>
            <w:r>
              <w:rPr>
                <w:rFonts w:ascii="Calibri" w:eastAsia="Calibri" w:hAnsi="Calibri" w:cs="Calibri"/>
                <w:sz w:val="18"/>
                <w:szCs w:val="18"/>
              </w:rPr>
              <w:t>with</w:t>
            </w:r>
            <w:r>
              <w:rPr>
                <w:rFonts w:ascii="Calibri" w:eastAsia="Calibri" w:hAnsi="Calibri" w:cs="Calibri"/>
                <w:spacing w:val="-3"/>
                <w:sz w:val="18"/>
                <w:szCs w:val="18"/>
              </w:rPr>
              <w:t xml:space="preserve"> </w:t>
            </w:r>
            <w:r>
              <w:rPr>
                <w:rFonts w:ascii="Calibri" w:eastAsia="Calibri" w:hAnsi="Calibri" w:cs="Calibri"/>
                <w:spacing w:val="-1"/>
                <w:sz w:val="18"/>
                <w:szCs w:val="18"/>
              </w:rPr>
              <w:t>the program,</w:t>
            </w:r>
            <w:r>
              <w:rPr>
                <w:rFonts w:ascii="Calibri" w:eastAsia="Calibri" w:hAnsi="Calibri" w:cs="Calibri"/>
                <w:spacing w:val="-2"/>
                <w:sz w:val="18"/>
                <w:szCs w:val="18"/>
              </w:rPr>
              <w:t xml:space="preserve"> </w:t>
            </w:r>
            <w:r>
              <w:rPr>
                <w:rFonts w:ascii="Calibri" w:eastAsia="Calibri" w:hAnsi="Calibri" w:cs="Calibri"/>
                <w:spacing w:val="-1"/>
                <w:sz w:val="18"/>
                <w:szCs w:val="18"/>
              </w:rPr>
              <w:t>but</w:t>
            </w:r>
            <w:r>
              <w:rPr>
                <w:rFonts w:ascii="Calibri" w:eastAsia="Calibri" w:hAnsi="Calibri" w:cs="Calibri"/>
                <w:spacing w:val="56"/>
                <w:sz w:val="18"/>
                <w:szCs w:val="18"/>
              </w:rPr>
              <w:t xml:space="preserve"> </w:t>
            </w:r>
            <w:r>
              <w:rPr>
                <w:rFonts w:ascii="Calibri" w:eastAsia="Calibri" w:hAnsi="Calibri" w:cs="Calibri"/>
                <w:spacing w:val="-1"/>
                <w:sz w:val="18"/>
                <w:szCs w:val="18"/>
              </w:rPr>
              <w:t>dropped</w:t>
            </w:r>
            <w:r>
              <w:rPr>
                <w:rFonts w:ascii="Calibri" w:eastAsia="Calibri" w:hAnsi="Calibri" w:cs="Calibri"/>
                <w:spacing w:val="-3"/>
                <w:sz w:val="18"/>
                <w:szCs w:val="18"/>
              </w:rPr>
              <w:t xml:space="preserve"> </w:t>
            </w:r>
            <w:r>
              <w:rPr>
                <w:rFonts w:ascii="Calibri" w:eastAsia="Calibri" w:hAnsi="Calibri" w:cs="Calibri"/>
                <w:sz w:val="18"/>
                <w:szCs w:val="18"/>
              </w:rPr>
              <w:t>out</w:t>
            </w:r>
            <w:r>
              <w:rPr>
                <w:rFonts w:ascii="Calibri" w:eastAsia="Calibri" w:hAnsi="Calibri" w:cs="Calibri"/>
                <w:spacing w:val="-3"/>
                <w:sz w:val="18"/>
                <w:szCs w:val="18"/>
              </w:rPr>
              <w:t xml:space="preserve"> </w:t>
            </w:r>
            <w:r>
              <w:rPr>
                <w:rFonts w:ascii="Calibri" w:eastAsia="Calibri" w:hAnsi="Calibri" w:cs="Calibri"/>
                <w:spacing w:val="-1"/>
                <w:sz w:val="18"/>
                <w:szCs w:val="18"/>
              </w:rPr>
              <w:t>along</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3"/>
                <w:sz w:val="18"/>
                <w:szCs w:val="18"/>
              </w:rPr>
              <w:t xml:space="preserve"> </w:t>
            </w:r>
            <w:r>
              <w:rPr>
                <w:rFonts w:ascii="Calibri" w:eastAsia="Calibri" w:hAnsi="Calibri" w:cs="Calibri"/>
                <w:sz w:val="18"/>
                <w:szCs w:val="18"/>
              </w:rPr>
              <w:t>way</w:t>
            </w:r>
            <w:r>
              <w:rPr>
                <w:rFonts w:ascii="Calibri" w:eastAsia="Calibri" w:hAnsi="Calibri" w:cs="Calibri"/>
                <w:spacing w:val="-1"/>
                <w:sz w:val="18"/>
                <w:szCs w:val="18"/>
              </w:rPr>
              <w:t xml:space="preserve"> </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pacing w:val="-1"/>
                <w:sz w:val="18"/>
                <w:szCs w:val="18"/>
              </w:rPr>
              <w:t>especially</w:t>
            </w:r>
            <w:r>
              <w:rPr>
                <w:rFonts w:ascii="Calibri" w:eastAsia="Calibri" w:hAnsi="Calibri" w:cs="Calibri"/>
                <w:spacing w:val="-2"/>
                <w:sz w:val="18"/>
                <w:szCs w:val="18"/>
              </w:rPr>
              <w:t xml:space="preserve"> </w:t>
            </w:r>
            <w:r>
              <w:rPr>
                <w:rFonts w:ascii="Calibri" w:eastAsia="Calibri" w:hAnsi="Calibri" w:cs="Calibri"/>
                <w:sz w:val="18"/>
                <w:szCs w:val="18"/>
              </w:rPr>
              <w:t>as</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3"/>
                <w:sz w:val="18"/>
                <w:szCs w:val="18"/>
              </w:rPr>
              <w:t xml:space="preserve"> </w:t>
            </w:r>
            <w:r>
              <w:rPr>
                <w:rFonts w:ascii="Calibri" w:eastAsia="Calibri" w:hAnsi="Calibri" w:cs="Calibri"/>
                <w:spacing w:val="-1"/>
                <w:sz w:val="18"/>
                <w:szCs w:val="18"/>
              </w:rPr>
              <w:t xml:space="preserve">program </w:t>
            </w:r>
            <w:r>
              <w:rPr>
                <w:rFonts w:ascii="Calibri" w:eastAsia="Calibri" w:hAnsi="Calibri" w:cs="Calibri"/>
                <w:sz w:val="18"/>
                <w:szCs w:val="18"/>
              </w:rPr>
              <w:t>becomes</w:t>
            </w:r>
            <w:r>
              <w:rPr>
                <w:rFonts w:ascii="Calibri" w:eastAsia="Calibri" w:hAnsi="Calibri" w:cs="Calibri"/>
                <w:spacing w:val="-3"/>
                <w:sz w:val="18"/>
                <w:szCs w:val="18"/>
              </w:rPr>
              <w:t xml:space="preserve"> </w:t>
            </w:r>
            <w:r>
              <w:rPr>
                <w:rFonts w:ascii="Calibri" w:eastAsia="Calibri" w:hAnsi="Calibri" w:cs="Calibri"/>
                <w:sz w:val="18"/>
                <w:szCs w:val="18"/>
              </w:rPr>
              <w:t>more</w:t>
            </w:r>
            <w:r>
              <w:rPr>
                <w:rFonts w:ascii="Calibri" w:eastAsia="Calibri" w:hAnsi="Calibri" w:cs="Calibri"/>
                <w:spacing w:val="-3"/>
                <w:sz w:val="18"/>
                <w:szCs w:val="18"/>
              </w:rPr>
              <w:t xml:space="preserve"> </w:t>
            </w:r>
            <w:r>
              <w:rPr>
                <w:rFonts w:ascii="Calibri" w:eastAsia="Calibri" w:hAnsi="Calibri" w:cs="Calibri"/>
                <w:spacing w:val="-1"/>
                <w:sz w:val="18"/>
                <w:szCs w:val="18"/>
              </w:rPr>
              <w:t>streamlined</w:t>
            </w:r>
            <w:r>
              <w:rPr>
                <w:rFonts w:ascii="Calibri" w:eastAsia="Calibri" w:hAnsi="Calibri" w:cs="Calibri"/>
                <w:spacing w:val="-2"/>
                <w:sz w:val="18"/>
                <w:szCs w:val="18"/>
              </w:rPr>
              <w:t xml:space="preserve"> </w:t>
            </w:r>
            <w:r>
              <w:rPr>
                <w:rFonts w:ascii="Calibri" w:eastAsia="Calibri" w:hAnsi="Calibri" w:cs="Calibri"/>
                <w:sz w:val="18"/>
                <w:szCs w:val="18"/>
              </w:rPr>
              <w:t>or</w:t>
            </w:r>
            <w:r>
              <w:rPr>
                <w:rFonts w:ascii="Calibri" w:eastAsia="Calibri" w:hAnsi="Calibri" w:cs="Calibri"/>
                <w:spacing w:val="53"/>
                <w:w w:val="99"/>
                <w:sz w:val="18"/>
                <w:szCs w:val="18"/>
              </w:rPr>
              <w:t xml:space="preserve"> </w:t>
            </w:r>
            <w:r>
              <w:rPr>
                <w:rFonts w:ascii="Calibri" w:eastAsia="Calibri" w:hAnsi="Calibri" w:cs="Calibri"/>
                <w:spacing w:val="-1"/>
                <w:sz w:val="18"/>
                <w:szCs w:val="18"/>
              </w:rPr>
              <w:t>incentives</w:t>
            </w:r>
            <w:r>
              <w:rPr>
                <w:rFonts w:ascii="Calibri" w:eastAsia="Calibri" w:hAnsi="Calibri" w:cs="Calibri"/>
                <w:spacing w:val="-8"/>
                <w:sz w:val="18"/>
                <w:szCs w:val="18"/>
              </w:rPr>
              <w:t xml:space="preserve"> </w:t>
            </w:r>
            <w:r>
              <w:rPr>
                <w:rFonts w:ascii="Calibri" w:eastAsia="Calibri" w:hAnsi="Calibri" w:cs="Calibri"/>
                <w:spacing w:val="-1"/>
                <w:sz w:val="18"/>
                <w:szCs w:val="18"/>
              </w:rPr>
              <w:t>change.</w:t>
            </w:r>
          </w:p>
        </w:tc>
        <w:tc>
          <w:tcPr>
            <w:tcW w:w="4734"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1550"/>
        </w:trPr>
        <w:tc>
          <w:tcPr>
            <w:tcW w:w="4626" w:type="dxa"/>
          </w:tcPr>
          <w:p w:rsidR="00E646C9" w:rsidRDefault="00E646C9" w:rsidP="00C94D5A">
            <w:pPr>
              <w:pStyle w:val="TableParagraph"/>
              <w:ind w:left="102" w:right="122"/>
              <w:rPr>
                <w:rFonts w:ascii="Calibri" w:eastAsia="Calibri" w:hAnsi="Calibri" w:cs="Calibri"/>
                <w:sz w:val="18"/>
                <w:szCs w:val="18"/>
              </w:rPr>
            </w:pPr>
            <w:r>
              <w:rPr>
                <w:rFonts w:ascii="Calibri"/>
                <w:spacing w:val="-1"/>
                <w:sz w:val="18"/>
              </w:rPr>
              <w:t>For</w:t>
            </w:r>
            <w:r>
              <w:rPr>
                <w:rFonts w:ascii="Calibri"/>
                <w:spacing w:val="-4"/>
                <w:sz w:val="18"/>
              </w:rPr>
              <w:t xml:space="preserve"> </w:t>
            </w:r>
            <w:r>
              <w:rPr>
                <w:rFonts w:ascii="Calibri"/>
                <w:spacing w:val="-1"/>
                <w:sz w:val="18"/>
              </w:rPr>
              <w:t>the</w:t>
            </w:r>
            <w:r>
              <w:rPr>
                <w:rFonts w:ascii="Calibri"/>
                <w:spacing w:val="-4"/>
                <w:sz w:val="18"/>
              </w:rPr>
              <w:t xml:space="preserve"> </w:t>
            </w:r>
            <w:r>
              <w:rPr>
                <w:rFonts w:ascii="Calibri"/>
                <w:sz w:val="18"/>
              </w:rPr>
              <w:t>New</w:t>
            </w:r>
            <w:r>
              <w:rPr>
                <w:rFonts w:ascii="Calibri"/>
                <w:spacing w:val="-1"/>
                <w:sz w:val="18"/>
              </w:rPr>
              <w:t xml:space="preserve"> </w:t>
            </w:r>
            <w:r>
              <w:rPr>
                <w:rFonts w:ascii="Calibri"/>
                <w:sz w:val="18"/>
              </w:rPr>
              <w:t>Homes</w:t>
            </w:r>
            <w:r>
              <w:rPr>
                <w:rFonts w:ascii="Calibri"/>
                <w:spacing w:val="-4"/>
                <w:sz w:val="18"/>
              </w:rPr>
              <w:t xml:space="preserve"> </w:t>
            </w:r>
            <w:r>
              <w:rPr>
                <w:rFonts w:ascii="Calibri"/>
                <w:spacing w:val="-1"/>
                <w:sz w:val="18"/>
              </w:rPr>
              <w:t>program,</w:t>
            </w:r>
            <w:r>
              <w:rPr>
                <w:rFonts w:ascii="Calibri"/>
                <w:spacing w:val="-2"/>
                <w:sz w:val="18"/>
              </w:rPr>
              <w:t xml:space="preserve"> </w:t>
            </w:r>
            <w:r>
              <w:rPr>
                <w:rFonts w:ascii="Calibri"/>
                <w:spacing w:val="-1"/>
                <w:sz w:val="18"/>
              </w:rPr>
              <w:t>consider</w:t>
            </w:r>
            <w:r>
              <w:rPr>
                <w:rFonts w:ascii="Calibri"/>
                <w:spacing w:val="-4"/>
                <w:sz w:val="18"/>
              </w:rPr>
              <w:t xml:space="preserve"> </w:t>
            </w:r>
            <w:r>
              <w:rPr>
                <w:rFonts w:ascii="Calibri"/>
                <w:spacing w:val="-1"/>
                <w:sz w:val="18"/>
              </w:rPr>
              <w:t>requiring</w:t>
            </w:r>
            <w:r>
              <w:rPr>
                <w:rFonts w:ascii="Calibri"/>
                <w:spacing w:val="-3"/>
                <w:sz w:val="18"/>
              </w:rPr>
              <w:t xml:space="preserve"> </w:t>
            </w:r>
            <w:r>
              <w:rPr>
                <w:rFonts w:ascii="Calibri"/>
                <w:sz w:val="18"/>
              </w:rPr>
              <w:t>HERS</w:t>
            </w:r>
            <w:r>
              <w:rPr>
                <w:rFonts w:ascii="Calibri"/>
                <w:spacing w:val="-4"/>
                <w:sz w:val="18"/>
              </w:rPr>
              <w:t xml:space="preserve"> </w:t>
            </w:r>
            <w:r>
              <w:rPr>
                <w:rFonts w:ascii="Calibri"/>
                <w:spacing w:val="-1"/>
                <w:sz w:val="18"/>
              </w:rPr>
              <w:t>ratings</w:t>
            </w:r>
            <w:r>
              <w:rPr>
                <w:rFonts w:ascii="Calibri"/>
                <w:spacing w:val="-3"/>
                <w:sz w:val="18"/>
              </w:rPr>
              <w:t xml:space="preserve"> </w:t>
            </w:r>
            <w:r>
              <w:rPr>
                <w:rFonts w:ascii="Calibri"/>
                <w:sz w:val="18"/>
              </w:rPr>
              <w:t>and</w:t>
            </w:r>
            <w:r>
              <w:rPr>
                <w:rFonts w:ascii="Calibri"/>
                <w:spacing w:val="-2"/>
                <w:sz w:val="18"/>
              </w:rPr>
              <w:t xml:space="preserve"> </w:t>
            </w:r>
            <w:r>
              <w:rPr>
                <w:rFonts w:ascii="Calibri"/>
                <w:spacing w:val="-1"/>
                <w:sz w:val="18"/>
              </w:rPr>
              <w:t>associated</w:t>
            </w:r>
            <w:r>
              <w:rPr>
                <w:rFonts w:ascii="Calibri"/>
                <w:spacing w:val="-4"/>
                <w:sz w:val="18"/>
              </w:rPr>
              <w:t xml:space="preserve"> </w:t>
            </w:r>
            <w:r>
              <w:rPr>
                <w:rFonts w:ascii="Calibri"/>
                <w:spacing w:val="-1"/>
                <w:sz w:val="18"/>
              </w:rPr>
              <w:t>REM/Rate</w:t>
            </w:r>
            <w:r>
              <w:rPr>
                <w:rFonts w:ascii="Calibri"/>
                <w:spacing w:val="69"/>
                <w:w w:val="99"/>
                <w:sz w:val="18"/>
              </w:rPr>
              <w:t xml:space="preserve"> </w:t>
            </w:r>
            <w:r>
              <w:rPr>
                <w:rFonts w:ascii="Calibri"/>
                <w:spacing w:val="-1"/>
                <w:sz w:val="18"/>
              </w:rPr>
              <w:t>models</w:t>
            </w:r>
            <w:r>
              <w:rPr>
                <w:rFonts w:ascii="Calibri"/>
                <w:spacing w:val="-3"/>
                <w:sz w:val="18"/>
              </w:rPr>
              <w:t xml:space="preserve"> </w:t>
            </w:r>
            <w:r>
              <w:rPr>
                <w:rFonts w:ascii="Calibri"/>
                <w:sz w:val="18"/>
              </w:rPr>
              <w:t>on</w:t>
            </w:r>
            <w:r>
              <w:rPr>
                <w:rFonts w:ascii="Calibri"/>
                <w:spacing w:val="-3"/>
                <w:sz w:val="18"/>
              </w:rPr>
              <w:t xml:space="preserve"> </w:t>
            </w:r>
            <w:r>
              <w:rPr>
                <w:rFonts w:ascii="Calibri"/>
                <w:sz w:val="18"/>
              </w:rPr>
              <w:t>a</w:t>
            </w:r>
            <w:r>
              <w:rPr>
                <w:rFonts w:ascii="Calibri"/>
                <w:spacing w:val="-2"/>
                <w:sz w:val="18"/>
              </w:rPr>
              <w:t xml:space="preserve"> </w:t>
            </w:r>
            <w:r>
              <w:rPr>
                <w:rFonts w:ascii="Calibri"/>
                <w:spacing w:val="-1"/>
                <w:sz w:val="18"/>
              </w:rPr>
              <w:t>sampled</w:t>
            </w:r>
            <w:r>
              <w:rPr>
                <w:rFonts w:ascii="Calibri"/>
                <w:spacing w:val="-2"/>
                <w:sz w:val="18"/>
              </w:rPr>
              <w:t xml:space="preserve"> </w:t>
            </w:r>
            <w:r>
              <w:rPr>
                <w:rFonts w:ascii="Calibri"/>
                <w:spacing w:val="-1"/>
                <w:sz w:val="18"/>
              </w:rPr>
              <w:t>basis</w:t>
            </w:r>
            <w:r>
              <w:rPr>
                <w:rFonts w:ascii="Calibri"/>
                <w:spacing w:val="-3"/>
                <w:sz w:val="18"/>
              </w:rPr>
              <w:t xml:space="preserve"> </w:t>
            </w:r>
            <w:r>
              <w:rPr>
                <w:rFonts w:ascii="Calibri"/>
                <w:spacing w:val="-1"/>
                <w:sz w:val="18"/>
              </w:rPr>
              <w:t>rather</w:t>
            </w:r>
            <w:r>
              <w:rPr>
                <w:rFonts w:ascii="Calibri"/>
                <w:sz w:val="18"/>
              </w:rPr>
              <w:t xml:space="preserve"> </w:t>
            </w:r>
            <w:r>
              <w:rPr>
                <w:rFonts w:ascii="Calibri"/>
                <w:spacing w:val="-1"/>
                <w:sz w:val="18"/>
              </w:rPr>
              <w:t>than</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the</w:t>
            </w:r>
            <w:r>
              <w:rPr>
                <w:rFonts w:ascii="Calibri"/>
                <w:spacing w:val="-2"/>
                <w:sz w:val="18"/>
              </w:rPr>
              <w:t xml:space="preserve"> </w:t>
            </w:r>
            <w:r>
              <w:rPr>
                <w:rFonts w:ascii="Calibri"/>
                <w:sz w:val="18"/>
              </w:rPr>
              <w:t>census</w:t>
            </w:r>
            <w:r>
              <w:rPr>
                <w:rFonts w:ascii="Calibri"/>
                <w:spacing w:val="-3"/>
                <w:sz w:val="18"/>
              </w:rPr>
              <w:t xml:space="preserve"> </w:t>
            </w:r>
            <w:r>
              <w:rPr>
                <w:rFonts w:ascii="Calibri"/>
                <w:sz w:val="18"/>
              </w:rPr>
              <w:t>of</w:t>
            </w:r>
            <w:r>
              <w:rPr>
                <w:rFonts w:ascii="Calibri"/>
                <w:spacing w:val="-2"/>
                <w:sz w:val="18"/>
              </w:rPr>
              <w:t xml:space="preserve"> </w:t>
            </w:r>
            <w:r>
              <w:rPr>
                <w:rFonts w:ascii="Calibri"/>
                <w:spacing w:val="-1"/>
                <w:sz w:val="18"/>
              </w:rPr>
              <w:t>homes,</w:t>
            </w:r>
            <w:r>
              <w:rPr>
                <w:rFonts w:ascii="Calibri"/>
                <w:spacing w:val="-2"/>
                <w:sz w:val="18"/>
              </w:rPr>
              <w:t xml:space="preserve"> </w:t>
            </w:r>
            <w:r>
              <w:rPr>
                <w:rFonts w:ascii="Calibri"/>
                <w:sz w:val="18"/>
              </w:rPr>
              <w:t>from</w:t>
            </w:r>
            <w:r>
              <w:rPr>
                <w:rFonts w:ascii="Calibri"/>
                <w:spacing w:val="-1"/>
                <w:sz w:val="18"/>
              </w:rPr>
              <w:t xml:space="preserve"> high-volume</w:t>
            </w:r>
            <w:r>
              <w:rPr>
                <w:rFonts w:ascii="Calibri"/>
                <w:spacing w:val="65"/>
                <w:w w:val="99"/>
                <w:sz w:val="18"/>
              </w:rPr>
              <w:t xml:space="preserve"> </w:t>
            </w:r>
            <w:r>
              <w:rPr>
                <w:rFonts w:ascii="Calibri"/>
                <w:spacing w:val="-1"/>
                <w:sz w:val="18"/>
              </w:rPr>
              <w:t>builders.</w:t>
            </w:r>
          </w:p>
        </w:tc>
        <w:tc>
          <w:tcPr>
            <w:tcW w:w="4734" w:type="dxa"/>
          </w:tcPr>
          <w:p w:rsidR="00E646C9" w:rsidRDefault="00E646C9" w:rsidP="00C94D5A">
            <w:pPr>
              <w:pStyle w:val="TableParagraph"/>
              <w:ind w:left="102" w:right="130"/>
              <w:rPr>
                <w:rFonts w:ascii="Calibri" w:eastAsia="Calibri" w:hAnsi="Calibri" w:cs="Calibri"/>
                <w:sz w:val="18"/>
                <w:szCs w:val="18"/>
              </w:rPr>
            </w:pPr>
            <w:r>
              <w:rPr>
                <w:rFonts w:ascii="Calibri"/>
                <w:spacing w:val="-1"/>
                <w:sz w:val="18"/>
              </w:rPr>
              <w:t>The</w:t>
            </w:r>
            <w:r>
              <w:rPr>
                <w:rFonts w:ascii="Calibri"/>
                <w:spacing w:val="-4"/>
                <w:sz w:val="18"/>
              </w:rPr>
              <w:t xml:space="preserve"> </w:t>
            </w:r>
            <w:r>
              <w:rPr>
                <w:rFonts w:ascii="Calibri"/>
                <w:spacing w:val="-1"/>
                <w:sz w:val="18"/>
              </w:rPr>
              <w:t>Company</w:t>
            </w:r>
            <w:r>
              <w:rPr>
                <w:rFonts w:ascii="Calibri"/>
                <w:spacing w:val="-2"/>
                <w:sz w:val="18"/>
              </w:rPr>
              <w:t xml:space="preserve"> </w:t>
            </w:r>
            <w:r>
              <w:rPr>
                <w:rFonts w:ascii="Calibri"/>
                <w:spacing w:val="-1"/>
                <w:sz w:val="18"/>
              </w:rPr>
              <w:t>prefers</w:t>
            </w:r>
            <w:r>
              <w:rPr>
                <w:rFonts w:ascii="Calibri"/>
                <w:spacing w:val="-3"/>
                <w:sz w:val="18"/>
              </w:rPr>
              <w:t xml:space="preserve"> </w:t>
            </w:r>
            <w:r>
              <w:rPr>
                <w:rFonts w:ascii="Calibri"/>
                <w:spacing w:val="-1"/>
                <w:sz w:val="18"/>
              </w:rPr>
              <w:t>to</w:t>
            </w:r>
            <w:r>
              <w:rPr>
                <w:rFonts w:ascii="Calibri"/>
                <w:spacing w:val="27"/>
                <w:sz w:val="18"/>
              </w:rPr>
              <w:t xml:space="preserve"> </w:t>
            </w:r>
            <w:r>
              <w:rPr>
                <w:rFonts w:ascii="Calibri"/>
                <w:spacing w:val="-1"/>
                <w:sz w:val="18"/>
              </w:rPr>
              <w:t>represent</w:t>
            </w:r>
            <w:r>
              <w:rPr>
                <w:rFonts w:ascii="Calibri"/>
                <w:spacing w:val="-5"/>
                <w:sz w:val="18"/>
              </w:rPr>
              <w:t xml:space="preserve"> </w:t>
            </w:r>
            <w:r>
              <w:rPr>
                <w:rFonts w:ascii="Calibri"/>
                <w:spacing w:val="-1"/>
                <w:sz w:val="18"/>
              </w:rPr>
              <w:t>the</w:t>
            </w:r>
            <w:r>
              <w:rPr>
                <w:rFonts w:ascii="Calibri"/>
                <w:spacing w:val="-4"/>
                <w:sz w:val="18"/>
              </w:rPr>
              <w:t xml:space="preserve"> </w:t>
            </w:r>
            <w:r>
              <w:rPr>
                <w:rFonts w:ascii="Calibri"/>
                <w:sz w:val="18"/>
              </w:rPr>
              <w:t>actual</w:t>
            </w:r>
            <w:r>
              <w:rPr>
                <w:rFonts w:ascii="Calibri"/>
                <w:spacing w:val="-5"/>
                <w:sz w:val="18"/>
              </w:rPr>
              <w:t xml:space="preserve"> </w:t>
            </w:r>
            <w:r>
              <w:rPr>
                <w:rFonts w:ascii="Calibri"/>
                <w:spacing w:val="-1"/>
                <w:sz w:val="18"/>
              </w:rPr>
              <w:t>savings</w:t>
            </w:r>
            <w:r>
              <w:rPr>
                <w:rFonts w:ascii="Calibri"/>
                <w:spacing w:val="20"/>
                <w:w w:val="99"/>
                <w:sz w:val="18"/>
              </w:rPr>
              <w:t xml:space="preserve"> </w:t>
            </w:r>
            <w:r>
              <w:rPr>
                <w:rFonts w:ascii="Calibri"/>
                <w:sz w:val="18"/>
              </w:rPr>
              <w:t>above</w:t>
            </w:r>
            <w:r>
              <w:rPr>
                <w:rFonts w:ascii="Calibri"/>
                <w:spacing w:val="-5"/>
                <w:sz w:val="18"/>
              </w:rPr>
              <w:t xml:space="preserve"> </w:t>
            </w:r>
            <w:r>
              <w:rPr>
                <w:rFonts w:ascii="Calibri"/>
                <w:spacing w:val="-1"/>
                <w:sz w:val="18"/>
              </w:rPr>
              <w:t>code</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each</w:t>
            </w:r>
            <w:r>
              <w:rPr>
                <w:rFonts w:ascii="Calibri"/>
                <w:spacing w:val="-4"/>
                <w:sz w:val="18"/>
              </w:rPr>
              <w:t xml:space="preserve"> </w:t>
            </w:r>
            <w:r>
              <w:rPr>
                <w:rFonts w:ascii="Calibri"/>
                <w:spacing w:val="-1"/>
                <w:sz w:val="18"/>
              </w:rPr>
              <w:t>rebated</w:t>
            </w:r>
            <w:r>
              <w:rPr>
                <w:rFonts w:ascii="Calibri"/>
                <w:spacing w:val="-4"/>
                <w:sz w:val="18"/>
              </w:rPr>
              <w:t xml:space="preserve"> </w:t>
            </w:r>
            <w:r>
              <w:rPr>
                <w:rFonts w:ascii="Calibri"/>
                <w:spacing w:val="-1"/>
                <w:sz w:val="18"/>
              </w:rPr>
              <w:t>new</w:t>
            </w:r>
            <w:r>
              <w:rPr>
                <w:rFonts w:ascii="Calibri"/>
                <w:spacing w:val="22"/>
                <w:w w:val="99"/>
                <w:sz w:val="18"/>
              </w:rPr>
              <w:t xml:space="preserve"> </w:t>
            </w:r>
            <w:r>
              <w:rPr>
                <w:rFonts w:ascii="Calibri"/>
                <w:spacing w:val="-1"/>
                <w:sz w:val="18"/>
              </w:rPr>
              <w:t>home,</w:t>
            </w:r>
            <w:r>
              <w:rPr>
                <w:rFonts w:ascii="Calibri"/>
                <w:spacing w:val="-2"/>
                <w:sz w:val="18"/>
              </w:rPr>
              <w:t xml:space="preserve"> </w:t>
            </w:r>
            <w:r>
              <w:rPr>
                <w:rFonts w:ascii="Calibri"/>
                <w:spacing w:val="-1"/>
                <w:sz w:val="18"/>
              </w:rPr>
              <w:t>rather</w:t>
            </w:r>
            <w:r>
              <w:rPr>
                <w:rFonts w:ascii="Calibri"/>
                <w:spacing w:val="-2"/>
                <w:sz w:val="18"/>
              </w:rPr>
              <w:t xml:space="preserve"> </w:t>
            </w:r>
            <w:r>
              <w:rPr>
                <w:rFonts w:ascii="Calibri"/>
                <w:sz w:val="18"/>
              </w:rPr>
              <w:t>than</w:t>
            </w:r>
            <w:r>
              <w:rPr>
                <w:rFonts w:ascii="Calibri"/>
                <w:spacing w:val="-3"/>
                <w:sz w:val="18"/>
              </w:rPr>
              <w:t xml:space="preserve"> </w:t>
            </w:r>
            <w:r>
              <w:rPr>
                <w:rFonts w:ascii="Calibri"/>
                <w:spacing w:val="-1"/>
                <w:sz w:val="18"/>
              </w:rPr>
              <w:t>to</w:t>
            </w:r>
            <w:r>
              <w:rPr>
                <w:rFonts w:ascii="Calibri"/>
                <w:sz w:val="18"/>
              </w:rPr>
              <w:t xml:space="preserve"> </w:t>
            </w:r>
            <w:r>
              <w:rPr>
                <w:rFonts w:ascii="Calibri"/>
                <w:spacing w:val="-1"/>
                <w:sz w:val="18"/>
              </w:rPr>
              <w:t>rely</w:t>
            </w:r>
            <w:r>
              <w:rPr>
                <w:rFonts w:ascii="Calibri"/>
                <w:spacing w:val="-2"/>
                <w:sz w:val="18"/>
              </w:rPr>
              <w:t xml:space="preserve"> </w:t>
            </w:r>
            <w:r>
              <w:rPr>
                <w:rFonts w:ascii="Calibri"/>
                <w:sz w:val="18"/>
              </w:rPr>
              <w:t>on</w:t>
            </w:r>
            <w:r>
              <w:rPr>
                <w:rFonts w:ascii="Calibri"/>
                <w:spacing w:val="30"/>
                <w:sz w:val="18"/>
              </w:rPr>
              <w:t xml:space="preserve"> </w:t>
            </w:r>
            <w:r>
              <w:rPr>
                <w:rFonts w:ascii="Calibri"/>
                <w:spacing w:val="-1"/>
                <w:sz w:val="18"/>
              </w:rPr>
              <w:t>sampling.</w:t>
            </w:r>
            <w:r>
              <w:rPr>
                <w:rFonts w:ascii="Calibri"/>
                <w:spacing w:val="38"/>
                <w:sz w:val="18"/>
              </w:rPr>
              <w:t xml:space="preserve"> </w:t>
            </w:r>
            <w:r>
              <w:rPr>
                <w:rFonts w:ascii="Calibri"/>
                <w:spacing w:val="-1"/>
                <w:sz w:val="18"/>
              </w:rPr>
              <w:t>Sampling</w:t>
            </w:r>
            <w:r>
              <w:rPr>
                <w:rFonts w:ascii="Calibri"/>
                <w:spacing w:val="-3"/>
                <w:sz w:val="18"/>
              </w:rPr>
              <w:t xml:space="preserve"> </w:t>
            </w:r>
            <w:r>
              <w:rPr>
                <w:rFonts w:ascii="Calibri"/>
                <w:sz w:val="18"/>
              </w:rPr>
              <w:t>would</w:t>
            </w:r>
            <w:r>
              <w:rPr>
                <w:rFonts w:ascii="Calibri"/>
                <w:spacing w:val="-2"/>
                <w:sz w:val="18"/>
              </w:rPr>
              <w:t xml:space="preserve"> </w:t>
            </w:r>
            <w:r>
              <w:rPr>
                <w:rFonts w:ascii="Calibri"/>
                <w:sz w:val="18"/>
              </w:rPr>
              <w:t>not</w:t>
            </w:r>
            <w:r>
              <w:rPr>
                <w:rFonts w:ascii="Calibri"/>
                <w:spacing w:val="-2"/>
                <w:sz w:val="18"/>
              </w:rPr>
              <w:t xml:space="preserve"> </w:t>
            </w:r>
            <w:r>
              <w:rPr>
                <w:rFonts w:ascii="Calibri"/>
                <w:sz w:val="18"/>
              </w:rPr>
              <w:t>be</w:t>
            </w:r>
            <w:r>
              <w:rPr>
                <w:rFonts w:ascii="Calibri"/>
                <w:spacing w:val="23"/>
                <w:w w:val="99"/>
                <w:sz w:val="18"/>
              </w:rPr>
              <w:t xml:space="preserve"> </w:t>
            </w:r>
            <w:r>
              <w:rPr>
                <w:rFonts w:ascii="Calibri"/>
                <w:spacing w:val="-1"/>
                <w:sz w:val="18"/>
              </w:rPr>
              <w:t>beneficial</w:t>
            </w:r>
            <w:r>
              <w:rPr>
                <w:rFonts w:ascii="Calibri"/>
                <w:spacing w:val="-3"/>
                <w:sz w:val="18"/>
              </w:rPr>
              <w:t xml:space="preserve"> </w:t>
            </w:r>
            <w:r>
              <w:rPr>
                <w:rFonts w:ascii="Calibri"/>
                <w:sz w:val="18"/>
              </w:rPr>
              <w:t>for</w:t>
            </w:r>
            <w:r>
              <w:rPr>
                <w:rFonts w:ascii="Calibri"/>
                <w:spacing w:val="-2"/>
                <w:sz w:val="18"/>
              </w:rPr>
              <w:t xml:space="preserve"> </w:t>
            </w:r>
            <w:r>
              <w:rPr>
                <w:rFonts w:ascii="Calibri"/>
                <w:sz w:val="18"/>
              </w:rPr>
              <w:t>most</w:t>
            </w:r>
            <w:r>
              <w:rPr>
                <w:rFonts w:ascii="Calibri"/>
                <w:spacing w:val="-3"/>
                <w:sz w:val="18"/>
              </w:rPr>
              <w:t xml:space="preserve"> </w:t>
            </w:r>
            <w:r>
              <w:rPr>
                <w:rFonts w:ascii="Calibri"/>
                <w:spacing w:val="-1"/>
                <w:sz w:val="18"/>
              </w:rPr>
              <w:t>builders</w:t>
            </w:r>
            <w:r>
              <w:rPr>
                <w:rFonts w:ascii="Calibri"/>
                <w:spacing w:val="-2"/>
                <w:sz w:val="18"/>
              </w:rPr>
              <w:t xml:space="preserve"> </w:t>
            </w:r>
            <w:r>
              <w:rPr>
                <w:rFonts w:ascii="Calibri"/>
                <w:spacing w:val="-1"/>
                <w:sz w:val="18"/>
              </w:rPr>
              <w:t>and</w:t>
            </w:r>
            <w:r>
              <w:rPr>
                <w:rFonts w:ascii="Calibri"/>
                <w:spacing w:val="21"/>
                <w:sz w:val="18"/>
              </w:rPr>
              <w:t xml:space="preserve"> </w:t>
            </w:r>
            <w:r>
              <w:rPr>
                <w:rFonts w:ascii="Calibri"/>
                <w:spacing w:val="-1"/>
                <w:sz w:val="18"/>
              </w:rPr>
              <w:t>raters.</w:t>
            </w:r>
          </w:p>
        </w:tc>
      </w:tr>
    </w:tbl>
    <w:p w:rsidR="00E646C9" w:rsidRPr="003B56E9" w:rsidRDefault="00E646C9" w:rsidP="003B56E9"/>
    <w:p w:rsidR="00E646C9" w:rsidRDefault="00E646C9" w:rsidP="003B56E9">
      <w:pPr>
        <w:pStyle w:val="AppendixGHeading2"/>
      </w:pPr>
      <w:r>
        <w:t>Residential Low-Income</w:t>
      </w:r>
    </w:p>
    <w:tbl>
      <w:tblPr>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11636D">
        <w:trPr>
          <w:trHeight w:hRule="exact" w:val="740"/>
        </w:trPr>
        <w:tc>
          <w:tcPr>
            <w:tcW w:w="4680" w:type="dxa"/>
            <w:shd w:val="clear" w:color="auto" w:fill="448A99"/>
          </w:tcPr>
          <w:p w:rsidR="00E646C9" w:rsidRDefault="00E646C9" w:rsidP="004D470A">
            <w:pPr>
              <w:pStyle w:val="TableParagraph"/>
              <w:spacing w:line="218" w:lineRule="exact"/>
              <w:ind w:left="129"/>
              <w:rPr>
                <w:rFonts w:ascii="Calibri" w:eastAsia="Calibri" w:hAnsi="Calibri" w:cs="Calibri"/>
                <w:sz w:val="18"/>
                <w:szCs w:val="18"/>
              </w:rPr>
            </w:pPr>
            <w:r>
              <w:rPr>
                <w:rFonts w:ascii="Calibri"/>
                <w:b/>
                <w:color w:val="FFFFFF"/>
                <w:spacing w:val="-1"/>
                <w:sz w:val="18"/>
              </w:rPr>
              <w:t>Recommendations</w:t>
            </w:r>
          </w:p>
        </w:tc>
        <w:tc>
          <w:tcPr>
            <w:tcW w:w="4680" w:type="dxa"/>
            <w:shd w:val="clear" w:color="auto" w:fill="448A99"/>
          </w:tcPr>
          <w:p w:rsidR="00E646C9" w:rsidRDefault="00E646C9" w:rsidP="00C94D5A">
            <w:pPr>
              <w:pStyle w:val="TableParagraph"/>
              <w:ind w:left="171" w:right="170" w:hanging="1"/>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670"/>
        </w:trPr>
        <w:tc>
          <w:tcPr>
            <w:tcW w:w="4680" w:type="dxa"/>
            <w:shd w:val="clear" w:color="auto" w:fill="D2EAF1"/>
          </w:tcPr>
          <w:p w:rsidR="00E646C9" w:rsidRDefault="00E646C9" w:rsidP="00C94D5A">
            <w:pPr>
              <w:pStyle w:val="TableParagraph"/>
              <w:ind w:left="102" w:right="125"/>
              <w:jc w:val="both"/>
              <w:rPr>
                <w:rFonts w:ascii="Calibri" w:eastAsia="Calibri" w:hAnsi="Calibri" w:cs="Calibri"/>
                <w:sz w:val="18"/>
                <w:szCs w:val="18"/>
              </w:rPr>
            </w:pPr>
            <w:r>
              <w:rPr>
                <w:rFonts w:ascii="Calibri" w:eastAsia="Calibri" w:hAnsi="Calibri" w:cs="Calibri"/>
                <w:spacing w:val="-1"/>
                <w:sz w:val="18"/>
                <w:szCs w:val="18"/>
              </w:rPr>
              <w:t>Enhance</w:t>
            </w:r>
            <w:r>
              <w:rPr>
                <w:rFonts w:ascii="Calibri" w:eastAsia="Calibri" w:hAnsi="Calibri" w:cs="Calibri"/>
                <w:spacing w:val="-3"/>
                <w:sz w:val="18"/>
                <w:szCs w:val="18"/>
              </w:rPr>
              <w:t xml:space="preserve"> </w:t>
            </w:r>
            <w:r>
              <w:rPr>
                <w:rFonts w:ascii="Calibri" w:eastAsia="Calibri" w:hAnsi="Calibri" w:cs="Calibri"/>
                <w:spacing w:val="-1"/>
                <w:sz w:val="18"/>
                <w:szCs w:val="18"/>
              </w:rPr>
              <w:t>quality assurance reviews</w:t>
            </w:r>
            <w:r>
              <w:rPr>
                <w:rFonts w:ascii="Calibri" w:eastAsia="Calibri" w:hAnsi="Calibri" w:cs="Calibri"/>
                <w:spacing w:val="-2"/>
                <w:sz w:val="18"/>
                <w:szCs w:val="18"/>
              </w:rPr>
              <w:t xml:space="preserve"> </w:t>
            </w:r>
            <w:r>
              <w:rPr>
                <w:rFonts w:ascii="Calibri" w:eastAsia="Calibri" w:hAnsi="Calibri" w:cs="Calibri"/>
                <w:spacing w:val="-1"/>
                <w:sz w:val="18"/>
                <w:szCs w:val="18"/>
              </w:rPr>
              <w:t>and</w:t>
            </w:r>
            <w:r>
              <w:rPr>
                <w:rFonts w:ascii="Calibri" w:eastAsia="Calibri" w:hAnsi="Calibri" w:cs="Calibri"/>
                <w:spacing w:val="-2"/>
                <w:sz w:val="18"/>
                <w:szCs w:val="18"/>
              </w:rPr>
              <w:t xml:space="preserve"> </w:t>
            </w:r>
            <w:r>
              <w:rPr>
                <w:rFonts w:ascii="Calibri" w:eastAsia="Calibri" w:hAnsi="Calibri" w:cs="Calibri"/>
                <w:spacing w:val="-1"/>
                <w:sz w:val="18"/>
                <w:szCs w:val="18"/>
              </w:rPr>
              <w:t>follow-up</w:t>
            </w:r>
            <w:r>
              <w:rPr>
                <w:rFonts w:ascii="Calibri" w:eastAsia="Calibri" w:hAnsi="Calibri" w:cs="Calibri"/>
                <w:spacing w:val="-2"/>
                <w:sz w:val="18"/>
                <w:szCs w:val="18"/>
              </w:rPr>
              <w:t xml:space="preserve"> </w:t>
            </w:r>
            <w:r>
              <w:rPr>
                <w:rFonts w:ascii="Calibri" w:eastAsia="Calibri" w:hAnsi="Calibri" w:cs="Calibri"/>
                <w:spacing w:val="-1"/>
                <w:sz w:val="18"/>
                <w:szCs w:val="18"/>
              </w:rPr>
              <w:t>with</w:t>
            </w:r>
            <w:r>
              <w:rPr>
                <w:rFonts w:ascii="Calibri" w:eastAsia="Calibri" w:hAnsi="Calibri" w:cs="Calibri"/>
                <w:spacing w:val="-3"/>
                <w:sz w:val="18"/>
                <w:szCs w:val="18"/>
              </w:rPr>
              <w:t xml:space="preserve"> </w:t>
            </w:r>
            <w:r>
              <w:rPr>
                <w:rFonts w:ascii="Calibri" w:eastAsia="Calibri" w:hAnsi="Calibri" w:cs="Calibri"/>
                <w:spacing w:val="-1"/>
                <w:sz w:val="18"/>
                <w:szCs w:val="18"/>
              </w:rPr>
              <w:t>those</w:t>
            </w:r>
            <w:r>
              <w:rPr>
                <w:rFonts w:ascii="Calibri" w:eastAsia="Calibri" w:hAnsi="Calibri" w:cs="Calibri"/>
                <w:spacing w:val="65"/>
                <w:w w:val="99"/>
                <w:sz w:val="18"/>
                <w:szCs w:val="18"/>
              </w:rPr>
              <w:t xml:space="preserve"> </w:t>
            </w:r>
            <w:r>
              <w:rPr>
                <w:rFonts w:ascii="Calibri" w:eastAsia="Calibri" w:hAnsi="Calibri" w:cs="Calibri"/>
                <w:spacing w:val="-1"/>
                <w:sz w:val="18"/>
                <w:szCs w:val="18"/>
              </w:rPr>
              <w:t>contractors</w:t>
            </w:r>
            <w:r>
              <w:rPr>
                <w:rFonts w:ascii="Calibri" w:eastAsia="Calibri" w:hAnsi="Calibri" w:cs="Calibri"/>
                <w:spacing w:val="-4"/>
                <w:sz w:val="18"/>
                <w:szCs w:val="18"/>
              </w:rPr>
              <w:t xml:space="preserve"> </w:t>
            </w:r>
            <w:r>
              <w:rPr>
                <w:rFonts w:ascii="Calibri" w:eastAsia="Calibri" w:hAnsi="Calibri" w:cs="Calibri"/>
                <w:sz w:val="18"/>
                <w:szCs w:val="18"/>
              </w:rPr>
              <w:t>for</w:t>
            </w:r>
            <w:r>
              <w:rPr>
                <w:rFonts w:ascii="Calibri" w:eastAsia="Calibri" w:hAnsi="Calibri" w:cs="Calibri"/>
                <w:spacing w:val="-3"/>
                <w:sz w:val="18"/>
                <w:szCs w:val="18"/>
              </w:rPr>
              <w:t xml:space="preserve"> </w:t>
            </w:r>
            <w:r>
              <w:rPr>
                <w:rFonts w:ascii="Calibri" w:eastAsia="Calibri" w:hAnsi="Calibri" w:cs="Calibri"/>
                <w:sz w:val="18"/>
                <w:szCs w:val="18"/>
              </w:rPr>
              <w:t>whom</w:t>
            </w:r>
            <w:r>
              <w:rPr>
                <w:rFonts w:ascii="Calibri" w:eastAsia="Calibri" w:hAnsi="Calibri" w:cs="Calibri"/>
                <w:spacing w:val="-3"/>
                <w:sz w:val="18"/>
                <w:szCs w:val="18"/>
              </w:rPr>
              <w:t xml:space="preserve"> </w:t>
            </w:r>
            <w:r>
              <w:rPr>
                <w:rFonts w:ascii="Calibri" w:eastAsia="Calibri" w:hAnsi="Calibri" w:cs="Calibri"/>
                <w:spacing w:val="-1"/>
                <w:sz w:val="18"/>
                <w:szCs w:val="18"/>
              </w:rPr>
              <w:t>households</w:t>
            </w:r>
            <w:r>
              <w:rPr>
                <w:rFonts w:ascii="Calibri" w:eastAsia="Calibri" w:hAnsi="Calibri" w:cs="Calibri"/>
                <w:spacing w:val="-3"/>
                <w:sz w:val="18"/>
                <w:szCs w:val="18"/>
              </w:rPr>
              <w:t xml:space="preserve"> </w:t>
            </w:r>
            <w:r>
              <w:rPr>
                <w:rFonts w:ascii="Calibri" w:eastAsia="Calibri" w:hAnsi="Calibri" w:cs="Calibri"/>
                <w:spacing w:val="-1"/>
                <w:sz w:val="18"/>
                <w:szCs w:val="18"/>
              </w:rPr>
              <w:t>report</w:t>
            </w:r>
            <w:r>
              <w:rPr>
                <w:rFonts w:ascii="Calibri" w:eastAsia="Calibri" w:hAnsi="Calibri" w:cs="Calibri"/>
                <w:spacing w:val="-3"/>
                <w:sz w:val="18"/>
                <w:szCs w:val="18"/>
              </w:rPr>
              <w:t xml:space="preserve"> </w:t>
            </w:r>
            <w:r>
              <w:rPr>
                <w:rFonts w:ascii="Calibri" w:eastAsia="Calibri" w:hAnsi="Calibri" w:cs="Calibri"/>
                <w:spacing w:val="-1"/>
                <w:sz w:val="18"/>
                <w:szCs w:val="18"/>
              </w:rPr>
              <w:t>measures</w:t>
            </w:r>
            <w:r>
              <w:rPr>
                <w:rFonts w:ascii="Calibri" w:eastAsia="Calibri" w:hAnsi="Calibri" w:cs="Calibri"/>
                <w:spacing w:val="-4"/>
                <w:sz w:val="18"/>
                <w:szCs w:val="18"/>
              </w:rPr>
              <w:t xml:space="preserve"> </w:t>
            </w:r>
            <w:r>
              <w:rPr>
                <w:rFonts w:ascii="Calibri" w:eastAsia="Calibri" w:hAnsi="Calibri" w:cs="Calibri"/>
                <w:spacing w:val="-1"/>
                <w:sz w:val="18"/>
                <w:szCs w:val="18"/>
              </w:rPr>
              <w:t>are</w:t>
            </w:r>
            <w:r>
              <w:rPr>
                <w:rFonts w:ascii="Calibri" w:eastAsia="Calibri" w:hAnsi="Calibri" w:cs="Calibri"/>
                <w:spacing w:val="-3"/>
                <w:sz w:val="18"/>
                <w:szCs w:val="18"/>
              </w:rPr>
              <w:t xml:space="preserve"> </w:t>
            </w:r>
            <w:r>
              <w:rPr>
                <w:rFonts w:ascii="Calibri" w:eastAsia="Calibri" w:hAnsi="Calibri" w:cs="Calibri"/>
                <w:spacing w:val="-1"/>
                <w:sz w:val="18"/>
                <w:szCs w:val="18"/>
              </w:rPr>
              <w:t>more</w:t>
            </w:r>
            <w:r>
              <w:rPr>
                <w:rFonts w:ascii="Calibri" w:eastAsia="Calibri" w:hAnsi="Calibri" w:cs="Calibri"/>
                <w:spacing w:val="58"/>
                <w:w w:val="99"/>
                <w:sz w:val="18"/>
                <w:szCs w:val="18"/>
              </w:rPr>
              <w:t xml:space="preserve"> </w:t>
            </w:r>
            <w:r>
              <w:rPr>
                <w:rFonts w:ascii="Calibri" w:eastAsia="Calibri" w:hAnsi="Calibri" w:cs="Calibri"/>
                <w:spacing w:val="-1"/>
                <w:sz w:val="18"/>
                <w:szCs w:val="18"/>
              </w:rPr>
              <w:t>frequently “left</w:t>
            </w:r>
            <w:r>
              <w:rPr>
                <w:rFonts w:ascii="Calibri" w:eastAsia="Calibri" w:hAnsi="Calibri" w:cs="Calibri"/>
                <w:spacing w:val="-3"/>
                <w:sz w:val="18"/>
                <w:szCs w:val="18"/>
              </w:rPr>
              <w:t xml:space="preserve"> </w:t>
            </w:r>
            <w:r>
              <w:rPr>
                <w:rFonts w:ascii="Calibri" w:eastAsia="Calibri" w:hAnsi="Calibri" w:cs="Calibri"/>
                <w:sz w:val="18"/>
                <w:szCs w:val="18"/>
              </w:rPr>
              <w:t>behind”</w:t>
            </w:r>
            <w:r>
              <w:rPr>
                <w:rFonts w:ascii="Calibri" w:eastAsia="Calibri" w:hAnsi="Calibri" w:cs="Calibri"/>
                <w:spacing w:val="-2"/>
                <w:sz w:val="18"/>
                <w:szCs w:val="18"/>
              </w:rPr>
              <w:t xml:space="preserve"> </w:t>
            </w:r>
            <w:r>
              <w:rPr>
                <w:rFonts w:ascii="Calibri" w:eastAsia="Calibri" w:hAnsi="Calibri" w:cs="Calibri"/>
                <w:sz w:val="18"/>
                <w:szCs w:val="18"/>
              </w:rPr>
              <w:t>for</w:t>
            </w:r>
            <w:r>
              <w:rPr>
                <w:rFonts w:ascii="Calibri" w:eastAsia="Calibri" w:hAnsi="Calibri" w:cs="Calibri"/>
                <w:spacing w:val="-3"/>
                <w:sz w:val="18"/>
                <w:szCs w:val="18"/>
              </w:rPr>
              <w:t xml:space="preserve"> </w:t>
            </w:r>
            <w:r>
              <w:rPr>
                <w:rFonts w:ascii="Calibri" w:eastAsia="Calibri" w:hAnsi="Calibri" w:cs="Calibri"/>
                <w:spacing w:val="-1"/>
                <w:sz w:val="18"/>
                <w:szCs w:val="18"/>
              </w:rPr>
              <w:t>future</w:t>
            </w:r>
            <w:r>
              <w:rPr>
                <w:rFonts w:ascii="Calibri" w:eastAsia="Calibri" w:hAnsi="Calibri" w:cs="Calibri"/>
                <w:spacing w:val="-3"/>
                <w:sz w:val="18"/>
                <w:szCs w:val="18"/>
              </w:rPr>
              <w:t xml:space="preserve"> </w:t>
            </w:r>
            <w:r>
              <w:rPr>
                <w:rFonts w:ascii="Calibri" w:eastAsia="Calibri" w:hAnsi="Calibri" w:cs="Calibri"/>
                <w:spacing w:val="-1"/>
                <w:sz w:val="18"/>
                <w:szCs w:val="18"/>
              </w:rPr>
              <w:t>installation.</w:t>
            </w:r>
          </w:p>
        </w:tc>
        <w:tc>
          <w:tcPr>
            <w:tcW w:w="468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p>
        </w:tc>
      </w:tr>
      <w:tr w:rsidR="00E646C9" w:rsidTr="0011636D">
        <w:trPr>
          <w:trHeight w:hRule="exact" w:val="670"/>
        </w:trPr>
        <w:tc>
          <w:tcPr>
            <w:tcW w:w="4680" w:type="dxa"/>
          </w:tcPr>
          <w:p w:rsidR="00E646C9" w:rsidRDefault="00E646C9" w:rsidP="00C94D5A">
            <w:pPr>
              <w:pStyle w:val="TableParagraph"/>
              <w:ind w:left="102" w:right="129"/>
              <w:rPr>
                <w:rFonts w:ascii="Calibri" w:eastAsia="Calibri" w:hAnsi="Calibri" w:cs="Calibri"/>
                <w:sz w:val="18"/>
                <w:szCs w:val="18"/>
              </w:rPr>
            </w:pPr>
            <w:r>
              <w:rPr>
                <w:rFonts w:ascii="Calibri"/>
                <w:spacing w:val="-1"/>
                <w:sz w:val="18"/>
              </w:rPr>
              <w:t>For</w:t>
            </w:r>
            <w:r>
              <w:rPr>
                <w:rFonts w:ascii="Calibri"/>
                <w:spacing w:val="-4"/>
                <w:sz w:val="18"/>
              </w:rPr>
              <w:t xml:space="preserve"> </w:t>
            </w:r>
            <w:r>
              <w:rPr>
                <w:rFonts w:ascii="Calibri"/>
                <w:spacing w:val="-1"/>
                <w:sz w:val="18"/>
              </w:rPr>
              <w:t>the</w:t>
            </w:r>
            <w:r>
              <w:rPr>
                <w:rFonts w:ascii="Calibri"/>
                <w:spacing w:val="-4"/>
                <w:sz w:val="18"/>
              </w:rPr>
              <w:t xml:space="preserve"> </w:t>
            </w:r>
            <w:r>
              <w:rPr>
                <w:rFonts w:ascii="Calibri"/>
                <w:spacing w:val="-1"/>
                <w:sz w:val="18"/>
              </w:rPr>
              <w:t>conservation</w:t>
            </w:r>
            <w:r>
              <w:rPr>
                <w:rFonts w:ascii="Calibri"/>
                <w:spacing w:val="-3"/>
                <w:sz w:val="18"/>
              </w:rPr>
              <w:t xml:space="preserve"> </w:t>
            </w:r>
            <w:r>
              <w:rPr>
                <w:rFonts w:ascii="Calibri"/>
                <w:spacing w:val="-1"/>
                <w:sz w:val="18"/>
              </w:rPr>
              <w:t>kits,</w:t>
            </w:r>
            <w:r>
              <w:rPr>
                <w:rFonts w:ascii="Calibri"/>
                <w:spacing w:val="-3"/>
                <w:sz w:val="18"/>
              </w:rPr>
              <w:t xml:space="preserve"> </w:t>
            </w:r>
            <w:r>
              <w:rPr>
                <w:rFonts w:ascii="Calibri"/>
                <w:sz w:val="18"/>
              </w:rPr>
              <w:t>consider</w:t>
            </w:r>
            <w:r>
              <w:rPr>
                <w:rFonts w:ascii="Calibri"/>
                <w:spacing w:val="-3"/>
                <w:sz w:val="18"/>
              </w:rPr>
              <w:t xml:space="preserve"> </w:t>
            </w:r>
            <w:r>
              <w:rPr>
                <w:rFonts w:ascii="Calibri"/>
                <w:spacing w:val="-1"/>
                <w:sz w:val="18"/>
              </w:rPr>
              <w:t>including</w:t>
            </w:r>
            <w:r>
              <w:rPr>
                <w:rFonts w:ascii="Calibri"/>
                <w:spacing w:val="-4"/>
                <w:sz w:val="18"/>
              </w:rPr>
              <w:t xml:space="preserve"> </w:t>
            </w:r>
            <w:r>
              <w:rPr>
                <w:rFonts w:ascii="Calibri"/>
                <w:sz w:val="18"/>
              </w:rPr>
              <w:t>fewer</w:t>
            </w:r>
            <w:r>
              <w:rPr>
                <w:rFonts w:ascii="Calibri"/>
                <w:spacing w:val="-4"/>
                <w:sz w:val="18"/>
              </w:rPr>
              <w:t xml:space="preserve"> </w:t>
            </w:r>
            <w:r>
              <w:rPr>
                <w:rFonts w:ascii="Calibri"/>
                <w:spacing w:val="-1"/>
                <w:sz w:val="18"/>
              </w:rPr>
              <w:t>9W</w:t>
            </w:r>
            <w:r>
              <w:rPr>
                <w:rFonts w:ascii="Calibri"/>
                <w:spacing w:val="39"/>
                <w:w w:val="99"/>
                <w:sz w:val="18"/>
              </w:rPr>
              <w:t xml:space="preserve"> </w:t>
            </w:r>
            <w:r>
              <w:rPr>
                <w:rFonts w:ascii="Calibri"/>
                <w:spacing w:val="-1"/>
                <w:sz w:val="18"/>
              </w:rPr>
              <w:t>globes.</w:t>
            </w:r>
            <w:r>
              <w:rPr>
                <w:rFonts w:ascii="Calibri"/>
                <w:spacing w:val="37"/>
                <w:sz w:val="18"/>
              </w:rPr>
              <w:t xml:space="preserve"> </w:t>
            </w:r>
            <w:r>
              <w:rPr>
                <w:rFonts w:ascii="Calibri"/>
                <w:spacing w:val="-1"/>
                <w:sz w:val="18"/>
              </w:rPr>
              <w:t>Customers</w:t>
            </w:r>
            <w:r>
              <w:rPr>
                <w:rFonts w:ascii="Calibri"/>
                <w:spacing w:val="-2"/>
                <w:sz w:val="18"/>
              </w:rPr>
              <w:t xml:space="preserve"> </w:t>
            </w:r>
            <w:r>
              <w:rPr>
                <w:rFonts w:ascii="Calibri"/>
                <w:spacing w:val="-1"/>
                <w:sz w:val="18"/>
              </w:rPr>
              <w:t>are</w:t>
            </w:r>
            <w:r>
              <w:rPr>
                <w:rFonts w:ascii="Calibri"/>
                <w:sz w:val="18"/>
              </w:rPr>
              <w:t xml:space="preserve"> </w:t>
            </w:r>
            <w:r>
              <w:rPr>
                <w:rFonts w:ascii="Calibri"/>
                <w:spacing w:val="-1"/>
                <w:sz w:val="18"/>
              </w:rPr>
              <w:t>slower</w:t>
            </w:r>
            <w:r>
              <w:rPr>
                <w:rFonts w:ascii="Calibri"/>
                <w:spacing w:val="-3"/>
                <w:sz w:val="18"/>
              </w:rPr>
              <w:t xml:space="preserve"> </w:t>
            </w:r>
            <w:r>
              <w:rPr>
                <w:rFonts w:ascii="Calibri"/>
                <w:spacing w:val="-1"/>
                <w:sz w:val="18"/>
              </w:rPr>
              <w:t>to</w:t>
            </w:r>
            <w:r>
              <w:rPr>
                <w:rFonts w:ascii="Calibri"/>
                <w:sz w:val="18"/>
              </w:rPr>
              <w:t xml:space="preserve"> </w:t>
            </w:r>
            <w:r>
              <w:rPr>
                <w:rFonts w:ascii="Calibri"/>
                <w:spacing w:val="-1"/>
                <w:sz w:val="18"/>
              </w:rPr>
              <w:t>install</w:t>
            </w:r>
            <w:r>
              <w:rPr>
                <w:rFonts w:ascii="Calibri"/>
                <w:spacing w:val="1"/>
                <w:sz w:val="18"/>
              </w:rPr>
              <w:t xml:space="preserve"> </w:t>
            </w:r>
            <w:r>
              <w:rPr>
                <w:rFonts w:ascii="Calibri"/>
                <w:spacing w:val="-1"/>
                <w:sz w:val="18"/>
              </w:rPr>
              <w:t>those</w:t>
            </w:r>
            <w:r>
              <w:rPr>
                <w:rFonts w:ascii="Calibri"/>
                <w:spacing w:val="-3"/>
                <w:sz w:val="18"/>
              </w:rPr>
              <w:t xml:space="preserve"> </w:t>
            </w:r>
            <w:r>
              <w:rPr>
                <w:rFonts w:ascii="Calibri"/>
                <w:sz w:val="18"/>
              </w:rPr>
              <w:t>than</w:t>
            </w:r>
            <w:r>
              <w:rPr>
                <w:rFonts w:ascii="Calibri"/>
                <w:spacing w:val="-2"/>
                <w:sz w:val="18"/>
              </w:rPr>
              <w:t xml:space="preserve"> </w:t>
            </w:r>
            <w:r>
              <w:rPr>
                <w:rFonts w:ascii="Calibri"/>
                <w:spacing w:val="-1"/>
                <w:sz w:val="18"/>
              </w:rPr>
              <w:t>any other</w:t>
            </w:r>
            <w:r>
              <w:rPr>
                <w:rFonts w:ascii="Calibri"/>
                <w:spacing w:val="58"/>
                <w:w w:val="99"/>
                <w:sz w:val="18"/>
              </w:rPr>
              <w:t xml:space="preserve"> </w:t>
            </w:r>
            <w:r>
              <w:rPr>
                <w:rFonts w:ascii="Calibri"/>
                <w:spacing w:val="-1"/>
                <w:sz w:val="18"/>
              </w:rPr>
              <w:t>lamps</w:t>
            </w:r>
            <w:r>
              <w:rPr>
                <w:rFonts w:ascii="Calibri"/>
                <w:spacing w:val="-3"/>
                <w:sz w:val="18"/>
              </w:rPr>
              <w:t xml:space="preserve"> </w:t>
            </w:r>
            <w:r>
              <w:rPr>
                <w:rFonts w:ascii="Calibri"/>
                <w:spacing w:val="-1"/>
                <w:sz w:val="18"/>
              </w:rPr>
              <w:t>included</w:t>
            </w:r>
            <w:r>
              <w:rPr>
                <w:rFonts w:ascii="Calibri"/>
                <w:spacing w:val="-2"/>
                <w:sz w:val="18"/>
              </w:rPr>
              <w:t xml:space="preserve"> </w:t>
            </w:r>
            <w:r>
              <w:rPr>
                <w:rFonts w:ascii="Calibri"/>
                <w:spacing w:val="-1"/>
                <w:sz w:val="18"/>
              </w:rPr>
              <w:t>in</w:t>
            </w:r>
            <w:r>
              <w:rPr>
                <w:rFonts w:ascii="Calibri"/>
                <w:sz w:val="18"/>
              </w:rPr>
              <w:t xml:space="preserve"> </w:t>
            </w:r>
            <w:r>
              <w:rPr>
                <w:rFonts w:ascii="Calibri"/>
                <w:spacing w:val="-1"/>
                <w:sz w:val="18"/>
              </w:rPr>
              <w:t>the</w:t>
            </w:r>
            <w:r>
              <w:rPr>
                <w:rFonts w:ascii="Calibri"/>
                <w:spacing w:val="-3"/>
                <w:sz w:val="18"/>
              </w:rPr>
              <w:t xml:space="preserve"> </w:t>
            </w:r>
            <w:r>
              <w:rPr>
                <w:rFonts w:ascii="Calibri"/>
                <w:spacing w:val="-1"/>
                <w:sz w:val="18"/>
              </w:rPr>
              <w:t>kits.</w:t>
            </w:r>
          </w:p>
        </w:tc>
        <w:tc>
          <w:tcPr>
            <w:tcW w:w="4680" w:type="dxa"/>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bl>
    <w:p w:rsidR="00E646C9" w:rsidRPr="003B56E9" w:rsidRDefault="00E646C9" w:rsidP="003B56E9"/>
    <w:p w:rsidR="00E646C9" w:rsidRDefault="00E646C9" w:rsidP="003B56E9">
      <w:pPr>
        <w:pStyle w:val="AppendixGHeading2"/>
      </w:pPr>
      <w:r>
        <w:t>Commercial and Industrial Energy Efficient Equipment Program - Small</w:t>
      </w:r>
    </w:p>
    <w:tbl>
      <w:tblPr>
        <w:tblW w:w="936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680"/>
      </w:tblGrid>
      <w:tr w:rsidR="00E646C9" w:rsidTr="0011636D">
        <w:trPr>
          <w:trHeight w:hRule="exact" w:val="668"/>
        </w:trPr>
        <w:tc>
          <w:tcPr>
            <w:tcW w:w="4680" w:type="dxa"/>
            <w:shd w:val="clear" w:color="auto" w:fill="448A99"/>
          </w:tcPr>
          <w:p w:rsidR="00E646C9" w:rsidRDefault="00E646C9" w:rsidP="004D470A">
            <w:pPr>
              <w:pStyle w:val="TableParagraph"/>
              <w:spacing w:line="218" w:lineRule="exact"/>
              <w:ind w:left="129"/>
              <w:rPr>
                <w:rFonts w:ascii="Calibri" w:eastAsia="Calibri" w:hAnsi="Calibri" w:cs="Calibri"/>
                <w:sz w:val="18"/>
                <w:szCs w:val="18"/>
              </w:rPr>
            </w:pPr>
            <w:r>
              <w:rPr>
                <w:rFonts w:ascii="Calibri"/>
                <w:b/>
                <w:color w:val="FFFFFF"/>
                <w:spacing w:val="-1"/>
                <w:sz w:val="18"/>
              </w:rPr>
              <w:t>Recommendations</w:t>
            </w:r>
          </w:p>
        </w:tc>
        <w:tc>
          <w:tcPr>
            <w:tcW w:w="4680" w:type="dxa"/>
            <w:shd w:val="clear" w:color="auto" w:fill="448A99"/>
          </w:tcPr>
          <w:p w:rsidR="00E646C9" w:rsidRDefault="00E646C9" w:rsidP="00C94D5A">
            <w:pPr>
              <w:pStyle w:val="TableParagraph"/>
              <w:ind w:left="171" w:right="170" w:hanging="1"/>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449"/>
        </w:trPr>
        <w:tc>
          <w:tcPr>
            <w:tcW w:w="4680" w:type="dxa"/>
            <w:shd w:val="clear" w:color="auto" w:fill="D2EAF1"/>
          </w:tcPr>
          <w:p w:rsidR="00E646C9" w:rsidRDefault="00E646C9" w:rsidP="00C94D5A">
            <w:pPr>
              <w:pStyle w:val="TableParagraph"/>
              <w:ind w:left="102" w:right="137"/>
              <w:rPr>
                <w:rFonts w:ascii="Calibri" w:eastAsia="Calibri" w:hAnsi="Calibri" w:cs="Calibri"/>
                <w:sz w:val="18"/>
                <w:szCs w:val="18"/>
              </w:rPr>
            </w:pPr>
            <w:r>
              <w:rPr>
                <w:rFonts w:ascii="Calibri"/>
                <w:spacing w:val="-1"/>
                <w:sz w:val="18"/>
              </w:rPr>
              <w:t>Ensure</w:t>
            </w:r>
            <w:r>
              <w:rPr>
                <w:rFonts w:ascii="Calibri"/>
                <w:spacing w:val="-4"/>
                <w:sz w:val="18"/>
              </w:rPr>
              <w:t xml:space="preserve"> </w:t>
            </w:r>
            <w:r>
              <w:rPr>
                <w:rFonts w:ascii="Calibri"/>
                <w:spacing w:val="-1"/>
                <w:sz w:val="18"/>
              </w:rPr>
              <w:t>continued</w:t>
            </w:r>
            <w:r>
              <w:rPr>
                <w:rFonts w:ascii="Calibri"/>
                <w:spacing w:val="-3"/>
                <w:sz w:val="18"/>
              </w:rPr>
              <w:t xml:space="preserve"> </w:t>
            </w:r>
            <w:r>
              <w:rPr>
                <w:rFonts w:ascii="Calibri"/>
                <w:spacing w:val="-1"/>
                <w:sz w:val="18"/>
              </w:rPr>
              <w:t>engagement</w:t>
            </w:r>
            <w:r>
              <w:rPr>
                <w:rFonts w:ascii="Calibri"/>
                <w:spacing w:val="-4"/>
                <w:sz w:val="18"/>
              </w:rPr>
              <w:t xml:space="preserve"> </w:t>
            </w:r>
            <w:r>
              <w:rPr>
                <w:rFonts w:ascii="Calibri"/>
                <w:sz w:val="18"/>
              </w:rPr>
              <w:t>with</w:t>
            </w:r>
            <w:r>
              <w:rPr>
                <w:rFonts w:ascii="Calibri"/>
                <w:spacing w:val="-3"/>
                <w:sz w:val="18"/>
              </w:rPr>
              <w:t xml:space="preserve"> </w:t>
            </w:r>
            <w:r>
              <w:rPr>
                <w:rFonts w:ascii="Calibri"/>
                <w:spacing w:val="-1"/>
                <w:sz w:val="18"/>
              </w:rPr>
              <w:t>past participants</w:t>
            </w:r>
            <w:r>
              <w:rPr>
                <w:rFonts w:ascii="Calibri"/>
                <w:spacing w:val="-4"/>
                <w:sz w:val="18"/>
              </w:rPr>
              <w:t xml:space="preserve"> </w:t>
            </w:r>
            <w:r>
              <w:rPr>
                <w:rFonts w:ascii="Calibri"/>
                <w:sz w:val="18"/>
              </w:rPr>
              <w:t>as</w:t>
            </w:r>
            <w:r>
              <w:rPr>
                <w:rFonts w:ascii="Calibri"/>
                <w:spacing w:val="-3"/>
                <w:sz w:val="18"/>
              </w:rPr>
              <w:t xml:space="preserve"> </w:t>
            </w:r>
            <w:r>
              <w:rPr>
                <w:rFonts w:ascii="Calibri"/>
                <w:spacing w:val="-1"/>
                <w:sz w:val="18"/>
              </w:rPr>
              <w:t>they</w:t>
            </w:r>
            <w:r>
              <w:rPr>
                <w:rFonts w:ascii="Calibri"/>
                <w:spacing w:val="56"/>
                <w:w w:val="99"/>
                <w:sz w:val="18"/>
              </w:rPr>
              <w:t xml:space="preserve"> </w:t>
            </w:r>
            <w:r>
              <w:rPr>
                <w:rFonts w:ascii="Calibri"/>
                <w:spacing w:val="-1"/>
                <w:sz w:val="18"/>
              </w:rPr>
              <w:t>are</w:t>
            </w:r>
            <w:r>
              <w:rPr>
                <w:rFonts w:ascii="Calibri"/>
                <w:spacing w:val="-3"/>
                <w:sz w:val="18"/>
              </w:rPr>
              <w:t xml:space="preserve"> </w:t>
            </w:r>
            <w:r>
              <w:rPr>
                <w:rFonts w:ascii="Calibri"/>
                <w:spacing w:val="-1"/>
                <w:sz w:val="18"/>
              </w:rPr>
              <w:t>likely</w:t>
            </w:r>
            <w:r>
              <w:rPr>
                <w:rFonts w:ascii="Calibri"/>
                <w:spacing w:val="-2"/>
                <w:sz w:val="18"/>
              </w:rPr>
              <w:t xml:space="preserve"> </w:t>
            </w:r>
            <w:r>
              <w:rPr>
                <w:rFonts w:ascii="Calibri"/>
                <w:spacing w:val="-1"/>
                <w:sz w:val="18"/>
              </w:rPr>
              <w:t>to</w:t>
            </w:r>
            <w:r>
              <w:rPr>
                <w:rFonts w:ascii="Calibri"/>
                <w:sz w:val="18"/>
              </w:rPr>
              <w:t xml:space="preserve"> </w:t>
            </w:r>
            <w:r>
              <w:rPr>
                <w:rFonts w:ascii="Calibri"/>
                <w:spacing w:val="-1"/>
                <w:sz w:val="18"/>
              </w:rPr>
              <w:t>participate in</w:t>
            </w:r>
            <w:r>
              <w:rPr>
                <w:rFonts w:ascii="Calibri"/>
                <w:spacing w:val="-3"/>
                <w:sz w:val="18"/>
              </w:rPr>
              <w:t xml:space="preserve"> </w:t>
            </w:r>
            <w:r>
              <w:rPr>
                <w:rFonts w:ascii="Calibri"/>
                <w:sz w:val="18"/>
              </w:rPr>
              <w:t>the</w:t>
            </w:r>
            <w:r>
              <w:rPr>
                <w:rFonts w:ascii="Calibri"/>
                <w:spacing w:val="-2"/>
                <w:sz w:val="18"/>
              </w:rPr>
              <w:t xml:space="preserve"> </w:t>
            </w:r>
            <w:r>
              <w:rPr>
                <w:rFonts w:ascii="Calibri"/>
                <w:spacing w:val="-1"/>
                <w:sz w:val="18"/>
              </w:rPr>
              <w:t>future.</w:t>
            </w:r>
          </w:p>
        </w:tc>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451"/>
        </w:trPr>
        <w:tc>
          <w:tcPr>
            <w:tcW w:w="4680" w:type="dxa"/>
          </w:tcPr>
          <w:p w:rsidR="00E646C9" w:rsidRDefault="00E646C9" w:rsidP="00C94D5A">
            <w:pPr>
              <w:pStyle w:val="TableParagraph"/>
              <w:ind w:left="102" w:right="198"/>
              <w:rPr>
                <w:rFonts w:ascii="Calibri" w:eastAsia="Calibri" w:hAnsi="Calibri" w:cs="Calibri"/>
                <w:sz w:val="18"/>
                <w:szCs w:val="18"/>
              </w:rPr>
            </w:pPr>
            <w:r>
              <w:rPr>
                <w:rFonts w:ascii="Calibri"/>
                <w:sz w:val="18"/>
              </w:rPr>
              <w:t>If</w:t>
            </w:r>
            <w:r>
              <w:rPr>
                <w:rFonts w:ascii="Calibri"/>
                <w:spacing w:val="-2"/>
                <w:sz w:val="18"/>
              </w:rPr>
              <w:t xml:space="preserve"> </w:t>
            </w:r>
            <w:r>
              <w:rPr>
                <w:rFonts w:ascii="Calibri"/>
                <w:spacing w:val="-1"/>
                <w:sz w:val="18"/>
              </w:rPr>
              <w:t>participation</w:t>
            </w:r>
            <w:r>
              <w:rPr>
                <w:rFonts w:ascii="Calibri"/>
                <w:spacing w:val="-2"/>
                <w:sz w:val="18"/>
              </w:rPr>
              <w:t xml:space="preserve"> </w:t>
            </w:r>
            <w:r>
              <w:rPr>
                <w:rFonts w:ascii="Calibri"/>
                <w:sz w:val="18"/>
              </w:rPr>
              <w:t>is</w:t>
            </w:r>
            <w:r>
              <w:rPr>
                <w:rFonts w:ascii="Calibri"/>
                <w:spacing w:val="-3"/>
                <w:sz w:val="18"/>
              </w:rPr>
              <w:t xml:space="preserve"> </w:t>
            </w:r>
            <w:r>
              <w:rPr>
                <w:rFonts w:ascii="Calibri"/>
                <w:spacing w:val="-1"/>
                <w:sz w:val="18"/>
              </w:rPr>
              <w:t>lacking</w:t>
            </w:r>
            <w:r>
              <w:rPr>
                <w:rFonts w:ascii="Calibri"/>
                <w:sz w:val="18"/>
              </w:rPr>
              <w:t xml:space="preserve"> </w:t>
            </w:r>
            <w:r>
              <w:rPr>
                <w:rFonts w:ascii="Calibri"/>
                <w:spacing w:val="-1"/>
                <w:sz w:val="18"/>
              </w:rPr>
              <w:t>in</w:t>
            </w:r>
            <w:r>
              <w:rPr>
                <w:rFonts w:ascii="Calibri"/>
                <w:spacing w:val="-3"/>
                <w:sz w:val="18"/>
              </w:rPr>
              <w:t xml:space="preserve"> </w:t>
            </w:r>
            <w:r>
              <w:rPr>
                <w:rFonts w:ascii="Calibri"/>
                <w:sz w:val="18"/>
              </w:rPr>
              <w:t>the</w:t>
            </w:r>
            <w:r>
              <w:rPr>
                <w:rFonts w:ascii="Calibri"/>
                <w:spacing w:val="-2"/>
                <w:sz w:val="18"/>
              </w:rPr>
              <w:t xml:space="preserve"> </w:t>
            </w:r>
            <w:r>
              <w:rPr>
                <w:rFonts w:ascii="Calibri"/>
                <w:spacing w:val="-1"/>
                <w:sz w:val="18"/>
              </w:rPr>
              <w:t>future,</w:t>
            </w:r>
            <w:r>
              <w:rPr>
                <w:rFonts w:ascii="Calibri"/>
                <w:spacing w:val="-2"/>
                <w:sz w:val="18"/>
              </w:rPr>
              <w:t xml:space="preserve"> </w:t>
            </w:r>
            <w:r>
              <w:rPr>
                <w:rFonts w:ascii="Calibri"/>
                <w:spacing w:val="-1"/>
                <w:sz w:val="18"/>
              </w:rPr>
              <w:t>consider</w:t>
            </w:r>
            <w:r>
              <w:rPr>
                <w:rFonts w:ascii="Calibri"/>
                <w:spacing w:val="-2"/>
                <w:sz w:val="18"/>
              </w:rPr>
              <w:t xml:space="preserve"> </w:t>
            </w:r>
            <w:r>
              <w:rPr>
                <w:rFonts w:ascii="Calibri"/>
                <w:sz w:val="18"/>
              </w:rPr>
              <w:t>a</w:t>
            </w:r>
            <w:r>
              <w:rPr>
                <w:rFonts w:ascii="Calibri"/>
                <w:spacing w:val="43"/>
                <w:sz w:val="18"/>
              </w:rPr>
              <w:t xml:space="preserve"> </w:t>
            </w:r>
            <w:r>
              <w:rPr>
                <w:rFonts w:ascii="Calibri"/>
                <w:spacing w:val="-1"/>
                <w:sz w:val="18"/>
              </w:rPr>
              <w:t>referral/recruitment</w:t>
            </w:r>
            <w:r>
              <w:rPr>
                <w:rFonts w:ascii="Calibri"/>
                <w:spacing w:val="-5"/>
                <w:sz w:val="18"/>
              </w:rPr>
              <w:t xml:space="preserve"> </w:t>
            </w:r>
            <w:r>
              <w:rPr>
                <w:rFonts w:ascii="Calibri"/>
                <w:spacing w:val="-1"/>
                <w:sz w:val="18"/>
              </w:rPr>
              <w:t>award</w:t>
            </w:r>
            <w:r>
              <w:rPr>
                <w:rFonts w:ascii="Calibri"/>
                <w:spacing w:val="-5"/>
                <w:sz w:val="18"/>
              </w:rPr>
              <w:t xml:space="preserve"> </w:t>
            </w:r>
            <w:r>
              <w:rPr>
                <w:rFonts w:ascii="Calibri"/>
                <w:sz w:val="18"/>
              </w:rPr>
              <w:t>program</w:t>
            </w:r>
            <w:r>
              <w:rPr>
                <w:rFonts w:ascii="Calibri"/>
                <w:spacing w:val="-5"/>
                <w:sz w:val="18"/>
              </w:rPr>
              <w:t xml:space="preserve"> </w:t>
            </w:r>
            <w:r>
              <w:rPr>
                <w:rFonts w:ascii="Calibri"/>
                <w:sz w:val="18"/>
              </w:rPr>
              <w:t>from</w:t>
            </w:r>
            <w:r>
              <w:rPr>
                <w:rFonts w:ascii="Calibri"/>
                <w:spacing w:val="-4"/>
                <w:sz w:val="18"/>
              </w:rPr>
              <w:t xml:space="preserve"> </w:t>
            </w:r>
            <w:r>
              <w:rPr>
                <w:rFonts w:ascii="Calibri"/>
                <w:spacing w:val="-1"/>
                <w:sz w:val="18"/>
              </w:rPr>
              <w:t>past</w:t>
            </w:r>
            <w:r>
              <w:rPr>
                <w:rFonts w:ascii="Calibri"/>
                <w:spacing w:val="-5"/>
                <w:sz w:val="18"/>
              </w:rPr>
              <w:t xml:space="preserve"> </w:t>
            </w:r>
            <w:r>
              <w:rPr>
                <w:rFonts w:ascii="Calibri"/>
                <w:spacing w:val="-1"/>
                <w:sz w:val="18"/>
              </w:rPr>
              <w:t>participants.</w:t>
            </w:r>
          </w:p>
        </w:tc>
        <w:tc>
          <w:tcPr>
            <w:tcW w:w="468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3"/>
                <w:sz w:val="18"/>
              </w:rPr>
              <w:t xml:space="preserve"> </w:t>
            </w:r>
            <w:r>
              <w:rPr>
                <w:rFonts w:ascii="Calibri"/>
                <w:sz w:val="18"/>
              </w:rPr>
              <w:t>as</w:t>
            </w:r>
            <w:r>
              <w:rPr>
                <w:rFonts w:ascii="Calibri"/>
                <w:spacing w:val="-3"/>
                <w:sz w:val="18"/>
              </w:rPr>
              <w:t xml:space="preserve"> </w:t>
            </w:r>
            <w:r>
              <w:rPr>
                <w:rFonts w:ascii="Calibri"/>
                <w:spacing w:val="-1"/>
                <w:sz w:val="18"/>
              </w:rPr>
              <w:t>appropriate</w:t>
            </w:r>
          </w:p>
        </w:tc>
      </w:tr>
      <w:tr w:rsidR="00E646C9" w:rsidTr="0011636D">
        <w:trPr>
          <w:trHeight w:hRule="exact" w:val="1327"/>
        </w:trPr>
        <w:tc>
          <w:tcPr>
            <w:tcW w:w="4680" w:type="dxa"/>
            <w:shd w:val="clear" w:color="auto" w:fill="D2EAF1"/>
          </w:tcPr>
          <w:p w:rsidR="00E646C9" w:rsidRDefault="00E646C9" w:rsidP="00C94D5A">
            <w:pPr>
              <w:pStyle w:val="TableParagraph"/>
              <w:ind w:left="102" w:right="291"/>
              <w:rPr>
                <w:rFonts w:ascii="Calibri" w:eastAsia="Calibri" w:hAnsi="Calibri" w:cs="Calibri"/>
                <w:sz w:val="18"/>
                <w:szCs w:val="18"/>
              </w:rPr>
            </w:pPr>
            <w:r>
              <w:rPr>
                <w:rFonts w:ascii="Calibri" w:eastAsia="Calibri" w:hAnsi="Calibri" w:cs="Calibri"/>
                <w:sz w:val="18"/>
                <w:szCs w:val="18"/>
              </w:rPr>
              <w:t>Lower</w:t>
            </w:r>
            <w:r>
              <w:rPr>
                <w:rFonts w:ascii="Calibri" w:eastAsia="Calibri" w:hAnsi="Calibri" w:cs="Calibri"/>
                <w:spacing w:val="-4"/>
                <w:sz w:val="18"/>
                <w:szCs w:val="18"/>
              </w:rPr>
              <w:t xml:space="preserve"> </w:t>
            </w:r>
            <w:r>
              <w:rPr>
                <w:rFonts w:ascii="Calibri" w:eastAsia="Calibri" w:hAnsi="Calibri" w:cs="Calibri"/>
                <w:spacing w:val="-1"/>
                <w:sz w:val="18"/>
                <w:szCs w:val="18"/>
              </w:rPr>
              <w:t>ex</w:t>
            </w:r>
            <w:r>
              <w:rPr>
                <w:rFonts w:ascii="Calibri" w:eastAsia="Calibri" w:hAnsi="Calibri" w:cs="Calibri"/>
                <w:spacing w:val="-3"/>
                <w:sz w:val="18"/>
                <w:szCs w:val="18"/>
              </w:rPr>
              <w:t xml:space="preserve"> </w:t>
            </w:r>
            <w:r>
              <w:rPr>
                <w:rFonts w:ascii="Calibri" w:eastAsia="Calibri" w:hAnsi="Calibri" w:cs="Calibri"/>
                <w:spacing w:val="-1"/>
                <w:sz w:val="18"/>
                <w:szCs w:val="18"/>
              </w:rPr>
              <w:t>ante</w:t>
            </w:r>
            <w:r>
              <w:rPr>
                <w:rFonts w:ascii="Calibri" w:eastAsia="Calibri" w:hAnsi="Calibri" w:cs="Calibri"/>
                <w:spacing w:val="-4"/>
                <w:sz w:val="18"/>
                <w:szCs w:val="18"/>
              </w:rPr>
              <w:t xml:space="preserve"> </w:t>
            </w:r>
            <w:r>
              <w:rPr>
                <w:rFonts w:ascii="Calibri" w:eastAsia="Calibri" w:hAnsi="Calibri" w:cs="Calibri"/>
                <w:spacing w:val="-1"/>
                <w:sz w:val="18"/>
                <w:szCs w:val="18"/>
              </w:rPr>
              <w:t>energy</w:t>
            </w:r>
            <w:r>
              <w:rPr>
                <w:rFonts w:ascii="Calibri" w:eastAsia="Calibri" w:hAnsi="Calibri" w:cs="Calibri"/>
                <w:spacing w:val="-2"/>
                <w:sz w:val="18"/>
                <w:szCs w:val="18"/>
              </w:rPr>
              <w:t xml:space="preserve"> </w:t>
            </w:r>
            <w:r>
              <w:rPr>
                <w:rFonts w:ascii="Calibri" w:eastAsia="Calibri" w:hAnsi="Calibri" w:cs="Calibri"/>
                <w:spacing w:val="-1"/>
                <w:sz w:val="18"/>
                <w:szCs w:val="18"/>
              </w:rPr>
              <w:t>savings</w:t>
            </w:r>
            <w:r>
              <w:rPr>
                <w:rFonts w:ascii="Calibri" w:eastAsia="Calibri" w:hAnsi="Calibri" w:cs="Calibri"/>
                <w:spacing w:val="-3"/>
                <w:sz w:val="18"/>
                <w:szCs w:val="18"/>
              </w:rPr>
              <w:t xml:space="preserve"> </w:t>
            </w:r>
            <w:r>
              <w:rPr>
                <w:rFonts w:ascii="Calibri" w:eastAsia="Calibri" w:hAnsi="Calibri" w:cs="Calibri"/>
                <w:sz w:val="18"/>
                <w:szCs w:val="18"/>
              </w:rPr>
              <w:t>Threshold</w:t>
            </w:r>
            <w:r>
              <w:rPr>
                <w:rFonts w:ascii="Calibri" w:eastAsia="Calibri" w:hAnsi="Calibri" w:cs="Calibri"/>
                <w:spacing w:val="-4"/>
                <w:sz w:val="18"/>
                <w:szCs w:val="18"/>
              </w:rPr>
              <w:t xml:space="preserve"> </w:t>
            </w:r>
            <w:r>
              <w:rPr>
                <w:rFonts w:ascii="Calibri" w:eastAsia="Calibri" w:hAnsi="Calibri" w:cs="Calibri"/>
                <w:spacing w:val="-1"/>
                <w:sz w:val="18"/>
                <w:szCs w:val="18"/>
              </w:rPr>
              <w:t>to 750</w:t>
            </w:r>
            <w:r>
              <w:rPr>
                <w:rFonts w:ascii="Calibri" w:eastAsia="Calibri" w:hAnsi="Calibri" w:cs="Calibri"/>
                <w:spacing w:val="-3"/>
                <w:sz w:val="18"/>
                <w:szCs w:val="18"/>
              </w:rPr>
              <w:t xml:space="preserve"> </w:t>
            </w:r>
            <w:r>
              <w:rPr>
                <w:rFonts w:ascii="Calibri" w:eastAsia="Calibri" w:hAnsi="Calibri" w:cs="Calibri"/>
                <w:spacing w:val="-1"/>
                <w:sz w:val="18"/>
                <w:szCs w:val="18"/>
              </w:rPr>
              <w:t>MWh</w:t>
            </w:r>
            <w:r>
              <w:rPr>
                <w:rFonts w:ascii="Calibri" w:eastAsia="Calibri" w:hAnsi="Calibri" w:cs="Calibri"/>
                <w:spacing w:val="-3"/>
                <w:sz w:val="18"/>
                <w:szCs w:val="18"/>
              </w:rPr>
              <w:t xml:space="preserve"> </w:t>
            </w:r>
            <w:r>
              <w:rPr>
                <w:rFonts w:ascii="Calibri" w:eastAsia="Calibri" w:hAnsi="Calibri" w:cs="Calibri"/>
                <w:sz w:val="18"/>
                <w:szCs w:val="18"/>
              </w:rPr>
              <w:t>from</w:t>
            </w:r>
            <w:r>
              <w:rPr>
                <w:rFonts w:ascii="Calibri" w:eastAsia="Calibri" w:hAnsi="Calibri" w:cs="Calibri"/>
                <w:spacing w:val="35"/>
                <w:w w:val="99"/>
                <w:sz w:val="18"/>
                <w:szCs w:val="18"/>
              </w:rPr>
              <w:t xml:space="preserve"> </w:t>
            </w:r>
            <w:r>
              <w:rPr>
                <w:rFonts w:ascii="Calibri" w:eastAsia="Calibri" w:hAnsi="Calibri" w:cs="Calibri"/>
                <w:spacing w:val="-1"/>
                <w:sz w:val="18"/>
                <w:szCs w:val="18"/>
              </w:rPr>
              <w:t>800</w:t>
            </w:r>
            <w:r>
              <w:rPr>
                <w:rFonts w:ascii="Calibri" w:eastAsia="Calibri" w:hAnsi="Calibri" w:cs="Calibri"/>
                <w:spacing w:val="-2"/>
                <w:sz w:val="18"/>
                <w:szCs w:val="18"/>
              </w:rPr>
              <w:t xml:space="preserve"> </w:t>
            </w:r>
            <w:r>
              <w:rPr>
                <w:rFonts w:ascii="Calibri" w:eastAsia="Calibri" w:hAnsi="Calibri" w:cs="Calibri"/>
                <w:spacing w:val="-1"/>
                <w:sz w:val="18"/>
                <w:szCs w:val="18"/>
              </w:rPr>
              <w:t>to trigger</w:t>
            </w:r>
            <w:r>
              <w:rPr>
                <w:rFonts w:ascii="Calibri" w:eastAsia="Calibri" w:hAnsi="Calibri" w:cs="Calibri"/>
                <w:sz w:val="18"/>
                <w:szCs w:val="18"/>
              </w:rPr>
              <w:t xml:space="preserve"> </w:t>
            </w:r>
            <w:r>
              <w:rPr>
                <w:rFonts w:ascii="Calibri" w:eastAsia="Calibri" w:hAnsi="Calibri" w:cs="Calibri"/>
                <w:spacing w:val="-1"/>
                <w:sz w:val="18"/>
                <w:szCs w:val="18"/>
              </w:rPr>
              <w:t>up-front</w:t>
            </w:r>
            <w:r>
              <w:rPr>
                <w:rFonts w:ascii="Calibri" w:eastAsia="Calibri" w:hAnsi="Calibri" w:cs="Calibri"/>
                <w:spacing w:val="-3"/>
                <w:sz w:val="18"/>
                <w:szCs w:val="18"/>
              </w:rPr>
              <w:t xml:space="preserve"> </w:t>
            </w:r>
            <w:r>
              <w:rPr>
                <w:rFonts w:ascii="Calibri" w:eastAsia="Calibri" w:hAnsi="Calibri" w:cs="Calibri"/>
                <w:sz w:val="18"/>
                <w:szCs w:val="18"/>
              </w:rPr>
              <w:t>evaluation</w:t>
            </w:r>
            <w:r>
              <w:rPr>
                <w:rFonts w:ascii="Calibri" w:eastAsia="Calibri" w:hAnsi="Calibri" w:cs="Calibri"/>
                <w:spacing w:val="-3"/>
                <w:sz w:val="18"/>
                <w:szCs w:val="18"/>
              </w:rPr>
              <w:t xml:space="preserve"> </w:t>
            </w:r>
            <w:r>
              <w:rPr>
                <w:rFonts w:ascii="Calibri" w:eastAsia="Calibri" w:hAnsi="Calibri" w:cs="Calibri"/>
                <w:sz w:val="18"/>
                <w:szCs w:val="18"/>
              </w:rPr>
              <w:t>of</w:t>
            </w:r>
            <w:r>
              <w:rPr>
                <w:rFonts w:ascii="Calibri" w:eastAsia="Calibri" w:hAnsi="Calibri" w:cs="Calibri"/>
                <w:spacing w:val="-2"/>
                <w:sz w:val="18"/>
                <w:szCs w:val="18"/>
              </w:rPr>
              <w:t xml:space="preserve"> </w:t>
            </w:r>
            <w:r>
              <w:rPr>
                <w:rFonts w:ascii="Calibri" w:eastAsia="Calibri" w:hAnsi="Calibri" w:cs="Calibri"/>
                <w:spacing w:val="-1"/>
                <w:sz w:val="18"/>
                <w:szCs w:val="18"/>
              </w:rPr>
              <w:t>lighting</w:t>
            </w:r>
            <w:r>
              <w:rPr>
                <w:rFonts w:ascii="Calibri" w:eastAsia="Calibri" w:hAnsi="Calibri" w:cs="Calibri"/>
                <w:spacing w:val="-3"/>
                <w:sz w:val="18"/>
                <w:szCs w:val="18"/>
              </w:rPr>
              <w:t xml:space="preserve"> </w:t>
            </w:r>
            <w:r>
              <w:rPr>
                <w:rFonts w:ascii="Calibri" w:eastAsia="Calibri" w:hAnsi="Calibri" w:cs="Calibri"/>
                <w:spacing w:val="-1"/>
                <w:sz w:val="18"/>
                <w:szCs w:val="18"/>
              </w:rPr>
              <w:t>projects to</w:t>
            </w:r>
            <w:r>
              <w:rPr>
                <w:rFonts w:ascii="Calibri" w:eastAsia="Calibri" w:hAnsi="Calibri" w:cs="Calibri"/>
                <w:spacing w:val="32"/>
                <w:sz w:val="18"/>
                <w:szCs w:val="18"/>
              </w:rPr>
              <w:t xml:space="preserve"> </w:t>
            </w:r>
            <w:r>
              <w:rPr>
                <w:rFonts w:ascii="Calibri" w:eastAsia="Calibri" w:hAnsi="Calibri" w:cs="Calibri"/>
                <w:spacing w:val="-1"/>
                <w:sz w:val="18"/>
                <w:szCs w:val="18"/>
              </w:rPr>
              <w:t>better</w:t>
            </w:r>
            <w:r>
              <w:rPr>
                <w:rFonts w:ascii="Calibri" w:eastAsia="Calibri" w:hAnsi="Calibri" w:cs="Calibri"/>
                <w:spacing w:val="-4"/>
                <w:sz w:val="18"/>
                <w:szCs w:val="18"/>
              </w:rPr>
              <w:t xml:space="preserve"> </w:t>
            </w:r>
            <w:r>
              <w:rPr>
                <w:rFonts w:ascii="Calibri" w:eastAsia="Calibri" w:hAnsi="Calibri" w:cs="Calibri"/>
                <w:spacing w:val="-1"/>
                <w:sz w:val="18"/>
                <w:szCs w:val="18"/>
              </w:rPr>
              <w:t>align</w:t>
            </w:r>
            <w:r>
              <w:rPr>
                <w:rFonts w:ascii="Calibri" w:eastAsia="Calibri" w:hAnsi="Calibri" w:cs="Calibri"/>
                <w:spacing w:val="-4"/>
                <w:sz w:val="18"/>
                <w:szCs w:val="18"/>
              </w:rPr>
              <w:t xml:space="preserve"> </w:t>
            </w:r>
            <w:r>
              <w:rPr>
                <w:rFonts w:ascii="Calibri" w:eastAsia="Calibri" w:hAnsi="Calibri" w:cs="Calibri"/>
                <w:sz w:val="18"/>
                <w:szCs w:val="18"/>
              </w:rPr>
              <w:t>with</w:t>
            </w:r>
            <w:r>
              <w:rPr>
                <w:rFonts w:ascii="Calibri" w:eastAsia="Calibri" w:hAnsi="Calibri" w:cs="Calibri"/>
                <w:spacing w:val="-3"/>
                <w:sz w:val="18"/>
                <w:szCs w:val="18"/>
              </w:rPr>
              <w:t xml:space="preserve"> </w:t>
            </w:r>
            <w:r>
              <w:rPr>
                <w:rFonts w:ascii="Calibri" w:eastAsia="Calibri" w:hAnsi="Calibri" w:cs="Calibri"/>
                <w:spacing w:val="-1"/>
                <w:sz w:val="18"/>
                <w:szCs w:val="18"/>
              </w:rPr>
              <w:t>2016</w:t>
            </w:r>
            <w:r>
              <w:rPr>
                <w:rFonts w:ascii="Calibri" w:eastAsia="Calibri" w:hAnsi="Calibri" w:cs="Calibri"/>
                <w:spacing w:val="-3"/>
                <w:sz w:val="18"/>
                <w:szCs w:val="18"/>
              </w:rPr>
              <w:t xml:space="preserve"> </w:t>
            </w:r>
            <w:r>
              <w:rPr>
                <w:rFonts w:ascii="Calibri" w:eastAsia="Calibri" w:hAnsi="Calibri" w:cs="Calibri"/>
                <w:sz w:val="18"/>
                <w:szCs w:val="18"/>
              </w:rPr>
              <w:t>TRM.</w:t>
            </w:r>
            <w:r>
              <w:rPr>
                <w:rFonts w:ascii="Calibri" w:eastAsia="Calibri" w:hAnsi="Calibri" w:cs="Calibri"/>
                <w:spacing w:val="36"/>
                <w:sz w:val="18"/>
                <w:szCs w:val="18"/>
              </w:rPr>
              <w:t xml:space="preserve"> </w:t>
            </w:r>
            <w:r>
              <w:rPr>
                <w:rFonts w:ascii="Calibri" w:eastAsia="Calibri" w:hAnsi="Calibri" w:cs="Calibri"/>
                <w:spacing w:val="-1"/>
                <w:sz w:val="18"/>
                <w:szCs w:val="18"/>
              </w:rPr>
              <w:t>At</w:t>
            </w:r>
            <w:r>
              <w:rPr>
                <w:rFonts w:ascii="Calibri" w:eastAsia="Calibri" w:hAnsi="Calibri" w:cs="Calibri"/>
                <w:spacing w:val="-4"/>
                <w:sz w:val="18"/>
                <w:szCs w:val="18"/>
              </w:rPr>
              <w:t xml:space="preserve"> </w:t>
            </w:r>
            <w:r>
              <w:rPr>
                <w:rFonts w:ascii="Calibri" w:eastAsia="Calibri" w:hAnsi="Calibri" w:cs="Calibri"/>
                <w:sz w:val="18"/>
                <w:szCs w:val="18"/>
              </w:rPr>
              <w:t>the</w:t>
            </w:r>
            <w:r>
              <w:rPr>
                <w:rFonts w:ascii="Calibri" w:eastAsia="Calibri" w:hAnsi="Calibri" w:cs="Calibri"/>
                <w:spacing w:val="-3"/>
                <w:sz w:val="18"/>
                <w:szCs w:val="18"/>
              </w:rPr>
              <w:t xml:space="preserve"> </w:t>
            </w:r>
            <w:r>
              <w:rPr>
                <w:rFonts w:ascii="Calibri" w:eastAsia="Calibri" w:hAnsi="Calibri" w:cs="Calibri"/>
                <w:spacing w:val="-1"/>
                <w:sz w:val="18"/>
                <w:szCs w:val="18"/>
              </w:rPr>
              <w:t>same</w:t>
            </w:r>
            <w:r>
              <w:rPr>
                <w:rFonts w:ascii="Calibri" w:eastAsia="Calibri" w:hAnsi="Calibri" w:cs="Calibri"/>
                <w:spacing w:val="-4"/>
                <w:sz w:val="18"/>
                <w:szCs w:val="18"/>
              </w:rPr>
              <w:t xml:space="preserve"> </w:t>
            </w:r>
            <w:r>
              <w:rPr>
                <w:rFonts w:ascii="Calibri" w:eastAsia="Calibri" w:hAnsi="Calibri" w:cs="Calibri"/>
                <w:spacing w:val="-1"/>
                <w:sz w:val="18"/>
                <w:szCs w:val="18"/>
              </w:rPr>
              <w:t>time,</w:t>
            </w:r>
            <w:r>
              <w:rPr>
                <w:rFonts w:ascii="Calibri" w:eastAsia="Calibri" w:hAnsi="Calibri" w:cs="Calibri"/>
                <w:spacing w:val="-2"/>
                <w:sz w:val="18"/>
                <w:szCs w:val="18"/>
              </w:rPr>
              <w:t xml:space="preserve"> </w:t>
            </w:r>
            <w:r>
              <w:rPr>
                <w:rFonts w:ascii="Calibri" w:eastAsia="Calibri" w:hAnsi="Calibri" w:cs="Calibri"/>
                <w:spacing w:val="-1"/>
                <w:sz w:val="18"/>
                <w:szCs w:val="18"/>
              </w:rPr>
              <w:t>increase</w:t>
            </w:r>
            <w:r>
              <w:rPr>
                <w:rFonts w:ascii="Calibri" w:eastAsia="Calibri" w:hAnsi="Calibri" w:cs="Calibri"/>
                <w:spacing w:val="43"/>
                <w:w w:val="99"/>
                <w:sz w:val="18"/>
                <w:szCs w:val="18"/>
              </w:rPr>
              <w:t xml:space="preserve"> </w:t>
            </w:r>
            <w:r>
              <w:rPr>
                <w:rFonts w:ascii="Calibri" w:eastAsia="Calibri" w:hAnsi="Calibri" w:cs="Calibri"/>
                <w:spacing w:val="-1"/>
                <w:sz w:val="18"/>
                <w:szCs w:val="18"/>
              </w:rPr>
              <w:t>threshold</w:t>
            </w:r>
            <w:r>
              <w:rPr>
                <w:rFonts w:ascii="Calibri" w:eastAsia="Calibri" w:hAnsi="Calibri" w:cs="Calibri"/>
                <w:spacing w:val="-4"/>
                <w:sz w:val="18"/>
                <w:szCs w:val="18"/>
              </w:rPr>
              <w:t xml:space="preserve"> </w:t>
            </w:r>
            <w:r>
              <w:rPr>
                <w:rFonts w:ascii="Calibri" w:eastAsia="Calibri" w:hAnsi="Calibri" w:cs="Calibri"/>
                <w:sz w:val="18"/>
                <w:szCs w:val="18"/>
              </w:rPr>
              <w:t>from</w:t>
            </w:r>
            <w:r>
              <w:rPr>
                <w:rFonts w:ascii="Calibri" w:eastAsia="Calibri" w:hAnsi="Calibri" w:cs="Calibri"/>
                <w:spacing w:val="-2"/>
                <w:sz w:val="18"/>
                <w:szCs w:val="18"/>
              </w:rPr>
              <w:t xml:space="preserve"> </w:t>
            </w:r>
            <w:r>
              <w:rPr>
                <w:rFonts w:ascii="Calibri" w:eastAsia="Calibri" w:hAnsi="Calibri" w:cs="Calibri"/>
                <w:spacing w:val="-1"/>
                <w:sz w:val="18"/>
                <w:szCs w:val="18"/>
              </w:rPr>
              <w:t>400</w:t>
            </w:r>
            <w:r>
              <w:rPr>
                <w:rFonts w:ascii="Calibri" w:eastAsia="Calibri" w:hAnsi="Calibri" w:cs="Calibri"/>
                <w:spacing w:val="-3"/>
                <w:sz w:val="18"/>
                <w:szCs w:val="18"/>
              </w:rPr>
              <w:t xml:space="preserve"> </w:t>
            </w:r>
            <w:r>
              <w:rPr>
                <w:rFonts w:ascii="Calibri" w:eastAsia="Calibri" w:hAnsi="Calibri" w:cs="Calibri"/>
                <w:spacing w:val="-1"/>
                <w:sz w:val="18"/>
                <w:szCs w:val="18"/>
              </w:rPr>
              <w:t>MWh</w:t>
            </w:r>
            <w:r>
              <w:rPr>
                <w:rFonts w:ascii="Calibri" w:eastAsia="Calibri" w:hAnsi="Calibri" w:cs="Calibri"/>
                <w:spacing w:val="-3"/>
                <w:sz w:val="18"/>
                <w:szCs w:val="18"/>
              </w:rPr>
              <w:t xml:space="preserve"> </w:t>
            </w:r>
            <w:r>
              <w:rPr>
                <w:rFonts w:ascii="Calibri" w:eastAsia="Calibri" w:hAnsi="Calibri" w:cs="Calibri"/>
                <w:spacing w:val="-1"/>
                <w:sz w:val="18"/>
                <w:szCs w:val="18"/>
              </w:rPr>
              <w:t>to</w:t>
            </w:r>
            <w:r>
              <w:rPr>
                <w:rFonts w:ascii="Calibri" w:eastAsia="Calibri" w:hAnsi="Calibri" w:cs="Calibri"/>
                <w:spacing w:val="-2"/>
                <w:sz w:val="18"/>
                <w:szCs w:val="18"/>
              </w:rPr>
              <w:t xml:space="preserve"> </w:t>
            </w:r>
            <w:r>
              <w:rPr>
                <w:rFonts w:ascii="Calibri" w:eastAsia="Calibri" w:hAnsi="Calibri" w:cs="Calibri"/>
                <w:spacing w:val="-1"/>
                <w:sz w:val="18"/>
                <w:szCs w:val="18"/>
              </w:rPr>
              <w:t>500</w:t>
            </w:r>
            <w:r>
              <w:rPr>
                <w:rFonts w:ascii="Calibri" w:eastAsia="Calibri" w:hAnsi="Calibri" w:cs="Calibri"/>
                <w:spacing w:val="-2"/>
                <w:sz w:val="18"/>
                <w:szCs w:val="18"/>
              </w:rPr>
              <w:t xml:space="preserve"> </w:t>
            </w:r>
            <w:r>
              <w:rPr>
                <w:rFonts w:ascii="Calibri" w:eastAsia="Calibri" w:hAnsi="Calibri" w:cs="Calibri"/>
                <w:spacing w:val="-1"/>
                <w:sz w:val="18"/>
                <w:szCs w:val="18"/>
              </w:rPr>
              <w:t>MWh</w:t>
            </w:r>
            <w:r>
              <w:rPr>
                <w:rFonts w:ascii="Calibri" w:eastAsia="Calibri" w:hAnsi="Calibri" w:cs="Calibri"/>
                <w:spacing w:val="-3"/>
                <w:sz w:val="18"/>
                <w:szCs w:val="18"/>
              </w:rPr>
              <w:t xml:space="preserve"> </w:t>
            </w:r>
            <w:r>
              <w:rPr>
                <w:rFonts w:ascii="Calibri" w:eastAsia="Calibri" w:hAnsi="Calibri" w:cs="Calibri"/>
                <w:sz w:val="18"/>
                <w:szCs w:val="18"/>
              </w:rPr>
              <w:t>for</w:t>
            </w:r>
            <w:r>
              <w:rPr>
                <w:rFonts w:ascii="Calibri" w:eastAsia="Calibri" w:hAnsi="Calibri" w:cs="Calibri"/>
                <w:spacing w:val="-4"/>
                <w:sz w:val="18"/>
                <w:szCs w:val="18"/>
              </w:rPr>
              <w:t xml:space="preserve"> </w:t>
            </w:r>
            <w:r>
              <w:rPr>
                <w:rFonts w:ascii="Calibri" w:eastAsia="Calibri" w:hAnsi="Calibri" w:cs="Calibri"/>
                <w:spacing w:val="-1"/>
                <w:sz w:val="18"/>
                <w:szCs w:val="18"/>
              </w:rPr>
              <w:t>non-lighting</w:t>
            </w:r>
            <w:r>
              <w:rPr>
                <w:rFonts w:ascii="Calibri" w:eastAsia="Calibri" w:hAnsi="Calibri" w:cs="Calibri"/>
                <w:spacing w:val="39"/>
                <w:w w:val="99"/>
                <w:sz w:val="18"/>
                <w:szCs w:val="18"/>
              </w:rPr>
              <w:t xml:space="preserve"> </w:t>
            </w:r>
            <w:r>
              <w:rPr>
                <w:rFonts w:ascii="Calibri" w:eastAsia="Calibri" w:hAnsi="Calibri" w:cs="Calibri"/>
                <w:spacing w:val="-1"/>
                <w:sz w:val="18"/>
                <w:szCs w:val="18"/>
              </w:rPr>
              <w:t>projects</w:t>
            </w:r>
            <w:r>
              <w:rPr>
                <w:rFonts w:ascii="Calibri" w:eastAsia="Calibri" w:hAnsi="Calibri" w:cs="Calibri"/>
                <w:spacing w:val="-4"/>
                <w:sz w:val="18"/>
                <w:szCs w:val="18"/>
              </w:rPr>
              <w:t xml:space="preserve"> </w:t>
            </w:r>
            <w:r>
              <w:rPr>
                <w:rFonts w:ascii="Calibri" w:eastAsia="Calibri" w:hAnsi="Calibri" w:cs="Calibri"/>
                <w:spacing w:val="-1"/>
                <w:sz w:val="18"/>
                <w:szCs w:val="18"/>
              </w:rPr>
              <w:t>to maintain</w:t>
            </w:r>
            <w:r>
              <w:rPr>
                <w:rFonts w:ascii="Calibri" w:eastAsia="Calibri" w:hAnsi="Calibri" w:cs="Calibri"/>
                <w:spacing w:val="-2"/>
                <w:sz w:val="18"/>
                <w:szCs w:val="18"/>
              </w:rPr>
              <w:t xml:space="preserve"> </w:t>
            </w:r>
            <w:r>
              <w:rPr>
                <w:rFonts w:ascii="Calibri" w:eastAsia="Calibri" w:hAnsi="Calibri" w:cs="Calibri"/>
                <w:spacing w:val="-1"/>
                <w:sz w:val="18"/>
                <w:szCs w:val="18"/>
              </w:rPr>
              <w:t>expected</w:t>
            </w:r>
            <w:r>
              <w:rPr>
                <w:rFonts w:ascii="Calibri" w:eastAsia="Calibri" w:hAnsi="Calibri" w:cs="Calibri"/>
                <w:spacing w:val="-3"/>
                <w:sz w:val="18"/>
                <w:szCs w:val="18"/>
              </w:rPr>
              <w:t xml:space="preserve"> </w:t>
            </w:r>
            <w:r>
              <w:rPr>
                <w:rFonts w:ascii="Calibri" w:eastAsia="Calibri" w:hAnsi="Calibri" w:cs="Calibri"/>
                <w:sz w:val="18"/>
                <w:szCs w:val="18"/>
              </w:rPr>
              <w:t>50/50</w:t>
            </w:r>
            <w:r>
              <w:rPr>
                <w:rFonts w:ascii="Calibri" w:eastAsia="Calibri" w:hAnsi="Calibri" w:cs="Calibri"/>
                <w:spacing w:val="-3"/>
                <w:sz w:val="18"/>
                <w:szCs w:val="18"/>
              </w:rPr>
              <w:t xml:space="preserve"> </w:t>
            </w:r>
            <w:r>
              <w:rPr>
                <w:rFonts w:ascii="Calibri" w:eastAsia="Calibri" w:hAnsi="Calibri" w:cs="Calibri"/>
                <w:spacing w:val="-1"/>
                <w:sz w:val="18"/>
                <w:szCs w:val="18"/>
              </w:rPr>
              <w:t>balance</w:t>
            </w:r>
            <w:r>
              <w:rPr>
                <w:rFonts w:ascii="Calibri" w:eastAsia="Calibri" w:hAnsi="Calibri" w:cs="Calibri"/>
                <w:spacing w:val="-3"/>
                <w:sz w:val="18"/>
                <w:szCs w:val="18"/>
              </w:rPr>
              <w:t xml:space="preserve"> </w:t>
            </w:r>
            <w:r>
              <w:rPr>
                <w:rFonts w:ascii="Calibri" w:eastAsia="Calibri" w:hAnsi="Calibri" w:cs="Calibri"/>
                <w:spacing w:val="-1"/>
                <w:sz w:val="18"/>
                <w:szCs w:val="18"/>
              </w:rPr>
              <w:t>in</w:t>
            </w:r>
            <w:r>
              <w:rPr>
                <w:rFonts w:ascii="Calibri" w:eastAsia="Calibri" w:hAnsi="Calibri" w:cs="Calibri"/>
                <w:spacing w:val="-2"/>
                <w:sz w:val="18"/>
                <w:szCs w:val="18"/>
              </w:rPr>
              <w:t xml:space="preserve"> </w:t>
            </w:r>
            <w:r>
              <w:rPr>
                <w:rFonts w:ascii="Calibri" w:eastAsia="Calibri" w:hAnsi="Calibri" w:cs="Calibri"/>
                <w:spacing w:val="-1"/>
                <w:sz w:val="18"/>
                <w:szCs w:val="18"/>
              </w:rPr>
              <w:t>reported</w:t>
            </w:r>
            <w:r>
              <w:rPr>
                <w:rFonts w:ascii="Calibri" w:eastAsia="Calibri" w:hAnsi="Calibri" w:cs="Calibri"/>
                <w:spacing w:val="45"/>
                <w:sz w:val="18"/>
                <w:szCs w:val="18"/>
              </w:rPr>
              <w:t xml:space="preserve"> </w:t>
            </w:r>
            <w:r>
              <w:rPr>
                <w:rFonts w:ascii="Calibri" w:eastAsia="Calibri" w:hAnsi="Calibri" w:cs="Calibri"/>
                <w:spacing w:val="-1"/>
                <w:sz w:val="18"/>
                <w:szCs w:val="18"/>
              </w:rPr>
              <w:t>MWh</w:t>
            </w:r>
            <w:r>
              <w:rPr>
                <w:rFonts w:ascii="Calibri" w:eastAsia="Calibri" w:hAnsi="Calibri" w:cs="Calibri"/>
                <w:spacing w:val="-5"/>
                <w:sz w:val="18"/>
                <w:szCs w:val="18"/>
              </w:rPr>
              <w:t xml:space="preserve"> </w:t>
            </w:r>
            <w:r>
              <w:rPr>
                <w:rFonts w:ascii="Calibri" w:eastAsia="Calibri" w:hAnsi="Calibri" w:cs="Calibri"/>
                <w:spacing w:val="-1"/>
                <w:sz w:val="18"/>
                <w:szCs w:val="18"/>
              </w:rPr>
              <w:t>between</w:t>
            </w:r>
            <w:r>
              <w:rPr>
                <w:rFonts w:ascii="Calibri" w:eastAsia="Calibri" w:hAnsi="Calibri" w:cs="Calibri"/>
                <w:spacing w:val="-5"/>
                <w:sz w:val="18"/>
                <w:szCs w:val="18"/>
              </w:rPr>
              <w:t xml:space="preserve"> </w:t>
            </w:r>
            <w:r>
              <w:rPr>
                <w:rFonts w:ascii="Calibri" w:eastAsia="Calibri" w:hAnsi="Calibri" w:cs="Calibri"/>
                <w:spacing w:val="-1"/>
                <w:sz w:val="18"/>
                <w:szCs w:val="18"/>
              </w:rPr>
              <w:t>sampled</w:t>
            </w:r>
            <w:r>
              <w:rPr>
                <w:rFonts w:ascii="Calibri" w:eastAsia="Calibri" w:hAnsi="Calibri" w:cs="Calibri"/>
                <w:spacing w:val="-4"/>
                <w:sz w:val="18"/>
                <w:szCs w:val="18"/>
              </w:rPr>
              <w:t xml:space="preserve"> </w:t>
            </w:r>
            <w:r>
              <w:rPr>
                <w:rFonts w:ascii="Calibri" w:eastAsia="Calibri" w:hAnsi="Calibri" w:cs="Calibri"/>
                <w:sz w:val="18"/>
                <w:szCs w:val="18"/>
              </w:rPr>
              <w:t>and</w:t>
            </w:r>
            <w:r>
              <w:rPr>
                <w:rFonts w:ascii="Calibri" w:eastAsia="Calibri" w:hAnsi="Calibri" w:cs="Calibri"/>
                <w:spacing w:val="-5"/>
                <w:sz w:val="18"/>
                <w:szCs w:val="18"/>
              </w:rPr>
              <w:t xml:space="preserve"> </w:t>
            </w:r>
            <w:r>
              <w:rPr>
                <w:rFonts w:ascii="Calibri" w:eastAsia="Calibri" w:hAnsi="Calibri" w:cs="Calibri"/>
                <w:spacing w:val="-1"/>
                <w:sz w:val="18"/>
                <w:szCs w:val="18"/>
              </w:rPr>
              <w:t>“certainty”</w:t>
            </w:r>
            <w:r>
              <w:rPr>
                <w:rFonts w:ascii="Calibri" w:eastAsia="Calibri" w:hAnsi="Calibri" w:cs="Calibri"/>
                <w:spacing w:val="-4"/>
                <w:sz w:val="18"/>
                <w:szCs w:val="18"/>
              </w:rPr>
              <w:t xml:space="preserve"> </w:t>
            </w:r>
            <w:r>
              <w:rPr>
                <w:rFonts w:ascii="Calibri" w:eastAsia="Calibri" w:hAnsi="Calibri" w:cs="Calibri"/>
                <w:spacing w:val="-1"/>
                <w:sz w:val="18"/>
                <w:szCs w:val="18"/>
              </w:rPr>
              <w:t>projects.</w:t>
            </w:r>
          </w:p>
        </w:tc>
        <w:tc>
          <w:tcPr>
            <w:tcW w:w="4680" w:type="dxa"/>
            <w:shd w:val="clear" w:color="auto" w:fill="D2EAF1"/>
          </w:tcPr>
          <w:p w:rsidR="00E646C9" w:rsidRDefault="00E646C9" w:rsidP="00C94D5A">
            <w:pPr>
              <w:pStyle w:val="TableParagraph"/>
              <w:spacing w:line="218" w:lineRule="exact"/>
              <w:ind w:left="102"/>
              <w:rPr>
                <w:rFonts w:ascii="Calibri"/>
                <w:spacing w:val="-1"/>
                <w:sz w:val="18"/>
              </w:rPr>
            </w:pPr>
            <w:r>
              <w:rPr>
                <w:rFonts w:ascii="Calibri"/>
                <w:spacing w:val="-1"/>
                <w:sz w:val="18"/>
              </w:rPr>
              <w:t>Implemented</w:t>
            </w:r>
          </w:p>
          <w:p w:rsidR="00E646C9" w:rsidRDefault="00E646C9" w:rsidP="00C94D5A">
            <w:pPr>
              <w:pStyle w:val="TableParagraph"/>
              <w:spacing w:line="218" w:lineRule="exact"/>
              <w:ind w:left="102"/>
              <w:rPr>
                <w:rFonts w:ascii="Calibri" w:eastAsia="Calibri" w:hAnsi="Calibri" w:cs="Calibri"/>
                <w:sz w:val="18"/>
                <w:szCs w:val="18"/>
              </w:rPr>
            </w:pPr>
          </w:p>
        </w:tc>
      </w:tr>
    </w:tbl>
    <w:p w:rsidR="00E646C9" w:rsidRPr="003B56E9" w:rsidRDefault="00E646C9" w:rsidP="003B56E9"/>
    <w:p w:rsidR="00E646C9" w:rsidRDefault="00E646C9" w:rsidP="003B56E9">
      <w:pPr>
        <w:pStyle w:val="AppendixGHeading2"/>
      </w:pPr>
      <w:r>
        <w:t>Commercial and Industrial Energy Efficient Buildings – Small Program</w:t>
      </w:r>
    </w:p>
    <w:tbl>
      <w:tblPr>
        <w:tblW w:w="945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770"/>
      </w:tblGrid>
      <w:tr w:rsidR="00E646C9" w:rsidTr="0011636D">
        <w:trPr>
          <w:trHeight w:hRule="exact" w:val="740"/>
          <w:tblHeader/>
        </w:trPr>
        <w:tc>
          <w:tcPr>
            <w:tcW w:w="4680" w:type="dxa"/>
            <w:shd w:val="clear" w:color="auto" w:fill="448A99"/>
          </w:tcPr>
          <w:p w:rsidR="00E646C9" w:rsidRDefault="00E646C9" w:rsidP="004D470A">
            <w:pPr>
              <w:pStyle w:val="TableParagraph"/>
              <w:spacing w:line="218" w:lineRule="exact"/>
              <w:ind w:left="129"/>
              <w:rPr>
                <w:rFonts w:ascii="Calibri" w:eastAsia="Calibri" w:hAnsi="Calibri" w:cs="Calibri"/>
                <w:sz w:val="18"/>
                <w:szCs w:val="18"/>
              </w:rPr>
            </w:pPr>
            <w:r>
              <w:rPr>
                <w:rFonts w:ascii="Calibri"/>
                <w:b/>
                <w:color w:val="FFFFFF"/>
                <w:spacing w:val="-1"/>
                <w:sz w:val="18"/>
              </w:rPr>
              <w:t>Recommendations</w:t>
            </w:r>
          </w:p>
        </w:tc>
        <w:tc>
          <w:tcPr>
            <w:tcW w:w="4770" w:type="dxa"/>
            <w:shd w:val="clear" w:color="auto" w:fill="448A99"/>
          </w:tcPr>
          <w:p w:rsidR="00E646C9" w:rsidRDefault="00E646C9" w:rsidP="00C94D5A">
            <w:pPr>
              <w:pStyle w:val="TableParagraph"/>
              <w:ind w:left="171" w:right="170" w:hanging="1"/>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890"/>
        </w:trPr>
        <w:tc>
          <w:tcPr>
            <w:tcW w:w="4680" w:type="dxa"/>
            <w:shd w:val="clear" w:color="auto" w:fill="D2EAF1"/>
          </w:tcPr>
          <w:p w:rsidR="00E646C9" w:rsidRDefault="00E646C9" w:rsidP="00C94D5A">
            <w:pPr>
              <w:pStyle w:val="TableParagraph"/>
              <w:ind w:left="102" w:right="342"/>
              <w:rPr>
                <w:rFonts w:ascii="Calibri" w:eastAsia="Calibri" w:hAnsi="Calibri" w:cs="Calibri"/>
                <w:sz w:val="18"/>
                <w:szCs w:val="18"/>
              </w:rPr>
            </w:pPr>
            <w:r>
              <w:rPr>
                <w:rFonts w:ascii="Calibri"/>
                <w:sz w:val="18"/>
              </w:rPr>
              <w:t>In</w:t>
            </w:r>
            <w:r>
              <w:rPr>
                <w:rFonts w:ascii="Calibri"/>
                <w:spacing w:val="-3"/>
                <w:sz w:val="18"/>
              </w:rPr>
              <w:t xml:space="preserve"> </w:t>
            </w:r>
            <w:r>
              <w:rPr>
                <w:rFonts w:ascii="Calibri"/>
                <w:spacing w:val="-1"/>
                <w:sz w:val="18"/>
              </w:rPr>
              <w:t>Phase</w:t>
            </w:r>
            <w:r>
              <w:rPr>
                <w:rFonts w:ascii="Calibri"/>
                <w:spacing w:val="-2"/>
                <w:sz w:val="18"/>
              </w:rPr>
              <w:t xml:space="preserve"> </w:t>
            </w:r>
            <w:r>
              <w:rPr>
                <w:rFonts w:ascii="Calibri"/>
                <w:sz w:val="18"/>
              </w:rPr>
              <w:t>III,</w:t>
            </w:r>
            <w:r>
              <w:rPr>
                <w:rFonts w:ascii="Calibri"/>
                <w:spacing w:val="-2"/>
                <w:sz w:val="18"/>
              </w:rPr>
              <w:t xml:space="preserve"> </w:t>
            </w:r>
            <w:r>
              <w:rPr>
                <w:rFonts w:ascii="Calibri"/>
                <w:spacing w:val="-1"/>
                <w:sz w:val="18"/>
              </w:rPr>
              <w:t>consider</w:t>
            </w:r>
            <w:r>
              <w:rPr>
                <w:rFonts w:ascii="Calibri"/>
                <w:sz w:val="18"/>
              </w:rPr>
              <w:t xml:space="preserve"> </w:t>
            </w:r>
            <w:r>
              <w:rPr>
                <w:rFonts w:ascii="Calibri"/>
                <w:spacing w:val="-1"/>
                <w:sz w:val="18"/>
              </w:rPr>
              <w:t>subsuming</w:t>
            </w:r>
            <w:r>
              <w:rPr>
                <w:rFonts w:ascii="Calibri"/>
                <w:spacing w:val="-2"/>
                <w:sz w:val="18"/>
              </w:rPr>
              <w:t xml:space="preserve"> </w:t>
            </w:r>
            <w:r>
              <w:rPr>
                <w:rFonts w:ascii="Calibri"/>
                <w:sz w:val="18"/>
              </w:rPr>
              <w:t>this</w:t>
            </w:r>
            <w:r>
              <w:rPr>
                <w:rFonts w:ascii="Calibri"/>
                <w:spacing w:val="-3"/>
                <w:sz w:val="18"/>
              </w:rPr>
              <w:t xml:space="preserve"> </w:t>
            </w:r>
            <w:r>
              <w:rPr>
                <w:rFonts w:ascii="Calibri"/>
                <w:spacing w:val="-1"/>
                <w:sz w:val="18"/>
              </w:rPr>
              <w:t>program into the</w:t>
            </w:r>
            <w:r>
              <w:rPr>
                <w:rFonts w:ascii="Calibri"/>
                <w:spacing w:val="-2"/>
                <w:sz w:val="18"/>
              </w:rPr>
              <w:t xml:space="preserve"> </w:t>
            </w:r>
            <w:r>
              <w:rPr>
                <w:rFonts w:ascii="Calibri"/>
                <w:spacing w:val="-1"/>
                <w:sz w:val="18"/>
              </w:rPr>
              <w:t>C/I</w:t>
            </w:r>
            <w:r>
              <w:rPr>
                <w:rFonts w:ascii="Calibri"/>
                <w:spacing w:val="45"/>
                <w:w w:val="99"/>
                <w:sz w:val="18"/>
              </w:rPr>
              <w:t xml:space="preserve"> </w:t>
            </w:r>
            <w:r>
              <w:rPr>
                <w:rFonts w:ascii="Calibri"/>
                <w:spacing w:val="-1"/>
                <w:sz w:val="18"/>
              </w:rPr>
              <w:t>Energy</w:t>
            </w:r>
            <w:r>
              <w:rPr>
                <w:rFonts w:ascii="Calibri"/>
                <w:spacing w:val="-3"/>
                <w:sz w:val="18"/>
              </w:rPr>
              <w:t xml:space="preserve"> </w:t>
            </w:r>
            <w:r>
              <w:rPr>
                <w:rFonts w:ascii="Calibri"/>
                <w:spacing w:val="-1"/>
                <w:sz w:val="18"/>
              </w:rPr>
              <w:t>Efficient</w:t>
            </w:r>
            <w:r>
              <w:rPr>
                <w:rFonts w:ascii="Calibri"/>
                <w:spacing w:val="-3"/>
                <w:sz w:val="18"/>
              </w:rPr>
              <w:t xml:space="preserve"> </w:t>
            </w:r>
            <w:r>
              <w:rPr>
                <w:rFonts w:ascii="Calibri"/>
                <w:spacing w:val="-1"/>
                <w:sz w:val="18"/>
              </w:rPr>
              <w:t>Equipment</w:t>
            </w:r>
            <w:r>
              <w:rPr>
                <w:rFonts w:ascii="Calibri"/>
                <w:spacing w:val="-3"/>
                <w:sz w:val="18"/>
              </w:rPr>
              <w:t xml:space="preserve"> </w:t>
            </w:r>
            <w:r>
              <w:rPr>
                <w:rFonts w:ascii="Calibri"/>
                <w:sz w:val="18"/>
              </w:rPr>
              <w:t>Program</w:t>
            </w:r>
            <w:r>
              <w:rPr>
                <w:rFonts w:ascii="Calibri"/>
                <w:spacing w:val="-2"/>
                <w:sz w:val="18"/>
              </w:rPr>
              <w:t xml:space="preserve"> </w:t>
            </w:r>
            <w:r>
              <w:rPr>
                <w:rFonts w:ascii="Calibri"/>
                <w:sz w:val="18"/>
              </w:rPr>
              <w:t>-</w:t>
            </w:r>
            <w:r>
              <w:rPr>
                <w:rFonts w:ascii="Calibri"/>
                <w:spacing w:val="-2"/>
                <w:sz w:val="18"/>
              </w:rPr>
              <w:t xml:space="preserve"> </w:t>
            </w:r>
            <w:r>
              <w:rPr>
                <w:rFonts w:ascii="Calibri"/>
                <w:spacing w:val="-1"/>
                <w:sz w:val="18"/>
              </w:rPr>
              <w:t>Small</w:t>
            </w:r>
            <w:r>
              <w:rPr>
                <w:rFonts w:ascii="Calibri"/>
                <w:spacing w:val="-3"/>
                <w:sz w:val="18"/>
              </w:rPr>
              <w:t xml:space="preserve"> </w:t>
            </w:r>
            <w:r>
              <w:rPr>
                <w:rFonts w:ascii="Calibri"/>
                <w:spacing w:val="-1"/>
                <w:sz w:val="18"/>
              </w:rPr>
              <w:t>to reduce</w:t>
            </w:r>
            <w:r>
              <w:rPr>
                <w:rFonts w:ascii="Calibri"/>
                <w:spacing w:val="41"/>
                <w:w w:val="99"/>
                <w:sz w:val="18"/>
              </w:rPr>
              <w:t xml:space="preserve"> </w:t>
            </w:r>
            <w:r>
              <w:rPr>
                <w:rFonts w:ascii="Calibri"/>
                <w:spacing w:val="-1"/>
                <w:sz w:val="18"/>
              </w:rPr>
              <w:t>administrative</w:t>
            </w:r>
            <w:r>
              <w:rPr>
                <w:rFonts w:ascii="Calibri"/>
                <w:spacing w:val="-3"/>
                <w:sz w:val="18"/>
              </w:rPr>
              <w:t xml:space="preserve"> </w:t>
            </w:r>
            <w:r>
              <w:rPr>
                <w:rFonts w:ascii="Calibri"/>
                <w:spacing w:val="-1"/>
                <w:sz w:val="18"/>
              </w:rPr>
              <w:t>costs</w:t>
            </w:r>
            <w:r>
              <w:rPr>
                <w:rFonts w:ascii="Calibri"/>
                <w:spacing w:val="-3"/>
                <w:sz w:val="18"/>
              </w:rPr>
              <w:t xml:space="preserve"> </w:t>
            </w:r>
            <w:r>
              <w:rPr>
                <w:rFonts w:ascii="Calibri"/>
                <w:sz w:val="18"/>
              </w:rPr>
              <w:t>and</w:t>
            </w:r>
            <w:r>
              <w:rPr>
                <w:rFonts w:ascii="Calibri"/>
                <w:spacing w:val="-3"/>
                <w:sz w:val="18"/>
              </w:rPr>
              <w:t xml:space="preserve"> </w:t>
            </w:r>
            <w:r>
              <w:rPr>
                <w:rFonts w:ascii="Calibri"/>
                <w:spacing w:val="-1"/>
                <w:sz w:val="18"/>
              </w:rPr>
              <w:t xml:space="preserve">to </w:t>
            </w:r>
            <w:r>
              <w:rPr>
                <w:rFonts w:ascii="Calibri"/>
                <w:sz w:val="18"/>
              </w:rPr>
              <w:t>ensure</w:t>
            </w:r>
            <w:r>
              <w:rPr>
                <w:rFonts w:ascii="Calibri"/>
                <w:spacing w:val="-3"/>
                <w:sz w:val="18"/>
              </w:rPr>
              <w:t xml:space="preserve"> </w:t>
            </w:r>
            <w:r>
              <w:rPr>
                <w:rFonts w:ascii="Calibri"/>
                <w:spacing w:val="-1"/>
                <w:sz w:val="18"/>
              </w:rPr>
              <w:t>adequate</w:t>
            </w:r>
            <w:r>
              <w:rPr>
                <w:rFonts w:ascii="Calibri"/>
                <w:spacing w:val="-3"/>
                <w:sz w:val="18"/>
              </w:rPr>
              <w:t xml:space="preserve"> </w:t>
            </w:r>
            <w:r>
              <w:rPr>
                <w:rFonts w:ascii="Calibri"/>
                <w:spacing w:val="-1"/>
                <w:sz w:val="18"/>
              </w:rPr>
              <w:t>budget</w:t>
            </w:r>
            <w:r>
              <w:rPr>
                <w:rFonts w:ascii="Calibri"/>
                <w:spacing w:val="-3"/>
                <w:sz w:val="18"/>
              </w:rPr>
              <w:t xml:space="preserve"> </w:t>
            </w:r>
            <w:r>
              <w:rPr>
                <w:rFonts w:ascii="Calibri"/>
                <w:sz w:val="18"/>
              </w:rPr>
              <w:t>is</w:t>
            </w:r>
            <w:r>
              <w:rPr>
                <w:rFonts w:ascii="Calibri"/>
                <w:spacing w:val="49"/>
                <w:sz w:val="18"/>
              </w:rPr>
              <w:t xml:space="preserve"> </w:t>
            </w:r>
            <w:r>
              <w:rPr>
                <w:rFonts w:ascii="Calibri"/>
                <w:spacing w:val="-1"/>
                <w:sz w:val="18"/>
              </w:rPr>
              <w:t>available</w:t>
            </w:r>
            <w:r>
              <w:rPr>
                <w:rFonts w:ascii="Calibri"/>
                <w:spacing w:val="-4"/>
                <w:sz w:val="18"/>
              </w:rPr>
              <w:t xml:space="preserve"> </w:t>
            </w:r>
            <w:r>
              <w:rPr>
                <w:rFonts w:ascii="Calibri"/>
                <w:sz w:val="18"/>
              </w:rPr>
              <w:t>in</w:t>
            </w:r>
            <w:r>
              <w:rPr>
                <w:rFonts w:ascii="Calibri"/>
                <w:spacing w:val="-3"/>
                <w:sz w:val="18"/>
              </w:rPr>
              <w:t xml:space="preserve"> </w:t>
            </w:r>
            <w:r>
              <w:rPr>
                <w:rFonts w:ascii="Calibri"/>
                <w:spacing w:val="-1"/>
                <w:sz w:val="18"/>
              </w:rPr>
              <w:t>case</w:t>
            </w:r>
            <w:r>
              <w:rPr>
                <w:rFonts w:ascii="Calibri"/>
                <w:spacing w:val="-4"/>
                <w:sz w:val="18"/>
              </w:rPr>
              <w:t xml:space="preserve"> </w:t>
            </w:r>
            <w:r>
              <w:rPr>
                <w:rFonts w:ascii="Calibri"/>
                <w:spacing w:val="-1"/>
                <w:sz w:val="18"/>
              </w:rPr>
              <w:t>participation</w:t>
            </w:r>
            <w:r>
              <w:rPr>
                <w:rFonts w:ascii="Calibri"/>
                <w:spacing w:val="-3"/>
                <w:sz w:val="18"/>
              </w:rPr>
              <w:t xml:space="preserve"> </w:t>
            </w:r>
            <w:r>
              <w:rPr>
                <w:rFonts w:ascii="Calibri"/>
                <w:sz w:val="18"/>
              </w:rPr>
              <w:t>levels</w:t>
            </w:r>
            <w:r>
              <w:rPr>
                <w:rFonts w:ascii="Calibri"/>
                <w:spacing w:val="-4"/>
                <w:sz w:val="18"/>
              </w:rPr>
              <w:t xml:space="preserve"> </w:t>
            </w:r>
            <w:r>
              <w:rPr>
                <w:rFonts w:ascii="Calibri"/>
                <w:spacing w:val="-1"/>
                <w:sz w:val="18"/>
              </w:rPr>
              <w:t>increase significantly.</w:t>
            </w:r>
          </w:p>
        </w:tc>
        <w:tc>
          <w:tcPr>
            <w:tcW w:w="477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442"/>
        </w:trPr>
        <w:tc>
          <w:tcPr>
            <w:tcW w:w="468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Review</w:t>
            </w:r>
            <w:r>
              <w:rPr>
                <w:rFonts w:ascii="Calibri"/>
                <w:spacing w:val="-4"/>
                <w:sz w:val="18"/>
              </w:rPr>
              <w:t xml:space="preserve"> </w:t>
            </w:r>
            <w:r>
              <w:rPr>
                <w:rFonts w:ascii="Calibri"/>
                <w:spacing w:val="-1"/>
                <w:sz w:val="18"/>
              </w:rPr>
              <w:t>and</w:t>
            </w:r>
            <w:r>
              <w:rPr>
                <w:rFonts w:ascii="Calibri"/>
                <w:spacing w:val="-5"/>
                <w:sz w:val="18"/>
              </w:rPr>
              <w:t xml:space="preserve"> </w:t>
            </w:r>
            <w:r>
              <w:rPr>
                <w:rFonts w:ascii="Calibri"/>
                <w:spacing w:val="-1"/>
                <w:sz w:val="18"/>
              </w:rPr>
              <w:t>improve</w:t>
            </w:r>
            <w:r>
              <w:rPr>
                <w:rFonts w:ascii="Calibri"/>
                <w:spacing w:val="-5"/>
                <w:sz w:val="18"/>
              </w:rPr>
              <w:t xml:space="preserve"> </w:t>
            </w:r>
            <w:r>
              <w:rPr>
                <w:rFonts w:ascii="Calibri"/>
                <w:spacing w:val="-1"/>
                <w:sz w:val="18"/>
              </w:rPr>
              <w:t>contractor</w:t>
            </w:r>
            <w:r>
              <w:rPr>
                <w:rFonts w:ascii="Calibri"/>
                <w:spacing w:val="-4"/>
                <w:sz w:val="18"/>
              </w:rPr>
              <w:t xml:space="preserve"> </w:t>
            </w:r>
            <w:r>
              <w:rPr>
                <w:rFonts w:ascii="Calibri"/>
                <w:spacing w:val="-1"/>
                <w:sz w:val="18"/>
              </w:rPr>
              <w:t>tracking</w:t>
            </w:r>
            <w:r>
              <w:rPr>
                <w:rFonts w:ascii="Calibri"/>
                <w:spacing w:val="-5"/>
                <w:sz w:val="18"/>
              </w:rPr>
              <w:t xml:space="preserve"> </w:t>
            </w:r>
            <w:r>
              <w:rPr>
                <w:rFonts w:ascii="Calibri"/>
                <w:spacing w:val="-1"/>
                <w:sz w:val="18"/>
              </w:rPr>
              <w:t>procedures.</w:t>
            </w:r>
          </w:p>
        </w:tc>
        <w:tc>
          <w:tcPr>
            <w:tcW w:w="477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5"/>
                <w:sz w:val="18"/>
              </w:rPr>
              <w:t xml:space="preserve"> </w:t>
            </w:r>
            <w:r>
              <w:rPr>
                <w:rFonts w:ascii="Calibri"/>
                <w:sz w:val="18"/>
              </w:rPr>
              <w:t>for</w:t>
            </w:r>
            <w:r>
              <w:rPr>
                <w:rFonts w:ascii="Calibri"/>
                <w:spacing w:val="-5"/>
                <w:sz w:val="18"/>
              </w:rPr>
              <w:t xml:space="preserve"> </w:t>
            </w:r>
            <w:r>
              <w:rPr>
                <w:rFonts w:ascii="Calibri"/>
                <w:spacing w:val="-1"/>
                <w:sz w:val="18"/>
              </w:rPr>
              <w:t>Phase</w:t>
            </w:r>
            <w:r>
              <w:rPr>
                <w:rFonts w:ascii="Calibri"/>
                <w:spacing w:val="-5"/>
                <w:sz w:val="18"/>
              </w:rPr>
              <w:t xml:space="preserve"> </w:t>
            </w:r>
            <w:r>
              <w:rPr>
                <w:rFonts w:ascii="Calibri"/>
                <w:sz w:val="18"/>
              </w:rPr>
              <w:t>III</w:t>
            </w:r>
          </w:p>
        </w:tc>
      </w:tr>
      <w:tr w:rsidR="00E646C9" w:rsidTr="0011636D">
        <w:trPr>
          <w:trHeight w:hRule="exact" w:val="442"/>
        </w:trPr>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Review</w:t>
            </w:r>
            <w:r>
              <w:rPr>
                <w:rFonts w:ascii="Calibri"/>
                <w:spacing w:val="-2"/>
                <w:sz w:val="18"/>
              </w:rPr>
              <w:t xml:space="preserve"> </w:t>
            </w:r>
            <w:r>
              <w:rPr>
                <w:rFonts w:ascii="Calibri"/>
                <w:spacing w:val="-1"/>
                <w:sz w:val="18"/>
              </w:rPr>
              <w:t>the</w:t>
            </w:r>
            <w:r>
              <w:rPr>
                <w:rFonts w:ascii="Calibri"/>
                <w:spacing w:val="-4"/>
                <w:sz w:val="18"/>
              </w:rPr>
              <w:t xml:space="preserve"> </w:t>
            </w:r>
            <w:r>
              <w:rPr>
                <w:rFonts w:ascii="Calibri"/>
                <w:spacing w:val="-1"/>
                <w:sz w:val="18"/>
              </w:rPr>
              <w:t>application</w:t>
            </w:r>
            <w:r>
              <w:rPr>
                <w:rFonts w:ascii="Calibri"/>
                <w:spacing w:val="-3"/>
                <w:sz w:val="18"/>
              </w:rPr>
              <w:t xml:space="preserve"> </w:t>
            </w:r>
            <w:r>
              <w:rPr>
                <w:rFonts w:ascii="Calibri"/>
                <w:spacing w:val="-1"/>
                <w:sz w:val="18"/>
              </w:rPr>
              <w:t>process</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possible</w:t>
            </w:r>
            <w:r>
              <w:rPr>
                <w:rFonts w:ascii="Calibri"/>
                <w:spacing w:val="-3"/>
                <w:sz w:val="18"/>
              </w:rPr>
              <w:t xml:space="preserve"> </w:t>
            </w:r>
            <w:r>
              <w:rPr>
                <w:rFonts w:ascii="Calibri"/>
                <w:spacing w:val="-1"/>
                <w:sz w:val="18"/>
              </w:rPr>
              <w:t>efficiencies.</w:t>
            </w:r>
          </w:p>
        </w:tc>
        <w:tc>
          <w:tcPr>
            <w:tcW w:w="477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9"/>
        </w:trPr>
        <w:tc>
          <w:tcPr>
            <w:tcW w:w="4680" w:type="dxa"/>
          </w:tcPr>
          <w:p w:rsidR="00E646C9" w:rsidRDefault="00E646C9" w:rsidP="00C94D5A">
            <w:pPr>
              <w:pStyle w:val="TableParagraph"/>
              <w:ind w:left="102" w:right="311"/>
              <w:rPr>
                <w:rFonts w:ascii="Calibri" w:eastAsia="Calibri" w:hAnsi="Calibri" w:cs="Calibri"/>
                <w:sz w:val="18"/>
                <w:szCs w:val="18"/>
              </w:rPr>
            </w:pPr>
            <w:r>
              <w:rPr>
                <w:rFonts w:ascii="Calibri"/>
                <w:spacing w:val="-1"/>
                <w:sz w:val="18"/>
              </w:rPr>
              <w:t>Continue support</w:t>
            </w:r>
            <w:r>
              <w:rPr>
                <w:rFonts w:ascii="Calibri"/>
                <w:spacing w:val="-3"/>
                <w:sz w:val="18"/>
              </w:rPr>
              <w:t xml:space="preserve"> </w:t>
            </w:r>
            <w:r>
              <w:rPr>
                <w:rFonts w:ascii="Calibri"/>
                <w:spacing w:val="-1"/>
                <w:sz w:val="18"/>
              </w:rPr>
              <w:t>to</w:t>
            </w:r>
            <w:r>
              <w:rPr>
                <w:rFonts w:ascii="Calibri"/>
                <w:sz w:val="18"/>
              </w:rPr>
              <w:t xml:space="preserve"> </w:t>
            </w:r>
            <w:r>
              <w:rPr>
                <w:rFonts w:ascii="Calibri"/>
                <w:spacing w:val="-1"/>
                <w:sz w:val="18"/>
              </w:rPr>
              <w:t>contractors,</w:t>
            </w:r>
            <w:r>
              <w:rPr>
                <w:rFonts w:ascii="Calibri"/>
                <w:spacing w:val="-2"/>
                <w:sz w:val="18"/>
              </w:rPr>
              <w:t xml:space="preserve"> </w:t>
            </w:r>
            <w:r>
              <w:rPr>
                <w:rFonts w:ascii="Calibri"/>
                <w:spacing w:val="-1"/>
                <w:sz w:val="18"/>
              </w:rPr>
              <w:t>including</w:t>
            </w:r>
            <w:r>
              <w:rPr>
                <w:rFonts w:ascii="Calibri"/>
                <w:spacing w:val="-2"/>
                <w:sz w:val="18"/>
              </w:rPr>
              <w:t xml:space="preserve"> </w:t>
            </w:r>
            <w:r>
              <w:rPr>
                <w:rFonts w:ascii="Calibri"/>
                <w:spacing w:val="-1"/>
                <w:sz w:val="18"/>
              </w:rPr>
              <w:t>consistent</w:t>
            </w:r>
            <w:r>
              <w:rPr>
                <w:rFonts w:ascii="Calibri"/>
                <w:spacing w:val="-3"/>
                <w:sz w:val="18"/>
              </w:rPr>
              <w:t xml:space="preserve"> </w:t>
            </w:r>
            <w:r>
              <w:rPr>
                <w:rFonts w:ascii="Calibri"/>
                <w:spacing w:val="-1"/>
                <w:sz w:val="18"/>
              </w:rPr>
              <w:t>ICSP</w:t>
            </w:r>
            <w:r>
              <w:rPr>
                <w:rFonts w:ascii="Calibri"/>
                <w:spacing w:val="61"/>
                <w:w w:val="99"/>
                <w:sz w:val="18"/>
              </w:rPr>
              <w:t xml:space="preserve"> </w:t>
            </w:r>
            <w:r>
              <w:rPr>
                <w:rFonts w:ascii="Calibri"/>
                <w:spacing w:val="-1"/>
                <w:sz w:val="18"/>
              </w:rPr>
              <w:t>contact</w:t>
            </w:r>
            <w:r>
              <w:rPr>
                <w:rFonts w:ascii="Calibri"/>
                <w:spacing w:val="-6"/>
                <w:sz w:val="18"/>
              </w:rPr>
              <w:t xml:space="preserve"> </w:t>
            </w:r>
            <w:r>
              <w:rPr>
                <w:rFonts w:ascii="Calibri"/>
                <w:spacing w:val="-1"/>
                <w:sz w:val="18"/>
              </w:rPr>
              <w:t>and</w:t>
            </w:r>
            <w:r>
              <w:rPr>
                <w:rFonts w:ascii="Calibri"/>
                <w:spacing w:val="-6"/>
                <w:sz w:val="18"/>
              </w:rPr>
              <w:t xml:space="preserve"> </w:t>
            </w:r>
            <w:r>
              <w:rPr>
                <w:rFonts w:ascii="Calibri"/>
                <w:spacing w:val="-1"/>
                <w:sz w:val="18"/>
              </w:rPr>
              <w:t>marketing</w:t>
            </w:r>
            <w:r>
              <w:rPr>
                <w:rFonts w:ascii="Calibri"/>
                <w:spacing w:val="-6"/>
                <w:sz w:val="18"/>
              </w:rPr>
              <w:t xml:space="preserve"> </w:t>
            </w:r>
            <w:r>
              <w:rPr>
                <w:rFonts w:ascii="Calibri"/>
                <w:spacing w:val="-1"/>
                <w:sz w:val="18"/>
              </w:rPr>
              <w:t>materials.</w:t>
            </w:r>
          </w:p>
        </w:tc>
        <w:tc>
          <w:tcPr>
            <w:tcW w:w="477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51"/>
        </w:trPr>
        <w:tc>
          <w:tcPr>
            <w:tcW w:w="4680" w:type="dxa"/>
            <w:shd w:val="clear" w:color="auto" w:fill="D2EAF1"/>
          </w:tcPr>
          <w:p w:rsidR="00E646C9" w:rsidRDefault="00E646C9" w:rsidP="00C94D5A">
            <w:pPr>
              <w:pStyle w:val="TableParagraph"/>
              <w:ind w:left="102" w:right="734"/>
              <w:rPr>
                <w:rFonts w:ascii="Calibri" w:eastAsia="Calibri" w:hAnsi="Calibri" w:cs="Calibri"/>
                <w:sz w:val="18"/>
                <w:szCs w:val="18"/>
              </w:rPr>
            </w:pPr>
            <w:r>
              <w:rPr>
                <w:rFonts w:ascii="Calibri"/>
                <w:spacing w:val="-1"/>
                <w:sz w:val="18"/>
              </w:rPr>
              <w:t>Continue to</w:t>
            </w:r>
            <w:r>
              <w:rPr>
                <w:rFonts w:ascii="Calibri"/>
                <w:sz w:val="18"/>
              </w:rPr>
              <w:t xml:space="preserve"> </w:t>
            </w:r>
            <w:r>
              <w:rPr>
                <w:rFonts w:ascii="Calibri"/>
                <w:spacing w:val="-1"/>
                <w:sz w:val="18"/>
              </w:rPr>
              <w:t>market</w:t>
            </w:r>
            <w:r>
              <w:rPr>
                <w:rFonts w:ascii="Calibri"/>
                <w:spacing w:val="-2"/>
                <w:sz w:val="18"/>
              </w:rPr>
              <w:t xml:space="preserve"> </w:t>
            </w:r>
            <w:r>
              <w:rPr>
                <w:rFonts w:ascii="Calibri"/>
                <w:spacing w:val="-1"/>
                <w:sz w:val="18"/>
              </w:rPr>
              <w:t>to</w:t>
            </w:r>
            <w:r>
              <w:rPr>
                <w:rFonts w:ascii="Calibri"/>
                <w:sz w:val="18"/>
              </w:rPr>
              <w:t xml:space="preserve"> </w:t>
            </w:r>
            <w:r>
              <w:rPr>
                <w:rFonts w:ascii="Calibri"/>
                <w:spacing w:val="-1"/>
                <w:sz w:val="18"/>
              </w:rPr>
              <w:t>past</w:t>
            </w:r>
            <w:r>
              <w:rPr>
                <w:rFonts w:ascii="Calibri"/>
                <w:spacing w:val="-2"/>
                <w:sz w:val="18"/>
              </w:rPr>
              <w:t xml:space="preserve"> </w:t>
            </w:r>
            <w:r>
              <w:rPr>
                <w:rFonts w:ascii="Calibri"/>
                <w:spacing w:val="-1"/>
                <w:sz w:val="18"/>
              </w:rPr>
              <w:t>participants</w:t>
            </w:r>
            <w:r>
              <w:rPr>
                <w:rFonts w:ascii="Calibri"/>
                <w:spacing w:val="-2"/>
                <w:sz w:val="18"/>
              </w:rPr>
              <w:t xml:space="preserve"> </w:t>
            </w:r>
            <w:r>
              <w:rPr>
                <w:rFonts w:ascii="Calibri"/>
                <w:spacing w:val="1"/>
                <w:sz w:val="18"/>
              </w:rPr>
              <w:t>as</w:t>
            </w:r>
            <w:r>
              <w:rPr>
                <w:rFonts w:ascii="Calibri"/>
                <w:spacing w:val="-2"/>
                <w:sz w:val="18"/>
              </w:rPr>
              <w:t xml:space="preserve"> </w:t>
            </w:r>
            <w:r>
              <w:rPr>
                <w:rFonts w:ascii="Calibri"/>
                <w:spacing w:val="-1"/>
                <w:sz w:val="18"/>
              </w:rPr>
              <w:t>well</w:t>
            </w:r>
            <w:r>
              <w:rPr>
                <w:rFonts w:ascii="Calibri"/>
                <w:spacing w:val="-2"/>
                <w:sz w:val="18"/>
              </w:rPr>
              <w:t xml:space="preserve"> </w:t>
            </w:r>
            <w:r>
              <w:rPr>
                <w:rFonts w:ascii="Calibri"/>
                <w:sz w:val="18"/>
              </w:rPr>
              <w:t>as</w:t>
            </w:r>
            <w:r>
              <w:rPr>
                <w:rFonts w:ascii="Calibri"/>
                <w:spacing w:val="39"/>
                <w:sz w:val="18"/>
              </w:rPr>
              <w:t xml:space="preserve"> </w:t>
            </w:r>
            <w:r>
              <w:rPr>
                <w:rFonts w:ascii="Calibri"/>
                <w:spacing w:val="-1"/>
                <w:sz w:val="18"/>
              </w:rPr>
              <w:t>nonparticipants</w:t>
            </w:r>
            <w:r>
              <w:rPr>
                <w:rFonts w:ascii="Calibri"/>
                <w:spacing w:val="-3"/>
                <w:sz w:val="18"/>
              </w:rPr>
              <w:t xml:space="preserve"> </w:t>
            </w:r>
            <w:r>
              <w:rPr>
                <w:rFonts w:ascii="Calibri"/>
                <w:spacing w:val="-1"/>
                <w:sz w:val="18"/>
              </w:rPr>
              <w:t>if</w:t>
            </w:r>
            <w:r>
              <w:rPr>
                <w:rFonts w:ascii="Calibri"/>
                <w:spacing w:val="-2"/>
                <w:sz w:val="18"/>
              </w:rPr>
              <w:t xml:space="preserve"> </w:t>
            </w:r>
            <w:r>
              <w:rPr>
                <w:rFonts w:ascii="Calibri"/>
                <w:sz w:val="18"/>
              </w:rPr>
              <w:t>additional</w:t>
            </w:r>
            <w:r>
              <w:rPr>
                <w:rFonts w:ascii="Calibri"/>
                <w:spacing w:val="-2"/>
                <w:sz w:val="18"/>
              </w:rPr>
              <w:t xml:space="preserve"> </w:t>
            </w:r>
            <w:r>
              <w:rPr>
                <w:rFonts w:ascii="Calibri"/>
                <w:spacing w:val="-1"/>
                <w:sz w:val="18"/>
              </w:rPr>
              <w:t>participation</w:t>
            </w:r>
            <w:r>
              <w:rPr>
                <w:rFonts w:ascii="Calibri"/>
                <w:spacing w:val="-3"/>
                <w:sz w:val="18"/>
              </w:rPr>
              <w:t xml:space="preserve"> </w:t>
            </w:r>
            <w:r>
              <w:rPr>
                <w:rFonts w:ascii="Calibri"/>
                <w:spacing w:val="-1"/>
                <w:sz w:val="18"/>
              </w:rPr>
              <w:t>is</w:t>
            </w:r>
            <w:r>
              <w:rPr>
                <w:rFonts w:ascii="Calibri"/>
                <w:spacing w:val="-2"/>
                <w:sz w:val="18"/>
              </w:rPr>
              <w:t xml:space="preserve"> </w:t>
            </w:r>
            <w:r>
              <w:rPr>
                <w:rFonts w:ascii="Calibri"/>
                <w:spacing w:val="-1"/>
                <w:sz w:val="18"/>
              </w:rPr>
              <w:t>needed.</w:t>
            </w:r>
          </w:p>
        </w:tc>
        <w:tc>
          <w:tcPr>
            <w:tcW w:w="477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bl>
    <w:p w:rsidR="005A786B" w:rsidRPr="005A786B" w:rsidRDefault="005A786B" w:rsidP="005A786B"/>
    <w:p w:rsidR="00E646C9" w:rsidRDefault="00E646C9" w:rsidP="003B56E9">
      <w:pPr>
        <w:pStyle w:val="AppendixGHeading2"/>
      </w:pPr>
      <w:r>
        <w:t>Commercial and Industrial Energy Efficiency Equipment– Large Program</w:t>
      </w:r>
    </w:p>
    <w:tbl>
      <w:tblPr>
        <w:tblW w:w="945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770"/>
      </w:tblGrid>
      <w:tr w:rsidR="00E646C9" w:rsidTr="0011636D">
        <w:trPr>
          <w:trHeight w:hRule="exact" w:val="677"/>
          <w:tblHeader/>
        </w:trPr>
        <w:tc>
          <w:tcPr>
            <w:tcW w:w="4680" w:type="dxa"/>
            <w:shd w:val="clear" w:color="auto" w:fill="448A99"/>
          </w:tcPr>
          <w:p w:rsidR="00E646C9" w:rsidRDefault="00E646C9" w:rsidP="004D470A">
            <w:pPr>
              <w:pStyle w:val="TableParagraph"/>
              <w:spacing w:line="218" w:lineRule="exact"/>
              <w:ind w:left="39"/>
              <w:rPr>
                <w:rFonts w:ascii="Calibri" w:eastAsia="Calibri" w:hAnsi="Calibri" w:cs="Calibri"/>
                <w:sz w:val="18"/>
                <w:szCs w:val="18"/>
              </w:rPr>
            </w:pPr>
            <w:r>
              <w:rPr>
                <w:rFonts w:ascii="Calibri"/>
                <w:b/>
                <w:color w:val="FFFFFF"/>
                <w:spacing w:val="-1"/>
                <w:sz w:val="18"/>
              </w:rPr>
              <w:t>Recommendations</w:t>
            </w:r>
          </w:p>
        </w:tc>
        <w:tc>
          <w:tcPr>
            <w:tcW w:w="4770" w:type="dxa"/>
            <w:shd w:val="clear" w:color="auto" w:fill="448A99"/>
          </w:tcPr>
          <w:p w:rsidR="00E646C9" w:rsidRDefault="00E646C9" w:rsidP="00C94D5A">
            <w:pPr>
              <w:pStyle w:val="TableParagraph"/>
              <w:ind w:left="171" w:right="170" w:hanging="1"/>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1109"/>
        </w:trPr>
        <w:tc>
          <w:tcPr>
            <w:tcW w:w="4680" w:type="dxa"/>
            <w:shd w:val="clear" w:color="auto" w:fill="D2EAF1"/>
          </w:tcPr>
          <w:p w:rsidR="00E646C9" w:rsidRDefault="00E646C9" w:rsidP="00C94D5A">
            <w:pPr>
              <w:pStyle w:val="TableParagraph"/>
              <w:ind w:left="102" w:right="99"/>
              <w:jc w:val="both"/>
              <w:rPr>
                <w:rFonts w:ascii="Calibri" w:eastAsia="Calibri" w:hAnsi="Calibri" w:cs="Calibri"/>
                <w:sz w:val="18"/>
                <w:szCs w:val="18"/>
              </w:rPr>
            </w:pPr>
            <w:r>
              <w:rPr>
                <w:rFonts w:ascii="Calibri"/>
                <w:spacing w:val="-1"/>
                <w:sz w:val="18"/>
              </w:rPr>
              <w:t>Continue</w:t>
            </w:r>
            <w:r>
              <w:rPr>
                <w:rFonts w:ascii="Calibri"/>
                <w:spacing w:val="36"/>
                <w:sz w:val="18"/>
              </w:rPr>
              <w:t xml:space="preserve"> </w:t>
            </w:r>
            <w:r>
              <w:rPr>
                <w:rFonts w:ascii="Calibri"/>
                <w:spacing w:val="-1"/>
                <w:sz w:val="18"/>
              </w:rPr>
              <w:t>conducting</w:t>
            </w:r>
            <w:r>
              <w:rPr>
                <w:rFonts w:ascii="Calibri"/>
                <w:spacing w:val="36"/>
                <w:sz w:val="18"/>
              </w:rPr>
              <w:t xml:space="preserve"> </w:t>
            </w:r>
            <w:r>
              <w:rPr>
                <w:rFonts w:ascii="Calibri"/>
                <w:sz w:val="18"/>
              </w:rPr>
              <w:t>outreach</w:t>
            </w:r>
            <w:r>
              <w:rPr>
                <w:rFonts w:ascii="Calibri"/>
                <w:spacing w:val="36"/>
                <w:sz w:val="18"/>
              </w:rPr>
              <w:t xml:space="preserve"> </w:t>
            </w:r>
            <w:r>
              <w:rPr>
                <w:rFonts w:ascii="Calibri"/>
                <w:spacing w:val="-1"/>
                <w:sz w:val="18"/>
              </w:rPr>
              <w:t>with</w:t>
            </w:r>
            <w:r>
              <w:rPr>
                <w:rFonts w:ascii="Calibri"/>
                <w:spacing w:val="36"/>
                <w:sz w:val="18"/>
              </w:rPr>
              <w:t xml:space="preserve"> </w:t>
            </w:r>
            <w:r>
              <w:rPr>
                <w:rFonts w:ascii="Calibri"/>
                <w:spacing w:val="-1"/>
                <w:sz w:val="18"/>
              </w:rPr>
              <w:t>trade</w:t>
            </w:r>
            <w:r>
              <w:rPr>
                <w:rFonts w:ascii="Calibri"/>
                <w:spacing w:val="36"/>
                <w:sz w:val="18"/>
              </w:rPr>
              <w:t xml:space="preserve"> </w:t>
            </w:r>
            <w:r>
              <w:rPr>
                <w:rFonts w:ascii="Calibri"/>
                <w:spacing w:val="-1"/>
                <w:sz w:val="18"/>
              </w:rPr>
              <w:t>allies</w:t>
            </w:r>
            <w:r>
              <w:rPr>
                <w:rFonts w:ascii="Calibri"/>
                <w:spacing w:val="36"/>
                <w:sz w:val="18"/>
              </w:rPr>
              <w:t xml:space="preserve"> </w:t>
            </w:r>
            <w:r>
              <w:rPr>
                <w:rFonts w:ascii="Calibri"/>
                <w:spacing w:val="-1"/>
                <w:sz w:val="18"/>
              </w:rPr>
              <w:t>and</w:t>
            </w:r>
            <w:r>
              <w:rPr>
                <w:rFonts w:ascii="Calibri"/>
                <w:spacing w:val="44"/>
                <w:sz w:val="18"/>
              </w:rPr>
              <w:t xml:space="preserve"> </w:t>
            </w:r>
            <w:r>
              <w:rPr>
                <w:rFonts w:ascii="Calibri"/>
                <w:spacing w:val="-1"/>
                <w:sz w:val="18"/>
              </w:rPr>
              <w:t>contractors</w:t>
            </w:r>
            <w:r>
              <w:rPr>
                <w:rFonts w:ascii="Calibri"/>
                <w:spacing w:val="6"/>
                <w:sz w:val="18"/>
              </w:rPr>
              <w:t xml:space="preserve"> </w:t>
            </w:r>
            <w:r>
              <w:rPr>
                <w:rFonts w:ascii="Calibri"/>
                <w:spacing w:val="-1"/>
                <w:sz w:val="18"/>
              </w:rPr>
              <w:t>to</w:t>
            </w:r>
            <w:r>
              <w:rPr>
                <w:rFonts w:ascii="Calibri"/>
                <w:spacing w:val="7"/>
                <w:sz w:val="18"/>
              </w:rPr>
              <w:t xml:space="preserve"> </w:t>
            </w:r>
            <w:r>
              <w:rPr>
                <w:rFonts w:ascii="Calibri"/>
                <w:spacing w:val="-1"/>
                <w:sz w:val="18"/>
              </w:rPr>
              <w:t>promote</w:t>
            </w:r>
            <w:r>
              <w:rPr>
                <w:rFonts w:ascii="Calibri"/>
                <w:spacing w:val="7"/>
                <w:sz w:val="18"/>
              </w:rPr>
              <w:t xml:space="preserve"> </w:t>
            </w:r>
            <w:r>
              <w:rPr>
                <w:rFonts w:ascii="Calibri"/>
                <w:spacing w:val="-1"/>
                <w:sz w:val="18"/>
              </w:rPr>
              <w:t>the</w:t>
            </w:r>
            <w:r>
              <w:rPr>
                <w:rFonts w:ascii="Calibri"/>
                <w:spacing w:val="6"/>
                <w:sz w:val="18"/>
              </w:rPr>
              <w:t xml:space="preserve"> </w:t>
            </w:r>
            <w:r>
              <w:rPr>
                <w:rFonts w:ascii="Calibri"/>
                <w:sz w:val="18"/>
              </w:rPr>
              <w:t>program</w:t>
            </w:r>
            <w:r>
              <w:rPr>
                <w:rFonts w:ascii="Calibri"/>
                <w:spacing w:val="7"/>
                <w:sz w:val="18"/>
              </w:rPr>
              <w:t xml:space="preserve"> </w:t>
            </w:r>
            <w:r>
              <w:rPr>
                <w:rFonts w:ascii="Calibri"/>
                <w:spacing w:val="-1"/>
                <w:sz w:val="18"/>
              </w:rPr>
              <w:t>when</w:t>
            </w:r>
            <w:r>
              <w:rPr>
                <w:rFonts w:ascii="Calibri"/>
                <w:spacing w:val="6"/>
                <w:sz w:val="18"/>
              </w:rPr>
              <w:t xml:space="preserve"> </w:t>
            </w:r>
            <w:r>
              <w:rPr>
                <w:rFonts w:ascii="Calibri"/>
                <w:spacing w:val="-1"/>
                <w:sz w:val="18"/>
              </w:rPr>
              <w:t>working</w:t>
            </w:r>
            <w:r>
              <w:rPr>
                <w:rFonts w:ascii="Calibri"/>
                <w:spacing w:val="6"/>
                <w:sz w:val="18"/>
              </w:rPr>
              <w:t xml:space="preserve"> </w:t>
            </w:r>
            <w:r>
              <w:rPr>
                <w:rFonts w:ascii="Calibri"/>
                <w:spacing w:val="-1"/>
                <w:sz w:val="18"/>
              </w:rPr>
              <w:t>with</w:t>
            </w:r>
            <w:r>
              <w:rPr>
                <w:rFonts w:ascii="Calibri"/>
                <w:spacing w:val="38"/>
                <w:sz w:val="18"/>
              </w:rPr>
              <w:t xml:space="preserve"> </w:t>
            </w:r>
            <w:r>
              <w:rPr>
                <w:rFonts w:ascii="Calibri"/>
                <w:spacing w:val="-1"/>
                <w:sz w:val="18"/>
              </w:rPr>
              <w:t>commercial</w:t>
            </w:r>
            <w:r>
              <w:rPr>
                <w:rFonts w:ascii="Calibri"/>
                <w:spacing w:val="27"/>
                <w:sz w:val="18"/>
              </w:rPr>
              <w:t xml:space="preserve"> </w:t>
            </w:r>
            <w:r>
              <w:rPr>
                <w:rFonts w:ascii="Calibri"/>
                <w:spacing w:val="-1"/>
                <w:sz w:val="18"/>
              </w:rPr>
              <w:t>customers,</w:t>
            </w:r>
            <w:r>
              <w:rPr>
                <w:rFonts w:ascii="Calibri"/>
                <w:spacing w:val="29"/>
                <w:sz w:val="18"/>
              </w:rPr>
              <w:t xml:space="preserve"> </w:t>
            </w:r>
            <w:r>
              <w:rPr>
                <w:rFonts w:ascii="Calibri"/>
                <w:sz w:val="18"/>
              </w:rPr>
              <w:t>and</w:t>
            </w:r>
            <w:r>
              <w:rPr>
                <w:rFonts w:ascii="Calibri"/>
                <w:spacing w:val="26"/>
                <w:sz w:val="18"/>
              </w:rPr>
              <w:t xml:space="preserve"> </w:t>
            </w:r>
            <w:r>
              <w:rPr>
                <w:rFonts w:ascii="Calibri"/>
                <w:spacing w:val="-1"/>
                <w:sz w:val="18"/>
              </w:rPr>
              <w:t>continue</w:t>
            </w:r>
            <w:r>
              <w:rPr>
                <w:rFonts w:ascii="Calibri"/>
                <w:spacing w:val="28"/>
                <w:sz w:val="18"/>
              </w:rPr>
              <w:t xml:space="preserve"> </w:t>
            </w:r>
            <w:r>
              <w:rPr>
                <w:rFonts w:ascii="Calibri"/>
                <w:spacing w:val="-1"/>
                <w:sz w:val="18"/>
              </w:rPr>
              <w:t>incorporating</w:t>
            </w:r>
            <w:r>
              <w:rPr>
                <w:rFonts w:ascii="Calibri"/>
                <w:spacing w:val="29"/>
                <w:sz w:val="18"/>
              </w:rPr>
              <w:t xml:space="preserve"> </w:t>
            </w:r>
            <w:r>
              <w:rPr>
                <w:rFonts w:ascii="Calibri"/>
                <w:spacing w:val="-1"/>
                <w:sz w:val="18"/>
              </w:rPr>
              <w:t>case</w:t>
            </w:r>
            <w:r>
              <w:rPr>
                <w:rFonts w:ascii="Calibri"/>
                <w:spacing w:val="63"/>
                <w:w w:val="99"/>
                <w:sz w:val="18"/>
              </w:rPr>
              <w:t xml:space="preserve"> </w:t>
            </w:r>
            <w:r>
              <w:rPr>
                <w:rFonts w:ascii="Calibri"/>
                <w:spacing w:val="-1"/>
                <w:sz w:val="18"/>
              </w:rPr>
              <w:t>studies</w:t>
            </w:r>
            <w:r>
              <w:rPr>
                <w:rFonts w:ascii="Calibri"/>
                <w:spacing w:val="-8"/>
                <w:sz w:val="18"/>
              </w:rPr>
              <w:t xml:space="preserve"> </w:t>
            </w:r>
            <w:r>
              <w:rPr>
                <w:rFonts w:ascii="Calibri"/>
                <w:sz w:val="18"/>
              </w:rPr>
              <w:t>and</w:t>
            </w:r>
            <w:r>
              <w:rPr>
                <w:rFonts w:ascii="Calibri"/>
                <w:spacing w:val="-8"/>
                <w:sz w:val="18"/>
              </w:rPr>
              <w:t xml:space="preserve"> </w:t>
            </w:r>
            <w:r>
              <w:rPr>
                <w:rFonts w:ascii="Calibri"/>
                <w:spacing w:val="-1"/>
                <w:sz w:val="18"/>
              </w:rPr>
              <w:t>testimonials</w:t>
            </w:r>
            <w:r>
              <w:rPr>
                <w:rFonts w:ascii="Calibri"/>
                <w:spacing w:val="-8"/>
                <w:sz w:val="18"/>
              </w:rPr>
              <w:t xml:space="preserve"> </w:t>
            </w:r>
            <w:r>
              <w:rPr>
                <w:rFonts w:ascii="Calibri"/>
                <w:spacing w:val="-1"/>
                <w:sz w:val="18"/>
              </w:rPr>
              <w:t>into</w:t>
            </w:r>
            <w:r>
              <w:rPr>
                <w:rFonts w:ascii="Calibri"/>
                <w:spacing w:val="-6"/>
                <w:sz w:val="18"/>
              </w:rPr>
              <w:t xml:space="preserve"> </w:t>
            </w:r>
            <w:r>
              <w:rPr>
                <w:rFonts w:ascii="Calibri"/>
                <w:spacing w:val="-1"/>
                <w:sz w:val="18"/>
              </w:rPr>
              <w:t>marketing</w:t>
            </w:r>
            <w:r>
              <w:rPr>
                <w:rFonts w:ascii="Calibri"/>
                <w:spacing w:val="-7"/>
                <w:sz w:val="18"/>
              </w:rPr>
              <w:t xml:space="preserve"> </w:t>
            </w:r>
            <w:r>
              <w:rPr>
                <w:rFonts w:ascii="Calibri"/>
                <w:spacing w:val="-1"/>
                <w:sz w:val="18"/>
              </w:rPr>
              <w:t>materials</w:t>
            </w:r>
            <w:r>
              <w:rPr>
                <w:rFonts w:ascii="Calibri"/>
                <w:spacing w:val="-8"/>
                <w:sz w:val="18"/>
              </w:rPr>
              <w:t xml:space="preserve"> </w:t>
            </w:r>
            <w:r>
              <w:rPr>
                <w:rFonts w:ascii="Calibri"/>
                <w:spacing w:val="-1"/>
                <w:sz w:val="18"/>
              </w:rPr>
              <w:t>provided</w:t>
            </w:r>
            <w:r>
              <w:rPr>
                <w:rFonts w:ascii="Calibri"/>
                <w:spacing w:val="-8"/>
                <w:sz w:val="18"/>
              </w:rPr>
              <w:t xml:space="preserve"> </w:t>
            </w:r>
            <w:r>
              <w:rPr>
                <w:rFonts w:ascii="Calibri"/>
                <w:spacing w:val="-1"/>
                <w:sz w:val="18"/>
              </w:rPr>
              <w:t>to</w:t>
            </w:r>
            <w:r>
              <w:rPr>
                <w:rFonts w:ascii="Calibri"/>
                <w:spacing w:val="63"/>
                <w:sz w:val="18"/>
              </w:rPr>
              <w:t xml:space="preserve"> </w:t>
            </w:r>
            <w:r>
              <w:rPr>
                <w:rFonts w:ascii="Calibri"/>
                <w:spacing w:val="-1"/>
                <w:sz w:val="18"/>
              </w:rPr>
              <w:t>customers</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trade</w:t>
            </w:r>
            <w:r>
              <w:rPr>
                <w:rFonts w:ascii="Calibri"/>
                <w:spacing w:val="-3"/>
                <w:sz w:val="18"/>
              </w:rPr>
              <w:t xml:space="preserve"> </w:t>
            </w:r>
            <w:r>
              <w:rPr>
                <w:rFonts w:ascii="Calibri"/>
                <w:spacing w:val="-1"/>
                <w:sz w:val="18"/>
              </w:rPr>
              <w:t>allies.</w:t>
            </w:r>
          </w:p>
        </w:tc>
        <w:tc>
          <w:tcPr>
            <w:tcW w:w="477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p>
        </w:tc>
      </w:tr>
      <w:tr w:rsidR="00E646C9" w:rsidTr="0011636D">
        <w:trPr>
          <w:trHeight w:hRule="exact" w:val="890"/>
        </w:trPr>
        <w:tc>
          <w:tcPr>
            <w:tcW w:w="4680" w:type="dxa"/>
          </w:tcPr>
          <w:p w:rsidR="00E646C9" w:rsidRDefault="00E646C9" w:rsidP="00C94D5A">
            <w:pPr>
              <w:pStyle w:val="TableParagraph"/>
              <w:ind w:left="102" w:right="99"/>
              <w:jc w:val="both"/>
              <w:rPr>
                <w:rFonts w:ascii="Calibri" w:eastAsia="Calibri" w:hAnsi="Calibri" w:cs="Calibri"/>
                <w:sz w:val="18"/>
                <w:szCs w:val="18"/>
              </w:rPr>
            </w:pPr>
            <w:r>
              <w:rPr>
                <w:rFonts w:ascii="Calibri"/>
                <w:spacing w:val="-1"/>
                <w:sz w:val="18"/>
              </w:rPr>
              <w:t>Seek</w:t>
            </w:r>
            <w:r>
              <w:rPr>
                <w:rFonts w:ascii="Calibri"/>
                <w:spacing w:val="27"/>
                <w:sz w:val="18"/>
              </w:rPr>
              <w:t xml:space="preserve"> </w:t>
            </w:r>
            <w:r>
              <w:rPr>
                <w:rFonts w:ascii="Calibri"/>
                <w:spacing w:val="-1"/>
                <w:sz w:val="18"/>
              </w:rPr>
              <w:t>opportunities</w:t>
            </w:r>
            <w:r>
              <w:rPr>
                <w:rFonts w:ascii="Calibri"/>
                <w:spacing w:val="28"/>
                <w:sz w:val="18"/>
              </w:rPr>
              <w:t xml:space="preserve"> </w:t>
            </w:r>
            <w:r>
              <w:rPr>
                <w:rFonts w:ascii="Calibri"/>
                <w:spacing w:val="-1"/>
                <w:sz w:val="18"/>
              </w:rPr>
              <w:t>to</w:t>
            </w:r>
            <w:r>
              <w:rPr>
                <w:rFonts w:ascii="Calibri"/>
                <w:spacing w:val="29"/>
                <w:sz w:val="18"/>
              </w:rPr>
              <w:t xml:space="preserve"> </w:t>
            </w:r>
            <w:r>
              <w:rPr>
                <w:rFonts w:ascii="Calibri"/>
                <w:spacing w:val="-1"/>
                <w:sz w:val="18"/>
              </w:rPr>
              <w:t>provide</w:t>
            </w:r>
            <w:r>
              <w:rPr>
                <w:rFonts w:ascii="Calibri"/>
                <w:spacing w:val="28"/>
                <w:sz w:val="18"/>
              </w:rPr>
              <w:t xml:space="preserve"> </w:t>
            </w:r>
            <w:r>
              <w:rPr>
                <w:rFonts w:ascii="Calibri"/>
                <w:spacing w:val="-1"/>
                <w:sz w:val="18"/>
              </w:rPr>
              <w:t>contractors</w:t>
            </w:r>
            <w:r>
              <w:rPr>
                <w:rFonts w:ascii="Calibri"/>
                <w:spacing w:val="27"/>
                <w:sz w:val="18"/>
              </w:rPr>
              <w:t xml:space="preserve"> </w:t>
            </w:r>
            <w:r>
              <w:rPr>
                <w:rFonts w:ascii="Calibri"/>
                <w:spacing w:val="-1"/>
                <w:sz w:val="18"/>
              </w:rPr>
              <w:t>and</w:t>
            </w:r>
            <w:r>
              <w:rPr>
                <w:rFonts w:ascii="Calibri"/>
                <w:spacing w:val="27"/>
                <w:sz w:val="18"/>
              </w:rPr>
              <w:t xml:space="preserve"> </w:t>
            </w:r>
            <w:r>
              <w:rPr>
                <w:rFonts w:ascii="Calibri"/>
                <w:spacing w:val="-1"/>
                <w:sz w:val="18"/>
              </w:rPr>
              <w:t>targeted</w:t>
            </w:r>
            <w:r>
              <w:rPr>
                <w:rFonts w:ascii="Calibri"/>
                <w:spacing w:val="55"/>
                <w:sz w:val="18"/>
              </w:rPr>
              <w:t xml:space="preserve"> </w:t>
            </w:r>
            <w:r>
              <w:rPr>
                <w:rFonts w:ascii="Calibri"/>
                <w:spacing w:val="-1"/>
                <w:sz w:val="18"/>
              </w:rPr>
              <w:t>customers</w:t>
            </w:r>
            <w:r>
              <w:rPr>
                <w:rFonts w:ascii="Calibri"/>
                <w:spacing w:val="-4"/>
                <w:sz w:val="18"/>
              </w:rPr>
              <w:t xml:space="preserve"> </w:t>
            </w:r>
            <w:r>
              <w:rPr>
                <w:rFonts w:ascii="Calibri"/>
                <w:sz w:val="18"/>
              </w:rPr>
              <w:t>with</w:t>
            </w:r>
            <w:r>
              <w:rPr>
                <w:rFonts w:ascii="Calibri"/>
                <w:spacing w:val="-3"/>
                <w:sz w:val="18"/>
              </w:rPr>
              <w:t xml:space="preserve"> </w:t>
            </w:r>
            <w:r>
              <w:rPr>
                <w:rFonts w:ascii="Calibri"/>
                <w:spacing w:val="-1"/>
                <w:sz w:val="18"/>
              </w:rPr>
              <w:t>additional</w:t>
            </w:r>
            <w:r>
              <w:rPr>
                <w:rFonts w:ascii="Calibri"/>
                <w:sz w:val="18"/>
              </w:rPr>
              <w:t xml:space="preserve"> </w:t>
            </w:r>
            <w:r>
              <w:rPr>
                <w:rFonts w:ascii="Calibri"/>
                <w:spacing w:val="-1"/>
                <w:sz w:val="18"/>
              </w:rPr>
              <w:t>literature</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marketing</w:t>
            </w:r>
            <w:r>
              <w:rPr>
                <w:rFonts w:ascii="Calibri"/>
                <w:spacing w:val="-3"/>
                <w:sz w:val="18"/>
              </w:rPr>
              <w:t xml:space="preserve"> </w:t>
            </w:r>
            <w:r>
              <w:rPr>
                <w:rFonts w:ascii="Calibri"/>
                <w:spacing w:val="-1"/>
                <w:sz w:val="18"/>
              </w:rPr>
              <w:t>materials</w:t>
            </w:r>
            <w:r>
              <w:rPr>
                <w:rFonts w:ascii="Calibri"/>
                <w:spacing w:val="70"/>
                <w:sz w:val="18"/>
              </w:rPr>
              <w:t xml:space="preserve"> </w:t>
            </w:r>
            <w:r>
              <w:rPr>
                <w:rFonts w:ascii="Calibri"/>
                <w:spacing w:val="-1"/>
                <w:sz w:val="18"/>
              </w:rPr>
              <w:t>they</w:t>
            </w:r>
            <w:r>
              <w:rPr>
                <w:rFonts w:ascii="Calibri"/>
                <w:spacing w:val="8"/>
                <w:sz w:val="18"/>
              </w:rPr>
              <w:t xml:space="preserve"> </w:t>
            </w:r>
            <w:r>
              <w:rPr>
                <w:rFonts w:ascii="Calibri"/>
                <w:sz w:val="18"/>
              </w:rPr>
              <w:t>can</w:t>
            </w:r>
            <w:r>
              <w:rPr>
                <w:rFonts w:ascii="Calibri"/>
                <w:spacing w:val="6"/>
                <w:sz w:val="18"/>
              </w:rPr>
              <w:t xml:space="preserve"> </w:t>
            </w:r>
            <w:r>
              <w:rPr>
                <w:rFonts w:ascii="Calibri"/>
                <w:spacing w:val="-1"/>
                <w:sz w:val="18"/>
              </w:rPr>
              <w:t>use</w:t>
            </w:r>
            <w:r>
              <w:rPr>
                <w:rFonts w:ascii="Calibri"/>
                <w:spacing w:val="8"/>
                <w:sz w:val="18"/>
              </w:rPr>
              <w:t xml:space="preserve"> </w:t>
            </w:r>
            <w:r>
              <w:rPr>
                <w:rFonts w:ascii="Calibri"/>
                <w:spacing w:val="-1"/>
                <w:sz w:val="18"/>
              </w:rPr>
              <w:t>to</w:t>
            </w:r>
            <w:r>
              <w:rPr>
                <w:rFonts w:ascii="Calibri"/>
                <w:spacing w:val="8"/>
                <w:sz w:val="18"/>
              </w:rPr>
              <w:t xml:space="preserve"> </w:t>
            </w:r>
            <w:r>
              <w:rPr>
                <w:rFonts w:ascii="Calibri"/>
                <w:spacing w:val="-1"/>
                <w:sz w:val="18"/>
              </w:rPr>
              <w:t>convey</w:t>
            </w:r>
            <w:r>
              <w:rPr>
                <w:rFonts w:ascii="Calibri"/>
                <w:spacing w:val="8"/>
                <w:sz w:val="18"/>
              </w:rPr>
              <w:t xml:space="preserve"> </w:t>
            </w:r>
            <w:r>
              <w:rPr>
                <w:rFonts w:ascii="Calibri"/>
                <w:spacing w:val="-1"/>
                <w:sz w:val="18"/>
              </w:rPr>
              <w:t>benefits</w:t>
            </w:r>
            <w:r>
              <w:rPr>
                <w:rFonts w:ascii="Calibri"/>
                <w:spacing w:val="8"/>
                <w:sz w:val="18"/>
              </w:rPr>
              <w:t xml:space="preserve"> </w:t>
            </w:r>
            <w:r>
              <w:rPr>
                <w:rFonts w:ascii="Calibri"/>
                <w:sz w:val="18"/>
              </w:rPr>
              <w:t>of</w:t>
            </w:r>
            <w:r>
              <w:rPr>
                <w:rFonts w:ascii="Calibri"/>
                <w:spacing w:val="8"/>
                <w:sz w:val="18"/>
              </w:rPr>
              <w:t xml:space="preserve"> </w:t>
            </w:r>
            <w:r>
              <w:rPr>
                <w:rFonts w:ascii="Calibri"/>
                <w:spacing w:val="-1"/>
                <w:sz w:val="18"/>
              </w:rPr>
              <w:t>the</w:t>
            </w:r>
            <w:r>
              <w:rPr>
                <w:rFonts w:ascii="Calibri"/>
                <w:spacing w:val="8"/>
                <w:sz w:val="18"/>
              </w:rPr>
              <w:t xml:space="preserve"> </w:t>
            </w:r>
            <w:r>
              <w:rPr>
                <w:rFonts w:ascii="Calibri"/>
                <w:spacing w:val="-1"/>
                <w:sz w:val="18"/>
              </w:rPr>
              <w:t>program</w:t>
            </w:r>
            <w:r>
              <w:rPr>
                <w:rFonts w:ascii="Calibri"/>
                <w:spacing w:val="8"/>
                <w:sz w:val="18"/>
              </w:rPr>
              <w:t xml:space="preserve"> </w:t>
            </w:r>
            <w:r>
              <w:rPr>
                <w:rFonts w:ascii="Calibri"/>
                <w:spacing w:val="-1"/>
                <w:sz w:val="18"/>
              </w:rPr>
              <w:t>to</w:t>
            </w:r>
            <w:r>
              <w:rPr>
                <w:rFonts w:ascii="Calibri"/>
                <w:spacing w:val="36"/>
                <w:sz w:val="18"/>
              </w:rPr>
              <w:t xml:space="preserve"> </w:t>
            </w:r>
            <w:r>
              <w:rPr>
                <w:rFonts w:ascii="Calibri"/>
                <w:spacing w:val="-1"/>
                <w:sz w:val="18"/>
              </w:rPr>
              <w:t>management</w:t>
            </w:r>
            <w:r>
              <w:rPr>
                <w:rFonts w:ascii="Calibri"/>
                <w:spacing w:val="-8"/>
                <w:sz w:val="18"/>
              </w:rPr>
              <w:t xml:space="preserve"> </w:t>
            </w:r>
            <w:r>
              <w:rPr>
                <w:rFonts w:ascii="Calibri"/>
                <w:spacing w:val="-1"/>
                <w:sz w:val="18"/>
              </w:rPr>
              <w:t>staff.</w:t>
            </w:r>
          </w:p>
        </w:tc>
        <w:tc>
          <w:tcPr>
            <w:tcW w:w="4770" w:type="dxa"/>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Being</w:t>
            </w:r>
            <w:r>
              <w:rPr>
                <w:rFonts w:ascii="Calibri"/>
                <w:spacing w:val="-3"/>
                <w:sz w:val="18"/>
              </w:rPr>
              <w:t xml:space="preserve"> </w:t>
            </w:r>
            <w:r>
              <w:rPr>
                <w:rFonts w:ascii="Calibri"/>
                <w:spacing w:val="-1"/>
                <w:sz w:val="18"/>
              </w:rPr>
              <w:t>Considered</w:t>
            </w:r>
            <w:r>
              <w:rPr>
                <w:rFonts w:ascii="Calibri"/>
                <w:spacing w:val="-4"/>
                <w:sz w:val="18"/>
              </w:rPr>
              <w:t xml:space="preserve"> </w:t>
            </w:r>
            <w:r>
              <w:rPr>
                <w:rFonts w:ascii="Calibri"/>
                <w:sz w:val="18"/>
              </w:rPr>
              <w:t>for</w:t>
            </w:r>
            <w:r>
              <w:rPr>
                <w:rFonts w:ascii="Calibri"/>
                <w:spacing w:val="-3"/>
                <w:sz w:val="18"/>
              </w:rPr>
              <w:t xml:space="preserve"> </w:t>
            </w:r>
            <w:r>
              <w:rPr>
                <w:rFonts w:ascii="Calibri"/>
                <w:spacing w:val="-1"/>
                <w:sz w:val="18"/>
              </w:rPr>
              <w:t>Phase</w:t>
            </w:r>
            <w:r>
              <w:rPr>
                <w:rFonts w:ascii="Calibri"/>
                <w:spacing w:val="-3"/>
                <w:sz w:val="18"/>
              </w:rPr>
              <w:t xml:space="preserve"> </w:t>
            </w:r>
            <w:r>
              <w:rPr>
                <w:rFonts w:ascii="Calibri"/>
                <w:sz w:val="18"/>
              </w:rPr>
              <w:t>III</w:t>
            </w:r>
            <w:r>
              <w:rPr>
                <w:rFonts w:ascii="Calibri"/>
                <w:spacing w:val="-2"/>
                <w:sz w:val="18"/>
              </w:rPr>
              <w:t xml:space="preserve"> </w:t>
            </w:r>
            <w:r>
              <w:rPr>
                <w:rFonts w:ascii="Calibri"/>
                <w:sz w:val="18"/>
              </w:rPr>
              <w:t>with</w:t>
            </w:r>
            <w:r>
              <w:rPr>
                <w:rFonts w:ascii="Calibri"/>
                <w:spacing w:val="-3"/>
                <w:sz w:val="18"/>
              </w:rPr>
              <w:t xml:space="preserve"> </w:t>
            </w:r>
            <w:r>
              <w:rPr>
                <w:rFonts w:ascii="Calibri"/>
                <w:spacing w:val="-1"/>
                <w:sz w:val="18"/>
              </w:rPr>
              <w:t>ICSP</w:t>
            </w:r>
          </w:p>
        </w:tc>
      </w:tr>
      <w:tr w:rsidR="00E646C9" w:rsidTr="0011636D">
        <w:trPr>
          <w:trHeight w:hRule="exact" w:val="667"/>
        </w:trPr>
        <w:tc>
          <w:tcPr>
            <w:tcW w:w="4680" w:type="dxa"/>
            <w:shd w:val="clear" w:color="auto" w:fill="D2EAF1"/>
          </w:tcPr>
          <w:p w:rsidR="00E646C9" w:rsidRDefault="00E646C9" w:rsidP="00C94D5A">
            <w:pPr>
              <w:pStyle w:val="TableParagraph"/>
              <w:ind w:left="102" w:right="101"/>
              <w:jc w:val="both"/>
              <w:rPr>
                <w:rFonts w:ascii="Calibri" w:eastAsia="Calibri" w:hAnsi="Calibri" w:cs="Calibri"/>
                <w:sz w:val="18"/>
                <w:szCs w:val="18"/>
              </w:rPr>
            </w:pPr>
            <w:r>
              <w:rPr>
                <w:rFonts w:ascii="Calibri"/>
                <w:spacing w:val="-1"/>
                <w:sz w:val="18"/>
              </w:rPr>
              <w:t>Continue</w:t>
            </w:r>
            <w:r>
              <w:rPr>
                <w:rFonts w:ascii="Calibri"/>
                <w:spacing w:val="25"/>
                <w:sz w:val="18"/>
              </w:rPr>
              <w:t xml:space="preserve"> </w:t>
            </w:r>
            <w:r>
              <w:rPr>
                <w:rFonts w:ascii="Calibri"/>
                <w:spacing w:val="-1"/>
                <w:sz w:val="18"/>
              </w:rPr>
              <w:t>working</w:t>
            </w:r>
            <w:r>
              <w:rPr>
                <w:rFonts w:ascii="Calibri"/>
                <w:spacing w:val="24"/>
                <w:sz w:val="18"/>
              </w:rPr>
              <w:t xml:space="preserve"> </w:t>
            </w:r>
            <w:r>
              <w:rPr>
                <w:rFonts w:ascii="Calibri"/>
                <w:spacing w:val="-1"/>
                <w:sz w:val="18"/>
              </w:rPr>
              <w:t>closely</w:t>
            </w:r>
            <w:r>
              <w:rPr>
                <w:rFonts w:ascii="Calibri"/>
                <w:spacing w:val="25"/>
                <w:sz w:val="18"/>
              </w:rPr>
              <w:t xml:space="preserve"> </w:t>
            </w:r>
            <w:r>
              <w:rPr>
                <w:rFonts w:ascii="Calibri"/>
                <w:sz w:val="18"/>
              </w:rPr>
              <w:t>with</w:t>
            </w:r>
            <w:r>
              <w:rPr>
                <w:rFonts w:ascii="Calibri"/>
                <w:spacing w:val="26"/>
                <w:sz w:val="18"/>
              </w:rPr>
              <w:t xml:space="preserve"> </w:t>
            </w:r>
            <w:r>
              <w:rPr>
                <w:rFonts w:ascii="Calibri"/>
                <w:spacing w:val="-1"/>
                <w:sz w:val="18"/>
              </w:rPr>
              <w:t>contractors</w:t>
            </w:r>
            <w:r>
              <w:rPr>
                <w:rFonts w:ascii="Calibri"/>
                <w:spacing w:val="24"/>
                <w:sz w:val="18"/>
              </w:rPr>
              <w:t xml:space="preserve"> </w:t>
            </w:r>
            <w:r>
              <w:rPr>
                <w:rFonts w:ascii="Calibri"/>
                <w:spacing w:val="-1"/>
                <w:sz w:val="18"/>
              </w:rPr>
              <w:t>and</w:t>
            </w:r>
            <w:r>
              <w:rPr>
                <w:rFonts w:ascii="Calibri"/>
                <w:spacing w:val="24"/>
                <w:sz w:val="18"/>
              </w:rPr>
              <w:t xml:space="preserve"> </w:t>
            </w:r>
            <w:r>
              <w:rPr>
                <w:rFonts w:ascii="Calibri"/>
                <w:spacing w:val="-1"/>
                <w:sz w:val="18"/>
              </w:rPr>
              <w:t>business</w:t>
            </w:r>
            <w:r>
              <w:rPr>
                <w:rFonts w:ascii="Calibri"/>
                <w:spacing w:val="55"/>
                <w:sz w:val="18"/>
              </w:rPr>
              <w:t xml:space="preserve"> </w:t>
            </w:r>
            <w:r>
              <w:rPr>
                <w:rFonts w:ascii="Calibri"/>
                <w:spacing w:val="-1"/>
                <w:sz w:val="18"/>
              </w:rPr>
              <w:t>owners</w:t>
            </w:r>
            <w:r>
              <w:rPr>
                <w:rFonts w:ascii="Calibri"/>
                <w:spacing w:val="30"/>
                <w:sz w:val="18"/>
              </w:rPr>
              <w:t xml:space="preserve"> </w:t>
            </w:r>
            <w:r>
              <w:rPr>
                <w:rFonts w:ascii="Calibri"/>
                <w:spacing w:val="-1"/>
                <w:sz w:val="18"/>
              </w:rPr>
              <w:t>to</w:t>
            </w:r>
            <w:r>
              <w:rPr>
                <w:rFonts w:ascii="Calibri"/>
                <w:spacing w:val="33"/>
                <w:sz w:val="18"/>
              </w:rPr>
              <w:t xml:space="preserve"> </w:t>
            </w:r>
            <w:r>
              <w:rPr>
                <w:rFonts w:ascii="Calibri"/>
                <w:spacing w:val="-1"/>
                <w:sz w:val="18"/>
              </w:rPr>
              <w:t>establish</w:t>
            </w:r>
            <w:r>
              <w:rPr>
                <w:rFonts w:ascii="Calibri"/>
                <w:spacing w:val="32"/>
                <w:sz w:val="18"/>
              </w:rPr>
              <w:t xml:space="preserve"> </w:t>
            </w:r>
            <w:r>
              <w:rPr>
                <w:rFonts w:ascii="Calibri"/>
                <w:spacing w:val="-1"/>
                <w:sz w:val="18"/>
              </w:rPr>
              <w:t>time</w:t>
            </w:r>
            <w:r>
              <w:rPr>
                <w:rFonts w:ascii="Calibri"/>
                <w:spacing w:val="33"/>
                <w:sz w:val="18"/>
              </w:rPr>
              <w:t xml:space="preserve"> </w:t>
            </w:r>
            <w:r>
              <w:rPr>
                <w:rFonts w:ascii="Calibri"/>
                <w:spacing w:val="-1"/>
                <w:sz w:val="18"/>
              </w:rPr>
              <w:t>periods</w:t>
            </w:r>
            <w:r>
              <w:rPr>
                <w:rFonts w:ascii="Calibri"/>
                <w:spacing w:val="31"/>
                <w:sz w:val="18"/>
              </w:rPr>
              <w:t xml:space="preserve"> </w:t>
            </w:r>
            <w:r>
              <w:rPr>
                <w:rFonts w:ascii="Calibri"/>
                <w:spacing w:val="-1"/>
                <w:sz w:val="18"/>
              </w:rPr>
              <w:t>during</w:t>
            </w:r>
            <w:r>
              <w:rPr>
                <w:rFonts w:ascii="Calibri"/>
                <w:spacing w:val="30"/>
                <w:sz w:val="18"/>
              </w:rPr>
              <w:t xml:space="preserve"> </w:t>
            </w:r>
            <w:r>
              <w:rPr>
                <w:rFonts w:ascii="Calibri"/>
                <w:sz w:val="18"/>
              </w:rPr>
              <w:t>which</w:t>
            </w:r>
            <w:r>
              <w:rPr>
                <w:rFonts w:ascii="Calibri"/>
                <w:spacing w:val="31"/>
                <w:sz w:val="18"/>
              </w:rPr>
              <w:t xml:space="preserve"> </w:t>
            </w:r>
            <w:r>
              <w:rPr>
                <w:rFonts w:ascii="Calibri"/>
                <w:spacing w:val="-1"/>
                <w:sz w:val="18"/>
              </w:rPr>
              <w:t>project</w:t>
            </w:r>
            <w:r>
              <w:rPr>
                <w:rFonts w:ascii="Calibri"/>
                <w:spacing w:val="51"/>
                <w:w w:val="99"/>
                <w:sz w:val="18"/>
              </w:rPr>
              <w:t xml:space="preserve"> </w:t>
            </w:r>
            <w:r>
              <w:rPr>
                <w:rFonts w:ascii="Calibri"/>
                <w:spacing w:val="-1"/>
                <w:sz w:val="18"/>
              </w:rPr>
              <w:t>installations</w:t>
            </w:r>
            <w:r>
              <w:rPr>
                <w:rFonts w:ascii="Calibri"/>
                <w:spacing w:val="-5"/>
                <w:sz w:val="18"/>
              </w:rPr>
              <w:t xml:space="preserve"> </w:t>
            </w:r>
            <w:r>
              <w:rPr>
                <w:rFonts w:ascii="Calibri"/>
                <w:spacing w:val="-1"/>
                <w:sz w:val="18"/>
              </w:rPr>
              <w:t>occur.</w:t>
            </w:r>
          </w:p>
        </w:tc>
        <w:tc>
          <w:tcPr>
            <w:tcW w:w="477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p>
        </w:tc>
      </w:tr>
      <w:tr w:rsidR="00E646C9" w:rsidTr="0011636D">
        <w:trPr>
          <w:trHeight w:hRule="exact" w:val="1330"/>
        </w:trPr>
        <w:tc>
          <w:tcPr>
            <w:tcW w:w="4680" w:type="dxa"/>
          </w:tcPr>
          <w:p w:rsidR="00E646C9" w:rsidRDefault="00E646C9" w:rsidP="00C94D5A">
            <w:pPr>
              <w:pStyle w:val="TableParagraph"/>
              <w:ind w:left="102" w:right="100"/>
              <w:jc w:val="both"/>
              <w:rPr>
                <w:rFonts w:ascii="Calibri" w:eastAsia="Calibri" w:hAnsi="Calibri" w:cs="Calibri"/>
                <w:sz w:val="18"/>
                <w:szCs w:val="18"/>
              </w:rPr>
            </w:pPr>
            <w:r>
              <w:rPr>
                <w:rFonts w:ascii="Calibri" w:eastAsia="Calibri" w:hAnsi="Calibri" w:cs="Calibri"/>
                <w:sz w:val="18"/>
                <w:szCs w:val="18"/>
              </w:rPr>
              <w:t>Lower</w:t>
            </w:r>
            <w:r>
              <w:rPr>
                <w:rFonts w:ascii="Calibri" w:eastAsia="Calibri" w:hAnsi="Calibri" w:cs="Calibri"/>
                <w:spacing w:val="18"/>
                <w:sz w:val="18"/>
                <w:szCs w:val="18"/>
              </w:rPr>
              <w:t xml:space="preserve"> </w:t>
            </w:r>
            <w:r>
              <w:rPr>
                <w:rFonts w:ascii="Calibri" w:eastAsia="Calibri" w:hAnsi="Calibri" w:cs="Calibri"/>
                <w:spacing w:val="-1"/>
                <w:sz w:val="18"/>
                <w:szCs w:val="18"/>
              </w:rPr>
              <w:t>ex</w:t>
            </w:r>
            <w:r>
              <w:rPr>
                <w:rFonts w:ascii="Calibri" w:eastAsia="Calibri" w:hAnsi="Calibri" w:cs="Calibri"/>
                <w:spacing w:val="18"/>
                <w:sz w:val="18"/>
                <w:szCs w:val="18"/>
              </w:rPr>
              <w:t xml:space="preserve"> </w:t>
            </w:r>
            <w:r>
              <w:rPr>
                <w:rFonts w:ascii="Calibri" w:eastAsia="Calibri" w:hAnsi="Calibri" w:cs="Calibri"/>
                <w:spacing w:val="-1"/>
                <w:sz w:val="18"/>
                <w:szCs w:val="18"/>
              </w:rPr>
              <w:t>ante</w:t>
            </w:r>
            <w:r>
              <w:rPr>
                <w:rFonts w:ascii="Calibri" w:eastAsia="Calibri" w:hAnsi="Calibri" w:cs="Calibri"/>
                <w:spacing w:val="18"/>
                <w:sz w:val="18"/>
                <w:szCs w:val="18"/>
              </w:rPr>
              <w:t xml:space="preserve"> </w:t>
            </w:r>
            <w:r>
              <w:rPr>
                <w:rFonts w:ascii="Calibri" w:eastAsia="Calibri" w:hAnsi="Calibri" w:cs="Calibri"/>
                <w:spacing w:val="-1"/>
                <w:sz w:val="18"/>
                <w:szCs w:val="18"/>
              </w:rPr>
              <w:t>energy</w:t>
            </w:r>
            <w:r>
              <w:rPr>
                <w:rFonts w:ascii="Calibri" w:eastAsia="Calibri" w:hAnsi="Calibri" w:cs="Calibri"/>
                <w:spacing w:val="20"/>
                <w:sz w:val="18"/>
                <w:szCs w:val="18"/>
              </w:rPr>
              <w:t xml:space="preserve"> </w:t>
            </w:r>
            <w:r>
              <w:rPr>
                <w:rFonts w:ascii="Calibri" w:eastAsia="Calibri" w:hAnsi="Calibri" w:cs="Calibri"/>
                <w:spacing w:val="-1"/>
                <w:sz w:val="18"/>
                <w:szCs w:val="18"/>
              </w:rPr>
              <w:t>savings</w:t>
            </w:r>
            <w:r>
              <w:rPr>
                <w:rFonts w:ascii="Calibri" w:eastAsia="Calibri" w:hAnsi="Calibri" w:cs="Calibri"/>
                <w:spacing w:val="17"/>
                <w:sz w:val="18"/>
                <w:szCs w:val="18"/>
              </w:rPr>
              <w:t xml:space="preserve"> </w:t>
            </w:r>
            <w:r>
              <w:rPr>
                <w:rFonts w:ascii="Calibri" w:eastAsia="Calibri" w:hAnsi="Calibri" w:cs="Calibri"/>
                <w:spacing w:val="-1"/>
                <w:sz w:val="18"/>
                <w:szCs w:val="18"/>
              </w:rPr>
              <w:t>Threshold</w:t>
            </w:r>
            <w:r>
              <w:rPr>
                <w:rFonts w:ascii="Calibri" w:eastAsia="Calibri" w:hAnsi="Calibri" w:cs="Calibri"/>
                <w:spacing w:val="19"/>
                <w:sz w:val="18"/>
                <w:szCs w:val="18"/>
              </w:rPr>
              <w:t xml:space="preserve"> </w:t>
            </w:r>
            <w:r>
              <w:rPr>
                <w:rFonts w:ascii="Calibri" w:eastAsia="Calibri" w:hAnsi="Calibri" w:cs="Calibri"/>
                <w:spacing w:val="-1"/>
                <w:sz w:val="18"/>
                <w:szCs w:val="18"/>
              </w:rPr>
              <w:t>to</w:t>
            </w:r>
            <w:r>
              <w:rPr>
                <w:rFonts w:ascii="Calibri" w:eastAsia="Calibri" w:hAnsi="Calibri" w:cs="Calibri"/>
                <w:spacing w:val="20"/>
                <w:sz w:val="18"/>
                <w:szCs w:val="18"/>
              </w:rPr>
              <w:t xml:space="preserve"> </w:t>
            </w:r>
            <w:r>
              <w:rPr>
                <w:rFonts w:ascii="Calibri" w:eastAsia="Calibri" w:hAnsi="Calibri" w:cs="Calibri"/>
                <w:spacing w:val="-1"/>
                <w:sz w:val="18"/>
                <w:szCs w:val="18"/>
              </w:rPr>
              <w:t>750</w:t>
            </w:r>
            <w:r>
              <w:rPr>
                <w:rFonts w:ascii="Calibri" w:eastAsia="Calibri" w:hAnsi="Calibri" w:cs="Calibri"/>
                <w:spacing w:val="20"/>
                <w:sz w:val="18"/>
                <w:szCs w:val="18"/>
              </w:rPr>
              <w:t xml:space="preserve"> </w:t>
            </w:r>
            <w:r>
              <w:rPr>
                <w:rFonts w:ascii="Calibri" w:eastAsia="Calibri" w:hAnsi="Calibri" w:cs="Calibri"/>
                <w:spacing w:val="-1"/>
                <w:sz w:val="18"/>
                <w:szCs w:val="18"/>
              </w:rPr>
              <w:t>MWh</w:t>
            </w:r>
            <w:r>
              <w:rPr>
                <w:rFonts w:ascii="Calibri" w:eastAsia="Calibri" w:hAnsi="Calibri" w:cs="Calibri"/>
                <w:spacing w:val="18"/>
                <w:sz w:val="18"/>
                <w:szCs w:val="18"/>
              </w:rPr>
              <w:t xml:space="preserve"> </w:t>
            </w:r>
            <w:r>
              <w:rPr>
                <w:rFonts w:ascii="Calibri" w:eastAsia="Calibri" w:hAnsi="Calibri" w:cs="Calibri"/>
                <w:sz w:val="18"/>
                <w:szCs w:val="18"/>
              </w:rPr>
              <w:t>from</w:t>
            </w:r>
            <w:r>
              <w:rPr>
                <w:rFonts w:ascii="Calibri" w:eastAsia="Calibri" w:hAnsi="Calibri" w:cs="Calibri"/>
                <w:spacing w:val="47"/>
                <w:w w:val="99"/>
                <w:sz w:val="18"/>
                <w:szCs w:val="18"/>
              </w:rPr>
              <w:t xml:space="preserve"> </w:t>
            </w:r>
            <w:r>
              <w:rPr>
                <w:rFonts w:ascii="Calibri" w:eastAsia="Calibri" w:hAnsi="Calibri" w:cs="Calibri"/>
                <w:spacing w:val="-1"/>
                <w:sz w:val="18"/>
                <w:szCs w:val="18"/>
              </w:rPr>
              <w:t>800</w:t>
            </w:r>
            <w:r>
              <w:rPr>
                <w:rFonts w:ascii="Calibri" w:eastAsia="Calibri" w:hAnsi="Calibri" w:cs="Calibri"/>
                <w:spacing w:val="7"/>
                <w:sz w:val="18"/>
                <w:szCs w:val="18"/>
              </w:rPr>
              <w:t xml:space="preserve"> </w:t>
            </w:r>
            <w:r>
              <w:rPr>
                <w:rFonts w:ascii="Calibri" w:eastAsia="Calibri" w:hAnsi="Calibri" w:cs="Calibri"/>
                <w:spacing w:val="-1"/>
                <w:sz w:val="18"/>
                <w:szCs w:val="18"/>
              </w:rPr>
              <w:t>to</w:t>
            </w:r>
            <w:r>
              <w:rPr>
                <w:rFonts w:ascii="Calibri" w:eastAsia="Calibri" w:hAnsi="Calibri" w:cs="Calibri"/>
                <w:spacing w:val="8"/>
                <w:sz w:val="18"/>
                <w:szCs w:val="18"/>
              </w:rPr>
              <w:t xml:space="preserve"> </w:t>
            </w:r>
            <w:r>
              <w:rPr>
                <w:rFonts w:ascii="Calibri" w:eastAsia="Calibri" w:hAnsi="Calibri" w:cs="Calibri"/>
                <w:spacing w:val="-1"/>
                <w:sz w:val="18"/>
                <w:szCs w:val="18"/>
              </w:rPr>
              <w:t>trigger</w:t>
            </w:r>
            <w:r>
              <w:rPr>
                <w:rFonts w:ascii="Calibri" w:eastAsia="Calibri" w:hAnsi="Calibri" w:cs="Calibri"/>
                <w:spacing w:val="7"/>
                <w:sz w:val="18"/>
                <w:szCs w:val="18"/>
              </w:rPr>
              <w:t xml:space="preserve"> </w:t>
            </w:r>
            <w:r>
              <w:rPr>
                <w:rFonts w:ascii="Calibri" w:eastAsia="Calibri" w:hAnsi="Calibri" w:cs="Calibri"/>
                <w:spacing w:val="-1"/>
                <w:sz w:val="18"/>
                <w:szCs w:val="18"/>
              </w:rPr>
              <w:t>up-front</w:t>
            </w:r>
            <w:r>
              <w:rPr>
                <w:rFonts w:ascii="Calibri" w:eastAsia="Calibri" w:hAnsi="Calibri" w:cs="Calibri"/>
                <w:spacing w:val="7"/>
                <w:sz w:val="18"/>
                <w:szCs w:val="18"/>
              </w:rPr>
              <w:t xml:space="preserve"> </w:t>
            </w:r>
            <w:r>
              <w:rPr>
                <w:rFonts w:ascii="Calibri" w:eastAsia="Calibri" w:hAnsi="Calibri" w:cs="Calibri"/>
                <w:sz w:val="18"/>
                <w:szCs w:val="18"/>
              </w:rPr>
              <w:t>evaluation</w:t>
            </w:r>
            <w:r>
              <w:rPr>
                <w:rFonts w:ascii="Calibri" w:eastAsia="Calibri" w:hAnsi="Calibri" w:cs="Calibri"/>
                <w:spacing w:val="6"/>
                <w:sz w:val="18"/>
                <w:szCs w:val="18"/>
              </w:rPr>
              <w:t xml:space="preserve"> </w:t>
            </w:r>
            <w:r>
              <w:rPr>
                <w:rFonts w:ascii="Calibri" w:eastAsia="Calibri" w:hAnsi="Calibri" w:cs="Calibri"/>
                <w:sz w:val="18"/>
                <w:szCs w:val="18"/>
              </w:rPr>
              <w:t>of</w:t>
            </w:r>
            <w:r>
              <w:rPr>
                <w:rFonts w:ascii="Calibri" w:eastAsia="Calibri" w:hAnsi="Calibri" w:cs="Calibri"/>
                <w:spacing w:val="8"/>
                <w:sz w:val="18"/>
                <w:szCs w:val="18"/>
              </w:rPr>
              <w:t xml:space="preserve"> </w:t>
            </w:r>
            <w:r>
              <w:rPr>
                <w:rFonts w:ascii="Calibri" w:eastAsia="Calibri" w:hAnsi="Calibri" w:cs="Calibri"/>
                <w:spacing w:val="-1"/>
                <w:sz w:val="18"/>
                <w:szCs w:val="18"/>
              </w:rPr>
              <w:t>lighting</w:t>
            </w:r>
            <w:r>
              <w:rPr>
                <w:rFonts w:ascii="Calibri" w:eastAsia="Calibri" w:hAnsi="Calibri" w:cs="Calibri"/>
                <w:spacing w:val="7"/>
                <w:sz w:val="18"/>
                <w:szCs w:val="18"/>
              </w:rPr>
              <w:t xml:space="preserve"> </w:t>
            </w:r>
            <w:r>
              <w:rPr>
                <w:rFonts w:ascii="Calibri" w:eastAsia="Calibri" w:hAnsi="Calibri" w:cs="Calibri"/>
                <w:spacing w:val="-1"/>
                <w:sz w:val="18"/>
                <w:szCs w:val="18"/>
              </w:rPr>
              <w:t>projects</w:t>
            </w:r>
            <w:r>
              <w:rPr>
                <w:rFonts w:ascii="Calibri" w:eastAsia="Calibri" w:hAnsi="Calibri" w:cs="Calibri"/>
                <w:spacing w:val="8"/>
                <w:sz w:val="18"/>
                <w:szCs w:val="18"/>
              </w:rPr>
              <w:t xml:space="preserve"> </w:t>
            </w:r>
            <w:r>
              <w:rPr>
                <w:rFonts w:ascii="Calibri" w:eastAsia="Calibri" w:hAnsi="Calibri" w:cs="Calibri"/>
                <w:spacing w:val="-1"/>
                <w:sz w:val="18"/>
                <w:szCs w:val="18"/>
              </w:rPr>
              <w:t>to</w:t>
            </w:r>
            <w:r>
              <w:rPr>
                <w:rFonts w:ascii="Calibri" w:eastAsia="Calibri" w:hAnsi="Calibri" w:cs="Calibri"/>
                <w:spacing w:val="38"/>
                <w:sz w:val="18"/>
                <w:szCs w:val="18"/>
              </w:rPr>
              <w:t xml:space="preserve"> </w:t>
            </w:r>
            <w:r>
              <w:rPr>
                <w:rFonts w:ascii="Calibri" w:eastAsia="Calibri" w:hAnsi="Calibri" w:cs="Calibri"/>
                <w:spacing w:val="-1"/>
                <w:sz w:val="18"/>
                <w:szCs w:val="18"/>
              </w:rPr>
              <w:t>better</w:t>
            </w:r>
            <w:r>
              <w:rPr>
                <w:rFonts w:ascii="Calibri" w:eastAsia="Calibri" w:hAnsi="Calibri" w:cs="Calibri"/>
                <w:spacing w:val="37"/>
                <w:sz w:val="18"/>
                <w:szCs w:val="18"/>
              </w:rPr>
              <w:t xml:space="preserve"> </w:t>
            </w:r>
            <w:r>
              <w:rPr>
                <w:rFonts w:ascii="Calibri" w:eastAsia="Calibri" w:hAnsi="Calibri" w:cs="Calibri"/>
                <w:spacing w:val="-1"/>
                <w:sz w:val="18"/>
                <w:szCs w:val="18"/>
              </w:rPr>
              <w:t>align</w:t>
            </w:r>
            <w:r>
              <w:rPr>
                <w:rFonts w:ascii="Calibri" w:eastAsia="Calibri" w:hAnsi="Calibri" w:cs="Calibri"/>
                <w:spacing w:val="34"/>
                <w:sz w:val="18"/>
                <w:szCs w:val="18"/>
              </w:rPr>
              <w:t xml:space="preserve"> </w:t>
            </w:r>
            <w:r>
              <w:rPr>
                <w:rFonts w:ascii="Calibri" w:eastAsia="Calibri" w:hAnsi="Calibri" w:cs="Calibri"/>
                <w:spacing w:val="-1"/>
                <w:sz w:val="18"/>
                <w:szCs w:val="18"/>
              </w:rPr>
              <w:t>with</w:t>
            </w:r>
            <w:r>
              <w:rPr>
                <w:rFonts w:ascii="Calibri" w:eastAsia="Calibri" w:hAnsi="Calibri" w:cs="Calibri"/>
                <w:spacing w:val="35"/>
                <w:sz w:val="18"/>
                <w:szCs w:val="18"/>
              </w:rPr>
              <w:t xml:space="preserve"> </w:t>
            </w:r>
            <w:r>
              <w:rPr>
                <w:rFonts w:ascii="Calibri" w:eastAsia="Calibri" w:hAnsi="Calibri" w:cs="Calibri"/>
                <w:spacing w:val="-1"/>
                <w:sz w:val="18"/>
                <w:szCs w:val="18"/>
              </w:rPr>
              <w:t>2016</w:t>
            </w:r>
            <w:r>
              <w:rPr>
                <w:rFonts w:ascii="Calibri" w:eastAsia="Calibri" w:hAnsi="Calibri" w:cs="Calibri"/>
                <w:spacing w:val="35"/>
                <w:sz w:val="18"/>
                <w:szCs w:val="18"/>
              </w:rPr>
              <w:t xml:space="preserve"> </w:t>
            </w:r>
            <w:r>
              <w:rPr>
                <w:rFonts w:ascii="Calibri" w:eastAsia="Calibri" w:hAnsi="Calibri" w:cs="Calibri"/>
                <w:sz w:val="18"/>
                <w:szCs w:val="18"/>
              </w:rPr>
              <w:t>TRM.</w:t>
            </w:r>
            <w:r>
              <w:rPr>
                <w:rFonts w:ascii="Calibri" w:eastAsia="Calibri" w:hAnsi="Calibri" w:cs="Calibri"/>
                <w:spacing w:val="34"/>
                <w:sz w:val="18"/>
                <w:szCs w:val="18"/>
              </w:rPr>
              <w:t xml:space="preserve"> </w:t>
            </w:r>
            <w:r>
              <w:rPr>
                <w:rFonts w:ascii="Calibri" w:eastAsia="Calibri" w:hAnsi="Calibri" w:cs="Calibri"/>
                <w:spacing w:val="-1"/>
                <w:sz w:val="18"/>
                <w:szCs w:val="18"/>
              </w:rPr>
              <w:t>At</w:t>
            </w:r>
            <w:r>
              <w:rPr>
                <w:rFonts w:ascii="Calibri" w:eastAsia="Calibri" w:hAnsi="Calibri" w:cs="Calibri"/>
                <w:spacing w:val="35"/>
                <w:sz w:val="18"/>
                <w:szCs w:val="18"/>
              </w:rPr>
              <w:t xml:space="preserve"> </w:t>
            </w:r>
            <w:r>
              <w:rPr>
                <w:rFonts w:ascii="Calibri" w:eastAsia="Calibri" w:hAnsi="Calibri" w:cs="Calibri"/>
                <w:sz w:val="18"/>
                <w:szCs w:val="18"/>
              </w:rPr>
              <w:t>the</w:t>
            </w:r>
            <w:r>
              <w:rPr>
                <w:rFonts w:ascii="Calibri" w:eastAsia="Calibri" w:hAnsi="Calibri" w:cs="Calibri"/>
                <w:spacing w:val="36"/>
                <w:sz w:val="18"/>
                <w:szCs w:val="18"/>
              </w:rPr>
              <w:t xml:space="preserve"> </w:t>
            </w:r>
            <w:r>
              <w:rPr>
                <w:rFonts w:ascii="Calibri" w:eastAsia="Calibri" w:hAnsi="Calibri" w:cs="Calibri"/>
                <w:spacing w:val="-1"/>
                <w:sz w:val="18"/>
                <w:szCs w:val="18"/>
              </w:rPr>
              <w:t>same</w:t>
            </w:r>
            <w:r>
              <w:rPr>
                <w:rFonts w:ascii="Calibri" w:eastAsia="Calibri" w:hAnsi="Calibri" w:cs="Calibri"/>
                <w:spacing w:val="35"/>
                <w:sz w:val="18"/>
                <w:szCs w:val="18"/>
              </w:rPr>
              <w:t xml:space="preserve"> </w:t>
            </w:r>
            <w:r>
              <w:rPr>
                <w:rFonts w:ascii="Calibri" w:eastAsia="Calibri" w:hAnsi="Calibri" w:cs="Calibri"/>
                <w:sz w:val="18"/>
                <w:szCs w:val="18"/>
              </w:rPr>
              <w:t>time,</w:t>
            </w:r>
            <w:r>
              <w:rPr>
                <w:rFonts w:ascii="Calibri" w:eastAsia="Calibri" w:hAnsi="Calibri" w:cs="Calibri"/>
                <w:spacing w:val="36"/>
                <w:sz w:val="18"/>
                <w:szCs w:val="18"/>
              </w:rPr>
              <w:t xml:space="preserve"> </w:t>
            </w:r>
            <w:r>
              <w:rPr>
                <w:rFonts w:ascii="Calibri" w:eastAsia="Calibri" w:hAnsi="Calibri" w:cs="Calibri"/>
                <w:spacing w:val="-1"/>
                <w:sz w:val="18"/>
                <w:szCs w:val="18"/>
              </w:rPr>
              <w:t>increase</w:t>
            </w:r>
            <w:r>
              <w:rPr>
                <w:rFonts w:ascii="Calibri" w:eastAsia="Calibri" w:hAnsi="Calibri" w:cs="Calibri"/>
                <w:spacing w:val="32"/>
                <w:w w:val="99"/>
                <w:sz w:val="18"/>
                <w:szCs w:val="18"/>
              </w:rPr>
              <w:t xml:space="preserve"> </w:t>
            </w:r>
            <w:r>
              <w:rPr>
                <w:rFonts w:ascii="Calibri" w:eastAsia="Calibri" w:hAnsi="Calibri" w:cs="Calibri"/>
                <w:spacing w:val="-1"/>
                <w:sz w:val="18"/>
                <w:szCs w:val="18"/>
              </w:rPr>
              <w:t>threshold</w:t>
            </w:r>
            <w:r>
              <w:rPr>
                <w:rFonts w:ascii="Calibri" w:eastAsia="Calibri" w:hAnsi="Calibri" w:cs="Calibri"/>
                <w:spacing w:val="13"/>
                <w:sz w:val="18"/>
                <w:szCs w:val="18"/>
              </w:rPr>
              <w:t xml:space="preserve"> </w:t>
            </w:r>
            <w:r>
              <w:rPr>
                <w:rFonts w:ascii="Calibri" w:eastAsia="Calibri" w:hAnsi="Calibri" w:cs="Calibri"/>
                <w:sz w:val="18"/>
                <w:szCs w:val="18"/>
              </w:rPr>
              <w:t>from</w:t>
            </w:r>
            <w:r>
              <w:rPr>
                <w:rFonts w:ascii="Calibri" w:eastAsia="Calibri" w:hAnsi="Calibri" w:cs="Calibri"/>
                <w:spacing w:val="15"/>
                <w:sz w:val="18"/>
                <w:szCs w:val="18"/>
              </w:rPr>
              <w:t xml:space="preserve"> </w:t>
            </w:r>
            <w:r>
              <w:rPr>
                <w:rFonts w:ascii="Calibri" w:eastAsia="Calibri" w:hAnsi="Calibri" w:cs="Calibri"/>
                <w:spacing w:val="-1"/>
                <w:sz w:val="18"/>
                <w:szCs w:val="18"/>
              </w:rPr>
              <w:t>400</w:t>
            </w:r>
            <w:r>
              <w:rPr>
                <w:rFonts w:ascii="Calibri" w:eastAsia="Calibri" w:hAnsi="Calibri" w:cs="Calibri"/>
                <w:spacing w:val="15"/>
                <w:sz w:val="18"/>
                <w:szCs w:val="18"/>
              </w:rPr>
              <w:t xml:space="preserve"> </w:t>
            </w:r>
            <w:r>
              <w:rPr>
                <w:rFonts w:ascii="Calibri" w:eastAsia="Calibri" w:hAnsi="Calibri" w:cs="Calibri"/>
                <w:spacing w:val="-1"/>
                <w:sz w:val="18"/>
                <w:szCs w:val="18"/>
              </w:rPr>
              <w:t>MWh</w:t>
            </w:r>
            <w:r>
              <w:rPr>
                <w:rFonts w:ascii="Calibri" w:eastAsia="Calibri" w:hAnsi="Calibri" w:cs="Calibri"/>
                <w:spacing w:val="16"/>
                <w:sz w:val="18"/>
                <w:szCs w:val="18"/>
              </w:rPr>
              <w:t xml:space="preserve"> </w:t>
            </w:r>
            <w:r>
              <w:rPr>
                <w:rFonts w:ascii="Calibri" w:eastAsia="Calibri" w:hAnsi="Calibri" w:cs="Calibri"/>
                <w:spacing w:val="-1"/>
                <w:sz w:val="18"/>
                <w:szCs w:val="18"/>
              </w:rPr>
              <w:t>to</w:t>
            </w:r>
            <w:r>
              <w:rPr>
                <w:rFonts w:ascii="Calibri" w:eastAsia="Calibri" w:hAnsi="Calibri" w:cs="Calibri"/>
                <w:spacing w:val="16"/>
                <w:sz w:val="18"/>
                <w:szCs w:val="18"/>
              </w:rPr>
              <w:t xml:space="preserve"> </w:t>
            </w:r>
            <w:r>
              <w:rPr>
                <w:rFonts w:ascii="Calibri" w:eastAsia="Calibri" w:hAnsi="Calibri" w:cs="Calibri"/>
                <w:spacing w:val="-1"/>
                <w:sz w:val="18"/>
                <w:szCs w:val="18"/>
              </w:rPr>
              <w:t>500</w:t>
            </w:r>
            <w:r>
              <w:rPr>
                <w:rFonts w:ascii="Calibri" w:eastAsia="Calibri" w:hAnsi="Calibri" w:cs="Calibri"/>
                <w:spacing w:val="15"/>
                <w:sz w:val="18"/>
                <w:szCs w:val="18"/>
              </w:rPr>
              <w:t xml:space="preserve"> </w:t>
            </w:r>
            <w:r>
              <w:rPr>
                <w:rFonts w:ascii="Calibri" w:eastAsia="Calibri" w:hAnsi="Calibri" w:cs="Calibri"/>
                <w:spacing w:val="-1"/>
                <w:sz w:val="18"/>
                <w:szCs w:val="18"/>
              </w:rPr>
              <w:t>MWh</w:t>
            </w:r>
            <w:r>
              <w:rPr>
                <w:rFonts w:ascii="Calibri" w:eastAsia="Calibri" w:hAnsi="Calibri" w:cs="Calibri"/>
                <w:spacing w:val="14"/>
                <w:sz w:val="18"/>
                <w:szCs w:val="18"/>
              </w:rPr>
              <w:t xml:space="preserve"> </w:t>
            </w:r>
            <w:r>
              <w:rPr>
                <w:rFonts w:ascii="Calibri" w:eastAsia="Calibri" w:hAnsi="Calibri" w:cs="Calibri"/>
                <w:sz w:val="18"/>
                <w:szCs w:val="18"/>
              </w:rPr>
              <w:t>for</w:t>
            </w:r>
            <w:r>
              <w:rPr>
                <w:rFonts w:ascii="Calibri" w:eastAsia="Calibri" w:hAnsi="Calibri" w:cs="Calibri"/>
                <w:spacing w:val="14"/>
                <w:sz w:val="18"/>
                <w:szCs w:val="18"/>
              </w:rPr>
              <w:t xml:space="preserve"> </w:t>
            </w:r>
            <w:r>
              <w:rPr>
                <w:rFonts w:ascii="Calibri" w:eastAsia="Calibri" w:hAnsi="Calibri" w:cs="Calibri"/>
                <w:spacing w:val="-1"/>
                <w:sz w:val="18"/>
                <w:szCs w:val="18"/>
              </w:rPr>
              <w:t>non-lighting</w:t>
            </w:r>
            <w:r>
              <w:rPr>
                <w:rFonts w:ascii="Calibri" w:eastAsia="Calibri" w:hAnsi="Calibri" w:cs="Calibri"/>
                <w:spacing w:val="38"/>
                <w:sz w:val="18"/>
                <w:szCs w:val="18"/>
              </w:rPr>
              <w:t xml:space="preserve"> </w:t>
            </w:r>
            <w:r>
              <w:rPr>
                <w:rFonts w:ascii="Calibri" w:eastAsia="Calibri" w:hAnsi="Calibri" w:cs="Calibri"/>
                <w:spacing w:val="-1"/>
                <w:sz w:val="18"/>
                <w:szCs w:val="18"/>
              </w:rPr>
              <w:t>projects</w:t>
            </w:r>
            <w:r>
              <w:rPr>
                <w:rFonts w:ascii="Calibri" w:eastAsia="Calibri" w:hAnsi="Calibri" w:cs="Calibri"/>
                <w:spacing w:val="1"/>
                <w:sz w:val="18"/>
                <w:szCs w:val="18"/>
              </w:rPr>
              <w:t xml:space="preserve"> </w:t>
            </w:r>
            <w:r>
              <w:rPr>
                <w:rFonts w:ascii="Calibri" w:eastAsia="Calibri" w:hAnsi="Calibri" w:cs="Calibri"/>
                <w:spacing w:val="-1"/>
                <w:sz w:val="18"/>
                <w:szCs w:val="18"/>
              </w:rPr>
              <w:t>to</w:t>
            </w:r>
            <w:r>
              <w:rPr>
                <w:rFonts w:ascii="Calibri" w:eastAsia="Calibri" w:hAnsi="Calibri" w:cs="Calibri"/>
                <w:spacing w:val="4"/>
                <w:sz w:val="18"/>
                <w:szCs w:val="18"/>
              </w:rPr>
              <w:t xml:space="preserve"> </w:t>
            </w:r>
            <w:r>
              <w:rPr>
                <w:rFonts w:ascii="Calibri" w:eastAsia="Calibri" w:hAnsi="Calibri" w:cs="Calibri"/>
                <w:spacing w:val="-1"/>
                <w:sz w:val="18"/>
                <w:szCs w:val="18"/>
              </w:rPr>
              <w:t>maintain</w:t>
            </w:r>
            <w:r>
              <w:rPr>
                <w:rFonts w:ascii="Calibri" w:eastAsia="Calibri" w:hAnsi="Calibri" w:cs="Calibri"/>
                <w:spacing w:val="2"/>
                <w:sz w:val="18"/>
                <w:szCs w:val="18"/>
              </w:rPr>
              <w:t xml:space="preserve"> </w:t>
            </w:r>
            <w:r>
              <w:rPr>
                <w:rFonts w:ascii="Calibri" w:eastAsia="Calibri" w:hAnsi="Calibri" w:cs="Calibri"/>
                <w:spacing w:val="-1"/>
                <w:sz w:val="18"/>
                <w:szCs w:val="18"/>
              </w:rPr>
              <w:t>expected</w:t>
            </w:r>
            <w:r>
              <w:rPr>
                <w:rFonts w:ascii="Calibri" w:eastAsia="Calibri" w:hAnsi="Calibri" w:cs="Calibri"/>
                <w:spacing w:val="4"/>
                <w:sz w:val="18"/>
                <w:szCs w:val="18"/>
              </w:rPr>
              <w:t xml:space="preserve"> </w:t>
            </w:r>
            <w:r>
              <w:rPr>
                <w:rFonts w:ascii="Calibri" w:eastAsia="Calibri" w:hAnsi="Calibri" w:cs="Calibri"/>
                <w:spacing w:val="-1"/>
                <w:sz w:val="18"/>
                <w:szCs w:val="18"/>
              </w:rPr>
              <w:t>50/50</w:t>
            </w:r>
            <w:r>
              <w:rPr>
                <w:rFonts w:ascii="Calibri" w:eastAsia="Calibri" w:hAnsi="Calibri" w:cs="Calibri"/>
                <w:spacing w:val="3"/>
                <w:sz w:val="18"/>
                <w:szCs w:val="18"/>
              </w:rPr>
              <w:t xml:space="preserve"> </w:t>
            </w:r>
            <w:r>
              <w:rPr>
                <w:rFonts w:ascii="Calibri" w:eastAsia="Calibri" w:hAnsi="Calibri" w:cs="Calibri"/>
                <w:spacing w:val="-1"/>
                <w:sz w:val="18"/>
                <w:szCs w:val="18"/>
              </w:rPr>
              <w:t>balance</w:t>
            </w:r>
            <w:r>
              <w:rPr>
                <w:rFonts w:ascii="Calibri" w:eastAsia="Calibri" w:hAnsi="Calibri" w:cs="Calibri"/>
                <w:spacing w:val="4"/>
                <w:sz w:val="18"/>
                <w:szCs w:val="18"/>
              </w:rPr>
              <w:t xml:space="preserve"> </w:t>
            </w:r>
            <w:r>
              <w:rPr>
                <w:rFonts w:ascii="Calibri" w:eastAsia="Calibri" w:hAnsi="Calibri" w:cs="Calibri"/>
                <w:spacing w:val="-1"/>
                <w:sz w:val="18"/>
                <w:szCs w:val="18"/>
              </w:rPr>
              <w:t>in</w:t>
            </w:r>
            <w:r>
              <w:rPr>
                <w:rFonts w:ascii="Calibri" w:eastAsia="Calibri" w:hAnsi="Calibri" w:cs="Calibri"/>
                <w:spacing w:val="2"/>
                <w:sz w:val="18"/>
                <w:szCs w:val="18"/>
              </w:rPr>
              <w:t xml:space="preserve"> </w:t>
            </w:r>
            <w:r>
              <w:rPr>
                <w:rFonts w:ascii="Calibri" w:eastAsia="Calibri" w:hAnsi="Calibri" w:cs="Calibri"/>
                <w:spacing w:val="-1"/>
                <w:sz w:val="18"/>
                <w:szCs w:val="18"/>
              </w:rPr>
              <w:t>reported</w:t>
            </w:r>
            <w:r>
              <w:rPr>
                <w:rFonts w:ascii="Calibri" w:eastAsia="Calibri" w:hAnsi="Calibri" w:cs="Calibri"/>
                <w:spacing w:val="63"/>
                <w:sz w:val="18"/>
                <w:szCs w:val="18"/>
              </w:rPr>
              <w:t xml:space="preserve"> </w:t>
            </w:r>
            <w:r>
              <w:rPr>
                <w:rFonts w:ascii="Calibri" w:eastAsia="Calibri" w:hAnsi="Calibri" w:cs="Calibri"/>
                <w:spacing w:val="-1"/>
                <w:sz w:val="18"/>
                <w:szCs w:val="18"/>
              </w:rPr>
              <w:t>MWh</w:t>
            </w:r>
            <w:r>
              <w:rPr>
                <w:rFonts w:ascii="Calibri" w:eastAsia="Calibri" w:hAnsi="Calibri" w:cs="Calibri"/>
                <w:spacing w:val="-5"/>
                <w:sz w:val="18"/>
                <w:szCs w:val="18"/>
              </w:rPr>
              <w:t xml:space="preserve"> </w:t>
            </w:r>
            <w:r>
              <w:rPr>
                <w:rFonts w:ascii="Calibri" w:eastAsia="Calibri" w:hAnsi="Calibri" w:cs="Calibri"/>
                <w:spacing w:val="-1"/>
                <w:sz w:val="18"/>
                <w:szCs w:val="18"/>
              </w:rPr>
              <w:t>between</w:t>
            </w:r>
            <w:r>
              <w:rPr>
                <w:rFonts w:ascii="Calibri" w:eastAsia="Calibri" w:hAnsi="Calibri" w:cs="Calibri"/>
                <w:spacing w:val="-5"/>
                <w:sz w:val="18"/>
                <w:szCs w:val="18"/>
              </w:rPr>
              <w:t xml:space="preserve"> </w:t>
            </w:r>
            <w:r>
              <w:rPr>
                <w:rFonts w:ascii="Calibri" w:eastAsia="Calibri" w:hAnsi="Calibri" w:cs="Calibri"/>
                <w:spacing w:val="-1"/>
                <w:sz w:val="18"/>
                <w:szCs w:val="18"/>
              </w:rPr>
              <w:t>sampled</w:t>
            </w:r>
            <w:r>
              <w:rPr>
                <w:rFonts w:ascii="Calibri" w:eastAsia="Calibri" w:hAnsi="Calibri" w:cs="Calibri"/>
                <w:spacing w:val="-4"/>
                <w:sz w:val="18"/>
                <w:szCs w:val="18"/>
              </w:rPr>
              <w:t xml:space="preserve"> </w:t>
            </w:r>
            <w:r>
              <w:rPr>
                <w:rFonts w:ascii="Calibri" w:eastAsia="Calibri" w:hAnsi="Calibri" w:cs="Calibri"/>
                <w:sz w:val="18"/>
                <w:szCs w:val="18"/>
              </w:rPr>
              <w:t>and</w:t>
            </w:r>
            <w:r>
              <w:rPr>
                <w:rFonts w:ascii="Calibri" w:eastAsia="Calibri" w:hAnsi="Calibri" w:cs="Calibri"/>
                <w:spacing w:val="-5"/>
                <w:sz w:val="18"/>
                <w:szCs w:val="18"/>
              </w:rPr>
              <w:t xml:space="preserve"> </w:t>
            </w:r>
            <w:r>
              <w:rPr>
                <w:rFonts w:ascii="Calibri" w:eastAsia="Calibri" w:hAnsi="Calibri" w:cs="Calibri"/>
                <w:spacing w:val="-1"/>
                <w:sz w:val="18"/>
                <w:szCs w:val="18"/>
              </w:rPr>
              <w:t>“certainty”</w:t>
            </w:r>
            <w:r>
              <w:rPr>
                <w:rFonts w:ascii="Calibri" w:eastAsia="Calibri" w:hAnsi="Calibri" w:cs="Calibri"/>
                <w:spacing w:val="-4"/>
                <w:sz w:val="18"/>
                <w:szCs w:val="18"/>
              </w:rPr>
              <w:t xml:space="preserve"> </w:t>
            </w:r>
            <w:r>
              <w:rPr>
                <w:rFonts w:ascii="Calibri" w:eastAsia="Calibri" w:hAnsi="Calibri" w:cs="Calibri"/>
                <w:spacing w:val="-1"/>
                <w:sz w:val="18"/>
                <w:szCs w:val="18"/>
              </w:rPr>
              <w:t>projects.</w:t>
            </w:r>
          </w:p>
        </w:tc>
        <w:tc>
          <w:tcPr>
            <w:tcW w:w="4770" w:type="dxa"/>
          </w:tcPr>
          <w:p w:rsidR="00E646C9" w:rsidRDefault="00E646C9" w:rsidP="00C94D5A">
            <w:pPr>
              <w:pStyle w:val="TableParagraph"/>
              <w:ind w:left="102"/>
              <w:rPr>
                <w:rFonts w:ascii="Calibri" w:eastAsia="Calibri" w:hAnsi="Calibri" w:cs="Calibri"/>
                <w:sz w:val="18"/>
                <w:szCs w:val="18"/>
              </w:rPr>
            </w:pPr>
            <w:r>
              <w:rPr>
                <w:rFonts w:ascii="Calibri"/>
                <w:spacing w:val="-1"/>
                <w:sz w:val="18"/>
              </w:rPr>
              <w:t>Implemented</w:t>
            </w:r>
          </w:p>
        </w:tc>
      </w:tr>
    </w:tbl>
    <w:p w:rsidR="00E646C9" w:rsidRPr="003B56E9" w:rsidRDefault="00E646C9" w:rsidP="003B56E9"/>
    <w:p w:rsidR="00E646C9" w:rsidRDefault="00E646C9" w:rsidP="003B56E9">
      <w:pPr>
        <w:pStyle w:val="AppendixGHeading2"/>
      </w:pPr>
      <w:r>
        <w:t>Commercial and Industrial Energy Efficient Buildings – Large Program</w:t>
      </w:r>
    </w:p>
    <w:tbl>
      <w:tblPr>
        <w:tblW w:w="945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770"/>
      </w:tblGrid>
      <w:tr w:rsidR="00E646C9" w:rsidTr="0011636D">
        <w:trPr>
          <w:trHeight w:hRule="exact" w:val="722"/>
          <w:tblHeader/>
        </w:trPr>
        <w:tc>
          <w:tcPr>
            <w:tcW w:w="4680" w:type="dxa"/>
            <w:shd w:val="clear" w:color="auto" w:fill="448A99"/>
          </w:tcPr>
          <w:p w:rsidR="00E646C9" w:rsidRDefault="00E646C9" w:rsidP="004D470A">
            <w:pPr>
              <w:pStyle w:val="TableParagraph"/>
              <w:spacing w:line="218" w:lineRule="exact"/>
              <w:ind w:left="129"/>
              <w:rPr>
                <w:rFonts w:ascii="Calibri" w:eastAsia="Calibri" w:hAnsi="Calibri" w:cs="Calibri"/>
                <w:sz w:val="18"/>
                <w:szCs w:val="18"/>
              </w:rPr>
            </w:pPr>
            <w:r>
              <w:rPr>
                <w:rFonts w:ascii="Calibri"/>
                <w:b/>
                <w:color w:val="FFFFFF"/>
                <w:spacing w:val="-1"/>
                <w:sz w:val="18"/>
              </w:rPr>
              <w:t>Recommendations</w:t>
            </w:r>
          </w:p>
        </w:tc>
        <w:tc>
          <w:tcPr>
            <w:tcW w:w="4770" w:type="dxa"/>
            <w:shd w:val="clear" w:color="auto" w:fill="448A99"/>
          </w:tcPr>
          <w:p w:rsidR="00E646C9" w:rsidRDefault="00E646C9" w:rsidP="00C94D5A">
            <w:pPr>
              <w:pStyle w:val="TableParagraph"/>
              <w:ind w:left="171" w:right="170" w:hanging="1"/>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888"/>
        </w:trPr>
        <w:tc>
          <w:tcPr>
            <w:tcW w:w="4680" w:type="dxa"/>
            <w:shd w:val="clear" w:color="auto" w:fill="D2EAF1"/>
          </w:tcPr>
          <w:p w:rsidR="00E646C9" w:rsidRDefault="00E646C9" w:rsidP="00C94D5A">
            <w:pPr>
              <w:pStyle w:val="TableParagraph"/>
              <w:ind w:left="102" w:right="342"/>
              <w:rPr>
                <w:rFonts w:ascii="Calibri" w:eastAsia="Calibri" w:hAnsi="Calibri" w:cs="Calibri"/>
                <w:sz w:val="18"/>
                <w:szCs w:val="18"/>
              </w:rPr>
            </w:pPr>
            <w:r>
              <w:rPr>
                <w:rFonts w:ascii="Calibri"/>
                <w:sz w:val="18"/>
              </w:rPr>
              <w:t>In</w:t>
            </w:r>
            <w:r>
              <w:rPr>
                <w:rFonts w:ascii="Calibri"/>
                <w:spacing w:val="-3"/>
                <w:sz w:val="18"/>
              </w:rPr>
              <w:t xml:space="preserve"> </w:t>
            </w:r>
            <w:r>
              <w:rPr>
                <w:rFonts w:ascii="Calibri"/>
                <w:spacing w:val="-1"/>
                <w:sz w:val="18"/>
              </w:rPr>
              <w:t>Phase</w:t>
            </w:r>
            <w:r>
              <w:rPr>
                <w:rFonts w:ascii="Calibri"/>
                <w:spacing w:val="-2"/>
                <w:sz w:val="18"/>
              </w:rPr>
              <w:t xml:space="preserve"> </w:t>
            </w:r>
            <w:r>
              <w:rPr>
                <w:rFonts w:ascii="Calibri"/>
                <w:sz w:val="18"/>
              </w:rPr>
              <w:t>III,</w:t>
            </w:r>
            <w:r>
              <w:rPr>
                <w:rFonts w:ascii="Calibri"/>
                <w:spacing w:val="-2"/>
                <w:sz w:val="18"/>
              </w:rPr>
              <w:t xml:space="preserve"> </w:t>
            </w:r>
            <w:r>
              <w:rPr>
                <w:rFonts w:ascii="Calibri"/>
                <w:spacing w:val="-1"/>
                <w:sz w:val="18"/>
              </w:rPr>
              <w:t>consider</w:t>
            </w:r>
            <w:r>
              <w:rPr>
                <w:rFonts w:ascii="Calibri"/>
                <w:sz w:val="18"/>
              </w:rPr>
              <w:t xml:space="preserve"> </w:t>
            </w:r>
            <w:r>
              <w:rPr>
                <w:rFonts w:ascii="Calibri"/>
                <w:spacing w:val="-1"/>
                <w:sz w:val="18"/>
              </w:rPr>
              <w:t>subsuming</w:t>
            </w:r>
            <w:r>
              <w:rPr>
                <w:rFonts w:ascii="Calibri"/>
                <w:spacing w:val="-2"/>
                <w:sz w:val="18"/>
              </w:rPr>
              <w:t xml:space="preserve"> </w:t>
            </w:r>
            <w:r>
              <w:rPr>
                <w:rFonts w:ascii="Calibri"/>
                <w:sz w:val="18"/>
              </w:rPr>
              <w:t>this</w:t>
            </w:r>
            <w:r>
              <w:rPr>
                <w:rFonts w:ascii="Calibri"/>
                <w:spacing w:val="-3"/>
                <w:sz w:val="18"/>
              </w:rPr>
              <w:t xml:space="preserve"> </w:t>
            </w:r>
            <w:r>
              <w:rPr>
                <w:rFonts w:ascii="Calibri"/>
                <w:spacing w:val="-1"/>
                <w:sz w:val="18"/>
              </w:rPr>
              <w:t>program into the</w:t>
            </w:r>
            <w:r>
              <w:rPr>
                <w:rFonts w:ascii="Calibri"/>
                <w:spacing w:val="-2"/>
                <w:sz w:val="18"/>
              </w:rPr>
              <w:t xml:space="preserve"> </w:t>
            </w:r>
            <w:r>
              <w:rPr>
                <w:rFonts w:ascii="Calibri"/>
                <w:spacing w:val="-1"/>
                <w:sz w:val="18"/>
              </w:rPr>
              <w:t>C/I</w:t>
            </w:r>
            <w:r>
              <w:rPr>
                <w:rFonts w:ascii="Calibri"/>
                <w:spacing w:val="45"/>
                <w:w w:val="99"/>
                <w:sz w:val="18"/>
              </w:rPr>
              <w:t xml:space="preserve"> </w:t>
            </w:r>
            <w:r>
              <w:rPr>
                <w:rFonts w:ascii="Calibri"/>
                <w:spacing w:val="-1"/>
                <w:sz w:val="18"/>
              </w:rPr>
              <w:t>Energy</w:t>
            </w:r>
            <w:r>
              <w:rPr>
                <w:rFonts w:ascii="Calibri"/>
                <w:spacing w:val="-3"/>
                <w:sz w:val="18"/>
              </w:rPr>
              <w:t xml:space="preserve"> </w:t>
            </w:r>
            <w:r>
              <w:rPr>
                <w:rFonts w:ascii="Calibri"/>
                <w:spacing w:val="-1"/>
                <w:sz w:val="18"/>
              </w:rPr>
              <w:t>Efficient</w:t>
            </w:r>
            <w:r>
              <w:rPr>
                <w:rFonts w:ascii="Calibri"/>
                <w:spacing w:val="-3"/>
                <w:sz w:val="18"/>
              </w:rPr>
              <w:t xml:space="preserve"> </w:t>
            </w:r>
            <w:r>
              <w:rPr>
                <w:rFonts w:ascii="Calibri"/>
                <w:spacing w:val="-1"/>
                <w:sz w:val="18"/>
              </w:rPr>
              <w:t>Equipment</w:t>
            </w:r>
            <w:r>
              <w:rPr>
                <w:rFonts w:ascii="Calibri"/>
                <w:spacing w:val="-4"/>
                <w:sz w:val="18"/>
              </w:rPr>
              <w:t xml:space="preserve"> </w:t>
            </w:r>
            <w:r>
              <w:rPr>
                <w:rFonts w:ascii="Calibri"/>
                <w:sz w:val="18"/>
              </w:rPr>
              <w:t>Program</w:t>
            </w:r>
            <w:r>
              <w:rPr>
                <w:rFonts w:ascii="Calibri"/>
                <w:spacing w:val="-2"/>
                <w:sz w:val="18"/>
              </w:rPr>
              <w:t xml:space="preserve"> </w:t>
            </w:r>
            <w:r>
              <w:rPr>
                <w:rFonts w:ascii="Calibri"/>
                <w:sz w:val="18"/>
              </w:rPr>
              <w:t>-</w:t>
            </w:r>
            <w:r>
              <w:rPr>
                <w:rFonts w:ascii="Calibri"/>
                <w:spacing w:val="-3"/>
                <w:sz w:val="18"/>
              </w:rPr>
              <w:t xml:space="preserve"> </w:t>
            </w:r>
            <w:r>
              <w:rPr>
                <w:rFonts w:ascii="Calibri"/>
                <w:spacing w:val="-1"/>
                <w:sz w:val="18"/>
              </w:rPr>
              <w:t>Large</w:t>
            </w:r>
            <w:r>
              <w:rPr>
                <w:rFonts w:ascii="Calibri"/>
                <w:spacing w:val="-3"/>
                <w:sz w:val="18"/>
              </w:rPr>
              <w:t xml:space="preserve"> </w:t>
            </w:r>
            <w:r>
              <w:rPr>
                <w:rFonts w:ascii="Calibri"/>
                <w:spacing w:val="-1"/>
                <w:sz w:val="18"/>
              </w:rPr>
              <w:t>to</w:t>
            </w:r>
            <w:r>
              <w:rPr>
                <w:rFonts w:ascii="Calibri"/>
                <w:spacing w:val="-2"/>
                <w:sz w:val="18"/>
              </w:rPr>
              <w:t xml:space="preserve"> </w:t>
            </w:r>
            <w:r>
              <w:rPr>
                <w:rFonts w:ascii="Calibri"/>
                <w:spacing w:val="-1"/>
                <w:sz w:val="18"/>
              </w:rPr>
              <w:t>reduce</w:t>
            </w:r>
            <w:r>
              <w:rPr>
                <w:rFonts w:ascii="Calibri"/>
                <w:spacing w:val="45"/>
                <w:w w:val="99"/>
                <w:sz w:val="18"/>
              </w:rPr>
              <w:t xml:space="preserve"> </w:t>
            </w:r>
            <w:r>
              <w:rPr>
                <w:rFonts w:ascii="Calibri"/>
                <w:spacing w:val="-1"/>
                <w:sz w:val="18"/>
              </w:rPr>
              <w:t>administrative</w:t>
            </w:r>
            <w:r>
              <w:rPr>
                <w:rFonts w:ascii="Calibri"/>
                <w:spacing w:val="-3"/>
                <w:sz w:val="18"/>
              </w:rPr>
              <w:t xml:space="preserve"> </w:t>
            </w:r>
            <w:r>
              <w:rPr>
                <w:rFonts w:ascii="Calibri"/>
                <w:spacing w:val="-1"/>
                <w:sz w:val="18"/>
              </w:rPr>
              <w:t>costs</w:t>
            </w:r>
            <w:r>
              <w:rPr>
                <w:rFonts w:ascii="Calibri"/>
                <w:spacing w:val="-3"/>
                <w:sz w:val="18"/>
              </w:rPr>
              <w:t xml:space="preserve"> </w:t>
            </w:r>
            <w:r>
              <w:rPr>
                <w:rFonts w:ascii="Calibri"/>
                <w:sz w:val="18"/>
              </w:rPr>
              <w:t>and</w:t>
            </w:r>
            <w:r>
              <w:rPr>
                <w:rFonts w:ascii="Calibri"/>
                <w:spacing w:val="-3"/>
                <w:sz w:val="18"/>
              </w:rPr>
              <w:t xml:space="preserve"> </w:t>
            </w:r>
            <w:r>
              <w:rPr>
                <w:rFonts w:ascii="Calibri"/>
                <w:spacing w:val="-1"/>
                <w:sz w:val="18"/>
              </w:rPr>
              <w:t xml:space="preserve">to </w:t>
            </w:r>
            <w:r>
              <w:rPr>
                <w:rFonts w:ascii="Calibri"/>
                <w:sz w:val="18"/>
              </w:rPr>
              <w:t>ensure</w:t>
            </w:r>
            <w:r>
              <w:rPr>
                <w:rFonts w:ascii="Calibri"/>
                <w:spacing w:val="-3"/>
                <w:sz w:val="18"/>
              </w:rPr>
              <w:t xml:space="preserve"> </w:t>
            </w:r>
            <w:r>
              <w:rPr>
                <w:rFonts w:ascii="Calibri"/>
                <w:spacing w:val="-1"/>
                <w:sz w:val="18"/>
              </w:rPr>
              <w:t>adequate</w:t>
            </w:r>
            <w:r>
              <w:rPr>
                <w:rFonts w:ascii="Calibri"/>
                <w:spacing w:val="-3"/>
                <w:sz w:val="18"/>
              </w:rPr>
              <w:t xml:space="preserve"> </w:t>
            </w:r>
            <w:r>
              <w:rPr>
                <w:rFonts w:ascii="Calibri"/>
                <w:spacing w:val="-1"/>
                <w:sz w:val="18"/>
              </w:rPr>
              <w:t>budget</w:t>
            </w:r>
            <w:r>
              <w:rPr>
                <w:rFonts w:ascii="Calibri"/>
                <w:spacing w:val="-3"/>
                <w:sz w:val="18"/>
              </w:rPr>
              <w:t xml:space="preserve"> </w:t>
            </w:r>
            <w:r>
              <w:rPr>
                <w:rFonts w:ascii="Calibri"/>
                <w:sz w:val="18"/>
              </w:rPr>
              <w:t>is</w:t>
            </w:r>
            <w:r>
              <w:rPr>
                <w:rFonts w:ascii="Calibri"/>
                <w:spacing w:val="49"/>
                <w:sz w:val="18"/>
              </w:rPr>
              <w:t xml:space="preserve"> </w:t>
            </w:r>
            <w:r>
              <w:rPr>
                <w:rFonts w:ascii="Calibri"/>
                <w:spacing w:val="-1"/>
                <w:sz w:val="18"/>
              </w:rPr>
              <w:t>available</w:t>
            </w:r>
            <w:r>
              <w:rPr>
                <w:rFonts w:ascii="Calibri"/>
                <w:spacing w:val="-4"/>
                <w:sz w:val="18"/>
              </w:rPr>
              <w:t xml:space="preserve"> </w:t>
            </w:r>
            <w:r>
              <w:rPr>
                <w:rFonts w:ascii="Calibri"/>
                <w:sz w:val="18"/>
              </w:rPr>
              <w:t>in</w:t>
            </w:r>
            <w:r>
              <w:rPr>
                <w:rFonts w:ascii="Calibri"/>
                <w:spacing w:val="-3"/>
                <w:sz w:val="18"/>
              </w:rPr>
              <w:t xml:space="preserve"> </w:t>
            </w:r>
            <w:r>
              <w:rPr>
                <w:rFonts w:ascii="Calibri"/>
                <w:spacing w:val="-1"/>
                <w:sz w:val="18"/>
              </w:rPr>
              <w:t>case</w:t>
            </w:r>
            <w:r>
              <w:rPr>
                <w:rFonts w:ascii="Calibri"/>
                <w:spacing w:val="-4"/>
                <w:sz w:val="18"/>
              </w:rPr>
              <w:t xml:space="preserve"> </w:t>
            </w:r>
            <w:r>
              <w:rPr>
                <w:rFonts w:ascii="Calibri"/>
                <w:spacing w:val="-1"/>
                <w:sz w:val="18"/>
              </w:rPr>
              <w:t>participation</w:t>
            </w:r>
            <w:r>
              <w:rPr>
                <w:rFonts w:ascii="Calibri"/>
                <w:spacing w:val="-3"/>
                <w:sz w:val="18"/>
              </w:rPr>
              <w:t xml:space="preserve"> </w:t>
            </w:r>
            <w:r>
              <w:rPr>
                <w:rFonts w:ascii="Calibri"/>
                <w:sz w:val="18"/>
              </w:rPr>
              <w:t>levels</w:t>
            </w:r>
            <w:r>
              <w:rPr>
                <w:rFonts w:ascii="Calibri"/>
                <w:spacing w:val="-4"/>
                <w:sz w:val="18"/>
              </w:rPr>
              <w:t xml:space="preserve"> </w:t>
            </w:r>
            <w:r>
              <w:rPr>
                <w:rFonts w:ascii="Calibri"/>
                <w:spacing w:val="-1"/>
                <w:sz w:val="18"/>
              </w:rPr>
              <w:t>increase significantly.</w:t>
            </w:r>
          </w:p>
        </w:tc>
        <w:tc>
          <w:tcPr>
            <w:tcW w:w="477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p>
        </w:tc>
      </w:tr>
      <w:tr w:rsidR="00E646C9" w:rsidTr="0011636D">
        <w:trPr>
          <w:trHeight w:hRule="exact" w:val="444"/>
        </w:trPr>
        <w:tc>
          <w:tcPr>
            <w:tcW w:w="4680" w:type="dxa"/>
          </w:tcPr>
          <w:p w:rsidR="00E646C9" w:rsidRDefault="00E646C9" w:rsidP="00C94D5A">
            <w:pPr>
              <w:pStyle w:val="TableParagraph"/>
              <w:ind w:left="102"/>
              <w:rPr>
                <w:rFonts w:ascii="Calibri" w:eastAsia="Calibri" w:hAnsi="Calibri" w:cs="Calibri"/>
                <w:sz w:val="18"/>
                <w:szCs w:val="18"/>
              </w:rPr>
            </w:pPr>
            <w:r>
              <w:rPr>
                <w:rFonts w:ascii="Calibri"/>
                <w:spacing w:val="-1"/>
                <w:sz w:val="18"/>
              </w:rPr>
              <w:t>Review</w:t>
            </w:r>
            <w:r>
              <w:rPr>
                <w:rFonts w:ascii="Calibri"/>
                <w:spacing w:val="-4"/>
                <w:sz w:val="18"/>
              </w:rPr>
              <w:t xml:space="preserve"> </w:t>
            </w:r>
            <w:r>
              <w:rPr>
                <w:rFonts w:ascii="Calibri"/>
                <w:spacing w:val="-1"/>
                <w:sz w:val="18"/>
              </w:rPr>
              <w:t>and</w:t>
            </w:r>
            <w:r>
              <w:rPr>
                <w:rFonts w:ascii="Calibri"/>
                <w:spacing w:val="-5"/>
                <w:sz w:val="18"/>
              </w:rPr>
              <w:t xml:space="preserve"> </w:t>
            </w:r>
            <w:r>
              <w:rPr>
                <w:rFonts w:ascii="Calibri"/>
                <w:spacing w:val="-1"/>
                <w:sz w:val="18"/>
              </w:rPr>
              <w:t>improve</w:t>
            </w:r>
            <w:r>
              <w:rPr>
                <w:rFonts w:ascii="Calibri"/>
                <w:spacing w:val="-5"/>
                <w:sz w:val="18"/>
              </w:rPr>
              <w:t xml:space="preserve"> </w:t>
            </w:r>
            <w:r>
              <w:rPr>
                <w:rFonts w:ascii="Calibri"/>
                <w:spacing w:val="-1"/>
                <w:sz w:val="18"/>
              </w:rPr>
              <w:t>contractor</w:t>
            </w:r>
            <w:r>
              <w:rPr>
                <w:rFonts w:ascii="Calibri"/>
                <w:spacing w:val="-4"/>
                <w:sz w:val="18"/>
              </w:rPr>
              <w:t xml:space="preserve"> </w:t>
            </w:r>
            <w:r>
              <w:rPr>
                <w:rFonts w:ascii="Calibri"/>
                <w:spacing w:val="-1"/>
                <w:sz w:val="18"/>
              </w:rPr>
              <w:t>tracking</w:t>
            </w:r>
            <w:r>
              <w:rPr>
                <w:rFonts w:ascii="Calibri"/>
                <w:spacing w:val="-5"/>
                <w:sz w:val="18"/>
              </w:rPr>
              <w:t xml:space="preserve"> </w:t>
            </w:r>
            <w:r>
              <w:rPr>
                <w:rFonts w:ascii="Calibri"/>
                <w:spacing w:val="-1"/>
                <w:sz w:val="18"/>
              </w:rPr>
              <w:t>procedures.</w:t>
            </w:r>
          </w:p>
        </w:tc>
        <w:tc>
          <w:tcPr>
            <w:tcW w:w="4770" w:type="dxa"/>
          </w:tcPr>
          <w:p w:rsidR="00E646C9" w:rsidRDefault="00E646C9" w:rsidP="00C94D5A">
            <w:pPr>
              <w:pStyle w:val="TableParagraph"/>
              <w:ind w:left="14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2"/>
        </w:trPr>
        <w:tc>
          <w:tcPr>
            <w:tcW w:w="468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Review</w:t>
            </w:r>
            <w:r>
              <w:rPr>
                <w:rFonts w:ascii="Calibri"/>
                <w:spacing w:val="-2"/>
                <w:sz w:val="18"/>
              </w:rPr>
              <w:t xml:space="preserve"> </w:t>
            </w:r>
            <w:r>
              <w:rPr>
                <w:rFonts w:ascii="Calibri"/>
                <w:spacing w:val="-1"/>
                <w:sz w:val="18"/>
              </w:rPr>
              <w:t>the</w:t>
            </w:r>
            <w:r>
              <w:rPr>
                <w:rFonts w:ascii="Calibri"/>
                <w:spacing w:val="-4"/>
                <w:sz w:val="18"/>
              </w:rPr>
              <w:t xml:space="preserve"> </w:t>
            </w:r>
            <w:r>
              <w:rPr>
                <w:rFonts w:ascii="Calibri"/>
                <w:spacing w:val="-1"/>
                <w:sz w:val="18"/>
              </w:rPr>
              <w:t>application</w:t>
            </w:r>
            <w:r>
              <w:rPr>
                <w:rFonts w:ascii="Calibri"/>
                <w:spacing w:val="-3"/>
                <w:sz w:val="18"/>
              </w:rPr>
              <w:t xml:space="preserve"> </w:t>
            </w:r>
            <w:r>
              <w:rPr>
                <w:rFonts w:ascii="Calibri"/>
                <w:spacing w:val="-1"/>
                <w:sz w:val="18"/>
              </w:rPr>
              <w:t>process</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possible</w:t>
            </w:r>
            <w:r>
              <w:rPr>
                <w:rFonts w:ascii="Calibri"/>
                <w:spacing w:val="-3"/>
                <w:sz w:val="18"/>
              </w:rPr>
              <w:t xml:space="preserve"> </w:t>
            </w:r>
            <w:r>
              <w:rPr>
                <w:rFonts w:ascii="Calibri"/>
                <w:spacing w:val="-1"/>
                <w:sz w:val="18"/>
              </w:rPr>
              <w:t>efficiencies.</w:t>
            </w:r>
          </w:p>
        </w:tc>
        <w:tc>
          <w:tcPr>
            <w:tcW w:w="477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9"/>
        </w:trPr>
        <w:tc>
          <w:tcPr>
            <w:tcW w:w="4680" w:type="dxa"/>
          </w:tcPr>
          <w:p w:rsidR="00E646C9" w:rsidRDefault="00E646C9" w:rsidP="00C94D5A">
            <w:pPr>
              <w:pStyle w:val="TableParagraph"/>
              <w:ind w:left="102" w:right="311"/>
              <w:rPr>
                <w:rFonts w:ascii="Calibri" w:eastAsia="Calibri" w:hAnsi="Calibri" w:cs="Calibri"/>
                <w:sz w:val="18"/>
                <w:szCs w:val="18"/>
              </w:rPr>
            </w:pPr>
            <w:r>
              <w:rPr>
                <w:rFonts w:ascii="Calibri"/>
                <w:spacing w:val="-1"/>
                <w:sz w:val="18"/>
              </w:rPr>
              <w:t>Continue support</w:t>
            </w:r>
            <w:r>
              <w:rPr>
                <w:rFonts w:ascii="Calibri"/>
                <w:spacing w:val="-3"/>
                <w:sz w:val="18"/>
              </w:rPr>
              <w:t xml:space="preserve"> </w:t>
            </w:r>
            <w:r>
              <w:rPr>
                <w:rFonts w:ascii="Calibri"/>
                <w:spacing w:val="-1"/>
                <w:sz w:val="18"/>
              </w:rPr>
              <w:t>to</w:t>
            </w:r>
            <w:r>
              <w:rPr>
                <w:rFonts w:ascii="Calibri"/>
                <w:sz w:val="18"/>
              </w:rPr>
              <w:t xml:space="preserve"> </w:t>
            </w:r>
            <w:r>
              <w:rPr>
                <w:rFonts w:ascii="Calibri"/>
                <w:spacing w:val="-1"/>
                <w:sz w:val="18"/>
              </w:rPr>
              <w:t>contractors,</w:t>
            </w:r>
            <w:r>
              <w:rPr>
                <w:rFonts w:ascii="Calibri"/>
                <w:spacing w:val="-2"/>
                <w:sz w:val="18"/>
              </w:rPr>
              <w:t xml:space="preserve"> </w:t>
            </w:r>
            <w:r>
              <w:rPr>
                <w:rFonts w:ascii="Calibri"/>
                <w:spacing w:val="-1"/>
                <w:sz w:val="18"/>
              </w:rPr>
              <w:t>including</w:t>
            </w:r>
            <w:r>
              <w:rPr>
                <w:rFonts w:ascii="Calibri"/>
                <w:spacing w:val="-2"/>
                <w:sz w:val="18"/>
              </w:rPr>
              <w:t xml:space="preserve"> </w:t>
            </w:r>
            <w:r>
              <w:rPr>
                <w:rFonts w:ascii="Calibri"/>
                <w:spacing w:val="-1"/>
                <w:sz w:val="18"/>
              </w:rPr>
              <w:t>consistent</w:t>
            </w:r>
            <w:r>
              <w:rPr>
                <w:rFonts w:ascii="Calibri"/>
                <w:spacing w:val="-3"/>
                <w:sz w:val="18"/>
              </w:rPr>
              <w:t xml:space="preserve"> </w:t>
            </w:r>
            <w:r>
              <w:rPr>
                <w:rFonts w:ascii="Calibri"/>
                <w:spacing w:val="-1"/>
                <w:sz w:val="18"/>
              </w:rPr>
              <w:t>ICSP</w:t>
            </w:r>
            <w:r>
              <w:rPr>
                <w:rFonts w:ascii="Calibri"/>
                <w:spacing w:val="61"/>
                <w:w w:val="99"/>
                <w:sz w:val="18"/>
              </w:rPr>
              <w:t xml:space="preserve"> </w:t>
            </w:r>
            <w:r>
              <w:rPr>
                <w:rFonts w:ascii="Calibri"/>
                <w:spacing w:val="-1"/>
                <w:sz w:val="18"/>
              </w:rPr>
              <w:t>contact</w:t>
            </w:r>
            <w:r>
              <w:rPr>
                <w:rFonts w:ascii="Calibri"/>
                <w:spacing w:val="-6"/>
                <w:sz w:val="18"/>
              </w:rPr>
              <w:t xml:space="preserve"> </w:t>
            </w:r>
            <w:r>
              <w:rPr>
                <w:rFonts w:ascii="Calibri"/>
                <w:spacing w:val="-1"/>
                <w:sz w:val="18"/>
              </w:rPr>
              <w:t>and</w:t>
            </w:r>
            <w:r>
              <w:rPr>
                <w:rFonts w:ascii="Calibri"/>
                <w:spacing w:val="-6"/>
                <w:sz w:val="18"/>
              </w:rPr>
              <w:t xml:space="preserve"> </w:t>
            </w:r>
            <w:r>
              <w:rPr>
                <w:rFonts w:ascii="Calibri"/>
                <w:spacing w:val="-1"/>
                <w:sz w:val="18"/>
              </w:rPr>
              <w:t>marketing</w:t>
            </w:r>
            <w:r>
              <w:rPr>
                <w:rFonts w:ascii="Calibri"/>
                <w:spacing w:val="-6"/>
                <w:sz w:val="18"/>
              </w:rPr>
              <w:t xml:space="preserve"> </w:t>
            </w:r>
            <w:r>
              <w:rPr>
                <w:rFonts w:ascii="Calibri"/>
                <w:spacing w:val="-1"/>
                <w:sz w:val="18"/>
              </w:rPr>
              <w:t>materials.</w:t>
            </w:r>
          </w:p>
        </w:tc>
        <w:tc>
          <w:tcPr>
            <w:tcW w:w="477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99"/>
        </w:trPr>
        <w:tc>
          <w:tcPr>
            <w:tcW w:w="4680" w:type="dxa"/>
            <w:shd w:val="clear" w:color="auto" w:fill="D2EAF1"/>
          </w:tcPr>
          <w:p w:rsidR="00E646C9" w:rsidRDefault="00E646C9" w:rsidP="00C94D5A">
            <w:pPr>
              <w:pStyle w:val="TableParagraph"/>
              <w:ind w:left="102" w:right="308"/>
              <w:rPr>
                <w:rFonts w:ascii="Calibri" w:eastAsia="Calibri" w:hAnsi="Calibri" w:cs="Calibri"/>
                <w:sz w:val="20"/>
                <w:szCs w:val="20"/>
              </w:rPr>
            </w:pPr>
            <w:r>
              <w:rPr>
                <w:rFonts w:ascii="Calibri"/>
                <w:spacing w:val="-1"/>
                <w:sz w:val="20"/>
              </w:rPr>
              <w:t>Continue</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market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past</w:t>
            </w:r>
            <w:r>
              <w:rPr>
                <w:rFonts w:ascii="Calibri"/>
                <w:spacing w:val="-4"/>
                <w:sz w:val="20"/>
              </w:rPr>
              <w:t xml:space="preserve"> </w:t>
            </w:r>
            <w:r>
              <w:rPr>
                <w:rFonts w:ascii="Calibri"/>
                <w:spacing w:val="-1"/>
                <w:sz w:val="20"/>
              </w:rPr>
              <w:t>participants</w:t>
            </w:r>
            <w:r>
              <w:rPr>
                <w:rFonts w:ascii="Calibri"/>
                <w:spacing w:val="-6"/>
                <w:sz w:val="20"/>
              </w:rPr>
              <w:t xml:space="preserve"> </w:t>
            </w:r>
            <w:r>
              <w:rPr>
                <w:rFonts w:ascii="Calibri"/>
                <w:sz w:val="20"/>
              </w:rPr>
              <w:t>as</w:t>
            </w:r>
            <w:r>
              <w:rPr>
                <w:rFonts w:ascii="Calibri"/>
                <w:spacing w:val="-5"/>
                <w:sz w:val="20"/>
              </w:rPr>
              <w:t xml:space="preserve"> </w:t>
            </w:r>
            <w:r>
              <w:rPr>
                <w:rFonts w:ascii="Calibri"/>
                <w:spacing w:val="-1"/>
                <w:sz w:val="20"/>
              </w:rPr>
              <w:t>well</w:t>
            </w:r>
            <w:r>
              <w:rPr>
                <w:rFonts w:ascii="Calibri"/>
                <w:spacing w:val="-5"/>
                <w:sz w:val="20"/>
              </w:rPr>
              <w:t xml:space="preserve"> </w:t>
            </w:r>
            <w:r>
              <w:rPr>
                <w:rFonts w:ascii="Calibri"/>
                <w:sz w:val="20"/>
              </w:rPr>
              <w:t>as</w:t>
            </w:r>
            <w:r>
              <w:rPr>
                <w:rFonts w:ascii="Calibri"/>
                <w:spacing w:val="49"/>
                <w:w w:val="99"/>
                <w:sz w:val="20"/>
              </w:rPr>
              <w:t xml:space="preserve"> </w:t>
            </w:r>
            <w:r>
              <w:rPr>
                <w:rFonts w:ascii="Calibri"/>
                <w:spacing w:val="-1"/>
                <w:sz w:val="20"/>
              </w:rPr>
              <w:t>nonparticipants</w:t>
            </w:r>
            <w:r>
              <w:rPr>
                <w:rFonts w:ascii="Calibri"/>
                <w:spacing w:val="-9"/>
                <w:sz w:val="20"/>
              </w:rPr>
              <w:t xml:space="preserve"> </w:t>
            </w:r>
            <w:r>
              <w:rPr>
                <w:rFonts w:ascii="Calibri"/>
                <w:spacing w:val="-1"/>
                <w:sz w:val="20"/>
              </w:rPr>
              <w:t>if</w:t>
            </w:r>
            <w:r>
              <w:rPr>
                <w:rFonts w:ascii="Calibri"/>
                <w:spacing w:val="-9"/>
                <w:sz w:val="20"/>
              </w:rPr>
              <w:t xml:space="preserve"> </w:t>
            </w:r>
            <w:r>
              <w:rPr>
                <w:rFonts w:ascii="Calibri"/>
                <w:spacing w:val="-1"/>
                <w:sz w:val="20"/>
              </w:rPr>
              <w:t>additional</w:t>
            </w:r>
            <w:r>
              <w:rPr>
                <w:rFonts w:ascii="Calibri"/>
                <w:spacing w:val="-9"/>
                <w:sz w:val="20"/>
              </w:rPr>
              <w:t xml:space="preserve"> </w:t>
            </w:r>
            <w:r>
              <w:rPr>
                <w:rFonts w:ascii="Calibri"/>
                <w:spacing w:val="-1"/>
                <w:sz w:val="20"/>
              </w:rPr>
              <w:t>participation</w:t>
            </w:r>
            <w:r>
              <w:rPr>
                <w:rFonts w:ascii="Calibri"/>
                <w:spacing w:val="-7"/>
                <w:sz w:val="20"/>
              </w:rPr>
              <w:t xml:space="preserve"> </w:t>
            </w:r>
            <w:r>
              <w:rPr>
                <w:rFonts w:ascii="Calibri"/>
                <w:spacing w:val="-1"/>
                <w:sz w:val="20"/>
              </w:rPr>
              <w:t>is</w:t>
            </w:r>
            <w:r>
              <w:rPr>
                <w:rFonts w:ascii="Calibri"/>
                <w:spacing w:val="-9"/>
                <w:sz w:val="20"/>
              </w:rPr>
              <w:t xml:space="preserve"> </w:t>
            </w:r>
            <w:r>
              <w:rPr>
                <w:rFonts w:ascii="Calibri"/>
                <w:spacing w:val="-1"/>
                <w:sz w:val="20"/>
              </w:rPr>
              <w:t>needed.</w:t>
            </w:r>
          </w:p>
        </w:tc>
        <w:tc>
          <w:tcPr>
            <w:tcW w:w="4770" w:type="dxa"/>
            <w:shd w:val="clear" w:color="auto" w:fill="D2EAF1"/>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r w:rsidR="00E646C9" w:rsidTr="0011636D">
        <w:trPr>
          <w:trHeight w:hRule="exact" w:val="442"/>
        </w:trPr>
        <w:tc>
          <w:tcPr>
            <w:tcW w:w="4680" w:type="dxa"/>
          </w:tcPr>
          <w:p w:rsidR="00E646C9" w:rsidRDefault="00E646C9" w:rsidP="00C94D5A">
            <w:pPr>
              <w:pStyle w:val="TableParagraph"/>
              <w:spacing w:line="242" w:lineRule="exact"/>
              <w:ind w:left="102"/>
              <w:rPr>
                <w:rFonts w:ascii="Calibri" w:eastAsia="Calibri" w:hAnsi="Calibri" w:cs="Calibri"/>
                <w:sz w:val="20"/>
                <w:szCs w:val="20"/>
              </w:rPr>
            </w:pPr>
            <w:r>
              <w:rPr>
                <w:rFonts w:ascii="Calibri"/>
                <w:spacing w:val="-1"/>
                <w:sz w:val="20"/>
              </w:rPr>
              <w:t>Consider</w:t>
            </w:r>
            <w:r>
              <w:rPr>
                <w:rFonts w:ascii="Calibri"/>
                <w:spacing w:val="-8"/>
                <w:sz w:val="20"/>
              </w:rPr>
              <w:t xml:space="preserve"> </w:t>
            </w:r>
            <w:r>
              <w:rPr>
                <w:rFonts w:ascii="Calibri"/>
                <w:spacing w:val="-1"/>
                <w:sz w:val="20"/>
              </w:rPr>
              <w:t>engaging</w:t>
            </w:r>
            <w:r>
              <w:rPr>
                <w:rFonts w:ascii="Calibri"/>
                <w:spacing w:val="-9"/>
                <w:sz w:val="20"/>
              </w:rPr>
              <w:t xml:space="preserve"> </w:t>
            </w:r>
            <w:r>
              <w:rPr>
                <w:rFonts w:ascii="Calibri"/>
                <w:spacing w:val="-1"/>
                <w:sz w:val="20"/>
              </w:rPr>
              <w:t>new</w:t>
            </w:r>
            <w:r>
              <w:rPr>
                <w:rFonts w:ascii="Calibri"/>
                <w:spacing w:val="-7"/>
                <w:sz w:val="20"/>
              </w:rPr>
              <w:t xml:space="preserve"> </w:t>
            </w:r>
            <w:r>
              <w:rPr>
                <w:rFonts w:ascii="Calibri"/>
                <w:spacing w:val="-1"/>
                <w:sz w:val="20"/>
              </w:rPr>
              <w:t>contractors.</w:t>
            </w:r>
          </w:p>
        </w:tc>
        <w:tc>
          <w:tcPr>
            <w:tcW w:w="477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for</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p>
        </w:tc>
      </w:tr>
    </w:tbl>
    <w:p w:rsidR="005A786B" w:rsidRDefault="005A786B" w:rsidP="003B56E9"/>
    <w:p w:rsidR="00E646C9" w:rsidRDefault="00E646C9" w:rsidP="003B56E9">
      <w:pPr>
        <w:pStyle w:val="AppendixGHeading2"/>
      </w:pPr>
      <w:r>
        <w:t>Government and Institutional Program</w:t>
      </w:r>
    </w:p>
    <w:tbl>
      <w:tblPr>
        <w:tblW w:w="945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0"/>
        <w:gridCol w:w="4770"/>
      </w:tblGrid>
      <w:tr w:rsidR="00E646C9" w:rsidTr="0011636D">
        <w:trPr>
          <w:trHeight w:hRule="exact" w:val="704"/>
          <w:tblHeader/>
        </w:trPr>
        <w:tc>
          <w:tcPr>
            <w:tcW w:w="4680" w:type="dxa"/>
            <w:shd w:val="clear" w:color="auto" w:fill="448A99"/>
          </w:tcPr>
          <w:p w:rsidR="00E646C9" w:rsidRDefault="00E646C9" w:rsidP="004D470A">
            <w:pPr>
              <w:pStyle w:val="TableParagraph"/>
              <w:spacing w:line="218" w:lineRule="exact"/>
              <w:rPr>
                <w:rFonts w:ascii="Calibri" w:eastAsia="Calibri" w:hAnsi="Calibri" w:cs="Calibri"/>
                <w:sz w:val="18"/>
                <w:szCs w:val="18"/>
              </w:rPr>
            </w:pPr>
            <w:r>
              <w:rPr>
                <w:rFonts w:ascii="Calibri"/>
                <w:b/>
                <w:color w:val="FFFFFF"/>
                <w:spacing w:val="-1"/>
                <w:sz w:val="18"/>
              </w:rPr>
              <w:t>Recommendations</w:t>
            </w:r>
          </w:p>
        </w:tc>
        <w:tc>
          <w:tcPr>
            <w:tcW w:w="4770" w:type="dxa"/>
            <w:shd w:val="clear" w:color="auto" w:fill="448A99"/>
          </w:tcPr>
          <w:p w:rsidR="00E646C9" w:rsidRDefault="00E646C9" w:rsidP="00C94D5A">
            <w:pPr>
              <w:pStyle w:val="TableParagraph"/>
              <w:ind w:left="171" w:right="170" w:hanging="1"/>
              <w:jc w:val="center"/>
              <w:rPr>
                <w:rFonts w:ascii="Calibri" w:eastAsia="Calibri" w:hAnsi="Calibri" w:cs="Calibri"/>
                <w:sz w:val="18"/>
                <w:szCs w:val="18"/>
              </w:rPr>
            </w:pPr>
            <w:r>
              <w:rPr>
                <w:rFonts w:ascii="Calibri"/>
                <w:b/>
                <w:color w:val="FFFFFF"/>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5"/>
                <w:sz w:val="18"/>
              </w:rPr>
              <w:t xml:space="preserve"> </w:t>
            </w:r>
            <w:r>
              <w:rPr>
                <w:rFonts w:ascii="Calibri"/>
                <w:b/>
                <w:color w:val="FFFFFF"/>
                <w:spacing w:val="-1"/>
                <w:sz w:val="18"/>
              </w:rPr>
              <w:t>of</w:t>
            </w:r>
            <w:r>
              <w:rPr>
                <w:rFonts w:ascii="Calibri"/>
                <w:b/>
                <w:color w:val="FFFFFF"/>
                <w:spacing w:val="-4"/>
                <w:sz w:val="18"/>
              </w:rPr>
              <w:t xml:space="preserve"> </w:t>
            </w:r>
            <w:r>
              <w:rPr>
                <w:rFonts w:ascii="Calibri"/>
                <w:b/>
                <w:color w:val="FFFFFF"/>
                <w:spacing w:val="-1"/>
                <w:sz w:val="18"/>
              </w:rPr>
              <w:t>Recommendation</w:t>
            </w:r>
            <w:r>
              <w:rPr>
                <w:rFonts w:ascii="Calibri"/>
                <w:b/>
                <w:color w:val="FFFFFF"/>
                <w:spacing w:val="-4"/>
                <w:sz w:val="18"/>
              </w:rPr>
              <w:t xml:space="preserve"> </w:t>
            </w:r>
            <w:r w:rsidRPr="005A786B">
              <w:rPr>
                <w:rFonts w:ascii="Calibri"/>
                <w:color w:val="FFFFFF"/>
                <w:spacing w:val="-1"/>
                <w:sz w:val="18"/>
              </w:rPr>
              <w:t>(Implemented,</w:t>
            </w:r>
            <w:r w:rsidRPr="005A786B">
              <w:rPr>
                <w:rFonts w:ascii="Calibri"/>
                <w:color w:val="FFFFFF"/>
                <w:spacing w:val="-6"/>
                <w:sz w:val="18"/>
              </w:rPr>
              <w:t xml:space="preserve"> </w:t>
            </w:r>
            <w:r w:rsidRPr="005A786B">
              <w:rPr>
                <w:rFonts w:ascii="Calibri"/>
                <w:color w:val="FFFFFF"/>
                <w:spacing w:val="-1"/>
                <w:sz w:val="18"/>
              </w:rPr>
              <w:t>Being</w:t>
            </w:r>
            <w:r w:rsidRPr="005A786B">
              <w:rPr>
                <w:rFonts w:ascii="Calibri"/>
                <w:color w:val="FFFFFF"/>
                <w:spacing w:val="41"/>
                <w:sz w:val="18"/>
              </w:rPr>
              <w:t xml:space="preserve"> </w:t>
            </w:r>
            <w:r w:rsidRPr="005A786B">
              <w:rPr>
                <w:rFonts w:ascii="Calibri"/>
                <w:color w:val="FFFFFF"/>
                <w:spacing w:val="-1"/>
                <w:sz w:val="18"/>
              </w:rPr>
              <w:t>Considered,</w:t>
            </w:r>
            <w:r w:rsidRPr="005A786B">
              <w:rPr>
                <w:rFonts w:ascii="Calibri"/>
                <w:color w:val="FFFFFF"/>
                <w:spacing w:val="-5"/>
                <w:sz w:val="18"/>
              </w:rPr>
              <w:t xml:space="preserve"> </w:t>
            </w:r>
            <w:r w:rsidRPr="005A786B">
              <w:rPr>
                <w:rFonts w:ascii="Calibri"/>
                <w:color w:val="FFFFFF"/>
                <w:spacing w:val="-1"/>
                <w:sz w:val="18"/>
              </w:rPr>
              <w:t>Rejected</w:t>
            </w:r>
            <w:r w:rsidRPr="005A786B">
              <w:rPr>
                <w:rFonts w:ascii="Calibri"/>
                <w:color w:val="FFFFFF"/>
                <w:spacing w:val="-5"/>
                <w:sz w:val="18"/>
              </w:rPr>
              <w:t xml:space="preserve"> </w:t>
            </w:r>
            <w:r w:rsidRPr="005A786B">
              <w:rPr>
                <w:rFonts w:ascii="Calibri"/>
                <w:color w:val="FFFFFF"/>
                <w:sz w:val="18"/>
              </w:rPr>
              <w:t>AND</w:t>
            </w:r>
            <w:r w:rsidRPr="005A786B">
              <w:rPr>
                <w:rFonts w:ascii="Calibri"/>
                <w:color w:val="FFFFFF"/>
                <w:spacing w:val="-5"/>
                <w:sz w:val="18"/>
              </w:rPr>
              <w:t xml:space="preserve"> </w:t>
            </w:r>
            <w:r w:rsidRPr="005A786B">
              <w:rPr>
                <w:rFonts w:ascii="Calibri"/>
                <w:color w:val="FFFFFF"/>
                <w:spacing w:val="-1"/>
                <w:sz w:val="18"/>
              </w:rPr>
              <w:t>Explanation</w:t>
            </w:r>
            <w:r w:rsidRPr="005A786B">
              <w:rPr>
                <w:rFonts w:ascii="Calibri"/>
                <w:color w:val="FFFFFF"/>
                <w:spacing w:val="-3"/>
                <w:sz w:val="18"/>
              </w:rPr>
              <w:t xml:space="preserve"> </w:t>
            </w:r>
            <w:r w:rsidRPr="005A786B">
              <w:rPr>
                <w:rFonts w:ascii="Calibri"/>
                <w:color w:val="FFFFFF"/>
                <w:spacing w:val="-1"/>
                <w:sz w:val="18"/>
              </w:rPr>
              <w:t>of</w:t>
            </w:r>
            <w:r w:rsidRPr="005A786B">
              <w:rPr>
                <w:rFonts w:ascii="Calibri"/>
                <w:color w:val="FFFFFF"/>
                <w:spacing w:val="-4"/>
                <w:sz w:val="18"/>
              </w:rPr>
              <w:t xml:space="preserve"> </w:t>
            </w:r>
            <w:r w:rsidRPr="005A786B">
              <w:rPr>
                <w:rFonts w:ascii="Calibri"/>
                <w:color w:val="FFFFFF"/>
                <w:spacing w:val="-1"/>
                <w:sz w:val="18"/>
              </w:rPr>
              <w:t>Action</w:t>
            </w:r>
            <w:r w:rsidRPr="005A786B">
              <w:rPr>
                <w:rFonts w:ascii="Calibri"/>
                <w:color w:val="FFFFFF"/>
                <w:spacing w:val="-5"/>
                <w:sz w:val="18"/>
              </w:rPr>
              <w:t xml:space="preserve"> </w:t>
            </w:r>
            <w:r w:rsidRPr="005A786B">
              <w:rPr>
                <w:rFonts w:ascii="Calibri"/>
                <w:color w:val="FFFFFF"/>
                <w:spacing w:val="-1"/>
                <w:sz w:val="18"/>
              </w:rPr>
              <w:t>Taken</w:t>
            </w:r>
            <w:r w:rsidRPr="005A786B">
              <w:rPr>
                <w:rFonts w:ascii="Calibri"/>
                <w:color w:val="FFFFFF"/>
                <w:spacing w:val="-4"/>
                <w:sz w:val="18"/>
              </w:rPr>
              <w:t xml:space="preserve"> </w:t>
            </w:r>
            <w:r w:rsidRPr="005A786B">
              <w:rPr>
                <w:rFonts w:ascii="Calibri"/>
                <w:color w:val="FFFFFF"/>
                <w:spacing w:val="-1"/>
                <w:sz w:val="18"/>
              </w:rPr>
              <w:t>by</w:t>
            </w:r>
            <w:r w:rsidRPr="005A786B">
              <w:rPr>
                <w:rFonts w:ascii="Calibri"/>
                <w:color w:val="FFFFFF"/>
                <w:spacing w:val="55"/>
                <w:w w:val="99"/>
                <w:sz w:val="18"/>
              </w:rPr>
              <w:t xml:space="preserve"> </w:t>
            </w:r>
            <w:r w:rsidRPr="005A786B">
              <w:rPr>
                <w:rFonts w:ascii="Calibri"/>
                <w:color w:val="FFFFFF"/>
                <w:sz w:val="18"/>
              </w:rPr>
              <w:t>EDC)</w:t>
            </w:r>
          </w:p>
        </w:tc>
      </w:tr>
      <w:tr w:rsidR="00E646C9" w:rsidTr="0011636D">
        <w:trPr>
          <w:trHeight w:hRule="exact" w:val="1109"/>
        </w:trPr>
        <w:tc>
          <w:tcPr>
            <w:tcW w:w="4680" w:type="dxa"/>
            <w:shd w:val="clear" w:color="auto" w:fill="D2EAF1"/>
          </w:tcPr>
          <w:p w:rsidR="00E646C9" w:rsidRDefault="00E646C9" w:rsidP="00C94D5A">
            <w:pPr>
              <w:pStyle w:val="TableParagraph"/>
              <w:ind w:left="102" w:right="99"/>
              <w:jc w:val="both"/>
              <w:rPr>
                <w:rFonts w:ascii="Calibri" w:eastAsia="Calibri" w:hAnsi="Calibri" w:cs="Calibri"/>
                <w:sz w:val="18"/>
                <w:szCs w:val="18"/>
              </w:rPr>
            </w:pPr>
            <w:r>
              <w:rPr>
                <w:rFonts w:ascii="Calibri"/>
                <w:spacing w:val="-1"/>
                <w:sz w:val="18"/>
              </w:rPr>
              <w:t>Continue</w:t>
            </w:r>
            <w:r>
              <w:rPr>
                <w:rFonts w:ascii="Calibri"/>
                <w:spacing w:val="36"/>
                <w:sz w:val="18"/>
              </w:rPr>
              <w:t xml:space="preserve"> </w:t>
            </w:r>
            <w:r>
              <w:rPr>
                <w:rFonts w:ascii="Calibri"/>
                <w:spacing w:val="-1"/>
                <w:sz w:val="18"/>
              </w:rPr>
              <w:t>conducting</w:t>
            </w:r>
            <w:r>
              <w:rPr>
                <w:rFonts w:ascii="Calibri"/>
                <w:spacing w:val="36"/>
                <w:sz w:val="18"/>
              </w:rPr>
              <w:t xml:space="preserve"> </w:t>
            </w:r>
            <w:r>
              <w:rPr>
                <w:rFonts w:ascii="Calibri"/>
                <w:sz w:val="18"/>
              </w:rPr>
              <w:t>outreach</w:t>
            </w:r>
            <w:r>
              <w:rPr>
                <w:rFonts w:ascii="Calibri"/>
                <w:spacing w:val="36"/>
                <w:sz w:val="18"/>
              </w:rPr>
              <w:t xml:space="preserve"> </w:t>
            </w:r>
            <w:r>
              <w:rPr>
                <w:rFonts w:ascii="Calibri"/>
                <w:spacing w:val="-1"/>
                <w:sz w:val="18"/>
              </w:rPr>
              <w:t>with</w:t>
            </w:r>
            <w:r>
              <w:rPr>
                <w:rFonts w:ascii="Calibri"/>
                <w:spacing w:val="36"/>
                <w:sz w:val="18"/>
              </w:rPr>
              <w:t xml:space="preserve"> </w:t>
            </w:r>
            <w:r>
              <w:rPr>
                <w:rFonts w:ascii="Calibri"/>
                <w:spacing w:val="-1"/>
                <w:sz w:val="18"/>
              </w:rPr>
              <w:t>trade</w:t>
            </w:r>
            <w:r>
              <w:rPr>
                <w:rFonts w:ascii="Calibri"/>
                <w:spacing w:val="36"/>
                <w:sz w:val="18"/>
              </w:rPr>
              <w:t xml:space="preserve"> </w:t>
            </w:r>
            <w:r>
              <w:rPr>
                <w:rFonts w:ascii="Calibri"/>
                <w:spacing w:val="-1"/>
                <w:sz w:val="18"/>
              </w:rPr>
              <w:t>allies</w:t>
            </w:r>
            <w:r>
              <w:rPr>
                <w:rFonts w:ascii="Calibri"/>
                <w:spacing w:val="36"/>
                <w:sz w:val="18"/>
              </w:rPr>
              <w:t xml:space="preserve"> </w:t>
            </w:r>
            <w:r>
              <w:rPr>
                <w:rFonts w:ascii="Calibri"/>
                <w:spacing w:val="-1"/>
                <w:sz w:val="18"/>
              </w:rPr>
              <w:t>and</w:t>
            </w:r>
            <w:r>
              <w:rPr>
                <w:rFonts w:ascii="Calibri"/>
                <w:spacing w:val="44"/>
                <w:sz w:val="18"/>
              </w:rPr>
              <w:t xml:space="preserve"> </w:t>
            </w:r>
            <w:r>
              <w:rPr>
                <w:rFonts w:ascii="Calibri"/>
                <w:spacing w:val="-1"/>
                <w:sz w:val="18"/>
              </w:rPr>
              <w:t>contractors</w:t>
            </w:r>
            <w:r>
              <w:rPr>
                <w:rFonts w:ascii="Calibri"/>
                <w:spacing w:val="6"/>
                <w:sz w:val="18"/>
              </w:rPr>
              <w:t xml:space="preserve"> </w:t>
            </w:r>
            <w:r>
              <w:rPr>
                <w:rFonts w:ascii="Calibri"/>
                <w:spacing w:val="-1"/>
                <w:sz w:val="18"/>
              </w:rPr>
              <w:t>to</w:t>
            </w:r>
            <w:r>
              <w:rPr>
                <w:rFonts w:ascii="Calibri"/>
                <w:spacing w:val="7"/>
                <w:sz w:val="18"/>
              </w:rPr>
              <w:t xml:space="preserve"> </w:t>
            </w:r>
            <w:r>
              <w:rPr>
                <w:rFonts w:ascii="Calibri"/>
                <w:spacing w:val="-1"/>
                <w:sz w:val="18"/>
              </w:rPr>
              <w:t>promote</w:t>
            </w:r>
            <w:r>
              <w:rPr>
                <w:rFonts w:ascii="Calibri"/>
                <w:spacing w:val="7"/>
                <w:sz w:val="18"/>
              </w:rPr>
              <w:t xml:space="preserve"> </w:t>
            </w:r>
            <w:r>
              <w:rPr>
                <w:rFonts w:ascii="Calibri"/>
                <w:spacing w:val="-1"/>
                <w:sz w:val="18"/>
              </w:rPr>
              <w:t>the</w:t>
            </w:r>
            <w:r>
              <w:rPr>
                <w:rFonts w:ascii="Calibri"/>
                <w:spacing w:val="6"/>
                <w:sz w:val="18"/>
              </w:rPr>
              <w:t xml:space="preserve"> </w:t>
            </w:r>
            <w:r>
              <w:rPr>
                <w:rFonts w:ascii="Calibri"/>
                <w:sz w:val="18"/>
              </w:rPr>
              <w:t>program</w:t>
            </w:r>
            <w:r>
              <w:rPr>
                <w:rFonts w:ascii="Calibri"/>
                <w:spacing w:val="7"/>
                <w:sz w:val="18"/>
              </w:rPr>
              <w:t xml:space="preserve"> </w:t>
            </w:r>
            <w:r>
              <w:rPr>
                <w:rFonts w:ascii="Calibri"/>
                <w:spacing w:val="-1"/>
                <w:sz w:val="18"/>
              </w:rPr>
              <w:t>when</w:t>
            </w:r>
            <w:r>
              <w:rPr>
                <w:rFonts w:ascii="Calibri"/>
                <w:spacing w:val="6"/>
                <w:sz w:val="18"/>
              </w:rPr>
              <w:t xml:space="preserve"> </w:t>
            </w:r>
            <w:r>
              <w:rPr>
                <w:rFonts w:ascii="Calibri"/>
                <w:spacing w:val="-1"/>
                <w:sz w:val="18"/>
              </w:rPr>
              <w:t>working</w:t>
            </w:r>
            <w:r>
              <w:rPr>
                <w:rFonts w:ascii="Calibri"/>
                <w:spacing w:val="6"/>
                <w:sz w:val="18"/>
              </w:rPr>
              <w:t xml:space="preserve"> </w:t>
            </w:r>
            <w:r>
              <w:rPr>
                <w:rFonts w:ascii="Calibri"/>
                <w:spacing w:val="-1"/>
                <w:sz w:val="18"/>
              </w:rPr>
              <w:t>with</w:t>
            </w:r>
            <w:r>
              <w:rPr>
                <w:rFonts w:ascii="Calibri"/>
                <w:spacing w:val="38"/>
                <w:sz w:val="18"/>
              </w:rPr>
              <w:t xml:space="preserve"> </w:t>
            </w:r>
            <w:r>
              <w:rPr>
                <w:rFonts w:ascii="Calibri"/>
                <w:spacing w:val="-1"/>
                <w:sz w:val="18"/>
              </w:rPr>
              <w:t>commercial</w:t>
            </w:r>
            <w:r>
              <w:rPr>
                <w:rFonts w:ascii="Calibri"/>
                <w:spacing w:val="28"/>
                <w:sz w:val="18"/>
              </w:rPr>
              <w:t xml:space="preserve"> </w:t>
            </w:r>
            <w:r>
              <w:rPr>
                <w:rFonts w:ascii="Calibri"/>
                <w:spacing w:val="-1"/>
                <w:sz w:val="18"/>
              </w:rPr>
              <w:t>customers,</w:t>
            </w:r>
            <w:r>
              <w:rPr>
                <w:rFonts w:ascii="Calibri"/>
                <w:spacing w:val="29"/>
                <w:sz w:val="18"/>
              </w:rPr>
              <w:t xml:space="preserve"> </w:t>
            </w:r>
            <w:r>
              <w:rPr>
                <w:rFonts w:ascii="Calibri"/>
                <w:sz w:val="18"/>
              </w:rPr>
              <w:t>and</w:t>
            </w:r>
            <w:r>
              <w:rPr>
                <w:rFonts w:ascii="Calibri"/>
                <w:spacing w:val="27"/>
                <w:sz w:val="18"/>
              </w:rPr>
              <w:t xml:space="preserve"> </w:t>
            </w:r>
            <w:r>
              <w:rPr>
                <w:rFonts w:ascii="Calibri"/>
                <w:spacing w:val="-1"/>
                <w:sz w:val="18"/>
              </w:rPr>
              <w:t>continue</w:t>
            </w:r>
            <w:r>
              <w:rPr>
                <w:rFonts w:ascii="Calibri"/>
                <w:spacing w:val="29"/>
                <w:sz w:val="18"/>
              </w:rPr>
              <w:t xml:space="preserve"> </w:t>
            </w:r>
            <w:r>
              <w:rPr>
                <w:rFonts w:ascii="Calibri"/>
                <w:spacing w:val="-1"/>
                <w:sz w:val="18"/>
              </w:rPr>
              <w:t>incorporating</w:t>
            </w:r>
            <w:r>
              <w:rPr>
                <w:rFonts w:ascii="Calibri"/>
                <w:spacing w:val="30"/>
                <w:sz w:val="18"/>
              </w:rPr>
              <w:t xml:space="preserve"> </w:t>
            </w:r>
            <w:r>
              <w:rPr>
                <w:rFonts w:ascii="Calibri"/>
                <w:spacing w:val="-1"/>
                <w:sz w:val="18"/>
              </w:rPr>
              <w:t>case</w:t>
            </w:r>
            <w:r>
              <w:rPr>
                <w:rFonts w:ascii="Calibri"/>
                <w:spacing w:val="65"/>
                <w:w w:val="99"/>
                <w:sz w:val="18"/>
              </w:rPr>
              <w:t xml:space="preserve"> </w:t>
            </w:r>
            <w:r>
              <w:rPr>
                <w:rFonts w:ascii="Calibri"/>
                <w:spacing w:val="-1"/>
                <w:sz w:val="18"/>
              </w:rPr>
              <w:t>studies</w:t>
            </w:r>
            <w:r>
              <w:rPr>
                <w:rFonts w:ascii="Calibri"/>
                <w:spacing w:val="-8"/>
                <w:sz w:val="18"/>
              </w:rPr>
              <w:t xml:space="preserve"> </w:t>
            </w:r>
            <w:r>
              <w:rPr>
                <w:rFonts w:ascii="Calibri"/>
                <w:sz w:val="18"/>
              </w:rPr>
              <w:t>and</w:t>
            </w:r>
            <w:r>
              <w:rPr>
                <w:rFonts w:ascii="Calibri"/>
                <w:spacing w:val="-8"/>
                <w:sz w:val="18"/>
              </w:rPr>
              <w:t xml:space="preserve"> </w:t>
            </w:r>
            <w:r>
              <w:rPr>
                <w:rFonts w:ascii="Calibri"/>
                <w:spacing w:val="-1"/>
                <w:sz w:val="18"/>
              </w:rPr>
              <w:t>testimonials</w:t>
            </w:r>
            <w:r>
              <w:rPr>
                <w:rFonts w:ascii="Calibri"/>
                <w:spacing w:val="-8"/>
                <w:sz w:val="18"/>
              </w:rPr>
              <w:t xml:space="preserve"> </w:t>
            </w:r>
            <w:r>
              <w:rPr>
                <w:rFonts w:ascii="Calibri"/>
                <w:spacing w:val="-1"/>
                <w:sz w:val="18"/>
              </w:rPr>
              <w:t>into</w:t>
            </w:r>
            <w:r>
              <w:rPr>
                <w:rFonts w:ascii="Calibri"/>
                <w:spacing w:val="-6"/>
                <w:sz w:val="18"/>
              </w:rPr>
              <w:t xml:space="preserve"> </w:t>
            </w:r>
            <w:r>
              <w:rPr>
                <w:rFonts w:ascii="Calibri"/>
                <w:spacing w:val="-1"/>
                <w:sz w:val="18"/>
              </w:rPr>
              <w:t>marketing</w:t>
            </w:r>
            <w:r>
              <w:rPr>
                <w:rFonts w:ascii="Calibri"/>
                <w:spacing w:val="-7"/>
                <w:sz w:val="18"/>
              </w:rPr>
              <w:t xml:space="preserve"> </w:t>
            </w:r>
            <w:r>
              <w:rPr>
                <w:rFonts w:ascii="Calibri"/>
                <w:spacing w:val="-1"/>
                <w:sz w:val="18"/>
              </w:rPr>
              <w:t>materials</w:t>
            </w:r>
            <w:r>
              <w:rPr>
                <w:rFonts w:ascii="Calibri"/>
                <w:spacing w:val="-8"/>
                <w:sz w:val="18"/>
              </w:rPr>
              <w:t xml:space="preserve"> </w:t>
            </w:r>
            <w:r>
              <w:rPr>
                <w:rFonts w:ascii="Calibri"/>
                <w:spacing w:val="-1"/>
                <w:sz w:val="18"/>
              </w:rPr>
              <w:t>provided</w:t>
            </w:r>
            <w:r>
              <w:rPr>
                <w:rFonts w:ascii="Calibri"/>
                <w:spacing w:val="-8"/>
                <w:sz w:val="18"/>
              </w:rPr>
              <w:t xml:space="preserve"> </w:t>
            </w:r>
            <w:r>
              <w:rPr>
                <w:rFonts w:ascii="Calibri"/>
                <w:spacing w:val="-1"/>
                <w:sz w:val="18"/>
              </w:rPr>
              <w:t>to</w:t>
            </w:r>
            <w:r>
              <w:rPr>
                <w:rFonts w:ascii="Calibri"/>
                <w:spacing w:val="63"/>
                <w:sz w:val="18"/>
              </w:rPr>
              <w:t xml:space="preserve"> </w:t>
            </w:r>
            <w:r>
              <w:rPr>
                <w:rFonts w:ascii="Calibri"/>
                <w:spacing w:val="-1"/>
                <w:sz w:val="18"/>
              </w:rPr>
              <w:t>customers</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trade</w:t>
            </w:r>
            <w:r>
              <w:rPr>
                <w:rFonts w:ascii="Calibri"/>
                <w:spacing w:val="-3"/>
                <w:sz w:val="18"/>
              </w:rPr>
              <w:t xml:space="preserve"> </w:t>
            </w:r>
            <w:r>
              <w:rPr>
                <w:rFonts w:ascii="Calibri"/>
                <w:spacing w:val="-1"/>
                <w:sz w:val="18"/>
              </w:rPr>
              <w:t>allies.</w:t>
            </w:r>
          </w:p>
        </w:tc>
        <w:tc>
          <w:tcPr>
            <w:tcW w:w="4770" w:type="dxa"/>
            <w:shd w:val="clear" w:color="auto" w:fill="D2EAF1"/>
          </w:tcPr>
          <w:p w:rsidR="00E646C9" w:rsidRDefault="00E646C9" w:rsidP="00C94D5A">
            <w:pPr>
              <w:pStyle w:val="TableParagraph"/>
              <w:spacing w:line="218" w:lineRule="exact"/>
              <w:ind w:left="142"/>
              <w:rPr>
                <w:rFonts w:ascii="Calibri" w:eastAsia="Calibri" w:hAnsi="Calibri" w:cs="Calibri"/>
                <w:sz w:val="18"/>
                <w:szCs w:val="18"/>
              </w:rPr>
            </w:pPr>
            <w:r>
              <w:rPr>
                <w:rFonts w:ascii="Calibri"/>
                <w:spacing w:val="-1"/>
                <w:sz w:val="18"/>
              </w:rPr>
              <w:t>Implemented</w:t>
            </w:r>
          </w:p>
        </w:tc>
      </w:tr>
      <w:tr w:rsidR="00E646C9" w:rsidTr="0011636D">
        <w:trPr>
          <w:trHeight w:hRule="exact" w:val="889"/>
        </w:trPr>
        <w:tc>
          <w:tcPr>
            <w:tcW w:w="4680" w:type="dxa"/>
          </w:tcPr>
          <w:p w:rsidR="00E646C9" w:rsidRDefault="00E646C9" w:rsidP="00C94D5A">
            <w:pPr>
              <w:pStyle w:val="TableParagraph"/>
              <w:ind w:left="102" w:right="99"/>
              <w:jc w:val="both"/>
              <w:rPr>
                <w:rFonts w:ascii="Calibri" w:eastAsia="Calibri" w:hAnsi="Calibri" w:cs="Calibri"/>
                <w:sz w:val="18"/>
                <w:szCs w:val="18"/>
              </w:rPr>
            </w:pPr>
            <w:r>
              <w:rPr>
                <w:rFonts w:ascii="Calibri"/>
                <w:spacing w:val="-1"/>
                <w:sz w:val="18"/>
              </w:rPr>
              <w:t>Seek</w:t>
            </w:r>
            <w:r>
              <w:rPr>
                <w:rFonts w:ascii="Calibri"/>
                <w:spacing w:val="27"/>
                <w:sz w:val="18"/>
              </w:rPr>
              <w:t xml:space="preserve"> </w:t>
            </w:r>
            <w:r>
              <w:rPr>
                <w:rFonts w:ascii="Calibri"/>
                <w:spacing w:val="-1"/>
                <w:sz w:val="18"/>
              </w:rPr>
              <w:t>opportunities</w:t>
            </w:r>
            <w:r>
              <w:rPr>
                <w:rFonts w:ascii="Calibri"/>
                <w:spacing w:val="28"/>
                <w:sz w:val="18"/>
              </w:rPr>
              <w:t xml:space="preserve"> </w:t>
            </w:r>
            <w:r>
              <w:rPr>
                <w:rFonts w:ascii="Calibri"/>
                <w:spacing w:val="-1"/>
                <w:sz w:val="18"/>
              </w:rPr>
              <w:t>to</w:t>
            </w:r>
            <w:r>
              <w:rPr>
                <w:rFonts w:ascii="Calibri"/>
                <w:spacing w:val="29"/>
                <w:sz w:val="18"/>
              </w:rPr>
              <w:t xml:space="preserve"> </w:t>
            </w:r>
            <w:r>
              <w:rPr>
                <w:rFonts w:ascii="Calibri"/>
                <w:spacing w:val="-1"/>
                <w:sz w:val="18"/>
              </w:rPr>
              <w:t>provide</w:t>
            </w:r>
            <w:r>
              <w:rPr>
                <w:rFonts w:ascii="Calibri"/>
                <w:spacing w:val="28"/>
                <w:sz w:val="18"/>
              </w:rPr>
              <w:t xml:space="preserve"> </w:t>
            </w:r>
            <w:r>
              <w:rPr>
                <w:rFonts w:ascii="Calibri"/>
                <w:spacing w:val="-1"/>
                <w:sz w:val="18"/>
              </w:rPr>
              <w:t>contractors</w:t>
            </w:r>
            <w:r>
              <w:rPr>
                <w:rFonts w:ascii="Calibri"/>
                <w:spacing w:val="27"/>
                <w:sz w:val="18"/>
              </w:rPr>
              <w:t xml:space="preserve"> </w:t>
            </w:r>
            <w:r>
              <w:rPr>
                <w:rFonts w:ascii="Calibri"/>
                <w:spacing w:val="-1"/>
                <w:sz w:val="18"/>
              </w:rPr>
              <w:t>and</w:t>
            </w:r>
            <w:r>
              <w:rPr>
                <w:rFonts w:ascii="Calibri"/>
                <w:spacing w:val="27"/>
                <w:sz w:val="18"/>
              </w:rPr>
              <w:t xml:space="preserve"> </w:t>
            </w:r>
            <w:r>
              <w:rPr>
                <w:rFonts w:ascii="Calibri"/>
                <w:spacing w:val="-1"/>
                <w:sz w:val="18"/>
              </w:rPr>
              <w:t>targeted</w:t>
            </w:r>
            <w:r>
              <w:rPr>
                <w:rFonts w:ascii="Calibri"/>
                <w:spacing w:val="55"/>
                <w:sz w:val="18"/>
              </w:rPr>
              <w:t xml:space="preserve"> </w:t>
            </w:r>
            <w:r>
              <w:rPr>
                <w:rFonts w:ascii="Calibri"/>
                <w:spacing w:val="-1"/>
                <w:sz w:val="18"/>
              </w:rPr>
              <w:t>customers</w:t>
            </w:r>
            <w:r>
              <w:rPr>
                <w:rFonts w:ascii="Calibri"/>
                <w:spacing w:val="-4"/>
                <w:sz w:val="18"/>
              </w:rPr>
              <w:t xml:space="preserve"> </w:t>
            </w:r>
            <w:r>
              <w:rPr>
                <w:rFonts w:ascii="Calibri"/>
                <w:sz w:val="18"/>
              </w:rPr>
              <w:t>with</w:t>
            </w:r>
            <w:r>
              <w:rPr>
                <w:rFonts w:ascii="Calibri"/>
                <w:spacing w:val="-3"/>
                <w:sz w:val="18"/>
              </w:rPr>
              <w:t xml:space="preserve"> </w:t>
            </w:r>
            <w:r>
              <w:rPr>
                <w:rFonts w:ascii="Calibri"/>
                <w:spacing w:val="-1"/>
                <w:sz w:val="18"/>
              </w:rPr>
              <w:t>additional</w:t>
            </w:r>
            <w:r>
              <w:rPr>
                <w:rFonts w:ascii="Calibri"/>
                <w:sz w:val="18"/>
              </w:rPr>
              <w:t xml:space="preserve"> </w:t>
            </w:r>
            <w:r>
              <w:rPr>
                <w:rFonts w:ascii="Calibri"/>
                <w:spacing w:val="-1"/>
                <w:sz w:val="18"/>
              </w:rPr>
              <w:t>literature</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marketing</w:t>
            </w:r>
            <w:r>
              <w:rPr>
                <w:rFonts w:ascii="Calibri"/>
                <w:spacing w:val="-3"/>
                <w:sz w:val="18"/>
              </w:rPr>
              <w:t xml:space="preserve"> </w:t>
            </w:r>
            <w:r>
              <w:rPr>
                <w:rFonts w:ascii="Calibri"/>
                <w:spacing w:val="-1"/>
                <w:sz w:val="18"/>
              </w:rPr>
              <w:t>materials</w:t>
            </w:r>
            <w:r>
              <w:rPr>
                <w:rFonts w:ascii="Calibri"/>
                <w:spacing w:val="70"/>
                <w:sz w:val="18"/>
              </w:rPr>
              <w:t xml:space="preserve"> </w:t>
            </w:r>
            <w:r>
              <w:rPr>
                <w:rFonts w:ascii="Calibri"/>
                <w:spacing w:val="-1"/>
                <w:sz w:val="18"/>
              </w:rPr>
              <w:t>they</w:t>
            </w:r>
            <w:r>
              <w:rPr>
                <w:rFonts w:ascii="Calibri"/>
                <w:spacing w:val="8"/>
                <w:sz w:val="18"/>
              </w:rPr>
              <w:t xml:space="preserve"> </w:t>
            </w:r>
            <w:r>
              <w:rPr>
                <w:rFonts w:ascii="Calibri"/>
                <w:sz w:val="18"/>
              </w:rPr>
              <w:t>can</w:t>
            </w:r>
            <w:r>
              <w:rPr>
                <w:rFonts w:ascii="Calibri"/>
                <w:spacing w:val="6"/>
                <w:sz w:val="18"/>
              </w:rPr>
              <w:t xml:space="preserve"> </w:t>
            </w:r>
            <w:r>
              <w:rPr>
                <w:rFonts w:ascii="Calibri"/>
                <w:spacing w:val="-1"/>
                <w:sz w:val="18"/>
              </w:rPr>
              <w:t>use</w:t>
            </w:r>
            <w:r>
              <w:rPr>
                <w:rFonts w:ascii="Calibri"/>
                <w:spacing w:val="7"/>
                <w:sz w:val="18"/>
              </w:rPr>
              <w:t xml:space="preserve"> </w:t>
            </w:r>
            <w:r>
              <w:rPr>
                <w:rFonts w:ascii="Calibri"/>
                <w:spacing w:val="-1"/>
                <w:sz w:val="18"/>
              </w:rPr>
              <w:t>to</w:t>
            </w:r>
            <w:r>
              <w:rPr>
                <w:rFonts w:ascii="Calibri"/>
                <w:spacing w:val="9"/>
                <w:sz w:val="18"/>
              </w:rPr>
              <w:t xml:space="preserve"> </w:t>
            </w:r>
            <w:r>
              <w:rPr>
                <w:rFonts w:ascii="Calibri"/>
                <w:spacing w:val="-1"/>
                <w:sz w:val="18"/>
              </w:rPr>
              <w:t>convey</w:t>
            </w:r>
            <w:r>
              <w:rPr>
                <w:rFonts w:ascii="Calibri"/>
                <w:spacing w:val="8"/>
                <w:sz w:val="18"/>
              </w:rPr>
              <w:t xml:space="preserve"> </w:t>
            </w:r>
            <w:r>
              <w:rPr>
                <w:rFonts w:ascii="Calibri"/>
                <w:spacing w:val="-1"/>
                <w:sz w:val="18"/>
              </w:rPr>
              <w:t>benefits</w:t>
            </w:r>
            <w:r>
              <w:rPr>
                <w:rFonts w:ascii="Calibri"/>
                <w:spacing w:val="7"/>
                <w:sz w:val="18"/>
              </w:rPr>
              <w:t xml:space="preserve"> </w:t>
            </w:r>
            <w:r>
              <w:rPr>
                <w:rFonts w:ascii="Calibri"/>
                <w:sz w:val="18"/>
              </w:rPr>
              <w:t>of</w:t>
            </w:r>
            <w:r>
              <w:rPr>
                <w:rFonts w:ascii="Calibri"/>
                <w:spacing w:val="9"/>
                <w:sz w:val="18"/>
              </w:rPr>
              <w:t xml:space="preserve"> </w:t>
            </w:r>
            <w:r>
              <w:rPr>
                <w:rFonts w:ascii="Calibri"/>
                <w:spacing w:val="-1"/>
                <w:sz w:val="18"/>
              </w:rPr>
              <w:t>the</w:t>
            </w:r>
            <w:r>
              <w:rPr>
                <w:rFonts w:ascii="Calibri"/>
                <w:spacing w:val="7"/>
                <w:sz w:val="18"/>
              </w:rPr>
              <w:t xml:space="preserve"> </w:t>
            </w:r>
            <w:r>
              <w:rPr>
                <w:rFonts w:ascii="Calibri"/>
                <w:spacing w:val="-1"/>
                <w:sz w:val="18"/>
              </w:rPr>
              <w:t>program</w:t>
            </w:r>
            <w:r>
              <w:rPr>
                <w:rFonts w:ascii="Calibri"/>
                <w:spacing w:val="8"/>
                <w:sz w:val="18"/>
              </w:rPr>
              <w:t xml:space="preserve"> </w:t>
            </w:r>
            <w:r>
              <w:rPr>
                <w:rFonts w:ascii="Calibri"/>
                <w:spacing w:val="-1"/>
                <w:sz w:val="18"/>
              </w:rPr>
              <w:t>to</w:t>
            </w:r>
            <w:r>
              <w:rPr>
                <w:rFonts w:ascii="Calibri"/>
                <w:spacing w:val="39"/>
                <w:sz w:val="18"/>
              </w:rPr>
              <w:t xml:space="preserve"> </w:t>
            </w:r>
            <w:r>
              <w:rPr>
                <w:rFonts w:ascii="Calibri"/>
                <w:spacing w:val="-1"/>
                <w:sz w:val="18"/>
              </w:rPr>
              <w:t>management</w:t>
            </w:r>
            <w:r>
              <w:rPr>
                <w:rFonts w:ascii="Calibri"/>
                <w:spacing w:val="-8"/>
                <w:sz w:val="18"/>
              </w:rPr>
              <w:t xml:space="preserve"> </w:t>
            </w:r>
            <w:r>
              <w:rPr>
                <w:rFonts w:ascii="Calibri"/>
                <w:spacing w:val="-1"/>
                <w:sz w:val="18"/>
              </w:rPr>
              <w:t>staff.</w:t>
            </w:r>
          </w:p>
        </w:tc>
        <w:tc>
          <w:tcPr>
            <w:tcW w:w="4770"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Being</w:t>
            </w:r>
            <w:r>
              <w:rPr>
                <w:rFonts w:ascii="Calibri"/>
                <w:spacing w:val="-7"/>
                <w:sz w:val="18"/>
              </w:rPr>
              <w:t xml:space="preserve"> </w:t>
            </w:r>
            <w:r>
              <w:rPr>
                <w:rFonts w:ascii="Calibri"/>
                <w:spacing w:val="-1"/>
                <w:sz w:val="18"/>
              </w:rPr>
              <w:t>Considered</w:t>
            </w:r>
          </w:p>
        </w:tc>
      </w:tr>
      <w:tr w:rsidR="00E646C9" w:rsidTr="0011636D">
        <w:trPr>
          <w:trHeight w:hRule="exact" w:val="668"/>
        </w:trPr>
        <w:tc>
          <w:tcPr>
            <w:tcW w:w="4680" w:type="dxa"/>
            <w:shd w:val="clear" w:color="auto" w:fill="D2EAF1"/>
          </w:tcPr>
          <w:p w:rsidR="00E646C9" w:rsidRDefault="00E646C9" w:rsidP="00C94D5A">
            <w:pPr>
              <w:pStyle w:val="TableParagraph"/>
              <w:ind w:left="102" w:right="101"/>
              <w:jc w:val="both"/>
              <w:rPr>
                <w:rFonts w:ascii="Calibri" w:eastAsia="Calibri" w:hAnsi="Calibri" w:cs="Calibri"/>
                <w:sz w:val="18"/>
                <w:szCs w:val="18"/>
              </w:rPr>
            </w:pPr>
            <w:r>
              <w:rPr>
                <w:rFonts w:ascii="Calibri"/>
                <w:spacing w:val="-1"/>
                <w:sz w:val="18"/>
              </w:rPr>
              <w:t>Continue</w:t>
            </w:r>
            <w:r>
              <w:rPr>
                <w:rFonts w:ascii="Calibri"/>
                <w:spacing w:val="25"/>
                <w:sz w:val="18"/>
              </w:rPr>
              <w:t xml:space="preserve"> </w:t>
            </w:r>
            <w:r>
              <w:rPr>
                <w:rFonts w:ascii="Calibri"/>
                <w:spacing w:val="-1"/>
                <w:sz w:val="18"/>
              </w:rPr>
              <w:t>working</w:t>
            </w:r>
            <w:r>
              <w:rPr>
                <w:rFonts w:ascii="Calibri"/>
                <w:spacing w:val="24"/>
                <w:sz w:val="18"/>
              </w:rPr>
              <w:t xml:space="preserve"> </w:t>
            </w:r>
            <w:r>
              <w:rPr>
                <w:rFonts w:ascii="Calibri"/>
                <w:spacing w:val="-1"/>
                <w:sz w:val="18"/>
              </w:rPr>
              <w:t>closely</w:t>
            </w:r>
            <w:r>
              <w:rPr>
                <w:rFonts w:ascii="Calibri"/>
                <w:spacing w:val="25"/>
                <w:sz w:val="18"/>
              </w:rPr>
              <w:t xml:space="preserve"> </w:t>
            </w:r>
            <w:r>
              <w:rPr>
                <w:rFonts w:ascii="Calibri"/>
                <w:sz w:val="18"/>
              </w:rPr>
              <w:t>with</w:t>
            </w:r>
            <w:r>
              <w:rPr>
                <w:rFonts w:ascii="Calibri"/>
                <w:spacing w:val="26"/>
                <w:sz w:val="18"/>
              </w:rPr>
              <w:t xml:space="preserve"> </w:t>
            </w:r>
            <w:r>
              <w:rPr>
                <w:rFonts w:ascii="Calibri"/>
                <w:spacing w:val="-1"/>
                <w:sz w:val="18"/>
              </w:rPr>
              <w:t>contractors</w:t>
            </w:r>
            <w:r>
              <w:rPr>
                <w:rFonts w:ascii="Calibri"/>
                <w:spacing w:val="24"/>
                <w:sz w:val="18"/>
              </w:rPr>
              <w:t xml:space="preserve"> </w:t>
            </w:r>
            <w:r>
              <w:rPr>
                <w:rFonts w:ascii="Calibri"/>
                <w:spacing w:val="-1"/>
                <w:sz w:val="18"/>
              </w:rPr>
              <w:t>and</w:t>
            </w:r>
            <w:r>
              <w:rPr>
                <w:rFonts w:ascii="Calibri"/>
                <w:spacing w:val="24"/>
                <w:sz w:val="18"/>
              </w:rPr>
              <w:t xml:space="preserve"> </w:t>
            </w:r>
            <w:r>
              <w:rPr>
                <w:rFonts w:ascii="Calibri"/>
                <w:spacing w:val="-1"/>
                <w:sz w:val="18"/>
              </w:rPr>
              <w:t>business</w:t>
            </w:r>
            <w:r>
              <w:rPr>
                <w:rFonts w:ascii="Calibri"/>
                <w:spacing w:val="55"/>
                <w:sz w:val="18"/>
              </w:rPr>
              <w:t xml:space="preserve"> </w:t>
            </w:r>
            <w:r>
              <w:rPr>
                <w:rFonts w:ascii="Calibri"/>
                <w:spacing w:val="-1"/>
                <w:sz w:val="18"/>
              </w:rPr>
              <w:t>owners</w:t>
            </w:r>
            <w:r>
              <w:rPr>
                <w:rFonts w:ascii="Calibri"/>
                <w:spacing w:val="30"/>
                <w:sz w:val="18"/>
              </w:rPr>
              <w:t xml:space="preserve"> </w:t>
            </w:r>
            <w:r>
              <w:rPr>
                <w:rFonts w:ascii="Calibri"/>
                <w:spacing w:val="-1"/>
                <w:sz w:val="18"/>
              </w:rPr>
              <w:t>to</w:t>
            </w:r>
            <w:r>
              <w:rPr>
                <w:rFonts w:ascii="Calibri"/>
                <w:spacing w:val="33"/>
                <w:sz w:val="18"/>
              </w:rPr>
              <w:t xml:space="preserve"> </w:t>
            </w:r>
            <w:r>
              <w:rPr>
                <w:rFonts w:ascii="Calibri"/>
                <w:spacing w:val="-1"/>
                <w:sz w:val="18"/>
              </w:rPr>
              <w:t>establish</w:t>
            </w:r>
            <w:r>
              <w:rPr>
                <w:rFonts w:ascii="Calibri"/>
                <w:spacing w:val="32"/>
                <w:sz w:val="18"/>
              </w:rPr>
              <w:t xml:space="preserve"> </w:t>
            </w:r>
            <w:r>
              <w:rPr>
                <w:rFonts w:ascii="Calibri"/>
                <w:spacing w:val="-1"/>
                <w:sz w:val="18"/>
              </w:rPr>
              <w:t>time</w:t>
            </w:r>
            <w:r>
              <w:rPr>
                <w:rFonts w:ascii="Calibri"/>
                <w:spacing w:val="33"/>
                <w:sz w:val="18"/>
              </w:rPr>
              <w:t xml:space="preserve"> </w:t>
            </w:r>
            <w:r>
              <w:rPr>
                <w:rFonts w:ascii="Calibri"/>
                <w:spacing w:val="-1"/>
                <w:sz w:val="18"/>
              </w:rPr>
              <w:t>periods</w:t>
            </w:r>
            <w:r>
              <w:rPr>
                <w:rFonts w:ascii="Calibri"/>
                <w:spacing w:val="31"/>
                <w:sz w:val="18"/>
              </w:rPr>
              <w:t xml:space="preserve"> </w:t>
            </w:r>
            <w:r>
              <w:rPr>
                <w:rFonts w:ascii="Calibri"/>
                <w:spacing w:val="-1"/>
                <w:sz w:val="18"/>
              </w:rPr>
              <w:t>during</w:t>
            </w:r>
            <w:r>
              <w:rPr>
                <w:rFonts w:ascii="Calibri"/>
                <w:spacing w:val="30"/>
                <w:sz w:val="18"/>
              </w:rPr>
              <w:t xml:space="preserve"> </w:t>
            </w:r>
            <w:r>
              <w:rPr>
                <w:rFonts w:ascii="Calibri"/>
                <w:sz w:val="18"/>
              </w:rPr>
              <w:t>which</w:t>
            </w:r>
            <w:r>
              <w:rPr>
                <w:rFonts w:ascii="Calibri"/>
                <w:spacing w:val="31"/>
                <w:sz w:val="18"/>
              </w:rPr>
              <w:t xml:space="preserve"> </w:t>
            </w:r>
            <w:r>
              <w:rPr>
                <w:rFonts w:ascii="Calibri"/>
                <w:spacing w:val="-1"/>
                <w:sz w:val="18"/>
              </w:rPr>
              <w:t>project</w:t>
            </w:r>
            <w:r>
              <w:rPr>
                <w:rFonts w:ascii="Calibri"/>
                <w:spacing w:val="51"/>
                <w:w w:val="99"/>
                <w:sz w:val="18"/>
              </w:rPr>
              <w:t xml:space="preserve"> </w:t>
            </w:r>
            <w:r>
              <w:rPr>
                <w:rFonts w:ascii="Calibri"/>
                <w:spacing w:val="-1"/>
                <w:sz w:val="18"/>
              </w:rPr>
              <w:t>installations</w:t>
            </w:r>
            <w:r>
              <w:rPr>
                <w:rFonts w:ascii="Calibri"/>
                <w:spacing w:val="-5"/>
                <w:sz w:val="18"/>
              </w:rPr>
              <w:t xml:space="preserve"> </w:t>
            </w:r>
            <w:r>
              <w:rPr>
                <w:rFonts w:ascii="Calibri"/>
                <w:spacing w:val="-1"/>
                <w:sz w:val="18"/>
              </w:rPr>
              <w:t>occur.</w:t>
            </w:r>
          </w:p>
        </w:tc>
        <w:tc>
          <w:tcPr>
            <w:tcW w:w="4770" w:type="dxa"/>
            <w:shd w:val="clear" w:color="auto" w:fill="D2EAF1"/>
          </w:tcPr>
          <w:p w:rsidR="00E646C9" w:rsidRDefault="00E646C9" w:rsidP="00C94D5A">
            <w:pPr>
              <w:pStyle w:val="TableParagraph"/>
              <w:spacing w:line="219" w:lineRule="exact"/>
              <w:ind w:left="102"/>
              <w:rPr>
                <w:rFonts w:ascii="Calibri" w:eastAsia="Calibri" w:hAnsi="Calibri" w:cs="Calibri"/>
                <w:sz w:val="18"/>
                <w:szCs w:val="18"/>
              </w:rPr>
            </w:pPr>
            <w:r>
              <w:rPr>
                <w:rFonts w:ascii="Calibri"/>
                <w:spacing w:val="-1"/>
                <w:sz w:val="18"/>
              </w:rPr>
              <w:t>Implemented</w:t>
            </w:r>
          </w:p>
        </w:tc>
      </w:tr>
      <w:tr w:rsidR="00E646C9" w:rsidTr="0011636D">
        <w:trPr>
          <w:trHeight w:hRule="exact" w:val="569"/>
        </w:trPr>
        <w:tc>
          <w:tcPr>
            <w:tcW w:w="4680" w:type="dxa"/>
          </w:tcPr>
          <w:p w:rsidR="00E646C9" w:rsidRDefault="00E646C9" w:rsidP="00C94D5A">
            <w:pPr>
              <w:pStyle w:val="TableParagraph"/>
              <w:ind w:left="102" w:right="100"/>
              <w:rPr>
                <w:rFonts w:ascii="Calibri" w:eastAsia="Calibri" w:hAnsi="Calibri" w:cs="Calibri"/>
                <w:sz w:val="18"/>
                <w:szCs w:val="18"/>
              </w:rPr>
            </w:pPr>
            <w:r>
              <w:rPr>
                <w:rFonts w:ascii="Calibri"/>
                <w:spacing w:val="-1"/>
                <w:sz w:val="18"/>
              </w:rPr>
              <w:t>Consider</w:t>
            </w:r>
            <w:r>
              <w:rPr>
                <w:rFonts w:ascii="Calibri"/>
                <w:spacing w:val="1"/>
                <w:sz w:val="18"/>
              </w:rPr>
              <w:t xml:space="preserve"> </w:t>
            </w:r>
            <w:r>
              <w:rPr>
                <w:rFonts w:ascii="Calibri"/>
                <w:spacing w:val="-1"/>
                <w:sz w:val="18"/>
              </w:rPr>
              <w:t>stipulating</w:t>
            </w:r>
            <w:r>
              <w:rPr>
                <w:rFonts w:ascii="Calibri"/>
                <w:sz w:val="18"/>
              </w:rPr>
              <w:t xml:space="preserve"> an</w:t>
            </w:r>
            <w:r>
              <w:rPr>
                <w:rFonts w:ascii="Calibri"/>
                <w:spacing w:val="-2"/>
                <w:sz w:val="18"/>
              </w:rPr>
              <w:t xml:space="preserve"> </w:t>
            </w:r>
            <w:r>
              <w:rPr>
                <w:rFonts w:ascii="Calibri"/>
                <w:sz w:val="18"/>
              </w:rPr>
              <w:t>annual</w:t>
            </w:r>
            <w:r>
              <w:rPr>
                <w:rFonts w:ascii="Calibri"/>
                <w:spacing w:val="-1"/>
                <w:sz w:val="18"/>
              </w:rPr>
              <w:t xml:space="preserve"> </w:t>
            </w:r>
            <w:r>
              <w:rPr>
                <w:rFonts w:ascii="Calibri"/>
                <w:sz w:val="18"/>
              </w:rPr>
              <w:t>indoor</w:t>
            </w:r>
            <w:r>
              <w:rPr>
                <w:rFonts w:ascii="Calibri"/>
                <w:spacing w:val="-2"/>
                <w:sz w:val="18"/>
              </w:rPr>
              <w:t xml:space="preserve"> </w:t>
            </w:r>
            <w:r>
              <w:rPr>
                <w:rFonts w:ascii="Calibri"/>
                <w:spacing w:val="-1"/>
                <w:sz w:val="18"/>
              </w:rPr>
              <w:t>lighting</w:t>
            </w:r>
            <w:r>
              <w:rPr>
                <w:rFonts w:ascii="Calibri"/>
                <w:sz w:val="18"/>
              </w:rPr>
              <w:t xml:space="preserve"> </w:t>
            </w:r>
            <w:r>
              <w:rPr>
                <w:rFonts w:ascii="Calibri"/>
                <w:spacing w:val="-1"/>
                <w:sz w:val="18"/>
              </w:rPr>
              <w:t>hours</w:t>
            </w:r>
            <w:r>
              <w:rPr>
                <w:rFonts w:ascii="Calibri"/>
                <w:spacing w:val="1"/>
                <w:sz w:val="18"/>
              </w:rPr>
              <w:t xml:space="preserve"> </w:t>
            </w:r>
            <w:r>
              <w:rPr>
                <w:rFonts w:ascii="Calibri"/>
                <w:sz w:val="18"/>
              </w:rPr>
              <w:t>of</w:t>
            </w:r>
            <w:r>
              <w:rPr>
                <w:rFonts w:ascii="Calibri"/>
                <w:spacing w:val="-1"/>
                <w:sz w:val="18"/>
              </w:rPr>
              <w:t xml:space="preserve"> </w:t>
            </w:r>
            <w:r>
              <w:rPr>
                <w:rFonts w:ascii="Calibri"/>
                <w:sz w:val="18"/>
              </w:rPr>
              <w:t>use</w:t>
            </w:r>
            <w:r>
              <w:rPr>
                <w:rFonts w:ascii="Calibri"/>
                <w:spacing w:val="-2"/>
                <w:sz w:val="18"/>
              </w:rPr>
              <w:t xml:space="preserve"> </w:t>
            </w:r>
            <w:r>
              <w:rPr>
                <w:rFonts w:ascii="Calibri"/>
                <w:sz w:val="18"/>
              </w:rPr>
              <w:t>of</w:t>
            </w:r>
            <w:r>
              <w:rPr>
                <w:rFonts w:ascii="Calibri"/>
                <w:spacing w:val="45"/>
                <w:sz w:val="18"/>
              </w:rPr>
              <w:t xml:space="preserve"> </w:t>
            </w:r>
            <w:r>
              <w:rPr>
                <w:rFonts w:ascii="Calibri"/>
                <w:spacing w:val="-1"/>
                <w:sz w:val="18"/>
              </w:rPr>
              <w:t>1,000</w:t>
            </w:r>
            <w:r>
              <w:rPr>
                <w:rFonts w:ascii="Calibri"/>
                <w:spacing w:val="-2"/>
                <w:sz w:val="18"/>
              </w:rPr>
              <w:t xml:space="preserve"> </w:t>
            </w:r>
            <w:r>
              <w:rPr>
                <w:rFonts w:ascii="Calibri"/>
                <w:spacing w:val="-1"/>
                <w:sz w:val="18"/>
              </w:rPr>
              <w:t>hours</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all</w:t>
            </w:r>
            <w:r>
              <w:rPr>
                <w:rFonts w:ascii="Calibri"/>
                <w:spacing w:val="-3"/>
                <w:sz w:val="18"/>
              </w:rPr>
              <w:t xml:space="preserve"> </w:t>
            </w:r>
            <w:r>
              <w:rPr>
                <w:rFonts w:ascii="Calibri"/>
                <w:spacing w:val="-1"/>
                <w:sz w:val="18"/>
              </w:rPr>
              <w:t>program</w:t>
            </w:r>
            <w:r>
              <w:rPr>
                <w:rFonts w:ascii="Calibri"/>
                <w:spacing w:val="-2"/>
                <w:sz w:val="18"/>
              </w:rPr>
              <w:t xml:space="preserve"> </w:t>
            </w:r>
            <w:r>
              <w:rPr>
                <w:rFonts w:ascii="Calibri"/>
                <w:spacing w:val="-1"/>
                <w:sz w:val="18"/>
              </w:rPr>
              <w:t>participants</w:t>
            </w:r>
          </w:p>
        </w:tc>
        <w:tc>
          <w:tcPr>
            <w:tcW w:w="4770" w:type="dxa"/>
          </w:tcPr>
          <w:p w:rsidR="00E646C9" w:rsidRDefault="00E646C9" w:rsidP="00C94D5A">
            <w:pPr>
              <w:pStyle w:val="TableParagraph"/>
              <w:ind w:left="102" w:right="171"/>
              <w:rPr>
                <w:rFonts w:ascii="Calibri" w:eastAsia="Calibri" w:hAnsi="Calibri" w:cs="Calibri"/>
                <w:sz w:val="18"/>
                <w:szCs w:val="18"/>
              </w:rPr>
            </w:pPr>
            <w:r>
              <w:rPr>
                <w:rFonts w:ascii="Calibri"/>
                <w:spacing w:val="-1"/>
                <w:sz w:val="18"/>
              </w:rPr>
              <w:t>Implemented</w:t>
            </w:r>
            <w:r>
              <w:rPr>
                <w:rFonts w:ascii="Calibri"/>
                <w:spacing w:val="-3"/>
                <w:sz w:val="18"/>
              </w:rPr>
              <w:t xml:space="preserve"> </w:t>
            </w:r>
            <w:r>
              <w:rPr>
                <w:rFonts w:ascii="Calibri"/>
                <w:sz w:val="18"/>
              </w:rPr>
              <w:t>in</w:t>
            </w:r>
            <w:r>
              <w:rPr>
                <w:rFonts w:ascii="Calibri"/>
                <w:spacing w:val="-3"/>
                <w:sz w:val="18"/>
              </w:rPr>
              <w:t xml:space="preserve"> </w:t>
            </w:r>
            <w:r>
              <w:rPr>
                <w:rFonts w:ascii="Calibri"/>
                <w:spacing w:val="-1"/>
                <w:sz w:val="18"/>
              </w:rPr>
              <w:t>latter</w:t>
            </w:r>
            <w:r>
              <w:rPr>
                <w:rFonts w:ascii="Calibri"/>
                <w:spacing w:val="-2"/>
                <w:sz w:val="18"/>
              </w:rPr>
              <w:t xml:space="preserve"> </w:t>
            </w:r>
            <w:r>
              <w:rPr>
                <w:rFonts w:ascii="Calibri"/>
                <w:spacing w:val="-1"/>
                <w:sz w:val="18"/>
              </w:rPr>
              <w:t>part</w:t>
            </w:r>
            <w:r>
              <w:rPr>
                <w:rFonts w:ascii="Calibri"/>
                <w:spacing w:val="-3"/>
                <w:sz w:val="18"/>
              </w:rPr>
              <w:t xml:space="preserve"> </w:t>
            </w:r>
            <w:r>
              <w:rPr>
                <w:rFonts w:ascii="Calibri"/>
                <w:sz w:val="18"/>
              </w:rPr>
              <w:t>of</w:t>
            </w:r>
            <w:r>
              <w:rPr>
                <w:rFonts w:ascii="Calibri"/>
                <w:spacing w:val="-1"/>
                <w:sz w:val="18"/>
              </w:rPr>
              <w:t xml:space="preserve"> </w:t>
            </w:r>
            <w:r>
              <w:rPr>
                <w:rFonts w:ascii="Calibri"/>
                <w:sz w:val="18"/>
              </w:rPr>
              <w:t>PY7.</w:t>
            </w:r>
            <w:r>
              <w:rPr>
                <w:rFonts w:ascii="Calibri"/>
                <w:spacing w:val="37"/>
                <w:sz w:val="18"/>
              </w:rPr>
              <w:t xml:space="preserve"> </w:t>
            </w:r>
            <w:r>
              <w:rPr>
                <w:rFonts w:ascii="Calibri"/>
                <w:spacing w:val="-1"/>
                <w:sz w:val="18"/>
              </w:rPr>
              <w:t>ADM</w:t>
            </w:r>
            <w:r>
              <w:rPr>
                <w:rFonts w:ascii="Calibri"/>
                <w:spacing w:val="-3"/>
                <w:sz w:val="18"/>
              </w:rPr>
              <w:t xml:space="preserve"> </w:t>
            </w:r>
            <w:r>
              <w:rPr>
                <w:rFonts w:ascii="Calibri"/>
                <w:spacing w:val="-1"/>
                <w:sz w:val="18"/>
              </w:rPr>
              <w:t>has</w:t>
            </w:r>
            <w:r>
              <w:rPr>
                <w:rFonts w:ascii="Calibri"/>
                <w:spacing w:val="-2"/>
                <w:sz w:val="18"/>
              </w:rPr>
              <w:t xml:space="preserve"> </w:t>
            </w:r>
            <w:r>
              <w:rPr>
                <w:rFonts w:ascii="Calibri"/>
                <w:sz w:val="18"/>
              </w:rPr>
              <w:t>also</w:t>
            </w:r>
            <w:r>
              <w:rPr>
                <w:rFonts w:ascii="Calibri"/>
                <w:spacing w:val="-1"/>
                <w:sz w:val="18"/>
              </w:rPr>
              <w:t xml:space="preserve"> provided</w:t>
            </w:r>
            <w:r>
              <w:rPr>
                <w:rFonts w:ascii="Calibri"/>
                <w:spacing w:val="-3"/>
                <w:sz w:val="18"/>
              </w:rPr>
              <w:t xml:space="preserve"> </w:t>
            </w:r>
            <w:r>
              <w:rPr>
                <w:rFonts w:ascii="Calibri"/>
                <w:sz w:val="18"/>
              </w:rPr>
              <w:t>a</w:t>
            </w:r>
            <w:r>
              <w:rPr>
                <w:rFonts w:ascii="Calibri"/>
                <w:spacing w:val="39"/>
                <w:sz w:val="18"/>
              </w:rPr>
              <w:t xml:space="preserve"> </w:t>
            </w:r>
            <w:r>
              <w:rPr>
                <w:rFonts w:ascii="Calibri"/>
                <w:spacing w:val="-1"/>
                <w:sz w:val="18"/>
              </w:rPr>
              <w:t>memo</w:t>
            </w:r>
            <w:r>
              <w:rPr>
                <w:rFonts w:ascii="Calibri"/>
                <w:spacing w:val="-2"/>
                <w:sz w:val="18"/>
              </w:rPr>
              <w:t xml:space="preserve"> </w:t>
            </w:r>
            <w:r>
              <w:rPr>
                <w:rFonts w:ascii="Calibri"/>
                <w:spacing w:val="-1"/>
                <w:sz w:val="18"/>
              </w:rPr>
              <w:t>with</w:t>
            </w:r>
            <w:r>
              <w:rPr>
                <w:rFonts w:ascii="Calibri"/>
                <w:spacing w:val="-4"/>
                <w:sz w:val="18"/>
              </w:rPr>
              <w:t xml:space="preserve"> </w:t>
            </w:r>
            <w:r>
              <w:rPr>
                <w:rFonts w:ascii="Calibri"/>
                <w:spacing w:val="-1"/>
                <w:sz w:val="18"/>
              </w:rPr>
              <w:t>this</w:t>
            </w:r>
            <w:r>
              <w:rPr>
                <w:rFonts w:ascii="Calibri"/>
                <w:spacing w:val="-3"/>
                <w:sz w:val="18"/>
              </w:rPr>
              <w:t xml:space="preserve"> </w:t>
            </w:r>
            <w:r>
              <w:rPr>
                <w:rFonts w:ascii="Calibri"/>
                <w:spacing w:val="-1"/>
                <w:sz w:val="18"/>
              </w:rPr>
              <w:t>recommendation</w:t>
            </w:r>
            <w:r>
              <w:rPr>
                <w:rFonts w:ascii="Calibri"/>
                <w:spacing w:val="-2"/>
                <w:sz w:val="18"/>
              </w:rPr>
              <w:t xml:space="preserve"> </w:t>
            </w:r>
            <w:r>
              <w:rPr>
                <w:rFonts w:ascii="Calibri"/>
                <w:spacing w:val="-1"/>
                <w:sz w:val="18"/>
              </w:rPr>
              <w:t>to the</w:t>
            </w:r>
            <w:r>
              <w:rPr>
                <w:rFonts w:ascii="Calibri"/>
                <w:spacing w:val="-4"/>
                <w:sz w:val="18"/>
              </w:rPr>
              <w:t xml:space="preserve"> </w:t>
            </w:r>
            <w:r>
              <w:rPr>
                <w:rFonts w:ascii="Calibri"/>
                <w:spacing w:val="-1"/>
                <w:sz w:val="18"/>
              </w:rPr>
              <w:t>new</w:t>
            </w:r>
            <w:r>
              <w:rPr>
                <w:rFonts w:ascii="Calibri"/>
                <w:spacing w:val="-2"/>
                <w:sz w:val="18"/>
              </w:rPr>
              <w:t xml:space="preserve"> </w:t>
            </w:r>
            <w:r>
              <w:rPr>
                <w:rFonts w:ascii="Calibri"/>
                <w:spacing w:val="-1"/>
                <w:sz w:val="18"/>
              </w:rPr>
              <w:t>ICSP</w:t>
            </w:r>
            <w:r>
              <w:rPr>
                <w:rFonts w:ascii="Calibri"/>
                <w:spacing w:val="-2"/>
                <w:sz w:val="18"/>
              </w:rPr>
              <w:t xml:space="preserve"> </w:t>
            </w:r>
            <w:r>
              <w:rPr>
                <w:rFonts w:ascii="Calibri"/>
                <w:spacing w:val="-1"/>
                <w:sz w:val="18"/>
              </w:rPr>
              <w:t>in</w:t>
            </w:r>
            <w:r>
              <w:rPr>
                <w:rFonts w:ascii="Calibri"/>
                <w:spacing w:val="-4"/>
                <w:sz w:val="18"/>
              </w:rPr>
              <w:t xml:space="preserve"> </w:t>
            </w:r>
            <w:r>
              <w:rPr>
                <w:rFonts w:ascii="Calibri"/>
                <w:sz w:val="18"/>
              </w:rPr>
              <w:t>PY8.</w:t>
            </w:r>
          </w:p>
        </w:tc>
      </w:tr>
    </w:tbl>
    <w:p w:rsidR="00E646C9" w:rsidRDefault="00E646C9" w:rsidP="00E646C9"/>
    <w:p w:rsidR="00E646C9" w:rsidRPr="00C61F80" w:rsidRDefault="00E646C9" w:rsidP="003B56E9">
      <w:pPr>
        <w:pStyle w:val="AppendixGHeading1"/>
      </w:pPr>
      <w:r w:rsidRPr="00C61F80">
        <w:t>PECO</w:t>
      </w:r>
    </w:p>
    <w:p w:rsidR="00E646C9" w:rsidRPr="008606B4" w:rsidRDefault="00E646C9" w:rsidP="003B56E9">
      <w:pPr>
        <w:pStyle w:val="AppendixGHeading2"/>
      </w:pPr>
      <w:r w:rsidRPr="008606B4">
        <w:t xml:space="preserve">Smart Home Rebates </w:t>
      </w:r>
    </w:p>
    <w:tbl>
      <w:tblPr>
        <w:tblStyle w:val="MediumShading1-Accent5"/>
        <w:tblW w:w="9450" w:type="dxa"/>
        <w:tblInd w:w="-1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770"/>
      </w:tblGrid>
      <w:tr w:rsidR="00E646C9" w:rsidRPr="00B75B77" w:rsidTr="0011636D">
        <w:trPr>
          <w:cnfStyle w:val="100000000000" w:firstRow="1" w:lastRow="0" w:firstColumn="0" w:lastColumn="0" w:oddVBand="0" w:evenVBand="0" w:oddHBand="0" w:evenHBand="0" w:firstRowFirstColumn="0" w:firstRowLastColumn="0" w:lastRowFirstColumn="0" w:lastRowLastColumn="0"/>
          <w:trHeight w:val="619"/>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4D470A">
            <w:pPr>
              <w:jc w:val="left"/>
              <w:rPr>
                <w:bCs w:val="0"/>
                <w:sz w:val="18"/>
              </w:rPr>
            </w:pPr>
            <w:r w:rsidRPr="00B75B77">
              <w:rPr>
                <w:bCs w:val="0"/>
                <w:sz w:val="18"/>
              </w:rPr>
              <w:t>Recommendations</w:t>
            </w:r>
          </w:p>
        </w:tc>
        <w:tc>
          <w:tcPr>
            <w:tcW w:w="4770" w:type="dxa"/>
            <w:shd w:val="clear" w:color="auto" w:fill="448A99"/>
            <w:vAlign w:val="bottom"/>
            <w:hideMark/>
          </w:tcPr>
          <w:p w:rsidR="005A786B" w:rsidRDefault="00E646C9" w:rsidP="005A786B">
            <w:pPr>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5A786B" w:rsidRDefault="00E646C9" w:rsidP="005A786B">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5A786B">
              <w:rPr>
                <w:b w:val="0"/>
                <w:bCs w:val="0"/>
                <w:sz w:val="18"/>
              </w:rPr>
              <w:t>(Implemented, Being Considered, Rejected AND Explanation of Action Taken by EDC)</w:t>
            </w:r>
          </w:p>
        </w:tc>
      </w:tr>
      <w:tr w:rsidR="00E646C9" w:rsidRPr="00B75B77" w:rsidTr="001163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b w:val="0"/>
                <w:color w:val="000000"/>
                <w:sz w:val="18"/>
              </w:rPr>
            </w:pPr>
            <w:r w:rsidRPr="00B75B77">
              <w:rPr>
                <w:color w:val="000000"/>
                <w:sz w:val="18"/>
              </w:rPr>
              <w:t>Recommendation 1:</w:t>
            </w:r>
            <w:r w:rsidRPr="00B75B77">
              <w:rPr>
                <w:b w:val="0"/>
                <w:color w:val="000000"/>
                <w:sz w:val="18"/>
              </w:rPr>
              <w:t xml:space="preserve"> PECO program managers and the CSP should continue to monitor the SHR lighting data and conduct regular QC checks to minimize errors.</w:t>
            </w:r>
          </w:p>
        </w:tc>
        <w:tc>
          <w:tcPr>
            <w:tcW w:w="4770" w:type="dxa"/>
            <w:noWrap/>
            <w:vAlign w:val="center"/>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Being Considered: </w:t>
            </w:r>
            <w:r w:rsidRPr="00B75B77">
              <w:rPr>
                <w:color w:val="000000"/>
                <w:sz w:val="18"/>
              </w:rPr>
              <w:t>PECO is working with implementation CSP and tracking system CSP to ensure errors are caught before placed into the tracking system.</w:t>
            </w:r>
          </w:p>
        </w:tc>
      </w:tr>
      <w:tr w:rsidR="00E646C9" w:rsidRPr="00B75B77" w:rsidTr="0011636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b w:val="0"/>
                <w:color w:val="000000"/>
                <w:sz w:val="18"/>
              </w:rPr>
            </w:pPr>
            <w:r w:rsidRPr="00B75B77">
              <w:rPr>
                <w:color w:val="000000"/>
                <w:sz w:val="18"/>
              </w:rPr>
              <w:t>Recommendation 2:</w:t>
            </w:r>
            <w:r w:rsidRPr="00B75B77">
              <w:rPr>
                <w:b w:val="0"/>
                <w:color w:val="000000"/>
                <w:sz w:val="18"/>
              </w:rPr>
              <w:t xml:space="preserve"> PECO and the CSP must capture all unit-specific data relating to energy savings estimates in the tracking data for all projects.</w:t>
            </w:r>
          </w:p>
        </w:tc>
        <w:tc>
          <w:tcPr>
            <w:tcW w:w="4770" w:type="dxa"/>
            <w:noWrap/>
            <w:vAlign w:val="center"/>
            <w:hideMark/>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In Phase III, we have done a complete review of data inputs and will ensure that all relevant data points are captured in the tracking system.</w:t>
            </w:r>
          </w:p>
        </w:tc>
      </w:tr>
      <w:tr w:rsidR="00E646C9" w:rsidRPr="00B75B77" w:rsidTr="0011636D">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b w:val="0"/>
                <w:color w:val="000000"/>
                <w:sz w:val="18"/>
              </w:rPr>
            </w:pPr>
            <w:r w:rsidRPr="00B75B77">
              <w:rPr>
                <w:color w:val="000000"/>
                <w:sz w:val="18"/>
              </w:rPr>
              <w:t>Recommendation 3:</w:t>
            </w:r>
            <w:r w:rsidRPr="00B75B77">
              <w:rPr>
                <w:b w:val="0"/>
                <w:color w:val="000000"/>
                <w:sz w:val="18"/>
              </w:rPr>
              <w:t xml:space="preserve"> If additional low-income savings are needed by PECO, provide low-income customers with mail-in rebate incentives on LEDs. Mail-in rebates in the form of coupons can educate and motivate participation.</w:t>
            </w:r>
          </w:p>
        </w:tc>
        <w:tc>
          <w:tcPr>
            <w:tcW w:w="4770" w:type="dxa"/>
            <w:noWrap/>
            <w:vAlign w:val="center"/>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Being Considered: </w:t>
            </w:r>
            <w:r w:rsidRPr="00B75B77">
              <w:rPr>
                <w:color w:val="000000"/>
                <w:sz w:val="18"/>
              </w:rPr>
              <w:t>PECO is already offering a targeted retail lighting program that is bringing LED bulbs in retail stores that may be non-traditional lighting in heavy low-income areas.  These LEDs have greater discounts applied.</w:t>
            </w:r>
          </w:p>
        </w:tc>
      </w:tr>
      <w:tr w:rsidR="00E646C9" w:rsidRPr="00B75B77" w:rsidTr="0011636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color w:val="000000"/>
                <w:sz w:val="18"/>
              </w:rPr>
            </w:pPr>
            <w:r w:rsidRPr="00B75B77">
              <w:rPr>
                <w:color w:val="000000"/>
                <w:sz w:val="18"/>
              </w:rPr>
              <w:t xml:space="preserve">Recommendation 4: </w:t>
            </w:r>
          </w:p>
          <w:p w:rsidR="00E646C9" w:rsidRPr="00B75B77" w:rsidRDefault="00E646C9" w:rsidP="00E646C9">
            <w:pPr>
              <w:pStyle w:val="ListParagraph"/>
              <w:numPr>
                <w:ilvl w:val="1"/>
                <w:numId w:val="136"/>
              </w:numPr>
              <w:ind w:left="517" w:hanging="270"/>
              <w:jc w:val="left"/>
              <w:rPr>
                <w:b w:val="0"/>
                <w:color w:val="000000"/>
                <w:sz w:val="18"/>
              </w:rPr>
            </w:pPr>
            <w:r w:rsidRPr="00B75B77">
              <w:rPr>
                <w:b w:val="0"/>
                <w:color w:val="000000"/>
                <w:sz w:val="18"/>
              </w:rPr>
              <w:t>Use focused marketing efforts to improve the perceptions of LEDs and overcome confusion hindering LED adoption. Focused marketing can highlight the benefits of efficient lighting, educate customers on LED capabilities, and help customers understand how to navigate the range of options. Marketing outside of the store (web-based, emails, etc.) may help overcome confusion.</w:t>
            </w:r>
          </w:p>
          <w:p w:rsidR="00E646C9" w:rsidRPr="00B75B77" w:rsidRDefault="00E646C9" w:rsidP="00E646C9">
            <w:pPr>
              <w:pStyle w:val="ListParagraph"/>
              <w:numPr>
                <w:ilvl w:val="1"/>
                <w:numId w:val="136"/>
              </w:numPr>
              <w:ind w:left="517" w:hanging="270"/>
              <w:jc w:val="left"/>
              <w:rPr>
                <w:color w:val="000000"/>
                <w:sz w:val="18"/>
              </w:rPr>
            </w:pPr>
            <w:r w:rsidRPr="00B75B77">
              <w:rPr>
                <w:b w:val="0"/>
                <w:color w:val="000000"/>
                <w:sz w:val="18"/>
              </w:rPr>
              <w:t>Continue to engage customers at store locations. Use direct, in-person interactions to educate and motivate customer adoption of energy efficient products. This can also help overcome confusion that may arise from the wide variety of products in the market.</w:t>
            </w:r>
          </w:p>
          <w:p w:rsidR="00E646C9" w:rsidRPr="00B75B77" w:rsidRDefault="00E646C9" w:rsidP="00E646C9">
            <w:pPr>
              <w:pStyle w:val="ListParagraph"/>
              <w:numPr>
                <w:ilvl w:val="1"/>
                <w:numId w:val="136"/>
              </w:numPr>
              <w:ind w:left="517" w:hanging="270"/>
              <w:jc w:val="left"/>
              <w:rPr>
                <w:color w:val="000000"/>
                <w:sz w:val="18"/>
              </w:rPr>
            </w:pPr>
            <w:r w:rsidRPr="00B75B77">
              <w:rPr>
                <w:b w:val="0"/>
                <w:color w:val="000000"/>
                <w:sz w:val="18"/>
              </w:rPr>
              <w:t>Monitor LED acquisition costs on a quarterly basis to identify when to fully transition incentive dollars from CFLs to LEDs to make them competitive with halogen and other non-energy efficient bulbs.</w:t>
            </w:r>
          </w:p>
        </w:tc>
        <w:tc>
          <w:tcPr>
            <w:tcW w:w="4770" w:type="dxa"/>
            <w:noWrap/>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b/>
                <w:color w:val="000000"/>
                <w:sz w:val="18"/>
              </w:rPr>
              <w:t>Being Considered/Implemented:</w:t>
            </w:r>
          </w:p>
          <w:p w:rsidR="00E646C9" w:rsidRPr="00B75B77" w:rsidRDefault="00E646C9" w:rsidP="00E646C9">
            <w:pPr>
              <w:pStyle w:val="ListParagraph"/>
              <w:numPr>
                <w:ilvl w:val="0"/>
                <w:numId w:val="137"/>
              </w:numPr>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color w:val="000000"/>
                <w:sz w:val="18"/>
              </w:rPr>
              <w:t>Will work with ICF to develop more education and focused marketing around LED benefits and technologies.</w:t>
            </w:r>
          </w:p>
          <w:p w:rsidR="00E646C9" w:rsidRPr="00B75B77" w:rsidRDefault="00E646C9" w:rsidP="00E646C9">
            <w:pPr>
              <w:pStyle w:val="ListParagraph"/>
              <w:numPr>
                <w:ilvl w:val="0"/>
                <w:numId w:val="137"/>
              </w:numPr>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color w:val="000000"/>
                <w:sz w:val="18"/>
              </w:rPr>
              <w:t>We continue to have our retail field team for outreach and customer engagement. We are looking to supplement the staffing with additional resources.</w:t>
            </w:r>
          </w:p>
          <w:p w:rsidR="00E646C9" w:rsidRPr="00B75B77" w:rsidRDefault="00E646C9" w:rsidP="00E646C9">
            <w:pPr>
              <w:pStyle w:val="ListParagraph"/>
              <w:numPr>
                <w:ilvl w:val="0"/>
                <w:numId w:val="137"/>
              </w:numPr>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color w:val="000000"/>
                <w:sz w:val="18"/>
              </w:rPr>
              <w:t>By the end of 2016, we will phase CFLs out of this program and are carefully monitoring the acquisition cost of the LEDs.</w:t>
            </w:r>
          </w:p>
        </w:tc>
      </w:tr>
      <w:tr w:rsidR="00E646C9" w:rsidRPr="00B75B77" w:rsidTr="0011636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b w:val="0"/>
                <w:color w:val="000000"/>
                <w:sz w:val="18"/>
              </w:rPr>
            </w:pPr>
            <w:r w:rsidRPr="00B75B77">
              <w:rPr>
                <w:color w:val="000000"/>
                <w:sz w:val="18"/>
              </w:rPr>
              <w:t>Recommendation 5:</w:t>
            </w:r>
            <w:r w:rsidRPr="00B75B77">
              <w:rPr>
                <w:b w:val="0"/>
                <w:color w:val="000000"/>
                <w:sz w:val="18"/>
              </w:rPr>
              <w:t xml:space="preserve"> Leverage strong working relationships with HVAC contractors and installers to increase participation in the non-lighting aspect of SHR.</w:t>
            </w:r>
          </w:p>
        </w:tc>
        <w:tc>
          <w:tcPr>
            <w:tcW w:w="4770" w:type="dxa"/>
            <w:noWrap/>
            <w:vAlign w:val="center"/>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We are working with distributors and manufacturers to help communicate program offers and education to contractors in addition to continuing the relationships with contractors.</w:t>
            </w:r>
          </w:p>
        </w:tc>
      </w:tr>
      <w:tr w:rsidR="00E646C9" w:rsidRPr="00B75B77" w:rsidTr="0011636D">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b w:val="0"/>
                <w:color w:val="000000"/>
                <w:sz w:val="18"/>
              </w:rPr>
            </w:pPr>
            <w:r w:rsidRPr="00B75B77">
              <w:rPr>
                <w:color w:val="000000"/>
                <w:sz w:val="18"/>
              </w:rPr>
              <w:t>Recommendation 6:</w:t>
            </w:r>
            <w:r w:rsidRPr="00B75B77">
              <w:rPr>
                <w:b w:val="0"/>
                <w:color w:val="000000"/>
                <w:sz w:val="18"/>
              </w:rPr>
              <w:t xml:space="preserve"> Focus education and marketing efforts on HVAC installers for the non-lighting aspect of SHR in Phase III as the program ramps back up and invites new installation companies to the program.</w:t>
            </w:r>
          </w:p>
        </w:tc>
        <w:tc>
          <w:tcPr>
            <w:tcW w:w="4770" w:type="dxa"/>
            <w:noWrap/>
            <w:vAlign w:val="center"/>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 xml:space="preserve"> We are working closer with contractors to help them increase efficient products in the market place. We expect challenges due to the lower rebate levels in Phase III, however are leveraging our relationships to promote non-lighting products.</w:t>
            </w:r>
          </w:p>
        </w:tc>
      </w:tr>
    </w:tbl>
    <w:p w:rsidR="00E646C9" w:rsidRPr="00821A84" w:rsidRDefault="00E646C9" w:rsidP="00821A84"/>
    <w:p w:rsidR="00E646C9" w:rsidRDefault="00E646C9" w:rsidP="003B56E9">
      <w:pPr>
        <w:pStyle w:val="AppendixGHeading2"/>
      </w:pPr>
      <w:r w:rsidRPr="008606B4">
        <w:t xml:space="preserve">Smart House Call </w:t>
      </w:r>
    </w:p>
    <w:tbl>
      <w:tblPr>
        <w:tblStyle w:val="AnnualReportTableStyle"/>
        <w:tblW w:w="9355" w:type="dxa"/>
        <w:tblLook w:val="04A0" w:firstRow="1" w:lastRow="0" w:firstColumn="1" w:lastColumn="0" w:noHBand="0" w:noVBand="1"/>
      </w:tblPr>
      <w:tblGrid>
        <w:gridCol w:w="5755"/>
        <w:gridCol w:w="3600"/>
      </w:tblGrid>
      <w:tr w:rsidR="003B56E9" w:rsidRPr="003B56E9" w:rsidTr="00821A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55" w:type="dxa"/>
            <w:vAlign w:val="top"/>
          </w:tcPr>
          <w:p w:rsidR="003B56E9" w:rsidRPr="003B56E9" w:rsidRDefault="003B56E9" w:rsidP="00821A84">
            <w:pPr>
              <w:jc w:val="left"/>
            </w:pPr>
            <w:r w:rsidRPr="00B75B77">
              <w:rPr>
                <w:bCs/>
                <w:sz w:val="18"/>
              </w:rPr>
              <w:t>Recommendations</w:t>
            </w:r>
          </w:p>
        </w:tc>
        <w:tc>
          <w:tcPr>
            <w:tcW w:w="3600" w:type="dxa"/>
            <w:vAlign w:val="bottom"/>
          </w:tcPr>
          <w:p w:rsidR="003B56E9" w:rsidRDefault="003B56E9" w:rsidP="00821A84">
            <w:pPr>
              <w:jc w:val="center"/>
              <w:cnfStyle w:val="100000000000" w:firstRow="1" w:lastRow="0" w:firstColumn="0" w:lastColumn="0" w:oddVBand="0" w:evenVBand="0" w:oddHBand="0" w:evenHBand="0" w:firstRowFirstColumn="0" w:firstRowLastColumn="0" w:lastRowFirstColumn="0" w:lastRowLastColumn="0"/>
              <w:rPr>
                <w:bCs/>
                <w:sz w:val="18"/>
              </w:rPr>
            </w:pPr>
            <w:r w:rsidRPr="00B75B77">
              <w:rPr>
                <w:bCs/>
                <w:sz w:val="18"/>
              </w:rPr>
              <w:t>EDC Status of Recommendation</w:t>
            </w:r>
          </w:p>
          <w:p w:rsidR="003B56E9" w:rsidRPr="003B56E9" w:rsidRDefault="003B56E9" w:rsidP="00821A84">
            <w:pPr>
              <w:jc w:val="center"/>
              <w:cnfStyle w:val="100000000000" w:firstRow="1" w:lastRow="0" w:firstColumn="0" w:lastColumn="0" w:oddVBand="0" w:evenVBand="0" w:oddHBand="0" w:evenHBand="0" w:firstRowFirstColumn="0" w:firstRowLastColumn="0" w:lastRowFirstColumn="0" w:lastRowLastColumn="0"/>
            </w:pPr>
            <w:r w:rsidRPr="003B56E9">
              <w:rPr>
                <w:b w:val="0"/>
                <w:bCs/>
                <w:sz w:val="18"/>
              </w:rPr>
              <w:t>(Implemented, Being Considered, Rejected AND Explanation of Action Taken by EDC)</w:t>
            </w:r>
          </w:p>
        </w:tc>
      </w:tr>
      <w:tr w:rsidR="003B56E9" w:rsidRPr="003B56E9" w:rsidTr="00821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tcPr>
          <w:p w:rsidR="003B56E9" w:rsidRPr="00B75B77" w:rsidRDefault="003B56E9" w:rsidP="00821A84">
            <w:pPr>
              <w:jc w:val="left"/>
              <w:rPr>
                <w:b w:val="0"/>
                <w:color w:val="000000"/>
                <w:sz w:val="18"/>
              </w:rPr>
            </w:pPr>
            <w:r w:rsidRPr="00B75B77">
              <w:rPr>
                <w:color w:val="000000"/>
                <w:sz w:val="18"/>
              </w:rPr>
              <w:t xml:space="preserve">Recommendation 1: </w:t>
            </w:r>
            <w:r w:rsidRPr="00B75B77">
              <w:rPr>
                <w:b w:val="0"/>
                <w:color w:val="000000"/>
                <w:sz w:val="18"/>
              </w:rPr>
              <w:t>Continue to maintain the high rates of customer satisfaction and rapport that energy advisors have built with customers, through the following:</w:t>
            </w:r>
          </w:p>
          <w:p w:rsidR="003B56E9" w:rsidRDefault="003B56E9" w:rsidP="00821A84">
            <w:pPr>
              <w:pStyle w:val="ListParagraph"/>
              <w:numPr>
                <w:ilvl w:val="0"/>
                <w:numId w:val="138"/>
              </w:numPr>
              <w:ind w:left="422" w:hanging="270"/>
              <w:jc w:val="left"/>
              <w:rPr>
                <w:b w:val="0"/>
                <w:color w:val="000000"/>
                <w:sz w:val="18"/>
              </w:rPr>
            </w:pPr>
            <w:r w:rsidRPr="00B75B77">
              <w:rPr>
                <w:b w:val="0"/>
                <w:color w:val="000000"/>
                <w:sz w:val="18"/>
              </w:rPr>
              <w:t xml:space="preserve">Maintaining the personalized feel of the program </w:t>
            </w:r>
          </w:p>
          <w:p w:rsidR="003B56E9" w:rsidRPr="003B56E9" w:rsidRDefault="003B56E9" w:rsidP="00821A84">
            <w:pPr>
              <w:pStyle w:val="ListParagraph"/>
              <w:numPr>
                <w:ilvl w:val="0"/>
                <w:numId w:val="138"/>
              </w:numPr>
              <w:ind w:left="422" w:hanging="270"/>
              <w:jc w:val="left"/>
              <w:rPr>
                <w:b w:val="0"/>
                <w:color w:val="000000"/>
                <w:sz w:val="18"/>
              </w:rPr>
            </w:pPr>
            <w:r w:rsidRPr="003B56E9">
              <w:rPr>
                <w:b w:val="0"/>
                <w:color w:val="000000"/>
                <w:sz w:val="18"/>
              </w:rPr>
              <w:t>Providing a learning experience to customers with varying degrees of knowledge about energy efficiency</w:t>
            </w:r>
          </w:p>
        </w:tc>
        <w:tc>
          <w:tcPr>
            <w:tcW w:w="3600" w:type="dxa"/>
            <w:vAlign w:val="top"/>
          </w:tcPr>
          <w:p w:rsidR="003B56E9" w:rsidRDefault="003B56E9" w:rsidP="00821A84">
            <w:pPr>
              <w:pStyle w:val="ListParagraph"/>
              <w:numPr>
                <w:ilvl w:val="0"/>
                <w:numId w:val="142"/>
              </w:numPr>
              <w:ind w:left="249" w:hanging="180"/>
              <w:cnfStyle w:val="000000100000" w:firstRow="0" w:lastRow="0" w:firstColumn="0" w:lastColumn="0" w:oddVBand="0" w:evenVBand="0" w:oddHBand="1" w:evenHBand="0" w:firstRowFirstColumn="0" w:firstRowLastColumn="0" w:lastRowFirstColumn="0" w:lastRowLastColumn="0"/>
              <w:rPr>
                <w:b/>
                <w:color w:val="000000"/>
                <w:sz w:val="18"/>
              </w:rPr>
            </w:pPr>
            <w:r w:rsidRPr="00B75B77">
              <w:rPr>
                <w:b/>
                <w:color w:val="000000"/>
                <w:sz w:val="18"/>
              </w:rPr>
              <w:t>Implemented</w:t>
            </w:r>
          </w:p>
          <w:p w:rsidR="003B56E9" w:rsidRPr="003B56E9" w:rsidRDefault="003B56E9" w:rsidP="00821A84">
            <w:pPr>
              <w:pStyle w:val="ListParagraph"/>
              <w:numPr>
                <w:ilvl w:val="0"/>
                <w:numId w:val="142"/>
              </w:numPr>
              <w:ind w:left="249" w:hanging="180"/>
              <w:cnfStyle w:val="000000100000" w:firstRow="0" w:lastRow="0" w:firstColumn="0" w:lastColumn="0" w:oddVBand="0" w:evenVBand="0" w:oddHBand="1" w:evenHBand="0" w:firstRowFirstColumn="0" w:firstRowLastColumn="0" w:lastRowFirstColumn="0" w:lastRowLastColumn="0"/>
              <w:rPr>
                <w:b/>
                <w:color w:val="000000"/>
                <w:sz w:val="18"/>
              </w:rPr>
            </w:pPr>
            <w:r w:rsidRPr="003B56E9">
              <w:rPr>
                <w:b/>
                <w:color w:val="000000"/>
                <w:sz w:val="18"/>
              </w:rPr>
              <w:t>Implemented</w:t>
            </w:r>
          </w:p>
        </w:tc>
      </w:tr>
      <w:tr w:rsidR="003B56E9" w:rsidRPr="003B56E9" w:rsidTr="00821A84">
        <w:tc>
          <w:tcPr>
            <w:cnfStyle w:val="001000000000" w:firstRow="0" w:lastRow="0" w:firstColumn="1" w:lastColumn="0" w:oddVBand="0" w:evenVBand="0" w:oddHBand="0" w:evenHBand="0" w:firstRowFirstColumn="0" w:firstRowLastColumn="0" w:lastRowFirstColumn="0" w:lastRowLastColumn="0"/>
            <w:tcW w:w="5755" w:type="dxa"/>
          </w:tcPr>
          <w:p w:rsidR="003B56E9" w:rsidRPr="00B75B77" w:rsidRDefault="003B56E9" w:rsidP="00821A84">
            <w:pPr>
              <w:jc w:val="left"/>
              <w:rPr>
                <w:color w:val="000000"/>
                <w:sz w:val="18"/>
              </w:rPr>
            </w:pPr>
            <w:r w:rsidRPr="00B75B77">
              <w:rPr>
                <w:color w:val="000000"/>
                <w:sz w:val="18"/>
              </w:rPr>
              <w:t>Recommendation 2:</w:t>
            </w:r>
          </w:p>
          <w:p w:rsidR="003B56E9" w:rsidRPr="00B75B77" w:rsidRDefault="003B56E9" w:rsidP="00821A84">
            <w:pPr>
              <w:pStyle w:val="ListParagraph"/>
              <w:numPr>
                <w:ilvl w:val="1"/>
                <w:numId w:val="142"/>
              </w:numPr>
              <w:ind w:left="422" w:hanging="270"/>
              <w:jc w:val="left"/>
              <w:rPr>
                <w:b w:val="0"/>
                <w:color w:val="000000"/>
                <w:sz w:val="18"/>
              </w:rPr>
            </w:pPr>
            <w:r w:rsidRPr="00B75B77">
              <w:rPr>
                <w:b w:val="0"/>
                <w:color w:val="000000"/>
                <w:sz w:val="18"/>
              </w:rPr>
              <w:t xml:space="preserve">Maintain relationships with customers and keep them open by marketing PECO and other program opportunities. </w:t>
            </w:r>
          </w:p>
          <w:p w:rsidR="003B56E9" w:rsidRPr="00B75B77" w:rsidRDefault="003B56E9" w:rsidP="00821A84">
            <w:pPr>
              <w:pStyle w:val="ListParagraph"/>
              <w:numPr>
                <w:ilvl w:val="1"/>
                <w:numId w:val="142"/>
              </w:numPr>
              <w:ind w:left="422" w:hanging="270"/>
              <w:jc w:val="left"/>
              <w:rPr>
                <w:b w:val="0"/>
                <w:color w:val="000000"/>
                <w:sz w:val="18"/>
              </w:rPr>
            </w:pPr>
            <w:r w:rsidRPr="00B75B77">
              <w:rPr>
                <w:b w:val="0"/>
                <w:color w:val="000000"/>
                <w:sz w:val="18"/>
              </w:rPr>
              <w:t>Develop and implement an energy advisor checklist that includes each of the actions an energy advisor must take to complete a successful site visit; items that may be included:</w:t>
            </w:r>
          </w:p>
          <w:p w:rsidR="003B56E9" w:rsidRPr="00B75B77" w:rsidRDefault="003B56E9" w:rsidP="00821A84">
            <w:pPr>
              <w:pStyle w:val="ListParagraph"/>
              <w:numPr>
                <w:ilvl w:val="0"/>
                <w:numId w:val="141"/>
              </w:numPr>
              <w:ind w:left="697" w:hanging="270"/>
              <w:jc w:val="left"/>
              <w:rPr>
                <w:b w:val="0"/>
                <w:color w:val="000000"/>
                <w:sz w:val="18"/>
              </w:rPr>
            </w:pPr>
            <w:r w:rsidRPr="00B75B77">
              <w:rPr>
                <w:b w:val="0"/>
                <w:color w:val="000000"/>
                <w:sz w:val="18"/>
              </w:rPr>
              <w:t>Provide thorough home visits with insightful information offered to participants</w:t>
            </w:r>
          </w:p>
          <w:p w:rsidR="003B56E9" w:rsidRPr="00B75B77" w:rsidRDefault="003B56E9" w:rsidP="00821A84">
            <w:pPr>
              <w:pStyle w:val="ListParagraph"/>
              <w:numPr>
                <w:ilvl w:val="0"/>
                <w:numId w:val="141"/>
              </w:numPr>
              <w:ind w:left="697" w:hanging="270"/>
              <w:jc w:val="left"/>
              <w:rPr>
                <w:b w:val="0"/>
                <w:color w:val="000000"/>
                <w:sz w:val="18"/>
              </w:rPr>
            </w:pPr>
            <w:r w:rsidRPr="00B75B77">
              <w:rPr>
                <w:b w:val="0"/>
                <w:color w:val="000000"/>
                <w:sz w:val="18"/>
              </w:rPr>
              <w:t>Install measures that are compatible with customers’ homes; test installations</w:t>
            </w:r>
          </w:p>
          <w:p w:rsidR="003B56E9" w:rsidRDefault="003B56E9" w:rsidP="00821A84">
            <w:pPr>
              <w:pStyle w:val="ListParagraph"/>
              <w:numPr>
                <w:ilvl w:val="0"/>
                <w:numId w:val="141"/>
              </w:numPr>
              <w:ind w:left="697" w:hanging="270"/>
              <w:jc w:val="left"/>
              <w:rPr>
                <w:b w:val="0"/>
                <w:color w:val="000000"/>
                <w:sz w:val="18"/>
              </w:rPr>
            </w:pPr>
            <w:r w:rsidRPr="00B75B77">
              <w:rPr>
                <w:b w:val="0"/>
                <w:color w:val="000000"/>
                <w:sz w:val="18"/>
              </w:rPr>
              <w:t>Send audit report to all audit participants</w:t>
            </w:r>
          </w:p>
          <w:p w:rsidR="003B56E9" w:rsidRPr="003B56E9" w:rsidRDefault="003B56E9" w:rsidP="00821A84">
            <w:pPr>
              <w:pStyle w:val="ListParagraph"/>
              <w:numPr>
                <w:ilvl w:val="0"/>
                <w:numId w:val="141"/>
              </w:numPr>
              <w:ind w:left="697" w:hanging="270"/>
              <w:jc w:val="left"/>
              <w:rPr>
                <w:b w:val="0"/>
                <w:color w:val="000000"/>
                <w:sz w:val="18"/>
              </w:rPr>
            </w:pPr>
            <w:r w:rsidRPr="003B56E9">
              <w:rPr>
                <w:b w:val="0"/>
                <w:color w:val="000000"/>
                <w:sz w:val="18"/>
              </w:rPr>
              <w:t>Follow up with customers to check on installed measures and encourage additional action</w:t>
            </w:r>
          </w:p>
        </w:tc>
        <w:tc>
          <w:tcPr>
            <w:tcW w:w="3600" w:type="dxa"/>
            <w:vAlign w:val="top"/>
          </w:tcPr>
          <w:p w:rsidR="003B56E9" w:rsidRDefault="003B56E9" w:rsidP="00821A84">
            <w:pPr>
              <w:pStyle w:val="ListParagraph"/>
              <w:numPr>
                <w:ilvl w:val="0"/>
                <w:numId w:val="143"/>
              </w:numPr>
              <w:ind w:left="249" w:hanging="180"/>
              <w:cnfStyle w:val="000000000000" w:firstRow="0" w:lastRow="0" w:firstColumn="0" w:lastColumn="0" w:oddVBand="0" w:evenVBand="0" w:oddHBand="0" w:evenHBand="0" w:firstRowFirstColumn="0" w:firstRowLastColumn="0" w:lastRowFirstColumn="0" w:lastRowLastColumn="0"/>
              <w:rPr>
                <w:b/>
                <w:color w:val="000000"/>
                <w:sz w:val="18"/>
              </w:rPr>
            </w:pPr>
            <w:r w:rsidRPr="00B75B77">
              <w:rPr>
                <w:b/>
                <w:color w:val="000000"/>
                <w:sz w:val="18"/>
              </w:rPr>
              <w:t>Implemented</w:t>
            </w:r>
          </w:p>
          <w:p w:rsidR="003B56E9" w:rsidRPr="003B56E9" w:rsidRDefault="003B56E9" w:rsidP="00821A84">
            <w:pPr>
              <w:pStyle w:val="ListParagraph"/>
              <w:numPr>
                <w:ilvl w:val="0"/>
                <w:numId w:val="143"/>
              </w:numPr>
              <w:ind w:left="249" w:hanging="180"/>
              <w:cnfStyle w:val="000000000000" w:firstRow="0" w:lastRow="0" w:firstColumn="0" w:lastColumn="0" w:oddVBand="0" w:evenVBand="0" w:oddHBand="0" w:evenHBand="0" w:firstRowFirstColumn="0" w:firstRowLastColumn="0" w:lastRowFirstColumn="0" w:lastRowLastColumn="0"/>
              <w:rPr>
                <w:b/>
                <w:color w:val="000000"/>
                <w:sz w:val="18"/>
              </w:rPr>
            </w:pPr>
            <w:r w:rsidRPr="003B56E9">
              <w:rPr>
                <w:b/>
                <w:color w:val="000000"/>
                <w:sz w:val="18"/>
              </w:rPr>
              <w:t>Implemented</w:t>
            </w:r>
          </w:p>
        </w:tc>
      </w:tr>
      <w:tr w:rsidR="003B56E9" w:rsidRPr="003B56E9" w:rsidTr="00821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tcPr>
          <w:p w:rsidR="003B56E9" w:rsidRPr="00B75B77" w:rsidRDefault="003B56E9" w:rsidP="00821A84">
            <w:pPr>
              <w:jc w:val="left"/>
              <w:rPr>
                <w:b w:val="0"/>
                <w:color w:val="000000"/>
                <w:sz w:val="18"/>
              </w:rPr>
            </w:pPr>
            <w:r w:rsidRPr="00B75B77">
              <w:rPr>
                <w:color w:val="000000"/>
                <w:sz w:val="18"/>
              </w:rPr>
              <w:t xml:space="preserve">Recommendation 3: </w:t>
            </w:r>
            <w:r w:rsidRPr="00B75B77">
              <w:rPr>
                <w:b w:val="0"/>
                <w:color w:val="000000"/>
                <w:sz w:val="18"/>
              </w:rPr>
              <w:t xml:space="preserve">Do not let goals for improving TRC compromise positive customer experience and satisfaction. </w:t>
            </w:r>
          </w:p>
          <w:p w:rsidR="003B56E9" w:rsidRDefault="003B56E9" w:rsidP="00821A84">
            <w:pPr>
              <w:pStyle w:val="ListParagraph"/>
              <w:numPr>
                <w:ilvl w:val="0"/>
                <w:numId w:val="139"/>
              </w:numPr>
              <w:ind w:left="422" w:hanging="270"/>
              <w:jc w:val="left"/>
              <w:rPr>
                <w:b w:val="0"/>
                <w:color w:val="000000"/>
                <w:sz w:val="18"/>
              </w:rPr>
            </w:pPr>
            <w:r w:rsidRPr="00B75B77">
              <w:rPr>
                <w:b w:val="0"/>
                <w:color w:val="000000"/>
                <w:sz w:val="18"/>
              </w:rPr>
              <w:t>Discontinue CFL installations and install 100% LEDs</w:t>
            </w:r>
          </w:p>
          <w:p w:rsidR="003B56E9" w:rsidRPr="003B56E9" w:rsidRDefault="003B56E9" w:rsidP="00821A84">
            <w:pPr>
              <w:pStyle w:val="ListParagraph"/>
              <w:numPr>
                <w:ilvl w:val="0"/>
                <w:numId w:val="139"/>
              </w:numPr>
              <w:ind w:left="422" w:hanging="270"/>
              <w:jc w:val="left"/>
              <w:rPr>
                <w:b w:val="0"/>
                <w:color w:val="000000"/>
                <w:sz w:val="18"/>
              </w:rPr>
            </w:pPr>
            <w:r w:rsidRPr="003B56E9">
              <w:rPr>
                <w:b w:val="0"/>
                <w:color w:val="000000"/>
                <w:sz w:val="18"/>
              </w:rPr>
              <w:t>Continue to market the program using past strategies that have proven effective and test new targeted marketing tactics</w:t>
            </w:r>
          </w:p>
        </w:tc>
        <w:tc>
          <w:tcPr>
            <w:tcW w:w="3600" w:type="dxa"/>
          </w:tcPr>
          <w:p w:rsidR="003B56E9" w:rsidRDefault="003B56E9" w:rsidP="00821A84">
            <w:pPr>
              <w:pStyle w:val="ListParagraph"/>
              <w:numPr>
                <w:ilvl w:val="0"/>
                <w:numId w:val="144"/>
              </w:numPr>
              <w:ind w:left="249" w:hanging="180"/>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Being Considered:</w:t>
            </w:r>
            <w:r w:rsidRPr="00B75B77">
              <w:rPr>
                <w:color w:val="000000"/>
                <w:sz w:val="18"/>
              </w:rPr>
              <w:t xml:space="preserve"> Working with CSP to find alternative solutions in the lighting market to provide LED solutions that fall within the designed budget for Phase III.</w:t>
            </w:r>
          </w:p>
          <w:p w:rsidR="003B56E9" w:rsidRPr="003B56E9" w:rsidRDefault="003B56E9" w:rsidP="00821A84">
            <w:pPr>
              <w:pStyle w:val="ListParagraph"/>
              <w:numPr>
                <w:ilvl w:val="0"/>
                <w:numId w:val="144"/>
              </w:numPr>
              <w:ind w:left="249" w:hanging="180"/>
              <w:jc w:val="left"/>
              <w:cnfStyle w:val="000000100000" w:firstRow="0" w:lastRow="0" w:firstColumn="0" w:lastColumn="0" w:oddVBand="0" w:evenVBand="0" w:oddHBand="1" w:evenHBand="0" w:firstRowFirstColumn="0" w:firstRowLastColumn="0" w:lastRowFirstColumn="0" w:lastRowLastColumn="0"/>
              <w:rPr>
                <w:color w:val="000000"/>
                <w:sz w:val="18"/>
              </w:rPr>
            </w:pPr>
            <w:r w:rsidRPr="003B56E9">
              <w:rPr>
                <w:b/>
                <w:color w:val="000000"/>
                <w:sz w:val="18"/>
              </w:rPr>
              <w:t>Implemented</w:t>
            </w:r>
          </w:p>
        </w:tc>
      </w:tr>
      <w:tr w:rsidR="003B56E9" w:rsidRPr="003B56E9" w:rsidTr="00821A84">
        <w:tc>
          <w:tcPr>
            <w:cnfStyle w:val="001000000000" w:firstRow="0" w:lastRow="0" w:firstColumn="1" w:lastColumn="0" w:oddVBand="0" w:evenVBand="0" w:oddHBand="0" w:evenHBand="0" w:firstRowFirstColumn="0" w:firstRowLastColumn="0" w:lastRowFirstColumn="0" w:lastRowLastColumn="0"/>
            <w:tcW w:w="5755" w:type="dxa"/>
          </w:tcPr>
          <w:p w:rsidR="003B56E9" w:rsidRPr="00B75B77" w:rsidRDefault="003B56E9" w:rsidP="00821A84">
            <w:pPr>
              <w:jc w:val="left"/>
              <w:rPr>
                <w:color w:val="000000"/>
                <w:sz w:val="18"/>
              </w:rPr>
            </w:pPr>
            <w:r w:rsidRPr="00B75B77">
              <w:rPr>
                <w:color w:val="000000"/>
                <w:sz w:val="18"/>
              </w:rPr>
              <w:t xml:space="preserve">Recommendation 4: </w:t>
            </w:r>
          </w:p>
          <w:p w:rsidR="003B56E9" w:rsidRPr="00B75B77" w:rsidRDefault="003B56E9" w:rsidP="00821A84">
            <w:pPr>
              <w:pStyle w:val="ListParagraph"/>
              <w:numPr>
                <w:ilvl w:val="1"/>
                <w:numId w:val="143"/>
              </w:numPr>
              <w:ind w:left="422" w:hanging="270"/>
              <w:jc w:val="left"/>
              <w:rPr>
                <w:b w:val="0"/>
                <w:color w:val="000000"/>
                <w:sz w:val="18"/>
              </w:rPr>
            </w:pPr>
            <w:r w:rsidRPr="00B75B77">
              <w:rPr>
                <w:b w:val="0"/>
                <w:color w:val="000000"/>
                <w:sz w:val="18"/>
              </w:rPr>
              <w:t>Build on PY7’s successful marketing tactics to maintain impacts among core demographics.</w:t>
            </w:r>
          </w:p>
          <w:p w:rsidR="003B56E9" w:rsidRPr="00B75B77" w:rsidRDefault="003B56E9" w:rsidP="00821A84">
            <w:pPr>
              <w:pStyle w:val="ListParagraph"/>
              <w:numPr>
                <w:ilvl w:val="0"/>
                <w:numId w:val="140"/>
              </w:numPr>
              <w:ind w:left="697" w:hanging="270"/>
              <w:jc w:val="left"/>
              <w:rPr>
                <w:b w:val="0"/>
                <w:color w:val="000000"/>
                <w:sz w:val="18"/>
              </w:rPr>
            </w:pPr>
            <w:r w:rsidRPr="00B75B77">
              <w:rPr>
                <w:b w:val="0"/>
                <w:color w:val="000000"/>
                <w:sz w:val="18"/>
              </w:rPr>
              <w:t>Smaller, more frequent direct mail events yielded a steady flow of participants</w:t>
            </w:r>
          </w:p>
          <w:p w:rsidR="003B56E9" w:rsidRPr="003B56E9" w:rsidRDefault="003B56E9" w:rsidP="00821A84">
            <w:pPr>
              <w:pStyle w:val="ListParagraph"/>
              <w:numPr>
                <w:ilvl w:val="0"/>
                <w:numId w:val="140"/>
              </w:numPr>
              <w:ind w:left="697" w:hanging="270"/>
              <w:jc w:val="left"/>
              <w:rPr>
                <w:color w:val="000000"/>
                <w:sz w:val="18"/>
              </w:rPr>
            </w:pPr>
            <w:r w:rsidRPr="00B75B77">
              <w:rPr>
                <w:b w:val="0"/>
                <w:color w:val="000000"/>
                <w:sz w:val="18"/>
              </w:rPr>
              <w:t>Word of mouth is strong and growing</w:t>
            </w:r>
          </w:p>
          <w:p w:rsidR="003B56E9" w:rsidRPr="003B56E9" w:rsidRDefault="003B56E9" w:rsidP="00821A84">
            <w:pPr>
              <w:pStyle w:val="ListParagraph"/>
              <w:numPr>
                <w:ilvl w:val="0"/>
                <w:numId w:val="140"/>
              </w:numPr>
              <w:ind w:left="697" w:hanging="270"/>
              <w:jc w:val="left"/>
              <w:rPr>
                <w:b w:val="0"/>
                <w:color w:val="000000"/>
                <w:sz w:val="18"/>
              </w:rPr>
            </w:pPr>
            <w:r w:rsidRPr="003B56E9">
              <w:rPr>
                <w:b w:val="0"/>
                <w:color w:val="000000"/>
                <w:sz w:val="18"/>
              </w:rPr>
              <w:t>Implement targeted marketing to engage new demographic groups at higher rates.</w:t>
            </w:r>
          </w:p>
        </w:tc>
        <w:tc>
          <w:tcPr>
            <w:tcW w:w="3600" w:type="dxa"/>
          </w:tcPr>
          <w:p w:rsidR="003B56E9" w:rsidRDefault="003B56E9" w:rsidP="00821A84">
            <w:pPr>
              <w:pStyle w:val="ListParagraph"/>
              <w:numPr>
                <w:ilvl w:val="0"/>
                <w:numId w:val="145"/>
              </w:numPr>
              <w:ind w:left="249" w:hanging="180"/>
              <w:jc w:val="left"/>
              <w:cnfStyle w:val="000000000000" w:firstRow="0" w:lastRow="0" w:firstColumn="0" w:lastColumn="0" w:oddVBand="0" w:evenVBand="0" w:oddHBand="0" w:evenHBand="0" w:firstRowFirstColumn="0" w:firstRowLastColumn="0" w:lastRowFirstColumn="0" w:lastRowLastColumn="0"/>
              <w:rPr>
                <w:color w:val="000000"/>
                <w:sz w:val="18"/>
              </w:rPr>
            </w:pPr>
            <w:r w:rsidRPr="00B75B77">
              <w:rPr>
                <w:b/>
                <w:color w:val="000000"/>
                <w:sz w:val="18"/>
              </w:rPr>
              <w:t>Being Considered:</w:t>
            </w:r>
            <w:r w:rsidRPr="00B75B77">
              <w:rPr>
                <w:color w:val="000000"/>
                <w:sz w:val="18"/>
              </w:rPr>
              <w:t xml:space="preserve"> We are working with the EEMF to try additional marketing tactics that yield same results at a lower cost. However, the core marketing tactics deemed valuable are still part of the overall marketing plan.</w:t>
            </w:r>
          </w:p>
          <w:p w:rsidR="003B56E9" w:rsidRPr="003B56E9" w:rsidRDefault="003B56E9" w:rsidP="00821A84">
            <w:pPr>
              <w:pStyle w:val="ListParagraph"/>
              <w:numPr>
                <w:ilvl w:val="0"/>
                <w:numId w:val="145"/>
              </w:numPr>
              <w:ind w:left="249" w:hanging="180"/>
              <w:jc w:val="left"/>
              <w:cnfStyle w:val="000000000000" w:firstRow="0" w:lastRow="0" w:firstColumn="0" w:lastColumn="0" w:oddVBand="0" w:evenVBand="0" w:oddHBand="0" w:evenHBand="0" w:firstRowFirstColumn="0" w:firstRowLastColumn="0" w:lastRowFirstColumn="0" w:lastRowLastColumn="0"/>
              <w:rPr>
                <w:color w:val="000000"/>
                <w:sz w:val="18"/>
              </w:rPr>
            </w:pPr>
            <w:r w:rsidRPr="003B56E9">
              <w:rPr>
                <w:b/>
                <w:color w:val="000000"/>
                <w:sz w:val="18"/>
              </w:rPr>
              <w:t>Implemented</w:t>
            </w:r>
          </w:p>
        </w:tc>
      </w:tr>
      <w:tr w:rsidR="003B56E9" w:rsidRPr="003B56E9" w:rsidTr="00821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5" w:type="dxa"/>
          </w:tcPr>
          <w:p w:rsidR="003B56E9" w:rsidRPr="003B56E9" w:rsidRDefault="003B56E9" w:rsidP="00821A84">
            <w:pPr>
              <w:jc w:val="left"/>
            </w:pPr>
            <w:r w:rsidRPr="00B75B77">
              <w:rPr>
                <w:color w:val="000000"/>
                <w:sz w:val="18"/>
                <w:szCs w:val="18"/>
              </w:rPr>
              <w:t xml:space="preserve">Recommendation 5: </w:t>
            </w:r>
            <w:r w:rsidRPr="00B75B77">
              <w:rPr>
                <w:b w:val="0"/>
                <w:color w:val="000000"/>
                <w:sz w:val="18"/>
                <w:szCs w:val="18"/>
              </w:rPr>
              <w:t>Shape the SHC program as a gateway to the Smart Ideas portfolio of programs. Engage more effectively in cross-program promotion by improving the ability of energy advisors to educate customers.</w:t>
            </w:r>
          </w:p>
        </w:tc>
        <w:tc>
          <w:tcPr>
            <w:tcW w:w="3600" w:type="dxa"/>
            <w:vAlign w:val="top"/>
          </w:tcPr>
          <w:p w:rsidR="003B56E9" w:rsidRPr="003B56E9" w:rsidRDefault="003B56E9" w:rsidP="00821A84">
            <w:pPr>
              <w:cnfStyle w:val="000000100000" w:firstRow="0" w:lastRow="0" w:firstColumn="0" w:lastColumn="0" w:oddVBand="0" w:evenVBand="0" w:oddHBand="1" w:evenHBand="0" w:firstRowFirstColumn="0" w:firstRowLastColumn="0" w:lastRowFirstColumn="0" w:lastRowLastColumn="0"/>
            </w:pPr>
            <w:r w:rsidRPr="00B75B77">
              <w:rPr>
                <w:b/>
                <w:color w:val="000000"/>
                <w:sz w:val="18"/>
              </w:rPr>
              <w:t xml:space="preserve">Implemented  </w:t>
            </w:r>
          </w:p>
        </w:tc>
      </w:tr>
    </w:tbl>
    <w:p w:rsidR="003B56E9" w:rsidRPr="003B56E9" w:rsidRDefault="003B56E9" w:rsidP="003B56E9"/>
    <w:p w:rsidR="00E646C9" w:rsidRPr="003A1D95" w:rsidRDefault="00E646C9" w:rsidP="003B56E9">
      <w:pPr>
        <w:pStyle w:val="AppendixGHeading2"/>
      </w:pPr>
      <w:r w:rsidRPr="003A1D95">
        <w:t xml:space="preserve">Smart Appliance Recycling </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keepNext/>
              <w:jc w:val="left"/>
              <w:rPr>
                <w:bCs w:val="0"/>
                <w:sz w:val="18"/>
              </w:rPr>
            </w:pPr>
            <w:r w:rsidRPr="00B75B77">
              <w:rPr>
                <w:bCs w:val="0"/>
                <w:sz w:val="18"/>
              </w:rPr>
              <w:t>Recommendations</w:t>
            </w:r>
          </w:p>
        </w:tc>
        <w:tc>
          <w:tcPr>
            <w:tcW w:w="4680" w:type="dxa"/>
            <w:shd w:val="clear" w:color="auto" w:fill="448A99"/>
            <w:vAlign w:val="bottom"/>
            <w:hideMark/>
          </w:tcPr>
          <w:p w:rsidR="003B56E9" w:rsidRDefault="00E646C9" w:rsidP="003B56E9">
            <w:pPr>
              <w:keepNext/>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3B56E9" w:rsidRDefault="00E646C9" w:rsidP="003B56E9">
            <w:pPr>
              <w:keepNext/>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3B56E9">
              <w:rPr>
                <w:b w:val="0"/>
                <w:bCs w:val="0"/>
                <w:sz w:val="18"/>
              </w:rPr>
              <w:t>(Implemented, Being Considered, Rejected AND Explanation of Action Taken by EDC)</w:t>
            </w:r>
          </w:p>
        </w:tc>
      </w:tr>
      <w:tr w:rsidR="00E646C9" w:rsidRPr="00B75B77" w:rsidTr="003B56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b w:val="0"/>
                <w:color w:val="000000"/>
                <w:sz w:val="18"/>
              </w:rPr>
            </w:pPr>
            <w:r w:rsidRPr="00B75B77">
              <w:rPr>
                <w:color w:val="000000"/>
                <w:sz w:val="18"/>
              </w:rPr>
              <w:t>Recommendation 1:</w:t>
            </w:r>
            <w:r w:rsidRPr="00B75B77">
              <w:rPr>
                <w:b w:val="0"/>
                <w:color w:val="000000"/>
                <w:sz w:val="18"/>
              </w:rPr>
              <w:t xml:space="preserve"> </w:t>
            </w:r>
          </w:p>
          <w:p w:rsidR="00E646C9" w:rsidRPr="00B75B77" w:rsidRDefault="00E646C9" w:rsidP="00E646C9">
            <w:pPr>
              <w:pStyle w:val="ListParagraph"/>
              <w:keepNext/>
              <w:numPr>
                <w:ilvl w:val="1"/>
                <w:numId w:val="146"/>
              </w:numPr>
              <w:ind w:left="424" w:hanging="270"/>
              <w:jc w:val="left"/>
              <w:rPr>
                <w:b w:val="0"/>
                <w:color w:val="000000"/>
                <w:sz w:val="18"/>
              </w:rPr>
            </w:pPr>
            <w:r w:rsidRPr="00B75B77">
              <w:rPr>
                <w:b w:val="0"/>
                <w:color w:val="000000"/>
                <w:sz w:val="18"/>
              </w:rPr>
              <w:t>PECO should monitor the financial health of their CSP to avoid program interruptions in Phase III.</w:t>
            </w:r>
          </w:p>
          <w:p w:rsidR="00E646C9" w:rsidRPr="00B75B77" w:rsidRDefault="00E646C9" w:rsidP="00E646C9">
            <w:pPr>
              <w:pStyle w:val="ListParagraph"/>
              <w:keepNext/>
              <w:numPr>
                <w:ilvl w:val="1"/>
                <w:numId w:val="146"/>
              </w:numPr>
              <w:ind w:left="424" w:hanging="270"/>
              <w:jc w:val="left"/>
              <w:rPr>
                <w:color w:val="000000"/>
                <w:sz w:val="18"/>
              </w:rPr>
            </w:pPr>
            <w:r w:rsidRPr="00B75B77">
              <w:rPr>
                <w:b w:val="0"/>
                <w:color w:val="000000"/>
                <w:sz w:val="18"/>
              </w:rPr>
              <w:t>PECO should develop response plans for programs relying on a single CSP. These plans should define the protocol for data transfers between a departing CSP and PECO.</w:t>
            </w:r>
          </w:p>
        </w:tc>
        <w:tc>
          <w:tcPr>
            <w:tcW w:w="4680" w:type="dxa"/>
            <w:noWrap/>
            <w:hideMark/>
          </w:tcPr>
          <w:p w:rsidR="00E646C9" w:rsidRPr="00B75B77" w:rsidRDefault="00E646C9" w:rsidP="00E646C9">
            <w:pPr>
              <w:pStyle w:val="ListParagraph"/>
              <w:keepNext/>
              <w:numPr>
                <w:ilvl w:val="0"/>
                <w:numId w:val="147"/>
              </w:num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PECO is monitoring the financial health of the CSP to avoid program interruptions in Phase III.</w:t>
            </w:r>
          </w:p>
          <w:p w:rsidR="00E646C9" w:rsidRPr="00B75B77" w:rsidRDefault="00E646C9" w:rsidP="00E646C9">
            <w:pPr>
              <w:pStyle w:val="ListParagraph"/>
              <w:keepNext/>
              <w:numPr>
                <w:ilvl w:val="0"/>
                <w:numId w:val="147"/>
              </w:numPr>
              <w:jc w:val="left"/>
              <w:cnfStyle w:val="000000100000" w:firstRow="0" w:lastRow="0" w:firstColumn="0" w:lastColumn="0" w:oddVBand="0" w:evenVBand="0" w:oddHBand="1" w:evenHBand="0" w:firstRowFirstColumn="0" w:firstRowLastColumn="0" w:lastRowFirstColumn="0" w:lastRowLastColumn="0"/>
              <w:rPr>
                <w:b/>
                <w:color w:val="000000"/>
                <w:sz w:val="18"/>
              </w:rPr>
            </w:pPr>
            <w:r w:rsidRPr="00B75B77">
              <w:rPr>
                <w:b/>
                <w:color w:val="000000"/>
                <w:sz w:val="18"/>
              </w:rPr>
              <w:t>Being Considered</w:t>
            </w:r>
          </w:p>
        </w:tc>
      </w:tr>
      <w:tr w:rsidR="00E646C9" w:rsidRPr="00B75B77" w:rsidTr="00C94D5A">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color w:val="000000"/>
                <w:sz w:val="18"/>
              </w:rPr>
            </w:pPr>
            <w:r w:rsidRPr="00B75B77">
              <w:rPr>
                <w:color w:val="000000"/>
                <w:sz w:val="18"/>
              </w:rPr>
              <w:t xml:space="preserve">Recommendation 2: </w:t>
            </w:r>
            <w:r w:rsidRPr="00B75B77">
              <w:rPr>
                <w:b w:val="0"/>
                <w:color w:val="000000"/>
                <w:sz w:val="18"/>
              </w:rPr>
              <w:t>PECO’s response to JACO’s closure can inform the response plans of other programs reliant on a turnkey CSP.</w:t>
            </w:r>
          </w:p>
        </w:tc>
        <w:tc>
          <w:tcPr>
            <w:tcW w:w="4680" w:type="dxa"/>
            <w:noWrap/>
            <w:hideMark/>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color w:val="000000"/>
                <w:sz w:val="18"/>
              </w:rPr>
              <w:t> </w:t>
            </w:r>
            <w:r w:rsidRPr="00B75B77">
              <w:rPr>
                <w:b/>
                <w:color w:val="000000"/>
                <w:sz w:val="18"/>
              </w:rPr>
              <w:t>Being Considered</w:t>
            </w:r>
          </w:p>
        </w:tc>
      </w:tr>
      <w:tr w:rsidR="00E646C9" w:rsidRPr="00B75B77" w:rsidTr="00C94D5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color w:val="000000"/>
                <w:sz w:val="18"/>
              </w:rPr>
            </w:pPr>
            <w:r w:rsidRPr="00B75B77">
              <w:rPr>
                <w:color w:val="000000"/>
                <w:sz w:val="18"/>
              </w:rPr>
              <w:t>Recommendation 3:</w:t>
            </w:r>
            <w:r w:rsidRPr="00B75B77">
              <w:rPr>
                <w:b w:val="0"/>
                <w:color w:val="000000"/>
                <w:sz w:val="18"/>
              </w:rPr>
              <w:t xml:space="preserve"> PECO should engage in statewide discussions to develop a more robust method for estimating net savings.</w:t>
            </w:r>
          </w:p>
        </w:tc>
        <w:tc>
          <w:tcPr>
            <w:tcW w:w="4680" w:type="dxa"/>
            <w:noWrap/>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color w:val="000000"/>
                <w:sz w:val="18"/>
              </w:rPr>
              <w:t> </w:t>
            </w:r>
            <w:r w:rsidRPr="00B75B77">
              <w:rPr>
                <w:b/>
                <w:color w:val="000000"/>
                <w:sz w:val="18"/>
              </w:rPr>
              <w:t>Being Considered</w:t>
            </w:r>
          </w:p>
        </w:tc>
      </w:tr>
    </w:tbl>
    <w:p w:rsidR="00E646C9" w:rsidRDefault="00E646C9" w:rsidP="00E646C9"/>
    <w:p w:rsidR="00E646C9" w:rsidRPr="008606B4" w:rsidRDefault="00E646C9" w:rsidP="003B56E9">
      <w:pPr>
        <w:pStyle w:val="AppendixGHeading2"/>
      </w:pPr>
      <w:r w:rsidRPr="008606B4">
        <w:t>Smart Usage Profile</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jc w:val="left"/>
              <w:rPr>
                <w:bCs w:val="0"/>
                <w:sz w:val="18"/>
              </w:rPr>
            </w:pPr>
            <w:r w:rsidRPr="00B75B77">
              <w:rPr>
                <w:bCs w:val="0"/>
                <w:sz w:val="18"/>
              </w:rPr>
              <w:t>Recommendations</w:t>
            </w:r>
          </w:p>
        </w:tc>
        <w:tc>
          <w:tcPr>
            <w:tcW w:w="4680" w:type="dxa"/>
            <w:shd w:val="clear" w:color="auto" w:fill="448A99"/>
            <w:vAlign w:val="bottom"/>
            <w:hideMark/>
          </w:tcPr>
          <w:p w:rsidR="003B56E9" w:rsidRDefault="003B56E9" w:rsidP="003B56E9">
            <w:pPr>
              <w:keepNext/>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EDC Status of Recommendation</w:t>
            </w:r>
          </w:p>
          <w:p w:rsidR="00E646C9" w:rsidRPr="00B75B77" w:rsidRDefault="003B56E9" w:rsidP="003B56E9">
            <w:pPr>
              <w:jc w:val="center"/>
              <w:cnfStyle w:val="100000000000" w:firstRow="1" w:lastRow="0" w:firstColumn="0" w:lastColumn="0" w:oddVBand="0" w:evenVBand="0" w:oddHBand="0" w:evenHBand="0" w:firstRowFirstColumn="0" w:firstRowLastColumn="0" w:lastRowFirstColumn="0" w:lastRowLastColumn="0"/>
              <w:rPr>
                <w:bCs w:val="0"/>
                <w:sz w:val="18"/>
              </w:rPr>
            </w:pPr>
            <w:r w:rsidRPr="003B56E9">
              <w:rPr>
                <w:b w:val="0"/>
                <w:bCs w:val="0"/>
                <w:sz w:val="18"/>
              </w:rPr>
              <w:t>(Implemented, Being Considered, Rejected AND Explanation of Action Taken by EDC)</w:t>
            </w:r>
          </w:p>
        </w:tc>
      </w:tr>
      <w:tr w:rsidR="00E646C9" w:rsidRPr="00B75B77" w:rsidTr="003B56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b w:val="0"/>
                <w:color w:val="000000"/>
                <w:sz w:val="18"/>
              </w:rPr>
            </w:pPr>
            <w:r w:rsidRPr="00B75B77">
              <w:rPr>
                <w:color w:val="000000"/>
                <w:sz w:val="18"/>
              </w:rPr>
              <w:t xml:space="preserve">Recommendation 1: </w:t>
            </w:r>
            <w:r w:rsidRPr="00B75B77">
              <w:rPr>
                <w:b w:val="0"/>
                <w:color w:val="000000"/>
                <w:sz w:val="18"/>
              </w:rPr>
              <w:t>Monitor the month-by-month progression of percentage savings from waves to optimize savings projections and program size in Phase III.</w:t>
            </w:r>
          </w:p>
        </w:tc>
        <w:tc>
          <w:tcPr>
            <w:tcW w:w="4680" w:type="dxa"/>
            <w:noWrap/>
            <w:vAlign w:val="center"/>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In Phase III, PECO plans to incorporate data analytics into program monitoring to help identify areas of opportunity and develop target channeling.</w:t>
            </w:r>
          </w:p>
        </w:tc>
      </w:tr>
      <w:tr w:rsidR="00E646C9" w:rsidRPr="00B75B77" w:rsidTr="003B56E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b w:val="0"/>
                <w:color w:val="000000"/>
                <w:sz w:val="18"/>
              </w:rPr>
            </w:pPr>
            <w:r w:rsidRPr="00B75B77">
              <w:rPr>
                <w:color w:val="000000"/>
                <w:sz w:val="18"/>
              </w:rPr>
              <w:t xml:space="preserve">Recommendation 2: </w:t>
            </w:r>
            <w:r w:rsidRPr="00B75B77">
              <w:rPr>
                <w:b w:val="0"/>
                <w:color w:val="000000"/>
                <w:sz w:val="18"/>
              </w:rPr>
              <w:t>Acquire and apply more data on household characteristics, lifestyles, and propensities to increase engagement and program channeling.</w:t>
            </w:r>
          </w:p>
        </w:tc>
        <w:tc>
          <w:tcPr>
            <w:tcW w:w="4680" w:type="dxa"/>
            <w:noWrap/>
            <w:vAlign w:val="center"/>
            <w:hideMark/>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b/>
                <w:color w:val="000000"/>
                <w:sz w:val="18"/>
              </w:rPr>
              <w:t>Implemented:</w:t>
            </w:r>
            <w:r w:rsidRPr="00B75B77">
              <w:rPr>
                <w:color w:val="000000"/>
                <w:sz w:val="18"/>
              </w:rPr>
              <w:t xml:space="preserve"> In Phase III, PECO plans to incorporate data analytics into program monitoring to help identify areas of opportunity in the area of customer personalization.</w:t>
            </w:r>
          </w:p>
        </w:tc>
      </w:tr>
      <w:tr w:rsidR="00E646C9" w:rsidRPr="00B75B77" w:rsidTr="003B56E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color w:val="000000"/>
                <w:sz w:val="18"/>
              </w:rPr>
            </w:pPr>
            <w:r w:rsidRPr="00B75B77">
              <w:rPr>
                <w:color w:val="000000"/>
                <w:sz w:val="18"/>
              </w:rPr>
              <w:t xml:space="preserve">Recommendation 3: </w:t>
            </w:r>
          </w:p>
          <w:p w:rsidR="00E646C9" w:rsidRPr="00B75B77" w:rsidRDefault="00E646C9" w:rsidP="00E646C9">
            <w:pPr>
              <w:pStyle w:val="ListParagraph"/>
              <w:numPr>
                <w:ilvl w:val="0"/>
                <w:numId w:val="148"/>
              </w:numPr>
              <w:ind w:left="424" w:hanging="270"/>
              <w:jc w:val="left"/>
              <w:rPr>
                <w:b w:val="0"/>
                <w:color w:val="000000"/>
                <w:sz w:val="18"/>
              </w:rPr>
            </w:pPr>
            <w:r w:rsidRPr="00B75B77">
              <w:rPr>
                <w:b w:val="0"/>
                <w:color w:val="000000"/>
                <w:sz w:val="18"/>
              </w:rPr>
              <w:t>Utilize other PECO customer points of contact to gather participant email addresses for the purposes of electronic report delivery.</w:t>
            </w:r>
          </w:p>
          <w:p w:rsidR="00E646C9" w:rsidRPr="00B75B77" w:rsidRDefault="00E646C9" w:rsidP="00E646C9">
            <w:pPr>
              <w:pStyle w:val="ListParagraph"/>
              <w:numPr>
                <w:ilvl w:val="0"/>
                <w:numId w:val="148"/>
              </w:numPr>
              <w:ind w:left="424" w:hanging="270"/>
              <w:jc w:val="left"/>
              <w:rPr>
                <w:color w:val="000000"/>
                <w:sz w:val="18"/>
              </w:rPr>
            </w:pPr>
            <w:r w:rsidRPr="00B75B77">
              <w:rPr>
                <w:b w:val="0"/>
                <w:color w:val="000000"/>
                <w:sz w:val="18"/>
              </w:rPr>
              <w:t>PECO should document clear intentions and metrics for the email and web portal components of the program, especially for Phase III, and set and track goals accordingly.</w:t>
            </w:r>
          </w:p>
        </w:tc>
        <w:tc>
          <w:tcPr>
            <w:tcW w:w="4680" w:type="dxa"/>
            <w:noWrap/>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Being Considered: </w:t>
            </w:r>
            <w:r w:rsidRPr="00B75B77">
              <w:rPr>
                <w:color w:val="000000"/>
                <w:sz w:val="18"/>
              </w:rPr>
              <w:t>PECO is working on developing a business intelligence and customer data analytics component of the program to advance its channeling and outreach pathways.</w:t>
            </w:r>
          </w:p>
        </w:tc>
      </w:tr>
    </w:tbl>
    <w:p w:rsidR="00E646C9" w:rsidRDefault="00E646C9" w:rsidP="00E646C9"/>
    <w:p w:rsidR="008945CF" w:rsidRDefault="008945CF" w:rsidP="00E646C9"/>
    <w:p w:rsidR="008945CF" w:rsidRDefault="008945CF" w:rsidP="00E646C9"/>
    <w:p w:rsidR="008945CF" w:rsidRDefault="008945CF" w:rsidP="00E646C9"/>
    <w:p w:rsidR="008945CF" w:rsidRDefault="008945CF" w:rsidP="00E646C9"/>
    <w:p w:rsidR="008945CF" w:rsidRDefault="008945CF" w:rsidP="00E646C9"/>
    <w:p w:rsidR="008945CF" w:rsidRDefault="008945CF" w:rsidP="00E646C9"/>
    <w:p w:rsidR="008945CF" w:rsidRDefault="008945CF" w:rsidP="00E646C9"/>
    <w:p w:rsidR="0011636D" w:rsidRDefault="0011636D" w:rsidP="00E646C9"/>
    <w:p w:rsidR="00E646C9" w:rsidRPr="008606B4" w:rsidRDefault="00E646C9" w:rsidP="003B56E9">
      <w:pPr>
        <w:pStyle w:val="AppendixGHeading2"/>
      </w:pPr>
      <w:r w:rsidRPr="008606B4">
        <w:t>Smart Energy Saver</w:t>
      </w:r>
    </w:p>
    <w:tbl>
      <w:tblPr>
        <w:tblW w:w="9355"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4400"/>
        <w:gridCol w:w="4955"/>
      </w:tblGrid>
      <w:tr w:rsidR="00E646C9" w:rsidRPr="00B75B77" w:rsidTr="0011636D">
        <w:trPr>
          <w:trHeight w:val="612"/>
        </w:trPr>
        <w:tc>
          <w:tcPr>
            <w:tcW w:w="4400" w:type="dxa"/>
            <w:shd w:val="clear" w:color="000000" w:fill="448A99"/>
            <w:hideMark/>
          </w:tcPr>
          <w:p w:rsidR="00E646C9" w:rsidRPr="00B75B77" w:rsidRDefault="00E646C9" w:rsidP="00821A84">
            <w:pPr>
              <w:keepNext/>
              <w:jc w:val="left"/>
              <w:rPr>
                <w:b/>
                <w:bCs/>
                <w:color w:val="FFFFFF"/>
                <w:sz w:val="18"/>
                <w:szCs w:val="18"/>
              </w:rPr>
            </w:pPr>
            <w:r w:rsidRPr="00B75B77">
              <w:rPr>
                <w:b/>
                <w:bCs/>
                <w:color w:val="FFFFFF"/>
                <w:sz w:val="18"/>
                <w:szCs w:val="18"/>
              </w:rPr>
              <w:t>Recommendations</w:t>
            </w:r>
          </w:p>
        </w:tc>
        <w:tc>
          <w:tcPr>
            <w:tcW w:w="4955" w:type="dxa"/>
            <w:shd w:val="clear" w:color="000000" w:fill="448A99"/>
            <w:vAlign w:val="bottom"/>
            <w:hideMark/>
          </w:tcPr>
          <w:p w:rsidR="008945CF" w:rsidRPr="008945CF" w:rsidRDefault="008945CF" w:rsidP="008945CF">
            <w:pPr>
              <w:keepNext/>
              <w:jc w:val="center"/>
              <w:rPr>
                <w:b/>
                <w:bCs/>
                <w:color w:val="FFFFFF" w:themeColor="background1"/>
                <w:sz w:val="18"/>
              </w:rPr>
            </w:pPr>
            <w:r w:rsidRPr="008945CF">
              <w:rPr>
                <w:b/>
                <w:bCs/>
                <w:color w:val="FFFFFF" w:themeColor="background1"/>
                <w:sz w:val="18"/>
              </w:rPr>
              <w:t>EDC Status of Recommendation</w:t>
            </w:r>
          </w:p>
          <w:p w:rsidR="00E646C9" w:rsidRPr="008945CF" w:rsidRDefault="008945CF" w:rsidP="008945CF">
            <w:pPr>
              <w:keepNext/>
              <w:jc w:val="center"/>
              <w:rPr>
                <w:b/>
                <w:bCs/>
                <w:color w:val="FFFFFF" w:themeColor="background1"/>
                <w:sz w:val="18"/>
                <w:szCs w:val="18"/>
              </w:rPr>
            </w:pPr>
            <w:r w:rsidRPr="008945CF">
              <w:rPr>
                <w:bCs/>
                <w:color w:val="FFFFFF" w:themeColor="background1"/>
                <w:sz w:val="18"/>
              </w:rPr>
              <w:t>(Implemented, Being Considered, Rejected AND Explanation of Action Taken by EDC)</w:t>
            </w:r>
          </w:p>
        </w:tc>
      </w:tr>
      <w:tr w:rsidR="00E646C9" w:rsidRPr="00B75B77" w:rsidTr="0011636D">
        <w:trPr>
          <w:trHeight w:val="917"/>
        </w:trPr>
        <w:tc>
          <w:tcPr>
            <w:tcW w:w="4400" w:type="dxa"/>
            <w:shd w:val="clear" w:color="000000" w:fill="D2EAF1"/>
            <w:hideMark/>
          </w:tcPr>
          <w:p w:rsidR="00E646C9" w:rsidRPr="00B75B77" w:rsidRDefault="00E646C9" w:rsidP="00C94D5A">
            <w:pPr>
              <w:keepNext/>
              <w:jc w:val="left"/>
              <w:rPr>
                <w:bCs/>
                <w:color w:val="000000"/>
                <w:sz w:val="18"/>
                <w:szCs w:val="18"/>
              </w:rPr>
            </w:pPr>
            <w:r w:rsidRPr="00B75B77">
              <w:rPr>
                <w:b/>
                <w:bCs/>
                <w:color w:val="000000"/>
                <w:sz w:val="18"/>
                <w:szCs w:val="18"/>
              </w:rPr>
              <w:t xml:space="preserve">Recommendation 1: </w:t>
            </w:r>
            <w:r w:rsidRPr="00B75B77">
              <w:rPr>
                <w:bCs/>
                <w:color w:val="000000"/>
                <w:sz w:val="18"/>
                <w:szCs w:val="18"/>
              </w:rPr>
              <w:t>PECO should consider whether or not offering nightlights as an energy-saving device for non-DI programs is appropriate for the portfolio.</w:t>
            </w:r>
          </w:p>
        </w:tc>
        <w:tc>
          <w:tcPr>
            <w:tcW w:w="4955" w:type="dxa"/>
            <w:shd w:val="clear" w:color="000000" w:fill="D2EAF1"/>
            <w:hideMark/>
          </w:tcPr>
          <w:p w:rsidR="00E646C9" w:rsidRPr="00B75B77" w:rsidRDefault="00E646C9" w:rsidP="00C94D5A">
            <w:pPr>
              <w:keepNext/>
              <w:jc w:val="left"/>
              <w:rPr>
                <w:color w:val="000000"/>
                <w:sz w:val="18"/>
                <w:szCs w:val="18"/>
              </w:rPr>
            </w:pPr>
            <w:r w:rsidRPr="00B75B77">
              <w:rPr>
                <w:b/>
                <w:color w:val="000000"/>
                <w:sz w:val="18"/>
                <w:szCs w:val="18"/>
              </w:rPr>
              <w:t>Being Considered:</w:t>
            </w:r>
            <w:r w:rsidRPr="00B75B77">
              <w:rPr>
                <w:color w:val="000000"/>
                <w:sz w:val="18"/>
                <w:szCs w:val="18"/>
              </w:rPr>
              <w:t xml:space="preserve"> PECO is considering if offering nightlights in non-DI programs/solutions makes sense in the next Phase.  </w:t>
            </w:r>
          </w:p>
        </w:tc>
      </w:tr>
      <w:tr w:rsidR="00E646C9" w:rsidRPr="00B75B77" w:rsidTr="0011636D">
        <w:trPr>
          <w:trHeight w:val="1691"/>
        </w:trPr>
        <w:tc>
          <w:tcPr>
            <w:tcW w:w="4400" w:type="dxa"/>
            <w:shd w:val="clear" w:color="auto" w:fill="auto"/>
            <w:hideMark/>
          </w:tcPr>
          <w:p w:rsidR="00E646C9" w:rsidRPr="00B75B77" w:rsidRDefault="00E646C9" w:rsidP="00C94D5A">
            <w:pPr>
              <w:keepNext/>
              <w:jc w:val="left"/>
              <w:rPr>
                <w:bCs/>
                <w:color w:val="000000"/>
                <w:sz w:val="18"/>
                <w:szCs w:val="18"/>
              </w:rPr>
            </w:pPr>
            <w:r w:rsidRPr="00B75B77">
              <w:rPr>
                <w:b/>
                <w:bCs/>
                <w:color w:val="000000"/>
                <w:sz w:val="18"/>
                <w:szCs w:val="18"/>
              </w:rPr>
              <w:t xml:space="preserve">Recommendation 2: </w:t>
            </w:r>
            <w:r w:rsidRPr="00B75B77">
              <w:rPr>
                <w:bCs/>
                <w:color w:val="000000"/>
                <w:sz w:val="18"/>
                <w:szCs w:val="18"/>
              </w:rPr>
              <w:t>If program implementation deviates from program design, PECO should review the design assumptions to ensure that the program plan and corresponding program expectations are achievable. PECO may decide to update either the design assumptions or program implementation to meet expectations or align the program with the original design intent.</w:t>
            </w:r>
          </w:p>
        </w:tc>
        <w:tc>
          <w:tcPr>
            <w:tcW w:w="4955" w:type="dxa"/>
            <w:shd w:val="clear" w:color="auto" w:fill="auto"/>
            <w:hideMark/>
          </w:tcPr>
          <w:p w:rsidR="00E646C9" w:rsidRPr="00B75B77" w:rsidRDefault="00E646C9" w:rsidP="00C94D5A">
            <w:pPr>
              <w:keepNext/>
              <w:jc w:val="left"/>
              <w:rPr>
                <w:color w:val="000000"/>
                <w:sz w:val="18"/>
                <w:szCs w:val="18"/>
              </w:rPr>
            </w:pPr>
            <w:r w:rsidRPr="00B75B77">
              <w:rPr>
                <w:b/>
                <w:color w:val="000000"/>
                <w:sz w:val="18"/>
                <w:szCs w:val="18"/>
              </w:rPr>
              <w:t xml:space="preserve">Not Applicable: </w:t>
            </w:r>
            <w:r w:rsidRPr="00B75B77">
              <w:rPr>
                <w:color w:val="000000"/>
                <w:sz w:val="18"/>
                <w:szCs w:val="18"/>
              </w:rPr>
              <w:t>This program was morphed into another solution for the low-income and multifamily customer segments, and will be tracked according to the design assumptions to meet desired outcome.</w:t>
            </w:r>
          </w:p>
        </w:tc>
      </w:tr>
    </w:tbl>
    <w:p w:rsidR="00E646C9" w:rsidRPr="008606B4" w:rsidRDefault="00E646C9" w:rsidP="00E646C9"/>
    <w:p w:rsidR="00E646C9" w:rsidRPr="008606B4" w:rsidRDefault="00E646C9" w:rsidP="008945CF">
      <w:pPr>
        <w:pStyle w:val="AppendixGHeading2"/>
      </w:pPr>
      <w:r w:rsidRPr="008606B4">
        <w:t>Smart Energy Saver</w:t>
      </w:r>
      <w:r>
        <w:t xml:space="preserve"> </w:t>
      </w:r>
    </w:p>
    <w:tbl>
      <w:tblPr>
        <w:tblW w:w="9355"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4400"/>
        <w:gridCol w:w="4955"/>
      </w:tblGrid>
      <w:tr w:rsidR="00E646C9" w:rsidRPr="00B75B77" w:rsidTr="00821A84">
        <w:trPr>
          <w:trHeight w:val="612"/>
        </w:trPr>
        <w:tc>
          <w:tcPr>
            <w:tcW w:w="4400" w:type="dxa"/>
            <w:shd w:val="clear" w:color="000000" w:fill="448A99"/>
            <w:hideMark/>
          </w:tcPr>
          <w:p w:rsidR="00E646C9" w:rsidRPr="00B75B77" w:rsidRDefault="00E646C9" w:rsidP="00821A84">
            <w:pPr>
              <w:keepNext/>
              <w:jc w:val="left"/>
              <w:rPr>
                <w:b/>
                <w:bCs/>
                <w:color w:val="FFFFFF"/>
                <w:sz w:val="18"/>
                <w:szCs w:val="18"/>
              </w:rPr>
            </w:pPr>
            <w:r w:rsidRPr="00B75B77">
              <w:rPr>
                <w:b/>
                <w:bCs/>
                <w:color w:val="FFFFFF"/>
                <w:sz w:val="18"/>
                <w:szCs w:val="18"/>
              </w:rPr>
              <w:t>Recommendations</w:t>
            </w:r>
          </w:p>
        </w:tc>
        <w:tc>
          <w:tcPr>
            <w:tcW w:w="4955" w:type="dxa"/>
            <w:shd w:val="clear" w:color="000000" w:fill="448A99"/>
            <w:vAlign w:val="center"/>
            <w:hideMark/>
          </w:tcPr>
          <w:p w:rsidR="008945CF" w:rsidRDefault="00E646C9" w:rsidP="008945CF">
            <w:pPr>
              <w:keepNext/>
              <w:jc w:val="center"/>
              <w:rPr>
                <w:b/>
                <w:bCs/>
                <w:color w:val="FFFFFF"/>
                <w:sz w:val="18"/>
                <w:szCs w:val="18"/>
              </w:rPr>
            </w:pPr>
            <w:r w:rsidRPr="00B75B77">
              <w:rPr>
                <w:b/>
                <w:bCs/>
                <w:color w:val="FFFFFF"/>
                <w:sz w:val="18"/>
                <w:szCs w:val="18"/>
              </w:rPr>
              <w:t xml:space="preserve">EDC Status of Recommendations </w:t>
            </w:r>
          </w:p>
          <w:p w:rsidR="00E646C9" w:rsidRPr="008945CF" w:rsidRDefault="00E646C9" w:rsidP="008945CF">
            <w:pPr>
              <w:keepNext/>
              <w:jc w:val="center"/>
              <w:rPr>
                <w:bCs/>
                <w:color w:val="FFFFFF"/>
                <w:sz w:val="18"/>
                <w:szCs w:val="18"/>
              </w:rPr>
            </w:pPr>
            <w:r w:rsidRPr="008945CF">
              <w:rPr>
                <w:bCs/>
                <w:color w:val="FFFFFF"/>
                <w:sz w:val="18"/>
                <w:szCs w:val="18"/>
              </w:rPr>
              <w:t>(Implemented, Being Considered, Rejected AND Explanation of Action Taken by EDC)</w:t>
            </w:r>
          </w:p>
        </w:tc>
      </w:tr>
      <w:tr w:rsidR="00E646C9" w:rsidRPr="00B75B77" w:rsidTr="008945CF">
        <w:trPr>
          <w:trHeight w:val="917"/>
        </w:trPr>
        <w:tc>
          <w:tcPr>
            <w:tcW w:w="4400" w:type="dxa"/>
            <w:shd w:val="clear" w:color="000000" w:fill="D2EAF1"/>
            <w:hideMark/>
          </w:tcPr>
          <w:p w:rsidR="00E646C9" w:rsidRPr="00B75B77" w:rsidRDefault="00E646C9" w:rsidP="00C94D5A">
            <w:pPr>
              <w:keepNext/>
              <w:jc w:val="left"/>
              <w:rPr>
                <w:bCs/>
                <w:color w:val="000000"/>
                <w:sz w:val="18"/>
                <w:szCs w:val="18"/>
              </w:rPr>
            </w:pPr>
            <w:r w:rsidRPr="00B75B77">
              <w:rPr>
                <w:b/>
                <w:bCs/>
                <w:color w:val="000000"/>
                <w:sz w:val="18"/>
                <w:szCs w:val="18"/>
              </w:rPr>
              <w:t xml:space="preserve">Recommendation 1: </w:t>
            </w:r>
            <w:r w:rsidRPr="00B75B77">
              <w:rPr>
                <w:bCs/>
                <w:color w:val="000000"/>
                <w:sz w:val="18"/>
                <w:szCs w:val="18"/>
              </w:rPr>
              <w:t>PECO should consider whether or not offering nightlights as an energy-saving device for non-DI programs is appropriate for the portfolio.</w:t>
            </w:r>
          </w:p>
        </w:tc>
        <w:tc>
          <w:tcPr>
            <w:tcW w:w="4955" w:type="dxa"/>
            <w:shd w:val="clear" w:color="000000" w:fill="D2EAF1"/>
            <w:hideMark/>
          </w:tcPr>
          <w:p w:rsidR="00E646C9" w:rsidRPr="00B75B77" w:rsidRDefault="00E646C9" w:rsidP="00C94D5A">
            <w:pPr>
              <w:keepNext/>
              <w:jc w:val="left"/>
              <w:rPr>
                <w:color w:val="000000"/>
                <w:sz w:val="18"/>
                <w:szCs w:val="18"/>
              </w:rPr>
            </w:pPr>
            <w:r w:rsidRPr="00B75B77">
              <w:rPr>
                <w:b/>
                <w:color w:val="000000"/>
                <w:sz w:val="18"/>
                <w:szCs w:val="18"/>
              </w:rPr>
              <w:t>Being Considered:</w:t>
            </w:r>
            <w:r w:rsidRPr="00B75B77">
              <w:rPr>
                <w:color w:val="000000"/>
                <w:sz w:val="18"/>
                <w:szCs w:val="18"/>
              </w:rPr>
              <w:t xml:space="preserve"> PECO is considering if offering nightlights in non-DI programs/solutions makes sense in the next Phase.  </w:t>
            </w:r>
          </w:p>
        </w:tc>
      </w:tr>
      <w:tr w:rsidR="00E646C9" w:rsidRPr="00B75B77" w:rsidTr="008945CF">
        <w:trPr>
          <w:trHeight w:val="1691"/>
        </w:trPr>
        <w:tc>
          <w:tcPr>
            <w:tcW w:w="4400" w:type="dxa"/>
            <w:shd w:val="clear" w:color="auto" w:fill="auto"/>
            <w:hideMark/>
          </w:tcPr>
          <w:p w:rsidR="00E646C9" w:rsidRPr="00B75B77" w:rsidRDefault="00E646C9" w:rsidP="00C94D5A">
            <w:pPr>
              <w:keepNext/>
              <w:jc w:val="left"/>
              <w:rPr>
                <w:bCs/>
                <w:color w:val="000000"/>
                <w:sz w:val="18"/>
                <w:szCs w:val="18"/>
              </w:rPr>
            </w:pPr>
            <w:r w:rsidRPr="00B75B77">
              <w:rPr>
                <w:b/>
                <w:bCs/>
                <w:color w:val="000000"/>
                <w:sz w:val="18"/>
                <w:szCs w:val="18"/>
              </w:rPr>
              <w:t xml:space="preserve">Recommendation 2: </w:t>
            </w:r>
            <w:r w:rsidRPr="00B75B77">
              <w:rPr>
                <w:bCs/>
                <w:color w:val="000000"/>
                <w:sz w:val="18"/>
                <w:szCs w:val="18"/>
              </w:rPr>
              <w:t>If program implementation deviates from program design, PECO should review the design assumptions to ensure that the program plan and corresponding program expectations are achievable. PECO may decide to update either the design assumptions or program implementation to meet expectations or align the program with the original design intent.</w:t>
            </w:r>
          </w:p>
        </w:tc>
        <w:tc>
          <w:tcPr>
            <w:tcW w:w="4955" w:type="dxa"/>
            <w:shd w:val="clear" w:color="auto" w:fill="auto"/>
            <w:hideMark/>
          </w:tcPr>
          <w:p w:rsidR="00E646C9" w:rsidRPr="00B75B77" w:rsidRDefault="00E646C9" w:rsidP="00C94D5A">
            <w:pPr>
              <w:keepNext/>
              <w:jc w:val="left"/>
              <w:rPr>
                <w:color w:val="000000"/>
                <w:sz w:val="18"/>
                <w:szCs w:val="18"/>
              </w:rPr>
            </w:pPr>
            <w:r w:rsidRPr="00B75B77">
              <w:rPr>
                <w:b/>
                <w:color w:val="000000"/>
                <w:sz w:val="18"/>
                <w:szCs w:val="18"/>
              </w:rPr>
              <w:t xml:space="preserve">Not Applicable: </w:t>
            </w:r>
            <w:r w:rsidRPr="00B75B77">
              <w:rPr>
                <w:color w:val="000000"/>
                <w:sz w:val="18"/>
                <w:szCs w:val="18"/>
              </w:rPr>
              <w:t>This program was morphed into another solution for the low-income and multifamily customer segments, and will be tracked according to the design assumptions to meet desired outcome.</w:t>
            </w:r>
          </w:p>
        </w:tc>
      </w:tr>
    </w:tbl>
    <w:p w:rsidR="00E646C9" w:rsidRPr="008606B4" w:rsidRDefault="00E646C9" w:rsidP="00E646C9"/>
    <w:p w:rsidR="00E646C9" w:rsidRPr="008606B4" w:rsidRDefault="00E646C9" w:rsidP="008945CF">
      <w:pPr>
        <w:pStyle w:val="AppendixGHeading2"/>
      </w:pPr>
      <w:r w:rsidRPr="008606B4">
        <w:t>Smart Builder Rebates</w:t>
      </w:r>
      <w:r>
        <w:t xml:space="preserve"> - FIX</w:t>
      </w:r>
    </w:p>
    <w:tbl>
      <w:tblPr>
        <w:tblStyle w:val="PECOTeal"/>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400"/>
        <w:gridCol w:w="4950"/>
      </w:tblGrid>
      <w:tr w:rsidR="00E646C9" w:rsidRPr="00876BD8" w:rsidTr="00821A84">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00" w:type="dxa"/>
            <w:vAlign w:val="top"/>
            <w:hideMark/>
          </w:tcPr>
          <w:p w:rsidR="00E646C9" w:rsidRPr="00876BD8" w:rsidRDefault="00E646C9" w:rsidP="00821A84">
            <w:pPr>
              <w:keepNext/>
              <w:keepLines/>
              <w:jc w:val="left"/>
              <w:rPr>
                <w:rFonts w:ascii="Calibri" w:eastAsia="Times New Roman" w:hAnsi="Calibri"/>
                <w:bCs w:val="0"/>
                <w:sz w:val="18"/>
                <w:szCs w:val="18"/>
              </w:rPr>
            </w:pPr>
            <w:r w:rsidRPr="00876BD8">
              <w:rPr>
                <w:rFonts w:ascii="Calibri" w:eastAsia="Times New Roman" w:hAnsi="Calibri"/>
                <w:bCs w:val="0"/>
                <w:sz w:val="18"/>
                <w:szCs w:val="18"/>
              </w:rPr>
              <w:t>Recommendations</w:t>
            </w:r>
          </w:p>
        </w:tc>
        <w:tc>
          <w:tcPr>
            <w:tcW w:w="4950" w:type="dxa"/>
            <w:vAlign w:val="bottom"/>
            <w:hideMark/>
          </w:tcPr>
          <w:p w:rsidR="008945CF" w:rsidRDefault="00E646C9" w:rsidP="008945CF">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val="0"/>
                <w:sz w:val="18"/>
                <w:szCs w:val="18"/>
              </w:rPr>
            </w:pPr>
            <w:r w:rsidRPr="00876BD8">
              <w:rPr>
                <w:rFonts w:ascii="Calibri" w:eastAsia="Times New Roman" w:hAnsi="Calibri"/>
                <w:bCs w:val="0"/>
                <w:sz w:val="18"/>
                <w:szCs w:val="18"/>
              </w:rPr>
              <w:t xml:space="preserve">EDC Status of Recommendation </w:t>
            </w:r>
          </w:p>
          <w:p w:rsidR="00E646C9" w:rsidRPr="008945CF" w:rsidRDefault="00E646C9" w:rsidP="008945CF">
            <w:pPr>
              <w:keepNext/>
              <w:keepLine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18"/>
                <w:szCs w:val="18"/>
              </w:rPr>
            </w:pPr>
            <w:r w:rsidRPr="008945CF">
              <w:rPr>
                <w:rFonts w:ascii="Calibri" w:eastAsia="Times New Roman" w:hAnsi="Calibri"/>
                <w:b w:val="0"/>
                <w:bCs w:val="0"/>
                <w:sz w:val="18"/>
                <w:szCs w:val="18"/>
              </w:rPr>
              <w:t>(Implemented, Being Considered, Rejected AND Explanation of Action Taken by EDC)</w:t>
            </w:r>
          </w:p>
        </w:tc>
      </w:tr>
      <w:tr w:rsidR="00E646C9" w:rsidRPr="00876BD8" w:rsidTr="008945CF">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4400" w:type="dxa"/>
            <w:noWrap/>
            <w:vAlign w:val="top"/>
            <w:hideMark/>
          </w:tcPr>
          <w:p w:rsidR="00E646C9" w:rsidRPr="00876BD8" w:rsidRDefault="00E646C9" w:rsidP="00C94D5A">
            <w:pPr>
              <w:keepNext/>
              <w:keepLines/>
              <w:jc w:val="left"/>
              <w:rPr>
                <w:rFonts w:eastAsia="Times New Roman"/>
                <w:color w:val="000000"/>
                <w:sz w:val="18"/>
                <w:szCs w:val="18"/>
              </w:rPr>
            </w:pPr>
            <w:r w:rsidRPr="00876BD8">
              <w:rPr>
                <w:rFonts w:eastAsia="Times New Roman"/>
                <w:color w:val="000000"/>
                <w:sz w:val="18"/>
                <w:szCs w:val="18"/>
              </w:rPr>
              <w:t xml:space="preserve">Recommendation 1: </w:t>
            </w:r>
            <w:r w:rsidRPr="00876BD8">
              <w:rPr>
                <w:rFonts w:eastAsia="Times New Roman"/>
                <w:b w:val="0"/>
                <w:color w:val="000000"/>
                <w:sz w:val="18"/>
                <w:szCs w:val="18"/>
              </w:rPr>
              <w:t>Monitor rebate processing time on a monthly basis to ensure the CSP is meeting the incentive payment timing goals in Phase III.</w:t>
            </w:r>
          </w:p>
        </w:tc>
        <w:tc>
          <w:tcPr>
            <w:tcW w:w="4950" w:type="dxa"/>
            <w:noWrap/>
          </w:tcPr>
          <w:p w:rsidR="00E646C9" w:rsidRPr="00876BD8" w:rsidRDefault="00E646C9" w:rsidP="00C94D5A">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876BD8">
              <w:rPr>
                <w:rFonts w:eastAsia="Times New Roman"/>
                <w:b/>
                <w:color w:val="000000"/>
                <w:sz w:val="18"/>
                <w:szCs w:val="18"/>
              </w:rPr>
              <w:t xml:space="preserve">Implemented: </w:t>
            </w:r>
            <w:r w:rsidRPr="00876BD8">
              <w:rPr>
                <w:rFonts w:eastAsia="Times New Roman"/>
                <w:color w:val="000000"/>
                <w:sz w:val="18"/>
                <w:szCs w:val="18"/>
              </w:rPr>
              <w:t>PECO is now monitoring rebate-processing time on a monthly basis to ensure the CSP is meeting the incentive payment timing goals.</w:t>
            </w:r>
          </w:p>
        </w:tc>
      </w:tr>
      <w:tr w:rsidR="00E646C9" w:rsidRPr="00876BD8" w:rsidTr="008945CF">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4400" w:type="dxa"/>
            <w:noWrap/>
          </w:tcPr>
          <w:p w:rsidR="00E646C9" w:rsidRPr="00876BD8" w:rsidRDefault="00E646C9" w:rsidP="00C94D5A">
            <w:pPr>
              <w:keepNext/>
              <w:keepLines/>
              <w:jc w:val="left"/>
              <w:rPr>
                <w:rFonts w:eastAsia="Times New Roman"/>
                <w:b w:val="0"/>
                <w:bCs w:val="0"/>
                <w:color w:val="000000"/>
                <w:sz w:val="18"/>
                <w:szCs w:val="18"/>
              </w:rPr>
            </w:pPr>
            <w:r w:rsidRPr="00876BD8">
              <w:rPr>
                <w:rFonts w:eastAsia="Times New Roman"/>
                <w:bCs w:val="0"/>
                <w:color w:val="000000"/>
                <w:sz w:val="18"/>
                <w:szCs w:val="18"/>
              </w:rPr>
              <w:t xml:space="preserve">Recommendation 2: </w:t>
            </w:r>
            <w:r w:rsidRPr="00876BD8">
              <w:rPr>
                <w:rFonts w:eastAsia="Times New Roman"/>
                <w:b w:val="0"/>
                <w:bCs w:val="0"/>
                <w:color w:val="000000"/>
                <w:sz w:val="18"/>
                <w:szCs w:val="18"/>
              </w:rPr>
              <w:t>Conduct broader outreach among nonparticipating builders in Phase III using the Code-Plus participation option to recruit code-level builders.</w:t>
            </w:r>
          </w:p>
        </w:tc>
        <w:tc>
          <w:tcPr>
            <w:tcW w:w="4950" w:type="dxa"/>
            <w:noWrap/>
          </w:tcPr>
          <w:p w:rsidR="00E646C9" w:rsidRPr="00876BD8" w:rsidRDefault="00E646C9" w:rsidP="00C94D5A">
            <w:pPr>
              <w:keepNext/>
              <w:keepLines/>
              <w:jc w:val="left"/>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876BD8">
              <w:rPr>
                <w:rFonts w:eastAsia="Times New Roman"/>
                <w:b/>
                <w:color w:val="000000"/>
                <w:sz w:val="18"/>
                <w:szCs w:val="18"/>
              </w:rPr>
              <w:t xml:space="preserve">Implemented: </w:t>
            </w:r>
            <w:r w:rsidRPr="00876BD8">
              <w:rPr>
                <w:rFonts w:eastAsia="Times New Roman"/>
                <w:color w:val="000000"/>
                <w:sz w:val="18"/>
                <w:szCs w:val="18"/>
              </w:rPr>
              <w:t>PECO is conducting a broader outreach among nonparticipating builders.</w:t>
            </w:r>
          </w:p>
        </w:tc>
      </w:tr>
      <w:tr w:rsidR="00E646C9" w:rsidRPr="00876BD8" w:rsidTr="008945CF">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4400" w:type="dxa"/>
            <w:noWrap/>
            <w:vAlign w:val="top"/>
          </w:tcPr>
          <w:p w:rsidR="00E646C9" w:rsidRPr="00876BD8" w:rsidRDefault="00E646C9" w:rsidP="00C94D5A">
            <w:pPr>
              <w:keepNext/>
              <w:keepLines/>
              <w:jc w:val="left"/>
              <w:rPr>
                <w:rFonts w:eastAsia="Times New Roman"/>
                <w:b w:val="0"/>
                <w:bCs w:val="0"/>
                <w:color w:val="000000"/>
                <w:sz w:val="18"/>
                <w:szCs w:val="18"/>
              </w:rPr>
            </w:pPr>
            <w:r w:rsidRPr="00876BD8">
              <w:rPr>
                <w:rFonts w:eastAsia="Times New Roman"/>
                <w:bCs w:val="0"/>
                <w:color w:val="000000"/>
                <w:sz w:val="18"/>
                <w:szCs w:val="18"/>
              </w:rPr>
              <w:t xml:space="preserve">Recommendation 3: </w:t>
            </w:r>
            <w:r w:rsidRPr="00876BD8">
              <w:rPr>
                <w:rFonts w:eastAsia="Times New Roman"/>
                <w:b w:val="0"/>
                <w:bCs w:val="0"/>
                <w:color w:val="000000"/>
                <w:sz w:val="18"/>
                <w:szCs w:val="18"/>
              </w:rPr>
              <w:tab/>
              <w:t>Provide builders support with recruiting and educating contractors in Phase III through program-sponsored training and outreach.</w:t>
            </w:r>
          </w:p>
        </w:tc>
        <w:tc>
          <w:tcPr>
            <w:tcW w:w="4950" w:type="dxa"/>
            <w:noWrap/>
          </w:tcPr>
          <w:p w:rsidR="00E646C9" w:rsidRPr="00876BD8" w:rsidRDefault="00E646C9" w:rsidP="00C94D5A">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876BD8">
              <w:rPr>
                <w:rFonts w:eastAsia="Times New Roman"/>
                <w:b/>
                <w:color w:val="000000"/>
                <w:sz w:val="18"/>
                <w:szCs w:val="18"/>
              </w:rPr>
              <w:t>Being Considered:</w:t>
            </w:r>
            <w:r w:rsidRPr="00876BD8">
              <w:rPr>
                <w:rFonts w:eastAsia="Times New Roman"/>
                <w:color w:val="000000"/>
                <w:sz w:val="18"/>
                <w:szCs w:val="18"/>
              </w:rPr>
              <w:t xml:space="preserve"> Working with outside resources to develop and implement a plan to educate raters and builders alike to the benefits of building to energy-efficient standards, but also on how to effectively communicate it with customers/consumers.</w:t>
            </w:r>
          </w:p>
        </w:tc>
      </w:tr>
    </w:tbl>
    <w:p w:rsidR="00E646C9" w:rsidRDefault="00E646C9" w:rsidP="00E646C9"/>
    <w:p w:rsidR="00821A84" w:rsidRDefault="00821A84" w:rsidP="00E646C9"/>
    <w:p w:rsidR="00821A84" w:rsidRDefault="00821A84" w:rsidP="00E646C9"/>
    <w:p w:rsidR="00821A84" w:rsidRDefault="00821A84" w:rsidP="00E646C9"/>
    <w:p w:rsidR="00821A84" w:rsidRDefault="00821A84" w:rsidP="00E646C9"/>
    <w:p w:rsidR="00E646C9" w:rsidRDefault="00E646C9" w:rsidP="008945CF">
      <w:pPr>
        <w:pStyle w:val="AppendixGHeading2"/>
      </w:pPr>
      <w:r w:rsidRPr="008606B4">
        <w:t>Low-Income Energy Efficiency</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keepNext/>
              <w:jc w:val="left"/>
              <w:rPr>
                <w:bCs w:val="0"/>
                <w:sz w:val="18"/>
              </w:rPr>
            </w:pPr>
            <w:r w:rsidRPr="00B75B77">
              <w:rPr>
                <w:bCs w:val="0"/>
                <w:sz w:val="18"/>
              </w:rPr>
              <w:t>Recommendations</w:t>
            </w:r>
          </w:p>
        </w:tc>
        <w:tc>
          <w:tcPr>
            <w:tcW w:w="4680" w:type="dxa"/>
            <w:shd w:val="clear" w:color="auto" w:fill="448A99"/>
            <w:vAlign w:val="bottom"/>
            <w:hideMark/>
          </w:tcPr>
          <w:p w:rsidR="008945CF" w:rsidRDefault="00E646C9" w:rsidP="008945CF">
            <w:pPr>
              <w:keepNext/>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8945CF" w:rsidRDefault="00E646C9" w:rsidP="008945CF">
            <w:pPr>
              <w:keepNext/>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8945CF">
              <w:rPr>
                <w:b w:val="0"/>
                <w:bCs w:val="0"/>
                <w:sz w:val="18"/>
              </w:rPr>
              <w:t>(Implemented, Being Considered, Rejected, AND Explanation of Action Taken by EDC)</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color w:val="000000"/>
                <w:sz w:val="18"/>
              </w:rPr>
            </w:pPr>
            <w:r w:rsidRPr="00B75B77">
              <w:rPr>
                <w:color w:val="000000"/>
                <w:sz w:val="18"/>
              </w:rPr>
              <w:t>Recommendation 1:</w:t>
            </w:r>
            <w:r w:rsidRPr="00B75B77">
              <w:rPr>
                <w:b w:val="0"/>
                <w:bCs w:val="0"/>
              </w:rPr>
              <w:t xml:space="preserve"> </w:t>
            </w:r>
            <w:r w:rsidRPr="00B75B77">
              <w:rPr>
                <w:b w:val="0"/>
                <w:color w:val="000000"/>
                <w:sz w:val="18"/>
              </w:rPr>
              <w:t>Collect existing refrigerator data from participants and use the PY8 IMP to estimate ex ante refrigerator savings.</w:t>
            </w:r>
          </w:p>
        </w:tc>
        <w:tc>
          <w:tcPr>
            <w:tcW w:w="4680" w:type="dxa"/>
            <w:noWrap/>
            <w:vAlign w:val="center"/>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PECO’s CSP is collecting existing refrigerator data and using the PY8 IMP to estimate ex ante refrigerator savings.</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b w:val="0"/>
                <w:color w:val="000000"/>
                <w:sz w:val="18"/>
              </w:rPr>
            </w:pPr>
            <w:r w:rsidRPr="00B75B77">
              <w:rPr>
                <w:color w:val="000000"/>
                <w:sz w:val="18"/>
              </w:rPr>
              <w:t xml:space="preserve">Recommendation 2: </w:t>
            </w:r>
            <w:r w:rsidRPr="00B75B77">
              <w:rPr>
                <w:b w:val="0"/>
                <w:color w:val="000000"/>
                <w:sz w:val="18"/>
              </w:rPr>
              <w:t>Ensure schedule expectations are clear and applied consistently across customers; consider follow-up with customers to encourage further action.</w:t>
            </w:r>
          </w:p>
        </w:tc>
        <w:tc>
          <w:tcPr>
            <w:tcW w:w="4680" w:type="dxa"/>
            <w:noWrap/>
            <w:vAlign w:val="center"/>
            <w:hideMark/>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PECO is working with the CSP to ensure schedule expectations are clear and encouraging further actions by following up with customers.</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color w:val="000000"/>
                <w:sz w:val="18"/>
              </w:rPr>
            </w:pPr>
            <w:r w:rsidRPr="00B75B77">
              <w:rPr>
                <w:color w:val="000000"/>
                <w:sz w:val="18"/>
              </w:rPr>
              <w:t>Recommendation 3:</w:t>
            </w:r>
            <w:r w:rsidRPr="00B75B77">
              <w:rPr>
                <w:b w:val="0"/>
                <w:color w:val="000000"/>
                <w:sz w:val="18"/>
              </w:rPr>
              <w:t xml:space="preserve"> Shift to LEDs only; target distribution of free bulbs to households with incandescent bulbs.</w:t>
            </w:r>
          </w:p>
        </w:tc>
        <w:tc>
          <w:tcPr>
            <w:tcW w:w="4680" w:type="dxa"/>
            <w:noWrap/>
            <w:vAlign w:val="center"/>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b/>
                <w:color w:val="000000"/>
                <w:sz w:val="18"/>
              </w:rPr>
            </w:pPr>
            <w:r w:rsidRPr="00B75B77">
              <w:rPr>
                <w:b/>
                <w:color w:val="000000"/>
                <w:sz w:val="18"/>
              </w:rPr>
              <w:t>Being Considered</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keepNext/>
              <w:jc w:val="left"/>
              <w:rPr>
                <w:color w:val="000000"/>
                <w:sz w:val="18"/>
              </w:rPr>
            </w:pPr>
            <w:r w:rsidRPr="00B75B77">
              <w:rPr>
                <w:color w:val="000000"/>
                <w:sz w:val="18"/>
              </w:rPr>
              <w:t xml:space="preserve">Recommendation 4: </w:t>
            </w:r>
            <w:r w:rsidRPr="00B75B77">
              <w:rPr>
                <w:b w:val="0"/>
                <w:color w:val="000000"/>
                <w:sz w:val="18"/>
              </w:rPr>
              <w:t>Develop targeted program materials that prioritize next steps and guide customers to the most appropriate program component.</w:t>
            </w:r>
          </w:p>
        </w:tc>
        <w:tc>
          <w:tcPr>
            <w:tcW w:w="4680" w:type="dxa"/>
            <w:noWrap/>
            <w:vAlign w:val="center"/>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PECO is working with a Marketing firm to enhance current program materials, which would include next steps and guide customers to other programs.</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keepNext/>
              <w:jc w:val="left"/>
              <w:rPr>
                <w:color w:val="000000"/>
                <w:sz w:val="18"/>
              </w:rPr>
            </w:pPr>
            <w:r w:rsidRPr="00B75B77">
              <w:rPr>
                <w:color w:val="000000"/>
                <w:sz w:val="18"/>
              </w:rPr>
              <w:t xml:space="preserve">Recommendation 5: </w:t>
            </w:r>
            <w:r w:rsidRPr="00B75B77">
              <w:rPr>
                <w:b w:val="0"/>
                <w:color w:val="000000"/>
                <w:sz w:val="18"/>
              </w:rPr>
              <w:t>Increase number of customers benefiting from comprehensive program measures.</w:t>
            </w:r>
          </w:p>
        </w:tc>
        <w:tc>
          <w:tcPr>
            <w:tcW w:w="4680" w:type="dxa"/>
            <w:noWrap/>
            <w:vAlign w:val="center"/>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b/>
                <w:color w:val="000000"/>
                <w:sz w:val="18"/>
              </w:rPr>
            </w:pPr>
            <w:r w:rsidRPr="00B75B77">
              <w:rPr>
                <w:b/>
                <w:color w:val="000000"/>
                <w:sz w:val="18"/>
              </w:rPr>
              <w:t>Being Considered</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keepNext/>
              <w:jc w:val="left"/>
              <w:rPr>
                <w:color w:val="000000"/>
                <w:sz w:val="18"/>
              </w:rPr>
            </w:pPr>
            <w:r w:rsidRPr="00B75B77">
              <w:rPr>
                <w:color w:val="000000"/>
                <w:sz w:val="18"/>
              </w:rPr>
              <w:t>Recommendation 6:</w:t>
            </w:r>
            <w:r w:rsidRPr="00B75B77">
              <w:rPr>
                <w:b w:val="0"/>
                <w:color w:val="000000"/>
                <w:sz w:val="18"/>
              </w:rPr>
              <w:t xml:space="preserve"> Acquire and apply data on low-income household characteristics; tailor future program implementation strategies to meet the needs of eligible customers.</w:t>
            </w:r>
          </w:p>
        </w:tc>
        <w:tc>
          <w:tcPr>
            <w:tcW w:w="4680" w:type="dxa"/>
            <w:noWrap/>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b/>
                <w:color w:val="000000"/>
                <w:sz w:val="18"/>
              </w:rPr>
              <w:t>Being Considered</w:t>
            </w:r>
          </w:p>
        </w:tc>
      </w:tr>
    </w:tbl>
    <w:p w:rsidR="00E646C9" w:rsidRDefault="00E646C9" w:rsidP="00E646C9"/>
    <w:p w:rsidR="00E646C9" w:rsidRPr="008606B4" w:rsidRDefault="00E646C9" w:rsidP="008945CF">
      <w:pPr>
        <w:pStyle w:val="AppendixGHeading2"/>
      </w:pPr>
      <w:r w:rsidRPr="008606B4">
        <w:t xml:space="preserve">Smart </w:t>
      </w:r>
      <w:r>
        <w:t>A/C</w:t>
      </w:r>
      <w:r w:rsidRPr="008606B4">
        <w:t xml:space="preserve"> Saver</w:t>
      </w:r>
      <w:r>
        <w:t xml:space="preserve"> - Residential</w:t>
      </w:r>
    </w:p>
    <w:tbl>
      <w:tblPr>
        <w:tblStyle w:val="MediumShading1-Accent5"/>
        <w:tblW w:w="935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7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670" w:type="dxa"/>
            <w:shd w:val="clear" w:color="auto" w:fill="448A99"/>
            <w:hideMark/>
          </w:tcPr>
          <w:p w:rsidR="00E646C9" w:rsidRPr="00B75B77" w:rsidRDefault="00E646C9" w:rsidP="00821A84">
            <w:pPr>
              <w:keepNext/>
              <w:jc w:val="left"/>
              <w:rPr>
                <w:bCs w:val="0"/>
                <w:sz w:val="18"/>
                <w:szCs w:val="18"/>
              </w:rPr>
            </w:pPr>
            <w:r w:rsidRPr="00B75B77">
              <w:rPr>
                <w:bCs w:val="0"/>
                <w:sz w:val="18"/>
                <w:szCs w:val="18"/>
              </w:rPr>
              <w:t>Recommendations</w:t>
            </w:r>
          </w:p>
        </w:tc>
        <w:tc>
          <w:tcPr>
            <w:tcW w:w="4680" w:type="dxa"/>
            <w:shd w:val="clear" w:color="auto" w:fill="448A99"/>
            <w:vAlign w:val="center"/>
            <w:hideMark/>
          </w:tcPr>
          <w:p w:rsidR="008945CF" w:rsidRPr="008945CF" w:rsidRDefault="008945CF" w:rsidP="008945CF">
            <w:pPr>
              <w:keepNext/>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18"/>
              </w:rPr>
            </w:pPr>
            <w:r w:rsidRPr="008945CF">
              <w:rPr>
                <w:bCs w:val="0"/>
                <w:color w:val="FFFFFF" w:themeColor="background1"/>
                <w:sz w:val="18"/>
              </w:rPr>
              <w:t>EDC Status of Recommendation</w:t>
            </w:r>
          </w:p>
          <w:p w:rsidR="00E646C9" w:rsidRPr="00B75B77" w:rsidRDefault="008945CF" w:rsidP="008945CF">
            <w:pPr>
              <w:keepNext/>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8945CF">
              <w:rPr>
                <w:b w:val="0"/>
                <w:bCs w:val="0"/>
                <w:color w:val="FFFFFF" w:themeColor="background1"/>
                <w:sz w:val="18"/>
              </w:rPr>
              <w:t>(Implemented, Being Considered, Rejected, AND Explanation of Action Taken by EDC)</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noWrap/>
            <w:vAlign w:val="center"/>
            <w:hideMark/>
          </w:tcPr>
          <w:p w:rsidR="00E646C9" w:rsidRPr="00B75B77" w:rsidRDefault="00E646C9" w:rsidP="00C94D5A">
            <w:pPr>
              <w:keepNext/>
              <w:jc w:val="left"/>
              <w:rPr>
                <w:rFonts w:eastAsiaTheme="minorEastAsia" w:cstheme="minorBidi"/>
                <w:bCs w:val="0"/>
                <w:color w:val="000000" w:themeColor="text1"/>
                <w:kern w:val="24"/>
                <w:sz w:val="18"/>
                <w:szCs w:val="18"/>
              </w:rPr>
            </w:pPr>
            <w:r w:rsidRPr="00B75B77">
              <w:rPr>
                <w:rFonts w:eastAsiaTheme="minorEastAsia" w:cstheme="minorBidi"/>
                <w:bCs w:val="0"/>
                <w:color w:val="000000" w:themeColor="text1"/>
                <w:kern w:val="24"/>
                <w:sz w:val="18"/>
                <w:szCs w:val="18"/>
              </w:rPr>
              <w:t xml:space="preserve">Recommendation 1: </w:t>
            </w:r>
          </w:p>
          <w:p w:rsidR="00E646C9" w:rsidRPr="00B75B77" w:rsidRDefault="00E646C9" w:rsidP="00E646C9">
            <w:pPr>
              <w:pStyle w:val="ListParagraph"/>
              <w:keepNext/>
              <w:numPr>
                <w:ilvl w:val="1"/>
                <w:numId w:val="149"/>
              </w:numPr>
              <w:ind w:left="517" w:hanging="270"/>
              <w:jc w:val="left"/>
              <w:rPr>
                <w:rFonts w:eastAsiaTheme="minorEastAsia" w:cstheme="minorBidi"/>
                <w:b w:val="0"/>
                <w:color w:val="000000" w:themeColor="text1"/>
                <w:kern w:val="24"/>
                <w:sz w:val="18"/>
                <w:szCs w:val="18"/>
              </w:rPr>
            </w:pPr>
            <w:r w:rsidRPr="00B75B77">
              <w:rPr>
                <w:rFonts w:eastAsiaTheme="minorEastAsia" w:cstheme="minorBidi"/>
                <w:b w:val="0"/>
                <w:color w:val="000000" w:themeColor="text1"/>
                <w:kern w:val="24"/>
                <w:sz w:val="18"/>
                <w:szCs w:val="18"/>
              </w:rPr>
              <w:t>PECO should ensure the program database contains necessary data to allow Navigant to calculate verified savings via comparison group analysis in Phase III.</w:t>
            </w:r>
          </w:p>
          <w:p w:rsidR="00E646C9" w:rsidRPr="00B75B77" w:rsidRDefault="00E646C9" w:rsidP="00E646C9">
            <w:pPr>
              <w:pStyle w:val="ListParagraph"/>
              <w:keepNext/>
              <w:numPr>
                <w:ilvl w:val="1"/>
                <w:numId w:val="149"/>
              </w:numPr>
              <w:ind w:left="517" w:hanging="270"/>
              <w:jc w:val="left"/>
              <w:rPr>
                <w:rFonts w:eastAsiaTheme="minorEastAsia" w:cstheme="minorBidi"/>
                <w:color w:val="000000" w:themeColor="text1"/>
                <w:kern w:val="24"/>
                <w:sz w:val="18"/>
                <w:szCs w:val="18"/>
              </w:rPr>
            </w:pPr>
            <w:r w:rsidRPr="00B75B77">
              <w:rPr>
                <w:rFonts w:eastAsiaTheme="minorEastAsia" w:cstheme="minorBidi"/>
                <w:b w:val="0"/>
                <w:color w:val="000000" w:themeColor="text1"/>
                <w:kern w:val="24"/>
                <w:sz w:val="18"/>
                <w:szCs w:val="18"/>
              </w:rPr>
              <w:t>PECO should be prepared to quickly and securely transfer program database information to Navigant for verified savings analysis in Phase III.</w:t>
            </w:r>
          </w:p>
        </w:tc>
        <w:tc>
          <w:tcPr>
            <w:tcW w:w="4680" w:type="dxa"/>
            <w:noWrap/>
            <w:vAlign w:val="center"/>
            <w:hideMark/>
          </w:tcPr>
          <w:p w:rsidR="00E646C9" w:rsidRPr="00B75B77" w:rsidRDefault="00E646C9" w:rsidP="00E646C9">
            <w:pPr>
              <w:pStyle w:val="ListParagraph"/>
              <w:keepNext/>
              <w:numPr>
                <w:ilvl w:val="0"/>
                <w:numId w:val="150"/>
              </w:num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B75B77">
              <w:rPr>
                <w:b/>
                <w:color w:val="000000"/>
                <w:sz w:val="18"/>
                <w:szCs w:val="18"/>
              </w:rPr>
              <w:t xml:space="preserve">Implemented: </w:t>
            </w:r>
            <w:r w:rsidRPr="00B75B77">
              <w:rPr>
                <w:color w:val="000000"/>
                <w:sz w:val="18"/>
                <w:szCs w:val="18"/>
              </w:rPr>
              <w:t>Interval data will be available; will have to collaborate with Navigant to define the format.</w:t>
            </w:r>
          </w:p>
          <w:p w:rsidR="00E646C9" w:rsidRPr="00B75B77" w:rsidRDefault="00E646C9" w:rsidP="00E646C9">
            <w:pPr>
              <w:pStyle w:val="ListParagraph"/>
              <w:keepNext/>
              <w:numPr>
                <w:ilvl w:val="0"/>
                <w:numId w:val="150"/>
              </w:num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B75B77">
              <w:rPr>
                <w:b/>
                <w:color w:val="000000"/>
                <w:sz w:val="18"/>
                <w:szCs w:val="18"/>
              </w:rPr>
              <w:t>Being Considered:</w:t>
            </w:r>
            <w:r w:rsidRPr="00B75B77">
              <w:rPr>
                <w:color w:val="000000"/>
                <w:sz w:val="18"/>
                <w:szCs w:val="18"/>
              </w:rPr>
              <w:t xml:space="preserve"> PECO will work with Navigant to extract AMI data as soon as it is available, which is at the earliest around 4 weeks after the event takes place.</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shd w:val="clear" w:color="auto" w:fill="auto"/>
            <w:noWrap/>
            <w:vAlign w:val="center"/>
            <w:hideMark/>
          </w:tcPr>
          <w:p w:rsidR="00E646C9" w:rsidRPr="00B75B77" w:rsidRDefault="00E646C9" w:rsidP="00C94D5A">
            <w:pPr>
              <w:keepNext/>
              <w:jc w:val="left"/>
              <w:rPr>
                <w:b w:val="0"/>
                <w:color w:val="000000"/>
                <w:sz w:val="18"/>
                <w:szCs w:val="18"/>
              </w:rPr>
            </w:pPr>
            <w:r w:rsidRPr="00B75B77">
              <w:rPr>
                <w:rFonts w:eastAsiaTheme="minorEastAsia" w:cstheme="minorBidi"/>
                <w:bCs w:val="0"/>
                <w:color w:val="000000" w:themeColor="text1"/>
                <w:kern w:val="24"/>
                <w:sz w:val="18"/>
                <w:szCs w:val="18"/>
              </w:rPr>
              <w:t xml:space="preserve">Recommendation 2: </w:t>
            </w:r>
            <w:r w:rsidRPr="00B75B77">
              <w:rPr>
                <w:rFonts w:eastAsiaTheme="minorEastAsia" w:cstheme="minorBidi"/>
                <w:b w:val="0"/>
                <w:color w:val="000000" w:themeColor="text1"/>
                <w:kern w:val="24"/>
                <w:sz w:val="18"/>
                <w:szCs w:val="18"/>
              </w:rPr>
              <w:t>Prepare for a possible drop in satisfaction.</w:t>
            </w:r>
          </w:p>
        </w:tc>
        <w:tc>
          <w:tcPr>
            <w:tcW w:w="4680" w:type="dxa"/>
            <w:shd w:val="clear" w:color="auto" w:fill="auto"/>
            <w:noWrap/>
            <w:vAlign w:val="center"/>
            <w:hideMark/>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b/>
                <w:color w:val="000000"/>
                <w:sz w:val="18"/>
                <w:szCs w:val="18"/>
              </w:rPr>
            </w:pPr>
            <w:r w:rsidRPr="00B75B77">
              <w:rPr>
                <w:b/>
                <w:color w:val="000000"/>
                <w:sz w:val="18"/>
                <w:szCs w:val="18"/>
              </w:rPr>
              <w:t>Implemented</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noWrap/>
            <w:vAlign w:val="center"/>
          </w:tcPr>
          <w:p w:rsidR="00E646C9" w:rsidRPr="00B75B77" w:rsidRDefault="00E646C9" w:rsidP="00C94D5A">
            <w:pPr>
              <w:keepNext/>
              <w:jc w:val="left"/>
              <w:rPr>
                <w:rFonts w:eastAsiaTheme="minorEastAsia" w:cstheme="minorBidi"/>
                <w:b w:val="0"/>
                <w:color w:val="000000" w:themeColor="text1"/>
                <w:kern w:val="24"/>
                <w:sz w:val="18"/>
                <w:szCs w:val="18"/>
              </w:rPr>
            </w:pPr>
            <w:r w:rsidRPr="00B75B77">
              <w:rPr>
                <w:rFonts w:eastAsiaTheme="minorEastAsia" w:cstheme="minorBidi"/>
                <w:bCs w:val="0"/>
                <w:color w:val="000000" w:themeColor="text1"/>
                <w:kern w:val="24"/>
                <w:sz w:val="18"/>
                <w:szCs w:val="18"/>
              </w:rPr>
              <w:t xml:space="preserve">Recommendation 3: </w:t>
            </w:r>
            <w:r w:rsidRPr="00B75B77">
              <w:rPr>
                <w:rFonts w:eastAsiaTheme="minorEastAsia" w:cstheme="minorBidi"/>
                <w:b w:val="0"/>
                <w:color w:val="000000" w:themeColor="text1"/>
                <w:kern w:val="24"/>
                <w:sz w:val="18"/>
                <w:szCs w:val="18"/>
              </w:rPr>
              <w:t>Consider notifying customers after events.</w:t>
            </w:r>
          </w:p>
        </w:tc>
        <w:tc>
          <w:tcPr>
            <w:tcW w:w="4680" w:type="dxa"/>
            <w:noWrap/>
            <w:vAlign w:val="center"/>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b/>
                <w:color w:val="000000"/>
                <w:sz w:val="18"/>
                <w:szCs w:val="18"/>
              </w:rPr>
            </w:pPr>
            <w:r w:rsidRPr="00B75B77">
              <w:rPr>
                <w:b/>
                <w:color w:val="000000"/>
                <w:sz w:val="18"/>
                <w:szCs w:val="18"/>
              </w:rPr>
              <w:t>Being Considered</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shd w:val="clear" w:color="auto" w:fill="auto"/>
            <w:noWrap/>
            <w:vAlign w:val="center"/>
          </w:tcPr>
          <w:p w:rsidR="00E646C9" w:rsidRPr="00B75B77" w:rsidRDefault="00E646C9" w:rsidP="00C94D5A">
            <w:pPr>
              <w:keepNext/>
              <w:jc w:val="left"/>
              <w:rPr>
                <w:b w:val="0"/>
                <w:color w:val="000000"/>
                <w:sz w:val="18"/>
                <w:szCs w:val="18"/>
              </w:rPr>
            </w:pPr>
            <w:r w:rsidRPr="00B75B77">
              <w:rPr>
                <w:rFonts w:eastAsiaTheme="minorEastAsia" w:cstheme="minorBidi"/>
                <w:bCs w:val="0"/>
                <w:color w:val="000000" w:themeColor="text1"/>
                <w:kern w:val="24"/>
                <w:sz w:val="18"/>
                <w:szCs w:val="18"/>
              </w:rPr>
              <w:t xml:space="preserve">Recommendation 4: </w:t>
            </w:r>
            <w:r w:rsidRPr="00B75B77">
              <w:rPr>
                <w:rFonts w:eastAsiaTheme="minorEastAsia" w:cstheme="minorBidi"/>
                <w:b w:val="0"/>
                <w:color w:val="000000" w:themeColor="text1"/>
                <w:kern w:val="24"/>
                <w:sz w:val="18"/>
                <w:szCs w:val="18"/>
              </w:rPr>
              <w:t>Consider running a pilot to test satisfaction impacts of notifying customers after conservation events.</w:t>
            </w:r>
          </w:p>
        </w:tc>
        <w:tc>
          <w:tcPr>
            <w:tcW w:w="4680" w:type="dxa"/>
            <w:shd w:val="clear" w:color="auto" w:fill="auto"/>
            <w:noWrap/>
            <w:vAlign w:val="center"/>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color w:val="000000"/>
                <w:sz w:val="18"/>
                <w:szCs w:val="18"/>
              </w:rPr>
            </w:pPr>
            <w:r w:rsidRPr="00B75B77">
              <w:rPr>
                <w:b/>
                <w:color w:val="000000"/>
                <w:sz w:val="18"/>
                <w:szCs w:val="18"/>
              </w:rPr>
              <w:t xml:space="preserve">Rejected: </w:t>
            </w:r>
            <w:r w:rsidRPr="00B75B77">
              <w:rPr>
                <w:color w:val="000000"/>
                <w:sz w:val="18"/>
                <w:szCs w:val="18"/>
              </w:rPr>
              <w:t>PECO will find a way to work around maintaining customer satisfaction.</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noWrap/>
            <w:vAlign w:val="center"/>
          </w:tcPr>
          <w:p w:rsidR="00E646C9" w:rsidRPr="00B75B77" w:rsidRDefault="00E646C9" w:rsidP="00C94D5A">
            <w:pPr>
              <w:keepNext/>
              <w:jc w:val="left"/>
              <w:rPr>
                <w:b w:val="0"/>
                <w:color w:val="000000"/>
                <w:sz w:val="18"/>
                <w:szCs w:val="18"/>
              </w:rPr>
            </w:pPr>
            <w:r w:rsidRPr="00B75B77">
              <w:rPr>
                <w:rFonts w:eastAsiaTheme="minorEastAsia" w:cstheme="minorBidi"/>
                <w:bCs w:val="0"/>
                <w:color w:val="000000" w:themeColor="text1"/>
                <w:kern w:val="24"/>
                <w:sz w:val="18"/>
                <w:szCs w:val="18"/>
              </w:rPr>
              <w:t xml:space="preserve">Recommendation 5: </w:t>
            </w:r>
            <w:r w:rsidRPr="00B75B77">
              <w:rPr>
                <w:rFonts w:eastAsiaTheme="minorEastAsia" w:cstheme="minorBidi"/>
                <w:b w:val="0"/>
                <w:color w:val="000000" w:themeColor="text1"/>
                <w:kern w:val="24"/>
                <w:sz w:val="18"/>
                <w:szCs w:val="18"/>
              </w:rPr>
              <w:t>Evaluate energy efficiency program participation rates within AC Saver as compared to general population.</w:t>
            </w:r>
          </w:p>
        </w:tc>
        <w:tc>
          <w:tcPr>
            <w:tcW w:w="4680" w:type="dxa"/>
            <w:noWrap/>
            <w:vAlign w:val="center"/>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Being Considered:</w:t>
            </w:r>
            <w:r w:rsidRPr="00B75B77">
              <w:rPr>
                <w:color w:val="000000"/>
                <w:sz w:val="18"/>
              </w:rPr>
              <w:t xml:space="preserve"> PECO needs to assess how the AC program can leverage its participant interest to extend beyond DR.</w:t>
            </w:r>
          </w:p>
        </w:tc>
      </w:tr>
    </w:tbl>
    <w:p w:rsidR="00E646C9" w:rsidRPr="008606B4" w:rsidRDefault="00E646C9" w:rsidP="00E646C9"/>
    <w:p w:rsidR="00E646C9" w:rsidRDefault="00E646C9" w:rsidP="008945CF">
      <w:pPr>
        <w:pStyle w:val="AppendixGHeading2"/>
      </w:pPr>
      <w:r w:rsidRPr="008606B4">
        <w:t xml:space="preserve">Smart </w:t>
      </w:r>
      <w:r>
        <w:t>A/C</w:t>
      </w:r>
      <w:r w:rsidRPr="008606B4">
        <w:t xml:space="preserve"> Saver</w:t>
      </w:r>
      <w:r>
        <w:t xml:space="preserve"> – Commercial</w:t>
      </w:r>
    </w:p>
    <w:tbl>
      <w:tblPr>
        <w:tblW w:w="9265"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ook w:val="04A0" w:firstRow="1" w:lastRow="0" w:firstColumn="1" w:lastColumn="0" w:noHBand="0" w:noVBand="1"/>
      </w:tblPr>
      <w:tblGrid>
        <w:gridCol w:w="4670"/>
        <w:gridCol w:w="4595"/>
      </w:tblGrid>
      <w:tr w:rsidR="00E646C9" w:rsidRPr="00B75B77" w:rsidTr="00821A84">
        <w:trPr>
          <w:trHeight w:val="288"/>
          <w:tblHeader/>
        </w:trPr>
        <w:tc>
          <w:tcPr>
            <w:tcW w:w="4670" w:type="dxa"/>
            <w:shd w:val="clear" w:color="000000" w:fill="448A99"/>
            <w:hideMark/>
          </w:tcPr>
          <w:p w:rsidR="00E646C9" w:rsidRPr="00B75B77" w:rsidRDefault="00E646C9" w:rsidP="00821A84">
            <w:pPr>
              <w:jc w:val="left"/>
              <w:rPr>
                <w:b/>
                <w:bCs/>
                <w:color w:val="FFFFFF"/>
                <w:sz w:val="18"/>
                <w:szCs w:val="18"/>
              </w:rPr>
            </w:pPr>
            <w:r w:rsidRPr="00B75B77">
              <w:rPr>
                <w:b/>
                <w:bCs/>
                <w:color w:val="FFFFFF"/>
                <w:sz w:val="18"/>
                <w:szCs w:val="18"/>
              </w:rPr>
              <w:t>Recommendations</w:t>
            </w:r>
          </w:p>
        </w:tc>
        <w:tc>
          <w:tcPr>
            <w:tcW w:w="4595" w:type="dxa"/>
            <w:shd w:val="clear" w:color="000000" w:fill="448A99"/>
            <w:vAlign w:val="center"/>
            <w:hideMark/>
          </w:tcPr>
          <w:p w:rsidR="008945CF" w:rsidRPr="008945CF" w:rsidRDefault="008945CF" w:rsidP="008945CF">
            <w:pPr>
              <w:keepNext/>
              <w:jc w:val="center"/>
              <w:rPr>
                <w:b/>
                <w:bCs/>
                <w:color w:val="FFFFFF" w:themeColor="background1"/>
                <w:sz w:val="18"/>
              </w:rPr>
            </w:pPr>
            <w:r w:rsidRPr="008945CF">
              <w:rPr>
                <w:b/>
                <w:bCs/>
                <w:color w:val="FFFFFF" w:themeColor="background1"/>
                <w:sz w:val="18"/>
              </w:rPr>
              <w:t>EDC Status of Recommendation</w:t>
            </w:r>
          </w:p>
          <w:p w:rsidR="00E646C9" w:rsidRPr="008945CF" w:rsidRDefault="008945CF" w:rsidP="008945CF">
            <w:pPr>
              <w:jc w:val="center"/>
              <w:rPr>
                <w:bCs/>
                <w:color w:val="FFFFFF"/>
                <w:sz w:val="18"/>
                <w:szCs w:val="18"/>
              </w:rPr>
            </w:pPr>
            <w:r w:rsidRPr="008945CF">
              <w:rPr>
                <w:bCs/>
                <w:color w:val="FFFFFF" w:themeColor="background1"/>
                <w:sz w:val="18"/>
              </w:rPr>
              <w:t>(Implemented, Being Considered, Rejected, AND Explanation of Action Taken by EDC)</w:t>
            </w:r>
          </w:p>
        </w:tc>
      </w:tr>
      <w:tr w:rsidR="00E646C9" w:rsidRPr="00B75B77" w:rsidTr="008945CF">
        <w:trPr>
          <w:trHeight w:val="288"/>
        </w:trPr>
        <w:tc>
          <w:tcPr>
            <w:tcW w:w="4670" w:type="dxa"/>
            <w:shd w:val="clear" w:color="000000" w:fill="D2EAF1"/>
            <w:vAlign w:val="center"/>
            <w:hideMark/>
          </w:tcPr>
          <w:p w:rsidR="00E646C9" w:rsidRPr="00B75B77" w:rsidRDefault="00E646C9" w:rsidP="00C94D5A">
            <w:pPr>
              <w:jc w:val="left"/>
              <w:rPr>
                <w:b/>
                <w:sz w:val="18"/>
                <w:szCs w:val="18"/>
              </w:rPr>
            </w:pPr>
            <w:r w:rsidRPr="00B75B77">
              <w:rPr>
                <w:b/>
                <w:sz w:val="18"/>
                <w:szCs w:val="18"/>
              </w:rPr>
              <w:t xml:space="preserve">Recommendation 1: </w:t>
            </w:r>
          </w:p>
          <w:p w:rsidR="00E646C9" w:rsidRPr="00B75B77" w:rsidRDefault="00E646C9" w:rsidP="00E646C9">
            <w:pPr>
              <w:pStyle w:val="ListParagraph"/>
              <w:numPr>
                <w:ilvl w:val="1"/>
                <w:numId w:val="149"/>
              </w:numPr>
              <w:ind w:left="517" w:hanging="270"/>
              <w:jc w:val="left"/>
              <w:rPr>
                <w:sz w:val="18"/>
                <w:szCs w:val="18"/>
              </w:rPr>
            </w:pPr>
            <w:r w:rsidRPr="00B75B77">
              <w:rPr>
                <w:rFonts w:eastAsiaTheme="minorEastAsia" w:cstheme="minorBidi"/>
                <w:color w:val="000000" w:themeColor="text1"/>
                <w:kern w:val="24"/>
                <w:sz w:val="18"/>
                <w:szCs w:val="18"/>
              </w:rPr>
              <w:t>PECO should ensure the program database contains necessary data to allow Navigant to calculate verified savings via comparison group analysis in Phase III</w:t>
            </w:r>
            <w:r w:rsidRPr="00B75B77">
              <w:rPr>
                <w:sz w:val="18"/>
                <w:szCs w:val="18"/>
              </w:rPr>
              <w:t>.</w:t>
            </w:r>
          </w:p>
          <w:p w:rsidR="00E646C9" w:rsidRPr="00B75B77" w:rsidRDefault="00E646C9" w:rsidP="00E646C9">
            <w:pPr>
              <w:pStyle w:val="ListParagraph"/>
              <w:numPr>
                <w:ilvl w:val="1"/>
                <w:numId w:val="149"/>
              </w:numPr>
              <w:ind w:left="517" w:hanging="270"/>
              <w:jc w:val="left"/>
              <w:rPr>
                <w:sz w:val="18"/>
                <w:szCs w:val="18"/>
              </w:rPr>
            </w:pPr>
            <w:r w:rsidRPr="00B75B77">
              <w:rPr>
                <w:sz w:val="18"/>
                <w:szCs w:val="18"/>
              </w:rPr>
              <w:t xml:space="preserve">PECO should be </w:t>
            </w:r>
            <w:r w:rsidRPr="00B75B77">
              <w:rPr>
                <w:rFonts w:eastAsiaTheme="minorEastAsia" w:cstheme="minorBidi"/>
                <w:color w:val="000000" w:themeColor="text1"/>
                <w:kern w:val="24"/>
                <w:sz w:val="18"/>
                <w:szCs w:val="18"/>
              </w:rPr>
              <w:t>prepared to quickly and securely transfer program database information to Navigant for verified savings analysis in Phase III.</w:t>
            </w:r>
          </w:p>
        </w:tc>
        <w:tc>
          <w:tcPr>
            <w:tcW w:w="4595" w:type="dxa"/>
            <w:shd w:val="clear" w:color="000000" w:fill="D2EAF1"/>
            <w:vAlign w:val="center"/>
            <w:hideMark/>
          </w:tcPr>
          <w:p w:rsidR="00E646C9" w:rsidRPr="00B75B77" w:rsidRDefault="00E646C9" w:rsidP="00E646C9">
            <w:pPr>
              <w:pStyle w:val="ListParagraph"/>
              <w:numPr>
                <w:ilvl w:val="0"/>
                <w:numId w:val="151"/>
              </w:numPr>
              <w:ind w:left="702" w:hanging="468"/>
              <w:jc w:val="left"/>
              <w:rPr>
                <w:color w:val="000000"/>
                <w:sz w:val="18"/>
                <w:szCs w:val="18"/>
              </w:rPr>
            </w:pPr>
            <w:r w:rsidRPr="00B75B77">
              <w:rPr>
                <w:b/>
                <w:color w:val="000000"/>
                <w:sz w:val="18"/>
                <w:szCs w:val="18"/>
              </w:rPr>
              <w:t>Implemented:</w:t>
            </w:r>
            <w:r w:rsidRPr="00B75B77">
              <w:rPr>
                <w:color w:val="000000"/>
                <w:sz w:val="18"/>
                <w:szCs w:val="18"/>
              </w:rPr>
              <w:t xml:space="preserve"> Interval data will be available; will have to collaborate with Navigant to define the format.</w:t>
            </w:r>
          </w:p>
          <w:p w:rsidR="00E646C9" w:rsidRPr="00B75B77" w:rsidRDefault="00E646C9" w:rsidP="00E646C9">
            <w:pPr>
              <w:pStyle w:val="ListParagraph"/>
              <w:numPr>
                <w:ilvl w:val="0"/>
                <w:numId w:val="151"/>
              </w:numPr>
              <w:ind w:left="702" w:hanging="468"/>
              <w:jc w:val="left"/>
              <w:rPr>
                <w:color w:val="000000"/>
                <w:sz w:val="18"/>
                <w:szCs w:val="18"/>
              </w:rPr>
            </w:pPr>
            <w:r w:rsidRPr="00B75B77">
              <w:rPr>
                <w:b/>
                <w:color w:val="000000"/>
                <w:sz w:val="18"/>
                <w:szCs w:val="18"/>
              </w:rPr>
              <w:t>Being Considered:</w:t>
            </w:r>
            <w:r w:rsidRPr="00B75B77">
              <w:rPr>
                <w:color w:val="000000"/>
                <w:sz w:val="18"/>
                <w:szCs w:val="18"/>
              </w:rPr>
              <w:t xml:space="preserve"> PECO will work with Navigant to extract AMI data as soon as it is available, which is at the earliest around 4 weeks after the event takes place. </w:t>
            </w:r>
          </w:p>
        </w:tc>
      </w:tr>
      <w:tr w:rsidR="00E646C9" w:rsidRPr="00B75B77" w:rsidTr="008945CF">
        <w:trPr>
          <w:trHeight w:val="288"/>
        </w:trPr>
        <w:tc>
          <w:tcPr>
            <w:tcW w:w="4670" w:type="dxa"/>
            <w:shd w:val="clear" w:color="auto" w:fill="auto"/>
            <w:vAlign w:val="center"/>
            <w:hideMark/>
          </w:tcPr>
          <w:p w:rsidR="00E646C9" w:rsidRPr="00B75B77" w:rsidRDefault="00E646C9" w:rsidP="00C94D5A">
            <w:pPr>
              <w:jc w:val="left"/>
              <w:rPr>
                <w:color w:val="000000"/>
                <w:sz w:val="18"/>
                <w:szCs w:val="18"/>
              </w:rPr>
            </w:pPr>
            <w:r w:rsidRPr="00B75B77">
              <w:rPr>
                <w:b/>
                <w:sz w:val="18"/>
                <w:szCs w:val="18"/>
              </w:rPr>
              <w:t>Recommendation 2:</w:t>
            </w:r>
            <w:r w:rsidRPr="00B75B77">
              <w:rPr>
                <w:sz w:val="18"/>
                <w:szCs w:val="18"/>
              </w:rPr>
              <w:t xml:space="preserve"> PECO should prepare for a possible drop in program satisfaction.</w:t>
            </w:r>
          </w:p>
        </w:tc>
        <w:tc>
          <w:tcPr>
            <w:tcW w:w="4595" w:type="dxa"/>
            <w:shd w:val="clear" w:color="auto" w:fill="auto"/>
            <w:vAlign w:val="center"/>
            <w:hideMark/>
          </w:tcPr>
          <w:p w:rsidR="00E646C9" w:rsidRPr="00B75B77" w:rsidRDefault="00E646C9" w:rsidP="00C94D5A">
            <w:pPr>
              <w:jc w:val="left"/>
              <w:rPr>
                <w:b/>
                <w:color w:val="000000"/>
                <w:sz w:val="18"/>
                <w:szCs w:val="18"/>
              </w:rPr>
            </w:pPr>
            <w:r w:rsidRPr="00B75B77">
              <w:rPr>
                <w:b/>
                <w:color w:val="000000"/>
                <w:sz w:val="18"/>
                <w:szCs w:val="18"/>
              </w:rPr>
              <w:t>Implemented </w:t>
            </w:r>
          </w:p>
        </w:tc>
      </w:tr>
      <w:tr w:rsidR="00E646C9" w:rsidRPr="00B75B77" w:rsidTr="008945CF">
        <w:trPr>
          <w:trHeight w:val="288"/>
        </w:trPr>
        <w:tc>
          <w:tcPr>
            <w:tcW w:w="4670" w:type="dxa"/>
            <w:shd w:val="clear" w:color="auto" w:fill="D2EAF1"/>
            <w:vAlign w:val="center"/>
            <w:hideMark/>
          </w:tcPr>
          <w:p w:rsidR="00E646C9" w:rsidRPr="00B75B77" w:rsidRDefault="00E646C9" w:rsidP="00C94D5A">
            <w:pPr>
              <w:jc w:val="left"/>
              <w:rPr>
                <w:color w:val="000000"/>
                <w:sz w:val="18"/>
                <w:szCs w:val="18"/>
              </w:rPr>
            </w:pPr>
            <w:r w:rsidRPr="00B75B77">
              <w:rPr>
                <w:b/>
                <w:sz w:val="18"/>
                <w:szCs w:val="18"/>
              </w:rPr>
              <w:t>Recommendation 3:</w:t>
            </w:r>
            <w:r w:rsidRPr="00B75B77">
              <w:rPr>
                <w:sz w:val="18"/>
                <w:szCs w:val="18"/>
              </w:rPr>
              <w:t xml:space="preserve"> Consider running a pilot to test satisfaction impacts of notifying customers after conservation events.</w:t>
            </w:r>
          </w:p>
        </w:tc>
        <w:tc>
          <w:tcPr>
            <w:tcW w:w="4595" w:type="dxa"/>
            <w:shd w:val="clear" w:color="auto" w:fill="D2EAF1"/>
            <w:vAlign w:val="center"/>
            <w:hideMark/>
          </w:tcPr>
          <w:p w:rsidR="00E646C9" w:rsidRPr="00B75B77" w:rsidRDefault="00E646C9" w:rsidP="00C94D5A">
            <w:pPr>
              <w:jc w:val="left"/>
              <w:rPr>
                <w:color w:val="000000"/>
                <w:sz w:val="18"/>
                <w:szCs w:val="18"/>
              </w:rPr>
            </w:pPr>
            <w:r w:rsidRPr="00B75B77">
              <w:rPr>
                <w:b/>
                <w:color w:val="000000"/>
                <w:sz w:val="18"/>
                <w:szCs w:val="18"/>
              </w:rPr>
              <w:t xml:space="preserve">Rejected: </w:t>
            </w:r>
            <w:r w:rsidRPr="00B75B77">
              <w:rPr>
                <w:color w:val="000000"/>
                <w:sz w:val="18"/>
                <w:szCs w:val="18"/>
              </w:rPr>
              <w:t>PECO will find way to work around maintaining customer satisfaction. </w:t>
            </w:r>
          </w:p>
        </w:tc>
      </w:tr>
      <w:tr w:rsidR="00E646C9" w:rsidRPr="00B75B77" w:rsidTr="008945CF">
        <w:trPr>
          <w:trHeight w:val="288"/>
        </w:trPr>
        <w:tc>
          <w:tcPr>
            <w:tcW w:w="4670" w:type="dxa"/>
            <w:shd w:val="clear" w:color="auto" w:fill="auto"/>
            <w:vAlign w:val="center"/>
            <w:hideMark/>
          </w:tcPr>
          <w:p w:rsidR="00E646C9" w:rsidRPr="00B75B77" w:rsidRDefault="00E646C9" w:rsidP="00C94D5A">
            <w:pPr>
              <w:jc w:val="left"/>
              <w:rPr>
                <w:color w:val="000000"/>
                <w:sz w:val="18"/>
                <w:szCs w:val="18"/>
              </w:rPr>
            </w:pPr>
            <w:r w:rsidRPr="00B75B77">
              <w:rPr>
                <w:b/>
                <w:sz w:val="18"/>
                <w:szCs w:val="18"/>
              </w:rPr>
              <w:t>Recommendation 4:</w:t>
            </w:r>
            <w:r w:rsidRPr="00B75B77">
              <w:rPr>
                <w:sz w:val="18"/>
                <w:szCs w:val="18"/>
              </w:rPr>
              <w:t xml:space="preserve"> If PECO is concerned that program participation is too high, consider </w:t>
            </w:r>
            <w:r w:rsidRPr="00B75B77">
              <w:rPr>
                <w:rFonts w:eastAsiaTheme="minorEastAsia" w:cstheme="minorBidi"/>
                <w:color w:val="000000" w:themeColor="text1"/>
                <w:kern w:val="24"/>
                <w:sz w:val="18"/>
                <w:szCs w:val="18"/>
              </w:rPr>
              <w:t>paying low-performing customers to not participate in the program.</w:t>
            </w:r>
          </w:p>
        </w:tc>
        <w:tc>
          <w:tcPr>
            <w:tcW w:w="4595" w:type="dxa"/>
            <w:shd w:val="clear" w:color="auto" w:fill="auto"/>
            <w:vAlign w:val="center"/>
            <w:hideMark/>
          </w:tcPr>
          <w:p w:rsidR="00E646C9" w:rsidRPr="00B75B77" w:rsidRDefault="00E646C9" w:rsidP="00C94D5A">
            <w:pPr>
              <w:jc w:val="left"/>
              <w:rPr>
                <w:color w:val="000000"/>
                <w:sz w:val="18"/>
                <w:szCs w:val="18"/>
              </w:rPr>
            </w:pPr>
            <w:r w:rsidRPr="00B75B77">
              <w:rPr>
                <w:b/>
                <w:color w:val="000000"/>
                <w:sz w:val="18"/>
                <w:szCs w:val="18"/>
              </w:rPr>
              <w:t xml:space="preserve">Being Considered: </w:t>
            </w:r>
            <w:r w:rsidRPr="00B75B77">
              <w:rPr>
                <w:color w:val="000000"/>
                <w:sz w:val="18"/>
                <w:szCs w:val="18"/>
              </w:rPr>
              <w:t>PECO needs to assess how the AC program can leverage its participant interest to extend beyond DR.</w:t>
            </w:r>
          </w:p>
        </w:tc>
      </w:tr>
    </w:tbl>
    <w:p w:rsidR="00E646C9" w:rsidRPr="008945CF" w:rsidRDefault="00E646C9" w:rsidP="008945CF"/>
    <w:p w:rsidR="00E646C9" w:rsidRDefault="00E646C9" w:rsidP="008945CF">
      <w:pPr>
        <w:pStyle w:val="AppendixGHeading2"/>
      </w:pPr>
      <w:r w:rsidRPr="008606B4">
        <w:t xml:space="preserve">Smart </w:t>
      </w:r>
      <w:r>
        <w:t>Equipment Incentives – Commercial &amp; Industrial</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keepNext/>
              <w:jc w:val="left"/>
              <w:rPr>
                <w:bCs w:val="0"/>
                <w:sz w:val="18"/>
              </w:rPr>
            </w:pPr>
            <w:r w:rsidRPr="00B75B77">
              <w:rPr>
                <w:bCs w:val="0"/>
                <w:sz w:val="18"/>
              </w:rPr>
              <w:t>Recommendations</w:t>
            </w:r>
          </w:p>
        </w:tc>
        <w:tc>
          <w:tcPr>
            <w:tcW w:w="4680" w:type="dxa"/>
            <w:shd w:val="clear" w:color="auto" w:fill="448A99"/>
            <w:vAlign w:val="center"/>
            <w:hideMark/>
          </w:tcPr>
          <w:p w:rsidR="00C3558F" w:rsidRDefault="00E646C9" w:rsidP="00C3558F">
            <w:pPr>
              <w:keepNext/>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B75B77" w:rsidRDefault="00E646C9" w:rsidP="00C3558F">
            <w:pPr>
              <w:keepNext/>
              <w:jc w:val="center"/>
              <w:cnfStyle w:val="100000000000" w:firstRow="1" w:lastRow="0" w:firstColumn="0" w:lastColumn="0" w:oddVBand="0" w:evenVBand="0" w:oddHBand="0" w:evenHBand="0" w:firstRowFirstColumn="0" w:firstRowLastColumn="0" w:lastRowFirstColumn="0" w:lastRowLastColumn="0"/>
              <w:rPr>
                <w:bCs w:val="0"/>
                <w:sz w:val="18"/>
              </w:rPr>
            </w:pPr>
            <w:r w:rsidRPr="00C3558F">
              <w:rPr>
                <w:b w:val="0"/>
                <w:bCs w:val="0"/>
                <w:sz w:val="18"/>
              </w:rPr>
              <w:t>(Implemented, Being Considered, Rejected, AND Explanation of Action Taken by EDC)</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b w:val="0"/>
                <w:color w:val="000000"/>
                <w:sz w:val="18"/>
              </w:rPr>
            </w:pPr>
            <w:r w:rsidRPr="00B75B77">
              <w:rPr>
                <w:color w:val="000000"/>
                <w:sz w:val="18"/>
              </w:rPr>
              <w:t xml:space="preserve">Recommendation 1: </w:t>
            </w:r>
            <w:r w:rsidRPr="00B75B77">
              <w:rPr>
                <w:rFonts w:cs="Arial"/>
                <w:b w:val="0"/>
                <w:color w:val="000000"/>
                <w:sz w:val="18"/>
              </w:rPr>
              <w:t>Segment population further to explore the value of the SEI program and identify marketing or outreach approaches to reach the harder to reach segments. Develop marketing approaches for specific business types to cater to the needs of that segment.</w:t>
            </w:r>
          </w:p>
        </w:tc>
        <w:tc>
          <w:tcPr>
            <w:tcW w:w="4680" w:type="dxa"/>
            <w:noWrap/>
            <w:vAlign w:val="center"/>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PECO has been working on a robust marketing plan with EEMF to target the industrial and commercial sector areas that are hard to reach. This will be done through direct marketing with trade allies, as well as enlisting the help of LCS.</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hideMark/>
          </w:tcPr>
          <w:p w:rsidR="00E646C9" w:rsidRPr="00B75B77" w:rsidRDefault="00E646C9" w:rsidP="00C94D5A">
            <w:pPr>
              <w:keepNext/>
              <w:jc w:val="left"/>
              <w:rPr>
                <w:color w:val="000000"/>
                <w:sz w:val="18"/>
              </w:rPr>
            </w:pPr>
            <w:r w:rsidRPr="00B75B77">
              <w:rPr>
                <w:color w:val="000000"/>
                <w:sz w:val="18"/>
              </w:rPr>
              <w:t xml:space="preserve">Recommendation 2: </w:t>
            </w:r>
          </w:p>
          <w:p w:rsidR="00E646C9" w:rsidRPr="00B75B77" w:rsidRDefault="00E646C9" w:rsidP="00E646C9">
            <w:pPr>
              <w:pStyle w:val="ListParagraph"/>
              <w:keepNext/>
              <w:numPr>
                <w:ilvl w:val="4"/>
                <w:numId w:val="152"/>
              </w:numPr>
              <w:ind w:left="427" w:hanging="270"/>
              <w:jc w:val="left"/>
              <w:rPr>
                <w:rFonts w:cs="Arial"/>
                <w:b w:val="0"/>
                <w:color w:val="000000"/>
                <w:sz w:val="18"/>
              </w:rPr>
            </w:pPr>
            <w:r w:rsidRPr="00B75B77">
              <w:rPr>
                <w:rFonts w:cs="Arial"/>
                <w:b w:val="0"/>
                <w:color w:val="000000"/>
                <w:sz w:val="18"/>
              </w:rPr>
              <w:t xml:space="preserve">Change the trade ally incentives program to incent targeted project types or customer segments. </w:t>
            </w:r>
          </w:p>
          <w:p w:rsidR="00E646C9" w:rsidRPr="00B75B77" w:rsidRDefault="00E646C9" w:rsidP="00E646C9">
            <w:pPr>
              <w:pStyle w:val="ListParagraph"/>
              <w:keepNext/>
              <w:numPr>
                <w:ilvl w:val="4"/>
                <w:numId w:val="152"/>
              </w:numPr>
              <w:ind w:left="427" w:hanging="270"/>
              <w:jc w:val="left"/>
              <w:rPr>
                <w:rFonts w:cs="Arial"/>
                <w:color w:val="000000"/>
                <w:sz w:val="18"/>
              </w:rPr>
            </w:pPr>
            <w:r w:rsidRPr="00B75B77">
              <w:rPr>
                <w:rFonts w:cs="Arial"/>
                <w:b w:val="0"/>
                <w:color w:val="000000"/>
                <w:sz w:val="18"/>
              </w:rPr>
              <w:t>Outreach to engage new trade allies in the program (especially local contractors, who are less likely to pursue projects in other states where incentives are richer).</w:t>
            </w:r>
          </w:p>
        </w:tc>
        <w:tc>
          <w:tcPr>
            <w:tcW w:w="4680" w:type="dxa"/>
            <w:noWrap/>
            <w:vAlign w:val="center"/>
            <w:hideMark/>
          </w:tcPr>
          <w:p w:rsidR="00E646C9" w:rsidRPr="00B75B77" w:rsidRDefault="00E646C9" w:rsidP="00E646C9">
            <w:pPr>
              <w:pStyle w:val="ListParagraph"/>
              <w:keepNext/>
              <w:numPr>
                <w:ilvl w:val="0"/>
                <w:numId w:val="153"/>
              </w:num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In Phase III, PECO revised the program design to incent the trade ally’s on a project or customer basis, to offer a comprehensive solution as oppose to measure based approach and alter the trade ally incentives program to incent targeted project types or customer segments.</w:t>
            </w:r>
          </w:p>
          <w:p w:rsidR="00E646C9" w:rsidRPr="00B75B77" w:rsidRDefault="00E646C9" w:rsidP="00E646C9">
            <w:pPr>
              <w:pStyle w:val="ListParagraph"/>
              <w:keepNext/>
              <w:numPr>
                <w:ilvl w:val="0"/>
                <w:numId w:val="153"/>
              </w:num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Currently hosting many webinars inviting existing and new potential trade allies.</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hideMark/>
          </w:tcPr>
          <w:p w:rsidR="00E646C9" w:rsidRPr="00B75B77" w:rsidRDefault="00E646C9" w:rsidP="00C94D5A">
            <w:pPr>
              <w:keepNext/>
              <w:jc w:val="left"/>
              <w:rPr>
                <w:b w:val="0"/>
                <w:color w:val="000000"/>
                <w:sz w:val="18"/>
              </w:rPr>
            </w:pPr>
            <w:r w:rsidRPr="00B75B77">
              <w:rPr>
                <w:color w:val="000000"/>
                <w:sz w:val="18"/>
              </w:rPr>
              <w:t xml:space="preserve">Recommendation 3: </w:t>
            </w:r>
            <w:r w:rsidRPr="00B75B77">
              <w:rPr>
                <w:rFonts w:cs="Arial"/>
                <w:b w:val="0"/>
                <w:sz w:val="18"/>
              </w:rPr>
              <w:t>Increase assistance with completing required documentation and TRM worksheets for custom projects.</w:t>
            </w:r>
          </w:p>
        </w:tc>
        <w:tc>
          <w:tcPr>
            <w:tcW w:w="4680" w:type="dxa"/>
            <w:noWrap/>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sz w:val="18"/>
                <w:szCs w:val="18"/>
              </w:rPr>
              <w:t xml:space="preserve">Implemented: </w:t>
            </w:r>
            <w:r w:rsidRPr="00B75B77">
              <w:rPr>
                <w:sz w:val="18"/>
                <w:szCs w:val="18"/>
              </w:rPr>
              <w:t>PECO is offering “hand-held” assistance with translating the TRM specifications for custom projects.</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noWrap/>
            <w:vAlign w:val="center"/>
          </w:tcPr>
          <w:p w:rsidR="00E646C9" w:rsidRPr="00B75B77" w:rsidRDefault="00E646C9" w:rsidP="00C94D5A">
            <w:pPr>
              <w:keepNext/>
              <w:jc w:val="left"/>
              <w:rPr>
                <w:b w:val="0"/>
                <w:color w:val="000000"/>
                <w:sz w:val="18"/>
              </w:rPr>
            </w:pPr>
            <w:r w:rsidRPr="00B75B77">
              <w:rPr>
                <w:color w:val="000000"/>
                <w:sz w:val="18"/>
              </w:rPr>
              <w:t xml:space="preserve">Recommendation 4: </w:t>
            </w:r>
            <w:r w:rsidRPr="00B75B77">
              <w:rPr>
                <w:rFonts w:cs="Arial"/>
                <w:b w:val="0"/>
                <w:sz w:val="18"/>
              </w:rPr>
              <w:t>Use the “limited time offer” as a lever in future years if participation is low.</w:t>
            </w:r>
          </w:p>
        </w:tc>
        <w:tc>
          <w:tcPr>
            <w:tcW w:w="4680" w:type="dxa"/>
            <w:shd w:val="clear" w:color="auto" w:fill="auto"/>
            <w:noWrap/>
            <w:vAlign w:val="center"/>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szCs w:val="18"/>
              </w:rPr>
              <w:t xml:space="preserve">Implemented: </w:t>
            </w:r>
            <w:r w:rsidRPr="00B75B77">
              <w:rPr>
                <w:color w:val="000000"/>
                <w:sz w:val="18"/>
                <w:szCs w:val="18"/>
              </w:rPr>
              <w:t>PECO is working with EEMF to establish a lever to have better controls around program participation.</w:t>
            </w:r>
          </w:p>
        </w:tc>
      </w:tr>
      <w:tr w:rsidR="00E646C9" w:rsidRPr="00B75B77" w:rsidTr="008945C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keepNext/>
              <w:jc w:val="left"/>
              <w:rPr>
                <w:rFonts w:cs="Arial"/>
                <w:b w:val="0"/>
                <w:i/>
              </w:rPr>
            </w:pPr>
            <w:r w:rsidRPr="00B75B77">
              <w:rPr>
                <w:color w:val="000000"/>
                <w:sz w:val="18"/>
              </w:rPr>
              <w:t xml:space="preserve">Recommendation 5a: </w:t>
            </w:r>
            <w:r w:rsidRPr="00B75B77">
              <w:rPr>
                <w:rFonts w:cs="Arial"/>
                <w:b w:val="0"/>
                <w:sz w:val="18"/>
              </w:rPr>
              <w:t>PECO should require the implementer to build in a "flag" in their project database that identifies if a site is threshold metering. The implementer should then make sure to send over the project files to evaluator as soon as they are entered into the system.</w:t>
            </w:r>
          </w:p>
        </w:tc>
        <w:tc>
          <w:tcPr>
            <w:tcW w:w="4680" w:type="dxa"/>
            <w:noWrap/>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szCs w:val="18"/>
              </w:rPr>
              <w:t xml:space="preserve">Implemented: </w:t>
            </w:r>
            <w:r w:rsidRPr="00B75B77">
              <w:rPr>
                <w:color w:val="000000"/>
                <w:sz w:val="18"/>
                <w:szCs w:val="18"/>
              </w:rPr>
              <w:t>PECO and Navigant made formal recommendation to ICF to continuously monitor for threshold metering projects. Once a project has been flagged, ICF will contact Navigant as per PECO’s instructions.</w:t>
            </w:r>
          </w:p>
        </w:tc>
      </w:tr>
      <w:tr w:rsidR="00E646C9" w:rsidRPr="00B75B77" w:rsidTr="008945C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noWrap/>
            <w:vAlign w:val="center"/>
          </w:tcPr>
          <w:p w:rsidR="00E646C9" w:rsidRPr="00B75B77" w:rsidRDefault="00E646C9" w:rsidP="00C94D5A">
            <w:pPr>
              <w:keepNext/>
              <w:jc w:val="left"/>
              <w:rPr>
                <w:rFonts w:cs="Arial"/>
                <w:b w:val="0"/>
                <w:i/>
              </w:rPr>
            </w:pPr>
            <w:r w:rsidRPr="00B75B77">
              <w:rPr>
                <w:color w:val="000000"/>
                <w:sz w:val="18"/>
              </w:rPr>
              <w:t xml:space="preserve">Recommendation 5b: </w:t>
            </w:r>
            <w:r w:rsidRPr="00B75B77">
              <w:rPr>
                <w:rFonts w:cs="Arial"/>
                <w:b w:val="0"/>
                <w:sz w:val="18"/>
              </w:rPr>
              <w:t>Streamline database by limiting number of dates and removing unnecessary fields. Assess data requirements of all relevant parties (PECO, SWE, and Navigant) and only include required fields.</w:t>
            </w:r>
          </w:p>
        </w:tc>
        <w:tc>
          <w:tcPr>
            <w:tcW w:w="4680" w:type="dxa"/>
            <w:shd w:val="clear" w:color="auto" w:fill="auto"/>
            <w:noWrap/>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b/>
                <w:sz w:val="18"/>
                <w:szCs w:val="18"/>
              </w:rPr>
              <w:t>Being Considered</w:t>
            </w:r>
          </w:p>
        </w:tc>
      </w:tr>
    </w:tbl>
    <w:p w:rsidR="00E646C9" w:rsidRPr="00C3558F" w:rsidRDefault="00E646C9" w:rsidP="00C3558F"/>
    <w:p w:rsidR="00E646C9" w:rsidRDefault="00E646C9" w:rsidP="00C3558F">
      <w:pPr>
        <w:pStyle w:val="AppendixGHeading2"/>
      </w:pPr>
      <w:r w:rsidRPr="008606B4">
        <w:t xml:space="preserve">Smart </w:t>
      </w:r>
      <w:r>
        <w:t>Equipment Incentives– Government and Institutional</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jc w:val="left"/>
              <w:rPr>
                <w:bCs w:val="0"/>
                <w:sz w:val="18"/>
              </w:rPr>
            </w:pPr>
            <w:r w:rsidRPr="00B75B77">
              <w:rPr>
                <w:bCs w:val="0"/>
                <w:sz w:val="18"/>
              </w:rPr>
              <w:t>Recommendations</w:t>
            </w:r>
          </w:p>
        </w:tc>
        <w:tc>
          <w:tcPr>
            <w:tcW w:w="4680" w:type="dxa"/>
            <w:shd w:val="clear" w:color="auto" w:fill="448A99"/>
            <w:vAlign w:val="center"/>
            <w:hideMark/>
          </w:tcPr>
          <w:p w:rsidR="00C3558F" w:rsidRDefault="00E646C9" w:rsidP="00C3558F">
            <w:pPr>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C3558F" w:rsidRDefault="00E646C9" w:rsidP="00C3558F">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C3558F">
              <w:rPr>
                <w:b w:val="0"/>
                <w:bCs w:val="0"/>
                <w:sz w:val="18"/>
              </w:rPr>
              <w:t>(Implemented, Being Considered, Rejected AND Explanation of Action Taken by EDC)</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b w:val="0"/>
                <w:color w:val="000000"/>
                <w:sz w:val="18"/>
              </w:rPr>
            </w:pPr>
            <w:r w:rsidRPr="00B75B77">
              <w:rPr>
                <w:color w:val="000000"/>
                <w:sz w:val="18"/>
              </w:rPr>
              <w:t xml:space="preserve">Recommendation 1: </w:t>
            </w:r>
            <w:r w:rsidRPr="00B75B77">
              <w:rPr>
                <w:rFonts w:cs="Arial"/>
                <w:b w:val="0"/>
                <w:color w:val="000000"/>
                <w:sz w:val="18"/>
              </w:rPr>
              <w:t>Segment population further to explore the value of the SEI program and identify marketing or outreach approaches to reach the harder to reach segments. Develop marketing approaches for specific business types to cater to the needs of that segment.</w:t>
            </w:r>
          </w:p>
        </w:tc>
        <w:tc>
          <w:tcPr>
            <w:tcW w:w="4680" w:type="dxa"/>
            <w:noWrap/>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PECO has been working on a robust marketing plan to target the industrial and commercial sector areas that are hard to reach.</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noWrap/>
            <w:vAlign w:val="center"/>
            <w:hideMark/>
          </w:tcPr>
          <w:p w:rsidR="00E646C9" w:rsidRPr="00B75B77" w:rsidRDefault="00E646C9" w:rsidP="00C94D5A">
            <w:pPr>
              <w:jc w:val="left"/>
              <w:rPr>
                <w:color w:val="000000"/>
                <w:sz w:val="18"/>
              </w:rPr>
            </w:pPr>
            <w:r w:rsidRPr="00B75B77">
              <w:rPr>
                <w:color w:val="000000"/>
                <w:sz w:val="18"/>
              </w:rPr>
              <w:t xml:space="preserve">Recommendation 2: </w:t>
            </w:r>
          </w:p>
          <w:p w:rsidR="00E646C9" w:rsidRPr="00B75B77" w:rsidRDefault="00E646C9" w:rsidP="00C94D5A">
            <w:pPr>
              <w:ind w:left="247" w:hanging="247"/>
              <w:jc w:val="left"/>
              <w:rPr>
                <w:rFonts w:cs="Arial"/>
                <w:b w:val="0"/>
                <w:color w:val="000000"/>
                <w:sz w:val="18"/>
              </w:rPr>
            </w:pPr>
            <w:r w:rsidRPr="00B75B77">
              <w:rPr>
                <w:rFonts w:cs="Arial"/>
                <w:b w:val="0"/>
                <w:color w:val="000000"/>
                <w:sz w:val="18"/>
              </w:rPr>
              <w:t xml:space="preserve">a.   Change the trade ally incentives program to incent targeted project types or customer segments. </w:t>
            </w:r>
          </w:p>
          <w:p w:rsidR="00E646C9" w:rsidRPr="00B75B77" w:rsidRDefault="00E646C9" w:rsidP="00C94D5A">
            <w:pPr>
              <w:ind w:left="247" w:hanging="247"/>
              <w:jc w:val="left"/>
              <w:rPr>
                <w:rFonts w:cs="Arial"/>
                <w:b w:val="0"/>
                <w:color w:val="000000"/>
                <w:sz w:val="18"/>
              </w:rPr>
            </w:pPr>
            <w:r w:rsidRPr="00B75B77">
              <w:rPr>
                <w:rFonts w:cs="Arial"/>
                <w:b w:val="0"/>
                <w:color w:val="000000"/>
                <w:sz w:val="18"/>
              </w:rPr>
              <w:t>b.  Outreach to engage new trade allies in the program (especially local contractors, who are less likely to pursue projects in other states where incentives are richer).</w:t>
            </w:r>
          </w:p>
        </w:tc>
        <w:tc>
          <w:tcPr>
            <w:tcW w:w="4680" w:type="dxa"/>
            <w:shd w:val="clear" w:color="auto" w:fill="auto"/>
            <w:noWrap/>
            <w:hideMark/>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In Phase III, PECO revised the program design to incent the trade ally’s on a project or customer basis, to offer a comprehensive solution as oppose to measure based approach.</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b w:val="0"/>
                <w:color w:val="000000"/>
                <w:sz w:val="18"/>
              </w:rPr>
            </w:pPr>
            <w:r w:rsidRPr="00B75B77">
              <w:rPr>
                <w:color w:val="000000"/>
                <w:sz w:val="18"/>
              </w:rPr>
              <w:t xml:space="preserve">Recommendation 3: </w:t>
            </w:r>
            <w:r w:rsidRPr="00B75B77">
              <w:rPr>
                <w:rFonts w:cs="Arial"/>
                <w:b w:val="0"/>
                <w:sz w:val="18"/>
              </w:rPr>
              <w:t>Increase assistance with completing required documentation and TRM worksheets for custom projects.</w:t>
            </w:r>
          </w:p>
        </w:tc>
        <w:tc>
          <w:tcPr>
            <w:tcW w:w="4680" w:type="dxa"/>
            <w:noWrap/>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sz w:val="18"/>
                <w:szCs w:val="18"/>
              </w:rPr>
              <w:t>Implemented:</w:t>
            </w:r>
            <w:r w:rsidRPr="00B75B77">
              <w:rPr>
                <w:sz w:val="18"/>
                <w:szCs w:val="18"/>
              </w:rPr>
              <w:t xml:space="preserve"> PECO is offering “hand-held” assistance with translating the TRM specifications for custom projects.</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noWrap/>
            <w:vAlign w:val="center"/>
          </w:tcPr>
          <w:p w:rsidR="00E646C9" w:rsidRPr="00B75B77" w:rsidRDefault="00E646C9" w:rsidP="00C94D5A">
            <w:pPr>
              <w:jc w:val="left"/>
              <w:rPr>
                <w:b w:val="0"/>
                <w:color w:val="000000"/>
                <w:sz w:val="18"/>
              </w:rPr>
            </w:pPr>
            <w:r w:rsidRPr="00B75B77">
              <w:rPr>
                <w:color w:val="000000"/>
                <w:sz w:val="18"/>
              </w:rPr>
              <w:t xml:space="preserve">Recommendation 4: </w:t>
            </w:r>
            <w:r w:rsidRPr="00B75B77">
              <w:rPr>
                <w:rFonts w:cs="Arial"/>
                <w:b w:val="0"/>
                <w:sz w:val="18"/>
              </w:rPr>
              <w:t>Use the “limited time offer” as a lever in future years if participation is low.</w:t>
            </w:r>
          </w:p>
        </w:tc>
        <w:tc>
          <w:tcPr>
            <w:tcW w:w="4680" w:type="dxa"/>
            <w:shd w:val="clear" w:color="auto" w:fill="auto"/>
            <w:noWrap/>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szCs w:val="18"/>
              </w:rPr>
              <w:t>Implemented:</w:t>
            </w:r>
            <w:r w:rsidRPr="00B75B77">
              <w:rPr>
                <w:color w:val="000000"/>
                <w:sz w:val="18"/>
                <w:szCs w:val="18"/>
              </w:rPr>
              <w:t xml:space="preserve"> PECO is working with EEMF to establish a lever to have better controls around program participation.</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color w:val="000000"/>
                <w:sz w:val="18"/>
              </w:rPr>
            </w:pPr>
            <w:r w:rsidRPr="00B75B77">
              <w:rPr>
                <w:color w:val="000000"/>
                <w:sz w:val="18"/>
              </w:rPr>
              <w:t xml:space="preserve">Recommendation 5: </w:t>
            </w:r>
          </w:p>
          <w:p w:rsidR="00E646C9" w:rsidRPr="00B75B77" w:rsidRDefault="00E646C9" w:rsidP="00C94D5A">
            <w:pPr>
              <w:ind w:left="247" w:hanging="247"/>
              <w:jc w:val="left"/>
              <w:rPr>
                <w:rFonts w:cs="Arial"/>
                <w:b w:val="0"/>
                <w:sz w:val="18"/>
              </w:rPr>
            </w:pPr>
            <w:r w:rsidRPr="00B75B77">
              <w:rPr>
                <w:b w:val="0"/>
                <w:color w:val="000000"/>
                <w:sz w:val="18"/>
              </w:rPr>
              <w:t xml:space="preserve">a.  </w:t>
            </w:r>
            <w:r w:rsidRPr="00B75B77">
              <w:rPr>
                <w:rFonts w:cs="Arial"/>
                <w:b w:val="0"/>
                <w:sz w:val="18"/>
              </w:rPr>
              <w:t>PECO should require the implementer to build in a "flag" in its project database that identifies if a site is threshold metering. The implementer should then make sure to send over the project files to evaluator as soon as they are entered into the system.</w:t>
            </w:r>
          </w:p>
          <w:p w:rsidR="00E646C9" w:rsidRPr="00B75B77" w:rsidRDefault="00E646C9" w:rsidP="00C94D5A">
            <w:pPr>
              <w:ind w:left="247" w:hanging="247"/>
              <w:jc w:val="left"/>
              <w:rPr>
                <w:rFonts w:cs="Arial"/>
                <w:b w:val="0"/>
                <w:sz w:val="18"/>
              </w:rPr>
            </w:pPr>
            <w:r w:rsidRPr="00B75B77">
              <w:rPr>
                <w:rFonts w:cs="Arial"/>
                <w:b w:val="0"/>
                <w:sz w:val="18"/>
              </w:rPr>
              <w:t>b.  Streamline database by limiting number of dates and removing unnecessary fields. Assess data requirements of all relevant parties (PECO, SWE, and Navigant) and only include required fields.</w:t>
            </w:r>
          </w:p>
        </w:tc>
        <w:tc>
          <w:tcPr>
            <w:tcW w:w="4680" w:type="dxa"/>
            <w:noWrap/>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b/>
                <w:color w:val="000000"/>
                <w:sz w:val="18"/>
              </w:rPr>
            </w:pPr>
            <w:r w:rsidRPr="00B75B77">
              <w:rPr>
                <w:b/>
                <w:sz w:val="18"/>
                <w:szCs w:val="18"/>
              </w:rPr>
              <w:t>Being Considered:</w:t>
            </w:r>
            <w:r w:rsidRPr="00B75B77">
              <w:rPr>
                <w:sz w:val="18"/>
                <w:szCs w:val="18"/>
              </w:rPr>
              <w:t xml:space="preserve"> Working with tracking system vendor to capture these features in the next Phase.</w:t>
            </w:r>
          </w:p>
        </w:tc>
      </w:tr>
    </w:tbl>
    <w:p w:rsidR="00E646C9" w:rsidRPr="00C3558F" w:rsidRDefault="00E646C9" w:rsidP="00C3558F"/>
    <w:p w:rsidR="00E646C9" w:rsidRDefault="00E646C9" w:rsidP="00C3558F">
      <w:pPr>
        <w:pStyle w:val="AppendixGHeading2"/>
      </w:pPr>
      <w:r w:rsidRPr="008606B4">
        <w:t xml:space="preserve">Smart </w:t>
      </w:r>
      <w:r>
        <w:t>Construction Incentives</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keepNext/>
              <w:jc w:val="left"/>
              <w:rPr>
                <w:bCs w:val="0"/>
                <w:sz w:val="18"/>
              </w:rPr>
            </w:pPr>
            <w:r w:rsidRPr="00B75B77">
              <w:rPr>
                <w:bCs w:val="0"/>
                <w:sz w:val="18"/>
              </w:rPr>
              <w:t>Recommendations</w:t>
            </w:r>
          </w:p>
        </w:tc>
        <w:tc>
          <w:tcPr>
            <w:tcW w:w="4680" w:type="dxa"/>
            <w:shd w:val="clear" w:color="auto" w:fill="448A99"/>
            <w:vAlign w:val="bottom"/>
            <w:hideMark/>
          </w:tcPr>
          <w:p w:rsidR="00C3558F" w:rsidRDefault="00E646C9" w:rsidP="00C3558F">
            <w:pPr>
              <w:keepNext/>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C3558F" w:rsidRDefault="00E646C9" w:rsidP="00C3558F">
            <w:pPr>
              <w:keepNext/>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C3558F">
              <w:rPr>
                <w:b w:val="0"/>
                <w:bCs w:val="0"/>
                <w:sz w:val="18"/>
              </w:rPr>
              <w:t>(Implemented, Being Considered, Rejected AND Explanation of Action Taken by EDC)</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color w:val="000000"/>
                <w:sz w:val="18"/>
              </w:rPr>
            </w:pPr>
            <w:r w:rsidRPr="00B75B77">
              <w:rPr>
                <w:color w:val="000000"/>
                <w:sz w:val="18"/>
              </w:rPr>
              <w:t xml:space="preserve">Recommendation 1: </w:t>
            </w:r>
            <w:r w:rsidRPr="00B75B77">
              <w:rPr>
                <w:b w:val="0"/>
                <w:color w:val="000000"/>
                <w:sz w:val="18"/>
              </w:rPr>
              <w:t>Ensure that all projects are complete before the close of the incentive process:</w:t>
            </w:r>
          </w:p>
          <w:p w:rsidR="00E646C9" w:rsidRPr="00B75B77" w:rsidRDefault="00E646C9" w:rsidP="00E646C9">
            <w:pPr>
              <w:pStyle w:val="ListParagraph"/>
              <w:keepNext/>
              <w:numPr>
                <w:ilvl w:val="0"/>
                <w:numId w:val="154"/>
              </w:numPr>
              <w:ind w:left="512" w:hanging="270"/>
              <w:jc w:val="left"/>
              <w:rPr>
                <w:b w:val="0"/>
                <w:color w:val="000000"/>
                <w:sz w:val="18"/>
              </w:rPr>
            </w:pPr>
            <w:r w:rsidRPr="00B75B77">
              <w:rPr>
                <w:b w:val="0"/>
                <w:color w:val="000000"/>
                <w:sz w:val="18"/>
              </w:rPr>
              <w:t>Set clear occupancy expectations when qualifying projects</w:t>
            </w:r>
          </w:p>
          <w:p w:rsidR="00E646C9" w:rsidRPr="00B75B77" w:rsidRDefault="00E646C9" w:rsidP="00E646C9">
            <w:pPr>
              <w:pStyle w:val="ListParagraph"/>
              <w:keepNext/>
              <w:numPr>
                <w:ilvl w:val="0"/>
                <w:numId w:val="154"/>
              </w:numPr>
              <w:ind w:left="512" w:hanging="270"/>
              <w:jc w:val="left"/>
              <w:rPr>
                <w:b w:val="0"/>
                <w:color w:val="000000"/>
                <w:sz w:val="18"/>
              </w:rPr>
            </w:pPr>
            <w:r w:rsidRPr="00B75B77">
              <w:rPr>
                <w:b w:val="0"/>
                <w:color w:val="000000"/>
                <w:sz w:val="18"/>
              </w:rPr>
              <w:t>Re-emphasize TRM rules to the entire team</w:t>
            </w:r>
          </w:p>
          <w:p w:rsidR="00E646C9" w:rsidRPr="00B75B77" w:rsidRDefault="00E646C9" w:rsidP="00E646C9">
            <w:pPr>
              <w:pStyle w:val="ListParagraph"/>
              <w:keepNext/>
              <w:numPr>
                <w:ilvl w:val="0"/>
                <w:numId w:val="154"/>
              </w:numPr>
              <w:ind w:left="512" w:hanging="270"/>
              <w:jc w:val="left"/>
              <w:rPr>
                <w:b w:val="0"/>
                <w:color w:val="000000"/>
                <w:sz w:val="18"/>
              </w:rPr>
            </w:pPr>
            <w:r w:rsidRPr="00B75B77">
              <w:rPr>
                <w:b w:val="0"/>
                <w:color w:val="000000"/>
                <w:sz w:val="18"/>
              </w:rPr>
              <w:t>Strengthen post-install inspection protocol</w:t>
            </w:r>
          </w:p>
          <w:p w:rsidR="00E646C9" w:rsidRPr="00B75B77" w:rsidRDefault="00E646C9" w:rsidP="00E646C9">
            <w:pPr>
              <w:pStyle w:val="ListParagraph"/>
              <w:keepNext/>
              <w:numPr>
                <w:ilvl w:val="0"/>
                <w:numId w:val="154"/>
              </w:numPr>
              <w:ind w:left="512" w:hanging="270"/>
              <w:jc w:val="left"/>
              <w:rPr>
                <w:color w:val="000000"/>
                <w:sz w:val="18"/>
              </w:rPr>
            </w:pPr>
            <w:r w:rsidRPr="00B75B77">
              <w:rPr>
                <w:b w:val="0"/>
                <w:color w:val="000000"/>
                <w:sz w:val="18"/>
              </w:rPr>
              <w:t>Strengthen post-install documentation review</w:t>
            </w:r>
          </w:p>
        </w:tc>
        <w:tc>
          <w:tcPr>
            <w:tcW w:w="4680" w:type="dxa"/>
            <w:noWrap/>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Being Considered: </w:t>
            </w:r>
            <w:r w:rsidRPr="00B75B77">
              <w:rPr>
                <w:color w:val="000000"/>
                <w:sz w:val="18"/>
              </w:rPr>
              <w:t>PECO will ensure that these point are refined and implemented going into Phase III. CSP and program managers will be held accountable to institute protocols.</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b w:val="0"/>
                <w:color w:val="000000"/>
                <w:sz w:val="18"/>
              </w:rPr>
            </w:pPr>
            <w:r w:rsidRPr="00B75B77">
              <w:rPr>
                <w:color w:val="000000"/>
                <w:sz w:val="18"/>
              </w:rPr>
              <w:t>Recommendation 2:</w:t>
            </w:r>
            <w:r w:rsidRPr="00B75B77">
              <w:rPr>
                <w:b w:val="0"/>
                <w:color w:val="000000"/>
                <w:sz w:val="18"/>
              </w:rPr>
              <w:t xml:space="preserve"> Leverage strong relationships with committed trade allies to achieve greater program participation. Continue trade ally training and recruitment as a tool to sustain current program performance.</w:t>
            </w:r>
          </w:p>
        </w:tc>
        <w:tc>
          <w:tcPr>
            <w:tcW w:w="4680" w:type="dxa"/>
            <w:noWrap/>
            <w:hideMark/>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Strengthening the trade ally training and recruitment to maintain existing and form new relationships.</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keepNext/>
              <w:jc w:val="left"/>
              <w:rPr>
                <w:b w:val="0"/>
                <w:color w:val="000000"/>
                <w:sz w:val="18"/>
              </w:rPr>
            </w:pPr>
            <w:r w:rsidRPr="00B75B77">
              <w:rPr>
                <w:color w:val="000000"/>
                <w:sz w:val="18"/>
              </w:rPr>
              <w:t xml:space="preserve">Recommendation 3: </w:t>
            </w:r>
            <w:r w:rsidRPr="00B75B77">
              <w:rPr>
                <w:b w:val="0"/>
                <w:color w:val="000000"/>
                <w:sz w:val="18"/>
              </w:rPr>
              <w:t>Provide early and continuous outreach efforts, especially for new construction projects. Avoid using new construction as a lever for portfolio-level savings.</w:t>
            </w:r>
          </w:p>
        </w:tc>
        <w:tc>
          <w:tcPr>
            <w:tcW w:w="4680" w:type="dxa"/>
            <w:noWrap/>
            <w:hideMark/>
          </w:tcPr>
          <w:p w:rsidR="00E646C9" w:rsidRPr="00B75B77" w:rsidRDefault="00E646C9" w:rsidP="00C94D5A">
            <w:pPr>
              <w:keepNext/>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This recommendation was implemented in late stages of the Phase II plan. However, the wait list in Phase II pushed the program behind schedule and it became difficult to capture early stage projects.</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keepNext/>
              <w:jc w:val="left"/>
              <w:rPr>
                <w:color w:val="000000"/>
                <w:sz w:val="18"/>
              </w:rPr>
            </w:pPr>
            <w:r w:rsidRPr="00B75B77">
              <w:rPr>
                <w:color w:val="000000"/>
                <w:sz w:val="18"/>
              </w:rPr>
              <w:t>Recommendation 4:</w:t>
            </w:r>
            <w:r w:rsidRPr="00B75B77">
              <w:rPr>
                <w:b w:val="0"/>
                <w:color w:val="000000"/>
                <w:sz w:val="18"/>
              </w:rPr>
              <w:t xml:space="preserve"> Strive for greater measure end-use diversification in Phase III (with special emphasis away from lighting projects).</w:t>
            </w:r>
          </w:p>
        </w:tc>
        <w:tc>
          <w:tcPr>
            <w:tcW w:w="4680" w:type="dxa"/>
            <w:noWrap/>
          </w:tcPr>
          <w:p w:rsidR="00E646C9" w:rsidRPr="00B75B77" w:rsidRDefault="00E646C9" w:rsidP="00C94D5A">
            <w:pPr>
              <w:keepNext/>
              <w:jc w:val="left"/>
              <w:cnfStyle w:val="000000010000" w:firstRow="0" w:lastRow="0" w:firstColumn="0" w:lastColumn="0" w:oddVBand="0" w:evenVBand="0" w:oddHBand="0" w:evenHBand="1" w:firstRowFirstColumn="0" w:firstRowLastColumn="0" w:lastRowFirstColumn="0" w:lastRowLastColumn="0"/>
              <w:rPr>
                <w:b/>
                <w:color w:val="000000"/>
                <w:sz w:val="18"/>
              </w:rPr>
            </w:pPr>
            <w:r w:rsidRPr="00B75B77">
              <w:rPr>
                <w:b/>
                <w:color w:val="000000"/>
                <w:sz w:val="18"/>
              </w:rPr>
              <w:t xml:space="preserve">Implemented: </w:t>
            </w:r>
            <w:r w:rsidRPr="00B75B77">
              <w:rPr>
                <w:color w:val="000000"/>
                <w:sz w:val="18"/>
              </w:rPr>
              <w:t>The whole building model approach was designed to create projects that are more comprehensive.</w:t>
            </w:r>
          </w:p>
        </w:tc>
      </w:tr>
    </w:tbl>
    <w:p w:rsidR="00E646C9" w:rsidRDefault="00E646C9" w:rsidP="00C3558F"/>
    <w:p w:rsidR="00C3558F" w:rsidRDefault="00C3558F" w:rsidP="00C3558F"/>
    <w:p w:rsidR="0058256F" w:rsidRDefault="0058256F" w:rsidP="00C3558F"/>
    <w:p w:rsidR="0058256F" w:rsidRDefault="0058256F" w:rsidP="00C3558F"/>
    <w:p w:rsidR="00C3558F" w:rsidRDefault="00C3558F" w:rsidP="00C3558F"/>
    <w:p w:rsidR="00C3558F" w:rsidRDefault="00C3558F" w:rsidP="00C3558F"/>
    <w:p w:rsidR="00C3558F" w:rsidRDefault="00C3558F" w:rsidP="00C3558F"/>
    <w:p w:rsidR="00E646C9" w:rsidRDefault="00E646C9" w:rsidP="00C3558F">
      <w:pPr>
        <w:pStyle w:val="AppendixGHeading2"/>
      </w:pPr>
      <w:r w:rsidRPr="008606B4">
        <w:t xml:space="preserve">Smart </w:t>
      </w:r>
      <w:r>
        <w:t>Multi-Family Solutions Program</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C3558F" w:rsidRPr="00B75B77" w:rsidTr="00821A84">
        <w:trPr>
          <w:cnfStyle w:val="100000000000" w:firstRow="1" w:lastRow="0" w:firstColumn="0" w:lastColumn="0" w:oddVBand="0" w:evenVBand="0" w:oddHBand="0" w:evenHBand="0" w:firstRowFirstColumn="0" w:firstRowLastColumn="0" w:lastRowFirstColumn="0" w:lastRowLastColumn="0"/>
          <w:trHeight w:val="664"/>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C3558F" w:rsidRPr="00B75B77" w:rsidRDefault="00C3558F" w:rsidP="00821A84">
            <w:pPr>
              <w:jc w:val="left"/>
              <w:rPr>
                <w:bCs w:val="0"/>
                <w:sz w:val="18"/>
              </w:rPr>
            </w:pPr>
            <w:r w:rsidRPr="00B75B77">
              <w:rPr>
                <w:bCs w:val="0"/>
                <w:sz w:val="18"/>
              </w:rPr>
              <w:t>Recommendations</w:t>
            </w:r>
          </w:p>
        </w:tc>
        <w:tc>
          <w:tcPr>
            <w:tcW w:w="4680" w:type="dxa"/>
            <w:shd w:val="clear" w:color="auto" w:fill="448A99"/>
            <w:vAlign w:val="bottom"/>
            <w:hideMark/>
          </w:tcPr>
          <w:p w:rsidR="00C3558F" w:rsidRDefault="00C3558F" w:rsidP="00821A84">
            <w:pPr>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EDC Status of Recommendation</w:t>
            </w:r>
          </w:p>
          <w:p w:rsidR="00C3558F" w:rsidRPr="00B75B77" w:rsidRDefault="00C3558F" w:rsidP="00821A84">
            <w:pPr>
              <w:jc w:val="center"/>
              <w:cnfStyle w:val="100000000000" w:firstRow="1" w:lastRow="0" w:firstColumn="0" w:lastColumn="0" w:oddVBand="0" w:evenVBand="0" w:oddHBand="0" w:evenHBand="0" w:firstRowFirstColumn="0" w:firstRowLastColumn="0" w:lastRowFirstColumn="0" w:lastRowLastColumn="0"/>
              <w:rPr>
                <w:bCs w:val="0"/>
                <w:sz w:val="18"/>
              </w:rPr>
            </w:pPr>
            <w:r w:rsidRPr="00C3558F">
              <w:rPr>
                <w:b w:val="0"/>
                <w:bCs w:val="0"/>
                <w:sz w:val="18"/>
              </w:rPr>
              <w:t>(Implemented, Being Considered, Rejected AND Explanation of Action Taken by EDC)</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color w:val="000000"/>
                <w:sz w:val="18"/>
              </w:rPr>
            </w:pPr>
            <w:r w:rsidRPr="00B75B77">
              <w:rPr>
                <w:color w:val="000000"/>
                <w:sz w:val="18"/>
              </w:rPr>
              <w:t xml:space="preserve">Recommendation 1: </w:t>
            </w:r>
            <w:r w:rsidRPr="00B75B77">
              <w:rPr>
                <w:b w:val="0"/>
                <w:color w:val="000000"/>
                <w:sz w:val="18"/>
              </w:rPr>
              <w:t>Monitor expansion of DI offerings in Phase III, focusing on LED penetration in each project to reduce free ridership.</w:t>
            </w:r>
          </w:p>
        </w:tc>
        <w:tc>
          <w:tcPr>
            <w:tcW w:w="4680" w:type="dxa"/>
            <w:noWrap/>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szCs w:val="18"/>
              </w:rPr>
              <w:t>Implemented:</w:t>
            </w:r>
            <w:r w:rsidRPr="00B75B77">
              <w:rPr>
                <w:color w:val="000000"/>
                <w:sz w:val="18"/>
                <w:szCs w:val="18"/>
              </w:rPr>
              <w:t xml:space="preserve"> Going into Phase III, coordinated with CSP to track LED measures in the PECO database.</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shd w:val="clear" w:color="auto" w:fill="auto"/>
            <w:noWrap/>
            <w:vAlign w:val="center"/>
            <w:hideMark/>
          </w:tcPr>
          <w:p w:rsidR="00E646C9" w:rsidRPr="00B75B77" w:rsidRDefault="00E646C9" w:rsidP="00C94D5A">
            <w:pPr>
              <w:jc w:val="left"/>
              <w:rPr>
                <w:color w:val="000000"/>
                <w:sz w:val="18"/>
              </w:rPr>
            </w:pPr>
            <w:r w:rsidRPr="00B75B77">
              <w:rPr>
                <w:color w:val="000000"/>
                <w:sz w:val="18"/>
              </w:rPr>
              <w:t xml:space="preserve">Recommendation 2: </w:t>
            </w:r>
            <w:r w:rsidRPr="00B75B77">
              <w:rPr>
                <w:b w:val="0"/>
                <w:color w:val="000000"/>
                <w:sz w:val="18"/>
              </w:rPr>
              <w:t>Advertise the long-term energy cost savings associated with the new Phase III prescriptive offerings.</w:t>
            </w:r>
          </w:p>
        </w:tc>
        <w:tc>
          <w:tcPr>
            <w:tcW w:w="4680" w:type="dxa"/>
            <w:shd w:val="clear" w:color="auto" w:fill="auto"/>
            <w:noWrap/>
            <w:vAlign w:val="center"/>
            <w:hideMark/>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szCs w:val="18"/>
              </w:rPr>
              <w:t>Implemented:</w:t>
            </w:r>
            <w:r w:rsidRPr="00B75B77">
              <w:rPr>
                <w:color w:val="000000"/>
                <w:sz w:val="18"/>
                <w:szCs w:val="18"/>
              </w:rPr>
              <w:t xml:space="preserve"> </w:t>
            </w:r>
            <w:r w:rsidRPr="00B75B77">
              <w:rPr>
                <w:color w:val="000000"/>
                <w:sz w:val="18"/>
              </w:rPr>
              <w:t>Phase III prescriptive offerings will include marketing efforts which will focus on enhancing the trade ally network and promotion materials.</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tcPr>
          <w:p w:rsidR="00E646C9" w:rsidRPr="00B75B77" w:rsidRDefault="00E646C9" w:rsidP="00C94D5A">
            <w:pPr>
              <w:jc w:val="left"/>
              <w:rPr>
                <w:color w:val="000000"/>
                <w:sz w:val="18"/>
              </w:rPr>
            </w:pPr>
            <w:r w:rsidRPr="00B75B77">
              <w:rPr>
                <w:color w:val="000000"/>
                <w:sz w:val="18"/>
              </w:rPr>
              <w:t xml:space="preserve">Recommendation 3: </w:t>
            </w:r>
            <w:r w:rsidRPr="00B75B77">
              <w:rPr>
                <w:b w:val="0"/>
                <w:color w:val="000000"/>
                <w:sz w:val="18"/>
              </w:rPr>
              <w:t>Develop and implement a program representative checklist to encourage prescriptive and cross-program participation.</w:t>
            </w:r>
          </w:p>
        </w:tc>
        <w:tc>
          <w:tcPr>
            <w:tcW w:w="4680" w:type="dxa"/>
            <w:noWrap/>
            <w:vAlign w:val="center"/>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szCs w:val="18"/>
              </w:rPr>
              <w:t>Implemented/ Being Considered:</w:t>
            </w:r>
            <w:r w:rsidRPr="00B75B77">
              <w:rPr>
                <w:color w:val="000000"/>
                <w:sz w:val="18"/>
                <w:szCs w:val="18"/>
              </w:rPr>
              <w:t xml:space="preserve"> For Phase II, we had a quick reference guide for all of the prescriptive offerings for Multifamily Solutions. This quick reference guide is currently being updated for Phase III. A brochure is currently being developed to cross promote residential Smart Ideas programs.</w:t>
            </w:r>
          </w:p>
        </w:tc>
      </w:tr>
    </w:tbl>
    <w:p w:rsidR="00E646C9" w:rsidRPr="00C3558F" w:rsidRDefault="00E646C9" w:rsidP="00C3558F"/>
    <w:p w:rsidR="00E646C9" w:rsidRDefault="00E646C9" w:rsidP="00C3558F">
      <w:pPr>
        <w:pStyle w:val="AppendixGHeading2"/>
      </w:pPr>
      <w:r w:rsidRPr="008606B4">
        <w:t xml:space="preserve">Smart </w:t>
      </w:r>
      <w:r>
        <w:t>On-Site</w:t>
      </w:r>
    </w:p>
    <w:tbl>
      <w:tblPr>
        <w:tblStyle w:val="MediumShading1-Accent5"/>
        <w:tblW w:w="936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680"/>
        <w:gridCol w:w="468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680" w:type="dxa"/>
            <w:shd w:val="clear" w:color="auto" w:fill="448A99"/>
            <w:hideMark/>
          </w:tcPr>
          <w:p w:rsidR="00E646C9" w:rsidRPr="00B75B77" w:rsidRDefault="00E646C9" w:rsidP="00821A84">
            <w:pPr>
              <w:jc w:val="left"/>
              <w:rPr>
                <w:bCs w:val="0"/>
                <w:sz w:val="18"/>
              </w:rPr>
            </w:pPr>
            <w:r w:rsidRPr="00B75B77">
              <w:rPr>
                <w:bCs w:val="0"/>
                <w:sz w:val="18"/>
              </w:rPr>
              <w:t>Recommendations</w:t>
            </w:r>
          </w:p>
        </w:tc>
        <w:tc>
          <w:tcPr>
            <w:tcW w:w="4680" w:type="dxa"/>
            <w:shd w:val="clear" w:color="auto" w:fill="448A99"/>
            <w:vAlign w:val="bottom"/>
            <w:hideMark/>
          </w:tcPr>
          <w:p w:rsidR="00C3558F" w:rsidRDefault="00E646C9" w:rsidP="00C3558F">
            <w:pPr>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 xml:space="preserve">EDC Status of Recommendation </w:t>
            </w:r>
          </w:p>
          <w:p w:rsidR="00E646C9" w:rsidRPr="00C3558F" w:rsidRDefault="00E646C9" w:rsidP="00C3558F">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C3558F">
              <w:rPr>
                <w:b w:val="0"/>
                <w:bCs w:val="0"/>
                <w:sz w:val="18"/>
              </w:rPr>
              <w:t>(Implemented, Being Considered, Rejected AND Explanation of Action Taken by EDC)</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hideMark/>
          </w:tcPr>
          <w:p w:rsidR="00E646C9" w:rsidRPr="00B75B77" w:rsidRDefault="00E646C9" w:rsidP="00C94D5A">
            <w:pPr>
              <w:jc w:val="left"/>
              <w:rPr>
                <w:color w:val="000000"/>
                <w:sz w:val="18"/>
              </w:rPr>
            </w:pPr>
            <w:r w:rsidRPr="00B75B77">
              <w:rPr>
                <w:color w:val="000000"/>
                <w:sz w:val="18"/>
              </w:rPr>
              <w:t xml:space="preserve">Recommendation 1: </w:t>
            </w:r>
          </w:p>
          <w:p w:rsidR="00E646C9" w:rsidRPr="00B75B77" w:rsidRDefault="00E646C9" w:rsidP="00E646C9">
            <w:pPr>
              <w:pStyle w:val="ListParagraph"/>
              <w:numPr>
                <w:ilvl w:val="4"/>
                <w:numId w:val="155"/>
              </w:numPr>
              <w:ind w:left="512" w:hanging="270"/>
              <w:jc w:val="left"/>
              <w:rPr>
                <w:color w:val="000000"/>
                <w:sz w:val="18"/>
              </w:rPr>
            </w:pPr>
            <w:r w:rsidRPr="00B75B77">
              <w:rPr>
                <w:b w:val="0"/>
                <w:color w:val="000000"/>
                <w:sz w:val="18"/>
              </w:rPr>
              <w:t>PECO should leverage completed SOS projects to promote the technology. CHP system owners expressed pride for their projects and may welcome the opportunity to publicize their success. If PECO wishes to foster the market for CHP in its service territory, it could invite CHP owners to speak about their experiences with the technology and PECO’s program at relevant industry events. Some CHP owners might be willing to host such events at their facility and provide tours of the system.</w:t>
            </w:r>
          </w:p>
          <w:p w:rsidR="00E646C9" w:rsidRPr="00B75B77" w:rsidRDefault="00E646C9" w:rsidP="00E646C9">
            <w:pPr>
              <w:pStyle w:val="ListParagraph"/>
              <w:numPr>
                <w:ilvl w:val="4"/>
                <w:numId w:val="155"/>
              </w:numPr>
              <w:ind w:left="512" w:hanging="270"/>
              <w:jc w:val="left"/>
              <w:rPr>
                <w:color w:val="000000"/>
                <w:sz w:val="18"/>
              </w:rPr>
            </w:pPr>
            <w:r w:rsidRPr="00B75B77">
              <w:rPr>
                <w:b w:val="0"/>
                <w:color w:val="000000"/>
                <w:sz w:val="18"/>
              </w:rPr>
              <w:t xml:space="preserve">Provide design support to customers. </w:t>
            </w:r>
          </w:p>
        </w:tc>
        <w:tc>
          <w:tcPr>
            <w:tcW w:w="4680" w:type="dxa"/>
            <w:noWrap/>
            <w:hideMark/>
          </w:tcPr>
          <w:p w:rsidR="00E646C9" w:rsidRPr="00B75B77" w:rsidRDefault="00E646C9" w:rsidP="00E646C9">
            <w:pPr>
              <w:pStyle w:val="ListParagraph"/>
              <w:numPr>
                <w:ilvl w:val="0"/>
                <w:numId w:val="156"/>
              </w:num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Being Considered: </w:t>
            </w:r>
            <w:r w:rsidRPr="00B75B77">
              <w:rPr>
                <w:color w:val="000000"/>
                <w:sz w:val="18"/>
              </w:rPr>
              <w:t>PECO is using marketing awareness campaigns as well as direct marketing outreach segmentation tactics to drive participation in this program.</w:t>
            </w:r>
          </w:p>
          <w:p w:rsidR="00E646C9" w:rsidRPr="00B75B77" w:rsidRDefault="00E646C9" w:rsidP="00E646C9">
            <w:pPr>
              <w:pStyle w:val="ListParagraph"/>
              <w:numPr>
                <w:ilvl w:val="0"/>
                <w:numId w:val="156"/>
              </w:num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Implemented: </w:t>
            </w:r>
            <w:r w:rsidRPr="00B75B77">
              <w:rPr>
                <w:color w:val="000000"/>
                <w:sz w:val="18"/>
              </w:rPr>
              <w:t>PECO did incorporate the design support incentive as part of the Phase III program offering.</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hideMark/>
          </w:tcPr>
          <w:p w:rsidR="00E646C9" w:rsidRPr="00B75B77" w:rsidRDefault="00E646C9" w:rsidP="00C94D5A">
            <w:pPr>
              <w:jc w:val="left"/>
              <w:rPr>
                <w:color w:val="000000"/>
                <w:sz w:val="18"/>
              </w:rPr>
            </w:pPr>
            <w:r w:rsidRPr="00B75B77">
              <w:rPr>
                <w:color w:val="000000"/>
                <w:sz w:val="18"/>
              </w:rPr>
              <w:t>Recommendation 2:</w:t>
            </w:r>
            <w:r w:rsidRPr="00B75B77">
              <w:t xml:space="preserve"> </w:t>
            </w:r>
            <w:r w:rsidRPr="00B75B77">
              <w:rPr>
                <w:b w:val="0"/>
                <w:color w:val="000000"/>
                <w:sz w:val="18"/>
              </w:rPr>
              <w:t xml:space="preserve">Set final Phase III project enrollment deadlines of January 1, 2019 for projects over 1 MW and January 1, 2020 for projects less than 1 MW to mitigate completion risks that lead to portfolio-level uncertainty. </w:t>
            </w:r>
          </w:p>
        </w:tc>
        <w:tc>
          <w:tcPr>
            <w:tcW w:w="4680" w:type="dxa"/>
            <w:noWrap/>
            <w:vAlign w:val="center"/>
            <w:hideMark/>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 xml:space="preserve">Being Considered: </w:t>
            </w:r>
            <w:r w:rsidRPr="00B75B77">
              <w:rPr>
                <w:color w:val="000000"/>
                <w:sz w:val="18"/>
              </w:rPr>
              <w:t>PECO is actively reshaping the enrollment strategies for Phase III by placing specific eligibility criteria and guidelines for project participation and enrollment to mitigate compliance risk. Project eligibility information will be communicated upfront as part of the application process.</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color w:val="000000"/>
                <w:sz w:val="18"/>
              </w:rPr>
            </w:pPr>
            <w:r w:rsidRPr="00B75B77">
              <w:rPr>
                <w:color w:val="000000"/>
                <w:sz w:val="18"/>
              </w:rPr>
              <w:t xml:space="preserve">Recommendation 3: </w:t>
            </w:r>
            <w:r w:rsidRPr="00B75B77">
              <w:rPr>
                <w:b w:val="0"/>
                <w:color w:val="000000"/>
                <w:sz w:val="18"/>
              </w:rPr>
              <w:t>PECO should host an open house for participants and developers to meet PECO and CSP staff to discuss any substantive changes to the program in Phase III.</w:t>
            </w:r>
          </w:p>
        </w:tc>
        <w:tc>
          <w:tcPr>
            <w:tcW w:w="4680" w:type="dxa"/>
            <w:noWrap/>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 xml:space="preserve">Being Considered </w:t>
            </w:r>
          </w:p>
        </w:tc>
      </w:tr>
      <w:tr w:rsidR="00E646C9" w:rsidRPr="00B75B77" w:rsidTr="00C355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color w:val="000000"/>
                <w:sz w:val="18"/>
              </w:rPr>
            </w:pPr>
            <w:r w:rsidRPr="00B75B77">
              <w:rPr>
                <w:sz w:val="18"/>
              </w:rPr>
              <w:t xml:space="preserve">Recommendation 4: </w:t>
            </w:r>
            <w:r w:rsidRPr="00B75B77">
              <w:rPr>
                <w:b w:val="0"/>
                <w:sz w:val="18"/>
              </w:rPr>
              <w:t>Create a liaison with the DEP.</w:t>
            </w:r>
          </w:p>
        </w:tc>
        <w:tc>
          <w:tcPr>
            <w:tcW w:w="4680" w:type="dxa"/>
            <w:noWrap/>
            <w:vAlign w:val="center"/>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Rejected</w:t>
            </w:r>
          </w:p>
        </w:tc>
      </w:tr>
      <w:tr w:rsidR="00E646C9" w:rsidRPr="00B75B77" w:rsidTr="00C94D5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80" w:type="dxa"/>
            <w:noWrap/>
            <w:vAlign w:val="center"/>
          </w:tcPr>
          <w:p w:rsidR="00E646C9" w:rsidRPr="00B75B77" w:rsidRDefault="00E646C9" w:rsidP="00C94D5A">
            <w:pPr>
              <w:jc w:val="left"/>
              <w:rPr>
                <w:color w:val="000000"/>
                <w:sz w:val="18"/>
              </w:rPr>
            </w:pPr>
            <w:r w:rsidRPr="00B75B77">
              <w:rPr>
                <w:color w:val="000000"/>
                <w:sz w:val="18"/>
              </w:rPr>
              <w:t>Recommendation 5:</w:t>
            </w:r>
            <w:r w:rsidRPr="00B75B77">
              <w:t xml:space="preserve"> </w:t>
            </w:r>
            <w:r w:rsidRPr="00B75B77">
              <w:rPr>
                <w:b w:val="0"/>
                <w:color w:val="000000"/>
                <w:sz w:val="18"/>
              </w:rPr>
              <w:t>Develop a program manual for developers and participants. The program manual should provide a standardized feasibility template, a process chart describing key milestones, and more details regarding enrollment, interconnection, and incentive payout.</w:t>
            </w:r>
          </w:p>
        </w:tc>
        <w:tc>
          <w:tcPr>
            <w:tcW w:w="4680" w:type="dxa"/>
            <w:noWrap/>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Implemented</w:t>
            </w:r>
          </w:p>
        </w:tc>
      </w:tr>
    </w:tbl>
    <w:p w:rsidR="00E646C9" w:rsidRDefault="00E646C9" w:rsidP="00C3558F"/>
    <w:p w:rsidR="00C3558F" w:rsidRDefault="00C3558F" w:rsidP="00C3558F"/>
    <w:p w:rsidR="00C3558F" w:rsidRDefault="00C3558F" w:rsidP="00C3558F"/>
    <w:p w:rsidR="00C3558F" w:rsidRDefault="00C3558F" w:rsidP="00C3558F"/>
    <w:p w:rsidR="00C3558F" w:rsidRDefault="00C3558F" w:rsidP="00C3558F"/>
    <w:p w:rsidR="00C3558F" w:rsidRPr="00C3558F" w:rsidRDefault="00C3558F" w:rsidP="00C3558F"/>
    <w:p w:rsidR="00E646C9" w:rsidRDefault="00E646C9" w:rsidP="00C3558F">
      <w:pPr>
        <w:pStyle w:val="AppendixGHeading2"/>
      </w:pPr>
      <w:r>
        <w:t>Smart Business Solutions</w:t>
      </w:r>
    </w:p>
    <w:tbl>
      <w:tblPr>
        <w:tblStyle w:val="MediumShading1-Accent5"/>
        <w:tblW w:w="9340"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Look w:val="04A0" w:firstRow="1" w:lastRow="0" w:firstColumn="1" w:lastColumn="0" w:noHBand="0" w:noVBand="1"/>
      </w:tblPr>
      <w:tblGrid>
        <w:gridCol w:w="4940"/>
        <w:gridCol w:w="4400"/>
      </w:tblGrid>
      <w:tr w:rsidR="00E646C9" w:rsidRPr="00B75B77" w:rsidTr="00821A84">
        <w:trPr>
          <w:cnfStyle w:val="100000000000" w:firstRow="1" w:lastRow="0" w:firstColumn="0" w:lastColumn="0" w:oddVBand="0" w:evenVBand="0" w:oddHBand="0" w:evenHBand="0" w:firstRowFirstColumn="0" w:firstRowLastColumn="0" w:lastRowFirstColumn="0" w:lastRowLastColumn="0"/>
          <w:trHeight w:val="214"/>
          <w:tblHeader/>
        </w:trPr>
        <w:tc>
          <w:tcPr>
            <w:cnfStyle w:val="001000000000" w:firstRow="0" w:lastRow="0" w:firstColumn="1" w:lastColumn="0" w:oddVBand="0" w:evenVBand="0" w:oddHBand="0" w:evenHBand="0" w:firstRowFirstColumn="0" w:firstRowLastColumn="0" w:lastRowFirstColumn="0" w:lastRowLastColumn="0"/>
            <w:tcW w:w="4940" w:type="dxa"/>
            <w:shd w:val="clear" w:color="auto" w:fill="448A99"/>
            <w:hideMark/>
          </w:tcPr>
          <w:p w:rsidR="00E646C9" w:rsidRPr="00B75B77" w:rsidRDefault="00E646C9" w:rsidP="00821A84">
            <w:pPr>
              <w:jc w:val="left"/>
              <w:rPr>
                <w:bCs w:val="0"/>
                <w:sz w:val="18"/>
              </w:rPr>
            </w:pPr>
            <w:r w:rsidRPr="00B75B77">
              <w:rPr>
                <w:bCs w:val="0"/>
                <w:sz w:val="18"/>
              </w:rPr>
              <w:t>Recommendations</w:t>
            </w:r>
          </w:p>
        </w:tc>
        <w:tc>
          <w:tcPr>
            <w:tcW w:w="4400" w:type="dxa"/>
            <w:shd w:val="clear" w:color="auto" w:fill="448A99"/>
            <w:vAlign w:val="bottom"/>
            <w:hideMark/>
          </w:tcPr>
          <w:p w:rsidR="00C3558F" w:rsidRDefault="00E646C9" w:rsidP="00C3558F">
            <w:pPr>
              <w:jc w:val="center"/>
              <w:cnfStyle w:val="100000000000" w:firstRow="1" w:lastRow="0" w:firstColumn="0" w:lastColumn="0" w:oddVBand="0" w:evenVBand="0" w:oddHBand="0" w:evenHBand="0" w:firstRowFirstColumn="0" w:firstRowLastColumn="0" w:lastRowFirstColumn="0" w:lastRowLastColumn="0"/>
              <w:rPr>
                <w:bCs w:val="0"/>
                <w:sz w:val="18"/>
              </w:rPr>
            </w:pPr>
            <w:r w:rsidRPr="00B75B77">
              <w:rPr>
                <w:bCs w:val="0"/>
                <w:sz w:val="18"/>
              </w:rPr>
              <w:t>EDC Status of Recommendation</w:t>
            </w:r>
          </w:p>
          <w:p w:rsidR="00E646C9" w:rsidRPr="00C3558F" w:rsidRDefault="00E646C9" w:rsidP="00C3558F">
            <w:pPr>
              <w:jc w:val="center"/>
              <w:cnfStyle w:val="100000000000" w:firstRow="1" w:lastRow="0" w:firstColumn="0" w:lastColumn="0" w:oddVBand="0" w:evenVBand="0" w:oddHBand="0" w:evenHBand="0" w:firstRowFirstColumn="0" w:firstRowLastColumn="0" w:lastRowFirstColumn="0" w:lastRowLastColumn="0"/>
              <w:rPr>
                <w:b w:val="0"/>
                <w:bCs w:val="0"/>
                <w:sz w:val="18"/>
              </w:rPr>
            </w:pPr>
            <w:r w:rsidRPr="00C3558F">
              <w:rPr>
                <w:b w:val="0"/>
                <w:bCs w:val="0"/>
                <w:sz w:val="18"/>
              </w:rPr>
              <w:t>(Implemented, Being Considered, Rejected AND Explanation of Action Taken by EDC)</w:t>
            </w:r>
          </w:p>
        </w:tc>
      </w:tr>
      <w:tr w:rsidR="00E646C9" w:rsidRPr="00B75B77" w:rsidTr="00C3558F">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4940" w:type="dxa"/>
            <w:noWrap/>
            <w:vAlign w:val="center"/>
            <w:hideMark/>
          </w:tcPr>
          <w:p w:rsidR="00E646C9" w:rsidRPr="00B75B77" w:rsidRDefault="00E646C9" w:rsidP="00C94D5A">
            <w:pPr>
              <w:jc w:val="left"/>
              <w:rPr>
                <w:color w:val="000000"/>
                <w:sz w:val="18"/>
              </w:rPr>
            </w:pPr>
            <w:r w:rsidRPr="00B75B77">
              <w:rPr>
                <w:color w:val="000000"/>
                <w:sz w:val="18"/>
              </w:rPr>
              <w:t xml:space="preserve">Recommendation 1: </w:t>
            </w:r>
            <w:r w:rsidRPr="00B75B77">
              <w:rPr>
                <w:b w:val="0"/>
                <w:sz w:val="18"/>
              </w:rPr>
              <w:t>The CSP sales auditor should further refine the process for gathering and documenting accurate lighting schedules for use in the savings estimates presented to customers and in the calculation of ex ante savings. The CSP should also review the TRM HOU values for new measures—such as night covers—and other measures added to the program in Phase III.</w:t>
            </w:r>
          </w:p>
        </w:tc>
        <w:tc>
          <w:tcPr>
            <w:tcW w:w="4400" w:type="dxa"/>
            <w:noWrap/>
            <w:hideMark/>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Being Considered:</w:t>
            </w:r>
            <w:r w:rsidRPr="00B75B77">
              <w:rPr>
                <w:color w:val="000000"/>
                <w:sz w:val="18"/>
              </w:rPr>
              <w:t xml:space="preserve"> A separate tab will be added to the Schedule C for the sales auditor to document discrepancies between the posted HOU and the true HOU.</w:t>
            </w:r>
          </w:p>
        </w:tc>
      </w:tr>
      <w:tr w:rsidR="00E646C9" w:rsidRPr="00B75B77" w:rsidTr="00C94D5A">
        <w:trPr>
          <w:cnfStyle w:val="000000010000" w:firstRow="0" w:lastRow="0" w:firstColumn="0" w:lastColumn="0" w:oddVBand="0" w:evenVBand="0" w:oddHBand="0" w:evenHBand="1"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4940" w:type="dxa"/>
            <w:noWrap/>
            <w:vAlign w:val="center"/>
            <w:hideMark/>
          </w:tcPr>
          <w:p w:rsidR="00E646C9" w:rsidRPr="00B75B77" w:rsidRDefault="00E646C9" w:rsidP="00C94D5A">
            <w:pPr>
              <w:jc w:val="left"/>
              <w:rPr>
                <w:color w:val="000000"/>
                <w:sz w:val="18"/>
              </w:rPr>
            </w:pPr>
            <w:r w:rsidRPr="00B75B77">
              <w:rPr>
                <w:color w:val="000000"/>
                <w:sz w:val="18"/>
              </w:rPr>
              <w:t>Recommendation 2</w:t>
            </w:r>
            <w:r w:rsidRPr="00B75B77">
              <w:rPr>
                <w:sz w:val="18"/>
              </w:rPr>
              <w:t>:</w:t>
            </w:r>
            <w:r w:rsidRPr="00B75B77">
              <w:rPr>
                <w:b w:val="0"/>
                <w:sz w:val="18"/>
              </w:rPr>
              <w:t xml:space="preserve"> Going forward into Phase III, PECO should use the program—renamed Whole-Building—as a lever for fine-tuning portfolio-level goals and targets, depending on budget.</w:t>
            </w:r>
          </w:p>
        </w:tc>
        <w:tc>
          <w:tcPr>
            <w:tcW w:w="4400" w:type="dxa"/>
            <w:noWrap/>
            <w:vAlign w:val="center"/>
            <w:hideMark/>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In the new plan for Phase III, the program is renamed to reflect the treatments and offerings it presents.</w:t>
            </w:r>
          </w:p>
        </w:tc>
      </w:tr>
      <w:tr w:rsidR="00E646C9" w:rsidRPr="00B75B77" w:rsidTr="00C94D5A">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940" w:type="dxa"/>
            <w:noWrap/>
            <w:vAlign w:val="center"/>
            <w:hideMark/>
          </w:tcPr>
          <w:p w:rsidR="00E646C9" w:rsidRPr="00B75B77" w:rsidRDefault="00E646C9" w:rsidP="00C94D5A">
            <w:pPr>
              <w:jc w:val="left"/>
              <w:rPr>
                <w:color w:val="000000"/>
                <w:sz w:val="18"/>
              </w:rPr>
            </w:pPr>
            <w:r w:rsidRPr="00B75B77">
              <w:rPr>
                <w:color w:val="000000"/>
                <w:sz w:val="18"/>
              </w:rPr>
              <w:t xml:space="preserve">Recommendation 3: </w:t>
            </w:r>
            <w:r w:rsidRPr="00B75B77">
              <w:rPr>
                <w:b w:val="0"/>
                <w:color w:val="000000"/>
                <w:sz w:val="18"/>
              </w:rPr>
              <w:t xml:space="preserve">PECO should have the CSP more proactively propose the installation of TLED lamps and fixtures as the primary replacement for T12s. </w:t>
            </w:r>
          </w:p>
        </w:tc>
        <w:tc>
          <w:tcPr>
            <w:tcW w:w="4400" w:type="dxa"/>
            <w:noWrap/>
            <w:vAlign w:val="center"/>
          </w:tcPr>
          <w:p w:rsidR="00E646C9" w:rsidRPr="00B75B77" w:rsidRDefault="00E646C9" w:rsidP="00C94D5A">
            <w:pPr>
              <w:jc w:val="left"/>
              <w:cnfStyle w:val="000000100000" w:firstRow="0" w:lastRow="0" w:firstColumn="0" w:lastColumn="0" w:oddVBand="0" w:evenVBand="0" w:oddHBand="1" w:evenHBand="0" w:firstRowFirstColumn="0" w:firstRowLastColumn="0" w:lastRowFirstColumn="0" w:lastRowLastColumn="0"/>
              <w:rPr>
                <w:color w:val="000000"/>
                <w:sz w:val="18"/>
              </w:rPr>
            </w:pPr>
            <w:r w:rsidRPr="00B75B77">
              <w:rPr>
                <w:b/>
                <w:color w:val="000000"/>
                <w:sz w:val="18"/>
              </w:rPr>
              <w:t>Implemented:</w:t>
            </w:r>
            <w:r w:rsidRPr="00B75B77">
              <w:rPr>
                <w:color w:val="000000"/>
                <w:sz w:val="18"/>
              </w:rPr>
              <w:t xml:space="preserve"> T12s have been proactively replaced with other more efficient measures.</w:t>
            </w:r>
          </w:p>
        </w:tc>
      </w:tr>
      <w:tr w:rsidR="00E646C9" w:rsidRPr="00B75B77" w:rsidTr="00C94D5A">
        <w:trPr>
          <w:cnfStyle w:val="000000010000" w:firstRow="0" w:lastRow="0" w:firstColumn="0" w:lastColumn="0" w:oddVBand="0" w:evenVBand="0" w:oddHBand="0" w:evenHBand="1"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4940" w:type="dxa"/>
            <w:noWrap/>
            <w:vAlign w:val="center"/>
          </w:tcPr>
          <w:p w:rsidR="00E646C9" w:rsidRPr="00B75B77" w:rsidRDefault="00E646C9" w:rsidP="00C94D5A">
            <w:pPr>
              <w:jc w:val="left"/>
              <w:rPr>
                <w:color w:val="000000"/>
                <w:sz w:val="18"/>
              </w:rPr>
            </w:pPr>
            <w:r w:rsidRPr="00B75B77">
              <w:rPr>
                <w:color w:val="000000"/>
                <w:sz w:val="18"/>
              </w:rPr>
              <w:t xml:space="preserve">Recommendation 4: </w:t>
            </w:r>
            <w:r w:rsidRPr="00B75B77">
              <w:rPr>
                <w:b w:val="0"/>
                <w:color w:val="000000"/>
                <w:sz w:val="18"/>
              </w:rPr>
              <w:t>PECO should take full advantage of the face time with customers during a Whole-Building audit in Phase III by connecting them with other aspects of the small C&amp;I program such as behavioral and equipment systems solutions. The CSP should collect primary data while onsite to provide accurate energy savings estimates for these other prescriptive technologies and begin the rebate paperwork for the customer.</w:t>
            </w:r>
          </w:p>
        </w:tc>
        <w:tc>
          <w:tcPr>
            <w:tcW w:w="4400" w:type="dxa"/>
            <w:noWrap/>
          </w:tcPr>
          <w:p w:rsidR="00E646C9" w:rsidRPr="00B75B77" w:rsidRDefault="00E646C9" w:rsidP="00C94D5A">
            <w:pPr>
              <w:jc w:val="left"/>
              <w:cnfStyle w:val="000000010000" w:firstRow="0" w:lastRow="0" w:firstColumn="0" w:lastColumn="0" w:oddVBand="0" w:evenVBand="0" w:oddHBand="0" w:evenHBand="1" w:firstRowFirstColumn="0" w:firstRowLastColumn="0" w:lastRowFirstColumn="0" w:lastRowLastColumn="0"/>
              <w:rPr>
                <w:color w:val="000000"/>
                <w:sz w:val="18"/>
              </w:rPr>
            </w:pPr>
            <w:r w:rsidRPr="00B75B77">
              <w:rPr>
                <w:b/>
                <w:color w:val="000000"/>
                <w:sz w:val="18"/>
              </w:rPr>
              <w:t>Implemented</w:t>
            </w:r>
            <w:r w:rsidRPr="00B75B77">
              <w:rPr>
                <w:color w:val="000000"/>
                <w:sz w:val="18"/>
              </w:rPr>
              <w:t>: Currently in process.</w:t>
            </w:r>
          </w:p>
        </w:tc>
      </w:tr>
    </w:tbl>
    <w:p w:rsidR="00E646C9" w:rsidRPr="008606B4" w:rsidRDefault="00E646C9" w:rsidP="00E646C9"/>
    <w:p w:rsidR="00E646C9" w:rsidRPr="00C61F80" w:rsidRDefault="00E646C9" w:rsidP="00C3558F">
      <w:pPr>
        <w:pStyle w:val="AppendixGHeading1"/>
      </w:pPr>
      <w:r w:rsidRPr="00C61F80">
        <w:t>PPL</w:t>
      </w:r>
    </w:p>
    <w:p w:rsidR="00E646C9" w:rsidRPr="00130312" w:rsidRDefault="00E646C9" w:rsidP="00C3558F">
      <w:pPr>
        <w:pStyle w:val="AppendixGHeading2"/>
      </w:pPr>
      <w:r w:rsidRPr="00130312">
        <w:t>P</w:t>
      </w:r>
      <w:r>
        <w:t>rescriptive Equipment Program</w:t>
      </w:r>
    </w:p>
    <w:tbl>
      <w:tblPr>
        <w:tblW w:w="9362"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1"/>
        <w:gridCol w:w="4681"/>
      </w:tblGrid>
      <w:tr w:rsidR="00E646C9" w:rsidTr="00C3558F">
        <w:trPr>
          <w:trHeight w:hRule="exact" w:val="679"/>
        </w:trPr>
        <w:tc>
          <w:tcPr>
            <w:tcW w:w="9362" w:type="dxa"/>
            <w:gridSpan w:val="2"/>
            <w:shd w:val="clear" w:color="auto" w:fill="448999"/>
            <w:vAlign w:val="bottom"/>
          </w:tcPr>
          <w:p w:rsidR="00E646C9" w:rsidRPr="00C3558F" w:rsidRDefault="00E646C9" w:rsidP="00821A84">
            <w:pPr>
              <w:pStyle w:val="TableParagraph"/>
              <w:tabs>
                <w:tab w:val="left" w:pos="5251"/>
              </w:tabs>
              <w:ind w:left="5798" w:right="570" w:hanging="5632"/>
              <w:rPr>
                <w:rFonts w:ascii="Calibri" w:eastAsia="Calibri" w:hAnsi="Calibri" w:cs="Calibri"/>
                <w:sz w:val="18"/>
                <w:szCs w:val="18"/>
              </w:rPr>
            </w:pPr>
            <w:r w:rsidRPr="00C3558F">
              <w:rPr>
                <w:rFonts w:ascii="Calibri"/>
                <w:b/>
                <w:color w:val="FFFFFF"/>
                <w:spacing w:val="-1"/>
                <w:w w:val="95"/>
                <w:sz w:val="20"/>
              </w:rPr>
              <w:t>Recommendations</w:t>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55"/>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3558F">
            <w:pPr>
              <w:pStyle w:val="TableParagraph"/>
              <w:spacing w:line="218" w:lineRule="exact"/>
              <w:ind w:left="5654"/>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893"/>
        </w:trPr>
        <w:tc>
          <w:tcPr>
            <w:tcW w:w="4681" w:type="dxa"/>
            <w:shd w:val="clear" w:color="auto" w:fill="D2EAF0"/>
          </w:tcPr>
          <w:p w:rsidR="00E646C9" w:rsidRDefault="00E646C9" w:rsidP="00C94D5A">
            <w:pPr>
              <w:pStyle w:val="TableParagraph"/>
              <w:ind w:left="97" w:right="132"/>
              <w:rPr>
                <w:rFonts w:ascii="Calibri" w:eastAsia="Calibri" w:hAnsi="Calibri" w:cs="Calibri"/>
                <w:sz w:val="18"/>
                <w:szCs w:val="18"/>
              </w:rPr>
            </w:pPr>
            <w:r>
              <w:rPr>
                <w:rFonts w:ascii="Calibri"/>
                <w:spacing w:val="-1"/>
                <w:sz w:val="18"/>
              </w:rPr>
              <w:t>Consider</w:t>
            </w:r>
            <w:r>
              <w:rPr>
                <w:rFonts w:ascii="Calibri"/>
                <w:sz w:val="18"/>
              </w:rPr>
              <w:t xml:space="preserve"> </w:t>
            </w:r>
            <w:r>
              <w:rPr>
                <w:rFonts w:ascii="Calibri"/>
                <w:spacing w:val="-1"/>
                <w:sz w:val="18"/>
              </w:rPr>
              <w:t>providing</w:t>
            </w:r>
            <w:r>
              <w:rPr>
                <w:rFonts w:ascii="Calibri"/>
                <w:spacing w:val="-2"/>
                <w:sz w:val="18"/>
              </w:rPr>
              <w:t xml:space="preserve"> </w:t>
            </w:r>
            <w:r>
              <w:rPr>
                <w:rFonts w:ascii="Calibri"/>
                <w:sz w:val="18"/>
              </w:rPr>
              <w:t>more</w:t>
            </w:r>
            <w:r>
              <w:rPr>
                <w:rFonts w:ascii="Calibri"/>
                <w:spacing w:val="-4"/>
                <w:sz w:val="18"/>
              </w:rPr>
              <w:t xml:space="preserve"> </w:t>
            </w:r>
            <w:r>
              <w:rPr>
                <w:rFonts w:ascii="Calibri"/>
                <w:spacing w:val="-1"/>
                <w:sz w:val="18"/>
              </w:rPr>
              <w:t>support</w:t>
            </w:r>
            <w:r>
              <w:rPr>
                <w:rFonts w:ascii="Calibri"/>
                <w:sz w:val="18"/>
              </w:rPr>
              <w:t xml:space="preserve"> in</w:t>
            </w:r>
            <w:r>
              <w:rPr>
                <w:rFonts w:ascii="Calibri"/>
                <w:spacing w:val="-3"/>
                <w:sz w:val="18"/>
              </w:rPr>
              <w:t xml:space="preserve"> </w:t>
            </w:r>
            <w:r>
              <w:rPr>
                <w:rFonts w:ascii="Calibri"/>
                <w:spacing w:val="-1"/>
                <w:sz w:val="18"/>
              </w:rPr>
              <w:t>filling</w:t>
            </w:r>
            <w:r>
              <w:rPr>
                <w:rFonts w:ascii="Calibri"/>
                <w:spacing w:val="-3"/>
                <w:sz w:val="18"/>
              </w:rPr>
              <w:t xml:space="preserve"> </w:t>
            </w:r>
            <w:r>
              <w:rPr>
                <w:rFonts w:ascii="Calibri"/>
                <w:sz w:val="18"/>
              </w:rPr>
              <w:t>out</w:t>
            </w:r>
            <w:r>
              <w:rPr>
                <w:rFonts w:ascii="Calibri"/>
                <w:spacing w:val="-1"/>
                <w:sz w:val="18"/>
              </w:rPr>
              <w:t xml:space="preserve"> </w:t>
            </w:r>
            <w:r>
              <w:rPr>
                <w:rFonts w:ascii="Calibri"/>
                <w:sz w:val="18"/>
              </w:rPr>
              <w:t>the</w:t>
            </w:r>
            <w:r>
              <w:rPr>
                <w:rFonts w:ascii="Calibri"/>
                <w:spacing w:val="37"/>
                <w:w w:val="99"/>
                <w:sz w:val="18"/>
              </w:rPr>
              <w:t xml:space="preserve"> </w:t>
            </w:r>
            <w:r>
              <w:rPr>
                <w:rFonts w:ascii="Calibri"/>
                <w:spacing w:val="-1"/>
                <w:sz w:val="18"/>
              </w:rPr>
              <w:t>applications</w:t>
            </w:r>
            <w:r>
              <w:rPr>
                <w:rFonts w:ascii="Calibri"/>
                <w:spacing w:val="-3"/>
                <w:sz w:val="18"/>
              </w:rPr>
              <w:t xml:space="preserve"> </w:t>
            </w:r>
            <w:r>
              <w:rPr>
                <w:rFonts w:ascii="Calibri"/>
                <w:sz w:val="18"/>
              </w:rPr>
              <w:t>with</w:t>
            </w:r>
            <w:r>
              <w:rPr>
                <w:rFonts w:ascii="Calibri"/>
                <w:spacing w:val="-2"/>
                <w:sz w:val="18"/>
              </w:rPr>
              <w:t xml:space="preserve"> </w:t>
            </w:r>
            <w:r>
              <w:rPr>
                <w:rFonts w:ascii="Calibri"/>
                <w:spacing w:val="-1"/>
                <w:sz w:val="18"/>
              </w:rPr>
              <w:t>examples</w:t>
            </w:r>
            <w:r>
              <w:rPr>
                <w:rFonts w:ascii="Calibri"/>
                <w:spacing w:val="-3"/>
                <w:sz w:val="18"/>
              </w:rPr>
              <w:t xml:space="preserve"> </w:t>
            </w:r>
            <w:r>
              <w:rPr>
                <w:rFonts w:ascii="Calibri"/>
                <w:sz w:val="18"/>
              </w:rPr>
              <w:t>of</w:t>
            </w:r>
            <w:r>
              <w:rPr>
                <w:rFonts w:ascii="Calibri"/>
                <w:spacing w:val="-2"/>
                <w:sz w:val="18"/>
              </w:rPr>
              <w:t xml:space="preserve"> </w:t>
            </w:r>
            <w:r>
              <w:rPr>
                <w:rFonts w:ascii="Calibri"/>
                <w:spacing w:val="-1"/>
                <w:sz w:val="18"/>
              </w:rPr>
              <w:t>completed</w:t>
            </w:r>
            <w:r>
              <w:rPr>
                <w:rFonts w:ascii="Calibri"/>
                <w:spacing w:val="-3"/>
                <w:sz w:val="18"/>
              </w:rPr>
              <w:t xml:space="preserve"> </w:t>
            </w:r>
            <w:r>
              <w:rPr>
                <w:rFonts w:ascii="Calibri"/>
                <w:spacing w:val="-1"/>
                <w:sz w:val="18"/>
              </w:rPr>
              <w:t>applications</w:t>
            </w:r>
            <w:r>
              <w:rPr>
                <w:rFonts w:ascii="Calibri"/>
                <w:spacing w:val="-2"/>
                <w:sz w:val="18"/>
              </w:rPr>
              <w:t xml:space="preserve"> </w:t>
            </w:r>
            <w:r>
              <w:rPr>
                <w:rFonts w:ascii="Calibri"/>
                <w:sz w:val="18"/>
              </w:rPr>
              <w:t>on</w:t>
            </w:r>
            <w:r>
              <w:rPr>
                <w:rFonts w:ascii="Calibri"/>
                <w:spacing w:val="-2"/>
                <w:sz w:val="18"/>
              </w:rPr>
              <w:t xml:space="preserve"> </w:t>
            </w:r>
            <w:r>
              <w:rPr>
                <w:rFonts w:ascii="Calibri"/>
                <w:sz w:val="18"/>
              </w:rPr>
              <w:t>the</w:t>
            </w:r>
            <w:r>
              <w:rPr>
                <w:rFonts w:ascii="Calibri"/>
                <w:spacing w:val="59"/>
                <w:w w:val="99"/>
                <w:sz w:val="18"/>
              </w:rPr>
              <w:t xml:space="preserve"> </w:t>
            </w:r>
            <w:r>
              <w:rPr>
                <w:rFonts w:ascii="Calibri"/>
                <w:spacing w:val="-1"/>
                <w:sz w:val="18"/>
              </w:rPr>
              <w:t>website</w:t>
            </w:r>
            <w:r>
              <w:rPr>
                <w:rFonts w:ascii="Calibri"/>
                <w:spacing w:val="-3"/>
                <w:sz w:val="18"/>
              </w:rPr>
              <w:t xml:space="preserve"> </w:t>
            </w:r>
            <w:r>
              <w:rPr>
                <w:rFonts w:ascii="Calibri"/>
                <w:sz w:val="18"/>
              </w:rPr>
              <w:t>and</w:t>
            </w:r>
            <w:r>
              <w:rPr>
                <w:rFonts w:ascii="Calibri"/>
                <w:spacing w:val="-3"/>
                <w:sz w:val="18"/>
              </w:rPr>
              <w:t xml:space="preserve"> </w:t>
            </w:r>
            <w:r>
              <w:rPr>
                <w:rFonts w:ascii="Calibri"/>
                <w:sz w:val="18"/>
              </w:rPr>
              <w:t>a</w:t>
            </w:r>
            <w:r>
              <w:rPr>
                <w:rFonts w:ascii="Calibri"/>
                <w:spacing w:val="-1"/>
                <w:sz w:val="18"/>
              </w:rPr>
              <w:t xml:space="preserve"> point</w:t>
            </w:r>
            <w:r>
              <w:rPr>
                <w:rFonts w:ascii="Calibri"/>
                <w:spacing w:val="-2"/>
                <w:sz w:val="18"/>
              </w:rPr>
              <w:t xml:space="preserve"> </w:t>
            </w:r>
            <w:r>
              <w:rPr>
                <w:rFonts w:ascii="Calibri"/>
                <w:sz w:val="18"/>
              </w:rPr>
              <w:t>of</w:t>
            </w:r>
            <w:r>
              <w:rPr>
                <w:rFonts w:ascii="Calibri"/>
                <w:spacing w:val="-2"/>
                <w:sz w:val="18"/>
              </w:rPr>
              <w:t xml:space="preserve"> </w:t>
            </w:r>
            <w:r>
              <w:rPr>
                <w:rFonts w:ascii="Calibri"/>
                <w:spacing w:val="-1"/>
                <w:sz w:val="18"/>
              </w:rPr>
              <w:t>contact</w:t>
            </w:r>
            <w:r>
              <w:rPr>
                <w:rFonts w:ascii="Calibri"/>
                <w:spacing w:val="-2"/>
                <w:sz w:val="18"/>
              </w:rPr>
              <w:t xml:space="preserve"> </w:t>
            </w:r>
            <w:r>
              <w:rPr>
                <w:rFonts w:ascii="Calibri"/>
                <w:spacing w:val="-1"/>
                <w:sz w:val="18"/>
              </w:rPr>
              <w:t>available</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answer</w:t>
            </w:r>
            <w:r>
              <w:rPr>
                <w:rFonts w:ascii="Calibri"/>
                <w:spacing w:val="-2"/>
                <w:sz w:val="18"/>
              </w:rPr>
              <w:t xml:space="preserve"> </w:t>
            </w:r>
            <w:r>
              <w:rPr>
                <w:rFonts w:ascii="Calibri"/>
                <w:spacing w:val="-1"/>
                <w:sz w:val="18"/>
              </w:rPr>
              <w:t>questions</w:t>
            </w:r>
            <w:r>
              <w:rPr>
                <w:rFonts w:ascii="Calibri"/>
                <w:spacing w:val="57"/>
                <w:sz w:val="18"/>
              </w:rPr>
              <w:t xml:space="preserve"> </w:t>
            </w:r>
            <w:r>
              <w:rPr>
                <w:rFonts w:ascii="Calibri"/>
                <w:spacing w:val="-1"/>
                <w:sz w:val="18"/>
              </w:rPr>
              <w:t>about</w:t>
            </w:r>
            <w:r>
              <w:rPr>
                <w:rFonts w:ascii="Calibri"/>
                <w:spacing w:val="-2"/>
                <w:sz w:val="18"/>
              </w:rPr>
              <w:t xml:space="preserve"> </w:t>
            </w:r>
            <w:r>
              <w:rPr>
                <w:rFonts w:ascii="Calibri"/>
                <w:spacing w:val="-1"/>
                <w:sz w:val="18"/>
              </w:rPr>
              <w:t>the</w:t>
            </w:r>
            <w:r>
              <w:rPr>
                <w:rFonts w:ascii="Calibri"/>
                <w:spacing w:val="-3"/>
                <w:sz w:val="18"/>
              </w:rPr>
              <w:t xml:space="preserve"> </w:t>
            </w:r>
            <w:r>
              <w:rPr>
                <w:rFonts w:ascii="Calibri"/>
                <w:spacing w:val="-1"/>
                <w:sz w:val="18"/>
              </w:rPr>
              <w:t>application</w:t>
            </w:r>
            <w:r>
              <w:rPr>
                <w:rFonts w:ascii="Calibri"/>
                <w:spacing w:val="-3"/>
                <w:sz w:val="18"/>
              </w:rPr>
              <w:t xml:space="preserve"> </w:t>
            </w:r>
            <w:r>
              <w:rPr>
                <w:rFonts w:ascii="Calibri"/>
                <w:sz w:val="18"/>
              </w:rPr>
              <w:t>forms</w:t>
            </w:r>
          </w:p>
        </w:tc>
        <w:tc>
          <w:tcPr>
            <w:tcW w:w="4681" w:type="dxa"/>
            <w:shd w:val="clear" w:color="auto" w:fill="D2EAF0"/>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C3558F">
        <w:trPr>
          <w:trHeight w:hRule="exact" w:val="449"/>
        </w:trPr>
        <w:tc>
          <w:tcPr>
            <w:tcW w:w="4681" w:type="dxa"/>
          </w:tcPr>
          <w:p w:rsidR="00E646C9" w:rsidRDefault="00E646C9" w:rsidP="00C94D5A">
            <w:pPr>
              <w:pStyle w:val="TableParagraph"/>
              <w:ind w:left="97" w:right="502"/>
              <w:rPr>
                <w:rFonts w:ascii="Calibri" w:eastAsia="Calibri" w:hAnsi="Calibri" w:cs="Calibri"/>
                <w:sz w:val="18"/>
                <w:szCs w:val="18"/>
              </w:rPr>
            </w:pPr>
            <w:r>
              <w:rPr>
                <w:rFonts w:ascii="Calibri"/>
                <w:spacing w:val="-1"/>
                <w:sz w:val="18"/>
              </w:rPr>
              <w:t>Consider</w:t>
            </w:r>
            <w:r>
              <w:rPr>
                <w:rFonts w:ascii="Calibri"/>
                <w:sz w:val="18"/>
              </w:rPr>
              <w:t xml:space="preserve"> </w:t>
            </w:r>
            <w:r>
              <w:rPr>
                <w:rFonts w:ascii="Calibri"/>
                <w:spacing w:val="-1"/>
                <w:sz w:val="18"/>
              </w:rPr>
              <w:t>incorporating</w:t>
            </w:r>
            <w:r>
              <w:rPr>
                <w:rFonts w:ascii="Calibri"/>
                <w:spacing w:val="-3"/>
                <w:sz w:val="18"/>
              </w:rPr>
              <w:t xml:space="preserve"> </w:t>
            </w:r>
            <w:r>
              <w:rPr>
                <w:rFonts w:ascii="Calibri"/>
                <w:sz w:val="18"/>
              </w:rPr>
              <w:t>a</w:t>
            </w:r>
            <w:r>
              <w:rPr>
                <w:rFonts w:ascii="Calibri"/>
                <w:spacing w:val="-2"/>
                <w:sz w:val="18"/>
              </w:rPr>
              <w:t xml:space="preserve"> </w:t>
            </w:r>
            <w:r>
              <w:rPr>
                <w:rFonts w:ascii="Calibri"/>
                <w:sz w:val="18"/>
              </w:rPr>
              <w:t>way</w:t>
            </w:r>
            <w:r>
              <w:rPr>
                <w:rFonts w:ascii="Calibri"/>
                <w:spacing w:val="-2"/>
                <w:sz w:val="18"/>
              </w:rPr>
              <w:t xml:space="preserve"> </w:t>
            </w:r>
            <w:r>
              <w:rPr>
                <w:rFonts w:ascii="Calibri"/>
                <w:sz w:val="18"/>
              </w:rPr>
              <w:t>for</w:t>
            </w:r>
            <w:r>
              <w:rPr>
                <w:rFonts w:ascii="Calibri"/>
                <w:spacing w:val="-2"/>
                <w:sz w:val="18"/>
              </w:rPr>
              <w:t xml:space="preserve"> </w:t>
            </w:r>
            <w:r>
              <w:rPr>
                <w:rFonts w:ascii="Calibri"/>
                <w:spacing w:val="-1"/>
                <w:sz w:val="18"/>
              </w:rPr>
              <w:t>applicants</w:t>
            </w:r>
            <w:r>
              <w:rPr>
                <w:rFonts w:ascii="Calibri"/>
                <w:spacing w:val="-3"/>
                <w:sz w:val="18"/>
              </w:rPr>
              <w:t xml:space="preserve"> </w:t>
            </w:r>
            <w:r>
              <w:rPr>
                <w:rFonts w:ascii="Calibri"/>
                <w:sz w:val="18"/>
              </w:rPr>
              <w:t>to</w:t>
            </w:r>
            <w:r>
              <w:rPr>
                <w:rFonts w:ascii="Calibri"/>
                <w:spacing w:val="-1"/>
                <w:sz w:val="18"/>
              </w:rPr>
              <w:t xml:space="preserve"> track</w:t>
            </w:r>
            <w:r>
              <w:rPr>
                <w:rFonts w:ascii="Calibri"/>
                <w:spacing w:val="-2"/>
                <w:sz w:val="18"/>
              </w:rPr>
              <w:t xml:space="preserve"> </w:t>
            </w:r>
            <w:r>
              <w:rPr>
                <w:rFonts w:ascii="Calibri"/>
                <w:spacing w:val="-1"/>
                <w:sz w:val="18"/>
              </w:rPr>
              <w:t>the</w:t>
            </w:r>
            <w:r>
              <w:rPr>
                <w:rFonts w:ascii="Calibri"/>
                <w:spacing w:val="43"/>
                <w:w w:val="99"/>
                <w:sz w:val="18"/>
              </w:rPr>
              <w:t xml:space="preserve"> </w:t>
            </w:r>
            <w:r>
              <w:rPr>
                <w:rFonts w:ascii="Calibri"/>
                <w:spacing w:val="-1"/>
                <w:sz w:val="18"/>
              </w:rPr>
              <w:t>status</w:t>
            </w:r>
            <w:r>
              <w:rPr>
                <w:rFonts w:ascii="Calibri"/>
                <w:spacing w:val="-2"/>
                <w:sz w:val="18"/>
              </w:rPr>
              <w:t xml:space="preserve"> </w:t>
            </w:r>
            <w:r>
              <w:rPr>
                <w:rFonts w:ascii="Calibri"/>
                <w:sz w:val="18"/>
              </w:rPr>
              <w:t>of</w:t>
            </w:r>
            <w:r>
              <w:rPr>
                <w:rFonts w:ascii="Calibri"/>
                <w:spacing w:val="-2"/>
                <w:sz w:val="18"/>
              </w:rPr>
              <w:t xml:space="preserve"> </w:t>
            </w:r>
            <w:r>
              <w:rPr>
                <w:rFonts w:ascii="Calibri"/>
                <w:spacing w:val="-1"/>
                <w:sz w:val="18"/>
              </w:rPr>
              <w:t>their application</w:t>
            </w:r>
            <w:r>
              <w:rPr>
                <w:rFonts w:ascii="Calibri"/>
                <w:spacing w:val="-2"/>
                <w:sz w:val="18"/>
              </w:rPr>
              <w:t xml:space="preserve"> </w:t>
            </w:r>
            <w:r>
              <w:rPr>
                <w:rFonts w:ascii="Calibri"/>
                <w:spacing w:val="-1"/>
                <w:sz w:val="18"/>
              </w:rPr>
              <w:t>online.</w:t>
            </w:r>
          </w:p>
        </w:tc>
        <w:tc>
          <w:tcPr>
            <w:tcW w:w="4681"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C3558F">
        <w:trPr>
          <w:trHeight w:hRule="exact" w:val="670"/>
        </w:trPr>
        <w:tc>
          <w:tcPr>
            <w:tcW w:w="4681" w:type="dxa"/>
            <w:shd w:val="clear" w:color="auto" w:fill="D2EAF0"/>
          </w:tcPr>
          <w:p w:rsidR="00E646C9" w:rsidRDefault="00E646C9" w:rsidP="00C94D5A">
            <w:pPr>
              <w:pStyle w:val="TableParagraph"/>
              <w:ind w:left="97" w:right="161"/>
              <w:rPr>
                <w:rFonts w:ascii="Calibri" w:eastAsia="Calibri" w:hAnsi="Calibri" w:cs="Calibri"/>
                <w:sz w:val="18"/>
                <w:szCs w:val="18"/>
              </w:rPr>
            </w:pPr>
            <w:r>
              <w:rPr>
                <w:rFonts w:ascii="Calibri"/>
                <w:spacing w:val="-1"/>
                <w:sz w:val="18"/>
              </w:rPr>
              <w:t>Consider</w:t>
            </w:r>
            <w:r>
              <w:rPr>
                <w:rFonts w:ascii="Calibri"/>
                <w:spacing w:val="-2"/>
                <w:sz w:val="18"/>
              </w:rPr>
              <w:t xml:space="preserve"> </w:t>
            </w:r>
            <w:r>
              <w:rPr>
                <w:rFonts w:ascii="Calibri"/>
                <w:spacing w:val="-1"/>
                <w:sz w:val="18"/>
              </w:rPr>
              <w:t>reaching</w:t>
            </w:r>
            <w:r>
              <w:rPr>
                <w:rFonts w:ascii="Calibri"/>
                <w:spacing w:val="-3"/>
                <w:sz w:val="18"/>
              </w:rPr>
              <w:t xml:space="preserve"> </w:t>
            </w:r>
            <w:r>
              <w:rPr>
                <w:rFonts w:ascii="Calibri"/>
                <w:sz w:val="18"/>
              </w:rPr>
              <w:t>out</w:t>
            </w:r>
            <w:r>
              <w:rPr>
                <w:rFonts w:ascii="Calibri"/>
                <w:spacing w:val="-2"/>
                <w:sz w:val="18"/>
              </w:rPr>
              <w:t xml:space="preserve"> </w:t>
            </w:r>
            <w:r>
              <w:rPr>
                <w:rFonts w:ascii="Calibri"/>
                <w:sz w:val="18"/>
              </w:rPr>
              <w:t>to</w:t>
            </w:r>
            <w:r>
              <w:rPr>
                <w:rFonts w:ascii="Calibri"/>
                <w:spacing w:val="-1"/>
                <w:sz w:val="18"/>
              </w:rPr>
              <w:t xml:space="preserve"> trade</w:t>
            </w:r>
            <w:r>
              <w:rPr>
                <w:rFonts w:ascii="Calibri"/>
                <w:spacing w:val="-3"/>
                <w:sz w:val="18"/>
              </w:rPr>
              <w:t xml:space="preserve"> </w:t>
            </w:r>
            <w:r>
              <w:rPr>
                <w:rFonts w:ascii="Calibri"/>
                <w:sz w:val="18"/>
              </w:rPr>
              <w:t>allies</w:t>
            </w:r>
            <w:r>
              <w:rPr>
                <w:rFonts w:ascii="Calibri"/>
                <w:spacing w:val="-3"/>
                <w:sz w:val="18"/>
              </w:rPr>
              <w:t xml:space="preserve"> </w:t>
            </w:r>
            <w:r>
              <w:rPr>
                <w:rFonts w:ascii="Calibri"/>
                <w:spacing w:val="-1"/>
                <w:sz w:val="18"/>
              </w:rPr>
              <w:t xml:space="preserve">who </w:t>
            </w:r>
            <w:r>
              <w:rPr>
                <w:rFonts w:ascii="Calibri"/>
                <w:sz w:val="18"/>
              </w:rPr>
              <w:t>are</w:t>
            </w:r>
            <w:r>
              <w:rPr>
                <w:rFonts w:ascii="Calibri"/>
                <w:spacing w:val="-3"/>
                <w:sz w:val="18"/>
              </w:rPr>
              <w:t xml:space="preserve"> </w:t>
            </w:r>
            <w:r>
              <w:rPr>
                <w:rFonts w:ascii="Calibri"/>
                <w:spacing w:val="-1"/>
                <w:sz w:val="18"/>
              </w:rPr>
              <w:t>active</w:t>
            </w:r>
            <w:r>
              <w:rPr>
                <w:rFonts w:ascii="Calibri"/>
                <w:spacing w:val="-3"/>
                <w:sz w:val="18"/>
              </w:rPr>
              <w:t xml:space="preserve"> </w:t>
            </w:r>
            <w:r>
              <w:rPr>
                <w:rFonts w:ascii="Calibri"/>
                <w:sz w:val="18"/>
              </w:rPr>
              <w:t>in</w:t>
            </w:r>
            <w:r>
              <w:rPr>
                <w:rFonts w:ascii="Calibri"/>
                <w:spacing w:val="-2"/>
                <w:sz w:val="18"/>
              </w:rPr>
              <w:t xml:space="preserve"> </w:t>
            </w:r>
            <w:r>
              <w:rPr>
                <w:rFonts w:ascii="Calibri"/>
                <w:spacing w:val="-1"/>
                <w:sz w:val="18"/>
              </w:rPr>
              <w:t>the</w:t>
            </w:r>
            <w:r>
              <w:rPr>
                <w:rFonts w:ascii="Calibri"/>
                <w:spacing w:val="45"/>
                <w:w w:val="99"/>
                <w:sz w:val="18"/>
              </w:rPr>
              <w:t xml:space="preserve"> </w:t>
            </w:r>
            <w:r>
              <w:rPr>
                <w:rFonts w:ascii="Calibri"/>
                <w:spacing w:val="-1"/>
                <w:sz w:val="18"/>
              </w:rPr>
              <w:t>program</w:t>
            </w:r>
            <w:r>
              <w:rPr>
                <w:rFonts w:ascii="Calibri"/>
                <w:spacing w:val="-3"/>
                <w:sz w:val="18"/>
              </w:rPr>
              <w:t xml:space="preserve"> </w:t>
            </w:r>
            <w:r>
              <w:rPr>
                <w:rFonts w:ascii="Calibri"/>
                <w:spacing w:val="-1"/>
                <w:sz w:val="18"/>
              </w:rPr>
              <w:t>and</w:t>
            </w:r>
            <w:r>
              <w:rPr>
                <w:rFonts w:ascii="Calibri"/>
                <w:spacing w:val="-3"/>
                <w:sz w:val="18"/>
              </w:rPr>
              <w:t xml:space="preserve"> </w:t>
            </w:r>
            <w:r>
              <w:rPr>
                <w:rFonts w:ascii="Calibri"/>
                <w:spacing w:val="-1"/>
                <w:sz w:val="18"/>
              </w:rPr>
              <w:t>explain</w:t>
            </w:r>
            <w:r>
              <w:rPr>
                <w:rFonts w:ascii="Calibri"/>
                <w:spacing w:val="-3"/>
                <w:sz w:val="18"/>
              </w:rPr>
              <w:t xml:space="preserve"> </w:t>
            </w:r>
            <w:r>
              <w:rPr>
                <w:rFonts w:ascii="Calibri"/>
                <w:sz w:val="18"/>
              </w:rPr>
              <w:t>at</w:t>
            </w:r>
            <w:r>
              <w:rPr>
                <w:rFonts w:ascii="Calibri"/>
                <w:spacing w:val="-1"/>
                <w:sz w:val="18"/>
              </w:rPr>
              <w:t xml:space="preserve"> </w:t>
            </w:r>
            <w:r>
              <w:rPr>
                <w:rFonts w:ascii="Calibri"/>
                <w:sz w:val="18"/>
              </w:rPr>
              <w:t>the</w:t>
            </w:r>
            <w:r>
              <w:rPr>
                <w:rFonts w:ascii="Calibri"/>
                <w:spacing w:val="-3"/>
                <w:sz w:val="18"/>
              </w:rPr>
              <w:t xml:space="preserve"> </w:t>
            </w:r>
            <w:r>
              <w:rPr>
                <w:rFonts w:ascii="Calibri"/>
                <w:spacing w:val="-1"/>
                <w:sz w:val="18"/>
              </w:rPr>
              <w:t>beginning</w:t>
            </w:r>
            <w:r>
              <w:rPr>
                <w:rFonts w:ascii="Calibri"/>
                <w:spacing w:val="-3"/>
                <w:sz w:val="18"/>
              </w:rPr>
              <w:t xml:space="preserve"> </w:t>
            </w:r>
            <w:r>
              <w:rPr>
                <w:rFonts w:ascii="Calibri"/>
                <w:sz w:val="18"/>
              </w:rPr>
              <w:t>of</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year</w:t>
            </w:r>
            <w:r>
              <w:rPr>
                <w:rFonts w:ascii="Calibri"/>
                <w:spacing w:val="-2"/>
                <w:sz w:val="18"/>
              </w:rPr>
              <w:t xml:space="preserve"> </w:t>
            </w:r>
            <w:r>
              <w:rPr>
                <w:rFonts w:ascii="Calibri"/>
                <w:spacing w:val="-1"/>
                <w:sz w:val="18"/>
              </w:rPr>
              <w:t xml:space="preserve">that </w:t>
            </w:r>
            <w:r>
              <w:rPr>
                <w:rFonts w:ascii="Calibri"/>
                <w:sz w:val="18"/>
              </w:rPr>
              <w:t>a</w:t>
            </w:r>
            <w:r>
              <w:rPr>
                <w:rFonts w:ascii="Calibri"/>
                <w:spacing w:val="-2"/>
                <w:sz w:val="18"/>
              </w:rPr>
              <w:t xml:space="preserve"> </w:t>
            </w:r>
            <w:r>
              <w:rPr>
                <w:rFonts w:ascii="Calibri"/>
                <w:sz w:val="18"/>
              </w:rPr>
              <w:t>wait</w:t>
            </w:r>
            <w:r>
              <w:rPr>
                <w:rFonts w:ascii="Calibri"/>
                <w:spacing w:val="53"/>
                <w:sz w:val="18"/>
              </w:rPr>
              <w:t xml:space="preserve"> </w:t>
            </w:r>
            <w:r>
              <w:rPr>
                <w:rFonts w:ascii="Calibri"/>
                <w:spacing w:val="-1"/>
                <w:sz w:val="18"/>
              </w:rPr>
              <w:t>list</w:t>
            </w:r>
            <w:r>
              <w:rPr>
                <w:rFonts w:ascii="Calibri"/>
                <w:spacing w:val="-2"/>
                <w:sz w:val="18"/>
              </w:rPr>
              <w:t xml:space="preserve"> </w:t>
            </w:r>
            <w:r>
              <w:rPr>
                <w:rFonts w:ascii="Calibri"/>
                <w:spacing w:val="-1"/>
                <w:sz w:val="18"/>
              </w:rPr>
              <w:t>could</w:t>
            </w:r>
            <w:r>
              <w:rPr>
                <w:rFonts w:ascii="Calibri"/>
                <w:spacing w:val="-2"/>
                <w:sz w:val="18"/>
              </w:rPr>
              <w:t xml:space="preserve"> </w:t>
            </w:r>
            <w:r>
              <w:rPr>
                <w:rFonts w:ascii="Calibri"/>
                <w:sz w:val="18"/>
              </w:rPr>
              <w:t>occur</w:t>
            </w:r>
            <w:r>
              <w:rPr>
                <w:rFonts w:ascii="Calibri"/>
                <w:spacing w:val="-1"/>
                <w:sz w:val="18"/>
              </w:rPr>
              <w:t xml:space="preserve"> in</w:t>
            </w:r>
            <w:r>
              <w:rPr>
                <w:rFonts w:ascii="Calibri"/>
                <w:spacing w:val="-2"/>
                <w:sz w:val="18"/>
              </w:rPr>
              <w:t xml:space="preserve"> </w:t>
            </w:r>
            <w:r>
              <w:rPr>
                <w:rFonts w:ascii="Calibri"/>
                <w:sz w:val="18"/>
              </w:rPr>
              <w:t>the</w:t>
            </w:r>
            <w:r>
              <w:rPr>
                <w:rFonts w:ascii="Calibri"/>
                <w:spacing w:val="-2"/>
                <w:sz w:val="18"/>
              </w:rPr>
              <w:t xml:space="preserve"> </w:t>
            </w:r>
            <w:r>
              <w:rPr>
                <w:rFonts w:ascii="Calibri"/>
                <w:spacing w:val="-1"/>
                <w:sz w:val="18"/>
              </w:rPr>
              <w:t>future.</w:t>
            </w:r>
          </w:p>
        </w:tc>
        <w:tc>
          <w:tcPr>
            <w:tcW w:w="4681" w:type="dxa"/>
            <w:shd w:val="clear" w:color="auto" w:fill="D2EAF0"/>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C3558F">
        <w:trPr>
          <w:trHeight w:hRule="exact" w:val="670"/>
        </w:trPr>
        <w:tc>
          <w:tcPr>
            <w:tcW w:w="4681" w:type="dxa"/>
          </w:tcPr>
          <w:p w:rsidR="00E646C9" w:rsidRDefault="00E646C9" w:rsidP="00C94D5A">
            <w:pPr>
              <w:pStyle w:val="TableParagraph"/>
              <w:ind w:left="97" w:right="103"/>
              <w:jc w:val="both"/>
              <w:rPr>
                <w:rFonts w:ascii="Calibri" w:eastAsia="Calibri" w:hAnsi="Calibri" w:cs="Calibri"/>
                <w:sz w:val="18"/>
                <w:szCs w:val="18"/>
              </w:rPr>
            </w:pPr>
            <w:r>
              <w:rPr>
                <w:rFonts w:ascii="Calibri"/>
                <w:spacing w:val="-1"/>
                <w:sz w:val="18"/>
              </w:rPr>
              <w:t>Consider</w:t>
            </w:r>
            <w:r>
              <w:rPr>
                <w:rFonts w:ascii="Calibri"/>
                <w:spacing w:val="7"/>
                <w:sz w:val="18"/>
              </w:rPr>
              <w:t xml:space="preserve"> </w:t>
            </w:r>
            <w:r>
              <w:rPr>
                <w:rFonts w:ascii="Calibri"/>
                <w:spacing w:val="-1"/>
                <w:sz w:val="18"/>
              </w:rPr>
              <w:t>posting</w:t>
            </w:r>
            <w:r>
              <w:rPr>
                <w:rFonts w:ascii="Calibri"/>
                <w:spacing w:val="5"/>
                <w:sz w:val="18"/>
              </w:rPr>
              <w:t xml:space="preserve"> </w:t>
            </w:r>
            <w:r>
              <w:rPr>
                <w:rFonts w:ascii="Calibri"/>
                <w:sz w:val="18"/>
              </w:rPr>
              <w:t>an</w:t>
            </w:r>
            <w:r>
              <w:rPr>
                <w:rFonts w:ascii="Calibri"/>
                <w:spacing w:val="7"/>
                <w:sz w:val="18"/>
              </w:rPr>
              <w:t xml:space="preserve"> </w:t>
            </w:r>
            <w:r>
              <w:rPr>
                <w:rFonts w:ascii="Calibri"/>
                <w:spacing w:val="-1"/>
                <w:sz w:val="18"/>
              </w:rPr>
              <w:t>update</w:t>
            </w:r>
            <w:r>
              <w:rPr>
                <w:rFonts w:ascii="Calibri"/>
                <w:spacing w:val="4"/>
                <w:sz w:val="18"/>
              </w:rPr>
              <w:t xml:space="preserve"> </w:t>
            </w:r>
            <w:r>
              <w:rPr>
                <w:rFonts w:ascii="Calibri"/>
                <w:sz w:val="18"/>
              </w:rPr>
              <w:t>on</w:t>
            </w:r>
            <w:r>
              <w:rPr>
                <w:rFonts w:ascii="Calibri"/>
                <w:spacing w:val="5"/>
                <w:sz w:val="18"/>
              </w:rPr>
              <w:t xml:space="preserve"> </w:t>
            </w:r>
            <w:r>
              <w:rPr>
                <w:rFonts w:ascii="Calibri"/>
                <w:sz w:val="18"/>
              </w:rPr>
              <w:t>the</w:t>
            </w:r>
            <w:r>
              <w:rPr>
                <w:rFonts w:ascii="Calibri"/>
                <w:spacing w:val="5"/>
                <w:sz w:val="18"/>
              </w:rPr>
              <w:t xml:space="preserve"> </w:t>
            </w:r>
            <w:r>
              <w:rPr>
                <w:rFonts w:ascii="Calibri"/>
                <w:sz w:val="18"/>
              </w:rPr>
              <w:t>website</w:t>
            </w:r>
            <w:r>
              <w:rPr>
                <w:rFonts w:ascii="Calibri"/>
                <w:spacing w:val="7"/>
                <w:sz w:val="18"/>
              </w:rPr>
              <w:t xml:space="preserve"> </w:t>
            </w:r>
            <w:r>
              <w:rPr>
                <w:rFonts w:ascii="Calibri"/>
                <w:spacing w:val="-1"/>
                <w:sz w:val="18"/>
              </w:rPr>
              <w:t>explaining</w:t>
            </w:r>
            <w:r>
              <w:rPr>
                <w:rFonts w:ascii="Calibri"/>
                <w:spacing w:val="4"/>
                <w:sz w:val="18"/>
              </w:rPr>
              <w:t xml:space="preserve"> </w:t>
            </w:r>
            <w:r>
              <w:rPr>
                <w:rFonts w:ascii="Calibri"/>
                <w:spacing w:val="-1"/>
                <w:sz w:val="18"/>
              </w:rPr>
              <w:t>why</w:t>
            </w:r>
            <w:r>
              <w:rPr>
                <w:rFonts w:ascii="Calibri"/>
                <w:spacing w:val="6"/>
                <w:sz w:val="18"/>
              </w:rPr>
              <w:t xml:space="preserve"> </w:t>
            </w:r>
            <w:r>
              <w:rPr>
                <w:rFonts w:ascii="Calibri"/>
                <w:sz w:val="18"/>
              </w:rPr>
              <w:t>a</w:t>
            </w:r>
            <w:r>
              <w:rPr>
                <w:rFonts w:ascii="Calibri"/>
                <w:spacing w:val="45"/>
                <w:sz w:val="18"/>
              </w:rPr>
              <w:t xml:space="preserve"> </w:t>
            </w:r>
            <w:r>
              <w:rPr>
                <w:rFonts w:ascii="Calibri"/>
                <w:sz w:val="18"/>
              </w:rPr>
              <w:t>wait</w:t>
            </w:r>
            <w:r>
              <w:rPr>
                <w:rFonts w:ascii="Calibri"/>
                <w:spacing w:val="-1"/>
                <w:sz w:val="18"/>
              </w:rPr>
              <w:t xml:space="preserve"> list</w:t>
            </w:r>
            <w:r>
              <w:rPr>
                <w:rFonts w:ascii="Calibri"/>
                <w:spacing w:val="1"/>
                <w:sz w:val="18"/>
              </w:rPr>
              <w:t xml:space="preserve"> </w:t>
            </w:r>
            <w:r>
              <w:rPr>
                <w:rFonts w:ascii="Calibri"/>
                <w:sz w:val="18"/>
              </w:rPr>
              <w:t>was</w:t>
            </w:r>
            <w:r>
              <w:rPr>
                <w:rFonts w:ascii="Calibri"/>
                <w:spacing w:val="-1"/>
                <w:sz w:val="18"/>
              </w:rPr>
              <w:t xml:space="preserve"> implemented</w:t>
            </w:r>
            <w:r>
              <w:rPr>
                <w:rFonts w:ascii="Calibri"/>
                <w:sz w:val="18"/>
              </w:rPr>
              <w:t xml:space="preserve"> and</w:t>
            </w:r>
            <w:r>
              <w:rPr>
                <w:rFonts w:ascii="Calibri"/>
                <w:spacing w:val="-1"/>
                <w:sz w:val="18"/>
              </w:rPr>
              <w:t xml:space="preserve"> when</w:t>
            </w:r>
            <w:r>
              <w:rPr>
                <w:rFonts w:ascii="Calibri"/>
                <w:sz w:val="18"/>
              </w:rPr>
              <w:t xml:space="preserve"> the</w:t>
            </w:r>
            <w:r>
              <w:rPr>
                <w:rFonts w:ascii="Calibri"/>
                <w:spacing w:val="-1"/>
                <w:sz w:val="18"/>
              </w:rPr>
              <w:t xml:space="preserve"> </w:t>
            </w:r>
            <w:r>
              <w:rPr>
                <w:rFonts w:ascii="Calibri"/>
                <w:sz w:val="18"/>
              </w:rPr>
              <w:t xml:space="preserve">wait </w:t>
            </w:r>
            <w:r>
              <w:rPr>
                <w:rFonts w:ascii="Calibri"/>
                <w:spacing w:val="-1"/>
                <w:sz w:val="18"/>
              </w:rPr>
              <w:t>list</w:t>
            </w:r>
            <w:r>
              <w:rPr>
                <w:rFonts w:ascii="Calibri"/>
                <w:sz w:val="18"/>
              </w:rPr>
              <w:t xml:space="preserve"> </w:t>
            </w:r>
            <w:r>
              <w:rPr>
                <w:rFonts w:ascii="Calibri"/>
                <w:spacing w:val="-1"/>
                <w:sz w:val="18"/>
              </w:rPr>
              <w:t>is</w:t>
            </w:r>
            <w:r>
              <w:rPr>
                <w:rFonts w:ascii="Calibri"/>
                <w:sz w:val="18"/>
              </w:rPr>
              <w:t xml:space="preserve"> </w:t>
            </w:r>
            <w:r>
              <w:rPr>
                <w:rFonts w:ascii="Calibri"/>
                <w:spacing w:val="-1"/>
                <w:sz w:val="18"/>
              </w:rPr>
              <w:t>expected</w:t>
            </w:r>
            <w:r>
              <w:rPr>
                <w:rFonts w:ascii="Calibri"/>
                <w:spacing w:val="39"/>
                <w:sz w:val="18"/>
              </w:rPr>
              <w:t xml:space="preserve"> </w:t>
            </w:r>
            <w:r>
              <w:rPr>
                <w:rFonts w:ascii="Calibri"/>
                <w:sz w:val="18"/>
              </w:rPr>
              <w:t>to</w:t>
            </w:r>
            <w:r>
              <w:rPr>
                <w:rFonts w:ascii="Calibri"/>
                <w:spacing w:val="-3"/>
                <w:sz w:val="18"/>
              </w:rPr>
              <w:t xml:space="preserve"> </w:t>
            </w:r>
            <w:r>
              <w:rPr>
                <w:rFonts w:ascii="Calibri"/>
                <w:spacing w:val="-1"/>
                <w:sz w:val="18"/>
              </w:rPr>
              <w:t>be</w:t>
            </w:r>
            <w:r>
              <w:rPr>
                <w:rFonts w:ascii="Calibri"/>
                <w:spacing w:val="-3"/>
                <w:sz w:val="18"/>
              </w:rPr>
              <w:t xml:space="preserve"> </w:t>
            </w:r>
            <w:r>
              <w:rPr>
                <w:rFonts w:ascii="Calibri"/>
                <w:spacing w:val="-1"/>
                <w:sz w:val="18"/>
              </w:rPr>
              <w:t>removed.</w:t>
            </w:r>
          </w:p>
        </w:tc>
        <w:tc>
          <w:tcPr>
            <w:tcW w:w="4681" w:type="dxa"/>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Will</w:t>
            </w:r>
            <w:r>
              <w:rPr>
                <w:rFonts w:ascii="Calibri"/>
                <w:spacing w:val="-3"/>
                <w:sz w:val="18"/>
              </w:rPr>
              <w:t xml:space="preserve"> </w:t>
            </w:r>
            <w:r>
              <w:rPr>
                <w:rFonts w:ascii="Calibri"/>
                <w:spacing w:val="-1"/>
                <w:sz w:val="18"/>
              </w:rPr>
              <w:t>be</w:t>
            </w:r>
            <w:r>
              <w:rPr>
                <w:rFonts w:ascii="Calibri"/>
                <w:spacing w:val="-2"/>
                <w:sz w:val="18"/>
              </w:rPr>
              <w:t xml:space="preserve"> </w:t>
            </w:r>
            <w:r>
              <w:rPr>
                <w:rFonts w:ascii="Calibri"/>
                <w:sz w:val="18"/>
              </w:rPr>
              <w:t>implemented</w:t>
            </w:r>
            <w:r>
              <w:rPr>
                <w:rFonts w:ascii="Calibri"/>
                <w:spacing w:val="-3"/>
                <w:sz w:val="18"/>
              </w:rPr>
              <w:t xml:space="preserve"> </w:t>
            </w:r>
            <w:r>
              <w:rPr>
                <w:rFonts w:ascii="Calibri"/>
                <w:sz w:val="18"/>
              </w:rPr>
              <w:t>if</w:t>
            </w:r>
            <w:r>
              <w:rPr>
                <w:rFonts w:ascii="Calibri"/>
                <w:spacing w:val="-2"/>
                <w:sz w:val="18"/>
              </w:rPr>
              <w:t xml:space="preserve"> </w:t>
            </w:r>
            <w:r>
              <w:rPr>
                <w:rFonts w:ascii="Calibri"/>
                <w:spacing w:val="-1"/>
                <w:sz w:val="18"/>
              </w:rPr>
              <w:t>there</w:t>
            </w:r>
            <w:r>
              <w:rPr>
                <w:rFonts w:ascii="Calibri"/>
                <w:spacing w:val="-4"/>
                <w:sz w:val="18"/>
              </w:rPr>
              <w:t xml:space="preserve"> </w:t>
            </w:r>
            <w:r>
              <w:rPr>
                <w:rFonts w:ascii="Calibri"/>
                <w:sz w:val="18"/>
              </w:rPr>
              <w:t>is</w:t>
            </w:r>
            <w:r>
              <w:rPr>
                <w:rFonts w:ascii="Calibri"/>
                <w:spacing w:val="-3"/>
                <w:sz w:val="18"/>
              </w:rPr>
              <w:t xml:space="preserve"> </w:t>
            </w:r>
            <w:r>
              <w:rPr>
                <w:rFonts w:ascii="Calibri"/>
                <w:sz w:val="18"/>
              </w:rPr>
              <w:t xml:space="preserve">a </w:t>
            </w:r>
            <w:r>
              <w:rPr>
                <w:rFonts w:ascii="Calibri"/>
                <w:spacing w:val="-1"/>
                <w:sz w:val="18"/>
              </w:rPr>
              <w:t>waitlist in</w:t>
            </w:r>
            <w:r>
              <w:rPr>
                <w:rFonts w:ascii="Calibri"/>
                <w:spacing w:val="-3"/>
                <w:sz w:val="18"/>
              </w:rPr>
              <w:t xml:space="preserve"> </w:t>
            </w:r>
            <w:r>
              <w:rPr>
                <w:rFonts w:ascii="Calibri"/>
                <w:sz w:val="18"/>
              </w:rPr>
              <w:t>Phase III.</w:t>
            </w:r>
          </w:p>
        </w:tc>
      </w:tr>
      <w:tr w:rsidR="00E646C9" w:rsidTr="00C3558F">
        <w:trPr>
          <w:trHeight w:hRule="exact" w:val="667"/>
        </w:trPr>
        <w:tc>
          <w:tcPr>
            <w:tcW w:w="4681" w:type="dxa"/>
            <w:shd w:val="clear" w:color="auto" w:fill="D2EAF0"/>
          </w:tcPr>
          <w:p w:rsidR="00E646C9" w:rsidRDefault="00E646C9" w:rsidP="00C94D5A">
            <w:pPr>
              <w:pStyle w:val="TableParagraph"/>
              <w:ind w:left="97" w:right="101"/>
              <w:jc w:val="both"/>
              <w:rPr>
                <w:rFonts w:ascii="Calibri" w:eastAsia="Calibri" w:hAnsi="Calibri" w:cs="Calibri"/>
                <w:sz w:val="18"/>
                <w:szCs w:val="18"/>
              </w:rPr>
            </w:pPr>
            <w:r>
              <w:rPr>
                <w:rFonts w:ascii="Calibri"/>
                <w:spacing w:val="-1"/>
                <w:sz w:val="18"/>
              </w:rPr>
              <w:t>Consider</w:t>
            </w:r>
            <w:r>
              <w:rPr>
                <w:rFonts w:ascii="Calibri"/>
                <w:spacing w:val="38"/>
                <w:sz w:val="18"/>
              </w:rPr>
              <w:t xml:space="preserve"> </w:t>
            </w:r>
            <w:r>
              <w:rPr>
                <w:rFonts w:ascii="Calibri"/>
                <w:spacing w:val="-1"/>
                <w:sz w:val="18"/>
              </w:rPr>
              <w:t>requiring</w:t>
            </w:r>
            <w:r>
              <w:rPr>
                <w:rFonts w:ascii="Calibri"/>
                <w:spacing w:val="38"/>
                <w:sz w:val="18"/>
              </w:rPr>
              <w:t xml:space="preserve"> </w:t>
            </w:r>
            <w:r>
              <w:rPr>
                <w:rFonts w:ascii="Calibri"/>
                <w:sz w:val="18"/>
              </w:rPr>
              <w:t>the</w:t>
            </w:r>
            <w:r>
              <w:rPr>
                <w:rFonts w:ascii="Calibri"/>
                <w:spacing w:val="39"/>
                <w:sz w:val="18"/>
              </w:rPr>
              <w:t xml:space="preserve"> </w:t>
            </w:r>
            <w:r>
              <w:rPr>
                <w:rFonts w:ascii="Calibri"/>
                <w:spacing w:val="-1"/>
                <w:sz w:val="18"/>
              </w:rPr>
              <w:t>ICSP</w:t>
            </w:r>
            <w:r>
              <w:rPr>
                <w:rFonts w:ascii="Calibri"/>
                <w:spacing w:val="39"/>
                <w:sz w:val="18"/>
              </w:rPr>
              <w:t xml:space="preserve"> </w:t>
            </w:r>
            <w:r>
              <w:rPr>
                <w:rFonts w:ascii="Calibri"/>
                <w:sz w:val="18"/>
              </w:rPr>
              <w:t>to</w:t>
            </w:r>
            <w:r>
              <w:rPr>
                <w:rFonts w:ascii="Calibri"/>
                <w:spacing w:val="40"/>
                <w:sz w:val="18"/>
              </w:rPr>
              <w:t xml:space="preserve"> </w:t>
            </w:r>
            <w:r>
              <w:rPr>
                <w:rFonts w:ascii="Calibri"/>
                <w:spacing w:val="-1"/>
                <w:sz w:val="18"/>
              </w:rPr>
              <w:t>add</w:t>
            </w:r>
            <w:r>
              <w:rPr>
                <w:rFonts w:ascii="Calibri"/>
                <w:spacing w:val="38"/>
                <w:sz w:val="18"/>
              </w:rPr>
              <w:t xml:space="preserve"> </w:t>
            </w:r>
            <w:r>
              <w:rPr>
                <w:rFonts w:ascii="Calibri"/>
                <w:sz w:val="18"/>
              </w:rPr>
              <w:t>a</w:t>
            </w:r>
            <w:r>
              <w:rPr>
                <w:rFonts w:ascii="Calibri"/>
                <w:spacing w:val="39"/>
                <w:sz w:val="18"/>
              </w:rPr>
              <w:t xml:space="preserve"> </w:t>
            </w:r>
            <w:r>
              <w:rPr>
                <w:rFonts w:ascii="Calibri"/>
                <w:spacing w:val="-1"/>
                <w:sz w:val="18"/>
              </w:rPr>
              <w:t>QA/QC</w:t>
            </w:r>
            <w:r>
              <w:rPr>
                <w:rFonts w:ascii="Calibri"/>
                <w:spacing w:val="40"/>
                <w:sz w:val="18"/>
              </w:rPr>
              <w:t xml:space="preserve"> </w:t>
            </w:r>
            <w:r>
              <w:rPr>
                <w:rFonts w:ascii="Calibri"/>
                <w:spacing w:val="-1"/>
                <w:sz w:val="18"/>
              </w:rPr>
              <w:t>protocol</w:t>
            </w:r>
            <w:r>
              <w:rPr>
                <w:rFonts w:ascii="Calibri"/>
                <w:spacing w:val="38"/>
                <w:sz w:val="18"/>
              </w:rPr>
              <w:t xml:space="preserve"> </w:t>
            </w:r>
            <w:r>
              <w:rPr>
                <w:rFonts w:ascii="Calibri"/>
                <w:sz w:val="18"/>
              </w:rPr>
              <w:t>for</w:t>
            </w:r>
            <w:r>
              <w:rPr>
                <w:rFonts w:ascii="Calibri"/>
                <w:spacing w:val="53"/>
                <w:w w:val="99"/>
                <w:sz w:val="18"/>
              </w:rPr>
              <w:t xml:space="preserve"> </w:t>
            </w:r>
            <w:r>
              <w:rPr>
                <w:rFonts w:ascii="Calibri"/>
                <w:spacing w:val="-1"/>
                <w:sz w:val="18"/>
              </w:rPr>
              <w:t>lighting</w:t>
            </w:r>
            <w:r>
              <w:rPr>
                <w:rFonts w:ascii="Calibri"/>
                <w:spacing w:val="40"/>
                <w:sz w:val="18"/>
              </w:rPr>
              <w:t xml:space="preserve"> </w:t>
            </w:r>
            <w:r w:rsidR="00C3558F">
              <w:rPr>
                <w:rFonts w:ascii="Calibri"/>
                <w:spacing w:val="-1"/>
                <w:sz w:val="18"/>
              </w:rPr>
              <w:t>projects</w:t>
            </w:r>
            <w:r w:rsidR="00C3558F">
              <w:rPr>
                <w:rFonts w:ascii="Calibri"/>
                <w:sz w:val="18"/>
              </w:rPr>
              <w:t xml:space="preserve"> to</w:t>
            </w:r>
            <w:r>
              <w:rPr>
                <w:rFonts w:ascii="Calibri"/>
                <w:spacing w:val="1"/>
                <w:sz w:val="18"/>
              </w:rPr>
              <w:t xml:space="preserve"> </w:t>
            </w:r>
            <w:r w:rsidR="00C3558F">
              <w:rPr>
                <w:rFonts w:ascii="Calibri"/>
                <w:spacing w:val="-1"/>
                <w:sz w:val="18"/>
              </w:rPr>
              <w:t>ensure</w:t>
            </w:r>
            <w:r w:rsidR="00C3558F">
              <w:rPr>
                <w:rFonts w:ascii="Calibri"/>
                <w:sz w:val="18"/>
              </w:rPr>
              <w:t xml:space="preserve"> Appendix C</w:t>
            </w:r>
            <w:r>
              <w:rPr>
                <w:rFonts w:ascii="Calibri"/>
                <w:sz w:val="18"/>
              </w:rPr>
              <w:t xml:space="preserve"> </w:t>
            </w:r>
            <w:r>
              <w:rPr>
                <w:rFonts w:ascii="Calibri"/>
                <w:spacing w:val="-1"/>
                <w:sz w:val="18"/>
              </w:rPr>
              <w:t>inputs</w:t>
            </w:r>
            <w:r>
              <w:rPr>
                <w:rFonts w:ascii="Calibri"/>
                <w:spacing w:val="3"/>
                <w:sz w:val="18"/>
              </w:rPr>
              <w:t xml:space="preserve"> </w:t>
            </w:r>
            <w:r w:rsidR="00C3558F">
              <w:rPr>
                <w:rFonts w:ascii="Calibri"/>
                <w:spacing w:val="-1"/>
                <w:sz w:val="18"/>
              </w:rPr>
              <w:t>and</w:t>
            </w:r>
            <w:r w:rsidR="00C3558F">
              <w:rPr>
                <w:rFonts w:ascii="Calibri"/>
                <w:sz w:val="18"/>
              </w:rPr>
              <w:t xml:space="preserve"> results</w:t>
            </w:r>
            <w:r>
              <w:rPr>
                <w:rFonts w:ascii="Calibri"/>
                <w:spacing w:val="65"/>
                <w:sz w:val="18"/>
              </w:rPr>
              <w:t xml:space="preserve"> </w:t>
            </w:r>
            <w:r>
              <w:rPr>
                <w:rFonts w:ascii="Calibri"/>
                <w:sz w:val="18"/>
              </w:rPr>
              <w:t>match</w:t>
            </w:r>
            <w:r>
              <w:rPr>
                <w:rFonts w:ascii="Calibri"/>
                <w:spacing w:val="-5"/>
                <w:sz w:val="18"/>
              </w:rPr>
              <w:t xml:space="preserve"> </w:t>
            </w:r>
            <w:r>
              <w:rPr>
                <w:rFonts w:ascii="Calibri"/>
                <w:spacing w:val="-1"/>
                <w:sz w:val="18"/>
              </w:rPr>
              <w:t>EEMIS.</w:t>
            </w:r>
          </w:p>
        </w:tc>
        <w:tc>
          <w:tcPr>
            <w:tcW w:w="4681" w:type="dxa"/>
            <w:shd w:val="clear" w:color="auto" w:fill="D2EAF0"/>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p>
        </w:tc>
      </w:tr>
      <w:tr w:rsidR="00E646C9" w:rsidTr="00C3558F">
        <w:trPr>
          <w:trHeight w:hRule="exact" w:val="890"/>
        </w:trPr>
        <w:tc>
          <w:tcPr>
            <w:tcW w:w="4681" w:type="dxa"/>
          </w:tcPr>
          <w:p w:rsidR="00E646C9" w:rsidRDefault="00E646C9" w:rsidP="00C94D5A">
            <w:pPr>
              <w:pStyle w:val="TableParagraph"/>
              <w:ind w:left="97" w:right="265"/>
              <w:rPr>
                <w:rFonts w:ascii="Calibri" w:eastAsia="Calibri" w:hAnsi="Calibri" w:cs="Calibri"/>
                <w:sz w:val="18"/>
                <w:szCs w:val="18"/>
              </w:rPr>
            </w:pPr>
            <w:r>
              <w:rPr>
                <w:rFonts w:ascii="Calibri"/>
                <w:spacing w:val="-1"/>
                <w:sz w:val="18"/>
              </w:rPr>
              <w:t>Consider enhancing QC</w:t>
            </w:r>
            <w:r>
              <w:rPr>
                <w:rFonts w:ascii="Calibri"/>
                <w:spacing w:val="-3"/>
                <w:sz w:val="18"/>
              </w:rPr>
              <w:t xml:space="preserve"> </w:t>
            </w:r>
            <w:r>
              <w:rPr>
                <w:rFonts w:ascii="Calibri"/>
                <w:spacing w:val="-1"/>
                <w:sz w:val="18"/>
              </w:rPr>
              <w:t>processes</w:t>
            </w:r>
            <w:r>
              <w:rPr>
                <w:rFonts w:ascii="Calibri"/>
                <w:spacing w:val="-3"/>
                <w:sz w:val="18"/>
              </w:rPr>
              <w:t xml:space="preserve"> </w:t>
            </w:r>
            <w:r>
              <w:rPr>
                <w:rFonts w:ascii="Calibri"/>
                <w:sz w:val="18"/>
              </w:rPr>
              <w:t>to</w:t>
            </w:r>
            <w:r>
              <w:rPr>
                <w:rFonts w:ascii="Calibri"/>
                <w:spacing w:val="-3"/>
                <w:sz w:val="18"/>
              </w:rPr>
              <w:t xml:space="preserve"> </w:t>
            </w:r>
            <w:r>
              <w:rPr>
                <w:rFonts w:ascii="Calibri"/>
                <w:spacing w:val="-1"/>
                <w:sz w:val="18"/>
              </w:rPr>
              <w:t>identify</w:t>
            </w:r>
            <w:r>
              <w:rPr>
                <w:rFonts w:ascii="Calibri"/>
                <w:spacing w:val="-2"/>
                <w:sz w:val="18"/>
              </w:rPr>
              <w:t xml:space="preserve"> </w:t>
            </w:r>
            <w:r>
              <w:rPr>
                <w:rFonts w:ascii="Calibri"/>
                <w:spacing w:val="-1"/>
                <w:sz w:val="18"/>
              </w:rPr>
              <w:t>record</w:t>
            </w:r>
            <w:r>
              <w:rPr>
                <w:rFonts w:ascii="Calibri"/>
                <w:spacing w:val="51"/>
                <w:sz w:val="18"/>
              </w:rPr>
              <w:t xml:space="preserve"> </w:t>
            </w:r>
            <w:r>
              <w:rPr>
                <w:rFonts w:ascii="Calibri"/>
                <w:spacing w:val="-1"/>
                <w:sz w:val="18"/>
              </w:rPr>
              <w:t>duplicates,</w:t>
            </w:r>
            <w:r>
              <w:rPr>
                <w:rFonts w:ascii="Calibri"/>
                <w:spacing w:val="-3"/>
                <w:sz w:val="18"/>
              </w:rPr>
              <w:t xml:space="preserve"> </w:t>
            </w:r>
            <w:r>
              <w:rPr>
                <w:rFonts w:ascii="Calibri"/>
                <w:spacing w:val="-1"/>
                <w:sz w:val="18"/>
              </w:rPr>
              <w:t>out-of-range</w:t>
            </w:r>
            <w:r>
              <w:rPr>
                <w:rFonts w:ascii="Calibri"/>
                <w:spacing w:val="-3"/>
                <w:sz w:val="18"/>
              </w:rPr>
              <w:t xml:space="preserve"> </w:t>
            </w:r>
            <w:r>
              <w:rPr>
                <w:rFonts w:ascii="Calibri"/>
                <w:spacing w:val="-1"/>
                <w:sz w:val="18"/>
              </w:rPr>
              <w:t>values,</w:t>
            </w:r>
            <w:r>
              <w:rPr>
                <w:rFonts w:ascii="Calibri"/>
                <w:spacing w:val="-2"/>
                <w:sz w:val="18"/>
              </w:rPr>
              <w:t xml:space="preserve"> </w:t>
            </w:r>
            <w:r>
              <w:rPr>
                <w:rFonts w:ascii="Calibri"/>
                <w:sz w:val="18"/>
              </w:rPr>
              <w:t>and</w:t>
            </w:r>
            <w:r>
              <w:rPr>
                <w:rFonts w:ascii="Calibri"/>
                <w:spacing w:val="-3"/>
                <w:sz w:val="18"/>
              </w:rPr>
              <w:t xml:space="preserve"> </w:t>
            </w:r>
            <w:r>
              <w:rPr>
                <w:rFonts w:ascii="Calibri"/>
                <w:spacing w:val="-1"/>
                <w:sz w:val="18"/>
              </w:rPr>
              <w:t>flag</w:t>
            </w:r>
            <w:r>
              <w:rPr>
                <w:rFonts w:ascii="Calibri"/>
                <w:spacing w:val="-3"/>
                <w:sz w:val="18"/>
              </w:rPr>
              <w:t xml:space="preserve"> </w:t>
            </w:r>
            <w:r>
              <w:rPr>
                <w:rFonts w:ascii="Calibri"/>
                <w:spacing w:val="-1"/>
                <w:sz w:val="18"/>
              </w:rPr>
              <w:t>entries</w:t>
            </w:r>
            <w:r>
              <w:rPr>
                <w:rFonts w:ascii="Calibri"/>
                <w:spacing w:val="-3"/>
                <w:sz w:val="18"/>
              </w:rPr>
              <w:t xml:space="preserve"> </w:t>
            </w:r>
            <w:r>
              <w:rPr>
                <w:rFonts w:ascii="Calibri"/>
                <w:sz w:val="18"/>
              </w:rPr>
              <w:t>when</w:t>
            </w:r>
            <w:r>
              <w:rPr>
                <w:rFonts w:ascii="Calibri"/>
                <w:spacing w:val="-2"/>
                <w:sz w:val="18"/>
              </w:rPr>
              <w:t xml:space="preserve"> </w:t>
            </w:r>
            <w:r>
              <w:rPr>
                <w:rFonts w:ascii="Calibri"/>
                <w:spacing w:val="-1"/>
                <w:sz w:val="18"/>
              </w:rPr>
              <w:t>data</w:t>
            </w:r>
            <w:r>
              <w:rPr>
                <w:rFonts w:ascii="Calibri"/>
                <w:spacing w:val="67"/>
                <w:w w:val="99"/>
                <w:sz w:val="18"/>
              </w:rPr>
              <w:t xml:space="preserve"> </w:t>
            </w:r>
            <w:r>
              <w:rPr>
                <w:rFonts w:ascii="Calibri"/>
                <w:spacing w:val="-1"/>
                <w:sz w:val="18"/>
              </w:rPr>
              <w:t>fields</w:t>
            </w:r>
            <w:r>
              <w:rPr>
                <w:rFonts w:ascii="Calibri"/>
                <w:spacing w:val="-3"/>
                <w:sz w:val="18"/>
              </w:rPr>
              <w:t xml:space="preserve"> </w:t>
            </w:r>
            <w:r>
              <w:rPr>
                <w:rFonts w:ascii="Calibri"/>
                <w:sz w:val="18"/>
              </w:rPr>
              <w:t>are</w:t>
            </w:r>
            <w:r>
              <w:rPr>
                <w:rFonts w:ascii="Calibri"/>
                <w:spacing w:val="-3"/>
                <w:sz w:val="18"/>
              </w:rPr>
              <w:t xml:space="preserve"> </w:t>
            </w:r>
            <w:r>
              <w:rPr>
                <w:rFonts w:ascii="Calibri"/>
                <w:spacing w:val="-1"/>
                <w:sz w:val="18"/>
              </w:rPr>
              <w:t xml:space="preserve">populated that </w:t>
            </w:r>
            <w:r>
              <w:rPr>
                <w:rFonts w:ascii="Calibri"/>
                <w:sz w:val="18"/>
              </w:rPr>
              <w:t>are</w:t>
            </w:r>
            <w:r>
              <w:rPr>
                <w:rFonts w:ascii="Calibri"/>
                <w:spacing w:val="-1"/>
                <w:sz w:val="18"/>
              </w:rPr>
              <w:t xml:space="preserve"> not</w:t>
            </w:r>
            <w:r>
              <w:rPr>
                <w:rFonts w:ascii="Calibri"/>
                <w:spacing w:val="-2"/>
                <w:sz w:val="18"/>
              </w:rPr>
              <w:t xml:space="preserve"> </w:t>
            </w:r>
            <w:r>
              <w:rPr>
                <w:rFonts w:ascii="Calibri"/>
                <w:spacing w:val="-1"/>
                <w:sz w:val="18"/>
              </w:rPr>
              <w:t xml:space="preserve">applicable </w:t>
            </w:r>
            <w:r>
              <w:rPr>
                <w:rFonts w:ascii="Calibri"/>
                <w:sz w:val="18"/>
              </w:rPr>
              <w:t>to</w:t>
            </w:r>
            <w:r>
              <w:rPr>
                <w:rFonts w:ascii="Calibri"/>
                <w:spacing w:val="-1"/>
                <w:sz w:val="18"/>
              </w:rPr>
              <w:t xml:space="preserve"> the</w:t>
            </w:r>
            <w:r>
              <w:rPr>
                <w:rFonts w:ascii="Calibri"/>
                <w:spacing w:val="-3"/>
                <w:sz w:val="18"/>
              </w:rPr>
              <w:t xml:space="preserve"> </w:t>
            </w:r>
            <w:r>
              <w:rPr>
                <w:rFonts w:ascii="Calibri"/>
                <w:sz w:val="18"/>
              </w:rPr>
              <w:t>rebated</w:t>
            </w:r>
            <w:r>
              <w:rPr>
                <w:rFonts w:ascii="Calibri"/>
                <w:spacing w:val="43"/>
                <w:sz w:val="18"/>
              </w:rPr>
              <w:t xml:space="preserve"> </w:t>
            </w:r>
            <w:r>
              <w:rPr>
                <w:rFonts w:ascii="Calibri"/>
                <w:spacing w:val="-1"/>
                <w:sz w:val="18"/>
              </w:rPr>
              <w:t>equipment</w:t>
            </w:r>
            <w:r>
              <w:rPr>
                <w:rFonts w:ascii="Calibri"/>
                <w:spacing w:val="-3"/>
                <w:sz w:val="18"/>
              </w:rPr>
              <w:t xml:space="preserve"> </w:t>
            </w:r>
            <w:r>
              <w:rPr>
                <w:rFonts w:ascii="Calibri"/>
                <w:spacing w:val="-1"/>
                <w:sz w:val="18"/>
              </w:rPr>
              <w:t>(e.g.,</w:t>
            </w:r>
            <w:r>
              <w:rPr>
                <w:rFonts w:ascii="Calibri"/>
                <w:spacing w:val="-2"/>
                <w:sz w:val="18"/>
              </w:rPr>
              <w:t xml:space="preserve"> </w:t>
            </w:r>
            <w:r>
              <w:rPr>
                <w:rFonts w:ascii="Calibri"/>
                <w:spacing w:val="-1"/>
                <w:sz w:val="18"/>
              </w:rPr>
              <w:t>heating</w:t>
            </w:r>
            <w:r>
              <w:rPr>
                <w:rFonts w:ascii="Calibri"/>
                <w:spacing w:val="-3"/>
                <w:sz w:val="18"/>
              </w:rPr>
              <w:t xml:space="preserve"> </w:t>
            </w:r>
            <w:r>
              <w:rPr>
                <w:rFonts w:ascii="Calibri"/>
                <w:spacing w:val="-1"/>
                <w:sz w:val="18"/>
              </w:rPr>
              <w:t>capacities</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air</w:t>
            </w:r>
            <w:r>
              <w:rPr>
                <w:rFonts w:ascii="Calibri"/>
                <w:spacing w:val="-2"/>
                <w:sz w:val="18"/>
              </w:rPr>
              <w:t xml:space="preserve"> </w:t>
            </w:r>
            <w:r>
              <w:rPr>
                <w:rFonts w:ascii="Calibri"/>
                <w:spacing w:val="-1"/>
                <w:sz w:val="18"/>
              </w:rPr>
              <w:t>conditioners).</w:t>
            </w:r>
          </w:p>
        </w:tc>
        <w:tc>
          <w:tcPr>
            <w:tcW w:w="4681" w:type="dxa"/>
          </w:tcPr>
          <w:p w:rsidR="00E646C9" w:rsidRDefault="00E646C9" w:rsidP="00C94D5A">
            <w:pPr>
              <w:pStyle w:val="TableParagraph"/>
              <w:ind w:left="102" w:right="107"/>
              <w:rPr>
                <w:rFonts w:ascii="Calibri" w:eastAsia="Calibri" w:hAnsi="Calibri" w:cs="Calibri"/>
                <w:sz w:val="18"/>
                <w:szCs w:val="18"/>
              </w:rPr>
            </w:pPr>
            <w:r>
              <w:rPr>
                <w:rFonts w:ascii="Calibri"/>
                <w:spacing w:val="-1"/>
                <w:sz w:val="18"/>
              </w:rPr>
              <w:t>Implemented.</w:t>
            </w:r>
            <w:r>
              <w:rPr>
                <w:rFonts w:ascii="Calibri"/>
                <w:spacing w:val="-2"/>
                <w:sz w:val="18"/>
              </w:rPr>
              <w:t xml:space="preserve"> </w:t>
            </w:r>
            <w:r>
              <w:rPr>
                <w:rFonts w:ascii="Calibri"/>
                <w:spacing w:val="-1"/>
                <w:sz w:val="18"/>
              </w:rPr>
              <w:t>Additional</w:t>
            </w:r>
            <w:r>
              <w:rPr>
                <w:rFonts w:ascii="Calibri"/>
                <w:spacing w:val="-2"/>
                <w:sz w:val="18"/>
              </w:rPr>
              <w:t xml:space="preserve"> </w:t>
            </w:r>
            <w:r>
              <w:rPr>
                <w:rFonts w:ascii="Calibri"/>
                <w:spacing w:val="-1"/>
                <w:sz w:val="18"/>
              </w:rPr>
              <w:t xml:space="preserve">QA/QC </w:t>
            </w:r>
            <w:r>
              <w:rPr>
                <w:rFonts w:ascii="Calibri"/>
                <w:sz w:val="18"/>
              </w:rPr>
              <w:t>was</w:t>
            </w:r>
            <w:r>
              <w:rPr>
                <w:rFonts w:ascii="Calibri"/>
                <w:spacing w:val="-4"/>
                <w:sz w:val="18"/>
              </w:rPr>
              <w:t xml:space="preserve"> </w:t>
            </w:r>
            <w:r>
              <w:rPr>
                <w:rFonts w:ascii="Calibri"/>
                <w:spacing w:val="-1"/>
                <w:sz w:val="18"/>
              </w:rPr>
              <w:t>implemented</w:t>
            </w:r>
            <w:r>
              <w:rPr>
                <w:rFonts w:ascii="Calibri"/>
                <w:spacing w:val="-4"/>
                <w:sz w:val="18"/>
              </w:rPr>
              <w:t xml:space="preserve"> </w:t>
            </w:r>
            <w:r>
              <w:rPr>
                <w:rFonts w:ascii="Calibri"/>
                <w:sz w:val="18"/>
              </w:rPr>
              <w:t>for</w:t>
            </w:r>
            <w:r>
              <w:rPr>
                <w:rFonts w:ascii="Calibri"/>
                <w:spacing w:val="-3"/>
                <w:sz w:val="18"/>
              </w:rPr>
              <w:t xml:space="preserve"> </w:t>
            </w:r>
            <w:r>
              <w:rPr>
                <w:rFonts w:ascii="Calibri"/>
                <w:sz w:val="18"/>
              </w:rPr>
              <w:t>Phase</w:t>
            </w:r>
            <w:r>
              <w:rPr>
                <w:rFonts w:ascii="Calibri"/>
                <w:spacing w:val="41"/>
                <w:w w:val="99"/>
                <w:sz w:val="18"/>
              </w:rPr>
              <w:t xml:space="preserve"> </w:t>
            </w:r>
            <w:r>
              <w:rPr>
                <w:rFonts w:ascii="Calibri"/>
                <w:sz w:val="18"/>
              </w:rPr>
              <w:t>III</w:t>
            </w:r>
            <w:r>
              <w:rPr>
                <w:rFonts w:ascii="Calibri"/>
                <w:spacing w:val="-2"/>
                <w:sz w:val="18"/>
              </w:rPr>
              <w:t xml:space="preserve"> </w:t>
            </w:r>
            <w:r>
              <w:rPr>
                <w:rFonts w:ascii="Calibri"/>
                <w:spacing w:val="-1"/>
                <w:sz w:val="18"/>
              </w:rPr>
              <w:t>and</w:t>
            </w:r>
            <w:r>
              <w:rPr>
                <w:rFonts w:ascii="Calibri"/>
                <w:spacing w:val="-3"/>
                <w:sz w:val="18"/>
              </w:rPr>
              <w:t xml:space="preserve"> </w:t>
            </w:r>
            <w:r>
              <w:rPr>
                <w:rFonts w:ascii="Calibri"/>
                <w:spacing w:val="-1"/>
                <w:sz w:val="18"/>
              </w:rPr>
              <w:t>will</w:t>
            </w:r>
            <w:r>
              <w:rPr>
                <w:rFonts w:ascii="Calibri"/>
                <w:spacing w:val="-2"/>
                <w:sz w:val="18"/>
              </w:rPr>
              <w:t xml:space="preserve"> </w:t>
            </w:r>
            <w:r>
              <w:rPr>
                <w:rFonts w:ascii="Calibri"/>
                <w:spacing w:val="-1"/>
                <w:sz w:val="18"/>
              </w:rPr>
              <w:t>be</w:t>
            </w:r>
            <w:r>
              <w:rPr>
                <w:rFonts w:ascii="Calibri"/>
                <w:spacing w:val="-3"/>
                <w:sz w:val="18"/>
              </w:rPr>
              <w:t xml:space="preserve"> </w:t>
            </w:r>
            <w:r>
              <w:rPr>
                <w:rFonts w:ascii="Calibri"/>
                <w:spacing w:val="-1"/>
                <w:sz w:val="18"/>
              </w:rPr>
              <w:t>continually</w:t>
            </w:r>
            <w:r>
              <w:rPr>
                <w:rFonts w:ascii="Calibri"/>
                <w:sz w:val="18"/>
              </w:rPr>
              <w:t xml:space="preserve"> </w:t>
            </w:r>
            <w:r>
              <w:rPr>
                <w:rFonts w:ascii="Calibri"/>
                <w:spacing w:val="-1"/>
                <w:sz w:val="18"/>
              </w:rPr>
              <w:t>improved.</w:t>
            </w:r>
          </w:p>
        </w:tc>
      </w:tr>
    </w:tbl>
    <w:p w:rsidR="00E646C9" w:rsidRDefault="00E646C9" w:rsidP="00E646C9"/>
    <w:p w:rsidR="00C3558F" w:rsidRDefault="00C3558F" w:rsidP="00E646C9"/>
    <w:p w:rsidR="00C3558F" w:rsidRDefault="00C3558F" w:rsidP="00E646C9"/>
    <w:p w:rsidR="00E646C9" w:rsidRPr="00130312" w:rsidRDefault="00E646C9" w:rsidP="00C3558F">
      <w:pPr>
        <w:pStyle w:val="AppendixGHeading2"/>
      </w:pPr>
      <w:r w:rsidRPr="00130312">
        <w:t>Residential Retail Program</w:t>
      </w:r>
    </w:p>
    <w:tbl>
      <w:tblPr>
        <w:tblW w:w="9361" w:type="dxa"/>
        <w:tblLayout w:type="fixed"/>
        <w:tblCellMar>
          <w:left w:w="0" w:type="dxa"/>
          <w:right w:w="0" w:type="dxa"/>
        </w:tblCellMar>
        <w:tblLook w:val="01E0" w:firstRow="1" w:lastRow="1" w:firstColumn="1" w:lastColumn="1" w:noHBand="0" w:noVBand="0"/>
      </w:tblPr>
      <w:tblGrid>
        <w:gridCol w:w="4680"/>
        <w:gridCol w:w="4681"/>
      </w:tblGrid>
      <w:tr w:rsidR="00E646C9" w:rsidTr="00821A84">
        <w:trPr>
          <w:trHeight w:hRule="exact" w:val="689"/>
          <w:tblHeader/>
        </w:trPr>
        <w:tc>
          <w:tcPr>
            <w:tcW w:w="4680" w:type="dxa"/>
            <w:tcBorders>
              <w:top w:val="single" w:sz="8" w:space="0" w:color="448999"/>
              <w:left w:val="single" w:sz="8" w:space="0" w:color="448999"/>
              <w:bottom w:val="single" w:sz="8" w:space="0" w:color="FFFFFF"/>
              <w:right w:val="nil"/>
            </w:tcBorders>
            <w:shd w:val="clear" w:color="auto" w:fill="448999"/>
          </w:tcPr>
          <w:p w:rsidR="00E646C9" w:rsidRDefault="00E646C9" w:rsidP="00821A84">
            <w:pPr>
              <w:pStyle w:val="TableParagraph"/>
              <w:spacing w:line="218" w:lineRule="exact"/>
              <w:ind w:left="166" w:right="11"/>
              <w:rPr>
                <w:rFonts w:ascii="Calibri" w:eastAsia="Calibri" w:hAnsi="Calibri" w:cs="Calibri"/>
                <w:sz w:val="18"/>
                <w:szCs w:val="18"/>
              </w:rPr>
            </w:pPr>
            <w:r>
              <w:rPr>
                <w:rFonts w:ascii="Calibri"/>
                <w:b/>
                <w:color w:val="FFFFFF"/>
                <w:spacing w:val="-1"/>
                <w:sz w:val="18"/>
              </w:rPr>
              <w:t>Recommendations</w:t>
            </w:r>
          </w:p>
        </w:tc>
        <w:tc>
          <w:tcPr>
            <w:tcW w:w="4681" w:type="dxa"/>
            <w:tcBorders>
              <w:top w:val="single" w:sz="8" w:space="0" w:color="448999"/>
              <w:left w:val="nil"/>
              <w:bottom w:val="nil"/>
              <w:right w:val="single" w:sz="8" w:space="0" w:color="448999"/>
            </w:tcBorders>
            <w:shd w:val="clear" w:color="auto" w:fill="448999"/>
            <w:vAlign w:val="bottom"/>
          </w:tcPr>
          <w:p w:rsidR="00C3558F" w:rsidRDefault="00E646C9" w:rsidP="00C3558F">
            <w:pPr>
              <w:pStyle w:val="TableParagraph"/>
              <w:ind w:left="581" w:right="569"/>
              <w:jc w:val="center"/>
              <w:rPr>
                <w:rFonts w:ascii="Calibri"/>
                <w:b/>
                <w:color w:val="FFFFFF"/>
                <w:spacing w:val="-3"/>
                <w:sz w:val="18"/>
              </w:rPr>
            </w:pP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p>
          <w:p w:rsidR="00E646C9" w:rsidRPr="00C3558F" w:rsidRDefault="00E646C9" w:rsidP="00C3558F">
            <w:pPr>
              <w:pStyle w:val="TableParagraph"/>
              <w:ind w:left="581" w:right="569"/>
              <w:jc w:val="center"/>
              <w:rPr>
                <w:rFonts w:ascii="Calibri" w:eastAsia="Calibri" w:hAnsi="Calibri" w:cs="Calibri"/>
                <w:sz w:val="18"/>
                <w:szCs w:val="18"/>
              </w:rPr>
            </w:pPr>
            <w:r w:rsidRPr="00C3558F">
              <w:rPr>
                <w:rFonts w:ascii="Calibri"/>
                <w:color w:val="FFFFFF"/>
                <w:spacing w:val="-1"/>
                <w:sz w:val="18"/>
              </w:rPr>
              <w:t>(Implemented,</w:t>
            </w:r>
            <w:r w:rsidRPr="00C3558F">
              <w:rPr>
                <w:rFonts w:ascii="Calibri"/>
                <w:color w:val="FFFFFF"/>
                <w:spacing w:val="43"/>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Pr="00C3558F" w:rsidRDefault="00E646C9" w:rsidP="00C3558F">
            <w:pPr>
              <w:pStyle w:val="TableParagraph"/>
              <w:spacing w:line="218" w:lineRule="exact"/>
              <w:ind w:left="9"/>
              <w:jc w:val="center"/>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1030"/>
        </w:trPr>
        <w:tc>
          <w:tcPr>
            <w:tcW w:w="4680" w:type="dxa"/>
            <w:tcBorders>
              <w:top w:val="single" w:sz="8"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spacing w:line="275" w:lineRule="auto"/>
              <w:ind w:left="97" w:right="215"/>
              <w:rPr>
                <w:rFonts w:ascii="Calibri" w:eastAsia="Calibri" w:hAnsi="Calibri" w:cs="Calibri"/>
                <w:sz w:val="18"/>
                <w:szCs w:val="18"/>
              </w:rPr>
            </w:pPr>
            <w:r>
              <w:rPr>
                <w:rFonts w:ascii="Calibri"/>
                <w:spacing w:val="-1"/>
                <w:sz w:val="18"/>
              </w:rPr>
              <w:t>Equipment--Consider</w:t>
            </w:r>
            <w:r>
              <w:rPr>
                <w:rFonts w:ascii="Calibri"/>
                <w:spacing w:val="-3"/>
                <w:sz w:val="18"/>
              </w:rPr>
              <w:t xml:space="preserve"> </w:t>
            </w:r>
            <w:r>
              <w:rPr>
                <w:rFonts w:ascii="Calibri"/>
                <w:spacing w:val="-1"/>
                <w:sz w:val="18"/>
              </w:rPr>
              <w:t>implementing</w:t>
            </w:r>
            <w:r>
              <w:rPr>
                <w:rFonts w:ascii="Calibri"/>
                <w:spacing w:val="-4"/>
                <w:sz w:val="18"/>
              </w:rPr>
              <w:t xml:space="preserve"> </w:t>
            </w:r>
            <w:r>
              <w:rPr>
                <w:rFonts w:ascii="Calibri"/>
                <w:sz w:val="18"/>
              </w:rPr>
              <w:t>an</w:t>
            </w:r>
            <w:r>
              <w:rPr>
                <w:rFonts w:ascii="Calibri"/>
                <w:spacing w:val="-4"/>
                <w:sz w:val="18"/>
              </w:rPr>
              <w:t xml:space="preserve"> </w:t>
            </w:r>
            <w:r>
              <w:rPr>
                <w:rFonts w:ascii="Calibri"/>
                <w:spacing w:val="-1"/>
                <w:sz w:val="18"/>
              </w:rPr>
              <w:t>online</w:t>
            </w:r>
            <w:r>
              <w:rPr>
                <w:rFonts w:ascii="Calibri"/>
                <w:spacing w:val="-4"/>
                <w:sz w:val="18"/>
              </w:rPr>
              <w:t xml:space="preserve"> </w:t>
            </w:r>
            <w:r>
              <w:rPr>
                <w:rFonts w:ascii="Calibri"/>
                <w:sz w:val="18"/>
              </w:rPr>
              <w:t>model-</w:t>
            </w:r>
            <w:r>
              <w:rPr>
                <w:rFonts w:ascii="Calibri"/>
                <w:spacing w:val="53"/>
                <w:sz w:val="18"/>
              </w:rPr>
              <w:t xml:space="preserve"> </w:t>
            </w:r>
            <w:r>
              <w:rPr>
                <w:rFonts w:ascii="Calibri"/>
                <w:spacing w:val="-1"/>
                <w:sz w:val="18"/>
              </w:rPr>
              <w:t>number</w:t>
            </w:r>
            <w:r>
              <w:rPr>
                <w:rFonts w:ascii="Calibri"/>
                <w:spacing w:val="-3"/>
                <w:sz w:val="18"/>
              </w:rPr>
              <w:t xml:space="preserve"> </w:t>
            </w:r>
            <w:r>
              <w:rPr>
                <w:rFonts w:ascii="Calibri"/>
                <w:spacing w:val="-1"/>
                <w:sz w:val="18"/>
              </w:rPr>
              <w:t>lookup</w:t>
            </w:r>
            <w:r>
              <w:rPr>
                <w:rFonts w:ascii="Calibri"/>
                <w:spacing w:val="-4"/>
                <w:sz w:val="18"/>
              </w:rPr>
              <w:t xml:space="preserve"> </w:t>
            </w:r>
            <w:r>
              <w:rPr>
                <w:rFonts w:ascii="Calibri"/>
                <w:spacing w:val="-1"/>
                <w:sz w:val="18"/>
              </w:rPr>
              <w:t>mechanism</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customers,</w:t>
            </w:r>
            <w:r>
              <w:rPr>
                <w:rFonts w:ascii="Calibri"/>
                <w:spacing w:val="-3"/>
                <w:sz w:val="18"/>
              </w:rPr>
              <w:t xml:space="preserve"> </w:t>
            </w:r>
            <w:r>
              <w:rPr>
                <w:rFonts w:ascii="Calibri"/>
                <w:spacing w:val="-1"/>
                <w:sz w:val="18"/>
              </w:rPr>
              <w:t>including</w:t>
            </w:r>
            <w:r>
              <w:rPr>
                <w:rFonts w:ascii="Calibri"/>
                <w:spacing w:val="49"/>
                <w:w w:val="99"/>
                <w:sz w:val="18"/>
              </w:rPr>
              <w:t xml:space="preserve"> </w:t>
            </w:r>
            <w:r>
              <w:rPr>
                <w:rFonts w:ascii="Calibri"/>
                <w:spacing w:val="-1"/>
                <w:sz w:val="18"/>
              </w:rPr>
              <w:t>incentive</w:t>
            </w:r>
            <w:r>
              <w:rPr>
                <w:rFonts w:ascii="Calibri"/>
                <w:spacing w:val="-4"/>
                <w:sz w:val="18"/>
              </w:rPr>
              <w:t xml:space="preserve"> </w:t>
            </w:r>
            <w:r>
              <w:rPr>
                <w:rFonts w:ascii="Calibri"/>
                <w:spacing w:val="-1"/>
                <w:sz w:val="18"/>
              </w:rPr>
              <w:t>levels,</w:t>
            </w:r>
            <w:r>
              <w:rPr>
                <w:rFonts w:ascii="Calibri"/>
                <w:spacing w:val="-2"/>
                <w:sz w:val="18"/>
              </w:rPr>
              <w:t xml:space="preserve"> </w:t>
            </w:r>
            <w:r>
              <w:rPr>
                <w:rFonts w:ascii="Calibri"/>
                <w:sz w:val="18"/>
              </w:rPr>
              <w:t>to</w:t>
            </w:r>
            <w:r>
              <w:rPr>
                <w:rFonts w:ascii="Calibri"/>
                <w:spacing w:val="-3"/>
                <w:sz w:val="18"/>
              </w:rPr>
              <w:t xml:space="preserve"> </w:t>
            </w:r>
            <w:r>
              <w:rPr>
                <w:rFonts w:ascii="Calibri"/>
                <w:spacing w:val="-1"/>
                <w:sz w:val="18"/>
              </w:rPr>
              <w:t>minimize</w:t>
            </w:r>
            <w:r>
              <w:rPr>
                <w:rFonts w:ascii="Calibri"/>
                <w:spacing w:val="-3"/>
                <w:sz w:val="18"/>
              </w:rPr>
              <w:t xml:space="preserve"> </w:t>
            </w:r>
            <w:r>
              <w:rPr>
                <w:rFonts w:ascii="Calibri"/>
                <w:spacing w:val="-1"/>
                <w:sz w:val="18"/>
              </w:rPr>
              <w:t>confusion</w:t>
            </w:r>
            <w:r>
              <w:rPr>
                <w:rFonts w:ascii="Calibri"/>
                <w:spacing w:val="-2"/>
                <w:sz w:val="18"/>
              </w:rPr>
              <w:t xml:space="preserve"> </w:t>
            </w:r>
            <w:r>
              <w:rPr>
                <w:rFonts w:ascii="Calibri"/>
                <w:sz w:val="18"/>
              </w:rPr>
              <w:t>when</w:t>
            </w:r>
            <w:r>
              <w:rPr>
                <w:rFonts w:ascii="Calibri"/>
                <w:spacing w:val="-3"/>
                <w:sz w:val="18"/>
              </w:rPr>
              <w:t xml:space="preserve"> </w:t>
            </w:r>
            <w:r>
              <w:rPr>
                <w:rFonts w:ascii="Calibri"/>
                <w:spacing w:val="-1"/>
                <w:sz w:val="18"/>
              </w:rPr>
              <w:t>tiered</w:t>
            </w:r>
            <w:r>
              <w:rPr>
                <w:rFonts w:ascii="Calibri"/>
                <w:spacing w:val="-4"/>
                <w:sz w:val="18"/>
              </w:rPr>
              <w:t xml:space="preserve"> </w:t>
            </w:r>
            <w:r>
              <w:rPr>
                <w:rFonts w:ascii="Calibri"/>
                <w:sz w:val="18"/>
              </w:rPr>
              <w:t>rebates</w:t>
            </w:r>
            <w:r>
              <w:rPr>
                <w:rFonts w:ascii="Calibri"/>
                <w:spacing w:val="51"/>
                <w:sz w:val="18"/>
              </w:rPr>
              <w:t xml:space="preserve"> </w:t>
            </w:r>
            <w:r>
              <w:rPr>
                <w:rFonts w:ascii="Calibri"/>
                <w:sz w:val="18"/>
              </w:rPr>
              <w:t>are</w:t>
            </w:r>
            <w:r>
              <w:rPr>
                <w:rFonts w:ascii="Calibri"/>
                <w:spacing w:val="-3"/>
                <w:sz w:val="18"/>
              </w:rPr>
              <w:t xml:space="preserve"> </w:t>
            </w:r>
            <w:r>
              <w:rPr>
                <w:rFonts w:ascii="Calibri"/>
                <w:spacing w:val="-1"/>
                <w:sz w:val="18"/>
              </w:rPr>
              <w:t>offered</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the same</w:t>
            </w:r>
            <w:r>
              <w:rPr>
                <w:rFonts w:ascii="Calibri"/>
                <w:spacing w:val="-2"/>
                <w:sz w:val="18"/>
              </w:rPr>
              <w:t xml:space="preserve"> </w:t>
            </w:r>
            <w:r>
              <w:rPr>
                <w:rFonts w:ascii="Calibri"/>
                <w:spacing w:val="-1"/>
                <w:sz w:val="18"/>
              </w:rPr>
              <w:t>type</w:t>
            </w:r>
            <w:r>
              <w:rPr>
                <w:rFonts w:ascii="Calibri"/>
                <w:spacing w:val="-3"/>
                <w:sz w:val="18"/>
              </w:rPr>
              <w:t xml:space="preserve"> </w:t>
            </w:r>
            <w:r>
              <w:rPr>
                <w:rFonts w:ascii="Calibri"/>
                <w:sz w:val="18"/>
              </w:rPr>
              <w:t xml:space="preserve">of </w:t>
            </w:r>
            <w:r>
              <w:rPr>
                <w:rFonts w:ascii="Calibri"/>
                <w:spacing w:val="-1"/>
                <w:sz w:val="18"/>
              </w:rPr>
              <w:t>appliance.</w:t>
            </w:r>
          </w:p>
        </w:tc>
        <w:tc>
          <w:tcPr>
            <w:tcW w:w="4681" w:type="dxa"/>
            <w:tcBorders>
              <w:top w:val="single" w:sz="8"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C3558F">
        <w:trPr>
          <w:trHeight w:hRule="exact" w:val="1534"/>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spacing w:line="276" w:lineRule="auto"/>
              <w:ind w:left="97" w:right="195"/>
              <w:rPr>
                <w:rFonts w:ascii="Calibri" w:eastAsia="Calibri" w:hAnsi="Calibri" w:cs="Calibri"/>
                <w:sz w:val="18"/>
                <w:szCs w:val="18"/>
              </w:rPr>
            </w:pPr>
            <w:r>
              <w:rPr>
                <w:rFonts w:ascii="Calibri"/>
                <w:spacing w:val="-1"/>
                <w:sz w:val="18"/>
              </w:rPr>
              <w:t>Equipment--Consider</w:t>
            </w:r>
            <w:r>
              <w:rPr>
                <w:rFonts w:ascii="Calibri"/>
                <w:spacing w:val="-5"/>
                <w:sz w:val="18"/>
              </w:rPr>
              <w:t xml:space="preserve"> </w:t>
            </w:r>
            <w:r>
              <w:rPr>
                <w:rFonts w:ascii="Calibri"/>
                <w:spacing w:val="-1"/>
                <w:sz w:val="18"/>
              </w:rPr>
              <w:t>replacing</w:t>
            </w:r>
            <w:r>
              <w:rPr>
                <w:rFonts w:ascii="Calibri"/>
                <w:spacing w:val="-6"/>
                <w:sz w:val="18"/>
              </w:rPr>
              <w:t xml:space="preserve"> </w:t>
            </w:r>
            <w:r>
              <w:rPr>
                <w:rFonts w:ascii="Calibri"/>
                <w:spacing w:val="-1"/>
                <w:sz w:val="18"/>
              </w:rPr>
              <w:t>refrigerators</w:t>
            </w:r>
            <w:r>
              <w:rPr>
                <w:rFonts w:ascii="Calibri"/>
                <w:spacing w:val="-4"/>
                <w:sz w:val="18"/>
              </w:rPr>
              <w:t xml:space="preserve"> </w:t>
            </w:r>
            <w:r>
              <w:rPr>
                <w:rFonts w:ascii="Calibri"/>
                <w:sz w:val="18"/>
              </w:rPr>
              <w:t>with</w:t>
            </w:r>
            <w:r>
              <w:rPr>
                <w:rFonts w:ascii="Calibri"/>
                <w:spacing w:val="-6"/>
                <w:sz w:val="18"/>
              </w:rPr>
              <w:t xml:space="preserve"> </w:t>
            </w:r>
            <w:r>
              <w:rPr>
                <w:rFonts w:ascii="Calibri"/>
                <w:spacing w:val="-1"/>
                <w:sz w:val="18"/>
              </w:rPr>
              <w:t>another</w:t>
            </w:r>
            <w:r>
              <w:rPr>
                <w:rFonts w:ascii="Calibri"/>
                <w:spacing w:val="65"/>
                <w:w w:val="99"/>
                <w:sz w:val="18"/>
              </w:rPr>
              <w:t xml:space="preserve"> </w:t>
            </w:r>
            <w:r>
              <w:rPr>
                <w:rFonts w:ascii="Calibri"/>
                <w:sz w:val="18"/>
              </w:rPr>
              <w:t>common</w:t>
            </w:r>
            <w:r>
              <w:rPr>
                <w:rFonts w:ascii="Calibri"/>
                <w:spacing w:val="-3"/>
                <w:sz w:val="18"/>
              </w:rPr>
              <w:t xml:space="preserve"> </w:t>
            </w:r>
            <w:r>
              <w:rPr>
                <w:rFonts w:ascii="Calibri"/>
                <w:spacing w:val="-1"/>
                <w:sz w:val="18"/>
              </w:rPr>
              <w:t>household</w:t>
            </w:r>
            <w:r>
              <w:rPr>
                <w:rFonts w:ascii="Calibri"/>
                <w:spacing w:val="-3"/>
                <w:sz w:val="18"/>
              </w:rPr>
              <w:t xml:space="preserve"> </w:t>
            </w:r>
            <w:r>
              <w:rPr>
                <w:rFonts w:ascii="Calibri"/>
                <w:spacing w:val="-1"/>
                <w:sz w:val="18"/>
              </w:rPr>
              <w:t>appliance</w:t>
            </w:r>
            <w:r>
              <w:rPr>
                <w:rFonts w:ascii="Calibri"/>
                <w:spacing w:val="-3"/>
                <w:sz w:val="18"/>
              </w:rPr>
              <w:t xml:space="preserve"> </w:t>
            </w:r>
            <w:r>
              <w:rPr>
                <w:rFonts w:ascii="Calibri"/>
                <w:sz w:val="18"/>
              </w:rPr>
              <w:t>that</w:t>
            </w:r>
            <w:r>
              <w:rPr>
                <w:rFonts w:ascii="Calibri"/>
                <w:spacing w:val="-2"/>
                <w:sz w:val="18"/>
              </w:rPr>
              <w:t xml:space="preserve"> </w:t>
            </w:r>
            <w:r>
              <w:rPr>
                <w:rFonts w:ascii="Calibri"/>
                <w:spacing w:val="-1"/>
                <w:sz w:val="18"/>
              </w:rPr>
              <w:t>will</w:t>
            </w:r>
            <w:r>
              <w:rPr>
                <w:rFonts w:ascii="Calibri"/>
                <w:spacing w:val="-3"/>
                <w:sz w:val="18"/>
              </w:rPr>
              <w:t xml:space="preserve"> </w:t>
            </w:r>
            <w:r>
              <w:rPr>
                <w:rFonts w:ascii="Calibri"/>
                <w:spacing w:val="-1"/>
                <w:sz w:val="18"/>
              </w:rPr>
              <w:t>have</w:t>
            </w:r>
            <w:r>
              <w:rPr>
                <w:rFonts w:ascii="Calibri"/>
                <w:spacing w:val="-2"/>
                <w:sz w:val="18"/>
              </w:rPr>
              <w:t xml:space="preserve"> </w:t>
            </w:r>
            <w:r>
              <w:rPr>
                <w:rFonts w:ascii="Calibri"/>
                <w:sz w:val="18"/>
              </w:rPr>
              <w:t>a</w:t>
            </w:r>
            <w:r>
              <w:rPr>
                <w:rFonts w:ascii="Calibri"/>
                <w:spacing w:val="-2"/>
                <w:sz w:val="18"/>
              </w:rPr>
              <w:t xml:space="preserve"> </w:t>
            </w:r>
            <w:r>
              <w:rPr>
                <w:rFonts w:ascii="Calibri"/>
                <w:spacing w:val="-1"/>
                <w:sz w:val="18"/>
              </w:rPr>
              <w:t>larger</w:t>
            </w:r>
            <w:r>
              <w:rPr>
                <w:rFonts w:ascii="Calibri"/>
                <w:spacing w:val="-2"/>
                <w:sz w:val="18"/>
              </w:rPr>
              <w:t xml:space="preserve"> </w:t>
            </w:r>
            <w:r>
              <w:rPr>
                <w:rFonts w:ascii="Calibri"/>
                <w:spacing w:val="-1"/>
                <w:sz w:val="18"/>
              </w:rPr>
              <w:t>impact</w:t>
            </w:r>
            <w:r>
              <w:rPr>
                <w:rFonts w:ascii="Calibri"/>
                <w:spacing w:val="55"/>
                <w:w w:val="99"/>
                <w:sz w:val="18"/>
              </w:rPr>
              <w:t xml:space="preserve"> </w:t>
            </w:r>
            <w:r>
              <w:rPr>
                <w:rFonts w:ascii="Calibri"/>
                <w:spacing w:val="-1"/>
                <w:sz w:val="18"/>
              </w:rPr>
              <w:t>in</w:t>
            </w:r>
            <w:r>
              <w:rPr>
                <w:rFonts w:ascii="Calibri"/>
                <w:spacing w:val="-3"/>
                <w:sz w:val="18"/>
              </w:rPr>
              <w:t xml:space="preserve"> </w:t>
            </w:r>
            <w:r>
              <w:rPr>
                <w:rFonts w:ascii="Calibri"/>
                <w:spacing w:val="-1"/>
                <w:sz w:val="18"/>
              </w:rPr>
              <w:t>terms</w:t>
            </w:r>
            <w:r>
              <w:rPr>
                <w:rFonts w:ascii="Calibri"/>
                <w:spacing w:val="-3"/>
                <w:sz w:val="18"/>
              </w:rPr>
              <w:t xml:space="preserve"> </w:t>
            </w:r>
            <w:r>
              <w:rPr>
                <w:rFonts w:ascii="Calibri"/>
                <w:sz w:val="18"/>
              </w:rPr>
              <w:t>of</w:t>
            </w:r>
            <w:r>
              <w:rPr>
                <w:rFonts w:ascii="Calibri"/>
                <w:spacing w:val="-2"/>
                <w:sz w:val="18"/>
              </w:rPr>
              <w:t xml:space="preserve"> </w:t>
            </w:r>
            <w:r>
              <w:rPr>
                <w:rFonts w:ascii="Calibri"/>
                <w:spacing w:val="-1"/>
                <w:sz w:val="18"/>
              </w:rPr>
              <w:t>both savings</w:t>
            </w:r>
            <w:r>
              <w:rPr>
                <w:rFonts w:ascii="Calibri"/>
                <w:spacing w:val="-2"/>
                <w:sz w:val="18"/>
              </w:rPr>
              <w:t xml:space="preserve"> </w:t>
            </w:r>
            <w:r>
              <w:rPr>
                <w:rFonts w:ascii="Calibri"/>
                <w:spacing w:val="-1"/>
                <w:sz w:val="18"/>
              </w:rPr>
              <w:t>and</w:t>
            </w:r>
            <w:r>
              <w:rPr>
                <w:rFonts w:ascii="Calibri"/>
                <w:spacing w:val="-2"/>
                <w:sz w:val="18"/>
              </w:rPr>
              <w:t xml:space="preserve"> </w:t>
            </w:r>
            <w:r>
              <w:rPr>
                <w:rFonts w:ascii="Calibri"/>
                <w:sz w:val="18"/>
              </w:rPr>
              <w:t>customer</w:t>
            </w:r>
            <w:r>
              <w:rPr>
                <w:rFonts w:ascii="Calibri"/>
                <w:spacing w:val="-2"/>
                <w:sz w:val="18"/>
              </w:rPr>
              <w:t xml:space="preserve"> </w:t>
            </w:r>
            <w:r>
              <w:rPr>
                <w:rFonts w:ascii="Calibri"/>
                <w:spacing w:val="-1"/>
                <w:sz w:val="18"/>
              </w:rPr>
              <w:t>satisfaction</w:t>
            </w:r>
            <w:r>
              <w:rPr>
                <w:rFonts w:ascii="Calibri"/>
                <w:spacing w:val="-2"/>
                <w:sz w:val="18"/>
              </w:rPr>
              <w:t xml:space="preserve"> </w:t>
            </w:r>
            <w:r>
              <w:rPr>
                <w:rFonts w:ascii="Calibri"/>
                <w:spacing w:val="-1"/>
                <w:sz w:val="18"/>
              </w:rPr>
              <w:t>with</w:t>
            </w:r>
            <w:r>
              <w:rPr>
                <w:rFonts w:ascii="Calibri"/>
                <w:spacing w:val="-3"/>
                <w:sz w:val="18"/>
              </w:rPr>
              <w:t xml:space="preserve"> </w:t>
            </w:r>
            <w:r>
              <w:rPr>
                <w:rFonts w:ascii="Calibri"/>
                <w:sz w:val="18"/>
              </w:rPr>
              <w:t>the</w:t>
            </w:r>
            <w:r>
              <w:rPr>
                <w:rFonts w:ascii="Calibri"/>
                <w:spacing w:val="55"/>
                <w:w w:val="99"/>
                <w:sz w:val="18"/>
              </w:rPr>
              <w:t xml:space="preserve"> </w:t>
            </w:r>
            <w:r>
              <w:rPr>
                <w:rFonts w:ascii="Calibri"/>
                <w:spacing w:val="-1"/>
                <w:sz w:val="18"/>
              </w:rPr>
              <w:t>program</w:t>
            </w:r>
            <w:r>
              <w:rPr>
                <w:rFonts w:ascii="Calibri"/>
                <w:spacing w:val="-4"/>
                <w:sz w:val="18"/>
              </w:rPr>
              <w:t xml:space="preserve"> </w:t>
            </w:r>
            <w:r>
              <w:rPr>
                <w:rFonts w:ascii="Calibri"/>
                <w:spacing w:val="-1"/>
                <w:sz w:val="18"/>
              </w:rPr>
              <w:t>and</w:t>
            </w:r>
            <w:r>
              <w:rPr>
                <w:rFonts w:ascii="Calibri"/>
                <w:spacing w:val="-4"/>
                <w:sz w:val="18"/>
              </w:rPr>
              <w:t xml:space="preserve"> </w:t>
            </w:r>
            <w:r>
              <w:rPr>
                <w:rFonts w:ascii="Calibri"/>
                <w:spacing w:val="-1"/>
                <w:sz w:val="18"/>
              </w:rPr>
              <w:t>with</w:t>
            </w:r>
            <w:r>
              <w:rPr>
                <w:rFonts w:ascii="Calibri"/>
                <w:spacing w:val="-5"/>
                <w:sz w:val="18"/>
              </w:rPr>
              <w:t xml:space="preserve"> </w:t>
            </w:r>
            <w:r>
              <w:rPr>
                <w:rFonts w:ascii="Calibri"/>
                <w:sz w:val="18"/>
              </w:rPr>
              <w:t>PPL</w:t>
            </w:r>
            <w:r>
              <w:rPr>
                <w:rFonts w:ascii="Calibri"/>
                <w:spacing w:val="-1"/>
                <w:sz w:val="18"/>
              </w:rPr>
              <w:t xml:space="preserve"> Electric</w:t>
            </w:r>
            <w:r>
              <w:rPr>
                <w:rFonts w:ascii="Calibri"/>
                <w:spacing w:val="-2"/>
                <w:sz w:val="18"/>
              </w:rPr>
              <w:t xml:space="preserve"> </w:t>
            </w:r>
            <w:r>
              <w:rPr>
                <w:rFonts w:ascii="Calibri"/>
                <w:spacing w:val="-1"/>
                <w:sz w:val="18"/>
              </w:rPr>
              <w:t>Utilities.</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ight="124"/>
              <w:rPr>
                <w:rFonts w:ascii="Calibri" w:eastAsia="Calibri" w:hAnsi="Calibri" w:cs="Calibri"/>
                <w:sz w:val="18"/>
                <w:szCs w:val="18"/>
              </w:rPr>
            </w:pPr>
            <w:r>
              <w:rPr>
                <w:rFonts w:ascii="Calibri"/>
                <w:spacing w:val="-1"/>
                <w:sz w:val="18"/>
              </w:rPr>
              <w:t>Rejected</w:t>
            </w:r>
            <w:r>
              <w:rPr>
                <w:rFonts w:ascii="Calibri"/>
                <w:spacing w:val="-4"/>
                <w:sz w:val="18"/>
              </w:rPr>
              <w:t xml:space="preserve"> </w:t>
            </w:r>
            <w:r>
              <w:rPr>
                <w:rFonts w:ascii="Calibri"/>
                <w:sz w:val="18"/>
              </w:rPr>
              <w:t>but</w:t>
            </w:r>
            <w:r>
              <w:rPr>
                <w:rFonts w:ascii="Calibri"/>
                <w:spacing w:val="-3"/>
                <w:sz w:val="18"/>
              </w:rPr>
              <w:t xml:space="preserve"> </w:t>
            </w:r>
            <w:r>
              <w:rPr>
                <w:rFonts w:ascii="Calibri"/>
                <w:sz w:val="18"/>
              </w:rPr>
              <w:t>may</w:t>
            </w:r>
            <w:r>
              <w:rPr>
                <w:rFonts w:ascii="Calibri"/>
                <w:spacing w:val="-3"/>
                <w:sz w:val="18"/>
              </w:rPr>
              <w:t xml:space="preserve"> </w:t>
            </w:r>
            <w:r>
              <w:rPr>
                <w:rFonts w:ascii="Calibri"/>
                <w:spacing w:val="-1"/>
                <w:sz w:val="18"/>
              </w:rPr>
              <w:t>be</w:t>
            </w:r>
            <w:r>
              <w:rPr>
                <w:rFonts w:ascii="Calibri"/>
                <w:spacing w:val="-4"/>
                <w:sz w:val="18"/>
              </w:rPr>
              <w:t xml:space="preserve"> </w:t>
            </w:r>
            <w:r>
              <w:rPr>
                <w:rFonts w:ascii="Calibri"/>
                <w:spacing w:val="-1"/>
                <w:sz w:val="18"/>
              </w:rPr>
              <w:t>reconsidered</w:t>
            </w:r>
            <w:r>
              <w:rPr>
                <w:rFonts w:ascii="Calibri"/>
                <w:spacing w:val="-3"/>
                <w:sz w:val="18"/>
              </w:rPr>
              <w:t xml:space="preserve"> </w:t>
            </w:r>
            <w:r>
              <w:rPr>
                <w:rFonts w:ascii="Calibri"/>
                <w:sz w:val="18"/>
              </w:rPr>
              <w:t>over</w:t>
            </w:r>
            <w:r>
              <w:rPr>
                <w:rFonts w:ascii="Calibri"/>
                <w:spacing w:val="-3"/>
                <w:sz w:val="18"/>
              </w:rPr>
              <w:t xml:space="preserve"> </w:t>
            </w:r>
            <w:r>
              <w:rPr>
                <w:rFonts w:ascii="Calibri"/>
                <w:spacing w:val="-1"/>
                <w:sz w:val="18"/>
              </w:rPr>
              <w:t>time.</w:t>
            </w:r>
            <w:r>
              <w:rPr>
                <w:rFonts w:ascii="Calibri"/>
                <w:spacing w:val="35"/>
                <w:sz w:val="18"/>
              </w:rPr>
              <w:t xml:space="preserve"> </w:t>
            </w:r>
            <w:r>
              <w:rPr>
                <w:rFonts w:ascii="Calibri"/>
                <w:spacing w:val="-1"/>
                <w:sz w:val="18"/>
              </w:rPr>
              <w:t>During</w:t>
            </w:r>
            <w:r>
              <w:rPr>
                <w:rFonts w:ascii="Calibri"/>
                <w:spacing w:val="-4"/>
                <w:sz w:val="18"/>
              </w:rPr>
              <w:t xml:space="preserve"> </w:t>
            </w:r>
            <w:r>
              <w:rPr>
                <w:rFonts w:ascii="Calibri"/>
                <w:sz w:val="18"/>
              </w:rPr>
              <w:t>the</w:t>
            </w:r>
            <w:r>
              <w:rPr>
                <w:rFonts w:ascii="Calibri"/>
                <w:spacing w:val="43"/>
                <w:w w:val="99"/>
                <w:sz w:val="18"/>
              </w:rPr>
              <w:t xml:space="preserve"> </w:t>
            </w:r>
            <w:r>
              <w:rPr>
                <w:rFonts w:ascii="Calibri"/>
                <w:spacing w:val="-1"/>
                <w:sz w:val="18"/>
              </w:rPr>
              <w:t>Phase</w:t>
            </w:r>
            <w:r>
              <w:rPr>
                <w:rFonts w:ascii="Calibri"/>
                <w:spacing w:val="-4"/>
                <w:sz w:val="18"/>
              </w:rPr>
              <w:t xml:space="preserve"> </w:t>
            </w:r>
            <w:r>
              <w:rPr>
                <w:rFonts w:ascii="Calibri"/>
                <w:sz w:val="18"/>
              </w:rPr>
              <w:t>III</w:t>
            </w:r>
            <w:r>
              <w:rPr>
                <w:rFonts w:ascii="Calibri"/>
                <w:spacing w:val="-3"/>
                <w:sz w:val="18"/>
              </w:rPr>
              <w:t xml:space="preserve"> </w:t>
            </w:r>
            <w:r>
              <w:rPr>
                <w:rFonts w:ascii="Calibri"/>
                <w:spacing w:val="-1"/>
                <w:sz w:val="18"/>
              </w:rPr>
              <w:t>EE&amp;C</w:t>
            </w:r>
            <w:r>
              <w:rPr>
                <w:rFonts w:ascii="Calibri"/>
                <w:spacing w:val="-2"/>
                <w:sz w:val="18"/>
              </w:rPr>
              <w:t xml:space="preserve"> </w:t>
            </w:r>
            <w:r>
              <w:rPr>
                <w:rFonts w:ascii="Calibri"/>
                <w:spacing w:val="-1"/>
                <w:sz w:val="18"/>
              </w:rPr>
              <w:t>Plan,</w:t>
            </w:r>
            <w:r>
              <w:rPr>
                <w:rFonts w:ascii="Calibri"/>
                <w:spacing w:val="-3"/>
                <w:sz w:val="18"/>
              </w:rPr>
              <w:t xml:space="preserve"> </w:t>
            </w:r>
            <w:r>
              <w:rPr>
                <w:rFonts w:ascii="Calibri"/>
                <w:sz w:val="18"/>
              </w:rPr>
              <w:t>PPL</w:t>
            </w:r>
            <w:r>
              <w:rPr>
                <w:rFonts w:ascii="Calibri"/>
                <w:spacing w:val="-2"/>
                <w:sz w:val="18"/>
              </w:rPr>
              <w:t xml:space="preserve"> </w:t>
            </w:r>
            <w:r>
              <w:rPr>
                <w:rFonts w:ascii="Calibri"/>
                <w:spacing w:val="-1"/>
                <w:sz w:val="18"/>
              </w:rPr>
              <w:t>rejected</w:t>
            </w:r>
            <w:r>
              <w:rPr>
                <w:rFonts w:ascii="Calibri"/>
                <w:spacing w:val="-3"/>
                <w:sz w:val="18"/>
              </w:rPr>
              <w:t xml:space="preserve"> </w:t>
            </w:r>
            <w:r>
              <w:rPr>
                <w:rFonts w:ascii="Calibri"/>
                <w:spacing w:val="-1"/>
                <w:sz w:val="18"/>
              </w:rPr>
              <w:t>replacing</w:t>
            </w:r>
            <w:r>
              <w:rPr>
                <w:rFonts w:ascii="Calibri"/>
                <w:spacing w:val="-4"/>
                <w:sz w:val="18"/>
              </w:rPr>
              <w:t xml:space="preserve"> </w:t>
            </w:r>
            <w:r>
              <w:rPr>
                <w:rFonts w:ascii="Calibri"/>
                <w:spacing w:val="-1"/>
                <w:sz w:val="18"/>
              </w:rPr>
              <w:t>refrigerators</w:t>
            </w:r>
            <w:r>
              <w:rPr>
                <w:rFonts w:ascii="Calibri"/>
                <w:spacing w:val="-4"/>
                <w:sz w:val="18"/>
              </w:rPr>
              <w:t xml:space="preserve"> </w:t>
            </w:r>
            <w:r>
              <w:rPr>
                <w:rFonts w:ascii="Calibri"/>
                <w:sz w:val="18"/>
              </w:rPr>
              <w:t>with</w:t>
            </w:r>
            <w:r>
              <w:rPr>
                <w:rFonts w:ascii="Calibri"/>
                <w:spacing w:val="61"/>
                <w:sz w:val="18"/>
              </w:rPr>
              <w:t xml:space="preserve"> </w:t>
            </w:r>
            <w:r>
              <w:rPr>
                <w:rFonts w:ascii="Calibri"/>
                <w:spacing w:val="-1"/>
                <w:sz w:val="18"/>
              </w:rPr>
              <w:t>another</w:t>
            </w:r>
            <w:r>
              <w:rPr>
                <w:rFonts w:ascii="Calibri"/>
                <w:spacing w:val="-2"/>
                <w:sz w:val="18"/>
              </w:rPr>
              <w:t xml:space="preserve"> </w:t>
            </w:r>
            <w:r>
              <w:rPr>
                <w:rFonts w:ascii="Calibri"/>
                <w:spacing w:val="-1"/>
                <w:sz w:val="18"/>
              </w:rPr>
              <w:t>household</w:t>
            </w:r>
            <w:r>
              <w:rPr>
                <w:rFonts w:ascii="Calibri"/>
                <w:spacing w:val="-2"/>
                <w:sz w:val="18"/>
              </w:rPr>
              <w:t xml:space="preserve"> </w:t>
            </w:r>
            <w:r>
              <w:rPr>
                <w:rFonts w:ascii="Calibri"/>
                <w:spacing w:val="-1"/>
                <w:sz w:val="18"/>
              </w:rPr>
              <w:t>appliance.</w:t>
            </w:r>
            <w:r>
              <w:rPr>
                <w:rFonts w:ascii="Calibri"/>
                <w:spacing w:val="36"/>
                <w:sz w:val="18"/>
              </w:rPr>
              <w:t xml:space="preserve"> </w:t>
            </w:r>
            <w:r>
              <w:rPr>
                <w:rFonts w:ascii="Calibri"/>
                <w:sz w:val="18"/>
              </w:rPr>
              <w:t>No</w:t>
            </w:r>
            <w:r>
              <w:rPr>
                <w:rFonts w:ascii="Calibri"/>
                <w:spacing w:val="-1"/>
                <w:sz w:val="18"/>
              </w:rPr>
              <w:t xml:space="preserve"> other</w:t>
            </w:r>
            <w:r>
              <w:rPr>
                <w:rFonts w:ascii="Calibri"/>
                <w:spacing w:val="-2"/>
                <w:sz w:val="18"/>
              </w:rPr>
              <w:t xml:space="preserve"> </w:t>
            </w:r>
            <w:r>
              <w:rPr>
                <w:rFonts w:ascii="Calibri"/>
                <w:spacing w:val="-1"/>
                <w:sz w:val="18"/>
              </w:rPr>
              <w:t>appliances</w:t>
            </w:r>
            <w:r>
              <w:rPr>
                <w:rFonts w:ascii="Calibri"/>
                <w:spacing w:val="-2"/>
                <w:sz w:val="18"/>
              </w:rPr>
              <w:t xml:space="preserve"> </w:t>
            </w:r>
            <w:r>
              <w:rPr>
                <w:rFonts w:ascii="Calibri"/>
                <w:spacing w:val="-1"/>
                <w:sz w:val="18"/>
              </w:rPr>
              <w:t>(washing</w:t>
            </w:r>
            <w:r>
              <w:rPr>
                <w:rFonts w:ascii="Calibri"/>
                <w:spacing w:val="61"/>
                <w:w w:val="99"/>
                <w:sz w:val="18"/>
              </w:rPr>
              <w:t xml:space="preserve"> </w:t>
            </w:r>
            <w:r>
              <w:rPr>
                <w:rFonts w:ascii="Calibri"/>
                <w:spacing w:val="-1"/>
                <w:sz w:val="18"/>
              </w:rPr>
              <w:t>machines,</w:t>
            </w:r>
            <w:r>
              <w:rPr>
                <w:rFonts w:ascii="Calibri"/>
                <w:spacing w:val="-4"/>
                <w:sz w:val="18"/>
              </w:rPr>
              <w:t xml:space="preserve"> </w:t>
            </w:r>
            <w:r>
              <w:rPr>
                <w:rFonts w:ascii="Calibri"/>
                <w:spacing w:val="-1"/>
                <w:sz w:val="18"/>
              </w:rPr>
              <w:t>dishwashers,</w:t>
            </w:r>
            <w:r>
              <w:rPr>
                <w:rFonts w:ascii="Calibri"/>
                <w:spacing w:val="-3"/>
                <w:sz w:val="18"/>
              </w:rPr>
              <w:t xml:space="preserve"> </w:t>
            </w:r>
            <w:r>
              <w:rPr>
                <w:rFonts w:ascii="Calibri"/>
                <w:spacing w:val="-1"/>
                <w:sz w:val="18"/>
              </w:rPr>
              <w:t>etc.)</w:t>
            </w:r>
            <w:r>
              <w:rPr>
                <w:rFonts w:ascii="Calibri"/>
                <w:spacing w:val="-3"/>
                <w:sz w:val="18"/>
              </w:rPr>
              <w:t xml:space="preserve"> </w:t>
            </w:r>
            <w:r>
              <w:rPr>
                <w:rFonts w:ascii="Calibri"/>
                <w:sz w:val="18"/>
              </w:rPr>
              <w:t>have</w:t>
            </w:r>
            <w:r>
              <w:rPr>
                <w:rFonts w:ascii="Calibri"/>
                <w:spacing w:val="-4"/>
                <w:sz w:val="18"/>
              </w:rPr>
              <w:t xml:space="preserve"> </w:t>
            </w:r>
            <w:r>
              <w:rPr>
                <w:rFonts w:ascii="Calibri"/>
                <w:spacing w:val="-1"/>
                <w:sz w:val="18"/>
              </w:rPr>
              <w:t>materially</w:t>
            </w:r>
            <w:r>
              <w:rPr>
                <w:rFonts w:ascii="Calibri"/>
                <w:spacing w:val="-2"/>
                <w:sz w:val="18"/>
              </w:rPr>
              <w:t xml:space="preserve"> </w:t>
            </w:r>
            <w:r>
              <w:rPr>
                <w:rFonts w:ascii="Calibri"/>
                <w:spacing w:val="-1"/>
                <w:sz w:val="18"/>
              </w:rPr>
              <w:t>higher</w:t>
            </w:r>
            <w:r>
              <w:rPr>
                <w:rFonts w:ascii="Calibri"/>
                <w:spacing w:val="-3"/>
                <w:sz w:val="18"/>
              </w:rPr>
              <w:t xml:space="preserve"> </w:t>
            </w:r>
            <w:r>
              <w:rPr>
                <w:rFonts w:ascii="Calibri"/>
                <w:spacing w:val="-1"/>
                <w:sz w:val="18"/>
              </w:rPr>
              <w:t>savings</w:t>
            </w:r>
            <w:r>
              <w:rPr>
                <w:rFonts w:ascii="Calibri"/>
                <w:spacing w:val="63"/>
                <w:sz w:val="18"/>
              </w:rPr>
              <w:t xml:space="preserve"> </w:t>
            </w:r>
            <w:r>
              <w:rPr>
                <w:rFonts w:ascii="Calibri"/>
                <w:sz w:val="18"/>
              </w:rPr>
              <w:t>or</w:t>
            </w:r>
            <w:r>
              <w:rPr>
                <w:rFonts w:ascii="Calibri"/>
                <w:spacing w:val="-2"/>
                <w:sz w:val="18"/>
              </w:rPr>
              <w:t xml:space="preserve"> </w:t>
            </w:r>
            <w:r>
              <w:rPr>
                <w:rFonts w:ascii="Calibri"/>
                <w:sz w:val="18"/>
              </w:rPr>
              <w:t>a</w:t>
            </w:r>
            <w:r>
              <w:rPr>
                <w:rFonts w:ascii="Calibri"/>
                <w:spacing w:val="-2"/>
                <w:sz w:val="18"/>
              </w:rPr>
              <w:t xml:space="preserve"> </w:t>
            </w:r>
            <w:r>
              <w:rPr>
                <w:rFonts w:ascii="Calibri"/>
                <w:spacing w:val="-1"/>
                <w:sz w:val="18"/>
              </w:rPr>
              <w:t>lower program</w:t>
            </w:r>
            <w:r>
              <w:rPr>
                <w:rFonts w:ascii="Calibri"/>
                <w:spacing w:val="-3"/>
                <w:sz w:val="18"/>
              </w:rPr>
              <w:t xml:space="preserve"> </w:t>
            </w:r>
            <w:r>
              <w:rPr>
                <w:rFonts w:ascii="Calibri"/>
                <w:spacing w:val="-1"/>
                <w:sz w:val="18"/>
              </w:rPr>
              <w:t>acquisition</w:t>
            </w:r>
            <w:r>
              <w:rPr>
                <w:rFonts w:ascii="Calibri"/>
                <w:spacing w:val="-2"/>
                <w:sz w:val="18"/>
              </w:rPr>
              <w:t xml:space="preserve"> </w:t>
            </w:r>
            <w:r>
              <w:rPr>
                <w:rFonts w:ascii="Calibri"/>
                <w:sz w:val="18"/>
              </w:rPr>
              <w:t>cost.</w:t>
            </w:r>
            <w:r>
              <w:rPr>
                <w:rFonts w:ascii="Calibri"/>
                <w:spacing w:val="36"/>
                <w:sz w:val="18"/>
              </w:rPr>
              <w:t xml:space="preserve"> </w:t>
            </w:r>
            <w:r>
              <w:rPr>
                <w:rFonts w:ascii="Calibri"/>
                <w:spacing w:val="-1"/>
                <w:sz w:val="18"/>
              </w:rPr>
              <w:t>Also, the</w:t>
            </w:r>
            <w:r>
              <w:rPr>
                <w:rFonts w:ascii="Calibri"/>
                <w:spacing w:val="-3"/>
                <w:sz w:val="18"/>
              </w:rPr>
              <w:t xml:space="preserve"> </w:t>
            </w:r>
            <w:r>
              <w:rPr>
                <w:rFonts w:ascii="Calibri"/>
                <w:sz w:val="18"/>
              </w:rPr>
              <w:t>purchase</w:t>
            </w:r>
            <w:r>
              <w:rPr>
                <w:rFonts w:ascii="Calibri"/>
                <w:spacing w:val="-2"/>
                <w:sz w:val="18"/>
              </w:rPr>
              <w:t xml:space="preserve"> </w:t>
            </w:r>
            <w:r>
              <w:rPr>
                <w:rFonts w:ascii="Calibri"/>
                <w:sz w:val="18"/>
              </w:rPr>
              <w:t>of</w:t>
            </w:r>
            <w:r>
              <w:rPr>
                <w:rFonts w:ascii="Calibri"/>
                <w:spacing w:val="-3"/>
                <w:sz w:val="18"/>
              </w:rPr>
              <w:t xml:space="preserve"> </w:t>
            </w:r>
            <w:r>
              <w:rPr>
                <w:rFonts w:ascii="Calibri"/>
                <w:sz w:val="18"/>
              </w:rPr>
              <w:t>a</w:t>
            </w:r>
            <w:r>
              <w:rPr>
                <w:rFonts w:ascii="Calibri"/>
                <w:spacing w:val="37"/>
                <w:sz w:val="18"/>
              </w:rPr>
              <w:t xml:space="preserve"> </w:t>
            </w:r>
            <w:r>
              <w:rPr>
                <w:rFonts w:ascii="Calibri"/>
                <w:spacing w:val="-1"/>
                <w:sz w:val="18"/>
              </w:rPr>
              <w:t>new</w:t>
            </w:r>
            <w:r>
              <w:rPr>
                <w:rFonts w:ascii="Calibri"/>
                <w:spacing w:val="-2"/>
                <w:sz w:val="18"/>
              </w:rPr>
              <w:t xml:space="preserve"> </w:t>
            </w:r>
            <w:r>
              <w:rPr>
                <w:rFonts w:ascii="Calibri"/>
                <w:spacing w:val="-1"/>
                <w:sz w:val="18"/>
              </w:rPr>
              <w:t>refrigerator</w:t>
            </w:r>
            <w:r>
              <w:rPr>
                <w:rFonts w:ascii="Calibri"/>
                <w:spacing w:val="-2"/>
                <w:sz w:val="18"/>
              </w:rPr>
              <w:t xml:space="preserve"> </w:t>
            </w:r>
            <w:r>
              <w:rPr>
                <w:rFonts w:ascii="Calibri"/>
                <w:spacing w:val="-1"/>
                <w:sz w:val="18"/>
              </w:rPr>
              <w:t>often</w:t>
            </w:r>
            <w:r>
              <w:rPr>
                <w:rFonts w:ascii="Calibri"/>
                <w:spacing w:val="-3"/>
                <w:sz w:val="18"/>
              </w:rPr>
              <w:t xml:space="preserve"> </w:t>
            </w:r>
            <w:r>
              <w:rPr>
                <w:rFonts w:ascii="Calibri"/>
                <w:spacing w:val="-1"/>
                <w:sz w:val="18"/>
              </w:rPr>
              <w:t>leads</w:t>
            </w:r>
            <w:r>
              <w:rPr>
                <w:rFonts w:ascii="Calibri"/>
                <w:spacing w:val="-2"/>
                <w:sz w:val="18"/>
              </w:rPr>
              <w:t xml:space="preserve"> </w:t>
            </w:r>
            <w:r>
              <w:rPr>
                <w:rFonts w:ascii="Calibri"/>
                <w:sz w:val="18"/>
              </w:rPr>
              <w:t>to</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recycling</w:t>
            </w:r>
            <w:r>
              <w:rPr>
                <w:rFonts w:ascii="Calibri"/>
                <w:spacing w:val="-2"/>
                <w:sz w:val="18"/>
              </w:rPr>
              <w:t xml:space="preserve"> </w:t>
            </w:r>
            <w:r>
              <w:rPr>
                <w:rFonts w:ascii="Calibri"/>
                <w:sz w:val="18"/>
              </w:rPr>
              <w:t>of</w:t>
            </w:r>
            <w:r>
              <w:rPr>
                <w:rFonts w:ascii="Calibri"/>
                <w:spacing w:val="-3"/>
                <w:sz w:val="18"/>
              </w:rPr>
              <w:t xml:space="preserve"> </w:t>
            </w:r>
            <w:r>
              <w:rPr>
                <w:rFonts w:ascii="Calibri"/>
                <w:sz w:val="18"/>
              </w:rPr>
              <w:t>an</w:t>
            </w:r>
            <w:r>
              <w:rPr>
                <w:rFonts w:ascii="Calibri"/>
                <w:spacing w:val="-3"/>
                <w:sz w:val="18"/>
              </w:rPr>
              <w:t xml:space="preserve"> </w:t>
            </w:r>
            <w:r>
              <w:rPr>
                <w:rFonts w:ascii="Calibri"/>
                <w:sz w:val="18"/>
              </w:rPr>
              <w:t>old</w:t>
            </w:r>
            <w:r>
              <w:rPr>
                <w:rFonts w:ascii="Calibri"/>
                <w:spacing w:val="-2"/>
                <w:sz w:val="18"/>
              </w:rPr>
              <w:t xml:space="preserve"> </w:t>
            </w:r>
            <w:r>
              <w:rPr>
                <w:rFonts w:ascii="Calibri"/>
                <w:spacing w:val="-1"/>
                <w:sz w:val="18"/>
              </w:rPr>
              <w:t>one.</w:t>
            </w:r>
          </w:p>
        </w:tc>
      </w:tr>
      <w:tr w:rsidR="00E646C9" w:rsidTr="00C3558F">
        <w:trPr>
          <w:trHeight w:hRule="exact" w:val="1783"/>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spacing w:line="276" w:lineRule="auto"/>
              <w:ind w:left="97" w:right="217"/>
              <w:rPr>
                <w:rFonts w:ascii="Calibri" w:eastAsia="Calibri" w:hAnsi="Calibri" w:cs="Calibri"/>
                <w:sz w:val="18"/>
                <w:szCs w:val="18"/>
              </w:rPr>
            </w:pPr>
            <w:r>
              <w:rPr>
                <w:rFonts w:ascii="Calibri"/>
                <w:spacing w:val="-1"/>
                <w:sz w:val="18"/>
              </w:rPr>
              <w:t>Upstream</w:t>
            </w:r>
            <w:r>
              <w:rPr>
                <w:rFonts w:ascii="Calibri"/>
                <w:spacing w:val="-4"/>
                <w:sz w:val="18"/>
              </w:rPr>
              <w:t xml:space="preserve"> </w:t>
            </w:r>
            <w:r>
              <w:rPr>
                <w:rFonts w:ascii="Calibri"/>
                <w:spacing w:val="-1"/>
                <w:sz w:val="18"/>
              </w:rPr>
              <w:t>Lighting--Work</w:t>
            </w:r>
            <w:r>
              <w:rPr>
                <w:rFonts w:ascii="Calibri"/>
                <w:spacing w:val="-4"/>
                <w:sz w:val="18"/>
              </w:rPr>
              <w:t xml:space="preserve"> </w:t>
            </w:r>
            <w:r>
              <w:rPr>
                <w:rFonts w:ascii="Calibri"/>
                <w:spacing w:val="-1"/>
                <w:sz w:val="18"/>
              </w:rPr>
              <w:t>with</w:t>
            </w:r>
            <w:r>
              <w:rPr>
                <w:rFonts w:ascii="Calibri"/>
                <w:spacing w:val="-6"/>
                <w:sz w:val="18"/>
              </w:rPr>
              <w:t xml:space="preserve"> </w:t>
            </w:r>
            <w:r>
              <w:rPr>
                <w:rFonts w:ascii="Calibri"/>
                <w:spacing w:val="-1"/>
                <w:sz w:val="18"/>
              </w:rPr>
              <w:t>retailers</w:t>
            </w:r>
            <w:r>
              <w:rPr>
                <w:rFonts w:ascii="Calibri"/>
                <w:spacing w:val="-5"/>
                <w:sz w:val="18"/>
              </w:rPr>
              <w:t xml:space="preserve"> </w:t>
            </w:r>
            <w:r>
              <w:rPr>
                <w:rFonts w:ascii="Calibri"/>
                <w:sz w:val="18"/>
              </w:rPr>
              <w:t>to</w:t>
            </w:r>
            <w:r>
              <w:rPr>
                <w:rFonts w:ascii="Calibri"/>
                <w:spacing w:val="-3"/>
                <w:sz w:val="18"/>
              </w:rPr>
              <w:t xml:space="preserve"> </w:t>
            </w:r>
            <w:r>
              <w:rPr>
                <w:rFonts w:ascii="Calibri"/>
                <w:sz w:val="18"/>
              </w:rPr>
              <w:t>use</w:t>
            </w:r>
            <w:r>
              <w:rPr>
                <w:rFonts w:ascii="Calibri"/>
                <w:spacing w:val="-5"/>
                <w:sz w:val="18"/>
              </w:rPr>
              <w:t xml:space="preserve"> </w:t>
            </w:r>
            <w:r>
              <w:rPr>
                <w:rFonts w:ascii="Calibri"/>
                <w:spacing w:val="-1"/>
                <w:sz w:val="18"/>
              </w:rPr>
              <w:t>product</w:t>
            </w:r>
            <w:r>
              <w:rPr>
                <w:rFonts w:ascii="Calibri"/>
                <w:spacing w:val="65"/>
                <w:w w:val="99"/>
                <w:sz w:val="18"/>
              </w:rPr>
              <w:t xml:space="preserve"> </w:t>
            </w:r>
            <w:r>
              <w:rPr>
                <w:rFonts w:ascii="Calibri"/>
                <w:spacing w:val="-1"/>
                <w:sz w:val="18"/>
              </w:rPr>
              <w:t>placement</w:t>
            </w:r>
            <w:r>
              <w:rPr>
                <w:rFonts w:ascii="Calibri"/>
                <w:spacing w:val="-4"/>
                <w:sz w:val="18"/>
              </w:rPr>
              <w:t xml:space="preserve"> </w:t>
            </w:r>
            <w:r>
              <w:rPr>
                <w:rFonts w:ascii="Calibri"/>
                <w:spacing w:val="1"/>
                <w:sz w:val="18"/>
              </w:rPr>
              <w:t>as</w:t>
            </w:r>
            <w:r>
              <w:rPr>
                <w:rFonts w:ascii="Calibri"/>
                <w:spacing w:val="-4"/>
                <w:sz w:val="18"/>
              </w:rPr>
              <w:t xml:space="preserve"> </w:t>
            </w:r>
            <w:r>
              <w:rPr>
                <w:rFonts w:ascii="Calibri"/>
                <w:sz w:val="18"/>
              </w:rPr>
              <w:t>a</w:t>
            </w:r>
            <w:r>
              <w:rPr>
                <w:rFonts w:ascii="Calibri"/>
                <w:spacing w:val="-3"/>
                <w:sz w:val="18"/>
              </w:rPr>
              <w:t xml:space="preserve"> </w:t>
            </w:r>
            <w:r>
              <w:rPr>
                <w:rFonts w:ascii="Calibri"/>
                <w:spacing w:val="-1"/>
                <w:sz w:val="18"/>
              </w:rPr>
              <w:t>lower-cost</w:t>
            </w:r>
            <w:r>
              <w:rPr>
                <w:rFonts w:ascii="Calibri"/>
                <w:spacing w:val="-3"/>
                <w:sz w:val="18"/>
              </w:rPr>
              <w:t xml:space="preserve"> </w:t>
            </w:r>
            <w:r>
              <w:rPr>
                <w:rFonts w:ascii="Calibri"/>
                <w:spacing w:val="-1"/>
                <w:sz w:val="18"/>
              </w:rPr>
              <w:t>mechanism</w:t>
            </w:r>
            <w:r>
              <w:rPr>
                <w:rFonts w:ascii="Calibri"/>
                <w:spacing w:val="-3"/>
                <w:sz w:val="18"/>
              </w:rPr>
              <w:t xml:space="preserve"> </w:t>
            </w:r>
            <w:r>
              <w:rPr>
                <w:rFonts w:ascii="Calibri"/>
                <w:sz w:val="18"/>
              </w:rPr>
              <w:t>for</w:t>
            </w:r>
            <w:r>
              <w:rPr>
                <w:rFonts w:ascii="Calibri"/>
                <w:spacing w:val="-3"/>
                <w:sz w:val="18"/>
              </w:rPr>
              <w:t xml:space="preserve"> </w:t>
            </w:r>
            <w:r>
              <w:rPr>
                <w:rFonts w:ascii="Calibri"/>
                <w:spacing w:val="-1"/>
                <w:sz w:val="18"/>
              </w:rPr>
              <w:t>generating</w:t>
            </w:r>
            <w:r>
              <w:rPr>
                <w:rFonts w:ascii="Calibri"/>
                <w:spacing w:val="-4"/>
                <w:sz w:val="18"/>
              </w:rPr>
              <w:t xml:space="preserve"> </w:t>
            </w:r>
            <w:r>
              <w:rPr>
                <w:rFonts w:ascii="Calibri"/>
                <w:spacing w:val="-1"/>
                <w:sz w:val="18"/>
              </w:rPr>
              <w:t>sales</w:t>
            </w:r>
            <w:r>
              <w:rPr>
                <w:rFonts w:ascii="Calibri"/>
                <w:spacing w:val="53"/>
                <w:sz w:val="18"/>
              </w:rPr>
              <w:t xml:space="preserve"> </w:t>
            </w:r>
            <w:r>
              <w:rPr>
                <w:rFonts w:ascii="Calibri"/>
                <w:spacing w:val="-1"/>
                <w:sz w:val="18"/>
              </w:rPr>
              <w:t>lift</w:t>
            </w:r>
            <w:r>
              <w:rPr>
                <w:rFonts w:ascii="Calibri"/>
                <w:spacing w:val="-3"/>
                <w:sz w:val="18"/>
              </w:rPr>
              <w:t xml:space="preserve"> </w:t>
            </w:r>
            <w:r>
              <w:rPr>
                <w:rFonts w:ascii="Calibri"/>
                <w:spacing w:val="-1"/>
                <w:sz w:val="18"/>
              </w:rPr>
              <w:t>rather than</w:t>
            </w:r>
            <w:r>
              <w:rPr>
                <w:rFonts w:ascii="Calibri"/>
                <w:spacing w:val="-4"/>
                <w:sz w:val="18"/>
              </w:rPr>
              <w:t xml:space="preserve"> </w:t>
            </w:r>
            <w:r>
              <w:rPr>
                <w:rFonts w:ascii="Calibri"/>
                <w:sz w:val="18"/>
              </w:rPr>
              <w:t>more</w:t>
            </w:r>
            <w:r>
              <w:rPr>
                <w:rFonts w:ascii="Calibri"/>
                <w:spacing w:val="-5"/>
                <w:sz w:val="18"/>
              </w:rPr>
              <w:t xml:space="preserve"> </w:t>
            </w:r>
            <w:r>
              <w:rPr>
                <w:rFonts w:ascii="Calibri"/>
                <w:spacing w:val="-1"/>
                <w:sz w:val="18"/>
              </w:rPr>
              <w:t>aggressive</w:t>
            </w:r>
            <w:r>
              <w:rPr>
                <w:rFonts w:ascii="Calibri"/>
                <w:spacing w:val="-4"/>
                <w:sz w:val="18"/>
              </w:rPr>
              <w:t xml:space="preserve"> </w:t>
            </w:r>
            <w:r>
              <w:rPr>
                <w:rFonts w:ascii="Calibri"/>
                <w:spacing w:val="-1"/>
                <w:sz w:val="18"/>
              </w:rPr>
              <w:t>incentives</w:t>
            </w:r>
            <w:r>
              <w:rPr>
                <w:rFonts w:ascii="Calibri"/>
                <w:spacing w:val="-3"/>
                <w:sz w:val="18"/>
              </w:rPr>
              <w:t xml:space="preserve"> </w:t>
            </w:r>
            <w:r>
              <w:rPr>
                <w:rFonts w:ascii="Calibri"/>
                <w:spacing w:val="-1"/>
                <w:sz w:val="18"/>
              </w:rPr>
              <w:t>throughout</w:t>
            </w:r>
            <w:r>
              <w:rPr>
                <w:rFonts w:ascii="Calibri"/>
                <w:spacing w:val="-3"/>
                <w:sz w:val="18"/>
              </w:rPr>
              <w:t xml:space="preserve"> </w:t>
            </w:r>
            <w:r>
              <w:rPr>
                <w:rFonts w:ascii="Calibri"/>
                <w:sz w:val="18"/>
              </w:rPr>
              <w:t>the</w:t>
            </w:r>
            <w:r>
              <w:rPr>
                <w:rFonts w:ascii="Calibri"/>
                <w:spacing w:val="57"/>
                <w:w w:val="99"/>
                <w:sz w:val="18"/>
              </w:rPr>
              <w:t xml:space="preserve"> </w:t>
            </w:r>
            <w:r>
              <w:rPr>
                <w:rFonts w:ascii="Calibri"/>
                <w:spacing w:val="-1"/>
                <w:sz w:val="18"/>
              </w:rPr>
              <w:t>year.</w:t>
            </w:r>
            <w:r>
              <w:rPr>
                <w:rFonts w:ascii="Calibri"/>
                <w:spacing w:val="-3"/>
                <w:sz w:val="18"/>
              </w:rPr>
              <w:t xml:space="preserve"> </w:t>
            </w:r>
            <w:r>
              <w:rPr>
                <w:rFonts w:ascii="Calibri"/>
                <w:spacing w:val="-1"/>
                <w:sz w:val="18"/>
              </w:rPr>
              <w:t>Additionally,</w:t>
            </w:r>
            <w:r>
              <w:rPr>
                <w:rFonts w:ascii="Calibri"/>
                <w:spacing w:val="-2"/>
                <w:sz w:val="18"/>
              </w:rPr>
              <w:t xml:space="preserve"> </w:t>
            </w:r>
            <w:r>
              <w:rPr>
                <w:rFonts w:ascii="Calibri"/>
                <w:sz w:val="18"/>
              </w:rPr>
              <w:t>PPL</w:t>
            </w:r>
            <w:r>
              <w:rPr>
                <w:rFonts w:ascii="Calibri"/>
                <w:spacing w:val="-2"/>
                <w:sz w:val="18"/>
              </w:rPr>
              <w:t xml:space="preserve"> </w:t>
            </w:r>
            <w:r>
              <w:rPr>
                <w:rFonts w:ascii="Calibri"/>
                <w:spacing w:val="-1"/>
                <w:sz w:val="18"/>
              </w:rPr>
              <w:t>Electric</w:t>
            </w:r>
            <w:r>
              <w:rPr>
                <w:rFonts w:ascii="Calibri"/>
                <w:spacing w:val="-2"/>
                <w:sz w:val="18"/>
              </w:rPr>
              <w:t xml:space="preserve"> </w:t>
            </w:r>
            <w:r>
              <w:rPr>
                <w:rFonts w:ascii="Calibri"/>
                <w:spacing w:val="-1"/>
                <w:sz w:val="18"/>
              </w:rPr>
              <w:t>Utilities</w:t>
            </w:r>
            <w:r>
              <w:rPr>
                <w:rFonts w:ascii="Calibri"/>
                <w:spacing w:val="-3"/>
                <w:sz w:val="18"/>
              </w:rPr>
              <w:t xml:space="preserve"> </w:t>
            </w:r>
            <w:r>
              <w:rPr>
                <w:rFonts w:ascii="Calibri"/>
                <w:spacing w:val="-1"/>
                <w:sz w:val="18"/>
              </w:rPr>
              <w:t>could</w:t>
            </w:r>
            <w:r>
              <w:rPr>
                <w:rFonts w:ascii="Calibri"/>
                <w:spacing w:val="-4"/>
                <w:sz w:val="18"/>
              </w:rPr>
              <w:t xml:space="preserve"> </w:t>
            </w:r>
            <w:r>
              <w:rPr>
                <w:rFonts w:ascii="Calibri"/>
                <w:spacing w:val="-1"/>
                <w:sz w:val="18"/>
              </w:rPr>
              <w:t>consider</w:t>
            </w:r>
            <w:r>
              <w:rPr>
                <w:rFonts w:ascii="Calibri"/>
                <w:spacing w:val="59"/>
                <w:w w:val="99"/>
                <w:sz w:val="18"/>
              </w:rPr>
              <w:t xml:space="preserve"> </w:t>
            </w:r>
            <w:r>
              <w:rPr>
                <w:rFonts w:ascii="Calibri"/>
                <w:spacing w:val="-1"/>
                <w:sz w:val="18"/>
              </w:rPr>
              <w:t>working</w:t>
            </w:r>
            <w:r>
              <w:rPr>
                <w:rFonts w:ascii="Calibri"/>
                <w:spacing w:val="-4"/>
                <w:sz w:val="18"/>
              </w:rPr>
              <w:t xml:space="preserve"> </w:t>
            </w:r>
            <w:r>
              <w:rPr>
                <w:rFonts w:ascii="Calibri"/>
                <w:spacing w:val="-1"/>
                <w:sz w:val="18"/>
              </w:rPr>
              <w:t>with</w:t>
            </w:r>
            <w:r>
              <w:rPr>
                <w:rFonts w:ascii="Calibri"/>
                <w:spacing w:val="-4"/>
                <w:sz w:val="18"/>
              </w:rPr>
              <w:t xml:space="preserve"> </w:t>
            </w:r>
            <w:r>
              <w:rPr>
                <w:rFonts w:ascii="Calibri"/>
                <w:spacing w:val="-1"/>
                <w:sz w:val="18"/>
              </w:rPr>
              <w:t>the</w:t>
            </w:r>
            <w:r>
              <w:rPr>
                <w:rFonts w:ascii="Calibri"/>
                <w:spacing w:val="-3"/>
                <w:sz w:val="18"/>
              </w:rPr>
              <w:t xml:space="preserve"> </w:t>
            </w:r>
            <w:r>
              <w:rPr>
                <w:rFonts w:ascii="Calibri"/>
                <w:sz w:val="18"/>
              </w:rPr>
              <w:t>ICSP</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track</w:t>
            </w:r>
            <w:r>
              <w:rPr>
                <w:rFonts w:ascii="Calibri"/>
                <w:spacing w:val="-2"/>
                <w:sz w:val="18"/>
              </w:rPr>
              <w:t xml:space="preserve"> </w:t>
            </w:r>
            <w:r>
              <w:rPr>
                <w:rFonts w:ascii="Calibri"/>
                <w:spacing w:val="-1"/>
                <w:sz w:val="18"/>
              </w:rPr>
              <w:t>product</w:t>
            </w:r>
            <w:r>
              <w:rPr>
                <w:rFonts w:ascii="Calibri"/>
                <w:spacing w:val="-3"/>
                <w:sz w:val="18"/>
              </w:rPr>
              <w:t xml:space="preserve"> </w:t>
            </w:r>
            <w:r>
              <w:rPr>
                <w:rFonts w:ascii="Calibri"/>
                <w:spacing w:val="-1"/>
                <w:sz w:val="18"/>
              </w:rPr>
              <w:t>placement</w:t>
            </w:r>
            <w:r>
              <w:rPr>
                <w:rFonts w:ascii="Calibri"/>
                <w:spacing w:val="-2"/>
                <w:sz w:val="18"/>
              </w:rPr>
              <w:t xml:space="preserve"> </w:t>
            </w:r>
            <w:r>
              <w:rPr>
                <w:rFonts w:ascii="Calibri"/>
                <w:spacing w:val="-1"/>
                <w:sz w:val="18"/>
              </w:rPr>
              <w:t>across</w:t>
            </w:r>
            <w:r>
              <w:rPr>
                <w:rFonts w:ascii="Calibri"/>
                <w:spacing w:val="-4"/>
                <w:sz w:val="18"/>
              </w:rPr>
              <w:t xml:space="preserve"> </w:t>
            </w:r>
            <w:r>
              <w:rPr>
                <w:rFonts w:ascii="Calibri"/>
                <w:sz w:val="18"/>
              </w:rPr>
              <w:t>all</w:t>
            </w:r>
            <w:r>
              <w:rPr>
                <w:rFonts w:ascii="Calibri"/>
                <w:spacing w:val="53"/>
                <w:sz w:val="18"/>
              </w:rPr>
              <w:t xml:space="preserve"> </w:t>
            </w:r>
            <w:r>
              <w:rPr>
                <w:rFonts w:ascii="Calibri"/>
                <w:spacing w:val="-1"/>
                <w:sz w:val="18"/>
              </w:rPr>
              <w:t>retailers,</w:t>
            </w:r>
            <w:r>
              <w:rPr>
                <w:rFonts w:ascii="Calibri"/>
                <w:spacing w:val="-3"/>
                <w:sz w:val="18"/>
              </w:rPr>
              <w:t xml:space="preserve"> </w:t>
            </w:r>
            <w:r>
              <w:rPr>
                <w:rFonts w:ascii="Calibri"/>
                <w:sz w:val="18"/>
              </w:rPr>
              <w:t>to</w:t>
            </w:r>
            <w:r>
              <w:rPr>
                <w:rFonts w:ascii="Calibri"/>
                <w:spacing w:val="-3"/>
                <w:sz w:val="18"/>
              </w:rPr>
              <w:t xml:space="preserve"> </w:t>
            </w:r>
            <w:r>
              <w:rPr>
                <w:rFonts w:ascii="Calibri"/>
                <w:spacing w:val="-1"/>
                <w:sz w:val="18"/>
              </w:rPr>
              <w:t>the</w:t>
            </w:r>
            <w:r>
              <w:rPr>
                <w:rFonts w:ascii="Calibri"/>
                <w:spacing w:val="-4"/>
                <w:sz w:val="18"/>
              </w:rPr>
              <w:t xml:space="preserve"> </w:t>
            </w:r>
            <w:r>
              <w:rPr>
                <w:rFonts w:ascii="Calibri"/>
                <w:spacing w:val="-1"/>
                <w:sz w:val="18"/>
              </w:rPr>
              <w:t>greatest degree practical,</w:t>
            </w:r>
            <w:r>
              <w:rPr>
                <w:rFonts w:ascii="Calibri"/>
                <w:spacing w:val="-4"/>
                <w:sz w:val="18"/>
              </w:rPr>
              <w:t xml:space="preserve"> </w:t>
            </w:r>
            <w:r>
              <w:rPr>
                <w:rFonts w:ascii="Calibri"/>
                <w:spacing w:val="-1"/>
                <w:sz w:val="18"/>
              </w:rPr>
              <w:t>so</w:t>
            </w:r>
            <w:r>
              <w:rPr>
                <w:rFonts w:ascii="Calibri"/>
                <w:spacing w:val="-3"/>
                <w:sz w:val="18"/>
              </w:rPr>
              <w:t xml:space="preserve"> </w:t>
            </w:r>
            <w:r>
              <w:rPr>
                <w:rFonts w:ascii="Calibri"/>
                <w:spacing w:val="-1"/>
                <w:sz w:val="18"/>
              </w:rPr>
              <w:t>that</w:t>
            </w:r>
            <w:r>
              <w:rPr>
                <w:rFonts w:ascii="Calibri"/>
                <w:spacing w:val="-2"/>
                <w:sz w:val="18"/>
              </w:rPr>
              <w:t xml:space="preserve"> </w:t>
            </w:r>
            <w:r>
              <w:rPr>
                <w:rFonts w:ascii="Calibri"/>
                <w:spacing w:val="-1"/>
                <w:sz w:val="18"/>
              </w:rPr>
              <w:t>the</w:t>
            </w:r>
            <w:r>
              <w:rPr>
                <w:rFonts w:ascii="Calibri"/>
                <w:spacing w:val="55"/>
                <w:w w:val="99"/>
                <w:sz w:val="18"/>
              </w:rPr>
              <w:t xml:space="preserve"> </w:t>
            </w:r>
            <w:r>
              <w:rPr>
                <w:rFonts w:ascii="Calibri"/>
                <w:spacing w:val="-1"/>
                <w:sz w:val="18"/>
              </w:rPr>
              <w:t>program</w:t>
            </w:r>
            <w:r>
              <w:rPr>
                <w:rFonts w:ascii="Calibri"/>
                <w:spacing w:val="-4"/>
                <w:sz w:val="18"/>
              </w:rPr>
              <w:t xml:space="preserve"> </w:t>
            </w:r>
            <w:r>
              <w:rPr>
                <w:rFonts w:ascii="Calibri"/>
                <w:spacing w:val="-1"/>
                <w:sz w:val="18"/>
              </w:rPr>
              <w:t>is</w:t>
            </w:r>
            <w:r>
              <w:rPr>
                <w:rFonts w:ascii="Calibri"/>
                <w:spacing w:val="-3"/>
                <w:sz w:val="18"/>
              </w:rPr>
              <w:t xml:space="preserve"> </w:t>
            </w:r>
            <w:r>
              <w:rPr>
                <w:rFonts w:ascii="Calibri"/>
                <w:spacing w:val="-1"/>
                <w:sz w:val="18"/>
              </w:rPr>
              <w:t>credited</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all</w:t>
            </w:r>
            <w:r>
              <w:rPr>
                <w:rFonts w:ascii="Calibri"/>
                <w:spacing w:val="-3"/>
                <w:sz w:val="18"/>
              </w:rPr>
              <w:t xml:space="preserve"> </w:t>
            </w:r>
            <w:r>
              <w:rPr>
                <w:rFonts w:ascii="Calibri"/>
                <w:spacing w:val="-1"/>
                <w:sz w:val="18"/>
              </w:rPr>
              <w:t>activities</w:t>
            </w:r>
            <w:r>
              <w:rPr>
                <w:rFonts w:ascii="Calibri"/>
                <w:spacing w:val="-3"/>
                <w:sz w:val="18"/>
              </w:rPr>
              <w:t xml:space="preserve"> </w:t>
            </w:r>
            <w:r>
              <w:rPr>
                <w:rFonts w:ascii="Calibri"/>
                <w:spacing w:val="-1"/>
                <w:sz w:val="18"/>
              </w:rPr>
              <w:t>that</w:t>
            </w:r>
            <w:r>
              <w:rPr>
                <w:rFonts w:ascii="Calibri"/>
                <w:spacing w:val="-2"/>
                <w:sz w:val="18"/>
              </w:rPr>
              <w:t xml:space="preserve"> </w:t>
            </w:r>
            <w:r>
              <w:rPr>
                <w:rFonts w:ascii="Calibri"/>
                <w:spacing w:val="-1"/>
                <w:sz w:val="18"/>
              </w:rPr>
              <w:t>increase</w:t>
            </w:r>
            <w:r>
              <w:rPr>
                <w:rFonts w:ascii="Calibri"/>
                <w:spacing w:val="-3"/>
                <w:sz w:val="18"/>
              </w:rPr>
              <w:t xml:space="preserve"> </w:t>
            </w:r>
            <w:r>
              <w:rPr>
                <w:rFonts w:ascii="Calibri"/>
                <w:sz w:val="18"/>
              </w:rPr>
              <w:t>sales.</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ind w:left="99" w:right="131"/>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where</w:t>
            </w:r>
            <w:r>
              <w:rPr>
                <w:rFonts w:ascii="Calibri"/>
                <w:spacing w:val="-5"/>
                <w:sz w:val="18"/>
              </w:rPr>
              <w:t xml:space="preserve"> </w:t>
            </w:r>
            <w:r>
              <w:rPr>
                <w:rFonts w:ascii="Calibri"/>
                <w:spacing w:val="-1"/>
                <w:sz w:val="18"/>
              </w:rPr>
              <w:t>possible.</w:t>
            </w:r>
            <w:r>
              <w:rPr>
                <w:rFonts w:ascii="Calibri"/>
                <w:spacing w:val="-3"/>
                <w:sz w:val="18"/>
              </w:rPr>
              <w:t xml:space="preserve"> </w:t>
            </w:r>
            <w:r>
              <w:rPr>
                <w:rFonts w:ascii="Calibri"/>
                <w:sz w:val="18"/>
              </w:rPr>
              <w:t>Some</w:t>
            </w:r>
            <w:r>
              <w:rPr>
                <w:rFonts w:ascii="Calibri"/>
                <w:spacing w:val="-4"/>
                <w:sz w:val="18"/>
              </w:rPr>
              <w:t xml:space="preserve"> </w:t>
            </w:r>
            <w:r>
              <w:rPr>
                <w:rFonts w:ascii="Calibri"/>
                <w:spacing w:val="-1"/>
                <w:sz w:val="18"/>
              </w:rPr>
              <w:t>retailers</w:t>
            </w:r>
            <w:r>
              <w:rPr>
                <w:rFonts w:ascii="Calibri"/>
                <w:spacing w:val="-5"/>
                <w:sz w:val="18"/>
              </w:rPr>
              <w:t xml:space="preserve"> </w:t>
            </w:r>
            <w:r>
              <w:rPr>
                <w:rFonts w:ascii="Calibri"/>
                <w:spacing w:val="-1"/>
                <w:sz w:val="18"/>
              </w:rPr>
              <w:t>will not</w:t>
            </w:r>
            <w:r>
              <w:rPr>
                <w:rFonts w:ascii="Calibri"/>
                <w:spacing w:val="-3"/>
                <w:sz w:val="18"/>
              </w:rPr>
              <w:t xml:space="preserve"> </w:t>
            </w:r>
            <w:r>
              <w:rPr>
                <w:rFonts w:ascii="Calibri"/>
                <w:spacing w:val="-1"/>
                <w:sz w:val="18"/>
              </w:rPr>
              <w:t>allow</w:t>
            </w:r>
            <w:r>
              <w:rPr>
                <w:rFonts w:ascii="Calibri"/>
                <w:spacing w:val="59"/>
                <w:w w:val="99"/>
                <w:sz w:val="18"/>
              </w:rPr>
              <w:t xml:space="preserve"> </w:t>
            </w:r>
            <w:r>
              <w:rPr>
                <w:rFonts w:ascii="Calibri"/>
                <w:sz w:val="18"/>
              </w:rPr>
              <w:t>PPL</w:t>
            </w:r>
            <w:r>
              <w:rPr>
                <w:rFonts w:ascii="Calibri"/>
                <w:spacing w:val="-2"/>
                <w:sz w:val="18"/>
              </w:rPr>
              <w:t xml:space="preserve"> </w:t>
            </w:r>
            <w:r>
              <w:rPr>
                <w:rFonts w:ascii="Calibri"/>
                <w:spacing w:val="-1"/>
                <w:sz w:val="18"/>
              </w:rPr>
              <w:t>much</w:t>
            </w:r>
            <w:r>
              <w:rPr>
                <w:rFonts w:ascii="Calibri"/>
                <w:spacing w:val="-3"/>
                <w:sz w:val="18"/>
              </w:rPr>
              <w:t xml:space="preserve"> </w:t>
            </w:r>
            <w:r>
              <w:rPr>
                <w:rFonts w:ascii="Calibri"/>
                <w:spacing w:val="-1"/>
                <w:sz w:val="18"/>
              </w:rPr>
              <w:t>control</w:t>
            </w:r>
            <w:r>
              <w:rPr>
                <w:rFonts w:ascii="Calibri"/>
                <w:spacing w:val="-3"/>
                <w:sz w:val="18"/>
              </w:rPr>
              <w:t xml:space="preserve"> </w:t>
            </w:r>
            <w:r>
              <w:rPr>
                <w:rFonts w:ascii="Calibri"/>
                <w:spacing w:val="-1"/>
                <w:sz w:val="18"/>
              </w:rPr>
              <w:t>over merchandising</w:t>
            </w:r>
            <w:r>
              <w:rPr>
                <w:rFonts w:ascii="Calibri"/>
                <w:spacing w:val="-4"/>
                <w:sz w:val="18"/>
              </w:rPr>
              <w:t xml:space="preserve"> </w:t>
            </w:r>
            <w:r>
              <w:rPr>
                <w:rFonts w:ascii="Calibri"/>
                <w:sz w:val="18"/>
              </w:rPr>
              <w:t>or</w:t>
            </w:r>
            <w:r>
              <w:rPr>
                <w:rFonts w:ascii="Calibri"/>
                <w:spacing w:val="-2"/>
                <w:sz w:val="18"/>
              </w:rPr>
              <w:t xml:space="preserve"> </w:t>
            </w:r>
            <w:r>
              <w:rPr>
                <w:rFonts w:ascii="Calibri"/>
                <w:spacing w:val="-1"/>
                <w:sz w:val="18"/>
              </w:rPr>
              <w:t>provide</w:t>
            </w:r>
            <w:r>
              <w:rPr>
                <w:rFonts w:ascii="Calibri"/>
                <w:spacing w:val="-3"/>
                <w:sz w:val="18"/>
              </w:rPr>
              <w:t xml:space="preserve"> </w:t>
            </w:r>
            <w:r>
              <w:rPr>
                <w:rFonts w:ascii="Calibri"/>
                <w:sz w:val="18"/>
              </w:rPr>
              <w:t>PPL</w:t>
            </w:r>
            <w:r>
              <w:rPr>
                <w:rFonts w:ascii="Calibri"/>
                <w:spacing w:val="-1"/>
                <w:sz w:val="18"/>
              </w:rPr>
              <w:t xml:space="preserve"> with</w:t>
            </w:r>
            <w:r>
              <w:rPr>
                <w:rFonts w:ascii="Calibri"/>
                <w:spacing w:val="53"/>
                <w:sz w:val="18"/>
              </w:rPr>
              <w:t xml:space="preserve"> </w:t>
            </w:r>
            <w:r>
              <w:rPr>
                <w:rFonts w:ascii="Calibri"/>
                <w:spacing w:val="-1"/>
                <w:sz w:val="18"/>
              </w:rPr>
              <w:t>product</w:t>
            </w:r>
            <w:r>
              <w:rPr>
                <w:rFonts w:ascii="Calibri"/>
                <w:spacing w:val="-5"/>
                <w:sz w:val="18"/>
              </w:rPr>
              <w:t xml:space="preserve"> </w:t>
            </w:r>
            <w:r>
              <w:rPr>
                <w:rFonts w:ascii="Calibri"/>
                <w:spacing w:val="-1"/>
                <w:sz w:val="18"/>
              </w:rPr>
              <w:t>placement</w:t>
            </w:r>
            <w:r>
              <w:rPr>
                <w:rFonts w:ascii="Calibri"/>
                <w:spacing w:val="-5"/>
                <w:sz w:val="18"/>
              </w:rPr>
              <w:t xml:space="preserve"> </w:t>
            </w:r>
            <w:r>
              <w:rPr>
                <w:rFonts w:ascii="Calibri"/>
                <w:spacing w:val="-1"/>
                <w:sz w:val="18"/>
              </w:rPr>
              <w:t>information/documentation.</w:t>
            </w:r>
            <w:r>
              <w:rPr>
                <w:rFonts w:ascii="Calibri"/>
                <w:spacing w:val="-5"/>
                <w:sz w:val="18"/>
              </w:rPr>
              <w:t xml:space="preserve"> </w:t>
            </w:r>
            <w:r>
              <w:rPr>
                <w:rFonts w:ascii="Calibri"/>
                <w:sz w:val="18"/>
              </w:rPr>
              <w:t>Through</w:t>
            </w:r>
            <w:r>
              <w:rPr>
                <w:rFonts w:ascii="Calibri"/>
                <w:spacing w:val="-5"/>
                <w:sz w:val="18"/>
              </w:rPr>
              <w:t xml:space="preserve"> </w:t>
            </w:r>
            <w:r>
              <w:rPr>
                <w:rFonts w:ascii="Calibri"/>
                <w:sz w:val="18"/>
              </w:rPr>
              <w:t>in-</w:t>
            </w:r>
            <w:r>
              <w:rPr>
                <w:rFonts w:ascii="Calibri"/>
                <w:spacing w:val="57"/>
                <w:sz w:val="18"/>
              </w:rPr>
              <w:t xml:space="preserve"> </w:t>
            </w:r>
            <w:r>
              <w:rPr>
                <w:rFonts w:ascii="Calibri"/>
                <w:spacing w:val="-1"/>
                <w:sz w:val="18"/>
              </w:rPr>
              <w:t>store</w:t>
            </w:r>
            <w:r>
              <w:rPr>
                <w:rFonts w:ascii="Calibri"/>
                <w:spacing w:val="-4"/>
                <w:sz w:val="18"/>
              </w:rPr>
              <w:t xml:space="preserve"> </w:t>
            </w:r>
            <w:r>
              <w:rPr>
                <w:rFonts w:ascii="Calibri"/>
                <w:spacing w:val="-1"/>
                <w:sz w:val="18"/>
              </w:rPr>
              <w:t xml:space="preserve">inspections, </w:t>
            </w:r>
            <w:r>
              <w:rPr>
                <w:rFonts w:ascii="Calibri"/>
                <w:sz w:val="18"/>
              </w:rPr>
              <w:t>the</w:t>
            </w:r>
            <w:r>
              <w:rPr>
                <w:rFonts w:ascii="Calibri"/>
                <w:spacing w:val="-3"/>
                <w:sz w:val="18"/>
              </w:rPr>
              <w:t xml:space="preserve"> </w:t>
            </w:r>
            <w:r>
              <w:rPr>
                <w:rFonts w:ascii="Calibri"/>
                <w:spacing w:val="-1"/>
                <w:sz w:val="18"/>
              </w:rPr>
              <w:t>ICSP will</w:t>
            </w:r>
            <w:r>
              <w:rPr>
                <w:rFonts w:ascii="Calibri"/>
                <w:spacing w:val="-3"/>
                <w:sz w:val="18"/>
              </w:rPr>
              <w:t xml:space="preserve"> </w:t>
            </w:r>
            <w:r>
              <w:rPr>
                <w:rFonts w:ascii="Calibri"/>
                <w:spacing w:val="1"/>
                <w:sz w:val="18"/>
              </w:rPr>
              <w:t>try</w:t>
            </w:r>
            <w:r>
              <w:rPr>
                <w:rFonts w:ascii="Calibri"/>
                <w:spacing w:val="-1"/>
                <w:sz w:val="18"/>
              </w:rPr>
              <w:t xml:space="preserve"> </w:t>
            </w:r>
            <w:r>
              <w:rPr>
                <w:rFonts w:ascii="Calibri"/>
                <w:sz w:val="18"/>
              </w:rPr>
              <w:t>to</w:t>
            </w:r>
            <w:r>
              <w:rPr>
                <w:rFonts w:ascii="Calibri"/>
                <w:spacing w:val="-2"/>
                <w:sz w:val="18"/>
              </w:rPr>
              <w:t xml:space="preserve"> </w:t>
            </w:r>
            <w:r>
              <w:rPr>
                <w:rFonts w:ascii="Calibri"/>
                <w:spacing w:val="-1"/>
                <w:sz w:val="18"/>
              </w:rPr>
              <w:t>influence</w:t>
            </w:r>
            <w:r>
              <w:rPr>
                <w:rFonts w:ascii="Calibri"/>
                <w:spacing w:val="-2"/>
                <w:sz w:val="18"/>
              </w:rPr>
              <w:t xml:space="preserve"> </w:t>
            </w:r>
            <w:r>
              <w:rPr>
                <w:rFonts w:ascii="Calibri"/>
                <w:sz w:val="18"/>
              </w:rPr>
              <w:t>and</w:t>
            </w:r>
            <w:r>
              <w:rPr>
                <w:rFonts w:ascii="Calibri"/>
                <w:spacing w:val="37"/>
                <w:sz w:val="18"/>
              </w:rPr>
              <w:t xml:space="preserve"> </w:t>
            </w:r>
            <w:r>
              <w:rPr>
                <w:rFonts w:ascii="Calibri"/>
                <w:spacing w:val="-1"/>
                <w:sz w:val="18"/>
              </w:rPr>
              <w:t>document</w:t>
            </w:r>
            <w:r>
              <w:rPr>
                <w:rFonts w:ascii="Calibri"/>
                <w:spacing w:val="-6"/>
                <w:sz w:val="18"/>
              </w:rPr>
              <w:t xml:space="preserve"> </w:t>
            </w:r>
            <w:r>
              <w:rPr>
                <w:rFonts w:ascii="Calibri"/>
                <w:spacing w:val="-1"/>
                <w:sz w:val="18"/>
              </w:rPr>
              <w:t>product</w:t>
            </w:r>
            <w:r>
              <w:rPr>
                <w:rFonts w:ascii="Calibri"/>
                <w:spacing w:val="-6"/>
                <w:sz w:val="18"/>
              </w:rPr>
              <w:t xml:space="preserve"> </w:t>
            </w:r>
            <w:r>
              <w:rPr>
                <w:rFonts w:ascii="Calibri"/>
                <w:spacing w:val="-1"/>
                <w:sz w:val="18"/>
              </w:rPr>
              <w:t>placement.</w:t>
            </w:r>
          </w:p>
        </w:tc>
      </w:tr>
      <w:tr w:rsidR="00E646C9" w:rsidTr="00C3558F">
        <w:trPr>
          <w:trHeight w:hRule="exact" w:val="1313"/>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spacing w:line="276" w:lineRule="auto"/>
              <w:ind w:left="97" w:right="241"/>
              <w:rPr>
                <w:rFonts w:ascii="Calibri" w:eastAsia="Calibri" w:hAnsi="Calibri" w:cs="Calibri"/>
                <w:sz w:val="18"/>
                <w:szCs w:val="18"/>
              </w:rPr>
            </w:pPr>
            <w:r>
              <w:rPr>
                <w:rFonts w:ascii="Calibri"/>
                <w:spacing w:val="-1"/>
                <w:sz w:val="18"/>
              </w:rPr>
              <w:t>Upstream</w:t>
            </w:r>
            <w:r>
              <w:rPr>
                <w:rFonts w:ascii="Calibri"/>
                <w:spacing w:val="-4"/>
                <w:sz w:val="18"/>
              </w:rPr>
              <w:t xml:space="preserve"> </w:t>
            </w:r>
            <w:r>
              <w:rPr>
                <w:rFonts w:ascii="Calibri"/>
                <w:spacing w:val="-1"/>
                <w:sz w:val="18"/>
              </w:rPr>
              <w:t>Lighting--Consider</w:t>
            </w:r>
            <w:r>
              <w:rPr>
                <w:rFonts w:ascii="Calibri"/>
                <w:spacing w:val="-4"/>
                <w:sz w:val="18"/>
              </w:rPr>
              <w:t xml:space="preserve"> </w:t>
            </w:r>
            <w:r>
              <w:rPr>
                <w:rFonts w:ascii="Calibri"/>
                <w:sz w:val="18"/>
              </w:rPr>
              <w:t>ways</w:t>
            </w:r>
            <w:r>
              <w:rPr>
                <w:rFonts w:ascii="Calibri"/>
                <w:spacing w:val="-4"/>
                <w:sz w:val="18"/>
              </w:rPr>
              <w:t xml:space="preserve"> </w:t>
            </w:r>
            <w:r>
              <w:rPr>
                <w:rFonts w:ascii="Calibri"/>
                <w:sz w:val="18"/>
              </w:rPr>
              <w:t>to</w:t>
            </w:r>
            <w:r>
              <w:rPr>
                <w:rFonts w:ascii="Calibri"/>
                <w:spacing w:val="-4"/>
                <w:sz w:val="18"/>
              </w:rPr>
              <w:t xml:space="preserve"> </w:t>
            </w:r>
            <w:r>
              <w:rPr>
                <w:rFonts w:ascii="Calibri"/>
                <w:spacing w:val="-1"/>
                <w:sz w:val="18"/>
              </w:rPr>
              <w:t>organize</w:t>
            </w:r>
            <w:r>
              <w:rPr>
                <w:rFonts w:ascii="Calibri"/>
                <w:spacing w:val="-2"/>
                <w:sz w:val="18"/>
              </w:rPr>
              <w:t xml:space="preserve"> </w:t>
            </w:r>
            <w:r>
              <w:rPr>
                <w:rFonts w:ascii="Calibri"/>
                <w:spacing w:val="-1"/>
                <w:sz w:val="18"/>
              </w:rPr>
              <w:t>the</w:t>
            </w:r>
            <w:r>
              <w:rPr>
                <w:rFonts w:ascii="Calibri"/>
                <w:spacing w:val="-3"/>
                <w:sz w:val="18"/>
              </w:rPr>
              <w:t xml:space="preserve"> </w:t>
            </w:r>
            <w:r>
              <w:rPr>
                <w:rFonts w:ascii="Calibri"/>
                <w:spacing w:val="-1"/>
                <w:sz w:val="18"/>
              </w:rPr>
              <w:t>program</w:t>
            </w:r>
            <w:r>
              <w:rPr>
                <w:rFonts w:ascii="Calibri"/>
                <w:spacing w:val="61"/>
                <w:w w:val="99"/>
                <w:sz w:val="18"/>
              </w:rPr>
              <w:t xml:space="preserve"> </w:t>
            </w:r>
            <w:r>
              <w:rPr>
                <w:rFonts w:ascii="Calibri"/>
                <w:sz w:val="18"/>
              </w:rPr>
              <w:t>to</w:t>
            </w:r>
            <w:r>
              <w:rPr>
                <w:rFonts w:ascii="Calibri"/>
                <w:spacing w:val="-3"/>
                <w:sz w:val="18"/>
              </w:rPr>
              <w:t xml:space="preserve"> </w:t>
            </w:r>
            <w:r>
              <w:rPr>
                <w:rFonts w:ascii="Calibri"/>
                <w:spacing w:val="-1"/>
                <w:sz w:val="18"/>
              </w:rPr>
              <w:t>decrease</w:t>
            </w:r>
            <w:r>
              <w:rPr>
                <w:rFonts w:ascii="Calibri"/>
                <w:spacing w:val="-3"/>
                <w:sz w:val="18"/>
              </w:rPr>
              <w:t xml:space="preserve"> </w:t>
            </w:r>
            <w:r>
              <w:rPr>
                <w:rFonts w:ascii="Calibri"/>
                <w:spacing w:val="-1"/>
                <w:sz w:val="18"/>
              </w:rPr>
              <w:t>freeridership by</w:t>
            </w:r>
            <w:r>
              <w:rPr>
                <w:rFonts w:ascii="Calibri"/>
                <w:spacing w:val="-2"/>
                <w:sz w:val="18"/>
              </w:rPr>
              <w:t xml:space="preserve"> </w:t>
            </w:r>
            <w:r>
              <w:rPr>
                <w:rFonts w:ascii="Calibri"/>
                <w:spacing w:val="-1"/>
                <w:sz w:val="18"/>
              </w:rPr>
              <w:t>focusing</w:t>
            </w:r>
            <w:r>
              <w:rPr>
                <w:rFonts w:ascii="Calibri"/>
                <w:spacing w:val="-3"/>
                <w:sz w:val="18"/>
              </w:rPr>
              <w:t xml:space="preserve"> </w:t>
            </w:r>
            <w:r>
              <w:rPr>
                <w:rFonts w:ascii="Calibri"/>
                <w:sz w:val="18"/>
              </w:rPr>
              <w:t>on</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products</w:t>
            </w:r>
            <w:r>
              <w:rPr>
                <w:rFonts w:ascii="Calibri"/>
                <w:spacing w:val="-4"/>
                <w:sz w:val="18"/>
              </w:rPr>
              <w:t xml:space="preserve"> </w:t>
            </w:r>
            <w:r>
              <w:rPr>
                <w:rFonts w:ascii="Calibri"/>
                <w:sz w:val="18"/>
              </w:rPr>
              <w:t>or</w:t>
            </w:r>
            <w:r>
              <w:rPr>
                <w:rFonts w:ascii="Calibri"/>
                <w:spacing w:val="55"/>
                <w:w w:val="99"/>
                <w:sz w:val="18"/>
              </w:rPr>
              <w:t xml:space="preserve"> </w:t>
            </w:r>
            <w:r>
              <w:rPr>
                <w:rFonts w:ascii="Calibri"/>
                <w:spacing w:val="-1"/>
                <w:sz w:val="18"/>
              </w:rPr>
              <w:t>retailers</w:t>
            </w:r>
            <w:r>
              <w:rPr>
                <w:rFonts w:ascii="Calibri"/>
                <w:spacing w:val="-5"/>
                <w:sz w:val="18"/>
              </w:rPr>
              <w:t xml:space="preserve"> </w:t>
            </w:r>
            <w:r>
              <w:rPr>
                <w:rFonts w:ascii="Calibri"/>
                <w:spacing w:val="-1"/>
                <w:sz w:val="18"/>
              </w:rPr>
              <w:t>with</w:t>
            </w:r>
            <w:r>
              <w:rPr>
                <w:rFonts w:ascii="Calibri"/>
                <w:spacing w:val="-5"/>
                <w:sz w:val="18"/>
              </w:rPr>
              <w:t xml:space="preserve"> </w:t>
            </w:r>
            <w:r>
              <w:rPr>
                <w:rFonts w:ascii="Calibri"/>
                <w:spacing w:val="-1"/>
                <w:sz w:val="18"/>
              </w:rPr>
              <w:t>less</w:t>
            </w:r>
            <w:r>
              <w:rPr>
                <w:rFonts w:ascii="Calibri"/>
                <w:spacing w:val="-5"/>
                <w:sz w:val="18"/>
              </w:rPr>
              <w:t xml:space="preserve"> </w:t>
            </w:r>
            <w:r>
              <w:rPr>
                <w:rFonts w:ascii="Calibri"/>
                <w:spacing w:val="-1"/>
                <w:sz w:val="18"/>
              </w:rPr>
              <w:t>competition</w:t>
            </w:r>
            <w:r>
              <w:rPr>
                <w:rFonts w:ascii="Calibri"/>
                <w:spacing w:val="-4"/>
                <w:sz w:val="18"/>
              </w:rPr>
              <w:t xml:space="preserve"> </w:t>
            </w:r>
            <w:r>
              <w:rPr>
                <w:rFonts w:ascii="Calibri"/>
                <w:sz w:val="18"/>
              </w:rPr>
              <w:t>from</w:t>
            </w:r>
            <w:r>
              <w:rPr>
                <w:rFonts w:ascii="Calibri"/>
                <w:spacing w:val="-4"/>
                <w:sz w:val="18"/>
              </w:rPr>
              <w:t xml:space="preserve"> </w:t>
            </w:r>
            <w:r>
              <w:rPr>
                <w:rFonts w:ascii="Calibri"/>
                <w:spacing w:val="-1"/>
                <w:sz w:val="18"/>
              </w:rPr>
              <w:t>non-program-eligible</w:t>
            </w:r>
            <w:r>
              <w:rPr>
                <w:rFonts w:ascii="Calibri"/>
                <w:spacing w:val="69"/>
                <w:w w:val="99"/>
                <w:sz w:val="18"/>
              </w:rPr>
              <w:t xml:space="preserve"> </w:t>
            </w:r>
            <w:r>
              <w:rPr>
                <w:rFonts w:ascii="Calibri"/>
                <w:sz w:val="18"/>
              </w:rPr>
              <w:t>LEDs</w:t>
            </w:r>
            <w:r>
              <w:rPr>
                <w:rFonts w:ascii="Calibri"/>
                <w:spacing w:val="-4"/>
                <w:sz w:val="18"/>
              </w:rPr>
              <w:t xml:space="preserve"> </w:t>
            </w:r>
            <w:r>
              <w:rPr>
                <w:rFonts w:ascii="Calibri"/>
                <w:spacing w:val="-1"/>
                <w:sz w:val="18"/>
              </w:rPr>
              <w:t>and</w:t>
            </w:r>
            <w:r>
              <w:rPr>
                <w:rFonts w:ascii="Calibri"/>
                <w:spacing w:val="-2"/>
                <w:sz w:val="18"/>
              </w:rPr>
              <w:t xml:space="preserve"> </w:t>
            </w:r>
            <w:r>
              <w:rPr>
                <w:rFonts w:ascii="Calibri"/>
                <w:spacing w:val="-1"/>
                <w:sz w:val="18"/>
              </w:rPr>
              <w:t>products</w:t>
            </w:r>
            <w:r>
              <w:rPr>
                <w:rFonts w:ascii="Calibri"/>
                <w:spacing w:val="-3"/>
                <w:sz w:val="18"/>
              </w:rPr>
              <w:t xml:space="preserve"> </w:t>
            </w:r>
            <w:r>
              <w:rPr>
                <w:rFonts w:ascii="Calibri"/>
                <w:sz w:val="18"/>
              </w:rPr>
              <w:t>where</w:t>
            </w:r>
            <w:r>
              <w:rPr>
                <w:rFonts w:ascii="Calibri"/>
                <w:spacing w:val="-1"/>
                <w:sz w:val="18"/>
              </w:rPr>
              <w:t xml:space="preserve"> demand</w:t>
            </w:r>
            <w:r>
              <w:rPr>
                <w:rFonts w:ascii="Calibri"/>
                <w:spacing w:val="-2"/>
                <w:sz w:val="18"/>
              </w:rPr>
              <w:t xml:space="preserve"> </w:t>
            </w:r>
            <w:r>
              <w:rPr>
                <w:rFonts w:ascii="Calibri"/>
                <w:sz w:val="18"/>
              </w:rPr>
              <w:t>is</w:t>
            </w:r>
            <w:r>
              <w:rPr>
                <w:rFonts w:ascii="Calibri"/>
                <w:spacing w:val="-3"/>
                <w:sz w:val="18"/>
              </w:rPr>
              <w:t xml:space="preserve"> </w:t>
            </w:r>
            <w:r>
              <w:rPr>
                <w:rFonts w:ascii="Calibri"/>
                <w:sz w:val="18"/>
              </w:rPr>
              <w:t>more</w:t>
            </w:r>
            <w:r>
              <w:rPr>
                <w:rFonts w:ascii="Calibri"/>
                <w:spacing w:val="-3"/>
                <w:sz w:val="18"/>
              </w:rPr>
              <w:t xml:space="preserve"> </w:t>
            </w:r>
            <w:r>
              <w:rPr>
                <w:rFonts w:ascii="Calibri"/>
                <w:spacing w:val="-1"/>
                <w:sz w:val="18"/>
              </w:rPr>
              <w:t>elastic</w:t>
            </w:r>
            <w:r>
              <w:rPr>
                <w:rFonts w:ascii="Calibri"/>
                <w:spacing w:val="-2"/>
                <w:sz w:val="18"/>
              </w:rPr>
              <w:t xml:space="preserve"> </w:t>
            </w:r>
            <w:r>
              <w:rPr>
                <w:rFonts w:ascii="Calibri"/>
                <w:sz w:val="18"/>
              </w:rPr>
              <w:t>in</w:t>
            </w:r>
            <w:r>
              <w:rPr>
                <w:rFonts w:ascii="Calibri"/>
                <w:spacing w:val="37"/>
                <w:sz w:val="18"/>
              </w:rPr>
              <w:t xml:space="preserve"> </w:t>
            </w:r>
            <w:r>
              <w:rPr>
                <w:rFonts w:ascii="Calibri"/>
                <w:spacing w:val="-1"/>
                <w:sz w:val="18"/>
              </w:rPr>
              <w:t>response</w:t>
            </w:r>
            <w:r>
              <w:rPr>
                <w:rFonts w:ascii="Calibri"/>
                <w:spacing w:val="-4"/>
                <w:sz w:val="18"/>
              </w:rPr>
              <w:t xml:space="preserve"> </w:t>
            </w:r>
            <w:r>
              <w:rPr>
                <w:rFonts w:ascii="Calibri"/>
                <w:sz w:val="18"/>
              </w:rPr>
              <w:t>to</w:t>
            </w:r>
            <w:r>
              <w:rPr>
                <w:rFonts w:ascii="Calibri"/>
                <w:spacing w:val="-2"/>
                <w:sz w:val="18"/>
              </w:rPr>
              <w:t xml:space="preserve"> </w:t>
            </w:r>
            <w:r>
              <w:rPr>
                <w:rFonts w:ascii="Calibri"/>
                <w:spacing w:val="-1"/>
                <w:sz w:val="18"/>
              </w:rPr>
              <w:t>price</w:t>
            </w:r>
            <w:r>
              <w:rPr>
                <w:rFonts w:ascii="Calibri"/>
                <w:spacing w:val="-3"/>
                <w:sz w:val="18"/>
              </w:rPr>
              <w:t xml:space="preserve"> </w:t>
            </w:r>
            <w:r>
              <w:rPr>
                <w:rFonts w:ascii="Calibri"/>
                <w:spacing w:val="-1"/>
                <w:sz w:val="18"/>
              </w:rPr>
              <w:t>changes.</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ight="172"/>
              <w:rPr>
                <w:rFonts w:ascii="Calibri" w:eastAsia="Calibri" w:hAnsi="Calibri" w:cs="Calibri"/>
                <w:sz w:val="18"/>
                <w:szCs w:val="18"/>
              </w:rPr>
            </w:pPr>
            <w:r>
              <w:rPr>
                <w:rFonts w:ascii="Calibri" w:eastAsia="Calibri" w:hAnsi="Calibri" w:cs="Calibri"/>
                <w:spacing w:val="-1"/>
                <w:sz w:val="18"/>
                <w:szCs w:val="18"/>
              </w:rPr>
              <w:t>Will</w:t>
            </w:r>
            <w:r>
              <w:rPr>
                <w:rFonts w:ascii="Calibri" w:eastAsia="Calibri" w:hAnsi="Calibri" w:cs="Calibri"/>
                <w:spacing w:val="-3"/>
                <w:sz w:val="18"/>
                <w:szCs w:val="18"/>
              </w:rPr>
              <w:t xml:space="preserve"> </w:t>
            </w:r>
            <w:r>
              <w:rPr>
                <w:rFonts w:ascii="Calibri" w:eastAsia="Calibri" w:hAnsi="Calibri" w:cs="Calibri"/>
                <w:spacing w:val="-1"/>
                <w:sz w:val="18"/>
                <w:szCs w:val="18"/>
              </w:rPr>
              <w:t>be</w:t>
            </w:r>
            <w:r>
              <w:rPr>
                <w:rFonts w:ascii="Calibri" w:eastAsia="Calibri" w:hAnsi="Calibri" w:cs="Calibri"/>
                <w:spacing w:val="-2"/>
                <w:sz w:val="18"/>
                <w:szCs w:val="18"/>
              </w:rPr>
              <w:t xml:space="preserve"> </w:t>
            </w:r>
            <w:r>
              <w:rPr>
                <w:rFonts w:ascii="Calibri" w:eastAsia="Calibri" w:hAnsi="Calibri" w:cs="Calibri"/>
                <w:spacing w:val="-1"/>
                <w:sz w:val="18"/>
                <w:szCs w:val="18"/>
              </w:rPr>
              <w:t>considered</w:t>
            </w:r>
            <w:r>
              <w:rPr>
                <w:rFonts w:ascii="Calibri" w:eastAsia="Calibri" w:hAnsi="Calibri" w:cs="Calibri"/>
                <w:spacing w:val="-3"/>
                <w:sz w:val="18"/>
                <w:szCs w:val="18"/>
              </w:rPr>
              <w:t xml:space="preserve"> </w:t>
            </w:r>
            <w:r>
              <w:rPr>
                <w:rFonts w:ascii="Calibri" w:eastAsia="Calibri" w:hAnsi="Calibri" w:cs="Calibri"/>
                <w:sz w:val="18"/>
                <w:szCs w:val="18"/>
              </w:rPr>
              <w:t>if</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2"/>
                <w:sz w:val="18"/>
                <w:szCs w:val="18"/>
              </w:rPr>
              <w:t xml:space="preserve"> </w:t>
            </w:r>
            <w:r>
              <w:rPr>
                <w:rFonts w:ascii="Calibri" w:eastAsia="Calibri" w:hAnsi="Calibri" w:cs="Calibri"/>
                <w:spacing w:val="-1"/>
                <w:sz w:val="18"/>
                <w:szCs w:val="18"/>
              </w:rPr>
              <w:t>NTGR</w:t>
            </w:r>
            <w:r>
              <w:rPr>
                <w:rFonts w:ascii="Calibri" w:eastAsia="Calibri" w:hAnsi="Calibri" w:cs="Calibri"/>
                <w:spacing w:val="-2"/>
                <w:sz w:val="18"/>
                <w:szCs w:val="18"/>
              </w:rPr>
              <w:t xml:space="preserve"> </w:t>
            </w:r>
            <w:r>
              <w:rPr>
                <w:rFonts w:ascii="Calibri" w:eastAsia="Calibri" w:hAnsi="Calibri" w:cs="Calibri"/>
                <w:sz w:val="18"/>
                <w:szCs w:val="18"/>
              </w:rPr>
              <w:t>is too</w:t>
            </w:r>
            <w:r>
              <w:rPr>
                <w:rFonts w:ascii="Calibri" w:eastAsia="Calibri" w:hAnsi="Calibri" w:cs="Calibri"/>
                <w:spacing w:val="-2"/>
                <w:sz w:val="18"/>
                <w:szCs w:val="18"/>
              </w:rPr>
              <w:t xml:space="preserve"> </w:t>
            </w:r>
            <w:r>
              <w:rPr>
                <w:rFonts w:ascii="Calibri" w:eastAsia="Calibri" w:hAnsi="Calibri" w:cs="Calibri"/>
                <w:sz w:val="18"/>
                <w:szCs w:val="18"/>
              </w:rPr>
              <w:t>low.</w:t>
            </w:r>
            <w:r>
              <w:rPr>
                <w:rFonts w:ascii="Calibri" w:eastAsia="Calibri" w:hAnsi="Calibri" w:cs="Calibri"/>
                <w:spacing w:val="-4"/>
                <w:sz w:val="18"/>
                <w:szCs w:val="18"/>
              </w:rPr>
              <w:t xml:space="preserve"> </w:t>
            </w:r>
            <w:r>
              <w:rPr>
                <w:rFonts w:ascii="Calibri" w:eastAsia="Calibri" w:hAnsi="Calibri" w:cs="Calibri"/>
                <w:spacing w:val="-1"/>
                <w:sz w:val="18"/>
                <w:szCs w:val="18"/>
              </w:rPr>
              <w:t>Based</w:t>
            </w:r>
            <w:r>
              <w:rPr>
                <w:rFonts w:ascii="Calibri" w:eastAsia="Calibri" w:hAnsi="Calibri" w:cs="Calibri"/>
                <w:spacing w:val="-2"/>
                <w:sz w:val="18"/>
                <w:szCs w:val="18"/>
              </w:rPr>
              <w:t xml:space="preserve"> </w:t>
            </w:r>
            <w:r>
              <w:rPr>
                <w:rFonts w:ascii="Calibri" w:eastAsia="Calibri" w:hAnsi="Calibri" w:cs="Calibri"/>
                <w:sz w:val="18"/>
                <w:szCs w:val="18"/>
              </w:rPr>
              <w:t>on</w:t>
            </w:r>
            <w:r>
              <w:rPr>
                <w:rFonts w:ascii="Calibri" w:eastAsia="Calibri" w:hAnsi="Calibri" w:cs="Calibri"/>
                <w:spacing w:val="-3"/>
                <w:sz w:val="18"/>
                <w:szCs w:val="18"/>
              </w:rPr>
              <w:t xml:space="preserve"> </w:t>
            </w:r>
            <w:r>
              <w:rPr>
                <w:rFonts w:ascii="Calibri" w:eastAsia="Calibri" w:hAnsi="Calibri" w:cs="Calibri"/>
                <w:spacing w:val="-1"/>
                <w:sz w:val="18"/>
                <w:szCs w:val="18"/>
              </w:rPr>
              <w:t>the</w:t>
            </w:r>
            <w:r>
              <w:rPr>
                <w:rFonts w:ascii="Calibri" w:eastAsia="Calibri" w:hAnsi="Calibri" w:cs="Calibri"/>
                <w:spacing w:val="2"/>
                <w:sz w:val="18"/>
                <w:szCs w:val="18"/>
              </w:rPr>
              <w:t xml:space="preserve"> </w:t>
            </w:r>
            <w:r>
              <w:rPr>
                <w:rFonts w:ascii="Calibri" w:eastAsia="Calibri" w:hAnsi="Calibri" w:cs="Calibri"/>
                <w:sz w:val="18"/>
                <w:szCs w:val="18"/>
              </w:rPr>
              <w:t>PY7</w:t>
            </w:r>
            <w:r>
              <w:rPr>
                <w:rFonts w:ascii="Calibri" w:eastAsia="Calibri" w:hAnsi="Calibri" w:cs="Calibri"/>
                <w:spacing w:val="37"/>
                <w:w w:val="99"/>
                <w:sz w:val="18"/>
                <w:szCs w:val="18"/>
              </w:rPr>
              <w:t xml:space="preserve"> </w:t>
            </w:r>
            <w:r>
              <w:rPr>
                <w:rFonts w:ascii="Calibri" w:eastAsia="Calibri" w:hAnsi="Calibri" w:cs="Calibri"/>
                <w:spacing w:val="-1"/>
                <w:sz w:val="18"/>
                <w:szCs w:val="18"/>
              </w:rPr>
              <w:t>evaluation,</w:t>
            </w:r>
            <w:r>
              <w:rPr>
                <w:rFonts w:ascii="Calibri" w:eastAsia="Calibri" w:hAnsi="Calibri" w:cs="Calibri"/>
                <w:spacing w:val="-3"/>
                <w:sz w:val="18"/>
                <w:szCs w:val="18"/>
              </w:rPr>
              <w:t xml:space="preserve"> </w:t>
            </w:r>
            <w:r>
              <w:rPr>
                <w:rFonts w:ascii="Calibri" w:eastAsia="Calibri" w:hAnsi="Calibri" w:cs="Calibri"/>
                <w:spacing w:val="-1"/>
                <w:sz w:val="18"/>
                <w:szCs w:val="18"/>
              </w:rPr>
              <w:t>the NTGR</w:t>
            </w:r>
            <w:r>
              <w:rPr>
                <w:rFonts w:ascii="Calibri" w:eastAsia="Calibri" w:hAnsi="Calibri" w:cs="Calibri"/>
                <w:spacing w:val="-2"/>
                <w:sz w:val="18"/>
                <w:szCs w:val="18"/>
              </w:rPr>
              <w:t xml:space="preserve"> </w:t>
            </w:r>
            <w:r>
              <w:rPr>
                <w:rFonts w:ascii="Calibri" w:eastAsia="Calibri" w:hAnsi="Calibri" w:cs="Calibri"/>
                <w:sz w:val="18"/>
                <w:szCs w:val="18"/>
              </w:rPr>
              <w:t>is</w:t>
            </w:r>
            <w:r>
              <w:rPr>
                <w:rFonts w:ascii="Calibri" w:eastAsia="Calibri" w:hAnsi="Calibri" w:cs="Calibri"/>
                <w:spacing w:val="-4"/>
                <w:sz w:val="18"/>
                <w:szCs w:val="18"/>
              </w:rPr>
              <w:t xml:space="preserve"> </w:t>
            </w:r>
            <w:r>
              <w:rPr>
                <w:rFonts w:ascii="Calibri" w:eastAsia="Calibri" w:hAnsi="Calibri" w:cs="Calibri"/>
                <w:spacing w:val="-1"/>
                <w:sz w:val="18"/>
                <w:szCs w:val="18"/>
              </w:rPr>
              <w:t>currently</w:t>
            </w:r>
            <w:r>
              <w:rPr>
                <w:rFonts w:ascii="Calibri" w:eastAsia="Calibri" w:hAnsi="Calibri" w:cs="Calibri"/>
                <w:sz w:val="18"/>
                <w:szCs w:val="18"/>
              </w:rPr>
              <w:t xml:space="preserve"> </w:t>
            </w:r>
            <w:r>
              <w:rPr>
                <w:rFonts w:ascii="Calibri" w:eastAsia="Calibri" w:hAnsi="Calibri" w:cs="Calibri"/>
                <w:spacing w:val="-1"/>
                <w:sz w:val="18"/>
                <w:szCs w:val="18"/>
              </w:rPr>
              <w:t>acceptable</w:t>
            </w:r>
            <w:r>
              <w:rPr>
                <w:rFonts w:ascii="Calibri" w:eastAsia="Calibri" w:hAnsi="Calibri" w:cs="Calibri"/>
                <w:spacing w:val="-3"/>
                <w:sz w:val="18"/>
                <w:szCs w:val="18"/>
              </w:rPr>
              <w:t xml:space="preserve"> </w:t>
            </w:r>
            <w:r>
              <w:rPr>
                <w:rFonts w:ascii="Calibri" w:eastAsia="Calibri" w:hAnsi="Calibri" w:cs="Calibri"/>
                <w:sz w:val="18"/>
                <w:szCs w:val="18"/>
              </w:rPr>
              <w:t>but</w:t>
            </w:r>
            <w:r>
              <w:rPr>
                <w:rFonts w:ascii="Calibri" w:eastAsia="Calibri" w:hAnsi="Calibri" w:cs="Calibri"/>
                <w:spacing w:val="-2"/>
                <w:sz w:val="18"/>
                <w:szCs w:val="18"/>
              </w:rPr>
              <w:t xml:space="preserve"> </w:t>
            </w:r>
            <w:r>
              <w:rPr>
                <w:rFonts w:ascii="Calibri" w:eastAsia="Calibri" w:hAnsi="Calibri" w:cs="Calibri"/>
                <w:sz w:val="18"/>
                <w:szCs w:val="18"/>
              </w:rPr>
              <w:t>PPL</w:t>
            </w:r>
            <w:r>
              <w:rPr>
                <w:rFonts w:ascii="Calibri" w:eastAsia="Calibri" w:hAnsi="Calibri" w:cs="Calibri"/>
                <w:spacing w:val="-2"/>
                <w:sz w:val="18"/>
                <w:szCs w:val="18"/>
              </w:rPr>
              <w:t xml:space="preserve"> </w:t>
            </w:r>
            <w:r>
              <w:rPr>
                <w:rFonts w:ascii="Calibri" w:eastAsia="Calibri" w:hAnsi="Calibri" w:cs="Calibri"/>
                <w:spacing w:val="-1"/>
                <w:sz w:val="18"/>
                <w:szCs w:val="18"/>
              </w:rPr>
              <w:t>will</w:t>
            </w:r>
            <w:r>
              <w:rPr>
                <w:rFonts w:ascii="Calibri" w:eastAsia="Calibri" w:hAnsi="Calibri" w:cs="Calibri"/>
                <w:spacing w:val="45"/>
                <w:sz w:val="18"/>
                <w:szCs w:val="18"/>
              </w:rPr>
              <w:t xml:space="preserve"> </w:t>
            </w:r>
            <w:r>
              <w:rPr>
                <w:rFonts w:ascii="Calibri" w:eastAsia="Calibri" w:hAnsi="Calibri" w:cs="Calibri"/>
                <w:spacing w:val="-1"/>
                <w:sz w:val="18"/>
                <w:szCs w:val="18"/>
              </w:rPr>
              <w:t>continually</w:t>
            </w:r>
            <w:r>
              <w:rPr>
                <w:rFonts w:ascii="Calibri" w:eastAsia="Calibri" w:hAnsi="Calibri" w:cs="Calibri"/>
                <w:spacing w:val="-2"/>
                <w:sz w:val="18"/>
                <w:szCs w:val="18"/>
              </w:rPr>
              <w:t xml:space="preserve"> </w:t>
            </w:r>
            <w:r>
              <w:rPr>
                <w:rFonts w:ascii="Calibri" w:eastAsia="Calibri" w:hAnsi="Calibri" w:cs="Calibri"/>
                <w:sz w:val="18"/>
                <w:szCs w:val="18"/>
              </w:rPr>
              <w:t>look</w:t>
            </w:r>
            <w:r>
              <w:rPr>
                <w:rFonts w:ascii="Calibri" w:eastAsia="Calibri" w:hAnsi="Calibri" w:cs="Calibri"/>
                <w:spacing w:val="-2"/>
                <w:sz w:val="18"/>
                <w:szCs w:val="18"/>
              </w:rPr>
              <w:t xml:space="preserve"> </w:t>
            </w:r>
            <w:r>
              <w:rPr>
                <w:rFonts w:ascii="Calibri" w:eastAsia="Calibri" w:hAnsi="Calibri" w:cs="Calibri"/>
                <w:sz w:val="18"/>
                <w:szCs w:val="18"/>
              </w:rPr>
              <w:t>to</w:t>
            </w:r>
            <w:r>
              <w:rPr>
                <w:rFonts w:ascii="Calibri" w:eastAsia="Calibri" w:hAnsi="Calibri" w:cs="Calibri"/>
                <w:spacing w:val="-2"/>
                <w:sz w:val="18"/>
                <w:szCs w:val="18"/>
              </w:rPr>
              <w:t xml:space="preserve"> </w:t>
            </w:r>
            <w:r>
              <w:rPr>
                <w:rFonts w:ascii="Calibri" w:eastAsia="Calibri" w:hAnsi="Calibri" w:cs="Calibri"/>
                <w:spacing w:val="-1"/>
                <w:sz w:val="18"/>
                <w:szCs w:val="18"/>
              </w:rPr>
              <w:t>improve</w:t>
            </w:r>
            <w:r>
              <w:rPr>
                <w:rFonts w:ascii="Calibri" w:eastAsia="Calibri" w:hAnsi="Calibri" w:cs="Calibri"/>
                <w:spacing w:val="-3"/>
                <w:sz w:val="18"/>
                <w:szCs w:val="18"/>
              </w:rPr>
              <w:t xml:space="preserve"> </w:t>
            </w:r>
            <w:r>
              <w:rPr>
                <w:rFonts w:ascii="Calibri" w:eastAsia="Calibri" w:hAnsi="Calibri" w:cs="Calibri"/>
                <w:spacing w:val="-1"/>
                <w:sz w:val="18"/>
                <w:szCs w:val="18"/>
              </w:rPr>
              <w:t xml:space="preserve">the </w:t>
            </w:r>
            <w:r>
              <w:rPr>
                <w:rFonts w:ascii="Calibri" w:eastAsia="Calibri" w:hAnsi="Calibri" w:cs="Calibri"/>
                <w:sz w:val="18"/>
                <w:szCs w:val="18"/>
              </w:rPr>
              <w:t>NTGR</w:t>
            </w:r>
            <w:r>
              <w:rPr>
                <w:rFonts w:ascii="Calibri" w:eastAsia="Calibri" w:hAnsi="Calibri" w:cs="Calibri"/>
                <w:spacing w:val="-2"/>
                <w:sz w:val="18"/>
                <w:szCs w:val="18"/>
              </w:rPr>
              <w:t xml:space="preserve"> </w:t>
            </w:r>
            <w:r>
              <w:rPr>
                <w:rFonts w:ascii="Calibri" w:eastAsia="Calibri" w:hAnsi="Calibri" w:cs="Calibri"/>
                <w:spacing w:val="-1"/>
                <w:sz w:val="18"/>
                <w:szCs w:val="18"/>
              </w:rPr>
              <w:t>where</w:t>
            </w:r>
            <w:r>
              <w:rPr>
                <w:rFonts w:ascii="Calibri" w:eastAsia="Calibri" w:hAnsi="Calibri" w:cs="Calibri"/>
                <w:spacing w:val="-4"/>
                <w:sz w:val="18"/>
                <w:szCs w:val="18"/>
              </w:rPr>
              <w:t xml:space="preserve"> </w:t>
            </w:r>
            <w:r>
              <w:rPr>
                <w:rFonts w:ascii="Calibri" w:eastAsia="Calibri" w:hAnsi="Calibri" w:cs="Calibri"/>
                <w:spacing w:val="-1"/>
                <w:sz w:val="18"/>
                <w:szCs w:val="18"/>
              </w:rPr>
              <w:t>possible</w:t>
            </w:r>
            <w:r>
              <w:rPr>
                <w:rFonts w:ascii="Calibri" w:eastAsia="Calibri" w:hAnsi="Calibri" w:cs="Calibri"/>
                <w:spacing w:val="-3"/>
                <w:sz w:val="18"/>
                <w:szCs w:val="18"/>
              </w:rPr>
              <w:t xml:space="preserve"> </w:t>
            </w:r>
            <w:r>
              <w:rPr>
                <w:rFonts w:ascii="Calibri" w:eastAsia="Calibri" w:hAnsi="Calibri" w:cs="Calibri"/>
                <w:spacing w:val="-1"/>
                <w:sz w:val="18"/>
                <w:szCs w:val="18"/>
              </w:rPr>
              <w:t>within</w:t>
            </w:r>
            <w:r>
              <w:rPr>
                <w:rFonts w:ascii="Calibri" w:eastAsia="Calibri" w:hAnsi="Calibri" w:cs="Calibri"/>
                <w:spacing w:val="49"/>
                <w:sz w:val="18"/>
                <w:szCs w:val="18"/>
              </w:rPr>
              <w:t xml:space="preserve"> </w:t>
            </w:r>
            <w:r>
              <w:rPr>
                <w:rFonts w:ascii="Calibri" w:eastAsia="Calibri" w:hAnsi="Calibri" w:cs="Calibri"/>
                <w:spacing w:val="-1"/>
                <w:sz w:val="18"/>
                <w:szCs w:val="18"/>
              </w:rPr>
              <w:t>program</w:t>
            </w:r>
            <w:r>
              <w:rPr>
                <w:rFonts w:ascii="Calibri" w:eastAsia="Calibri" w:hAnsi="Calibri" w:cs="Calibri"/>
                <w:spacing w:val="-3"/>
                <w:sz w:val="18"/>
                <w:szCs w:val="18"/>
              </w:rPr>
              <w:t xml:space="preserve"> </w:t>
            </w:r>
            <w:r>
              <w:rPr>
                <w:rFonts w:ascii="Calibri" w:eastAsia="Calibri" w:hAnsi="Calibri" w:cs="Calibri"/>
                <w:spacing w:val="-1"/>
                <w:sz w:val="18"/>
                <w:szCs w:val="18"/>
              </w:rPr>
              <w:t>budget</w:t>
            </w:r>
            <w:r>
              <w:rPr>
                <w:rFonts w:ascii="Calibri" w:eastAsia="Calibri" w:hAnsi="Calibri" w:cs="Calibri"/>
                <w:spacing w:val="-2"/>
                <w:sz w:val="18"/>
                <w:szCs w:val="18"/>
              </w:rPr>
              <w:t xml:space="preserve"> </w:t>
            </w:r>
            <w:r>
              <w:rPr>
                <w:rFonts w:ascii="Calibri" w:eastAsia="Calibri" w:hAnsi="Calibri" w:cs="Calibri"/>
                <w:sz w:val="18"/>
                <w:szCs w:val="18"/>
              </w:rPr>
              <w:t>constraints</w:t>
            </w:r>
            <w:r>
              <w:rPr>
                <w:rFonts w:ascii="Calibri" w:eastAsia="Calibri" w:hAnsi="Calibri" w:cs="Calibri"/>
                <w:spacing w:val="-2"/>
                <w:sz w:val="18"/>
                <w:szCs w:val="18"/>
              </w:rPr>
              <w:t xml:space="preserve"> </w:t>
            </w:r>
            <w:r>
              <w:rPr>
                <w:rFonts w:ascii="Calibri" w:eastAsia="Calibri" w:hAnsi="Calibri" w:cs="Calibri"/>
                <w:spacing w:val="-1"/>
                <w:sz w:val="18"/>
                <w:szCs w:val="18"/>
              </w:rPr>
              <w:t>(i.e.</w:t>
            </w:r>
            <w:r>
              <w:rPr>
                <w:rFonts w:ascii="Calibri" w:eastAsia="Calibri" w:hAnsi="Calibri" w:cs="Calibri"/>
                <w:sz w:val="18"/>
                <w:szCs w:val="18"/>
              </w:rPr>
              <w:t xml:space="preserve"> </w:t>
            </w:r>
            <w:r>
              <w:rPr>
                <w:rFonts w:ascii="Calibri" w:eastAsia="Calibri" w:hAnsi="Calibri" w:cs="Calibri"/>
                <w:spacing w:val="-1"/>
                <w:sz w:val="18"/>
                <w:szCs w:val="18"/>
              </w:rPr>
              <w:t>ensure</w:t>
            </w:r>
            <w:r>
              <w:rPr>
                <w:rFonts w:ascii="Calibri" w:eastAsia="Calibri" w:hAnsi="Calibri" w:cs="Calibri"/>
                <w:spacing w:val="-4"/>
                <w:sz w:val="18"/>
                <w:szCs w:val="18"/>
              </w:rPr>
              <w:t xml:space="preserve"> </w:t>
            </w:r>
            <w:r>
              <w:rPr>
                <w:rFonts w:ascii="Calibri" w:eastAsia="Calibri" w:hAnsi="Calibri" w:cs="Calibri"/>
                <w:sz w:val="18"/>
                <w:szCs w:val="18"/>
              </w:rPr>
              <w:t xml:space="preserve">PPL </w:t>
            </w:r>
            <w:r>
              <w:rPr>
                <w:rFonts w:ascii="Calibri" w:eastAsia="Calibri" w:hAnsi="Calibri" w:cs="Calibri"/>
                <w:spacing w:val="-1"/>
                <w:sz w:val="18"/>
                <w:szCs w:val="18"/>
              </w:rPr>
              <w:t>hits</w:t>
            </w:r>
            <w:r>
              <w:rPr>
                <w:rFonts w:ascii="Calibri" w:eastAsia="Calibri" w:hAnsi="Calibri" w:cs="Calibri"/>
                <w:spacing w:val="-4"/>
                <w:sz w:val="18"/>
                <w:szCs w:val="18"/>
              </w:rPr>
              <w:t xml:space="preserve"> </w:t>
            </w:r>
            <w:r>
              <w:rPr>
                <w:rFonts w:ascii="Calibri" w:eastAsia="Calibri" w:hAnsi="Calibri" w:cs="Calibri"/>
                <w:sz w:val="18"/>
                <w:szCs w:val="18"/>
              </w:rPr>
              <w:t>its</w:t>
            </w:r>
            <w:r>
              <w:rPr>
                <w:rFonts w:ascii="Calibri" w:eastAsia="Calibri" w:hAnsi="Calibri" w:cs="Calibri"/>
                <w:spacing w:val="-3"/>
                <w:sz w:val="18"/>
                <w:szCs w:val="18"/>
              </w:rPr>
              <w:t xml:space="preserve"> </w:t>
            </w:r>
            <w:r>
              <w:rPr>
                <w:rFonts w:ascii="Calibri" w:eastAsia="Calibri" w:hAnsi="Calibri" w:cs="Calibri"/>
                <w:spacing w:val="-1"/>
                <w:sz w:val="18"/>
                <w:szCs w:val="18"/>
              </w:rPr>
              <w:t>savings</w:t>
            </w:r>
            <w:r>
              <w:rPr>
                <w:rFonts w:ascii="Calibri" w:eastAsia="Calibri" w:hAnsi="Calibri" w:cs="Calibri"/>
                <w:spacing w:val="49"/>
                <w:sz w:val="18"/>
                <w:szCs w:val="18"/>
              </w:rPr>
              <w:t xml:space="preserve"> </w:t>
            </w:r>
            <w:r>
              <w:rPr>
                <w:rFonts w:ascii="Calibri" w:eastAsia="Calibri" w:hAnsi="Calibri" w:cs="Calibri"/>
                <w:spacing w:val="-1"/>
                <w:sz w:val="18"/>
                <w:szCs w:val="18"/>
              </w:rPr>
              <w:t>targets</w:t>
            </w:r>
            <w:r>
              <w:rPr>
                <w:rFonts w:ascii="Calibri" w:eastAsia="Calibri" w:hAnsi="Calibri" w:cs="Calibri"/>
                <w:spacing w:val="-2"/>
                <w:sz w:val="18"/>
                <w:szCs w:val="18"/>
              </w:rPr>
              <w:t xml:space="preserve"> </w:t>
            </w:r>
            <w:r>
              <w:rPr>
                <w:rFonts w:ascii="Calibri" w:eastAsia="Calibri" w:hAnsi="Calibri" w:cs="Calibri"/>
                <w:spacing w:val="-1"/>
                <w:sz w:val="18"/>
                <w:szCs w:val="18"/>
              </w:rPr>
              <w:t xml:space="preserve">within </w:t>
            </w:r>
            <w:r>
              <w:rPr>
                <w:rFonts w:ascii="Calibri" w:eastAsia="Calibri" w:hAnsi="Calibri" w:cs="Calibri"/>
                <w:sz w:val="18"/>
                <w:szCs w:val="18"/>
              </w:rPr>
              <w:t>the</w:t>
            </w:r>
            <w:r>
              <w:rPr>
                <w:rFonts w:ascii="Calibri" w:eastAsia="Calibri" w:hAnsi="Calibri" w:cs="Calibri"/>
                <w:spacing w:val="-1"/>
                <w:sz w:val="18"/>
                <w:szCs w:val="18"/>
              </w:rPr>
              <w:t xml:space="preserve"> </w:t>
            </w:r>
            <w:r>
              <w:rPr>
                <w:rFonts w:ascii="Calibri" w:eastAsia="Calibri" w:hAnsi="Calibri" w:cs="Calibri"/>
                <w:sz w:val="18"/>
                <w:szCs w:val="18"/>
              </w:rPr>
              <w:t xml:space="preserve">program’s cost </w:t>
            </w:r>
            <w:r>
              <w:rPr>
                <w:rFonts w:ascii="Calibri" w:eastAsia="Calibri" w:hAnsi="Calibri" w:cs="Calibri"/>
                <w:spacing w:val="-1"/>
                <w:sz w:val="18"/>
                <w:szCs w:val="18"/>
              </w:rPr>
              <w:t>budget).</w:t>
            </w:r>
          </w:p>
        </w:tc>
      </w:tr>
      <w:tr w:rsidR="00E646C9" w:rsidTr="00C3558F">
        <w:trPr>
          <w:trHeight w:hRule="exact" w:val="1279"/>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spacing w:line="276" w:lineRule="auto"/>
              <w:ind w:left="97" w:right="115"/>
              <w:rPr>
                <w:rFonts w:ascii="Calibri" w:eastAsia="Calibri" w:hAnsi="Calibri" w:cs="Calibri"/>
                <w:sz w:val="18"/>
                <w:szCs w:val="18"/>
              </w:rPr>
            </w:pPr>
            <w:r>
              <w:rPr>
                <w:rFonts w:ascii="Calibri"/>
                <w:spacing w:val="-1"/>
                <w:sz w:val="18"/>
              </w:rPr>
              <w:t>Upstream</w:t>
            </w:r>
            <w:r>
              <w:rPr>
                <w:rFonts w:ascii="Calibri"/>
                <w:spacing w:val="-3"/>
                <w:sz w:val="18"/>
              </w:rPr>
              <w:t xml:space="preserve"> </w:t>
            </w:r>
            <w:r>
              <w:rPr>
                <w:rFonts w:ascii="Calibri"/>
                <w:spacing w:val="-1"/>
                <w:sz w:val="18"/>
              </w:rPr>
              <w:t>Lighting--Work</w:t>
            </w:r>
            <w:r>
              <w:rPr>
                <w:rFonts w:ascii="Calibri"/>
                <w:spacing w:val="-4"/>
                <w:sz w:val="18"/>
              </w:rPr>
              <w:t xml:space="preserve"> </w:t>
            </w:r>
            <w:r>
              <w:rPr>
                <w:rFonts w:ascii="Calibri"/>
                <w:spacing w:val="-1"/>
                <w:sz w:val="18"/>
              </w:rPr>
              <w:t>with</w:t>
            </w:r>
            <w:r>
              <w:rPr>
                <w:rFonts w:ascii="Calibri"/>
                <w:spacing w:val="-5"/>
                <w:sz w:val="18"/>
              </w:rPr>
              <w:t xml:space="preserve"> </w:t>
            </w:r>
            <w:r>
              <w:rPr>
                <w:rFonts w:ascii="Calibri"/>
                <w:sz w:val="18"/>
              </w:rPr>
              <w:t>the</w:t>
            </w:r>
            <w:r>
              <w:rPr>
                <w:rFonts w:ascii="Calibri"/>
                <w:spacing w:val="-4"/>
                <w:sz w:val="18"/>
              </w:rPr>
              <w:t xml:space="preserve"> </w:t>
            </w:r>
            <w:r>
              <w:rPr>
                <w:rFonts w:ascii="Calibri"/>
                <w:spacing w:val="-1"/>
                <w:sz w:val="18"/>
              </w:rPr>
              <w:t>ICSP</w:t>
            </w:r>
            <w:r>
              <w:rPr>
                <w:rFonts w:ascii="Calibri"/>
                <w:spacing w:val="-3"/>
                <w:sz w:val="18"/>
              </w:rPr>
              <w:t xml:space="preserve"> </w:t>
            </w:r>
            <w:r>
              <w:rPr>
                <w:rFonts w:ascii="Calibri"/>
                <w:sz w:val="18"/>
              </w:rPr>
              <w:t>to</w:t>
            </w:r>
            <w:r>
              <w:rPr>
                <w:rFonts w:ascii="Calibri"/>
                <w:spacing w:val="-3"/>
                <w:sz w:val="18"/>
              </w:rPr>
              <w:t xml:space="preserve"> </w:t>
            </w:r>
            <w:r>
              <w:rPr>
                <w:rFonts w:ascii="Calibri"/>
                <w:spacing w:val="-1"/>
                <w:sz w:val="18"/>
              </w:rPr>
              <w:t>identify</w:t>
            </w:r>
            <w:r>
              <w:rPr>
                <w:rFonts w:ascii="Calibri"/>
                <w:spacing w:val="52"/>
                <w:w w:val="99"/>
                <w:sz w:val="18"/>
              </w:rPr>
              <w:t xml:space="preserve"> </w:t>
            </w:r>
            <w:r>
              <w:rPr>
                <w:rFonts w:ascii="Calibri"/>
                <w:spacing w:val="-1"/>
                <w:sz w:val="18"/>
              </w:rPr>
              <w:t>opportunities</w:t>
            </w:r>
            <w:r>
              <w:rPr>
                <w:rFonts w:ascii="Calibri"/>
                <w:spacing w:val="-4"/>
                <w:sz w:val="18"/>
              </w:rPr>
              <w:t xml:space="preserve"> </w:t>
            </w:r>
            <w:r>
              <w:rPr>
                <w:rFonts w:ascii="Calibri"/>
                <w:sz w:val="18"/>
              </w:rPr>
              <w:t>to</w:t>
            </w:r>
            <w:r>
              <w:rPr>
                <w:rFonts w:ascii="Calibri"/>
                <w:spacing w:val="-4"/>
                <w:sz w:val="18"/>
              </w:rPr>
              <w:t xml:space="preserve"> </w:t>
            </w:r>
            <w:r>
              <w:rPr>
                <w:rFonts w:ascii="Calibri"/>
                <w:spacing w:val="-1"/>
                <w:sz w:val="18"/>
              </w:rPr>
              <w:t>increase</w:t>
            </w:r>
            <w:r>
              <w:rPr>
                <w:rFonts w:ascii="Calibri"/>
                <w:spacing w:val="-3"/>
                <w:sz w:val="18"/>
              </w:rPr>
              <w:t xml:space="preserve"> </w:t>
            </w:r>
            <w:r>
              <w:rPr>
                <w:rFonts w:ascii="Calibri"/>
                <w:sz w:val="18"/>
              </w:rPr>
              <w:t>variation</w:t>
            </w:r>
            <w:r>
              <w:rPr>
                <w:rFonts w:ascii="Calibri"/>
                <w:spacing w:val="-4"/>
                <w:sz w:val="18"/>
              </w:rPr>
              <w:t xml:space="preserve"> </w:t>
            </w:r>
            <w:r>
              <w:rPr>
                <w:rFonts w:ascii="Calibri"/>
                <w:sz w:val="18"/>
              </w:rPr>
              <w:t>in</w:t>
            </w:r>
            <w:r>
              <w:rPr>
                <w:rFonts w:ascii="Calibri"/>
                <w:spacing w:val="-5"/>
                <w:sz w:val="18"/>
              </w:rPr>
              <w:t xml:space="preserve"> </w:t>
            </w:r>
            <w:r>
              <w:rPr>
                <w:rFonts w:ascii="Calibri"/>
                <w:sz w:val="18"/>
              </w:rPr>
              <w:t>program</w:t>
            </w:r>
            <w:r>
              <w:rPr>
                <w:rFonts w:ascii="Calibri"/>
                <w:spacing w:val="-4"/>
                <w:sz w:val="18"/>
              </w:rPr>
              <w:t xml:space="preserve"> </w:t>
            </w:r>
            <w:r>
              <w:rPr>
                <w:rFonts w:ascii="Calibri"/>
                <w:spacing w:val="-1"/>
                <w:sz w:val="18"/>
              </w:rPr>
              <w:t>activity</w:t>
            </w:r>
            <w:r>
              <w:rPr>
                <w:rFonts w:ascii="Calibri"/>
                <w:spacing w:val="37"/>
                <w:w w:val="99"/>
                <w:sz w:val="18"/>
              </w:rPr>
              <w:t xml:space="preserve"> </w:t>
            </w:r>
            <w:r>
              <w:rPr>
                <w:rFonts w:ascii="Calibri"/>
                <w:spacing w:val="-1"/>
                <w:sz w:val="18"/>
              </w:rPr>
              <w:t>specifically</w:t>
            </w:r>
            <w:r>
              <w:rPr>
                <w:rFonts w:ascii="Calibri"/>
                <w:spacing w:val="-4"/>
                <w:sz w:val="18"/>
              </w:rPr>
              <w:t xml:space="preserve"> </w:t>
            </w:r>
            <w:r>
              <w:rPr>
                <w:rFonts w:ascii="Calibri"/>
                <w:spacing w:val="-1"/>
                <w:sz w:val="18"/>
              </w:rPr>
              <w:t>within</w:t>
            </w:r>
            <w:r>
              <w:rPr>
                <w:rFonts w:ascii="Calibri"/>
                <w:spacing w:val="-4"/>
                <w:sz w:val="18"/>
              </w:rPr>
              <w:t xml:space="preserve"> </w:t>
            </w:r>
            <w:r>
              <w:rPr>
                <w:rFonts w:ascii="Calibri"/>
                <w:spacing w:val="-1"/>
                <w:sz w:val="18"/>
              </w:rPr>
              <w:t>hard-to-reach</w:t>
            </w:r>
            <w:r>
              <w:rPr>
                <w:rFonts w:ascii="Calibri"/>
                <w:spacing w:val="-4"/>
                <w:sz w:val="18"/>
              </w:rPr>
              <w:t xml:space="preserve"> </w:t>
            </w:r>
            <w:r>
              <w:rPr>
                <w:rFonts w:ascii="Calibri"/>
                <w:spacing w:val="-1"/>
                <w:sz w:val="18"/>
              </w:rPr>
              <w:t>retailers,</w:t>
            </w:r>
            <w:r>
              <w:rPr>
                <w:rFonts w:ascii="Calibri"/>
                <w:spacing w:val="-3"/>
                <w:sz w:val="18"/>
              </w:rPr>
              <w:t xml:space="preserve"> </w:t>
            </w:r>
            <w:r>
              <w:rPr>
                <w:rFonts w:ascii="Calibri"/>
                <w:spacing w:val="-1"/>
                <w:sz w:val="18"/>
              </w:rPr>
              <w:t>by</w:t>
            </w:r>
            <w:r>
              <w:rPr>
                <w:rFonts w:ascii="Calibri"/>
                <w:spacing w:val="-3"/>
                <w:sz w:val="18"/>
              </w:rPr>
              <w:t xml:space="preserve"> </w:t>
            </w:r>
            <w:r w:rsidR="0011636D">
              <w:rPr>
                <w:rFonts w:ascii="Calibri"/>
                <w:spacing w:val="-1"/>
                <w:sz w:val="18"/>
              </w:rPr>
              <w:t>introducing</w:t>
            </w:r>
            <w:r w:rsidR="0011636D">
              <w:rPr>
                <w:rFonts w:ascii="Calibri"/>
                <w:w w:val="99"/>
                <w:sz w:val="18"/>
              </w:rPr>
              <w:t xml:space="preserve"> </w:t>
            </w:r>
            <w:r w:rsidR="0011636D">
              <w:rPr>
                <w:rFonts w:ascii="Calibri"/>
                <w:spacing w:val="65"/>
                <w:w w:val="99"/>
                <w:sz w:val="18"/>
              </w:rPr>
              <w:t>new</w:t>
            </w:r>
            <w:r>
              <w:rPr>
                <w:rFonts w:ascii="Calibri"/>
                <w:spacing w:val="-2"/>
                <w:sz w:val="18"/>
              </w:rPr>
              <w:t xml:space="preserve"> </w:t>
            </w:r>
            <w:r>
              <w:rPr>
                <w:rFonts w:ascii="Calibri"/>
                <w:spacing w:val="-1"/>
                <w:sz w:val="18"/>
              </w:rPr>
              <w:t>products</w:t>
            </w:r>
            <w:r>
              <w:rPr>
                <w:rFonts w:ascii="Calibri"/>
                <w:spacing w:val="-4"/>
                <w:sz w:val="18"/>
              </w:rPr>
              <w:t xml:space="preserve"> </w:t>
            </w:r>
            <w:r>
              <w:rPr>
                <w:rFonts w:ascii="Calibri"/>
                <w:sz w:val="18"/>
              </w:rPr>
              <w:t>with</w:t>
            </w:r>
            <w:r>
              <w:rPr>
                <w:rFonts w:ascii="Calibri"/>
                <w:spacing w:val="-3"/>
                <w:sz w:val="18"/>
              </w:rPr>
              <w:t xml:space="preserve"> </w:t>
            </w:r>
            <w:r>
              <w:rPr>
                <w:rFonts w:ascii="Calibri"/>
                <w:spacing w:val="-1"/>
                <w:sz w:val="18"/>
              </w:rPr>
              <w:t>lower</w:t>
            </w:r>
            <w:r>
              <w:rPr>
                <w:rFonts w:ascii="Calibri"/>
                <w:spacing w:val="-2"/>
                <w:sz w:val="18"/>
              </w:rPr>
              <w:t xml:space="preserve"> </w:t>
            </w:r>
            <w:r>
              <w:rPr>
                <w:rFonts w:ascii="Calibri"/>
                <w:spacing w:val="-1"/>
                <w:sz w:val="18"/>
              </w:rPr>
              <w:t>price points,</w:t>
            </w:r>
            <w:r>
              <w:rPr>
                <w:rFonts w:ascii="Calibri"/>
                <w:spacing w:val="-2"/>
                <w:sz w:val="18"/>
              </w:rPr>
              <w:t xml:space="preserve"> </w:t>
            </w:r>
            <w:r>
              <w:rPr>
                <w:rFonts w:ascii="Calibri"/>
                <w:spacing w:val="-1"/>
                <w:sz w:val="18"/>
              </w:rPr>
              <w:t>special</w:t>
            </w:r>
            <w:r>
              <w:rPr>
                <w:rFonts w:ascii="Calibri"/>
                <w:sz w:val="18"/>
              </w:rPr>
              <w:t xml:space="preserve"> </w:t>
            </w:r>
            <w:r>
              <w:rPr>
                <w:rFonts w:ascii="Calibri"/>
                <w:spacing w:val="-1"/>
                <w:sz w:val="18"/>
              </w:rPr>
              <w:t>promotions,</w:t>
            </w:r>
            <w:r>
              <w:rPr>
                <w:rFonts w:ascii="Calibri"/>
                <w:spacing w:val="-2"/>
                <w:sz w:val="18"/>
              </w:rPr>
              <w:t xml:space="preserve"> </w:t>
            </w:r>
            <w:r>
              <w:rPr>
                <w:rFonts w:ascii="Calibri"/>
                <w:sz w:val="18"/>
              </w:rPr>
              <w:t>or</w:t>
            </w:r>
            <w:r>
              <w:rPr>
                <w:rFonts w:ascii="Calibri"/>
                <w:spacing w:val="59"/>
                <w:w w:val="99"/>
                <w:sz w:val="18"/>
              </w:rPr>
              <w:t xml:space="preserve"> </w:t>
            </w:r>
            <w:r>
              <w:rPr>
                <w:rFonts w:ascii="Calibri"/>
                <w:spacing w:val="-1"/>
                <w:sz w:val="18"/>
              </w:rPr>
              <w:t>pricing</w:t>
            </w:r>
            <w:r>
              <w:rPr>
                <w:rFonts w:ascii="Calibri"/>
                <w:spacing w:val="-2"/>
                <w:sz w:val="18"/>
              </w:rPr>
              <w:t xml:space="preserve"> </w:t>
            </w:r>
            <w:r>
              <w:rPr>
                <w:rFonts w:ascii="Calibri"/>
                <w:spacing w:val="-1"/>
                <w:sz w:val="18"/>
              </w:rPr>
              <w:t>experiments,</w:t>
            </w:r>
            <w:r>
              <w:rPr>
                <w:rFonts w:ascii="Calibri"/>
                <w:spacing w:val="-2"/>
                <w:sz w:val="18"/>
              </w:rPr>
              <w:t xml:space="preserve"> </w:t>
            </w:r>
            <w:r>
              <w:rPr>
                <w:rFonts w:ascii="Calibri"/>
                <w:spacing w:val="-1"/>
                <w:sz w:val="18"/>
              </w:rPr>
              <w:t>if possible.</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r w:rsidR="00E646C9" w:rsidTr="00C3558F">
        <w:trPr>
          <w:trHeight w:hRule="exact" w:val="1279"/>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spacing w:line="276" w:lineRule="auto"/>
              <w:ind w:left="97" w:right="284"/>
              <w:rPr>
                <w:rFonts w:ascii="Calibri" w:eastAsia="Calibri" w:hAnsi="Calibri" w:cs="Calibri"/>
                <w:sz w:val="18"/>
                <w:szCs w:val="18"/>
              </w:rPr>
            </w:pPr>
            <w:r>
              <w:rPr>
                <w:rFonts w:ascii="Calibri"/>
                <w:spacing w:val="-1"/>
                <w:sz w:val="18"/>
              </w:rPr>
              <w:t>Upstream</w:t>
            </w:r>
            <w:r>
              <w:rPr>
                <w:rFonts w:ascii="Calibri"/>
                <w:spacing w:val="-5"/>
                <w:sz w:val="18"/>
              </w:rPr>
              <w:t xml:space="preserve"> </w:t>
            </w:r>
            <w:r>
              <w:rPr>
                <w:rFonts w:ascii="Calibri"/>
                <w:spacing w:val="-1"/>
                <w:sz w:val="18"/>
              </w:rPr>
              <w:t>Lighting--Watch</w:t>
            </w:r>
            <w:r>
              <w:rPr>
                <w:rFonts w:ascii="Calibri"/>
                <w:spacing w:val="-5"/>
                <w:sz w:val="18"/>
              </w:rPr>
              <w:t xml:space="preserve"> </w:t>
            </w:r>
            <w:r>
              <w:rPr>
                <w:rFonts w:ascii="Calibri"/>
                <w:sz w:val="18"/>
              </w:rPr>
              <w:t>market</w:t>
            </w:r>
            <w:r>
              <w:rPr>
                <w:rFonts w:ascii="Calibri"/>
                <w:spacing w:val="-5"/>
                <w:sz w:val="18"/>
              </w:rPr>
              <w:t xml:space="preserve"> </w:t>
            </w:r>
            <w:r>
              <w:rPr>
                <w:rFonts w:ascii="Calibri"/>
                <w:spacing w:val="-1"/>
                <w:sz w:val="18"/>
              </w:rPr>
              <w:t>trends</w:t>
            </w:r>
            <w:r>
              <w:rPr>
                <w:rFonts w:ascii="Calibri"/>
                <w:spacing w:val="-5"/>
                <w:sz w:val="18"/>
              </w:rPr>
              <w:t xml:space="preserve"> </w:t>
            </w:r>
            <w:r>
              <w:rPr>
                <w:rFonts w:ascii="Calibri"/>
                <w:sz w:val="18"/>
              </w:rPr>
              <w:t>and</w:t>
            </w:r>
            <w:r>
              <w:rPr>
                <w:rFonts w:ascii="Calibri"/>
                <w:spacing w:val="-5"/>
                <w:sz w:val="18"/>
              </w:rPr>
              <w:t xml:space="preserve"> </w:t>
            </w:r>
            <w:r>
              <w:rPr>
                <w:rFonts w:ascii="Calibri"/>
                <w:spacing w:val="-1"/>
                <w:sz w:val="18"/>
              </w:rPr>
              <w:t>purchasing</w:t>
            </w:r>
            <w:r>
              <w:rPr>
                <w:rFonts w:ascii="Calibri"/>
                <w:spacing w:val="63"/>
                <w:w w:val="99"/>
                <w:sz w:val="18"/>
              </w:rPr>
              <w:t xml:space="preserve"> </w:t>
            </w:r>
            <w:r>
              <w:rPr>
                <w:rFonts w:ascii="Calibri"/>
                <w:spacing w:val="-1"/>
                <w:sz w:val="18"/>
              </w:rPr>
              <w:t>patterns</w:t>
            </w:r>
            <w:r>
              <w:rPr>
                <w:rFonts w:ascii="Calibri"/>
                <w:spacing w:val="-3"/>
                <w:sz w:val="18"/>
              </w:rPr>
              <w:t xml:space="preserve"> </w:t>
            </w:r>
            <w:r>
              <w:rPr>
                <w:rFonts w:ascii="Calibri"/>
                <w:sz w:val="18"/>
              </w:rPr>
              <w:t>during</w:t>
            </w:r>
            <w:r>
              <w:rPr>
                <w:rFonts w:ascii="Calibri"/>
                <w:spacing w:val="-2"/>
                <w:sz w:val="18"/>
              </w:rPr>
              <w:t xml:space="preserve"> </w:t>
            </w:r>
            <w:r>
              <w:rPr>
                <w:rFonts w:ascii="Calibri"/>
                <w:spacing w:val="-1"/>
                <w:sz w:val="18"/>
              </w:rPr>
              <w:t>Phase</w:t>
            </w:r>
            <w:r>
              <w:rPr>
                <w:rFonts w:ascii="Calibri"/>
                <w:spacing w:val="-3"/>
                <w:sz w:val="18"/>
              </w:rPr>
              <w:t xml:space="preserve"> </w:t>
            </w:r>
            <w:r>
              <w:rPr>
                <w:rFonts w:ascii="Calibri"/>
                <w:sz w:val="18"/>
              </w:rPr>
              <w:t>III.</w:t>
            </w:r>
            <w:r>
              <w:rPr>
                <w:rFonts w:ascii="Calibri"/>
                <w:spacing w:val="-1"/>
                <w:sz w:val="18"/>
              </w:rPr>
              <w:t xml:space="preserve"> This includes</w:t>
            </w:r>
            <w:r>
              <w:rPr>
                <w:rFonts w:ascii="Calibri"/>
                <w:spacing w:val="-2"/>
                <w:sz w:val="18"/>
              </w:rPr>
              <w:t xml:space="preserve"> </w:t>
            </w:r>
            <w:r>
              <w:rPr>
                <w:rFonts w:ascii="Calibri"/>
                <w:spacing w:val="-1"/>
                <w:sz w:val="18"/>
              </w:rPr>
              <w:t>monitoring</w:t>
            </w:r>
            <w:r>
              <w:rPr>
                <w:rFonts w:ascii="Calibri"/>
                <w:sz w:val="18"/>
              </w:rPr>
              <w:t xml:space="preserve"> </w:t>
            </w:r>
            <w:r>
              <w:rPr>
                <w:rFonts w:ascii="Calibri"/>
                <w:spacing w:val="-1"/>
                <w:sz w:val="18"/>
              </w:rPr>
              <w:t>the</w:t>
            </w:r>
            <w:r>
              <w:rPr>
                <w:rFonts w:ascii="Calibri"/>
                <w:spacing w:val="49"/>
                <w:w w:val="99"/>
                <w:sz w:val="18"/>
              </w:rPr>
              <w:t xml:space="preserve"> </w:t>
            </w:r>
            <w:r>
              <w:rPr>
                <w:rFonts w:ascii="Calibri"/>
                <w:spacing w:val="-1"/>
                <w:sz w:val="18"/>
              </w:rPr>
              <w:t>pricing</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program</w:t>
            </w:r>
            <w:r>
              <w:rPr>
                <w:rFonts w:ascii="Calibri"/>
                <w:spacing w:val="-2"/>
                <w:sz w:val="18"/>
              </w:rPr>
              <w:t xml:space="preserve"> </w:t>
            </w:r>
            <w:r>
              <w:rPr>
                <w:rFonts w:ascii="Calibri"/>
                <w:sz w:val="18"/>
              </w:rPr>
              <w:t>and</w:t>
            </w:r>
            <w:r>
              <w:rPr>
                <w:rFonts w:ascii="Calibri"/>
                <w:spacing w:val="-3"/>
                <w:sz w:val="18"/>
              </w:rPr>
              <w:t xml:space="preserve"> </w:t>
            </w:r>
            <w:r>
              <w:rPr>
                <w:rFonts w:ascii="Calibri"/>
                <w:spacing w:val="-1"/>
                <w:sz w:val="18"/>
              </w:rPr>
              <w:t>non-program</w:t>
            </w:r>
            <w:r>
              <w:rPr>
                <w:rFonts w:ascii="Calibri"/>
                <w:spacing w:val="-2"/>
                <w:sz w:val="18"/>
              </w:rPr>
              <w:t xml:space="preserve"> </w:t>
            </w:r>
            <w:r>
              <w:rPr>
                <w:rFonts w:ascii="Calibri"/>
                <w:spacing w:val="-1"/>
                <w:sz w:val="18"/>
              </w:rPr>
              <w:t xml:space="preserve">bulbs, </w:t>
            </w:r>
            <w:r>
              <w:rPr>
                <w:rFonts w:ascii="Calibri"/>
                <w:sz w:val="18"/>
              </w:rPr>
              <w:t>as</w:t>
            </w:r>
            <w:r>
              <w:rPr>
                <w:rFonts w:ascii="Calibri"/>
                <w:spacing w:val="-2"/>
                <w:sz w:val="18"/>
              </w:rPr>
              <w:t xml:space="preserve"> </w:t>
            </w:r>
            <w:r>
              <w:rPr>
                <w:rFonts w:ascii="Calibri"/>
                <w:spacing w:val="-1"/>
                <w:sz w:val="18"/>
              </w:rPr>
              <w:t>well</w:t>
            </w:r>
            <w:r>
              <w:rPr>
                <w:rFonts w:ascii="Calibri"/>
                <w:spacing w:val="-3"/>
                <w:sz w:val="18"/>
              </w:rPr>
              <w:t xml:space="preserve"> </w:t>
            </w:r>
            <w:r>
              <w:rPr>
                <w:rFonts w:ascii="Calibri"/>
                <w:sz w:val="18"/>
              </w:rPr>
              <w:t>as</w:t>
            </w:r>
            <w:r>
              <w:rPr>
                <w:rFonts w:ascii="Calibri"/>
                <w:spacing w:val="49"/>
                <w:sz w:val="18"/>
              </w:rPr>
              <w:t xml:space="preserve"> </w:t>
            </w:r>
            <w:r>
              <w:rPr>
                <w:rFonts w:ascii="Calibri"/>
                <w:spacing w:val="-1"/>
                <w:sz w:val="18"/>
              </w:rPr>
              <w:t>consumer</w:t>
            </w:r>
            <w:r>
              <w:rPr>
                <w:rFonts w:ascii="Calibri"/>
                <w:spacing w:val="-2"/>
                <w:sz w:val="18"/>
              </w:rPr>
              <w:t xml:space="preserve"> </w:t>
            </w:r>
            <w:r>
              <w:rPr>
                <w:rFonts w:ascii="Calibri"/>
                <w:spacing w:val="-1"/>
                <w:sz w:val="18"/>
              </w:rPr>
              <w:t>attitudes</w:t>
            </w:r>
            <w:r>
              <w:rPr>
                <w:rFonts w:ascii="Calibri"/>
                <w:spacing w:val="-3"/>
                <w:sz w:val="18"/>
              </w:rPr>
              <w:t xml:space="preserve"> </w:t>
            </w:r>
            <w:r>
              <w:rPr>
                <w:rFonts w:ascii="Calibri"/>
                <w:spacing w:val="-1"/>
                <w:sz w:val="18"/>
              </w:rPr>
              <w:t>about</w:t>
            </w:r>
            <w:r>
              <w:rPr>
                <w:rFonts w:ascii="Calibri"/>
                <w:spacing w:val="-2"/>
                <w:sz w:val="18"/>
              </w:rPr>
              <w:t xml:space="preserve"> </w:t>
            </w:r>
            <w:r>
              <w:rPr>
                <w:rFonts w:ascii="Calibri"/>
                <w:spacing w:val="-1"/>
                <w:sz w:val="18"/>
              </w:rPr>
              <w:t>quality</w:t>
            </w:r>
            <w:r>
              <w:rPr>
                <w:rFonts w:ascii="Calibri"/>
                <w:sz w:val="18"/>
              </w:rPr>
              <w:t xml:space="preserve"> </w:t>
            </w:r>
            <w:r>
              <w:rPr>
                <w:rFonts w:ascii="Calibri"/>
                <w:spacing w:val="-1"/>
                <w:sz w:val="18"/>
              </w:rPr>
              <w:t>versus price,</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maintain</w:t>
            </w:r>
            <w:r>
              <w:rPr>
                <w:rFonts w:ascii="Calibri"/>
                <w:spacing w:val="69"/>
                <w:sz w:val="18"/>
              </w:rPr>
              <w:t xml:space="preserve"> </w:t>
            </w:r>
            <w:r>
              <w:rPr>
                <w:rFonts w:ascii="Calibri"/>
                <w:spacing w:val="-1"/>
                <w:sz w:val="18"/>
              </w:rPr>
              <w:t>the</w:t>
            </w:r>
            <w:r>
              <w:rPr>
                <w:rFonts w:ascii="Calibri"/>
                <w:spacing w:val="-4"/>
                <w:sz w:val="18"/>
              </w:rPr>
              <w:t xml:space="preserve"> </w:t>
            </w:r>
            <w:r>
              <w:rPr>
                <w:rFonts w:ascii="Calibri"/>
                <w:spacing w:val="-1"/>
                <w:sz w:val="18"/>
              </w:rPr>
              <w:t>impact</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program</w:t>
            </w:r>
            <w:r>
              <w:rPr>
                <w:rFonts w:ascii="Calibri"/>
                <w:spacing w:val="-4"/>
                <w:sz w:val="18"/>
              </w:rPr>
              <w:t xml:space="preserve"> </w:t>
            </w:r>
            <w:r>
              <w:rPr>
                <w:rFonts w:ascii="Calibri"/>
                <w:sz w:val="18"/>
              </w:rPr>
              <w:t>incentives.</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ight="293"/>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Market</w:t>
            </w:r>
            <w:r>
              <w:rPr>
                <w:rFonts w:ascii="Calibri"/>
                <w:spacing w:val="-3"/>
                <w:sz w:val="18"/>
              </w:rPr>
              <w:t xml:space="preserve"> </w:t>
            </w:r>
            <w:r>
              <w:rPr>
                <w:rFonts w:ascii="Calibri"/>
                <w:spacing w:val="-1"/>
                <w:sz w:val="18"/>
              </w:rPr>
              <w:t>effects</w:t>
            </w:r>
            <w:r>
              <w:rPr>
                <w:rFonts w:ascii="Calibri"/>
                <w:spacing w:val="-4"/>
                <w:sz w:val="18"/>
              </w:rPr>
              <w:t xml:space="preserve"> </w:t>
            </w:r>
            <w:r>
              <w:rPr>
                <w:rFonts w:ascii="Calibri"/>
                <w:spacing w:val="1"/>
                <w:sz w:val="18"/>
              </w:rPr>
              <w:t>and</w:t>
            </w:r>
            <w:r>
              <w:rPr>
                <w:rFonts w:ascii="Calibri"/>
                <w:spacing w:val="-4"/>
                <w:sz w:val="18"/>
              </w:rPr>
              <w:t xml:space="preserve"> </w:t>
            </w:r>
            <w:r>
              <w:rPr>
                <w:rFonts w:ascii="Calibri"/>
                <w:spacing w:val="-1"/>
                <w:sz w:val="18"/>
              </w:rPr>
              <w:t>saturation</w:t>
            </w:r>
            <w:r>
              <w:rPr>
                <w:rFonts w:ascii="Calibri"/>
                <w:spacing w:val="-3"/>
                <w:sz w:val="18"/>
              </w:rPr>
              <w:t xml:space="preserve"> </w:t>
            </w:r>
            <w:r>
              <w:rPr>
                <w:rFonts w:ascii="Calibri"/>
                <w:spacing w:val="-1"/>
                <w:sz w:val="18"/>
              </w:rPr>
              <w:t>studies</w:t>
            </w:r>
            <w:r>
              <w:rPr>
                <w:rFonts w:ascii="Calibri"/>
                <w:spacing w:val="-4"/>
                <w:sz w:val="18"/>
              </w:rPr>
              <w:t xml:space="preserve"> </w:t>
            </w:r>
            <w:r>
              <w:rPr>
                <w:rFonts w:ascii="Calibri"/>
                <w:sz w:val="18"/>
              </w:rPr>
              <w:t>are</w:t>
            </w:r>
            <w:r>
              <w:rPr>
                <w:rFonts w:ascii="Calibri"/>
                <w:spacing w:val="-3"/>
                <w:sz w:val="18"/>
              </w:rPr>
              <w:t xml:space="preserve"> </w:t>
            </w:r>
            <w:r>
              <w:rPr>
                <w:rFonts w:ascii="Calibri"/>
                <w:sz w:val="18"/>
              </w:rPr>
              <w:t>in</w:t>
            </w:r>
            <w:r>
              <w:rPr>
                <w:rFonts w:ascii="Calibri"/>
                <w:spacing w:val="51"/>
                <w:sz w:val="18"/>
              </w:rPr>
              <w:t xml:space="preserve"> </w:t>
            </w:r>
            <w:r>
              <w:rPr>
                <w:rFonts w:ascii="Calibri"/>
                <w:spacing w:val="-1"/>
                <w:sz w:val="18"/>
              </w:rPr>
              <w:t>progress</w:t>
            </w:r>
            <w:r>
              <w:rPr>
                <w:rFonts w:ascii="Calibri"/>
                <w:spacing w:val="-4"/>
                <w:sz w:val="18"/>
              </w:rPr>
              <w:t xml:space="preserve"> </w:t>
            </w:r>
            <w:r>
              <w:rPr>
                <w:rFonts w:ascii="Calibri"/>
                <w:sz w:val="18"/>
              </w:rPr>
              <w:t>as</w:t>
            </w:r>
            <w:r>
              <w:rPr>
                <w:rFonts w:ascii="Calibri"/>
                <w:spacing w:val="-2"/>
                <w:sz w:val="18"/>
              </w:rPr>
              <w:t xml:space="preserve"> </w:t>
            </w:r>
            <w:r>
              <w:rPr>
                <w:rFonts w:ascii="Calibri"/>
                <w:sz w:val="18"/>
              </w:rPr>
              <w:t>of</w:t>
            </w:r>
            <w:r>
              <w:rPr>
                <w:rFonts w:ascii="Calibri"/>
                <w:spacing w:val="-4"/>
                <w:sz w:val="18"/>
              </w:rPr>
              <w:t xml:space="preserve"> </w:t>
            </w:r>
            <w:r>
              <w:rPr>
                <w:rFonts w:ascii="Calibri"/>
                <w:spacing w:val="-1"/>
                <w:sz w:val="18"/>
              </w:rPr>
              <w:t>October</w:t>
            </w:r>
            <w:r>
              <w:rPr>
                <w:rFonts w:ascii="Calibri"/>
                <w:spacing w:val="-2"/>
                <w:sz w:val="18"/>
              </w:rPr>
              <w:t xml:space="preserve"> </w:t>
            </w:r>
            <w:r>
              <w:rPr>
                <w:rFonts w:ascii="Calibri"/>
                <w:spacing w:val="-1"/>
                <w:sz w:val="18"/>
              </w:rPr>
              <w:t>2016.</w:t>
            </w:r>
          </w:p>
        </w:tc>
      </w:tr>
      <w:tr w:rsidR="00E646C9" w:rsidTr="00C3558F">
        <w:trPr>
          <w:trHeight w:hRule="exact" w:val="773"/>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spacing w:line="275" w:lineRule="auto"/>
              <w:ind w:left="97" w:right="140"/>
              <w:rPr>
                <w:rFonts w:ascii="Calibri" w:eastAsia="Calibri" w:hAnsi="Calibri" w:cs="Calibri"/>
                <w:sz w:val="18"/>
                <w:szCs w:val="18"/>
              </w:rPr>
            </w:pPr>
            <w:r>
              <w:rPr>
                <w:rFonts w:ascii="Calibri"/>
                <w:spacing w:val="-1"/>
                <w:sz w:val="18"/>
              </w:rPr>
              <w:t>Upstream</w:t>
            </w:r>
            <w:r>
              <w:rPr>
                <w:rFonts w:ascii="Calibri"/>
                <w:spacing w:val="-3"/>
                <w:sz w:val="18"/>
              </w:rPr>
              <w:t xml:space="preserve"> </w:t>
            </w:r>
            <w:r>
              <w:rPr>
                <w:rFonts w:ascii="Calibri"/>
                <w:spacing w:val="-1"/>
                <w:sz w:val="18"/>
              </w:rPr>
              <w:t>Lighting--Consider</w:t>
            </w:r>
            <w:r>
              <w:rPr>
                <w:rFonts w:ascii="Calibri"/>
                <w:spacing w:val="-3"/>
                <w:sz w:val="18"/>
              </w:rPr>
              <w:t xml:space="preserve"> </w:t>
            </w:r>
            <w:r>
              <w:rPr>
                <w:rFonts w:ascii="Calibri"/>
                <w:spacing w:val="-1"/>
                <w:sz w:val="18"/>
              </w:rPr>
              <w:t>bundling</w:t>
            </w:r>
            <w:r>
              <w:rPr>
                <w:rFonts w:ascii="Calibri"/>
                <w:spacing w:val="-4"/>
                <w:sz w:val="18"/>
              </w:rPr>
              <w:t xml:space="preserve"> </w:t>
            </w:r>
            <w:r>
              <w:rPr>
                <w:rFonts w:ascii="Calibri"/>
                <w:spacing w:val="-1"/>
                <w:sz w:val="18"/>
              </w:rPr>
              <w:t>advertising</w:t>
            </w:r>
            <w:r>
              <w:rPr>
                <w:rFonts w:ascii="Calibri"/>
                <w:spacing w:val="-4"/>
                <w:sz w:val="18"/>
              </w:rPr>
              <w:t xml:space="preserve"> </w:t>
            </w:r>
            <w:r>
              <w:rPr>
                <w:rFonts w:ascii="Calibri"/>
                <w:sz w:val="18"/>
              </w:rPr>
              <w:t>of</w:t>
            </w:r>
            <w:r>
              <w:rPr>
                <w:rFonts w:ascii="Calibri"/>
                <w:spacing w:val="-1"/>
                <w:sz w:val="18"/>
              </w:rPr>
              <w:t xml:space="preserve"> CFL</w:t>
            </w:r>
            <w:r>
              <w:rPr>
                <w:rFonts w:ascii="Calibri"/>
                <w:spacing w:val="69"/>
                <w:sz w:val="18"/>
              </w:rPr>
              <w:t xml:space="preserve"> </w:t>
            </w:r>
            <w:r>
              <w:rPr>
                <w:rFonts w:ascii="Calibri"/>
                <w:spacing w:val="-1"/>
                <w:sz w:val="18"/>
              </w:rPr>
              <w:t>recycling</w:t>
            </w:r>
            <w:r>
              <w:rPr>
                <w:rFonts w:ascii="Calibri"/>
                <w:spacing w:val="-3"/>
                <w:sz w:val="18"/>
              </w:rPr>
              <w:t xml:space="preserve"> </w:t>
            </w:r>
            <w:r>
              <w:rPr>
                <w:rFonts w:ascii="Calibri"/>
                <w:sz w:val="18"/>
              </w:rPr>
              <w:t>bin</w:t>
            </w:r>
            <w:r>
              <w:rPr>
                <w:rFonts w:ascii="Calibri"/>
                <w:spacing w:val="-3"/>
                <w:sz w:val="18"/>
              </w:rPr>
              <w:t xml:space="preserve"> </w:t>
            </w:r>
            <w:r>
              <w:rPr>
                <w:rFonts w:ascii="Calibri"/>
                <w:spacing w:val="-1"/>
                <w:sz w:val="18"/>
              </w:rPr>
              <w:t>locations</w:t>
            </w:r>
            <w:r>
              <w:rPr>
                <w:rFonts w:ascii="Calibri"/>
                <w:spacing w:val="-3"/>
                <w:sz w:val="18"/>
              </w:rPr>
              <w:t xml:space="preserve"> </w:t>
            </w:r>
            <w:r>
              <w:rPr>
                <w:rFonts w:ascii="Calibri"/>
                <w:spacing w:val="-1"/>
                <w:sz w:val="18"/>
              </w:rPr>
              <w:t>with</w:t>
            </w:r>
            <w:r>
              <w:rPr>
                <w:rFonts w:ascii="Calibri"/>
                <w:spacing w:val="-3"/>
                <w:sz w:val="18"/>
              </w:rPr>
              <w:t xml:space="preserve"> </w:t>
            </w:r>
            <w:r>
              <w:rPr>
                <w:rFonts w:ascii="Calibri"/>
                <w:sz w:val="18"/>
              </w:rPr>
              <w:t>other</w:t>
            </w:r>
            <w:r>
              <w:rPr>
                <w:rFonts w:ascii="Calibri"/>
                <w:spacing w:val="-1"/>
                <w:sz w:val="18"/>
              </w:rPr>
              <w:t xml:space="preserve"> promotional</w:t>
            </w:r>
            <w:r>
              <w:rPr>
                <w:rFonts w:ascii="Calibri"/>
                <w:spacing w:val="-2"/>
                <w:sz w:val="18"/>
              </w:rPr>
              <w:t xml:space="preserve"> </w:t>
            </w:r>
            <w:r>
              <w:rPr>
                <w:rFonts w:ascii="Calibri"/>
                <w:spacing w:val="-1"/>
                <w:sz w:val="18"/>
              </w:rPr>
              <w:t>materials</w:t>
            </w:r>
            <w:r>
              <w:rPr>
                <w:rFonts w:ascii="Calibri"/>
                <w:spacing w:val="-3"/>
                <w:sz w:val="18"/>
              </w:rPr>
              <w:t xml:space="preserve"> </w:t>
            </w:r>
            <w:r>
              <w:rPr>
                <w:rFonts w:ascii="Calibri"/>
                <w:sz w:val="18"/>
              </w:rPr>
              <w:t>as</w:t>
            </w:r>
            <w:r>
              <w:rPr>
                <w:rFonts w:ascii="Calibri"/>
                <w:spacing w:val="-2"/>
                <w:sz w:val="18"/>
              </w:rPr>
              <w:t xml:space="preserve"> </w:t>
            </w:r>
            <w:r>
              <w:rPr>
                <w:rFonts w:ascii="Calibri"/>
                <w:sz w:val="18"/>
              </w:rPr>
              <w:t>a</w:t>
            </w:r>
            <w:r>
              <w:rPr>
                <w:rFonts w:ascii="Calibri"/>
                <w:spacing w:val="61"/>
                <w:sz w:val="18"/>
              </w:rPr>
              <w:t xml:space="preserve"> </w:t>
            </w:r>
            <w:r>
              <w:rPr>
                <w:rFonts w:ascii="Calibri"/>
                <w:spacing w:val="-1"/>
                <w:sz w:val="18"/>
              </w:rPr>
              <w:t>cost-effective</w:t>
            </w:r>
            <w:r>
              <w:rPr>
                <w:rFonts w:ascii="Calibri"/>
                <w:spacing w:val="-6"/>
                <w:sz w:val="18"/>
              </w:rPr>
              <w:t xml:space="preserve"> </w:t>
            </w:r>
            <w:r>
              <w:rPr>
                <w:rFonts w:ascii="Calibri"/>
                <w:spacing w:val="-1"/>
                <w:sz w:val="18"/>
              </w:rPr>
              <w:t>method</w:t>
            </w:r>
            <w:r>
              <w:rPr>
                <w:rFonts w:ascii="Calibri"/>
                <w:spacing w:val="-5"/>
                <w:sz w:val="18"/>
              </w:rPr>
              <w:t xml:space="preserve"> </w:t>
            </w:r>
            <w:r>
              <w:rPr>
                <w:rFonts w:ascii="Calibri"/>
                <w:sz w:val="18"/>
              </w:rPr>
              <w:t>to</w:t>
            </w:r>
            <w:r>
              <w:rPr>
                <w:rFonts w:ascii="Calibri"/>
                <w:spacing w:val="-4"/>
                <w:sz w:val="18"/>
              </w:rPr>
              <w:t xml:space="preserve"> </w:t>
            </w:r>
            <w:r>
              <w:rPr>
                <w:rFonts w:ascii="Calibri"/>
                <w:spacing w:val="-1"/>
                <w:sz w:val="18"/>
              </w:rPr>
              <w:t>increase</w:t>
            </w:r>
            <w:r>
              <w:rPr>
                <w:rFonts w:ascii="Calibri"/>
                <w:spacing w:val="-5"/>
                <w:sz w:val="18"/>
              </w:rPr>
              <w:t xml:space="preserve"> </w:t>
            </w:r>
            <w:r>
              <w:rPr>
                <w:rFonts w:ascii="Calibri"/>
                <w:sz w:val="18"/>
              </w:rPr>
              <w:t>awareness.</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bl>
    <w:p w:rsidR="00E646C9" w:rsidRPr="00130312" w:rsidRDefault="00E646C9" w:rsidP="00E646C9"/>
    <w:p w:rsidR="00E646C9" w:rsidRPr="00130312" w:rsidRDefault="00E646C9" w:rsidP="00C3558F">
      <w:pPr>
        <w:pStyle w:val="AppendixGHeading2"/>
      </w:pPr>
      <w:r>
        <w:t xml:space="preserve">Custom Incentive </w:t>
      </w:r>
      <w:r w:rsidRPr="00130312">
        <w:t>Program</w:t>
      </w:r>
    </w:p>
    <w:tbl>
      <w:tblPr>
        <w:tblW w:w="9362" w:type="dxa"/>
        <w:tblLayout w:type="fixed"/>
        <w:tblCellMar>
          <w:left w:w="0" w:type="dxa"/>
          <w:right w:w="0" w:type="dxa"/>
        </w:tblCellMar>
        <w:tblLook w:val="01E0" w:firstRow="1" w:lastRow="1" w:firstColumn="1" w:lastColumn="1" w:noHBand="0" w:noVBand="0"/>
      </w:tblPr>
      <w:tblGrid>
        <w:gridCol w:w="4681"/>
        <w:gridCol w:w="4681"/>
      </w:tblGrid>
      <w:tr w:rsidR="00E646C9" w:rsidTr="00C3558F">
        <w:trPr>
          <w:trHeight w:hRule="exact" w:val="680"/>
          <w:tblHeader/>
        </w:trPr>
        <w:tc>
          <w:tcPr>
            <w:tcW w:w="9362" w:type="dxa"/>
            <w:gridSpan w:val="2"/>
            <w:tcBorders>
              <w:top w:val="single" w:sz="8" w:space="0" w:color="448999"/>
              <w:left w:val="single" w:sz="8" w:space="0" w:color="448999"/>
              <w:bottom w:val="nil"/>
              <w:right w:val="single" w:sz="8" w:space="0" w:color="448999"/>
            </w:tcBorders>
            <w:shd w:val="clear" w:color="auto" w:fill="448999"/>
          </w:tcPr>
          <w:p w:rsidR="00E646C9" w:rsidRPr="00C3558F" w:rsidRDefault="00E646C9" w:rsidP="00821A84">
            <w:pPr>
              <w:pStyle w:val="TableParagraph"/>
              <w:tabs>
                <w:tab w:val="left" w:pos="5251"/>
              </w:tabs>
              <w:ind w:left="5798" w:right="570" w:hanging="5632"/>
              <w:rPr>
                <w:rFonts w:ascii="Calibri" w:eastAsia="Calibri" w:hAnsi="Calibri" w:cs="Calibri"/>
                <w:sz w:val="18"/>
                <w:szCs w:val="18"/>
              </w:rPr>
            </w:pPr>
            <w:r>
              <w:rPr>
                <w:rFonts w:ascii="Calibri"/>
                <w:b/>
                <w:color w:val="FFFFFF"/>
                <w:spacing w:val="-1"/>
                <w:w w:val="95"/>
                <w:sz w:val="18"/>
              </w:rPr>
              <w:t>Recommendations</w:t>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55"/>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line="219" w:lineRule="exact"/>
              <w:ind w:left="5654"/>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675"/>
        </w:trPr>
        <w:tc>
          <w:tcPr>
            <w:tcW w:w="4681"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260"/>
              <w:rPr>
                <w:rFonts w:ascii="Calibri" w:eastAsia="Calibri" w:hAnsi="Calibri" w:cs="Calibri"/>
                <w:sz w:val="18"/>
                <w:szCs w:val="18"/>
              </w:rPr>
            </w:pPr>
            <w:r>
              <w:rPr>
                <w:rFonts w:ascii="Calibri"/>
                <w:spacing w:val="-1"/>
                <w:sz w:val="18"/>
              </w:rPr>
              <w:t>Consider</w:t>
            </w:r>
            <w:r>
              <w:rPr>
                <w:rFonts w:ascii="Calibri"/>
                <w:sz w:val="18"/>
              </w:rPr>
              <w:t xml:space="preserve"> </w:t>
            </w:r>
            <w:r>
              <w:rPr>
                <w:rFonts w:ascii="Calibri"/>
                <w:spacing w:val="-1"/>
                <w:sz w:val="18"/>
              </w:rPr>
              <w:t>providing</w:t>
            </w:r>
            <w:r>
              <w:rPr>
                <w:rFonts w:ascii="Calibri"/>
                <w:spacing w:val="-3"/>
                <w:sz w:val="18"/>
              </w:rPr>
              <w:t xml:space="preserve"> </w:t>
            </w:r>
            <w:r>
              <w:rPr>
                <w:rFonts w:ascii="Calibri"/>
                <w:spacing w:val="-1"/>
                <w:sz w:val="18"/>
              </w:rPr>
              <w:t>customers</w:t>
            </w:r>
            <w:r>
              <w:rPr>
                <w:rFonts w:ascii="Calibri"/>
                <w:spacing w:val="-3"/>
                <w:sz w:val="18"/>
              </w:rPr>
              <w:t xml:space="preserve"> </w:t>
            </w:r>
            <w:r>
              <w:rPr>
                <w:rFonts w:ascii="Calibri"/>
                <w:sz w:val="18"/>
              </w:rPr>
              <w:t>with</w:t>
            </w:r>
            <w:r>
              <w:rPr>
                <w:rFonts w:ascii="Calibri"/>
                <w:spacing w:val="-2"/>
                <w:sz w:val="18"/>
              </w:rPr>
              <w:t xml:space="preserve"> </w:t>
            </w:r>
            <w:r>
              <w:rPr>
                <w:rFonts w:ascii="Calibri"/>
                <w:sz w:val="18"/>
              </w:rPr>
              <w:t>a</w:t>
            </w:r>
            <w:r>
              <w:rPr>
                <w:rFonts w:ascii="Calibri"/>
                <w:spacing w:val="-2"/>
                <w:sz w:val="18"/>
              </w:rPr>
              <w:t xml:space="preserve"> </w:t>
            </w:r>
            <w:r>
              <w:rPr>
                <w:rFonts w:ascii="Calibri"/>
                <w:sz w:val="18"/>
              </w:rPr>
              <w:t>tool</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track the</w:t>
            </w:r>
            <w:r>
              <w:rPr>
                <w:rFonts w:ascii="Calibri"/>
                <w:spacing w:val="-3"/>
                <w:sz w:val="18"/>
              </w:rPr>
              <w:t xml:space="preserve"> </w:t>
            </w:r>
            <w:r>
              <w:rPr>
                <w:rFonts w:ascii="Calibri"/>
                <w:spacing w:val="-1"/>
                <w:sz w:val="18"/>
              </w:rPr>
              <w:t>real</w:t>
            </w:r>
            <w:r>
              <w:rPr>
                <w:rFonts w:ascii="Calibri"/>
                <w:spacing w:val="53"/>
                <w:sz w:val="18"/>
              </w:rPr>
              <w:t xml:space="preserve"> </w:t>
            </w:r>
            <w:r>
              <w:rPr>
                <w:rFonts w:ascii="Calibri"/>
                <w:spacing w:val="-1"/>
                <w:sz w:val="18"/>
              </w:rPr>
              <w:t>time</w:t>
            </w:r>
            <w:r>
              <w:rPr>
                <w:rFonts w:ascii="Calibri"/>
                <w:spacing w:val="-3"/>
                <w:sz w:val="18"/>
              </w:rPr>
              <w:t xml:space="preserve"> </w:t>
            </w:r>
            <w:r>
              <w:rPr>
                <w:rFonts w:ascii="Calibri"/>
                <w:spacing w:val="-1"/>
                <w:sz w:val="18"/>
              </w:rPr>
              <w:t>progress</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their</w:t>
            </w:r>
            <w:r>
              <w:rPr>
                <w:rFonts w:ascii="Calibri"/>
                <w:spacing w:val="-3"/>
                <w:sz w:val="18"/>
              </w:rPr>
              <w:t xml:space="preserve"> </w:t>
            </w:r>
            <w:r>
              <w:rPr>
                <w:rFonts w:ascii="Calibri"/>
                <w:spacing w:val="-1"/>
                <w:sz w:val="18"/>
              </w:rPr>
              <w:t>application through each</w:t>
            </w:r>
            <w:r>
              <w:rPr>
                <w:rFonts w:ascii="Calibri"/>
                <w:spacing w:val="-3"/>
                <w:sz w:val="18"/>
              </w:rPr>
              <w:t xml:space="preserve"> </w:t>
            </w:r>
            <w:r>
              <w:rPr>
                <w:rFonts w:ascii="Calibri"/>
                <w:spacing w:val="-1"/>
                <w:sz w:val="18"/>
              </w:rPr>
              <w:t>application</w:t>
            </w:r>
            <w:r>
              <w:rPr>
                <w:rFonts w:ascii="Calibri"/>
                <w:spacing w:val="69"/>
                <w:sz w:val="18"/>
              </w:rPr>
              <w:t xml:space="preserve"> </w:t>
            </w:r>
            <w:r>
              <w:rPr>
                <w:rFonts w:ascii="Calibri"/>
                <w:spacing w:val="-1"/>
                <w:sz w:val="18"/>
              </w:rPr>
              <w:t>milestone</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Pr>
                <w:rFonts w:ascii="Calibri" w:eastAsia="Calibri" w:hAnsi="Calibri" w:cs="Calibri"/>
                <w:sz w:val="18"/>
                <w:szCs w:val="18"/>
              </w:rPr>
            </w:pPr>
            <w:r>
              <w:rPr>
                <w:rFonts w:ascii="Calibri"/>
                <w:spacing w:val="-1"/>
                <w:sz w:val="18"/>
              </w:rPr>
              <w:t>Implemented.</w:t>
            </w:r>
          </w:p>
        </w:tc>
      </w:tr>
      <w:tr w:rsidR="00E646C9" w:rsidTr="00C3558F">
        <w:trPr>
          <w:trHeight w:hRule="exact" w:val="455"/>
        </w:trPr>
        <w:tc>
          <w:tcPr>
            <w:tcW w:w="4681"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363"/>
              <w:rPr>
                <w:rFonts w:ascii="Calibri" w:eastAsia="Calibri" w:hAnsi="Calibri" w:cs="Calibri"/>
                <w:sz w:val="18"/>
                <w:szCs w:val="18"/>
              </w:rPr>
            </w:pPr>
            <w:r>
              <w:rPr>
                <w:rFonts w:ascii="Calibri"/>
                <w:spacing w:val="-1"/>
                <w:sz w:val="18"/>
              </w:rPr>
              <w:t>Consider providing</w:t>
            </w:r>
            <w:r>
              <w:rPr>
                <w:rFonts w:ascii="Calibri"/>
                <w:spacing w:val="-3"/>
                <w:sz w:val="18"/>
              </w:rPr>
              <w:t xml:space="preserve"> </w:t>
            </w:r>
            <w:r>
              <w:rPr>
                <w:rFonts w:ascii="Calibri"/>
                <w:spacing w:val="-1"/>
                <w:sz w:val="18"/>
              </w:rPr>
              <w:t>additional</w:t>
            </w:r>
            <w:r>
              <w:rPr>
                <w:rFonts w:ascii="Calibri"/>
                <w:sz w:val="18"/>
              </w:rPr>
              <w:t xml:space="preserve"> detail</w:t>
            </w:r>
            <w:r>
              <w:rPr>
                <w:rFonts w:ascii="Calibri"/>
                <w:spacing w:val="-3"/>
                <w:sz w:val="18"/>
              </w:rPr>
              <w:t xml:space="preserve"> </w:t>
            </w:r>
            <w:r>
              <w:rPr>
                <w:rFonts w:ascii="Calibri"/>
                <w:spacing w:val="-1"/>
                <w:sz w:val="18"/>
              </w:rPr>
              <w:t>regarding the</w:t>
            </w:r>
            <w:r>
              <w:rPr>
                <w:rFonts w:ascii="Calibri"/>
                <w:spacing w:val="-3"/>
                <w:sz w:val="18"/>
              </w:rPr>
              <w:t xml:space="preserve"> </w:t>
            </w:r>
            <w:r>
              <w:rPr>
                <w:rFonts w:ascii="Calibri"/>
                <w:spacing w:val="-1"/>
                <w:sz w:val="18"/>
              </w:rPr>
              <w:t>waitlist</w:t>
            </w:r>
            <w:r>
              <w:rPr>
                <w:rFonts w:ascii="Calibri"/>
                <w:spacing w:val="59"/>
                <w:w w:val="99"/>
                <w:sz w:val="18"/>
              </w:rPr>
              <w:t xml:space="preserve"> </w:t>
            </w:r>
            <w:r>
              <w:rPr>
                <w:rFonts w:ascii="Calibri"/>
                <w:spacing w:val="-1"/>
                <w:sz w:val="18"/>
              </w:rPr>
              <w:t>and</w:t>
            </w:r>
            <w:r>
              <w:rPr>
                <w:rFonts w:ascii="Calibri"/>
                <w:spacing w:val="-3"/>
                <w:sz w:val="18"/>
              </w:rPr>
              <w:t xml:space="preserve"> </w:t>
            </w:r>
            <w:r>
              <w:rPr>
                <w:rFonts w:ascii="Calibri"/>
                <w:spacing w:val="-1"/>
                <w:sz w:val="18"/>
              </w:rPr>
              <w:t>what</w:t>
            </w:r>
            <w:r>
              <w:rPr>
                <w:rFonts w:ascii="Calibri"/>
                <w:spacing w:val="-2"/>
                <w:sz w:val="18"/>
              </w:rPr>
              <w:t xml:space="preserve"> </w:t>
            </w:r>
            <w:r>
              <w:rPr>
                <w:rFonts w:ascii="Calibri"/>
                <w:spacing w:val="-1"/>
                <w:sz w:val="18"/>
              </w:rPr>
              <w:t>customers</w:t>
            </w:r>
            <w:r>
              <w:rPr>
                <w:rFonts w:ascii="Calibri"/>
                <w:spacing w:val="-2"/>
                <w:sz w:val="18"/>
              </w:rPr>
              <w:t xml:space="preserve"> </w:t>
            </w:r>
            <w:r>
              <w:rPr>
                <w:rFonts w:ascii="Calibri"/>
                <w:spacing w:val="-1"/>
                <w:sz w:val="18"/>
              </w:rPr>
              <w:t>should</w:t>
            </w:r>
            <w:r>
              <w:rPr>
                <w:rFonts w:ascii="Calibri"/>
                <w:spacing w:val="-3"/>
                <w:sz w:val="18"/>
              </w:rPr>
              <w:t xml:space="preserve"> </w:t>
            </w:r>
            <w:r>
              <w:rPr>
                <w:rFonts w:ascii="Calibri"/>
                <w:spacing w:val="-1"/>
                <w:sz w:val="18"/>
              </w:rPr>
              <w:t>expect</w:t>
            </w:r>
            <w:r>
              <w:rPr>
                <w:rFonts w:ascii="Calibri"/>
                <w:spacing w:val="-2"/>
                <w:sz w:val="18"/>
              </w:rPr>
              <w:t xml:space="preserve"> </w:t>
            </w:r>
            <w:r>
              <w:rPr>
                <w:rFonts w:ascii="Calibri"/>
                <w:spacing w:val="-1"/>
                <w:sz w:val="18"/>
              </w:rPr>
              <w:t>during</w:t>
            </w:r>
            <w:r>
              <w:rPr>
                <w:rFonts w:ascii="Calibri"/>
                <w:spacing w:val="-2"/>
                <w:sz w:val="18"/>
              </w:rPr>
              <w:t xml:space="preserve"> </w:t>
            </w:r>
            <w:r>
              <w:rPr>
                <w:rFonts w:ascii="Calibri"/>
                <w:spacing w:val="-1"/>
                <w:sz w:val="18"/>
              </w:rPr>
              <w:t>this</w:t>
            </w:r>
            <w:r>
              <w:rPr>
                <w:rFonts w:ascii="Calibri"/>
                <w:spacing w:val="-3"/>
                <w:sz w:val="18"/>
              </w:rPr>
              <w:t xml:space="preserve"> </w:t>
            </w:r>
            <w:r>
              <w:rPr>
                <w:rFonts w:ascii="Calibri"/>
                <w:spacing w:val="-1"/>
                <w:sz w:val="18"/>
              </w:rPr>
              <w:t>period</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ind w:left="99" w:right="116"/>
              <w:rPr>
                <w:rFonts w:ascii="Calibri" w:eastAsia="Calibri" w:hAnsi="Calibri" w:cs="Calibri"/>
                <w:sz w:val="18"/>
                <w:szCs w:val="18"/>
              </w:rPr>
            </w:pPr>
            <w:r>
              <w:rPr>
                <w:rFonts w:ascii="Calibri" w:eastAsia="Calibri" w:hAnsi="Calibri" w:cs="Calibri"/>
                <w:spacing w:val="-1"/>
                <w:sz w:val="18"/>
                <w:szCs w:val="18"/>
              </w:rPr>
              <w:t>Being</w:t>
            </w:r>
            <w:r>
              <w:rPr>
                <w:rFonts w:ascii="Calibri" w:eastAsia="Calibri" w:hAnsi="Calibri" w:cs="Calibri"/>
                <w:spacing w:val="-3"/>
                <w:sz w:val="18"/>
                <w:szCs w:val="18"/>
              </w:rPr>
              <w:t xml:space="preserve"> </w:t>
            </w:r>
            <w:r>
              <w:rPr>
                <w:rFonts w:ascii="Calibri" w:eastAsia="Calibri" w:hAnsi="Calibri" w:cs="Calibri"/>
                <w:spacing w:val="-1"/>
                <w:sz w:val="18"/>
                <w:szCs w:val="18"/>
              </w:rPr>
              <w:t>considered</w:t>
            </w:r>
            <w:r>
              <w:rPr>
                <w:rFonts w:ascii="Calibri" w:eastAsia="Calibri" w:hAnsi="Calibri" w:cs="Calibri"/>
                <w:spacing w:val="-2"/>
                <w:sz w:val="18"/>
                <w:szCs w:val="18"/>
              </w:rPr>
              <w:t xml:space="preserve"> </w:t>
            </w:r>
            <w:r>
              <w:rPr>
                <w:rFonts w:ascii="Calibri" w:eastAsia="Calibri" w:hAnsi="Calibri" w:cs="Calibri"/>
                <w:sz w:val="18"/>
                <w:szCs w:val="18"/>
              </w:rPr>
              <w:t>–</w:t>
            </w:r>
            <w:r>
              <w:rPr>
                <w:rFonts w:ascii="Calibri" w:eastAsia="Calibri" w:hAnsi="Calibri" w:cs="Calibri"/>
                <w:spacing w:val="-3"/>
                <w:sz w:val="18"/>
                <w:szCs w:val="18"/>
              </w:rPr>
              <w:t xml:space="preserve"> </w:t>
            </w:r>
            <w:r>
              <w:rPr>
                <w:rFonts w:ascii="Calibri" w:eastAsia="Calibri" w:hAnsi="Calibri" w:cs="Calibri"/>
                <w:spacing w:val="-1"/>
                <w:sz w:val="18"/>
                <w:szCs w:val="18"/>
              </w:rPr>
              <w:t>Currently</w:t>
            </w:r>
            <w:r>
              <w:rPr>
                <w:rFonts w:ascii="Calibri" w:eastAsia="Calibri" w:hAnsi="Calibri" w:cs="Calibri"/>
                <w:spacing w:val="-2"/>
                <w:sz w:val="18"/>
                <w:szCs w:val="18"/>
              </w:rPr>
              <w:t xml:space="preserve"> </w:t>
            </w:r>
            <w:r>
              <w:rPr>
                <w:rFonts w:ascii="Calibri" w:eastAsia="Calibri" w:hAnsi="Calibri" w:cs="Calibri"/>
                <w:spacing w:val="-1"/>
                <w:sz w:val="18"/>
                <w:szCs w:val="18"/>
              </w:rPr>
              <w:t>no</w:t>
            </w:r>
            <w:r>
              <w:rPr>
                <w:rFonts w:ascii="Calibri" w:eastAsia="Calibri" w:hAnsi="Calibri" w:cs="Calibri"/>
                <w:spacing w:val="1"/>
                <w:sz w:val="18"/>
                <w:szCs w:val="18"/>
              </w:rPr>
              <w:t xml:space="preserve"> </w:t>
            </w:r>
            <w:r>
              <w:rPr>
                <w:rFonts w:ascii="Calibri" w:eastAsia="Calibri" w:hAnsi="Calibri" w:cs="Calibri"/>
                <w:spacing w:val="-1"/>
                <w:sz w:val="18"/>
                <w:szCs w:val="18"/>
              </w:rPr>
              <w:t xml:space="preserve">waitlist </w:t>
            </w:r>
            <w:r>
              <w:rPr>
                <w:rFonts w:ascii="Calibri" w:eastAsia="Calibri" w:hAnsi="Calibri" w:cs="Calibri"/>
                <w:sz w:val="18"/>
                <w:szCs w:val="18"/>
              </w:rPr>
              <w:t>for</w:t>
            </w:r>
            <w:r>
              <w:rPr>
                <w:rFonts w:ascii="Calibri" w:eastAsia="Calibri" w:hAnsi="Calibri" w:cs="Calibri"/>
                <w:spacing w:val="-2"/>
                <w:sz w:val="18"/>
                <w:szCs w:val="18"/>
              </w:rPr>
              <w:t xml:space="preserve"> </w:t>
            </w:r>
            <w:r>
              <w:rPr>
                <w:rFonts w:ascii="Calibri" w:eastAsia="Calibri" w:hAnsi="Calibri" w:cs="Calibri"/>
                <w:spacing w:val="-1"/>
                <w:sz w:val="18"/>
                <w:szCs w:val="18"/>
              </w:rPr>
              <w:t>Phase</w:t>
            </w:r>
            <w:r>
              <w:rPr>
                <w:rFonts w:ascii="Calibri" w:eastAsia="Calibri" w:hAnsi="Calibri" w:cs="Calibri"/>
                <w:spacing w:val="-2"/>
                <w:sz w:val="18"/>
                <w:szCs w:val="18"/>
              </w:rPr>
              <w:t xml:space="preserve"> </w:t>
            </w:r>
            <w:r>
              <w:rPr>
                <w:rFonts w:ascii="Calibri" w:eastAsia="Calibri" w:hAnsi="Calibri" w:cs="Calibri"/>
                <w:sz w:val="18"/>
                <w:szCs w:val="18"/>
              </w:rPr>
              <w:t>III,</w:t>
            </w:r>
            <w:r>
              <w:rPr>
                <w:rFonts w:ascii="Calibri" w:eastAsia="Calibri" w:hAnsi="Calibri" w:cs="Calibri"/>
                <w:spacing w:val="-2"/>
                <w:sz w:val="18"/>
                <w:szCs w:val="18"/>
              </w:rPr>
              <w:t xml:space="preserve"> </w:t>
            </w:r>
            <w:r>
              <w:rPr>
                <w:rFonts w:ascii="Calibri" w:eastAsia="Calibri" w:hAnsi="Calibri" w:cs="Calibri"/>
                <w:spacing w:val="-1"/>
                <w:sz w:val="18"/>
                <w:szCs w:val="18"/>
              </w:rPr>
              <w:t>but</w:t>
            </w:r>
            <w:r>
              <w:rPr>
                <w:rFonts w:ascii="Calibri" w:eastAsia="Calibri" w:hAnsi="Calibri" w:cs="Calibri"/>
                <w:spacing w:val="-2"/>
                <w:sz w:val="18"/>
                <w:szCs w:val="18"/>
              </w:rPr>
              <w:t xml:space="preserve"> </w:t>
            </w:r>
            <w:r>
              <w:rPr>
                <w:rFonts w:ascii="Calibri" w:eastAsia="Calibri" w:hAnsi="Calibri" w:cs="Calibri"/>
                <w:spacing w:val="-1"/>
                <w:sz w:val="18"/>
                <w:szCs w:val="18"/>
              </w:rPr>
              <w:t>will</w:t>
            </w:r>
            <w:r>
              <w:rPr>
                <w:rFonts w:ascii="Calibri" w:eastAsia="Calibri" w:hAnsi="Calibri" w:cs="Calibri"/>
                <w:spacing w:val="59"/>
                <w:sz w:val="18"/>
                <w:szCs w:val="18"/>
              </w:rPr>
              <w:t xml:space="preserve"> </w:t>
            </w:r>
            <w:r>
              <w:rPr>
                <w:rFonts w:ascii="Calibri" w:eastAsia="Calibri" w:hAnsi="Calibri" w:cs="Calibri"/>
                <w:spacing w:val="-1"/>
                <w:sz w:val="18"/>
                <w:szCs w:val="18"/>
              </w:rPr>
              <w:t>consider</w:t>
            </w:r>
            <w:r>
              <w:rPr>
                <w:rFonts w:ascii="Calibri" w:eastAsia="Calibri" w:hAnsi="Calibri" w:cs="Calibri"/>
                <w:spacing w:val="-2"/>
                <w:sz w:val="18"/>
                <w:szCs w:val="18"/>
              </w:rPr>
              <w:t xml:space="preserve"> </w:t>
            </w:r>
            <w:r>
              <w:rPr>
                <w:rFonts w:ascii="Calibri" w:eastAsia="Calibri" w:hAnsi="Calibri" w:cs="Calibri"/>
                <w:spacing w:val="-1"/>
                <w:sz w:val="18"/>
                <w:szCs w:val="18"/>
              </w:rPr>
              <w:t>this</w:t>
            </w:r>
            <w:r>
              <w:rPr>
                <w:rFonts w:ascii="Calibri" w:eastAsia="Calibri" w:hAnsi="Calibri" w:cs="Calibri"/>
                <w:spacing w:val="-3"/>
                <w:sz w:val="18"/>
                <w:szCs w:val="18"/>
              </w:rPr>
              <w:t xml:space="preserve"> </w:t>
            </w:r>
            <w:r>
              <w:rPr>
                <w:rFonts w:ascii="Calibri" w:eastAsia="Calibri" w:hAnsi="Calibri" w:cs="Calibri"/>
                <w:sz w:val="18"/>
                <w:szCs w:val="18"/>
              </w:rPr>
              <w:t>if</w:t>
            </w:r>
            <w:r>
              <w:rPr>
                <w:rFonts w:ascii="Calibri" w:eastAsia="Calibri" w:hAnsi="Calibri" w:cs="Calibri"/>
                <w:spacing w:val="-2"/>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 xml:space="preserve"> </w:t>
            </w:r>
            <w:r>
              <w:rPr>
                <w:rFonts w:ascii="Calibri" w:eastAsia="Calibri" w:hAnsi="Calibri" w:cs="Calibri"/>
                <w:spacing w:val="-1"/>
                <w:sz w:val="18"/>
                <w:szCs w:val="18"/>
              </w:rPr>
              <w:t>waitlist is</w:t>
            </w:r>
            <w:r>
              <w:rPr>
                <w:rFonts w:ascii="Calibri" w:eastAsia="Calibri" w:hAnsi="Calibri" w:cs="Calibri"/>
                <w:spacing w:val="-3"/>
                <w:sz w:val="18"/>
                <w:szCs w:val="18"/>
              </w:rPr>
              <w:t xml:space="preserve"> </w:t>
            </w:r>
            <w:r>
              <w:rPr>
                <w:rFonts w:ascii="Calibri" w:eastAsia="Calibri" w:hAnsi="Calibri" w:cs="Calibri"/>
                <w:spacing w:val="-1"/>
                <w:sz w:val="18"/>
                <w:szCs w:val="18"/>
              </w:rPr>
              <w:t>implemented.</w:t>
            </w:r>
          </w:p>
        </w:tc>
      </w:tr>
      <w:tr w:rsidR="00E646C9" w:rsidTr="00C3558F">
        <w:trPr>
          <w:trHeight w:hRule="exact" w:val="454"/>
        </w:trPr>
        <w:tc>
          <w:tcPr>
            <w:tcW w:w="4681"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435"/>
              <w:rPr>
                <w:rFonts w:ascii="Calibri" w:eastAsia="Calibri" w:hAnsi="Calibri" w:cs="Calibri"/>
                <w:sz w:val="18"/>
                <w:szCs w:val="18"/>
              </w:rPr>
            </w:pPr>
            <w:r>
              <w:rPr>
                <w:rFonts w:ascii="Calibri"/>
                <w:spacing w:val="-1"/>
                <w:sz w:val="18"/>
              </w:rPr>
              <w:t>Consider</w:t>
            </w:r>
            <w:r>
              <w:rPr>
                <w:rFonts w:ascii="Calibri"/>
                <w:spacing w:val="-3"/>
                <w:sz w:val="18"/>
              </w:rPr>
              <w:t xml:space="preserve"> </w:t>
            </w:r>
            <w:r>
              <w:rPr>
                <w:rFonts w:ascii="Calibri"/>
                <w:spacing w:val="-1"/>
                <w:sz w:val="18"/>
              </w:rPr>
              <w:t>allowing</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evaluator</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review</w:t>
            </w:r>
            <w:r>
              <w:rPr>
                <w:rFonts w:ascii="Calibri"/>
                <w:spacing w:val="-3"/>
                <w:sz w:val="18"/>
              </w:rPr>
              <w:t xml:space="preserve"> </w:t>
            </w:r>
            <w:r>
              <w:rPr>
                <w:rFonts w:ascii="Calibri"/>
                <w:spacing w:val="-1"/>
                <w:sz w:val="18"/>
              </w:rPr>
              <w:t>standard</w:t>
            </w:r>
            <w:r>
              <w:rPr>
                <w:rFonts w:ascii="Calibri"/>
                <w:spacing w:val="53"/>
                <w:sz w:val="18"/>
              </w:rPr>
              <w:t xml:space="preserve"> </w:t>
            </w:r>
            <w:r>
              <w:rPr>
                <w:rFonts w:ascii="Calibri"/>
                <w:spacing w:val="-1"/>
                <w:sz w:val="18"/>
              </w:rPr>
              <w:t>calculators</w:t>
            </w:r>
            <w:r>
              <w:rPr>
                <w:rFonts w:ascii="Calibri"/>
                <w:spacing w:val="-4"/>
                <w:sz w:val="18"/>
              </w:rPr>
              <w:t xml:space="preserve"> </w:t>
            </w:r>
            <w:r>
              <w:rPr>
                <w:rFonts w:ascii="Calibri"/>
                <w:sz w:val="18"/>
              </w:rPr>
              <w:t>to</w:t>
            </w:r>
            <w:r>
              <w:rPr>
                <w:rFonts w:ascii="Calibri"/>
                <w:spacing w:val="-3"/>
                <w:sz w:val="18"/>
              </w:rPr>
              <w:t xml:space="preserve"> </w:t>
            </w:r>
            <w:r>
              <w:rPr>
                <w:rFonts w:ascii="Calibri"/>
                <w:spacing w:val="-1"/>
                <w:sz w:val="18"/>
              </w:rPr>
              <w:t>determine</w:t>
            </w:r>
            <w:r>
              <w:rPr>
                <w:rFonts w:ascii="Calibri"/>
                <w:spacing w:val="-3"/>
                <w:sz w:val="18"/>
              </w:rPr>
              <w:t xml:space="preserve"> </w:t>
            </w:r>
            <w:r>
              <w:rPr>
                <w:rFonts w:ascii="Calibri"/>
                <w:sz w:val="18"/>
              </w:rPr>
              <w:t>if</w:t>
            </w:r>
            <w:r>
              <w:rPr>
                <w:rFonts w:ascii="Calibri"/>
                <w:spacing w:val="-3"/>
                <w:sz w:val="18"/>
              </w:rPr>
              <w:t xml:space="preserve"> </w:t>
            </w:r>
            <w:r>
              <w:rPr>
                <w:rFonts w:ascii="Calibri"/>
                <w:sz w:val="18"/>
              </w:rPr>
              <w:t>correct</w:t>
            </w:r>
            <w:r>
              <w:rPr>
                <w:rFonts w:ascii="Calibri"/>
                <w:spacing w:val="-2"/>
                <w:sz w:val="18"/>
              </w:rPr>
              <w:t xml:space="preserve"> </w:t>
            </w:r>
            <w:r>
              <w:rPr>
                <w:rFonts w:ascii="Calibri"/>
                <w:spacing w:val="-1"/>
                <w:sz w:val="18"/>
              </w:rPr>
              <w:t>baseline</w:t>
            </w:r>
            <w:r>
              <w:rPr>
                <w:rFonts w:ascii="Calibri"/>
                <w:spacing w:val="-3"/>
                <w:sz w:val="18"/>
              </w:rPr>
              <w:t xml:space="preserve"> </w:t>
            </w:r>
            <w:r>
              <w:rPr>
                <w:rFonts w:ascii="Calibri"/>
                <w:sz w:val="18"/>
              </w:rPr>
              <w:t>is</w:t>
            </w:r>
            <w:r>
              <w:rPr>
                <w:rFonts w:ascii="Calibri"/>
                <w:spacing w:val="-3"/>
                <w:sz w:val="18"/>
              </w:rPr>
              <w:t xml:space="preserve"> </w:t>
            </w:r>
            <w:r>
              <w:rPr>
                <w:rFonts w:ascii="Calibri"/>
                <w:spacing w:val="-1"/>
                <w:sz w:val="18"/>
              </w:rPr>
              <w:t>being used</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r w:rsidR="00E646C9" w:rsidTr="00C3558F">
        <w:trPr>
          <w:trHeight w:hRule="exact" w:val="1334"/>
        </w:trPr>
        <w:tc>
          <w:tcPr>
            <w:tcW w:w="4681"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478"/>
              <w:rPr>
                <w:rFonts w:ascii="Calibri" w:eastAsia="Calibri" w:hAnsi="Calibri" w:cs="Calibri"/>
                <w:sz w:val="18"/>
                <w:szCs w:val="18"/>
              </w:rPr>
            </w:pPr>
            <w:r>
              <w:rPr>
                <w:rFonts w:ascii="Calibri"/>
                <w:spacing w:val="-1"/>
                <w:sz w:val="18"/>
              </w:rPr>
              <w:t xml:space="preserve">Continue </w:t>
            </w:r>
            <w:r>
              <w:rPr>
                <w:rFonts w:ascii="Calibri"/>
                <w:sz w:val="18"/>
              </w:rPr>
              <w:t>to</w:t>
            </w:r>
            <w:r>
              <w:rPr>
                <w:rFonts w:ascii="Calibri"/>
                <w:spacing w:val="-2"/>
                <w:sz w:val="18"/>
              </w:rPr>
              <w:t xml:space="preserve"> </w:t>
            </w:r>
            <w:r>
              <w:rPr>
                <w:rFonts w:ascii="Calibri"/>
                <w:spacing w:val="-1"/>
                <w:sz w:val="18"/>
              </w:rPr>
              <w:t>request</w:t>
            </w:r>
            <w:r>
              <w:rPr>
                <w:rFonts w:ascii="Calibri"/>
                <w:spacing w:val="-2"/>
                <w:sz w:val="18"/>
              </w:rPr>
              <w:t xml:space="preserve"> </w:t>
            </w:r>
            <w:r>
              <w:rPr>
                <w:rFonts w:ascii="Calibri"/>
                <w:sz w:val="18"/>
              </w:rPr>
              <w:t>evaluator</w:t>
            </w:r>
            <w:r>
              <w:rPr>
                <w:rFonts w:ascii="Calibri"/>
                <w:spacing w:val="-2"/>
                <w:sz w:val="18"/>
              </w:rPr>
              <w:t xml:space="preserve"> </w:t>
            </w:r>
            <w:r>
              <w:rPr>
                <w:rFonts w:ascii="Calibri"/>
                <w:spacing w:val="-1"/>
                <w:sz w:val="18"/>
              </w:rPr>
              <w:t>support</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determine</w:t>
            </w:r>
            <w:r>
              <w:rPr>
                <w:rFonts w:ascii="Calibri"/>
                <w:spacing w:val="2"/>
                <w:sz w:val="18"/>
              </w:rPr>
              <w:t xml:space="preserve"> </w:t>
            </w:r>
            <w:r>
              <w:rPr>
                <w:rFonts w:ascii="Calibri"/>
                <w:spacing w:val="-1"/>
                <w:sz w:val="18"/>
              </w:rPr>
              <w:t>if</w:t>
            </w:r>
            <w:r>
              <w:rPr>
                <w:rFonts w:ascii="Calibri"/>
                <w:spacing w:val="39"/>
                <w:sz w:val="18"/>
              </w:rPr>
              <w:t xml:space="preserve"> </w:t>
            </w:r>
            <w:r>
              <w:rPr>
                <w:rFonts w:ascii="Calibri"/>
                <w:spacing w:val="-1"/>
                <w:sz w:val="18"/>
              </w:rPr>
              <w:t>certain</w:t>
            </w:r>
            <w:r>
              <w:rPr>
                <w:rFonts w:ascii="Calibri"/>
                <w:spacing w:val="-5"/>
                <w:sz w:val="18"/>
              </w:rPr>
              <w:t xml:space="preserve"> </w:t>
            </w:r>
            <w:r>
              <w:rPr>
                <w:rFonts w:ascii="Calibri"/>
                <w:spacing w:val="-1"/>
                <w:sz w:val="18"/>
              </w:rPr>
              <w:t>projects</w:t>
            </w:r>
            <w:r>
              <w:rPr>
                <w:rFonts w:ascii="Calibri"/>
                <w:spacing w:val="-5"/>
                <w:sz w:val="18"/>
              </w:rPr>
              <w:t xml:space="preserve"> </w:t>
            </w:r>
            <w:r>
              <w:rPr>
                <w:rFonts w:ascii="Calibri"/>
                <w:sz w:val="18"/>
              </w:rPr>
              <w:t>that</w:t>
            </w:r>
            <w:r>
              <w:rPr>
                <w:rFonts w:ascii="Calibri"/>
                <w:spacing w:val="-4"/>
                <w:sz w:val="18"/>
              </w:rPr>
              <w:t xml:space="preserve"> </w:t>
            </w:r>
            <w:r>
              <w:rPr>
                <w:rFonts w:ascii="Calibri"/>
                <w:spacing w:val="-1"/>
                <w:sz w:val="18"/>
              </w:rPr>
              <w:t>fall</w:t>
            </w:r>
            <w:r>
              <w:rPr>
                <w:rFonts w:ascii="Calibri"/>
                <w:spacing w:val="-4"/>
                <w:sz w:val="18"/>
              </w:rPr>
              <w:t xml:space="preserve"> </w:t>
            </w:r>
            <w:r>
              <w:rPr>
                <w:rFonts w:ascii="Calibri"/>
                <w:spacing w:val="-1"/>
                <w:sz w:val="18"/>
              </w:rPr>
              <w:t xml:space="preserve">below </w:t>
            </w:r>
            <w:r>
              <w:rPr>
                <w:rFonts w:ascii="Calibri"/>
                <w:sz w:val="18"/>
              </w:rPr>
              <w:t>the</w:t>
            </w:r>
            <w:r>
              <w:rPr>
                <w:rFonts w:ascii="Calibri"/>
                <w:spacing w:val="-4"/>
                <w:sz w:val="18"/>
              </w:rPr>
              <w:t xml:space="preserve"> </w:t>
            </w:r>
            <w:r>
              <w:rPr>
                <w:rFonts w:ascii="Calibri"/>
                <w:sz w:val="18"/>
              </w:rPr>
              <w:t>500,000</w:t>
            </w:r>
            <w:r>
              <w:rPr>
                <w:rFonts w:ascii="Calibri"/>
                <w:spacing w:val="-4"/>
                <w:sz w:val="18"/>
              </w:rPr>
              <w:t xml:space="preserve"> </w:t>
            </w:r>
            <w:r>
              <w:rPr>
                <w:rFonts w:ascii="Calibri"/>
                <w:spacing w:val="-1"/>
                <w:sz w:val="18"/>
              </w:rPr>
              <w:t>kWh/hr</w:t>
            </w:r>
            <w:r>
              <w:rPr>
                <w:rFonts w:ascii="Calibri"/>
                <w:spacing w:val="41"/>
                <w:w w:val="99"/>
                <w:sz w:val="18"/>
              </w:rPr>
              <w:t xml:space="preserve"> </w:t>
            </w:r>
            <w:r>
              <w:rPr>
                <w:rFonts w:ascii="Calibri"/>
                <w:spacing w:val="-1"/>
                <w:sz w:val="18"/>
              </w:rPr>
              <w:t>threshold</w:t>
            </w:r>
            <w:r>
              <w:rPr>
                <w:rFonts w:ascii="Calibri"/>
                <w:spacing w:val="-4"/>
                <w:sz w:val="18"/>
              </w:rPr>
              <w:t xml:space="preserve"> </w:t>
            </w:r>
            <w:r>
              <w:rPr>
                <w:rFonts w:ascii="Calibri"/>
                <w:spacing w:val="-1"/>
                <w:sz w:val="18"/>
              </w:rPr>
              <w:t>should be</w:t>
            </w:r>
            <w:r>
              <w:rPr>
                <w:rFonts w:ascii="Calibri"/>
                <w:spacing w:val="-3"/>
                <w:sz w:val="18"/>
              </w:rPr>
              <w:t xml:space="preserve"> </w:t>
            </w:r>
            <w:r>
              <w:rPr>
                <w:rFonts w:ascii="Calibri"/>
                <w:spacing w:val="-1"/>
                <w:sz w:val="18"/>
              </w:rPr>
              <w:t>elevated</w:t>
            </w:r>
            <w:r>
              <w:rPr>
                <w:rFonts w:ascii="Calibri"/>
                <w:spacing w:val="-3"/>
                <w:sz w:val="18"/>
              </w:rPr>
              <w:t xml:space="preserve"> </w:t>
            </w:r>
            <w:r>
              <w:rPr>
                <w:rFonts w:ascii="Calibri"/>
                <w:sz w:val="18"/>
              </w:rPr>
              <w:t>to</w:t>
            </w:r>
            <w:r>
              <w:rPr>
                <w:rFonts w:ascii="Calibri"/>
                <w:spacing w:val="-2"/>
                <w:sz w:val="18"/>
              </w:rPr>
              <w:t xml:space="preserve"> </w:t>
            </w:r>
            <w:r>
              <w:rPr>
                <w:rFonts w:ascii="Calibri"/>
                <w:sz w:val="18"/>
              </w:rPr>
              <w:t>the</w:t>
            </w:r>
            <w:r>
              <w:rPr>
                <w:rFonts w:ascii="Calibri"/>
                <w:spacing w:val="-3"/>
                <w:sz w:val="18"/>
              </w:rPr>
              <w:t xml:space="preserve"> </w:t>
            </w:r>
            <w:r>
              <w:rPr>
                <w:rFonts w:ascii="Calibri"/>
                <w:sz w:val="18"/>
              </w:rPr>
              <w:t>large</w:t>
            </w:r>
            <w:r>
              <w:rPr>
                <w:rFonts w:ascii="Calibri"/>
                <w:spacing w:val="-3"/>
                <w:sz w:val="18"/>
              </w:rPr>
              <w:t xml:space="preserve"> </w:t>
            </w:r>
            <w:r>
              <w:rPr>
                <w:rFonts w:ascii="Calibri"/>
                <w:spacing w:val="-1"/>
                <w:sz w:val="18"/>
              </w:rPr>
              <w:t>stratum</w:t>
            </w:r>
            <w:r>
              <w:rPr>
                <w:rFonts w:ascii="Calibri"/>
                <w:spacing w:val="1"/>
                <w:sz w:val="18"/>
              </w:rPr>
              <w:t xml:space="preserve"> </w:t>
            </w:r>
            <w:r>
              <w:rPr>
                <w:rFonts w:ascii="Calibri"/>
                <w:spacing w:val="-1"/>
                <w:sz w:val="18"/>
              </w:rPr>
              <w:t>when</w:t>
            </w:r>
            <w:r>
              <w:rPr>
                <w:rFonts w:ascii="Calibri"/>
                <w:spacing w:val="49"/>
                <w:sz w:val="18"/>
              </w:rPr>
              <w:t xml:space="preserve"> </w:t>
            </w:r>
            <w:r>
              <w:rPr>
                <w:rFonts w:ascii="Calibri"/>
                <w:spacing w:val="-1"/>
                <w:sz w:val="18"/>
              </w:rPr>
              <w:t>there</w:t>
            </w:r>
            <w:r>
              <w:rPr>
                <w:rFonts w:ascii="Calibri"/>
                <w:spacing w:val="-4"/>
                <w:sz w:val="18"/>
              </w:rPr>
              <w:t xml:space="preserve"> </w:t>
            </w:r>
            <w:r>
              <w:rPr>
                <w:rFonts w:ascii="Calibri"/>
                <w:sz w:val="18"/>
              </w:rPr>
              <w:t>is</w:t>
            </w:r>
            <w:r>
              <w:rPr>
                <w:rFonts w:ascii="Calibri"/>
                <w:spacing w:val="-3"/>
                <w:sz w:val="18"/>
              </w:rPr>
              <w:t xml:space="preserve"> </w:t>
            </w:r>
            <w:r>
              <w:rPr>
                <w:rFonts w:ascii="Calibri"/>
                <w:spacing w:val="-1"/>
                <w:sz w:val="18"/>
              </w:rPr>
              <w:t>high</w:t>
            </w:r>
            <w:r>
              <w:rPr>
                <w:rFonts w:ascii="Calibri"/>
                <w:spacing w:val="-3"/>
                <w:sz w:val="18"/>
              </w:rPr>
              <w:t xml:space="preserve"> </w:t>
            </w:r>
            <w:r>
              <w:rPr>
                <w:rFonts w:ascii="Calibri"/>
                <w:spacing w:val="-1"/>
                <w:sz w:val="18"/>
              </w:rPr>
              <w:t>uncertainty</w:t>
            </w:r>
            <w:r>
              <w:rPr>
                <w:rFonts w:ascii="Calibri"/>
                <w:spacing w:val="-3"/>
                <w:sz w:val="18"/>
              </w:rPr>
              <w:t xml:space="preserve"> </w:t>
            </w:r>
            <w:r>
              <w:rPr>
                <w:rFonts w:ascii="Calibri"/>
                <w:spacing w:val="-1"/>
                <w:sz w:val="18"/>
              </w:rPr>
              <w:t>in</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measure,</w:t>
            </w:r>
            <w:r>
              <w:rPr>
                <w:rFonts w:ascii="Calibri"/>
                <w:sz w:val="18"/>
              </w:rPr>
              <w:t xml:space="preserve"> </w:t>
            </w:r>
            <w:r>
              <w:rPr>
                <w:rFonts w:ascii="Calibri"/>
                <w:spacing w:val="-1"/>
                <w:sz w:val="18"/>
              </w:rPr>
              <w:t>baseline,</w:t>
            </w:r>
            <w:r>
              <w:rPr>
                <w:rFonts w:ascii="Calibri"/>
                <w:spacing w:val="-2"/>
                <w:sz w:val="18"/>
              </w:rPr>
              <w:t xml:space="preserve"> </w:t>
            </w:r>
            <w:r>
              <w:rPr>
                <w:rFonts w:ascii="Calibri"/>
                <w:sz w:val="18"/>
              </w:rPr>
              <w:t>or</w:t>
            </w:r>
            <w:r>
              <w:rPr>
                <w:rFonts w:ascii="Calibri"/>
                <w:spacing w:val="55"/>
                <w:w w:val="99"/>
                <w:sz w:val="18"/>
              </w:rPr>
              <w:t xml:space="preserve"> </w:t>
            </w:r>
            <w:r>
              <w:rPr>
                <w:rFonts w:ascii="Calibri"/>
                <w:spacing w:val="-1"/>
                <w:sz w:val="18"/>
              </w:rPr>
              <w:t>calculation</w:t>
            </w:r>
            <w:r>
              <w:rPr>
                <w:rFonts w:ascii="Calibri"/>
                <w:spacing w:val="-4"/>
                <w:sz w:val="18"/>
              </w:rPr>
              <w:t xml:space="preserve"> </w:t>
            </w:r>
            <w:r>
              <w:rPr>
                <w:rFonts w:ascii="Calibri"/>
                <w:spacing w:val="-1"/>
                <w:sz w:val="18"/>
              </w:rPr>
              <w:t>approach</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new</w:t>
            </w:r>
            <w:r>
              <w:rPr>
                <w:rFonts w:ascii="Calibri"/>
                <w:spacing w:val="-3"/>
                <w:sz w:val="18"/>
              </w:rPr>
              <w:t xml:space="preserve"> </w:t>
            </w:r>
            <w:r>
              <w:rPr>
                <w:rFonts w:ascii="Calibri"/>
                <w:sz w:val="18"/>
              </w:rPr>
              <w:t>or</w:t>
            </w:r>
            <w:r>
              <w:rPr>
                <w:rFonts w:ascii="Calibri"/>
                <w:spacing w:val="-2"/>
                <w:sz w:val="18"/>
              </w:rPr>
              <w:t xml:space="preserve"> </w:t>
            </w:r>
            <w:r>
              <w:rPr>
                <w:rFonts w:ascii="Calibri"/>
                <w:spacing w:val="-1"/>
                <w:sz w:val="18"/>
              </w:rPr>
              <w:t>overly</w:t>
            </w:r>
            <w:r>
              <w:rPr>
                <w:rFonts w:ascii="Calibri"/>
                <w:spacing w:val="-2"/>
                <w:sz w:val="18"/>
              </w:rPr>
              <w:t xml:space="preserve"> </w:t>
            </w:r>
            <w:r>
              <w:rPr>
                <w:rFonts w:ascii="Calibri"/>
                <w:spacing w:val="-1"/>
                <w:sz w:val="18"/>
              </w:rPr>
              <w:t>complicated</w:t>
            </w:r>
            <w:r>
              <w:rPr>
                <w:rFonts w:ascii="Calibri"/>
                <w:spacing w:val="53"/>
                <w:sz w:val="18"/>
              </w:rPr>
              <w:t xml:space="preserve"> </w:t>
            </w:r>
            <w:r>
              <w:rPr>
                <w:rFonts w:ascii="Calibri"/>
                <w:spacing w:val="-1"/>
                <w:sz w:val="18"/>
              </w:rPr>
              <w:t>measures.</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r w:rsidR="00E646C9" w:rsidTr="00C3558F">
        <w:trPr>
          <w:trHeight w:hRule="exact" w:val="456"/>
        </w:trPr>
        <w:tc>
          <w:tcPr>
            <w:tcW w:w="4681" w:type="dxa"/>
            <w:tcBorders>
              <w:top w:val="single" w:sz="7" w:space="0" w:color="448999"/>
              <w:left w:val="single" w:sz="8" w:space="0" w:color="448999"/>
              <w:bottom w:val="single" w:sz="8" w:space="0" w:color="448999"/>
              <w:right w:val="single" w:sz="7" w:space="0" w:color="448999"/>
            </w:tcBorders>
          </w:tcPr>
          <w:p w:rsidR="00E646C9" w:rsidRDefault="00E646C9" w:rsidP="00C94D5A">
            <w:pPr>
              <w:pStyle w:val="TableParagraph"/>
              <w:ind w:left="97" w:right="220"/>
              <w:rPr>
                <w:rFonts w:ascii="Calibri" w:eastAsia="Calibri" w:hAnsi="Calibri" w:cs="Calibri"/>
                <w:sz w:val="18"/>
                <w:szCs w:val="18"/>
              </w:rPr>
            </w:pPr>
            <w:r>
              <w:rPr>
                <w:rFonts w:ascii="Calibri"/>
                <w:spacing w:val="-1"/>
                <w:sz w:val="18"/>
              </w:rPr>
              <w:t>Consider</w:t>
            </w:r>
            <w:r>
              <w:rPr>
                <w:rFonts w:ascii="Calibri"/>
                <w:spacing w:val="-2"/>
                <w:sz w:val="18"/>
              </w:rPr>
              <w:t xml:space="preserve"> </w:t>
            </w:r>
            <w:r>
              <w:rPr>
                <w:rFonts w:ascii="Calibri"/>
                <w:spacing w:val="-1"/>
                <w:sz w:val="18"/>
              </w:rPr>
              <w:t>allowing</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the</w:t>
            </w:r>
            <w:r>
              <w:rPr>
                <w:rFonts w:ascii="Calibri"/>
                <w:spacing w:val="-3"/>
                <w:sz w:val="18"/>
              </w:rPr>
              <w:t xml:space="preserve"> </w:t>
            </w:r>
            <w:r>
              <w:rPr>
                <w:rFonts w:ascii="Calibri"/>
                <w:spacing w:val="-1"/>
                <w:sz w:val="18"/>
              </w:rPr>
              <w:t xml:space="preserve">ICSP </w:t>
            </w:r>
            <w:r>
              <w:rPr>
                <w:rFonts w:ascii="Calibri"/>
                <w:sz w:val="18"/>
              </w:rPr>
              <w:t>and</w:t>
            </w:r>
            <w:r>
              <w:rPr>
                <w:rFonts w:ascii="Calibri"/>
                <w:spacing w:val="-3"/>
                <w:sz w:val="18"/>
              </w:rPr>
              <w:t xml:space="preserve"> </w:t>
            </w:r>
            <w:r>
              <w:rPr>
                <w:rFonts w:ascii="Calibri"/>
                <w:spacing w:val="-1"/>
                <w:sz w:val="18"/>
              </w:rPr>
              <w:t>evaluator</w:t>
            </w:r>
            <w:r>
              <w:rPr>
                <w:rFonts w:ascii="Calibri"/>
                <w:spacing w:val="-2"/>
                <w:sz w:val="18"/>
              </w:rPr>
              <w:t xml:space="preserve"> </w:t>
            </w:r>
            <w:r>
              <w:rPr>
                <w:rFonts w:ascii="Calibri"/>
                <w:spacing w:val="-1"/>
                <w:sz w:val="18"/>
              </w:rPr>
              <w:t>to</w:t>
            </w:r>
            <w:r>
              <w:rPr>
                <w:rFonts w:ascii="Calibri"/>
                <w:sz w:val="18"/>
              </w:rPr>
              <w:t xml:space="preserve"> </w:t>
            </w:r>
            <w:r>
              <w:rPr>
                <w:rFonts w:ascii="Calibri"/>
                <w:spacing w:val="-1"/>
                <w:sz w:val="18"/>
              </w:rPr>
              <w:t>review</w:t>
            </w:r>
            <w:r>
              <w:rPr>
                <w:rFonts w:ascii="Calibri"/>
                <w:spacing w:val="-2"/>
                <w:sz w:val="18"/>
              </w:rPr>
              <w:t xml:space="preserve"> </w:t>
            </w:r>
            <w:r>
              <w:rPr>
                <w:rFonts w:ascii="Calibri"/>
                <w:spacing w:val="-1"/>
                <w:sz w:val="18"/>
              </w:rPr>
              <w:t>data</w:t>
            </w:r>
            <w:r>
              <w:rPr>
                <w:rFonts w:ascii="Calibri"/>
                <w:spacing w:val="53"/>
                <w:w w:val="99"/>
                <w:sz w:val="18"/>
              </w:rPr>
              <w:t xml:space="preserve"> </w:t>
            </w:r>
            <w:r>
              <w:rPr>
                <w:rFonts w:ascii="Calibri"/>
                <w:spacing w:val="-1"/>
                <w:sz w:val="18"/>
              </w:rPr>
              <w:t>collection</w:t>
            </w:r>
            <w:r>
              <w:rPr>
                <w:rFonts w:ascii="Calibri"/>
                <w:spacing w:val="-7"/>
                <w:sz w:val="18"/>
              </w:rPr>
              <w:t xml:space="preserve"> </w:t>
            </w:r>
            <w:r>
              <w:rPr>
                <w:rFonts w:ascii="Calibri"/>
                <w:spacing w:val="-1"/>
                <w:sz w:val="18"/>
              </w:rPr>
              <w:t>protocols</w:t>
            </w:r>
            <w:r>
              <w:rPr>
                <w:rFonts w:ascii="Calibri"/>
                <w:spacing w:val="-6"/>
                <w:sz w:val="18"/>
              </w:rPr>
              <w:t xml:space="preserve"> </w:t>
            </w:r>
            <w:r>
              <w:rPr>
                <w:rFonts w:ascii="Calibri"/>
                <w:spacing w:val="-1"/>
                <w:sz w:val="18"/>
              </w:rPr>
              <w:t>collaboratively</w:t>
            </w:r>
          </w:p>
        </w:tc>
        <w:tc>
          <w:tcPr>
            <w:tcW w:w="4681" w:type="dxa"/>
            <w:tcBorders>
              <w:top w:val="single" w:sz="7" w:space="0" w:color="448999"/>
              <w:left w:val="single" w:sz="7" w:space="0" w:color="448999"/>
              <w:bottom w:val="single" w:sz="8"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bl>
    <w:p w:rsidR="00E646C9" w:rsidRDefault="00E646C9" w:rsidP="00E646C9"/>
    <w:p w:rsidR="00E646C9" w:rsidRDefault="00E646C9" w:rsidP="00C3558F">
      <w:pPr>
        <w:pStyle w:val="AppendixGHeading2"/>
      </w:pPr>
      <w:r w:rsidRPr="00872E9B">
        <w:t>Residential Energy-Efficiency Behavior &amp; Education Program</w:t>
      </w:r>
    </w:p>
    <w:tbl>
      <w:tblPr>
        <w:tblW w:w="0" w:type="auto"/>
        <w:tblLayout w:type="fixed"/>
        <w:tblCellMar>
          <w:left w:w="0" w:type="dxa"/>
          <w:right w:w="0" w:type="dxa"/>
        </w:tblCellMar>
        <w:tblLook w:val="01E0" w:firstRow="1" w:lastRow="1" w:firstColumn="1" w:lastColumn="1" w:noHBand="0" w:noVBand="0"/>
      </w:tblPr>
      <w:tblGrid>
        <w:gridCol w:w="4681"/>
        <w:gridCol w:w="4681"/>
      </w:tblGrid>
      <w:tr w:rsidR="00E646C9" w:rsidTr="00C3558F">
        <w:trPr>
          <w:trHeight w:hRule="exact" w:val="680"/>
        </w:trPr>
        <w:tc>
          <w:tcPr>
            <w:tcW w:w="9362" w:type="dxa"/>
            <w:gridSpan w:val="2"/>
            <w:tcBorders>
              <w:top w:val="single" w:sz="8" w:space="0" w:color="448999"/>
              <w:left w:val="single" w:sz="8" w:space="0" w:color="448999"/>
              <w:bottom w:val="nil"/>
              <w:right w:val="single" w:sz="8" w:space="0" w:color="448999"/>
            </w:tcBorders>
            <w:shd w:val="clear" w:color="auto" w:fill="448999"/>
          </w:tcPr>
          <w:p w:rsidR="00E646C9" w:rsidRPr="00C3558F" w:rsidRDefault="00E646C9" w:rsidP="00821A84">
            <w:pPr>
              <w:pStyle w:val="TableParagraph"/>
              <w:tabs>
                <w:tab w:val="left" w:pos="5251"/>
              </w:tabs>
              <w:ind w:left="5798" w:right="570" w:hanging="5722"/>
              <w:rPr>
                <w:rFonts w:ascii="Calibri" w:eastAsia="Calibri" w:hAnsi="Calibri" w:cs="Calibri"/>
                <w:sz w:val="18"/>
                <w:szCs w:val="18"/>
              </w:rPr>
            </w:pPr>
            <w:r>
              <w:rPr>
                <w:rFonts w:ascii="Calibri"/>
                <w:b/>
                <w:color w:val="FFFFFF"/>
                <w:spacing w:val="-1"/>
                <w:w w:val="95"/>
                <w:sz w:val="18"/>
              </w:rPr>
              <w:t>Recommendations</w:t>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55"/>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before="1"/>
              <w:ind w:left="5654"/>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821A84">
        <w:trPr>
          <w:trHeight w:hRule="exact" w:val="306"/>
        </w:trPr>
        <w:tc>
          <w:tcPr>
            <w:tcW w:w="9362" w:type="dxa"/>
            <w:gridSpan w:val="2"/>
            <w:tcBorders>
              <w:top w:val="nil"/>
              <w:left w:val="single" w:sz="8" w:space="0" w:color="448999"/>
              <w:bottom w:val="single" w:sz="7" w:space="0" w:color="448999"/>
              <w:right w:val="single" w:sz="8" w:space="0" w:color="448999"/>
            </w:tcBorders>
            <w:shd w:val="clear" w:color="auto" w:fill="9C9393"/>
          </w:tcPr>
          <w:p w:rsidR="00E646C9" w:rsidRDefault="00E646C9" w:rsidP="00C94D5A">
            <w:pPr>
              <w:pStyle w:val="TableParagraph"/>
              <w:spacing w:before="10"/>
              <w:ind w:left="2421"/>
              <w:rPr>
                <w:rFonts w:ascii="Calibri" w:eastAsia="Calibri" w:hAnsi="Calibri" w:cs="Calibri"/>
                <w:sz w:val="18"/>
                <w:szCs w:val="18"/>
              </w:rPr>
            </w:pPr>
            <w:r>
              <w:rPr>
                <w:rFonts w:ascii="Calibri"/>
                <w:b/>
                <w:color w:val="FFFFFF"/>
                <w:spacing w:val="-1"/>
                <w:sz w:val="18"/>
              </w:rPr>
              <w:t>Residential</w:t>
            </w:r>
            <w:r>
              <w:rPr>
                <w:rFonts w:ascii="Calibri"/>
                <w:b/>
                <w:color w:val="FFFFFF"/>
                <w:spacing w:val="-8"/>
                <w:sz w:val="18"/>
              </w:rPr>
              <w:t xml:space="preserve"> </w:t>
            </w:r>
            <w:r>
              <w:rPr>
                <w:rFonts w:ascii="Calibri"/>
                <w:b/>
                <w:color w:val="FFFFFF"/>
                <w:spacing w:val="-1"/>
                <w:sz w:val="18"/>
              </w:rPr>
              <w:t>Energy-Efficiency</w:t>
            </w:r>
            <w:r>
              <w:rPr>
                <w:rFonts w:ascii="Calibri"/>
                <w:b/>
                <w:color w:val="FFFFFF"/>
                <w:spacing w:val="-4"/>
                <w:sz w:val="18"/>
              </w:rPr>
              <w:t xml:space="preserve"> </w:t>
            </w:r>
            <w:r>
              <w:rPr>
                <w:rFonts w:ascii="Calibri"/>
                <w:b/>
                <w:color w:val="FFFFFF"/>
                <w:spacing w:val="-1"/>
                <w:sz w:val="18"/>
              </w:rPr>
              <w:t>Behavior</w:t>
            </w:r>
            <w:r>
              <w:rPr>
                <w:rFonts w:ascii="Calibri"/>
                <w:b/>
                <w:color w:val="FFFFFF"/>
                <w:spacing w:val="-5"/>
                <w:sz w:val="18"/>
              </w:rPr>
              <w:t xml:space="preserve"> </w:t>
            </w:r>
            <w:r>
              <w:rPr>
                <w:rFonts w:ascii="Calibri"/>
                <w:b/>
                <w:color w:val="FFFFFF"/>
                <w:sz w:val="18"/>
              </w:rPr>
              <w:t>&amp;</w:t>
            </w:r>
            <w:r>
              <w:rPr>
                <w:rFonts w:ascii="Calibri"/>
                <w:b/>
                <w:color w:val="FFFFFF"/>
                <w:spacing w:val="-6"/>
                <w:sz w:val="18"/>
              </w:rPr>
              <w:t xml:space="preserve"> </w:t>
            </w:r>
            <w:r>
              <w:rPr>
                <w:rFonts w:ascii="Calibri"/>
                <w:b/>
                <w:color w:val="FFFFFF"/>
                <w:spacing w:val="-1"/>
                <w:sz w:val="18"/>
              </w:rPr>
              <w:t>Education</w:t>
            </w:r>
            <w:r>
              <w:rPr>
                <w:rFonts w:ascii="Calibri"/>
                <w:b/>
                <w:color w:val="FFFFFF"/>
                <w:spacing w:val="-4"/>
                <w:sz w:val="18"/>
              </w:rPr>
              <w:t xml:space="preserve"> </w:t>
            </w:r>
            <w:r>
              <w:rPr>
                <w:rFonts w:ascii="Calibri"/>
                <w:b/>
                <w:color w:val="FFFFFF"/>
                <w:spacing w:val="-1"/>
                <w:sz w:val="18"/>
              </w:rPr>
              <w:t>Program</w:t>
            </w:r>
          </w:p>
        </w:tc>
      </w:tr>
      <w:tr w:rsidR="00E646C9" w:rsidTr="00C3558F">
        <w:trPr>
          <w:trHeight w:hRule="exact" w:val="893"/>
        </w:trPr>
        <w:tc>
          <w:tcPr>
            <w:tcW w:w="4681"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138"/>
              <w:rPr>
                <w:rFonts w:ascii="Calibri" w:eastAsia="Calibri" w:hAnsi="Calibri" w:cs="Calibri"/>
                <w:sz w:val="18"/>
                <w:szCs w:val="18"/>
              </w:rPr>
            </w:pPr>
            <w:r>
              <w:rPr>
                <w:rFonts w:ascii="Calibri"/>
                <w:spacing w:val="-1"/>
                <w:sz w:val="18"/>
              </w:rPr>
              <w:t>Closely</w:t>
            </w:r>
            <w:r>
              <w:rPr>
                <w:rFonts w:ascii="Calibri"/>
                <w:spacing w:val="-2"/>
                <w:sz w:val="18"/>
              </w:rPr>
              <w:t xml:space="preserve"> </w:t>
            </w:r>
            <w:r>
              <w:rPr>
                <w:rFonts w:ascii="Calibri"/>
                <w:spacing w:val="-1"/>
                <w:sz w:val="18"/>
              </w:rPr>
              <w:t>monitor</w:t>
            </w:r>
            <w:r>
              <w:rPr>
                <w:rFonts w:ascii="Calibri"/>
                <w:spacing w:val="-2"/>
                <w:sz w:val="18"/>
              </w:rPr>
              <w:t xml:space="preserve"> </w:t>
            </w:r>
            <w:r>
              <w:rPr>
                <w:rFonts w:ascii="Calibri"/>
                <w:spacing w:val="-1"/>
                <w:sz w:val="18"/>
              </w:rPr>
              <w:t>the</w:t>
            </w:r>
            <w:r>
              <w:rPr>
                <w:rFonts w:ascii="Calibri"/>
                <w:spacing w:val="-2"/>
                <w:sz w:val="18"/>
              </w:rPr>
              <w:t xml:space="preserve"> </w:t>
            </w:r>
            <w:r>
              <w:rPr>
                <w:rFonts w:ascii="Calibri"/>
                <w:sz w:val="18"/>
              </w:rPr>
              <w:t>monthly</w:t>
            </w:r>
            <w:r>
              <w:rPr>
                <w:rFonts w:ascii="Calibri"/>
                <w:spacing w:val="-2"/>
                <w:sz w:val="18"/>
              </w:rPr>
              <w:t xml:space="preserve"> </w:t>
            </w:r>
            <w:r>
              <w:rPr>
                <w:rFonts w:ascii="Calibri"/>
                <w:spacing w:val="-1"/>
                <w:sz w:val="18"/>
              </w:rPr>
              <w:t>savings</w:t>
            </w:r>
            <w:r>
              <w:rPr>
                <w:rFonts w:ascii="Calibri"/>
                <w:spacing w:val="-2"/>
                <w:sz w:val="18"/>
              </w:rPr>
              <w:t xml:space="preserve"> </w:t>
            </w:r>
            <w:r>
              <w:rPr>
                <w:rFonts w:ascii="Calibri"/>
                <w:sz w:val="18"/>
              </w:rPr>
              <w:t>and</w:t>
            </w:r>
            <w:r>
              <w:rPr>
                <w:rFonts w:ascii="Calibri"/>
                <w:spacing w:val="-3"/>
                <w:sz w:val="18"/>
              </w:rPr>
              <w:t xml:space="preserve"> </w:t>
            </w:r>
            <w:r>
              <w:rPr>
                <w:rFonts w:ascii="Calibri"/>
                <w:spacing w:val="-1"/>
                <w:sz w:val="18"/>
              </w:rPr>
              <w:t>customer</w:t>
            </w:r>
            <w:r>
              <w:rPr>
                <w:rFonts w:ascii="Calibri"/>
                <w:sz w:val="18"/>
              </w:rPr>
              <w:t xml:space="preserve"> </w:t>
            </w:r>
            <w:r>
              <w:rPr>
                <w:rFonts w:ascii="Calibri"/>
                <w:spacing w:val="-1"/>
                <w:sz w:val="18"/>
              </w:rPr>
              <w:t>support</w:t>
            </w:r>
            <w:r>
              <w:rPr>
                <w:rFonts w:ascii="Calibri"/>
                <w:spacing w:val="53"/>
                <w:w w:val="99"/>
                <w:sz w:val="18"/>
              </w:rPr>
              <w:t xml:space="preserve"> </w:t>
            </w:r>
            <w:r>
              <w:rPr>
                <w:rFonts w:ascii="Calibri"/>
                <w:spacing w:val="-1"/>
                <w:sz w:val="18"/>
              </w:rPr>
              <w:t>calls</w:t>
            </w:r>
            <w:r>
              <w:rPr>
                <w:rFonts w:ascii="Calibri"/>
                <w:spacing w:val="-3"/>
                <w:sz w:val="18"/>
              </w:rPr>
              <w:t xml:space="preserve"> </w:t>
            </w:r>
            <w:r>
              <w:rPr>
                <w:rFonts w:ascii="Calibri"/>
                <w:spacing w:val="-1"/>
                <w:sz w:val="18"/>
              </w:rPr>
              <w:t>and</w:t>
            </w:r>
            <w:r>
              <w:rPr>
                <w:rFonts w:ascii="Calibri"/>
                <w:spacing w:val="-2"/>
                <w:sz w:val="18"/>
              </w:rPr>
              <w:t xml:space="preserve"> </w:t>
            </w:r>
            <w:r>
              <w:rPr>
                <w:rFonts w:ascii="Calibri"/>
                <w:sz w:val="18"/>
              </w:rPr>
              <w:t>e-mails</w:t>
            </w:r>
            <w:r>
              <w:rPr>
                <w:rFonts w:ascii="Calibri"/>
                <w:spacing w:val="-3"/>
                <w:sz w:val="18"/>
              </w:rPr>
              <w:t xml:space="preserve"> </w:t>
            </w:r>
            <w:r>
              <w:rPr>
                <w:rFonts w:ascii="Calibri"/>
                <w:sz w:val="18"/>
              </w:rPr>
              <w:t>of</w:t>
            </w:r>
            <w:r>
              <w:rPr>
                <w:rFonts w:ascii="Calibri"/>
                <w:spacing w:val="-2"/>
                <w:sz w:val="18"/>
              </w:rPr>
              <w:t xml:space="preserve"> </w:t>
            </w:r>
            <w:r>
              <w:rPr>
                <w:rFonts w:ascii="Calibri"/>
                <w:spacing w:val="-1"/>
                <w:sz w:val="18"/>
              </w:rPr>
              <w:t>the new behavior program</w:t>
            </w:r>
            <w:r>
              <w:rPr>
                <w:rFonts w:ascii="Calibri"/>
                <w:spacing w:val="-3"/>
                <w:sz w:val="18"/>
              </w:rPr>
              <w:t xml:space="preserve"> </w:t>
            </w:r>
            <w:r>
              <w:rPr>
                <w:rFonts w:ascii="Calibri"/>
                <w:spacing w:val="-1"/>
                <w:sz w:val="18"/>
              </w:rPr>
              <w:t>in</w:t>
            </w:r>
            <w:r>
              <w:rPr>
                <w:rFonts w:ascii="Calibri"/>
                <w:spacing w:val="-2"/>
                <w:sz w:val="18"/>
              </w:rPr>
              <w:t xml:space="preserve"> </w:t>
            </w:r>
            <w:r>
              <w:rPr>
                <w:rFonts w:ascii="Calibri"/>
                <w:spacing w:val="-1"/>
                <w:sz w:val="18"/>
              </w:rPr>
              <w:t>Phase</w:t>
            </w:r>
            <w:r>
              <w:rPr>
                <w:rFonts w:ascii="Calibri"/>
                <w:spacing w:val="-3"/>
                <w:sz w:val="18"/>
              </w:rPr>
              <w:t xml:space="preserve"> </w:t>
            </w:r>
            <w:r>
              <w:rPr>
                <w:rFonts w:ascii="Calibri"/>
                <w:sz w:val="18"/>
              </w:rPr>
              <w:t>III</w:t>
            </w:r>
            <w:r>
              <w:rPr>
                <w:rFonts w:ascii="Calibri"/>
                <w:spacing w:val="-1"/>
                <w:sz w:val="18"/>
              </w:rPr>
              <w:t xml:space="preserve"> by</w:t>
            </w:r>
            <w:r>
              <w:rPr>
                <w:rFonts w:ascii="Calibri"/>
                <w:spacing w:val="53"/>
                <w:w w:val="99"/>
                <w:sz w:val="18"/>
              </w:rPr>
              <w:t xml:space="preserve"> </w:t>
            </w:r>
            <w:r>
              <w:rPr>
                <w:rFonts w:ascii="Calibri"/>
                <w:spacing w:val="-1"/>
                <w:sz w:val="18"/>
              </w:rPr>
              <w:t>setting</w:t>
            </w:r>
            <w:r>
              <w:rPr>
                <w:rFonts w:ascii="Calibri"/>
                <w:spacing w:val="-4"/>
                <w:sz w:val="18"/>
              </w:rPr>
              <w:t xml:space="preserve"> </w:t>
            </w:r>
            <w:r>
              <w:rPr>
                <w:rFonts w:ascii="Calibri"/>
                <w:sz w:val="18"/>
              </w:rPr>
              <w:t>up</w:t>
            </w:r>
            <w:r>
              <w:rPr>
                <w:rFonts w:ascii="Calibri"/>
                <w:spacing w:val="-4"/>
                <w:sz w:val="18"/>
              </w:rPr>
              <w:t xml:space="preserve"> </w:t>
            </w:r>
            <w:r>
              <w:rPr>
                <w:rFonts w:ascii="Calibri"/>
                <w:spacing w:val="-1"/>
                <w:sz w:val="18"/>
              </w:rPr>
              <w:t>some</w:t>
            </w:r>
            <w:r>
              <w:rPr>
                <w:rFonts w:ascii="Calibri"/>
                <w:spacing w:val="-4"/>
                <w:sz w:val="18"/>
              </w:rPr>
              <w:t xml:space="preserve"> </w:t>
            </w:r>
            <w:r>
              <w:rPr>
                <w:rFonts w:ascii="Calibri"/>
                <w:spacing w:val="-1"/>
                <w:sz w:val="18"/>
              </w:rPr>
              <w:t>key</w:t>
            </w:r>
            <w:r>
              <w:rPr>
                <w:rFonts w:ascii="Calibri"/>
                <w:spacing w:val="-3"/>
                <w:sz w:val="18"/>
              </w:rPr>
              <w:t xml:space="preserve"> </w:t>
            </w:r>
            <w:r>
              <w:rPr>
                <w:rFonts w:ascii="Calibri"/>
                <w:spacing w:val="-1"/>
                <w:sz w:val="18"/>
              </w:rPr>
              <w:t>performance</w:t>
            </w:r>
            <w:r>
              <w:rPr>
                <w:rFonts w:ascii="Calibri"/>
                <w:spacing w:val="-2"/>
                <w:sz w:val="18"/>
              </w:rPr>
              <w:t xml:space="preserve"> </w:t>
            </w:r>
            <w:r>
              <w:rPr>
                <w:rFonts w:ascii="Calibri"/>
                <w:spacing w:val="-1"/>
                <w:sz w:val="18"/>
              </w:rPr>
              <w:t>indicators</w:t>
            </w:r>
            <w:r>
              <w:rPr>
                <w:rFonts w:ascii="Calibri"/>
                <w:spacing w:val="-5"/>
                <w:sz w:val="18"/>
              </w:rPr>
              <w:t xml:space="preserve"> </w:t>
            </w:r>
            <w:r>
              <w:rPr>
                <w:rFonts w:ascii="Calibri"/>
                <w:sz w:val="18"/>
              </w:rPr>
              <w:t>derived</w:t>
            </w:r>
            <w:r>
              <w:rPr>
                <w:rFonts w:ascii="Calibri"/>
                <w:spacing w:val="-4"/>
                <w:sz w:val="18"/>
              </w:rPr>
              <w:t xml:space="preserve"> </w:t>
            </w:r>
            <w:r>
              <w:rPr>
                <w:rFonts w:ascii="Calibri"/>
                <w:spacing w:val="-1"/>
                <w:sz w:val="18"/>
              </w:rPr>
              <w:t>from</w:t>
            </w:r>
            <w:r>
              <w:rPr>
                <w:rFonts w:ascii="Calibri"/>
                <w:spacing w:val="55"/>
                <w:w w:val="99"/>
                <w:sz w:val="18"/>
              </w:rPr>
              <w:t xml:space="preserve"> </w:t>
            </w:r>
            <w:r>
              <w:rPr>
                <w:rFonts w:ascii="Calibri"/>
                <w:spacing w:val="-1"/>
                <w:sz w:val="18"/>
              </w:rPr>
              <w:t>observations</w:t>
            </w:r>
            <w:r>
              <w:rPr>
                <w:rFonts w:ascii="Calibri"/>
                <w:spacing w:val="-4"/>
                <w:sz w:val="18"/>
              </w:rPr>
              <w:t xml:space="preserve"> </w:t>
            </w:r>
            <w:r>
              <w:rPr>
                <w:rFonts w:ascii="Calibri"/>
                <w:sz w:val="18"/>
              </w:rPr>
              <w:t>of</w:t>
            </w:r>
            <w:r>
              <w:rPr>
                <w:rFonts w:ascii="Calibri"/>
                <w:spacing w:val="-3"/>
                <w:sz w:val="18"/>
              </w:rPr>
              <w:t xml:space="preserve"> </w:t>
            </w:r>
            <w:r>
              <w:rPr>
                <w:rFonts w:ascii="Calibri"/>
                <w:spacing w:val="-1"/>
                <w:sz w:val="18"/>
              </w:rPr>
              <w:t>Phase</w:t>
            </w:r>
            <w:r>
              <w:rPr>
                <w:rFonts w:ascii="Calibri"/>
                <w:spacing w:val="-3"/>
                <w:sz w:val="18"/>
              </w:rPr>
              <w:t xml:space="preserve"> </w:t>
            </w:r>
            <w:r>
              <w:rPr>
                <w:rFonts w:ascii="Calibri"/>
                <w:sz w:val="18"/>
              </w:rPr>
              <w:t>II.</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r w:rsidR="00E646C9" w:rsidTr="00C3558F">
        <w:trPr>
          <w:trHeight w:hRule="exact" w:val="898"/>
        </w:trPr>
        <w:tc>
          <w:tcPr>
            <w:tcW w:w="4681" w:type="dxa"/>
            <w:tcBorders>
              <w:top w:val="single" w:sz="7" w:space="0" w:color="448999"/>
              <w:left w:val="single" w:sz="8" w:space="0" w:color="448999"/>
              <w:bottom w:val="single" w:sz="8" w:space="0" w:color="448999"/>
              <w:right w:val="single" w:sz="7" w:space="0" w:color="448999"/>
            </w:tcBorders>
            <w:shd w:val="clear" w:color="auto" w:fill="D2EAF0"/>
          </w:tcPr>
          <w:p w:rsidR="00E646C9" w:rsidRDefault="00E646C9" w:rsidP="00C94D5A">
            <w:pPr>
              <w:pStyle w:val="TableParagraph"/>
              <w:ind w:left="97" w:right="100"/>
              <w:jc w:val="both"/>
              <w:rPr>
                <w:rFonts w:ascii="Calibri" w:eastAsia="Calibri" w:hAnsi="Calibri" w:cs="Calibri"/>
                <w:sz w:val="18"/>
                <w:szCs w:val="18"/>
              </w:rPr>
            </w:pPr>
            <w:r>
              <w:rPr>
                <w:rFonts w:ascii="Calibri"/>
                <w:spacing w:val="-1"/>
                <w:sz w:val="18"/>
              </w:rPr>
              <w:t>Compare</w:t>
            </w:r>
            <w:r>
              <w:rPr>
                <w:rFonts w:ascii="Calibri"/>
                <w:spacing w:val="11"/>
                <w:sz w:val="18"/>
              </w:rPr>
              <w:t xml:space="preserve"> </w:t>
            </w:r>
            <w:r>
              <w:rPr>
                <w:rFonts w:ascii="Calibri"/>
                <w:spacing w:val="-1"/>
                <w:sz w:val="18"/>
              </w:rPr>
              <w:t>the</w:t>
            </w:r>
            <w:r>
              <w:rPr>
                <w:rFonts w:ascii="Calibri"/>
                <w:spacing w:val="12"/>
                <w:sz w:val="18"/>
              </w:rPr>
              <w:t xml:space="preserve"> </w:t>
            </w:r>
            <w:r>
              <w:rPr>
                <w:rFonts w:ascii="Calibri"/>
                <w:spacing w:val="-1"/>
                <w:sz w:val="18"/>
              </w:rPr>
              <w:t>energy-savings</w:t>
            </w:r>
            <w:r>
              <w:rPr>
                <w:rFonts w:ascii="Calibri"/>
                <w:spacing w:val="12"/>
                <w:sz w:val="18"/>
              </w:rPr>
              <w:t xml:space="preserve"> </w:t>
            </w:r>
            <w:r>
              <w:rPr>
                <w:rFonts w:ascii="Calibri"/>
                <w:spacing w:val="-1"/>
                <w:sz w:val="18"/>
              </w:rPr>
              <w:t>performance</w:t>
            </w:r>
            <w:r>
              <w:rPr>
                <w:rFonts w:ascii="Calibri"/>
                <w:spacing w:val="12"/>
                <w:sz w:val="18"/>
              </w:rPr>
              <w:t xml:space="preserve"> </w:t>
            </w:r>
            <w:r>
              <w:rPr>
                <w:rFonts w:ascii="Calibri"/>
                <w:spacing w:val="-1"/>
                <w:sz w:val="18"/>
              </w:rPr>
              <w:t>between</w:t>
            </w:r>
            <w:r>
              <w:rPr>
                <w:rFonts w:ascii="Calibri"/>
                <w:spacing w:val="12"/>
                <w:sz w:val="18"/>
              </w:rPr>
              <w:t xml:space="preserve"> </w:t>
            </w:r>
            <w:r>
              <w:rPr>
                <w:rFonts w:ascii="Calibri"/>
                <w:sz w:val="18"/>
              </w:rPr>
              <w:t>Phase</w:t>
            </w:r>
            <w:r>
              <w:rPr>
                <w:rFonts w:ascii="Calibri"/>
                <w:spacing w:val="11"/>
                <w:sz w:val="18"/>
              </w:rPr>
              <w:t xml:space="preserve"> </w:t>
            </w:r>
            <w:r>
              <w:rPr>
                <w:rFonts w:ascii="Calibri"/>
                <w:sz w:val="18"/>
              </w:rPr>
              <w:t>II</w:t>
            </w:r>
            <w:r>
              <w:rPr>
                <w:rFonts w:ascii="Calibri"/>
                <w:spacing w:val="65"/>
                <w:w w:val="99"/>
                <w:sz w:val="18"/>
              </w:rPr>
              <w:t xml:space="preserve"> </w:t>
            </w:r>
            <w:r>
              <w:rPr>
                <w:rFonts w:ascii="Calibri"/>
                <w:spacing w:val="-1"/>
                <w:sz w:val="18"/>
              </w:rPr>
              <w:t>and</w:t>
            </w:r>
            <w:r>
              <w:rPr>
                <w:rFonts w:ascii="Calibri"/>
                <w:spacing w:val="16"/>
                <w:sz w:val="18"/>
              </w:rPr>
              <w:t xml:space="preserve"> </w:t>
            </w:r>
            <w:r>
              <w:rPr>
                <w:rFonts w:ascii="Calibri"/>
                <w:sz w:val="18"/>
              </w:rPr>
              <w:t>Phase</w:t>
            </w:r>
            <w:r>
              <w:rPr>
                <w:rFonts w:ascii="Calibri"/>
                <w:spacing w:val="16"/>
                <w:sz w:val="18"/>
              </w:rPr>
              <w:t xml:space="preserve"> </w:t>
            </w:r>
            <w:r>
              <w:rPr>
                <w:rFonts w:ascii="Calibri"/>
                <w:sz w:val="18"/>
              </w:rPr>
              <w:t>III</w:t>
            </w:r>
            <w:r>
              <w:rPr>
                <w:rFonts w:ascii="Calibri"/>
                <w:spacing w:val="20"/>
                <w:sz w:val="18"/>
              </w:rPr>
              <w:t xml:space="preserve"> </w:t>
            </w:r>
            <w:r>
              <w:rPr>
                <w:rFonts w:ascii="Calibri"/>
                <w:sz w:val="18"/>
              </w:rPr>
              <w:t>to</w:t>
            </w:r>
            <w:r>
              <w:rPr>
                <w:rFonts w:ascii="Calibri"/>
                <w:spacing w:val="17"/>
                <w:sz w:val="18"/>
              </w:rPr>
              <w:t xml:space="preserve"> </w:t>
            </w:r>
            <w:r>
              <w:rPr>
                <w:rFonts w:ascii="Calibri"/>
                <w:spacing w:val="-1"/>
                <w:sz w:val="18"/>
              </w:rPr>
              <w:t>note</w:t>
            </w:r>
            <w:r>
              <w:rPr>
                <w:rFonts w:ascii="Calibri"/>
                <w:spacing w:val="16"/>
                <w:sz w:val="18"/>
              </w:rPr>
              <w:t xml:space="preserve"> </w:t>
            </w:r>
            <w:r>
              <w:rPr>
                <w:rFonts w:ascii="Calibri"/>
                <w:spacing w:val="-1"/>
                <w:sz w:val="18"/>
              </w:rPr>
              <w:t>program</w:t>
            </w:r>
            <w:r>
              <w:rPr>
                <w:rFonts w:ascii="Calibri"/>
                <w:spacing w:val="18"/>
                <w:sz w:val="18"/>
              </w:rPr>
              <w:t xml:space="preserve"> </w:t>
            </w:r>
            <w:r>
              <w:rPr>
                <w:rFonts w:ascii="Calibri"/>
                <w:spacing w:val="-1"/>
                <w:sz w:val="18"/>
              </w:rPr>
              <w:t>design</w:t>
            </w:r>
            <w:r>
              <w:rPr>
                <w:rFonts w:ascii="Calibri"/>
                <w:spacing w:val="16"/>
                <w:sz w:val="18"/>
              </w:rPr>
              <w:t xml:space="preserve"> </w:t>
            </w:r>
            <w:r>
              <w:rPr>
                <w:rFonts w:ascii="Calibri"/>
                <w:sz w:val="18"/>
              </w:rPr>
              <w:t>impacts</w:t>
            </w:r>
            <w:r>
              <w:rPr>
                <w:rFonts w:ascii="Calibri"/>
                <w:spacing w:val="17"/>
                <w:sz w:val="18"/>
              </w:rPr>
              <w:t xml:space="preserve"> </w:t>
            </w:r>
            <w:r>
              <w:rPr>
                <w:rFonts w:ascii="Calibri"/>
                <w:sz w:val="18"/>
              </w:rPr>
              <w:t>and</w:t>
            </w:r>
            <w:r>
              <w:rPr>
                <w:rFonts w:ascii="Calibri"/>
                <w:spacing w:val="16"/>
                <w:sz w:val="18"/>
              </w:rPr>
              <w:t xml:space="preserve"> </w:t>
            </w:r>
            <w:r>
              <w:rPr>
                <w:rFonts w:ascii="Calibri"/>
                <w:spacing w:val="-1"/>
                <w:sz w:val="18"/>
              </w:rPr>
              <w:t>any</w:t>
            </w:r>
            <w:r>
              <w:rPr>
                <w:rFonts w:ascii="Calibri"/>
                <w:spacing w:val="37"/>
                <w:w w:val="99"/>
                <w:sz w:val="18"/>
              </w:rPr>
              <w:t xml:space="preserve"> </w:t>
            </w:r>
            <w:r>
              <w:rPr>
                <w:rFonts w:ascii="Calibri"/>
                <w:spacing w:val="-1"/>
                <w:sz w:val="18"/>
              </w:rPr>
              <w:t>transition</w:t>
            </w:r>
            <w:r>
              <w:rPr>
                <w:rFonts w:ascii="Calibri"/>
                <w:spacing w:val="5"/>
                <w:sz w:val="18"/>
              </w:rPr>
              <w:t xml:space="preserve"> </w:t>
            </w:r>
            <w:r>
              <w:rPr>
                <w:rFonts w:ascii="Calibri"/>
                <w:spacing w:val="-1"/>
                <w:sz w:val="18"/>
              </w:rPr>
              <w:t>challenges,</w:t>
            </w:r>
            <w:r>
              <w:rPr>
                <w:rFonts w:ascii="Calibri"/>
                <w:spacing w:val="8"/>
                <w:sz w:val="18"/>
              </w:rPr>
              <w:t xml:space="preserve"> </w:t>
            </w:r>
            <w:r>
              <w:rPr>
                <w:rFonts w:ascii="Calibri"/>
                <w:spacing w:val="-1"/>
                <w:sz w:val="18"/>
              </w:rPr>
              <w:t>especially</w:t>
            </w:r>
            <w:r>
              <w:rPr>
                <w:rFonts w:ascii="Calibri"/>
                <w:spacing w:val="5"/>
                <w:sz w:val="18"/>
              </w:rPr>
              <w:t xml:space="preserve"> </w:t>
            </w:r>
            <w:r>
              <w:rPr>
                <w:rFonts w:ascii="Calibri"/>
                <w:spacing w:val="-1"/>
                <w:sz w:val="18"/>
              </w:rPr>
              <w:t>through</w:t>
            </w:r>
            <w:r>
              <w:rPr>
                <w:rFonts w:ascii="Calibri"/>
                <w:spacing w:val="6"/>
                <w:sz w:val="18"/>
              </w:rPr>
              <w:t xml:space="preserve"> </w:t>
            </w:r>
            <w:r>
              <w:rPr>
                <w:rFonts w:ascii="Calibri"/>
                <w:spacing w:val="-1"/>
                <w:sz w:val="18"/>
              </w:rPr>
              <w:t>comparisons</w:t>
            </w:r>
            <w:r>
              <w:rPr>
                <w:rFonts w:ascii="Calibri"/>
                <w:spacing w:val="6"/>
                <w:sz w:val="18"/>
              </w:rPr>
              <w:t xml:space="preserve"> </w:t>
            </w:r>
            <w:r>
              <w:rPr>
                <w:rFonts w:ascii="Calibri"/>
                <w:sz w:val="18"/>
              </w:rPr>
              <w:t>of</w:t>
            </w:r>
            <w:r>
              <w:rPr>
                <w:rFonts w:ascii="Calibri"/>
                <w:spacing w:val="5"/>
                <w:sz w:val="18"/>
              </w:rPr>
              <w:t xml:space="preserve"> </w:t>
            </w:r>
            <w:r>
              <w:rPr>
                <w:rFonts w:ascii="Calibri"/>
                <w:sz w:val="18"/>
              </w:rPr>
              <w:t>PY7</w:t>
            </w:r>
            <w:r>
              <w:rPr>
                <w:rFonts w:ascii="Calibri"/>
                <w:spacing w:val="67"/>
                <w:w w:val="99"/>
                <w:sz w:val="18"/>
              </w:rPr>
              <w:t xml:space="preserve"> </w:t>
            </w:r>
            <w:r>
              <w:rPr>
                <w:rFonts w:ascii="Calibri"/>
                <w:spacing w:val="-1"/>
                <w:sz w:val="18"/>
              </w:rPr>
              <w:t>and</w:t>
            </w:r>
            <w:r>
              <w:rPr>
                <w:rFonts w:ascii="Calibri"/>
                <w:spacing w:val="-2"/>
                <w:sz w:val="18"/>
              </w:rPr>
              <w:t xml:space="preserve"> </w:t>
            </w:r>
            <w:r>
              <w:rPr>
                <w:rFonts w:ascii="Calibri"/>
                <w:sz w:val="18"/>
              </w:rPr>
              <w:t>PY8.</w:t>
            </w:r>
          </w:p>
        </w:tc>
        <w:tc>
          <w:tcPr>
            <w:tcW w:w="4681" w:type="dxa"/>
            <w:tcBorders>
              <w:top w:val="single" w:sz="7" w:space="0" w:color="448999"/>
              <w:left w:val="single" w:sz="7" w:space="0" w:color="448999"/>
              <w:bottom w:val="single" w:sz="8" w:space="0" w:color="448999"/>
              <w:right w:val="single" w:sz="8" w:space="0" w:color="448999"/>
            </w:tcBorders>
            <w:shd w:val="clear" w:color="auto" w:fill="D2EAF0"/>
          </w:tcPr>
          <w:p w:rsidR="00E646C9" w:rsidRDefault="00E646C9" w:rsidP="00C94D5A">
            <w:pPr>
              <w:pStyle w:val="TableParagraph"/>
              <w:ind w:left="99" w:right="333"/>
              <w:rPr>
                <w:rFonts w:ascii="Calibri" w:eastAsia="Calibri" w:hAnsi="Calibri" w:cs="Calibri"/>
                <w:sz w:val="18"/>
                <w:szCs w:val="18"/>
              </w:rPr>
            </w:pPr>
            <w:r>
              <w:rPr>
                <w:rFonts w:ascii="Calibri"/>
                <w:spacing w:val="-1"/>
                <w:sz w:val="18"/>
              </w:rPr>
              <w:t>Will</w:t>
            </w:r>
            <w:r>
              <w:rPr>
                <w:rFonts w:ascii="Calibri"/>
                <w:spacing w:val="-4"/>
                <w:sz w:val="18"/>
              </w:rPr>
              <w:t xml:space="preserve"> </w:t>
            </w:r>
            <w:r>
              <w:rPr>
                <w:rFonts w:ascii="Calibri"/>
                <w:spacing w:val="-1"/>
                <w:sz w:val="18"/>
              </w:rPr>
              <w:t>be</w:t>
            </w:r>
            <w:r>
              <w:rPr>
                <w:rFonts w:ascii="Calibri"/>
                <w:spacing w:val="-3"/>
                <w:sz w:val="18"/>
              </w:rPr>
              <w:t xml:space="preserve"> </w:t>
            </w:r>
            <w:r>
              <w:rPr>
                <w:rFonts w:ascii="Calibri"/>
                <w:sz w:val="18"/>
              </w:rPr>
              <w:t>implemented</w:t>
            </w:r>
            <w:r>
              <w:rPr>
                <w:rFonts w:ascii="Calibri"/>
                <w:spacing w:val="-3"/>
                <w:sz w:val="18"/>
              </w:rPr>
              <w:t xml:space="preserve"> </w:t>
            </w:r>
            <w:r>
              <w:rPr>
                <w:rFonts w:ascii="Calibri"/>
                <w:spacing w:val="-1"/>
                <w:sz w:val="18"/>
              </w:rPr>
              <w:t>(Phase</w:t>
            </w:r>
            <w:r>
              <w:rPr>
                <w:rFonts w:ascii="Calibri"/>
                <w:spacing w:val="-4"/>
                <w:sz w:val="18"/>
              </w:rPr>
              <w:t xml:space="preserve"> </w:t>
            </w:r>
            <w:r>
              <w:rPr>
                <w:rFonts w:ascii="Calibri"/>
                <w:sz w:val="18"/>
              </w:rPr>
              <w:t>III</w:t>
            </w:r>
            <w:r>
              <w:rPr>
                <w:rFonts w:ascii="Calibri"/>
                <w:spacing w:val="-2"/>
                <w:sz w:val="18"/>
              </w:rPr>
              <w:t xml:space="preserve"> </w:t>
            </w:r>
            <w:r>
              <w:rPr>
                <w:rFonts w:ascii="Calibri"/>
                <w:spacing w:val="-1"/>
                <w:sz w:val="18"/>
              </w:rPr>
              <w:t>savings</w:t>
            </w:r>
            <w:r>
              <w:rPr>
                <w:rFonts w:ascii="Calibri"/>
                <w:spacing w:val="-3"/>
                <w:sz w:val="18"/>
              </w:rPr>
              <w:t xml:space="preserve"> </w:t>
            </w:r>
            <w:r>
              <w:rPr>
                <w:rFonts w:ascii="Calibri"/>
                <w:spacing w:val="-1"/>
                <w:sz w:val="18"/>
              </w:rPr>
              <w:t>will</w:t>
            </w:r>
            <w:r>
              <w:rPr>
                <w:rFonts w:ascii="Calibri"/>
                <w:spacing w:val="-2"/>
                <w:sz w:val="18"/>
              </w:rPr>
              <w:t xml:space="preserve"> </w:t>
            </w:r>
            <w:r>
              <w:rPr>
                <w:rFonts w:ascii="Calibri"/>
                <w:spacing w:val="-1"/>
                <w:sz w:val="18"/>
              </w:rPr>
              <w:t>be</w:t>
            </w:r>
            <w:r>
              <w:rPr>
                <w:rFonts w:ascii="Calibri"/>
                <w:spacing w:val="-3"/>
                <w:sz w:val="18"/>
              </w:rPr>
              <w:t xml:space="preserve"> </w:t>
            </w:r>
            <w:r>
              <w:rPr>
                <w:rFonts w:ascii="Calibri"/>
                <w:sz w:val="18"/>
              </w:rPr>
              <w:t>determined</w:t>
            </w:r>
            <w:r>
              <w:rPr>
                <w:rFonts w:ascii="Calibri"/>
                <w:spacing w:val="29"/>
                <w:sz w:val="18"/>
              </w:rPr>
              <w:t xml:space="preserve"> </w:t>
            </w:r>
            <w:r>
              <w:rPr>
                <w:rFonts w:ascii="Calibri"/>
                <w:spacing w:val="-1"/>
                <w:sz w:val="18"/>
              </w:rPr>
              <w:t>late</w:t>
            </w:r>
            <w:r>
              <w:rPr>
                <w:rFonts w:ascii="Calibri"/>
                <w:spacing w:val="-3"/>
                <w:sz w:val="18"/>
              </w:rPr>
              <w:t xml:space="preserve"> </w:t>
            </w:r>
            <w:r>
              <w:rPr>
                <w:rFonts w:ascii="Calibri"/>
                <w:sz w:val="18"/>
              </w:rPr>
              <w:t>in</w:t>
            </w:r>
            <w:r>
              <w:rPr>
                <w:rFonts w:ascii="Calibri"/>
                <w:spacing w:val="-3"/>
                <w:sz w:val="18"/>
              </w:rPr>
              <w:t xml:space="preserve"> </w:t>
            </w:r>
            <w:r>
              <w:rPr>
                <w:rFonts w:ascii="Calibri"/>
                <w:sz w:val="18"/>
              </w:rPr>
              <w:t>Phase</w:t>
            </w:r>
            <w:r>
              <w:rPr>
                <w:rFonts w:ascii="Calibri"/>
                <w:spacing w:val="-2"/>
                <w:sz w:val="18"/>
              </w:rPr>
              <w:t xml:space="preserve"> </w:t>
            </w:r>
            <w:r>
              <w:rPr>
                <w:rFonts w:ascii="Calibri"/>
                <w:sz w:val="18"/>
              </w:rPr>
              <w:t>III).</w:t>
            </w:r>
            <w:r>
              <w:rPr>
                <w:rFonts w:ascii="Calibri"/>
                <w:spacing w:val="-2"/>
                <w:sz w:val="18"/>
              </w:rPr>
              <w:t xml:space="preserve"> </w:t>
            </w:r>
            <w:r>
              <w:rPr>
                <w:rFonts w:ascii="Calibri"/>
                <w:spacing w:val="-1"/>
                <w:sz w:val="18"/>
              </w:rPr>
              <w:t>Will</w:t>
            </w:r>
            <w:r>
              <w:rPr>
                <w:rFonts w:ascii="Calibri"/>
                <w:spacing w:val="-2"/>
                <w:sz w:val="18"/>
              </w:rPr>
              <w:t xml:space="preserve"> </w:t>
            </w:r>
            <w:r>
              <w:rPr>
                <w:rFonts w:ascii="Calibri"/>
                <w:spacing w:val="-1"/>
                <w:sz w:val="18"/>
              </w:rPr>
              <w:t>also be</w:t>
            </w:r>
            <w:r>
              <w:rPr>
                <w:rFonts w:ascii="Calibri"/>
                <w:spacing w:val="-2"/>
                <w:sz w:val="18"/>
              </w:rPr>
              <w:t xml:space="preserve"> </w:t>
            </w:r>
            <w:r>
              <w:rPr>
                <w:rFonts w:ascii="Calibri"/>
                <w:spacing w:val="-1"/>
                <w:sz w:val="18"/>
              </w:rPr>
              <w:t>evaluated by Cadmus</w:t>
            </w:r>
            <w:r>
              <w:rPr>
                <w:rFonts w:ascii="Calibri"/>
                <w:sz w:val="18"/>
              </w:rPr>
              <w:t xml:space="preserve"> </w:t>
            </w:r>
            <w:r>
              <w:rPr>
                <w:rFonts w:ascii="Calibri"/>
                <w:spacing w:val="-1"/>
                <w:sz w:val="18"/>
              </w:rPr>
              <w:t>in</w:t>
            </w:r>
            <w:r>
              <w:rPr>
                <w:rFonts w:ascii="Calibri"/>
                <w:spacing w:val="-2"/>
                <w:sz w:val="18"/>
              </w:rPr>
              <w:t xml:space="preserve"> </w:t>
            </w:r>
            <w:r>
              <w:rPr>
                <w:rFonts w:ascii="Calibri"/>
                <w:sz w:val="18"/>
              </w:rPr>
              <w:t>PY8.</w:t>
            </w:r>
          </w:p>
        </w:tc>
      </w:tr>
    </w:tbl>
    <w:p w:rsidR="00E646C9" w:rsidRPr="00C3558F" w:rsidRDefault="00E646C9" w:rsidP="00C3558F"/>
    <w:p w:rsidR="00E646C9" w:rsidRPr="00130312" w:rsidRDefault="00E646C9" w:rsidP="00C3558F">
      <w:pPr>
        <w:pStyle w:val="AppendixGHeading2"/>
      </w:pPr>
      <w:r w:rsidRPr="00A96D5B">
        <w:t xml:space="preserve">Residential </w:t>
      </w:r>
      <w:r>
        <w:t>Home Comfort</w:t>
      </w:r>
      <w:r w:rsidRPr="00A96D5B">
        <w:t xml:space="preserve"> Program</w:t>
      </w:r>
    </w:p>
    <w:tbl>
      <w:tblPr>
        <w:tblW w:w="9350" w:type="dxa"/>
        <w:tblLayout w:type="fixed"/>
        <w:tblCellMar>
          <w:left w:w="0" w:type="dxa"/>
          <w:right w:w="0" w:type="dxa"/>
        </w:tblCellMar>
        <w:tblLook w:val="01E0" w:firstRow="1" w:lastRow="1" w:firstColumn="1" w:lastColumn="1" w:noHBand="0" w:noVBand="0"/>
      </w:tblPr>
      <w:tblGrid>
        <w:gridCol w:w="4681"/>
        <w:gridCol w:w="4669"/>
      </w:tblGrid>
      <w:tr w:rsidR="00E646C9" w:rsidTr="0011636D">
        <w:trPr>
          <w:trHeight w:hRule="exact" w:val="679"/>
        </w:trPr>
        <w:tc>
          <w:tcPr>
            <w:tcW w:w="9350" w:type="dxa"/>
            <w:gridSpan w:val="2"/>
            <w:tcBorders>
              <w:top w:val="single" w:sz="8" w:space="0" w:color="448999"/>
              <w:left w:val="single" w:sz="8" w:space="0" w:color="448999"/>
              <w:bottom w:val="nil"/>
              <w:right w:val="single" w:sz="8" w:space="0" w:color="448999"/>
            </w:tcBorders>
            <w:shd w:val="clear" w:color="auto" w:fill="448999"/>
          </w:tcPr>
          <w:p w:rsidR="00E646C9" w:rsidRPr="00C3558F" w:rsidRDefault="00E646C9" w:rsidP="00FB3B18">
            <w:pPr>
              <w:pStyle w:val="TableParagraph"/>
              <w:tabs>
                <w:tab w:val="left" w:pos="5224"/>
              </w:tabs>
              <w:ind w:left="5001" w:right="321" w:hanging="4925"/>
              <w:rPr>
                <w:rFonts w:ascii="Calibri" w:eastAsia="Calibri" w:hAnsi="Calibri" w:cs="Calibri"/>
                <w:sz w:val="18"/>
                <w:szCs w:val="18"/>
              </w:rPr>
            </w:pPr>
            <w:r>
              <w:rPr>
                <w:rFonts w:ascii="Calibri"/>
                <w:b/>
                <w:color w:val="FFFFFF"/>
                <w:spacing w:val="-1"/>
                <w:w w:val="95"/>
                <w:sz w:val="18"/>
              </w:rPr>
              <w:t>Recommendations</w:t>
            </w:r>
            <w:r>
              <w:rPr>
                <w:rFonts w:ascii="Calibri"/>
                <w:b/>
                <w:color w:val="FFFFFF"/>
                <w:spacing w:val="-1"/>
                <w:w w:val="95"/>
                <w:sz w:val="18"/>
              </w:rPr>
              <w:tab/>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pacing w:val="-1"/>
                <w:sz w:val="18"/>
              </w:rPr>
              <w:t>Report</w:t>
            </w:r>
            <w:r>
              <w:rPr>
                <w:rFonts w:ascii="Calibri"/>
                <w:b/>
                <w:color w:val="FFFFFF"/>
                <w:spacing w:val="-4"/>
                <w:sz w:val="18"/>
              </w:rPr>
              <w:t xml:space="preserve"> </w:t>
            </w:r>
            <w:r>
              <w:rPr>
                <w:rFonts w:ascii="Calibri"/>
                <w:b/>
                <w:color w:val="FFFFFF"/>
                <w:spacing w:val="-1"/>
                <w:sz w:val="18"/>
              </w:rPr>
              <w:t>for</w:t>
            </w:r>
            <w:r>
              <w:rPr>
                <w:rFonts w:ascii="Calibri"/>
                <w:b/>
                <w:color w:val="FFFFFF"/>
                <w:spacing w:val="-3"/>
                <w:sz w:val="18"/>
              </w:rPr>
              <w:t xml:space="preserve"> </w:t>
            </w:r>
            <w:r>
              <w:rPr>
                <w:rFonts w:ascii="Calibri"/>
                <w:b/>
                <w:color w:val="FFFFFF"/>
                <w:spacing w:val="-1"/>
                <w:sz w:val="18"/>
              </w:rPr>
              <w:t>Process</w:t>
            </w:r>
            <w:r>
              <w:rPr>
                <w:rFonts w:ascii="Calibri"/>
                <w:b/>
                <w:color w:val="FFFFFF"/>
                <w:spacing w:val="-5"/>
                <w:sz w:val="18"/>
              </w:rPr>
              <w:t xml:space="preserve"> </w:t>
            </w:r>
            <w:r>
              <w:rPr>
                <w:rFonts w:ascii="Calibri"/>
                <w:b/>
                <w:color w:val="FFFFFF"/>
                <w:spacing w:val="-1"/>
                <w:sz w:val="18"/>
              </w:rPr>
              <w:t>Evaluations</w:t>
            </w:r>
            <w:r>
              <w:rPr>
                <w:rFonts w:ascii="Calibri"/>
                <w:b/>
                <w:color w:val="FFFFFF"/>
                <w:spacing w:val="57"/>
                <w:w w:val="99"/>
                <w:sz w:val="18"/>
              </w:rPr>
              <w:t xml:space="preserve"> </w:t>
            </w:r>
            <w:r w:rsidRPr="00C3558F">
              <w:rPr>
                <w:rFonts w:ascii="Calibri"/>
                <w:color w:val="FFFFFF"/>
                <w:spacing w:val="-1"/>
                <w:sz w:val="18"/>
              </w:rPr>
              <w:t>(Implemented,</w:t>
            </w:r>
            <w:r w:rsidRPr="00C3558F">
              <w:rPr>
                <w:rFonts w:ascii="Calibri"/>
                <w:color w:val="FFFFFF"/>
                <w:spacing w:val="-6"/>
                <w:sz w:val="18"/>
              </w:rPr>
              <w:t xml:space="preserve"> </w:t>
            </w:r>
            <w:r w:rsidRPr="00C3558F">
              <w:rPr>
                <w:rFonts w:ascii="Calibri"/>
                <w:color w:val="FFFFFF"/>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6"/>
                <w:sz w:val="18"/>
              </w:rPr>
              <w:t xml:space="preserve"> </w:t>
            </w:r>
            <w:r w:rsidRPr="00C3558F">
              <w:rPr>
                <w:rFonts w:ascii="Calibri"/>
                <w:color w:val="FFFFFF"/>
                <w:sz w:val="18"/>
              </w:rPr>
              <w:t>AND</w:t>
            </w:r>
          </w:p>
          <w:p w:rsidR="00E646C9" w:rsidRDefault="00E646C9" w:rsidP="00C94D5A">
            <w:pPr>
              <w:pStyle w:val="TableParagraph"/>
              <w:spacing w:before="1"/>
              <w:ind w:left="5459"/>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5"/>
                <w:sz w:val="18"/>
              </w:rPr>
              <w:t xml:space="preserve"> </w:t>
            </w:r>
            <w:r w:rsidRPr="00C3558F">
              <w:rPr>
                <w:rFonts w:ascii="Calibri"/>
                <w:color w:val="FFFFFF"/>
                <w:spacing w:val="-1"/>
                <w:sz w:val="18"/>
              </w:rPr>
              <w:t>of</w:t>
            </w:r>
            <w:r w:rsidRPr="00C3558F">
              <w:rPr>
                <w:rFonts w:ascii="Calibri"/>
                <w:color w:val="FFFFFF"/>
                <w:spacing w:val="-5"/>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r w:rsidR="00C3558F">
              <w:rPr>
                <w:rFonts w:ascii="Calibri"/>
                <w:color w:val="FFFFFF"/>
                <w:spacing w:val="-1"/>
                <w:sz w:val="18"/>
              </w:rPr>
              <w:t>)</w:t>
            </w:r>
          </w:p>
        </w:tc>
      </w:tr>
      <w:tr w:rsidR="00E646C9" w:rsidTr="0011636D">
        <w:trPr>
          <w:trHeight w:hRule="exact" w:val="674"/>
        </w:trPr>
        <w:tc>
          <w:tcPr>
            <w:tcW w:w="4681"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131"/>
              <w:rPr>
                <w:rFonts w:ascii="Calibri" w:eastAsia="Calibri" w:hAnsi="Calibri" w:cs="Calibri"/>
                <w:sz w:val="18"/>
                <w:szCs w:val="18"/>
              </w:rPr>
            </w:pPr>
            <w:r>
              <w:rPr>
                <w:rFonts w:ascii="Calibri"/>
                <w:spacing w:val="-1"/>
                <w:sz w:val="18"/>
              </w:rPr>
              <w:t>Require</w:t>
            </w:r>
            <w:r>
              <w:rPr>
                <w:rFonts w:ascii="Calibri"/>
                <w:spacing w:val="-4"/>
                <w:sz w:val="18"/>
              </w:rPr>
              <w:t xml:space="preserve"> </w:t>
            </w:r>
            <w:r>
              <w:rPr>
                <w:rFonts w:ascii="Calibri"/>
                <w:spacing w:val="-1"/>
                <w:sz w:val="18"/>
              </w:rPr>
              <w:t>the AHRI</w:t>
            </w:r>
            <w:r>
              <w:rPr>
                <w:rFonts w:ascii="Calibri"/>
                <w:spacing w:val="-2"/>
                <w:sz w:val="18"/>
              </w:rPr>
              <w:t xml:space="preserve"> </w:t>
            </w:r>
            <w:r>
              <w:rPr>
                <w:rFonts w:ascii="Calibri"/>
                <w:spacing w:val="-1"/>
                <w:sz w:val="18"/>
              </w:rPr>
              <w:t>certificate</w:t>
            </w:r>
            <w:r>
              <w:rPr>
                <w:rFonts w:ascii="Calibri"/>
                <w:spacing w:val="-4"/>
                <w:sz w:val="18"/>
              </w:rPr>
              <w:t xml:space="preserve"> </w:t>
            </w:r>
            <w:r>
              <w:rPr>
                <w:rFonts w:ascii="Calibri"/>
                <w:spacing w:val="-1"/>
                <w:sz w:val="18"/>
              </w:rPr>
              <w:t xml:space="preserve">and </w:t>
            </w:r>
            <w:r>
              <w:rPr>
                <w:rFonts w:ascii="Calibri"/>
                <w:sz w:val="18"/>
              </w:rPr>
              <w:t>the</w:t>
            </w:r>
            <w:r>
              <w:rPr>
                <w:rFonts w:ascii="Calibri"/>
                <w:spacing w:val="-3"/>
                <w:sz w:val="18"/>
              </w:rPr>
              <w:t xml:space="preserve"> </w:t>
            </w:r>
            <w:r>
              <w:rPr>
                <w:rFonts w:ascii="Calibri"/>
                <w:sz w:val="18"/>
              </w:rPr>
              <w:t>two</w:t>
            </w:r>
            <w:r>
              <w:rPr>
                <w:rFonts w:ascii="Calibri"/>
                <w:spacing w:val="-3"/>
                <w:sz w:val="18"/>
              </w:rPr>
              <w:t xml:space="preserve"> </w:t>
            </w:r>
            <w:r>
              <w:rPr>
                <w:rFonts w:ascii="Calibri"/>
                <w:spacing w:val="-1"/>
                <w:sz w:val="18"/>
              </w:rPr>
              <w:t>heating</w:t>
            </w:r>
            <w:r>
              <w:rPr>
                <w:rFonts w:ascii="Calibri"/>
                <w:spacing w:val="-3"/>
                <w:sz w:val="18"/>
              </w:rPr>
              <w:t xml:space="preserve"> </w:t>
            </w:r>
            <w:r>
              <w:rPr>
                <w:rFonts w:ascii="Calibri"/>
                <w:spacing w:val="-1"/>
                <w:sz w:val="18"/>
              </w:rPr>
              <w:t>capacity</w:t>
            </w:r>
            <w:r>
              <w:rPr>
                <w:rFonts w:ascii="Calibri"/>
                <w:spacing w:val="51"/>
                <w:w w:val="99"/>
                <w:sz w:val="18"/>
              </w:rPr>
              <w:t xml:space="preserve"> </w:t>
            </w:r>
            <w:r>
              <w:rPr>
                <w:rFonts w:ascii="Calibri"/>
                <w:spacing w:val="-1"/>
                <w:sz w:val="18"/>
              </w:rPr>
              <w:t>values</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the</w:t>
            </w:r>
            <w:r>
              <w:rPr>
                <w:rFonts w:ascii="Calibri"/>
                <w:sz w:val="18"/>
              </w:rPr>
              <w:t xml:space="preserve"> </w:t>
            </w:r>
            <w:r>
              <w:rPr>
                <w:rFonts w:ascii="Calibri"/>
                <w:spacing w:val="-1"/>
                <w:sz w:val="18"/>
              </w:rPr>
              <w:t>existing</w:t>
            </w:r>
            <w:r>
              <w:rPr>
                <w:rFonts w:ascii="Calibri"/>
                <w:spacing w:val="-3"/>
                <w:sz w:val="18"/>
              </w:rPr>
              <w:t xml:space="preserve"> </w:t>
            </w:r>
            <w:r>
              <w:rPr>
                <w:rFonts w:ascii="Calibri"/>
                <w:spacing w:val="-1"/>
                <w:sz w:val="18"/>
              </w:rPr>
              <w:t>equipment</w:t>
            </w:r>
            <w:r>
              <w:rPr>
                <w:rFonts w:ascii="Calibri"/>
                <w:sz w:val="18"/>
              </w:rPr>
              <w:t xml:space="preserve"> </w:t>
            </w:r>
            <w:r>
              <w:rPr>
                <w:rFonts w:ascii="Calibri"/>
                <w:spacing w:val="-1"/>
                <w:sz w:val="18"/>
              </w:rPr>
              <w:t>and</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new</w:t>
            </w:r>
            <w:r>
              <w:rPr>
                <w:rFonts w:ascii="Calibri"/>
                <w:spacing w:val="-2"/>
                <w:sz w:val="18"/>
              </w:rPr>
              <w:t xml:space="preserve"> </w:t>
            </w:r>
            <w:r>
              <w:rPr>
                <w:rFonts w:ascii="Calibri"/>
                <w:spacing w:val="-1"/>
                <w:sz w:val="18"/>
              </w:rPr>
              <w:t xml:space="preserve">equipment </w:t>
            </w:r>
            <w:r>
              <w:rPr>
                <w:rFonts w:ascii="Calibri"/>
                <w:sz w:val="18"/>
              </w:rPr>
              <w:t>for</w:t>
            </w:r>
            <w:r>
              <w:rPr>
                <w:rFonts w:ascii="Calibri"/>
                <w:spacing w:val="55"/>
                <w:w w:val="99"/>
                <w:sz w:val="18"/>
              </w:rPr>
              <w:t xml:space="preserve"> </w:t>
            </w:r>
            <w:r>
              <w:rPr>
                <w:rFonts w:ascii="Calibri"/>
                <w:spacing w:val="-1"/>
                <w:sz w:val="18"/>
              </w:rPr>
              <w:t>fuel-switching</w:t>
            </w:r>
            <w:r>
              <w:rPr>
                <w:rFonts w:ascii="Calibri"/>
                <w:spacing w:val="-6"/>
                <w:sz w:val="18"/>
              </w:rPr>
              <w:t xml:space="preserve"> </w:t>
            </w:r>
            <w:r>
              <w:rPr>
                <w:rFonts w:ascii="Calibri"/>
                <w:sz w:val="18"/>
              </w:rPr>
              <w:t>rebate</w:t>
            </w:r>
            <w:r>
              <w:rPr>
                <w:rFonts w:ascii="Calibri"/>
                <w:spacing w:val="-6"/>
                <w:sz w:val="18"/>
              </w:rPr>
              <w:t xml:space="preserve"> </w:t>
            </w:r>
            <w:r>
              <w:rPr>
                <w:rFonts w:ascii="Calibri"/>
                <w:spacing w:val="-1"/>
                <w:sz w:val="18"/>
              </w:rPr>
              <w:t>forms.</w:t>
            </w:r>
          </w:p>
        </w:tc>
        <w:tc>
          <w:tcPr>
            <w:tcW w:w="4669"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9" w:lineRule="exact"/>
              <w:ind w:left="102"/>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will</w:t>
            </w:r>
            <w:r>
              <w:rPr>
                <w:rFonts w:ascii="Calibri"/>
                <w:spacing w:val="-4"/>
                <w:sz w:val="18"/>
              </w:rPr>
              <w:t xml:space="preserve"> </w:t>
            </w:r>
            <w:r>
              <w:rPr>
                <w:rFonts w:ascii="Calibri"/>
                <w:spacing w:val="-1"/>
                <w:sz w:val="18"/>
              </w:rPr>
              <w:t>likely</w:t>
            </w:r>
            <w:r>
              <w:rPr>
                <w:rFonts w:ascii="Calibri"/>
                <w:spacing w:val="-3"/>
                <w:sz w:val="18"/>
              </w:rPr>
              <w:t xml:space="preserve"> </w:t>
            </w:r>
            <w:r>
              <w:rPr>
                <w:rFonts w:ascii="Calibri"/>
                <w:sz w:val="18"/>
              </w:rPr>
              <w:t>be</w:t>
            </w:r>
            <w:r>
              <w:rPr>
                <w:rFonts w:ascii="Calibri"/>
                <w:spacing w:val="-3"/>
                <w:sz w:val="18"/>
              </w:rPr>
              <w:t xml:space="preserve"> </w:t>
            </w:r>
            <w:r>
              <w:rPr>
                <w:rFonts w:ascii="Calibri"/>
                <w:spacing w:val="-1"/>
                <w:sz w:val="18"/>
              </w:rPr>
              <w:t>implemented.</w:t>
            </w:r>
          </w:p>
        </w:tc>
      </w:tr>
      <w:tr w:rsidR="00E646C9" w:rsidTr="0011636D">
        <w:trPr>
          <w:trHeight w:hRule="exact" w:val="896"/>
        </w:trPr>
        <w:tc>
          <w:tcPr>
            <w:tcW w:w="4681"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208"/>
              <w:rPr>
                <w:rFonts w:ascii="Calibri" w:eastAsia="Calibri" w:hAnsi="Calibri" w:cs="Calibri"/>
                <w:sz w:val="18"/>
                <w:szCs w:val="18"/>
              </w:rPr>
            </w:pPr>
            <w:r>
              <w:rPr>
                <w:rFonts w:ascii="Calibri" w:eastAsia="Calibri" w:hAnsi="Calibri" w:cs="Calibri"/>
                <w:spacing w:val="-1"/>
                <w:sz w:val="18"/>
                <w:szCs w:val="18"/>
              </w:rPr>
              <w:t>Strengthen</w:t>
            </w:r>
            <w:r>
              <w:rPr>
                <w:rFonts w:ascii="Calibri" w:eastAsia="Calibri" w:hAnsi="Calibri" w:cs="Calibri"/>
                <w:spacing w:val="-5"/>
                <w:sz w:val="18"/>
                <w:szCs w:val="18"/>
              </w:rPr>
              <w:t xml:space="preserve"> </w:t>
            </w:r>
            <w:r>
              <w:rPr>
                <w:rFonts w:ascii="Calibri" w:eastAsia="Calibri" w:hAnsi="Calibri" w:cs="Calibri"/>
                <w:spacing w:val="-1"/>
                <w:sz w:val="18"/>
                <w:szCs w:val="18"/>
              </w:rPr>
              <w:t>cross-program</w:t>
            </w:r>
            <w:r>
              <w:rPr>
                <w:rFonts w:ascii="Calibri" w:eastAsia="Calibri" w:hAnsi="Calibri" w:cs="Calibri"/>
                <w:spacing w:val="-5"/>
                <w:sz w:val="18"/>
                <w:szCs w:val="18"/>
              </w:rPr>
              <w:t xml:space="preserve"> </w:t>
            </w:r>
            <w:r>
              <w:rPr>
                <w:rFonts w:ascii="Calibri" w:eastAsia="Calibri" w:hAnsi="Calibri" w:cs="Calibri"/>
                <w:spacing w:val="-1"/>
                <w:sz w:val="18"/>
                <w:szCs w:val="18"/>
              </w:rPr>
              <w:t>awareness</w:t>
            </w:r>
            <w:r>
              <w:rPr>
                <w:rFonts w:ascii="Calibri" w:eastAsia="Calibri" w:hAnsi="Calibri" w:cs="Calibri"/>
                <w:spacing w:val="-3"/>
                <w:sz w:val="18"/>
                <w:szCs w:val="18"/>
              </w:rPr>
              <w:t xml:space="preserve"> </w:t>
            </w:r>
            <w:r>
              <w:rPr>
                <w:rFonts w:ascii="Calibri" w:eastAsia="Calibri" w:hAnsi="Calibri" w:cs="Calibri"/>
                <w:spacing w:val="-1"/>
                <w:sz w:val="18"/>
                <w:szCs w:val="18"/>
              </w:rPr>
              <w:t>initiatives</w:t>
            </w:r>
            <w:r>
              <w:rPr>
                <w:rFonts w:ascii="Calibri" w:eastAsia="Calibri" w:hAnsi="Calibri" w:cs="Calibri"/>
                <w:spacing w:val="-5"/>
                <w:sz w:val="18"/>
                <w:szCs w:val="18"/>
              </w:rPr>
              <w:t xml:space="preserve"> </w:t>
            </w:r>
            <w:r>
              <w:rPr>
                <w:rFonts w:ascii="Calibri" w:eastAsia="Calibri" w:hAnsi="Calibri" w:cs="Calibri"/>
                <w:sz w:val="18"/>
                <w:szCs w:val="18"/>
              </w:rPr>
              <w:t>in</w:t>
            </w:r>
            <w:r>
              <w:rPr>
                <w:rFonts w:ascii="Calibri" w:eastAsia="Calibri" w:hAnsi="Calibri" w:cs="Calibri"/>
                <w:spacing w:val="-5"/>
                <w:sz w:val="18"/>
                <w:szCs w:val="18"/>
              </w:rPr>
              <w:t xml:space="preserve"> </w:t>
            </w:r>
            <w:r>
              <w:rPr>
                <w:rFonts w:ascii="Calibri" w:eastAsia="Calibri" w:hAnsi="Calibri" w:cs="Calibri"/>
                <w:sz w:val="18"/>
                <w:szCs w:val="18"/>
              </w:rPr>
              <w:t>Phase</w:t>
            </w:r>
            <w:r>
              <w:rPr>
                <w:rFonts w:ascii="Calibri" w:eastAsia="Calibri" w:hAnsi="Calibri" w:cs="Calibri"/>
                <w:spacing w:val="-4"/>
                <w:sz w:val="18"/>
                <w:szCs w:val="18"/>
              </w:rPr>
              <w:t xml:space="preserve"> </w:t>
            </w:r>
            <w:r>
              <w:rPr>
                <w:rFonts w:ascii="Calibri" w:eastAsia="Calibri" w:hAnsi="Calibri" w:cs="Calibri"/>
                <w:sz w:val="18"/>
                <w:szCs w:val="18"/>
              </w:rPr>
              <w:t>III,</w:t>
            </w:r>
            <w:r>
              <w:rPr>
                <w:rFonts w:ascii="Calibri" w:eastAsia="Calibri" w:hAnsi="Calibri" w:cs="Calibri"/>
                <w:spacing w:val="65"/>
                <w:w w:val="99"/>
                <w:sz w:val="18"/>
                <w:szCs w:val="18"/>
              </w:rPr>
              <w:t xml:space="preserve"> </w:t>
            </w:r>
            <w:r>
              <w:rPr>
                <w:rFonts w:ascii="Calibri" w:eastAsia="Calibri" w:hAnsi="Calibri" w:cs="Calibri"/>
                <w:spacing w:val="-1"/>
                <w:sz w:val="18"/>
                <w:szCs w:val="18"/>
              </w:rPr>
              <w:t>such</w:t>
            </w:r>
            <w:r>
              <w:rPr>
                <w:rFonts w:ascii="Calibri" w:eastAsia="Calibri" w:hAnsi="Calibri" w:cs="Calibri"/>
                <w:spacing w:val="-3"/>
                <w:sz w:val="18"/>
                <w:szCs w:val="18"/>
              </w:rPr>
              <w:t xml:space="preserve"> </w:t>
            </w:r>
            <w:r>
              <w:rPr>
                <w:rFonts w:ascii="Calibri" w:eastAsia="Calibri" w:hAnsi="Calibri" w:cs="Calibri"/>
                <w:sz w:val="18"/>
                <w:szCs w:val="18"/>
              </w:rPr>
              <w:t>as</w:t>
            </w:r>
            <w:r>
              <w:rPr>
                <w:rFonts w:ascii="Calibri" w:eastAsia="Calibri" w:hAnsi="Calibri" w:cs="Calibri"/>
                <w:spacing w:val="-2"/>
                <w:sz w:val="18"/>
                <w:szCs w:val="18"/>
              </w:rPr>
              <w:t xml:space="preserve"> </w:t>
            </w:r>
            <w:r>
              <w:rPr>
                <w:rFonts w:ascii="Calibri" w:eastAsia="Calibri" w:hAnsi="Calibri" w:cs="Calibri"/>
                <w:sz w:val="18"/>
                <w:szCs w:val="18"/>
              </w:rPr>
              <w:t>adding</w:t>
            </w:r>
            <w:r>
              <w:rPr>
                <w:rFonts w:ascii="Calibri" w:eastAsia="Calibri" w:hAnsi="Calibri" w:cs="Calibri"/>
                <w:spacing w:val="-3"/>
                <w:sz w:val="18"/>
                <w:szCs w:val="18"/>
              </w:rPr>
              <w:t xml:space="preserve"> </w:t>
            </w:r>
            <w:r>
              <w:rPr>
                <w:rFonts w:ascii="Calibri" w:eastAsia="Calibri" w:hAnsi="Calibri" w:cs="Calibri"/>
                <w:spacing w:val="-1"/>
                <w:sz w:val="18"/>
                <w:szCs w:val="18"/>
              </w:rPr>
              <w:t>banners</w:t>
            </w:r>
            <w:r>
              <w:rPr>
                <w:rFonts w:ascii="Calibri" w:eastAsia="Calibri" w:hAnsi="Calibri" w:cs="Calibri"/>
                <w:spacing w:val="-3"/>
                <w:sz w:val="18"/>
                <w:szCs w:val="18"/>
              </w:rPr>
              <w:t xml:space="preserve"> </w:t>
            </w:r>
            <w:r>
              <w:rPr>
                <w:rFonts w:ascii="Calibri" w:eastAsia="Calibri" w:hAnsi="Calibri" w:cs="Calibri"/>
                <w:sz w:val="18"/>
                <w:szCs w:val="18"/>
              </w:rPr>
              <w:t>to</w:t>
            </w:r>
            <w:r>
              <w:rPr>
                <w:rFonts w:ascii="Calibri" w:eastAsia="Calibri" w:hAnsi="Calibri" w:cs="Calibri"/>
                <w:spacing w:val="-2"/>
                <w:sz w:val="18"/>
                <w:szCs w:val="18"/>
              </w:rPr>
              <w:t xml:space="preserve"> </w:t>
            </w:r>
            <w:r>
              <w:rPr>
                <w:rFonts w:ascii="Calibri" w:eastAsia="Calibri" w:hAnsi="Calibri" w:cs="Calibri"/>
                <w:spacing w:val="-1"/>
                <w:sz w:val="18"/>
                <w:szCs w:val="18"/>
              </w:rPr>
              <w:t>rebate forms,</w:t>
            </w:r>
            <w:r>
              <w:rPr>
                <w:rFonts w:ascii="Calibri" w:eastAsia="Calibri" w:hAnsi="Calibri" w:cs="Calibri"/>
                <w:spacing w:val="-2"/>
                <w:sz w:val="18"/>
                <w:szCs w:val="18"/>
              </w:rPr>
              <w:t xml:space="preserve"> </w:t>
            </w:r>
            <w:r>
              <w:rPr>
                <w:rFonts w:ascii="Calibri" w:eastAsia="Calibri" w:hAnsi="Calibri" w:cs="Calibri"/>
                <w:spacing w:val="-1"/>
                <w:sz w:val="18"/>
                <w:szCs w:val="18"/>
              </w:rPr>
              <w:t>clear infographics</w:t>
            </w:r>
            <w:r>
              <w:rPr>
                <w:rFonts w:ascii="Calibri" w:eastAsia="Calibri" w:hAnsi="Calibri" w:cs="Calibri"/>
                <w:spacing w:val="49"/>
                <w:sz w:val="18"/>
                <w:szCs w:val="18"/>
              </w:rPr>
              <w:t xml:space="preserve"> </w:t>
            </w:r>
            <w:r>
              <w:rPr>
                <w:rFonts w:ascii="Calibri" w:eastAsia="Calibri" w:hAnsi="Calibri" w:cs="Calibri"/>
                <w:sz w:val="18"/>
                <w:szCs w:val="18"/>
              </w:rPr>
              <w:t xml:space="preserve">to </w:t>
            </w:r>
            <w:r>
              <w:rPr>
                <w:rFonts w:ascii="Calibri" w:eastAsia="Calibri" w:hAnsi="Calibri" w:cs="Calibri"/>
                <w:spacing w:val="-1"/>
                <w:sz w:val="18"/>
                <w:szCs w:val="18"/>
              </w:rPr>
              <w:t>program</w:t>
            </w:r>
            <w:r>
              <w:rPr>
                <w:rFonts w:ascii="Calibri" w:eastAsia="Calibri" w:hAnsi="Calibri" w:cs="Calibri"/>
                <w:sz w:val="18"/>
                <w:szCs w:val="18"/>
              </w:rPr>
              <w:t xml:space="preserve"> </w:t>
            </w:r>
            <w:r>
              <w:rPr>
                <w:rFonts w:ascii="Calibri" w:eastAsia="Calibri" w:hAnsi="Calibri" w:cs="Calibri"/>
                <w:spacing w:val="-1"/>
                <w:sz w:val="18"/>
                <w:szCs w:val="18"/>
              </w:rPr>
              <w:t>materials,</w:t>
            </w:r>
            <w:r>
              <w:rPr>
                <w:rFonts w:ascii="Calibri" w:eastAsia="Calibri" w:hAnsi="Calibri" w:cs="Calibri"/>
                <w:sz w:val="18"/>
                <w:szCs w:val="18"/>
              </w:rPr>
              <w:t xml:space="preserve"> and</w:t>
            </w:r>
            <w:r>
              <w:rPr>
                <w:rFonts w:ascii="Calibri" w:eastAsia="Calibri" w:hAnsi="Calibri" w:cs="Calibri"/>
                <w:spacing w:val="-1"/>
                <w:sz w:val="18"/>
                <w:szCs w:val="18"/>
              </w:rPr>
              <w:t xml:space="preserve"> </w:t>
            </w:r>
            <w:r>
              <w:rPr>
                <w:rFonts w:ascii="Calibri" w:eastAsia="Calibri" w:hAnsi="Calibri" w:cs="Calibri"/>
                <w:sz w:val="18"/>
                <w:szCs w:val="18"/>
              </w:rPr>
              <w:t>PPL</w:t>
            </w:r>
            <w:r>
              <w:rPr>
                <w:rFonts w:ascii="Calibri" w:eastAsia="Calibri" w:hAnsi="Calibri" w:cs="Calibri"/>
                <w:spacing w:val="1"/>
                <w:sz w:val="18"/>
                <w:szCs w:val="18"/>
              </w:rPr>
              <w:t xml:space="preserve"> </w:t>
            </w:r>
            <w:r>
              <w:rPr>
                <w:rFonts w:ascii="Calibri" w:eastAsia="Calibri" w:hAnsi="Calibri" w:cs="Calibri"/>
                <w:spacing w:val="-1"/>
                <w:sz w:val="18"/>
                <w:szCs w:val="18"/>
              </w:rPr>
              <w:t>Electric</w:t>
            </w:r>
            <w:r>
              <w:rPr>
                <w:rFonts w:ascii="Calibri" w:eastAsia="Calibri" w:hAnsi="Calibri" w:cs="Calibri"/>
                <w:sz w:val="18"/>
                <w:szCs w:val="18"/>
              </w:rPr>
              <w:t xml:space="preserve"> </w:t>
            </w:r>
            <w:r>
              <w:rPr>
                <w:rFonts w:ascii="Calibri" w:eastAsia="Calibri" w:hAnsi="Calibri" w:cs="Calibri"/>
                <w:spacing w:val="-1"/>
                <w:sz w:val="18"/>
                <w:szCs w:val="18"/>
              </w:rPr>
              <w:t>Utilities’</w:t>
            </w:r>
            <w:r>
              <w:rPr>
                <w:rFonts w:ascii="Calibri" w:eastAsia="Calibri" w:hAnsi="Calibri" w:cs="Calibri"/>
                <w:sz w:val="18"/>
                <w:szCs w:val="18"/>
              </w:rPr>
              <w:t xml:space="preserve"> </w:t>
            </w:r>
            <w:r>
              <w:rPr>
                <w:rFonts w:ascii="Calibri" w:eastAsia="Calibri" w:hAnsi="Calibri" w:cs="Calibri"/>
                <w:spacing w:val="-1"/>
                <w:sz w:val="18"/>
                <w:szCs w:val="18"/>
              </w:rPr>
              <w:t>contact</w:t>
            </w:r>
            <w:r>
              <w:rPr>
                <w:rFonts w:ascii="Calibri" w:eastAsia="Calibri" w:hAnsi="Calibri" w:cs="Calibri"/>
                <w:spacing w:val="47"/>
                <w:sz w:val="18"/>
                <w:szCs w:val="18"/>
              </w:rPr>
              <w:t xml:space="preserve"> </w:t>
            </w:r>
            <w:r>
              <w:rPr>
                <w:rFonts w:ascii="Calibri" w:eastAsia="Calibri" w:hAnsi="Calibri" w:cs="Calibri"/>
                <w:spacing w:val="-1"/>
                <w:sz w:val="18"/>
                <w:szCs w:val="18"/>
              </w:rPr>
              <w:t>information</w:t>
            </w:r>
            <w:r>
              <w:rPr>
                <w:rFonts w:ascii="Calibri" w:eastAsia="Calibri" w:hAnsi="Calibri" w:cs="Calibri"/>
                <w:spacing w:val="-6"/>
                <w:sz w:val="18"/>
                <w:szCs w:val="18"/>
              </w:rPr>
              <w:t xml:space="preserve"> </w:t>
            </w:r>
            <w:r>
              <w:rPr>
                <w:rFonts w:ascii="Calibri" w:eastAsia="Calibri" w:hAnsi="Calibri" w:cs="Calibri"/>
                <w:sz w:val="18"/>
                <w:szCs w:val="18"/>
              </w:rPr>
              <w:t>to</w:t>
            </w:r>
            <w:r>
              <w:rPr>
                <w:rFonts w:ascii="Calibri" w:eastAsia="Calibri" w:hAnsi="Calibri" w:cs="Calibri"/>
                <w:spacing w:val="-4"/>
                <w:sz w:val="18"/>
                <w:szCs w:val="18"/>
              </w:rPr>
              <w:t xml:space="preserve"> </w:t>
            </w:r>
            <w:r>
              <w:rPr>
                <w:rFonts w:ascii="Calibri" w:eastAsia="Calibri" w:hAnsi="Calibri" w:cs="Calibri"/>
                <w:spacing w:val="-1"/>
                <w:sz w:val="18"/>
                <w:szCs w:val="18"/>
              </w:rPr>
              <w:t>program</w:t>
            </w:r>
            <w:r>
              <w:rPr>
                <w:rFonts w:ascii="Calibri" w:eastAsia="Calibri" w:hAnsi="Calibri" w:cs="Calibri"/>
                <w:spacing w:val="-6"/>
                <w:sz w:val="18"/>
                <w:szCs w:val="18"/>
              </w:rPr>
              <w:t xml:space="preserve"> </w:t>
            </w:r>
            <w:r>
              <w:rPr>
                <w:rFonts w:ascii="Calibri" w:eastAsia="Calibri" w:hAnsi="Calibri" w:cs="Calibri"/>
                <w:spacing w:val="-1"/>
                <w:sz w:val="18"/>
                <w:szCs w:val="18"/>
              </w:rPr>
              <w:t>materials.</w:t>
            </w:r>
          </w:p>
        </w:tc>
        <w:tc>
          <w:tcPr>
            <w:tcW w:w="4669"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102"/>
              <w:rPr>
                <w:rFonts w:ascii="Calibri" w:eastAsia="Calibri" w:hAnsi="Calibri" w:cs="Calibri"/>
                <w:sz w:val="18"/>
                <w:szCs w:val="18"/>
              </w:rPr>
            </w:pPr>
            <w:r>
              <w:rPr>
                <w:rFonts w:ascii="Calibri"/>
                <w:spacing w:val="-1"/>
                <w:sz w:val="18"/>
              </w:rPr>
              <w:t>Implemented.</w:t>
            </w:r>
          </w:p>
        </w:tc>
      </w:tr>
      <w:tr w:rsidR="00E646C9" w:rsidTr="0011636D">
        <w:trPr>
          <w:trHeight w:hRule="exact" w:val="454"/>
        </w:trPr>
        <w:tc>
          <w:tcPr>
            <w:tcW w:w="4681"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175"/>
              <w:rPr>
                <w:rFonts w:ascii="Calibri" w:eastAsia="Calibri" w:hAnsi="Calibri" w:cs="Calibri"/>
                <w:sz w:val="18"/>
                <w:szCs w:val="18"/>
              </w:rPr>
            </w:pPr>
            <w:r>
              <w:rPr>
                <w:rFonts w:ascii="Calibri"/>
                <w:spacing w:val="-1"/>
                <w:sz w:val="18"/>
              </w:rPr>
              <w:t>Add</w:t>
            </w:r>
            <w:r>
              <w:rPr>
                <w:rFonts w:ascii="Calibri"/>
                <w:spacing w:val="-3"/>
                <w:sz w:val="18"/>
              </w:rPr>
              <w:t xml:space="preserve"> </w:t>
            </w:r>
            <w:r>
              <w:rPr>
                <w:rFonts w:ascii="Calibri"/>
                <w:spacing w:val="-1"/>
                <w:sz w:val="18"/>
              </w:rPr>
              <w:t>instructions</w:t>
            </w:r>
            <w:r>
              <w:rPr>
                <w:rFonts w:ascii="Calibri"/>
                <w:spacing w:val="-2"/>
                <w:sz w:val="18"/>
              </w:rPr>
              <w:t xml:space="preserve"> </w:t>
            </w:r>
            <w:r>
              <w:rPr>
                <w:rFonts w:ascii="Calibri"/>
                <w:sz w:val="18"/>
              </w:rPr>
              <w:t>and</w:t>
            </w:r>
            <w:r>
              <w:rPr>
                <w:rFonts w:ascii="Calibri"/>
                <w:spacing w:val="-3"/>
                <w:sz w:val="18"/>
              </w:rPr>
              <w:t xml:space="preserve"> </w:t>
            </w:r>
            <w:r>
              <w:rPr>
                <w:rFonts w:ascii="Calibri"/>
                <w:spacing w:val="-1"/>
                <w:sz w:val="18"/>
              </w:rPr>
              <w:t>helpful</w:t>
            </w:r>
            <w:r>
              <w:rPr>
                <w:rFonts w:ascii="Calibri"/>
                <w:spacing w:val="-2"/>
                <w:sz w:val="18"/>
              </w:rPr>
              <w:t xml:space="preserve"> </w:t>
            </w:r>
            <w:r>
              <w:rPr>
                <w:rFonts w:ascii="Calibri"/>
                <w:spacing w:val="-1"/>
                <w:sz w:val="18"/>
              </w:rPr>
              <w:t>information</w:t>
            </w:r>
            <w:r>
              <w:rPr>
                <w:rFonts w:ascii="Calibri"/>
                <w:spacing w:val="-3"/>
                <w:sz w:val="18"/>
              </w:rPr>
              <w:t xml:space="preserve"> </w:t>
            </w:r>
            <w:r>
              <w:rPr>
                <w:rFonts w:ascii="Calibri"/>
                <w:sz w:val="18"/>
              </w:rPr>
              <w:t>on</w:t>
            </w:r>
            <w:r>
              <w:rPr>
                <w:rFonts w:ascii="Calibri"/>
                <w:spacing w:val="-2"/>
                <w:sz w:val="18"/>
              </w:rPr>
              <w:t xml:space="preserve"> </w:t>
            </w:r>
            <w:r>
              <w:rPr>
                <w:rFonts w:ascii="Calibri"/>
                <w:spacing w:val="-1"/>
                <w:sz w:val="18"/>
              </w:rPr>
              <w:t>rebate</w:t>
            </w:r>
            <w:r>
              <w:rPr>
                <w:rFonts w:ascii="Calibri"/>
                <w:spacing w:val="-2"/>
                <w:sz w:val="18"/>
              </w:rPr>
              <w:t xml:space="preserve"> </w:t>
            </w:r>
            <w:r>
              <w:rPr>
                <w:rFonts w:ascii="Calibri"/>
                <w:sz w:val="18"/>
              </w:rPr>
              <w:t>forms</w:t>
            </w:r>
            <w:r>
              <w:rPr>
                <w:rFonts w:ascii="Calibri"/>
                <w:spacing w:val="-4"/>
                <w:sz w:val="18"/>
              </w:rPr>
              <w:t xml:space="preserve"> </w:t>
            </w:r>
            <w:r>
              <w:rPr>
                <w:rFonts w:ascii="Calibri"/>
                <w:sz w:val="18"/>
              </w:rPr>
              <w:t>to</w:t>
            </w:r>
            <w:r>
              <w:rPr>
                <w:rFonts w:ascii="Calibri"/>
                <w:spacing w:val="61"/>
                <w:sz w:val="18"/>
              </w:rPr>
              <w:t xml:space="preserve"> </w:t>
            </w:r>
            <w:r>
              <w:rPr>
                <w:rFonts w:ascii="Calibri"/>
                <w:spacing w:val="-1"/>
                <w:sz w:val="18"/>
              </w:rPr>
              <w:t>assist</w:t>
            </w:r>
            <w:r>
              <w:rPr>
                <w:rFonts w:ascii="Calibri"/>
                <w:sz w:val="18"/>
              </w:rPr>
              <w:t xml:space="preserve"> </w:t>
            </w:r>
            <w:r>
              <w:rPr>
                <w:rFonts w:ascii="Calibri"/>
                <w:spacing w:val="-1"/>
                <w:sz w:val="18"/>
              </w:rPr>
              <w:t>participants</w:t>
            </w:r>
            <w:r>
              <w:rPr>
                <w:rFonts w:ascii="Calibri"/>
                <w:spacing w:val="-3"/>
                <w:sz w:val="18"/>
              </w:rPr>
              <w:t xml:space="preserve"> </w:t>
            </w:r>
            <w:r>
              <w:rPr>
                <w:rFonts w:ascii="Calibri"/>
                <w:sz w:val="18"/>
              </w:rPr>
              <w:t>in</w:t>
            </w:r>
            <w:r>
              <w:rPr>
                <w:rFonts w:ascii="Calibri"/>
                <w:spacing w:val="-3"/>
                <w:sz w:val="18"/>
              </w:rPr>
              <w:t xml:space="preserve"> </w:t>
            </w:r>
            <w:r>
              <w:rPr>
                <w:rFonts w:ascii="Calibri"/>
                <w:spacing w:val="-1"/>
                <w:sz w:val="18"/>
              </w:rPr>
              <w:t>filling</w:t>
            </w:r>
            <w:r>
              <w:rPr>
                <w:rFonts w:ascii="Calibri"/>
                <w:spacing w:val="-2"/>
                <w:sz w:val="18"/>
              </w:rPr>
              <w:t xml:space="preserve"> </w:t>
            </w:r>
            <w:r>
              <w:rPr>
                <w:rFonts w:ascii="Calibri"/>
                <w:sz w:val="18"/>
              </w:rPr>
              <w:t xml:space="preserve">them </w:t>
            </w:r>
            <w:r>
              <w:rPr>
                <w:rFonts w:ascii="Calibri"/>
                <w:spacing w:val="-1"/>
                <w:sz w:val="18"/>
              </w:rPr>
              <w:t>out.</w:t>
            </w:r>
          </w:p>
        </w:tc>
        <w:tc>
          <w:tcPr>
            <w:tcW w:w="4669"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will be</w:t>
            </w:r>
            <w:r>
              <w:rPr>
                <w:rFonts w:ascii="Calibri"/>
                <w:spacing w:val="-4"/>
                <w:sz w:val="18"/>
              </w:rPr>
              <w:t xml:space="preserve"> </w:t>
            </w:r>
            <w:r>
              <w:rPr>
                <w:rFonts w:ascii="Calibri"/>
                <w:spacing w:val="-1"/>
                <w:sz w:val="18"/>
              </w:rPr>
              <w:t>continually</w:t>
            </w:r>
            <w:r>
              <w:rPr>
                <w:rFonts w:ascii="Calibri"/>
                <w:spacing w:val="-2"/>
                <w:sz w:val="18"/>
              </w:rPr>
              <w:t xml:space="preserve"> </w:t>
            </w:r>
            <w:r>
              <w:rPr>
                <w:rFonts w:ascii="Calibri"/>
                <w:spacing w:val="-1"/>
                <w:sz w:val="18"/>
              </w:rPr>
              <w:t>improved</w:t>
            </w:r>
            <w:r>
              <w:rPr>
                <w:rFonts w:ascii="Calibri"/>
                <w:spacing w:val="-3"/>
                <w:sz w:val="18"/>
              </w:rPr>
              <w:t xml:space="preserve"> </w:t>
            </w:r>
            <w:r>
              <w:rPr>
                <w:rFonts w:ascii="Calibri"/>
                <w:spacing w:val="-1"/>
                <w:sz w:val="18"/>
              </w:rPr>
              <w:t>further.</w:t>
            </w:r>
          </w:p>
        </w:tc>
      </w:tr>
      <w:tr w:rsidR="00E646C9" w:rsidTr="0011636D">
        <w:trPr>
          <w:trHeight w:hRule="exact" w:val="674"/>
        </w:trPr>
        <w:tc>
          <w:tcPr>
            <w:tcW w:w="4681"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238"/>
              <w:rPr>
                <w:rFonts w:ascii="Calibri" w:eastAsia="Calibri" w:hAnsi="Calibri" w:cs="Calibri"/>
                <w:sz w:val="18"/>
                <w:szCs w:val="18"/>
              </w:rPr>
            </w:pPr>
            <w:r>
              <w:rPr>
                <w:rFonts w:ascii="Calibri"/>
                <w:spacing w:val="-1"/>
                <w:sz w:val="18"/>
              </w:rPr>
              <w:t>Explore</w:t>
            </w:r>
            <w:r>
              <w:rPr>
                <w:rFonts w:ascii="Calibri"/>
                <w:spacing w:val="-4"/>
                <w:sz w:val="18"/>
              </w:rPr>
              <w:t xml:space="preserve"> </w:t>
            </w:r>
            <w:r>
              <w:rPr>
                <w:rFonts w:ascii="Calibri"/>
                <w:spacing w:val="-1"/>
                <w:sz w:val="18"/>
              </w:rPr>
              <w:t>opportunities</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involve manufactured</w:t>
            </w:r>
            <w:r>
              <w:rPr>
                <w:rFonts w:ascii="Calibri"/>
                <w:spacing w:val="-3"/>
                <w:sz w:val="18"/>
              </w:rPr>
              <w:t xml:space="preserve"> </w:t>
            </w:r>
            <w:r>
              <w:rPr>
                <w:rFonts w:ascii="Calibri"/>
                <w:spacing w:val="-1"/>
                <w:sz w:val="18"/>
              </w:rPr>
              <w:t>homes</w:t>
            </w:r>
            <w:r>
              <w:rPr>
                <w:rFonts w:ascii="Calibri"/>
                <w:spacing w:val="55"/>
                <w:sz w:val="18"/>
              </w:rPr>
              <w:t xml:space="preserve"> </w:t>
            </w:r>
            <w:r>
              <w:rPr>
                <w:rFonts w:ascii="Calibri"/>
                <w:spacing w:val="-1"/>
                <w:sz w:val="18"/>
              </w:rPr>
              <w:t>dealers</w:t>
            </w:r>
            <w:r>
              <w:rPr>
                <w:rFonts w:ascii="Calibri"/>
                <w:spacing w:val="-4"/>
                <w:sz w:val="18"/>
              </w:rPr>
              <w:t xml:space="preserve"> </w:t>
            </w:r>
            <w:r>
              <w:rPr>
                <w:rFonts w:ascii="Calibri"/>
                <w:sz w:val="18"/>
              </w:rPr>
              <w:t>in</w:t>
            </w:r>
            <w:r>
              <w:rPr>
                <w:rFonts w:ascii="Calibri"/>
                <w:spacing w:val="-4"/>
                <w:sz w:val="18"/>
              </w:rPr>
              <w:t xml:space="preserve"> </w:t>
            </w:r>
            <w:r>
              <w:rPr>
                <w:rFonts w:ascii="Calibri"/>
                <w:sz w:val="18"/>
              </w:rPr>
              <w:t>the</w:t>
            </w:r>
            <w:r>
              <w:rPr>
                <w:rFonts w:ascii="Calibri"/>
                <w:spacing w:val="-3"/>
                <w:sz w:val="18"/>
              </w:rPr>
              <w:t xml:space="preserve"> </w:t>
            </w:r>
            <w:r>
              <w:rPr>
                <w:rFonts w:ascii="Calibri"/>
                <w:sz w:val="18"/>
              </w:rPr>
              <w:t>program,</w:t>
            </w:r>
            <w:r>
              <w:rPr>
                <w:rFonts w:ascii="Calibri"/>
                <w:spacing w:val="-2"/>
                <w:sz w:val="18"/>
              </w:rPr>
              <w:t xml:space="preserve"> </w:t>
            </w:r>
            <w:r>
              <w:rPr>
                <w:rFonts w:ascii="Calibri"/>
                <w:spacing w:val="-1"/>
                <w:sz w:val="18"/>
              </w:rPr>
              <w:t>such</w:t>
            </w:r>
            <w:r>
              <w:rPr>
                <w:rFonts w:ascii="Calibri"/>
                <w:spacing w:val="-3"/>
                <w:sz w:val="18"/>
              </w:rPr>
              <w:t xml:space="preserve"> </w:t>
            </w:r>
            <w:r>
              <w:rPr>
                <w:rFonts w:ascii="Calibri"/>
                <w:sz w:val="18"/>
              </w:rPr>
              <w:t>as</w:t>
            </w:r>
            <w:r>
              <w:rPr>
                <w:rFonts w:ascii="Calibri"/>
                <w:spacing w:val="-2"/>
                <w:sz w:val="18"/>
              </w:rPr>
              <w:t xml:space="preserve"> </w:t>
            </w:r>
            <w:r>
              <w:rPr>
                <w:rFonts w:ascii="Calibri"/>
                <w:spacing w:val="-1"/>
                <w:sz w:val="18"/>
              </w:rPr>
              <w:t>offering</w:t>
            </w:r>
            <w:r>
              <w:rPr>
                <w:rFonts w:ascii="Calibri"/>
                <w:spacing w:val="-3"/>
                <w:sz w:val="18"/>
              </w:rPr>
              <w:t xml:space="preserve"> </w:t>
            </w:r>
            <w:r>
              <w:rPr>
                <w:rFonts w:ascii="Calibri"/>
                <w:sz w:val="18"/>
              </w:rPr>
              <w:t>incentives</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each</w:t>
            </w:r>
            <w:r>
              <w:rPr>
                <w:rFonts w:ascii="Calibri"/>
                <w:spacing w:val="35"/>
                <w:sz w:val="18"/>
              </w:rPr>
              <w:t xml:space="preserve"> </w:t>
            </w:r>
            <w:r>
              <w:rPr>
                <w:rFonts w:ascii="Calibri"/>
                <w:spacing w:val="-1"/>
                <w:sz w:val="18"/>
              </w:rPr>
              <w:t>qualifying</w:t>
            </w:r>
            <w:r>
              <w:rPr>
                <w:rFonts w:ascii="Calibri"/>
                <w:spacing w:val="-3"/>
                <w:sz w:val="18"/>
              </w:rPr>
              <w:t xml:space="preserve"> </w:t>
            </w:r>
            <w:r>
              <w:rPr>
                <w:rFonts w:ascii="Calibri"/>
                <w:spacing w:val="-1"/>
                <w:sz w:val="18"/>
              </w:rPr>
              <w:t>manufactured home</w:t>
            </w:r>
            <w:r>
              <w:rPr>
                <w:rFonts w:ascii="Calibri"/>
                <w:spacing w:val="-2"/>
                <w:sz w:val="18"/>
              </w:rPr>
              <w:t xml:space="preserve"> </w:t>
            </w:r>
            <w:r>
              <w:rPr>
                <w:rFonts w:ascii="Calibri"/>
                <w:spacing w:val="-1"/>
                <w:sz w:val="18"/>
              </w:rPr>
              <w:t>sold.</w:t>
            </w:r>
          </w:p>
        </w:tc>
        <w:tc>
          <w:tcPr>
            <w:tcW w:w="4669"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11636D">
        <w:trPr>
          <w:trHeight w:hRule="exact" w:val="674"/>
        </w:trPr>
        <w:tc>
          <w:tcPr>
            <w:tcW w:w="4681"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206"/>
              <w:rPr>
                <w:rFonts w:ascii="Calibri" w:eastAsia="Calibri" w:hAnsi="Calibri" w:cs="Calibri"/>
                <w:sz w:val="18"/>
                <w:szCs w:val="18"/>
              </w:rPr>
            </w:pPr>
            <w:r>
              <w:rPr>
                <w:rFonts w:ascii="Calibri"/>
                <w:spacing w:val="-1"/>
                <w:sz w:val="18"/>
              </w:rPr>
              <w:t>Consider</w:t>
            </w:r>
            <w:r>
              <w:rPr>
                <w:rFonts w:ascii="Calibri"/>
                <w:spacing w:val="-2"/>
                <w:sz w:val="18"/>
              </w:rPr>
              <w:t xml:space="preserve"> </w:t>
            </w:r>
            <w:r>
              <w:rPr>
                <w:rFonts w:ascii="Calibri"/>
                <w:sz w:val="18"/>
              </w:rPr>
              <w:t>further</w:t>
            </w:r>
            <w:r>
              <w:rPr>
                <w:rFonts w:ascii="Calibri"/>
                <w:spacing w:val="-2"/>
                <w:sz w:val="18"/>
              </w:rPr>
              <w:t xml:space="preserve"> </w:t>
            </w:r>
            <w:r>
              <w:rPr>
                <w:rFonts w:ascii="Calibri"/>
                <w:spacing w:val="-1"/>
                <w:sz w:val="18"/>
              </w:rPr>
              <w:t>study</w:t>
            </w:r>
            <w:r>
              <w:rPr>
                <w:rFonts w:ascii="Calibri"/>
                <w:spacing w:val="-2"/>
                <w:sz w:val="18"/>
              </w:rPr>
              <w:t xml:space="preserve"> </w:t>
            </w:r>
            <w:r>
              <w:rPr>
                <w:rFonts w:ascii="Calibri"/>
                <w:sz w:val="18"/>
              </w:rPr>
              <w:t>of</w:t>
            </w:r>
            <w:r>
              <w:rPr>
                <w:rFonts w:ascii="Calibri"/>
                <w:spacing w:val="-3"/>
                <w:sz w:val="18"/>
              </w:rPr>
              <w:t xml:space="preserve"> </w:t>
            </w:r>
            <w:r>
              <w:rPr>
                <w:rFonts w:ascii="Calibri"/>
                <w:spacing w:val="-1"/>
                <w:sz w:val="18"/>
              </w:rPr>
              <w:t>other</w:t>
            </w:r>
            <w:r>
              <w:rPr>
                <w:rFonts w:ascii="Calibri"/>
                <w:sz w:val="18"/>
              </w:rPr>
              <w:t xml:space="preserve"> </w:t>
            </w:r>
            <w:r>
              <w:rPr>
                <w:rFonts w:ascii="Calibri"/>
                <w:spacing w:val="-1"/>
                <w:sz w:val="18"/>
              </w:rPr>
              <w:t>manufactured</w:t>
            </w:r>
            <w:r>
              <w:rPr>
                <w:rFonts w:ascii="Calibri"/>
                <w:spacing w:val="-3"/>
                <w:sz w:val="18"/>
              </w:rPr>
              <w:t xml:space="preserve"> </w:t>
            </w:r>
            <w:r>
              <w:rPr>
                <w:rFonts w:ascii="Calibri"/>
                <w:spacing w:val="-1"/>
                <w:sz w:val="18"/>
              </w:rPr>
              <w:t>homes</w:t>
            </w:r>
            <w:r>
              <w:rPr>
                <w:rFonts w:ascii="Calibri"/>
                <w:spacing w:val="39"/>
                <w:sz w:val="18"/>
              </w:rPr>
              <w:t xml:space="preserve"> </w:t>
            </w:r>
            <w:r>
              <w:rPr>
                <w:rFonts w:ascii="Calibri"/>
                <w:spacing w:val="-1"/>
                <w:sz w:val="18"/>
              </w:rPr>
              <w:t>programs</w:t>
            </w:r>
            <w:r>
              <w:rPr>
                <w:rFonts w:ascii="Calibri"/>
                <w:spacing w:val="-6"/>
                <w:sz w:val="18"/>
              </w:rPr>
              <w:t xml:space="preserve"> </w:t>
            </w:r>
            <w:r>
              <w:rPr>
                <w:rFonts w:ascii="Calibri"/>
                <w:sz w:val="18"/>
              </w:rPr>
              <w:t>to</w:t>
            </w:r>
            <w:r>
              <w:rPr>
                <w:rFonts w:ascii="Calibri"/>
                <w:spacing w:val="-3"/>
                <w:sz w:val="18"/>
              </w:rPr>
              <w:t xml:space="preserve"> </w:t>
            </w:r>
            <w:r>
              <w:rPr>
                <w:rFonts w:ascii="Calibri"/>
                <w:spacing w:val="-1"/>
                <w:sz w:val="18"/>
              </w:rPr>
              <w:t>determine</w:t>
            </w:r>
            <w:r>
              <w:rPr>
                <w:rFonts w:ascii="Calibri"/>
                <w:spacing w:val="-4"/>
                <w:sz w:val="18"/>
              </w:rPr>
              <w:t xml:space="preserve"> </w:t>
            </w:r>
            <w:r>
              <w:rPr>
                <w:rFonts w:ascii="Calibri"/>
                <w:sz w:val="18"/>
              </w:rPr>
              <w:t>if</w:t>
            </w:r>
            <w:r>
              <w:rPr>
                <w:rFonts w:ascii="Calibri"/>
                <w:spacing w:val="-4"/>
                <w:sz w:val="18"/>
              </w:rPr>
              <w:t xml:space="preserve"> </w:t>
            </w:r>
            <w:r>
              <w:rPr>
                <w:rFonts w:ascii="Calibri"/>
                <w:spacing w:val="-1"/>
                <w:sz w:val="18"/>
              </w:rPr>
              <w:t>other</w:t>
            </w:r>
            <w:r>
              <w:rPr>
                <w:rFonts w:ascii="Calibri"/>
                <w:spacing w:val="-4"/>
                <w:sz w:val="18"/>
              </w:rPr>
              <w:t xml:space="preserve"> </w:t>
            </w:r>
            <w:r>
              <w:rPr>
                <w:rFonts w:ascii="Calibri"/>
                <w:sz w:val="18"/>
              </w:rPr>
              <w:t>program</w:t>
            </w:r>
            <w:r>
              <w:rPr>
                <w:rFonts w:ascii="Calibri"/>
                <w:spacing w:val="-4"/>
                <w:sz w:val="18"/>
              </w:rPr>
              <w:t xml:space="preserve"> </w:t>
            </w:r>
            <w:r>
              <w:rPr>
                <w:rFonts w:ascii="Calibri"/>
                <w:spacing w:val="-1"/>
                <w:sz w:val="18"/>
              </w:rPr>
              <w:t>delivery</w:t>
            </w:r>
            <w:r>
              <w:rPr>
                <w:rFonts w:ascii="Calibri"/>
                <w:spacing w:val="-3"/>
                <w:sz w:val="18"/>
              </w:rPr>
              <w:t xml:space="preserve"> </w:t>
            </w:r>
            <w:r>
              <w:rPr>
                <w:rFonts w:ascii="Calibri"/>
                <w:sz w:val="18"/>
              </w:rPr>
              <w:t>and</w:t>
            </w:r>
            <w:r>
              <w:rPr>
                <w:rFonts w:ascii="Calibri"/>
                <w:spacing w:val="41"/>
                <w:sz w:val="18"/>
              </w:rPr>
              <w:t xml:space="preserve"> </w:t>
            </w:r>
            <w:r>
              <w:rPr>
                <w:rFonts w:ascii="Calibri"/>
                <w:spacing w:val="-1"/>
                <w:sz w:val="18"/>
              </w:rPr>
              <w:t>incentive</w:t>
            </w:r>
            <w:r>
              <w:rPr>
                <w:rFonts w:ascii="Calibri"/>
                <w:spacing w:val="-4"/>
                <w:sz w:val="18"/>
              </w:rPr>
              <w:t xml:space="preserve"> </w:t>
            </w:r>
            <w:r>
              <w:rPr>
                <w:rFonts w:ascii="Calibri"/>
                <w:spacing w:val="-1"/>
                <w:sz w:val="18"/>
              </w:rPr>
              <w:t>structures</w:t>
            </w:r>
            <w:r>
              <w:rPr>
                <w:rFonts w:ascii="Calibri"/>
                <w:spacing w:val="-4"/>
                <w:sz w:val="18"/>
              </w:rPr>
              <w:t xml:space="preserve"> </w:t>
            </w:r>
            <w:r>
              <w:rPr>
                <w:rFonts w:ascii="Calibri"/>
                <w:sz w:val="18"/>
              </w:rPr>
              <w:t>are</w:t>
            </w:r>
            <w:r>
              <w:rPr>
                <w:rFonts w:ascii="Calibri"/>
                <w:spacing w:val="-4"/>
                <w:sz w:val="18"/>
              </w:rPr>
              <w:t xml:space="preserve"> </w:t>
            </w:r>
            <w:r>
              <w:rPr>
                <w:rFonts w:ascii="Calibri"/>
                <w:spacing w:val="-1"/>
                <w:sz w:val="18"/>
              </w:rPr>
              <w:t>successful</w:t>
            </w:r>
            <w:r>
              <w:rPr>
                <w:rFonts w:ascii="Calibri"/>
                <w:spacing w:val="-4"/>
                <w:sz w:val="18"/>
              </w:rPr>
              <w:t xml:space="preserve"> </w:t>
            </w:r>
            <w:r>
              <w:rPr>
                <w:rFonts w:ascii="Calibri"/>
                <w:sz w:val="18"/>
              </w:rPr>
              <w:t>in</w:t>
            </w:r>
            <w:r>
              <w:rPr>
                <w:rFonts w:ascii="Calibri"/>
                <w:spacing w:val="-5"/>
                <w:sz w:val="18"/>
              </w:rPr>
              <w:t xml:space="preserve"> </w:t>
            </w:r>
            <w:r>
              <w:rPr>
                <w:rFonts w:ascii="Calibri"/>
                <w:sz w:val="18"/>
              </w:rPr>
              <w:t>realizing</w:t>
            </w:r>
            <w:r>
              <w:rPr>
                <w:rFonts w:ascii="Calibri"/>
                <w:spacing w:val="-3"/>
                <w:sz w:val="18"/>
              </w:rPr>
              <w:t xml:space="preserve"> </w:t>
            </w:r>
            <w:r>
              <w:rPr>
                <w:rFonts w:ascii="Calibri"/>
                <w:spacing w:val="-1"/>
                <w:sz w:val="18"/>
              </w:rPr>
              <w:t>participation.</w:t>
            </w:r>
          </w:p>
        </w:tc>
        <w:tc>
          <w:tcPr>
            <w:tcW w:w="4669"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11636D">
        <w:trPr>
          <w:trHeight w:hRule="exact" w:val="458"/>
        </w:trPr>
        <w:tc>
          <w:tcPr>
            <w:tcW w:w="4681" w:type="dxa"/>
            <w:tcBorders>
              <w:top w:val="single" w:sz="7" w:space="0" w:color="448999"/>
              <w:left w:val="single" w:sz="8" w:space="0" w:color="448999"/>
              <w:bottom w:val="single" w:sz="8" w:space="0" w:color="448999"/>
              <w:right w:val="single" w:sz="7" w:space="0" w:color="448999"/>
            </w:tcBorders>
          </w:tcPr>
          <w:p w:rsidR="00E646C9" w:rsidRDefault="00E646C9" w:rsidP="00C94D5A">
            <w:pPr>
              <w:pStyle w:val="TableParagraph"/>
              <w:ind w:left="97" w:right="419"/>
              <w:rPr>
                <w:rFonts w:ascii="Calibri" w:eastAsia="Calibri" w:hAnsi="Calibri" w:cs="Calibri"/>
                <w:sz w:val="18"/>
                <w:szCs w:val="18"/>
              </w:rPr>
            </w:pPr>
            <w:r>
              <w:rPr>
                <w:rFonts w:ascii="Calibri"/>
                <w:spacing w:val="-1"/>
                <w:sz w:val="18"/>
              </w:rPr>
              <w:t>Consider</w:t>
            </w:r>
            <w:r>
              <w:rPr>
                <w:rFonts w:ascii="Calibri"/>
                <w:spacing w:val="-2"/>
                <w:sz w:val="18"/>
              </w:rPr>
              <w:t xml:space="preserve"> </w:t>
            </w:r>
            <w:r>
              <w:rPr>
                <w:rFonts w:ascii="Calibri"/>
                <w:sz w:val="18"/>
              </w:rPr>
              <w:t>further</w:t>
            </w:r>
            <w:r>
              <w:rPr>
                <w:rFonts w:ascii="Calibri"/>
                <w:spacing w:val="-2"/>
                <w:sz w:val="18"/>
              </w:rPr>
              <w:t xml:space="preserve"> </w:t>
            </w:r>
            <w:r>
              <w:rPr>
                <w:rFonts w:ascii="Calibri"/>
                <w:spacing w:val="-1"/>
                <w:sz w:val="18"/>
              </w:rPr>
              <w:t>study</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assess</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potential</w:t>
            </w:r>
            <w:r>
              <w:rPr>
                <w:rFonts w:ascii="Calibri"/>
                <w:spacing w:val="-2"/>
                <w:sz w:val="18"/>
              </w:rPr>
              <w:t xml:space="preserve"> </w:t>
            </w:r>
            <w:r>
              <w:rPr>
                <w:rFonts w:ascii="Calibri"/>
                <w:spacing w:val="-1"/>
                <w:sz w:val="18"/>
              </w:rPr>
              <w:t>market</w:t>
            </w:r>
            <w:r>
              <w:rPr>
                <w:rFonts w:ascii="Calibri"/>
                <w:spacing w:val="-2"/>
                <w:sz w:val="18"/>
              </w:rPr>
              <w:t xml:space="preserve"> </w:t>
            </w:r>
            <w:r>
              <w:rPr>
                <w:rFonts w:ascii="Calibri"/>
                <w:sz w:val="18"/>
              </w:rPr>
              <w:t>for</w:t>
            </w:r>
            <w:r>
              <w:rPr>
                <w:rFonts w:ascii="Calibri"/>
                <w:spacing w:val="45"/>
                <w:w w:val="99"/>
                <w:sz w:val="18"/>
              </w:rPr>
              <w:t xml:space="preserve"> </w:t>
            </w:r>
            <w:r>
              <w:rPr>
                <w:rFonts w:ascii="Calibri"/>
                <w:spacing w:val="-1"/>
                <w:sz w:val="18"/>
              </w:rPr>
              <w:t>electrically</w:t>
            </w:r>
            <w:r>
              <w:rPr>
                <w:rFonts w:ascii="Calibri"/>
                <w:spacing w:val="-5"/>
                <w:sz w:val="18"/>
              </w:rPr>
              <w:t xml:space="preserve"> </w:t>
            </w:r>
            <w:r>
              <w:rPr>
                <w:rFonts w:ascii="Calibri"/>
                <w:sz w:val="18"/>
              </w:rPr>
              <w:t>heated</w:t>
            </w:r>
            <w:r>
              <w:rPr>
                <w:rFonts w:ascii="Calibri"/>
                <w:spacing w:val="-5"/>
                <w:sz w:val="18"/>
              </w:rPr>
              <w:t xml:space="preserve"> </w:t>
            </w:r>
            <w:r>
              <w:rPr>
                <w:rFonts w:ascii="Calibri"/>
                <w:spacing w:val="-1"/>
                <w:sz w:val="18"/>
              </w:rPr>
              <w:t>manufactured</w:t>
            </w:r>
            <w:r>
              <w:rPr>
                <w:rFonts w:ascii="Calibri"/>
                <w:spacing w:val="-3"/>
                <w:sz w:val="18"/>
              </w:rPr>
              <w:t xml:space="preserve"> </w:t>
            </w:r>
            <w:r>
              <w:rPr>
                <w:rFonts w:ascii="Calibri"/>
                <w:spacing w:val="-1"/>
                <w:sz w:val="18"/>
              </w:rPr>
              <w:t>homes.</w:t>
            </w:r>
          </w:p>
        </w:tc>
        <w:tc>
          <w:tcPr>
            <w:tcW w:w="4669" w:type="dxa"/>
            <w:tcBorders>
              <w:top w:val="single" w:sz="7" w:space="0" w:color="448999"/>
              <w:left w:val="single" w:sz="7" w:space="0" w:color="448999"/>
              <w:bottom w:val="single" w:sz="8" w:space="0" w:color="448999"/>
              <w:right w:val="single" w:sz="8" w:space="0" w:color="448999"/>
            </w:tcBorders>
          </w:tcPr>
          <w:p w:rsidR="00E646C9" w:rsidRDefault="00E646C9" w:rsidP="00C94D5A">
            <w:pPr>
              <w:pStyle w:val="TableParagraph"/>
              <w:spacing w:line="218" w:lineRule="exact"/>
              <w:ind w:left="102"/>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bl>
    <w:p w:rsidR="00E646C9" w:rsidRDefault="00E646C9" w:rsidP="00E646C9"/>
    <w:p w:rsidR="00C3558F" w:rsidRDefault="00C3558F" w:rsidP="00E646C9"/>
    <w:p w:rsidR="00C3558F" w:rsidRDefault="00C3558F" w:rsidP="00E646C9"/>
    <w:p w:rsidR="00C3558F" w:rsidRDefault="00C3558F" w:rsidP="00E646C9"/>
    <w:p w:rsidR="00C3558F" w:rsidRDefault="00C3558F" w:rsidP="00E646C9"/>
    <w:p w:rsidR="00E646C9" w:rsidRPr="00130312" w:rsidRDefault="00E646C9" w:rsidP="00C3558F">
      <w:pPr>
        <w:pStyle w:val="AppendixGHeading2"/>
      </w:pPr>
      <w:r w:rsidRPr="00130312">
        <w:t>Student and Parent Energy</w:t>
      </w:r>
      <w:r>
        <w:t xml:space="preserve"> </w:t>
      </w:r>
      <w:r w:rsidRPr="00130312">
        <w:t>Efficiency Education Program</w:t>
      </w:r>
    </w:p>
    <w:tbl>
      <w:tblPr>
        <w:tblW w:w="9361" w:type="dxa"/>
        <w:tblLayout w:type="fixed"/>
        <w:tblCellMar>
          <w:left w:w="0" w:type="dxa"/>
          <w:right w:w="0" w:type="dxa"/>
        </w:tblCellMar>
        <w:tblLook w:val="01E0" w:firstRow="1" w:lastRow="1" w:firstColumn="1" w:lastColumn="1" w:noHBand="0" w:noVBand="0"/>
      </w:tblPr>
      <w:tblGrid>
        <w:gridCol w:w="4680"/>
        <w:gridCol w:w="4681"/>
      </w:tblGrid>
      <w:tr w:rsidR="00E646C9" w:rsidTr="00FB3B18">
        <w:trPr>
          <w:trHeight w:hRule="exact" w:val="689"/>
        </w:trPr>
        <w:tc>
          <w:tcPr>
            <w:tcW w:w="4680" w:type="dxa"/>
            <w:tcBorders>
              <w:top w:val="single" w:sz="8" w:space="0" w:color="448999"/>
              <w:left w:val="single" w:sz="8" w:space="0" w:color="448999"/>
              <w:bottom w:val="single" w:sz="8" w:space="0" w:color="FFFFFF"/>
              <w:right w:val="nil"/>
            </w:tcBorders>
            <w:shd w:val="clear" w:color="auto" w:fill="448999"/>
          </w:tcPr>
          <w:p w:rsidR="00E646C9" w:rsidRDefault="00E646C9" w:rsidP="00FB3B18">
            <w:pPr>
              <w:pStyle w:val="TableParagraph"/>
              <w:spacing w:line="218" w:lineRule="exact"/>
              <w:ind w:right="12"/>
              <w:rPr>
                <w:rFonts w:ascii="Calibri" w:eastAsia="Calibri" w:hAnsi="Calibri" w:cs="Calibri"/>
                <w:sz w:val="18"/>
                <w:szCs w:val="18"/>
              </w:rPr>
            </w:pPr>
            <w:r>
              <w:rPr>
                <w:rFonts w:ascii="Calibri"/>
                <w:b/>
                <w:color w:val="FFFFFF"/>
                <w:spacing w:val="-1"/>
                <w:sz w:val="18"/>
              </w:rPr>
              <w:t>Recommendations</w:t>
            </w:r>
          </w:p>
        </w:tc>
        <w:tc>
          <w:tcPr>
            <w:tcW w:w="4681" w:type="dxa"/>
            <w:tcBorders>
              <w:top w:val="single" w:sz="8" w:space="0" w:color="448999"/>
              <w:left w:val="nil"/>
              <w:bottom w:val="nil"/>
              <w:right w:val="single" w:sz="8" w:space="0" w:color="448999"/>
            </w:tcBorders>
            <w:shd w:val="clear" w:color="auto" w:fill="448999"/>
          </w:tcPr>
          <w:p w:rsidR="00E646C9" w:rsidRPr="00C3558F" w:rsidRDefault="00E646C9" w:rsidP="00C94D5A">
            <w:pPr>
              <w:pStyle w:val="TableParagraph"/>
              <w:ind w:left="581" w:right="569"/>
              <w:jc w:val="center"/>
              <w:rPr>
                <w:rFonts w:ascii="Calibri" w:eastAsia="Calibri" w:hAnsi="Calibri" w:cs="Calibri"/>
                <w:sz w:val="18"/>
                <w:szCs w:val="18"/>
              </w:rPr>
            </w:pP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43"/>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before="1"/>
              <w:ind w:left="9"/>
              <w:jc w:val="center"/>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895"/>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396"/>
              <w:rPr>
                <w:rFonts w:ascii="Calibri" w:eastAsia="Calibri" w:hAnsi="Calibri" w:cs="Calibri"/>
                <w:sz w:val="18"/>
                <w:szCs w:val="18"/>
              </w:rPr>
            </w:pPr>
            <w:r>
              <w:rPr>
                <w:rFonts w:ascii="Calibri"/>
                <w:spacing w:val="-1"/>
                <w:sz w:val="18"/>
              </w:rPr>
              <w:t xml:space="preserve">Monitor </w:t>
            </w:r>
            <w:r>
              <w:rPr>
                <w:rFonts w:ascii="Calibri"/>
                <w:sz w:val="18"/>
              </w:rPr>
              <w:t>LED</w:t>
            </w:r>
            <w:r>
              <w:rPr>
                <w:rFonts w:ascii="Calibri"/>
                <w:spacing w:val="-2"/>
                <w:sz w:val="18"/>
              </w:rPr>
              <w:t xml:space="preserve"> </w:t>
            </w:r>
            <w:r>
              <w:rPr>
                <w:rFonts w:ascii="Calibri"/>
                <w:spacing w:val="-1"/>
                <w:sz w:val="18"/>
              </w:rPr>
              <w:t>bulb</w:t>
            </w:r>
            <w:r>
              <w:rPr>
                <w:rFonts w:ascii="Calibri"/>
                <w:spacing w:val="-2"/>
                <w:sz w:val="18"/>
              </w:rPr>
              <w:t xml:space="preserve"> </w:t>
            </w:r>
            <w:r>
              <w:rPr>
                <w:rFonts w:ascii="Calibri"/>
                <w:spacing w:val="-1"/>
                <w:sz w:val="18"/>
              </w:rPr>
              <w:t>installation</w:t>
            </w:r>
            <w:r>
              <w:rPr>
                <w:rFonts w:ascii="Calibri"/>
                <w:sz w:val="18"/>
              </w:rPr>
              <w:t xml:space="preserve"> rates</w:t>
            </w:r>
            <w:r>
              <w:rPr>
                <w:rFonts w:ascii="Calibri"/>
                <w:spacing w:val="-2"/>
                <w:sz w:val="18"/>
              </w:rPr>
              <w:t xml:space="preserve"> </w:t>
            </w:r>
            <w:r>
              <w:rPr>
                <w:rFonts w:ascii="Calibri"/>
                <w:sz w:val="18"/>
              </w:rPr>
              <w:t>in</w:t>
            </w:r>
            <w:r>
              <w:rPr>
                <w:rFonts w:ascii="Calibri"/>
                <w:spacing w:val="-3"/>
                <w:sz w:val="18"/>
              </w:rPr>
              <w:t xml:space="preserve"> </w:t>
            </w:r>
            <w:r>
              <w:rPr>
                <w:rFonts w:ascii="Calibri"/>
                <w:sz w:val="18"/>
              </w:rPr>
              <w:t>PY8</w:t>
            </w:r>
            <w:r>
              <w:rPr>
                <w:rFonts w:ascii="Calibri"/>
                <w:spacing w:val="-1"/>
                <w:sz w:val="18"/>
              </w:rPr>
              <w:t xml:space="preserve"> and</w:t>
            </w:r>
            <w:r>
              <w:rPr>
                <w:rFonts w:ascii="Calibri"/>
                <w:spacing w:val="-2"/>
                <w:sz w:val="18"/>
              </w:rPr>
              <w:t xml:space="preserve"> </w:t>
            </w:r>
            <w:r>
              <w:rPr>
                <w:rFonts w:ascii="Calibri"/>
                <w:spacing w:val="-1"/>
                <w:sz w:val="18"/>
              </w:rPr>
              <w:t>consider</w:t>
            </w:r>
            <w:r>
              <w:rPr>
                <w:rFonts w:ascii="Calibri"/>
                <w:spacing w:val="41"/>
                <w:w w:val="99"/>
                <w:sz w:val="18"/>
              </w:rPr>
              <w:t xml:space="preserve"> </w:t>
            </w:r>
            <w:r>
              <w:rPr>
                <w:rFonts w:ascii="Calibri"/>
                <w:spacing w:val="-1"/>
                <w:sz w:val="18"/>
              </w:rPr>
              <w:t>reducing</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 xml:space="preserve">number </w:t>
            </w:r>
            <w:r>
              <w:rPr>
                <w:rFonts w:ascii="Calibri"/>
                <w:sz w:val="18"/>
              </w:rPr>
              <w:t>of</w:t>
            </w:r>
            <w:r>
              <w:rPr>
                <w:rFonts w:ascii="Calibri"/>
                <w:spacing w:val="-2"/>
                <w:sz w:val="18"/>
              </w:rPr>
              <w:t xml:space="preserve"> </w:t>
            </w:r>
            <w:r>
              <w:rPr>
                <w:rFonts w:ascii="Calibri"/>
                <w:sz w:val="18"/>
              </w:rPr>
              <w:t>LEDs</w:t>
            </w:r>
            <w:r>
              <w:rPr>
                <w:rFonts w:ascii="Calibri"/>
                <w:spacing w:val="-3"/>
                <w:sz w:val="18"/>
              </w:rPr>
              <w:t xml:space="preserve"> </w:t>
            </w:r>
            <w:r>
              <w:rPr>
                <w:rFonts w:ascii="Calibri"/>
                <w:spacing w:val="-1"/>
                <w:sz w:val="18"/>
              </w:rPr>
              <w:t>included</w:t>
            </w:r>
            <w:r>
              <w:rPr>
                <w:rFonts w:ascii="Calibri"/>
                <w:spacing w:val="-2"/>
                <w:sz w:val="18"/>
              </w:rPr>
              <w:t xml:space="preserve"> </w:t>
            </w:r>
            <w:r>
              <w:rPr>
                <w:rFonts w:ascii="Calibri"/>
                <w:sz w:val="18"/>
              </w:rPr>
              <w:t>in</w:t>
            </w:r>
            <w:r>
              <w:rPr>
                <w:rFonts w:ascii="Calibri"/>
                <w:spacing w:val="-3"/>
                <w:sz w:val="18"/>
              </w:rPr>
              <w:t xml:space="preserve"> </w:t>
            </w:r>
            <w:r>
              <w:rPr>
                <w:rFonts w:ascii="Calibri"/>
                <w:sz w:val="18"/>
              </w:rPr>
              <w:t>the</w:t>
            </w:r>
            <w:r>
              <w:rPr>
                <w:rFonts w:ascii="Calibri"/>
                <w:spacing w:val="-2"/>
                <w:sz w:val="18"/>
              </w:rPr>
              <w:t xml:space="preserve"> </w:t>
            </w:r>
            <w:r>
              <w:rPr>
                <w:rFonts w:ascii="Calibri"/>
                <w:sz w:val="18"/>
              </w:rPr>
              <w:t>kits</w:t>
            </w:r>
            <w:r>
              <w:rPr>
                <w:rFonts w:ascii="Calibri"/>
                <w:spacing w:val="-2"/>
                <w:sz w:val="18"/>
              </w:rPr>
              <w:t xml:space="preserve"> </w:t>
            </w:r>
            <w:r>
              <w:rPr>
                <w:rFonts w:ascii="Calibri"/>
                <w:sz w:val="18"/>
              </w:rPr>
              <w:t>in</w:t>
            </w:r>
            <w:r>
              <w:rPr>
                <w:rFonts w:ascii="Calibri"/>
                <w:spacing w:val="-3"/>
                <w:sz w:val="18"/>
              </w:rPr>
              <w:t xml:space="preserve"> </w:t>
            </w:r>
            <w:r>
              <w:rPr>
                <w:rFonts w:ascii="Calibri"/>
                <w:sz w:val="18"/>
              </w:rPr>
              <w:t>PY9</w:t>
            </w:r>
            <w:r>
              <w:rPr>
                <w:rFonts w:ascii="Calibri"/>
                <w:spacing w:val="-1"/>
                <w:sz w:val="18"/>
              </w:rPr>
              <w:t xml:space="preserve"> if</w:t>
            </w:r>
            <w:r>
              <w:rPr>
                <w:rFonts w:ascii="Calibri"/>
                <w:spacing w:val="37"/>
                <w:sz w:val="18"/>
              </w:rPr>
              <w:t xml:space="preserve"> </w:t>
            </w:r>
            <w:r>
              <w:rPr>
                <w:rFonts w:ascii="Calibri"/>
                <w:spacing w:val="-1"/>
                <w:sz w:val="18"/>
              </w:rPr>
              <w:t>ISRs</w:t>
            </w:r>
            <w:r>
              <w:rPr>
                <w:rFonts w:ascii="Calibri"/>
                <w:spacing w:val="-4"/>
                <w:sz w:val="18"/>
              </w:rPr>
              <w:t xml:space="preserve"> </w:t>
            </w:r>
            <w:r>
              <w:rPr>
                <w:rFonts w:ascii="Calibri"/>
                <w:spacing w:val="-1"/>
                <w:sz w:val="18"/>
              </w:rPr>
              <w:t>continue</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decrease.</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ind w:left="99" w:right="146"/>
              <w:rPr>
                <w:rFonts w:ascii="Calibri" w:eastAsia="Calibri" w:hAnsi="Calibri" w:cs="Calibri"/>
                <w:sz w:val="18"/>
                <w:szCs w:val="18"/>
              </w:rPr>
            </w:pPr>
            <w:r>
              <w:rPr>
                <w:rFonts w:ascii="Calibri"/>
                <w:spacing w:val="-1"/>
                <w:sz w:val="18"/>
              </w:rPr>
              <w:t>Being</w:t>
            </w:r>
            <w:r>
              <w:rPr>
                <w:rFonts w:ascii="Calibri"/>
                <w:spacing w:val="-3"/>
                <w:sz w:val="18"/>
              </w:rPr>
              <w:t xml:space="preserve"> </w:t>
            </w:r>
            <w:r>
              <w:rPr>
                <w:rFonts w:ascii="Calibri"/>
                <w:spacing w:val="-1"/>
                <w:sz w:val="18"/>
              </w:rPr>
              <w:t>considered.</w:t>
            </w:r>
            <w:r>
              <w:rPr>
                <w:rFonts w:ascii="Calibri"/>
                <w:spacing w:val="36"/>
                <w:sz w:val="18"/>
              </w:rPr>
              <w:t xml:space="preserve"> </w:t>
            </w:r>
            <w:r>
              <w:rPr>
                <w:rFonts w:ascii="Calibri"/>
                <w:sz w:val="18"/>
              </w:rPr>
              <w:t>PPL</w:t>
            </w:r>
            <w:r>
              <w:rPr>
                <w:rFonts w:ascii="Calibri"/>
                <w:spacing w:val="-1"/>
                <w:sz w:val="18"/>
              </w:rPr>
              <w:t xml:space="preserve"> will</w:t>
            </w:r>
            <w:r>
              <w:rPr>
                <w:rFonts w:ascii="Calibri"/>
                <w:spacing w:val="-3"/>
                <w:sz w:val="18"/>
              </w:rPr>
              <w:t xml:space="preserve"> </w:t>
            </w:r>
            <w:r>
              <w:rPr>
                <w:rFonts w:ascii="Calibri"/>
                <w:spacing w:val="-1"/>
                <w:sz w:val="18"/>
              </w:rPr>
              <w:t>certainly</w:t>
            </w:r>
            <w:r>
              <w:rPr>
                <w:rFonts w:ascii="Calibri"/>
                <w:spacing w:val="-2"/>
                <w:sz w:val="18"/>
              </w:rPr>
              <w:t xml:space="preserve"> </w:t>
            </w:r>
            <w:r>
              <w:rPr>
                <w:rFonts w:ascii="Calibri"/>
                <w:spacing w:val="-1"/>
                <w:sz w:val="18"/>
              </w:rPr>
              <w:t>monitor the</w:t>
            </w:r>
            <w:r>
              <w:rPr>
                <w:rFonts w:ascii="Calibri"/>
                <w:spacing w:val="-3"/>
                <w:sz w:val="18"/>
              </w:rPr>
              <w:t xml:space="preserve"> </w:t>
            </w:r>
            <w:r>
              <w:rPr>
                <w:rFonts w:ascii="Calibri"/>
                <w:sz w:val="18"/>
              </w:rPr>
              <w:t>PY8</w:t>
            </w:r>
            <w:r>
              <w:rPr>
                <w:rFonts w:ascii="Calibri"/>
                <w:spacing w:val="-2"/>
                <w:sz w:val="18"/>
              </w:rPr>
              <w:t xml:space="preserve"> </w:t>
            </w:r>
            <w:r>
              <w:rPr>
                <w:rFonts w:ascii="Calibri"/>
                <w:sz w:val="18"/>
              </w:rPr>
              <w:t>LED</w:t>
            </w:r>
            <w:r>
              <w:rPr>
                <w:rFonts w:ascii="Calibri"/>
                <w:spacing w:val="49"/>
                <w:sz w:val="18"/>
              </w:rPr>
              <w:t xml:space="preserve"> </w:t>
            </w:r>
            <w:r>
              <w:rPr>
                <w:rFonts w:ascii="Calibri"/>
                <w:spacing w:val="-1"/>
                <w:sz w:val="18"/>
              </w:rPr>
              <w:t>bulb</w:t>
            </w:r>
            <w:r>
              <w:rPr>
                <w:rFonts w:ascii="Calibri"/>
                <w:spacing w:val="-2"/>
                <w:sz w:val="18"/>
              </w:rPr>
              <w:t xml:space="preserve"> </w:t>
            </w:r>
            <w:r>
              <w:rPr>
                <w:rFonts w:ascii="Calibri"/>
                <w:spacing w:val="-1"/>
                <w:sz w:val="18"/>
              </w:rPr>
              <w:t>installation</w:t>
            </w:r>
            <w:r>
              <w:rPr>
                <w:rFonts w:ascii="Calibri"/>
                <w:spacing w:val="-4"/>
                <w:sz w:val="18"/>
              </w:rPr>
              <w:t xml:space="preserve"> </w:t>
            </w:r>
            <w:r>
              <w:rPr>
                <w:rFonts w:ascii="Calibri"/>
                <w:sz w:val="18"/>
              </w:rPr>
              <w:t>rate</w:t>
            </w:r>
            <w:r>
              <w:rPr>
                <w:rFonts w:ascii="Calibri"/>
                <w:spacing w:val="-3"/>
                <w:sz w:val="18"/>
              </w:rPr>
              <w:t xml:space="preserve"> </w:t>
            </w:r>
            <w:r>
              <w:rPr>
                <w:rFonts w:ascii="Calibri"/>
                <w:spacing w:val="-1"/>
                <w:sz w:val="18"/>
              </w:rPr>
              <w:t>and</w:t>
            </w:r>
            <w:r>
              <w:rPr>
                <w:rFonts w:ascii="Calibri"/>
                <w:spacing w:val="-2"/>
                <w:sz w:val="18"/>
              </w:rPr>
              <w:t xml:space="preserve"> </w:t>
            </w:r>
            <w:r>
              <w:rPr>
                <w:rFonts w:ascii="Calibri"/>
                <w:spacing w:val="-1"/>
                <w:sz w:val="18"/>
              </w:rPr>
              <w:t>determine</w:t>
            </w:r>
            <w:r>
              <w:rPr>
                <w:rFonts w:ascii="Calibri"/>
                <w:spacing w:val="-3"/>
                <w:sz w:val="18"/>
              </w:rPr>
              <w:t xml:space="preserve"> </w:t>
            </w:r>
            <w:r>
              <w:rPr>
                <w:rFonts w:ascii="Calibri"/>
                <w:sz w:val="18"/>
              </w:rPr>
              <w:t>if</w:t>
            </w:r>
            <w:r>
              <w:rPr>
                <w:rFonts w:ascii="Calibri"/>
                <w:spacing w:val="-4"/>
                <w:sz w:val="18"/>
              </w:rPr>
              <w:t xml:space="preserve"> </w:t>
            </w:r>
            <w:r>
              <w:rPr>
                <w:rFonts w:ascii="Calibri"/>
                <w:sz w:val="18"/>
              </w:rPr>
              <w:t xml:space="preserve">program </w:t>
            </w:r>
            <w:r>
              <w:rPr>
                <w:rFonts w:ascii="Calibri"/>
                <w:spacing w:val="-1"/>
                <w:sz w:val="18"/>
              </w:rPr>
              <w:t>changes</w:t>
            </w:r>
            <w:r>
              <w:rPr>
                <w:rFonts w:ascii="Calibri"/>
                <w:spacing w:val="-4"/>
                <w:sz w:val="18"/>
              </w:rPr>
              <w:t xml:space="preserve"> </w:t>
            </w:r>
            <w:r>
              <w:rPr>
                <w:rFonts w:ascii="Calibri"/>
                <w:sz w:val="18"/>
              </w:rPr>
              <w:t>are</w:t>
            </w:r>
            <w:r>
              <w:rPr>
                <w:rFonts w:ascii="Calibri"/>
                <w:spacing w:val="47"/>
                <w:w w:val="99"/>
                <w:sz w:val="18"/>
              </w:rPr>
              <w:t xml:space="preserve"> </w:t>
            </w:r>
            <w:r>
              <w:rPr>
                <w:rFonts w:ascii="Calibri"/>
                <w:spacing w:val="-1"/>
                <w:sz w:val="18"/>
              </w:rPr>
              <w:t>required</w:t>
            </w:r>
            <w:r>
              <w:rPr>
                <w:rFonts w:ascii="Calibri"/>
                <w:spacing w:val="-4"/>
                <w:sz w:val="18"/>
              </w:rPr>
              <w:t xml:space="preserve"> </w:t>
            </w:r>
            <w:r>
              <w:rPr>
                <w:rFonts w:ascii="Calibri"/>
                <w:spacing w:val="-1"/>
                <w:sz w:val="18"/>
              </w:rPr>
              <w:t>(reduce</w:t>
            </w:r>
            <w:r>
              <w:rPr>
                <w:rFonts w:ascii="Calibri"/>
                <w:spacing w:val="-3"/>
                <w:sz w:val="18"/>
              </w:rPr>
              <w:t xml:space="preserve"> </w:t>
            </w:r>
            <w:r>
              <w:rPr>
                <w:rFonts w:ascii="Calibri"/>
                <w:sz w:val="18"/>
              </w:rPr>
              <w:t>the</w:t>
            </w:r>
            <w:r>
              <w:rPr>
                <w:rFonts w:ascii="Calibri"/>
                <w:spacing w:val="-1"/>
                <w:sz w:val="18"/>
              </w:rPr>
              <w:t xml:space="preserve"> number</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bulbs</w:t>
            </w:r>
            <w:r>
              <w:rPr>
                <w:rFonts w:ascii="Calibri"/>
                <w:spacing w:val="-3"/>
                <w:sz w:val="18"/>
              </w:rPr>
              <w:t xml:space="preserve"> </w:t>
            </w:r>
            <w:r>
              <w:rPr>
                <w:rFonts w:ascii="Calibri"/>
                <w:sz w:val="18"/>
              </w:rPr>
              <w:t>or</w:t>
            </w:r>
            <w:r>
              <w:rPr>
                <w:rFonts w:ascii="Calibri"/>
                <w:spacing w:val="-2"/>
                <w:sz w:val="18"/>
              </w:rPr>
              <w:t xml:space="preserve"> </w:t>
            </w:r>
            <w:r>
              <w:rPr>
                <w:rFonts w:ascii="Calibri"/>
                <w:spacing w:val="-1"/>
                <w:sz w:val="18"/>
              </w:rPr>
              <w:t>improve</w:t>
            </w:r>
            <w:r>
              <w:rPr>
                <w:rFonts w:ascii="Calibri"/>
                <w:spacing w:val="-4"/>
                <w:sz w:val="18"/>
              </w:rPr>
              <w:t xml:space="preserve"> </w:t>
            </w:r>
            <w:r>
              <w:rPr>
                <w:rFonts w:ascii="Calibri"/>
                <w:spacing w:val="-1"/>
                <w:sz w:val="18"/>
              </w:rPr>
              <w:t>messaging</w:t>
            </w:r>
            <w:r>
              <w:rPr>
                <w:rFonts w:ascii="Calibri"/>
                <w:spacing w:val="57"/>
                <w:w w:val="99"/>
                <w:sz w:val="18"/>
              </w:rPr>
              <w:t xml:space="preserve"> </w:t>
            </w:r>
            <w:r>
              <w:rPr>
                <w:rFonts w:ascii="Calibri"/>
                <w:sz w:val="18"/>
              </w:rPr>
              <w:t>to</w:t>
            </w:r>
            <w:r>
              <w:rPr>
                <w:rFonts w:ascii="Calibri"/>
                <w:spacing w:val="-3"/>
                <w:sz w:val="18"/>
              </w:rPr>
              <w:t xml:space="preserve"> </w:t>
            </w:r>
            <w:r>
              <w:rPr>
                <w:rFonts w:ascii="Calibri"/>
                <w:spacing w:val="-1"/>
                <w:sz w:val="18"/>
              </w:rPr>
              <w:t>encourage</w:t>
            </w:r>
            <w:r>
              <w:rPr>
                <w:rFonts w:ascii="Calibri"/>
                <w:spacing w:val="-3"/>
                <w:sz w:val="18"/>
              </w:rPr>
              <w:t xml:space="preserve"> </w:t>
            </w:r>
            <w:r>
              <w:rPr>
                <w:rFonts w:ascii="Calibri"/>
                <w:sz w:val="18"/>
              </w:rPr>
              <w:t>a</w:t>
            </w:r>
            <w:r>
              <w:rPr>
                <w:rFonts w:ascii="Calibri"/>
                <w:spacing w:val="-2"/>
                <w:sz w:val="18"/>
              </w:rPr>
              <w:t xml:space="preserve"> </w:t>
            </w:r>
            <w:r>
              <w:rPr>
                <w:rFonts w:ascii="Calibri"/>
                <w:spacing w:val="-1"/>
                <w:sz w:val="18"/>
              </w:rPr>
              <w:t>higher installation</w:t>
            </w:r>
            <w:r>
              <w:rPr>
                <w:rFonts w:ascii="Calibri"/>
                <w:spacing w:val="-3"/>
                <w:sz w:val="18"/>
              </w:rPr>
              <w:t xml:space="preserve"> </w:t>
            </w:r>
            <w:r>
              <w:rPr>
                <w:rFonts w:ascii="Calibri"/>
                <w:spacing w:val="-1"/>
                <w:sz w:val="18"/>
              </w:rPr>
              <w:t>rate.)</w:t>
            </w:r>
          </w:p>
        </w:tc>
      </w:tr>
      <w:tr w:rsidR="00E646C9" w:rsidTr="00C3558F">
        <w:trPr>
          <w:trHeight w:hRule="exact" w:val="894"/>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405"/>
              <w:rPr>
                <w:rFonts w:ascii="Calibri" w:eastAsia="Calibri" w:hAnsi="Calibri" w:cs="Calibri"/>
                <w:sz w:val="18"/>
                <w:szCs w:val="18"/>
              </w:rPr>
            </w:pPr>
            <w:r>
              <w:rPr>
                <w:rFonts w:ascii="Calibri"/>
                <w:spacing w:val="-1"/>
                <w:sz w:val="18"/>
              </w:rPr>
              <w:t>Review</w:t>
            </w:r>
            <w:r>
              <w:rPr>
                <w:rFonts w:ascii="Calibri"/>
                <w:spacing w:val="-2"/>
                <w:sz w:val="18"/>
              </w:rPr>
              <w:t xml:space="preserve"> </w:t>
            </w:r>
            <w:r>
              <w:rPr>
                <w:rFonts w:ascii="Calibri"/>
                <w:spacing w:val="-1"/>
                <w:sz w:val="18"/>
              </w:rPr>
              <w:t>student</w:t>
            </w:r>
            <w:r>
              <w:rPr>
                <w:rFonts w:ascii="Calibri"/>
                <w:spacing w:val="-2"/>
                <w:sz w:val="18"/>
              </w:rPr>
              <w:t xml:space="preserve"> </w:t>
            </w:r>
            <w:r>
              <w:rPr>
                <w:rFonts w:ascii="Calibri"/>
                <w:spacing w:val="-1"/>
                <w:sz w:val="18"/>
              </w:rPr>
              <w:t>guides</w:t>
            </w:r>
            <w:r>
              <w:rPr>
                <w:rFonts w:ascii="Calibri"/>
                <w:spacing w:val="-3"/>
                <w:sz w:val="18"/>
              </w:rPr>
              <w:t xml:space="preserve"> </w:t>
            </w:r>
            <w:r>
              <w:rPr>
                <w:rFonts w:ascii="Calibri"/>
                <w:sz w:val="18"/>
              </w:rPr>
              <w:t>and</w:t>
            </w:r>
            <w:r>
              <w:rPr>
                <w:rFonts w:ascii="Calibri"/>
                <w:spacing w:val="-3"/>
                <w:sz w:val="18"/>
              </w:rPr>
              <w:t xml:space="preserve"> </w:t>
            </w:r>
            <w:r>
              <w:rPr>
                <w:rFonts w:ascii="Calibri"/>
                <w:sz w:val="18"/>
              </w:rPr>
              <w:t>education</w:t>
            </w:r>
            <w:r>
              <w:rPr>
                <w:rFonts w:ascii="Calibri"/>
                <w:spacing w:val="-3"/>
                <w:sz w:val="18"/>
              </w:rPr>
              <w:t xml:space="preserve"> </w:t>
            </w:r>
            <w:r>
              <w:rPr>
                <w:rFonts w:ascii="Calibri"/>
                <w:spacing w:val="-1"/>
                <w:sz w:val="18"/>
              </w:rPr>
              <w:t>and</w:t>
            </w:r>
            <w:r>
              <w:rPr>
                <w:rFonts w:ascii="Calibri"/>
                <w:spacing w:val="-3"/>
                <w:sz w:val="18"/>
              </w:rPr>
              <w:t xml:space="preserve"> </w:t>
            </w:r>
            <w:r>
              <w:rPr>
                <w:rFonts w:ascii="Calibri"/>
                <w:spacing w:val="-1"/>
                <w:sz w:val="18"/>
              </w:rPr>
              <w:t>installation</w:t>
            </w:r>
            <w:r>
              <w:rPr>
                <w:rFonts w:ascii="Calibri"/>
                <w:spacing w:val="49"/>
                <w:sz w:val="18"/>
              </w:rPr>
              <w:t xml:space="preserve"> </w:t>
            </w:r>
            <w:r>
              <w:rPr>
                <w:rFonts w:ascii="Calibri"/>
                <w:spacing w:val="-1"/>
                <w:sz w:val="18"/>
              </w:rPr>
              <w:t>materials</w:t>
            </w:r>
            <w:r>
              <w:rPr>
                <w:rFonts w:ascii="Calibri"/>
                <w:spacing w:val="-4"/>
                <w:sz w:val="18"/>
              </w:rPr>
              <w:t xml:space="preserve"> </w:t>
            </w:r>
            <w:r>
              <w:rPr>
                <w:rFonts w:ascii="Calibri"/>
                <w:sz w:val="18"/>
              </w:rPr>
              <w:t>to</w:t>
            </w:r>
            <w:r>
              <w:rPr>
                <w:rFonts w:ascii="Calibri"/>
                <w:spacing w:val="-1"/>
                <w:sz w:val="18"/>
              </w:rPr>
              <w:t xml:space="preserve"> assess</w:t>
            </w:r>
            <w:r>
              <w:rPr>
                <w:rFonts w:ascii="Calibri"/>
                <w:spacing w:val="-3"/>
                <w:sz w:val="18"/>
              </w:rPr>
              <w:t xml:space="preserve"> </w:t>
            </w:r>
            <w:r>
              <w:rPr>
                <w:rFonts w:ascii="Calibri"/>
                <w:spacing w:val="-1"/>
                <w:sz w:val="18"/>
              </w:rPr>
              <w:t xml:space="preserve">opportunities </w:t>
            </w:r>
            <w:r>
              <w:rPr>
                <w:rFonts w:ascii="Calibri"/>
                <w:sz w:val="18"/>
              </w:rPr>
              <w:t>to</w:t>
            </w:r>
            <w:r>
              <w:rPr>
                <w:rFonts w:ascii="Calibri"/>
                <w:spacing w:val="-1"/>
                <w:sz w:val="18"/>
              </w:rPr>
              <w:t xml:space="preserve"> further</w:t>
            </w:r>
            <w:r>
              <w:rPr>
                <w:rFonts w:ascii="Calibri"/>
                <w:spacing w:val="-2"/>
                <w:sz w:val="18"/>
              </w:rPr>
              <w:t xml:space="preserve"> </w:t>
            </w:r>
            <w:r>
              <w:rPr>
                <w:rFonts w:ascii="Calibri"/>
                <w:spacing w:val="-1"/>
                <w:sz w:val="18"/>
              </w:rPr>
              <w:t xml:space="preserve">highlight </w:t>
            </w:r>
            <w:r>
              <w:rPr>
                <w:rFonts w:ascii="Calibri"/>
                <w:sz w:val="18"/>
              </w:rPr>
              <w:t>LED</w:t>
            </w:r>
            <w:r>
              <w:rPr>
                <w:rFonts w:ascii="Calibri"/>
                <w:spacing w:val="59"/>
                <w:sz w:val="18"/>
              </w:rPr>
              <w:t xml:space="preserve"> </w:t>
            </w:r>
            <w:r>
              <w:rPr>
                <w:rFonts w:ascii="Calibri"/>
                <w:spacing w:val="-1"/>
                <w:sz w:val="18"/>
              </w:rPr>
              <w:t>benefits</w:t>
            </w:r>
            <w:r>
              <w:rPr>
                <w:rFonts w:ascii="Calibri"/>
                <w:spacing w:val="-4"/>
                <w:sz w:val="18"/>
              </w:rPr>
              <w:t xml:space="preserve"> </w:t>
            </w:r>
            <w:r>
              <w:rPr>
                <w:rFonts w:ascii="Calibri"/>
                <w:spacing w:val="-1"/>
                <w:sz w:val="18"/>
              </w:rPr>
              <w:t>(compared</w:t>
            </w:r>
            <w:r>
              <w:rPr>
                <w:rFonts w:ascii="Calibri"/>
                <w:spacing w:val="-2"/>
                <w:sz w:val="18"/>
              </w:rPr>
              <w:t xml:space="preserve"> </w:t>
            </w:r>
            <w:r>
              <w:rPr>
                <w:rFonts w:ascii="Calibri"/>
                <w:sz w:val="18"/>
              </w:rPr>
              <w:t>to</w:t>
            </w:r>
            <w:r>
              <w:rPr>
                <w:rFonts w:ascii="Calibri"/>
                <w:spacing w:val="-1"/>
                <w:sz w:val="18"/>
              </w:rPr>
              <w:t xml:space="preserve"> both</w:t>
            </w:r>
            <w:r>
              <w:rPr>
                <w:rFonts w:ascii="Calibri"/>
                <w:spacing w:val="-2"/>
                <w:sz w:val="18"/>
              </w:rPr>
              <w:t xml:space="preserve"> </w:t>
            </w:r>
            <w:r>
              <w:rPr>
                <w:rFonts w:ascii="Calibri"/>
                <w:spacing w:val="-1"/>
                <w:sz w:val="18"/>
              </w:rPr>
              <w:t>incandescent and</w:t>
            </w:r>
            <w:r>
              <w:rPr>
                <w:rFonts w:ascii="Calibri"/>
                <w:spacing w:val="-2"/>
                <w:sz w:val="18"/>
              </w:rPr>
              <w:t xml:space="preserve"> </w:t>
            </w:r>
            <w:r>
              <w:rPr>
                <w:rFonts w:ascii="Calibri"/>
                <w:sz w:val="18"/>
              </w:rPr>
              <w:t>CFLs)</w:t>
            </w:r>
            <w:r>
              <w:rPr>
                <w:rFonts w:ascii="Calibri"/>
                <w:spacing w:val="-1"/>
                <w:sz w:val="18"/>
              </w:rPr>
              <w:t xml:space="preserve"> and</w:t>
            </w:r>
            <w:r>
              <w:rPr>
                <w:rFonts w:ascii="Calibri"/>
                <w:spacing w:val="59"/>
                <w:sz w:val="18"/>
              </w:rPr>
              <w:t xml:space="preserve"> </w:t>
            </w:r>
            <w:r>
              <w:rPr>
                <w:rFonts w:ascii="Calibri"/>
                <w:spacing w:val="-1"/>
                <w:sz w:val="18"/>
              </w:rPr>
              <w:t>encourage</w:t>
            </w:r>
            <w:r>
              <w:rPr>
                <w:rFonts w:ascii="Calibri"/>
                <w:spacing w:val="-6"/>
                <w:sz w:val="18"/>
              </w:rPr>
              <w:t xml:space="preserve"> </w:t>
            </w:r>
            <w:r>
              <w:rPr>
                <w:rFonts w:ascii="Calibri"/>
                <w:spacing w:val="-1"/>
                <w:sz w:val="18"/>
              </w:rPr>
              <w:t>installation.</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ight="146"/>
              <w:rPr>
                <w:rFonts w:ascii="Calibri" w:eastAsia="Calibri" w:hAnsi="Calibri" w:cs="Calibri"/>
                <w:sz w:val="18"/>
                <w:szCs w:val="18"/>
              </w:rPr>
            </w:pPr>
            <w:r>
              <w:rPr>
                <w:rFonts w:ascii="Calibri"/>
                <w:spacing w:val="-1"/>
                <w:sz w:val="18"/>
              </w:rPr>
              <w:t>Being</w:t>
            </w:r>
            <w:r>
              <w:rPr>
                <w:rFonts w:ascii="Calibri"/>
                <w:spacing w:val="-3"/>
                <w:sz w:val="18"/>
              </w:rPr>
              <w:t xml:space="preserve"> </w:t>
            </w:r>
            <w:r>
              <w:rPr>
                <w:rFonts w:ascii="Calibri"/>
                <w:spacing w:val="-1"/>
                <w:sz w:val="18"/>
              </w:rPr>
              <w:t>considered.</w:t>
            </w:r>
            <w:r>
              <w:rPr>
                <w:rFonts w:ascii="Calibri"/>
                <w:spacing w:val="36"/>
                <w:sz w:val="18"/>
              </w:rPr>
              <w:t xml:space="preserve"> </w:t>
            </w:r>
            <w:r>
              <w:rPr>
                <w:rFonts w:ascii="Calibri"/>
                <w:sz w:val="18"/>
              </w:rPr>
              <w:t>PPL</w:t>
            </w:r>
            <w:r>
              <w:rPr>
                <w:rFonts w:ascii="Calibri"/>
                <w:spacing w:val="-1"/>
                <w:sz w:val="18"/>
              </w:rPr>
              <w:t xml:space="preserve"> will</w:t>
            </w:r>
            <w:r>
              <w:rPr>
                <w:rFonts w:ascii="Calibri"/>
                <w:spacing w:val="-3"/>
                <w:sz w:val="18"/>
              </w:rPr>
              <w:t xml:space="preserve"> </w:t>
            </w:r>
            <w:r>
              <w:rPr>
                <w:rFonts w:ascii="Calibri"/>
                <w:spacing w:val="-1"/>
                <w:sz w:val="18"/>
              </w:rPr>
              <w:t>certainly</w:t>
            </w:r>
            <w:r>
              <w:rPr>
                <w:rFonts w:ascii="Calibri"/>
                <w:spacing w:val="-2"/>
                <w:sz w:val="18"/>
              </w:rPr>
              <w:t xml:space="preserve"> </w:t>
            </w:r>
            <w:r>
              <w:rPr>
                <w:rFonts w:ascii="Calibri"/>
                <w:spacing w:val="-1"/>
                <w:sz w:val="18"/>
              </w:rPr>
              <w:t>monitor the</w:t>
            </w:r>
            <w:r>
              <w:rPr>
                <w:rFonts w:ascii="Calibri"/>
                <w:spacing w:val="-3"/>
                <w:sz w:val="18"/>
              </w:rPr>
              <w:t xml:space="preserve"> </w:t>
            </w:r>
            <w:r>
              <w:rPr>
                <w:rFonts w:ascii="Calibri"/>
                <w:sz w:val="18"/>
              </w:rPr>
              <w:t>PY8</w:t>
            </w:r>
            <w:r>
              <w:rPr>
                <w:rFonts w:ascii="Calibri"/>
                <w:spacing w:val="-2"/>
                <w:sz w:val="18"/>
              </w:rPr>
              <w:t xml:space="preserve"> </w:t>
            </w:r>
            <w:r>
              <w:rPr>
                <w:rFonts w:ascii="Calibri"/>
                <w:sz w:val="18"/>
              </w:rPr>
              <w:t>LED</w:t>
            </w:r>
            <w:r>
              <w:rPr>
                <w:rFonts w:ascii="Calibri"/>
                <w:spacing w:val="49"/>
                <w:sz w:val="18"/>
              </w:rPr>
              <w:t xml:space="preserve"> </w:t>
            </w:r>
            <w:r>
              <w:rPr>
                <w:rFonts w:ascii="Calibri"/>
                <w:spacing w:val="-1"/>
                <w:sz w:val="18"/>
              </w:rPr>
              <w:t>bulb</w:t>
            </w:r>
            <w:r>
              <w:rPr>
                <w:rFonts w:ascii="Calibri"/>
                <w:spacing w:val="-2"/>
                <w:sz w:val="18"/>
              </w:rPr>
              <w:t xml:space="preserve"> </w:t>
            </w:r>
            <w:r>
              <w:rPr>
                <w:rFonts w:ascii="Calibri"/>
                <w:spacing w:val="-1"/>
                <w:sz w:val="18"/>
              </w:rPr>
              <w:t>installation</w:t>
            </w:r>
            <w:r>
              <w:rPr>
                <w:rFonts w:ascii="Calibri"/>
                <w:spacing w:val="-4"/>
                <w:sz w:val="18"/>
              </w:rPr>
              <w:t xml:space="preserve"> </w:t>
            </w:r>
            <w:r>
              <w:rPr>
                <w:rFonts w:ascii="Calibri"/>
                <w:sz w:val="18"/>
              </w:rPr>
              <w:t>rate</w:t>
            </w:r>
            <w:r>
              <w:rPr>
                <w:rFonts w:ascii="Calibri"/>
                <w:spacing w:val="-3"/>
                <w:sz w:val="18"/>
              </w:rPr>
              <w:t xml:space="preserve"> </w:t>
            </w:r>
            <w:r>
              <w:rPr>
                <w:rFonts w:ascii="Calibri"/>
                <w:spacing w:val="-1"/>
                <w:sz w:val="18"/>
              </w:rPr>
              <w:t>and</w:t>
            </w:r>
            <w:r>
              <w:rPr>
                <w:rFonts w:ascii="Calibri"/>
                <w:spacing w:val="-2"/>
                <w:sz w:val="18"/>
              </w:rPr>
              <w:t xml:space="preserve"> </w:t>
            </w:r>
            <w:r>
              <w:rPr>
                <w:rFonts w:ascii="Calibri"/>
                <w:spacing w:val="-1"/>
                <w:sz w:val="18"/>
              </w:rPr>
              <w:t>determine</w:t>
            </w:r>
            <w:r>
              <w:rPr>
                <w:rFonts w:ascii="Calibri"/>
                <w:spacing w:val="-3"/>
                <w:sz w:val="18"/>
              </w:rPr>
              <w:t xml:space="preserve"> </w:t>
            </w:r>
            <w:r>
              <w:rPr>
                <w:rFonts w:ascii="Calibri"/>
                <w:sz w:val="18"/>
              </w:rPr>
              <w:t>if</w:t>
            </w:r>
            <w:r>
              <w:rPr>
                <w:rFonts w:ascii="Calibri"/>
                <w:spacing w:val="-4"/>
                <w:sz w:val="18"/>
              </w:rPr>
              <w:t xml:space="preserve"> </w:t>
            </w:r>
            <w:r>
              <w:rPr>
                <w:rFonts w:ascii="Calibri"/>
                <w:sz w:val="18"/>
              </w:rPr>
              <w:t>program</w:t>
            </w:r>
            <w:r>
              <w:rPr>
                <w:rFonts w:ascii="Calibri"/>
                <w:spacing w:val="-3"/>
                <w:sz w:val="18"/>
              </w:rPr>
              <w:t xml:space="preserve"> </w:t>
            </w:r>
            <w:r>
              <w:rPr>
                <w:rFonts w:ascii="Calibri"/>
                <w:spacing w:val="-1"/>
                <w:sz w:val="18"/>
              </w:rPr>
              <w:t>changes</w:t>
            </w:r>
            <w:r>
              <w:rPr>
                <w:rFonts w:ascii="Calibri"/>
                <w:spacing w:val="-4"/>
                <w:sz w:val="18"/>
              </w:rPr>
              <w:t xml:space="preserve"> </w:t>
            </w:r>
            <w:r>
              <w:rPr>
                <w:rFonts w:ascii="Calibri"/>
                <w:sz w:val="18"/>
              </w:rPr>
              <w:t>are</w:t>
            </w:r>
            <w:r>
              <w:rPr>
                <w:rFonts w:ascii="Calibri"/>
                <w:spacing w:val="47"/>
                <w:w w:val="99"/>
                <w:sz w:val="18"/>
              </w:rPr>
              <w:t xml:space="preserve"> </w:t>
            </w:r>
            <w:r>
              <w:rPr>
                <w:rFonts w:ascii="Calibri"/>
                <w:spacing w:val="-1"/>
                <w:sz w:val="18"/>
              </w:rPr>
              <w:t>required</w:t>
            </w:r>
            <w:r>
              <w:rPr>
                <w:rFonts w:ascii="Calibri"/>
                <w:spacing w:val="-4"/>
                <w:sz w:val="18"/>
              </w:rPr>
              <w:t xml:space="preserve"> </w:t>
            </w:r>
            <w:r>
              <w:rPr>
                <w:rFonts w:ascii="Calibri"/>
                <w:spacing w:val="-1"/>
                <w:sz w:val="18"/>
              </w:rPr>
              <w:t>(reduce</w:t>
            </w:r>
            <w:r>
              <w:rPr>
                <w:rFonts w:ascii="Calibri"/>
                <w:spacing w:val="-3"/>
                <w:sz w:val="18"/>
              </w:rPr>
              <w:t xml:space="preserve"> </w:t>
            </w:r>
            <w:r>
              <w:rPr>
                <w:rFonts w:ascii="Calibri"/>
                <w:sz w:val="18"/>
              </w:rPr>
              <w:t>the</w:t>
            </w:r>
            <w:r>
              <w:rPr>
                <w:rFonts w:ascii="Calibri"/>
                <w:spacing w:val="-1"/>
                <w:sz w:val="18"/>
              </w:rPr>
              <w:t xml:space="preserve"> number</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bulbs</w:t>
            </w:r>
            <w:r>
              <w:rPr>
                <w:rFonts w:ascii="Calibri"/>
                <w:spacing w:val="-3"/>
                <w:sz w:val="18"/>
              </w:rPr>
              <w:t xml:space="preserve"> </w:t>
            </w:r>
            <w:r>
              <w:rPr>
                <w:rFonts w:ascii="Calibri"/>
                <w:sz w:val="18"/>
              </w:rPr>
              <w:t>or</w:t>
            </w:r>
            <w:r>
              <w:rPr>
                <w:rFonts w:ascii="Calibri"/>
                <w:spacing w:val="-2"/>
                <w:sz w:val="18"/>
              </w:rPr>
              <w:t xml:space="preserve"> </w:t>
            </w:r>
            <w:r>
              <w:rPr>
                <w:rFonts w:ascii="Calibri"/>
                <w:spacing w:val="-1"/>
                <w:sz w:val="18"/>
              </w:rPr>
              <w:t>improve</w:t>
            </w:r>
            <w:r>
              <w:rPr>
                <w:rFonts w:ascii="Calibri"/>
                <w:spacing w:val="-4"/>
                <w:sz w:val="18"/>
              </w:rPr>
              <w:t xml:space="preserve"> </w:t>
            </w:r>
            <w:r>
              <w:rPr>
                <w:rFonts w:ascii="Calibri"/>
                <w:spacing w:val="-1"/>
                <w:sz w:val="18"/>
              </w:rPr>
              <w:t>messaging</w:t>
            </w:r>
            <w:r>
              <w:rPr>
                <w:rFonts w:ascii="Calibri"/>
                <w:spacing w:val="57"/>
                <w:w w:val="99"/>
                <w:sz w:val="18"/>
              </w:rPr>
              <w:t xml:space="preserve"> </w:t>
            </w:r>
            <w:r>
              <w:rPr>
                <w:rFonts w:ascii="Calibri"/>
                <w:sz w:val="18"/>
              </w:rPr>
              <w:t>to</w:t>
            </w:r>
            <w:r>
              <w:rPr>
                <w:rFonts w:ascii="Calibri"/>
                <w:spacing w:val="-3"/>
                <w:sz w:val="18"/>
              </w:rPr>
              <w:t xml:space="preserve"> </w:t>
            </w:r>
            <w:r>
              <w:rPr>
                <w:rFonts w:ascii="Calibri"/>
                <w:spacing w:val="-1"/>
                <w:sz w:val="18"/>
              </w:rPr>
              <w:t>encourage</w:t>
            </w:r>
            <w:r>
              <w:rPr>
                <w:rFonts w:ascii="Calibri"/>
                <w:spacing w:val="-3"/>
                <w:sz w:val="18"/>
              </w:rPr>
              <w:t xml:space="preserve"> </w:t>
            </w:r>
            <w:r>
              <w:rPr>
                <w:rFonts w:ascii="Calibri"/>
                <w:sz w:val="18"/>
              </w:rPr>
              <w:t>a</w:t>
            </w:r>
            <w:r>
              <w:rPr>
                <w:rFonts w:ascii="Calibri"/>
                <w:spacing w:val="-2"/>
                <w:sz w:val="18"/>
              </w:rPr>
              <w:t xml:space="preserve"> </w:t>
            </w:r>
            <w:r>
              <w:rPr>
                <w:rFonts w:ascii="Calibri"/>
                <w:spacing w:val="-1"/>
                <w:sz w:val="18"/>
              </w:rPr>
              <w:t xml:space="preserve">higher </w:t>
            </w:r>
            <w:r>
              <w:rPr>
                <w:rFonts w:ascii="Calibri"/>
                <w:sz w:val="18"/>
              </w:rPr>
              <w:t>installation</w:t>
            </w:r>
            <w:r>
              <w:rPr>
                <w:rFonts w:ascii="Calibri"/>
                <w:spacing w:val="-3"/>
                <w:sz w:val="18"/>
              </w:rPr>
              <w:t xml:space="preserve"> </w:t>
            </w:r>
            <w:r>
              <w:rPr>
                <w:rFonts w:ascii="Calibri"/>
                <w:spacing w:val="-1"/>
                <w:sz w:val="18"/>
              </w:rPr>
              <w:t>rate.)</w:t>
            </w:r>
          </w:p>
        </w:tc>
      </w:tr>
      <w:tr w:rsidR="00E646C9" w:rsidTr="00C3558F">
        <w:trPr>
          <w:trHeight w:hRule="exact" w:val="1334"/>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175"/>
              <w:rPr>
                <w:rFonts w:ascii="Calibri" w:eastAsia="Calibri" w:hAnsi="Calibri" w:cs="Calibri"/>
                <w:sz w:val="18"/>
                <w:szCs w:val="18"/>
              </w:rPr>
            </w:pPr>
            <w:r>
              <w:rPr>
                <w:rFonts w:ascii="Calibri"/>
                <w:spacing w:val="-1"/>
                <w:sz w:val="18"/>
              </w:rPr>
              <w:t>Consider</w:t>
            </w:r>
            <w:r>
              <w:rPr>
                <w:rFonts w:ascii="Calibri"/>
                <w:spacing w:val="-3"/>
                <w:sz w:val="18"/>
              </w:rPr>
              <w:t xml:space="preserve"> </w:t>
            </w:r>
            <w:r>
              <w:rPr>
                <w:rFonts w:ascii="Calibri"/>
                <w:spacing w:val="-1"/>
                <w:sz w:val="18"/>
              </w:rPr>
              <w:t>increasing</w:t>
            </w:r>
            <w:r>
              <w:rPr>
                <w:rFonts w:ascii="Calibri"/>
                <w:spacing w:val="-4"/>
                <w:sz w:val="18"/>
              </w:rPr>
              <w:t xml:space="preserve"> </w:t>
            </w:r>
            <w:r>
              <w:rPr>
                <w:rFonts w:ascii="Calibri"/>
                <w:sz w:val="18"/>
              </w:rPr>
              <w:t>the</w:t>
            </w:r>
            <w:r>
              <w:rPr>
                <w:rFonts w:ascii="Calibri"/>
                <w:spacing w:val="-5"/>
                <w:sz w:val="18"/>
              </w:rPr>
              <w:t xml:space="preserve"> </w:t>
            </w:r>
            <w:r>
              <w:rPr>
                <w:rFonts w:ascii="Calibri"/>
                <w:spacing w:val="-1"/>
                <w:sz w:val="18"/>
              </w:rPr>
              <w:t>grade-appropriate</w:t>
            </w:r>
            <w:r>
              <w:rPr>
                <w:rFonts w:ascii="Calibri"/>
                <w:spacing w:val="-5"/>
                <w:sz w:val="18"/>
              </w:rPr>
              <w:t xml:space="preserve"> </w:t>
            </w:r>
            <w:r>
              <w:rPr>
                <w:rFonts w:ascii="Calibri"/>
                <w:spacing w:val="-1"/>
                <w:sz w:val="18"/>
              </w:rPr>
              <w:t>classroom</w:t>
            </w:r>
            <w:r>
              <w:rPr>
                <w:rFonts w:ascii="Calibri"/>
                <w:spacing w:val="65"/>
                <w:w w:val="99"/>
                <w:sz w:val="18"/>
              </w:rPr>
              <w:t xml:space="preserve"> </w:t>
            </w:r>
            <w:r>
              <w:rPr>
                <w:rFonts w:ascii="Calibri"/>
                <w:spacing w:val="-1"/>
                <w:sz w:val="18"/>
              </w:rPr>
              <w:t>instructions</w:t>
            </w:r>
            <w:r>
              <w:rPr>
                <w:rFonts w:ascii="Calibri"/>
                <w:spacing w:val="-3"/>
                <w:sz w:val="18"/>
              </w:rPr>
              <w:t xml:space="preserve"> </w:t>
            </w:r>
            <w:r>
              <w:rPr>
                <w:rFonts w:ascii="Calibri"/>
                <w:sz w:val="18"/>
              </w:rPr>
              <w:t>and</w:t>
            </w:r>
            <w:r>
              <w:rPr>
                <w:rFonts w:ascii="Calibri"/>
                <w:spacing w:val="-3"/>
                <w:sz w:val="18"/>
              </w:rPr>
              <w:t xml:space="preserve"> </w:t>
            </w:r>
            <w:r>
              <w:rPr>
                <w:rFonts w:ascii="Calibri"/>
                <w:spacing w:val="-1"/>
                <w:sz w:val="18"/>
              </w:rPr>
              <w:t>discussion</w:t>
            </w:r>
            <w:r>
              <w:rPr>
                <w:rFonts w:ascii="Calibri"/>
                <w:spacing w:val="-2"/>
                <w:sz w:val="18"/>
              </w:rPr>
              <w:t xml:space="preserve"> </w:t>
            </w:r>
            <w:r>
              <w:rPr>
                <w:rFonts w:ascii="Calibri"/>
                <w:spacing w:val="-1"/>
                <w:sz w:val="18"/>
              </w:rPr>
              <w:t>about</w:t>
            </w:r>
            <w:r>
              <w:rPr>
                <w:rFonts w:ascii="Calibri"/>
                <w:sz w:val="18"/>
              </w:rPr>
              <w:t xml:space="preserve"> </w:t>
            </w:r>
            <w:r>
              <w:rPr>
                <w:rFonts w:ascii="Calibri"/>
                <w:spacing w:val="-1"/>
                <w:sz w:val="18"/>
              </w:rPr>
              <w:t>the</w:t>
            </w:r>
            <w:r>
              <w:rPr>
                <w:rFonts w:ascii="Calibri"/>
                <w:spacing w:val="-2"/>
                <w:sz w:val="18"/>
              </w:rPr>
              <w:t xml:space="preserve"> </w:t>
            </w:r>
            <w:r>
              <w:rPr>
                <w:rFonts w:ascii="Calibri"/>
                <w:spacing w:val="-1"/>
                <w:sz w:val="18"/>
              </w:rPr>
              <w:t>furnace</w:t>
            </w:r>
            <w:r>
              <w:rPr>
                <w:rFonts w:ascii="Calibri"/>
                <w:spacing w:val="-3"/>
                <w:sz w:val="18"/>
              </w:rPr>
              <w:t xml:space="preserve"> </w:t>
            </w:r>
            <w:r>
              <w:rPr>
                <w:rFonts w:ascii="Calibri"/>
                <w:spacing w:val="-1"/>
                <w:sz w:val="18"/>
              </w:rPr>
              <w:t>whistle,</w:t>
            </w:r>
            <w:r>
              <w:rPr>
                <w:rFonts w:ascii="Calibri"/>
                <w:spacing w:val="59"/>
                <w:w w:val="99"/>
                <w:sz w:val="18"/>
              </w:rPr>
              <w:t xml:space="preserve"> </w:t>
            </w:r>
            <w:r>
              <w:rPr>
                <w:rFonts w:ascii="Calibri"/>
                <w:spacing w:val="-1"/>
                <w:sz w:val="18"/>
              </w:rPr>
              <w:t>showerhead,</w:t>
            </w:r>
            <w:r>
              <w:rPr>
                <w:rFonts w:ascii="Calibri"/>
                <w:spacing w:val="-4"/>
                <w:sz w:val="18"/>
              </w:rPr>
              <w:t xml:space="preserve"> </w:t>
            </w:r>
            <w:r>
              <w:rPr>
                <w:rFonts w:ascii="Calibri"/>
                <w:sz w:val="18"/>
              </w:rPr>
              <w:t>and</w:t>
            </w:r>
            <w:r>
              <w:rPr>
                <w:rFonts w:ascii="Calibri"/>
                <w:spacing w:val="-4"/>
                <w:sz w:val="18"/>
              </w:rPr>
              <w:t xml:space="preserve"> </w:t>
            </w:r>
            <w:r>
              <w:rPr>
                <w:rFonts w:ascii="Calibri"/>
                <w:spacing w:val="-1"/>
                <w:sz w:val="18"/>
              </w:rPr>
              <w:t>faucet</w:t>
            </w:r>
            <w:r>
              <w:rPr>
                <w:rFonts w:ascii="Calibri"/>
                <w:spacing w:val="-3"/>
                <w:sz w:val="18"/>
              </w:rPr>
              <w:t xml:space="preserve"> </w:t>
            </w:r>
            <w:r>
              <w:rPr>
                <w:rFonts w:ascii="Calibri"/>
                <w:sz w:val="18"/>
              </w:rPr>
              <w:t>aerator</w:t>
            </w:r>
            <w:r>
              <w:rPr>
                <w:rFonts w:ascii="Calibri"/>
                <w:spacing w:val="-3"/>
                <w:sz w:val="18"/>
              </w:rPr>
              <w:t xml:space="preserve"> </w:t>
            </w:r>
            <w:r>
              <w:rPr>
                <w:rFonts w:ascii="Calibri"/>
                <w:spacing w:val="-1"/>
                <w:sz w:val="18"/>
              </w:rPr>
              <w:t>items</w:t>
            </w:r>
            <w:r>
              <w:rPr>
                <w:rFonts w:ascii="Calibri"/>
                <w:spacing w:val="-4"/>
                <w:sz w:val="18"/>
              </w:rPr>
              <w:t xml:space="preserve"> </w:t>
            </w:r>
            <w:r>
              <w:rPr>
                <w:rFonts w:ascii="Calibri"/>
                <w:sz w:val="18"/>
              </w:rPr>
              <w:t>to</w:t>
            </w:r>
            <w:r>
              <w:rPr>
                <w:rFonts w:ascii="Calibri"/>
                <w:spacing w:val="-3"/>
                <w:sz w:val="18"/>
              </w:rPr>
              <w:t xml:space="preserve"> </w:t>
            </w:r>
            <w:r>
              <w:rPr>
                <w:rFonts w:ascii="Calibri"/>
                <w:spacing w:val="-1"/>
                <w:sz w:val="18"/>
              </w:rPr>
              <w:t>encourage</w:t>
            </w:r>
            <w:r>
              <w:rPr>
                <w:rFonts w:ascii="Calibri"/>
                <w:spacing w:val="31"/>
                <w:w w:val="99"/>
                <w:sz w:val="18"/>
              </w:rPr>
              <w:t xml:space="preserve"> </w:t>
            </w:r>
            <w:r>
              <w:rPr>
                <w:rFonts w:ascii="Calibri"/>
                <w:spacing w:val="-1"/>
                <w:sz w:val="18"/>
              </w:rPr>
              <w:t>installation.</w:t>
            </w:r>
            <w:r>
              <w:rPr>
                <w:rFonts w:ascii="Calibri"/>
                <w:spacing w:val="-2"/>
                <w:sz w:val="18"/>
              </w:rPr>
              <w:t xml:space="preserve"> </w:t>
            </w:r>
            <w:r>
              <w:rPr>
                <w:rFonts w:ascii="Calibri"/>
                <w:spacing w:val="-1"/>
                <w:sz w:val="18"/>
              </w:rPr>
              <w:t>Consider</w:t>
            </w:r>
            <w:r>
              <w:rPr>
                <w:rFonts w:ascii="Calibri"/>
                <w:spacing w:val="-2"/>
                <w:sz w:val="18"/>
              </w:rPr>
              <w:t xml:space="preserve"> </w:t>
            </w:r>
            <w:r>
              <w:rPr>
                <w:rFonts w:ascii="Calibri"/>
                <w:spacing w:val="-1"/>
                <w:sz w:val="18"/>
              </w:rPr>
              <w:t>other</w:t>
            </w:r>
            <w:r>
              <w:rPr>
                <w:rFonts w:ascii="Calibri"/>
                <w:sz w:val="18"/>
              </w:rPr>
              <w:t xml:space="preserve"> </w:t>
            </w:r>
            <w:r>
              <w:rPr>
                <w:rFonts w:ascii="Calibri"/>
                <w:spacing w:val="-1"/>
                <w:sz w:val="18"/>
              </w:rPr>
              <w:t>ideas</w:t>
            </w:r>
            <w:r>
              <w:rPr>
                <w:rFonts w:ascii="Calibri"/>
                <w:sz w:val="18"/>
              </w:rPr>
              <w:t xml:space="preserve"> to</w:t>
            </w:r>
            <w:r>
              <w:rPr>
                <w:rFonts w:ascii="Calibri"/>
                <w:spacing w:val="-2"/>
                <w:sz w:val="18"/>
              </w:rPr>
              <w:t xml:space="preserve"> </w:t>
            </w:r>
            <w:r>
              <w:rPr>
                <w:rFonts w:ascii="Calibri"/>
                <w:spacing w:val="-1"/>
                <w:sz w:val="18"/>
              </w:rPr>
              <w:t>increase</w:t>
            </w:r>
            <w:r>
              <w:rPr>
                <w:rFonts w:ascii="Calibri"/>
                <w:spacing w:val="-3"/>
                <w:sz w:val="18"/>
              </w:rPr>
              <w:t xml:space="preserve"> </w:t>
            </w:r>
            <w:r>
              <w:rPr>
                <w:rFonts w:ascii="Calibri"/>
                <w:spacing w:val="-1"/>
                <w:sz w:val="18"/>
              </w:rPr>
              <w:t>installation</w:t>
            </w:r>
            <w:r>
              <w:rPr>
                <w:rFonts w:ascii="Calibri"/>
                <w:spacing w:val="65"/>
                <w:sz w:val="18"/>
              </w:rPr>
              <w:t xml:space="preserve"> </w:t>
            </w:r>
            <w:r>
              <w:rPr>
                <w:rFonts w:ascii="Calibri"/>
                <w:spacing w:val="-1"/>
                <w:sz w:val="18"/>
              </w:rPr>
              <w:t>rates,</w:t>
            </w:r>
            <w:r>
              <w:rPr>
                <w:rFonts w:ascii="Calibri"/>
                <w:spacing w:val="-2"/>
                <w:sz w:val="18"/>
              </w:rPr>
              <w:t xml:space="preserve"> </w:t>
            </w:r>
            <w:r>
              <w:rPr>
                <w:rFonts w:ascii="Calibri"/>
                <w:spacing w:val="-1"/>
                <w:sz w:val="18"/>
              </w:rPr>
              <w:t>other than,</w:t>
            </w:r>
            <w:r>
              <w:rPr>
                <w:rFonts w:ascii="Calibri"/>
                <w:spacing w:val="-2"/>
                <w:sz w:val="18"/>
              </w:rPr>
              <w:t xml:space="preserve"> </w:t>
            </w:r>
            <w:r>
              <w:rPr>
                <w:rFonts w:ascii="Calibri"/>
                <w:sz w:val="18"/>
              </w:rPr>
              <w:t>or</w:t>
            </w:r>
            <w:r>
              <w:rPr>
                <w:rFonts w:ascii="Calibri"/>
                <w:spacing w:val="-1"/>
                <w:sz w:val="18"/>
              </w:rPr>
              <w:t xml:space="preserve"> in addition</w:t>
            </w:r>
            <w:r>
              <w:rPr>
                <w:rFonts w:ascii="Calibri"/>
                <w:spacing w:val="-3"/>
                <w:sz w:val="18"/>
              </w:rPr>
              <w:t xml:space="preserve"> </w:t>
            </w:r>
            <w:r>
              <w:rPr>
                <w:rFonts w:ascii="Calibri"/>
                <w:sz w:val="18"/>
              </w:rPr>
              <w:t>to,</w:t>
            </w:r>
            <w:r>
              <w:rPr>
                <w:rFonts w:ascii="Calibri"/>
                <w:spacing w:val="-1"/>
                <w:sz w:val="18"/>
              </w:rPr>
              <w:t xml:space="preserve"> changing</w:t>
            </w:r>
            <w:r>
              <w:rPr>
                <w:rFonts w:ascii="Calibri"/>
                <w:spacing w:val="-2"/>
                <w:sz w:val="18"/>
              </w:rPr>
              <w:t xml:space="preserve"> </w:t>
            </w:r>
            <w:r>
              <w:rPr>
                <w:rFonts w:ascii="Calibri"/>
                <w:sz w:val="18"/>
              </w:rPr>
              <w:t>the</w:t>
            </w:r>
            <w:r>
              <w:rPr>
                <w:rFonts w:ascii="Calibri"/>
                <w:spacing w:val="-3"/>
                <w:sz w:val="18"/>
              </w:rPr>
              <w:t xml:space="preserve"> </w:t>
            </w:r>
            <w:r>
              <w:rPr>
                <w:rFonts w:ascii="Calibri"/>
                <w:spacing w:val="-1"/>
                <w:sz w:val="18"/>
              </w:rPr>
              <w:t>products</w:t>
            </w:r>
            <w:r>
              <w:rPr>
                <w:rFonts w:ascii="Calibri"/>
                <w:spacing w:val="-3"/>
                <w:sz w:val="18"/>
              </w:rPr>
              <w:t xml:space="preserve"> </w:t>
            </w:r>
            <w:r>
              <w:rPr>
                <w:rFonts w:ascii="Calibri"/>
                <w:sz w:val="18"/>
              </w:rPr>
              <w:t>in</w:t>
            </w:r>
            <w:r>
              <w:rPr>
                <w:rFonts w:ascii="Calibri"/>
                <w:spacing w:val="63"/>
                <w:sz w:val="18"/>
              </w:rPr>
              <w:t xml:space="preserve"> </w:t>
            </w:r>
            <w:r>
              <w:rPr>
                <w:rFonts w:ascii="Calibri"/>
                <w:spacing w:val="-1"/>
                <w:sz w:val="18"/>
              </w:rPr>
              <w:t>the</w:t>
            </w:r>
            <w:r>
              <w:rPr>
                <w:rFonts w:ascii="Calibri"/>
                <w:spacing w:val="-2"/>
                <w:sz w:val="18"/>
              </w:rPr>
              <w:t xml:space="preserve"> </w:t>
            </w:r>
            <w:r>
              <w:rPr>
                <w:rFonts w:ascii="Calibri"/>
                <w:spacing w:val="-1"/>
                <w:sz w:val="18"/>
              </w:rPr>
              <w:t>kit.</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ind w:left="99" w:right="338"/>
              <w:rPr>
                <w:rFonts w:ascii="Calibri" w:eastAsia="Calibri" w:hAnsi="Calibri" w:cs="Calibri"/>
                <w:sz w:val="18"/>
                <w:szCs w:val="18"/>
              </w:rPr>
            </w:pPr>
            <w:r>
              <w:rPr>
                <w:rFonts w:ascii="Calibri"/>
                <w:spacing w:val="-1"/>
                <w:sz w:val="18"/>
              </w:rPr>
              <w:t>Will</w:t>
            </w:r>
            <w:r>
              <w:rPr>
                <w:rFonts w:ascii="Calibri"/>
                <w:spacing w:val="-4"/>
                <w:sz w:val="18"/>
              </w:rPr>
              <w:t xml:space="preserve"> </w:t>
            </w:r>
            <w:r>
              <w:rPr>
                <w:rFonts w:ascii="Calibri"/>
                <w:spacing w:val="-1"/>
                <w:sz w:val="18"/>
              </w:rPr>
              <w:t>be</w:t>
            </w:r>
            <w:r>
              <w:rPr>
                <w:rFonts w:ascii="Calibri"/>
                <w:spacing w:val="-4"/>
                <w:sz w:val="18"/>
              </w:rPr>
              <w:t xml:space="preserve"> </w:t>
            </w:r>
            <w:r>
              <w:rPr>
                <w:rFonts w:ascii="Calibri"/>
                <w:spacing w:val="-1"/>
                <w:sz w:val="18"/>
              </w:rPr>
              <w:t>implemented.</w:t>
            </w:r>
            <w:r>
              <w:rPr>
                <w:rFonts w:ascii="Calibri"/>
                <w:spacing w:val="-4"/>
                <w:sz w:val="18"/>
              </w:rPr>
              <w:t xml:space="preserve"> </w:t>
            </w:r>
            <w:r>
              <w:rPr>
                <w:rFonts w:ascii="Calibri"/>
                <w:spacing w:val="-1"/>
                <w:sz w:val="18"/>
              </w:rPr>
              <w:t>Since</w:t>
            </w:r>
            <w:r>
              <w:rPr>
                <w:rFonts w:ascii="Calibri"/>
                <w:spacing w:val="-3"/>
                <w:sz w:val="18"/>
              </w:rPr>
              <w:t xml:space="preserve"> </w:t>
            </w:r>
            <w:r>
              <w:rPr>
                <w:rFonts w:ascii="Calibri"/>
                <w:spacing w:val="-1"/>
                <w:sz w:val="18"/>
              </w:rPr>
              <w:t>the</w:t>
            </w:r>
            <w:r>
              <w:rPr>
                <w:rFonts w:ascii="Calibri"/>
                <w:spacing w:val="-2"/>
                <w:sz w:val="18"/>
              </w:rPr>
              <w:t xml:space="preserve"> </w:t>
            </w:r>
            <w:r>
              <w:rPr>
                <w:rFonts w:ascii="Calibri"/>
                <w:sz w:val="18"/>
              </w:rPr>
              <w:t>program</w:t>
            </w:r>
            <w:r>
              <w:rPr>
                <w:rFonts w:ascii="Calibri"/>
                <w:spacing w:val="-4"/>
                <w:sz w:val="18"/>
              </w:rPr>
              <w:t xml:space="preserve"> </w:t>
            </w:r>
            <w:r>
              <w:rPr>
                <w:rFonts w:ascii="Calibri"/>
                <w:spacing w:val="-1"/>
                <w:sz w:val="18"/>
              </w:rPr>
              <w:t>is</w:t>
            </w:r>
            <w:r>
              <w:rPr>
                <w:rFonts w:ascii="Calibri"/>
                <w:spacing w:val="-4"/>
                <w:sz w:val="18"/>
              </w:rPr>
              <w:t xml:space="preserve"> </w:t>
            </w:r>
            <w:r>
              <w:rPr>
                <w:rFonts w:ascii="Calibri"/>
                <w:spacing w:val="-1"/>
                <w:sz w:val="18"/>
              </w:rPr>
              <w:t>well</w:t>
            </w:r>
            <w:r>
              <w:rPr>
                <w:rFonts w:ascii="Calibri"/>
                <w:spacing w:val="-3"/>
                <w:sz w:val="18"/>
              </w:rPr>
              <w:t xml:space="preserve"> </w:t>
            </w:r>
            <w:r>
              <w:rPr>
                <w:rFonts w:ascii="Calibri"/>
                <w:spacing w:val="-1"/>
                <w:sz w:val="18"/>
              </w:rPr>
              <w:t>underway</w:t>
            </w:r>
            <w:r>
              <w:rPr>
                <w:rFonts w:ascii="Calibri"/>
                <w:spacing w:val="57"/>
                <w:w w:val="99"/>
                <w:sz w:val="18"/>
              </w:rPr>
              <w:t xml:space="preserve"> </w:t>
            </w:r>
            <w:r>
              <w:rPr>
                <w:rFonts w:ascii="Calibri"/>
                <w:sz w:val="18"/>
              </w:rPr>
              <w:t>for</w:t>
            </w:r>
            <w:r>
              <w:rPr>
                <w:rFonts w:ascii="Calibri"/>
                <w:spacing w:val="-2"/>
                <w:sz w:val="18"/>
              </w:rPr>
              <w:t xml:space="preserve"> </w:t>
            </w:r>
            <w:r>
              <w:rPr>
                <w:rFonts w:ascii="Calibri"/>
                <w:sz w:val="18"/>
              </w:rPr>
              <w:t>PY8,</w:t>
            </w:r>
            <w:r>
              <w:rPr>
                <w:rFonts w:ascii="Calibri"/>
                <w:spacing w:val="-4"/>
                <w:sz w:val="18"/>
              </w:rPr>
              <w:t xml:space="preserve"> </w:t>
            </w:r>
            <w:r>
              <w:rPr>
                <w:rFonts w:ascii="Calibri"/>
                <w:spacing w:val="-1"/>
                <w:sz w:val="18"/>
              </w:rPr>
              <w:t>any</w:t>
            </w:r>
            <w:r>
              <w:rPr>
                <w:rFonts w:ascii="Calibri"/>
                <w:spacing w:val="-2"/>
                <w:sz w:val="18"/>
              </w:rPr>
              <w:t xml:space="preserve"> </w:t>
            </w:r>
            <w:r>
              <w:rPr>
                <w:rFonts w:ascii="Calibri"/>
                <w:spacing w:val="-1"/>
                <w:sz w:val="18"/>
              </w:rPr>
              <w:t>changes</w:t>
            </w:r>
            <w:r>
              <w:rPr>
                <w:rFonts w:ascii="Calibri"/>
                <w:spacing w:val="-2"/>
                <w:sz w:val="18"/>
              </w:rPr>
              <w:t xml:space="preserve"> </w:t>
            </w:r>
            <w:r>
              <w:rPr>
                <w:rFonts w:ascii="Calibri"/>
                <w:spacing w:val="-1"/>
                <w:sz w:val="18"/>
              </w:rPr>
              <w:t>will likely</w:t>
            </w:r>
            <w:r>
              <w:rPr>
                <w:rFonts w:ascii="Calibri"/>
                <w:sz w:val="18"/>
              </w:rPr>
              <w:t xml:space="preserve"> </w:t>
            </w:r>
            <w:r>
              <w:rPr>
                <w:rFonts w:ascii="Calibri"/>
                <w:spacing w:val="-1"/>
                <w:sz w:val="18"/>
              </w:rPr>
              <w:t xml:space="preserve">be </w:t>
            </w:r>
            <w:r>
              <w:rPr>
                <w:rFonts w:ascii="Calibri"/>
                <w:sz w:val="18"/>
              </w:rPr>
              <w:t>for</w:t>
            </w:r>
            <w:r>
              <w:rPr>
                <w:rFonts w:ascii="Calibri"/>
                <w:spacing w:val="-2"/>
                <w:sz w:val="18"/>
              </w:rPr>
              <w:t xml:space="preserve"> </w:t>
            </w:r>
            <w:r>
              <w:rPr>
                <w:rFonts w:ascii="Calibri"/>
                <w:sz w:val="18"/>
              </w:rPr>
              <w:t>PY9.</w:t>
            </w:r>
          </w:p>
        </w:tc>
      </w:tr>
      <w:tr w:rsidR="00E646C9" w:rsidTr="00C3558F">
        <w:trPr>
          <w:trHeight w:hRule="exact" w:val="677"/>
        </w:trPr>
        <w:tc>
          <w:tcPr>
            <w:tcW w:w="4680" w:type="dxa"/>
            <w:tcBorders>
              <w:top w:val="single" w:sz="7" w:space="0" w:color="448999"/>
              <w:left w:val="single" w:sz="8" w:space="0" w:color="448999"/>
              <w:bottom w:val="single" w:sz="8" w:space="0" w:color="448999"/>
              <w:right w:val="single" w:sz="7" w:space="0" w:color="448999"/>
            </w:tcBorders>
          </w:tcPr>
          <w:p w:rsidR="00E646C9" w:rsidRDefault="00E646C9" w:rsidP="00C94D5A">
            <w:pPr>
              <w:pStyle w:val="TableParagraph"/>
              <w:ind w:left="97" w:right="113"/>
              <w:rPr>
                <w:rFonts w:ascii="Calibri" w:eastAsia="Calibri" w:hAnsi="Calibri" w:cs="Calibri"/>
                <w:sz w:val="18"/>
                <w:szCs w:val="18"/>
              </w:rPr>
            </w:pPr>
            <w:r>
              <w:rPr>
                <w:rFonts w:ascii="Calibri"/>
                <w:spacing w:val="-1"/>
                <w:sz w:val="18"/>
              </w:rPr>
              <w:t>Consider</w:t>
            </w:r>
            <w:r>
              <w:rPr>
                <w:rFonts w:ascii="Calibri"/>
                <w:spacing w:val="-3"/>
                <w:sz w:val="18"/>
              </w:rPr>
              <w:t xml:space="preserve"> </w:t>
            </w:r>
            <w:r>
              <w:rPr>
                <w:rFonts w:ascii="Calibri"/>
                <w:sz w:val="18"/>
              </w:rPr>
              <w:t>a</w:t>
            </w:r>
            <w:r>
              <w:rPr>
                <w:rFonts w:ascii="Calibri"/>
                <w:spacing w:val="-1"/>
                <w:sz w:val="18"/>
              </w:rPr>
              <w:t xml:space="preserve"> streamlined</w:t>
            </w:r>
            <w:r>
              <w:rPr>
                <w:rFonts w:ascii="Calibri"/>
                <w:spacing w:val="-3"/>
                <w:sz w:val="18"/>
              </w:rPr>
              <w:t xml:space="preserve"> </w:t>
            </w:r>
            <w:r>
              <w:rPr>
                <w:rFonts w:ascii="Calibri"/>
                <w:sz w:val="18"/>
              </w:rPr>
              <w:t>HEW</w:t>
            </w:r>
            <w:r>
              <w:rPr>
                <w:rFonts w:ascii="Calibri"/>
                <w:spacing w:val="-3"/>
                <w:sz w:val="18"/>
              </w:rPr>
              <w:t xml:space="preserve"> </w:t>
            </w:r>
            <w:r>
              <w:rPr>
                <w:rFonts w:ascii="Calibri"/>
                <w:spacing w:val="-1"/>
                <w:sz w:val="18"/>
              </w:rPr>
              <w:t>data</w:t>
            </w:r>
            <w:r>
              <w:rPr>
                <w:rFonts w:ascii="Calibri"/>
                <w:spacing w:val="-2"/>
                <w:sz w:val="18"/>
              </w:rPr>
              <w:t xml:space="preserve"> </w:t>
            </w:r>
            <w:r>
              <w:rPr>
                <w:rFonts w:ascii="Calibri"/>
                <w:spacing w:val="-1"/>
                <w:sz w:val="18"/>
              </w:rPr>
              <w:t>collection</w:t>
            </w:r>
            <w:r>
              <w:rPr>
                <w:rFonts w:ascii="Calibri"/>
                <w:spacing w:val="-4"/>
                <w:sz w:val="18"/>
              </w:rPr>
              <w:t xml:space="preserve"> </w:t>
            </w:r>
            <w:r>
              <w:rPr>
                <w:rFonts w:ascii="Calibri"/>
                <w:spacing w:val="-1"/>
                <w:sz w:val="18"/>
              </w:rPr>
              <w:t>process</w:t>
            </w:r>
            <w:r>
              <w:rPr>
                <w:rFonts w:ascii="Calibri"/>
                <w:spacing w:val="-3"/>
                <w:sz w:val="18"/>
              </w:rPr>
              <w:t xml:space="preserve"> </w:t>
            </w:r>
            <w:r>
              <w:rPr>
                <w:rFonts w:ascii="Calibri"/>
                <w:spacing w:val="-1"/>
                <w:sz w:val="18"/>
              </w:rPr>
              <w:t>where</w:t>
            </w:r>
            <w:r>
              <w:rPr>
                <w:rFonts w:ascii="Calibri"/>
                <w:spacing w:val="59"/>
                <w:w w:val="99"/>
                <w:sz w:val="18"/>
              </w:rPr>
              <w:t xml:space="preserve"> </w:t>
            </w:r>
            <w:r>
              <w:rPr>
                <w:rFonts w:ascii="Calibri"/>
                <w:sz w:val="18"/>
              </w:rPr>
              <w:t>all</w:t>
            </w:r>
            <w:r>
              <w:rPr>
                <w:rFonts w:ascii="Calibri"/>
                <w:spacing w:val="-3"/>
                <w:sz w:val="18"/>
              </w:rPr>
              <w:t xml:space="preserve"> </w:t>
            </w:r>
            <w:r>
              <w:rPr>
                <w:rFonts w:ascii="Calibri"/>
                <w:spacing w:val="-1"/>
                <w:sz w:val="18"/>
              </w:rPr>
              <w:t>student</w:t>
            </w:r>
            <w:r>
              <w:rPr>
                <w:rFonts w:ascii="Calibri"/>
                <w:spacing w:val="-2"/>
                <w:sz w:val="18"/>
              </w:rPr>
              <w:t xml:space="preserve"> </w:t>
            </w:r>
            <w:r>
              <w:rPr>
                <w:rFonts w:ascii="Calibri"/>
                <w:spacing w:val="-1"/>
                <w:sz w:val="18"/>
              </w:rPr>
              <w:t>cohorts</w:t>
            </w:r>
            <w:r>
              <w:rPr>
                <w:rFonts w:ascii="Calibri"/>
                <w:spacing w:val="-2"/>
                <w:sz w:val="18"/>
              </w:rPr>
              <w:t xml:space="preserve"> </w:t>
            </w:r>
            <w:r>
              <w:rPr>
                <w:rFonts w:ascii="Calibri"/>
                <w:sz w:val="18"/>
              </w:rPr>
              <w:t>can</w:t>
            </w:r>
            <w:r>
              <w:rPr>
                <w:rFonts w:ascii="Calibri"/>
                <w:spacing w:val="-2"/>
                <w:sz w:val="18"/>
              </w:rPr>
              <w:t xml:space="preserve"> </w:t>
            </w:r>
            <w:r>
              <w:rPr>
                <w:rFonts w:ascii="Calibri"/>
                <w:sz w:val="18"/>
              </w:rPr>
              <w:t>input</w:t>
            </w:r>
            <w:r>
              <w:rPr>
                <w:rFonts w:ascii="Calibri"/>
                <w:spacing w:val="-1"/>
                <w:sz w:val="18"/>
              </w:rPr>
              <w:t xml:space="preserve"> </w:t>
            </w:r>
            <w:r>
              <w:rPr>
                <w:rFonts w:ascii="Calibri"/>
                <w:sz w:val="18"/>
              </w:rPr>
              <w:t xml:space="preserve">the </w:t>
            </w:r>
            <w:r>
              <w:rPr>
                <w:rFonts w:ascii="Calibri"/>
                <w:spacing w:val="-1"/>
                <w:sz w:val="18"/>
              </w:rPr>
              <w:t>data online instead</w:t>
            </w:r>
            <w:r>
              <w:rPr>
                <w:rFonts w:ascii="Calibri"/>
                <w:spacing w:val="-2"/>
                <w:sz w:val="18"/>
              </w:rPr>
              <w:t xml:space="preserve"> </w:t>
            </w:r>
            <w:r>
              <w:rPr>
                <w:rFonts w:ascii="Calibri"/>
                <w:sz w:val="18"/>
              </w:rPr>
              <w:t>of</w:t>
            </w:r>
            <w:r>
              <w:rPr>
                <w:rFonts w:ascii="Calibri"/>
                <w:spacing w:val="-2"/>
                <w:sz w:val="18"/>
              </w:rPr>
              <w:t xml:space="preserve"> </w:t>
            </w:r>
            <w:r>
              <w:rPr>
                <w:rFonts w:ascii="Calibri"/>
                <w:spacing w:val="-1"/>
                <w:sz w:val="18"/>
              </w:rPr>
              <w:t>filling</w:t>
            </w:r>
            <w:r>
              <w:rPr>
                <w:rFonts w:ascii="Calibri"/>
                <w:spacing w:val="51"/>
                <w:w w:val="99"/>
                <w:sz w:val="18"/>
              </w:rPr>
              <w:t xml:space="preserve"> </w:t>
            </w:r>
            <w:r>
              <w:rPr>
                <w:rFonts w:ascii="Calibri"/>
                <w:spacing w:val="-1"/>
                <w:sz w:val="18"/>
              </w:rPr>
              <w:t>out</w:t>
            </w:r>
            <w:r>
              <w:rPr>
                <w:rFonts w:ascii="Calibri"/>
                <w:spacing w:val="-2"/>
                <w:sz w:val="18"/>
              </w:rPr>
              <w:t xml:space="preserve"> </w:t>
            </w:r>
            <w:r>
              <w:rPr>
                <w:rFonts w:ascii="Calibri"/>
                <w:sz w:val="18"/>
              </w:rPr>
              <w:t>a</w:t>
            </w:r>
            <w:r>
              <w:rPr>
                <w:rFonts w:ascii="Calibri"/>
                <w:spacing w:val="-2"/>
                <w:sz w:val="18"/>
              </w:rPr>
              <w:t xml:space="preserve"> </w:t>
            </w:r>
            <w:r>
              <w:rPr>
                <w:rFonts w:ascii="Calibri"/>
                <w:spacing w:val="-1"/>
                <w:sz w:val="18"/>
              </w:rPr>
              <w:t>Scantron</w:t>
            </w:r>
            <w:r>
              <w:rPr>
                <w:rFonts w:ascii="Calibri"/>
                <w:spacing w:val="-3"/>
                <w:sz w:val="18"/>
              </w:rPr>
              <w:t xml:space="preserve"> </w:t>
            </w:r>
            <w:r>
              <w:rPr>
                <w:rFonts w:ascii="Calibri"/>
                <w:sz w:val="18"/>
              </w:rPr>
              <w:t>form.</w:t>
            </w:r>
          </w:p>
        </w:tc>
        <w:tc>
          <w:tcPr>
            <w:tcW w:w="4681" w:type="dxa"/>
            <w:tcBorders>
              <w:top w:val="single" w:sz="7" w:space="0" w:color="448999"/>
              <w:left w:val="single" w:sz="7" w:space="0" w:color="448999"/>
              <w:bottom w:val="single" w:sz="8" w:space="0" w:color="448999"/>
              <w:right w:val="single" w:sz="8" w:space="0" w:color="448999"/>
            </w:tcBorders>
          </w:tcPr>
          <w:p w:rsidR="00E646C9" w:rsidRDefault="00E646C9" w:rsidP="00C94D5A">
            <w:pPr>
              <w:pStyle w:val="TableParagraph"/>
              <w:ind w:left="99" w:right="361"/>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4"/>
                <w:sz w:val="18"/>
              </w:rPr>
              <w:t xml:space="preserve"> </w:t>
            </w:r>
            <w:r>
              <w:rPr>
                <w:rFonts w:ascii="Calibri"/>
                <w:spacing w:val="-1"/>
                <w:sz w:val="18"/>
              </w:rPr>
              <w:t>Since</w:t>
            </w:r>
            <w:r>
              <w:rPr>
                <w:rFonts w:ascii="Calibri"/>
                <w:spacing w:val="-4"/>
                <w:sz w:val="18"/>
              </w:rPr>
              <w:t xml:space="preserve"> </w:t>
            </w:r>
            <w:r>
              <w:rPr>
                <w:rFonts w:ascii="Calibri"/>
                <w:sz w:val="18"/>
              </w:rPr>
              <w:t>the</w:t>
            </w:r>
            <w:r>
              <w:rPr>
                <w:rFonts w:ascii="Calibri"/>
                <w:spacing w:val="-3"/>
                <w:sz w:val="18"/>
              </w:rPr>
              <w:t xml:space="preserve"> </w:t>
            </w:r>
            <w:r>
              <w:rPr>
                <w:rFonts w:ascii="Calibri"/>
                <w:spacing w:val="-1"/>
                <w:sz w:val="18"/>
              </w:rPr>
              <w:t>program</w:t>
            </w:r>
            <w:r>
              <w:rPr>
                <w:rFonts w:ascii="Calibri"/>
                <w:spacing w:val="-3"/>
                <w:sz w:val="18"/>
              </w:rPr>
              <w:t xml:space="preserve"> </w:t>
            </w:r>
            <w:r>
              <w:rPr>
                <w:rFonts w:ascii="Calibri"/>
                <w:sz w:val="18"/>
              </w:rPr>
              <w:t>is</w:t>
            </w:r>
            <w:r>
              <w:rPr>
                <w:rFonts w:ascii="Calibri"/>
                <w:spacing w:val="-4"/>
                <w:sz w:val="18"/>
              </w:rPr>
              <w:t xml:space="preserve"> </w:t>
            </w:r>
            <w:r>
              <w:rPr>
                <w:rFonts w:ascii="Calibri"/>
                <w:spacing w:val="-1"/>
                <w:sz w:val="18"/>
              </w:rPr>
              <w:t>well</w:t>
            </w:r>
            <w:r>
              <w:rPr>
                <w:rFonts w:ascii="Calibri"/>
                <w:spacing w:val="-3"/>
                <w:sz w:val="18"/>
              </w:rPr>
              <w:t xml:space="preserve"> </w:t>
            </w:r>
            <w:r>
              <w:rPr>
                <w:rFonts w:ascii="Calibri"/>
                <w:spacing w:val="-1"/>
                <w:sz w:val="18"/>
              </w:rPr>
              <w:t>underway</w:t>
            </w:r>
            <w:r>
              <w:rPr>
                <w:rFonts w:ascii="Calibri"/>
                <w:spacing w:val="-3"/>
                <w:sz w:val="18"/>
              </w:rPr>
              <w:t xml:space="preserve"> </w:t>
            </w:r>
            <w:r>
              <w:rPr>
                <w:rFonts w:ascii="Calibri"/>
                <w:sz w:val="18"/>
              </w:rPr>
              <w:t>for</w:t>
            </w:r>
            <w:r>
              <w:rPr>
                <w:rFonts w:ascii="Calibri"/>
                <w:spacing w:val="59"/>
                <w:w w:val="99"/>
                <w:sz w:val="18"/>
              </w:rPr>
              <w:t xml:space="preserve"> </w:t>
            </w:r>
            <w:r>
              <w:rPr>
                <w:rFonts w:ascii="Calibri"/>
                <w:sz w:val="18"/>
              </w:rPr>
              <w:t>PY8,</w:t>
            </w:r>
            <w:r>
              <w:rPr>
                <w:rFonts w:ascii="Calibri"/>
                <w:spacing w:val="-2"/>
                <w:sz w:val="18"/>
              </w:rPr>
              <w:t xml:space="preserve"> </w:t>
            </w:r>
            <w:r>
              <w:rPr>
                <w:rFonts w:ascii="Calibri"/>
                <w:spacing w:val="-1"/>
                <w:sz w:val="18"/>
              </w:rPr>
              <w:t>any</w:t>
            </w:r>
            <w:r>
              <w:rPr>
                <w:rFonts w:ascii="Calibri"/>
                <w:spacing w:val="-2"/>
                <w:sz w:val="18"/>
              </w:rPr>
              <w:t xml:space="preserve"> </w:t>
            </w:r>
            <w:r>
              <w:rPr>
                <w:rFonts w:ascii="Calibri"/>
                <w:spacing w:val="-1"/>
                <w:sz w:val="18"/>
              </w:rPr>
              <w:t>changes</w:t>
            </w:r>
            <w:r>
              <w:rPr>
                <w:rFonts w:ascii="Calibri"/>
                <w:spacing w:val="-3"/>
                <w:sz w:val="18"/>
              </w:rPr>
              <w:t xml:space="preserve"> </w:t>
            </w:r>
            <w:r>
              <w:rPr>
                <w:rFonts w:ascii="Calibri"/>
                <w:spacing w:val="-1"/>
                <w:sz w:val="18"/>
              </w:rPr>
              <w:t>will</w:t>
            </w:r>
            <w:r>
              <w:rPr>
                <w:rFonts w:ascii="Calibri"/>
                <w:spacing w:val="-3"/>
                <w:sz w:val="18"/>
              </w:rPr>
              <w:t xml:space="preserve"> </w:t>
            </w:r>
            <w:r>
              <w:rPr>
                <w:rFonts w:ascii="Calibri"/>
                <w:spacing w:val="-1"/>
                <w:sz w:val="18"/>
              </w:rPr>
              <w:t>likely</w:t>
            </w:r>
            <w:r>
              <w:rPr>
                <w:rFonts w:ascii="Calibri"/>
                <w:spacing w:val="-2"/>
                <w:sz w:val="18"/>
              </w:rPr>
              <w:t xml:space="preserve"> </w:t>
            </w:r>
            <w:r>
              <w:rPr>
                <w:rFonts w:ascii="Calibri"/>
                <w:sz w:val="18"/>
              </w:rPr>
              <w:t>be</w:t>
            </w:r>
            <w:r>
              <w:rPr>
                <w:rFonts w:ascii="Calibri"/>
                <w:spacing w:val="-3"/>
                <w:sz w:val="18"/>
              </w:rPr>
              <w:t xml:space="preserve"> </w:t>
            </w:r>
            <w:r>
              <w:rPr>
                <w:rFonts w:ascii="Calibri"/>
                <w:sz w:val="18"/>
              </w:rPr>
              <w:t>for</w:t>
            </w:r>
            <w:r>
              <w:rPr>
                <w:rFonts w:ascii="Calibri"/>
                <w:spacing w:val="-2"/>
                <w:sz w:val="18"/>
              </w:rPr>
              <w:t xml:space="preserve"> </w:t>
            </w:r>
            <w:r>
              <w:rPr>
                <w:rFonts w:ascii="Calibri"/>
                <w:sz w:val="18"/>
              </w:rPr>
              <w:t>PY9.</w:t>
            </w:r>
          </w:p>
        </w:tc>
      </w:tr>
    </w:tbl>
    <w:p w:rsidR="00E646C9" w:rsidRPr="004A67D2" w:rsidRDefault="00E646C9" w:rsidP="00E646C9"/>
    <w:p w:rsidR="00E646C9" w:rsidRPr="00130312" w:rsidRDefault="00E646C9" w:rsidP="00C3558F">
      <w:pPr>
        <w:pStyle w:val="AppendixGHeading2"/>
      </w:pPr>
      <w:r w:rsidRPr="0061477B">
        <w:t>Low-Income WRAP Status Report</w:t>
      </w:r>
      <w:r>
        <w:t xml:space="preserve"> Program</w:t>
      </w:r>
      <w:r w:rsidRPr="0061477B">
        <w:t xml:space="preserve"> </w:t>
      </w:r>
    </w:p>
    <w:tbl>
      <w:tblPr>
        <w:tblW w:w="9361" w:type="dxa"/>
        <w:tblLayout w:type="fixed"/>
        <w:tblCellMar>
          <w:left w:w="0" w:type="dxa"/>
          <w:right w:w="0" w:type="dxa"/>
        </w:tblCellMar>
        <w:tblLook w:val="01E0" w:firstRow="1" w:lastRow="1" w:firstColumn="1" w:lastColumn="1" w:noHBand="0" w:noVBand="0"/>
      </w:tblPr>
      <w:tblGrid>
        <w:gridCol w:w="4680"/>
        <w:gridCol w:w="4681"/>
      </w:tblGrid>
      <w:tr w:rsidR="00E646C9" w:rsidTr="00FB3B18">
        <w:trPr>
          <w:trHeight w:hRule="exact" w:val="691"/>
        </w:trPr>
        <w:tc>
          <w:tcPr>
            <w:tcW w:w="4680" w:type="dxa"/>
            <w:tcBorders>
              <w:top w:val="single" w:sz="8" w:space="0" w:color="448999"/>
              <w:left w:val="single" w:sz="8" w:space="0" w:color="448999"/>
              <w:bottom w:val="single" w:sz="8" w:space="0" w:color="FFFFFF"/>
              <w:right w:val="nil"/>
            </w:tcBorders>
            <w:shd w:val="clear" w:color="auto" w:fill="448999"/>
          </w:tcPr>
          <w:p w:rsidR="00E646C9" w:rsidRDefault="00E646C9" w:rsidP="00FB3B18">
            <w:pPr>
              <w:pStyle w:val="TableParagraph"/>
              <w:ind w:right="12"/>
              <w:rPr>
                <w:rFonts w:ascii="Calibri" w:eastAsia="Calibri" w:hAnsi="Calibri" w:cs="Calibri"/>
                <w:sz w:val="18"/>
                <w:szCs w:val="18"/>
              </w:rPr>
            </w:pPr>
            <w:r>
              <w:rPr>
                <w:rFonts w:ascii="Calibri"/>
                <w:b/>
                <w:color w:val="FFFFFF"/>
                <w:spacing w:val="-1"/>
                <w:sz w:val="18"/>
              </w:rPr>
              <w:t>Recommendations</w:t>
            </w:r>
          </w:p>
        </w:tc>
        <w:tc>
          <w:tcPr>
            <w:tcW w:w="4681" w:type="dxa"/>
            <w:tcBorders>
              <w:top w:val="single" w:sz="8" w:space="0" w:color="448999"/>
              <w:left w:val="nil"/>
              <w:bottom w:val="nil"/>
              <w:right w:val="single" w:sz="8" w:space="0" w:color="448999"/>
            </w:tcBorders>
            <w:shd w:val="clear" w:color="auto" w:fill="448999"/>
          </w:tcPr>
          <w:p w:rsidR="00E646C9" w:rsidRPr="00C3558F" w:rsidRDefault="00E646C9" w:rsidP="00C94D5A">
            <w:pPr>
              <w:pStyle w:val="TableParagraph"/>
              <w:ind w:left="581" w:right="569"/>
              <w:jc w:val="center"/>
              <w:rPr>
                <w:rFonts w:ascii="Calibri" w:eastAsia="Calibri" w:hAnsi="Calibri" w:cs="Calibri"/>
                <w:sz w:val="18"/>
                <w:szCs w:val="18"/>
              </w:rPr>
            </w:pP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43"/>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before="1"/>
              <w:ind w:left="9"/>
              <w:jc w:val="center"/>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893"/>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142"/>
              <w:rPr>
                <w:rFonts w:ascii="Calibri" w:eastAsia="Calibri" w:hAnsi="Calibri" w:cs="Calibri"/>
                <w:sz w:val="18"/>
                <w:szCs w:val="18"/>
              </w:rPr>
            </w:pPr>
            <w:r>
              <w:rPr>
                <w:rFonts w:ascii="Calibri"/>
                <w:spacing w:val="-1"/>
                <w:sz w:val="18"/>
              </w:rPr>
              <w:t>Consider emphasizing</w:t>
            </w:r>
            <w:r>
              <w:rPr>
                <w:rFonts w:ascii="Calibri"/>
                <w:sz w:val="18"/>
              </w:rPr>
              <w:t xml:space="preserve"> to</w:t>
            </w:r>
            <w:r>
              <w:rPr>
                <w:rFonts w:ascii="Calibri"/>
                <w:spacing w:val="-2"/>
                <w:sz w:val="18"/>
              </w:rPr>
              <w:t xml:space="preserve"> </w:t>
            </w:r>
            <w:r>
              <w:rPr>
                <w:rFonts w:ascii="Calibri"/>
                <w:spacing w:val="-1"/>
                <w:sz w:val="18"/>
              </w:rPr>
              <w:t>contractors</w:t>
            </w:r>
            <w:r>
              <w:rPr>
                <w:rFonts w:ascii="Calibri"/>
                <w:spacing w:val="-4"/>
                <w:sz w:val="18"/>
              </w:rPr>
              <w:t xml:space="preserve"> </w:t>
            </w:r>
            <w:r>
              <w:rPr>
                <w:rFonts w:ascii="Calibri"/>
                <w:spacing w:val="-1"/>
                <w:sz w:val="18"/>
              </w:rPr>
              <w:t>the</w:t>
            </w:r>
            <w:r>
              <w:rPr>
                <w:rFonts w:ascii="Calibri"/>
                <w:spacing w:val="-3"/>
                <w:sz w:val="18"/>
              </w:rPr>
              <w:t xml:space="preserve"> </w:t>
            </w:r>
            <w:r>
              <w:rPr>
                <w:rFonts w:ascii="Calibri"/>
                <w:spacing w:val="-1"/>
                <w:sz w:val="18"/>
              </w:rPr>
              <w:t>importance</w:t>
            </w:r>
            <w:r>
              <w:rPr>
                <w:rFonts w:ascii="Calibri"/>
                <w:spacing w:val="-2"/>
                <w:sz w:val="18"/>
              </w:rPr>
              <w:t xml:space="preserve"> </w:t>
            </w:r>
            <w:r>
              <w:rPr>
                <w:rFonts w:ascii="Calibri"/>
                <w:sz w:val="18"/>
              </w:rPr>
              <w:t>of</w:t>
            </w:r>
            <w:r>
              <w:rPr>
                <w:rFonts w:ascii="Calibri"/>
                <w:spacing w:val="57"/>
                <w:sz w:val="18"/>
              </w:rPr>
              <w:t xml:space="preserve"> </w:t>
            </w:r>
            <w:r>
              <w:rPr>
                <w:rFonts w:ascii="Calibri"/>
                <w:spacing w:val="-1"/>
                <w:sz w:val="18"/>
              </w:rPr>
              <w:t>clearly</w:t>
            </w:r>
            <w:r>
              <w:rPr>
                <w:rFonts w:ascii="Calibri"/>
                <w:spacing w:val="-3"/>
                <w:sz w:val="18"/>
              </w:rPr>
              <w:t xml:space="preserve"> </w:t>
            </w:r>
            <w:r>
              <w:rPr>
                <w:rFonts w:ascii="Calibri"/>
                <w:spacing w:val="-1"/>
                <w:sz w:val="18"/>
              </w:rPr>
              <w:t>explaining</w:t>
            </w:r>
            <w:r>
              <w:rPr>
                <w:rFonts w:ascii="Calibri"/>
                <w:spacing w:val="-3"/>
                <w:sz w:val="18"/>
              </w:rPr>
              <w:t xml:space="preserve"> </w:t>
            </w:r>
            <w:r>
              <w:rPr>
                <w:rFonts w:ascii="Calibri"/>
                <w:sz w:val="18"/>
              </w:rPr>
              <w:t>to</w:t>
            </w:r>
            <w:r>
              <w:rPr>
                <w:rFonts w:ascii="Calibri"/>
                <w:spacing w:val="-3"/>
                <w:sz w:val="18"/>
              </w:rPr>
              <w:t xml:space="preserve"> </w:t>
            </w:r>
            <w:r>
              <w:rPr>
                <w:rFonts w:ascii="Calibri"/>
                <w:spacing w:val="-1"/>
                <w:sz w:val="18"/>
              </w:rPr>
              <w:t>customers</w:t>
            </w:r>
            <w:r>
              <w:rPr>
                <w:rFonts w:ascii="Calibri"/>
                <w:spacing w:val="-3"/>
                <w:sz w:val="18"/>
              </w:rPr>
              <w:t xml:space="preserve"> </w:t>
            </w:r>
            <w:r>
              <w:rPr>
                <w:rFonts w:ascii="Calibri"/>
                <w:spacing w:val="-1"/>
                <w:sz w:val="18"/>
              </w:rPr>
              <w:t>which</w:t>
            </w:r>
            <w:r>
              <w:rPr>
                <w:rFonts w:ascii="Calibri"/>
                <w:spacing w:val="-2"/>
                <w:sz w:val="18"/>
              </w:rPr>
              <w:t xml:space="preserve"> </w:t>
            </w:r>
            <w:r>
              <w:rPr>
                <w:rFonts w:ascii="Calibri"/>
                <w:spacing w:val="-1"/>
                <w:sz w:val="18"/>
              </w:rPr>
              <w:t>products</w:t>
            </w:r>
            <w:r>
              <w:rPr>
                <w:rFonts w:ascii="Calibri"/>
                <w:spacing w:val="-4"/>
                <w:sz w:val="18"/>
              </w:rPr>
              <w:t xml:space="preserve"> </w:t>
            </w:r>
            <w:r>
              <w:rPr>
                <w:rFonts w:ascii="Calibri"/>
                <w:sz w:val="18"/>
              </w:rPr>
              <w:t>and</w:t>
            </w:r>
            <w:r>
              <w:rPr>
                <w:rFonts w:ascii="Calibri"/>
                <w:spacing w:val="-4"/>
                <w:sz w:val="18"/>
              </w:rPr>
              <w:t xml:space="preserve"> </w:t>
            </w:r>
            <w:r>
              <w:rPr>
                <w:rFonts w:ascii="Calibri"/>
                <w:spacing w:val="-1"/>
                <w:sz w:val="18"/>
              </w:rPr>
              <w:t>services</w:t>
            </w:r>
            <w:r>
              <w:rPr>
                <w:rFonts w:ascii="Calibri"/>
                <w:spacing w:val="71"/>
                <w:sz w:val="18"/>
              </w:rPr>
              <w:t xml:space="preserve"> </w:t>
            </w:r>
            <w:r>
              <w:rPr>
                <w:rFonts w:ascii="Calibri"/>
                <w:spacing w:val="-1"/>
                <w:sz w:val="18"/>
              </w:rPr>
              <w:t>will</w:t>
            </w:r>
            <w:r>
              <w:rPr>
                <w:rFonts w:ascii="Calibri"/>
                <w:spacing w:val="-3"/>
                <w:sz w:val="18"/>
              </w:rPr>
              <w:t xml:space="preserve"> </w:t>
            </w:r>
            <w:r>
              <w:rPr>
                <w:rFonts w:ascii="Calibri"/>
                <w:spacing w:val="-1"/>
                <w:sz w:val="18"/>
              </w:rPr>
              <w:t>be</w:t>
            </w:r>
            <w:r>
              <w:rPr>
                <w:rFonts w:ascii="Calibri"/>
                <w:spacing w:val="-3"/>
                <w:sz w:val="18"/>
              </w:rPr>
              <w:t xml:space="preserve"> </w:t>
            </w:r>
            <w:r>
              <w:rPr>
                <w:rFonts w:ascii="Calibri"/>
                <w:spacing w:val="-1"/>
                <w:sz w:val="18"/>
              </w:rPr>
              <w:t>installed</w:t>
            </w:r>
            <w:r>
              <w:rPr>
                <w:rFonts w:ascii="Calibri"/>
                <w:spacing w:val="-2"/>
                <w:sz w:val="18"/>
              </w:rPr>
              <w:t xml:space="preserve"> </w:t>
            </w:r>
            <w:r>
              <w:rPr>
                <w:rFonts w:ascii="Calibri"/>
                <w:sz w:val="18"/>
              </w:rPr>
              <w:t>or</w:t>
            </w:r>
            <w:r>
              <w:rPr>
                <w:rFonts w:ascii="Calibri"/>
                <w:spacing w:val="-2"/>
                <w:sz w:val="18"/>
              </w:rPr>
              <w:t xml:space="preserve"> </w:t>
            </w:r>
            <w:r>
              <w:rPr>
                <w:rFonts w:ascii="Calibri"/>
                <w:spacing w:val="-1"/>
                <w:sz w:val="18"/>
              </w:rPr>
              <w:t>conducted</w:t>
            </w:r>
            <w:r>
              <w:rPr>
                <w:rFonts w:ascii="Calibri"/>
                <w:spacing w:val="-2"/>
                <w:sz w:val="18"/>
              </w:rPr>
              <w:t xml:space="preserve"> </w:t>
            </w:r>
            <w:r>
              <w:rPr>
                <w:rFonts w:ascii="Calibri"/>
                <w:sz w:val="18"/>
              </w:rPr>
              <w:t>after</w:t>
            </w:r>
            <w:r>
              <w:rPr>
                <w:rFonts w:ascii="Calibri"/>
                <w:spacing w:val="-2"/>
                <w:sz w:val="18"/>
              </w:rPr>
              <w:t xml:space="preserve"> </w:t>
            </w:r>
            <w:r>
              <w:rPr>
                <w:rFonts w:ascii="Calibri"/>
                <w:spacing w:val="-1"/>
                <w:sz w:val="18"/>
              </w:rPr>
              <w:t>the</w:t>
            </w:r>
            <w:r>
              <w:rPr>
                <w:rFonts w:ascii="Calibri"/>
                <w:spacing w:val="-3"/>
                <w:sz w:val="18"/>
              </w:rPr>
              <w:t xml:space="preserve"> </w:t>
            </w:r>
            <w:r>
              <w:rPr>
                <w:rFonts w:ascii="Calibri"/>
                <w:spacing w:val="-1"/>
                <w:sz w:val="18"/>
              </w:rPr>
              <w:t xml:space="preserve">audit </w:t>
            </w:r>
            <w:r>
              <w:rPr>
                <w:rFonts w:ascii="Calibri"/>
                <w:sz w:val="18"/>
              </w:rPr>
              <w:t>takes</w:t>
            </w:r>
            <w:r>
              <w:rPr>
                <w:rFonts w:ascii="Calibri"/>
                <w:spacing w:val="-3"/>
                <w:sz w:val="18"/>
              </w:rPr>
              <w:t xml:space="preserve"> </w:t>
            </w:r>
            <w:r>
              <w:rPr>
                <w:rFonts w:ascii="Calibri"/>
                <w:sz w:val="18"/>
              </w:rPr>
              <w:t>place</w:t>
            </w:r>
            <w:r>
              <w:rPr>
                <w:rFonts w:ascii="Calibri"/>
                <w:spacing w:val="-2"/>
                <w:sz w:val="18"/>
              </w:rPr>
              <w:t xml:space="preserve"> </w:t>
            </w:r>
            <w:r>
              <w:rPr>
                <w:rFonts w:ascii="Calibri"/>
                <w:spacing w:val="-1"/>
                <w:sz w:val="18"/>
              </w:rPr>
              <w:t>and</w:t>
            </w:r>
            <w:r>
              <w:rPr>
                <w:rFonts w:ascii="Calibri"/>
                <w:spacing w:val="55"/>
                <w:sz w:val="18"/>
              </w:rPr>
              <w:t xml:space="preserve"> </w:t>
            </w:r>
            <w:r>
              <w:rPr>
                <w:rFonts w:ascii="Calibri"/>
                <w:spacing w:val="-1"/>
                <w:sz w:val="18"/>
              </w:rPr>
              <w:t>when</w:t>
            </w:r>
            <w:r>
              <w:rPr>
                <w:rFonts w:ascii="Calibri"/>
                <w:spacing w:val="-3"/>
                <w:sz w:val="18"/>
              </w:rPr>
              <w:t xml:space="preserve"> </w:t>
            </w:r>
            <w:r>
              <w:rPr>
                <w:rFonts w:ascii="Calibri"/>
                <w:spacing w:val="-1"/>
                <w:sz w:val="18"/>
              </w:rPr>
              <w:t>installations</w:t>
            </w:r>
            <w:r>
              <w:rPr>
                <w:rFonts w:ascii="Calibri"/>
                <w:spacing w:val="-3"/>
                <w:sz w:val="18"/>
              </w:rPr>
              <w:t xml:space="preserve"> </w:t>
            </w:r>
            <w:r>
              <w:rPr>
                <w:rFonts w:ascii="Calibri"/>
                <w:spacing w:val="-1"/>
                <w:sz w:val="18"/>
              </w:rPr>
              <w:t>will</w:t>
            </w:r>
            <w:r>
              <w:rPr>
                <w:rFonts w:ascii="Calibri"/>
                <w:spacing w:val="-3"/>
                <w:sz w:val="18"/>
              </w:rPr>
              <w:t xml:space="preserve"> </w:t>
            </w:r>
            <w:r>
              <w:rPr>
                <w:rFonts w:ascii="Calibri"/>
                <w:sz w:val="18"/>
              </w:rPr>
              <w:t>occur</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r w:rsidR="00E646C9" w:rsidTr="00C3558F">
        <w:trPr>
          <w:trHeight w:hRule="exact" w:val="458"/>
        </w:trPr>
        <w:tc>
          <w:tcPr>
            <w:tcW w:w="4680" w:type="dxa"/>
            <w:tcBorders>
              <w:top w:val="single" w:sz="7" w:space="0" w:color="448999"/>
              <w:left w:val="single" w:sz="8" w:space="0" w:color="448999"/>
              <w:bottom w:val="single" w:sz="8" w:space="0" w:color="448999"/>
              <w:right w:val="single" w:sz="7" w:space="0" w:color="448999"/>
            </w:tcBorders>
            <w:shd w:val="clear" w:color="auto" w:fill="D2EAF0"/>
          </w:tcPr>
          <w:p w:rsidR="00E646C9" w:rsidRDefault="00E646C9" w:rsidP="00C94D5A">
            <w:pPr>
              <w:pStyle w:val="TableParagraph"/>
              <w:ind w:left="97" w:right="304"/>
              <w:rPr>
                <w:rFonts w:ascii="Calibri" w:eastAsia="Calibri" w:hAnsi="Calibri" w:cs="Calibri"/>
                <w:sz w:val="18"/>
                <w:szCs w:val="18"/>
              </w:rPr>
            </w:pPr>
            <w:r>
              <w:rPr>
                <w:rFonts w:ascii="Calibri"/>
                <w:spacing w:val="-1"/>
                <w:sz w:val="18"/>
              </w:rPr>
              <w:t>Consider</w:t>
            </w:r>
            <w:r>
              <w:rPr>
                <w:rFonts w:ascii="Calibri"/>
                <w:sz w:val="18"/>
              </w:rPr>
              <w:t xml:space="preserve"> </w:t>
            </w:r>
            <w:r>
              <w:rPr>
                <w:rFonts w:ascii="Calibri"/>
                <w:spacing w:val="-1"/>
                <w:sz w:val="18"/>
              </w:rPr>
              <w:t>emphasizing the energy</w:t>
            </w:r>
            <w:r>
              <w:rPr>
                <w:rFonts w:ascii="Calibri"/>
                <w:spacing w:val="2"/>
                <w:sz w:val="18"/>
              </w:rPr>
              <w:t xml:space="preserve"> </w:t>
            </w:r>
            <w:r>
              <w:rPr>
                <w:rFonts w:ascii="Calibri"/>
                <w:spacing w:val="-1"/>
                <w:sz w:val="18"/>
              </w:rPr>
              <w:t>education</w:t>
            </w:r>
            <w:r>
              <w:rPr>
                <w:rFonts w:ascii="Calibri"/>
                <w:spacing w:val="-2"/>
                <w:sz w:val="18"/>
              </w:rPr>
              <w:t xml:space="preserve"> </w:t>
            </w:r>
            <w:r>
              <w:rPr>
                <w:rFonts w:ascii="Calibri"/>
                <w:spacing w:val="-1"/>
                <w:sz w:val="18"/>
              </w:rPr>
              <w:t>portion</w:t>
            </w:r>
            <w:r>
              <w:rPr>
                <w:rFonts w:ascii="Calibri"/>
                <w:spacing w:val="-3"/>
                <w:sz w:val="18"/>
              </w:rPr>
              <w:t xml:space="preserve"> </w:t>
            </w:r>
            <w:r>
              <w:rPr>
                <w:rFonts w:ascii="Calibri"/>
                <w:sz w:val="18"/>
              </w:rPr>
              <w:t>of</w:t>
            </w:r>
            <w:r>
              <w:rPr>
                <w:rFonts w:ascii="Calibri"/>
                <w:spacing w:val="-3"/>
                <w:sz w:val="18"/>
              </w:rPr>
              <w:t xml:space="preserve"> </w:t>
            </w:r>
            <w:r>
              <w:rPr>
                <w:rFonts w:ascii="Calibri"/>
                <w:sz w:val="18"/>
              </w:rPr>
              <w:t>the</w:t>
            </w:r>
            <w:r>
              <w:rPr>
                <w:rFonts w:ascii="Calibri"/>
                <w:spacing w:val="49"/>
                <w:w w:val="99"/>
                <w:sz w:val="18"/>
              </w:rPr>
              <w:t xml:space="preserve"> </w:t>
            </w:r>
            <w:r>
              <w:rPr>
                <w:rFonts w:ascii="Calibri"/>
                <w:spacing w:val="-1"/>
                <w:sz w:val="18"/>
              </w:rPr>
              <w:t>audit,</w:t>
            </w:r>
            <w:r>
              <w:rPr>
                <w:rFonts w:ascii="Calibri"/>
                <w:spacing w:val="-2"/>
                <w:sz w:val="18"/>
              </w:rPr>
              <w:t xml:space="preserve"> </w:t>
            </w:r>
            <w:r>
              <w:rPr>
                <w:rFonts w:ascii="Calibri"/>
                <w:spacing w:val="-1"/>
                <w:sz w:val="18"/>
              </w:rPr>
              <w:t>and</w:t>
            </w:r>
            <w:r>
              <w:rPr>
                <w:rFonts w:ascii="Calibri"/>
                <w:spacing w:val="-2"/>
                <w:sz w:val="18"/>
              </w:rPr>
              <w:t xml:space="preserve"> </w:t>
            </w:r>
            <w:r>
              <w:rPr>
                <w:rFonts w:ascii="Calibri"/>
                <w:sz w:val="18"/>
              </w:rPr>
              <w:t>take</w:t>
            </w:r>
            <w:r>
              <w:rPr>
                <w:rFonts w:ascii="Calibri"/>
                <w:spacing w:val="-3"/>
                <w:sz w:val="18"/>
              </w:rPr>
              <w:t xml:space="preserve"> </w:t>
            </w:r>
            <w:r>
              <w:rPr>
                <w:rFonts w:ascii="Calibri"/>
                <w:spacing w:val="-1"/>
                <w:sz w:val="18"/>
              </w:rPr>
              <w:t xml:space="preserve">time </w:t>
            </w:r>
            <w:r>
              <w:rPr>
                <w:rFonts w:ascii="Calibri"/>
                <w:sz w:val="18"/>
              </w:rPr>
              <w:t>to</w:t>
            </w:r>
            <w:r>
              <w:rPr>
                <w:rFonts w:ascii="Calibri"/>
                <w:spacing w:val="-2"/>
                <w:sz w:val="18"/>
              </w:rPr>
              <w:t xml:space="preserve"> </w:t>
            </w:r>
            <w:r>
              <w:rPr>
                <w:rFonts w:ascii="Calibri"/>
                <w:spacing w:val="-1"/>
                <w:sz w:val="18"/>
              </w:rPr>
              <w:t>explain</w:t>
            </w:r>
            <w:r>
              <w:rPr>
                <w:rFonts w:ascii="Calibri"/>
                <w:spacing w:val="-3"/>
                <w:sz w:val="18"/>
              </w:rPr>
              <w:t xml:space="preserve"> </w:t>
            </w:r>
            <w:r>
              <w:rPr>
                <w:rFonts w:ascii="Calibri"/>
                <w:sz w:val="18"/>
              </w:rPr>
              <w:t>ways</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save</w:t>
            </w:r>
            <w:r>
              <w:rPr>
                <w:rFonts w:ascii="Calibri"/>
                <w:spacing w:val="-2"/>
                <w:sz w:val="18"/>
              </w:rPr>
              <w:t xml:space="preserve"> </w:t>
            </w:r>
            <w:r>
              <w:rPr>
                <w:rFonts w:ascii="Calibri"/>
                <w:spacing w:val="-1"/>
                <w:sz w:val="18"/>
              </w:rPr>
              <w:t>energy</w:t>
            </w:r>
          </w:p>
        </w:tc>
        <w:tc>
          <w:tcPr>
            <w:tcW w:w="4681" w:type="dxa"/>
            <w:tcBorders>
              <w:top w:val="single" w:sz="7" w:space="0" w:color="448999"/>
              <w:left w:val="single" w:sz="7" w:space="0" w:color="448999"/>
              <w:bottom w:val="single" w:sz="8"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bl>
    <w:p w:rsidR="00E646C9" w:rsidRDefault="00E646C9" w:rsidP="00E646C9"/>
    <w:p w:rsidR="00E646C9" w:rsidRPr="00130312" w:rsidRDefault="00E646C9" w:rsidP="00C3558F">
      <w:pPr>
        <w:pStyle w:val="AppendixGHeading2"/>
      </w:pPr>
      <w:r w:rsidRPr="0061477B">
        <w:t xml:space="preserve">De Facto Heating Pilot </w:t>
      </w:r>
      <w:r w:rsidRPr="00130312">
        <w:t>Program</w:t>
      </w:r>
      <w:r>
        <w:t xml:space="preserve"> </w:t>
      </w:r>
    </w:p>
    <w:tbl>
      <w:tblPr>
        <w:tblW w:w="9361" w:type="dxa"/>
        <w:tblLayout w:type="fixed"/>
        <w:tblCellMar>
          <w:left w:w="0" w:type="dxa"/>
          <w:right w:w="0" w:type="dxa"/>
        </w:tblCellMar>
        <w:tblLook w:val="01E0" w:firstRow="1" w:lastRow="1" w:firstColumn="1" w:lastColumn="1" w:noHBand="0" w:noVBand="0"/>
      </w:tblPr>
      <w:tblGrid>
        <w:gridCol w:w="4680"/>
        <w:gridCol w:w="4681"/>
      </w:tblGrid>
      <w:tr w:rsidR="00E646C9" w:rsidTr="00FB3B18">
        <w:trPr>
          <w:trHeight w:hRule="exact" w:val="689"/>
        </w:trPr>
        <w:tc>
          <w:tcPr>
            <w:tcW w:w="4680" w:type="dxa"/>
            <w:tcBorders>
              <w:top w:val="single" w:sz="8" w:space="0" w:color="448999"/>
              <w:left w:val="single" w:sz="8" w:space="0" w:color="448999"/>
              <w:bottom w:val="single" w:sz="8" w:space="0" w:color="FFFFFF"/>
              <w:right w:val="nil"/>
            </w:tcBorders>
            <w:shd w:val="clear" w:color="auto" w:fill="448999"/>
          </w:tcPr>
          <w:p w:rsidR="00E646C9" w:rsidRDefault="00E646C9" w:rsidP="00FB3B18">
            <w:pPr>
              <w:pStyle w:val="TableParagraph"/>
              <w:spacing w:line="218" w:lineRule="exact"/>
              <w:ind w:right="12"/>
              <w:rPr>
                <w:rFonts w:ascii="Calibri" w:eastAsia="Calibri" w:hAnsi="Calibri" w:cs="Calibri"/>
                <w:sz w:val="18"/>
                <w:szCs w:val="18"/>
              </w:rPr>
            </w:pPr>
            <w:r>
              <w:rPr>
                <w:rFonts w:ascii="Calibri"/>
                <w:b/>
                <w:color w:val="FFFFFF"/>
                <w:spacing w:val="-1"/>
                <w:sz w:val="18"/>
              </w:rPr>
              <w:t>Recommendations</w:t>
            </w:r>
          </w:p>
        </w:tc>
        <w:tc>
          <w:tcPr>
            <w:tcW w:w="4681" w:type="dxa"/>
            <w:tcBorders>
              <w:top w:val="single" w:sz="8" w:space="0" w:color="448999"/>
              <w:left w:val="nil"/>
              <w:bottom w:val="nil"/>
              <w:right w:val="single" w:sz="8" w:space="0" w:color="448999"/>
            </w:tcBorders>
            <w:shd w:val="clear" w:color="auto" w:fill="448999"/>
          </w:tcPr>
          <w:p w:rsidR="00E646C9" w:rsidRPr="00C3558F" w:rsidRDefault="00E646C9" w:rsidP="00C94D5A">
            <w:pPr>
              <w:pStyle w:val="TableParagraph"/>
              <w:ind w:left="581" w:right="569"/>
              <w:jc w:val="center"/>
              <w:rPr>
                <w:rFonts w:ascii="Calibri" w:eastAsia="Calibri" w:hAnsi="Calibri" w:cs="Calibri"/>
                <w:sz w:val="18"/>
                <w:szCs w:val="18"/>
              </w:rPr>
            </w:pP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43"/>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line="218" w:lineRule="exact"/>
              <w:ind w:left="9"/>
              <w:jc w:val="center"/>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675"/>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602"/>
              <w:rPr>
                <w:rFonts w:ascii="Calibri" w:eastAsia="Calibri" w:hAnsi="Calibri" w:cs="Calibri"/>
                <w:sz w:val="18"/>
                <w:szCs w:val="18"/>
              </w:rPr>
            </w:pPr>
            <w:r>
              <w:rPr>
                <w:rFonts w:ascii="Calibri"/>
                <w:spacing w:val="-1"/>
                <w:sz w:val="18"/>
              </w:rPr>
              <w:t>Consider</w:t>
            </w:r>
            <w:r>
              <w:rPr>
                <w:rFonts w:ascii="Calibri"/>
                <w:spacing w:val="-2"/>
                <w:sz w:val="18"/>
              </w:rPr>
              <w:t xml:space="preserve"> </w:t>
            </w:r>
            <w:r>
              <w:rPr>
                <w:rFonts w:ascii="Calibri"/>
                <w:sz w:val="18"/>
              </w:rPr>
              <w:t>conducting</w:t>
            </w:r>
            <w:r>
              <w:rPr>
                <w:rFonts w:ascii="Calibri"/>
                <w:spacing w:val="-3"/>
                <w:sz w:val="18"/>
              </w:rPr>
              <w:t xml:space="preserve"> </w:t>
            </w:r>
            <w:r>
              <w:rPr>
                <w:rFonts w:ascii="Calibri"/>
                <w:sz w:val="18"/>
              </w:rPr>
              <w:t>an</w:t>
            </w:r>
            <w:r>
              <w:rPr>
                <w:rFonts w:ascii="Calibri"/>
                <w:spacing w:val="-2"/>
                <w:sz w:val="18"/>
              </w:rPr>
              <w:t xml:space="preserve"> </w:t>
            </w:r>
            <w:r>
              <w:rPr>
                <w:rFonts w:ascii="Calibri"/>
                <w:spacing w:val="-1"/>
                <w:sz w:val="18"/>
              </w:rPr>
              <w:t>assessment</w:t>
            </w:r>
            <w:r>
              <w:rPr>
                <w:rFonts w:ascii="Calibri"/>
                <w:spacing w:val="-2"/>
                <w:sz w:val="18"/>
              </w:rPr>
              <w:t xml:space="preserve"> </w:t>
            </w:r>
            <w:r>
              <w:rPr>
                <w:rFonts w:ascii="Calibri"/>
                <w:sz w:val="18"/>
              </w:rPr>
              <w:t>of</w:t>
            </w:r>
            <w:r>
              <w:rPr>
                <w:rFonts w:ascii="Calibri"/>
                <w:spacing w:val="-3"/>
                <w:sz w:val="18"/>
              </w:rPr>
              <w:t xml:space="preserve"> </w:t>
            </w:r>
            <w:r>
              <w:rPr>
                <w:rFonts w:ascii="Calibri"/>
                <w:spacing w:val="-1"/>
                <w:sz w:val="18"/>
              </w:rPr>
              <w:t>the</w:t>
            </w:r>
            <w:r>
              <w:rPr>
                <w:rFonts w:ascii="Calibri"/>
                <w:spacing w:val="-3"/>
                <w:sz w:val="18"/>
              </w:rPr>
              <w:t xml:space="preserve"> </w:t>
            </w:r>
            <w:r>
              <w:rPr>
                <w:rFonts w:ascii="Calibri"/>
                <w:spacing w:val="-1"/>
                <w:sz w:val="18"/>
              </w:rPr>
              <w:t>market</w:t>
            </w:r>
            <w:r>
              <w:rPr>
                <w:rFonts w:ascii="Calibri"/>
                <w:spacing w:val="-2"/>
                <w:sz w:val="18"/>
              </w:rPr>
              <w:t xml:space="preserve"> </w:t>
            </w:r>
            <w:r>
              <w:rPr>
                <w:rFonts w:ascii="Calibri"/>
                <w:sz w:val="18"/>
              </w:rPr>
              <w:t>and</w:t>
            </w:r>
            <w:r>
              <w:rPr>
                <w:rFonts w:ascii="Calibri"/>
                <w:spacing w:val="41"/>
                <w:sz w:val="18"/>
              </w:rPr>
              <w:t xml:space="preserve"> </w:t>
            </w:r>
            <w:r>
              <w:rPr>
                <w:rFonts w:ascii="Calibri"/>
                <w:spacing w:val="-1"/>
                <w:sz w:val="18"/>
              </w:rPr>
              <w:t>technology</w:t>
            </w:r>
            <w:r>
              <w:rPr>
                <w:rFonts w:ascii="Calibri"/>
                <w:spacing w:val="-3"/>
                <w:sz w:val="18"/>
              </w:rPr>
              <w:t xml:space="preserve"> </w:t>
            </w:r>
            <w:r>
              <w:rPr>
                <w:rFonts w:ascii="Calibri"/>
                <w:sz w:val="18"/>
              </w:rPr>
              <w:t>in</w:t>
            </w:r>
            <w:r>
              <w:rPr>
                <w:rFonts w:ascii="Calibri"/>
                <w:spacing w:val="-3"/>
                <w:sz w:val="18"/>
              </w:rPr>
              <w:t xml:space="preserve"> </w:t>
            </w:r>
            <w:r>
              <w:rPr>
                <w:rFonts w:ascii="Calibri"/>
                <w:spacing w:val="-1"/>
                <w:sz w:val="18"/>
              </w:rPr>
              <w:t>future</w:t>
            </w:r>
            <w:r>
              <w:rPr>
                <w:rFonts w:ascii="Calibri"/>
                <w:spacing w:val="-2"/>
                <w:sz w:val="18"/>
              </w:rPr>
              <w:t xml:space="preserve"> </w:t>
            </w:r>
            <w:r>
              <w:rPr>
                <w:rFonts w:ascii="Calibri"/>
                <w:spacing w:val="-1"/>
                <w:sz w:val="18"/>
              </w:rPr>
              <w:t>pilot</w:t>
            </w:r>
            <w:r>
              <w:rPr>
                <w:rFonts w:ascii="Calibri"/>
                <w:spacing w:val="-2"/>
                <w:sz w:val="18"/>
              </w:rPr>
              <w:t xml:space="preserve"> </w:t>
            </w:r>
            <w:r>
              <w:rPr>
                <w:rFonts w:ascii="Calibri"/>
                <w:spacing w:val="-1"/>
                <w:sz w:val="18"/>
              </w:rPr>
              <w:t>programs</w:t>
            </w:r>
            <w:r>
              <w:rPr>
                <w:rFonts w:ascii="Calibri"/>
                <w:spacing w:val="-3"/>
                <w:sz w:val="18"/>
              </w:rPr>
              <w:t xml:space="preserve"> </w:t>
            </w:r>
            <w:r>
              <w:rPr>
                <w:rFonts w:ascii="Calibri"/>
                <w:spacing w:val="-1"/>
                <w:sz w:val="18"/>
              </w:rPr>
              <w:t>and</w:t>
            </w:r>
            <w:r>
              <w:rPr>
                <w:rFonts w:ascii="Calibri"/>
                <w:spacing w:val="-3"/>
                <w:sz w:val="18"/>
              </w:rPr>
              <w:t xml:space="preserve"> </w:t>
            </w:r>
            <w:r>
              <w:rPr>
                <w:rFonts w:ascii="Calibri"/>
                <w:spacing w:val="-1"/>
                <w:sz w:val="18"/>
              </w:rPr>
              <w:t>adjust</w:t>
            </w:r>
            <w:r>
              <w:rPr>
                <w:rFonts w:ascii="Calibri"/>
                <w:spacing w:val="-2"/>
                <w:sz w:val="18"/>
              </w:rPr>
              <w:t xml:space="preserve"> </w:t>
            </w:r>
            <w:r>
              <w:rPr>
                <w:rFonts w:ascii="Calibri"/>
                <w:sz w:val="18"/>
              </w:rPr>
              <w:t>the</w:t>
            </w:r>
            <w:r>
              <w:rPr>
                <w:rFonts w:ascii="Calibri"/>
                <w:spacing w:val="49"/>
                <w:w w:val="99"/>
                <w:sz w:val="18"/>
              </w:rPr>
              <w:t xml:space="preserve"> </w:t>
            </w:r>
            <w:r>
              <w:rPr>
                <w:rFonts w:ascii="Calibri"/>
                <w:spacing w:val="-1"/>
                <w:sz w:val="18"/>
              </w:rPr>
              <w:t>evaluation</w:t>
            </w:r>
            <w:r>
              <w:rPr>
                <w:rFonts w:ascii="Calibri"/>
                <w:spacing w:val="-4"/>
                <w:sz w:val="18"/>
              </w:rPr>
              <w:t xml:space="preserve"> </w:t>
            </w:r>
            <w:r>
              <w:rPr>
                <w:rFonts w:ascii="Calibri"/>
                <w:sz w:val="18"/>
              </w:rPr>
              <w:t>plan</w:t>
            </w:r>
            <w:r>
              <w:rPr>
                <w:rFonts w:ascii="Calibri"/>
                <w:spacing w:val="-3"/>
                <w:sz w:val="18"/>
              </w:rPr>
              <w:t xml:space="preserve"> </w:t>
            </w:r>
            <w:r>
              <w:rPr>
                <w:rFonts w:ascii="Calibri"/>
                <w:spacing w:val="-1"/>
                <w:sz w:val="18"/>
              </w:rPr>
              <w:t>accordingly.</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Will</w:t>
            </w:r>
            <w:r>
              <w:rPr>
                <w:rFonts w:ascii="Calibri"/>
                <w:spacing w:val="-3"/>
                <w:sz w:val="18"/>
              </w:rPr>
              <w:t xml:space="preserve"> </w:t>
            </w:r>
            <w:r>
              <w:rPr>
                <w:rFonts w:ascii="Calibri"/>
                <w:spacing w:val="-1"/>
                <w:sz w:val="18"/>
              </w:rPr>
              <w:t>be</w:t>
            </w:r>
            <w:r>
              <w:rPr>
                <w:rFonts w:ascii="Calibri"/>
                <w:spacing w:val="-3"/>
                <w:sz w:val="18"/>
              </w:rPr>
              <w:t xml:space="preserve"> </w:t>
            </w:r>
            <w:r>
              <w:rPr>
                <w:rFonts w:ascii="Calibri"/>
                <w:sz w:val="18"/>
              </w:rPr>
              <w:t>implemented</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future pilots.</w:t>
            </w:r>
          </w:p>
        </w:tc>
      </w:tr>
      <w:tr w:rsidR="00E646C9" w:rsidTr="00C3558F">
        <w:trPr>
          <w:trHeight w:hRule="exact" w:val="674"/>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380"/>
              <w:rPr>
                <w:rFonts w:ascii="Calibri" w:eastAsia="Calibri" w:hAnsi="Calibri" w:cs="Calibri"/>
                <w:sz w:val="18"/>
                <w:szCs w:val="18"/>
              </w:rPr>
            </w:pPr>
            <w:r>
              <w:rPr>
                <w:rFonts w:ascii="Calibri"/>
                <w:spacing w:val="-1"/>
                <w:sz w:val="18"/>
              </w:rPr>
              <w:t>Consider establishing</w:t>
            </w:r>
            <w:r>
              <w:rPr>
                <w:rFonts w:ascii="Calibri"/>
                <w:spacing w:val="-4"/>
                <w:sz w:val="18"/>
              </w:rPr>
              <w:t xml:space="preserve"> </w:t>
            </w:r>
            <w:r>
              <w:rPr>
                <w:rFonts w:ascii="Calibri"/>
                <w:spacing w:val="-1"/>
                <w:sz w:val="18"/>
              </w:rPr>
              <w:t>the</w:t>
            </w:r>
            <w:r>
              <w:rPr>
                <w:rFonts w:ascii="Calibri"/>
                <w:spacing w:val="-4"/>
                <w:sz w:val="18"/>
              </w:rPr>
              <w:t xml:space="preserve"> </w:t>
            </w:r>
            <w:r>
              <w:rPr>
                <w:rFonts w:ascii="Calibri"/>
                <w:sz w:val="18"/>
              </w:rPr>
              <w:t>contractor</w:t>
            </w:r>
            <w:r>
              <w:rPr>
                <w:rFonts w:ascii="Calibri"/>
                <w:spacing w:val="-3"/>
                <w:sz w:val="18"/>
              </w:rPr>
              <w:t xml:space="preserve"> </w:t>
            </w:r>
            <w:r>
              <w:rPr>
                <w:rFonts w:ascii="Calibri"/>
                <w:spacing w:val="-1"/>
                <w:sz w:val="18"/>
              </w:rPr>
              <w:t>scheduling</w:t>
            </w:r>
            <w:r>
              <w:rPr>
                <w:rFonts w:ascii="Calibri"/>
                <w:spacing w:val="-4"/>
                <w:sz w:val="18"/>
              </w:rPr>
              <w:t xml:space="preserve"> </w:t>
            </w:r>
            <w:r>
              <w:rPr>
                <w:rFonts w:ascii="Calibri"/>
                <w:spacing w:val="-1"/>
                <w:sz w:val="18"/>
              </w:rPr>
              <w:t>process</w:t>
            </w:r>
            <w:r>
              <w:rPr>
                <w:rFonts w:ascii="Calibri"/>
                <w:spacing w:val="47"/>
                <w:sz w:val="18"/>
              </w:rPr>
              <w:t xml:space="preserve"> </w:t>
            </w:r>
            <w:r>
              <w:rPr>
                <w:rFonts w:ascii="Calibri"/>
                <w:spacing w:val="-1"/>
                <w:sz w:val="18"/>
              </w:rPr>
              <w:t>earlier</w:t>
            </w:r>
            <w:r>
              <w:rPr>
                <w:rFonts w:ascii="Calibri"/>
                <w:spacing w:val="-3"/>
                <w:sz w:val="18"/>
              </w:rPr>
              <w:t xml:space="preserve"> </w:t>
            </w:r>
            <w:r>
              <w:rPr>
                <w:rFonts w:ascii="Calibri"/>
                <w:spacing w:val="-1"/>
                <w:sz w:val="18"/>
              </w:rPr>
              <w:t>to</w:t>
            </w:r>
            <w:r>
              <w:rPr>
                <w:rFonts w:ascii="Calibri"/>
                <w:spacing w:val="-3"/>
                <w:sz w:val="18"/>
              </w:rPr>
              <w:t xml:space="preserve"> </w:t>
            </w:r>
            <w:r>
              <w:rPr>
                <w:rFonts w:ascii="Calibri"/>
                <w:spacing w:val="-1"/>
                <w:sz w:val="18"/>
              </w:rPr>
              <w:t>reduce</w:t>
            </w:r>
            <w:r>
              <w:rPr>
                <w:rFonts w:ascii="Calibri"/>
                <w:spacing w:val="-3"/>
                <w:sz w:val="18"/>
              </w:rPr>
              <w:t xml:space="preserve"> </w:t>
            </w:r>
            <w:r>
              <w:rPr>
                <w:rFonts w:ascii="Calibri"/>
                <w:sz w:val="18"/>
              </w:rPr>
              <w:t>(or</w:t>
            </w:r>
            <w:r>
              <w:rPr>
                <w:rFonts w:ascii="Calibri"/>
                <w:spacing w:val="-3"/>
                <w:sz w:val="18"/>
              </w:rPr>
              <w:t xml:space="preserve"> </w:t>
            </w:r>
            <w:r>
              <w:rPr>
                <w:rFonts w:ascii="Calibri"/>
                <w:spacing w:val="-1"/>
                <w:sz w:val="18"/>
              </w:rPr>
              <w:t>eliminate)</w:t>
            </w:r>
            <w:r>
              <w:rPr>
                <w:rFonts w:ascii="Calibri"/>
                <w:spacing w:val="-3"/>
                <w:sz w:val="18"/>
              </w:rPr>
              <w:t xml:space="preserve"> </w:t>
            </w:r>
            <w:r>
              <w:rPr>
                <w:rFonts w:ascii="Calibri"/>
                <w:spacing w:val="-1"/>
                <w:sz w:val="18"/>
              </w:rPr>
              <w:t>effects</w:t>
            </w:r>
            <w:r>
              <w:rPr>
                <w:rFonts w:ascii="Calibri"/>
                <w:spacing w:val="-3"/>
                <w:sz w:val="18"/>
              </w:rPr>
              <w:t xml:space="preserve"> </w:t>
            </w:r>
            <w:r>
              <w:rPr>
                <w:rFonts w:ascii="Calibri"/>
                <w:sz w:val="18"/>
              </w:rPr>
              <w:t>of</w:t>
            </w:r>
            <w:r>
              <w:rPr>
                <w:rFonts w:ascii="Calibri"/>
                <w:spacing w:val="-1"/>
                <w:sz w:val="18"/>
              </w:rPr>
              <w:t xml:space="preserve"> non-performing</w:t>
            </w:r>
            <w:r>
              <w:rPr>
                <w:rFonts w:ascii="Calibri"/>
                <w:spacing w:val="57"/>
                <w:w w:val="99"/>
                <w:sz w:val="18"/>
              </w:rPr>
              <w:t xml:space="preserve"> </w:t>
            </w:r>
            <w:r>
              <w:rPr>
                <w:rFonts w:ascii="Calibri"/>
                <w:spacing w:val="-1"/>
                <w:sz w:val="18"/>
              </w:rPr>
              <w:t>contractors.</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ight="399"/>
              <w:rPr>
                <w:rFonts w:ascii="Calibri" w:eastAsia="Calibri" w:hAnsi="Calibri" w:cs="Calibri"/>
                <w:sz w:val="18"/>
                <w:szCs w:val="18"/>
              </w:rPr>
            </w:pPr>
            <w:r>
              <w:rPr>
                <w:rFonts w:ascii="Calibri"/>
                <w:spacing w:val="-1"/>
                <w:sz w:val="18"/>
              </w:rPr>
              <w:t>Implemented.</w:t>
            </w:r>
            <w:r>
              <w:rPr>
                <w:rFonts w:ascii="Calibri"/>
                <w:spacing w:val="34"/>
                <w:sz w:val="18"/>
              </w:rPr>
              <w:t xml:space="preserve"> </w:t>
            </w:r>
            <w:r>
              <w:rPr>
                <w:rFonts w:ascii="Calibri"/>
                <w:sz w:val="18"/>
              </w:rPr>
              <w:t>The</w:t>
            </w:r>
            <w:r>
              <w:rPr>
                <w:rFonts w:ascii="Calibri"/>
                <w:spacing w:val="-1"/>
                <w:sz w:val="18"/>
              </w:rPr>
              <w:t xml:space="preserve"> scheduling</w:t>
            </w:r>
            <w:r>
              <w:rPr>
                <w:rFonts w:ascii="Calibri"/>
                <w:spacing w:val="-3"/>
                <w:sz w:val="18"/>
              </w:rPr>
              <w:t xml:space="preserve"> </w:t>
            </w:r>
            <w:r>
              <w:rPr>
                <w:rFonts w:ascii="Calibri"/>
                <w:sz w:val="18"/>
              </w:rPr>
              <w:t>process</w:t>
            </w:r>
            <w:r>
              <w:rPr>
                <w:rFonts w:ascii="Calibri"/>
                <w:spacing w:val="-4"/>
                <w:sz w:val="18"/>
              </w:rPr>
              <w:t xml:space="preserve"> </w:t>
            </w:r>
            <w:r>
              <w:rPr>
                <w:rFonts w:ascii="Calibri"/>
                <w:sz w:val="18"/>
              </w:rPr>
              <w:t>for</w:t>
            </w:r>
            <w:r>
              <w:rPr>
                <w:rFonts w:ascii="Calibri"/>
                <w:spacing w:val="-2"/>
                <w:sz w:val="18"/>
              </w:rPr>
              <w:t xml:space="preserve"> </w:t>
            </w:r>
            <w:r>
              <w:rPr>
                <w:rFonts w:ascii="Calibri"/>
                <w:spacing w:val="-1"/>
                <w:sz w:val="18"/>
              </w:rPr>
              <w:t>Phase</w:t>
            </w:r>
            <w:r>
              <w:rPr>
                <w:rFonts w:ascii="Calibri"/>
                <w:spacing w:val="-4"/>
                <w:sz w:val="18"/>
              </w:rPr>
              <w:t xml:space="preserve"> </w:t>
            </w:r>
            <w:r>
              <w:rPr>
                <w:rFonts w:ascii="Calibri"/>
                <w:sz w:val="18"/>
              </w:rPr>
              <w:t>3</w:t>
            </w:r>
            <w:r>
              <w:rPr>
                <w:rFonts w:ascii="Calibri"/>
                <w:spacing w:val="-2"/>
                <w:sz w:val="18"/>
              </w:rPr>
              <w:t xml:space="preserve"> </w:t>
            </w:r>
            <w:r>
              <w:rPr>
                <w:rFonts w:ascii="Calibri"/>
                <w:spacing w:val="-1"/>
                <w:sz w:val="18"/>
              </w:rPr>
              <w:t>WRAP</w:t>
            </w:r>
            <w:r>
              <w:rPr>
                <w:rFonts w:ascii="Calibri"/>
                <w:spacing w:val="39"/>
                <w:w w:val="99"/>
                <w:sz w:val="18"/>
              </w:rPr>
              <w:t xml:space="preserve"> </w:t>
            </w:r>
            <w:r>
              <w:rPr>
                <w:rFonts w:ascii="Calibri"/>
                <w:sz w:val="18"/>
              </w:rPr>
              <w:t>work</w:t>
            </w:r>
            <w:r>
              <w:rPr>
                <w:rFonts w:ascii="Calibri"/>
                <w:spacing w:val="-4"/>
                <w:sz w:val="18"/>
              </w:rPr>
              <w:t xml:space="preserve"> </w:t>
            </w:r>
            <w:r>
              <w:rPr>
                <w:rFonts w:ascii="Calibri"/>
                <w:sz w:val="18"/>
              </w:rPr>
              <w:t>was</w:t>
            </w:r>
            <w:r>
              <w:rPr>
                <w:rFonts w:ascii="Calibri"/>
                <w:spacing w:val="-4"/>
                <w:sz w:val="18"/>
              </w:rPr>
              <w:t xml:space="preserve"> </w:t>
            </w:r>
            <w:r>
              <w:rPr>
                <w:rFonts w:ascii="Calibri"/>
                <w:spacing w:val="-1"/>
                <w:sz w:val="18"/>
              </w:rPr>
              <w:t>significantly</w:t>
            </w:r>
            <w:r>
              <w:rPr>
                <w:rFonts w:ascii="Calibri"/>
                <w:spacing w:val="-3"/>
                <w:sz w:val="18"/>
              </w:rPr>
              <w:t xml:space="preserve"> </w:t>
            </w:r>
            <w:r>
              <w:rPr>
                <w:rFonts w:ascii="Calibri"/>
                <w:spacing w:val="-1"/>
                <w:sz w:val="18"/>
              </w:rPr>
              <w:t>improved.</w:t>
            </w:r>
          </w:p>
        </w:tc>
      </w:tr>
      <w:tr w:rsidR="00E646C9" w:rsidTr="00C3558F">
        <w:trPr>
          <w:trHeight w:hRule="exact" w:val="677"/>
        </w:trPr>
        <w:tc>
          <w:tcPr>
            <w:tcW w:w="4680" w:type="dxa"/>
            <w:tcBorders>
              <w:top w:val="single" w:sz="7" w:space="0" w:color="448999"/>
              <w:left w:val="single" w:sz="8" w:space="0" w:color="448999"/>
              <w:bottom w:val="single" w:sz="8" w:space="0" w:color="448999"/>
              <w:right w:val="single" w:sz="7" w:space="0" w:color="448999"/>
            </w:tcBorders>
            <w:shd w:val="clear" w:color="auto" w:fill="D2EAF0"/>
          </w:tcPr>
          <w:p w:rsidR="00E646C9" w:rsidRDefault="00E646C9" w:rsidP="00C94D5A">
            <w:pPr>
              <w:pStyle w:val="TableParagraph"/>
              <w:ind w:left="97" w:right="320"/>
              <w:rPr>
                <w:rFonts w:ascii="Calibri" w:eastAsia="Calibri" w:hAnsi="Calibri" w:cs="Calibri"/>
                <w:sz w:val="18"/>
                <w:szCs w:val="18"/>
              </w:rPr>
            </w:pPr>
            <w:r>
              <w:rPr>
                <w:rFonts w:ascii="Calibri"/>
                <w:spacing w:val="-1"/>
                <w:sz w:val="18"/>
              </w:rPr>
              <w:t>Encourage</w:t>
            </w:r>
            <w:r>
              <w:rPr>
                <w:rFonts w:ascii="Calibri"/>
                <w:spacing w:val="-6"/>
                <w:sz w:val="18"/>
              </w:rPr>
              <w:t xml:space="preserve"> </w:t>
            </w:r>
            <w:r>
              <w:rPr>
                <w:rFonts w:ascii="Calibri"/>
                <w:spacing w:val="-1"/>
                <w:sz w:val="18"/>
              </w:rPr>
              <w:t>future</w:t>
            </w:r>
            <w:r>
              <w:rPr>
                <w:rFonts w:ascii="Calibri"/>
                <w:spacing w:val="-5"/>
                <w:sz w:val="18"/>
              </w:rPr>
              <w:t xml:space="preserve"> </w:t>
            </w:r>
            <w:r>
              <w:rPr>
                <w:rFonts w:ascii="Calibri"/>
                <w:spacing w:val="-1"/>
                <w:sz w:val="18"/>
              </w:rPr>
              <w:t>implementers</w:t>
            </w:r>
            <w:r>
              <w:rPr>
                <w:rFonts w:ascii="Calibri"/>
                <w:spacing w:val="-4"/>
                <w:sz w:val="18"/>
              </w:rPr>
              <w:t xml:space="preserve"> </w:t>
            </w:r>
            <w:r>
              <w:rPr>
                <w:rFonts w:ascii="Calibri"/>
                <w:spacing w:val="-1"/>
                <w:sz w:val="18"/>
              </w:rPr>
              <w:t>provide</w:t>
            </w:r>
            <w:r>
              <w:rPr>
                <w:rFonts w:ascii="Calibri"/>
                <w:spacing w:val="-5"/>
                <w:sz w:val="18"/>
              </w:rPr>
              <w:t xml:space="preserve"> </w:t>
            </w:r>
            <w:r>
              <w:rPr>
                <w:rFonts w:ascii="Calibri"/>
                <w:sz w:val="18"/>
              </w:rPr>
              <w:t>leave-behind</w:t>
            </w:r>
            <w:r>
              <w:rPr>
                <w:rFonts w:ascii="Calibri"/>
                <w:spacing w:val="43"/>
                <w:sz w:val="18"/>
              </w:rPr>
              <w:t xml:space="preserve"> </w:t>
            </w:r>
            <w:r>
              <w:rPr>
                <w:rFonts w:ascii="Calibri"/>
                <w:spacing w:val="-1"/>
                <w:sz w:val="18"/>
              </w:rPr>
              <w:t>materials</w:t>
            </w:r>
            <w:r>
              <w:rPr>
                <w:rFonts w:ascii="Calibri"/>
                <w:spacing w:val="-5"/>
                <w:sz w:val="18"/>
              </w:rPr>
              <w:t xml:space="preserve"> </w:t>
            </w:r>
            <w:r>
              <w:rPr>
                <w:rFonts w:ascii="Calibri"/>
                <w:spacing w:val="-1"/>
                <w:sz w:val="18"/>
              </w:rPr>
              <w:t>describing</w:t>
            </w:r>
            <w:r>
              <w:rPr>
                <w:rFonts w:ascii="Calibri"/>
                <w:spacing w:val="-3"/>
                <w:sz w:val="18"/>
              </w:rPr>
              <w:t xml:space="preserve"> </w:t>
            </w:r>
            <w:r>
              <w:rPr>
                <w:rFonts w:ascii="Calibri"/>
                <w:spacing w:val="-1"/>
                <w:sz w:val="18"/>
              </w:rPr>
              <w:t xml:space="preserve">the </w:t>
            </w:r>
            <w:r>
              <w:rPr>
                <w:rFonts w:ascii="Calibri"/>
                <w:sz w:val="18"/>
              </w:rPr>
              <w:t>programs</w:t>
            </w:r>
            <w:r>
              <w:rPr>
                <w:rFonts w:ascii="Calibri"/>
                <w:spacing w:val="-4"/>
                <w:sz w:val="18"/>
              </w:rPr>
              <w:t xml:space="preserve"> </w:t>
            </w:r>
            <w:r>
              <w:rPr>
                <w:rFonts w:ascii="Calibri"/>
                <w:spacing w:val="-1"/>
                <w:sz w:val="18"/>
              </w:rPr>
              <w:t>and</w:t>
            </w:r>
            <w:r>
              <w:rPr>
                <w:rFonts w:ascii="Calibri"/>
                <w:spacing w:val="-3"/>
                <w:sz w:val="18"/>
              </w:rPr>
              <w:t xml:space="preserve"> </w:t>
            </w:r>
            <w:r>
              <w:rPr>
                <w:rFonts w:ascii="Calibri"/>
                <w:spacing w:val="-1"/>
                <w:sz w:val="18"/>
              </w:rPr>
              <w:t>how</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contact</w:t>
            </w:r>
            <w:r>
              <w:rPr>
                <w:rFonts w:ascii="Calibri"/>
                <w:spacing w:val="-3"/>
                <w:sz w:val="18"/>
              </w:rPr>
              <w:t xml:space="preserve"> </w:t>
            </w:r>
            <w:r>
              <w:rPr>
                <w:rFonts w:ascii="Calibri"/>
                <w:spacing w:val="-1"/>
                <w:sz w:val="18"/>
              </w:rPr>
              <w:t>the</w:t>
            </w:r>
            <w:r>
              <w:rPr>
                <w:rFonts w:ascii="Calibri"/>
                <w:spacing w:val="57"/>
                <w:w w:val="99"/>
                <w:sz w:val="18"/>
              </w:rPr>
              <w:t xml:space="preserve"> </w:t>
            </w:r>
            <w:r>
              <w:rPr>
                <w:rFonts w:ascii="Calibri"/>
                <w:spacing w:val="-1"/>
                <w:sz w:val="18"/>
              </w:rPr>
              <w:t>utility.</w:t>
            </w:r>
          </w:p>
        </w:tc>
        <w:tc>
          <w:tcPr>
            <w:tcW w:w="4681" w:type="dxa"/>
            <w:tcBorders>
              <w:top w:val="single" w:sz="7" w:space="0" w:color="448999"/>
              <w:left w:val="single" w:sz="7" w:space="0" w:color="448999"/>
              <w:bottom w:val="single" w:sz="8"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3"/>
                <w:sz w:val="18"/>
              </w:rPr>
              <w:t xml:space="preserve"> </w:t>
            </w:r>
            <w:r>
              <w:rPr>
                <w:rFonts w:ascii="Calibri"/>
                <w:sz w:val="18"/>
              </w:rPr>
              <w:t>for</w:t>
            </w:r>
            <w:r>
              <w:rPr>
                <w:rFonts w:ascii="Calibri"/>
                <w:spacing w:val="-1"/>
                <w:sz w:val="18"/>
              </w:rPr>
              <w:t xml:space="preserve"> future</w:t>
            </w:r>
            <w:r>
              <w:rPr>
                <w:rFonts w:ascii="Calibri"/>
                <w:spacing w:val="-3"/>
                <w:sz w:val="18"/>
              </w:rPr>
              <w:t xml:space="preserve"> </w:t>
            </w:r>
            <w:r>
              <w:rPr>
                <w:rFonts w:ascii="Calibri"/>
                <w:spacing w:val="-1"/>
                <w:sz w:val="18"/>
              </w:rPr>
              <w:t>pilots.</w:t>
            </w:r>
          </w:p>
        </w:tc>
      </w:tr>
    </w:tbl>
    <w:p w:rsidR="00E646C9" w:rsidRDefault="00E646C9" w:rsidP="00E646C9"/>
    <w:p w:rsidR="00C3558F" w:rsidRDefault="00C3558F" w:rsidP="00E646C9"/>
    <w:p w:rsidR="00C3558F" w:rsidRDefault="00C3558F" w:rsidP="00E646C9"/>
    <w:p w:rsidR="00C3558F" w:rsidRDefault="00C3558F" w:rsidP="00E646C9"/>
    <w:p w:rsidR="00C3558F" w:rsidRDefault="00C3558F" w:rsidP="00E646C9"/>
    <w:p w:rsidR="00C3558F" w:rsidRDefault="00C3558F" w:rsidP="00E646C9"/>
    <w:p w:rsidR="00C3558F" w:rsidRDefault="00C3558F" w:rsidP="00E646C9"/>
    <w:p w:rsidR="00E646C9" w:rsidRPr="00130312" w:rsidRDefault="00E646C9" w:rsidP="00C3558F">
      <w:pPr>
        <w:pStyle w:val="AppendixGHeading2"/>
      </w:pPr>
      <w:r w:rsidRPr="00E45771">
        <w:t xml:space="preserve">Low-Income Energy-Efficiency Behavior &amp; Education Program </w:t>
      </w:r>
    </w:p>
    <w:tbl>
      <w:tblPr>
        <w:tblW w:w="9362" w:type="dxa"/>
        <w:tblBorders>
          <w:top w:val="single" w:sz="8" w:space="0" w:color="448A99"/>
          <w:left w:val="single" w:sz="8" w:space="0" w:color="448A99"/>
          <w:bottom w:val="single" w:sz="8" w:space="0" w:color="448A99"/>
          <w:right w:val="single" w:sz="8" w:space="0" w:color="448A99"/>
          <w:insideH w:val="single" w:sz="8" w:space="0" w:color="448A99"/>
          <w:insideV w:val="single" w:sz="8" w:space="0" w:color="448A99"/>
        </w:tblBorders>
        <w:tblLayout w:type="fixed"/>
        <w:tblCellMar>
          <w:left w:w="0" w:type="dxa"/>
          <w:right w:w="0" w:type="dxa"/>
        </w:tblCellMar>
        <w:tblLook w:val="01E0" w:firstRow="1" w:lastRow="1" w:firstColumn="1" w:lastColumn="1" w:noHBand="0" w:noVBand="0"/>
      </w:tblPr>
      <w:tblGrid>
        <w:gridCol w:w="4681"/>
        <w:gridCol w:w="4681"/>
      </w:tblGrid>
      <w:tr w:rsidR="00E646C9" w:rsidTr="0011636D">
        <w:trPr>
          <w:trHeight w:hRule="exact" w:val="680"/>
        </w:trPr>
        <w:tc>
          <w:tcPr>
            <w:tcW w:w="9362" w:type="dxa"/>
            <w:gridSpan w:val="2"/>
            <w:shd w:val="clear" w:color="auto" w:fill="448999"/>
          </w:tcPr>
          <w:p w:rsidR="00E646C9" w:rsidRPr="00C3558F" w:rsidRDefault="00E646C9" w:rsidP="00FB3B18">
            <w:pPr>
              <w:pStyle w:val="TableParagraph"/>
              <w:tabs>
                <w:tab w:val="left" w:pos="5251"/>
              </w:tabs>
              <w:ind w:left="5798" w:right="570" w:hanging="5632"/>
              <w:rPr>
                <w:rFonts w:ascii="Calibri" w:eastAsia="Calibri" w:hAnsi="Calibri" w:cs="Calibri"/>
                <w:sz w:val="18"/>
                <w:szCs w:val="18"/>
              </w:rPr>
            </w:pPr>
            <w:r>
              <w:rPr>
                <w:rFonts w:ascii="Calibri"/>
                <w:b/>
                <w:color w:val="FFFFFF"/>
                <w:spacing w:val="-1"/>
                <w:w w:val="95"/>
                <w:sz w:val="18"/>
              </w:rPr>
              <w:t>Recommendations</w:t>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55"/>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before="1"/>
              <w:ind w:left="5654"/>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11636D">
        <w:trPr>
          <w:trHeight w:hRule="exact" w:val="876"/>
        </w:trPr>
        <w:tc>
          <w:tcPr>
            <w:tcW w:w="4681" w:type="dxa"/>
          </w:tcPr>
          <w:p w:rsidR="00E646C9" w:rsidRDefault="00E646C9" w:rsidP="00C94D5A">
            <w:pPr>
              <w:pStyle w:val="TableParagraph"/>
              <w:spacing w:before="48" w:line="276" w:lineRule="auto"/>
              <w:ind w:left="97" w:right="483"/>
              <w:rPr>
                <w:rFonts w:ascii="Calibri" w:eastAsia="Calibri" w:hAnsi="Calibri" w:cs="Calibri"/>
                <w:sz w:val="18"/>
                <w:szCs w:val="18"/>
              </w:rPr>
            </w:pPr>
            <w:r>
              <w:rPr>
                <w:rFonts w:ascii="Calibri"/>
                <w:spacing w:val="-1"/>
                <w:sz w:val="18"/>
              </w:rPr>
              <w:t>Consider sending</w:t>
            </w:r>
            <w:r>
              <w:rPr>
                <w:rFonts w:ascii="Calibri"/>
                <w:spacing w:val="-3"/>
                <w:sz w:val="18"/>
              </w:rPr>
              <w:t xml:space="preserve"> </w:t>
            </w:r>
            <w:r>
              <w:rPr>
                <w:rFonts w:ascii="Calibri"/>
                <w:spacing w:val="-1"/>
                <w:sz w:val="18"/>
              </w:rPr>
              <w:t>additional</w:t>
            </w:r>
            <w:r>
              <w:rPr>
                <w:rFonts w:ascii="Calibri"/>
                <w:spacing w:val="-3"/>
                <w:sz w:val="18"/>
              </w:rPr>
              <w:t xml:space="preserve"> </w:t>
            </w:r>
            <w:r>
              <w:rPr>
                <w:rFonts w:ascii="Calibri"/>
                <w:sz w:val="18"/>
              </w:rPr>
              <w:t>paper</w:t>
            </w:r>
            <w:r>
              <w:rPr>
                <w:rFonts w:ascii="Calibri"/>
                <w:spacing w:val="-2"/>
                <w:sz w:val="18"/>
              </w:rPr>
              <w:t xml:space="preserve"> </w:t>
            </w:r>
            <w:r>
              <w:rPr>
                <w:rFonts w:ascii="Calibri"/>
                <w:spacing w:val="-1"/>
                <w:sz w:val="18"/>
              </w:rPr>
              <w:t>home</w:t>
            </w:r>
            <w:r>
              <w:rPr>
                <w:rFonts w:ascii="Calibri"/>
                <w:spacing w:val="-3"/>
                <w:sz w:val="18"/>
              </w:rPr>
              <w:t xml:space="preserve"> </w:t>
            </w:r>
            <w:r>
              <w:rPr>
                <w:rFonts w:ascii="Calibri"/>
                <w:spacing w:val="-1"/>
                <w:sz w:val="18"/>
              </w:rPr>
              <w:t>energy</w:t>
            </w:r>
            <w:r>
              <w:rPr>
                <w:rFonts w:ascii="Calibri"/>
                <w:spacing w:val="-2"/>
                <w:sz w:val="18"/>
              </w:rPr>
              <w:t xml:space="preserve"> </w:t>
            </w:r>
            <w:r>
              <w:rPr>
                <w:rFonts w:ascii="Calibri"/>
                <w:spacing w:val="-1"/>
                <w:sz w:val="18"/>
              </w:rPr>
              <w:t>reports</w:t>
            </w:r>
            <w:r>
              <w:rPr>
                <w:rFonts w:ascii="Calibri"/>
                <w:spacing w:val="53"/>
                <w:sz w:val="18"/>
              </w:rPr>
              <w:t xml:space="preserve"> </w:t>
            </w:r>
            <w:r>
              <w:rPr>
                <w:rFonts w:ascii="Calibri"/>
                <w:spacing w:val="-1"/>
                <w:sz w:val="18"/>
              </w:rPr>
              <w:t>and/or</w:t>
            </w:r>
            <w:r>
              <w:rPr>
                <w:rFonts w:ascii="Calibri"/>
                <w:spacing w:val="-2"/>
                <w:sz w:val="18"/>
              </w:rPr>
              <w:t xml:space="preserve"> </w:t>
            </w:r>
            <w:r>
              <w:rPr>
                <w:rFonts w:ascii="Calibri"/>
                <w:spacing w:val="-1"/>
                <w:sz w:val="18"/>
              </w:rPr>
              <w:t>developing</w:t>
            </w:r>
            <w:r>
              <w:rPr>
                <w:rFonts w:ascii="Calibri"/>
                <w:sz w:val="18"/>
              </w:rPr>
              <w:t xml:space="preserve"> </w:t>
            </w:r>
            <w:r>
              <w:rPr>
                <w:rFonts w:ascii="Calibri"/>
                <w:spacing w:val="-1"/>
                <w:sz w:val="18"/>
              </w:rPr>
              <w:t>print</w:t>
            </w:r>
            <w:r>
              <w:rPr>
                <w:rFonts w:ascii="Calibri"/>
                <w:spacing w:val="-2"/>
                <w:sz w:val="18"/>
              </w:rPr>
              <w:t xml:space="preserve"> </w:t>
            </w:r>
            <w:r>
              <w:rPr>
                <w:rFonts w:ascii="Calibri"/>
                <w:spacing w:val="-1"/>
                <w:sz w:val="18"/>
              </w:rPr>
              <w:t>versions</w:t>
            </w:r>
            <w:r>
              <w:rPr>
                <w:rFonts w:ascii="Calibri"/>
                <w:sz w:val="18"/>
              </w:rPr>
              <w:t xml:space="preserve"> of</w:t>
            </w:r>
            <w:r>
              <w:rPr>
                <w:rFonts w:ascii="Calibri"/>
                <w:spacing w:val="-3"/>
                <w:sz w:val="18"/>
              </w:rPr>
              <w:t xml:space="preserve"> </w:t>
            </w:r>
            <w:r>
              <w:rPr>
                <w:rFonts w:ascii="Calibri"/>
                <w:spacing w:val="-1"/>
                <w:sz w:val="18"/>
              </w:rPr>
              <w:t>some</w:t>
            </w:r>
            <w:r>
              <w:rPr>
                <w:rFonts w:ascii="Calibri"/>
                <w:spacing w:val="-2"/>
                <w:sz w:val="18"/>
              </w:rPr>
              <w:t xml:space="preserve"> </w:t>
            </w:r>
            <w:r>
              <w:rPr>
                <w:rFonts w:ascii="Calibri"/>
                <w:sz w:val="18"/>
              </w:rPr>
              <w:t>of</w:t>
            </w:r>
            <w:r>
              <w:rPr>
                <w:rFonts w:ascii="Calibri"/>
                <w:spacing w:val="-3"/>
                <w:sz w:val="18"/>
              </w:rPr>
              <w:t xml:space="preserve"> </w:t>
            </w:r>
            <w:r>
              <w:rPr>
                <w:rFonts w:ascii="Calibri"/>
                <w:spacing w:val="-1"/>
                <w:sz w:val="18"/>
              </w:rPr>
              <w:t>the</w:t>
            </w:r>
            <w:r>
              <w:rPr>
                <w:rFonts w:ascii="Calibri"/>
                <w:spacing w:val="-2"/>
                <w:sz w:val="18"/>
              </w:rPr>
              <w:t xml:space="preserve"> </w:t>
            </w:r>
            <w:r>
              <w:rPr>
                <w:rFonts w:ascii="Calibri"/>
                <w:spacing w:val="-1"/>
                <w:sz w:val="18"/>
              </w:rPr>
              <w:t>digital</w:t>
            </w:r>
            <w:r>
              <w:rPr>
                <w:rFonts w:ascii="Calibri"/>
                <w:spacing w:val="55"/>
                <w:sz w:val="18"/>
              </w:rPr>
              <w:t xml:space="preserve"> </w:t>
            </w:r>
            <w:r>
              <w:rPr>
                <w:rFonts w:ascii="Calibri"/>
                <w:spacing w:val="-1"/>
                <w:sz w:val="18"/>
              </w:rPr>
              <w:t>content</w:t>
            </w:r>
            <w:r>
              <w:rPr>
                <w:rFonts w:ascii="Calibri"/>
                <w:spacing w:val="-3"/>
                <w:sz w:val="18"/>
              </w:rPr>
              <w:t xml:space="preserve"> </w:t>
            </w:r>
            <w:r>
              <w:rPr>
                <w:rFonts w:ascii="Calibri"/>
                <w:sz w:val="18"/>
              </w:rPr>
              <w:t>to</w:t>
            </w:r>
            <w:r>
              <w:rPr>
                <w:rFonts w:ascii="Calibri"/>
                <w:spacing w:val="-3"/>
                <w:sz w:val="18"/>
              </w:rPr>
              <w:t xml:space="preserve"> </w:t>
            </w:r>
            <w:r>
              <w:rPr>
                <w:rFonts w:ascii="Calibri"/>
                <w:spacing w:val="-1"/>
                <w:sz w:val="18"/>
              </w:rPr>
              <w:t>send</w:t>
            </w:r>
            <w:r>
              <w:rPr>
                <w:rFonts w:ascii="Calibri"/>
                <w:spacing w:val="-3"/>
                <w:sz w:val="18"/>
              </w:rPr>
              <w:t xml:space="preserve"> </w:t>
            </w:r>
            <w:r>
              <w:rPr>
                <w:rFonts w:ascii="Calibri"/>
                <w:sz w:val="18"/>
              </w:rPr>
              <w:t>to</w:t>
            </w:r>
            <w:r>
              <w:rPr>
                <w:rFonts w:ascii="Calibri"/>
                <w:spacing w:val="-3"/>
                <w:sz w:val="18"/>
              </w:rPr>
              <w:t xml:space="preserve"> </w:t>
            </w:r>
            <w:r>
              <w:rPr>
                <w:rFonts w:ascii="Calibri"/>
                <w:sz w:val="18"/>
              </w:rPr>
              <w:t>low-income</w:t>
            </w:r>
            <w:r>
              <w:rPr>
                <w:rFonts w:ascii="Calibri"/>
                <w:spacing w:val="-3"/>
                <w:sz w:val="18"/>
              </w:rPr>
              <w:t xml:space="preserve"> </w:t>
            </w:r>
            <w:r>
              <w:rPr>
                <w:rFonts w:ascii="Calibri"/>
                <w:spacing w:val="-1"/>
                <w:sz w:val="18"/>
              </w:rPr>
              <w:t>customers.</w:t>
            </w:r>
          </w:p>
        </w:tc>
        <w:tc>
          <w:tcPr>
            <w:tcW w:w="4681" w:type="dxa"/>
          </w:tcPr>
          <w:p w:rsidR="00E646C9" w:rsidRDefault="00E646C9" w:rsidP="00C94D5A">
            <w:pPr>
              <w:pStyle w:val="TableParagraph"/>
              <w:ind w:left="99" w:right="437"/>
              <w:jc w:val="both"/>
              <w:rPr>
                <w:rFonts w:ascii="Calibri" w:eastAsia="Calibri" w:hAnsi="Calibri" w:cs="Calibri"/>
                <w:sz w:val="18"/>
                <w:szCs w:val="18"/>
              </w:rPr>
            </w:pPr>
            <w:r>
              <w:rPr>
                <w:rFonts w:ascii="Calibri"/>
                <w:spacing w:val="-1"/>
                <w:sz w:val="18"/>
              </w:rPr>
              <w:t>Implemented</w:t>
            </w:r>
            <w:r>
              <w:rPr>
                <w:rFonts w:ascii="Calibri"/>
                <w:spacing w:val="-4"/>
                <w:sz w:val="18"/>
              </w:rPr>
              <w:t xml:space="preserve"> </w:t>
            </w:r>
            <w:r>
              <w:rPr>
                <w:rFonts w:ascii="Calibri"/>
                <w:sz w:val="18"/>
              </w:rPr>
              <w:t>as</w:t>
            </w:r>
            <w:r>
              <w:rPr>
                <w:rFonts w:ascii="Calibri"/>
                <w:spacing w:val="-1"/>
                <w:sz w:val="18"/>
              </w:rPr>
              <w:t xml:space="preserve"> part</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the</w:t>
            </w:r>
            <w:r>
              <w:rPr>
                <w:rFonts w:ascii="Calibri"/>
                <w:spacing w:val="-3"/>
                <w:sz w:val="18"/>
              </w:rPr>
              <w:t xml:space="preserve"> </w:t>
            </w:r>
            <w:r>
              <w:rPr>
                <w:rFonts w:ascii="Calibri"/>
                <w:sz w:val="18"/>
              </w:rPr>
              <w:t>Phase</w:t>
            </w:r>
            <w:r>
              <w:rPr>
                <w:rFonts w:ascii="Calibri"/>
                <w:spacing w:val="-2"/>
                <w:sz w:val="18"/>
              </w:rPr>
              <w:t xml:space="preserve"> </w:t>
            </w:r>
            <w:r>
              <w:rPr>
                <w:rFonts w:ascii="Calibri"/>
                <w:sz w:val="18"/>
              </w:rPr>
              <w:t>III</w:t>
            </w:r>
            <w:r>
              <w:rPr>
                <w:rFonts w:ascii="Calibri"/>
                <w:spacing w:val="-2"/>
                <w:sz w:val="18"/>
              </w:rPr>
              <w:t xml:space="preserve"> </w:t>
            </w:r>
            <w:r>
              <w:rPr>
                <w:rFonts w:ascii="Calibri"/>
                <w:spacing w:val="-1"/>
                <w:sz w:val="18"/>
              </w:rPr>
              <w:t>marketing strategy.</w:t>
            </w:r>
            <w:r>
              <w:rPr>
                <w:rFonts w:ascii="Calibri"/>
                <w:spacing w:val="55"/>
                <w:sz w:val="18"/>
              </w:rPr>
              <w:t xml:space="preserve"> </w:t>
            </w:r>
            <w:r>
              <w:rPr>
                <w:rFonts w:ascii="Calibri"/>
                <w:spacing w:val="-1"/>
                <w:sz w:val="18"/>
              </w:rPr>
              <w:t>Information</w:t>
            </w:r>
            <w:r>
              <w:rPr>
                <w:rFonts w:ascii="Calibri"/>
                <w:spacing w:val="-4"/>
                <w:sz w:val="18"/>
              </w:rPr>
              <w:t xml:space="preserve"> </w:t>
            </w:r>
            <w:r>
              <w:rPr>
                <w:rFonts w:ascii="Calibri"/>
                <w:spacing w:val="-1"/>
                <w:sz w:val="18"/>
              </w:rPr>
              <w:t>targeted</w:t>
            </w:r>
            <w:r>
              <w:rPr>
                <w:rFonts w:ascii="Calibri"/>
                <w:spacing w:val="-4"/>
                <w:sz w:val="18"/>
              </w:rPr>
              <w:t xml:space="preserve"> </w:t>
            </w:r>
            <w:r>
              <w:rPr>
                <w:rFonts w:ascii="Calibri"/>
                <w:sz w:val="18"/>
              </w:rPr>
              <w:t>for</w:t>
            </w:r>
            <w:r>
              <w:rPr>
                <w:rFonts w:ascii="Calibri"/>
                <w:spacing w:val="-3"/>
                <w:sz w:val="18"/>
              </w:rPr>
              <w:t xml:space="preserve"> </w:t>
            </w:r>
            <w:r>
              <w:rPr>
                <w:rFonts w:ascii="Calibri"/>
                <w:spacing w:val="-1"/>
                <w:sz w:val="18"/>
              </w:rPr>
              <w:t>low-income</w:t>
            </w:r>
            <w:r>
              <w:rPr>
                <w:rFonts w:ascii="Calibri"/>
                <w:spacing w:val="-4"/>
                <w:sz w:val="18"/>
              </w:rPr>
              <w:t xml:space="preserve"> </w:t>
            </w:r>
            <w:r>
              <w:rPr>
                <w:rFonts w:ascii="Calibri"/>
                <w:spacing w:val="-1"/>
                <w:sz w:val="18"/>
              </w:rPr>
              <w:t>customers</w:t>
            </w:r>
            <w:r>
              <w:rPr>
                <w:rFonts w:ascii="Calibri"/>
                <w:spacing w:val="-5"/>
                <w:sz w:val="18"/>
              </w:rPr>
              <w:t xml:space="preserve"> </w:t>
            </w:r>
            <w:r>
              <w:rPr>
                <w:rFonts w:ascii="Calibri"/>
                <w:sz w:val="18"/>
              </w:rPr>
              <w:t>is</w:t>
            </w:r>
            <w:r>
              <w:rPr>
                <w:rFonts w:ascii="Calibri"/>
                <w:spacing w:val="-4"/>
                <w:sz w:val="18"/>
              </w:rPr>
              <w:t xml:space="preserve"> </w:t>
            </w:r>
            <w:r>
              <w:rPr>
                <w:rFonts w:ascii="Calibri"/>
                <w:spacing w:val="-1"/>
                <w:sz w:val="18"/>
              </w:rPr>
              <w:t>rarely</w:t>
            </w:r>
            <w:r>
              <w:rPr>
                <w:rFonts w:ascii="Calibri"/>
                <w:spacing w:val="71"/>
                <w:w w:val="99"/>
                <w:sz w:val="18"/>
              </w:rPr>
              <w:t xml:space="preserve"> </w:t>
            </w:r>
            <w:r>
              <w:rPr>
                <w:rFonts w:ascii="Calibri"/>
                <w:spacing w:val="-1"/>
                <w:sz w:val="18"/>
              </w:rPr>
              <w:t>limited</w:t>
            </w:r>
            <w:r>
              <w:rPr>
                <w:rFonts w:ascii="Calibri"/>
                <w:spacing w:val="-2"/>
                <w:sz w:val="18"/>
              </w:rPr>
              <w:t xml:space="preserve"> </w:t>
            </w:r>
            <w:r>
              <w:rPr>
                <w:rFonts w:ascii="Calibri"/>
                <w:sz w:val="18"/>
              </w:rPr>
              <w:t>to</w:t>
            </w:r>
            <w:r>
              <w:rPr>
                <w:rFonts w:ascii="Calibri"/>
                <w:spacing w:val="-1"/>
                <w:sz w:val="18"/>
              </w:rPr>
              <w:t xml:space="preserve"> </w:t>
            </w:r>
            <w:r>
              <w:rPr>
                <w:rFonts w:ascii="Calibri"/>
                <w:sz w:val="18"/>
              </w:rPr>
              <w:t>a</w:t>
            </w:r>
            <w:r>
              <w:rPr>
                <w:rFonts w:ascii="Calibri"/>
                <w:spacing w:val="-1"/>
                <w:sz w:val="18"/>
              </w:rPr>
              <w:t xml:space="preserve"> digital</w:t>
            </w:r>
            <w:r>
              <w:rPr>
                <w:rFonts w:ascii="Calibri"/>
                <w:spacing w:val="-2"/>
                <w:sz w:val="18"/>
              </w:rPr>
              <w:t xml:space="preserve"> </w:t>
            </w:r>
            <w:r>
              <w:rPr>
                <w:rFonts w:ascii="Calibri"/>
                <w:spacing w:val="-1"/>
                <w:sz w:val="18"/>
              </w:rPr>
              <w:t>channel.</w:t>
            </w:r>
          </w:p>
        </w:tc>
      </w:tr>
      <w:tr w:rsidR="00E646C9" w:rsidTr="0011636D">
        <w:trPr>
          <w:trHeight w:hRule="exact" w:val="898"/>
        </w:trPr>
        <w:tc>
          <w:tcPr>
            <w:tcW w:w="4681" w:type="dxa"/>
            <w:shd w:val="clear" w:color="auto" w:fill="D2EAF0"/>
          </w:tcPr>
          <w:p w:rsidR="00E646C9" w:rsidRDefault="00E646C9" w:rsidP="00C94D5A">
            <w:pPr>
              <w:pStyle w:val="TableParagraph"/>
              <w:ind w:left="97" w:right="97"/>
              <w:jc w:val="both"/>
              <w:rPr>
                <w:rFonts w:ascii="Calibri" w:eastAsia="Calibri" w:hAnsi="Calibri" w:cs="Calibri"/>
                <w:sz w:val="18"/>
                <w:szCs w:val="18"/>
              </w:rPr>
            </w:pPr>
            <w:r>
              <w:rPr>
                <w:rFonts w:ascii="Calibri" w:eastAsia="Calibri" w:hAnsi="Calibri" w:cs="Calibri"/>
                <w:spacing w:val="-1"/>
                <w:sz w:val="18"/>
                <w:szCs w:val="18"/>
              </w:rPr>
              <w:t>Consider</w:t>
            </w:r>
            <w:r>
              <w:rPr>
                <w:rFonts w:ascii="Calibri" w:eastAsia="Calibri" w:hAnsi="Calibri" w:cs="Calibri"/>
                <w:spacing w:val="-7"/>
                <w:sz w:val="18"/>
                <w:szCs w:val="18"/>
              </w:rPr>
              <w:t xml:space="preserve"> </w:t>
            </w:r>
            <w:r>
              <w:rPr>
                <w:rFonts w:ascii="Calibri" w:eastAsia="Calibri" w:hAnsi="Calibri" w:cs="Calibri"/>
                <w:sz w:val="18"/>
                <w:szCs w:val="18"/>
              </w:rPr>
              <w:t>using</w:t>
            </w:r>
            <w:r>
              <w:rPr>
                <w:rFonts w:ascii="Calibri" w:eastAsia="Calibri" w:hAnsi="Calibri" w:cs="Calibri"/>
                <w:spacing w:val="-8"/>
                <w:sz w:val="18"/>
                <w:szCs w:val="18"/>
              </w:rPr>
              <w:t xml:space="preserve"> </w:t>
            </w:r>
            <w:r>
              <w:rPr>
                <w:rFonts w:ascii="Calibri" w:eastAsia="Calibri" w:hAnsi="Calibri" w:cs="Calibri"/>
                <w:spacing w:val="-1"/>
                <w:sz w:val="18"/>
                <w:szCs w:val="18"/>
              </w:rPr>
              <w:t>other</w:t>
            </w:r>
            <w:r>
              <w:rPr>
                <w:rFonts w:ascii="Calibri" w:eastAsia="Calibri" w:hAnsi="Calibri" w:cs="Calibri"/>
                <w:spacing w:val="-6"/>
                <w:sz w:val="18"/>
                <w:szCs w:val="18"/>
              </w:rPr>
              <w:t xml:space="preserve"> </w:t>
            </w:r>
            <w:r>
              <w:rPr>
                <w:rFonts w:ascii="Calibri" w:eastAsia="Calibri" w:hAnsi="Calibri" w:cs="Calibri"/>
                <w:spacing w:val="-1"/>
                <w:sz w:val="18"/>
                <w:szCs w:val="18"/>
              </w:rPr>
              <w:t>channels</w:t>
            </w:r>
            <w:r>
              <w:rPr>
                <w:rFonts w:ascii="Calibri" w:eastAsia="Calibri" w:hAnsi="Calibri" w:cs="Calibri"/>
                <w:spacing w:val="-7"/>
                <w:sz w:val="18"/>
                <w:szCs w:val="18"/>
              </w:rPr>
              <w:t xml:space="preserve"> </w:t>
            </w:r>
            <w:r>
              <w:rPr>
                <w:rFonts w:ascii="Calibri" w:eastAsia="Calibri" w:hAnsi="Calibri" w:cs="Calibri"/>
                <w:spacing w:val="-1"/>
                <w:sz w:val="18"/>
                <w:szCs w:val="18"/>
              </w:rPr>
              <w:t>(e-mail,</w:t>
            </w:r>
            <w:r>
              <w:rPr>
                <w:rFonts w:ascii="Calibri" w:eastAsia="Calibri" w:hAnsi="Calibri" w:cs="Calibri"/>
                <w:spacing w:val="-7"/>
                <w:sz w:val="18"/>
                <w:szCs w:val="18"/>
              </w:rPr>
              <w:t xml:space="preserve"> </w:t>
            </w:r>
            <w:r>
              <w:rPr>
                <w:rFonts w:ascii="Calibri" w:eastAsia="Calibri" w:hAnsi="Calibri" w:cs="Calibri"/>
                <w:spacing w:val="-1"/>
                <w:sz w:val="18"/>
                <w:szCs w:val="18"/>
              </w:rPr>
              <w:t>billing</w:t>
            </w:r>
            <w:r>
              <w:rPr>
                <w:rFonts w:ascii="Calibri" w:eastAsia="Calibri" w:hAnsi="Calibri" w:cs="Calibri"/>
                <w:spacing w:val="-7"/>
                <w:sz w:val="18"/>
                <w:szCs w:val="18"/>
              </w:rPr>
              <w:t xml:space="preserve"> </w:t>
            </w:r>
            <w:r>
              <w:rPr>
                <w:rFonts w:ascii="Calibri" w:eastAsia="Calibri" w:hAnsi="Calibri" w:cs="Calibri"/>
                <w:spacing w:val="-1"/>
                <w:sz w:val="18"/>
                <w:szCs w:val="18"/>
              </w:rPr>
              <w:t>statements,</w:t>
            </w:r>
            <w:r>
              <w:rPr>
                <w:rFonts w:ascii="Calibri" w:eastAsia="Calibri" w:hAnsi="Calibri" w:cs="Calibri"/>
                <w:spacing w:val="-7"/>
                <w:sz w:val="18"/>
                <w:szCs w:val="18"/>
              </w:rPr>
              <w:t xml:space="preserve"> </w:t>
            </w:r>
            <w:r>
              <w:rPr>
                <w:rFonts w:ascii="Calibri" w:eastAsia="Calibri" w:hAnsi="Calibri" w:cs="Calibri"/>
                <w:spacing w:val="-1"/>
                <w:sz w:val="18"/>
                <w:szCs w:val="18"/>
              </w:rPr>
              <w:t>and</w:t>
            </w:r>
            <w:r>
              <w:rPr>
                <w:rFonts w:ascii="Calibri" w:eastAsia="Calibri" w:hAnsi="Calibri" w:cs="Calibri"/>
                <w:spacing w:val="55"/>
                <w:sz w:val="18"/>
                <w:szCs w:val="18"/>
              </w:rPr>
              <w:t xml:space="preserve"> </w:t>
            </w:r>
            <w:r>
              <w:rPr>
                <w:rFonts w:ascii="Calibri" w:eastAsia="Calibri" w:hAnsi="Calibri" w:cs="Calibri"/>
                <w:spacing w:val="-1"/>
                <w:sz w:val="18"/>
                <w:szCs w:val="18"/>
              </w:rPr>
              <w:t>programs)</w:t>
            </w:r>
            <w:r>
              <w:rPr>
                <w:rFonts w:ascii="Calibri" w:eastAsia="Calibri" w:hAnsi="Calibri" w:cs="Calibri"/>
                <w:spacing w:val="-13"/>
                <w:sz w:val="18"/>
                <w:szCs w:val="18"/>
              </w:rPr>
              <w:t xml:space="preserve"> </w:t>
            </w:r>
            <w:r>
              <w:rPr>
                <w:rFonts w:ascii="Calibri" w:eastAsia="Calibri" w:hAnsi="Calibri" w:cs="Calibri"/>
                <w:sz w:val="18"/>
                <w:szCs w:val="18"/>
              </w:rPr>
              <w:t>to</w:t>
            </w:r>
            <w:r>
              <w:rPr>
                <w:rFonts w:ascii="Calibri" w:eastAsia="Calibri" w:hAnsi="Calibri" w:cs="Calibri"/>
                <w:spacing w:val="-12"/>
                <w:sz w:val="18"/>
                <w:szCs w:val="18"/>
              </w:rPr>
              <w:t xml:space="preserve"> </w:t>
            </w:r>
            <w:r>
              <w:rPr>
                <w:rFonts w:ascii="Calibri" w:eastAsia="Calibri" w:hAnsi="Calibri" w:cs="Calibri"/>
                <w:spacing w:val="-1"/>
                <w:sz w:val="18"/>
                <w:szCs w:val="18"/>
              </w:rPr>
              <w:t>encourage</w:t>
            </w:r>
            <w:r>
              <w:rPr>
                <w:rFonts w:ascii="Calibri" w:eastAsia="Calibri" w:hAnsi="Calibri" w:cs="Calibri"/>
                <w:spacing w:val="-14"/>
                <w:sz w:val="18"/>
                <w:szCs w:val="18"/>
              </w:rPr>
              <w:t xml:space="preserve"> </w:t>
            </w:r>
            <w:r>
              <w:rPr>
                <w:rFonts w:ascii="Calibri" w:eastAsia="Calibri" w:hAnsi="Calibri" w:cs="Calibri"/>
                <w:sz w:val="18"/>
                <w:szCs w:val="18"/>
              </w:rPr>
              <w:t>all</w:t>
            </w:r>
            <w:r>
              <w:rPr>
                <w:rFonts w:ascii="Calibri" w:eastAsia="Calibri" w:hAnsi="Calibri" w:cs="Calibri"/>
                <w:spacing w:val="-13"/>
                <w:sz w:val="18"/>
                <w:szCs w:val="18"/>
              </w:rPr>
              <w:t xml:space="preserve"> </w:t>
            </w:r>
            <w:r>
              <w:rPr>
                <w:rFonts w:ascii="Calibri" w:eastAsia="Calibri" w:hAnsi="Calibri" w:cs="Calibri"/>
                <w:spacing w:val="-1"/>
                <w:sz w:val="18"/>
                <w:szCs w:val="18"/>
              </w:rPr>
              <w:t>treatment</w:t>
            </w:r>
            <w:r>
              <w:rPr>
                <w:rFonts w:ascii="Calibri" w:eastAsia="Calibri" w:hAnsi="Calibri" w:cs="Calibri"/>
                <w:spacing w:val="-13"/>
                <w:sz w:val="18"/>
                <w:szCs w:val="18"/>
              </w:rPr>
              <w:t xml:space="preserve"> </w:t>
            </w:r>
            <w:r>
              <w:rPr>
                <w:rFonts w:ascii="Calibri" w:eastAsia="Calibri" w:hAnsi="Calibri" w:cs="Calibri"/>
                <w:spacing w:val="-1"/>
                <w:sz w:val="18"/>
                <w:szCs w:val="18"/>
              </w:rPr>
              <w:t>customers</w:t>
            </w:r>
            <w:r>
              <w:rPr>
                <w:rFonts w:ascii="Calibri" w:eastAsia="Calibri" w:hAnsi="Calibri" w:cs="Calibri"/>
                <w:spacing w:val="-13"/>
                <w:sz w:val="18"/>
                <w:szCs w:val="18"/>
              </w:rPr>
              <w:t xml:space="preserve"> </w:t>
            </w:r>
            <w:r>
              <w:rPr>
                <w:rFonts w:ascii="Calibri" w:eastAsia="Calibri" w:hAnsi="Calibri" w:cs="Calibri"/>
                <w:sz w:val="18"/>
                <w:szCs w:val="18"/>
              </w:rPr>
              <w:t>(low-income</w:t>
            </w:r>
            <w:r>
              <w:rPr>
                <w:rFonts w:ascii="Calibri" w:eastAsia="Calibri" w:hAnsi="Calibri" w:cs="Calibri"/>
                <w:spacing w:val="49"/>
                <w:w w:val="99"/>
                <w:sz w:val="18"/>
                <w:szCs w:val="18"/>
              </w:rPr>
              <w:t xml:space="preserve"> </w:t>
            </w:r>
            <w:r>
              <w:rPr>
                <w:rFonts w:ascii="Calibri" w:eastAsia="Calibri" w:hAnsi="Calibri" w:cs="Calibri"/>
                <w:spacing w:val="-1"/>
                <w:sz w:val="18"/>
                <w:szCs w:val="18"/>
              </w:rPr>
              <w:t>and</w:t>
            </w:r>
            <w:r>
              <w:rPr>
                <w:rFonts w:ascii="Calibri" w:eastAsia="Calibri" w:hAnsi="Calibri" w:cs="Calibri"/>
                <w:spacing w:val="-9"/>
                <w:sz w:val="18"/>
                <w:szCs w:val="18"/>
              </w:rPr>
              <w:t xml:space="preserve"> </w:t>
            </w:r>
            <w:r>
              <w:rPr>
                <w:rFonts w:ascii="Calibri" w:eastAsia="Calibri" w:hAnsi="Calibri" w:cs="Calibri"/>
                <w:spacing w:val="-1"/>
                <w:sz w:val="18"/>
                <w:szCs w:val="18"/>
              </w:rPr>
              <w:t>non-low-income)</w:t>
            </w:r>
            <w:r>
              <w:rPr>
                <w:rFonts w:ascii="Calibri" w:eastAsia="Calibri" w:hAnsi="Calibri" w:cs="Calibri"/>
                <w:spacing w:val="-7"/>
                <w:sz w:val="18"/>
                <w:szCs w:val="18"/>
              </w:rPr>
              <w:t xml:space="preserve"> </w:t>
            </w:r>
            <w:r>
              <w:rPr>
                <w:rFonts w:ascii="Calibri" w:eastAsia="Calibri" w:hAnsi="Calibri" w:cs="Calibri"/>
                <w:sz w:val="18"/>
                <w:szCs w:val="18"/>
              </w:rPr>
              <w:t>to</w:t>
            </w:r>
            <w:r>
              <w:rPr>
                <w:rFonts w:ascii="Calibri" w:eastAsia="Calibri" w:hAnsi="Calibri" w:cs="Calibri"/>
                <w:spacing w:val="-7"/>
                <w:sz w:val="18"/>
                <w:szCs w:val="18"/>
              </w:rPr>
              <w:t xml:space="preserve"> </w:t>
            </w:r>
            <w:r>
              <w:rPr>
                <w:rFonts w:ascii="Calibri" w:eastAsia="Calibri" w:hAnsi="Calibri" w:cs="Calibri"/>
                <w:spacing w:val="-1"/>
                <w:sz w:val="18"/>
                <w:szCs w:val="18"/>
              </w:rPr>
              <w:t>visit</w:t>
            </w:r>
            <w:r>
              <w:rPr>
                <w:rFonts w:ascii="Calibri" w:eastAsia="Calibri" w:hAnsi="Calibri" w:cs="Calibri"/>
                <w:spacing w:val="-8"/>
                <w:sz w:val="18"/>
                <w:szCs w:val="18"/>
              </w:rPr>
              <w:t xml:space="preserve"> </w:t>
            </w:r>
            <w:r>
              <w:rPr>
                <w:rFonts w:ascii="Calibri" w:eastAsia="Calibri" w:hAnsi="Calibri" w:cs="Calibri"/>
                <w:spacing w:val="-1"/>
                <w:sz w:val="18"/>
                <w:szCs w:val="18"/>
              </w:rPr>
              <w:t>the</w:t>
            </w:r>
            <w:r>
              <w:rPr>
                <w:rFonts w:ascii="Calibri" w:eastAsia="Calibri" w:hAnsi="Calibri" w:cs="Calibri"/>
                <w:spacing w:val="-6"/>
                <w:sz w:val="18"/>
                <w:szCs w:val="18"/>
              </w:rPr>
              <w:t xml:space="preserve"> </w:t>
            </w:r>
            <w:r>
              <w:rPr>
                <w:rFonts w:ascii="Calibri" w:eastAsia="Calibri" w:hAnsi="Calibri" w:cs="Calibri"/>
                <w:spacing w:val="-1"/>
                <w:sz w:val="18"/>
                <w:szCs w:val="18"/>
              </w:rPr>
              <w:t>new</w:t>
            </w:r>
            <w:r>
              <w:rPr>
                <w:rFonts w:ascii="Calibri" w:eastAsia="Calibri" w:hAnsi="Calibri" w:cs="Calibri"/>
                <w:spacing w:val="-7"/>
                <w:sz w:val="18"/>
                <w:szCs w:val="18"/>
              </w:rPr>
              <w:t xml:space="preserve"> </w:t>
            </w:r>
            <w:r>
              <w:rPr>
                <w:rFonts w:ascii="Calibri" w:eastAsia="Calibri" w:hAnsi="Calibri" w:cs="Calibri"/>
                <w:spacing w:val="-1"/>
                <w:sz w:val="18"/>
                <w:szCs w:val="18"/>
              </w:rPr>
              <w:t>Phase</w:t>
            </w:r>
            <w:r>
              <w:rPr>
                <w:rFonts w:ascii="Calibri" w:eastAsia="Calibri" w:hAnsi="Calibri" w:cs="Calibri"/>
                <w:spacing w:val="-8"/>
                <w:sz w:val="18"/>
                <w:szCs w:val="18"/>
              </w:rPr>
              <w:t xml:space="preserve"> </w:t>
            </w:r>
            <w:r>
              <w:rPr>
                <w:rFonts w:ascii="Calibri" w:eastAsia="Calibri" w:hAnsi="Calibri" w:cs="Calibri"/>
                <w:sz w:val="18"/>
                <w:szCs w:val="18"/>
              </w:rPr>
              <w:t>III</w:t>
            </w:r>
            <w:r>
              <w:rPr>
                <w:rFonts w:ascii="Calibri" w:eastAsia="Calibri" w:hAnsi="Calibri" w:cs="Calibri"/>
                <w:spacing w:val="-7"/>
                <w:sz w:val="18"/>
                <w:szCs w:val="18"/>
              </w:rPr>
              <w:t xml:space="preserve"> </w:t>
            </w:r>
            <w:r>
              <w:rPr>
                <w:rFonts w:ascii="Calibri" w:eastAsia="Calibri" w:hAnsi="Calibri" w:cs="Calibri"/>
                <w:spacing w:val="-1"/>
                <w:sz w:val="18"/>
                <w:szCs w:val="18"/>
              </w:rPr>
              <w:t>program’s</w:t>
            </w:r>
            <w:r>
              <w:rPr>
                <w:rFonts w:ascii="Calibri" w:eastAsia="Calibri" w:hAnsi="Calibri" w:cs="Calibri"/>
                <w:spacing w:val="-9"/>
                <w:sz w:val="18"/>
                <w:szCs w:val="18"/>
              </w:rPr>
              <w:t xml:space="preserve"> </w:t>
            </w:r>
            <w:r>
              <w:rPr>
                <w:rFonts w:ascii="Calibri" w:eastAsia="Calibri" w:hAnsi="Calibri" w:cs="Calibri"/>
                <w:spacing w:val="-1"/>
                <w:sz w:val="18"/>
                <w:szCs w:val="18"/>
              </w:rPr>
              <w:t>web</w:t>
            </w:r>
            <w:r>
              <w:rPr>
                <w:rFonts w:ascii="Calibri" w:eastAsia="Calibri" w:hAnsi="Calibri" w:cs="Calibri"/>
                <w:spacing w:val="59"/>
                <w:sz w:val="18"/>
                <w:szCs w:val="18"/>
              </w:rPr>
              <w:t xml:space="preserve"> </w:t>
            </w:r>
            <w:r>
              <w:rPr>
                <w:rFonts w:ascii="Calibri" w:eastAsia="Calibri" w:hAnsi="Calibri" w:cs="Calibri"/>
                <w:spacing w:val="-1"/>
                <w:sz w:val="18"/>
                <w:szCs w:val="18"/>
              </w:rPr>
              <w:t>portal.</w:t>
            </w:r>
          </w:p>
        </w:tc>
        <w:tc>
          <w:tcPr>
            <w:tcW w:w="4681" w:type="dxa"/>
            <w:shd w:val="clear" w:color="auto" w:fill="D2EAF0"/>
          </w:tcPr>
          <w:p w:rsidR="00E646C9" w:rsidRDefault="00E646C9" w:rsidP="00C94D5A">
            <w:pPr>
              <w:pStyle w:val="TableParagraph"/>
              <w:ind w:left="99" w:right="812"/>
              <w:rPr>
                <w:rFonts w:ascii="Calibri" w:eastAsia="Calibri" w:hAnsi="Calibri" w:cs="Calibri"/>
                <w:sz w:val="18"/>
                <w:szCs w:val="18"/>
              </w:rPr>
            </w:pPr>
            <w:r>
              <w:rPr>
                <w:rFonts w:ascii="Calibri" w:eastAsia="Calibri" w:hAnsi="Calibri" w:cs="Calibri"/>
                <w:spacing w:val="-1"/>
                <w:sz w:val="18"/>
                <w:szCs w:val="18"/>
              </w:rPr>
              <w:t>Will</w:t>
            </w:r>
            <w:r>
              <w:rPr>
                <w:rFonts w:ascii="Calibri" w:eastAsia="Calibri" w:hAnsi="Calibri" w:cs="Calibri"/>
                <w:spacing w:val="-4"/>
                <w:sz w:val="18"/>
                <w:szCs w:val="18"/>
              </w:rPr>
              <w:t xml:space="preserve"> </w:t>
            </w:r>
            <w:r>
              <w:rPr>
                <w:rFonts w:ascii="Calibri" w:eastAsia="Calibri" w:hAnsi="Calibri" w:cs="Calibri"/>
                <w:spacing w:val="-1"/>
                <w:sz w:val="18"/>
                <w:szCs w:val="18"/>
              </w:rPr>
              <w:t>be</w:t>
            </w:r>
            <w:r>
              <w:rPr>
                <w:rFonts w:ascii="Calibri" w:eastAsia="Calibri" w:hAnsi="Calibri" w:cs="Calibri"/>
                <w:spacing w:val="-4"/>
                <w:sz w:val="18"/>
                <w:szCs w:val="18"/>
              </w:rPr>
              <w:t xml:space="preserve"> </w:t>
            </w:r>
            <w:r>
              <w:rPr>
                <w:rFonts w:ascii="Calibri" w:eastAsia="Calibri" w:hAnsi="Calibri" w:cs="Calibri"/>
                <w:sz w:val="18"/>
                <w:szCs w:val="18"/>
              </w:rPr>
              <w:t>implemented</w:t>
            </w:r>
            <w:r>
              <w:rPr>
                <w:rFonts w:ascii="Calibri" w:eastAsia="Calibri" w:hAnsi="Calibri" w:cs="Calibri"/>
                <w:spacing w:val="-3"/>
                <w:sz w:val="18"/>
                <w:szCs w:val="18"/>
              </w:rPr>
              <w:t xml:space="preserve"> </w:t>
            </w:r>
            <w:r>
              <w:rPr>
                <w:rFonts w:ascii="Calibri" w:eastAsia="Calibri" w:hAnsi="Calibri" w:cs="Calibri"/>
                <w:spacing w:val="-1"/>
                <w:sz w:val="18"/>
                <w:szCs w:val="18"/>
              </w:rPr>
              <w:t>shortly</w:t>
            </w:r>
            <w:r>
              <w:rPr>
                <w:rFonts w:ascii="Calibri" w:eastAsia="Calibri" w:hAnsi="Calibri" w:cs="Calibri"/>
                <w:spacing w:val="-3"/>
                <w:sz w:val="18"/>
                <w:szCs w:val="18"/>
              </w:rPr>
              <w:t xml:space="preserve"> </w:t>
            </w:r>
            <w:r>
              <w:rPr>
                <w:rFonts w:ascii="Calibri" w:eastAsia="Calibri" w:hAnsi="Calibri" w:cs="Calibri"/>
                <w:sz w:val="18"/>
                <w:szCs w:val="18"/>
              </w:rPr>
              <w:t>when</w:t>
            </w:r>
            <w:r>
              <w:rPr>
                <w:rFonts w:ascii="Calibri" w:eastAsia="Calibri" w:hAnsi="Calibri" w:cs="Calibri"/>
                <w:spacing w:val="-3"/>
                <w:sz w:val="18"/>
                <w:szCs w:val="18"/>
              </w:rPr>
              <w:t xml:space="preserve"> </w:t>
            </w:r>
            <w:r>
              <w:rPr>
                <w:rFonts w:ascii="Calibri" w:eastAsia="Calibri" w:hAnsi="Calibri" w:cs="Calibri"/>
                <w:sz w:val="18"/>
                <w:szCs w:val="18"/>
              </w:rPr>
              <w:t>PPL</w:t>
            </w:r>
            <w:r>
              <w:rPr>
                <w:rFonts w:ascii="Calibri" w:eastAsia="Calibri" w:hAnsi="Calibri" w:cs="Calibri"/>
                <w:spacing w:val="-2"/>
                <w:sz w:val="18"/>
                <w:szCs w:val="18"/>
              </w:rPr>
              <w:t xml:space="preserve"> </w:t>
            </w:r>
            <w:r>
              <w:rPr>
                <w:rFonts w:ascii="Calibri" w:eastAsia="Calibri" w:hAnsi="Calibri" w:cs="Calibri"/>
                <w:spacing w:val="-1"/>
                <w:sz w:val="18"/>
                <w:szCs w:val="18"/>
              </w:rPr>
              <w:t>markets</w:t>
            </w:r>
            <w:r>
              <w:rPr>
                <w:rFonts w:ascii="Calibri" w:eastAsia="Calibri" w:hAnsi="Calibri" w:cs="Calibri"/>
                <w:spacing w:val="-4"/>
                <w:sz w:val="18"/>
                <w:szCs w:val="18"/>
              </w:rPr>
              <w:t xml:space="preserve"> </w:t>
            </w:r>
            <w:r>
              <w:rPr>
                <w:rFonts w:ascii="Calibri" w:eastAsia="Calibri" w:hAnsi="Calibri" w:cs="Calibri"/>
                <w:spacing w:val="-1"/>
                <w:sz w:val="18"/>
                <w:szCs w:val="18"/>
              </w:rPr>
              <w:t>the</w:t>
            </w:r>
            <w:r>
              <w:rPr>
                <w:rFonts w:ascii="Calibri" w:eastAsia="Calibri" w:hAnsi="Calibri" w:cs="Calibri"/>
                <w:spacing w:val="31"/>
                <w:w w:val="99"/>
                <w:sz w:val="18"/>
                <w:szCs w:val="18"/>
              </w:rPr>
              <w:t xml:space="preserve"> </w:t>
            </w:r>
            <w:r>
              <w:rPr>
                <w:rFonts w:ascii="Calibri" w:eastAsia="Calibri" w:hAnsi="Calibri" w:cs="Calibri"/>
                <w:spacing w:val="-1"/>
                <w:sz w:val="18"/>
                <w:szCs w:val="18"/>
              </w:rPr>
              <w:t>portal/hub (“soft</w:t>
            </w:r>
            <w:r>
              <w:rPr>
                <w:rFonts w:ascii="Calibri" w:eastAsia="Calibri" w:hAnsi="Calibri" w:cs="Calibri"/>
                <w:sz w:val="18"/>
                <w:szCs w:val="18"/>
              </w:rPr>
              <w:t xml:space="preserve"> </w:t>
            </w:r>
            <w:r>
              <w:rPr>
                <w:rFonts w:ascii="Calibri" w:eastAsia="Calibri" w:hAnsi="Calibri" w:cs="Calibri"/>
                <w:spacing w:val="-1"/>
                <w:sz w:val="18"/>
                <w:szCs w:val="18"/>
              </w:rPr>
              <w:t xml:space="preserve">launch” </w:t>
            </w:r>
            <w:r>
              <w:rPr>
                <w:rFonts w:ascii="Calibri" w:eastAsia="Calibri" w:hAnsi="Calibri" w:cs="Calibri"/>
                <w:sz w:val="18"/>
                <w:szCs w:val="18"/>
              </w:rPr>
              <w:t>was</w:t>
            </w:r>
            <w:r>
              <w:rPr>
                <w:rFonts w:ascii="Calibri" w:eastAsia="Calibri" w:hAnsi="Calibri" w:cs="Calibri"/>
                <w:spacing w:val="-1"/>
                <w:sz w:val="18"/>
                <w:szCs w:val="18"/>
              </w:rPr>
              <w:t xml:space="preserve"> October</w:t>
            </w:r>
            <w:r>
              <w:rPr>
                <w:rFonts w:ascii="Calibri" w:eastAsia="Calibri" w:hAnsi="Calibri" w:cs="Calibri"/>
                <w:sz w:val="18"/>
                <w:szCs w:val="18"/>
              </w:rPr>
              <w:t xml:space="preserve"> 2016).</w:t>
            </w:r>
          </w:p>
        </w:tc>
      </w:tr>
      <w:tr w:rsidR="00E646C9" w:rsidTr="0011636D">
        <w:trPr>
          <w:trHeight w:hRule="exact" w:val="1284"/>
        </w:trPr>
        <w:tc>
          <w:tcPr>
            <w:tcW w:w="4681" w:type="dxa"/>
          </w:tcPr>
          <w:p w:rsidR="00E646C9" w:rsidRDefault="00E646C9" w:rsidP="00C94D5A">
            <w:pPr>
              <w:pStyle w:val="TableParagraph"/>
              <w:spacing w:line="276" w:lineRule="auto"/>
              <w:ind w:left="97" w:right="247"/>
              <w:rPr>
                <w:rFonts w:ascii="Calibri" w:eastAsia="Calibri" w:hAnsi="Calibri" w:cs="Calibri"/>
                <w:sz w:val="18"/>
                <w:szCs w:val="18"/>
              </w:rPr>
            </w:pPr>
            <w:r>
              <w:rPr>
                <w:rFonts w:ascii="Calibri" w:eastAsia="Calibri" w:hAnsi="Calibri" w:cs="Calibri"/>
                <w:spacing w:val="-1"/>
                <w:sz w:val="18"/>
                <w:szCs w:val="18"/>
              </w:rPr>
              <w:t>Investigate</w:t>
            </w:r>
            <w:r>
              <w:rPr>
                <w:rFonts w:ascii="Calibri" w:eastAsia="Calibri" w:hAnsi="Calibri" w:cs="Calibri"/>
                <w:spacing w:val="-5"/>
                <w:sz w:val="18"/>
                <w:szCs w:val="18"/>
              </w:rPr>
              <w:t xml:space="preserve"> </w:t>
            </w:r>
            <w:r>
              <w:rPr>
                <w:rFonts w:ascii="Calibri" w:eastAsia="Calibri" w:hAnsi="Calibri" w:cs="Calibri"/>
                <w:spacing w:val="-1"/>
                <w:sz w:val="18"/>
                <w:szCs w:val="18"/>
              </w:rPr>
              <w:t>whether</w:t>
            </w:r>
            <w:r>
              <w:rPr>
                <w:rFonts w:ascii="Calibri" w:eastAsia="Calibri" w:hAnsi="Calibri" w:cs="Calibri"/>
                <w:spacing w:val="-4"/>
                <w:sz w:val="18"/>
                <w:szCs w:val="18"/>
              </w:rPr>
              <w:t xml:space="preserve"> </w:t>
            </w:r>
            <w:r>
              <w:rPr>
                <w:rFonts w:ascii="Calibri" w:eastAsia="Calibri" w:hAnsi="Calibri" w:cs="Calibri"/>
                <w:sz w:val="18"/>
                <w:szCs w:val="18"/>
              </w:rPr>
              <w:t>the</w:t>
            </w:r>
            <w:r>
              <w:rPr>
                <w:rFonts w:ascii="Calibri" w:eastAsia="Calibri" w:hAnsi="Calibri" w:cs="Calibri"/>
                <w:spacing w:val="-4"/>
                <w:sz w:val="18"/>
                <w:szCs w:val="18"/>
              </w:rPr>
              <w:t xml:space="preserve"> </w:t>
            </w:r>
            <w:r>
              <w:rPr>
                <w:rFonts w:ascii="Calibri" w:eastAsia="Calibri" w:hAnsi="Calibri" w:cs="Calibri"/>
                <w:spacing w:val="-1"/>
                <w:sz w:val="18"/>
                <w:szCs w:val="18"/>
              </w:rPr>
              <w:t>home</w:t>
            </w:r>
            <w:r>
              <w:rPr>
                <w:rFonts w:ascii="Calibri" w:eastAsia="Calibri" w:hAnsi="Calibri" w:cs="Calibri"/>
                <w:spacing w:val="-5"/>
                <w:sz w:val="18"/>
                <w:szCs w:val="18"/>
              </w:rPr>
              <w:t xml:space="preserve"> </w:t>
            </w:r>
            <w:r>
              <w:rPr>
                <w:rFonts w:ascii="Calibri" w:eastAsia="Calibri" w:hAnsi="Calibri" w:cs="Calibri"/>
                <w:spacing w:val="-1"/>
                <w:sz w:val="18"/>
                <w:szCs w:val="18"/>
              </w:rPr>
              <w:t>energy</w:t>
            </w:r>
            <w:r>
              <w:rPr>
                <w:rFonts w:ascii="Calibri" w:eastAsia="Calibri" w:hAnsi="Calibri" w:cs="Calibri"/>
                <w:spacing w:val="-3"/>
                <w:sz w:val="18"/>
                <w:szCs w:val="18"/>
              </w:rPr>
              <w:t xml:space="preserve"> </w:t>
            </w:r>
            <w:r>
              <w:rPr>
                <w:rFonts w:ascii="Calibri" w:eastAsia="Calibri" w:hAnsi="Calibri" w:cs="Calibri"/>
                <w:spacing w:val="-1"/>
                <w:sz w:val="18"/>
                <w:szCs w:val="18"/>
              </w:rPr>
              <w:t>reports</w:t>
            </w:r>
            <w:r>
              <w:rPr>
                <w:rFonts w:ascii="Calibri" w:eastAsia="Calibri" w:hAnsi="Calibri" w:cs="Calibri"/>
                <w:spacing w:val="-5"/>
                <w:sz w:val="18"/>
                <w:szCs w:val="18"/>
              </w:rPr>
              <w:t xml:space="preserve"> </w:t>
            </w:r>
            <w:r>
              <w:rPr>
                <w:rFonts w:ascii="Calibri" w:eastAsia="Calibri" w:hAnsi="Calibri" w:cs="Calibri"/>
                <w:spacing w:val="-1"/>
                <w:sz w:val="18"/>
                <w:szCs w:val="18"/>
              </w:rPr>
              <w:t>convinces</w:t>
            </w:r>
            <w:r>
              <w:rPr>
                <w:rFonts w:ascii="Calibri" w:eastAsia="Calibri" w:hAnsi="Calibri" w:cs="Calibri"/>
                <w:spacing w:val="65"/>
                <w:sz w:val="18"/>
                <w:szCs w:val="18"/>
              </w:rPr>
              <w:t xml:space="preserve"> </w:t>
            </w:r>
            <w:r>
              <w:rPr>
                <w:rFonts w:ascii="Calibri" w:eastAsia="Calibri" w:hAnsi="Calibri" w:cs="Calibri"/>
                <w:spacing w:val="-1"/>
                <w:sz w:val="18"/>
                <w:szCs w:val="18"/>
              </w:rPr>
              <w:t>treatment</w:t>
            </w:r>
            <w:r>
              <w:rPr>
                <w:rFonts w:ascii="Calibri" w:eastAsia="Calibri" w:hAnsi="Calibri" w:cs="Calibri"/>
                <w:spacing w:val="-4"/>
                <w:sz w:val="18"/>
                <w:szCs w:val="18"/>
              </w:rPr>
              <w:t xml:space="preserve"> </w:t>
            </w:r>
            <w:r>
              <w:rPr>
                <w:rFonts w:ascii="Calibri" w:eastAsia="Calibri" w:hAnsi="Calibri" w:cs="Calibri"/>
                <w:spacing w:val="-1"/>
                <w:sz w:val="18"/>
                <w:szCs w:val="18"/>
              </w:rPr>
              <w:t>customers</w:t>
            </w:r>
            <w:r>
              <w:rPr>
                <w:rFonts w:ascii="Calibri" w:eastAsia="Calibri" w:hAnsi="Calibri" w:cs="Calibri"/>
                <w:spacing w:val="-6"/>
                <w:sz w:val="18"/>
                <w:szCs w:val="18"/>
              </w:rPr>
              <w:t xml:space="preserve"> </w:t>
            </w:r>
            <w:r>
              <w:rPr>
                <w:rFonts w:ascii="Calibri" w:eastAsia="Calibri" w:hAnsi="Calibri" w:cs="Calibri"/>
                <w:spacing w:val="-1"/>
                <w:sz w:val="18"/>
                <w:szCs w:val="18"/>
              </w:rPr>
              <w:t>(low-income</w:t>
            </w:r>
            <w:r>
              <w:rPr>
                <w:rFonts w:ascii="Calibri" w:eastAsia="Calibri" w:hAnsi="Calibri" w:cs="Calibri"/>
                <w:spacing w:val="-5"/>
                <w:sz w:val="18"/>
                <w:szCs w:val="18"/>
              </w:rPr>
              <w:t xml:space="preserve"> </w:t>
            </w:r>
            <w:r>
              <w:rPr>
                <w:rFonts w:ascii="Calibri" w:eastAsia="Calibri" w:hAnsi="Calibri" w:cs="Calibri"/>
                <w:spacing w:val="-1"/>
                <w:sz w:val="18"/>
                <w:szCs w:val="18"/>
              </w:rPr>
              <w:t>and</w:t>
            </w:r>
            <w:r>
              <w:rPr>
                <w:rFonts w:ascii="Calibri" w:eastAsia="Calibri" w:hAnsi="Calibri" w:cs="Calibri"/>
                <w:spacing w:val="-5"/>
                <w:sz w:val="18"/>
                <w:szCs w:val="18"/>
              </w:rPr>
              <w:t xml:space="preserve"> </w:t>
            </w:r>
            <w:r>
              <w:rPr>
                <w:rFonts w:ascii="Calibri" w:eastAsia="Calibri" w:hAnsi="Calibri" w:cs="Calibri"/>
                <w:spacing w:val="-1"/>
                <w:sz w:val="18"/>
                <w:szCs w:val="18"/>
              </w:rPr>
              <w:t>non-low-income)</w:t>
            </w:r>
            <w:r>
              <w:rPr>
                <w:rFonts w:ascii="Calibri" w:eastAsia="Calibri" w:hAnsi="Calibri" w:cs="Calibri"/>
                <w:spacing w:val="-3"/>
                <w:sz w:val="18"/>
                <w:szCs w:val="18"/>
              </w:rPr>
              <w:t xml:space="preserve"> </w:t>
            </w:r>
            <w:r>
              <w:rPr>
                <w:rFonts w:ascii="Calibri" w:eastAsia="Calibri" w:hAnsi="Calibri" w:cs="Calibri"/>
                <w:sz w:val="18"/>
                <w:szCs w:val="18"/>
              </w:rPr>
              <w:t>to</w:t>
            </w:r>
            <w:r>
              <w:rPr>
                <w:rFonts w:ascii="Calibri" w:eastAsia="Calibri" w:hAnsi="Calibri" w:cs="Calibri"/>
                <w:spacing w:val="75"/>
                <w:sz w:val="18"/>
                <w:szCs w:val="18"/>
              </w:rPr>
              <w:t xml:space="preserve"> </w:t>
            </w:r>
            <w:r>
              <w:rPr>
                <w:rFonts w:ascii="Calibri" w:eastAsia="Calibri" w:hAnsi="Calibri" w:cs="Calibri"/>
                <w:spacing w:val="-1"/>
                <w:sz w:val="18"/>
                <w:szCs w:val="18"/>
              </w:rPr>
              <w:t>visit</w:t>
            </w:r>
            <w:r>
              <w:rPr>
                <w:rFonts w:ascii="Calibri" w:eastAsia="Calibri" w:hAnsi="Calibri" w:cs="Calibri"/>
                <w:spacing w:val="-2"/>
                <w:sz w:val="18"/>
                <w:szCs w:val="18"/>
              </w:rPr>
              <w:t xml:space="preserve"> </w:t>
            </w:r>
            <w:r>
              <w:rPr>
                <w:rFonts w:ascii="Calibri" w:eastAsia="Calibri" w:hAnsi="Calibri" w:cs="Calibri"/>
                <w:sz w:val="18"/>
                <w:szCs w:val="18"/>
              </w:rPr>
              <w:t>the</w:t>
            </w:r>
            <w:r>
              <w:rPr>
                <w:rFonts w:ascii="Calibri" w:eastAsia="Calibri" w:hAnsi="Calibri" w:cs="Calibri"/>
                <w:spacing w:val="-3"/>
                <w:sz w:val="18"/>
                <w:szCs w:val="18"/>
              </w:rPr>
              <w:t xml:space="preserve"> </w:t>
            </w:r>
            <w:r>
              <w:rPr>
                <w:rFonts w:ascii="Calibri" w:eastAsia="Calibri" w:hAnsi="Calibri" w:cs="Calibri"/>
                <w:spacing w:val="-1"/>
                <w:sz w:val="18"/>
                <w:szCs w:val="18"/>
              </w:rPr>
              <w:t>Phase</w:t>
            </w:r>
            <w:r>
              <w:rPr>
                <w:rFonts w:ascii="Calibri" w:eastAsia="Calibri" w:hAnsi="Calibri" w:cs="Calibri"/>
                <w:spacing w:val="-2"/>
                <w:sz w:val="18"/>
                <w:szCs w:val="18"/>
              </w:rPr>
              <w:t xml:space="preserve"> </w:t>
            </w:r>
            <w:r>
              <w:rPr>
                <w:rFonts w:ascii="Calibri" w:eastAsia="Calibri" w:hAnsi="Calibri" w:cs="Calibri"/>
                <w:sz w:val="18"/>
                <w:szCs w:val="18"/>
              </w:rPr>
              <w:t>III</w:t>
            </w:r>
            <w:r>
              <w:rPr>
                <w:rFonts w:ascii="Calibri" w:eastAsia="Calibri" w:hAnsi="Calibri" w:cs="Calibri"/>
                <w:spacing w:val="-2"/>
                <w:sz w:val="18"/>
                <w:szCs w:val="18"/>
              </w:rPr>
              <w:t xml:space="preserve"> </w:t>
            </w:r>
            <w:r>
              <w:rPr>
                <w:rFonts w:ascii="Calibri" w:eastAsia="Calibri" w:hAnsi="Calibri" w:cs="Calibri"/>
                <w:spacing w:val="-1"/>
                <w:sz w:val="18"/>
                <w:szCs w:val="18"/>
              </w:rPr>
              <w:t>Customer</w:t>
            </w:r>
            <w:r>
              <w:rPr>
                <w:rFonts w:ascii="Calibri" w:eastAsia="Calibri" w:hAnsi="Calibri" w:cs="Calibri"/>
                <w:spacing w:val="-2"/>
                <w:sz w:val="18"/>
                <w:szCs w:val="18"/>
              </w:rPr>
              <w:t xml:space="preserve"> </w:t>
            </w:r>
            <w:r>
              <w:rPr>
                <w:rFonts w:ascii="Calibri" w:eastAsia="Calibri" w:hAnsi="Calibri" w:cs="Calibri"/>
                <w:spacing w:val="-1"/>
                <w:sz w:val="18"/>
                <w:szCs w:val="18"/>
              </w:rPr>
              <w:t xml:space="preserve">Engagement </w:t>
            </w:r>
            <w:r>
              <w:rPr>
                <w:rFonts w:ascii="Calibri" w:eastAsia="Calibri" w:hAnsi="Calibri" w:cs="Calibri"/>
                <w:sz w:val="18"/>
                <w:szCs w:val="18"/>
              </w:rPr>
              <w:t>Hub</w:t>
            </w:r>
            <w:r>
              <w:rPr>
                <w:rFonts w:ascii="Calibri" w:eastAsia="Calibri" w:hAnsi="Calibri" w:cs="Calibri"/>
                <w:spacing w:val="-3"/>
                <w:sz w:val="18"/>
                <w:szCs w:val="18"/>
              </w:rPr>
              <w:t xml:space="preserve"> </w:t>
            </w:r>
            <w:r>
              <w:rPr>
                <w:rFonts w:ascii="Calibri" w:eastAsia="Calibri" w:hAnsi="Calibri" w:cs="Calibri"/>
                <w:sz w:val="18"/>
                <w:szCs w:val="18"/>
              </w:rPr>
              <w:t>and</w:t>
            </w:r>
            <w:r>
              <w:rPr>
                <w:rFonts w:ascii="Calibri" w:eastAsia="Calibri" w:hAnsi="Calibri" w:cs="Calibri"/>
                <w:spacing w:val="-3"/>
                <w:sz w:val="18"/>
                <w:szCs w:val="18"/>
              </w:rPr>
              <w:t xml:space="preserve"> </w:t>
            </w:r>
            <w:r>
              <w:rPr>
                <w:rFonts w:ascii="Calibri" w:eastAsia="Calibri" w:hAnsi="Calibri" w:cs="Calibri"/>
                <w:spacing w:val="-1"/>
                <w:sz w:val="18"/>
                <w:szCs w:val="18"/>
              </w:rPr>
              <w:t>the</w:t>
            </w:r>
            <w:r>
              <w:rPr>
                <w:rFonts w:ascii="Calibri" w:eastAsia="Calibri" w:hAnsi="Calibri" w:cs="Calibri"/>
                <w:spacing w:val="41"/>
                <w:w w:val="99"/>
                <w:sz w:val="18"/>
                <w:szCs w:val="18"/>
              </w:rPr>
              <w:t xml:space="preserve"> </w:t>
            </w:r>
            <w:r>
              <w:rPr>
                <w:rFonts w:ascii="Calibri" w:eastAsia="Calibri" w:hAnsi="Calibri" w:cs="Calibri"/>
                <w:spacing w:val="-1"/>
                <w:sz w:val="18"/>
                <w:szCs w:val="18"/>
              </w:rPr>
              <w:t xml:space="preserve">program’s web portal </w:t>
            </w:r>
            <w:r>
              <w:rPr>
                <w:rFonts w:ascii="Calibri" w:eastAsia="Calibri" w:hAnsi="Calibri" w:cs="Calibri"/>
                <w:sz w:val="18"/>
                <w:szCs w:val="18"/>
              </w:rPr>
              <w:t>and</w:t>
            </w:r>
            <w:r>
              <w:rPr>
                <w:rFonts w:ascii="Calibri" w:eastAsia="Calibri" w:hAnsi="Calibri" w:cs="Calibri"/>
                <w:spacing w:val="-1"/>
                <w:sz w:val="18"/>
                <w:szCs w:val="18"/>
              </w:rPr>
              <w:t xml:space="preserve"> </w:t>
            </w:r>
            <w:r>
              <w:rPr>
                <w:rFonts w:ascii="Calibri" w:eastAsia="Calibri" w:hAnsi="Calibri" w:cs="Calibri"/>
                <w:sz w:val="18"/>
                <w:szCs w:val="18"/>
              </w:rPr>
              <w:t xml:space="preserve">to </w:t>
            </w:r>
            <w:r>
              <w:rPr>
                <w:rFonts w:ascii="Calibri" w:eastAsia="Calibri" w:hAnsi="Calibri" w:cs="Calibri"/>
                <w:spacing w:val="-1"/>
                <w:sz w:val="18"/>
                <w:szCs w:val="18"/>
              </w:rPr>
              <w:t>complete</w:t>
            </w:r>
            <w:r>
              <w:rPr>
                <w:rFonts w:ascii="Calibri" w:eastAsia="Calibri" w:hAnsi="Calibri" w:cs="Calibri"/>
                <w:spacing w:val="-3"/>
                <w:sz w:val="18"/>
                <w:szCs w:val="18"/>
              </w:rPr>
              <w:t xml:space="preserve"> </w:t>
            </w:r>
            <w:r>
              <w:rPr>
                <w:rFonts w:ascii="Calibri" w:eastAsia="Calibri" w:hAnsi="Calibri" w:cs="Calibri"/>
                <w:sz w:val="18"/>
                <w:szCs w:val="18"/>
              </w:rPr>
              <w:t>the</w:t>
            </w:r>
            <w:r>
              <w:rPr>
                <w:rFonts w:ascii="Calibri" w:eastAsia="Calibri" w:hAnsi="Calibri" w:cs="Calibri"/>
                <w:spacing w:val="1"/>
                <w:sz w:val="18"/>
                <w:szCs w:val="18"/>
              </w:rPr>
              <w:t xml:space="preserve"> </w:t>
            </w:r>
            <w:r>
              <w:rPr>
                <w:rFonts w:ascii="Calibri" w:eastAsia="Calibri" w:hAnsi="Calibri" w:cs="Calibri"/>
                <w:spacing w:val="-1"/>
                <w:sz w:val="18"/>
                <w:szCs w:val="18"/>
              </w:rPr>
              <w:t>online</w:t>
            </w:r>
            <w:r>
              <w:rPr>
                <w:rFonts w:ascii="Calibri" w:eastAsia="Calibri" w:hAnsi="Calibri" w:cs="Calibri"/>
                <w:spacing w:val="1"/>
                <w:sz w:val="18"/>
                <w:szCs w:val="18"/>
              </w:rPr>
              <w:t xml:space="preserve"> </w:t>
            </w:r>
            <w:r>
              <w:rPr>
                <w:rFonts w:ascii="Calibri" w:eastAsia="Calibri" w:hAnsi="Calibri" w:cs="Calibri"/>
                <w:spacing w:val="-1"/>
                <w:sz w:val="18"/>
                <w:szCs w:val="18"/>
              </w:rPr>
              <w:t>home</w:t>
            </w:r>
            <w:r>
              <w:rPr>
                <w:rFonts w:ascii="Calibri" w:eastAsia="Calibri" w:hAnsi="Calibri" w:cs="Calibri"/>
                <w:spacing w:val="53"/>
                <w:w w:val="99"/>
                <w:sz w:val="18"/>
                <w:szCs w:val="18"/>
              </w:rPr>
              <w:t xml:space="preserve"> </w:t>
            </w:r>
            <w:r>
              <w:rPr>
                <w:rFonts w:ascii="Calibri" w:eastAsia="Calibri" w:hAnsi="Calibri" w:cs="Calibri"/>
                <w:spacing w:val="-1"/>
                <w:sz w:val="18"/>
                <w:szCs w:val="18"/>
              </w:rPr>
              <w:t>energy</w:t>
            </w:r>
            <w:r>
              <w:rPr>
                <w:rFonts w:ascii="Calibri" w:eastAsia="Calibri" w:hAnsi="Calibri" w:cs="Calibri"/>
                <w:spacing w:val="-8"/>
                <w:sz w:val="18"/>
                <w:szCs w:val="18"/>
              </w:rPr>
              <w:t xml:space="preserve"> </w:t>
            </w:r>
            <w:r>
              <w:rPr>
                <w:rFonts w:ascii="Calibri" w:eastAsia="Calibri" w:hAnsi="Calibri" w:cs="Calibri"/>
                <w:spacing w:val="-1"/>
                <w:sz w:val="18"/>
                <w:szCs w:val="18"/>
              </w:rPr>
              <w:t>assessment.</w:t>
            </w:r>
          </w:p>
        </w:tc>
        <w:tc>
          <w:tcPr>
            <w:tcW w:w="4681" w:type="dxa"/>
          </w:tcPr>
          <w:p w:rsidR="00E646C9" w:rsidRDefault="00E646C9" w:rsidP="00C94D5A">
            <w:pPr>
              <w:pStyle w:val="TableParagraph"/>
              <w:ind w:left="99"/>
              <w:rPr>
                <w:rFonts w:ascii="Calibri" w:eastAsia="Calibri" w:hAnsi="Calibri" w:cs="Calibri"/>
                <w:sz w:val="18"/>
                <w:szCs w:val="18"/>
              </w:rPr>
            </w:pPr>
            <w:r>
              <w:rPr>
                <w:rFonts w:ascii="Calibri"/>
                <w:spacing w:val="-1"/>
                <w:sz w:val="18"/>
              </w:rPr>
              <w:t>Will</w:t>
            </w:r>
            <w:r>
              <w:rPr>
                <w:rFonts w:ascii="Calibri"/>
                <w:spacing w:val="-5"/>
                <w:sz w:val="18"/>
              </w:rPr>
              <w:t xml:space="preserve"> </w:t>
            </w:r>
            <w:r>
              <w:rPr>
                <w:rFonts w:ascii="Calibri"/>
                <w:spacing w:val="-1"/>
                <w:sz w:val="18"/>
              </w:rPr>
              <w:t>be</w:t>
            </w:r>
            <w:r>
              <w:rPr>
                <w:rFonts w:ascii="Calibri"/>
                <w:spacing w:val="-5"/>
                <w:sz w:val="18"/>
              </w:rPr>
              <w:t xml:space="preserve"> </w:t>
            </w:r>
            <w:r>
              <w:rPr>
                <w:rFonts w:ascii="Calibri"/>
                <w:spacing w:val="-1"/>
                <w:sz w:val="18"/>
              </w:rPr>
              <w:t>implemented.</w:t>
            </w:r>
          </w:p>
        </w:tc>
      </w:tr>
    </w:tbl>
    <w:p w:rsidR="00E646C9" w:rsidRPr="00C3558F" w:rsidRDefault="00E646C9" w:rsidP="00C3558F"/>
    <w:p w:rsidR="00E646C9" w:rsidRPr="00130312" w:rsidRDefault="00E646C9" w:rsidP="00C3558F">
      <w:pPr>
        <w:pStyle w:val="AppendixGHeading2"/>
      </w:pPr>
      <w:r w:rsidRPr="00E45771">
        <w:t>Master Metered Low-Income Multifamily Housing Program</w:t>
      </w:r>
    </w:p>
    <w:tbl>
      <w:tblPr>
        <w:tblW w:w="9362" w:type="dxa"/>
        <w:tblLayout w:type="fixed"/>
        <w:tblCellMar>
          <w:left w:w="0" w:type="dxa"/>
          <w:right w:w="0" w:type="dxa"/>
        </w:tblCellMar>
        <w:tblLook w:val="01E0" w:firstRow="1" w:lastRow="1" w:firstColumn="1" w:lastColumn="1" w:noHBand="0" w:noVBand="0"/>
      </w:tblPr>
      <w:tblGrid>
        <w:gridCol w:w="4681"/>
        <w:gridCol w:w="4681"/>
      </w:tblGrid>
      <w:tr w:rsidR="00E646C9" w:rsidTr="00C3558F">
        <w:trPr>
          <w:trHeight w:hRule="exact" w:val="679"/>
        </w:trPr>
        <w:tc>
          <w:tcPr>
            <w:tcW w:w="9362" w:type="dxa"/>
            <w:gridSpan w:val="2"/>
            <w:tcBorders>
              <w:top w:val="single" w:sz="8" w:space="0" w:color="448999"/>
              <w:left w:val="single" w:sz="8" w:space="0" w:color="448999"/>
              <w:bottom w:val="nil"/>
              <w:right w:val="single" w:sz="8" w:space="0" w:color="448999"/>
            </w:tcBorders>
            <w:shd w:val="clear" w:color="auto" w:fill="448999"/>
          </w:tcPr>
          <w:p w:rsidR="00E646C9" w:rsidRPr="00C3558F" w:rsidRDefault="00E646C9" w:rsidP="00FB3B18">
            <w:pPr>
              <w:pStyle w:val="TableParagraph"/>
              <w:tabs>
                <w:tab w:val="left" w:pos="5251"/>
              </w:tabs>
              <w:ind w:left="5798" w:right="570" w:hanging="5722"/>
              <w:rPr>
                <w:rFonts w:ascii="Calibri" w:eastAsia="Calibri" w:hAnsi="Calibri" w:cs="Calibri"/>
                <w:sz w:val="18"/>
                <w:szCs w:val="18"/>
              </w:rPr>
            </w:pPr>
            <w:r>
              <w:rPr>
                <w:rFonts w:ascii="Calibri"/>
                <w:b/>
                <w:color w:val="FFFFFF"/>
                <w:spacing w:val="-1"/>
                <w:w w:val="95"/>
                <w:sz w:val="18"/>
              </w:rPr>
              <w:t>Recommendations</w:t>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55"/>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line="218" w:lineRule="exact"/>
              <w:ind w:left="5654"/>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1114"/>
        </w:trPr>
        <w:tc>
          <w:tcPr>
            <w:tcW w:w="4681"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121"/>
              <w:rPr>
                <w:rFonts w:ascii="Calibri" w:eastAsia="Calibri" w:hAnsi="Calibri" w:cs="Calibri"/>
                <w:sz w:val="18"/>
                <w:szCs w:val="18"/>
              </w:rPr>
            </w:pPr>
            <w:r>
              <w:rPr>
                <w:rFonts w:ascii="Calibri"/>
                <w:sz w:val="18"/>
              </w:rPr>
              <w:t>In</w:t>
            </w:r>
            <w:r>
              <w:rPr>
                <w:rFonts w:ascii="Calibri"/>
                <w:spacing w:val="-4"/>
                <w:sz w:val="18"/>
              </w:rPr>
              <w:t xml:space="preserve"> </w:t>
            </w:r>
            <w:r>
              <w:rPr>
                <w:rFonts w:ascii="Calibri"/>
                <w:spacing w:val="-1"/>
                <w:sz w:val="18"/>
              </w:rPr>
              <w:t>Phase</w:t>
            </w:r>
            <w:r>
              <w:rPr>
                <w:rFonts w:ascii="Calibri"/>
                <w:spacing w:val="-4"/>
                <w:sz w:val="18"/>
              </w:rPr>
              <w:t xml:space="preserve"> </w:t>
            </w:r>
            <w:r>
              <w:rPr>
                <w:rFonts w:ascii="Calibri"/>
                <w:sz w:val="18"/>
              </w:rPr>
              <w:t>III,</w:t>
            </w:r>
            <w:r>
              <w:rPr>
                <w:rFonts w:ascii="Calibri"/>
                <w:spacing w:val="-2"/>
                <w:sz w:val="18"/>
              </w:rPr>
              <w:t xml:space="preserve"> </w:t>
            </w:r>
            <w:r>
              <w:rPr>
                <w:rFonts w:ascii="Calibri"/>
                <w:spacing w:val="-1"/>
                <w:sz w:val="18"/>
              </w:rPr>
              <w:t>consider recruiting</w:t>
            </w:r>
            <w:r>
              <w:rPr>
                <w:rFonts w:ascii="Calibri"/>
                <w:spacing w:val="-2"/>
                <w:sz w:val="18"/>
              </w:rPr>
              <w:t xml:space="preserve"> </w:t>
            </w:r>
            <w:r>
              <w:rPr>
                <w:rFonts w:ascii="Calibri"/>
                <w:spacing w:val="-1"/>
                <w:sz w:val="18"/>
              </w:rPr>
              <w:t>low-income</w:t>
            </w:r>
            <w:r>
              <w:rPr>
                <w:rFonts w:ascii="Calibri"/>
                <w:spacing w:val="-3"/>
                <w:sz w:val="18"/>
              </w:rPr>
              <w:t xml:space="preserve"> </w:t>
            </w:r>
            <w:r>
              <w:rPr>
                <w:rFonts w:ascii="Calibri"/>
                <w:spacing w:val="-1"/>
                <w:sz w:val="18"/>
              </w:rPr>
              <w:t>nursing</w:t>
            </w:r>
            <w:r>
              <w:rPr>
                <w:rFonts w:ascii="Calibri"/>
                <w:spacing w:val="-4"/>
                <w:sz w:val="18"/>
              </w:rPr>
              <w:t xml:space="preserve"> </w:t>
            </w:r>
            <w:r>
              <w:rPr>
                <w:rFonts w:ascii="Calibri"/>
                <w:spacing w:val="-1"/>
                <w:sz w:val="18"/>
              </w:rPr>
              <w:t>home</w:t>
            </w:r>
            <w:r>
              <w:rPr>
                <w:rFonts w:ascii="Calibri"/>
                <w:spacing w:val="53"/>
                <w:w w:val="99"/>
                <w:sz w:val="18"/>
              </w:rPr>
              <w:t xml:space="preserve"> </w:t>
            </w:r>
            <w:r>
              <w:rPr>
                <w:rFonts w:ascii="Calibri"/>
                <w:spacing w:val="-1"/>
                <w:sz w:val="18"/>
              </w:rPr>
              <w:t>buildings</w:t>
            </w:r>
            <w:r>
              <w:rPr>
                <w:rFonts w:ascii="Calibri"/>
                <w:spacing w:val="-4"/>
                <w:sz w:val="18"/>
              </w:rPr>
              <w:t xml:space="preserve"> </w:t>
            </w:r>
            <w:r>
              <w:rPr>
                <w:rFonts w:ascii="Calibri"/>
                <w:sz w:val="18"/>
              </w:rPr>
              <w:t>to</w:t>
            </w:r>
            <w:r>
              <w:rPr>
                <w:rFonts w:ascii="Calibri"/>
                <w:spacing w:val="-2"/>
                <w:sz w:val="18"/>
              </w:rPr>
              <w:t xml:space="preserve"> </w:t>
            </w:r>
            <w:r>
              <w:rPr>
                <w:rFonts w:ascii="Calibri"/>
                <w:spacing w:val="-1"/>
                <w:sz w:val="18"/>
              </w:rPr>
              <w:t>reach</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low-income</w:t>
            </w:r>
            <w:r>
              <w:rPr>
                <w:rFonts w:ascii="Calibri"/>
                <w:spacing w:val="-3"/>
                <w:sz w:val="18"/>
              </w:rPr>
              <w:t xml:space="preserve"> </w:t>
            </w:r>
            <w:r>
              <w:rPr>
                <w:rFonts w:ascii="Calibri"/>
                <w:spacing w:val="-1"/>
                <w:sz w:val="18"/>
              </w:rPr>
              <w:t>WRAP</w:t>
            </w:r>
            <w:r>
              <w:rPr>
                <w:rFonts w:ascii="Calibri"/>
                <w:spacing w:val="-2"/>
                <w:sz w:val="18"/>
              </w:rPr>
              <w:t xml:space="preserve"> </w:t>
            </w:r>
            <w:r>
              <w:rPr>
                <w:rFonts w:ascii="Calibri"/>
                <w:spacing w:val="-1"/>
                <w:sz w:val="18"/>
              </w:rPr>
              <w:t>planned</w:t>
            </w:r>
            <w:r>
              <w:rPr>
                <w:rFonts w:ascii="Calibri"/>
                <w:spacing w:val="-3"/>
                <w:sz w:val="18"/>
              </w:rPr>
              <w:t xml:space="preserve"> </w:t>
            </w:r>
            <w:r>
              <w:rPr>
                <w:rFonts w:ascii="Calibri"/>
                <w:spacing w:val="-1"/>
                <w:sz w:val="18"/>
              </w:rPr>
              <w:t>savings</w:t>
            </w:r>
            <w:r>
              <w:rPr>
                <w:rFonts w:ascii="Calibri"/>
                <w:spacing w:val="-3"/>
                <w:sz w:val="18"/>
              </w:rPr>
              <w:t xml:space="preserve"> </w:t>
            </w:r>
            <w:r>
              <w:rPr>
                <w:rFonts w:ascii="Calibri"/>
                <w:sz w:val="18"/>
              </w:rPr>
              <w:t>for</w:t>
            </w:r>
            <w:r>
              <w:rPr>
                <w:rFonts w:ascii="Calibri"/>
                <w:spacing w:val="65"/>
                <w:w w:val="99"/>
                <w:sz w:val="18"/>
              </w:rPr>
              <w:t xml:space="preserve"> </w:t>
            </w:r>
            <w:r>
              <w:rPr>
                <w:rFonts w:ascii="Calibri"/>
                <w:spacing w:val="-1"/>
                <w:sz w:val="18"/>
              </w:rPr>
              <w:t>master</w:t>
            </w:r>
            <w:r>
              <w:rPr>
                <w:rFonts w:ascii="Calibri"/>
                <w:spacing w:val="-5"/>
                <w:sz w:val="18"/>
              </w:rPr>
              <w:t xml:space="preserve"> </w:t>
            </w:r>
            <w:r>
              <w:rPr>
                <w:rFonts w:ascii="Calibri"/>
                <w:spacing w:val="-1"/>
                <w:sz w:val="18"/>
              </w:rPr>
              <w:t>metered</w:t>
            </w:r>
            <w:r>
              <w:rPr>
                <w:rFonts w:ascii="Calibri"/>
                <w:spacing w:val="-4"/>
                <w:sz w:val="18"/>
              </w:rPr>
              <w:t xml:space="preserve"> </w:t>
            </w:r>
            <w:r>
              <w:rPr>
                <w:rFonts w:ascii="Calibri"/>
                <w:spacing w:val="-1"/>
                <w:sz w:val="18"/>
              </w:rPr>
              <w:t>multifamily</w:t>
            </w:r>
            <w:r>
              <w:rPr>
                <w:rFonts w:ascii="Calibri"/>
                <w:spacing w:val="-3"/>
                <w:sz w:val="18"/>
              </w:rPr>
              <w:t xml:space="preserve"> </w:t>
            </w:r>
            <w:r>
              <w:rPr>
                <w:rFonts w:ascii="Calibri"/>
                <w:spacing w:val="-1"/>
                <w:sz w:val="18"/>
              </w:rPr>
              <w:t>buildings.</w:t>
            </w:r>
            <w:r>
              <w:rPr>
                <w:rFonts w:ascii="Calibri"/>
                <w:spacing w:val="-5"/>
                <w:sz w:val="18"/>
              </w:rPr>
              <w:t xml:space="preserve"> </w:t>
            </w:r>
            <w:r>
              <w:rPr>
                <w:rFonts w:ascii="Calibri"/>
                <w:spacing w:val="-1"/>
                <w:sz w:val="18"/>
              </w:rPr>
              <w:t>Likewise,</w:t>
            </w:r>
            <w:r>
              <w:rPr>
                <w:rFonts w:ascii="Calibri"/>
                <w:spacing w:val="-4"/>
                <w:sz w:val="18"/>
              </w:rPr>
              <w:t xml:space="preserve"> </w:t>
            </w:r>
            <w:r>
              <w:rPr>
                <w:rFonts w:ascii="Calibri"/>
                <w:spacing w:val="-1"/>
                <w:sz w:val="18"/>
              </w:rPr>
              <w:t>consider</w:t>
            </w:r>
            <w:r>
              <w:rPr>
                <w:rFonts w:ascii="Calibri"/>
                <w:spacing w:val="61"/>
                <w:w w:val="99"/>
                <w:sz w:val="18"/>
              </w:rPr>
              <w:t xml:space="preserve"> </w:t>
            </w:r>
            <w:r>
              <w:rPr>
                <w:rFonts w:ascii="Calibri"/>
                <w:spacing w:val="-1"/>
                <w:sz w:val="18"/>
              </w:rPr>
              <w:t>recruiting</w:t>
            </w:r>
            <w:r>
              <w:rPr>
                <w:rFonts w:ascii="Calibri"/>
                <w:spacing w:val="-4"/>
                <w:sz w:val="18"/>
              </w:rPr>
              <w:t xml:space="preserve"> </w:t>
            </w:r>
            <w:r>
              <w:rPr>
                <w:rFonts w:ascii="Calibri"/>
                <w:spacing w:val="-1"/>
                <w:sz w:val="18"/>
              </w:rPr>
              <w:t>nursing</w:t>
            </w:r>
            <w:r>
              <w:rPr>
                <w:rFonts w:ascii="Calibri"/>
                <w:spacing w:val="-2"/>
                <w:sz w:val="18"/>
              </w:rPr>
              <w:t xml:space="preserve"> </w:t>
            </w:r>
            <w:r>
              <w:rPr>
                <w:rFonts w:ascii="Calibri"/>
                <w:spacing w:val="-1"/>
                <w:sz w:val="18"/>
              </w:rPr>
              <w:t>homes</w:t>
            </w:r>
            <w:r>
              <w:rPr>
                <w:rFonts w:ascii="Calibri"/>
                <w:spacing w:val="-3"/>
                <w:sz w:val="18"/>
              </w:rPr>
              <w:t xml:space="preserve"> </w:t>
            </w:r>
            <w:r>
              <w:rPr>
                <w:rFonts w:ascii="Calibri"/>
                <w:spacing w:val="-1"/>
                <w:sz w:val="18"/>
              </w:rPr>
              <w:t>that</w:t>
            </w:r>
            <w:r>
              <w:rPr>
                <w:rFonts w:ascii="Calibri"/>
                <w:spacing w:val="-3"/>
                <w:sz w:val="18"/>
              </w:rPr>
              <w:t xml:space="preserve"> </w:t>
            </w:r>
            <w:r>
              <w:rPr>
                <w:rFonts w:ascii="Calibri"/>
                <w:sz w:val="18"/>
              </w:rPr>
              <w:t>are</w:t>
            </w:r>
            <w:r>
              <w:rPr>
                <w:rFonts w:ascii="Calibri"/>
                <w:spacing w:val="-1"/>
                <w:sz w:val="18"/>
              </w:rPr>
              <w:t xml:space="preserve"> not</w:t>
            </w:r>
            <w:r>
              <w:rPr>
                <w:rFonts w:ascii="Calibri"/>
                <w:spacing w:val="-3"/>
                <w:sz w:val="18"/>
              </w:rPr>
              <w:t xml:space="preserve"> </w:t>
            </w:r>
            <w:r>
              <w:rPr>
                <w:rFonts w:ascii="Calibri"/>
                <w:spacing w:val="-1"/>
                <w:sz w:val="18"/>
              </w:rPr>
              <w:t>income-eligible</w:t>
            </w:r>
            <w:r>
              <w:rPr>
                <w:rFonts w:ascii="Calibri"/>
                <w:spacing w:val="-3"/>
                <w:sz w:val="18"/>
              </w:rPr>
              <w:t xml:space="preserve"> </w:t>
            </w:r>
            <w:r>
              <w:rPr>
                <w:rFonts w:ascii="Calibri"/>
                <w:sz w:val="18"/>
              </w:rPr>
              <w:t>into</w:t>
            </w:r>
            <w:r>
              <w:rPr>
                <w:rFonts w:ascii="Calibri"/>
                <w:spacing w:val="57"/>
                <w:sz w:val="18"/>
              </w:rPr>
              <w:t xml:space="preserve"> </w:t>
            </w:r>
            <w:r>
              <w:rPr>
                <w:rFonts w:ascii="Calibri"/>
                <w:spacing w:val="-1"/>
                <w:sz w:val="18"/>
              </w:rPr>
              <w:t>the</w:t>
            </w:r>
            <w:r>
              <w:rPr>
                <w:rFonts w:ascii="Calibri"/>
                <w:spacing w:val="-5"/>
                <w:sz w:val="18"/>
              </w:rPr>
              <w:t xml:space="preserve"> </w:t>
            </w:r>
            <w:r>
              <w:rPr>
                <w:rFonts w:ascii="Calibri"/>
                <w:sz w:val="18"/>
              </w:rPr>
              <w:t>Phase</w:t>
            </w:r>
            <w:r>
              <w:rPr>
                <w:rFonts w:ascii="Calibri"/>
                <w:spacing w:val="-5"/>
                <w:sz w:val="18"/>
              </w:rPr>
              <w:t xml:space="preserve"> </w:t>
            </w:r>
            <w:r>
              <w:rPr>
                <w:rFonts w:ascii="Calibri"/>
                <w:sz w:val="18"/>
              </w:rPr>
              <w:t>III</w:t>
            </w:r>
            <w:r>
              <w:rPr>
                <w:rFonts w:ascii="Calibri"/>
                <w:spacing w:val="-3"/>
                <w:sz w:val="18"/>
              </w:rPr>
              <w:t xml:space="preserve"> </w:t>
            </w:r>
            <w:r>
              <w:rPr>
                <w:rFonts w:ascii="Calibri"/>
                <w:spacing w:val="-1"/>
                <w:sz w:val="18"/>
              </w:rPr>
              <w:t>Prescriptive</w:t>
            </w:r>
            <w:r>
              <w:rPr>
                <w:rFonts w:ascii="Calibri"/>
                <w:spacing w:val="-5"/>
                <w:sz w:val="18"/>
              </w:rPr>
              <w:t xml:space="preserve"> </w:t>
            </w:r>
            <w:r>
              <w:rPr>
                <w:rFonts w:ascii="Calibri"/>
                <w:sz w:val="18"/>
              </w:rPr>
              <w:t>Equipment</w:t>
            </w:r>
            <w:r>
              <w:rPr>
                <w:rFonts w:ascii="Calibri"/>
                <w:spacing w:val="-4"/>
                <w:sz w:val="18"/>
              </w:rPr>
              <w:t xml:space="preserve"> </w:t>
            </w:r>
            <w:r>
              <w:rPr>
                <w:rFonts w:ascii="Calibri"/>
                <w:spacing w:val="-1"/>
                <w:sz w:val="18"/>
              </w:rPr>
              <w:t>program.</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ind w:left="99" w:right="380"/>
              <w:rPr>
                <w:rFonts w:ascii="Calibri" w:eastAsia="Calibri" w:hAnsi="Calibri" w:cs="Calibri"/>
                <w:sz w:val="18"/>
                <w:szCs w:val="18"/>
              </w:rPr>
            </w:pPr>
            <w:r>
              <w:rPr>
                <w:rFonts w:ascii="Calibri"/>
                <w:spacing w:val="-1"/>
                <w:sz w:val="18"/>
              </w:rPr>
              <w:t>Implemented.</w:t>
            </w:r>
            <w:r>
              <w:rPr>
                <w:rFonts w:ascii="Calibri"/>
                <w:spacing w:val="-5"/>
                <w:sz w:val="18"/>
              </w:rPr>
              <w:t xml:space="preserve"> </w:t>
            </w:r>
            <w:r>
              <w:rPr>
                <w:rFonts w:ascii="Calibri"/>
                <w:sz w:val="18"/>
              </w:rPr>
              <w:t>Low-income</w:t>
            </w:r>
            <w:r>
              <w:rPr>
                <w:rFonts w:ascii="Calibri"/>
                <w:spacing w:val="-4"/>
                <w:sz w:val="18"/>
              </w:rPr>
              <w:t xml:space="preserve"> </w:t>
            </w:r>
            <w:r>
              <w:rPr>
                <w:rFonts w:ascii="Calibri"/>
                <w:spacing w:val="-1"/>
                <w:sz w:val="18"/>
              </w:rPr>
              <w:t>nursing</w:t>
            </w:r>
            <w:r>
              <w:rPr>
                <w:rFonts w:ascii="Calibri"/>
                <w:spacing w:val="-4"/>
                <w:sz w:val="18"/>
              </w:rPr>
              <w:t xml:space="preserve"> </w:t>
            </w:r>
            <w:r>
              <w:rPr>
                <w:rFonts w:ascii="Calibri"/>
                <w:spacing w:val="-1"/>
                <w:sz w:val="18"/>
              </w:rPr>
              <w:t>homes</w:t>
            </w:r>
            <w:r>
              <w:rPr>
                <w:rFonts w:ascii="Calibri"/>
                <w:spacing w:val="-4"/>
                <w:sz w:val="18"/>
              </w:rPr>
              <w:t xml:space="preserve"> </w:t>
            </w:r>
            <w:r>
              <w:rPr>
                <w:rFonts w:ascii="Calibri"/>
                <w:sz w:val="18"/>
              </w:rPr>
              <w:t>are</w:t>
            </w:r>
            <w:r>
              <w:rPr>
                <w:rFonts w:ascii="Calibri"/>
                <w:spacing w:val="-5"/>
                <w:sz w:val="18"/>
              </w:rPr>
              <w:t xml:space="preserve"> </w:t>
            </w:r>
            <w:r>
              <w:rPr>
                <w:rFonts w:ascii="Calibri"/>
                <w:spacing w:val="-1"/>
                <w:sz w:val="18"/>
              </w:rPr>
              <w:t>eligible</w:t>
            </w:r>
            <w:r>
              <w:rPr>
                <w:rFonts w:ascii="Calibri"/>
                <w:spacing w:val="-4"/>
                <w:sz w:val="18"/>
              </w:rPr>
              <w:t xml:space="preserve"> </w:t>
            </w:r>
            <w:r>
              <w:rPr>
                <w:rFonts w:ascii="Calibri"/>
                <w:sz w:val="18"/>
              </w:rPr>
              <w:t>for</w:t>
            </w:r>
            <w:r>
              <w:rPr>
                <w:rFonts w:ascii="Calibri"/>
                <w:spacing w:val="43"/>
                <w:w w:val="99"/>
                <w:sz w:val="18"/>
              </w:rPr>
              <w:t xml:space="preserve"> </w:t>
            </w:r>
            <w:r>
              <w:rPr>
                <w:rFonts w:ascii="Calibri"/>
                <w:spacing w:val="-1"/>
                <w:sz w:val="18"/>
              </w:rPr>
              <w:t>WRAP</w:t>
            </w:r>
            <w:r>
              <w:rPr>
                <w:rFonts w:ascii="Calibri"/>
                <w:spacing w:val="-3"/>
                <w:sz w:val="18"/>
              </w:rPr>
              <w:t xml:space="preserve"> </w:t>
            </w:r>
            <w:r>
              <w:rPr>
                <w:rFonts w:ascii="Calibri"/>
                <w:spacing w:val="-1"/>
                <w:sz w:val="18"/>
              </w:rPr>
              <w:t>(there</w:t>
            </w:r>
            <w:r>
              <w:rPr>
                <w:rFonts w:ascii="Calibri"/>
                <w:spacing w:val="-4"/>
                <w:sz w:val="18"/>
              </w:rPr>
              <w:t xml:space="preserve"> </w:t>
            </w:r>
            <w:r>
              <w:rPr>
                <w:rFonts w:ascii="Calibri"/>
                <w:sz w:val="18"/>
              </w:rPr>
              <w:t>is</w:t>
            </w:r>
            <w:r>
              <w:rPr>
                <w:rFonts w:ascii="Calibri"/>
                <w:spacing w:val="-4"/>
                <w:sz w:val="18"/>
              </w:rPr>
              <w:t xml:space="preserve"> </w:t>
            </w:r>
            <w:r>
              <w:rPr>
                <w:rFonts w:ascii="Calibri"/>
                <w:spacing w:val="-1"/>
                <w:sz w:val="18"/>
              </w:rPr>
              <w:t>not</w:t>
            </w:r>
            <w:r>
              <w:rPr>
                <w:rFonts w:ascii="Calibri"/>
                <w:spacing w:val="-2"/>
                <w:sz w:val="18"/>
              </w:rPr>
              <w:t xml:space="preserve"> </w:t>
            </w:r>
            <w:r>
              <w:rPr>
                <w:rFonts w:ascii="Calibri"/>
                <w:sz w:val="18"/>
              </w:rPr>
              <w:t>a</w:t>
            </w:r>
            <w:r>
              <w:rPr>
                <w:rFonts w:ascii="Calibri"/>
                <w:spacing w:val="-3"/>
                <w:sz w:val="18"/>
              </w:rPr>
              <w:t xml:space="preserve"> </w:t>
            </w:r>
            <w:r>
              <w:rPr>
                <w:rFonts w:ascii="Calibri"/>
                <w:sz w:val="18"/>
              </w:rPr>
              <w:t>separate</w:t>
            </w:r>
            <w:r>
              <w:rPr>
                <w:rFonts w:ascii="Calibri"/>
                <w:spacing w:val="-3"/>
                <w:sz w:val="18"/>
              </w:rPr>
              <w:t xml:space="preserve"> </w:t>
            </w:r>
            <w:r>
              <w:rPr>
                <w:rFonts w:ascii="Calibri"/>
                <w:spacing w:val="1"/>
                <w:sz w:val="18"/>
              </w:rPr>
              <w:t>MF</w:t>
            </w:r>
            <w:r>
              <w:rPr>
                <w:rFonts w:ascii="Calibri"/>
                <w:spacing w:val="-4"/>
                <w:sz w:val="18"/>
              </w:rPr>
              <w:t xml:space="preserve"> </w:t>
            </w:r>
            <w:r>
              <w:rPr>
                <w:rFonts w:ascii="Calibri"/>
                <w:spacing w:val="-1"/>
                <w:sz w:val="18"/>
              </w:rPr>
              <w:t>program</w:t>
            </w:r>
            <w:r>
              <w:rPr>
                <w:rFonts w:ascii="Calibri"/>
                <w:spacing w:val="-3"/>
                <w:sz w:val="18"/>
              </w:rPr>
              <w:t xml:space="preserve"> </w:t>
            </w:r>
            <w:r>
              <w:rPr>
                <w:rFonts w:ascii="Calibri"/>
                <w:spacing w:val="-1"/>
                <w:sz w:val="18"/>
              </w:rPr>
              <w:t>in</w:t>
            </w:r>
            <w:r>
              <w:rPr>
                <w:rFonts w:ascii="Calibri"/>
                <w:spacing w:val="-3"/>
                <w:sz w:val="18"/>
              </w:rPr>
              <w:t xml:space="preserve"> </w:t>
            </w:r>
            <w:r>
              <w:rPr>
                <w:rFonts w:ascii="Calibri"/>
                <w:sz w:val="18"/>
              </w:rPr>
              <w:t>Phase</w:t>
            </w:r>
            <w:r>
              <w:rPr>
                <w:rFonts w:ascii="Calibri"/>
                <w:spacing w:val="-1"/>
                <w:sz w:val="18"/>
              </w:rPr>
              <w:t xml:space="preserve"> </w:t>
            </w:r>
            <w:r>
              <w:rPr>
                <w:rFonts w:ascii="Calibri"/>
                <w:sz w:val="18"/>
              </w:rPr>
              <w:t>III).</w:t>
            </w:r>
          </w:p>
        </w:tc>
      </w:tr>
      <w:tr w:rsidR="00E646C9" w:rsidTr="00C3558F">
        <w:trPr>
          <w:trHeight w:hRule="exact" w:val="1114"/>
        </w:trPr>
        <w:tc>
          <w:tcPr>
            <w:tcW w:w="4681"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197"/>
              <w:rPr>
                <w:rFonts w:ascii="Calibri" w:eastAsia="Calibri" w:hAnsi="Calibri" w:cs="Calibri"/>
                <w:sz w:val="18"/>
                <w:szCs w:val="18"/>
              </w:rPr>
            </w:pPr>
            <w:r>
              <w:rPr>
                <w:rFonts w:ascii="Calibri"/>
                <w:sz w:val="18"/>
              </w:rPr>
              <w:t>In</w:t>
            </w:r>
            <w:r>
              <w:rPr>
                <w:rFonts w:ascii="Calibri"/>
                <w:spacing w:val="-3"/>
                <w:sz w:val="18"/>
              </w:rPr>
              <w:t xml:space="preserve"> </w:t>
            </w:r>
            <w:r>
              <w:rPr>
                <w:rFonts w:ascii="Calibri"/>
                <w:spacing w:val="-1"/>
                <w:sz w:val="18"/>
              </w:rPr>
              <w:t>Phase</w:t>
            </w:r>
            <w:r>
              <w:rPr>
                <w:rFonts w:ascii="Calibri"/>
                <w:spacing w:val="-3"/>
                <w:sz w:val="18"/>
              </w:rPr>
              <w:t xml:space="preserve"> </w:t>
            </w:r>
            <w:r>
              <w:rPr>
                <w:rFonts w:ascii="Calibri"/>
                <w:sz w:val="18"/>
              </w:rPr>
              <w:t>III,</w:t>
            </w:r>
            <w:r>
              <w:rPr>
                <w:rFonts w:ascii="Calibri"/>
                <w:spacing w:val="-1"/>
                <w:sz w:val="18"/>
              </w:rPr>
              <w:t xml:space="preserve"> explore</w:t>
            </w:r>
            <w:r>
              <w:rPr>
                <w:rFonts w:ascii="Calibri"/>
                <w:spacing w:val="-4"/>
                <w:sz w:val="18"/>
              </w:rPr>
              <w:t xml:space="preserve"> </w:t>
            </w:r>
            <w:r>
              <w:rPr>
                <w:rFonts w:ascii="Calibri"/>
                <w:spacing w:val="-1"/>
                <w:sz w:val="18"/>
              </w:rPr>
              <w:t>options</w:t>
            </w:r>
            <w:r>
              <w:rPr>
                <w:rFonts w:ascii="Calibri"/>
                <w:spacing w:val="-2"/>
                <w:sz w:val="18"/>
              </w:rPr>
              <w:t xml:space="preserve"> </w:t>
            </w:r>
            <w:r>
              <w:rPr>
                <w:rFonts w:ascii="Calibri"/>
                <w:sz w:val="18"/>
              </w:rPr>
              <w:t>to</w:t>
            </w:r>
            <w:r>
              <w:rPr>
                <w:rFonts w:ascii="Calibri"/>
                <w:spacing w:val="-2"/>
                <w:sz w:val="18"/>
              </w:rPr>
              <w:t xml:space="preserve"> </w:t>
            </w:r>
            <w:r>
              <w:rPr>
                <w:rFonts w:ascii="Calibri"/>
                <w:spacing w:val="-1"/>
                <w:sz w:val="18"/>
              </w:rPr>
              <w:t>increase</w:t>
            </w:r>
            <w:r>
              <w:rPr>
                <w:rFonts w:ascii="Calibri"/>
                <w:spacing w:val="-3"/>
                <w:sz w:val="18"/>
              </w:rPr>
              <w:t xml:space="preserve"> </w:t>
            </w:r>
            <w:r>
              <w:rPr>
                <w:rFonts w:ascii="Calibri"/>
                <w:spacing w:val="-1"/>
                <w:sz w:val="18"/>
              </w:rPr>
              <w:t>incentives</w:t>
            </w:r>
            <w:r>
              <w:rPr>
                <w:rFonts w:ascii="Calibri"/>
                <w:spacing w:val="-2"/>
                <w:sz w:val="18"/>
              </w:rPr>
              <w:t xml:space="preserve"> </w:t>
            </w:r>
            <w:r>
              <w:rPr>
                <w:rFonts w:ascii="Calibri"/>
                <w:sz w:val="18"/>
              </w:rPr>
              <w:t>for</w:t>
            </w:r>
            <w:r>
              <w:rPr>
                <w:rFonts w:ascii="Calibri"/>
                <w:spacing w:val="-2"/>
                <w:sz w:val="18"/>
              </w:rPr>
              <w:t xml:space="preserve"> </w:t>
            </w:r>
            <w:r>
              <w:rPr>
                <w:rFonts w:ascii="Calibri"/>
                <w:sz w:val="18"/>
              </w:rPr>
              <w:t>HVAC</w:t>
            </w:r>
            <w:r>
              <w:rPr>
                <w:rFonts w:ascii="Calibri"/>
                <w:spacing w:val="57"/>
                <w:sz w:val="18"/>
              </w:rPr>
              <w:t xml:space="preserve"> </w:t>
            </w:r>
            <w:r>
              <w:rPr>
                <w:rFonts w:ascii="Calibri"/>
                <w:spacing w:val="-1"/>
                <w:sz w:val="18"/>
              </w:rPr>
              <w:t>equipment</w:t>
            </w:r>
            <w:r>
              <w:rPr>
                <w:rFonts w:ascii="Calibri"/>
                <w:spacing w:val="-3"/>
                <w:sz w:val="18"/>
              </w:rPr>
              <w:t xml:space="preserve"> </w:t>
            </w:r>
            <w:r>
              <w:rPr>
                <w:rFonts w:ascii="Calibri"/>
                <w:spacing w:val="-1"/>
                <w:sz w:val="18"/>
              </w:rPr>
              <w:t>and</w:t>
            </w:r>
            <w:r>
              <w:rPr>
                <w:rFonts w:ascii="Calibri"/>
                <w:spacing w:val="-3"/>
                <w:sz w:val="18"/>
              </w:rPr>
              <w:t xml:space="preserve"> </w:t>
            </w:r>
            <w:r>
              <w:rPr>
                <w:rFonts w:ascii="Calibri"/>
                <w:spacing w:val="-1"/>
                <w:sz w:val="18"/>
              </w:rPr>
              <w:t>comprehensive</w:t>
            </w:r>
            <w:r>
              <w:rPr>
                <w:rFonts w:ascii="Calibri"/>
                <w:spacing w:val="-3"/>
                <w:sz w:val="18"/>
              </w:rPr>
              <w:t xml:space="preserve"> </w:t>
            </w:r>
            <w:r>
              <w:rPr>
                <w:rFonts w:ascii="Calibri"/>
                <w:spacing w:val="-1"/>
                <w:sz w:val="18"/>
              </w:rPr>
              <w:t>building</w:t>
            </w:r>
            <w:r>
              <w:rPr>
                <w:rFonts w:ascii="Calibri"/>
                <w:spacing w:val="-3"/>
                <w:sz w:val="18"/>
              </w:rPr>
              <w:t xml:space="preserve"> </w:t>
            </w:r>
            <w:r>
              <w:rPr>
                <w:rFonts w:ascii="Calibri"/>
                <w:spacing w:val="-1"/>
                <w:sz w:val="18"/>
              </w:rPr>
              <w:t>retrofits</w:t>
            </w:r>
            <w:r>
              <w:rPr>
                <w:rFonts w:ascii="Calibri"/>
                <w:spacing w:val="-3"/>
                <w:sz w:val="18"/>
              </w:rPr>
              <w:t xml:space="preserve"> </w:t>
            </w:r>
            <w:r>
              <w:rPr>
                <w:rFonts w:ascii="Calibri"/>
                <w:sz w:val="18"/>
              </w:rPr>
              <w:t>in</w:t>
            </w:r>
            <w:r>
              <w:rPr>
                <w:rFonts w:ascii="Calibri"/>
                <w:spacing w:val="-2"/>
                <w:sz w:val="18"/>
              </w:rPr>
              <w:t xml:space="preserve"> </w:t>
            </w:r>
            <w:r>
              <w:rPr>
                <w:rFonts w:ascii="Calibri"/>
                <w:spacing w:val="-1"/>
                <w:sz w:val="18"/>
              </w:rPr>
              <w:t>the</w:t>
            </w:r>
            <w:r>
              <w:rPr>
                <w:rFonts w:ascii="Calibri"/>
                <w:spacing w:val="61"/>
                <w:w w:val="99"/>
                <w:sz w:val="18"/>
              </w:rPr>
              <w:t xml:space="preserve"> </w:t>
            </w:r>
            <w:r>
              <w:rPr>
                <w:rFonts w:ascii="Calibri"/>
                <w:spacing w:val="-1"/>
                <w:sz w:val="18"/>
              </w:rPr>
              <w:t>master</w:t>
            </w:r>
            <w:r>
              <w:rPr>
                <w:rFonts w:ascii="Calibri"/>
                <w:spacing w:val="-4"/>
                <w:sz w:val="18"/>
              </w:rPr>
              <w:t xml:space="preserve"> </w:t>
            </w:r>
            <w:r>
              <w:rPr>
                <w:rFonts w:ascii="Calibri"/>
                <w:spacing w:val="-1"/>
                <w:sz w:val="18"/>
              </w:rPr>
              <w:t>metered</w:t>
            </w:r>
            <w:r>
              <w:rPr>
                <w:rFonts w:ascii="Calibri"/>
                <w:spacing w:val="-5"/>
                <w:sz w:val="18"/>
              </w:rPr>
              <w:t xml:space="preserve"> </w:t>
            </w:r>
            <w:r>
              <w:rPr>
                <w:rFonts w:ascii="Calibri"/>
                <w:spacing w:val="-1"/>
                <w:sz w:val="18"/>
              </w:rPr>
              <w:t>multifamily</w:t>
            </w:r>
            <w:r>
              <w:rPr>
                <w:rFonts w:ascii="Calibri"/>
                <w:spacing w:val="-4"/>
                <w:sz w:val="18"/>
              </w:rPr>
              <w:t xml:space="preserve"> </w:t>
            </w:r>
            <w:r>
              <w:rPr>
                <w:rFonts w:ascii="Calibri"/>
                <w:sz w:val="18"/>
              </w:rPr>
              <w:t>market</w:t>
            </w:r>
            <w:r>
              <w:rPr>
                <w:rFonts w:ascii="Calibri"/>
                <w:spacing w:val="-4"/>
                <w:sz w:val="18"/>
              </w:rPr>
              <w:t xml:space="preserve"> </w:t>
            </w:r>
            <w:r>
              <w:rPr>
                <w:rFonts w:ascii="Calibri"/>
                <w:spacing w:val="-1"/>
                <w:sz w:val="18"/>
              </w:rPr>
              <w:t>segment,</w:t>
            </w:r>
            <w:r>
              <w:rPr>
                <w:rFonts w:ascii="Calibri"/>
                <w:spacing w:val="-4"/>
                <w:sz w:val="18"/>
              </w:rPr>
              <w:t xml:space="preserve"> </w:t>
            </w:r>
            <w:r>
              <w:rPr>
                <w:rFonts w:ascii="Calibri"/>
                <w:sz w:val="18"/>
              </w:rPr>
              <w:t>to</w:t>
            </w:r>
            <w:r>
              <w:rPr>
                <w:rFonts w:ascii="Calibri"/>
                <w:spacing w:val="-3"/>
                <w:sz w:val="18"/>
              </w:rPr>
              <w:t xml:space="preserve"> </w:t>
            </w:r>
            <w:r>
              <w:rPr>
                <w:rFonts w:ascii="Calibri"/>
                <w:spacing w:val="-1"/>
                <w:sz w:val="18"/>
              </w:rPr>
              <w:t>reduce</w:t>
            </w:r>
            <w:r>
              <w:rPr>
                <w:rFonts w:ascii="Calibri"/>
                <w:spacing w:val="-5"/>
                <w:sz w:val="18"/>
              </w:rPr>
              <w:t xml:space="preserve"> </w:t>
            </w:r>
            <w:r>
              <w:rPr>
                <w:rFonts w:ascii="Calibri"/>
                <w:sz w:val="18"/>
              </w:rPr>
              <w:t>the</w:t>
            </w:r>
            <w:r>
              <w:rPr>
                <w:rFonts w:ascii="Calibri"/>
                <w:spacing w:val="55"/>
                <w:w w:val="99"/>
                <w:sz w:val="18"/>
              </w:rPr>
              <w:t xml:space="preserve"> </w:t>
            </w:r>
            <w:r>
              <w:rPr>
                <w:rFonts w:ascii="Calibri"/>
                <w:spacing w:val="-1"/>
                <w:sz w:val="18"/>
              </w:rPr>
              <w:t>gap</w:t>
            </w:r>
            <w:r>
              <w:rPr>
                <w:rFonts w:ascii="Calibri"/>
                <w:spacing w:val="-3"/>
                <w:sz w:val="18"/>
              </w:rPr>
              <w:t xml:space="preserve"> </w:t>
            </w:r>
            <w:r>
              <w:rPr>
                <w:rFonts w:ascii="Calibri"/>
                <w:spacing w:val="-1"/>
                <w:sz w:val="18"/>
              </w:rPr>
              <w:t>between</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incentives</w:t>
            </w:r>
            <w:r>
              <w:rPr>
                <w:rFonts w:ascii="Calibri"/>
                <w:spacing w:val="-2"/>
                <w:sz w:val="18"/>
              </w:rPr>
              <w:t xml:space="preserve"> </w:t>
            </w:r>
            <w:r>
              <w:rPr>
                <w:rFonts w:ascii="Calibri"/>
                <w:sz w:val="18"/>
              </w:rPr>
              <w:t>and</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actual</w:t>
            </w:r>
            <w:r>
              <w:rPr>
                <w:rFonts w:ascii="Calibri"/>
                <w:spacing w:val="-2"/>
                <w:sz w:val="18"/>
              </w:rPr>
              <w:t xml:space="preserve"> </w:t>
            </w:r>
            <w:r>
              <w:rPr>
                <w:rFonts w:ascii="Calibri"/>
                <w:sz w:val="18"/>
              </w:rPr>
              <w:t>cost</w:t>
            </w:r>
            <w:r>
              <w:rPr>
                <w:rFonts w:ascii="Calibri"/>
                <w:spacing w:val="-2"/>
                <w:sz w:val="18"/>
              </w:rPr>
              <w:t xml:space="preserve"> </w:t>
            </w:r>
            <w:r>
              <w:rPr>
                <w:rFonts w:ascii="Calibri"/>
                <w:sz w:val="18"/>
              </w:rPr>
              <w:t>of</w:t>
            </w:r>
            <w:r>
              <w:rPr>
                <w:rFonts w:ascii="Calibri"/>
                <w:spacing w:val="-2"/>
                <w:sz w:val="18"/>
              </w:rPr>
              <w:t xml:space="preserve"> </w:t>
            </w:r>
            <w:r>
              <w:rPr>
                <w:rFonts w:ascii="Calibri"/>
                <w:spacing w:val="-1"/>
                <w:sz w:val="18"/>
              </w:rPr>
              <w:t>these</w:t>
            </w:r>
            <w:r>
              <w:rPr>
                <w:rFonts w:ascii="Calibri"/>
                <w:spacing w:val="53"/>
                <w:w w:val="99"/>
                <w:sz w:val="18"/>
              </w:rPr>
              <w:t xml:space="preserve"> </w:t>
            </w:r>
            <w:r>
              <w:rPr>
                <w:rFonts w:ascii="Calibri"/>
                <w:spacing w:val="-1"/>
                <w:sz w:val="18"/>
              </w:rPr>
              <w:t>retrofits</w:t>
            </w:r>
            <w:r>
              <w:rPr>
                <w:rFonts w:ascii="Calibri"/>
                <w:spacing w:val="-5"/>
                <w:sz w:val="18"/>
              </w:rPr>
              <w:t xml:space="preserve"> </w:t>
            </w:r>
            <w:r>
              <w:rPr>
                <w:rFonts w:ascii="Calibri"/>
                <w:sz w:val="18"/>
              </w:rPr>
              <w:t>to</w:t>
            </w:r>
            <w:r>
              <w:rPr>
                <w:rFonts w:ascii="Calibri"/>
                <w:spacing w:val="-4"/>
                <w:sz w:val="18"/>
              </w:rPr>
              <w:t xml:space="preserve"> </w:t>
            </w:r>
            <w:r>
              <w:rPr>
                <w:rFonts w:ascii="Calibri"/>
                <w:spacing w:val="-1"/>
                <w:sz w:val="18"/>
              </w:rPr>
              <w:t>program</w:t>
            </w:r>
            <w:r>
              <w:rPr>
                <w:rFonts w:ascii="Calibri"/>
                <w:spacing w:val="-5"/>
                <w:sz w:val="18"/>
              </w:rPr>
              <w:t xml:space="preserve"> </w:t>
            </w:r>
            <w:r>
              <w:rPr>
                <w:rFonts w:ascii="Calibri"/>
                <w:spacing w:val="-1"/>
                <w:sz w:val="18"/>
              </w:rPr>
              <w:t>participants.</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9" w:right="148"/>
              <w:rPr>
                <w:rFonts w:ascii="Calibri" w:eastAsia="Calibri" w:hAnsi="Calibri" w:cs="Calibri"/>
                <w:sz w:val="18"/>
                <w:szCs w:val="18"/>
              </w:rPr>
            </w:pPr>
            <w:r>
              <w:rPr>
                <w:rFonts w:ascii="Calibri"/>
                <w:spacing w:val="-1"/>
                <w:sz w:val="18"/>
              </w:rPr>
              <w:t>Rejected.</w:t>
            </w:r>
            <w:r>
              <w:rPr>
                <w:rFonts w:ascii="Calibri"/>
                <w:spacing w:val="-4"/>
                <w:sz w:val="18"/>
              </w:rPr>
              <w:t xml:space="preserve"> </w:t>
            </w:r>
            <w:r>
              <w:rPr>
                <w:rFonts w:ascii="Calibri"/>
                <w:sz w:val="18"/>
              </w:rPr>
              <w:t>As</w:t>
            </w:r>
            <w:r>
              <w:rPr>
                <w:rFonts w:ascii="Calibri"/>
                <w:spacing w:val="-3"/>
                <w:sz w:val="18"/>
              </w:rPr>
              <w:t xml:space="preserve"> </w:t>
            </w:r>
            <w:r>
              <w:rPr>
                <w:rFonts w:ascii="Calibri"/>
                <w:spacing w:val="-1"/>
                <w:sz w:val="18"/>
              </w:rPr>
              <w:t>part</w:t>
            </w:r>
            <w:r>
              <w:rPr>
                <w:rFonts w:ascii="Calibri"/>
                <w:spacing w:val="-3"/>
                <w:sz w:val="18"/>
              </w:rPr>
              <w:t xml:space="preserve"> </w:t>
            </w:r>
            <w:r>
              <w:rPr>
                <w:rFonts w:ascii="Calibri"/>
                <w:sz w:val="18"/>
              </w:rPr>
              <w:t>of</w:t>
            </w:r>
            <w:r>
              <w:rPr>
                <w:rFonts w:ascii="Calibri"/>
                <w:spacing w:val="-3"/>
                <w:sz w:val="18"/>
              </w:rPr>
              <w:t xml:space="preserve"> </w:t>
            </w:r>
            <w:r>
              <w:rPr>
                <w:rFonts w:ascii="Calibri"/>
                <w:spacing w:val="-1"/>
                <w:sz w:val="18"/>
              </w:rPr>
              <w:t>the</w:t>
            </w:r>
            <w:r>
              <w:rPr>
                <w:rFonts w:ascii="Calibri"/>
                <w:spacing w:val="-3"/>
                <w:sz w:val="18"/>
              </w:rPr>
              <w:t xml:space="preserve"> </w:t>
            </w:r>
            <w:r>
              <w:rPr>
                <w:rFonts w:ascii="Calibri"/>
                <w:sz w:val="18"/>
              </w:rPr>
              <w:t>Phase</w:t>
            </w:r>
            <w:r>
              <w:rPr>
                <w:rFonts w:ascii="Calibri"/>
                <w:spacing w:val="-3"/>
                <w:sz w:val="18"/>
              </w:rPr>
              <w:t xml:space="preserve"> </w:t>
            </w:r>
            <w:r>
              <w:rPr>
                <w:rFonts w:ascii="Calibri"/>
                <w:sz w:val="18"/>
              </w:rPr>
              <w:t>III</w:t>
            </w:r>
            <w:r>
              <w:rPr>
                <w:rFonts w:ascii="Calibri"/>
                <w:spacing w:val="2"/>
                <w:sz w:val="18"/>
              </w:rPr>
              <w:t xml:space="preserve"> </w:t>
            </w:r>
            <w:r>
              <w:rPr>
                <w:rFonts w:ascii="Calibri"/>
                <w:spacing w:val="-1"/>
                <w:sz w:val="18"/>
              </w:rPr>
              <w:t>EE&amp;C</w:t>
            </w:r>
            <w:r>
              <w:rPr>
                <w:rFonts w:ascii="Calibri"/>
                <w:spacing w:val="-2"/>
                <w:sz w:val="18"/>
              </w:rPr>
              <w:t xml:space="preserve"> </w:t>
            </w:r>
            <w:r>
              <w:rPr>
                <w:rFonts w:ascii="Calibri"/>
                <w:spacing w:val="-1"/>
                <w:sz w:val="18"/>
              </w:rPr>
              <w:t>Plan,</w:t>
            </w:r>
            <w:r>
              <w:rPr>
                <w:rFonts w:ascii="Calibri"/>
                <w:spacing w:val="-2"/>
                <w:sz w:val="18"/>
              </w:rPr>
              <w:t xml:space="preserve"> </w:t>
            </w:r>
            <w:r>
              <w:rPr>
                <w:rFonts w:ascii="Calibri"/>
                <w:spacing w:val="-1"/>
                <w:sz w:val="18"/>
              </w:rPr>
              <w:t>PPL determined</w:t>
            </w:r>
            <w:r>
              <w:rPr>
                <w:rFonts w:ascii="Calibri"/>
                <w:spacing w:val="49"/>
                <w:sz w:val="18"/>
              </w:rPr>
              <w:t xml:space="preserve"> </w:t>
            </w:r>
            <w:r>
              <w:rPr>
                <w:rFonts w:ascii="Calibri"/>
                <w:spacing w:val="-1"/>
                <w:sz w:val="18"/>
              </w:rPr>
              <w:t>that</w:t>
            </w:r>
            <w:r>
              <w:rPr>
                <w:rFonts w:ascii="Calibri"/>
                <w:spacing w:val="-2"/>
                <w:sz w:val="18"/>
              </w:rPr>
              <w:t xml:space="preserve"> </w:t>
            </w:r>
            <w:r>
              <w:rPr>
                <w:rFonts w:ascii="Calibri"/>
                <w:spacing w:val="-1"/>
                <w:sz w:val="18"/>
              </w:rPr>
              <w:t>it</w:t>
            </w:r>
            <w:r>
              <w:rPr>
                <w:rFonts w:ascii="Calibri"/>
                <w:spacing w:val="-2"/>
                <w:sz w:val="18"/>
              </w:rPr>
              <w:t xml:space="preserve"> </w:t>
            </w:r>
            <w:r>
              <w:rPr>
                <w:rFonts w:ascii="Calibri"/>
                <w:spacing w:val="-1"/>
                <w:sz w:val="18"/>
              </w:rPr>
              <w:t>could</w:t>
            </w:r>
            <w:r>
              <w:rPr>
                <w:rFonts w:ascii="Calibri"/>
                <w:spacing w:val="-3"/>
                <w:sz w:val="18"/>
              </w:rPr>
              <w:t xml:space="preserve"> </w:t>
            </w:r>
            <w:r>
              <w:rPr>
                <w:rFonts w:ascii="Calibri"/>
                <w:spacing w:val="-1"/>
                <w:sz w:val="18"/>
              </w:rPr>
              <w:t>not offer</w:t>
            </w:r>
            <w:r>
              <w:rPr>
                <w:rFonts w:ascii="Calibri"/>
                <w:spacing w:val="-2"/>
                <w:sz w:val="18"/>
              </w:rPr>
              <w:t xml:space="preserve"> </w:t>
            </w:r>
            <w:r>
              <w:rPr>
                <w:rFonts w:ascii="Calibri"/>
                <w:spacing w:val="-1"/>
                <w:sz w:val="18"/>
              </w:rPr>
              <w:t>higher</w:t>
            </w:r>
            <w:r>
              <w:rPr>
                <w:rFonts w:ascii="Calibri"/>
                <w:spacing w:val="-2"/>
                <w:sz w:val="18"/>
              </w:rPr>
              <w:t xml:space="preserve"> </w:t>
            </w:r>
            <w:r>
              <w:rPr>
                <w:rFonts w:ascii="Calibri"/>
                <w:spacing w:val="-1"/>
                <w:sz w:val="18"/>
              </w:rPr>
              <w:t>incentives</w:t>
            </w:r>
            <w:r>
              <w:rPr>
                <w:rFonts w:ascii="Calibri"/>
                <w:spacing w:val="-2"/>
                <w:sz w:val="18"/>
              </w:rPr>
              <w:t xml:space="preserve"> </w:t>
            </w:r>
            <w:r>
              <w:rPr>
                <w:rFonts w:ascii="Calibri"/>
                <w:sz w:val="18"/>
              </w:rPr>
              <w:t>for</w:t>
            </w:r>
            <w:r>
              <w:rPr>
                <w:rFonts w:ascii="Calibri"/>
                <w:spacing w:val="-2"/>
                <w:sz w:val="18"/>
              </w:rPr>
              <w:t xml:space="preserve"> </w:t>
            </w:r>
            <w:r>
              <w:rPr>
                <w:rFonts w:ascii="Calibri"/>
                <w:sz w:val="18"/>
              </w:rPr>
              <w:t>HVAC</w:t>
            </w:r>
            <w:r>
              <w:rPr>
                <w:rFonts w:ascii="Calibri"/>
                <w:spacing w:val="-3"/>
                <w:sz w:val="18"/>
              </w:rPr>
              <w:t xml:space="preserve"> </w:t>
            </w:r>
            <w:r>
              <w:rPr>
                <w:rFonts w:ascii="Calibri"/>
                <w:sz w:val="18"/>
              </w:rPr>
              <w:t>in</w:t>
            </w:r>
            <w:r>
              <w:rPr>
                <w:rFonts w:ascii="Calibri"/>
                <w:spacing w:val="-3"/>
                <w:sz w:val="18"/>
              </w:rPr>
              <w:t xml:space="preserve"> </w:t>
            </w:r>
            <w:r>
              <w:rPr>
                <w:rFonts w:ascii="Calibri"/>
                <w:sz w:val="18"/>
              </w:rPr>
              <w:t>master</w:t>
            </w:r>
            <w:r>
              <w:rPr>
                <w:rFonts w:ascii="Calibri"/>
                <w:spacing w:val="51"/>
                <w:w w:val="99"/>
                <w:sz w:val="18"/>
              </w:rPr>
              <w:t xml:space="preserve"> </w:t>
            </w:r>
            <w:r>
              <w:rPr>
                <w:rFonts w:ascii="Calibri"/>
                <w:spacing w:val="-1"/>
                <w:sz w:val="18"/>
              </w:rPr>
              <w:t>metered</w:t>
            </w:r>
            <w:r>
              <w:rPr>
                <w:rFonts w:ascii="Calibri"/>
                <w:spacing w:val="-3"/>
                <w:sz w:val="18"/>
              </w:rPr>
              <w:t xml:space="preserve"> </w:t>
            </w:r>
            <w:r>
              <w:rPr>
                <w:rFonts w:ascii="Calibri"/>
                <w:spacing w:val="-1"/>
                <w:sz w:val="18"/>
              </w:rPr>
              <w:t>multifamily</w:t>
            </w:r>
            <w:r>
              <w:rPr>
                <w:rFonts w:ascii="Calibri"/>
                <w:spacing w:val="-2"/>
                <w:sz w:val="18"/>
              </w:rPr>
              <w:t xml:space="preserve"> </w:t>
            </w:r>
            <w:r>
              <w:rPr>
                <w:rFonts w:ascii="Calibri"/>
                <w:spacing w:val="-1"/>
                <w:sz w:val="18"/>
              </w:rPr>
              <w:t>buildings.</w:t>
            </w:r>
            <w:r>
              <w:rPr>
                <w:rFonts w:ascii="Calibri"/>
                <w:spacing w:val="-3"/>
                <w:sz w:val="18"/>
              </w:rPr>
              <w:t xml:space="preserve"> </w:t>
            </w:r>
            <w:r>
              <w:rPr>
                <w:rFonts w:ascii="Calibri"/>
                <w:spacing w:val="1"/>
                <w:sz w:val="18"/>
              </w:rPr>
              <w:t>PPL</w:t>
            </w:r>
            <w:r>
              <w:rPr>
                <w:rFonts w:ascii="Calibri"/>
                <w:spacing w:val="-1"/>
                <w:sz w:val="18"/>
              </w:rPr>
              <w:t xml:space="preserve"> will</w:t>
            </w:r>
            <w:r>
              <w:rPr>
                <w:rFonts w:ascii="Calibri"/>
                <w:spacing w:val="-3"/>
                <w:sz w:val="18"/>
              </w:rPr>
              <w:t xml:space="preserve"> </w:t>
            </w:r>
            <w:r>
              <w:rPr>
                <w:rFonts w:ascii="Calibri"/>
                <w:spacing w:val="-1"/>
                <w:sz w:val="18"/>
              </w:rPr>
              <w:t>continually</w:t>
            </w:r>
            <w:r>
              <w:rPr>
                <w:rFonts w:ascii="Calibri"/>
                <w:spacing w:val="-2"/>
                <w:sz w:val="18"/>
              </w:rPr>
              <w:t xml:space="preserve"> </w:t>
            </w:r>
            <w:r>
              <w:rPr>
                <w:rFonts w:ascii="Calibri"/>
                <w:spacing w:val="-1"/>
                <w:sz w:val="18"/>
              </w:rPr>
              <w:t>monitor</w:t>
            </w:r>
            <w:r>
              <w:rPr>
                <w:rFonts w:ascii="Calibri"/>
                <w:spacing w:val="61"/>
                <w:w w:val="99"/>
                <w:sz w:val="18"/>
              </w:rPr>
              <w:t xml:space="preserve"> </w:t>
            </w:r>
            <w:r>
              <w:rPr>
                <w:rFonts w:ascii="Calibri"/>
                <w:spacing w:val="-1"/>
                <w:sz w:val="18"/>
              </w:rPr>
              <w:t>Phase</w:t>
            </w:r>
            <w:r>
              <w:rPr>
                <w:rFonts w:ascii="Calibri"/>
                <w:spacing w:val="-3"/>
                <w:sz w:val="18"/>
              </w:rPr>
              <w:t xml:space="preserve"> </w:t>
            </w:r>
            <w:r>
              <w:rPr>
                <w:rFonts w:ascii="Calibri"/>
                <w:sz w:val="18"/>
              </w:rPr>
              <w:t>3</w:t>
            </w:r>
            <w:r>
              <w:rPr>
                <w:rFonts w:ascii="Calibri"/>
                <w:spacing w:val="-1"/>
                <w:sz w:val="18"/>
              </w:rPr>
              <w:t xml:space="preserve"> savings</w:t>
            </w:r>
            <w:r>
              <w:rPr>
                <w:rFonts w:ascii="Calibri"/>
                <w:spacing w:val="-2"/>
                <w:sz w:val="18"/>
              </w:rPr>
              <w:t xml:space="preserve"> </w:t>
            </w:r>
            <w:r>
              <w:rPr>
                <w:rFonts w:ascii="Calibri"/>
                <w:sz w:val="18"/>
              </w:rPr>
              <w:t>and</w:t>
            </w:r>
            <w:r>
              <w:rPr>
                <w:rFonts w:ascii="Calibri"/>
                <w:spacing w:val="-2"/>
                <w:sz w:val="18"/>
              </w:rPr>
              <w:t xml:space="preserve"> </w:t>
            </w:r>
            <w:r>
              <w:rPr>
                <w:rFonts w:ascii="Calibri"/>
                <w:spacing w:val="-1"/>
                <w:sz w:val="18"/>
              </w:rPr>
              <w:t>budgets</w:t>
            </w:r>
            <w:r>
              <w:rPr>
                <w:rFonts w:ascii="Calibri"/>
                <w:spacing w:val="-3"/>
                <w:sz w:val="18"/>
              </w:rPr>
              <w:t xml:space="preserve"> </w:t>
            </w:r>
            <w:r>
              <w:rPr>
                <w:rFonts w:ascii="Calibri"/>
                <w:sz w:val="18"/>
              </w:rPr>
              <w:t>and</w:t>
            </w:r>
            <w:r>
              <w:rPr>
                <w:rFonts w:ascii="Calibri"/>
                <w:spacing w:val="-1"/>
                <w:sz w:val="18"/>
              </w:rPr>
              <w:t xml:space="preserve"> adjust incentives</w:t>
            </w:r>
            <w:r>
              <w:rPr>
                <w:rFonts w:ascii="Calibri"/>
                <w:spacing w:val="-2"/>
                <w:sz w:val="18"/>
              </w:rPr>
              <w:t xml:space="preserve"> </w:t>
            </w:r>
            <w:r>
              <w:rPr>
                <w:rFonts w:ascii="Calibri"/>
                <w:sz w:val="18"/>
              </w:rPr>
              <w:t>or</w:t>
            </w:r>
            <w:r>
              <w:rPr>
                <w:rFonts w:ascii="Calibri"/>
                <w:spacing w:val="57"/>
                <w:w w:val="99"/>
                <w:sz w:val="18"/>
              </w:rPr>
              <w:t xml:space="preserve"> </w:t>
            </w:r>
            <w:r>
              <w:rPr>
                <w:rFonts w:ascii="Calibri"/>
                <w:spacing w:val="-1"/>
                <w:sz w:val="18"/>
              </w:rPr>
              <w:t>programs</w:t>
            </w:r>
            <w:r>
              <w:rPr>
                <w:rFonts w:ascii="Calibri"/>
                <w:spacing w:val="-8"/>
                <w:sz w:val="18"/>
              </w:rPr>
              <w:t xml:space="preserve"> </w:t>
            </w:r>
            <w:r>
              <w:rPr>
                <w:rFonts w:ascii="Calibri"/>
                <w:sz w:val="18"/>
              </w:rPr>
              <w:t>if</w:t>
            </w:r>
            <w:r>
              <w:rPr>
                <w:rFonts w:ascii="Calibri"/>
                <w:spacing w:val="-7"/>
                <w:sz w:val="18"/>
              </w:rPr>
              <w:t xml:space="preserve"> </w:t>
            </w:r>
            <w:r>
              <w:rPr>
                <w:rFonts w:ascii="Calibri"/>
                <w:spacing w:val="-1"/>
                <w:sz w:val="18"/>
              </w:rPr>
              <w:t>necessary.</w:t>
            </w:r>
          </w:p>
        </w:tc>
      </w:tr>
      <w:tr w:rsidR="00E646C9" w:rsidTr="00C3558F">
        <w:trPr>
          <w:trHeight w:hRule="exact" w:val="895"/>
        </w:trPr>
        <w:tc>
          <w:tcPr>
            <w:tcW w:w="4681" w:type="dxa"/>
            <w:tcBorders>
              <w:top w:val="single" w:sz="7" w:space="0" w:color="448999"/>
              <w:left w:val="single" w:sz="8" w:space="0" w:color="448999"/>
              <w:bottom w:val="single" w:sz="8" w:space="0" w:color="448999"/>
              <w:right w:val="single" w:sz="7" w:space="0" w:color="448999"/>
            </w:tcBorders>
            <w:shd w:val="clear" w:color="auto" w:fill="D2EAF0"/>
          </w:tcPr>
          <w:p w:rsidR="00E646C9" w:rsidRDefault="00E646C9" w:rsidP="00C94D5A">
            <w:pPr>
              <w:pStyle w:val="TableParagraph"/>
              <w:ind w:left="97" w:right="217"/>
              <w:rPr>
                <w:rFonts w:ascii="Calibri" w:eastAsia="Calibri" w:hAnsi="Calibri" w:cs="Calibri"/>
                <w:sz w:val="18"/>
                <w:szCs w:val="18"/>
              </w:rPr>
            </w:pPr>
            <w:r>
              <w:rPr>
                <w:rFonts w:ascii="Calibri"/>
                <w:sz w:val="18"/>
              </w:rPr>
              <w:t>In</w:t>
            </w:r>
            <w:r>
              <w:rPr>
                <w:rFonts w:ascii="Calibri"/>
                <w:spacing w:val="-3"/>
                <w:sz w:val="18"/>
              </w:rPr>
              <w:t xml:space="preserve"> </w:t>
            </w:r>
            <w:r>
              <w:rPr>
                <w:rFonts w:ascii="Calibri"/>
                <w:spacing w:val="-1"/>
                <w:sz w:val="18"/>
              </w:rPr>
              <w:t>Phase</w:t>
            </w:r>
            <w:r>
              <w:rPr>
                <w:rFonts w:ascii="Calibri"/>
                <w:spacing w:val="-2"/>
                <w:sz w:val="18"/>
              </w:rPr>
              <w:t xml:space="preserve"> </w:t>
            </w:r>
            <w:r>
              <w:rPr>
                <w:rFonts w:ascii="Calibri"/>
                <w:sz w:val="18"/>
              </w:rPr>
              <w:t>III,</w:t>
            </w:r>
            <w:r>
              <w:rPr>
                <w:rFonts w:ascii="Calibri"/>
                <w:spacing w:val="-2"/>
                <w:sz w:val="18"/>
              </w:rPr>
              <w:t xml:space="preserve"> </w:t>
            </w:r>
            <w:r>
              <w:rPr>
                <w:rFonts w:ascii="Calibri"/>
                <w:spacing w:val="-1"/>
                <w:sz w:val="18"/>
              </w:rPr>
              <w:t xml:space="preserve">continue </w:t>
            </w:r>
            <w:r>
              <w:rPr>
                <w:rFonts w:ascii="Calibri"/>
                <w:sz w:val="18"/>
              </w:rPr>
              <w:t>to</w:t>
            </w:r>
            <w:r>
              <w:rPr>
                <w:rFonts w:ascii="Calibri"/>
                <w:spacing w:val="-1"/>
                <w:sz w:val="18"/>
              </w:rPr>
              <w:t xml:space="preserve"> offer</w:t>
            </w:r>
            <w:r>
              <w:rPr>
                <w:rFonts w:ascii="Calibri"/>
                <w:spacing w:val="-2"/>
                <w:sz w:val="18"/>
              </w:rPr>
              <w:t xml:space="preserve"> </w:t>
            </w:r>
            <w:r>
              <w:rPr>
                <w:rFonts w:ascii="Calibri"/>
                <w:spacing w:val="-1"/>
                <w:sz w:val="18"/>
              </w:rPr>
              <w:t>tenant education</w:t>
            </w:r>
            <w:r>
              <w:rPr>
                <w:rFonts w:ascii="Calibri"/>
                <w:spacing w:val="-3"/>
                <w:sz w:val="18"/>
              </w:rPr>
              <w:t xml:space="preserve"> </w:t>
            </w:r>
            <w:r>
              <w:rPr>
                <w:rFonts w:ascii="Calibri"/>
                <w:spacing w:val="-1"/>
                <w:sz w:val="18"/>
              </w:rPr>
              <w:t xml:space="preserve">under </w:t>
            </w:r>
            <w:r>
              <w:rPr>
                <w:rFonts w:ascii="Calibri"/>
                <w:sz w:val="18"/>
              </w:rPr>
              <w:t>the</w:t>
            </w:r>
            <w:r>
              <w:rPr>
                <w:rFonts w:ascii="Calibri"/>
                <w:spacing w:val="51"/>
                <w:w w:val="99"/>
                <w:sz w:val="18"/>
              </w:rPr>
              <w:t xml:space="preserve"> </w:t>
            </w:r>
            <w:r>
              <w:rPr>
                <w:rFonts w:ascii="Calibri"/>
                <w:spacing w:val="-1"/>
                <w:sz w:val="18"/>
              </w:rPr>
              <w:t>low-income</w:t>
            </w:r>
            <w:r>
              <w:rPr>
                <w:rFonts w:ascii="Calibri"/>
                <w:spacing w:val="-7"/>
                <w:sz w:val="18"/>
              </w:rPr>
              <w:t xml:space="preserve"> </w:t>
            </w:r>
            <w:r>
              <w:rPr>
                <w:rFonts w:ascii="Calibri"/>
                <w:spacing w:val="-1"/>
                <w:sz w:val="18"/>
              </w:rPr>
              <w:t>WRAP</w:t>
            </w:r>
            <w:r>
              <w:rPr>
                <w:rFonts w:ascii="Calibri"/>
                <w:spacing w:val="-5"/>
                <w:sz w:val="18"/>
              </w:rPr>
              <w:t xml:space="preserve"> </w:t>
            </w:r>
            <w:r>
              <w:rPr>
                <w:rFonts w:ascii="Calibri"/>
                <w:sz w:val="18"/>
              </w:rPr>
              <w:t>to</w:t>
            </w:r>
            <w:r>
              <w:rPr>
                <w:rFonts w:ascii="Calibri"/>
                <w:spacing w:val="-5"/>
                <w:sz w:val="18"/>
              </w:rPr>
              <w:t xml:space="preserve"> </w:t>
            </w:r>
            <w:r>
              <w:rPr>
                <w:rFonts w:ascii="Calibri"/>
                <w:spacing w:val="-1"/>
                <w:sz w:val="18"/>
              </w:rPr>
              <w:t>recommend</w:t>
            </w:r>
            <w:r>
              <w:rPr>
                <w:rFonts w:ascii="Calibri"/>
                <w:spacing w:val="-5"/>
                <w:sz w:val="18"/>
              </w:rPr>
              <w:t xml:space="preserve"> </w:t>
            </w:r>
            <w:r>
              <w:rPr>
                <w:rFonts w:ascii="Calibri"/>
                <w:spacing w:val="-1"/>
                <w:sz w:val="18"/>
              </w:rPr>
              <w:t>energy-efficiency</w:t>
            </w:r>
            <w:r>
              <w:rPr>
                <w:rFonts w:ascii="Calibri"/>
                <w:spacing w:val="-5"/>
                <w:sz w:val="18"/>
              </w:rPr>
              <w:t xml:space="preserve"> </w:t>
            </w:r>
            <w:r>
              <w:rPr>
                <w:rFonts w:ascii="Calibri"/>
                <w:spacing w:val="-1"/>
                <w:sz w:val="18"/>
              </w:rPr>
              <w:t>actions</w:t>
            </w:r>
            <w:r>
              <w:rPr>
                <w:rFonts w:ascii="Calibri"/>
                <w:spacing w:val="61"/>
                <w:sz w:val="18"/>
              </w:rPr>
              <w:t xml:space="preserve"> </w:t>
            </w:r>
            <w:r>
              <w:rPr>
                <w:rFonts w:ascii="Calibri"/>
                <w:spacing w:val="-1"/>
                <w:sz w:val="18"/>
              </w:rPr>
              <w:t>tenants</w:t>
            </w:r>
            <w:r>
              <w:rPr>
                <w:rFonts w:ascii="Calibri"/>
                <w:spacing w:val="-4"/>
                <w:sz w:val="18"/>
              </w:rPr>
              <w:t xml:space="preserve"> </w:t>
            </w:r>
            <w:r>
              <w:rPr>
                <w:rFonts w:ascii="Calibri"/>
                <w:spacing w:val="-1"/>
                <w:sz w:val="18"/>
              </w:rPr>
              <w:t>and householders</w:t>
            </w:r>
            <w:r>
              <w:rPr>
                <w:rFonts w:ascii="Calibri"/>
                <w:spacing w:val="-3"/>
                <w:sz w:val="18"/>
              </w:rPr>
              <w:t xml:space="preserve"> </w:t>
            </w:r>
            <w:r>
              <w:rPr>
                <w:rFonts w:ascii="Calibri"/>
                <w:sz w:val="18"/>
              </w:rPr>
              <w:t>can</w:t>
            </w:r>
            <w:r>
              <w:rPr>
                <w:rFonts w:ascii="Calibri"/>
                <w:spacing w:val="-3"/>
                <w:sz w:val="18"/>
              </w:rPr>
              <w:t xml:space="preserve"> </w:t>
            </w:r>
            <w:r>
              <w:rPr>
                <w:rFonts w:ascii="Calibri"/>
                <w:sz w:val="18"/>
              </w:rPr>
              <w:t>take</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improve</w:t>
            </w:r>
            <w:r>
              <w:rPr>
                <w:rFonts w:ascii="Calibri"/>
                <w:spacing w:val="-3"/>
                <w:sz w:val="18"/>
              </w:rPr>
              <w:t xml:space="preserve"> </w:t>
            </w:r>
            <w:r>
              <w:rPr>
                <w:rFonts w:ascii="Calibri"/>
                <w:spacing w:val="-1"/>
                <w:sz w:val="18"/>
              </w:rPr>
              <w:t>the energy</w:t>
            </w:r>
            <w:r>
              <w:rPr>
                <w:rFonts w:ascii="Calibri"/>
                <w:spacing w:val="53"/>
                <w:w w:val="99"/>
                <w:sz w:val="18"/>
              </w:rPr>
              <w:t xml:space="preserve"> </w:t>
            </w:r>
            <w:r>
              <w:rPr>
                <w:rFonts w:ascii="Calibri"/>
                <w:spacing w:val="-1"/>
                <w:sz w:val="18"/>
              </w:rPr>
              <w:t>performance</w:t>
            </w:r>
            <w:r>
              <w:rPr>
                <w:rFonts w:ascii="Calibri"/>
                <w:spacing w:val="-4"/>
                <w:sz w:val="18"/>
              </w:rPr>
              <w:t xml:space="preserve"> </w:t>
            </w:r>
            <w:r>
              <w:rPr>
                <w:rFonts w:ascii="Calibri"/>
                <w:sz w:val="18"/>
              </w:rPr>
              <w:t>of</w:t>
            </w:r>
            <w:r>
              <w:rPr>
                <w:rFonts w:ascii="Calibri"/>
                <w:spacing w:val="-4"/>
                <w:sz w:val="18"/>
              </w:rPr>
              <w:t xml:space="preserve"> </w:t>
            </w:r>
            <w:r>
              <w:rPr>
                <w:rFonts w:ascii="Calibri"/>
                <w:spacing w:val="-1"/>
                <w:sz w:val="18"/>
              </w:rPr>
              <w:t>their buildings.</w:t>
            </w:r>
          </w:p>
        </w:tc>
        <w:tc>
          <w:tcPr>
            <w:tcW w:w="4681" w:type="dxa"/>
            <w:tcBorders>
              <w:top w:val="single" w:sz="7" w:space="0" w:color="448999"/>
              <w:left w:val="single" w:sz="7" w:space="0" w:color="448999"/>
              <w:bottom w:val="single" w:sz="8"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bl>
    <w:p w:rsidR="00E646C9" w:rsidRPr="00CF2DE1" w:rsidRDefault="00E646C9" w:rsidP="00E646C9"/>
    <w:p w:rsidR="00E646C9" w:rsidRPr="00130312" w:rsidRDefault="00E646C9" w:rsidP="00C3558F">
      <w:pPr>
        <w:pStyle w:val="AppendixGHeading2"/>
      </w:pPr>
      <w:r>
        <w:t>E-Power Wise</w:t>
      </w:r>
      <w:r w:rsidRPr="00130312">
        <w:t xml:space="preserve"> Program</w:t>
      </w:r>
    </w:p>
    <w:tbl>
      <w:tblPr>
        <w:tblW w:w="9361" w:type="dxa"/>
        <w:tblLayout w:type="fixed"/>
        <w:tblCellMar>
          <w:left w:w="0" w:type="dxa"/>
          <w:right w:w="0" w:type="dxa"/>
        </w:tblCellMar>
        <w:tblLook w:val="01E0" w:firstRow="1" w:lastRow="1" w:firstColumn="1" w:lastColumn="1" w:noHBand="0" w:noVBand="0"/>
      </w:tblPr>
      <w:tblGrid>
        <w:gridCol w:w="4680"/>
        <w:gridCol w:w="4681"/>
      </w:tblGrid>
      <w:tr w:rsidR="00E646C9" w:rsidTr="00FB3B18">
        <w:trPr>
          <w:trHeight w:hRule="exact" w:val="689"/>
        </w:trPr>
        <w:tc>
          <w:tcPr>
            <w:tcW w:w="4680" w:type="dxa"/>
            <w:tcBorders>
              <w:top w:val="single" w:sz="8" w:space="0" w:color="448999"/>
              <w:left w:val="single" w:sz="8" w:space="0" w:color="448999"/>
              <w:bottom w:val="single" w:sz="8" w:space="0" w:color="FFFFFF"/>
              <w:right w:val="nil"/>
            </w:tcBorders>
            <w:shd w:val="clear" w:color="auto" w:fill="448999"/>
          </w:tcPr>
          <w:p w:rsidR="00E646C9" w:rsidRDefault="00E646C9" w:rsidP="00FB3B18">
            <w:pPr>
              <w:pStyle w:val="TableParagraph"/>
              <w:spacing w:line="218" w:lineRule="exact"/>
              <w:ind w:left="166" w:right="12"/>
              <w:rPr>
                <w:rFonts w:ascii="Calibri" w:eastAsia="Calibri" w:hAnsi="Calibri" w:cs="Calibri"/>
                <w:sz w:val="18"/>
                <w:szCs w:val="18"/>
              </w:rPr>
            </w:pPr>
            <w:r>
              <w:rPr>
                <w:rFonts w:ascii="Calibri"/>
                <w:b/>
                <w:color w:val="FFFFFF"/>
                <w:spacing w:val="-1"/>
                <w:sz w:val="18"/>
              </w:rPr>
              <w:t>Recommendations</w:t>
            </w:r>
          </w:p>
        </w:tc>
        <w:tc>
          <w:tcPr>
            <w:tcW w:w="4681" w:type="dxa"/>
            <w:tcBorders>
              <w:top w:val="single" w:sz="8" w:space="0" w:color="448999"/>
              <w:left w:val="nil"/>
              <w:bottom w:val="nil"/>
              <w:right w:val="single" w:sz="8" w:space="0" w:color="448999"/>
            </w:tcBorders>
            <w:shd w:val="clear" w:color="auto" w:fill="448999"/>
          </w:tcPr>
          <w:p w:rsidR="00E646C9" w:rsidRPr="00C3558F" w:rsidRDefault="00E646C9" w:rsidP="00C94D5A">
            <w:pPr>
              <w:pStyle w:val="TableParagraph"/>
              <w:ind w:left="581" w:right="569"/>
              <w:jc w:val="center"/>
              <w:rPr>
                <w:rFonts w:ascii="Calibri" w:eastAsia="Calibri" w:hAnsi="Calibri" w:cs="Calibri"/>
                <w:sz w:val="18"/>
                <w:szCs w:val="18"/>
              </w:rPr>
            </w:pP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43"/>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line="218" w:lineRule="exact"/>
              <w:ind w:left="9"/>
              <w:jc w:val="center"/>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674"/>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320"/>
              <w:rPr>
                <w:rFonts w:ascii="Calibri" w:eastAsia="Calibri" w:hAnsi="Calibri" w:cs="Calibri"/>
                <w:sz w:val="18"/>
                <w:szCs w:val="18"/>
              </w:rPr>
            </w:pPr>
            <w:r>
              <w:rPr>
                <w:rFonts w:ascii="Calibri"/>
                <w:spacing w:val="-1"/>
                <w:sz w:val="18"/>
              </w:rPr>
              <w:t>Consider</w:t>
            </w:r>
            <w:r>
              <w:rPr>
                <w:rFonts w:ascii="Calibri"/>
                <w:spacing w:val="-3"/>
                <w:sz w:val="18"/>
              </w:rPr>
              <w:t xml:space="preserve"> </w:t>
            </w:r>
            <w:r>
              <w:rPr>
                <w:rFonts w:ascii="Calibri"/>
                <w:spacing w:val="-1"/>
                <w:sz w:val="18"/>
              </w:rPr>
              <w:t>removing</w:t>
            </w:r>
            <w:r>
              <w:rPr>
                <w:rFonts w:ascii="Calibri"/>
                <w:spacing w:val="-3"/>
                <w:sz w:val="18"/>
              </w:rPr>
              <w:t xml:space="preserve"> </w:t>
            </w:r>
            <w:r>
              <w:rPr>
                <w:rFonts w:ascii="Calibri"/>
                <w:sz w:val="18"/>
              </w:rPr>
              <w:t>the</w:t>
            </w:r>
            <w:r>
              <w:rPr>
                <w:rFonts w:ascii="Calibri"/>
                <w:spacing w:val="-4"/>
                <w:sz w:val="18"/>
              </w:rPr>
              <w:t xml:space="preserve"> </w:t>
            </w:r>
            <w:r>
              <w:rPr>
                <w:rFonts w:ascii="Calibri"/>
                <w:spacing w:val="-1"/>
                <w:sz w:val="18"/>
              </w:rPr>
              <w:t>furnace</w:t>
            </w:r>
            <w:r>
              <w:rPr>
                <w:rFonts w:ascii="Calibri"/>
                <w:spacing w:val="-3"/>
                <w:sz w:val="18"/>
              </w:rPr>
              <w:t xml:space="preserve"> </w:t>
            </w:r>
            <w:r>
              <w:rPr>
                <w:rFonts w:ascii="Calibri"/>
                <w:spacing w:val="-1"/>
                <w:sz w:val="18"/>
              </w:rPr>
              <w:t>whistle</w:t>
            </w:r>
            <w:r>
              <w:rPr>
                <w:rFonts w:ascii="Calibri"/>
                <w:spacing w:val="-3"/>
                <w:sz w:val="18"/>
              </w:rPr>
              <w:t xml:space="preserve"> </w:t>
            </w:r>
            <w:r>
              <w:rPr>
                <w:rFonts w:ascii="Calibri"/>
                <w:spacing w:val="-1"/>
                <w:sz w:val="18"/>
              </w:rPr>
              <w:t>from</w:t>
            </w:r>
            <w:r>
              <w:rPr>
                <w:rFonts w:ascii="Calibri"/>
                <w:spacing w:val="-3"/>
                <w:sz w:val="18"/>
              </w:rPr>
              <w:t xml:space="preserve"> </w:t>
            </w:r>
            <w:r>
              <w:rPr>
                <w:rFonts w:ascii="Calibri"/>
                <w:spacing w:val="-1"/>
                <w:sz w:val="18"/>
              </w:rPr>
              <w:t>the</w:t>
            </w:r>
            <w:r>
              <w:rPr>
                <w:rFonts w:ascii="Calibri"/>
                <w:spacing w:val="-3"/>
                <w:sz w:val="18"/>
              </w:rPr>
              <w:t xml:space="preserve"> </w:t>
            </w:r>
            <w:r>
              <w:rPr>
                <w:rFonts w:ascii="Calibri"/>
                <w:spacing w:val="-1"/>
                <w:sz w:val="18"/>
              </w:rPr>
              <w:t>energy-</w:t>
            </w:r>
            <w:r>
              <w:rPr>
                <w:rFonts w:ascii="Calibri"/>
                <w:spacing w:val="63"/>
                <w:sz w:val="18"/>
              </w:rPr>
              <w:t xml:space="preserve"> </w:t>
            </w:r>
            <w:r>
              <w:rPr>
                <w:rFonts w:ascii="Calibri"/>
                <w:spacing w:val="-1"/>
                <w:sz w:val="18"/>
              </w:rPr>
              <w:t>savings</w:t>
            </w:r>
            <w:r>
              <w:rPr>
                <w:rFonts w:ascii="Calibri"/>
                <w:spacing w:val="-3"/>
                <w:sz w:val="18"/>
              </w:rPr>
              <w:t xml:space="preserve"> </w:t>
            </w:r>
            <w:r>
              <w:rPr>
                <w:rFonts w:ascii="Calibri"/>
                <w:sz w:val="18"/>
              </w:rPr>
              <w:t>kit</w:t>
            </w:r>
            <w:r>
              <w:rPr>
                <w:rFonts w:ascii="Calibri"/>
                <w:spacing w:val="-2"/>
                <w:sz w:val="18"/>
              </w:rPr>
              <w:t xml:space="preserve"> </w:t>
            </w:r>
            <w:r>
              <w:rPr>
                <w:rFonts w:ascii="Calibri"/>
                <w:spacing w:val="-1"/>
                <w:sz w:val="18"/>
              </w:rPr>
              <w:t>and explore</w:t>
            </w:r>
            <w:r>
              <w:rPr>
                <w:rFonts w:ascii="Calibri"/>
                <w:spacing w:val="-4"/>
                <w:sz w:val="18"/>
              </w:rPr>
              <w:t xml:space="preserve"> </w:t>
            </w:r>
            <w:r>
              <w:rPr>
                <w:rFonts w:ascii="Calibri"/>
                <w:spacing w:val="-1"/>
                <w:sz w:val="18"/>
              </w:rPr>
              <w:t>offering</w:t>
            </w:r>
            <w:r>
              <w:rPr>
                <w:rFonts w:ascii="Calibri"/>
                <w:spacing w:val="-2"/>
                <w:sz w:val="18"/>
              </w:rPr>
              <w:t xml:space="preserve"> </w:t>
            </w:r>
            <w:r>
              <w:rPr>
                <w:rFonts w:ascii="Calibri"/>
                <w:sz w:val="18"/>
              </w:rPr>
              <w:t>a</w:t>
            </w:r>
            <w:r>
              <w:rPr>
                <w:rFonts w:ascii="Calibri"/>
                <w:spacing w:val="-2"/>
                <w:sz w:val="18"/>
              </w:rPr>
              <w:t xml:space="preserve"> </w:t>
            </w:r>
            <w:r>
              <w:rPr>
                <w:rFonts w:ascii="Calibri"/>
                <w:spacing w:val="-1"/>
                <w:sz w:val="18"/>
              </w:rPr>
              <w:t>rebate</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furnace filters</w:t>
            </w:r>
            <w:r>
              <w:rPr>
                <w:rFonts w:ascii="Calibri"/>
                <w:spacing w:val="65"/>
                <w:sz w:val="18"/>
              </w:rPr>
              <w:t xml:space="preserve"> </w:t>
            </w:r>
            <w:r>
              <w:rPr>
                <w:rFonts w:ascii="Calibri"/>
                <w:spacing w:val="-1"/>
                <w:sz w:val="18"/>
              </w:rPr>
              <w:t>instead</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will</w:t>
            </w:r>
            <w:r>
              <w:rPr>
                <w:rFonts w:ascii="Calibri"/>
                <w:spacing w:val="-4"/>
                <w:sz w:val="18"/>
              </w:rPr>
              <w:t xml:space="preserve"> </w:t>
            </w:r>
            <w:r>
              <w:rPr>
                <w:rFonts w:ascii="Calibri"/>
                <w:spacing w:val="-1"/>
                <w:sz w:val="18"/>
              </w:rPr>
              <w:t>likely</w:t>
            </w:r>
            <w:r>
              <w:rPr>
                <w:rFonts w:ascii="Calibri"/>
                <w:spacing w:val="-3"/>
                <w:sz w:val="18"/>
              </w:rPr>
              <w:t xml:space="preserve"> </w:t>
            </w:r>
            <w:r>
              <w:rPr>
                <w:rFonts w:ascii="Calibri"/>
                <w:sz w:val="18"/>
              </w:rPr>
              <w:t>be</w:t>
            </w:r>
            <w:r>
              <w:rPr>
                <w:rFonts w:ascii="Calibri"/>
                <w:spacing w:val="-3"/>
                <w:sz w:val="18"/>
              </w:rPr>
              <w:t xml:space="preserve"> </w:t>
            </w:r>
            <w:r>
              <w:rPr>
                <w:rFonts w:ascii="Calibri"/>
                <w:spacing w:val="-1"/>
                <w:sz w:val="18"/>
              </w:rPr>
              <w:t>implemented.</w:t>
            </w:r>
          </w:p>
        </w:tc>
      </w:tr>
      <w:tr w:rsidR="00E646C9" w:rsidTr="00C3558F">
        <w:trPr>
          <w:trHeight w:hRule="exact" w:val="895"/>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160"/>
              <w:rPr>
                <w:rFonts w:ascii="Calibri" w:eastAsia="Calibri" w:hAnsi="Calibri" w:cs="Calibri"/>
                <w:sz w:val="18"/>
                <w:szCs w:val="18"/>
              </w:rPr>
            </w:pPr>
            <w:r>
              <w:rPr>
                <w:rFonts w:ascii="Calibri"/>
                <w:spacing w:val="-1"/>
                <w:sz w:val="18"/>
              </w:rPr>
              <w:t>Monitor</w:t>
            </w:r>
            <w:r>
              <w:rPr>
                <w:rFonts w:ascii="Calibri"/>
                <w:spacing w:val="-2"/>
                <w:sz w:val="18"/>
              </w:rPr>
              <w:t xml:space="preserve"> </w:t>
            </w:r>
            <w:r>
              <w:rPr>
                <w:rFonts w:ascii="Calibri"/>
                <w:spacing w:val="-1"/>
                <w:sz w:val="18"/>
              </w:rPr>
              <w:t>progress</w:t>
            </w:r>
            <w:r>
              <w:rPr>
                <w:rFonts w:ascii="Calibri"/>
                <w:spacing w:val="-3"/>
                <w:sz w:val="18"/>
              </w:rPr>
              <w:t xml:space="preserve"> </w:t>
            </w:r>
            <w:r>
              <w:rPr>
                <w:rFonts w:ascii="Calibri"/>
                <w:spacing w:val="-1"/>
                <w:sz w:val="18"/>
              </w:rPr>
              <w:t xml:space="preserve">and identify </w:t>
            </w:r>
            <w:r>
              <w:rPr>
                <w:rFonts w:ascii="Calibri"/>
                <w:sz w:val="18"/>
              </w:rPr>
              <w:t>any</w:t>
            </w:r>
            <w:r>
              <w:rPr>
                <w:rFonts w:ascii="Calibri"/>
                <w:spacing w:val="-2"/>
                <w:sz w:val="18"/>
              </w:rPr>
              <w:t xml:space="preserve"> </w:t>
            </w:r>
            <w:r>
              <w:rPr>
                <w:rFonts w:ascii="Calibri"/>
                <w:spacing w:val="-1"/>
                <w:sz w:val="18"/>
              </w:rPr>
              <w:t>early</w:t>
            </w:r>
            <w:r>
              <w:rPr>
                <w:rFonts w:ascii="Calibri"/>
                <w:spacing w:val="-2"/>
                <w:sz w:val="18"/>
              </w:rPr>
              <w:t xml:space="preserve"> </w:t>
            </w:r>
            <w:r>
              <w:rPr>
                <w:rFonts w:ascii="Calibri"/>
                <w:spacing w:val="-1"/>
                <w:sz w:val="18"/>
              </w:rPr>
              <w:t>issues</w:t>
            </w:r>
            <w:r>
              <w:rPr>
                <w:rFonts w:ascii="Calibri"/>
                <w:spacing w:val="-2"/>
                <w:sz w:val="18"/>
              </w:rPr>
              <w:t xml:space="preserve"> </w:t>
            </w:r>
            <w:r>
              <w:rPr>
                <w:rFonts w:ascii="Calibri"/>
                <w:sz w:val="18"/>
              </w:rPr>
              <w:t>with</w:t>
            </w:r>
            <w:r>
              <w:rPr>
                <w:rFonts w:ascii="Calibri"/>
                <w:spacing w:val="-3"/>
                <w:sz w:val="18"/>
              </w:rPr>
              <w:t xml:space="preserve"> </w:t>
            </w:r>
            <w:r>
              <w:rPr>
                <w:rFonts w:ascii="Calibri"/>
                <w:sz w:val="18"/>
              </w:rPr>
              <w:t>the</w:t>
            </w:r>
            <w:r>
              <w:rPr>
                <w:rFonts w:ascii="Calibri"/>
                <w:spacing w:val="-2"/>
                <w:sz w:val="18"/>
              </w:rPr>
              <w:t xml:space="preserve"> </w:t>
            </w:r>
            <w:r>
              <w:rPr>
                <w:rFonts w:ascii="Calibri"/>
                <w:sz w:val="18"/>
              </w:rPr>
              <w:t>two-</w:t>
            </w:r>
            <w:r>
              <w:rPr>
                <w:rFonts w:ascii="Calibri"/>
                <w:spacing w:val="55"/>
                <w:sz w:val="18"/>
              </w:rPr>
              <w:t xml:space="preserve"> </w:t>
            </w:r>
            <w:r>
              <w:rPr>
                <w:rFonts w:ascii="Calibri"/>
                <w:spacing w:val="-1"/>
                <w:sz w:val="18"/>
              </w:rPr>
              <w:t>kit</w:t>
            </w:r>
            <w:r>
              <w:rPr>
                <w:rFonts w:ascii="Calibri"/>
                <w:spacing w:val="-3"/>
                <w:sz w:val="18"/>
              </w:rPr>
              <w:t xml:space="preserve"> </w:t>
            </w:r>
            <w:r>
              <w:rPr>
                <w:rFonts w:ascii="Calibri"/>
                <w:spacing w:val="-1"/>
                <w:sz w:val="18"/>
              </w:rPr>
              <w:t>delivery</w:t>
            </w:r>
            <w:r>
              <w:rPr>
                <w:rFonts w:ascii="Calibri"/>
                <w:spacing w:val="-3"/>
                <w:sz w:val="18"/>
              </w:rPr>
              <w:t xml:space="preserve"> </w:t>
            </w:r>
            <w:r>
              <w:rPr>
                <w:rFonts w:ascii="Calibri"/>
                <w:spacing w:val="-1"/>
                <w:sz w:val="18"/>
              </w:rPr>
              <w:t>system;</w:t>
            </w:r>
            <w:r>
              <w:rPr>
                <w:rFonts w:ascii="Calibri"/>
                <w:spacing w:val="-3"/>
                <w:sz w:val="18"/>
              </w:rPr>
              <w:t xml:space="preserve"> </w:t>
            </w:r>
            <w:r>
              <w:rPr>
                <w:rFonts w:ascii="Calibri"/>
                <w:sz w:val="18"/>
              </w:rPr>
              <w:t>Add</w:t>
            </w:r>
            <w:r>
              <w:rPr>
                <w:rFonts w:ascii="Calibri"/>
                <w:spacing w:val="-4"/>
                <w:sz w:val="18"/>
              </w:rPr>
              <w:t xml:space="preserve"> </w:t>
            </w:r>
            <w:r>
              <w:rPr>
                <w:rFonts w:ascii="Calibri"/>
                <w:sz w:val="18"/>
              </w:rPr>
              <w:t>questions</w:t>
            </w:r>
            <w:r>
              <w:rPr>
                <w:rFonts w:ascii="Calibri"/>
                <w:spacing w:val="-3"/>
                <w:sz w:val="18"/>
              </w:rPr>
              <w:t xml:space="preserve"> </w:t>
            </w:r>
            <w:r>
              <w:rPr>
                <w:rFonts w:ascii="Calibri"/>
                <w:sz w:val="18"/>
              </w:rPr>
              <w:t>to</w:t>
            </w:r>
            <w:r>
              <w:rPr>
                <w:rFonts w:ascii="Calibri"/>
                <w:spacing w:val="-3"/>
                <w:sz w:val="18"/>
              </w:rPr>
              <w:t xml:space="preserve"> </w:t>
            </w:r>
            <w:r>
              <w:rPr>
                <w:rFonts w:ascii="Calibri"/>
                <w:spacing w:val="-1"/>
                <w:sz w:val="18"/>
              </w:rPr>
              <w:t>the</w:t>
            </w:r>
            <w:r>
              <w:rPr>
                <w:rFonts w:ascii="Calibri"/>
                <w:spacing w:val="-4"/>
                <w:sz w:val="18"/>
              </w:rPr>
              <w:t xml:space="preserve"> </w:t>
            </w:r>
            <w:r>
              <w:rPr>
                <w:rFonts w:ascii="Calibri"/>
                <w:sz w:val="18"/>
              </w:rPr>
              <w:t>agency</w:t>
            </w:r>
            <w:r>
              <w:rPr>
                <w:rFonts w:ascii="Calibri"/>
                <w:spacing w:val="-3"/>
                <w:sz w:val="18"/>
              </w:rPr>
              <w:t xml:space="preserve"> </w:t>
            </w:r>
            <w:r>
              <w:rPr>
                <w:rFonts w:ascii="Calibri"/>
                <w:spacing w:val="-1"/>
                <w:sz w:val="18"/>
              </w:rPr>
              <w:t>interviews</w:t>
            </w:r>
            <w:r>
              <w:rPr>
                <w:rFonts w:ascii="Calibri"/>
                <w:spacing w:val="39"/>
                <w:sz w:val="18"/>
              </w:rPr>
              <w:t xml:space="preserve"> </w:t>
            </w:r>
            <w:r>
              <w:rPr>
                <w:rFonts w:ascii="Calibri"/>
                <w:sz w:val="18"/>
              </w:rPr>
              <w:t>as</w:t>
            </w:r>
            <w:r>
              <w:rPr>
                <w:rFonts w:ascii="Calibri"/>
                <w:spacing w:val="-3"/>
                <w:sz w:val="18"/>
              </w:rPr>
              <w:t xml:space="preserve"> </w:t>
            </w:r>
            <w:r>
              <w:rPr>
                <w:rFonts w:ascii="Calibri"/>
                <w:sz w:val="18"/>
              </w:rPr>
              <w:t>a</w:t>
            </w:r>
            <w:r>
              <w:rPr>
                <w:rFonts w:ascii="Calibri"/>
                <w:spacing w:val="-1"/>
                <w:sz w:val="18"/>
              </w:rPr>
              <w:t xml:space="preserve"> part </w:t>
            </w:r>
            <w:r>
              <w:rPr>
                <w:rFonts w:ascii="Calibri"/>
                <w:sz w:val="18"/>
              </w:rPr>
              <w:t>of</w:t>
            </w:r>
            <w:r>
              <w:rPr>
                <w:rFonts w:ascii="Calibri"/>
                <w:spacing w:val="-3"/>
                <w:sz w:val="18"/>
              </w:rPr>
              <w:t xml:space="preserve"> </w:t>
            </w:r>
            <w:r>
              <w:rPr>
                <w:rFonts w:ascii="Calibri"/>
                <w:spacing w:val="-1"/>
                <w:sz w:val="18"/>
              </w:rPr>
              <w:t>the</w:t>
            </w:r>
            <w:r>
              <w:rPr>
                <w:rFonts w:ascii="Calibri"/>
                <w:spacing w:val="-2"/>
                <w:sz w:val="18"/>
              </w:rPr>
              <w:t xml:space="preserve"> </w:t>
            </w:r>
            <w:r>
              <w:rPr>
                <w:rFonts w:ascii="Calibri"/>
                <w:sz w:val="18"/>
              </w:rPr>
              <w:t>PY8</w:t>
            </w:r>
            <w:r>
              <w:rPr>
                <w:rFonts w:ascii="Calibri"/>
                <w:spacing w:val="-1"/>
                <w:sz w:val="18"/>
              </w:rPr>
              <w:t xml:space="preserve"> evaluation</w:t>
            </w:r>
            <w:r>
              <w:rPr>
                <w:rFonts w:ascii="Calibri"/>
                <w:spacing w:val="-2"/>
                <w:sz w:val="18"/>
              </w:rPr>
              <w:t xml:space="preserve"> </w:t>
            </w:r>
            <w:r>
              <w:rPr>
                <w:rFonts w:ascii="Calibri"/>
                <w:sz w:val="18"/>
              </w:rPr>
              <w:t>to</w:t>
            </w:r>
            <w:r>
              <w:rPr>
                <w:rFonts w:ascii="Calibri"/>
                <w:spacing w:val="1"/>
                <w:sz w:val="18"/>
              </w:rPr>
              <w:t xml:space="preserve"> </w:t>
            </w:r>
            <w:r>
              <w:rPr>
                <w:rFonts w:ascii="Calibri"/>
                <w:spacing w:val="-1"/>
                <w:sz w:val="18"/>
              </w:rPr>
              <w:t>gather feedback from</w:t>
            </w:r>
            <w:r>
              <w:rPr>
                <w:rFonts w:ascii="Calibri"/>
                <w:spacing w:val="37"/>
                <w:w w:val="99"/>
                <w:sz w:val="18"/>
              </w:rPr>
              <w:t xml:space="preserve"> </w:t>
            </w:r>
            <w:r>
              <w:rPr>
                <w:rFonts w:ascii="Calibri"/>
                <w:spacing w:val="-1"/>
                <w:sz w:val="18"/>
              </w:rPr>
              <w:t>agencies.</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Implemented.</w:t>
            </w:r>
          </w:p>
        </w:tc>
      </w:tr>
      <w:tr w:rsidR="00E646C9" w:rsidTr="00C3558F">
        <w:trPr>
          <w:trHeight w:hRule="exact" w:val="677"/>
        </w:trPr>
        <w:tc>
          <w:tcPr>
            <w:tcW w:w="4680" w:type="dxa"/>
            <w:tcBorders>
              <w:top w:val="single" w:sz="7" w:space="0" w:color="448999"/>
              <w:left w:val="single" w:sz="8" w:space="0" w:color="448999"/>
              <w:bottom w:val="single" w:sz="8" w:space="0" w:color="448999"/>
              <w:right w:val="single" w:sz="7" w:space="0" w:color="448999"/>
            </w:tcBorders>
          </w:tcPr>
          <w:p w:rsidR="00E646C9" w:rsidRDefault="00E646C9" w:rsidP="00C94D5A">
            <w:pPr>
              <w:pStyle w:val="TableParagraph"/>
              <w:ind w:left="97" w:right="268"/>
              <w:rPr>
                <w:rFonts w:ascii="Calibri" w:eastAsia="Calibri" w:hAnsi="Calibri" w:cs="Calibri"/>
                <w:sz w:val="18"/>
                <w:szCs w:val="18"/>
              </w:rPr>
            </w:pPr>
            <w:r>
              <w:rPr>
                <w:rFonts w:ascii="Calibri"/>
                <w:spacing w:val="-1"/>
                <w:sz w:val="18"/>
              </w:rPr>
              <w:t>Ensure</w:t>
            </w:r>
            <w:r>
              <w:rPr>
                <w:rFonts w:ascii="Calibri"/>
                <w:spacing w:val="-5"/>
                <w:sz w:val="18"/>
              </w:rPr>
              <w:t xml:space="preserve"> </w:t>
            </w:r>
            <w:r>
              <w:rPr>
                <w:rFonts w:ascii="Calibri"/>
                <w:sz w:val="18"/>
              </w:rPr>
              <w:t>that</w:t>
            </w:r>
            <w:r>
              <w:rPr>
                <w:rFonts w:ascii="Calibri"/>
                <w:spacing w:val="-2"/>
                <w:sz w:val="18"/>
              </w:rPr>
              <w:t xml:space="preserve"> </w:t>
            </w:r>
            <w:r>
              <w:rPr>
                <w:rFonts w:ascii="Calibri"/>
                <w:sz w:val="18"/>
              </w:rPr>
              <w:t>the</w:t>
            </w:r>
            <w:r>
              <w:rPr>
                <w:rFonts w:ascii="Calibri"/>
                <w:spacing w:val="-4"/>
                <w:sz w:val="18"/>
              </w:rPr>
              <w:t xml:space="preserve"> </w:t>
            </w:r>
            <w:r>
              <w:rPr>
                <w:rFonts w:ascii="Calibri"/>
                <w:spacing w:val="-1"/>
                <w:sz w:val="18"/>
              </w:rPr>
              <w:t>program</w:t>
            </w:r>
            <w:r>
              <w:rPr>
                <w:rFonts w:ascii="Calibri"/>
                <w:spacing w:val="-3"/>
                <w:sz w:val="18"/>
              </w:rPr>
              <w:t xml:space="preserve"> </w:t>
            </w:r>
            <w:r>
              <w:rPr>
                <w:rFonts w:ascii="Calibri"/>
                <w:sz w:val="18"/>
              </w:rPr>
              <w:t>provides</w:t>
            </w:r>
            <w:r>
              <w:rPr>
                <w:rFonts w:ascii="Calibri"/>
                <w:spacing w:val="-3"/>
                <w:sz w:val="18"/>
              </w:rPr>
              <w:t xml:space="preserve"> </w:t>
            </w:r>
            <w:r>
              <w:rPr>
                <w:rFonts w:ascii="Calibri"/>
                <w:spacing w:val="-1"/>
                <w:sz w:val="18"/>
              </w:rPr>
              <w:t>sufficient</w:t>
            </w:r>
            <w:r>
              <w:rPr>
                <w:rFonts w:ascii="Calibri"/>
                <w:spacing w:val="-3"/>
                <w:sz w:val="18"/>
              </w:rPr>
              <w:t xml:space="preserve"> </w:t>
            </w:r>
            <w:r>
              <w:rPr>
                <w:rFonts w:ascii="Calibri"/>
                <w:spacing w:val="-1"/>
                <w:sz w:val="18"/>
              </w:rPr>
              <w:t>training</w:t>
            </w:r>
            <w:r>
              <w:rPr>
                <w:rFonts w:ascii="Calibri"/>
                <w:spacing w:val="-3"/>
                <w:sz w:val="18"/>
              </w:rPr>
              <w:t xml:space="preserve"> </w:t>
            </w:r>
            <w:r>
              <w:rPr>
                <w:rFonts w:ascii="Calibri"/>
                <w:spacing w:val="-1"/>
                <w:sz w:val="18"/>
              </w:rPr>
              <w:t>and</w:t>
            </w:r>
            <w:r>
              <w:rPr>
                <w:rFonts w:ascii="Calibri"/>
                <w:spacing w:val="49"/>
                <w:sz w:val="18"/>
              </w:rPr>
              <w:t xml:space="preserve"> </w:t>
            </w:r>
            <w:r>
              <w:rPr>
                <w:rFonts w:ascii="Calibri"/>
                <w:spacing w:val="-1"/>
                <w:sz w:val="18"/>
              </w:rPr>
              <w:t>materials</w:t>
            </w:r>
            <w:r>
              <w:rPr>
                <w:rFonts w:ascii="Calibri"/>
                <w:spacing w:val="-6"/>
                <w:sz w:val="18"/>
              </w:rPr>
              <w:t xml:space="preserve"> </w:t>
            </w:r>
            <w:r>
              <w:rPr>
                <w:rFonts w:ascii="Calibri"/>
                <w:sz w:val="18"/>
              </w:rPr>
              <w:t>geared</w:t>
            </w:r>
            <w:r>
              <w:rPr>
                <w:rFonts w:ascii="Calibri"/>
                <w:spacing w:val="-4"/>
                <w:sz w:val="18"/>
              </w:rPr>
              <w:t xml:space="preserve"> </w:t>
            </w:r>
            <w:r>
              <w:rPr>
                <w:rFonts w:ascii="Calibri"/>
                <w:sz w:val="18"/>
              </w:rPr>
              <w:t>toward</w:t>
            </w:r>
            <w:r>
              <w:rPr>
                <w:rFonts w:ascii="Calibri"/>
                <w:spacing w:val="-6"/>
                <w:sz w:val="18"/>
              </w:rPr>
              <w:t xml:space="preserve"> </w:t>
            </w:r>
            <w:r>
              <w:rPr>
                <w:rFonts w:ascii="Calibri"/>
                <w:spacing w:val="-1"/>
                <w:sz w:val="18"/>
              </w:rPr>
              <w:t>one-on-one</w:t>
            </w:r>
            <w:r>
              <w:rPr>
                <w:rFonts w:ascii="Calibri"/>
                <w:spacing w:val="-4"/>
                <w:sz w:val="18"/>
              </w:rPr>
              <w:t xml:space="preserve"> </w:t>
            </w:r>
            <w:r>
              <w:rPr>
                <w:rFonts w:ascii="Calibri"/>
                <w:spacing w:val="-1"/>
                <w:sz w:val="18"/>
              </w:rPr>
              <w:t>interactions</w:t>
            </w:r>
            <w:r>
              <w:rPr>
                <w:rFonts w:ascii="Calibri"/>
                <w:spacing w:val="-5"/>
                <w:sz w:val="18"/>
              </w:rPr>
              <w:t xml:space="preserve"> </w:t>
            </w:r>
            <w:r>
              <w:rPr>
                <w:rFonts w:ascii="Calibri"/>
                <w:spacing w:val="-1"/>
                <w:sz w:val="18"/>
              </w:rPr>
              <w:t>between</w:t>
            </w:r>
            <w:r>
              <w:rPr>
                <w:rFonts w:ascii="Calibri"/>
                <w:spacing w:val="65"/>
                <w:sz w:val="18"/>
              </w:rPr>
              <w:t xml:space="preserve"> </w:t>
            </w:r>
            <w:r>
              <w:rPr>
                <w:rFonts w:ascii="Calibri"/>
                <w:spacing w:val="-1"/>
                <w:sz w:val="18"/>
              </w:rPr>
              <w:t>clients</w:t>
            </w:r>
            <w:r>
              <w:rPr>
                <w:rFonts w:ascii="Calibri"/>
                <w:spacing w:val="-5"/>
                <w:sz w:val="18"/>
              </w:rPr>
              <w:t xml:space="preserve"> </w:t>
            </w:r>
            <w:r>
              <w:rPr>
                <w:rFonts w:ascii="Calibri"/>
                <w:sz w:val="18"/>
              </w:rPr>
              <w:t>and</w:t>
            </w:r>
            <w:r>
              <w:rPr>
                <w:rFonts w:ascii="Calibri"/>
                <w:spacing w:val="-4"/>
                <w:sz w:val="18"/>
              </w:rPr>
              <w:t xml:space="preserve"> </w:t>
            </w:r>
            <w:r>
              <w:rPr>
                <w:rFonts w:ascii="Calibri"/>
                <w:spacing w:val="-1"/>
                <w:sz w:val="18"/>
              </w:rPr>
              <w:t>agencies.</w:t>
            </w:r>
          </w:p>
        </w:tc>
        <w:tc>
          <w:tcPr>
            <w:tcW w:w="4681" w:type="dxa"/>
            <w:tcBorders>
              <w:top w:val="single" w:sz="7" w:space="0" w:color="448999"/>
              <w:left w:val="single" w:sz="7" w:space="0" w:color="448999"/>
              <w:bottom w:val="single" w:sz="8"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will</w:t>
            </w:r>
            <w:r>
              <w:rPr>
                <w:rFonts w:ascii="Calibri"/>
                <w:spacing w:val="-4"/>
                <w:sz w:val="18"/>
              </w:rPr>
              <w:t xml:space="preserve"> </w:t>
            </w:r>
            <w:r>
              <w:rPr>
                <w:rFonts w:ascii="Calibri"/>
                <w:spacing w:val="-1"/>
                <w:sz w:val="18"/>
              </w:rPr>
              <w:t>likely</w:t>
            </w:r>
            <w:r>
              <w:rPr>
                <w:rFonts w:ascii="Calibri"/>
                <w:spacing w:val="-3"/>
                <w:sz w:val="18"/>
              </w:rPr>
              <w:t xml:space="preserve"> </w:t>
            </w:r>
            <w:r>
              <w:rPr>
                <w:rFonts w:ascii="Calibri"/>
                <w:sz w:val="18"/>
              </w:rPr>
              <w:t>be</w:t>
            </w:r>
            <w:r>
              <w:rPr>
                <w:rFonts w:ascii="Calibri"/>
                <w:spacing w:val="-3"/>
                <w:sz w:val="18"/>
              </w:rPr>
              <w:t xml:space="preserve"> </w:t>
            </w:r>
            <w:r>
              <w:rPr>
                <w:rFonts w:ascii="Calibri"/>
                <w:spacing w:val="-1"/>
                <w:sz w:val="18"/>
              </w:rPr>
              <w:t>implemented.</w:t>
            </w:r>
          </w:p>
        </w:tc>
      </w:tr>
    </w:tbl>
    <w:p w:rsidR="00E646C9" w:rsidRDefault="00E646C9" w:rsidP="00E646C9"/>
    <w:p w:rsidR="00E646C9" w:rsidRDefault="00E646C9" w:rsidP="00E646C9"/>
    <w:p w:rsidR="00E646C9" w:rsidRPr="00130312" w:rsidRDefault="00E646C9" w:rsidP="00C3558F">
      <w:pPr>
        <w:pStyle w:val="AppendixGHeading2"/>
      </w:pPr>
      <w:r w:rsidRPr="00130312">
        <w:t>Wise</w:t>
      </w:r>
      <w:r>
        <w:t xml:space="preserve"> Home Pilot</w:t>
      </w:r>
      <w:r w:rsidRPr="00130312">
        <w:t xml:space="preserve"> Program</w:t>
      </w:r>
    </w:p>
    <w:tbl>
      <w:tblPr>
        <w:tblW w:w="9362" w:type="dxa"/>
        <w:tblLayout w:type="fixed"/>
        <w:tblCellMar>
          <w:left w:w="0" w:type="dxa"/>
          <w:right w:w="0" w:type="dxa"/>
        </w:tblCellMar>
        <w:tblLook w:val="01E0" w:firstRow="1" w:lastRow="1" w:firstColumn="1" w:lastColumn="1" w:noHBand="0" w:noVBand="0"/>
      </w:tblPr>
      <w:tblGrid>
        <w:gridCol w:w="4834"/>
        <w:gridCol w:w="4528"/>
      </w:tblGrid>
      <w:tr w:rsidR="00E646C9" w:rsidTr="00C3558F">
        <w:trPr>
          <w:trHeight w:hRule="exact" w:val="679"/>
        </w:trPr>
        <w:tc>
          <w:tcPr>
            <w:tcW w:w="9362" w:type="dxa"/>
            <w:gridSpan w:val="2"/>
            <w:tcBorders>
              <w:top w:val="single" w:sz="8" w:space="0" w:color="448999"/>
              <w:left w:val="single" w:sz="8" w:space="0" w:color="448999"/>
              <w:bottom w:val="nil"/>
              <w:right w:val="single" w:sz="8" w:space="0" w:color="448999"/>
            </w:tcBorders>
            <w:shd w:val="clear" w:color="auto" w:fill="448999"/>
          </w:tcPr>
          <w:p w:rsidR="00E646C9" w:rsidRPr="00C3558F" w:rsidRDefault="00E646C9" w:rsidP="00FB3B18">
            <w:pPr>
              <w:pStyle w:val="TableParagraph"/>
              <w:tabs>
                <w:tab w:val="left" w:pos="5325"/>
              </w:tabs>
              <w:ind w:left="5872" w:right="495" w:hanging="5706"/>
              <w:rPr>
                <w:rFonts w:ascii="Calibri" w:eastAsia="Calibri" w:hAnsi="Calibri" w:cs="Calibri"/>
                <w:sz w:val="18"/>
                <w:szCs w:val="18"/>
              </w:rPr>
            </w:pPr>
            <w:r>
              <w:rPr>
                <w:rFonts w:ascii="Calibri"/>
                <w:b/>
                <w:color w:val="FFFFFF"/>
                <w:spacing w:val="-1"/>
                <w:w w:val="95"/>
                <w:sz w:val="18"/>
              </w:rPr>
              <w:t>Recommendations</w:t>
            </w:r>
            <w:r>
              <w:rPr>
                <w:rFonts w:ascii="Calibri"/>
                <w:b/>
                <w:color w:val="FFFFFF"/>
                <w:spacing w:val="-1"/>
                <w:w w:val="95"/>
                <w:sz w:val="18"/>
              </w:rPr>
              <w:tab/>
            </w: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55"/>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line="218" w:lineRule="exact"/>
              <w:ind w:left="5728"/>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3"/>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3558F">
        <w:trPr>
          <w:trHeight w:hRule="exact" w:val="674"/>
        </w:trPr>
        <w:tc>
          <w:tcPr>
            <w:tcW w:w="4834"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149"/>
              <w:rPr>
                <w:rFonts w:ascii="Calibri" w:eastAsia="Calibri" w:hAnsi="Calibri" w:cs="Calibri"/>
                <w:sz w:val="18"/>
                <w:szCs w:val="18"/>
              </w:rPr>
            </w:pPr>
            <w:r>
              <w:rPr>
                <w:rFonts w:ascii="Calibri"/>
                <w:spacing w:val="-1"/>
                <w:sz w:val="18"/>
              </w:rPr>
              <w:t>Include</w:t>
            </w:r>
            <w:r>
              <w:rPr>
                <w:rFonts w:ascii="Calibri"/>
                <w:spacing w:val="-3"/>
                <w:sz w:val="18"/>
              </w:rPr>
              <w:t xml:space="preserve"> </w:t>
            </w:r>
            <w:r>
              <w:rPr>
                <w:rFonts w:ascii="Calibri"/>
                <w:spacing w:val="-1"/>
                <w:sz w:val="18"/>
              </w:rPr>
              <w:t>additional</w:t>
            </w:r>
            <w:r>
              <w:rPr>
                <w:rFonts w:ascii="Calibri"/>
                <w:spacing w:val="-2"/>
                <w:sz w:val="18"/>
              </w:rPr>
              <w:t xml:space="preserve"> </w:t>
            </w:r>
            <w:r>
              <w:rPr>
                <w:rFonts w:ascii="Calibri"/>
                <w:spacing w:val="-1"/>
                <w:sz w:val="18"/>
              </w:rPr>
              <w:t xml:space="preserve">low-cost screening step, </w:t>
            </w:r>
            <w:r>
              <w:rPr>
                <w:rFonts w:ascii="Calibri"/>
                <w:sz w:val="18"/>
              </w:rPr>
              <w:t>such</w:t>
            </w:r>
            <w:r>
              <w:rPr>
                <w:rFonts w:ascii="Calibri"/>
                <w:spacing w:val="-3"/>
                <w:sz w:val="18"/>
              </w:rPr>
              <w:t xml:space="preserve"> </w:t>
            </w:r>
            <w:r>
              <w:rPr>
                <w:rFonts w:ascii="Calibri"/>
                <w:sz w:val="18"/>
              </w:rPr>
              <w:t>as</w:t>
            </w:r>
            <w:r>
              <w:rPr>
                <w:rFonts w:ascii="Calibri"/>
                <w:spacing w:val="-1"/>
                <w:sz w:val="18"/>
              </w:rPr>
              <w:t xml:space="preserve"> </w:t>
            </w:r>
            <w:r>
              <w:rPr>
                <w:rFonts w:ascii="Calibri"/>
                <w:sz w:val="18"/>
              </w:rPr>
              <w:t>a</w:t>
            </w:r>
            <w:r>
              <w:rPr>
                <w:rFonts w:ascii="Calibri"/>
                <w:spacing w:val="-2"/>
                <w:sz w:val="18"/>
              </w:rPr>
              <w:t xml:space="preserve"> </w:t>
            </w:r>
            <w:r>
              <w:rPr>
                <w:rFonts w:ascii="Calibri"/>
                <w:spacing w:val="-1"/>
                <w:sz w:val="18"/>
              </w:rPr>
              <w:t>phone</w:t>
            </w:r>
            <w:r>
              <w:rPr>
                <w:rFonts w:ascii="Calibri"/>
                <w:spacing w:val="59"/>
                <w:w w:val="99"/>
                <w:sz w:val="18"/>
              </w:rPr>
              <w:t xml:space="preserve"> </w:t>
            </w:r>
            <w:r>
              <w:rPr>
                <w:rFonts w:ascii="Calibri"/>
                <w:spacing w:val="-1"/>
                <w:sz w:val="18"/>
              </w:rPr>
              <w:t>call,</w:t>
            </w:r>
            <w:r>
              <w:rPr>
                <w:rFonts w:ascii="Calibri"/>
                <w:spacing w:val="-4"/>
                <w:sz w:val="18"/>
              </w:rPr>
              <w:t xml:space="preserve"> </w:t>
            </w:r>
            <w:r>
              <w:rPr>
                <w:rFonts w:ascii="Calibri"/>
                <w:sz w:val="18"/>
              </w:rPr>
              <w:t>to</w:t>
            </w:r>
            <w:r>
              <w:rPr>
                <w:rFonts w:ascii="Calibri"/>
                <w:spacing w:val="-3"/>
                <w:sz w:val="18"/>
              </w:rPr>
              <w:t xml:space="preserve"> </w:t>
            </w:r>
            <w:r>
              <w:rPr>
                <w:rFonts w:ascii="Calibri"/>
                <w:spacing w:val="-1"/>
                <w:sz w:val="18"/>
              </w:rPr>
              <w:t>verify</w:t>
            </w:r>
            <w:r>
              <w:rPr>
                <w:rFonts w:ascii="Calibri"/>
                <w:spacing w:val="-3"/>
                <w:sz w:val="18"/>
              </w:rPr>
              <w:t xml:space="preserve"> </w:t>
            </w:r>
            <w:r>
              <w:rPr>
                <w:rFonts w:ascii="Calibri"/>
                <w:spacing w:val="-1"/>
                <w:sz w:val="18"/>
              </w:rPr>
              <w:t>self-reported</w:t>
            </w:r>
            <w:r>
              <w:rPr>
                <w:rFonts w:ascii="Calibri"/>
                <w:spacing w:val="-5"/>
                <w:sz w:val="18"/>
              </w:rPr>
              <w:t xml:space="preserve"> </w:t>
            </w:r>
            <w:r>
              <w:rPr>
                <w:rFonts w:ascii="Calibri"/>
                <w:sz w:val="18"/>
              </w:rPr>
              <w:t>customer</w:t>
            </w:r>
            <w:r>
              <w:rPr>
                <w:rFonts w:ascii="Calibri"/>
                <w:spacing w:val="-3"/>
                <w:sz w:val="18"/>
              </w:rPr>
              <w:t xml:space="preserve"> </w:t>
            </w:r>
            <w:r>
              <w:rPr>
                <w:rFonts w:ascii="Calibri"/>
                <w:spacing w:val="-1"/>
                <w:sz w:val="18"/>
              </w:rPr>
              <w:t>information,</w:t>
            </w:r>
            <w:r>
              <w:rPr>
                <w:rFonts w:ascii="Calibri"/>
                <w:spacing w:val="-3"/>
                <w:sz w:val="18"/>
              </w:rPr>
              <w:t xml:space="preserve"> </w:t>
            </w:r>
            <w:r>
              <w:rPr>
                <w:rFonts w:ascii="Calibri"/>
                <w:spacing w:val="-1"/>
                <w:sz w:val="18"/>
              </w:rPr>
              <w:t>e.g.,</w:t>
            </w:r>
            <w:r>
              <w:rPr>
                <w:rFonts w:ascii="Calibri"/>
                <w:spacing w:val="-4"/>
                <w:sz w:val="18"/>
              </w:rPr>
              <w:t xml:space="preserve"> </w:t>
            </w:r>
            <w:r>
              <w:rPr>
                <w:rFonts w:ascii="Calibri"/>
                <w:spacing w:val="-1"/>
                <w:sz w:val="18"/>
              </w:rPr>
              <w:t>heating</w:t>
            </w:r>
            <w:r>
              <w:rPr>
                <w:rFonts w:ascii="Calibri"/>
                <w:spacing w:val="57"/>
                <w:w w:val="99"/>
                <w:sz w:val="18"/>
              </w:rPr>
              <w:t xml:space="preserve"> </w:t>
            </w:r>
            <w:r>
              <w:rPr>
                <w:rFonts w:ascii="Calibri"/>
                <w:spacing w:val="-1"/>
                <w:sz w:val="18"/>
              </w:rPr>
              <w:t>and</w:t>
            </w:r>
            <w:r>
              <w:rPr>
                <w:rFonts w:ascii="Calibri"/>
                <w:spacing w:val="-3"/>
                <w:sz w:val="18"/>
              </w:rPr>
              <w:t xml:space="preserve"> </w:t>
            </w:r>
            <w:r>
              <w:rPr>
                <w:rFonts w:ascii="Calibri"/>
                <w:spacing w:val="-1"/>
                <w:sz w:val="18"/>
              </w:rPr>
              <w:t>cooling</w:t>
            </w:r>
            <w:r>
              <w:rPr>
                <w:rFonts w:ascii="Calibri"/>
                <w:spacing w:val="-2"/>
                <w:sz w:val="18"/>
              </w:rPr>
              <w:t xml:space="preserve"> </w:t>
            </w:r>
            <w:r>
              <w:rPr>
                <w:rFonts w:ascii="Calibri"/>
                <w:spacing w:val="-1"/>
                <w:sz w:val="18"/>
              </w:rPr>
              <w:t>equipment</w:t>
            </w:r>
            <w:r>
              <w:rPr>
                <w:rFonts w:ascii="Calibri"/>
                <w:spacing w:val="-2"/>
                <w:sz w:val="18"/>
              </w:rPr>
              <w:t xml:space="preserve"> </w:t>
            </w:r>
            <w:r>
              <w:rPr>
                <w:rFonts w:ascii="Calibri"/>
                <w:sz w:val="18"/>
              </w:rPr>
              <w:t>and</w:t>
            </w:r>
            <w:r>
              <w:rPr>
                <w:rFonts w:ascii="Calibri"/>
                <w:spacing w:val="-2"/>
                <w:sz w:val="18"/>
              </w:rPr>
              <w:t xml:space="preserve"> </w:t>
            </w:r>
            <w:r>
              <w:rPr>
                <w:rFonts w:ascii="Calibri"/>
                <w:spacing w:val="-1"/>
                <w:sz w:val="18"/>
              </w:rPr>
              <w:t>fuel</w:t>
            </w:r>
            <w:r>
              <w:rPr>
                <w:rFonts w:ascii="Calibri"/>
                <w:spacing w:val="-2"/>
                <w:sz w:val="18"/>
              </w:rPr>
              <w:t xml:space="preserve"> </w:t>
            </w:r>
            <w:r>
              <w:rPr>
                <w:rFonts w:ascii="Calibri"/>
                <w:sz w:val="18"/>
              </w:rPr>
              <w:t>type.</w:t>
            </w:r>
          </w:p>
        </w:tc>
        <w:tc>
          <w:tcPr>
            <w:tcW w:w="4528"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7"/>
              <w:rPr>
                <w:rFonts w:ascii="Calibri" w:eastAsia="Calibri" w:hAnsi="Calibri" w:cs="Calibri"/>
                <w:sz w:val="18"/>
                <w:szCs w:val="18"/>
              </w:rPr>
            </w:pPr>
            <w:r>
              <w:rPr>
                <w:rFonts w:ascii="Calibri"/>
                <w:spacing w:val="-1"/>
                <w:sz w:val="18"/>
              </w:rPr>
              <w:t>Being</w:t>
            </w:r>
            <w:r>
              <w:rPr>
                <w:rFonts w:ascii="Calibri"/>
                <w:spacing w:val="-4"/>
                <w:sz w:val="18"/>
              </w:rPr>
              <w:t xml:space="preserve"> </w:t>
            </w:r>
            <w:r>
              <w:rPr>
                <w:rFonts w:ascii="Calibri"/>
                <w:spacing w:val="-1"/>
                <w:sz w:val="18"/>
              </w:rPr>
              <w:t>considered</w:t>
            </w:r>
            <w:r>
              <w:rPr>
                <w:rFonts w:ascii="Calibri"/>
                <w:spacing w:val="-4"/>
                <w:sz w:val="18"/>
              </w:rPr>
              <w:t xml:space="preserve"> </w:t>
            </w:r>
            <w:r>
              <w:rPr>
                <w:rFonts w:ascii="Calibri"/>
                <w:sz w:val="18"/>
              </w:rPr>
              <w:t>and</w:t>
            </w:r>
            <w:r>
              <w:rPr>
                <w:rFonts w:ascii="Calibri"/>
                <w:spacing w:val="-3"/>
                <w:sz w:val="18"/>
              </w:rPr>
              <w:t xml:space="preserve"> </w:t>
            </w:r>
            <w:r>
              <w:rPr>
                <w:rFonts w:ascii="Calibri"/>
                <w:spacing w:val="-1"/>
                <w:sz w:val="18"/>
              </w:rPr>
              <w:t>will</w:t>
            </w:r>
            <w:r>
              <w:rPr>
                <w:rFonts w:ascii="Calibri"/>
                <w:spacing w:val="-4"/>
                <w:sz w:val="18"/>
              </w:rPr>
              <w:t xml:space="preserve"> </w:t>
            </w:r>
            <w:r>
              <w:rPr>
                <w:rFonts w:ascii="Calibri"/>
                <w:spacing w:val="-1"/>
                <w:sz w:val="18"/>
              </w:rPr>
              <w:t>likely</w:t>
            </w:r>
            <w:r>
              <w:rPr>
                <w:rFonts w:ascii="Calibri"/>
                <w:spacing w:val="-3"/>
                <w:sz w:val="18"/>
              </w:rPr>
              <w:t xml:space="preserve"> </w:t>
            </w:r>
            <w:r>
              <w:rPr>
                <w:rFonts w:ascii="Calibri"/>
                <w:sz w:val="18"/>
              </w:rPr>
              <w:t>be</w:t>
            </w:r>
            <w:r>
              <w:rPr>
                <w:rFonts w:ascii="Calibri"/>
                <w:spacing w:val="-3"/>
                <w:sz w:val="18"/>
              </w:rPr>
              <w:t xml:space="preserve"> </w:t>
            </w:r>
            <w:r>
              <w:rPr>
                <w:rFonts w:ascii="Calibri"/>
                <w:spacing w:val="-1"/>
                <w:sz w:val="18"/>
              </w:rPr>
              <w:t>implemented.</w:t>
            </w:r>
          </w:p>
        </w:tc>
      </w:tr>
      <w:tr w:rsidR="00E646C9" w:rsidTr="00C3558F">
        <w:trPr>
          <w:trHeight w:hRule="exact" w:val="454"/>
        </w:trPr>
        <w:tc>
          <w:tcPr>
            <w:tcW w:w="4834"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133"/>
              <w:rPr>
                <w:rFonts w:ascii="Calibri" w:eastAsia="Calibri" w:hAnsi="Calibri" w:cs="Calibri"/>
                <w:sz w:val="18"/>
                <w:szCs w:val="18"/>
              </w:rPr>
            </w:pPr>
            <w:r>
              <w:rPr>
                <w:rFonts w:ascii="Calibri" w:eastAsia="Calibri" w:hAnsi="Calibri" w:cs="Calibri"/>
                <w:spacing w:val="-1"/>
                <w:sz w:val="18"/>
                <w:szCs w:val="18"/>
              </w:rPr>
              <w:t>Include information</w:t>
            </w:r>
            <w:r>
              <w:rPr>
                <w:rFonts w:ascii="Calibri" w:eastAsia="Calibri" w:hAnsi="Calibri" w:cs="Calibri"/>
                <w:spacing w:val="-2"/>
                <w:sz w:val="18"/>
                <w:szCs w:val="18"/>
              </w:rPr>
              <w:t xml:space="preserve"> </w:t>
            </w:r>
            <w:r>
              <w:rPr>
                <w:rFonts w:ascii="Calibri" w:eastAsia="Calibri" w:hAnsi="Calibri" w:cs="Calibri"/>
                <w:spacing w:val="-1"/>
                <w:sz w:val="18"/>
                <w:szCs w:val="18"/>
              </w:rPr>
              <w:t xml:space="preserve">about </w:t>
            </w:r>
            <w:r>
              <w:rPr>
                <w:rFonts w:ascii="Calibri" w:eastAsia="Calibri" w:hAnsi="Calibri" w:cs="Calibri"/>
                <w:sz w:val="18"/>
                <w:szCs w:val="18"/>
              </w:rPr>
              <w:t>low-income</w:t>
            </w:r>
            <w:r>
              <w:rPr>
                <w:rFonts w:ascii="Calibri" w:eastAsia="Calibri" w:hAnsi="Calibri" w:cs="Calibri"/>
                <w:spacing w:val="-3"/>
                <w:sz w:val="18"/>
                <w:szCs w:val="18"/>
              </w:rPr>
              <w:t xml:space="preserve"> </w:t>
            </w:r>
            <w:r>
              <w:rPr>
                <w:rFonts w:ascii="Calibri" w:eastAsia="Calibri" w:hAnsi="Calibri" w:cs="Calibri"/>
                <w:spacing w:val="-1"/>
                <w:sz w:val="18"/>
                <w:szCs w:val="18"/>
              </w:rPr>
              <w:t>programs</w:t>
            </w:r>
            <w:r>
              <w:rPr>
                <w:rFonts w:ascii="Calibri" w:eastAsia="Calibri" w:hAnsi="Calibri" w:cs="Calibri"/>
                <w:spacing w:val="-2"/>
                <w:sz w:val="18"/>
                <w:szCs w:val="18"/>
              </w:rPr>
              <w:t xml:space="preserve"> </w:t>
            </w:r>
            <w:r>
              <w:rPr>
                <w:rFonts w:ascii="Calibri" w:eastAsia="Calibri" w:hAnsi="Calibri" w:cs="Calibri"/>
                <w:sz w:val="18"/>
                <w:szCs w:val="18"/>
              </w:rPr>
              <w:t>in</w:t>
            </w:r>
            <w:r>
              <w:rPr>
                <w:rFonts w:ascii="Calibri" w:eastAsia="Calibri" w:hAnsi="Calibri" w:cs="Calibri"/>
                <w:spacing w:val="-3"/>
                <w:sz w:val="18"/>
                <w:szCs w:val="18"/>
              </w:rPr>
              <w:t xml:space="preserve"> </w:t>
            </w:r>
            <w:r>
              <w:rPr>
                <w:rFonts w:ascii="Calibri" w:eastAsia="Calibri" w:hAnsi="Calibri" w:cs="Calibri"/>
                <w:spacing w:val="-1"/>
                <w:sz w:val="18"/>
                <w:szCs w:val="18"/>
              </w:rPr>
              <w:t>customers’</w:t>
            </w:r>
            <w:r>
              <w:rPr>
                <w:rFonts w:ascii="Calibri" w:eastAsia="Calibri" w:hAnsi="Calibri" w:cs="Calibri"/>
                <w:spacing w:val="55"/>
                <w:sz w:val="18"/>
                <w:szCs w:val="18"/>
              </w:rPr>
              <w:t xml:space="preserve"> </w:t>
            </w:r>
            <w:r>
              <w:rPr>
                <w:rFonts w:ascii="Calibri" w:eastAsia="Calibri" w:hAnsi="Calibri" w:cs="Calibri"/>
                <w:spacing w:val="-1"/>
                <w:sz w:val="18"/>
                <w:szCs w:val="18"/>
              </w:rPr>
              <w:t>monthly</w:t>
            </w:r>
            <w:r>
              <w:rPr>
                <w:rFonts w:ascii="Calibri" w:eastAsia="Calibri" w:hAnsi="Calibri" w:cs="Calibri"/>
                <w:spacing w:val="-3"/>
                <w:sz w:val="18"/>
                <w:szCs w:val="18"/>
              </w:rPr>
              <w:t xml:space="preserve"> </w:t>
            </w:r>
            <w:r>
              <w:rPr>
                <w:rFonts w:ascii="Calibri" w:eastAsia="Calibri" w:hAnsi="Calibri" w:cs="Calibri"/>
                <w:spacing w:val="-1"/>
                <w:sz w:val="18"/>
                <w:szCs w:val="18"/>
              </w:rPr>
              <w:t>energy</w:t>
            </w:r>
            <w:r>
              <w:rPr>
                <w:rFonts w:ascii="Calibri" w:eastAsia="Calibri" w:hAnsi="Calibri" w:cs="Calibri"/>
                <w:spacing w:val="-2"/>
                <w:sz w:val="18"/>
                <w:szCs w:val="18"/>
              </w:rPr>
              <w:t xml:space="preserve"> </w:t>
            </w:r>
            <w:r>
              <w:rPr>
                <w:rFonts w:ascii="Calibri" w:eastAsia="Calibri" w:hAnsi="Calibri" w:cs="Calibri"/>
                <w:spacing w:val="-1"/>
                <w:sz w:val="18"/>
                <w:szCs w:val="18"/>
              </w:rPr>
              <w:t>bills.</w:t>
            </w:r>
          </w:p>
        </w:tc>
        <w:tc>
          <w:tcPr>
            <w:tcW w:w="4528"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ind w:left="97" w:right="423"/>
              <w:rPr>
                <w:rFonts w:ascii="Calibri" w:eastAsia="Calibri" w:hAnsi="Calibri" w:cs="Calibri"/>
                <w:sz w:val="18"/>
                <w:szCs w:val="18"/>
              </w:rPr>
            </w:pPr>
            <w:r>
              <w:rPr>
                <w:rFonts w:ascii="Calibri"/>
                <w:spacing w:val="-1"/>
                <w:sz w:val="18"/>
              </w:rPr>
              <w:t>Will</w:t>
            </w:r>
            <w:r>
              <w:rPr>
                <w:rFonts w:ascii="Calibri"/>
                <w:spacing w:val="-4"/>
                <w:sz w:val="18"/>
              </w:rPr>
              <w:t xml:space="preserve"> </w:t>
            </w:r>
            <w:r>
              <w:rPr>
                <w:rFonts w:ascii="Calibri"/>
                <w:spacing w:val="-1"/>
                <w:sz w:val="18"/>
              </w:rPr>
              <w:t>be</w:t>
            </w:r>
            <w:r>
              <w:rPr>
                <w:rFonts w:ascii="Calibri"/>
                <w:spacing w:val="-3"/>
                <w:sz w:val="18"/>
              </w:rPr>
              <w:t xml:space="preserve"> </w:t>
            </w:r>
            <w:r>
              <w:rPr>
                <w:rFonts w:ascii="Calibri"/>
                <w:sz w:val="18"/>
              </w:rPr>
              <w:t>implemented</w:t>
            </w:r>
            <w:r>
              <w:rPr>
                <w:rFonts w:ascii="Calibri"/>
                <w:spacing w:val="-3"/>
                <w:sz w:val="18"/>
              </w:rPr>
              <w:t xml:space="preserve"> </w:t>
            </w:r>
            <w:r>
              <w:rPr>
                <w:rFonts w:ascii="Calibri"/>
                <w:sz w:val="18"/>
              </w:rPr>
              <w:t>as</w:t>
            </w:r>
            <w:r>
              <w:rPr>
                <w:rFonts w:ascii="Calibri"/>
                <w:spacing w:val="-2"/>
                <w:sz w:val="18"/>
              </w:rPr>
              <w:t xml:space="preserve"> </w:t>
            </w:r>
            <w:r>
              <w:rPr>
                <w:rFonts w:ascii="Calibri"/>
                <w:spacing w:val="-1"/>
                <w:sz w:val="18"/>
              </w:rPr>
              <w:t>part</w:t>
            </w:r>
            <w:r>
              <w:rPr>
                <w:rFonts w:ascii="Calibri"/>
                <w:spacing w:val="-3"/>
                <w:sz w:val="18"/>
              </w:rPr>
              <w:t xml:space="preserve"> </w:t>
            </w:r>
            <w:r>
              <w:rPr>
                <w:rFonts w:ascii="Calibri"/>
                <w:sz w:val="18"/>
              </w:rPr>
              <w:t>of</w:t>
            </w:r>
            <w:r>
              <w:rPr>
                <w:rFonts w:ascii="Calibri"/>
                <w:spacing w:val="-3"/>
                <w:sz w:val="18"/>
              </w:rPr>
              <w:t xml:space="preserve"> </w:t>
            </w:r>
            <w:r>
              <w:rPr>
                <w:rFonts w:ascii="Calibri"/>
                <w:sz w:val="18"/>
              </w:rPr>
              <w:t>the</w:t>
            </w:r>
            <w:r>
              <w:rPr>
                <w:rFonts w:ascii="Calibri"/>
                <w:spacing w:val="-4"/>
                <w:sz w:val="18"/>
              </w:rPr>
              <w:t xml:space="preserve"> </w:t>
            </w:r>
            <w:r>
              <w:rPr>
                <w:rFonts w:ascii="Calibri"/>
                <w:spacing w:val="-1"/>
                <w:sz w:val="18"/>
              </w:rPr>
              <w:t>Phase</w:t>
            </w:r>
            <w:r>
              <w:rPr>
                <w:rFonts w:ascii="Calibri"/>
                <w:spacing w:val="-3"/>
                <w:sz w:val="18"/>
              </w:rPr>
              <w:t xml:space="preserve"> </w:t>
            </w:r>
            <w:r>
              <w:rPr>
                <w:rFonts w:ascii="Calibri"/>
                <w:sz w:val="18"/>
              </w:rPr>
              <w:t>III</w:t>
            </w:r>
            <w:r>
              <w:rPr>
                <w:rFonts w:ascii="Calibri"/>
                <w:spacing w:val="-1"/>
                <w:sz w:val="18"/>
              </w:rPr>
              <w:t xml:space="preserve"> marketing</w:t>
            </w:r>
            <w:r>
              <w:rPr>
                <w:rFonts w:ascii="Calibri"/>
                <w:spacing w:val="39"/>
                <w:w w:val="99"/>
                <w:sz w:val="18"/>
              </w:rPr>
              <w:t xml:space="preserve"> </w:t>
            </w:r>
            <w:r>
              <w:rPr>
                <w:rFonts w:ascii="Calibri"/>
                <w:spacing w:val="-1"/>
                <w:sz w:val="18"/>
              </w:rPr>
              <w:t>strategy.</w:t>
            </w:r>
          </w:p>
        </w:tc>
      </w:tr>
      <w:tr w:rsidR="00E646C9" w:rsidTr="00C3558F">
        <w:trPr>
          <w:trHeight w:hRule="exact" w:val="454"/>
        </w:trPr>
        <w:tc>
          <w:tcPr>
            <w:tcW w:w="4834"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534"/>
              <w:rPr>
                <w:rFonts w:ascii="Calibri" w:eastAsia="Calibri" w:hAnsi="Calibri" w:cs="Calibri"/>
                <w:sz w:val="18"/>
                <w:szCs w:val="18"/>
              </w:rPr>
            </w:pPr>
            <w:r>
              <w:rPr>
                <w:rFonts w:ascii="Calibri"/>
                <w:spacing w:val="-1"/>
                <w:sz w:val="18"/>
              </w:rPr>
              <w:t>Provide</w:t>
            </w:r>
            <w:r>
              <w:rPr>
                <w:rFonts w:ascii="Calibri"/>
                <w:spacing w:val="-4"/>
                <w:sz w:val="18"/>
              </w:rPr>
              <w:t xml:space="preserve"> </w:t>
            </w:r>
            <w:r>
              <w:rPr>
                <w:rFonts w:ascii="Calibri"/>
                <w:sz w:val="18"/>
              </w:rPr>
              <w:t>more</w:t>
            </w:r>
            <w:r>
              <w:rPr>
                <w:rFonts w:ascii="Calibri"/>
                <w:spacing w:val="-5"/>
                <w:sz w:val="18"/>
              </w:rPr>
              <w:t xml:space="preserve"> </w:t>
            </w:r>
            <w:r>
              <w:rPr>
                <w:rFonts w:ascii="Calibri"/>
                <w:spacing w:val="-1"/>
                <w:sz w:val="18"/>
              </w:rPr>
              <w:t>clear</w:t>
            </w:r>
            <w:r>
              <w:rPr>
                <w:rFonts w:ascii="Calibri"/>
                <w:spacing w:val="-3"/>
                <w:sz w:val="18"/>
              </w:rPr>
              <w:t xml:space="preserve"> </w:t>
            </w:r>
            <w:r>
              <w:rPr>
                <w:rFonts w:ascii="Calibri"/>
                <w:spacing w:val="-1"/>
                <w:sz w:val="18"/>
              </w:rPr>
              <w:t>information</w:t>
            </w:r>
            <w:r>
              <w:rPr>
                <w:rFonts w:ascii="Calibri"/>
                <w:spacing w:val="-4"/>
                <w:sz w:val="18"/>
              </w:rPr>
              <w:t xml:space="preserve"> </w:t>
            </w:r>
            <w:r>
              <w:rPr>
                <w:rFonts w:ascii="Calibri"/>
                <w:spacing w:val="-1"/>
                <w:sz w:val="18"/>
              </w:rPr>
              <w:t>regarding</w:t>
            </w:r>
            <w:r>
              <w:rPr>
                <w:rFonts w:ascii="Calibri"/>
                <w:spacing w:val="-4"/>
                <w:sz w:val="18"/>
              </w:rPr>
              <w:t xml:space="preserve"> </w:t>
            </w:r>
            <w:r>
              <w:rPr>
                <w:rFonts w:ascii="Calibri"/>
                <w:sz w:val="18"/>
              </w:rPr>
              <w:t>the</w:t>
            </w:r>
            <w:r>
              <w:rPr>
                <w:rFonts w:ascii="Calibri"/>
                <w:spacing w:val="-4"/>
                <w:sz w:val="18"/>
              </w:rPr>
              <w:t xml:space="preserve"> </w:t>
            </w:r>
            <w:r>
              <w:rPr>
                <w:rFonts w:ascii="Calibri"/>
                <w:spacing w:val="-1"/>
                <w:sz w:val="18"/>
              </w:rPr>
              <w:t>conditional</w:t>
            </w:r>
            <w:r>
              <w:rPr>
                <w:rFonts w:ascii="Calibri"/>
                <w:spacing w:val="69"/>
                <w:sz w:val="18"/>
              </w:rPr>
              <w:t xml:space="preserve"> </w:t>
            </w:r>
            <w:r>
              <w:rPr>
                <w:rFonts w:ascii="Calibri"/>
                <w:spacing w:val="-1"/>
                <w:sz w:val="18"/>
              </w:rPr>
              <w:t>nature</w:t>
            </w:r>
            <w:r>
              <w:rPr>
                <w:rFonts w:ascii="Calibri"/>
                <w:spacing w:val="-4"/>
                <w:sz w:val="18"/>
              </w:rPr>
              <w:t xml:space="preserve"> </w:t>
            </w:r>
            <w:r>
              <w:rPr>
                <w:rFonts w:ascii="Calibri"/>
                <w:sz w:val="18"/>
              </w:rPr>
              <w:t>of</w:t>
            </w:r>
            <w:r>
              <w:rPr>
                <w:rFonts w:ascii="Calibri"/>
                <w:spacing w:val="-3"/>
                <w:sz w:val="18"/>
              </w:rPr>
              <w:t xml:space="preserve"> </w:t>
            </w:r>
            <w:r>
              <w:rPr>
                <w:rFonts w:ascii="Calibri"/>
                <w:spacing w:val="-1"/>
                <w:sz w:val="18"/>
              </w:rPr>
              <w:t>program</w:t>
            </w:r>
            <w:r>
              <w:rPr>
                <w:rFonts w:ascii="Calibri"/>
                <w:spacing w:val="-2"/>
                <w:sz w:val="18"/>
              </w:rPr>
              <w:t xml:space="preserve"> </w:t>
            </w:r>
            <w:r>
              <w:rPr>
                <w:rFonts w:ascii="Calibri"/>
                <w:sz w:val="18"/>
              </w:rPr>
              <w:t>and</w:t>
            </w:r>
            <w:r>
              <w:rPr>
                <w:rFonts w:ascii="Calibri"/>
                <w:spacing w:val="-3"/>
                <w:sz w:val="18"/>
              </w:rPr>
              <w:t xml:space="preserve"> </w:t>
            </w:r>
            <w:r>
              <w:rPr>
                <w:rFonts w:ascii="Calibri"/>
                <w:spacing w:val="-1"/>
                <w:sz w:val="18"/>
              </w:rPr>
              <w:t>pilot offerings.</w:t>
            </w:r>
          </w:p>
        </w:tc>
        <w:tc>
          <w:tcPr>
            <w:tcW w:w="4528"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7"/>
              <w:rPr>
                <w:rFonts w:ascii="Calibri" w:eastAsia="Calibri" w:hAnsi="Calibri" w:cs="Calibri"/>
                <w:sz w:val="18"/>
                <w:szCs w:val="18"/>
              </w:rPr>
            </w:pPr>
            <w:r>
              <w:rPr>
                <w:rFonts w:ascii="Calibri"/>
                <w:spacing w:val="-1"/>
                <w:sz w:val="18"/>
              </w:rPr>
              <w:t>Will</w:t>
            </w:r>
            <w:r>
              <w:rPr>
                <w:rFonts w:ascii="Calibri"/>
                <w:spacing w:val="-5"/>
                <w:sz w:val="18"/>
              </w:rPr>
              <w:t xml:space="preserve"> </w:t>
            </w:r>
            <w:r>
              <w:rPr>
                <w:rFonts w:ascii="Calibri"/>
                <w:spacing w:val="-1"/>
                <w:sz w:val="18"/>
              </w:rPr>
              <w:t>be</w:t>
            </w:r>
            <w:r>
              <w:rPr>
                <w:rFonts w:ascii="Calibri"/>
                <w:spacing w:val="-5"/>
                <w:sz w:val="18"/>
              </w:rPr>
              <w:t xml:space="preserve"> </w:t>
            </w:r>
            <w:r>
              <w:rPr>
                <w:rFonts w:ascii="Calibri"/>
                <w:sz w:val="18"/>
              </w:rPr>
              <w:t>implemented.</w:t>
            </w:r>
          </w:p>
        </w:tc>
      </w:tr>
      <w:tr w:rsidR="00E646C9" w:rsidTr="00C3558F">
        <w:trPr>
          <w:trHeight w:hRule="exact" w:val="458"/>
        </w:trPr>
        <w:tc>
          <w:tcPr>
            <w:tcW w:w="4834" w:type="dxa"/>
            <w:tcBorders>
              <w:top w:val="single" w:sz="7" w:space="0" w:color="448999"/>
              <w:left w:val="single" w:sz="8" w:space="0" w:color="448999"/>
              <w:bottom w:val="single" w:sz="8" w:space="0" w:color="448999"/>
              <w:right w:val="single" w:sz="7" w:space="0" w:color="448999"/>
            </w:tcBorders>
          </w:tcPr>
          <w:p w:rsidR="00E646C9" w:rsidRDefault="00E646C9" w:rsidP="00C94D5A">
            <w:pPr>
              <w:pStyle w:val="TableParagraph"/>
              <w:ind w:left="97" w:right="477"/>
              <w:rPr>
                <w:rFonts w:ascii="Calibri" w:eastAsia="Calibri" w:hAnsi="Calibri" w:cs="Calibri"/>
                <w:sz w:val="18"/>
                <w:szCs w:val="18"/>
              </w:rPr>
            </w:pPr>
            <w:r>
              <w:rPr>
                <w:rFonts w:ascii="Calibri"/>
                <w:spacing w:val="-1"/>
                <w:sz w:val="18"/>
              </w:rPr>
              <w:t>Train</w:t>
            </w:r>
            <w:r>
              <w:rPr>
                <w:rFonts w:ascii="Calibri"/>
                <w:spacing w:val="-4"/>
                <w:sz w:val="18"/>
              </w:rPr>
              <w:t xml:space="preserve"> </w:t>
            </w:r>
            <w:r>
              <w:rPr>
                <w:rFonts w:ascii="Calibri"/>
                <w:spacing w:val="-1"/>
                <w:sz w:val="18"/>
              </w:rPr>
              <w:t>technicians</w:t>
            </w:r>
            <w:r>
              <w:rPr>
                <w:rFonts w:ascii="Calibri"/>
                <w:spacing w:val="-3"/>
                <w:sz w:val="18"/>
              </w:rPr>
              <w:t xml:space="preserve"> </w:t>
            </w:r>
            <w:r>
              <w:rPr>
                <w:rFonts w:ascii="Calibri"/>
                <w:spacing w:val="-1"/>
                <w:sz w:val="18"/>
              </w:rPr>
              <w:t>about</w:t>
            </w:r>
            <w:r>
              <w:rPr>
                <w:rFonts w:ascii="Calibri"/>
                <w:spacing w:val="-2"/>
                <w:sz w:val="18"/>
              </w:rPr>
              <w:t xml:space="preserve"> </w:t>
            </w:r>
            <w:r>
              <w:rPr>
                <w:rFonts w:ascii="Calibri"/>
                <w:sz w:val="18"/>
              </w:rPr>
              <w:t>other</w:t>
            </w:r>
            <w:r>
              <w:rPr>
                <w:rFonts w:ascii="Calibri"/>
                <w:spacing w:val="-2"/>
                <w:sz w:val="18"/>
              </w:rPr>
              <w:t xml:space="preserve"> </w:t>
            </w:r>
            <w:r>
              <w:rPr>
                <w:rFonts w:ascii="Calibri"/>
                <w:spacing w:val="-1"/>
                <w:sz w:val="18"/>
              </w:rPr>
              <w:t>program</w:t>
            </w:r>
            <w:r>
              <w:rPr>
                <w:rFonts w:ascii="Calibri"/>
                <w:spacing w:val="-3"/>
                <w:sz w:val="18"/>
              </w:rPr>
              <w:t xml:space="preserve"> </w:t>
            </w:r>
            <w:r>
              <w:rPr>
                <w:rFonts w:ascii="Calibri"/>
                <w:spacing w:val="-1"/>
                <w:sz w:val="18"/>
              </w:rPr>
              <w:t>offerings</w:t>
            </w:r>
            <w:r>
              <w:rPr>
                <w:rFonts w:ascii="Calibri"/>
                <w:spacing w:val="-3"/>
                <w:sz w:val="18"/>
              </w:rPr>
              <w:t xml:space="preserve"> </w:t>
            </w:r>
            <w:r>
              <w:rPr>
                <w:rFonts w:ascii="Calibri"/>
                <w:sz w:val="18"/>
              </w:rPr>
              <w:t>to</w:t>
            </w:r>
            <w:r>
              <w:rPr>
                <w:rFonts w:ascii="Calibri"/>
                <w:spacing w:val="-2"/>
                <w:sz w:val="18"/>
              </w:rPr>
              <w:t xml:space="preserve"> </w:t>
            </w:r>
            <w:r>
              <w:rPr>
                <w:rFonts w:ascii="Calibri"/>
                <w:sz w:val="18"/>
              </w:rPr>
              <w:t>inform</w:t>
            </w:r>
            <w:r>
              <w:rPr>
                <w:rFonts w:ascii="Calibri"/>
                <w:spacing w:val="51"/>
                <w:w w:val="99"/>
                <w:sz w:val="18"/>
              </w:rPr>
              <w:t xml:space="preserve"> </w:t>
            </w:r>
            <w:r>
              <w:rPr>
                <w:rFonts w:ascii="Calibri"/>
                <w:spacing w:val="-1"/>
                <w:sz w:val="18"/>
              </w:rPr>
              <w:t>participants.</w:t>
            </w:r>
          </w:p>
        </w:tc>
        <w:tc>
          <w:tcPr>
            <w:tcW w:w="4528" w:type="dxa"/>
            <w:tcBorders>
              <w:top w:val="single" w:sz="7" w:space="0" w:color="448999"/>
              <w:left w:val="single" w:sz="7" w:space="0" w:color="448999"/>
              <w:bottom w:val="single" w:sz="8" w:space="0" w:color="448999"/>
              <w:right w:val="single" w:sz="8" w:space="0" w:color="448999"/>
            </w:tcBorders>
          </w:tcPr>
          <w:p w:rsidR="00E646C9" w:rsidRDefault="00E646C9" w:rsidP="00C94D5A">
            <w:pPr>
              <w:pStyle w:val="TableParagraph"/>
              <w:ind w:left="97"/>
              <w:rPr>
                <w:rFonts w:ascii="Calibri" w:eastAsia="Calibri" w:hAnsi="Calibri" w:cs="Calibri"/>
                <w:sz w:val="18"/>
                <w:szCs w:val="18"/>
              </w:rPr>
            </w:pPr>
            <w:r>
              <w:rPr>
                <w:rFonts w:ascii="Calibri"/>
                <w:spacing w:val="-1"/>
                <w:sz w:val="18"/>
              </w:rPr>
              <w:t>Will</w:t>
            </w:r>
            <w:r>
              <w:rPr>
                <w:rFonts w:ascii="Calibri"/>
                <w:spacing w:val="-5"/>
                <w:sz w:val="18"/>
              </w:rPr>
              <w:t xml:space="preserve"> </w:t>
            </w:r>
            <w:r>
              <w:rPr>
                <w:rFonts w:ascii="Calibri"/>
                <w:spacing w:val="-1"/>
                <w:sz w:val="18"/>
              </w:rPr>
              <w:t>be</w:t>
            </w:r>
            <w:r>
              <w:rPr>
                <w:rFonts w:ascii="Calibri"/>
                <w:spacing w:val="-5"/>
                <w:sz w:val="18"/>
              </w:rPr>
              <w:t xml:space="preserve"> </w:t>
            </w:r>
            <w:r>
              <w:rPr>
                <w:rFonts w:ascii="Calibri"/>
                <w:spacing w:val="-1"/>
                <w:sz w:val="18"/>
              </w:rPr>
              <w:t>implemented.</w:t>
            </w:r>
          </w:p>
        </w:tc>
      </w:tr>
    </w:tbl>
    <w:p w:rsidR="00E646C9" w:rsidRPr="00130312" w:rsidRDefault="00E646C9" w:rsidP="00E646C9"/>
    <w:p w:rsidR="00E646C9" w:rsidRPr="00130312" w:rsidRDefault="00E646C9" w:rsidP="00C3558F">
      <w:pPr>
        <w:pStyle w:val="AppendixGHeading2"/>
      </w:pPr>
      <w:r w:rsidRPr="00E45771">
        <w:t>Continuous Energy Improvement Program</w:t>
      </w:r>
    </w:p>
    <w:tbl>
      <w:tblPr>
        <w:tblW w:w="9361" w:type="dxa"/>
        <w:tblLayout w:type="fixed"/>
        <w:tblCellMar>
          <w:left w:w="0" w:type="dxa"/>
          <w:right w:w="0" w:type="dxa"/>
        </w:tblCellMar>
        <w:tblLook w:val="01E0" w:firstRow="1" w:lastRow="1" w:firstColumn="1" w:lastColumn="1" w:noHBand="0" w:noVBand="0"/>
      </w:tblPr>
      <w:tblGrid>
        <w:gridCol w:w="4680"/>
        <w:gridCol w:w="4681"/>
      </w:tblGrid>
      <w:tr w:rsidR="00E646C9" w:rsidTr="00FB3B18">
        <w:trPr>
          <w:trHeight w:hRule="exact" w:val="689"/>
        </w:trPr>
        <w:tc>
          <w:tcPr>
            <w:tcW w:w="4680" w:type="dxa"/>
            <w:tcBorders>
              <w:top w:val="single" w:sz="8" w:space="0" w:color="448999"/>
              <w:left w:val="single" w:sz="8" w:space="0" w:color="448999"/>
              <w:bottom w:val="single" w:sz="8" w:space="0" w:color="FFFFFF"/>
              <w:right w:val="nil"/>
            </w:tcBorders>
            <w:shd w:val="clear" w:color="auto" w:fill="448999"/>
          </w:tcPr>
          <w:p w:rsidR="00E646C9" w:rsidRDefault="00E646C9" w:rsidP="00FB3B18">
            <w:pPr>
              <w:pStyle w:val="TableParagraph"/>
              <w:spacing w:line="218" w:lineRule="exact"/>
              <w:ind w:left="76" w:right="12"/>
              <w:rPr>
                <w:rFonts w:ascii="Calibri" w:eastAsia="Calibri" w:hAnsi="Calibri" w:cs="Calibri"/>
                <w:sz w:val="18"/>
                <w:szCs w:val="18"/>
              </w:rPr>
            </w:pPr>
            <w:r>
              <w:rPr>
                <w:rFonts w:ascii="Calibri"/>
                <w:b/>
                <w:color w:val="FFFFFF"/>
                <w:spacing w:val="-1"/>
                <w:sz w:val="18"/>
              </w:rPr>
              <w:t>Recommendations</w:t>
            </w:r>
          </w:p>
        </w:tc>
        <w:tc>
          <w:tcPr>
            <w:tcW w:w="4681" w:type="dxa"/>
            <w:tcBorders>
              <w:top w:val="single" w:sz="8" w:space="0" w:color="448999"/>
              <w:left w:val="nil"/>
              <w:bottom w:val="nil"/>
              <w:right w:val="single" w:sz="8" w:space="0" w:color="448999"/>
            </w:tcBorders>
            <w:shd w:val="clear" w:color="auto" w:fill="448999"/>
          </w:tcPr>
          <w:p w:rsidR="00E646C9" w:rsidRPr="00C3558F" w:rsidRDefault="00E646C9" w:rsidP="00C94D5A">
            <w:pPr>
              <w:pStyle w:val="TableParagraph"/>
              <w:ind w:left="581" w:right="569"/>
              <w:jc w:val="center"/>
              <w:rPr>
                <w:rFonts w:ascii="Calibri" w:eastAsia="Calibri" w:hAnsi="Calibri" w:cs="Calibri"/>
                <w:sz w:val="18"/>
                <w:szCs w:val="18"/>
              </w:rPr>
            </w:pPr>
            <w:r>
              <w:rPr>
                <w:rFonts w:ascii="Calibri"/>
                <w:b/>
                <w:color w:val="FFFFFF"/>
                <w:spacing w:val="-1"/>
                <w:sz w:val="18"/>
              </w:rPr>
              <w:t>EDC</w:t>
            </w:r>
            <w:r>
              <w:rPr>
                <w:rFonts w:ascii="Calibri"/>
                <w:b/>
                <w:color w:val="FFFFFF"/>
                <w:spacing w:val="-5"/>
                <w:sz w:val="18"/>
              </w:rPr>
              <w:t xml:space="preserve"> </w:t>
            </w:r>
            <w:r>
              <w:rPr>
                <w:rFonts w:ascii="Calibri"/>
                <w:b/>
                <w:color w:val="FFFFFF"/>
                <w:spacing w:val="-1"/>
                <w:sz w:val="18"/>
              </w:rPr>
              <w:t>Status</w:t>
            </w:r>
            <w:r>
              <w:rPr>
                <w:rFonts w:ascii="Calibri"/>
                <w:b/>
                <w:color w:val="FFFFFF"/>
                <w:spacing w:val="-4"/>
                <w:sz w:val="18"/>
              </w:rPr>
              <w:t xml:space="preserve"> </w:t>
            </w:r>
            <w:r>
              <w:rPr>
                <w:rFonts w:ascii="Calibri"/>
                <w:b/>
                <w:color w:val="FFFFFF"/>
                <w:sz w:val="18"/>
              </w:rPr>
              <w:t>of</w:t>
            </w:r>
            <w:r>
              <w:rPr>
                <w:rFonts w:ascii="Calibri"/>
                <w:b/>
                <w:color w:val="FFFFFF"/>
                <w:spacing w:val="-6"/>
                <w:sz w:val="18"/>
              </w:rPr>
              <w:t xml:space="preserve"> </w:t>
            </w:r>
            <w:r>
              <w:rPr>
                <w:rFonts w:ascii="Calibri"/>
                <w:b/>
                <w:color w:val="FFFFFF"/>
                <w:spacing w:val="-1"/>
                <w:sz w:val="18"/>
              </w:rPr>
              <w:t>Recommendation</w:t>
            </w:r>
            <w:r>
              <w:rPr>
                <w:rFonts w:ascii="Calibri"/>
                <w:b/>
                <w:color w:val="FFFFFF"/>
                <w:spacing w:val="-3"/>
                <w:sz w:val="18"/>
              </w:rPr>
              <w:t xml:space="preserve"> </w:t>
            </w:r>
            <w:r w:rsidRPr="00C3558F">
              <w:rPr>
                <w:rFonts w:ascii="Calibri"/>
                <w:color w:val="FFFFFF"/>
                <w:spacing w:val="-1"/>
                <w:sz w:val="18"/>
              </w:rPr>
              <w:t>(Implemented,</w:t>
            </w:r>
            <w:r w:rsidRPr="00C3558F">
              <w:rPr>
                <w:rFonts w:ascii="Calibri"/>
                <w:color w:val="FFFFFF"/>
                <w:spacing w:val="43"/>
                <w:w w:val="99"/>
                <w:sz w:val="18"/>
              </w:rPr>
              <w:t xml:space="preserve"> </w:t>
            </w:r>
            <w:r w:rsidRPr="00C3558F">
              <w:rPr>
                <w:rFonts w:ascii="Calibri"/>
                <w:color w:val="FFFFFF"/>
                <w:spacing w:val="-1"/>
                <w:sz w:val="18"/>
              </w:rPr>
              <w:t>Being</w:t>
            </w:r>
            <w:r w:rsidRPr="00C3558F">
              <w:rPr>
                <w:rFonts w:ascii="Calibri"/>
                <w:color w:val="FFFFFF"/>
                <w:spacing w:val="-5"/>
                <w:sz w:val="18"/>
              </w:rPr>
              <w:t xml:space="preserve"> </w:t>
            </w:r>
            <w:r w:rsidRPr="00C3558F">
              <w:rPr>
                <w:rFonts w:ascii="Calibri"/>
                <w:color w:val="FFFFFF"/>
                <w:spacing w:val="-1"/>
                <w:sz w:val="18"/>
              </w:rPr>
              <w:t>Considered,</w:t>
            </w:r>
            <w:r w:rsidRPr="00C3558F">
              <w:rPr>
                <w:rFonts w:ascii="Calibri"/>
                <w:color w:val="FFFFFF"/>
                <w:spacing w:val="-5"/>
                <w:sz w:val="18"/>
              </w:rPr>
              <w:t xml:space="preserve"> </w:t>
            </w:r>
            <w:r w:rsidRPr="00C3558F">
              <w:rPr>
                <w:rFonts w:ascii="Calibri"/>
                <w:color w:val="FFFFFF"/>
                <w:spacing w:val="-1"/>
                <w:sz w:val="18"/>
              </w:rPr>
              <w:t>Rejected</w:t>
            </w:r>
            <w:r w:rsidRPr="00C3558F">
              <w:rPr>
                <w:rFonts w:ascii="Calibri"/>
                <w:color w:val="FFFFFF"/>
                <w:spacing w:val="-5"/>
                <w:sz w:val="18"/>
              </w:rPr>
              <w:t xml:space="preserve"> </w:t>
            </w:r>
            <w:r w:rsidRPr="00C3558F">
              <w:rPr>
                <w:rFonts w:ascii="Calibri"/>
                <w:color w:val="FFFFFF"/>
                <w:spacing w:val="-1"/>
                <w:sz w:val="18"/>
              </w:rPr>
              <w:t>AND</w:t>
            </w:r>
          </w:p>
          <w:p w:rsidR="00E646C9" w:rsidRDefault="00E646C9" w:rsidP="00C94D5A">
            <w:pPr>
              <w:pStyle w:val="TableParagraph"/>
              <w:spacing w:line="218" w:lineRule="exact"/>
              <w:ind w:left="9"/>
              <w:jc w:val="center"/>
              <w:rPr>
                <w:rFonts w:ascii="Calibri" w:eastAsia="Calibri" w:hAnsi="Calibri" w:cs="Calibri"/>
                <w:sz w:val="18"/>
                <w:szCs w:val="18"/>
              </w:rPr>
            </w:pPr>
            <w:r w:rsidRPr="00C3558F">
              <w:rPr>
                <w:rFonts w:ascii="Calibri"/>
                <w:color w:val="FFFFFF"/>
                <w:spacing w:val="-1"/>
                <w:sz w:val="18"/>
              </w:rPr>
              <w:t>Explanation</w:t>
            </w:r>
            <w:r w:rsidRPr="00C3558F">
              <w:rPr>
                <w:rFonts w:ascii="Calibri"/>
                <w:color w:val="FFFFFF"/>
                <w:spacing w:val="-6"/>
                <w:sz w:val="18"/>
              </w:rPr>
              <w:t xml:space="preserve"> </w:t>
            </w:r>
            <w:r w:rsidRPr="00C3558F">
              <w:rPr>
                <w:rFonts w:ascii="Calibri"/>
                <w:color w:val="FFFFFF"/>
                <w:spacing w:val="-1"/>
                <w:sz w:val="18"/>
              </w:rPr>
              <w:t>of</w:t>
            </w:r>
            <w:r w:rsidRPr="00C3558F">
              <w:rPr>
                <w:rFonts w:ascii="Calibri"/>
                <w:color w:val="FFFFFF"/>
                <w:spacing w:val="-4"/>
                <w:sz w:val="18"/>
              </w:rPr>
              <w:t xml:space="preserve"> </w:t>
            </w:r>
            <w:r w:rsidRPr="00C3558F">
              <w:rPr>
                <w:rFonts w:ascii="Calibri"/>
                <w:color w:val="FFFFFF"/>
                <w:sz w:val="18"/>
              </w:rPr>
              <w:t>Action</w:t>
            </w:r>
            <w:r w:rsidRPr="00C3558F">
              <w:rPr>
                <w:rFonts w:ascii="Calibri"/>
                <w:color w:val="FFFFFF"/>
                <w:spacing w:val="-5"/>
                <w:sz w:val="18"/>
              </w:rPr>
              <w:t xml:space="preserve"> </w:t>
            </w:r>
            <w:r w:rsidRPr="00C3558F">
              <w:rPr>
                <w:rFonts w:ascii="Calibri"/>
                <w:color w:val="FFFFFF"/>
                <w:spacing w:val="-1"/>
                <w:sz w:val="18"/>
              </w:rPr>
              <w:t>Taken</w:t>
            </w:r>
            <w:r w:rsidRPr="00C3558F">
              <w:rPr>
                <w:rFonts w:ascii="Calibri"/>
                <w:color w:val="FFFFFF"/>
                <w:spacing w:val="-4"/>
                <w:sz w:val="18"/>
              </w:rPr>
              <w:t xml:space="preserve"> </w:t>
            </w:r>
            <w:r w:rsidRPr="00C3558F">
              <w:rPr>
                <w:rFonts w:ascii="Calibri"/>
                <w:color w:val="FFFFFF"/>
                <w:spacing w:val="-1"/>
                <w:sz w:val="18"/>
              </w:rPr>
              <w:t>by</w:t>
            </w:r>
            <w:r w:rsidRPr="00C3558F">
              <w:rPr>
                <w:rFonts w:ascii="Calibri"/>
                <w:color w:val="FFFFFF"/>
                <w:spacing w:val="-4"/>
                <w:sz w:val="18"/>
              </w:rPr>
              <w:t xml:space="preserve"> </w:t>
            </w:r>
            <w:r w:rsidRPr="00C3558F">
              <w:rPr>
                <w:rFonts w:ascii="Calibri"/>
                <w:color w:val="FFFFFF"/>
                <w:spacing w:val="-1"/>
                <w:sz w:val="18"/>
              </w:rPr>
              <w:t>EDC)</w:t>
            </w:r>
          </w:p>
        </w:tc>
      </w:tr>
      <w:tr w:rsidR="00E646C9" w:rsidTr="00C94D5A">
        <w:trPr>
          <w:trHeight w:hRule="exact" w:val="456"/>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665"/>
              <w:rPr>
                <w:rFonts w:ascii="Calibri" w:eastAsia="Calibri" w:hAnsi="Calibri" w:cs="Calibri"/>
                <w:sz w:val="18"/>
                <w:szCs w:val="18"/>
              </w:rPr>
            </w:pPr>
            <w:r>
              <w:rPr>
                <w:rFonts w:ascii="Calibri"/>
                <w:spacing w:val="-1"/>
                <w:sz w:val="18"/>
              </w:rPr>
              <w:t>Consider</w:t>
            </w:r>
            <w:r>
              <w:rPr>
                <w:rFonts w:ascii="Calibri"/>
                <w:spacing w:val="-2"/>
                <w:sz w:val="18"/>
              </w:rPr>
              <w:t xml:space="preserve"> </w:t>
            </w:r>
            <w:r>
              <w:rPr>
                <w:rFonts w:ascii="Calibri"/>
                <w:spacing w:val="-1"/>
                <w:sz w:val="18"/>
              </w:rPr>
              <w:t>maintaining</w:t>
            </w:r>
            <w:r>
              <w:rPr>
                <w:rFonts w:ascii="Calibri"/>
                <w:spacing w:val="-2"/>
                <w:sz w:val="18"/>
              </w:rPr>
              <w:t xml:space="preserve"> </w:t>
            </w:r>
            <w:r>
              <w:rPr>
                <w:rFonts w:ascii="Calibri"/>
                <w:sz w:val="18"/>
              </w:rPr>
              <w:t>the</w:t>
            </w:r>
            <w:r>
              <w:rPr>
                <w:rFonts w:ascii="Calibri"/>
                <w:spacing w:val="-1"/>
                <w:sz w:val="18"/>
              </w:rPr>
              <w:t xml:space="preserve"> same baseline</w:t>
            </w:r>
            <w:r>
              <w:rPr>
                <w:rFonts w:ascii="Calibri"/>
                <w:spacing w:val="-3"/>
                <w:sz w:val="18"/>
              </w:rPr>
              <w:t xml:space="preserve"> </w:t>
            </w:r>
            <w:r>
              <w:rPr>
                <w:rFonts w:ascii="Calibri"/>
                <w:spacing w:val="-1"/>
                <w:sz w:val="18"/>
              </w:rPr>
              <w:t>period</w:t>
            </w:r>
            <w:r>
              <w:rPr>
                <w:rFonts w:ascii="Calibri"/>
                <w:spacing w:val="-2"/>
                <w:sz w:val="18"/>
              </w:rPr>
              <w:t xml:space="preserve"> </w:t>
            </w:r>
            <w:r>
              <w:rPr>
                <w:rFonts w:ascii="Calibri"/>
                <w:sz w:val="18"/>
              </w:rPr>
              <w:t>for</w:t>
            </w:r>
            <w:r>
              <w:rPr>
                <w:rFonts w:ascii="Calibri"/>
                <w:spacing w:val="-2"/>
                <w:sz w:val="18"/>
              </w:rPr>
              <w:t xml:space="preserve"> </w:t>
            </w:r>
            <w:r>
              <w:rPr>
                <w:rFonts w:ascii="Calibri"/>
                <w:spacing w:val="-1"/>
                <w:sz w:val="18"/>
              </w:rPr>
              <w:t>all</w:t>
            </w:r>
            <w:r>
              <w:rPr>
                <w:rFonts w:ascii="Calibri"/>
                <w:spacing w:val="59"/>
                <w:sz w:val="18"/>
              </w:rPr>
              <w:t xml:space="preserve"> </w:t>
            </w:r>
            <w:r>
              <w:rPr>
                <w:rFonts w:ascii="Calibri"/>
                <w:spacing w:val="-1"/>
                <w:sz w:val="18"/>
              </w:rPr>
              <w:t>schools.</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C94D5A">
        <w:trPr>
          <w:trHeight w:hRule="exact" w:val="302"/>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spacing w:before="31"/>
              <w:ind w:left="97"/>
              <w:rPr>
                <w:rFonts w:ascii="Calibri" w:eastAsia="Calibri" w:hAnsi="Calibri" w:cs="Calibri"/>
                <w:sz w:val="18"/>
                <w:szCs w:val="18"/>
              </w:rPr>
            </w:pPr>
            <w:r>
              <w:rPr>
                <w:rFonts w:ascii="Calibri"/>
                <w:spacing w:val="-1"/>
                <w:sz w:val="18"/>
              </w:rPr>
              <w:t>Consider</w:t>
            </w:r>
            <w:r>
              <w:rPr>
                <w:rFonts w:ascii="Calibri"/>
                <w:sz w:val="18"/>
              </w:rPr>
              <w:t xml:space="preserve"> </w:t>
            </w:r>
            <w:r>
              <w:rPr>
                <w:rFonts w:ascii="Calibri"/>
                <w:spacing w:val="-1"/>
                <w:sz w:val="18"/>
              </w:rPr>
              <w:t>using</w:t>
            </w:r>
            <w:r>
              <w:rPr>
                <w:rFonts w:ascii="Calibri"/>
                <w:spacing w:val="-2"/>
                <w:sz w:val="18"/>
              </w:rPr>
              <w:t xml:space="preserve"> </w:t>
            </w:r>
            <w:r>
              <w:rPr>
                <w:rFonts w:ascii="Calibri"/>
                <w:sz w:val="18"/>
              </w:rPr>
              <w:t>at</w:t>
            </w:r>
            <w:r>
              <w:rPr>
                <w:rFonts w:ascii="Calibri"/>
                <w:spacing w:val="-1"/>
                <w:sz w:val="18"/>
              </w:rPr>
              <w:t xml:space="preserve"> least</w:t>
            </w:r>
            <w:r>
              <w:rPr>
                <w:rFonts w:ascii="Calibri"/>
                <w:spacing w:val="-2"/>
                <w:sz w:val="18"/>
              </w:rPr>
              <w:t xml:space="preserve"> </w:t>
            </w:r>
            <w:r>
              <w:rPr>
                <w:rFonts w:ascii="Calibri"/>
                <w:sz w:val="18"/>
              </w:rPr>
              <w:t>12</w:t>
            </w:r>
            <w:r>
              <w:rPr>
                <w:rFonts w:ascii="Calibri"/>
                <w:spacing w:val="-1"/>
                <w:sz w:val="18"/>
              </w:rPr>
              <w:t xml:space="preserve"> </w:t>
            </w:r>
            <w:r>
              <w:rPr>
                <w:rFonts w:ascii="Calibri"/>
                <w:sz w:val="18"/>
              </w:rPr>
              <w:t>months</w:t>
            </w:r>
            <w:r>
              <w:rPr>
                <w:rFonts w:ascii="Calibri"/>
                <w:spacing w:val="-2"/>
                <w:sz w:val="18"/>
              </w:rPr>
              <w:t xml:space="preserve"> </w:t>
            </w:r>
            <w:r>
              <w:rPr>
                <w:rFonts w:ascii="Calibri"/>
                <w:sz w:val="18"/>
              </w:rPr>
              <w:t>for</w:t>
            </w:r>
            <w:r>
              <w:rPr>
                <w:rFonts w:ascii="Calibri"/>
                <w:spacing w:val="-2"/>
                <w:sz w:val="18"/>
              </w:rPr>
              <w:t xml:space="preserve"> </w:t>
            </w:r>
            <w:r>
              <w:rPr>
                <w:rFonts w:ascii="Calibri"/>
                <w:spacing w:val="-1"/>
                <w:sz w:val="18"/>
              </w:rPr>
              <w:t>school</w:t>
            </w:r>
            <w:r>
              <w:rPr>
                <w:rFonts w:ascii="Calibri"/>
                <w:spacing w:val="-2"/>
                <w:sz w:val="18"/>
              </w:rPr>
              <w:t xml:space="preserve"> </w:t>
            </w:r>
            <w:r>
              <w:rPr>
                <w:rFonts w:ascii="Calibri"/>
                <w:spacing w:val="-1"/>
                <w:sz w:val="18"/>
              </w:rPr>
              <w:t>baselines.</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C94D5A">
        <w:trPr>
          <w:trHeight w:hRule="exact" w:val="674"/>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306"/>
              <w:rPr>
                <w:rFonts w:ascii="Calibri" w:eastAsia="Calibri" w:hAnsi="Calibri" w:cs="Calibri"/>
                <w:sz w:val="18"/>
                <w:szCs w:val="18"/>
              </w:rPr>
            </w:pPr>
            <w:r>
              <w:rPr>
                <w:rFonts w:ascii="Calibri"/>
                <w:spacing w:val="-1"/>
                <w:sz w:val="18"/>
              </w:rPr>
              <w:t>Ensure baseline</w:t>
            </w:r>
            <w:r>
              <w:rPr>
                <w:rFonts w:ascii="Calibri"/>
                <w:sz w:val="18"/>
              </w:rPr>
              <w:t xml:space="preserve"> </w:t>
            </w:r>
            <w:r>
              <w:rPr>
                <w:rFonts w:ascii="Calibri"/>
                <w:spacing w:val="-1"/>
                <w:sz w:val="18"/>
              </w:rPr>
              <w:t>periods</w:t>
            </w:r>
            <w:r>
              <w:rPr>
                <w:rFonts w:ascii="Calibri"/>
                <w:spacing w:val="-2"/>
                <w:sz w:val="18"/>
              </w:rPr>
              <w:t xml:space="preserve"> </w:t>
            </w:r>
            <w:r>
              <w:rPr>
                <w:rFonts w:ascii="Calibri"/>
                <w:sz w:val="18"/>
              </w:rPr>
              <w:t>for</w:t>
            </w:r>
            <w:r>
              <w:rPr>
                <w:rFonts w:ascii="Calibri"/>
                <w:spacing w:val="-1"/>
                <w:sz w:val="18"/>
              </w:rPr>
              <w:t xml:space="preserve"> schools</w:t>
            </w:r>
            <w:r>
              <w:rPr>
                <w:rFonts w:ascii="Calibri"/>
                <w:spacing w:val="-2"/>
                <w:sz w:val="18"/>
              </w:rPr>
              <w:t xml:space="preserve"> </w:t>
            </w:r>
            <w:r>
              <w:rPr>
                <w:rFonts w:ascii="Calibri"/>
                <w:spacing w:val="-1"/>
                <w:sz w:val="18"/>
              </w:rPr>
              <w:t>do not</w:t>
            </w:r>
            <w:r>
              <w:rPr>
                <w:rFonts w:ascii="Calibri"/>
                <w:spacing w:val="-2"/>
                <w:sz w:val="18"/>
              </w:rPr>
              <w:t xml:space="preserve"> </w:t>
            </w:r>
            <w:r>
              <w:rPr>
                <w:rFonts w:ascii="Calibri"/>
                <w:spacing w:val="-1"/>
                <w:sz w:val="18"/>
              </w:rPr>
              <w:t>overlap</w:t>
            </w:r>
            <w:r>
              <w:rPr>
                <w:rFonts w:ascii="Calibri"/>
                <w:spacing w:val="-2"/>
                <w:sz w:val="18"/>
              </w:rPr>
              <w:t xml:space="preserve"> </w:t>
            </w:r>
            <w:r>
              <w:rPr>
                <w:rFonts w:ascii="Calibri"/>
                <w:spacing w:val="-1"/>
                <w:sz w:val="18"/>
              </w:rPr>
              <w:t>with</w:t>
            </w:r>
            <w:r>
              <w:rPr>
                <w:rFonts w:ascii="Calibri"/>
                <w:spacing w:val="53"/>
                <w:sz w:val="18"/>
              </w:rPr>
              <w:t xml:space="preserve"> </w:t>
            </w:r>
            <w:r>
              <w:rPr>
                <w:rFonts w:ascii="Calibri"/>
                <w:spacing w:val="-1"/>
                <w:sz w:val="18"/>
              </w:rPr>
              <w:t>implementation</w:t>
            </w:r>
            <w:r>
              <w:rPr>
                <w:rFonts w:ascii="Calibri"/>
                <w:spacing w:val="-3"/>
                <w:sz w:val="18"/>
              </w:rPr>
              <w:t xml:space="preserve"> </w:t>
            </w:r>
            <w:r>
              <w:rPr>
                <w:rFonts w:ascii="Calibri"/>
                <w:spacing w:val="-1"/>
                <w:sz w:val="18"/>
              </w:rPr>
              <w:t>periods</w:t>
            </w:r>
            <w:r>
              <w:rPr>
                <w:rFonts w:ascii="Calibri"/>
                <w:spacing w:val="-3"/>
                <w:sz w:val="18"/>
              </w:rPr>
              <w:t xml:space="preserve"> </w:t>
            </w:r>
            <w:r>
              <w:rPr>
                <w:rFonts w:ascii="Calibri"/>
                <w:sz w:val="18"/>
              </w:rPr>
              <w:t>for</w:t>
            </w:r>
            <w:r>
              <w:rPr>
                <w:rFonts w:ascii="Calibri"/>
                <w:spacing w:val="-2"/>
                <w:sz w:val="18"/>
              </w:rPr>
              <w:t xml:space="preserve"> </w:t>
            </w:r>
            <w:r>
              <w:rPr>
                <w:rFonts w:ascii="Calibri"/>
                <w:spacing w:val="-1"/>
                <w:sz w:val="18"/>
              </w:rPr>
              <w:t>other</w:t>
            </w:r>
            <w:r>
              <w:rPr>
                <w:rFonts w:ascii="Calibri"/>
                <w:spacing w:val="-2"/>
                <w:sz w:val="18"/>
              </w:rPr>
              <w:t xml:space="preserve"> </w:t>
            </w:r>
            <w:r>
              <w:rPr>
                <w:rFonts w:ascii="Calibri"/>
                <w:spacing w:val="-1"/>
                <w:sz w:val="18"/>
              </w:rPr>
              <w:t>schools</w:t>
            </w:r>
            <w:r>
              <w:rPr>
                <w:rFonts w:ascii="Calibri"/>
                <w:spacing w:val="-3"/>
                <w:sz w:val="18"/>
              </w:rPr>
              <w:t xml:space="preserve"> </w:t>
            </w:r>
            <w:r>
              <w:rPr>
                <w:rFonts w:ascii="Calibri"/>
                <w:spacing w:val="-1"/>
                <w:sz w:val="18"/>
              </w:rPr>
              <w:t>within</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same</w:t>
            </w:r>
            <w:r>
              <w:rPr>
                <w:rFonts w:ascii="Calibri"/>
                <w:spacing w:val="55"/>
                <w:w w:val="99"/>
                <w:sz w:val="18"/>
              </w:rPr>
              <w:t xml:space="preserve"> </w:t>
            </w:r>
            <w:r>
              <w:rPr>
                <w:rFonts w:ascii="Calibri"/>
                <w:spacing w:val="-1"/>
                <w:sz w:val="18"/>
              </w:rPr>
              <w:t>district.</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C94D5A">
        <w:trPr>
          <w:trHeight w:hRule="exact" w:val="454"/>
        </w:trPr>
        <w:tc>
          <w:tcPr>
            <w:tcW w:w="4680" w:type="dxa"/>
            <w:tcBorders>
              <w:top w:val="single" w:sz="7" w:space="0" w:color="448999"/>
              <w:left w:val="single" w:sz="8" w:space="0" w:color="448999"/>
              <w:bottom w:val="single" w:sz="7" w:space="0" w:color="448999"/>
              <w:right w:val="single" w:sz="7" w:space="0" w:color="448999"/>
            </w:tcBorders>
            <w:shd w:val="clear" w:color="auto" w:fill="D2EAF0"/>
          </w:tcPr>
          <w:p w:rsidR="00E646C9" w:rsidRDefault="00E646C9" w:rsidP="00C94D5A">
            <w:pPr>
              <w:pStyle w:val="TableParagraph"/>
              <w:ind w:left="97" w:right="456"/>
              <w:rPr>
                <w:rFonts w:ascii="Calibri" w:eastAsia="Calibri" w:hAnsi="Calibri" w:cs="Calibri"/>
                <w:sz w:val="18"/>
                <w:szCs w:val="18"/>
              </w:rPr>
            </w:pPr>
            <w:r>
              <w:rPr>
                <w:rFonts w:ascii="Calibri"/>
                <w:spacing w:val="-1"/>
                <w:sz w:val="18"/>
              </w:rPr>
              <w:t>Encourage</w:t>
            </w:r>
            <w:r>
              <w:rPr>
                <w:rFonts w:ascii="Calibri"/>
                <w:spacing w:val="-4"/>
                <w:sz w:val="18"/>
              </w:rPr>
              <w:t xml:space="preserve"> </w:t>
            </w:r>
            <w:r>
              <w:rPr>
                <w:rFonts w:ascii="Calibri"/>
                <w:spacing w:val="-1"/>
                <w:sz w:val="18"/>
              </w:rPr>
              <w:t>CEI</w:t>
            </w:r>
            <w:r>
              <w:rPr>
                <w:rFonts w:ascii="Calibri"/>
                <w:spacing w:val="-2"/>
                <w:sz w:val="18"/>
              </w:rPr>
              <w:t xml:space="preserve"> </w:t>
            </w:r>
            <w:r>
              <w:rPr>
                <w:rFonts w:ascii="Calibri"/>
                <w:spacing w:val="-1"/>
                <w:sz w:val="18"/>
              </w:rPr>
              <w:t>participants</w:t>
            </w:r>
            <w:r>
              <w:rPr>
                <w:rFonts w:ascii="Calibri"/>
                <w:spacing w:val="-3"/>
                <w:sz w:val="18"/>
              </w:rPr>
              <w:t xml:space="preserve"> </w:t>
            </w:r>
            <w:r>
              <w:rPr>
                <w:rFonts w:ascii="Calibri"/>
                <w:sz w:val="18"/>
              </w:rPr>
              <w:t>to</w:t>
            </w:r>
            <w:r>
              <w:rPr>
                <w:rFonts w:ascii="Calibri"/>
                <w:spacing w:val="-2"/>
                <w:sz w:val="18"/>
              </w:rPr>
              <w:t xml:space="preserve"> </w:t>
            </w:r>
            <w:r>
              <w:rPr>
                <w:rFonts w:ascii="Calibri"/>
                <w:spacing w:val="-1"/>
                <w:sz w:val="18"/>
              </w:rPr>
              <w:t>enroll</w:t>
            </w:r>
            <w:r>
              <w:rPr>
                <w:rFonts w:ascii="Calibri"/>
                <w:spacing w:val="-3"/>
                <w:sz w:val="18"/>
              </w:rPr>
              <w:t xml:space="preserve"> </w:t>
            </w:r>
            <w:r>
              <w:rPr>
                <w:rFonts w:ascii="Calibri"/>
                <w:sz w:val="18"/>
              </w:rPr>
              <w:t>in</w:t>
            </w:r>
            <w:r>
              <w:rPr>
                <w:rFonts w:ascii="Calibri"/>
                <w:spacing w:val="-4"/>
                <w:sz w:val="18"/>
              </w:rPr>
              <w:t xml:space="preserve"> </w:t>
            </w:r>
            <w:r>
              <w:rPr>
                <w:rFonts w:ascii="Calibri"/>
                <w:spacing w:val="-1"/>
                <w:sz w:val="18"/>
              </w:rPr>
              <w:t>other</w:t>
            </w:r>
            <w:r>
              <w:rPr>
                <w:rFonts w:ascii="Calibri"/>
                <w:spacing w:val="-2"/>
                <w:sz w:val="18"/>
              </w:rPr>
              <w:t xml:space="preserve"> </w:t>
            </w:r>
            <w:r>
              <w:rPr>
                <w:rFonts w:ascii="Calibri"/>
                <w:sz w:val="18"/>
              </w:rPr>
              <w:t>PPL</w:t>
            </w:r>
            <w:r>
              <w:rPr>
                <w:rFonts w:ascii="Calibri"/>
                <w:spacing w:val="-1"/>
                <w:sz w:val="18"/>
              </w:rPr>
              <w:t xml:space="preserve"> Electric</w:t>
            </w:r>
            <w:r>
              <w:rPr>
                <w:rFonts w:ascii="Calibri"/>
                <w:spacing w:val="53"/>
                <w:w w:val="99"/>
                <w:sz w:val="18"/>
              </w:rPr>
              <w:t xml:space="preserve"> </w:t>
            </w:r>
            <w:r>
              <w:rPr>
                <w:rFonts w:ascii="Calibri"/>
                <w:spacing w:val="-1"/>
                <w:sz w:val="18"/>
              </w:rPr>
              <w:t>programs.</w:t>
            </w:r>
          </w:p>
        </w:tc>
        <w:tc>
          <w:tcPr>
            <w:tcW w:w="4681" w:type="dxa"/>
            <w:tcBorders>
              <w:top w:val="single" w:sz="7" w:space="0" w:color="448999"/>
              <w:left w:val="single" w:sz="7" w:space="0" w:color="448999"/>
              <w:bottom w:val="single" w:sz="7"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Will</w:t>
            </w:r>
            <w:r>
              <w:rPr>
                <w:rFonts w:ascii="Calibri"/>
                <w:spacing w:val="-4"/>
                <w:sz w:val="18"/>
              </w:rPr>
              <w:t xml:space="preserve"> </w:t>
            </w:r>
            <w:r>
              <w:rPr>
                <w:rFonts w:ascii="Calibri"/>
                <w:spacing w:val="-1"/>
                <w:sz w:val="18"/>
              </w:rPr>
              <w:t>be</w:t>
            </w:r>
            <w:r>
              <w:rPr>
                <w:rFonts w:ascii="Calibri"/>
                <w:spacing w:val="-4"/>
                <w:sz w:val="18"/>
              </w:rPr>
              <w:t xml:space="preserve"> </w:t>
            </w:r>
            <w:r>
              <w:rPr>
                <w:rFonts w:ascii="Calibri"/>
                <w:sz w:val="18"/>
              </w:rPr>
              <w:t>implemented</w:t>
            </w:r>
            <w:r>
              <w:rPr>
                <w:rFonts w:ascii="Calibri"/>
                <w:spacing w:val="-4"/>
                <w:sz w:val="18"/>
              </w:rPr>
              <w:t xml:space="preserve"> </w:t>
            </w:r>
            <w:r>
              <w:rPr>
                <w:rFonts w:ascii="Calibri"/>
                <w:spacing w:val="-1"/>
                <w:sz w:val="18"/>
              </w:rPr>
              <w:t>when program</w:t>
            </w:r>
            <w:r>
              <w:rPr>
                <w:rFonts w:ascii="Calibri"/>
                <w:spacing w:val="-3"/>
                <w:sz w:val="18"/>
              </w:rPr>
              <w:t xml:space="preserve"> </w:t>
            </w:r>
            <w:r>
              <w:rPr>
                <w:rFonts w:ascii="Calibri"/>
                <w:sz w:val="18"/>
              </w:rPr>
              <w:t>is</w:t>
            </w:r>
            <w:r>
              <w:rPr>
                <w:rFonts w:ascii="Calibri"/>
                <w:spacing w:val="-4"/>
                <w:sz w:val="18"/>
              </w:rPr>
              <w:t xml:space="preserve"> </w:t>
            </w:r>
            <w:r>
              <w:rPr>
                <w:rFonts w:ascii="Calibri"/>
                <w:spacing w:val="-1"/>
                <w:sz w:val="18"/>
              </w:rPr>
              <w:t>launched.</w:t>
            </w:r>
          </w:p>
        </w:tc>
      </w:tr>
      <w:tr w:rsidR="00E646C9" w:rsidTr="00C94D5A">
        <w:trPr>
          <w:trHeight w:hRule="exact" w:val="674"/>
        </w:trPr>
        <w:tc>
          <w:tcPr>
            <w:tcW w:w="4680" w:type="dxa"/>
            <w:tcBorders>
              <w:top w:val="single" w:sz="7" w:space="0" w:color="448999"/>
              <w:left w:val="single" w:sz="8" w:space="0" w:color="448999"/>
              <w:bottom w:val="single" w:sz="7" w:space="0" w:color="448999"/>
              <w:right w:val="single" w:sz="7" w:space="0" w:color="448999"/>
            </w:tcBorders>
          </w:tcPr>
          <w:p w:rsidR="00E646C9" w:rsidRDefault="00E646C9" w:rsidP="00C94D5A">
            <w:pPr>
              <w:pStyle w:val="TableParagraph"/>
              <w:ind w:left="97" w:right="509" w:firstLine="40"/>
              <w:rPr>
                <w:rFonts w:ascii="Calibri" w:eastAsia="Calibri" w:hAnsi="Calibri" w:cs="Calibri"/>
                <w:sz w:val="18"/>
                <w:szCs w:val="18"/>
              </w:rPr>
            </w:pPr>
            <w:r>
              <w:rPr>
                <w:rFonts w:ascii="Calibri"/>
                <w:spacing w:val="-1"/>
                <w:sz w:val="18"/>
              </w:rPr>
              <w:t>Provide</w:t>
            </w:r>
            <w:r>
              <w:rPr>
                <w:rFonts w:ascii="Calibri"/>
                <w:spacing w:val="-3"/>
                <w:sz w:val="18"/>
              </w:rPr>
              <w:t xml:space="preserve"> </w:t>
            </w:r>
            <w:r>
              <w:rPr>
                <w:rFonts w:ascii="Calibri"/>
                <w:spacing w:val="-1"/>
                <w:sz w:val="18"/>
              </w:rPr>
              <w:t>schools</w:t>
            </w:r>
            <w:r>
              <w:rPr>
                <w:rFonts w:ascii="Calibri"/>
                <w:spacing w:val="-3"/>
                <w:sz w:val="18"/>
              </w:rPr>
              <w:t xml:space="preserve"> </w:t>
            </w:r>
            <w:r>
              <w:rPr>
                <w:rFonts w:ascii="Calibri"/>
                <w:spacing w:val="-1"/>
                <w:sz w:val="18"/>
              </w:rPr>
              <w:t>with</w:t>
            </w:r>
            <w:r>
              <w:rPr>
                <w:rFonts w:ascii="Calibri"/>
                <w:spacing w:val="-3"/>
                <w:sz w:val="18"/>
              </w:rPr>
              <w:t xml:space="preserve"> </w:t>
            </w:r>
            <w:r>
              <w:rPr>
                <w:rFonts w:ascii="Calibri"/>
                <w:sz w:val="18"/>
              </w:rPr>
              <w:t>a</w:t>
            </w:r>
            <w:r>
              <w:rPr>
                <w:rFonts w:ascii="Calibri"/>
                <w:spacing w:val="-2"/>
                <w:sz w:val="18"/>
              </w:rPr>
              <w:t xml:space="preserve"> </w:t>
            </w:r>
            <w:r>
              <w:rPr>
                <w:rFonts w:ascii="Calibri"/>
                <w:spacing w:val="-1"/>
                <w:sz w:val="18"/>
              </w:rPr>
              <w:t>timeline</w:t>
            </w:r>
            <w:r>
              <w:rPr>
                <w:rFonts w:ascii="Calibri"/>
                <w:spacing w:val="-3"/>
                <w:sz w:val="18"/>
              </w:rPr>
              <w:t xml:space="preserve"> </w:t>
            </w:r>
            <w:r>
              <w:rPr>
                <w:rFonts w:ascii="Calibri"/>
                <w:spacing w:val="1"/>
                <w:sz w:val="18"/>
              </w:rPr>
              <w:t>of</w:t>
            </w:r>
            <w:r>
              <w:rPr>
                <w:rFonts w:ascii="Calibri"/>
                <w:spacing w:val="-2"/>
                <w:sz w:val="18"/>
              </w:rPr>
              <w:t xml:space="preserve"> </w:t>
            </w:r>
            <w:r>
              <w:rPr>
                <w:rFonts w:ascii="Calibri"/>
                <w:sz w:val="18"/>
              </w:rPr>
              <w:t>CEI</w:t>
            </w:r>
            <w:r>
              <w:rPr>
                <w:rFonts w:ascii="Calibri"/>
                <w:spacing w:val="-2"/>
                <w:sz w:val="18"/>
              </w:rPr>
              <w:t xml:space="preserve"> </w:t>
            </w:r>
            <w:r>
              <w:rPr>
                <w:rFonts w:ascii="Calibri"/>
                <w:spacing w:val="-1"/>
                <w:sz w:val="18"/>
              </w:rPr>
              <w:t>activities,</w:t>
            </w:r>
            <w:r>
              <w:rPr>
                <w:rFonts w:ascii="Calibri"/>
                <w:spacing w:val="-2"/>
                <w:sz w:val="18"/>
              </w:rPr>
              <w:t xml:space="preserve"> </w:t>
            </w:r>
            <w:r>
              <w:rPr>
                <w:rFonts w:ascii="Calibri"/>
                <w:spacing w:val="-1"/>
                <w:sz w:val="18"/>
              </w:rPr>
              <w:t>and</w:t>
            </w:r>
            <w:r>
              <w:rPr>
                <w:rFonts w:ascii="Calibri"/>
                <w:spacing w:val="59"/>
                <w:sz w:val="18"/>
              </w:rPr>
              <w:t xml:space="preserve"> </w:t>
            </w:r>
            <w:r>
              <w:rPr>
                <w:rFonts w:ascii="Calibri"/>
                <w:spacing w:val="-1"/>
                <w:sz w:val="18"/>
              </w:rPr>
              <w:t>communicate</w:t>
            </w:r>
            <w:r>
              <w:rPr>
                <w:rFonts w:ascii="Calibri"/>
                <w:spacing w:val="-4"/>
                <w:sz w:val="18"/>
              </w:rPr>
              <w:t xml:space="preserve"> </w:t>
            </w:r>
            <w:r>
              <w:rPr>
                <w:rFonts w:ascii="Calibri"/>
                <w:spacing w:val="-1"/>
                <w:sz w:val="18"/>
              </w:rPr>
              <w:t>how</w:t>
            </w:r>
            <w:r>
              <w:rPr>
                <w:rFonts w:ascii="Calibri"/>
                <w:spacing w:val="-2"/>
                <w:sz w:val="18"/>
              </w:rPr>
              <w:t xml:space="preserve"> </w:t>
            </w:r>
            <w:r>
              <w:rPr>
                <w:rFonts w:ascii="Calibri"/>
                <w:spacing w:val="-1"/>
                <w:sz w:val="18"/>
              </w:rPr>
              <w:t>incentive</w:t>
            </w:r>
            <w:r>
              <w:rPr>
                <w:rFonts w:ascii="Calibri"/>
                <w:spacing w:val="-3"/>
                <w:sz w:val="18"/>
              </w:rPr>
              <w:t xml:space="preserve"> </w:t>
            </w:r>
            <w:r>
              <w:rPr>
                <w:rFonts w:ascii="Calibri"/>
                <w:sz w:val="18"/>
              </w:rPr>
              <w:t>money</w:t>
            </w:r>
            <w:r>
              <w:rPr>
                <w:rFonts w:ascii="Calibri"/>
                <w:spacing w:val="-3"/>
                <w:sz w:val="18"/>
              </w:rPr>
              <w:t xml:space="preserve"> </w:t>
            </w:r>
            <w:r>
              <w:rPr>
                <w:rFonts w:ascii="Calibri"/>
                <w:sz w:val="18"/>
              </w:rPr>
              <w:t>is</w:t>
            </w:r>
            <w:r>
              <w:rPr>
                <w:rFonts w:ascii="Calibri"/>
                <w:spacing w:val="-4"/>
                <w:sz w:val="18"/>
              </w:rPr>
              <w:t xml:space="preserve"> </w:t>
            </w:r>
            <w:r>
              <w:rPr>
                <w:rFonts w:ascii="Calibri"/>
                <w:spacing w:val="-1"/>
                <w:sz w:val="18"/>
              </w:rPr>
              <w:t>being</w:t>
            </w:r>
            <w:r>
              <w:rPr>
                <w:rFonts w:ascii="Calibri"/>
                <w:spacing w:val="-2"/>
                <w:sz w:val="18"/>
              </w:rPr>
              <w:t xml:space="preserve"> </w:t>
            </w:r>
            <w:r>
              <w:rPr>
                <w:rFonts w:ascii="Calibri"/>
                <w:spacing w:val="-1"/>
                <w:sz w:val="18"/>
              </w:rPr>
              <w:t>distributed</w:t>
            </w:r>
            <w:r>
              <w:rPr>
                <w:rFonts w:ascii="Calibri"/>
                <w:spacing w:val="53"/>
                <w:sz w:val="18"/>
              </w:rPr>
              <w:t xml:space="preserve"> </w:t>
            </w:r>
            <w:r>
              <w:rPr>
                <w:rFonts w:ascii="Calibri"/>
                <w:spacing w:val="-1"/>
                <w:sz w:val="18"/>
              </w:rPr>
              <w:t>throughout</w:t>
            </w:r>
            <w:r>
              <w:rPr>
                <w:rFonts w:ascii="Calibri"/>
                <w:spacing w:val="-2"/>
                <w:sz w:val="18"/>
              </w:rPr>
              <w:t xml:space="preserve"> </w:t>
            </w:r>
            <w:r>
              <w:rPr>
                <w:rFonts w:ascii="Calibri"/>
                <w:spacing w:val="-1"/>
                <w:sz w:val="18"/>
              </w:rPr>
              <w:t>the</w:t>
            </w:r>
            <w:r>
              <w:rPr>
                <w:rFonts w:ascii="Calibri"/>
                <w:spacing w:val="-2"/>
                <w:sz w:val="18"/>
              </w:rPr>
              <w:t xml:space="preserve"> </w:t>
            </w:r>
            <w:r>
              <w:rPr>
                <w:rFonts w:ascii="Calibri"/>
                <w:spacing w:val="-1"/>
                <w:sz w:val="18"/>
              </w:rPr>
              <w:t>district</w:t>
            </w:r>
          </w:p>
        </w:tc>
        <w:tc>
          <w:tcPr>
            <w:tcW w:w="4681" w:type="dxa"/>
            <w:tcBorders>
              <w:top w:val="single" w:sz="7" w:space="0" w:color="448999"/>
              <w:left w:val="single" w:sz="7" w:space="0" w:color="448999"/>
              <w:bottom w:val="single" w:sz="7" w:space="0" w:color="448999"/>
              <w:right w:val="single" w:sz="8" w:space="0" w:color="448999"/>
            </w:tcBorders>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r w:rsidR="00E646C9" w:rsidTr="00C94D5A">
        <w:trPr>
          <w:trHeight w:hRule="exact" w:val="458"/>
        </w:trPr>
        <w:tc>
          <w:tcPr>
            <w:tcW w:w="4680" w:type="dxa"/>
            <w:tcBorders>
              <w:top w:val="single" w:sz="7" w:space="0" w:color="448999"/>
              <w:left w:val="single" w:sz="8" w:space="0" w:color="448999"/>
              <w:bottom w:val="single" w:sz="8" w:space="0" w:color="448999"/>
              <w:right w:val="single" w:sz="7" w:space="0" w:color="448999"/>
            </w:tcBorders>
            <w:shd w:val="clear" w:color="auto" w:fill="D2EAF0"/>
          </w:tcPr>
          <w:p w:rsidR="00E646C9" w:rsidRDefault="00E646C9" w:rsidP="00C94D5A">
            <w:pPr>
              <w:pStyle w:val="TableParagraph"/>
              <w:ind w:left="97" w:right="330"/>
              <w:rPr>
                <w:rFonts w:ascii="Calibri" w:eastAsia="Calibri" w:hAnsi="Calibri" w:cs="Calibri"/>
                <w:sz w:val="18"/>
                <w:szCs w:val="18"/>
              </w:rPr>
            </w:pPr>
            <w:r>
              <w:rPr>
                <w:rFonts w:ascii="Calibri"/>
                <w:spacing w:val="-1"/>
                <w:sz w:val="18"/>
              </w:rPr>
              <w:t>Ask</w:t>
            </w:r>
            <w:r>
              <w:rPr>
                <w:rFonts w:ascii="Calibri"/>
                <w:spacing w:val="-2"/>
                <w:sz w:val="18"/>
              </w:rPr>
              <w:t xml:space="preserve"> </w:t>
            </w:r>
            <w:r>
              <w:rPr>
                <w:rFonts w:ascii="Calibri"/>
                <w:spacing w:val="-1"/>
                <w:sz w:val="18"/>
              </w:rPr>
              <w:t>that</w:t>
            </w:r>
            <w:r>
              <w:rPr>
                <w:rFonts w:ascii="Calibri"/>
                <w:sz w:val="18"/>
              </w:rPr>
              <w:t xml:space="preserve"> </w:t>
            </w:r>
            <w:r>
              <w:rPr>
                <w:rFonts w:ascii="Calibri"/>
                <w:spacing w:val="-1"/>
                <w:sz w:val="18"/>
              </w:rPr>
              <w:t>participants</w:t>
            </w:r>
            <w:r>
              <w:rPr>
                <w:rFonts w:ascii="Calibri"/>
                <w:spacing w:val="-4"/>
                <w:sz w:val="18"/>
              </w:rPr>
              <w:t xml:space="preserve"> </w:t>
            </w:r>
            <w:r>
              <w:rPr>
                <w:rFonts w:ascii="Calibri"/>
                <w:spacing w:val="-1"/>
                <w:sz w:val="18"/>
              </w:rPr>
              <w:t>conduct</w:t>
            </w:r>
            <w:r>
              <w:rPr>
                <w:rFonts w:ascii="Calibri"/>
                <w:spacing w:val="-2"/>
                <w:sz w:val="18"/>
              </w:rPr>
              <w:t xml:space="preserve"> </w:t>
            </w:r>
            <w:r>
              <w:rPr>
                <w:rFonts w:ascii="Calibri"/>
                <w:sz w:val="18"/>
              </w:rPr>
              <w:t>at</w:t>
            </w:r>
            <w:r>
              <w:rPr>
                <w:rFonts w:ascii="Calibri"/>
                <w:spacing w:val="-1"/>
                <w:sz w:val="18"/>
              </w:rPr>
              <w:t xml:space="preserve"> least</w:t>
            </w:r>
            <w:r>
              <w:rPr>
                <w:rFonts w:ascii="Calibri"/>
                <w:spacing w:val="-2"/>
                <w:sz w:val="18"/>
              </w:rPr>
              <w:t xml:space="preserve"> </w:t>
            </w:r>
            <w:r>
              <w:rPr>
                <w:rFonts w:ascii="Calibri"/>
                <w:spacing w:val="-1"/>
                <w:sz w:val="18"/>
              </w:rPr>
              <w:t>yearly</w:t>
            </w:r>
            <w:r>
              <w:rPr>
                <w:rFonts w:ascii="Calibri"/>
                <w:sz w:val="18"/>
              </w:rPr>
              <w:t xml:space="preserve"> </w:t>
            </w:r>
            <w:r>
              <w:rPr>
                <w:rFonts w:ascii="Calibri"/>
                <w:spacing w:val="-1"/>
                <w:sz w:val="18"/>
              </w:rPr>
              <w:t>updates</w:t>
            </w:r>
            <w:r>
              <w:rPr>
                <w:rFonts w:ascii="Calibri"/>
                <w:spacing w:val="-3"/>
                <w:sz w:val="18"/>
              </w:rPr>
              <w:t xml:space="preserve"> </w:t>
            </w:r>
            <w:r>
              <w:rPr>
                <w:rFonts w:ascii="Calibri"/>
                <w:sz w:val="18"/>
              </w:rPr>
              <w:t>to</w:t>
            </w:r>
            <w:r>
              <w:rPr>
                <w:rFonts w:ascii="Calibri"/>
                <w:spacing w:val="-2"/>
                <w:sz w:val="18"/>
              </w:rPr>
              <w:t xml:space="preserve"> </w:t>
            </w:r>
            <w:r>
              <w:rPr>
                <w:rFonts w:ascii="Calibri"/>
                <w:sz w:val="18"/>
              </w:rPr>
              <w:t>all</w:t>
            </w:r>
            <w:r>
              <w:rPr>
                <w:rFonts w:ascii="Calibri"/>
                <w:spacing w:val="61"/>
                <w:sz w:val="18"/>
              </w:rPr>
              <w:t xml:space="preserve"> </w:t>
            </w:r>
            <w:r>
              <w:rPr>
                <w:rFonts w:ascii="Calibri"/>
                <w:spacing w:val="-1"/>
                <w:sz w:val="18"/>
              </w:rPr>
              <w:t>program</w:t>
            </w:r>
            <w:r>
              <w:rPr>
                <w:rFonts w:ascii="Calibri"/>
                <w:spacing w:val="-11"/>
                <w:sz w:val="18"/>
              </w:rPr>
              <w:t xml:space="preserve"> </w:t>
            </w:r>
            <w:r>
              <w:rPr>
                <w:rFonts w:ascii="Calibri"/>
                <w:spacing w:val="-1"/>
                <w:sz w:val="18"/>
              </w:rPr>
              <w:t>documents</w:t>
            </w:r>
          </w:p>
        </w:tc>
        <w:tc>
          <w:tcPr>
            <w:tcW w:w="4681" w:type="dxa"/>
            <w:tcBorders>
              <w:top w:val="single" w:sz="7" w:space="0" w:color="448999"/>
              <w:left w:val="single" w:sz="7" w:space="0" w:color="448999"/>
              <w:bottom w:val="single" w:sz="8" w:space="0" w:color="448999"/>
              <w:right w:val="single" w:sz="8" w:space="0" w:color="448999"/>
            </w:tcBorders>
            <w:shd w:val="clear" w:color="auto" w:fill="D2EAF0"/>
          </w:tcPr>
          <w:p w:rsidR="00E646C9" w:rsidRDefault="00E646C9" w:rsidP="00C94D5A">
            <w:pPr>
              <w:pStyle w:val="TableParagraph"/>
              <w:spacing w:line="218" w:lineRule="exact"/>
              <w:ind w:left="99"/>
              <w:rPr>
                <w:rFonts w:ascii="Calibri" w:eastAsia="Calibri" w:hAnsi="Calibri" w:cs="Calibri"/>
                <w:sz w:val="18"/>
                <w:szCs w:val="18"/>
              </w:rPr>
            </w:pPr>
            <w:r>
              <w:rPr>
                <w:rFonts w:ascii="Calibri"/>
                <w:spacing w:val="-1"/>
                <w:sz w:val="18"/>
              </w:rPr>
              <w:t>Being</w:t>
            </w:r>
            <w:r>
              <w:rPr>
                <w:rFonts w:ascii="Calibri"/>
                <w:spacing w:val="-8"/>
                <w:sz w:val="18"/>
              </w:rPr>
              <w:t xml:space="preserve"> </w:t>
            </w:r>
            <w:r>
              <w:rPr>
                <w:rFonts w:ascii="Calibri"/>
                <w:spacing w:val="-1"/>
                <w:sz w:val="18"/>
              </w:rPr>
              <w:t>considered.</w:t>
            </w:r>
          </w:p>
        </w:tc>
      </w:tr>
    </w:tbl>
    <w:p w:rsidR="00E646C9" w:rsidRDefault="00E646C9" w:rsidP="00E646C9"/>
    <w:p w:rsidR="0059452D" w:rsidRDefault="0059452D" w:rsidP="00E646C9">
      <w:pPr>
        <w:sectPr w:rsidR="0059452D" w:rsidSect="00E45861">
          <w:pgSz w:w="12240" w:h="15840"/>
          <w:pgMar w:top="1440" w:right="1440" w:bottom="1440" w:left="1440" w:header="720" w:footer="288" w:gutter="0"/>
          <w:cols w:space="720"/>
          <w:titlePg/>
          <w:docGrid w:linePitch="360"/>
        </w:sectPr>
      </w:pPr>
    </w:p>
    <w:p w:rsidR="00E646C9" w:rsidRDefault="0059452D" w:rsidP="00E646C9">
      <w:r>
        <w:rPr>
          <w:noProof/>
        </w:rPr>
        <mc:AlternateContent>
          <mc:Choice Requires="wps">
            <w:drawing>
              <wp:anchor distT="0" distB="0" distL="114300" distR="114300" simplePos="0" relativeHeight="251660294" behindDoc="0" locked="0" layoutInCell="1" allowOverlap="1" wp14:anchorId="57624285" wp14:editId="6F9ED602">
                <wp:simplePos x="0" y="0"/>
                <wp:positionH relativeFrom="margin">
                  <wp:align>center</wp:align>
                </wp:positionH>
                <wp:positionV relativeFrom="margin">
                  <wp:align>center</wp:align>
                </wp:positionV>
                <wp:extent cx="7449671" cy="965835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9671" cy="9658350"/>
                        </a:xfrm>
                        <a:prstGeom prst="rect">
                          <a:avLst/>
                        </a:prstGeom>
                        <a:solidFill>
                          <a:srgbClr val="448A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3A64" w:rsidRDefault="00063A64" w:rsidP="0059452D"/>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624285" id="Rectangle 37" o:spid="_x0000_s1032" style="position:absolute;left:0;text-align:left;margin-left:0;margin-top:0;width:586.6pt;height:760.5pt;z-index:251660294;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" fillcolor="#448a99" stroked="f" strokeweight="2pt">
                <v:path arrowok="t"/>
                <v:textbox inset="21.6pt,1in,21.6pt">
                  <w:txbxContent>
                    <w:p w:rsidR="00063A64" w:rsidRDefault="00063A64" w:rsidP="0059452D"/>
                  </w:txbxContent>
                </v:textbox>
                <w10:wrap anchorx="margin" anchory="margin"/>
              </v:rect>
            </w:pict>
          </mc:Fallback>
        </mc:AlternateContent>
      </w:r>
    </w:p>
    <w:p w:rsidR="00E646C9" w:rsidRDefault="00E646C9" w:rsidP="00E646C9"/>
    <w:p w:rsidR="00E646C9" w:rsidRDefault="00E646C9" w:rsidP="00E646C9"/>
    <w:p w:rsidR="00E646C9" w:rsidRPr="000F064D" w:rsidRDefault="00E646C9" w:rsidP="00E646C9"/>
    <w:p w:rsidR="002A5B38" w:rsidRPr="00FF409E" w:rsidRDefault="00E44590" w:rsidP="00BC330C">
      <w:pPr>
        <w:widowControl w:val="0"/>
        <w:rPr>
          <w:lang w:bidi="en-US"/>
        </w:rPr>
      </w:pPr>
      <w:r>
        <w:rPr>
          <w:noProof/>
        </w:rPr>
        <w:drawing>
          <wp:anchor distT="0" distB="0" distL="114300" distR="114300" simplePos="0" relativeHeight="251672582" behindDoc="0" locked="0" layoutInCell="1" allowOverlap="1" wp14:anchorId="3B8507EF" wp14:editId="798E2361">
            <wp:simplePos x="0" y="0"/>
            <wp:positionH relativeFrom="column">
              <wp:posOffset>2444750</wp:posOffset>
            </wp:positionH>
            <wp:positionV relativeFrom="paragraph">
              <wp:posOffset>1504094</wp:posOffset>
            </wp:positionV>
            <wp:extent cx="1132840" cy="1131570"/>
            <wp:effectExtent l="0" t="0" r="0" b="0"/>
            <wp:wrapNone/>
            <wp:docPr id="60" name="Picture 60" descr="Image result for pennsylvania public utility commission P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result for pennsylvania public utility commission PNG logo"/>
                    <pic:cNvPicPr>
                      <a:picLocks noChangeAspect="1"/>
                    </pic:cNvPicPr>
                  </pic:nvPicPr>
                  <pic:blipFill rotWithShape="1">
                    <a:blip r:embed="rId185">
                      <a:extLst>
                        <a:ext uri="{28A0092B-C50C-407E-A947-70E740481C1C}">
                          <a14:useLocalDpi xmlns:a14="http://schemas.microsoft.com/office/drawing/2010/main" val="0"/>
                        </a:ext>
                      </a:extLst>
                    </a:blip>
                    <a:srcRect r="68524"/>
                    <a:stretch/>
                  </pic:blipFill>
                  <pic:spPr bwMode="auto">
                    <a:xfrm>
                      <a:off x="0" y="0"/>
                      <a:ext cx="1132840" cy="113157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1558" behindDoc="0" locked="0" layoutInCell="1" allowOverlap="1" wp14:anchorId="5CF02BFC" wp14:editId="04D4442F">
                <wp:simplePos x="0" y="0"/>
                <wp:positionH relativeFrom="column">
                  <wp:posOffset>-894080</wp:posOffset>
                </wp:positionH>
                <wp:positionV relativeFrom="paragraph">
                  <wp:posOffset>868045</wp:posOffset>
                </wp:positionV>
                <wp:extent cx="7736205" cy="324485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205" cy="3244850"/>
                        </a:xfrm>
                        <a:prstGeom prst="rect">
                          <a:avLst/>
                        </a:prstGeom>
                        <a:noFill/>
                        <a:ln w="9525">
                          <a:noFill/>
                          <a:miter lim="800000"/>
                          <a:headEnd/>
                          <a:tailEnd/>
                        </a:ln>
                      </wps:spPr>
                      <wps:txbx>
                        <w:txbxContent>
                          <w:p w:rsidR="00063A64" w:rsidRPr="00E44590" w:rsidRDefault="00063A64" w:rsidP="00E755F3">
                            <w:pPr>
                              <w:spacing w:after="240"/>
                              <w:jc w:val="center"/>
                              <w:rPr>
                                <w:rFonts w:ascii="Century Gothic" w:hAnsi="Century Gothic"/>
                                <w:b/>
                                <w:smallCaps/>
                                <w:color w:val="FFFFFF" w:themeColor="background1"/>
                                <w:sz w:val="52"/>
                                <w:szCs w:val="64"/>
                                <w14:shadow w14:blurRad="50800" w14:dist="38100" w14:dir="2700000" w14:sx="100000" w14:sy="100000" w14:kx="0" w14:ky="0" w14:algn="tl">
                                  <w14:srgbClr w14:val="000000">
                                    <w14:alpha w14:val="60000"/>
                                  </w14:srgbClr>
                                </w14:shadow>
                              </w:rPr>
                            </w:pPr>
                            <w:r w:rsidRPr="00E44590">
                              <w:rPr>
                                <w:rFonts w:ascii="Century Gothic" w:hAnsi="Century Gothic"/>
                                <w:b/>
                                <w:smallCaps/>
                                <w:color w:val="FFFFFF" w:themeColor="background1"/>
                                <w:sz w:val="52"/>
                                <w:szCs w:val="64"/>
                                <w14:shadow w14:blurRad="50800" w14:dist="38100" w14:dir="2700000" w14:sx="100000" w14:sy="100000" w14:kx="0" w14:ky="0" w14:algn="tl">
                                  <w14:srgbClr w14:val="000000">
                                    <w14:alpha w14:val="60000"/>
                                  </w14:srgbClr>
                                </w14:shadow>
                              </w:rPr>
                              <w:t>Pennsylvania Public Utility Commission</w:t>
                            </w:r>
                          </w:p>
                          <w:p w:rsidR="00063A64" w:rsidRPr="008D603E" w:rsidRDefault="00063A64" w:rsidP="00F63DDD">
                            <w:pPr>
                              <w:spacing w:after="120"/>
                              <w:jc w:val="center"/>
                              <w:rPr>
                                <w:rFonts w:ascii="Century Gothic" w:hAnsi="Century Gothic"/>
                                <w:b/>
                                <w:color w:val="FFFFFF" w:themeColor="background1"/>
                                <w:sz w:val="144"/>
                                <w:szCs w:val="60"/>
                                <w14:shadow w14:blurRad="50800" w14:dist="38100" w14:dir="2700000" w14:sx="100000" w14:sy="100000" w14:kx="0" w14:ky="0" w14:algn="tl">
                                  <w14:srgbClr w14:val="000000">
                                    <w14:alpha w14:val="60000"/>
                                  </w14:srgbClr>
                                </w14:shadow>
                              </w:rPr>
                            </w:pPr>
                          </w:p>
                          <w:p w:rsidR="00063A64" w:rsidRPr="008D603E" w:rsidRDefault="00063A64" w:rsidP="00E755F3">
                            <w:pPr>
                              <w:spacing w:before="60"/>
                              <w:jc w:val="center"/>
                              <w:rPr>
                                <w:rFonts w:ascii="Century Gothic" w:hAnsi="Century Gothic"/>
                                <w:color w:val="FFFFFF" w:themeColor="background1"/>
                                <w:sz w:val="44"/>
                                <w:szCs w:val="60"/>
                                <w14:shadow w14:blurRad="50800" w14:dist="38100" w14:dir="2700000" w14:sx="100000" w14:sy="100000" w14:kx="0" w14:ky="0" w14:algn="tl">
                                  <w14:srgbClr w14:val="000000">
                                    <w14:alpha w14:val="60000"/>
                                  </w14:srgbClr>
                                </w14:shadow>
                              </w:rPr>
                            </w:pPr>
                            <w:r w:rsidRPr="008D603E">
                              <w:rPr>
                                <w:rFonts w:ascii="Century Gothic" w:hAnsi="Century Gothic"/>
                                <w:color w:val="FFFFFF" w:themeColor="background1"/>
                                <w:sz w:val="44"/>
                                <w:szCs w:val="60"/>
                                <w14:shadow w14:blurRad="50800" w14:dist="38100" w14:dir="2700000" w14:sx="100000" w14:sy="100000" w14:kx="0" w14:ky="0" w14:algn="tl">
                                  <w14:srgbClr w14:val="000000">
                                    <w14:alpha w14:val="60000"/>
                                  </w14:srgbClr>
                                </w14:shadow>
                              </w:rPr>
                              <w:t>Act 129 Statewide Evaluator</w:t>
                            </w:r>
                          </w:p>
                          <w:p w:rsidR="00063A64" w:rsidRPr="008D603E" w:rsidRDefault="00063A64" w:rsidP="00F63DDD">
                            <w:pPr>
                              <w:spacing w:after="240"/>
                              <w:jc w:val="center"/>
                              <w:rPr>
                                <w:rFonts w:ascii="Century Gothic" w:hAnsi="Century Gothic"/>
                                <w:color w:val="FFFFFF" w:themeColor="background1"/>
                                <w:sz w:val="44"/>
                                <w:szCs w:val="60"/>
                                <w14:shadow w14:blurRad="50800" w14:dist="38100" w14:dir="2700000" w14:sx="100000" w14:sy="100000" w14:kx="0" w14:ky="0" w14:algn="tl">
                                  <w14:srgbClr w14:val="000000">
                                    <w14:alpha w14:val="60000"/>
                                  </w14:srgbClr>
                                </w14:shadow>
                              </w:rPr>
                            </w:pPr>
                            <w:r w:rsidRPr="008D603E">
                              <w:rPr>
                                <w:rFonts w:ascii="Century Gothic" w:hAnsi="Century Gothic"/>
                                <w:color w:val="FFFFFF" w:themeColor="background1"/>
                                <w:sz w:val="44"/>
                                <w:szCs w:val="60"/>
                                <w14:shadow w14:blurRad="50800" w14:dist="38100" w14:dir="2700000" w14:sx="100000" w14:sy="100000" w14:kx="0" w14:ky="0" w14:algn="tl">
                                  <w14:srgbClr w14:val="000000">
                                    <w14:alpha w14:val="60000"/>
                                  </w14:srgbClr>
                                </w14:shadow>
                              </w:rPr>
                              <w:t>Phase II Final Report</w:t>
                            </w:r>
                          </w:p>
                          <w:p w:rsidR="00063A64" w:rsidRPr="00F63DDD" w:rsidRDefault="00063A64" w:rsidP="00F63DDD">
                            <w:pPr>
                              <w:jc w:val="center"/>
                              <w:rPr>
                                <w:rFonts w:ascii="Century Gothic" w:hAnsi="Century Gothic"/>
                                <w:b/>
                                <w:smallCaps/>
                                <w:color w:val="FFFFFF" w:themeColor="background1"/>
                                <w:sz w:val="64"/>
                                <w:szCs w:val="6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anchor>
            </w:drawing>
          </mc:Choice>
          <mc:Fallback>
            <w:pict>
              <v:shape w14:anchorId="5CF02BFC" id="_x0000_s1033" type="#_x0000_t202" style="position:absolute;left:0;text-align:left;margin-left:-70.4pt;margin-top:68.35pt;width:609.15pt;height:255.5pt;z-index:2516715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" filled="f" stroked="f">
                <v:textbox>
                  <w:txbxContent>
                    <w:p w:rsidR="00063A64" w:rsidRPr="00E44590" w:rsidRDefault="00063A64" w:rsidP="00E755F3">
                      <w:pPr>
                        <w:spacing w:after="240"/>
                        <w:jc w:val="center"/>
                        <w:rPr>
                          <w:rFonts w:ascii="Century Gothic" w:hAnsi="Century Gothic"/>
                          <w:b/>
                          <w:smallCaps/>
                          <w:color w:val="FFFFFF" w:themeColor="background1"/>
                          <w:sz w:val="52"/>
                          <w:szCs w:val="64"/>
                          <w14:shadow w14:blurRad="50800" w14:dist="38100" w14:dir="2700000" w14:sx="100000" w14:sy="100000" w14:kx="0" w14:ky="0" w14:algn="tl">
                            <w14:srgbClr w14:val="000000">
                              <w14:alpha w14:val="60000"/>
                            </w14:srgbClr>
                          </w14:shadow>
                        </w:rPr>
                      </w:pPr>
                      <w:r w:rsidRPr="00E44590">
                        <w:rPr>
                          <w:rFonts w:ascii="Century Gothic" w:hAnsi="Century Gothic"/>
                          <w:b/>
                          <w:smallCaps/>
                          <w:color w:val="FFFFFF" w:themeColor="background1"/>
                          <w:sz w:val="52"/>
                          <w:szCs w:val="64"/>
                          <w14:shadow w14:blurRad="50800" w14:dist="38100" w14:dir="2700000" w14:sx="100000" w14:sy="100000" w14:kx="0" w14:ky="0" w14:algn="tl">
                            <w14:srgbClr w14:val="000000">
                              <w14:alpha w14:val="60000"/>
                            </w14:srgbClr>
                          </w14:shadow>
                        </w:rPr>
                        <w:t>Pennsylvania Public Utility Commission</w:t>
                      </w:r>
                    </w:p>
                    <w:p w:rsidR="00063A64" w:rsidRPr="008D603E" w:rsidRDefault="00063A64" w:rsidP="00F63DDD">
                      <w:pPr>
                        <w:spacing w:after="120"/>
                        <w:jc w:val="center"/>
                        <w:rPr>
                          <w:rFonts w:ascii="Century Gothic" w:hAnsi="Century Gothic"/>
                          <w:b/>
                          <w:color w:val="FFFFFF" w:themeColor="background1"/>
                          <w:sz w:val="144"/>
                          <w:szCs w:val="60"/>
                          <w14:shadow w14:blurRad="50800" w14:dist="38100" w14:dir="2700000" w14:sx="100000" w14:sy="100000" w14:kx="0" w14:ky="0" w14:algn="tl">
                            <w14:srgbClr w14:val="000000">
                              <w14:alpha w14:val="60000"/>
                            </w14:srgbClr>
                          </w14:shadow>
                        </w:rPr>
                      </w:pPr>
                    </w:p>
                    <w:p w:rsidR="00063A64" w:rsidRPr="008D603E" w:rsidRDefault="00063A64" w:rsidP="00E755F3">
                      <w:pPr>
                        <w:spacing w:before="60"/>
                        <w:jc w:val="center"/>
                        <w:rPr>
                          <w:rFonts w:ascii="Century Gothic" w:hAnsi="Century Gothic"/>
                          <w:color w:val="FFFFFF" w:themeColor="background1"/>
                          <w:sz w:val="44"/>
                          <w:szCs w:val="60"/>
                          <w14:shadow w14:blurRad="50800" w14:dist="38100" w14:dir="2700000" w14:sx="100000" w14:sy="100000" w14:kx="0" w14:ky="0" w14:algn="tl">
                            <w14:srgbClr w14:val="000000">
                              <w14:alpha w14:val="60000"/>
                            </w14:srgbClr>
                          </w14:shadow>
                        </w:rPr>
                      </w:pPr>
                      <w:r w:rsidRPr="008D603E">
                        <w:rPr>
                          <w:rFonts w:ascii="Century Gothic" w:hAnsi="Century Gothic"/>
                          <w:color w:val="FFFFFF" w:themeColor="background1"/>
                          <w:sz w:val="44"/>
                          <w:szCs w:val="60"/>
                          <w14:shadow w14:blurRad="50800" w14:dist="38100" w14:dir="2700000" w14:sx="100000" w14:sy="100000" w14:kx="0" w14:ky="0" w14:algn="tl">
                            <w14:srgbClr w14:val="000000">
                              <w14:alpha w14:val="60000"/>
                            </w14:srgbClr>
                          </w14:shadow>
                        </w:rPr>
                        <w:t>Act 129 Statewide Evaluator</w:t>
                      </w:r>
                    </w:p>
                    <w:p w:rsidR="00063A64" w:rsidRPr="008D603E" w:rsidRDefault="00063A64" w:rsidP="00F63DDD">
                      <w:pPr>
                        <w:spacing w:after="240"/>
                        <w:jc w:val="center"/>
                        <w:rPr>
                          <w:rFonts w:ascii="Century Gothic" w:hAnsi="Century Gothic"/>
                          <w:color w:val="FFFFFF" w:themeColor="background1"/>
                          <w:sz w:val="44"/>
                          <w:szCs w:val="60"/>
                          <w14:shadow w14:blurRad="50800" w14:dist="38100" w14:dir="2700000" w14:sx="100000" w14:sy="100000" w14:kx="0" w14:ky="0" w14:algn="tl">
                            <w14:srgbClr w14:val="000000">
                              <w14:alpha w14:val="60000"/>
                            </w14:srgbClr>
                          </w14:shadow>
                        </w:rPr>
                      </w:pPr>
                      <w:r w:rsidRPr="008D603E">
                        <w:rPr>
                          <w:rFonts w:ascii="Century Gothic" w:hAnsi="Century Gothic"/>
                          <w:color w:val="FFFFFF" w:themeColor="background1"/>
                          <w:sz w:val="44"/>
                          <w:szCs w:val="60"/>
                          <w14:shadow w14:blurRad="50800" w14:dist="38100" w14:dir="2700000" w14:sx="100000" w14:sy="100000" w14:kx="0" w14:ky="0" w14:algn="tl">
                            <w14:srgbClr w14:val="000000">
                              <w14:alpha w14:val="60000"/>
                            </w14:srgbClr>
                          </w14:shadow>
                        </w:rPr>
                        <w:t>Phase II Final Report</w:t>
                      </w:r>
                    </w:p>
                    <w:p w:rsidR="00063A64" w:rsidRPr="00F63DDD" w:rsidRDefault="00063A64" w:rsidP="00F63DDD">
                      <w:pPr>
                        <w:jc w:val="center"/>
                        <w:rPr>
                          <w:rFonts w:ascii="Century Gothic" w:hAnsi="Century Gothic"/>
                          <w:b/>
                          <w:smallCaps/>
                          <w:color w:val="FFFFFF" w:themeColor="background1"/>
                          <w:sz w:val="64"/>
                          <w:szCs w:val="64"/>
                          <w14:shadow w14:blurRad="50800" w14:dist="38100" w14:dir="2700000" w14:sx="100000" w14:sy="100000" w14:kx="0" w14:ky="0" w14:algn="tl">
                            <w14:srgbClr w14:val="000000">
                              <w14:alpha w14:val="60000"/>
                            </w14:srgbClr>
                          </w14:shadow>
                        </w:rPr>
                      </w:pPr>
                    </w:p>
                  </w:txbxContent>
                </v:textbox>
              </v:shape>
            </w:pict>
          </mc:Fallback>
        </mc:AlternateContent>
      </w:r>
      <w:r>
        <w:rPr>
          <w:noProof/>
        </w:rPr>
        <mc:AlternateContent>
          <mc:Choice Requires="wps">
            <w:drawing>
              <wp:anchor distT="0" distB="0" distL="114300" distR="114300" simplePos="0" relativeHeight="251669510" behindDoc="0" locked="0" layoutInCell="1" allowOverlap="1" wp14:anchorId="5E48662F" wp14:editId="1A85123C">
                <wp:simplePos x="0" y="0"/>
                <wp:positionH relativeFrom="column">
                  <wp:posOffset>-894522</wp:posOffset>
                </wp:positionH>
                <wp:positionV relativeFrom="paragraph">
                  <wp:posOffset>4039097</wp:posOffset>
                </wp:positionV>
                <wp:extent cx="7736205" cy="177228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205" cy="1772285"/>
                        </a:xfrm>
                        <a:prstGeom prst="rect">
                          <a:avLst/>
                        </a:prstGeom>
                        <a:noFill/>
                        <a:ln w="9525">
                          <a:noFill/>
                          <a:miter lim="800000"/>
                          <a:headEnd/>
                          <a:tailEnd/>
                        </a:ln>
                      </wps:spPr>
                      <wps:txbx>
                        <w:txbxContent>
                          <w:p w:rsidR="00063A64" w:rsidRPr="00E755F3" w:rsidRDefault="00063A64" w:rsidP="008D603E">
                            <w:pPr>
                              <w:jc w:val="center"/>
                              <w:rPr>
                                <w:rFonts w:ascii="Century Gothic" w:hAnsi="Century Gothic"/>
                                <w:color w:val="FFFFFF" w:themeColor="background1"/>
                                <w:szCs w:val="26"/>
                              </w:rPr>
                            </w:pPr>
                            <w:r w:rsidRPr="00E755F3">
                              <w:rPr>
                                <w:rFonts w:ascii="Century Gothic" w:hAnsi="Century Gothic"/>
                                <w:color w:val="FFFFFF" w:themeColor="background1"/>
                                <w:szCs w:val="26"/>
                              </w:rPr>
                              <w:t xml:space="preserve">Prepared by </w:t>
                            </w:r>
                          </w:p>
                          <w:p w:rsidR="00063A64" w:rsidRPr="009E1340" w:rsidRDefault="00063A64" w:rsidP="009E1340">
                            <w:pPr>
                              <w:spacing w:after="200"/>
                              <w:jc w:val="center"/>
                              <w:rPr>
                                <w:rFonts w:ascii="Century Gothic" w:hAnsi="Century Gothic"/>
                                <w:b/>
                                <w:color w:val="FFFFFF" w:themeColor="background1"/>
                                <w:sz w:val="26"/>
                                <w:szCs w:val="26"/>
                              </w:rPr>
                            </w:pPr>
                            <w:r w:rsidRPr="009E1340">
                              <w:rPr>
                                <w:rFonts w:ascii="Century Gothic" w:hAnsi="Century Gothic"/>
                                <w:b/>
                                <w:color w:val="FFFFFF" w:themeColor="background1"/>
                                <w:sz w:val="26"/>
                                <w:szCs w:val="26"/>
                              </w:rPr>
                              <w:t>Statewide Evaluation Team</w:t>
                            </w:r>
                          </w:p>
                          <w:p w:rsidR="00063A64" w:rsidRPr="00B70BC7" w:rsidRDefault="002F12C2" w:rsidP="00F63DDD">
                            <w:pPr>
                              <w:spacing w:after="120"/>
                              <w:jc w:val="center"/>
                              <w:rPr>
                                <w:rFonts w:ascii="Century Gothic" w:hAnsi="Century Gothic"/>
                                <w:caps/>
                                <w:color w:val="FFFFFF" w:themeColor="background1"/>
                                <w:sz w:val="28"/>
                                <w:szCs w:val="64"/>
                              </w:rPr>
                            </w:pPr>
                            <w:hyperlink r:id="rId186" w:history="1">
                              <w:r w:rsidR="00063A64" w:rsidRPr="00B70BC7">
                                <w:rPr>
                                  <w:rStyle w:val="Hyperlink"/>
                                  <w:rFonts w:ascii="Century Gothic" w:hAnsi="Century Gothic"/>
                                  <w:caps/>
                                  <w:color w:val="FFFFFF" w:themeColor="background1"/>
                                  <w:sz w:val="26"/>
                                  <w:szCs w:val="26"/>
                                  <w:u w:val="none"/>
                                </w:rPr>
                                <w:t>Research Into Action</w:t>
                              </w:r>
                            </w:hyperlink>
                            <w:r w:rsidR="00063A64" w:rsidRPr="008D603E">
                              <w:rPr>
                                <w:rFonts w:ascii="Century Gothic" w:hAnsi="Century Gothic"/>
                                <w:color w:val="FFFFFF" w:themeColor="background1"/>
                                <w:sz w:val="24"/>
                                <w:szCs w:val="64"/>
                              </w:rPr>
                              <w:t xml:space="preserve"> </w:t>
                            </w:r>
                            <w:r w:rsidR="00063A64" w:rsidRPr="00E755F3">
                              <w:rPr>
                                <w:rFonts w:ascii="Century Gothic" w:hAnsi="Century Gothic"/>
                                <w:color w:val="FFFFFF" w:themeColor="background1"/>
                                <w:sz w:val="32"/>
                                <w:szCs w:val="30"/>
                                <w14:shadow w14:blurRad="50800" w14:dist="38100" w14:dir="2700000" w14:sx="100000" w14:sy="100000" w14:kx="0" w14:ky="0" w14:algn="tl">
                                  <w14:srgbClr w14:val="000000">
                                    <w14:alpha w14:val="60000"/>
                                  </w14:srgbClr>
                                </w14:shadow>
                              </w:rPr>
                              <w:t>│</w:t>
                            </w:r>
                            <w:r w:rsidR="00063A64">
                              <w:rPr>
                                <w:rFonts w:ascii="Century Gothic" w:hAnsi="Century Gothic"/>
                                <w:color w:val="FFFFFF" w:themeColor="background1"/>
                                <w:sz w:val="28"/>
                                <w:szCs w:val="64"/>
                              </w:rPr>
                              <w:t xml:space="preserve"> </w:t>
                            </w:r>
                            <w:hyperlink r:id="rId187" w:history="1">
                              <w:r w:rsidR="00063A64" w:rsidRPr="00B70BC7">
                                <w:rPr>
                                  <w:rStyle w:val="Hyperlink"/>
                                  <w:rFonts w:ascii="Century Gothic" w:hAnsi="Century Gothic"/>
                                  <w:caps/>
                                  <w:color w:val="FFFFFF" w:themeColor="background1"/>
                                  <w:sz w:val="30"/>
                                  <w:szCs w:val="30"/>
                                  <w:u w:val="none"/>
                                </w:rPr>
                                <w:t>GDS Associates, Inc.</w:t>
                              </w:r>
                            </w:hyperlink>
                            <w:r w:rsidR="00063A64" w:rsidRPr="00E755F3">
                              <w:rPr>
                                <w:rFonts w:ascii="Century Gothic" w:hAnsi="Century Gothic"/>
                                <w:color w:val="FFFFFF" w:themeColor="background1"/>
                                <w:sz w:val="24"/>
                                <w:szCs w:val="64"/>
                              </w:rPr>
                              <w:t xml:space="preserve"> </w:t>
                            </w:r>
                            <w:r w:rsidR="00063A64" w:rsidRPr="00E755F3">
                              <w:rPr>
                                <w:rFonts w:ascii="Century Gothic" w:hAnsi="Century Gothic"/>
                                <w:color w:val="FFFFFF" w:themeColor="background1"/>
                                <w:sz w:val="32"/>
                                <w:szCs w:val="30"/>
                                <w14:shadow w14:blurRad="50800" w14:dist="38100" w14:dir="2700000" w14:sx="100000" w14:sy="100000" w14:kx="0" w14:ky="0" w14:algn="tl">
                                  <w14:srgbClr w14:val="000000">
                                    <w14:alpha w14:val="60000"/>
                                  </w14:srgbClr>
                                </w14:shadow>
                              </w:rPr>
                              <w:t>│</w:t>
                            </w:r>
                            <w:r w:rsidR="00063A64">
                              <w:rPr>
                                <w:rFonts w:ascii="Century Gothic" w:hAnsi="Century Gothic"/>
                                <w:color w:val="FFFFFF" w:themeColor="background1"/>
                                <w:sz w:val="28"/>
                                <w:szCs w:val="64"/>
                              </w:rPr>
                              <w:t xml:space="preserve"> </w:t>
                            </w:r>
                            <w:hyperlink r:id="rId188" w:history="1">
                              <w:r w:rsidR="00063A64" w:rsidRPr="00B70BC7">
                                <w:rPr>
                                  <w:rStyle w:val="Hyperlink"/>
                                  <w:rFonts w:ascii="Century Gothic" w:hAnsi="Century Gothic"/>
                                  <w:caps/>
                                  <w:color w:val="FFFFFF" w:themeColor="background1"/>
                                  <w:sz w:val="26"/>
                                  <w:szCs w:val="26"/>
                                  <w:u w:val="none"/>
                                </w:rPr>
                                <w:t>Apex Analytics</w:t>
                              </w:r>
                            </w:hyperlink>
                            <w:r w:rsidR="00063A64" w:rsidRPr="00B70BC7">
                              <w:rPr>
                                <w:rFonts w:ascii="Century Gothic" w:hAnsi="Century Gothic"/>
                                <w:caps/>
                                <w:color w:val="FFFFFF" w:themeColor="background1"/>
                                <w:sz w:val="26"/>
                                <w:szCs w:val="26"/>
                              </w:rPr>
                              <w:t>, LLC</w:t>
                            </w:r>
                          </w:p>
                          <w:p w:rsidR="00063A64" w:rsidRPr="00682654" w:rsidRDefault="00063A64" w:rsidP="00F63DDD">
                            <w:pPr>
                              <w:spacing w:after="120"/>
                              <w:jc w:val="center"/>
                              <w:rPr>
                                <w:rFonts w:ascii="Century Gothic" w:hAnsi="Century Gothic"/>
                                <w:color w:val="FFFFFF" w:themeColor="background1"/>
                                <w:sz w:val="28"/>
                                <w:szCs w:val="64"/>
                              </w:rPr>
                            </w:pPr>
                          </w:p>
                        </w:txbxContent>
                      </wps:txbx>
                      <wps:bodyPr rot="0" vert="horz" wrap="square" lIns="91440" tIns="45720" rIns="91440" bIns="45720" anchor="t" anchorCtr="0">
                        <a:noAutofit/>
                      </wps:bodyPr>
                    </wps:wsp>
                  </a:graphicData>
                </a:graphic>
              </wp:anchor>
            </w:drawing>
          </mc:Choice>
          <mc:Fallback>
            <w:pict>
              <v:shape w14:anchorId="5E48662F" id="_x0000_s1034" type="#_x0000_t202" style="position:absolute;left:0;text-align:left;margin-left:-70.45pt;margin-top:318.05pt;width:609.15pt;height:139.55pt;z-index:2516695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" filled="f" stroked="f">
                <v:textbox>
                  <w:txbxContent>
                    <w:p w:rsidR="00063A64" w:rsidRPr="00E755F3" w:rsidRDefault="00063A64" w:rsidP="008D603E">
                      <w:pPr>
                        <w:jc w:val="center"/>
                        <w:rPr>
                          <w:rFonts w:ascii="Century Gothic" w:hAnsi="Century Gothic"/>
                          <w:color w:val="FFFFFF" w:themeColor="background1"/>
                          <w:szCs w:val="26"/>
                        </w:rPr>
                      </w:pPr>
                      <w:r w:rsidRPr="00E755F3">
                        <w:rPr>
                          <w:rFonts w:ascii="Century Gothic" w:hAnsi="Century Gothic"/>
                          <w:color w:val="FFFFFF" w:themeColor="background1"/>
                          <w:szCs w:val="26"/>
                        </w:rPr>
                        <w:t xml:space="preserve">Prepared by </w:t>
                      </w:r>
                    </w:p>
                    <w:p w:rsidR="00063A64" w:rsidRPr="009E1340" w:rsidRDefault="00063A64" w:rsidP="009E1340">
                      <w:pPr>
                        <w:spacing w:after="200"/>
                        <w:jc w:val="center"/>
                        <w:rPr>
                          <w:rFonts w:ascii="Century Gothic" w:hAnsi="Century Gothic"/>
                          <w:b/>
                          <w:color w:val="FFFFFF" w:themeColor="background1"/>
                          <w:sz w:val="26"/>
                          <w:szCs w:val="26"/>
                        </w:rPr>
                      </w:pPr>
                      <w:r w:rsidRPr="009E1340">
                        <w:rPr>
                          <w:rFonts w:ascii="Century Gothic" w:hAnsi="Century Gothic"/>
                          <w:b/>
                          <w:color w:val="FFFFFF" w:themeColor="background1"/>
                          <w:sz w:val="26"/>
                          <w:szCs w:val="26"/>
                        </w:rPr>
                        <w:t>Statewide Evaluation Team</w:t>
                      </w:r>
                    </w:p>
                    <w:p w:rsidR="00063A64" w:rsidRPr="00B70BC7" w:rsidRDefault="00A91C81" w:rsidP="00F63DDD">
                      <w:pPr>
                        <w:spacing w:after="120"/>
                        <w:jc w:val="center"/>
                        <w:rPr>
                          <w:rFonts w:ascii="Century Gothic" w:hAnsi="Century Gothic"/>
                          <w:caps/>
                          <w:color w:val="FFFFFF" w:themeColor="background1"/>
                          <w:sz w:val="28"/>
                          <w:szCs w:val="64"/>
                        </w:rPr>
                      </w:pPr>
                      <w:hyperlink r:id="rId189" w:history="1">
                        <w:r w:rsidR="00063A64" w:rsidRPr="00B70BC7">
                          <w:rPr>
                            <w:rStyle w:val="Hyperlink"/>
                            <w:rFonts w:ascii="Century Gothic" w:hAnsi="Century Gothic"/>
                            <w:caps/>
                            <w:color w:val="FFFFFF" w:themeColor="background1"/>
                            <w:sz w:val="26"/>
                            <w:szCs w:val="26"/>
                            <w:u w:val="none"/>
                          </w:rPr>
                          <w:t>Research Into Action</w:t>
                        </w:r>
                      </w:hyperlink>
                      <w:r w:rsidR="00063A64" w:rsidRPr="008D603E">
                        <w:rPr>
                          <w:rFonts w:ascii="Century Gothic" w:hAnsi="Century Gothic"/>
                          <w:color w:val="FFFFFF" w:themeColor="background1"/>
                          <w:sz w:val="24"/>
                          <w:szCs w:val="64"/>
                        </w:rPr>
                        <w:t xml:space="preserve"> </w:t>
                      </w:r>
                      <w:r w:rsidR="00063A64" w:rsidRPr="00E755F3">
                        <w:rPr>
                          <w:rFonts w:ascii="Century Gothic" w:hAnsi="Century Gothic"/>
                          <w:color w:val="FFFFFF" w:themeColor="background1"/>
                          <w:sz w:val="32"/>
                          <w:szCs w:val="30"/>
                          <w14:shadow w14:blurRad="50800" w14:dist="38100" w14:dir="2700000" w14:sx="100000" w14:sy="100000" w14:kx="0" w14:ky="0" w14:algn="tl">
                            <w14:srgbClr w14:val="000000">
                              <w14:alpha w14:val="60000"/>
                            </w14:srgbClr>
                          </w14:shadow>
                        </w:rPr>
                        <w:t>│</w:t>
                      </w:r>
                      <w:r w:rsidR="00063A64">
                        <w:rPr>
                          <w:rFonts w:ascii="Century Gothic" w:hAnsi="Century Gothic"/>
                          <w:color w:val="FFFFFF" w:themeColor="background1"/>
                          <w:sz w:val="28"/>
                          <w:szCs w:val="64"/>
                        </w:rPr>
                        <w:t xml:space="preserve"> </w:t>
                      </w:r>
                      <w:hyperlink r:id="rId190" w:history="1">
                        <w:r w:rsidR="00063A64" w:rsidRPr="00B70BC7">
                          <w:rPr>
                            <w:rStyle w:val="Hyperlink"/>
                            <w:rFonts w:ascii="Century Gothic" w:hAnsi="Century Gothic"/>
                            <w:caps/>
                            <w:color w:val="FFFFFF" w:themeColor="background1"/>
                            <w:sz w:val="30"/>
                            <w:szCs w:val="30"/>
                            <w:u w:val="none"/>
                          </w:rPr>
                          <w:t>GDS Associates, Inc.</w:t>
                        </w:r>
                      </w:hyperlink>
                      <w:r w:rsidR="00063A64" w:rsidRPr="00E755F3">
                        <w:rPr>
                          <w:rFonts w:ascii="Century Gothic" w:hAnsi="Century Gothic"/>
                          <w:color w:val="FFFFFF" w:themeColor="background1"/>
                          <w:sz w:val="24"/>
                          <w:szCs w:val="64"/>
                        </w:rPr>
                        <w:t xml:space="preserve"> </w:t>
                      </w:r>
                      <w:r w:rsidR="00063A64" w:rsidRPr="00E755F3">
                        <w:rPr>
                          <w:rFonts w:ascii="Century Gothic" w:hAnsi="Century Gothic"/>
                          <w:color w:val="FFFFFF" w:themeColor="background1"/>
                          <w:sz w:val="32"/>
                          <w:szCs w:val="30"/>
                          <w14:shadow w14:blurRad="50800" w14:dist="38100" w14:dir="2700000" w14:sx="100000" w14:sy="100000" w14:kx="0" w14:ky="0" w14:algn="tl">
                            <w14:srgbClr w14:val="000000">
                              <w14:alpha w14:val="60000"/>
                            </w14:srgbClr>
                          </w14:shadow>
                        </w:rPr>
                        <w:t>│</w:t>
                      </w:r>
                      <w:r w:rsidR="00063A64">
                        <w:rPr>
                          <w:rFonts w:ascii="Century Gothic" w:hAnsi="Century Gothic"/>
                          <w:color w:val="FFFFFF" w:themeColor="background1"/>
                          <w:sz w:val="28"/>
                          <w:szCs w:val="64"/>
                        </w:rPr>
                        <w:t xml:space="preserve"> </w:t>
                      </w:r>
                      <w:hyperlink r:id="rId191" w:history="1">
                        <w:r w:rsidR="00063A64" w:rsidRPr="00B70BC7">
                          <w:rPr>
                            <w:rStyle w:val="Hyperlink"/>
                            <w:rFonts w:ascii="Century Gothic" w:hAnsi="Century Gothic"/>
                            <w:caps/>
                            <w:color w:val="FFFFFF" w:themeColor="background1"/>
                            <w:sz w:val="26"/>
                            <w:szCs w:val="26"/>
                            <w:u w:val="none"/>
                          </w:rPr>
                          <w:t>Apex Analytics</w:t>
                        </w:r>
                      </w:hyperlink>
                      <w:r w:rsidR="00063A64" w:rsidRPr="00B70BC7">
                        <w:rPr>
                          <w:rFonts w:ascii="Century Gothic" w:hAnsi="Century Gothic"/>
                          <w:caps/>
                          <w:color w:val="FFFFFF" w:themeColor="background1"/>
                          <w:sz w:val="26"/>
                          <w:szCs w:val="26"/>
                        </w:rPr>
                        <w:t>, LLC</w:t>
                      </w:r>
                    </w:p>
                    <w:p w:rsidR="00063A64" w:rsidRPr="00682654" w:rsidRDefault="00063A64" w:rsidP="00F63DDD">
                      <w:pPr>
                        <w:spacing w:after="120"/>
                        <w:jc w:val="center"/>
                        <w:rPr>
                          <w:rFonts w:ascii="Century Gothic" w:hAnsi="Century Gothic"/>
                          <w:color w:val="FFFFFF" w:themeColor="background1"/>
                          <w:sz w:val="28"/>
                          <w:szCs w:val="64"/>
                        </w:rPr>
                      </w:pPr>
                    </w:p>
                  </w:txbxContent>
                </v:textbox>
              </v:shape>
            </w:pict>
          </mc:Fallback>
        </mc:AlternateContent>
      </w:r>
      <w:r>
        <w:rPr>
          <w:noProof/>
        </w:rPr>
        <mc:AlternateContent>
          <mc:Choice Requires="wps">
            <w:drawing>
              <wp:anchor distT="0" distB="0" distL="114300" distR="114300" simplePos="0" relativeHeight="251673606" behindDoc="0" locked="0" layoutInCell="1" allowOverlap="1" wp14:anchorId="7E19569E" wp14:editId="2D1CEEE6">
                <wp:simplePos x="0" y="0"/>
                <wp:positionH relativeFrom="column">
                  <wp:posOffset>-894522</wp:posOffset>
                </wp:positionH>
                <wp:positionV relativeFrom="paragraph">
                  <wp:posOffset>7786149</wp:posOffset>
                </wp:positionV>
                <wp:extent cx="7736205" cy="454062"/>
                <wp:effectExtent l="0" t="0" r="0" b="31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205" cy="454062"/>
                        </a:xfrm>
                        <a:prstGeom prst="rect">
                          <a:avLst/>
                        </a:prstGeom>
                        <a:noFill/>
                        <a:ln w="9525">
                          <a:noFill/>
                          <a:miter lim="800000"/>
                          <a:headEnd/>
                          <a:tailEnd/>
                        </a:ln>
                      </wps:spPr>
                      <wps:txbx>
                        <w:txbxContent>
                          <w:p w:rsidR="00063A64" w:rsidRPr="00E44590" w:rsidRDefault="002F12C2" w:rsidP="00E755F3">
                            <w:pPr>
                              <w:jc w:val="center"/>
                              <w:rPr>
                                <w:rFonts w:ascii="Century Gothic" w:hAnsi="Century Gothic"/>
                                <w:color w:val="FFFFFF" w:themeColor="background1"/>
                                <w:sz w:val="15"/>
                                <w:szCs w:val="15"/>
                              </w:rPr>
                            </w:pPr>
                            <w:hyperlink r:id="rId192" w:history="1">
                              <w:r w:rsidR="00063A64" w:rsidRPr="00E44590">
                                <w:rPr>
                                  <w:rStyle w:val="Hyperlink"/>
                                  <w:rFonts w:ascii="Century Gothic" w:hAnsi="Century Gothic"/>
                                  <w:b/>
                                  <w:caps/>
                                  <w:color w:val="FFFFFF" w:themeColor="background1"/>
                                  <w:sz w:val="15"/>
                                  <w:szCs w:val="15"/>
                                  <w:u w:val="none"/>
                                </w:rPr>
                                <w:t>GDS Associates, Inc.</w:t>
                              </w:r>
                            </w:hyperlink>
                            <w:r w:rsidR="00063A64" w:rsidRPr="00E44590">
                              <w:rPr>
                                <w:rFonts w:ascii="Century Gothic" w:hAnsi="Century Gothic"/>
                                <w:b/>
                                <w:color w:val="FFFFFF" w:themeColor="background1"/>
                                <w:sz w:val="15"/>
                                <w:szCs w:val="15"/>
                              </w:rPr>
                              <w:t xml:space="preserve"> </w:t>
                            </w:r>
                            <w:r w:rsidR="00063A64" w:rsidRPr="00E44590">
                              <w:rPr>
                                <w:rFonts w:ascii="Century Gothic" w:hAnsi="Century Gothic"/>
                                <w:color w:val="FFFFFF" w:themeColor="background1"/>
                                <w:sz w:val="15"/>
                                <w:szCs w:val="15"/>
                              </w:rPr>
                              <w:t>1850 Parkway Place Suite 800 Marietta GA 30067 (770) 425-8100</w:t>
                            </w:r>
                          </w:p>
                          <w:p w:rsidR="00063A64" w:rsidRPr="00E44590" w:rsidRDefault="002F12C2" w:rsidP="00E755F3">
                            <w:pPr>
                              <w:jc w:val="center"/>
                              <w:rPr>
                                <w:rFonts w:ascii="Century Gothic" w:hAnsi="Century Gothic"/>
                                <w:color w:val="FFFFFF" w:themeColor="background1"/>
                                <w:sz w:val="16"/>
                                <w:szCs w:val="16"/>
                              </w:rPr>
                            </w:pPr>
                            <w:hyperlink r:id="rId193" w:history="1">
                              <w:r w:rsidR="00063A64" w:rsidRPr="00E44590">
                                <w:rPr>
                                  <w:rStyle w:val="Hyperlink"/>
                                  <w:rFonts w:ascii="Century Gothic" w:hAnsi="Century Gothic"/>
                                  <w:b/>
                                  <w:caps/>
                                  <w:color w:val="FFFFFF" w:themeColor="background1"/>
                                  <w:sz w:val="15"/>
                                  <w:szCs w:val="15"/>
                                  <w:u w:val="none"/>
                                </w:rPr>
                                <w:t>Research Into Action</w:t>
                              </w:r>
                            </w:hyperlink>
                            <w:r w:rsidR="00063A64" w:rsidRPr="00E44590">
                              <w:rPr>
                                <w:rFonts w:ascii="Century Gothic" w:hAnsi="Century Gothic"/>
                                <w:color w:val="FFFFFF" w:themeColor="background1"/>
                                <w:sz w:val="15"/>
                                <w:szCs w:val="15"/>
                              </w:rPr>
                              <w:t xml:space="preserve"> PO Box 12312 Portland OR 97212 (503) 287-9136</w:t>
                            </w:r>
                            <w:r w:rsidR="00063A64" w:rsidRPr="00E44590">
                              <w:rPr>
                                <w:rFonts w:ascii="Century Gothic" w:hAnsi="Century Gothic"/>
                                <w:color w:val="FFFFFF" w:themeColor="background1"/>
                                <w:sz w:val="20"/>
                                <w:szCs w:val="20"/>
                              </w:rPr>
                              <w:t>│</w:t>
                            </w:r>
                            <w:hyperlink r:id="rId194" w:history="1">
                              <w:r w:rsidR="00063A64" w:rsidRPr="00E44590">
                                <w:rPr>
                                  <w:rStyle w:val="Hyperlink"/>
                                  <w:rFonts w:ascii="Century Gothic" w:hAnsi="Century Gothic"/>
                                  <w:b/>
                                  <w:caps/>
                                  <w:color w:val="FFFFFF" w:themeColor="background1"/>
                                  <w:sz w:val="15"/>
                                  <w:szCs w:val="15"/>
                                  <w:u w:val="none"/>
                                </w:rPr>
                                <w:t>Apex Analytics</w:t>
                              </w:r>
                            </w:hyperlink>
                            <w:r w:rsidR="00063A64" w:rsidRPr="00E44590">
                              <w:rPr>
                                <w:rFonts w:ascii="Century Gothic" w:hAnsi="Century Gothic"/>
                                <w:b/>
                                <w:caps/>
                                <w:color w:val="FFFFFF" w:themeColor="background1"/>
                                <w:sz w:val="15"/>
                                <w:szCs w:val="15"/>
                              </w:rPr>
                              <w:t>, LLC</w:t>
                            </w:r>
                            <w:r w:rsidR="00063A64" w:rsidRPr="00E44590">
                              <w:rPr>
                                <w:rFonts w:ascii="Century Gothic" w:hAnsi="Century Gothic"/>
                                <w:color w:val="FFFFFF" w:themeColor="background1"/>
                                <w:sz w:val="15"/>
                                <w:szCs w:val="15"/>
                              </w:rPr>
                              <w:t xml:space="preserve"> 1525 Spruce Street Suite 200 Boulder CO 80302 (303) 590-9888</w:t>
                            </w:r>
                          </w:p>
                          <w:p w:rsidR="00063A64" w:rsidRPr="00E44590" w:rsidRDefault="00063A64" w:rsidP="00E755F3">
                            <w:pPr>
                              <w:spacing w:after="120"/>
                              <w:jc w:val="center"/>
                              <w:rPr>
                                <w:rFonts w:ascii="Century Gothic" w:hAnsi="Century Gothic"/>
                                <w:color w:val="FFFFFF" w:themeColor="background1"/>
                                <w:sz w:val="28"/>
                                <w:szCs w:val="64"/>
                              </w:rPr>
                            </w:pPr>
                          </w:p>
                        </w:txbxContent>
                      </wps:txbx>
                      <wps:bodyPr rot="0" vert="horz" wrap="square" lIns="91440" tIns="45720" rIns="91440" bIns="45720" anchor="t" anchorCtr="0">
                        <a:noAutofit/>
                      </wps:bodyPr>
                    </wps:wsp>
                  </a:graphicData>
                </a:graphic>
              </wp:anchor>
            </w:drawing>
          </mc:Choice>
          <mc:Fallback>
            <w:pict>
              <v:shape w14:anchorId="7E19569E" id="_x0000_s1035" type="#_x0000_t202" style="position:absolute;left:0;text-align:left;margin-left:-70.45pt;margin-top:613.1pt;width:609.15pt;height:35.75pt;z-index:2516736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" filled="f" stroked="f">
                <v:textbox>
                  <w:txbxContent>
                    <w:p w:rsidR="00063A64" w:rsidRPr="00E44590" w:rsidRDefault="00A91C81" w:rsidP="00E755F3">
                      <w:pPr>
                        <w:jc w:val="center"/>
                        <w:rPr>
                          <w:rFonts w:ascii="Century Gothic" w:hAnsi="Century Gothic"/>
                          <w:color w:val="FFFFFF" w:themeColor="background1"/>
                          <w:sz w:val="15"/>
                          <w:szCs w:val="15"/>
                        </w:rPr>
                      </w:pPr>
                      <w:hyperlink r:id="rId195" w:history="1">
                        <w:r w:rsidR="00063A64" w:rsidRPr="00E44590">
                          <w:rPr>
                            <w:rStyle w:val="Hyperlink"/>
                            <w:rFonts w:ascii="Century Gothic" w:hAnsi="Century Gothic"/>
                            <w:b/>
                            <w:caps/>
                            <w:color w:val="FFFFFF" w:themeColor="background1"/>
                            <w:sz w:val="15"/>
                            <w:szCs w:val="15"/>
                            <w:u w:val="none"/>
                          </w:rPr>
                          <w:t>GDS Associates, Inc.</w:t>
                        </w:r>
                      </w:hyperlink>
                      <w:r w:rsidR="00063A64" w:rsidRPr="00E44590">
                        <w:rPr>
                          <w:rFonts w:ascii="Century Gothic" w:hAnsi="Century Gothic"/>
                          <w:b/>
                          <w:color w:val="FFFFFF" w:themeColor="background1"/>
                          <w:sz w:val="15"/>
                          <w:szCs w:val="15"/>
                        </w:rPr>
                        <w:t xml:space="preserve"> </w:t>
                      </w:r>
                      <w:r w:rsidR="00063A64" w:rsidRPr="00E44590">
                        <w:rPr>
                          <w:rFonts w:ascii="Century Gothic" w:hAnsi="Century Gothic"/>
                          <w:color w:val="FFFFFF" w:themeColor="background1"/>
                          <w:sz w:val="15"/>
                          <w:szCs w:val="15"/>
                        </w:rPr>
                        <w:t>1850 Parkway Place Suite 800 Marietta GA 30067 (770) 425-8100</w:t>
                      </w:r>
                    </w:p>
                    <w:p w:rsidR="00063A64" w:rsidRPr="00E44590" w:rsidRDefault="00A91C81" w:rsidP="00E755F3">
                      <w:pPr>
                        <w:jc w:val="center"/>
                        <w:rPr>
                          <w:rFonts w:ascii="Century Gothic" w:hAnsi="Century Gothic"/>
                          <w:color w:val="FFFFFF" w:themeColor="background1"/>
                          <w:sz w:val="16"/>
                          <w:szCs w:val="16"/>
                        </w:rPr>
                      </w:pPr>
                      <w:hyperlink r:id="rId196" w:history="1">
                        <w:r w:rsidR="00063A64" w:rsidRPr="00E44590">
                          <w:rPr>
                            <w:rStyle w:val="Hyperlink"/>
                            <w:rFonts w:ascii="Century Gothic" w:hAnsi="Century Gothic"/>
                            <w:b/>
                            <w:caps/>
                            <w:color w:val="FFFFFF" w:themeColor="background1"/>
                            <w:sz w:val="15"/>
                            <w:szCs w:val="15"/>
                            <w:u w:val="none"/>
                          </w:rPr>
                          <w:t>Research Into Action</w:t>
                        </w:r>
                      </w:hyperlink>
                      <w:r w:rsidR="00063A64" w:rsidRPr="00E44590">
                        <w:rPr>
                          <w:rFonts w:ascii="Century Gothic" w:hAnsi="Century Gothic"/>
                          <w:color w:val="FFFFFF" w:themeColor="background1"/>
                          <w:sz w:val="15"/>
                          <w:szCs w:val="15"/>
                        </w:rPr>
                        <w:t xml:space="preserve"> PO Box 12312 Portland OR 97212 (503) 287-9136</w:t>
                      </w:r>
                      <w:r w:rsidR="00063A64" w:rsidRPr="00E44590">
                        <w:rPr>
                          <w:rFonts w:ascii="Century Gothic" w:hAnsi="Century Gothic"/>
                          <w:color w:val="FFFFFF" w:themeColor="background1"/>
                          <w:sz w:val="20"/>
                          <w:szCs w:val="20"/>
                        </w:rPr>
                        <w:t>│</w:t>
                      </w:r>
                      <w:hyperlink r:id="rId197" w:history="1">
                        <w:r w:rsidR="00063A64" w:rsidRPr="00E44590">
                          <w:rPr>
                            <w:rStyle w:val="Hyperlink"/>
                            <w:rFonts w:ascii="Century Gothic" w:hAnsi="Century Gothic"/>
                            <w:b/>
                            <w:caps/>
                            <w:color w:val="FFFFFF" w:themeColor="background1"/>
                            <w:sz w:val="15"/>
                            <w:szCs w:val="15"/>
                            <w:u w:val="none"/>
                          </w:rPr>
                          <w:t>Apex Analytics</w:t>
                        </w:r>
                      </w:hyperlink>
                      <w:r w:rsidR="00063A64" w:rsidRPr="00E44590">
                        <w:rPr>
                          <w:rFonts w:ascii="Century Gothic" w:hAnsi="Century Gothic"/>
                          <w:b/>
                          <w:caps/>
                          <w:color w:val="FFFFFF" w:themeColor="background1"/>
                          <w:sz w:val="15"/>
                          <w:szCs w:val="15"/>
                        </w:rPr>
                        <w:t>, LLC</w:t>
                      </w:r>
                      <w:r w:rsidR="00063A64" w:rsidRPr="00E44590">
                        <w:rPr>
                          <w:rFonts w:ascii="Century Gothic" w:hAnsi="Century Gothic"/>
                          <w:color w:val="FFFFFF" w:themeColor="background1"/>
                          <w:sz w:val="15"/>
                          <w:szCs w:val="15"/>
                        </w:rPr>
                        <w:t xml:space="preserve"> 1525 Spruce Street Suite 200 Boulder CO 80302 (303) 590-9888</w:t>
                      </w:r>
                    </w:p>
                    <w:p w:rsidR="00063A64" w:rsidRPr="00E44590" w:rsidRDefault="00063A64" w:rsidP="00E755F3">
                      <w:pPr>
                        <w:spacing w:after="120"/>
                        <w:jc w:val="center"/>
                        <w:rPr>
                          <w:rFonts w:ascii="Century Gothic" w:hAnsi="Century Gothic"/>
                          <w:color w:val="FFFFFF" w:themeColor="background1"/>
                          <w:sz w:val="28"/>
                          <w:szCs w:val="64"/>
                        </w:rPr>
                      </w:pPr>
                    </w:p>
                  </w:txbxContent>
                </v:textbox>
              </v:shape>
            </w:pict>
          </mc:Fallback>
        </mc:AlternateContent>
      </w:r>
    </w:p>
    <w:sectPr w:rsidR="002A5B38" w:rsidRPr="00FF409E" w:rsidSect="00E45861">
      <w:headerReference w:type="first" r:id="rId198"/>
      <w:footerReference w:type="first" r:id="rId199"/>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CF0" w:rsidRDefault="007F0CF0" w:rsidP="00454B08">
      <w:r>
        <w:separator/>
      </w:r>
    </w:p>
  </w:endnote>
  <w:endnote w:type="continuationSeparator" w:id="0">
    <w:p w:rsidR="007F0CF0" w:rsidRDefault="007F0CF0" w:rsidP="00454B08">
      <w:r>
        <w:continuationSeparator/>
      </w:r>
    </w:p>
  </w:endnote>
  <w:endnote w:type="continuationNotice" w:id="1">
    <w:p w:rsidR="007F0CF0" w:rsidRDefault="007F0C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GillSans">
    <w:altName w:val="Times New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Default="00063A64" w:rsidP="00844A91">
    <w:pPr>
      <w:pStyle w:val="Footer"/>
      <w:pBdr>
        <w:bottom w:val="single" w:sz="6" w:space="1" w:color="auto"/>
      </w:pBdr>
      <w:jc w:val="center"/>
    </w:pPr>
  </w:p>
  <w:p w:rsidR="00063A64" w:rsidRDefault="00063A64" w:rsidP="00844A91">
    <w:pPr>
      <w:pStyle w:val="Footer"/>
      <w:jc w:val="center"/>
    </w:pPr>
    <w:r w:rsidRPr="00844A91">
      <w:rPr>
        <w:b/>
        <w:sz w:val="24"/>
        <w:szCs w:val="24"/>
      </w:rPr>
      <w:t>[</w:t>
    </w:r>
    <w:r w:rsidRPr="00844A91">
      <w:rPr>
        <w:b/>
        <w:sz w:val="24"/>
        <w:szCs w:val="24"/>
      </w:rPr>
      <w:fldChar w:fldCharType="begin"/>
    </w:r>
    <w:r w:rsidRPr="00844A91">
      <w:rPr>
        <w:b/>
        <w:sz w:val="24"/>
        <w:szCs w:val="24"/>
      </w:rPr>
      <w:instrText xml:space="preserve"> PAGE   \* MERGEFORMAT </w:instrText>
    </w:r>
    <w:r w:rsidRPr="00844A91">
      <w:rPr>
        <w:b/>
        <w:sz w:val="24"/>
        <w:szCs w:val="24"/>
      </w:rPr>
      <w:fldChar w:fldCharType="separate"/>
    </w:r>
    <w:r>
      <w:rPr>
        <w:b/>
        <w:noProof/>
        <w:sz w:val="24"/>
        <w:szCs w:val="24"/>
      </w:rPr>
      <w:t>i</w:t>
    </w:r>
    <w:r w:rsidRPr="00844A91">
      <w:rPr>
        <w:b/>
        <w:sz w:val="24"/>
        <w:szCs w:val="24"/>
      </w:rPr>
      <w:fldChar w:fldCharType="end"/>
    </w:r>
    <w:r w:rsidRPr="00844A91">
      <w:rPr>
        <w:b/>
        <w:sz w:val="24"/>
        <w:szCs w:val="24"/>
      </w:rPr>
      <w:t>]</w:t>
    </w:r>
  </w:p>
  <w:p w:rsidR="00063A64" w:rsidRDefault="00063A64" w:rsidP="00844A9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5D6981" w:rsidRDefault="00063A64" w:rsidP="005D698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140</w:t>
    </w:r>
    <w:r w:rsidRPr="00360EF8">
      <w:rPr>
        <w:rFonts w:ascii="Century Gothic" w:hAnsi="Century Gothic"/>
        <w:b/>
        <w:noProof/>
        <w:color w:val="448A99"/>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042BD4" w:rsidRDefault="00063A64" w:rsidP="00042BD4">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139</w:t>
    </w:r>
    <w:r w:rsidRPr="00360EF8">
      <w:rPr>
        <w:rFonts w:ascii="Century Gothic" w:hAnsi="Century Gothic"/>
        <w:b/>
        <w:noProof/>
        <w:color w:val="448A99"/>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5D6981" w:rsidRDefault="00063A64" w:rsidP="005D698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142</w:t>
    </w:r>
    <w:r w:rsidRPr="00360EF8">
      <w:rPr>
        <w:rFonts w:ascii="Century Gothic" w:hAnsi="Century Gothic"/>
        <w:b/>
        <w:noProof/>
        <w:color w:val="448A99"/>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042BD4" w:rsidRDefault="00063A64" w:rsidP="00042BD4">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141</w:t>
    </w:r>
    <w:r w:rsidRPr="00360EF8">
      <w:rPr>
        <w:rFonts w:ascii="Century Gothic" w:hAnsi="Century Gothic"/>
        <w:b/>
        <w:noProof/>
        <w:color w:val="448A99"/>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5D6981" w:rsidRDefault="00063A64" w:rsidP="005D698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146</w:t>
    </w:r>
    <w:r w:rsidRPr="00360EF8">
      <w:rPr>
        <w:rFonts w:ascii="Century Gothic" w:hAnsi="Century Gothic"/>
        <w:b/>
        <w:noProof/>
        <w:color w:val="448A99"/>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042BD4" w:rsidRDefault="00063A64" w:rsidP="00042BD4">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145</w:t>
    </w:r>
    <w:r w:rsidRPr="00360EF8">
      <w:rPr>
        <w:rFonts w:ascii="Century Gothic" w:hAnsi="Century Gothic"/>
        <w:b/>
        <w:noProof/>
        <w:color w:val="448A99"/>
        <w:sz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5D6981" w:rsidRDefault="00063A64" w:rsidP="005D698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167</w:t>
    </w:r>
    <w:r w:rsidRPr="00360EF8">
      <w:rPr>
        <w:rFonts w:ascii="Century Gothic" w:hAnsi="Century Gothic"/>
        <w:b/>
        <w:noProof/>
        <w:color w:val="448A99"/>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042BD4" w:rsidRDefault="00063A64" w:rsidP="00042BD4">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147</w:t>
    </w:r>
    <w:r w:rsidRPr="00360EF8">
      <w:rPr>
        <w:rFonts w:ascii="Century Gothic" w:hAnsi="Century Gothic"/>
        <w:b/>
        <w:noProof/>
        <w:color w:val="448A99"/>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5D6981" w:rsidRDefault="00063A64" w:rsidP="005D698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169</w:t>
    </w:r>
    <w:r w:rsidRPr="00360EF8">
      <w:rPr>
        <w:rFonts w:ascii="Century Gothic" w:hAnsi="Century Gothic"/>
        <w:b/>
        <w:noProof/>
        <w:color w:val="448A99"/>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042BD4" w:rsidRDefault="00063A64" w:rsidP="00042BD4">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168</w:t>
    </w:r>
    <w:r w:rsidRPr="00360EF8">
      <w:rPr>
        <w:rFonts w:ascii="Century Gothic" w:hAnsi="Century Gothic"/>
        <w:b/>
        <w:noProof/>
        <w:color w:val="448A99"/>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964869" w:rsidRDefault="00063A64" w:rsidP="0096486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0F695C" w:rsidRDefault="00063A64" w:rsidP="00380FF9">
    <w:pPr>
      <w:pStyle w:val="Footer"/>
      <w:pBdr>
        <w:top w:val="single" w:sz="4" w:space="1" w:color="auto"/>
      </w:pBdr>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173</w:t>
    </w:r>
    <w:r w:rsidRPr="00360EF8">
      <w:rPr>
        <w:rFonts w:ascii="Century Gothic" w:hAnsi="Century Gothic"/>
        <w:b/>
        <w:noProof/>
        <w:color w:val="448A99"/>
        <w:sz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Default="00063A64" w:rsidP="00380FF9">
    <w:pPr>
      <w:pStyle w:val="Footer"/>
      <w:pBdr>
        <w:bottom w:val="single" w:sz="6" w:space="1" w:color="auto"/>
      </w:pBdr>
      <w:jc w:val="center"/>
    </w:pPr>
  </w:p>
  <w:p w:rsidR="00063A64" w:rsidRDefault="00063A64">
    <w:pPr>
      <w:pStyle w:val="Footer"/>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170</w:t>
    </w:r>
    <w:r w:rsidRPr="00360EF8">
      <w:rPr>
        <w:rFonts w:ascii="Century Gothic" w:hAnsi="Century Gothic"/>
        <w:b/>
        <w:noProof/>
        <w:color w:val="448A99"/>
        <w:sz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391C49" w:rsidRDefault="00063A64" w:rsidP="00391C49">
    <w:pPr>
      <w:pStyle w:val="Footer"/>
      <w:pBdr>
        <w:top w:val="single" w:sz="8" w:space="1" w:color="auto"/>
      </w:pBdr>
      <w:tabs>
        <w:tab w:val="clear" w:pos="9360"/>
      </w:tabs>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176</w:t>
    </w:r>
    <w:r w:rsidRPr="00360EF8">
      <w:rPr>
        <w:rFonts w:ascii="Century Gothic" w:hAnsi="Century Gothic"/>
        <w:b/>
        <w:noProof/>
        <w:color w:val="448A99"/>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Default="00063A64" w:rsidP="00380FF9">
    <w:pPr>
      <w:pStyle w:val="Footer"/>
      <w:pBdr>
        <w:bottom w:val="single" w:sz="6" w:space="1" w:color="auto"/>
      </w:pBdr>
      <w:jc w:val="center"/>
    </w:pPr>
  </w:p>
  <w:p w:rsidR="00063A64" w:rsidRDefault="00063A64" w:rsidP="00391C49">
    <w:pPr>
      <w:pStyle w:val="Footer"/>
      <w:tabs>
        <w:tab w:val="clear" w:pos="9360"/>
      </w:tabs>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175</w:t>
    </w:r>
    <w:r w:rsidRPr="00360EF8">
      <w:rPr>
        <w:rFonts w:ascii="Century Gothic" w:hAnsi="Century Gothic"/>
        <w:b/>
        <w:noProof/>
        <w:color w:val="448A99"/>
        <w:sz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Default="00063A64" w:rsidP="00380FF9">
    <w:pPr>
      <w:pStyle w:val="Footer"/>
      <w:pBdr>
        <w:bottom w:val="single" w:sz="6" w:space="1" w:color="auto"/>
      </w:pBdr>
      <w:jc w:val="center"/>
    </w:pPr>
  </w:p>
  <w:p w:rsidR="00063A64" w:rsidRDefault="00063A64">
    <w:pPr>
      <w:pStyle w:val="Footer"/>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177</w:t>
    </w:r>
    <w:r w:rsidRPr="00360EF8">
      <w:rPr>
        <w:rFonts w:ascii="Century Gothic" w:hAnsi="Century Gothic"/>
        <w:b/>
        <w:noProof/>
        <w:color w:val="448A99"/>
        <w:sz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FD4D90" w:rsidRDefault="00063A64" w:rsidP="00FD4D90">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195</w:t>
    </w:r>
    <w:r w:rsidRPr="00360EF8">
      <w:rPr>
        <w:rFonts w:ascii="Century Gothic" w:hAnsi="Century Gothic"/>
        <w:b/>
        <w:noProof/>
        <w:color w:val="448A99"/>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45861" w:rsidRDefault="00063A64" w:rsidP="00E4586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178</w:t>
    </w:r>
    <w:r w:rsidRPr="00360EF8">
      <w:rPr>
        <w:rFonts w:ascii="Century Gothic" w:hAnsi="Century Gothic"/>
        <w:b/>
        <w:noProof/>
        <w:color w:val="448A99"/>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45861" w:rsidRDefault="00063A64" w:rsidP="00E4586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196</w:t>
    </w:r>
    <w:r w:rsidRPr="00360EF8">
      <w:rPr>
        <w:rFonts w:ascii="Century Gothic" w:hAnsi="Century Gothic"/>
        <w:b/>
        <w:noProof/>
        <w:color w:val="448A99"/>
        <w:sz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FD4D90" w:rsidRDefault="00063A64" w:rsidP="00FD4D90">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215</w:t>
    </w:r>
    <w:r w:rsidRPr="00360EF8">
      <w:rPr>
        <w:rFonts w:ascii="Century Gothic" w:hAnsi="Century Gothic"/>
        <w:b/>
        <w:noProof/>
        <w:color w:val="448A99"/>
        <w:sz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45861" w:rsidRDefault="00063A64" w:rsidP="00E4586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197</w:t>
    </w:r>
    <w:r w:rsidRPr="00360EF8">
      <w:rPr>
        <w:rFonts w:ascii="Century Gothic" w:hAnsi="Century Gothic"/>
        <w:b/>
        <w:noProof/>
        <w:color w:val="448A99"/>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5D6077">
    <w:pPr>
      <w:pStyle w:val="Footer"/>
      <w:pBdr>
        <w:top w:val="single" w:sz="4" w:space="1" w:color="auto"/>
      </w:pBdr>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15</w:t>
    </w:r>
    <w:r w:rsidRPr="00360EF8">
      <w:rPr>
        <w:rFonts w:ascii="Century Gothic" w:hAnsi="Century Gothic"/>
        <w:b/>
        <w:noProof/>
        <w:color w:val="448A99"/>
        <w:sz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A42877" w:rsidRDefault="00063A64" w:rsidP="00A42877">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217</w:t>
    </w:r>
    <w:r w:rsidRPr="00360EF8">
      <w:rPr>
        <w:rFonts w:ascii="Century Gothic" w:hAnsi="Century Gothic"/>
        <w:b/>
        <w:noProof/>
        <w:color w:val="448A99"/>
        <w:sz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45861" w:rsidRDefault="00063A64" w:rsidP="00E4586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216</w:t>
    </w:r>
    <w:r w:rsidRPr="00360EF8">
      <w:rPr>
        <w:rFonts w:ascii="Century Gothic" w:hAnsi="Century Gothic"/>
        <w:b/>
        <w:noProof/>
        <w:color w:val="448A99"/>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A42877" w:rsidRDefault="00063A64" w:rsidP="00A42877">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233</w:t>
    </w:r>
    <w:r w:rsidRPr="00360EF8">
      <w:rPr>
        <w:rFonts w:ascii="Century Gothic" w:hAnsi="Century Gothic"/>
        <w:b/>
        <w:noProof/>
        <w:color w:val="448A99"/>
        <w:sz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45861" w:rsidRDefault="00063A64" w:rsidP="00E4586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218</w:t>
    </w:r>
    <w:r w:rsidRPr="00360EF8">
      <w:rPr>
        <w:rFonts w:ascii="Century Gothic" w:hAnsi="Century Gothic"/>
        <w:b/>
        <w:noProof/>
        <w:color w:val="448A99"/>
        <w:sz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45861" w:rsidRDefault="00063A64" w:rsidP="00E4586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865B5D">
      <w:rPr>
        <w:rFonts w:ascii="Century Gothic" w:hAnsi="Century Gothic"/>
        <w:b/>
        <w:noProof/>
        <w:color w:val="448A99"/>
        <w:sz w:val="16"/>
      </w:rPr>
      <w:t>240</w:t>
    </w:r>
    <w:r w:rsidRPr="00360EF8">
      <w:rPr>
        <w:rFonts w:ascii="Century Gothic" w:hAnsi="Century Gothic"/>
        <w:b/>
        <w:noProof/>
        <w:color w:val="448A99"/>
        <w:sz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A42877" w:rsidRDefault="00063A64" w:rsidP="00A42877">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865B5D">
      <w:rPr>
        <w:rFonts w:ascii="Century Gothic" w:hAnsi="Century Gothic"/>
        <w:b/>
        <w:noProof/>
        <w:color w:val="448A99"/>
        <w:sz w:val="16"/>
      </w:rPr>
      <w:t>269</w:t>
    </w:r>
    <w:r w:rsidRPr="00360EF8">
      <w:rPr>
        <w:rFonts w:ascii="Century Gothic" w:hAnsi="Century Gothic"/>
        <w:b/>
        <w:noProof/>
        <w:color w:val="448A99"/>
        <w:sz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45861" w:rsidRDefault="00063A64" w:rsidP="00E4586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865B5D">
      <w:rPr>
        <w:rFonts w:ascii="Century Gothic" w:hAnsi="Century Gothic"/>
        <w:b/>
        <w:noProof/>
        <w:color w:val="448A99"/>
        <w:sz w:val="16"/>
      </w:rPr>
      <w:t>241</w:t>
    </w:r>
    <w:r w:rsidRPr="00360EF8">
      <w:rPr>
        <w:rFonts w:ascii="Century Gothic" w:hAnsi="Century Gothic"/>
        <w:b/>
        <w:noProof/>
        <w:color w:val="448A99"/>
        <w:sz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391C49" w:rsidRDefault="00063A64" w:rsidP="00391C49">
    <w:pPr>
      <w:pStyle w:val="Footer"/>
      <w:pBdr>
        <w:top w:val="single" w:sz="8" w:space="1" w:color="auto"/>
      </w:pBdr>
      <w:tabs>
        <w:tab w:val="clear" w:pos="9360"/>
      </w:tabs>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t xml:space="preserve">            </w:t>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865B5D">
      <w:rPr>
        <w:rFonts w:ascii="Century Gothic" w:hAnsi="Century Gothic"/>
        <w:b/>
        <w:noProof/>
        <w:color w:val="448A99"/>
        <w:sz w:val="16"/>
      </w:rPr>
      <w:t>271</w:t>
    </w:r>
    <w:r w:rsidRPr="00360EF8">
      <w:rPr>
        <w:rFonts w:ascii="Century Gothic" w:hAnsi="Century Gothic"/>
        <w:b/>
        <w:noProof/>
        <w:color w:val="448A99"/>
        <w:sz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45861" w:rsidRDefault="00063A64" w:rsidP="00E4586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865B5D">
      <w:rPr>
        <w:rFonts w:ascii="Century Gothic" w:hAnsi="Century Gothic"/>
        <w:b/>
        <w:noProof/>
        <w:color w:val="448A99"/>
        <w:sz w:val="16"/>
      </w:rPr>
      <w:t>270</w:t>
    </w:r>
    <w:r w:rsidRPr="00360EF8">
      <w:rPr>
        <w:rFonts w:ascii="Century Gothic" w:hAnsi="Century Gothic"/>
        <w:b/>
        <w:noProof/>
        <w:color w:val="448A99"/>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391C49" w:rsidRDefault="00063A64" w:rsidP="00391C49">
    <w:pPr>
      <w:pStyle w:val="Footer"/>
      <w:pBdr>
        <w:top w:val="single" w:sz="8" w:space="1" w:color="auto"/>
      </w:pBdr>
      <w:tabs>
        <w:tab w:val="clear" w:pos="9360"/>
      </w:tabs>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865B5D">
      <w:rPr>
        <w:rFonts w:ascii="Century Gothic" w:hAnsi="Century Gothic"/>
        <w:b/>
        <w:noProof/>
        <w:color w:val="448A99"/>
        <w:sz w:val="16"/>
      </w:rPr>
      <w:t>309</w:t>
    </w:r>
    <w:r w:rsidRPr="00360EF8">
      <w:rPr>
        <w:rFonts w:ascii="Century Gothic" w:hAnsi="Century Gothic"/>
        <w:b/>
        <w:noProof/>
        <w:color w:val="448A99"/>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7F2DA6">
    <w:pPr>
      <w:pStyle w:val="Footer"/>
      <w:pBdr>
        <w:top w:val="single" w:sz="4" w:space="1" w:color="auto"/>
      </w:pBdr>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iii</w:t>
    </w:r>
    <w:r w:rsidRPr="00360EF8">
      <w:rPr>
        <w:rFonts w:ascii="Century Gothic" w:hAnsi="Century Gothic"/>
        <w:b/>
        <w:noProof/>
        <w:color w:val="448A99"/>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45861" w:rsidRDefault="00063A64" w:rsidP="00E4586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865B5D">
      <w:rPr>
        <w:rFonts w:ascii="Century Gothic" w:hAnsi="Century Gothic"/>
        <w:b/>
        <w:noProof/>
        <w:color w:val="448A99"/>
        <w:sz w:val="16"/>
      </w:rPr>
      <w:t>272</w:t>
    </w:r>
    <w:r w:rsidRPr="00360EF8">
      <w:rPr>
        <w:rFonts w:ascii="Century Gothic" w:hAnsi="Century Gothic"/>
        <w:b/>
        <w:noProof/>
        <w:color w:val="448A99"/>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45861" w:rsidRDefault="00063A64" w:rsidP="00E4586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865B5D">
      <w:rPr>
        <w:rFonts w:ascii="Century Gothic" w:hAnsi="Century Gothic"/>
        <w:b/>
        <w:noProof/>
        <w:color w:val="448A99"/>
        <w:sz w:val="16"/>
      </w:rPr>
      <w:t>278</w:t>
    </w:r>
    <w:r w:rsidRPr="00360EF8">
      <w:rPr>
        <w:rFonts w:ascii="Century Gothic" w:hAnsi="Century Gothic"/>
        <w:b/>
        <w:noProof/>
        <w:color w:val="448A99"/>
        <w:sz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45861" w:rsidRDefault="00063A64" w:rsidP="00E4586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865B5D">
      <w:rPr>
        <w:rFonts w:ascii="Century Gothic" w:hAnsi="Century Gothic"/>
        <w:b/>
        <w:noProof/>
        <w:color w:val="448A99"/>
        <w:sz w:val="16"/>
      </w:rPr>
      <w:t>279</w:t>
    </w:r>
    <w:r w:rsidRPr="00360EF8">
      <w:rPr>
        <w:rFonts w:ascii="Century Gothic" w:hAnsi="Century Gothic"/>
        <w:b/>
        <w:noProof/>
        <w:color w:val="448A99"/>
        <w:sz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391C49" w:rsidRDefault="00063A64" w:rsidP="00391C49">
    <w:pPr>
      <w:pStyle w:val="Footer"/>
      <w:pBdr>
        <w:top w:val="single" w:sz="8" w:space="1" w:color="auto"/>
      </w:pBdr>
      <w:tabs>
        <w:tab w:val="clear" w:pos="9360"/>
      </w:tabs>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865B5D">
      <w:rPr>
        <w:rFonts w:ascii="Century Gothic" w:hAnsi="Century Gothic"/>
        <w:b/>
        <w:noProof/>
        <w:color w:val="448A99"/>
        <w:sz w:val="16"/>
      </w:rPr>
      <w:t>314</w:t>
    </w:r>
    <w:r w:rsidRPr="00360EF8">
      <w:rPr>
        <w:rFonts w:ascii="Century Gothic" w:hAnsi="Century Gothic"/>
        <w:b/>
        <w:noProof/>
        <w:color w:val="448A99"/>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45861" w:rsidRDefault="00063A64" w:rsidP="00E4586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865B5D">
      <w:rPr>
        <w:rFonts w:ascii="Century Gothic" w:hAnsi="Century Gothic"/>
        <w:b/>
        <w:noProof/>
        <w:color w:val="448A99"/>
        <w:sz w:val="16"/>
      </w:rPr>
      <w:t>310</w:t>
    </w:r>
    <w:r w:rsidRPr="00360EF8">
      <w:rPr>
        <w:rFonts w:ascii="Century Gothic" w:hAnsi="Century Gothic"/>
        <w:b/>
        <w:noProof/>
        <w:color w:val="448A99"/>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391C49" w:rsidRDefault="00063A64" w:rsidP="00391C49">
    <w:pPr>
      <w:pStyle w:val="Footer"/>
      <w:pBdr>
        <w:top w:val="single" w:sz="8" w:space="1" w:color="auto"/>
      </w:pBdr>
      <w:tabs>
        <w:tab w:val="clear" w:pos="9360"/>
      </w:tabs>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865B5D">
      <w:rPr>
        <w:rFonts w:ascii="Century Gothic" w:hAnsi="Century Gothic"/>
        <w:b/>
        <w:noProof/>
        <w:color w:val="448A99"/>
        <w:sz w:val="16"/>
      </w:rPr>
      <w:t>422</w:t>
    </w:r>
    <w:r w:rsidRPr="00360EF8">
      <w:rPr>
        <w:rFonts w:ascii="Century Gothic" w:hAnsi="Century Gothic"/>
        <w:b/>
        <w:noProof/>
        <w:color w:val="448A99"/>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45861" w:rsidRDefault="00063A64" w:rsidP="00E4586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865B5D">
      <w:rPr>
        <w:rFonts w:ascii="Century Gothic" w:hAnsi="Century Gothic"/>
        <w:b/>
        <w:noProof/>
        <w:color w:val="448A99"/>
        <w:sz w:val="16"/>
      </w:rPr>
      <w:t>402</w:t>
    </w:r>
    <w:r w:rsidRPr="00360EF8">
      <w:rPr>
        <w:rFonts w:ascii="Century Gothic" w:hAnsi="Century Gothic"/>
        <w:b/>
        <w:noProof/>
        <w:color w:val="448A99"/>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59452D" w:rsidRDefault="00063A64" w:rsidP="005945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5D6077">
    <w:pPr>
      <w:pStyle w:val="Footer"/>
      <w:pBdr>
        <w:top w:val="single" w:sz="4" w:space="1" w:color="auto"/>
      </w:pBdr>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52</w:t>
    </w:r>
    <w:r w:rsidRPr="00360EF8">
      <w:rPr>
        <w:rFonts w:ascii="Century Gothic" w:hAnsi="Century Gothic"/>
        <w:b/>
        <w:noProof/>
        <w:color w:val="448A99"/>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5D6077">
    <w:pPr>
      <w:pStyle w:val="Footer"/>
      <w:pBdr>
        <w:top w:val="single" w:sz="4" w:space="1" w:color="auto"/>
      </w:pBdr>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93</w:t>
    </w:r>
    <w:r w:rsidRPr="00360EF8">
      <w:rPr>
        <w:rFonts w:ascii="Century Gothic" w:hAnsi="Century Gothic"/>
        <w:b/>
        <w:noProof/>
        <w:color w:val="448A99"/>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52B41">
    <w:pPr>
      <w:pStyle w:val="Footer"/>
      <w:pBdr>
        <w:top w:val="single" w:sz="4" w:space="1" w:color="auto"/>
      </w:pBdr>
      <w:tabs>
        <w:tab w:val="clear" w:pos="9360"/>
        <w:tab w:val="right" w:pos="129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ab/>
    </w:r>
    <w:r>
      <w:rPr>
        <w:rFonts w:ascii="Century Gothic" w:hAnsi="Century Gothic"/>
        <w:sz w:val="16"/>
      </w:rPr>
      <w:tab/>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102</w:t>
    </w:r>
    <w:r w:rsidRPr="00360EF8">
      <w:rPr>
        <w:rFonts w:ascii="Century Gothic" w:hAnsi="Century Gothic"/>
        <w:b/>
        <w:noProof/>
        <w:color w:val="448A99"/>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5D6981" w:rsidRDefault="00063A64" w:rsidP="005D6981">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138</w:t>
    </w:r>
    <w:r w:rsidRPr="00360EF8">
      <w:rPr>
        <w:rFonts w:ascii="Century Gothic" w:hAnsi="Century Gothic"/>
        <w:b/>
        <w:noProof/>
        <w:color w:val="448A99"/>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042BD4" w:rsidRDefault="00063A64" w:rsidP="00042BD4">
    <w:pPr>
      <w:pStyle w:val="Footer"/>
      <w:pBdr>
        <w:top w:val="single" w:sz="4" w:space="1" w:color="auto"/>
      </w:pBdr>
      <w:tabs>
        <w:tab w:val="clear" w:pos="4680"/>
        <w:tab w:val="clear" w:pos="9360"/>
      </w:tabs>
      <w:rPr>
        <w:rFonts w:ascii="Century Gothic" w:hAnsi="Century Gothic"/>
        <w:b/>
        <w:sz w:val="16"/>
      </w:rPr>
    </w:pPr>
    <w:r w:rsidRPr="00977947">
      <w:rPr>
        <w:rFonts w:ascii="Century Gothic" w:hAnsi="Century Gothic"/>
        <w:smallCaps/>
        <w:sz w:val="16"/>
      </w:rPr>
      <w:t>Statewide Evaluation Team</w:t>
    </w:r>
    <w:r>
      <w:rPr>
        <w:rFonts w:ascii="Century Gothic" w:hAnsi="Century Gothic"/>
        <w:sz w:val="16"/>
      </w:rPr>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sidRPr="00403D74">
      <w:rPr>
        <w:rFonts w:ascii="Century Gothic" w:hAnsi="Century Gothic"/>
        <w:sz w:val="16"/>
      </w:rPr>
      <w:t xml:space="preserve">Page | </w:t>
    </w:r>
    <w:r w:rsidRPr="00360EF8">
      <w:rPr>
        <w:rFonts w:ascii="Century Gothic" w:hAnsi="Century Gothic"/>
        <w:b/>
        <w:color w:val="448A99"/>
        <w:sz w:val="16"/>
      </w:rPr>
      <w:fldChar w:fldCharType="begin"/>
    </w:r>
    <w:r w:rsidRPr="00360EF8">
      <w:rPr>
        <w:rFonts w:ascii="Century Gothic" w:hAnsi="Century Gothic"/>
        <w:b/>
        <w:color w:val="448A99"/>
        <w:sz w:val="16"/>
      </w:rPr>
      <w:instrText xml:space="preserve"> PAGE   \* MERGEFORMAT </w:instrText>
    </w:r>
    <w:r w:rsidRPr="00360EF8">
      <w:rPr>
        <w:rFonts w:ascii="Century Gothic" w:hAnsi="Century Gothic"/>
        <w:b/>
        <w:color w:val="448A99"/>
        <w:sz w:val="16"/>
      </w:rPr>
      <w:fldChar w:fldCharType="separate"/>
    </w:r>
    <w:r w:rsidR="002F12C2">
      <w:rPr>
        <w:rFonts w:ascii="Century Gothic" w:hAnsi="Century Gothic"/>
        <w:b/>
        <w:noProof/>
        <w:color w:val="448A99"/>
        <w:sz w:val="16"/>
      </w:rPr>
      <w:t>103</w:t>
    </w:r>
    <w:r w:rsidRPr="00360EF8">
      <w:rPr>
        <w:rFonts w:ascii="Century Gothic" w:hAnsi="Century Gothic"/>
        <w:b/>
        <w:noProof/>
        <w:color w:val="448A9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CF0" w:rsidRDefault="007F0CF0" w:rsidP="00454B08">
      <w:r>
        <w:separator/>
      </w:r>
    </w:p>
  </w:footnote>
  <w:footnote w:type="continuationSeparator" w:id="0">
    <w:p w:rsidR="007F0CF0" w:rsidRDefault="007F0CF0" w:rsidP="00454B08">
      <w:r>
        <w:continuationSeparator/>
      </w:r>
    </w:p>
  </w:footnote>
  <w:footnote w:type="continuationNotice" w:id="1">
    <w:p w:rsidR="007F0CF0" w:rsidRDefault="007F0CF0"/>
  </w:footnote>
  <w:footnote w:id="2">
    <w:p w:rsidR="00063A64" w:rsidRPr="00A27A5F" w:rsidRDefault="00063A64" w:rsidP="007908C2">
      <w:pPr>
        <w:pStyle w:val="FootnoteText"/>
        <w:rPr>
          <w:rFonts w:ascii="Arial Narrow" w:hAnsi="Arial Narrow"/>
          <w:sz w:val="18"/>
          <w:szCs w:val="18"/>
        </w:rPr>
      </w:pPr>
      <w:r w:rsidRPr="00A27A5F">
        <w:rPr>
          <w:rStyle w:val="FootnoteReference"/>
          <w:rFonts w:ascii="Arial Narrow" w:hAnsi="Arial Narrow"/>
          <w:sz w:val="18"/>
          <w:szCs w:val="18"/>
        </w:rPr>
        <w:footnoteRef/>
      </w:r>
      <w:r w:rsidRPr="00A27A5F">
        <w:rPr>
          <w:rFonts w:ascii="Arial Narrow" w:hAnsi="Arial Narrow"/>
          <w:sz w:val="18"/>
          <w:szCs w:val="18"/>
        </w:rPr>
        <w:t xml:space="preserve"> EDCs in the Commonwealth of Pennsylvania with more than 100,000 customers are subject to the energy efficiency targets outlined in Act 129. </w:t>
      </w:r>
    </w:p>
  </w:footnote>
  <w:footnote w:id="3">
    <w:p w:rsidR="00063A64" w:rsidRPr="00902111" w:rsidRDefault="00063A64" w:rsidP="007908C2">
      <w:pPr>
        <w:pStyle w:val="FootnoteText"/>
        <w:rPr>
          <w:rFonts w:ascii="Arial Narrow" w:hAnsi="Arial Narrow"/>
          <w:sz w:val="18"/>
          <w:szCs w:val="18"/>
        </w:rPr>
      </w:pPr>
      <w:r w:rsidRPr="00902111">
        <w:rPr>
          <w:rStyle w:val="FootnoteReference"/>
          <w:rFonts w:ascii="Arial Narrow" w:hAnsi="Arial Narrow"/>
          <w:sz w:val="18"/>
          <w:szCs w:val="18"/>
        </w:rPr>
        <w:footnoteRef/>
      </w:r>
      <w:r w:rsidRPr="00902111">
        <w:rPr>
          <w:rFonts w:ascii="Arial Narrow" w:hAnsi="Arial Narrow"/>
          <w:sz w:val="18"/>
          <w:szCs w:val="18"/>
        </w:rPr>
        <w:t xml:space="preserve"> Nexant withdrew from the Phase II </w:t>
      </w:r>
      <w:r>
        <w:rPr>
          <w:rFonts w:ascii="Arial Narrow" w:hAnsi="Arial Narrow"/>
          <w:sz w:val="18"/>
          <w:szCs w:val="18"/>
        </w:rPr>
        <w:t>SWE</w:t>
      </w:r>
      <w:r w:rsidRPr="00902111">
        <w:rPr>
          <w:rFonts w:ascii="Arial Narrow" w:hAnsi="Arial Narrow"/>
          <w:sz w:val="18"/>
          <w:szCs w:val="18"/>
        </w:rPr>
        <w:t xml:space="preserve"> Team at the end of October 2015.</w:t>
      </w:r>
    </w:p>
  </w:footnote>
  <w:footnote w:id="4">
    <w:p w:rsidR="00063A64" w:rsidRPr="00044758" w:rsidRDefault="00063A64" w:rsidP="007908C2">
      <w:pPr>
        <w:pStyle w:val="FootnoteText"/>
        <w:rPr>
          <w:rFonts w:ascii="Arial Narrow" w:hAnsi="Arial Narrow"/>
          <w:sz w:val="18"/>
          <w:szCs w:val="18"/>
        </w:rPr>
      </w:pPr>
      <w:r>
        <w:rPr>
          <w:rStyle w:val="FootnoteReference"/>
        </w:rPr>
        <w:footnoteRef/>
      </w:r>
      <w:r>
        <w:t xml:space="preserve"> </w:t>
      </w:r>
      <w:r w:rsidRPr="00044758">
        <w:rPr>
          <w:rFonts w:ascii="Arial Narrow" w:hAnsi="Arial Narrow"/>
          <w:sz w:val="18"/>
          <w:szCs w:val="18"/>
        </w:rPr>
        <w:t>For a complete list of the responsibilities of the SWE Team</w:t>
      </w:r>
      <w:r>
        <w:rPr>
          <w:rFonts w:ascii="Arial Narrow" w:hAnsi="Arial Narrow"/>
          <w:sz w:val="18"/>
          <w:szCs w:val="18"/>
        </w:rPr>
        <w:t>, see the April 2013 Phase II Statewide Evaluator Contract.</w:t>
      </w:r>
    </w:p>
  </w:footnote>
  <w:footnote w:id="5">
    <w:p w:rsidR="00063A64" w:rsidRPr="005559A4" w:rsidRDefault="00063A64" w:rsidP="002C759D">
      <w:pPr>
        <w:rPr>
          <w:rFonts w:ascii="Arial Narrow" w:hAnsi="Arial Narrow"/>
          <w:sz w:val="18"/>
          <w:szCs w:val="18"/>
        </w:rPr>
      </w:pPr>
      <w:r>
        <w:rPr>
          <w:rStyle w:val="FootnoteReference"/>
        </w:rPr>
        <w:footnoteRef/>
      </w:r>
      <w:r>
        <w:t xml:space="preserve"> </w:t>
      </w:r>
      <w:r w:rsidRPr="005559A4">
        <w:rPr>
          <w:rFonts w:ascii="Arial Narrow" w:hAnsi="Arial Narrow"/>
          <w:sz w:val="18"/>
          <w:szCs w:val="18"/>
        </w:rPr>
        <w:t>The data in this table was obtained from the Pennsylvania Public Utilities Commission, Phase II Implementation Order, Docket No</w:t>
      </w:r>
      <w:r>
        <w:rPr>
          <w:rFonts w:ascii="Arial Narrow" w:hAnsi="Arial Narrow"/>
          <w:sz w:val="18"/>
          <w:szCs w:val="18"/>
        </w:rPr>
        <w:t>s</w:t>
      </w:r>
      <w:r w:rsidRPr="005559A4">
        <w:rPr>
          <w:rFonts w:ascii="Arial Narrow" w:hAnsi="Arial Narrow"/>
          <w:sz w:val="18"/>
          <w:szCs w:val="18"/>
        </w:rPr>
        <w:t>.  M</w:t>
      </w:r>
      <w:r w:rsidRPr="005559A4">
        <w:rPr>
          <w:rFonts w:ascii="Arial Narrow" w:hAnsi="Arial Narrow"/>
          <w:sz w:val="18"/>
          <w:szCs w:val="18"/>
        </w:rPr>
        <w:noBreakHyphen/>
        <w:t>2012</w:t>
      </w:r>
      <w:r w:rsidRPr="005559A4">
        <w:rPr>
          <w:rFonts w:ascii="Arial Narrow" w:hAnsi="Arial Narrow"/>
          <w:sz w:val="18"/>
          <w:szCs w:val="18"/>
        </w:rPr>
        <w:noBreakHyphen/>
        <w:t>2289411</w:t>
      </w:r>
      <w:r>
        <w:rPr>
          <w:rFonts w:ascii="Arial Narrow" w:hAnsi="Arial Narrow"/>
          <w:sz w:val="18"/>
          <w:szCs w:val="18"/>
        </w:rPr>
        <w:t xml:space="preserve"> &amp;</w:t>
      </w:r>
      <w:r w:rsidRPr="005559A4">
        <w:rPr>
          <w:rFonts w:ascii="Arial Narrow" w:hAnsi="Arial Narrow"/>
          <w:sz w:val="18"/>
          <w:szCs w:val="18"/>
        </w:rPr>
        <w:t xml:space="preserve"> M-2008-2069887</w:t>
      </w:r>
      <w:r>
        <w:rPr>
          <w:rFonts w:ascii="Arial Narrow" w:hAnsi="Arial Narrow"/>
          <w:sz w:val="18"/>
          <w:szCs w:val="18"/>
        </w:rPr>
        <w:t>, August 2, 2012, page 24.</w:t>
      </w:r>
    </w:p>
  </w:footnote>
  <w:footnote w:id="6">
    <w:p w:rsidR="00063A64" w:rsidRPr="00FB0EFE" w:rsidRDefault="00063A64" w:rsidP="002C759D">
      <w:pPr>
        <w:pStyle w:val="FootnoteText"/>
        <w:rPr>
          <w:rFonts w:ascii="Arial Narrow" w:hAnsi="Arial Narrow"/>
          <w:sz w:val="18"/>
          <w:szCs w:val="18"/>
        </w:rPr>
      </w:pPr>
      <w:r w:rsidRPr="00FB0EFE">
        <w:rPr>
          <w:rStyle w:val="FootnoteReference"/>
          <w:rFonts w:ascii="Arial Narrow" w:hAnsi="Arial Narrow"/>
          <w:sz w:val="18"/>
          <w:szCs w:val="18"/>
        </w:rPr>
        <w:footnoteRef/>
      </w:r>
      <w:r w:rsidRPr="00FB0EFE">
        <w:rPr>
          <w:rFonts w:ascii="Arial Narrow" w:hAnsi="Arial Narrow"/>
          <w:sz w:val="18"/>
          <w:szCs w:val="18"/>
        </w:rPr>
        <w:t xml:space="preserve"> Phase II of Act 129 covered the time period from June 1, 2013 through May 31, 2016.</w:t>
      </w:r>
    </w:p>
  </w:footnote>
  <w:footnote w:id="7">
    <w:p w:rsidR="00063A64" w:rsidRPr="00D0490C" w:rsidRDefault="00063A64" w:rsidP="002C759D">
      <w:pPr>
        <w:pStyle w:val="FootnoteText"/>
        <w:rPr>
          <w:rFonts w:ascii="Arial Narrow" w:hAnsi="Arial Narrow"/>
          <w:sz w:val="18"/>
          <w:szCs w:val="18"/>
        </w:rPr>
      </w:pPr>
      <w:r w:rsidRPr="00D0490C">
        <w:rPr>
          <w:rStyle w:val="FootnoteReference"/>
          <w:rFonts w:ascii="Arial Narrow" w:hAnsi="Arial Narrow"/>
          <w:sz w:val="18"/>
          <w:szCs w:val="18"/>
        </w:rPr>
        <w:footnoteRef/>
      </w:r>
      <w:r w:rsidRPr="00D0490C">
        <w:rPr>
          <w:rFonts w:ascii="Arial Narrow" w:hAnsi="Arial Narrow"/>
          <w:sz w:val="18"/>
          <w:szCs w:val="18"/>
        </w:rPr>
        <w:t xml:space="preserve"> Pennsylvania PUC Contract for the Statewide Evaluator, April 3, 2013, p. 33.</w:t>
      </w:r>
    </w:p>
  </w:footnote>
  <w:footnote w:id="8">
    <w:p w:rsidR="00063A64" w:rsidRPr="00A27A5F" w:rsidRDefault="00063A64" w:rsidP="000F5A29">
      <w:pPr>
        <w:pStyle w:val="FootnoteText"/>
        <w:rPr>
          <w:rFonts w:ascii="Arial Narrow" w:hAnsi="Arial Narrow"/>
          <w:sz w:val="18"/>
          <w:szCs w:val="18"/>
        </w:rPr>
      </w:pPr>
      <w:r w:rsidRPr="00A27A5F">
        <w:rPr>
          <w:rStyle w:val="FootnoteReference"/>
          <w:rFonts w:ascii="Arial Narrow" w:hAnsi="Arial Narrow"/>
          <w:sz w:val="18"/>
          <w:szCs w:val="18"/>
        </w:rPr>
        <w:footnoteRef/>
      </w:r>
      <w:r w:rsidRPr="00A27A5F">
        <w:rPr>
          <w:rFonts w:ascii="Arial Narrow" w:hAnsi="Arial Narrow"/>
          <w:sz w:val="18"/>
          <w:szCs w:val="18"/>
        </w:rPr>
        <w:t xml:space="preserve"> In February 2015 the PUC’s </w:t>
      </w:r>
      <w:r>
        <w:rPr>
          <w:rFonts w:ascii="Arial Narrow" w:hAnsi="Arial Narrow"/>
          <w:sz w:val="18"/>
          <w:szCs w:val="18"/>
        </w:rPr>
        <w:t>TUS s</w:t>
      </w:r>
      <w:r w:rsidRPr="00A27A5F">
        <w:rPr>
          <w:rFonts w:ascii="Arial Narrow" w:hAnsi="Arial Narrow"/>
          <w:sz w:val="18"/>
          <w:szCs w:val="18"/>
        </w:rPr>
        <w:t xml:space="preserve">taff instructed the Phase II SWE </w:t>
      </w:r>
      <w:r>
        <w:rPr>
          <w:rFonts w:ascii="Arial Narrow" w:hAnsi="Arial Narrow"/>
          <w:sz w:val="18"/>
          <w:szCs w:val="18"/>
        </w:rPr>
        <w:t>p</w:t>
      </w:r>
      <w:r w:rsidRPr="00A27A5F">
        <w:rPr>
          <w:rFonts w:ascii="Arial Narrow" w:hAnsi="Arial Narrow"/>
          <w:sz w:val="18"/>
          <w:szCs w:val="18"/>
        </w:rPr>
        <w:t xml:space="preserve">roject </w:t>
      </w:r>
      <w:r>
        <w:rPr>
          <w:rFonts w:ascii="Arial Narrow" w:hAnsi="Arial Narrow"/>
          <w:sz w:val="18"/>
          <w:szCs w:val="18"/>
        </w:rPr>
        <w:t>m</w:t>
      </w:r>
      <w:r w:rsidRPr="00A27A5F">
        <w:rPr>
          <w:rFonts w:ascii="Arial Narrow" w:hAnsi="Arial Narrow"/>
          <w:sz w:val="18"/>
          <w:szCs w:val="18"/>
        </w:rPr>
        <w:t>anager that in the event of an error with reported savings, an “EDC make reference and amendment in their subsequent report filings unless it is the final Phase II report that is needed for compliance, in which case you will prescribe a drop dead date after which it is too late to make modifications.”</w:t>
      </w:r>
    </w:p>
  </w:footnote>
  <w:footnote w:id="9">
    <w:p w:rsidR="00063A64" w:rsidRPr="00FB0EFE" w:rsidRDefault="00063A64" w:rsidP="000F5A29">
      <w:pPr>
        <w:rPr>
          <w:rFonts w:ascii="Arial Narrow" w:hAnsi="Arial Narrow"/>
          <w:sz w:val="18"/>
          <w:szCs w:val="18"/>
        </w:rPr>
      </w:pPr>
      <w:r w:rsidRPr="00FB0EFE">
        <w:rPr>
          <w:rStyle w:val="FootnoteReference"/>
          <w:rFonts w:ascii="Arial Narrow" w:hAnsi="Arial Narrow"/>
          <w:sz w:val="18"/>
          <w:szCs w:val="18"/>
        </w:rPr>
        <w:footnoteRef/>
      </w:r>
      <w:r w:rsidRPr="00FB0EFE">
        <w:rPr>
          <w:rFonts w:ascii="Arial Narrow" w:hAnsi="Arial Narrow"/>
          <w:sz w:val="18"/>
          <w:szCs w:val="18"/>
        </w:rPr>
        <w:t xml:space="preserve"> </w:t>
      </w:r>
      <w:r w:rsidRPr="00AB592F">
        <w:rPr>
          <w:rFonts w:ascii="Arial Narrow" w:hAnsi="Arial Narrow"/>
          <w:sz w:val="18"/>
          <w:szCs w:val="18"/>
        </w:rPr>
        <w:t xml:space="preserve">In its </w:t>
      </w:r>
      <w:r w:rsidRPr="00967822">
        <w:rPr>
          <w:rFonts w:ascii="Arial Narrow" w:hAnsi="Arial Narrow"/>
          <w:sz w:val="18"/>
          <w:szCs w:val="18"/>
        </w:rPr>
        <w:t>August 2, 2012 Act 129 Phase II Implementation Order, t</w:t>
      </w:r>
      <w:r w:rsidRPr="00FB0EFE">
        <w:rPr>
          <w:rFonts w:ascii="Arial Narrow" w:hAnsi="Arial Narrow"/>
          <w:sz w:val="18"/>
          <w:szCs w:val="18"/>
        </w:rPr>
        <w:t>he Commission mandate</w:t>
      </w:r>
      <w:r w:rsidRPr="00AB592F">
        <w:rPr>
          <w:rFonts w:ascii="Arial Narrow" w:hAnsi="Arial Narrow"/>
          <w:sz w:val="18"/>
          <w:szCs w:val="18"/>
        </w:rPr>
        <w:t>d</w:t>
      </w:r>
      <w:r w:rsidRPr="00FB0EFE">
        <w:rPr>
          <w:rFonts w:ascii="Arial Narrow" w:hAnsi="Arial Narrow"/>
          <w:sz w:val="18"/>
          <w:szCs w:val="18"/>
        </w:rPr>
        <w:t xml:space="preserve"> </w:t>
      </w:r>
      <w:r w:rsidRPr="00AB592F">
        <w:rPr>
          <w:rFonts w:ascii="Arial Narrow" w:hAnsi="Arial Narrow"/>
          <w:sz w:val="18"/>
          <w:szCs w:val="18"/>
        </w:rPr>
        <w:t>“</w:t>
      </w:r>
      <w:r w:rsidRPr="00FB0EFE">
        <w:rPr>
          <w:rFonts w:ascii="Arial Narrow" w:hAnsi="Arial Narrow"/>
          <w:sz w:val="18"/>
          <w:szCs w:val="18"/>
        </w:rPr>
        <w:t>that the EDCs calculate the NTG ratio as they did for Phase I.  The EDCs will continue to use net verified savings in their TRC test for program planning purposes and compliance in Phase II will be determined using gross verified savings</w:t>
      </w:r>
      <w:r w:rsidRPr="00AB592F">
        <w:rPr>
          <w:rFonts w:ascii="Arial Narrow" w:hAnsi="Arial Narrow"/>
          <w:sz w:val="18"/>
          <w:szCs w:val="18"/>
        </w:rPr>
        <w:t>”</w:t>
      </w:r>
      <w:r w:rsidRPr="00FB0EFE">
        <w:rPr>
          <w:rFonts w:ascii="Arial Narrow" w:hAnsi="Arial Narrow"/>
          <w:sz w:val="18"/>
          <w:szCs w:val="18"/>
        </w:rPr>
        <w:t>.</w:t>
      </w:r>
      <w:r w:rsidRPr="00AB592F">
        <w:rPr>
          <w:rFonts w:ascii="Arial Narrow" w:hAnsi="Arial Narrow"/>
          <w:sz w:val="18"/>
          <w:szCs w:val="18"/>
        </w:rPr>
        <w:t xml:space="preserve"> See Phase II Implementation Order, page </w:t>
      </w:r>
      <w:r w:rsidRPr="00967822">
        <w:rPr>
          <w:rFonts w:ascii="Arial Narrow" w:hAnsi="Arial Narrow"/>
          <w:sz w:val="18"/>
          <w:szCs w:val="18"/>
        </w:rPr>
        <w:t>82.</w:t>
      </w:r>
    </w:p>
  </w:footnote>
  <w:footnote w:id="10">
    <w:p w:rsidR="00063A64" w:rsidRPr="00F6769E" w:rsidRDefault="00063A64" w:rsidP="000F5A29">
      <w:pPr>
        <w:pStyle w:val="FootnoteText"/>
        <w:rPr>
          <w:rFonts w:ascii="Arial Narrow" w:hAnsi="Arial Narrow"/>
          <w:sz w:val="18"/>
          <w:szCs w:val="18"/>
        </w:rPr>
      </w:pPr>
      <w:r w:rsidRPr="00F6769E">
        <w:rPr>
          <w:rStyle w:val="FootnoteReference"/>
          <w:rFonts w:ascii="Arial Narrow" w:hAnsi="Arial Narrow"/>
          <w:sz w:val="18"/>
          <w:szCs w:val="18"/>
        </w:rPr>
        <w:footnoteRef/>
      </w:r>
      <w:r w:rsidRPr="00F6769E">
        <w:rPr>
          <w:rFonts w:ascii="Arial Narrow" w:hAnsi="Arial Narrow"/>
          <w:sz w:val="18"/>
          <w:szCs w:val="18"/>
        </w:rPr>
        <w:t xml:space="preserve"> Research conducted by SWE Team members in other jurisdictions indicates that the NTGR for low-income programs is often significantly different than 1.0. The </w:t>
      </w:r>
      <w:r>
        <w:rPr>
          <w:rFonts w:ascii="Arial Narrow" w:hAnsi="Arial Narrow"/>
          <w:sz w:val="18"/>
          <w:szCs w:val="18"/>
        </w:rPr>
        <w:t xml:space="preserve">Phase II </w:t>
      </w:r>
      <w:r w:rsidRPr="00F6769E">
        <w:rPr>
          <w:rFonts w:ascii="Arial Narrow" w:hAnsi="Arial Narrow"/>
          <w:sz w:val="18"/>
          <w:szCs w:val="18"/>
        </w:rPr>
        <w:t>SWE recommends that</w:t>
      </w:r>
      <w:r>
        <w:rPr>
          <w:rFonts w:ascii="Arial Narrow" w:hAnsi="Arial Narrow"/>
          <w:sz w:val="18"/>
          <w:szCs w:val="18"/>
        </w:rPr>
        <w:t>, going forward,</w:t>
      </w:r>
      <w:r w:rsidRPr="00F6769E">
        <w:rPr>
          <w:rFonts w:ascii="Arial Narrow" w:hAnsi="Arial Narrow"/>
          <w:sz w:val="18"/>
          <w:szCs w:val="18"/>
        </w:rPr>
        <w:t xml:space="preserve"> NTG research be conducted for the low-income sector in order to determine the net savings of programs targeted at this sector and to collect information to help in future planning and program design for Act 129 low-income programs.</w:t>
      </w:r>
    </w:p>
  </w:footnote>
  <w:footnote w:id="11">
    <w:p w:rsidR="00063A64" w:rsidRPr="00A27A5F" w:rsidRDefault="00063A64" w:rsidP="00FB0EFE">
      <w:pPr>
        <w:pStyle w:val="CommentText"/>
        <w:rPr>
          <w:rFonts w:ascii="Arial Narrow" w:hAnsi="Arial Narrow"/>
          <w:sz w:val="18"/>
          <w:szCs w:val="18"/>
        </w:rPr>
      </w:pPr>
      <w:r w:rsidRPr="00A27A5F">
        <w:rPr>
          <w:rStyle w:val="FootnoteReference"/>
          <w:rFonts w:ascii="Arial Narrow" w:hAnsi="Arial Narrow"/>
        </w:rPr>
        <w:footnoteRef/>
      </w:r>
      <w:r w:rsidRPr="00A27A5F">
        <w:rPr>
          <w:rFonts w:ascii="Arial Narrow" w:hAnsi="Arial Narrow"/>
          <w:sz w:val="18"/>
          <w:szCs w:val="18"/>
        </w:rPr>
        <w:t xml:space="preserve"> </w:t>
      </w:r>
      <w:r>
        <w:rPr>
          <w:rFonts w:ascii="Arial Narrow" w:hAnsi="Arial Narrow"/>
          <w:sz w:val="18"/>
          <w:szCs w:val="18"/>
        </w:rPr>
        <w:t>Focusing on reducing program free-ridership rates, t</w:t>
      </w:r>
      <w:r w:rsidRPr="00A27A5F">
        <w:rPr>
          <w:rFonts w:ascii="Arial Narrow" w:hAnsi="Arial Narrow"/>
          <w:sz w:val="18"/>
          <w:szCs w:val="18"/>
        </w:rPr>
        <w:t xml:space="preserve">he SWE made this recommendation to the EDCs during </w:t>
      </w:r>
      <w:r>
        <w:rPr>
          <w:rFonts w:ascii="Arial Narrow" w:hAnsi="Arial Narrow"/>
          <w:sz w:val="18"/>
          <w:szCs w:val="18"/>
        </w:rPr>
        <w:t xml:space="preserve">several Phase II </w:t>
      </w:r>
      <w:r w:rsidRPr="00A27A5F">
        <w:rPr>
          <w:rFonts w:ascii="Arial Narrow" w:hAnsi="Arial Narrow"/>
          <w:sz w:val="18"/>
          <w:szCs w:val="18"/>
        </w:rPr>
        <w:t xml:space="preserve">Program Evaluation Group </w:t>
      </w:r>
      <w:r>
        <w:rPr>
          <w:rFonts w:ascii="Arial Narrow" w:hAnsi="Arial Narrow"/>
          <w:sz w:val="18"/>
          <w:szCs w:val="18"/>
        </w:rPr>
        <w:t xml:space="preserve">(PEG) </w:t>
      </w:r>
      <w:r w:rsidRPr="00A27A5F">
        <w:rPr>
          <w:rFonts w:ascii="Arial Narrow" w:hAnsi="Arial Narrow"/>
          <w:sz w:val="18"/>
          <w:szCs w:val="18"/>
        </w:rPr>
        <w:t xml:space="preserve">meetings. A 90-day rebate eligibility clause is recommended by the SWE to significantly reduce the possibility of granting rebates to program participants who have already installed qualifying measures without a rebate. The 90-day window of opportunity would be measured from the date of equipment purchase. Some of the EDCs already have implemented such eligibility requirements. Furthermore, the SWE recommends that additional research be conducted to determine the extent to which program participants who apply for a rebate two to three months after equipment purchase are free-riders. The SWE recommends </w:t>
      </w:r>
      <w:r w:rsidRPr="00A86072">
        <w:rPr>
          <w:rFonts w:ascii="Arial Narrow" w:hAnsi="Arial Narrow"/>
          <w:sz w:val="18"/>
          <w:szCs w:val="18"/>
        </w:rPr>
        <w:t>that participant surveys ask how long the interval was between the purchase of the appliance and the submittal of the rebate application</w:t>
      </w:r>
      <w:r w:rsidRPr="00A27A5F">
        <w:rPr>
          <w:rFonts w:ascii="Arial Narrow" w:hAnsi="Arial Narrow"/>
          <w:sz w:val="18"/>
          <w:szCs w:val="18"/>
        </w:rPr>
        <w:t xml:space="preserve"> (if </w:t>
      </w:r>
      <w:r>
        <w:rPr>
          <w:rFonts w:ascii="Arial Narrow" w:hAnsi="Arial Narrow"/>
          <w:sz w:val="18"/>
          <w:szCs w:val="18"/>
        </w:rPr>
        <w:t>these</w:t>
      </w:r>
      <w:r w:rsidRPr="00A27A5F">
        <w:rPr>
          <w:rFonts w:ascii="Arial Narrow" w:hAnsi="Arial Narrow"/>
          <w:sz w:val="18"/>
          <w:szCs w:val="18"/>
        </w:rPr>
        <w:t xml:space="preserve"> data </w:t>
      </w:r>
      <w:r>
        <w:rPr>
          <w:rFonts w:ascii="Arial Narrow" w:hAnsi="Arial Narrow"/>
          <w:sz w:val="18"/>
          <w:szCs w:val="18"/>
        </w:rPr>
        <w:t>are</w:t>
      </w:r>
      <w:r w:rsidRPr="00A27A5F">
        <w:rPr>
          <w:rFonts w:ascii="Arial Narrow" w:hAnsi="Arial Narrow"/>
          <w:sz w:val="18"/>
          <w:szCs w:val="18"/>
        </w:rPr>
        <w:t xml:space="preserve"> not already in the EDC’s program tracking system), and that analysis be done to determine the free-ridership rate for such participants as compared </w:t>
      </w:r>
      <w:r>
        <w:rPr>
          <w:rFonts w:ascii="Arial Narrow" w:hAnsi="Arial Narrow"/>
          <w:sz w:val="18"/>
          <w:szCs w:val="18"/>
        </w:rPr>
        <w:t>with</w:t>
      </w:r>
      <w:r w:rsidRPr="00A27A5F">
        <w:rPr>
          <w:rFonts w:ascii="Arial Narrow" w:hAnsi="Arial Narrow"/>
          <w:sz w:val="18"/>
          <w:szCs w:val="18"/>
        </w:rPr>
        <w:t xml:space="preserve"> participants who applied more quickly for a rebate</w:t>
      </w:r>
      <w:r w:rsidRPr="00A86072">
        <w:rPr>
          <w:rFonts w:ascii="Arial Narrow" w:hAnsi="Arial Narrow"/>
          <w:sz w:val="18"/>
          <w:szCs w:val="18"/>
        </w:rPr>
        <w:t>.</w:t>
      </w:r>
      <w:r w:rsidRPr="008C3D92">
        <w:rPr>
          <w:rFonts w:ascii="Arial Narrow" w:hAnsi="Arial Narrow"/>
          <w:sz w:val="18"/>
          <w:szCs w:val="18"/>
        </w:rPr>
        <w:t xml:space="preserve"> The SWE recommends that this research recommendation be discussed with </w:t>
      </w:r>
      <w:r>
        <w:rPr>
          <w:rFonts w:ascii="Arial Narrow" w:hAnsi="Arial Narrow"/>
          <w:sz w:val="18"/>
          <w:szCs w:val="18"/>
        </w:rPr>
        <w:t>PEG</w:t>
      </w:r>
      <w:r w:rsidRPr="008C3D92">
        <w:rPr>
          <w:rFonts w:ascii="Arial Narrow" w:hAnsi="Arial Narrow"/>
          <w:sz w:val="18"/>
          <w:szCs w:val="18"/>
        </w:rPr>
        <w:t xml:space="preserve"> participants at a future meeting during </w:t>
      </w:r>
      <w:r>
        <w:rPr>
          <w:rFonts w:ascii="Arial Narrow" w:hAnsi="Arial Narrow"/>
          <w:sz w:val="18"/>
          <w:szCs w:val="18"/>
        </w:rPr>
        <w:t>Phase III</w:t>
      </w:r>
      <w:r w:rsidRPr="008C3D92">
        <w:rPr>
          <w:rFonts w:ascii="Arial Narrow" w:hAnsi="Arial Narrow"/>
          <w:sz w:val="18"/>
          <w:szCs w:val="18"/>
        </w:rPr>
        <w:t>. This research is necessary in order to provide Pennsylvania</w:t>
      </w:r>
      <w:r>
        <w:rPr>
          <w:rFonts w:ascii="Arial Narrow" w:hAnsi="Arial Narrow"/>
          <w:sz w:val="18"/>
          <w:szCs w:val="18"/>
        </w:rPr>
        <w:t>-</w:t>
      </w:r>
      <w:r w:rsidRPr="008C3D92">
        <w:rPr>
          <w:rFonts w:ascii="Arial Narrow" w:hAnsi="Arial Narrow"/>
          <w:sz w:val="18"/>
          <w:szCs w:val="18"/>
        </w:rPr>
        <w:t>specific information on whether the free-ridership rate increases as the length of time a participant takes to apply for a rebate (after a measure is installed) increases.</w:t>
      </w:r>
    </w:p>
  </w:footnote>
  <w:footnote w:id="12">
    <w:p w:rsidR="00063A64" w:rsidRPr="002A0B26" w:rsidRDefault="00063A64" w:rsidP="00FB0EFE">
      <w:pPr>
        <w:pStyle w:val="FootnoteText"/>
        <w:rPr>
          <w:rFonts w:ascii="Arial Narrow" w:hAnsi="Arial Narrow"/>
          <w:sz w:val="18"/>
          <w:szCs w:val="18"/>
        </w:rPr>
      </w:pPr>
      <w:r w:rsidRPr="002A0B26">
        <w:rPr>
          <w:rStyle w:val="FootnoteReference"/>
          <w:rFonts w:ascii="Arial Narrow" w:hAnsi="Arial Narrow"/>
          <w:sz w:val="18"/>
          <w:szCs w:val="18"/>
        </w:rPr>
        <w:footnoteRef/>
      </w:r>
      <w:r w:rsidRPr="002A0B26">
        <w:rPr>
          <w:rFonts w:ascii="Arial Narrow" w:hAnsi="Arial Narrow"/>
          <w:sz w:val="18"/>
          <w:szCs w:val="18"/>
        </w:rPr>
        <w:t xml:space="preserve"> The Phase II SWE Team recommendations in this section draw from SWE Team audit activities conducted across all three years of Phase II, not just from the last year of Phase II.</w:t>
      </w:r>
    </w:p>
  </w:footnote>
  <w:footnote w:id="13">
    <w:p w:rsidR="00063A64" w:rsidRPr="00FB0EFE" w:rsidRDefault="00063A64" w:rsidP="00FB0EFE">
      <w:pPr>
        <w:pStyle w:val="p3"/>
        <w:widowControl/>
        <w:tabs>
          <w:tab w:val="clear" w:pos="204"/>
          <w:tab w:val="left" w:pos="-2070"/>
        </w:tabs>
        <w:jc w:val="both"/>
        <w:rPr>
          <w:rFonts w:ascii="Arial Narrow" w:hAnsi="Arial Narrow"/>
          <w:sz w:val="18"/>
          <w:szCs w:val="18"/>
        </w:rPr>
      </w:pPr>
      <w:r w:rsidRPr="00A27A5F">
        <w:rPr>
          <w:rStyle w:val="FootnoteReference"/>
          <w:rFonts w:ascii="Arial Narrow" w:hAnsi="Arial Narrow"/>
          <w:sz w:val="18"/>
          <w:szCs w:val="18"/>
        </w:rPr>
        <w:footnoteRef/>
      </w:r>
      <w:r w:rsidRPr="009329BE">
        <w:rPr>
          <w:rFonts w:ascii="Arial Narrow" w:hAnsi="Arial Narrow"/>
          <w:sz w:val="18"/>
          <w:szCs w:val="18"/>
        </w:rPr>
        <w:t xml:space="preserve"> Savings represent verified gross energy (including carryover) and demand savings. It is important to note the provision in the Commission’s June 11, 2015 Phase III Implementation Order relating to the methodology to be used to calculate any carry over savings to Phase III. The Phase III Implementation Order states the following: </w:t>
      </w:r>
      <w:r>
        <w:rPr>
          <w:rFonts w:ascii="Arial Narrow" w:hAnsi="Arial Narrow"/>
          <w:sz w:val="18"/>
          <w:szCs w:val="18"/>
        </w:rPr>
        <w:t>“</w:t>
      </w:r>
      <w:r w:rsidRPr="00FB0EFE">
        <w:rPr>
          <w:rFonts w:ascii="Arial Narrow" w:hAnsi="Arial Narrow"/>
          <w:sz w:val="18"/>
          <w:szCs w:val="18"/>
        </w:rPr>
        <w:t>the EDCs are allowed to bank only those savings obtained in Phase II in excess of their targets for application towards Phase III targets.  These carryover savings may only be savings actually obtained in Phase II.  This directive applies to excess savings in the G/E/NP sector, as well.</w:t>
      </w:r>
      <w:r>
        <w:rPr>
          <w:rFonts w:ascii="Arial Narrow" w:hAnsi="Arial Narrow"/>
          <w:sz w:val="18"/>
          <w:szCs w:val="18"/>
        </w:rPr>
        <w:t xml:space="preserve"> </w:t>
      </w:r>
      <w:r w:rsidRPr="00FB0EFE">
        <w:rPr>
          <w:rFonts w:ascii="Arial Narrow" w:hAnsi="Arial Narrow"/>
          <w:sz w:val="18"/>
          <w:szCs w:val="18"/>
        </w:rPr>
        <w:t>With regard to low-income carryover savings to be applied toward the low-income carve-out, the EDCs will only be allowed to carry over excess low-income savings into Phase III, based on an allocation factor determined by the ratio of savings from low-income specific programs.</w:t>
      </w:r>
      <w:r>
        <w:rPr>
          <w:rFonts w:ascii="Arial Narrow" w:hAnsi="Arial Narrow"/>
          <w:sz w:val="18"/>
          <w:szCs w:val="18"/>
        </w:rPr>
        <w:t>” See pages 84 to 86 of the Phase III Implementation Order for more information on this topic.</w:t>
      </w:r>
    </w:p>
    <w:p w:rsidR="00063A64" w:rsidRPr="009329BE" w:rsidRDefault="00063A64" w:rsidP="009329BE">
      <w:pPr>
        <w:pStyle w:val="FootnoteText"/>
        <w:rPr>
          <w:rFonts w:ascii="Arial Narrow" w:hAnsi="Arial Narrow"/>
          <w:sz w:val="18"/>
          <w:szCs w:val="18"/>
        </w:rPr>
      </w:pPr>
    </w:p>
  </w:footnote>
  <w:footnote w:id="14">
    <w:p w:rsidR="00063A64" w:rsidRPr="00EE52CE" w:rsidRDefault="00063A64">
      <w:pPr>
        <w:pStyle w:val="FootnoteText"/>
        <w:rPr>
          <w:rFonts w:ascii="Arial Narrow" w:hAnsi="Arial Narrow"/>
          <w:sz w:val="18"/>
          <w:szCs w:val="18"/>
        </w:rPr>
      </w:pPr>
      <w:r w:rsidRPr="00EE52CE">
        <w:rPr>
          <w:rStyle w:val="FootnoteReference"/>
          <w:rFonts w:ascii="Arial Narrow" w:hAnsi="Arial Narrow"/>
          <w:sz w:val="18"/>
          <w:szCs w:val="18"/>
        </w:rPr>
        <w:footnoteRef/>
      </w:r>
      <w:r w:rsidRPr="00EE52CE">
        <w:rPr>
          <w:rFonts w:ascii="Arial Narrow" w:hAnsi="Arial Narrow"/>
          <w:sz w:val="18"/>
          <w:szCs w:val="18"/>
        </w:rPr>
        <w:t xml:space="preserve"> 66 Pa. C.S. § 2806.1</w:t>
      </w:r>
    </w:p>
  </w:footnote>
  <w:footnote w:id="15">
    <w:p w:rsidR="008A7824" w:rsidRDefault="008A7824" w:rsidP="008A7824">
      <w:pPr>
        <w:pStyle w:val="FootnoteText"/>
      </w:pPr>
      <w:r>
        <w:rPr>
          <w:rStyle w:val="FootnoteReference"/>
          <w:rFonts w:eastAsiaTheme="minorHAnsi"/>
        </w:rPr>
        <w:footnoteRef/>
      </w:r>
      <w:r>
        <w:t xml:space="preserve"> </w:t>
      </w:r>
      <w:r w:rsidRPr="00D44488">
        <w:rPr>
          <w:rFonts w:ascii="Arial Narrow" w:hAnsi="Arial Narrow"/>
          <w:sz w:val="18"/>
          <w:szCs w:val="18"/>
        </w:rPr>
        <w:t>This number is based on the SWE’s interpretation of guidance found in the Evaluation Framework related to the designation of low i</w:t>
      </w:r>
      <w:r>
        <w:rPr>
          <w:rFonts w:ascii="Arial Narrow" w:hAnsi="Arial Narrow"/>
          <w:sz w:val="18"/>
          <w:szCs w:val="18"/>
        </w:rPr>
        <w:t>ncome measure types and general</w:t>
      </w:r>
      <w:r w:rsidRPr="00D44488">
        <w:rPr>
          <w:rFonts w:ascii="Arial Narrow" w:hAnsi="Arial Narrow"/>
          <w:sz w:val="18"/>
          <w:szCs w:val="18"/>
        </w:rPr>
        <w:t xml:space="preserve"> measure types, and is lower than the reported number in PPL’s PY5 Annual Report. PPL reported 52% of measures were available at no cost to low-income customers.  Both instances far exceed the established goal of 8.4% for PPL</w:t>
      </w:r>
      <w:r>
        <w:rPr>
          <w:rFonts w:ascii="Arial Narrow" w:hAnsi="Arial Narrow"/>
          <w:sz w:val="18"/>
          <w:szCs w:val="18"/>
        </w:rPr>
        <w:t>,</w:t>
      </w:r>
    </w:p>
  </w:footnote>
  <w:footnote w:id="16">
    <w:p w:rsidR="008A7824" w:rsidRPr="00637926" w:rsidRDefault="008A7824" w:rsidP="008A7824">
      <w:pPr>
        <w:pStyle w:val="FootnoteText"/>
        <w:rPr>
          <w:rFonts w:ascii="Arial Narrow" w:hAnsi="Arial Narrow"/>
          <w:sz w:val="18"/>
          <w:szCs w:val="18"/>
        </w:rPr>
      </w:pPr>
      <w:r>
        <w:rPr>
          <w:rStyle w:val="FootnoteReference"/>
          <w:rFonts w:eastAsiaTheme="minorHAnsi"/>
        </w:rPr>
        <w:footnoteRef/>
      </w:r>
      <w:r>
        <w:t xml:space="preserve"> </w:t>
      </w:r>
      <w:r w:rsidRPr="00637926">
        <w:rPr>
          <w:rFonts w:ascii="Arial Narrow" w:hAnsi="Arial Narrow"/>
          <w:sz w:val="18"/>
          <w:szCs w:val="18"/>
        </w:rPr>
        <w:t>This number is the approximate percentage calculated by the SWE based on the SWE’s interpretation of guidance found in the Evaluation Framework related to the designation of low income measure types and general measure types, and is lower than the reported number in PPL’s PY5 Annual Report. PPL reported 54% of measures were available at no cost to low-income customers.  Both instances far exceed the established goal of 10.0% for PPL</w:t>
      </w:r>
      <w:r>
        <w:rPr>
          <w:rFonts w:ascii="Arial Narrow" w:hAnsi="Arial Narrow"/>
          <w:sz w:val="18"/>
          <w:szCs w:val="18"/>
        </w:rPr>
        <w:t>.</w:t>
      </w:r>
    </w:p>
  </w:footnote>
  <w:footnote w:id="17">
    <w:p w:rsidR="00063A64" w:rsidRPr="00B060D3" w:rsidRDefault="00063A64" w:rsidP="000F5A29">
      <w:pPr>
        <w:pStyle w:val="FootnoteText"/>
        <w:rPr>
          <w:rFonts w:ascii="Arial Narrow" w:hAnsi="Arial Narrow" w:cs="Arial"/>
          <w:sz w:val="18"/>
          <w:szCs w:val="18"/>
        </w:rPr>
      </w:pPr>
      <w:r w:rsidRPr="00B060D3">
        <w:rPr>
          <w:rStyle w:val="FootnoteReference"/>
          <w:rFonts w:ascii="Arial Narrow" w:hAnsi="Arial Narrow" w:cs="Arial"/>
          <w:sz w:val="18"/>
          <w:szCs w:val="18"/>
        </w:rPr>
        <w:footnoteRef/>
      </w:r>
      <w:r w:rsidRPr="00B060D3">
        <w:rPr>
          <w:rFonts w:ascii="Arial Narrow" w:hAnsi="Arial Narrow" w:cs="Arial"/>
          <w:sz w:val="18"/>
          <w:szCs w:val="18"/>
        </w:rPr>
        <w:t xml:space="preserve"> Low-Income Programs addressed in this section are the programs dedicated to low-income customers. Low-income customer participation in other programs also contributes to achievement of required low-income savings targets established by the PUC for Phase II.</w:t>
      </w:r>
    </w:p>
  </w:footnote>
  <w:footnote w:id="18">
    <w:p w:rsidR="00063A64" w:rsidRPr="00A174C1" w:rsidRDefault="00063A64" w:rsidP="000F5A29">
      <w:pPr>
        <w:pStyle w:val="FootnoteText"/>
        <w:rPr>
          <w:rFonts w:ascii="Arial Narrow" w:hAnsi="Arial Narrow"/>
          <w:sz w:val="18"/>
          <w:szCs w:val="18"/>
        </w:rPr>
      </w:pPr>
      <w:r w:rsidRPr="00A174C1">
        <w:rPr>
          <w:rStyle w:val="FootnoteReference"/>
          <w:rFonts w:ascii="Arial Narrow" w:hAnsi="Arial Narrow"/>
          <w:sz w:val="18"/>
          <w:szCs w:val="18"/>
        </w:rPr>
        <w:footnoteRef/>
      </w:r>
      <w:r w:rsidRPr="00A174C1">
        <w:rPr>
          <w:rFonts w:ascii="Arial Narrow" w:hAnsi="Arial Narrow"/>
          <w:sz w:val="18"/>
          <w:szCs w:val="18"/>
        </w:rPr>
        <w:t xml:space="preserve"> The Phase II SWE Team is presenting data on the average cost per participant for each EDC’s low income program to highlight the variation in delivery costs across EDCs, recognizing that the EDC program offerings vary significantly.</w:t>
      </w:r>
    </w:p>
  </w:footnote>
  <w:footnote w:id="19">
    <w:p w:rsidR="00063A64" w:rsidRPr="00E1723F" w:rsidRDefault="00063A64" w:rsidP="00E1723F">
      <w:pPr>
        <w:pStyle w:val="FootnoteText"/>
        <w:jc w:val="left"/>
        <w:rPr>
          <w:rFonts w:ascii="Arial Narrow" w:hAnsi="Arial Narrow"/>
          <w:sz w:val="18"/>
        </w:rPr>
      </w:pPr>
      <w:r w:rsidRPr="00E1723F">
        <w:rPr>
          <w:rStyle w:val="FootnoteReference"/>
          <w:rFonts w:ascii="Arial Narrow" w:hAnsi="Arial Narrow"/>
          <w:sz w:val="18"/>
        </w:rPr>
        <w:footnoteRef/>
      </w:r>
      <w:r w:rsidRPr="00E1723F">
        <w:rPr>
          <w:rFonts w:ascii="Arial Narrow" w:hAnsi="Arial Narrow"/>
          <w:sz w:val="18"/>
        </w:rPr>
        <w:t xml:space="preserve"> “Realization rate” is defined as a factor representing ex post savings estimates divided by ex ante savings estimates that is applied to gross savings to determine verified savings estimates.</w:t>
      </w:r>
    </w:p>
  </w:footnote>
  <w:footnote w:id="20">
    <w:p w:rsidR="00063A64" w:rsidRPr="00DE0CC2" w:rsidRDefault="00063A64" w:rsidP="000F5A29">
      <w:pPr>
        <w:pStyle w:val="FootnoteText"/>
        <w:rPr>
          <w:rFonts w:ascii="Arial Narrow" w:hAnsi="Arial Narrow" w:cs="Tahoma"/>
          <w:sz w:val="18"/>
          <w:szCs w:val="18"/>
        </w:rPr>
      </w:pPr>
      <w:r w:rsidRPr="00DE0CC2">
        <w:rPr>
          <w:rStyle w:val="FootnoteReference"/>
          <w:rFonts w:ascii="Arial Narrow" w:hAnsi="Arial Narrow"/>
          <w:sz w:val="18"/>
          <w:szCs w:val="18"/>
        </w:rPr>
        <w:footnoteRef/>
      </w:r>
      <w:r w:rsidRPr="00DE0CC2">
        <w:rPr>
          <w:rFonts w:ascii="Arial Narrow" w:hAnsi="Arial Narrow"/>
          <w:sz w:val="18"/>
          <w:szCs w:val="18"/>
        </w:rPr>
        <w:t xml:space="preserve"> </w:t>
      </w:r>
      <w:r w:rsidRPr="00DE0CC2">
        <w:rPr>
          <w:rFonts w:ascii="Arial Narrow" w:hAnsi="Arial Narrow" w:cs="Tahoma"/>
          <w:sz w:val="18"/>
          <w:szCs w:val="18"/>
        </w:rPr>
        <w:t>66 Pa. C.S. § 2806.1 (m).</w:t>
      </w:r>
    </w:p>
  </w:footnote>
  <w:footnote w:id="21">
    <w:p w:rsidR="00063A64" w:rsidRPr="00DE0CC2" w:rsidRDefault="00063A64" w:rsidP="000F5A29">
      <w:pPr>
        <w:pStyle w:val="FootnoteText"/>
        <w:rPr>
          <w:rFonts w:ascii="Arial Narrow" w:hAnsi="Arial Narrow"/>
          <w:sz w:val="18"/>
          <w:szCs w:val="18"/>
        </w:rPr>
      </w:pPr>
      <w:r w:rsidRPr="00DE0CC2">
        <w:rPr>
          <w:rStyle w:val="FootnoteReference"/>
          <w:rFonts w:ascii="Arial Narrow" w:hAnsi="Arial Narrow"/>
          <w:sz w:val="18"/>
          <w:szCs w:val="18"/>
        </w:rPr>
        <w:footnoteRef/>
      </w:r>
      <w:r w:rsidRPr="00DE0CC2">
        <w:rPr>
          <w:rFonts w:ascii="Arial Narrow" w:hAnsi="Arial Narrow"/>
          <w:sz w:val="18"/>
          <w:szCs w:val="18"/>
        </w:rPr>
        <w:t xml:space="preserve"> California Standard Practice Manual – Economic Analysis of Demand-Side Programs and Projects, July 2002.</w:t>
      </w:r>
    </w:p>
  </w:footnote>
  <w:footnote w:id="22">
    <w:p w:rsidR="00063A64" w:rsidRDefault="00063A64" w:rsidP="000F5A29">
      <w:pPr>
        <w:pStyle w:val="FootnoteText"/>
      </w:pPr>
      <w:r w:rsidRPr="00DE0CC2">
        <w:rPr>
          <w:rStyle w:val="FootnoteReference"/>
          <w:rFonts w:ascii="Arial Narrow" w:hAnsi="Arial Narrow"/>
          <w:sz w:val="18"/>
          <w:szCs w:val="18"/>
        </w:rPr>
        <w:footnoteRef/>
      </w:r>
      <w:r w:rsidRPr="00DE0CC2">
        <w:rPr>
          <w:rFonts w:ascii="Arial Narrow" w:hAnsi="Arial Narrow"/>
          <w:sz w:val="18"/>
          <w:szCs w:val="18"/>
        </w:rPr>
        <w:t xml:space="preserve"> Order on the TRC test for Phase II of Act 129. From the Public Meeting of August 30, 2012, at Docket No. M-2012-2300653. Entered August 30, 2012</w:t>
      </w:r>
      <w:r>
        <w:rPr>
          <w:rFonts w:ascii="Arial Narrow" w:hAnsi="Arial Narrow"/>
          <w:sz w:val="18"/>
          <w:szCs w:val="18"/>
        </w:rPr>
        <w:t>.</w:t>
      </w:r>
    </w:p>
  </w:footnote>
  <w:footnote w:id="23">
    <w:p w:rsidR="00063A64" w:rsidRPr="00487448" w:rsidRDefault="00063A64" w:rsidP="000F5A29">
      <w:pPr>
        <w:pStyle w:val="FootnoteText"/>
        <w:rPr>
          <w:rFonts w:ascii="Arial Narrow" w:hAnsi="Arial Narrow"/>
          <w:sz w:val="18"/>
          <w:szCs w:val="18"/>
        </w:rPr>
      </w:pPr>
      <w:r w:rsidRPr="00487448">
        <w:rPr>
          <w:rStyle w:val="FootnoteReference"/>
          <w:rFonts w:ascii="Arial Narrow" w:hAnsi="Arial Narrow"/>
          <w:sz w:val="18"/>
          <w:szCs w:val="18"/>
        </w:rPr>
        <w:footnoteRef/>
      </w:r>
      <w:r w:rsidRPr="00487448">
        <w:rPr>
          <w:rFonts w:ascii="Arial Narrow" w:hAnsi="Arial Narrow"/>
          <w:sz w:val="18"/>
          <w:szCs w:val="18"/>
        </w:rPr>
        <w:t xml:space="preserve"> This different accounting method for reporting Phase II benefits and cost was originally noted and discussed in the SWE</w:t>
      </w:r>
      <w:r>
        <w:rPr>
          <w:rFonts w:ascii="Arial Narrow" w:hAnsi="Arial Narrow"/>
          <w:sz w:val="18"/>
          <w:szCs w:val="18"/>
        </w:rPr>
        <w:t>’s</w:t>
      </w:r>
      <w:r w:rsidRPr="00487448">
        <w:rPr>
          <w:rFonts w:ascii="Arial Narrow" w:hAnsi="Arial Narrow"/>
          <w:sz w:val="18"/>
          <w:szCs w:val="18"/>
        </w:rPr>
        <w:t xml:space="preserve"> PY6 </w:t>
      </w:r>
      <w:r>
        <w:rPr>
          <w:rFonts w:ascii="Arial Narrow" w:hAnsi="Arial Narrow"/>
          <w:sz w:val="18"/>
          <w:szCs w:val="18"/>
        </w:rPr>
        <w:t>a</w:t>
      </w:r>
      <w:r w:rsidRPr="00487448">
        <w:rPr>
          <w:rFonts w:ascii="Arial Narrow" w:hAnsi="Arial Narrow"/>
          <w:sz w:val="18"/>
          <w:szCs w:val="18"/>
        </w:rPr>
        <w:t xml:space="preserve">nnual </w:t>
      </w:r>
      <w:r>
        <w:rPr>
          <w:rFonts w:ascii="Arial Narrow" w:hAnsi="Arial Narrow"/>
          <w:sz w:val="18"/>
          <w:szCs w:val="18"/>
        </w:rPr>
        <w:t>r</w:t>
      </w:r>
      <w:r w:rsidRPr="00487448">
        <w:rPr>
          <w:rFonts w:ascii="Arial Narrow" w:hAnsi="Arial Narrow"/>
          <w:sz w:val="18"/>
          <w:szCs w:val="18"/>
        </w:rPr>
        <w:t>eport.  The SWE recommends that the Commission adopt a common reporting method for all EDCs during Phase III.</w:t>
      </w:r>
    </w:p>
  </w:footnote>
  <w:footnote w:id="24">
    <w:p w:rsidR="00063A64" w:rsidRPr="00514A0E" w:rsidRDefault="00063A64" w:rsidP="00E3392B">
      <w:pPr>
        <w:pStyle w:val="FootnoteText"/>
        <w:rPr>
          <w:rFonts w:ascii="Arial Narrow" w:hAnsi="Arial Narrow"/>
          <w:sz w:val="18"/>
          <w:szCs w:val="18"/>
        </w:rPr>
      </w:pPr>
      <w:r w:rsidRPr="00514A0E">
        <w:rPr>
          <w:rStyle w:val="FootnoteReference"/>
          <w:rFonts w:ascii="Arial Narrow" w:hAnsi="Arial Narrow"/>
          <w:sz w:val="18"/>
          <w:szCs w:val="18"/>
        </w:rPr>
        <w:footnoteRef/>
      </w:r>
      <w:r w:rsidRPr="00514A0E">
        <w:rPr>
          <w:rFonts w:ascii="Arial Narrow" w:hAnsi="Arial Narrow"/>
          <w:sz w:val="18"/>
          <w:szCs w:val="18"/>
        </w:rPr>
        <w:t xml:space="preserve"> The NTGRs for appliance recycling declined from PY6 to PY7 for Duquesne and Met-Ed by over 32 percentage points and for Penelec and Penn Power by about 13 percentage points. The NTGRs for the West Penn Power and PECO appliance recycling programs remained unchanged and the NTGR for PECO increased in PY7 by 15 percentage points.</w:t>
      </w:r>
    </w:p>
  </w:footnote>
  <w:footnote w:id="25">
    <w:p w:rsidR="00063A64" w:rsidRDefault="00063A64" w:rsidP="00E3392B">
      <w:pPr>
        <w:pStyle w:val="FootnoteText"/>
      </w:pPr>
      <w:r w:rsidRPr="00514A0E">
        <w:rPr>
          <w:rStyle w:val="FootnoteReference"/>
          <w:rFonts w:ascii="Arial Narrow" w:hAnsi="Arial Narrow"/>
          <w:sz w:val="18"/>
          <w:szCs w:val="18"/>
        </w:rPr>
        <w:footnoteRef/>
      </w:r>
      <w:r w:rsidRPr="00514A0E">
        <w:rPr>
          <w:rFonts w:ascii="Arial Narrow" w:hAnsi="Arial Narrow"/>
          <w:sz w:val="18"/>
          <w:szCs w:val="18"/>
        </w:rPr>
        <w:t xml:space="preserve"> The NTGRs for the low income programs of the FirstEnergy EDCs and PECO fell in PY7 to values of ranging from 0.81 to 0.90 from the PY6 assumed value of 1.0. Duquesne’s low income NTGR rose in PY7 to 0.81 from a PY6 estimate of 0.76. PPL’s low income NTGR remained unchanged at the assumed value of 1.0.</w:t>
      </w:r>
    </w:p>
  </w:footnote>
  <w:footnote w:id="26">
    <w:p w:rsidR="00063A64" w:rsidRPr="00A5722F" w:rsidRDefault="00063A64" w:rsidP="007631BE">
      <w:pPr>
        <w:pStyle w:val="FootnoteText"/>
        <w:jc w:val="left"/>
        <w:rPr>
          <w:rFonts w:ascii="Arial Narrow" w:hAnsi="Arial Narrow"/>
          <w:sz w:val="18"/>
          <w:szCs w:val="18"/>
        </w:rPr>
      </w:pPr>
      <w:r w:rsidRPr="00A5722F">
        <w:rPr>
          <w:rStyle w:val="FootnoteReference"/>
          <w:rFonts w:ascii="Arial Narrow" w:hAnsi="Arial Narrow"/>
          <w:sz w:val="18"/>
          <w:szCs w:val="18"/>
        </w:rPr>
        <w:footnoteRef/>
      </w:r>
      <w:r w:rsidRPr="00A5722F">
        <w:rPr>
          <w:rFonts w:ascii="Arial Narrow" w:hAnsi="Arial Narrow"/>
          <w:sz w:val="18"/>
          <w:szCs w:val="18"/>
        </w:rPr>
        <w:t xml:space="preserve"> </w:t>
      </w:r>
      <w:hyperlink r:id="rId1" w:history="1">
        <w:r w:rsidRPr="008A5E9E">
          <w:rPr>
            <w:rStyle w:val="Hyperlink"/>
            <w:rFonts w:ascii="Arial Narrow" w:eastAsia="Calibri" w:hAnsi="Arial Narrow"/>
            <w:sz w:val="18"/>
            <w:szCs w:val="18"/>
          </w:rPr>
          <w:t>http://energy.gov/eere/about-us/ump-protocols</w:t>
        </w:r>
      </w:hyperlink>
      <w:r w:rsidRPr="008A5E9E">
        <w:rPr>
          <w:rStyle w:val="Hyperlink"/>
          <w:rFonts w:ascii="Arial Narrow" w:eastAsia="Calibri" w:hAnsi="Arial Narrow"/>
          <w:sz w:val="18"/>
          <w:szCs w:val="18"/>
        </w:rPr>
        <w:t>.</w:t>
      </w:r>
      <w:r w:rsidRPr="00A5722F">
        <w:rPr>
          <w:rFonts w:ascii="Arial Narrow" w:hAnsi="Arial Narrow"/>
          <w:sz w:val="18"/>
          <w:szCs w:val="18"/>
        </w:rPr>
        <w:t xml:space="preserve"> </w:t>
      </w:r>
    </w:p>
  </w:footnote>
  <w:footnote w:id="27">
    <w:p w:rsidR="00063A64" w:rsidRPr="0055637D" w:rsidRDefault="00063A64" w:rsidP="00E3392B">
      <w:pPr>
        <w:pStyle w:val="FootnoteText"/>
        <w:rPr>
          <w:rFonts w:ascii="Arial Narrow" w:hAnsi="Arial Narrow"/>
          <w:sz w:val="18"/>
        </w:rPr>
      </w:pPr>
      <w:r w:rsidRPr="0055637D">
        <w:rPr>
          <w:rStyle w:val="FootnoteReference"/>
          <w:rFonts w:ascii="Arial Narrow" w:hAnsi="Arial Narrow"/>
          <w:sz w:val="18"/>
        </w:rPr>
        <w:footnoteRef/>
      </w:r>
      <w:r w:rsidRPr="0055637D">
        <w:rPr>
          <w:rFonts w:ascii="Arial Narrow" w:hAnsi="Arial Narrow"/>
          <w:sz w:val="18"/>
        </w:rPr>
        <w:t xml:space="preserve"> A discrepancy is defined as occurring when energy efficiency equipment or measures were reported as installed by an EDC or an EDC implementation contractor but were found not to be installed or not operating properly when on-site or telephone inspections were conducted.</w:t>
      </w:r>
    </w:p>
  </w:footnote>
  <w:footnote w:id="28">
    <w:p w:rsidR="00063A64" w:rsidRPr="00910D94" w:rsidRDefault="00063A64" w:rsidP="00E3392B">
      <w:pPr>
        <w:pStyle w:val="FootnoteText"/>
        <w:rPr>
          <w:rFonts w:ascii="Arial Narrow" w:hAnsi="Arial Narrow"/>
          <w:sz w:val="18"/>
          <w:szCs w:val="18"/>
        </w:rPr>
      </w:pPr>
      <w:r w:rsidRPr="00910D94">
        <w:rPr>
          <w:rStyle w:val="FootnoteReference"/>
          <w:rFonts w:ascii="Arial Narrow" w:hAnsi="Arial Narrow"/>
          <w:sz w:val="18"/>
          <w:szCs w:val="18"/>
        </w:rPr>
        <w:footnoteRef/>
      </w:r>
      <w:r w:rsidRPr="00910D94">
        <w:rPr>
          <w:rFonts w:ascii="Arial Narrow" w:hAnsi="Arial Narrow"/>
          <w:sz w:val="18"/>
          <w:szCs w:val="18"/>
        </w:rPr>
        <w:t xml:space="preserve"> Note that this does not necessarily mean a lift program is more cost</w:t>
      </w:r>
      <w:r>
        <w:rPr>
          <w:rFonts w:ascii="Arial Narrow" w:hAnsi="Arial Narrow"/>
          <w:sz w:val="18"/>
          <w:szCs w:val="18"/>
        </w:rPr>
        <w:t>-</w:t>
      </w:r>
      <w:r w:rsidRPr="00910D94">
        <w:rPr>
          <w:rFonts w:ascii="Arial Narrow" w:hAnsi="Arial Narrow"/>
          <w:sz w:val="18"/>
          <w:szCs w:val="18"/>
        </w:rPr>
        <w:t>effective: to the extent that retailers’ actions are driven by the aggregate incentive amount they expect to receive</w:t>
      </w:r>
      <w:r>
        <w:rPr>
          <w:rFonts w:ascii="Arial Narrow" w:hAnsi="Arial Narrow"/>
          <w:sz w:val="18"/>
          <w:szCs w:val="18"/>
        </w:rPr>
        <w:t>;</w:t>
      </w:r>
      <w:r w:rsidRPr="00910D94">
        <w:rPr>
          <w:rFonts w:ascii="Arial Narrow" w:hAnsi="Arial Narrow"/>
          <w:sz w:val="18"/>
          <w:szCs w:val="18"/>
        </w:rPr>
        <w:t xml:space="preserve"> a lift program may need to provide a larger incentive on a per-unit basis to motivate retailers to take a given set of actions to increase sales of efficient products. </w:t>
      </w:r>
    </w:p>
  </w:footnote>
  <w:footnote w:id="29">
    <w:p w:rsidR="00063A64" w:rsidRPr="00910D94" w:rsidRDefault="00063A64" w:rsidP="00E3392B">
      <w:pPr>
        <w:pStyle w:val="FootnoteText"/>
        <w:rPr>
          <w:rFonts w:ascii="Arial Narrow" w:hAnsi="Arial Narrow"/>
          <w:sz w:val="18"/>
          <w:szCs w:val="18"/>
        </w:rPr>
      </w:pPr>
      <w:r w:rsidRPr="00910D94">
        <w:rPr>
          <w:rStyle w:val="FootnoteReference"/>
          <w:rFonts w:ascii="Arial Narrow" w:hAnsi="Arial Narrow"/>
          <w:sz w:val="18"/>
          <w:szCs w:val="18"/>
        </w:rPr>
        <w:footnoteRef/>
      </w:r>
      <w:r w:rsidRPr="00910D94">
        <w:rPr>
          <w:rFonts w:ascii="Arial Narrow" w:hAnsi="Arial Narrow"/>
          <w:sz w:val="18"/>
          <w:szCs w:val="18"/>
        </w:rPr>
        <w:t xml:space="preserve"> In 2016, PG&amp;E plan</w:t>
      </w:r>
      <w:r>
        <w:rPr>
          <w:rFonts w:ascii="Arial Narrow" w:hAnsi="Arial Narrow"/>
          <w:sz w:val="18"/>
          <w:szCs w:val="18"/>
        </w:rPr>
        <w:t>ned</w:t>
      </w:r>
      <w:r w:rsidRPr="00910D94">
        <w:rPr>
          <w:rFonts w:ascii="Arial Narrow" w:hAnsi="Arial Narrow"/>
          <w:sz w:val="18"/>
          <w:szCs w:val="18"/>
        </w:rPr>
        <w:t xml:space="preserve"> to provide incentives for dryers, sound bars, air purifiers, room air conditioners, and freezers. RPP design allows product categories to easily transition in and out of the program. </w:t>
      </w:r>
    </w:p>
  </w:footnote>
  <w:footnote w:id="30">
    <w:p w:rsidR="00063A64" w:rsidRPr="00910D94" w:rsidRDefault="00063A64" w:rsidP="00E3392B">
      <w:pPr>
        <w:pStyle w:val="FootnoteText"/>
        <w:rPr>
          <w:rFonts w:ascii="Arial Narrow" w:hAnsi="Arial Narrow"/>
          <w:sz w:val="18"/>
          <w:szCs w:val="18"/>
        </w:rPr>
      </w:pPr>
      <w:r w:rsidRPr="00910D94">
        <w:rPr>
          <w:rStyle w:val="FootnoteReference"/>
          <w:rFonts w:ascii="Arial Narrow" w:hAnsi="Arial Narrow"/>
          <w:sz w:val="18"/>
          <w:szCs w:val="18"/>
        </w:rPr>
        <w:footnoteRef/>
      </w:r>
      <w:r w:rsidRPr="00910D94">
        <w:rPr>
          <w:rFonts w:ascii="Arial Narrow" w:hAnsi="Arial Narrow"/>
          <w:sz w:val="18"/>
          <w:szCs w:val="18"/>
        </w:rPr>
        <w:t xml:space="preserve"> These specifications are typically ENERGY STAR or ENERGY STAR Most Efficient, but may be defined as a proportion more efficient than ENERGY STAR (e.g., 15% more efficient than ENERGY STAR, expressed as ENERGY STAR + 15%). </w:t>
      </w:r>
    </w:p>
  </w:footnote>
  <w:footnote w:id="31">
    <w:p w:rsidR="00063A64" w:rsidRPr="00910D94" w:rsidRDefault="00063A64" w:rsidP="00E3392B">
      <w:pPr>
        <w:pStyle w:val="FootnoteText"/>
        <w:rPr>
          <w:rFonts w:ascii="Arial Narrow" w:hAnsi="Arial Narrow"/>
          <w:sz w:val="18"/>
        </w:rPr>
      </w:pPr>
      <w:r w:rsidRPr="00910D94">
        <w:rPr>
          <w:rStyle w:val="FootnoteReference"/>
          <w:rFonts w:ascii="Arial Narrow" w:hAnsi="Arial Narrow"/>
          <w:sz w:val="18"/>
        </w:rPr>
        <w:footnoteRef/>
      </w:r>
      <w:r w:rsidRPr="00910D94">
        <w:rPr>
          <w:rFonts w:ascii="Arial Narrow" w:hAnsi="Arial Narrow"/>
          <w:sz w:val="18"/>
        </w:rPr>
        <w:t xml:space="preserve"> Expanded underwriting criteria use traditional financial metrics to judge a borrower’s creditworthiness, but allow a wider range of borrowers than a lender would traditionally accept (e.g., accepting borrowers with credit scores of 580 and above, rather than limiting loans to those with credit scores above 640). Alternate underwriting criteria use metrics other than traditional financial metrics, like utility bill or mortgage repayment history, to determine creditworthiness. </w:t>
      </w:r>
    </w:p>
  </w:footnote>
  <w:footnote w:id="32">
    <w:p w:rsidR="00063A64" w:rsidRPr="00A5722F" w:rsidRDefault="00063A64" w:rsidP="00E3392B">
      <w:pPr>
        <w:pStyle w:val="FootnoteText"/>
        <w:rPr>
          <w:rFonts w:ascii="Arial Narrow" w:hAnsi="Arial Narrow"/>
          <w:sz w:val="18"/>
        </w:rPr>
      </w:pPr>
      <w:r w:rsidRPr="00A5722F">
        <w:rPr>
          <w:rStyle w:val="FootnoteReference"/>
          <w:rFonts w:ascii="Arial Narrow" w:hAnsi="Arial Narrow"/>
          <w:sz w:val="18"/>
        </w:rPr>
        <w:footnoteRef/>
      </w:r>
      <w:r w:rsidRPr="00A5722F">
        <w:rPr>
          <w:rFonts w:ascii="Arial Narrow" w:hAnsi="Arial Narrow"/>
          <w:sz w:val="18"/>
        </w:rPr>
        <w:t xml:space="preserve"> Some loans are structured to transfer “automatically” when a home sells, without requiring the buyer to explicitly agree to the loan transfer. Even in these cases, however, the buyer has the discretion to ask that the seller pay off the loan as a condition of the home sale.  </w:t>
      </w:r>
    </w:p>
  </w:footnote>
  <w:footnote w:id="33">
    <w:p w:rsidR="00063A64" w:rsidRPr="00C9303F" w:rsidRDefault="00063A64" w:rsidP="00E3392B">
      <w:pPr>
        <w:pStyle w:val="FootnoteText"/>
        <w:rPr>
          <w:rFonts w:ascii="Arial Narrow" w:hAnsi="Arial Narrow"/>
          <w:sz w:val="18"/>
          <w:szCs w:val="18"/>
        </w:rPr>
      </w:pPr>
      <w:r w:rsidRPr="00C9303F">
        <w:rPr>
          <w:rStyle w:val="FootnoteReference"/>
          <w:rFonts w:ascii="Arial Narrow" w:hAnsi="Arial Narrow"/>
          <w:sz w:val="18"/>
          <w:szCs w:val="18"/>
        </w:rPr>
        <w:footnoteRef/>
      </w:r>
      <w:r w:rsidRPr="00C9303F">
        <w:rPr>
          <w:rFonts w:ascii="Arial Narrow" w:hAnsi="Arial Narrow"/>
          <w:sz w:val="18"/>
          <w:szCs w:val="18"/>
        </w:rPr>
        <w:t xml:space="preserve"> </w:t>
      </w:r>
      <w:r>
        <w:rPr>
          <w:rFonts w:ascii="Arial Narrow" w:hAnsi="Arial Narrow"/>
          <w:sz w:val="18"/>
          <w:szCs w:val="18"/>
        </w:rPr>
        <w:t xml:space="preserve">Susan </w:t>
      </w:r>
      <w:r w:rsidRPr="00C9303F">
        <w:rPr>
          <w:rFonts w:ascii="Arial Narrow" w:hAnsi="Arial Narrow"/>
          <w:sz w:val="18"/>
          <w:szCs w:val="18"/>
        </w:rPr>
        <w:t>Mazur-Stommen and Kate Farley. 2013. “ACEEE Field Guide to Utility-Run Behavior Programs.” B132. Washington, D.C.: American Council for an Energy-Efficient Economy.</w:t>
      </w:r>
    </w:p>
  </w:footnote>
  <w:footnote w:id="34">
    <w:p w:rsidR="00063A64" w:rsidRPr="00910D94" w:rsidRDefault="00063A64" w:rsidP="00E3392B">
      <w:pPr>
        <w:pStyle w:val="FootnoteText"/>
        <w:rPr>
          <w:rFonts w:ascii="Arial Narrow" w:hAnsi="Arial Narrow"/>
          <w:sz w:val="18"/>
        </w:rPr>
      </w:pPr>
      <w:r w:rsidRPr="00910D94">
        <w:rPr>
          <w:rStyle w:val="FootnoteReference"/>
          <w:rFonts w:ascii="Arial Narrow" w:hAnsi="Arial Narrow"/>
          <w:sz w:val="18"/>
        </w:rPr>
        <w:footnoteRef/>
      </w:r>
      <w:r w:rsidRPr="00910D94">
        <w:rPr>
          <w:rFonts w:ascii="Arial Narrow" w:hAnsi="Arial Narrow"/>
          <w:sz w:val="18"/>
        </w:rPr>
        <w:t xml:space="preserve"> As noted above, </w:t>
      </w:r>
      <w:r>
        <w:rPr>
          <w:rFonts w:ascii="Arial Narrow" w:hAnsi="Arial Narrow"/>
          <w:sz w:val="18"/>
        </w:rPr>
        <w:t>HERs</w:t>
      </w:r>
      <w:r w:rsidRPr="00910D94">
        <w:rPr>
          <w:rFonts w:ascii="Arial Narrow" w:hAnsi="Arial Narrow"/>
          <w:sz w:val="18"/>
        </w:rPr>
        <w:t xml:space="preserve"> can also leverage social norms if they are framed as a comparison </w:t>
      </w:r>
      <w:r>
        <w:rPr>
          <w:rFonts w:ascii="Arial Narrow" w:hAnsi="Arial Narrow"/>
          <w:sz w:val="18"/>
        </w:rPr>
        <w:t>with</w:t>
      </w:r>
      <w:r w:rsidRPr="00910D94">
        <w:rPr>
          <w:rFonts w:ascii="Arial Narrow" w:hAnsi="Arial Narrow"/>
          <w:sz w:val="18"/>
        </w:rPr>
        <w:t xml:space="preserve"> other members of one’s community. Many behavioral programs seek to combine multiple strategies. </w:t>
      </w:r>
    </w:p>
  </w:footnote>
  <w:footnote w:id="35">
    <w:p w:rsidR="00063A64" w:rsidRPr="00910D94" w:rsidRDefault="00063A64" w:rsidP="00E3392B">
      <w:pPr>
        <w:pStyle w:val="FootnoteText"/>
        <w:rPr>
          <w:rFonts w:ascii="Arial Narrow" w:hAnsi="Arial Narrow"/>
          <w:sz w:val="18"/>
        </w:rPr>
      </w:pPr>
      <w:r w:rsidRPr="00910D94">
        <w:rPr>
          <w:rStyle w:val="FootnoteReference"/>
          <w:rFonts w:ascii="Arial Narrow" w:hAnsi="Arial Narrow"/>
          <w:sz w:val="18"/>
        </w:rPr>
        <w:footnoteRef/>
      </w:r>
      <w:r w:rsidRPr="00910D94">
        <w:rPr>
          <w:rFonts w:ascii="Arial Narrow" w:hAnsi="Arial Narrow"/>
          <w:sz w:val="18"/>
        </w:rPr>
        <w:t xml:space="preserve"> Source: SCE website. Accessed 12/15/2015 at www.sce.com/wps/portal/home/customer-service/my-account/smart-meters/opt-out/.</w:t>
      </w:r>
    </w:p>
  </w:footnote>
  <w:footnote w:id="36">
    <w:p w:rsidR="00063A64" w:rsidRPr="00910D94" w:rsidRDefault="00063A64" w:rsidP="00E3392B">
      <w:pPr>
        <w:pStyle w:val="FootnoteText"/>
        <w:rPr>
          <w:rFonts w:ascii="Arial Narrow" w:hAnsi="Arial Narrow"/>
          <w:sz w:val="18"/>
        </w:rPr>
      </w:pPr>
      <w:r w:rsidRPr="00910D94">
        <w:rPr>
          <w:rStyle w:val="FootnoteReference"/>
          <w:rFonts w:ascii="Arial Narrow" w:hAnsi="Arial Narrow"/>
          <w:sz w:val="18"/>
        </w:rPr>
        <w:footnoteRef/>
      </w:r>
      <w:r w:rsidRPr="00910D94">
        <w:rPr>
          <w:rFonts w:ascii="Arial Narrow" w:hAnsi="Arial Narrow"/>
          <w:sz w:val="18"/>
        </w:rPr>
        <w:t xml:space="preserve"> Cognitive dissonance occurs when a person’s actions do not align with that person’s beliefs or attitudes. </w:t>
      </w:r>
    </w:p>
  </w:footnote>
  <w:footnote w:id="37">
    <w:p w:rsidR="00063A64" w:rsidRPr="00910D94" w:rsidRDefault="00063A64" w:rsidP="00C24970">
      <w:pPr>
        <w:pStyle w:val="FootnoteText"/>
        <w:rPr>
          <w:rFonts w:ascii="Arial Narrow" w:hAnsi="Arial Narrow"/>
          <w:sz w:val="18"/>
        </w:rPr>
      </w:pPr>
      <w:r w:rsidRPr="00910D94">
        <w:rPr>
          <w:rStyle w:val="FootnoteReference"/>
          <w:rFonts w:ascii="Arial Narrow" w:hAnsi="Arial Narrow"/>
          <w:sz w:val="18"/>
        </w:rPr>
        <w:footnoteRef/>
      </w:r>
      <w:r w:rsidRPr="00910D94">
        <w:rPr>
          <w:rFonts w:ascii="Arial Narrow" w:hAnsi="Arial Narrow"/>
          <w:sz w:val="18"/>
        </w:rPr>
        <w:t xml:space="preserve"> Source: Entergy Solutions Rewards website. Accessed 12/15/2015 at </w:t>
      </w:r>
      <w:hyperlink r:id="rId2" w:history="1">
        <w:r w:rsidRPr="00910D94">
          <w:rPr>
            <w:rStyle w:val="Hyperlink"/>
            <w:rFonts w:ascii="Arial Narrow" w:hAnsi="Arial Narrow"/>
            <w:sz w:val="18"/>
          </w:rPr>
          <w:t>www.entergysolutionsrewards.com</w:t>
        </w:r>
      </w:hyperlink>
      <w:r w:rsidRPr="00910D94">
        <w:rPr>
          <w:rStyle w:val="Hyperlink"/>
          <w:rFonts w:ascii="Arial Narrow" w:hAnsi="Arial Narrow"/>
          <w:sz w:val="18"/>
        </w:rPr>
        <w:t>.</w:t>
      </w:r>
    </w:p>
  </w:footnote>
  <w:footnote w:id="38">
    <w:p w:rsidR="00063A64" w:rsidRPr="00910D94" w:rsidRDefault="00063A64" w:rsidP="00C24970">
      <w:pPr>
        <w:pStyle w:val="FootnoteText"/>
        <w:rPr>
          <w:rFonts w:ascii="Arial Narrow" w:hAnsi="Arial Narrow"/>
          <w:sz w:val="18"/>
        </w:rPr>
      </w:pPr>
      <w:r w:rsidRPr="00910D94">
        <w:rPr>
          <w:rStyle w:val="FootnoteReference"/>
          <w:rFonts w:ascii="Arial Narrow" w:hAnsi="Arial Narrow"/>
          <w:sz w:val="18"/>
        </w:rPr>
        <w:footnoteRef/>
      </w:r>
      <w:r w:rsidRPr="00910D94">
        <w:rPr>
          <w:rFonts w:ascii="Arial Narrow" w:hAnsi="Arial Narrow"/>
          <w:sz w:val="18"/>
        </w:rPr>
        <w:t xml:space="preserve"> Source: Entergy Solutions Rewards website. Accessed 12/15/2015 at </w:t>
      </w:r>
      <w:hyperlink r:id="rId3" w:history="1">
        <w:r w:rsidRPr="00910D94">
          <w:rPr>
            <w:rStyle w:val="Hyperlink"/>
            <w:rFonts w:ascii="Arial Narrow" w:hAnsi="Arial Narrow"/>
            <w:sz w:val="18"/>
          </w:rPr>
          <w:t>www.entergysolutionsrewards.com/faqs</w:t>
        </w:r>
      </w:hyperlink>
      <w:r w:rsidRPr="00910D94">
        <w:rPr>
          <w:rStyle w:val="Hyperlink"/>
          <w:rFonts w:ascii="Arial Narrow" w:hAnsi="Arial Narrow"/>
          <w:sz w:val="18"/>
        </w:rPr>
        <w:t>.</w:t>
      </w:r>
    </w:p>
  </w:footnote>
  <w:footnote w:id="39">
    <w:p w:rsidR="00063A64" w:rsidRPr="00610475" w:rsidRDefault="00063A64">
      <w:pPr>
        <w:pStyle w:val="FootnoteText"/>
        <w:rPr>
          <w:rFonts w:ascii="Arial Narrow" w:hAnsi="Arial Narrow"/>
          <w:sz w:val="18"/>
          <w:szCs w:val="18"/>
        </w:rPr>
      </w:pPr>
      <w:r w:rsidRPr="00610475">
        <w:rPr>
          <w:rStyle w:val="FootnoteReference"/>
          <w:rFonts w:ascii="Arial Narrow" w:hAnsi="Arial Narrow"/>
          <w:sz w:val="18"/>
          <w:szCs w:val="18"/>
        </w:rPr>
        <w:footnoteRef/>
      </w:r>
      <w:r w:rsidRPr="00610475">
        <w:rPr>
          <w:rFonts w:ascii="Arial Narrow" w:hAnsi="Arial Narrow"/>
          <w:sz w:val="18"/>
          <w:szCs w:val="18"/>
        </w:rPr>
        <w:t xml:space="preserve"> All of the $ per first-year kWh saved calculations presented in Tables 6-1 through 6-9 for the residential, non-residential and total sectors were calculated by dividing the total utility costs for a sector by the total first-year kWh savings for each sector presented in each table. The $ per first-year kWh saved for a sector were not calculated by taking a simple average of the $ per first-year kWh saved for the sub-sectors of each sector. This means that the overall $ per first-year kWh saved for a sector is a weighted average of the $ per first-year kWh saved for each sub-sector.</w:t>
      </w:r>
    </w:p>
  </w:footnote>
  <w:footnote w:id="40">
    <w:p w:rsidR="00063A64" w:rsidRDefault="00063A64" w:rsidP="00B87BB2">
      <w:pPr>
        <w:pStyle w:val="FootnoteText"/>
      </w:pPr>
      <w:r>
        <w:rPr>
          <w:rStyle w:val="FootnoteReference"/>
        </w:rPr>
        <w:footnoteRef/>
      </w:r>
      <w:r>
        <w:t xml:space="preserve"> </w:t>
      </w:r>
      <w:r w:rsidRPr="005F407B">
        <w:rPr>
          <w:rFonts w:ascii="Arial Narrow" w:hAnsi="Arial Narrow"/>
          <w:sz w:val="18"/>
          <w:szCs w:val="18"/>
        </w:rPr>
        <w:t>Dollar savings values are the sum of total NPV TRC benefits for Phase I and II for each EDC.</w:t>
      </w:r>
    </w:p>
  </w:footnote>
  <w:footnote w:id="41">
    <w:p w:rsidR="00063A64" w:rsidRDefault="00063A64" w:rsidP="00B87BB2">
      <w:pPr>
        <w:pStyle w:val="FootnoteText"/>
      </w:pPr>
      <w:r>
        <w:rPr>
          <w:rStyle w:val="FootnoteReference"/>
        </w:rPr>
        <w:footnoteRef/>
      </w:r>
      <w:r>
        <w:t xml:space="preserve"> </w:t>
      </w:r>
      <w:r w:rsidRPr="0005355B">
        <w:rPr>
          <w:rFonts w:ascii="Arial Narrow" w:hAnsi="Arial Narrow"/>
          <w:sz w:val="18"/>
          <w:szCs w:val="18"/>
        </w:rPr>
        <w:t xml:space="preserve">No reported savings for </w:t>
      </w:r>
      <w:r>
        <w:rPr>
          <w:rFonts w:ascii="Arial Narrow" w:hAnsi="Arial Narrow"/>
          <w:sz w:val="18"/>
          <w:szCs w:val="18"/>
        </w:rPr>
        <w:t>non-residential</w:t>
      </w:r>
      <w:r w:rsidRPr="0005355B">
        <w:rPr>
          <w:rFonts w:ascii="Arial Narrow" w:hAnsi="Arial Narrow"/>
          <w:sz w:val="18"/>
          <w:szCs w:val="18"/>
        </w:rPr>
        <w:t xml:space="preserve"> programs in</w:t>
      </w:r>
      <w:r>
        <w:rPr>
          <w:rFonts w:ascii="Arial Narrow" w:hAnsi="Arial Narrow"/>
          <w:sz w:val="18"/>
          <w:szCs w:val="18"/>
        </w:rPr>
        <w:t xml:space="preserve"> PY1</w:t>
      </w:r>
    </w:p>
  </w:footnote>
  <w:footnote w:id="42">
    <w:p w:rsidR="00063A64" w:rsidRPr="0005355B" w:rsidRDefault="00063A64" w:rsidP="00F874FE">
      <w:pPr>
        <w:pStyle w:val="FootnoteText"/>
        <w:rPr>
          <w:rFonts w:ascii="Arial Narrow" w:hAnsi="Arial Narrow"/>
          <w:sz w:val="18"/>
          <w:szCs w:val="18"/>
        </w:rPr>
      </w:pPr>
      <w:r w:rsidRPr="0005355B">
        <w:rPr>
          <w:rStyle w:val="FootnoteReference"/>
          <w:rFonts w:ascii="Arial Narrow" w:hAnsi="Arial Narrow"/>
          <w:sz w:val="18"/>
          <w:szCs w:val="18"/>
        </w:rPr>
        <w:footnoteRef/>
      </w:r>
      <w:r w:rsidRPr="0005355B">
        <w:rPr>
          <w:rFonts w:ascii="Arial Narrow" w:hAnsi="Arial Narrow"/>
          <w:sz w:val="18"/>
          <w:szCs w:val="18"/>
        </w:rPr>
        <w:t xml:space="preserve"> No reported savings for low income programs in PY4</w:t>
      </w:r>
    </w:p>
  </w:footnote>
  <w:footnote w:id="43">
    <w:p w:rsidR="00063A64" w:rsidRDefault="00063A64" w:rsidP="00F874FE">
      <w:pPr>
        <w:pStyle w:val="FootnoteText"/>
      </w:pPr>
      <w:r w:rsidRPr="0005355B">
        <w:rPr>
          <w:rStyle w:val="FootnoteReference"/>
          <w:rFonts w:ascii="Arial Narrow" w:hAnsi="Arial Narrow"/>
          <w:sz w:val="18"/>
          <w:szCs w:val="18"/>
        </w:rPr>
        <w:footnoteRef/>
      </w:r>
      <w:r w:rsidRPr="0005355B">
        <w:rPr>
          <w:rFonts w:ascii="Arial Narrow" w:hAnsi="Arial Narrow"/>
          <w:sz w:val="18"/>
          <w:szCs w:val="18"/>
        </w:rPr>
        <w:t xml:space="preserve"> No reported savings for low income programs in PY4</w:t>
      </w:r>
    </w:p>
  </w:footnote>
  <w:footnote w:id="44">
    <w:p w:rsidR="00063A64" w:rsidRDefault="00063A64" w:rsidP="00C630A7">
      <w:pPr>
        <w:pStyle w:val="FootnoteText"/>
      </w:pPr>
      <w:r>
        <w:rPr>
          <w:rStyle w:val="FootnoteReference"/>
        </w:rPr>
        <w:footnoteRef/>
      </w:r>
      <w:r>
        <w:t xml:space="preserve"> </w:t>
      </w:r>
      <w:r w:rsidRPr="00084707">
        <w:rPr>
          <w:rFonts w:ascii="Arial Narrow" w:hAnsi="Arial Narrow"/>
          <w:sz w:val="18"/>
          <w:szCs w:val="18"/>
        </w:rPr>
        <w:t>This report provides information regarding any needed corrections to EDC annual reports for PY7.</w:t>
      </w:r>
    </w:p>
  </w:footnote>
  <w:footnote w:id="45">
    <w:p w:rsidR="00063A64" w:rsidRPr="00FC0BC7" w:rsidRDefault="00063A64" w:rsidP="00C630A7">
      <w:pPr>
        <w:pStyle w:val="FootnoteText"/>
        <w:rPr>
          <w:rFonts w:ascii="Arial Narrow" w:hAnsi="Arial Narrow"/>
          <w:sz w:val="18"/>
          <w:szCs w:val="18"/>
        </w:rPr>
      </w:pPr>
      <w:r w:rsidRPr="00FC0BC7">
        <w:rPr>
          <w:rStyle w:val="FootnoteReference"/>
          <w:rFonts w:ascii="Arial Narrow" w:hAnsi="Arial Narrow"/>
          <w:sz w:val="18"/>
          <w:szCs w:val="18"/>
        </w:rPr>
        <w:footnoteRef/>
      </w:r>
      <w:r w:rsidRPr="00FC0BC7">
        <w:rPr>
          <w:rFonts w:ascii="Arial Narrow" w:hAnsi="Arial Narrow"/>
          <w:sz w:val="18"/>
          <w:szCs w:val="18"/>
        </w:rPr>
        <w:t xml:space="preserve"> In February 2015 the PUC’s TUS staff instructed the Phase II SWE project manager that in the event of an error with reported savings, an “EDC make reference and amendment in their subsequent report filings unless it is the final Phase II report that is needed for compliance, in which case you will prescribe a drop dead date after which it is too late to make modifications.”</w:t>
      </w:r>
    </w:p>
  </w:footnote>
  <w:footnote w:id="46">
    <w:p w:rsidR="00063A64" w:rsidRPr="00FC0BC7" w:rsidRDefault="00063A64" w:rsidP="00C630A7">
      <w:pPr>
        <w:pStyle w:val="FootnoteText"/>
        <w:rPr>
          <w:rFonts w:ascii="Arial Narrow" w:hAnsi="Arial Narrow"/>
          <w:sz w:val="18"/>
          <w:szCs w:val="18"/>
        </w:rPr>
      </w:pPr>
      <w:r w:rsidRPr="00FC0BC7">
        <w:rPr>
          <w:rStyle w:val="FootnoteReference"/>
          <w:rFonts w:ascii="Arial Narrow" w:hAnsi="Arial Narrow"/>
          <w:sz w:val="18"/>
          <w:szCs w:val="18"/>
        </w:rPr>
        <w:footnoteRef/>
      </w:r>
      <w:r w:rsidRPr="00FC0BC7">
        <w:rPr>
          <w:rFonts w:ascii="Arial Narrow" w:hAnsi="Arial Narrow"/>
          <w:sz w:val="18"/>
          <w:szCs w:val="18"/>
        </w:rPr>
        <w:t xml:space="preserve"> Research conducted by SWE Team members in other jurisdictions indicates that the NTGR for low-income programs is often significantly different than 1.0. The SWE recommends that NTG research be conducted for the low-income sector in order to determine the net savings of programs targeted at this sector and to collect information to help in future planning and program design for Act 129 low-income programs.</w:t>
      </w:r>
    </w:p>
  </w:footnote>
  <w:footnote w:id="47">
    <w:p w:rsidR="00063A64" w:rsidRPr="00FB0EFE" w:rsidRDefault="00063A64" w:rsidP="00C630A7">
      <w:pPr>
        <w:pStyle w:val="FootnoteText"/>
        <w:rPr>
          <w:rFonts w:ascii="Arial Narrow" w:hAnsi="Arial Narrow"/>
          <w:sz w:val="18"/>
          <w:szCs w:val="18"/>
        </w:rPr>
      </w:pPr>
      <w:r>
        <w:rPr>
          <w:rStyle w:val="FootnoteReference"/>
        </w:rPr>
        <w:footnoteRef/>
      </w:r>
      <w:r>
        <w:t xml:space="preserve"> </w:t>
      </w:r>
      <w:r w:rsidRPr="00FB0EFE">
        <w:rPr>
          <w:rFonts w:ascii="Arial Narrow" w:hAnsi="Arial Narrow"/>
          <w:sz w:val="18"/>
          <w:szCs w:val="18"/>
        </w:rPr>
        <w:t>This report provides information regarding any needed corrections to EDC annual reports for PY7.</w:t>
      </w:r>
    </w:p>
  </w:footnote>
  <w:footnote w:id="48">
    <w:p w:rsidR="00063A64" w:rsidRPr="00FC0BC7" w:rsidRDefault="00063A64" w:rsidP="00C630A7">
      <w:pPr>
        <w:pStyle w:val="CommentText"/>
        <w:rPr>
          <w:rFonts w:ascii="Arial Narrow" w:hAnsi="Arial Narrow"/>
          <w:sz w:val="18"/>
          <w:szCs w:val="18"/>
        </w:rPr>
      </w:pPr>
      <w:r w:rsidRPr="00FC0BC7">
        <w:rPr>
          <w:rStyle w:val="FootnoteReference"/>
          <w:rFonts w:ascii="Arial Narrow" w:hAnsi="Arial Narrow"/>
          <w:sz w:val="18"/>
          <w:szCs w:val="18"/>
        </w:rPr>
        <w:footnoteRef/>
      </w:r>
      <w:r w:rsidRPr="00FC0BC7">
        <w:rPr>
          <w:rFonts w:ascii="Arial Narrow" w:hAnsi="Arial Narrow"/>
          <w:sz w:val="18"/>
          <w:szCs w:val="18"/>
        </w:rPr>
        <w:t xml:space="preserve"> Focusing on reducing program free-ridership rates, the SWE made this recommendation to the EDCs during several Phase II Program Evaluation Group (PEG) meetings. A 90-day rebate eligibility clause is recommended by the SWE to significantly reduce the possibility of granting rebates to program participants who have already installed qualifying measures without a rebate. The 90-day window of opportunity would be measured from the date of equipment purchase. Some of the EDCs already have implemented such eligibility requirements. Furthermore, the SWE recommends that additional research be conducted to determine the extent to which program participants who apply for a rebate two to three months after equipment purchase are free-riders. The SWE recommends that participant surveys ask how long the interval was between the purchase of the appliance and the submittal of the rebate application (if these data are not already in the EDC’s program tracking system), and that analysis be done to determine the free-ridership rate for such participants as compared with participants who applied more quickly for a rebate. The SWE recommends that this research recommendation be discussed with PEG participants at a future meeting during Phase III. This research is necessary in order to provide Pennsylvania-specific information on whether the free-ridership rate increases as the length of time a participant takes to apply for a rebate (after a measure is installed) increases.</w:t>
      </w:r>
    </w:p>
    <w:p w:rsidR="00063A64" w:rsidRPr="00A27A5F" w:rsidRDefault="00063A64" w:rsidP="00743C18">
      <w:pPr>
        <w:pStyle w:val="FootnoteText"/>
        <w:jc w:val="left"/>
        <w:rPr>
          <w:rFonts w:ascii="Arial Narrow" w:hAnsi="Arial Narrow"/>
          <w:sz w:val="18"/>
          <w:szCs w:val="18"/>
        </w:rPr>
      </w:pPr>
    </w:p>
  </w:footnote>
  <w:footnote w:id="49">
    <w:p w:rsidR="00063A64" w:rsidRPr="009349F1" w:rsidRDefault="00063A64" w:rsidP="00C630A7">
      <w:pPr>
        <w:pStyle w:val="FootnoteText"/>
        <w:rPr>
          <w:rFonts w:ascii="Arial Narrow" w:hAnsi="Arial Narrow"/>
          <w:sz w:val="18"/>
          <w:szCs w:val="18"/>
        </w:rPr>
      </w:pPr>
      <w:r w:rsidRPr="009349F1">
        <w:rPr>
          <w:rStyle w:val="FootnoteReference"/>
          <w:rFonts w:ascii="Arial Narrow" w:hAnsi="Arial Narrow"/>
          <w:sz w:val="18"/>
          <w:szCs w:val="18"/>
        </w:rPr>
        <w:footnoteRef/>
      </w:r>
      <w:r w:rsidRPr="009349F1">
        <w:rPr>
          <w:rFonts w:ascii="Arial Narrow" w:hAnsi="Arial Narrow"/>
          <w:sz w:val="18"/>
          <w:szCs w:val="18"/>
        </w:rPr>
        <w:t xml:space="preserve"> Duquesne reported a line loss multiplier of 1.074, but SWE has converted to a line loss factor of 6.9% for consistency across the EDCs. </w:t>
      </w:r>
    </w:p>
  </w:footnote>
  <w:footnote w:id="50">
    <w:p w:rsidR="00063A64" w:rsidRPr="00A27A5F" w:rsidRDefault="00063A64" w:rsidP="00C630A7">
      <w:pPr>
        <w:pStyle w:val="FootnoteText"/>
        <w:rPr>
          <w:rFonts w:ascii="Arial Narrow" w:hAnsi="Arial Narrow"/>
          <w:sz w:val="18"/>
          <w:szCs w:val="18"/>
        </w:rPr>
      </w:pPr>
      <w:r w:rsidRPr="00A27A5F">
        <w:rPr>
          <w:rStyle w:val="FootnoteReference"/>
          <w:rFonts w:ascii="Arial Narrow" w:hAnsi="Arial Narrow"/>
          <w:sz w:val="18"/>
          <w:szCs w:val="18"/>
        </w:rPr>
        <w:footnoteRef/>
      </w:r>
      <w:r w:rsidRPr="00A27A5F">
        <w:rPr>
          <w:rFonts w:ascii="Arial Narrow" w:hAnsi="Arial Narrow"/>
          <w:sz w:val="18"/>
          <w:szCs w:val="18"/>
        </w:rPr>
        <w:t xml:space="preserve"> C/I Fluorescent Lighting Cost Study refer to primary pricing research conducted by Duquesne.</w:t>
      </w:r>
    </w:p>
  </w:footnote>
  <w:footnote w:id="51">
    <w:p w:rsidR="00063A64" w:rsidRPr="00B2225B" w:rsidRDefault="00063A64" w:rsidP="00C630A7">
      <w:pPr>
        <w:pStyle w:val="FootnoteText"/>
        <w:rPr>
          <w:rFonts w:ascii="Arial Narrow" w:hAnsi="Arial Narrow"/>
          <w:sz w:val="18"/>
          <w:szCs w:val="18"/>
        </w:rPr>
      </w:pPr>
      <w:r>
        <w:rPr>
          <w:rStyle w:val="FootnoteReference"/>
        </w:rPr>
        <w:footnoteRef/>
      </w:r>
      <w:r>
        <w:t xml:space="preserve"> </w:t>
      </w:r>
      <w:r>
        <w:rPr>
          <w:rFonts w:ascii="Arial Narrow" w:hAnsi="Arial Narrow"/>
          <w:sz w:val="18"/>
          <w:szCs w:val="18"/>
        </w:rPr>
        <w:t>In PY6, the SWE and Duquesne coordinated to make a minor adjustment to the avoided costs in the approved Duquesne EE&amp;C plan.  This adjustment shifted the stream of avoided costs in the EE&amp;C plan into more appropriate program years.  The PY7 TRC model follows this adjustment.</w:t>
      </w:r>
    </w:p>
  </w:footnote>
  <w:footnote w:id="52">
    <w:p w:rsidR="00063A64" w:rsidRPr="009349F1" w:rsidRDefault="00063A64" w:rsidP="009349F1">
      <w:pPr>
        <w:pStyle w:val="FootnoteText"/>
        <w:jc w:val="left"/>
        <w:rPr>
          <w:rFonts w:ascii="Arial Narrow" w:hAnsi="Arial Narrow"/>
          <w:sz w:val="18"/>
          <w:szCs w:val="18"/>
        </w:rPr>
      </w:pPr>
      <w:r w:rsidRPr="009349F1">
        <w:rPr>
          <w:rStyle w:val="FootnoteReference"/>
          <w:rFonts w:ascii="Arial Narrow" w:hAnsi="Arial Narrow"/>
          <w:sz w:val="18"/>
          <w:szCs w:val="18"/>
        </w:rPr>
        <w:footnoteRef/>
      </w:r>
      <w:r w:rsidRPr="009349F1">
        <w:rPr>
          <w:rFonts w:ascii="Arial Narrow" w:hAnsi="Arial Narrow"/>
          <w:sz w:val="18"/>
          <w:szCs w:val="18"/>
        </w:rPr>
        <w:t xml:space="preserve"> These realization rates are inclusive of both market and low-income SEP participants.</w:t>
      </w:r>
    </w:p>
  </w:footnote>
  <w:footnote w:id="53">
    <w:p w:rsidR="00063A64" w:rsidRPr="009349F1" w:rsidRDefault="00063A64" w:rsidP="00C630A7">
      <w:pPr>
        <w:pStyle w:val="FootnoteText"/>
        <w:rPr>
          <w:rFonts w:ascii="Arial Narrow" w:hAnsi="Arial Narrow"/>
          <w:sz w:val="18"/>
          <w:szCs w:val="18"/>
        </w:rPr>
      </w:pPr>
      <w:r w:rsidRPr="009349F1">
        <w:rPr>
          <w:rStyle w:val="FootnoteReference"/>
          <w:rFonts w:ascii="Arial Narrow" w:hAnsi="Arial Narrow"/>
          <w:sz w:val="18"/>
          <w:szCs w:val="18"/>
        </w:rPr>
        <w:footnoteRef/>
      </w:r>
      <w:r w:rsidRPr="009349F1">
        <w:rPr>
          <w:rFonts w:ascii="Arial Narrow" w:hAnsi="Arial Narrow"/>
          <w:sz w:val="18"/>
          <w:szCs w:val="18"/>
        </w:rPr>
        <w:t xml:space="preserve"> There were only 186 PY7 WHEAP participants (both market-rate and low-income), resulting in a small overall population from which to sample.</w:t>
      </w:r>
    </w:p>
  </w:footnote>
  <w:footnote w:id="54">
    <w:p w:rsidR="00063A64" w:rsidRPr="009349F1" w:rsidRDefault="00063A64" w:rsidP="00C630A7">
      <w:pPr>
        <w:pStyle w:val="FootnoteText"/>
        <w:rPr>
          <w:rFonts w:ascii="Arial Narrow" w:hAnsi="Arial Narrow"/>
          <w:sz w:val="18"/>
          <w:szCs w:val="18"/>
        </w:rPr>
      </w:pPr>
      <w:r w:rsidRPr="009349F1">
        <w:rPr>
          <w:rStyle w:val="FootnoteReference"/>
          <w:rFonts w:ascii="Arial Narrow" w:hAnsi="Arial Narrow"/>
          <w:sz w:val="18"/>
          <w:szCs w:val="18"/>
        </w:rPr>
        <w:footnoteRef/>
      </w:r>
      <w:r w:rsidRPr="009349F1">
        <w:rPr>
          <w:rFonts w:ascii="Arial Narrow" w:hAnsi="Arial Narrow"/>
          <w:sz w:val="18"/>
          <w:szCs w:val="18"/>
        </w:rPr>
        <w:t xml:space="preserve"> The PY6 LIEEP evaluation excluded rebates. Rebates contributed very little to overall program savings.</w:t>
      </w:r>
    </w:p>
  </w:footnote>
  <w:footnote w:id="55">
    <w:p w:rsidR="00063A64" w:rsidRPr="0053488D" w:rsidRDefault="00063A64" w:rsidP="00A07AB2">
      <w:pPr>
        <w:pStyle w:val="FootnoteText"/>
        <w:jc w:val="left"/>
        <w:rPr>
          <w:rFonts w:ascii="Arial Narrow" w:hAnsi="Arial Narrow"/>
        </w:rPr>
      </w:pPr>
      <w:r w:rsidRPr="0053488D">
        <w:rPr>
          <w:rStyle w:val="FootnoteReference"/>
          <w:rFonts w:ascii="Arial Narrow" w:hAnsi="Arial Narrow"/>
          <w:sz w:val="18"/>
        </w:rPr>
        <w:footnoteRef/>
      </w:r>
      <w:r w:rsidRPr="0053488D">
        <w:rPr>
          <w:rFonts w:ascii="Arial Narrow" w:hAnsi="Arial Narrow"/>
          <w:sz w:val="18"/>
        </w:rPr>
        <w:t xml:space="preserve"> </w:t>
      </w:r>
      <w:r w:rsidRPr="0053488D">
        <w:rPr>
          <w:rFonts w:ascii="Arial Narrow" w:hAnsi="Arial Narrow" w:cs="Calibri"/>
          <w:sz w:val="18"/>
        </w:rPr>
        <w:t>Section A.2.c.2 of the Commission’s Phase II Final Implementation Order14</w:t>
      </w:r>
      <w:r>
        <w:rPr>
          <w:rFonts w:ascii="Arial Narrow" w:hAnsi="Arial Narrow" w:cs="Calibri"/>
          <w:sz w:val="18"/>
        </w:rPr>
        <w:t>.</w:t>
      </w:r>
    </w:p>
  </w:footnote>
  <w:footnote w:id="56">
    <w:p w:rsidR="00063A64" w:rsidRPr="00AE60CE" w:rsidRDefault="00063A64" w:rsidP="00A07AB2">
      <w:pPr>
        <w:pStyle w:val="FootnoteText"/>
        <w:jc w:val="left"/>
        <w:rPr>
          <w:rFonts w:ascii="Arial Narrow" w:hAnsi="Arial Narrow"/>
          <w:sz w:val="18"/>
        </w:rPr>
      </w:pPr>
      <w:r w:rsidRPr="00AE60CE">
        <w:rPr>
          <w:rStyle w:val="FootnoteReference"/>
          <w:rFonts w:ascii="Arial Narrow" w:hAnsi="Arial Narrow"/>
          <w:sz w:val="18"/>
        </w:rPr>
        <w:footnoteRef/>
      </w:r>
      <w:r w:rsidRPr="00AE60CE">
        <w:rPr>
          <w:rFonts w:ascii="Arial Narrow" w:hAnsi="Arial Narrow"/>
          <w:sz w:val="18"/>
        </w:rPr>
        <w:t xml:space="preserve"> </w:t>
      </w:r>
      <w:r>
        <w:rPr>
          <w:rFonts w:ascii="Arial Narrow" w:hAnsi="Arial Narrow"/>
          <w:sz w:val="18"/>
        </w:rPr>
        <w:t>D</w:t>
      </w:r>
      <w:r w:rsidRPr="00AE60CE">
        <w:rPr>
          <w:rFonts w:ascii="Arial Narrow" w:hAnsi="Arial Narrow"/>
          <w:sz w:val="18"/>
        </w:rPr>
        <w:t>ue to the presence of a comparable desk review administered by the evaluation contractor</w:t>
      </w:r>
      <w:r>
        <w:rPr>
          <w:rFonts w:ascii="Arial Narrow" w:hAnsi="Arial Narrow"/>
          <w:sz w:val="18"/>
        </w:rPr>
        <w:t>.</w:t>
      </w:r>
    </w:p>
  </w:footnote>
  <w:footnote w:id="57">
    <w:p w:rsidR="00063A64" w:rsidRPr="00A07AB2" w:rsidRDefault="00063A64" w:rsidP="00C630A7">
      <w:pPr>
        <w:pStyle w:val="FootnoteText"/>
        <w:rPr>
          <w:rFonts w:ascii="Arial Narrow" w:hAnsi="Arial Narrow"/>
          <w:sz w:val="18"/>
          <w:szCs w:val="18"/>
        </w:rPr>
      </w:pPr>
      <w:r w:rsidRPr="00A07AB2">
        <w:rPr>
          <w:rStyle w:val="FootnoteReference"/>
          <w:rFonts w:ascii="Arial Narrow" w:hAnsi="Arial Narrow"/>
          <w:sz w:val="18"/>
          <w:szCs w:val="18"/>
        </w:rPr>
        <w:footnoteRef/>
      </w:r>
      <w:r w:rsidRPr="00A07AB2">
        <w:rPr>
          <w:rFonts w:ascii="Arial Narrow" w:hAnsi="Arial Narrow"/>
          <w:sz w:val="18"/>
          <w:szCs w:val="18"/>
        </w:rPr>
        <w:t xml:space="preserve"> According to p. 18 of the 2015 TRM,” For direct install programs where wattage of the existing bulb is known, and the existing bulb was in working condition, wattage of the existing lamp removed by the program may be used in lieu of the [EISA baseline] tables below.”</w:t>
      </w:r>
    </w:p>
  </w:footnote>
  <w:footnote w:id="58">
    <w:p w:rsidR="00063A64" w:rsidRPr="00A07AB2" w:rsidRDefault="00063A64" w:rsidP="00C630A7">
      <w:pPr>
        <w:pStyle w:val="FootnoteText"/>
        <w:rPr>
          <w:rFonts w:ascii="Arial Narrow" w:hAnsi="Arial Narrow"/>
          <w:sz w:val="18"/>
          <w:szCs w:val="18"/>
        </w:rPr>
      </w:pPr>
      <w:r w:rsidRPr="00A07AB2">
        <w:rPr>
          <w:rStyle w:val="FootnoteReference"/>
          <w:rFonts w:ascii="Arial Narrow" w:hAnsi="Arial Narrow"/>
          <w:sz w:val="18"/>
          <w:szCs w:val="18"/>
        </w:rPr>
        <w:footnoteRef/>
      </w:r>
      <w:r w:rsidRPr="00A07AB2">
        <w:rPr>
          <w:rFonts w:ascii="Arial Narrow" w:hAnsi="Arial Narrow"/>
          <w:sz w:val="18"/>
          <w:szCs w:val="18"/>
        </w:rPr>
        <w:t xml:space="preserve"> Department of Energy and Cadmus, Uniform Methods Project, January, 2015; Chapter 17: Residential Behavior Protocol; </w:t>
      </w:r>
    </w:p>
    <w:p w:rsidR="00063A64" w:rsidRPr="00A07AB2" w:rsidRDefault="00063A64" w:rsidP="00C630A7">
      <w:pPr>
        <w:pStyle w:val="FootnoteText"/>
        <w:rPr>
          <w:rFonts w:ascii="Arial Narrow" w:hAnsi="Arial Narrow"/>
          <w:sz w:val="18"/>
          <w:szCs w:val="18"/>
        </w:rPr>
      </w:pPr>
      <w:r w:rsidRPr="00A07AB2">
        <w:rPr>
          <w:rFonts w:ascii="Arial Narrow" w:hAnsi="Arial Narrow"/>
          <w:sz w:val="18"/>
          <w:szCs w:val="18"/>
        </w:rPr>
        <w:t xml:space="preserve">http://energy.gov/sites/prod/files/2015/02/f19/UMPChapter17-residential-behavior.pdf. </w:t>
      </w:r>
    </w:p>
  </w:footnote>
  <w:footnote w:id="59">
    <w:p w:rsidR="00063A64" w:rsidRPr="00A07AB2" w:rsidRDefault="00063A64" w:rsidP="00C630A7">
      <w:pPr>
        <w:pStyle w:val="FootnoteText"/>
        <w:rPr>
          <w:rFonts w:ascii="Arial Narrow" w:hAnsi="Arial Narrow"/>
          <w:sz w:val="18"/>
          <w:szCs w:val="18"/>
        </w:rPr>
      </w:pPr>
      <w:r w:rsidRPr="00A07AB2">
        <w:rPr>
          <w:rStyle w:val="FootnoteReference"/>
          <w:rFonts w:ascii="Arial Narrow" w:hAnsi="Arial Narrow"/>
          <w:sz w:val="18"/>
          <w:szCs w:val="18"/>
        </w:rPr>
        <w:footnoteRef/>
      </w:r>
      <w:r w:rsidRPr="00A07AB2">
        <w:rPr>
          <w:rFonts w:ascii="Arial Narrow" w:hAnsi="Arial Narrow"/>
          <w:sz w:val="18"/>
          <w:szCs w:val="18"/>
        </w:rPr>
        <w:t xml:space="preserve"> State and Local Energy Efficiency Action Network. Evaluation, Measurement and Verification (EM&amp;V) of Residential Behavior-Based Energy Efficiency Programs: Issues and Recommendations. May 2012.</w:t>
      </w:r>
    </w:p>
  </w:footnote>
  <w:footnote w:id="60">
    <w:p w:rsidR="00063A64" w:rsidRPr="00322027" w:rsidRDefault="00063A64" w:rsidP="00C630A7">
      <w:pPr>
        <w:pStyle w:val="FootnoteText"/>
        <w:rPr>
          <w:rFonts w:ascii="Arial Narrow" w:hAnsi="Arial Narrow"/>
        </w:rPr>
      </w:pPr>
      <w:r w:rsidRPr="00AF0D3F">
        <w:rPr>
          <w:rStyle w:val="FootnoteReference"/>
          <w:rFonts w:ascii="Arial Narrow" w:hAnsi="Arial Narrow"/>
          <w:sz w:val="18"/>
        </w:rPr>
        <w:footnoteRef/>
      </w:r>
      <w:r w:rsidRPr="00AF0D3F">
        <w:rPr>
          <w:rFonts w:ascii="Arial Narrow" w:hAnsi="Arial Narrow"/>
          <w:sz w:val="18"/>
        </w:rPr>
        <w:t xml:space="preserve"> </w:t>
      </w:r>
      <w:r>
        <w:rPr>
          <w:rFonts w:ascii="Arial Narrow" w:hAnsi="Arial Narrow"/>
          <w:sz w:val="18"/>
        </w:rPr>
        <w:t xml:space="preserve">S. </w:t>
      </w:r>
      <w:r w:rsidRPr="00AF0D3F">
        <w:rPr>
          <w:rFonts w:ascii="Arial Narrow" w:hAnsi="Arial Narrow"/>
          <w:sz w:val="18"/>
        </w:rPr>
        <w:t>Dimetrosky</w:t>
      </w:r>
      <w:r>
        <w:rPr>
          <w:rFonts w:ascii="Arial Narrow" w:hAnsi="Arial Narrow"/>
          <w:sz w:val="18"/>
        </w:rPr>
        <w:t xml:space="preserve"> and K.</w:t>
      </w:r>
      <w:r w:rsidRPr="00AF0D3F">
        <w:rPr>
          <w:rFonts w:ascii="Arial Narrow" w:hAnsi="Arial Narrow"/>
          <w:sz w:val="18"/>
        </w:rPr>
        <w:t xml:space="preserve"> Parkinson, July, 2013: IEPEC 2013 Conference: Are Savings from Behavior Programs Ready for TRM Prime Time?</w:t>
      </w:r>
    </w:p>
  </w:footnote>
  <w:footnote w:id="61">
    <w:p w:rsidR="00063A64" w:rsidRPr="00427FCD" w:rsidRDefault="00063A64" w:rsidP="00C630A7">
      <w:pPr>
        <w:pStyle w:val="FootnoteText"/>
        <w:rPr>
          <w:rFonts w:ascii="Arial Narrow" w:hAnsi="Arial Narrow"/>
        </w:rPr>
      </w:pPr>
      <w:r w:rsidRPr="00427FCD">
        <w:rPr>
          <w:rStyle w:val="FootnoteReference"/>
          <w:rFonts w:ascii="Arial Narrow" w:hAnsi="Arial Narrow"/>
          <w:sz w:val="18"/>
        </w:rPr>
        <w:footnoteRef/>
      </w:r>
      <w:r w:rsidRPr="00427FCD">
        <w:rPr>
          <w:rFonts w:ascii="Arial Narrow" w:hAnsi="Arial Narrow"/>
          <w:sz w:val="18"/>
        </w:rPr>
        <w:t xml:space="preserve"> </w:t>
      </w:r>
      <w:r w:rsidRPr="002D2BF0">
        <w:rPr>
          <w:rFonts w:ascii="Arial Narrow" w:hAnsi="Arial Narrow"/>
          <w:sz w:val="18"/>
        </w:rPr>
        <w:t>Navigant had performed a comparable desk review for REEP</w:t>
      </w:r>
      <w:r>
        <w:rPr>
          <w:rFonts w:ascii="Arial Narrow" w:hAnsi="Arial Narrow"/>
          <w:sz w:val="18"/>
        </w:rPr>
        <w:t>,</w:t>
      </w:r>
      <w:r w:rsidRPr="002D2BF0">
        <w:rPr>
          <w:rFonts w:ascii="Arial Narrow" w:hAnsi="Arial Narrow"/>
          <w:sz w:val="18"/>
        </w:rPr>
        <w:t xml:space="preserve"> along with a telephone verification (for all components)</w:t>
      </w:r>
      <w:r>
        <w:rPr>
          <w:rFonts w:ascii="Arial Narrow" w:hAnsi="Arial Narrow"/>
          <w:sz w:val="18"/>
        </w:rPr>
        <w:t>.</w:t>
      </w:r>
    </w:p>
  </w:footnote>
  <w:footnote w:id="62">
    <w:p w:rsidR="00063A64" w:rsidRPr="00A27A5F" w:rsidRDefault="00063A64" w:rsidP="00C630A7">
      <w:pPr>
        <w:pStyle w:val="FootnoteText"/>
        <w:rPr>
          <w:rFonts w:ascii="Arial Narrow" w:hAnsi="Arial Narrow"/>
          <w:sz w:val="18"/>
          <w:szCs w:val="18"/>
        </w:rPr>
      </w:pPr>
      <w:r w:rsidRPr="00A27A5F">
        <w:rPr>
          <w:rStyle w:val="FootnoteReference"/>
          <w:rFonts w:ascii="Arial Narrow" w:hAnsi="Arial Narrow"/>
          <w:sz w:val="18"/>
          <w:szCs w:val="18"/>
        </w:rPr>
        <w:footnoteRef/>
      </w:r>
      <w:r w:rsidRPr="00A27A5F">
        <w:rPr>
          <w:rFonts w:ascii="Arial Narrow" w:hAnsi="Arial Narrow"/>
          <w:sz w:val="18"/>
          <w:szCs w:val="18"/>
        </w:rPr>
        <w:t xml:space="preserve"> According to </w:t>
      </w:r>
      <w:r>
        <w:rPr>
          <w:rFonts w:ascii="Arial Narrow" w:hAnsi="Arial Narrow"/>
          <w:sz w:val="18"/>
          <w:szCs w:val="18"/>
        </w:rPr>
        <w:t xml:space="preserve">SWE </w:t>
      </w:r>
      <w:r w:rsidRPr="00A27A5F">
        <w:rPr>
          <w:rFonts w:ascii="Arial Narrow" w:hAnsi="Arial Narrow"/>
          <w:sz w:val="18"/>
          <w:szCs w:val="18"/>
        </w:rPr>
        <w:t>research for EDC PY5 on-site inspections for the low</w:t>
      </w:r>
      <w:r>
        <w:rPr>
          <w:rFonts w:ascii="Arial Narrow" w:hAnsi="Arial Narrow"/>
          <w:sz w:val="18"/>
          <w:szCs w:val="18"/>
        </w:rPr>
        <w:t>-</w:t>
      </w:r>
      <w:r w:rsidRPr="00A27A5F">
        <w:rPr>
          <w:rFonts w:ascii="Arial Narrow" w:hAnsi="Arial Narrow"/>
          <w:sz w:val="18"/>
          <w:szCs w:val="18"/>
        </w:rPr>
        <w:t xml:space="preserve">income programs, </w:t>
      </w:r>
      <w:r w:rsidRPr="00634D77">
        <w:rPr>
          <w:rFonts w:ascii="Arial Narrow" w:hAnsi="Arial Narrow"/>
          <w:sz w:val="18"/>
          <w:szCs w:val="18"/>
        </w:rPr>
        <w:t>all</w:t>
      </w:r>
      <w:r w:rsidRPr="00A27A5F">
        <w:rPr>
          <w:rFonts w:ascii="Arial Narrow" w:hAnsi="Arial Narrow"/>
          <w:sz w:val="18"/>
          <w:szCs w:val="18"/>
        </w:rPr>
        <w:t xml:space="preserve"> of the other EDCs performed on-site inspections for low</w:t>
      </w:r>
      <w:r>
        <w:rPr>
          <w:rFonts w:ascii="Arial Narrow" w:hAnsi="Arial Narrow"/>
          <w:sz w:val="18"/>
          <w:szCs w:val="18"/>
        </w:rPr>
        <w:t>-</w:t>
      </w:r>
      <w:r w:rsidRPr="00A27A5F">
        <w:rPr>
          <w:rFonts w:ascii="Arial Narrow" w:hAnsi="Arial Narrow"/>
          <w:sz w:val="18"/>
          <w:szCs w:val="18"/>
        </w:rPr>
        <w:t>income</w:t>
      </w:r>
      <w:r>
        <w:rPr>
          <w:rFonts w:ascii="Arial Narrow" w:hAnsi="Arial Narrow"/>
          <w:sz w:val="18"/>
          <w:szCs w:val="18"/>
        </w:rPr>
        <w:t xml:space="preserve"> installations. </w:t>
      </w:r>
    </w:p>
  </w:footnote>
  <w:footnote w:id="63">
    <w:p w:rsidR="00063A64" w:rsidRPr="001C391A" w:rsidRDefault="00063A64" w:rsidP="001C391A">
      <w:pPr>
        <w:pStyle w:val="FootnoteText"/>
        <w:jc w:val="left"/>
        <w:rPr>
          <w:rFonts w:ascii="Arial Narrow" w:hAnsi="Arial Narrow"/>
          <w:sz w:val="18"/>
        </w:rPr>
      </w:pPr>
      <w:r w:rsidRPr="001C391A">
        <w:rPr>
          <w:rStyle w:val="FootnoteReference"/>
          <w:rFonts w:ascii="Arial Narrow" w:hAnsi="Arial Narrow"/>
          <w:sz w:val="18"/>
        </w:rPr>
        <w:footnoteRef/>
      </w:r>
      <w:r w:rsidRPr="001C391A">
        <w:rPr>
          <w:rFonts w:ascii="Arial Narrow" w:hAnsi="Arial Narrow"/>
          <w:sz w:val="18"/>
        </w:rPr>
        <w:t xml:space="preserve"> The REEP market-rate kit respondent survey did not achieve 85/15 confidence/precision, but the survey did reach the intended objective of 15 completed surveys. When the market-rate kit recipients (n=15) are combined with the low-income kit recipients (n=40), the results achieve 85/15 confidence/precision.</w:t>
      </w:r>
    </w:p>
  </w:footnote>
  <w:footnote w:id="64">
    <w:p w:rsidR="00063A64" w:rsidRPr="008D7800" w:rsidRDefault="00063A64" w:rsidP="008C19A4">
      <w:pPr>
        <w:pStyle w:val="FootnoteText"/>
        <w:rPr>
          <w:sz w:val="18"/>
          <w:szCs w:val="18"/>
        </w:rPr>
      </w:pPr>
      <w:r w:rsidRPr="008D7800">
        <w:rPr>
          <w:rStyle w:val="FootnoteReference"/>
          <w:sz w:val="18"/>
          <w:szCs w:val="18"/>
        </w:rPr>
        <w:footnoteRef/>
      </w:r>
      <w:r w:rsidRPr="008D7800">
        <w:rPr>
          <w:sz w:val="18"/>
          <w:szCs w:val="18"/>
        </w:rPr>
        <w:t xml:space="preserve"> </w:t>
      </w:r>
      <w:r w:rsidRPr="008D7800">
        <w:rPr>
          <w:rFonts w:ascii="Arial Narrow" w:hAnsi="Arial Narrow"/>
          <w:sz w:val="18"/>
          <w:szCs w:val="18"/>
        </w:rPr>
        <w:t>The SWE notes a single exception; the FirstEnergy TRC model understates the EUL of the Room AC measure, using a 4-year measure life instead of the TRM value of 9 years.</w:t>
      </w:r>
    </w:p>
  </w:footnote>
  <w:footnote w:id="65">
    <w:p w:rsidR="00063A64" w:rsidRPr="008D7800" w:rsidRDefault="00063A64" w:rsidP="008C19A4">
      <w:pPr>
        <w:pStyle w:val="FootnoteText"/>
        <w:rPr>
          <w:rFonts w:ascii="Arial Narrow" w:hAnsi="Arial Narrow"/>
          <w:sz w:val="18"/>
          <w:szCs w:val="18"/>
        </w:rPr>
      </w:pPr>
      <w:r w:rsidRPr="008D7800">
        <w:rPr>
          <w:rStyle w:val="FootnoteReference"/>
          <w:rFonts w:ascii="Arial Narrow" w:hAnsi="Arial Narrow"/>
          <w:sz w:val="18"/>
          <w:szCs w:val="18"/>
        </w:rPr>
        <w:footnoteRef/>
      </w:r>
      <w:r w:rsidRPr="008D7800">
        <w:rPr>
          <w:rFonts w:ascii="Arial Narrow" w:hAnsi="Arial Narrow"/>
          <w:sz w:val="18"/>
          <w:szCs w:val="18"/>
        </w:rPr>
        <w:t xml:space="preserve"> The DEER 2008 incremental cost database is available for download at http://www.deeresources.com.</w:t>
      </w:r>
    </w:p>
  </w:footnote>
  <w:footnote w:id="66">
    <w:p w:rsidR="00063A64" w:rsidRDefault="00063A64" w:rsidP="008C19A4">
      <w:pPr>
        <w:pStyle w:val="FootnoteText"/>
      </w:pPr>
      <w:r>
        <w:rPr>
          <w:rStyle w:val="FootnoteReference"/>
        </w:rPr>
        <w:footnoteRef/>
      </w:r>
      <w:r>
        <w:t xml:space="preserve"> </w:t>
      </w:r>
      <w:r>
        <w:rPr>
          <w:rFonts w:ascii="Arial Narrow" w:hAnsi="Arial Narrow"/>
          <w:sz w:val="18"/>
          <w:szCs w:val="18"/>
        </w:rPr>
        <w:t>The SWE notes a single exception; the First Energy TRC Model understates the EUL of the Room AC measure, using a 4-year measure life instead of the TRM value of 9 years.</w:t>
      </w:r>
    </w:p>
  </w:footnote>
  <w:footnote w:id="67">
    <w:p w:rsidR="00063A64" w:rsidRDefault="00063A64" w:rsidP="008C19A4">
      <w:pPr>
        <w:pStyle w:val="FootnoteText"/>
      </w:pPr>
      <w:r>
        <w:rPr>
          <w:rStyle w:val="FootnoteReference"/>
        </w:rPr>
        <w:footnoteRef/>
      </w:r>
      <w:r>
        <w:t xml:space="preserve"> </w:t>
      </w:r>
      <w:r>
        <w:rPr>
          <w:rFonts w:ascii="Arial Narrow" w:hAnsi="Arial Narrow"/>
          <w:sz w:val="18"/>
          <w:szCs w:val="18"/>
        </w:rPr>
        <w:t>The SWE notes a single exception; the First Energy TRC Model understates the EUL of the Room AC measure, using a 4-year measure life instead of the TRM value of 9 years.</w:t>
      </w:r>
    </w:p>
  </w:footnote>
  <w:footnote w:id="68">
    <w:p w:rsidR="00063A64" w:rsidRPr="00A27A5F" w:rsidRDefault="00063A64" w:rsidP="008C19A4">
      <w:pPr>
        <w:pStyle w:val="FootnoteText"/>
        <w:rPr>
          <w:rFonts w:ascii="Arial Narrow" w:hAnsi="Arial Narrow"/>
          <w:sz w:val="18"/>
          <w:szCs w:val="18"/>
        </w:rPr>
      </w:pPr>
      <w:r w:rsidRPr="00A27A5F">
        <w:rPr>
          <w:rStyle w:val="FootnoteReference"/>
          <w:rFonts w:ascii="Arial Narrow" w:hAnsi="Arial Narrow"/>
          <w:sz w:val="18"/>
          <w:szCs w:val="18"/>
        </w:rPr>
        <w:footnoteRef/>
      </w:r>
      <w:r w:rsidRPr="00A27A5F">
        <w:rPr>
          <w:rFonts w:ascii="Arial Narrow" w:hAnsi="Arial Narrow"/>
          <w:sz w:val="18"/>
          <w:szCs w:val="18"/>
        </w:rPr>
        <w:t xml:space="preserve"> The DEER 2008 incremental cost database is available for download at http://www.deeresources.com.</w:t>
      </w:r>
    </w:p>
  </w:footnote>
  <w:footnote w:id="69">
    <w:p w:rsidR="00063A64" w:rsidRPr="008B741E" w:rsidRDefault="00063A64" w:rsidP="008B741E">
      <w:pPr>
        <w:pStyle w:val="FootnoteText"/>
        <w:jc w:val="left"/>
        <w:rPr>
          <w:rFonts w:ascii="Arial Narrow" w:hAnsi="Arial Narrow"/>
          <w:sz w:val="18"/>
          <w:szCs w:val="18"/>
        </w:rPr>
      </w:pPr>
      <w:r w:rsidRPr="008B741E">
        <w:rPr>
          <w:rStyle w:val="FootnoteReference"/>
          <w:rFonts w:ascii="Arial Narrow" w:hAnsi="Arial Narrow"/>
          <w:sz w:val="18"/>
          <w:szCs w:val="18"/>
        </w:rPr>
        <w:footnoteRef/>
      </w:r>
      <w:r w:rsidRPr="008B741E">
        <w:rPr>
          <w:rFonts w:ascii="Arial Narrow" w:hAnsi="Arial Narrow"/>
          <w:sz w:val="18"/>
          <w:szCs w:val="18"/>
        </w:rPr>
        <w:t xml:space="preserve"> The SWE notes a single exception; the First Energy TRC Model understates the EUL of the Room AC measure, using a 4-year measure life instead of the TRM value of 9 years.</w:t>
      </w:r>
    </w:p>
  </w:footnote>
  <w:footnote w:id="70">
    <w:p w:rsidR="00063A64" w:rsidRPr="00A27A5F" w:rsidRDefault="00063A64" w:rsidP="008B741E">
      <w:pPr>
        <w:pStyle w:val="FootnoteText"/>
        <w:jc w:val="left"/>
        <w:rPr>
          <w:rFonts w:ascii="Arial Narrow" w:hAnsi="Arial Narrow"/>
          <w:sz w:val="18"/>
          <w:szCs w:val="18"/>
        </w:rPr>
      </w:pPr>
      <w:r w:rsidRPr="00A27A5F">
        <w:rPr>
          <w:rStyle w:val="FootnoteReference"/>
          <w:rFonts w:ascii="Arial Narrow" w:hAnsi="Arial Narrow"/>
          <w:sz w:val="18"/>
          <w:szCs w:val="18"/>
        </w:rPr>
        <w:footnoteRef/>
      </w:r>
      <w:r w:rsidRPr="00A27A5F">
        <w:rPr>
          <w:rFonts w:ascii="Arial Narrow" w:hAnsi="Arial Narrow"/>
          <w:sz w:val="18"/>
          <w:szCs w:val="18"/>
        </w:rPr>
        <w:t xml:space="preserve"> The DEER 2008 incremental cost database is available for download at http://www.deeresources.com.</w:t>
      </w:r>
    </w:p>
  </w:footnote>
  <w:footnote w:id="71">
    <w:p w:rsidR="00063A64" w:rsidRPr="00037569" w:rsidRDefault="00063A64" w:rsidP="00EE3086">
      <w:pPr>
        <w:pStyle w:val="FootnoteText"/>
        <w:rPr>
          <w:rFonts w:ascii="Arial Narrow" w:hAnsi="Arial Narrow"/>
          <w:sz w:val="18"/>
          <w:szCs w:val="18"/>
        </w:rPr>
      </w:pPr>
      <w:r w:rsidRPr="00037569">
        <w:rPr>
          <w:rStyle w:val="FootnoteReference"/>
          <w:rFonts w:ascii="Arial Narrow" w:hAnsi="Arial Narrow"/>
          <w:sz w:val="18"/>
          <w:szCs w:val="18"/>
        </w:rPr>
        <w:footnoteRef/>
      </w:r>
      <w:r w:rsidRPr="00037569">
        <w:rPr>
          <w:rFonts w:ascii="Arial Narrow" w:hAnsi="Arial Narrow"/>
          <w:sz w:val="18"/>
          <w:szCs w:val="18"/>
        </w:rPr>
        <w:t xml:space="preserve"> As an alternative, </w:t>
      </w:r>
      <w:r>
        <w:rPr>
          <w:rFonts w:ascii="Arial Narrow" w:hAnsi="Arial Narrow"/>
          <w:sz w:val="18"/>
          <w:szCs w:val="18"/>
        </w:rPr>
        <w:t>the SWE previously recommended that PECO</w:t>
      </w:r>
      <w:r w:rsidRPr="00037569">
        <w:rPr>
          <w:rFonts w:ascii="Arial Narrow" w:hAnsi="Arial Narrow"/>
          <w:sz w:val="18"/>
          <w:szCs w:val="18"/>
        </w:rPr>
        <w:t xml:space="preserve"> file a request to the Commission to revise </w:t>
      </w:r>
      <w:r>
        <w:rPr>
          <w:rFonts w:ascii="Arial Narrow" w:hAnsi="Arial Narrow"/>
          <w:sz w:val="18"/>
          <w:szCs w:val="18"/>
        </w:rPr>
        <w:t>its</w:t>
      </w:r>
      <w:r w:rsidRPr="00037569">
        <w:rPr>
          <w:rFonts w:ascii="Arial Narrow" w:hAnsi="Arial Narrow"/>
          <w:sz w:val="18"/>
          <w:szCs w:val="18"/>
        </w:rPr>
        <w:t xml:space="preserve"> Phase II EE&amp;C plan to reflect </w:t>
      </w:r>
      <w:r>
        <w:rPr>
          <w:rFonts w:ascii="Arial Narrow" w:hAnsi="Arial Narrow"/>
          <w:sz w:val="18"/>
          <w:szCs w:val="18"/>
        </w:rPr>
        <w:t>its</w:t>
      </w:r>
      <w:r w:rsidRPr="00037569">
        <w:rPr>
          <w:rFonts w:ascii="Arial Narrow" w:hAnsi="Arial Narrow"/>
          <w:sz w:val="18"/>
          <w:szCs w:val="18"/>
        </w:rPr>
        <w:t xml:space="preserve"> more recent discount rate calculation.</w:t>
      </w:r>
      <w:r>
        <w:rPr>
          <w:rFonts w:ascii="Arial Narrow" w:hAnsi="Arial Narrow"/>
          <w:sz w:val="18"/>
          <w:szCs w:val="18"/>
        </w:rPr>
        <w:t xml:space="preserve"> PECO has informed the SWE Team that the company believes that the 7.6% discount rate is a more accurate reflection of their current weighted average cost of capital. To our knowledge, this request was never submitted.</w:t>
      </w:r>
    </w:p>
  </w:footnote>
  <w:footnote w:id="72">
    <w:p w:rsidR="00063A64" w:rsidRPr="00515AA9" w:rsidRDefault="00063A64" w:rsidP="00EE3086">
      <w:pPr>
        <w:pStyle w:val="FootnoteText"/>
        <w:rPr>
          <w:rFonts w:ascii="Arial Narrow" w:hAnsi="Arial Narrow"/>
          <w:sz w:val="18"/>
        </w:rPr>
      </w:pPr>
      <w:r w:rsidRPr="00515AA9">
        <w:rPr>
          <w:rStyle w:val="FootnoteReference"/>
          <w:rFonts w:ascii="Arial Narrow" w:hAnsi="Arial Narrow"/>
          <w:sz w:val="18"/>
        </w:rPr>
        <w:footnoteRef/>
      </w:r>
      <w:r w:rsidRPr="00515AA9">
        <w:rPr>
          <w:rFonts w:ascii="Arial Narrow" w:hAnsi="Arial Narrow"/>
          <w:sz w:val="18"/>
        </w:rPr>
        <w:t xml:space="preserve"> </w:t>
      </w:r>
      <w:r>
        <w:rPr>
          <w:rFonts w:ascii="Arial Narrow" w:hAnsi="Arial Narrow"/>
          <w:sz w:val="18"/>
        </w:rPr>
        <w:t>As in PY6, t</w:t>
      </w:r>
      <w:r w:rsidRPr="00515AA9">
        <w:rPr>
          <w:rFonts w:ascii="Arial Narrow" w:hAnsi="Arial Narrow"/>
          <w:sz w:val="18"/>
        </w:rPr>
        <w:t>he SWE observed</w:t>
      </w:r>
      <w:r>
        <w:rPr>
          <w:rFonts w:ascii="Arial Narrow" w:hAnsi="Arial Narrow"/>
          <w:sz w:val="18"/>
        </w:rPr>
        <w:t xml:space="preserve"> only one variance from the 2015</w:t>
      </w:r>
      <w:r w:rsidRPr="00515AA9">
        <w:rPr>
          <w:rFonts w:ascii="Arial Narrow" w:hAnsi="Arial Narrow"/>
          <w:sz w:val="18"/>
        </w:rPr>
        <w:t xml:space="preserve"> TRM</w:t>
      </w:r>
      <w:r>
        <w:rPr>
          <w:rFonts w:ascii="Arial Narrow" w:hAnsi="Arial Narrow"/>
          <w:sz w:val="18"/>
        </w:rPr>
        <w:t xml:space="preserve"> in the PY7 PPL TRC Model</w:t>
      </w:r>
      <w:r w:rsidRPr="00515AA9">
        <w:rPr>
          <w:rFonts w:ascii="Arial Narrow" w:hAnsi="Arial Narrow"/>
          <w:sz w:val="18"/>
        </w:rPr>
        <w:t>. Water heater temperature setback EUL was found to be one year in the TRC model versus a TRM-specified EUL of four years. The overall impact of this adjustment is negligible to the program- and portfolio-level TRC.</w:t>
      </w:r>
    </w:p>
  </w:footnote>
  <w:footnote w:id="73">
    <w:p w:rsidR="00063A64" w:rsidRPr="008C599E" w:rsidRDefault="00063A64" w:rsidP="00EE3086">
      <w:pPr>
        <w:pStyle w:val="FootnoteText"/>
        <w:rPr>
          <w:rFonts w:ascii="Arial Narrow" w:hAnsi="Arial Narrow"/>
          <w:sz w:val="18"/>
        </w:rPr>
      </w:pPr>
      <w:r w:rsidRPr="008C599E">
        <w:rPr>
          <w:rStyle w:val="FootnoteReference"/>
          <w:rFonts w:ascii="Arial Narrow" w:hAnsi="Arial Narrow"/>
          <w:sz w:val="18"/>
        </w:rPr>
        <w:footnoteRef/>
      </w:r>
      <w:r w:rsidRPr="008C599E">
        <w:rPr>
          <w:rFonts w:ascii="Arial Narrow" w:hAnsi="Arial Narrow"/>
          <w:sz w:val="18"/>
        </w:rPr>
        <w:t xml:space="preserve"> For example, the initial SWE Phase II Evaluation Framework published on June 28, 2013 stated on page 28 that “EDCs must complete an evaluation plan for each evaluation and submit it to the SWE SharePoint site for review within 90 days from the beginning of the program year (by August 31). The evaluation plan should be a single electronic document with a chapter for each program in the portfolio, or a separate document for each program”.</w:t>
      </w:r>
    </w:p>
  </w:footnote>
  <w:footnote w:id="74">
    <w:p w:rsidR="00063A64" w:rsidRPr="009C4895" w:rsidRDefault="00063A64" w:rsidP="00EE3086">
      <w:pPr>
        <w:pStyle w:val="FootnoteText"/>
        <w:rPr>
          <w:rFonts w:ascii="Arial Narrow" w:hAnsi="Arial Narrow"/>
          <w:sz w:val="18"/>
        </w:rPr>
      </w:pPr>
      <w:r w:rsidRPr="009C4895">
        <w:rPr>
          <w:rStyle w:val="FootnoteReference"/>
          <w:rFonts w:ascii="Arial Narrow" w:eastAsiaTheme="minorHAnsi" w:hAnsi="Arial Narrow"/>
          <w:sz w:val="18"/>
        </w:rPr>
        <w:footnoteRef/>
      </w:r>
      <w:r w:rsidRPr="009C4895">
        <w:rPr>
          <w:rFonts w:ascii="Arial Narrow" w:hAnsi="Arial Narrow"/>
          <w:sz w:val="18"/>
        </w:rPr>
        <w:t xml:space="preserve"> Hunt Allcott and Todd Rogers. 2014. “The Short-Run and Long-Run Effects of Behavioral Interventions: Experimental Evidence from Energy Conservation.” American Economic Review 104 (10): 3003–3037.</w:t>
      </w:r>
    </w:p>
  </w:footnote>
  <w:footnote w:id="75">
    <w:p w:rsidR="00063A64" w:rsidRPr="009C4895" w:rsidRDefault="00063A64" w:rsidP="0051612D">
      <w:pPr>
        <w:pStyle w:val="FootnoteText"/>
        <w:jc w:val="left"/>
        <w:rPr>
          <w:rFonts w:ascii="Arial Narrow" w:hAnsi="Arial Narrow"/>
          <w:sz w:val="18"/>
        </w:rPr>
      </w:pPr>
      <w:r w:rsidRPr="009C4895">
        <w:rPr>
          <w:rStyle w:val="FootnoteReference"/>
          <w:rFonts w:ascii="Arial Narrow" w:eastAsiaTheme="minorHAnsi" w:hAnsi="Arial Narrow"/>
          <w:sz w:val="18"/>
        </w:rPr>
        <w:footnoteRef/>
      </w:r>
      <w:r w:rsidRPr="009C4895">
        <w:rPr>
          <w:rFonts w:ascii="Arial Narrow" w:hAnsi="Arial Narrow"/>
          <w:sz w:val="18"/>
        </w:rPr>
        <w:t xml:space="preserve"> </w:t>
      </w:r>
      <w:r>
        <w:rPr>
          <w:rFonts w:ascii="Arial Narrow" w:hAnsi="Arial Narrow"/>
          <w:sz w:val="18"/>
        </w:rPr>
        <w:t>Ibid.</w:t>
      </w:r>
    </w:p>
  </w:footnote>
  <w:footnote w:id="76">
    <w:p w:rsidR="00063A64" w:rsidRPr="00976114" w:rsidRDefault="00063A64" w:rsidP="003C4C90">
      <w:pPr>
        <w:pStyle w:val="FootnoteText"/>
        <w:rPr>
          <w:rFonts w:ascii="Arial Narrow" w:hAnsi="Arial Narrow"/>
          <w:sz w:val="18"/>
        </w:rPr>
      </w:pPr>
      <w:r w:rsidRPr="00976114">
        <w:rPr>
          <w:rStyle w:val="FootnoteReference"/>
          <w:rFonts w:ascii="Arial Narrow" w:hAnsi="Arial Narrow"/>
          <w:sz w:val="18"/>
        </w:rPr>
        <w:footnoteRef/>
      </w:r>
      <w:r w:rsidRPr="00976114">
        <w:rPr>
          <w:rFonts w:ascii="Arial Narrow" w:hAnsi="Arial Narrow"/>
          <w:sz w:val="18"/>
        </w:rPr>
        <w:t xml:space="preserve"> Almost all reported savings (99%) occurred in the residential sector. Note that both residential and non-residential customers could receive an incentive, since the program delivers the incentive through a retailer and HVAC installer channels.</w:t>
      </w:r>
    </w:p>
  </w:footnote>
  <w:footnote w:id="77">
    <w:p w:rsidR="00063A64" w:rsidRPr="00976114" w:rsidRDefault="00063A64" w:rsidP="003C4C90">
      <w:pPr>
        <w:pStyle w:val="FootnoteText"/>
        <w:rPr>
          <w:rFonts w:ascii="Arial Narrow" w:hAnsi="Arial Narrow"/>
          <w:sz w:val="18"/>
        </w:rPr>
      </w:pPr>
      <w:r w:rsidRPr="00976114">
        <w:rPr>
          <w:rStyle w:val="FootnoteReference"/>
          <w:rFonts w:ascii="Arial Narrow" w:hAnsi="Arial Narrow"/>
          <w:sz w:val="18"/>
        </w:rPr>
        <w:footnoteRef/>
      </w:r>
      <w:r w:rsidRPr="00976114">
        <w:rPr>
          <w:rFonts w:ascii="Arial Narrow" w:hAnsi="Arial Narrow"/>
          <w:sz w:val="18"/>
        </w:rPr>
        <w:t xml:space="preserve"> Although the program serves both residential and non-residential customers, most of the recycled units and savings come from the residential sector. Almost all reported savings (99%) occurred in the residential sector.</w:t>
      </w:r>
    </w:p>
  </w:footnote>
  <w:footnote w:id="78">
    <w:p w:rsidR="00063A64" w:rsidRPr="00170843" w:rsidRDefault="00063A64" w:rsidP="002852AF">
      <w:pPr>
        <w:pStyle w:val="FootnoteTex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4" w:history="1">
        <w:r w:rsidRPr="00170843">
          <w:rPr>
            <w:rStyle w:val="Hyperlink"/>
            <w:rFonts w:ascii="Arial Narrow" w:hAnsi="Arial Narrow"/>
            <w:sz w:val="18"/>
            <w:szCs w:val="18"/>
          </w:rPr>
          <w:t>www.puc.pa.gov/filing_resources/issues_laws_regulations/act_129_information/act_129_statewide_evaluator_swe_.aspx</w:t>
        </w:r>
      </w:hyperlink>
      <w:r w:rsidRPr="00170843">
        <w:rPr>
          <w:rFonts w:ascii="Arial Narrow" w:hAnsi="Arial Narrow"/>
          <w:sz w:val="18"/>
          <w:szCs w:val="18"/>
        </w:rPr>
        <w:t xml:space="preserve">. </w:t>
      </w:r>
    </w:p>
  </w:footnote>
  <w:footnote w:id="79">
    <w:p w:rsidR="00063A64" w:rsidRPr="00170843" w:rsidRDefault="00063A64" w:rsidP="002852AF">
      <w:pPr>
        <w:pStyle w:val="FootnoteTex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5" w:history="1">
        <w:r w:rsidRPr="00170843">
          <w:rPr>
            <w:rStyle w:val="Hyperlink"/>
            <w:rFonts w:ascii="Arial Narrow" w:hAnsi="Arial Narrow"/>
            <w:sz w:val="18"/>
            <w:szCs w:val="18"/>
          </w:rPr>
          <w:t>www.puc.pa.gov/Electric/pdf/Act129/SWE-2014_PA_Statewide_Act129_Residential_Baseline_Study.pdf</w:t>
        </w:r>
      </w:hyperlink>
      <w:r w:rsidRPr="00170843">
        <w:rPr>
          <w:rFonts w:ascii="Arial Narrow" w:hAnsi="Arial Narrow"/>
          <w:sz w:val="18"/>
          <w:szCs w:val="18"/>
        </w:rPr>
        <w:t xml:space="preserve">. </w:t>
      </w:r>
    </w:p>
  </w:footnote>
  <w:footnote w:id="80">
    <w:p w:rsidR="00063A64" w:rsidRPr="00170843" w:rsidRDefault="00063A64" w:rsidP="002852AF">
      <w:pPr>
        <w:pStyle w:val="FootnoteTex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6" w:history="1">
        <w:r w:rsidRPr="00170843">
          <w:rPr>
            <w:rStyle w:val="Hyperlink"/>
            <w:rFonts w:ascii="Arial Narrow" w:hAnsi="Arial Narrow"/>
            <w:sz w:val="18"/>
            <w:szCs w:val="18"/>
          </w:rPr>
          <w:t>www.puc.pa.gov/Electric/pdf/Act129/SWE-2014_PA_Statewide_Act129_Non-Residential_EndUse_Saturation_Study.pdf</w:t>
        </w:r>
      </w:hyperlink>
      <w:r w:rsidRPr="00170843">
        <w:rPr>
          <w:rFonts w:ascii="Arial Narrow" w:hAnsi="Arial Narrow"/>
          <w:sz w:val="18"/>
          <w:szCs w:val="18"/>
        </w:rPr>
        <w:t xml:space="preserve"> </w:t>
      </w:r>
    </w:p>
  </w:footnote>
  <w:footnote w:id="81">
    <w:p w:rsidR="00063A64" w:rsidRPr="00170843" w:rsidRDefault="00063A64" w:rsidP="002852AF">
      <w:pPr>
        <w:pStyle w:val="FootnoteTex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7" w:history="1">
        <w:r w:rsidRPr="00170843">
          <w:rPr>
            <w:rStyle w:val="Hyperlink"/>
            <w:rFonts w:ascii="Arial Narrow" w:hAnsi="Arial Narrow"/>
            <w:sz w:val="18"/>
            <w:szCs w:val="18"/>
          </w:rPr>
          <w:t>www.puc.pa.gov/pcdocs/1340978.pdf</w:t>
        </w:r>
      </w:hyperlink>
      <w:r w:rsidRPr="00170843">
        <w:rPr>
          <w:rFonts w:ascii="Arial Narrow" w:hAnsi="Arial Narrow"/>
          <w:sz w:val="18"/>
          <w:szCs w:val="18"/>
        </w:rPr>
        <w:t xml:space="preserve">. </w:t>
      </w:r>
    </w:p>
  </w:footnote>
  <w:footnote w:id="82">
    <w:p w:rsidR="00063A64" w:rsidRPr="00170843" w:rsidRDefault="00063A64" w:rsidP="006C0F17">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8" w:history="1">
        <w:r w:rsidRPr="00170843">
          <w:rPr>
            <w:rStyle w:val="Hyperlink"/>
            <w:rFonts w:ascii="Arial Narrow" w:hAnsi="Arial Narrow"/>
            <w:sz w:val="18"/>
            <w:szCs w:val="18"/>
          </w:rPr>
          <w:t>www.puc.pa.gov/pcdocs/1345079.pdf</w:t>
        </w:r>
      </w:hyperlink>
      <w:r w:rsidRPr="00170843">
        <w:rPr>
          <w:rFonts w:ascii="Arial Narrow" w:hAnsi="Arial Narrow"/>
          <w:sz w:val="18"/>
          <w:szCs w:val="18"/>
        </w:rPr>
        <w:t xml:space="preserve">. </w:t>
      </w:r>
    </w:p>
  </w:footnote>
  <w:footnote w:id="83">
    <w:p w:rsidR="00063A64" w:rsidRPr="00170843" w:rsidRDefault="00063A64" w:rsidP="00A412AF">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9" w:history="1">
        <w:r w:rsidRPr="00170843">
          <w:rPr>
            <w:rStyle w:val="Hyperlink"/>
            <w:rFonts w:ascii="Arial Narrow" w:hAnsi="Arial Narrow"/>
            <w:sz w:val="18"/>
            <w:szCs w:val="18"/>
          </w:rPr>
          <w:t>www.puc.pa.gov/pcdocs/1345077.docx</w:t>
        </w:r>
      </w:hyperlink>
      <w:r w:rsidRPr="00170843">
        <w:rPr>
          <w:rFonts w:ascii="Arial Narrow" w:hAnsi="Arial Narrow"/>
          <w:sz w:val="18"/>
          <w:szCs w:val="18"/>
        </w:rPr>
        <w:t xml:space="preserve">. </w:t>
      </w:r>
    </w:p>
  </w:footnote>
  <w:footnote w:id="84">
    <w:p w:rsidR="00063A64" w:rsidRPr="00170843" w:rsidRDefault="00063A64" w:rsidP="006C0F17">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0" w:history="1">
        <w:r w:rsidRPr="00170843">
          <w:rPr>
            <w:rStyle w:val="Hyperlink"/>
            <w:rFonts w:ascii="Arial Narrow" w:hAnsi="Arial Narrow"/>
            <w:sz w:val="18"/>
            <w:szCs w:val="18"/>
          </w:rPr>
          <w:t>www.puc.pa.gov/pcdocs/1355000.pdf</w:t>
        </w:r>
      </w:hyperlink>
      <w:r w:rsidRPr="00170843">
        <w:rPr>
          <w:rFonts w:ascii="Arial Narrow" w:hAnsi="Arial Narrow"/>
          <w:sz w:val="18"/>
          <w:szCs w:val="18"/>
        </w:rPr>
        <w:t xml:space="preserve">. </w:t>
      </w:r>
    </w:p>
  </w:footnote>
  <w:footnote w:id="85">
    <w:p w:rsidR="00063A64" w:rsidRPr="00170843" w:rsidRDefault="00063A64" w:rsidP="006C0F17">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1" w:history="1">
        <w:r w:rsidRPr="00170843">
          <w:rPr>
            <w:rStyle w:val="Hyperlink"/>
            <w:rFonts w:ascii="Arial Narrow" w:hAnsi="Arial Narrow"/>
            <w:sz w:val="18"/>
            <w:szCs w:val="18"/>
          </w:rPr>
          <w:t>www.puc.pa.gov/Electric/pdf/Act129/SWE_Res_Behavioral_Program-Persistence_Study.pdf</w:t>
        </w:r>
      </w:hyperlink>
      <w:r w:rsidRPr="00170843">
        <w:rPr>
          <w:rFonts w:ascii="Arial Narrow" w:hAnsi="Arial Narrow"/>
          <w:sz w:val="18"/>
          <w:szCs w:val="18"/>
        </w:rPr>
        <w:t xml:space="preserve">. </w:t>
      </w:r>
    </w:p>
  </w:footnote>
  <w:footnote w:id="86">
    <w:p w:rsidR="00063A64" w:rsidRPr="00170843" w:rsidRDefault="00063A64" w:rsidP="00170843">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2" w:history="1">
        <w:r w:rsidRPr="00170843">
          <w:rPr>
            <w:rStyle w:val="Hyperlink"/>
            <w:rFonts w:ascii="Arial Narrow" w:hAnsi="Arial Narrow"/>
            <w:sz w:val="18"/>
            <w:szCs w:val="18"/>
          </w:rPr>
          <w:t>www.puc.pa.gov/pcdocs/1265230.docx</w:t>
        </w:r>
      </w:hyperlink>
      <w:r w:rsidRPr="00170843">
        <w:rPr>
          <w:rStyle w:val="Hyperlink"/>
          <w:rFonts w:ascii="Arial Narrow" w:hAnsi="Arial Narrow"/>
          <w:sz w:val="18"/>
          <w:szCs w:val="18"/>
        </w:rPr>
        <w:t>.</w:t>
      </w:r>
      <w:r w:rsidRPr="00170843">
        <w:rPr>
          <w:rFonts w:ascii="Arial Narrow" w:hAnsi="Arial Narrow"/>
          <w:sz w:val="18"/>
          <w:szCs w:val="18"/>
        </w:rPr>
        <w:t xml:space="preserve"> </w:t>
      </w:r>
    </w:p>
  </w:footnote>
  <w:footnote w:id="87">
    <w:p w:rsidR="00063A64" w:rsidRPr="00170843" w:rsidRDefault="00063A64" w:rsidP="00170843">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3" w:history="1">
        <w:r w:rsidRPr="00170843">
          <w:rPr>
            <w:rStyle w:val="Hyperlink"/>
            <w:rFonts w:ascii="Arial Narrow" w:hAnsi="Arial Narrow"/>
            <w:sz w:val="18"/>
            <w:szCs w:val="18"/>
          </w:rPr>
          <w:t>www.puc.pa.gov/pcdocs/1333318.docx</w:t>
        </w:r>
      </w:hyperlink>
      <w:r w:rsidRPr="00170843">
        <w:rPr>
          <w:rStyle w:val="Hyperlink"/>
          <w:rFonts w:ascii="Arial Narrow" w:hAnsi="Arial Narrow"/>
          <w:sz w:val="18"/>
          <w:szCs w:val="18"/>
        </w:rPr>
        <w:t>.</w:t>
      </w:r>
      <w:r w:rsidRPr="00170843">
        <w:rPr>
          <w:rFonts w:ascii="Arial Narrow" w:hAnsi="Arial Narrow"/>
          <w:sz w:val="18"/>
          <w:szCs w:val="18"/>
        </w:rPr>
        <w:t xml:space="preserve">  </w:t>
      </w:r>
    </w:p>
  </w:footnote>
  <w:footnote w:id="88">
    <w:p w:rsidR="00063A64" w:rsidRPr="00170843" w:rsidRDefault="00063A64" w:rsidP="00170843">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4" w:history="1">
        <w:r w:rsidRPr="00170843">
          <w:rPr>
            <w:rStyle w:val="Hyperlink"/>
            <w:rFonts w:ascii="Arial Narrow" w:hAnsi="Arial Narrow"/>
            <w:sz w:val="18"/>
            <w:szCs w:val="18"/>
          </w:rPr>
          <w:t>www.puc.pa.gov/pcdocs/1370278.docx</w:t>
        </w:r>
      </w:hyperlink>
      <w:r w:rsidRPr="00170843">
        <w:rPr>
          <w:rStyle w:val="Hyperlink"/>
          <w:rFonts w:ascii="Arial Narrow" w:hAnsi="Arial Narrow"/>
          <w:sz w:val="18"/>
          <w:szCs w:val="18"/>
        </w:rPr>
        <w:t>.</w:t>
      </w:r>
      <w:r w:rsidRPr="00170843">
        <w:rPr>
          <w:rFonts w:ascii="Arial Narrow" w:hAnsi="Arial Narrow"/>
          <w:sz w:val="18"/>
          <w:szCs w:val="18"/>
        </w:rPr>
        <w:t xml:space="preserve"> </w:t>
      </w:r>
    </w:p>
  </w:footnote>
  <w:footnote w:id="89">
    <w:p w:rsidR="00063A64" w:rsidRPr="00170843" w:rsidRDefault="00063A64" w:rsidP="00170843">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5" w:history="1">
        <w:r w:rsidRPr="00170843">
          <w:rPr>
            <w:rStyle w:val="Hyperlink"/>
            <w:rFonts w:ascii="Arial Narrow" w:hAnsi="Arial Narrow"/>
            <w:sz w:val="18"/>
            <w:szCs w:val="18"/>
          </w:rPr>
          <w:t>www.puc.pa.gov/Electric/pdf/Act129/SWE_PY5-Final_Annual_Report.pdf</w:t>
        </w:r>
      </w:hyperlink>
      <w:r w:rsidRPr="00170843">
        <w:rPr>
          <w:rStyle w:val="Hyperlink"/>
          <w:rFonts w:ascii="Arial Narrow" w:hAnsi="Arial Narrow"/>
          <w:sz w:val="18"/>
          <w:szCs w:val="18"/>
        </w:rPr>
        <w:t>.</w:t>
      </w:r>
      <w:r w:rsidRPr="00170843">
        <w:rPr>
          <w:rFonts w:ascii="Arial Narrow" w:hAnsi="Arial Narrow"/>
          <w:sz w:val="18"/>
          <w:szCs w:val="18"/>
        </w:rPr>
        <w:t xml:space="preserve"> </w:t>
      </w:r>
    </w:p>
  </w:footnote>
  <w:footnote w:id="90">
    <w:p w:rsidR="00063A64" w:rsidRPr="00170843" w:rsidRDefault="00063A64" w:rsidP="00170843">
      <w:pPr>
        <w:pStyle w:val="FootnoteText"/>
        <w:jc w:val="left"/>
        <w:rPr>
          <w:rFonts w:ascii="Arial Narrow" w:hAnsi="Arial Narrow"/>
          <w:sz w:val="18"/>
          <w:szCs w:val="18"/>
        </w:rPr>
      </w:pPr>
      <w:r w:rsidRPr="00170843">
        <w:rPr>
          <w:rStyle w:val="FootnoteReference"/>
          <w:rFonts w:ascii="Arial Narrow" w:hAnsi="Arial Narrow"/>
          <w:sz w:val="18"/>
          <w:szCs w:val="18"/>
        </w:rPr>
        <w:footnoteRef/>
      </w:r>
      <w:r w:rsidRPr="00170843">
        <w:rPr>
          <w:rFonts w:ascii="Arial Narrow" w:hAnsi="Arial Narrow"/>
          <w:sz w:val="18"/>
          <w:szCs w:val="18"/>
        </w:rPr>
        <w:t xml:space="preserve"> PA PUC website, </w:t>
      </w:r>
      <w:hyperlink r:id="rId16" w:history="1">
        <w:r w:rsidRPr="00170843">
          <w:rPr>
            <w:rStyle w:val="Hyperlink"/>
            <w:rFonts w:ascii="Arial Narrow" w:hAnsi="Arial Narrow"/>
            <w:sz w:val="18"/>
            <w:szCs w:val="18"/>
          </w:rPr>
          <w:t>www.puc.pa.gov/Electric/pdf/Act129/SWE_PY6-Final_Annual_Report.pdf</w:t>
        </w:r>
      </w:hyperlink>
      <w:r w:rsidRPr="00170843">
        <w:rPr>
          <w:rStyle w:val="Hyperlink"/>
          <w:rFonts w:ascii="Arial Narrow" w:hAnsi="Arial Narrow"/>
          <w:sz w:val="18"/>
          <w:szCs w:val="18"/>
        </w:rPr>
        <w:t>.</w:t>
      </w:r>
      <w:r w:rsidRPr="00170843">
        <w:rPr>
          <w:rFonts w:ascii="Arial Narrow" w:hAnsi="Arial Narrow"/>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Default="00063A64" w:rsidP="00844A91">
    <w:pPr>
      <w:pStyle w:val="Header"/>
    </w:pPr>
    <w:r>
      <w:t>Act 129 Statewide Evaluator Final Annual Report</w:t>
    </w:r>
  </w:p>
  <w:p w:rsidR="00063A64" w:rsidRDefault="00063A64" w:rsidP="00844A91">
    <w:pPr>
      <w:pStyle w:val="Header"/>
      <w:pBdr>
        <w:bottom w:val="single" w:sz="6" w:space="1" w:color="auto"/>
      </w:pBdr>
    </w:pPr>
    <w:r>
      <w:t>3</w:t>
    </w:r>
    <w:r w:rsidRPr="00243490">
      <w:rPr>
        <w:vertAlign w:val="superscript"/>
      </w:rPr>
      <w:t>rd</w:t>
    </w:r>
    <w:r>
      <w:t xml:space="preserve"> Quarter, Program Year 1</w:t>
    </w:r>
  </w:p>
  <w:p w:rsidR="00063A64" w:rsidRDefault="00063A64" w:rsidP="00844A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5D6981">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February 28, 2017</w:t>
    </w:r>
  </w:p>
  <w:p w:rsidR="00063A64" w:rsidRPr="005D6981" w:rsidRDefault="00063A64" w:rsidP="005D698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p w:rsidR="00063A64" w:rsidRPr="00FE55A4" w:rsidRDefault="00063A64" w:rsidP="00FE55A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5D6981">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5D6981" w:rsidRDefault="00063A64" w:rsidP="005D698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E55A4" w:rsidRDefault="00063A64" w:rsidP="00FE55A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5D6981">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p w:rsidR="00063A64" w:rsidRPr="005D6981" w:rsidRDefault="00063A64" w:rsidP="005D698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A07AB2">
    <w:pPr>
      <w:pStyle w:val="Header"/>
      <w:pBdr>
        <w:bottom w:val="single" w:sz="4" w:space="1" w:color="auto"/>
      </w:pBdr>
      <w:tabs>
        <w:tab w:val="clear" w:pos="4680"/>
        <w:tab w:val="clear" w:pos="9360"/>
      </w:tabs>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t xml:space="preserve"> February 28, 2017</w:t>
    </w:r>
  </w:p>
  <w:p w:rsidR="00063A64" w:rsidRPr="00FE55A4" w:rsidRDefault="00063A64" w:rsidP="00FE55A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5D6981">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5D6981" w:rsidRDefault="00063A64" w:rsidP="005D698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E55A4" w:rsidRDefault="00063A64" w:rsidP="00FE55A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5D6981">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p w:rsidR="00063A64" w:rsidRPr="005D6981" w:rsidRDefault="00063A64" w:rsidP="005D698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391C49">
    <w:pPr>
      <w:pStyle w:val="Header"/>
      <w:pBdr>
        <w:bottom w:val="single" w:sz="4" w:space="1" w:color="auto"/>
      </w:pBdr>
      <w:tabs>
        <w:tab w:val="clear" w:pos="4680"/>
        <w:tab w:val="clear" w:pos="9360"/>
      </w:tabs>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p w:rsidR="00063A64" w:rsidRPr="00FE55A4" w:rsidRDefault="00063A64" w:rsidP="00FE55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964869" w:rsidRDefault="00063A64" w:rsidP="0096486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5D6981">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5D6981" w:rsidRDefault="00063A64" w:rsidP="005D698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D4D90">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Default="00063A6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FD4D90" w:rsidRDefault="00063A64" w:rsidP="00FD4D90">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391C49">
    <w:pPr>
      <w:pStyle w:val="Header"/>
      <w:pBdr>
        <w:bottom w:val="single" w:sz="4" w:space="1" w:color="auto"/>
      </w:pBdr>
      <w:tabs>
        <w:tab w:val="clear" w:pos="4680"/>
        <w:tab w:val="clear" w:pos="9360"/>
      </w:tabs>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Program Year 7</w:t>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t xml:space="preserve">           </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p w:rsidR="00063A64" w:rsidRDefault="00063A6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5C3E63">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Default="00063A6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D4D90">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D4D90" w:rsidRDefault="00063A64" w:rsidP="00FD4D9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E55A4" w:rsidRDefault="00063A64" w:rsidP="00FE55A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p w:rsidR="00063A64" w:rsidRPr="00FE55A4" w:rsidRDefault="00063A64" w:rsidP="00FE55A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D4D90">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D4D90" w:rsidRDefault="00063A64" w:rsidP="00FD4D9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E55A4" w:rsidRDefault="00063A64" w:rsidP="00FE55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7F2DA6">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D4D90">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p w:rsidR="00063A64" w:rsidRPr="00FD4D90" w:rsidRDefault="00063A64" w:rsidP="00FD4D9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p w:rsidR="00063A64" w:rsidRPr="00FE55A4" w:rsidRDefault="00063A64" w:rsidP="00FE55A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D4D90">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D4D90" w:rsidRDefault="00063A64" w:rsidP="00FD4D9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E55A4" w:rsidRDefault="00063A64" w:rsidP="00FE55A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p w:rsidR="00063A64" w:rsidRPr="00FE55A4" w:rsidRDefault="00063A64" w:rsidP="00FE55A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D4D90">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D4D90" w:rsidRDefault="00063A64" w:rsidP="00FD4D9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E55A4" w:rsidRDefault="00063A64" w:rsidP="00FE55A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D4D90">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February 28, 2017</w:t>
    </w:r>
  </w:p>
  <w:p w:rsidR="00063A64" w:rsidRPr="00FD4D90" w:rsidRDefault="00063A64" w:rsidP="00FD4D9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p w:rsidR="00063A64" w:rsidRPr="00FE55A4" w:rsidRDefault="00063A64" w:rsidP="00FE55A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D4D90">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D4D90" w:rsidRDefault="00063A64" w:rsidP="00FD4D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CA4CB7">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CA4CB7" w:rsidRDefault="00063A64" w:rsidP="00CA4CB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E55A4" w:rsidRDefault="00063A64" w:rsidP="00FE55A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p w:rsidR="00063A64" w:rsidRPr="00706E5F" w:rsidRDefault="00063A64" w:rsidP="00706E5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D4D90">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p w:rsidR="00063A64" w:rsidRPr="00FD4D90" w:rsidRDefault="00063A64" w:rsidP="00FD4D9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D4D90">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D4D90" w:rsidRDefault="00063A64" w:rsidP="00FD4D9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D77B11">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E661F6" w:rsidRDefault="00063A64" w:rsidP="00E661F6">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E661F6" w:rsidRDefault="00063A64" w:rsidP="00E661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7F2DA6">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Annual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8B5045">
    <w:pPr>
      <w:pStyle w:val="Header"/>
      <w:pBdr>
        <w:bottom w:val="single" w:sz="4" w:space="1" w:color="auto"/>
      </w:pBdr>
      <w:tabs>
        <w:tab w:val="clear" w:pos="4680"/>
        <w:tab w:val="clear" w:pos="9360"/>
      </w:tabs>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r>
    <w:r>
      <w:rPr>
        <w:rFonts w:ascii="Century Gothic" w:hAnsi="Century Gothic"/>
        <w:sz w:val="16"/>
      </w:rPr>
      <w:tab/>
      <w:t xml:space="preserve"> February 28, 2017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4C6EDA">
    <w:pPr>
      <w:pStyle w:val="Header"/>
      <w:pBdr>
        <w:bottom w:val="single" w:sz="4" w:space="1" w:color="auto"/>
      </w:pBdr>
      <w:tabs>
        <w:tab w:val="clear" w:pos="4680"/>
        <w:tab w:val="clear" w:pos="9360"/>
        <w:tab w:val="right" w:pos="12960"/>
        <w:tab w:val="left" w:pos="13770"/>
      </w:tabs>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t>February 28,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5D6981">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5D6981" w:rsidRDefault="00063A64" w:rsidP="005D69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4" w:rsidRPr="007F2DA6" w:rsidRDefault="00063A64" w:rsidP="00FE55A4">
    <w:pPr>
      <w:pStyle w:val="Header"/>
      <w:pBdr>
        <w:bottom w:val="single" w:sz="4" w:space="1" w:color="auto"/>
      </w:pBdr>
      <w:rPr>
        <w:rFonts w:ascii="Century Gothic" w:hAnsi="Century Gothic"/>
        <w:sz w:val="16"/>
      </w:rPr>
    </w:pPr>
    <w:r>
      <w:rPr>
        <w:rFonts w:ascii="Century Gothic" w:hAnsi="Century Gothic"/>
        <w:b/>
        <w:smallCaps/>
        <w:sz w:val="17"/>
        <w:szCs w:val="17"/>
      </w:rPr>
      <w:t xml:space="preserve">Act 129 SWE Final Report </w:t>
    </w:r>
    <w:r w:rsidRPr="00CA4CB7">
      <w:rPr>
        <w:rFonts w:ascii="Century Gothic" w:hAnsi="Century Gothic"/>
        <w:b/>
        <w:smallCaps/>
        <w:sz w:val="18"/>
        <w:szCs w:val="17"/>
      </w:rPr>
      <w:t>|</w:t>
    </w:r>
    <w:r>
      <w:rPr>
        <w:rFonts w:ascii="Century Gothic" w:hAnsi="Century Gothic"/>
        <w:b/>
        <w:smallCaps/>
        <w:sz w:val="17"/>
        <w:szCs w:val="17"/>
      </w:rPr>
      <w:t xml:space="preserve"> </w:t>
    </w:r>
    <w:r>
      <w:rPr>
        <w:rFonts w:ascii="Century Gothic" w:hAnsi="Century Gothic"/>
        <w:b/>
        <w:color w:val="448A99"/>
        <w:sz w:val="16"/>
        <w:szCs w:val="17"/>
      </w:rPr>
      <w:t>Phase II</w:t>
    </w:r>
    <w:r>
      <w:rPr>
        <w:rFonts w:ascii="Century Gothic" w:hAnsi="Century Gothic"/>
        <w:sz w:val="16"/>
      </w:rPr>
      <w:tab/>
    </w:r>
    <w:r>
      <w:rPr>
        <w:rFonts w:ascii="Century Gothic" w:hAnsi="Century Gothic"/>
        <w:sz w:val="16"/>
      </w:rPr>
      <w:tab/>
      <w:t>February 28, 2017</w:t>
    </w:r>
  </w:p>
  <w:p w:rsidR="00063A64" w:rsidRPr="00FE55A4" w:rsidRDefault="00063A64" w:rsidP="00FE5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4E4F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02C74"/>
    <w:multiLevelType w:val="hybridMultilevel"/>
    <w:tmpl w:val="42B22D34"/>
    <w:lvl w:ilvl="0" w:tplc="349A6C72">
      <w:start w:val="1"/>
      <w:numFmt w:val="bullet"/>
      <w:lvlText w:val=""/>
      <w:lvlJc w:val="left"/>
      <w:pPr>
        <w:ind w:left="720" w:hanging="360"/>
      </w:pPr>
      <w:rPr>
        <w:rFonts w:ascii="Wingdings" w:hAnsi="Wingdings" w:hint="default"/>
        <w:b/>
        <w:color w:val="448A99"/>
        <w:sz w:val="16"/>
        <w:u w:color="1F497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43254"/>
    <w:multiLevelType w:val="hybridMultilevel"/>
    <w:tmpl w:val="DDA0D9DE"/>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F02A3"/>
    <w:multiLevelType w:val="hybridMultilevel"/>
    <w:tmpl w:val="B6F8D4FE"/>
    <w:lvl w:ilvl="0" w:tplc="0409000F">
      <w:start w:val="1"/>
      <w:numFmt w:val="decimal"/>
      <w:lvlText w:val="%1."/>
      <w:lvlJc w:val="left"/>
      <w:pPr>
        <w:ind w:left="720" w:hanging="360"/>
      </w:pPr>
    </w:lvl>
    <w:lvl w:ilvl="1" w:tplc="C5F2467A">
      <w:start w:val="1"/>
      <w:numFmt w:val="lowerLetter"/>
      <w:lvlText w:val="%2."/>
      <w:lvlJc w:val="left"/>
      <w:pPr>
        <w:ind w:left="1440" w:hanging="360"/>
      </w:pPr>
      <w:rPr>
        <w:rFonts w:ascii="Century Gothic" w:hAnsi="Century Gothic" w:hint="default"/>
        <w:b/>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C9072A"/>
    <w:multiLevelType w:val="multilevel"/>
    <w:tmpl w:val="C44414CA"/>
    <w:lvl w:ilvl="0">
      <w:start w:val="1"/>
      <w:numFmt w:val="none"/>
      <w:pStyle w:val="donotuse"/>
      <w:suff w:val="space"/>
      <w:lvlText w:val="APPENDIX A"/>
      <w:lvlJc w:val="left"/>
      <w:pPr>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suff w:val="space"/>
      <w:lvlText w:val="%1.%2.%3.%4.%5.%6.%7"/>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2D24FC4"/>
    <w:multiLevelType w:val="hybridMultilevel"/>
    <w:tmpl w:val="CC880FEE"/>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E71023"/>
    <w:multiLevelType w:val="hybridMultilevel"/>
    <w:tmpl w:val="93D02B3A"/>
    <w:lvl w:ilvl="0" w:tplc="349A6C72">
      <w:start w:val="1"/>
      <w:numFmt w:val="bullet"/>
      <w:lvlText w:val=""/>
      <w:lvlJc w:val="left"/>
      <w:pPr>
        <w:ind w:left="720" w:hanging="360"/>
      </w:pPr>
      <w:rPr>
        <w:rFonts w:ascii="Wingdings" w:hAnsi="Wingdings" w:hint="default"/>
        <w:b/>
        <w:color w:val="448A99"/>
        <w:sz w:val="16"/>
        <w:u w:color="1F497D"/>
      </w:rPr>
    </w:lvl>
    <w:lvl w:ilvl="1" w:tplc="59462CFA">
      <w:start w:val="1"/>
      <w:numFmt w:val="bullet"/>
      <w:lvlText w:val=""/>
      <w:lvlJc w:val="left"/>
      <w:pPr>
        <w:ind w:left="1440" w:hanging="360"/>
      </w:pPr>
      <w:rPr>
        <w:rFonts w:ascii="Wingdings" w:hAnsi="Wingdings" w:hint="default"/>
        <w:b/>
        <w:color w:val="448A99"/>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092507"/>
    <w:multiLevelType w:val="hybridMultilevel"/>
    <w:tmpl w:val="89ECBFBE"/>
    <w:lvl w:ilvl="0" w:tplc="A8FC7314">
      <w:start w:val="1"/>
      <w:numFmt w:val="decimal"/>
      <w:lvlText w:val="%1)"/>
      <w:lvlJc w:val="left"/>
      <w:pPr>
        <w:ind w:left="1080" w:hanging="360"/>
      </w:pPr>
      <w:rPr>
        <w:rFonts w:ascii="Century Gothic" w:hAnsi="Century Gothic" w:hint="default"/>
        <w:b/>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3A86BAA"/>
    <w:multiLevelType w:val="hybridMultilevel"/>
    <w:tmpl w:val="41EECC36"/>
    <w:lvl w:ilvl="0" w:tplc="4E64DDF2">
      <w:start w:val="1"/>
      <w:numFmt w:val="bullet"/>
      <w:lvlText w:val=""/>
      <w:lvlJc w:val="left"/>
      <w:pPr>
        <w:ind w:left="720" w:hanging="360"/>
      </w:pPr>
      <w:rPr>
        <w:rFonts w:ascii="Wingdings" w:hAnsi="Wingdings" w:hint="default"/>
        <w:b/>
        <w:color w:val="448A99"/>
        <w:sz w:val="16"/>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CC4B3F"/>
    <w:multiLevelType w:val="multilevel"/>
    <w:tmpl w:val="A05C73D4"/>
    <w:styleLink w:val="Appendix"/>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43F1731"/>
    <w:multiLevelType w:val="hybridMultilevel"/>
    <w:tmpl w:val="D0FAB4EC"/>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F7062B"/>
    <w:multiLevelType w:val="multilevel"/>
    <w:tmpl w:val="AC667066"/>
    <w:lvl w:ilvl="0">
      <w:start w:val="1"/>
      <w:numFmt w:val="decimal"/>
      <w:pStyle w:val="AppendixFHeading1"/>
      <w:suff w:val="space"/>
      <w:lvlText w:val="F.%1"/>
      <w:lvlJc w:val="left"/>
      <w:pPr>
        <w:ind w:left="0" w:firstLine="0"/>
      </w:pPr>
      <w:rPr>
        <w:rFonts w:ascii="Century Gothic" w:hAnsi="Century Gothic" w:hint="default"/>
        <w:b/>
        <w:smallCaps/>
        <w:sz w:val="24"/>
      </w:rPr>
    </w:lvl>
    <w:lvl w:ilvl="1">
      <w:start w:val="1"/>
      <w:numFmt w:val="decimal"/>
      <w:pStyle w:val="AppendixFHeading2"/>
      <w:suff w:val="space"/>
      <w:lvlText w:val="F.%1.%2."/>
      <w:lvlJc w:val="left"/>
      <w:pPr>
        <w:ind w:left="0" w:firstLine="0"/>
      </w:pPr>
      <w:rPr>
        <w:rFonts w:hint="default"/>
      </w:rPr>
    </w:lvl>
    <w:lvl w:ilvl="2">
      <w:start w:val="1"/>
      <w:numFmt w:val="decimal"/>
      <w:pStyle w:val="AppendixFHeading3"/>
      <w:suff w:val="space"/>
      <w:lvlText w:val="F.%1.%2.%3."/>
      <w:lvlJc w:val="left"/>
      <w:pPr>
        <w:ind w:left="0" w:firstLine="0"/>
      </w:pPr>
      <w:rPr>
        <w:rFonts w:hint="default"/>
      </w:rPr>
    </w:lvl>
    <w:lvl w:ilvl="3">
      <w:start w:val="1"/>
      <w:numFmt w:val="decimal"/>
      <w:suff w:val="space"/>
      <w:lvlText w:val="F.%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61F0B3B"/>
    <w:multiLevelType w:val="hybridMultilevel"/>
    <w:tmpl w:val="005E7526"/>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C6171D"/>
    <w:multiLevelType w:val="hybridMultilevel"/>
    <w:tmpl w:val="ACA82398"/>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781156"/>
    <w:multiLevelType w:val="multilevel"/>
    <w:tmpl w:val="78607D6E"/>
    <w:lvl w:ilvl="0">
      <w:start w:val="1"/>
      <w:numFmt w:val="decimal"/>
      <w:lvlText w:val="%1"/>
      <w:lvlJc w:val="left"/>
      <w:pPr>
        <w:ind w:left="792" w:hanging="432"/>
      </w:pPr>
      <w:rPr>
        <w:rFonts w:cs="Times New Roman"/>
      </w:rPr>
    </w:lvl>
    <w:lvl w:ilvl="1">
      <w:start w:val="1"/>
      <w:numFmt w:val="decimal"/>
      <w:lvlText w:val="%1.%2"/>
      <w:lvlJc w:val="left"/>
      <w:pPr>
        <w:ind w:left="756" w:hanging="576"/>
      </w:pPr>
      <w:rPr>
        <w:rFonts w:cs="Times New Roman"/>
      </w:rPr>
    </w:lvl>
    <w:lvl w:ilvl="2">
      <w:start w:val="1"/>
      <w:numFmt w:val="decimal"/>
      <w:lvlText w:val="%1.%2.%3"/>
      <w:lvlJc w:val="left"/>
      <w:pPr>
        <w:ind w:left="720" w:hanging="720"/>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954" w:hanging="864"/>
      </w:pPr>
      <w:rPr>
        <w:rFonts w:cs="Times New Roman"/>
        <w:color w:val="auto"/>
      </w:rPr>
    </w:lvl>
    <w:lvl w:ilvl="4">
      <w:start w:val="1"/>
      <w:numFmt w:val="decimal"/>
      <w:lvlText w:val="%1.%2.%3.%4.%5"/>
      <w:lvlJc w:val="left"/>
      <w:pPr>
        <w:ind w:left="1008" w:hanging="1008"/>
      </w:pPr>
      <w:rPr>
        <w:rFonts w:ascii="Calibri" w:hAnsi="Calibri" w:cs="Calibri" w:hint="default"/>
        <w:sz w:val="22"/>
        <w:szCs w:val="22"/>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08B77795"/>
    <w:multiLevelType w:val="hybridMultilevel"/>
    <w:tmpl w:val="CE1EFBF4"/>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5C39CA"/>
    <w:multiLevelType w:val="hybridMultilevel"/>
    <w:tmpl w:val="63ECDEFA"/>
    <w:lvl w:ilvl="0" w:tplc="59462CFA">
      <w:start w:val="1"/>
      <w:numFmt w:val="bullet"/>
      <w:lvlText w:val=""/>
      <w:lvlJc w:val="left"/>
      <w:pPr>
        <w:ind w:left="720" w:hanging="360"/>
      </w:pPr>
      <w:rPr>
        <w:rFonts w:ascii="Wingdings" w:hAnsi="Wingdings" w:hint="default"/>
        <w:b/>
        <w:color w:val="448A99"/>
        <w:sz w:val="24"/>
      </w:rPr>
    </w:lvl>
    <w:lvl w:ilvl="1" w:tplc="83C48006">
      <w:start w:val="1"/>
      <w:numFmt w:val="bullet"/>
      <w:lvlText w:val="-"/>
      <w:lvlJc w:val="left"/>
      <w:pPr>
        <w:ind w:left="1440" w:hanging="360"/>
      </w:pPr>
      <w:rPr>
        <w:rFonts w:ascii="Courier New" w:hAnsi="Courier New" w:hint="default"/>
        <w:b/>
        <w:color w:val="448A99"/>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B92585"/>
    <w:multiLevelType w:val="hybridMultilevel"/>
    <w:tmpl w:val="269C9BBE"/>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E414E1"/>
    <w:multiLevelType w:val="hybridMultilevel"/>
    <w:tmpl w:val="82E652B6"/>
    <w:lvl w:ilvl="0" w:tplc="FC62C8FC">
      <w:start w:val="1"/>
      <w:numFmt w:val="bullet"/>
      <w:lvlText w:val=""/>
      <w:lvlJc w:val="left"/>
      <w:pPr>
        <w:ind w:left="720" w:hanging="360"/>
      </w:pPr>
      <w:rPr>
        <w:rFonts w:ascii="Wingdings" w:hAnsi="Wingdings" w:hint="default"/>
        <w:color w:val="448A99"/>
        <w:sz w:val="24"/>
      </w:rPr>
    </w:lvl>
    <w:lvl w:ilvl="1" w:tplc="83C4800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51679D"/>
    <w:multiLevelType w:val="hybridMultilevel"/>
    <w:tmpl w:val="5B0C7230"/>
    <w:lvl w:ilvl="0" w:tplc="24262884">
      <w:start w:val="1"/>
      <w:numFmt w:val="bullet"/>
      <w:pStyle w:val="Bulletlevel1"/>
      <w:lvlText w:val=""/>
      <w:lvlJc w:val="left"/>
      <w:pPr>
        <w:ind w:left="720" w:hanging="360"/>
      </w:pPr>
      <w:rPr>
        <w:rFonts w:ascii="Wingdings" w:hAnsi="Wingdings" w:hint="default"/>
        <w:color w:val="448A99"/>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2B5A11"/>
    <w:multiLevelType w:val="hybridMultilevel"/>
    <w:tmpl w:val="19486236"/>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D724E0"/>
    <w:multiLevelType w:val="hybridMultilevel"/>
    <w:tmpl w:val="B22CDA46"/>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5B5BDB"/>
    <w:multiLevelType w:val="hybridMultilevel"/>
    <w:tmpl w:val="7614389A"/>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B15D80"/>
    <w:multiLevelType w:val="hybridMultilevel"/>
    <w:tmpl w:val="8FEA87F4"/>
    <w:lvl w:ilvl="0" w:tplc="4E64DDF2">
      <w:start w:val="1"/>
      <w:numFmt w:val="bullet"/>
      <w:lvlText w:val=""/>
      <w:lvlJc w:val="left"/>
      <w:pPr>
        <w:ind w:left="720" w:hanging="360"/>
      </w:pPr>
      <w:rPr>
        <w:rFonts w:ascii="Wingdings" w:hAnsi="Wingdings" w:hint="default"/>
        <w:b/>
        <w:color w:val="448A99"/>
        <w:sz w:val="16"/>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2060DC"/>
    <w:multiLevelType w:val="hybridMultilevel"/>
    <w:tmpl w:val="4594CD00"/>
    <w:lvl w:ilvl="0" w:tplc="27DA37E6">
      <w:start w:val="1"/>
      <w:numFmt w:val="decimal"/>
      <w:lvlText w:val="%1)"/>
      <w:lvlJc w:val="left"/>
      <w:pPr>
        <w:ind w:left="360" w:hanging="360"/>
      </w:pPr>
      <w:rPr>
        <w:rFonts w:ascii="Century Gothic" w:hAnsi="Century Gothic"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0577CEB"/>
    <w:multiLevelType w:val="hybridMultilevel"/>
    <w:tmpl w:val="2B084D5C"/>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89004D"/>
    <w:multiLevelType w:val="hybridMultilevel"/>
    <w:tmpl w:val="82DA6BDA"/>
    <w:lvl w:ilvl="0" w:tplc="A8FC7314">
      <w:start w:val="1"/>
      <w:numFmt w:val="decimal"/>
      <w:lvlText w:val="%1)"/>
      <w:lvlJc w:val="left"/>
      <w:pPr>
        <w:ind w:left="720" w:hanging="360"/>
      </w:pPr>
      <w:rPr>
        <w:rFonts w:ascii="Century Gothic" w:hAnsi="Century Gothic"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9A675D"/>
    <w:multiLevelType w:val="hybridMultilevel"/>
    <w:tmpl w:val="2F423C1E"/>
    <w:lvl w:ilvl="0" w:tplc="4E64DDF2">
      <w:start w:val="1"/>
      <w:numFmt w:val="bullet"/>
      <w:lvlText w:val=""/>
      <w:lvlJc w:val="left"/>
      <w:pPr>
        <w:ind w:left="720" w:hanging="360"/>
      </w:pPr>
      <w:rPr>
        <w:rFonts w:ascii="Wingdings" w:hAnsi="Wingdings" w:hint="default"/>
        <w:b/>
        <w:color w:val="448A99"/>
        <w:sz w:val="16"/>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5B7008"/>
    <w:multiLevelType w:val="hybridMultilevel"/>
    <w:tmpl w:val="4EFA552C"/>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AF7A86"/>
    <w:multiLevelType w:val="hybridMultilevel"/>
    <w:tmpl w:val="8200A664"/>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E641E2"/>
    <w:multiLevelType w:val="hybridMultilevel"/>
    <w:tmpl w:val="67B6157E"/>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ED452D"/>
    <w:multiLevelType w:val="hybridMultilevel"/>
    <w:tmpl w:val="1C02D4C2"/>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F2084E"/>
    <w:multiLevelType w:val="hybridMultilevel"/>
    <w:tmpl w:val="C7B4BB4A"/>
    <w:lvl w:ilvl="0" w:tplc="E67EF412">
      <w:start w:val="1"/>
      <w:numFmt w:val="decimal"/>
      <w:lvlText w:val="%1)"/>
      <w:lvlJc w:val="left"/>
      <w:pPr>
        <w:ind w:left="360" w:hanging="360"/>
      </w:pPr>
      <w:rPr>
        <w:rFonts w:ascii="Century Gothic" w:hAnsi="Century Gothic"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5B15881"/>
    <w:multiLevelType w:val="hybridMultilevel"/>
    <w:tmpl w:val="3BB60380"/>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E34F9B"/>
    <w:multiLevelType w:val="hybridMultilevel"/>
    <w:tmpl w:val="816A29FE"/>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F46DC5"/>
    <w:multiLevelType w:val="hybridMultilevel"/>
    <w:tmpl w:val="C6FC6458"/>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7E16E6"/>
    <w:multiLevelType w:val="multilevel"/>
    <w:tmpl w:val="5ACA74AA"/>
    <w:lvl w:ilvl="0">
      <w:start w:val="1"/>
      <w:numFmt w:val="decimal"/>
      <w:pStyle w:val="HEADER001"/>
      <w:suff w:val="space"/>
      <w:lvlText w:val="%1"/>
      <w:lvlJc w:val="left"/>
      <w:pPr>
        <w:ind w:left="0" w:firstLine="0"/>
      </w:pPr>
      <w:rPr>
        <w:rFonts w:ascii="Britannic Bold" w:hAnsi="Britannic Bold" w:hint="default"/>
        <w:sz w:val="52"/>
      </w:rPr>
    </w:lvl>
    <w:lvl w:ilvl="1">
      <w:start w:val="1"/>
      <w:numFmt w:val="decimal"/>
      <w:pStyle w:val="HEADER002"/>
      <w:suff w:val="space"/>
      <w:lvlText w:val="%1.%2"/>
      <w:lvlJc w:val="left"/>
      <w:pPr>
        <w:ind w:left="0" w:firstLine="0"/>
      </w:pPr>
      <w:rPr>
        <w:rFonts w:hint="default"/>
        <w:color w:val="448A99"/>
      </w:rPr>
    </w:lvl>
    <w:lvl w:ilvl="2">
      <w:start w:val="1"/>
      <w:numFmt w:val="decimal"/>
      <w:pStyle w:val="Heading3"/>
      <w:suff w:val="space"/>
      <w:lvlText w:val="%1.%2.%3"/>
      <w:lvlJc w:val="left"/>
      <w:pPr>
        <w:ind w:left="450" w:firstLine="0"/>
      </w:pPr>
      <w:rPr>
        <w:rFonts w:hint="default"/>
      </w:rPr>
    </w:lvl>
    <w:lvl w:ilvl="3">
      <w:start w:val="1"/>
      <w:numFmt w:val="decimal"/>
      <w:pStyle w:val="HEADER004"/>
      <w:suff w:val="space"/>
      <w:lvlText w:val="%1.%2.%3.%4"/>
      <w:lvlJc w:val="left"/>
      <w:pPr>
        <w:ind w:left="0" w:firstLine="0"/>
      </w:pPr>
      <w:rPr>
        <w:rFonts w:hint="default"/>
      </w:rPr>
    </w:lvl>
    <w:lvl w:ilvl="4">
      <w:start w:val="1"/>
      <w:numFmt w:val="decimal"/>
      <w:pStyle w:val="HEADER005"/>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7" w15:restartNumberingAfterBreak="0">
    <w:nsid w:val="17EB4088"/>
    <w:multiLevelType w:val="hybridMultilevel"/>
    <w:tmpl w:val="A6A4957E"/>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C91B01"/>
    <w:multiLevelType w:val="hybridMultilevel"/>
    <w:tmpl w:val="3C76D084"/>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7C27BA"/>
    <w:multiLevelType w:val="hybridMultilevel"/>
    <w:tmpl w:val="74B481BC"/>
    <w:lvl w:ilvl="0" w:tplc="A8FC7314">
      <w:start w:val="1"/>
      <w:numFmt w:val="decimal"/>
      <w:lvlText w:val="%1)"/>
      <w:lvlJc w:val="left"/>
      <w:pPr>
        <w:ind w:left="720" w:hanging="360"/>
      </w:pPr>
      <w:rPr>
        <w:rFonts w:ascii="Century Gothic" w:hAnsi="Century Gothic"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9F4443"/>
    <w:multiLevelType w:val="hybridMultilevel"/>
    <w:tmpl w:val="F29A9EBE"/>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B73E2D"/>
    <w:multiLevelType w:val="hybridMultilevel"/>
    <w:tmpl w:val="F4D63D28"/>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DF86928"/>
    <w:multiLevelType w:val="hybridMultilevel"/>
    <w:tmpl w:val="E3BE9342"/>
    <w:lvl w:ilvl="0" w:tplc="A8FC7314">
      <w:start w:val="1"/>
      <w:numFmt w:val="decimal"/>
      <w:lvlText w:val="%1)"/>
      <w:lvlJc w:val="left"/>
      <w:pPr>
        <w:ind w:left="720" w:hanging="360"/>
      </w:pPr>
      <w:rPr>
        <w:rFonts w:ascii="Century Gothic" w:hAnsi="Century Gothic"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E1C4B12"/>
    <w:multiLevelType w:val="multilevel"/>
    <w:tmpl w:val="4B0220EA"/>
    <w:lvl w:ilvl="0">
      <w:start w:val="1"/>
      <w:numFmt w:val="decimal"/>
      <w:pStyle w:val="AppendixGHeading1"/>
      <w:suff w:val="space"/>
      <w:lvlText w:val="G.%1"/>
      <w:lvlJc w:val="left"/>
      <w:pPr>
        <w:ind w:left="0" w:firstLine="0"/>
      </w:pPr>
      <w:rPr>
        <w:rFonts w:hint="default"/>
        <w:color w:val="448A99"/>
      </w:rPr>
    </w:lvl>
    <w:lvl w:ilvl="1">
      <w:start w:val="1"/>
      <w:numFmt w:val="decimal"/>
      <w:pStyle w:val="AppendixGHeading2"/>
      <w:suff w:val="space"/>
      <w:lvlText w:val="G.%1.%2"/>
      <w:lvlJc w:val="left"/>
      <w:pPr>
        <w:ind w:left="0" w:firstLine="0"/>
      </w:pPr>
      <w:rPr>
        <w:rFonts w:hint="default"/>
      </w:rPr>
    </w:lvl>
    <w:lvl w:ilvl="2">
      <w:start w:val="1"/>
      <w:numFmt w:val="decimal"/>
      <w:pStyle w:val="AppendixGHeading3"/>
      <w:suff w:val="space"/>
      <w:lvlText w:val="G.%1.%2.%3"/>
      <w:lvlJc w:val="left"/>
      <w:pPr>
        <w:ind w:left="0" w:firstLine="0"/>
      </w:pPr>
      <w:rPr>
        <w:rFonts w:hint="default"/>
      </w:rPr>
    </w:lvl>
    <w:lvl w:ilvl="3">
      <w:start w:val="1"/>
      <w:numFmt w:val="decimal"/>
      <w:pStyle w:val="AppendixGHeading4"/>
      <w:suff w:val="space"/>
      <w:lvlText w:val="G.%1.%2.%3.%4"/>
      <w:lvlJc w:val="left"/>
      <w:pPr>
        <w:ind w:left="0" w:firstLine="0"/>
      </w:pPr>
      <w:rPr>
        <w:rFonts w:hint="default"/>
      </w:rPr>
    </w:lvl>
    <w:lvl w:ilvl="4">
      <w:start w:val="1"/>
      <w:numFmt w:val="decimal"/>
      <w:pStyle w:val="AppendixGHeading5"/>
      <w:suff w:val="space"/>
      <w:lvlText w:val="G.%1.%2.%3.%4.%5"/>
      <w:lvlJc w:val="left"/>
      <w:pPr>
        <w:ind w:left="0" w:firstLine="0"/>
      </w:pPr>
      <w:rPr>
        <w:rFonts w:hint="default"/>
      </w:rPr>
    </w:lvl>
    <w:lvl w:ilvl="5">
      <w:start w:val="1"/>
      <w:numFmt w:val="decimal"/>
      <w:pStyle w:val="AppendixGHeading6"/>
      <w:suff w:val="space"/>
      <w:lvlText w:val="G.%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EDE64E1"/>
    <w:multiLevelType w:val="multilevel"/>
    <w:tmpl w:val="A0427504"/>
    <w:lvl w:ilvl="0">
      <w:start w:val="1"/>
      <w:numFmt w:val="decimal"/>
      <w:pStyle w:val="AppendixCHeading1"/>
      <w:suff w:val="space"/>
      <w:lvlText w:val="C.%1"/>
      <w:lvlJc w:val="left"/>
      <w:pPr>
        <w:ind w:left="0" w:firstLine="0"/>
      </w:pPr>
      <w:rPr>
        <w:rFonts w:hint="default"/>
        <w:color w:val="448A99"/>
      </w:rPr>
    </w:lvl>
    <w:lvl w:ilvl="1">
      <w:start w:val="1"/>
      <w:numFmt w:val="decimal"/>
      <w:pStyle w:val="AppendixCHeading2"/>
      <w:suff w:val="space"/>
      <w:lvlText w:val="C.%1.%2"/>
      <w:lvlJc w:val="left"/>
      <w:pPr>
        <w:ind w:left="0" w:firstLine="0"/>
      </w:pPr>
      <w:rPr>
        <w:rFonts w:hint="default"/>
      </w:rPr>
    </w:lvl>
    <w:lvl w:ilvl="2">
      <w:start w:val="1"/>
      <w:numFmt w:val="decimal"/>
      <w:pStyle w:val="AppendixCHeading3"/>
      <w:suff w:val="space"/>
      <w:lvlText w:val="C.%1.%2.%3"/>
      <w:lvlJc w:val="left"/>
      <w:pPr>
        <w:ind w:left="0" w:firstLine="0"/>
      </w:pPr>
      <w:rPr>
        <w:rFonts w:hint="default"/>
        <w:b/>
        <w:i/>
      </w:rPr>
    </w:lvl>
    <w:lvl w:ilvl="3">
      <w:start w:val="1"/>
      <w:numFmt w:val="decimal"/>
      <w:pStyle w:val="AppendixCHeading4"/>
      <w:suff w:val="space"/>
      <w:lvlText w:val="C.%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0342B0B"/>
    <w:multiLevelType w:val="hybridMultilevel"/>
    <w:tmpl w:val="04D24D9A"/>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05023E"/>
    <w:multiLevelType w:val="hybridMultilevel"/>
    <w:tmpl w:val="E08265AC"/>
    <w:lvl w:ilvl="0" w:tplc="71C2AA7A">
      <w:start w:val="1"/>
      <w:numFmt w:val="decimal"/>
      <w:lvlText w:val="%1)"/>
      <w:lvlJc w:val="left"/>
      <w:pPr>
        <w:ind w:left="5760" w:hanging="360"/>
      </w:pPr>
      <w:rPr>
        <w:rFonts w:ascii="Century Gothic" w:hAnsi="Century Gothic" w:hint="default"/>
        <w:b/>
        <w:sz w:val="20"/>
      </w:rPr>
    </w:lvl>
    <w:lvl w:ilvl="1" w:tplc="F8B49A2E">
      <w:start w:val="1"/>
      <w:numFmt w:val="lowerLetter"/>
      <w:lvlText w:val="%2."/>
      <w:lvlJc w:val="left"/>
      <w:pPr>
        <w:ind w:left="1440" w:hanging="360"/>
      </w:pPr>
      <w:rPr>
        <w:rFonts w:ascii="Century Gothic" w:hAnsi="Century Gothic" w:hint="default"/>
        <w:b/>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1917E91"/>
    <w:multiLevelType w:val="hybridMultilevel"/>
    <w:tmpl w:val="B0206626"/>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154831"/>
    <w:multiLevelType w:val="hybridMultilevel"/>
    <w:tmpl w:val="725A6D80"/>
    <w:lvl w:ilvl="0" w:tplc="349A6C72">
      <w:start w:val="1"/>
      <w:numFmt w:val="bullet"/>
      <w:lvlText w:val=""/>
      <w:lvlJc w:val="left"/>
      <w:pPr>
        <w:ind w:left="720" w:hanging="360"/>
      </w:pPr>
      <w:rPr>
        <w:rFonts w:ascii="Wingdings" w:hAnsi="Wingdings" w:hint="default"/>
        <w:b/>
        <w:color w:val="448A99"/>
        <w:sz w:val="16"/>
        <w:u w:color="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2252997"/>
    <w:multiLevelType w:val="multilevel"/>
    <w:tmpl w:val="FBCC7496"/>
    <w:lvl w:ilvl="0">
      <w:start w:val="1"/>
      <w:numFmt w:val="decimal"/>
      <w:lvlText w:val="%1."/>
      <w:lvlJc w:val="left"/>
      <w:pPr>
        <w:ind w:left="725" w:hanging="360"/>
      </w:pPr>
      <w:rPr>
        <w:rFonts w:hint="default"/>
        <w:b/>
      </w:rPr>
    </w:lvl>
    <w:lvl w:ilvl="1">
      <w:start w:val="1"/>
      <w:numFmt w:val="lowerLetter"/>
      <w:lvlRestart w:val="0"/>
      <w:lvlText w:val="%2."/>
      <w:lvlJc w:val="left"/>
      <w:pPr>
        <w:ind w:left="1445" w:hanging="360"/>
      </w:pPr>
      <w:rPr>
        <w:rFonts w:hint="default"/>
      </w:rPr>
    </w:lvl>
    <w:lvl w:ilvl="2">
      <w:start w:val="1"/>
      <w:numFmt w:val="lowerRoman"/>
      <w:lvlText w:val="%3."/>
      <w:lvlJc w:val="right"/>
      <w:pPr>
        <w:ind w:left="2165" w:hanging="180"/>
      </w:pPr>
      <w:rPr>
        <w:rFonts w:hint="default"/>
      </w:rPr>
    </w:lvl>
    <w:lvl w:ilvl="3">
      <w:start w:val="1"/>
      <w:numFmt w:val="decimal"/>
      <w:lvlText w:val="%4."/>
      <w:lvlJc w:val="left"/>
      <w:pPr>
        <w:ind w:left="2885" w:hanging="360"/>
      </w:pPr>
      <w:rPr>
        <w:rFonts w:hint="default"/>
      </w:rPr>
    </w:lvl>
    <w:lvl w:ilvl="4">
      <w:start w:val="1"/>
      <w:numFmt w:val="lowerLetter"/>
      <w:lvlText w:val="%5."/>
      <w:lvlJc w:val="left"/>
      <w:pPr>
        <w:ind w:left="3605" w:hanging="360"/>
      </w:pPr>
      <w:rPr>
        <w:rFonts w:hint="default"/>
        <w:b w:val="0"/>
      </w:rPr>
    </w:lvl>
    <w:lvl w:ilvl="5">
      <w:start w:val="1"/>
      <w:numFmt w:val="lowerRoman"/>
      <w:lvlText w:val="%6."/>
      <w:lvlJc w:val="right"/>
      <w:pPr>
        <w:ind w:left="4325" w:hanging="180"/>
      </w:pPr>
      <w:rPr>
        <w:rFonts w:hint="default"/>
      </w:rPr>
    </w:lvl>
    <w:lvl w:ilvl="6">
      <w:start w:val="1"/>
      <w:numFmt w:val="decimal"/>
      <w:lvlText w:val="%7."/>
      <w:lvlJc w:val="left"/>
      <w:pPr>
        <w:ind w:left="5045" w:hanging="360"/>
      </w:pPr>
      <w:rPr>
        <w:rFonts w:hint="default"/>
      </w:rPr>
    </w:lvl>
    <w:lvl w:ilvl="7">
      <w:start w:val="1"/>
      <w:numFmt w:val="lowerLetter"/>
      <w:lvlText w:val="%8."/>
      <w:lvlJc w:val="left"/>
      <w:pPr>
        <w:ind w:left="5765" w:hanging="360"/>
      </w:pPr>
      <w:rPr>
        <w:rFonts w:hint="default"/>
      </w:rPr>
    </w:lvl>
    <w:lvl w:ilvl="8">
      <w:start w:val="1"/>
      <w:numFmt w:val="lowerRoman"/>
      <w:lvlText w:val="%9."/>
      <w:lvlJc w:val="right"/>
      <w:pPr>
        <w:ind w:left="6485" w:hanging="180"/>
      </w:pPr>
      <w:rPr>
        <w:rFonts w:hint="default"/>
      </w:rPr>
    </w:lvl>
  </w:abstractNum>
  <w:abstractNum w:abstractNumId="50" w15:restartNumberingAfterBreak="0">
    <w:nsid w:val="229F56D7"/>
    <w:multiLevelType w:val="hybridMultilevel"/>
    <w:tmpl w:val="695A3EA4"/>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1D3830"/>
    <w:multiLevelType w:val="hybridMultilevel"/>
    <w:tmpl w:val="8D2C7D12"/>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9F2ABB"/>
    <w:multiLevelType w:val="hybridMultilevel"/>
    <w:tmpl w:val="F3221416"/>
    <w:lvl w:ilvl="0" w:tplc="4E64DDF2">
      <w:start w:val="1"/>
      <w:numFmt w:val="bullet"/>
      <w:lvlText w:val=""/>
      <w:lvlJc w:val="left"/>
      <w:pPr>
        <w:ind w:left="720" w:hanging="360"/>
      </w:pPr>
      <w:rPr>
        <w:rFonts w:ascii="Wingdings" w:hAnsi="Wingdings" w:hint="default"/>
        <w:b/>
        <w:color w:val="448A99"/>
        <w:sz w:val="16"/>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97599A"/>
    <w:multiLevelType w:val="hybridMultilevel"/>
    <w:tmpl w:val="45F42E78"/>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CD4D0A"/>
    <w:multiLevelType w:val="hybridMultilevel"/>
    <w:tmpl w:val="F7947FD0"/>
    <w:lvl w:ilvl="0" w:tplc="0409000F">
      <w:start w:val="1"/>
      <w:numFmt w:val="decimal"/>
      <w:lvlText w:val="%1."/>
      <w:lvlJc w:val="left"/>
      <w:pPr>
        <w:ind w:left="720" w:hanging="360"/>
      </w:pPr>
    </w:lvl>
    <w:lvl w:ilvl="1" w:tplc="F552DD2C">
      <w:start w:val="1"/>
      <w:numFmt w:val="lowerLetter"/>
      <w:lvlText w:val="%2."/>
      <w:lvlJc w:val="left"/>
      <w:pPr>
        <w:ind w:left="1440" w:hanging="360"/>
      </w:pPr>
      <w:rPr>
        <w:rFonts w:ascii="Century Gothic" w:hAnsi="Century Gothic"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7C14810"/>
    <w:multiLevelType w:val="hybridMultilevel"/>
    <w:tmpl w:val="94B0AAB8"/>
    <w:lvl w:ilvl="0" w:tplc="A8FC7314">
      <w:start w:val="1"/>
      <w:numFmt w:val="decimal"/>
      <w:lvlText w:val="%1)"/>
      <w:lvlJc w:val="left"/>
      <w:pPr>
        <w:ind w:left="720" w:hanging="360"/>
      </w:pPr>
      <w:rPr>
        <w:rFonts w:ascii="Century Gothic" w:hAnsi="Century Gothic"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1865F0"/>
    <w:multiLevelType w:val="hybridMultilevel"/>
    <w:tmpl w:val="E17CDDC2"/>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85A37A8"/>
    <w:multiLevelType w:val="hybridMultilevel"/>
    <w:tmpl w:val="AB30CB1A"/>
    <w:lvl w:ilvl="0" w:tplc="59462CFA">
      <w:start w:val="1"/>
      <w:numFmt w:val="bullet"/>
      <w:lvlText w:val=""/>
      <w:lvlJc w:val="left"/>
      <w:pPr>
        <w:ind w:left="720" w:hanging="360"/>
      </w:pPr>
      <w:rPr>
        <w:rFonts w:ascii="Wingdings" w:hAnsi="Wingdings" w:hint="default"/>
        <w:color w:val="448A99"/>
        <w:sz w:val="24"/>
      </w:rPr>
    </w:lvl>
    <w:lvl w:ilvl="1" w:tplc="83C4800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807795"/>
    <w:multiLevelType w:val="hybridMultilevel"/>
    <w:tmpl w:val="DA4C39C0"/>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4F7A77"/>
    <w:multiLevelType w:val="hybridMultilevel"/>
    <w:tmpl w:val="E356F66C"/>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696D7B"/>
    <w:multiLevelType w:val="hybridMultilevel"/>
    <w:tmpl w:val="13CE364C"/>
    <w:lvl w:ilvl="0" w:tplc="71C2AA7A">
      <w:start w:val="1"/>
      <w:numFmt w:val="decimal"/>
      <w:lvlText w:val="%1)"/>
      <w:lvlJc w:val="left"/>
      <w:pPr>
        <w:ind w:left="5760" w:hanging="360"/>
      </w:pPr>
      <w:rPr>
        <w:rFonts w:ascii="Century Gothic" w:hAnsi="Century Gothic" w:hint="default"/>
        <w:b/>
        <w:sz w:val="20"/>
      </w:rPr>
    </w:lvl>
    <w:lvl w:ilvl="1" w:tplc="5BC043C8">
      <w:start w:val="1"/>
      <w:numFmt w:val="lowerLetter"/>
      <w:lvlText w:val="%2."/>
      <w:lvlJc w:val="left"/>
      <w:pPr>
        <w:ind w:left="1440" w:hanging="360"/>
      </w:pPr>
      <w:rPr>
        <w:rFonts w:ascii="Century Gothic" w:hAnsi="Century Gothic" w:hint="default"/>
        <w:b/>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AC74EDA"/>
    <w:multiLevelType w:val="hybridMultilevel"/>
    <w:tmpl w:val="73C61482"/>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197E9D"/>
    <w:multiLevelType w:val="hybridMultilevel"/>
    <w:tmpl w:val="3FA6323A"/>
    <w:lvl w:ilvl="0" w:tplc="A8FC7314">
      <w:start w:val="1"/>
      <w:numFmt w:val="decimal"/>
      <w:lvlText w:val="%1)"/>
      <w:lvlJc w:val="left"/>
      <w:pPr>
        <w:ind w:left="720" w:hanging="360"/>
      </w:pPr>
      <w:rPr>
        <w:rFonts w:ascii="Century Gothic" w:hAnsi="Century Gothic"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1E4078"/>
    <w:multiLevelType w:val="hybridMultilevel"/>
    <w:tmpl w:val="E2F8063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E6C342B"/>
    <w:multiLevelType w:val="hybridMultilevel"/>
    <w:tmpl w:val="0DD2AFB0"/>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9245B1"/>
    <w:multiLevelType w:val="hybridMultilevel"/>
    <w:tmpl w:val="18086FAA"/>
    <w:lvl w:ilvl="0" w:tplc="23FE3AE8">
      <w:start w:val="1"/>
      <w:numFmt w:val="lowerLetter"/>
      <w:lvlText w:val="%1."/>
      <w:lvlJc w:val="left"/>
      <w:pPr>
        <w:ind w:left="720" w:hanging="360"/>
      </w:pPr>
      <w:rPr>
        <w:rFonts w:hint="default"/>
        <w:b w:val="0"/>
      </w:rPr>
    </w:lvl>
    <w:lvl w:ilvl="1" w:tplc="A96C02E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07A7556"/>
    <w:multiLevelType w:val="hybridMultilevel"/>
    <w:tmpl w:val="4642C6D0"/>
    <w:lvl w:ilvl="0" w:tplc="0AD26852">
      <w:start w:val="1"/>
      <w:numFmt w:val="bullet"/>
      <w:lvlText w:val=""/>
      <w:lvlJc w:val="left"/>
      <w:pPr>
        <w:ind w:left="360" w:hanging="360"/>
      </w:pPr>
      <w:rPr>
        <w:rFonts w:ascii="Symbol" w:hAnsi="Symbol" w:hint="default"/>
        <w:color w:val="auto"/>
        <w:sz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2751A2"/>
    <w:multiLevelType w:val="hybridMultilevel"/>
    <w:tmpl w:val="8F5AF890"/>
    <w:lvl w:ilvl="0" w:tplc="B12ED498">
      <w:start w:val="1"/>
      <w:numFmt w:val="bullet"/>
      <w:pStyle w:val="Bullet1"/>
      <w:lvlText w:val=""/>
      <w:lvlJc w:val="left"/>
      <w:pPr>
        <w:tabs>
          <w:tab w:val="num" w:pos="720"/>
        </w:tabs>
        <w:ind w:left="720" w:hanging="360"/>
      </w:pPr>
      <w:rPr>
        <w:rFonts w:ascii="Symbol" w:hAnsi="Symbol" w:hint="default"/>
        <w:b/>
        <w:i w:val="0"/>
        <w:color w:val="1E8166"/>
        <w:spacing w:val="0"/>
        <w:w w:val="100"/>
        <w:kern w:val="16"/>
        <w:position w:val="0"/>
        <w:sz w:val="20"/>
        <w:szCs w:val="28"/>
      </w:rPr>
    </w:lvl>
    <w:lvl w:ilvl="1" w:tplc="886C2C0E">
      <w:start w:val="1"/>
      <w:numFmt w:val="bullet"/>
      <w:lvlText w:val="o"/>
      <w:lvlJc w:val="left"/>
      <w:pPr>
        <w:tabs>
          <w:tab w:val="num" w:pos="360"/>
        </w:tabs>
        <w:ind w:left="360" w:hanging="360"/>
      </w:pPr>
      <w:rPr>
        <w:rFonts w:ascii="Courier New" w:hAnsi="Courier New" w:cs="Courier New" w:hint="default"/>
      </w:rPr>
    </w:lvl>
    <w:lvl w:ilvl="2" w:tplc="5C128F62" w:tentative="1">
      <w:start w:val="1"/>
      <w:numFmt w:val="bullet"/>
      <w:lvlText w:val=""/>
      <w:lvlJc w:val="left"/>
      <w:pPr>
        <w:tabs>
          <w:tab w:val="num" w:pos="1080"/>
        </w:tabs>
        <w:ind w:left="1080" w:hanging="360"/>
      </w:pPr>
      <w:rPr>
        <w:rFonts w:ascii="Wingdings" w:hAnsi="Wingdings" w:hint="default"/>
      </w:rPr>
    </w:lvl>
    <w:lvl w:ilvl="3" w:tplc="4EE28C62" w:tentative="1">
      <w:start w:val="1"/>
      <w:numFmt w:val="bullet"/>
      <w:lvlText w:val=""/>
      <w:lvlJc w:val="left"/>
      <w:pPr>
        <w:tabs>
          <w:tab w:val="num" w:pos="1800"/>
        </w:tabs>
        <w:ind w:left="1800" w:hanging="360"/>
      </w:pPr>
      <w:rPr>
        <w:rFonts w:ascii="Symbol" w:hAnsi="Symbol" w:hint="default"/>
      </w:rPr>
    </w:lvl>
    <w:lvl w:ilvl="4" w:tplc="EECA5A82" w:tentative="1">
      <w:start w:val="1"/>
      <w:numFmt w:val="bullet"/>
      <w:lvlText w:val="o"/>
      <w:lvlJc w:val="left"/>
      <w:pPr>
        <w:tabs>
          <w:tab w:val="num" w:pos="2520"/>
        </w:tabs>
        <w:ind w:left="2520" w:hanging="360"/>
      </w:pPr>
      <w:rPr>
        <w:rFonts w:ascii="Courier New" w:hAnsi="Courier New" w:cs="Courier New" w:hint="default"/>
      </w:rPr>
    </w:lvl>
    <w:lvl w:ilvl="5" w:tplc="BC08F358" w:tentative="1">
      <w:start w:val="1"/>
      <w:numFmt w:val="bullet"/>
      <w:lvlText w:val=""/>
      <w:lvlJc w:val="left"/>
      <w:pPr>
        <w:tabs>
          <w:tab w:val="num" w:pos="3240"/>
        </w:tabs>
        <w:ind w:left="3240" w:hanging="360"/>
      </w:pPr>
      <w:rPr>
        <w:rFonts w:ascii="Wingdings" w:hAnsi="Wingdings" w:hint="default"/>
      </w:rPr>
    </w:lvl>
    <w:lvl w:ilvl="6" w:tplc="20E40DA6" w:tentative="1">
      <w:start w:val="1"/>
      <w:numFmt w:val="bullet"/>
      <w:lvlText w:val=""/>
      <w:lvlJc w:val="left"/>
      <w:pPr>
        <w:tabs>
          <w:tab w:val="num" w:pos="3960"/>
        </w:tabs>
        <w:ind w:left="3960" w:hanging="360"/>
      </w:pPr>
      <w:rPr>
        <w:rFonts w:ascii="Symbol" w:hAnsi="Symbol" w:hint="default"/>
      </w:rPr>
    </w:lvl>
    <w:lvl w:ilvl="7" w:tplc="F1A61082" w:tentative="1">
      <w:start w:val="1"/>
      <w:numFmt w:val="bullet"/>
      <w:lvlText w:val="o"/>
      <w:lvlJc w:val="left"/>
      <w:pPr>
        <w:tabs>
          <w:tab w:val="num" w:pos="4680"/>
        </w:tabs>
        <w:ind w:left="4680" w:hanging="360"/>
      </w:pPr>
      <w:rPr>
        <w:rFonts w:ascii="Courier New" w:hAnsi="Courier New" w:cs="Courier New" w:hint="default"/>
      </w:rPr>
    </w:lvl>
    <w:lvl w:ilvl="8" w:tplc="94340B1A" w:tentative="1">
      <w:start w:val="1"/>
      <w:numFmt w:val="bullet"/>
      <w:lvlText w:val=""/>
      <w:lvlJc w:val="left"/>
      <w:pPr>
        <w:tabs>
          <w:tab w:val="num" w:pos="5400"/>
        </w:tabs>
        <w:ind w:left="5400" w:hanging="360"/>
      </w:pPr>
      <w:rPr>
        <w:rFonts w:ascii="Wingdings" w:hAnsi="Wingdings" w:hint="default"/>
      </w:rPr>
    </w:lvl>
  </w:abstractNum>
  <w:abstractNum w:abstractNumId="68" w15:restartNumberingAfterBreak="0">
    <w:nsid w:val="333A71EE"/>
    <w:multiLevelType w:val="hybridMultilevel"/>
    <w:tmpl w:val="2B88561C"/>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F847B1"/>
    <w:multiLevelType w:val="hybridMultilevel"/>
    <w:tmpl w:val="482C3524"/>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5180767"/>
    <w:multiLevelType w:val="hybridMultilevel"/>
    <w:tmpl w:val="54C47362"/>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60F1546"/>
    <w:multiLevelType w:val="hybridMultilevel"/>
    <w:tmpl w:val="AE3A7B00"/>
    <w:styleLink w:val="Appendix2"/>
    <w:lvl w:ilvl="0" w:tplc="0AD26852">
      <w:start w:val="1"/>
      <w:numFmt w:val="bullet"/>
      <w:lvlText w:val=""/>
      <w:lvlJc w:val="left"/>
      <w:pPr>
        <w:ind w:left="360" w:hanging="360"/>
      </w:pPr>
      <w:rPr>
        <w:rFonts w:ascii="Symbol" w:hAnsi="Symbol" w:hint="default"/>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65059FB"/>
    <w:multiLevelType w:val="hybridMultilevel"/>
    <w:tmpl w:val="905EDF1C"/>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F17E9A"/>
    <w:multiLevelType w:val="multilevel"/>
    <w:tmpl w:val="E2020054"/>
    <w:lvl w:ilvl="0">
      <w:start w:val="1"/>
      <w:numFmt w:val="decimal"/>
      <w:pStyle w:val="AppendixBHeading1"/>
      <w:suff w:val="space"/>
      <w:lvlText w:val="B.%1"/>
      <w:lvlJc w:val="left"/>
      <w:pPr>
        <w:ind w:left="0" w:firstLine="0"/>
      </w:pPr>
      <w:rPr>
        <w:rFonts w:hint="default"/>
        <w:color w:val="448A99"/>
      </w:rPr>
    </w:lvl>
    <w:lvl w:ilvl="1">
      <w:start w:val="1"/>
      <w:numFmt w:val="decimal"/>
      <w:pStyle w:val="AppendixBHeading2"/>
      <w:suff w:val="space"/>
      <w:lvlText w:val="B.%1.%2"/>
      <w:lvlJc w:val="left"/>
      <w:pPr>
        <w:ind w:left="0" w:firstLine="0"/>
      </w:pPr>
      <w:rPr>
        <w:rFonts w:hint="default"/>
      </w:rPr>
    </w:lvl>
    <w:lvl w:ilvl="2">
      <w:start w:val="1"/>
      <w:numFmt w:val="decimal"/>
      <w:pStyle w:val="AppendixBHeading3"/>
      <w:suff w:val="space"/>
      <w:lvlText w:val="B.%1.%2.%3"/>
      <w:lvlJc w:val="left"/>
      <w:pPr>
        <w:ind w:left="0" w:firstLine="0"/>
      </w:pPr>
      <w:rPr>
        <w:rFonts w:hint="default"/>
      </w:rPr>
    </w:lvl>
    <w:lvl w:ilvl="3">
      <w:start w:val="1"/>
      <w:numFmt w:val="decimal"/>
      <w:pStyle w:val="AppendixBHeading4"/>
      <w:suff w:val="space"/>
      <w:lvlText w:val="B.%1.%2.%3.%4"/>
      <w:lvlJc w:val="left"/>
      <w:pPr>
        <w:ind w:left="0" w:firstLine="0"/>
      </w:pPr>
      <w:rPr>
        <w:rFonts w:hint="default"/>
      </w:rPr>
    </w:lvl>
    <w:lvl w:ilvl="4">
      <w:start w:val="1"/>
      <w:numFmt w:val="decimal"/>
      <w:pStyle w:val="AppendixBHeading5"/>
      <w:suff w:val="space"/>
      <w:lvlText w:val="B.%1.%2.%3.%4.%5"/>
      <w:lvlJc w:val="left"/>
      <w:pPr>
        <w:ind w:left="0" w:firstLine="0"/>
      </w:pPr>
      <w:rPr>
        <w:rFonts w:hint="default"/>
      </w:rPr>
    </w:lvl>
    <w:lvl w:ilvl="5">
      <w:start w:val="1"/>
      <w:numFmt w:val="decimal"/>
      <w:pStyle w:val="AppendixBHeading6"/>
      <w:suff w:val="space"/>
      <w:lvlText w:val="B.%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398679C3"/>
    <w:multiLevelType w:val="hybridMultilevel"/>
    <w:tmpl w:val="25BCE88C"/>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9FB23E7"/>
    <w:multiLevelType w:val="hybridMultilevel"/>
    <w:tmpl w:val="0F28CDB0"/>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254B6E"/>
    <w:multiLevelType w:val="hybridMultilevel"/>
    <w:tmpl w:val="0F98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223C6F"/>
    <w:multiLevelType w:val="hybridMultilevel"/>
    <w:tmpl w:val="817AA562"/>
    <w:lvl w:ilvl="0" w:tplc="349A6C72">
      <w:start w:val="1"/>
      <w:numFmt w:val="bullet"/>
      <w:lvlText w:val=""/>
      <w:lvlJc w:val="left"/>
      <w:pPr>
        <w:ind w:left="720" w:hanging="360"/>
      </w:pPr>
      <w:rPr>
        <w:rFonts w:ascii="Wingdings" w:hAnsi="Wingdings" w:hint="default"/>
        <w:b/>
        <w:color w:val="448A99"/>
        <w:sz w:val="16"/>
        <w:u w:color="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A74D7"/>
    <w:multiLevelType w:val="hybridMultilevel"/>
    <w:tmpl w:val="5BDC5A9C"/>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F97D65"/>
    <w:multiLevelType w:val="hybridMultilevel"/>
    <w:tmpl w:val="C61CD5A0"/>
    <w:lvl w:ilvl="0" w:tplc="0AD26852">
      <w:start w:val="1"/>
      <w:numFmt w:val="bullet"/>
      <w:lvlText w:val=""/>
      <w:lvlJc w:val="left"/>
      <w:pPr>
        <w:ind w:left="720" w:hanging="360"/>
      </w:pPr>
      <w:rPr>
        <w:rFonts w:ascii="Symbol" w:hAnsi="Symbol" w:hint="default"/>
        <w:color w:val="auto"/>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3D0C2759"/>
    <w:multiLevelType w:val="hybridMultilevel"/>
    <w:tmpl w:val="1D6E5F32"/>
    <w:lvl w:ilvl="0" w:tplc="6F90433C">
      <w:start w:val="1"/>
      <w:numFmt w:val="decimal"/>
      <w:lvlText w:val="%1)"/>
      <w:lvlJc w:val="left"/>
      <w:pPr>
        <w:ind w:left="720" w:hanging="360"/>
      </w:pPr>
      <w:rPr>
        <w:rFonts w:ascii="Century Gothic" w:hAnsi="Century Gothic"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D7736EA"/>
    <w:multiLevelType w:val="hybridMultilevel"/>
    <w:tmpl w:val="E194AD4C"/>
    <w:lvl w:ilvl="0" w:tplc="04090019">
      <w:start w:val="1"/>
      <w:numFmt w:val="lowerLetter"/>
      <w:lvlText w:val="%1."/>
      <w:lvlJc w:val="left"/>
      <w:pPr>
        <w:ind w:left="720" w:hanging="360"/>
      </w:pPr>
      <w:rPr>
        <w:rFonts w:hint="default"/>
        <w:b w:val="0"/>
      </w:rPr>
    </w:lvl>
    <w:lvl w:ilvl="1" w:tplc="E62A5C16">
      <w:start w:val="1"/>
      <w:numFmt w:val="lowerLetter"/>
      <w:lvlText w:val="%2."/>
      <w:lvlJc w:val="left"/>
      <w:pPr>
        <w:ind w:left="1440" w:hanging="360"/>
      </w:pPr>
      <w:rPr>
        <w:b w:val="0"/>
      </w:rPr>
    </w:lvl>
    <w:lvl w:ilvl="2" w:tplc="4AF2AA7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DF94C3A"/>
    <w:multiLevelType w:val="hybridMultilevel"/>
    <w:tmpl w:val="D1B007FA"/>
    <w:lvl w:ilvl="0" w:tplc="5880C3AC">
      <w:start w:val="1"/>
      <w:numFmt w:val="decimal"/>
      <w:lvlText w:val="%1)"/>
      <w:lvlJc w:val="left"/>
      <w:pPr>
        <w:ind w:left="720" w:hanging="360"/>
      </w:pPr>
      <w:rPr>
        <w:rFonts w:ascii="Century Gothic" w:hAnsi="Century Gothic"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F08623A"/>
    <w:multiLevelType w:val="hybridMultilevel"/>
    <w:tmpl w:val="5B10EDA0"/>
    <w:lvl w:ilvl="0" w:tplc="DCB24D12">
      <w:start w:val="1"/>
      <w:numFmt w:val="decimal"/>
      <w:lvlText w:val="%1)"/>
      <w:lvlJc w:val="left"/>
      <w:pPr>
        <w:ind w:left="720" w:hanging="360"/>
      </w:pPr>
      <w:rPr>
        <w:rFonts w:ascii="Century Gothic" w:hAnsi="Century Gothic"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FC657E3"/>
    <w:multiLevelType w:val="hybridMultilevel"/>
    <w:tmpl w:val="8806C636"/>
    <w:lvl w:ilvl="0" w:tplc="8CA291F6">
      <w:start w:val="1"/>
      <w:numFmt w:val="bullet"/>
      <w:lvlText w:val=""/>
      <w:lvlJc w:val="left"/>
      <w:pPr>
        <w:ind w:left="720" w:hanging="360"/>
      </w:pPr>
      <w:rPr>
        <w:rFonts w:ascii="Symbol" w:hAnsi="Symbol" w:hint="default"/>
        <w:b w:val="0"/>
        <w:sz w:val="16"/>
      </w:rPr>
    </w:lvl>
    <w:lvl w:ilvl="1" w:tplc="04090019">
      <w:start w:val="1"/>
      <w:numFmt w:val="lowerLetter"/>
      <w:lvlText w:val="%2."/>
      <w:lvlJc w:val="left"/>
      <w:pPr>
        <w:ind w:left="1440" w:hanging="360"/>
      </w:pPr>
    </w:lvl>
    <w:lvl w:ilvl="2" w:tplc="4AF2AA7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FF85D06"/>
    <w:multiLevelType w:val="hybridMultilevel"/>
    <w:tmpl w:val="FCA0104E"/>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053039D"/>
    <w:multiLevelType w:val="hybridMultilevel"/>
    <w:tmpl w:val="887443D2"/>
    <w:lvl w:ilvl="0" w:tplc="50CAB6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26847A3"/>
    <w:multiLevelType w:val="hybridMultilevel"/>
    <w:tmpl w:val="E3EEE6CC"/>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262387"/>
    <w:multiLevelType w:val="hybridMultilevel"/>
    <w:tmpl w:val="42DA0C4A"/>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4430A0"/>
    <w:multiLevelType w:val="hybridMultilevel"/>
    <w:tmpl w:val="547ED6C2"/>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66008AB"/>
    <w:multiLevelType w:val="hybridMultilevel"/>
    <w:tmpl w:val="768EC772"/>
    <w:lvl w:ilvl="0" w:tplc="A8FC7314">
      <w:start w:val="1"/>
      <w:numFmt w:val="decimal"/>
      <w:lvlText w:val="%1)"/>
      <w:lvlJc w:val="left"/>
      <w:pPr>
        <w:ind w:left="720" w:hanging="360"/>
      </w:pPr>
      <w:rPr>
        <w:rFonts w:ascii="Century Gothic" w:hAnsi="Century Gothic"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6735E63"/>
    <w:multiLevelType w:val="hybridMultilevel"/>
    <w:tmpl w:val="7E3066DE"/>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78B6D80"/>
    <w:multiLevelType w:val="hybridMultilevel"/>
    <w:tmpl w:val="4C6AFC68"/>
    <w:lvl w:ilvl="0" w:tplc="4E64DDF2">
      <w:start w:val="1"/>
      <w:numFmt w:val="bullet"/>
      <w:lvlText w:val=""/>
      <w:lvlJc w:val="left"/>
      <w:pPr>
        <w:ind w:left="720" w:hanging="360"/>
      </w:pPr>
      <w:rPr>
        <w:rFonts w:ascii="Wingdings" w:hAnsi="Wingdings" w:hint="default"/>
        <w:b/>
        <w:color w:val="448A99"/>
        <w:sz w:val="16"/>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8227DAF"/>
    <w:multiLevelType w:val="hybridMultilevel"/>
    <w:tmpl w:val="F692FBAC"/>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8CB696F"/>
    <w:multiLevelType w:val="hybridMultilevel"/>
    <w:tmpl w:val="4B8CC950"/>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1A60E5"/>
    <w:multiLevelType w:val="hybridMultilevel"/>
    <w:tmpl w:val="09E2705C"/>
    <w:lvl w:ilvl="0" w:tplc="A8FC7314">
      <w:start w:val="1"/>
      <w:numFmt w:val="decimal"/>
      <w:lvlText w:val="%1)"/>
      <w:lvlJc w:val="left"/>
      <w:pPr>
        <w:ind w:left="720" w:hanging="360"/>
      </w:pPr>
      <w:rPr>
        <w:rFonts w:ascii="Century Gothic" w:hAnsi="Century Gothic"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B815D75"/>
    <w:multiLevelType w:val="hybridMultilevel"/>
    <w:tmpl w:val="AB50C420"/>
    <w:lvl w:ilvl="0" w:tplc="93C42ECC">
      <w:start w:val="1"/>
      <w:numFmt w:val="decimal"/>
      <w:lvlText w:val="%1."/>
      <w:lvlJc w:val="left"/>
      <w:pPr>
        <w:ind w:left="720" w:hanging="360"/>
      </w:pPr>
      <w:rPr>
        <w:b/>
      </w:rPr>
    </w:lvl>
    <w:lvl w:ilvl="1" w:tplc="8FD8FA0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C6E608B"/>
    <w:multiLevelType w:val="hybridMultilevel"/>
    <w:tmpl w:val="C08C4970"/>
    <w:lvl w:ilvl="0" w:tplc="23FE3AE8">
      <w:start w:val="1"/>
      <w:numFmt w:val="lowerLetter"/>
      <w:lvlText w:val="%1."/>
      <w:lvlJc w:val="left"/>
      <w:pPr>
        <w:ind w:left="720" w:hanging="360"/>
      </w:pPr>
      <w:rPr>
        <w:rFonts w:hint="default"/>
        <w:b w:val="0"/>
      </w:rPr>
    </w:lvl>
    <w:lvl w:ilvl="1" w:tplc="23FE3AE8">
      <w:start w:val="1"/>
      <w:numFmt w:val="lowerLetter"/>
      <w:lvlText w:val="%2."/>
      <w:lvlJc w:val="left"/>
      <w:pPr>
        <w:ind w:left="1440" w:hanging="360"/>
      </w:pPr>
      <w:rPr>
        <w:rFonts w:hint="default"/>
        <w:b w:val="0"/>
      </w:rPr>
    </w:lvl>
    <w:lvl w:ilvl="2" w:tplc="4AF2AA7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D347839"/>
    <w:multiLevelType w:val="hybridMultilevel"/>
    <w:tmpl w:val="E7C0664C"/>
    <w:lvl w:ilvl="0" w:tplc="A8FC7314">
      <w:start w:val="1"/>
      <w:numFmt w:val="decimal"/>
      <w:lvlText w:val="%1)"/>
      <w:lvlJc w:val="left"/>
      <w:pPr>
        <w:ind w:left="720" w:hanging="360"/>
      </w:pPr>
      <w:rPr>
        <w:rFonts w:ascii="Century Gothic" w:hAnsi="Century Gothic"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E2366E3"/>
    <w:multiLevelType w:val="hybridMultilevel"/>
    <w:tmpl w:val="109C71C0"/>
    <w:lvl w:ilvl="0" w:tplc="4E60340E">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EF127B9"/>
    <w:multiLevelType w:val="hybridMultilevel"/>
    <w:tmpl w:val="0B262CE0"/>
    <w:lvl w:ilvl="0" w:tplc="D64E1B5C">
      <w:start w:val="1"/>
      <w:numFmt w:val="decimal"/>
      <w:pStyle w:val="Numbered"/>
      <w:lvlText w:val="%1."/>
      <w:lvlJc w:val="left"/>
      <w:pPr>
        <w:tabs>
          <w:tab w:val="num" w:pos="720"/>
        </w:tabs>
        <w:ind w:left="720" w:hanging="360"/>
      </w:pPr>
      <w:rPr>
        <w:rFonts w:cs="Times New Roman" w:hint="default"/>
      </w:rPr>
    </w:lvl>
    <w:lvl w:ilvl="1" w:tplc="FEE40626" w:tentative="1">
      <w:start w:val="1"/>
      <w:numFmt w:val="lowerLetter"/>
      <w:lvlText w:val="%2."/>
      <w:lvlJc w:val="left"/>
      <w:pPr>
        <w:tabs>
          <w:tab w:val="num" w:pos="1440"/>
        </w:tabs>
        <w:ind w:left="1440" w:hanging="360"/>
      </w:pPr>
      <w:rPr>
        <w:rFonts w:cs="Times New Roman"/>
      </w:rPr>
    </w:lvl>
    <w:lvl w:ilvl="2" w:tplc="28DE4654" w:tentative="1">
      <w:start w:val="1"/>
      <w:numFmt w:val="lowerRoman"/>
      <w:lvlText w:val="%3."/>
      <w:lvlJc w:val="right"/>
      <w:pPr>
        <w:tabs>
          <w:tab w:val="num" w:pos="2160"/>
        </w:tabs>
        <w:ind w:left="2160" w:hanging="180"/>
      </w:pPr>
      <w:rPr>
        <w:rFonts w:cs="Times New Roman"/>
      </w:rPr>
    </w:lvl>
    <w:lvl w:ilvl="3" w:tplc="8F285316" w:tentative="1">
      <w:start w:val="1"/>
      <w:numFmt w:val="decimal"/>
      <w:lvlText w:val="%4."/>
      <w:lvlJc w:val="left"/>
      <w:pPr>
        <w:tabs>
          <w:tab w:val="num" w:pos="2880"/>
        </w:tabs>
        <w:ind w:left="2880" w:hanging="360"/>
      </w:pPr>
      <w:rPr>
        <w:rFonts w:cs="Times New Roman"/>
      </w:rPr>
    </w:lvl>
    <w:lvl w:ilvl="4" w:tplc="F6F48E40" w:tentative="1">
      <w:start w:val="1"/>
      <w:numFmt w:val="lowerLetter"/>
      <w:lvlText w:val="%5."/>
      <w:lvlJc w:val="left"/>
      <w:pPr>
        <w:tabs>
          <w:tab w:val="num" w:pos="3600"/>
        </w:tabs>
        <w:ind w:left="3600" w:hanging="360"/>
      </w:pPr>
      <w:rPr>
        <w:rFonts w:cs="Times New Roman"/>
      </w:rPr>
    </w:lvl>
    <w:lvl w:ilvl="5" w:tplc="B75A99B6" w:tentative="1">
      <w:start w:val="1"/>
      <w:numFmt w:val="lowerRoman"/>
      <w:lvlText w:val="%6."/>
      <w:lvlJc w:val="right"/>
      <w:pPr>
        <w:tabs>
          <w:tab w:val="num" w:pos="4320"/>
        </w:tabs>
        <w:ind w:left="4320" w:hanging="180"/>
      </w:pPr>
      <w:rPr>
        <w:rFonts w:cs="Times New Roman"/>
      </w:rPr>
    </w:lvl>
    <w:lvl w:ilvl="6" w:tplc="6082E068" w:tentative="1">
      <w:start w:val="1"/>
      <w:numFmt w:val="decimal"/>
      <w:lvlText w:val="%7."/>
      <w:lvlJc w:val="left"/>
      <w:pPr>
        <w:tabs>
          <w:tab w:val="num" w:pos="5040"/>
        </w:tabs>
        <w:ind w:left="5040" w:hanging="360"/>
      </w:pPr>
      <w:rPr>
        <w:rFonts w:cs="Times New Roman"/>
      </w:rPr>
    </w:lvl>
    <w:lvl w:ilvl="7" w:tplc="88826FFC" w:tentative="1">
      <w:start w:val="1"/>
      <w:numFmt w:val="lowerLetter"/>
      <w:lvlText w:val="%8."/>
      <w:lvlJc w:val="left"/>
      <w:pPr>
        <w:tabs>
          <w:tab w:val="num" w:pos="5760"/>
        </w:tabs>
        <w:ind w:left="5760" w:hanging="360"/>
      </w:pPr>
      <w:rPr>
        <w:rFonts w:cs="Times New Roman"/>
      </w:rPr>
    </w:lvl>
    <w:lvl w:ilvl="8" w:tplc="740678D2" w:tentative="1">
      <w:start w:val="1"/>
      <w:numFmt w:val="lowerRoman"/>
      <w:lvlText w:val="%9."/>
      <w:lvlJc w:val="right"/>
      <w:pPr>
        <w:tabs>
          <w:tab w:val="num" w:pos="6480"/>
        </w:tabs>
        <w:ind w:left="6480" w:hanging="180"/>
      </w:pPr>
      <w:rPr>
        <w:rFonts w:cs="Times New Roman"/>
      </w:rPr>
    </w:lvl>
  </w:abstractNum>
  <w:abstractNum w:abstractNumId="101" w15:restartNumberingAfterBreak="0">
    <w:nsid w:val="52D455BB"/>
    <w:multiLevelType w:val="hybridMultilevel"/>
    <w:tmpl w:val="1CA40F24"/>
    <w:lvl w:ilvl="0" w:tplc="33581DA2">
      <w:start w:val="1"/>
      <w:numFmt w:val="decimal"/>
      <w:lvlText w:val="%1)"/>
      <w:lvlJc w:val="left"/>
      <w:pPr>
        <w:ind w:left="720" w:hanging="360"/>
      </w:pPr>
      <w:rPr>
        <w:rFonts w:ascii="Century Gothic" w:hAnsi="Century Gothic"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4DC50C0"/>
    <w:multiLevelType w:val="hybridMultilevel"/>
    <w:tmpl w:val="363C0C60"/>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D2624B"/>
    <w:multiLevelType w:val="hybridMultilevel"/>
    <w:tmpl w:val="413AA41A"/>
    <w:lvl w:ilvl="0" w:tplc="0AD26852">
      <w:start w:val="1"/>
      <w:numFmt w:val="bullet"/>
      <w:lvlText w:val=""/>
      <w:lvlJc w:val="left"/>
      <w:pPr>
        <w:ind w:left="513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7EB0F39"/>
    <w:multiLevelType w:val="hybridMultilevel"/>
    <w:tmpl w:val="BD98078E"/>
    <w:lvl w:ilvl="0" w:tplc="0409000F">
      <w:start w:val="1"/>
      <w:numFmt w:val="decimal"/>
      <w:lvlText w:val="%1."/>
      <w:lvlJc w:val="left"/>
      <w:pPr>
        <w:ind w:left="720" w:hanging="360"/>
      </w:pPr>
    </w:lvl>
    <w:lvl w:ilvl="1" w:tplc="3A5AF558">
      <w:start w:val="1"/>
      <w:numFmt w:val="lowerLetter"/>
      <w:lvlText w:val="%2."/>
      <w:lvlJc w:val="left"/>
      <w:pPr>
        <w:ind w:left="1440" w:hanging="360"/>
      </w:pPr>
      <w:rPr>
        <w:rFonts w:ascii="Century Gothic" w:hAnsi="Century Gothic" w:hint="default"/>
        <w:b/>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946091F"/>
    <w:multiLevelType w:val="hybridMultilevel"/>
    <w:tmpl w:val="392A69FE"/>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A292F17"/>
    <w:multiLevelType w:val="hybridMultilevel"/>
    <w:tmpl w:val="69A4405A"/>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A664EE4"/>
    <w:multiLevelType w:val="hybridMultilevel"/>
    <w:tmpl w:val="85B6F894"/>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A9B2E99"/>
    <w:multiLevelType w:val="hybridMultilevel"/>
    <w:tmpl w:val="9B4EAD6C"/>
    <w:lvl w:ilvl="0" w:tplc="349A6C72">
      <w:start w:val="1"/>
      <w:numFmt w:val="bullet"/>
      <w:lvlText w:val=""/>
      <w:lvlJc w:val="left"/>
      <w:pPr>
        <w:ind w:left="720" w:hanging="360"/>
      </w:pPr>
      <w:rPr>
        <w:rFonts w:ascii="Wingdings" w:hAnsi="Wingdings" w:hint="default"/>
        <w:b/>
        <w:color w:val="448A99"/>
        <w:sz w:val="16"/>
        <w:u w:color="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5B115F79"/>
    <w:multiLevelType w:val="hybridMultilevel"/>
    <w:tmpl w:val="C3AE97B0"/>
    <w:lvl w:ilvl="0" w:tplc="4E64DDF2">
      <w:start w:val="1"/>
      <w:numFmt w:val="bullet"/>
      <w:lvlText w:val=""/>
      <w:lvlJc w:val="left"/>
      <w:pPr>
        <w:ind w:left="720" w:hanging="360"/>
      </w:pPr>
      <w:rPr>
        <w:rFonts w:ascii="Wingdings" w:hAnsi="Wingdings" w:hint="default"/>
        <w:b/>
        <w:color w:val="448A99"/>
        <w:sz w:val="16"/>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AB7CFB"/>
    <w:multiLevelType w:val="hybridMultilevel"/>
    <w:tmpl w:val="D58270F8"/>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EEC4DA2"/>
    <w:multiLevelType w:val="hybridMultilevel"/>
    <w:tmpl w:val="25ACAF84"/>
    <w:lvl w:ilvl="0" w:tplc="4E64DDF2">
      <w:start w:val="1"/>
      <w:numFmt w:val="bullet"/>
      <w:lvlText w:val=""/>
      <w:lvlJc w:val="left"/>
      <w:pPr>
        <w:ind w:left="720" w:hanging="360"/>
      </w:pPr>
      <w:rPr>
        <w:rFonts w:ascii="Wingdings" w:hAnsi="Wingdings" w:hint="default"/>
        <w:b/>
        <w:color w:val="448A99"/>
        <w:sz w:val="16"/>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062D3B"/>
    <w:multiLevelType w:val="hybridMultilevel"/>
    <w:tmpl w:val="C7B4BB4A"/>
    <w:lvl w:ilvl="0" w:tplc="E67EF412">
      <w:start w:val="1"/>
      <w:numFmt w:val="decimal"/>
      <w:lvlText w:val="%1)"/>
      <w:lvlJc w:val="left"/>
      <w:pPr>
        <w:ind w:left="720" w:hanging="360"/>
      </w:pPr>
      <w:rPr>
        <w:rFonts w:ascii="Century Gothic" w:hAnsi="Century Gothic"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FB90A15"/>
    <w:multiLevelType w:val="hybridMultilevel"/>
    <w:tmpl w:val="05D8B262"/>
    <w:lvl w:ilvl="0" w:tplc="0EE6D8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069718D"/>
    <w:multiLevelType w:val="hybridMultilevel"/>
    <w:tmpl w:val="F1C804C0"/>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0AB58C1"/>
    <w:multiLevelType w:val="hybridMultilevel"/>
    <w:tmpl w:val="471C6F72"/>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522FED"/>
    <w:multiLevelType w:val="hybridMultilevel"/>
    <w:tmpl w:val="8CF4E342"/>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265132F"/>
    <w:multiLevelType w:val="hybridMultilevel"/>
    <w:tmpl w:val="561E399A"/>
    <w:lvl w:ilvl="0" w:tplc="4E64DDF2">
      <w:start w:val="1"/>
      <w:numFmt w:val="bullet"/>
      <w:lvlText w:val=""/>
      <w:lvlJc w:val="left"/>
      <w:pPr>
        <w:ind w:left="720" w:hanging="360"/>
      </w:pPr>
      <w:rPr>
        <w:rFonts w:ascii="Wingdings" w:hAnsi="Wingdings" w:hint="default"/>
        <w:b/>
        <w:color w:val="448A99"/>
        <w:sz w:val="16"/>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2E36E8C"/>
    <w:multiLevelType w:val="hybridMultilevel"/>
    <w:tmpl w:val="8A14C512"/>
    <w:lvl w:ilvl="0" w:tplc="349A6C72">
      <w:start w:val="1"/>
      <w:numFmt w:val="bullet"/>
      <w:lvlText w:val=""/>
      <w:lvlJc w:val="left"/>
      <w:pPr>
        <w:ind w:left="720" w:hanging="360"/>
      </w:pPr>
      <w:rPr>
        <w:rFonts w:ascii="Wingdings" w:hAnsi="Wingdings" w:hint="default"/>
        <w:b/>
        <w:color w:val="448A99"/>
        <w:sz w:val="16"/>
        <w:u w:color="1F497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3E04937"/>
    <w:multiLevelType w:val="hybridMultilevel"/>
    <w:tmpl w:val="F6DE2654"/>
    <w:lvl w:ilvl="0" w:tplc="4E64DDF2">
      <w:start w:val="1"/>
      <w:numFmt w:val="bullet"/>
      <w:lvlText w:val=""/>
      <w:lvlJc w:val="left"/>
      <w:pPr>
        <w:ind w:left="720" w:hanging="360"/>
      </w:pPr>
      <w:rPr>
        <w:rFonts w:ascii="Wingdings" w:hAnsi="Wingdings" w:hint="default"/>
        <w:b/>
        <w:color w:val="448A99"/>
        <w:sz w:val="16"/>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65C340C"/>
    <w:multiLevelType w:val="hybridMultilevel"/>
    <w:tmpl w:val="DB6EAD4E"/>
    <w:lvl w:ilvl="0" w:tplc="23FE3AE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687E6AFC"/>
    <w:multiLevelType w:val="hybridMultilevel"/>
    <w:tmpl w:val="4D1EDB68"/>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C0B3474"/>
    <w:multiLevelType w:val="hybridMultilevel"/>
    <w:tmpl w:val="2760EFFA"/>
    <w:lvl w:ilvl="0" w:tplc="A8FC7314">
      <w:start w:val="1"/>
      <w:numFmt w:val="decimal"/>
      <w:lvlText w:val="%1)"/>
      <w:lvlJc w:val="left"/>
      <w:pPr>
        <w:ind w:left="720" w:hanging="360"/>
      </w:pPr>
      <w:rPr>
        <w:rFonts w:ascii="Century Gothic" w:hAnsi="Century Gothic"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C4C69C8"/>
    <w:multiLevelType w:val="hybridMultilevel"/>
    <w:tmpl w:val="B554F94E"/>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F20755A"/>
    <w:multiLevelType w:val="hybridMultilevel"/>
    <w:tmpl w:val="C08C4970"/>
    <w:lvl w:ilvl="0" w:tplc="23FE3AE8">
      <w:start w:val="1"/>
      <w:numFmt w:val="lowerLetter"/>
      <w:lvlText w:val="%1."/>
      <w:lvlJc w:val="left"/>
      <w:pPr>
        <w:ind w:left="720" w:hanging="360"/>
      </w:pPr>
      <w:rPr>
        <w:rFonts w:hint="default"/>
        <w:b w:val="0"/>
      </w:rPr>
    </w:lvl>
    <w:lvl w:ilvl="1" w:tplc="23FE3AE8">
      <w:start w:val="1"/>
      <w:numFmt w:val="lowerLetter"/>
      <w:lvlText w:val="%2."/>
      <w:lvlJc w:val="left"/>
      <w:pPr>
        <w:ind w:left="1440" w:hanging="360"/>
      </w:pPr>
      <w:rPr>
        <w:rFonts w:hint="default"/>
        <w:b w:val="0"/>
      </w:rPr>
    </w:lvl>
    <w:lvl w:ilvl="2" w:tplc="4AF2AA72">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F7F33AC"/>
    <w:multiLevelType w:val="hybridMultilevel"/>
    <w:tmpl w:val="1E0872B8"/>
    <w:lvl w:ilvl="0" w:tplc="A8FC7314">
      <w:start w:val="1"/>
      <w:numFmt w:val="decimal"/>
      <w:lvlText w:val="%1)"/>
      <w:lvlJc w:val="left"/>
      <w:pPr>
        <w:ind w:left="720" w:hanging="360"/>
      </w:pPr>
      <w:rPr>
        <w:rFonts w:ascii="Century Gothic" w:hAnsi="Century Gothic"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FE97B7C"/>
    <w:multiLevelType w:val="hybridMultilevel"/>
    <w:tmpl w:val="541C3B04"/>
    <w:lvl w:ilvl="0" w:tplc="A8FC7314">
      <w:start w:val="1"/>
      <w:numFmt w:val="decimal"/>
      <w:lvlText w:val="%1)"/>
      <w:lvlJc w:val="left"/>
      <w:pPr>
        <w:ind w:left="720" w:hanging="360"/>
      </w:pPr>
      <w:rPr>
        <w:rFonts w:ascii="Century Gothic" w:hAnsi="Century Gothic"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0430856"/>
    <w:multiLevelType w:val="hybridMultilevel"/>
    <w:tmpl w:val="7570C0BA"/>
    <w:lvl w:ilvl="0" w:tplc="71C2AA7A">
      <w:start w:val="1"/>
      <w:numFmt w:val="decimal"/>
      <w:lvlText w:val="%1)"/>
      <w:lvlJc w:val="left"/>
      <w:pPr>
        <w:ind w:left="720" w:hanging="360"/>
      </w:pPr>
      <w:rPr>
        <w:rFonts w:ascii="Century Gothic" w:hAnsi="Century Gothic"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45A7C13"/>
    <w:multiLevelType w:val="hybridMultilevel"/>
    <w:tmpl w:val="7430B638"/>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465103A"/>
    <w:multiLevelType w:val="hybridMultilevel"/>
    <w:tmpl w:val="81FE8BB0"/>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533698D"/>
    <w:multiLevelType w:val="hybridMultilevel"/>
    <w:tmpl w:val="C3B6C90A"/>
    <w:lvl w:ilvl="0" w:tplc="21A62B5E">
      <w:start w:val="1"/>
      <w:numFmt w:val="decimal"/>
      <w:lvlText w:val="%1)"/>
      <w:lvlJc w:val="left"/>
      <w:pPr>
        <w:ind w:left="720" w:hanging="360"/>
      </w:pPr>
      <w:rPr>
        <w:rFonts w:ascii="Century Gothic" w:hAnsi="Century Gothic"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5C272FC"/>
    <w:multiLevelType w:val="hybridMultilevel"/>
    <w:tmpl w:val="1D56CA14"/>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6200084"/>
    <w:multiLevelType w:val="multilevel"/>
    <w:tmpl w:val="8E28F958"/>
    <w:lvl w:ilvl="0">
      <w:start w:val="1"/>
      <w:numFmt w:val="decimal"/>
      <w:lvlText w:val="%1."/>
      <w:lvlJc w:val="left"/>
      <w:pPr>
        <w:ind w:left="720" w:hanging="360"/>
      </w:pPr>
      <w:rPr>
        <w:rFonts w:hint="default"/>
        <w:b/>
        <w:color w:val="auto"/>
      </w:rPr>
    </w:lvl>
    <w:lvl w:ilvl="1">
      <w:start w:val="1"/>
      <w:numFmt w:val="lowerLetter"/>
      <w:lvlText w:val="%2."/>
      <w:lvlJc w:val="left"/>
      <w:pPr>
        <w:ind w:left="1440" w:hanging="360"/>
      </w:pPr>
      <w:rPr>
        <w:rFonts w:hint="default"/>
        <w:b/>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3" w15:restartNumberingAfterBreak="0">
    <w:nsid w:val="7649304A"/>
    <w:multiLevelType w:val="hybridMultilevel"/>
    <w:tmpl w:val="70C6D9A8"/>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6A31604"/>
    <w:multiLevelType w:val="hybridMultilevel"/>
    <w:tmpl w:val="9800BCB2"/>
    <w:styleLink w:val="Appendix1"/>
    <w:lvl w:ilvl="0" w:tplc="0AD26852">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6B72F43"/>
    <w:multiLevelType w:val="multilevel"/>
    <w:tmpl w:val="28909944"/>
    <w:lvl w:ilvl="0">
      <w:start w:val="1"/>
      <w:numFmt w:val="decimal"/>
      <w:pStyle w:val="AppendixAHeading1"/>
      <w:suff w:val="space"/>
      <w:lvlText w:val="A.%1"/>
      <w:lvlJc w:val="left"/>
      <w:pPr>
        <w:ind w:left="0" w:firstLine="0"/>
      </w:pPr>
      <w:rPr>
        <w:rFonts w:hint="default"/>
        <w:color w:val="448A99"/>
      </w:rPr>
    </w:lvl>
    <w:lvl w:ilvl="1">
      <w:start w:val="1"/>
      <w:numFmt w:val="decimal"/>
      <w:pStyle w:val="AppendixAHeading2"/>
      <w:suff w:val="space"/>
      <w:lvlText w:val="A.%1.%2"/>
      <w:lvlJc w:val="left"/>
      <w:pPr>
        <w:ind w:left="0" w:firstLine="0"/>
      </w:pPr>
      <w:rPr>
        <w:rFonts w:hint="default"/>
      </w:rPr>
    </w:lvl>
    <w:lvl w:ilvl="2">
      <w:start w:val="1"/>
      <w:numFmt w:val="decimal"/>
      <w:pStyle w:val="AppendixAHeading3"/>
      <w:suff w:val="space"/>
      <w:lvlText w:val="A.%1.%2.%3"/>
      <w:lvlJc w:val="left"/>
      <w:pPr>
        <w:ind w:left="0" w:firstLine="0"/>
      </w:pPr>
      <w:rPr>
        <w:rFonts w:hint="default"/>
      </w:rPr>
    </w:lvl>
    <w:lvl w:ilvl="3">
      <w:start w:val="1"/>
      <w:numFmt w:val="decimal"/>
      <w:pStyle w:val="AppendixAHeading4"/>
      <w:suff w:val="space"/>
      <w:lvlText w:val="A.%1.%2.%3.%4"/>
      <w:lvlJc w:val="left"/>
      <w:pPr>
        <w:ind w:left="0" w:firstLine="0"/>
      </w:pPr>
      <w:rPr>
        <w:rFonts w:hint="default"/>
      </w:rPr>
    </w:lvl>
    <w:lvl w:ilvl="4">
      <w:start w:val="1"/>
      <w:numFmt w:val="decimal"/>
      <w:pStyle w:val="AppendixAHeading5"/>
      <w:suff w:val="space"/>
      <w:lvlText w:val="A.%1.%2.%3.%4.%5"/>
      <w:lvlJc w:val="left"/>
      <w:pPr>
        <w:ind w:left="0" w:firstLine="0"/>
      </w:pPr>
      <w:rPr>
        <w:rFonts w:hint="default"/>
      </w:rPr>
    </w:lvl>
    <w:lvl w:ilvl="5">
      <w:start w:val="1"/>
      <w:numFmt w:val="decimal"/>
      <w:pStyle w:val="AppendixAHeading6"/>
      <w:suff w:val="space"/>
      <w:lvlText w:val="A.%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76D22B66"/>
    <w:multiLevelType w:val="hybridMultilevel"/>
    <w:tmpl w:val="219E25C4"/>
    <w:lvl w:ilvl="0" w:tplc="A8FC7314">
      <w:start w:val="1"/>
      <w:numFmt w:val="decimal"/>
      <w:lvlText w:val="%1)"/>
      <w:lvlJc w:val="left"/>
      <w:pPr>
        <w:ind w:left="720" w:hanging="360"/>
      </w:pPr>
      <w:rPr>
        <w:rFonts w:ascii="Century Gothic" w:hAnsi="Century Gothic"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78A2B1B"/>
    <w:multiLevelType w:val="hybridMultilevel"/>
    <w:tmpl w:val="DAF46CD6"/>
    <w:lvl w:ilvl="0" w:tplc="3F24A17C">
      <w:start w:val="1"/>
      <w:numFmt w:val="decimal"/>
      <w:lvlText w:val="%1)"/>
      <w:lvlJc w:val="left"/>
      <w:pPr>
        <w:ind w:left="720" w:hanging="360"/>
      </w:pPr>
      <w:rPr>
        <w:rFonts w:ascii="Century Gothic" w:hAnsi="Century Gothic" w:hint="default"/>
        <w: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7A66B61"/>
    <w:multiLevelType w:val="hybridMultilevel"/>
    <w:tmpl w:val="5984A670"/>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FD6DE5"/>
    <w:multiLevelType w:val="hybridMultilevel"/>
    <w:tmpl w:val="4B58BC42"/>
    <w:lvl w:ilvl="0" w:tplc="A8FC7314">
      <w:start w:val="1"/>
      <w:numFmt w:val="decimal"/>
      <w:lvlText w:val="%1)"/>
      <w:lvlJc w:val="left"/>
      <w:pPr>
        <w:ind w:left="720" w:hanging="360"/>
      </w:pPr>
      <w:rPr>
        <w:rFonts w:ascii="Century Gothic" w:hAnsi="Century Gothic" w:hint="default"/>
        <w:b/>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87860AC"/>
    <w:multiLevelType w:val="hybridMultilevel"/>
    <w:tmpl w:val="03BE0AE8"/>
    <w:lvl w:ilvl="0" w:tplc="4E64DDF2">
      <w:start w:val="1"/>
      <w:numFmt w:val="bullet"/>
      <w:lvlText w:val=""/>
      <w:lvlJc w:val="left"/>
      <w:pPr>
        <w:ind w:left="720" w:hanging="360"/>
      </w:pPr>
      <w:rPr>
        <w:rFonts w:ascii="Wingdings" w:hAnsi="Wingdings" w:hint="default"/>
        <w:b/>
        <w:color w:val="448A99"/>
        <w:sz w:val="16"/>
        <w:szCs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89A6BC1"/>
    <w:multiLevelType w:val="hybridMultilevel"/>
    <w:tmpl w:val="51745BC2"/>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94C253E"/>
    <w:multiLevelType w:val="hybridMultilevel"/>
    <w:tmpl w:val="070219FC"/>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9A03B40"/>
    <w:multiLevelType w:val="hybridMultilevel"/>
    <w:tmpl w:val="9454C7E8"/>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9A454E1"/>
    <w:multiLevelType w:val="hybridMultilevel"/>
    <w:tmpl w:val="079C69EC"/>
    <w:lvl w:ilvl="0" w:tplc="23FE3A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9DF268F"/>
    <w:multiLevelType w:val="hybridMultilevel"/>
    <w:tmpl w:val="02E0B3EC"/>
    <w:lvl w:ilvl="0" w:tplc="D4B4953C">
      <w:start w:val="1"/>
      <w:numFmt w:val="decimal"/>
      <w:lvlText w:val="%1)"/>
      <w:lvlJc w:val="left"/>
      <w:pPr>
        <w:ind w:left="720" w:hanging="360"/>
      </w:pPr>
      <w:rPr>
        <w:rFonts w:ascii="Century Gothic" w:hAnsi="Century Gothic"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9E2320B"/>
    <w:multiLevelType w:val="multilevel"/>
    <w:tmpl w:val="F628210E"/>
    <w:lvl w:ilvl="0">
      <w:start w:val="1"/>
      <w:numFmt w:val="decimal"/>
      <w:pStyle w:val="AppendixDHeading1"/>
      <w:suff w:val="space"/>
      <w:lvlText w:val="D.%1"/>
      <w:lvlJc w:val="left"/>
      <w:pPr>
        <w:ind w:left="0" w:firstLine="0"/>
      </w:pPr>
      <w:rPr>
        <w:rFonts w:hint="default"/>
      </w:rPr>
    </w:lvl>
    <w:lvl w:ilvl="1">
      <w:start w:val="1"/>
      <w:numFmt w:val="decimal"/>
      <w:pStyle w:val="AppendixDHeading2"/>
      <w:suff w:val="space"/>
      <w:lvlText w:val="D.%1.%2"/>
      <w:lvlJc w:val="left"/>
      <w:pPr>
        <w:ind w:left="0" w:firstLine="0"/>
      </w:pPr>
      <w:rPr>
        <w:rFonts w:hint="default"/>
      </w:rPr>
    </w:lvl>
    <w:lvl w:ilvl="2">
      <w:start w:val="1"/>
      <w:numFmt w:val="decimal"/>
      <w:pStyle w:val="AppendixDHeading3"/>
      <w:suff w:val="space"/>
      <w:lvlText w:val="D.%1.%2.%3."/>
      <w:lvlJc w:val="left"/>
      <w:pPr>
        <w:ind w:left="0" w:firstLine="0"/>
      </w:pPr>
      <w:rPr>
        <w:rFonts w:hint="default"/>
      </w:rPr>
    </w:lvl>
    <w:lvl w:ilvl="3">
      <w:start w:val="1"/>
      <w:numFmt w:val="decimal"/>
      <w:suff w:val="space"/>
      <w:lvlText w:val="D.%1.%2.%3.%4."/>
      <w:lvlJc w:val="left"/>
      <w:pPr>
        <w:ind w:left="0" w:firstLine="0"/>
      </w:pPr>
      <w:rPr>
        <w:rFonts w:hint="default"/>
      </w:rPr>
    </w:lvl>
    <w:lvl w:ilvl="4">
      <w:start w:val="1"/>
      <w:numFmt w:val="decimal"/>
      <w:suff w:val="space"/>
      <w:lvlText w:val="D.%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7A4D3CA1"/>
    <w:multiLevelType w:val="hybridMultilevel"/>
    <w:tmpl w:val="736EE040"/>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A864B51"/>
    <w:multiLevelType w:val="hybridMultilevel"/>
    <w:tmpl w:val="58169E04"/>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B7931AB"/>
    <w:multiLevelType w:val="hybridMultilevel"/>
    <w:tmpl w:val="3906030E"/>
    <w:lvl w:ilvl="0" w:tplc="FC62C8FC">
      <w:start w:val="1"/>
      <w:numFmt w:val="bullet"/>
      <w:lvlText w:val=""/>
      <w:lvlJc w:val="left"/>
      <w:pPr>
        <w:ind w:left="720" w:hanging="360"/>
      </w:pPr>
      <w:rPr>
        <w:rFonts w:ascii="Wingdings" w:hAnsi="Wingdings" w:hint="default"/>
        <w:color w:val="448A99"/>
        <w:sz w:val="24"/>
      </w:rPr>
    </w:lvl>
    <w:lvl w:ilvl="1" w:tplc="83C4800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C145681"/>
    <w:multiLevelType w:val="hybridMultilevel"/>
    <w:tmpl w:val="9EA6BE26"/>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C8C4B72"/>
    <w:multiLevelType w:val="hybridMultilevel"/>
    <w:tmpl w:val="4BA8BB26"/>
    <w:lvl w:ilvl="0" w:tplc="308E374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CD36D69"/>
    <w:multiLevelType w:val="multilevel"/>
    <w:tmpl w:val="3C76DDC8"/>
    <w:lvl w:ilvl="0">
      <w:start w:val="1"/>
      <w:numFmt w:val="decimal"/>
      <w:pStyle w:val="AppendixEHeading1"/>
      <w:suff w:val="space"/>
      <w:lvlText w:val="E.%1"/>
      <w:lvlJc w:val="left"/>
      <w:pPr>
        <w:ind w:left="0" w:firstLine="0"/>
      </w:pPr>
      <w:rPr>
        <w:rFonts w:hint="default"/>
        <w:color w:val="448A99"/>
      </w:rPr>
    </w:lvl>
    <w:lvl w:ilvl="1">
      <w:start w:val="1"/>
      <w:numFmt w:val="decimal"/>
      <w:pStyle w:val="AppendixEHeading2"/>
      <w:suff w:val="space"/>
      <w:lvlText w:val="E.%1.%2"/>
      <w:lvlJc w:val="left"/>
      <w:pPr>
        <w:ind w:left="90" w:firstLine="0"/>
      </w:pPr>
      <w:rPr>
        <w:rFonts w:hint="default"/>
      </w:rPr>
    </w:lvl>
    <w:lvl w:ilvl="2">
      <w:start w:val="1"/>
      <w:numFmt w:val="decimal"/>
      <w:pStyle w:val="AppendixEHeading3"/>
      <w:suff w:val="space"/>
      <w:lvlText w:val="E.%1.%2.%3"/>
      <w:lvlJc w:val="left"/>
      <w:pPr>
        <w:ind w:left="0" w:firstLine="0"/>
      </w:pPr>
      <w:rPr>
        <w:rFonts w:hint="default"/>
      </w:rPr>
    </w:lvl>
    <w:lvl w:ilvl="3">
      <w:start w:val="1"/>
      <w:numFmt w:val="decimal"/>
      <w:suff w:val="space"/>
      <w:lvlText w:val="E.%1.%2.%3.%4"/>
      <w:lvlJc w:val="left"/>
      <w:pPr>
        <w:ind w:left="90" w:firstLine="0"/>
      </w:pPr>
      <w:rPr>
        <w:rFonts w:hint="default"/>
      </w:rPr>
    </w:lvl>
    <w:lvl w:ilvl="4">
      <w:start w:val="1"/>
      <w:numFmt w:val="decimal"/>
      <w:suff w:val="space"/>
      <w:lvlText w:val="E.%1.%2.%3.%4.%5"/>
      <w:lvlJc w:val="left"/>
      <w:pPr>
        <w:ind w:left="90" w:firstLine="0"/>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153" w15:restartNumberingAfterBreak="0">
    <w:nsid w:val="7D980877"/>
    <w:multiLevelType w:val="hybridMultilevel"/>
    <w:tmpl w:val="DFFA0B56"/>
    <w:lvl w:ilvl="0" w:tplc="04090001">
      <w:start w:val="1"/>
      <w:numFmt w:val="bullet"/>
      <w:lvlText w:val=""/>
      <w:lvlJc w:val="left"/>
      <w:pPr>
        <w:ind w:left="1080" w:hanging="720"/>
      </w:pPr>
      <w:rPr>
        <w:rFonts w:ascii="Symbol" w:hAnsi="Symbol" w:hint="default"/>
      </w:rPr>
    </w:lvl>
    <w:lvl w:ilvl="1" w:tplc="23FE3AE8">
      <w:start w:val="1"/>
      <w:numFmt w:val="lowerLetter"/>
      <w:lvlText w:val="%2."/>
      <w:lvlJc w:val="left"/>
      <w:pPr>
        <w:ind w:left="1800" w:hanging="72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FBB79C5"/>
    <w:multiLevelType w:val="hybridMultilevel"/>
    <w:tmpl w:val="821A9CDA"/>
    <w:lvl w:ilvl="0" w:tplc="349A6C72">
      <w:start w:val="1"/>
      <w:numFmt w:val="bullet"/>
      <w:lvlText w:val=""/>
      <w:lvlJc w:val="left"/>
      <w:pPr>
        <w:ind w:left="720" w:hanging="360"/>
      </w:pPr>
      <w:rPr>
        <w:rFonts w:ascii="Wingdings" w:hAnsi="Wingdings" w:hint="default"/>
        <w:b/>
        <w:color w:val="448A99"/>
        <w:sz w:val="16"/>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9"/>
  </w:num>
  <w:num w:numId="3">
    <w:abstractNumId w:val="100"/>
  </w:num>
  <w:num w:numId="4">
    <w:abstractNumId w:val="44"/>
  </w:num>
  <w:num w:numId="5">
    <w:abstractNumId w:val="146"/>
  </w:num>
  <w:num w:numId="6">
    <w:abstractNumId w:val="152"/>
  </w:num>
  <w:num w:numId="7">
    <w:abstractNumId w:val="11"/>
  </w:num>
  <w:num w:numId="8">
    <w:abstractNumId w:val="36"/>
  </w:num>
  <w:num w:numId="9">
    <w:abstractNumId w:val="36"/>
    <w:lvlOverride w:ilvl="0">
      <w:lvl w:ilvl="0">
        <w:start w:val="1"/>
        <w:numFmt w:val="decimal"/>
        <w:pStyle w:val="HEADER001"/>
        <w:suff w:val="space"/>
        <w:lvlText w:val="%1"/>
        <w:lvlJc w:val="left"/>
        <w:pPr>
          <w:ind w:left="0" w:firstLine="0"/>
        </w:pPr>
        <w:rPr>
          <w:rFonts w:ascii="Britannic Bold" w:hAnsi="Britannic Bold" w:hint="default"/>
          <w:sz w:val="52"/>
        </w:rPr>
      </w:lvl>
    </w:lvlOverride>
    <w:lvlOverride w:ilvl="1">
      <w:lvl w:ilvl="1">
        <w:start w:val="1"/>
        <w:numFmt w:val="decimal"/>
        <w:pStyle w:val="HEADER002"/>
        <w:suff w:val="space"/>
        <w:lvlText w:val="%1.%2"/>
        <w:lvlJc w:val="left"/>
        <w:pPr>
          <w:ind w:left="0" w:firstLine="0"/>
        </w:pPr>
        <w:rPr>
          <w:rFonts w:hint="default"/>
        </w:rPr>
      </w:lvl>
    </w:lvlOverride>
    <w:lvlOverride w:ilvl="2">
      <w:lvl w:ilvl="2">
        <w:start w:val="1"/>
        <w:numFmt w:val="decimal"/>
        <w:pStyle w:val="Heading3"/>
        <w:suff w:val="space"/>
        <w:lvlText w:val="%1.%2.%3"/>
        <w:lvlJc w:val="left"/>
        <w:pPr>
          <w:ind w:left="0" w:firstLine="0"/>
        </w:pPr>
        <w:rPr>
          <w:rFonts w:hint="default"/>
          <w:b/>
        </w:rPr>
      </w:lvl>
    </w:lvlOverride>
    <w:lvlOverride w:ilvl="3">
      <w:lvl w:ilvl="3">
        <w:start w:val="1"/>
        <w:numFmt w:val="decimal"/>
        <w:pStyle w:val="HEADER004"/>
        <w:suff w:val="space"/>
        <w:lvlText w:val="%1.%2.%3.%4"/>
        <w:lvlJc w:val="left"/>
        <w:pPr>
          <w:ind w:left="0" w:firstLine="0"/>
        </w:pPr>
        <w:rPr>
          <w:rFonts w:hint="default"/>
        </w:rPr>
      </w:lvl>
    </w:lvlOverride>
    <w:lvlOverride w:ilvl="4">
      <w:lvl w:ilvl="4">
        <w:start w:val="1"/>
        <w:numFmt w:val="decimal"/>
        <w:pStyle w:val="HEADER005"/>
        <w:suff w:val="space"/>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10">
    <w:abstractNumId w:val="71"/>
  </w:num>
  <w:num w:numId="11">
    <w:abstractNumId w:val="103"/>
  </w:num>
  <w:num w:numId="12">
    <w:abstractNumId w:val="134"/>
  </w:num>
  <w:num w:numId="13">
    <w:abstractNumId w:val="66"/>
  </w:num>
  <w:num w:numId="14">
    <w:abstractNumId w:val="79"/>
  </w:num>
  <w:num w:numId="15">
    <w:abstractNumId w:val="67"/>
  </w:num>
  <w:num w:numId="16">
    <w:abstractNumId w:val="9"/>
  </w:num>
  <w:num w:numId="17">
    <w:abstractNumId w:val="19"/>
  </w:num>
  <w:num w:numId="18">
    <w:abstractNumId w:val="0"/>
  </w:num>
  <w:num w:numId="19">
    <w:abstractNumId w:val="104"/>
  </w:num>
  <w:num w:numId="20">
    <w:abstractNumId w:val="137"/>
  </w:num>
  <w:num w:numId="21">
    <w:abstractNumId w:val="3"/>
  </w:num>
  <w:num w:numId="22">
    <w:abstractNumId w:val="54"/>
  </w:num>
  <w:num w:numId="23">
    <w:abstractNumId w:val="46"/>
  </w:num>
  <w:num w:numId="24">
    <w:abstractNumId w:val="83"/>
  </w:num>
  <w:num w:numId="25">
    <w:abstractNumId w:val="24"/>
  </w:num>
  <w:num w:numId="26">
    <w:abstractNumId w:val="139"/>
  </w:num>
  <w:num w:numId="27">
    <w:abstractNumId w:val="82"/>
  </w:num>
  <w:num w:numId="28">
    <w:abstractNumId w:val="4"/>
  </w:num>
  <w:num w:numId="29">
    <w:abstractNumId w:val="135"/>
  </w:num>
  <w:num w:numId="30">
    <w:abstractNumId w:val="73"/>
  </w:num>
  <w:num w:numId="31">
    <w:abstractNumId w:val="27"/>
  </w:num>
  <w:num w:numId="32">
    <w:abstractNumId w:val="52"/>
  </w:num>
  <w:num w:numId="33">
    <w:abstractNumId w:val="111"/>
  </w:num>
  <w:num w:numId="34">
    <w:abstractNumId w:val="112"/>
  </w:num>
  <w:num w:numId="35">
    <w:abstractNumId w:val="119"/>
  </w:num>
  <w:num w:numId="36">
    <w:abstractNumId w:val="32"/>
  </w:num>
  <w:num w:numId="37">
    <w:abstractNumId w:val="109"/>
  </w:num>
  <w:num w:numId="38">
    <w:abstractNumId w:val="23"/>
  </w:num>
  <w:num w:numId="39">
    <w:abstractNumId w:val="140"/>
  </w:num>
  <w:num w:numId="40">
    <w:abstractNumId w:val="117"/>
  </w:num>
  <w:num w:numId="41">
    <w:abstractNumId w:val="8"/>
  </w:num>
  <w:num w:numId="42">
    <w:abstractNumId w:val="68"/>
  </w:num>
  <w:num w:numId="43">
    <w:abstractNumId w:val="133"/>
  </w:num>
  <w:num w:numId="44">
    <w:abstractNumId w:val="60"/>
  </w:num>
  <w:num w:numId="45">
    <w:abstractNumId w:val="127"/>
  </w:num>
  <w:num w:numId="46">
    <w:abstractNumId w:val="138"/>
  </w:num>
  <w:num w:numId="47">
    <w:abstractNumId w:val="114"/>
  </w:num>
  <w:num w:numId="48">
    <w:abstractNumId w:val="91"/>
  </w:num>
  <w:num w:numId="49">
    <w:abstractNumId w:val="116"/>
  </w:num>
  <w:num w:numId="50">
    <w:abstractNumId w:val="92"/>
  </w:num>
  <w:num w:numId="51">
    <w:abstractNumId w:val="88"/>
  </w:num>
  <w:num w:numId="52">
    <w:abstractNumId w:val="89"/>
  </w:num>
  <w:num w:numId="53">
    <w:abstractNumId w:val="77"/>
  </w:num>
  <w:num w:numId="54">
    <w:abstractNumId w:val="59"/>
  </w:num>
  <w:num w:numId="55">
    <w:abstractNumId w:val="72"/>
  </w:num>
  <w:num w:numId="56">
    <w:abstractNumId w:val="13"/>
  </w:num>
  <w:num w:numId="57">
    <w:abstractNumId w:val="61"/>
  </w:num>
  <w:num w:numId="58">
    <w:abstractNumId w:val="50"/>
  </w:num>
  <w:num w:numId="59">
    <w:abstractNumId w:val="75"/>
  </w:num>
  <w:num w:numId="60">
    <w:abstractNumId w:val="40"/>
  </w:num>
  <w:num w:numId="61">
    <w:abstractNumId w:val="12"/>
  </w:num>
  <w:num w:numId="62">
    <w:abstractNumId w:val="102"/>
  </w:num>
  <w:num w:numId="63">
    <w:abstractNumId w:val="142"/>
  </w:num>
  <w:num w:numId="64">
    <w:abstractNumId w:val="48"/>
  </w:num>
  <w:num w:numId="65">
    <w:abstractNumId w:val="108"/>
  </w:num>
  <w:num w:numId="66">
    <w:abstractNumId w:val="110"/>
  </w:num>
  <w:num w:numId="67">
    <w:abstractNumId w:val="35"/>
  </w:num>
  <w:num w:numId="68">
    <w:abstractNumId w:val="6"/>
  </w:num>
  <w:num w:numId="69">
    <w:abstractNumId w:val="16"/>
  </w:num>
  <w:num w:numId="70">
    <w:abstractNumId w:val="31"/>
  </w:num>
  <w:num w:numId="71">
    <w:abstractNumId w:val="38"/>
  </w:num>
  <w:num w:numId="72">
    <w:abstractNumId w:val="150"/>
  </w:num>
  <w:num w:numId="73">
    <w:abstractNumId w:val="107"/>
  </w:num>
  <w:num w:numId="74">
    <w:abstractNumId w:val="64"/>
  </w:num>
  <w:num w:numId="75">
    <w:abstractNumId w:val="94"/>
  </w:num>
  <w:num w:numId="76">
    <w:abstractNumId w:val="37"/>
  </w:num>
  <w:num w:numId="77">
    <w:abstractNumId w:val="143"/>
  </w:num>
  <w:num w:numId="78">
    <w:abstractNumId w:val="147"/>
  </w:num>
  <w:num w:numId="79">
    <w:abstractNumId w:val="78"/>
  </w:num>
  <w:num w:numId="80">
    <w:abstractNumId w:val="28"/>
  </w:num>
  <w:num w:numId="81">
    <w:abstractNumId w:val="87"/>
  </w:num>
  <w:num w:numId="82">
    <w:abstractNumId w:val="33"/>
  </w:num>
  <w:num w:numId="83">
    <w:abstractNumId w:val="21"/>
  </w:num>
  <w:num w:numId="84">
    <w:abstractNumId w:val="53"/>
  </w:num>
  <w:num w:numId="85">
    <w:abstractNumId w:val="20"/>
  </w:num>
  <w:num w:numId="86">
    <w:abstractNumId w:val="10"/>
  </w:num>
  <w:num w:numId="87">
    <w:abstractNumId w:val="141"/>
  </w:num>
  <w:num w:numId="88">
    <w:abstractNumId w:val="15"/>
  </w:num>
  <w:num w:numId="89">
    <w:abstractNumId w:val="22"/>
  </w:num>
  <w:num w:numId="90">
    <w:abstractNumId w:val="1"/>
  </w:num>
  <w:num w:numId="91">
    <w:abstractNumId w:val="149"/>
  </w:num>
  <w:num w:numId="92">
    <w:abstractNumId w:val="18"/>
  </w:num>
  <w:num w:numId="93">
    <w:abstractNumId w:val="106"/>
  </w:num>
  <w:num w:numId="94">
    <w:abstractNumId w:val="131"/>
  </w:num>
  <w:num w:numId="95">
    <w:abstractNumId w:val="93"/>
  </w:num>
  <w:num w:numId="96">
    <w:abstractNumId w:val="58"/>
  </w:num>
  <w:num w:numId="97">
    <w:abstractNumId w:val="115"/>
  </w:num>
  <w:num w:numId="98">
    <w:abstractNumId w:val="101"/>
  </w:num>
  <w:num w:numId="99">
    <w:abstractNumId w:val="123"/>
  </w:num>
  <w:num w:numId="100">
    <w:abstractNumId w:val="2"/>
  </w:num>
  <w:num w:numId="101">
    <w:abstractNumId w:val="118"/>
  </w:num>
  <w:num w:numId="102">
    <w:abstractNumId w:val="57"/>
  </w:num>
  <w:num w:numId="103">
    <w:abstractNumId w:val="51"/>
  </w:num>
  <w:num w:numId="104">
    <w:abstractNumId w:val="74"/>
  </w:num>
  <w:num w:numId="105">
    <w:abstractNumId w:val="17"/>
  </w:num>
  <w:num w:numId="106">
    <w:abstractNumId w:val="145"/>
  </w:num>
  <w:num w:numId="107">
    <w:abstractNumId w:val="130"/>
  </w:num>
  <w:num w:numId="108">
    <w:abstractNumId w:val="80"/>
  </w:num>
  <w:num w:numId="109">
    <w:abstractNumId w:val="126"/>
  </w:num>
  <w:num w:numId="110">
    <w:abstractNumId w:val="98"/>
  </w:num>
  <w:num w:numId="111">
    <w:abstractNumId w:val="122"/>
  </w:num>
  <w:num w:numId="112">
    <w:abstractNumId w:val="39"/>
  </w:num>
  <w:num w:numId="113">
    <w:abstractNumId w:val="62"/>
  </w:num>
  <w:num w:numId="114">
    <w:abstractNumId w:val="136"/>
  </w:num>
  <w:num w:numId="115">
    <w:abstractNumId w:val="125"/>
  </w:num>
  <w:num w:numId="116">
    <w:abstractNumId w:val="95"/>
  </w:num>
  <w:num w:numId="117">
    <w:abstractNumId w:val="90"/>
  </w:num>
  <w:num w:numId="118">
    <w:abstractNumId w:val="26"/>
  </w:num>
  <w:num w:numId="119">
    <w:abstractNumId w:val="55"/>
  </w:num>
  <w:num w:numId="120">
    <w:abstractNumId w:val="42"/>
  </w:num>
  <w:num w:numId="121">
    <w:abstractNumId w:val="128"/>
  </w:num>
  <w:num w:numId="122">
    <w:abstractNumId w:val="45"/>
  </w:num>
  <w:num w:numId="123">
    <w:abstractNumId w:val="105"/>
  </w:num>
  <w:num w:numId="124">
    <w:abstractNumId w:val="121"/>
  </w:num>
  <w:num w:numId="125">
    <w:abstractNumId w:val="25"/>
  </w:num>
  <w:num w:numId="126">
    <w:abstractNumId w:val="70"/>
  </w:num>
  <w:num w:numId="127">
    <w:abstractNumId w:val="129"/>
  </w:num>
  <w:num w:numId="128">
    <w:abstractNumId w:val="47"/>
  </w:num>
  <w:num w:numId="129">
    <w:abstractNumId w:val="7"/>
  </w:num>
  <w:num w:numId="130">
    <w:abstractNumId w:val="69"/>
  </w:num>
  <w:num w:numId="131">
    <w:abstractNumId w:val="29"/>
  </w:num>
  <w:num w:numId="132">
    <w:abstractNumId w:val="85"/>
  </w:num>
  <w:num w:numId="133">
    <w:abstractNumId w:val="154"/>
  </w:num>
  <w:num w:numId="134">
    <w:abstractNumId w:val="30"/>
  </w:num>
  <w:num w:numId="135">
    <w:abstractNumId w:val="43"/>
  </w:num>
  <w:num w:numId="136">
    <w:abstractNumId w:val="96"/>
  </w:num>
  <w:num w:numId="137">
    <w:abstractNumId w:val="113"/>
  </w:num>
  <w:num w:numId="138">
    <w:abstractNumId w:val="144"/>
  </w:num>
  <w:num w:numId="139">
    <w:abstractNumId w:val="63"/>
  </w:num>
  <w:num w:numId="140">
    <w:abstractNumId w:val="148"/>
  </w:num>
  <w:num w:numId="141">
    <w:abstractNumId w:val="84"/>
  </w:num>
  <w:num w:numId="142">
    <w:abstractNumId w:val="65"/>
  </w:num>
  <w:num w:numId="143">
    <w:abstractNumId w:val="97"/>
  </w:num>
  <w:num w:numId="144">
    <w:abstractNumId w:val="41"/>
  </w:num>
  <w:num w:numId="145">
    <w:abstractNumId w:val="124"/>
  </w:num>
  <w:num w:numId="146">
    <w:abstractNumId w:val="81"/>
  </w:num>
  <w:num w:numId="147">
    <w:abstractNumId w:val="86"/>
  </w:num>
  <w:num w:numId="148">
    <w:abstractNumId w:val="151"/>
  </w:num>
  <w:num w:numId="149">
    <w:abstractNumId w:val="153"/>
  </w:num>
  <w:num w:numId="150">
    <w:abstractNumId w:val="34"/>
  </w:num>
  <w:num w:numId="151">
    <w:abstractNumId w:val="120"/>
  </w:num>
  <w:num w:numId="152">
    <w:abstractNumId w:val="132"/>
  </w:num>
  <w:num w:numId="153">
    <w:abstractNumId w:val="5"/>
  </w:num>
  <w:num w:numId="154">
    <w:abstractNumId w:val="76"/>
  </w:num>
  <w:num w:numId="155">
    <w:abstractNumId w:val="49"/>
  </w:num>
  <w:num w:numId="156">
    <w:abstractNumId w:val="56"/>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91C"/>
    <w:rsid w:val="0000057B"/>
    <w:rsid w:val="00000FEE"/>
    <w:rsid w:val="00002907"/>
    <w:rsid w:val="00002DDC"/>
    <w:rsid w:val="000034C0"/>
    <w:rsid w:val="000035F6"/>
    <w:rsid w:val="00003853"/>
    <w:rsid w:val="00003B97"/>
    <w:rsid w:val="00003D75"/>
    <w:rsid w:val="00004534"/>
    <w:rsid w:val="00004984"/>
    <w:rsid w:val="0000519D"/>
    <w:rsid w:val="000058D3"/>
    <w:rsid w:val="00005DB6"/>
    <w:rsid w:val="00005E9E"/>
    <w:rsid w:val="000060A6"/>
    <w:rsid w:val="000068A7"/>
    <w:rsid w:val="00007141"/>
    <w:rsid w:val="000073C3"/>
    <w:rsid w:val="00007E24"/>
    <w:rsid w:val="00010093"/>
    <w:rsid w:val="000103A7"/>
    <w:rsid w:val="000104A4"/>
    <w:rsid w:val="00010513"/>
    <w:rsid w:val="00010A21"/>
    <w:rsid w:val="00010DC9"/>
    <w:rsid w:val="000117A8"/>
    <w:rsid w:val="000117DB"/>
    <w:rsid w:val="00011D1C"/>
    <w:rsid w:val="00011E74"/>
    <w:rsid w:val="00011F6C"/>
    <w:rsid w:val="000123A3"/>
    <w:rsid w:val="00012863"/>
    <w:rsid w:val="00012D7B"/>
    <w:rsid w:val="0001310B"/>
    <w:rsid w:val="000140BC"/>
    <w:rsid w:val="0001457D"/>
    <w:rsid w:val="00014A5E"/>
    <w:rsid w:val="00014BAF"/>
    <w:rsid w:val="00015341"/>
    <w:rsid w:val="00015644"/>
    <w:rsid w:val="00015AFB"/>
    <w:rsid w:val="00016611"/>
    <w:rsid w:val="00016A24"/>
    <w:rsid w:val="000171C8"/>
    <w:rsid w:val="0001746F"/>
    <w:rsid w:val="000175CB"/>
    <w:rsid w:val="000177A9"/>
    <w:rsid w:val="000177CF"/>
    <w:rsid w:val="000179F7"/>
    <w:rsid w:val="00017AE0"/>
    <w:rsid w:val="00017BFE"/>
    <w:rsid w:val="00017DC8"/>
    <w:rsid w:val="00017FFB"/>
    <w:rsid w:val="0002004F"/>
    <w:rsid w:val="000206F5"/>
    <w:rsid w:val="0002073D"/>
    <w:rsid w:val="00020E57"/>
    <w:rsid w:val="00020F59"/>
    <w:rsid w:val="0002121B"/>
    <w:rsid w:val="000217B9"/>
    <w:rsid w:val="0002195E"/>
    <w:rsid w:val="0002195F"/>
    <w:rsid w:val="00021960"/>
    <w:rsid w:val="00021E7C"/>
    <w:rsid w:val="0002223F"/>
    <w:rsid w:val="00022C73"/>
    <w:rsid w:val="000234E8"/>
    <w:rsid w:val="0002350D"/>
    <w:rsid w:val="00023D69"/>
    <w:rsid w:val="00024AE1"/>
    <w:rsid w:val="00024C49"/>
    <w:rsid w:val="0002506C"/>
    <w:rsid w:val="000255A4"/>
    <w:rsid w:val="000262DB"/>
    <w:rsid w:val="00026992"/>
    <w:rsid w:val="00026A5C"/>
    <w:rsid w:val="00026F60"/>
    <w:rsid w:val="00026FE2"/>
    <w:rsid w:val="00027087"/>
    <w:rsid w:val="0002731C"/>
    <w:rsid w:val="00027C62"/>
    <w:rsid w:val="00027DDB"/>
    <w:rsid w:val="00030543"/>
    <w:rsid w:val="00030A16"/>
    <w:rsid w:val="00030AFE"/>
    <w:rsid w:val="000312EC"/>
    <w:rsid w:val="0003155C"/>
    <w:rsid w:val="0003185F"/>
    <w:rsid w:val="00033478"/>
    <w:rsid w:val="000338CF"/>
    <w:rsid w:val="00034173"/>
    <w:rsid w:val="00034417"/>
    <w:rsid w:val="00034856"/>
    <w:rsid w:val="00034881"/>
    <w:rsid w:val="00035EDB"/>
    <w:rsid w:val="00037885"/>
    <w:rsid w:val="00037C86"/>
    <w:rsid w:val="00037FD6"/>
    <w:rsid w:val="000403CF"/>
    <w:rsid w:val="000407FC"/>
    <w:rsid w:val="000420EB"/>
    <w:rsid w:val="000424F1"/>
    <w:rsid w:val="000429C6"/>
    <w:rsid w:val="00042BD4"/>
    <w:rsid w:val="000434B0"/>
    <w:rsid w:val="000437F1"/>
    <w:rsid w:val="00043B38"/>
    <w:rsid w:val="00043DCF"/>
    <w:rsid w:val="00044107"/>
    <w:rsid w:val="00044B0B"/>
    <w:rsid w:val="00044FA2"/>
    <w:rsid w:val="00045264"/>
    <w:rsid w:val="00045EDD"/>
    <w:rsid w:val="000461F4"/>
    <w:rsid w:val="0004675B"/>
    <w:rsid w:val="000468FA"/>
    <w:rsid w:val="00046A62"/>
    <w:rsid w:val="00046D16"/>
    <w:rsid w:val="00047262"/>
    <w:rsid w:val="0004792A"/>
    <w:rsid w:val="00051141"/>
    <w:rsid w:val="000515FC"/>
    <w:rsid w:val="00051B31"/>
    <w:rsid w:val="00052440"/>
    <w:rsid w:val="00052C32"/>
    <w:rsid w:val="000532C8"/>
    <w:rsid w:val="00053F52"/>
    <w:rsid w:val="000541EE"/>
    <w:rsid w:val="00054391"/>
    <w:rsid w:val="000545E9"/>
    <w:rsid w:val="000547CE"/>
    <w:rsid w:val="00054C63"/>
    <w:rsid w:val="00054D35"/>
    <w:rsid w:val="000556D8"/>
    <w:rsid w:val="00056761"/>
    <w:rsid w:val="00056BF7"/>
    <w:rsid w:val="00060E7A"/>
    <w:rsid w:val="00060F3B"/>
    <w:rsid w:val="00061486"/>
    <w:rsid w:val="00061810"/>
    <w:rsid w:val="00061E71"/>
    <w:rsid w:val="000623A4"/>
    <w:rsid w:val="000623BA"/>
    <w:rsid w:val="0006271B"/>
    <w:rsid w:val="00062AD0"/>
    <w:rsid w:val="000630F3"/>
    <w:rsid w:val="00063262"/>
    <w:rsid w:val="00063A64"/>
    <w:rsid w:val="00063B31"/>
    <w:rsid w:val="000641AA"/>
    <w:rsid w:val="000641D7"/>
    <w:rsid w:val="000642AF"/>
    <w:rsid w:val="00064804"/>
    <w:rsid w:val="0006537A"/>
    <w:rsid w:val="00065499"/>
    <w:rsid w:val="00065B03"/>
    <w:rsid w:val="00065BC5"/>
    <w:rsid w:val="00065F31"/>
    <w:rsid w:val="00065F4A"/>
    <w:rsid w:val="000663C3"/>
    <w:rsid w:val="0006664B"/>
    <w:rsid w:val="000668BE"/>
    <w:rsid w:val="00066906"/>
    <w:rsid w:val="00066B14"/>
    <w:rsid w:val="00067077"/>
    <w:rsid w:val="000673AC"/>
    <w:rsid w:val="00070483"/>
    <w:rsid w:val="000705FA"/>
    <w:rsid w:val="00070887"/>
    <w:rsid w:val="00070AE5"/>
    <w:rsid w:val="00070E25"/>
    <w:rsid w:val="00071510"/>
    <w:rsid w:val="0007152E"/>
    <w:rsid w:val="00072703"/>
    <w:rsid w:val="000727C9"/>
    <w:rsid w:val="00072AE3"/>
    <w:rsid w:val="00072E37"/>
    <w:rsid w:val="00072F06"/>
    <w:rsid w:val="00073416"/>
    <w:rsid w:val="00073B05"/>
    <w:rsid w:val="00073C9E"/>
    <w:rsid w:val="00073DE3"/>
    <w:rsid w:val="00073ECB"/>
    <w:rsid w:val="000744AF"/>
    <w:rsid w:val="00074B1D"/>
    <w:rsid w:val="0007571B"/>
    <w:rsid w:val="000759CA"/>
    <w:rsid w:val="00075B95"/>
    <w:rsid w:val="0007628E"/>
    <w:rsid w:val="000764D4"/>
    <w:rsid w:val="0007696B"/>
    <w:rsid w:val="00076E87"/>
    <w:rsid w:val="000803F2"/>
    <w:rsid w:val="00080602"/>
    <w:rsid w:val="000806C5"/>
    <w:rsid w:val="00080E34"/>
    <w:rsid w:val="00081285"/>
    <w:rsid w:val="000816BA"/>
    <w:rsid w:val="0008188B"/>
    <w:rsid w:val="00081A8B"/>
    <w:rsid w:val="00082014"/>
    <w:rsid w:val="00082692"/>
    <w:rsid w:val="000826FB"/>
    <w:rsid w:val="000830B6"/>
    <w:rsid w:val="00083895"/>
    <w:rsid w:val="00083A44"/>
    <w:rsid w:val="00083FC8"/>
    <w:rsid w:val="0008452F"/>
    <w:rsid w:val="0008461A"/>
    <w:rsid w:val="000846AC"/>
    <w:rsid w:val="00084CC3"/>
    <w:rsid w:val="000850C5"/>
    <w:rsid w:val="00085318"/>
    <w:rsid w:val="00085CF4"/>
    <w:rsid w:val="0008603A"/>
    <w:rsid w:val="0008733C"/>
    <w:rsid w:val="000877B3"/>
    <w:rsid w:val="00090164"/>
    <w:rsid w:val="000901B7"/>
    <w:rsid w:val="0009063A"/>
    <w:rsid w:val="00091168"/>
    <w:rsid w:val="000913A1"/>
    <w:rsid w:val="0009242D"/>
    <w:rsid w:val="00093DFB"/>
    <w:rsid w:val="00093F52"/>
    <w:rsid w:val="00093F73"/>
    <w:rsid w:val="000944D7"/>
    <w:rsid w:val="00094516"/>
    <w:rsid w:val="00094775"/>
    <w:rsid w:val="0009501A"/>
    <w:rsid w:val="00095798"/>
    <w:rsid w:val="00096987"/>
    <w:rsid w:val="00096DBF"/>
    <w:rsid w:val="00096F14"/>
    <w:rsid w:val="000972A6"/>
    <w:rsid w:val="00097764"/>
    <w:rsid w:val="000977E1"/>
    <w:rsid w:val="0009799B"/>
    <w:rsid w:val="000A0338"/>
    <w:rsid w:val="000A081E"/>
    <w:rsid w:val="000A0A74"/>
    <w:rsid w:val="000A0AF0"/>
    <w:rsid w:val="000A0D66"/>
    <w:rsid w:val="000A0EA5"/>
    <w:rsid w:val="000A2202"/>
    <w:rsid w:val="000A2391"/>
    <w:rsid w:val="000A253D"/>
    <w:rsid w:val="000A2655"/>
    <w:rsid w:val="000A27B3"/>
    <w:rsid w:val="000A2962"/>
    <w:rsid w:val="000A2BDE"/>
    <w:rsid w:val="000A2EBF"/>
    <w:rsid w:val="000A3E9B"/>
    <w:rsid w:val="000A42FB"/>
    <w:rsid w:val="000A53E4"/>
    <w:rsid w:val="000A56DA"/>
    <w:rsid w:val="000A591C"/>
    <w:rsid w:val="000A59DF"/>
    <w:rsid w:val="000A64AE"/>
    <w:rsid w:val="000A6A9A"/>
    <w:rsid w:val="000A6FF2"/>
    <w:rsid w:val="000A713F"/>
    <w:rsid w:val="000A76E6"/>
    <w:rsid w:val="000A79B6"/>
    <w:rsid w:val="000A7B73"/>
    <w:rsid w:val="000A7D97"/>
    <w:rsid w:val="000B0789"/>
    <w:rsid w:val="000B0A13"/>
    <w:rsid w:val="000B0FCA"/>
    <w:rsid w:val="000B19C5"/>
    <w:rsid w:val="000B249D"/>
    <w:rsid w:val="000B2543"/>
    <w:rsid w:val="000B2603"/>
    <w:rsid w:val="000B2C6A"/>
    <w:rsid w:val="000B31DF"/>
    <w:rsid w:val="000B35AE"/>
    <w:rsid w:val="000B36EC"/>
    <w:rsid w:val="000B3CA0"/>
    <w:rsid w:val="000B414E"/>
    <w:rsid w:val="000B426B"/>
    <w:rsid w:val="000B44E2"/>
    <w:rsid w:val="000B49B3"/>
    <w:rsid w:val="000B54E5"/>
    <w:rsid w:val="000B5A23"/>
    <w:rsid w:val="000B6129"/>
    <w:rsid w:val="000B72D1"/>
    <w:rsid w:val="000B7E18"/>
    <w:rsid w:val="000C0AF6"/>
    <w:rsid w:val="000C0C21"/>
    <w:rsid w:val="000C0F76"/>
    <w:rsid w:val="000C1140"/>
    <w:rsid w:val="000C1C62"/>
    <w:rsid w:val="000C2566"/>
    <w:rsid w:val="000C2AFC"/>
    <w:rsid w:val="000C3B79"/>
    <w:rsid w:val="000C3F18"/>
    <w:rsid w:val="000C45B4"/>
    <w:rsid w:val="000C51B7"/>
    <w:rsid w:val="000C5A47"/>
    <w:rsid w:val="000C5C5A"/>
    <w:rsid w:val="000C64F6"/>
    <w:rsid w:val="000C65F7"/>
    <w:rsid w:val="000C66A7"/>
    <w:rsid w:val="000C6742"/>
    <w:rsid w:val="000C67B7"/>
    <w:rsid w:val="000C7063"/>
    <w:rsid w:val="000C70C0"/>
    <w:rsid w:val="000C751D"/>
    <w:rsid w:val="000D0116"/>
    <w:rsid w:val="000D07D8"/>
    <w:rsid w:val="000D0B4B"/>
    <w:rsid w:val="000D0C36"/>
    <w:rsid w:val="000D0DA4"/>
    <w:rsid w:val="000D1144"/>
    <w:rsid w:val="000D15B6"/>
    <w:rsid w:val="000D16B7"/>
    <w:rsid w:val="000D29B3"/>
    <w:rsid w:val="000D2CAD"/>
    <w:rsid w:val="000D3721"/>
    <w:rsid w:val="000D3BDA"/>
    <w:rsid w:val="000D426F"/>
    <w:rsid w:val="000D4484"/>
    <w:rsid w:val="000D4B15"/>
    <w:rsid w:val="000D4E5E"/>
    <w:rsid w:val="000D5324"/>
    <w:rsid w:val="000D56C6"/>
    <w:rsid w:val="000D5DE4"/>
    <w:rsid w:val="000D6CF3"/>
    <w:rsid w:val="000D6D67"/>
    <w:rsid w:val="000D7316"/>
    <w:rsid w:val="000E01DE"/>
    <w:rsid w:val="000E020D"/>
    <w:rsid w:val="000E04F2"/>
    <w:rsid w:val="000E118C"/>
    <w:rsid w:val="000E15BD"/>
    <w:rsid w:val="000E2058"/>
    <w:rsid w:val="000E237A"/>
    <w:rsid w:val="000E2813"/>
    <w:rsid w:val="000E35D1"/>
    <w:rsid w:val="000E3D81"/>
    <w:rsid w:val="000E487D"/>
    <w:rsid w:val="000E4B23"/>
    <w:rsid w:val="000E4C18"/>
    <w:rsid w:val="000E5AE4"/>
    <w:rsid w:val="000E6566"/>
    <w:rsid w:val="000E68BE"/>
    <w:rsid w:val="000E69A3"/>
    <w:rsid w:val="000E712F"/>
    <w:rsid w:val="000E79B2"/>
    <w:rsid w:val="000E7D9F"/>
    <w:rsid w:val="000F0742"/>
    <w:rsid w:val="000F07D6"/>
    <w:rsid w:val="000F0B22"/>
    <w:rsid w:val="000F0BBF"/>
    <w:rsid w:val="000F0C61"/>
    <w:rsid w:val="000F0E9A"/>
    <w:rsid w:val="000F0FA3"/>
    <w:rsid w:val="000F1928"/>
    <w:rsid w:val="000F20B3"/>
    <w:rsid w:val="000F213B"/>
    <w:rsid w:val="000F25A2"/>
    <w:rsid w:val="000F295C"/>
    <w:rsid w:val="000F2F10"/>
    <w:rsid w:val="000F3473"/>
    <w:rsid w:val="000F34CB"/>
    <w:rsid w:val="000F415B"/>
    <w:rsid w:val="000F45E7"/>
    <w:rsid w:val="000F4785"/>
    <w:rsid w:val="000F4890"/>
    <w:rsid w:val="000F4F4D"/>
    <w:rsid w:val="000F59C3"/>
    <w:rsid w:val="000F5A29"/>
    <w:rsid w:val="000F67B7"/>
    <w:rsid w:val="000F695C"/>
    <w:rsid w:val="000F6E9A"/>
    <w:rsid w:val="000F6EB3"/>
    <w:rsid w:val="000F6FDA"/>
    <w:rsid w:val="000F74B0"/>
    <w:rsid w:val="000F7D48"/>
    <w:rsid w:val="00100051"/>
    <w:rsid w:val="00100371"/>
    <w:rsid w:val="00100477"/>
    <w:rsid w:val="00100740"/>
    <w:rsid w:val="00100792"/>
    <w:rsid w:val="00101D57"/>
    <w:rsid w:val="00102765"/>
    <w:rsid w:val="00102D9E"/>
    <w:rsid w:val="00102E88"/>
    <w:rsid w:val="001033C5"/>
    <w:rsid w:val="00104121"/>
    <w:rsid w:val="0010418B"/>
    <w:rsid w:val="00104214"/>
    <w:rsid w:val="00104FF7"/>
    <w:rsid w:val="0010539B"/>
    <w:rsid w:val="00105F3B"/>
    <w:rsid w:val="001061FD"/>
    <w:rsid w:val="00106F04"/>
    <w:rsid w:val="001071D6"/>
    <w:rsid w:val="00110229"/>
    <w:rsid w:val="00111044"/>
    <w:rsid w:val="0011132A"/>
    <w:rsid w:val="0011135F"/>
    <w:rsid w:val="001114A3"/>
    <w:rsid w:val="00111FA5"/>
    <w:rsid w:val="00112263"/>
    <w:rsid w:val="00112374"/>
    <w:rsid w:val="001123CB"/>
    <w:rsid w:val="0011251C"/>
    <w:rsid w:val="001126E7"/>
    <w:rsid w:val="001135ED"/>
    <w:rsid w:val="001141CD"/>
    <w:rsid w:val="00114649"/>
    <w:rsid w:val="00114CA8"/>
    <w:rsid w:val="0011531A"/>
    <w:rsid w:val="0011636D"/>
    <w:rsid w:val="00116C58"/>
    <w:rsid w:val="00117589"/>
    <w:rsid w:val="0011774A"/>
    <w:rsid w:val="001179F3"/>
    <w:rsid w:val="00117A0E"/>
    <w:rsid w:val="00117A3D"/>
    <w:rsid w:val="00117CF7"/>
    <w:rsid w:val="001201D1"/>
    <w:rsid w:val="00120307"/>
    <w:rsid w:val="0012055C"/>
    <w:rsid w:val="0012084E"/>
    <w:rsid w:val="00120EB4"/>
    <w:rsid w:val="001211B0"/>
    <w:rsid w:val="00121251"/>
    <w:rsid w:val="001212B0"/>
    <w:rsid w:val="00121908"/>
    <w:rsid w:val="00121B15"/>
    <w:rsid w:val="00121C44"/>
    <w:rsid w:val="00121C81"/>
    <w:rsid w:val="00121CFB"/>
    <w:rsid w:val="00121DBF"/>
    <w:rsid w:val="00122307"/>
    <w:rsid w:val="001226EA"/>
    <w:rsid w:val="00123087"/>
    <w:rsid w:val="00123304"/>
    <w:rsid w:val="00123F7D"/>
    <w:rsid w:val="00123FAE"/>
    <w:rsid w:val="001247FF"/>
    <w:rsid w:val="00124AC7"/>
    <w:rsid w:val="00124FFB"/>
    <w:rsid w:val="001259A7"/>
    <w:rsid w:val="00125A9B"/>
    <w:rsid w:val="001263CB"/>
    <w:rsid w:val="00126E2F"/>
    <w:rsid w:val="00127245"/>
    <w:rsid w:val="00130B3C"/>
    <w:rsid w:val="00130BDA"/>
    <w:rsid w:val="001316C3"/>
    <w:rsid w:val="00131AF2"/>
    <w:rsid w:val="00131F44"/>
    <w:rsid w:val="00132209"/>
    <w:rsid w:val="00132CF2"/>
    <w:rsid w:val="00133054"/>
    <w:rsid w:val="001338F4"/>
    <w:rsid w:val="0013398B"/>
    <w:rsid w:val="00133A2F"/>
    <w:rsid w:val="00133E6A"/>
    <w:rsid w:val="00133F5C"/>
    <w:rsid w:val="00134115"/>
    <w:rsid w:val="001348F8"/>
    <w:rsid w:val="00134971"/>
    <w:rsid w:val="00134A6A"/>
    <w:rsid w:val="001354E7"/>
    <w:rsid w:val="00135EE7"/>
    <w:rsid w:val="00135FC8"/>
    <w:rsid w:val="001365FB"/>
    <w:rsid w:val="001369C4"/>
    <w:rsid w:val="001374BE"/>
    <w:rsid w:val="0013751B"/>
    <w:rsid w:val="0013769B"/>
    <w:rsid w:val="00137DDC"/>
    <w:rsid w:val="00137FB0"/>
    <w:rsid w:val="00140851"/>
    <w:rsid w:val="0014148F"/>
    <w:rsid w:val="00141882"/>
    <w:rsid w:val="00141F1A"/>
    <w:rsid w:val="00142967"/>
    <w:rsid w:val="00142BA5"/>
    <w:rsid w:val="0014308C"/>
    <w:rsid w:val="001432C0"/>
    <w:rsid w:val="00143EE2"/>
    <w:rsid w:val="00144966"/>
    <w:rsid w:val="001449FB"/>
    <w:rsid w:val="00144DE9"/>
    <w:rsid w:val="0014547B"/>
    <w:rsid w:val="00145B1E"/>
    <w:rsid w:val="0014687D"/>
    <w:rsid w:val="00146BF6"/>
    <w:rsid w:val="00147500"/>
    <w:rsid w:val="00147508"/>
    <w:rsid w:val="00147EAE"/>
    <w:rsid w:val="00147F68"/>
    <w:rsid w:val="00150BCF"/>
    <w:rsid w:val="00151450"/>
    <w:rsid w:val="0015150D"/>
    <w:rsid w:val="001517DE"/>
    <w:rsid w:val="00151965"/>
    <w:rsid w:val="00151B91"/>
    <w:rsid w:val="0015201A"/>
    <w:rsid w:val="001521D6"/>
    <w:rsid w:val="00152AC9"/>
    <w:rsid w:val="00152B88"/>
    <w:rsid w:val="00154242"/>
    <w:rsid w:val="00154E16"/>
    <w:rsid w:val="00155563"/>
    <w:rsid w:val="00155977"/>
    <w:rsid w:val="00155D51"/>
    <w:rsid w:val="00156084"/>
    <w:rsid w:val="0015650E"/>
    <w:rsid w:val="00156868"/>
    <w:rsid w:val="00156B3D"/>
    <w:rsid w:val="00157494"/>
    <w:rsid w:val="00157CAC"/>
    <w:rsid w:val="001601F7"/>
    <w:rsid w:val="00160AE1"/>
    <w:rsid w:val="00160C60"/>
    <w:rsid w:val="00161031"/>
    <w:rsid w:val="0016159A"/>
    <w:rsid w:val="001615F9"/>
    <w:rsid w:val="0016168B"/>
    <w:rsid w:val="00161B0F"/>
    <w:rsid w:val="00162203"/>
    <w:rsid w:val="0016230D"/>
    <w:rsid w:val="0016289E"/>
    <w:rsid w:val="00162DB1"/>
    <w:rsid w:val="00163099"/>
    <w:rsid w:val="001637F0"/>
    <w:rsid w:val="001639AF"/>
    <w:rsid w:val="001639C0"/>
    <w:rsid w:val="001641E1"/>
    <w:rsid w:val="001644DC"/>
    <w:rsid w:val="001649DE"/>
    <w:rsid w:val="00164A1C"/>
    <w:rsid w:val="00164CC1"/>
    <w:rsid w:val="00164F59"/>
    <w:rsid w:val="00165698"/>
    <w:rsid w:val="001656AE"/>
    <w:rsid w:val="00165972"/>
    <w:rsid w:val="00165B88"/>
    <w:rsid w:val="00165CA8"/>
    <w:rsid w:val="00166009"/>
    <w:rsid w:val="00166B36"/>
    <w:rsid w:val="00167171"/>
    <w:rsid w:val="0016779B"/>
    <w:rsid w:val="001678C0"/>
    <w:rsid w:val="00170843"/>
    <w:rsid w:val="001709F3"/>
    <w:rsid w:val="00170AA2"/>
    <w:rsid w:val="00170EF6"/>
    <w:rsid w:val="00170F69"/>
    <w:rsid w:val="001711A1"/>
    <w:rsid w:val="0017125F"/>
    <w:rsid w:val="00171BBE"/>
    <w:rsid w:val="0017241F"/>
    <w:rsid w:val="0017376B"/>
    <w:rsid w:val="001738D6"/>
    <w:rsid w:val="001738ED"/>
    <w:rsid w:val="00173CC1"/>
    <w:rsid w:val="00173FA2"/>
    <w:rsid w:val="00174831"/>
    <w:rsid w:val="00174D3B"/>
    <w:rsid w:val="00174F3A"/>
    <w:rsid w:val="001752F7"/>
    <w:rsid w:val="0017534C"/>
    <w:rsid w:val="00175499"/>
    <w:rsid w:val="00175549"/>
    <w:rsid w:val="001757CD"/>
    <w:rsid w:val="00175BBF"/>
    <w:rsid w:val="00176A04"/>
    <w:rsid w:val="00176BA2"/>
    <w:rsid w:val="00176BB7"/>
    <w:rsid w:val="0017751A"/>
    <w:rsid w:val="0017780A"/>
    <w:rsid w:val="001778FD"/>
    <w:rsid w:val="0017791F"/>
    <w:rsid w:val="0017798A"/>
    <w:rsid w:val="00177FD1"/>
    <w:rsid w:val="001808CE"/>
    <w:rsid w:val="00180A7D"/>
    <w:rsid w:val="00180EBB"/>
    <w:rsid w:val="00181083"/>
    <w:rsid w:val="001821CE"/>
    <w:rsid w:val="001822C3"/>
    <w:rsid w:val="001823C0"/>
    <w:rsid w:val="0018285F"/>
    <w:rsid w:val="00182FF3"/>
    <w:rsid w:val="001833CF"/>
    <w:rsid w:val="00183636"/>
    <w:rsid w:val="00183990"/>
    <w:rsid w:val="00183D01"/>
    <w:rsid w:val="00183D75"/>
    <w:rsid w:val="00183DFA"/>
    <w:rsid w:val="00184317"/>
    <w:rsid w:val="001843E2"/>
    <w:rsid w:val="00184C3A"/>
    <w:rsid w:val="0018504A"/>
    <w:rsid w:val="00185303"/>
    <w:rsid w:val="00185F5C"/>
    <w:rsid w:val="00185FE2"/>
    <w:rsid w:val="0018612C"/>
    <w:rsid w:val="00186383"/>
    <w:rsid w:val="0018641D"/>
    <w:rsid w:val="00186590"/>
    <w:rsid w:val="00186890"/>
    <w:rsid w:val="00186987"/>
    <w:rsid w:val="00187D5B"/>
    <w:rsid w:val="001900B9"/>
    <w:rsid w:val="00190649"/>
    <w:rsid w:val="00191349"/>
    <w:rsid w:val="001915C7"/>
    <w:rsid w:val="00191788"/>
    <w:rsid w:val="001925CA"/>
    <w:rsid w:val="0019263C"/>
    <w:rsid w:val="001928C8"/>
    <w:rsid w:val="00193011"/>
    <w:rsid w:val="001931BF"/>
    <w:rsid w:val="0019343E"/>
    <w:rsid w:val="001936AA"/>
    <w:rsid w:val="00194884"/>
    <w:rsid w:val="0019631B"/>
    <w:rsid w:val="001965F3"/>
    <w:rsid w:val="00197076"/>
    <w:rsid w:val="001A03FA"/>
    <w:rsid w:val="001A0BD9"/>
    <w:rsid w:val="001A0F26"/>
    <w:rsid w:val="001A1408"/>
    <w:rsid w:val="001A15F8"/>
    <w:rsid w:val="001A17B8"/>
    <w:rsid w:val="001A232A"/>
    <w:rsid w:val="001A24A4"/>
    <w:rsid w:val="001A2B4A"/>
    <w:rsid w:val="001A2C70"/>
    <w:rsid w:val="001A2E25"/>
    <w:rsid w:val="001A31C9"/>
    <w:rsid w:val="001A325F"/>
    <w:rsid w:val="001A369F"/>
    <w:rsid w:val="001A411B"/>
    <w:rsid w:val="001A4299"/>
    <w:rsid w:val="001A4A0B"/>
    <w:rsid w:val="001A5B6F"/>
    <w:rsid w:val="001A5DDE"/>
    <w:rsid w:val="001A6584"/>
    <w:rsid w:val="001A65BB"/>
    <w:rsid w:val="001A6A6B"/>
    <w:rsid w:val="001A6D35"/>
    <w:rsid w:val="001A7C7D"/>
    <w:rsid w:val="001B0138"/>
    <w:rsid w:val="001B0267"/>
    <w:rsid w:val="001B05CB"/>
    <w:rsid w:val="001B0EF2"/>
    <w:rsid w:val="001B14C8"/>
    <w:rsid w:val="001B1B79"/>
    <w:rsid w:val="001B1DCB"/>
    <w:rsid w:val="001B2044"/>
    <w:rsid w:val="001B20D6"/>
    <w:rsid w:val="001B2C76"/>
    <w:rsid w:val="001B3229"/>
    <w:rsid w:val="001B37BA"/>
    <w:rsid w:val="001B3D41"/>
    <w:rsid w:val="001B40DA"/>
    <w:rsid w:val="001B4260"/>
    <w:rsid w:val="001B494A"/>
    <w:rsid w:val="001B551E"/>
    <w:rsid w:val="001B5734"/>
    <w:rsid w:val="001B58A7"/>
    <w:rsid w:val="001B5BFF"/>
    <w:rsid w:val="001B73FC"/>
    <w:rsid w:val="001B7999"/>
    <w:rsid w:val="001C049A"/>
    <w:rsid w:val="001C055E"/>
    <w:rsid w:val="001C094C"/>
    <w:rsid w:val="001C098F"/>
    <w:rsid w:val="001C0B0F"/>
    <w:rsid w:val="001C0EE0"/>
    <w:rsid w:val="001C17FA"/>
    <w:rsid w:val="001C1E88"/>
    <w:rsid w:val="001C1F21"/>
    <w:rsid w:val="001C22B3"/>
    <w:rsid w:val="001C3042"/>
    <w:rsid w:val="001C37B5"/>
    <w:rsid w:val="001C391A"/>
    <w:rsid w:val="001C3988"/>
    <w:rsid w:val="001C39C0"/>
    <w:rsid w:val="001C39D0"/>
    <w:rsid w:val="001C47EB"/>
    <w:rsid w:val="001C4B60"/>
    <w:rsid w:val="001C504E"/>
    <w:rsid w:val="001C5AA0"/>
    <w:rsid w:val="001C5C8F"/>
    <w:rsid w:val="001C62E5"/>
    <w:rsid w:val="001C67BB"/>
    <w:rsid w:val="001C6C37"/>
    <w:rsid w:val="001C7C64"/>
    <w:rsid w:val="001C7E80"/>
    <w:rsid w:val="001D01AD"/>
    <w:rsid w:val="001D0677"/>
    <w:rsid w:val="001D119E"/>
    <w:rsid w:val="001D174F"/>
    <w:rsid w:val="001D1D3F"/>
    <w:rsid w:val="001D2337"/>
    <w:rsid w:val="001D238C"/>
    <w:rsid w:val="001D2C38"/>
    <w:rsid w:val="001D2F5C"/>
    <w:rsid w:val="001D308A"/>
    <w:rsid w:val="001D30EF"/>
    <w:rsid w:val="001D30FE"/>
    <w:rsid w:val="001D353C"/>
    <w:rsid w:val="001D3989"/>
    <w:rsid w:val="001D3F30"/>
    <w:rsid w:val="001D447E"/>
    <w:rsid w:val="001D479D"/>
    <w:rsid w:val="001D4853"/>
    <w:rsid w:val="001D5326"/>
    <w:rsid w:val="001D5D0D"/>
    <w:rsid w:val="001D6281"/>
    <w:rsid w:val="001D62C4"/>
    <w:rsid w:val="001D6326"/>
    <w:rsid w:val="001D6434"/>
    <w:rsid w:val="001D6C16"/>
    <w:rsid w:val="001D6DBE"/>
    <w:rsid w:val="001D6F48"/>
    <w:rsid w:val="001D7321"/>
    <w:rsid w:val="001D747B"/>
    <w:rsid w:val="001E091A"/>
    <w:rsid w:val="001E0C98"/>
    <w:rsid w:val="001E0E20"/>
    <w:rsid w:val="001E0F77"/>
    <w:rsid w:val="001E1BAD"/>
    <w:rsid w:val="001E239E"/>
    <w:rsid w:val="001E3241"/>
    <w:rsid w:val="001E3B14"/>
    <w:rsid w:val="001E3D83"/>
    <w:rsid w:val="001E402E"/>
    <w:rsid w:val="001E44D5"/>
    <w:rsid w:val="001E4D27"/>
    <w:rsid w:val="001E5125"/>
    <w:rsid w:val="001E535D"/>
    <w:rsid w:val="001E580B"/>
    <w:rsid w:val="001E5DC6"/>
    <w:rsid w:val="001E61D9"/>
    <w:rsid w:val="001E6234"/>
    <w:rsid w:val="001E65B2"/>
    <w:rsid w:val="001E6D07"/>
    <w:rsid w:val="001E72E8"/>
    <w:rsid w:val="001E7E9A"/>
    <w:rsid w:val="001F0040"/>
    <w:rsid w:val="001F0927"/>
    <w:rsid w:val="001F0CFB"/>
    <w:rsid w:val="001F0E76"/>
    <w:rsid w:val="001F11A9"/>
    <w:rsid w:val="001F161E"/>
    <w:rsid w:val="001F1648"/>
    <w:rsid w:val="001F1AAA"/>
    <w:rsid w:val="001F20C0"/>
    <w:rsid w:val="001F21DA"/>
    <w:rsid w:val="001F2A91"/>
    <w:rsid w:val="001F2B97"/>
    <w:rsid w:val="001F2C3D"/>
    <w:rsid w:val="001F2D98"/>
    <w:rsid w:val="001F2E1F"/>
    <w:rsid w:val="001F327B"/>
    <w:rsid w:val="001F3379"/>
    <w:rsid w:val="001F33B0"/>
    <w:rsid w:val="001F3727"/>
    <w:rsid w:val="001F3935"/>
    <w:rsid w:val="001F39E1"/>
    <w:rsid w:val="001F3FD3"/>
    <w:rsid w:val="001F409B"/>
    <w:rsid w:val="001F4D42"/>
    <w:rsid w:val="001F4DA6"/>
    <w:rsid w:val="001F5517"/>
    <w:rsid w:val="001F5805"/>
    <w:rsid w:val="001F6F7B"/>
    <w:rsid w:val="001F7A50"/>
    <w:rsid w:val="001F7B2F"/>
    <w:rsid w:val="001F7C22"/>
    <w:rsid w:val="0020069B"/>
    <w:rsid w:val="0020097C"/>
    <w:rsid w:val="00200C3B"/>
    <w:rsid w:val="0020103B"/>
    <w:rsid w:val="0020252D"/>
    <w:rsid w:val="0020268F"/>
    <w:rsid w:val="00202B93"/>
    <w:rsid w:val="00203167"/>
    <w:rsid w:val="0020403E"/>
    <w:rsid w:val="0020435B"/>
    <w:rsid w:val="00204453"/>
    <w:rsid w:val="00204922"/>
    <w:rsid w:val="0020530E"/>
    <w:rsid w:val="00205585"/>
    <w:rsid w:val="002057C5"/>
    <w:rsid w:val="00205CF2"/>
    <w:rsid w:val="0020609F"/>
    <w:rsid w:val="0020632A"/>
    <w:rsid w:val="00206EA9"/>
    <w:rsid w:val="0020708C"/>
    <w:rsid w:val="002071DC"/>
    <w:rsid w:val="00207393"/>
    <w:rsid w:val="002077F5"/>
    <w:rsid w:val="00207A24"/>
    <w:rsid w:val="00210597"/>
    <w:rsid w:val="002107F0"/>
    <w:rsid w:val="00210C3A"/>
    <w:rsid w:val="00210D8E"/>
    <w:rsid w:val="002111E3"/>
    <w:rsid w:val="0021128C"/>
    <w:rsid w:val="00211DA0"/>
    <w:rsid w:val="00212289"/>
    <w:rsid w:val="002128E7"/>
    <w:rsid w:val="00212915"/>
    <w:rsid w:val="0021358D"/>
    <w:rsid w:val="00213ABA"/>
    <w:rsid w:val="00213B45"/>
    <w:rsid w:val="0021402E"/>
    <w:rsid w:val="0021457B"/>
    <w:rsid w:val="002146EF"/>
    <w:rsid w:val="0021470A"/>
    <w:rsid w:val="002149E2"/>
    <w:rsid w:val="0021501D"/>
    <w:rsid w:val="00215243"/>
    <w:rsid w:val="0021538B"/>
    <w:rsid w:val="00215A60"/>
    <w:rsid w:val="00215D82"/>
    <w:rsid w:val="00215E59"/>
    <w:rsid w:val="00215F78"/>
    <w:rsid w:val="002160CE"/>
    <w:rsid w:val="00216852"/>
    <w:rsid w:val="0021709E"/>
    <w:rsid w:val="002170F7"/>
    <w:rsid w:val="0021712C"/>
    <w:rsid w:val="0021791B"/>
    <w:rsid w:val="00217C18"/>
    <w:rsid w:val="00220295"/>
    <w:rsid w:val="00220780"/>
    <w:rsid w:val="00220E7C"/>
    <w:rsid w:val="00221294"/>
    <w:rsid w:val="002218D4"/>
    <w:rsid w:val="00222586"/>
    <w:rsid w:val="00223F9B"/>
    <w:rsid w:val="00224C6B"/>
    <w:rsid w:val="0022503E"/>
    <w:rsid w:val="0022599A"/>
    <w:rsid w:val="00226034"/>
    <w:rsid w:val="002260B0"/>
    <w:rsid w:val="00226A6C"/>
    <w:rsid w:val="002272F3"/>
    <w:rsid w:val="00230F78"/>
    <w:rsid w:val="002317CF"/>
    <w:rsid w:val="00231B9E"/>
    <w:rsid w:val="00231FDE"/>
    <w:rsid w:val="0023260E"/>
    <w:rsid w:val="002328FA"/>
    <w:rsid w:val="00232ADA"/>
    <w:rsid w:val="00232F14"/>
    <w:rsid w:val="0023337A"/>
    <w:rsid w:val="00233CBC"/>
    <w:rsid w:val="00233FD8"/>
    <w:rsid w:val="0023446E"/>
    <w:rsid w:val="0023467C"/>
    <w:rsid w:val="00234854"/>
    <w:rsid w:val="00234B05"/>
    <w:rsid w:val="0023558A"/>
    <w:rsid w:val="0023582E"/>
    <w:rsid w:val="002359A7"/>
    <w:rsid w:val="00235C88"/>
    <w:rsid w:val="00235ECA"/>
    <w:rsid w:val="00236598"/>
    <w:rsid w:val="002369A7"/>
    <w:rsid w:val="00236BF4"/>
    <w:rsid w:val="00236CC5"/>
    <w:rsid w:val="00236CCA"/>
    <w:rsid w:val="00236F38"/>
    <w:rsid w:val="00237320"/>
    <w:rsid w:val="0023732D"/>
    <w:rsid w:val="0023755D"/>
    <w:rsid w:val="00237648"/>
    <w:rsid w:val="00237A1A"/>
    <w:rsid w:val="00237E42"/>
    <w:rsid w:val="0024040B"/>
    <w:rsid w:val="00240CC3"/>
    <w:rsid w:val="0024114B"/>
    <w:rsid w:val="00241ABC"/>
    <w:rsid w:val="00241F43"/>
    <w:rsid w:val="00242634"/>
    <w:rsid w:val="002429ED"/>
    <w:rsid w:val="00242A6A"/>
    <w:rsid w:val="00242AEE"/>
    <w:rsid w:val="002431D4"/>
    <w:rsid w:val="002431D8"/>
    <w:rsid w:val="00243490"/>
    <w:rsid w:val="002434A7"/>
    <w:rsid w:val="002438D7"/>
    <w:rsid w:val="00243E28"/>
    <w:rsid w:val="00244370"/>
    <w:rsid w:val="00245183"/>
    <w:rsid w:val="00245F9B"/>
    <w:rsid w:val="00246337"/>
    <w:rsid w:val="00246B36"/>
    <w:rsid w:val="0024708F"/>
    <w:rsid w:val="00247365"/>
    <w:rsid w:val="00247A6E"/>
    <w:rsid w:val="00247B3B"/>
    <w:rsid w:val="00247D9B"/>
    <w:rsid w:val="00247DAE"/>
    <w:rsid w:val="0025037B"/>
    <w:rsid w:val="002503FA"/>
    <w:rsid w:val="002506B3"/>
    <w:rsid w:val="00250705"/>
    <w:rsid w:val="00251727"/>
    <w:rsid w:val="002517CF"/>
    <w:rsid w:val="00251C46"/>
    <w:rsid w:val="00251E62"/>
    <w:rsid w:val="0025240A"/>
    <w:rsid w:val="00252B14"/>
    <w:rsid w:val="00253267"/>
    <w:rsid w:val="0025339D"/>
    <w:rsid w:val="00253800"/>
    <w:rsid w:val="002538F7"/>
    <w:rsid w:val="00253CE4"/>
    <w:rsid w:val="00253D10"/>
    <w:rsid w:val="00253EA4"/>
    <w:rsid w:val="002544ED"/>
    <w:rsid w:val="002548BE"/>
    <w:rsid w:val="002548EB"/>
    <w:rsid w:val="00254B3B"/>
    <w:rsid w:val="00254D1C"/>
    <w:rsid w:val="002550DA"/>
    <w:rsid w:val="002568DF"/>
    <w:rsid w:val="002568EF"/>
    <w:rsid w:val="00256B67"/>
    <w:rsid w:val="00256B68"/>
    <w:rsid w:val="002613BC"/>
    <w:rsid w:val="0026160E"/>
    <w:rsid w:val="00261755"/>
    <w:rsid w:val="00261A40"/>
    <w:rsid w:val="0026217E"/>
    <w:rsid w:val="002633ED"/>
    <w:rsid w:val="00263691"/>
    <w:rsid w:val="002639BF"/>
    <w:rsid w:val="002639EB"/>
    <w:rsid w:val="00263DE3"/>
    <w:rsid w:val="00264622"/>
    <w:rsid w:val="00264AB6"/>
    <w:rsid w:val="00265558"/>
    <w:rsid w:val="00265936"/>
    <w:rsid w:val="00266070"/>
    <w:rsid w:val="00266440"/>
    <w:rsid w:val="0026677E"/>
    <w:rsid w:val="00267379"/>
    <w:rsid w:val="002676DB"/>
    <w:rsid w:val="002677F6"/>
    <w:rsid w:val="002700C8"/>
    <w:rsid w:val="002700D2"/>
    <w:rsid w:val="0027013C"/>
    <w:rsid w:val="00270313"/>
    <w:rsid w:val="002709C1"/>
    <w:rsid w:val="00270B51"/>
    <w:rsid w:val="00270CB2"/>
    <w:rsid w:val="00271037"/>
    <w:rsid w:val="0027170C"/>
    <w:rsid w:val="00271C23"/>
    <w:rsid w:val="00271FF7"/>
    <w:rsid w:val="002724D0"/>
    <w:rsid w:val="00272559"/>
    <w:rsid w:val="00272573"/>
    <w:rsid w:val="0027269F"/>
    <w:rsid w:val="002727CB"/>
    <w:rsid w:val="0027282B"/>
    <w:rsid w:val="002728BD"/>
    <w:rsid w:val="00272F29"/>
    <w:rsid w:val="002731B3"/>
    <w:rsid w:val="00273701"/>
    <w:rsid w:val="00273716"/>
    <w:rsid w:val="00273805"/>
    <w:rsid w:val="00273AB2"/>
    <w:rsid w:val="00273B95"/>
    <w:rsid w:val="00273CB0"/>
    <w:rsid w:val="00274E6C"/>
    <w:rsid w:val="0027567D"/>
    <w:rsid w:val="00275A7E"/>
    <w:rsid w:val="00275C60"/>
    <w:rsid w:val="00275EE6"/>
    <w:rsid w:val="00276070"/>
    <w:rsid w:val="00276091"/>
    <w:rsid w:val="002764A6"/>
    <w:rsid w:val="002767F0"/>
    <w:rsid w:val="0027684F"/>
    <w:rsid w:val="0027699C"/>
    <w:rsid w:val="00276F1A"/>
    <w:rsid w:val="00277E9A"/>
    <w:rsid w:val="0028032E"/>
    <w:rsid w:val="00280D20"/>
    <w:rsid w:val="00280EAE"/>
    <w:rsid w:val="0028142F"/>
    <w:rsid w:val="00281D04"/>
    <w:rsid w:val="002822A1"/>
    <w:rsid w:val="002827BF"/>
    <w:rsid w:val="002829D2"/>
    <w:rsid w:val="00283058"/>
    <w:rsid w:val="0028343A"/>
    <w:rsid w:val="00283A84"/>
    <w:rsid w:val="002847C2"/>
    <w:rsid w:val="002852AF"/>
    <w:rsid w:val="002857F8"/>
    <w:rsid w:val="002859F0"/>
    <w:rsid w:val="00285F83"/>
    <w:rsid w:val="0028654F"/>
    <w:rsid w:val="0028660E"/>
    <w:rsid w:val="002869E8"/>
    <w:rsid w:val="00286AC8"/>
    <w:rsid w:val="00286BDE"/>
    <w:rsid w:val="00286CBA"/>
    <w:rsid w:val="00286DC8"/>
    <w:rsid w:val="00286F07"/>
    <w:rsid w:val="00287DFB"/>
    <w:rsid w:val="002902CC"/>
    <w:rsid w:val="00290CED"/>
    <w:rsid w:val="00291207"/>
    <w:rsid w:val="002918CB"/>
    <w:rsid w:val="00291ADC"/>
    <w:rsid w:val="00291F0C"/>
    <w:rsid w:val="0029315C"/>
    <w:rsid w:val="002938B8"/>
    <w:rsid w:val="00294085"/>
    <w:rsid w:val="00294AF5"/>
    <w:rsid w:val="00294E54"/>
    <w:rsid w:val="002954A3"/>
    <w:rsid w:val="0029554E"/>
    <w:rsid w:val="0029571A"/>
    <w:rsid w:val="00296718"/>
    <w:rsid w:val="0029687D"/>
    <w:rsid w:val="00296BB5"/>
    <w:rsid w:val="00296DBB"/>
    <w:rsid w:val="00297220"/>
    <w:rsid w:val="00297410"/>
    <w:rsid w:val="002979A7"/>
    <w:rsid w:val="002A085A"/>
    <w:rsid w:val="002A0B26"/>
    <w:rsid w:val="002A0DC8"/>
    <w:rsid w:val="002A0E5B"/>
    <w:rsid w:val="002A1AE0"/>
    <w:rsid w:val="002A21B5"/>
    <w:rsid w:val="002A26FD"/>
    <w:rsid w:val="002A2788"/>
    <w:rsid w:val="002A2A72"/>
    <w:rsid w:val="002A2DEA"/>
    <w:rsid w:val="002A2E6A"/>
    <w:rsid w:val="002A3860"/>
    <w:rsid w:val="002A3E08"/>
    <w:rsid w:val="002A4009"/>
    <w:rsid w:val="002A45D3"/>
    <w:rsid w:val="002A4756"/>
    <w:rsid w:val="002A4A24"/>
    <w:rsid w:val="002A4CA4"/>
    <w:rsid w:val="002A4CB9"/>
    <w:rsid w:val="002A5279"/>
    <w:rsid w:val="002A56AD"/>
    <w:rsid w:val="002A5B38"/>
    <w:rsid w:val="002A5B3E"/>
    <w:rsid w:val="002A5DD4"/>
    <w:rsid w:val="002A643D"/>
    <w:rsid w:val="002A67DC"/>
    <w:rsid w:val="002A78AC"/>
    <w:rsid w:val="002A78C7"/>
    <w:rsid w:val="002B0686"/>
    <w:rsid w:val="002B1124"/>
    <w:rsid w:val="002B13BD"/>
    <w:rsid w:val="002B152A"/>
    <w:rsid w:val="002B174C"/>
    <w:rsid w:val="002B235F"/>
    <w:rsid w:val="002B2C7A"/>
    <w:rsid w:val="002B3559"/>
    <w:rsid w:val="002B40B8"/>
    <w:rsid w:val="002B4467"/>
    <w:rsid w:val="002B4773"/>
    <w:rsid w:val="002B544D"/>
    <w:rsid w:val="002B55C9"/>
    <w:rsid w:val="002B5714"/>
    <w:rsid w:val="002B5767"/>
    <w:rsid w:val="002B74E4"/>
    <w:rsid w:val="002B7C1F"/>
    <w:rsid w:val="002C04CB"/>
    <w:rsid w:val="002C0506"/>
    <w:rsid w:val="002C0585"/>
    <w:rsid w:val="002C0D79"/>
    <w:rsid w:val="002C0F92"/>
    <w:rsid w:val="002C134F"/>
    <w:rsid w:val="002C14A2"/>
    <w:rsid w:val="002C1538"/>
    <w:rsid w:val="002C1896"/>
    <w:rsid w:val="002C1D5C"/>
    <w:rsid w:val="002C211B"/>
    <w:rsid w:val="002C28A4"/>
    <w:rsid w:val="002C2A56"/>
    <w:rsid w:val="002C2B5A"/>
    <w:rsid w:val="002C2D5F"/>
    <w:rsid w:val="002C2F08"/>
    <w:rsid w:val="002C3309"/>
    <w:rsid w:val="002C3743"/>
    <w:rsid w:val="002C3833"/>
    <w:rsid w:val="002C38A5"/>
    <w:rsid w:val="002C447A"/>
    <w:rsid w:val="002C48C4"/>
    <w:rsid w:val="002C497D"/>
    <w:rsid w:val="002C4DC9"/>
    <w:rsid w:val="002C511C"/>
    <w:rsid w:val="002C5538"/>
    <w:rsid w:val="002C6298"/>
    <w:rsid w:val="002C64FF"/>
    <w:rsid w:val="002C7248"/>
    <w:rsid w:val="002C759D"/>
    <w:rsid w:val="002C7A49"/>
    <w:rsid w:val="002D05FB"/>
    <w:rsid w:val="002D0BC1"/>
    <w:rsid w:val="002D0E8B"/>
    <w:rsid w:val="002D1039"/>
    <w:rsid w:val="002D11B0"/>
    <w:rsid w:val="002D1CF2"/>
    <w:rsid w:val="002D2A15"/>
    <w:rsid w:val="002D2B8E"/>
    <w:rsid w:val="002D2B97"/>
    <w:rsid w:val="002D2C13"/>
    <w:rsid w:val="002D2C38"/>
    <w:rsid w:val="002D2FA8"/>
    <w:rsid w:val="002D38AD"/>
    <w:rsid w:val="002D3A36"/>
    <w:rsid w:val="002D3BFC"/>
    <w:rsid w:val="002D3E7E"/>
    <w:rsid w:val="002D4104"/>
    <w:rsid w:val="002D48AA"/>
    <w:rsid w:val="002D48F0"/>
    <w:rsid w:val="002D4EF7"/>
    <w:rsid w:val="002D57D9"/>
    <w:rsid w:val="002D5962"/>
    <w:rsid w:val="002D5E29"/>
    <w:rsid w:val="002D67CA"/>
    <w:rsid w:val="002D6BDF"/>
    <w:rsid w:val="002D7561"/>
    <w:rsid w:val="002E0014"/>
    <w:rsid w:val="002E0255"/>
    <w:rsid w:val="002E051C"/>
    <w:rsid w:val="002E09D6"/>
    <w:rsid w:val="002E0D9F"/>
    <w:rsid w:val="002E0DB8"/>
    <w:rsid w:val="002E194C"/>
    <w:rsid w:val="002E1BFE"/>
    <w:rsid w:val="002E1C73"/>
    <w:rsid w:val="002E21DE"/>
    <w:rsid w:val="002E289D"/>
    <w:rsid w:val="002E2AC0"/>
    <w:rsid w:val="002E319D"/>
    <w:rsid w:val="002E3802"/>
    <w:rsid w:val="002E3DC0"/>
    <w:rsid w:val="002E3E7D"/>
    <w:rsid w:val="002E4244"/>
    <w:rsid w:val="002E478F"/>
    <w:rsid w:val="002E54F8"/>
    <w:rsid w:val="002E5504"/>
    <w:rsid w:val="002E566D"/>
    <w:rsid w:val="002E578A"/>
    <w:rsid w:val="002E5868"/>
    <w:rsid w:val="002E68D5"/>
    <w:rsid w:val="002E6FDE"/>
    <w:rsid w:val="002E7A1A"/>
    <w:rsid w:val="002E7FB6"/>
    <w:rsid w:val="002F01E0"/>
    <w:rsid w:val="002F0470"/>
    <w:rsid w:val="002F0861"/>
    <w:rsid w:val="002F09DF"/>
    <w:rsid w:val="002F0DD8"/>
    <w:rsid w:val="002F12BE"/>
    <w:rsid w:val="002F12C2"/>
    <w:rsid w:val="002F19E3"/>
    <w:rsid w:val="002F1C1B"/>
    <w:rsid w:val="002F1C90"/>
    <w:rsid w:val="002F2132"/>
    <w:rsid w:val="002F2E48"/>
    <w:rsid w:val="002F34B2"/>
    <w:rsid w:val="002F35BD"/>
    <w:rsid w:val="002F3712"/>
    <w:rsid w:val="002F3DA4"/>
    <w:rsid w:val="002F4017"/>
    <w:rsid w:val="002F4A2C"/>
    <w:rsid w:val="002F518B"/>
    <w:rsid w:val="002F5365"/>
    <w:rsid w:val="002F59F3"/>
    <w:rsid w:val="002F5B5B"/>
    <w:rsid w:val="002F5D58"/>
    <w:rsid w:val="002F615A"/>
    <w:rsid w:val="002F672D"/>
    <w:rsid w:val="002F696C"/>
    <w:rsid w:val="002F6D97"/>
    <w:rsid w:val="002F75DB"/>
    <w:rsid w:val="002F7604"/>
    <w:rsid w:val="002F7B08"/>
    <w:rsid w:val="002F7F77"/>
    <w:rsid w:val="00300472"/>
    <w:rsid w:val="003006F1"/>
    <w:rsid w:val="00301BD7"/>
    <w:rsid w:val="00301DD8"/>
    <w:rsid w:val="003026A2"/>
    <w:rsid w:val="00302C84"/>
    <w:rsid w:val="00302E4D"/>
    <w:rsid w:val="003031ED"/>
    <w:rsid w:val="00303B50"/>
    <w:rsid w:val="0030404E"/>
    <w:rsid w:val="003042AF"/>
    <w:rsid w:val="003044A6"/>
    <w:rsid w:val="003044BC"/>
    <w:rsid w:val="0030491E"/>
    <w:rsid w:val="00304F5C"/>
    <w:rsid w:val="003050E6"/>
    <w:rsid w:val="003059A9"/>
    <w:rsid w:val="00305C55"/>
    <w:rsid w:val="00306231"/>
    <w:rsid w:val="00306546"/>
    <w:rsid w:val="003067FD"/>
    <w:rsid w:val="003068B6"/>
    <w:rsid w:val="00307652"/>
    <w:rsid w:val="003077EB"/>
    <w:rsid w:val="00307C59"/>
    <w:rsid w:val="00307E71"/>
    <w:rsid w:val="00310626"/>
    <w:rsid w:val="00310845"/>
    <w:rsid w:val="00310ED9"/>
    <w:rsid w:val="0031117F"/>
    <w:rsid w:val="003114AE"/>
    <w:rsid w:val="00311729"/>
    <w:rsid w:val="00311871"/>
    <w:rsid w:val="003118BC"/>
    <w:rsid w:val="00311F3A"/>
    <w:rsid w:val="00311F93"/>
    <w:rsid w:val="00312537"/>
    <w:rsid w:val="003125AC"/>
    <w:rsid w:val="003127C1"/>
    <w:rsid w:val="00312A5B"/>
    <w:rsid w:val="00312D8E"/>
    <w:rsid w:val="00312DC1"/>
    <w:rsid w:val="003134C8"/>
    <w:rsid w:val="00313605"/>
    <w:rsid w:val="00313E72"/>
    <w:rsid w:val="003144AA"/>
    <w:rsid w:val="00314583"/>
    <w:rsid w:val="003145F3"/>
    <w:rsid w:val="003149B8"/>
    <w:rsid w:val="0031526C"/>
    <w:rsid w:val="0031528D"/>
    <w:rsid w:val="0031556F"/>
    <w:rsid w:val="00315839"/>
    <w:rsid w:val="0031594C"/>
    <w:rsid w:val="00315F2D"/>
    <w:rsid w:val="00316388"/>
    <w:rsid w:val="0031638F"/>
    <w:rsid w:val="00316419"/>
    <w:rsid w:val="00316734"/>
    <w:rsid w:val="00316CFF"/>
    <w:rsid w:val="00317B9D"/>
    <w:rsid w:val="00317DFF"/>
    <w:rsid w:val="003200DA"/>
    <w:rsid w:val="003202E4"/>
    <w:rsid w:val="003203FA"/>
    <w:rsid w:val="0032058F"/>
    <w:rsid w:val="003210BA"/>
    <w:rsid w:val="003215BA"/>
    <w:rsid w:val="00321962"/>
    <w:rsid w:val="003219E2"/>
    <w:rsid w:val="00321A12"/>
    <w:rsid w:val="00321FE9"/>
    <w:rsid w:val="00322A07"/>
    <w:rsid w:val="00322E0E"/>
    <w:rsid w:val="00323CBB"/>
    <w:rsid w:val="00323D47"/>
    <w:rsid w:val="00324478"/>
    <w:rsid w:val="00324D3A"/>
    <w:rsid w:val="0032533A"/>
    <w:rsid w:val="00325CB8"/>
    <w:rsid w:val="00325FB9"/>
    <w:rsid w:val="00326330"/>
    <w:rsid w:val="00326407"/>
    <w:rsid w:val="003265C3"/>
    <w:rsid w:val="003266B6"/>
    <w:rsid w:val="0032670B"/>
    <w:rsid w:val="00326FE0"/>
    <w:rsid w:val="00327153"/>
    <w:rsid w:val="003272DD"/>
    <w:rsid w:val="003273A5"/>
    <w:rsid w:val="00327555"/>
    <w:rsid w:val="00330090"/>
    <w:rsid w:val="0033063F"/>
    <w:rsid w:val="00330A2F"/>
    <w:rsid w:val="00330C28"/>
    <w:rsid w:val="00331F73"/>
    <w:rsid w:val="0033205F"/>
    <w:rsid w:val="003321D4"/>
    <w:rsid w:val="00332730"/>
    <w:rsid w:val="00332DD6"/>
    <w:rsid w:val="0033338F"/>
    <w:rsid w:val="003336AE"/>
    <w:rsid w:val="0033383D"/>
    <w:rsid w:val="00333B09"/>
    <w:rsid w:val="00333CBB"/>
    <w:rsid w:val="003347D5"/>
    <w:rsid w:val="00334D1E"/>
    <w:rsid w:val="003350E7"/>
    <w:rsid w:val="003351A0"/>
    <w:rsid w:val="00336158"/>
    <w:rsid w:val="003363E2"/>
    <w:rsid w:val="003363E4"/>
    <w:rsid w:val="0033648B"/>
    <w:rsid w:val="00336524"/>
    <w:rsid w:val="00336748"/>
    <w:rsid w:val="003375AE"/>
    <w:rsid w:val="00337B4F"/>
    <w:rsid w:val="003409AD"/>
    <w:rsid w:val="003409D7"/>
    <w:rsid w:val="00340C10"/>
    <w:rsid w:val="00341020"/>
    <w:rsid w:val="00341CAE"/>
    <w:rsid w:val="0034251D"/>
    <w:rsid w:val="0034298E"/>
    <w:rsid w:val="00342AF5"/>
    <w:rsid w:val="00342D40"/>
    <w:rsid w:val="00342EF4"/>
    <w:rsid w:val="0034329C"/>
    <w:rsid w:val="0034330A"/>
    <w:rsid w:val="00343DF3"/>
    <w:rsid w:val="00343E55"/>
    <w:rsid w:val="00343FF8"/>
    <w:rsid w:val="00344A8C"/>
    <w:rsid w:val="00344D11"/>
    <w:rsid w:val="003451AF"/>
    <w:rsid w:val="003451E2"/>
    <w:rsid w:val="003454CA"/>
    <w:rsid w:val="00345C47"/>
    <w:rsid w:val="00345D4B"/>
    <w:rsid w:val="003461E0"/>
    <w:rsid w:val="00346785"/>
    <w:rsid w:val="003469C3"/>
    <w:rsid w:val="00346B4D"/>
    <w:rsid w:val="00346DD8"/>
    <w:rsid w:val="003471D0"/>
    <w:rsid w:val="00347A9E"/>
    <w:rsid w:val="00347D7F"/>
    <w:rsid w:val="00347E7F"/>
    <w:rsid w:val="003510A6"/>
    <w:rsid w:val="003517B2"/>
    <w:rsid w:val="00352335"/>
    <w:rsid w:val="0035254E"/>
    <w:rsid w:val="003525FB"/>
    <w:rsid w:val="00352853"/>
    <w:rsid w:val="00352A92"/>
    <w:rsid w:val="00352FEB"/>
    <w:rsid w:val="0035381D"/>
    <w:rsid w:val="00353E0E"/>
    <w:rsid w:val="003542DE"/>
    <w:rsid w:val="0035432D"/>
    <w:rsid w:val="00354375"/>
    <w:rsid w:val="00354400"/>
    <w:rsid w:val="0035446C"/>
    <w:rsid w:val="00355349"/>
    <w:rsid w:val="003558F1"/>
    <w:rsid w:val="00356BCE"/>
    <w:rsid w:val="0035732B"/>
    <w:rsid w:val="0035736D"/>
    <w:rsid w:val="003573AB"/>
    <w:rsid w:val="003576CD"/>
    <w:rsid w:val="003579A8"/>
    <w:rsid w:val="00360304"/>
    <w:rsid w:val="00360718"/>
    <w:rsid w:val="00360905"/>
    <w:rsid w:val="00360ABA"/>
    <w:rsid w:val="00360D06"/>
    <w:rsid w:val="00360DC5"/>
    <w:rsid w:val="00360F28"/>
    <w:rsid w:val="0036185D"/>
    <w:rsid w:val="00361A55"/>
    <w:rsid w:val="00361B5B"/>
    <w:rsid w:val="00362457"/>
    <w:rsid w:val="00362B66"/>
    <w:rsid w:val="00362DA8"/>
    <w:rsid w:val="00362FC4"/>
    <w:rsid w:val="00363284"/>
    <w:rsid w:val="00363A3B"/>
    <w:rsid w:val="00363A5C"/>
    <w:rsid w:val="00363FB4"/>
    <w:rsid w:val="00364254"/>
    <w:rsid w:val="0036462C"/>
    <w:rsid w:val="00364C17"/>
    <w:rsid w:val="003653A7"/>
    <w:rsid w:val="00365446"/>
    <w:rsid w:val="00365AA0"/>
    <w:rsid w:val="0036603D"/>
    <w:rsid w:val="0036651E"/>
    <w:rsid w:val="00366527"/>
    <w:rsid w:val="0036675C"/>
    <w:rsid w:val="00366C88"/>
    <w:rsid w:val="00366D74"/>
    <w:rsid w:val="00367771"/>
    <w:rsid w:val="0036777C"/>
    <w:rsid w:val="00367B89"/>
    <w:rsid w:val="003702A9"/>
    <w:rsid w:val="00370764"/>
    <w:rsid w:val="00370A5F"/>
    <w:rsid w:val="00370EE6"/>
    <w:rsid w:val="00371E06"/>
    <w:rsid w:val="00371F39"/>
    <w:rsid w:val="00372E42"/>
    <w:rsid w:val="0037342E"/>
    <w:rsid w:val="00373829"/>
    <w:rsid w:val="003739F6"/>
    <w:rsid w:val="00374126"/>
    <w:rsid w:val="00374B86"/>
    <w:rsid w:val="00375285"/>
    <w:rsid w:val="00375F6B"/>
    <w:rsid w:val="003763DA"/>
    <w:rsid w:val="003763E5"/>
    <w:rsid w:val="00376438"/>
    <w:rsid w:val="003774F4"/>
    <w:rsid w:val="00377954"/>
    <w:rsid w:val="00377BB2"/>
    <w:rsid w:val="00377C29"/>
    <w:rsid w:val="003800FC"/>
    <w:rsid w:val="00380F6B"/>
    <w:rsid w:val="00380FF9"/>
    <w:rsid w:val="00381A0B"/>
    <w:rsid w:val="00381ABE"/>
    <w:rsid w:val="00381E41"/>
    <w:rsid w:val="00382275"/>
    <w:rsid w:val="00382CBA"/>
    <w:rsid w:val="0038344E"/>
    <w:rsid w:val="003837E7"/>
    <w:rsid w:val="00383D37"/>
    <w:rsid w:val="00383D3F"/>
    <w:rsid w:val="00383EEC"/>
    <w:rsid w:val="0038434A"/>
    <w:rsid w:val="003846C7"/>
    <w:rsid w:val="0038474E"/>
    <w:rsid w:val="003849AE"/>
    <w:rsid w:val="00384FAD"/>
    <w:rsid w:val="0038526A"/>
    <w:rsid w:val="00385344"/>
    <w:rsid w:val="003855B5"/>
    <w:rsid w:val="00385B09"/>
    <w:rsid w:val="00386584"/>
    <w:rsid w:val="00386A0B"/>
    <w:rsid w:val="00386D25"/>
    <w:rsid w:val="00386D33"/>
    <w:rsid w:val="0038700F"/>
    <w:rsid w:val="0038717D"/>
    <w:rsid w:val="0039002E"/>
    <w:rsid w:val="003900A2"/>
    <w:rsid w:val="00390927"/>
    <w:rsid w:val="00391059"/>
    <w:rsid w:val="00391252"/>
    <w:rsid w:val="00391C32"/>
    <w:rsid w:val="00391C49"/>
    <w:rsid w:val="00391C68"/>
    <w:rsid w:val="00392578"/>
    <w:rsid w:val="00392709"/>
    <w:rsid w:val="00392970"/>
    <w:rsid w:val="00392CD9"/>
    <w:rsid w:val="00392D35"/>
    <w:rsid w:val="00392EC8"/>
    <w:rsid w:val="00392FE1"/>
    <w:rsid w:val="003935E7"/>
    <w:rsid w:val="0039508D"/>
    <w:rsid w:val="003955C0"/>
    <w:rsid w:val="00395668"/>
    <w:rsid w:val="003959EF"/>
    <w:rsid w:val="00395D41"/>
    <w:rsid w:val="0039608A"/>
    <w:rsid w:val="003965C5"/>
    <w:rsid w:val="00396DF3"/>
    <w:rsid w:val="003972D8"/>
    <w:rsid w:val="00397534"/>
    <w:rsid w:val="00397718"/>
    <w:rsid w:val="003978EF"/>
    <w:rsid w:val="00397FF8"/>
    <w:rsid w:val="003A01BE"/>
    <w:rsid w:val="003A05A1"/>
    <w:rsid w:val="003A05E3"/>
    <w:rsid w:val="003A12A4"/>
    <w:rsid w:val="003A14F8"/>
    <w:rsid w:val="003A1922"/>
    <w:rsid w:val="003A1B58"/>
    <w:rsid w:val="003A1BCE"/>
    <w:rsid w:val="003A21EF"/>
    <w:rsid w:val="003A243A"/>
    <w:rsid w:val="003A36D9"/>
    <w:rsid w:val="003A4699"/>
    <w:rsid w:val="003A4743"/>
    <w:rsid w:val="003A4B2D"/>
    <w:rsid w:val="003A4C22"/>
    <w:rsid w:val="003A4F66"/>
    <w:rsid w:val="003A5DBE"/>
    <w:rsid w:val="003A5E7D"/>
    <w:rsid w:val="003A69F8"/>
    <w:rsid w:val="003A6CA5"/>
    <w:rsid w:val="003A775F"/>
    <w:rsid w:val="003B03C4"/>
    <w:rsid w:val="003B0F65"/>
    <w:rsid w:val="003B1745"/>
    <w:rsid w:val="003B1897"/>
    <w:rsid w:val="003B215A"/>
    <w:rsid w:val="003B2B95"/>
    <w:rsid w:val="003B2EE7"/>
    <w:rsid w:val="003B2F86"/>
    <w:rsid w:val="003B3578"/>
    <w:rsid w:val="003B3F11"/>
    <w:rsid w:val="003B4835"/>
    <w:rsid w:val="003B4A69"/>
    <w:rsid w:val="003B4A6F"/>
    <w:rsid w:val="003B4A8E"/>
    <w:rsid w:val="003B4C7E"/>
    <w:rsid w:val="003B56A8"/>
    <w:rsid w:val="003B56E9"/>
    <w:rsid w:val="003B5AD1"/>
    <w:rsid w:val="003B6329"/>
    <w:rsid w:val="003B6555"/>
    <w:rsid w:val="003B7147"/>
    <w:rsid w:val="003B7354"/>
    <w:rsid w:val="003B73AE"/>
    <w:rsid w:val="003B7840"/>
    <w:rsid w:val="003B7993"/>
    <w:rsid w:val="003C0C07"/>
    <w:rsid w:val="003C0D81"/>
    <w:rsid w:val="003C168E"/>
    <w:rsid w:val="003C1D44"/>
    <w:rsid w:val="003C1FF7"/>
    <w:rsid w:val="003C2064"/>
    <w:rsid w:val="003C245A"/>
    <w:rsid w:val="003C262D"/>
    <w:rsid w:val="003C26EF"/>
    <w:rsid w:val="003C3537"/>
    <w:rsid w:val="003C3853"/>
    <w:rsid w:val="003C3BF3"/>
    <w:rsid w:val="003C3F37"/>
    <w:rsid w:val="003C4505"/>
    <w:rsid w:val="003C4A2A"/>
    <w:rsid w:val="003C4A7F"/>
    <w:rsid w:val="003C4C90"/>
    <w:rsid w:val="003C51FD"/>
    <w:rsid w:val="003C5245"/>
    <w:rsid w:val="003C59E0"/>
    <w:rsid w:val="003C6F72"/>
    <w:rsid w:val="003C76D7"/>
    <w:rsid w:val="003C77C3"/>
    <w:rsid w:val="003D0165"/>
    <w:rsid w:val="003D0240"/>
    <w:rsid w:val="003D06FC"/>
    <w:rsid w:val="003D085C"/>
    <w:rsid w:val="003D0B9B"/>
    <w:rsid w:val="003D10C7"/>
    <w:rsid w:val="003D1351"/>
    <w:rsid w:val="003D1E72"/>
    <w:rsid w:val="003D23A0"/>
    <w:rsid w:val="003D262F"/>
    <w:rsid w:val="003D287E"/>
    <w:rsid w:val="003D2AE8"/>
    <w:rsid w:val="003D367E"/>
    <w:rsid w:val="003D3ACC"/>
    <w:rsid w:val="003D3D58"/>
    <w:rsid w:val="003D4191"/>
    <w:rsid w:val="003D4739"/>
    <w:rsid w:val="003D481D"/>
    <w:rsid w:val="003D4B96"/>
    <w:rsid w:val="003D58FF"/>
    <w:rsid w:val="003D5B47"/>
    <w:rsid w:val="003D6CA6"/>
    <w:rsid w:val="003D74AB"/>
    <w:rsid w:val="003D777E"/>
    <w:rsid w:val="003D7E99"/>
    <w:rsid w:val="003E0021"/>
    <w:rsid w:val="003E07D6"/>
    <w:rsid w:val="003E0A5C"/>
    <w:rsid w:val="003E1117"/>
    <w:rsid w:val="003E12A1"/>
    <w:rsid w:val="003E12DD"/>
    <w:rsid w:val="003E2555"/>
    <w:rsid w:val="003E27A9"/>
    <w:rsid w:val="003E294E"/>
    <w:rsid w:val="003E2E20"/>
    <w:rsid w:val="003E316F"/>
    <w:rsid w:val="003E3A90"/>
    <w:rsid w:val="003E3B2D"/>
    <w:rsid w:val="003E3B73"/>
    <w:rsid w:val="003E4058"/>
    <w:rsid w:val="003E444A"/>
    <w:rsid w:val="003E4B4C"/>
    <w:rsid w:val="003E5003"/>
    <w:rsid w:val="003E5082"/>
    <w:rsid w:val="003E55AA"/>
    <w:rsid w:val="003E57CA"/>
    <w:rsid w:val="003E5E7C"/>
    <w:rsid w:val="003E5EA9"/>
    <w:rsid w:val="003E5FF3"/>
    <w:rsid w:val="003E659C"/>
    <w:rsid w:val="003E6C5D"/>
    <w:rsid w:val="003E6CCF"/>
    <w:rsid w:val="003E702C"/>
    <w:rsid w:val="003E7AB8"/>
    <w:rsid w:val="003E7DDE"/>
    <w:rsid w:val="003F00FB"/>
    <w:rsid w:val="003F0421"/>
    <w:rsid w:val="003F057E"/>
    <w:rsid w:val="003F066B"/>
    <w:rsid w:val="003F0838"/>
    <w:rsid w:val="003F09E3"/>
    <w:rsid w:val="003F0D1F"/>
    <w:rsid w:val="003F0DB1"/>
    <w:rsid w:val="003F0E4D"/>
    <w:rsid w:val="003F10B3"/>
    <w:rsid w:val="003F1B58"/>
    <w:rsid w:val="003F1B90"/>
    <w:rsid w:val="003F1CCA"/>
    <w:rsid w:val="003F26CF"/>
    <w:rsid w:val="003F2935"/>
    <w:rsid w:val="003F2A83"/>
    <w:rsid w:val="003F2AA3"/>
    <w:rsid w:val="003F2C3C"/>
    <w:rsid w:val="003F3011"/>
    <w:rsid w:val="003F3AB7"/>
    <w:rsid w:val="003F3C2C"/>
    <w:rsid w:val="003F3DC3"/>
    <w:rsid w:val="003F41A1"/>
    <w:rsid w:val="003F42C1"/>
    <w:rsid w:val="003F445E"/>
    <w:rsid w:val="003F4917"/>
    <w:rsid w:val="003F4B32"/>
    <w:rsid w:val="003F509F"/>
    <w:rsid w:val="003F5B24"/>
    <w:rsid w:val="003F5DF4"/>
    <w:rsid w:val="003F64A2"/>
    <w:rsid w:val="003F6691"/>
    <w:rsid w:val="003F6A28"/>
    <w:rsid w:val="003F6EF3"/>
    <w:rsid w:val="003F73C8"/>
    <w:rsid w:val="003F7792"/>
    <w:rsid w:val="003F7E07"/>
    <w:rsid w:val="003F7E19"/>
    <w:rsid w:val="00400385"/>
    <w:rsid w:val="004007C6"/>
    <w:rsid w:val="004008E5"/>
    <w:rsid w:val="00400D0D"/>
    <w:rsid w:val="004023D8"/>
    <w:rsid w:val="004029C7"/>
    <w:rsid w:val="00402E91"/>
    <w:rsid w:val="00402F68"/>
    <w:rsid w:val="00403115"/>
    <w:rsid w:val="0040361D"/>
    <w:rsid w:val="00404037"/>
    <w:rsid w:val="004040AA"/>
    <w:rsid w:val="004045A0"/>
    <w:rsid w:val="004046E1"/>
    <w:rsid w:val="004049FB"/>
    <w:rsid w:val="00404A99"/>
    <w:rsid w:val="004050BB"/>
    <w:rsid w:val="0040521D"/>
    <w:rsid w:val="00405346"/>
    <w:rsid w:val="004057F9"/>
    <w:rsid w:val="004058A1"/>
    <w:rsid w:val="00405937"/>
    <w:rsid w:val="004059F1"/>
    <w:rsid w:val="004059F4"/>
    <w:rsid w:val="00406357"/>
    <w:rsid w:val="00406A88"/>
    <w:rsid w:val="00406B5D"/>
    <w:rsid w:val="00406F5C"/>
    <w:rsid w:val="0040730A"/>
    <w:rsid w:val="004077E0"/>
    <w:rsid w:val="004078EB"/>
    <w:rsid w:val="0041001B"/>
    <w:rsid w:val="00410336"/>
    <w:rsid w:val="00410A9F"/>
    <w:rsid w:val="004110C2"/>
    <w:rsid w:val="004110E6"/>
    <w:rsid w:val="004112DB"/>
    <w:rsid w:val="0041203C"/>
    <w:rsid w:val="00412099"/>
    <w:rsid w:val="0041277A"/>
    <w:rsid w:val="00412D70"/>
    <w:rsid w:val="00412E0F"/>
    <w:rsid w:val="00413BF1"/>
    <w:rsid w:val="00414E7C"/>
    <w:rsid w:val="0041505B"/>
    <w:rsid w:val="00415125"/>
    <w:rsid w:val="0041541C"/>
    <w:rsid w:val="0041595F"/>
    <w:rsid w:val="00415F9E"/>
    <w:rsid w:val="004161AF"/>
    <w:rsid w:val="00416A79"/>
    <w:rsid w:val="00416F26"/>
    <w:rsid w:val="00416F60"/>
    <w:rsid w:val="004178D0"/>
    <w:rsid w:val="00420337"/>
    <w:rsid w:val="0042052B"/>
    <w:rsid w:val="00420951"/>
    <w:rsid w:val="00420972"/>
    <w:rsid w:val="004215DC"/>
    <w:rsid w:val="0042168A"/>
    <w:rsid w:val="00421DC7"/>
    <w:rsid w:val="00423027"/>
    <w:rsid w:val="0042346A"/>
    <w:rsid w:val="004234C5"/>
    <w:rsid w:val="00423A30"/>
    <w:rsid w:val="00423B56"/>
    <w:rsid w:val="00423DC2"/>
    <w:rsid w:val="004248F4"/>
    <w:rsid w:val="00424B8B"/>
    <w:rsid w:val="00424CAF"/>
    <w:rsid w:val="0042557C"/>
    <w:rsid w:val="004255CF"/>
    <w:rsid w:val="004258BA"/>
    <w:rsid w:val="00425B4B"/>
    <w:rsid w:val="00425D5F"/>
    <w:rsid w:val="0042659B"/>
    <w:rsid w:val="00426848"/>
    <w:rsid w:val="00426C08"/>
    <w:rsid w:val="00426CBA"/>
    <w:rsid w:val="00427161"/>
    <w:rsid w:val="00427469"/>
    <w:rsid w:val="00427610"/>
    <w:rsid w:val="00427930"/>
    <w:rsid w:val="004301DB"/>
    <w:rsid w:val="00430D0F"/>
    <w:rsid w:val="00431986"/>
    <w:rsid w:val="004320A2"/>
    <w:rsid w:val="00432152"/>
    <w:rsid w:val="004321A2"/>
    <w:rsid w:val="004323F8"/>
    <w:rsid w:val="004328D0"/>
    <w:rsid w:val="004335A5"/>
    <w:rsid w:val="0043410E"/>
    <w:rsid w:val="0043435B"/>
    <w:rsid w:val="004343CF"/>
    <w:rsid w:val="004353D6"/>
    <w:rsid w:val="0043541C"/>
    <w:rsid w:val="00435671"/>
    <w:rsid w:val="004356A3"/>
    <w:rsid w:val="00435797"/>
    <w:rsid w:val="0043623D"/>
    <w:rsid w:val="004365AD"/>
    <w:rsid w:val="004373CF"/>
    <w:rsid w:val="004374AE"/>
    <w:rsid w:val="004374E3"/>
    <w:rsid w:val="0043768B"/>
    <w:rsid w:val="00437DC1"/>
    <w:rsid w:val="004403F1"/>
    <w:rsid w:val="00440537"/>
    <w:rsid w:val="004405C9"/>
    <w:rsid w:val="00441158"/>
    <w:rsid w:val="00441EBF"/>
    <w:rsid w:val="00441FA3"/>
    <w:rsid w:val="004421DA"/>
    <w:rsid w:val="004425A9"/>
    <w:rsid w:val="00442645"/>
    <w:rsid w:val="00442CFB"/>
    <w:rsid w:val="00442D90"/>
    <w:rsid w:val="00442F6E"/>
    <w:rsid w:val="00443EEB"/>
    <w:rsid w:val="00444AC7"/>
    <w:rsid w:val="00444B49"/>
    <w:rsid w:val="00444B9B"/>
    <w:rsid w:val="00444C8C"/>
    <w:rsid w:val="004455CF"/>
    <w:rsid w:val="00445EE0"/>
    <w:rsid w:val="00445EFE"/>
    <w:rsid w:val="00446703"/>
    <w:rsid w:val="00446729"/>
    <w:rsid w:val="0044770A"/>
    <w:rsid w:val="004479A9"/>
    <w:rsid w:val="00450725"/>
    <w:rsid w:val="00450DED"/>
    <w:rsid w:val="00450E83"/>
    <w:rsid w:val="00451009"/>
    <w:rsid w:val="004514F8"/>
    <w:rsid w:val="00451510"/>
    <w:rsid w:val="00451645"/>
    <w:rsid w:val="00452545"/>
    <w:rsid w:val="0045279F"/>
    <w:rsid w:val="00452AA2"/>
    <w:rsid w:val="00452C12"/>
    <w:rsid w:val="00452E09"/>
    <w:rsid w:val="004534A9"/>
    <w:rsid w:val="00453CD5"/>
    <w:rsid w:val="004545C8"/>
    <w:rsid w:val="00454602"/>
    <w:rsid w:val="00454B08"/>
    <w:rsid w:val="004550EA"/>
    <w:rsid w:val="00455614"/>
    <w:rsid w:val="004558F9"/>
    <w:rsid w:val="00455F2C"/>
    <w:rsid w:val="00456277"/>
    <w:rsid w:val="004562EE"/>
    <w:rsid w:val="00456385"/>
    <w:rsid w:val="00456C9A"/>
    <w:rsid w:val="00456E31"/>
    <w:rsid w:val="00456E7A"/>
    <w:rsid w:val="00457330"/>
    <w:rsid w:val="004579B9"/>
    <w:rsid w:val="00457E23"/>
    <w:rsid w:val="00460751"/>
    <w:rsid w:val="004607F9"/>
    <w:rsid w:val="00460A31"/>
    <w:rsid w:val="00460C02"/>
    <w:rsid w:val="00461429"/>
    <w:rsid w:val="004619EB"/>
    <w:rsid w:val="00461DEC"/>
    <w:rsid w:val="0046287C"/>
    <w:rsid w:val="004629E4"/>
    <w:rsid w:val="00462FED"/>
    <w:rsid w:val="00464687"/>
    <w:rsid w:val="00465080"/>
    <w:rsid w:val="00465217"/>
    <w:rsid w:val="00466532"/>
    <w:rsid w:val="004665E9"/>
    <w:rsid w:val="004669AC"/>
    <w:rsid w:val="00466C44"/>
    <w:rsid w:val="00466F05"/>
    <w:rsid w:val="0046797F"/>
    <w:rsid w:val="00467AA4"/>
    <w:rsid w:val="00467FB1"/>
    <w:rsid w:val="00470249"/>
    <w:rsid w:val="00470BC8"/>
    <w:rsid w:val="004724BF"/>
    <w:rsid w:val="00472A73"/>
    <w:rsid w:val="00472B27"/>
    <w:rsid w:val="0047367D"/>
    <w:rsid w:val="00473952"/>
    <w:rsid w:val="004746EE"/>
    <w:rsid w:val="00474889"/>
    <w:rsid w:val="00474A2F"/>
    <w:rsid w:val="00474AB9"/>
    <w:rsid w:val="00474F80"/>
    <w:rsid w:val="004759D0"/>
    <w:rsid w:val="00475A4B"/>
    <w:rsid w:val="00475BAD"/>
    <w:rsid w:val="0047617B"/>
    <w:rsid w:val="00477568"/>
    <w:rsid w:val="00477745"/>
    <w:rsid w:val="00477B3C"/>
    <w:rsid w:val="00477CF5"/>
    <w:rsid w:val="00480BDD"/>
    <w:rsid w:val="004810F8"/>
    <w:rsid w:val="0048113D"/>
    <w:rsid w:val="00481196"/>
    <w:rsid w:val="0048141F"/>
    <w:rsid w:val="0048152C"/>
    <w:rsid w:val="00481DE7"/>
    <w:rsid w:val="00481E50"/>
    <w:rsid w:val="0048231E"/>
    <w:rsid w:val="0048252E"/>
    <w:rsid w:val="004827C2"/>
    <w:rsid w:val="004827CF"/>
    <w:rsid w:val="00482822"/>
    <w:rsid w:val="00482946"/>
    <w:rsid w:val="00482B95"/>
    <w:rsid w:val="00482E22"/>
    <w:rsid w:val="0048340B"/>
    <w:rsid w:val="00483A7E"/>
    <w:rsid w:val="00483BC3"/>
    <w:rsid w:val="004846E5"/>
    <w:rsid w:val="00484A08"/>
    <w:rsid w:val="00484D71"/>
    <w:rsid w:val="00484F7B"/>
    <w:rsid w:val="0048508B"/>
    <w:rsid w:val="00485628"/>
    <w:rsid w:val="00485726"/>
    <w:rsid w:val="00485F03"/>
    <w:rsid w:val="00486081"/>
    <w:rsid w:val="0048649E"/>
    <w:rsid w:val="00486869"/>
    <w:rsid w:val="00486C97"/>
    <w:rsid w:val="00486F20"/>
    <w:rsid w:val="00487012"/>
    <w:rsid w:val="0048710D"/>
    <w:rsid w:val="00487D6E"/>
    <w:rsid w:val="004904F7"/>
    <w:rsid w:val="004909D9"/>
    <w:rsid w:val="00490A61"/>
    <w:rsid w:val="00490E5C"/>
    <w:rsid w:val="00490F0B"/>
    <w:rsid w:val="004911AF"/>
    <w:rsid w:val="004914B0"/>
    <w:rsid w:val="004918A8"/>
    <w:rsid w:val="00492762"/>
    <w:rsid w:val="00492B1E"/>
    <w:rsid w:val="00492C0C"/>
    <w:rsid w:val="00492D45"/>
    <w:rsid w:val="004940CF"/>
    <w:rsid w:val="00494FDE"/>
    <w:rsid w:val="00495146"/>
    <w:rsid w:val="00495158"/>
    <w:rsid w:val="00495DE9"/>
    <w:rsid w:val="00495F66"/>
    <w:rsid w:val="0049617C"/>
    <w:rsid w:val="0049643D"/>
    <w:rsid w:val="00496A99"/>
    <w:rsid w:val="00496B5C"/>
    <w:rsid w:val="0049718D"/>
    <w:rsid w:val="004A0400"/>
    <w:rsid w:val="004A0C0A"/>
    <w:rsid w:val="004A1479"/>
    <w:rsid w:val="004A1C17"/>
    <w:rsid w:val="004A261B"/>
    <w:rsid w:val="004A278B"/>
    <w:rsid w:val="004A3606"/>
    <w:rsid w:val="004A3DB0"/>
    <w:rsid w:val="004A4767"/>
    <w:rsid w:val="004A4DF1"/>
    <w:rsid w:val="004A5368"/>
    <w:rsid w:val="004A6800"/>
    <w:rsid w:val="004A6B12"/>
    <w:rsid w:val="004A75AB"/>
    <w:rsid w:val="004A7A7F"/>
    <w:rsid w:val="004B0974"/>
    <w:rsid w:val="004B0B4A"/>
    <w:rsid w:val="004B0DAB"/>
    <w:rsid w:val="004B0F15"/>
    <w:rsid w:val="004B1681"/>
    <w:rsid w:val="004B1DE6"/>
    <w:rsid w:val="004B3AEB"/>
    <w:rsid w:val="004B480A"/>
    <w:rsid w:val="004B4AD9"/>
    <w:rsid w:val="004B4B06"/>
    <w:rsid w:val="004B51AA"/>
    <w:rsid w:val="004B522D"/>
    <w:rsid w:val="004B540D"/>
    <w:rsid w:val="004B5ECD"/>
    <w:rsid w:val="004B63AF"/>
    <w:rsid w:val="004B65B5"/>
    <w:rsid w:val="004B6A11"/>
    <w:rsid w:val="004B771A"/>
    <w:rsid w:val="004B776C"/>
    <w:rsid w:val="004B789C"/>
    <w:rsid w:val="004B7CE3"/>
    <w:rsid w:val="004B7E4E"/>
    <w:rsid w:val="004C02F0"/>
    <w:rsid w:val="004C050F"/>
    <w:rsid w:val="004C1690"/>
    <w:rsid w:val="004C17DF"/>
    <w:rsid w:val="004C1CF8"/>
    <w:rsid w:val="004C228C"/>
    <w:rsid w:val="004C2583"/>
    <w:rsid w:val="004C2993"/>
    <w:rsid w:val="004C36DA"/>
    <w:rsid w:val="004C3A60"/>
    <w:rsid w:val="004C3CE8"/>
    <w:rsid w:val="004C4412"/>
    <w:rsid w:val="004C4A77"/>
    <w:rsid w:val="004C4CA5"/>
    <w:rsid w:val="004C5735"/>
    <w:rsid w:val="004C579D"/>
    <w:rsid w:val="004C59E0"/>
    <w:rsid w:val="004C6171"/>
    <w:rsid w:val="004C68A2"/>
    <w:rsid w:val="004C6B68"/>
    <w:rsid w:val="004C6E59"/>
    <w:rsid w:val="004C6EDA"/>
    <w:rsid w:val="004C6FF1"/>
    <w:rsid w:val="004C6FF7"/>
    <w:rsid w:val="004C75F7"/>
    <w:rsid w:val="004C7FBE"/>
    <w:rsid w:val="004D0119"/>
    <w:rsid w:val="004D0347"/>
    <w:rsid w:val="004D072A"/>
    <w:rsid w:val="004D17AE"/>
    <w:rsid w:val="004D17D8"/>
    <w:rsid w:val="004D198A"/>
    <w:rsid w:val="004D19B0"/>
    <w:rsid w:val="004D28FD"/>
    <w:rsid w:val="004D293B"/>
    <w:rsid w:val="004D2CBA"/>
    <w:rsid w:val="004D3456"/>
    <w:rsid w:val="004D36AB"/>
    <w:rsid w:val="004D4275"/>
    <w:rsid w:val="004D45A8"/>
    <w:rsid w:val="004D470A"/>
    <w:rsid w:val="004D4CE1"/>
    <w:rsid w:val="004D4DA8"/>
    <w:rsid w:val="004D5343"/>
    <w:rsid w:val="004D656D"/>
    <w:rsid w:val="004D661B"/>
    <w:rsid w:val="004D7276"/>
    <w:rsid w:val="004D77A3"/>
    <w:rsid w:val="004D7EF7"/>
    <w:rsid w:val="004E0516"/>
    <w:rsid w:val="004E0872"/>
    <w:rsid w:val="004E0A61"/>
    <w:rsid w:val="004E0AC0"/>
    <w:rsid w:val="004E120D"/>
    <w:rsid w:val="004E17DA"/>
    <w:rsid w:val="004E1AFD"/>
    <w:rsid w:val="004E2054"/>
    <w:rsid w:val="004E33C1"/>
    <w:rsid w:val="004E3448"/>
    <w:rsid w:val="004E37DE"/>
    <w:rsid w:val="004E3CB8"/>
    <w:rsid w:val="004E3F18"/>
    <w:rsid w:val="004E3FBD"/>
    <w:rsid w:val="004E41A3"/>
    <w:rsid w:val="004E4703"/>
    <w:rsid w:val="004E4957"/>
    <w:rsid w:val="004E4E46"/>
    <w:rsid w:val="004E506E"/>
    <w:rsid w:val="004E5ECE"/>
    <w:rsid w:val="004E6258"/>
    <w:rsid w:val="004E65E4"/>
    <w:rsid w:val="004E6C34"/>
    <w:rsid w:val="004E6DBA"/>
    <w:rsid w:val="004E6F86"/>
    <w:rsid w:val="004E717E"/>
    <w:rsid w:val="004E74F5"/>
    <w:rsid w:val="004E75B0"/>
    <w:rsid w:val="004E7615"/>
    <w:rsid w:val="004E7BFA"/>
    <w:rsid w:val="004F00D1"/>
    <w:rsid w:val="004F04D2"/>
    <w:rsid w:val="004F04DA"/>
    <w:rsid w:val="004F0C61"/>
    <w:rsid w:val="004F0DF6"/>
    <w:rsid w:val="004F1544"/>
    <w:rsid w:val="004F180A"/>
    <w:rsid w:val="004F1A57"/>
    <w:rsid w:val="004F1B4F"/>
    <w:rsid w:val="004F2079"/>
    <w:rsid w:val="004F259C"/>
    <w:rsid w:val="004F2FD4"/>
    <w:rsid w:val="004F3284"/>
    <w:rsid w:val="004F3487"/>
    <w:rsid w:val="004F38A9"/>
    <w:rsid w:val="004F4253"/>
    <w:rsid w:val="004F4488"/>
    <w:rsid w:val="004F4CD3"/>
    <w:rsid w:val="004F5411"/>
    <w:rsid w:val="004F55BC"/>
    <w:rsid w:val="004F6632"/>
    <w:rsid w:val="004F6956"/>
    <w:rsid w:val="004F7318"/>
    <w:rsid w:val="004F7462"/>
    <w:rsid w:val="004F7721"/>
    <w:rsid w:val="004F7C61"/>
    <w:rsid w:val="004F7E13"/>
    <w:rsid w:val="004F7F18"/>
    <w:rsid w:val="005002DA"/>
    <w:rsid w:val="005009AA"/>
    <w:rsid w:val="00500B18"/>
    <w:rsid w:val="00500C4B"/>
    <w:rsid w:val="005011A1"/>
    <w:rsid w:val="005011E2"/>
    <w:rsid w:val="005014D5"/>
    <w:rsid w:val="005019E1"/>
    <w:rsid w:val="00501E41"/>
    <w:rsid w:val="00501FB3"/>
    <w:rsid w:val="005022B0"/>
    <w:rsid w:val="00502822"/>
    <w:rsid w:val="00502BF8"/>
    <w:rsid w:val="00502EB2"/>
    <w:rsid w:val="00502F2B"/>
    <w:rsid w:val="00503601"/>
    <w:rsid w:val="00503AAC"/>
    <w:rsid w:val="005042B2"/>
    <w:rsid w:val="00504627"/>
    <w:rsid w:val="005049BD"/>
    <w:rsid w:val="00504AD1"/>
    <w:rsid w:val="00504F71"/>
    <w:rsid w:val="00505336"/>
    <w:rsid w:val="0050549E"/>
    <w:rsid w:val="005066BA"/>
    <w:rsid w:val="00506749"/>
    <w:rsid w:val="00506AF9"/>
    <w:rsid w:val="00506C59"/>
    <w:rsid w:val="00506E06"/>
    <w:rsid w:val="00507295"/>
    <w:rsid w:val="005073EE"/>
    <w:rsid w:val="00507B7E"/>
    <w:rsid w:val="00510740"/>
    <w:rsid w:val="00510B42"/>
    <w:rsid w:val="00510D01"/>
    <w:rsid w:val="00511957"/>
    <w:rsid w:val="00511E84"/>
    <w:rsid w:val="00512516"/>
    <w:rsid w:val="005126B6"/>
    <w:rsid w:val="005136B2"/>
    <w:rsid w:val="005136BE"/>
    <w:rsid w:val="00513E10"/>
    <w:rsid w:val="00514102"/>
    <w:rsid w:val="00514463"/>
    <w:rsid w:val="00514A00"/>
    <w:rsid w:val="00514A0E"/>
    <w:rsid w:val="00514B37"/>
    <w:rsid w:val="00514B74"/>
    <w:rsid w:val="00515122"/>
    <w:rsid w:val="00515154"/>
    <w:rsid w:val="005152BF"/>
    <w:rsid w:val="0051530E"/>
    <w:rsid w:val="005156C3"/>
    <w:rsid w:val="0051598C"/>
    <w:rsid w:val="005159E9"/>
    <w:rsid w:val="00515DCC"/>
    <w:rsid w:val="0051612D"/>
    <w:rsid w:val="00516153"/>
    <w:rsid w:val="00516954"/>
    <w:rsid w:val="005169FC"/>
    <w:rsid w:val="00516ABB"/>
    <w:rsid w:val="00516B91"/>
    <w:rsid w:val="00516CED"/>
    <w:rsid w:val="00516D3D"/>
    <w:rsid w:val="0051723C"/>
    <w:rsid w:val="005174C3"/>
    <w:rsid w:val="00517B83"/>
    <w:rsid w:val="00520294"/>
    <w:rsid w:val="005203D5"/>
    <w:rsid w:val="00520618"/>
    <w:rsid w:val="00520741"/>
    <w:rsid w:val="00520828"/>
    <w:rsid w:val="00520B5D"/>
    <w:rsid w:val="0052147F"/>
    <w:rsid w:val="00521768"/>
    <w:rsid w:val="00521EA0"/>
    <w:rsid w:val="00522CB0"/>
    <w:rsid w:val="00523021"/>
    <w:rsid w:val="005239A1"/>
    <w:rsid w:val="00523EDC"/>
    <w:rsid w:val="0052428C"/>
    <w:rsid w:val="00524313"/>
    <w:rsid w:val="00524B80"/>
    <w:rsid w:val="005253C9"/>
    <w:rsid w:val="005258E3"/>
    <w:rsid w:val="00525F02"/>
    <w:rsid w:val="00527322"/>
    <w:rsid w:val="00527547"/>
    <w:rsid w:val="005276A9"/>
    <w:rsid w:val="00527A1F"/>
    <w:rsid w:val="00527ECA"/>
    <w:rsid w:val="00530E25"/>
    <w:rsid w:val="00530F17"/>
    <w:rsid w:val="00531EC8"/>
    <w:rsid w:val="0053270B"/>
    <w:rsid w:val="00532A5A"/>
    <w:rsid w:val="00532BC5"/>
    <w:rsid w:val="00532C30"/>
    <w:rsid w:val="00532C67"/>
    <w:rsid w:val="00532F47"/>
    <w:rsid w:val="00532F4A"/>
    <w:rsid w:val="005331CC"/>
    <w:rsid w:val="00533732"/>
    <w:rsid w:val="00533B24"/>
    <w:rsid w:val="00533BDF"/>
    <w:rsid w:val="005340A5"/>
    <w:rsid w:val="0053422F"/>
    <w:rsid w:val="00534540"/>
    <w:rsid w:val="005347AE"/>
    <w:rsid w:val="00534D92"/>
    <w:rsid w:val="00534F2A"/>
    <w:rsid w:val="00535484"/>
    <w:rsid w:val="00535636"/>
    <w:rsid w:val="00535D34"/>
    <w:rsid w:val="005361AE"/>
    <w:rsid w:val="005361D4"/>
    <w:rsid w:val="005361EA"/>
    <w:rsid w:val="0053655C"/>
    <w:rsid w:val="005368E9"/>
    <w:rsid w:val="00536F28"/>
    <w:rsid w:val="00537427"/>
    <w:rsid w:val="00537755"/>
    <w:rsid w:val="005379C7"/>
    <w:rsid w:val="00540132"/>
    <w:rsid w:val="00540504"/>
    <w:rsid w:val="005408E8"/>
    <w:rsid w:val="00540FD5"/>
    <w:rsid w:val="005413CA"/>
    <w:rsid w:val="0054148B"/>
    <w:rsid w:val="005416F6"/>
    <w:rsid w:val="00542181"/>
    <w:rsid w:val="00542523"/>
    <w:rsid w:val="0054291A"/>
    <w:rsid w:val="0054334E"/>
    <w:rsid w:val="0054360A"/>
    <w:rsid w:val="005441B1"/>
    <w:rsid w:val="005443FE"/>
    <w:rsid w:val="00544C26"/>
    <w:rsid w:val="00545115"/>
    <w:rsid w:val="0054512A"/>
    <w:rsid w:val="0054567E"/>
    <w:rsid w:val="0054588B"/>
    <w:rsid w:val="005462A4"/>
    <w:rsid w:val="005463F7"/>
    <w:rsid w:val="00546634"/>
    <w:rsid w:val="00546844"/>
    <w:rsid w:val="005468B6"/>
    <w:rsid w:val="0054692E"/>
    <w:rsid w:val="00546B39"/>
    <w:rsid w:val="00546B7E"/>
    <w:rsid w:val="00546CA8"/>
    <w:rsid w:val="00547264"/>
    <w:rsid w:val="00547434"/>
    <w:rsid w:val="00547D54"/>
    <w:rsid w:val="005501E8"/>
    <w:rsid w:val="00550955"/>
    <w:rsid w:val="0055129E"/>
    <w:rsid w:val="0055178D"/>
    <w:rsid w:val="00551E59"/>
    <w:rsid w:val="00552581"/>
    <w:rsid w:val="0055340D"/>
    <w:rsid w:val="00553512"/>
    <w:rsid w:val="00553869"/>
    <w:rsid w:val="00553A95"/>
    <w:rsid w:val="00554324"/>
    <w:rsid w:val="005546B8"/>
    <w:rsid w:val="00554DFE"/>
    <w:rsid w:val="00555481"/>
    <w:rsid w:val="00555663"/>
    <w:rsid w:val="00555B0A"/>
    <w:rsid w:val="0055637D"/>
    <w:rsid w:val="005564DE"/>
    <w:rsid w:val="00556AA9"/>
    <w:rsid w:val="00556BD1"/>
    <w:rsid w:val="00556D9F"/>
    <w:rsid w:val="00557836"/>
    <w:rsid w:val="00557C1D"/>
    <w:rsid w:val="00560063"/>
    <w:rsid w:val="00560DEE"/>
    <w:rsid w:val="00560EEF"/>
    <w:rsid w:val="00561870"/>
    <w:rsid w:val="00561ABC"/>
    <w:rsid w:val="00561D07"/>
    <w:rsid w:val="0056298A"/>
    <w:rsid w:val="005635FF"/>
    <w:rsid w:val="00563B3F"/>
    <w:rsid w:val="00563F64"/>
    <w:rsid w:val="00564232"/>
    <w:rsid w:val="00564343"/>
    <w:rsid w:val="00564359"/>
    <w:rsid w:val="00564456"/>
    <w:rsid w:val="005659CD"/>
    <w:rsid w:val="00566651"/>
    <w:rsid w:val="005668A6"/>
    <w:rsid w:val="00566AE4"/>
    <w:rsid w:val="00566D24"/>
    <w:rsid w:val="00566D82"/>
    <w:rsid w:val="00566EB9"/>
    <w:rsid w:val="0056789A"/>
    <w:rsid w:val="00567EFF"/>
    <w:rsid w:val="00567F31"/>
    <w:rsid w:val="0057000E"/>
    <w:rsid w:val="00570010"/>
    <w:rsid w:val="005702EA"/>
    <w:rsid w:val="00570E50"/>
    <w:rsid w:val="00571367"/>
    <w:rsid w:val="00571615"/>
    <w:rsid w:val="00571722"/>
    <w:rsid w:val="00572265"/>
    <w:rsid w:val="005728C0"/>
    <w:rsid w:val="00572FAC"/>
    <w:rsid w:val="005730CF"/>
    <w:rsid w:val="005730DF"/>
    <w:rsid w:val="00573317"/>
    <w:rsid w:val="00573359"/>
    <w:rsid w:val="00573907"/>
    <w:rsid w:val="00574391"/>
    <w:rsid w:val="005747C3"/>
    <w:rsid w:val="005758B4"/>
    <w:rsid w:val="00575C2F"/>
    <w:rsid w:val="00575CDC"/>
    <w:rsid w:val="00575CE7"/>
    <w:rsid w:val="00576201"/>
    <w:rsid w:val="00577468"/>
    <w:rsid w:val="0057748E"/>
    <w:rsid w:val="00577BF7"/>
    <w:rsid w:val="00577C9D"/>
    <w:rsid w:val="00577D1A"/>
    <w:rsid w:val="00580409"/>
    <w:rsid w:val="00581059"/>
    <w:rsid w:val="005810C7"/>
    <w:rsid w:val="005812F5"/>
    <w:rsid w:val="0058143F"/>
    <w:rsid w:val="00581738"/>
    <w:rsid w:val="00581768"/>
    <w:rsid w:val="005823ED"/>
    <w:rsid w:val="0058256F"/>
    <w:rsid w:val="005828B2"/>
    <w:rsid w:val="00582CF2"/>
    <w:rsid w:val="00582ED0"/>
    <w:rsid w:val="0058319D"/>
    <w:rsid w:val="00583358"/>
    <w:rsid w:val="005838CD"/>
    <w:rsid w:val="00583FC0"/>
    <w:rsid w:val="00585B4A"/>
    <w:rsid w:val="00585C66"/>
    <w:rsid w:val="005862B6"/>
    <w:rsid w:val="005862D4"/>
    <w:rsid w:val="0058673A"/>
    <w:rsid w:val="005869C1"/>
    <w:rsid w:val="00586ECA"/>
    <w:rsid w:val="0058750F"/>
    <w:rsid w:val="005877DB"/>
    <w:rsid w:val="00590018"/>
    <w:rsid w:val="005904A1"/>
    <w:rsid w:val="005913BE"/>
    <w:rsid w:val="00591467"/>
    <w:rsid w:val="00591519"/>
    <w:rsid w:val="00591C13"/>
    <w:rsid w:val="0059224E"/>
    <w:rsid w:val="00592591"/>
    <w:rsid w:val="00592F09"/>
    <w:rsid w:val="00592F57"/>
    <w:rsid w:val="00592FD5"/>
    <w:rsid w:val="00593314"/>
    <w:rsid w:val="005935B1"/>
    <w:rsid w:val="00593B5A"/>
    <w:rsid w:val="00593B86"/>
    <w:rsid w:val="00593D26"/>
    <w:rsid w:val="005944AB"/>
    <w:rsid w:val="0059452D"/>
    <w:rsid w:val="00594A1C"/>
    <w:rsid w:val="00594CE5"/>
    <w:rsid w:val="005952B4"/>
    <w:rsid w:val="005956C0"/>
    <w:rsid w:val="00595D2F"/>
    <w:rsid w:val="00595FC6"/>
    <w:rsid w:val="0059602B"/>
    <w:rsid w:val="005968BD"/>
    <w:rsid w:val="005969E1"/>
    <w:rsid w:val="00596BF2"/>
    <w:rsid w:val="00597E4F"/>
    <w:rsid w:val="00597FD3"/>
    <w:rsid w:val="005A11B4"/>
    <w:rsid w:val="005A1697"/>
    <w:rsid w:val="005A17C7"/>
    <w:rsid w:val="005A1DB5"/>
    <w:rsid w:val="005A1E9D"/>
    <w:rsid w:val="005A2546"/>
    <w:rsid w:val="005A27BE"/>
    <w:rsid w:val="005A311D"/>
    <w:rsid w:val="005A33A4"/>
    <w:rsid w:val="005A415F"/>
    <w:rsid w:val="005A4766"/>
    <w:rsid w:val="005A5050"/>
    <w:rsid w:val="005A53DD"/>
    <w:rsid w:val="005A58D9"/>
    <w:rsid w:val="005A62D0"/>
    <w:rsid w:val="005A6768"/>
    <w:rsid w:val="005A703B"/>
    <w:rsid w:val="005A75D8"/>
    <w:rsid w:val="005A7834"/>
    <w:rsid w:val="005A786B"/>
    <w:rsid w:val="005B0090"/>
    <w:rsid w:val="005B0234"/>
    <w:rsid w:val="005B0ED3"/>
    <w:rsid w:val="005B12B2"/>
    <w:rsid w:val="005B1634"/>
    <w:rsid w:val="005B2052"/>
    <w:rsid w:val="005B24AA"/>
    <w:rsid w:val="005B24BA"/>
    <w:rsid w:val="005B251C"/>
    <w:rsid w:val="005B26A6"/>
    <w:rsid w:val="005B2DDD"/>
    <w:rsid w:val="005B2F26"/>
    <w:rsid w:val="005B30B7"/>
    <w:rsid w:val="005B31AF"/>
    <w:rsid w:val="005B3673"/>
    <w:rsid w:val="005B37B6"/>
    <w:rsid w:val="005B3B8B"/>
    <w:rsid w:val="005B3CEE"/>
    <w:rsid w:val="005B4165"/>
    <w:rsid w:val="005B42E0"/>
    <w:rsid w:val="005B449E"/>
    <w:rsid w:val="005B4FBC"/>
    <w:rsid w:val="005B509C"/>
    <w:rsid w:val="005B51D7"/>
    <w:rsid w:val="005B6196"/>
    <w:rsid w:val="005B6767"/>
    <w:rsid w:val="005B6851"/>
    <w:rsid w:val="005B6C6C"/>
    <w:rsid w:val="005B6C85"/>
    <w:rsid w:val="005B7044"/>
    <w:rsid w:val="005B763A"/>
    <w:rsid w:val="005B7773"/>
    <w:rsid w:val="005B7933"/>
    <w:rsid w:val="005C010B"/>
    <w:rsid w:val="005C016E"/>
    <w:rsid w:val="005C0216"/>
    <w:rsid w:val="005C0E85"/>
    <w:rsid w:val="005C1352"/>
    <w:rsid w:val="005C1363"/>
    <w:rsid w:val="005C1D10"/>
    <w:rsid w:val="005C1F62"/>
    <w:rsid w:val="005C2516"/>
    <w:rsid w:val="005C26F1"/>
    <w:rsid w:val="005C2A6F"/>
    <w:rsid w:val="005C2C95"/>
    <w:rsid w:val="005C375B"/>
    <w:rsid w:val="005C388B"/>
    <w:rsid w:val="005C39D7"/>
    <w:rsid w:val="005C3BC0"/>
    <w:rsid w:val="005C3C73"/>
    <w:rsid w:val="005C3E63"/>
    <w:rsid w:val="005C491D"/>
    <w:rsid w:val="005C49EE"/>
    <w:rsid w:val="005C649A"/>
    <w:rsid w:val="005C6891"/>
    <w:rsid w:val="005C71D4"/>
    <w:rsid w:val="005C7719"/>
    <w:rsid w:val="005C7A3C"/>
    <w:rsid w:val="005D01AC"/>
    <w:rsid w:val="005D0325"/>
    <w:rsid w:val="005D057F"/>
    <w:rsid w:val="005D08C5"/>
    <w:rsid w:val="005D0D4D"/>
    <w:rsid w:val="005D1B7D"/>
    <w:rsid w:val="005D204E"/>
    <w:rsid w:val="005D2552"/>
    <w:rsid w:val="005D2B17"/>
    <w:rsid w:val="005D2D5E"/>
    <w:rsid w:val="005D2F92"/>
    <w:rsid w:val="005D393D"/>
    <w:rsid w:val="005D40B2"/>
    <w:rsid w:val="005D4DB1"/>
    <w:rsid w:val="005D526F"/>
    <w:rsid w:val="005D540D"/>
    <w:rsid w:val="005D6077"/>
    <w:rsid w:val="005D61A3"/>
    <w:rsid w:val="005D683D"/>
    <w:rsid w:val="005D6981"/>
    <w:rsid w:val="005D69DB"/>
    <w:rsid w:val="005D6A90"/>
    <w:rsid w:val="005D6C64"/>
    <w:rsid w:val="005D703C"/>
    <w:rsid w:val="005D709E"/>
    <w:rsid w:val="005D7794"/>
    <w:rsid w:val="005D7931"/>
    <w:rsid w:val="005E010F"/>
    <w:rsid w:val="005E0D89"/>
    <w:rsid w:val="005E178A"/>
    <w:rsid w:val="005E206F"/>
    <w:rsid w:val="005E2345"/>
    <w:rsid w:val="005E23F3"/>
    <w:rsid w:val="005E25ED"/>
    <w:rsid w:val="005E2AF3"/>
    <w:rsid w:val="005E3BB6"/>
    <w:rsid w:val="005E409F"/>
    <w:rsid w:val="005E41B2"/>
    <w:rsid w:val="005E475D"/>
    <w:rsid w:val="005E4B0C"/>
    <w:rsid w:val="005E4CF9"/>
    <w:rsid w:val="005E4D86"/>
    <w:rsid w:val="005E60FC"/>
    <w:rsid w:val="005E6BA8"/>
    <w:rsid w:val="005E6D04"/>
    <w:rsid w:val="005E713D"/>
    <w:rsid w:val="005E716C"/>
    <w:rsid w:val="005F07E3"/>
    <w:rsid w:val="005F0D3D"/>
    <w:rsid w:val="005F0E6A"/>
    <w:rsid w:val="005F117F"/>
    <w:rsid w:val="005F11E7"/>
    <w:rsid w:val="005F1C3A"/>
    <w:rsid w:val="005F1E7D"/>
    <w:rsid w:val="005F3967"/>
    <w:rsid w:val="005F43BD"/>
    <w:rsid w:val="005F4886"/>
    <w:rsid w:val="005F48AB"/>
    <w:rsid w:val="005F4C4F"/>
    <w:rsid w:val="005F5705"/>
    <w:rsid w:val="005F5AE1"/>
    <w:rsid w:val="005F6847"/>
    <w:rsid w:val="005F6CB3"/>
    <w:rsid w:val="005F6E0E"/>
    <w:rsid w:val="005F6F10"/>
    <w:rsid w:val="005F72F3"/>
    <w:rsid w:val="005F7C4A"/>
    <w:rsid w:val="006007C9"/>
    <w:rsid w:val="00601024"/>
    <w:rsid w:val="00601339"/>
    <w:rsid w:val="00601567"/>
    <w:rsid w:val="006019A4"/>
    <w:rsid w:val="00602646"/>
    <w:rsid w:val="00602AD3"/>
    <w:rsid w:val="00602DDD"/>
    <w:rsid w:val="00602E9A"/>
    <w:rsid w:val="00603062"/>
    <w:rsid w:val="0060352A"/>
    <w:rsid w:val="00603F05"/>
    <w:rsid w:val="006045F0"/>
    <w:rsid w:val="00604CE5"/>
    <w:rsid w:val="006058D6"/>
    <w:rsid w:val="0060604D"/>
    <w:rsid w:val="00606430"/>
    <w:rsid w:val="006074F8"/>
    <w:rsid w:val="00607C6B"/>
    <w:rsid w:val="00610302"/>
    <w:rsid w:val="00610475"/>
    <w:rsid w:val="0061086C"/>
    <w:rsid w:val="006111A1"/>
    <w:rsid w:val="0061132C"/>
    <w:rsid w:val="006119C4"/>
    <w:rsid w:val="006119DD"/>
    <w:rsid w:val="00611B33"/>
    <w:rsid w:val="00612409"/>
    <w:rsid w:val="006124F3"/>
    <w:rsid w:val="00612D9E"/>
    <w:rsid w:val="00612DF9"/>
    <w:rsid w:val="00613ABB"/>
    <w:rsid w:val="006142E6"/>
    <w:rsid w:val="00614C9C"/>
    <w:rsid w:val="006151B7"/>
    <w:rsid w:val="006153D7"/>
    <w:rsid w:val="00615DE1"/>
    <w:rsid w:val="00615E11"/>
    <w:rsid w:val="0061651B"/>
    <w:rsid w:val="00616A84"/>
    <w:rsid w:val="00616BC6"/>
    <w:rsid w:val="00616C14"/>
    <w:rsid w:val="0061732E"/>
    <w:rsid w:val="00617348"/>
    <w:rsid w:val="0061788F"/>
    <w:rsid w:val="00617B5E"/>
    <w:rsid w:val="0062001C"/>
    <w:rsid w:val="00620028"/>
    <w:rsid w:val="00620056"/>
    <w:rsid w:val="00620472"/>
    <w:rsid w:val="00620584"/>
    <w:rsid w:val="00620802"/>
    <w:rsid w:val="00620A93"/>
    <w:rsid w:val="00620DF0"/>
    <w:rsid w:val="00621535"/>
    <w:rsid w:val="00621C32"/>
    <w:rsid w:val="0062216E"/>
    <w:rsid w:val="00622397"/>
    <w:rsid w:val="006227C4"/>
    <w:rsid w:val="00622E75"/>
    <w:rsid w:val="00622F9F"/>
    <w:rsid w:val="00623749"/>
    <w:rsid w:val="00623BE9"/>
    <w:rsid w:val="00623D61"/>
    <w:rsid w:val="00623EA0"/>
    <w:rsid w:val="00623F16"/>
    <w:rsid w:val="00623F22"/>
    <w:rsid w:val="00623F28"/>
    <w:rsid w:val="00623F78"/>
    <w:rsid w:val="006243E3"/>
    <w:rsid w:val="00624737"/>
    <w:rsid w:val="006247A1"/>
    <w:rsid w:val="006247DA"/>
    <w:rsid w:val="0062539D"/>
    <w:rsid w:val="006254C8"/>
    <w:rsid w:val="0062674B"/>
    <w:rsid w:val="00626B7B"/>
    <w:rsid w:val="0062744B"/>
    <w:rsid w:val="00627A29"/>
    <w:rsid w:val="00627E14"/>
    <w:rsid w:val="00627EAB"/>
    <w:rsid w:val="00630017"/>
    <w:rsid w:val="00630163"/>
    <w:rsid w:val="00630371"/>
    <w:rsid w:val="0063061B"/>
    <w:rsid w:val="00630888"/>
    <w:rsid w:val="00630A5B"/>
    <w:rsid w:val="00631158"/>
    <w:rsid w:val="0063147B"/>
    <w:rsid w:val="0063198F"/>
    <w:rsid w:val="00631B39"/>
    <w:rsid w:val="00631E6A"/>
    <w:rsid w:val="00632217"/>
    <w:rsid w:val="0063225A"/>
    <w:rsid w:val="0063254B"/>
    <w:rsid w:val="00632C51"/>
    <w:rsid w:val="006332F4"/>
    <w:rsid w:val="00633310"/>
    <w:rsid w:val="0063337C"/>
    <w:rsid w:val="006334FA"/>
    <w:rsid w:val="00633CD4"/>
    <w:rsid w:val="006343AC"/>
    <w:rsid w:val="0063536C"/>
    <w:rsid w:val="00635437"/>
    <w:rsid w:val="006358A0"/>
    <w:rsid w:val="00635916"/>
    <w:rsid w:val="00635B21"/>
    <w:rsid w:val="00635C41"/>
    <w:rsid w:val="006360DF"/>
    <w:rsid w:val="006361F5"/>
    <w:rsid w:val="0063631C"/>
    <w:rsid w:val="00636871"/>
    <w:rsid w:val="00636D6D"/>
    <w:rsid w:val="006378C1"/>
    <w:rsid w:val="006401AF"/>
    <w:rsid w:val="006408E4"/>
    <w:rsid w:val="0064092E"/>
    <w:rsid w:val="00640A44"/>
    <w:rsid w:val="00640F97"/>
    <w:rsid w:val="006424F5"/>
    <w:rsid w:val="00642CAC"/>
    <w:rsid w:val="00642DA3"/>
    <w:rsid w:val="00643072"/>
    <w:rsid w:val="006433A9"/>
    <w:rsid w:val="0064345A"/>
    <w:rsid w:val="006439C9"/>
    <w:rsid w:val="00643C6B"/>
    <w:rsid w:val="00643CCD"/>
    <w:rsid w:val="00643FB1"/>
    <w:rsid w:val="00644293"/>
    <w:rsid w:val="0064437F"/>
    <w:rsid w:val="00644607"/>
    <w:rsid w:val="00644735"/>
    <w:rsid w:val="00644AC0"/>
    <w:rsid w:val="00644BC0"/>
    <w:rsid w:val="00645451"/>
    <w:rsid w:val="006456CB"/>
    <w:rsid w:val="006456D5"/>
    <w:rsid w:val="00645F34"/>
    <w:rsid w:val="0064689F"/>
    <w:rsid w:val="00646BB5"/>
    <w:rsid w:val="00647185"/>
    <w:rsid w:val="006476AE"/>
    <w:rsid w:val="006504D9"/>
    <w:rsid w:val="006509DB"/>
    <w:rsid w:val="00650BFC"/>
    <w:rsid w:val="00650C4A"/>
    <w:rsid w:val="00650EE2"/>
    <w:rsid w:val="00651715"/>
    <w:rsid w:val="006519AB"/>
    <w:rsid w:val="0065235D"/>
    <w:rsid w:val="006524B4"/>
    <w:rsid w:val="006530F1"/>
    <w:rsid w:val="0065314C"/>
    <w:rsid w:val="0065341D"/>
    <w:rsid w:val="0065360E"/>
    <w:rsid w:val="00653D2B"/>
    <w:rsid w:val="006544C2"/>
    <w:rsid w:val="006545F3"/>
    <w:rsid w:val="00654A54"/>
    <w:rsid w:val="00654FE1"/>
    <w:rsid w:val="006554F6"/>
    <w:rsid w:val="00655777"/>
    <w:rsid w:val="006558C9"/>
    <w:rsid w:val="006559AA"/>
    <w:rsid w:val="00656253"/>
    <w:rsid w:val="006562E2"/>
    <w:rsid w:val="0065642D"/>
    <w:rsid w:val="00656889"/>
    <w:rsid w:val="00656920"/>
    <w:rsid w:val="006569A7"/>
    <w:rsid w:val="00656B27"/>
    <w:rsid w:val="00656D2E"/>
    <w:rsid w:val="0065773F"/>
    <w:rsid w:val="00657B3F"/>
    <w:rsid w:val="00660282"/>
    <w:rsid w:val="00660B0E"/>
    <w:rsid w:val="00660BA8"/>
    <w:rsid w:val="00660F16"/>
    <w:rsid w:val="006616AF"/>
    <w:rsid w:val="0066187D"/>
    <w:rsid w:val="006618ED"/>
    <w:rsid w:val="00661947"/>
    <w:rsid w:val="00661E10"/>
    <w:rsid w:val="00661E5A"/>
    <w:rsid w:val="00661FA0"/>
    <w:rsid w:val="00662786"/>
    <w:rsid w:val="00662DF2"/>
    <w:rsid w:val="00662E00"/>
    <w:rsid w:val="00663212"/>
    <w:rsid w:val="0066368C"/>
    <w:rsid w:val="00663A4A"/>
    <w:rsid w:val="00663A5C"/>
    <w:rsid w:val="00664065"/>
    <w:rsid w:val="00664D51"/>
    <w:rsid w:val="0066506E"/>
    <w:rsid w:val="00665070"/>
    <w:rsid w:val="006653A3"/>
    <w:rsid w:val="00665C5D"/>
    <w:rsid w:val="00667139"/>
    <w:rsid w:val="006677E8"/>
    <w:rsid w:val="0066785E"/>
    <w:rsid w:val="00667CF7"/>
    <w:rsid w:val="00667FF0"/>
    <w:rsid w:val="00670184"/>
    <w:rsid w:val="00670338"/>
    <w:rsid w:val="00670AE4"/>
    <w:rsid w:val="006710CA"/>
    <w:rsid w:val="00672127"/>
    <w:rsid w:val="006722FB"/>
    <w:rsid w:val="00672768"/>
    <w:rsid w:val="00672BE3"/>
    <w:rsid w:val="00672F95"/>
    <w:rsid w:val="00673537"/>
    <w:rsid w:val="00673858"/>
    <w:rsid w:val="0067422D"/>
    <w:rsid w:val="00674517"/>
    <w:rsid w:val="00674F75"/>
    <w:rsid w:val="0067599C"/>
    <w:rsid w:val="00676378"/>
    <w:rsid w:val="006764E5"/>
    <w:rsid w:val="00676781"/>
    <w:rsid w:val="00676BBE"/>
    <w:rsid w:val="006774AF"/>
    <w:rsid w:val="006778DA"/>
    <w:rsid w:val="00677D1E"/>
    <w:rsid w:val="006801EF"/>
    <w:rsid w:val="0068033C"/>
    <w:rsid w:val="006814F5"/>
    <w:rsid w:val="00682DA3"/>
    <w:rsid w:val="00682EAF"/>
    <w:rsid w:val="0068369C"/>
    <w:rsid w:val="006836D4"/>
    <w:rsid w:val="00684135"/>
    <w:rsid w:val="0068429D"/>
    <w:rsid w:val="006843B2"/>
    <w:rsid w:val="00684DE8"/>
    <w:rsid w:val="0068571F"/>
    <w:rsid w:val="0068588C"/>
    <w:rsid w:val="00685C59"/>
    <w:rsid w:val="00685DAB"/>
    <w:rsid w:val="00685E4A"/>
    <w:rsid w:val="0068605E"/>
    <w:rsid w:val="006864AA"/>
    <w:rsid w:val="00686718"/>
    <w:rsid w:val="00686C21"/>
    <w:rsid w:val="00686DCD"/>
    <w:rsid w:val="00687670"/>
    <w:rsid w:val="00687A95"/>
    <w:rsid w:val="00687AD8"/>
    <w:rsid w:val="00687F01"/>
    <w:rsid w:val="0069011A"/>
    <w:rsid w:val="00690D83"/>
    <w:rsid w:val="00690E7B"/>
    <w:rsid w:val="00690FCF"/>
    <w:rsid w:val="006914CB"/>
    <w:rsid w:val="006916F5"/>
    <w:rsid w:val="0069170E"/>
    <w:rsid w:val="0069186F"/>
    <w:rsid w:val="00691BB3"/>
    <w:rsid w:val="00691E47"/>
    <w:rsid w:val="00691F43"/>
    <w:rsid w:val="00692A58"/>
    <w:rsid w:val="00692E0A"/>
    <w:rsid w:val="006931E9"/>
    <w:rsid w:val="00693437"/>
    <w:rsid w:val="00693DB5"/>
    <w:rsid w:val="00693DBC"/>
    <w:rsid w:val="0069400C"/>
    <w:rsid w:val="00694343"/>
    <w:rsid w:val="00694F88"/>
    <w:rsid w:val="006959A0"/>
    <w:rsid w:val="00695F1F"/>
    <w:rsid w:val="00696542"/>
    <w:rsid w:val="00696BFA"/>
    <w:rsid w:val="00697DA4"/>
    <w:rsid w:val="006A01AC"/>
    <w:rsid w:val="006A0234"/>
    <w:rsid w:val="006A0436"/>
    <w:rsid w:val="006A044F"/>
    <w:rsid w:val="006A0595"/>
    <w:rsid w:val="006A064E"/>
    <w:rsid w:val="006A0946"/>
    <w:rsid w:val="006A0B9D"/>
    <w:rsid w:val="006A0C37"/>
    <w:rsid w:val="006A19B2"/>
    <w:rsid w:val="006A1F0B"/>
    <w:rsid w:val="006A1F7F"/>
    <w:rsid w:val="006A233D"/>
    <w:rsid w:val="006A261A"/>
    <w:rsid w:val="006A26F9"/>
    <w:rsid w:val="006A2A3C"/>
    <w:rsid w:val="006A31C6"/>
    <w:rsid w:val="006A383D"/>
    <w:rsid w:val="006A3F1F"/>
    <w:rsid w:val="006A44F5"/>
    <w:rsid w:val="006A4618"/>
    <w:rsid w:val="006A4755"/>
    <w:rsid w:val="006A515C"/>
    <w:rsid w:val="006A51F4"/>
    <w:rsid w:val="006A521D"/>
    <w:rsid w:val="006A55AB"/>
    <w:rsid w:val="006A594B"/>
    <w:rsid w:val="006A5C76"/>
    <w:rsid w:val="006A6640"/>
    <w:rsid w:val="006A671E"/>
    <w:rsid w:val="006A6F41"/>
    <w:rsid w:val="006A6FC7"/>
    <w:rsid w:val="006A7FE8"/>
    <w:rsid w:val="006B12FF"/>
    <w:rsid w:val="006B1A09"/>
    <w:rsid w:val="006B1B65"/>
    <w:rsid w:val="006B1BAF"/>
    <w:rsid w:val="006B1C15"/>
    <w:rsid w:val="006B256C"/>
    <w:rsid w:val="006B298C"/>
    <w:rsid w:val="006B29D0"/>
    <w:rsid w:val="006B30F7"/>
    <w:rsid w:val="006B34D4"/>
    <w:rsid w:val="006B3902"/>
    <w:rsid w:val="006B3BDB"/>
    <w:rsid w:val="006B3E2E"/>
    <w:rsid w:val="006B42C2"/>
    <w:rsid w:val="006B496D"/>
    <w:rsid w:val="006B534C"/>
    <w:rsid w:val="006B53B9"/>
    <w:rsid w:val="006B5582"/>
    <w:rsid w:val="006B5DD0"/>
    <w:rsid w:val="006B68FF"/>
    <w:rsid w:val="006B6A72"/>
    <w:rsid w:val="006B6E78"/>
    <w:rsid w:val="006B72A9"/>
    <w:rsid w:val="006B7B2C"/>
    <w:rsid w:val="006B7E3E"/>
    <w:rsid w:val="006C03C2"/>
    <w:rsid w:val="006C04D0"/>
    <w:rsid w:val="006C0516"/>
    <w:rsid w:val="006C05B5"/>
    <w:rsid w:val="006C0F17"/>
    <w:rsid w:val="006C0FCC"/>
    <w:rsid w:val="006C14B7"/>
    <w:rsid w:val="006C1787"/>
    <w:rsid w:val="006C1875"/>
    <w:rsid w:val="006C1929"/>
    <w:rsid w:val="006C1B85"/>
    <w:rsid w:val="006C1BE2"/>
    <w:rsid w:val="006C1DE3"/>
    <w:rsid w:val="006C238E"/>
    <w:rsid w:val="006C23C0"/>
    <w:rsid w:val="006C312F"/>
    <w:rsid w:val="006C343F"/>
    <w:rsid w:val="006C3A61"/>
    <w:rsid w:val="006C3B2F"/>
    <w:rsid w:val="006C40A7"/>
    <w:rsid w:val="006C4BF9"/>
    <w:rsid w:val="006C4D71"/>
    <w:rsid w:val="006C50E5"/>
    <w:rsid w:val="006C54CA"/>
    <w:rsid w:val="006C5566"/>
    <w:rsid w:val="006C5920"/>
    <w:rsid w:val="006C5B80"/>
    <w:rsid w:val="006C5BD3"/>
    <w:rsid w:val="006C5F2F"/>
    <w:rsid w:val="006C6386"/>
    <w:rsid w:val="006C6837"/>
    <w:rsid w:val="006C6AA3"/>
    <w:rsid w:val="006C6D0C"/>
    <w:rsid w:val="006C6F37"/>
    <w:rsid w:val="006C7C6F"/>
    <w:rsid w:val="006C7EB5"/>
    <w:rsid w:val="006D0478"/>
    <w:rsid w:val="006D06D6"/>
    <w:rsid w:val="006D145E"/>
    <w:rsid w:val="006D1998"/>
    <w:rsid w:val="006D1E4D"/>
    <w:rsid w:val="006D2409"/>
    <w:rsid w:val="006D2BDF"/>
    <w:rsid w:val="006D2D1D"/>
    <w:rsid w:val="006D3474"/>
    <w:rsid w:val="006D35B5"/>
    <w:rsid w:val="006D371B"/>
    <w:rsid w:val="006D381A"/>
    <w:rsid w:val="006D385A"/>
    <w:rsid w:val="006D3A01"/>
    <w:rsid w:val="006D3E13"/>
    <w:rsid w:val="006D4198"/>
    <w:rsid w:val="006D4714"/>
    <w:rsid w:val="006D500A"/>
    <w:rsid w:val="006D5863"/>
    <w:rsid w:val="006D592D"/>
    <w:rsid w:val="006D5A63"/>
    <w:rsid w:val="006D710B"/>
    <w:rsid w:val="006D7182"/>
    <w:rsid w:val="006D7494"/>
    <w:rsid w:val="006D7504"/>
    <w:rsid w:val="006D7B0A"/>
    <w:rsid w:val="006D7B17"/>
    <w:rsid w:val="006E031F"/>
    <w:rsid w:val="006E0508"/>
    <w:rsid w:val="006E0879"/>
    <w:rsid w:val="006E0FC9"/>
    <w:rsid w:val="006E10BD"/>
    <w:rsid w:val="006E10BE"/>
    <w:rsid w:val="006E16DE"/>
    <w:rsid w:val="006E1A86"/>
    <w:rsid w:val="006E27B3"/>
    <w:rsid w:val="006E3388"/>
    <w:rsid w:val="006E36F7"/>
    <w:rsid w:val="006E3978"/>
    <w:rsid w:val="006E3B1A"/>
    <w:rsid w:val="006E42AE"/>
    <w:rsid w:val="006E44B7"/>
    <w:rsid w:val="006E44D9"/>
    <w:rsid w:val="006E5254"/>
    <w:rsid w:val="006E5286"/>
    <w:rsid w:val="006E54AF"/>
    <w:rsid w:val="006E657C"/>
    <w:rsid w:val="006E66AE"/>
    <w:rsid w:val="006E69AC"/>
    <w:rsid w:val="006E6CED"/>
    <w:rsid w:val="006E720E"/>
    <w:rsid w:val="006E745B"/>
    <w:rsid w:val="006E787A"/>
    <w:rsid w:val="006E7E2F"/>
    <w:rsid w:val="006E7FC5"/>
    <w:rsid w:val="006F06F2"/>
    <w:rsid w:val="006F074D"/>
    <w:rsid w:val="006F0EBA"/>
    <w:rsid w:val="006F1BB6"/>
    <w:rsid w:val="006F3153"/>
    <w:rsid w:val="006F31EA"/>
    <w:rsid w:val="006F3226"/>
    <w:rsid w:val="006F3604"/>
    <w:rsid w:val="006F3958"/>
    <w:rsid w:val="006F3D39"/>
    <w:rsid w:val="006F3F52"/>
    <w:rsid w:val="006F402C"/>
    <w:rsid w:val="006F412A"/>
    <w:rsid w:val="006F4CC7"/>
    <w:rsid w:val="006F50CE"/>
    <w:rsid w:val="006F5283"/>
    <w:rsid w:val="006F5468"/>
    <w:rsid w:val="006F55E4"/>
    <w:rsid w:val="006F6778"/>
    <w:rsid w:val="006F6E9A"/>
    <w:rsid w:val="006F7336"/>
    <w:rsid w:val="006F7DE9"/>
    <w:rsid w:val="006F7F6E"/>
    <w:rsid w:val="0070029A"/>
    <w:rsid w:val="0070042F"/>
    <w:rsid w:val="0070062A"/>
    <w:rsid w:val="007007AB"/>
    <w:rsid w:val="00700BC4"/>
    <w:rsid w:val="00700C8D"/>
    <w:rsid w:val="00700C93"/>
    <w:rsid w:val="00702765"/>
    <w:rsid w:val="007027F1"/>
    <w:rsid w:val="00703FBA"/>
    <w:rsid w:val="0070427C"/>
    <w:rsid w:val="00704941"/>
    <w:rsid w:val="00704BFC"/>
    <w:rsid w:val="00705597"/>
    <w:rsid w:val="007058DA"/>
    <w:rsid w:val="007061D3"/>
    <w:rsid w:val="00706CC0"/>
    <w:rsid w:val="00706E5F"/>
    <w:rsid w:val="00706F10"/>
    <w:rsid w:val="00706FDC"/>
    <w:rsid w:val="0070704C"/>
    <w:rsid w:val="0070710A"/>
    <w:rsid w:val="0070732B"/>
    <w:rsid w:val="0070765F"/>
    <w:rsid w:val="00707F60"/>
    <w:rsid w:val="00707F6E"/>
    <w:rsid w:val="007105F5"/>
    <w:rsid w:val="0071064F"/>
    <w:rsid w:val="00710B89"/>
    <w:rsid w:val="00710C81"/>
    <w:rsid w:val="00710D08"/>
    <w:rsid w:val="00710D2E"/>
    <w:rsid w:val="00710D47"/>
    <w:rsid w:val="00710FD0"/>
    <w:rsid w:val="0071124A"/>
    <w:rsid w:val="00711F1D"/>
    <w:rsid w:val="00712247"/>
    <w:rsid w:val="0071224F"/>
    <w:rsid w:val="0071228F"/>
    <w:rsid w:val="007129C5"/>
    <w:rsid w:val="00712ADE"/>
    <w:rsid w:val="00712C77"/>
    <w:rsid w:val="00713225"/>
    <w:rsid w:val="007137D5"/>
    <w:rsid w:val="00714602"/>
    <w:rsid w:val="00714FA4"/>
    <w:rsid w:val="00715415"/>
    <w:rsid w:val="007154C5"/>
    <w:rsid w:val="007156A3"/>
    <w:rsid w:val="00715836"/>
    <w:rsid w:val="0071599C"/>
    <w:rsid w:val="007162F2"/>
    <w:rsid w:val="0071651D"/>
    <w:rsid w:val="00716BAE"/>
    <w:rsid w:val="00716F5E"/>
    <w:rsid w:val="00717164"/>
    <w:rsid w:val="0071791F"/>
    <w:rsid w:val="00717F96"/>
    <w:rsid w:val="0072031F"/>
    <w:rsid w:val="00720FF7"/>
    <w:rsid w:val="0072109A"/>
    <w:rsid w:val="007210BA"/>
    <w:rsid w:val="0072150E"/>
    <w:rsid w:val="00721621"/>
    <w:rsid w:val="00721874"/>
    <w:rsid w:val="00721894"/>
    <w:rsid w:val="00721D6F"/>
    <w:rsid w:val="007223F1"/>
    <w:rsid w:val="00722DB7"/>
    <w:rsid w:val="00723B76"/>
    <w:rsid w:val="00723CA6"/>
    <w:rsid w:val="00724C12"/>
    <w:rsid w:val="00724D96"/>
    <w:rsid w:val="00725A0A"/>
    <w:rsid w:val="00726CDC"/>
    <w:rsid w:val="00727075"/>
    <w:rsid w:val="00727232"/>
    <w:rsid w:val="00727378"/>
    <w:rsid w:val="0072778A"/>
    <w:rsid w:val="00727C9F"/>
    <w:rsid w:val="0073003C"/>
    <w:rsid w:val="00730493"/>
    <w:rsid w:val="00731182"/>
    <w:rsid w:val="007312FD"/>
    <w:rsid w:val="00731894"/>
    <w:rsid w:val="00731C76"/>
    <w:rsid w:val="00731D64"/>
    <w:rsid w:val="007320F1"/>
    <w:rsid w:val="007323ED"/>
    <w:rsid w:val="0073242E"/>
    <w:rsid w:val="007326B5"/>
    <w:rsid w:val="00732807"/>
    <w:rsid w:val="00732991"/>
    <w:rsid w:val="007329BF"/>
    <w:rsid w:val="00732E54"/>
    <w:rsid w:val="007330E4"/>
    <w:rsid w:val="00733471"/>
    <w:rsid w:val="00733A3E"/>
    <w:rsid w:val="0073423E"/>
    <w:rsid w:val="007346ED"/>
    <w:rsid w:val="007347A4"/>
    <w:rsid w:val="00734C18"/>
    <w:rsid w:val="00734E65"/>
    <w:rsid w:val="00735BA9"/>
    <w:rsid w:val="00735D6E"/>
    <w:rsid w:val="00735EBB"/>
    <w:rsid w:val="007361F8"/>
    <w:rsid w:val="00736734"/>
    <w:rsid w:val="00736982"/>
    <w:rsid w:val="00737D3A"/>
    <w:rsid w:val="007402D2"/>
    <w:rsid w:val="00740F78"/>
    <w:rsid w:val="00741331"/>
    <w:rsid w:val="00741515"/>
    <w:rsid w:val="00741B3B"/>
    <w:rsid w:val="00741D8F"/>
    <w:rsid w:val="00742DED"/>
    <w:rsid w:val="00743C18"/>
    <w:rsid w:val="00744088"/>
    <w:rsid w:val="00744C43"/>
    <w:rsid w:val="00744D68"/>
    <w:rsid w:val="00744EEF"/>
    <w:rsid w:val="00745011"/>
    <w:rsid w:val="00745DBD"/>
    <w:rsid w:val="0074628D"/>
    <w:rsid w:val="00746290"/>
    <w:rsid w:val="00746314"/>
    <w:rsid w:val="0074684D"/>
    <w:rsid w:val="00746AE3"/>
    <w:rsid w:val="00747356"/>
    <w:rsid w:val="00747CE0"/>
    <w:rsid w:val="007500E0"/>
    <w:rsid w:val="007505AD"/>
    <w:rsid w:val="0075079F"/>
    <w:rsid w:val="00750857"/>
    <w:rsid w:val="00750A35"/>
    <w:rsid w:val="00750B3A"/>
    <w:rsid w:val="0075164B"/>
    <w:rsid w:val="00752060"/>
    <w:rsid w:val="007523EA"/>
    <w:rsid w:val="007524D8"/>
    <w:rsid w:val="007528A4"/>
    <w:rsid w:val="00753893"/>
    <w:rsid w:val="00753A1F"/>
    <w:rsid w:val="0075500D"/>
    <w:rsid w:val="0075522A"/>
    <w:rsid w:val="0075526B"/>
    <w:rsid w:val="007552F3"/>
    <w:rsid w:val="007553D7"/>
    <w:rsid w:val="00755A8A"/>
    <w:rsid w:val="007562A7"/>
    <w:rsid w:val="007563DE"/>
    <w:rsid w:val="00756E3B"/>
    <w:rsid w:val="00756E99"/>
    <w:rsid w:val="00757811"/>
    <w:rsid w:val="00757890"/>
    <w:rsid w:val="00757B49"/>
    <w:rsid w:val="00757CDD"/>
    <w:rsid w:val="007603D4"/>
    <w:rsid w:val="007609CF"/>
    <w:rsid w:val="00760A46"/>
    <w:rsid w:val="00760C4B"/>
    <w:rsid w:val="00762211"/>
    <w:rsid w:val="00762283"/>
    <w:rsid w:val="00762499"/>
    <w:rsid w:val="007631BE"/>
    <w:rsid w:val="007631D8"/>
    <w:rsid w:val="00763BC7"/>
    <w:rsid w:val="00763D47"/>
    <w:rsid w:val="00763F16"/>
    <w:rsid w:val="00764BA9"/>
    <w:rsid w:val="00764BF3"/>
    <w:rsid w:val="00764C0D"/>
    <w:rsid w:val="00765093"/>
    <w:rsid w:val="007656B7"/>
    <w:rsid w:val="007659CF"/>
    <w:rsid w:val="00766096"/>
    <w:rsid w:val="00766DA6"/>
    <w:rsid w:val="00766DDE"/>
    <w:rsid w:val="00767246"/>
    <w:rsid w:val="007672E9"/>
    <w:rsid w:val="00767721"/>
    <w:rsid w:val="007677E2"/>
    <w:rsid w:val="00770593"/>
    <w:rsid w:val="0077156C"/>
    <w:rsid w:val="00771780"/>
    <w:rsid w:val="00772273"/>
    <w:rsid w:val="007724F5"/>
    <w:rsid w:val="00772C70"/>
    <w:rsid w:val="00772F81"/>
    <w:rsid w:val="0077309D"/>
    <w:rsid w:val="0077315C"/>
    <w:rsid w:val="00773205"/>
    <w:rsid w:val="0077324F"/>
    <w:rsid w:val="007734BB"/>
    <w:rsid w:val="007735DA"/>
    <w:rsid w:val="00773BB7"/>
    <w:rsid w:val="00773D98"/>
    <w:rsid w:val="00774137"/>
    <w:rsid w:val="00774F6F"/>
    <w:rsid w:val="0077579E"/>
    <w:rsid w:val="007758AC"/>
    <w:rsid w:val="00775AF5"/>
    <w:rsid w:val="00775B80"/>
    <w:rsid w:val="00775C70"/>
    <w:rsid w:val="007760D9"/>
    <w:rsid w:val="00776835"/>
    <w:rsid w:val="0077746F"/>
    <w:rsid w:val="0078040B"/>
    <w:rsid w:val="0078041C"/>
    <w:rsid w:val="00780A4F"/>
    <w:rsid w:val="00780D88"/>
    <w:rsid w:val="007811F5"/>
    <w:rsid w:val="00781444"/>
    <w:rsid w:val="00781578"/>
    <w:rsid w:val="00781734"/>
    <w:rsid w:val="007819F6"/>
    <w:rsid w:val="00781BC9"/>
    <w:rsid w:val="007826E3"/>
    <w:rsid w:val="00782ECD"/>
    <w:rsid w:val="0078313D"/>
    <w:rsid w:val="00783A5F"/>
    <w:rsid w:val="00783A6C"/>
    <w:rsid w:val="00783BB5"/>
    <w:rsid w:val="00783CA5"/>
    <w:rsid w:val="00784978"/>
    <w:rsid w:val="00784F2B"/>
    <w:rsid w:val="00785923"/>
    <w:rsid w:val="00785A8C"/>
    <w:rsid w:val="007861FB"/>
    <w:rsid w:val="00786E90"/>
    <w:rsid w:val="00786FEF"/>
    <w:rsid w:val="00787F32"/>
    <w:rsid w:val="007908C2"/>
    <w:rsid w:val="00790916"/>
    <w:rsid w:val="00790DA9"/>
    <w:rsid w:val="00791187"/>
    <w:rsid w:val="00791B40"/>
    <w:rsid w:val="00791F2C"/>
    <w:rsid w:val="007920D2"/>
    <w:rsid w:val="00792ADE"/>
    <w:rsid w:val="00793136"/>
    <w:rsid w:val="00793166"/>
    <w:rsid w:val="00794066"/>
    <w:rsid w:val="00794657"/>
    <w:rsid w:val="00794973"/>
    <w:rsid w:val="00794BBF"/>
    <w:rsid w:val="007959B5"/>
    <w:rsid w:val="00795E56"/>
    <w:rsid w:val="007965CF"/>
    <w:rsid w:val="00796960"/>
    <w:rsid w:val="00797100"/>
    <w:rsid w:val="00797D22"/>
    <w:rsid w:val="00797DE7"/>
    <w:rsid w:val="007A011A"/>
    <w:rsid w:val="007A0156"/>
    <w:rsid w:val="007A02B5"/>
    <w:rsid w:val="007A06C4"/>
    <w:rsid w:val="007A15C5"/>
    <w:rsid w:val="007A15CE"/>
    <w:rsid w:val="007A18A6"/>
    <w:rsid w:val="007A22DD"/>
    <w:rsid w:val="007A251D"/>
    <w:rsid w:val="007A2B58"/>
    <w:rsid w:val="007A2CE6"/>
    <w:rsid w:val="007A30E4"/>
    <w:rsid w:val="007A321B"/>
    <w:rsid w:val="007A33E5"/>
    <w:rsid w:val="007A3A5F"/>
    <w:rsid w:val="007A4972"/>
    <w:rsid w:val="007A53B9"/>
    <w:rsid w:val="007A64AD"/>
    <w:rsid w:val="007A6810"/>
    <w:rsid w:val="007A6B15"/>
    <w:rsid w:val="007A73FC"/>
    <w:rsid w:val="007A7531"/>
    <w:rsid w:val="007A7544"/>
    <w:rsid w:val="007A797D"/>
    <w:rsid w:val="007B0945"/>
    <w:rsid w:val="007B1050"/>
    <w:rsid w:val="007B1E68"/>
    <w:rsid w:val="007B1E78"/>
    <w:rsid w:val="007B24B2"/>
    <w:rsid w:val="007B2A61"/>
    <w:rsid w:val="007B2A82"/>
    <w:rsid w:val="007B2E72"/>
    <w:rsid w:val="007B31A6"/>
    <w:rsid w:val="007B3B15"/>
    <w:rsid w:val="007B3B58"/>
    <w:rsid w:val="007B4882"/>
    <w:rsid w:val="007B5657"/>
    <w:rsid w:val="007B5699"/>
    <w:rsid w:val="007B5717"/>
    <w:rsid w:val="007B583F"/>
    <w:rsid w:val="007B5FAD"/>
    <w:rsid w:val="007B6E5B"/>
    <w:rsid w:val="007B7041"/>
    <w:rsid w:val="007B78A0"/>
    <w:rsid w:val="007B7B9D"/>
    <w:rsid w:val="007B7BC7"/>
    <w:rsid w:val="007B7BD7"/>
    <w:rsid w:val="007B7F3C"/>
    <w:rsid w:val="007C02FF"/>
    <w:rsid w:val="007C0446"/>
    <w:rsid w:val="007C0854"/>
    <w:rsid w:val="007C0930"/>
    <w:rsid w:val="007C1587"/>
    <w:rsid w:val="007C278A"/>
    <w:rsid w:val="007C2995"/>
    <w:rsid w:val="007C2AA5"/>
    <w:rsid w:val="007C3653"/>
    <w:rsid w:val="007C40E8"/>
    <w:rsid w:val="007C4FB4"/>
    <w:rsid w:val="007C50AD"/>
    <w:rsid w:val="007C55F7"/>
    <w:rsid w:val="007C5E6E"/>
    <w:rsid w:val="007C6101"/>
    <w:rsid w:val="007C6499"/>
    <w:rsid w:val="007C6751"/>
    <w:rsid w:val="007C68EC"/>
    <w:rsid w:val="007C69B8"/>
    <w:rsid w:val="007C6A0B"/>
    <w:rsid w:val="007C70C0"/>
    <w:rsid w:val="007C7416"/>
    <w:rsid w:val="007C7A24"/>
    <w:rsid w:val="007C7AFA"/>
    <w:rsid w:val="007C7C7F"/>
    <w:rsid w:val="007D010C"/>
    <w:rsid w:val="007D03B5"/>
    <w:rsid w:val="007D06F7"/>
    <w:rsid w:val="007D1301"/>
    <w:rsid w:val="007D1803"/>
    <w:rsid w:val="007D1BFA"/>
    <w:rsid w:val="007D21AA"/>
    <w:rsid w:val="007D2A96"/>
    <w:rsid w:val="007D2E3B"/>
    <w:rsid w:val="007D39A6"/>
    <w:rsid w:val="007D3B1C"/>
    <w:rsid w:val="007D3DA6"/>
    <w:rsid w:val="007D42BE"/>
    <w:rsid w:val="007D438A"/>
    <w:rsid w:val="007D44D4"/>
    <w:rsid w:val="007D4DD8"/>
    <w:rsid w:val="007D5AC4"/>
    <w:rsid w:val="007D5E11"/>
    <w:rsid w:val="007D70ED"/>
    <w:rsid w:val="007D746B"/>
    <w:rsid w:val="007D7BBB"/>
    <w:rsid w:val="007E03F7"/>
    <w:rsid w:val="007E0A01"/>
    <w:rsid w:val="007E0CD8"/>
    <w:rsid w:val="007E0D0D"/>
    <w:rsid w:val="007E1D22"/>
    <w:rsid w:val="007E20E8"/>
    <w:rsid w:val="007E28AC"/>
    <w:rsid w:val="007E2B97"/>
    <w:rsid w:val="007E2CE0"/>
    <w:rsid w:val="007E3450"/>
    <w:rsid w:val="007E3471"/>
    <w:rsid w:val="007E3A5A"/>
    <w:rsid w:val="007E426B"/>
    <w:rsid w:val="007E5D73"/>
    <w:rsid w:val="007E6788"/>
    <w:rsid w:val="007E6BAE"/>
    <w:rsid w:val="007E777F"/>
    <w:rsid w:val="007E79EA"/>
    <w:rsid w:val="007E7B1A"/>
    <w:rsid w:val="007E7DAD"/>
    <w:rsid w:val="007E7DCA"/>
    <w:rsid w:val="007F0CF0"/>
    <w:rsid w:val="007F105D"/>
    <w:rsid w:val="007F12DD"/>
    <w:rsid w:val="007F2A4D"/>
    <w:rsid w:val="007F2DA6"/>
    <w:rsid w:val="007F35C2"/>
    <w:rsid w:val="007F3E58"/>
    <w:rsid w:val="007F3E86"/>
    <w:rsid w:val="007F3EC5"/>
    <w:rsid w:val="007F41F9"/>
    <w:rsid w:val="007F429D"/>
    <w:rsid w:val="007F43EB"/>
    <w:rsid w:val="007F44C6"/>
    <w:rsid w:val="007F6A35"/>
    <w:rsid w:val="007F6CDC"/>
    <w:rsid w:val="007F73E5"/>
    <w:rsid w:val="007F75F5"/>
    <w:rsid w:val="008017BA"/>
    <w:rsid w:val="00801E7A"/>
    <w:rsid w:val="00801E8B"/>
    <w:rsid w:val="00802016"/>
    <w:rsid w:val="00803263"/>
    <w:rsid w:val="0080329E"/>
    <w:rsid w:val="00803B76"/>
    <w:rsid w:val="00803C3E"/>
    <w:rsid w:val="00804120"/>
    <w:rsid w:val="008044EF"/>
    <w:rsid w:val="00804795"/>
    <w:rsid w:val="00804E8B"/>
    <w:rsid w:val="00804EA4"/>
    <w:rsid w:val="00804EBF"/>
    <w:rsid w:val="00805001"/>
    <w:rsid w:val="008053F9"/>
    <w:rsid w:val="00805741"/>
    <w:rsid w:val="00805D58"/>
    <w:rsid w:val="0080658F"/>
    <w:rsid w:val="008078CC"/>
    <w:rsid w:val="00807CB4"/>
    <w:rsid w:val="00810061"/>
    <w:rsid w:val="008100DD"/>
    <w:rsid w:val="008103BB"/>
    <w:rsid w:val="00810512"/>
    <w:rsid w:val="00810AF5"/>
    <w:rsid w:val="008111EC"/>
    <w:rsid w:val="00811E94"/>
    <w:rsid w:val="0081214F"/>
    <w:rsid w:val="0081311E"/>
    <w:rsid w:val="00813B26"/>
    <w:rsid w:val="00813B9C"/>
    <w:rsid w:val="00814933"/>
    <w:rsid w:val="008149D8"/>
    <w:rsid w:val="00814B08"/>
    <w:rsid w:val="008156B6"/>
    <w:rsid w:val="008159F1"/>
    <w:rsid w:val="00816173"/>
    <w:rsid w:val="00816A5C"/>
    <w:rsid w:val="00816C38"/>
    <w:rsid w:val="00817045"/>
    <w:rsid w:val="0081757B"/>
    <w:rsid w:val="00817BDA"/>
    <w:rsid w:val="00817DCF"/>
    <w:rsid w:val="0082049C"/>
    <w:rsid w:val="008205F2"/>
    <w:rsid w:val="00820815"/>
    <w:rsid w:val="00820C71"/>
    <w:rsid w:val="0082170E"/>
    <w:rsid w:val="00821A84"/>
    <w:rsid w:val="00822019"/>
    <w:rsid w:val="0082297F"/>
    <w:rsid w:val="00822BBC"/>
    <w:rsid w:val="00822D11"/>
    <w:rsid w:val="00822D68"/>
    <w:rsid w:val="00823120"/>
    <w:rsid w:val="008231E0"/>
    <w:rsid w:val="0082391B"/>
    <w:rsid w:val="00823D01"/>
    <w:rsid w:val="00823FE0"/>
    <w:rsid w:val="0082429A"/>
    <w:rsid w:val="008245F5"/>
    <w:rsid w:val="00824CC9"/>
    <w:rsid w:val="00824E70"/>
    <w:rsid w:val="0082581B"/>
    <w:rsid w:val="00825955"/>
    <w:rsid w:val="00825A67"/>
    <w:rsid w:val="00825FA4"/>
    <w:rsid w:val="0082687D"/>
    <w:rsid w:val="00826E70"/>
    <w:rsid w:val="00827F22"/>
    <w:rsid w:val="0083034C"/>
    <w:rsid w:val="00830B04"/>
    <w:rsid w:val="00830B97"/>
    <w:rsid w:val="008324AB"/>
    <w:rsid w:val="008329B3"/>
    <w:rsid w:val="00832FFE"/>
    <w:rsid w:val="0083323F"/>
    <w:rsid w:val="008335A1"/>
    <w:rsid w:val="00833F06"/>
    <w:rsid w:val="00833FC6"/>
    <w:rsid w:val="00834383"/>
    <w:rsid w:val="00834A29"/>
    <w:rsid w:val="00834B3E"/>
    <w:rsid w:val="00834E47"/>
    <w:rsid w:val="00835987"/>
    <w:rsid w:val="00835AF8"/>
    <w:rsid w:val="00835C6E"/>
    <w:rsid w:val="00835F07"/>
    <w:rsid w:val="00836FB4"/>
    <w:rsid w:val="00837762"/>
    <w:rsid w:val="00837B85"/>
    <w:rsid w:val="0084015E"/>
    <w:rsid w:val="00840863"/>
    <w:rsid w:val="00840A13"/>
    <w:rsid w:val="008419DB"/>
    <w:rsid w:val="00841D6A"/>
    <w:rsid w:val="00841E5D"/>
    <w:rsid w:val="00842F93"/>
    <w:rsid w:val="00842FA5"/>
    <w:rsid w:val="00842FE5"/>
    <w:rsid w:val="008434FE"/>
    <w:rsid w:val="00843B44"/>
    <w:rsid w:val="00844A91"/>
    <w:rsid w:val="00844DFC"/>
    <w:rsid w:val="00845A23"/>
    <w:rsid w:val="00845BEC"/>
    <w:rsid w:val="00845C4B"/>
    <w:rsid w:val="00845CBD"/>
    <w:rsid w:val="00845D3E"/>
    <w:rsid w:val="00847477"/>
    <w:rsid w:val="00847C9F"/>
    <w:rsid w:val="00850277"/>
    <w:rsid w:val="0085035C"/>
    <w:rsid w:val="008508A1"/>
    <w:rsid w:val="008509FC"/>
    <w:rsid w:val="00850DF9"/>
    <w:rsid w:val="008515C7"/>
    <w:rsid w:val="00851650"/>
    <w:rsid w:val="00851A8C"/>
    <w:rsid w:val="008521D2"/>
    <w:rsid w:val="00852807"/>
    <w:rsid w:val="00852D1F"/>
    <w:rsid w:val="008546B8"/>
    <w:rsid w:val="00854AA0"/>
    <w:rsid w:val="00854C6E"/>
    <w:rsid w:val="00855A91"/>
    <w:rsid w:val="00855BA0"/>
    <w:rsid w:val="008562EB"/>
    <w:rsid w:val="008566AB"/>
    <w:rsid w:val="00856A41"/>
    <w:rsid w:val="00857033"/>
    <w:rsid w:val="008571CD"/>
    <w:rsid w:val="00857402"/>
    <w:rsid w:val="00857C3C"/>
    <w:rsid w:val="00857D4E"/>
    <w:rsid w:val="008600F2"/>
    <w:rsid w:val="008602F1"/>
    <w:rsid w:val="0086041D"/>
    <w:rsid w:val="008606B4"/>
    <w:rsid w:val="008608B0"/>
    <w:rsid w:val="00860AE0"/>
    <w:rsid w:val="00861CDB"/>
    <w:rsid w:val="00861EF9"/>
    <w:rsid w:val="00862846"/>
    <w:rsid w:val="00862E45"/>
    <w:rsid w:val="0086307F"/>
    <w:rsid w:val="00863EC6"/>
    <w:rsid w:val="0086454C"/>
    <w:rsid w:val="0086455A"/>
    <w:rsid w:val="008649FB"/>
    <w:rsid w:val="008654C9"/>
    <w:rsid w:val="00865903"/>
    <w:rsid w:val="00865B5D"/>
    <w:rsid w:val="00865B83"/>
    <w:rsid w:val="00866156"/>
    <w:rsid w:val="00866DA5"/>
    <w:rsid w:val="00866EFA"/>
    <w:rsid w:val="008670F8"/>
    <w:rsid w:val="00867847"/>
    <w:rsid w:val="00867D75"/>
    <w:rsid w:val="008700FE"/>
    <w:rsid w:val="008703C1"/>
    <w:rsid w:val="00870FAD"/>
    <w:rsid w:val="00871592"/>
    <w:rsid w:val="008716D1"/>
    <w:rsid w:val="00871F8D"/>
    <w:rsid w:val="0087208B"/>
    <w:rsid w:val="00872DD1"/>
    <w:rsid w:val="00873007"/>
    <w:rsid w:val="0087376F"/>
    <w:rsid w:val="00873770"/>
    <w:rsid w:val="00873B17"/>
    <w:rsid w:val="00874938"/>
    <w:rsid w:val="0087559E"/>
    <w:rsid w:val="00875B3E"/>
    <w:rsid w:val="008762BD"/>
    <w:rsid w:val="00876A99"/>
    <w:rsid w:val="00877EBD"/>
    <w:rsid w:val="0088088E"/>
    <w:rsid w:val="00880CB4"/>
    <w:rsid w:val="00881193"/>
    <w:rsid w:val="00881ACB"/>
    <w:rsid w:val="0088218F"/>
    <w:rsid w:val="00882BC4"/>
    <w:rsid w:val="00882FF6"/>
    <w:rsid w:val="0088331F"/>
    <w:rsid w:val="008837A8"/>
    <w:rsid w:val="0088381C"/>
    <w:rsid w:val="00883B92"/>
    <w:rsid w:val="00883EA8"/>
    <w:rsid w:val="008843F6"/>
    <w:rsid w:val="0088449F"/>
    <w:rsid w:val="0088482F"/>
    <w:rsid w:val="00884C7B"/>
    <w:rsid w:val="0088512D"/>
    <w:rsid w:val="00886293"/>
    <w:rsid w:val="00886341"/>
    <w:rsid w:val="008869B9"/>
    <w:rsid w:val="00886B32"/>
    <w:rsid w:val="00886C43"/>
    <w:rsid w:val="0088773B"/>
    <w:rsid w:val="00887757"/>
    <w:rsid w:val="00887E47"/>
    <w:rsid w:val="00890357"/>
    <w:rsid w:val="00890612"/>
    <w:rsid w:val="00890807"/>
    <w:rsid w:val="00890BEB"/>
    <w:rsid w:val="00891082"/>
    <w:rsid w:val="00891185"/>
    <w:rsid w:val="00891210"/>
    <w:rsid w:val="00891F4B"/>
    <w:rsid w:val="00892016"/>
    <w:rsid w:val="00892A02"/>
    <w:rsid w:val="0089316F"/>
    <w:rsid w:val="0089346E"/>
    <w:rsid w:val="008936BA"/>
    <w:rsid w:val="008936E7"/>
    <w:rsid w:val="008936FD"/>
    <w:rsid w:val="00893B5A"/>
    <w:rsid w:val="00893B85"/>
    <w:rsid w:val="0089438A"/>
    <w:rsid w:val="00894526"/>
    <w:rsid w:val="008945CF"/>
    <w:rsid w:val="00894B9A"/>
    <w:rsid w:val="00895465"/>
    <w:rsid w:val="008954C9"/>
    <w:rsid w:val="00895552"/>
    <w:rsid w:val="008958F7"/>
    <w:rsid w:val="0089687D"/>
    <w:rsid w:val="0089695C"/>
    <w:rsid w:val="00896BD7"/>
    <w:rsid w:val="00896F11"/>
    <w:rsid w:val="0089799C"/>
    <w:rsid w:val="00897E07"/>
    <w:rsid w:val="008A03CE"/>
    <w:rsid w:val="008A0410"/>
    <w:rsid w:val="008A0CF6"/>
    <w:rsid w:val="008A105D"/>
    <w:rsid w:val="008A13F0"/>
    <w:rsid w:val="008A16FB"/>
    <w:rsid w:val="008A1A99"/>
    <w:rsid w:val="008A1AEE"/>
    <w:rsid w:val="008A23C1"/>
    <w:rsid w:val="008A25E9"/>
    <w:rsid w:val="008A2E24"/>
    <w:rsid w:val="008A3B41"/>
    <w:rsid w:val="008A46B6"/>
    <w:rsid w:val="008A470F"/>
    <w:rsid w:val="008A4C65"/>
    <w:rsid w:val="008A52FA"/>
    <w:rsid w:val="008A5456"/>
    <w:rsid w:val="008A5ADC"/>
    <w:rsid w:val="008A5CA0"/>
    <w:rsid w:val="008A610D"/>
    <w:rsid w:val="008A6188"/>
    <w:rsid w:val="008A6528"/>
    <w:rsid w:val="008A66B0"/>
    <w:rsid w:val="008A6AC5"/>
    <w:rsid w:val="008A700D"/>
    <w:rsid w:val="008A7824"/>
    <w:rsid w:val="008A78A6"/>
    <w:rsid w:val="008A79B0"/>
    <w:rsid w:val="008A7A66"/>
    <w:rsid w:val="008A7C67"/>
    <w:rsid w:val="008A7EB9"/>
    <w:rsid w:val="008A7F37"/>
    <w:rsid w:val="008B0A06"/>
    <w:rsid w:val="008B0FF5"/>
    <w:rsid w:val="008B163B"/>
    <w:rsid w:val="008B16D9"/>
    <w:rsid w:val="008B1804"/>
    <w:rsid w:val="008B1E79"/>
    <w:rsid w:val="008B2520"/>
    <w:rsid w:val="008B25EB"/>
    <w:rsid w:val="008B27A9"/>
    <w:rsid w:val="008B2974"/>
    <w:rsid w:val="008B310E"/>
    <w:rsid w:val="008B3D4A"/>
    <w:rsid w:val="008B4389"/>
    <w:rsid w:val="008B45A8"/>
    <w:rsid w:val="008B463A"/>
    <w:rsid w:val="008B4A64"/>
    <w:rsid w:val="008B5045"/>
    <w:rsid w:val="008B594A"/>
    <w:rsid w:val="008B5E51"/>
    <w:rsid w:val="008B5EC1"/>
    <w:rsid w:val="008B61A3"/>
    <w:rsid w:val="008B64EE"/>
    <w:rsid w:val="008B67CC"/>
    <w:rsid w:val="008B6AC4"/>
    <w:rsid w:val="008B6BE7"/>
    <w:rsid w:val="008B741E"/>
    <w:rsid w:val="008B7B13"/>
    <w:rsid w:val="008B7C06"/>
    <w:rsid w:val="008C0054"/>
    <w:rsid w:val="008C0273"/>
    <w:rsid w:val="008C02DB"/>
    <w:rsid w:val="008C0D44"/>
    <w:rsid w:val="008C1045"/>
    <w:rsid w:val="008C105A"/>
    <w:rsid w:val="008C1098"/>
    <w:rsid w:val="008C14F5"/>
    <w:rsid w:val="008C15AB"/>
    <w:rsid w:val="008C19A4"/>
    <w:rsid w:val="008C1DC2"/>
    <w:rsid w:val="008C1FC4"/>
    <w:rsid w:val="008C2AF5"/>
    <w:rsid w:val="008C2D5E"/>
    <w:rsid w:val="008C4399"/>
    <w:rsid w:val="008C496A"/>
    <w:rsid w:val="008C4F8B"/>
    <w:rsid w:val="008C501C"/>
    <w:rsid w:val="008C51F1"/>
    <w:rsid w:val="008C53BE"/>
    <w:rsid w:val="008C5B47"/>
    <w:rsid w:val="008C5C70"/>
    <w:rsid w:val="008C5E61"/>
    <w:rsid w:val="008C5EBC"/>
    <w:rsid w:val="008C625F"/>
    <w:rsid w:val="008C6278"/>
    <w:rsid w:val="008C64D2"/>
    <w:rsid w:val="008C67DE"/>
    <w:rsid w:val="008C68C1"/>
    <w:rsid w:val="008C6F51"/>
    <w:rsid w:val="008C7317"/>
    <w:rsid w:val="008D004D"/>
    <w:rsid w:val="008D042C"/>
    <w:rsid w:val="008D0634"/>
    <w:rsid w:val="008D06FE"/>
    <w:rsid w:val="008D0CDC"/>
    <w:rsid w:val="008D11A7"/>
    <w:rsid w:val="008D11AB"/>
    <w:rsid w:val="008D15F6"/>
    <w:rsid w:val="008D195B"/>
    <w:rsid w:val="008D1DC5"/>
    <w:rsid w:val="008D308C"/>
    <w:rsid w:val="008D4303"/>
    <w:rsid w:val="008D4518"/>
    <w:rsid w:val="008D46D5"/>
    <w:rsid w:val="008D4D37"/>
    <w:rsid w:val="008D4FBD"/>
    <w:rsid w:val="008D52F2"/>
    <w:rsid w:val="008D5A83"/>
    <w:rsid w:val="008D5BCF"/>
    <w:rsid w:val="008D5D48"/>
    <w:rsid w:val="008D603E"/>
    <w:rsid w:val="008D6BA0"/>
    <w:rsid w:val="008D6CA7"/>
    <w:rsid w:val="008D7254"/>
    <w:rsid w:val="008D72D8"/>
    <w:rsid w:val="008D752F"/>
    <w:rsid w:val="008D7800"/>
    <w:rsid w:val="008D7DB1"/>
    <w:rsid w:val="008E0138"/>
    <w:rsid w:val="008E07C3"/>
    <w:rsid w:val="008E0CB9"/>
    <w:rsid w:val="008E176F"/>
    <w:rsid w:val="008E2442"/>
    <w:rsid w:val="008E2A2E"/>
    <w:rsid w:val="008E4974"/>
    <w:rsid w:val="008E5050"/>
    <w:rsid w:val="008E51D2"/>
    <w:rsid w:val="008E5207"/>
    <w:rsid w:val="008E5EDD"/>
    <w:rsid w:val="008E6237"/>
    <w:rsid w:val="008E6726"/>
    <w:rsid w:val="008E682F"/>
    <w:rsid w:val="008E6B16"/>
    <w:rsid w:val="008E6EBB"/>
    <w:rsid w:val="008E7430"/>
    <w:rsid w:val="008E7DF1"/>
    <w:rsid w:val="008F0430"/>
    <w:rsid w:val="008F0A26"/>
    <w:rsid w:val="008F0FAA"/>
    <w:rsid w:val="008F0FF1"/>
    <w:rsid w:val="008F11B9"/>
    <w:rsid w:val="008F14EB"/>
    <w:rsid w:val="008F177D"/>
    <w:rsid w:val="008F2638"/>
    <w:rsid w:val="008F2AC2"/>
    <w:rsid w:val="008F31E6"/>
    <w:rsid w:val="008F374D"/>
    <w:rsid w:val="008F394D"/>
    <w:rsid w:val="008F398A"/>
    <w:rsid w:val="008F446E"/>
    <w:rsid w:val="008F498A"/>
    <w:rsid w:val="008F4AA2"/>
    <w:rsid w:val="008F4B57"/>
    <w:rsid w:val="008F4B90"/>
    <w:rsid w:val="008F58F3"/>
    <w:rsid w:val="008F59CD"/>
    <w:rsid w:val="008F5B3F"/>
    <w:rsid w:val="008F5C0E"/>
    <w:rsid w:val="008F60D2"/>
    <w:rsid w:val="008F60E1"/>
    <w:rsid w:val="008F62F5"/>
    <w:rsid w:val="008F65CD"/>
    <w:rsid w:val="008F7010"/>
    <w:rsid w:val="008F72C1"/>
    <w:rsid w:val="008F7493"/>
    <w:rsid w:val="00900100"/>
    <w:rsid w:val="00900341"/>
    <w:rsid w:val="00900397"/>
    <w:rsid w:val="009007A8"/>
    <w:rsid w:val="00900A84"/>
    <w:rsid w:val="00900C6A"/>
    <w:rsid w:val="00900D7C"/>
    <w:rsid w:val="009011F4"/>
    <w:rsid w:val="0090196C"/>
    <w:rsid w:val="00901A7B"/>
    <w:rsid w:val="00901DEF"/>
    <w:rsid w:val="0090227F"/>
    <w:rsid w:val="0090231D"/>
    <w:rsid w:val="00902C7F"/>
    <w:rsid w:val="00902DB3"/>
    <w:rsid w:val="009030ED"/>
    <w:rsid w:val="00903627"/>
    <w:rsid w:val="009037E4"/>
    <w:rsid w:val="00903B68"/>
    <w:rsid w:val="00903BCA"/>
    <w:rsid w:val="00903D2B"/>
    <w:rsid w:val="00904003"/>
    <w:rsid w:val="00904405"/>
    <w:rsid w:val="00904622"/>
    <w:rsid w:val="00904883"/>
    <w:rsid w:val="009050C1"/>
    <w:rsid w:val="00905202"/>
    <w:rsid w:val="009053F7"/>
    <w:rsid w:val="0090576F"/>
    <w:rsid w:val="009059B9"/>
    <w:rsid w:val="00905D02"/>
    <w:rsid w:val="00906333"/>
    <w:rsid w:val="009065A6"/>
    <w:rsid w:val="009066B0"/>
    <w:rsid w:val="00906C6A"/>
    <w:rsid w:val="009102B7"/>
    <w:rsid w:val="0091036A"/>
    <w:rsid w:val="00910A97"/>
    <w:rsid w:val="00910EBC"/>
    <w:rsid w:val="00911028"/>
    <w:rsid w:val="00911936"/>
    <w:rsid w:val="0091201C"/>
    <w:rsid w:val="009130F8"/>
    <w:rsid w:val="00913828"/>
    <w:rsid w:val="00914BA4"/>
    <w:rsid w:val="00914CBE"/>
    <w:rsid w:val="00914D95"/>
    <w:rsid w:val="0091502B"/>
    <w:rsid w:val="00915135"/>
    <w:rsid w:val="00915274"/>
    <w:rsid w:val="00915BAC"/>
    <w:rsid w:val="0091651C"/>
    <w:rsid w:val="009165DD"/>
    <w:rsid w:val="009167E4"/>
    <w:rsid w:val="00916817"/>
    <w:rsid w:val="0091746F"/>
    <w:rsid w:val="0091775E"/>
    <w:rsid w:val="00920525"/>
    <w:rsid w:val="00920618"/>
    <w:rsid w:val="00920755"/>
    <w:rsid w:val="00920AE8"/>
    <w:rsid w:val="00920B30"/>
    <w:rsid w:val="009219C6"/>
    <w:rsid w:val="00921AE3"/>
    <w:rsid w:val="00922957"/>
    <w:rsid w:val="0092363D"/>
    <w:rsid w:val="00923DBC"/>
    <w:rsid w:val="00923EA9"/>
    <w:rsid w:val="009242C9"/>
    <w:rsid w:val="00924593"/>
    <w:rsid w:val="00925660"/>
    <w:rsid w:val="009262F2"/>
    <w:rsid w:val="00926693"/>
    <w:rsid w:val="00926A5E"/>
    <w:rsid w:val="00926EA9"/>
    <w:rsid w:val="00926EF1"/>
    <w:rsid w:val="009273C0"/>
    <w:rsid w:val="00927829"/>
    <w:rsid w:val="00927B88"/>
    <w:rsid w:val="00927C8F"/>
    <w:rsid w:val="00927F80"/>
    <w:rsid w:val="0093058B"/>
    <w:rsid w:val="00930C21"/>
    <w:rsid w:val="0093113D"/>
    <w:rsid w:val="00931A4D"/>
    <w:rsid w:val="009320D8"/>
    <w:rsid w:val="00932500"/>
    <w:rsid w:val="00932518"/>
    <w:rsid w:val="009329BE"/>
    <w:rsid w:val="00932AE2"/>
    <w:rsid w:val="00933256"/>
    <w:rsid w:val="00933B03"/>
    <w:rsid w:val="00933BF5"/>
    <w:rsid w:val="009340AB"/>
    <w:rsid w:val="0093449C"/>
    <w:rsid w:val="009345EC"/>
    <w:rsid w:val="009349F1"/>
    <w:rsid w:val="00934A4D"/>
    <w:rsid w:val="00934DA0"/>
    <w:rsid w:val="00934E8E"/>
    <w:rsid w:val="00934EA1"/>
    <w:rsid w:val="00934F63"/>
    <w:rsid w:val="00935AEB"/>
    <w:rsid w:val="00935E90"/>
    <w:rsid w:val="009366BF"/>
    <w:rsid w:val="00936880"/>
    <w:rsid w:val="00936A61"/>
    <w:rsid w:val="00936AB7"/>
    <w:rsid w:val="00936EB5"/>
    <w:rsid w:val="00937766"/>
    <w:rsid w:val="00937789"/>
    <w:rsid w:val="00937B49"/>
    <w:rsid w:val="00940584"/>
    <w:rsid w:val="00940BC3"/>
    <w:rsid w:val="00941627"/>
    <w:rsid w:val="00941647"/>
    <w:rsid w:val="009416AC"/>
    <w:rsid w:val="0094197E"/>
    <w:rsid w:val="00941A1E"/>
    <w:rsid w:val="00941B77"/>
    <w:rsid w:val="00942004"/>
    <w:rsid w:val="00942154"/>
    <w:rsid w:val="00942467"/>
    <w:rsid w:val="00942D6E"/>
    <w:rsid w:val="0094387C"/>
    <w:rsid w:val="009441E5"/>
    <w:rsid w:val="00944FDC"/>
    <w:rsid w:val="00945885"/>
    <w:rsid w:val="00945F70"/>
    <w:rsid w:val="0094609A"/>
    <w:rsid w:val="00946407"/>
    <w:rsid w:val="009465FA"/>
    <w:rsid w:val="00946FCF"/>
    <w:rsid w:val="009473A1"/>
    <w:rsid w:val="0094746B"/>
    <w:rsid w:val="009479D5"/>
    <w:rsid w:val="00950805"/>
    <w:rsid w:val="00950837"/>
    <w:rsid w:val="00950B6B"/>
    <w:rsid w:val="0095196F"/>
    <w:rsid w:val="00952607"/>
    <w:rsid w:val="0095298D"/>
    <w:rsid w:val="009529D4"/>
    <w:rsid w:val="00952F79"/>
    <w:rsid w:val="009530E9"/>
    <w:rsid w:val="0095353E"/>
    <w:rsid w:val="009537FD"/>
    <w:rsid w:val="00953E17"/>
    <w:rsid w:val="00954013"/>
    <w:rsid w:val="009543FB"/>
    <w:rsid w:val="009545F2"/>
    <w:rsid w:val="00954F7E"/>
    <w:rsid w:val="00955592"/>
    <w:rsid w:val="009556E0"/>
    <w:rsid w:val="009556F6"/>
    <w:rsid w:val="009558E7"/>
    <w:rsid w:val="00955BDD"/>
    <w:rsid w:val="0095614E"/>
    <w:rsid w:val="009566F2"/>
    <w:rsid w:val="00956A49"/>
    <w:rsid w:val="00956A84"/>
    <w:rsid w:val="00956C53"/>
    <w:rsid w:val="00956EE9"/>
    <w:rsid w:val="00957012"/>
    <w:rsid w:val="00957121"/>
    <w:rsid w:val="00957865"/>
    <w:rsid w:val="00957977"/>
    <w:rsid w:val="00957B51"/>
    <w:rsid w:val="00960271"/>
    <w:rsid w:val="00960A38"/>
    <w:rsid w:val="00960C88"/>
    <w:rsid w:val="009614E6"/>
    <w:rsid w:val="00961710"/>
    <w:rsid w:val="00961B12"/>
    <w:rsid w:val="00961C29"/>
    <w:rsid w:val="00961E90"/>
    <w:rsid w:val="009624CA"/>
    <w:rsid w:val="00963675"/>
    <w:rsid w:val="0096372C"/>
    <w:rsid w:val="00963D20"/>
    <w:rsid w:val="00964869"/>
    <w:rsid w:val="00965116"/>
    <w:rsid w:val="00965826"/>
    <w:rsid w:val="00965B11"/>
    <w:rsid w:val="009661E9"/>
    <w:rsid w:val="00966330"/>
    <w:rsid w:val="00966FB2"/>
    <w:rsid w:val="0096709D"/>
    <w:rsid w:val="009674C0"/>
    <w:rsid w:val="009675DD"/>
    <w:rsid w:val="00967822"/>
    <w:rsid w:val="009700DC"/>
    <w:rsid w:val="009702CB"/>
    <w:rsid w:val="00970629"/>
    <w:rsid w:val="0097065A"/>
    <w:rsid w:val="00970EAA"/>
    <w:rsid w:val="00971229"/>
    <w:rsid w:val="00971E73"/>
    <w:rsid w:val="00973929"/>
    <w:rsid w:val="00973FF1"/>
    <w:rsid w:val="00974E32"/>
    <w:rsid w:val="009759AB"/>
    <w:rsid w:val="009759AE"/>
    <w:rsid w:val="00975A12"/>
    <w:rsid w:val="00975ACE"/>
    <w:rsid w:val="00975B13"/>
    <w:rsid w:val="00976114"/>
    <w:rsid w:val="0097650B"/>
    <w:rsid w:val="0097673C"/>
    <w:rsid w:val="009768FD"/>
    <w:rsid w:val="009769A5"/>
    <w:rsid w:val="00976AF3"/>
    <w:rsid w:val="00976CB1"/>
    <w:rsid w:val="00977884"/>
    <w:rsid w:val="00977E0A"/>
    <w:rsid w:val="00980784"/>
    <w:rsid w:val="00980869"/>
    <w:rsid w:val="00980CAD"/>
    <w:rsid w:val="00980FA4"/>
    <w:rsid w:val="009810E6"/>
    <w:rsid w:val="009812C5"/>
    <w:rsid w:val="00981321"/>
    <w:rsid w:val="00981748"/>
    <w:rsid w:val="00981B87"/>
    <w:rsid w:val="00981D0E"/>
    <w:rsid w:val="0098285D"/>
    <w:rsid w:val="009837B4"/>
    <w:rsid w:val="0098398C"/>
    <w:rsid w:val="0098403C"/>
    <w:rsid w:val="00984150"/>
    <w:rsid w:val="009845FB"/>
    <w:rsid w:val="009847AC"/>
    <w:rsid w:val="00984C47"/>
    <w:rsid w:val="0098519F"/>
    <w:rsid w:val="00985745"/>
    <w:rsid w:val="00986137"/>
    <w:rsid w:val="0098628D"/>
    <w:rsid w:val="00986774"/>
    <w:rsid w:val="009874B2"/>
    <w:rsid w:val="00987F40"/>
    <w:rsid w:val="009905D5"/>
    <w:rsid w:val="00990A77"/>
    <w:rsid w:val="00990A84"/>
    <w:rsid w:val="009911E6"/>
    <w:rsid w:val="0099124E"/>
    <w:rsid w:val="009916AB"/>
    <w:rsid w:val="00991C9D"/>
    <w:rsid w:val="00992474"/>
    <w:rsid w:val="00992784"/>
    <w:rsid w:val="009927F7"/>
    <w:rsid w:val="009928BB"/>
    <w:rsid w:val="00993049"/>
    <w:rsid w:val="0099359C"/>
    <w:rsid w:val="00993A22"/>
    <w:rsid w:val="009946CE"/>
    <w:rsid w:val="00995047"/>
    <w:rsid w:val="009950E3"/>
    <w:rsid w:val="0099554A"/>
    <w:rsid w:val="00995A55"/>
    <w:rsid w:val="00996224"/>
    <w:rsid w:val="00996521"/>
    <w:rsid w:val="00996BFF"/>
    <w:rsid w:val="00997038"/>
    <w:rsid w:val="00997531"/>
    <w:rsid w:val="00997665"/>
    <w:rsid w:val="009978DC"/>
    <w:rsid w:val="00997FF1"/>
    <w:rsid w:val="009A05E7"/>
    <w:rsid w:val="009A09B7"/>
    <w:rsid w:val="009A1220"/>
    <w:rsid w:val="009A125D"/>
    <w:rsid w:val="009A1A8D"/>
    <w:rsid w:val="009A1B8C"/>
    <w:rsid w:val="009A26FC"/>
    <w:rsid w:val="009A2A66"/>
    <w:rsid w:val="009A3909"/>
    <w:rsid w:val="009A3D31"/>
    <w:rsid w:val="009A3EAD"/>
    <w:rsid w:val="009A424F"/>
    <w:rsid w:val="009A43D7"/>
    <w:rsid w:val="009A486F"/>
    <w:rsid w:val="009A495A"/>
    <w:rsid w:val="009A5C21"/>
    <w:rsid w:val="009A5F8F"/>
    <w:rsid w:val="009A60C6"/>
    <w:rsid w:val="009A65FD"/>
    <w:rsid w:val="009A66A7"/>
    <w:rsid w:val="009B09B5"/>
    <w:rsid w:val="009B0A5A"/>
    <w:rsid w:val="009B0B07"/>
    <w:rsid w:val="009B0DF3"/>
    <w:rsid w:val="009B0F10"/>
    <w:rsid w:val="009B149F"/>
    <w:rsid w:val="009B2C21"/>
    <w:rsid w:val="009B2C2C"/>
    <w:rsid w:val="009B32AB"/>
    <w:rsid w:val="009B38A5"/>
    <w:rsid w:val="009B3C51"/>
    <w:rsid w:val="009B3F8C"/>
    <w:rsid w:val="009B44EA"/>
    <w:rsid w:val="009B46B7"/>
    <w:rsid w:val="009B479B"/>
    <w:rsid w:val="009B48B9"/>
    <w:rsid w:val="009B4911"/>
    <w:rsid w:val="009B4AEA"/>
    <w:rsid w:val="009B4F7B"/>
    <w:rsid w:val="009B597E"/>
    <w:rsid w:val="009B5D79"/>
    <w:rsid w:val="009B65B2"/>
    <w:rsid w:val="009B65B8"/>
    <w:rsid w:val="009B6B4D"/>
    <w:rsid w:val="009B7AFB"/>
    <w:rsid w:val="009B7C9A"/>
    <w:rsid w:val="009B7E1B"/>
    <w:rsid w:val="009C03F4"/>
    <w:rsid w:val="009C147E"/>
    <w:rsid w:val="009C1A98"/>
    <w:rsid w:val="009C1C2E"/>
    <w:rsid w:val="009C1C70"/>
    <w:rsid w:val="009C1CD7"/>
    <w:rsid w:val="009C25D8"/>
    <w:rsid w:val="009C2D55"/>
    <w:rsid w:val="009C32C8"/>
    <w:rsid w:val="009C3614"/>
    <w:rsid w:val="009C3E30"/>
    <w:rsid w:val="009C3E6F"/>
    <w:rsid w:val="009C4468"/>
    <w:rsid w:val="009C44B4"/>
    <w:rsid w:val="009C478A"/>
    <w:rsid w:val="009C49DD"/>
    <w:rsid w:val="009C5272"/>
    <w:rsid w:val="009C54D3"/>
    <w:rsid w:val="009C5662"/>
    <w:rsid w:val="009C5876"/>
    <w:rsid w:val="009C633A"/>
    <w:rsid w:val="009C66E2"/>
    <w:rsid w:val="009C69A4"/>
    <w:rsid w:val="009C6C32"/>
    <w:rsid w:val="009C6DD3"/>
    <w:rsid w:val="009C6F80"/>
    <w:rsid w:val="009C7C85"/>
    <w:rsid w:val="009C7E38"/>
    <w:rsid w:val="009D01A5"/>
    <w:rsid w:val="009D035A"/>
    <w:rsid w:val="009D0B75"/>
    <w:rsid w:val="009D16A6"/>
    <w:rsid w:val="009D16E4"/>
    <w:rsid w:val="009D17D5"/>
    <w:rsid w:val="009D19F3"/>
    <w:rsid w:val="009D2286"/>
    <w:rsid w:val="009D256F"/>
    <w:rsid w:val="009D26C8"/>
    <w:rsid w:val="009D26E3"/>
    <w:rsid w:val="009D2837"/>
    <w:rsid w:val="009D29F4"/>
    <w:rsid w:val="009D2E45"/>
    <w:rsid w:val="009D31B9"/>
    <w:rsid w:val="009D3236"/>
    <w:rsid w:val="009D342F"/>
    <w:rsid w:val="009D3C26"/>
    <w:rsid w:val="009D3F7C"/>
    <w:rsid w:val="009D429C"/>
    <w:rsid w:val="009D5157"/>
    <w:rsid w:val="009D55FE"/>
    <w:rsid w:val="009D5780"/>
    <w:rsid w:val="009D57FE"/>
    <w:rsid w:val="009D5ABA"/>
    <w:rsid w:val="009D5C9C"/>
    <w:rsid w:val="009D5F7F"/>
    <w:rsid w:val="009D5FB1"/>
    <w:rsid w:val="009D6A23"/>
    <w:rsid w:val="009D6AA9"/>
    <w:rsid w:val="009D6F19"/>
    <w:rsid w:val="009D7161"/>
    <w:rsid w:val="009D74E0"/>
    <w:rsid w:val="009D7583"/>
    <w:rsid w:val="009D7B24"/>
    <w:rsid w:val="009E04C5"/>
    <w:rsid w:val="009E0654"/>
    <w:rsid w:val="009E080E"/>
    <w:rsid w:val="009E10F6"/>
    <w:rsid w:val="009E1340"/>
    <w:rsid w:val="009E170A"/>
    <w:rsid w:val="009E1723"/>
    <w:rsid w:val="009E1BB8"/>
    <w:rsid w:val="009E2086"/>
    <w:rsid w:val="009E2406"/>
    <w:rsid w:val="009E2D71"/>
    <w:rsid w:val="009E340F"/>
    <w:rsid w:val="009E48C4"/>
    <w:rsid w:val="009E5201"/>
    <w:rsid w:val="009E569D"/>
    <w:rsid w:val="009E5F65"/>
    <w:rsid w:val="009E6783"/>
    <w:rsid w:val="009E6894"/>
    <w:rsid w:val="009E68F0"/>
    <w:rsid w:val="009E6B9C"/>
    <w:rsid w:val="009E6C7E"/>
    <w:rsid w:val="009E737E"/>
    <w:rsid w:val="009E77FB"/>
    <w:rsid w:val="009E7A25"/>
    <w:rsid w:val="009F00FF"/>
    <w:rsid w:val="009F1354"/>
    <w:rsid w:val="009F192C"/>
    <w:rsid w:val="009F1E9A"/>
    <w:rsid w:val="009F2688"/>
    <w:rsid w:val="009F27A3"/>
    <w:rsid w:val="009F2DE2"/>
    <w:rsid w:val="009F3011"/>
    <w:rsid w:val="009F3319"/>
    <w:rsid w:val="009F3A4C"/>
    <w:rsid w:val="009F585B"/>
    <w:rsid w:val="009F5F3C"/>
    <w:rsid w:val="009F61D5"/>
    <w:rsid w:val="009F6246"/>
    <w:rsid w:val="009F660C"/>
    <w:rsid w:val="009F666C"/>
    <w:rsid w:val="009F6DCD"/>
    <w:rsid w:val="00A0077F"/>
    <w:rsid w:val="00A00DB5"/>
    <w:rsid w:val="00A01A96"/>
    <w:rsid w:val="00A02553"/>
    <w:rsid w:val="00A02E07"/>
    <w:rsid w:val="00A04A88"/>
    <w:rsid w:val="00A04ACF"/>
    <w:rsid w:val="00A05B2E"/>
    <w:rsid w:val="00A05BC0"/>
    <w:rsid w:val="00A05BC1"/>
    <w:rsid w:val="00A05CBB"/>
    <w:rsid w:val="00A06829"/>
    <w:rsid w:val="00A06C6D"/>
    <w:rsid w:val="00A06FB2"/>
    <w:rsid w:val="00A0773A"/>
    <w:rsid w:val="00A07AB2"/>
    <w:rsid w:val="00A10490"/>
    <w:rsid w:val="00A1057B"/>
    <w:rsid w:val="00A10E5F"/>
    <w:rsid w:val="00A10F0B"/>
    <w:rsid w:val="00A11182"/>
    <w:rsid w:val="00A11651"/>
    <w:rsid w:val="00A116F1"/>
    <w:rsid w:val="00A1175B"/>
    <w:rsid w:val="00A11F0D"/>
    <w:rsid w:val="00A12629"/>
    <w:rsid w:val="00A126C2"/>
    <w:rsid w:val="00A12B7F"/>
    <w:rsid w:val="00A1305C"/>
    <w:rsid w:val="00A14015"/>
    <w:rsid w:val="00A14B51"/>
    <w:rsid w:val="00A156CC"/>
    <w:rsid w:val="00A15C80"/>
    <w:rsid w:val="00A174C1"/>
    <w:rsid w:val="00A17EF2"/>
    <w:rsid w:val="00A2067A"/>
    <w:rsid w:val="00A20BC1"/>
    <w:rsid w:val="00A20E1C"/>
    <w:rsid w:val="00A212AE"/>
    <w:rsid w:val="00A21792"/>
    <w:rsid w:val="00A218C7"/>
    <w:rsid w:val="00A21C31"/>
    <w:rsid w:val="00A21E52"/>
    <w:rsid w:val="00A227FD"/>
    <w:rsid w:val="00A22D3E"/>
    <w:rsid w:val="00A22F2D"/>
    <w:rsid w:val="00A23386"/>
    <w:rsid w:val="00A2384F"/>
    <w:rsid w:val="00A239A1"/>
    <w:rsid w:val="00A24163"/>
    <w:rsid w:val="00A242AC"/>
    <w:rsid w:val="00A25991"/>
    <w:rsid w:val="00A25B91"/>
    <w:rsid w:val="00A25BE1"/>
    <w:rsid w:val="00A25EF8"/>
    <w:rsid w:val="00A2654F"/>
    <w:rsid w:val="00A266AB"/>
    <w:rsid w:val="00A26B01"/>
    <w:rsid w:val="00A26C95"/>
    <w:rsid w:val="00A26DC5"/>
    <w:rsid w:val="00A27462"/>
    <w:rsid w:val="00A27E13"/>
    <w:rsid w:val="00A27F80"/>
    <w:rsid w:val="00A3031E"/>
    <w:rsid w:val="00A30624"/>
    <w:rsid w:val="00A3085F"/>
    <w:rsid w:val="00A30AC0"/>
    <w:rsid w:val="00A30D34"/>
    <w:rsid w:val="00A312BC"/>
    <w:rsid w:val="00A315AF"/>
    <w:rsid w:val="00A31971"/>
    <w:rsid w:val="00A31ED5"/>
    <w:rsid w:val="00A31FA2"/>
    <w:rsid w:val="00A32200"/>
    <w:rsid w:val="00A32676"/>
    <w:rsid w:val="00A32A49"/>
    <w:rsid w:val="00A32BF6"/>
    <w:rsid w:val="00A3300C"/>
    <w:rsid w:val="00A33063"/>
    <w:rsid w:val="00A331CA"/>
    <w:rsid w:val="00A33541"/>
    <w:rsid w:val="00A335F2"/>
    <w:rsid w:val="00A33894"/>
    <w:rsid w:val="00A33B2F"/>
    <w:rsid w:val="00A33D63"/>
    <w:rsid w:val="00A3484A"/>
    <w:rsid w:val="00A34CB6"/>
    <w:rsid w:val="00A34FB0"/>
    <w:rsid w:val="00A350F6"/>
    <w:rsid w:val="00A35168"/>
    <w:rsid w:val="00A35466"/>
    <w:rsid w:val="00A35901"/>
    <w:rsid w:val="00A36333"/>
    <w:rsid w:val="00A365BA"/>
    <w:rsid w:val="00A367F4"/>
    <w:rsid w:val="00A377D3"/>
    <w:rsid w:val="00A4007C"/>
    <w:rsid w:val="00A400D2"/>
    <w:rsid w:val="00A403D8"/>
    <w:rsid w:val="00A40E17"/>
    <w:rsid w:val="00A412AF"/>
    <w:rsid w:val="00A416B3"/>
    <w:rsid w:val="00A41C29"/>
    <w:rsid w:val="00A421A3"/>
    <w:rsid w:val="00A42877"/>
    <w:rsid w:val="00A42ADF"/>
    <w:rsid w:val="00A42E6D"/>
    <w:rsid w:val="00A43380"/>
    <w:rsid w:val="00A43BC6"/>
    <w:rsid w:val="00A43D08"/>
    <w:rsid w:val="00A43D19"/>
    <w:rsid w:val="00A441AE"/>
    <w:rsid w:val="00A44703"/>
    <w:rsid w:val="00A449E6"/>
    <w:rsid w:val="00A44EAD"/>
    <w:rsid w:val="00A456B5"/>
    <w:rsid w:val="00A45F33"/>
    <w:rsid w:val="00A46958"/>
    <w:rsid w:val="00A4695A"/>
    <w:rsid w:val="00A476EB"/>
    <w:rsid w:val="00A47929"/>
    <w:rsid w:val="00A4793B"/>
    <w:rsid w:val="00A47B37"/>
    <w:rsid w:val="00A47FBD"/>
    <w:rsid w:val="00A5005B"/>
    <w:rsid w:val="00A50162"/>
    <w:rsid w:val="00A503A8"/>
    <w:rsid w:val="00A50C25"/>
    <w:rsid w:val="00A50DCF"/>
    <w:rsid w:val="00A513A9"/>
    <w:rsid w:val="00A51ED4"/>
    <w:rsid w:val="00A523CC"/>
    <w:rsid w:val="00A5296A"/>
    <w:rsid w:val="00A52B6F"/>
    <w:rsid w:val="00A52B9E"/>
    <w:rsid w:val="00A52E92"/>
    <w:rsid w:val="00A530B2"/>
    <w:rsid w:val="00A53106"/>
    <w:rsid w:val="00A531B2"/>
    <w:rsid w:val="00A5411B"/>
    <w:rsid w:val="00A5412A"/>
    <w:rsid w:val="00A54997"/>
    <w:rsid w:val="00A54C71"/>
    <w:rsid w:val="00A54CC1"/>
    <w:rsid w:val="00A5510A"/>
    <w:rsid w:val="00A552E8"/>
    <w:rsid w:val="00A55C71"/>
    <w:rsid w:val="00A5677E"/>
    <w:rsid w:val="00A56F77"/>
    <w:rsid w:val="00A57559"/>
    <w:rsid w:val="00A5757A"/>
    <w:rsid w:val="00A5788C"/>
    <w:rsid w:val="00A57981"/>
    <w:rsid w:val="00A579B7"/>
    <w:rsid w:val="00A57CA5"/>
    <w:rsid w:val="00A57EE1"/>
    <w:rsid w:val="00A6002A"/>
    <w:rsid w:val="00A6028D"/>
    <w:rsid w:val="00A603C9"/>
    <w:rsid w:val="00A60F46"/>
    <w:rsid w:val="00A626C6"/>
    <w:rsid w:val="00A62B23"/>
    <w:rsid w:val="00A63207"/>
    <w:rsid w:val="00A64165"/>
    <w:rsid w:val="00A643A2"/>
    <w:rsid w:val="00A64B31"/>
    <w:rsid w:val="00A6512C"/>
    <w:rsid w:val="00A65893"/>
    <w:rsid w:val="00A65C15"/>
    <w:rsid w:val="00A65FBA"/>
    <w:rsid w:val="00A66076"/>
    <w:rsid w:val="00A6612B"/>
    <w:rsid w:val="00A6625F"/>
    <w:rsid w:val="00A66E83"/>
    <w:rsid w:val="00A67421"/>
    <w:rsid w:val="00A67631"/>
    <w:rsid w:val="00A676BE"/>
    <w:rsid w:val="00A7013A"/>
    <w:rsid w:val="00A70171"/>
    <w:rsid w:val="00A70339"/>
    <w:rsid w:val="00A70C08"/>
    <w:rsid w:val="00A70C7D"/>
    <w:rsid w:val="00A7135A"/>
    <w:rsid w:val="00A718F8"/>
    <w:rsid w:val="00A71E7A"/>
    <w:rsid w:val="00A720A7"/>
    <w:rsid w:val="00A720F3"/>
    <w:rsid w:val="00A7232D"/>
    <w:rsid w:val="00A723DC"/>
    <w:rsid w:val="00A7298E"/>
    <w:rsid w:val="00A72F4D"/>
    <w:rsid w:val="00A73984"/>
    <w:rsid w:val="00A73A2B"/>
    <w:rsid w:val="00A73B8D"/>
    <w:rsid w:val="00A74036"/>
    <w:rsid w:val="00A74690"/>
    <w:rsid w:val="00A74749"/>
    <w:rsid w:val="00A75020"/>
    <w:rsid w:val="00A751A0"/>
    <w:rsid w:val="00A752DC"/>
    <w:rsid w:val="00A753C7"/>
    <w:rsid w:val="00A7594B"/>
    <w:rsid w:val="00A75C2E"/>
    <w:rsid w:val="00A75DB2"/>
    <w:rsid w:val="00A75DEE"/>
    <w:rsid w:val="00A76077"/>
    <w:rsid w:val="00A7696B"/>
    <w:rsid w:val="00A76A62"/>
    <w:rsid w:val="00A76AAB"/>
    <w:rsid w:val="00A77516"/>
    <w:rsid w:val="00A7752F"/>
    <w:rsid w:val="00A77C59"/>
    <w:rsid w:val="00A77CD4"/>
    <w:rsid w:val="00A77CF0"/>
    <w:rsid w:val="00A77EE2"/>
    <w:rsid w:val="00A801EC"/>
    <w:rsid w:val="00A8053C"/>
    <w:rsid w:val="00A806A3"/>
    <w:rsid w:val="00A8090B"/>
    <w:rsid w:val="00A80D9A"/>
    <w:rsid w:val="00A80FA9"/>
    <w:rsid w:val="00A81121"/>
    <w:rsid w:val="00A81256"/>
    <w:rsid w:val="00A81289"/>
    <w:rsid w:val="00A81777"/>
    <w:rsid w:val="00A817B4"/>
    <w:rsid w:val="00A81B5B"/>
    <w:rsid w:val="00A81EE9"/>
    <w:rsid w:val="00A82617"/>
    <w:rsid w:val="00A82D83"/>
    <w:rsid w:val="00A83DB7"/>
    <w:rsid w:val="00A83E08"/>
    <w:rsid w:val="00A84034"/>
    <w:rsid w:val="00A84212"/>
    <w:rsid w:val="00A8477D"/>
    <w:rsid w:val="00A84883"/>
    <w:rsid w:val="00A853AA"/>
    <w:rsid w:val="00A85419"/>
    <w:rsid w:val="00A85730"/>
    <w:rsid w:val="00A859FE"/>
    <w:rsid w:val="00A86F54"/>
    <w:rsid w:val="00A86FFB"/>
    <w:rsid w:val="00A870B5"/>
    <w:rsid w:val="00A8744B"/>
    <w:rsid w:val="00A874AC"/>
    <w:rsid w:val="00A8787C"/>
    <w:rsid w:val="00A87AA6"/>
    <w:rsid w:val="00A87E3E"/>
    <w:rsid w:val="00A9004F"/>
    <w:rsid w:val="00A90220"/>
    <w:rsid w:val="00A90285"/>
    <w:rsid w:val="00A90798"/>
    <w:rsid w:val="00A91158"/>
    <w:rsid w:val="00A91C4F"/>
    <w:rsid w:val="00A91C67"/>
    <w:rsid w:val="00A91C81"/>
    <w:rsid w:val="00A91E41"/>
    <w:rsid w:val="00A9230B"/>
    <w:rsid w:val="00A92A46"/>
    <w:rsid w:val="00A92C45"/>
    <w:rsid w:val="00A937CD"/>
    <w:rsid w:val="00A93D20"/>
    <w:rsid w:val="00A94268"/>
    <w:rsid w:val="00A946E3"/>
    <w:rsid w:val="00A948A4"/>
    <w:rsid w:val="00A94E64"/>
    <w:rsid w:val="00A95658"/>
    <w:rsid w:val="00A95BC5"/>
    <w:rsid w:val="00A962BA"/>
    <w:rsid w:val="00A96C4C"/>
    <w:rsid w:val="00A970C2"/>
    <w:rsid w:val="00A973D1"/>
    <w:rsid w:val="00A975F2"/>
    <w:rsid w:val="00A976C7"/>
    <w:rsid w:val="00A97CEE"/>
    <w:rsid w:val="00AA01E0"/>
    <w:rsid w:val="00AA09D9"/>
    <w:rsid w:val="00AA1768"/>
    <w:rsid w:val="00AA1DFF"/>
    <w:rsid w:val="00AA1E0B"/>
    <w:rsid w:val="00AA1E25"/>
    <w:rsid w:val="00AA1F7F"/>
    <w:rsid w:val="00AA270B"/>
    <w:rsid w:val="00AA2B8A"/>
    <w:rsid w:val="00AA2EFE"/>
    <w:rsid w:val="00AA3B54"/>
    <w:rsid w:val="00AA4528"/>
    <w:rsid w:val="00AA493A"/>
    <w:rsid w:val="00AA4B2D"/>
    <w:rsid w:val="00AA534B"/>
    <w:rsid w:val="00AA5439"/>
    <w:rsid w:val="00AA547F"/>
    <w:rsid w:val="00AA5D38"/>
    <w:rsid w:val="00AA5EBD"/>
    <w:rsid w:val="00AA64A5"/>
    <w:rsid w:val="00AA6ED8"/>
    <w:rsid w:val="00AA74C1"/>
    <w:rsid w:val="00AA74D7"/>
    <w:rsid w:val="00AA76D8"/>
    <w:rsid w:val="00AA7EC7"/>
    <w:rsid w:val="00AB0189"/>
    <w:rsid w:val="00AB03CA"/>
    <w:rsid w:val="00AB0F1B"/>
    <w:rsid w:val="00AB1682"/>
    <w:rsid w:val="00AB1738"/>
    <w:rsid w:val="00AB18E1"/>
    <w:rsid w:val="00AB2556"/>
    <w:rsid w:val="00AB26EA"/>
    <w:rsid w:val="00AB298C"/>
    <w:rsid w:val="00AB2A50"/>
    <w:rsid w:val="00AB2AB4"/>
    <w:rsid w:val="00AB3131"/>
    <w:rsid w:val="00AB36BE"/>
    <w:rsid w:val="00AB3C36"/>
    <w:rsid w:val="00AB46D6"/>
    <w:rsid w:val="00AB51D1"/>
    <w:rsid w:val="00AB5673"/>
    <w:rsid w:val="00AB592F"/>
    <w:rsid w:val="00AB5F59"/>
    <w:rsid w:val="00AB6949"/>
    <w:rsid w:val="00AB71A9"/>
    <w:rsid w:val="00AB79D7"/>
    <w:rsid w:val="00AB7AAB"/>
    <w:rsid w:val="00AC01F3"/>
    <w:rsid w:val="00AC08CA"/>
    <w:rsid w:val="00AC0949"/>
    <w:rsid w:val="00AC1108"/>
    <w:rsid w:val="00AC1A6C"/>
    <w:rsid w:val="00AC1C8A"/>
    <w:rsid w:val="00AC1ED5"/>
    <w:rsid w:val="00AC1FB2"/>
    <w:rsid w:val="00AC22F1"/>
    <w:rsid w:val="00AC273B"/>
    <w:rsid w:val="00AC2B6F"/>
    <w:rsid w:val="00AC3626"/>
    <w:rsid w:val="00AC391E"/>
    <w:rsid w:val="00AC41DC"/>
    <w:rsid w:val="00AC441F"/>
    <w:rsid w:val="00AC4631"/>
    <w:rsid w:val="00AC4F57"/>
    <w:rsid w:val="00AC4FB2"/>
    <w:rsid w:val="00AC5053"/>
    <w:rsid w:val="00AC54C1"/>
    <w:rsid w:val="00AC55B4"/>
    <w:rsid w:val="00AC55E9"/>
    <w:rsid w:val="00AC5E65"/>
    <w:rsid w:val="00AC5F3D"/>
    <w:rsid w:val="00AC6FA4"/>
    <w:rsid w:val="00AC7F41"/>
    <w:rsid w:val="00AD0F92"/>
    <w:rsid w:val="00AD11DB"/>
    <w:rsid w:val="00AD18EE"/>
    <w:rsid w:val="00AD1F4B"/>
    <w:rsid w:val="00AD20CF"/>
    <w:rsid w:val="00AD22FF"/>
    <w:rsid w:val="00AD2321"/>
    <w:rsid w:val="00AD2A79"/>
    <w:rsid w:val="00AD3393"/>
    <w:rsid w:val="00AD37F6"/>
    <w:rsid w:val="00AD3CAA"/>
    <w:rsid w:val="00AD40AC"/>
    <w:rsid w:val="00AD41BF"/>
    <w:rsid w:val="00AD466D"/>
    <w:rsid w:val="00AD46C6"/>
    <w:rsid w:val="00AD4AC9"/>
    <w:rsid w:val="00AD4ADA"/>
    <w:rsid w:val="00AD4C36"/>
    <w:rsid w:val="00AD4C39"/>
    <w:rsid w:val="00AD5522"/>
    <w:rsid w:val="00AD56C0"/>
    <w:rsid w:val="00AD59EF"/>
    <w:rsid w:val="00AD5DF2"/>
    <w:rsid w:val="00AD7467"/>
    <w:rsid w:val="00AD7497"/>
    <w:rsid w:val="00AD7515"/>
    <w:rsid w:val="00AD75C5"/>
    <w:rsid w:val="00AD791D"/>
    <w:rsid w:val="00AD793A"/>
    <w:rsid w:val="00AD795C"/>
    <w:rsid w:val="00AE0037"/>
    <w:rsid w:val="00AE02E1"/>
    <w:rsid w:val="00AE0C81"/>
    <w:rsid w:val="00AE0EE2"/>
    <w:rsid w:val="00AE18AA"/>
    <w:rsid w:val="00AE1D40"/>
    <w:rsid w:val="00AE2622"/>
    <w:rsid w:val="00AE303A"/>
    <w:rsid w:val="00AE3358"/>
    <w:rsid w:val="00AE3C88"/>
    <w:rsid w:val="00AE3E03"/>
    <w:rsid w:val="00AE469A"/>
    <w:rsid w:val="00AE4D39"/>
    <w:rsid w:val="00AE5019"/>
    <w:rsid w:val="00AE505B"/>
    <w:rsid w:val="00AE6116"/>
    <w:rsid w:val="00AE6785"/>
    <w:rsid w:val="00AE6AD9"/>
    <w:rsid w:val="00AE6B9C"/>
    <w:rsid w:val="00AE7779"/>
    <w:rsid w:val="00AE7C91"/>
    <w:rsid w:val="00AF0381"/>
    <w:rsid w:val="00AF0714"/>
    <w:rsid w:val="00AF0B5D"/>
    <w:rsid w:val="00AF117C"/>
    <w:rsid w:val="00AF1BD2"/>
    <w:rsid w:val="00AF2221"/>
    <w:rsid w:val="00AF267B"/>
    <w:rsid w:val="00AF273C"/>
    <w:rsid w:val="00AF2AFC"/>
    <w:rsid w:val="00AF2C58"/>
    <w:rsid w:val="00AF34B7"/>
    <w:rsid w:val="00AF3956"/>
    <w:rsid w:val="00AF3A36"/>
    <w:rsid w:val="00AF3C42"/>
    <w:rsid w:val="00AF4196"/>
    <w:rsid w:val="00AF5095"/>
    <w:rsid w:val="00AF561C"/>
    <w:rsid w:val="00AF5A7F"/>
    <w:rsid w:val="00AF5DFE"/>
    <w:rsid w:val="00AF64A8"/>
    <w:rsid w:val="00AF66E0"/>
    <w:rsid w:val="00AF6BD2"/>
    <w:rsid w:val="00AF6D8F"/>
    <w:rsid w:val="00AF6EC0"/>
    <w:rsid w:val="00AF76BE"/>
    <w:rsid w:val="00B004E4"/>
    <w:rsid w:val="00B008F0"/>
    <w:rsid w:val="00B016BF"/>
    <w:rsid w:val="00B016DD"/>
    <w:rsid w:val="00B01E0F"/>
    <w:rsid w:val="00B01F34"/>
    <w:rsid w:val="00B01F56"/>
    <w:rsid w:val="00B0203C"/>
    <w:rsid w:val="00B02058"/>
    <w:rsid w:val="00B02302"/>
    <w:rsid w:val="00B023C7"/>
    <w:rsid w:val="00B0244E"/>
    <w:rsid w:val="00B030DB"/>
    <w:rsid w:val="00B0336C"/>
    <w:rsid w:val="00B0359A"/>
    <w:rsid w:val="00B038FA"/>
    <w:rsid w:val="00B03CDA"/>
    <w:rsid w:val="00B03EFC"/>
    <w:rsid w:val="00B0412D"/>
    <w:rsid w:val="00B04173"/>
    <w:rsid w:val="00B043E5"/>
    <w:rsid w:val="00B04FB4"/>
    <w:rsid w:val="00B05204"/>
    <w:rsid w:val="00B05A21"/>
    <w:rsid w:val="00B05D0A"/>
    <w:rsid w:val="00B05E2F"/>
    <w:rsid w:val="00B060D3"/>
    <w:rsid w:val="00B06FD3"/>
    <w:rsid w:val="00B072FC"/>
    <w:rsid w:val="00B0753D"/>
    <w:rsid w:val="00B076A4"/>
    <w:rsid w:val="00B0792B"/>
    <w:rsid w:val="00B07F47"/>
    <w:rsid w:val="00B10031"/>
    <w:rsid w:val="00B1039B"/>
    <w:rsid w:val="00B10FC5"/>
    <w:rsid w:val="00B11257"/>
    <w:rsid w:val="00B11C29"/>
    <w:rsid w:val="00B1220E"/>
    <w:rsid w:val="00B12560"/>
    <w:rsid w:val="00B12D38"/>
    <w:rsid w:val="00B1326A"/>
    <w:rsid w:val="00B1388D"/>
    <w:rsid w:val="00B140A0"/>
    <w:rsid w:val="00B14992"/>
    <w:rsid w:val="00B14C17"/>
    <w:rsid w:val="00B152CE"/>
    <w:rsid w:val="00B1541A"/>
    <w:rsid w:val="00B15A4A"/>
    <w:rsid w:val="00B15B15"/>
    <w:rsid w:val="00B15B90"/>
    <w:rsid w:val="00B164DC"/>
    <w:rsid w:val="00B17117"/>
    <w:rsid w:val="00B1717A"/>
    <w:rsid w:val="00B1717C"/>
    <w:rsid w:val="00B17DB3"/>
    <w:rsid w:val="00B17E68"/>
    <w:rsid w:val="00B20AE9"/>
    <w:rsid w:val="00B20C5F"/>
    <w:rsid w:val="00B20DB9"/>
    <w:rsid w:val="00B20E19"/>
    <w:rsid w:val="00B20E72"/>
    <w:rsid w:val="00B20FCE"/>
    <w:rsid w:val="00B21493"/>
    <w:rsid w:val="00B2155F"/>
    <w:rsid w:val="00B22414"/>
    <w:rsid w:val="00B227F0"/>
    <w:rsid w:val="00B22B62"/>
    <w:rsid w:val="00B23284"/>
    <w:rsid w:val="00B23B5D"/>
    <w:rsid w:val="00B23F2D"/>
    <w:rsid w:val="00B241CB"/>
    <w:rsid w:val="00B2429D"/>
    <w:rsid w:val="00B248DD"/>
    <w:rsid w:val="00B2504C"/>
    <w:rsid w:val="00B25AB9"/>
    <w:rsid w:val="00B25B9B"/>
    <w:rsid w:val="00B2631B"/>
    <w:rsid w:val="00B266E2"/>
    <w:rsid w:val="00B27327"/>
    <w:rsid w:val="00B2754A"/>
    <w:rsid w:val="00B27EE5"/>
    <w:rsid w:val="00B27F7A"/>
    <w:rsid w:val="00B27FAB"/>
    <w:rsid w:val="00B304D2"/>
    <w:rsid w:val="00B30540"/>
    <w:rsid w:val="00B305B7"/>
    <w:rsid w:val="00B305BE"/>
    <w:rsid w:val="00B30A2F"/>
    <w:rsid w:val="00B311B7"/>
    <w:rsid w:val="00B3153D"/>
    <w:rsid w:val="00B33950"/>
    <w:rsid w:val="00B33FCD"/>
    <w:rsid w:val="00B343AA"/>
    <w:rsid w:val="00B3448F"/>
    <w:rsid w:val="00B3450A"/>
    <w:rsid w:val="00B34743"/>
    <w:rsid w:val="00B347BD"/>
    <w:rsid w:val="00B34B13"/>
    <w:rsid w:val="00B3564F"/>
    <w:rsid w:val="00B3573A"/>
    <w:rsid w:val="00B35B9E"/>
    <w:rsid w:val="00B35BA9"/>
    <w:rsid w:val="00B35BBB"/>
    <w:rsid w:val="00B36014"/>
    <w:rsid w:val="00B36275"/>
    <w:rsid w:val="00B367B7"/>
    <w:rsid w:val="00B37012"/>
    <w:rsid w:val="00B37654"/>
    <w:rsid w:val="00B37948"/>
    <w:rsid w:val="00B37A72"/>
    <w:rsid w:val="00B40030"/>
    <w:rsid w:val="00B4069A"/>
    <w:rsid w:val="00B4071D"/>
    <w:rsid w:val="00B40F47"/>
    <w:rsid w:val="00B41560"/>
    <w:rsid w:val="00B42A0C"/>
    <w:rsid w:val="00B42A27"/>
    <w:rsid w:val="00B42E04"/>
    <w:rsid w:val="00B4325A"/>
    <w:rsid w:val="00B436E5"/>
    <w:rsid w:val="00B43D6F"/>
    <w:rsid w:val="00B441CA"/>
    <w:rsid w:val="00B442E9"/>
    <w:rsid w:val="00B4496F"/>
    <w:rsid w:val="00B44AFF"/>
    <w:rsid w:val="00B44B9F"/>
    <w:rsid w:val="00B45A9D"/>
    <w:rsid w:val="00B45C28"/>
    <w:rsid w:val="00B46519"/>
    <w:rsid w:val="00B471BA"/>
    <w:rsid w:val="00B47315"/>
    <w:rsid w:val="00B47A8C"/>
    <w:rsid w:val="00B47D03"/>
    <w:rsid w:val="00B47F0D"/>
    <w:rsid w:val="00B47FF4"/>
    <w:rsid w:val="00B50EC0"/>
    <w:rsid w:val="00B5113A"/>
    <w:rsid w:val="00B51531"/>
    <w:rsid w:val="00B52EE6"/>
    <w:rsid w:val="00B53CEC"/>
    <w:rsid w:val="00B54590"/>
    <w:rsid w:val="00B5486B"/>
    <w:rsid w:val="00B549B2"/>
    <w:rsid w:val="00B551BA"/>
    <w:rsid w:val="00B5570D"/>
    <w:rsid w:val="00B55AA2"/>
    <w:rsid w:val="00B5662D"/>
    <w:rsid w:val="00B56C3E"/>
    <w:rsid w:val="00B56E42"/>
    <w:rsid w:val="00B5775F"/>
    <w:rsid w:val="00B579C6"/>
    <w:rsid w:val="00B57E7D"/>
    <w:rsid w:val="00B6016A"/>
    <w:rsid w:val="00B60292"/>
    <w:rsid w:val="00B606CD"/>
    <w:rsid w:val="00B606D2"/>
    <w:rsid w:val="00B6072C"/>
    <w:rsid w:val="00B6089F"/>
    <w:rsid w:val="00B61874"/>
    <w:rsid w:val="00B619F0"/>
    <w:rsid w:val="00B62159"/>
    <w:rsid w:val="00B62378"/>
    <w:rsid w:val="00B62419"/>
    <w:rsid w:val="00B62426"/>
    <w:rsid w:val="00B63456"/>
    <w:rsid w:val="00B63B53"/>
    <w:rsid w:val="00B63F4E"/>
    <w:rsid w:val="00B6415B"/>
    <w:rsid w:val="00B65089"/>
    <w:rsid w:val="00B65A9D"/>
    <w:rsid w:val="00B6655C"/>
    <w:rsid w:val="00B6697E"/>
    <w:rsid w:val="00B6751F"/>
    <w:rsid w:val="00B67CB9"/>
    <w:rsid w:val="00B7070D"/>
    <w:rsid w:val="00B709AC"/>
    <w:rsid w:val="00B70B91"/>
    <w:rsid w:val="00B70BC7"/>
    <w:rsid w:val="00B71132"/>
    <w:rsid w:val="00B71198"/>
    <w:rsid w:val="00B71306"/>
    <w:rsid w:val="00B71628"/>
    <w:rsid w:val="00B718A8"/>
    <w:rsid w:val="00B71986"/>
    <w:rsid w:val="00B72101"/>
    <w:rsid w:val="00B72819"/>
    <w:rsid w:val="00B72B14"/>
    <w:rsid w:val="00B73270"/>
    <w:rsid w:val="00B733AC"/>
    <w:rsid w:val="00B73953"/>
    <w:rsid w:val="00B73BDA"/>
    <w:rsid w:val="00B751A2"/>
    <w:rsid w:val="00B75EB9"/>
    <w:rsid w:val="00B766D3"/>
    <w:rsid w:val="00B76DFF"/>
    <w:rsid w:val="00B77186"/>
    <w:rsid w:val="00B772B4"/>
    <w:rsid w:val="00B772FC"/>
    <w:rsid w:val="00B77649"/>
    <w:rsid w:val="00B779FC"/>
    <w:rsid w:val="00B80CEA"/>
    <w:rsid w:val="00B80E16"/>
    <w:rsid w:val="00B80FD8"/>
    <w:rsid w:val="00B81924"/>
    <w:rsid w:val="00B81D44"/>
    <w:rsid w:val="00B82546"/>
    <w:rsid w:val="00B8299C"/>
    <w:rsid w:val="00B83235"/>
    <w:rsid w:val="00B83696"/>
    <w:rsid w:val="00B839BE"/>
    <w:rsid w:val="00B84613"/>
    <w:rsid w:val="00B84793"/>
    <w:rsid w:val="00B84B59"/>
    <w:rsid w:val="00B851C4"/>
    <w:rsid w:val="00B852BB"/>
    <w:rsid w:val="00B85567"/>
    <w:rsid w:val="00B86021"/>
    <w:rsid w:val="00B86431"/>
    <w:rsid w:val="00B86A47"/>
    <w:rsid w:val="00B87906"/>
    <w:rsid w:val="00B87BB2"/>
    <w:rsid w:val="00B90CD9"/>
    <w:rsid w:val="00B90EFF"/>
    <w:rsid w:val="00B91299"/>
    <w:rsid w:val="00B913F6"/>
    <w:rsid w:val="00B9141F"/>
    <w:rsid w:val="00B9149B"/>
    <w:rsid w:val="00B914EA"/>
    <w:rsid w:val="00B91DE9"/>
    <w:rsid w:val="00B92A38"/>
    <w:rsid w:val="00B92D6D"/>
    <w:rsid w:val="00B93666"/>
    <w:rsid w:val="00B93EEB"/>
    <w:rsid w:val="00B93F7F"/>
    <w:rsid w:val="00B93FDD"/>
    <w:rsid w:val="00B9446A"/>
    <w:rsid w:val="00B958EF"/>
    <w:rsid w:val="00B95B57"/>
    <w:rsid w:val="00B9604D"/>
    <w:rsid w:val="00B96267"/>
    <w:rsid w:val="00B96741"/>
    <w:rsid w:val="00B96B20"/>
    <w:rsid w:val="00B96DB3"/>
    <w:rsid w:val="00B9708A"/>
    <w:rsid w:val="00B9725A"/>
    <w:rsid w:val="00B97710"/>
    <w:rsid w:val="00B9790A"/>
    <w:rsid w:val="00B97C91"/>
    <w:rsid w:val="00BA09B9"/>
    <w:rsid w:val="00BA0A2F"/>
    <w:rsid w:val="00BA0CD9"/>
    <w:rsid w:val="00BA1000"/>
    <w:rsid w:val="00BA11E5"/>
    <w:rsid w:val="00BA12E6"/>
    <w:rsid w:val="00BA1F3A"/>
    <w:rsid w:val="00BA2004"/>
    <w:rsid w:val="00BA202B"/>
    <w:rsid w:val="00BA212D"/>
    <w:rsid w:val="00BA2FF5"/>
    <w:rsid w:val="00BA3253"/>
    <w:rsid w:val="00BA3676"/>
    <w:rsid w:val="00BA421E"/>
    <w:rsid w:val="00BA4A0D"/>
    <w:rsid w:val="00BA4A65"/>
    <w:rsid w:val="00BA4C37"/>
    <w:rsid w:val="00BA4C3C"/>
    <w:rsid w:val="00BA4EEC"/>
    <w:rsid w:val="00BA5379"/>
    <w:rsid w:val="00BA5916"/>
    <w:rsid w:val="00BA5DF4"/>
    <w:rsid w:val="00BA61AB"/>
    <w:rsid w:val="00BA7700"/>
    <w:rsid w:val="00BA77B8"/>
    <w:rsid w:val="00BA7962"/>
    <w:rsid w:val="00BB0A55"/>
    <w:rsid w:val="00BB0DF2"/>
    <w:rsid w:val="00BB1262"/>
    <w:rsid w:val="00BB1282"/>
    <w:rsid w:val="00BB186E"/>
    <w:rsid w:val="00BB242C"/>
    <w:rsid w:val="00BB3976"/>
    <w:rsid w:val="00BB3EA9"/>
    <w:rsid w:val="00BB40BE"/>
    <w:rsid w:val="00BB4D77"/>
    <w:rsid w:val="00BB5953"/>
    <w:rsid w:val="00BB5DD5"/>
    <w:rsid w:val="00BB6735"/>
    <w:rsid w:val="00BB75F0"/>
    <w:rsid w:val="00BB784C"/>
    <w:rsid w:val="00BB7C15"/>
    <w:rsid w:val="00BB7E89"/>
    <w:rsid w:val="00BC035A"/>
    <w:rsid w:val="00BC0AF5"/>
    <w:rsid w:val="00BC1802"/>
    <w:rsid w:val="00BC19EC"/>
    <w:rsid w:val="00BC1CFF"/>
    <w:rsid w:val="00BC1E78"/>
    <w:rsid w:val="00BC20C4"/>
    <w:rsid w:val="00BC2518"/>
    <w:rsid w:val="00BC2D62"/>
    <w:rsid w:val="00BC3112"/>
    <w:rsid w:val="00BC330C"/>
    <w:rsid w:val="00BC3312"/>
    <w:rsid w:val="00BC383C"/>
    <w:rsid w:val="00BC3884"/>
    <w:rsid w:val="00BC39B6"/>
    <w:rsid w:val="00BC3D1C"/>
    <w:rsid w:val="00BC448A"/>
    <w:rsid w:val="00BC477A"/>
    <w:rsid w:val="00BC4F1C"/>
    <w:rsid w:val="00BC56E2"/>
    <w:rsid w:val="00BC5A23"/>
    <w:rsid w:val="00BC615D"/>
    <w:rsid w:val="00BC624A"/>
    <w:rsid w:val="00BC644C"/>
    <w:rsid w:val="00BC6DE1"/>
    <w:rsid w:val="00BC7788"/>
    <w:rsid w:val="00BC79B4"/>
    <w:rsid w:val="00BC79E4"/>
    <w:rsid w:val="00BD0287"/>
    <w:rsid w:val="00BD1B4E"/>
    <w:rsid w:val="00BD1F8D"/>
    <w:rsid w:val="00BD283A"/>
    <w:rsid w:val="00BD28A2"/>
    <w:rsid w:val="00BD2BD5"/>
    <w:rsid w:val="00BD2ECF"/>
    <w:rsid w:val="00BD32B2"/>
    <w:rsid w:val="00BD3552"/>
    <w:rsid w:val="00BD3ABF"/>
    <w:rsid w:val="00BD3CE4"/>
    <w:rsid w:val="00BD3E1F"/>
    <w:rsid w:val="00BD3E25"/>
    <w:rsid w:val="00BD40D4"/>
    <w:rsid w:val="00BD4119"/>
    <w:rsid w:val="00BD432B"/>
    <w:rsid w:val="00BD4B6A"/>
    <w:rsid w:val="00BD4E0A"/>
    <w:rsid w:val="00BD5107"/>
    <w:rsid w:val="00BD557A"/>
    <w:rsid w:val="00BD593F"/>
    <w:rsid w:val="00BD670A"/>
    <w:rsid w:val="00BD7198"/>
    <w:rsid w:val="00BD76BD"/>
    <w:rsid w:val="00BE07D4"/>
    <w:rsid w:val="00BE09A8"/>
    <w:rsid w:val="00BE0A17"/>
    <w:rsid w:val="00BE1901"/>
    <w:rsid w:val="00BE2192"/>
    <w:rsid w:val="00BE2F49"/>
    <w:rsid w:val="00BE3694"/>
    <w:rsid w:val="00BE3C68"/>
    <w:rsid w:val="00BE4540"/>
    <w:rsid w:val="00BE4EB1"/>
    <w:rsid w:val="00BE56DE"/>
    <w:rsid w:val="00BE57BC"/>
    <w:rsid w:val="00BE57C7"/>
    <w:rsid w:val="00BE6789"/>
    <w:rsid w:val="00BF021A"/>
    <w:rsid w:val="00BF044C"/>
    <w:rsid w:val="00BF077B"/>
    <w:rsid w:val="00BF0B12"/>
    <w:rsid w:val="00BF13B0"/>
    <w:rsid w:val="00BF13C2"/>
    <w:rsid w:val="00BF168C"/>
    <w:rsid w:val="00BF1859"/>
    <w:rsid w:val="00BF198B"/>
    <w:rsid w:val="00BF1A5A"/>
    <w:rsid w:val="00BF1EE2"/>
    <w:rsid w:val="00BF1F3F"/>
    <w:rsid w:val="00BF2051"/>
    <w:rsid w:val="00BF215F"/>
    <w:rsid w:val="00BF245F"/>
    <w:rsid w:val="00BF321B"/>
    <w:rsid w:val="00BF3A59"/>
    <w:rsid w:val="00BF3EC5"/>
    <w:rsid w:val="00BF419B"/>
    <w:rsid w:val="00BF4988"/>
    <w:rsid w:val="00BF4A80"/>
    <w:rsid w:val="00BF4B1F"/>
    <w:rsid w:val="00BF4CEF"/>
    <w:rsid w:val="00BF4F07"/>
    <w:rsid w:val="00BF4F4E"/>
    <w:rsid w:val="00BF6320"/>
    <w:rsid w:val="00BF71F0"/>
    <w:rsid w:val="00BF735D"/>
    <w:rsid w:val="00BF7E1F"/>
    <w:rsid w:val="00BF7E9C"/>
    <w:rsid w:val="00C00117"/>
    <w:rsid w:val="00C0035C"/>
    <w:rsid w:val="00C00DBE"/>
    <w:rsid w:val="00C00E3D"/>
    <w:rsid w:val="00C011FA"/>
    <w:rsid w:val="00C013D5"/>
    <w:rsid w:val="00C01439"/>
    <w:rsid w:val="00C01456"/>
    <w:rsid w:val="00C01563"/>
    <w:rsid w:val="00C01641"/>
    <w:rsid w:val="00C01EEC"/>
    <w:rsid w:val="00C01F5B"/>
    <w:rsid w:val="00C0310F"/>
    <w:rsid w:val="00C03269"/>
    <w:rsid w:val="00C033CF"/>
    <w:rsid w:val="00C034E9"/>
    <w:rsid w:val="00C0370C"/>
    <w:rsid w:val="00C03CB0"/>
    <w:rsid w:val="00C03DF9"/>
    <w:rsid w:val="00C03F02"/>
    <w:rsid w:val="00C03FE5"/>
    <w:rsid w:val="00C04572"/>
    <w:rsid w:val="00C047A4"/>
    <w:rsid w:val="00C049C8"/>
    <w:rsid w:val="00C04F52"/>
    <w:rsid w:val="00C050E4"/>
    <w:rsid w:val="00C05896"/>
    <w:rsid w:val="00C05FCE"/>
    <w:rsid w:val="00C061E9"/>
    <w:rsid w:val="00C0711C"/>
    <w:rsid w:val="00C07800"/>
    <w:rsid w:val="00C07DC4"/>
    <w:rsid w:val="00C10124"/>
    <w:rsid w:val="00C1058B"/>
    <w:rsid w:val="00C10D9B"/>
    <w:rsid w:val="00C11C98"/>
    <w:rsid w:val="00C126BF"/>
    <w:rsid w:val="00C1297B"/>
    <w:rsid w:val="00C134BA"/>
    <w:rsid w:val="00C139FC"/>
    <w:rsid w:val="00C13BD3"/>
    <w:rsid w:val="00C14597"/>
    <w:rsid w:val="00C147E8"/>
    <w:rsid w:val="00C14A3B"/>
    <w:rsid w:val="00C14B2C"/>
    <w:rsid w:val="00C14FEA"/>
    <w:rsid w:val="00C154DE"/>
    <w:rsid w:val="00C155E4"/>
    <w:rsid w:val="00C15C5F"/>
    <w:rsid w:val="00C16517"/>
    <w:rsid w:val="00C166B0"/>
    <w:rsid w:val="00C16DBE"/>
    <w:rsid w:val="00C16E28"/>
    <w:rsid w:val="00C1760E"/>
    <w:rsid w:val="00C20ADB"/>
    <w:rsid w:val="00C20C41"/>
    <w:rsid w:val="00C217B1"/>
    <w:rsid w:val="00C21C45"/>
    <w:rsid w:val="00C222DA"/>
    <w:rsid w:val="00C22A24"/>
    <w:rsid w:val="00C22DEE"/>
    <w:rsid w:val="00C23348"/>
    <w:rsid w:val="00C2362E"/>
    <w:rsid w:val="00C24336"/>
    <w:rsid w:val="00C24454"/>
    <w:rsid w:val="00C24970"/>
    <w:rsid w:val="00C249FC"/>
    <w:rsid w:val="00C24AF1"/>
    <w:rsid w:val="00C24F54"/>
    <w:rsid w:val="00C24F61"/>
    <w:rsid w:val="00C25154"/>
    <w:rsid w:val="00C251B0"/>
    <w:rsid w:val="00C25514"/>
    <w:rsid w:val="00C255BD"/>
    <w:rsid w:val="00C25F03"/>
    <w:rsid w:val="00C26569"/>
    <w:rsid w:val="00C266E2"/>
    <w:rsid w:val="00C26A38"/>
    <w:rsid w:val="00C26A82"/>
    <w:rsid w:val="00C26D87"/>
    <w:rsid w:val="00C272AC"/>
    <w:rsid w:val="00C2770D"/>
    <w:rsid w:val="00C27A61"/>
    <w:rsid w:val="00C27C29"/>
    <w:rsid w:val="00C27EA0"/>
    <w:rsid w:val="00C300A4"/>
    <w:rsid w:val="00C301D0"/>
    <w:rsid w:val="00C3063A"/>
    <w:rsid w:val="00C307ED"/>
    <w:rsid w:val="00C30D1F"/>
    <w:rsid w:val="00C312A0"/>
    <w:rsid w:val="00C31BB0"/>
    <w:rsid w:val="00C31DC2"/>
    <w:rsid w:val="00C32A57"/>
    <w:rsid w:val="00C33019"/>
    <w:rsid w:val="00C3387F"/>
    <w:rsid w:val="00C33BAD"/>
    <w:rsid w:val="00C345F8"/>
    <w:rsid w:val="00C34920"/>
    <w:rsid w:val="00C34C9F"/>
    <w:rsid w:val="00C34CDD"/>
    <w:rsid w:val="00C34D76"/>
    <w:rsid w:val="00C34EAA"/>
    <w:rsid w:val="00C352F8"/>
    <w:rsid w:val="00C3558F"/>
    <w:rsid w:val="00C35784"/>
    <w:rsid w:val="00C35E5E"/>
    <w:rsid w:val="00C35FDB"/>
    <w:rsid w:val="00C366E3"/>
    <w:rsid w:val="00C3671F"/>
    <w:rsid w:val="00C3678E"/>
    <w:rsid w:val="00C3684F"/>
    <w:rsid w:val="00C37018"/>
    <w:rsid w:val="00C37080"/>
    <w:rsid w:val="00C37314"/>
    <w:rsid w:val="00C37358"/>
    <w:rsid w:val="00C37E27"/>
    <w:rsid w:val="00C37F7B"/>
    <w:rsid w:val="00C40725"/>
    <w:rsid w:val="00C40862"/>
    <w:rsid w:val="00C409E2"/>
    <w:rsid w:val="00C40BAC"/>
    <w:rsid w:val="00C40E68"/>
    <w:rsid w:val="00C41082"/>
    <w:rsid w:val="00C41FA0"/>
    <w:rsid w:val="00C422C6"/>
    <w:rsid w:val="00C4257F"/>
    <w:rsid w:val="00C425FA"/>
    <w:rsid w:val="00C42CC8"/>
    <w:rsid w:val="00C43470"/>
    <w:rsid w:val="00C438B2"/>
    <w:rsid w:val="00C43DF0"/>
    <w:rsid w:val="00C444E3"/>
    <w:rsid w:val="00C453C3"/>
    <w:rsid w:val="00C45E1B"/>
    <w:rsid w:val="00C45E9A"/>
    <w:rsid w:val="00C45EB3"/>
    <w:rsid w:val="00C46BD6"/>
    <w:rsid w:val="00C47153"/>
    <w:rsid w:val="00C508F4"/>
    <w:rsid w:val="00C50C0A"/>
    <w:rsid w:val="00C51208"/>
    <w:rsid w:val="00C51D6D"/>
    <w:rsid w:val="00C52739"/>
    <w:rsid w:val="00C52DEC"/>
    <w:rsid w:val="00C533CA"/>
    <w:rsid w:val="00C535B3"/>
    <w:rsid w:val="00C53EDE"/>
    <w:rsid w:val="00C5436A"/>
    <w:rsid w:val="00C549F2"/>
    <w:rsid w:val="00C54C44"/>
    <w:rsid w:val="00C55158"/>
    <w:rsid w:val="00C55195"/>
    <w:rsid w:val="00C552E0"/>
    <w:rsid w:val="00C55359"/>
    <w:rsid w:val="00C55717"/>
    <w:rsid w:val="00C56ADE"/>
    <w:rsid w:val="00C57537"/>
    <w:rsid w:val="00C575B2"/>
    <w:rsid w:val="00C57CDA"/>
    <w:rsid w:val="00C600E3"/>
    <w:rsid w:val="00C60756"/>
    <w:rsid w:val="00C60805"/>
    <w:rsid w:val="00C60D2D"/>
    <w:rsid w:val="00C6154D"/>
    <w:rsid w:val="00C61771"/>
    <w:rsid w:val="00C61C1A"/>
    <w:rsid w:val="00C61F80"/>
    <w:rsid w:val="00C62560"/>
    <w:rsid w:val="00C62660"/>
    <w:rsid w:val="00C628F9"/>
    <w:rsid w:val="00C630A7"/>
    <w:rsid w:val="00C632D0"/>
    <w:rsid w:val="00C635BB"/>
    <w:rsid w:val="00C63860"/>
    <w:rsid w:val="00C63BD7"/>
    <w:rsid w:val="00C63FD8"/>
    <w:rsid w:val="00C64186"/>
    <w:rsid w:val="00C6521A"/>
    <w:rsid w:val="00C6585B"/>
    <w:rsid w:val="00C65A7E"/>
    <w:rsid w:val="00C65AEA"/>
    <w:rsid w:val="00C6616E"/>
    <w:rsid w:val="00C6622F"/>
    <w:rsid w:val="00C662EF"/>
    <w:rsid w:val="00C6646A"/>
    <w:rsid w:val="00C668C9"/>
    <w:rsid w:val="00C671EC"/>
    <w:rsid w:val="00C70544"/>
    <w:rsid w:val="00C706BC"/>
    <w:rsid w:val="00C71018"/>
    <w:rsid w:val="00C71055"/>
    <w:rsid w:val="00C717DF"/>
    <w:rsid w:val="00C717E7"/>
    <w:rsid w:val="00C71A02"/>
    <w:rsid w:val="00C71C00"/>
    <w:rsid w:val="00C726CF"/>
    <w:rsid w:val="00C72E25"/>
    <w:rsid w:val="00C737E8"/>
    <w:rsid w:val="00C744F5"/>
    <w:rsid w:val="00C74594"/>
    <w:rsid w:val="00C74889"/>
    <w:rsid w:val="00C75444"/>
    <w:rsid w:val="00C7606D"/>
    <w:rsid w:val="00C763C0"/>
    <w:rsid w:val="00C7690A"/>
    <w:rsid w:val="00C76D0B"/>
    <w:rsid w:val="00C7706E"/>
    <w:rsid w:val="00C771C3"/>
    <w:rsid w:val="00C772C7"/>
    <w:rsid w:val="00C77576"/>
    <w:rsid w:val="00C7775A"/>
    <w:rsid w:val="00C779F7"/>
    <w:rsid w:val="00C77A6C"/>
    <w:rsid w:val="00C77BCA"/>
    <w:rsid w:val="00C77C9E"/>
    <w:rsid w:val="00C77E07"/>
    <w:rsid w:val="00C8002A"/>
    <w:rsid w:val="00C80CAC"/>
    <w:rsid w:val="00C81F40"/>
    <w:rsid w:val="00C81FB5"/>
    <w:rsid w:val="00C82313"/>
    <w:rsid w:val="00C824F6"/>
    <w:rsid w:val="00C82F49"/>
    <w:rsid w:val="00C83184"/>
    <w:rsid w:val="00C831EC"/>
    <w:rsid w:val="00C83389"/>
    <w:rsid w:val="00C834D5"/>
    <w:rsid w:val="00C839BB"/>
    <w:rsid w:val="00C8477B"/>
    <w:rsid w:val="00C850DC"/>
    <w:rsid w:val="00C85216"/>
    <w:rsid w:val="00C8522B"/>
    <w:rsid w:val="00C8741B"/>
    <w:rsid w:val="00C87603"/>
    <w:rsid w:val="00C87688"/>
    <w:rsid w:val="00C87AF5"/>
    <w:rsid w:val="00C87F14"/>
    <w:rsid w:val="00C87FE6"/>
    <w:rsid w:val="00C9010F"/>
    <w:rsid w:val="00C9017A"/>
    <w:rsid w:val="00C902AC"/>
    <w:rsid w:val="00C90DB8"/>
    <w:rsid w:val="00C91478"/>
    <w:rsid w:val="00C91890"/>
    <w:rsid w:val="00C922F4"/>
    <w:rsid w:val="00C924C8"/>
    <w:rsid w:val="00C92984"/>
    <w:rsid w:val="00C929BD"/>
    <w:rsid w:val="00C92D3C"/>
    <w:rsid w:val="00C93392"/>
    <w:rsid w:val="00C93D64"/>
    <w:rsid w:val="00C93F65"/>
    <w:rsid w:val="00C94342"/>
    <w:rsid w:val="00C94981"/>
    <w:rsid w:val="00C94B6F"/>
    <w:rsid w:val="00C94D5A"/>
    <w:rsid w:val="00C9553D"/>
    <w:rsid w:val="00C96619"/>
    <w:rsid w:val="00C96932"/>
    <w:rsid w:val="00C96C25"/>
    <w:rsid w:val="00C97925"/>
    <w:rsid w:val="00C97965"/>
    <w:rsid w:val="00C97B43"/>
    <w:rsid w:val="00C97F01"/>
    <w:rsid w:val="00C97F52"/>
    <w:rsid w:val="00CA160D"/>
    <w:rsid w:val="00CA16ED"/>
    <w:rsid w:val="00CA18F5"/>
    <w:rsid w:val="00CA2A41"/>
    <w:rsid w:val="00CA2CCA"/>
    <w:rsid w:val="00CA3E63"/>
    <w:rsid w:val="00CA481E"/>
    <w:rsid w:val="00CA4CB7"/>
    <w:rsid w:val="00CA4EBB"/>
    <w:rsid w:val="00CA4FC6"/>
    <w:rsid w:val="00CA4FDE"/>
    <w:rsid w:val="00CA52E2"/>
    <w:rsid w:val="00CA53C0"/>
    <w:rsid w:val="00CA589D"/>
    <w:rsid w:val="00CA6476"/>
    <w:rsid w:val="00CA6840"/>
    <w:rsid w:val="00CA70E5"/>
    <w:rsid w:val="00CA7437"/>
    <w:rsid w:val="00CA7827"/>
    <w:rsid w:val="00CB0611"/>
    <w:rsid w:val="00CB0816"/>
    <w:rsid w:val="00CB115E"/>
    <w:rsid w:val="00CB1517"/>
    <w:rsid w:val="00CB1562"/>
    <w:rsid w:val="00CB2166"/>
    <w:rsid w:val="00CB2B1B"/>
    <w:rsid w:val="00CB3D88"/>
    <w:rsid w:val="00CB3EE6"/>
    <w:rsid w:val="00CB4CE9"/>
    <w:rsid w:val="00CB658B"/>
    <w:rsid w:val="00CB685F"/>
    <w:rsid w:val="00CB6ADD"/>
    <w:rsid w:val="00CB6AE3"/>
    <w:rsid w:val="00CB738C"/>
    <w:rsid w:val="00CB7E4D"/>
    <w:rsid w:val="00CC0428"/>
    <w:rsid w:val="00CC0742"/>
    <w:rsid w:val="00CC0B37"/>
    <w:rsid w:val="00CC0C77"/>
    <w:rsid w:val="00CC0DCD"/>
    <w:rsid w:val="00CC13B1"/>
    <w:rsid w:val="00CC15D7"/>
    <w:rsid w:val="00CC15F9"/>
    <w:rsid w:val="00CC1F1C"/>
    <w:rsid w:val="00CC2218"/>
    <w:rsid w:val="00CC24BB"/>
    <w:rsid w:val="00CC2C72"/>
    <w:rsid w:val="00CC2F35"/>
    <w:rsid w:val="00CC419D"/>
    <w:rsid w:val="00CC4272"/>
    <w:rsid w:val="00CC49F2"/>
    <w:rsid w:val="00CC4D5F"/>
    <w:rsid w:val="00CC4F32"/>
    <w:rsid w:val="00CC51C9"/>
    <w:rsid w:val="00CC5265"/>
    <w:rsid w:val="00CC57B1"/>
    <w:rsid w:val="00CC68C6"/>
    <w:rsid w:val="00CC6A13"/>
    <w:rsid w:val="00CC705D"/>
    <w:rsid w:val="00CC7752"/>
    <w:rsid w:val="00CC7F8B"/>
    <w:rsid w:val="00CD01A9"/>
    <w:rsid w:val="00CD01CC"/>
    <w:rsid w:val="00CD0689"/>
    <w:rsid w:val="00CD08EE"/>
    <w:rsid w:val="00CD0E47"/>
    <w:rsid w:val="00CD1052"/>
    <w:rsid w:val="00CD12FF"/>
    <w:rsid w:val="00CD1747"/>
    <w:rsid w:val="00CD1942"/>
    <w:rsid w:val="00CD1D5B"/>
    <w:rsid w:val="00CD1DA0"/>
    <w:rsid w:val="00CD232E"/>
    <w:rsid w:val="00CD23D4"/>
    <w:rsid w:val="00CD37DD"/>
    <w:rsid w:val="00CD3AE2"/>
    <w:rsid w:val="00CD3F85"/>
    <w:rsid w:val="00CD481D"/>
    <w:rsid w:val="00CD5193"/>
    <w:rsid w:val="00CD56CD"/>
    <w:rsid w:val="00CD577F"/>
    <w:rsid w:val="00CD5D4C"/>
    <w:rsid w:val="00CD607C"/>
    <w:rsid w:val="00CD61CC"/>
    <w:rsid w:val="00CD70DE"/>
    <w:rsid w:val="00CD7825"/>
    <w:rsid w:val="00CD796C"/>
    <w:rsid w:val="00CD7F7A"/>
    <w:rsid w:val="00CE000D"/>
    <w:rsid w:val="00CE056F"/>
    <w:rsid w:val="00CE0EA5"/>
    <w:rsid w:val="00CE21EC"/>
    <w:rsid w:val="00CE2278"/>
    <w:rsid w:val="00CE542C"/>
    <w:rsid w:val="00CE5514"/>
    <w:rsid w:val="00CE5A07"/>
    <w:rsid w:val="00CE6291"/>
    <w:rsid w:val="00CE680C"/>
    <w:rsid w:val="00CE6FDD"/>
    <w:rsid w:val="00CE785F"/>
    <w:rsid w:val="00CE78B5"/>
    <w:rsid w:val="00CF031E"/>
    <w:rsid w:val="00CF035A"/>
    <w:rsid w:val="00CF0583"/>
    <w:rsid w:val="00CF08B5"/>
    <w:rsid w:val="00CF0DC9"/>
    <w:rsid w:val="00CF236B"/>
    <w:rsid w:val="00CF2844"/>
    <w:rsid w:val="00CF290C"/>
    <w:rsid w:val="00CF2AAA"/>
    <w:rsid w:val="00CF2DE1"/>
    <w:rsid w:val="00CF3F00"/>
    <w:rsid w:val="00CF3F1F"/>
    <w:rsid w:val="00CF4D88"/>
    <w:rsid w:val="00CF5042"/>
    <w:rsid w:val="00CF5C16"/>
    <w:rsid w:val="00CF645A"/>
    <w:rsid w:val="00CF6B47"/>
    <w:rsid w:val="00CF6FDA"/>
    <w:rsid w:val="00CF70CE"/>
    <w:rsid w:val="00CF7353"/>
    <w:rsid w:val="00CF777F"/>
    <w:rsid w:val="00CF7914"/>
    <w:rsid w:val="00CF79F6"/>
    <w:rsid w:val="00D00D11"/>
    <w:rsid w:val="00D01C59"/>
    <w:rsid w:val="00D0254B"/>
    <w:rsid w:val="00D02686"/>
    <w:rsid w:val="00D02A6B"/>
    <w:rsid w:val="00D036D5"/>
    <w:rsid w:val="00D03C7E"/>
    <w:rsid w:val="00D046D5"/>
    <w:rsid w:val="00D04E5C"/>
    <w:rsid w:val="00D05B7C"/>
    <w:rsid w:val="00D06AEA"/>
    <w:rsid w:val="00D07847"/>
    <w:rsid w:val="00D07D59"/>
    <w:rsid w:val="00D07FA3"/>
    <w:rsid w:val="00D101E3"/>
    <w:rsid w:val="00D107C1"/>
    <w:rsid w:val="00D107D9"/>
    <w:rsid w:val="00D109CA"/>
    <w:rsid w:val="00D116DB"/>
    <w:rsid w:val="00D13101"/>
    <w:rsid w:val="00D13FC9"/>
    <w:rsid w:val="00D1458A"/>
    <w:rsid w:val="00D145D6"/>
    <w:rsid w:val="00D14767"/>
    <w:rsid w:val="00D14962"/>
    <w:rsid w:val="00D14ADB"/>
    <w:rsid w:val="00D1556D"/>
    <w:rsid w:val="00D156BE"/>
    <w:rsid w:val="00D15E55"/>
    <w:rsid w:val="00D16BA5"/>
    <w:rsid w:val="00D16EE2"/>
    <w:rsid w:val="00D17D82"/>
    <w:rsid w:val="00D17DDB"/>
    <w:rsid w:val="00D17F4F"/>
    <w:rsid w:val="00D20103"/>
    <w:rsid w:val="00D20A8B"/>
    <w:rsid w:val="00D20B95"/>
    <w:rsid w:val="00D20CF5"/>
    <w:rsid w:val="00D213B5"/>
    <w:rsid w:val="00D214B6"/>
    <w:rsid w:val="00D214FD"/>
    <w:rsid w:val="00D21542"/>
    <w:rsid w:val="00D21FD3"/>
    <w:rsid w:val="00D22026"/>
    <w:rsid w:val="00D221E4"/>
    <w:rsid w:val="00D22955"/>
    <w:rsid w:val="00D22AE0"/>
    <w:rsid w:val="00D22C5A"/>
    <w:rsid w:val="00D2306E"/>
    <w:rsid w:val="00D23326"/>
    <w:rsid w:val="00D23B8B"/>
    <w:rsid w:val="00D23D3E"/>
    <w:rsid w:val="00D24027"/>
    <w:rsid w:val="00D24AB7"/>
    <w:rsid w:val="00D25467"/>
    <w:rsid w:val="00D25B0D"/>
    <w:rsid w:val="00D25F0F"/>
    <w:rsid w:val="00D26481"/>
    <w:rsid w:val="00D26A8D"/>
    <w:rsid w:val="00D2714E"/>
    <w:rsid w:val="00D27193"/>
    <w:rsid w:val="00D27A01"/>
    <w:rsid w:val="00D27CBF"/>
    <w:rsid w:val="00D27CC6"/>
    <w:rsid w:val="00D30335"/>
    <w:rsid w:val="00D30BF5"/>
    <w:rsid w:val="00D30D97"/>
    <w:rsid w:val="00D31025"/>
    <w:rsid w:val="00D31478"/>
    <w:rsid w:val="00D31C2B"/>
    <w:rsid w:val="00D31DB6"/>
    <w:rsid w:val="00D322E1"/>
    <w:rsid w:val="00D329AF"/>
    <w:rsid w:val="00D32AD1"/>
    <w:rsid w:val="00D32F33"/>
    <w:rsid w:val="00D32FF1"/>
    <w:rsid w:val="00D33229"/>
    <w:rsid w:val="00D33531"/>
    <w:rsid w:val="00D33FFC"/>
    <w:rsid w:val="00D34138"/>
    <w:rsid w:val="00D344AB"/>
    <w:rsid w:val="00D3464E"/>
    <w:rsid w:val="00D348A3"/>
    <w:rsid w:val="00D34B3E"/>
    <w:rsid w:val="00D34D78"/>
    <w:rsid w:val="00D358B3"/>
    <w:rsid w:val="00D35C9A"/>
    <w:rsid w:val="00D36180"/>
    <w:rsid w:val="00D36973"/>
    <w:rsid w:val="00D4042E"/>
    <w:rsid w:val="00D4045B"/>
    <w:rsid w:val="00D405A7"/>
    <w:rsid w:val="00D4067C"/>
    <w:rsid w:val="00D406FC"/>
    <w:rsid w:val="00D40970"/>
    <w:rsid w:val="00D40DE2"/>
    <w:rsid w:val="00D40F25"/>
    <w:rsid w:val="00D40FF6"/>
    <w:rsid w:val="00D411AF"/>
    <w:rsid w:val="00D41AE7"/>
    <w:rsid w:val="00D41D77"/>
    <w:rsid w:val="00D41E2C"/>
    <w:rsid w:val="00D41E4A"/>
    <w:rsid w:val="00D41E54"/>
    <w:rsid w:val="00D4258A"/>
    <w:rsid w:val="00D42C9A"/>
    <w:rsid w:val="00D42E22"/>
    <w:rsid w:val="00D43026"/>
    <w:rsid w:val="00D43ABF"/>
    <w:rsid w:val="00D4438A"/>
    <w:rsid w:val="00D449D2"/>
    <w:rsid w:val="00D44C68"/>
    <w:rsid w:val="00D45261"/>
    <w:rsid w:val="00D460C9"/>
    <w:rsid w:val="00D468D3"/>
    <w:rsid w:val="00D473C5"/>
    <w:rsid w:val="00D4744E"/>
    <w:rsid w:val="00D479BC"/>
    <w:rsid w:val="00D50251"/>
    <w:rsid w:val="00D50285"/>
    <w:rsid w:val="00D50600"/>
    <w:rsid w:val="00D50956"/>
    <w:rsid w:val="00D509C6"/>
    <w:rsid w:val="00D50A1F"/>
    <w:rsid w:val="00D50A7C"/>
    <w:rsid w:val="00D50D7F"/>
    <w:rsid w:val="00D51728"/>
    <w:rsid w:val="00D51D9D"/>
    <w:rsid w:val="00D51E15"/>
    <w:rsid w:val="00D522BC"/>
    <w:rsid w:val="00D52512"/>
    <w:rsid w:val="00D52ECC"/>
    <w:rsid w:val="00D5347C"/>
    <w:rsid w:val="00D53943"/>
    <w:rsid w:val="00D53B9F"/>
    <w:rsid w:val="00D53ED6"/>
    <w:rsid w:val="00D54BEA"/>
    <w:rsid w:val="00D54D62"/>
    <w:rsid w:val="00D5517D"/>
    <w:rsid w:val="00D55458"/>
    <w:rsid w:val="00D55536"/>
    <w:rsid w:val="00D567CA"/>
    <w:rsid w:val="00D5726E"/>
    <w:rsid w:val="00D576CE"/>
    <w:rsid w:val="00D578A6"/>
    <w:rsid w:val="00D57A57"/>
    <w:rsid w:val="00D57D34"/>
    <w:rsid w:val="00D57F2A"/>
    <w:rsid w:val="00D60D31"/>
    <w:rsid w:val="00D60D79"/>
    <w:rsid w:val="00D615B6"/>
    <w:rsid w:val="00D617F7"/>
    <w:rsid w:val="00D62427"/>
    <w:rsid w:val="00D62AFA"/>
    <w:rsid w:val="00D63237"/>
    <w:rsid w:val="00D63BCA"/>
    <w:rsid w:val="00D63D34"/>
    <w:rsid w:val="00D64A97"/>
    <w:rsid w:val="00D64F35"/>
    <w:rsid w:val="00D6608F"/>
    <w:rsid w:val="00D662F9"/>
    <w:rsid w:val="00D6642C"/>
    <w:rsid w:val="00D6649C"/>
    <w:rsid w:val="00D66706"/>
    <w:rsid w:val="00D668C8"/>
    <w:rsid w:val="00D66CD3"/>
    <w:rsid w:val="00D66CEE"/>
    <w:rsid w:val="00D66F7A"/>
    <w:rsid w:val="00D6791C"/>
    <w:rsid w:val="00D67ABB"/>
    <w:rsid w:val="00D67EC6"/>
    <w:rsid w:val="00D701E7"/>
    <w:rsid w:val="00D707A0"/>
    <w:rsid w:val="00D70A28"/>
    <w:rsid w:val="00D70A99"/>
    <w:rsid w:val="00D70B49"/>
    <w:rsid w:val="00D712DF"/>
    <w:rsid w:val="00D72084"/>
    <w:rsid w:val="00D722C6"/>
    <w:rsid w:val="00D7262C"/>
    <w:rsid w:val="00D73983"/>
    <w:rsid w:val="00D73A58"/>
    <w:rsid w:val="00D73C79"/>
    <w:rsid w:val="00D74111"/>
    <w:rsid w:val="00D741BA"/>
    <w:rsid w:val="00D742F4"/>
    <w:rsid w:val="00D743F8"/>
    <w:rsid w:val="00D748CB"/>
    <w:rsid w:val="00D74CB6"/>
    <w:rsid w:val="00D75B2D"/>
    <w:rsid w:val="00D76023"/>
    <w:rsid w:val="00D76220"/>
    <w:rsid w:val="00D7630F"/>
    <w:rsid w:val="00D771D2"/>
    <w:rsid w:val="00D777A2"/>
    <w:rsid w:val="00D77B11"/>
    <w:rsid w:val="00D77DC9"/>
    <w:rsid w:val="00D77E01"/>
    <w:rsid w:val="00D8033D"/>
    <w:rsid w:val="00D80811"/>
    <w:rsid w:val="00D80C2E"/>
    <w:rsid w:val="00D80F9F"/>
    <w:rsid w:val="00D8134B"/>
    <w:rsid w:val="00D81380"/>
    <w:rsid w:val="00D815AF"/>
    <w:rsid w:val="00D81CC1"/>
    <w:rsid w:val="00D8256E"/>
    <w:rsid w:val="00D83867"/>
    <w:rsid w:val="00D838C6"/>
    <w:rsid w:val="00D83B1A"/>
    <w:rsid w:val="00D83E05"/>
    <w:rsid w:val="00D83F65"/>
    <w:rsid w:val="00D84824"/>
    <w:rsid w:val="00D8515B"/>
    <w:rsid w:val="00D85458"/>
    <w:rsid w:val="00D85A9E"/>
    <w:rsid w:val="00D85AF8"/>
    <w:rsid w:val="00D85EE4"/>
    <w:rsid w:val="00D8600F"/>
    <w:rsid w:val="00D8666B"/>
    <w:rsid w:val="00D86817"/>
    <w:rsid w:val="00D875E9"/>
    <w:rsid w:val="00D879B4"/>
    <w:rsid w:val="00D87ED7"/>
    <w:rsid w:val="00D900B5"/>
    <w:rsid w:val="00D9014E"/>
    <w:rsid w:val="00D90336"/>
    <w:rsid w:val="00D907FF"/>
    <w:rsid w:val="00D90879"/>
    <w:rsid w:val="00D90A44"/>
    <w:rsid w:val="00D90D56"/>
    <w:rsid w:val="00D90DD8"/>
    <w:rsid w:val="00D90FE7"/>
    <w:rsid w:val="00D9125B"/>
    <w:rsid w:val="00D91745"/>
    <w:rsid w:val="00D9296D"/>
    <w:rsid w:val="00D92AC9"/>
    <w:rsid w:val="00D92D74"/>
    <w:rsid w:val="00D931A8"/>
    <w:rsid w:val="00D9376D"/>
    <w:rsid w:val="00D939BC"/>
    <w:rsid w:val="00D93C62"/>
    <w:rsid w:val="00D93F01"/>
    <w:rsid w:val="00D94B66"/>
    <w:rsid w:val="00D95A85"/>
    <w:rsid w:val="00D95FA5"/>
    <w:rsid w:val="00D9630B"/>
    <w:rsid w:val="00D963F4"/>
    <w:rsid w:val="00D97B4D"/>
    <w:rsid w:val="00D97BE6"/>
    <w:rsid w:val="00D97E11"/>
    <w:rsid w:val="00DA01AF"/>
    <w:rsid w:val="00DA1A00"/>
    <w:rsid w:val="00DA1ADA"/>
    <w:rsid w:val="00DA1DBE"/>
    <w:rsid w:val="00DA2466"/>
    <w:rsid w:val="00DA26B9"/>
    <w:rsid w:val="00DA2908"/>
    <w:rsid w:val="00DA3DB6"/>
    <w:rsid w:val="00DA41EC"/>
    <w:rsid w:val="00DA491D"/>
    <w:rsid w:val="00DA4942"/>
    <w:rsid w:val="00DA52BF"/>
    <w:rsid w:val="00DA5571"/>
    <w:rsid w:val="00DA55BE"/>
    <w:rsid w:val="00DA595F"/>
    <w:rsid w:val="00DA5BC6"/>
    <w:rsid w:val="00DA5F29"/>
    <w:rsid w:val="00DA65E9"/>
    <w:rsid w:val="00DA6CA0"/>
    <w:rsid w:val="00DA6FD6"/>
    <w:rsid w:val="00DA7200"/>
    <w:rsid w:val="00DA73DC"/>
    <w:rsid w:val="00DA7618"/>
    <w:rsid w:val="00DB0614"/>
    <w:rsid w:val="00DB16A2"/>
    <w:rsid w:val="00DB18F3"/>
    <w:rsid w:val="00DB1952"/>
    <w:rsid w:val="00DB1ECF"/>
    <w:rsid w:val="00DB244B"/>
    <w:rsid w:val="00DB24E1"/>
    <w:rsid w:val="00DB258D"/>
    <w:rsid w:val="00DB26B9"/>
    <w:rsid w:val="00DB28DD"/>
    <w:rsid w:val="00DB2C48"/>
    <w:rsid w:val="00DB2DF9"/>
    <w:rsid w:val="00DB3B2B"/>
    <w:rsid w:val="00DB4454"/>
    <w:rsid w:val="00DB46DD"/>
    <w:rsid w:val="00DB4793"/>
    <w:rsid w:val="00DB4AB8"/>
    <w:rsid w:val="00DB518A"/>
    <w:rsid w:val="00DB54C9"/>
    <w:rsid w:val="00DB5722"/>
    <w:rsid w:val="00DB649C"/>
    <w:rsid w:val="00DB65BC"/>
    <w:rsid w:val="00DB6C11"/>
    <w:rsid w:val="00DB6CEC"/>
    <w:rsid w:val="00DB6E92"/>
    <w:rsid w:val="00DB6F5D"/>
    <w:rsid w:val="00DC09A6"/>
    <w:rsid w:val="00DC0D09"/>
    <w:rsid w:val="00DC0DFE"/>
    <w:rsid w:val="00DC12FC"/>
    <w:rsid w:val="00DC2109"/>
    <w:rsid w:val="00DC28CF"/>
    <w:rsid w:val="00DC3249"/>
    <w:rsid w:val="00DC3645"/>
    <w:rsid w:val="00DC3C3B"/>
    <w:rsid w:val="00DC4360"/>
    <w:rsid w:val="00DC437B"/>
    <w:rsid w:val="00DC471A"/>
    <w:rsid w:val="00DC474E"/>
    <w:rsid w:val="00DC50FD"/>
    <w:rsid w:val="00DC528A"/>
    <w:rsid w:val="00DC58C4"/>
    <w:rsid w:val="00DC746A"/>
    <w:rsid w:val="00DD0671"/>
    <w:rsid w:val="00DD07DF"/>
    <w:rsid w:val="00DD0CEB"/>
    <w:rsid w:val="00DD0DB8"/>
    <w:rsid w:val="00DD11C0"/>
    <w:rsid w:val="00DD14F9"/>
    <w:rsid w:val="00DD1BDA"/>
    <w:rsid w:val="00DD1D2A"/>
    <w:rsid w:val="00DD2811"/>
    <w:rsid w:val="00DD2A83"/>
    <w:rsid w:val="00DD39BC"/>
    <w:rsid w:val="00DD3B6D"/>
    <w:rsid w:val="00DD3E28"/>
    <w:rsid w:val="00DD3EEF"/>
    <w:rsid w:val="00DD413E"/>
    <w:rsid w:val="00DD49B2"/>
    <w:rsid w:val="00DD4CC7"/>
    <w:rsid w:val="00DD52D6"/>
    <w:rsid w:val="00DD5913"/>
    <w:rsid w:val="00DD5B64"/>
    <w:rsid w:val="00DD60FA"/>
    <w:rsid w:val="00DD643F"/>
    <w:rsid w:val="00DD6B4C"/>
    <w:rsid w:val="00DD7440"/>
    <w:rsid w:val="00DD797D"/>
    <w:rsid w:val="00DE0324"/>
    <w:rsid w:val="00DE061F"/>
    <w:rsid w:val="00DE068B"/>
    <w:rsid w:val="00DE0B29"/>
    <w:rsid w:val="00DE12A0"/>
    <w:rsid w:val="00DE1BB3"/>
    <w:rsid w:val="00DE287A"/>
    <w:rsid w:val="00DE28A8"/>
    <w:rsid w:val="00DE2CD8"/>
    <w:rsid w:val="00DE2E57"/>
    <w:rsid w:val="00DE30DA"/>
    <w:rsid w:val="00DE345A"/>
    <w:rsid w:val="00DE39E7"/>
    <w:rsid w:val="00DE3E40"/>
    <w:rsid w:val="00DE3EF1"/>
    <w:rsid w:val="00DE4587"/>
    <w:rsid w:val="00DE5084"/>
    <w:rsid w:val="00DE50E3"/>
    <w:rsid w:val="00DE5993"/>
    <w:rsid w:val="00DE617A"/>
    <w:rsid w:val="00DE76B9"/>
    <w:rsid w:val="00DF01F1"/>
    <w:rsid w:val="00DF0288"/>
    <w:rsid w:val="00DF0E5E"/>
    <w:rsid w:val="00DF11C6"/>
    <w:rsid w:val="00DF27B8"/>
    <w:rsid w:val="00DF2DAD"/>
    <w:rsid w:val="00DF2DB6"/>
    <w:rsid w:val="00DF2FEE"/>
    <w:rsid w:val="00DF301B"/>
    <w:rsid w:val="00DF4149"/>
    <w:rsid w:val="00DF4156"/>
    <w:rsid w:val="00DF42FD"/>
    <w:rsid w:val="00DF44BE"/>
    <w:rsid w:val="00DF468A"/>
    <w:rsid w:val="00DF4F42"/>
    <w:rsid w:val="00DF4FDD"/>
    <w:rsid w:val="00DF546F"/>
    <w:rsid w:val="00DF5974"/>
    <w:rsid w:val="00DF5AD7"/>
    <w:rsid w:val="00DF5CE2"/>
    <w:rsid w:val="00DF5E58"/>
    <w:rsid w:val="00DF6441"/>
    <w:rsid w:val="00DF6590"/>
    <w:rsid w:val="00DF6784"/>
    <w:rsid w:val="00DF7078"/>
    <w:rsid w:val="00E00459"/>
    <w:rsid w:val="00E00B3E"/>
    <w:rsid w:val="00E00B46"/>
    <w:rsid w:val="00E0149A"/>
    <w:rsid w:val="00E0150C"/>
    <w:rsid w:val="00E01CCF"/>
    <w:rsid w:val="00E01EAB"/>
    <w:rsid w:val="00E022D1"/>
    <w:rsid w:val="00E02B57"/>
    <w:rsid w:val="00E02B6E"/>
    <w:rsid w:val="00E02C17"/>
    <w:rsid w:val="00E02F36"/>
    <w:rsid w:val="00E0323C"/>
    <w:rsid w:val="00E0328D"/>
    <w:rsid w:val="00E03F1A"/>
    <w:rsid w:val="00E04288"/>
    <w:rsid w:val="00E04303"/>
    <w:rsid w:val="00E04E0B"/>
    <w:rsid w:val="00E04F78"/>
    <w:rsid w:val="00E0508E"/>
    <w:rsid w:val="00E05527"/>
    <w:rsid w:val="00E05540"/>
    <w:rsid w:val="00E059A5"/>
    <w:rsid w:val="00E05A3D"/>
    <w:rsid w:val="00E05C04"/>
    <w:rsid w:val="00E05E21"/>
    <w:rsid w:val="00E05F43"/>
    <w:rsid w:val="00E06516"/>
    <w:rsid w:val="00E06747"/>
    <w:rsid w:val="00E0696D"/>
    <w:rsid w:val="00E06DBD"/>
    <w:rsid w:val="00E06E62"/>
    <w:rsid w:val="00E07D2D"/>
    <w:rsid w:val="00E07D87"/>
    <w:rsid w:val="00E1027C"/>
    <w:rsid w:val="00E10288"/>
    <w:rsid w:val="00E10790"/>
    <w:rsid w:val="00E10E38"/>
    <w:rsid w:val="00E10F94"/>
    <w:rsid w:val="00E1152D"/>
    <w:rsid w:val="00E11CF6"/>
    <w:rsid w:val="00E12943"/>
    <w:rsid w:val="00E12D4F"/>
    <w:rsid w:val="00E136DF"/>
    <w:rsid w:val="00E141E5"/>
    <w:rsid w:val="00E14503"/>
    <w:rsid w:val="00E14B08"/>
    <w:rsid w:val="00E14E2B"/>
    <w:rsid w:val="00E15070"/>
    <w:rsid w:val="00E1624A"/>
    <w:rsid w:val="00E1693D"/>
    <w:rsid w:val="00E16C3F"/>
    <w:rsid w:val="00E16E9A"/>
    <w:rsid w:val="00E170BE"/>
    <w:rsid w:val="00E1723F"/>
    <w:rsid w:val="00E17322"/>
    <w:rsid w:val="00E1742D"/>
    <w:rsid w:val="00E17D46"/>
    <w:rsid w:val="00E20708"/>
    <w:rsid w:val="00E20F40"/>
    <w:rsid w:val="00E20F68"/>
    <w:rsid w:val="00E212C4"/>
    <w:rsid w:val="00E2182A"/>
    <w:rsid w:val="00E21D12"/>
    <w:rsid w:val="00E22F38"/>
    <w:rsid w:val="00E2321F"/>
    <w:rsid w:val="00E23B6E"/>
    <w:rsid w:val="00E24104"/>
    <w:rsid w:val="00E2493F"/>
    <w:rsid w:val="00E25090"/>
    <w:rsid w:val="00E2651F"/>
    <w:rsid w:val="00E265B2"/>
    <w:rsid w:val="00E27C77"/>
    <w:rsid w:val="00E3036A"/>
    <w:rsid w:val="00E30659"/>
    <w:rsid w:val="00E3074F"/>
    <w:rsid w:val="00E30B4D"/>
    <w:rsid w:val="00E31FD5"/>
    <w:rsid w:val="00E3392B"/>
    <w:rsid w:val="00E339EF"/>
    <w:rsid w:val="00E33BBF"/>
    <w:rsid w:val="00E34285"/>
    <w:rsid w:val="00E345FE"/>
    <w:rsid w:val="00E34C24"/>
    <w:rsid w:val="00E357CE"/>
    <w:rsid w:val="00E35F10"/>
    <w:rsid w:val="00E36035"/>
    <w:rsid w:val="00E36098"/>
    <w:rsid w:val="00E36276"/>
    <w:rsid w:val="00E364FD"/>
    <w:rsid w:val="00E3667E"/>
    <w:rsid w:val="00E36BFE"/>
    <w:rsid w:val="00E37A0C"/>
    <w:rsid w:val="00E37DB1"/>
    <w:rsid w:val="00E404A2"/>
    <w:rsid w:val="00E40A70"/>
    <w:rsid w:val="00E4121F"/>
    <w:rsid w:val="00E41946"/>
    <w:rsid w:val="00E41D9C"/>
    <w:rsid w:val="00E42859"/>
    <w:rsid w:val="00E42F25"/>
    <w:rsid w:val="00E438E1"/>
    <w:rsid w:val="00E44590"/>
    <w:rsid w:val="00E44A24"/>
    <w:rsid w:val="00E4553A"/>
    <w:rsid w:val="00E455CC"/>
    <w:rsid w:val="00E45861"/>
    <w:rsid w:val="00E461BA"/>
    <w:rsid w:val="00E46C0C"/>
    <w:rsid w:val="00E4783E"/>
    <w:rsid w:val="00E47C62"/>
    <w:rsid w:val="00E47D39"/>
    <w:rsid w:val="00E509B9"/>
    <w:rsid w:val="00E51032"/>
    <w:rsid w:val="00E5134C"/>
    <w:rsid w:val="00E5199B"/>
    <w:rsid w:val="00E51CFC"/>
    <w:rsid w:val="00E52941"/>
    <w:rsid w:val="00E52AB4"/>
    <w:rsid w:val="00E52DE2"/>
    <w:rsid w:val="00E532BF"/>
    <w:rsid w:val="00E546FA"/>
    <w:rsid w:val="00E55484"/>
    <w:rsid w:val="00E554D8"/>
    <w:rsid w:val="00E5550A"/>
    <w:rsid w:val="00E5643A"/>
    <w:rsid w:val="00E568D4"/>
    <w:rsid w:val="00E56A2D"/>
    <w:rsid w:val="00E56C41"/>
    <w:rsid w:val="00E56FFD"/>
    <w:rsid w:val="00E6042C"/>
    <w:rsid w:val="00E6082D"/>
    <w:rsid w:val="00E6166B"/>
    <w:rsid w:val="00E617BA"/>
    <w:rsid w:val="00E61B8C"/>
    <w:rsid w:val="00E6207D"/>
    <w:rsid w:val="00E620C6"/>
    <w:rsid w:val="00E620ED"/>
    <w:rsid w:val="00E62156"/>
    <w:rsid w:val="00E63149"/>
    <w:rsid w:val="00E631D0"/>
    <w:rsid w:val="00E63374"/>
    <w:rsid w:val="00E63997"/>
    <w:rsid w:val="00E63BB1"/>
    <w:rsid w:val="00E6403F"/>
    <w:rsid w:val="00E645D2"/>
    <w:rsid w:val="00E646C9"/>
    <w:rsid w:val="00E6490A"/>
    <w:rsid w:val="00E64CE8"/>
    <w:rsid w:val="00E64DB3"/>
    <w:rsid w:val="00E65061"/>
    <w:rsid w:val="00E65DA7"/>
    <w:rsid w:val="00E661F6"/>
    <w:rsid w:val="00E66EC0"/>
    <w:rsid w:val="00E67105"/>
    <w:rsid w:val="00E675BE"/>
    <w:rsid w:val="00E7020B"/>
    <w:rsid w:val="00E707E0"/>
    <w:rsid w:val="00E70A0F"/>
    <w:rsid w:val="00E70E10"/>
    <w:rsid w:val="00E710A9"/>
    <w:rsid w:val="00E711F9"/>
    <w:rsid w:val="00E7173E"/>
    <w:rsid w:val="00E71A42"/>
    <w:rsid w:val="00E71B3D"/>
    <w:rsid w:val="00E71CEC"/>
    <w:rsid w:val="00E72427"/>
    <w:rsid w:val="00E72B89"/>
    <w:rsid w:val="00E72F36"/>
    <w:rsid w:val="00E72F67"/>
    <w:rsid w:val="00E735F7"/>
    <w:rsid w:val="00E737D6"/>
    <w:rsid w:val="00E73C28"/>
    <w:rsid w:val="00E74C28"/>
    <w:rsid w:val="00E755F3"/>
    <w:rsid w:val="00E7568F"/>
    <w:rsid w:val="00E75813"/>
    <w:rsid w:val="00E75B4D"/>
    <w:rsid w:val="00E762ED"/>
    <w:rsid w:val="00E764E7"/>
    <w:rsid w:val="00E76D04"/>
    <w:rsid w:val="00E774FA"/>
    <w:rsid w:val="00E77B6E"/>
    <w:rsid w:val="00E77D91"/>
    <w:rsid w:val="00E8034E"/>
    <w:rsid w:val="00E80531"/>
    <w:rsid w:val="00E80899"/>
    <w:rsid w:val="00E80C4C"/>
    <w:rsid w:val="00E80FEC"/>
    <w:rsid w:val="00E81755"/>
    <w:rsid w:val="00E81C06"/>
    <w:rsid w:val="00E823B5"/>
    <w:rsid w:val="00E82812"/>
    <w:rsid w:val="00E82EBA"/>
    <w:rsid w:val="00E831EE"/>
    <w:rsid w:val="00E83316"/>
    <w:rsid w:val="00E8396A"/>
    <w:rsid w:val="00E83D81"/>
    <w:rsid w:val="00E8437D"/>
    <w:rsid w:val="00E843AF"/>
    <w:rsid w:val="00E8456C"/>
    <w:rsid w:val="00E845D0"/>
    <w:rsid w:val="00E8494B"/>
    <w:rsid w:val="00E85A6D"/>
    <w:rsid w:val="00E85C2D"/>
    <w:rsid w:val="00E864C5"/>
    <w:rsid w:val="00E8658A"/>
    <w:rsid w:val="00E8666E"/>
    <w:rsid w:val="00E86B1F"/>
    <w:rsid w:val="00E87767"/>
    <w:rsid w:val="00E87A01"/>
    <w:rsid w:val="00E87F41"/>
    <w:rsid w:val="00E90982"/>
    <w:rsid w:val="00E91195"/>
    <w:rsid w:val="00E91518"/>
    <w:rsid w:val="00E91A50"/>
    <w:rsid w:val="00E91F14"/>
    <w:rsid w:val="00E92365"/>
    <w:rsid w:val="00E9314D"/>
    <w:rsid w:val="00E9331D"/>
    <w:rsid w:val="00E944EE"/>
    <w:rsid w:val="00E94672"/>
    <w:rsid w:val="00E94E91"/>
    <w:rsid w:val="00E94F49"/>
    <w:rsid w:val="00E95138"/>
    <w:rsid w:val="00E953EF"/>
    <w:rsid w:val="00E95907"/>
    <w:rsid w:val="00E95AD8"/>
    <w:rsid w:val="00E96A3A"/>
    <w:rsid w:val="00E97006"/>
    <w:rsid w:val="00E97106"/>
    <w:rsid w:val="00E977FF"/>
    <w:rsid w:val="00E97A7E"/>
    <w:rsid w:val="00EA01F1"/>
    <w:rsid w:val="00EA0C08"/>
    <w:rsid w:val="00EA143C"/>
    <w:rsid w:val="00EA15DE"/>
    <w:rsid w:val="00EA33DF"/>
    <w:rsid w:val="00EA37BC"/>
    <w:rsid w:val="00EA3BB1"/>
    <w:rsid w:val="00EA3ECC"/>
    <w:rsid w:val="00EA49E4"/>
    <w:rsid w:val="00EA5ECE"/>
    <w:rsid w:val="00EA6284"/>
    <w:rsid w:val="00EA635E"/>
    <w:rsid w:val="00EA64FC"/>
    <w:rsid w:val="00EA6AE7"/>
    <w:rsid w:val="00EA6BEB"/>
    <w:rsid w:val="00EA6C01"/>
    <w:rsid w:val="00EA70B3"/>
    <w:rsid w:val="00EA7701"/>
    <w:rsid w:val="00EB0330"/>
    <w:rsid w:val="00EB06D3"/>
    <w:rsid w:val="00EB1159"/>
    <w:rsid w:val="00EB11A8"/>
    <w:rsid w:val="00EB11B5"/>
    <w:rsid w:val="00EB11FA"/>
    <w:rsid w:val="00EB2957"/>
    <w:rsid w:val="00EB2E6B"/>
    <w:rsid w:val="00EB2E92"/>
    <w:rsid w:val="00EB329F"/>
    <w:rsid w:val="00EB39FF"/>
    <w:rsid w:val="00EB3A6A"/>
    <w:rsid w:val="00EB3AD1"/>
    <w:rsid w:val="00EB419B"/>
    <w:rsid w:val="00EB48BC"/>
    <w:rsid w:val="00EB5322"/>
    <w:rsid w:val="00EB55F6"/>
    <w:rsid w:val="00EB69EA"/>
    <w:rsid w:val="00EB6BFD"/>
    <w:rsid w:val="00EB6C59"/>
    <w:rsid w:val="00EB6D12"/>
    <w:rsid w:val="00EB7199"/>
    <w:rsid w:val="00EB75CA"/>
    <w:rsid w:val="00EB7DEE"/>
    <w:rsid w:val="00EB7E3B"/>
    <w:rsid w:val="00EC02CE"/>
    <w:rsid w:val="00EC06CA"/>
    <w:rsid w:val="00EC09D0"/>
    <w:rsid w:val="00EC0A8F"/>
    <w:rsid w:val="00EC0FEC"/>
    <w:rsid w:val="00EC11F5"/>
    <w:rsid w:val="00EC162C"/>
    <w:rsid w:val="00EC1A48"/>
    <w:rsid w:val="00EC20F5"/>
    <w:rsid w:val="00EC2408"/>
    <w:rsid w:val="00EC26F8"/>
    <w:rsid w:val="00EC26FF"/>
    <w:rsid w:val="00EC2DD2"/>
    <w:rsid w:val="00EC30E4"/>
    <w:rsid w:val="00EC314A"/>
    <w:rsid w:val="00EC34F3"/>
    <w:rsid w:val="00EC3E92"/>
    <w:rsid w:val="00EC413B"/>
    <w:rsid w:val="00EC42D5"/>
    <w:rsid w:val="00EC4320"/>
    <w:rsid w:val="00EC4673"/>
    <w:rsid w:val="00EC4FB1"/>
    <w:rsid w:val="00EC51EA"/>
    <w:rsid w:val="00EC5B36"/>
    <w:rsid w:val="00EC5BC9"/>
    <w:rsid w:val="00EC6950"/>
    <w:rsid w:val="00EC6E46"/>
    <w:rsid w:val="00EC6ECE"/>
    <w:rsid w:val="00EC6F41"/>
    <w:rsid w:val="00EC770E"/>
    <w:rsid w:val="00ED07A1"/>
    <w:rsid w:val="00ED108B"/>
    <w:rsid w:val="00ED1FCB"/>
    <w:rsid w:val="00ED226A"/>
    <w:rsid w:val="00ED2387"/>
    <w:rsid w:val="00ED29C4"/>
    <w:rsid w:val="00ED2CCD"/>
    <w:rsid w:val="00ED2F80"/>
    <w:rsid w:val="00ED2F97"/>
    <w:rsid w:val="00ED3395"/>
    <w:rsid w:val="00ED3B9D"/>
    <w:rsid w:val="00ED4EA3"/>
    <w:rsid w:val="00ED5AFA"/>
    <w:rsid w:val="00ED62CE"/>
    <w:rsid w:val="00ED66D5"/>
    <w:rsid w:val="00ED68A1"/>
    <w:rsid w:val="00ED6A0C"/>
    <w:rsid w:val="00ED76F2"/>
    <w:rsid w:val="00ED7839"/>
    <w:rsid w:val="00ED7C8B"/>
    <w:rsid w:val="00ED7E08"/>
    <w:rsid w:val="00ED7E66"/>
    <w:rsid w:val="00EE0898"/>
    <w:rsid w:val="00EE091A"/>
    <w:rsid w:val="00EE0EDE"/>
    <w:rsid w:val="00EE1419"/>
    <w:rsid w:val="00EE15A5"/>
    <w:rsid w:val="00EE1D37"/>
    <w:rsid w:val="00EE2718"/>
    <w:rsid w:val="00EE2C42"/>
    <w:rsid w:val="00EE3023"/>
    <w:rsid w:val="00EE3086"/>
    <w:rsid w:val="00EE3264"/>
    <w:rsid w:val="00EE3A4B"/>
    <w:rsid w:val="00EE40EC"/>
    <w:rsid w:val="00EE4183"/>
    <w:rsid w:val="00EE4E0B"/>
    <w:rsid w:val="00EE5015"/>
    <w:rsid w:val="00EE52CE"/>
    <w:rsid w:val="00EE5548"/>
    <w:rsid w:val="00EE5E27"/>
    <w:rsid w:val="00EE5E51"/>
    <w:rsid w:val="00EE5F0C"/>
    <w:rsid w:val="00EE60CD"/>
    <w:rsid w:val="00EE60E9"/>
    <w:rsid w:val="00EE6220"/>
    <w:rsid w:val="00EE68A8"/>
    <w:rsid w:val="00EE740B"/>
    <w:rsid w:val="00EE74CC"/>
    <w:rsid w:val="00EF02A0"/>
    <w:rsid w:val="00EF062E"/>
    <w:rsid w:val="00EF08BB"/>
    <w:rsid w:val="00EF0F6D"/>
    <w:rsid w:val="00EF0FEE"/>
    <w:rsid w:val="00EF1C91"/>
    <w:rsid w:val="00EF23E1"/>
    <w:rsid w:val="00EF2992"/>
    <w:rsid w:val="00EF2E12"/>
    <w:rsid w:val="00EF2E65"/>
    <w:rsid w:val="00EF3012"/>
    <w:rsid w:val="00EF313E"/>
    <w:rsid w:val="00EF3795"/>
    <w:rsid w:val="00EF3BC6"/>
    <w:rsid w:val="00EF3CBB"/>
    <w:rsid w:val="00EF3D8C"/>
    <w:rsid w:val="00EF4114"/>
    <w:rsid w:val="00EF44A2"/>
    <w:rsid w:val="00EF453E"/>
    <w:rsid w:val="00EF4777"/>
    <w:rsid w:val="00EF4B51"/>
    <w:rsid w:val="00EF4C43"/>
    <w:rsid w:val="00EF4E06"/>
    <w:rsid w:val="00EF516B"/>
    <w:rsid w:val="00EF5411"/>
    <w:rsid w:val="00EF5C8E"/>
    <w:rsid w:val="00EF61E7"/>
    <w:rsid w:val="00EF63EA"/>
    <w:rsid w:val="00EF6EA7"/>
    <w:rsid w:val="00EF70A2"/>
    <w:rsid w:val="00EF7546"/>
    <w:rsid w:val="00EF77B2"/>
    <w:rsid w:val="00EF7A36"/>
    <w:rsid w:val="00EF7B0B"/>
    <w:rsid w:val="00EF7C2E"/>
    <w:rsid w:val="00EF7E04"/>
    <w:rsid w:val="00F001DC"/>
    <w:rsid w:val="00F00493"/>
    <w:rsid w:val="00F004E6"/>
    <w:rsid w:val="00F00694"/>
    <w:rsid w:val="00F00B34"/>
    <w:rsid w:val="00F00D40"/>
    <w:rsid w:val="00F01309"/>
    <w:rsid w:val="00F02042"/>
    <w:rsid w:val="00F020D6"/>
    <w:rsid w:val="00F02319"/>
    <w:rsid w:val="00F03C69"/>
    <w:rsid w:val="00F03F79"/>
    <w:rsid w:val="00F04C16"/>
    <w:rsid w:val="00F052CD"/>
    <w:rsid w:val="00F05533"/>
    <w:rsid w:val="00F05927"/>
    <w:rsid w:val="00F05DE6"/>
    <w:rsid w:val="00F06582"/>
    <w:rsid w:val="00F06C01"/>
    <w:rsid w:val="00F06C91"/>
    <w:rsid w:val="00F10206"/>
    <w:rsid w:val="00F104E2"/>
    <w:rsid w:val="00F10A3C"/>
    <w:rsid w:val="00F1195A"/>
    <w:rsid w:val="00F130A8"/>
    <w:rsid w:val="00F136C4"/>
    <w:rsid w:val="00F13CD2"/>
    <w:rsid w:val="00F143C0"/>
    <w:rsid w:val="00F14A5C"/>
    <w:rsid w:val="00F14BB6"/>
    <w:rsid w:val="00F15220"/>
    <w:rsid w:val="00F152BD"/>
    <w:rsid w:val="00F15806"/>
    <w:rsid w:val="00F163EE"/>
    <w:rsid w:val="00F16451"/>
    <w:rsid w:val="00F166C1"/>
    <w:rsid w:val="00F178E0"/>
    <w:rsid w:val="00F17AEA"/>
    <w:rsid w:val="00F17D81"/>
    <w:rsid w:val="00F208D2"/>
    <w:rsid w:val="00F20B3A"/>
    <w:rsid w:val="00F20CA3"/>
    <w:rsid w:val="00F20F31"/>
    <w:rsid w:val="00F214EA"/>
    <w:rsid w:val="00F219C6"/>
    <w:rsid w:val="00F21B2A"/>
    <w:rsid w:val="00F21F28"/>
    <w:rsid w:val="00F22112"/>
    <w:rsid w:val="00F227B4"/>
    <w:rsid w:val="00F22D71"/>
    <w:rsid w:val="00F22F0B"/>
    <w:rsid w:val="00F2313D"/>
    <w:rsid w:val="00F233F5"/>
    <w:rsid w:val="00F23915"/>
    <w:rsid w:val="00F23EA6"/>
    <w:rsid w:val="00F242EC"/>
    <w:rsid w:val="00F242FE"/>
    <w:rsid w:val="00F24406"/>
    <w:rsid w:val="00F25253"/>
    <w:rsid w:val="00F25789"/>
    <w:rsid w:val="00F25E7A"/>
    <w:rsid w:val="00F270F0"/>
    <w:rsid w:val="00F27B07"/>
    <w:rsid w:val="00F30E65"/>
    <w:rsid w:val="00F31074"/>
    <w:rsid w:val="00F31A57"/>
    <w:rsid w:val="00F31D05"/>
    <w:rsid w:val="00F321CD"/>
    <w:rsid w:val="00F323D4"/>
    <w:rsid w:val="00F3255F"/>
    <w:rsid w:val="00F327AD"/>
    <w:rsid w:val="00F32B3C"/>
    <w:rsid w:val="00F32E29"/>
    <w:rsid w:val="00F33164"/>
    <w:rsid w:val="00F33257"/>
    <w:rsid w:val="00F335D6"/>
    <w:rsid w:val="00F338FA"/>
    <w:rsid w:val="00F3432C"/>
    <w:rsid w:val="00F348FE"/>
    <w:rsid w:val="00F349A7"/>
    <w:rsid w:val="00F349FC"/>
    <w:rsid w:val="00F3518D"/>
    <w:rsid w:val="00F354C3"/>
    <w:rsid w:val="00F3562D"/>
    <w:rsid w:val="00F3574D"/>
    <w:rsid w:val="00F35CAC"/>
    <w:rsid w:val="00F35CB3"/>
    <w:rsid w:val="00F362D4"/>
    <w:rsid w:val="00F36312"/>
    <w:rsid w:val="00F364D9"/>
    <w:rsid w:val="00F366C8"/>
    <w:rsid w:val="00F366E8"/>
    <w:rsid w:val="00F36A37"/>
    <w:rsid w:val="00F37175"/>
    <w:rsid w:val="00F40893"/>
    <w:rsid w:val="00F40B46"/>
    <w:rsid w:val="00F40B6D"/>
    <w:rsid w:val="00F40C64"/>
    <w:rsid w:val="00F410A5"/>
    <w:rsid w:val="00F41ADC"/>
    <w:rsid w:val="00F41FCD"/>
    <w:rsid w:val="00F422BC"/>
    <w:rsid w:val="00F42365"/>
    <w:rsid w:val="00F427B0"/>
    <w:rsid w:val="00F427C6"/>
    <w:rsid w:val="00F42824"/>
    <w:rsid w:val="00F42BB6"/>
    <w:rsid w:val="00F4351F"/>
    <w:rsid w:val="00F43974"/>
    <w:rsid w:val="00F43BBC"/>
    <w:rsid w:val="00F43C78"/>
    <w:rsid w:val="00F442DE"/>
    <w:rsid w:val="00F446D4"/>
    <w:rsid w:val="00F4481C"/>
    <w:rsid w:val="00F44D58"/>
    <w:rsid w:val="00F45055"/>
    <w:rsid w:val="00F45BDF"/>
    <w:rsid w:val="00F45CD4"/>
    <w:rsid w:val="00F45E12"/>
    <w:rsid w:val="00F45E5C"/>
    <w:rsid w:val="00F45EE0"/>
    <w:rsid w:val="00F45F38"/>
    <w:rsid w:val="00F46178"/>
    <w:rsid w:val="00F463C9"/>
    <w:rsid w:val="00F46413"/>
    <w:rsid w:val="00F4658E"/>
    <w:rsid w:val="00F4665F"/>
    <w:rsid w:val="00F467C0"/>
    <w:rsid w:val="00F4681E"/>
    <w:rsid w:val="00F472F2"/>
    <w:rsid w:val="00F47382"/>
    <w:rsid w:val="00F4763D"/>
    <w:rsid w:val="00F47656"/>
    <w:rsid w:val="00F47DDE"/>
    <w:rsid w:val="00F5024F"/>
    <w:rsid w:val="00F50CFA"/>
    <w:rsid w:val="00F511C8"/>
    <w:rsid w:val="00F51C86"/>
    <w:rsid w:val="00F51D8E"/>
    <w:rsid w:val="00F51F47"/>
    <w:rsid w:val="00F52360"/>
    <w:rsid w:val="00F5286D"/>
    <w:rsid w:val="00F52B41"/>
    <w:rsid w:val="00F52C96"/>
    <w:rsid w:val="00F532B7"/>
    <w:rsid w:val="00F53B4B"/>
    <w:rsid w:val="00F53DD2"/>
    <w:rsid w:val="00F5410E"/>
    <w:rsid w:val="00F5412C"/>
    <w:rsid w:val="00F5458E"/>
    <w:rsid w:val="00F54970"/>
    <w:rsid w:val="00F54C27"/>
    <w:rsid w:val="00F54E3D"/>
    <w:rsid w:val="00F55029"/>
    <w:rsid w:val="00F55B2D"/>
    <w:rsid w:val="00F55DCD"/>
    <w:rsid w:val="00F55EEE"/>
    <w:rsid w:val="00F55FE3"/>
    <w:rsid w:val="00F5607B"/>
    <w:rsid w:val="00F563AA"/>
    <w:rsid w:val="00F5658E"/>
    <w:rsid w:val="00F56A2B"/>
    <w:rsid w:val="00F56B12"/>
    <w:rsid w:val="00F578CE"/>
    <w:rsid w:val="00F57B13"/>
    <w:rsid w:val="00F57BAB"/>
    <w:rsid w:val="00F57D00"/>
    <w:rsid w:val="00F57F08"/>
    <w:rsid w:val="00F600EA"/>
    <w:rsid w:val="00F609FD"/>
    <w:rsid w:val="00F60D02"/>
    <w:rsid w:val="00F6102E"/>
    <w:rsid w:val="00F6149E"/>
    <w:rsid w:val="00F6171D"/>
    <w:rsid w:val="00F61FFB"/>
    <w:rsid w:val="00F628F9"/>
    <w:rsid w:val="00F62E97"/>
    <w:rsid w:val="00F62FBC"/>
    <w:rsid w:val="00F62FFA"/>
    <w:rsid w:val="00F638CB"/>
    <w:rsid w:val="00F63958"/>
    <w:rsid w:val="00F63DDD"/>
    <w:rsid w:val="00F649C7"/>
    <w:rsid w:val="00F65198"/>
    <w:rsid w:val="00F6560A"/>
    <w:rsid w:val="00F65D6C"/>
    <w:rsid w:val="00F661C7"/>
    <w:rsid w:val="00F663D4"/>
    <w:rsid w:val="00F66B2E"/>
    <w:rsid w:val="00F66CD0"/>
    <w:rsid w:val="00F671D4"/>
    <w:rsid w:val="00F67288"/>
    <w:rsid w:val="00F6769E"/>
    <w:rsid w:val="00F67B9F"/>
    <w:rsid w:val="00F7156A"/>
    <w:rsid w:val="00F7195E"/>
    <w:rsid w:val="00F71C01"/>
    <w:rsid w:val="00F7289F"/>
    <w:rsid w:val="00F72CC7"/>
    <w:rsid w:val="00F72CF8"/>
    <w:rsid w:val="00F72D46"/>
    <w:rsid w:val="00F73191"/>
    <w:rsid w:val="00F7381B"/>
    <w:rsid w:val="00F74230"/>
    <w:rsid w:val="00F743E3"/>
    <w:rsid w:val="00F7477C"/>
    <w:rsid w:val="00F74ADF"/>
    <w:rsid w:val="00F74C80"/>
    <w:rsid w:val="00F74D11"/>
    <w:rsid w:val="00F75504"/>
    <w:rsid w:val="00F77857"/>
    <w:rsid w:val="00F77F2C"/>
    <w:rsid w:val="00F77FB7"/>
    <w:rsid w:val="00F77FB8"/>
    <w:rsid w:val="00F80123"/>
    <w:rsid w:val="00F80615"/>
    <w:rsid w:val="00F80DC6"/>
    <w:rsid w:val="00F81098"/>
    <w:rsid w:val="00F813B9"/>
    <w:rsid w:val="00F81C59"/>
    <w:rsid w:val="00F81E45"/>
    <w:rsid w:val="00F821C4"/>
    <w:rsid w:val="00F82B7C"/>
    <w:rsid w:val="00F837C0"/>
    <w:rsid w:val="00F83D16"/>
    <w:rsid w:val="00F8408C"/>
    <w:rsid w:val="00F84139"/>
    <w:rsid w:val="00F84310"/>
    <w:rsid w:val="00F845F8"/>
    <w:rsid w:val="00F84F84"/>
    <w:rsid w:val="00F850BF"/>
    <w:rsid w:val="00F85264"/>
    <w:rsid w:val="00F85787"/>
    <w:rsid w:val="00F85824"/>
    <w:rsid w:val="00F8591E"/>
    <w:rsid w:val="00F85A88"/>
    <w:rsid w:val="00F86027"/>
    <w:rsid w:val="00F860BD"/>
    <w:rsid w:val="00F864F2"/>
    <w:rsid w:val="00F86C2B"/>
    <w:rsid w:val="00F86F83"/>
    <w:rsid w:val="00F87469"/>
    <w:rsid w:val="00F874FE"/>
    <w:rsid w:val="00F90457"/>
    <w:rsid w:val="00F9097E"/>
    <w:rsid w:val="00F909DB"/>
    <w:rsid w:val="00F9195B"/>
    <w:rsid w:val="00F91E68"/>
    <w:rsid w:val="00F92D8A"/>
    <w:rsid w:val="00F933A4"/>
    <w:rsid w:val="00F93A07"/>
    <w:rsid w:val="00F9434C"/>
    <w:rsid w:val="00F94D74"/>
    <w:rsid w:val="00F94E51"/>
    <w:rsid w:val="00F95AF6"/>
    <w:rsid w:val="00F95DF6"/>
    <w:rsid w:val="00F963A1"/>
    <w:rsid w:val="00F963E1"/>
    <w:rsid w:val="00F969C5"/>
    <w:rsid w:val="00F96BCD"/>
    <w:rsid w:val="00F96E69"/>
    <w:rsid w:val="00F9737E"/>
    <w:rsid w:val="00F973DA"/>
    <w:rsid w:val="00F97A4D"/>
    <w:rsid w:val="00FA0189"/>
    <w:rsid w:val="00FA032E"/>
    <w:rsid w:val="00FA0946"/>
    <w:rsid w:val="00FA0B2E"/>
    <w:rsid w:val="00FA0E6B"/>
    <w:rsid w:val="00FA1550"/>
    <w:rsid w:val="00FA1E14"/>
    <w:rsid w:val="00FA2E2A"/>
    <w:rsid w:val="00FA2F0A"/>
    <w:rsid w:val="00FA353A"/>
    <w:rsid w:val="00FA3F12"/>
    <w:rsid w:val="00FA4117"/>
    <w:rsid w:val="00FA42A7"/>
    <w:rsid w:val="00FA43FF"/>
    <w:rsid w:val="00FA49BC"/>
    <w:rsid w:val="00FA4B4A"/>
    <w:rsid w:val="00FA5165"/>
    <w:rsid w:val="00FA560A"/>
    <w:rsid w:val="00FA56A0"/>
    <w:rsid w:val="00FA5E94"/>
    <w:rsid w:val="00FA5F89"/>
    <w:rsid w:val="00FA600D"/>
    <w:rsid w:val="00FA6727"/>
    <w:rsid w:val="00FA6CC3"/>
    <w:rsid w:val="00FA6F38"/>
    <w:rsid w:val="00FA78C7"/>
    <w:rsid w:val="00FA7E12"/>
    <w:rsid w:val="00FB0A73"/>
    <w:rsid w:val="00FB0E34"/>
    <w:rsid w:val="00FB0EFE"/>
    <w:rsid w:val="00FB10F0"/>
    <w:rsid w:val="00FB1168"/>
    <w:rsid w:val="00FB1CA7"/>
    <w:rsid w:val="00FB2B4A"/>
    <w:rsid w:val="00FB2DEB"/>
    <w:rsid w:val="00FB3367"/>
    <w:rsid w:val="00FB33C6"/>
    <w:rsid w:val="00FB394F"/>
    <w:rsid w:val="00FB3B18"/>
    <w:rsid w:val="00FB3B88"/>
    <w:rsid w:val="00FB4276"/>
    <w:rsid w:val="00FB4749"/>
    <w:rsid w:val="00FB4855"/>
    <w:rsid w:val="00FB4D74"/>
    <w:rsid w:val="00FB4E0C"/>
    <w:rsid w:val="00FB5BF7"/>
    <w:rsid w:val="00FB6759"/>
    <w:rsid w:val="00FB6A3A"/>
    <w:rsid w:val="00FB78AD"/>
    <w:rsid w:val="00FB7E70"/>
    <w:rsid w:val="00FC0378"/>
    <w:rsid w:val="00FC06D6"/>
    <w:rsid w:val="00FC0BC7"/>
    <w:rsid w:val="00FC0D6B"/>
    <w:rsid w:val="00FC11FB"/>
    <w:rsid w:val="00FC1218"/>
    <w:rsid w:val="00FC131C"/>
    <w:rsid w:val="00FC174C"/>
    <w:rsid w:val="00FC182F"/>
    <w:rsid w:val="00FC1A3F"/>
    <w:rsid w:val="00FC1FD9"/>
    <w:rsid w:val="00FC2021"/>
    <w:rsid w:val="00FC20D5"/>
    <w:rsid w:val="00FC20DA"/>
    <w:rsid w:val="00FC21C1"/>
    <w:rsid w:val="00FC2EBC"/>
    <w:rsid w:val="00FC2F51"/>
    <w:rsid w:val="00FC30AA"/>
    <w:rsid w:val="00FC3B97"/>
    <w:rsid w:val="00FC404A"/>
    <w:rsid w:val="00FC4E50"/>
    <w:rsid w:val="00FC4E62"/>
    <w:rsid w:val="00FC51BF"/>
    <w:rsid w:val="00FC5FEB"/>
    <w:rsid w:val="00FC60A1"/>
    <w:rsid w:val="00FC67A3"/>
    <w:rsid w:val="00FC6844"/>
    <w:rsid w:val="00FC7002"/>
    <w:rsid w:val="00FD0218"/>
    <w:rsid w:val="00FD03DC"/>
    <w:rsid w:val="00FD06A3"/>
    <w:rsid w:val="00FD09EE"/>
    <w:rsid w:val="00FD0A55"/>
    <w:rsid w:val="00FD0EE0"/>
    <w:rsid w:val="00FD0F80"/>
    <w:rsid w:val="00FD11C2"/>
    <w:rsid w:val="00FD2005"/>
    <w:rsid w:val="00FD201B"/>
    <w:rsid w:val="00FD20E2"/>
    <w:rsid w:val="00FD21BC"/>
    <w:rsid w:val="00FD272C"/>
    <w:rsid w:val="00FD274B"/>
    <w:rsid w:val="00FD321B"/>
    <w:rsid w:val="00FD3711"/>
    <w:rsid w:val="00FD39A6"/>
    <w:rsid w:val="00FD3D33"/>
    <w:rsid w:val="00FD3F28"/>
    <w:rsid w:val="00FD3F3A"/>
    <w:rsid w:val="00FD48BE"/>
    <w:rsid w:val="00FD4CE5"/>
    <w:rsid w:val="00FD4D90"/>
    <w:rsid w:val="00FD5141"/>
    <w:rsid w:val="00FD67F0"/>
    <w:rsid w:val="00FD6C5D"/>
    <w:rsid w:val="00FD6E74"/>
    <w:rsid w:val="00FD70E0"/>
    <w:rsid w:val="00FE090D"/>
    <w:rsid w:val="00FE0981"/>
    <w:rsid w:val="00FE0C5D"/>
    <w:rsid w:val="00FE0C8F"/>
    <w:rsid w:val="00FE2875"/>
    <w:rsid w:val="00FE3863"/>
    <w:rsid w:val="00FE4EF2"/>
    <w:rsid w:val="00FE4FED"/>
    <w:rsid w:val="00FE55A4"/>
    <w:rsid w:val="00FE570D"/>
    <w:rsid w:val="00FE5917"/>
    <w:rsid w:val="00FE5BD0"/>
    <w:rsid w:val="00FE64C2"/>
    <w:rsid w:val="00FE6B6A"/>
    <w:rsid w:val="00FE75B4"/>
    <w:rsid w:val="00FE7614"/>
    <w:rsid w:val="00FE779E"/>
    <w:rsid w:val="00FE793B"/>
    <w:rsid w:val="00FE7C69"/>
    <w:rsid w:val="00FE7FAE"/>
    <w:rsid w:val="00FF05F1"/>
    <w:rsid w:val="00FF0629"/>
    <w:rsid w:val="00FF1FD7"/>
    <w:rsid w:val="00FF20ED"/>
    <w:rsid w:val="00FF27A0"/>
    <w:rsid w:val="00FF2A73"/>
    <w:rsid w:val="00FF2ADC"/>
    <w:rsid w:val="00FF2F0B"/>
    <w:rsid w:val="00FF308E"/>
    <w:rsid w:val="00FF312E"/>
    <w:rsid w:val="00FF35FB"/>
    <w:rsid w:val="00FF409E"/>
    <w:rsid w:val="00FF43A2"/>
    <w:rsid w:val="00FF4654"/>
    <w:rsid w:val="00FF49BD"/>
    <w:rsid w:val="00FF4DE1"/>
    <w:rsid w:val="00FF51AC"/>
    <w:rsid w:val="00FF5322"/>
    <w:rsid w:val="00FF5AD3"/>
    <w:rsid w:val="00FF63F5"/>
    <w:rsid w:val="00FF65FC"/>
    <w:rsid w:val="00FF690E"/>
    <w:rsid w:val="00FF6BF9"/>
    <w:rsid w:val="00FF6C09"/>
    <w:rsid w:val="00FF6E93"/>
    <w:rsid w:val="00FF741F"/>
    <w:rsid w:val="00FF7D97"/>
    <w:rsid w:val="316C4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894811D"/>
  <w15:docId w15:val="{F73CD3AA-D896-4303-A9F3-65BC32FB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unhideWhenUsed="1" w:qFormat="1"/>
    <w:lsdException w:name="heading 8" w:locked="1"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433A9"/>
    <w:pPr>
      <w:jc w:val="both"/>
    </w:pPr>
    <w:rPr>
      <w:sz w:val="22"/>
      <w:szCs w:val="22"/>
    </w:rPr>
  </w:style>
  <w:style w:type="paragraph" w:styleId="Heading1">
    <w:name w:val="heading 1"/>
    <w:basedOn w:val="HEADER001"/>
    <w:next w:val="Normal"/>
    <w:link w:val="Heading1Char"/>
    <w:uiPriority w:val="99"/>
    <w:qFormat/>
    <w:rsid w:val="00472B27"/>
    <w:rPr>
      <w:b w:val="0"/>
      <w:sz w:val="32"/>
    </w:rPr>
  </w:style>
  <w:style w:type="paragraph" w:styleId="Heading2">
    <w:name w:val="heading 2"/>
    <w:basedOn w:val="HEADER002"/>
    <w:next w:val="Normal"/>
    <w:link w:val="Heading2Char"/>
    <w:uiPriority w:val="99"/>
    <w:qFormat/>
    <w:rsid w:val="00472B27"/>
    <w:rPr>
      <w:caps/>
      <w:smallCaps w:val="0"/>
      <w:sz w:val="22"/>
    </w:rPr>
  </w:style>
  <w:style w:type="paragraph" w:styleId="Heading3">
    <w:name w:val="heading 3"/>
    <w:basedOn w:val="HEADER003"/>
    <w:next w:val="Normal"/>
    <w:link w:val="Heading3Char"/>
    <w:uiPriority w:val="99"/>
    <w:qFormat/>
    <w:rsid w:val="004425A9"/>
    <w:pPr>
      <w:numPr>
        <w:ilvl w:val="2"/>
        <w:numId w:val="9"/>
      </w:numPr>
    </w:pPr>
  </w:style>
  <w:style w:type="paragraph" w:styleId="Heading4">
    <w:name w:val="heading 4"/>
    <w:basedOn w:val="HEADER004"/>
    <w:next w:val="Normal"/>
    <w:link w:val="Heading4Char"/>
    <w:uiPriority w:val="99"/>
    <w:qFormat/>
    <w:rsid w:val="00FF1FD7"/>
  </w:style>
  <w:style w:type="paragraph" w:styleId="Heading5">
    <w:name w:val="heading 5"/>
    <w:basedOn w:val="HEADER005"/>
    <w:next w:val="Normal"/>
    <w:link w:val="Heading5Char"/>
    <w:uiPriority w:val="99"/>
    <w:qFormat/>
    <w:rsid w:val="0022503E"/>
  </w:style>
  <w:style w:type="paragraph" w:styleId="Heading6">
    <w:name w:val="heading 6"/>
    <w:basedOn w:val="Normal"/>
    <w:next w:val="Normal"/>
    <w:link w:val="Heading6Char"/>
    <w:uiPriority w:val="99"/>
    <w:qFormat/>
    <w:rsid w:val="0022503E"/>
    <w:pPr>
      <w:keepNext/>
      <w:keepLines/>
      <w:numPr>
        <w:ilvl w:val="5"/>
        <w:numId w:val="1"/>
      </w:numPr>
      <w:spacing w:before="200"/>
      <w:outlineLvl w:val="5"/>
    </w:pPr>
    <w:rPr>
      <w:rFonts w:ascii="Century Gothic" w:hAnsi="Century Gothic"/>
      <w:i/>
      <w:iCs/>
      <w:color w:val="448A99"/>
      <w:sz w:val="20"/>
      <w:szCs w:val="20"/>
    </w:rPr>
  </w:style>
  <w:style w:type="paragraph" w:styleId="Heading7">
    <w:name w:val="heading 7"/>
    <w:basedOn w:val="Normal"/>
    <w:next w:val="Normal"/>
    <w:link w:val="Heading7Char"/>
    <w:uiPriority w:val="99"/>
    <w:qFormat/>
    <w:rsid w:val="000A591C"/>
    <w:pPr>
      <w:keepNext/>
      <w:keepLines/>
      <w:numPr>
        <w:ilvl w:val="6"/>
        <w:numId w:val="1"/>
      </w:numPr>
      <w:spacing w:before="200"/>
      <w:outlineLvl w:val="6"/>
    </w:pPr>
    <w:rPr>
      <w:rFonts w:ascii="Cambria" w:hAnsi="Cambria"/>
      <w:i/>
      <w:iCs/>
      <w:color w:val="404040"/>
      <w:szCs w:val="20"/>
    </w:rPr>
  </w:style>
  <w:style w:type="paragraph" w:styleId="Heading8">
    <w:name w:val="heading 8"/>
    <w:basedOn w:val="Normal"/>
    <w:next w:val="Normal"/>
    <w:link w:val="Heading8Char"/>
    <w:uiPriority w:val="99"/>
    <w:qFormat/>
    <w:rsid w:val="000A591C"/>
    <w:pPr>
      <w:keepNext/>
      <w:keepLines/>
      <w:numPr>
        <w:ilvl w:val="7"/>
        <w:numId w:val="1"/>
      </w:numPr>
      <w:spacing w:before="200"/>
      <w:outlineLvl w:val="7"/>
    </w:pPr>
    <w:rPr>
      <w:rFonts w:ascii="Cambria" w:hAnsi="Cambria"/>
      <w:color w:val="404040"/>
      <w:szCs w:val="20"/>
    </w:rPr>
  </w:style>
  <w:style w:type="paragraph" w:styleId="Heading9">
    <w:name w:val="heading 9"/>
    <w:basedOn w:val="Normal"/>
    <w:next w:val="Normal"/>
    <w:link w:val="Heading9Char"/>
    <w:unhideWhenUsed/>
    <w:qFormat/>
    <w:locked/>
    <w:rsid w:val="0022503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72B27"/>
    <w:rPr>
      <w:rFonts w:ascii="Century Gothic" w:eastAsiaTheme="minorHAnsi" w:hAnsi="Century Gothic" w:cstheme="minorBidi"/>
      <w:smallCaps/>
      <w:color w:val="FFFFFF" w:themeColor="background1"/>
      <w:sz w:val="32"/>
      <w:szCs w:val="22"/>
      <w:shd w:val="clear" w:color="auto" w:fill="448A99"/>
    </w:rPr>
  </w:style>
  <w:style w:type="character" w:customStyle="1" w:styleId="Heading2Char">
    <w:name w:val="Heading 2 Char"/>
    <w:link w:val="Heading2"/>
    <w:uiPriority w:val="99"/>
    <w:locked/>
    <w:rsid w:val="00472B27"/>
    <w:rPr>
      <w:rFonts w:ascii="Century Gothic" w:eastAsiaTheme="minorHAnsi" w:hAnsi="Century Gothic" w:cstheme="minorBidi"/>
      <w:b/>
      <w:caps/>
      <w:sz w:val="22"/>
      <w:szCs w:val="22"/>
    </w:rPr>
  </w:style>
  <w:style w:type="character" w:customStyle="1" w:styleId="Heading3Char">
    <w:name w:val="Heading 3 Char"/>
    <w:link w:val="Heading3"/>
    <w:uiPriority w:val="99"/>
    <w:locked/>
    <w:rsid w:val="004425A9"/>
    <w:rPr>
      <w:rFonts w:ascii="Century Gothic" w:eastAsiaTheme="minorHAnsi" w:hAnsi="Century Gothic" w:cstheme="minorBidi"/>
      <w:b/>
      <w:color w:val="448A99"/>
      <w:sz w:val="22"/>
      <w:szCs w:val="22"/>
    </w:rPr>
  </w:style>
  <w:style w:type="character" w:customStyle="1" w:styleId="Heading4Char">
    <w:name w:val="Heading 4 Char"/>
    <w:link w:val="Heading4"/>
    <w:uiPriority w:val="99"/>
    <w:locked/>
    <w:rsid w:val="00FF1FD7"/>
    <w:rPr>
      <w:rFonts w:ascii="Century Gothic" w:eastAsiaTheme="minorHAnsi" w:hAnsi="Century Gothic" w:cstheme="minorBidi"/>
      <w:b/>
      <w:i/>
      <w:szCs w:val="22"/>
    </w:rPr>
  </w:style>
  <w:style w:type="character" w:customStyle="1" w:styleId="Heading5Char">
    <w:name w:val="Heading 5 Char"/>
    <w:link w:val="Heading5"/>
    <w:uiPriority w:val="99"/>
    <w:locked/>
    <w:rsid w:val="0022503E"/>
    <w:rPr>
      <w:rFonts w:ascii="Century Gothic" w:eastAsiaTheme="minorHAnsi" w:hAnsi="Century Gothic" w:cstheme="minorBidi"/>
      <w:i/>
      <w:sz w:val="22"/>
      <w:szCs w:val="22"/>
    </w:rPr>
  </w:style>
  <w:style w:type="character" w:customStyle="1" w:styleId="Heading6Char">
    <w:name w:val="Heading 6 Char"/>
    <w:link w:val="Heading6"/>
    <w:uiPriority w:val="99"/>
    <w:locked/>
    <w:rsid w:val="0022503E"/>
    <w:rPr>
      <w:rFonts w:ascii="Century Gothic" w:hAnsi="Century Gothic"/>
      <w:i/>
      <w:iCs/>
      <w:color w:val="448A99"/>
    </w:rPr>
  </w:style>
  <w:style w:type="character" w:customStyle="1" w:styleId="Heading7Char">
    <w:name w:val="Heading 7 Char"/>
    <w:link w:val="Heading7"/>
    <w:uiPriority w:val="99"/>
    <w:locked/>
    <w:rsid w:val="000A591C"/>
    <w:rPr>
      <w:rFonts w:ascii="Cambria" w:hAnsi="Cambria"/>
      <w:i/>
      <w:iCs/>
      <w:color w:val="404040"/>
      <w:sz w:val="22"/>
    </w:rPr>
  </w:style>
  <w:style w:type="character" w:customStyle="1" w:styleId="Heading8Char">
    <w:name w:val="Heading 8 Char"/>
    <w:link w:val="Heading8"/>
    <w:uiPriority w:val="99"/>
    <w:locked/>
    <w:rsid w:val="000A591C"/>
    <w:rPr>
      <w:rFonts w:ascii="Cambria" w:hAnsi="Cambria"/>
      <w:color w:val="404040"/>
      <w:sz w:val="22"/>
    </w:rPr>
  </w:style>
  <w:style w:type="paragraph" w:styleId="ListParagraph">
    <w:name w:val="List Paragraph"/>
    <w:aliases w:val="TOC etc."/>
    <w:basedOn w:val="Normal"/>
    <w:link w:val="ListParagraphChar"/>
    <w:uiPriority w:val="34"/>
    <w:qFormat/>
    <w:rsid w:val="000A591C"/>
    <w:pPr>
      <w:ind w:left="720"/>
      <w:contextualSpacing/>
    </w:pPr>
    <w:rPr>
      <w:szCs w:val="20"/>
    </w:rPr>
  </w:style>
  <w:style w:type="paragraph" w:styleId="Title">
    <w:name w:val="Title"/>
    <w:basedOn w:val="Normal"/>
    <w:next w:val="Normal"/>
    <w:link w:val="TitleChar"/>
    <w:uiPriority w:val="10"/>
    <w:rsid w:val="004F38A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locked/>
    <w:rsid w:val="004F38A9"/>
    <w:rPr>
      <w:rFonts w:ascii="Cambria" w:hAnsi="Cambria" w:cs="Times New Roman"/>
      <w:color w:val="17365D"/>
      <w:spacing w:val="5"/>
      <w:kern w:val="28"/>
      <w:sz w:val="52"/>
      <w:szCs w:val="52"/>
    </w:rPr>
  </w:style>
  <w:style w:type="paragraph" w:styleId="Caption">
    <w:name w:val="caption"/>
    <w:aliases w:val="Caption Char,Table Caption,Char,Figure, Char,caption"/>
    <w:basedOn w:val="Normal"/>
    <w:next w:val="Normal"/>
    <w:link w:val="CaptionChar1"/>
    <w:qFormat/>
    <w:rsid w:val="009340AB"/>
    <w:pPr>
      <w:spacing w:after="120"/>
      <w:jc w:val="center"/>
    </w:pPr>
    <w:rPr>
      <w:rFonts w:ascii="Century Gothic" w:hAnsi="Century Gothic"/>
      <w:b/>
      <w:bCs/>
      <w:sz w:val="18"/>
      <w:szCs w:val="18"/>
    </w:rPr>
  </w:style>
  <w:style w:type="character" w:styleId="CommentReference">
    <w:name w:val="annotation reference"/>
    <w:uiPriority w:val="99"/>
    <w:rsid w:val="00B96DB3"/>
    <w:rPr>
      <w:rFonts w:cs="Times New Roman"/>
      <w:sz w:val="16"/>
      <w:szCs w:val="16"/>
    </w:rPr>
  </w:style>
  <w:style w:type="paragraph" w:styleId="CommentText">
    <w:name w:val="annotation text"/>
    <w:basedOn w:val="Normal"/>
    <w:link w:val="CommentTextChar"/>
    <w:uiPriority w:val="99"/>
    <w:rsid w:val="00B96DB3"/>
    <w:rPr>
      <w:sz w:val="20"/>
      <w:szCs w:val="20"/>
    </w:rPr>
  </w:style>
  <w:style w:type="character" w:customStyle="1" w:styleId="CommentTextChar">
    <w:name w:val="Comment Text Char"/>
    <w:link w:val="CommentText"/>
    <w:uiPriority w:val="99"/>
    <w:locked/>
    <w:rsid w:val="00B96DB3"/>
    <w:rPr>
      <w:rFonts w:cs="Times New Roman"/>
      <w:sz w:val="20"/>
      <w:szCs w:val="20"/>
    </w:rPr>
  </w:style>
  <w:style w:type="paragraph" w:styleId="CommentSubject">
    <w:name w:val="annotation subject"/>
    <w:basedOn w:val="CommentText"/>
    <w:next w:val="CommentText"/>
    <w:link w:val="CommentSubjectChar"/>
    <w:uiPriority w:val="99"/>
    <w:semiHidden/>
    <w:rsid w:val="00B96DB3"/>
    <w:rPr>
      <w:b/>
      <w:bCs/>
    </w:rPr>
  </w:style>
  <w:style w:type="character" w:customStyle="1" w:styleId="CommentSubjectChar">
    <w:name w:val="Comment Subject Char"/>
    <w:link w:val="CommentSubject"/>
    <w:uiPriority w:val="99"/>
    <w:semiHidden/>
    <w:locked/>
    <w:rsid w:val="00B96DB3"/>
    <w:rPr>
      <w:rFonts w:cs="Times New Roman"/>
      <w:b/>
      <w:bCs/>
      <w:sz w:val="20"/>
      <w:szCs w:val="20"/>
    </w:rPr>
  </w:style>
  <w:style w:type="paragraph" w:styleId="BalloonText">
    <w:name w:val="Balloon Text"/>
    <w:basedOn w:val="Normal"/>
    <w:link w:val="BalloonTextChar"/>
    <w:uiPriority w:val="99"/>
    <w:semiHidden/>
    <w:rsid w:val="00B96DB3"/>
    <w:rPr>
      <w:rFonts w:ascii="Tahoma" w:hAnsi="Tahoma"/>
      <w:sz w:val="16"/>
      <w:szCs w:val="16"/>
    </w:rPr>
  </w:style>
  <w:style w:type="character" w:customStyle="1" w:styleId="BalloonTextChar">
    <w:name w:val="Balloon Text Char"/>
    <w:link w:val="BalloonText"/>
    <w:uiPriority w:val="99"/>
    <w:semiHidden/>
    <w:locked/>
    <w:rsid w:val="00B96DB3"/>
    <w:rPr>
      <w:rFonts w:ascii="Tahoma" w:hAnsi="Tahoma" w:cs="Tahoma"/>
      <w:sz w:val="16"/>
      <w:szCs w:val="16"/>
    </w:rPr>
  </w:style>
  <w:style w:type="paragraph" w:styleId="FootnoteText">
    <w:name w:val="footnote text"/>
    <w:aliases w:val="Footnote Text1 Char,Footnote Text Char Ch Char Char Char,Footnote Text Char Ch Char Char,Footnote Text1 Char Char Char,Footnote Text Char Ch Char,Footnote Text Char Ch,ALTS FOOTNOTE,fn,Footnote Text 2,Footnote text,FOOTNOTE,fn Char,ft Char"/>
    <w:basedOn w:val="Normal"/>
    <w:link w:val="FootnoteTextChar"/>
    <w:uiPriority w:val="99"/>
    <w:qFormat/>
    <w:rsid w:val="00454B08"/>
    <w:rPr>
      <w:sz w:val="20"/>
      <w:szCs w:val="20"/>
    </w:rPr>
  </w:style>
  <w:style w:type="character" w:customStyle="1" w:styleId="FootnoteTextChar">
    <w:name w:val="Footnote Text Char"/>
    <w:aliases w:val="Footnote Text1 Char Char,Footnote Text Char Ch Char Char Char Char,Footnote Text Char Ch Char Char Char1,Footnote Text1 Char Char Char Char,Footnote Text Char Ch Char Char1,Footnote Text Char Ch Char1,ALTS FOOTNOTE Char,fn Char1"/>
    <w:link w:val="FootnoteText"/>
    <w:uiPriority w:val="99"/>
    <w:locked/>
    <w:rsid w:val="00454B08"/>
    <w:rPr>
      <w:rFonts w:cs="Times New Roman"/>
      <w:sz w:val="20"/>
      <w:szCs w:val="20"/>
    </w:rPr>
  </w:style>
  <w:style w:type="character" w:styleId="FootnoteReference">
    <w:name w:val="footnote reference"/>
    <w:aliases w:val="o,fr,Footnote_Reference,Char Char Char Char,o1,o2,o3,o4,o5,o6,o11,o21,o7"/>
    <w:uiPriority w:val="99"/>
    <w:qFormat/>
    <w:rsid w:val="00454B08"/>
    <w:rPr>
      <w:rFonts w:cs="Times New Roman"/>
      <w:vertAlign w:val="superscript"/>
    </w:rPr>
  </w:style>
  <w:style w:type="paragraph" w:customStyle="1" w:styleId="Default">
    <w:name w:val="Default"/>
    <w:rsid w:val="00975B13"/>
    <w:pPr>
      <w:autoSpaceDE w:val="0"/>
      <w:autoSpaceDN w:val="0"/>
      <w:adjustRightInd w:val="0"/>
    </w:pPr>
    <w:rPr>
      <w:rFonts w:cs="Calibri"/>
      <w:color w:val="000000"/>
      <w:sz w:val="24"/>
      <w:szCs w:val="24"/>
    </w:rPr>
  </w:style>
  <w:style w:type="paragraph" w:styleId="Header">
    <w:name w:val="header"/>
    <w:basedOn w:val="Normal"/>
    <w:link w:val="HeaderChar"/>
    <w:uiPriority w:val="99"/>
    <w:rsid w:val="008B2520"/>
    <w:pPr>
      <w:tabs>
        <w:tab w:val="center" w:pos="4680"/>
        <w:tab w:val="right" w:pos="9360"/>
      </w:tabs>
    </w:pPr>
    <w:rPr>
      <w:sz w:val="20"/>
      <w:szCs w:val="20"/>
    </w:rPr>
  </w:style>
  <w:style w:type="character" w:customStyle="1" w:styleId="HeaderChar">
    <w:name w:val="Header Char"/>
    <w:link w:val="Header"/>
    <w:uiPriority w:val="99"/>
    <w:locked/>
    <w:rsid w:val="008B2520"/>
    <w:rPr>
      <w:rFonts w:cs="Times New Roman"/>
    </w:rPr>
  </w:style>
  <w:style w:type="paragraph" w:styleId="Footer">
    <w:name w:val="footer"/>
    <w:basedOn w:val="Normal"/>
    <w:link w:val="FooterChar"/>
    <w:uiPriority w:val="99"/>
    <w:rsid w:val="008B2520"/>
    <w:pPr>
      <w:tabs>
        <w:tab w:val="center" w:pos="4680"/>
        <w:tab w:val="right" w:pos="9360"/>
      </w:tabs>
    </w:pPr>
    <w:rPr>
      <w:sz w:val="20"/>
      <w:szCs w:val="20"/>
    </w:rPr>
  </w:style>
  <w:style w:type="character" w:customStyle="1" w:styleId="FooterChar">
    <w:name w:val="Footer Char"/>
    <w:link w:val="Footer"/>
    <w:uiPriority w:val="99"/>
    <w:locked/>
    <w:rsid w:val="008B2520"/>
    <w:rPr>
      <w:rFonts w:cs="Times New Roman"/>
    </w:rPr>
  </w:style>
  <w:style w:type="paragraph" w:styleId="TOC1">
    <w:name w:val="toc 1"/>
    <w:basedOn w:val="Normal"/>
    <w:next w:val="Normal"/>
    <w:autoRedefine/>
    <w:uiPriority w:val="39"/>
    <w:qFormat/>
    <w:rsid w:val="00186590"/>
    <w:pPr>
      <w:tabs>
        <w:tab w:val="right" w:leader="dot" w:pos="9350"/>
      </w:tabs>
      <w:spacing w:before="120" w:after="120"/>
      <w:jc w:val="left"/>
    </w:pPr>
    <w:rPr>
      <w:rFonts w:asciiTheme="minorHAnsi" w:hAnsiTheme="minorHAnsi"/>
      <w:b/>
      <w:bCs/>
      <w:caps/>
      <w:sz w:val="20"/>
      <w:szCs w:val="20"/>
    </w:rPr>
  </w:style>
  <w:style w:type="paragraph" w:styleId="TOC2">
    <w:name w:val="toc 2"/>
    <w:basedOn w:val="Normal"/>
    <w:next w:val="Normal"/>
    <w:autoRedefine/>
    <w:uiPriority w:val="39"/>
    <w:qFormat/>
    <w:rsid w:val="00E7173E"/>
    <w:pPr>
      <w:tabs>
        <w:tab w:val="right" w:leader="dot" w:pos="9350"/>
      </w:tabs>
      <w:ind w:left="220"/>
      <w:jc w:val="left"/>
    </w:pPr>
    <w:rPr>
      <w:rFonts w:asciiTheme="minorHAnsi" w:hAnsiTheme="minorHAnsi"/>
      <w:smallCaps/>
      <w:sz w:val="20"/>
      <w:szCs w:val="20"/>
    </w:rPr>
  </w:style>
  <w:style w:type="paragraph" w:styleId="TOC3">
    <w:name w:val="toc 3"/>
    <w:basedOn w:val="Normal"/>
    <w:next w:val="Normal"/>
    <w:autoRedefine/>
    <w:uiPriority w:val="39"/>
    <w:qFormat/>
    <w:rsid w:val="00591519"/>
    <w:pPr>
      <w:tabs>
        <w:tab w:val="right" w:leader="dot" w:pos="9350"/>
      </w:tabs>
      <w:ind w:left="440"/>
      <w:jc w:val="left"/>
    </w:pPr>
    <w:rPr>
      <w:rFonts w:asciiTheme="minorHAnsi" w:hAnsiTheme="minorHAnsi"/>
      <w:i/>
      <w:iCs/>
      <w:sz w:val="20"/>
      <w:szCs w:val="20"/>
    </w:rPr>
  </w:style>
  <w:style w:type="paragraph" w:styleId="TOC4">
    <w:name w:val="toc 4"/>
    <w:basedOn w:val="Normal"/>
    <w:next w:val="Normal"/>
    <w:autoRedefine/>
    <w:uiPriority w:val="39"/>
    <w:rsid w:val="00910EBC"/>
    <w:pPr>
      <w:ind w:left="660"/>
      <w:jc w:val="left"/>
    </w:pPr>
    <w:rPr>
      <w:rFonts w:asciiTheme="minorHAnsi" w:hAnsiTheme="minorHAnsi"/>
      <w:sz w:val="18"/>
      <w:szCs w:val="18"/>
    </w:rPr>
  </w:style>
  <w:style w:type="paragraph" w:styleId="TOC5">
    <w:name w:val="toc 5"/>
    <w:basedOn w:val="Normal"/>
    <w:next w:val="Normal"/>
    <w:autoRedefine/>
    <w:uiPriority w:val="39"/>
    <w:rsid w:val="00844A91"/>
    <w:pPr>
      <w:ind w:left="880"/>
      <w:jc w:val="left"/>
    </w:pPr>
    <w:rPr>
      <w:rFonts w:asciiTheme="minorHAnsi" w:hAnsiTheme="minorHAnsi"/>
      <w:sz w:val="18"/>
      <w:szCs w:val="18"/>
    </w:rPr>
  </w:style>
  <w:style w:type="paragraph" w:styleId="TOC6">
    <w:name w:val="toc 6"/>
    <w:basedOn w:val="Normal"/>
    <w:next w:val="Normal"/>
    <w:autoRedefine/>
    <w:uiPriority w:val="39"/>
    <w:rsid w:val="00844A91"/>
    <w:pPr>
      <w:ind w:left="1100"/>
      <w:jc w:val="left"/>
    </w:pPr>
    <w:rPr>
      <w:rFonts w:asciiTheme="minorHAnsi" w:hAnsiTheme="minorHAnsi"/>
      <w:sz w:val="18"/>
      <w:szCs w:val="18"/>
    </w:rPr>
  </w:style>
  <w:style w:type="paragraph" w:styleId="TOC7">
    <w:name w:val="toc 7"/>
    <w:basedOn w:val="Normal"/>
    <w:next w:val="Normal"/>
    <w:autoRedefine/>
    <w:uiPriority w:val="39"/>
    <w:rsid w:val="00844A91"/>
    <w:pPr>
      <w:ind w:left="1320"/>
      <w:jc w:val="left"/>
    </w:pPr>
    <w:rPr>
      <w:rFonts w:asciiTheme="minorHAnsi" w:hAnsiTheme="minorHAnsi"/>
      <w:sz w:val="18"/>
      <w:szCs w:val="18"/>
    </w:rPr>
  </w:style>
  <w:style w:type="paragraph" w:styleId="TOC8">
    <w:name w:val="toc 8"/>
    <w:basedOn w:val="Normal"/>
    <w:next w:val="Normal"/>
    <w:autoRedefine/>
    <w:uiPriority w:val="39"/>
    <w:rsid w:val="00844A91"/>
    <w:pPr>
      <w:ind w:left="1540"/>
      <w:jc w:val="left"/>
    </w:pPr>
    <w:rPr>
      <w:rFonts w:asciiTheme="minorHAnsi" w:hAnsiTheme="minorHAnsi"/>
      <w:sz w:val="18"/>
      <w:szCs w:val="18"/>
    </w:rPr>
  </w:style>
  <w:style w:type="paragraph" w:styleId="TOC9">
    <w:name w:val="toc 9"/>
    <w:basedOn w:val="Normal"/>
    <w:next w:val="Normal"/>
    <w:autoRedefine/>
    <w:uiPriority w:val="39"/>
    <w:rsid w:val="00844A91"/>
    <w:pPr>
      <w:ind w:left="1760"/>
      <w:jc w:val="left"/>
    </w:pPr>
    <w:rPr>
      <w:rFonts w:asciiTheme="minorHAnsi" w:hAnsiTheme="minorHAnsi"/>
      <w:sz w:val="18"/>
      <w:szCs w:val="18"/>
    </w:rPr>
  </w:style>
  <w:style w:type="character" w:styleId="Hyperlink">
    <w:name w:val="Hyperlink"/>
    <w:uiPriority w:val="99"/>
    <w:rsid w:val="00844A91"/>
    <w:rPr>
      <w:rFonts w:cs="Times New Roman"/>
      <w:color w:val="0000FF"/>
      <w:u w:val="single"/>
    </w:rPr>
  </w:style>
  <w:style w:type="table" w:styleId="TableGrid">
    <w:name w:val="Table Grid"/>
    <w:basedOn w:val="TableNormal"/>
    <w:uiPriority w:val="39"/>
    <w:rsid w:val="000642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semiHidden/>
    <w:unhideWhenUsed/>
    <w:rsid w:val="0077309D"/>
    <w:pPr>
      <w:jc w:val="left"/>
    </w:pPr>
    <w:rPr>
      <w:rFonts w:ascii="Consolas" w:hAnsi="Consolas"/>
      <w:sz w:val="21"/>
      <w:szCs w:val="21"/>
    </w:rPr>
  </w:style>
  <w:style w:type="character" w:customStyle="1" w:styleId="PlainTextChar">
    <w:name w:val="Plain Text Char"/>
    <w:link w:val="PlainText"/>
    <w:uiPriority w:val="99"/>
    <w:semiHidden/>
    <w:locked/>
    <w:rsid w:val="0077309D"/>
    <w:rPr>
      <w:rFonts w:ascii="Consolas" w:eastAsia="Times New Roman" w:hAnsi="Consolas" w:cs="Times New Roman"/>
      <w:sz w:val="21"/>
      <w:szCs w:val="21"/>
    </w:rPr>
  </w:style>
  <w:style w:type="table" w:customStyle="1" w:styleId="MediumShading11">
    <w:name w:val="Medium Shading 11"/>
    <w:basedOn w:val="TableNormal"/>
    <w:uiPriority w:val="63"/>
    <w:rsid w:val="00AC1ED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
    <w:name w:val="Medium Shading 1 - Accent 11"/>
    <w:basedOn w:val="TableNormal"/>
    <w:uiPriority w:val="63"/>
    <w:rsid w:val="00AC1ED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63"/>
    <w:rsid w:val="00AC1ED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
    <w:name w:val="Medium Shading 2 - Accent 11"/>
    <w:basedOn w:val="TableNormal"/>
    <w:uiPriority w:val="64"/>
    <w:rsid w:val="00AC1ED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AC1ED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
    <w:name w:val="Medium Grid 31"/>
    <w:basedOn w:val="TableNormal"/>
    <w:uiPriority w:val="69"/>
    <w:rsid w:val="00621C3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
    <w:name w:val="Colorful Shading1"/>
    <w:basedOn w:val="TableNormal"/>
    <w:uiPriority w:val="71"/>
    <w:rsid w:val="00621C32"/>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paragraph" w:customStyle="1" w:styleId="p14">
    <w:name w:val="p14"/>
    <w:basedOn w:val="Normal"/>
    <w:uiPriority w:val="99"/>
    <w:rsid w:val="00667FF0"/>
    <w:pPr>
      <w:widowControl w:val="0"/>
      <w:tabs>
        <w:tab w:val="left" w:pos="204"/>
      </w:tabs>
      <w:autoSpaceDE w:val="0"/>
      <w:autoSpaceDN w:val="0"/>
      <w:adjustRightInd w:val="0"/>
      <w:jc w:val="left"/>
    </w:pPr>
    <w:rPr>
      <w:rFonts w:ascii="Times New Roman" w:hAnsi="Times New Roman"/>
      <w:sz w:val="24"/>
      <w:szCs w:val="24"/>
    </w:rPr>
  </w:style>
  <w:style w:type="paragraph" w:styleId="TableofFigures">
    <w:name w:val="table of figures"/>
    <w:basedOn w:val="Normal"/>
    <w:next w:val="Normal"/>
    <w:uiPriority w:val="99"/>
    <w:unhideWhenUsed/>
    <w:rsid w:val="003965C5"/>
    <w:pPr>
      <w:spacing w:after="80"/>
      <w:jc w:val="left"/>
    </w:pPr>
    <w:rPr>
      <w:rFonts w:ascii="Century Gothic" w:hAnsi="Century Gothic"/>
      <w:sz w:val="18"/>
    </w:rPr>
  </w:style>
  <w:style w:type="table" w:customStyle="1" w:styleId="LightList1">
    <w:name w:val="Light List1"/>
    <w:basedOn w:val="TableNormal"/>
    <w:uiPriority w:val="61"/>
    <w:rsid w:val="0092061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PlaceholderText">
    <w:name w:val="Placeholder Text"/>
    <w:uiPriority w:val="99"/>
    <w:semiHidden/>
    <w:rsid w:val="00920618"/>
    <w:rPr>
      <w:rFonts w:cs="Times New Roman"/>
      <w:color w:val="808080"/>
    </w:rPr>
  </w:style>
  <w:style w:type="paragraph" w:styleId="Revision">
    <w:name w:val="Revision"/>
    <w:hidden/>
    <w:uiPriority w:val="99"/>
    <w:semiHidden/>
    <w:rsid w:val="00825955"/>
    <w:rPr>
      <w:sz w:val="22"/>
      <w:szCs w:val="22"/>
    </w:rPr>
  </w:style>
  <w:style w:type="table" w:customStyle="1" w:styleId="LightList11">
    <w:name w:val="Light List11"/>
    <w:basedOn w:val="TableNormal"/>
    <w:uiPriority w:val="61"/>
    <w:rsid w:val="00BC1CFF"/>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
    <w:name w:val="Medium Shading 12"/>
    <w:basedOn w:val="TableNormal"/>
    <w:uiPriority w:val="63"/>
    <w:rsid w:val="00121CF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character" w:styleId="Strong">
    <w:name w:val="Strong"/>
    <w:aliases w:val="Memo Heading"/>
    <w:uiPriority w:val="22"/>
    <w:qFormat/>
    <w:locked/>
    <w:rsid w:val="00E00B3E"/>
    <w:rPr>
      <w:rFonts w:ascii="Calibri" w:hAnsi="Calibri" w:cs="Calibri"/>
      <w:smallCaps/>
    </w:rPr>
  </w:style>
  <w:style w:type="character" w:customStyle="1" w:styleId="CaptionChar1">
    <w:name w:val="Caption Char1"/>
    <w:aliases w:val="Caption Char Char,Table Caption Char,Char Char,Figure Char, Char Char,caption Char"/>
    <w:link w:val="Caption"/>
    <w:locked/>
    <w:rsid w:val="009340AB"/>
    <w:rPr>
      <w:rFonts w:ascii="Century Gothic" w:hAnsi="Century Gothic"/>
      <w:b/>
      <w:bCs/>
      <w:sz w:val="18"/>
      <w:szCs w:val="18"/>
    </w:rPr>
  </w:style>
  <w:style w:type="paragraph" w:customStyle="1" w:styleId="TableText">
    <w:name w:val="Table Text"/>
    <w:basedOn w:val="Normal"/>
    <w:uiPriority w:val="99"/>
    <w:qFormat/>
    <w:rsid w:val="00736982"/>
    <w:pPr>
      <w:keepNext/>
      <w:keepLines/>
      <w:spacing w:before="80"/>
      <w:jc w:val="left"/>
    </w:pPr>
    <w:rPr>
      <w:rFonts w:eastAsia="Calibri"/>
      <w:color w:val="000000"/>
      <w:sz w:val="18"/>
      <w:szCs w:val="18"/>
    </w:rPr>
  </w:style>
  <w:style w:type="paragraph" w:customStyle="1" w:styleId="TableHeader">
    <w:name w:val="Table Header"/>
    <w:basedOn w:val="Normal"/>
    <w:uiPriority w:val="99"/>
    <w:qFormat/>
    <w:rsid w:val="003C51FD"/>
    <w:pPr>
      <w:keepNext/>
      <w:keepLines/>
      <w:spacing w:before="80"/>
      <w:jc w:val="center"/>
    </w:pPr>
    <w:rPr>
      <w:rFonts w:eastAsia="Calibri"/>
      <w:b/>
      <w:bCs/>
      <w:color w:val="000000"/>
      <w:sz w:val="18"/>
      <w:szCs w:val="18"/>
    </w:rPr>
  </w:style>
  <w:style w:type="table" w:customStyle="1" w:styleId="TableGrid2">
    <w:name w:val="Table Grid2"/>
    <w:basedOn w:val="TableNormal"/>
    <w:next w:val="TableGrid"/>
    <w:uiPriority w:val="99"/>
    <w:rsid w:val="003C51FD"/>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Spacer">
    <w:name w:val="Normal Spacer"/>
    <w:basedOn w:val="Normal"/>
    <w:next w:val="Normal"/>
    <w:uiPriority w:val="99"/>
    <w:qFormat/>
    <w:rsid w:val="00564343"/>
    <w:pPr>
      <w:keepLines/>
    </w:pPr>
    <w:rPr>
      <w:rFonts w:eastAsia="Calibri"/>
    </w:rPr>
  </w:style>
  <w:style w:type="character" w:customStyle="1" w:styleId="ListParagraphChar">
    <w:name w:val="List Paragraph Char"/>
    <w:aliases w:val="TOC etc. Char"/>
    <w:link w:val="ListParagraph"/>
    <w:uiPriority w:val="34"/>
    <w:rsid w:val="00E10F94"/>
    <w:rPr>
      <w:sz w:val="22"/>
    </w:rPr>
  </w:style>
  <w:style w:type="table" w:customStyle="1" w:styleId="TableGrid3">
    <w:name w:val="Table Grid3"/>
    <w:basedOn w:val="TableNormal"/>
    <w:next w:val="TableGrid"/>
    <w:uiPriority w:val="99"/>
    <w:rsid w:val="00E10F94"/>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s">
    <w:name w:val="bullets"/>
    <w:basedOn w:val="ListParagraph"/>
    <w:link w:val="bulletsChar"/>
    <w:uiPriority w:val="99"/>
    <w:rsid w:val="003336AE"/>
    <w:pPr>
      <w:numPr>
        <w:numId w:val="2"/>
      </w:numPr>
      <w:spacing w:after="120"/>
      <w:contextualSpacing w:val="0"/>
    </w:pPr>
    <w:rPr>
      <w:rFonts w:eastAsia="Calibri"/>
      <w:szCs w:val="22"/>
    </w:rPr>
  </w:style>
  <w:style w:type="character" w:customStyle="1" w:styleId="bulletsChar">
    <w:name w:val="bullets Char"/>
    <w:link w:val="bullets"/>
    <w:uiPriority w:val="99"/>
    <w:locked/>
    <w:rsid w:val="003336AE"/>
    <w:rPr>
      <w:rFonts w:eastAsia="Calibri"/>
      <w:sz w:val="22"/>
      <w:szCs w:val="22"/>
    </w:rPr>
  </w:style>
  <w:style w:type="paragraph" w:customStyle="1" w:styleId="Numbered">
    <w:name w:val="Numbered"/>
    <w:basedOn w:val="Normal"/>
    <w:uiPriority w:val="99"/>
    <w:rsid w:val="003336AE"/>
    <w:pPr>
      <w:numPr>
        <w:numId w:val="3"/>
      </w:numPr>
      <w:tabs>
        <w:tab w:val="clear" w:pos="720"/>
      </w:tabs>
      <w:spacing w:after="120"/>
      <w:jc w:val="left"/>
    </w:pPr>
    <w:rPr>
      <w:rFonts w:cs="GillSans"/>
      <w:szCs w:val="24"/>
    </w:rPr>
  </w:style>
  <w:style w:type="table" w:styleId="LightList">
    <w:name w:val="Light List"/>
    <w:basedOn w:val="TableNormal"/>
    <w:uiPriority w:val="61"/>
    <w:rsid w:val="0002223F"/>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Emphasis">
    <w:name w:val="Emphasis"/>
    <w:uiPriority w:val="20"/>
    <w:qFormat/>
    <w:locked/>
    <w:rsid w:val="006243E3"/>
    <w:rPr>
      <w:i/>
      <w:iCs/>
    </w:rPr>
  </w:style>
  <w:style w:type="table" w:customStyle="1" w:styleId="MediumShading13">
    <w:name w:val="Medium Shading 13"/>
    <w:basedOn w:val="TableNormal"/>
    <w:uiPriority w:val="63"/>
    <w:rsid w:val="00986137"/>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NoSpacing">
    <w:name w:val="No Spacing"/>
    <w:aliases w:val="Table"/>
    <w:link w:val="NoSpacingChar"/>
    <w:uiPriority w:val="1"/>
    <w:rsid w:val="001C62E5"/>
    <w:rPr>
      <w:rFonts w:eastAsia="Calibri"/>
      <w:sz w:val="22"/>
      <w:szCs w:val="22"/>
    </w:rPr>
  </w:style>
  <w:style w:type="paragraph" w:styleId="Subtitle">
    <w:name w:val="Subtitle"/>
    <w:basedOn w:val="Normal"/>
    <w:next w:val="Normal"/>
    <w:link w:val="SubtitleChar"/>
    <w:uiPriority w:val="11"/>
    <w:locked/>
    <w:rsid w:val="00C34D76"/>
    <w:pPr>
      <w:numPr>
        <w:ilvl w:val="1"/>
      </w:numPr>
      <w:jc w:val="left"/>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C34D76"/>
    <w:rPr>
      <w:rFonts w:asciiTheme="majorHAnsi" w:eastAsiaTheme="majorEastAsia" w:hAnsiTheme="majorHAnsi" w:cstheme="majorBidi"/>
      <w:i/>
      <w:iCs/>
      <w:color w:val="4F81BD" w:themeColor="accent1"/>
      <w:spacing w:val="15"/>
      <w:sz w:val="24"/>
      <w:szCs w:val="24"/>
      <w:lang w:eastAsia="ja-JP"/>
    </w:rPr>
  </w:style>
  <w:style w:type="paragraph" w:customStyle="1" w:styleId="HEADER001">
    <w:name w:val="HEADER001"/>
    <w:basedOn w:val="ListParagraph"/>
    <w:link w:val="HEADER001Char"/>
    <w:rsid w:val="00330C28"/>
    <w:pPr>
      <w:numPr>
        <w:numId w:val="8"/>
      </w:numPr>
      <w:shd w:val="clear" w:color="auto" w:fill="448A99"/>
      <w:spacing w:before="120" w:after="120"/>
      <w:contextualSpacing w:val="0"/>
      <w:outlineLvl w:val="0"/>
    </w:pPr>
    <w:rPr>
      <w:rFonts w:ascii="Century Gothic" w:eastAsiaTheme="minorHAnsi" w:hAnsi="Century Gothic" w:cstheme="minorBidi"/>
      <w:b/>
      <w:smallCaps/>
      <w:color w:val="FFFFFF" w:themeColor="background1"/>
      <w:sz w:val="30"/>
      <w:szCs w:val="22"/>
    </w:rPr>
  </w:style>
  <w:style w:type="paragraph" w:customStyle="1" w:styleId="HEADER002">
    <w:name w:val="HEADER002"/>
    <w:basedOn w:val="ListParagraph"/>
    <w:link w:val="HEADER002Char"/>
    <w:rsid w:val="00330C28"/>
    <w:pPr>
      <w:numPr>
        <w:ilvl w:val="1"/>
        <w:numId w:val="8"/>
      </w:numPr>
      <w:spacing w:after="120"/>
      <w:contextualSpacing w:val="0"/>
      <w:outlineLvl w:val="1"/>
    </w:pPr>
    <w:rPr>
      <w:rFonts w:ascii="Century Gothic" w:eastAsiaTheme="minorHAnsi" w:hAnsi="Century Gothic" w:cstheme="minorBidi"/>
      <w:b/>
      <w:smallCaps/>
      <w:sz w:val="24"/>
      <w:szCs w:val="22"/>
    </w:rPr>
  </w:style>
  <w:style w:type="character" w:customStyle="1" w:styleId="HEADER001Char">
    <w:name w:val="HEADER001 Char"/>
    <w:basedOn w:val="ListParagraphChar"/>
    <w:link w:val="HEADER001"/>
    <w:rsid w:val="00330C28"/>
    <w:rPr>
      <w:rFonts w:ascii="Century Gothic" w:eastAsiaTheme="minorHAnsi" w:hAnsi="Century Gothic" w:cstheme="minorBidi"/>
      <w:b/>
      <w:smallCaps/>
      <w:color w:val="FFFFFF" w:themeColor="background1"/>
      <w:sz w:val="30"/>
      <w:szCs w:val="22"/>
      <w:shd w:val="clear" w:color="auto" w:fill="448A99"/>
    </w:rPr>
  </w:style>
  <w:style w:type="paragraph" w:customStyle="1" w:styleId="HEADER003">
    <w:name w:val="HEADER003"/>
    <w:basedOn w:val="ListParagraph"/>
    <w:rsid w:val="00330C28"/>
    <w:pPr>
      <w:spacing w:after="120"/>
      <w:ind w:left="450"/>
      <w:contextualSpacing w:val="0"/>
      <w:outlineLvl w:val="2"/>
    </w:pPr>
    <w:rPr>
      <w:rFonts w:ascii="Century Gothic" w:eastAsiaTheme="minorHAnsi" w:hAnsi="Century Gothic" w:cstheme="minorBidi"/>
      <w:b/>
      <w:color w:val="448A99"/>
      <w:szCs w:val="22"/>
    </w:rPr>
  </w:style>
  <w:style w:type="paragraph" w:customStyle="1" w:styleId="HEADER004">
    <w:name w:val="HEADER004"/>
    <w:basedOn w:val="ListParagraph"/>
    <w:rsid w:val="00330C28"/>
    <w:pPr>
      <w:numPr>
        <w:ilvl w:val="3"/>
        <w:numId w:val="8"/>
      </w:numPr>
      <w:spacing w:after="120"/>
      <w:contextualSpacing w:val="0"/>
      <w:outlineLvl w:val="3"/>
    </w:pPr>
    <w:rPr>
      <w:rFonts w:ascii="Century Gothic" w:eastAsiaTheme="minorHAnsi" w:hAnsi="Century Gothic" w:cstheme="minorBidi"/>
      <w:b/>
      <w:i/>
      <w:sz w:val="20"/>
      <w:szCs w:val="22"/>
    </w:rPr>
  </w:style>
  <w:style w:type="paragraph" w:customStyle="1" w:styleId="HEADER005">
    <w:name w:val="HEADER005"/>
    <w:basedOn w:val="ListParagraph"/>
    <w:rsid w:val="00330C28"/>
    <w:pPr>
      <w:numPr>
        <w:ilvl w:val="4"/>
        <w:numId w:val="8"/>
      </w:numPr>
      <w:spacing w:after="120"/>
      <w:contextualSpacing w:val="0"/>
      <w:outlineLvl w:val="4"/>
    </w:pPr>
    <w:rPr>
      <w:rFonts w:ascii="Century Gothic" w:eastAsiaTheme="minorHAnsi" w:hAnsi="Century Gothic" w:cstheme="minorBidi"/>
      <w:i/>
      <w:szCs w:val="22"/>
    </w:rPr>
  </w:style>
  <w:style w:type="character" w:customStyle="1" w:styleId="HEADER002Char">
    <w:name w:val="HEADER002 Char"/>
    <w:basedOn w:val="ListParagraphChar"/>
    <w:link w:val="HEADER002"/>
    <w:rsid w:val="00330C28"/>
    <w:rPr>
      <w:rFonts w:ascii="Century Gothic" w:eastAsiaTheme="minorHAnsi" w:hAnsi="Century Gothic" w:cstheme="minorBidi"/>
      <w:b/>
      <w:smallCaps/>
      <w:sz w:val="24"/>
      <w:szCs w:val="22"/>
    </w:rPr>
  </w:style>
  <w:style w:type="character" w:customStyle="1" w:styleId="Heading9Char">
    <w:name w:val="Heading 9 Char"/>
    <w:basedOn w:val="DefaultParagraphFont"/>
    <w:link w:val="Heading9"/>
    <w:rsid w:val="0022503E"/>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E01CCF"/>
    <w:pPr>
      <w:keepNext/>
      <w:keepLines/>
      <w:numPr>
        <w:numId w:val="0"/>
      </w:numPr>
      <w:shd w:val="clear" w:color="auto" w:fill="auto"/>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eastAsia="ja-JP"/>
    </w:rPr>
  </w:style>
  <w:style w:type="paragraph" w:customStyle="1" w:styleId="AppendixAHeading1">
    <w:name w:val="Appendix A Heading 1"/>
    <w:basedOn w:val="ListParagraph"/>
    <w:qFormat/>
    <w:rsid w:val="00D34B3E"/>
    <w:pPr>
      <w:numPr>
        <w:numId w:val="29"/>
      </w:numPr>
      <w:spacing w:after="120"/>
      <w:contextualSpacing w:val="0"/>
    </w:pPr>
    <w:rPr>
      <w:rFonts w:ascii="Century Gothic" w:hAnsi="Century Gothic"/>
      <w:b/>
      <w:caps/>
    </w:rPr>
  </w:style>
  <w:style w:type="paragraph" w:customStyle="1" w:styleId="AppendixAHeading2">
    <w:name w:val="Appendix A Heading 2"/>
    <w:basedOn w:val="ListParagraph"/>
    <w:link w:val="AppendixAHeading2Char"/>
    <w:autoRedefine/>
    <w:qFormat/>
    <w:rsid w:val="0043541C"/>
    <w:pPr>
      <w:numPr>
        <w:ilvl w:val="1"/>
        <w:numId w:val="29"/>
      </w:numPr>
      <w:spacing w:after="120"/>
      <w:contextualSpacing w:val="0"/>
    </w:pPr>
    <w:rPr>
      <w:rFonts w:ascii="Century Gothic" w:hAnsi="Century Gothic"/>
      <w:b/>
      <w:color w:val="448A99"/>
    </w:rPr>
  </w:style>
  <w:style w:type="paragraph" w:customStyle="1" w:styleId="AppendixBHeading1">
    <w:name w:val="Appendix B Heading 1"/>
    <w:basedOn w:val="ListParagraph"/>
    <w:link w:val="AppendixBHeading1Char"/>
    <w:qFormat/>
    <w:rsid w:val="00C57537"/>
    <w:pPr>
      <w:numPr>
        <w:numId w:val="30"/>
      </w:numPr>
      <w:spacing w:after="120"/>
      <w:contextualSpacing w:val="0"/>
    </w:pPr>
    <w:rPr>
      <w:rFonts w:ascii="Century Gothic" w:hAnsi="Century Gothic"/>
      <w:b/>
      <w:caps/>
    </w:rPr>
  </w:style>
  <w:style w:type="character" w:customStyle="1" w:styleId="AppendixAHeading2Char">
    <w:name w:val="Appendix A Heading 2 Char"/>
    <w:basedOn w:val="DefaultParagraphFont"/>
    <w:link w:val="AppendixAHeading2"/>
    <w:rsid w:val="0043541C"/>
    <w:rPr>
      <w:rFonts w:ascii="Century Gothic" w:hAnsi="Century Gothic"/>
      <w:b/>
      <w:color w:val="448A99"/>
      <w:sz w:val="22"/>
    </w:rPr>
  </w:style>
  <w:style w:type="paragraph" w:customStyle="1" w:styleId="AppendixBHeading2">
    <w:name w:val="Appendix B Heading 2"/>
    <w:basedOn w:val="ListParagraph"/>
    <w:link w:val="AppendixBHeading2Char"/>
    <w:qFormat/>
    <w:rsid w:val="00C57537"/>
    <w:pPr>
      <w:numPr>
        <w:ilvl w:val="1"/>
        <w:numId w:val="30"/>
      </w:numPr>
      <w:spacing w:after="120"/>
      <w:contextualSpacing w:val="0"/>
    </w:pPr>
    <w:rPr>
      <w:rFonts w:ascii="Century Gothic" w:hAnsi="Century Gothic"/>
      <w:b/>
      <w:color w:val="448A99"/>
    </w:rPr>
  </w:style>
  <w:style w:type="character" w:customStyle="1" w:styleId="AppendixBHeading1Char">
    <w:name w:val="Appendix B Heading 1 Char"/>
    <w:basedOn w:val="DefaultParagraphFont"/>
    <w:link w:val="AppendixBHeading1"/>
    <w:rsid w:val="00C57537"/>
    <w:rPr>
      <w:rFonts w:ascii="Century Gothic" w:hAnsi="Century Gothic"/>
      <w:b/>
      <w:caps/>
      <w:sz w:val="22"/>
    </w:rPr>
  </w:style>
  <w:style w:type="paragraph" w:customStyle="1" w:styleId="AppendixCHeading1">
    <w:name w:val="Appendix C Heading 1"/>
    <w:basedOn w:val="Normal"/>
    <w:link w:val="AppendixCHeading1Char"/>
    <w:rsid w:val="00E45861"/>
    <w:pPr>
      <w:numPr>
        <w:numId w:val="4"/>
      </w:numPr>
      <w:spacing w:after="120"/>
    </w:pPr>
    <w:rPr>
      <w:rFonts w:ascii="Century Gothic" w:hAnsi="Century Gothic"/>
      <w:b/>
      <w:caps/>
    </w:rPr>
  </w:style>
  <w:style w:type="character" w:customStyle="1" w:styleId="AppendixBHeading2Char">
    <w:name w:val="Appendix B Heading 2 Char"/>
    <w:basedOn w:val="DefaultParagraphFont"/>
    <w:link w:val="AppendixBHeading2"/>
    <w:rsid w:val="00C57537"/>
    <w:rPr>
      <w:rFonts w:ascii="Century Gothic" w:hAnsi="Century Gothic"/>
      <w:b/>
      <w:color w:val="448A99"/>
      <w:sz w:val="22"/>
    </w:rPr>
  </w:style>
  <w:style w:type="paragraph" w:customStyle="1" w:styleId="AppendixCHeading2">
    <w:name w:val="Appendix C Heading 2"/>
    <w:basedOn w:val="Normal"/>
    <w:link w:val="AppendixCHeading2Char"/>
    <w:rsid w:val="00336158"/>
    <w:pPr>
      <w:numPr>
        <w:ilvl w:val="1"/>
        <w:numId w:val="4"/>
      </w:numPr>
      <w:spacing w:after="120"/>
    </w:pPr>
    <w:rPr>
      <w:rFonts w:ascii="Century Gothic" w:hAnsi="Century Gothic"/>
      <w:b/>
      <w:color w:val="448A99"/>
    </w:rPr>
  </w:style>
  <w:style w:type="character" w:customStyle="1" w:styleId="AppendixCHeading1Char">
    <w:name w:val="Appendix C Heading 1 Char"/>
    <w:basedOn w:val="DefaultParagraphFont"/>
    <w:link w:val="AppendixCHeading1"/>
    <w:rsid w:val="00E45861"/>
    <w:rPr>
      <w:rFonts w:ascii="Century Gothic" w:hAnsi="Century Gothic"/>
      <w:b/>
      <w:caps/>
      <w:sz w:val="22"/>
      <w:szCs w:val="22"/>
    </w:rPr>
  </w:style>
  <w:style w:type="paragraph" w:customStyle="1" w:styleId="AppendixAHeading3">
    <w:name w:val="Appendix A Heading 3"/>
    <w:basedOn w:val="ListParagraph"/>
    <w:link w:val="AppendixAHeading3Char"/>
    <w:qFormat/>
    <w:rsid w:val="00D34B3E"/>
    <w:pPr>
      <w:numPr>
        <w:ilvl w:val="2"/>
        <w:numId w:val="29"/>
      </w:numPr>
      <w:spacing w:after="120"/>
      <w:contextualSpacing w:val="0"/>
    </w:pPr>
    <w:rPr>
      <w:rFonts w:ascii="Century Gothic" w:hAnsi="Century Gothic"/>
    </w:rPr>
  </w:style>
  <w:style w:type="character" w:customStyle="1" w:styleId="AppendixCHeading2Char">
    <w:name w:val="Appendix C Heading 2 Char"/>
    <w:basedOn w:val="DefaultParagraphFont"/>
    <w:link w:val="AppendixCHeading2"/>
    <w:rsid w:val="00336158"/>
    <w:rPr>
      <w:rFonts w:ascii="Century Gothic" w:hAnsi="Century Gothic"/>
      <w:b/>
      <w:color w:val="448A99"/>
      <w:sz w:val="22"/>
      <w:szCs w:val="22"/>
    </w:rPr>
  </w:style>
  <w:style w:type="paragraph" w:customStyle="1" w:styleId="AppendixBHeading3">
    <w:name w:val="Appendix B Heading 3"/>
    <w:basedOn w:val="ListParagraph"/>
    <w:link w:val="AppendixBHeading3Char"/>
    <w:qFormat/>
    <w:rsid w:val="00C57537"/>
    <w:pPr>
      <w:numPr>
        <w:ilvl w:val="2"/>
        <w:numId w:val="30"/>
      </w:numPr>
      <w:spacing w:after="120"/>
      <w:contextualSpacing w:val="0"/>
    </w:pPr>
    <w:rPr>
      <w:rFonts w:ascii="Century Gothic" w:hAnsi="Century Gothic"/>
    </w:rPr>
  </w:style>
  <w:style w:type="character" w:customStyle="1" w:styleId="AppendixAHeading3Char">
    <w:name w:val="Appendix A Heading 3 Char"/>
    <w:basedOn w:val="AppendixAHeading2Char"/>
    <w:link w:val="AppendixAHeading3"/>
    <w:rsid w:val="00D34B3E"/>
    <w:rPr>
      <w:rFonts w:ascii="Century Gothic" w:hAnsi="Century Gothic"/>
      <w:b w:val="0"/>
      <w:color w:val="448A99"/>
      <w:sz w:val="22"/>
    </w:rPr>
  </w:style>
  <w:style w:type="paragraph" w:customStyle="1" w:styleId="AppendixCHeading3">
    <w:name w:val="Appendix C Heading 3"/>
    <w:basedOn w:val="AppendixBHeading3"/>
    <w:link w:val="AppendixCHeading3Char"/>
    <w:rsid w:val="00B47FF4"/>
    <w:pPr>
      <w:numPr>
        <w:numId w:val="4"/>
      </w:numPr>
    </w:pPr>
  </w:style>
  <w:style w:type="character" w:customStyle="1" w:styleId="AppendixBHeading3Char">
    <w:name w:val="Appendix B Heading 3 Char"/>
    <w:basedOn w:val="AppendixAHeading3Char"/>
    <w:link w:val="AppendixBHeading3"/>
    <w:rsid w:val="00C57537"/>
    <w:rPr>
      <w:rFonts w:ascii="Century Gothic" w:hAnsi="Century Gothic"/>
      <w:b w:val="0"/>
      <w:color w:val="448A99"/>
      <w:sz w:val="22"/>
    </w:rPr>
  </w:style>
  <w:style w:type="paragraph" w:customStyle="1" w:styleId="AppendixDHeading1">
    <w:name w:val="Appendix D Heading 1"/>
    <w:basedOn w:val="Normal"/>
    <w:link w:val="AppendixDHeading1Char"/>
    <w:rsid w:val="003215BA"/>
    <w:pPr>
      <w:numPr>
        <w:numId w:val="5"/>
      </w:numPr>
      <w:spacing w:after="120"/>
    </w:pPr>
    <w:rPr>
      <w:rFonts w:ascii="Century Gothic" w:hAnsi="Century Gothic"/>
      <w:b/>
      <w:smallCaps/>
      <w:sz w:val="24"/>
    </w:rPr>
  </w:style>
  <w:style w:type="character" w:customStyle="1" w:styleId="AppendixCHeading3Char">
    <w:name w:val="Appendix C Heading 3 Char"/>
    <w:basedOn w:val="AppendixBHeading3Char"/>
    <w:link w:val="AppendixCHeading3"/>
    <w:rsid w:val="00B47FF4"/>
    <w:rPr>
      <w:rFonts w:ascii="Century Gothic" w:hAnsi="Century Gothic"/>
      <w:b w:val="0"/>
      <w:color w:val="448A99"/>
      <w:sz w:val="22"/>
    </w:rPr>
  </w:style>
  <w:style w:type="paragraph" w:customStyle="1" w:styleId="AppendixDHeading2">
    <w:name w:val="Appendix D Heading 2"/>
    <w:basedOn w:val="Normal"/>
    <w:link w:val="AppendixDHeading2Char"/>
    <w:rsid w:val="003215BA"/>
    <w:pPr>
      <w:numPr>
        <w:ilvl w:val="1"/>
        <w:numId w:val="5"/>
      </w:numPr>
      <w:spacing w:after="120"/>
    </w:pPr>
    <w:rPr>
      <w:rFonts w:ascii="Century Gothic" w:hAnsi="Century Gothic"/>
      <w:b/>
      <w:color w:val="448A99"/>
    </w:rPr>
  </w:style>
  <w:style w:type="character" w:customStyle="1" w:styleId="AppendixDHeading1Char">
    <w:name w:val="Appendix D Heading 1 Char"/>
    <w:basedOn w:val="DefaultParagraphFont"/>
    <w:link w:val="AppendixDHeading1"/>
    <w:rsid w:val="003215BA"/>
    <w:rPr>
      <w:rFonts w:ascii="Century Gothic" w:hAnsi="Century Gothic"/>
      <w:b/>
      <w:smallCaps/>
      <w:sz w:val="24"/>
      <w:szCs w:val="22"/>
    </w:rPr>
  </w:style>
  <w:style w:type="paragraph" w:customStyle="1" w:styleId="AppendixDHeading3">
    <w:name w:val="Appendix D Heading 3"/>
    <w:basedOn w:val="AppendixCHeading3"/>
    <w:link w:val="AppendixDHeading3Char"/>
    <w:rsid w:val="003215BA"/>
    <w:pPr>
      <w:numPr>
        <w:numId w:val="5"/>
      </w:numPr>
    </w:pPr>
  </w:style>
  <w:style w:type="character" w:customStyle="1" w:styleId="AppendixDHeading2Char">
    <w:name w:val="Appendix D Heading 2 Char"/>
    <w:basedOn w:val="DefaultParagraphFont"/>
    <w:link w:val="AppendixDHeading2"/>
    <w:rsid w:val="003215BA"/>
    <w:rPr>
      <w:rFonts w:ascii="Century Gothic" w:hAnsi="Century Gothic"/>
      <w:b/>
      <w:color w:val="448A99"/>
      <w:sz w:val="22"/>
      <w:szCs w:val="22"/>
    </w:rPr>
  </w:style>
  <w:style w:type="character" w:customStyle="1" w:styleId="AppendixDHeading3Char">
    <w:name w:val="Appendix D Heading 3 Char"/>
    <w:basedOn w:val="AppendixCHeading3Char"/>
    <w:link w:val="AppendixDHeading3"/>
    <w:rsid w:val="003215BA"/>
    <w:rPr>
      <w:rFonts w:ascii="Century Gothic" w:hAnsi="Century Gothic"/>
      <w:b w:val="0"/>
      <w:color w:val="448A99"/>
      <w:sz w:val="22"/>
    </w:rPr>
  </w:style>
  <w:style w:type="paragraph" w:customStyle="1" w:styleId="AppendixEHeading1">
    <w:name w:val="Appendix E Heading 1"/>
    <w:basedOn w:val="Normal"/>
    <w:link w:val="AppendixEHeading1Char"/>
    <w:qFormat/>
    <w:rsid w:val="00E45861"/>
    <w:pPr>
      <w:numPr>
        <w:numId w:val="6"/>
      </w:numPr>
      <w:spacing w:after="120"/>
    </w:pPr>
    <w:rPr>
      <w:rFonts w:ascii="Century Gothic" w:hAnsi="Century Gothic"/>
      <w:b/>
      <w:caps/>
    </w:rPr>
  </w:style>
  <w:style w:type="paragraph" w:customStyle="1" w:styleId="AppendixEHeading2">
    <w:name w:val="Appendix E Heading 2"/>
    <w:basedOn w:val="Normal"/>
    <w:link w:val="AppendixEHeading2Char"/>
    <w:qFormat/>
    <w:rsid w:val="00783A5F"/>
    <w:pPr>
      <w:numPr>
        <w:ilvl w:val="1"/>
        <w:numId w:val="6"/>
      </w:numPr>
      <w:spacing w:after="120"/>
    </w:pPr>
    <w:rPr>
      <w:rFonts w:ascii="Century Gothic" w:hAnsi="Century Gothic"/>
      <w:b/>
      <w:color w:val="448A99"/>
    </w:rPr>
  </w:style>
  <w:style w:type="character" w:customStyle="1" w:styleId="AppendixEHeading1Char">
    <w:name w:val="Appendix E Heading 1 Char"/>
    <w:basedOn w:val="DefaultParagraphFont"/>
    <w:link w:val="AppendixEHeading1"/>
    <w:rsid w:val="00E45861"/>
    <w:rPr>
      <w:rFonts w:ascii="Century Gothic" w:hAnsi="Century Gothic"/>
      <w:b/>
      <w:caps/>
      <w:sz w:val="22"/>
      <w:szCs w:val="22"/>
    </w:rPr>
  </w:style>
  <w:style w:type="paragraph" w:customStyle="1" w:styleId="AppendixEHeading3">
    <w:name w:val="Appendix E Heading 3"/>
    <w:basedOn w:val="Normal"/>
    <w:link w:val="AppendixEHeading3Char"/>
    <w:qFormat/>
    <w:rsid w:val="00783A5F"/>
    <w:pPr>
      <w:numPr>
        <w:ilvl w:val="2"/>
        <w:numId w:val="6"/>
      </w:numPr>
    </w:pPr>
    <w:rPr>
      <w:rFonts w:ascii="Century Gothic" w:hAnsi="Century Gothic"/>
      <w:b/>
      <w:i/>
      <w:sz w:val="20"/>
    </w:rPr>
  </w:style>
  <w:style w:type="character" w:customStyle="1" w:styleId="AppendixEHeading2Char">
    <w:name w:val="Appendix E Heading 2 Char"/>
    <w:basedOn w:val="DefaultParagraphFont"/>
    <w:link w:val="AppendixEHeading2"/>
    <w:rsid w:val="00783A5F"/>
    <w:rPr>
      <w:rFonts w:ascii="Century Gothic" w:hAnsi="Century Gothic"/>
      <w:b/>
      <w:color w:val="448A99"/>
      <w:sz w:val="22"/>
      <w:szCs w:val="22"/>
    </w:rPr>
  </w:style>
  <w:style w:type="character" w:customStyle="1" w:styleId="AppendixEHeading3Char">
    <w:name w:val="Appendix E Heading 3 Char"/>
    <w:basedOn w:val="DefaultParagraphFont"/>
    <w:link w:val="AppendixEHeading3"/>
    <w:rsid w:val="00783A5F"/>
    <w:rPr>
      <w:rFonts w:ascii="Century Gothic" w:hAnsi="Century Gothic"/>
      <w:b/>
      <w:i/>
      <w:szCs w:val="22"/>
    </w:rPr>
  </w:style>
  <w:style w:type="table" w:customStyle="1" w:styleId="MediumShading1-Accent52">
    <w:name w:val="Medium Shading 1 - Accent 52"/>
    <w:basedOn w:val="TableNormal"/>
    <w:next w:val="MediumShading1-Accent5"/>
    <w:uiPriority w:val="63"/>
    <w:rsid w:val="00D42C9A"/>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33338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3">
    <w:name w:val="Medium Shading 1 - Accent 53"/>
    <w:basedOn w:val="TableNormal"/>
    <w:next w:val="MediumShading1-Accent5"/>
    <w:uiPriority w:val="63"/>
    <w:rsid w:val="0033338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4">
    <w:name w:val="Medium Shading 1 - Accent 54"/>
    <w:basedOn w:val="TableNormal"/>
    <w:next w:val="MediumShading1-Accent5"/>
    <w:uiPriority w:val="63"/>
    <w:rsid w:val="0033338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5">
    <w:name w:val="Medium Shading 1 - Accent 55"/>
    <w:basedOn w:val="TableNormal"/>
    <w:next w:val="MediumShading1-Accent5"/>
    <w:uiPriority w:val="63"/>
    <w:rsid w:val="0033338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6">
    <w:name w:val="Medium Shading 1 - Accent 56"/>
    <w:basedOn w:val="TableNormal"/>
    <w:next w:val="MediumShading1-Accent5"/>
    <w:uiPriority w:val="63"/>
    <w:rsid w:val="0033338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7">
    <w:name w:val="Medium Shading 1 - Accent 57"/>
    <w:basedOn w:val="TableNormal"/>
    <w:next w:val="MediumShading1-Accent5"/>
    <w:uiPriority w:val="63"/>
    <w:rsid w:val="00617B5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6">
    <w:name w:val="Medium Shading 1 - Accent 526"/>
    <w:basedOn w:val="TableNormal"/>
    <w:next w:val="MediumShading1-Accent5"/>
    <w:uiPriority w:val="63"/>
    <w:rsid w:val="0097062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AppendixFHeading10">
    <w:name w:val="Appendix F Heading 1"/>
    <w:basedOn w:val="Normal"/>
    <w:rsid w:val="000C1C62"/>
    <w:rPr>
      <w:rFonts w:ascii="Century Gothic" w:hAnsi="Century Gothic"/>
      <w:b/>
      <w:sz w:val="24"/>
    </w:rPr>
  </w:style>
  <w:style w:type="paragraph" w:customStyle="1" w:styleId="AppendixFHeading1">
    <w:name w:val="AppendixF Heading1"/>
    <w:basedOn w:val="Normal"/>
    <w:rsid w:val="00C61F80"/>
    <w:pPr>
      <w:numPr>
        <w:numId w:val="7"/>
      </w:numPr>
    </w:pPr>
    <w:rPr>
      <w:rFonts w:ascii="Century Gothic" w:hAnsi="Century Gothic"/>
      <w:b/>
      <w:smallCaps/>
      <w:sz w:val="24"/>
    </w:rPr>
  </w:style>
  <w:style w:type="paragraph" w:customStyle="1" w:styleId="AppendixFHeading2">
    <w:name w:val="AppendixF Heading2"/>
    <w:basedOn w:val="Normal"/>
    <w:rsid w:val="00C61F80"/>
    <w:pPr>
      <w:numPr>
        <w:ilvl w:val="1"/>
        <w:numId w:val="7"/>
      </w:numPr>
    </w:pPr>
    <w:rPr>
      <w:rFonts w:ascii="Century Gothic" w:hAnsi="Century Gothic"/>
      <w:b/>
      <w:color w:val="448A99"/>
    </w:rPr>
  </w:style>
  <w:style w:type="paragraph" w:customStyle="1" w:styleId="AppendixFHeading3">
    <w:name w:val="AppendixF Heading3"/>
    <w:basedOn w:val="Normal"/>
    <w:rsid w:val="00C61F80"/>
    <w:pPr>
      <w:numPr>
        <w:ilvl w:val="2"/>
        <w:numId w:val="7"/>
      </w:numPr>
    </w:pPr>
    <w:rPr>
      <w:rFonts w:ascii="Century Gothic" w:hAnsi="Century Gothic"/>
      <w:b/>
      <w:i/>
      <w:sz w:val="20"/>
    </w:rPr>
  </w:style>
  <w:style w:type="paragraph" w:customStyle="1" w:styleId="bullettext">
    <w:name w:val="bullettext"/>
    <w:basedOn w:val="Normal"/>
    <w:qFormat/>
    <w:rsid w:val="00327555"/>
    <w:pPr>
      <w:spacing w:after="120"/>
    </w:pPr>
  </w:style>
  <w:style w:type="table" w:customStyle="1" w:styleId="AnnualReportTableStyle">
    <w:name w:val="Annual Report Table Style"/>
    <w:basedOn w:val="TableNormal"/>
    <w:uiPriority w:val="99"/>
    <w:rsid w:val="006504D9"/>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numbering" w:customStyle="1" w:styleId="NoList1">
    <w:name w:val="No List1"/>
    <w:next w:val="NoList"/>
    <w:uiPriority w:val="99"/>
    <w:semiHidden/>
    <w:unhideWhenUsed/>
    <w:rsid w:val="00941B77"/>
  </w:style>
  <w:style w:type="table" w:customStyle="1" w:styleId="TableGrid1">
    <w:name w:val="Table Grid1"/>
    <w:basedOn w:val="TableNormal"/>
    <w:next w:val="TableGrid"/>
    <w:uiPriority w:val="59"/>
    <w:rsid w:val="00941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1">
    <w:name w:val="Medium Shading 111"/>
    <w:basedOn w:val="TableNormal"/>
    <w:uiPriority w:val="63"/>
    <w:rsid w:val="00941B7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
    <w:name w:val="Medium Shading 1 - Accent 111"/>
    <w:basedOn w:val="TableNormal"/>
    <w:uiPriority w:val="63"/>
    <w:rsid w:val="00941B7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8">
    <w:name w:val="Medium Shading 1 - Accent 58"/>
    <w:basedOn w:val="TableNormal"/>
    <w:next w:val="MediumShading1-Accent5"/>
    <w:uiPriority w:val="63"/>
    <w:rsid w:val="00941B7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1">
    <w:name w:val="Medium Shading 2 - Accent 111"/>
    <w:basedOn w:val="TableNormal"/>
    <w:uiPriority w:val="64"/>
    <w:rsid w:val="00941B77"/>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
    <w:name w:val="Medium List 2 - Accent 11"/>
    <w:basedOn w:val="TableNormal"/>
    <w:next w:val="MediumList2-Accent1"/>
    <w:uiPriority w:val="66"/>
    <w:rsid w:val="00941B77"/>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1">
    <w:name w:val="Medium Grid 311"/>
    <w:basedOn w:val="TableNormal"/>
    <w:uiPriority w:val="69"/>
    <w:rsid w:val="00941B7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1">
    <w:name w:val="Colorful Shading11"/>
    <w:basedOn w:val="TableNormal"/>
    <w:uiPriority w:val="71"/>
    <w:rsid w:val="00941B77"/>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2">
    <w:name w:val="Light List12"/>
    <w:basedOn w:val="TableNormal"/>
    <w:uiPriority w:val="61"/>
    <w:rsid w:val="00941B7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941B77"/>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1">
    <w:name w:val="Medium Shading 121"/>
    <w:basedOn w:val="TableNormal"/>
    <w:uiPriority w:val="63"/>
    <w:rsid w:val="00941B7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1">
    <w:name w:val="Table Grid21"/>
    <w:basedOn w:val="TableNormal"/>
    <w:next w:val="TableGrid"/>
    <w:uiPriority w:val="99"/>
    <w:rsid w:val="00941B7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99"/>
    <w:rsid w:val="00941B77"/>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
    <w:name w:val="Light List2"/>
    <w:basedOn w:val="TableNormal"/>
    <w:next w:val="LightList"/>
    <w:uiPriority w:val="61"/>
    <w:rsid w:val="00941B77"/>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1">
    <w:name w:val="Medium Shading 131"/>
    <w:basedOn w:val="TableNormal"/>
    <w:uiPriority w:val="63"/>
    <w:rsid w:val="00941B77"/>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1">
    <w:name w:val="Light List121"/>
    <w:basedOn w:val="TableNormal"/>
    <w:uiPriority w:val="61"/>
    <w:rsid w:val="00941B77"/>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1">
    <w:name w:val="Annual Report Table Style1"/>
    <w:basedOn w:val="TableNormal"/>
    <w:uiPriority w:val="99"/>
    <w:rsid w:val="00941B77"/>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paragraph" w:styleId="DocumentMap">
    <w:name w:val="Document Map"/>
    <w:basedOn w:val="Normal"/>
    <w:link w:val="DocumentMapChar"/>
    <w:uiPriority w:val="99"/>
    <w:semiHidden/>
    <w:unhideWhenUsed/>
    <w:rsid w:val="00941B77"/>
    <w:rPr>
      <w:rFonts w:ascii="Tahoma" w:hAnsi="Tahoma" w:cs="Tahoma"/>
      <w:sz w:val="16"/>
      <w:szCs w:val="16"/>
    </w:rPr>
  </w:style>
  <w:style w:type="character" w:customStyle="1" w:styleId="DocumentMapChar">
    <w:name w:val="Document Map Char"/>
    <w:basedOn w:val="DefaultParagraphFont"/>
    <w:link w:val="DocumentMap"/>
    <w:uiPriority w:val="99"/>
    <w:semiHidden/>
    <w:rsid w:val="00941B77"/>
    <w:rPr>
      <w:rFonts w:ascii="Tahoma" w:hAnsi="Tahoma" w:cs="Tahoma"/>
      <w:sz w:val="16"/>
      <w:szCs w:val="16"/>
    </w:rPr>
  </w:style>
  <w:style w:type="paragraph" w:styleId="EndnoteText">
    <w:name w:val="endnote text"/>
    <w:basedOn w:val="Normal"/>
    <w:link w:val="EndnoteTextChar"/>
    <w:uiPriority w:val="99"/>
    <w:semiHidden/>
    <w:unhideWhenUsed/>
    <w:rsid w:val="00941B77"/>
    <w:rPr>
      <w:sz w:val="20"/>
      <w:szCs w:val="20"/>
    </w:rPr>
  </w:style>
  <w:style w:type="character" w:customStyle="1" w:styleId="EndnoteTextChar">
    <w:name w:val="Endnote Text Char"/>
    <w:basedOn w:val="DefaultParagraphFont"/>
    <w:link w:val="EndnoteText"/>
    <w:uiPriority w:val="99"/>
    <w:semiHidden/>
    <w:rsid w:val="00941B77"/>
  </w:style>
  <w:style w:type="character" w:styleId="EndnoteReference">
    <w:name w:val="endnote reference"/>
    <w:basedOn w:val="DefaultParagraphFont"/>
    <w:uiPriority w:val="99"/>
    <w:semiHidden/>
    <w:unhideWhenUsed/>
    <w:rsid w:val="00941B77"/>
    <w:rPr>
      <w:vertAlign w:val="superscript"/>
    </w:rPr>
  </w:style>
  <w:style w:type="numbering" w:customStyle="1" w:styleId="NoList2">
    <w:name w:val="No List2"/>
    <w:next w:val="NoList"/>
    <w:uiPriority w:val="99"/>
    <w:semiHidden/>
    <w:unhideWhenUsed/>
    <w:rsid w:val="008159F1"/>
  </w:style>
  <w:style w:type="table" w:customStyle="1" w:styleId="TableGrid4">
    <w:name w:val="Table Grid4"/>
    <w:basedOn w:val="TableNormal"/>
    <w:next w:val="TableGrid"/>
    <w:uiPriority w:val="59"/>
    <w:rsid w:val="008159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2">
    <w:name w:val="Medium Shading 112"/>
    <w:basedOn w:val="TableNormal"/>
    <w:uiPriority w:val="63"/>
    <w:rsid w:val="008159F1"/>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
    <w:name w:val="Medium Shading 1 - Accent 112"/>
    <w:basedOn w:val="TableNormal"/>
    <w:uiPriority w:val="63"/>
    <w:rsid w:val="008159F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9">
    <w:name w:val="Medium Shading 1 - Accent 59"/>
    <w:basedOn w:val="TableNormal"/>
    <w:next w:val="MediumShading1-Accent5"/>
    <w:uiPriority w:val="63"/>
    <w:rsid w:val="008159F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2">
    <w:name w:val="Medium Shading 2 - Accent 112"/>
    <w:basedOn w:val="TableNormal"/>
    <w:uiPriority w:val="64"/>
    <w:rsid w:val="008159F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2">
    <w:name w:val="Medium List 2 - Accent 12"/>
    <w:basedOn w:val="TableNormal"/>
    <w:next w:val="MediumList2-Accent1"/>
    <w:uiPriority w:val="66"/>
    <w:rsid w:val="008159F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2">
    <w:name w:val="Medium Grid 312"/>
    <w:basedOn w:val="TableNormal"/>
    <w:uiPriority w:val="69"/>
    <w:rsid w:val="008159F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2">
    <w:name w:val="Colorful Shading12"/>
    <w:basedOn w:val="TableNormal"/>
    <w:uiPriority w:val="71"/>
    <w:rsid w:val="008159F1"/>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3">
    <w:name w:val="Light List13"/>
    <w:basedOn w:val="TableNormal"/>
    <w:uiPriority w:val="61"/>
    <w:rsid w:val="008159F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8159F1"/>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2">
    <w:name w:val="Medium Shading 122"/>
    <w:basedOn w:val="TableNormal"/>
    <w:uiPriority w:val="63"/>
    <w:rsid w:val="008159F1"/>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2">
    <w:name w:val="Table Grid22"/>
    <w:basedOn w:val="TableNormal"/>
    <w:next w:val="TableGrid"/>
    <w:uiPriority w:val="99"/>
    <w:rsid w:val="008159F1"/>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99"/>
    <w:rsid w:val="008159F1"/>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3">
    <w:name w:val="Light List3"/>
    <w:basedOn w:val="TableNormal"/>
    <w:next w:val="LightList"/>
    <w:uiPriority w:val="61"/>
    <w:rsid w:val="008159F1"/>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2">
    <w:name w:val="Medium Shading 132"/>
    <w:basedOn w:val="TableNormal"/>
    <w:uiPriority w:val="63"/>
    <w:rsid w:val="008159F1"/>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2">
    <w:name w:val="Light List122"/>
    <w:basedOn w:val="TableNormal"/>
    <w:uiPriority w:val="61"/>
    <w:rsid w:val="008159F1"/>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2">
    <w:name w:val="Annual Report Table Style2"/>
    <w:basedOn w:val="TableNormal"/>
    <w:uiPriority w:val="99"/>
    <w:rsid w:val="008159F1"/>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MediumShading1-Accent515">
    <w:name w:val="Medium Shading 1 - Accent 515"/>
    <w:basedOn w:val="TableNormal"/>
    <w:next w:val="MediumShading1-Accent5"/>
    <w:uiPriority w:val="63"/>
    <w:rsid w:val="00B04F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6">
    <w:name w:val="Medium Shading 1 - Accent 516"/>
    <w:basedOn w:val="TableNormal"/>
    <w:next w:val="MediumShading1-Accent5"/>
    <w:uiPriority w:val="63"/>
    <w:rsid w:val="00B04F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7">
    <w:name w:val="Medium Shading 1 - Accent 517"/>
    <w:basedOn w:val="TableNormal"/>
    <w:next w:val="MediumShading1-Accent5"/>
    <w:uiPriority w:val="63"/>
    <w:rsid w:val="00B04F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8">
    <w:name w:val="Medium Shading 1 - Accent 518"/>
    <w:basedOn w:val="TableNormal"/>
    <w:next w:val="MediumShading1-Accent5"/>
    <w:uiPriority w:val="63"/>
    <w:rsid w:val="00B04F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9">
    <w:name w:val="Medium Shading 1 - Accent 519"/>
    <w:basedOn w:val="TableNormal"/>
    <w:next w:val="MediumShading1-Accent5"/>
    <w:uiPriority w:val="63"/>
    <w:rsid w:val="00B04F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0">
    <w:name w:val="Medium Shading 1 - Accent 520"/>
    <w:basedOn w:val="TableNormal"/>
    <w:next w:val="MediumShading1-Accent5"/>
    <w:uiPriority w:val="63"/>
    <w:rsid w:val="00B04F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1">
    <w:name w:val="Medium Shading 1 - Accent 521"/>
    <w:basedOn w:val="TableNormal"/>
    <w:next w:val="MediumShading1-Accent5"/>
    <w:uiPriority w:val="63"/>
    <w:rsid w:val="008606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2">
    <w:name w:val="Medium Shading 1 - Accent 522"/>
    <w:basedOn w:val="TableNormal"/>
    <w:next w:val="MediumShading1-Accent5"/>
    <w:uiPriority w:val="63"/>
    <w:rsid w:val="008606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3">
    <w:name w:val="Medium Shading 1 - Accent 523"/>
    <w:basedOn w:val="TableNormal"/>
    <w:next w:val="MediumShading1-Accent5"/>
    <w:uiPriority w:val="63"/>
    <w:rsid w:val="008606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4">
    <w:name w:val="Medium Shading 1 - Accent 524"/>
    <w:basedOn w:val="TableNormal"/>
    <w:next w:val="MediumShading1-Accent5"/>
    <w:uiPriority w:val="63"/>
    <w:rsid w:val="008606B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5">
    <w:name w:val="Medium Shading 1 - Accent 525"/>
    <w:basedOn w:val="TableNormal"/>
    <w:next w:val="MediumShading1-Accent5"/>
    <w:uiPriority w:val="63"/>
    <w:rsid w:val="00231FD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
    <w:name w:val="Annual Report Table Style3"/>
    <w:basedOn w:val="TableNormal"/>
    <w:uiPriority w:val="99"/>
    <w:rsid w:val="009B7E1B"/>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4">
    <w:name w:val="Annual Report Table Style4"/>
    <w:basedOn w:val="TableNormal"/>
    <w:uiPriority w:val="99"/>
    <w:rsid w:val="009B7E1B"/>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5">
    <w:name w:val="Annual Report Table Style5"/>
    <w:basedOn w:val="TableNormal"/>
    <w:uiPriority w:val="99"/>
    <w:rsid w:val="00137FB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6">
    <w:name w:val="Annual Report Table Style6"/>
    <w:basedOn w:val="TableNormal"/>
    <w:uiPriority w:val="99"/>
    <w:rsid w:val="00AF273C"/>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7">
    <w:name w:val="Annual Report Table Style7"/>
    <w:basedOn w:val="TableNormal"/>
    <w:uiPriority w:val="99"/>
    <w:rsid w:val="00FA6727"/>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8">
    <w:name w:val="Annual Report Table Style8"/>
    <w:basedOn w:val="TableNormal"/>
    <w:uiPriority w:val="99"/>
    <w:rsid w:val="009E0654"/>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9">
    <w:name w:val="Annual Report Table Style9"/>
    <w:basedOn w:val="TableNormal"/>
    <w:uiPriority w:val="99"/>
    <w:rsid w:val="007920D2"/>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10">
    <w:name w:val="Annual Report Table Style10"/>
    <w:basedOn w:val="TableNormal"/>
    <w:uiPriority w:val="99"/>
    <w:rsid w:val="00F72CC7"/>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paragraph" w:customStyle="1" w:styleId="subheading">
    <w:name w:val="subheading"/>
    <w:basedOn w:val="Normal"/>
    <w:qFormat/>
    <w:rsid w:val="00B44AFF"/>
    <w:pPr>
      <w:spacing w:after="60"/>
      <w:outlineLvl w:val="0"/>
    </w:pPr>
    <w:rPr>
      <w:rFonts w:ascii="Century Gothic" w:hAnsi="Century Gothic"/>
      <w:b/>
    </w:rPr>
  </w:style>
  <w:style w:type="character" w:styleId="FollowedHyperlink">
    <w:name w:val="FollowedHyperlink"/>
    <w:basedOn w:val="DefaultParagraphFont"/>
    <w:uiPriority w:val="99"/>
    <w:semiHidden/>
    <w:unhideWhenUsed/>
    <w:rsid w:val="00312A5B"/>
    <w:rPr>
      <w:color w:val="800080" w:themeColor="followedHyperlink"/>
      <w:u w:val="single"/>
    </w:rPr>
  </w:style>
  <w:style w:type="character" w:styleId="PageNumber">
    <w:name w:val="page number"/>
    <w:uiPriority w:val="99"/>
    <w:rsid w:val="00A8090B"/>
    <w:rPr>
      <w:rFonts w:cs="Times New Roman"/>
    </w:rPr>
  </w:style>
  <w:style w:type="paragraph" w:styleId="BodyText">
    <w:name w:val="Body Text"/>
    <w:basedOn w:val="Normal"/>
    <w:link w:val="BodyTextChar"/>
    <w:uiPriority w:val="99"/>
    <w:rsid w:val="00A8090B"/>
    <w:pPr>
      <w:overflowPunct w:val="0"/>
      <w:autoSpaceDE w:val="0"/>
      <w:autoSpaceDN w:val="0"/>
      <w:adjustRightInd w:val="0"/>
      <w:spacing w:after="200" w:line="288" w:lineRule="auto"/>
      <w:ind w:right="-187"/>
      <w:jc w:val="left"/>
      <w:textAlignment w:val="baseline"/>
    </w:pPr>
    <w:rPr>
      <w:rFonts w:ascii="Arial" w:hAnsi="Arial"/>
      <w:sz w:val="20"/>
      <w:szCs w:val="20"/>
    </w:rPr>
  </w:style>
  <w:style w:type="character" w:customStyle="1" w:styleId="BodyTextChar">
    <w:name w:val="Body Text Char"/>
    <w:basedOn w:val="DefaultParagraphFont"/>
    <w:link w:val="BodyText"/>
    <w:uiPriority w:val="99"/>
    <w:rsid w:val="00A8090B"/>
    <w:rPr>
      <w:rFonts w:ascii="Arial" w:hAnsi="Arial"/>
    </w:rPr>
  </w:style>
  <w:style w:type="character" w:customStyle="1" w:styleId="apple-converted-space">
    <w:name w:val="apple-converted-space"/>
    <w:basedOn w:val="DefaultParagraphFont"/>
    <w:rsid w:val="0008188B"/>
  </w:style>
  <w:style w:type="paragraph" w:customStyle="1" w:styleId="AppendixCHeading4">
    <w:name w:val="Appendix C Heading 4"/>
    <w:basedOn w:val="AppendixCHeading3"/>
    <w:qFormat/>
    <w:rsid w:val="000B36EC"/>
    <w:pPr>
      <w:numPr>
        <w:ilvl w:val="3"/>
      </w:numPr>
    </w:pPr>
    <w:rPr>
      <w:b/>
    </w:rPr>
  </w:style>
  <w:style w:type="paragraph" w:customStyle="1" w:styleId="Outline1">
    <w:name w:val="Outline 1"/>
    <w:rsid w:val="00CC68C6"/>
    <w:pPr>
      <w:tabs>
        <w:tab w:val="left" w:pos="720"/>
        <w:tab w:val="left" w:pos="1080"/>
        <w:tab w:val="left" w:pos="1440"/>
        <w:tab w:val="left" w:pos="1800"/>
        <w:tab w:val="left" w:pos="2160"/>
        <w:tab w:val="left" w:pos="2520"/>
        <w:tab w:val="left" w:pos="2880"/>
        <w:tab w:val="left" w:pos="3240"/>
      </w:tabs>
      <w:spacing w:before="60"/>
      <w:ind w:left="720" w:hanging="720"/>
    </w:pPr>
    <w:rPr>
      <w:rFonts w:ascii="Times New Roman" w:hAnsi="Times New Roman"/>
      <w:sz w:val="22"/>
    </w:rPr>
  </w:style>
  <w:style w:type="numbering" w:customStyle="1" w:styleId="NoList3">
    <w:name w:val="No List3"/>
    <w:next w:val="NoList"/>
    <w:uiPriority w:val="99"/>
    <w:semiHidden/>
    <w:unhideWhenUsed/>
    <w:rsid w:val="00661E10"/>
  </w:style>
  <w:style w:type="table" w:customStyle="1" w:styleId="TableGrid5">
    <w:name w:val="Table Grid5"/>
    <w:basedOn w:val="TableNormal"/>
    <w:next w:val="TableGrid"/>
    <w:uiPriority w:val="59"/>
    <w:rsid w:val="00661E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3">
    <w:name w:val="Medium Shading 113"/>
    <w:basedOn w:val="TableNormal"/>
    <w:uiPriority w:val="63"/>
    <w:rsid w:val="00661E1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3">
    <w:name w:val="Medium Shading 1 - Accent 113"/>
    <w:basedOn w:val="TableNormal"/>
    <w:uiPriority w:val="63"/>
    <w:rsid w:val="00661E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10">
    <w:name w:val="Medium Shading 1 - Accent 510"/>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3">
    <w:name w:val="Medium Shading 2 - Accent 113"/>
    <w:basedOn w:val="TableNormal"/>
    <w:uiPriority w:val="64"/>
    <w:rsid w:val="00661E1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3">
    <w:name w:val="Medium List 2 - Accent 13"/>
    <w:basedOn w:val="TableNormal"/>
    <w:next w:val="MediumList2-Accent1"/>
    <w:uiPriority w:val="66"/>
    <w:rsid w:val="00661E10"/>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3">
    <w:name w:val="Medium Grid 313"/>
    <w:basedOn w:val="TableNormal"/>
    <w:uiPriority w:val="69"/>
    <w:rsid w:val="00661E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3">
    <w:name w:val="Colorful Shading13"/>
    <w:basedOn w:val="TableNormal"/>
    <w:uiPriority w:val="71"/>
    <w:rsid w:val="00661E10"/>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4">
    <w:name w:val="Light List14"/>
    <w:basedOn w:val="TableNormal"/>
    <w:uiPriority w:val="61"/>
    <w:rsid w:val="00661E1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3">
    <w:name w:val="Light List113"/>
    <w:basedOn w:val="TableNormal"/>
    <w:uiPriority w:val="61"/>
    <w:rsid w:val="00661E10"/>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3">
    <w:name w:val="Medium Shading 123"/>
    <w:basedOn w:val="TableNormal"/>
    <w:uiPriority w:val="63"/>
    <w:rsid w:val="00661E1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3">
    <w:name w:val="Table Grid23"/>
    <w:basedOn w:val="TableNormal"/>
    <w:next w:val="TableGrid"/>
    <w:uiPriority w:val="99"/>
    <w:rsid w:val="00661E10"/>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99"/>
    <w:rsid w:val="00661E10"/>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4">
    <w:name w:val="Light List4"/>
    <w:basedOn w:val="TableNormal"/>
    <w:next w:val="LightList"/>
    <w:uiPriority w:val="61"/>
    <w:rsid w:val="00661E10"/>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3">
    <w:name w:val="Medium Shading 133"/>
    <w:basedOn w:val="TableNormal"/>
    <w:uiPriority w:val="63"/>
    <w:rsid w:val="00661E10"/>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527">
    <w:name w:val="Medium Shading 1 - Accent 527"/>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1">
    <w:name w:val="Medium Shading 1 - Accent 51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31">
    <w:name w:val="Medium Shading 1 - Accent 53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41">
    <w:name w:val="Medium Shading 1 - Accent 54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51">
    <w:name w:val="Medium Shading 1 - Accent 55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61">
    <w:name w:val="Medium Shading 1 - Accent 56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71">
    <w:name w:val="Medium Shading 1 - Accent 57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61">
    <w:name w:val="Medium Shading 1 - Accent 526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11">
    <w:name w:val="Annual Report Table Style1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numbering" w:customStyle="1" w:styleId="NoList11">
    <w:name w:val="No List11"/>
    <w:next w:val="NoList"/>
    <w:uiPriority w:val="99"/>
    <w:semiHidden/>
    <w:unhideWhenUsed/>
    <w:rsid w:val="00661E10"/>
  </w:style>
  <w:style w:type="table" w:customStyle="1" w:styleId="TableGrid11">
    <w:name w:val="Table Grid11"/>
    <w:basedOn w:val="TableNormal"/>
    <w:next w:val="TableGrid"/>
    <w:uiPriority w:val="59"/>
    <w:rsid w:val="00661E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11">
    <w:name w:val="Medium Shading 1111"/>
    <w:basedOn w:val="TableNormal"/>
    <w:uiPriority w:val="63"/>
    <w:rsid w:val="00661E1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1">
    <w:name w:val="Medium Shading 1 - Accent 1111"/>
    <w:basedOn w:val="TableNormal"/>
    <w:uiPriority w:val="63"/>
    <w:rsid w:val="00661E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81">
    <w:name w:val="Medium Shading 1 - Accent 58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11">
    <w:name w:val="Medium Shading 2 - Accent 1111"/>
    <w:basedOn w:val="TableNormal"/>
    <w:uiPriority w:val="64"/>
    <w:rsid w:val="00661E1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1">
    <w:name w:val="Medium List 2 - Accent 111"/>
    <w:basedOn w:val="TableNormal"/>
    <w:next w:val="MediumList2-Accent1"/>
    <w:uiPriority w:val="66"/>
    <w:rsid w:val="00661E10"/>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11">
    <w:name w:val="Medium Grid 3111"/>
    <w:basedOn w:val="TableNormal"/>
    <w:uiPriority w:val="69"/>
    <w:rsid w:val="00661E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11">
    <w:name w:val="Colorful Shading111"/>
    <w:basedOn w:val="TableNormal"/>
    <w:uiPriority w:val="71"/>
    <w:rsid w:val="00661E10"/>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23">
    <w:name w:val="Light List123"/>
    <w:basedOn w:val="TableNormal"/>
    <w:uiPriority w:val="61"/>
    <w:rsid w:val="00661E1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661E10"/>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11">
    <w:name w:val="Medium Shading 1211"/>
    <w:basedOn w:val="TableNormal"/>
    <w:uiPriority w:val="63"/>
    <w:rsid w:val="00661E1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11">
    <w:name w:val="Table Grid211"/>
    <w:basedOn w:val="TableNormal"/>
    <w:next w:val="TableGrid"/>
    <w:uiPriority w:val="99"/>
    <w:rsid w:val="00661E10"/>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99"/>
    <w:rsid w:val="00661E10"/>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1">
    <w:name w:val="Light List21"/>
    <w:basedOn w:val="TableNormal"/>
    <w:next w:val="LightList"/>
    <w:uiPriority w:val="61"/>
    <w:rsid w:val="00661E10"/>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11">
    <w:name w:val="Medium Shading 1311"/>
    <w:basedOn w:val="TableNormal"/>
    <w:uiPriority w:val="63"/>
    <w:rsid w:val="00661E10"/>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11">
    <w:name w:val="Light List1211"/>
    <w:basedOn w:val="TableNormal"/>
    <w:uiPriority w:val="61"/>
    <w:rsid w:val="00661E10"/>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12">
    <w:name w:val="Annual Report Table Style12"/>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numbering" w:customStyle="1" w:styleId="NoList21">
    <w:name w:val="No List21"/>
    <w:next w:val="NoList"/>
    <w:uiPriority w:val="99"/>
    <w:semiHidden/>
    <w:unhideWhenUsed/>
    <w:rsid w:val="00661E10"/>
  </w:style>
  <w:style w:type="table" w:customStyle="1" w:styleId="TableGrid41">
    <w:name w:val="Table Grid41"/>
    <w:basedOn w:val="TableNormal"/>
    <w:next w:val="TableGrid"/>
    <w:uiPriority w:val="59"/>
    <w:rsid w:val="00661E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21">
    <w:name w:val="Medium Shading 1121"/>
    <w:basedOn w:val="TableNormal"/>
    <w:uiPriority w:val="63"/>
    <w:rsid w:val="00661E1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1">
    <w:name w:val="Medium Shading 1 - Accent 1121"/>
    <w:basedOn w:val="TableNormal"/>
    <w:uiPriority w:val="63"/>
    <w:rsid w:val="00661E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91">
    <w:name w:val="Medium Shading 1 - Accent 59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21">
    <w:name w:val="Medium Shading 2 - Accent 1121"/>
    <w:basedOn w:val="TableNormal"/>
    <w:uiPriority w:val="64"/>
    <w:rsid w:val="00661E1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21">
    <w:name w:val="Medium List 2 - Accent 121"/>
    <w:basedOn w:val="TableNormal"/>
    <w:next w:val="MediumList2-Accent1"/>
    <w:uiPriority w:val="66"/>
    <w:rsid w:val="00661E10"/>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21">
    <w:name w:val="Medium Grid 3121"/>
    <w:basedOn w:val="TableNormal"/>
    <w:uiPriority w:val="69"/>
    <w:rsid w:val="00661E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21">
    <w:name w:val="Colorful Shading121"/>
    <w:basedOn w:val="TableNormal"/>
    <w:uiPriority w:val="71"/>
    <w:rsid w:val="00661E10"/>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31">
    <w:name w:val="Light List131"/>
    <w:basedOn w:val="TableNormal"/>
    <w:uiPriority w:val="61"/>
    <w:rsid w:val="00661E1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1">
    <w:name w:val="Light List1121"/>
    <w:basedOn w:val="TableNormal"/>
    <w:uiPriority w:val="61"/>
    <w:rsid w:val="00661E10"/>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21">
    <w:name w:val="Medium Shading 1221"/>
    <w:basedOn w:val="TableNormal"/>
    <w:uiPriority w:val="63"/>
    <w:rsid w:val="00661E1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21">
    <w:name w:val="Table Grid221"/>
    <w:basedOn w:val="TableNormal"/>
    <w:next w:val="TableGrid"/>
    <w:uiPriority w:val="99"/>
    <w:rsid w:val="00661E10"/>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99"/>
    <w:rsid w:val="00661E10"/>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31">
    <w:name w:val="Light List31"/>
    <w:basedOn w:val="TableNormal"/>
    <w:next w:val="LightList"/>
    <w:uiPriority w:val="61"/>
    <w:rsid w:val="00661E10"/>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21">
    <w:name w:val="Medium Shading 1321"/>
    <w:basedOn w:val="TableNormal"/>
    <w:uiPriority w:val="63"/>
    <w:rsid w:val="00661E10"/>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21">
    <w:name w:val="Light List1221"/>
    <w:basedOn w:val="TableNormal"/>
    <w:uiPriority w:val="61"/>
    <w:rsid w:val="00661E10"/>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21">
    <w:name w:val="Annual Report Table Style2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MediumShading1-Accent5151">
    <w:name w:val="Medium Shading 1 - Accent 515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61">
    <w:name w:val="Medium Shading 1 - Accent 516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71">
    <w:name w:val="Medium Shading 1 - Accent 517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81">
    <w:name w:val="Medium Shading 1 - Accent 518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91">
    <w:name w:val="Medium Shading 1 - Accent 519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01">
    <w:name w:val="Medium Shading 1 - Accent 520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11">
    <w:name w:val="Medium Shading 1 - Accent 521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21">
    <w:name w:val="Medium Shading 1 - Accent 522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31">
    <w:name w:val="Medium Shading 1 - Accent 523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41">
    <w:name w:val="Medium Shading 1 - Accent 524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51">
    <w:name w:val="Medium Shading 1 - Accent 5251"/>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1">
    <w:name w:val="Annual Report Table Style3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41">
    <w:name w:val="Annual Report Table Style4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51">
    <w:name w:val="Annual Report Table Style5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61">
    <w:name w:val="Annual Report Table Style6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71">
    <w:name w:val="Annual Report Table Style7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81">
    <w:name w:val="Annual Report Table Style8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91">
    <w:name w:val="Annual Report Table Style9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101">
    <w:name w:val="Annual Report Table Style101"/>
    <w:basedOn w:val="TableNormal"/>
    <w:uiPriority w:val="99"/>
    <w:rsid w:val="00661E10"/>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MediumShading1-Accent582">
    <w:name w:val="Medium Shading 1 - Accent 582"/>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styleId="Quote">
    <w:name w:val="Quote"/>
    <w:basedOn w:val="Normal"/>
    <w:next w:val="Normal"/>
    <w:link w:val="QuoteChar"/>
    <w:uiPriority w:val="29"/>
    <w:rsid w:val="00661E10"/>
    <w:pPr>
      <w:spacing w:before="200" w:after="160"/>
      <w:ind w:left="864" w:right="864"/>
      <w:jc w:val="center"/>
    </w:pPr>
    <w:rPr>
      <w:i/>
      <w:iCs/>
      <w:color w:val="404040"/>
    </w:rPr>
  </w:style>
  <w:style w:type="character" w:customStyle="1" w:styleId="QuoteChar">
    <w:name w:val="Quote Char"/>
    <w:basedOn w:val="DefaultParagraphFont"/>
    <w:link w:val="Quote"/>
    <w:uiPriority w:val="29"/>
    <w:rsid w:val="00661E10"/>
    <w:rPr>
      <w:i/>
      <w:iCs/>
      <w:color w:val="404040"/>
      <w:sz w:val="22"/>
      <w:szCs w:val="22"/>
    </w:rPr>
  </w:style>
  <w:style w:type="paragraph" w:styleId="Bibliography">
    <w:name w:val="Bibliography"/>
    <w:basedOn w:val="Normal"/>
    <w:next w:val="Normal"/>
    <w:uiPriority w:val="37"/>
    <w:semiHidden/>
    <w:unhideWhenUsed/>
    <w:rsid w:val="00661E10"/>
  </w:style>
  <w:style w:type="paragraph" w:customStyle="1" w:styleId="Bullet1">
    <w:name w:val="Bullet 1"/>
    <w:basedOn w:val="Normal"/>
    <w:link w:val="Bullet1Char"/>
    <w:qFormat/>
    <w:rsid w:val="00661E10"/>
    <w:pPr>
      <w:numPr>
        <w:numId w:val="15"/>
      </w:numPr>
      <w:spacing w:before="180"/>
      <w:jc w:val="left"/>
    </w:pPr>
    <w:rPr>
      <w:rFonts w:ascii="Times New Roman" w:hAnsi="Times New Roman"/>
      <w:sz w:val="24"/>
      <w:szCs w:val="20"/>
    </w:rPr>
  </w:style>
  <w:style w:type="paragraph" w:customStyle="1" w:styleId="TableHeading">
    <w:name w:val="Table Heading"/>
    <w:basedOn w:val="Normal"/>
    <w:link w:val="TableHeadingChar1"/>
    <w:rsid w:val="00661E10"/>
    <w:pPr>
      <w:keepNext/>
      <w:numPr>
        <w:ilvl w:val="12"/>
      </w:numPr>
      <w:spacing w:before="120" w:after="60"/>
      <w:jc w:val="center"/>
    </w:pPr>
    <w:rPr>
      <w:rFonts w:ascii="Arial Bold" w:hAnsi="Arial Bold" w:cs="Arial"/>
      <w:b/>
      <w:smallCaps/>
      <w:sz w:val="20"/>
      <w:szCs w:val="18"/>
    </w:rPr>
  </w:style>
  <w:style w:type="paragraph" w:customStyle="1" w:styleId="TableBody">
    <w:name w:val="Table Body"/>
    <w:basedOn w:val="Normal"/>
    <w:link w:val="TableBodyChar"/>
    <w:rsid w:val="00661E10"/>
    <w:pPr>
      <w:numPr>
        <w:ilvl w:val="12"/>
      </w:numPr>
      <w:spacing w:before="80" w:after="40"/>
      <w:jc w:val="center"/>
    </w:pPr>
    <w:rPr>
      <w:rFonts w:ascii="Arial" w:hAnsi="Arial" w:cs="Arial"/>
      <w:sz w:val="18"/>
      <w:szCs w:val="18"/>
    </w:rPr>
  </w:style>
  <w:style w:type="paragraph" w:customStyle="1" w:styleId="TableNote">
    <w:name w:val="Table Note"/>
    <w:basedOn w:val="Normal"/>
    <w:rsid w:val="00661E10"/>
    <w:pPr>
      <w:numPr>
        <w:ilvl w:val="12"/>
      </w:numPr>
      <w:spacing w:before="120" w:after="180"/>
      <w:ind w:left="360" w:right="187" w:hanging="187"/>
      <w:jc w:val="left"/>
    </w:pPr>
    <w:rPr>
      <w:rFonts w:ascii="Arial" w:hAnsi="Arial" w:cs="Arial"/>
      <w:sz w:val="16"/>
      <w:szCs w:val="20"/>
    </w:rPr>
  </w:style>
  <w:style w:type="paragraph" w:customStyle="1" w:styleId="TableBodyHeading">
    <w:name w:val="Table Body Heading"/>
    <w:basedOn w:val="Normal"/>
    <w:link w:val="TableBodyHeadingChar"/>
    <w:rsid w:val="00661E10"/>
    <w:pPr>
      <w:numPr>
        <w:ilvl w:val="12"/>
      </w:numPr>
      <w:spacing w:before="80" w:after="40"/>
      <w:ind w:left="144" w:hanging="144"/>
      <w:jc w:val="left"/>
    </w:pPr>
    <w:rPr>
      <w:rFonts w:ascii="Arial" w:hAnsi="Arial" w:cs="Arial"/>
      <w:sz w:val="18"/>
      <w:szCs w:val="18"/>
    </w:rPr>
  </w:style>
  <w:style w:type="numbering" w:customStyle="1" w:styleId="Appendix">
    <w:name w:val="Appendix"/>
    <w:uiPriority w:val="99"/>
    <w:rsid w:val="00661E10"/>
    <w:pPr>
      <w:numPr>
        <w:numId w:val="16"/>
      </w:numPr>
    </w:pPr>
  </w:style>
  <w:style w:type="character" w:customStyle="1" w:styleId="Bullet1Char">
    <w:name w:val="Bullet 1 Char"/>
    <w:link w:val="Bullet1"/>
    <w:locked/>
    <w:rsid w:val="00661E10"/>
    <w:rPr>
      <w:rFonts w:ascii="Times New Roman" w:hAnsi="Times New Roman"/>
      <w:sz w:val="24"/>
    </w:rPr>
  </w:style>
  <w:style w:type="paragraph" w:customStyle="1" w:styleId="TableHeadingLeftAlign">
    <w:name w:val="Table Heading Left Align"/>
    <w:basedOn w:val="TableHeading"/>
    <w:rsid w:val="00661E10"/>
    <w:pPr>
      <w:jc w:val="left"/>
    </w:pPr>
  </w:style>
  <w:style w:type="character" w:customStyle="1" w:styleId="TableBodyChar">
    <w:name w:val="Table Body Char"/>
    <w:link w:val="TableBody"/>
    <w:rsid w:val="00661E10"/>
    <w:rPr>
      <w:rFonts w:ascii="Arial" w:hAnsi="Arial" w:cs="Arial"/>
      <w:sz w:val="18"/>
      <w:szCs w:val="18"/>
    </w:rPr>
  </w:style>
  <w:style w:type="character" w:customStyle="1" w:styleId="TableBodyHeadingChar">
    <w:name w:val="Table Body Heading Char"/>
    <w:link w:val="TableBodyHeading"/>
    <w:rsid w:val="00661E10"/>
    <w:rPr>
      <w:rFonts w:ascii="Arial" w:hAnsi="Arial" w:cs="Arial"/>
      <w:sz w:val="18"/>
      <w:szCs w:val="18"/>
    </w:rPr>
  </w:style>
  <w:style w:type="character" w:customStyle="1" w:styleId="TableHeadingChar1">
    <w:name w:val="Table Heading Char1"/>
    <w:link w:val="TableHeading"/>
    <w:locked/>
    <w:rsid w:val="00661E10"/>
    <w:rPr>
      <w:rFonts w:ascii="Arial Bold" w:hAnsi="Arial Bold" w:cs="Arial"/>
      <w:b/>
      <w:smallCaps/>
      <w:szCs w:val="18"/>
    </w:rPr>
  </w:style>
  <w:style w:type="table" w:styleId="LightList-Accent5">
    <w:name w:val="Light List Accent 5"/>
    <w:basedOn w:val="TableNormal"/>
    <w:uiPriority w:val="61"/>
    <w:rsid w:val="00661E10"/>
    <w:rPr>
      <w:rFonts w:eastAsia="Calibri"/>
      <w:sz w:val="22"/>
      <w:szCs w:val="22"/>
    </w:rPr>
    <w:tblPr>
      <w:tblStyleRowBandSize w:val="1"/>
      <w:tblStyleColBandSize w:val="1"/>
      <w:tblBorders>
        <w:top w:val="single" w:sz="4" w:space="0" w:color="448A99"/>
        <w:left w:val="single" w:sz="4" w:space="0" w:color="448A99"/>
        <w:bottom w:val="single" w:sz="4" w:space="0" w:color="448A99"/>
        <w:right w:val="single" w:sz="4" w:space="0" w:color="448A99"/>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nnualReportTableStyle211">
    <w:name w:val="Annual Report Table Style2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31">
    <w:name w:val="No List31"/>
    <w:next w:val="NoList"/>
    <w:uiPriority w:val="99"/>
    <w:semiHidden/>
    <w:unhideWhenUsed/>
    <w:rsid w:val="00661E10"/>
  </w:style>
  <w:style w:type="paragraph" w:customStyle="1" w:styleId="C1">
    <w:name w:val="C.1"/>
    <w:basedOn w:val="AppendixCHeading1"/>
    <w:link w:val="C1Char"/>
    <w:qFormat/>
    <w:rsid w:val="00661E10"/>
    <w:pPr>
      <w:numPr>
        <w:numId w:val="0"/>
      </w:numPr>
    </w:pPr>
  </w:style>
  <w:style w:type="paragraph" w:customStyle="1" w:styleId="donotuse">
    <w:name w:val="do not use"/>
    <w:basedOn w:val="ListParagraph"/>
    <w:link w:val="donotuseChar"/>
    <w:rsid w:val="00915BAC"/>
    <w:pPr>
      <w:numPr>
        <w:numId w:val="28"/>
      </w:numPr>
      <w:shd w:val="clear" w:color="auto" w:fill="448A99"/>
      <w:spacing w:after="120"/>
      <w:contextualSpacing w:val="0"/>
    </w:pPr>
    <w:rPr>
      <w:rFonts w:ascii="Britannic Bold" w:hAnsi="Britannic Bold"/>
      <w:caps/>
      <w:color w:val="FFFFFF" w:themeColor="background1"/>
      <w:sz w:val="32"/>
    </w:rPr>
  </w:style>
  <w:style w:type="character" w:customStyle="1" w:styleId="C1Char">
    <w:name w:val="C.1 Char"/>
    <w:basedOn w:val="AppendixCHeading1Char"/>
    <w:link w:val="C1"/>
    <w:rsid w:val="00661E10"/>
    <w:rPr>
      <w:rFonts w:ascii="Century Gothic" w:hAnsi="Century Gothic"/>
      <w:b/>
      <w:caps/>
      <w:smallCaps w:val="0"/>
      <w:sz w:val="24"/>
      <w:szCs w:val="22"/>
    </w:rPr>
  </w:style>
  <w:style w:type="character" w:customStyle="1" w:styleId="donotuseChar">
    <w:name w:val="do not use Char"/>
    <w:link w:val="donotuse"/>
    <w:rsid w:val="00915BAC"/>
    <w:rPr>
      <w:rFonts w:ascii="Britannic Bold" w:hAnsi="Britannic Bold"/>
      <w:caps/>
      <w:color w:val="FFFFFF" w:themeColor="background1"/>
      <w:sz w:val="32"/>
      <w:shd w:val="clear" w:color="auto" w:fill="448A99"/>
    </w:rPr>
  </w:style>
  <w:style w:type="table" w:customStyle="1" w:styleId="AnnualReportTableStyle111">
    <w:name w:val="Annual Report Table Style1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111">
    <w:name w:val="No List111"/>
    <w:next w:val="NoList"/>
    <w:uiPriority w:val="99"/>
    <w:semiHidden/>
    <w:unhideWhenUsed/>
    <w:rsid w:val="00661E10"/>
  </w:style>
  <w:style w:type="table" w:customStyle="1" w:styleId="MediumShading1-Accent583">
    <w:name w:val="Medium Shading 1 - Accent 583"/>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121">
    <w:name w:val="Annual Report Table Style12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211">
    <w:name w:val="No List211"/>
    <w:next w:val="NoList"/>
    <w:uiPriority w:val="99"/>
    <w:semiHidden/>
    <w:unhideWhenUsed/>
    <w:rsid w:val="00661E10"/>
  </w:style>
  <w:style w:type="table" w:customStyle="1" w:styleId="MediumShading1-Accent592">
    <w:name w:val="Medium Shading 1 - Accent 592"/>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22">
    <w:name w:val="Annual Report Table Style22"/>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MediumShading1-Accent5152">
    <w:name w:val="Medium Shading 1 - Accent 5152"/>
    <w:basedOn w:val="TableNormal"/>
    <w:next w:val="MediumShading1-Accent5"/>
    <w:uiPriority w:val="63"/>
    <w:rsid w:val="00661E1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11">
    <w:name w:val="Annual Report Table Style3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411">
    <w:name w:val="Annual Report Table Style4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511">
    <w:name w:val="Annual Report Table Style5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611">
    <w:name w:val="Annual Report Table Style6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711">
    <w:name w:val="Annual Report Table Style7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811">
    <w:name w:val="Annual Report Table Style8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911">
    <w:name w:val="Annual Report Table Style9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1011">
    <w:name w:val="Annual Report Table Style1011"/>
    <w:basedOn w:val="TableNormal"/>
    <w:uiPriority w:val="99"/>
    <w:rsid w:val="00661E10"/>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paragraph" w:customStyle="1" w:styleId="Bulletlevel1">
    <w:name w:val="Bullet level 1"/>
    <w:basedOn w:val="ListParagraph"/>
    <w:qFormat/>
    <w:rsid w:val="00661E10"/>
    <w:pPr>
      <w:numPr>
        <w:numId w:val="17"/>
      </w:numPr>
      <w:spacing w:after="60"/>
      <w:ind w:left="360"/>
      <w:contextualSpacing w:val="0"/>
    </w:pPr>
    <w:rPr>
      <w:rFonts w:eastAsia="Calibri"/>
      <w:szCs w:val="22"/>
    </w:rPr>
  </w:style>
  <w:style w:type="paragraph" w:customStyle="1" w:styleId="Bulletlevel1-last">
    <w:name w:val="Bullet level 1-last"/>
    <w:basedOn w:val="Bulletlevel1"/>
    <w:qFormat/>
    <w:rsid w:val="00661E10"/>
    <w:pPr>
      <w:spacing w:after="200"/>
    </w:pPr>
  </w:style>
  <w:style w:type="paragraph" w:customStyle="1" w:styleId="t">
    <w:name w:val="t"/>
    <w:aliases w:val="text,text + +Body,Line spacing:  Multiple 1.15 li + +Body,1... + Subscript"/>
    <w:basedOn w:val="Normal"/>
    <w:link w:val="tChar"/>
    <w:qFormat/>
    <w:rsid w:val="00661E10"/>
    <w:pPr>
      <w:spacing w:after="240" w:line="264" w:lineRule="auto"/>
      <w:ind w:left="360"/>
    </w:pPr>
    <w:rPr>
      <w:rFonts w:cs="Arial"/>
    </w:rPr>
  </w:style>
  <w:style w:type="character" w:customStyle="1" w:styleId="tChar">
    <w:name w:val="t Char"/>
    <w:aliases w:val="text Char,text Char Char,text1,text2,t Char1,text Char1,text5,text11,text3,text31,text4,text6,text61,text7,text9,text Char Char1,text + +Body Char,Line spacing:  Multiple 1.15 li + +Body Char,1... + Subscript Char"/>
    <w:link w:val="t"/>
    <w:locked/>
    <w:rsid w:val="00661E10"/>
    <w:rPr>
      <w:rFonts w:cs="Arial"/>
      <w:sz w:val="22"/>
      <w:szCs w:val="22"/>
    </w:rPr>
  </w:style>
  <w:style w:type="character" w:customStyle="1" w:styleId="NoSpacingChar">
    <w:name w:val="No Spacing Char"/>
    <w:aliases w:val="Table Char"/>
    <w:link w:val="NoSpacing"/>
    <w:uiPriority w:val="1"/>
    <w:rsid w:val="00661E10"/>
    <w:rPr>
      <w:rFonts w:eastAsia="Calibri"/>
      <w:sz w:val="22"/>
      <w:szCs w:val="22"/>
    </w:rPr>
  </w:style>
  <w:style w:type="paragraph" w:styleId="ListBullet">
    <w:name w:val="List Bullet"/>
    <w:basedOn w:val="Normal"/>
    <w:uiPriority w:val="99"/>
    <w:unhideWhenUsed/>
    <w:qFormat/>
    <w:rsid w:val="00661E10"/>
    <w:pPr>
      <w:numPr>
        <w:numId w:val="18"/>
      </w:numPr>
      <w:contextualSpacing/>
    </w:pPr>
  </w:style>
  <w:style w:type="numbering" w:customStyle="1" w:styleId="NoList4">
    <w:name w:val="No List4"/>
    <w:next w:val="NoList"/>
    <w:uiPriority w:val="99"/>
    <w:semiHidden/>
    <w:unhideWhenUsed/>
    <w:rsid w:val="002E051C"/>
  </w:style>
  <w:style w:type="table" w:customStyle="1" w:styleId="TableGrid6">
    <w:name w:val="Table Grid6"/>
    <w:basedOn w:val="TableNormal"/>
    <w:next w:val="TableGrid"/>
    <w:uiPriority w:val="39"/>
    <w:rsid w:val="002E0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4">
    <w:name w:val="Medium Shading 114"/>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4">
    <w:name w:val="Medium Shading 1 - Accent 114"/>
    <w:basedOn w:val="TableNormal"/>
    <w:uiPriority w:val="63"/>
    <w:rsid w:val="002E051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12">
    <w:name w:val="Medium Shading 1 - Accent 51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4">
    <w:name w:val="Medium Shading 2 - Accent 114"/>
    <w:basedOn w:val="TableNormal"/>
    <w:uiPriority w:val="64"/>
    <w:rsid w:val="002E051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4">
    <w:name w:val="Medium List 2 - Accent 14"/>
    <w:basedOn w:val="TableNormal"/>
    <w:next w:val="MediumList2-Accent1"/>
    <w:uiPriority w:val="66"/>
    <w:rsid w:val="002E051C"/>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4">
    <w:name w:val="Medium Grid 314"/>
    <w:basedOn w:val="TableNormal"/>
    <w:uiPriority w:val="69"/>
    <w:rsid w:val="002E051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4">
    <w:name w:val="Colorful Shading14"/>
    <w:basedOn w:val="TableNormal"/>
    <w:uiPriority w:val="71"/>
    <w:rsid w:val="002E051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5">
    <w:name w:val="Light List15"/>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4">
    <w:name w:val="Light List114"/>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4">
    <w:name w:val="Medium Shading 124"/>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4">
    <w:name w:val="Table Grid24"/>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5">
    <w:name w:val="Light List5"/>
    <w:basedOn w:val="TableNormal"/>
    <w:next w:val="LightList"/>
    <w:uiPriority w:val="61"/>
    <w:rsid w:val="002E051C"/>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4">
    <w:name w:val="Medium Shading 134"/>
    <w:basedOn w:val="TableNormal"/>
    <w:uiPriority w:val="63"/>
    <w:rsid w:val="002E051C"/>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528">
    <w:name w:val="Medium Shading 1 - Accent 528"/>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3">
    <w:name w:val="Medium Shading 1 - Accent 513"/>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32">
    <w:name w:val="Medium Shading 1 - Accent 53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42">
    <w:name w:val="Medium Shading 1 - Accent 54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52">
    <w:name w:val="Medium Shading 1 - Accent 55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62">
    <w:name w:val="Medium Shading 1 - Accent 56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72">
    <w:name w:val="Medium Shading 1 - Accent 57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62">
    <w:name w:val="Medium Shading 1 - Accent 526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13">
    <w:name w:val="Annual Report Table Style13"/>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12">
    <w:name w:val="No List12"/>
    <w:next w:val="NoList"/>
    <w:uiPriority w:val="99"/>
    <w:semiHidden/>
    <w:unhideWhenUsed/>
    <w:rsid w:val="002E051C"/>
  </w:style>
  <w:style w:type="table" w:customStyle="1" w:styleId="TableGrid12">
    <w:name w:val="Table Grid12"/>
    <w:basedOn w:val="TableNormal"/>
    <w:next w:val="TableGrid"/>
    <w:uiPriority w:val="59"/>
    <w:rsid w:val="002E0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12">
    <w:name w:val="Medium Shading 1112"/>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2">
    <w:name w:val="Medium Shading 1 - Accent 1112"/>
    <w:basedOn w:val="TableNormal"/>
    <w:uiPriority w:val="63"/>
    <w:rsid w:val="002E051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84">
    <w:name w:val="Medium Shading 1 - Accent 584"/>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12">
    <w:name w:val="Medium Shading 2 - Accent 1112"/>
    <w:basedOn w:val="TableNormal"/>
    <w:uiPriority w:val="64"/>
    <w:rsid w:val="002E051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2">
    <w:name w:val="Medium List 2 - Accent 112"/>
    <w:basedOn w:val="TableNormal"/>
    <w:next w:val="MediumList2-Accent1"/>
    <w:uiPriority w:val="66"/>
    <w:rsid w:val="002E051C"/>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12">
    <w:name w:val="Medium Grid 3112"/>
    <w:basedOn w:val="TableNormal"/>
    <w:uiPriority w:val="69"/>
    <w:rsid w:val="002E051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12">
    <w:name w:val="Colorful Shading112"/>
    <w:basedOn w:val="TableNormal"/>
    <w:uiPriority w:val="71"/>
    <w:rsid w:val="002E051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24">
    <w:name w:val="Light List124"/>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2">
    <w:name w:val="Light List1112"/>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12">
    <w:name w:val="Medium Shading 1212"/>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12">
    <w:name w:val="Table Grid212"/>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2">
    <w:name w:val="Light List22"/>
    <w:basedOn w:val="TableNormal"/>
    <w:next w:val="LightList"/>
    <w:uiPriority w:val="61"/>
    <w:rsid w:val="002E051C"/>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12">
    <w:name w:val="Medium Shading 1312"/>
    <w:basedOn w:val="TableNormal"/>
    <w:uiPriority w:val="63"/>
    <w:rsid w:val="002E051C"/>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12">
    <w:name w:val="Light List1212"/>
    <w:basedOn w:val="TableNormal"/>
    <w:uiPriority w:val="61"/>
    <w:rsid w:val="002E051C"/>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14">
    <w:name w:val="Annual Report Table Style14"/>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22">
    <w:name w:val="No List22"/>
    <w:next w:val="NoList"/>
    <w:uiPriority w:val="99"/>
    <w:semiHidden/>
    <w:unhideWhenUsed/>
    <w:rsid w:val="002E051C"/>
  </w:style>
  <w:style w:type="table" w:customStyle="1" w:styleId="TableGrid42">
    <w:name w:val="Table Grid42"/>
    <w:basedOn w:val="TableNormal"/>
    <w:next w:val="TableGrid"/>
    <w:uiPriority w:val="59"/>
    <w:rsid w:val="002E0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22">
    <w:name w:val="Medium Shading 1122"/>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2">
    <w:name w:val="Medium Shading 1 - Accent 1122"/>
    <w:basedOn w:val="TableNormal"/>
    <w:uiPriority w:val="63"/>
    <w:rsid w:val="002E051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93">
    <w:name w:val="Medium Shading 1 - Accent 593"/>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22">
    <w:name w:val="Medium Shading 2 - Accent 1122"/>
    <w:basedOn w:val="TableNormal"/>
    <w:uiPriority w:val="64"/>
    <w:rsid w:val="002E051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22">
    <w:name w:val="Medium List 2 - Accent 122"/>
    <w:basedOn w:val="TableNormal"/>
    <w:next w:val="MediumList2-Accent1"/>
    <w:uiPriority w:val="66"/>
    <w:rsid w:val="002E051C"/>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22">
    <w:name w:val="Medium Grid 3122"/>
    <w:basedOn w:val="TableNormal"/>
    <w:uiPriority w:val="69"/>
    <w:rsid w:val="002E051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22">
    <w:name w:val="Colorful Shading122"/>
    <w:basedOn w:val="TableNormal"/>
    <w:uiPriority w:val="71"/>
    <w:rsid w:val="002E051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32">
    <w:name w:val="Light List132"/>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2">
    <w:name w:val="Light List1122"/>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22">
    <w:name w:val="Medium Shading 1222"/>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22">
    <w:name w:val="Table Grid222"/>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32">
    <w:name w:val="Light List32"/>
    <w:basedOn w:val="TableNormal"/>
    <w:next w:val="LightList"/>
    <w:uiPriority w:val="61"/>
    <w:rsid w:val="002E051C"/>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22">
    <w:name w:val="Medium Shading 1322"/>
    <w:basedOn w:val="TableNormal"/>
    <w:uiPriority w:val="63"/>
    <w:rsid w:val="002E051C"/>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22">
    <w:name w:val="Light List1222"/>
    <w:basedOn w:val="TableNormal"/>
    <w:uiPriority w:val="61"/>
    <w:rsid w:val="002E051C"/>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23">
    <w:name w:val="Annual Report Table Style23"/>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MediumShading1-Accent5153">
    <w:name w:val="Medium Shading 1 - Accent 5153"/>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62">
    <w:name w:val="Medium Shading 1 - Accent 516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72">
    <w:name w:val="Medium Shading 1 - Accent 517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82">
    <w:name w:val="Medium Shading 1 - Accent 518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92">
    <w:name w:val="Medium Shading 1 - Accent 519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02">
    <w:name w:val="Medium Shading 1 - Accent 520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12">
    <w:name w:val="Medium Shading 1 - Accent 521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22">
    <w:name w:val="Medium Shading 1 - Accent 522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32">
    <w:name w:val="Medium Shading 1 - Accent 523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42">
    <w:name w:val="Medium Shading 1 - Accent 524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52">
    <w:name w:val="Medium Shading 1 - Accent 5252"/>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2">
    <w:name w:val="Annual Report Table Style3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42">
    <w:name w:val="Annual Report Table Style4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52">
    <w:name w:val="Annual Report Table Style5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62">
    <w:name w:val="Annual Report Table Style6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72">
    <w:name w:val="Annual Report Table Style7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82">
    <w:name w:val="Annual Report Table Style8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92">
    <w:name w:val="Annual Report Table Style9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102">
    <w:name w:val="Annual Report Table Style10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MediumShading1-Accent5811">
    <w:name w:val="Medium Shading 1 - Accent 58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821">
    <w:name w:val="Medium Shading 1 - Accent 582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911">
    <w:name w:val="Medium Shading 1 - Accent 59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511">
    <w:name w:val="Medium Shading 1 - Accent 515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numbering" w:customStyle="1" w:styleId="Appendix1">
    <w:name w:val="Appendix1"/>
    <w:uiPriority w:val="99"/>
    <w:rsid w:val="002E051C"/>
    <w:pPr>
      <w:numPr>
        <w:numId w:val="12"/>
      </w:numPr>
    </w:pPr>
  </w:style>
  <w:style w:type="table" w:customStyle="1" w:styleId="LightList-Accent51">
    <w:name w:val="Light List - Accent 51"/>
    <w:basedOn w:val="TableNormal"/>
    <w:next w:val="LightList-Accent5"/>
    <w:uiPriority w:val="61"/>
    <w:rsid w:val="002E051C"/>
    <w:rPr>
      <w:rFonts w:eastAsia="Calibri"/>
      <w:sz w:val="22"/>
      <w:szCs w:val="22"/>
    </w:rPr>
    <w:tblPr>
      <w:tblStyleRowBandSize w:val="1"/>
      <w:tblStyleColBandSize w:val="1"/>
      <w:tblBorders>
        <w:top w:val="single" w:sz="4" w:space="0" w:color="448A99"/>
        <w:left w:val="single" w:sz="4" w:space="0" w:color="448A99"/>
        <w:bottom w:val="single" w:sz="4" w:space="0" w:color="448A99"/>
        <w:right w:val="single" w:sz="4" w:space="0" w:color="448A99"/>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nnualReportTableStyle212">
    <w:name w:val="Annual Report Table Style2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32">
    <w:name w:val="No List32"/>
    <w:next w:val="NoList"/>
    <w:uiPriority w:val="99"/>
    <w:semiHidden/>
    <w:unhideWhenUsed/>
    <w:rsid w:val="002E051C"/>
  </w:style>
  <w:style w:type="table" w:customStyle="1" w:styleId="TableGrid51">
    <w:name w:val="Table Grid51"/>
    <w:basedOn w:val="TableNormal"/>
    <w:next w:val="TableGrid"/>
    <w:uiPriority w:val="59"/>
    <w:rsid w:val="002E0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31">
    <w:name w:val="Medium Shading 1131"/>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31">
    <w:name w:val="Medium Shading 1 - Accent 1131"/>
    <w:basedOn w:val="TableNormal"/>
    <w:uiPriority w:val="63"/>
    <w:rsid w:val="002E051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101">
    <w:name w:val="Medium Shading 1 - Accent 510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31">
    <w:name w:val="Medium Shading 2 - Accent 1131"/>
    <w:basedOn w:val="TableNormal"/>
    <w:uiPriority w:val="64"/>
    <w:rsid w:val="002E051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31">
    <w:name w:val="Medium List 2 - Accent 131"/>
    <w:basedOn w:val="TableNormal"/>
    <w:next w:val="MediumList2-Accent1"/>
    <w:uiPriority w:val="66"/>
    <w:rsid w:val="002E051C"/>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31">
    <w:name w:val="Medium Grid 3131"/>
    <w:basedOn w:val="TableNormal"/>
    <w:uiPriority w:val="69"/>
    <w:rsid w:val="002E051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31">
    <w:name w:val="Colorful Shading131"/>
    <w:basedOn w:val="TableNormal"/>
    <w:uiPriority w:val="71"/>
    <w:rsid w:val="002E051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41">
    <w:name w:val="Light List141"/>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31">
    <w:name w:val="Light List1131"/>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31">
    <w:name w:val="Medium Shading 1231"/>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31">
    <w:name w:val="Table Grid231"/>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41">
    <w:name w:val="Light List41"/>
    <w:basedOn w:val="TableNormal"/>
    <w:next w:val="LightList"/>
    <w:uiPriority w:val="61"/>
    <w:rsid w:val="002E051C"/>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31">
    <w:name w:val="Medium Shading 1331"/>
    <w:basedOn w:val="TableNormal"/>
    <w:uiPriority w:val="63"/>
    <w:rsid w:val="002E051C"/>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5271">
    <w:name w:val="Medium Shading 1 - Accent 527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11">
    <w:name w:val="Medium Shading 1 - Accent 51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311">
    <w:name w:val="Medium Shading 1 - Accent 53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411">
    <w:name w:val="Medium Shading 1 - Accent 54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511">
    <w:name w:val="Medium Shading 1 - Accent 55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611">
    <w:name w:val="Medium Shading 1 - Accent 56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711">
    <w:name w:val="Medium Shading 1 - Accent 57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611">
    <w:name w:val="Medium Shading 1 - Accent 526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112">
    <w:name w:val="Annual Report Table Style1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112">
    <w:name w:val="No List112"/>
    <w:next w:val="NoList"/>
    <w:uiPriority w:val="99"/>
    <w:semiHidden/>
    <w:unhideWhenUsed/>
    <w:rsid w:val="002E051C"/>
  </w:style>
  <w:style w:type="table" w:customStyle="1" w:styleId="TableGrid111">
    <w:name w:val="Table Grid111"/>
    <w:basedOn w:val="TableNormal"/>
    <w:next w:val="TableGrid"/>
    <w:uiPriority w:val="59"/>
    <w:rsid w:val="002E0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111">
    <w:name w:val="Medium Shading 11111"/>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11">
    <w:name w:val="Medium Shading 1 - Accent 11111"/>
    <w:basedOn w:val="TableNormal"/>
    <w:uiPriority w:val="63"/>
    <w:rsid w:val="002E051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831">
    <w:name w:val="Medium Shading 1 - Accent 583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111">
    <w:name w:val="Medium Shading 2 - Accent 11111"/>
    <w:basedOn w:val="TableNormal"/>
    <w:uiPriority w:val="64"/>
    <w:rsid w:val="002E051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11">
    <w:name w:val="Medium List 2 - Accent 1111"/>
    <w:basedOn w:val="TableNormal"/>
    <w:next w:val="MediumList2-Accent1"/>
    <w:uiPriority w:val="66"/>
    <w:rsid w:val="002E051C"/>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111">
    <w:name w:val="Medium Grid 31111"/>
    <w:basedOn w:val="TableNormal"/>
    <w:uiPriority w:val="69"/>
    <w:rsid w:val="002E051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111">
    <w:name w:val="Colorful Shading1111"/>
    <w:basedOn w:val="TableNormal"/>
    <w:uiPriority w:val="71"/>
    <w:rsid w:val="002E051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231">
    <w:name w:val="Light List1231"/>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1">
    <w:name w:val="Light List11111"/>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111">
    <w:name w:val="Medium Shading 12111"/>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111">
    <w:name w:val="Table Grid2111"/>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11">
    <w:name w:val="Light List211"/>
    <w:basedOn w:val="TableNormal"/>
    <w:next w:val="LightList"/>
    <w:uiPriority w:val="61"/>
    <w:rsid w:val="002E051C"/>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111">
    <w:name w:val="Medium Shading 13111"/>
    <w:basedOn w:val="TableNormal"/>
    <w:uiPriority w:val="63"/>
    <w:rsid w:val="002E051C"/>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111">
    <w:name w:val="Light List12111"/>
    <w:basedOn w:val="TableNormal"/>
    <w:uiPriority w:val="61"/>
    <w:rsid w:val="002E051C"/>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122">
    <w:name w:val="Annual Report Table Style12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212">
    <w:name w:val="No List212"/>
    <w:next w:val="NoList"/>
    <w:uiPriority w:val="99"/>
    <w:semiHidden/>
    <w:unhideWhenUsed/>
    <w:rsid w:val="002E051C"/>
  </w:style>
  <w:style w:type="table" w:customStyle="1" w:styleId="TableGrid411">
    <w:name w:val="Table Grid411"/>
    <w:basedOn w:val="TableNormal"/>
    <w:next w:val="TableGrid"/>
    <w:uiPriority w:val="59"/>
    <w:rsid w:val="002E05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211">
    <w:name w:val="Medium Shading 11211"/>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11">
    <w:name w:val="Medium Shading 1 - Accent 11211"/>
    <w:basedOn w:val="TableNormal"/>
    <w:uiPriority w:val="63"/>
    <w:rsid w:val="002E051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921">
    <w:name w:val="Medium Shading 1 - Accent 592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211">
    <w:name w:val="Medium Shading 2 - Accent 11211"/>
    <w:basedOn w:val="TableNormal"/>
    <w:uiPriority w:val="64"/>
    <w:rsid w:val="002E051C"/>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211">
    <w:name w:val="Medium List 2 - Accent 1211"/>
    <w:basedOn w:val="TableNormal"/>
    <w:next w:val="MediumList2-Accent1"/>
    <w:uiPriority w:val="66"/>
    <w:rsid w:val="002E051C"/>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211">
    <w:name w:val="Medium Grid 31211"/>
    <w:basedOn w:val="TableNormal"/>
    <w:uiPriority w:val="69"/>
    <w:rsid w:val="002E051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211">
    <w:name w:val="Colorful Shading1211"/>
    <w:basedOn w:val="TableNormal"/>
    <w:uiPriority w:val="71"/>
    <w:rsid w:val="002E051C"/>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311">
    <w:name w:val="Light List1311"/>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11">
    <w:name w:val="Light List11211"/>
    <w:basedOn w:val="TableNormal"/>
    <w:uiPriority w:val="61"/>
    <w:rsid w:val="002E051C"/>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211">
    <w:name w:val="Medium Shading 12211"/>
    <w:basedOn w:val="TableNormal"/>
    <w:uiPriority w:val="63"/>
    <w:rsid w:val="002E051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211">
    <w:name w:val="Table Grid2211"/>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1">
    <w:name w:val="Table Grid3211"/>
    <w:basedOn w:val="TableNormal"/>
    <w:next w:val="TableGrid"/>
    <w:uiPriority w:val="99"/>
    <w:rsid w:val="002E051C"/>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311">
    <w:name w:val="Light List311"/>
    <w:basedOn w:val="TableNormal"/>
    <w:next w:val="LightList"/>
    <w:uiPriority w:val="61"/>
    <w:rsid w:val="002E051C"/>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211">
    <w:name w:val="Medium Shading 13211"/>
    <w:basedOn w:val="TableNormal"/>
    <w:uiPriority w:val="63"/>
    <w:rsid w:val="002E051C"/>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211">
    <w:name w:val="Light List12211"/>
    <w:basedOn w:val="TableNormal"/>
    <w:uiPriority w:val="61"/>
    <w:rsid w:val="002E051C"/>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221">
    <w:name w:val="Annual Report Table Style221"/>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MediumShading1-Accent51521">
    <w:name w:val="Medium Shading 1 - Accent 5152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611">
    <w:name w:val="Medium Shading 1 - Accent 516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711">
    <w:name w:val="Medium Shading 1 - Accent 517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811">
    <w:name w:val="Medium Shading 1 - Accent 518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911">
    <w:name w:val="Medium Shading 1 - Accent 519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011">
    <w:name w:val="Medium Shading 1 - Accent 520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111">
    <w:name w:val="Medium Shading 1 - Accent 521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211">
    <w:name w:val="Medium Shading 1 - Accent 522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311">
    <w:name w:val="Medium Shading 1 - Accent 523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411">
    <w:name w:val="Medium Shading 1 - Accent 524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511">
    <w:name w:val="Medium Shading 1 - Accent 52511"/>
    <w:basedOn w:val="TableNormal"/>
    <w:next w:val="MediumShading1-Accent5"/>
    <w:uiPriority w:val="63"/>
    <w:rsid w:val="002E051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12">
    <w:name w:val="Annual Report Table Style3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412">
    <w:name w:val="Annual Report Table Style4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512">
    <w:name w:val="Annual Report Table Style5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612">
    <w:name w:val="Annual Report Table Style6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712">
    <w:name w:val="Annual Report Table Style7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812">
    <w:name w:val="Annual Report Table Style8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912">
    <w:name w:val="Annual Report Table Style9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1012">
    <w:name w:val="Annual Report Table Style1012"/>
    <w:basedOn w:val="TableNormal"/>
    <w:uiPriority w:val="99"/>
    <w:rsid w:val="002E051C"/>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paragraph" w:customStyle="1" w:styleId="AppendixCHeading5">
    <w:name w:val="Appendix C Heading 5"/>
    <w:basedOn w:val="Heading5"/>
    <w:rsid w:val="002E051C"/>
    <w:pPr>
      <w:numPr>
        <w:ilvl w:val="0"/>
        <w:numId w:val="0"/>
      </w:numPr>
    </w:pPr>
    <w:rPr>
      <w:rFonts w:ascii="Calibri" w:eastAsia="Calibri" w:hAnsi="Calibri" w:cs="Times New Roman"/>
      <w:b/>
    </w:rPr>
  </w:style>
  <w:style w:type="paragraph" w:styleId="ListBullet2">
    <w:name w:val="List Bullet 2"/>
    <w:basedOn w:val="ListBullet"/>
    <w:rsid w:val="002E051C"/>
    <w:pPr>
      <w:numPr>
        <w:numId w:val="0"/>
      </w:numPr>
      <w:spacing w:before="80"/>
      <w:ind w:left="1138" w:hanging="288"/>
      <w:contextualSpacing w:val="0"/>
      <w:jc w:val="left"/>
    </w:pPr>
    <w:rPr>
      <w:rFonts w:ascii="Arial" w:hAnsi="Arial" w:cs="Arial"/>
      <w:szCs w:val="20"/>
      <w:lang w:eastAsia="en-GB"/>
    </w:rPr>
  </w:style>
  <w:style w:type="paragraph" w:styleId="ListBullet3">
    <w:name w:val="List Bullet 3"/>
    <w:basedOn w:val="ListBullet2"/>
    <w:rsid w:val="002E051C"/>
    <w:pPr>
      <w:ind w:left="1426"/>
    </w:pPr>
  </w:style>
  <w:style w:type="numbering" w:customStyle="1" w:styleId="NoList5">
    <w:name w:val="No List5"/>
    <w:next w:val="NoList"/>
    <w:uiPriority w:val="99"/>
    <w:semiHidden/>
    <w:unhideWhenUsed/>
    <w:rsid w:val="006C05B5"/>
  </w:style>
  <w:style w:type="table" w:customStyle="1" w:styleId="TableGrid7">
    <w:name w:val="Table Grid7"/>
    <w:basedOn w:val="TableNormal"/>
    <w:next w:val="TableGrid"/>
    <w:uiPriority w:val="39"/>
    <w:rsid w:val="006C05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5">
    <w:name w:val="Medium Shading 115"/>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5">
    <w:name w:val="Medium Shading 1 - Accent 115"/>
    <w:basedOn w:val="TableNormal"/>
    <w:uiPriority w:val="63"/>
    <w:rsid w:val="006C05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14">
    <w:name w:val="Medium Shading 1 - Accent 514"/>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5">
    <w:name w:val="Medium Shading 2 - Accent 115"/>
    <w:basedOn w:val="TableNormal"/>
    <w:uiPriority w:val="64"/>
    <w:rsid w:val="006C05B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5">
    <w:name w:val="Medium List 2 - Accent 15"/>
    <w:basedOn w:val="TableNormal"/>
    <w:next w:val="MediumList2-Accent1"/>
    <w:uiPriority w:val="66"/>
    <w:rsid w:val="006C05B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5">
    <w:name w:val="Medium Grid 315"/>
    <w:basedOn w:val="TableNormal"/>
    <w:uiPriority w:val="69"/>
    <w:rsid w:val="006C05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5">
    <w:name w:val="Colorful Shading15"/>
    <w:basedOn w:val="TableNormal"/>
    <w:uiPriority w:val="71"/>
    <w:rsid w:val="006C05B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6">
    <w:name w:val="Light List16"/>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5">
    <w:name w:val="Light List115"/>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5">
    <w:name w:val="Medium Shading 125"/>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5">
    <w:name w:val="Table Grid25"/>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6">
    <w:name w:val="Light List6"/>
    <w:basedOn w:val="TableNormal"/>
    <w:next w:val="LightList"/>
    <w:uiPriority w:val="61"/>
    <w:rsid w:val="006C05B5"/>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5">
    <w:name w:val="Medium Shading 135"/>
    <w:basedOn w:val="TableNormal"/>
    <w:uiPriority w:val="63"/>
    <w:rsid w:val="006C05B5"/>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529">
    <w:name w:val="Medium Shading 1 - Accent 529"/>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10">
    <w:name w:val="Medium Shading 1 - Accent 5110"/>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33">
    <w:name w:val="Medium Shading 1 - Accent 53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43">
    <w:name w:val="Medium Shading 1 - Accent 54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53">
    <w:name w:val="Medium Shading 1 - Accent 55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63">
    <w:name w:val="Medium Shading 1 - Accent 56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73">
    <w:name w:val="Medium Shading 1 - Accent 57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63">
    <w:name w:val="Medium Shading 1 - Accent 526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15">
    <w:name w:val="Annual Report Table Style15"/>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numbering" w:customStyle="1" w:styleId="NoList13">
    <w:name w:val="No List13"/>
    <w:next w:val="NoList"/>
    <w:uiPriority w:val="99"/>
    <w:semiHidden/>
    <w:unhideWhenUsed/>
    <w:rsid w:val="006C05B5"/>
  </w:style>
  <w:style w:type="table" w:customStyle="1" w:styleId="TableGrid13">
    <w:name w:val="Table Grid13"/>
    <w:basedOn w:val="TableNormal"/>
    <w:next w:val="TableGrid"/>
    <w:uiPriority w:val="59"/>
    <w:rsid w:val="006C05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13">
    <w:name w:val="Medium Shading 1113"/>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3">
    <w:name w:val="Medium Shading 1 - Accent 1113"/>
    <w:basedOn w:val="TableNormal"/>
    <w:uiPriority w:val="63"/>
    <w:rsid w:val="006C05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85">
    <w:name w:val="Medium Shading 1 - Accent 585"/>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13">
    <w:name w:val="Medium Shading 2 - Accent 1113"/>
    <w:basedOn w:val="TableNormal"/>
    <w:uiPriority w:val="64"/>
    <w:rsid w:val="006C05B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3">
    <w:name w:val="Medium List 2 - Accent 113"/>
    <w:basedOn w:val="TableNormal"/>
    <w:next w:val="MediumList2-Accent1"/>
    <w:uiPriority w:val="66"/>
    <w:rsid w:val="006C05B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13">
    <w:name w:val="Medium Grid 3113"/>
    <w:basedOn w:val="TableNormal"/>
    <w:uiPriority w:val="69"/>
    <w:rsid w:val="006C05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13">
    <w:name w:val="Colorful Shading113"/>
    <w:basedOn w:val="TableNormal"/>
    <w:uiPriority w:val="71"/>
    <w:rsid w:val="006C05B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25">
    <w:name w:val="Light List125"/>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3">
    <w:name w:val="Light List1113"/>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13">
    <w:name w:val="Medium Shading 1213"/>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13">
    <w:name w:val="Table Grid213"/>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3">
    <w:name w:val="Light List23"/>
    <w:basedOn w:val="TableNormal"/>
    <w:next w:val="LightList"/>
    <w:uiPriority w:val="61"/>
    <w:rsid w:val="006C05B5"/>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13">
    <w:name w:val="Medium Shading 1313"/>
    <w:basedOn w:val="TableNormal"/>
    <w:uiPriority w:val="63"/>
    <w:rsid w:val="006C05B5"/>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13">
    <w:name w:val="Light List1213"/>
    <w:basedOn w:val="TableNormal"/>
    <w:uiPriority w:val="61"/>
    <w:rsid w:val="006C05B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16">
    <w:name w:val="Annual Report Table Style16"/>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numbering" w:customStyle="1" w:styleId="NoList23">
    <w:name w:val="No List23"/>
    <w:next w:val="NoList"/>
    <w:uiPriority w:val="99"/>
    <w:semiHidden/>
    <w:unhideWhenUsed/>
    <w:rsid w:val="006C05B5"/>
  </w:style>
  <w:style w:type="table" w:customStyle="1" w:styleId="TableGrid43">
    <w:name w:val="Table Grid43"/>
    <w:basedOn w:val="TableNormal"/>
    <w:next w:val="TableGrid"/>
    <w:uiPriority w:val="59"/>
    <w:rsid w:val="006C05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23">
    <w:name w:val="Medium Shading 1123"/>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3">
    <w:name w:val="Medium Shading 1 - Accent 1123"/>
    <w:basedOn w:val="TableNormal"/>
    <w:uiPriority w:val="63"/>
    <w:rsid w:val="006C05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94">
    <w:name w:val="Medium Shading 1 - Accent 594"/>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23">
    <w:name w:val="Medium Shading 2 - Accent 1123"/>
    <w:basedOn w:val="TableNormal"/>
    <w:uiPriority w:val="64"/>
    <w:rsid w:val="006C05B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23">
    <w:name w:val="Medium List 2 - Accent 123"/>
    <w:basedOn w:val="TableNormal"/>
    <w:next w:val="MediumList2-Accent1"/>
    <w:uiPriority w:val="66"/>
    <w:rsid w:val="006C05B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23">
    <w:name w:val="Medium Grid 3123"/>
    <w:basedOn w:val="TableNormal"/>
    <w:uiPriority w:val="69"/>
    <w:rsid w:val="006C05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23">
    <w:name w:val="Colorful Shading123"/>
    <w:basedOn w:val="TableNormal"/>
    <w:uiPriority w:val="71"/>
    <w:rsid w:val="006C05B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33">
    <w:name w:val="Light List133"/>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3">
    <w:name w:val="Light List1123"/>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23">
    <w:name w:val="Medium Shading 1223"/>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23">
    <w:name w:val="Table Grid223"/>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33">
    <w:name w:val="Light List33"/>
    <w:basedOn w:val="TableNormal"/>
    <w:next w:val="LightList"/>
    <w:uiPriority w:val="61"/>
    <w:rsid w:val="006C05B5"/>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23">
    <w:name w:val="Medium Shading 1323"/>
    <w:basedOn w:val="TableNormal"/>
    <w:uiPriority w:val="63"/>
    <w:rsid w:val="006C05B5"/>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23">
    <w:name w:val="Light List1223"/>
    <w:basedOn w:val="TableNormal"/>
    <w:uiPriority w:val="61"/>
    <w:rsid w:val="006C05B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24">
    <w:name w:val="Annual Report Table Style24"/>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MediumShading1-Accent5154">
    <w:name w:val="Medium Shading 1 - Accent 5154"/>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63">
    <w:name w:val="Medium Shading 1 - Accent 516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73">
    <w:name w:val="Medium Shading 1 - Accent 517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83">
    <w:name w:val="Medium Shading 1 - Accent 518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93">
    <w:name w:val="Medium Shading 1 - Accent 519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03">
    <w:name w:val="Medium Shading 1 - Accent 520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13">
    <w:name w:val="Medium Shading 1 - Accent 521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23">
    <w:name w:val="Medium Shading 1 - Accent 522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33">
    <w:name w:val="Medium Shading 1 - Accent 523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43">
    <w:name w:val="Medium Shading 1 - Accent 524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53">
    <w:name w:val="Medium Shading 1 - Accent 5253"/>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3">
    <w:name w:val="Annual Report Table Style3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43">
    <w:name w:val="Annual Report Table Style4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53">
    <w:name w:val="Annual Report Table Style5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63">
    <w:name w:val="Annual Report Table Style6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73">
    <w:name w:val="Annual Report Table Style7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83">
    <w:name w:val="Annual Report Table Style8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AnnualReportTableStyle93">
    <w:name w:val="Annual Report Table Style9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hint="default"/>
        <w:b/>
        <w:color w:val="FFFFFF" w:themeColor="background1"/>
        <w:sz w:val="20"/>
        <w:szCs w:val="20"/>
      </w:rPr>
      <w:tblPr/>
      <w:tcPr>
        <w:shd w:val="clear" w:color="auto" w:fill="448A99"/>
      </w:tcPr>
    </w:tblStylePr>
    <w:tblStylePr w:type="firstCol">
      <w:pPr>
        <w:jc w:val="left"/>
      </w:pPr>
      <w:rPr>
        <w:rFonts w:asciiTheme="minorHAnsi" w:hAnsiTheme="minorHAnsi" w:hint="default"/>
        <w:b/>
        <w:sz w:val="20"/>
        <w:szCs w:val="20"/>
      </w:rPr>
    </w:tblStylePr>
    <w:tblStylePr w:type="band1Horz">
      <w:tblPr/>
      <w:tcPr>
        <w:shd w:val="clear" w:color="auto" w:fill="D2EAF1"/>
      </w:tcPr>
    </w:tblStylePr>
  </w:style>
  <w:style w:type="table" w:customStyle="1" w:styleId="AnnualReportTableStyle103">
    <w:name w:val="Annual Report Table Style103"/>
    <w:basedOn w:val="TableNormal"/>
    <w:uiPriority w:val="99"/>
    <w:rsid w:val="006C05B5"/>
    <w:pPr>
      <w:jc w:val="center"/>
    </w:pPr>
    <w:rPr>
      <w:rFonts w:asciiTheme="minorHAnsi" w:eastAsiaTheme="minorHAnsi" w:hAnsiTheme="minorHAnsi" w:cstheme="minorBid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Theme="minorHAnsi" w:hAnsiTheme="minorHAnsi"/>
        <w:b/>
        <w:color w:val="FFFFFF" w:themeColor="background1"/>
        <w:sz w:val="20"/>
      </w:rPr>
      <w:tblPr/>
      <w:tcPr>
        <w:shd w:val="clear" w:color="auto" w:fill="448A99"/>
      </w:tcPr>
    </w:tblStylePr>
    <w:tblStylePr w:type="firstCol">
      <w:pPr>
        <w:jc w:val="left"/>
      </w:pPr>
      <w:rPr>
        <w:rFonts w:asciiTheme="minorHAnsi" w:hAnsiTheme="minorHAnsi"/>
        <w:b/>
        <w:sz w:val="20"/>
      </w:rPr>
    </w:tblStylePr>
    <w:tblStylePr w:type="band1Horz">
      <w:tblPr/>
      <w:tcPr>
        <w:shd w:val="clear" w:color="auto" w:fill="D2EAF1"/>
      </w:tcPr>
    </w:tblStylePr>
  </w:style>
  <w:style w:type="table" w:customStyle="1" w:styleId="MediumShading1-Accent5812">
    <w:name w:val="Medium Shading 1 - Accent 58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822">
    <w:name w:val="Medium Shading 1 - Accent 582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912">
    <w:name w:val="Medium Shading 1 - Accent 59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512">
    <w:name w:val="Medium Shading 1 - Accent 515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numbering" w:customStyle="1" w:styleId="Appendix2">
    <w:name w:val="Appendix2"/>
    <w:uiPriority w:val="99"/>
    <w:rsid w:val="006C05B5"/>
    <w:pPr>
      <w:numPr>
        <w:numId w:val="10"/>
      </w:numPr>
    </w:pPr>
  </w:style>
  <w:style w:type="table" w:customStyle="1" w:styleId="LightList-Accent52">
    <w:name w:val="Light List - Accent 52"/>
    <w:basedOn w:val="TableNormal"/>
    <w:next w:val="LightList-Accent5"/>
    <w:uiPriority w:val="61"/>
    <w:rsid w:val="006C05B5"/>
    <w:rPr>
      <w:rFonts w:eastAsia="Calibri"/>
      <w:sz w:val="22"/>
      <w:szCs w:val="22"/>
    </w:rPr>
    <w:tblPr>
      <w:tblStyleRowBandSize w:val="1"/>
      <w:tblStyleColBandSize w:val="1"/>
      <w:tblBorders>
        <w:top w:val="single" w:sz="4" w:space="0" w:color="448A99"/>
        <w:left w:val="single" w:sz="4" w:space="0" w:color="448A99"/>
        <w:bottom w:val="single" w:sz="4" w:space="0" w:color="448A99"/>
        <w:right w:val="single" w:sz="4" w:space="0" w:color="448A99"/>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nnualReportTableStyle213">
    <w:name w:val="Annual Report Table Style2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33">
    <w:name w:val="No List33"/>
    <w:next w:val="NoList"/>
    <w:uiPriority w:val="99"/>
    <w:semiHidden/>
    <w:unhideWhenUsed/>
    <w:rsid w:val="006C05B5"/>
  </w:style>
  <w:style w:type="table" w:customStyle="1" w:styleId="TableGrid52">
    <w:name w:val="Table Grid52"/>
    <w:basedOn w:val="TableNormal"/>
    <w:next w:val="TableGrid"/>
    <w:uiPriority w:val="59"/>
    <w:rsid w:val="006C05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32">
    <w:name w:val="Medium Shading 1132"/>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32">
    <w:name w:val="Medium Shading 1 - Accent 1132"/>
    <w:basedOn w:val="TableNormal"/>
    <w:uiPriority w:val="63"/>
    <w:rsid w:val="006C05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102">
    <w:name w:val="Medium Shading 1 - Accent 510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32">
    <w:name w:val="Medium Shading 2 - Accent 1132"/>
    <w:basedOn w:val="TableNormal"/>
    <w:uiPriority w:val="64"/>
    <w:rsid w:val="006C05B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32">
    <w:name w:val="Medium List 2 - Accent 132"/>
    <w:basedOn w:val="TableNormal"/>
    <w:next w:val="MediumList2-Accent1"/>
    <w:uiPriority w:val="66"/>
    <w:rsid w:val="006C05B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32">
    <w:name w:val="Medium Grid 3132"/>
    <w:basedOn w:val="TableNormal"/>
    <w:uiPriority w:val="69"/>
    <w:rsid w:val="006C05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32">
    <w:name w:val="Colorful Shading132"/>
    <w:basedOn w:val="TableNormal"/>
    <w:uiPriority w:val="71"/>
    <w:rsid w:val="006C05B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42">
    <w:name w:val="Light List142"/>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32">
    <w:name w:val="Light List1132"/>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32">
    <w:name w:val="Medium Shading 1232"/>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32">
    <w:name w:val="Table Grid232"/>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42">
    <w:name w:val="Light List42"/>
    <w:basedOn w:val="TableNormal"/>
    <w:next w:val="LightList"/>
    <w:uiPriority w:val="61"/>
    <w:rsid w:val="006C05B5"/>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32">
    <w:name w:val="Medium Shading 1332"/>
    <w:basedOn w:val="TableNormal"/>
    <w:uiPriority w:val="63"/>
    <w:rsid w:val="006C05B5"/>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5272">
    <w:name w:val="Medium Shading 1 - Accent 527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12">
    <w:name w:val="Medium Shading 1 - Accent 51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312">
    <w:name w:val="Medium Shading 1 - Accent 53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412">
    <w:name w:val="Medium Shading 1 - Accent 54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512">
    <w:name w:val="Medium Shading 1 - Accent 55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612">
    <w:name w:val="Medium Shading 1 - Accent 56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712">
    <w:name w:val="Medium Shading 1 - Accent 57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612">
    <w:name w:val="Medium Shading 1 - Accent 526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113">
    <w:name w:val="Annual Report Table Style1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113">
    <w:name w:val="No List113"/>
    <w:next w:val="NoList"/>
    <w:uiPriority w:val="99"/>
    <w:semiHidden/>
    <w:unhideWhenUsed/>
    <w:rsid w:val="006C05B5"/>
  </w:style>
  <w:style w:type="table" w:customStyle="1" w:styleId="TableGrid112">
    <w:name w:val="Table Grid112"/>
    <w:basedOn w:val="TableNormal"/>
    <w:next w:val="TableGrid"/>
    <w:uiPriority w:val="59"/>
    <w:rsid w:val="006C05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112">
    <w:name w:val="Medium Shading 11112"/>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12">
    <w:name w:val="Medium Shading 1 - Accent 11112"/>
    <w:basedOn w:val="TableNormal"/>
    <w:uiPriority w:val="63"/>
    <w:rsid w:val="006C05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832">
    <w:name w:val="Medium Shading 1 - Accent 583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112">
    <w:name w:val="Medium Shading 2 - Accent 11112"/>
    <w:basedOn w:val="TableNormal"/>
    <w:uiPriority w:val="64"/>
    <w:rsid w:val="006C05B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12">
    <w:name w:val="Medium List 2 - Accent 1112"/>
    <w:basedOn w:val="TableNormal"/>
    <w:next w:val="MediumList2-Accent1"/>
    <w:uiPriority w:val="66"/>
    <w:rsid w:val="006C05B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112">
    <w:name w:val="Medium Grid 31112"/>
    <w:basedOn w:val="TableNormal"/>
    <w:uiPriority w:val="69"/>
    <w:rsid w:val="006C05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112">
    <w:name w:val="Colorful Shading1112"/>
    <w:basedOn w:val="TableNormal"/>
    <w:uiPriority w:val="71"/>
    <w:rsid w:val="006C05B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232">
    <w:name w:val="Light List1232"/>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2">
    <w:name w:val="Light List11112"/>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112">
    <w:name w:val="Medium Shading 12112"/>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112">
    <w:name w:val="Table Grid2112"/>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12">
    <w:name w:val="Light List212"/>
    <w:basedOn w:val="TableNormal"/>
    <w:next w:val="LightList"/>
    <w:uiPriority w:val="61"/>
    <w:rsid w:val="006C05B5"/>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112">
    <w:name w:val="Medium Shading 13112"/>
    <w:basedOn w:val="TableNormal"/>
    <w:uiPriority w:val="63"/>
    <w:rsid w:val="006C05B5"/>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112">
    <w:name w:val="Light List12112"/>
    <w:basedOn w:val="TableNormal"/>
    <w:uiPriority w:val="61"/>
    <w:rsid w:val="006C05B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123">
    <w:name w:val="Annual Report Table Style12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numbering" w:customStyle="1" w:styleId="NoList213">
    <w:name w:val="No List213"/>
    <w:next w:val="NoList"/>
    <w:uiPriority w:val="99"/>
    <w:semiHidden/>
    <w:unhideWhenUsed/>
    <w:rsid w:val="006C05B5"/>
  </w:style>
  <w:style w:type="table" w:customStyle="1" w:styleId="TableGrid412">
    <w:name w:val="Table Grid412"/>
    <w:basedOn w:val="TableNormal"/>
    <w:next w:val="TableGrid"/>
    <w:uiPriority w:val="59"/>
    <w:rsid w:val="006C05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1212">
    <w:name w:val="Medium Shading 11212"/>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12">
    <w:name w:val="Medium Shading 1 - Accent 11212"/>
    <w:basedOn w:val="TableNormal"/>
    <w:uiPriority w:val="63"/>
    <w:rsid w:val="006C05B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5922">
    <w:name w:val="Medium Shading 1 - Accent 592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2-Accent11212">
    <w:name w:val="Medium Shading 2 - Accent 11212"/>
    <w:basedOn w:val="TableNormal"/>
    <w:uiPriority w:val="64"/>
    <w:rsid w:val="006C05B5"/>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212">
    <w:name w:val="Medium List 2 - Accent 1212"/>
    <w:basedOn w:val="TableNormal"/>
    <w:next w:val="MediumList2-Accent1"/>
    <w:uiPriority w:val="66"/>
    <w:rsid w:val="006C05B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31212">
    <w:name w:val="Medium Grid 31212"/>
    <w:basedOn w:val="TableNormal"/>
    <w:uiPriority w:val="69"/>
    <w:rsid w:val="006C05B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olorfulShading1212">
    <w:name w:val="Colorful Shading1212"/>
    <w:basedOn w:val="TableNormal"/>
    <w:uiPriority w:val="71"/>
    <w:rsid w:val="006C05B5"/>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LightList1312">
    <w:name w:val="Light List1312"/>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12">
    <w:name w:val="Light List11212"/>
    <w:basedOn w:val="TableNormal"/>
    <w:uiPriority w:val="61"/>
    <w:rsid w:val="006C05B5"/>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MediumShading12212">
    <w:name w:val="Medium Shading 12212"/>
    <w:basedOn w:val="TableNormal"/>
    <w:uiPriority w:val="63"/>
    <w:rsid w:val="006C05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TableGrid2212">
    <w:name w:val="Table Grid2212"/>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2">
    <w:name w:val="Table Grid3212"/>
    <w:basedOn w:val="TableNormal"/>
    <w:next w:val="TableGrid"/>
    <w:uiPriority w:val="99"/>
    <w:rsid w:val="006C05B5"/>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312">
    <w:name w:val="Light List312"/>
    <w:basedOn w:val="TableNormal"/>
    <w:next w:val="LightList"/>
    <w:uiPriority w:val="61"/>
    <w:rsid w:val="006C05B5"/>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3212">
    <w:name w:val="Medium Shading 13212"/>
    <w:basedOn w:val="TableNormal"/>
    <w:uiPriority w:val="63"/>
    <w:rsid w:val="006C05B5"/>
    <w:rPr>
      <w:rFonts w:eastAsia="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List12212">
    <w:name w:val="Light List12212"/>
    <w:basedOn w:val="TableNormal"/>
    <w:uiPriority w:val="61"/>
    <w:rsid w:val="006C05B5"/>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nnualReportTableStyle222">
    <w:name w:val="Annual Report Table Style222"/>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MediumShading1-Accent51522">
    <w:name w:val="Medium Shading 1 - Accent 5152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612">
    <w:name w:val="Medium Shading 1 - Accent 516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712">
    <w:name w:val="Medium Shading 1 - Accent 517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812">
    <w:name w:val="Medium Shading 1 - Accent 518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1912">
    <w:name w:val="Medium Shading 1 - Accent 519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012">
    <w:name w:val="Medium Shading 1 - Accent 520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112">
    <w:name w:val="Medium Shading 1 - Accent 521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212">
    <w:name w:val="Medium Shading 1 - Accent 522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312">
    <w:name w:val="Medium Shading 1 - Accent 523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412">
    <w:name w:val="Medium Shading 1 - Accent 524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52512">
    <w:name w:val="Medium Shading 1 - Accent 52512"/>
    <w:basedOn w:val="TableNormal"/>
    <w:next w:val="MediumShading1-Accent5"/>
    <w:uiPriority w:val="63"/>
    <w:rsid w:val="006C05B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AnnualReportTableStyle313">
    <w:name w:val="Annual Report Table Style3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413">
    <w:name w:val="Annual Report Table Style4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513">
    <w:name w:val="Annual Report Table Style5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613">
    <w:name w:val="Annual Report Table Style6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713">
    <w:name w:val="Annual Report Table Style7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813">
    <w:name w:val="Annual Report Table Style8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table" w:customStyle="1" w:styleId="AnnualReportTableStyle913">
    <w:name w:val="Annual Report Table Style9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hint="default"/>
        <w:b/>
        <w:color w:val="FFFFFF"/>
        <w:sz w:val="20"/>
        <w:szCs w:val="20"/>
      </w:rPr>
      <w:tblPr/>
      <w:tcPr>
        <w:shd w:val="clear" w:color="auto" w:fill="448A99"/>
      </w:tcPr>
    </w:tblStylePr>
    <w:tblStylePr w:type="firstCol">
      <w:pPr>
        <w:jc w:val="left"/>
      </w:pPr>
      <w:rPr>
        <w:rFonts w:ascii="Calibri" w:hAnsi="Calibri" w:hint="default"/>
        <w:b/>
        <w:sz w:val="20"/>
        <w:szCs w:val="20"/>
      </w:rPr>
    </w:tblStylePr>
    <w:tblStylePr w:type="band1Horz">
      <w:tblPr/>
      <w:tcPr>
        <w:shd w:val="clear" w:color="auto" w:fill="D2EAF1"/>
      </w:tcPr>
    </w:tblStylePr>
  </w:style>
  <w:style w:type="table" w:customStyle="1" w:styleId="AnnualReportTableStyle1013">
    <w:name w:val="Annual Report Table Style1013"/>
    <w:basedOn w:val="TableNormal"/>
    <w:uiPriority w:val="99"/>
    <w:rsid w:val="006C05B5"/>
    <w:pPr>
      <w:jc w:val="center"/>
    </w:pPr>
    <w:rPr>
      <w:rFonts w:eastAsia="Calibri"/>
      <w:szCs w:val="22"/>
    </w:rPr>
    <w:tblPr>
      <w:tblStyleRowBandSize w:val="1"/>
      <w:tblBorders>
        <w:top w:val="single" w:sz="4" w:space="0" w:color="448A99"/>
        <w:left w:val="single" w:sz="4" w:space="0" w:color="448A99"/>
        <w:bottom w:val="single" w:sz="4" w:space="0" w:color="448A99"/>
        <w:right w:val="single" w:sz="4" w:space="0" w:color="448A99"/>
        <w:insideH w:val="single" w:sz="4" w:space="0" w:color="448A99"/>
        <w:insideV w:val="single" w:sz="4" w:space="0" w:color="448A99"/>
      </w:tblBorders>
    </w:tblPr>
    <w:tcPr>
      <w:vAlign w:val="center"/>
    </w:tcPr>
    <w:tblStylePr w:type="firstRow">
      <w:rPr>
        <w:rFonts w:ascii="Calibri" w:hAnsi="Calibri"/>
        <w:b/>
        <w:color w:val="FFFFFF"/>
        <w:sz w:val="20"/>
      </w:rPr>
      <w:tblPr/>
      <w:tcPr>
        <w:shd w:val="clear" w:color="auto" w:fill="448A99"/>
      </w:tcPr>
    </w:tblStylePr>
    <w:tblStylePr w:type="firstCol">
      <w:pPr>
        <w:jc w:val="left"/>
      </w:pPr>
      <w:rPr>
        <w:rFonts w:ascii="Calibri" w:hAnsi="Calibri"/>
        <w:b/>
        <w:sz w:val="20"/>
      </w:rPr>
    </w:tblStylePr>
    <w:tblStylePr w:type="band1Horz">
      <w:tblPr/>
      <w:tcPr>
        <w:shd w:val="clear" w:color="auto" w:fill="D2EAF1"/>
      </w:tcPr>
    </w:tblStylePr>
  </w:style>
  <w:style w:type="paragraph" w:customStyle="1" w:styleId="p3">
    <w:name w:val="p3"/>
    <w:basedOn w:val="Normal"/>
    <w:uiPriority w:val="99"/>
    <w:rsid w:val="007908C2"/>
    <w:pPr>
      <w:widowControl w:val="0"/>
      <w:tabs>
        <w:tab w:val="left" w:pos="204"/>
      </w:tabs>
      <w:autoSpaceDE w:val="0"/>
      <w:autoSpaceDN w:val="0"/>
      <w:adjustRightInd w:val="0"/>
      <w:jc w:val="left"/>
    </w:pPr>
    <w:rPr>
      <w:rFonts w:ascii="Times New Roman" w:hAnsi="Times New Roman"/>
      <w:sz w:val="26"/>
      <w:szCs w:val="26"/>
    </w:rPr>
  </w:style>
  <w:style w:type="paragraph" w:styleId="NormalWeb">
    <w:name w:val="Normal (Web)"/>
    <w:basedOn w:val="Normal"/>
    <w:uiPriority w:val="99"/>
    <w:unhideWhenUsed/>
    <w:rsid w:val="004F1B4F"/>
    <w:pPr>
      <w:spacing w:before="100" w:beforeAutospacing="1" w:after="100" w:afterAutospacing="1"/>
    </w:pPr>
    <w:rPr>
      <w:rFonts w:ascii="Times New Roman" w:hAnsi="Times New Roman"/>
      <w:sz w:val="24"/>
      <w:szCs w:val="24"/>
    </w:rPr>
  </w:style>
  <w:style w:type="paragraph" w:customStyle="1" w:styleId="AppendixAHeading4">
    <w:name w:val="Appendix A Heading 4"/>
    <w:basedOn w:val="ListParagraph"/>
    <w:qFormat/>
    <w:rsid w:val="00D34B3E"/>
    <w:pPr>
      <w:numPr>
        <w:ilvl w:val="3"/>
        <w:numId w:val="29"/>
      </w:numPr>
      <w:spacing w:after="120"/>
      <w:contextualSpacing w:val="0"/>
    </w:pPr>
    <w:rPr>
      <w:b/>
      <w:i/>
      <w:sz w:val="24"/>
    </w:rPr>
  </w:style>
  <w:style w:type="paragraph" w:customStyle="1" w:styleId="AppendixAHeading5">
    <w:name w:val="Appendix A Heading 5"/>
    <w:basedOn w:val="ListParagraph"/>
    <w:qFormat/>
    <w:rsid w:val="00D34B3E"/>
    <w:pPr>
      <w:numPr>
        <w:ilvl w:val="4"/>
        <w:numId w:val="29"/>
      </w:numPr>
      <w:spacing w:after="120"/>
      <w:contextualSpacing w:val="0"/>
    </w:pPr>
    <w:rPr>
      <w:sz w:val="24"/>
    </w:rPr>
  </w:style>
  <w:style w:type="paragraph" w:customStyle="1" w:styleId="AppendixAHeading6">
    <w:name w:val="Appendix A Heading 6"/>
    <w:basedOn w:val="ListParagraph"/>
    <w:qFormat/>
    <w:rsid w:val="00D34B3E"/>
    <w:pPr>
      <w:numPr>
        <w:ilvl w:val="5"/>
        <w:numId w:val="29"/>
      </w:numPr>
      <w:spacing w:after="120"/>
      <w:contextualSpacing w:val="0"/>
    </w:pPr>
    <w:rPr>
      <w:i/>
    </w:rPr>
  </w:style>
  <w:style w:type="paragraph" w:customStyle="1" w:styleId="AppendixBHeading4">
    <w:name w:val="Appendix B Heading 4"/>
    <w:basedOn w:val="ListParagraph"/>
    <w:qFormat/>
    <w:rsid w:val="00C57537"/>
    <w:pPr>
      <w:numPr>
        <w:ilvl w:val="3"/>
        <w:numId w:val="30"/>
      </w:numPr>
      <w:spacing w:after="120"/>
      <w:contextualSpacing w:val="0"/>
    </w:pPr>
    <w:rPr>
      <w:b/>
      <w:i/>
      <w:sz w:val="24"/>
    </w:rPr>
  </w:style>
  <w:style w:type="paragraph" w:customStyle="1" w:styleId="AppendixBHeading5">
    <w:name w:val="Appendix B Heading 5"/>
    <w:basedOn w:val="ListParagraph"/>
    <w:qFormat/>
    <w:rsid w:val="00C57537"/>
    <w:pPr>
      <w:numPr>
        <w:ilvl w:val="4"/>
        <w:numId w:val="30"/>
      </w:numPr>
      <w:spacing w:after="120"/>
      <w:contextualSpacing w:val="0"/>
    </w:pPr>
    <w:rPr>
      <w:sz w:val="24"/>
    </w:rPr>
  </w:style>
  <w:style w:type="paragraph" w:customStyle="1" w:styleId="AppendixBHeading6">
    <w:name w:val="Appendix B Heading 6"/>
    <w:basedOn w:val="ListParagraph"/>
    <w:qFormat/>
    <w:rsid w:val="00C57537"/>
    <w:pPr>
      <w:numPr>
        <w:ilvl w:val="5"/>
        <w:numId w:val="30"/>
      </w:numPr>
      <w:spacing w:after="120"/>
      <w:contextualSpacing w:val="0"/>
    </w:pPr>
    <w:rPr>
      <w:i/>
    </w:rPr>
  </w:style>
  <w:style w:type="paragraph" w:customStyle="1" w:styleId="6spacenormal">
    <w:name w:val="6space normal"/>
    <w:basedOn w:val="Normal"/>
    <w:qFormat/>
    <w:rsid w:val="00976114"/>
    <w:pPr>
      <w:spacing w:after="120"/>
    </w:pPr>
  </w:style>
  <w:style w:type="paragraph" w:customStyle="1" w:styleId="AppendixGHeading1">
    <w:name w:val="Appendix G Heading 1"/>
    <w:basedOn w:val="ListParagraph"/>
    <w:qFormat/>
    <w:rsid w:val="00E646C9"/>
    <w:pPr>
      <w:numPr>
        <w:numId w:val="135"/>
      </w:numPr>
      <w:spacing w:after="120"/>
      <w:contextualSpacing w:val="0"/>
    </w:pPr>
    <w:rPr>
      <w:rFonts w:ascii="Century Gothic" w:hAnsi="Century Gothic"/>
      <w:b/>
      <w:caps/>
    </w:rPr>
  </w:style>
  <w:style w:type="paragraph" w:customStyle="1" w:styleId="AppendixGHeading2">
    <w:name w:val="Appendix G Heading 2"/>
    <w:basedOn w:val="ListParagraph"/>
    <w:qFormat/>
    <w:rsid w:val="00E646C9"/>
    <w:pPr>
      <w:numPr>
        <w:ilvl w:val="1"/>
        <w:numId w:val="135"/>
      </w:numPr>
      <w:spacing w:after="120"/>
      <w:contextualSpacing w:val="0"/>
    </w:pPr>
    <w:rPr>
      <w:rFonts w:ascii="Century Gothic" w:hAnsi="Century Gothic"/>
      <w:b/>
      <w:color w:val="448A99"/>
    </w:rPr>
  </w:style>
  <w:style w:type="paragraph" w:customStyle="1" w:styleId="AppendixGHeading3">
    <w:name w:val="Appendix G Heading 3"/>
    <w:basedOn w:val="ListParagraph"/>
    <w:qFormat/>
    <w:rsid w:val="00E646C9"/>
    <w:pPr>
      <w:numPr>
        <w:ilvl w:val="2"/>
        <w:numId w:val="135"/>
      </w:numPr>
      <w:spacing w:after="120"/>
      <w:contextualSpacing w:val="0"/>
    </w:pPr>
    <w:rPr>
      <w:rFonts w:ascii="Century Gothic" w:hAnsi="Century Gothic"/>
    </w:rPr>
  </w:style>
  <w:style w:type="paragraph" w:customStyle="1" w:styleId="AppendixGHeading4">
    <w:name w:val="Appendix G Heading 4"/>
    <w:basedOn w:val="ListParagraph"/>
    <w:qFormat/>
    <w:rsid w:val="00E646C9"/>
    <w:pPr>
      <w:numPr>
        <w:ilvl w:val="3"/>
        <w:numId w:val="135"/>
      </w:numPr>
      <w:spacing w:after="120"/>
      <w:contextualSpacing w:val="0"/>
    </w:pPr>
    <w:rPr>
      <w:b/>
      <w:i/>
    </w:rPr>
  </w:style>
  <w:style w:type="paragraph" w:customStyle="1" w:styleId="AppendixGHeading5">
    <w:name w:val="Appendix G Heading 5"/>
    <w:basedOn w:val="ListParagraph"/>
    <w:qFormat/>
    <w:rsid w:val="00E646C9"/>
    <w:pPr>
      <w:numPr>
        <w:ilvl w:val="4"/>
        <w:numId w:val="135"/>
      </w:numPr>
      <w:spacing w:after="120"/>
      <w:contextualSpacing w:val="0"/>
    </w:pPr>
  </w:style>
  <w:style w:type="paragraph" w:customStyle="1" w:styleId="AppendixGHeading6">
    <w:name w:val="Appendix G Heading 6"/>
    <w:basedOn w:val="ListParagraph"/>
    <w:qFormat/>
    <w:rsid w:val="00E646C9"/>
    <w:pPr>
      <w:numPr>
        <w:ilvl w:val="5"/>
        <w:numId w:val="135"/>
      </w:numPr>
      <w:spacing w:after="120"/>
      <w:contextualSpacing w:val="0"/>
    </w:pPr>
  </w:style>
  <w:style w:type="paragraph" w:customStyle="1" w:styleId="TableParagraph">
    <w:name w:val="Table Paragraph"/>
    <w:basedOn w:val="Normal"/>
    <w:uiPriority w:val="1"/>
    <w:qFormat/>
    <w:rsid w:val="00E646C9"/>
    <w:pPr>
      <w:widowControl w:val="0"/>
      <w:jc w:val="left"/>
    </w:pPr>
    <w:rPr>
      <w:rFonts w:asciiTheme="minorHAnsi" w:eastAsiaTheme="minorHAnsi" w:hAnsiTheme="minorHAnsi" w:cstheme="minorBidi"/>
    </w:rPr>
  </w:style>
  <w:style w:type="paragraph" w:customStyle="1" w:styleId="AppendixA">
    <w:name w:val="Appendix A"/>
    <w:basedOn w:val="Heading1"/>
    <w:link w:val="AppendixAChar"/>
    <w:qFormat/>
    <w:rsid w:val="00E646C9"/>
    <w:pPr>
      <w:numPr>
        <w:numId w:val="0"/>
      </w:numPr>
    </w:pPr>
    <w:rPr>
      <w:rFonts w:eastAsia="Calibri" w:cs="Times New Roman"/>
      <w:b/>
      <w:color w:val="FFFFFF"/>
      <w:sz w:val="30"/>
    </w:rPr>
  </w:style>
  <w:style w:type="character" w:customStyle="1" w:styleId="AppendixAChar">
    <w:name w:val="Appendix A Char"/>
    <w:link w:val="AppendixA"/>
    <w:rsid w:val="00E646C9"/>
    <w:rPr>
      <w:rFonts w:ascii="Century Gothic" w:eastAsia="Calibri" w:hAnsi="Century Gothic"/>
      <w:b/>
      <w:smallCaps/>
      <w:color w:val="FFFFFF"/>
      <w:sz w:val="30"/>
      <w:szCs w:val="22"/>
      <w:shd w:val="clear" w:color="auto" w:fill="448A99"/>
    </w:rPr>
  </w:style>
  <w:style w:type="table" w:customStyle="1" w:styleId="PECOTeal">
    <w:name w:val="PECO_Teal"/>
    <w:basedOn w:val="MediumShading1-Accent5"/>
    <w:uiPriority w:val="99"/>
    <w:rsid w:val="00E646C9"/>
    <w:rPr>
      <w:rFonts w:eastAsia="Calibri"/>
      <w:sz w:val="18"/>
      <w:szCs w:val="22"/>
    </w:rPr>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rPr>
      <w:cantSplit/>
    </w:trPr>
    <w:tcPr>
      <w:vAlign w:val="center"/>
    </w:tcPr>
    <w:tblStylePr w:type="firstRow">
      <w:pPr>
        <w:spacing w:before="0" w:after="0" w:line="240" w:lineRule="auto"/>
      </w:pPr>
      <w:rPr>
        <w:rFonts w:asciiTheme="minorHAnsi" w:hAnsiTheme="minorHAnsi" w:cs="Times New Roman"/>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shd w:val="clear" w:color="auto" w:fill="448A99"/>
      </w:tcPr>
    </w:tblStylePr>
    <w:tblStylePr w:type="lastRow">
      <w:pPr>
        <w:spacing w:before="0" w:after="0" w:line="240" w:lineRule="auto"/>
      </w:pPr>
      <w:rPr>
        <w:rFonts w:asciiTheme="minorHAnsi" w:hAnsiTheme="minorHAnsi" w:cs="Times New Roman"/>
        <w:b/>
        <w:bCs/>
        <w:sz w:val="18"/>
      </w:rPr>
      <w:tblPr/>
      <w:tcPr>
        <w:tcBorders>
          <w:top w:val="double" w:sz="4" w:space="0" w:color="448A99"/>
          <w:left w:val="single" w:sz="4" w:space="0" w:color="448A99"/>
          <w:bottom w:val="single" w:sz="4" w:space="0" w:color="448A99"/>
          <w:right w:val="single" w:sz="4" w:space="0" w:color="448A99"/>
          <w:insideH w:val="nil"/>
          <w:insideV w:val="single" w:sz="4" w:space="0" w:color="448A9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4" w:space="0" w:color="448A99"/>
          <w:left w:val="single" w:sz="4" w:space="0" w:color="448A99"/>
          <w:bottom w:val="single" w:sz="4" w:space="0" w:color="448A99"/>
          <w:right w:val="single" w:sz="4" w:space="0" w:color="448A99"/>
          <w:insideH w:val="nil"/>
          <w:insideV w:val="nil"/>
          <w:tl2br w:val="nil"/>
          <w:tr2bl w:val="nil"/>
        </w:tcBorders>
        <w:shd w:val="clear" w:color="auto" w:fill="D2EAF1" w:themeFill="accent5" w:themeFillTint="3F"/>
      </w:tcPr>
    </w:tblStylePr>
    <w:tblStylePr w:type="band2Vert">
      <w:tblPr/>
      <w:tcPr>
        <w:tcBorders>
          <w:top w:val="single" w:sz="4" w:space="0" w:color="448A99"/>
          <w:left w:val="single" w:sz="4" w:space="0" w:color="448A99"/>
          <w:bottom w:val="single" w:sz="4" w:space="0" w:color="448A99"/>
          <w:right w:val="single" w:sz="4" w:space="0" w:color="448A99"/>
          <w:insideH w:val="nil"/>
          <w:insideV w:val="nil"/>
          <w:tl2br w:val="nil"/>
          <w:tr2bl w:val="nil"/>
        </w:tcBorders>
      </w:tcPr>
    </w:tblStylePr>
    <w:tblStylePr w:type="band1Horz">
      <w:rPr>
        <w:rFonts w:cs="Times New Roman"/>
      </w:rPr>
      <w:tblPr/>
      <w:tcPr>
        <w:tcBorders>
          <w:top w:val="single" w:sz="4" w:space="0" w:color="448A99"/>
          <w:left w:val="single" w:sz="4" w:space="0" w:color="448A99"/>
          <w:bottom w:val="single" w:sz="4" w:space="0" w:color="448A99"/>
          <w:right w:val="single" w:sz="4" w:space="0" w:color="448A99"/>
          <w:insideH w:val="single" w:sz="4" w:space="0" w:color="448A99"/>
          <w:insideV w:val="single" w:sz="4" w:space="0" w:color="448A99"/>
          <w:tl2br w:val="nil"/>
          <w:tr2bl w:val="nil"/>
        </w:tcBorders>
        <w:shd w:val="clear" w:color="auto" w:fill="D2EAF1"/>
      </w:tcPr>
    </w:tblStylePr>
    <w:tblStylePr w:type="band2Horz">
      <w:rPr>
        <w:rFonts w:cs="Times New Roman"/>
      </w:rPr>
      <w:tblPr/>
      <w:tcPr>
        <w:tcBorders>
          <w:top w:val="single" w:sz="4" w:space="0" w:color="448A99"/>
          <w:left w:val="single" w:sz="4" w:space="0" w:color="448A99"/>
          <w:bottom w:val="single" w:sz="4" w:space="0" w:color="448A99"/>
          <w:right w:val="single" w:sz="4" w:space="0" w:color="448A99"/>
          <w:insideH w:val="nil"/>
          <w:insideV w:val="single" w:sz="4" w:space="0" w:color="448A99"/>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15843">
      <w:bodyDiv w:val="1"/>
      <w:marLeft w:val="0"/>
      <w:marRight w:val="0"/>
      <w:marTop w:val="0"/>
      <w:marBottom w:val="0"/>
      <w:divBdr>
        <w:top w:val="none" w:sz="0" w:space="0" w:color="auto"/>
        <w:left w:val="none" w:sz="0" w:space="0" w:color="auto"/>
        <w:bottom w:val="none" w:sz="0" w:space="0" w:color="auto"/>
        <w:right w:val="none" w:sz="0" w:space="0" w:color="auto"/>
      </w:divBdr>
    </w:div>
    <w:div w:id="45031168">
      <w:bodyDiv w:val="1"/>
      <w:marLeft w:val="0"/>
      <w:marRight w:val="0"/>
      <w:marTop w:val="0"/>
      <w:marBottom w:val="0"/>
      <w:divBdr>
        <w:top w:val="none" w:sz="0" w:space="0" w:color="auto"/>
        <w:left w:val="none" w:sz="0" w:space="0" w:color="auto"/>
        <w:bottom w:val="none" w:sz="0" w:space="0" w:color="auto"/>
        <w:right w:val="none" w:sz="0" w:space="0" w:color="auto"/>
      </w:divBdr>
    </w:div>
    <w:div w:id="60258340">
      <w:bodyDiv w:val="1"/>
      <w:marLeft w:val="0"/>
      <w:marRight w:val="0"/>
      <w:marTop w:val="0"/>
      <w:marBottom w:val="0"/>
      <w:divBdr>
        <w:top w:val="none" w:sz="0" w:space="0" w:color="auto"/>
        <w:left w:val="none" w:sz="0" w:space="0" w:color="auto"/>
        <w:bottom w:val="none" w:sz="0" w:space="0" w:color="auto"/>
        <w:right w:val="none" w:sz="0" w:space="0" w:color="auto"/>
      </w:divBdr>
    </w:div>
    <w:div w:id="149713301">
      <w:bodyDiv w:val="1"/>
      <w:marLeft w:val="0"/>
      <w:marRight w:val="0"/>
      <w:marTop w:val="0"/>
      <w:marBottom w:val="0"/>
      <w:divBdr>
        <w:top w:val="none" w:sz="0" w:space="0" w:color="auto"/>
        <w:left w:val="none" w:sz="0" w:space="0" w:color="auto"/>
        <w:bottom w:val="none" w:sz="0" w:space="0" w:color="auto"/>
        <w:right w:val="none" w:sz="0" w:space="0" w:color="auto"/>
      </w:divBdr>
    </w:div>
    <w:div w:id="175660153">
      <w:bodyDiv w:val="1"/>
      <w:marLeft w:val="0"/>
      <w:marRight w:val="0"/>
      <w:marTop w:val="0"/>
      <w:marBottom w:val="0"/>
      <w:divBdr>
        <w:top w:val="none" w:sz="0" w:space="0" w:color="auto"/>
        <w:left w:val="none" w:sz="0" w:space="0" w:color="auto"/>
        <w:bottom w:val="none" w:sz="0" w:space="0" w:color="auto"/>
        <w:right w:val="none" w:sz="0" w:space="0" w:color="auto"/>
      </w:divBdr>
    </w:div>
    <w:div w:id="211238635">
      <w:bodyDiv w:val="1"/>
      <w:marLeft w:val="0"/>
      <w:marRight w:val="0"/>
      <w:marTop w:val="0"/>
      <w:marBottom w:val="0"/>
      <w:divBdr>
        <w:top w:val="none" w:sz="0" w:space="0" w:color="auto"/>
        <w:left w:val="none" w:sz="0" w:space="0" w:color="auto"/>
        <w:bottom w:val="none" w:sz="0" w:space="0" w:color="auto"/>
        <w:right w:val="none" w:sz="0" w:space="0" w:color="auto"/>
      </w:divBdr>
    </w:div>
    <w:div w:id="269437805">
      <w:bodyDiv w:val="1"/>
      <w:marLeft w:val="0"/>
      <w:marRight w:val="0"/>
      <w:marTop w:val="0"/>
      <w:marBottom w:val="0"/>
      <w:divBdr>
        <w:top w:val="none" w:sz="0" w:space="0" w:color="auto"/>
        <w:left w:val="none" w:sz="0" w:space="0" w:color="auto"/>
        <w:bottom w:val="none" w:sz="0" w:space="0" w:color="auto"/>
        <w:right w:val="none" w:sz="0" w:space="0" w:color="auto"/>
      </w:divBdr>
    </w:div>
    <w:div w:id="276379625">
      <w:bodyDiv w:val="1"/>
      <w:marLeft w:val="0"/>
      <w:marRight w:val="0"/>
      <w:marTop w:val="0"/>
      <w:marBottom w:val="0"/>
      <w:divBdr>
        <w:top w:val="none" w:sz="0" w:space="0" w:color="auto"/>
        <w:left w:val="none" w:sz="0" w:space="0" w:color="auto"/>
        <w:bottom w:val="none" w:sz="0" w:space="0" w:color="auto"/>
        <w:right w:val="none" w:sz="0" w:space="0" w:color="auto"/>
      </w:divBdr>
    </w:div>
    <w:div w:id="280041484">
      <w:bodyDiv w:val="1"/>
      <w:marLeft w:val="0"/>
      <w:marRight w:val="0"/>
      <w:marTop w:val="0"/>
      <w:marBottom w:val="0"/>
      <w:divBdr>
        <w:top w:val="none" w:sz="0" w:space="0" w:color="auto"/>
        <w:left w:val="none" w:sz="0" w:space="0" w:color="auto"/>
        <w:bottom w:val="none" w:sz="0" w:space="0" w:color="auto"/>
        <w:right w:val="none" w:sz="0" w:space="0" w:color="auto"/>
      </w:divBdr>
    </w:div>
    <w:div w:id="297611176">
      <w:bodyDiv w:val="1"/>
      <w:marLeft w:val="0"/>
      <w:marRight w:val="0"/>
      <w:marTop w:val="0"/>
      <w:marBottom w:val="0"/>
      <w:divBdr>
        <w:top w:val="none" w:sz="0" w:space="0" w:color="auto"/>
        <w:left w:val="none" w:sz="0" w:space="0" w:color="auto"/>
        <w:bottom w:val="none" w:sz="0" w:space="0" w:color="auto"/>
        <w:right w:val="none" w:sz="0" w:space="0" w:color="auto"/>
      </w:divBdr>
    </w:div>
    <w:div w:id="301084740">
      <w:bodyDiv w:val="1"/>
      <w:marLeft w:val="0"/>
      <w:marRight w:val="0"/>
      <w:marTop w:val="0"/>
      <w:marBottom w:val="0"/>
      <w:divBdr>
        <w:top w:val="none" w:sz="0" w:space="0" w:color="auto"/>
        <w:left w:val="none" w:sz="0" w:space="0" w:color="auto"/>
        <w:bottom w:val="none" w:sz="0" w:space="0" w:color="auto"/>
        <w:right w:val="none" w:sz="0" w:space="0" w:color="auto"/>
      </w:divBdr>
    </w:div>
    <w:div w:id="324015344">
      <w:bodyDiv w:val="1"/>
      <w:marLeft w:val="0"/>
      <w:marRight w:val="0"/>
      <w:marTop w:val="0"/>
      <w:marBottom w:val="0"/>
      <w:divBdr>
        <w:top w:val="none" w:sz="0" w:space="0" w:color="auto"/>
        <w:left w:val="none" w:sz="0" w:space="0" w:color="auto"/>
        <w:bottom w:val="none" w:sz="0" w:space="0" w:color="auto"/>
        <w:right w:val="none" w:sz="0" w:space="0" w:color="auto"/>
      </w:divBdr>
    </w:div>
    <w:div w:id="331377860">
      <w:bodyDiv w:val="1"/>
      <w:marLeft w:val="0"/>
      <w:marRight w:val="0"/>
      <w:marTop w:val="0"/>
      <w:marBottom w:val="0"/>
      <w:divBdr>
        <w:top w:val="none" w:sz="0" w:space="0" w:color="auto"/>
        <w:left w:val="none" w:sz="0" w:space="0" w:color="auto"/>
        <w:bottom w:val="none" w:sz="0" w:space="0" w:color="auto"/>
        <w:right w:val="none" w:sz="0" w:space="0" w:color="auto"/>
      </w:divBdr>
    </w:div>
    <w:div w:id="349988857">
      <w:bodyDiv w:val="1"/>
      <w:marLeft w:val="0"/>
      <w:marRight w:val="0"/>
      <w:marTop w:val="0"/>
      <w:marBottom w:val="0"/>
      <w:divBdr>
        <w:top w:val="none" w:sz="0" w:space="0" w:color="auto"/>
        <w:left w:val="none" w:sz="0" w:space="0" w:color="auto"/>
        <w:bottom w:val="none" w:sz="0" w:space="0" w:color="auto"/>
        <w:right w:val="none" w:sz="0" w:space="0" w:color="auto"/>
      </w:divBdr>
    </w:div>
    <w:div w:id="380906210">
      <w:bodyDiv w:val="1"/>
      <w:marLeft w:val="0"/>
      <w:marRight w:val="0"/>
      <w:marTop w:val="0"/>
      <w:marBottom w:val="0"/>
      <w:divBdr>
        <w:top w:val="none" w:sz="0" w:space="0" w:color="auto"/>
        <w:left w:val="none" w:sz="0" w:space="0" w:color="auto"/>
        <w:bottom w:val="none" w:sz="0" w:space="0" w:color="auto"/>
        <w:right w:val="none" w:sz="0" w:space="0" w:color="auto"/>
      </w:divBdr>
    </w:div>
    <w:div w:id="407770568">
      <w:bodyDiv w:val="1"/>
      <w:marLeft w:val="0"/>
      <w:marRight w:val="0"/>
      <w:marTop w:val="0"/>
      <w:marBottom w:val="0"/>
      <w:divBdr>
        <w:top w:val="none" w:sz="0" w:space="0" w:color="auto"/>
        <w:left w:val="none" w:sz="0" w:space="0" w:color="auto"/>
        <w:bottom w:val="none" w:sz="0" w:space="0" w:color="auto"/>
        <w:right w:val="none" w:sz="0" w:space="0" w:color="auto"/>
      </w:divBdr>
    </w:div>
    <w:div w:id="408188604">
      <w:bodyDiv w:val="1"/>
      <w:marLeft w:val="0"/>
      <w:marRight w:val="0"/>
      <w:marTop w:val="0"/>
      <w:marBottom w:val="0"/>
      <w:divBdr>
        <w:top w:val="none" w:sz="0" w:space="0" w:color="auto"/>
        <w:left w:val="none" w:sz="0" w:space="0" w:color="auto"/>
        <w:bottom w:val="none" w:sz="0" w:space="0" w:color="auto"/>
        <w:right w:val="none" w:sz="0" w:space="0" w:color="auto"/>
      </w:divBdr>
    </w:div>
    <w:div w:id="433941255">
      <w:bodyDiv w:val="1"/>
      <w:marLeft w:val="0"/>
      <w:marRight w:val="0"/>
      <w:marTop w:val="0"/>
      <w:marBottom w:val="0"/>
      <w:divBdr>
        <w:top w:val="none" w:sz="0" w:space="0" w:color="auto"/>
        <w:left w:val="none" w:sz="0" w:space="0" w:color="auto"/>
        <w:bottom w:val="none" w:sz="0" w:space="0" w:color="auto"/>
        <w:right w:val="none" w:sz="0" w:space="0" w:color="auto"/>
      </w:divBdr>
    </w:div>
    <w:div w:id="456526359">
      <w:bodyDiv w:val="1"/>
      <w:marLeft w:val="0"/>
      <w:marRight w:val="0"/>
      <w:marTop w:val="0"/>
      <w:marBottom w:val="0"/>
      <w:divBdr>
        <w:top w:val="none" w:sz="0" w:space="0" w:color="auto"/>
        <w:left w:val="none" w:sz="0" w:space="0" w:color="auto"/>
        <w:bottom w:val="none" w:sz="0" w:space="0" w:color="auto"/>
        <w:right w:val="none" w:sz="0" w:space="0" w:color="auto"/>
      </w:divBdr>
    </w:div>
    <w:div w:id="473451429">
      <w:bodyDiv w:val="1"/>
      <w:marLeft w:val="0"/>
      <w:marRight w:val="0"/>
      <w:marTop w:val="0"/>
      <w:marBottom w:val="0"/>
      <w:divBdr>
        <w:top w:val="none" w:sz="0" w:space="0" w:color="auto"/>
        <w:left w:val="none" w:sz="0" w:space="0" w:color="auto"/>
        <w:bottom w:val="none" w:sz="0" w:space="0" w:color="auto"/>
        <w:right w:val="none" w:sz="0" w:space="0" w:color="auto"/>
      </w:divBdr>
    </w:div>
    <w:div w:id="475342011">
      <w:bodyDiv w:val="1"/>
      <w:marLeft w:val="0"/>
      <w:marRight w:val="0"/>
      <w:marTop w:val="0"/>
      <w:marBottom w:val="0"/>
      <w:divBdr>
        <w:top w:val="none" w:sz="0" w:space="0" w:color="auto"/>
        <w:left w:val="none" w:sz="0" w:space="0" w:color="auto"/>
        <w:bottom w:val="none" w:sz="0" w:space="0" w:color="auto"/>
        <w:right w:val="none" w:sz="0" w:space="0" w:color="auto"/>
      </w:divBdr>
    </w:div>
    <w:div w:id="499735438">
      <w:bodyDiv w:val="1"/>
      <w:marLeft w:val="0"/>
      <w:marRight w:val="0"/>
      <w:marTop w:val="0"/>
      <w:marBottom w:val="0"/>
      <w:divBdr>
        <w:top w:val="none" w:sz="0" w:space="0" w:color="auto"/>
        <w:left w:val="none" w:sz="0" w:space="0" w:color="auto"/>
        <w:bottom w:val="none" w:sz="0" w:space="0" w:color="auto"/>
        <w:right w:val="none" w:sz="0" w:space="0" w:color="auto"/>
      </w:divBdr>
    </w:div>
    <w:div w:id="506134659">
      <w:bodyDiv w:val="1"/>
      <w:marLeft w:val="0"/>
      <w:marRight w:val="0"/>
      <w:marTop w:val="0"/>
      <w:marBottom w:val="0"/>
      <w:divBdr>
        <w:top w:val="none" w:sz="0" w:space="0" w:color="auto"/>
        <w:left w:val="none" w:sz="0" w:space="0" w:color="auto"/>
        <w:bottom w:val="none" w:sz="0" w:space="0" w:color="auto"/>
        <w:right w:val="none" w:sz="0" w:space="0" w:color="auto"/>
      </w:divBdr>
    </w:div>
    <w:div w:id="515778717">
      <w:bodyDiv w:val="1"/>
      <w:marLeft w:val="0"/>
      <w:marRight w:val="0"/>
      <w:marTop w:val="0"/>
      <w:marBottom w:val="0"/>
      <w:divBdr>
        <w:top w:val="none" w:sz="0" w:space="0" w:color="auto"/>
        <w:left w:val="none" w:sz="0" w:space="0" w:color="auto"/>
        <w:bottom w:val="none" w:sz="0" w:space="0" w:color="auto"/>
        <w:right w:val="none" w:sz="0" w:space="0" w:color="auto"/>
      </w:divBdr>
    </w:div>
    <w:div w:id="527182817">
      <w:bodyDiv w:val="1"/>
      <w:marLeft w:val="0"/>
      <w:marRight w:val="0"/>
      <w:marTop w:val="0"/>
      <w:marBottom w:val="0"/>
      <w:divBdr>
        <w:top w:val="none" w:sz="0" w:space="0" w:color="auto"/>
        <w:left w:val="none" w:sz="0" w:space="0" w:color="auto"/>
        <w:bottom w:val="none" w:sz="0" w:space="0" w:color="auto"/>
        <w:right w:val="none" w:sz="0" w:space="0" w:color="auto"/>
      </w:divBdr>
    </w:div>
    <w:div w:id="533005342">
      <w:bodyDiv w:val="1"/>
      <w:marLeft w:val="0"/>
      <w:marRight w:val="0"/>
      <w:marTop w:val="0"/>
      <w:marBottom w:val="0"/>
      <w:divBdr>
        <w:top w:val="none" w:sz="0" w:space="0" w:color="auto"/>
        <w:left w:val="none" w:sz="0" w:space="0" w:color="auto"/>
        <w:bottom w:val="none" w:sz="0" w:space="0" w:color="auto"/>
        <w:right w:val="none" w:sz="0" w:space="0" w:color="auto"/>
      </w:divBdr>
    </w:div>
    <w:div w:id="557712737">
      <w:bodyDiv w:val="1"/>
      <w:marLeft w:val="0"/>
      <w:marRight w:val="0"/>
      <w:marTop w:val="0"/>
      <w:marBottom w:val="0"/>
      <w:divBdr>
        <w:top w:val="none" w:sz="0" w:space="0" w:color="auto"/>
        <w:left w:val="none" w:sz="0" w:space="0" w:color="auto"/>
        <w:bottom w:val="none" w:sz="0" w:space="0" w:color="auto"/>
        <w:right w:val="none" w:sz="0" w:space="0" w:color="auto"/>
      </w:divBdr>
    </w:div>
    <w:div w:id="591937455">
      <w:bodyDiv w:val="1"/>
      <w:marLeft w:val="0"/>
      <w:marRight w:val="0"/>
      <w:marTop w:val="0"/>
      <w:marBottom w:val="0"/>
      <w:divBdr>
        <w:top w:val="none" w:sz="0" w:space="0" w:color="auto"/>
        <w:left w:val="none" w:sz="0" w:space="0" w:color="auto"/>
        <w:bottom w:val="none" w:sz="0" w:space="0" w:color="auto"/>
        <w:right w:val="none" w:sz="0" w:space="0" w:color="auto"/>
      </w:divBdr>
    </w:div>
    <w:div w:id="592513719">
      <w:bodyDiv w:val="1"/>
      <w:marLeft w:val="0"/>
      <w:marRight w:val="0"/>
      <w:marTop w:val="0"/>
      <w:marBottom w:val="0"/>
      <w:divBdr>
        <w:top w:val="none" w:sz="0" w:space="0" w:color="auto"/>
        <w:left w:val="none" w:sz="0" w:space="0" w:color="auto"/>
        <w:bottom w:val="none" w:sz="0" w:space="0" w:color="auto"/>
        <w:right w:val="none" w:sz="0" w:space="0" w:color="auto"/>
      </w:divBdr>
    </w:div>
    <w:div w:id="597521387">
      <w:bodyDiv w:val="1"/>
      <w:marLeft w:val="0"/>
      <w:marRight w:val="0"/>
      <w:marTop w:val="0"/>
      <w:marBottom w:val="0"/>
      <w:divBdr>
        <w:top w:val="none" w:sz="0" w:space="0" w:color="auto"/>
        <w:left w:val="none" w:sz="0" w:space="0" w:color="auto"/>
        <w:bottom w:val="none" w:sz="0" w:space="0" w:color="auto"/>
        <w:right w:val="none" w:sz="0" w:space="0" w:color="auto"/>
      </w:divBdr>
    </w:div>
    <w:div w:id="624577992">
      <w:bodyDiv w:val="1"/>
      <w:marLeft w:val="0"/>
      <w:marRight w:val="0"/>
      <w:marTop w:val="0"/>
      <w:marBottom w:val="0"/>
      <w:divBdr>
        <w:top w:val="none" w:sz="0" w:space="0" w:color="auto"/>
        <w:left w:val="none" w:sz="0" w:space="0" w:color="auto"/>
        <w:bottom w:val="none" w:sz="0" w:space="0" w:color="auto"/>
        <w:right w:val="none" w:sz="0" w:space="0" w:color="auto"/>
      </w:divBdr>
    </w:div>
    <w:div w:id="645205583">
      <w:bodyDiv w:val="1"/>
      <w:marLeft w:val="0"/>
      <w:marRight w:val="0"/>
      <w:marTop w:val="0"/>
      <w:marBottom w:val="0"/>
      <w:divBdr>
        <w:top w:val="none" w:sz="0" w:space="0" w:color="auto"/>
        <w:left w:val="none" w:sz="0" w:space="0" w:color="auto"/>
        <w:bottom w:val="none" w:sz="0" w:space="0" w:color="auto"/>
        <w:right w:val="none" w:sz="0" w:space="0" w:color="auto"/>
      </w:divBdr>
    </w:div>
    <w:div w:id="666787143">
      <w:bodyDiv w:val="1"/>
      <w:marLeft w:val="0"/>
      <w:marRight w:val="0"/>
      <w:marTop w:val="0"/>
      <w:marBottom w:val="0"/>
      <w:divBdr>
        <w:top w:val="none" w:sz="0" w:space="0" w:color="auto"/>
        <w:left w:val="none" w:sz="0" w:space="0" w:color="auto"/>
        <w:bottom w:val="none" w:sz="0" w:space="0" w:color="auto"/>
        <w:right w:val="none" w:sz="0" w:space="0" w:color="auto"/>
      </w:divBdr>
    </w:div>
    <w:div w:id="677972914">
      <w:bodyDiv w:val="1"/>
      <w:marLeft w:val="0"/>
      <w:marRight w:val="0"/>
      <w:marTop w:val="0"/>
      <w:marBottom w:val="0"/>
      <w:divBdr>
        <w:top w:val="none" w:sz="0" w:space="0" w:color="auto"/>
        <w:left w:val="none" w:sz="0" w:space="0" w:color="auto"/>
        <w:bottom w:val="none" w:sz="0" w:space="0" w:color="auto"/>
        <w:right w:val="none" w:sz="0" w:space="0" w:color="auto"/>
      </w:divBdr>
    </w:div>
    <w:div w:id="692611169">
      <w:bodyDiv w:val="1"/>
      <w:marLeft w:val="0"/>
      <w:marRight w:val="0"/>
      <w:marTop w:val="0"/>
      <w:marBottom w:val="0"/>
      <w:divBdr>
        <w:top w:val="none" w:sz="0" w:space="0" w:color="auto"/>
        <w:left w:val="none" w:sz="0" w:space="0" w:color="auto"/>
        <w:bottom w:val="none" w:sz="0" w:space="0" w:color="auto"/>
        <w:right w:val="none" w:sz="0" w:space="0" w:color="auto"/>
      </w:divBdr>
    </w:div>
    <w:div w:id="704450664">
      <w:bodyDiv w:val="1"/>
      <w:marLeft w:val="0"/>
      <w:marRight w:val="0"/>
      <w:marTop w:val="0"/>
      <w:marBottom w:val="0"/>
      <w:divBdr>
        <w:top w:val="none" w:sz="0" w:space="0" w:color="auto"/>
        <w:left w:val="none" w:sz="0" w:space="0" w:color="auto"/>
        <w:bottom w:val="none" w:sz="0" w:space="0" w:color="auto"/>
        <w:right w:val="none" w:sz="0" w:space="0" w:color="auto"/>
      </w:divBdr>
    </w:div>
    <w:div w:id="729421197">
      <w:bodyDiv w:val="1"/>
      <w:marLeft w:val="0"/>
      <w:marRight w:val="0"/>
      <w:marTop w:val="0"/>
      <w:marBottom w:val="0"/>
      <w:divBdr>
        <w:top w:val="none" w:sz="0" w:space="0" w:color="auto"/>
        <w:left w:val="none" w:sz="0" w:space="0" w:color="auto"/>
        <w:bottom w:val="none" w:sz="0" w:space="0" w:color="auto"/>
        <w:right w:val="none" w:sz="0" w:space="0" w:color="auto"/>
      </w:divBdr>
    </w:div>
    <w:div w:id="737171168">
      <w:bodyDiv w:val="1"/>
      <w:marLeft w:val="0"/>
      <w:marRight w:val="0"/>
      <w:marTop w:val="0"/>
      <w:marBottom w:val="0"/>
      <w:divBdr>
        <w:top w:val="none" w:sz="0" w:space="0" w:color="auto"/>
        <w:left w:val="none" w:sz="0" w:space="0" w:color="auto"/>
        <w:bottom w:val="none" w:sz="0" w:space="0" w:color="auto"/>
        <w:right w:val="none" w:sz="0" w:space="0" w:color="auto"/>
      </w:divBdr>
    </w:div>
    <w:div w:id="750391840">
      <w:bodyDiv w:val="1"/>
      <w:marLeft w:val="0"/>
      <w:marRight w:val="0"/>
      <w:marTop w:val="0"/>
      <w:marBottom w:val="0"/>
      <w:divBdr>
        <w:top w:val="none" w:sz="0" w:space="0" w:color="auto"/>
        <w:left w:val="none" w:sz="0" w:space="0" w:color="auto"/>
        <w:bottom w:val="none" w:sz="0" w:space="0" w:color="auto"/>
        <w:right w:val="none" w:sz="0" w:space="0" w:color="auto"/>
      </w:divBdr>
    </w:div>
    <w:div w:id="756367329">
      <w:bodyDiv w:val="1"/>
      <w:marLeft w:val="0"/>
      <w:marRight w:val="0"/>
      <w:marTop w:val="0"/>
      <w:marBottom w:val="0"/>
      <w:divBdr>
        <w:top w:val="none" w:sz="0" w:space="0" w:color="auto"/>
        <w:left w:val="none" w:sz="0" w:space="0" w:color="auto"/>
        <w:bottom w:val="none" w:sz="0" w:space="0" w:color="auto"/>
        <w:right w:val="none" w:sz="0" w:space="0" w:color="auto"/>
      </w:divBdr>
    </w:div>
    <w:div w:id="762841104">
      <w:bodyDiv w:val="1"/>
      <w:marLeft w:val="0"/>
      <w:marRight w:val="0"/>
      <w:marTop w:val="0"/>
      <w:marBottom w:val="0"/>
      <w:divBdr>
        <w:top w:val="none" w:sz="0" w:space="0" w:color="auto"/>
        <w:left w:val="none" w:sz="0" w:space="0" w:color="auto"/>
        <w:bottom w:val="none" w:sz="0" w:space="0" w:color="auto"/>
        <w:right w:val="none" w:sz="0" w:space="0" w:color="auto"/>
      </w:divBdr>
    </w:div>
    <w:div w:id="787042574">
      <w:bodyDiv w:val="1"/>
      <w:marLeft w:val="0"/>
      <w:marRight w:val="0"/>
      <w:marTop w:val="0"/>
      <w:marBottom w:val="0"/>
      <w:divBdr>
        <w:top w:val="none" w:sz="0" w:space="0" w:color="auto"/>
        <w:left w:val="none" w:sz="0" w:space="0" w:color="auto"/>
        <w:bottom w:val="none" w:sz="0" w:space="0" w:color="auto"/>
        <w:right w:val="none" w:sz="0" w:space="0" w:color="auto"/>
      </w:divBdr>
    </w:div>
    <w:div w:id="822963590">
      <w:bodyDiv w:val="1"/>
      <w:marLeft w:val="0"/>
      <w:marRight w:val="0"/>
      <w:marTop w:val="0"/>
      <w:marBottom w:val="0"/>
      <w:divBdr>
        <w:top w:val="none" w:sz="0" w:space="0" w:color="auto"/>
        <w:left w:val="none" w:sz="0" w:space="0" w:color="auto"/>
        <w:bottom w:val="none" w:sz="0" w:space="0" w:color="auto"/>
        <w:right w:val="none" w:sz="0" w:space="0" w:color="auto"/>
      </w:divBdr>
    </w:div>
    <w:div w:id="865675854">
      <w:bodyDiv w:val="1"/>
      <w:marLeft w:val="0"/>
      <w:marRight w:val="0"/>
      <w:marTop w:val="0"/>
      <w:marBottom w:val="0"/>
      <w:divBdr>
        <w:top w:val="none" w:sz="0" w:space="0" w:color="auto"/>
        <w:left w:val="none" w:sz="0" w:space="0" w:color="auto"/>
        <w:bottom w:val="none" w:sz="0" w:space="0" w:color="auto"/>
        <w:right w:val="none" w:sz="0" w:space="0" w:color="auto"/>
      </w:divBdr>
    </w:div>
    <w:div w:id="869151236">
      <w:bodyDiv w:val="1"/>
      <w:marLeft w:val="0"/>
      <w:marRight w:val="0"/>
      <w:marTop w:val="0"/>
      <w:marBottom w:val="0"/>
      <w:divBdr>
        <w:top w:val="none" w:sz="0" w:space="0" w:color="auto"/>
        <w:left w:val="none" w:sz="0" w:space="0" w:color="auto"/>
        <w:bottom w:val="none" w:sz="0" w:space="0" w:color="auto"/>
        <w:right w:val="none" w:sz="0" w:space="0" w:color="auto"/>
      </w:divBdr>
    </w:div>
    <w:div w:id="887374129">
      <w:bodyDiv w:val="1"/>
      <w:marLeft w:val="0"/>
      <w:marRight w:val="0"/>
      <w:marTop w:val="0"/>
      <w:marBottom w:val="0"/>
      <w:divBdr>
        <w:top w:val="none" w:sz="0" w:space="0" w:color="auto"/>
        <w:left w:val="none" w:sz="0" w:space="0" w:color="auto"/>
        <w:bottom w:val="none" w:sz="0" w:space="0" w:color="auto"/>
        <w:right w:val="none" w:sz="0" w:space="0" w:color="auto"/>
      </w:divBdr>
    </w:div>
    <w:div w:id="901676945">
      <w:marLeft w:val="0"/>
      <w:marRight w:val="0"/>
      <w:marTop w:val="0"/>
      <w:marBottom w:val="0"/>
      <w:divBdr>
        <w:top w:val="none" w:sz="0" w:space="0" w:color="auto"/>
        <w:left w:val="none" w:sz="0" w:space="0" w:color="auto"/>
        <w:bottom w:val="none" w:sz="0" w:space="0" w:color="auto"/>
        <w:right w:val="none" w:sz="0" w:space="0" w:color="auto"/>
      </w:divBdr>
    </w:div>
    <w:div w:id="901676946">
      <w:marLeft w:val="0"/>
      <w:marRight w:val="0"/>
      <w:marTop w:val="0"/>
      <w:marBottom w:val="0"/>
      <w:divBdr>
        <w:top w:val="none" w:sz="0" w:space="0" w:color="auto"/>
        <w:left w:val="none" w:sz="0" w:space="0" w:color="auto"/>
        <w:bottom w:val="none" w:sz="0" w:space="0" w:color="auto"/>
        <w:right w:val="none" w:sz="0" w:space="0" w:color="auto"/>
      </w:divBdr>
    </w:div>
    <w:div w:id="901676947">
      <w:marLeft w:val="0"/>
      <w:marRight w:val="0"/>
      <w:marTop w:val="0"/>
      <w:marBottom w:val="0"/>
      <w:divBdr>
        <w:top w:val="none" w:sz="0" w:space="0" w:color="auto"/>
        <w:left w:val="none" w:sz="0" w:space="0" w:color="auto"/>
        <w:bottom w:val="none" w:sz="0" w:space="0" w:color="auto"/>
        <w:right w:val="none" w:sz="0" w:space="0" w:color="auto"/>
      </w:divBdr>
    </w:div>
    <w:div w:id="901676948">
      <w:marLeft w:val="0"/>
      <w:marRight w:val="0"/>
      <w:marTop w:val="0"/>
      <w:marBottom w:val="0"/>
      <w:divBdr>
        <w:top w:val="none" w:sz="0" w:space="0" w:color="auto"/>
        <w:left w:val="none" w:sz="0" w:space="0" w:color="auto"/>
        <w:bottom w:val="none" w:sz="0" w:space="0" w:color="auto"/>
        <w:right w:val="none" w:sz="0" w:space="0" w:color="auto"/>
      </w:divBdr>
    </w:div>
    <w:div w:id="901676949">
      <w:marLeft w:val="0"/>
      <w:marRight w:val="0"/>
      <w:marTop w:val="0"/>
      <w:marBottom w:val="0"/>
      <w:divBdr>
        <w:top w:val="none" w:sz="0" w:space="0" w:color="auto"/>
        <w:left w:val="none" w:sz="0" w:space="0" w:color="auto"/>
        <w:bottom w:val="none" w:sz="0" w:space="0" w:color="auto"/>
        <w:right w:val="none" w:sz="0" w:space="0" w:color="auto"/>
      </w:divBdr>
    </w:div>
    <w:div w:id="901676950">
      <w:marLeft w:val="0"/>
      <w:marRight w:val="0"/>
      <w:marTop w:val="0"/>
      <w:marBottom w:val="0"/>
      <w:divBdr>
        <w:top w:val="none" w:sz="0" w:space="0" w:color="auto"/>
        <w:left w:val="none" w:sz="0" w:space="0" w:color="auto"/>
        <w:bottom w:val="none" w:sz="0" w:space="0" w:color="auto"/>
        <w:right w:val="none" w:sz="0" w:space="0" w:color="auto"/>
      </w:divBdr>
    </w:div>
    <w:div w:id="901676951">
      <w:marLeft w:val="0"/>
      <w:marRight w:val="0"/>
      <w:marTop w:val="0"/>
      <w:marBottom w:val="0"/>
      <w:divBdr>
        <w:top w:val="none" w:sz="0" w:space="0" w:color="auto"/>
        <w:left w:val="none" w:sz="0" w:space="0" w:color="auto"/>
        <w:bottom w:val="none" w:sz="0" w:space="0" w:color="auto"/>
        <w:right w:val="none" w:sz="0" w:space="0" w:color="auto"/>
      </w:divBdr>
    </w:div>
    <w:div w:id="901676952">
      <w:marLeft w:val="0"/>
      <w:marRight w:val="0"/>
      <w:marTop w:val="0"/>
      <w:marBottom w:val="0"/>
      <w:divBdr>
        <w:top w:val="none" w:sz="0" w:space="0" w:color="auto"/>
        <w:left w:val="none" w:sz="0" w:space="0" w:color="auto"/>
        <w:bottom w:val="none" w:sz="0" w:space="0" w:color="auto"/>
        <w:right w:val="none" w:sz="0" w:space="0" w:color="auto"/>
      </w:divBdr>
    </w:div>
    <w:div w:id="901676953">
      <w:marLeft w:val="0"/>
      <w:marRight w:val="0"/>
      <w:marTop w:val="0"/>
      <w:marBottom w:val="0"/>
      <w:divBdr>
        <w:top w:val="none" w:sz="0" w:space="0" w:color="auto"/>
        <w:left w:val="none" w:sz="0" w:space="0" w:color="auto"/>
        <w:bottom w:val="none" w:sz="0" w:space="0" w:color="auto"/>
        <w:right w:val="none" w:sz="0" w:space="0" w:color="auto"/>
      </w:divBdr>
    </w:div>
    <w:div w:id="901676954">
      <w:marLeft w:val="0"/>
      <w:marRight w:val="0"/>
      <w:marTop w:val="0"/>
      <w:marBottom w:val="0"/>
      <w:divBdr>
        <w:top w:val="none" w:sz="0" w:space="0" w:color="auto"/>
        <w:left w:val="none" w:sz="0" w:space="0" w:color="auto"/>
        <w:bottom w:val="none" w:sz="0" w:space="0" w:color="auto"/>
        <w:right w:val="none" w:sz="0" w:space="0" w:color="auto"/>
      </w:divBdr>
    </w:div>
    <w:div w:id="901676955">
      <w:marLeft w:val="0"/>
      <w:marRight w:val="0"/>
      <w:marTop w:val="0"/>
      <w:marBottom w:val="0"/>
      <w:divBdr>
        <w:top w:val="none" w:sz="0" w:space="0" w:color="auto"/>
        <w:left w:val="none" w:sz="0" w:space="0" w:color="auto"/>
        <w:bottom w:val="none" w:sz="0" w:space="0" w:color="auto"/>
        <w:right w:val="none" w:sz="0" w:space="0" w:color="auto"/>
      </w:divBdr>
    </w:div>
    <w:div w:id="901676956">
      <w:marLeft w:val="0"/>
      <w:marRight w:val="0"/>
      <w:marTop w:val="0"/>
      <w:marBottom w:val="0"/>
      <w:divBdr>
        <w:top w:val="none" w:sz="0" w:space="0" w:color="auto"/>
        <w:left w:val="none" w:sz="0" w:space="0" w:color="auto"/>
        <w:bottom w:val="none" w:sz="0" w:space="0" w:color="auto"/>
        <w:right w:val="none" w:sz="0" w:space="0" w:color="auto"/>
      </w:divBdr>
    </w:div>
    <w:div w:id="901676957">
      <w:marLeft w:val="0"/>
      <w:marRight w:val="0"/>
      <w:marTop w:val="0"/>
      <w:marBottom w:val="0"/>
      <w:divBdr>
        <w:top w:val="none" w:sz="0" w:space="0" w:color="auto"/>
        <w:left w:val="none" w:sz="0" w:space="0" w:color="auto"/>
        <w:bottom w:val="none" w:sz="0" w:space="0" w:color="auto"/>
        <w:right w:val="none" w:sz="0" w:space="0" w:color="auto"/>
      </w:divBdr>
    </w:div>
    <w:div w:id="901676958">
      <w:marLeft w:val="0"/>
      <w:marRight w:val="0"/>
      <w:marTop w:val="0"/>
      <w:marBottom w:val="0"/>
      <w:divBdr>
        <w:top w:val="none" w:sz="0" w:space="0" w:color="auto"/>
        <w:left w:val="none" w:sz="0" w:space="0" w:color="auto"/>
        <w:bottom w:val="none" w:sz="0" w:space="0" w:color="auto"/>
        <w:right w:val="none" w:sz="0" w:space="0" w:color="auto"/>
      </w:divBdr>
    </w:div>
    <w:div w:id="901676959">
      <w:marLeft w:val="0"/>
      <w:marRight w:val="0"/>
      <w:marTop w:val="0"/>
      <w:marBottom w:val="0"/>
      <w:divBdr>
        <w:top w:val="none" w:sz="0" w:space="0" w:color="auto"/>
        <w:left w:val="none" w:sz="0" w:space="0" w:color="auto"/>
        <w:bottom w:val="none" w:sz="0" w:space="0" w:color="auto"/>
        <w:right w:val="none" w:sz="0" w:space="0" w:color="auto"/>
      </w:divBdr>
    </w:div>
    <w:div w:id="901676960">
      <w:marLeft w:val="0"/>
      <w:marRight w:val="0"/>
      <w:marTop w:val="0"/>
      <w:marBottom w:val="0"/>
      <w:divBdr>
        <w:top w:val="none" w:sz="0" w:space="0" w:color="auto"/>
        <w:left w:val="none" w:sz="0" w:space="0" w:color="auto"/>
        <w:bottom w:val="none" w:sz="0" w:space="0" w:color="auto"/>
        <w:right w:val="none" w:sz="0" w:space="0" w:color="auto"/>
      </w:divBdr>
    </w:div>
    <w:div w:id="901676961">
      <w:marLeft w:val="0"/>
      <w:marRight w:val="0"/>
      <w:marTop w:val="0"/>
      <w:marBottom w:val="0"/>
      <w:divBdr>
        <w:top w:val="none" w:sz="0" w:space="0" w:color="auto"/>
        <w:left w:val="none" w:sz="0" w:space="0" w:color="auto"/>
        <w:bottom w:val="none" w:sz="0" w:space="0" w:color="auto"/>
        <w:right w:val="none" w:sz="0" w:space="0" w:color="auto"/>
      </w:divBdr>
    </w:div>
    <w:div w:id="901676962">
      <w:marLeft w:val="0"/>
      <w:marRight w:val="0"/>
      <w:marTop w:val="0"/>
      <w:marBottom w:val="0"/>
      <w:divBdr>
        <w:top w:val="none" w:sz="0" w:space="0" w:color="auto"/>
        <w:left w:val="none" w:sz="0" w:space="0" w:color="auto"/>
        <w:bottom w:val="none" w:sz="0" w:space="0" w:color="auto"/>
        <w:right w:val="none" w:sz="0" w:space="0" w:color="auto"/>
      </w:divBdr>
    </w:div>
    <w:div w:id="901676963">
      <w:marLeft w:val="0"/>
      <w:marRight w:val="0"/>
      <w:marTop w:val="0"/>
      <w:marBottom w:val="0"/>
      <w:divBdr>
        <w:top w:val="none" w:sz="0" w:space="0" w:color="auto"/>
        <w:left w:val="none" w:sz="0" w:space="0" w:color="auto"/>
        <w:bottom w:val="none" w:sz="0" w:space="0" w:color="auto"/>
        <w:right w:val="none" w:sz="0" w:space="0" w:color="auto"/>
      </w:divBdr>
    </w:div>
    <w:div w:id="901676964">
      <w:marLeft w:val="0"/>
      <w:marRight w:val="0"/>
      <w:marTop w:val="0"/>
      <w:marBottom w:val="0"/>
      <w:divBdr>
        <w:top w:val="none" w:sz="0" w:space="0" w:color="auto"/>
        <w:left w:val="none" w:sz="0" w:space="0" w:color="auto"/>
        <w:bottom w:val="none" w:sz="0" w:space="0" w:color="auto"/>
        <w:right w:val="none" w:sz="0" w:space="0" w:color="auto"/>
      </w:divBdr>
    </w:div>
    <w:div w:id="901676965">
      <w:marLeft w:val="0"/>
      <w:marRight w:val="0"/>
      <w:marTop w:val="0"/>
      <w:marBottom w:val="0"/>
      <w:divBdr>
        <w:top w:val="none" w:sz="0" w:space="0" w:color="auto"/>
        <w:left w:val="none" w:sz="0" w:space="0" w:color="auto"/>
        <w:bottom w:val="none" w:sz="0" w:space="0" w:color="auto"/>
        <w:right w:val="none" w:sz="0" w:space="0" w:color="auto"/>
      </w:divBdr>
    </w:div>
    <w:div w:id="901676966">
      <w:marLeft w:val="0"/>
      <w:marRight w:val="0"/>
      <w:marTop w:val="0"/>
      <w:marBottom w:val="0"/>
      <w:divBdr>
        <w:top w:val="none" w:sz="0" w:space="0" w:color="auto"/>
        <w:left w:val="none" w:sz="0" w:space="0" w:color="auto"/>
        <w:bottom w:val="none" w:sz="0" w:space="0" w:color="auto"/>
        <w:right w:val="none" w:sz="0" w:space="0" w:color="auto"/>
      </w:divBdr>
    </w:div>
    <w:div w:id="901676967">
      <w:marLeft w:val="0"/>
      <w:marRight w:val="0"/>
      <w:marTop w:val="0"/>
      <w:marBottom w:val="0"/>
      <w:divBdr>
        <w:top w:val="none" w:sz="0" w:space="0" w:color="auto"/>
        <w:left w:val="none" w:sz="0" w:space="0" w:color="auto"/>
        <w:bottom w:val="none" w:sz="0" w:space="0" w:color="auto"/>
        <w:right w:val="none" w:sz="0" w:space="0" w:color="auto"/>
      </w:divBdr>
    </w:div>
    <w:div w:id="901676968">
      <w:marLeft w:val="0"/>
      <w:marRight w:val="0"/>
      <w:marTop w:val="0"/>
      <w:marBottom w:val="0"/>
      <w:divBdr>
        <w:top w:val="none" w:sz="0" w:space="0" w:color="auto"/>
        <w:left w:val="none" w:sz="0" w:space="0" w:color="auto"/>
        <w:bottom w:val="none" w:sz="0" w:space="0" w:color="auto"/>
        <w:right w:val="none" w:sz="0" w:space="0" w:color="auto"/>
      </w:divBdr>
    </w:div>
    <w:div w:id="901676969">
      <w:marLeft w:val="0"/>
      <w:marRight w:val="0"/>
      <w:marTop w:val="0"/>
      <w:marBottom w:val="0"/>
      <w:divBdr>
        <w:top w:val="none" w:sz="0" w:space="0" w:color="auto"/>
        <w:left w:val="none" w:sz="0" w:space="0" w:color="auto"/>
        <w:bottom w:val="none" w:sz="0" w:space="0" w:color="auto"/>
        <w:right w:val="none" w:sz="0" w:space="0" w:color="auto"/>
      </w:divBdr>
    </w:div>
    <w:div w:id="901676970">
      <w:marLeft w:val="0"/>
      <w:marRight w:val="0"/>
      <w:marTop w:val="0"/>
      <w:marBottom w:val="0"/>
      <w:divBdr>
        <w:top w:val="none" w:sz="0" w:space="0" w:color="auto"/>
        <w:left w:val="none" w:sz="0" w:space="0" w:color="auto"/>
        <w:bottom w:val="none" w:sz="0" w:space="0" w:color="auto"/>
        <w:right w:val="none" w:sz="0" w:space="0" w:color="auto"/>
      </w:divBdr>
    </w:div>
    <w:div w:id="901676971">
      <w:marLeft w:val="0"/>
      <w:marRight w:val="0"/>
      <w:marTop w:val="0"/>
      <w:marBottom w:val="0"/>
      <w:divBdr>
        <w:top w:val="none" w:sz="0" w:space="0" w:color="auto"/>
        <w:left w:val="none" w:sz="0" w:space="0" w:color="auto"/>
        <w:bottom w:val="none" w:sz="0" w:space="0" w:color="auto"/>
        <w:right w:val="none" w:sz="0" w:space="0" w:color="auto"/>
      </w:divBdr>
    </w:div>
    <w:div w:id="901676972">
      <w:marLeft w:val="0"/>
      <w:marRight w:val="0"/>
      <w:marTop w:val="0"/>
      <w:marBottom w:val="0"/>
      <w:divBdr>
        <w:top w:val="none" w:sz="0" w:space="0" w:color="auto"/>
        <w:left w:val="none" w:sz="0" w:space="0" w:color="auto"/>
        <w:bottom w:val="none" w:sz="0" w:space="0" w:color="auto"/>
        <w:right w:val="none" w:sz="0" w:space="0" w:color="auto"/>
      </w:divBdr>
    </w:div>
    <w:div w:id="901676973">
      <w:marLeft w:val="0"/>
      <w:marRight w:val="0"/>
      <w:marTop w:val="0"/>
      <w:marBottom w:val="0"/>
      <w:divBdr>
        <w:top w:val="none" w:sz="0" w:space="0" w:color="auto"/>
        <w:left w:val="none" w:sz="0" w:space="0" w:color="auto"/>
        <w:bottom w:val="none" w:sz="0" w:space="0" w:color="auto"/>
        <w:right w:val="none" w:sz="0" w:space="0" w:color="auto"/>
      </w:divBdr>
    </w:div>
    <w:div w:id="901912299">
      <w:bodyDiv w:val="1"/>
      <w:marLeft w:val="0"/>
      <w:marRight w:val="0"/>
      <w:marTop w:val="0"/>
      <w:marBottom w:val="0"/>
      <w:divBdr>
        <w:top w:val="none" w:sz="0" w:space="0" w:color="auto"/>
        <w:left w:val="none" w:sz="0" w:space="0" w:color="auto"/>
        <w:bottom w:val="none" w:sz="0" w:space="0" w:color="auto"/>
        <w:right w:val="none" w:sz="0" w:space="0" w:color="auto"/>
      </w:divBdr>
    </w:div>
    <w:div w:id="906111327">
      <w:bodyDiv w:val="1"/>
      <w:marLeft w:val="0"/>
      <w:marRight w:val="0"/>
      <w:marTop w:val="0"/>
      <w:marBottom w:val="0"/>
      <w:divBdr>
        <w:top w:val="none" w:sz="0" w:space="0" w:color="auto"/>
        <w:left w:val="none" w:sz="0" w:space="0" w:color="auto"/>
        <w:bottom w:val="none" w:sz="0" w:space="0" w:color="auto"/>
        <w:right w:val="none" w:sz="0" w:space="0" w:color="auto"/>
      </w:divBdr>
    </w:div>
    <w:div w:id="925846424">
      <w:bodyDiv w:val="1"/>
      <w:marLeft w:val="0"/>
      <w:marRight w:val="0"/>
      <w:marTop w:val="0"/>
      <w:marBottom w:val="0"/>
      <w:divBdr>
        <w:top w:val="none" w:sz="0" w:space="0" w:color="auto"/>
        <w:left w:val="none" w:sz="0" w:space="0" w:color="auto"/>
        <w:bottom w:val="none" w:sz="0" w:space="0" w:color="auto"/>
        <w:right w:val="none" w:sz="0" w:space="0" w:color="auto"/>
      </w:divBdr>
    </w:div>
    <w:div w:id="957566241">
      <w:bodyDiv w:val="1"/>
      <w:marLeft w:val="0"/>
      <w:marRight w:val="0"/>
      <w:marTop w:val="0"/>
      <w:marBottom w:val="0"/>
      <w:divBdr>
        <w:top w:val="none" w:sz="0" w:space="0" w:color="auto"/>
        <w:left w:val="none" w:sz="0" w:space="0" w:color="auto"/>
        <w:bottom w:val="none" w:sz="0" w:space="0" w:color="auto"/>
        <w:right w:val="none" w:sz="0" w:space="0" w:color="auto"/>
      </w:divBdr>
    </w:div>
    <w:div w:id="965887451">
      <w:bodyDiv w:val="1"/>
      <w:marLeft w:val="0"/>
      <w:marRight w:val="0"/>
      <w:marTop w:val="0"/>
      <w:marBottom w:val="0"/>
      <w:divBdr>
        <w:top w:val="none" w:sz="0" w:space="0" w:color="auto"/>
        <w:left w:val="none" w:sz="0" w:space="0" w:color="auto"/>
        <w:bottom w:val="none" w:sz="0" w:space="0" w:color="auto"/>
        <w:right w:val="none" w:sz="0" w:space="0" w:color="auto"/>
      </w:divBdr>
    </w:div>
    <w:div w:id="967663520">
      <w:bodyDiv w:val="1"/>
      <w:marLeft w:val="0"/>
      <w:marRight w:val="0"/>
      <w:marTop w:val="0"/>
      <w:marBottom w:val="0"/>
      <w:divBdr>
        <w:top w:val="none" w:sz="0" w:space="0" w:color="auto"/>
        <w:left w:val="none" w:sz="0" w:space="0" w:color="auto"/>
        <w:bottom w:val="none" w:sz="0" w:space="0" w:color="auto"/>
        <w:right w:val="none" w:sz="0" w:space="0" w:color="auto"/>
      </w:divBdr>
    </w:div>
    <w:div w:id="1035497316">
      <w:bodyDiv w:val="1"/>
      <w:marLeft w:val="0"/>
      <w:marRight w:val="0"/>
      <w:marTop w:val="0"/>
      <w:marBottom w:val="0"/>
      <w:divBdr>
        <w:top w:val="none" w:sz="0" w:space="0" w:color="auto"/>
        <w:left w:val="none" w:sz="0" w:space="0" w:color="auto"/>
        <w:bottom w:val="none" w:sz="0" w:space="0" w:color="auto"/>
        <w:right w:val="none" w:sz="0" w:space="0" w:color="auto"/>
      </w:divBdr>
    </w:div>
    <w:div w:id="1057826133">
      <w:bodyDiv w:val="1"/>
      <w:marLeft w:val="0"/>
      <w:marRight w:val="0"/>
      <w:marTop w:val="0"/>
      <w:marBottom w:val="0"/>
      <w:divBdr>
        <w:top w:val="none" w:sz="0" w:space="0" w:color="auto"/>
        <w:left w:val="none" w:sz="0" w:space="0" w:color="auto"/>
        <w:bottom w:val="none" w:sz="0" w:space="0" w:color="auto"/>
        <w:right w:val="none" w:sz="0" w:space="0" w:color="auto"/>
      </w:divBdr>
    </w:div>
    <w:div w:id="1074859174">
      <w:bodyDiv w:val="1"/>
      <w:marLeft w:val="0"/>
      <w:marRight w:val="0"/>
      <w:marTop w:val="0"/>
      <w:marBottom w:val="0"/>
      <w:divBdr>
        <w:top w:val="none" w:sz="0" w:space="0" w:color="auto"/>
        <w:left w:val="none" w:sz="0" w:space="0" w:color="auto"/>
        <w:bottom w:val="none" w:sz="0" w:space="0" w:color="auto"/>
        <w:right w:val="none" w:sz="0" w:space="0" w:color="auto"/>
      </w:divBdr>
    </w:div>
    <w:div w:id="1075080711">
      <w:bodyDiv w:val="1"/>
      <w:marLeft w:val="0"/>
      <w:marRight w:val="0"/>
      <w:marTop w:val="0"/>
      <w:marBottom w:val="0"/>
      <w:divBdr>
        <w:top w:val="none" w:sz="0" w:space="0" w:color="auto"/>
        <w:left w:val="none" w:sz="0" w:space="0" w:color="auto"/>
        <w:bottom w:val="none" w:sz="0" w:space="0" w:color="auto"/>
        <w:right w:val="none" w:sz="0" w:space="0" w:color="auto"/>
      </w:divBdr>
    </w:div>
    <w:div w:id="1086195272">
      <w:bodyDiv w:val="1"/>
      <w:marLeft w:val="0"/>
      <w:marRight w:val="0"/>
      <w:marTop w:val="0"/>
      <w:marBottom w:val="0"/>
      <w:divBdr>
        <w:top w:val="none" w:sz="0" w:space="0" w:color="auto"/>
        <w:left w:val="none" w:sz="0" w:space="0" w:color="auto"/>
        <w:bottom w:val="none" w:sz="0" w:space="0" w:color="auto"/>
        <w:right w:val="none" w:sz="0" w:space="0" w:color="auto"/>
      </w:divBdr>
    </w:div>
    <w:div w:id="1088577623">
      <w:bodyDiv w:val="1"/>
      <w:marLeft w:val="0"/>
      <w:marRight w:val="0"/>
      <w:marTop w:val="0"/>
      <w:marBottom w:val="0"/>
      <w:divBdr>
        <w:top w:val="none" w:sz="0" w:space="0" w:color="auto"/>
        <w:left w:val="none" w:sz="0" w:space="0" w:color="auto"/>
        <w:bottom w:val="none" w:sz="0" w:space="0" w:color="auto"/>
        <w:right w:val="none" w:sz="0" w:space="0" w:color="auto"/>
      </w:divBdr>
    </w:div>
    <w:div w:id="1100874049">
      <w:bodyDiv w:val="1"/>
      <w:marLeft w:val="0"/>
      <w:marRight w:val="0"/>
      <w:marTop w:val="0"/>
      <w:marBottom w:val="0"/>
      <w:divBdr>
        <w:top w:val="none" w:sz="0" w:space="0" w:color="auto"/>
        <w:left w:val="none" w:sz="0" w:space="0" w:color="auto"/>
        <w:bottom w:val="none" w:sz="0" w:space="0" w:color="auto"/>
        <w:right w:val="none" w:sz="0" w:space="0" w:color="auto"/>
      </w:divBdr>
    </w:div>
    <w:div w:id="1105153623">
      <w:bodyDiv w:val="1"/>
      <w:marLeft w:val="0"/>
      <w:marRight w:val="0"/>
      <w:marTop w:val="0"/>
      <w:marBottom w:val="0"/>
      <w:divBdr>
        <w:top w:val="none" w:sz="0" w:space="0" w:color="auto"/>
        <w:left w:val="none" w:sz="0" w:space="0" w:color="auto"/>
        <w:bottom w:val="none" w:sz="0" w:space="0" w:color="auto"/>
        <w:right w:val="none" w:sz="0" w:space="0" w:color="auto"/>
      </w:divBdr>
      <w:divsChild>
        <w:div w:id="1253927852">
          <w:marLeft w:val="0"/>
          <w:marRight w:val="0"/>
          <w:marTop w:val="0"/>
          <w:marBottom w:val="0"/>
          <w:divBdr>
            <w:top w:val="none" w:sz="0" w:space="0" w:color="auto"/>
            <w:left w:val="none" w:sz="0" w:space="0" w:color="auto"/>
            <w:bottom w:val="none" w:sz="0" w:space="0" w:color="auto"/>
            <w:right w:val="none" w:sz="0" w:space="0" w:color="auto"/>
          </w:divBdr>
          <w:divsChild>
            <w:div w:id="516307383">
              <w:marLeft w:val="0"/>
              <w:marRight w:val="0"/>
              <w:marTop w:val="0"/>
              <w:marBottom w:val="0"/>
              <w:divBdr>
                <w:top w:val="none" w:sz="0" w:space="0" w:color="auto"/>
                <w:left w:val="none" w:sz="0" w:space="0" w:color="auto"/>
                <w:bottom w:val="none" w:sz="0" w:space="0" w:color="auto"/>
                <w:right w:val="none" w:sz="0" w:space="0" w:color="auto"/>
              </w:divBdr>
              <w:divsChild>
                <w:div w:id="1488979339">
                  <w:marLeft w:val="0"/>
                  <w:marRight w:val="0"/>
                  <w:marTop w:val="0"/>
                  <w:marBottom w:val="0"/>
                  <w:divBdr>
                    <w:top w:val="none" w:sz="0" w:space="0" w:color="auto"/>
                    <w:left w:val="none" w:sz="0" w:space="0" w:color="auto"/>
                    <w:bottom w:val="none" w:sz="0" w:space="0" w:color="auto"/>
                    <w:right w:val="none" w:sz="0" w:space="0" w:color="auto"/>
                  </w:divBdr>
                  <w:divsChild>
                    <w:div w:id="405298572">
                      <w:marLeft w:val="0"/>
                      <w:marRight w:val="0"/>
                      <w:marTop w:val="0"/>
                      <w:marBottom w:val="0"/>
                      <w:divBdr>
                        <w:top w:val="none" w:sz="0" w:space="0" w:color="auto"/>
                        <w:left w:val="none" w:sz="0" w:space="0" w:color="auto"/>
                        <w:bottom w:val="none" w:sz="0" w:space="0" w:color="auto"/>
                        <w:right w:val="none" w:sz="0" w:space="0" w:color="auto"/>
                      </w:divBdr>
                      <w:divsChild>
                        <w:div w:id="1755280169">
                          <w:marLeft w:val="0"/>
                          <w:marRight w:val="0"/>
                          <w:marTop w:val="0"/>
                          <w:marBottom w:val="0"/>
                          <w:divBdr>
                            <w:top w:val="none" w:sz="0" w:space="0" w:color="auto"/>
                            <w:left w:val="none" w:sz="0" w:space="0" w:color="auto"/>
                            <w:bottom w:val="none" w:sz="0" w:space="0" w:color="auto"/>
                            <w:right w:val="none" w:sz="0" w:space="0" w:color="auto"/>
                          </w:divBdr>
                          <w:divsChild>
                            <w:div w:id="1613901116">
                              <w:marLeft w:val="0"/>
                              <w:marRight w:val="0"/>
                              <w:marTop w:val="0"/>
                              <w:marBottom w:val="0"/>
                              <w:divBdr>
                                <w:top w:val="none" w:sz="0" w:space="0" w:color="auto"/>
                                <w:left w:val="none" w:sz="0" w:space="0" w:color="auto"/>
                                <w:bottom w:val="none" w:sz="0" w:space="0" w:color="auto"/>
                                <w:right w:val="none" w:sz="0" w:space="0" w:color="auto"/>
                              </w:divBdr>
                              <w:divsChild>
                                <w:div w:id="15817740">
                                  <w:marLeft w:val="0"/>
                                  <w:marRight w:val="0"/>
                                  <w:marTop w:val="0"/>
                                  <w:marBottom w:val="0"/>
                                  <w:divBdr>
                                    <w:top w:val="none" w:sz="0" w:space="0" w:color="auto"/>
                                    <w:left w:val="none" w:sz="0" w:space="0" w:color="auto"/>
                                    <w:bottom w:val="none" w:sz="0" w:space="0" w:color="auto"/>
                                    <w:right w:val="none" w:sz="0" w:space="0" w:color="auto"/>
                                  </w:divBdr>
                                  <w:divsChild>
                                    <w:div w:id="819270801">
                                      <w:marLeft w:val="0"/>
                                      <w:marRight w:val="0"/>
                                      <w:marTop w:val="0"/>
                                      <w:marBottom w:val="0"/>
                                      <w:divBdr>
                                        <w:top w:val="none" w:sz="0" w:space="0" w:color="auto"/>
                                        <w:left w:val="none" w:sz="0" w:space="0" w:color="auto"/>
                                        <w:bottom w:val="none" w:sz="0" w:space="0" w:color="auto"/>
                                        <w:right w:val="none" w:sz="0" w:space="0" w:color="auto"/>
                                      </w:divBdr>
                                      <w:divsChild>
                                        <w:div w:id="4865827">
                                          <w:marLeft w:val="0"/>
                                          <w:marRight w:val="0"/>
                                          <w:marTop w:val="0"/>
                                          <w:marBottom w:val="0"/>
                                          <w:divBdr>
                                            <w:top w:val="none" w:sz="0" w:space="0" w:color="auto"/>
                                            <w:left w:val="none" w:sz="0" w:space="0" w:color="auto"/>
                                            <w:bottom w:val="none" w:sz="0" w:space="0" w:color="auto"/>
                                            <w:right w:val="none" w:sz="0" w:space="0" w:color="auto"/>
                                          </w:divBdr>
                                          <w:divsChild>
                                            <w:div w:id="6061799">
                                              <w:marLeft w:val="0"/>
                                              <w:marRight w:val="0"/>
                                              <w:marTop w:val="0"/>
                                              <w:marBottom w:val="0"/>
                                              <w:divBdr>
                                                <w:top w:val="none" w:sz="0" w:space="0" w:color="auto"/>
                                                <w:left w:val="none" w:sz="0" w:space="0" w:color="auto"/>
                                                <w:bottom w:val="none" w:sz="0" w:space="0" w:color="auto"/>
                                                <w:right w:val="none" w:sz="0" w:space="0" w:color="auto"/>
                                              </w:divBdr>
                                              <w:divsChild>
                                                <w:div w:id="1477642344">
                                                  <w:marLeft w:val="0"/>
                                                  <w:marRight w:val="0"/>
                                                  <w:marTop w:val="0"/>
                                                  <w:marBottom w:val="0"/>
                                                  <w:divBdr>
                                                    <w:top w:val="none" w:sz="0" w:space="0" w:color="auto"/>
                                                    <w:left w:val="none" w:sz="0" w:space="0" w:color="auto"/>
                                                    <w:bottom w:val="none" w:sz="0" w:space="0" w:color="auto"/>
                                                    <w:right w:val="none" w:sz="0" w:space="0" w:color="auto"/>
                                                  </w:divBdr>
                                                  <w:divsChild>
                                                    <w:div w:id="1056196095">
                                                      <w:marLeft w:val="0"/>
                                                      <w:marRight w:val="0"/>
                                                      <w:marTop w:val="0"/>
                                                      <w:marBottom w:val="0"/>
                                                      <w:divBdr>
                                                        <w:top w:val="none" w:sz="0" w:space="0" w:color="auto"/>
                                                        <w:left w:val="none" w:sz="0" w:space="0" w:color="auto"/>
                                                        <w:bottom w:val="none" w:sz="0" w:space="0" w:color="auto"/>
                                                        <w:right w:val="none" w:sz="0" w:space="0" w:color="auto"/>
                                                      </w:divBdr>
                                                      <w:divsChild>
                                                        <w:div w:id="1049494770">
                                                          <w:marLeft w:val="0"/>
                                                          <w:marRight w:val="0"/>
                                                          <w:marTop w:val="0"/>
                                                          <w:marBottom w:val="0"/>
                                                          <w:divBdr>
                                                            <w:top w:val="none" w:sz="0" w:space="0" w:color="auto"/>
                                                            <w:left w:val="none" w:sz="0" w:space="0" w:color="auto"/>
                                                            <w:bottom w:val="none" w:sz="0" w:space="0" w:color="auto"/>
                                                            <w:right w:val="none" w:sz="0" w:space="0" w:color="auto"/>
                                                          </w:divBdr>
                                                          <w:divsChild>
                                                            <w:div w:id="233897989">
                                                              <w:marLeft w:val="0"/>
                                                              <w:marRight w:val="0"/>
                                                              <w:marTop w:val="0"/>
                                                              <w:marBottom w:val="0"/>
                                                              <w:divBdr>
                                                                <w:top w:val="none" w:sz="0" w:space="0" w:color="auto"/>
                                                                <w:left w:val="none" w:sz="0" w:space="0" w:color="auto"/>
                                                                <w:bottom w:val="none" w:sz="0" w:space="0" w:color="auto"/>
                                                                <w:right w:val="none" w:sz="0" w:space="0" w:color="auto"/>
                                                              </w:divBdr>
                                                              <w:divsChild>
                                                                <w:div w:id="714547399">
                                                                  <w:marLeft w:val="0"/>
                                                                  <w:marRight w:val="0"/>
                                                                  <w:marTop w:val="0"/>
                                                                  <w:marBottom w:val="0"/>
                                                                  <w:divBdr>
                                                                    <w:top w:val="none" w:sz="0" w:space="0" w:color="auto"/>
                                                                    <w:left w:val="none" w:sz="0" w:space="0" w:color="auto"/>
                                                                    <w:bottom w:val="none" w:sz="0" w:space="0" w:color="auto"/>
                                                                    <w:right w:val="none" w:sz="0" w:space="0" w:color="auto"/>
                                                                  </w:divBdr>
                                                                  <w:divsChild>
                                                                    <w:div w:id="71239481">
                                                                      <w:marLeft w:val="0"/>
                                                                      <w:marRight w:val="0"/>
                                                                      <w:marTop w:val="0"/>
                                                                      <w:marBottom w:val="0"/>
                                                                      <w:divBdr>
                                                                        <w:top w:val="none" w:sz="0" w:space="0" w:color="auto"/>
                                                                        <w:left w:val="none" w:sz="0" w:space="0" w:color="auto"/>
                                                                        <w:bottom w:val="none" w:sz="0" w:space="0" w:color="auto"/>
                                                                        <w:right w:val="none" w:sz="0" w:space="0" w:color="auto"/>
                                                                      </w:divBdr>
                                                                      <w:divsChild>
                                                                        <w:div w:id="378170089">
                                                                          <w:marLeft w:val="0"/>
                                                                          <w:marRight w:val="0"/>
                                                                          <w:marTop w:val="0"/>
                                                                          <w:marBottom w:val="0"/>
                                                                          <w:divBdr>
                                                                            <w:top w:val="none" w:sz="0" w:space="0" w:color="auto"/>
                                                                            <w:left w:val="none" w:sz="0" w:space="0" w:color="auto"/>
                                                                            <w:bottom w:val="none" w:sz="0" w:space="0" w:color="auto"/>
                                                                            <w:right w:val="none" w:sz="0" w:space="0" w:color="auto"/>
                                                                          </w:divBdr>
                                                                          <w:divsChild>
                                                                            <w:div w:id="1706247447">
                                                                              <w:marLeft w:val="0"/>
                                                                              <w:marRight w:val="0"/>
                                                                              <w:marTop w:val="0"/>
                                                                              <w:marBottom w:val="0"/>
                                                                              <w:divBdr>
                                                                                <w:top w:val="none" w:sz="0" w:space="0" w:color="auto"/>
                                                                                <w:left w:val="none" w:sz="0" w:space="0" w:color="auto"/>
                                                                                <w:bottom w:val="none" w:sz="0" w:space="0" w:color="auto"/>
                                                                                <w:right w:val="none" w:sz="0" w:space="0" w:color="auto"/>
                                                                              </w:divBdr>
                                                                              <w:divsChild>
                                                                                <w:div w:id="2022659064">
                                                                                  <w:marLeft w:val="0"/>
                                                                                  <w:marRight w:val="0"/>
                                                                                  <w:marTop w:val="0"/>
                                                                                  <w:marBottom w:val="0"/>
                                                                                  <w:divBdr>
                                                                                    <w:top w:val="none" w:sz="0" w:space="0" w:color="auto"/>
                                                                                    <w:left w:val="none" w:sz="0" w:space="0" w:color="auto"/>
                                                                                    <w:bottom w:val="none" w:sz="0" w:space="0" w:color="auto"/>
                                                                                    <w:right w:val="none" w:sz="0" w:space="0" w:color="auto"/>
                                                                                  </w:divBdr>
                                                                                  <w:divsChild>
                                                                                    <w:div w:id="1760710598">
                                                                                      <w:marLeft w:val="0"/>
                                                                                      <w:marRight w:val="0"/>
                                                                                      <w:marTop w:val="0"/>
                                                                                      <w:marBottom w:val="0"/>
                                                                                      <w:divBdr>
                                                                                        <w:top w:val="none" w:sz="0" w:space="0" w:color="auto"/>
                                                                                        <w:left w:val="none" w:sz="0" w:space="0" w:color="auto"/>
                                                                                        <w:bottom w:val="none" w:sz="0" w:space="0" w:color="auto"/>
                                                                                        <w:right w:val="none" w:sz="0" w:space="0" w:color="auto"/>
                                                                                      </w:divBdr>
                                                                                      <w:divsChild>
                                                                                        <w:div w:id="2054382004">
                                                                                          <w:marLeft w:val="0"/>
                                                                                          <w:marRight w:val="0"/>
                                                                                          <w:marTop w:val="0"/>
                                                                                          <w:marBottom w:val="0"/>
                                                                                          <w:divBdr>
                                                                                            <w:top w:val="none" w:sz="0" w:space="0" w:color="auto"/>
                                                                                            <w:left w:val="none" w:sz="0" w:space="0" w:color="auto"/>
                                                                                            <w:bottom w:val="none" w:sz="0" w:space="0" w:color="auto"/>
                                                                                            <w:right w:val="none" w:sz="0" w:space="0" w:color="auto"/>
                                                                                          </w:divBdr>
                                                                                          <w:divsChild>
                                                                                            <w:div w:id="1195339120">
                                                                                              <w:marLeft w:val="300"/>
                                                                                              <w:marRight w:val="0"/>
                                                                                              <w:marTop w:val="0"/>
                                                                                              <w:marBottom w:val="0"/>
                                                                                              <w:divBdr>
                                                                                                <w:top w:val="none" w:sz="0" w:space="0" w:color="auto"/>
                                                                                                <w:left w:val="none" w:sz="0" w:space="0" w:color="auto"/>
                                                                                                <w:bottom w:val="none" w:sz="0" w:space="0" w:color="auto"/>
                                                                                                <w:right w:val="none" w:sz="0" w:space="0" w:color="auto"/>
                                                                                              </w:divBdr>
                                                                                              <w:divsChild>
                                                                                                <w:div w:id="1181357573">
                                                                                                  <w:marLeft w:val="-300"/>
                                                                                                  <w:marRight w:val="0"/>
                                                                                                  <w:marTop w:val="0"/>
                                                                                                  <w:marBottom w:val="0"/>
                                                                                                  <w:divBdr>
                                                                                                    <w:top w:val="none" w:sz="0" w:space="0" w:color="auto"/>
                                                                                                    <w:left w:val="none" w:sz="0" w:space="0" w:color="auto"/>
                                                                                                    <w:bottom w:val="none" w:sz="0" w:space="0" w:color="auto"/>
                                                                                                    <w:right w:val="none" w:sz="0" w:space="0" w:color="auto"/>
                                                                                                  </w:divBdr>
                                                                                                  <w:divsChild>
                                                                                                    <w:div w:id="534267901">
                                                                                                      <w:marLeft w:val="0"/>
                                                                                                      <w:marRight w:val="0"/>
                                                                                                      <w:marTop w:val="0"/>
                                                                                                      <w:marBottom w:val="0"/>
                                                                                                      <w:divBdr>
                                                                                                        <w:top w:val="none" w:sz="0" w:space="0" w:color="auto"/>
                                                                                                        <w:left w:val="none" w:sz="0" w:space="0" w:color="auto"/>
                                                                                                        <w:bottom w:val="none" w:sz="0" w:space="0" w:color="auto"/>
                                                                                                        <w:right w:val="none" w:sz="0" w:space="0" w:color="auto"/>
                                                                                                      </w:divBdr>
                                                                                                    </w:div>
                                                                                                    <w:div w:id="16138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518391">
      <w:bodyDiv w:val="1"/>
      <w:marLeft w:val="0"/>
      <w:marRight w:val="0"/>
      <w:marTop w:val="0"/>
      <w:marBottom w:val="0"/>
      <w:divBdr>
        <w:top w:val="none" w:sz="0" w:space="0" w:color="auto"/>
        <w:left w:val="none" w:sz="0" w:space="0" w:color="auto"/>
        <w:bottom w:val="none" w:sz="0" w:space="0" w:color="auto"/>
        <w:right w:val="none" w:sz="0" w:space="0" w:color="auto"/>
      </w:divBdr>
    </w:div>
    <w:div w:id="1140152439">
      <w:bodyDiv w:val="1"/>
      <w:marLeft w:val="0"/>
      <w:marRight w:val="0"/>
      <w:marTop w:val="0"/>
      <w:marBottom w:val="0"/>
      <w:divBdr>
        <w:top w:val="none" w:sz="0" w:space="0" w:color="auto"/>
        <w:left w:val="none" w:sz="0" w:space="0" w:color="auto"/>
        <w:bottom w:val="none" w:sz="0" w:space="0" w:color="auto"/>
        <w:right w:val="none" w:sz="0" w:space="0" w:color="auto"/>
      </w:divBdr>
    </w:div>
    <w:div w:id="1142231471">
      <w:bodyDiv w:val="1"/>
      <w:marLeft w:val="0"/>
      <w:marRight w:val="0"/>
      <w:marTop w:val="0"/>
      <w:marBottom w:val="0"/>
      <w:divBdr>
        <w:top w:val="none" w:sz="0" w:space="0" w:color="auto"/>
        <w:left w:val="none" w:sz="0" w:space="0" w:color="auto"/>
        <w:bottom w:val="none" w:sz="0" w:space="0" w:color="auto"/>
        <w:right w:val="none" w:sz="0" w:space="0" w:color="auto"/>
      </w:divBdr>
    </w:div>
    <w:div w:id="1155299019">
      <w:bodyDiv w:val="1"/>
      <w:marLeft w:val="0"/>
      <w:marRight w:val="0"/>
      <w:marTop w:val="0"/>
      <w:marBottom w:val="0"/>
      <w:divBdr>
        <w:top w:val="none" w:sz="0" w:space="0" w:color="auto"/>
        <w:left w:val="none" w:sz="0" w:space="0" w:color="auto"/>
        <w:bottom w:val="none" w:sz="0" w:space="0" w:color="auto"/>
        <w:right w:val="none" w:sz="0" w:space="0" w:color="auto"/>
      </w:divBdr>
    </w:div>
    <w:div w:id="1169833898">
      <w:bodyDiv w:val="1"/>
      <w:marLeft w:val="0"/>
      <w:marRight w:val="0"/>
      <w:marTop w:val="0"/>
      <w:marBottom w:val="0"/>
      <w:divBdr>
        <w:top w:val="none" w:sz="0" w:space="0" w:color="auto"/>
        <w:left w:val="none" w:sz="0" w:space="0" w:color="auto"/>
        <w:bottom w:val="none" w:sz="0" w:space="0" w:color="auto"/>
        <w:right w:val="none" w:sz="0" w:space="0" w:color="auto"/>
      </w:divBdr>
    </w:div>
    <w:div w:id="1231381294">
      <w:bodyDiv w:val="1"/>
      <w:marLeft w:val="0"/>
      <w:marRight w:val="0"/>
      <w:marTop w:val="0"/>
      <w:marBottom w:val="0"/>
      <w:divBdr>
        <w:top w:val="none" w:sz="0" w:space="0" w:color="auto"/>
        <w:left w:val="none" w:sz="0" w:space="0" w:color="auto"/>
        <w:bottom w:val="none" w:sz="0" w:space="0" w:color="auto"/>
        <w:right w:val="none" w:sz="0" w:space="0" w:color="auto"/>
      </w:divBdr>
    </w:div>
    <w:div w:id="1249730578">
      <w:bodyDiv w:val="1"/>
      <w:marLeft w:val="0"/>
      <w:marRight w:val="0"/>
      <w:marTop w:val="0"/>
      <w:marBottom w:val="0"/>
      <w:divBdr>
        <w:top w:val="none" w:sz="0" w:space="0" w:color="auto"/>
        <w:left w:val="none" w:sz="0" w:space="0" w:color="auto"/>
        <w:bottom w:val="none" w:sz="0" w:space="0" w:color="auto"/>
        <w:right w:val="none" w:sz="0" w:space="0" w:color="auto"/>
      </w:divBdr>
    </w:div>
    <w:div w:id="1259556314">
      <w:bodyDiv w:val="1"/>
      <w:marLeft w:val="0"/>
      <w:marRight w:val="0"/>
      <w:marTop w:val="0"/>
      <w:marBottom w:val="0"/>
      <w:divBdr>
        <w:top w:val="none" w:sz="0" w:space="0" w:color="auto"/>
        <w:left w:val="none" w:sz="0" w:space="0" w:color="auto"/>
        <w:bottom w:val="none" w:sz="0" w:space="0" w:color="auto"/>
        <w:right w:val="none" w:sz="0" w:space="0" w:color="auto"/>
      </w:divBdr>
    </w:div>
    <w:div w:id="1304433895">
      <w:bodyDiv w:val="1"/>
      <w:marLeft w:val="0"/>
      <w:marRight w:val="0"/>
      <w:marTop w:val="0"/>
      <w:marBottom w:val="0"/>
      <w:divBdr>
        <w:top w:val="none" w:sz="0" w:space="0" w:color="auto"/>
        <w:left w:val="none" w:sz="0" w:space="0" w:color="auto"/>
        <w:bottom w:val="none" w:sz="0" w:space="0" w:color="auto"/>
        <w:right w:val="none" w:sz="0" w:space="0" w:color="auto"/>
      </w:divBdr>
    </w:div>
    <w:div w:id="1308049217">
      <w:bodyDiv w:val="1"/>
      <w:marLeft w:val="0"/>
      <w:marRight w:val="0"/>
      <w:marTop w:val="0"/>
      <w:marBottom w:val="0"/>
      <w:divBdr>
        <w:top w:val="none" w:sz="0" w:space="0" w:color="auto"/>
        <w:left w:val="none" w:sz="0" w:space="0" w:color="auto"/>
        <w:bottom w:val="none" w:sz="0" w:space="0" w:color="auto"/>
        <w:right w:val="none" w:sz="0" w:space="0" w:color="auto"/>
      </w:divBdr>
    </w:div>
    <w:div w:id="1321928217">
      <w:bodyDiv w:val="1"/>
      <w:marLeft w:val="0"/>
      <w:marRight w:val="0"/>
      <w:marTop w:val="0"/>
      <w:marBottom w:val="0"/>
      <w:divBdr>
        <w:top w:val="none" w:sz="0" w:space="0" w:color="auto"/>
        <w:left w:val="none" w:sz="0" w:space="0" w:color="auto"/>
        <w:bottom w:val="none" w:sz="0" w:space="0" w:color="auto"/>
        <w:right w:val="none" w:sz="0" w:space="0" w:color="auto"/>
      </w:divBdr>
    </w:div>
    <w:div w:id="1353341405">
      <w:bodyDiv w:val="1"/>
      <w:marLeft w:val="0"/>
      <w:marRight w:val="0"/>
      <w:marTop w:val="0"/>
      <w:marBottom w:val="0"/>
      <w:divBdr>
        <w:top w:val="none" w:sz="0" w:space="0" w:color="auto"/>
        <w:left w:val="none" w:sz="0" w:space="0" w:color="auto"/>
        <w:bottom w:val="none" w:sz="0" w:space="0" w:color="auto"/>
        <w:right w:val="none" w:sz="0" w:space="0" w:color="auto"/>
      </w:divBdr>
    </w:div>
    <w:div w:id="1375732405">
      <w:bodyDiv w:val="1"/>
      <w:marLeft w:val="0"/>
      <w:marRight w:val="0"/>
      <w:marTop w:val="0"/>
      <w:marBottom w:val="0"/>
      <w:divBdr>
        <w:top w:val="none" w:sz="0" w:space="0" w:color="auto"/>
        <w:left w:val="none" w:sz="0" w:space="0" w:color="auto"/>
        <w:bottom w:val="none" w:sz="0" w:space="0" w:color="auto"/>
        <w:right w:val="none" w:sz="0" w:space="0" w:color="auto"/>
      </w:divBdr>
    </w:div>
    <w:div w:id="1384794776">
      <w:bodyDiv w:val="1"/>
      <w:marLeft w:val="0"/>
      <w:marRight w:val="0"/>
      <w:marTop w:val="0"/>
      <w:marBottom w:val="0"/>
      <w:divBdr>
        <w:top w:val="none" w:sz="0" w:space="0" w:color="auto"/>
        <w:left w:val="none" w:sz="0" w:space="0" w:color="auto"/>
        <w:bottom w:val="none" w:sz="0" w:space="0" w:color="auto"/>
        <w:right w:val="none" w:sz="0" w:space="0" w:color="auto"/>
      </w:divBdr>
    </w:div>
    <w:div w:id="1393965026">
      <w:bodyDiv w:val="1"/>
      <w:marLeft w:val="0"/>
      <w:marRight w:val="0"/>
      <w:marTop w:val="0"/>
      <w:marBottom w:val="0"/>
      <w:divBdr>
        <w:top w:val="none" w:sz="0" w:space="0" w:color="auto"/>
        <w:left w:val="none" w:sz="0" w:space="0" w:color="auto"/>
        <w:bottom w:val="none" w:sz="0" w:space="0" w:color="auto"/>
        <w:right w:val="none" w:sz="0" w:space="0" w:color="auto"/>
      </w:divBdr>
    </w:div>
    <w:div w:id="1428843164">
      <w:bodyDiv w:val="1"/>
      <w:marLeft w:val="0"/>
      <w:marRight w:val="0"/>
      <w:marTop w:val="0"/>
      <w:marBottom w:val="0"/>
      <w:divBdr>
        <w:top w:val="none" w:sz="0" w:space="0" w:color="auto"/>
        <w:left w:val="none" w:sz="0" w:space="0" w:color="auto"/>
        <w:bottom w:val="none" w:sz="0" w:space="0" w:color="auto"/>
        <w:right w:val="none" w:sz="0" w:space="0" w:color="auto"/>
      </w:divBdr>
    </w:div>
    <w:div w:id="1442843900">
      <w:bodyDiv w:val="1"/>
      <w:marLeft w:val="0"/>
      <w:marRight w:val="0"/>
      <w:marTop w:val="0"/>
      <w:marBottom w:val="0"/>
      <w:divBdr>
        <w:top w:val="none" w:sz="0" w:space="0" w:color="auto"/>
        <w:left w:val="none" w:sz="0" w:space="0" w:color="auto"/>
        <w:bottom w:val="none" w:sz="0" w:space="0" w:color="auto"/>
        <w:right w:val="none" w:sz="0" w:space="0" w:color="auto"/>
      </w:divBdr>
    </w:div>
    <w:div w:id="1455446743">
      <w:bodyDiv w:val="1"/>
      <w:marLeft w:val="0"/>
      <w:marRight w:val="0"/>
      <w:marTop w:val="0"/>
      <w:marBottom w:val="0"/>
      <w:divBdr>
        <w:top w:val="none" w:sz="0" w:space="0" w:color="auto"/>
        <w:left w:val="none" w:sz="0" w:space="0" w:color="auto"/>
        <w:bottom w:val="none" w:sz="0" w:space="0" w:color="auto"/>
        <w:right w:val="none" w:sz="0" w:space="0" w:color="auto"/>
      </w:divBdr>
    </w:div>
    <w:div w:id="1474521165">
      <w:bodyDiv w:val="1"/>
      <w:marLeft w:val="0"/>
      <w:marRight w:val="0"/>
      <w:marTop w:val="0"/>
      <w:marBottom w:val="0"/>
      <w:divBdr>
        <w:top w:val="none" w:sz="0" w:space="0" w:color="auto"/>
        <w:left w:val="none" w:sz="0" w:space="0" w:color="auto"/>
        <w:bottom w:val="none" w:sz="0" w:space="0" w:color="auto"/>
        <w:right w:val="none" w:sz="0" w:space="0" w:color="auto"/>
      </w:divBdr>
    </w:div>
    <w:div w:id="1485273167">
      <w:bodyDiv w:val="1"/>
      <w:marLeft w:val="0"/>
      <w:marRight w:val="0"/>
      <w:marTop w:val="0"/>
      <w:marBottom w:val="0"/>
      <w:divBdr>
        <w:top w:val="none" w:sz="0" w:space="0" w:color="auto"/>
        <w:left w:val="none" w:sz="0" w:space="0" w:color="auto"/>
        <w:bottom w:val="none" w:sz="0" w:space="0" w:color="auto"/>
        <w:right w:val="none" w:sz="0" w:space="0" w:color="auto"/>
      </w:divBdr>
    </w:div>
    <w:div w:id="1504279565">
      <w:bodyDiv w:val="1"/>
      <w:marLeft w:val="0"/>
      <w:marRight w:val="0"/>
      <w:marTop w:val="0"/>
      <w:marBottom w:val="0"/>
      <w:divBdr>
        <w:top w:val="none" w:sz="0" w:space="0" w:color="auto"/>
        <w:left w:val="none" w:sz="0" w:space="0" w:color="auto"/>
        <w:bottom w:val="none" w:sz="0" w:space="0" w:color="auto"/>
        <w:right w:val="none" w:sz="0" w:space="0" w:color="auto"/>
      </w:divBdr>
    </w:div>
    <w:div w:id="1515263479">
      <w:bodyDiv w:val="1"/>
      <w:marLeft w:val="0"/>
      <w:marRight w:val="0"/>
      <w:marTop w:val="0"/>
      <w:marBottom w:val="0"/>
      <w:divBdr>
        <w:top w:val="none" w:sz="0" w:space="0" w:color="auto"/>
        <w:left w:val="none" w:sz="0" w:space="0" w:color="auto"/>
        <w:bottom w:val="none" w:sz="0" w:space="0" w:color="auto"/>
        <w:right w:val="none" w:sz="0" w:space="0" w:color="auto"/>
      </w:divBdr>
    </w:div>
    <w:div w:id="1515531917">
      <w:bodyDiv w:val="1"/>
      <w:marLeft w:val="0"/>
      <w:marRight w:val="0"/>
      <w:marTop w:val="0"/>
      <w:marBottom w:val="0"/>
      <w:divBdr>
        <w:top w:val="none" w:sz="0" w:space="0" w:color="auto"/>
        <w:left w:val="none" w:sz="0" w:space="0" w:color="auto"/>
        <w:bottom w:val="none" w:sz="0" w:space="0" w:color="auto"/>
        <w:right w:val="none" w:sz="0" w:space="0" w:color="auto"/>
      </w:divBdr>
    </w:div>
    <w:div w:id="1563830486">
      <w:bodyDiv w:val="1"/>
      <w:marLeft w:val="0"/>
      <w:marRight w:val="0"/>
      <w:marTop w:val="0"/>
      <w:marBottom w:val="0"/>
      <w:divBdr>
        <w:top w:val="none" w:sz="0" w:space="0" w:color="auto"/>
        <w:left w:val="none" w:sz="0" w:space="0" w:color="auto"/>
        <w:bottom w:val="none" w:sz="0" w:space="0" w:color="auto"/>
        <w:right w:val="none" w:sz="0" w:space="0" w:color="auto"/>
      </w:divBdr>
    </w:div>
    <w:div w:id="1568101837">
      <w:bodyDiv w:val="1"/>
      <w:marLeft w:val="0"/>
      <w:marRight w:val="0"/>
      <w:marTop w:val="0"/>
      <w:marBottom w:val="0"/>
      <w:divBdr>
        <w:top w:val="none" w:sz="0" w:space="0" w:color="auto"/>
        <w:left w:val="none" w:sz="0" w:space="0" w:color="auto"/>
        <w:bottom w:val="none" w:sz="0" w:space="0" w:color="auto"/>
        <w:right w:val="none" w:sz="0" w:space="0" w:color="auto"/>
      </w:divBdr>
    </w:div>
    <w:div w:id="1578899359">
      <w:bodyDiv w:val="1"/>
      <w:marLeft w:val="0"/>
      <w:marRight w:val="0"/>
      <w:marTop w:val="0"/>
      <w:marBottom w:val="0"/>
      <w:divBdr>
        <w:top w:val="none" w:sz="0" w:space="0" w:color="auto"/>
        <w:left w:val="none" w:sz="0" w:space="0" w:color="auto"/>
        <w:bottom w:val="none" w:sz="0" w:space="0" w:color="auto"/>
        <w:right w:val="none" w:sz="0" w:space="0" w:color="auto"/>
      </w:divBdr>
    </w:div>
    <w:div w:id="1635211813">
      <w:bodyDiv w:val="1"/>
      <w:marLeft w:val="0"/>
      <w:marRight w:val="0"/>
      <w:marTop w:val="0"/>
      <w:marBottom w:val="0"/>
      <w:divBdr>
        <w:top w:val="none" w:sz="0" w:space="0" w:color="auto"/>
        <w:left w:val="none" w:sz="0" w:space="0" w:color="auto"/>
        <w:bottom w:val="none" w:sz="0" w:space="0" w:color="auto"/>
        <w:right w:val="none" w:sz="0" w:space="0" w:color="auto"/>
      </w:divBdr>
    </w:div>
    <w:div w:id="1650134525">
      <w:bodyDiv w:val="1"/>
      <w:marLeft w:val="0"/>
      <w:marRight w:val="0"/>
      <w:marTop w:val="0"/>
      <w:marBottom w:val="0"/>
      <w:divBdr>
        <w:top w:val="none" w:sz="0" w:space="0" w:color="auto"/>
        <w:left w:val="none" w:sz="0" w:space="0" w:color="auto"/>
        <w:bottom w:val="none" w:sz="0" w:space="0" w:color="auto"/>
        <w:right w:val="none" w:sz="0" w:space="0" w:color="auto"/>
      </w:divBdr>
    </w:div>
    <w:div w:id="1652951511">
      <w:bodyDiv w:val="1"/>
      <w:marLeft w:val="0"/>
      <w:marRight w:val="0"/>
      <w:marTop w:val="0"/>
      <w:marBottom w:val="0"/>
      <w:divBdr>
        <w:top w:val="none" w:sz="0" w:space="0" w:color="auto"/>
        <w:left w:val="none" w:sz="0" w:space="0" w:color="auto"/>
        <w:bottom w:val="none" w:sz="0" w:space="0" w:color="auto"/>
        <w:right w:val="none" w:sz="0" w:space="0" w:color="auto"/>
      </w:divBdr>
    </w:div>
    <w:div w:id="1660116334">
      <w:bodyDiv w:val="1"/>
      <w:marLeft w:val="0"/>
      <w:marRight w:val="0"/>
      <w:marTop w:val="0"/>
      <w:marBottom w:val="0"/>
      <w:divBdr>
        <w:top w:val="none" w:sz="0" w:space="0" w:color="auto"/>
        <w:left w:val="none" w:sz="0" w:space="0" w:color="auto"/>
        <w:bottom w:val="none" w:sz="0" w:space="0" w:color="auto"/>
        <w:right w:val="none" w:sz="0" w:space="0" w:color="auto"/>
      </w:divBdr>
    </w:div>
    <w:div w:id="1673097278">
      <w:bodyDiv w:val="1"/>
      <w:marLeft w:val="0"/>
      <w:marRight w:val="0"/>
      <w:marTop w:val="0"/>
      <w:marBottom w:val="0"/>
      <w:divBdr>
        <w:top w:val="none" w:sz="0" w:space="0" w:color="auto"/>
        <w:left w:val="none" w:sz="0" w:space="0" w:color="auto"/>
        <w:bottom w:val="none" w:sz="0" w:space="0" w:color="auto"/>
        <w:right w:val="none" w:sz="0" w:space="0" w:color="auto"/>
      </w:divBdr>
    </w:div>
    <w:div w:id="1676229874">
      <w:bodyDiv w:val="1"/>
      <w:marLeft w:val="0"/>
      <w:marRight w:val="0"/>
      <w:marTop w:val="0"/>
      <w:marBottom w:val="0"/>
      <w:divBdr>
        <w:top w:val="none" w:sz="0" w:space="0" w:color="auto"/>
        <w:left w:val="none" w:sz="0" w:space="0" w:color="auto"/>
        <w:bottom w:val="none" w:sz="0" w:space="0" w:color="auto"/>
        <w:right w:val="none" w:sz="0" w:space="0" w:color="auto"/>
      </w:divBdr>
    </w:div>
    <w:div w:id="1679237231">
      <w:bodyDiv w:val="1"/>
      <w:marLeft w:val="0"/>
      <w:marRight w:val="0"/>
      <w:marTop w:val="0"/>
      <w:marBottom w:val="0"/>
      <w:divBdr>
        <w:top w:val="none" w:sz="0" w:space="0" w:color="auto"/>
        <w:left w:val="none" w:sz="0" w:space="0" w:color="auto"/>
        <w:bottom w:val="none" w:sz="0" w:space="0" w:color="auto"/>
        <w:right w:val="none" w:sz="0" w:space="0" w:color="auto"/>
      </w:divBdr>
    </w:div>
    <w:div w:id="1682317782">
      <w:bodyDiv w:val="1"/>
      <w:marLeft w:val="0"/>
      <w:marRight w:val="0"/>
      <w:marTop w:val="0"/>
      <w:marBottom w:val="0"/>
      <w:divBdr>
        <w:top w:val="none" w:sz="0" w:space="0" w:color="auto"/>
        <w:left w:val="none" w:sz="0" w:space="0" w:color="auto"/>
        <w:bottom w:val="none" w:sz="0" w:space="0" w:color="auto"/>
        <w:right w:val="none" w:sz="0" w:space="0" w:color="auto"/>
      </w:divBdr>
    </w:div>
    <w:div w:id="1698500491">
      <w:bodyDiv w:val="1"/>
      <w:marLeft w:val="0"/>
      <w:marRight w:val="0"/>
      <w:marTop w:val="0"/>
      <w:marBottom w:val="0"/>
      <w:divBdr>
        <w:top w:val="none" w:sz="0" w:space="0" w:color="auto"/>
        <w:left w:val="none" w:sz="0" w:space="0" w:color="auto"/>
        <w:bottom w:val="none" w:sz="0" w:space="0" w:color="auto"/>
        <w:right w:val="none" w:sz="0" w:space="0" w:color="auto"/>
      </w:divBdr>
    </w:div>
    <w:div w:id="1706754264">
      <w:bodyDiv w:val="1"/>
      <w:marLeft w:val="0"/>
      <w:marRight w:val="0"/>
      <w:marTop w:val="0"/>
      <w:marBottom w:val="0"/>
      <w:divBdr>
        <w:top w:val="none" w:sz="0" w:space="0" w:color="auto"/>
        <w:left w:val="none" w:sz="0" w:space="0" w:color="auto"/>
        <w:bottom w:val="none" w:sz="0" w:space="0" w:color="auto"/>
        <w:right w:val="none" w:sz="0" w:space="0" w:color="auto"/>
      </w:divBdr>
    </w:div>
    <w:div w:id="1725788154">
      <w:bodyDiv w:val="1"/>
      <w:marLeft w:val="0"/>
      <w:marRight w:val="0"/>
      <w:marTop w:val="0"/>
      <w:marBottom w:val="0"/>
      <w:divBdr>
        <w:top w:val="none" w:sz="0" w:space="0" w:color="auto"/>
        <w:left w:val="none" w:sz="0" w:space="0" w:color="auto"/>
        <w:bottom w:val="none" w:sz="0" w:space="0" w:color="auto"/>
        <w:right w:val="none" w:sz="0" w:space="0" w:color="auto"/>
      </w:divBdr>
    </w:div>
    <w:div w:id="1733305429">
      <w:bodyDiv w:val="1"/>
      <w:marLeft w:val="0"/>
      <w:marRight w:val="0"/>
      <w:marTop w:val="0"/>
      <w:marBottom w:val="0"/>
      <w:divBdr>
        <w:top w:val="none" w:sz="0" w:space="0" w:color="auto"/>
        <w:left w:val="none" w:sz="0" w:space="0" w:color="auto"/>
        <w:bottom w:val="none" w:sz="0" w:space="0" w:color="auto"/>
        <w:right w:val="none" w:sz="0" w:space="0" w:color="auto"/>
      </w:divBdr>
    </w:div>
    <w:div w:id="1752433064">
      <w:bodyDiv w:val="1"/>
      <w:marLeft w:val="0"/>
      <w:marRight w:val="0"/>
      <w:marTop w:val="0"/>
      <w:marBottom w:val="0"/>
      <w:divBdr>
        <w:top w:val="none" w:sz="0" w:space="0" w:color="auto"/>
        <w:left w:val="none" w:sz="0" w:space="0" w:color="auto"/>
        <w:bottom w:val="none" w:sz="0" w:space="0" w:color="auto"/>
        <w:right w:val="none" w:sz="0" w:space="0" w:color="auto"/>
      </w:divBdr>
    </w:div>
    <w:div w:id="1800106724">
      <w:bodyDiv w:val="1"/>
      <w:marLeft w:val="0"/>
      <w:marRight w:val="0"/>
      <w:marTop w:val="0"/>
      <w:marBottom w:val="0"/>
      <w:divBdr>
        <w:top w:val="none" w:sz="0" w:space="0" w:color="auto"/>
        <w:left w:val="none" w:sz="0" w:space="0" w:color="auto"/>
        <w:bottom w:val="none" w:sz="0" w:space="0" w:color="auto"/>
        <w:right w:val="none" w:sz="0" w:space="0" w:color="auto"/>
      </w:divBdr>
    </w:div>
    <w:div w:id="1802068121">
      <w:bodyDiv w:val="1"/>
      <w:marLeft w:val="0"/>
      <w:marRight w:val="0"/>
      <w:marTop w:val="0"/>
      <w:marBottom w:val="0"/>
      <w:divBdr>
        <w:top w:val="none" w:sz="0" w:space="0" w:color="auto"/>
        <w:left w:val="none" w:sz="0" w:space="0" w:color="auto"/>
        <w:bottom w:val="none" w:sz="0" w:space="0" w:color="auto"/>
        <w:right w:val="none" w:sz="0" w:space="0" w:color="auto"/>
      </w:divBdr>
    </w:div>
    <w:div w:id="1837186865">
      <w:bodyDiv w:val="1"/>
      <w:marLeft w:val="0"/>
      <w:marRight w:val="0"/>
      <w:marTop w:val="0"/>
      <w:marBottom w:val="0"/>
      <w:divBdr>
        <w:top w:val="none" w:sz="0" w:space="0" w:color="auto"/>
        <w:left w:val="none" w:sz="0" w:space="0" w:color="auto"/>
        <w:bottom w:val="none" w:sz="0" w:space="0" w:color="auto"/>
        <w:right w:val="none" w:sz="0" w:space="0" w:color="auto"/>
      </w:divBdr>
    </w:div>
    <w:div w:id="1841004128">
      <w:bodyDiv w:val="1"/>
      <w:marLeft w:val="0"/>
      <w:marRight w:val="0"/>
      <w:marTop w:val="0"/>
      <w:marBottom w:val="0"/>
      <w:divBdr>
        <w:top w:val="none" w:sz="0" w:space="0" w:color="auto"/>
        <w:left w:val="none" w:sz="0" w:space="0" w:color="auto"/>
        <w:bottom w:val="none" w:sz="0" w:space="0" w:color="auto"/>
        <w:right w:val="none" w:sz="0" w:space="0" w:color="auto"/>
      </w:divBdr>
    </w:div>
    <w:div w:id="1877618003">
      <w:bodyDiv w:val="1"/>
      <w:marLeft w:val="0"/>
      <w:marRight w:val="0"/>
      <w:marTop w:val="0"/>
      <w:marBottom w:val="0"/>
      <w:divBdr>
        <w:top w:val="none" w:sz="0" w:space="0" w:color="auto"/>
        <w:left w:val="none" w:sz="0" w:space="0" w:color="auto"/>
        <w:bottom w:val="none" w:sz="0" w:space="0" w:color="auto"/>
        <w:right w:val="none" w:sz="0" w:space="0" w:color="auto"/>
      </w:divBdr>
    </w:div>
    <w:div w:id="1890724031">
      <w:bodyDiv w:val="1"/>
      <w:marLeft w:val="0"/>
      <w:marRight w:val="0"/>
      <w:marTop w:val="0"/>
      <w:marBottom w:val="0"/>
      <w:divBdr>
        <w:top w:val="none" w:sz="0" w:space="0" w:color="auto"/>
        <w:left w:val="none" w:sz="0" w:space="0" w:color="auto"/>
        <w:bottom w:val="none" w:sz="0" w:space="0" w:color="auto"/>
        <w:right w:val="none" w:sz="0" w:space="0" w:color="auto"/>
      </w:divBdr>
    </w:div>
    <w:div w:id="1891309740">
      <w:bodyDiv w:val="1"/>
      <w:marLeft w:val="0"/>
      <w:marRight w:val="0"/>
      <w:marTop w:val="0"/>
      <w:marBottom w:val="0"/>
      <w:divBdr>
        <w:top w:val="none" w:sz="0" w:space="0" w:color="auto"/>
        <w:left w:val="none" w:sz="0" w:space="0" w:color="auto"/>
        <w:bottom w:val="none" w:sz="0" w:space="0" w:color="auto"/>
        <w:right w:val="none" w:sz="0" w:space="0" w:color="auto"/>
      </w:divBdr>
    </w:div>
    <w:div w:id="1909262192">
      <w:bodyDiv w:val="1"/>
      <w:marLeft w:val="0"/>
      <w:marRight w:val="0"/>
      <w:marTop w:val="0"/>
      <w:marBottom w:val="0"/>
      <w:divBdr>
        <w:top w:val="none" w:sz="0" w:space="0" w:color="auto"/>
        <w:left w:val="none" w:sz="0" w:space="0" w:color="auto"/>
        <w:bottom w:val="none" w:sz="0" w:space="0" w:color="auto"/>
        <w:right w:val="none" w:sz="0" w:space="0" w:color="auto"/>
      </w:divBdr>
    </w:div>
    <w:div w:id="1927181675">
      <w:bodyDiv w:val="1"/>
      <w:marLeft w:val="0"/>
      <w:marRight w:val="0"/>
      <w:marTop w:val="0"/>
      <w:marBottom w:val="0"/>
      <w:divBdr>
        <w:top w:val="none" w:sz="0" w:space="0" w:color="auto"/>
        <w:left w:val="none" w:sz="0" w:space="0" w:color="auto"/>
        <w:bottom w:val="none" w:sz="0" w:space="0" w:color="auto"/>
        <w:right w:val="none" w:sz="0" w:space="0" w:color="auto"/>
      </w:divBdr>
    </w:div>
    <w:div w:id="1929850876">
      <w:bodyDiv w:val="1"/>
      <w:marLeft w:val="0"/>
      <w:marRight w:val="0"/>
      <w:marTop w:val="0"/>
      <w:marBottom w:val="0"/>
      <w:divBdr>
        <w:top w:val="none" w:sz="0" w:space="0" w:color="auto"/>
        <w:left w:val="none" w:sz="0" w:space="0" w:color="auto"/>
        <w:bottom w:val="none" w:sz="0" w:space="0" w:color="auto"/>
        <w:right w:val="none" w:sz="0" w:space="0" w:color="auto"/>
      </w:divBdr>
    </w:div>
    <w:div w:id="1952860461">
      <w:bodyDiv w:val="1"/>
      <w:marLeft w:val="0"/>
      <w:marRight w:val="0"/>
      <w:marTop w:val="0"/>
      <w:marBottom w:val="0"/>
      <w:divBdr>
        <w:top w:val="none" w:sz="0" w:space="0" w:color="auto"/>
        <w:left w:val="none" w:sz="0" w:space="0" w:color="auto"/>
        <w:bottom w:val="none" w:sz="0" w:space="0" w:color="auto"/>
        <w:right w:val="none" w:sz="0" w:space="0" w:color="auto"/>
      </w:divBdr>
    </w:div>
    <w:div w:id="1957712429">
      <w:bodyDiv w:val="1"/>
      <w:marLeft w:val="0"/>
      <w:marRight w:val="0"/>
      <w:marTop w:val="0"/>
      <w:marBottom w:val="0"/>
      <w:divBdr>
        <w:top w:val="none" w:sz="0" w:space="0" w:color="auto"/>
        <w:left w:val="none" w:sz="0" w:space="0" w:color="auto"/>
        <w:bottom w:val="none" w:sz="0" w:space="0" w:color="auto"/>
        <w:right w:val="none" w:sz="0" w:space="0" w:color="auto"/>
      </w:divBdr>
    </w:div>
    <w:div w:id="1959873505">
      <w:bodyDiv w:val="1"/>
      <w:marLeft w:val="0"/>
      <w:marRight w:val="0"/>
      <w:marTop w:val="0"/>
      <w:marBottom w:val="0"/>
      <w:divBdr>
        <w:top w:val="none" w:sz="0" w:space="0" w:color="auto"/>
        <w:left w:val="none" w:sz="0" w:space="0" w:color="auto"/>
        <w:bottom w:val="none" w:sz="0" w:space="0" w:color="auto"/>
        <w:right w:val="none" w:sz="0" w:space="0" w:color="auto"/>
      </w:divBdr>
    </w:div>
    <w:div w:id="1965915820">
      <w:bodyDiv w:val="1"/>
      <w:marLeft w:val="0"/>
      <w:marRight w:val="0"/>
      <w:marTop w:val="0"/>
      <w:marBottom w:val="0"/>
      <w:divBdr>
        <w:top w:val="none" w:sz="0" w:space="0" w:color="auto"/>
        <w:left w:val="none" w:sz="0" w:space="0" w:color="auto"/>
        <w:bottom w:val="none" w:sz="0" w:space="0" w:color="auto"/>
        <w:right w:val="none" w:sz="0" w:space="0" w:color="auto"/>
      </w:divBdr>
    </w:div>
    <w:div w:id="1986929270">
      <w:bodyDiv w:val="1"/>
      <w:marLeft w:val="0"/>
      <w:marRight w:val="0"/>
      <w:marTop w:val="0"/>
      <w:marBottom w:val="0"/>
      <w:divBdr>
        <w:top w:val="none" w:sz="0" w:space="0" w:color="auto"/>
        <w:left w:val="none" w:sz="0" w:space="0" w:color="auto"/>
        <w:bottom w:val="none" w:sz="0" w:space="0" w:color="auto"/>
        <w:right w:val="none" w:sz="0" w:space="0" w:color="auto"/>
      </w:divBdr>
    </w:div>
    <w:div w:id="1999722193">
      <w:bodyDiv w:val="1"/>
      <w:marLeft w:val="0"/>
      <w:marRight w:val="0"/>
      <w:marTop w:val="0"/>
      <w:marBottom w:val="0"/>
      <w:divBdr>
        <w:top w:val="none" w:sz="0" w:space="0" w:color="auto"/>
        <w:left w:val="none" w:sz="0" w:space="0" w:color="auto"/>
        <w:bottom w:val="none" w:sz="0" w:space="0" w:color="auto"/>
        <w:right w:val="none" w:sz="0" w:space="0" w:color="auto"/>
      </w:divBdr>
    </w:div>
    <w:div w:id="2049647404">
      <w:bodyDiv w:val="1"/>
      <w:marLeft w:val="0"/>
      <w:marRight w:val="0"/>
      <w:marTop w:val="0"/>
      <w:marBottom w:val="0"/>
      <w:divBdr>
        <w:top w:val="none" w:sz="0" w:space="0" w:color="auto"/>
        <w:left w:val="none" w:sz="0" w:space="0" w:color="auto"/>
        <w:bottom w:val="none" w:sz="0" w:space="0" w:color="auto"/>
        <w:right w:val="none" w:sz="0" w:space="0" w:color="auto"/>
      </w:divBdr>
    </w:div>
    <w:div w:id="2067024084">
      <w:bodyDiv w:val="1"/>
      <w:marLeft w:val="0"/>
      <w:marRight w:val="0"/>
      <w:marTop w:val="0"/>
      <w:marBottom w:val="0"/>
      <w:divBdr>
        <w:top w:val="none" w:sz="0" w:space="0" w:color="auto"/>
        <w:left w:val="none" w:sz="0" w:space="0" w:color="auto"/>
        <w:bottom w:val="none" w:sz="0" w:space="0" w:color="auto"/>
        <w:right w:val="none" w:sz="0" w:space="0" w:color="auto"/>
      </w:divBdr>
    </w:div>
    <w:div w:id="2089305356">
      <w:bodyDiv w:val="1"/>
      <w:marLeft w:val="0"/>
      <w:marRight w:val="0"/>
      <w:marTop w:val="0"/>
      <w:marBottom w:val="0"/>
      <w:divBdr>
        <w:top w:val="none" w:sz="0" w:space="0" w:color="auto"/>
        <w:left w:val="none" w:sz="0" w:space="0" w:color="auto"/>
        <w:bottom w:val="none" w:sz="0" w:space="0" w:color="auto"/>
        <w:right w:val="none" w:sz="0" w:space="0" w:color="auto"/>
      </w:divBdr>
    </w:div>
    <w:div w:id="2091002439">
      <w:bodyDiv w:val="1"/>
      <w:marLeft w:val="0"/>
      <w:marRight w:val="0"/>
      <w:marTop w:val="0"/>
      <w:marBottom w:val="0"/>
      <w:divBdr>
        <w:top w:val="none" w:sz="0" w:space="0" w:color="auto"/>
        <w:left w:val="none" w:sz="0" w:space="0" w:color="auto"/>
        <w:bottom w:val="none" w:sz="0" w:space="0" w:color="auto"/>
        <w:right w:val="none" w:sz="0" w:space="0" w:color="auto"/>
      </w:divBdr>
    </w:div>
    <w:div w:id="2092004890">
      <w:bodyDiv w:val="1"/>
      <w:marLeft w:val="0"/>
      <w:marRight w:val="0"/>
      <w:marTop w:val="0"/>
      <w:marBottom w:val="0"/>
      <w:divBdr>
        <w:top w:val="none" w:sz="0" w:space="0" w:color="auto"/>
        <w:left w:val="none" w:sz="0" w:space="0" w:color="auto"/>
        <w:bottom w:val="none" w:sz="0" w:space="0" w:color="auto"/>
        <w:right w:val="none" w:sz="0" w:space="0" w:color="auto"/>
      </w:divBdr>
    </w:div>
    <w:div w:id="2103455326">
      <w:bodyDiv w:val="1"/>
      <w:marLeft w:val="0"/>
      <w:marRight w:val="0"/>
      <w:marTop w:val="0"/>
      <w:marBottom w:val="0"/>
      <w:divBdr>
        <w:top w:val="none" w:sz="0" w:space="0" w:color="auto"/>
        <w:left w:val="none" w:sz="0" w:space="0" w:color="auto"/>
        <w:bottom w:val="none" w:sz="0" w:space="0" w:color="auto"/>
        <w:right w:val="none" w:sz="0" w:space="0" w:color="auto"/>
      </w:divBdr>
    </w:div>
    <w:div w:id="2105295978">
      <w:bodyDiv w:val="1"/>
      <w:marLeft w:val="0"/>
      <w:marRight w:val="0"/>
      <w:marTop w:val="0"/>
      <w:marBottom w:val="0"/>
      <w:divBdr>
        <w:top w:val="none" w:sz="0" w:space="0" w:color="auto"/>
        <w:left w:val="none" w:sz="0" w:space="0" w:color="auto"/>
        <w:bottom w:val="none" w:sz="0" w:space="0" w:color="auto"/>
        <w:right w:val="none" w:sz="0" w:space="0" w:color="auto"/>
      </w:divBdr>
    </w:div>
    <w:div w:id="2138602416">
      <w:bodyDiv w:val="1"/>
      <w:marLeft w:val="0"/>
      <w:marRight w:val="0"/>
      <w:marTop w:val="0"/>
      <w:marBottom w:val="0"/>
      <w:divBdr>
        <w:top w:val="none" w:sz="0" w:space="0" w:color="auto"/>
        <w:left w:val="none" w:sz="0" w:space="0" w:color="auto"/>
        <w:bottom w:val="none" w:sz="0" w:space="0" w:color="auto"/>
        <w:right w:val="none" w:sz="0" w:space="0" w:color="auto"/>
      </w:divBdr>
    </w:div>
    <w:div w:id="2144689167">
      <w:bodyDiv w:val="1"/>
      <w:marLeft w:val="0"/>
      <w:marRight w:val="0"/>
      <w:marTop w:val="0"/>
      <w:marBottom w:val="0"/>
      <w:divBdr>
        <w:top w:val="none" w:sz="0" w:space="0" w:color="auto"/>
        <w:left w:val="none" w:sz="0" w:space="0" w:color="auto"/>
        <w:bottom w:val="none" w:sz="0" w:space="0" w:color="auto"/>
        <w:right w:val="none" w:sz="0" w:space="0" w:color="auto"/>
      </w:divBdr>
    </w:div>
    <w:div w:id="214476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2.xml"/><Relationship Id="rId21" Type="http://schemas.openxmlformats.org/officeDocument/2006/relationships/image" Target="media/image1.png"/><Relationship Id="rId42" Type="http://schemas.openxmlformats.org/officeDocument/2006/relationships/image" Target="media/image13.png"/><Relationship Id="rId63" Type="http://schemas.openxmlformats.org/officeDocument/2006/relationships/image" Target="media/image34.png"/><Relationship Id="rId84" Type="http://schemas.openxmlformats.org/officeDocument/2006/relationships/header" Target="header8.xml"/><Relationship Id="rId138" Type="http://schemas.openxmlformats.org/officeDocument/2006/relationships/footer" Target="footer28.xml"/><Relationship Id="rId159" Type="http://schemas.openxmlformats.org/officeDocument/2006/relationships/footer" Target="footer35.xml"/><Relationship Id="rId170" Type="http://schemas.openxmlformats.org/officeDocument/2006/relationships/header" Target="header41.xml"/><Relationship Id="rId191" Type="http://schemas.openxmlformats.org/officeDocument/2006/relationships/hyperlink" Target="https://apexanalyticsllc.com/" TargetMode="External"/><Relationship Id="rId196" Type="http://schemas.openxmlformats.org/officeDocument/2006/relationships/hyperlink" Target="http://www.researchintoaction.com" TargetMode="External"/><Relationship Id="rId200" Type="http://schemas.openxmlformats.org/officeDocument/2006/relationships/fontTable" Target="fontTable.xml"/><Relationship Id="rId16" Type="http://schemas.openxmlformats.org/officeDocument/2006/relationships/footnotes" Target="footnotes.xml"/><Relationship Id="rId107" Type="http://schemas.openxmlformats.org/officeDocument/2006/relationships/header" Target="header17.xml"/><Relationship Id="rId11" Type="http://schemas.openxmlformats.org/officeDocument/2006/relationships/customXml" Target="../customXml/item11.xml"/><Relationship Id="rId32" Type="http://schemas.openxmlformats.org/officeDocument/2006/relationships/hyperlink" Target="http://www.puc.pa.gov/Electric/pdf/Act129/SWE_RFP_2012.pdf" TargetMode="External"/><Relationship Id="rId37" Type="http://schemas.openxmlformats.org/officeDocument/2006/relationships/image" Target="media/image8.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chart" Target="charts/chart2.xml"/><Relationship Id="rId79" Type="http://schemas.openxmlformats.org/officeDocument/2006/relationships/chart" Target="charts/chart7.xml"/><Relationship Id="rId102" Type="http://schemas.openxmlformats.org/officeDocument/2006/relationships/image" Target="media/image44.png"/><Relationship Id="rId123" Type="http://schemas.openxmlformats.org/officeDocument/2006/relationships/image" Target="media/image47.png"/><Relationship Id="rId128" Type="http://schemas.openxmlformats.org/officeDocument/2006/relationships/footer" Target="footer25.xml"/><Relationship Id="rId144" Type="http://schemas.openxmlformats.org/officeDocument/2006/relationships/footer" Target="footer31.xml"/><Relationship Id="rId149" Type="http://schemas.openxmlformats.org/officeDocument/2006/relationships/image" Target="media/image59.png"/><Relationship Id="rId5" Type="http://schemas.openxmlformats.org/officeDocument/2006/relationships/customXml" Target="../customXml/item5.xml"/><Relationship Id="rId90" Type="http://schemas.openxmlformats.org/officeDocument/2006/relationships/header" Target="header11.xml"/><Relationship Id="rId95" Type="http://schemas.openxmlformats.org/officeDocument/2006/relationships/footer" Target="footer13.xml"/><Relationship Id="rId160" Type="http://schemas.openxmlformats.org/officeDocument/2006/relationships/header" Target="header36.xml"/><Relationship Id="rId165" Type="http://schemas.openxmlformats.org/officeDocument/2006/relationships/footer" Target="footer38.xml"/><Relationship Id="rId181" Type="http://schemas.openxmlformats.org/officeDocument/2006/relationships/header" Target="header46.xml"/><Relationship Id="rId186" Type="http://schemas.openxmlformats.org/officeDocument/2006/relationships/hyperlink" Target="http://www.researchintoaction.com" TargetMode="External"/><Relationship Id="rId22" Type="http://schemas.openxmlformats.org/officeDocument/2006/relationships/hyperlink" Target="https://apexanalyticsllc.com/" TargetMode="External"/><Relationship Id="rId27" Type="http://schemas.openxmlformats.org/officeDocument/2006/relationships/footer" Target="footer2.xm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37.png"/><Relationship Id="rId113" Type="http://schemas.openxmlformats.org/officeDocument/2006/relationships/header" Target="header20.xml"/><Relationship Id="rId118" Type="http://schemas.openxmlformats.org/officeDocument/2006/relationships/footer" Target="footer22.xml"/><Relationship Id="rId134" Type="http://schemas.openxmlformats.org/officeDocument/2006/relationships/image" Target="media/image52.png"/><Relationship Id="rId139" Type="http://schemas.openxmlformats.org/officeDocument/2006/relationships/header" Target="header29.xml"/><Relationship Id="rId80" Type="http://schemas.openxmlformats.org/officeDocument/2006/relationships/image" Target="media/image38.png"/><Relationship Id="rId85" Type="http://schemas.openxmlformats.org/officeDocument/2006/relationships/footer" Target="footer8.xml"/><Relationship Id="rId150" Type="http://schemas.openxmlformats.org/officeDocument/2006/relationships/header" Target="header32.xml"/><Relationship Id="rId155" Type="http://schemas.openxmlformats.org/officeDocument/2006/relationships/footer" Target="footer34.xml"/><Relationship Id="rId171" Type="http://schemas.openxmlformats.org/officeDocument/2006/relationships/footer" Target="footer41.xml"/><Relationship Id="rId176" Type="http://schemas.openxmlformats.org/officeDocument/2006/relationships/footer" Target="footer43.xml"/><Relationship Id="rId192" Type="http://schemas.openxmlformats.org/officeDocument/2006/relationships/hyperlink" Target="http://www.gdsassociates.com" TargetMode="External"/><Relationship Id="rId197" Type="http://schemas.openxmlformats.org/officeDocument/2006/relationships/hyperlink" Target="https://apexanalyticsllc.com/" TargetMode="External"/><Relationship Id="rId201" Type="http://schemas.openxmlformats.org/officeDocument/2006/relationships/theme" Target="theme/theme1.xml"/><Relationship Id="rId12" Type="http://schemas.openxmlformats.org/officeDocument/2006/relationships/numbering" Target="numbering.xml"/><Relationship Id="rId17" Type="http://schemas.openxmlformats.org/officeDocument/2006/relationships/endnotes" Target="endnotes.xml"/><Relationship Id="rId33"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image" Target="media/image30.png"/><Relationship Id="rId103" Type="http://schemas.openxmlformats.org/officeDocument/2006/relationships/image" Target="media/image45.png"/><Relationship Id="rId108" Type="http://schemas.openxmlformats.org/officeDocument/2006/relationships/footer" Target="footer17.xml"/><Relationship Id="rId124" Type="http://schemas.openxmlformats.org/officeDocument/2006/relationships/image" Target="media/image48.png"/><Relationship Id="rId129" Type="http://schemas.openxmlformats.org/officeDocument/2006/relationships/header" Target="header26.xml"/><Relationship Id="rId54" Type="http://schemas.openxmlformats.org/officeDocument/2006/relationships/image" Target="media/image25.png"/><Relationship Id="rId70" Type="http://schemas.openxmlformats.org/officeDocument/2006/relationships/header" Target="header6.xml"/><Relationship Id="rId75" Type="http://schemas.openxmlformats.org/officeDocument/2006/relationships/chart" Target="charts/chart3.xml"/><Relationship Id="rId91" Type="http://schemas.openxmlformats.org/officeDocument/2006/relationships/footer" Target="footer11.xml"/><Relationship Id="rId96" Type="http://schemas.openxmlformats.org/officeDocument/2006/relationships/header" Target="header14.xml"/><Relationship Id="rId140" Type="http://schemas.openxmlformats.org/officeDocument/2006/relationships/footer" Target="footer29.xml"/><Relationship Id="rId145" Type="http://schemas.openxmlformats.org/officeDocument/2006/relationships/image" Target="media/image55.png"/><Relationship Id="rId161" Type="http://schemas.openxmlformats.org/officeDocument/2006/relationships/footer" Target="footer36.xml"/><Relationship Id="rId166" Type="http://schemas.openxmlformats.org/officeDocument/2006/relationships/header" Target="header39.xml"/><Relationship Id="rId182" Type="http://schemas.openxmlformats.org/officeDocument/2006/relationships/footer" Target="footer46.xml"/><Relationship Id="rId187" Type="http://schemas.openxmlformats.org/officeDocument/2006/relationships/hyperlink" Target="http://www.gdsassociates.com"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2.png"/><Relationship Id="rId28" Type="http://schemas.openxmlformats.org/officeDocument/2006/relationships/header" Target="header3.xml"/><Relationship Id="rId49" Type="http://schemas.openxmlformats.org/officeDocument/2006/relationships/image" Target="media/image20.png"/><Relationship Id="rId114" Type="http://schemas.openxmlformats.org/officeDocument/2006/relationships/footer" Target="footer20.xml"/><Relationship Id="rId119" Type="http://schemas.openxmlformats.org/officeDocument/2006/relationships/header" Target="header23.xml"/><Relationship Id="rId44" Type="http://schemas.openxmlformats.org/officeDocument/2006/relationships/image" Target="media/image15.png"/><Relationship Id="rId60" Type="http://schemas.openxmlformats.org/officeDocument/2006/relationships/image" Target="media/image31.png"/><Relationship Id="rId65" Type="http://schemas.openxmlformats.org/officeDocument/2006/relationships/header" Target="header5.xml"/><Relationship Id="rId81" Type="http://schemas.openxmlformats.org/officeDocument/2006/relationships/image" Target="media/image39.png"/><Relationship Id="rId86" Type="http://schemas.openxmlformats.org/officeDocument/2006/relationships/header" Target="header9.xml"/><Relationship Id="rId130" Type="http://schemas.openxmlformats.org/officeDocument/2006/relationships/footer" Target="footer26.xml"/><Relationship Id="rId135" Type="http://schemas.openxmlformats.org/officeDocument/2006/relationships/image" Target="media/image53.png"/><Relationship Id="rId151" Type="http://schemas.openxmlformats.org/officeDocument/2006/relationships/footer" Target="footer32.xml"/><Relationship Id="rId156" Type="http://schemas.openxmlformats.org/officeDocument/2006/relationships/image" Target="media/image60.png"/><Relationship Id="rId177" Type="http://schemas.openxmlformats.org/officeDocument/2006/relationships/header" Target="header44.xml"/><Relationship Id="rId198" Type="http://schemas.openxmlformats.org/officeDocument/2006/relationships/header" Target="header47.xml"/><Relationship Id="rId172" Type="http://schemas.openxmlformats.org/officeDocument/2006/relationships/image" Target="media/image62.png"/><Relationship Id="rId193" Type="http://schemas.openxmlformats.org/officeDocument/2006/relationships/hyperlink" Target="http://www.researchintoaction.com" TargetMode="External"/><Relationship Id="rId13" Type="http://schemas.openxmlformats.org/officeDocument/2006/relationships/styles" Target="styles.xml"/><Relationship Id="rId18" Type="http://schemas.openxmlformats.org/officeDocument/2006/relationships/header" Target="header1.xml"/><Relationship Id="rId39" Type="http://schemas.openxmlformats.org/officeDocument/2006/relationships/image" Target="media/image10.png"/><Relationship Id="rId109" Type="http://schemas.openxmlformats.org/officeDocument/2006/relationships/header" Target="header18.xml"/><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chart" Target="charts/chart4.xml"/><Relationship Id="rId97" Type="http://schemas.openxmlformats.org/officeDocument/2006/relationships/footer" Target="footer14.xml"/><Relationship Id="rId104" Type="http://schemas.openxmlformats.org/officeDocument/2006/relationships/image" Target="media/image46.png"/><Relationship Id="rId120" Type="http://schemas.openxmlformats.org/officeDocument/2006/relationships/footer" Target="footer23.xml"/><Relationship Id="rId125" Type="http://schemas.openxmlformats.org/officeDocument/2006/relationships/image" Target="media/image49.png"/><Relationship Id="rId141" Type="http://schemas.openxmlformats.org/officeDocument/2006/relationships/header" Target="header30.xml"/><Relationship Id="rId146" Type="http://schemas.openxmlformats.org/officeDocument/2006/relationships/image" Target="media/image56.png"/><Relationship Id="rId167" Type="http://schemas.openxmlformats.org/officeDocument/2006/relationships/footer" Target="footer39.xml"/><Relationship Id="rId188" Type="http://schemas.openxmlformats.org/officeDocument/2006/relationships/hyperlink" Target="https://apexanalyticsllc.com/" TargetMode="External"/><Relationship Id="rId7" Type="http://schemas.openxmlformats.org/officeDocument/2006/relationships/customXml" Target="../customXml/item7.xml"/><Relationship Id="rId71" Type="http://schemas.openxmlformats.org/officeDocument/2006/relationships/footer" Target="footer6.xml"/><Relationship Id="rId92" Type="http://schemas.openxmlformats.org/officeDocument/2006/relationships/header" Target="header12.xml"/><Relationship Id="rId162" Type="http://schemas.openxmlformats.org/officeDocument/2006/relationships/header" Target="header37.xml"/><Relationship Id="rId183" Type="http://schemas.openxmlformats.org/officeDocument/2006/relationships/hyperlink" Target="http://www.cee1.org/"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www.gdsassociates.com/"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footer" Target="footer5.xml"/><Relationship Id="rId87" Type="http://schemas.openxmlformats.org/officeDocument/2006/relationships/footer" Target="footer9.xml"/><Relationship Id="rId110" Type="http://schemas.openxmlformats.org/officeDocument/2006/relationships/footer" Target="footer18.xml"/><Relationship Id="rId115" Type="http://schemas.openxmlformats.org/officeDocument/2006/relationships/header" Target="header21.xml"/><Relationship Id="rId131" Type="http://schemas.openxmlformats.org/officeDocument/2006/relationships/header" Target="header27.xml"/><Relationship Id="rId136" Type="http://schemas.openxmlformats.org/officeDocument/2006/relationships/image" Target="media/image54.png"/><Relationship Id="rId157" Type="http://schemas.openxmlformats.org/officeDocument/2006/relationships/image" Target="media/image61.png"/><Relationship Id="rId178" Type="http://schemas.openxmlformats.org/officeDocument/2006/relationships/footer" Target="footer44.xml"/><Relationship Id="rId61" Type="http://schemas.openxmlformats.org/officeDocument/2006/relationships/image" Target="media/image32.png"/><Relationship Id="rId82" Type="http://schemas.openxmlformats.org/officeDocument/2006/relationships/image" Target="media/image40.png"/><Relationship Id="rId152" Type="http://schemas.openxmlformats.org/officeDocument/2006/relationships/header" Target="header33.xml"/><Relationship Id="rId173" Type="http://schemas.openxmlformats.org/officeDocument/2006/relationships/header" Target="header42.xml"/><Relationship Id="rId194" Type="http://schemas.openxmlformats.org/officeDocument/2006/relationships/hyperlink" Target="https://apexanalyticsllc.com/" TargetMode="External"/><Relationship Id="rId199" Type="http://schemas.openxmlformats.org/officeDocument/2006/relationships/footer" Target="footer47.xml"/><Relationship Id="rId19" Type="http://schemas.openxmlformats.org/officeDocument/2006/relationships/footer" Target="footer1.xml"/><Relationship Id="rId14" Type="http://schemas.openxmlformats.org/officeDocument/2006/relationships/settings" Target="settings.xml"/><Relationship Id="rId30" Type="http://schemas.openxmlformats.org/officeDocument/2006/relationships/header" Target="header4.xml"/><Relationship Id="rId35" Type="http://schemas.openxmlformats.org/officeDocument/2006/relationships/image" Target="media/image6.png"/><Relationship Id="rId56" Type="http://schemas.openxmlformats.org/officeDocument/2006/relationships/image" Target="media/image27.png"/><Relationship Id="rId77" Type="http://schemas.openxmlformats.org/officeDocument/2006/relationships/chart" Target="charts/chart5.xml"/><Relationship Id="rId100" Type="http://schemas.openxmlformats.org/officeDocument/2006/relationships/image" Target="media/image42.png"/><Relationship Id="rId105" Type="http://schemas.openxmlformats.org/officeDocument/2006/relationships/header" Target="header16.xml"/><Relationship Id="rId126" Type="http://schemas.openxmlformats.org/officeDocument/2006/relationships/image" Target="media/image50.png"/><Relationship Id="rId147" Type="http://schemas.openxmlformats.org/officeDocument/2006/relationships/image" Target="media/image57.png"/><Relationship Id="rId168" Type="http://schemas.openxmlformats.org/officeDocument/2006/relationships/header" Target="header40.xml"/><Relationship Id="rId8" Type="http://schemas.openxmlformats.org/officeDocument/2006/relationships/customXml" Target="../customXml/item8.xml"/><Relationship Id="rId51" Type="http://schemas.openxmlformats.org/officeDocument/2006/relationships/image" Target="media/image22.png"/><Relationship Id="rId72" Type="http://schemas.openxmlformats.org/officeDocument/2006/relationships/header" Target="header7.xml"/><Relationship Id="rId93" Type="http://schemas.openxmlformats.org/officeDocument/2006/relationships/footer" Target="footer12.xml"/><Relationship Id="rId98" Type="http://schemas.openxmlformats.org/officeDocument/2006/relationships/header" Target="header15.xml"/><Relationship Id="rId121" Type="http://schemas.openxmlformats.org/officeDocument/2006/relationships/header" Target="header24.xml"/><Relationship Id="rId142" Type="http://schemas.openxmlformats.org/officeDocument/2006/relationships/footer" Target="footer30.xml"/><Relationship Id="rId163" Type="http://schemas.openxmlformats.org/officeDocument/2006/relationships/footer" Target="footer37.xml"/><Relationship Id="rId184" Type="http://schemas.openxmlformats.org/officeDocument/2006/relationships/hyperlink" Target="http://library.cee1.org/sites/default/files/library/12282/CEE_ResidentialClothesWasherSpec_07Mar2015.pdf" TargetMode="External"/><Relationship Id="rId189" Type="http://schemas.openxmlformats.org/officeDocument/2006/relationships/hyperlink" Target="http://www.researchintoaction.com"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image" Target="media/image17.png"/><Relationship Id="rId67" Type="http://schemas.openxmlformats.org/officeDocument/2006/relationships/image" Target="media/image36.png"/><Relationship Id="rId116" Type="http://schemas.openxmlformats.org/officeDocument/2006/relationships/footer" Target="footer21.xml"/><Relationship Id="rId137" Type="http://schemas.openxmlformats.org/officeDocument/2006/relationships/header" Target="header28.xml"/><Relationship Id="rId158" Type="http://schemas.openxmlformats.org/officeDocument/2006/relationships/header" Target="header35.xml"/><Relationship Id="rId20" Type="http://schemas.openxmlformats.org/officeDocument/2006/relationships/hyperlink" Target="http://www.researchintoaction.com/" TargetMode="External"/><Relationship Id="rId41" Type="http://schemas.openxmlformats.org/officeDocument/2006/relationships/image" Target="media/image12.png"/><Relationship Id="rId62"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header" Target="header10.xml"/><Relationship Id="rId111" Type="http://schemas.openxmlformats.org/officeDocument/2006/relationships/header" Target="header19.xml"/><Relationship Id="rId132" Type="http://schemas.openxmlformats.org/officeDocument/2006/relationships/footer" Target="footer27.xml"/><Relationship Id="rId153" Type="http://schemas.openxmlformats.org/officeDocument/2006/relationships/footer" Target="footer33.xml"/><Relationship Id="rId174" Type="http://schemas.openxmlformats.org/officeDocument/2006/relationships/footer" Target="footer42.xml"/><Relationship Id="rId179" Type="http://schemas.openxmlformats.org/officeDocument/2006/relationships/header" Target="header45.xml"/><Relationship Id="rId195" Type="http://schemas.openxmlformats.org/officeDocument/2006/relationships/hyperlink" Target="http://www.gdsassociates.com" TargetMode="External"/><Relationship Id="rId190" Type="http://schemas.openxmlformats.org/officeDocument/2006/relationships/hyperlink" Target="http://www.gdsassociates.com" TargetMode="External"/><Relationship Id="rId15" Type="http://schemas.openxmlformats.org/officeDocument/2006/relationships/webSettings" Target="webSettings.xml"/><Relationship Id="rId36" Type="http://schemas.openxmlformats.org/officeDocument/2006/relationships/image" Target="media/image7.png"/><Relationship Id="rId57" Type="http://schemas.openxmlformats.org/officeDocument/2006/relationships/image" Target="media/image28.png"/><Relationship Id="rId106" Type="http://schemas.openxmlformats.org/officeDocument/2006/relationships/footer" Target="footer16.xml"/><Relationship Id="rId127" Type="http://schemas.openxmlformats.org/officeDocument/2006/relationships/header" Target="header25.xml"/><Relationship Id="rId10" Type="http://schemas.openxmlformats.org/officeDocument/2006/relationships/customXml" Target="../customXml/item10.xml"/><Relationship Id="rId31" Type="http://schemas.openxmlformats.org/officeDocument/2006/relationships/footer" Target="footer4.xml"/><Relationship Id="rId52" Type="http://schemas.openxmlformats.org/officeDocument/2006/relationships/image" Target="media/image23.png"/><Relationship Id="rId73" Type="http://schemas.openxmlformats.org/officeDocument/2006/relationships/footer" Target="footer7.xml"/><Relationship Id="rId78" Type="http://schemas.openxmlformats.org/officeDocument/2006/relationships/chart" Target="charts/chart6.xml"/><Relationship Id="rId94" Type="http://schemas.openxmlformats.org/officeDocument/2006/relationships/header" Target="header13.xml"/><Relationship Id="rId99" Type="http://schemas.openxmlformats.org/officeDocument/2006/relationships/footer" Target="footer15.xml"/><Relationship Id="rId101" Type="http://schemas.openxmlformats.org/officeDocument/2006/relationships/image" Target="media/image43.png"/><Relationship Id="rId122" Type="http://schemas.openxmlformats.org/officeDocument/2006/relationships/footer" Target="footer24.xml"/><Relationship Id="rId143" Type="http://schemas.openxmlformats.org/officeDocument/2006/relationships/header" Target="header31.xml"/><Relationship Id="rId148" Type="http://schemas.openxmlformats.org/officeDocument/2006/relationships/image" Target="media/image58.png"/><Relationship Id="rId164" Type="http://schemas.openxmlformats.org/officeDocument/2006/relationships/header" Target="header38.xml"/><Relationship Id="rId169" Type="http://schemas.openxmlformats.org/officeDocument/2006/relationships/footer" Target="footer40.xml"/><Relationship Id="rId185" Type="http://schemas.openxmlformats.org/officeDocument/2006/relationships/image" Target="media/image63.pn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45.xml"/><Relationship Id="rId26" Type="http://schemas.openxmlformats.org/officeDocument/2006/relationships/header" Target="header2.xml"/><Relationship Id="rId47" Type="http://schemas.openxmlformats.org/officeDocument/2006/relationships/image" Target="media/image18.png"/><Relationship Id="rId68" Type="http://schemas.openxmlformats.org/officeDocument/2006/relationships/chart" Target="charts/chart1.xml"/><Relationship Id="rId89" Type="http://schemas.openxmlformats.org/officeDocument/2006/relationships/footer" Target="footer10.xml"/><Relationship Id="rId112" Type="http://schemas.openxmlformats.org/officeDocument/2006/relationships/footer" Target="footer19.xml"/><Relationship Id="rId133" Type="http://schemas.openxmlformats.org/officeDocument/2006/relationships/image" Target="media/image51.png"/><Relationship Id="rId154" Type="http://schemas.openxmlformats.org/officeDocument/2006/relationships/header" Target="header34.xml"/><Relationship Id="rId175" Type="http://schemas.openxmlformats.org/officeDocument/2006/relationships/header" Target="header43.xml"/></Relationships>
</file>

<file path=word/_rels/footnotes.xml.rels><?xml version="1.0" encoding="UTF-8" standalone="yes"?>
<Relationships xmlns="http://schemas.openxmlformats.org/package/2006/relationships"><Relationship Id="rId8" Type="http://schemas.openxmlformats.org/officeDocument/2006/relationships/hyperlink" Target="http://www.puc.pa.gov/pcdocs/1345079.pdf" TargetMode="External"/><Relationship Id="rId13" Type="http://schemas.openxmlformats.org/officeDocument/2006/relationships/hyperlink" Target="http://www.puc.pa.gov/pcdocs/1333318.docx" TargetMode="External"/><Relationship Id="rId3" Type="http://schemas.openxmlformats.org/officeDocument/2006/relationships/hyperlink" Target="https://www.entergysolutionsrewards.com/faqs" TargetMode="External"/><Relationship Id="rId7" Type="http://schemas.openxmlformats.org/officeDocument/2006/relationships/hyperlink" Target="http://www.puc.pa.gov/pcdocs/1340978.pdf" TargetMode="External"/><Relationship Id="rId12" Type="http://schemas.openxmlformats.org/officeDocument/2006/relationships/hyperlink" Target="http://www.puc.pa.gov/pcdocs/1265230.docx" TargetMode="External"/><Relationship Id="rId2" Type="http://schemas.openxmlformats.org/officeDocument/2006/relationships/hyperlink" Target="https://www.entergysolutionsrewards.com/faqs" TargetMode="External"/><Relationship Id="rId16" Type="http://schemas.openxmlformats.org/officeDocument/2006/relationships/hyperlink" Target="http://www.puc.pa.gov/Electric/pdf/Act129/SWE_PY6-Final_Annual_Report.pdf" TargetMode="External"/><Relationship Id="rId1" Type="http://schemas.openxmlformats.org/officeDocument/2006/relationships/hyperlink" Target="http://energy.gov/eere/about-us/ump-protocols" TargetMode="External"/><Relationship Id="rId6" Type="http://schemas.openxmlformats.org/officeDocument/2006/relationships/hyperlink" Target="http://www.puc.pa.gov/Electric/pdf/Act129/SWE-2014_PA_Statewide_Act129_Non-Residential_EndUse_Saturation_Study.pdf" TargetMode="External"/><Relationship Id="rId11" Type="http://schemas.openxmlformats.org/officeDocument/2006/relationships/hyperlink" Target="http://www.puc.pa.gov/Electric/pdf/Act129/SWE_Res_Behavioral_Program-Persistence_Study.pdf" TargetMode="External"/><Relationship Id="rId5" Type="http://schemas.openxmlformats.org/officeDocument/2006/relationships/hyperlink" Target="http://www.puc.pa.gov/Electric/pdf/Act129/SWE-2014_PA_Statewide_Act129_Residential_Baseline_Study.pdf" TargetMode="External"/><Relationship Id="rId15" Type="http://schemas.openxmlformats.org/officeDocument/2006/relationships/hyperlink" Target="http://www.puc.pa.gov/Electric/pdf/Act129/SWE_PY5-Final_Annual_Report.pdf" TargetMode="External"/><Relationship Id="rId10" Type="http://schemas.openxmlformats.org/officeDocument/2006/relationships/hyperlink" Target="http://www.puc.pa.gov/pcdocs/1355000.pdf" TargetMode="External"/><Relationship Id="rId4" Type="http://schemas.openxmlformats.org/officeDocument/2006/relationships/hyperlink" Target="http://www.puc.pa.gov/filing_resources/issues_laws_regulations/act_129_information/act_129_statewide_evaluator_swe_.aspx" TargetMode="External"/><Relationship Id="rId9" Type="http://schemas.openxmlformats.org/officeDocument/2006/relationships/hyperlink" Target="http://www.puc.pa.gov/pcdocs/1345077.docx" TargetMode="External"/><Relationship Id="rId14" Type="http://schemas.openxmlformats.org/officeDocument/2006/relationships/hyperlink" Target="http://www.puc.pa.gov/pcdocs/1370278.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m-ga-fs02\m-ga-projects01\39702\045\Melissa\Copy%20of%20PA_ProgramPerformance_v4_12-03_updated_12-20-2016_v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ga-fs02\m-ga-projects01\39702\045\Melissa\Copy%20of%20PA_ProgramPerformance_v4_12-03_updated_12-20-2016_v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ga-fs02\m-ga-projects01\39702\045\Melissa\Copy%20of%20PA_ProgramPerformance_v4_12-03_updated_12-20-2016_v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m-ga-fs02\m-ga-projects01\39702\045\Melissa\Copy%20of%20PA_ProgramPerformance_v4_12-03_updated_12-20-2016_v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m-ga-fs02\m-ga-projects01\39702\045\Melissa\Copy%20of%20PA_ProgramPerformance_v4_12-03_updated_12-20-2016_v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m-ga-fs02\m-ga-projects01\39702\045\Melissa\Copy%20of%20PA_ProgramPerformance_v4_12-03_updated_12-20-2016_v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448A99"/>
            </a:solidFill>
            <a:ln>
              <a:noFill/>
            </a:ln>
            <a:effectLst/>
          </c:spPr>
          <c:invertIfNegative val="0"/>
          <c:dPt>
            <c:idx val="3"/>
            <c:invertIfNegative val="0"/>
            <c:bubble3D val="0"/>
            <c:spPr>
              <a:solidFill>
                <a:srgbClr val="ED9E3E"/>
              </a:solidFill>
              <a:ln>
                <a:noFill/>
              </a:ln>
              <a:effectLst/>
            </c:spPr>
            <c:extLst>
              <c:ext xmlns:c16="http://schemas.microsoft.com/office/drawing/2014/chart" uri="{C3380CC4-5D6E-409C-BE32-E72D297353CC}">
                <c16:uniqueId val="{00000001-CDB4-4341-9BA2-29DE7AAE37AE}"/>
              </c:ext>
            </c:extLst>
          </c:dPt>
          <c:dPt>
            <c:idx val="8"/>
            <c:invertIfNegative val="0"/>
            <c:bubble3D val="0"/>
            <c:spPr>
              <a:solidFill>
                <a:srgbClr val="ED9E3E"/>
              </a:solidFill>
              <a:ln>
                <a:noFill/>
              </a:ln>
              <a:effectLst/>
            </c:spPr>
            <c:extLst>
              <c:ext xmlns:c16="http://schemas.microsoft.com/office/drawing/2014/chart" uri="{C3380CC4-5D6E-409C-BE32-E72D297353CC}">
                <c16:uniqueId val="{00000003-CDB4-4341-9BA2-29DE7AAE37A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Sheet1!$C$44:$C$52</c:f>
              <c:strCache>
                <c:ptCount val="9"/>
                <c:pt idx="0">
                  <c:v>PY2</c:v>
                </c:pt>
                <c:pt idx="1">
                  <c:v>PY3</c:v>
                </c:pt>
                <c:pt idx="2">
                  <c:v>PY4</c:v>
                </c:pt>
                <c:pt idx="3">
                  <c:v>Phase I</c:v>
                </c:pt>
                <c:pt idx="5">
                  <c:v>PY5</c:v>
                </c:pt>
                <c:pt idx="6">
                  <c:v>PY6</c:v>
                </c:pt>
                <c:pt idx="7">
                  <c:v>PY7</c:v>
                </c:pt>
                <c:pt idx="8">
                  <c:v>Phase II</c:v>
                </c:pt>
              </c:strCache>
            </c:strRef>
          </c:cat>
          <c:val>
            <c:numRef>
              <c:f>Sheet1!$D$44:$D$52</c:f>
              <c:numCache>
                <c:formatCode>General</c:formatCode>
                <c:ptCount val="9"/>
                <c:pt idx="0">
                  <c:v>3.2</c:v>
                </c:pt>
                <c:pt idx="1">
                  <c:v>2.5</c:v>
                </c:pt>
                <c:pt idx="2">
                  <c:v>1.8</c:v>
                </c:pt>
                <c:pt idx="3">
                  <c:v>2.4</c:v>
                </c:pt>
                <c:pt idx="5">
                  <c:v>1.7</c:v>
                </c:pt>
                <c:pt idx="6">
                  <c:v>1.6</c:v>
                </c:pt>
                <c:pt idx="7">
                  <c:v>1.7</c:v>
                </c:pt>
                <c:pt idx="8">
                  <c:v>1.7</c:v>
                </c:pt>
              </c:numCache>
            </c:numRef>
          </c:val>
          <c:extLst>
            <c:ext xmlns:c16="http://schemas.microsoft.com/office/drawing/2014/chart" uri="{C3380CC4-5D6E-409C-BE32-E72D297353CC}">
              <c16:uniqueId val="{00000004-CDB4-4341-9BA2-29DE7AAE37AE}"/>
            </c:ext>
          </c:extLst>
        </c:ser>
        <c:dLbls>
          <c:showLegendKey val="0"/>
          <c:showVal val="0"/>
          <c:showCatName val="0"/>
          <c:showSerName val="0"/>
          <c:showPercent val="0"/>
          <c:showBubbleSize val="0"/>
        </c:dLbls>
        <c:gapWidth val="85"/>
        <c:overlap val="-27"/>
        <c:axId val="141674368"/>
        <c:axId val="141675904"/>
      </c:barChart>
      <c:catAx>
        <c:axId val="14167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675904"/>
        <c:crosses val="autoZero"/>
        <c:auto val="1"/>
        <c:lblAlgn val="ctr"/>
        <c:lblOffset val="100"/>
        <c:noMultiLvlLbl val="0"/>
      </c:catAx>
      <c:valAx>
        <c:axId val="141675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TRC Ratio</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674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'Cost per kWh saved'!$J$39</c:f>
              <c:strCache>
                <c:ptCount val="1"/>
                <c:pt idx="0">
                  <c:v>Duquesne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saved'!$K$39:$Q$39</c:f>
              <c:numCache>
                <c:formatCode>_("$"* #,##0.00_);_("$"* \(#,##0.00\);_("$"* "-"??_);_(@_)</c:formatCode>
                <c:ptCount val="7"/>
                <c:pt idx="0">
                  <c:v>0.38250932846801383</c:v>
                </c:pt>
                <c:pt idx="1">
                  <c:v>8.5772952331115149E-2</c:v>
                </c:pt>
                <c:pt idx="2">
                  <c:v>9.802530029045313E-2</c:v>
                </c:pt>
                <c:pt idx="3">
                  <c:v>0.15123961194810498</c:v>
                </c:pt>
                <c:pt idx="4">
                  <c:v>0.12419043495143177</c:v>
                </c:pt>
                <c:pt idx="5">
                  <c:v>0.19153674832962139</c:v>
                </c:pt>
                <c:pt idx="6">
                  <c:v>9.9482056334539284E-2</c:v>
                </c:pt>
              </c:numCache>
            </c:numRef>
          </c:yVal>
          <c:smooth val="0"/>
          <c:extLst>
            <c:ext xmlns:c16="http://schemas.microsoft.com/office/drawing/2014/chart" uri="{C3380CC4-5D6E-409C-BE32-E72D297353CC}">
              <c16:uniqueId val="{00000000-AFCE-4A43-9596-21A401FAA51A}"/>
            </c:ext>
          </c:extLst>
        </c:ser>
        <c:ser>
          <c:idx val="1"/>
          <c:order val="1"/>
          <c:tx>
            <c:strRef>
              <c:f>'Cost per kWh saved'!$J$40</c:f>
              <c:strCache>
                <c:ptCount val="1"/>
                <c:pt idx="0">
                  <c:v>Met 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saved'!$K$40:$Q$40</c:f>
              <c:numCache>
                <c:formatCode>_("$"* #,##0.00_);_("$"* \(#,##0.00\);_("$"* "-"??_);_(@_)</c:formatCode>
                <c:ptCount val="7"/>
                <c:pt idx="0">
                  <c:v>0.20942048137730426</c:v>
                </c:pt>
                <c:pt idx="1">
                  <c:v>0.15131053291355154</c:v>
                </c:pt>
                <c:pt idx="2">
                  <c:v>0.14204820853583622</c:v>
                </c:pt>
                <c:pt idx="3">
                  <c:v>0.1282302224076898</c:v>
                </c:pt>
                <c:pt idx="4">
                  <c:v>0.13031645481927981</c:v>
                </c:pt>
                <c:pt idx="5">
                  <c:v>0.1106458224673391</c:v>
                </c:pt>
                <c:pt idx="6">
                  <c:v>8.9257163940474726E-2</c:v>
                </c:pt>
              </c:numCache>
            </c:numRef>
          </c:yVal>
          <c:smooth val="0"/>
          <c:extLst>
            <c:ext xmlns:c16="http://schemas.microsoft.com/office/drawing/2014/chart" uri="{C3380CC4-5D6E-409C-BE32-E72D297353CC}">
              <c16:uniqueId val="{00000001-AFCE-4A43-9596-21A401FAA51A}"/>
            </c:ext>
          </c:extLst>
        </c:ser>
        <c:ser>
          <c:idx val="2"/>
          <c:order val="2"/>
          <c:tx>
            <c:strRef>
              <c:f>'Cost per kWh saved'!$J$41</c:f>
              <c:strCache>
                <c:ptCount val="1"/>
                <c:pt idx="0">
                  <c:v>Penelec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saved'!$K$41:$Q$41</c:f>
              <c:numCache>
                <c:formatCode>_("$"* #,##0.00_);_("$"* \(#,##0.00\);_("$"* "-"??_);_(@_)</c:formatCode>
                <c:ptCount val="7"/>
                <c:pt idx="0">
                  <c:v>0.22723144093122519</c:v>
                </c:pt>
                <c:pt idx="1">
                  <c:v>0.12198654117207525</c:v>
                </c:pt>
                <c:pt idx="2">
                  <c:v>0.13282283065820605</c:v>
                </c:pt>
                <c:pt idx="3">
                  <c:v>0.10587168557249371</c:v>
                </c:pt>
                <c:pt idx="4">
                  <c:v>0.13927377761240087</c:v>
                </c:pt>
                <c:pt idx="5">
                  <c:v>0.11702817293073309</c:v>
                </c:pt>
                <c:pt idx="6">
                  <c:v>8.1052538039915037E-2</c:v>
                </c:pt>
              </c:numCache>
            </c:numRef>
          </c:yVal>
          <c:smooth val="0"/>
          <c:extLst>
            <c:ext xmlns:c16="http://schemas.microsoft.com/office/drawing/2014/chart" uri="{C3380CC4-5D6E-409C-BE32-E72D297353CC}">
              <c16:uniqueId val="{00000002-AFCE-4A43-9596-21A401FAA51A}"/>
            </c:ext>
          </c:extLst>
        </c:ser>
        <c:ser>
          <c:idx val="3"/>
          <c:order val="3"/>
          <c:tx>
            <c:strRef>
              <c:f>'Cost per kWh saved'!$J$42</c:f>
              <c:strCache>
                <c:ptCount val="1"/>
                <c:pt idx="0">
                  <c:v>Penn Power</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saved'!$K$42:$Q$42</c:f>
              <c:numCache>
                <c:formatCode>_("$"* #,##0.00_);_("$"* \(#,##0.00\);_("$"* "-"??_);_(@_)</c:formatCode>
                <c:ptCount val="7"/>
                <c:pt idx="0">
                  <c:v>9.6483916106493706E-2</c:v>
                </c:pt>
                <c:pt idx="1">
                  <c:v>0.10254964505771663</c:v>
                </c:pt>
                <c:pt idx="2">
                  <c:v>0.11308188984083889</c:v>
                </c:pt>
                <c:pt idx="3">
                  <c:v>0.10329073400035761</c:v>
                </c:pt>
                <c:pt idx="4">
                  <c:v>0.14492506527121421</c:v>
                </c:pt>
                <c:pt idx="5">
                  <c:v>0.11918029840014381</c:v>
                </c:pt>
                <c:pt idx="6">
                  <c:v>0.11089728169352898</c:v>
                </c:pt>
              </c:numCache>
            </c:numRef>
          </c:yVal>
          <c:smooth val="0"/>
          <c:extLst>
            <c:ext xmlns:c16="http://schemas.microsoft.com/office/drawing/2014/chart" uri="{C3380CC4-5D6E-409C-BE32-E72D297353CC}">
              <c16:uniqueId val="{00000003-AFCE-4A43-9596-21A401FAA51A}"/>
            </c:ext>
          </c:extLst>
        </c:ser>
        <c:ser>
          <c:idx val="4"/>
          <c:order val="4"/>
          <c:tx>
            <c:strRef>
              <c:f>'Cost per kWh saved'!$J$43</c:f>
              <c:strCache>
                <c:ptCount val="1"/>
                <c:pt idx="0">
                  <c:v>West Penn</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saved'!$K$43:$Q$43</c:f>
              <c:numCache>
                <c:formatCode>_("$"* #,##0.00_);_("$"* \(#,##0.00\);_("$"* "-"??_);_(@_)</c:formatCode>
                <c:ptCount val="7"/>
                <c:pt idx="0">
                  <c:v>1.168520616095321</c:v>
                </c:pt>
                <c:pt idx="1">
                  <c:v>0.11906533520729314</c:v>
                </c:pt>
                <c:pt idx="2">
                  <c:v>0.10288145416843066</c:v>
                </c:pt>
                <c:pt idx="3">
                  <c:v>7.8740413306707821E-2</c:v>
                </c:pt>
                <c:pt idx="4">
                  <c:v>0.11898483483288035</c:v>
                </c:pt>
                <c:pt idx="5">
                  <c:v>9.1741461971334051E-2</c:v>
                </c:pt>
                <c:pt idx="6">
                  <c:v>8.0878908407383279E-2</c:v>
                </c:pt>
              </c:numCache>
            </c:numRef>
          </c:yVal>
          <c:smooth val="0"/>
          <c:extLst>
            <c:ext xmlns:c16="http://schemas.microsoft.com/office/drawing/2014/chart" uri="{C3380CC4-5D6E-409C-BE32-E72D297353CC}">
              <c16:uniqueId val="{00000004-AFCE-4A43-9596-21A401FAA51A}"/>
            </c:ext>
          </c:extLst>
        </c:ser>
        <c:ser>
          <c:idx val="5"/>
          <c:order val="5"/>
          <c:tx>
            <c:strRef>
              <c:f>'Cost per kWh saved'!$J$44</c:f>
              <c:strCache>
                <c:ptCount val="1"/>
                <c:pt idx="0">
                  <c:v>PECO</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saved'!$K$44:$Q$44</c:f>
              <c:numCache>
                <c:formatCode>_("$"* #,##0.00_);_("$"* \(#,##0.00\);_("$"* "-"??_);_(@_)</c:formatCode>
                <c:ptCount val="7"/>
                <c:pt idx="0">
                  <c:v>6.9134052716881347E-2</c:v>
                </c:pt>
                <c:pt idx="1">
                  <c:v>0.11747577748507955</c:v>
                </c:pt>
                <c:pt idx="2">
                  <c:v>0.20833004652874967</c:v>
                </c:pt>
                <c:pt idx="3">
                  <c:v>0.29244328946475995</c:v>
                </c:pt>
                <c:pt idx="4">
                  <c:v>0.15807441885303922</c:v>
                </c:pt>
                <c:pt idx="5">
                  <c:v>0.29733063806937277</c:v>
                </c:pt>
                <c:pt idx="6">
                  <c:v>0.18512870302140971</c:v>
                </c:pt>
              </c:numCache>
            </c:numRef>
          </c:yVal>
          <c:smooth val="0"/>
          <c:extLst>
            <c:ext xmlns:c16="http://schemas.microsoft.com/office/drawing/2014/chart" uri="{C3380CC4-5D6E-409C-BE32-E72D297353CC}">
              <c16:uniqueId val="{00000005-AFCE-4A43-9596-21A401FAA51A}"/>
            </c:ext>
          </c:extLst>
        </c:ser>
        <c:ser>
          <c:idx val="6"/>
          <c:order val="6"/>
          <c:tx>
            <c:strRef>
              <c:f>'Cost per kWh saved'!$J$45</c:f>
              <c:strCache>
                <c:ptCount val="1"/>
                <c:pt idx="0">
                  <c:v>PPL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strRef>
              <c:f>'Cost per kWh saved'!$K$38:$Q$38</c:f>
              <c:strCache>
                <c:ptCount val="7"/>
                <c:pt idx="0">
                  <c:v>PY1</c:v>
                </c:pt>
                <c:pt idx="1">
                  <c:v>PY2</c:v>
                </c:pt>
                <c:pt idx="2">
                  <c:v>PY3</c:v>
                </c:pt>
                <c:pt idx="3">
                  <c:v>PY4</c:v>
                </c:pt>
                <c:pt idx="4">
                  <c:v>PY5</c:v>
                </c:pt>
                <c:pt idx="5">
                  <c:v>PY6</c:v>
                </c:pt>
                <c:pt idx="6">
                  <c:v>PY7</c:v>
                </c:pt>
              </c:strCache>
            </c:strRef>
          </c:xVal>
          <c:yVal>
            <c:numRef>
              <c:f>'Cost per kWh saved'!$K$45:$Q$45</c:f>
              <c:numCache>
                <c:formatCode>_("$"* #,##0.00_);_("$"* \(#,##0.00\);_("$"* "-"??_);_(@_)</c:formatCode>
                <c:ptCount val="7"/>
                <c:pt idx="0">
                  <c:v>6.2801974128265048E-2</c:v>
                </c:pt>
                <c:pt idx="1">
                  <c:v>5.784507834718939E-2</c:v>
                </c:pt>
                <c:pt idx="2">
                  <c:v>0.10405809655982033</c:v>
                </c:pt>
                <c:pt idx="3">
                  <c:v>4.7232859786598226E-2</c:v>
                </c:pt>
                <c:pt idx="4">
                  <c:v>0.1508814297335016</c:v>
                </c:pt>
                <c:pt idx="5">
                  <c:v>0.18343505628938767</c:v>
                </c:pt>
                <c:pt idx="6">
                  <c:v>0.20707906505657736</c:v>
                </c:pt>
              </c:numCache>
            </c:numRef>
          </c:yVal>
          <c:smooth val="0"/>
          <c:extLst>
            <c:ext xmlns:c16="http://schemas.microsoft.com/office/drawing/2014/chart" uri="{C3380CC4-5D6E-409C-BE32-E72D297353CC}">
              <c16:uniqueId val="{00000006-AFCE-4A43-9596-21A401FAA51A}"/>
            </c:ext>
          </c:extLst>
        </c:ser>
        <c:dLbls>
          <c:showLegendKey val="0"/>
          <c:showVal val="0"/>
          <c:showCatName val="0"/>
          <c:showSerName val="0"/>
          <c:showPercent val="0"/>
          <c:showBubbleSize val="0"/>
        </c:dLbls>
        <c:axId val="157054848"/>
        <c:axId val="157057024"/>
      </c:scatterChart>
      <c:valAx>
        <c:axId val="157054848"/>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57024"/>
        <c:crosses val="autoZero"/>
        <c:crossBetween val="midCat"/>
      </c:valAx>
      <c:valAx>
        <c:axId val="15705702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548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'Cost per kWh saved'!$S$39</c:f>
              <c:strCache>
                <c:ptCount val="1"/>
                <c:pt idx="0">
                  <c:v>Duquesne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'Cost per kWh saved'!$T$38:$Z$38</c:f>
              <c:strCache>
                <c:ptCount val="7"/>
                <c:pt idx="0">
                  <c:v>PY1</c:v>
                </c:pt>
                <c:pt idx="1">
                  <c:v>PY2</c:v>
                </c:pt>
                <c:pt idx="2">
                  <c:v>PY3</c:v>
                </c:pt>
                <c:pt idx="3">
                  <c:v>PY4</c:v>
                </c:pt>
                <c:pt idx="4">
                  <c:v>PY5</c:v>
                </c:pt>
                <c:pt idx="5">
                  <c:v>PY6</c:v>
                </c:pt>
                <c:pt idx="6">
                  <c:v>PY7</c:v>
                </c:pt>
              </c:strCache>
            </c:strRef>
          </c:xVal>
          <c:yVal>
            <c:numRef>
              <c:f>'Cost per kWh saved'!$T$39:$Z$39</c:f>
              <c:numCache>
                <c:formatCode>_("$"* #,##0.00_);_("$"* \(#,##0.00\);_("$"* "-"??_);_(@_)</c:formatCode>
                <c:ptCount val="7"/>
                <c:pt idx="0">
                  <c:v>0.51847830292712327</c:v>
                </c:pt>
                <c:pt idx="1">
                  <c:v>4.9870637994191107E-2</c:v>
                </c:pt>
                <c:pt idx="2">
                  <c:v>0.10377218458269494</c:v>
                </c:pt>
                <c:pt idx="3">
                  <c:v>4.7498105488035514E-2</c:v>
                </c:pt>
                <c:pt idx="4">
                  <c:v>0.13699011199878355</c:v>
                </c:pt>
                <c:pt idx="5">
                  <c:v>0.30178805058874836</c:v>
                </c:pt>
                <c:pt idx="6">
                  <c:v>8.8325415661410583E-2</c:v>
                </c:pt>
              </c:numCache>
            </c:numRef>
          </c:yVal>
          <c:smooth val="0"/>
          <c:extLst>
            <c:ext xmlns:c16="http://schemas.microsoft.com/office/drawing/2014/chart" uri="{C3380CC4-5D6E-409C-BE32-E72D297353CC}">
              <c16:uniqueId val="{00000000-9D6E-4EC5-B3CE-09D745D71FFE}"/>
            </c:ext>
          </c:extLst>
        </c:ser>
        <c:ser>
          <c:idx val="1"/>
          <c:order val="1"/>
          <c:tx>
            <c:strRef>
              <c:f>'Cost per kWh saved'!$S$40</c:f>
              <c:strCache>
                <c:ptCount val="1"/>
                <c:pt idx="0">
                  <c:v>Met 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'Cost per kWh saved'!$T$38:$Z$38</c:f>
              <c:strCache>
                <c:ptCount val="7"/>
                <c:pt idx="0">
                  <c:v>PY1</c:v>
                </c:pt>
                <c:pt idx="1">
                  <c:v>PY2</c:v>
                </c:pt>
                <c:pt idx="2">
                  <c:v>PY3</c:v>
                </c:pt>
                <c:pt idx="3">
                  <c:v>PY4</c:v>
                </c:pt>
                <c:pt idx="4">
                  <c:v>PY5</c:v>
                </c:pt>
                <c:pt idx="5">
                  <c:v>PY6</c:v>
                </c:pt>
                <c:pt idx="6">
                  <c:v>PY7</c:v>
                </c:pt>
              </c:strCache>
            </c:strRef>
          </c:xVal>
          <c:yVal>
            <c:numRef>
              <c:f>'Cost per kWh saved'!$T$40:$Z$40</c:f>
              <c:numCache>
                <c:formatCode>_("$"* #,##0.00_);_("$"* \(#,##0.00\);_("$"* "-"??_);_(@_)</c:formatCode>
                <c:ptCount val="7"/>
                <c:pt idx="0">
                  <c:v>2.7767586931011001</c:v>
                </c:pt>
                <c:pt idx="1">
                  <c:v>0.3110149395556206</c:v>
                </c:pt>
                <c:pt idx="2">
                  <c:v>1.5607342879463026</c:v>
                </c:pt>
                <c:pt idx="3">
                  <c:v>1.1750474104179738</c:v>
                </c:pt>
                <c:pt idx="4">
                  <c:v>0.51932329504929242</c:v>
                </c:pt>
                <c:pt idx="5">
                  <c:v>0.83992538442837883</c:v>
                </c:pt>
                <c:pt idx="6">
                  <c:v>1.477292965271594</c:v>
                </c:pt>
              </c:numCache>
            </c:numRef>
          </c:yVal>
          <c:smooth val="0"/>
          <c:extLst>
            <c:ext xmlns:c16="http://schemas.microsoft.com/office/drawing/2014/chart" uri="{C3380CC4-5D6E-409C-BE32-E72D297353CC}">
              <c16:uniqueId val="{00000001-9D6E-4EC5-B3CE-09D745D71FFE}"/>
            </c:ext>
          </c:extLst>
        </c:ser>
        <c:ser>
          <c:idx val="2"/>
          <c:order val="2"/>
          <c:tx>
            <c:strRef>
              <c:f>'Cost per kWh saved'!$S$41</c:f>
              <c:strCache>
                <c:ptCount val="1"/>
                <c:pt idx="0">
                  <c:v>Penelec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strRef>
              <c:f>'Cost per kWh saved'!$T$38:$Z$38</c:f>
              <c:strCache>
                <c:ptCount val="7"/>
                <c:pt idx="0">
                  <c:v>PY1</c:v>
                </c:pt>
                <c:pt idx="1">
                  <c:v>PY2</c:v>
                </c:pt>
                <c:pt idx="2">
                  <c:v>PY3</c:v>
                </c:pt>
                <c:pt idx="3">
                  <c:v>PY4</c:v>
                </c:pt>
                <c:pt idx="4">
                  <c:v>PY5</c:v>
                </c:pt>
                <c:pt idx="5">
                  <c:v>PY6</c:v>
                </c:pt>
                <c:pt idx="6">
                  <c:v>PY7</c:v>
                </c:pt>
              </c:strCache>
            </c:strRef>
          </c:xVal>
          <c:yVal>
            <c:numRef>
              <c:f>'Cost per kWh saved'!$T$41:$Z$41</c:f>
              <c:numCache>
                <c:formatCode>_("$"* #,##0.00_);_("$"* \(#,##0.00\);_("$"* "-"??_);_(@_)</c:formatCode>
                <c:ptCount val="7"/>
                <c:pt idx="0">
                  <c:v>1.6298015522153495</c:v>
                </c:pt>
                <c:pt idx="1">
                  <c:v>0.36718444146494411</c:v>
                </c:pt>
                <c:pt idx="2">
                  <c:v>1.2520106202343573</c:v>
                </c:pt>
                <c:pt idx="3">
                  <c:v>1.1888503533551651</c:v>
                </c:pt>
                <c:pt idx="4">
                  <c:v>0.50525520188451589</c:v>
                </c:pt>
                <c:pt idx="5">
                  <c:v>0.75209457847240024</c:v>
                </c:pt>
                <c:pt idx="6">
                  <c:v>1.1225912652797796</c:v>
                </c:pt>
              </c:numCache>
            </c:numRef>
          </c:yVal>
          <c:smooth val="0"/>
          <c:extLst>
            <c:ext xmlns:c16="http://schemas.microsoft.com/office/drawing/2014/chart" uri="{C3380CC4-5D6E-409C-BE32-E72D297353CC}">
              <c16:uniqueId val="{00000002-9D6E-4EC5-B3CE-09D745D71FFE}"/>
            </c:ext>
          </c:extLst>
        </c:ser>
        <c:ser>
          <c:idx val="3"/>
          <c:order val="3"/>
          <c:tx>
            <c:strRef>
              <c:f>'Cost per kWh saved'!$S$42</c:f>
              <c:strCache>
                <c:ptCount val="1"/>
                <c:pt idx="0">
                  <c:v>Penn Power</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strRef>
              <c:f>'Cost per kWh saved'!$T$38:$Z$38</c:f>
              <c:strCache>
                <c:ptCount val="7"/>
                <c:pt idx="0">
                  <c:v>PY1</c:v>
                </c:pt>
                <c:pt idx="1">
                  <c:v>PY2</c:v>
                </c:pt>
                <c:pt idx="2">
                  <c:v>PY3</c:v>
                </c:pt>
                <c:pt idx="3">
                  <c:v>PY4</c:v>
                </c:pt>
                <c:pt idx="4">
                  <c:v>PY5</c:v>
                </c:pt>
                <c:pt idx="5">
                  <c:v>PY6</c:v>
                </c:pt>
                <c:pt idx="6">
                  <c:v>PY7</c:v>
                </c:pt>
              </c:strCache>
            </c:strRef>
          </c:xVal>
          <c:yVal>
            <c:numRef>
              <c:f>'Cost per kWh saved'!$T$42:$Z$42</c:f>
              <c:numCache>
                <c:formatCode>_("$"* #,##0.00_);_("$"* \(#,##0.00\);_("$"* "-"??_);_(@_)</c:formatCode>
                <c:ptCount val="7"/>
                <c:pt idx="0">
                  <c:v>1.5444906444906621</c:v>
                </c:pt>
                <c:pt idx="1">
                  <c:v>0.27408736795268163</c:v>
                </c:pt>
                <c:pt idx="2">
                  <c:v>1.7716862100471316</c:v>
                </c:pt>
                <c:pt idx="3">
                  <c:v>0</c:v>
                </c:pt>
                <c:pt idx="4">
                  <c:v>0.70547945205479456</c:v>
                </c:pt>
                <c:pt idx="5">
                  <c:v>0.48811881188118811</c:v>
                </c:pt>
                <c:pt idx="6">
                  <c:v>1.2181818181818183</c:v>
                </c:pt>
              </c:numCache>
            </c:numRef>
          </c:yVal>
          <c:smooth val="0"/>
          <c:extLst>
            <c:ext xmlns:c16="http://schemas.microsoft.com/office/drawing/2014/chart" uri="{C3380CC4-5D6E-409C-BE32-E72D297353CC}">
              <c16:uniqueId val="{00000003-9D6E-4EC5-B3CE-09D745D71FFE}"/>
            </c:ext>
          </c:extLst>
        </c:ser>
        <c:ser>
          <c:idx val="4"/>
          <c:order val="4"/>
          <c:tx>
            <c:strRef>
              <c:f>'Cost per kWh saved'!$S$43</c:f>
              <c:strCache>
                <c:ptCount val="1"/>
                <c:pt idx="0">
                  <c:v>West Penn</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strRef>
              <c:f>'Cost per kWh saved'!$T$38:$Z$38</c:f>
              <c:strCache>
                <c:ptCount val="7"/>
                <c:pt idx="0">
                  <c:v>PY1</c:v>
                </c:pt>
                <c:pt idx="1">
                  <c:v>PY2</c:v>
                </c:pt>
                <c:pt idx="2">
                  <c:v>PY3</c:v>
                </c:pt>
                <c:pt idx="3">
                  <c:v>PY4</c:v>
                </c:pt>
                <c:pt idx="4">
                  <c:v>PY5</c:v>
                </c:pt>
                <c:pt idx="5">
                  <c:v>PY6</c:v>
                </c:pt>
                <c:pt idx="6">
                  <c:v>PY7</c:v>
                </c:pt>
              </c:strCache>
            </c:strRef>
          </c:xVal>
          <c:yVal>
            <c:numRef>
              <c:f>'Cost per kWh saved'!$T$43:$Z$43</c:f>
              <c:numCache>
                <c:formatCode>_("$"* #,##0.00_);_("$"* \(#,##0.00\);_("$"* "-"??_);_(@_)</c:formatCode>
                <c:ptCount val="7"/>
                <c:pt idx="0">
                  <c:v>0.32232938388625593</c:v>
                </c:pt>
                <c:pt idx="1">
                  <c:v>0.6180902328833342</c:v>
                </c:pt>
                <c:pt idx="2">
                  <c:v>0.67712697038983183</c:v>
                </c:pt>
                <c:pt idx="3">
                  <c:v>0.800578862822378</c:v>
                </c:pt>
                <c:pt idx="4">
                  <c:v>1.0615716628041332</c:v>
                </c:pt>
                <c:pt idx="5">
                  <c:v>1.2185950908062659</c:v>
                </c:pt>
                <c:pt idx="6">
                  <c:v>2.0309278350515463</c:v>
                </c:pt>
              </c:numCache>
            </c:numRef>
          </c:yVal>
          <c:smooth val="0"/>
          <c:extLst>
            <c:ext xmlns:c16="http://schemas.microsoft.com/office/drawing/2014/chart" uri="{C3380CC4-5D6E-409C-BE32-E72D297353CC}">
              <c16:uniqueId val="{00000004-9D6E-4EC5-B3CE-09D745D71FFE}"/>
            </c:ext>
          </c:extLst>
        </c:ser>
        <c:ser>
          <c:idx val="5"/>
          <c:order val="5"/>
          <c:tx>
            <c:strRef>
              <c:f>'Cost per kWh saved'!$S$44</c:f>
              <c:strCache>
                <c:ptCount val="1"/>
                <c:pt idx="0">
                  <c:v>PECO</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strRef>
              <c:f>'Cost per kWh saved'!$T$38:$Z$38</c:f>
              <c:strCache>
                <c:ptCount val="7"/>
                <c:pt idx="0">
                  <c:v>PY1</c:v>
                </c:pt>
                <c:pt idx="1">
                  <c:v>PY2</c:v>
                </c:pt>
                <c:pt idx="2">
                  <c:v>PY3</c:v>
                </c:pt>
                <c:pt idx="3">
                  <c:v>PY4</c:v>
                </c:pt>
                <c:pt idx="4">
                  <c:v>PY5</c:v>
                </c:pt>
                <c:pt idx="5">
                  <c:v>PY6</c:v>
                </c:pt>
                <c:pt idx="6">
                  <c:v>PY7</c:v>
                </c:pt>
              </c:strCache>
            </c:strRef>
          </c:xVal>
          <c:yVal>
            <c:numRef>
              <c:f>'Cost per kWh saved'!$T$44:$Z$44</c:f>
              <c:numCache>
                <c:formatCode>_("$"* #,##0.00_);_("$"* \(#,##0.00\);_("$"* "-"??_);_(@_)</c:formatCode>
                <c:ptCount val="7"/>
                <c:pt idx="0">
                  <c:v>0.36776232501521605</c:v>
                </c:pt>
                <c:pt idx="1">
                  <c:v>0.24602659746999675</c:v>
                </c:pt>
                <c:pt idx="2">
                  <c:v>0.26025533306691695</c:v>
                </c:pt>
                <c:pt idx="3">
                  <c:v>0.19854046608100304</c:v>
                </c:pt>
                <c:pt idx="4">
                  <c:v>0.31786269996407529</c:v>
                </c:pt>
                <c:pt idx="5">
                  <c:v>0.55944302756749109</c:v>
                </c:pt>
                <c:pt idx="6">
                  <c:v>0.47984521990644219</c:v>
                </c:pt>
              </c:numCache>
            </c:numRef>
          </c:yVal>
          <c:smooth val="0"/>
          <c:extLst>
            <c:ext xmlns:c16="http://schemas.microsoft.com/office/drawing/2014/chart" uri="{C3380CC4-5D6E-409C-BE32-E72D297353CC}">
              <c16:uniqueId val="{00000005-9D6E-4EC5-B3CE-09D745D71FFE}"/>
            </c:ext>
          </c:extLst>
        </c:ser>
        <c:ser>
          <c:idx val="6"/>
          <c:order val="6"/>
          <c:tx>
            <c:strRef>
              <c:f>'Cost per kWh saved'!$S$45</c:f>
              <c:strCache>
                <c:ptCount val="1"/>
                <c:pt idx="0">
                  <c:v>PPL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strRef>
              <c:f>'Cost per kWh saved'!$T$38:$Z$38</c:f>
              <c:strCache>
                <c:ptCount val="7"/>
                <c:pt idx="0">
                  <c:v>PY1</c:v>
                </c:pt>
                <c:pt idx="1">
                  <c:v>PY2</c:v>
                </c:pt>
                <c:pt idx="2">
                  <c:v>PY3</c:v>
                </c:pt>
                <c:pt idx="3">
                  <c:v>PY4</c:v>
                </c:pt>
                <c:pt idx="4">
                  <c:v>PY5</c:v>
                </c:pt>
                <c:pt idx="5">
                  <c:v>PY6</c:v>
                </c:pt>
                <c:pt idx="6">
                  <c:v>PY7</c:v>
                </c:pt>
              </c:strCache>
            </c:strRef>
          </c:xVal>
          <c:yVal>
            <c:numRef>
              <c:f>'Cost per kWh saved'!$T$45:$Z$45</c:f>
              <c:numCache>
                <c:formatCode>_("$"* #,##0.00_);_("$"* \(#,##0.00\);_("$"* "-"??_);_(@_)</c:formatCode>
                <c:ptCount val="7"/>
                <c:pt idx="0">
                  <c:v>2.0926564039827378</c:v>
                </c:pt>
                <c:pt idx="1">
                  <c:v>1.4330275712311638</c:v>
                </c:pt>
                <c:pt idx="2">
                  <c:v>1.1365113117010754</c:v>
                </c:pt>
                <c:pt idx="3">
                  <c:v>1.064780514174454</c:v>
                </c:pt>
                <c:pt idx="4">
                  <c:v>0.78882741206529006</c:v>
                </c:pt>
                <c:pt idx="5">
                  <c:v>0.95159903099711185</c:v>
                </c:pt>
                <c:pt idx="6">
                  <c:v>0.44631984667992985</c:v>
                </c:pt>
              </c:numCache>
            </c:numRef>
          </c:yVal>
          <c:smooth val="0"/>
          <c:extLst>
            <c:ext xmlns:c16="http://schemas.microsoft.com/office/drawing/2014/chart" uri="{C3380CC4-5D6E-409C-BE32-E72D297353CC}">
              <c16:uniqueId val="{00000006-9D6E-4EC5-B3CE-09D745D71FFE}"/>
            </c:ext>
          </c:extLst>
        </c:ser>
        <c:dLbls>
          <c:showLegendKey val="0"/>
          <c:showVal val="0"/>
          <c:showCatName val="0"/>
          <c:showSerName val="0"/>
          <c:showPercent val="0"/>
          <c:showBubbleSize val="0"/>
        </c:dLbls>
        <c:axId val="157088384"/>
        <c:axId val="157557504"/>
      </c:scatterChart>
      <c:valAx>
        <c:axId val="157088384"/>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57504"/>
        <c:crosses val="autoZero"/>
        <c:crossBetween val="midCat"/>
      </c:valAx>
      <c:valAx>
        <c:axId val="15755750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88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'Cost per kWh saved'!$AB$39</c:f>
              <c:strCache>
                <c:ptCount val="1"/>
                <c:pt idx="0">
                  <c:v>Duquesne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'Cost per kWh saved'!$AC$38:$AI$38</c:f>
              <c:strCache>
                <c:ptCount val="7"/>
                <c:pt idx="0">
                  <c:v>PY1</c:v>
                </c:pt>
                <c:pt idx="1">
                  <c:v>PY2</c:v>
                </c:pt>
                <c:pt idx="2">
                  <c:v>PY3</c:v>
                </c:pt>
                <c:pt idx="3">
                  <c:v>PY4</c:v>
                </c:pt>
                <c:pt idx="4">
                  <c:v>PY5</c:v>
                </c:pt>
                <c:pt idx="5">
                  <c:v>PY6</c:v>
                </c:pt>
                <c:pt idx="6">
                  <c:v>PY7</c:v>
                </c:pt>
              </c:strCache>
            </c:strRef>
          </c:xVal>
          <c:yVal>
            <c:numRef>
              <c:f>'Cost per kWh saved'!$AC$39:$AI$39</c:f>
              <c:numCache>
                <c:formatCode>_("$"* #,##0.00_);_("$"* \(#,##0.00\);_("$"* "-"??_);_(@_)</c:formatCode>
                <c:ptCount val="7"/>
                <c:pt idx="0">
                  <c:v>0.40466787289443962</c:v>
                </c:pt>
                <c:pt idx="1">
                  <c:v>7.687584149862374E-2</c:v>
                </c:pt>
                <c:pt idx="2">
                  <c:v>9.8507458392105104E-2</c:v>
                </c:pt>
                <c:pt idx="3">
                  <c:v>0.1317973837690869</c:v>
                </c:pt>
                <c:pt idx="4">
                  <c:v>0.12675497924657084</c:v>
                </c:pt>
                <c:pt idx="5">
                  <c:v>0.198000562501598</c:v>
                </c:pt>
                <c:pt idx="6">
                  <c:v>9.8815477776281815E-2</c:v>
                </c:pt>
              </c:numCache>
            </c:numRef>
          </c:yVal>
          <c:smooth val="0"/>
          <c:extLst>
            <c:ext xmlns:c16="http://schemas.microsoft.com/office/drawing/2014/chart" uri="{C3380CC4-5D6E-409C-BE32-E72D297353CC}">
              <c16:uniqueId val="{00000000-0AC7-4C45-B7EF-D29A87E2528D}"/>
            </c:ext>
          </c:extLst>
        </c:ser>
        <c:ser>
          <c:idx val="1"/>
          <c:order val="1"/>
          <c:tx>
            <c:strRef>
              <c:f>'Cost per kWh saved'!$AB$40</c:f>
              <c:strCache>
                <c:ptCount val="1"/>
                <c:pt idx="0">
                  <c:v>Met 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'Cost per kWh saved'!$AC$38:$AI$38</c:f>
              <c:strCache>
                <c:ptCount val="7"/>
                <c:pt idx="0">
                  <c:v>PY1</c:v>
                </c:pt>
                <c:pt idx="1">
                  <c:v>PY2</c:v>
                </c:pt>
                <c:pt idx="2">
                  <c:v>PY3</c:v>
                </c:pt>
                <c:pt idx="3">
                  <c:v>PY4</c:v>
                </c:pt>
                <c:pt idx="4">
                  <c:v>PY5</c:v>
                </c:pt>
                <c:pt idx="5">
                  <c:v>PY6</c:v>
                </c:pt>
                <c:pt idx="6">
                  <c:v>PY7</c:v>
                </c:pt>
              </c:strCache>
            </c:strRef>
          </c:xVal>
          <c:yVal>
            <c:numRef>
              <c:f>'Cost per kWh saved'!$AC$40:$AI$40</c:f>
              <c:numCache>
                <c:formatCode>_("$"* #,##0.00_);_("$"* \(#,##0.00\);_("$"* "-"??_);_(@_)</c:formatCode>
                <c:ptCount val="7"/>
                <c:pt idx="0">
                  <c:v>0.22388997997066282</c:v>
                </c:pt>
                <c:pt idx="1">
                  <c:v>0.15833039082538394</c:v>
                </c:pt>
                <c:pt idx="2">
                  <c:v>0.15763859429579002</c:v>
                </c:pt>
                <c:pt idx="3">
                  <c:v>0.1385740046437495</c:v>
                </c:pt>
                <c:pt idx="4">
                  <c:v>0.14347163158713561</c:v>
                </c:pt>
                <c:pt idx="5">
                  <c:v>0.12594528390843429</c:v>
                </c:pt>
                <c:pt idx="6">
                  <c:v>0.10505091443335529</c:v>
                </c:pt>
              </c:numCache>
            </c:numRef>
          </c:yVal>
          <c:smooth val="0"/>
          <c:extLst>
            <c:ext xmlns:c16="http://schemas.microsoft.com/office/drawing/2014/chart" uri="{C3380CC4-5D6E-409C-BE32-E72D297353CC}">
              <c16:uniqueId val="{00000001-0AC7-4C45-B7EF-D29A87E2528D}"/>
            </c:ext>
          </c:extLst>
        </c:ser>
        <c:ser>
          <c:idx val="2"/>
          <c:order val="2"/>
          <c:tx>
            <c:strRef>
              <c:f>'Cost per kWh saved'!$AB$41</c:f>
              <c:strCache>
                <c:ptCount val="1"/>
                <c:pt idx="0">
                  <c:v>Penelec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strRef>
              <c:f>'Cost per kWh saved'!$AC$38:$AI$38</c:f>
              <c:strCache>
                <c:ptCount val="7"/>
                <c:pt idx="0">
                  <c:v>PY1</c:v>
                </c:pt>
                <c:pt idx="1">
                  <c:v>PY2</c:v>
                </c:pt>
                <c:pt idx="2">
                  <c:v>PY3</c:v>
                </c:pt>
                <c:pt idx="3">
                  <c:v>PY4</c:v>
                </c:pt>
                <c:pt idx="4">
                  <c:v>PY5</c:v>
                </c:pt>
                <c:pt idx="5">
                  <c:v>PY6</c:v>
                </c:pt>
                <c:pt idx="6">
                  <c:v>PY7</c:v>
                </c:pt>
              </c:strCache>
            </c:strRef>
          </c:xVal>
          <c:yVal>
            <c:numRef>
              <c:f>'Cost per kWh saved'!$AC$41:$AI$41</c:f>
              <c:numCache>
                <c:formatCode>_("$"* #,##0.00_);_("$"* \(#,##0.00\);_("$"* "-"??_);_(@_)</c:formatCode>
                <c:ptCount val="7"/>
                <c:pt idx="0">
                  <c:v>0.23837440501765667</c:v>
                </c:pt>
                <c:pt idx="1">
                  <c:v>0.13561724808263742</c:v>
                </c:pt>
                <c:pt idx="2">
                  <c:v>0.15504349301050366</c:v>
                </c:pt>
                <c:pt idx="3">
                  <c:v>0.12107751137972254</c:v>
                </c:pt>
                <c:pt idx="4">
                  <c:v>0.16064455419041768</c:v>
                </c:pt>
                <c:pt idx="5">
                  <c:v>0.13954593953348593</c:v>
                </c:pt>
                <c:pt idx="6">
                  <c:v>0.10371357428068755</c:v>
                </c:pt>
              </c:numCache>
            </c:numRef>
          </c:yVal>
          <c:smooth val="0"/>
          <c:extLst>
            <c:ext xmlns:c16="http://schemas.microsoft.com/office/drawing/2014/chart" uri="{C3380CC4-5D6E-409C-BE32-E72D297353CC}">
              <c16:uniqueId val="{00000002-0AC7-4C45-B7EF-D29A87E2528D}"/>
            </c:ext>
          </c:extLst>
        </c:ser>
        <c:ser>
          <c:idx val="3"/>
          <c:order val="3"/>
          <c:tx>
            <c:strRef>
              <c:f>'Cost per kWh saved'!$AB$42</c:f>
              <c:strCache>
                <c:ptCount val="1"/>
                <c:pt idx="0">
                  <c:v>Penn Power</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strRef>
              <c:f>'Cost per kWh saved'!$AC$38:$AI$38</c:f>
              <c:strCache>
                <c:ptCount val="7"/>
                <c:pt idx="0">
                  <c:v>PY1</c:v>
                </c:pt>
                <c:pt idx="1">
                  <c:v>PY2</c:v>
                </c:pt>
                <c:pt idx="2">
                  <c:v>PY3</c:v>
                </c:pt>
                <c:pt idx="3">
                  <c:v>PY4</c:v>
                </c:pt>
                <c:pt idx="4">
                  <c:v>PY5</c:v>
                </c:pt>
                <c:pt idx="5">
                  <c:v>PY6</c:v>
                </c:pt>
                <c:pt idx="6">
                  <c:v>PY7</c:v>
                </c:pt>
              </c:strCache>
            </c:strRef>
          </c:xVal>
          <c:yVal>
            <c:numRef>
              <c:f>'Cost per kWh saved'!$AC$42:$AI$42</c:f>
              <c:numCache>
                <c:formatCode>_("$"* #,##0.00_);_("$"* \(#,##0.00\);_("$"* "-"??_);_(@_)</c:formatCode>
                <c:ptCount val="7"/>
                <c:pt idx="0">
                  <c:v>0.10157659255077939</c:v>
                </c:pt>
                <c:pt idx="1">
                  <c:v>0.11470522810068656</c:v>
                </c:pt>
                <c:pt idx="2">
                  <c:v>0.12380973810851181</c:v>
                </c:pt>
                <c:pt idx="3">
                  <c:v>0.10447774471171618</c:v>
                </c:pt>
                <c:pt idx="4">
                  <c:v>0.16655250634950913</c:v>
                </c:pt>
                <c:pt idx="5">
                  <c:v>0.13519903705614306</c:v>
                </c:pt>
                <c:pt idx="6">
                  <c:v>0.15766838184471238</c:v>
                </c:pt>
              </c:numCache>
            </c:numRef>
          </c:yVal>
          <c:smooth val="0"/>
          <c:extLst>
            <c:ext xmlns:c16="http://schemas.microsoft.com/office/drawing/2014/chart" uri="{C3380CC4-5D6E-409C-BE32-E72D297353CC}">
              <c16:uniqueId val="{00000003-0AC7-4C45-B7EF-D29A87E2528D}"/>
            </c:ext>
          </c:extLst>
        </c:ser>
        <c:ser>
          <c:idx val="4"/>
          <c:order val="4"/>
          <c:tx>
            <c:strRef>
              <c:f>'Cost per kWh saved'!$AB$43</c:f>
              <c:strCache>
                <c:ptCount val="1"/>
                <c:pt idx="0">
                  <c:v>West Penn</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strRef>
              <c:f>'Cost per kWh saved'!$AC$38:$AI$38</c:f>
              <c:strCache>
                <c:ptCount val="7"/>
                <c:pt idx="0">
                  <c:v>PY1</c:v>
                </c:pt>
                <c:pt idx="1">
                  <c:v>PY2</c:v>
                </c:pt>
                <c:pt idx="2">
                  <c:v>PY3</c:v>
                </c:pt>
                <c:pt idx="3">
                  <c:v>PY4</c:v>
                </c:pt>
                <c:pt idx="4">
                  <c:v>PY5</c:v>
                </c:pt>
                <c:pt idx="5">
                  <c:v>PY6</c:v>
                </c:pt>
                <c:pt idx="6">
                  <c:v>PY7</c:v>
                </c:pt>
              </c:strCache>
            </c:strRef>
          </c:xVal>
          <c:yVal>
            <c:numRef>
              <c:f>'Cost per kWh saved'!$AC$43:$AI$43</c:f>
              <c:numCache>
                <c:formatCode>_("$"* #,##0.00_);_("$"* \(#,##0.00\);_("$"* "-"??_);_(@_)</c:formatCode>
                <c:ptCount val="7"/>
                <c:pt idx="0">
                  <c:v>0.89850927403195302</c:v>
                </c:pt>
                <c:pt idx="1">
                  <c:v>0.16810625615284991</c:v>
                </c:pt>
                <c:pt idx="2">
                  <c:v>0.13356693279312473</c:v>
                </c:pt>
                <c:pt idx="3">
                  <c:v>0.10641715855459849</c:v>
                </c:pt>
                <c:pt idx="4">
                  <c:v>0.13543896898699198</c:v>
                </c:pt>
                <c:pt idx="5">
                  <c:v>0.11485212448512189</c:v>
                </c:pt>
                <c:pt idx="6">
                  <c:v>0.1091190657027986</c:v>
                </c:pt>
              </c:numCache>
            </c:numRef>
          </c:yVal>
          <c:smooth val="0"/>
          <c:extLst>
            <c:ext xmlns:c16="http://schemas.microsoft.com/office/drawing/2014/chart" uri="{C3380CC4-5D6E-409C-BE32-E72D297353CC}">
              <c16:uniqueId val="{00000004-0AC7-4C45-B7EF-D29A87E2528D}"/>
            </c:ext>
          </c:extLst>
        </c:ser>
        <c:ser>
          <c:idx val="5"/>
          <c:order val="5"/>
          <c:tx>
            <c:strRef>
              <c:f>'Cost per kWh saved'!$AB$44</c:f>
              <c:strCache>
                <c:ptCount val="1"/>
                <c:pt idx="0">
                  <c:v>PECO</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strRef>
              <c:f>'Cost per kWh saved'!$AC$38:$AI$38</c:f>
              <c:strCache>
                <c:ptCount val="7"/>
                <c:pt idx="0">
                  <c:v>PY1</c:v>
                </c:pt>
                <c:pt idx="1">
                  <c:v>PY2</c:v>
                </c:pt>
                <c:pt idx="2">
                  <c:v>PY3</c:v>
                </c:pt>
                <c:pt idx="3">
                  <c:v>PY4</c:v>
                </c:pt>
                <c:pt idx="4">
                  <c:v>PY5</c:v>
                </c:pt>
                <c:pt idx="5">
                  <c:v>PY6</c:v>
                </c:pt>
                <c:pt idx="6">
                  <c:v>PY7</c:v>
                </c:pt>
              </c:strCache>
            </c:strRef>
          </c:xVal>
          <c:yVal>
            <c:numRef>
              <c:f>'Cost per kWh saved'!$AC$44:$AI$44</c:f>
              <c:numCache>
                <c:formatCode>_("$"* #,##0.00_);_("$"* \(#,##0.00\);_("$"* "-"??_);_(@_)</c:formatCode>
                <c:ptCount val="7"/>
                <c:pt idx="0">
                  <c:v>7.5950382739889688E-2</c:v>
                </c:pt>
                <c:pt idx="1">
                  <c:v>0.12877823763639798</c:v>
                </c:pt>
                <c:pt idx="2">
                  <c:v>0.22315244305189577</c:v>
                </c:pt>
                <c:pt idx="3">
                  <c:v>0.24225734954789574</c:v>
                </c:pt>
                <c:pt idx="4">
                  <c:v>0.18929098684833642</c:v>
                </c:pt>
                <c:pt idx="5">
                  <c:v>0.33391436961675919</c:v>
                </c:pt>
                <c:pt idx="6">
                  <c:v>0.20636485049197797</c:v>
                </c:pt>
              </c:numCache>
            </c:numRef>
          </c:yVal>
          <c:smooth val="0"/>
          <c:extLst>
            <c:ext xmlns:c16="http://schemas.microsoft.com/office/drawing/2014/chart" uri="{C3380CC4-5D6E-409C-BE32-E72D297353CC}">
              <c16:uniqueId val="{00000005-0AC7-4C45-B7EF-D29A87E2528D}"/>
            </c:ext>
          </c:extLst>
        </c:ser>
        <c:ser>
          <c:idx val="6"/>
          <c:order val="6"/>
          <c:tx>
            <c:strRef>
              <c:f>'Cost per kWh saved'!$AB$45</c:f>
              <c:strCache>
                <c:ptCount val="1"/>
                <c:pt idx="0">
                  <c:v>PPL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strRef>
              <c:f>'Cost per kWh saved'!$AC$38:$AI$38</c:f>
              <c:strCache>
                <c:ptCount val="7"/>
                <c:pt idx="0">
                  <c:v>PY1</c:v>
                </c:pt>
                <c:pt idx="1">
                  <c:v>PY2</c:v>
                </c:pt>
                <c:pt idx="2">
                  <c:v>PY3</c:v>
                </c:pt>
                <c:pt idx="3">
                  <c:v>PY4</c:v>
                </c:pt>
                <c:pt idx="4">
                  <c:v>PY5</c:v>
                </c:pt>
                <c:pt idx="5">
                  <c:v>PY6</c:v>
                </c:pt>
                <c:pt idx="6">
                  <c:v>PY7</c:v>
                </c:pt>
              </c:strCache>
            </c:strRef>
          </c:xVal>
          <c:yVal>
            <c:numRef>
              <c:f>'Cost per kWh saved'!$AC$45:$AI$45</c:f>
              <c:numCache>
                <c:formatCode>_("$"* #,##0.00_);_("$"* \(#,##0.00\);_("$"* "-"??_);_(@_)</c:formatCode>
                <c:ptCount val="7"/>
                <c:pt idx="0">
                  <c:v>0.11932312958109803</c:v>
                </c:pt>
                <c:pt idx="1">
                  <c:v>0.10063317233694558</c:v>
                </c:pt>
                <c:pt idx="2">
                  <c:v>0.14795558515424501</c:v>
                </c:pt>
                <c:pt idx="3">
                  <c:v>7.0396003636186921E-2</c:v>
                </c:pt>
                <c:pt idx="4">
                  <c:v>0.18597978700161974</c:v>
                </c:pt>
                <c:pt idx="5">
                  <c:v>0.24150165552673211</c:v>
                </c:pt>
                <c:pt idx="6">
                  <c:v>0.23864145647996451</c:v>
                </c:pt>
              </c:numCache>
            </c:numRef>
          </c:yVal>
          <c:smooth val="0"/>
          <c:extLst>
            <c:ext xmlns:c16="http://schemas.microsoft.com/office/drawing/2014/chart" uri="{C3380CC4-5D6E-409C-BE32-E72D297353CC}">
              <c16:uniqueId val="{00000006-0AC7-4C45-B7EF-D29A87E2528D}"/>
            </c:ext>
          </c:extLst>
        </c:ser>
        <c:dLbls>
          <c:showLegendKey val="0"/>
          <c:showVal val="0"/>
          <c:showCatName val="0"/>
          <c:showSerName val="0"/>
          <c:showPercent val="0"/>
          <c:showBubbleSize val="0"/>
        </c:dLbls>
        <c:axId val="157588864"/>
        <c:axId val="157595136"/>
      </c:scatterChart>
      <c:valAx>
        <c:axId val="157588864"/>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95136"/>
        <c:crosses val="autoZero"/>
        <c:crossBetween val="midCat"/>
      </c:valAx>
      <c:valAx>
        <c:axId val="15759513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888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'Cost per kWh saved'!$AK$39</c:f>
              <c:strCache>
                <c:ptCount val="1"/>
                <c:pt idx="0">
                  <c:v>Duquesne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saved'!$AL$39:$AR$39</c:f>
              <c:numCache>
                <c:formatCode>_("$"* #,##0.00_);_("$"* \(#,##0.00\);_("$"* "-"??_);_(@_)</c:formatCode>
                <c:ptCount val="7"/>
                <c:pt idx="0" formatCode="_(&quot;$&quot;* #,##0_);_(&quot;$&quot;* \(#,##0\);_(&quot;$&quot;* &quot;-&quot;??_);_(@_)">
                  <c:v>0</c:v>
                </c:pt>
                <c:pt idx="1">
                  <c:v>0.11061773236750576</c:v>
                </c:pt>
                <c:pt idx="2">
                  <c:v>0.29171163362123442</c:v>
                </c:pt>
                <c:pt idx="3">
                  <c:v>0.10546151085692021</c:v>
                </c:pt>
                <c:pt idx="4">
                  <c:v>0.11135509095258091</c:v>
                </c:pt>
                <c:pt idx="5">
                  <c:v>0.18700646684288397</c:v>
                </c:pt>
                <c:pt idx="6">
                  <c:v>0.12565814641922071</c:v>
                </c:pt>
              </c:numCache>
            </c:numRef>
          </c:yVal>
          <c:smooth val="0"/>
          <c:extLst>
            <c:ext xmlns:c16="http://schemas.microsoft.com/office/drawing/2014/chart" uri="{C3380CC4-5D6E-409C-BE32-E72D297353CC}">
              <c16:uniqueId val="{00000000-3BBC-4048-9FE2-D87AAE886CA1}"/>
            </c:ext>
          </c:extLst>
        </c:ser>
        <c:ser>
          <c:idx val="1"/>
          <c:order val="1"/>
          <c:tx>
            <c:strRef>
              <c:f>'Cost per kWh saved'!$AK$40</c:f>
              <c:strCache>
                <c:ptCount val="1"/>
                <c:pt idx="0">
                  <c:v>Met 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saved'!$AL$40:$AR$40</c:f>
              <c:numCache>
                <c:formatCode>_("$"* #,##0.00_);_("$"* \(#,##0.00\);_("$"* "-"??_);_(@_)</c:formatCode>
                <c:ptCount val="7"/>
                <c:pt idx="0">
                  <c:v>0.17202379192593867</c:v>
                </c:pt>
                <c:pt idx="1">
                  <c:v>0.15253594165015388</c:v>
                </c:pt>
                <c:pt idx="2">
                  <c:v>8.8970043703303331E-2</c:v>
                </c:pt>
                <c:pt idx="3">
                  <c:v>9.4759907406681235E-2</c:v>
                </c:pt>
                <c:pt idx="4">
                  <c:v>0.12992795970145493</c:v>
                </c:pt>
                <c:pt idx="5">
                  <c:v>0.12749976213821412</c:v>
                </c:pt>
                <c:pt idx="6">
                  <c:v>0.11822782025191134</c:v>
                </c:pt>
              </c:numCache>
            </c:numRef>
          </c:yVal>
          <c:smooth val="0"/>
          <c:extLst>
            <c:ext xmlns:c16="http://schemas.microsoft.com/office/drawing/2014/chart" uri="{C3380CC4-5D6E-409C-BE32-E72D297353CC}">
              <c16:uniqueId val="{00000001-3BBC-4048-9FE2-D87AAE886CA1}"/>
            </c:ext>
          </c:extLst>
        </c:ser>
        <c:ser>
          <c:idx val="2"/>
          <c:order val="2"/>
          <c:tx>
            <c:strRef>
              <c:f>'Cost per kWh saved'!$AK$41</c:f>
              <c:strCache>
                <c:ptCount val="1"/>
                <c:pt idx="0">
                  <c:v>Penelec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saved'!$AL$41:$AR$41</c:f>
              <c:numCache>
                <c:formatCode>_("$"* #,##0.00_);_("$"* \(#,##0.00\);_("$"* "-"??_);_(@_)</c:formatCode>
                <c:ptCount val="7"/>
                <c:pt idx="0">
                  <c:v>0.33244037467288268</c:v>
                </c:pt>
                <c:pt idx="1">
                  <c:v>4.0443142582416096E-2</c:v>
                </c:pt>
                <c:pt idx="2">
                  <c:v>0.11433355424135572</c:v>
                </c:pt>
                <c:pt idx="3">
                  <c:v>0.13518168977116682</c:v>
                </c:pt>
                <c:pt idx="4">
                  <c:v>0.14314923532743692</c:v>
                </c:pt>
                <c:pt idx="5">
                  <c:v>0.10444104920813288</c:v>
                </c:pt>
                <c:pt idx="6">
                  <c:v>9.6028870117138523E-2</c:v>
                </c:pt>
              </c:numCache>
            </c:numRef>
          </c:yVal>
          <c:smooth val="0"/>
          <c:extLst>
            <c:ext xmlns:c16="http://schemas.microsoft.com/office/drawing/2014/chart" uri="{C3380CC4-5D6E-409C-BE32-E72D297353CC}">
              <c16:uniqueId val="{00000002-3BBC-4048-9FE2-D87AAE886CA1}"/>
            </c:ext>
          </c:extLst>
        </c:ser>
        <c:ser>
          <c:idx val="3"/>
          <c:order val="3"/>
          <c:tx>
            <c:strRef>
              <c:f>'Cost per kWh saved'!$AK$42</c:f>
              <c:strCache>
                <c:ptCount val="1"/>
                <c:pt idx="0">
                  <c:v>Penn Power</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saved'!$AL$42:$AR$42</c:f>
              <c:numCache>
                <c:formatCode>_("$"* #,##0.00_);_("$"* \(#,##0.00\);_("$"* "-"??_);_(@_)</c:formatCode>
                <c:ptCount val="7"/>
                <c:pt idx="0">
                  <c:v>0.46321672226638094</c:v>
                </c:pt>
                <c:pt idx="1">
                  <c:v>0.11295445163065916</c:v>
                </c:pt>
                <c:pt idx="2">
                  <c:v>5.7125831660037152E-2</c:v>
                </c:pt>
                <c:pt idx="3">
                  <c:v>0.11643396796461908</c:v>
                </c:pt>
                <c:pt idx="4">
                  <c:v>0.1690393741182506</c:v>
                </c:pt>
                <c:pt idx="5">
                  <c:v>6.5718790143641251E-2</c:v>
                </c:pt>
                <c:pt idx="6">
                  <c:v>0.13071528751753156</c:v>
                </c:pt>
              </c:numCache>
            </c:numRef>
          </c:yVal>
          <c:smooth val="0"/>
          <c:extLst>
            <c:ext xmlns:c16="http://schemas.microsoft.com/office/drawing/2014/chart" uri="{C3380CC4-5D6E-409C-BE32-E72D297353CC}">
              <c16:uniqueId val="{00000003-3BBC-4048-9FE2-D87AAE886CA1}"/>
            </c:ext>
          </c:extLst>
        </c:ser>
        <c:ser>
          <c:idx val="4"/>
          <c:order val="4"/>
          <c:tx>
            <c:strRef>
              <c:f>'Cost per kWh saved'!$AK$43</c:f>
              <c:strCache>
                <c:ptCount val="1"/>
                <c:pt idx="0">
                  <c:v>West Penn</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saved'!$AL$43:$AR$43</c:f>
              <c:numCache>
                <c:formatCode>_("$"* #,##0.00_);_("$"* \(#,##0.00\);_("$"* "-"??_);_(@_)</c:formatCode>
                <c:ptCount val="7"/>
                <c:pt idx="0">
                  <c:v>0.89758284985267811</c:v>
                </c:pt>
                <c:pt idx="1">
                  <c:v>0.11898437114198109</c:v>
                </c:pt>
                <c:pt idx="2">
                  <c:v>5.4057536070351395E-2</c:v>
                </c:pt>
                <c:pt idx="3">
                  <c:v>0.11320342937058966</c:v>
                </c:pt>
                <c:pt idx="4">
                  <c:v>0.17251155842064639</c:v>
                </c:pt>
                <c:pt idx="5">
                  <c:v>0.10067337478237764</c:v>
                </c:pt>
                <c:pt idx="6">
                  <c:v>0.10645821795255368</c:v>
                </c:pt>
              </c:numCache>
            </c:numRef>
          </c:yVal>
          <c:smooth val="0"/>
          <c:extLst>
            <c:ext xmlns:c16="http://schemas.microsoft.com/office/drawing/2014/chart" uri="{C3380CC4-5D6E-409C-BE32-E72D297353CC}">
              <c16:uniqueId val="{00000004-3BBC-4048-9FE2-D87AAE886CA1}"/>
            </c:ext>
          </c:extLst>
        </c:ser>
        <c:ser>
          <c:idx val="5"/>
          <c:order val="5"/>
          <c:tx>
            <c:strRef>
              <c:f>'Cost per kWh saved'!$AK$44</c:f>
              <c:strCache>
                <c:ptCount val="1"/>
                <c:pt idx="0">
                  <c:v>PECO</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saved'!$AL$44:$AR$44</c:f>
              <c:numCache>
                <c:formatCode>_("$"* #,##0.00_);_("$"* \(#,##0.00\);_("$"* "-"??_);_(@_)</c:formatCode>
                <c:ptCount val="7"/>
                <c:pt idx="0">
                  <c:v>0.16603215044744488</c:v>
                </c:pt>
                <c:pt idx="1">
                  <c:v>0.15755647877895063</c:v>
                </c:pt>
                <c:pt idx="2">
                  <c:v>0.16965006640208136</c:v>
                </c:pt>
                <c:pt idx="3">
                  <c:v>0.18448985403723597</c:v>
                </c:pt>
                <c:pt idx="4">
                  <c:v>0.19103132593586825</c:v>
                </c:pt>
                <c:pt idx="5">
                  <c:v>0.15656335780282987</c:v>
                </c:pt>
                <c:pt idx="6">
                  <c:v>0.14119855626677427</c:v>
                </c:pt>
              </c:numCache>
            </c:numRef>
          </c:yVal>
          <c:smooth val="0"/>
          <c:extLst>
            <c:ext xmlns:c16="http://schemas.microsoft.com/office/drawing/2014/chart" uri="{C3380CC4-5D6E-409C-BE32-E72D297353CC}">
              <c16:uniqueId val="{00000005-3BBC-4048-9FE2-D87AAE886CA1}"/>
            </c:ext>
          </c:extLst>
        </c:ser>
        <c:ser>
          <c:idx val="6"/>
          <c:order val="6"/>
          <c:tx>
            <c:strRef>
              <c:f>'Cost per kWh saved'!$AK$45</c:f>
              <c:strCache>
                <c:ptCount val="1"/>
                <c:pt idx="0">
                  <c:v>PPL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strRef>
              <c:f>'Cost per kWh saved'!$AL$38:$AR$38</c:f>
              <c:strCache>
                <c:ptCount val="7"/>
                <c:pt idx="0">
                  <c:v>PY1</c:v>
                </c:pt>
                <c:pt idx="1">
                  <c:v>PY2</c:v>
                </c:pt>
                <c:pt idx="2">
                  <c:v>PY3</c:v>
                </c:pt>
                <c:pt idx="3">
                  <c:v>PY4</c:v>
                </c:pt>
                <c:pt idx="4">
                  <c:v>PY5</c:v>
                </c:pt>
                <c:pt idx="5">
                  <c:v>PY6</c:v>
                </c:pt>
                <c:pt idx="6">
                  <c:v>PY7</c:v>
                </c:pt>
              </c:strCache>
            </c:strRef>
          </c:xVal>
          <c:yVal>
            <c:numRef>
              <c:f>'Cost per kWh saved'!$AL$45:$AR$45</c:f>
              <c:numCache>
                <c:formatCode>_("$"* #,##0.00_);_("$"* \(#,##0.00\);_("$"* "-"??_);_(@_)</c:formatCode>
                <c:ptCount val="7"/>
                <c:pt idx="0">
                  <c:v>8.596524154258825E-2</c:v>
                </c:pt>
                <c:pt idx="1">
                  <c:v>0.13093075838183843</c:v>
                </c:pt>
                <c:pt idx="2">
                  <c:v>0.16540280478496158</c:v>
                </c:pt>
                <c:pt idx="3">
                  <c:v>0.12841057097291866</c:v>
                </c:pt>
                <c:pt idx="4">
                  <c:v>0.19345082596777174</c:v>
                </c:pt>
                <c:pt idx="5">
                  <c:v>0.25533437883210924</c:v>
                </c:pt>
                <c:pt idx="6">
                  <c:v>0.17613828545874691</c:v>
                </c:pt>
              </c:numCache>
            </c:numRef>
          </c:yVal>
          <c:smooth val="0"/>
          <c:extLst>
            <c:ext xmlns:c16="http://schemas.microsoft.com/office/drawing/2014/chart" uri="{C3380CC4-5D6E-409C-BE32-E72D297353CC}">
              <c16:uniqueId val="{00000006-3BBC-4048-9FE2-D87AAE886CA1}"/>
            </c:ext>
          </c:extLst>
        </c:ser>
        <c:dLbls>
          <c:showLegendKey val="0"/>
          <c:showVal val="0"/>
          <c:showCatName val="0"/>
          <c:showSerName val="0"/>
          <c:showPercent val="0"/>
          <c:showBubbleSize val="0"/>
        </c:dLbls>
        <c:axId val="158630272"/>
        <c:axId val="158632192"/>
      </c:scatterChart>
      <c:valAx>
        <c:axId val="158630272"/>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32192"/>
        <c:crosses val="autoZero"/>
        <c:crossBetween val="midCat"/>
      </c:valAx>
      <c:valAx>
        <c:axId val="15863219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302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'Cost per kWh saved'!$A$39</c:f>
              <c:strCache>
                <c:ptCount val="1"/>
                <c:pt idx="0">
                  <c:v>Duquesne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'Cost per kWh saved'!$B$38:$H$38</c:f>
              <c:strCache>
                <c:ptCount val="7"/>
                <c:pt idx="0">
                  <c:v>PY1</c:v>
                </c:pt>
                <c:pt idx="1">
                  <c:v>PY2</c:v>
                </c:pt>
                <c:pt idx="2">
                  <c:v>PY3</c:v>
                </c:pt>
                <c:pt idx="3">
                  <c:v>PY4</c:v>
                </c:pt>
                <c:pt idx="4">
                  <c:v>PY5</c:v>
                </c:pt>
                <c:pt idx="5">
                  <c:v>PY6</c:v>
                </c:pt>
                <c:pt idx="6">
                  <c:v>PY7</c:v>
                </c:pt>
              </c:strCache>
            </c:strRef>
          </c:xVal>
          <c:yVal>
            <c:numRef>
              <c:f>'Cost per kWh saved'!$B$39:$H$39</c:f>
              <c:numCache>
                <c:formatCode>_("$"* #,##0.00_);_("$"* \(#,##0.00\);_("$"* "-"??_);_(@_)</c:formatCode>
                <c:ptCount val="7"/>
                <c:pt idx="0">
                  <c:v>0.40364910831497319</c:v>
                </c:pt>
                <c:pt idx="1">
                  <c:v>9.7693084629377563E-2</c:v>
                </c:pt>
                <c:pt idx="2">
                  <c:v>0.17000192762138661</c:v>
                </c:pt>
                <c:pt idx="3">
                  <c:v>0.11485928095731546</c:v>
                </c:pt>
                <c:pt idx="4">
                  <c:v>0.11901480287491921</c:v>
                </c:pt>
                <c:pt idx="5">
                  <c:v>0.19133824951644102</c:v>
                </c:pt>
                <c:pt idx="6" formatCode="_(&quot;$&quot;* #,##0.000_);_(&quot;$&quot;* \(#,##0.000\);_(&quot;$&quot;* &quot;-&quot;??_);_(@_)">
                  <c:v>0.11309503141365297</c:v>
                </c:pt>
              </c:numCache>
            </c:numRef>
          </c:yVal>
          <c:smooth val="0"/>
          <c:extLst>
            <c:ext xmlns:c16="http://schemas.microsoft.com/office/drawing/2014/chart" uri="{C3380CC4-5D6E-409C-BE32-E72D297353CC}">
              <c16:uniqueId val="{00000000-D94C-4AFC-AB33-4368BC599A53}"/>
            </c:ext>
          </c:extLst>
        </c:ser>
        <c:ser>
          <c:idx val="1"/>
          <c:order val="1"/>
          <c:tx>
            <c:strRef>
              <c:f>'Cost per kWh saved'!$A$40</c:f>
              <c:strCache>
                <c:ptCount val="1"/>
                <c:pt idx="0">
                  <c:v>Met 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'Cost per kWh saved'!$B$38:$H$38</c:f>
              <c:strCache>
                <c:ptCount val="7"/>
                <c:pt idx="0">
                  <c:v>PY1</c:v>
                </c:pt>
                <c:pt idx="1">
                  <c:v>PY2</c:v>
                </c:pt>
                <c:pt idx="2">
                  <c:v>PY3</c:v>
                </c:pt>
                <c:pt idx="3">
                  <c:v>PY4</c:v>
                </c:pt>
                <c:pt idx="4">
                  <c:v>PY5</c:v>
                </c:pt>
                <c:pt idx="5">
                  <c:v>PY6</c:v>
                </c:pt>
                <c:pt idx="6">
                  <c:v>PY7</c:v>
                </c:pt>
              </c:strCache>
            </c:strRef>
          </c:xVal>
          <c:yVal>
            <c:numRef>
              <c:f>'Cost per kWh saved'!$B$40:$H$40</c:f>
              <c:numCache>
                <c:formatCode>_("$"* #,##0.00_);_("$"* \(#,##0.00\);_("$"* "-"??_);_(@_)</c:formatCode>
                <c:ptCount val="7"/>
                <c:pt idx="0">
                  <c:v>0.20652437612166361</c:v>
                </c:pt>
                <c:pt idx="1">
                  <c:v>0.15551794515103493</c:v>
                </c:pt>
                <c:pt idx="2">
                  <c:v>0.13067374997911757</c:v>
                </c:pt>
                <c:pt idx="3">
                  <c:v>0.12010567450331333</c:v>
                </c:pt>
                <c:pt idx="4">
                  <c:v>0.14005788193874658</c:v>
                </c:pt>
                <c:pt idx="5">
                  <c:v>0.12641984909780227</c:v>
                </c:pt>
                <c:pt idx="6" formatCode="_(&quot;$&quot;* #,##0.000_);_(&quot;$&quot;* \(#,##0.000\);_(&quot;$&quot;* &quot;-&quot;??_);_(@_)">
                  <c:v>0.11064117746574184</c:v>
                </c:pt>
              </c:numCache>
            </c:numRef>
          </c:yVal>
          <c:smooth val="0"/>
          <c:extLst>
            <c:ext xmlns:c16="http://schemas.microsoft.com/office/drawing/2014/chart" uri="{C3380CC4-5D6E-409C-BE32-E72D297353CC}">
              <c16:uniqueId val="{00000001-D94C-4AFC-AB33-4368BC599A53}"/>
            </c:ext>
          </c:extLst>
        </c:ser>
        <c:ser>
          <c:idx val="2"/>
          <c:order val="2"/>
          <c:tx>
            <c:strRef>
              <c:f>'Cost per kWh saved'!$A$41</c:f>
              <c:strCache>
                <c:ptCount val="1"/>
                <c:pt idx="0">
                  <c:v>Penelec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strRef>
              <c:f>'Cost per kWh saved'!$B$38:$H$38</c:f>
              <c:strCache>
                <c:ptCount val="7"/>
                <c:pt idx="0">
                  <c:v>PY1</c:v>
                </c:pt>
                <c:pt idx="1">
                  <c:v>PY2</c:v>
                </c:pt>
                <c:pt idx="2">
                  <c:v>PY3</c:v>
                </c:pt>
                <c:pt idx="3">
                  <c:v>PY4</c:v>
                </c:pt>
                <c:pt idx="4">
                  <c:v>PY5</c:v>
                </c:pt>
                <c:pt idx="5">
                  <c:v>PY6</c:v>
                </c:pt>
                <c:pt idx="6">
                  <c:v>PY7</c:v>
                </c:pt>
              </c:strCache>
            </c:strRef>
          </c:xVal>
          <c:yVal>
            <c:numRef>
              <c:f>'Cost per kWh saved'!$B$41:$H$41</c:f>
              <c:numCache>
                <c:formatCode>_("$"* #,##0.00_);_("$"* \(#,##0.00\);_("$"* "-"??_);_(@_)</c:formatCode>
                <c:ptCount val="7"/>
                <c:pt idx="0">
                  <c:v>0.26099571887197626</c:v>
                </c:pt>
                <c:pt idx="1">
                  <c:v>8.6582658384848438E-2</c:v>
                </c:pt>
                <c:pt idx="2">
                  <c:v>0.13646632091380573</c:v>
                </c:pt>
                <c:pt idx="3">
                  <c:v>0.12624406109927624</c:v>
                </c:pt>
                <c:pt idx="4">
                  <c:v>0.15633961178757266</c:v>
                </c:pt>
                <c:pt idx="5">
                  <c:v>0.12480033439324049</c:v>
                </c:pt>
                <c:pt idx="6" formatCode="_(&quot;$&quot;* #,##0.000_);_(&quot;$&quot;* \(#,##0.000\);_(&quot;$&quot;* &quot;-&quot;??_);_(@_)">
                  <c:v>0.1002871081156705</c:v>
                </c:pt>
              </c:numCache>
            </c:numRef>
          </c:yVal>
          <c:smooth val="0"/>
          <c:extLst>
            <c:ext xmlns:c16="http://schemas.microsoft.com/office/drawing/2014/chart" uri="{C3380CC4-5D6E-409C-BE32-E72D297353CC}">
              <c16:uniqueId val="{00000002-D94C-4AFC-AB33-4368BC599A53}"/>
            </c:ext>
          </c:extLst>
        </c:ser>
        <c:ser>
          <c:idx val="3"/>
          <c:order val="3"/>
          <c:tx>
            <c:strRef>
              <c:f>'Cost per kWh saved'!$A$42</c:f>
              <c:strCache>
                <c:ptCount val="1"/>
                <c:pt idx="0">
                  <c:v>Penn Power</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strRef>
              <c:f>'Cost per kWh saved'!$B$38:$H$38</c:f>
              <c:strCache>
                <c:ptCount val="7"/>
                <c:pt idx="0">
                  <c:v>PY1</c:v>
                </c:pt>
                <c:pt idx="1">
                  <c:v>PY2</c:v>
                </c:pt>
                <c:pt idx="2">
                  <c:v>PY3</c:v>
                </c:pt>
                <c:pt idx="3">
                  <c:v>PY4</c:v>
                </c:pt>
                <c:pt idx="4">
                  <c:v>PY5</c:v>
                </c:pt>
                <c:pt idx="5">
                  <c:v>PY6</c:v>
                </c:pt>
                <c:pt idx="6">
                  <c:v>PY7</c:v>
                </c:pt>
              </c:strCache>
            </c:strRef>
          </c:xVal>
          <c:yVal>
            <c:numRef>
              <c:f>'Cost per kWh saved'!$B$42:$H$42</c:f>
              <c:numCache>
                <c:formatCode>_("$"* #,##0.00_);_("$"* \(#,##0.00\);_("$"* "-"??_);_(@_)</c:formatCode>
                <c:ptCount val="7"/>
                <c:pt idx="0">
                  <c:v>0.1400715492793945</c:v>
                </c:pt>
                <c:pt idx="1">
                  <c:v>0.11379858406509617</c:v>
                </c:pt>
                <c:pt idx="2">
                  <c:v>9.7933513027852651E-2</c:v>
                </c:pt>
                <c:pt idx="3">
                  <c:v>0.10913451583960246</c:v>
                </c:pt>
                <c:pt idx="4">
                  <c:v>0.16706183411396611</c:v>
                </c:pt>
                <c:pt idx="5">
                  <c:v>9.3820634975831971E-2</c:v>
                </c:pt>
                <c:pt idx="6" formatCode="_(&quot;$&quot;* #,##0.000_);_(&quot;$&quot;* \(#,##0.000\);_(&quot;$&quot;* &quot;-&quot;??_);_(@_)">
                  <c:v>0.14357978079982406</c:v>
                </c:pt>
              </c:numCache>
            </c:numRef>
          </c:yVal>
          <c:smooth val="0"/>
          <c:extLst>
            <c:ext xmlns:c16="http://schemas.microsoft.com/office/drawing/2014/chart" uri="{C3380CC4-5D6E-409C-BE32-E72D297353CC}">
              <c16:uniqueId val="{00000003-D94C-4AFC-AB33-4368BC599A53}"/>
            </c:ext>
          </c:extLst>
        </c:ser>
        <c:ser>
          <c:idx val="4"/>
          <c:order val="4"/>
          <c:tx>
            <c:strRef>
              <c:f>'Cost per kWh saved'!$A$43</c:f>
              <c:strCache>
                <c:ptCount val="1"/>
                <c:pt idx="0">
                  <c:v>West Penn</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strRef>
              <c:f>'Cost per kWh saved'!$B$38:$H$38</c:f>
              <c:strCache>
                <c:ptCount val="7"/>
                <c:pt idx="0">
                  <c:v>PY1</c:v>
                </c:pt>
                <c:pt idx="1">
                  <c:v>PY2</c:v>
                </c:pt>
                <c:pt idx="2">
                  <c:v>PY3</c:v>
                </c:pt>
                <c:pt idx="3">
                  <c:v>PY4</c:v>
                </c:pt>
                <c:pt idx="4">
                  <c:v>PY5</c:v>
                </c:pt>
                <c:pt idx="5">
                  <c:v>PY6</c:v>
                </c:pt>
                <c:pt idx="6">
                  <c:v>PY7</c:v>
                </c:pt>
              </c:strCache>
            </c:strRef>
          </c:xVal>
          <c:yVal>
            <c:numRef>
              <c:f>'Cost per kWh saved'!$B$43:$H$43</c:f>
              <c:numCache>
                <c:formatCode>_("$"* #,##0.00_);_("$"* \(#,##0.00\);_("$"* "-"??_);_(@_)</c:formatCode>
                <c:ptCount val="7"/>
                <c:pt idx="0">
                  <c:v>0.89804705704055965</c:v>
                </c:pt>
                <c:pt idx="1">
                  <c:v>0.15311145338121662</c:v>
                </c:pt>
                <c:pt idx="2">
                  <c:v>9.2317990078964018E-2</c:v>
                </c:pt>
                <c:pt idx="3">
                  <c:v>0.11047899898281843</c:v>
                </c:pt>
                <c:pt idx="4">
                  <c:v>0.14447476962234931</c:v>
                </c:pt>
                <c:pt idx="5">
                  <c:v>0.1084463251325584</c:v>
                </c:pt>
                <c:pt idx="6" formatCode="_(&quot;$&quot;* #,##0.000_);_(&quot;$&quot;* \(#,##0.000\);_(&quot;$&quot;* &quot;-&quot;??_);_(@_)">
                  <c:v>0.10791761148904006</c:v>
                </c:pt>
              </c:numCache>
            </c:numRef>
          </c:yVal>
          <c:smooth val="0"/>
          <c:extLst>
            <c:ext xmlns:c16="http://schemas.microsoft.com/office/drawing/2014/chart" uri="{C3380CC4-5D6E-409C-BE32-E72D297353CC}">
              <c16:uniqueId val="{00000004-D94C-4AFC-AB33-4368BC599A53}"/>
            </c:ext>
          </c:extLst>
        </c:ser>
        <c:ser>
          <c:idx val="5"/>
          <c:order val="5"/>
          <c:tx>
            <c:strRef>
              <c:f>'Cost per kWh saved'!$A$44</c:f>
              <c:strCache>
                <c:ptCount val="1"/>
                <c:pt idx="0">
                  <c:v>PECO</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strRef>
              <c:f>'Cost per kWh saved'!$B$38:$H$38</c:f>
              <c:strCache>
                <c:ptCount val="7"/>
                <c:pt idx="0">
                  <c:v>PY1</c:v>
                </c:pt>
                <c:pt idx="1">
                  <c:v>PY2</c:v>
                </c:pt>
                <c:pt idx="2">
                  <c:v>PY3</c:v>
                </c:pt>
                <c:pt idx="3">
                  <c:v>PY4</c:v>
                </c:pt>
                <c:pt idx="4">
                  <c:v>PY5</c:v>
                </c:pt>
                <c:pt idx="5">
                  <c:v>PY6</c:v>
                </c:pt>
                <c:pt idx="6">
                  <c:v>PY7</c:v>
                </c:pt>
              </c:strCache>
            </c:strRef>
          </c:xVal>
          <c:yVal>
            <c:numRef>
              <c:f>'Cost per kWh saved'!$B$44:$H$44</c:f>
              <c:numCache>
                <c:formatCode>_("$"* #,##0.00_);_("$"* \(#,##0.00\);_("$"* "-"??_);_(@_)</c:formatCode>
                <c:ptCount val="7"/>
                <c:pt idx="0">
                  <c:v>8.4888007473468377E-2</c:v>
                </c:pt>
                <c:pt idx="1">
                  <c:v>0.13701481394590806</c:v>
                </c:pt>
                <c:pt idx="2">
                  <c:v>0.19342902284505606</c:v>
                </c:pt>
                <c:pt idx="3">
                  <c:v>0.20018376544087629</c:v>
                </c:pt>
                <c:pt idx="4">
                  <c:v>0.19027307811899841</c:v>
                </c:pt>
                <c:pt idx="5">
                  <c:v>0.23387088909621068</c:v>
                </c:pt>
                <c:pt idx="6" formatCode="_(&quot;$&quot;* #,##0.000_);_(&quot;$&quot;* \(#,##0.000\);_(&quot;$&quot;* &quot;-&quot;??_);_(@_)">
                  <c:v>0.17253265190232822</c:v>
                </c:pt>
              </c:numCache>
            </c:numRef>
          </c:yVal>
          <c:smooth val="0"/>
          <c:extLst>
            <c:ext xmlns:c16="http://schemas.microsoft.com/office/drawing/2014/chart" uri="{C3380CC4-5D6E-409C-BE32-E72D297353CC}">
              <c16:uniqueId val="{00000005-D94C-4AFC-AB33-4368BC599A53}"/>
            </c:ext>
          </c:extLst>
        </c:ser>
        <c:ser>
          <c:idx val="6"/>
          <c:order val="6"/>
          <c:tx>
            <c:strRef>
              <c:f>'Cost per kWh saved'!$A$45</c:f>
              <c:strCache>
                <c:ptCount val="1"/>
                <c:pt idx="0">
                  <c:v>PPL</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strRef>
              <c:f>'Cost per kWh saved'!$B$38:$H$38</c:f>
              <c:strCache>
                <c:ptCount val="7"/>
                <c:pt idx="0">
                  <c:v>PY1</c:v>
                </c:pt>
                <c:pt idx="1">
                  <c:v>PY2</c:v>
                </c:pt>
                <c:pt idx="2">
                  <c:v>PY3</c:v>
                </c:pt>
                <c:pt idx="3">
                  <c:v>PY4</c:v>
                </c:pt>
                <c:pt idx="4">
                  <c:v>PY5</c:v>
                </c:pt>
                <c:pt idx="5">
                  <c:v>PY6</c:v>
                </c:pt>
                <c:pt idx="6">
                  <c:v>PY7</c:v>
                </c:pt>
              </c:strCache>
            </c:strRef>
          </c:xVal>
          <c:yVal>
            <c:numRef>
              <c:f>'Cost per kWh saved'!$B$45:$H$45</c:f>
              <c:numCache>
                <c:formatCode>_("$"* #,##0.00_);_("$"* \(#,##0.00\);_("$"* "-"??_);_(@_)</c:formatCode>
                <c:ptCount val="7"/>
                <c:pt idx="0">
                  <c:v>0.10738225838347598</c:v>
                </c:pt>
                <c:pt idx="1">
                  <c:v>0.11478677861573805</c:v>
                </c:pt>
                <c:pt idx="2">
                  <c:v>0.15804753058283152</c:v>
                </c:pt>
                <c:pt idx="3">
                  <c:v>0.10263393133409929</c:v>
                </c:pt>
                <c:pt idx="4">
                  <c:v>0.18912448016634678</c:v>
                </c:pt>
                <c:pt idx="5">
                  <c:v>0.24847718071402283</c:v>
                </c:pt>
                <c:pt idx="6" formatCode="_(&quot;$&quot;* #,##0.000_);_(&quot;$&quot;* \(#,##0.000\);_(&quot;$&quot;* &quot;-&quot;??_);_(@_)">
                  <c:v>0.20612085000127398</c:v>
                </c:pt>
              </c:numCache>
            </c:numRef>
          </c:yVal>
          <c:smooth val="0"/>
          <c:extLst>
            <c:ext xmlns:c16="http://schemas.microsoft.com/office/drawing/2014/chart" uri="{C3380CC4-5D6E-409C-BE32-E72D297353CC}">
              <c16:uniqueId val="{00000006-D94C-4AFC-AB33-4368BC599A53}"/>
            </c:ext>
          </c:extLst>
        </c:ser>
        <c:dLbls>
          <c:showLegendKey val="0"/>
          <c:showVal val="0"/>
          <c:showCatName val="0"/>
          <c:showSerName val="0"/>
          <c:showPercent val="0"/>
          <c:showBubbleSize val="0"/>
        </c:dLbls>
        <c:axId val="158405760"/>
        <c:axId val="158407680"/>
      </c:scatterChart>
      <c:valAx>
        <c:axId val="158405760"/>
        <c:scaling>
          <c:orientation val="minMax"/>
        </c:scaling>
        <c:delete val="0"/>
        <c:axPos val="b"/>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07680"/>
        <c:crosses val="autoZero"/>
        <c:crossBetween val="midCat"/>
      </c:valAx>
      <c:valAx>
        <c:axId val="15840768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057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'Cost per kWh saved'!$B$66:$H$66</c:f>
              <c:strCache>
                <c:ptCount val="7"/>
                <c:pt idx="0">
                  <c:v>PY1</c:v>
                </c:pt>
                <c:pt idx="1">
                  <c:v>PY2</c:v>
                </c:pt>
                <c:pt idx="2">
                  <c:v>PY3</c:v>
                </c:pt>
                <c:pt idx="3">
                  <c:v>PY4</c:v>
                </c:pt>
                <c:pt idx="4">
                  <c:v>PY5</c:v>
                </c:pt>
                <c:pt idx="5">
                  <c:v>PY6</c:v>
                </c:pt>
                <c:pt idx="6">
                  <c:v>PY7</c:v>
                </c:pt>
              </c:strCache>
            </c:strRef>
          </c:xVal>
          <c:yVal>
            <c:numRef>
              <c:f>'Cost per kWh saved'!$B$69:$H$69</c:f>
              <c:numCache>
                <c:formatCode>_("$"* #,##0.00_);_("$"* \(#,##0.00\);_("$"* "-"??_);_(@_)</c:formatCode>
                <c:ptCount val="7"/>
                <c:pt idx="0">
                  <c:v>0.12591699157597885</c:v>
                </c:pt>
                <c:pt idx="1">
                  <c:v>0.12245392641137742</c:v>
                </c:pt>
                <c:pt idx="2">
                  <c:v>0.14420565437673952</c:v>
                </c:pt>
                <c:pt idx="3">
                  <c:v>0.12118022989885195</c:v>
                </c:pt>
                <c:pt idx="4">
                  <c:v>0.16391426625461161</c:v>
                </c:pt>
                <c:pt idx="5">
                  <c:v>0.18178550539885233</c:v>
                </c:pt>
                <c:pt idx="6">
                  <c:v>0.15166068971837435</c:v>
                </c:pt>
              </c:numCache>
            </c:numRef>
          </c:yVal>
          <c:smooth val="0"/>
          <c:extLst>
            <c:ext xmlns:c16="http://schemas.microsoft.com/office/drawing/2014/chart" uri="{C3380CC4-5D6E-409C-BE32-E72D297353CC}">
              <c16:uniqueId val="{00000000-EC21-459A-823E-5844DB69876F}"/>
            </c:ext>
          </c:extLst>
        </c:ser>
        <c:dLbls>
          <c:showLegendKey val="0"/>
          <c:showVal val="0"/>
          <c:showCatName val="0"/>
          <c:showSerName val="0"/>
          <c:showPercent val="0"/>
          <c:showBubbleSize val="0"/>
        </c:dLbls>
        <c:axId val="158435968"/>
        <c:axId val="158438144"/>
      </c:scatterChart>
      <c:valAx>
        <c:axId val="158435968"/>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38144"/>
        <c:crosses val="autoZero"/>
        <c:crossBetween val="midCat"/>
      </c:valAx>
      <c:valAx>
        <c:axId val="15843814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359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E29E77B9252E479D6555829308CE44" ma:contentTypeVersion="1" ma:contentTypeDescription="Create a new document." ma:contentTypeScope="" ma:versionID="a17e202491c4f1ae843e2b52e00fda77">
  <xsd:schema xmlns:xsd="http://www.w3.org/2001/XMLSchema" xmlns:xs="http://www.w3.org/2001/XMLSchema" xmlns:p="http://schemas.microsoft.com/office/2006/metadata/properties" xmlns:ns3="e79cddb6-1a21-4398-93ba-37305383a5d2" targetNamespace="http://schemas.microsoft.com/office/2006/metadata/properties" ma:root="true" ma:fieldsID="3a6897c49a6edb849a42d30ae191f7fe" ns3:_="">
    <xsd:import namespace="e79cddb6-1a21-4398-93ba-37305383a5d2"/>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9cddb6-1a21-4398-93ba-37305383a5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mso-contentType ?>
<SharedContentType xmlns="Microsoft.SharePoint.Taxonomy.ContentTypeSync" SourceId="3d0ec70f-4850-419e-ba88-1a2e9ef4e89e" ContentTypeId="0x010100B80CB6684E0D2F408D230F308CBB847F0301" PreviousValue="false"/>
</file>

<file path=customXml/item1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jectTOWAName xmlns="dc75c247-7f53-4913-864a-4160aff1c458" xsi:nil="true"/>
    <ContractName xmlns="dc75c247-7f53-4913-864a-4160aff1c458" xsi:nil="true"/>
    <Subprogram xmlns="2c23877a-4614-45c3-aa1c-959b7d1f31e5" xsi:nil="true"/>
    <ProjectTask xmlns="dc75c247-7f53-4913-864a-4160aff1c458" xsi:nil="true"/>
    <a6d0b0f5ac9d4fa8b2e660c59fbea416 xmlns="dc75c247-7f53-4913-864a-4160aff1c458">
      <Terms xmlns="http://schemas.microsoft.com/office/infopath/2007/PartnerControls">
        <TermInfo xmlns="http://schemas.microsoft.com/office/infopath/2007/PartnerControls">
          <TermName xmlns="http://schemas.microsoft.com/office/infopath/2007/PartnerControls">Energy Services Division</TermName>
          <TermId xmlns="http://schemas.microsoft.com/office/infopath/2007/PartnerControls">ac451375-62f5-4129-b29d-db3d87339092</TermId>
        </TermInfo>
      </Terms>
    </a6d0b0f5ac9d4fa8b2e660c59fbea416>
    <ProjectName xmlns="dc75c247-7f53-4913-864a-4160aff1c458" xsi:nil="true"/>
    <PhaseName xmlns="dc75c247-7f53-4913-864a-4160aff1c458" xsi:nil="true"/>
    <DocumentSetDescription xmlns="http://schemas.microsoft.com/sharepoint/v3" xsi:nil="true"/>
    <b5df6f1f3e23409d9f5e1fce19348e51 xmlns="dc75c247-7f53-4913-864a-4160aff1c458">
      <Terms xmlns="http://schemas.microsoft.com/office/infopath/2007/PartnerControls"/>
    </b5df6f1f3e23409d9f5e1fce19348e51>
    <if0a8aeaad58489cbaf27eea2233913d xmlns="dc75c247-7f53-4913-864a-4160aff1c458">
      <Terms xmlns="http://schemas.microsoft.com/office/infopath/2007/PartnerControls"/>
    </if0a8aeaad58489cbaf27eea2233913d>
    <Sent_x0020_to_x0020_PPL xmlns="2c23877a-4614-45c3-aa1c-959b7d1f31e5" xsi:nil="true"/>
    <ProjectOwner_PrincipalInvestigator xmlns="dc75c247-7f53-4913-864a-4160aff1c458">
      <UserInfo>
        <DisplayName/>
        <AccountId xsi:nil="true"/>
        <AccountType/>
      </UserInfo>
    </ProjectOwner_PrincipalInvestigator>
    <Sent_x0020_to_x0020_SWE xmlns="2c23877a-4614-45c3-aa1c-959b7d1f31e5" xsi:nil="true"/>
    <TaxCatchAll xmlns="dc75c247-7f53-4913-864a-4160aff1c458">
      <Value>8</Value>
    </TaxCatchAll>
    <Progam_x0020_Quarter xmlns="2c23877a-4614-45c3-aa1c-959b7d1f31e5" xsi:nil="true"/>
    <od8879f902fd47c7bc2aee162c9e5240 xmlns="dc75c247-7f53-4913-864a-4160aff1c458">
      <Terms xmlns="http://schemas.microsoft.com/office/infopath/2007/PartnerControls"/>
    </od8879f902fd47c7bc2aee162c9e5240>
    <TaxKeywordTaxHTField xmlns="dc75c247-7f53-4913-864a-4160aff1c458">
      <Terms xmlns="http://schemas.microsoft.com/office/infopath/2007/PartnerControls"/>
    </TaxKeywordTaxHTField>
    <ContractCostPointNumber xmlns="dc75c247-7f53-4913-864a-4160aff1c458" xsi:nil="true"/>
    <f579045f93c34d4baadb74be2d3a98b1 xmlns="dc75c247-7f53-4913-864a-4160aff1c458">
      <Terms xmlns="http://schemas.microsoft.com/office/infopath/2007/PartnerControls"/>
    </f579045f93c34d4baadb74be2d3a98b1>
    <Managers xmlns="dc75c247-7f53-4913-864a-4160aff1c458">
      <UserInfo>
        <DisplayName/>
        <AccountId xsi:nil="true"/>
        <AccountType/>
      </UserInfo>
    </Managers>
    <Program_x0020_Year xmlns="2c23877a-4614-45c3-aa1c-959b7d1f31e5" xsi:nil="true"/>
    <WorkLead xmlns="dc75c247-7f53-4913-864a-4160aff1c458">
      <UserInfo>
        <DisplayName/>
        <AccountId xsi:nil="true"/>
        <AccountType/>
      </UserInfo>
    </WorkLead>
    <RetentionExemption xmlns="dc75c247-7f53-4913-864a-4160aff1c458" xsi:nil="true"/>
    <m5f81a6254e44a55996bb6356c849e0c xmlns="dc75c247-7f53-4913-864a-4160aff1c458">
      <Terms xmlns="http://schemas.microsoft.com/office/infopath/2007/PartnerControls"/>
    </m5f81a6254e44a55996bb6356c849e0c>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862737f445746b494e2139aeb29e646 xmlns="dc75c247-7f53-4913-864a-4160aff1c458">
      <Terms xmlns="http://schemas.microsoft.com/office/infopath/2007/PartnerControls"/>
    </o862737f445746b494e2139aeb29e646>
    <Program_x0020_Name xmlns="2c23877a-4614-45c3-aa1c-959b7d1f31e5" xsi:nil="true"/>
    <Project_x0020_Period_x0020_of_x0020_Performance_x0020_Start_x0020_Date xmlns="dc75c247-7f53-4913-864a-4160aff1c458" xsi:nil="true"/>
    <g50616bc87614647a90e999144457760 xmlns="dc75c247-7f53-4913-864a-4160aff1c458">
      <Terms xmlns="http://schemas.microsoft.com/office/infopath/2007/PartnerControls"/>
    </g50616bc87614647a90e999144457760>
    <j996553e0ae54d4984db0606efb6351c xmlns="dc75c247-7f53-4913-864a-4160aff1c458">
      <Terms xmlns="http://schemas.microsoft.com/office/infopath/2007/PartnerControls"/>
    </j996553e0ae54d4984db0606efb6351c>
    <ContractNumber xmlns="dc75c247-7f53-4913-864a-4160aff1c458" xsi:nil="true"/>
    <Document_x0020_Type xmlns="2c23877a-4614-45c3-aa1c-959b7d1f31e5" xsi:nil="true"/>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Subprogram xmlns="2c23877a-4614-45c3-aa1c-959b7d1f31e5">N/A</Subprogram>
    <Progam_x0020_Quarter xmlns="2c23877a-4614-45c3-aa1c-959b7d1f31e5">N/A</Progam_x0020_Quarter>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 xsi:nil="tru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DocumentSetDescription xmlns="http://schemas.microsoft.com/sharepoint/v3" xsi:nil="true"/>
    <Sent_x0020_to_x0020_PPL xmlns="2c23877a-4614-45c3-aa1c-959b7d1f31e5">N/A</Sent_x0020_to_x0020_PPL>
    <Program_x0020_Year xmlns="2c23877a-4614-45c3-aa1c-959b7d1f31e5">N/A</Program_x0020_Year>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Value>8</Value>
    </TaxCatchAll>
    <Program_x0020_Name xmlns="2c23877a-4614-45c3-aa1c-959b7d1f31e5">N/A</Program_x0020_Name>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PPL</ContractName>
    <ContractNumber xmlns="dc75c247-7f53-4913-864a-4160aff1c458" xsi:nil="true"/>
    <a6d0b0f5ac9d4fa8b2e660c59fbea416 xmlns="dc75c247-7f53-4913-864a-4160aff1c458">
      <Terms xmlns="http://schemas.microsoft.com/office/infopath/2007/PartnerControls">
        <TermInfo xmlns="http://schemas.microsoft.com/office/infopath/2007/PartnerControls">
          <TermName xmlns="http://schemas.microsoft.com/office/infopath/2007/PartnerControls">Energy Services Division</TermName>
          <TermId xmlns="http://schemas.microsoft.com/office/infopath/2007/PartnerControls">ac451375-62f5-4129-b29d-db3d87339092</TermId>
        </TermInfo>
      </Terms>
    </a6d0b0f5ac9d4fa8b2e660c59fbea416>
    <ProjectOwner_PrincipalInvestigator xmlns="dc75c247-7f53-4913-864a-4160aff1c458">
      <UserInfo>
        <DisplayName/>
        <AccountId xsi:nil="true"/>
        <AccountType/>
      </UserInfo>
    </ProjectOwner_PrincipalInvestigator>
    <ContractCostPointNumber xmlns="dc75c247-7f53-4913-864a-4160aff1c458">6501</ContractCostPointNumber>
    <f579045f93c34d4baadb74be2d3a98b1 xmlns="dc75c247-7f53-4913-864a-4160aff1c458">
      <Terms xmlns="http://schemas.microsoft.com/office/infopath/2007/PartnerControls"/>
    </f579045f93c34d4baadb74be2d3a98b1>
    <ProjectName xmlns="dc75c247-7f53-4913-864a-4160aff1c458">PPL</ProjectName>
  </documentManagement>
</p:properties>
</file>

<file path=customXml/item5.xml><?xml version="1.0" encoding="utf-8"?>
<ct:contentTypeSchema xmlns:ct="http://schemas.microsoft.com/office/2006/metadata/contentType" xmlns:ma="http://schemas.microsoft.com/office/2006/metadata/properties/metaAttributes" ct:_="" ma:_="" ma:contentTypeName="Management Document" ma:contentTypeID="0x010100B80CB6684E0D2F408D230F308CBB847F030100EDBA48905719544C8C0376F1E319619D" ma:contentTypeVersion="47" ma:contentTypeDescription="" ma:contentTypeScope="" ma:versionID="22bf0d598f49adc434e2df21f222411f">
  <xsd:schema xmlns:xsd="http://www.w3.org/2001/XMLSchema" xmlns:xs="http://www.w3.org/2001/XMLSchema" xmlns:p="http://schemas.microsoft.com/office/2006/metadata/properties" xmlns:ns1="http://schemas.microsoft.com/sharepoint/v3" xmlns:ns2="dc75c247-7f53-4913-864a-4160aff1c458" xmlns:ns3="2c23877a-4614-45c3-aa1c-959b7d1f31e5" targetNamespace="http://schemas.microsoft.com/office/2006/metadata/properties" ma:root="true" ma:fieldsID="03afb983f62c23a484fafb9d965ecf9f" ns1:_="" ns2:_="" ns3:_="">
    <xsd:import namespace="http://schemas.microsoft.com/sharepoint/v3"/>
    <xsd:import namespace="dc75c247-7f53-4913-864a-4160aff1c458"/>
    <xsd:import namespace="2c23877a-4614-45c3-aa1c-959b7d1f31e5"/>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WorkLead" minOccurs="0"/>
                <xsd:element ref="ns2:RetentionExemption" minOccurs="0"/>
                <xsd:element ref="ns1:DocumentSetDescription" minOccurs="0"/>
                <xsd:element ref="ns3:Program_x0020_Name" minOccurs="0"/>
                <xsd:element ref="ns3:Subprogram" minOccurs="0"/>
                <xsd:element ref="ns3:Program_x0020_Year" minOccurs="0"/>
                <xsd:element ref="ns3:Progam_x0020_Quarter" minOccurs="0"/>
                <xsd:element ref="ns3:Document_x0020_Type" minOccurs="0"/>
                <xsd:element ref="ns3:Sent_x0020_to_x0020_PPL" minOccurs="0"/>
                <xsd:element ref="ns3:Sent_x0020_to_x0020_SWE"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element ref="ns2:a6be725d576043378de6f214f0e78ee4" minOccurs="0"/>
                <xsd:element ref="ns2:od8879f902fd47c7bc2aee162c9e5240" minOccurs="0"/>
                <xsd:element ref="ns2:j996553e0ae54d4984db0606efb6351c" minOccurs="0"/>
                <xsd:element ref="ns2:if0a8aeaad58489cbaf27eea2233913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5"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internalName="PhaseName">
      <xsd:simpleType>
        <xsd:restriction base="dms:Text">
          <xsd:maxLength value="255"/>
        </xsd:restriction>
      </xsd:simpleType>
    </xsd:element>
    <xsd:element name="ProjectName" ma:index="2" nillable="true" ma:displayName="Project Name" ma:default="PPL"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internalName="ProjectTOWAName">
      <xsd:simpleType>
        <xsd:restriction base="dms:Text">
          <xsd:maxLength value="255"/>
        </xsd:restriction>
      </xsd:simpleType>
    </xsd:element>
    <xsd:element name="ContractName" ma:index="12" nillable="true" ma:displayName="Contract Name" ma:default="PPL"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6501" ma:internalName="ContractCostPointNumber">
      <xsd:simpleType>
        <xsd:restriction base="dms:Text">
          <xsd:maxLength value="255"/>
        </xsd:restriction>
      </xsd:simpleType>
    </xsd:element>
    <xsd:element name="ProjectTask" ma:index="18" nillable="true" ma:displayName="Project Task" ma:default="Not in Use" ma:format="Dropdown"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WorkLead" ma:index="20"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1" nillable="true" ma:displayName="Retention Exemption" ma:default="false" ma:description="Does this item is exempt to retention policies?" ma:format="Dropdown" ma:internalName="RetentionExemption" ma:readOnly="false">
      <xsd:simpleType>
        <xsd:restriction base="dms:Choice">
          <xsd:enumeration value="true"/>
          <xsd:enumeration value="false"/>
        </xsd:restriction>
      </xsd:simpleType>
    </xsd:element>
    <xsd:element name="f579045f93c34d4baadb74be2d3a98b1" ma:index="33"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4" nillable="true" ma:taxonomy="true" ma:internalName="m5f81a6254e44a55996bb6356c849e0c" ma:taxonomyFieldName="WorkType" ma:displayName="Work Typ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7"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8"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39"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0" nillable="true" ma:taxonomy="true" ma:internalName="a6d0b0f5ac9d4fa8b2e660c59fbea416" ma:taxonomyFieldName="ContractDivisions" ma:displayName="Contract Division(s)" ma:default="8;#Energy Services Division|ac451375-62f5-4129-b29d-db3d87339092"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1" nillable="true" ma:displayName="Taxonomy Catch All Column" ma:hidden="true" ma:list="{ea729eb8-9a4c-49eb-9478-9c1f052d2a2a}" ma:internalName="TaxCatchAll" ma:showField="CatchAllData" ma:web="b0bdd035-b494-4377-8c7f-66e41ef19286">
      <xsd:complexType>
        <xsd:complexContent>
          <xsd:extension base="dms:MultiChoiceLookup">
            <xsd:sequence>
              <xsd:element name="Value" type="dms:Lookup" maxOccurs="unbounded" minOccurs="0" nillable="true"/>
            </xsd:sequence>
          </xsd:extension>
        </xsd:complexContent>
      </xsd:complexType>
    </xsd:element>
    <xsd:element name="TaxCatchAllLabel" ma:index="42" nillable="true" ma:displayName="Taxonomy Catch All Column1" ma:hidden="true" ma:list="{ea729eb8-9a4c-49eb-9478-9c1f052d2a2a}" ma:internalName="TaxCatchAllLabel" ma:readOnly="true" ma:showField="CatchAllDataLabel" ma:web="b0bdd035-b494-4377-8c7f-66e41ef19286">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4"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a6be725d576043378de6f214f0e78ee4" ma:index="4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4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4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51"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23877a-4614-45c3-aa1c-959b7d1f31e5" elementFormDefault="qualified">
    <xsd:import namespace="http://schemas.microsoft.com/office/2006/documentManagement/types"/>
    <xsd:import namespace="http://schemas.microsoft.com/office/infopath/2007/PartnerControls"/>
    <xsd:element name="Program_x0020_Name" ma:index="26" nillable="true" ma:displayName="Program Name" ma:default="N/A" ma:description="Choose Program Name" ma:format="Dropdown" ma:indexed="true" ma:internalName="Program_x0020_Name">
      <xsd:simpleType>
        <xsd:restriction base="dms:Choice">
          <xsd:enumeration value="N/A"/>
          <xsd:enumeration value="ARP"/>
          <xsd:enumeration value="CEI"/>
          <xsd:enumeration value="Custom"/>
          <xsd:enumeration value="E-Power Wise"/>
          <xsd:enumeration value="LI EE Behavior and Ed"/>
          <xsd:enumeration value="LI WRAP"/>
          <xsd:enumeration value="MMMF"/>
          <xsd:enumeration value="Res EE Behavior and Ed"/>
          <xsd:enumeration value="RHC"/>
          <xsd:enumeration value="Prescriptive Equipment"/>
          <xsd:enumeration value="Residential Retail"/>
          <xsd:enumeration value="School Benchmarking"/>
          <xsd:enumeration value="Student and Parent Ed"/>
        </xsd:restriction>
      </xsd:simpleType>
    </xsd:element>
    <xsd:element name="Subprogram" ma:index="27" nillable="true" ma:displayName="Program Component" ma:default="N/A" ma:description="If applicable, add program component" ma:format="Dropdown" ma:internalName="Subprogram">
      <xsd:simpleType>
        <xsd:restriction base="dms:Choice">
          <xsd:enumeration value="N/A"/>
          <xsd:enumeration value="Lighting"/>
          <xsd:enumeration value="Non-Lighting"/>
          <xsd:enumeration value="Upstream Lighting"/>
          <xsd:enumeration value="Equipment"/>
          <xsd:enumeration value="New Construction"/>
          <xsd:enumeration value="Audit"/>
          <xsd:enumeration value="Wx"/>
          <xsd:enumeration value="Manufactured Homes"/>
        </xsd:restriction>
      </xsd:simpleType>
    </xsd:element>
    <xsd:element name="Program_x0020_Year" ma:index="28" nillable="true" ma:displayName="Program Year" ma:default="N/A" ma:format="Dropdown" ma:internalName="Program_x0020_Year">
      <xsd:simpleType>
        <xsd:restriction base="dms:Choice">
          <xsd:enumeration value="N/A"/>
          <xsd:enumeration value="Phase II (overarching)"/>
          <xsd:enumeration value="PY5"/>
          <xsd:enumeration value="PY6"/>
          <xsd:enumeration value="PY7"/>
          <xsd:enumeration value="Phase I"/>
          <xsd:enumeration value="Phase III"/>
        </xsd:restriction>
      </xsd:simpleType>
    </xsd:element>
    <xsd:element name="Progam_x0020_Quarter" ma:index="29" nillable="true" ma:displayName="Progam Quarter" ma:default="N/A" ma:description="Enter Program Quarter (if relevant)" ma:format="Dropdown" ma:internalName="Progam_x0020_Quarter">
      <xsd:simpleType>
        <xsd:restriction base="dms:Choice">
          <xsd:enumeration value="N/A"/>
          <xsd:enumeration value="Q1"/>
          <xsd:enumeration value="Q2"/>
          <xsd:enumeration value="Q3"/>
          <xsd:enumeration value="Q4"/>
        </xsd:restriction>
      </xsd:simpleType>
    </xsd:element>
    <xsd:element name="Document_x0020_Type" ma:index="30" nillable="true" ma:displayName="Document Type" ma:format="Dropdown" ma:internalName="Document_x0020_Type">
      <xsd:simpleType>
        <xsd:restriction base="dms:Choice">
          <xsd:enumeration value="Impact Report"/>
          <xsd:enumeration value="Process Report"/>
          <xsd:enumeration value="Realization Rate Memo"/>
          <xsd:enumeration value="Survey"/>
          <xsd:enumeration value="Regulatory Document"/>
          <xsd:enumeration value="TRM"/>
          <xsd:enumeration value="IMP"/>
        </xsd:restriction>
      </xsd:simpleType>
    </xsd:element>
    <xsd:element name="Sent_x0020_to_x0020_PPL" ma:index="31" nillable="true" ma:displayName="Sent to PPL" ma:default="N/A" ma:format="Dropdown" ma:indexed="true" ma:internalName="Sent_x0020_to_x0020_PPL">
      <xsd:simpleType>
        <xsd:restriction base="dms:Choice">
          <xsd:enumeration value="Yes"/>
          <xsd:enumeration value="No"/>
          <xsd:enumeration value="N/A"/>
        </xsd:restriction>
      </xsd:simpleType>
    </xsd:element>
    <xsd:element name="Sent_x0020_to_x0020_SWE" ma:index="32" nillable="true" ma:displayName="Sent to SWE" ma:default="N/A" ma:description="Was this document sent to the SWE?" ma:format="Dropdown" ma:internalName="Sent_x0020_to_x0020_SWE">
      <xsd:simpleType>
        <xsd:restriction base="dms:Choice">
          <xsd:enumeration value="Yes"/>
          <xsd:enumeration value="No"/>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Management Document" ma:contentTypeID="0x010100B80CB6684E0D2F408D230F308CBB847F030100EDBA48905719544C8C0376F1E319619D" ma:contentTypeVersion="44" ma:contentTypeDescription="" ma:contentTypeScope="" ma:versionID="cd824ff1025058c7bd0557db2169facd">
  <xsd:schema xmlns:xsd="http://www.w3.org/2001/XMLSchema" xmlns:xs="http://www.w3.org/2001/XMLSchema" xmlns:p="http://schemas.microsoft.com/office/2006/metadata/properties" xmlns:ns1="http://schemas.microsoft.com/sharepoint/v3" xmlns:ns2="dc75c247-7f53-4913-864a-4160aff1c458" xmlns:ns3="2c23877a-4614-45c3-aa1c-959b7d1f31e5" targetNamespace="http://schemas.microsoft.com/office/2006/metadata/properties" ma:root="true" ma:fieldsID="b00ff98e503cdac5a1392d79d9196e02" ns1:_="" ns2:_="" ns3:_="">
    <xsd:import namespace="http://schemas.microsoft.com/sharepoint/v3"/>
    <xsd:import namespace="dc75c247-7f53-4913-864a-4160aff1c458"/>
    <xsd:import namespace="2c23877a-4614-45c3-aa1c-959b7d1f31e5"/>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WorkLead" minOccurs="0"/>
                <xsd:element ref="ns2:RetentionExemption" minOccurs="0"/>
                <xsd:element ref="ns1:DocumentSetDescription" minOccurs="0"/>
                <xsd:element ref="ns3:Program_x0020_Year" minOccurs="0"/>
                <xsd:element ref="ns3:Progam_x0020_Quarter" minOccurs="0"/>
                <xsd:element ref="ns3:Subprogram" minOccurs="0"/>
                <xsd:element ref="ns3:Program_x0020_Name" minOccurs="0"/>
                <xsd:element ref="ns3:Sent_x0020_to_x0020_PPL"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element ref="ns2:a6be725d576043378de6f214f0e78ee4" minOccurs="0"/>
                <xsd:element ref="ns2:od8879f902fd47c7bc2aee162c9e5240" minOccurs="0"/>
                <xsd:element ref="ns2:j996553e0ae54d4984db0606efb6351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5"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internalName="PhaseName">
      <xsd:simpleType>
        <xsd:restriction base="dms:Text">
          <xsd:maxLength value="255"/>
        </xsd:restriction>
      </xsd:simpleType>
    </xsd:element>
    <xsd:element name="ProjectName" ma:index="2" nillable="true" ma:displayName="Project Name" ma:default="PPL"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internalName="ProjectTOWAName">
      <xsd:simpleType>
        <xsd:restriction base="dms:Text">
          <xsd:maxLength value="255"/>
        </xsd:restriction>
      </xsd:simpleType>
    </xsd:element>
    <xsd:element name="ContractName" ma:index="12" nillable="true" ma:displayName="Contract Name" ma:default="PPL"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6501" ma:internalName="ContractCostPointNumber">
      <xsd:simpleType>
        <xsd:restriction base="dms:Text">
          <xsd:maxLength value="255"/>
        </xsd:restriction>
      </xsd:simpleType>
    </xsd:element>
    <xsd:element name="ProjectTask" ma:index="18" nillable="true" ma:displayName="Project Task" ma:default="Not in Use" ma:format="Dropdown"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WorkLead" ma:index="20"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1" nillable="true" ma:displayName="Retention Exemption" ma:default="false" ma:description="Does this item is exempt to retention policies?" ma:format="Dropdown" ma:internalName="RetentionExemption" ma:readOnly="false">
      <xsd:simpleType>
        <xsd:restriction base="dms:Choice">
          <xsd:enumeration value="true"/>
          <xsd:enumeration value="false"/>
        </xsd:restriction>
      </xsd:simpleType>
    </xsd:element>
    <xsd:element name="if0a8aeaad58489cbaf27eea2233913d" ma:index="31"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3"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4" nillable="true" ma:taxonomy="true" ma:internalName="m5f81a6254e44a55996bb6356c849e0c" ma:taxonomyFieldName="WorkType" ma:displayName="Work Typ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7"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8"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39"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0" nillable="true" ma:taxonomy="true" ma:internalName="a6d0b0f5ac9d4fa8b2e660c59fbea416" ma:taxonomyFieldName="ContractDivisions" ma:displayName="Contract Division(s)" ma:default="8;#Energy Services Division|ac451375-62f5-4129-b29d-db3d87339092"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1" nillable="true" ma:displayName="Taxonomy Catch All Column" ma:hidden="true" ma:list="{ea729eb8-9a4c-49eb-9478-9c1f052d2a2a}" ma:internalName="TaxCatchAll" ma:showField="CatchAllData" ma:web="b0bdd035-b494-4377-8c7f-66e41ef19286">
      <xsd:complexType>
        <xsd:complexContent>
          <xsd:extension base="dms:MultiChoiceLookup">
            <xsd:sequence>
              <xsd:element name="Value" type="dms:Lookup" maxOccurs="unbounded" minOccurs="0" nillable="true"/>
            </xsd:sequence>
          </xsd:extension>
        </xsd:complexContent>
      </xsd:complexType>
    </xsd:element>
    <xsd:element name="TaxCatchAllLabel" ma:index="42" nillable="true" ma:displayName="Taxonomy Catch All Column1" ma:hidden="true" ma:list="{ea729eb8-9a4c-49eb-9478-9c1f052d2a2a}" ma:internalName="TaxCatchAllLabel" ma:readOnly="true" ma:showField="CatchAllDataLabel" ma:web="b0bdd035-b494-4377-8c7f-66e41ef19286">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4"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a6be725d576043378de6f214f0e78ee4" ma:index="4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4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4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23877a-4614-45c3-aa1c-959b7d1f31e5" elementFormDefault="qualified">
    <xsd:import namespace="http://schemas.microsoft.com/office/2006/documentManagement/types"/>
    <xsd:import namespace="http://schemas.microsoft.com/office/infopath/2007/PartnerControls"/>
    <xsd:element name="Program_x0020_Year" ma:index="26" nillable="true" ma:displayName="Program Year" ma:default="N/A" ma:format="Dropdown" ma:internalName="Program_x0020_Year">
      <xsd:simpleType>
        <xsd:restriction base="dms:Choice">
          <xsd:enumeration value="N/A"/>
          <xsd:enumeration value="Phase II (overarching)"/>
          <xsd:enumeration value="PY5"/>
          <xsd:enumeration value="PY6"/>
          <xsd:enumeration value="PY7"/>
          <xsd:enumeration value="Phase I"/>
          <xsd:enumeration value="Phase III"/>
        </xsd:restriction>
      </xsd:simpleType>
    </xsd:element>
    <xsd:element name="Progam_x0020_Quarter" ma:index="27" nillable="true" ma:displayName="Progam Quarter" ma:default="N/A" ma:description="Enter Program Quarter (if relevant)" ma:format="Dropdown" ma:internalName="Progam_x0020_Quarter">
      <xsd:simpleType>
        <xsd:restriction base="dms:Choice">
          <xsd:enumeration value="N/A"/>
          <xsd:enumeration value="Q1"/>
          <xsd:enumeration value="Q2"/>
          <xsd:enumeration value="Q3"/>
          <xsd:enumeration value="Q4"/>
        </xsd:restriction>
      </xsd:simpleType>
    </xsd:element>
    <xsd:element name="Subprogram" ma:index="28" nillable="true" ma:displayName="Subprogram" ma:default="N/A" ma:description="If applicable, add program subsection" ma:format="Dropdown" ma:internalName="Subprogram">
      <xsd:simpleType>
        <xsd:restriction base="dms:Choice">
          <xsd:enumeration value="N/A"/>
          <xsd:enumeration value="Lighting"/>
          <xsd:enumeration value="Non-Lighting"/>
          <xsd:enumeration value="Upstream Lighting"/>
          <xsd:enumeration value="Equipment"/>
          <xsd:enumeration value="New Construction"/>
          <xsd:enumeration value="Audit"/>
          <xsd:enumeration value="Wx"/>
          <xsd:enumeration value="Manufactured Homes"/>
        </xsd:restriction>
      </xsd:simpleType>
    </xsd:element>
    <xsd:element name="Program_x0020_Name" ma:index="29" nillable="true" ma:displayName="Program Name" ma:default="N/A" ma:description="Choose Program Name" ma:format="Dropdown" ma:internalName="Program_x0020_Name">
      <xsd:simpleType>
        <xsd:restriction base="dms:Choice">
          <xsd:enumeration value="N/A"/>
          <xsd:enumeration value="ARP"/>
          <xsd:enumeration value="CEI"/>
          <xsd:enumeration value="Custom"/>
          <xsd:enumeration value="E-Power Wise"/>
          <xsd:enumeration value="LI EE Behavior &amp; Ed"/>
          <xsd:enumeration value="LI WRAP"/>
          <xsd:enumeration value="MMMF"/>
          <xsd:enumeration value="Res EE Behavior &amp; Ed"/>
          <xsd:enumeration value="RHC"/>
          <xsd:enumeration value="Prescriptive Equipment"/>
          <xsd:enumeration value="Residential Retail"/>
          <xsd:enumeration value="School Benchmarking"/>
          <xsd:enumeration value="Student &amp; Parent Ed"/>
        </xsd:restriction>
      </xsd:simpleType>
    </xsd:element>
    <xsd:element name="Sent_x0020_to_x0020_PPL" ma:index="30" nillable="true" ma:displayName="Sent to PPL" ma:default="N/A" ma:format="Dropdown" ma:indexed="true" ma:internalName="Sent_x0020_to_x0020_PPL">
      <xsd:simpleType>
        <xsd:restriction base="dms:Choice">
          <xsd:enumeration value="Yes"/>
          <xsd:enumeration value="No"/>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Document" ma:contentTypeID="0x010100DD1ACD3CB4E6F744A002FE9E5CDCF003" ma:contentTypeVersion="0" ma:contentTypeDescription="Create a new document." ma:contentTypeScope="" ma:versionID="ec3aa9e80f1b638380f960e8dadcec0c">
  <xsd:schema xmlns:xsd="http://www.w3.org/2001/XMLSchema" xmlns:xs="http://www.w3.org/2001/XMLSchema" xmlns:p="http://schemas.microsoft.com/office/2006/metadata/properties" xmlns:ns2="76059afc-c722-48ca-b88e-93295ebc05e6" targetNamespace="http://schemas.microsoft.com/office/2006/metadata/properties" ma:root="true" ma:fieldsID="16eba63b232b938d8cb972c7fa430a7a" ns2:_="">
    <xsd:import namespace="76059afc-c722-48ca-b88e-93295ebc05e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59afc-c722-48ca-b88e-93295ebc05e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12E4B2D-F070-40E4-9F2F-0DE1811C71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9cddb6-1a21-4398-93ba-37305383a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1B6642A2-BB8C-4094-BEE5-8316C2FFFFD6}">
  <ds:schemaRefs>
    <ds:schemaRef ds:uri="Microsoft.SharePoint.Taxonomy.ContentTypeSync"/>
  </ds:schemaRefs>
</ds:datastoreItem>
</file>

<file path=customXml/itemProps11.xml><?xml version="1.0" encoding="utf-8"?>
<ds:datastoreItem xmlns:ds="http://schemas.openxmlformats.org/officeDocument/2006/customXml" ds:itemID="{070A960F-6B10-459E-A9F0-EC88BDCC9510}">
  <ds:schemaRefs>
    <ds:schemaRef ds:uri="http://schemas.openxmlformats.org/officeDocument/2006/bibliography"/>
  </ds:schemaRefs>
</ds:datastoreItem>
</file>

<file path=customXml/itemProps2.xml><?xml version="1.0" encoding="utf-8"?>
<ds:datastoreItem xmlns:ds="http://schemas.openxmlformats.org/officeDocument/2006/customXml" ds:itemID="{74FB561A-8A10-4597-AD6E-F60F5551B08E}">
  <ds:schemaRefs>
    <ds:schemaRef ds:uri="http://schemas.microsoft.com/sharepoint/v3/contenttype/forms"/>
  </ds:schemaRefs>
</ds:datastoreItem>
</file>

<file path=customXml/itemProps3.xml><?xml version="1.0" encoding="utf-8"?>
<ds:datastoreItem xmlns:ds="http://schemas.openxmlformats.org/officeDocument/2006/customXml" ds:itemID="{93672EB0-525D-4628-BB73-F130832DDAC2}">
  <ds:schemaRefs>
    <ds:schemaRef ds:uri="http://purl.org/dc/elements/1.1/"/>
    <ds:schemaRef ds:uri="http://schemas.microsoft.com/office/2006/metadata/properties"/>
    <ds:schemaRef ds:uri="dc75c247-7f53-4913-864a-4160aff1c458"/>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c23877a-4614-45c3-aa1c-959b7d1f31e5"/>
    <ds:schemaRef ds:uri="http://www.w3.org/XML/1998/namespace"/>
    <ds:schemaRef ds:uri="http://purl.org/dc/dcmitype/"/>
  </ds:schemaRefs>
</ds:datastoreItem>
</file>

<file path=customXml/itemProps4.xml><?xml version="1.0" encoding="utf-8"?>
<ds:datastoreItem xmlns:ds="http://schemas.openxmlformats.org/officeDocument/2006/customXml" ds:itemID="{1F8992B5-55BD-4939-9F9A-5C60EAB89047}">
  <ds:schemaRefs>
    <ds:schemaRef ds:uri="http://schemas.microsoft.com/office/2006/metadata/properties"/>
    <ds:schemaRef ds:uri="dc75c247-7f53-4913-864a-4160aff1c458"/>
    <ds:schemaRef ds:uri="http://schemas.microsoft.com/sharepoint/v3"/>
    <ds:schemaRef ds:uri="http://purl.org/dc/terms/"/>
    <ds:schemaRef ds:uri="http://schemas.microsoft.com/office/2006/documentManagement/types"/>
    <ds:schemaRef ds:uri="2c23877a-4614-45c3-aa1c-959b7d1f31e5"/>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ABD80E76-29E3-4962-9E2C-0F52CC519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75c247-7f53-4913-864a-4160aff1c458"/>
    <ds:schemaRef ds:uri="2c23877a-4614-45c3-aa1c-959b7d1f3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B1FC4B1-E958-4C48-AC43-F8C6082FA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75c247-7f53-4913-864a-4160aff1c458"/>
    <ds:schemaRef ds:uri="2c23877a-4614-45c3-aa1c-959b7d1f3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38AE83F-24F4-46E2-85E5-967BA646A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59afc-c722-48ca-b88e-93295ebc0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C770AA64-2C5B-4673-BB83-AF404558FC13}">
  <ds:schemaRefs>
    <ds:schemaRef ds:uri="http://schemas.microsoft.com/sharepoint/v3/contenttype/forms"/>
  </ds:schemaRefs>
</ds:datastoreItem>
</file>

<file path=customXml/itemProps9.xml><?xml version="1.0" encoding="utf-8"?>
<ds:datastoreItem xmlns:ds="http://schemas.openxmlformats.org/officeDocument/2006/customXml" ds:itemID="{D96D8F55-CB87-4DCB-99E9-9226EAD8FCA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250</Pages>
  <Words>167849</Words>
  <Characters>956740</Characters>
  <Application>Microsoft Office Word</Application>
  <DocSecurity>0</DocSecurity>
  <Lines>7972</Lines>
  <Paragraphs>2244</Paragraphs>
  <ScaleCrop>false</ScaleCrop>
  <HeadingPairs>
    <vt:vector size="2" baseType="variant">
      <vt:variant>
        <vt:lpstr>Title</vt:lpstr>
      </vt:variant>
      <vt:variant>
        <vt:i4>1</vt:i4>
      </vt:variant>
    </vt:vector>
  </HeadingPairs>
  <TitlesOfParts>
    <vt:vector size="1" baseType="lpstr">
      <vt:lpstr/>
    </vt:vector>
  </TitlesOfParts>
  <Company>GDS Associates, Inc.</Company>
  <LinksUpToDate>false</LinksUpToDate>
  <CharactersWithSpaces>1122345</CharactersWithSpaces>
  <SharedDoc>false</SharedDoc>
  <HLinks>
    <vt:vector size="1674" baseType="variant">
      <vt:variant>
        <vt:i4>1245237</vt:i4>
      </vt:variant>
      <vt:variant>
        <vt:i4>1676</vt:i4>
      </vt:variant>
      <vt:variant>
        <vt:i4>0</vt:i4>
      </vt:variant>
      <vt:variant>
        <vt:i4>5</vt:i4>
      </vt:variant>
      <vt:variant>
        <vt:lpwstr/>
      </vt:variant>
      <vt:variant>
        <vt:lpwstr>_Toc345577425</vt:lpwstr>
      </vt:variant>
      <vt:variant>
        <vt:i4>1245237</vt:i4>
      </vt:variant>
      <vt:variant>
        <vt:i4>1670</vt:i4>
      </vt:variant>
      <vt:variant>
        <vt:i4>0</vt:i4>
      </vt:variant>
      <vt:variant>
        <vt:i4>5</vt:i4>
      </vt:variant>
      <vt:variant>
        <vt:lpwstr/>
      </vt:variant>
      <vt:variant>
        <vt:lpwstr>_Toc345577424</vt:lpwstr>
      </vt:variant>
      <vt:variant>
        <vt:i4>1245237</vt:i4>
      </vt:variant>
      <vt:variant>
        <vt:i4>1664</vt:i4>
      </vt:variant>
      <vt:variant>
        <vt:i4>0</vt:i4>
      </vt:variant>
      <vt:variant>
        <vt:i4>5</vt:i4>
      </vt:variant>
      <vt:variant>
        <vt:lpwstr/>
      </vt:variant>
      <vt:variant>
        <vt:lpwstr>_Toc345577423</vt:lpwstr>
      </vt:variant>
      <vt:variant>
        <vt:i4>1245237</vt:i4>
      </vt:variant>
      <vt:variant>
        <vt:i4>1658</vt:i4>
      </vt:variant>
      <vt:variant>
        <vt:i4>0</vt:i4>
      </vt:variant>
      <vt:variant>
        <vt:i4>5</vt:i4>
      </vt:variant>
      <vt:variant>
        <vt:lpwstr/>
      </vt:variant>
      <vt:variant>
        <vt:lpwstr>_Toc345577422</vt:lpwstr>
      </vt:variant>
      <vt:variant>
        <vt:i4>1245237</vt:i4>
      </vt:variant>
      <vt:variant>
        <vt:i4>1652</vt:i4>
      </vt:variant>
      <vt:variant>
        <vt:i4>0</vt:i4>
      </vt:variant>
      <vt:variant>
        <vt:i4>5</vt:i4>
      </vt:variant>
      <vt:variant>
        <vt:lpwstr/>
      </vt:variant>
      <vt:variant>
        <vt:lpwstr>_Toc345577421</vt:lpwstr>
      </vt:variant>
      <vt:variant>
        <vt:i4>1245237</vt:i4>
      </vt:variant>
      <vt:variant>
        <vt:i4>1646</vt:i4>
      </vt:variant>
      <vt:variant>
        <vt:i4>0</vt:i4>
      </vt:variant>
      <vt:variant>
        <vt:i4>5</vt:i4>
      </vt:variant>
      <vt:variant>
        <vt:lpwstr/>
      </vt:variant>
      <vt:variant>
        <vt:lpwstr>_Toc345577420</vt:lpwstr>
      </vt:variant>
      <vt:variant>
        <vt:i4>1048629</vt:i4>
      </vt:variant>
      <vt:variant>
        <vt:i4>1640</vt:i4>
      </vt:variant>
      <vt:variant>
        <vt:i4>0</vt:i4>
      </vt:variant>
      <vt:variant>
        <vt:i4>5</vt:i4>
      </vt:variant>
      <vt:variant>
        <vt:lpwstr/>
      </vt:variant>
      <vt:variant>
        <vt:lpwstr>_Toc345577419</vt:lpwstr>
      </vt:variant>
      <vt:variant>
        <vt:i4>1048629</vt:i4>
      </vt:variant>
      <vt:variant>
        <vt:i4>1634</vt:i4>
      </vt:variant>
      <vt:variant>
        <vt:i4>0</vt:i4>
      </vt:variant>
      <vt:variant>
        <vt:i4>5</vt:i4>
      </vt:variant>
      <vt:variant>
        <vt:lpwstr/>
      </vt:variant>
      <vt:variant>
        <vt:lpwstr>_Toc345577418</vt:lpwstr>
      </vt:variant>
      <vt:variant>
        <vt:i4>1048629</vt:i4>
      </vt:variant>
      <vt:variant>
        <vt:i4>1628</vt:i4>
      </vt:variant>
      <vt:variant>
        <vt:i4>0</vt:i4>
      </vt:variant>
      <vt:variant>
        <vt:i4>5</vt:i4>
      </vt:variant>
      <vt:variant>
        <vt:lpwstr/>
      </vt:variant>
      <vt:variant>
        <vt:lpwstr>_Toc345577417</vt:lpwstr>
      </vt:variant>
      <vt:variant>
        <vt:i4>1048629</vt:i4>
      </vt:variant>
      <vt:variant>
        <vt:i4>1622</vt:i4>
      </vt:variant>
      <vt:variant>
        <vt:i4>0</vt:i4>
      </vt:variant>
      <vt:variant>
        <vt:i4>5</vt:i4>
      </vt:variant>
      <vt:variant>
        <vt:lpwstr/>
      </vt:variant>
      <vt:variant>
        <vt:lpwstr>_Toc345577416</vt:lpwstr>
      </vt:variant>
      <vt:variant>
        <vt:i4>1048629</vt:i4>
      </vt:variant>
      <vt:variant>
        <vt:i4>1616</vt:i4>
      </vt:variant>
      <vt:variant>
        <vt:i4>0</vt:i4>
      </vt:variant>
      <vt:variant>
        <vt:i4>5</vt:i4>
      </vt:variant>
      <vt:variant>
        <vt:lpwstr/>
      </vt:variant>
      <vt:variant>
        <vt:lpwstr>_Toc345577415</vt:lpwstr>
      </vt:variant>
      <vt:variant>
        <vt:i4>1048629</vt:i4>
      </vt:variant>
      <vt:variant>
        <vt:i4>1610</vt:i4>
      </vt:variant>
      <vt:variant>
        <vt:i4>0</vt:i4>
      </vt:variant>
      <vt:variant>
        <vt:i4>5</vt:i4>
      </vt:variant>
      <vt:variant>
        <vt:lpwstr/>
      </vt:variant>
      <vt:variant>
        <vt:lpwstr>_Toc345577414</vt:lpwstr>
      </vt:variant>
      <vt:variant>
        <vt:i4>1048629</vt:i4>
      </vt:variant>
      <vt:variant>
        <vt:i4>1604</vt:i4>
      </vt:variant>
      <vt:variant>
        <vt:i4>0</vt:i4>
      </vt:variant>
      <vt:variant>
        <vt:i4>5</vt:i4>
      </vt:variant>
      <vt:variant>
        <vt:lpwstr/>
      </vt:variant>
      <vt:variant>
        <vt:lpwstr>_Toc345577413</vt:lpwstr>
      </vt:variant>
      <vt:variant>
        <vt:i4>1048629</vt:i4>
      </vt:variant>
      <vt:variant>
        <vt:i4>1598</vt:i4>
      </vt:variant>
      <vt:variant>
        <vt:i4>0</vt:i4>
      </vt:variant>
      <vt:variant>
        <vt:i4>5</vt:i4>
      </vt:variant>
      <vt:variant>
        <vt:lpwstr/>
      </vt:variant>
      <vt:variant>
        <vt:lpwstr>_Toc345577412</vt:lpwstr>
      </vt:variant>
      <vt:variant>
        <vt:i4>1048629</vt:i4>
      </vt:variant>
      <vt:variant>
        <vt:i4>1592</vt:i4>
      </vt:variant>
      <vt:variant>
        <vt:i4>0</vt:i4>
      </vt:variant>
      <vt:variant>
        <vt:i4>5</vt:i4>
      </vt:variant>
      <vt:variant>
        <vt:lpwstr/>
      </vt:variant>
      <vt:variant>
        <vt:lpwstr>_Toc345577411</vt:lpwstr>
      </vt:variant>
      <vt:variant>
        <vt:i4>1048629</vt:i4>
      </vt:variant>
      <vt:variant>
        <vt:i4>1586</vt:i4>
      </vt:variant>
      <vt:variant>
        <vt:i4>0</vt:i4>
      </vt:variant>
      <vt:variant>
        <vt:i4>5</vt:i4>
      </vt:variant>
      <vt:variant>
        <vt:lpwstr/>
      </vt:variant>
      <vt:variant>
        <vt:lpwstr>_Toc345577410</vt:lpwstr>
      </vt:variant>
      <vt:variant>
        <vt:i4>1114165</vt:i4>
      </vt:variant>
      <vt:variant>
        <vt:i4>1580</vt:i4>
      </vt:variant>
      <vt:variant>
        <vt:i4>0</vt:i4>
      </vt:variant>
      <vt:variant>
        <vt:i4>5</vt:i4>
      </vt:variant>
      <vt:variant>
        <vt:lpwstr/>
      </vt:variant>
      <vt:variant>
        <vt:lpwstr>_Toc345577409</vt:lpwstr>
      </vt:variant>
      <vt:variant>
        <vt:i4>1114165</vt:i4>
      </vt:variant>
      <vt:variant>
        <vt:i4>1574</vt:i4>
      </vt:variant>
      <vt:variant>
        <vt:i4>0</vt:i4>
      </vt:variant>
      <vt:variant>
        <vt:i4>5</vt:i4>
      </vt:variant>
      <vt:variant>
        <vt:lpwstr/>
      </vt:variant>
      <vt:variant>
        <vt:lpwstr>_Toc345577408</vt:lpwstr>
      </vt:variant>
      <vt:variant>
        <vt:i4>1114165</vt:i4>
      </vt:variant>
      <vt:variant>
        <vt:i4>1568</vt:i4>
      </vt:variant>
      <vt:variant>
        <vt:i4>0</vt:i4>
      </vt:variant>
      <vt:variant>
        <vt:i4>5</vt:i4>
      </vt:variant>
      <vt:variant>
        <vt:lpwstr/>
      </vt:variant>
      <vt:variant>
        <vt:lpwstr>_Toc345577407</vt:lpwstr>
      </vt:variant>
      <vt:variant>
        <vt:i4>1114165</vt:i4>
      </vt:variant>
      <vt:variant>
        <vt:i4>1562</vt:i4>
      </vt:variant>
      <vt:variant>
        <vt:i4>0</vt:i4>
      </vt:variant>
      <vt:variant>
        <vt:i4>5</vt:i4>
      </vt:variant>
      <vt:variant>
        <vt:lpwstr/>
      </vt:variant>
      <vt:variant>
        <vt:lpwstr>_Toc345577406</vt:lpwstr>
      </vt:variant>
      <vt:variant>
        <vt:i4>1114165</vt:i4>
      </vt:variant>
      <vt:variant>
        <vt:i4>1556</vt:i4>
      </vt:variant>
      <vt:variant>
        <vt:i4>0</vt:i4>
      </vt:variant>
      <vt:variant>
        <vt:i4>5</vt:i4>
      </vt:variant>
      <vt:variant>
        <vt:lpwstr/>
      </vt:variant>
      <vt:variant>
        <vt:lpwstr>_Toc345577405</vt:lpwstr>
      </vt:variant>
      <vt:variant>
        <vt:i4>1114165</vt:i4>
      </vt:variant>
      <vt:variant>
        <vt:i4>1550</vt:i4>
      </vt:variant>
      <vt:variant>
        <vt:i4>0</vt:i4>
      </vt:variant>
      <vt:variant>
        <vt:i4>5</vt:i4>
      </vt:variant>
      <vt:variant>
        <vt:lpwstr/>
      </vt:variant>
      <vt:variant>
        <vt:lpwstr>_Toc345577404</vt:lpwstr>
      </vt:variant>
      <vt:variant>
        <vt:i4>1114165</vt:i4>
      </vt:variant>
      <vt:variant>
        <vt:i4>1541</vt:i4>
      </vt:variant>
      <vt:variant>
        <vt:i4>0</vt:i4>
      </vt:variant>
      <vt:variant>
        <vt:i4>5</vt:i4>
      </vt:variant>
      <vt:variant>
        <vt:lpwstr/>
      </vt:variant>
      <vt:variant>
        <vt:lpwstr>_Toc345577403</vt:lpwstr>
      </vt:variant>
      <vt:variant>
        <vt:i4>1114165</vt:i4>
      </vt:variant>
      <vt:variant>
        <vt:i4>1535</vt:i4>
      </vt:variant>
      <vt:variant>
        <vt:i4>0</vt:i4>
      </vt:variant>
      <vt:variant>
        <vt:i4>5</vt:i4>
      </vt:variant>
      <vt:variant>
        <vt:lpwstr/>
      </vt:variant>
      <vt:variant>
        <vt:lpwstr>_Toc345577402</vt:lpwstr>
      </vt:variant>
      <vt:variant>
        <vt:i4>1114165</vt:i4>
      </vt:variant>
      <vt:variant>
        <vt:i4>1529</vt:i4>
      </vt:variant>
      <vt:variant>
        <vt:i4>0</vt:i4>
      </vt:variant>
      <vt:variant>
        <vt:i4>5</vt:i4>
      </vt:variant>
      <vt:variant>
        <vt:lpwstr/>
      </vt:variant>
      <vt:variant>
        <vt:lpwstr>_Toc345577401</vt:lpwstr>
      </vt:variant>
      <vt:variant>
        <vt:i4>1114165</vt:i4>
      </vt:variant>
      <vt:variant>
        <vt:i4>1523</vt:i4>
      </vt:variant>
      <vt:variant>
        <vt:i4>0</vt:i4>
      </vt:variant>
      <vt:variant>
        <vt:i4>5</vt:i4>
      </vt:variant>
      <vt:variant>
        <vt:lpwstr/>
      </vt:variant>
      <vt:variant>
        <vt:lpwstr>_Toc345577400</vt:lpwstr>
      </vt:variant>
      <vt:variant>
        <vt:i4>1572914</vt:i4>
      </vt:variant>
      <vt:variant>
        <vt:i4>1517</vt:i4>
      </vt:variant>
      <vt:variant>
        <vt:i4>0</vt:i4>
      </vt:variant>
      <vt:variant>
        <vt:i4>5</vt:i4>
      </vt:variant>
      <vt:variant>
        <vt:lpwstr/>
      </vt:variant>
      <vt:variant>
        <vt:lpwstr>_Toc345577399</vt:lpwstr>
      </vt:variant>
      <vt:variant>
        <vt:i4>1572914</vt:i4>
      </vt:variant>
      <vt:variant>
        <vt:i4>1511</vt:i4>
      </vt:variant>
      <vt:variant>
        <vt:i4>0</vt:i4>
      </vt:variant>
      <vt:variant>
        <vt:i4>5</vt:i4>
      </vt:variant>
      <vt:variant>
        <vt:lpwstr/>
      </vt:variant>
      <vt:variant>
        <vt:lpwstr>_Toc345577398</vt:lpwstr>
      </vt:variant>
      <vt:variant>
        <vt:i4>1572914</vt:i4>
      </vt:variant>
      <vt:variant>
        <vt:i4>1505</vt:i4>
      </vt:variant>
      <vt:variant>
        <vt:i4>0</vt:i4>
      </vt:variant>
      <vt:variant>
        <vt:i4>5</vt:i4>
      </vt:variant>
      <vt:variant>
        <vt:lpwstr/>
      </vt:variant>
      <vt:variant>
        <vt:lpwstr>_Toc345577397</vt:lpwstr>
      </vt:variant>
      <vt:variant>
        <vt:i4>1572914</vt:i4>
      </vt:variant>
      <vt:variant>
        <vt:i4>1499</vt:i4>
      </vt:variant>
      <vt:variant>
        <vt:i4>0</vt:i4>
      </vt:variant>
      <vt:variant>
        <vt:i4>5</vt:i4>
      </vt:variant>
      <vt:variant>
        <vt:lpwstr/>
      </vt:variant>
      <vt:variant>
        <vt:lpwstr>_Toc345577396</vt:lpwstr>
      </vt:variant>
      <vt:variant>
        <vt:i4>1572914</vt:i4>
      </vt:variant>
      <vt:variant>
        <vt:i4>1493</vt:i4>
      </vt:variant>
      <vt:variant>
        <vt:i4>0</vt:i4>
      </vt:variant>
      <vt:variant>
        <vt:i4>5</vt:i4>
      </vt:variant>
      <vt:variant>
        <vt:lpwstr/>
      </vt:variant>
      <vt:variant>
        <vt:lpwstr>_Toc345577395</vt:lpwstr>
      </vt:variant>
      <vt:variant>
        <vt:i4>1572914</vt:i4>
      </vt:variant>
      <vt:variant>
        <vt:i4>1487</vt:i4>
      </vt:variant>
      <vt:variant>
        <vt:i4>0</vt:i4>
      </vt:variant>
      <vt:variant>
        <vt:i4>5</vt:i4>
      </vt:variant>
      <vt:variant>
        <vt:lpwstr/>
      </vt:variant>
      <vt:variant>
        <vt:lpwstr>_Toc345577394</vt:lpwstr>
      </vt:variant>
      <vt:variant>
        <vt:i4>1572914</vt:i4>
      </vt:variant>
      <vt:variant>
        <vt:i4>1481</vt:i4>
      </vt:variant>
      <vt:variant>
        <vt:i4>0</vt:i4>
      </vt:variant>
      <vt:variant>
        <vt:i4>5</vt:i4>
      </vt:variant>
      <vt:variant>
        <vt:lpwstr/>
      </vt:variant>
      <vt:variant>
        <vt:lpwstr>_Toc345577393</vt:lpwstr>
      </vt:variant>
      <vt:variant>
        <vt:i4>1572914</vt:i4>
      </vt:variant>
      <vt:variant>
        <vt:i4>1475</vt:i4>
      </vt:variant>
      <vt:variant>
        <vt:i4>0</vt:i4>
      </vt:variant>
      <vt:variant>
        <vt:i4>5</vt:i4>
      </vt:variant>
      <vt:variant>
        <vt:lpwstr/>
      </vt:variant>
      <vt:variant>
        <vt:lpwstr>_Toc345577392</vt:lpwstr>
      </vt:variant>
      <vt:variant>
        <vt:i4>1572914</vt:i4>
      </vt:variant>
      <vt:variant>
        <vt:i4>1469</vt:i4>
      </vt:variant>
      <vt:variant>
        <vt:i4>0</vt:i4>
      </vt:variant>
      <vt:variant>
        <vt:i4>5</vt:i4>
      </vt:variant>
      <vt:variant>
        <vt:lpwstr/>
      </vt:variant>
      <vt:variant>
        <vt:lpwstr>_Toc345577391</vt:lpwstr>
      </vt:variant>
      <vt:variant>
        <vt:i4>1572914</vt:i4>
      </vt:variant>
      <vt:variant>
        <vt:i4>1463</vt:i4>
      </vt:variant>
      <vt:variant>
        <vt:i4>0</vt:i4>
      </vt:variant>
      <vt:variant>
        <vt:i4>5</vt:i4>
      </vt:variant>
      <vt:variant>
        <vt:lpwstr/>
      </vt:variant>
      <vt:variant>
        <vt:lpwstr>_Toc345577390</vt:lpwstr>
      </vt:variant>
      <vt:variant>
        <vt:i4>1638450</vt:i4>
      </vt:variant>
      <vt:variant>
        <vt:i4>1457</vt:i4>
      </vt:variant>
      <vt:variant>
        <vt:i4>0</vt:i4>
      </vt:variant>
      <vt:variant>
        <vt:i4>5</vt:i4>
      </vt:variant>
      <vt:variant>
        <vt:lpwstr/>
      </vt:variant>
      <vt:variant>
        <vt:lpwstr>_Toc345577389</vt:lpwstr>
      </vt:variant>
      <vt:variant>
        <vt:i4>1638450</vt:i4>
      </vt:variant>
      <vt:variant>
        <vt:i4>1451</vt:i4>
      </vt:variant>
      <vt:variant>
        <vt:i4>0</vt:i4>
      </vt:variant>
      <vt:variant>
        <vt:i4>5</vt:i4>
      </vt:variant>
      <vt:variant>
        <vt:lpwstr/>
      </vt:variant>
      <vt:variant>
        <vt:lpwstr>_Toc345577388</vt:lpwstr>
      </vt:variant>
      <vt:variant>
        <vt:i4>1638450</vt:i4>
      </vt:variant>
      <vt:variant>
        <vt:i4>1445</vt:i4>
      </vt:variant>
      <vt:variant>
        <vt:i4>0</vt:i4>
      </vt:variant>
      <vt:variant>
        <vt:i4>5</vt:i4>
      </vt:variant>
      <vt:variant>
        <vt:lpwstr/>
      </vt:variant>
      <vt:variant>
        <vt:lpwstr>_Toc345577387</vt:lpwstr>
      </vt:variant>
      <vt:variant>
        <vt:i4>1638450</vt:i4>
      </vt:variant>
      <vt:variant>
        <vt:i4>1439</vt:i4>
      </vt:variant>
      <vt:variant>
        <vt:i4>0</vt:i4>
      </vt:variant>
      <vt:variant>
        <vt:i4>5</vt:i4>
      </vt:variant>
      <vt:variant>
        <vt:lpwstr/>
      </vt:variant>
      <vt:variant>
        <vt:lpwstr>_Toc345577386</vt:lpwstr>
      </vt:variant>
      <vt:variant>
        <vt:i4>1638450</vt:i4>
      </vt:variant>
      <vt:variant>
        <vt:i4>1433</vt:i4>
      </vt:variant>
      <vt:variant>
        <vt:i4>0</vt:i4>
      </vt:variant>
      <vt:variant>
        <vt:i4>5</vt:i4>
      </vt:variant>
      <vt:variant>
        <vt:lpwstr/>
      </vt:variant>
      <vt:variant>
        <vt:lpwstr>_Toc345577385</vt:lpwstr>
      </vt:variant>
      <vt:variant>
        <vt:i4>1638450</vt:i4>
      </vt:variant>
      <vt:variant>
        <vt:i4>1427</vt:i4>
      </vt:variant>
      <vt:variant>
        <vt:i4>0</vt:i4>
      </vt:variant>
      <vt:variant>
        <vt:i4>5</vt:i4>
      </vt:variant>
      <vt:variant>
        <vt:lpwstr/>
      </vt:variant>
      <vt:variant>
        <vt:lpwstr>_Toc345577384</vt:lpwstr>
      </vt:variant>
      <vt:variant>
        <vt:i4>1638450</vt:i4>
      </vt:variant>
      <vt:variant>
        <vt:i4>1421</vt:i4>
      </vt:variant>
      <vt:variant>
        <vt:i4>0</vt:i4>
      </vt:variant>
      <vt:variant>
        <vt:i4>5</vt:i4>
      </vt:variant>
      <vt:variant>
        <vt:lpwstr/>
      </vt:variant>
      <vt:variant>
        <vt:lpwstr>_Toc345577383</vt:lpwstr>
      </vt:variant>
      <vt:variant>
        <vt:i4>1638450</vt:i4>
      </vt:variant>
      <vt:variant>
        <vt:i4>1415</vt:i4>
      </vt:variant>
      <vt:variant>
        <vt:i4>0</vt:i4>
      </vt:variant>
      <vt:variant>
        <vt:i4>5</vt:i4>
      </vt:variant>
      <vt:variant>
        <vt:lpwstr/>
      </vt:variant>
      <vt:variant>
        <vt:lpwstr>_Toc345577382</vt:lpwstr>
      </vt:variant>
      <vt:variant>
        <vt:i4>1638450</vt:i4>
      </vt:variant>
      <vt:variant>
        <vt:i4>1409</vt:i4>
      </vt:variant>
      <vt:variant>
        <vt:i4>0</vt:i4>
      </vt:variant>
      <vt:variant>
        <vt:i4>5</vt:i4>
      </vt:variant>
      <vt:variant>
        <vt:lpwstr/>
      </vt:variant>
      <vt:variant>
        <vt:lpwstr>_Toc345577381</vt:lpwstr>
      </vt:variant>
      <vt:variant>
        <vt:i4>1638450</vt:i4>
      </vt:variant>
      <vt:variant>
        <vt:i4>1403</vt:i4>
      </vt:variant>
      <vt:variant>
        <vt:i4>0</vt:i4>
      </vt:variant>
      <vt:variant>
        <vt:i4>5</vt:i4>
      </vt:variant>
      <vt:variant>
        <vt:lpwstr/>
      </vt:variant>
      <vt:variant>
        <vt:lpwstr>_Toc345577380</vt:lpwstr>
      </vt:variant>
      <vt:variant>
        <vt:i4>1441842</vt:i4>
      </vt:variant>
      <vt:variant>
        <vt:i4>1397</vt:i4>
      </vt:variant>
      <vt:variant>
        <vt:i4>0</vt:i4>
      </vt:variant>
      <vt:variant>
        <vt:i4>5</vt:i4>
      </vt:variant>
      <vt:variant>
        <vt:lpwstr/>
      </vt:variant>
      <vt:variant>
        <vt:lpwstr>_Toc345577379</vt:lpwstr>
      </vt:variant>
      <vt:variant>
        <vt:i4>1441842</vt:i4>
      </vt:variant>
      <vt:variant>
        <vt:i4>1391</vt:i4>
      </vt:variant>
      <vt:variant>
        <vt:i4>0</vt:i4>
      </vt:variant>
      <vt:variant>
        <vt:i4>5</vt:i4>
      </vt:variant>
      <vt:variant>
        <vt:lpwstr/>
      </vt:variant>
      <vt:variant>
        <vt:lpwstr>_Toc345577378</vt:lpwstr>
      </vt:variant>
      <vt:variant>
        <vt:i4>1441842</vt:i4>
      </vt:variant>
      <vt:variant>
        <vt:i4>1385</vt:i4>
      </vt:variant>
      <vt:variant>
        <vt:i4>0</vt:i4>
      </vt:variant>
      <vt:variant>
        <vt:i4>5</vt:i4>
      </vt:variant>
      <vt:variant>
        <vt:lpwstr/>
      </vt:variant>
      <vt:variant>
        <vt:lpwstr>_Toc345577377</vt:lpwstr>
      </vt:variant>
      <vt:variant>
        <vt:i4>1441842</vt:i4>
      </vt:variant>
      <vt:variant>
        <vt:i4>1379</vt:i4>
      </vt:variant>
      <vt:variant>
        <vt:i4>0</vt:i4>
      </vt:variant>
      <vt:variant>
        <vt:i4>5</vt:i4>
      </vt:variant>
      <vt:variant>
        <vt:lpwstr/>
      </vt:variant>
      <vt:variant>
        <vt:lpwstr>_Toc345577376</vt:lpwstr>
      </vt:variant>
      <vt:variant>
        <vt:i4>1441842</vt:i4>
      </vt:variant>
      <vt:variant>
        <vt:i4>1373</vt:i4>
      </vt:variant>
      <vt:variant>
        <vt:i4>0</vt:i4>
      </vt:variant>
      <vt:variant>
        <vt:i4>5</vt:i4>
      </vt:variant>
      <vt:variant>
        <vt:lpwstr/>
      </vt:variant>
      <vt:variant>
        <vt:lpwstr>_Toc345577375</vt:lpwstr>
      </vt:variant>
      <vt:variant>
        <vt:i4>1441842</vt:i4>
      </vt:variant>
      <vt:variant>
        <vt:i4>1367</vt:i4>
      </vt:variant>
      <vt:variant>
        <vt:i4>0</vt:i4>
      </vt:variant>
      <vt:variant>
        <vt:i4>5</vt:i4>
      </vt:variant>
      <vt:variant>
        <vt:lpwstr/>
      </vt:variant>
      <vt:variant>
        <vt:lpwstr>_Toc345577374</vt:lpwstr>
      </vt:variant>
      <vt:variant>
        <vt:i4>1441842</vt:i4>
      </vt:variant>
      <vt:variant>
        <vt:i4>1361</vt:i4>
      </vt:variant>
      <vt:variant>
        <vt:i4>0</vt:i4>
      </vt:variant>
      <vt:variant>
        <vt:i4>5</vt:i4>
      </vt:variant>
      <vt:variant>
        <vt:lpwstr/>
      </vt:variant>
      <vt:variant>
        <vt:lpwstr>_Toc345577373</vt:lpwstr>
      </vt:variant>
      <vt:variant>
        <vt:i4>1441842</vt:i4>
      </vt:variant>
      <vt:variant>
        <vt:i4>1355</vt:i4>
      </vt:variant>
      <vt:variant>
        <vt:i4>0</vt:i4>
      </vt:variant>
      <vt:variant>
        <vt:i4>5</vt:i4>
      </vt:variant>
      <vt:variant>
        <vt:lpwstr/>
      </vt:variant>
      <vt:variant>
        <vt:lpwstr>_Toc345577372</vt:lpwstr>
      </vt:variant>
      <vt:variant>
        <vt:i4>1441842</vt:i4>
      </vt:variant>
      <vt:variant>
        <vt:i4>1349</vt:i4>
      </vt:variant>
      <vt:variant>
        <vt:i4>0</vt:i4>
      </vt:variant>
      <vt:variant>
        <vt:i4>5</vt:i4>
      </vt:variant>
      <vt:variant>
        <vt:lpwstr/>
      </vt:variant>
      <vt:variant>
        <vt:lpwstr>_Toc345577371</vt:lpwstr>
      </vt:variant>
      <vt:variant>
        <vt:i4>1441842</vt:i4>
      </vt:variant>
      <vt:variant>
        <vt:i4>1343</vt:i4>
      </vt:variant>
      <vt:variant>
        <vt:i4>0</vt:i4>
      </vt:variant>
      <vt:variant>
        <vt:i4>5</vt:i4>
      </vt:variant>
      <vt:variant>
        <vt:lpwstr/>
      </vt:variant>
      <vt:variant>
        <vt:lpwstr>_Toc345577370</vt:lpwstr>
      </vt:variant>
      <vt:variant>
        <vt:i4>1507378</vt:i4>
      </vt:variant>
      <vt:variant>
        <vt:i4>1337</vt:i4>
      </vt:variant>
      <vt:variant>
        <vt:i4>0</vt:i4>
      </vt:variant>
      <vt:variant>
        <vt:i4>5</vt:i4>
      </vt:variant>
      <vt:variant>
        <vt:lpwstr/>
      </vt:variant>
      <vt:variant>
        <vt:lpwstr>_Toc345577369</vt:lpwstr>
      </vt:variant>
      <vt:variant>
        <vt:i4>1507378</vt:i4>
      </vt:variant>
      <vt:variant>
        <vt:i4>1331</vt:i4>
      </vt:variant>
      <vt:variant>
        <vt:i4>0</vt:i4>
      </vt:variant>
      <vt:variant>
        <vt:i4>5</vt:i4>
      </vt:variant>
      <vt:variant>
        <vt:lpwstr/>
      </vt:variant>
      <vt:variant>
        <vt:lpwstr>_Toc345577368</vt:lpwstr>
      </vt:variant>
      <vt:variant>
        <vt:i4>1507378</vt:i4>
      </vt:variant>
      <vt:variant>
        <vt:i4>1325</vt:i4>
      </vt:variant>
      <vt:variant>
        <vt:i4>0</vt:i4>
      </vt:variant>
      <vt:variant>
        <vt:i4>5</vt:i4>
      </vt:variant>
      <vt:variant>
        <vt:lpwstr/>
      </vt:variant>
      <vt:variant>
        <vt:lpwstr>_Toc345577367</vt:lpwstr>
      </vt:variant>
      <vt:variant>
        <vt:i4>1507378</vt:i4>
      </vt:variant>
      <vt:variant>
        <vt:i4>1319</vt:i4>
      </vt:variant>
      <vt:variant>
        <vt:i4>0</vt:i4>
      </vt:variant>
      <vt:variant>
        <vt:i4>5</vt:i4>
      </vt:variant>
      <vt:variant>
        <vt:lpwstr/>
      </vt:variant>
      <vt:variant>
        <vt:lpwstr>_Toc345577366</vt:lpwstr>
      </vt:variant>
      <vt:variant>
        <vt:i4>1507378</vt:i4>
      </vt:variant>
      <vt:variant>
        <vt:i4>1313</vt:i4>
      </vt:variant>
      <vt:variant>
        <vt:i4>0</vt:i4>
      </vt:variant>
      <vt:variant>
        <vt:i4>5</vt:i4>
      </vt:variant>
      <vt:variant>
        <vt:lpwstr/>
      </vt:variant>
      <vt:variant>
        <vt:lpwstr>_Toc345577365</vt:lpwstr>
      </vt:variant>
      <vt:variant>
        <vt:i4>1507378</vt:i4>
      </vt:variant>
      <vt:variant>
        <vt:i4>1307</vt:i4>
      </vt:variant>
      <vt:variant>
        <vt:i4>0</vt:i4>
      </vt:variant>
      <vt:variant>
        <vt:i4>5</vt:i4>
      </vt:variant>
      <vt:variant>
        <vt:lpwstr/>
      </vt:variant>
      <vt:variant>
        <vt:lpwstr>_Toc345577364</vt:lpwstr>
      </vt:variant>
      <vt:variant>
        <vt:i4>1507378</vt:i4>
      </vt:variant>
      <vt:variant>
        <vt:i4>1301</vt:i4>
      </vt:variant>
      <vt:variant>
        <vt:i4>0</vt:i4>
      </vt:variant>
      <vt:variant>
        <vt:i4>5</vt:i4>
      </vt:variant>
      <vt:variant>
        <vt:lpwstr/>
      </vt:variant>
      <vt:variant>
        <vt:lpwstr>_Toc345577363</vt:lpwstr>
      </vt:variant>
      <vt:variant>
        <vt:i4>1507378</vt:i4>
      </vt:variant>
      <vt:variant>
        <vt:i4>1295</vt:i4>
      </vt:variant>
      <vt:variant>
        <vt:i4>0</vt:i4>
      </vt:variant>
      <vt:variant>
        <vt:i4>5</vt:i4>
      </vt:variant>
      <vt:variant>
        <vt:lpwstr/>
      </vt:variant>
      <vt:variant>
        <vt:lpwstr>_Toc345577362</vt:lpwstr>
      </vt:variant>
      <vt:variant>
        <vt:i4>1507378</vt:i4>
      </vt:variant>
      <vt:variant>
        <vt:i4>1289</vt:i4>
      </vt:variant>
      <vt:variant>
        <vt:i4>0</vt:i4>
      </vt:variant>
      <vt:variant>
        <vt:i4>5</vt:i4>
      </vt:variant>
      <vt:variant>
        <vt:lpwstr/>
      </vt:variant>
      <vt:variant>
        <vt:lpwstr>_Toc345577361</vt:lpwstr>
      </vt:variant>
      <vt:variant>
        <vt:i4>1507378</vt:i4>
      </vt:variant>
      <vt:variant>
        <vt:i4>1283</vt:i4>
      </vt:variant>
      <vt:variant>
        <vt:i4>0</vt:i4>
      </vt:variant>
      <vt:variant>
        <vt:i4>5</vt:i4>
      </vt:variant>
      <vt:variant>
        <vt:lpwstr/>
      </vt:variant>
      <vt:variant>
        <vt:lpwstr>_Toc345577360</vt:lpwstr>
      </vt:variant>
      <vt:variant>
        <vt:i4>1310770</vt:i4>
      </vt:variant>
      <vt:variant>
        <vt:i4>1277</vt:i4>
      </vt:variant>
      <vt:variant>
        <vt:i4>0</vt:i4>
      </vt:variant>
      <vt:variant>
        <vt:i4>5</vt:i4>
      </vt:variant>
      <vt:variant>
        <vt:lpwstr/>
      </vt:variant>
      <vt:variant>
        <vt:lpwstr>_Toc345577359</vt:lpwstr>
      </vt:variant>
      <vt:variant>
        <vt:i4>1310770</vt:i4>
      </vt:variant>
      <vt:variant>
        <vt:i4>1271</vt:i4>
      </vt:variant>
      <vt:variant>
        <vt:i4>0</vt:i4>
      </vt:variant>
      <vt:variant>
        <vt:i4>5</vt:i4>
      </vt:variant>
      <vt:variant>
        <vt:lpwstr/>
      </vt:variant>
      <vt:variant>
        <vt:lpwstr>_Toc345577358</vt:lpwstr>
      </vt:variant>
      <vt:variant>
        <vt:i4>1310770</vt:i4>
      </vt:variant>
      <vt:variant>
        <vt:i4>1265</vt:i4>
      </vt:variant>
      <vt:variant>
        <vt:i4>0</vt:i4>
      </vt:variant>
      <vt:variant>
        <vt:i4>5</vt:i4>
      </vt:variant>
      <vt:variant>
        <vt:lpwstr/>
      </vt:variant>
      <vt:variant>
        <vt:lpwstr>_Toc345577357</vt:lpwstr>
      </vt:variant>
      <vt:variant>
        <vt:i4>1310770</vt:i4>
      </vt:variant>
      <vt:variant>
        <vt:i4>1259</vt:i4>
      </vt:variant>
      <vt:variant>
        <vt:i4>0</vt:i4>
      </vt:variant>
      <vt:variant>
        <vt:i4>5</vt:i4>
      </vt:variant>
      <vt:variant>
        <vt:lpwstr/>
      </vt:variant>
      <vt:variant>
        <vt:lpwstr>_Toc345577356</vt:lpwstr>
      </vt:variant>
      <vt:variant>
        <vt:i4>1310770</vt:i4>
      </vt:variant>
      <vt:variant>
        <vt:i4>1253</vt:i4>
      </vt:variant>
      <vt:variant>
        <vt:i4>0</vt:i4>
      </vt:variant>
      <vt:variant>
        <vt:i4>5</vt:i4>
      </vt:variant>
      <vt:variant>
        <vt:lpwstr/>
      </vt:variant>
      <vt:variant>
        <vt:lpwstr>_Toc345577355</vt:lpwstr>
      </vt:variant>
      <vt:variant>
        <vt:i4>1310770</vt:i4>
      </vt:variant>
      <vt:variant>
        <vt:i4>1247</vt:i4>
      </vt:variant>
      <vt:variant>
        <vt:i4>0</vt:i4>
      </vt:variant>
      <vt:variant>
        <vt:i4>5</vt:i4>
      </vt:variant>
      <vt:variant>
        <vt:lpwstr/>
      </vt:variant>
      <vt:variant>
        <vt:lpwstr>_Toc345577354</vt:lpwstr>
      </vt:variant>
      <vt:variant>
        <vt:i4>1310770</vt:i4>
      </vt:variant>
      <vt:variant>
        <vt:i4>1241</vt:i4>
      </vt:variant>
      <vt:variant>
        <vt:i4>0</vt:i4>
      </vt:variant>
      <vt:variant>
        <vt:i4>5</vt:i4>
      </vt:variant>
      <vt:variant>
        <vt:lpwstr/>
      </vt:variant>
      <vt:variant>
        <vt:lpwstr>_Toc345577353</vt:lpwstr>
      </vt:variant>
      <vt:variant>
        <vt:i4>1310770</vt:i4>
      </vt:variant>
      <vt:variant>
        <vt:i4>1235</vt:i4>
      </vt:variant>
      <vt:variant>
        <vt:i4>0</vt:i4>
      </vt:variant>
      <vt:variant>
        <vt:i4>5</vt:i4>
      </vt:variant>
      <vt:variant>
        <vt:lpwstr/>
      </vt:variant>
      <vt:variant>
        <vt:lpwstr>_Toc345577352</vt:lpwstr>
      </vt:variant>
      <vt:variant>
        <vt:i4>1310770</vt:i4>
      </vt:variant>
      <vt:variant>
        <vt:i4>1229</vt:i4>
      </vt:variant>
      <vt:variant>
        <vt:i4>0</vt:i4>
      </vt:variant>
      <vt:variant>
        <vt:i4>5</vt:i4>
      </vt:variant>
      <vt:variant>
        <vt:lpwstr/>
      </vt:variant>
      <vt:variant>
        <vt:lpwstr>_Toc345577351</vt:lpwstr>
      </vt:variant>
      <vt:variant>
        <vt:i4>1310770</vt:i4>
      </vt:variant>
      <vt:variant>
        <vt:i4>1223</vt:i4>
      </vt:variant>
      <vt:variant>
        <vt:i4>0</vt:i4>
      </vt:variant>
      <vt:variant>
        <vt:i4>5</vt:i4>
      </vt:variant>
      <vt:variant>
        <vt:lpwstr/>
      </vt:variant>
      <vt:variant>
        <vt:lpwstr>_Toc345577350</vt:lpwstr>
      </vt:variant>
      <vt:variant>
        <vt:i4>1376306</vt:i4>
      </vt:variant>
      <vt:variant>
        <vt:i4>1217</vt:i4>
      </vt:variant>
      <vt:variant>
        <vt:i4>0</vt:i4>
      </vt:variant>
      <vt:variant>
        <vt:i4>5</vt:i4>
      </vt:variant>
      <vt:variant>
        <vt:lpwstr/>
      </vt:variant>
      <vt:variant>
        <vt:lpwstr>_Toc345577349</vt:lpwstr>
      </vt:variant>
      <vt:variant>
        <vt:i4>1376306</vt:i4>
      </vt:variant>
      <vt:variant>
        <vt:i4>1211</vt:i4>
      </vt:variant>
      <vt:variant>
        <vt:i4>0</vt:i4>
      </vt:variant>
      <vt:variant>
        <vt:i4>5</vt:i4>
      </vt:variant>
      <vt:variant>
        <vt:lpwstr/>
      </vt:variant>
      <vt:variant>
        <vt:lpwstr>_Toc345577348</vt:lpwstr>
      </vt:variant>
      <vt:variant>
        <vt:i4>1376306</vt:i4>
      </vt:variant>
      <vt:variant>
        <vt:i4>1205</vt:i4>
      </vt:variant>
      <vt:variant>
        <vt:i4>0</vt:i4>
      </vt:variant>
      <vt:variant>
        <vt:i4>5</vt:i4>
      </vt:variant>
      <vt:variant>
        <vt:lpwstr/>
      </vt:variant>
      <vt:variant>
        <vt:lpwstr>_Toc345577347</vt:lpwstr>
      </vt:variant>
      <vt:variant>
        <vt:i4>1376306</vt:i4>
      </vt:variant>
      <vt:variant>
        <vt:i4>1199</vt:i4>
      </vt:variant>
      <vt:variant>
        <vt:i4>0</vt:i4>
      </vt:variant>
      <vt:variant>
        <vt:i4>5</vt:i4>
      </vt:variant>
      <vt:variant>
        <vt:lpwstr/>
      </vt:variant>
      <vt:variant>
        <vt:lpwstr>_Toc345577346</vt:lpwstr>
      </vt:variant>
      <vt:variant>
        <vt:i4>1376306</vt:i4>
      </vt:variant>
      <vt:variant>
        <vt:i4>1193</vt:i4>
      </vt:variant>
      <vt:variant>
        <vt:i4>0</vt:i4>
      </vt:variant>
      <vt:variant>
        <vt:i4>5</vt:i4>
      </vt:variant>
      <vt:variant>
        <vt:lpwstr/>
      </vt:variant>
      <vt:variant>
        <vt:lpwstr>_Toc345577345</vt:lpwstr>
      </vt:variant>
      <vt:variant>
        <vt:i4>1376306</vt:i4>
      </vt:variant>
      <vt:variant>
        <vt:i4>1187</vt:i4>
      </vt:variant>
      <vt:variant>
        <vt:i4>0</vt:i4>
      </vt:variant>
      <vt:variant>
        <vt:i4>5</vt:i4>
      </vt:variant>
      <vt:variant>
        <vt:lpwstr/>
      </vt:variant>
      <vt:variant>
        <vt:lpwstr>_Toc345577344</vt:lpwstr>
      </vt:variant>
      <vt:variant>
        <vt:i4>1376306</vt:i4>
      </vt:variant>
      <vt:variant>
        <vt:i4>1181</vt:i4>
      </vt:variant>
      <vt:variant>
        <vt:i4>0</vt:i4>
      </vt:variant>
      <vt:variant>
        <vt:i4>5</vt:i4>
      </vt:variant>
      <vt:variant>
        <vt:lpwstr/>
      </vt:variant>
      <vt:variant>
        <vt:lpwstr>_Toc345577343</vt:lpwstr>
      </vt:variant>
      <vt:variant>
        <vt:i4>1376306</vt:i4>
      </vt:variant>
      <vt:variant>
        <vt:i4>1175</vt:i4>
      </vt:variant>
      <vt:variant>
        <vt:i4>0</vt:i4>
      </vt:variant>
      <vt:variant>
        <vt:i4>5</vt:i4>
      </vt:variant>
      <vt:variant>
        <vt:lpwstr/>
      </vt:variant>
      <vt:variant>
        <vt:lpwstr>_Toc345577342</vt:lpwstr>
      </vt:variant>
      <vt:variant>
        <vt:i4>1376306</vt:i4>
      </vt:variant>
      <vt:variant>
        <vt:i4>1169</vt:i4>
      </vt:variant>
      <vt:variant>
        <vt:i4>0</vt:i4>
      </vt:variant>
      <vt:variant>
        <vt:i4>5</vt:i4>
      </vt:variant>
      <vt:variant>
        <vt:lpwstr/>
      </vt:variant>
      <vt:variant>
        <vt:lpwstr>_Toc345577341</vt:lpwstr>
      </vt:variant>
      <vt:variant>
        <vt:i4>1376306</vt:i4>
      </vt:variant>
      <vt:variant>
        <vt:i4>1163</vt:i4>
      </vt:variant>
      <vt:variant>
        <vt:i4>0</vt:i4>
      </vt:variant>
      <vt:variant>
        <vt:i4>5</vt:i4>
      </vt:variant>
      <vt:variant>
        <vt:lpwstr/>
      </vt:variant>
      <vt:variant>
        <vt:lpwstr>_Toc345577340</vt:lpwstr>
      </vt:variant>
      <vt:variant>
        <vt:i4>1179698</vt:i4>
      </vt:variant>
      <vt:variant>
        <vt:i4>1157</vt:i4>
      </vt:variant>
      <vt:variant>
        <vt:i4>0</vt:i4>
      </vt:variant>
      <vt:variant>
        <vt:i4>5</vt:i4>
      </vt:variant>
      <vt:variant>
        <vt:lpwstr/>
      </vt:variant>
      <vt:variant>
        <vt:lpwstr>_Toc345577339</vt:lpwstr>
      </vt:variant>
      <vt:variant>
        <vt:i4>1179698</vt:i4>
      </vt:variant>
      <vt:variant>
        <vt:i4>1151</vt:i4>
      </vt:variant>
      <vt:variant>
        <vt:i4>0</vt:i4>
      </vt:variant>
      <vt:variant>
        <vt:i4>5</vt:i4>
      </vt:variant>
      <vt:variant>
        <vt:lpwstr/>
      </vt:variant>
      <vt:variant>
        <vt:lpwstr>_Toc345577338</vt:lpwstr>
      </vt:variant>
      <vt:variant>
        <vt:i4>1179698</vt:i4>
      </vt:variant>
      <vt:variant>
        <vt:i4>1145</vt:i4>
      </vt:variant>
      <vt:variant>
        <vt:i4>0</vt:i4>
      </vt:variant>
      <vt:variant>
        <vt:i4>5</vt:i4>
      </vt:variant>
      <vt:variant>
        <vt:lpwstr/>
      </vt:variant>
      <vt:variant>
        <vt:lpwstr>_Toc345577337</vt:lpwstr>
      </vt:variant>
      <vt:variant>
        <vt:i4>1048624</vt:i4>
      </vt:variant>
      <vt:variant>
        <vt:i4>1136</vt:i4>
      </vt:variant>
      <vt:variant>
        <vt:i4>0</vt:i4>
      </vt:variant>
      <vt:variant>
        <vt:i4>5</vt:i4>
      </vt:variant>
      <vt:variant>
        <vt:lpwstr/>
      </vt:variant>
      <vt:variant>
        <vt:lpwstr>_Toc330477470</vt:lpwstr>
      </vt:variant>
      <vt:variant>
        <vt:i4>1114160</vt:i4>
      </vt:variant>
      <vt:variant>
        <vt:i4>1130</vt:i4>
      </vt:variant>
      <vt:variant>
        <vt:i4>0</vt:i4>
      </vt:variant>
      <vt:variant>
        <vt:i4>5</vt:i4>
      </vt:variant>
      <vt:variant>
        <vt:lpwstr/>
      </vt:variant>
      <vt:variant>
        <vt:lpwstr>_Toc330477469</vt:lpwstr>
      </vt:variant>
      <vt:variant>
        <vt:i4>1114160</vt:i4>
      </vt:variant>
      <vt:variant>
        <vt:i4>1124</vt:i4>
      </vt:variant>
      <vt:variant>
        <vt:i4>0</vt:i4>
      </vt:variant>
      <vt:variant>
        <vt:i4>5</vt:i4>
      </vt:variant>
      <vt:variant>
        <vt:lpwstr/>
      </vt:variant>
      <vt:variant>
        <vt:lpwstr>_Toc330477468</vt:lpwstr>
      </vt:variant>
      <vt:variant>
        <vt:i4>1114160</vt:i4>
      </vt:variant>
      <vt:variant>
        <vt:i4>1118</vt:i4>
      </vt:variant>
      <vt:variant>
        <vt:i4>0</vt:i4>
      </vt:variant>
      <vt:variant>
        <vt:i4>5</vt:i4>
      </vt:variant>
      <vt:variant>
        <vt:lpwstr/>
      </vt:variant>
      <vt:variant>
        <vt:lpwstr>_Toc330477467</vt:lpwstr>
      </vt:variant>
      <vt:variant>
        <vt:i4>1114160</vt:i4>
      </vt:variant>
      <vt:variant>
        <vt:i4>1112</vt:i4>
      </vt:variant>
      <vt:variant>
        <vt:i4>0</vt:i4>
      </vt:variant>
      <vt:variant>
        <vt:i4>5</vt:i4>
      </vt:variant>
      <vt:variant>
        <vt:lpwstr/>
      </vt:variant>
      <vt:variant>
        <vt:lpwstr>_Toc330477466</vt:lpwstr>
      </vt:variant>
      <vt:variant>
        <vt:i4>1114160</vt:i4>
      </vt:variant>
      <vt:variant>
        <vt:i4>1106</vt:i4>
      </vt:variant>
      <vt:variant>
        <vt:i4>0</vt:i4>
      </vt:variant>
      <vt:variant>
        <vt:i4>5</vt:i4>
      </vt:variant>
      <vt:variant>
        <vt:lpwstr/>
      </vt:variant>
      <vt:variant>
        <vt:lpwstr>_Toc330477465</vt:lpwstr>
      </vt:variant>
      <vt:variant>
        <vt:i4>1114160</vt:i4>
      </vt:variant>
      <vt:variant>
        <vt:i4>1100</vt:i4>
      </vt:variant>
      <vt:variant>
        <vt:i4>0</vt:i4>
      </vt:variant>
      <vt:variant>
        <vt:i4>5</vt:i4>
      </vt:variant>
      <vt:variant>
        <vt:lpwstr/>
      </vt:variant>
      <vt:variant>
        <vt:lpwstr>_Toc330477464</vt:lpwstr>
      </vt:variant>
      <vt:variant>
        <vt:i4>1114160</vt:i4>
      </vt:variant>
      <vt:variant>
        <vt:i4>1094</vt:i4>
      </vt:variant>
      <vt:variant>
        <vt:i4>0</vt:i4>
      </vt:variant>
      <vt:variant>
        <vt:i4>5</vt:i4>
      </vt:variant>
      <vt:variant>
        <vt:lpwstr/>
      </vt:variant>
      <vt:variant>
        <vt:lpwstr>_Toc330477463</vt:lpwstr>
      </vt:variant>
      <vt:variant>
        <vt:i4>1114160</vt:i4>
      </vt:variant>
      <vt:variant>
        <vt:i4>1088</vt:i4>
      </vt:variant>
      <vt:variant>
        <vt:i4>0</vt:i4>
      </vt:variant>
      <vt:variant>
        <vt:i4>5</vt:i4>
      </vt:variant>
      <vt:variant>
        <vt:lpwstr/>
      </vt:variant>
      <vt:variant>
        <vt:lpwstr>_Toc330477462</vt:lpwstr>
      </vt:variant>
      <vt:variant>
        <vt:i4>1114160</vt:i4>
      </vt:variant>
      <vt:variant>
        <vt:i4>1082</vt:i4>
      </vt:variant>
      <vt:variant>
        <vt:i4>0</vt:i4>
      </vt:variant>
      <vt:variant>
        <vt:i4>5</vt:i4>
      </vt:variant>
      <vt:variant>
        <vt:lpwstr/>
      </vt:variant>
      <vt:variant>
        <vt:lpwstr>_Toc330477461</vt:lpwstr>
      </vt:variant>
      <vt:variant>
        <vt:i4>1114160</vt:i4>
      </vt:variant>
      <vt:variant>
        <vt:i4>1076</vt:i4>
      </vt:variant>
      <vt:variant>
        <vt:i4>0</vt:i4>
      </vt:variant>
      <vt:variant>
        <vt:i4>5</vt:i4>
      </vt:variant>
      <vt:variant>
        <vt:lpwstr/>
      </vt:variant>
      <vt:variant>
        <vt:lpwstr>_Toc330477460</vt:lpwstr>
      </vt:variant>
      <vt:variant>
        <vt:i4>1179696</vt:i4>
      </vt:variant>
      <vt:variant>
        <vt:i4>1070</vt:i4>
      </vt:variant>
      <vt:variant>
        <vt:i4>0</vt:i4>
      </vt:variant>
      <vt:variant>
        <vt:i4>5</vt:i4>
      </vt:variant>
      <vt:variant>
        <vt:lpwstr/>
      </vt:variant>
      <vt:variant>
        <vt:lpwstr>_Toc330477459</vt:lpwstr>
      </vt:variant>
      <vt:variant>
        <vt:i4>1179696</vt:i4>
      </vt:variant>
      <vt:variant>
        <vt:i4>1064</vt:i4>
      </vt:variant>
      <vt:variant>
        <vt:i4>0</vt:i4>
      </vt:variant>
      <vt:variant>
        <vt:i4>5</vt:i4>
      </vt:variant>
      <vt:variant>
        <vt:lpwstr/>
      </vt:variant>
      <vt:variant>
        <vt:lpwstr>_Toc330477458</vt:lpwstr>
      </vt:variant>
      <vt:variant>
        <vt:i4>1179696</vt:i4>
      </vt:variant>
      <vt:variant>
        <vt:i4>1058</vt:i4>
      </vt:variant>
      <vt:variant>
        <vt:i4>0</vt:i4>
      </vt:variant>
      <vt:variant>
        <vt:i4>5</vt:i4>
      </vt:variant>
      <vt:variant>
        <vt:lpwstr/>
      </vt:variant>
      <vt:variant>
        <vt:lpwstr>_Toc330477457</vt:lpwstr>
      </vt:variant>
      <vt:variant>
        <vt:i4>1179696</vt:i4>
      </vt:variant>
      <vt:variant>
        <vt:i4>1052</vt:i4>
      </vt:variant>
      <vt:variant>
        <vt:i4>0</vt:i4>
      </vt:variant>
      <vt:variant>
        <vt:i4>5</vt:i4>
      </vt:variant>
      <vt:variant>
        <vt:lpwstr/>
      </vt:variant>
      <vt:variant>
        <vt:lpwstr>_Toc330477456</vt:lpwstr>
      </vt:variant>
      <vt:variant>
        <vt:i4>1179696</vt:i4>
      </vt:variant>
      <vt:variant>
        <vt:i4>1046</vt:i4>
      </vt:variant>
      <vt:variant>
        <vt:i4>0</vt:i4>
      </vt:variant>
      <vt:variant>
        <vt:i4>5</vt:i4>
      </vt:variant>
      <vt:variant>
        <vt:lpwstr/>
      </vt:variant>
      <vt:variant>
        <vt:lpwstr>_Toc330477455</vt:lpwstr>
      </vt:variant>
      <vt:variant>
        <vt:i4>1179696</vt:i4>
      </vt:variant>
      <vt:variant>
        <vt:i4>1040</vt:i4>
      </vt:variant>
      <vt:variant>
        <vt:i4>0</vt:i4>
      </vt:variant>
      <vt:variant>
        <vt:i4>5</vt:i4>
      </vt:variant>
      <vt:variant>
        <vt:lpwstr/>
      </vt:variant>
      <vt:variant>
        <vt:lpwstr>_Toc330477454</vt:lpwstr>
      </vt:variant>
      <vt:variant>
        <vt:i4>1179696</vt:i4>
      </vt:variant>
      <vt:variant>
        <vt:i4>1034</vt:i4>
      </vt:variant>
      <vt:variant>
        <vt:i4>0</vt:i4>
      </vt:variant>
      <vt:variant>
        <vt:i4>5</vt:i4>
      </vt:variant>
      <vt:variant>
        <vt:lpwstr/>
      </vt:variant>
      <vt:variant>
        <vt:lpwstr>_Toc330477453</vt:lpwstr>
      </vt:variant>
      <vt:variant>
        <vt:i4>1179696</vt:i4>
      </vt:variant>
      <vt:variant>
        <vt:i4>1028</vt:i4>
      </vt:variant>
      <vt:variant>
        <vt:i4>0</vt:i4>
      </vt:variant>
      <vt:variant>
        <vt:i4>5</vt:i4>
      </vt:variant>
      <vt:variant>
        <vt:lpwstr/>
      </vt:variant>
      <vt:variant>
        <vt:lpwstr>_Toc330477452</vt:lpwstr>
      </vt:variant>
      <vt:variant>
        <vt:i4>1179696</vt:i4>
      </vt:variant>
      <vt:variant>
        <vt:i4>1022</vt:i4>
      </vt:variant>
      <vt:variant>
        <vt:i4>0</vt:i4>
      </vt:variant>
      <vt:variant>
        <vt:i4>5</vt:i4>
      </vt:variant>
      <vt:variant>
        <vt:lpwstr/>
      </vt:variant>
      <vt:variant>
        <vt:lpwstr>_Toc330477451</vt:lpwstr>
      </vt:variant>
      <vt:variant>
        <vt:i4>1179696</vt:i4>
      </vt:variant>
      <vt:variant>
        <vt:i4>1016</vt:i4>
      </vt:variant>
      <vt:variant>
        <vt:i4>0</vt:i4>
      </vt:variant>
      <vt:variant>
        <vt:i4>5</vt:i4>
      </vt:variant>
      <vt:variant>
        <vt:lpwstr/>
      </vt:variant>
      <vt:variant>
        <vt:lpwstr>_Toc330477450</vt:lpwstr>
      </vt:variant>
      <vt:variant>
        <vt:i4>1245232</vt:i4>
      </vt:variant>
      <vt:variant>
        <vt:i4>1010</vt:i4>
      </vt:variant>
      <vt:variant>
        <vt:i4>0</vt:i4>
      </vt:variant>
      <vt:variant>
        <vt:i4>5</vt:i4>
      </vt:variant>
      <vt:variant>
        <vt:lpwstr/>
      </vt:variant>
      <vt:variant>
        <vt:lpwstr>_Toc330477449</vt:lpwstr>
      </vt:variant>
      <vt:variant>
        <vt:i4>1245232</vt:i4>
      </vt:variant>
      <vt:variant>
        <vt:i4>1004</vt:i4>
      </vt:variant>
      <vt:variant>
        <vt:i4>0</vt:i4>
      </vt:variant>
      <vt:variant>
        <vt:i4>5</vt:i4>
      </vt:variant>
      <vt:variant>
        <vt:lpwstr/>
      </vt:variant>
      <vt:variant>
        <vt:lpwstr>_Toc330477448</vt:lpwstr>
      </vt:variant>
      <vt:variant>
        <vt:i4>1245232</vt:i4>
      </vt:variant>
      <vt:variant>
        <vt:i4>998</vt:i4>
      </vt:variant>
      <vt:variant>
        <vt:i4>0</vt:i4>
      </vt:variant>
      <vt:variant>
        <vt:i4>5</vt:i4>
      </vt:variant>
      <vt:variant>
        <vt:lpwstr/>
      </vt:variant>
      <vt:variant>
        <vt:lpwstr>_Toc330477447</vt:lpwstr>
      </vt:variant>
      <vt:variant>
        <vt:i4>1245232</vt:i4>
      </vt:variant>
      <vt:variant>
        <vt:i4>992</vt:i4>
      </vt:variant>
      <vt:variant>
        <vt:i4>0</vt:i4>
      </vt:variant>
      <vt:variant>
        <vt:i4>5</vt:i4>
      </vt:variant>
      <vt:variant>
        <vt:lpwstr/>
      </vt:variant>
      <vt:variant>
        <vt:lpwstr>_Toc330477446</vt:lpwstr>
      </vt:variant>
      <vt:variant>
        <vt:i4>1245232</vt:i4>
      </vt:variant>
      <vt:variant>
        <vt:i4>986</vt:i4>
      </vt:variant>
      <vt:variant>
        <vt:i4>0</vt:i4>
      </vt:variant>
      <vt:variant>
        <vt:i4>5</vt:i4>
      </vt:variant>
      <vt:variant>
        <vt:lpwstr/>
      </vt:variant>
      <vt:variant>
        <vt:lpwstr>_Toc330477445</vt:lpwstr>
      </vt:variant>
      <vt:variant>
        <vt:i4>1245232</vt:i4>
      </vt:variant>
      <vt:variant>
        <vt:i4>980</vt:i4>
      </vt:variant>
      <vt:variant>
        <vt:i4>0</vt:i4>
      </vt:variant>
      <vt:variant>
        <vt:i4>5</vt:i4>
      </vt:variant>
      <vt:variant>
        <vt:lpwstr/>
      </vt:variant>
      <vt:variant>
        <vt:lpwstr>_Toc330477444</vt:lpwstr>
      </vt:variant>
      <vt:variant>
        <vt:i4>1245232</vt:i4>
      </vt:variant>
      <vt:variant>
        <vt:i4>974</vt:i4>
      </vt:variant>
      <vt:variant>
        <vt:i4>0</vt:i4>
      </vt:variant>
      <vt:variant>
        <vt:i4>5</vt:i4>
      </vt:variant>
      <vt:variant>
        <vt:lpwstr/>
      </vt:variant>
      <vt:variant>
        <vt:lpwstr>_Toc330477443</vt:lpwstr>
      </vt:variant>
      <vt:variant>
        <vt:i4>1245232</vt:i4>
      </vt:variant>
      <vt:variant>
        <vt:i4>968</vt:i4>
      </vt:variant>
      <vt:variant>
        <vt:i4>0</vt:i4>
      </vt:variant>
      <vt:variant>
        <vt:i4>5</vt:i4>
      </vt:variant>
      <vt:variant>
        <vt:lpwstr/>
      </vt:variant>
      <vt:variant>
        <vt:lpwstr>_Toc330477442</vt:lpwstr>
      </vt:variant>
      <vt:variant>
        <vt:i4>1245232</vt:i4>
      </vt:variant>
      <vt:variant>
        <vt:i4>962</vt:i4>
      </vt:variant>
      <vt:variant>
        <vt:i4>0</vt:i4>
      </vt:variant>
      <vt:variant>
        <vt:i4>5</vt:i4>
      </vt:variant>
      <vt:variant>
        <vt:lpwstr/>
      </vt:variant>
      <vt:variant>
        <vt:lpwstr>_Toc330477441</vt:lpwstr>
      </vt:variant>
      <vt:variant>
        <vt:i4>1245232</vt:i4>
      </vt:variant>
      <vt:variant>
        <vt:i4>956</vt:i4>
      </vt:variant>
      <vt:variant>
        <vt:i4>0</vt:i4>
      </vt:variant>
      <vt:variant>
        <vt:i4>5</vt:i4>
      </vt:variant>
      <vt:variant>
        <vt:lpwstr/>
      </vt:variant>
      <vt:variant>
        <vt:lpwstr>_Toc330477440</vt:lpwstr>
      </vt:variant>
      <vt:variant>
        <vt:i4>1310768</vt:i4>
      </vt:variant>
      <vt:variant>
        <vt:i4>950</vt:i4>
      </vt:variant>
      <vt:variant>
        <vt:i4>0</vt:i4>
      </vt:variant>
      <vt:variant>
        <vt:i4>5</vt:i4>
      </vt:variant>
      <vt:variant>
        <vt:lpwstr/>
      </vt:variant>
      <vt:variant>
        <vt:lpwstr>_Toc330477439</vt:lpwstr>
      </vt:variant>
      <vt:variant>
        <vt:i4>1310768</vt:i4>
      </vt:variant>
      <vt:variant>
        <vt:i4>944</vt:i4>
      </vt:variant>
      <vt:variant>
        <vt:i4>0</vt:i4>
      </vt:variant>
      <vt:variant>
        <vt:i4>5</vt:i4>
      </vt:variant>
      <vt:variant>
        <vt:lpwstr/>
      </vt:variant>
      <vt:variant>
        <vt:lpwstr>_Toc330477438</vt:lpwstr>
      </vt:variant>
      <vt:variant>
        <vt:i4>1310768</vt:i4>
      </vt:variant>
      <vt:variant>
        <vt:i4>938</vt:i4>
      </vt:variant>
      <vt:variant>
        <vt:i4>0</vt:i4>
      </vt:variant>
      <vt:variant>
        <vt:i4>5</vt:i4>
      </vt:variant>
      <vt:variant>
        <vt:lpwstr/>
      </vt:variant>
      <vt:variant>
        <vt:lpwstr>_Toc330477437</vt:lpwstr>
      </vt:variant>
      <vt:variant>
        <vt:i4>1310768</vt:i4>
      </vt:variant>
      <vt:variant>
        <vt:i4>932</vt:i4>
      </vt:variant>
      <vt:variant>
        <vt:i4>0</vt:i4>
      </vt:variant>
      <vt:variant>
        <vt:i4>5</vt:i4>
      </vt:variant>
      <vt:variant>
        <vt:lpwstr/>
      </vt:variant>
      <vt:variant>
        <vt:lpwstr>_Toc330477436</vt:lpwstr>
      </vt:variant>
      <vt:variant>
        <vt:i4>1310768</vt:i4>
      </vt:variant>
      <vt:variant>
        <vt:i4>926</vt:i4>
      </vt:variant>
      <vt:variant>
        <vt:i4>0</vt:i4>
      </vt:variant>
      <vt:variant>
        <vt:i4>5</vt:i4>
      </vt:variant>
      <vt:variant>
        <vt:lpwstr/>
      </vt:variant>
      <vt:variant>
        <vt:lpwstr>_Toc330477435</vt:lpwstr>
      </vt:variant>
      <vt:variant>
        <vt:i4>1310768</vt:i4>
      </vt:variant>
      <vt:variant>
        <vt:i4>920</vt:i4>
      </vt:variant>
      <vt:variant>
        <vt:i4>0</vt:i4>
      </vt:variant>
      <vt:variant>
        <vt:i4>5</vt:i4>
      </vt:variant>
      <vt:variant>
        <vt:lpwstr/>
      </vt:variant>
      <vt:variant>
        <vt:lpwstr>_Toc330477434</vt:lpwstr>
      </vt:variant>
      <vt:variant>
        <vt:i4>1310768</vt:i4>
      </vt:variant>
      <vt:variant>
        <vt:i4>914</vt:i4>
      </vt:variant>
      <vt:variant>
        <vt:i4>0</vt:i4>
      </vt:variant>
      <vt:variant>
        <vt:i4>5</vt:i4>
      </vt:variant>
      <vt:variant>
        <vt:lpwstr/>
      </vt:variant>
      <vt:variant>
        <vt:lpwstr>_Toc330477433</vt:lpwstr>
      </vt:variant>
      <vt:variant>
        <vt:i4>1310768</vt:i4>
      </vt:variant>
      <vt:variant>
        <vt:i4>908</vt:i4>
      </vt:variant>
      <vt:variant>
        <vt:i4>0</vt:i4>
      </vt:variant>
      <vt:variant>
        <vt:i4>5</vt:i4>
      </vt:variant>
      <vt:variant>
        <vt:lpwstr/>
      </vt:variant>
      <vt:variant>
        <vt:lpwstr>_Toc330477432</vt:lpwstr>
      </vt:variant>
      <vt:variant>
        <vt:i4>1310768</vt:i4>
      </vt:variant>
      <vt:variant>
        <vt:i4>902</vt:i4>
      </vt:variant>
      <vt:variant>
        <vt:i4>0</vt:i4>
      </vt:variant>
      <vt:variant>
        <vt:i4>5</vt:i4>
      </vt:variant>
      <vt:variant>
        <vt:lpwstr/>
      </vt:variant>
      <vt:variant>
        <vt:lpwstr>_Toc330477431</vt:lpwstr>
      </vt:variant>
      <vt:variant>
        <vt:i4>1310768</vt:i4>
      </vt:variant>
      <vt:variant>
        <vt:i4>896</vt:i4>
      </vt:variant>
      <vt:variant>
        <vt:i4>0</vt:i4>
      </vt:variant>
      <vt:variant>
        <vt:i4>5</vt:i4>
      </vt:variant>
      <vt:variant>
        <vt:lpwstr/>
      </vt:variant>
      <vt:variant>
        <vt:lpwstr>_Toc330477430</vt:lpwstr>
      </vt:variant>
      <vt:variant>
        <vt:i4>1376304</vt:i4>
      </vt:variant>
      <vt:variant>
        <vt:i4>890</vt:i4>
      </vt:variant>
      <vt:variant>
        <vt:i4>0</vt:i4>
      </vt:variant>
      <vt:variant>
        <vt:i4>5</vt:i4>
      </vt:variant>
      <vt:variant>
        <vt:lpwstr/>
      </vt:variant>
      <vt:variant>
        <vt:lpwstr>_Toc330477429</vt:lpwstr>
      </vt:variant>
      <vt:variant>
        <vt:i4>1376304</vt:i4>
      </vt:variant>
      <vt:variant>
        <vt:i4>884</vt:i4>
      </vt:variant>
      <vt:variant>
        <vt:i4>0</vt:i4>
      </vt:variant>
      <vt:variant>
        <vt:i4>5</vt:i4>
      </vt:variant>
      <vt:variant>
        <vt:lpwstr/>
      </vt:variant>
      <vt:variant>
        <vt:lpwstr>_Toc330477428</vt:lpwstr>
      </vt:variant>
      <vt:variant>
        <vt:i4>1376304</vt:i4>
      </vt:variant>
      <vt:variant>
        <vt:i4>878</vt:i4>
      </vt:variant>
      <vt:variant>
        <vt:i4>0</vt:i4>
      </vt:variant>
      <vt:variant>
        <vt:i4>5</vt:i4>
      </vt:variant>
      <vt:variant>
        <vt:lpwstr/>
      </vt:variant>
      <vt:variant>
        <vt:lpwstr>_Toc330477427</vt:lpwstr>
      </vt:variant>
      <vt:variant>
        <vt:i4>1376304</vt:i4>
      </vt:variant>
      <vt:variant>
        <vt:i4>872</vt:i4>
      </vt:variant>
      <vt:variant>
        <vt:i4>0</vt:i4>
      </vt:variant>
      <vt:variant>
        <vt:i4>5</vt:i4>
      </vt:variant>
      <vt:variant>
        <vt:lpwstr/>
      </vt:variant>
      <vt:variant>
        <vt:lpwstr>_Toc330477426</vt:lpwstr>
      </vt:variant>
      <vt:variant>
        <vt:i4>1376304</vt:i4>
      </vt:variant>
      <vt:variant>
        <vt:i4>866</vt:i4>
      </vt:variant>
      <vt:variant>
        <vt:i4>0</vt:i4>
      </vt:variant>
      <vt:variant>
        <vt:i4>5</vt:i4>
      </vt:variant>
      <vt:variant>
        <vt:lpwstr/>
      </vt:variant>
      <vt:variant>
        <vt:lpwstr>_Toc330477425</vt:lpwstr>
      </vt:variant>
      <vt:variant>
        <vt:i4>1376304</vt:i4>
      </vt:variant>
      <vt:variant>
        <vt:i4>860</vt:i4>
      </vt:variant>
      <vt:variant>
        <vt:i4>0</vt:i4>
      </vt:variant>
      <vt:variant>
        <vt:i4>5</vt:i4>
      </vt:variant>
      <vt:variant>
        <vt:lpwstr/>
      </vt:variant>
      <vt:variant>
        <vt:lpwstr>_Toc330477424</vt:lpwstr>
      </vt:variant>
      <vt:variant>
        <vt:i4>1376304</vt:i4>
      </vt:variant>
      <vt:variant>
        <vt:i4>854</vt:i4>
      </vt:variant>
      <vt:variant>
        <vt:i4>0</vt:i4>
      </vt:variant>
      <vt:variant>
        <vt:i4>5</vt:i4>
      </vt:variant>
      <vt:variant>
        <vt:lpwstr/>
      </vt:variant>
      <vt:variant>
        <vt:lpwstr>_Toc330477423</vt:lpwstr>
      </vt:variant>
      <vt:variant>
        <vt:i4>1376304</vt:i4>
      </vt:variant>
      <vt:variant>
        <vt:i4>848</vt:i4>
      </vt:variant>
      <vt:variant>
        <vt:i4>0</vt:i4>
      </vt:variant>
      <vt:variant>
        <vt:i4>5</vt:i4>
      </vt:variant>
      <vt:variant>
        <vt:lpwstr/>
      </vt:variant>
      <vt:variant>
        <vt:lpwstr>_Toc330477422</vt:lpwstr>
      </vt:variant>
      <vt:variant>
        <vt:i4>1376304</vt:i4>
      </vt:variant>
      <vt:variant>
        <vt:i4>842</vt:i4>
      </vt:variant>
      <vt:variant>
        <vt:i4>0</vt:i4>
      </vt:variant>
      <vt:variant>
        <vt:i4>5</vt:i4>
      </vt:variant>
      <vt:variant>
        <vt:lpwstr/>
      </vt:variant>
      <vt:variant>
        <vt:lpwstr>_Toc330477421</vt:lpwstr>
      </vt:variant>
      <vt:variant>
        <vt:i4>1376304</vt:i4>
      </vt:variant>
      <vt:variant>
        <vt:i4>836</vt:i4>
      </vt:variant>
      <vt:variant>
        <vt:i4>0</vt:i4>
      </vt:variant>
      <vt:variant>
        <vt:i4>5</vt:i4>
      </vt:variant>
      <vt:variant>
        <vt:lpwstr/>
      </vt:variant>
      <vt:variant>
        <vt:lpwstr>_Toc330477420</vt:lpwstr>
      </vt:variant>
      <vt:variant>
        <vt:i4>1441840</vt:i4>
      </vt:variant>
      <vt:variant>
        <vt:i4>830</vt:i4>
      </vt:variant>
      <vt:variant>
        <vt:i4>0</vt:i4>
      </vt:variant>
      <vt:variant>
        <vt:i4>5</vt:i4>
      </vt:variant>
      <vt:variant>
        <vt:lpwstr/>
      </vt:variant>
      <vt:variant>
        <vt:lpwstr>_Toc330477419</vt:lpwstr>
      </vt:variant>
      <vt:variant>
        <vt:i4>1441840</vt:i4>
      </vt:variant>
      <vt:variant>
        <vt:i4>824</vt:i4>
      </vt:variant>
      <vt:variant>
        <vt:i4>0</vt:i4>
      </vt:variant>
      <vt:variant>
        <vt:i4>5</vt:i4>
      </vt:variant>
      <vt:variant>
        <vt:lpwstr/>
      </vt:variant>
      <vt:variant>
        <vt:lpwstr>_Toc330477418</vt:lpwstr>
      </vt:variant>
      <vt:variant>
        <vt:i4>1441840</vt:i4>
      </vt:variant>
      <vt:variant>
        <vt:i4>818</vt:i4>
      </vt:variant>
      <vt:variant>
        <vt:i4>0</vt:i4>
      </vt:variant>
      <vt:variant>
        <vt:i4>5</vt:i4>
      </vt:variant>
      <vt:variant>
        <vt:lpwstr/>
      </vt:variant>
      <vt:variant>
        <vt:lpwstr>_Toc330477417</vt:lpwstr>
      </vt:variant>
      <vt:variant>
        <vt:i4>1441840</vt:i4>
      </vt:variant>
      <vt:variant>
        <vt:i4>812</vt:i4>
      </vt:variant>
      <vt:variant>
        <vt:i4>0</vt:i4>
      </vt:variant>
      <vt:variant>
        <vt:i4>5</vt:i4>
      </vt:variant>
      <vt:variant>
        <vt:lpwstr/>
      </vt:variant>
      <vt:variant>
        <vt:lpwstr>_Toc330477416</vt:lpwstr>
      </vt:variant>
      <vt:variant>
        <vt:i4>1441840</vt:i4>
      </vt:variant>
      <vt:variant>
        <vt:i4>806</vt:i4>
      </vt:variant>
      <vt:variant>
        <vt:i4>0</vt:i4>
      </vt:variant>
      <vt:variant>
        <vt:i4>5</vt:i4>
      </vt:variant>
      <vt:variant>
        <vt:lpwstr/>
      </vt:variant>
      <vt:variant>
        <vt:lpwstr>_Toc330477415</vt:lpwstr>
      </vt:variant>
      <vt:variant>
        <vt:i4>1441840</vt:i4>
      </vt:variant>
      <vt:variant>
        <vt:i4>800</vt:i4>
      </vt:variant>
      <vt:variant>
        <vt:i4>0</vt:i4>
      </vt:variant>
      <vt:variant>
        <vt:i4>5</vt:i4>
      </vt:variant>
      <vt:variant>
        <vt:lpwstr/>
      </vt:variant>
      <vt:variant>
        <vt:lpwstr>_Toc330477414</vt:lpwstr>
      </vt:variant>
      <vt:variant>
        <vt:i4>1441840</vt:i4>
      </vt:variant>
      <vt:variant>
        <vt:i4>794</vt:i4>
      </vt:variant>
      <vt:variant>
        <vt:i4>0</vt:i4>
      </vt:variant>
      <vt:variant>
        <vt:i4>5</vt:i4>
      </vt:variant>
      <vt:variant>
        <vt:lpwstr/>
      </vt:variant>
      <vt:variant>
        <vt:lpwstr>_Toc330477413</vt:lpwstr>
      </vt:variant>
      <vt:variant>
        <vt:i4>1441840</vt:i4>
      </vt:variant>
      <vt:variant>
        <vt:i4>788</vt:i4>
      </vt:variant>
      <vt:variant>
        <vt:i4>0</vt:i4>
      </vt:variant>
      <vt:variant>
        <vt:i4>5</vt:i4>
      </vt:variant>
      <vt:variant>
        <vt:lpwstr/>
      </vt:variant>
      <vt:variant>
        <vt:lpwstr>_Toc330477412</vt:lpwstr>
      </vt:variant>
      <vt:variant>
        <vt:i4>1441840</vt:i4>
      </vt:variant>
      <vt:variant>
        <vt:i4>782</vt:i4>
      </vt:variant>
      <vt:variant>
        <vt:i4>0</vt:i4>
      </vt:variant>
      <vt:variant>
        <vt:i4>5</vt:i4>
      </vt:variant>
      <vt:variant>
        <vt:lpwstr/>
      </vt:variant>
      <vt:variant>
        <vt:lpwstr>_Toc330477411</vt:lpwstr>
      </vt:variant>
      <vt:variant>
        <vt:i4>1441840</vt:i4>
      </vt:variant>
      <vt:variant>
        <vt:i4>776</vt:i4>
      </vt:variant>
      <vt:variant>
        <vt:i4>0</vt:i4>
      </vt:variant>
      <vt:variant>
        <vt:i4>5</vt:i4>
      </vt:variant>
      <vt:variant>
        <vt:lpwstr/>
      </vt:variant>
      <vt:variant>
        <vt:lpwstr>_Toc330477410</vt:lpwstr>
      </vt:variant>
      <vt:variant>
        <vt:i4>1507376</vt:i4>
      </vt:variant>
      <vt:variant>
        <vt:i4>770</vt:i4>
      </vt:variant>
      <vt:variant>
        <vt:i4>0</vt:i4>
      </vt:variant>
      <vt:variant>
        <vt:i4>5</vt:i4>
      </vt:variant>
      <vt:variant>
        <vt:lpwstr/>
      </vt:variant>
      <vt:variant>
        <vt:lpwstr>_Toc330477409</vt:lpwstr>
      </vt:variant>
      <vt:variant>
        <vt:i4>1507376</vt:i4>
      </vt:variant>
      <vt:variant>
        <vt:i4>764</vt:i4>
      </vt:variant>
      <vt:variant>
        <vt:i4>0</vt:i4>
      </vt:variant>
      <vt:variant>
        <vt:i4>5</vt:i4>
      </vt:variant>
      <vt:variant>
        <vt:lpwstr/>
      </vt:variant>
      <vt:variant>
        <vt:lpwstr>_Toc330477408</vt:lpwstr>
      </vt:variant>
      <vt:variant>
        <vt:i4>1507376</vt:i4>
      </vt:variant>
      <vt:variant>
        <vt:i4>758</vt:i4>
      </vt:variant>
      <vt:variant>
        <vt:i4>0</vt:i4>
      </vt:variant>
      <vt:variant>
        <vt:i4>5</vt:i4>
      </vt:variant>
      <vt:variant>
        <vt:lpwstr/>
      </vt:variant>
      <vt:variant>
        <vt:lpwstr>_Toc330477407</vt:lpwstr>
      </vt:variant>
      <vt:variant>
        <vt:i4>1507376</vt:i4>
      </vt:variant>
      <vt:variant>
        <vt:i4>752</vt:i4>
      </vt:variant>
      <vt:variant>
        <vt:i4>0</vt:i4>
      </vt:variant>
      <vt:variant>
        <vt:i4>5</vt:i4>
      </vt:variant>
      <vt:variant>
        <vt:lpwstr/>
      </vt:variant>
      <vt:variant>
        <vt:lpwstr>_Toc330477406</vt:lpwstr>
      </vt:variant>
      <vt:variant>
        <vt:i4>1507376</vt:i4>
      </vt:variant>
      <vt:variant>
        <vt:i4>746</vt:i4>
      </vt:variant>
      <vt:variant>
        <vt:i4>0</vt:i4>
      </vt:variant>
      <vt:variant>
        <vt:i4>5</vt:i4>
      </vt:variant>
      <vt:variant>
        <vt:lpwstr/>
      </vt:variant>
      <vt:variant>
        <vt:lpwstr>_Toc330477405</vt:lpwstr>
      </vt:variant>
      <vt:variant>
        <vt:i4>1507376</vt:i4>
      </vt:variant>
      <vt:variant>
        <vt:i4>740</vt:i4>
      </vt:variant>
      <vt:variant>
        <vt:i4>0</vt:i4>
      </vt:variant>
      <vt:variant>
        <vt:i4>5</vt:i4>
      </vt:variant>
      <vt:variant>
        <vt:lpwstr/>
      </vt:variant>
      <vt:variant>
        <vt:lpwstr>_Toc330477404</vt:lpwstr>
      </vt:variant>
      <vt:variant>
        <vt:i4>1507376</vt:i4>
      </vt:variant>
      <vt:variant>
        <vt:i4>734</vt:i4>
      </vt:variant>
      <vt:variant>
        <vt:i4>0</vt:i4>
      </vt:variant>
      <vt:variant>
        <vt:i4>5</vt:i4>
      </vt:variant>
      <vt:variant>
        <vt:lpwstr/>
      </vt:variant>
      <vt:variant>
        <vt:lpwstr>_Toc330477403</vt:lpwstr>
      </vt:variant>
      <vt:variant>
        <vt:i4>1507376</vt:i4>
      </vt:variant>
      <vt:variant>
        <vt:i4>728</vt:i4>
      </vt:variant>
      <vt:variant>
        <vt:i4>0</vt:i4>
      </vt:variant>
      <vt:variant>
        <vt:i4>5</vt:i4>
      </vt:variant>
      <vt:variant>
        <vt:lpwstr/>
      </vt:variant>
      <vt:variant>
        <vt:lpwstr>_Toc330477402</vt:lpwstr>
      </vt:variant>
      <vt:variant>
        <vt:i4>1507376</vt:i4>
      </vt:variant>
      <vt:variant>
        <vt:i4>722</vt:i4>
      </vt:variant>
      <vt:variant>
        <vt:i4>0</vt:i4>
      </vt:variant>
      <vt:variant>
        <vt:i4>5</vt:i4>
      </vt:variant>
      <vt:variant>
        <vt:lpwstr/>
      </vt:variant>
      <vt:variant>
        <vt:lpwstr>_Toc330477401</vt:lpwstr>
      </vt:variant>
      <vt:variant>
        <vt:i4>1507376</vt:i4>
      </vt:variant>
      <vt:variant>
        <vt:i4>716</vt:i4>
      </vt:variant>
      <vt:variant>
        <vt:i4>0</vt:i4>
      </vt:variant>
      <vt:variant>
        <vt:i4>5</vt:i4>
      </vt:variant>
      <vt:variant>
        <vt:lpwstr/>
      </vt:variant>
      <vt:variant>
        <vt:lpwstr>_Toc330477400</vt:lpwstr>
      </vt:variant>
      <vt:variant>
        <vt:i4>1966135</vt:i4>
      </vt:variant>
      <vt:variant>
        <vt:i4>710</vt:i4>
      </vt:variant>
      <vt:variant>
        <vt:i4>0</vt:i4>
      </vt:variant>
      <vt:variant>
        <vt:i4>5</vt:i4>
      </vt:variant>
      <vt:variant>
        <vt:lpwstr/>
      </vt:variant>
      <vt:variant>
        <vt:lpwstr>_Toc330477399</vt:lpwstr>
      </vt:variant>
      <vt:variant>
        <vt:i4>1966135</vt:i4>
      </vt:variant>
      <vt:variant>
        <vt:i4>704</vt:i4>
      </vt:variant>
      <vt:variant>
        <vt:i4>0</vt:i4>
      </vt:variant>
      <vt:variant>
        <vt:i4>5</vt:i4>
      </vt:variant>
      <vt:variant>
        <vt:lpwstr/>
      </vt:variant>
      <vt:variant>
        <vt:lpwstr>_Toc330477398</vt:lpwstr>
      </vt:variant>
      <vt:variant>
        <vt:i4>1966135</vt:i4>
      </vt:variant>
      <vt:variant>
        <vt:i4>698</vt:i4>
      </vt:variant>
      <vt:variant>
        <vt:i4>0</vt:i4>
      </vt:variant>
      <vt:variant>
        <vt:i4>5</vt:i4>
      </vt:variant>
      <vt:variant>
        <vt:lpwstr/>
      </vt:variant>
      <vt:variant>
        <vt:lpwstr>_Toc330477397</vt:lpwstr>
      </vt:variant>
      <vt:variant>
        <vt:i4>1966135</vt:i4>
      </vt:variant>
      <vt:variant>
        <vt:i4>692</vt:i4>
      </vt:variant>
      <vt:variant>
        <vt:i4>0</vt:i4>
      </vt:variant>
      <vt:variant>
        <vt:i4>5</vt:i4>
      </vt:variant>
      <vt:variant>
        <vt:lpwstr/>
      </vt:variant>
      <vt:variant>
        <vt:lpwstr>_Toc330477396</vt:lpwstr>
      </vt:variant>
      <vt:variant>
        <vt:i4>1966135</vt:i4>
      </vt:variant>
      <vt:variant>
        <vt:i4>686</vt:i4>
      </vt:variant>
      <vt:variant>
        <vt:i4>0</vt:i4>
      </vt:variant>
      <vt:variant>
        <vt:i4>5</vt:i4>
      </vt:variant>
      <vt:variant>
        <vt:lpwstr/>
      </vt:variant>
      <vt:variant>
        <vt:lpwstr>_Toc330477395</vt:lpwstr>
      </vt:variant>
      <vt:variant>
        <vt:i4>1966135</vt:i4>
      </vt:variant>
      <vt:variant>
        <vt:i4>680</vt:i4>
      </vt:variant>
      <vt:variant>
        <vt:i4>0</vt:i4>
      </vt:variant>
      <vt:variant>
        <vt:i4>5</vt:i4>
      </vt:variant>
      <vt:variant>
        <vt:lpwstr/>
      </vt:variant>
      <vt:variant>
        <vt:lpwstr>_Toc330477394</vt:lpwstr>
      </vt:variant>
      <vt:variant>
        <vt:i4>1966135</vt:i4>
      </vt:variant>
      <vt:variant>
        <vt:i4>674</vt:i4>
      </vt:variant>
      <vt:variant>
        <vt:i4>0</vt:i4>
      </vt:variant>
      <vt:variant>
        <vt:i4>5</vt:i4>
      </vt:variant>
      <vt:variant>
        <vt:lpwstr/>
      </vt:variant>
      <vt:variant>
        <vt:lpwstr>_Toc330477393</vt:lpwstr>
      </vt:variant>
      <vt:variant>
        <vt:i4>1966135</vt:i4>
      </vt:variant>
      <vt:variant>
        <vt:i4>668</vt:i4>
      </vt:variant>
      <vt:variant>
        <vt:i4>0</vt:i4>
      </vt:variant>
      <vt:variant>
        <vt:i4>5</vt:i4>
      </vt:variant>
      <vt:variant>
        <vt:lpwstr/>
      </vt:variant>
      <vt:variant>
        <vt:lpwstr>_Toc330477392</vt:lpwstr>
      </vt:variant>
      <vt:variant>
        <vt:i4>1966135</vt:i4>
      </vt:variant>
      <vt:variant>
        <vt:i4>662</vt:i4>
      </vt:variant>
      <vt:variant>
        <vt:i4>0</vt:i4>
      </vt:variant>
      <vt:variant>
        <vt:i4>5</vt:i4>
      </vt:variant>
      <vt:variant>
        <vt:lpwstr/>
      </vt:variant>
      <vt:variant>
        <vt:lpwstr>_Toc330477391</vt:lpwstr>
      </vt:variant>
      <vt:variant>
        <vt:i4>1966135</vt:i4>
      </vt:variant>
      <vt:variant>
        <vt:i4>656</vt:i4>
      </vt:variant>
      <vt:variant>
        <vt:i4>0</vt:i4>
      </vt:variant>
      <vt:variant>
        <vt:i4>5</vt:i4>
      </vt:variant>
      <vt:variant>
        <vt:lpwstr/>
      </vt:variant>
      <vt:variant>
        <vt:lpwstr>_Toc330477390</vt:lpwstr>
      </vt:variant>
      <vt:variant>
        <vt:i4>2031671</vt:i4>
      </vt:variant>
      <vt:variant>
        <vt:i4>650</vt:i4>
      </vt:variant>
      <vt:variant>
        <vt:i4>0</vt:i4>
      </vt:variant>
      <vt:variant>
        <vt:i4>5</vt:i4>
      </vt:variant>
      <vt:variant>
        <vt:lpwstr/>
      </vt:variant>
      <vt:variant>
        <vt:lpwstr>_Toc330477389</vt:lpwstr>
      </vt:variant>
      <vt:variant>
        <vt:i4>2031671</vt:i4>
      </vt:variant>
      <vt:variant>
        <vt:i4>644</vt:i4>
      </vt:variant>
      <vt:variant>
        <vt:i4>0</vt:i4>
      </vt:variant>
      <vt:variant>
        <vt:i4>5</vt:i4>
      </vt:variant>
      <vt:variant>
        <vt:lpwstr/>
      </vt:variant>
      <vt:variant>
        <vt:lpwstr>_Toc330477388</vt:lpwstr>
      </vt:variant>
      <vt:variant>
        <vt:i4>2031671</vt:i4>
      </vt:variant>
      <vt:variant>
        <vt:i4>638</vt:i4>
      </vt:variant>
      <vt:variant>
        <vt:i4>0</vt:i4>
      </vt:variant>
      <vt:variant>
        <vt:i4>5</vt:i4>
      </vt:variant>
      <vt:variant>
        <vt:lpwstr/>
      </vt:variant>
      <vt:variant>
        <vt:lpwstr>_Toc330477387</vt:lpwstr>
      </vt:variant>
      <vt:variant>
        <vt:i4>2031671</vt:i4>
      </vt:variant>
      <vt:variant>
        <vt:i4>632</vt:i4>
      </vt:variant>
      <vt:variant>
        <vt:i4>0</vt:i4>
      </vt:variant>
      <vt:variant>
        <vt:i4>5</vt:i4>
      </vt:variant>
      <vt:variant>
        <vt:lpwstr/>
      </vt:variant>
      <vt:variant>
        <vt:lpwstr>_Toc330477386</vt:lpwstr>
      </vt:variant>
      <vt:variant>
        <vt:i4>2031671</vt:i4>
      </vt:variant>
      <vt:variant>
        <vt:i4>626</vt:i4>
      </vt:variant>
      <vt:variant>
        <vt:i4>0</vt:i4>
      </vt:variant>
      <vt:variant>
        <vt:i4>5</vt:i4>
      </vt:variant>
      <vt:variant>
        <vt:lpwstr/>
      </vt:variant>
      <vt:variant>
        <vt:lpwstr>_Toc330477385</vt:lpwstr>
      </vt:variant>
      <vt:variant>
        <vt:i4>2031671</vt:i4>
      </vt:variant>
      <vt:variant>
        <vt:i4>620</vt:i4>
      </vt:variant>
      <vt:variant>
        <vt:i4>0</vt:i4>
      </vt:variant>
      <vt:variant>
        <vt:i4>5</vt:i4>
      </vt:variant>
      <vt:variant>
        <vt:lpwstr/>
      </vt:variant>
      <vt:variant>
        <vt:lpwstr>_Toc330477384</vt:lpwstr>
      </vt:variant>
      <vt:variant>
        <vt:i4>2031671</vt:i4>
      </vt:variant>
      <vt:variant>
        <vt:i4>614</vt:i4>
      </vt:variant>
      <vt:variant>
        <vt:i4>0</vt:i4>
      </vt:variant>
      <vt:variant>
        <vt:i4>5</vt:i4>
      </vt:variant>
      <vt:variant>
        <vt:lpwstr/>
      </vt:variant>
      <vt:variant>
        <vt:lpwstr>_Toc330477383</vt:lpwstr>
      </vt:variant>
      <vt:variant>
        <vt:i4>2031671</vt:i4>
      </vt:variant>
      <vt:variant>
        <vt:i4>608</vt:i4>
      </vt:variant>
      <vt:variant>
        <vt:i4>0</vt:i4>
      </vt:variant>
      <vt:variant>
        <vt:i4>5</vt:i4>
      </vt:variant>
      <vt:variant>
        <vt:lpwstr/>
      </vt:variant>
      <vt:variant>
        <vt:lpwstr>_Toc330477382</vt:lpwstr>
      </vt:variant>
      <vt:variant>
        <vt:i4>2031671</vt:i4>
      </vt:variant>
      <vt:variant>
        <vt:i4>602</vt:i4>
      </vt:variant>
      <vt:variant>
        <vt:i4>0</vt:i4>
      </vt:variant>
      <vt:variant>
        <vt:i4>5</vt:i4>
      </vt:variant>
      <vt:variant>
        <vt:lpwstr/>
      </vt:variant>
      <vt:variant>
        <vt:lpwstr>_Toc330477381</vt:lpwstr>
      </vt:variant>
      <vt:variant>
        <vt:i4>2031671</vt:i4>
      </vt:variant>
      <vt:variant>
        <vt:i4>596</vt:i4>
      </vt:variant>
      <vt:variant>
        <vt:i4>0</vt:i4>
      </vt:variant>
      <vt:variant>
        <vt:i4>5</vt:i4>
      </vt:variant>
      <vt:variant>
        <vt:lpwstr/>
      </vt:variant>
      <vt:variant>
        <vt:lpwstr>_Toc330477380</vt:lpwstr>
      </vt:variant>
      <vt:variant>
        <vt:i4>1048631</vt:i4>
      </vt:variant>
      <vt:variant>
        <vt:i4>590</vt:i4>
      </vt:variant>
      <vt:variant>
        <vt:i4>0</vt:i4>
      </vt:variant>
      <vt:variant>
        <vt:i4>5</vt:i4>
      </vt:variant>
      <vt:variant>
        <vt:lpwstr/>
      </vt:variant>
      <vt:variant>
        <vt:lpwstr>_Toc330477379</vt:lpwstr>
      </vt:variant>
      <vt:variant>
        <vt:i4>1048631</vt:i4>
      </vt:variant>
      <vt:variant>
        <vt:i4>584</vt:i4>
      </vt:variant>
      <vt:variant>
        <vt:i4>0</vt:i4>
      </vt:variant>
      <vt:variant>
        <vt:i4>5</vt:i4>
      </vt:variant>
      <vt:variant>
        <vt:lpwstr/>
      </vt:variant>
      <vt:variant>
        <vt:lpwstr>_Toc330477378</vt:lpwstr>
      </vt:variant>
      <vt:variant>
        <vt:i4>1048631</vt:i4>
      </vt:variant>
      <vt:variant>
        <vt:i4>578</vt:i4>
      </vt:variant>
      <vt:variant>
        <vt:i4>0</vt:i4>
      </vt:variant>
      <vt:variant>
        <vt:i4>5</vt:i4>
      </vt:variant>
      <vt:variant>
        <vt:lpwstr/>
      </vt:variant>
      <vt:variant>
        <vt:lpwstr>_Toc330477377</vt:lpwstr>
      </vt:variant>
      <vt:variant>
        <vt:i4>1048631</vt:i4>
      </vt:variant>
      <vt:variant>
        <vt:i4>572</vt:i4>
      </vt:variant>
      <vt:variant>
        <vt:i4>0</vt:i4>
      </vt:variant>
      <vt:variant>
        <vt:i4>5</vt:i4>
      </vt:variant>
      <vt:variant>
        <vt:lpwstr/>
      </vt:variant>
      <vt:variant>
        <vt:lpwstr>_Toc330477376</vt:lpwstr>
      </vt:variant>
      <vt:variant>
        <vt:i4>1048631</vt:i4>
      </vt:variant>
      <vt:variant>
        <vt:i4>566</vt:i4>
      </vt:variant>
      <vt:variant>
        <vt:i4>0</vt:i4>
      </vt:variant>
      <vt:variant>
        <vt:i4>5</vt:i4>
      </vt:variant>
      <vt:variant>
        <vt:lpwstr/>
      </vt:variant>
      <vt:variant>
        <vt:lpwstr>_Toc330477375</vt:lpwstr>
      </vt:variant>
      <vt:variant>
        <vt:i4>1048631</vt:i4>
      </vt:variant>
      <vt:variant>
        <vt:i4>560</vt:i4>
      </vt:variant>
      <vt:variant>
        <vt:i4>0</vt:i4>
      </vt:variant>
      <vt:variant>
        <vt:i4>5</vt:i4>
      </vt:variant>
      <vt:variant>
        <vt:lpwstr/>
      </vt:variant>
      <vt:variant>
        <vt:lpwstr>_Toc330477374</vt:lpwstr>
      </vt:variant>
      <vt:variant>
        <vt:i4>1048631</vt:i4>
      </vt:variant>
      <vt:variant>
        <vt:i4>554</vt:i4>
      </vt:variant>
      <vt:variant>
        <vt:i4>0</vt:i4>
      </vt:variant>
      <vt:variant>
        <vt:i4>5</vt:i4>
      </vt:variant>
      <vt:variant>
        <vt:lpwstr/>
      </vt:variant>
      <vt:variant>
        <vt:lpwstr>_Toc330477373</vt:lpwstr>
      </vt:variant>
      <vt:variant>
        <vt:i4>1048631</vt:i4>
      </vt:variant>
      <vt:variant>
        <vt:i4>548</vt:i4>
      </vt:variant>
      <vt:variant>
        <vt:i4>0</vt:i4>
      </vt:variant>
      <vt:variant>
        <vt:i4>5</vt:i4>
      </vt:variant>
      <vt:variant>
        <vt:lpwstr/>
      </vt:variant>
      <vt:variant>
        <vt:lpwstr>_Toc330477372</vt:lpwstr>
      </vt:variant>
      <vt:variant>
        <vt:i4>1048631</vt:i4>
      </vt:variant>
      <vt:variant>
        <vt:i4>542</vt:i4>
      </vt:variant>
      <vt:variant>
        <vt:i4>0</vt:i4>
      </vt:variant>
      <vt:variant>
        <vt:i4>5</vt:i4>
      </vt:variant>
      <vt:variant>
        <vt:lpwstr/>
      </vt:variant>
      <vt:variant>
        <vt:lpwstr>_Toc330477371</vt:lpwstr>
      </vt:variant>
      <vt:variant>
        <vt:i4>1048631</vt:i4>
      </vt:variant>
      <vt:variant>
        <vt:i4>536</vt:i4>
      </vt:variant>
      <vt:variant>
        <vt:i4>0</vt:i4>
      </vt:variant>
      <vt:variant>
        <vt:i4>5</vt:i4>
      </vt:variant>
      <vt:variant>
        <vt:lpwstr/>
      </vt:variant>
      <vt:variant>
        <vt:lpwstr>_Toc330477370</vt:lpwstr>
      </vt:variant>
      <vt:variant>
        <vt:i4>1114167</vt:i4>
      </vt:variant>
      <vt:variant>
        <vt:i4>530</vt:i4>
      </vt:variant>
      <vt:variant>
        <vt:i4>0</vt:i4>
      </vt:variant>
      <vt:variant>
        <vt:i4>5</vt:i4>
      </vt:variant>
      <vt:variant>
        <vt:lpwstr/>
      </vt:variant>
      <vt:variant>
        <vt:lpwstr>_Toc330477369</vt:lpwstr>
      </vt:variant>
      <vt:variant>
        <vt:i4>1114167</vt:i4>
      </vt:variant>
      <vt:variant>
        <vt:i4>524</vt:i4>
      </vt:variant>
      <vt:variant>
        <vt:i4>0</vt:i4>
      </vt:variant>
      <vt:variant>
        <vt:i4>5</vt:i4>
      </vt:variant>
      <vt:variant>
        <vt:lpwstr/>
      </vt:variant>
      <vt:variant>
        <vt:lpwstr>_Toc330477368</vt:lpwstr>
      </vt:variant>
      <vt:variant>
        <vt:i4>1114167</vt:i4>
      </vt:variant>
      <vt:variant>
        <vt:i4>518</vt:i4>
      </vt:variant>
      <vt:variant>
        <vt:i4>0</vt:i4>
      </vt:variant>
      <vt:variant>
        <vt:i4>5</vt:i4>
      </vt:variant>
      <vt:variant>
        <vt:lpwstr/>
      </vt:variant>
      <vt:variant>
        <vt:lpwstr>_Toc330477367</vt:lpwstr>
      </vt:variant>
      <vt:variant>
        <vt:i4>1114167</vt:i4>
      </vt:variant>
      <vt:variant>
        <vt:i4>512</vt:i4>
      </vt:variant>
      <vt:variant>
        <vt:i4>0</vt:i4>
      </vt:variant>
      <vt:variant>
        <vt:i4>5</vt:i4>
      </vt:variant>
      <vt:variant>
        <vt:lpwstr/>
      </vt:variant>
      <vt:variant>
        <vt:lpwstr>_Toc330477366</vt:lpwstr>
      </vt:variant>
      <vt:variant>
        <vt:i4>1114167</vt:i4>
      </vt:variant>
      <vt:variant>
        <vt:i4>506</vt:i4>
      </vt:variant>
      <vt:variant>
        <vt:i4>0</vt:i4>
      </vt:variant>
      <vt:variant>
        <vt:i4>5</vt:i4>
      </vt:variant>
      <vt:variant>
        <vt:lpwstr/>
      </vt:variant>
      <vt:variant>
        <vt:lpwstr>_Toc330477365</vt:lpwstr>
      </vt:variant>
      <vt:variant>
        <vt:i4>1114167</vt:i4>
      </vt:variant>
      <vt:variant>
        <vt:i4>500</vt:i4>
      </vt:variant>
      <vt:variant>
        <vt:i4>0</vt:i4>
      </vt:variant>
      <vt:variant>
        <vt:i4>5</vt:i4>
      </vt:variant>
      <vt:variant>
        <vt:lpwstr/>
      </vt:variant>
      <vt:variant>
        <vt:lpwstr>_Toc330477364</vt:lpwstr>
      </vt:variant>
      <vt:variant>
        <vt:i4>1114167</vt:i4>
      </vt:variant>
      <vt:variant>
        <vt:i4>494</vt:i4>
      </vt:variant>
      <vt:variant>
        <vt:i4>0</vt:i4>
      </vt:variant>
      <vt:variant>
        <vt:i4>5</vt:i4>
      </vt:variant>
      <vt:variant>
        <vt:lpwstr/>
      </vt:variant>
      <vt:variant>
        <vt:lpwstr>_Toc330477363</vt:lpwstr>
      </vt:variant>
      <vt:variant>
        <vt:i4>1114167</vt:i4>
      </vt:variant>
      <vt:variant>
        <vt:i4>488</vt:i4>
      </vt:variant>
      <vt:variant>
        <vt:i4>0</vt:i4>
      </vt:variant>
      <vt:variant>
        <vt:i4>5</vt:i4>
      </vt:variant>
      <vt:variant>
        <vt:lpwstr/>
      </vt:variant>
      <vt:variant>
        <vt:lpwstr>_Toc330477362</vt:lpwstr>
      </vt:variant>
      <vt:variant>
        <vt:i4>1114167</vt:i4>
      </vt:variant>
      <vt:variant>
        <vt:i4>482</vt:i4>
      </vt:variant>
      <vt:variant>
        <vt:i4>0</vt:i4>
      </vt:variant>
      <vt:variant>
        <vt:i4>5</vt:i4>
      </vt:variant>
      <vt:variant>
        <vt:lpwstr/>
      </vt:variant>
      <vt:variant>
        <vt:lpwstr>_Toc330477361</vt:lpwstr>
      </vt:variant>
      <vt:variant>
        <vt:i4>1114167</vt:i4>
      </vt:variant>
      <vt:variant>
        <vt:i4>476</vt:i4>
      </vt:variant>
      <vt:variant>
        <vt:i4>0</vt:i4>
      </vt:variant>
      <vt:variant>
        <vt:i4>5</vt:i4>
      </vt:variant>
      <vt:variant>
        <vt:lpwstr/>
      </vt:variant>
      <vt:variant>
        <vt:lpwstr>_Toc330477360</vt:lpwstr>
      </vt:variant>
      <vt:variant>
        <vt:i4>1179703</vt:i4>
      </vt:variant>
      <vt:variant>
        <vt:i4>470</vt:i4>
      </vt:variant>
      <vt:variant>
        <vt:i4>0</vt:i4>
      </vt:variant>
      <vt:variant>
        <vt:i4>5</vt:i4>
      </vt:variant>
      <vt:variant>
        <vt:lpwstr/>
      </vt:variant>
      <vt:variant>
        <vt:lpwstr>_Toc330477359</vt:lpwstr>
      </vt:variant>
      <vt:variant>
        <vt:i4>1179703</vt:i4>
      </vt:variant>
      <vt:variant>
        <vt:i4>464</vt:i4>
      </vt:variant>
      <vt:variant>
        <vt:i4>0</vt:i4>
      </vt:variant>
      <vt:variant>
        <vt:i4>5</vt:i4>
      </vt:variant>
      <vt:variant>
        <vt:lpwstr/>
      </vt:variant>
      <vt:variant>
        <vt:lpwstr>_Toc330477358</vt:lpwstr>
      </vt:variant>
      <vt:variant>
        <vt:i4>1179703</vt:i4>
      </vt:variant>
      <vt:variant>
        <vt:i4>458</vt:i4>
      </vt:variant>
      <vt:variant>
        <vt:i4>0</vt:i4>
      </vt:variant>
      <vt:variant>
        <vt:i4>5</vt:i4>
      </vt:variant>
      <vt:variant>
        <vt:lpwstr/>
      </vt:variant>
      <vt:variant>
        <vt:lpwstr>_Toc330477357</vt:lpwstr>
      </vt:variant>
      <vt:variant>
        <vt:i4>1179703</vt:i4>
      </vt:variant>
      <vt:variant>
        <vt:i4>452</vt:i4>
      </vt:variant>
      <vt:variant>
        <vt:i4>0</vt:i4>
      </vt:variant>
      <vt:variant>
        <vt:i4>5</vt:i4>
      </vt:variant>
      <vt:variant>
        <vt:lpwstr/>
      </vt:variant>
      <vt:variant>
        <vt:lpwstr>_Toc330477356</vt:lpwstr>
      </vt:variant>
      <vt:variant>
        <vt:i4>1179703</vt:i4>
      </vt:variant>
      <vt:variant>
        <vt:i4>446</vt:i4>
      </vt:variant>
      <vt:variant>
        <vt:i4>0</vt:i4>
      </vt:variant>
      <vt:variant>
        <vt:i4>5</vt:i4>
      </vt:variant>
      <vt:variant>
        <vt:lpwstr/>
      </vt:variant>
      <vt:variant>
        <vt:lpwstr>_Toc330477355</vt:lpwstr>
      </vt:variant>
      <vt:variant>
        <vt:i4>1179703</vt:i4>
      </vt:variant>
      <vt:variant>
        <vt:i4>440</vt:i4>
      </vt:variant>
      <vt:variant>
        <vt:i4>0</vt:i4>
      </vt:variant>
      <vt:variant>
        <vt:i4>5</vt:i4>
      </vt:variant>
      <vt:variant>
        <vt:lpwstr/>
      </vt:variant>
      <vt:variant>
        <vt:lpwstr>_Toc330477354</vt:lpwstr>
      </vt:variant>
      <vt:variant>
        <vt:i4>1179703</vt:i4>
      </vt:variant>
      <vt:variant>
        <vt:i4>434</vt:i4>
      </vt:variant>
      <vt:variant>
        <vt:i4>0</vt:i4>
      </vt:variant>
      <vt:variant>
        <vt:i4>5</vt:i4>
      </vt:variant>
      <vt:variant>
        <vt:lpwstr/>
      </vt:variant>
      <vt:variant>
        <vt:lpwstr>_Toc330477353</vt:lpwstr>
      </vt:variant>
      <vt:variant>
        <vt:i4>1179703</vt:i4>
      </vt:variant>
      <vt:variant>
        <vt:i4>428</vt:i4>
      </vt:variant>
      <vt:variant>
        <vt:i4>0</vt:i4>
      </vt:variant>
      <vt:variant>
        <vt:i4>5</vt:i4>
      </vt:variant>
      <vt:variant>
        <vt:lpwstr/>
      </vt:variant>
      <vt:variant>
        <vt:lpwstr>_Toc330477352</vt:lpwstr>
      </vt:variant>
      <vt:variant>
        <vt:i4>1179703</vt:i4>
      </vt:variant>
      <vt:variant>
        <vt:i4>422</vt:i4>
      </vt:variant>
      <vt:variant>
        <vt:i4>0</vt:i4>
      </vt:variant>
      <vt:variant>
        <vt:i4>5</vt:i4>
      </vt:variant>
      <vt:variant>
        <vt:lpwstr/>
      </vt:variant>
      <vt:variant>
        <vt:lpwstr>_Toc330477351</vt:lpwstr>
      </vt:variant>
      <vt:variant>
        <vt:i4>1179703</vt:i4>
      </vt:variant>
      <vt:variant>
        <vt:i4>416</vt:i4>
      </vt:variant>
      <vt:variant>
        <vt:i4>0</vt:i4>
      </vt:variant>
      <vt:variant>
        <vt:i4>5</vt:i4>
      </vt:variant>
      <vt:variant>
        <vt:lpwstr/>
      </vt:variant>
      <vt:variant>
        <vt:lpwstr>_Toc330477350</vt:lpwstr>
      </vt:variant>
      <vt:variant>
        <vt:i4>1245239</vt:i4>
      </vt:variant>
      <vt:variant>
        <vt:i4>410</vt:i4>
      </vt:variant>
      <vt:variant>
        <vt:i4>0</vt:i4>
      </vt:variant>
      <vt:variant>
        <vt:i4>5</vt:i4>
      </vt:variant>
      <vt:variant>
        <vt:lpwstr/>
      </vt:variant>
      <vt:variant>
        <vt:lpwstr>_Toc330477349</vt:lpwstr>
      </vt:variant>
      <vt:variant>
        <vt:i4>1245239</vt:i4>
      </vt:variant>
      <vt:variant>
        <vt:i4>404</vt:i4>
      </vt:variant>
      <vt:variant>
        <vt:i4>0</vt:i4>
      </vt:variant>
      <vt:variant>
        <vt:i4>5</vt:i4>
      </vt:variant>
      <vt:variant>
        <vt:lpwstr/>
      </vt:variant>
      <vt:variant>
        <vt:lpwstr>_Toc330477348</vt:lpwstr>
      </vt:variant>
      <vt:variant>
        <vt:i4>1245239</vt:i4>
      </vt:variant>
      <vt:variant>
        <vt:i4>398</vt:i4>
      </vt:variant>
      <vt:variant>
        <vt:i4>0</vt:i4>
      </vt:variant>
      <vt:variant>
        <vt:i4>5</vt:i4>
      </vt:variant>
      <vt:variant>
        <vt:lpwstr/>
      </vt:variant>
      <vt:variant>
        <vt:lpwstr>_Toc330477347</vt:lpwstr>
      </vt:variant>
      <vt:variant>
        <vt:i4>1245239</vt:i4>
      </vt:variant>
      <vt:variant>
        <vt:i4>392</vt:i4>
      </vt:variant>
      <vt:variant>
        <vt:i4>0</vt:i4>
      </vt:variant>
      <vt:variant>
        <vt:i4>5</vt:i4>
      </vt:variant>
      <vt:variant>
        <vt:lpwstr/>
      </vt:variant>
      <vt:variant>
        <vt:lpwstr>_Toc330477346</vt:lpwstr>
      </vt:variant>
      <vt:variant>
        <vt:i4>1245239</vt:i4>
      </vt:variant>
      <vt:variant>
        <vt:i4>386</vt:i4>
      </vt:variant>
      <vt:variant>
        <vt:i4>0</vt:i4>
      </vt:variant>
      <vt:variant>
        <vt:i4>5</vt:i4>
      </vt:variant>
      <vt:variant>
        <vt:lpwstr/>
      </vt:variant>
      <vt:variant>
        <vt:lpwstr>_Toc330477345</vt:lpwstr>
      </vt:variant>
      <vt:variant>
        <vt:i4>1245239</vt:i4>
      </vt:variant>
      <vt:variant>
        <vt:i4>380</vt:i4>
      </vt:variant>
      <vt:variant>
        <vt:i4>0</vt:i4>
      </vt:variant>
      <vt:variant>
        <vt:i4>5</vt:i4>
      </vt:variant>
      <vt:variant>
        <vt:lpwstr/>
      </vt:variant>
      <vt:variant>
        <vt:lpwstr>_Toc330477344</vt:lpwstr>
      </vt:variant>
      <vt:variant>
        <vt:i4>1245239</vt:i4>
      </vt:variant>
      <vt:variant>
        <vt:i4>374</vt:i4>
      </vt:variant>
      <vt:variant>
        <vt:i4>0</vt:i4>
      </vt:variant>
      <vt:variant>
        <vt:i4>5</vt:i4>
      </vt:variant>
      <vt:variant>
        <vt:lpwstr/>
      </vt:variant>
      <vt:variant>
        <vt:lpwstr>_Toc330477343</vt:lpwstr>
      </vt:variant>
      <vt:variant>
        <vt:i4>1245239</vt:i4>
      </vt:variant>
      <vt:variant>
        <vt:i4>368</vt:i4>
      </vt:variant>
      <vt:variant>
        <vt:i4>0</vt:i4>
      </vt:variant>
      <vt:variant>
        <vt:i4>5</vt:i4>
      </vt:variant>
      <vt:variant>
        <vt:lpwstr/>
      </vt:variant>
      <vt:variant>
        <vt:lpwstr>_Toc330477342</vt:lpwstr>
      </vt:variant>
      <vt:variant>
        <vt:i4>1245239</vt:i4>
      </vt:variant>
      <vt:variant>
        <vt:i4>362</vt:i4>
      </vt:variant>
      <vt:variant>
        <vt:i4>0</vt:i4>
      </vt:variant>
      <vt:variant>
        <vt:i4>5</vt:i4>
      </vt:variant>
      <vt:variant>
        <vt:lpwstr/>
      </vt:variant>
      <vt:variant>
        <vt:lpwstr>_Toc330477341</vt:lpwstr>
      </vt:variant>
      <vt:variant>
        <vt:i4>1245239</vt:i4>
      </vt:variant>
      <vt:variant>
        <vt:i4>356</vt:i4>
      </vt:variant>
      <vt:variant>
        <vt:i4>0</vt:i4>
      </vt:variant>
      <vt:variant>
        <vt:i4>5</vt:i4>
      </vt:variant>
      <vt:variant>
        <vt:lpwstr/>
      </vt:variant>
      <vt:variant>
        <vt:lpwstr>_Toc330477340</vt:lpwstr>
      </vt:variant>
      <vt:variant>
        <vt:i4>1310775</vt:i4>
      </vt:variant>
      <vt:variant>
        <vt:i4>350</vt:i4>
      </vt:variant>
      <vt:variant>
        <vt:i4>0</vt:i4>
      </vt:variant>
      <vt:variant>
        <vt:i4>5</vt:i4>
      </vt:variant>
      <vt:variant>
        <vt:lpwstr/>
      </vt:variant>
      <vt:variant>
        <vt:lpwstr>_Toc330477339</vt:lpwstr>
      </vt:variant>
      <vt:variant>
        <vt:i4>1310775</vt:i4>
      </vt:variant>
      <vt:variant>
        <vt:i4>344</vt:i4>
      </vt:variant>
      <vt:variant>
        <vt:i4>0</vt:i4>
      </vt:variant>
      <vt:variant>
        <vt:i4>5</vt:i4>
      </vt:variant>
      <vt:variant>
        <vt:lpwstr/>
      </vt:variant>
      <vt:variant>
        <vt:lpwstr>_Toc330477338</vt:lpwstr>
      </vt:variant>
      <vt:variant>
        <vt:i4>1310775</vt:i4>
      </vt:variant>
      <vt:variant>
        <vt:i4>338</vt:i4>
      </vt:variant>
      <vt:variant>
        <vt:i4>0</vt:i4>
      </vt:variant>
      <vt:variant>
        <vt:i4>5</vt:i4>
      </vt:variant>
      <vt:variant>
        <vt:lpwstr/>
      </vt:variant>
      <vt:variant>
        <vt:lpwstr>_Toc330477337</vt:lpwstr>
      </vt:variant>
      <vt:variant>
        <vt:i4>1310775</vt:i4>
      </vt:variant>
      <vt:variant>
        <vt:i4>332</vt:i4>
      </vt:variant>
      <vt:variant>
        <vt:i4>0</vt:i4>
      </vt:variant>
      <vt:variant>
        <vt:i4>5</vt:i4>
      </vt:variant>
      <vt:variant>
        <vt:lpwstr/>
      </vt:variant>
      <vt:variant>
        <vt:lpwstr>_Toc330477336</vt:lpwstr>
      </vt:variant>
      <vt:variant>
        <vt:i4>1310775</vt:i4>
      </vt:variant>
      <vt:variant>
        <vt:i4>326</vt:i4>
      </vt:variant>
      <vt:variant>
        <vt:i4>0</vt:i4>
      </vt:variant>
      <vt:variant>
        <vt:i4>5</vt:i4>
      </vt:variant>
      <vt:variant>
        <vt:lpwstr/>
      </vt:variant>
      <vt:variant>
        <vt:lpwstr>_Toc330477335</vt:lpwstr>
      </vt:variant>
      <vt:variant>
        <vt:i4>1310775</vt:i4>
      </vt:variant>
      <vt:variant>
        <vt:i4>320</vt:i4>
      </vt:variant>
      <vt:variant>
        <vt:i4>0</vt:i4>
      </vt:variant>
      <vt:variant>
        <vt:i4>5</vt:i4>
      </vt:variant>
      <vt:variant>
        <vt:lpwstr/>
      </vt:variant>
      <vt:variant>
        <vt:lpwstr>_Toc330477334</vt:lpwstr>
      </vt:variant>
      <vt:variant>
        <vt:i4>1310775</vt:i4>
      </vt:variant>
      <vt:variant>
        <vt:i4>314</vt:i4>
      </vt:variant>
      <vt:variant>
        <vt:i4>0</vt:i4>
      </vt:variant>
      <vt:variant>
        <vt:i4>5</vt:i4>
      </vt:variant>
      <vt:variant>
        <vt:lpwstr/>
      </vt:variant>
      <vt:variant>
        <vt:lpwstr>_Toc330477333</vt:lpwstr>
      </vt:variant>
      <vt:variant>
        <vt:i4>1310775</vt:i4>
      </vt:variant>
      <vt:variant>
        <vt:i4>308</vt:i4>
      </vt:variant>
      <vt:variant>
        <vt:i4>0</vt:i4>
      </vt:variant>
      <vt:variant>
        <vt:i4>5</vt:i4>
      </vt:variant>
      <vt:variant>
        <vt:lpwstr/>
      </vt:variant>
      <vt:variant>
        <vt:lpwstr>_Toc330477332</vt:lpwstr>
      </vt:variant>
      <vt:variant>
        <vt:i4>1310775</vt:i4>
      </vt:variant>
      <vt:variant>
        <vt:i4>302</vt:i4>
      </vt:variant>
      <vt:variant>
        <vt:i4>0</vt:i4>
      </vt:variant>
      <vt:variant>
        <vt:i4>5</vt:i4>
      </vt:variant>
      <vt:variant>
        <vt:lpwstr/>
      </vt:variant>
      <vt:variant>
        <vt:lpwstr>_Toc330477331</vt:lpwstr>
      </vt:variant>
      <vt:variant>
        <vt:i4>1310775</vt:i4>
      </vt:variant>
      <vt:variant>
        <vt:i4>296</vt:i4>
      </vt:variant>
      <vt:variant>
        <vt:i4>0</vt:i4>
      </vt:variant>
      <vt:variant>
        <vt:i4>5</vt:i4>
      </vt:variant>
      <vt:variant>
        <vt:lpwstr/>
      </vt:variant>
      <vt:variant>
        <vt:lpwstr>_Toc330477330</vt:lpwstr>
      </vt:variant>
      <vt:variant>
        <vt:i4>1376311</vt:i4>
      </vt:variant>
      <vt:variant>
        <vt:i4>290</vt:i4>
      </vt:variant>
      <vt:variant>
        <vt:i4>0</vt:i4>
      </vt:variant>
      <vt:variant>
        <vt:i4>5</vt:i4>
      </vt:variant>
      <vt:variant>
        <vt:lpwstr/>
      </vt:variant>
      <vt:variant>
        <vt:lpwstr>_Toc330477329</vt:lpwstr>
      </vt:variant>
      <vt:variant>
        <vt:i4>1376311</vt:i4>
      </vt:variant>
      <vt:variant>
        <vt:i4>284</vt:i4>
      </vt:variant>
      <vt:variant>
        <vt:i4>0</vt:i4>
      </vt:variant>
      <vt:variant>
        <vt:i4>5</vt:i4>
      </vt:variant>
      <vt:variant>
        <vt:lpwstr/>
      </vt:variant>
      <vt:variant>
        <vt:lpwstr>_Toc330477328</vt:lpwstr>
      </vt:variant>
      <vt:variant>
        <vt:i4>1376311</vt:i4>
      </vt:variant>
      <vt:variant>
        <vt:i4>278</vt:i4>
      </vt:variant>
      <vt:variant>
        <vt:i4>0</vt:i4>
      </vt:variant>
      <vt:variant>
        <vt:i4>5</vt:i4>
      </vt:variant>
      <vt:variant>
        <vt:lpwstr/>
      </vt:variant>
      <vt:variant>
        <vt:lpwstr>_Toc330477327</vt:lpwstr>
      </vt:variant>
      <vt:variant>
        <vt:i4>1376311</vt:i4>
      </vt:variant>
      <vt:variant>
        <vt:i4>272</vt:i4>
      </vt:variant>
      <vt:variant>
        <vt:i4>0</vt:i4>
      </vt:variant>
      <vt:variant>
        <vt:i4>5</vt:i4>
      </vt:variant>
      <vt:variant>
        <vt:lpwstr/>
      </vt:variant>
      <vt:variant>
        <vt:lpwstr>_Toc330477326</vt:lpwstr>
      </vt:variant>
      <vt:variant>
        <vt:i4>1376311</vt:i4>
      </vt:variant>
      <vt:variant>
        <vt:i4>266</vt:i4>
      </vt:variant>
      <vt:variant>
        <vt:i4>0</vt:i4>
      </vt:variant>
      <vt:variant>
        <vt:i4>5</vt:i4>
      </vt:variant>
      <vt:variant>
        <vt:lpwstr/>
      </vt:variant>
      <vt:variant>
        <vt:lpwstr>_Toc330477325</vt:lpwstr>
      </vt:variant>
      <vt:variant>
        <vt:i4>1376311</vt:i4>
      </vt:variant>
      <vt:variant>
        <vt:i4>260</vt:i4>
      </vt:variant>
      <vt:variant>
        <vt:i4>0</vt:i4>
      </vt:variant>
      <vt:variant>
        <vt:i4>5</vt:i4>
      </vt:variant>
      <vt:variant>
        <vt:lpwstr/>
      </vt:variant>
      <vt:variant>
        <vt:lpwstr>_Toc330477324</vt:lpwstr>
      </vt:variant>
      <vt:variant>
        <vt:i4>1376311</vt:i4>
      </vt:variant>
      <vt:variant>
        <vt:i4>254</vt:i4>
      </vt:variant>
      <vt:variant>
        <vt:i4>0</vt:i4>
      </vt:variant>
      <vt:variant>
        <vt:i4>5</vt:i4>
      </vt:variant>
      <vt:variant>
        <vt:lpwstr/>
      </vt:variant>
      <vt:variant>
        <vt:lpwstr>_Toc330477323</vt:lpwstr>
      </vt:variant>
      <vt:variant>
        <vt:i4>1376311</vt:i4>
      </vt:variant>
      <vt:variant>
        <vt:i4>248</vt:i4>
      </vt:variant>
      <vt:variant>
        <vt:i4>0</vt:i4>
      </vt:variant>
      <vt:variant>
        <vt:i4>5</vt:i4>
      </vt:variant>
      <vt:variant>
        <vt:lpwstr/>
      </vt:variant>
      <vt:variant>
        <vt:lpwstr>_Toc330477322</vt:lpwstr>
      </vt:variant>
      <vt:variant>
        <vt:i4>1376311</vt:i4>
      </vt:variant>
      <vt:variant>
        <vt:i4>242</vt:i4>
      </vt:variant>
      <vt:variant>
        <vt:i4>0</vt:i4>
      </vt:variant>
      <vt:variant>
        <vt:i4>5</vt:i4>
      </vt:variant>
      <vt:variant>
        <vt:lpwstr/>
      </vt:variant>
      <vt:variant>
        <vt:lpwstr>_Toc330477321</vt:lpwstr>
      </vt:variant>
      <vt:variant>
        <vt:i4>1376311</vt:i4>
      </vt:variant>
      <vt:variant>
        <vt:i4>236</vt:i4>
      </vt:variant>
      <vt:variant>
        <vt:i4>0</vt:i4>
      </vt:variant>
      <vt:variant>
        <vt:i4>5</vt:i4>
      </vt:variant>
      <vt:variant>
        <vt:lpwstr/>
      </vt:variant>
      <vt:variant>
        <vt:lpwstr>_Toc330477320</vt:lpwstr>
      </vt:variant>
      <vt:variant>
        <vt:i4>1441847</vt:i4>
      </vt:variant>
      <vt:variant>
        <vt:i4>230</vt:i4>
      </vt:variant>
      <vt:variant>
        <vt:i4>0</vt:i4>
      </vt:variant>
      <vt:variant>
        <vt:i4>5</vt:i4>
      </vt:variant>
      <vt:variant>
        <vt:lpwstr/>
      </vt:variant>
      <vt:variant>
        <vt:lpwstr>_Toc330477319</vt:lpwstr>
      </vt:variant>
      <vt:variant>
        <vt:i4>1441847</vt:i4>
      </vt:variant>
      <vt:variant>
        <vt:i4>224</vt:i4>
      </vt:variant>
      <vt:variant>
        <vt:i4>0</vt:i4>
      </vt:variant>
      <vt:variant>
        <vt:i4>5</vt:i4>
      </vt:variant>
      <vt:variant>
        <vt:lpwstr/>
      </vt:variant>
      <vt:variant>
        <vt:lpwstr>_Toc330477318</vt:lpwstr>
      </vt:variant>
      <vt:variant>
        <vt:i4>1441847</vt:i4>
      </vt:variant>
      <vt:variant>
        <vt:i4>218</vt:i4>
      </vt:variant>
      <vt:variant>
        <vt:i4>0</vt:i4>
      </vt:variant>
      <vt:variant>
        <vt:i4>5</vt:i4>
      </vt:variant>
      <vt:variant>
        <vt:lpwstr/>
      </vt:variant>
      <vt:variant>
        <vt:lpwstr>_Toc330477317</vt:lpwstr>
      </vt:variant>
      <vt:variant>
        <vt:i4>1441847</vt:i4>
      </vt:variant>
      <vt:variant>
        <vt:i4>212</vt:i4>
      </vt:variant>
      <vt:variant>
        <vt:i4>0</vt:i4>
      </vt:variant>
      <vt:variant>
        <vt:i4>5</vt:i4>
      </vt:variant>
      <vt:variant>
        <vt:lpwstr/>
      </vt:variant>
      <vt:variant>
        <vt:lpwstr>_Toc330477316</vt:lpwstr>
      </vt:variant>
      <vt:variant>
        <vt:i4>1441847</vt:i4>
      </vt:variant>
      <vt:variant>
        <vt:i4>206</vt:i4>
      </vt:variant>
      <vt:variant>
        <vt:i4>0</vt:i4>
      </vt:variant>
      <vt:variant>
        <vt:i4>5</vt:i4>
      </vt:variant>
      <vt:variant>
        <vt:lpwstr/>
      </vt:variant>
      <vt:variant>
        <vt:lpwstr>_Toc330477315</vt:lpwstr>
      </vt:variant>
      <vt:variant>
        <vt:i4>1441847</vt:i4>
      </vt:variant>
      <vt:variant>
        <vt:i4>200</vt:i4>
      </vt:variant>
      <vt:variant>
        <vt:i4>0</vt:i4>
      </vt:variant>
      <vt:variant>
        <vt:i4>5</vt:i4>
      </vt:variant>
      <vt:variant>
        <vt:lpwstr/>
      </vt:variant>
      <vt:variant>
        <vt:lpwstr>_Toc330477314</vt:lpwstr>
      </vt:variant>
      <vt:variant>
        <vt:i4>1441847</vt:i4>
      </vt:variant>
      <vt:variant>
        <vt:i4>194</vt:i4>
      </vt:variant>
      <vt:variant>
        <vt:i4>0</vt:i4>
      </vt:variant>
      <vt:variant>
        <vt:i4>5</vt:i4>
      </vt:variant>
      <vt:variant>
        <vt:lpwstr/>
      </vt:variant>
      <vt:variant>
        <vt:lpwstr>_Toc330477313</vt:lpwstr>
      </vt:variant>
      <vt:variant>
        <vt:i4>1441847</vt:i4>
      </vt:variant>
      <vt:variant>
        <vt:i4>188</vt:i4>
      </vt:variant>
      <vt:variant>
        <vt:i4>0</vt:i4>
      </vt:variant>
      <vt:variant>
        <vt:i4>5</vt:i4>
      </vt:variant>
      <vt:variant>
        <vt:lpwstr/>
      </vt:variant>
      <vt:variant>
        <vt:lpwstr>_Toc330477312</vt:lpwstr>
      </vt:variant>
      <vt:variant>
        <vt:i4>1441847</vt:i4>
      </vt:variant>
      <vt:variant>
        <vt:i4>182</vt:i4>
      </vt:variant>
      <vt:variant>
        <vt:i4>0</vt:i4>
      </vt:variant>
      <vt:variant>
        <vt:i4>5</vt:i4>
      </vt:variant>
      <vt:variant>
        <vt:lpwstr/>
      </vt:variant>
      <vt:variant>
        <vt:lpwstr>_Toc330477311</vt:lpwstr>
      </vt:variant>
      <vt:variant>
        <vt:i4>1441847</vt:i4>
      </vt:variant>
      <vt:variant>
        <vt:i4>176</vt:i4>
      </vt:variant>
      <vt:variant>
        <vt:i4>0</vt:i4>
      </vt:variant>
      <vt:variant>
        <vt:i4>5</vt:i4>
      </vt:variant>
      <vt:variant>
        <vt:lpwstr/>
      </vt:variant>
      <vt:variant>
        <vt:lpwstr>_Toc330477310</vt:lpwstr>
      </vt:variant>
      <vt:variant>
        <vt:i4>1507383</vt:i4>
      </vt:variant>
      <vt:variant>
        <vt:i4>170</vt:i4>
      </vt:variant>
      <vt:variant>
        <vt:i4>0</vt:i4>
      </vt:variant>
      <vt:variant>
        <vt:i4>5</vt:i4>
      </vt:variant>
      <vt:variant>
        <vt:lpwstr/>
      </vt:variant>
      <vt:variant>
        <vt:lpwstr>_Toc330477309</vt:lpwstr>
      </vt:variant>
      <vt:variant>
        <vt:i4>1507383</vt:i4>
      </vt:variant>
      <vt:variant>
        <vt:i4>164</vt:i4>
      </vt:variant>
      <vt:variant>
        <vt:i4>0</vt:i4>
      </vt:variant>
      <vt:variant>
        <vt:i4>5</vt:i4>
      </vt:variant>
      <vt:variant>
        <vt:lpwstr/>
      </vt:variant>
      <vt:variant>
        <vt:lpwstr>_Toc330477308</vt:lpwstr>
      </vt:variant>
      <vt:variant>
        <vt:i4>1507383</vt:i4>
      </vt:variant>
      <vt:variant>
        <vt:i4>158</vt:i4>
      </vt:variant>
      <vt:variant>
        <vt:i4>0</vt:i4>
      </vt:variant>
      <vt:variant>
        <vt:i4>5</vt:i4>
      </vt:variant>
      <vt:variant>
        <vt:lpwstr/>
      </vt:variant>
      <vt:variant>
        <vt:lpwstr>_Toc330477307</vt:lpwstr>
      </vt:variant>
      <vt:variant>
        <vt:i4>1507383</vt:i4>
      </vt:variant>
      <vt:variant>
        <vt:i4>152</vt:i4>
      </vt:variant>
      <vt:variant>
        <vt:i4>0</vt:i4>
      </vt:variant>
      <vt:variant>
        <vt:i4>5</vt:i4>
      </vt:variant>
      <vt:variant>
        <vt:lpwstr/>
      </vt:variant>
      <vt:variant>
        <vt:lpwstr>_Toc330477306</vt:lpwstr>
      </vt:variant>
      <vt:variant>
        <vt:i4>1507383</vt:i4>
      </vt:variant>
      <vt:variant>
        <vt:i4>146</vt:i4>
      </vt:variant>
      <vt:variant>
        <vt:i4>0</vt:i4>
      </vt:variant>
      <vt:variant>
        <vt:i4>5</vt:i4>
      </vt:variant>
      <vt:variant>
        <vt:lpwstr/>
      </vt:variant>
      <vt:variant>
        <vt:lpwstr>_Toc330477305</vt:lpwstr>
      </vt:variant>
      <vt:variant>
        <vt:i4>1507383</vt:i4>
      </vt:variant>
      <vt:variant>
        <vt:i4>140</vt:i4>
      </vt:variant>
      <vt:variant>
        <vt:i4>0</vt:i4>
      </vt:variant>
      <vt:variant>
        <vt:i4>5</vt:i4>
      </vt:variant>
      <vt:variant>
        <vt:lpwstr/>
      </vt:variant>
      <vt:variant>
        <vt:lpwstr>_Toc330477304</vt:lpwstr>
      </vt:variant>
      <vt:variant>
        <vt:i4>1507383</vt:i4>
      </vt:variant>
      <vt:variant>
        <vt:i4>134</vt:i4>
      </vt:variant>
      <vt:variant>
        <vt:i4>0</vt:i4>
      </vt:variant>
      <vt:variant>
        <vt:i4>5</vt:i4>
      </vt:variant>
      <vt:variant>
        <vt:lpwstr/>
      </vt:variant>
      <vt:variant>
        <vt:lpwstr>_Toc330477303</vt:lpwstr>
      </vt:variant>
      <vt:variant>
        <vt:i4>1507383</vt:i4>
      </vt:variant>
      <vt:variant>
        <vt:i4>128</vt:i4>
      </vt:variant>
      <vt:variant>
        <vt:i4>0</vt:i4>
      </vt:variant>
      <vt:variant>
        <vt:i4>5</vt:i4>
      </vt:variant>
      <vt:variant>
        <vt:lpwstr/>
      </vt:variant>
      <vt:variant>
        <vt:lpwstr>_Toc330477302</vt:lpwstr>
      </vt:variant>
      <vt:variant>
        <vt:i4>1507383</vt:i4>
      </vt:variant>
      <vt:variant>
        <vt:i4>122</vt:i4>
      </vt:variant>
      <vt:variant>
        <vt:i4>0</vt:i4>
      </vt:variant>
      <vt:variant>
        <vt:i4>5</vt:i4>
      </vt:variant>
      <vt:variant>
        <vt:lpwstr/>
      </vt:variant>
      <vt:variant>
        <vt:lpwstr>_Toc330477301</vt:lpwstr>
      </vt:variant>
      <vt:variant>
        <vt:i4>1507383</vt:i4>
      </vt:variant>
      <vt:variant>
        <vt:i4>116</vt:i4>
      </vt:variant>
      <vt:variant>
        <vt:i4>0</vt:i4>
      </vt:variant>
      <vt:variant>
        <vt:i4>5</vt:i4>
      </vt:variant>
      <vt:variant>
        <vt:lpwstr/>
      </vt:variant>
      <vt:variant>
        <vt:lpwstr>_Toc330477300</vt:lpwstr>
      </vt:variant>
      <vt:variant>
        <vt:i4>1966134</vt:i4>
      </vt:variant>
      <vt:variant>
        <vt:i4>110</vt:i4>
      </vt:variant>
      <vt:variant>
        <vt:i4>0</vt:i4>
      </vt:variant>
      <vt:variant>
        <vt:i4>5</vt:i4>
      </vt:variant>
      <vt:variant>
        <vt:lpwstr/>
      </vt:variant>
      <vt:variant>
        <vt:lpwstr>_Toc330477299</vt:lpwstr>
      </vt:variant>
      <vt:variant>
        <vt:i4>1966134</vt:i4>
      </vt:variant>
      <vt:variant>
        <vt:i4>104</vt:i4>
      </vt:variant>
      <vt:variant>
        <vt:i4>0</vt:i4>
      </vt:variant>
      <vt:variant>
        <vt:i4>5</vt:i4>
      </vt:variant>
      <vt:variant>
        <vt:lpwstr/>
      </vt:variant>
      <vt:variant>
        <vt:lpwstr>_Toc330477298</vt:lpwstr>
      </vt:variant>
      <vt:variant>
        <vt:i4>1966134</vt:i4>
      </vt:variant>
      <vt:variant>
        <vt:i4>98</vt:i4>
      </vt:variant>
      <vt:variant>
        <vt:i4>0</vt:i4>
      </vt:variant>
      <vt:variant>
        <vt:i4>5</vt:i4>
      </vt:variant>
      <vt:variant>
        <vt:lpwstr/>
      </vt:variant>
      <vt:variant>
        <vt:lpwstr>_Toc330477297</vt:lpwstr>
      </vt:variant>
      <vt:variant>
        <vt:i4>1966134</vt:i4>
      </vt:variant>
      <vt:variant>
        <vt:i4>92</vt:i4>
      </vt:variant>
      <vt:variant>
        <vt:i4>0</vt:i4>
      </vt:variant>
      <vt:variant>
        <vt:i4>5</vt:i4>
      </vt:variant>
      <vt:variant>
        <vt:lpwstr/>
      </vt:variant>
      <vt:variant>
        <vt:lpwstr>_Toc330477296</vt:lpwstr>
      </vt:variant>
      <vt:variant>
        <vt:i4>1966134</vt:i4>
      </vt:variant>
      <vt:variant>
        <vt:i4>86</vt:i4>
      </vt:variant>
      <vt:variant>
        <vt:i4>0</vt:i4>
      </vt:variant>
      <vt:variant>
        <vt:i4>5</vt:i4>
      </vt:variant>
      <vt:variant>
        <vt:lpwstr/>
      </vt:variant>
      <vt:variant>
        <vt:lpwstr>_Toc330477295</vt:lpwstr>
      </vt:variant>
      <vt:variant>
        <vt:i4>1966134</vt:i4>
      </vt:variant>
      <vt:variant>
        <vt:i4>80</vt:i4>
      </vt:variant>
      <vt:variant>
        <vt:i4>0</vt:i4>
      </vt:variant>
      <vt:variant>
        <vt:i4>5</vt:i4>
      </vt:variant>
      <vt:variant>
        <vt:lpwstr/>
      </vt:variant>
      <vt:variant>
        <vt:lpwstr>_Toc330477294</vt:lpwstr>
      </vt:variant>
      <vt:variant>
        <vt:i4>1966134</vt:i4>
      </vt:variant>
      <vt:variant>
        <vt:i4>74</vt:i4>
      </vt:variant>
      <vt:variant>
        <vt:i4>0</vt:i4>
      </vt:variant>
      <vt:variant>
        <vt:i4>5</vt:i4>
      </vt:variant>
      <vt:variant>
        <vt:lpwstr/>
      </vt:variant>
      <vt:variant>
        <vt:lpwstr>_Toc330477293</vt:lpwstr>
      </vt:variant>
      <vt:variant>
        <vt:i4>1966134</vt:i4>
      </vt:variant>
      <vt:variant>
        <vt:i4>68</vt:i4>
      </vt:variant>
      <vt:variant>
        <vt:i4>0</vt:i4>
      </vt:variant>
      <vt:variant>
        <vt:i4>5</vt:i4>
      </vt:variant>
      <vt:variant>
        <vt:lpwstr/>
      </vt:variant>
      <vt:variant>
        <vt:lpwstr>_Toc330477292</vt:lpwstr>
      </vt:variant>
      <vt:variant>
        <vt:i4>1966134</vt:i4>
      </vt:variant>
      <vt:variant>
        <vt:i4>62</vt:i4>
      </vt:variant>
      <vt:variant>
        <vt:i4>0</vt:i4>
      </vt:variant>
      <vt:variant>
        <vt:i4>5</vt:i4>
      </vt:variant>
      <vt:variant>
        <vt:lpwstr/>
      </vt:variant>
      <vt:variant>
        <vt:lpwstr>_Toc330477291</vt:lpwstr>
      </vt:variant>
      <vt:variant>
        <vt:i4>1966134</vt:i4>
      </vt:variant>
      <vt:variant>
        <vt:i4>56</vt:i4>
      </vt:variant>
      <vt:variant>
        <vt:i4>0</vt:i4>
      </vt:variant>
      <vt:variant>
        <vt:i4>5</vt:i4>
      </vt:variant>
      <vt:variant>
        <vt:lpwstr/>
      </vt:variant>
      <vt:variant>
        <vt:lpwstr>_Toc330477290</vt:lpwstr>
      </vt:variant>
      <vt:variant>
        <vt:i4>2031670</vt:i4>
      </vt:variant>
      <vt:variant>
        <vt:i4>50</vt:i4>
      </vt:variant>
      <vt:variant>
        <vt:i4>0</vt:i4>
      </vt:variant>
      <vt:variant>
        <vt:i4>5</vt:i4>
      </vt:variant>
      <vt:variant>
        <vt:lpwstr/>
      </vt:variant>
      <vt:variant>
        <vt:lpwstr>_Toc330477289</vt:lpwstr>
      </vt:variant>
      <vt:variant>
        <vt:i4>2031670</vt:i4>
      </vt:variant>
      <vt:variant>
        <vt:i4>44</vt:i4>
      </vt:variant>
      <vt:variant>
        <vt:i4>0</vt:i4>
      </vt:variant>
      <vt:variant>
        <vt:i4>5</vt:i4>
      </vt:variant>
      <vt:variant>
        <vt:lpwstr/>
      </vt:variant>
      <vt:variant>
        <vt:lpwstr>_Toc330477288</vt:lpwstr>
      </vt:variant>
      <vt:variant>
        <vt:i4>2031670</vt:i4>
      </vt:variant>
      <vt:variant>
        <vt:i4>38</vt:i4>
      </vt:variant>
      <vt:variant>
        <vt:i4>0</vt:i4>
      </vt:variant>
      <vt:variant>
        <vt:i4>5</vt:i4>
      </vt:variant>
      <vt:variant>
        <vt:lpwstr/>
      </vt:variant>
      <vt:variant>
        <vt:lpwstr>_Toc330477287</vt:lpwstr>
      </vt:variant>
      <vt:variant>
        <vt:i4>2031670</vt:i4>
      </vt:variant>
      <vt:variant>
        <vt:i4>32</vt:i4>
      </vt:variant>
      <vt:variant>
        <vt:i4>0</vt:i4>
      </vt:variant>
      <vt:variant>
        <vt:i4>5</vt:i4>
      </vt:variant>
      <vt:variant>
        <vt:lpwstr/>
      </vt:variant>
      <vt:variant>
        <vt:lpwstr>_Toc330477286</vt:lpwstr>
      </vt:variant>
      <vt:variant>
        <vt:i4>2031670</vt:i4>
      </vt:variant>
      <vt:variant>
        <vt:i4>26</vt:i4>
      </vt:variant>
      <vt:variant>
        <vt:i4>0</vt:i4>
      </vt:variant>
      <vt:variant>
        <vt:i4>5</vt:i4>
      </vt:variant>
      <vt:variant>
        <vt:lpwstr/>
      </vt:variant>
      <vt:variant>
        <vt:lpwstr>_Toc330477285</vt:lpwstr>
      </vt:variant>
      <vt:variant>
        <vt:i4>2031670</vt:i4>
      </vt:variant>
      <vt:variant>
        <vt:i4>20</vt:i4>
      </vt:variant>
      <vt:variant>
        <vt:i4>0</vt:i4>
      </vt:variant>
      <vt:variant>
        <vt:i4>5</vt:i4>
      </vt:variant>
      <vt:variant>
        <vt:lpwstr/>
      </vt:variant>
      <vt:variant>
        <vt:lpwstr>_Toc330477284</vt:lpwstr>
      </vt:variant>
      <vt:variant>
        <vt:i4>2031670</vt:i4>
      </vt:variant>
      <vt:variant>
        <vt:i4>14</vt:i4>
      </vt:variant>
      <vt:variant>
        <vt:i4>0</vt:i4>
      </vt:variant>
      <vt:variant>
        <vt:i4>5</vt:i4>
      </vt:variant>
      <vt:variant>
        <vt:lpwstr/>
      </vt:variant>
      <vt:variant>
        <vt:lpwstr>_Toc330477283</vt:lpwstr>
      </vt:variant>
      <vt:variant>
        <vt:i4>2031670</vt:i4>
      </vt:variant>
      <vt:variant>
        <vt:i4>8</vt:i4>
      </vt:variant>
      <vt:variant>
        <vt:i4>0</vt:i4>
      </vt:variant>
      <vt:variant>
        <vt:i4>5</vt:i4>
      </vt:variant>
      <vt:variant>
        <vt:lpwstr/>
      </vt:variant>
      <vt:variant>
        <vt:lpwstr>_Toc330477282</vt:lpwstr>
      </vt:variant>
      <vt:variant>
        <vt:i4>2031670</vt:i4>
      </vt:variant>
      <vt:variant>
        <vt:i4>2</vt:i4>
      </vt:variant>
      <vt:variant>
        <vt:i4>0</vt:i4>
      </vt:variant>
      <vt:variant>
        <vt:i4>5</vt:i4>
      </vt:variant>
      <vt:variant>
        <vt:lpwstr/>
      </vt:variant>
      <vt:variant>
        <vt:lpwstr>_Toc330477281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bj.hampton</dc:creator>
  <cp:lastModifiedBy>Bryant Hains</cp:lastModifiedBy>
  <cp:revision>5</cp:revision>
  <cp:lastPrinted>2017-03-06T14:44:00Z</cp:lastPrinted>
  <dcterms:created xsi:type="dcterms:W3CDTF">2017-03-22T20:59:00Z</dcterms:created>
  <dcterms:modified xsi:type="dcterms:W3CDTF">2017-03-22T21:09:00Z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0x010100C3E29E77B9252E479D6555829308CE44</vt:lpwstr>
  </property>
  <property fmtid="{D5CDD505-2E9C-101B-9397-08002B2CF9AE}" pid="3" name="TaxKeyword">
    <vt:lpwstr/>
  </property>
  <property fmtid="{D5CDD505-2E9C-101B-9397-08002B2CF9AE}" pid="4" name="ContractDivisions">
    <vt:lpwstr>8;#Energy Services Division|ac451375-62f5-4129-b29d-db3d87339092</vt:lpwstr>
  </property>
  <property fmtid="{D5CDD505-2E9C-101B-9397-08002B2CF9AE}" pid="5" name="ContractClients">
    <vt:lpwstr/>
  </property>
  <property fmtid="{D5CDD505-2E9C-101B-9397-08002B2CF9AE}" pid="6" name="AreaOfExpertise">
    <vt:lpwstr/>
  </property>
  <property fmtid="{D5CDD505-2E9C-101B-9397-08002B2CF9AE}" pid="7" name="ProjectLocations">
    <vt:lpwstr/>
  </property>
  <property fmtid="{D5CDD505-2E9C-101B-9397-08002B2CF9AE}" pid="8" name="ProjectSubjectAreas">
    <vt:lpwstr/>
  </property>
  <property fmtid="{D5CDD505-2E9C-101B-9397-08002B2CF9AE}" pid="9" name="ServiceSectors">
    <vt:lpwstr/>
  </property>
  <property fmtid="{D5CDD505-2E9C-101B-9397-08002B2CF9AE}" pid="10" name="WorkType">
    <vt:lpwstr/>
  </property>
  <property fmtid="{D5CDD505-2E9C-101B-9397-08002B2CF9AE}" pid="11" name="ProjectClients">
    <vt:lpwstr/>
  </property>
  <property fmtid="{D5CDD505-2E9C-101B-9397-08002B2CF9AE}" pid="12" name="ProjectServiceSectors">
    <vt:lpwstr/>
  </property>
  <property fmtid="{D5CDD505-2E9C-101B-9397-08002B2CF9AE}" pid="13" name="Locations">
    <vt:lpwstr/>
  </property>
  <property fmtid="{D5CDD505-2E9C-101B-9397-08002B2CF9AE}" pid="14" name="_dlc_DocIdItemGuid">
    <vt:lpwstr>cdd39cf8-5d60-4976-9ff7-cbf49fbfb50c</vt:lpwstr>
  </property>
  <property fmtid="{D5CDD505-2E9C-101B-9397-08002B2CF9AE}" pid="15" name="_DocHome">
    <vt:i4>-1844775069</vt:i4>
  </property>
</Properties>
</file>